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xml" ContentType="application/vnd.openxmlformats-officedocument.drawingml.chartshapes+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xml" ContentType="application/vnd.openxmlformats-officedocument.drawingml.chartshapes+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7.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8.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9.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50.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1.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2.xml" ContentType="application/vnd.openxmlformats-officedocument.drawingml.chart+xml"/>
  <Override PartName="/word/charts/style49.xml" ContentType="application/vnd.ms-office.chartstyle+xml"/>
  <Override PartName="/word/charts/colors4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leftFromText="142" w:rightFromText="142" w:vertAnchor="page" w:horzAnchor="margin" w:tblpY="3260"/>
        <w:tblW w:w="1101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1017"/>
      </w:tblGrid>
      <w:tr w:rsidR="00D84822" w:rsidRPr="00AC119B" w14:paraId="72E4B60E" w14:textId="77777777" w:rsidTr="00D84822">
        <w:trPr>
          <w:trHeight w:val="12053"/>
        </w:trPr>
        <w:tc>
          <w:tcPr>
            <w:tcW w:w="11017" w:type="dxa"/>
            <w:shd w:val="clear" w:color="auto" w:fill="F2F2F2" w:themeFill="background1" w:themeFillShade="F2"/>
          </w:tcPr>
          <w:p w14:paraId="6BC154F2" w14:textId="77777777" w:rsidR="00D84822" w:rsidRPr="00AC119B" w:rsidRDefault="00D84822" w:rsidP="00D84822">
            <w:pPr>
              <w:rPr>
                <w:rFonts w:cs="Arial"/>
                <w:caps/>
                <w:color w:val="FFFFFF" w:themeColor="background1"/>
                <w14:textFill>
                  <w14:noFill/>
                </w14:textFill>
              </w:rPr>
            </w:pPr>
            <w:r w:rsidRPr="00AC119B">
              <w:rPr>
                <w:rFonts w:cs="Arial"/>
                <w:caps/>
                <w:noProof/>
                <w:color w:val="FFFFFF" w:themeColor="background1"/>
                <w14:textFill>
                  <w14:noFill/>
                </w14:textFill>
              </w:rPr>
              <mc:AlternateContent>
                <mc:Choice Requires="wps">
                  <w:drawing>
                    <wp:anchor distT="45720" distB="45720" distL="114300" distR="114300" simplePos="0" relativeHeight="251860480" behindDoc="0" locked="0" layoutInCell="1" allowOverlap="1" wp14:anchorId="4B2937E3" wp14:editId="0751E299">
                      <wp:simplePos x="0" y="0"/>
                      <wp:positionH relativeFrom="column">
                        <wp:posOffset>700405</wp:posOffset>
                      </wp:positionH>
                      <wp:positionV relativeFrom="paragraph">
                        <wp:posOffset>2657475</wp:posOffset>
                      </wp:positionV>
                      <wp:extent cx="5556250" cy="3038475"/>
                      <wp:effectExtent l="0" t="0" r="6350" b="9525"/>
                      <wp:wrapSquare wrapText="bothSides"/>
                      <wp:docPr id="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3038475"/>
                              </a:xfrm>
                              <a:prstGeom prst="rect">
                                <a:avLst/>
                              </a:prstGeom>
                              <a:noFill/>
                              <a:ln w="9525">
                                <a:noFill/>
                                <a:miter lim="800000"/>
                                <a:headEnd/>
                                <a:tailEnd/>
                              </a:ln>
                            </wps:spPr>
                            <wps:txbx>
                              <w:txbxContent>
                                <w:p w14:paraId="0AD88F43" w14:textId="77777777" w:rsidR="000046E5" w:rsidRPr="000C08B6" w:rsidRDefault="000046E5" w:rsidP="00D84822">
                                  <w:pPr>
                                    <w:pStyle w:val="Titrerapport"/>
                                    <w:jc w:val="left"/>
                                    <w:rPr>
                                      <w:rFonts w:ascii="Marianne ExtraBold" w:hAnsi="Marianne ExtraBold"/>
                                      <w:b w:val="0"/>
                                    </w:rPr>
                                  </w:pPr>
                                  <w:r>
                                    <w:rPr>
                                      <w:rFonts w:ascii="Marianne ExtraBold" w:hAnsi="Marianne ExtraBold"/>
                                      <w:b w:val="0"/>
                                    </w:rPr>
                                    <w:t>Huitième communication nationale de la France</w:t>
                                  </w:r>
                                </w:p>
                                <w:p w14:paraId="30FCC293" w14:textId="77777777" w:rsidR="000046E5" w:rsidRPr="000C08B6" w:rsidRDefault="000046E5" w:rsidP="00D84822">
                                  <w:pPr>
                                    <w:pStyle w:val="Soustitrerapport"/>
                                    <w:jc w:val="left"/>
                                    <w:rPr>
                                      <w:rFonts w:ascii="Marianne Medium" w:hAnsi="Marianne Medium"/>
                                      <w:b w:val="0"/>
                                      <w:i w:val="0"/>
                                    </w:rPr>
                                  </w:pPr>
                                  <w:r>
                                    <w:rPr>
                                      <w:rFonts w:ascii="Marianne Medium" w:hAnsi="Marianne Medium"/>
                                      <w:b w:val="0"/>
                                      <w:i w:val="0"/>
                                    </w:rPr>
                                    <w:t>Convention-cadre des Nations unies sur les changements climatiques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2937E3" id="_x0000_t202" coordsize="21600,21600" o:spt="202" path="m,l,21600r21600,l21600,xe">
                      <v:stroke joinstyle="miter"/>
                      <v:path gradientshapeok="t" o:connecttype="rect"/>
                    </v:shapetype>
                    <v:shape id="Zone de texte 2" o:spid="_x0000_s1026" type="#_x0000_t202" style="position:absolute;left:0;text-align:left;margin-left:55.15pt;margin-top:209.25pt;width:437.5pt;height:239.25pt;z-index:25186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" filled="f" stroked="f">
                      <v:textbox inset="0,0,0,0">
                        <w:txbxContent>
                          <w:p w14:paraId="0AD88F43" w14:textId="77777777" w:rsidR="000046E5" w:rsidRPr="000C08B6" w:rsidRDefault="000046E5" w:rsidP="00D84822">
                            <w:pPr>
                              <w:pStyle w:val="Titrerapport"/>
                              <w:jc w:val="left"/>
                              <w:rPr>
                                <w:rFonts w:ascii="Marianne ExtraBold" w:hAnsi="Marianne ExtraBold"/>
                                <w:b w:val="0"/>
                              </w:rPr>
                            </w:pPr>
                            <w:r>
                              <w:rPr>
                                <w:rFonts w:ascii="Marianne ExtraBold" w:hAnsi="Marianne ExtraBold"/>
                                <w:b w:val="0"/>
                              </w:rPr>
                              <w:t>Huitième communication nationale de la France</w:t>
                            </w:r>
                          </w:p>
                          <w:p w14:paraId="30FCC293" w14:textId="77777777" w:rsidR="000046E5" w:rsidRPr="000C08B6" w:rsidRDefault="000046E5" w:rsidP="00D84822">
                            <w:pPr>
                              <w:pStyle w:val="Soustitrerapport"/>
                              <w:jc w:val="left"/>
                              <w:rPr>
                                <w:rFonts w:ascii="Marianne Medium" w:hAnsi="Marianne Medium"/>
                                <w:b w:val="0"/>
                                <w:i w:val="0"/>
                              </w:rPr>
                            </w:pPr>
                            <w:r>
                              <w:rPr>
                                <w:rFonts w:ascii="Marianne Medium" w:hAnsi="Marianne Medium"/>
                                <w:b w:val="0"/>
                                <w:i w:val="0"/>
                              </w:rPr>
                              <w:t>Convention-cadre des Nations unies sur les changements climatiques</w:t>
                            </w:r>
                          </w:p>
                        </w:txbxContent>
                      </v:textbox>
                      <w10:wrap type="square"/>
                    </v:shape>
                  </w:pict>
                </mc:Fallback>
              </mc:AlternateContent>
            </w:r>
            <w:r>
              <w:rPr>
                <w:noProof/>
              </w:rPr>
              <mc:AlternateContent>
                <mc:Choice Requires="wps">
                  <w:drawing>
                    <wp:anchor distT="0" distB="0" distL="114300" distR="114300" simplePos="0" relativeHeight="251861504" behindDoc="0" locked="0" layoutInCell="1" allowOverlap="1" wp14:anchorId="6B6EC6F8" wp14:editId="13D40B90">
                      <wp:simplePos x="0" y="0"/>
                      <wp:positionH relativeFrom="column">
                        <wp:posOffset>2969027</wp:posOffset>
                      </wp:positionH>
                      <wp:positionV relativeFrom="paragraph">
                        <wp:posOffset>5087900</wp:posOffset>
                      </wp:positionV>
                      <wp:extent cx="876911" cy="6910070"/>
                      <wp:effectExtent l="5715" t="0" r="5715" b="5715"/>
                      <wp:wrapNone/>
                      <wp:docPr id="389" name="Rectangle 389"/>
                      <wp:cNvGraphicFramePr/>
                      <a:graphic xmlns:a="http://schemas.openxmlformats.org/drawingml/2006/main">
                        <a:graphicData uri="http://schemas.microsoft.com/office/word/2010/wordprocessingShape">
                          <wps:wsp>
                            <wps:cNvSpPr/>
                            <wps:spPr>
                              <a:xfrm rot="5400000">
                                <a:off x="0" y="0"/>
                                <a:ext cx="876911" cy="69100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9E8BF" id="Rectangle 389" o:spid="_x0000_s1026" style="position:absolute;margin-left:233.8pt;margin-top:400.6pt;width:69.05pt;height:544.1pt;rotation:90;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" fillcolor="white [3212]" stroked="f" strokeweight="2pt"/>
                  </w:pict>
                </mc:Fallback>
              </mc:AlternateContent>
            </w:r>
          </w:p>
        </w:tc>
      </w:tr>
    </w:tbl>
    <w:p w14:paraId="5BCEE205" w14:textId="789E6E3B" w:rsidR="00466AA3" w:rsidRDefault="006B4DCF">
      <w:pPr>
        <w:rPr>
          <w:rFonts w:cs="Arial"/>
          <w:caps/>
        </w:rPr>
      </w:pPr>
      <w:r>
        <w:rPr>
          <w:noProof/>
        </w:rPr>
        <w:drawing>
          <wp:anchor distT="0" distB="0" distL="114300" distR="114300" simplePos="0" relativeHeight="251838976" behindDoc="0" locked="0" layoutInCell="1" allowOverlap="1" wp14:anchorId="5424E78E" wp14:editId="5079B49C">
            <wp:simplePos x="0" y="0"/>
            <wp:positionH relativeFrom="page">
              <wp:posOffset>418888</wp:posOffset>
            </wp:positionH>
            <wp:positionV relativeFrom="page">
              <wp:posOffset>350520</wp:posOffset>
            </wp:positionV>
            <wp:extent cx="1971040" cy="1428115"/>
            <wp:effectExtent l="0" t="0" r="0" b="63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noChangeArrowheads="1"/>
                    </pic:cNvPicPr>
                  </pic:nvPicPr>
                  <pic:blipFill>
                    <a:blip r:embed="rId11"/>
                    <a:stretch>
                      <a:fillRect/>
                    </a:stretch>
                  </pic:blipFill>
                  <pic:spPr bwMode="auto">
                    <a:xfrm>
                      <a:off x="0" y="0"/>
                      <a:ext cx="1971040" cy="1428115"/>
                    </a:xfrm>
                    <a:prstGeom prst="rect">
                      <a:avLst/>
                    </a:prstGeom>
                    <a:noFill/>
                    <a:ln>
                      <a:noFill/>
                    </a:ln>
                  </pic:spPr>
                </pic:pic>
              </a:graphicData>
            </a:graphic>
            <wp14:sizeRelH relativeFrom="page">
              <wp14:pctWidth>0</wp14:pctWidth>
            </wp14:sizeRelH>
            <wp14:sizeRelV relativeFrom="page">
              <wp14:pctHeight>0</wp14:pctHeight>
            </wp14:sizeRelV>
          </wp:anchor>
        </w:drawing>
      </w:r>
      <w:r w:rsidR="00DE6CC7">
        <w:rPr>
          <w:noProof/>
        </w:rPr>
        <w:drawing>
          <wp:anchor distT="0" distB="0" distL="114300" distR="114300" simplePos="0" relativeHeight="251832832" behindDoc="0" locked="0" layoutInCell="1" allowOverlap="1" wp14:anchorId="2F6903F5" wp14:editId="70F7BF9F">
            <wp:simplePos x="0" y="0"/>
            <wp:positionH relativeFrom="page">
              <wp:posOffset>5156518</wp:posOffset>
            </wp:positionH>
            <wp:positionV relativeFrom="page">
              <wp:posOffset>-1891983</wp:posOffset>
            </wp:positionV>
            <wp:extent cx="1713600" cy="1040400"/>
            <wp:effectExtent l="0" t="0" r="1270" b="7620"/>
            <wp:wrapNone/>
            <wp:docPr id="13" name="Image 13" descr="C:\Users\coralie.fondeville\AppData\Local\Microsoft\Windows\INetCache\Content.Word\MIN_Charge_Ville_et_Logement_CMJN-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ralie.fondeville\AppData\Local\Microsoft\Windows\INetCache\Content.Word\MIN_Charge_Ville_et_Logement_CMJN-42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3600" cy="104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C520A" w14:textId="5611EE87" w:rsidR="00246278" w:rsidRDefault="00246278" w:rsidP="00B65589">
      <w:pPr>
        <w:sectPr w:rsidR="00246278" w:rsidSect="00A8610E">
          <w:footerReference w:type="default" r:id="rId13"/>
          <w:headerReference w:type="first" r:id="rId14"/>
          <w:pgSz w:w="11906" w:h="16838" w:code="9"/>
          <w:pgMar w:top="1230" w:right="907" w:bottom="1650" w:left="1049" w:header="284" w:footer="284" w:gutter="0"/>
          <w:cols w:space="708"/>
          <w:titlePg/>
          <w:docGrid w:linePitch="360"/>
        </w:sectPr>
      </w:pPr>
    </w:p>
    <w:sdt>
      <w:sdtPr>
        <w:rPr>
          <w:rFonts w:ascii="Marianne" w:eastAsia="Times New Roman" w:hAnsi="Marianne" w:cs="Times New Roman"/>
          <w:color w:val="auto"/>
          <w:sz w:val="21"/>
          <w:szCs w:val="24"/>
        </w:rPr>
        <w:id w:val="239524238"/>
        <w:docPartObj>
          <w:docPartGallery w:val="Table of Contents"/>
          <w:docPartUnique/>
        </w:docPartObj>
      </w:sdtPr>
      <w:sdtEndPr>
        <w:rPr>
          <w:b/>
          <w:bCs/>
          <w:sz w:val="22"/>
        </w:rPr>
      </w:sdtEndPr>
      <w:sdtContent>
        <w:p w14:paraId="6147AB3B" w14:textId="77777777" w:rsidR="009D3165" w:rsidRDefault="009D3165" w:rsidP="00E70B93">
          <w:pPr>
            <w:pStyle w:val="TOCHeading"/>
            <w:jc w:val="left"/>
            <w:rPr>
              <w:rFonts w:ascii="Marianne" w:eastAsia="Times New Roman" w:hAnsi="Marianne" w:cs="Times New Roman"/>
              <w:color w:val="auto"/>
              <w:sz w:val="21"/>
              <w:szCs w:val="24"/>
            </w:rPr>
          </w:pPr>
        </w:p>
        <w:p w14:paraId="0E888824" w14:textId="77777777" w:rsidR="009D3165" w:rsidRDefault="009D3165">
          <w:pPr>
            <w:spacing w:before="0" w:after="0" w:line="240" w:lineRule="atLeast"/>
            <w:jc w:val="left"/>
            <w:rPr>
              <w:sz w:val="21"/>
            </w:rPr>
          </w:pPr>
          <w:r>
            <w:rPr>
              <w:sz w:val="21"/>
            </w:rPr>
            <w:br w:type="page"/>
          </w:r>
        </w:p>
        <w:p w14:paraId="39075F62" w14:textId="1580F01F" w:rsidR="003D55E6" w:rsidRDefault="003D55E6" w:rsidP="00E70B93">
          <w:pPr>
            <w:pStyle w:val="TOCHeading"/>
            <w:jc w:val="left"/>
          </w:pPr>
          <w:r>
            <w:lastRenderedPageBreak/>
            <w:t>Table des matières</w:t>
          </w:r>
        </w:p>
        <w:p w14:paraId="313EC254" w14:textId="4C42D998" w:rsidR="00BA66CC" w:rsidRDefault="003D55E6">
          <w:pPr>
            <w:pStyle w:val="TOC1"/>
            <w:rPr>
              <w:rFonts w:eastAsiaTheme="minorEastAsia" w:cstheme="minorBidi"/>
              <w:b w:val="0"/>
              <w:bCs w:val="0"/>
              <w:caps w:val="0"/>
              <w:noProof/>
              <w:szCs w:val="22"/>
            </w:rPr>
          </w:pPr>
          <w:r>
            <w:fldChar w:fldCharType="begin"/>
          </w:r>
          <w:r>
            <w:instrText xml:space="preserve"> TOC \o "1-3" \h \z \u </w:instrText>
          </w:r>
          <w:r>
            <w:fldChar w:fldCharType="separate"/>
          </w:r>
          <w:hyperlink w:anchor="_Toc138341932" w:history="1">
            <w:r w:rsidR="00BA66CC" w:rsidRPr="007C4632">
              <w:rPr>
                <w:rStyle w:val="Hyperlink"/>
                <w:rFonts w:eastAsiaTheme="majorEastAsia"/>
                <w:noProof/>
              </w:rPr>
              <w:t>Chapitre I – Résumé analytique</w:t>
            </w:r>
            <w:r w:rsidR="00BA66CC">
              <w:rPr>
                <w:noProof/>
                <w:webHidden/>
              </w:rPr>
              <w:tab/>
            </w:r>
            <w:r w:rsidR="00BA66CC">
              <w:rPr>
                <w:noProof/>
                <w:webHidden/>
              </w:rPr>
              <w:fldChar w:fldCharType="begin"/>
            </w:r>
            <w:r w:rsidR="00BA66CC">
              <w:rPr>
                <w:noProof/>
                <w:webHidden/>
              </w:rPr>
              <w:instrText xml:space="preserve"> PAGEREF _Toc138341932 \h </w:instrText>
            </w:r>
            <w:r w:rsidR="00BA66CC">
              <w:rPr>
                <w:noProof/>
                <w:webHidden/>
              </w:rPr>
            </w:r>
            <w:r w:rsidR="00BA66CC">
              <w:rPr>
                <w:noProof/>
                <w:webHidden/>
              </w:rPr>
              <w:fldChar w:fldCharType="separate"/>
            </w:r>
            <w:r w:rsidR="00BA66CC">
              <w:rPr>
                <w:noProof/>
                <w:webHidden/>
              </w:rPr>
              <w:t>12</w:t>
            </w:r>
            <w:r w:rsidR="00BA66CC">
              <w:rPr>
                <w:noProof/>
                <w:webHidden/>
              </w:rPr>
              <w:fldChar w:fldCharType="end"/>
            </w:r>
          </w:hyperlink>
        </w:p>
        <w:p w14:paraId="4FB1E4A9" w14:textId="5205D69B" w:rsidR="00BA66CC" w:rsidRDefault="00697C78">
          <w:pPr>
            <w:pStyle w:val="TOC2"/>
            <w:tabs>
              <w:tab w:val="left" w:pos="800"/>
              <w:tab w:val="right" w:leader="dot" w:pos="9940"/>
            </w:tabs>
            <w:rPr>
              <w:rFonts w:eastAsiaTheme="minorEastAsia" w:cstheme="minorBidi"/>
              <w:smallCaps w:val="0"/>
              <w:noProof/>
              <w:szCs w:val="22"/>
            </w:rPr>
          </w:pPr>
          <w:hyperlink w:anchor="_Toc138341933"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Conditions propres au pays</w:t>
            </w:r>
            <w:r w:rsidR="00BA66CC">
              <w:rPr>
                <w:noProof/>
                <w:webHidden/>
              </w:rPr>
              <w:tab/>
            </w:r>
            <w:r w:rsidR="00BA66CC">
              <w:rPr>
                <w:noProof/>
                <w:webHidden/>
              </w:rPr>
              <w:fldChar w:fldCharType="begin"/>
            </w:r>
            <w:r w:rsidR="00BA66CC">
              <w:rPr>
                <w:noProof/>
                <w:webHidden/>
              </w:rPr>
              <w:instrText xml:space="preserve"> PAGEREF _Toc138341933 \h </w:instrText>
            </w:r>
            <w:r w:rsidR="00BA66CC">
              <w:rPr>
                <w:noProof/>
                <w:webHidden/>
              </w:rPr>
            </w:r>
            <w:r w:rsidR="00BA66CC">
              <w:rPr>
                <w:noProof/>
                <w:webHidden/>
              </w:rPr>
              <w:fldChar w:fldCharType="separate"/>
            </w:r>
            <w:r w:rsidR="00BA66CC">
              <w:rPr>
                <w:noProof/>
                <w:webHidden/>
              </w:rPr>
              <w:t>12</w:t>
            </w:r>
            <w:r w:rsidR="00BA66CC">
              <w:rPr>
                <w:noProof/>
                <w:webHidden/>
              </w:rPr>
              <w:fldChar w:fldCharType="end"/>
            </w:r>
          </w:hyperlink>
        </w:p>
        <w:p w14:paraId="769E008E" w14:textId="0F849CA0" w:rsidR="00BA66CC" w:rsidRDefault="00697C78">
          <w:pPr>
            <w:pStyle w:val="TOC3"/>
            <w:tabs>
              <w:tab w:val="left" w:pos="1000"/>
              <w:tab w:val="right" w:leader="dot" w:pos="9940"/>
            </w:tabs>
            <w:rPr>
              <w:rFonts w:eastAsiaTheme="minorEastAsia" w:cstheme="minorBidi"/>
              <w:i w:val="0"/>
              <w:iCs w:val="0"/>
              <w:noProof/>
              <w:szCs w:val="22"/>
            </w:rPr>
          </w:pPr>
          <w:hyperlink w:anchor="_Toc138341934"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Un pays mobilisé pour répondre au défi climatique</w:t>
            </w:r>
            <w:r w:rsidR="00BA66CC">
              <w:rPr>
                <w:noProof/>
                <w:webHidden/>
              </w:rPr>
              <w:tab/>
            </w:r>
            <w:r w:rsidR="00BA66CC">
              <w:rPr>
                <w:noProof/>
                <w:webHidden/>
              </w:rPr>
              <w:fldChar w:fldCharType="begin"/>
            </w:r>
            <w:r w:rsidR="00BA66CC">
              <w:rPr>
                <w:noProof/>
                <w:webHidden/>
              </w:rPr>
              <w:instrText xml:space="preserve"> PAGEREF _Toc138341934 \h </w:instrText>
            </w:r>
            <w:r w:rsidR="00BA66CC">
              <w:rPr>
                <w:noProof/>
                <w:webHidden/>
              </w:rPr>
            </w:r>
            <w:r w:rsidR="00BA66CC">
              <w:rPr>
                <w:noProof/>
                <w:webHidden/>
              </w:rPr>
              <w:fldChar w:fldCharType="separate"/>
            </w:r>
            <w:r w:rsidR="00BA66CC">
              <w:rPr>
                <w:noProof/>
                <w:webHidden/>
              </w:rPr>
              <w:t>12</w:t>
            </w:r>
            <w:r w:rsidR="00BA66CC">
              <w:rPr>
                <w:noProof/>
                <w:webHidden/>
              </w:rPr>
              <w:fldChar w:fldCharType="end"/>
            </w:r>
          </w:hyperlink>
        </w:p>
        <w:p w14:paraId="26884DA2" w14:textId="3CC5BDD3" w:rsidR="00BA66CC" w:rsidRDefault="00697C78">
          <w:pPr>
            <w:pStyle w:val="TOC3"/>
            <w:tabs>
              <w:tab w:val="left" w:pos="1200"/>
              <w:tab w:val="right" w:leader="dot" w:pos="9940"/>
            </w:tabs>
            <w:rPr>
              <w:rFonts w:eastAsiaTheme="minorEastAsia" w:cstheme="minorBidi"/>
              <w:i w:val="0"/>
              <w:iCs w:val="0"/>
              <w:noProof/>
              <w:szCs w:val="22"/>
            </w:rPr>
          </w:pPr>
          <w:hyperlink w:anchor="_Toc138341935"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Evolutions récentes</w:t>
            </w:r>
            <w:r w:rsidR="00BA66CC">
              <w:rPr>
                <w:noProof/>
                <w:webHidden/>
              </w:rPr>
              <w:tab/>
            </w:r>
            <w:r w:rsidR="00BA66CC">
              <w:rPr>
                <w:noProof/>
                <w:webHidden/>
              </w:rPr>
              <w:fldChar w:fldCharType="begin"/>
            </w:r>
            <w:r w:rsidR="00BA66CC">
              <w:rPr>
                <w:noProof/>
                <w:webHidden/>
              </w:rPr>
              <w:instrText xml:space="preserve"> PAGEREF _Toc138341935 \h </w:instrText>
            </w:r>
            <w:r w:rsidR="00BA66CC">
              <w:rPr>
                <w:noProof/>
                <w:webHidden/>
              </w:rPr>
            </w:r>
            <w:r w:rsidR="00BA66CC">
              <w:rPr>
                <w:noProof/>
                <w:webHidden/>
              </w:rPr>
              <w:fldChar w:fldCharType="separate"/>
            </w:r>
            <w:r w:rsidR="00BA66CC">
              <w:rPr>
                <w:noProof/>
                <w:webHidden/>
              </w:rPr>
              <w:t>13</w:t>
            </w:r>
            <w:r w:rsidR="00BA66CC">
              <w:rPr>
                <w:noProof/>
                <w:webHidden/>
              </w:rPr>
              <w:fldChar w:fldCharType="end"/>
            </w:r>
          </w:hyperlink>
        </w:p>
        <w:p w14:paraId="5617180B" w14:textId="1C22B98A" w:rsidR="00BA66CC" w:rsidRDefault="00697C78">
          <w:pPr>
            <w:pStyle w:val="TOC2"/>
            <w:tabs>
              <w:tab w:val="left" w:pos="600"/>
              <w:tab w:val="right" w:leader="dot" w:pos="9940"/>
            </w:tabs>
            <w:rPr>
              <w:rFonts w:eastAsiaTheme="minorEastAsia" w:cstheme="minorBidi"/>
              <w:smallCaps w:val="0"/>
              <w:noProof/>
              <w:szCs w:val="22"/>
            </w:rPr>
          </w:pPr>
          <w:hyperlink w:anchor="_Toc138341936"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Informations relatives à l’inventaire de GES incluant les informations relatives au système national d’inventaire et au registre national</w:t>
            </w:r>
            <w:r w:rsidR="00BA66CC">
              <w:rPr>
                <w:noProof/>
                <w:webHidden/>
              </w:rPr>
              <w:tab/>
            </w:r>
            <w:r w:rsidR="00BA66CC">
              <w:rPr>
                <w:noProof/>
                <w:webHidden/>
              </w:rPr>
              <w:fldChar w:fldCharType="begin"/>
            </w:r>
            <w:r w:rsidR="00BA66CC">
              <w:rPr>
                <w:noProof/>
                <w:webHidden/>
              </w:rPr>
              <w:instrText xml:space="preserve"> PAGEREF _Toc138341936 \h </w:instrText>
            </w:r>
            <w:r w:rsidR="00BA66CC">
              <w:rPr>
                <w:noProof/>
                <w:webHidden/>
              </w:rPr>
            </w:r>
            <w:r w:rsidR="00BA66CC">
              <w:rPr>
                <w:noProof/>
                <w:webHidden/>
              </w:rPr>
              <w:fldChar w:fldCharType="separate"/>
            </w:r>
            <w:r w:rsidR="00BA66CC">
              <w:rPr>
                <w:noProof/>
                <w:webHidden/>
              </w:rPr>
              <w:t>15</w:t>
            </w:r>
            <w:r w:rsidR="00BA66CC">
              <w:rPr>
                <w:noProof/>
                <w:webHidden/>
              </w:rPr>
              <w:fldChar w:fldCharType="end"/>
            </w:r>
          </w:hyperlink>
        </w:p>
        <w:p w14:paraId="4F022FD1" w14:textId="0BBBE02B" w:rsidR="00BA66CC" w:rsidRDefault="00697C78">
          <w:pPr>
            <w:pStyle w:val="TOC3"/>
            <w:tabs>
              <w:tab w:val="left" w:pos="1000"/>
              <w:tab w:val="right" w:leader="dot" w:pos="9940"/>
            </w:tabs>
            <w:rPr>
              <w:rFonts w:eastAsiaTheme="minorEastAsia" w:cstheme="minorBidi"/>
              <w:i w:val="0"/>
              <w:iCs w:val="0"/>
              <w:noProof/>
              <w:szCs w:val="22"/>
            </w:rPr>
          </w:pPr>
          <w:hyperlink w:anchor="_Toc138341937"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Tendances</w:t>
            </w:r>
            <w:r w:rsidR="00BA66CC">
              <w:rPr>
                <w:noProof/>
                <w:webHidden/>
              </w:rPr>
              <w:tab/>
            </w:r>
            <w:r w:rsidR="00BA66CC">
              <w:rPr>
                <w:noProof/>
                <w:webHidden/>
              </w:rPr>
              <w:fldChar w:fldCharType="begin"/>
            </w:r>
            <w:r w:rsidR="00BA66CC">
              <w:rPr>
                <w:noProof/>
                <w:webHidden/>
              </w:rPr>
              <w:instrText xml:space="preserve"> PAGEREF _Toc138341937 \h </w:instrText>
            </w:r>
            <w:r w:rsidR="00BA66CC">
              <w:rPr>
                <w:noProof/>
                <w:webHidden/>
              </w:rPr>
            </w:r>
            <w:r w:rsidR="00BA66CC">
              <w:rPr>
                <w:noProof/>
                <w:webHidden/>
              </w:rPr>
              <w:fldChar w:fldCharType="separate"/>
            </w:r>
            <w:r w:rsidR="00BA66CC">
              <w:rPr>
                <w:noProof/>
                <w:webHidden/>
              </w:rPr>
              <w:t>15</w:t>
            </w:r>
            <w:r w:rsidR="00BA66CC">
              <w:rPr>
                <w:noProof/>
                <w:webHidden/>
              </w:rPr>
              <w:fldChar w:fldCharType="end"/>
            </w:r>
          </w:hyperlink>
        </w:p>
        <w:p w14:paraId="21F14C41" w14:textId="570E412D" w:rsidR="00BA66CC" w:rsidRDefault="00697C78">
          <w:pPr>
            <w:pStyle w:val="TOC3"/>
            <w:tabs>
              <w:tab w:val="left" w:pos="1000"/>
              <w:tab w:val="right" w:leader="dot" w:pos="9940"/>
            </w:tabs>
            <w:rPr>
              <w:rFonts w:eastAsiaTheme="minorEastAsia" w:cstheme="minorBidi"/>
              <w:i w:val="0"/>
              <w:iCs w:val="0"/>
              <w:noProof/>
              <w:szCs w:val="22"/>
            </w:rPr>
          </w:pPr>
          <w:hyperlink w:anchor="_Toc138341938"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Le système national</w:t>
            </w:r>
            <w:r w:rsidR="00BA66CC">
              <w:rPr>
                <w:noProof/>
                <w:webHidden/>
              </w:rPr>
              <w:tab/>
            </w:r>
            <w:r w:rsidR="00BA66CC">
              <w:rPr>
                <w:noProof/>
                <w:webHidden/>
              </w:rPr>
              <w:fldChar w:fldCharType="begin"/>
            </w:r>
            <w:r w:rsidR="00BA66CC">
              <w:rPr>
                <w:noProof/>
                <w:webHidden/>
              </w:rPr>
              <w:instrText xml:space="preserve"> PAGEREF _Toc138341938 \h </w:instrText>
            </w:r>
            <w:r w:rsidR="00BA66CC">
              <w:rPr>
                <w:noProof/>
                <w:webHidden/>
              </w:rPr>
            </w:r>
            <w:r w:rsidR="00BA66CC">
              <w:rPr>
                <w:noProof/>
                <w:webHidden/>
              </w:rPr>
              <w:fldChar w:fldCharType="separate"/>
            </w:r>
            <w:r w:rsidR="00BA66CC">
              <w:rPr>
                <w:noProof/>
                <w:webHidden/>
              </w:rPr>
              <w:t>17</w:t>
            </w:r>
            <w:r w:rsidR="00BA66CC">
              <w:rPr>
                <w:noProof/>
                <w:webHidden/>
              </w:rPr>
              <w:fldChar w:fldCharType="end"/>
            </w:r>
          </w:hyperlink>
        </w:p>
        <w:p w14:paraId="41071F99" w14:textId="0F6F94FC" w:rsidR="00BA66CC" w:rsidRDefault="00697C78">
          <w:pPr>
            <w:pStyle w:val="TOC2"/>
            <w:tabs>
              <w:tab w:val="left" w:pos="600"/>
              <w:tab w:val="right" w:leader="dot" w:pos="9940"/>
            </w:tabs>
            <w:rPr>
              <w:rFonts w:eastAsiaTheme="minorEastAsia" w:cstheme="minorBidi"/>
              <w:smallCaps w:val="0"/>
              <w:noProof/>
              <w:szCs w:val="22"/>
            </w:rPr>
          </w:pPr>
          <w:hyperlink w:anchor="_Toc138341939"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Politiques et mesures</w:t>
            </w:r>
            <w:r w:rsidR="00BA66CC">
              <w:rPr>
                <w:noProof/>
                <w:webHidden/>
              </w:rPr>
              <w:tab/>
            </w:r>
            <w:r w:rsidR="00BA66CC">
              <w:rPr>
                <w:noProof/>
                <w:webHidden/>
              </w:rPr>
              <w:fldChar w:fldCharType="begin"/>
            </w:r>
            <w:r w:rsidR="00BA66CC">
              <w:rPr>
                <w:noProof/>
                <w:webHidden/>
              </w:rPr>
              <w:instrText xml:space="preserve"> PAGEREF _Toc138341939 \h </w:instrText>
            </w:r>
            <w:r w:rsidR="00BA66CC">
              <w:rPr>
                <w:noProof/>
                <w:webHidden/>
              </w:rPr>
            </w:r>
            <w:r w:rsidR="00BA66CC">
              <w:rPr>
                <w:noProof/>
                <w:webHidden/>
              </w:rPr>
              <w:fldChar w:fldCharType="separate"/>
            </w:r>
            <w:r w:rsidR="00BA66CC">
              <w:rPr>
                <w:noProof/>
                <w:webHidden/>
              </w:rPr>
              <w:t>17</w:t>
            </w:r>
            <w:r w:rsidR="00BA66CC">
              <w:rPr>
                <w:noProof/>
                <w:webHidden/>
              </w:rPr>
              <w:fldChar w:fldCharType="end"/>
            </w:r>
          </w:hyperlink>
        </w:p>
        <w:p w14:paraId="4953FD15" w14:textId="7DEB0581" w:rsidR="00BA66CC" w:rsidRDefault="00697C78">
          <w:pPr>
            <w:pStyle w:val="TOC3"/>
            <w:tabs>
              <w:tab w:val="left" w:pos="1000"/>
              <w:tab w:val="right" w:leader="dot" w:pos="9940"/>
            </w:tabs>
            <w:rPr>
              <w:rFonts w:eastAsiaTheme="minorEastAsia" w:cstheme="minorBidi"/>
              <w:i w:val="0"/>
              <w:iCs w:val="0"/>
              <w:noProof/>
              <w:szCs w:val="22"/>
            </w:rPr>
          </w:pPr>
          <w:hyperlink w:anchor="_Toc138341940" w:history="1">
            <w:r w:rsidR="00BA66CC" w:rsidRPr="007C4632">
              <w:rPr>
                <w:rStyle w:val="Hyperlink"/>
                <w:rFonts w:ascii="Marianne" w:eastAsiaTheme="majorEastAsia" w:hAnsi="Marianne"/>
                <w:noProof/>
              </w:rPr>
              <w:t>C.1.</w:t>
            </w:r>
            <w:r w:rsidR="00BA66CC">
              <w:rPr>
                <w:rFonts w:eastAsiaTheme="minorEastAsia" w:cstheme="minorBidi"/>
                <w:i w:val="0"/>
                <w:iCs w:val="0"/>
                <w:noProof/>
                <w:szCs w:val="22"/>
              </w:rPr>
              <w:tab/>
            </w:r>
            <w:r w:rsidR="00BA66CC" w:rsidRPr="007C4632">
              <w:rPr>
                <w:rStyle w:val="Hyperlink"/>
                <w:rFonts w:eastAsiaTheme="majorEastAsia"/>
                <w:noProof/>
              </w:rPr>
              <w:t>Les transports</w:t>
            </w:r>
            <w:r w:rsidR="00BA66CC">
              <w:rPr>
                <w:noProof/>
                <w:webHidden/>
              </w:rPr>
              <w:tab/>
            </w:r>
            <w:r w:rsidR="00BA66CC">
              <w:rPr>
                <w:noProof/>
                <w:webHidden/>
              </w:rPr>
              <w:fldChar w:fldCharType="begin"/>
            </w:r>
            <w:r w:rsidR="00BA66CC">
              <w:rPr>
                <w:noProof/>
                <w:webHidden/>
              </w:rPr>
              <w:instrText xml:space="preserve"> PAGEREF _Toc138341940 \h </w:instrText>
            </w:r>
            <w:r w:rsidR="00BA66CC">
              <w:rPr>
                <w:noProof/>
                <w:webHidden/>
              </w:rPr>
            </w:r>
            <w:r w:rsidR="00BA66CC">
              <w:rPr>
                <w:noProof/>
                <w:webHidden/>
              </w:rPr>
              <w:fldChar w:fldCharType="separate"/>
            </w:r>
            <w:r w:rsidR="00BA66CC">
              <w:rPr>
                <w:noProof/>
                <w:webHidden/>
              </w:rPr>
              <w:t>18</w:t>
            </w:r>
            <w:r w:rsidR="00BA66CC">
              <w:rPr>
                <w:noProof/>
                <w:webHidden/>
              </w:rPr>
              <w:fldChar w:fldCharType="end"/>
            </w:r>
          </w:hyperlink>
        </w:p>
        <w:p w14:paraId="3620F9ED" w14:textId="70E81361" w:rsidR="00BA66CC" w:rsidRDefault="00697C78">
          <w:pPr>
            <w:pStyle w:val="TOC3"/>
            <w:tabs>
              <w:tab w:val="left" w:pos="1200"/>
              <w:tab w:val="right" w:leader="dot" w:pos="9940"/>
            </w:tabs>
            <w:rPr>
              <w:rFonts w:eastAsiaTheme="minorEastAsia" w:cstheme="minorBidi"/>
              <w:i w:val="0"/>
              <w:iCs w:val="0"/>
              <w:noProof/>
              <w:szCs w:val="22"/>
            </w:rPr>
          </w:pPr>
          <w:hyperlink w:anchor="_Toc138341941" w:history="1">
            <w:r w:rsidR="00BA66CC" w:rsidRPr="007C4632">
              <w:rPr>
                <w:rStyle w:val="Hyperlink"/>
                <w:rFonts w:ascii="Marianne" w:eastAsiaTheme="majorEastAsia" w:hAnsi="Marianne"/>
                <w:noProof/>
              </w:rPr>
              <w:t>C.2.</w:t>
            </w:r>
            <w:r w:rsidR="00BA66CC">
              <w:rPr>
                <w:rFonts w:eastAsiaTheme="minorEastAsia" w:cstheme="minorBidi"/>
                <w:i w:val="0"/>
                <w:iCs w:val="0"/>
                <w:noProof/>
                <w:szCs w:val="22"/>
              </w:rPr>
              <w:tab/>
            </w:r>
            <w:r w:rsidR="00BA66CC" w:rsidRPr="007C4632">
              <w:rPr>
                <w:rStyle w:val="Hyperlink"/>
                <w:rFonts w:eastAsiaTheme="majorEastAsia"/>
                <w:noProof/>
              </w:rPr>
              <w:t>Le résidentiel/tertiaire</w:t>
            </w:r>
            <w:r w:rsidR="00BA66CC">
              <w:rPr>
                <w:noProof/>
                <w:webHidden/>
              </w:rPr>
              <w:tab/>
            </w:r>
            <w:r w:rsidR="00BA66CC">
              <w:rPr>
                <w:noProof/>
                <w:webHidden/>
              </w:rPr>
              <w:fldChar w:fldCharType="begin"/>
            </w:r>
            <w:r w:rsidR="00BA66CC">
              <w:rPr>
                <w:noProof/>
                <w:webHidden/>
              </w:rPr>
              <w:instrText xml:space="preserve"> PAGEREF _Toc138341941 \h </w:instrText>
            </w:r>
            <w:r w:rsidR="00BA66CC">
              <w:rPr>
                <w:noProof/>
                <w:webHidden/>
              </w:rPr>
            </w:r>
            <w:r w:rsidR="00BA66CC">
              <w:rPr>
                <w:noProof/>
                <w:webHidden/>
              </w:rPr>
              <w:fldChar w:fldCharType="separate"/>
            </w:r>
            <w:r w:rsidR="00BA66CC">
              <w:rPr>
                <w:noProof/>
                <w:webHidden/>
              </w:rPr>
              <w:t>18</w:t>
            </w:r>
            <w:r w:rsidR="00BA66CC">
              <w:rPr>
                <w:noProof/>
                <w:webHidden/>
              </w:rPr>
              <w:fldChar w:fldCharType="end"/>
            </w:r>
          </w:hyperlink>
        </w:p>
        <w:p w14:paraId="2A20D722" w14:textId="47C6CD78" w:rsidR="00BA66CC" w:rsidRDefault="00697C78">
          <w:pPr>
            <w:pStyle w:val="TOC3"/>
            <w:tabs>
              <w:tab w:val="left" w:pos="1200"/>
              <w:tab w:val="right" w:leader="dot" w:pos="9940"/>
            </w:tabs>
            <w:rPr>
              <w:rFonts w:eastAsiaTheme="minorEastAsia" w:cstheme="minorBidi"/>
              <w:i w:val="0"/>
              <w:iCs w:val="0"/>
              <w:noProof/>
              <w:szCs w:val="22"/>
            </w:rPr>
          </w:pPr>
          <w:hyperlink w:anchor="_Toc138341942" w:history="1">
            <w:r w:rsidR="00BA66CC" w:rsidRPr="007C4632">
              <w:rPr>
                <w:rStyle w:val="Hyperlink"/>
                <w:rFonts w:ascii="Marianne" w:eastAsiaTheme="majorEastAsia" w:hAnsi="Marianne"/>
                <w:noProof/>
              </w:rPr>
              <w:t>C.3.</w:t>
            </w:r>
            <w:r w:rsidR="00BA66CC">
              <w:rPr>
                <w:rFonts w:eastAsiaTheme="minorEastAsia" w:cstheme="minorBidi"/>
                <w:i w:val="0"/>
                <w:iCs w:val="0"/>
                <w:noProof/>
                <w:szCs w:val="22"/>
              </w:rPr>
              <w:tab/>
            </w:r>
            <w:r w:rsidR="00BA66CC" w:rsidRPr="007C4632">
              <w:rPr>
                <w:rStyle w:val="Hyperlink"/>
                <w:rFonts w:eastAsiaTheme="majorEastAsia"/>
                <w:noProof/>
              </w:rPr>
              <w:t>L’industrie</w:t>
            </w:r>
            <w:r w:rsidR="00BA66CC">
              <w:rPr>
                <w:noProof/>
                <w:webHidden/>
              </w:rPr>
              <w:tab/>
            </w:r>
            <w:r w:rsidR="00BA66CC">
              <w:rPr>
                <w:noProof/>
                <w:webHidden/>
              </w:rPr>
              <w:fldChar w:fldCharType="begin"/>
            </w:r>
            <w:r w:rsidR="00BA66CC">
              <w:rPr>
                <w:noProof/>
                <w:webHidden/>
              </w:rPr>
              <w:instrText xml:space="preserve"> PAGEREF _Toc138341942 \h </w:instrText>
            </w:r>
            <w:r w:rsidR="00BA66CC">
              <w:rPr>
                <w:noProof/>
                <w:webHidden/>
              </w:rPr>
            </w:r>
            <w:r w:rsidR="00BA66CC">
              <w:rPr>
                <w:noProof/>
                <w:webHidden/>
              </w:rPr>
              <w:fldChar w:fldCharType="separate"/>
            </w:r>
            <w:r w:rsidR="00BA66CC">
              <w:rPr>
                <w:noProof/>
                <w:webHidden/>
              </w:rPr>
              <w:t>19</w:t>
            </w:r>
            <w:r w:rsidR="00BA66CC">
              <w:rPr>
                <w:noProof/>
                <w:webHidden/>
              </w:rPr>
              <w:fldChar w:fldCharType="end"/>
            </w:r>
          </w:hyperlink>
        </w:p>
        <w:p w14:paraId="48EA0B9E" w14:textId="38A724F6" w:rsidR="00BA66CC" w:rsidRDefault="00697C78">
          <w:pPr>
            <w:pStyle w:val="TOC3"/>
            <w:tabs>
              <w:tab w:val="left" w:pos="1200"/>
              <w:tab w:val="right" w:leader="dot" w:pos="9940"/>
            </w:tabs>
            <w:rPr>
              <w:rFonts w:eastAsiaTheme="minorEastAsia" w:cstheme="minorBidi"/>
              <w:i w:val="0"/>
              <w:iCs w:val="0"/>
              <w:noProof/>
              <w:szCs w:val="22"/>
            </w:rPr>
          </w:pPr>
          <w:hyperlink w:anchor="_Toc138341943" w:history="1">
            <w:r w:rsidR="00BA66CC" w:rsidRPr="007C4632">
              <w:rPr>
                <w:rStyle w:val="Hyperlink"/>
                <w:rFonts w:ascii="Marianne" w:eastAsiaTheme="majorEastAsia" w:hAnsi="Marianne"/>
                <w:noProof/>
              </w:rPr>
              <w:t>C.4.</w:t>
            </w:r>
            <w:r w:rsidR="00BA66CC">
              <w:rPr>
                <w:rFonts w:eastAsiaTheme="minorEastAsia" w:cstheme="minorBidi"/>
                <w:i w:val="0"/>
                <w:iCs w:val="0"/>
                <w:noProof/>
                <w:szCs w:val="22"/>
              </w:rPr>
              <w:tab/>
            </w:r>
            <w:r w:rsidR="00BA66CC" w:rsidRPr="007C4632">
              <w:rPr>
                <w:rStyle w:val="Hyperlink"/>
                <w:rFonts w:eastAsiaTheme="majorEastAsia"/>
                <w:noProof/>
              </w:rPr>
              <w:t>L’énergie</w:t>
            </w:r>
            <w:r w:rsidR="00BA66CC">
              <w:rPr>
                <w:noProof/>
                <w:webHidden/>
              </w:rPr>
              <w:tab/>
            </w:r>
            <w:r w:rsidR="00BA66CC">
              <w:rPr>
                <w:noProof/>
                <w:webHidden/>
              </w:rPr>
              <w:fldChar w:fldCharType="begin"/>
            </w:r>
            <w:r w:rsidR="00BA66CC">
              <w:rPr>
                <w:noProof/>
                <w:webHidden/>
              </w:rPr>
              <w:instrText xml:space="preserve"> PAGEREF _Toc138341943 \h </w:instrText>
            </w:r>
            <w:r w:rsidR="00BA66CC">
              <w:rPr>
                <w:noProof/>
                <w:webHidden/>
              </w:rPr>
            </w:r>
            <w:r w:rsidR="00BA66CC">
              <w:rPr>
                <w:noProof/>
                <w:webHidden/>
              </w:rPr>
              <w:fldChar w:fldCharType="separate"/>
            </w:r>
            <w:r w:rsidR="00BA66CC">
              <w:rPr>
                <w:noProof/>
                <w:webHidden/>
              </w:rPr>
              <w:t>19</w:t>
            </w:r>
            <w:r w:rsidR="00BA66CC">
              <w:rPr>
                <w:noProof/>
                <w:webHidden/>
              </w:rPr>
              <w:fldChar w:fldCharType="end"/>
            </w:r>
          </w:hyperlink>
        </w:p>
        <w:p w14:paraId="55CC8530" w14:textId="01C75354" w:rsidR="00BA66CC" w:rsidRDefault="00697C78">
          <w:pPr>
            <w:pStyle w:val="TOC3"/>
            <w:tabs>
              <w:tab w:val="left" w:pos="1200"/>
              <w:tab w:val="right" w:leader="dot" w:pos="9940"/>
            </w:tabs>
            <w:rPr>
              <w:rFonts w:eastAsiaTheme="minorEastAsia" w:cstheme="minorBidi"/>
              <w:i w:val="0"/>
              <w:iCs w:val="0"/>
              <w:noProof/>
              <w:szCs w:val="22"/>
            </w:rPr>
          </w:pPr>
          <w:hyperlink w:anchor="_Toc138341944" w:history="1">
            <w:r w:rsidR="00BA66CC" w:rsidRPr="007C4632">
              <w:rPr>
                <w:rStyle w:val="Hyperlink"/>
                <w:rFonts w:ascii="Marianne" w:eastAsiaTheme="majorEastAsia" w:hAnsi="Marianne"/>
                <w:noProof/>
              </w:rPr>
              <w:t>C.5.</w:t>
            </w:r>
            <w:r w:rsidR="00BA66CC">
              <w:rPr>
                <w:rFonts w:eastAsiaTheme="minorEastAsia" w:cstheme="minorBidi"/>
                <w:i w:val="0"/>
                <w:iCs w:val="0"/>
                <w:noProof/>
                <w:szCs w:val="22"/>
              </w:rPr>
              <w:tab/>
            </w:r>
            <w:r w:rsidR="00BA66CC" w:rsidRPr="007C4632">
              <w:rPr>
                <w:rStyle w:val="Hyperlink"/>
                <w:rFonts w:eastAsiaTheme="majorEastAsia"/>
                <w:noProof/>
              </w:rPr>
              <w:t>L’agriculture et la forêt</w:t>
            </w:r>
            <w:r w:rsidR="00BA66CC">
              <w:rPr>
                <w:noProof/>
                <w:webHidden/>
              </w:rPr>
              <w:tab/>
            </w:r>
            <w:r w:rsidR="00BA66CC">
              <w:rPr>
                <w:noProof/>
                <w:webHidden/>
              </w:rPr>
              <w:fldChar w:fldCharType="begin"/>
            </w:r>
            <w:r w:rsidR="00BA66CC">
              <w:rPr>
                <w:noProof/>
                <w:webHidden/>
              </w:rPr>
              <w:instrText xml:space="preserve"> PAGEREF _Toc138341944 \h </w:instrText>
            </w:r>
            <w:r w:rsidR="00BA66CC">
              <w:rPr>
                <w:noProof/>
                <w:webHidden/>
              </w:rPr>
            </w:r>
            <w:r w:rsidR="00BA66CC">
              <w:rPr>
                <w:noProof/>
                <w:webHidden/>
              </w:rPr>
              <w:fldChar w:fldCharType="separate"/>
            </w:r>
            <w:r w:rsidR="00BA66CC">
              <w:rPr>
                <w:noProof/>
                <w:webHidden/>
              </w:rPr>
              <w:t>20</w:t>
            </w:r>
            <w:r w:rsidR="00BA66CC">
              <w:rPr>
                <w:noProof/>
                <w:webHidden/>
              </w:rPr>
              <w:fldChar w:fldCharType="end"/>
            </w:r>
          </w:hyperlink>
        </w:p>
        <w:p w14:paraId="221E65A5" w14:textId="4D8934F6" w:rsidR="00BA66CC" w:rsidRDefault="00697C78">
          <w:pPr>
            <w:pStyle w:val="TOC3"/>
            <w:tabs>
              <w:tab w:val="left" w:pos="1200"/>
              <w:tab w:val="right" w:leader="dot" w:pos="9940"/>
            </w:tabs>
            <w:rPr>
              <w:rFonts w:eastAsiaTheme="minorEastAsia" w:cstheme="minorBidi"/>
              <w:i w:val="0"/>
              <w:iCs w:val="0"/>
              <w:noProof/>
              <w:szCs w:val="22"/>
            </w:rPr>
          </w:pPr>
          <w:hyperlink w:anchor="_Toc138341945" w:history="1">
            <w:r w:rsidR="00BA66CC" w:rsidRPr="007C4632">
              <w:rPr>
                <w:rStyle w:val="Hyperlink"/>
                <w:rFonts w:ascii="Marianne" w:eastAsiaTheme="majorEastAsia" w:hAnsi="Marianne"/>
                <w:noProof/>
              </w:rPr>
              <w:t>C.6.</w:t>
            </w:r>
            <w:r w:rsidR="00BA66CC">
              <w:rPr>
                <w:rFonts w:eastAsiaTheme="minorEastAsia" w:cstheme="minorBidi"/>
                <w:i w:val="0"/>
                <w:iCs w:val="0"/>
                <w:noProof/>
                <w:szCs w:val="22"/>
              </w:rPr>
              <w:tab/>
            </w:r>
            <w:r w:rsidR="00BA66CC" w:rsidRPr="007C4632">
              <w:rPr>
                <w:rStyle w:val="Hyperlink"/>
                <w:rFonts w:eastAsiaTheme="majorEastAsia"/>
                <w:noProof/>
                <w:shd w:val="clear" w:color="auto" w:fill="FFFFFF"/>
              </w:rPr>
              <w:t>Le traitement des déchets</w:t>
            </w:r>
            <w:r w:rsidR="00BA66CC">
              <w:rPr>
                <w:noProof/>
                <w:webHidden/>
              </w:rPr>
              <w:tab/>
            </w:r>
            <w:r w:rsidR="00BA66CC">
              <w:rPr>
                <w:noProof/>
                <w:webHidden/>
              </w:rPr>
              <w:fldChar w:fldCharType="begin"/>
            </w:r>
            <w:r w:rsidR="00BA66CC">
              <w:rPr>
                <w:noProof/>
                <w:webHidden/>
              </w:rPr>
              <w:instrText xml:space="preserve"> PAGEREF _Toc138341945 \h </w:instrText>
            </w:r>
            <w:r w:rsidR="00BA66CC">
              <w:rPr>
                <w:noProof/>
                <w:webHidden/>
              </w:rPr>
            </w:r>
            <w:r w:rsidR="00BA66CC">
              <w:rPr>
                <w:noProof/>
                <w:webHidden/>
              </w:rPr>
              <w:fldChar w:fldCharType="separate"/>
            </w:r>
            <w:r w:rsidR="00BA66CC">
              <w:rPr>
                <w:noProof/>
                <w:webHidden/>
              </w:rPr>
              <w:t>21</w:t>
            </w:r>
            <w:r w:rsidR="00BA66CC">
              <w:rPr>
                <w:noProof/>
                <w:webHidden/>
              </w:rPr>
              <w:fldChar w:fldCharType="end"/>
            </w:r>
          </w:hyperlink>
        </w:p>
        <w:p w14:paraId="032E314E" w14:textId="6A6F7D1A" w:rsidR="00BA66CC" w:rsidRDefault="00697C78">
          <w:pPr>
            <w:pStyle w:val="TOC3"/>
            <w:tabs>
              <w:tab w:val="left" w:pos="1200"/>
              <w:tab w:val="right" w:leader="dot" w:pos="9940"/>
            </w:tabs>
            <w:rPr>
              <w:rFonts w:eastAsiaTheme="minorEastAsia" w:cstheme="minorBidi"/>
              <w:i w:val="0"/>
              <w:iCs w:val="0"/>
              <w:noProof/>
              <w:szCs w:val="22"/>
            </w:rPr>
          </w:pPr>
          <w:hyperlink w:anchor="_Toc138341946" w:history="1">
            <w:r w:rsidR="00BA66CC" w:rsidRPr="007C4632">
              <w:rPr>
                <w:rStyle w:val="Hyperlink"/>
                <w:rFonts w:ascii="Marianne" w:eastAsiaTheme="majorEastAsia" w:hAnsi="Marianne"/>
                <w:noProof/>
              </w:rPr>
              <w:t>C.7.</w:t>
            </w:r>
            <w:r w:rsidR="00BA66CC">
              <w:rPr>
                <w:rFonts w:eastAsiaTheme="minorEastAsia" w:cstheme="minorBidi"/>
                <w:i w:val="0"/>
                <w:iCs w:val="0"/>
                <w:noProof/>
                <w:szCs w:val="22"/>
              </w:rPr>
              <w:tab/>
            </w:r>
            <w:r w:rsidR="00BA66CC" w:rsidRPr="007C4632">
              <w:rPr>
                <w:rStyle w:val="Hyperlink"/>
                <w:rFonts w:eastAsiaTheme="majorEastAsia"/>
                <w:noProof/>
                <w:shd w:val="clear" w:color="auto" w:fill="FFFFFF"/>
              </w:rPr>
              <w:t>Les politiques et mesures transversales</w:t>
            </w:r>
            <w:r w:rsidR="00BA66CC">
              <w:rPr>
                <w:noProof/>
                <w:webHidden/>
              </w:rPr>
              <w:tab/>
            </w:r>
            <w:r w:rsidR="00BA66CC">
              <w:rPr>
                <w:noProof/>
                <w:webHidden/>
              </w:rPr>
              <w:fldChar w:fldCharType="begin"/>
            </w:r>
            <w:r w:rsidR="00BA66CC">
              <w:rPr>
                <w:noProof/>
                <w:webHidden/>
              </w:rPr>
              <w:instrText xml:space="preserve"> PAGEREF _Toc138341946 \h </w:instrText>
            </w:r>
            <w:r w:rsidR="00BA66CC">
              <w:rPr>
                <w:noProof/>
                <w:webHidden/>
              </w:rPr>
            </w:r>
            <w:r w:rsidR="00BA66CC">
              <w:rPr>
                <w:noProof/>
                <w:webHidden/>
              </w:rPr>
              <w:fldChar w:fldCharType="separate"/>
            </w:r>
            <w:r w:rsidR="00BA66CC">
              <w:rPr>
                <w:noProof/>
                <w:webHidden/>
              </w:rPr>
              <w:t>21</w:t>
            </w:r>
            <w:r w:rsidR="00BA66CC">
              <w:rPr>
                <w:noProof/>
                <w:webHidden/>
              </w:rPr>
              <w:fldChar w:fldCharType="end"/>
            </w:r>
          </w:hyperlink>
        </w:p>
        <w:p w14:paraId="1E261FF5" w14:textId="23789A04" w:rsidR="00BA66CC" w:rsidRDefault="00697C78">
          <w:pPr>
            <w:pStyle w:val="TOC3"/>
            <w:tabs>
              <w:tab w:val="left" w:pos="1200"/>
              <w:tab w:val="right" w:leader="dot" w:pos="9940"/>
            </w:tabs>
            <w:rPr>
              <w:rFonts w:eastAsiaTheme="minorEastAsia" w:cstheme="minorBidi"/>
              <w:i w:val="0"/>
              <w:iCs w:val="0"/>
              <w:noProof/>
              <w:szCs w:val="22"/>
            </w:rPr>
          </w:pPr>
          <w:hyperlink w:anchor="_Toc138341947" w:history="1">
            <w:r w:rsidR="00BA66CC" w:rsidRPr="007C4632">
              <w:rPr>
                <w:rStyle w:val="Hyperlink"/>
                <w:rFonts w:ascii="Marianne" w:eastAsiaTheme="majorEastAsia" w:hAnsi="Marianne"/>
                <w:noProof/>
              </w:rPr>
              <w:t>C.8.</w:t>
            </w:r>
            <w:r w:rsidR="00BA66CC">
              <w:rPr>
                <w:rFonts w:eastAsiaTheme="minorEastAsia" w:cstheme="minorBidi"/>
                <w:i w:val="0"/>
                <w:iCs w:val="0"/>
                <w:noProof/>
                <w:szCs w:val="22"/>
              </w:rPr>
              <w:tab/>
            </w:r>
            <w:r w:rsidR="00BA66CC" w:rsidRPr="007C4632">
              <w:rPr>
                <w:rStyle w:val="Hyperlink"/>
                <w:rFonts w:eastAsiaTheme="majorEastAsia"/>
                <w:noProof/>
                <w:shd w:val="clear" w:color="auto" w:fill="FFFFFF"/>
              </w:rPr>
              <w:t>Les politiques et mesures transversales sur les gaz fluorés</w:t>
            </w:r>
            <w:r w:rsidR="00BA66CC">
              <w:rPr>
                <w:noProof/>
                <w:webHidden/>
              </w:rPr>
              <w:tab/>
            </w:r>
            <w:r w:rsidR="00BA66CC">
              <w:rPr>
                <w:noProof/>
                <w:webHidden/>
              </w:rPr>
              <w:fldChar w:fldCharType="begin"/>
            </w:r>
            <w:r w:rsidR="00BA66CC">
              <w:rPr>
                <w:noProof/>
                <w:webHidden/>
              </w:rPr>
              <w:instrText xml:space="preserve"> PAGEREF _Toc138341947 \h </w:instrText>
            </w:r>
            <w:r w:rsidR="00BA66CC">
              <w:rPr>
                <w:noProof/>
                <w:webHidden/>
              </w:rPr>
            </w:r>
            <w:r w:rsidR="00BA66CC">
              <w:rPr>
                <w:noProof/>
                <w:webHidden/>
              </w:rPr>
              <w:fldChar w:fldCharType="separate"/>
            </w:r>
            <w:r w:rsidR="00BA66CC">
              <w:rPr>
                <w:noProof/>
                <w:webHidden/>
              </w:rPr>
              <w:t>21</w:t>
            </w:r>
            <w:r w:rsidR="00BA66CC">
              <w:rPr>
                <w:noProof/>
                <w:webHidden/>
              </w:rPr>
              <w:fldChar w:fldCharType="end"/>
            </w:r>
          </w:hyperlink>
        </w:p>
        <w:p w14:paraId="37A4AA56" w14:textId="20C8F41C" w:rsidR="00BA66CC" w:rsidRDefault="00697C78">
          <w:pPr>
            <w:pStyle w:val="TOC2"/>
            <w:tabs>
              <w:tab w:val="left" w:pos="800"/>
              <w:tab w:val="right" w:leader="dot" w:pos="9940"/>
            </w:tabs>
            <w:rPr>
              <w:rFonts w:eastAsiaTheme="minorEastAsia" w:cstheme="minorBidi"/>
              <w:smallCaps w:val="0"/>
              <w:noProof/>
              <w:szCs w:val="22"/>
            </w:rPr>
          </w:pPr>
          <w:hyperlink w:anchor="_Toc138341948"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Projection d’émissions de GES et quantification de l’impact des politiques et mesures</w:t>
            </w:r>
            <w:r w:rsidR="00BA66CC">
              <w:rPr>
                <w:noProof/>
                <w:webHidden/>
              </w:rPr>
              <w:tab/>
            </w:r>
            <w:r w:rsidR="00BA66CC">
              <w:rPr>
                <w:noProof/>
                <w:webHidden/>
              </w:rPr>
              <w:fldChar w:fldCharType="begin"/>
            </w:r>
            <w:r w:rsidR="00BA66CC">
              <w:rPr>
                <w:noProof/>
                <w:webHidden/>
              </w:rPr>
              <w:instrText xml:space="preserve"> PAGEREF _Toc138341948 \h </w:instrText>
            </w:r>
            <w:r w:rsidR="00BA66CC">
              <w:rPr>
                <w:noProof/>
                <w:webHidden/>
              </w:rPr>
            </w:r>
            <w:r w:rsidR="00BA66CC">
              <w:rPr>
                <w:noProof/>
                <w:webHidden/>
              </w:rPr>
              <w:fldChar w:fldCharType="separate"/>
            </w:r>
            <w:r w:rsidR="00BA66CC">
              <w:rPr>
                <w:noProof/>
                <w:webHidden/>
              </w:rPr>
              <w:t>21</w:t>
            </w:r>
            <w:r w:rsidR="00BA66CC">
              <w:rPr>
                <w:noProof/>
                <w:webHidden/>
              </w:rPr>
              <w:fldChar w:fldCharType="end"/>
            </w:r>
          </w:hyperlink>
        </w:p>
        <w:p w14:paraId="432775CA" w14:textId="1FEA3927" w:rsidR="00BA66CC" w:rsidRDefault="00697C78">
          <w:pPr>
            <w:pStyle w:val="TOC3"/>
            <w:tabs>
              <w:tab w:val="left" w:pos="1200"/>
              <w:tab w:val="right" w:leader="dot" w:pos="9940"/>
            </w:tabs>
            <w:rPr>
              <w:rFonts w:eastAsiaTheme="minorEastAsia" w:cstheme="minorBidi"/>
              <w:i w:val="0"/>
              <w:iCs w:val="0"/>
              <w:noProof/>
              <w:szCs w:val="22"/>
            </w:rPr>
          </w:pPr>
          <w:hyperlink w:anchor="_Toc138341949" w:history="1">
            <w:r w:rsidR="00BA66CC" w:rsidRPr="007C4632">
              <w:rPr>
                <w:rStyle w:val="Hyperlink"/>
                <w:rFonts w:ascii="Marianne" w:eastAsiaTheme="majorEastAsia" w:hAnsi="Marianne"/>
                <w:noProof/>
              </w:rPr>
              <w:t>D.1.</w:t>
            </w:r>
            <w:r w:rsidR="00BA66CC">
              <w:rPr>
                <w:rFonts w:eastAsiaTheme="minorEastAsia" w:cstheme="minorBidi"/>
                <w:i w:val="0"/>
                <w:iCs w:val="0"/>
                <w:noProof/>
                <w:szCs w:val="22"/>
              </w:rPr>
              <w:tab/>
            </w:r>
            <w:r w:rsidR="00BA66CC" w:rsidRPr="007C4632">
              <w:rPr>
                <w:rStyle w:val="Hyperlink"/>
                <w:rFonts w:eastAsiaTheme="majorEastAsia"/>
                <w:noProof/>
              </w:rPr>
              <w:t>Mise à jour des scénarios AME et AMS</w:t>
            </w:r>
            <w:r w:rsidR="00BA66CC">
              <w:rPr>
                <w:noProof/>
                <w:webHidden/>
              </w:rPr>
              <w:tab/>
            </w:r>
            <w:r w:rsidR="00BA66CC">
              <w:rPr>
                <w:noProof/>
                <w:webHidden/>
              </w:rPr>
              <w:fldChar w:fldCharType="begin"/>
            </w:r>
            <w:r w:rsidR="00BA66CC">
              <w:rPr>
                <w:noProof/>
                <w:webHidden/>
              </w:rPr>
              <w:instrText xml:space="preserve"> PAGEREF _Toc138341949 \h </w:instrText>
            </w:r>
            <w:r w:rsidR="00BA66CC">
              <w:rPr>
                <w:noProof/>
                <w:webHidden/>
              </w:rPr>
            </w:r>
            <w:r w:rsidR="00BA66CC">
              <w:rPr>
                <w:noProof/>
                <w:webHidden/>
              </w:rPr>
              <w:fldChar w:fldCharType="separate"/>
            </w:r>
            <w:r w:rsidR="00BA66CC">
              <w:rPr>
                <w:noProof/>
                <w:webHidden/>
              </w:rPr>
              <w:t>21</w:t>
            </w:r>
            <w:r w:rsidR="00BA66CC">
              <w:rPr>
                <w:noProof/>
                <w:webHidden/>
              </w:rPr>
              <w:fldChar w:fldCharType="end"/>
            </w:r>
          </w:hyperlink>
        </w:p>
        <w:p w14:paraId="5BDEAA56" w14:textId="2EDB6D16" w:rsidR="00BA66CC" w:rsidRDefault="00697C78">
          <w:pPr>
            <w:pStyle w:val="TOC3"/>
            <w:tabs>
              <w:tab w:val="left" w:pos="1200"/>
              <w:tab w:val="right" w:leader="dot" w:pos="9940"/>
            </w:tabs>
            <w:rPr>
              <w:rFonts w:eastAsiaTheme="minorEastAsia" w:cstheme="minorBidi"/>
              <w:i w:val="0"/>
              <w:iCs w:val="0"/>
              <w:noProof/>
              <w:szCs w:val="22"/>
            </w:rPr>
          </w:pPr>
          <w:hyperlink w:anchor="_Toc138341950" w:history="1">
            <w:r w:rsidR="00BA66CC" w:rsidRPr="007C4632">
              <w:rPr>
                <w:rStyle w:val="Hyperlink"/>
                <w:rFonts w:ascii="Marianne" w:eastAsiaTheme="majorEastAsia" w:hAnsi="Marianne"/>
                <w:noProof/>
              </w:rPr>
              <w:t>D.2.</w:t>
            </w:r>
            <w:r w:rsidR="00BA66CC">
              <w:rPr>
                <w:rFonts w:eastAsiaTheme="minorEastAsia" w:cstheme="minorBidi"/>
                <w:i w:val="0"/>
                <w:iCs w:val="0"/>
                <w:noProof/>
                <w:szCs w:val="22"/>
              </w:rPr>
              <w:tab/>
            </w:r>
            <w:r w:rsidR="00BA66CC" w:rsidRPr="007C4632">
              <w:rPr>
                <w:rStyle w:val="Hyperlink"/>
                <w:rFonts w:eastAsiaTheme="majorEastAsia"/>
                <w:noProof/>
              </w:rPr>
              <w:t>Présentation des résultats</w:t>
            </w:r>
            <w:r w:rsidR="00BA66CC">
              <w:rPr>
                <w:noProof/>
                <w:webHidden/>
              </w:rPr>
              <w:tab/>
            </w:r>
            <w:r w:rsidR="00BA66CC">
              <w:rPr>
                <w:noProof/>
                <w:webHidden/>
              </w:rPr>
              <w:fldChar w:fldCharType="begin"/>
            </w:r>
            <w:r w:rsidR="00BA66CC">
              <w:rPr>
                <w:noProof/>
                <w:webHidden/>
              </w:rPr>
              <w:instrText xml:space="preserve"> PAGEREF _Toc138341950 \h </w:instrText>
            </w:r>
            <w:r w:rsidR="00BA66CC">
              <w:rPr>
                <w:noProof/>
                <w:webHidden/>
              </w:rPr>
            </w:r>
            <w:r w:rsidR="00BA66CC">
              <w:rPr>
                <w:noProof/>
                <w:webHidden/>
              </w:rPr>
              <w:fldChar w:fldCharType="separate"/>
            </w:r>
            <w:r w:rsidR="00BA66CC">
              <w:rPr>
                <w:noProof/>
                <w:webHidden/>
              </w:rPr>
              <w:t>22</w:t>
            </w:r>
            <w:r w:rsidR="00BA66CC">
              <w:rPr>
                <w:noProof/>
                <w:webHidden/>
              </w:rPr>
              <w:fldChar w:fldCharType="end"/>
            </w:r>
          </w:hyperlink>
        </w:p>
        <w:p w14:paraId="08398AEC" w14:textId="3D1AD672" w:rsidR="00BA66CC" w:rsidRDefault="00697C78">
          <w:pPr>
            <w:pStyle w:val="TOC2"/>
            <w:tabs>
              <w:tab w:val="left" w:pos="600"/>
              <w:tab w:val="right" w:leader="dot" w:pos="9940"/>
            </w:tabs>
            <w:rPr>
              <w:rFonts w:eastAsiaTheme="minorEastAsia" w:cstheme="minorBidi"/>
              <w:smallCaps w:val="0"/>
              <w:noProof/>
              <w:szCs w:val="22"/>
            </w:rPr>
          </w:pPr>
          <w:hyperlink w:anchor="_Toc138341951" w:history="1">
            <w:r w:rsidR="00BA66CC" w:rsidRPr="007C4632">
              <w:rPr>
                <w:rStyle w:val="Hyperlink"/>
                <w:rFonts w:eastAsiaTheme="majorEastAsia"/>
                <w:noProof/>
              </w:rPr>
              <w:t>E.</w:t>
            </w:r>
            <w:r w:rsidR="00BA66CC">
              <w:rPr>
                <w:rFonts w:eastAsiaTheme="minorEastAsia" w:cstheme="minorBidi"/>
                <w:smallCaps w:val="0"/>
                <w:noProof/>
                <w:szCs w:val="22"/>
              </w:rPr>
              <w:tab/>
            </w:r>
            <w:r w:rsidR="00BA66CC" w:rsidRPr="007C4632">
              <w:rPr>
                <w:rStyle w:val="Hyperlink"/>
                <w:rFonts w:eastAsiaTheme="majorEastAsia"/>
                <w:noProof/>
              </w:rPr>
              <w:t>Impacts, vulnérabilité et adaptation</w:t>
            </w:r>
            <w:r w:rsidR="00BA66CC">
              <w:rPr>
                <w:noProof/>
                <w:webHidden/>
              </w:rPr>
              <w:tab/>
            </w:r>
            <w:r w:rsidR="00BA66CC">
              <w:rPr>
                <w:noProof/>
                <w:webHidden/>
              </w:rPr>
              <w:fldChar w:fldCharType="begin"/>
            </w:r>
            <w:r w:rsidR="00BA66CC">
              <w:rPr>
                <w:noProof/>
                <w:webHidden/>
              </w:rPr>
              <w:instrText xml:space="preserve"> PAGEREF _Toc138341951 \h </w:instrText>
            </w:r>
            <w:r w:rsidR="00BA66CC">
              <w:rPr>
                <w:noProof/>
                <w:webHidden/>
              </w:rPr>
            </w:r>
            <w:r w:rsidR="00BA66CC">
              <w:rPr>
                <w:noProof/>
                <w:webHidden/>
              </w:rPr>
              <w:fldChar w:fldCharType="separate"/>
            </w:r>
            <w:r w:rsidR="00BA66CC">
              <w:rPr>
                <w:noProof/>
                <w:webHidden/>
              </w:rPr>
              <w:t>23</w:t>
            </w:r>
            <w:r w:rsidR="00BA66CC">
              <w:rPr>
                <w:noProof/>
                <w:webHidden/>
              </w:rPr>
              <w:fldChar w:fldCharType="end"/>
            </w:r>
          </w:hyperlink>
        </w:p>
        <w:p w14:paraId="229345DF" w14:textId="1DD7046E" w:rsidR="00BA66CC" w:rsidRDefault="00697C78">
          <w:pPr>
            <w:pStyle w:val="TOC3"/>
            <w:tabs>
              <w:tab w:val="left" w:pos="1000"/>
              <w:tab w:val="right" w:leader="dot" w:pos="9940"/>
            </w:tabs>
            <w:rPr>
              <w:rFonts w:eastAsiaTheme="minorEastAsia" w:cstheme="minorBidi"/>
              <w:i w:val="0"/>
              <w:iCs w:val="0"/>
              <w:noProof/>
              <w:szCs w:val="22"/>
            </w:rPr>
          </w:pPr>
          <w:hyperlink w:anchor="_Toc138341952" w:history="1">
            <w:r w:rsidR="00BA66CC" w:rsidRPr="007C4632">
              <w:rPr>
                <w:rStyle w:val="Hyperlink"/>
                <w:rFonts w:ascii="Marianne" w:eastAsiaTheme="majorEastAsia" w:hAnsi="Marianne"/>
                <w:noProof/>
              </w:rPr>
              <w:t>E.1.</w:t>
            </w:r>
            <w:r w:rsidR="00BA66CC">
              <w:rPr>
                <w:rFonts w:eastAsiaTheme="minorEastAsia" w:cstheme="minorBidi"/>
                <w:i w:val="0"/>
                <w:iCs w:val="0"/>
                <w:noProof/>
                <w:szCs w:val="22"/>
              </w:rPr>
              <w:tab/>
            </w:r>
            <w:r w:rsidR="00BA66CC" w:rsidRPr="007C4632">
              <w:rPr>
                <w:rStyle w:val="Hyperlink"/>
                <w:rFonts w:eastAsiaTheme="majorEastAsia"/>
                <w:noProof/>
              </w:rPr>
              <w:t>Les impacts du changement climatique</w:t>
            </w:r>
            <w:r w:rsidR="00BA66CC">
              <w:rPr>
                <w:noProof/>
                <w:webHidden/>
              </w:rPr>
              <w:tab/>
            </w:r>
            <w:r w:rsidR="00BA66CC">
              <w:rPr>
                <w:noProof/>
                <w:webHidden/>
              </w:rPr>
              <w:fldChar w:fldCharType="begin"/>
            </w:r>
            <w:r w:rsidR="00BA66CC">
              <w:rPr>
                <w:noProof/>
                <w:webHidden/>
              </w:rPr>
              <w:instrText xml:space="preserve"> PAGEREF _Toc138341952 \h </w:instrText>
            </w:r>
            <w:r w:rsidR="00BA66CC">
              <w:rPr>
                <w:noProof/>
                <w:webHidden/>
              </w:rPr>
            </w:r>
            <w:r w:rsidR="00BA66CC">
              <w:rPr>
                <w:noProof/>
                <w:webHidden/>
              </w:rPr>
              <w:fldChar w:fldCharType="separate"/>
            </w:r>
            <w:r w:rsidR="00BA66CC">
              <w:rPr>
                <w:noProof/>
                <w:webHidden/>
              </w:rPr>
              <w:t>23</w:t>
            </w:r>
            <w:r w:rsidR="00BA66CC">
              <w:rPr>
                <w:noProof/>
                <w:webHidden/>
              </w:rPr>
              <w:fldChar w:fldCharType="end"/>
            </w:r>
          </w:hyperlink>
        </w:p>
        <w:p w14:paraId="06EC3017" w14:textId="548E4009" w:rsidR="00BA66CC" w:rsidRDefault="00697C78">
          <w:pPr>
            <w:pStyle w:val="TOC3"/>
            <w:tabs>
              <w:tab w:val="left" w:pos="1000"/>
              <w:tab w:val="right" w:leader="dot" w:pos="9940"/>
            </w:tabs>
            <w:rPr>
              <w:rFonts w:eastAsiaTheme="minorEastAsia" w:cstheme="minorBidi"/>
              <w:i w:val="0"/>
              <w:iCs w:val="0"/>
              <w:noProof/>
              <w:szCs w:val="22"/>
            </w:rPr>
          </w:pPr>
          <w:hyperlink w:anchor="_Toc138341953" w:history="1">
            <w:r w:rsidR="00BA66CC" w:rsidRPr="007C4632">
              <w:rPr>
                <w:rStyle w:val="Hyperlink"/>
                <w:rFonts w:ascii="Marianne" w:eastAsiaTheme="majorEastAsia" w:hAnsi="Marianne"/>
                <w:noProof/>
              </w:rPr>
              <w:t>E.2.</w:t>
            </w:r>
            <w:r w:rsidR="00BA66CC">
              <w:rPr>
                <w:rFonts w:eastAsiaTheme="minorEastAsia" w:cstheme="minorBidi"/>
                <w:i w:val="0"/>
                <w:iCs w:val="0"/>
                <w:noProof/>
                <w:szCs w:val="22"/>
              </w:rPr>
              <w:tab/>
            </w:r>
            <w:r w:rsidR="00BA66CC" w:rsidRPr="007C4632">
              <w:rPr>
                <w:rStyle w:val="Hyperlink"/>
                <w:rFonts w:eastAsiaTheme="majorEastAsia"/>
                <w:noProof/>
              </w:rPr>
              <w:t>Les incidences prévues du changement climatique</w:t>
            </w:r>
            <w:r w:rsidR="00BA66CC">
              <w:rPr>
                <w:noProof/>
                <w:webHidden/>
              </w:rPr>
              <w:tab/>
            </w:r>
            <w:r w:rsidR="00BA66CC">
              <w:rPr>
                <w:noProof/>
                <w:webHidden/>
              </w:rPr>
              <w:fldChar w:fldCharType="begin"/>
            </w:r>
            <w:r w:rsidR="00BA66CC">
              <w:rPr>
                <w:noProof/>
                <w:webHidden/>
              </w:rPr>
              <w:instrText xml:space="preserve"> PAGEREF _Toc138341953 \h </w:instrText>
            </w:r>
            <w:r w:rsidR="00BA66CC">
              <w:rPr>
                <w:noProof/>
                <w:webHidden/>
              </w:rPr>
            </w:r>
            <w:r w:rsidR="00BA66CC">
              <w:rPr>
                <w:noProof/>
                <w:webHidden/>
              </w:rPr>
              <w:fldChar w:fldCharType="separate"/>
            </w:r>
            <w:r w:rsidR="00BA66CC">
              <w:rPr>
                <w:noProof/>
                <w:webHidden/>
              </w:rPr>
              <w:t>24</w:t>
            </w:r>
            <w:r w:rsidR="00BA66CC">
              <w:rPr>
                <w:noProof/>
                <w:webHidden/>
              </w:rPr>
              <w:fldChar w:fldCharType="end"/>
            </w:r>
          </w:hyperlink>
        </w:p>
        <w:p w14:paraId="2DFD9F0C" w14:textId="36BFDEF5" w:rsidR="00BA66CC" w:rsidRDefault="00697C78">
          <w:pPr>
            <w:pStyle w:val="TOC3"/>
            <w:tabs>
              <w:tab w:val="left" w:pos="1000"/>
              <w:tab w:val="right" w:leader="dot" w:pos="9940"/>
            </w:tabs>
            <w:rPr>
              <w:rFonts w:eastAsiaTheme="minorEastAsia" w:cstheme="minorBidi"/>
              <w:i w:val="0"/>
              <w:iCs w:val="0"/>
              <w:noProof/>
              <w:szCs w:val="22"/>
            </w:rPr>
          </w:pPr>
          <w:hyperlink w:anchor="_Toc138341954" w:history="1">
            <w:r w:rsidR="00BA66CC" w:rsidRPr="007C4632">
              <w:rPr>
                <w:rStyle w:val="Hyperlink"/>
                <w:rFonts w:ascii="Marianne" w:eastAsiaTheme="majorEastAsia" w:hAnsi="Marianne"/>
                <w:noProof/>
              </w:rPr>
              <w:t>E.3.</w:t>
            </w:r>
            <w:r w:rsidR="00BA66CC">
              <w:rPr>
                <w:rFonts w:eastAsiaTheme="minorEastAsia" w:cstheme="minorBidi"/>
                <w:i w:val="0"/>
                <w:iCs w:val="0"/>
                <w:noProof/>
                <w:szCs w:val="22"/>
              </w:rPr>
              <w:tab/>
            </w:r>
            <w:r w:rsidR="00BA66CC" w:rsidRPr="007C4632">
              <w:rPr>
                <w:rStyle w:val="Hyperlink"/>
                <w:rFonts w:eastAsiaTheme="majorEastAsia"/>
                <w:noProof/>
              </w:rPr>
              <w:t>L’Adaptation</w:t>
            </w:r>
            <w:r w:rsidR="00BA66CC">
              <w:rPr>
                <w:noProof/>
                <w:webHidden/>
              </w:rPr>
              <w:tab/>
            </w:r>
            <w:r w:rsidR="00BA66CC">
              <w:rPr>
                <w:noProof/>
                <w:webHidden/>
              </w:rPr>
              <w:fldChar w:fldCharType="begin"/>
            </w:r>
            <w:r w:rsidR="00BA66CC">
              <w:rPr>
                <w:noProof/>
                <w:webHidden/>
              </w:rPr>
              <w:instrText xml:space="preserve"> PAGEREF _Toc138341954 \h </w:instrText>
            </w:r>
            <w:r w:rsidR="00BA66CC">
              <w:rPr>
                <w:noProof/>
                <w:webHidden/>
              </w:rPr>
            </w:r>
            <w:r w:rsidR="00BA66CC">
              <w:rPr>
                <w:noProof/>
                <w:webHidden/>
              </w:rPr>
              <w:fldChar w:fldCharType="separate"/>
            </w:r>
            <w:r w:rsidR="00BA66CC">
              <w:rPr>
                <w:noProof/>
                <w:webHidden/>
              </w:rPr>
              <w:t>24</w:t>
            </w:r>
            <w:r w:rsidR="00BA66CC">
              <w:rPr>
                <w:noProof/>
                <w:webHidden/>
              </w:rPr>
              <w:fldChar w:fldCharType="end"/>
            </w:r>
          </w:hyperlink>
        </w:p>
        <w:p w14:paraId="75CB6E24" w14:textId="4E6AC7E7" w:rsidR="00BA66CC" w:rsidRDefault="00697C78">
          <w:pPr>
            <w:pStyle w:val="TOC2"/>
            <w:tabs>
              <w:tab w:val="left" w:pos="600"/>
              <w:tab w:val="right" w:leader="dot" w:pos="9940"/>
            </w:tabs>
            <w:rPr>
              <w:rFonts w:eastAsiaTheme="minorEastAsia" w:cstheme="minorBidi"/>
              <w:smallCaps w:val="0"/>
              <w:noProof/>
              <w:szCs w:val="22"/>
            </w:rPr>
          </w:pPr>
          <w:hyperlink w:anchor="_Toc138341955" w:history="1">
            <w:r w:rsidR="00BA66CC" w:rsidRPr="007C4632">
              <w:rPr>
                <w:rStyle w:val="Hyperlink"/>
                <w:rFonts w:eastAsiaTheme="majorEastAsia"/>
                <w:noProof/>
              </w:rPr>
              <w:t>F.</w:t>
            </w:r>
            <w:r w:rsidR="00BA66CC">
              <w:rPr>
                <w:rFonts w:eastAsiaTheme="minorEastAsia" w:cstheme="minorBidi"/>
                <w:smallCaps w:val="0"/>
                <w:noProof/>
                <w:szCs w:val="22"/>
              </w:rPr>
              <w:tab/>
            </w:r>
            <w:r w:rsidR="00BA66CC" w:rsidRPr="007C4632">
              <w:rPr>
                <w:rStyle w:val="Hyperlink"/>
                <w:rFonts w:eastAsiaTheme="majorEastAsia"/>
                <w:noProof/>
              </w:rPr>
              <w:t>Ressources financières et transferts de technologie</w:t>
            </w:r>
            <w:r w:rsidR="00BA66CC">
              <w:rPr>
                <w:noProof/>
                <w:webHidden/>
              </w:rPr>
              <w:tab/>
            </w:r>
            <w:r w:rsidR="00BA66CC">
              <w:rPr>
                <w:noProof/>
                <w:webHidden/>
              </w:rPr>
              <w:fldChar w:fldCharType="begin"/>
            </w:r>
            <w:r w:rsidR="00BA66CC">
              <w:rPr>
                <w:noProof/>
                <w:webHidden/>
              </w:rPr>
              <w:instrText xml:space="preserve"> PAGEREF _Toc138341955 \h </w:instrText>
            </w:r>
            <w:r w:rsidR="00BA66CC">
              <w:rPr>
                <w:noProof/>
                <w:webHidden/>
              </w:rPr>
            </w:r>
            <w:r w:rsidR="00BA66CC">
              <w:rPr>
                <w:noProof/>
                <w:webHidden/>
              </w:rPr>
              <w:fldChar w:fldCharType="separate"/>
            </w:r>
            <w:r w:rsidR="00BA66CC">
              <w:rPr>
                <w:noProof/>
                <w:webHidden/>
              </w:rPr>
              <w:t>24</w:t>
            </w:r>
            <w:r w:rsidR="00BA66CC">
              <w:rPr>
                <w:noProof/>
                <w:webHidden/>
              </w:rPr>
              <w:fldChar w:fldCharType="end"/>
            </w:r>
          </w:hyperlink>
        </w:p>
        <w:p w14:paraId="184D52AB" w14:textId="29341530" w:rsidR="00BA66CC" w:rsidRDefault="00697C78">
          <w:pPr>
            <w:pStyle w:val="TOC3"/>
            <w:tabs>
              <w:tab w:val="left" w:pos="1000"/>
              <w:tab w:val="right" w:leader="dot" w:pos="9940"/>
            </w:tabs>
            <w:rPr>
              <w:rFonts w:eastAsiaTheme="minorEastAsia" w:cstheme="minorBidi"/>
              <w:i w:val="0"/>
              <w:iCs w:val="0"/>
              <w:noProof/>
              <w:szCs w:val="22"/>
            </w:rPr>
          </w:pPr>
          <w:hyperlink w:anchor="_Toc138341956" w:history="1">
            <w:r w:rsidR="00BA66CC" w:rsidRPr="007C4632">
              <w:rPr>
                <w:rStyle w:val="Hyperlink"/>
                <w:rFonts w:ascii="Marianne" w:eastAsiaTheme="majorEastAsia" w:hAnsi="Marianne"/>
                <w:noProof/>
              </w:rPr>
              <w:t>F.1.</w:t>
            </w:r>
            <w:r w:rsidR="00BA66CC">
              <w:rPr>
                <w:rFonts w:eastAsiaTheme="minorEastAsia" w:cstheme="minorBidi"/>
                <w:i w:val="0"/>
                <w:iCs w:val="0"/>
                <w:noProof/>
                <w:szCs w:val="22"/>
              </w:rPr>
              <w:tab/>
            </w:r>
            <w:r w:rsidR="00BA66CC" w:rsidRPr="007C4632">
              <w:rPr>
                <w:rStyle w:val="Hyperlink"/>
                <w:rFonts w:eastAsiaTheme="majorEastAsia"/>
                <w:noProof/>
              </w:rPr>
              <w:t>L’aide publique au développement/la coopération bilatérale</w:t>
            </w:r>
            <w:r w:rsidR="00BA66CC">
              <w:rPr>
                <w:noProof/>
                <w:webHidden/>
              </w:rPr>
              <w:tab/>
            </w:r>
            <w:r w:rsidR="00BA66CC">
              <w:rPr>
                <w:noProof/>
                <w:webHidden/>
              </w:rPr>
              <w:fldChar w:fldCharType="begin"/>
            </w:r>
            <w:r w:rsidR="00BA66CC">
              <w:rPr>
                <w:noProof/>
                <w:webHidden/>
              </w:rPr>
              <w:instrText xml:space="preserve"> PAGEREF _Toc138341956 \h </w:instrText>
            </w:r>
            <w:r w:rsidR="00BA66CC">
              <w:rPr>
                <w:noProof/>
                <w:webHidden/>
              </w:rPr>
            </w:r>
            <w:r w:rsidR="00BA66CC">
              <w:rPr>
                <w:noProof/>
                <w:webHidden/>
              </w:rPr>
              <w:fldChar w:fldCharType="separate"/>
            </w:r>
            <w:r w:rsidR="00BA66CC">
              <w:rPr>
                <w:noProof/>
                <w:webHidden/>
              </w:rPr>
              <w:t>25</w:t>
            </w:r>
            <w:r w:rsidR="00BA66CC">
              <w:rPr>
                <w:noProof/>
                <w:webHidden/>
              </w:rPr>
              <w:fldChar w:fldCharType="end"/>
            </w:r>
          </w:hyperlink>
        </w:p>
        <w:p w14:paraId="696919B3" w14:textId="0355846F" w:rsidR="00BA66CC" w:rsidRDefault="00697C78">
          <w:pPr>
            <w:pStyle w:val="TOC3"/>
            <w:tabs>
              <w:tab w:val="left" w:pos="1000"/>
              <w:tab w:val="right" w:leader="dot" w:pos="9940"/>
            </w:tabs>
            <w:rPr>
              <w:rFonts w:eastAsiaTheme="minorEastAsia" w:cstheme="minorBidi"/>
              <w:i w:val="0"/>
              <w:iCs w:val="0"/>
              <w:noProof/>
              <w:szCs w:val="22"/>
            </w:rPr>
          </w:pPr>
          <w:hyperlink w:anchor="_Toc138341957" w:history="1">
            <w:r w:rsidR="00BA66CC" w:rsidRPr="007C4632">
              <w:rPr>
                <w:rStyle w:val="Hyperlink"/>
                <w:rFonts w:ascii="Marianne" w:eastAsiaTheme="majorEastAsia" w:hAnsi="Marianne"/>
                <w:noProof/>
              </w:rPr>
              <w:t>F.2.</w:t>
            </w:r>
            <w:r w:rsidR="00BA66CC">
              <w:rPr>
                <w:rFonts w:eastAsiaTheme="minorEastAsia" w:cstheme="minorBidi"/>
                <w:i w:val="0"/>
                <w:iCs w:val="0"/>
                <w:noProof/>
                <w:szCs w:val="22"/>
              </w:rPr>
              <w:tab/>
            </w:r>
            <w:r w:rsidR="00BA66CC" w:rsidRPr="007C4632">
              <w:rPr>
                <w:rStyle w:val="Hyperlink"/>
                <w:rFonts w:eastAsiaTheme="majorEastAsia"/>
                <w:noProof/>
              </w:rPr>
              <w:t>L’aide publique au développement/la coopération multilatérale</w:t>
            </w:r>
            <w:r w:rsidR="00BA66CC">
              <w:rPr>
                <w:noProof/>
                <w:webHidden/>
              </w:rPr>
              <w:tab/>
            </w:r>
            <w:r w:rsidR="00BA66CC">
              <w:rPr>
                <w:noProof/>
                <w:webHidden/>
              </w:rPr>
              <w:fldChar w:fldCharType="begin"/>
            </w:r>
            <w:r w:rsidR="00BA66CC">
              <w:rPr>
                <w:noProof/>
                <w:webHidden/>
              </w:rPr>
              <w:instrText xml:space="preserve"> PAGEREF _Toc138341957 \h </w:instrText>
            </w:r>
            <w:r w:rsidR="00BA66CC">
              <w:rPr>
                <w:noProof/>
                <w:webHidden/>
              </w:rPr>
            </w:r>
            <w:r w:rsidR="00BA66CC">
              <w:rPr>
                <w:noProof/>
                <w:webHidden/>
              </w:rPr>
              <w:fldChar w:fldCharType="separate"/>
            </w:r>
            <w:r w:rsidR="00BA66CC">
              <w:rPr>
                <w:noProof/>
                <w:webHidden/>
              </w:rPr>
              <w:t>25</w:t>
            </w:r>
            <w:r w:rsidR="00BA66CC">
              <w:rPr>
                <w:noProof/>
                <w:webHidden/>
              </w:rPr>
              <w:fldChar w:fldCharType="end"/>
            </w:r>
          </w:hyperlink>
        </w:p>
        <w:p w14:paraId="000BCEFC" w14:textId="40301DEA" w:rsidR="00BA66CC" w:rsidRDefault="00697C78">
          <w:pPr>
            <w:pStyle w:val="TOC3"/>
            <w:tabs>
              <w:tab w:val="left" w:pos="1000"/>
              <w:tab w:val="right" w:leader="dot" w:pos="9940"/>
            </w:tabs>
            <w:rPr>
              <w:rFonts w:eastAsiaTheme="minorEastAsia" w:cstheme="minorBidi"/>
              <w:i w:val="0"/>
              <w:iCs w:val="0"/>
              <w:noProof/>
              <w:szCs w:val="22"/>
            </w:rPr>
          </w:pPr>
          <w:hyperlink w:anchor="_Toc138341958" w:history="1">
            <w:r w:rsidR="00BA66CC" w:rsidRPr="007C4632">
              <w:rPr>
                <w:rStyle w:val="Hyperlink"/>
                <w:rFonts w:ascii="Marianne" w:eastAsiaTheme="majorEastAsia" w:hAnsi="Marianne"/>
                <w:noProof/>
              </w:rPr>
              <w:t>F.3.</w:t>
            </w:r>
            <w:r w:rsidR="00BA66CC">
              <w:rPr>
                <w:rFonts w:eastAsiaTheme="minorEastAsia" w:cstheme="minorBidi"/>
                <w:i w:val="0"/>
                <w:iCs w:val="0"/>
                <w:noProof/>
                <w:szCs w:val="22"/>
              </w:rPr>
              <w:tab/>
            </w:r>
            <w:r w:rsidR="00BA66CC" w:rsidRPr="007C4632">
              <w:rPr>
                <w:rStyle w:val="Hyperlink"/>
                <w:rFonts w:eastAsiaTheme="majorEastAsia"/>
                <w:noProof/>
              </w:rPr>
              <w:t>La coopération technologique</w:t>
            </w:r>
            <w:r w:rsidR="00BA66CC">
              <w:rPr>
                <w:noProof/>
                <w:webHidden/>
              </w:rPr>
              <w:tab/>
            </w:r>
            <w:r w:rsidR="00BA66CC">
              <w:rPr>
                <w:noProof/>
                <w:webHidden/>
              </w:rPr>
              <w:fldChar w:fldCharType="begin"/>
            </w:r>
            <w:r w:rsidR="00BA66CC">
              <w:rPr>
                <w:noProof/>
                <w:webHidden/>
              </w:rPr>
              <w:instrText xml:space="preserve"> PAGEREF _Toc138341958 \h </w:instrText>
            </w:r>
            <w:r w:rsidR="00BA66CC">
              <w:rPr>
                <w:noProof/>
                <w:webHidden/>
              </w:rPr>
            </w:r>
            <w:r w:rsidR="00BA66CC">
              <w:rPr>
                <w:noProof/>
                <w:webHidden/>
              </w:rPr>
              <w:fldChar w:fldCharType="separate"/>
            </w:r>
            <w:r w:rsidR="00BA66CC">
              <w:rPr>
                <w:noProof/>
                <w:webHidden/>
              </w:rPr>
              <w:t>26</w:t>
            </w:r>
            <w:r w:rsidR="00BA66CC">
              <w:rPr>
                <w:noProof/>
                <w:webHidden/>
              </w:rPr>
              <w:fldChar w:fldCharType="end"/>
            </w:r>
          </w:hyperlink>
        </w:p>
        <w:p w14:paraId="60103CB0" w14:textId="4DA94399" w:rsidR="00BA66CC" w:rsidRDefault="00697C78">
          <w:pPr>
            <w:pStyle w:val="TOC3"/>
            <w:tabs>
              <w:tab w:val="left" w:pos="1000"/>
              <w:tab w:val="right" w:leader="dot" w:pos="9940"/>
            </w:tabs>
            <w:rPr>
              <w:rFonts w:eastAsiaTheme="minorEastAsia" w:cstheme="minorBidi"/>
              <w:i w:val="0"/>
              <w:iCs w:val="0"/>
              <w:noProof/>
              <w:szCs w:val="22"/>
            </w:rPr>
          </w:pPr>
          <w:hyperlink w:anchor="_Toc138341959" w:history="1">
            <w:r w:rsidR="00BA66CC" w:rsidRPr="007C4632">
              <w:rPr>
                <w:rStyle w:val="Hyperlink"/>
                <w:rFonts w:ascii="Marianne" w:eastAsiaTheme="majorEastAsia" w:hAnsi="Marianne"/>
                <w:noProof/>
              </w:rPr>
              <w:t>F.4.</w:t>
            </w:r>
            <w:r w:rsidR="00BA66CC">
              <w:rPr>
                <w:rFonts w:eastAsiaTheme="minorEastAsia" w:cstheme="minorBidi"/>
                <w:i w:val="0"/>
                <w:iCs w:val="0"/>
                <w:noProof/>
                <w:szCs w:val="22"/>
              </w:rPr>
              <w:tab/>
            </w:r>
            <w:r w:rsidR="00BA66CC" w:rsidRPr="007C4632">
              <w:rPr>
                <w:rStyle w:val="Hyperlink"/>
                <w:rFonts w:eastAsiaTheme="majorEastAsia"/>
                <w:noProof/>
              </w:rPr>
              <w:t>Renforcement des capacités</w:t>
            </w:r>
            <w:r w:rsidR="00BA66CC">
              <w:rPr>
                <w:noProof/>
                <w:webHidden/>
              </w:rPr>
              <w:tab/>
            </w:r>
            <w:r w:rsidR="00BA66CC">
              <w:rPr>
                <w:noProof/>
                <w:webHidden/>
              </w:rPr>
              <w:fldChar w:fldCharType="begin"/>
            </w:r>
            <w:r w:rsidR="00BA66CC">
              <w:rPr>
                <w:noProof/>
                <w:webHidden/>
              </w:rPr>
              <w:instrText xml:space="preserve"> PAGEREF _Toc138341959 \h </w:instrText>
            </w:r>
            <w:r w:rsidR="00BA66CC">
              <w:rPr>
                <w:noProof/>
                <w:webHidden/>
              </w:rPr>
            </w:r>
            <w:r w:rsidR="00BA66CC">
              <w:rPr>
                <w:noProof/>
                <w:webHidden/>
              </w:rPr>
              <w:fldChar w:fldCharType="separate"/>
            </w:r>
            <w:r w:rsidR="00BA66CC">
              <w:rPr>
                <w:noProof/>
                <w:webHidden/>
              </w:rPr>
              <w:t>27</w:t>
            </w:r>
            <w:r w:rsidR="00BA66CC">
              <w:rPr>
                <w:noProof/>
                <w:webHidden/>
              </w:rPr>
              <w:fldChar w:fldCharType="end"/>
            </w:r>
          </w:hyperlink>
        </w:p>
        <w:p w14:paraId="69F50D0B" w14:textId="355827A6" w:rsidR="00BA66CC" w:rsidRDefault="00697C78">
          <w:pPr>
            <w:pStyle w:val="TOC2"/>
            <w:tabs>
              <w:tab w:val="left" w:pos="800"/>
              <w:tab w:val="right" w:leader="dot" w:pos="9940"/>
            </w:tabs>
            <w:rPr>
              <w:rFonts w:eastAsiaTheme="minorEastAsia" w:cstheme="minorBidi"/>
              <w:smallCaps w:val="0"/>
              <w:noProof/>
              <w:szCs w:val="22"/>
            </w:rPr>
          </w:pPr>
          <w:hyperlink w:anchor="_Toc138341960" w:history="1">
            <w:r w:rsidR="00BA66CC" w:rsidRPr="007C4632">
              <w:rPr>
                <w:rStyle w:val="Hyperlink"/>
                <w:rFonts w:eastAsiaTheme="majorEastAsia"/>
                <w:noProof/>
              </w:rPr>
              <w:t>G.</w:t>
            </w:r>
            <w:r w:rsidR="00BA66CC">
              <w:rPr>
                <w:rFonts w:eastAsiaTheme="minorEastAsia" w:cstheme="minorBidi"/>
                <w:smallCaps w:val="0"/>
                <w:noProof/>
                <w:szCs w:val="22"/>
              </w:rPr>
              <w:tab/>
            </w:r>
            <w:r w:rsidR="00BA66CC" w:rsidRPr="007C4632">
              <w:rPr>
                <w:rStyle w:val="Hyperlink"/>
                <w:rFonts w:eastAsiaTheme="majorEastAsia"/>
                <w:noProof/>
              </w:rPr>
              <w:t>Recherche et observation</w:t>
            </w:r>
            <w:r w:rsidR="00BA66CC">
              <w:rPr>
                <w:noProof/>
                <w:webHidden/>
              </w:rPr>
              <w:tab/>
            </w:r>
            <w:r w:rsidR="00BA66CC">
              <w:rPr>
                <w:noProof/>
                <w:webHidden/>
              </w:rPr>
              <w:fldChar w:fldCharType="begin"/>
            </w:r>
            <w:r w:rsidR="00BA66CC">
              <w:rPr>
                <w:noProof/>
                <w:webHidden/>
              </w:rPr>
              <w:instrText xml:space="preserve"> PAGEREF _Toc138341960 \h </w:instrText>
            </w:r>
            <w:r w:rsidR="00BA66CC">
              <w:rPr>
                <w:noProof/>
                <w:webHidden/>
              </w:rPr>
            </w:r>
            <w:r w:rsidR="00BA66CC">
              <w:rPr>
                <w:noProof/>
                <w:webHidden/>
              </w:rPr>
              <w:fldChar w:fldCharType="separate"/>
            </w:r>
            <w:r w:rsidR="00BA66CC">
              <w:rPr>
                <w:noProof/>
                <w:webHidden/>
              </w:rPr>
              <w:t>28</w:t>
            </w:r>
            <w:r w:rsidR="00BA66CC">
              <w:rPr>
                <w:noProof/>
                <w:webHidden/>
              </w:rPr>
              <w:fldChar w:fldCharType="end"/>
            </w:r>
          </w:hyperlink>
        </w:p>
        <w:p w14:paraId="7902560E" w14:textId="4C43AED7" w:rsidR="00BA66CC" w:rsidRDefault="00697C78">
          <w:pPr>
            <w:pStyle w:val="TOC3"/>
            <w:tabs>
              <w:tab w:val="left" w:pos="1200"/>
              <w:tab w:val="right" w:leader="dot" w:pos="9940"/>
            </w:tabs>
            <w:rPr>
              <w:rFonts w:eastAsiaTheme="minorEastAsia" w:cstheme="minorBidi"/>
              <w:i w:val="0"/>
              <w:iCs w:val="0"/>
              <w:noProof/>
              <w:szCs w:val="22"/>
            </w:rPr>
          </w:pPr>
          <w:hyperlink w:anchor="_Toc138341961" w:history="1">
            <w:r w:rsidR="00BA66CC" w:rsidRPr="007C4632">
              <w:rPr>
                <w:rStyle w:val="Hyperlink"/>
                <w:rFonts w:ascii="Marianne" w:eastAsiaTheme="majorEastAsia" w:hAnsi="Marianne"/>
                <w:noProof/>
              </w:rPr>
              <w:t>G.1.</w:t>
            </w:r>
            <w:r w:rsidR="00BA66CC">
              <w:rPr>
                <w:rFonts w:eastAsiaTheme="minorEastAsia" w:cstheme="minorBidi"/>
                <w:i w:val="0"/>
                <w:iCs w:val="0"/>
                <w:noProof/>
                <w:szCs w:val="22"/>
              </w:rPr>
              <w:tab/>
            </w:r>
            <w:r w:rsidR="00BA66CC" w:rsidRPr="007C4632">
              <w:rPr>
                <w:rStyle w:val="Hyperlink"/>
                <w:rFonts w:eastAsiaTheme="majorEastAsia"/>
                <w:noProof/>
              </w:rPr>
              <w:t>La recherche</w:t>
            </w:r>
            <w:r w:rsidR="00BA66CC">
              <w:rPr>
                <w:noProof/>
                <w:webHidden/>
              </w:rPr>
              <w:tab/>
            </w:r>
            <w:r w:rsidR="00BA66CC">
              <w:rPr>
                <w:noProof/>
                <w:webHidden/>
              </w:rPr>
              <w:fldChar w:fldCharType="begin"/>
            </w:r>
            <w:r w:rsidR="00BA66CC">
              <w:rPr>
                <w:noProof/>
                <w:webHidden/>
              </w:rPr>
              <w:instrText xml:space="preserve"> PAGEREF _Toc138341961 \h </w:instrText>
            </w:r>
            <w:r w:rsidR="00BA66CC">
              <w:rPr>
                <w:noProof/>
                <w:webHidden/>
              </w:rPr>
            </w:r>
            <w:r w:rsidR="00BA66CC">
              <w:rPr>
                <w:noProof/>
                <w:webHidden/>
              </w:rPr>
              <w:fldChar w:fldCharType="separate"/>
            </w:r>
            <w:r w:rsidR="00BA66CC">
              <w:rPr>
                <w:noProof/>
                <w:webHidden/>
              </w:rPr>
              <w:t>28</w:t>
            </w:r>
            <w:r w:rsidR="00BA66CC">
              <w:rPr>
                <w:noProof/>
                <w:webHidden/>
              </w:rPr>
              <w:fldChar w:fldCharType="end"/>
            </w:r>
          </w:hyperlink>
        </w:p>
        <w:p w14:paraId="69AC48FA" w14:textId="1E417E73" w:rsidR="00BA66CC" w:rsidRDefault="00697C78">
          <w:pPr>
            <w:pStyle w:val="TOC3"/>
            <w:tabs>
              <w:tab w:val="left" w:pos="1200"/>
              <w:tab w:val="right" w:leader="dot" w:pos="9940"/>
            </w:tabs>
            <w:rPr>
              <w:rFonts w:eastAsiaTheme="minorEastAsia" w:cstheme="minorBidi"/>
              <w:i w:val="0"/>
              <w:iCs w:val="0"/>
              <w:noProof/>
              <w:szCs w:val="22"/>
            </w:rPr>
          </w:pPr>
          <w:hyperlink w:anchor="_Toc138341962" w:history="1">
            <w:r w:rsidR="00BA66CC" w:rsidRPr="007C4632">
              <w:rPr>
                <w:rStyle w:val="Hyperlink"/>
                <w:rFonts w:ascii="Marianne" w:eastAsiaTheme="majorEastAsia" w:hAnsi="Marianne"/>
                <w:noProof/>
              </w:rPr>
              <w:t>G.2.</w:t>
            </w:r>
            <w:r w:rsidR="00BA66CC">
              <w:rPr>
                <w:rFonts w:eastAsiaTheme="minorEastAsia" w:cstheme="minorBidi"/>
                <w:i w:val="0"/>
                <w:iCs w:val="0"/>
                <w:noProof/>
                <w:szCs w:val="22"/>
              </w:rPr>
              <w:tab/>
            </w:r>
            <w:r w:rsidR="00BA66CC" w:rsidRPr="007C4632">
              <w:rPr>
                <w:rStyle w:val="Hyperlink"/>
                <w:rFonts w:eastAsiaTheme="majorEastAsia"/>
                <w:noProof/>
              </w:rPr>
              <w:t>Observation systématique</w:t>
            </w:r>
            <w:r w:rsidR="00BA66CC">
              <w:rPr>
                <w:noProof/>
                <w:webHidden/>
              </w:rPr>
              <w:tab/>
            </w:r>
            <w:r w:rsidR="00BA66CC">
              <w:rPr>
                <w:noProof/>
                <w:webHidden/>
              </w:rPr>
              <w:fldChar w:fldCharType="begin"/>
            </w:r>
            <w:r w:rsidR="00BA66CC">
              <w:rPr>
                <w:noProof/>
                <w:webHidden/>
              </w:rPr>
              <w:instrText xml:space="preserve"> PAGEREF _Toc138341962 \h </w:instrText>
            </w:r>
            <w:r w:rsidR="00BA66CC">
              <w:rPr>
                <w:noProof/>
                <w:webHidden/>
              </w:rPr>
            </w:r>
            <w:r w:rsidR="00BA66CC">
              <w:rPr>
                <w:noProof/>
                <w:webHidden/>
              </w:rPr>
              <w:fldChar w:fldCharType="separate"/>
            </w:r>
            <w:r w:rsidR="00BA66CC">
              <w:rPr>
                <w:noProof/>
                <w:webHidden/>
              </w:rPr>
              <w:t>28</w:t>
            </w:r>
            <w:r w:rsidR="00BA66CC">
              <w:rPr>
                <w:noProof/>
                <w:webHidden/>
              </w:rPr>
              <w:fldChar w:fldCharType="end"/>
            </w:r>
          </w:hyperlink>
        </w:p>
        <w:p w14:paraId="11787C42" w14:textId="797DDE6D" w:rsidR="00BA66CC" w:rsidRDefault="00697C78">
          <w:pPr>
            <w:pStyle w:val="TOC2"/>
            <w:tabs>
              <w:tab w:val="left" w:pos="800"/>
              <w:tab w:val="right" w:leader="dot" w:pos="9940"/>
            </w:tabs>
            <w:rPr>
              <w:rFonts w:eastAsiaTheme="minorEastAsia" w:cstheme="minorBidi"/>
              <w:smallCaps w:val="0"/>
              <w:noProof/>
              <w:szCs w:val="22"/>
            </w:rPr>
          </w:pPr>
          <w:hyperlink w:anchor="_Toc138341963" w:history="1">
            <w:r w:rsidR="00BA66CC" w:rsidRPr="007C4632">
              <w:rPr>
                <w:rStyle w:val="Hyperlink"/>
                <w:rFonts w:eastAsiaTheme="majorEastAsia"/>
                <w:noProof/>
              </w:rPr>
              <w:t>H.</w:t>
            </w:r>
            <w:r w:rsidR="00BA66CC">
              <w:rPr>
                <w:rFonts w:eastAsiaTheme="minorEastAsia" w:cstheme="minorBidi"/>
                <w:smallCaps w:val="0"/>
                <w:noProof/>
                <w:szCs w:val="22"/>
              </w:rPr>
              <w:tab/>
            </w:r>
            <w:r w:rsidR="00BA66CC" w:rsidRPr="007C4632">
              <w:rPr>
                <w:rStyle w:val="Hyperlink"/>
                <w:rFonts w:eastAsiaTheme="majorEastAsia"/>
                <w:noProof/>
              </w:rPr>
              <w:t>Éducation, formation et sensibilisation du public</w:t>
            </w:r>
            <w:r w:rsidR="00BA66CC">
              <w:rPr>
                <w:noProof/>
                <w:webHidden/>
              </w:rPr>
              <w:tab/>
            </w:r>
            <w:r w:rsidR="00BA66CC">
              <w:rPr>
                <w:noProof/>
                <w:webHidden/>
              </w:rPr>
              <w:fldChar w:fldCharType="begin"/>
            </w:r>
            <w:r w:rsidR="00BA66CC">
              <w:rPr>
                <w:noProof/>
                <w:webHidden/>
              </w:rPr>
              <w:instrText xml:space="preserve"> PAGEREF _Toc138341963 \h </w:instrText>
            </w:r>
            <w:r w:rsidR="00BA66CC">
              <w:rPr>
                <w:noProof/>
                <w:webHidden/>
              </w:rPr>
            </w:r>
            <w:r w:rsidR="00BA66CC">
              <w:rPr>
                <w:noProof/>
                <w:webHidden/>
              </w:rPr>
              <w:fldChar w:fldCharType="separate"/>
            </w:r>
            <w:r w:rsidR="00BA66CC">
              <w:rPr>
                <w:noProof/>
                <w:webHidden/>
              </w:rPr>
              <w:t>29</w:t>
            </w:r>
            <w:r w:rsidR="00BA66CC">
              <w:rPr>
                <w:noProof/>
                <w:webHidden/>
              </w:rPr>
              <w:fldChar w:fldCharType="end"/>
            </w:r>
          </w:hyperlink>
        </w:p>
        <w:p w14:paraId="5643B6DC" w14:textId="4F43EDC5" w:rsidR="00BA66CC" w:rsidRDefault="00697C78">
          <w:pPr>
            <w:pStyle w:val="TOC1"/>
            <w:rPr>
              <w:rFonts w:eastAsiaTheme="minorEastAsia" w:cstheme="minorBidi"/>
              <w:b w:val="0"/>
              <w:bCs w:val="0"/>
              <w:caps w:val="0"/>
              <w:noProof/>
              <w:szCs w:val="22"/>
            </w:rPr>
          </w:pPr>
          <w:hyperlink w:anchor="_Toc138341964" w:history="1">
            <w:r w:rsidR="00BA66CC" w:rsidRPr="007C4632">
              <w:rPr>
                <w:rStyle w:val="Hyperlink"/>
                <w:rFonts w:eastAsiaTheme="majorEastAsia"/>
                <w:noProof/>
              </w:rPr>
              <w:t>Chapitre II – Circonstances nationales relatives aux émissions et aux suppressions de gaz à effet de serre</w:t>
            </w:r>
            <w:r w:rsidR="00BA66CC">
              <w:rPr>
                <w:noProof/>
                <w:webHidden/>
              </w:rPr>
              <w:tab/>
            </w:r>
            <w:r w:rsidR="00BA66CC">
              <w:rPr>
                <w:noProof/>
                <w:webHidden/>
              </w:rPr>
              <w:fldChar w:fldCharType="begin"/>
            </w:r>
            <w:r w:rsidR="00BA66CC">
              <w:rPr>
                <w:noProof/>
                <w:webHidden/>
              </w:rPr>
              <w:instrText xml:space="preserve"> PAGEREF _Toc138341964 \h </w:instrText>
            </w:r>
            <w:r w:rsidR="00BA66CC">
              <w:rPr>
                <w:noProof/>
                <w:webHidden/>
              </w:rPr>
            </w:r>
            <w:r w:rsidR="00BA66CC">
              <w:rPr>
                <w:noProof/>
                <w:webHidden/>
              </w:rPr>
              <w:fldChar w:fldCharType="separate"/>
            </w:r>
            <w:r w:rsidR="00BA66CC">
              <w:rPr>
                <w:noProof/>
                <w:webHidden/>
              </w:rPr>
              <w:t>31</w:t>
            </w:r>
            <w:r w:rsidR="00BA66CC">
              <w:rPr>
                <w:noProof/>
                <w:webHidden/>
              </w:rPr>
              <w:fldChar w:fldCharType="end"/>
            </w:r>
          </w:hyperlink>
        </w:p>
        <w:p w14:paraId="7ECAE950" w14:textId="044F682A" w:rsidR="00BA66CC" w:rsidRDefault="00697C78">
          <w:pPr>
            <w:pStyle w:val="TOC2"/>
            <w:tabs>
              <w:tab w:val="left" w:pos="800"/>
              <w:tab w:val="right" w:leader="dot" w:pos="9940"/>
            </w:tabs>
            <w:rPr>
              <w:rFonts w:eastAsiaTheme="minorEastAsia" w:cstheme="minorBidi"/>
              <w:smallCaps w:val="0"/>
              <w:noProof/>
              <w:szCs w:val="22"/>
            </w:rPr>
          </w:pPr>
          <w:hyperlink w:anchor="_Toc138341965"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Institutions</w:t>
            </w:r>
            <w:r w:rsidR="00BA66CC">
              <w:rPr>
                <w:noProof/>
                <w:webHidden/>
              </w:rPr>
              <w:tab/>
            </w:r>
            <w:r w:rsidR="00BA66CC">
              <w:rPr>
                <w:noProof/>
                <w:webHidden/>
              </w:rPr>
              <w:fldChar w:fldCharType="begin"/>
            </w:r>
            <w:r w:rsidR="00BA66CC">
              <w:rPr>
                <w:noProof/>
                <w:webHidden/>
              </w:rPr>
              <w:instrText xml:space="preserve"> PAGEREF _Toc138341965 \h </w:instrText>
            </w:r>
            <w:r w:rsidR="00BA66CC">
              <w:rPr>
                <w:noProof/>
                <w:webHidden/>
              </w:rPr>
            </w:r>
            <w:r w:rsidR="00BA66CC">
              <w:rPr>
                <w:noProof/>
                <w:webHidden/>
              </w:rPr>
              <w:fldChar w:fldCharType="separate"/>
            </w:r>
            <w:r w:rsidR="00BA66CC">
              <w:rPr>
                <w:noProof/>
                <w:webHidden/>
              </w:rPr>
              <w:t>31</w:t>
            </w:r>
            <w:r w:rsidR="00BA66CC">
              <w:rPr>
                <w:noProof/>
                <w:webHidden/>
              </w:rPr>
              <w:fldChar w:fldCharType="end"/>
            </w:r>
          </w:hyperlink>
        </w:p>
        <w:p w14:paraId="4965A8A2" w14:textId="4489B44D" w:rsidR="00BA66CC" w:rsidRDefault="00697C78">
          <w:pPr>
            <w:pStyle w:val="TOC2"/>
            <w:tabs>
              <w:tab w:val="left" w:pos="600"/>
              <w:tab w:val="right" w:leader="dot" w:pos="9940"/>
            </w:tabs>
            <w:rPr>
              <w:rFonts w:eastAsiaTheme="minorEastAsia" w:cstheme="minorBidi"/>
              <w:smallCaps w:val="0"/>
              <w:noProof/>
              <w:szCs w:val="22"/>
            </w:rPr>
          </w:pPr>
          <w:hyperlink w:anchor="_Toc138341966"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Démographie</w:t>
            </w:r>
            <w:r w:rsidR="00BA66CC">
              <w:rPr>
                <w:noProof/>
                <w:webHidden/>
              </w:rPr>
              <w:tab/>
            </w:r>
            <w:r w:rsidR="00BA66CC">
              <w:rPr>
                <w:noProof/>
                <w:webHidden/>
              </w:rPr>
              <w:fldChar w:fldCharType="begin"/>
            </w:r>
            <w:r w:rsidR="00BA66CC">
              <w:rPr>
                <w:noProof/>
                <w:webHidden/>
              </w:rPr>
              <w:instrText xml:space="preserve"> PAGEREF _Toc138341966 \h </w:instrText>
            </w:r>
            <w:r w:rsidR="00BA66CC">
              <w:rPr>
                <w:noProof/>
                <w:webHidden/>
              </w:rPr>
            </w:r>
            <w:r w:rsidR="00BA66CC">
              <w:rPr>
                <w:noProof/>
                <w:webHidden/>
              </w:rPr>
              <w:fldChar w:fldCharType="separate"/>
            </w:r>
            <w:r w:rsidR="00BA66CC">
              <w:rPr>
                <w:noProof/>
                <w:webHidden/>
              </w:rPr>
              <w:t>31</w:t>
            </w:r>
            <w:r w:rsidR="00BA66CC">
              <w:rPr>
                <w:noProof/>
                <w:webHidden/>
              </w:rPr>
              <w:fldChar w:fldCharType="end"/>
            </w:r>
          </w:hyperlink>
        </w:p>
        <w:p w14:paraId="5C033162" w14:textId="702BFAD2" w:rsidR="00BA66CC" w:rsidRDefault="00697C78">
          <w:pPr>
            <w:pStyle w:val="TOC2"/>
            <w:tabs>
              <w:tab w:val="left" w:pos="600"/>
              <w:tab w:val="right" w:leader="dot" w:pos="9940"/>
            </w:tabs>
            <w:rPr>
              <w:rFonts w:eastAsiaTheme="minorEastAsia" w:cstheme="minorBidi"/>
              <w:smallCaps w:val="0"/>
              <w:noProof/>
              <w:szCs w:val="22"/>
            </w:rPr>
          </w:pPr>
          <w:hyperlink w:anchor="_Toc138341967"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Géographie</w:t>
            </w:r>
            <w:r w:rsidR="00BA66CC">
              <w:rPr>
                <w:noProof/>
                <w:webHidden/>
              </w:rPr>
              <w:tab/>
            </w:r>
            <w:r w:rsidR="00BA66CC">
              <w:rPr>
                <w:noProof/>
                <w:webHidden/>
              </w:rPr>
              <w:fldChar w:fldCharType="begin"/>
            </w:r>
            <w:r w:rsidR="00BA66CC">
              <w:rPr>
                <w:noProof/>
                <w:webHidden/>
              </w:rPr>
              <w:instrText xml:space="preserve"> PAGEREF _Toc138341967 \h </w:instrText>
            </w:r>
            <w:r w:rsidR="00BA66CC">
              <w:rPr>
                <w:noProof/>
                <w:webHidden/>
              </w:rPr>
            </w:r>
            <w:r w:rsidR="00BA66CC">
              <w:rPr>
                <w:noProof/>
                <w:webHidden/>
              </w:rPr>
              <w:fldChar w:fldCharType="separate"/>
            </w:r>
            <w:r w:rsidR="00BA66CC">
              <w:rPr>
                <w:noProof/>
                <w:webHidden/>
              </w:rPr>
              <w:t>35</w:t>
            </w:r>
            <w:r w:rsidR="00BA66CC">
              <w:rPr>
                <w:noProof/>
                <w:webHidden/>
              </w:rPr>
              <w:fldChar w:fldCharType="end"/>
            </w:r>
          </w:hyperlink>
        </w:p>
        <w:p w14:paraId="018A50FA" w14:textId="187F62E7" w:rsidR="00BA66CC" w:rsidRDefault="00697C78">
          <w:pPr>
            <w:pStyle w:val="TOC2"/>
            <w:tabs>
              <w:tab w:val="left" w:pos="800"/>
              <w:tab w:val="right" w:leader="dot" w:pos="9940"/>
            </w:tabs>
            <w:rPr>
              <w:rFonts w:eastAsiaTheme="minorEastAsia" w:cstheme="minorBidi"/>
              <w:smallCaps w:val="0"/>
              <w:noProof/>
              <w:szCs w:val="22"/>
            </w:rPr>
          </w:pPr>
          <w:hyperlink w:anchor="_Toc138341968"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Climat</w:t>
            </w:r>
            <w:r w:rsidR="00BA66CC">
              <w:rPr>
                <w:noProof/>
                <w:webHidden/>
              </w:rPr>
              <w:tab/>
            </w:r>
            <w:r w:rsidR="00BA66CC">
              <w:rPr>
                <w:noProof/>
                <w:webHidden/>
              </w:rPr>
              <w:fldChar w:fldCharType="begin"/>
            </w:r>
            <w:r w:rsidR="00BA66CC">
              <w:rPr>
                <w:noProof/>
                <w:webHidden/>
              </w:rPr>
              <w:instrText xml:space="preserve"> PAGEREF _Toc138341968 \h </w:instrText>
            </w:r>
            <w:r w:rsidR="00BA66CC">
              <w:rPr>
                <w:noProof/>
                <w:webHidden/>
              </w:rPr>
            </w:r>
            <w:r w:rsidR="00BA66CC">
              <w:rPr>
                <w:noProof/>
                <w:webHidden/>
              </w:rPr>
              <w:fldChar w:fldCharType="separate"/>
            </w:r>
            <w:r w:rsidR="00BA66CC">
              <w:rPr>
                <w:noProof/>
                <w:webHidden/>
              </w:rPr>
              <w:t>37</w:t>
            </w:r>
            <w:r w:rsidR="00BA66CC">
              <w:rPr>
                <w:noProof/>
                <w:webHidden/>
              </w:rPr>
              <w:fldChar w:fldCharType="end"/>
            </w:r>
          </w:hyperlink>
        </w:p>
        <w:p w14:paraId="3251282A" w14:textId="1AFE6CAD" w:rsidR="00BA66CC" w:rsidRDefault="00697C78">
          <w:pPr>
            <w:pStyle w:val="TOC2"/>
            <w:tabs>
              <w:tab w:val="left" w:pos="800"/>
              <w:tab w:val="right" w:leader="dot" w:pos="9940"/>
            </w:tabs>
            <w:rPr>
              <w:rFonts w:eastAsiaTheme="minorEastAsia" w:cstheme="minorBidi"/>
              <w:smallCaps w:val="0"/>
              <w:noProof/>
              <w:szCs w:val="22"/>
            </w:rPr>
          </w:pPr>
          <w:hyperlink w:anchor="_Toc138341969" w:history="1">
            <w:r w:rsidR="00BA66CC" w:rsidRPr="007C4632">
              <w:rPr>
                <w:rStyle w:val="Hyperlink"/>
                <w:rFonts w:ascii="Marianne" w:eastAsiaTheme="majorEastAsia" w:hAnsi="Marianne"/>
                <w:noProof/>
              </w:rPr>
              <w:t>E.</w:t>
            </w:r>
            <w:r w:rsidR="00BA66CC">
              <w:rPr>
                <w:rFonts w:eastAsiaTheme="minorEastAsia" w:cstheme="minorBidi"/>
                <w:smallCaps w:val="0"/>
                <w:noProof/>
                <w:szCs w:val="22"/>
              </w:rPr>
              <w:tab/>
            </w:r>
            <w:r w:rsidR="00BA66CC" w:rsidRPr="007C4632">
              <w:rPr>
                <w:rStyle w:val="Hyperlink"/>
                <w:rFonts w:eastAsiaTheme="majorEastAsia"/>
                <w:noProof/>
              </w:rPr>
              <w:t>Economie</w:t>
            </w:r>
            <w:r w:rsidR="00BA66CC">
              <w:rPr>
                <w:noProof/>
                <w:webHidden/>
              </w:rPr>
              <w:tab/>
            </w:r>
            <w:r w:rsidR="00BA66CC">
              <w:rPr>
                <w:noProof/>
                <w:webHidden/>
              </w:rPr>
              <w:fldChar w:fldCharType="begin"/>
            </w:r>
            <w:r w:rsidR="00BA66CC">
              <w:rPr>
                <w:noProof/>
                <w:webHidden/>
              </w:rPr>
              <w:instrText xml:space="preserve"> PAGEREF _Toc138341969 \h </w:instrText>
            </w:r>
            <w:r w:rsidR="00BA66CC">
              <w:rPr>
                <w:noProof/>
                <w:webHidden/>
              </w:rPr>
            </w:r>
            <w:r w:rsidR="00BA66CC">
              <w:rPr>
                <w:noProof/>
                <w:webHidden/>
              </w:rPr>
              <w:fldChar w:fldCharType="separate"/>
            </w:r>
            <w:r w:rsidR="00BA66CC">
              <w:rPr>
                <w:noProof/>
                <w:webHidden/>
              </w:rPr>
              <w:t>39</w:t>
            </w:r>
            <w:r w:rsidR="00BA66CC">
              <w:rPr>
                <w:noProof/>
                <w:webHidden/>
              </w:rPr>
              <w:fldChar w:fldCharType="end"/>
            </w:r>
          </w:hyperlink>
        </w:p>
        <w:p w14:paraId="6E7EA694" w14:textId="6F992319" w:rsidR="00BA66CC" w:rsidRDefault="00697C78">
          <w:pPr>
            <w:pStyle w:val="TOC3"/>
            <w:tabs>
              <w:tab w:val="left" w:pos="1000"/>
              <w:tab w:val="right" w:leader="dot" w:pos="9940"/>
            </w:tabs>
            <w:rPr>
              <w:rFonts w:eastAsiaTheme="minorEastAsia" w:cstheme="minorBidi"/>
              <w:i w:val="0"/>
              <w:iCs w:val="0"/>
              <w:noProof/>
              <w:szCs w:val="22"/>
            </w:rPr>
          </w:pPr>
          <w:hyperlink w:anchor="_Toc138341970" w:history="1">
            <w:r w:rsidR="00BA66CC" w:rsidRPr="007C4632">
              <w:rPr>
                <w:rStyle w:val="Hyperlink"/>
                <w:rFonts w:ascii="Marianne" w:eastAsiaTheme="majorEastAsia" w:hAnsi="Marianne"/>
                <w:noProof/>
              </w:rPr>
              <w:t>E.1.</w:t>
            </w:r>
            <w:r w:rsidR="00BA66CC">
              <w:rPr>
                <w:rFonts w:eastAsiaTheme="minorEastAsia" w:cstheme="minorBidi"/>
                <w:i w:val="0"/>
                <w:iCs w:val="0"/>
                <w:noProof/>
                <w:szCs w:val="22"/>
              </w:rPr>
              <w:tab/>
            </w:r>
            <w:r w:rsidR="00BA66CC" w:rsidRPr="007C4632">
              <w:rPr>
                <w:rStyle w:val="Hyperlink"/>
                <w:rFonts w:eastAsiaTheme="majorEastAsia"/>
                <w:noProof/>
              </w:rPr>
              <w:t>Transports</w:t>
            </w:r>
            <w:r w:rsidR="00BA66CC">
              <w:rPr>
                <w:noProof/>
                <w:webHidden/>
              </w:rPr>
              <w:tab/>
            </w:r>
            <w:r w:rsidR="00BA66CC">
              <w:rPr>
                <w:noProof/>
                <w:webHidden/>
              </w:rPr>
              <w:fldChar w:fldCharType="begin"/>
            </w:r>
            <w:r w:rsidR="00BA66CC">
              <w:rPr>
                <w:noProof/>
                <w:webHidden/>
              </w:rPr>
              <w:instrText xml:space="preserve"> PAGEREF _Toc138341970 \h </w:instrText>
            </w:r>
            <w:r w:rsidR="00BA66CC">
              <w:rPr>
                <w:noProof/>
                <w:webHidden/>
              </w:rPr>
            </w:r>
            <w:r w:rsidR="00BA66CC">
              <w:rPr>
                <w:noProof/>
                <w:webHidden/>
              </w:rPr>
              <w:fldChar w:fldCharType="separate"/>
            </w:r>
            <w:r w:rsidR="00BA66CC">
              <w:rPr>
                <w:noProof/>
                <w:webHidden/>
              </w:rPr>
              <w:t>41</w:t>
            </w:r>
            <w:r w:rsidR="00BA66CC">
              <w:rPr>
                <w:noProof/>
                <w:webHidden/>
              </w:rPr>
              <w:fldChar w:fldCharType="end"/>
            </w:r>
          </w:hyperlink>
        </w:p>
        <w:p w14:paraId="0BC96083" w14:textId="09590B96" w:rsidR="00BA66CC" w:rsidRDefault="00697C78">
          <w:pPr>
            <w:pStyle w:val="TOC3"/>
            <w:tabs>
              <w:tab w:val="left" w:pos="1000"/>
              <w:tab w:val="right" w:leader="dot" w:pos="9940"/>
            </w:tabs>
            <w:rPr>
              <w:rFonts w:eastAsiaTheme="minorEastAsia" w:cstheme="minorBidi"/>
              <w:i w:val="0"/>
              <w:iCs w:val="0"/>
              <w:noProof/>
              <w:szCs w:val="22"/>
            </w:rPr>
          </w:pPr>
          <w:hyperlink w:anchor="_Toc138341971" w:history="1">
            <w:r w:rsidR="00BA66CC" w:rsidRPr="007C4632">
              <w:rPr>
                <w:rStyle w:val="Hyperlink"/>
                <w:rFonts w:ascii="Marianne" w:eastAsiaTheme="majorEastAsia" w:hAnsi="Marianne"/>
                <w:noProof/>
              </w:rPr>
              <w:t>E.2.</w:t>
            </w:r>
            <w:r w:rsidR="00BA66CC">
              <w:rPr>
                <w:rFonts w:eastAsiaTheme="minorEastAsia" w:cstheme="minorBidi"/>
                <w:i w:val="0"/>
                <w:iCs w:val="0"/>
                <w:noProof/>
                <w:szCs w:val="22"/>
              </w:rPr>
              <w:tab/>
            </w:r>
            <w:r w:rsidR="00BA66CC" w:rsidRPr="007C4632">
              <w:rPr>
                <w:rStyle w:val="Hyperlink"/>
                <w:rFonts w:eastAsiaTheme="majorEastAsia"/>
                <w:noProof/>
              </w:rPr>
              <w:t>Bâtiment / Résidentiel / Tertiaire</w:t>
            </w:r>
            <w:r w:rsidR="00BA66CC">
              <w:rPr>
                <w:noProof/>
                <w:webHidden/>
              </w:rPr>
              <w:tab/>
            </w:r>
            <w:r w:rsidR="00BA66CC">
              <w:rPr>
                <w:noProof/>
                <w:webHidden/>
              </w:rPr>
              <w:fldChar w:fldCharType="begin"/>
            </w:r>
            <w:r w:rsidR="00BA66CC">
              <w:rPr>
                <w:noProof/>
                <w:webHidden/>
              </w:rPr>
              <w:instrText xml:space="preserve"> PAGEREF _Toc138341971 \h </w:instrText>
            </w:r>
            <w:r w:rsidR="00BA66CC">
              <w:rPr>
                <w:noProof/>
                <w:webHidden/>
              </w:rPr>
            </w:r>
            <w:r w:rsidR="00BA66CC">
              <w:rPr>
                <w:noProof/>
                <w:webHidden/>
              </w:rPr>
              <w:fldChar w:fldCharType="separate"/>
            </w:r>
            <w:r w:rsidR="00BA66CC">
              <w:rPr>
                <w:noProof/>
                <w:webHidden/>
              </w:rPr>
              <w:t>46</w:t>
            </w:r>
            <w:r w:rsidR="00BA66CC">
              <w:rPr>
                <w:noProof/>
                <w:webHidden/>
              </w:rPr>
              <w:fldChar w:fldCharType="end"/>
            </w:r>
          </w:hyperlink>
        </w:p>
        <w:p w14:paraId="47882A47" w14:textId="1B152A6E" w:rsidR="00BA66CC" w:rsidRDefault="00697C78">
          <w:pPr>
            <w:pStyle w:val="TOC3"/>
            <w:tabs>
              <w:tab w:val="left" w:pos="1000"/>
              <w:tab w:val="right" w:leader="dot" w:pos="9940"/>
            </w:tabs>
            <w:rPr>
              <w:rFonts w:eastAsiaTheme="minorEastAsia" w:cstheme="minorBidi"/>
              <w:i w:val="0"/>
              <w:iCs w:val="0"/>
              <w:noProof/>
              <w:szCs w:val="22"/>
            </w:rPr>
          </w:pPr>
          <w:hyperlink w:anchor="_Toc138341972" w:history="1">
            <w:r w:rsidR="00BA66CC" w:rsidRPr="007C4632">
              <w:rPr>
                <w:rStyle w:val="Hyperlink"/>
                <w:rFonts w:ascii="Marianne" w:eastAsiaTheme="majorEastAsia" w:hAnsi="Marianne"/>
                <w:noProof/>
              </w:rPr>
              <w:t>E.3.</w:t>
            </w:r>
            <w:r w:rsidR="00BA66CC">
              <w:rPr>
                <w:rFonts w:eastAsiaTheme="minorEastAsia" w:cstheme="minorBidi"/>
                <w:i w:val="0"/>
                <w:iCs w:val="0"/>
                <w:noProof/>
                <w:szCs w:val="22"/>
              </w:rPr>
              <w:tab/>
            </w:r>
            <w:r w:rsidR="00BA66CC" w:rsidRPr="007C4632">
              <w:rPr>
                <w:rStyle w:val="Hyperlink"/>
                <w:rFonts w:eastAsiaTheme="majorEastAsia"/>
                <w:noProof/>
              </w:rPr>
              <w:t>Energie</w:t>
            </w:r>
            <w:r w:rsidR="00BA66CC">
              <w:rPr>
                <w:noProof/>
                <w:webHidden/>
              </w:rPr>
              <w:tab/>
            </w:r>
            <w:r w:rsidR="00BA66CC">
              <w:rPr>
                <w:noProof/>
                <w:webHidden/>
              </w:rPr>
              <w:fldChar w:fldCharType="begin"/>
            </w:r>
            <w:r w:rsidR="00BA66CC">
              <w:rPr>
                <w:noProof/>
                <w:webHidden/>
              </w:rPr>
              <w:instrText xml:space="preserve"> PAGEREF _Toc138341972 \h </w:instrText>
            </w:r>
            <w:r w:rsidR="00BA66CC">
              <w:rPr>
                <w:noProof/>
                <w:webHidden/>
              </w:rPr>
            </w:r>
            <w:r w:rsidR="00BA66CC">
              <w:rPr>
                <w:noProof/>
                <w:webHidden/>
              </w:rPr>
              <w:fldChar w:fldCharType="separate"/>
            </w:r>
            <w:r w:rsidR="00BA66CC">
              <w:rPr>
                <w:noProof/>
                <w:webHidden/>
              </w:rPr>
              <w:t>49</w:t>
            </w:r>
            <w:r w:rsidR="00BA66CC">
              <w:rPr>
                <w:noProof/>
                <w:webHidden/>
              </w:rPr>
              <w:fldChar w:fldCharType="end"/>
            </w:r>
          </w:hyperlink>
        </w:p>
        <w:p w14:paraId="4DCAB178" w14:textId="20381391" w:rsidR="00BA66CC" w:rsidRDefault="00697C78">
          <w:pPr>
            <w:pStyle w:val="TOC3"/>
            <w:tabs>
              <w:tab w:val="left" w:pos="1000"/>
              <w:tab w:val="right" w:leader="dot" w:pos="9940"/>
            </w:tabs>
            <w:rPr>
              <w:rFonts w:eastAsiaTheme="minorEastAsia" w:cstheme="minorBidi"/>
              <w:i w:val="0"/>
              <w:iCs w:val="0"/>
              <w:noProof/>
              <w:szCs w:val="22"/>
            </w:rPr>
          </w:pPr>
          <w:hyperlink w:anchor="_Toc138341973" w:history="1">
            <w:r w:rsidR="00BA66CC" w:rsidRPr="007C4632">
              <w:rPr>
                <w:rStyle w:val="Hyperlink"/>
                <w:rFonts w:ascii="Marianne" w:eastAsiaTheme="majorEastAsia" w:hAnsi="Marianne"/>
                <w:noProof/>
              </w:rPr>
              <w:t>E.4.</w:t>
            </w:r>
            <w:r w:rsidR="00BA66CC">
              <w:rPr>
                <w:rFonts w:eastAsiaTheme="minorEastAsia" w:cstheme="minorBidi"/>
                <w:i w:val="0"/>
                <w:iCs w:val="0"/>
                <w:noProof/>
                <w:szCs w:val="22"/>
              </w:rPr>
              <w:tab/>
            </w:r>
            <w:r w:rsidR="00BA66CC" w:rsidRPr="007C4632">
              <w:rPr>
                <w:rStyle w:val="Hyperlink"/>
                <w:rFonts w:eastAsiaTheme="majorEastAsia"/>
                <w:noProof/>
              </w:rPr>
              <w:t>Industrie</w:t>
            </w:r>
            <w:r w:rsidR="00BA66CC">
              <w:rPr>
                <w:noProof/>
                <w:webHidden/>
              </w:rPr>
              <w:tab/>
            </w:r>
            <w:r w:rsidR="00BA66CC">
              <w:rPr>
                <w:noProof/>
                <w:webHidden/>
              </w:rPr>
              <w:fldChar w:fldCharType="begin"/>
            </w:r>
            <w:r w:rsidR="00BA66CC">
              <w:rPr>
                <w:noProof/>
                <w:webHidden/>
              </w:rPr>
              <w:instrText xml:space="preserve"> PAGEREF _Toc138341973 \h </w:instrText>
            </w:r>
            <w:r w:rsidR="00BA66CC">
              <w:rPr>
                <w:noProof/>
                <w:webHidden/>
              </w:rPr>
            </w:r>
            <w:r w:rsidR="00BA66CC">
              <w:rPr>
                <w:noProof/>
                <w:webHidden/>
              </w:rPr>
              <w:fldChar w:fldCharType="separate"/>
            </w:r>
            <w:r w:rsidR="00BA66CC">
              <w:rPr>
                <w:noProof/>
                <w:webHidden/>
              </w:rPr>
              <w:t>53</w:t>
            </w:r>
            <w:r w:rsidR="00BA66CC">
              <w:rPr>
                <w:noProof/>
                <w:webHidden/>
              </w:rPr>
              <w:fldChar w:fldCharType="end"/>
            </w:r>
          </w:hyperlink>
        </w:p>
        <w:p w14:paraId="740733F7" w14:textId="1E32CE12" w:rsidR="00BA66CC" w:rsidRDefault="00697C78">
          <w:pPr>
            <w:pStyle w:val="TOC3"/>
            <w:tabs>
              <w:tab w:val="left" w:pos="1000"/>
              <w:tab w:val="right" w:leader="dot" w:pos="9940"/>
            </w:tabs>
            <w:rPr>
              <w:rFonts w:eastAsiaTheme="minorEastAsia" w:cstheme="minorBidi"/>
              <w:i w:val="0"/>
              <w:iCs w:val="0"/>
              <w:noProof/>
              <w:szCs w:val="22"/>
            </w:rPr>
          </w:pPr>
          <w:hyperlink w:anchor="_Toc138341974" w:history="1">
            <w:r w:rsidR="00BA66CC" w:rsidRPr="007C4632">
              <w:rPr>
                <w:rStyle w:val="Hyperlink"/>
                <w:rFonts w:ascii="Marianne" w:eastAsiaTheme="majorEastAsia" w:hAnsi="Marianne"/>
                <w:noProof/>
              </w:rPr>
              <w:t>E.5.</w:t>
            </w:r>
            <w:r w:rsidR="00BA66CC">
              <w:rPr>
                <w:rFonts w:eastAsiaTheme="minorEastAsia" w:cstheme="minorBidi"/>
                <w:i w:val="0"/>
                <w:iCs w:val="0"/>
                <w:noProof/>
                <w:szCs w:val="22"/>
              </w:rPr>
              <w:tab/>
            </w:r>
            <w:r w:rsidR="00BA66CC" w:rsidRPr="007C4632">
              <w:rPr>
                <w:rStyle w:val="Hyperlink"/>
                <w:rFonts w:eastAsiaTheme="majorEastAsia"/>
                <w:noProof/>
              </w:rPr>
              <w:t>L’agriculture et la forêt</w:t>
            </w:r>
            <w:r w:rsidR="00BA66CC">
              <w:rPr>
                <w:noProof/>
                <w:webHidden/>
              </w:rPr>
              <w:tab/>
            </w:r>
            <w:r w:rsidR="00BA66CC">
              <w:rPr>
                <w:noProof/>
                <w:webHidden/>
              </w:rPr>
              <w:fldChar w:fldCharType="begin"/>
            </w:r>
            <w:r w:rsidR="00BA66CC">
              <w:rPr>
                <w:noProof/>
                <w:webHidden/>
              </w:rPr>
              <w:instrText xml:space="preserve"> PAGEREF _Toc138341974 \h </w:instrText>
            </w:r>
            <w:r w:rsidR="00BA66CC">
              <w:rPr>
                <w:noProof/>
                <w:webHidden/>
              </w:rPr>
            </w:r>
            <w:r w:rsidR="00BA66CC">
              <w:rPr>
                <w:noProof/>
                <w:webHidden/>
              </w:rPr>
              <w:fldChar w:fldCharType="separate"/>
            </w:r>
            <w:r w:rsidR="00BA66CC">
              <w:rPr>
                <w:noProof/>
                <w:webHidden/>
              </w:rPr>
              <w:t>55</w:t>
            </w:r>
            <w:r w:rsidR="00BA66CC">
              <w:rPr>
                <w:noProof/>
                <w:webHidden/>
              </w:rPr>
              <w:fldChar w:fldCharType="end"/>
            </w:r>
          </w:hyperlink>
        </w:p>
        <w:p w14:paraId="53616FBC" w14:textId="7E4B23C8" w:rsidR="00BA66CC" w:rsidRDefault="00697C78">
          <w:pPr>
            <w:pStyle w:val="TOC3"/>
            <w:tabs>
              <w:tab w:val="left" w:pos="1000"/>
              <w:tab w:val="right" w:leader="dot" w:pos="9940"/>
            </w:tabs>
            <w:rPr>
              <w:rFonts w:eastAsiaTheme="minorEastAsia" w:cstheme="minorBidi"/>
              <w:i w:val="0"/>
              <w:iCs w:val="0"/>
              <w:noProof/>
              <w:szCs w:val="22"/>
            </w:rPr>
          </w:pPr>
          <w:hyperlink w:anchor="_Toc138341975" w:history="1">
            <w:r w:rsidR="00BA66CC" w:rsidRPr="007C4632">
              <w:rPr>
                <w:rStyle w:val="Hyperlink"/>
                <w:rFonts w:ascii="Marianne" w:eastAsiaTheme="majorEastAsia" w:hAnsi="Marianne"/>
                <w:noProof/>
              </w:rPr>
              <w:t>E.6.</w:t>
            </w:r>
            <w:r w:rsidR="00BA66CC">
              <w:rPr>
                <w:rFonts w:eastAsiaTheme="minorEastAsia" w:cstheme="minorBidi"/>
                <w:i w:val="0"/>
                <w:iCs w:val="0"/>
                <w:noProof/>
                <w:szCs w:val="22"/>
              </w:rPr>
              <w:tab/>
            </w:r>
            <w:r w:rsidR="00BA66CC" w:rsidRPr="007C4632">
              <w:rPr>
                <w:rStyle w:val="Hyperlink"/>
                <w:rFonts w:eastAsiaTheme="majorEastAsia"/>
                <w:noProof/>
              </w:rPr>
              <w:t>Déchets</w:t>
            </w:r>
            <w:r w:rsidR="00BA66CC">
              <w:rPr>
                <w:noProof/>
                <w:webHidden/>
              </w:rPr>
              <w:tab/>
            </w:r>
            <w:r w:rsidR="00BA66CC">
              <w:rPr>
                <w:noProof/>
                <w:webHidden/>
              </w:rPr>
              <w:fldChar w:fldCharType="begin"/>
            </w:r>
            <w:r w:rsidR="00BA66CC">
              <w:rPr>
                <w:noProof/>
                <w:webHidden/>
              </w:rPr>
              <w:instrText xml:space="preserve"> PAGEREF _Toc138341975 \h </w:instrText>
            </w:r>
            <w:r w:rsidR="00BA66CC">
              <w:rPr>
                <w:noProof/>
                <w:webHidden/>
              </w:rPr>
            </w:r>
            <w:r w:rsidR="00BA66CC">
              <w:rPr>
                <w:noProof/>
                <w:webHidden/>
              </w:rPr>
              <w:fldChar w:fldCharType="separate"/>
            </w:r>
            <w:r w:rsidR="00BA66CC">
              <w:rPr>
                <w:noProof/>
                <w:webHidden/>
              </w:rPr>
              <w:t>61</w:t>
            </w:r>
            <w:r w:rsidR="00BA66CC">
              <w:rPr>
                <w:noProof/>
                <w:webHidden/>
              </w:rPr>
              <w:fldChar w:fldCharType="end"/>
            </w:r>
          </w:hyperlink>
        </w:p>
        <w:p w14:paraId="5C085371" w14:textId="151A1BC8" w:rsidR="00BA66CC" w:rsidRDefault="00697C78">
          <w:pPr>
            <w:pStyle w:val="TOC1"/>
            <w:rPr>
              <w:rFonts w:eastAsiaTheme="minorEastAsia" w:cstheme="minorBidi"/>
              <w:b w:val="0"/>
              <w:bCs w:val="0"/>
              <w:caps w:val="0"/>
              <w:noProof/>
              <w:szCs w:val="22"/>
            </w:rPr>
          </w:pPr>
          <w:hyperlink w:anchor="_Toc138341976" w:history="1">
            <w:r w:rsidR="00BA66CC" w:rsidRPr="007C4632">
              <w:rPr>
                <w:rStyle w:val="Hyperlink"/>
                <w:rFonts w:eastAsiaTheme="majorEastAsia"/>
                <w:noProof/>
              </w:rPr>
              <w:t>Chapitre III – Informations relatives à l’inventaire de gaz à effet de serre</w:t>
            </w:r>
            <w:r w:rsidR="00BA66CC">
              <w:rPr>
                <w:noProof/>
                <w:webHidden/>
              </w:rPr>
              <w:tab/>
            </w:r>
            <w:r w:rsidR="00BA66CC">
              <w:rPr>
                <w:noProof/>
                <w:webHidden/>
              </w:rPr>
              <w:fldChar w:fldCharType="begin"/>
            </w:r>
            <w:r w:rsidR="00BA66CC">
              <w:rPr>
                <w:noProof/>
                <w:webHidden/>
              </w:rPr>
              <w:instrText xml:space="preserve"> PAGEREF _Toc138341976 \h </w:instrText>
            </w:r>
            <w:r w:rsidR="00BA66CC">
              <w:rPr>
                <w:noProof/>
                <w:webHidden/>
              </w:rPr>
            </w:r>
            <w:r w:rsidR="00BA66CC">
              <w:rPr>
                <w:noProof/>
                <w:webHidden/>
              </w:rPr>
              <w:fldChar w:fldCharType="separate"/>
            </w:r>
            <w:r w:rsidR="00BA66CC">
              <w:rPr>
                <w:noProof/>
                <w:webHidden/>
              </w:rPr>
              <w:t>63</w:t>
            </w:r>
            <w:r w:rsidR="00BA66CC">
              <w:rPr>
                <w:noProof/>
                <w:webHidden/>
              </w:rPr>
              <w:fldChar w:fldCharType="end"/>
            </w:r>
          </w:hyperlink>
        </w:p>
        <w:p w14:paraId="4675EF37" w14:textId="515AC008" w:rsidR="00BA66CC" w:rsidRDefault="00697C78">
          <w:pPr>
            <w:pStyle w:val="TOC2"/>
            <w:tabs>
              <w:tab w:val="left" w:pos="800"/>
              <w:tab w:val="right" w:leader="dot" w:pos="9940"/>
            </w:tabs>
            <w:rPr>
              <w:rFonts w:eastAsiaTheme="minorEastAsia" w:cstheme="minorBidi"/>
              <w:smallCaps w:val="0"/>
              <w:noProof/>
              <w:szCs w:val="22"/>
            </w:rPr>
          </w:pPr>
          <w:hyperlink w:anchor="_Toc138341977"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Tableaux récapitulatifs</w:t>
            </w:r>
            <w:r w:rsidR="00BA66CC">
              <w:rPr>
                <w:noProof/>
                <w:webHidden/>
              </w:rPr>
              <w:tab/>
            </w:r>
            <w:r w:rsidR="00BA66CC">
              <w:rPr>
                <w:noProof/>
                <w:webHidden/>
              </w:rPr>
              <w:fldChar w:fldCharType="begin"/>
            </w:r>
            <w:r w:rsidR="00BA66CC">
              <w:rPr>
                <w:noProof/>
                <w:webHidden/>
              </w:rPr>
              <w:instrText xml:space="preserve"> PAGEREF _Toc138341977 \h </w:instrText>
            </w:r>
            <w:r w:rsidR="00BA66CC">
              <w:rPr>
                <w:noProof/>
                <w:webHidden/>
              </w:rPr>
            </w:r>
            <w:r w:rsidR="00BA66CC">
              <w:rPr>
                <w:noProof/>
                <w:webHidden/>
              </w:rPr>
              <w:fldChar w:fldCharType="separate"/>
            </w:r>
            <w:r w:rsidR="00BA66CC">
              <w:rPr>
                <w:noProof/>
                <w:webHidden/>
              </w:rPr>
              <w:t>63</w:t>
            </w:r>
            <w:r w:rsidR="00BA66CC">
              <w:rPr>
                <w:noProof/>
                <w:webHidden/>
              </w:rPr>
              <w:fldChar w:fldCharType="end"/>
            </w:r>
          </w:hyperlink>
        </w:p>
        <w:p w14:paraId="3566F0AA" w14:textId="5E07F6A3" w:rsidR="00BA66CC" w:rsidRDefault="00697C78">
          <w:pPr>
            <w:pStyle w:val="TOC2"/>
            <w:tabs>
              <w:tab w:val="left" w:pos="600"/>
              <w:tab w:val="right" w:leader="dot" w:pos="9940"/>
            </w:tabs>
            <w:rPr>
              <w:rFonts w:eastAsiaTheme="minorEastAsia" w:cstheme="minorBidi"/>
              <w:smallCaps w:val="0"/>
              <w:noProof/>
              <w:szCs w:val="22"/>
            </w:rPr>
          </w:pPr>
          <w:hyperlink w:anchor="_Toc138341978"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Résumé descriptif de l’inventaire d’émissions de gaz à effet de serre de la France</w:t>
            </w:r>
            <w:r w:rsidR="00BA66CC">
              <w:rPr>
                <w:noProof/>
                <w:webHidden/>
              </w:rPr>
              <w:tab/>
            </w:r>
            <w:r w:rsidR="00BA66CC">
              <w:rPr>
                <w:noProof/>
                <w:webHidden/>
              </w:rPr>
              <w:fldChar w:fldCharType="begin"/>
            </w:r>
            <w:r w:rsidR="00BA66CC">
              <w:rPr>
                <w:noProof/>
                <w:webHidden/>
              </w:rPr>
              <w:instrText xml:space="preserve"> PAGEREF _Toc138341978 \h </w:instrText>
            </w:r>
            <w:r w:rsidR="00BA66CC">
              <w:rPr>
                <w:noProof/>
                <w:webHidden/>
              </w:rPr>
            </w:r>
            <w:r w:rsidR="00BA66CC">
              <w:rPr>
                <w:noProof/>
                <w:webHidden/>
              </w:rPr>
              <w:fldChar w:fldCharType="separate"/>
            </w:r>
            <w:r w:rsidR="00BA66CC">
              <w:rPr>
                <w:noProof/>
                <w:webHidden/>
              </w:rPr>
              <w:t>67</w:t>
            </w:r>
            <w:r w:rsidR="00BA66CC">
              <w:rPr>
                <w:noProof/>
                <w:webHidden/>
              </w:rPr>
              <w:fldChar w:fldCharType="end"/>
            </w:r>
          </w:hyperlink>
        </w:p>
        <w:p w14:paraId="492B81E0" w14:textId="4DE8FAE7" w:rsidR="00BA66CC" w:rsidRDefault="00697C78">
          <w:pPr>
            <w:pStyle w:val="TOC3"/>
            <w:tabs>
              <w:tab w:val="left" w:pos="1000"/>
              <w:tab w:val="right" w:leader="dot" w:pos="9940"/>
            </w:tabs>
            <w:rPr>
              <w:rFonts w:eastAsiaTheme="minorEastAsia" w:cstheme="minorBidi"/>
              <w:i w:val="0"/>
              <w:iCs w:val="0"/>
              <w:noProof/>
              <w:szCs w:val="22"/>
            </w:rPr>
          </w:pPr>
          <w:hyperlink w:anchor="_Toc138341979"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Répartition par secteurs des émissions de dioxyde de carbone (CO</w:t>
            </w:r>
            <w:r w:rsidR="00BA66CC" w:rsidRPr="007C4632">
              <w:rPr>
                <w:rStyle w:val="Hyperlink"/>
                <w:rFonts w:eastAsiaTheme="majorEastAsia"/>
                <w:noProof/>
                <w:vertAlign w:val="subscript"/>
              </w:rPr>
              <w:t>2</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_Toc138341979 \h </w:instrText>
            </w:r>
            <w:r w:rsidR="00BA66CC">
              <w:rPr>
                <w:noProof/>
                <w:webHidden/>
              </w:rPr>
            </w:r>
            <w:r w:rsidR="00BA66CC">
              <w:rPr>
                <w:noProof/>
                <w:webHidden/>
              </w:rPr>
              <w:fldChar w:fldCharType="separate"/>
            </w:r>
            <w:r w:rsidR="00BA66CC">
              <w:rPr>
                <w:noProof/>
                <w:webHidden/>
              </w:rPr>
              <w:t>68</w:t>
            </w:r>
            <w:r w:rsidR="00BA66CC">
              <w:rPr>
                <w:noProof/>
                <w:webHidden/>
              </w:rPr>
              <w:fldChar w:fldCharType="end"/>
            </w:r>
          </w:hyperlink>
        </w:p>
        <w:p w14:paraId="2522393B" w14:textId="56C00B6B" w:rsidR="00BA66CC" w:rsidRDefault="00697C78">
          <w:pPr>
            <w:pStyle w:val="TOC3"/>
            <w:tabs>
              <w:tab w:val="left" w:pos="1000"/>
              <w:tab w:val="right" w:leader="dot" w:pos="9940"/>
            </w:tabs>
            <w:rPr>
              <w:rFonts w:eastAsiaTheme="minorEastAsia" w:cstheme="minorBidi"/>
              <w:i w:val="0"/>
              <w:iCs w:val="0"/>
              <w:noProof/>
              <w:szCs w:val="22"/>
            </w:rPr>
          </w:pPr>
          <w:hyperlink w:anchor="_Toc138341980"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Répartition par secteurs des émissions de méthane (CH</w:t>
            </w:r>
            <w:r w:rsidR="00BA66CC" w:rsidRPr="007C4632">
              <w:rPr>
                <w:rStyle w:val="Hyperlink"/>
                <w:rFonts w:eastAsiaTheme="majorEastAsia"/>
                <w:noProof/>
                <w:vertAlign w:val="subscript"/>
              </w:rPr>
              <w:t>4</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_Toc138341980 \h </w:instrText>
            </w:r>
            <w:r w:rsidR="00BA66CC">
              <w:rPr>
                <w:noProof/>
                <w:webHidden/>
              </w:rPr>
            </w:r>
            <w:r w:rsidR="00BA66CC">
              <w:rPr>
                <w:noProof/>
                <w:webHidden/>
              </w:rPr>
              <w:fldChar w:fldCharType="separate"/>
            </w:r>
            <w:r w:rsidR="00BA66CC">
              <w:rPr>
                <w:noProof/>
                <w:webHidden/>
              </w:rPr>
              <w:t>69</w:t>
            </w:r>
            <w:r w:rsidR="00BA66CC">
              <w:rPr>
                <w:noProof/>
                <w:webHidden/>
              </w:rPr>
              <w:fldChar w:fldCharType="end"/>
            </w:r>
          </w:hyperlink>
        </w:p>
        <w:p w14:paraId="2CFA5185" w14:textId="1E657174" w:rsidR="00BA66CC" w:rsidRDefault="00697C78">
          <w:pPr>
            <w:pStyle w:val="TOC3"/>
            <w:tabs>
              <w:tab w:val="left" w:pos="1000"/>
              <w:tab w:val="right" w:leader="dot" w:pos="9940"/>
            </w:tabs>
            <w:rPr>
              <w:rFonts w:eastAsiaTheme="minorEastAsia" w:cstheme="minorBidi"/>
              <w:i w:val="0"/>
              <w:iCs w:val="0"/>
              <w:noProof/>
              <w:szCs w:val="22"/>
            </w:rPr>
          </w:pPr>
          <w:hyperlink w:anchor="_Toc138341981" w:history="1">
            <w:r w:rsidR="00BA66CC" w:rsidRPr="007C4632">
              <w:rPr>
                <w:rStyle w:val="Hyperlink"/>
                <w:rFonts w:ascii="Marianne" w:eastAsiaTheme="majorEastAsia" w:hAnsi="Marianne"/>
                <w:noProof/>
              </w:rPr>
              <w:t>B.3.</w:t>
            </w:r>
            <w:r w:rsidR="00BA66CC">
              <w:rPr>
                <w:rFonts w:eastAsiaTheme="minorEastAsia" w:cstheme="minorBidi"/>
                <w:i w:val="0"/>
                <w:iCs w:val="0"/>
                <w:noProof/>
                <w:szCs w:val="22"/>
              </w:rPr>
              <w:tab/>
            </w:r>
            <w:r w:rsidR="00BA66CC" w:rsidRPr="007C4632">
              <w:rPr>
                <w:rStyle w:val="Hyperlink"/>
                <w:rFonts w:eastAsiaTheme="majorEastAsia"/>
                <w:noProof/>
              </w:rPr>
              <w:t>Répartition par secteurs des émissions de protoxyde d’azote (N</w:t>
            </w:r>
            <w:r w:rsidR="00BA66CC" w:rsidRPr="007C4632">
              <w:rPr>
                <w:rStyle w:val="Hyperlink"/>
                <w:rFonts w:eastAsiaTheme="majorEastAsia"/>
                <w:noProof/>
                <w:vertAlign w:val="subscript"/>
              </w:rPr>
              <w:t>2</w:t>
            </w:r>
            <w:r w:rsidR="00BA66CC" w:rsidRPr="007C4632">
              <w:rPr>
                <w:rStyle w:val="Hyperlink"/>
                <w:rFonts w:eastAsiaTheme="majorEastAsia"/>
                <w:noProof/>
              </w:rPr>
              <w:t>O )</w:t>
            </w:r>
            <w:r w:rsidR="00BA66CC">
              <w:rPr>
                <w:noProof/>
                <w:webHidden/>
              </w:rPr>
              <w:tab/>
            </w:r>
            <w:r w:rsidR="00BA66CC">
              <w:rPr>
                <w:noProof/>
                <w:webHidden/>
              </w:rPr>
              <w:fldChar w:fldCharType="begin"/>
            </w:r>
            <w:r w:rsidR="00BA66CC">
              <w:rPr>
                <w:noProof/>
                <w:webHidden/>
              </w:rPr>
              <w:instrText xml:space="preserve"> PAGEREF _Toc138341981 \h </w:instrText>
            </w:r>
            <w:r w:rsidR="00BA66CC">
              <w:rPr>
                <w:noProof/>
                <w:webHidden/>
              </w:rPr>
            </w:r>
            <w:r w:rsidR="00BA66CC">
              <w:rPr>
                <w:noProof/>
                <w:webHidden/>
              </w:rPr>
              <w:fldChar w:fldCharType="separate"/>
            </w:r>
            <w:r w:rsidR="00BA66CC">
              <w:rPr>
                <w:noProof/>
                <w:webHidden/>
              </w:rPr>
              <w:t>70</w:t>
            </w:r>
            <w:r w:rsidR="00BA66CC">
              <w:rPr>
                <w:noProof/>
                <w:webHidden/>
              </w:rPr>
              <w:fldChar w:fldCharType="end"/>
            </w:r>
          </w:hyperlink>
        </w:p>
        <w:p w14:paraId="1A1620ED" w14:textId="6CE8925B" w:rsidR="00BA66CC" w:rsidRDefault="00697C78">
          <w:pPr>
            <w:pStyle w:val="TOC3"/>
            <w:tabs>
              <w:tab w:val="left" w:pos="1000"/>
              <w:tab w:val="right" w:leader="dot" w:pos="9940"/>
            </w:tabs>
            <w:rPr>
              <w:rFonts w:eastAsiaTheme="minorEastAsia" w:cstheme="minorBidi"/>
              <w:i w:val="0"/>
              <w:iCs w:val="0"/>
              <w:noProof/>
              <w:szCs w:val="22"/>
            </w:rPr>
          </w:pPr>
          <w:hyperlink w:anchor="_Toc138341982" w:history="1">
            <w:r w:rsidR="00BA66CC" w:rsidRPr="007C4632">
              <w:rPr>
                <w:rStyle w:val="Hyperlink"/>
                <w:rFonts w:ascii="Marianne" w:eastAsiaTheme="majorEastAsia" w:hAnsi="Marianne"/>
                <w:noProof/>
              </w:rPr>
              <w:t>B.4.</w:t>
            </w:r>
            <w:r w:rsidR="00BA66CC">
              <w:rPr>
                <w:rFonts w:eastAsiaTheme="minorEastAsia" w:cstheme="minorBidi"/>
                <w:i w:val="0"/>
                <w:iCs w:val="0"/>
                <w:noProof/>
                <w:szCs w:val="22"/>
              </w:rPr>
              <w:tab/>
            </w:r>
            <w:r w:rsidR="00BA66CC" w:rsidRPr="007C4632">
              <w:rPr>
                <w:rStyle w:val="Hyperlink"/>
                <w:rFonts w:eastAsiaTheme="majorEastAsia"/>
                <w:noProof/>
              </w:rPr>
              <w:t>Répartition des émissions par secteur</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 les gaz fluor</w:t>
            </w:r>
            <w:r w:rsidR="00BA66CC" w:rsidRPr="007C4632">
              <w:rPr>
                <w:rStyle w:val="Hyperlink"/>
                <w:rFonts w:ascii="Marianne" w:eastAsiaTheme="majorEastAsia" w:hAnsi="Marianne" w:cs="Marianne"/>
                <w:noProof/>
              </w:rPr>
              <w:t>é</w:t>
            </w:r>
            <w:r w:rsidR="00BA66CC" w:rsidRPr="007C4632">
              <w:rPr>
                <w:rStyle w:val="Hyperlink"/>
                <w:rFonts w:eastAsiaTheme="majorEastAsia"/>
                <w:noProof/>
              </w:rPr>
              <w:t>s (PFC, HFC, SF</w:t>
            </w:r>
            <w:r w:rsidR="00BA66CC" w:rsidRPr="007C4632">
              <w:rPr>
                <w:rStyle w:val="Hyperlink"/>
                <w:rFonts w:eastAsiaTheme="majorEastAsia"/>
                <w:noProof/>
                <w:vertAlign w:val="subscript"/>
              </w:rPr>
              <w:t>6</w:t>
            </w:r>
            <w:r w:rsidR="00BA66CC" w:rsidRPr="007C4632">
              <w:rPr>
                <w:rStyle w:val="Hyperlink"/>
                <w:rFonts w:eastAsiaTheme="majorEastAsia"/>
                <w:noProof/>
              </w:rPr>
              <w:t>, NF</w:t>
            </w:r>
            <w:r w:rsidR="00BA66CC" w:rsidRPr="007C4632">
              <w:rPr>
                <w:rStyle w:val="Hyperlink"/>
                <w:rFonts w:eastAsiaTheme="majorEastAsia"/>
                <w:noProof/>
                <w:vertAlign w:val="subscript"/>
              </w:rPr>
              <w:t>3</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_Toc138341982 \h </w:instrText>
            </w:r>
            <w:r w:rsidR="00BA66CC">
              <w:rPr>
                <w:noProof/>
                <w:webHidden/>
              </w:rPr>
            </w:r>
            <w:r w:rsidR="00BA66CC">
              <w:rPr>
                <w:noProof/>
                <w:webHidden/>
              </w:rPr>
              <w:fldChar w:fldCharType="separate"/>
            </w:r>
            <w:r w:rsidR="00BA66CC">
              <w:rPr>
                <w:noProof/>
                <w:webHidden/>
              </w:rPr>
              <w:t>70</w:t>
            </w:r>
            <w:r w:rsidR="00BA66CC">
              <w:rPr>
                <w:noProof/>
                <w:webHidden/>
              </w:rPr>
              <w:fldChar w:fldCharType="end"/>
            </w:r>
          </w:hyperlink>
        </w:p>
        <w:p w14:paraId="5DF9F41F" w14:textId="0EFE224B" w:rsidR="00BA66CC" w:rsidRDefault="00697C78">
          <w:pPr>
            <w:pStyle w:val="TOC3"/>
            <w:tabs>
              <w:tab w:val="left" w:pos="1000"/>
              <w:tab w:val="right" w:leader="dot" w:pos="9940"/>
            </w:tabs>
            <w:rPr>
              <w:rFonts w:eastAsiaTheme="minorEastAsia" w:cstheme="minorBidi"/>
              <w:i w:val="0"/>
              <w:iCs w:val="0"/>
              <w:noProof/>
              <w:szCs w:val="22"/>
            </w:rPr>
          </w:pPr>
          <w:hyperlink w:anchor="_Toc138341983" w:history="1">
            <w:r w:rsidR="00BA66CC" w:rsidRPr="007C4632">
              <w:rPr>
                <w:rStyle w:val="Hyperlink"/>
                <w:rFonts w:ascii="Marianne" w:eastAsiaTheme="majorEastAsia" w:hAnsi="Marianne"/>
                <w:noProof/>
              </w:rPr>
              <w:t>B.5.</w:t>
            </w:r>
            <w:r w:rsidR="00BA66CC">
              <w:rPr>
                <w:rFonts w:eastAsiaTheme="minorEastAsia" w:cstheme="minorBidi"/>
                <w:i w:val="0"/>
                <w:iCs w:val="0"/>
                <w:noProof/>
                <w:szCs w:val="22"/>
              </w:rPr>
              <w:tab/>
            </w:r>
            <w:r w:rsidR="00BA66CC" w:rsidRPr="007C4632">
              <w:rPr>
                <w:rStyle w:val="Hyperlink"/>
                <w:rFonts w:eastAsiaTheme="majorEastAsia"/>
                <w:noProof/>
              </w:rPr>
              <w:t>Analyse des émissions totales de gaz à effet de serre par secteur d’activités</w:t>
            </w:r>
            <w:r w:rsidR="00BA66CC">
              <w:rPr>
                <w:noProof/>
                <w:webHidden/>
              </w:rPr>
              <w:tab/>
            </w:r>
            <w:r w:rsidR="00BA66CC">
              <w:rPr>
                <w:noProof/>
                <w:webHidden/>
              </w:rPr>
              <w:fldChar w:fldCharType="begin"/>
            </w:r>
            <w:r w:rsidR="00BA66CC">
              <w:rPr>
                <w:noProof/>
                <w:webHidden/>
              </w:rPr>
              <w:instrText xml:space="preserve"> PAGEREF _Toc138341983 \h </w:instrText>
            </w:r>
            <w:r w:rsidR="00BA66CC">
              <w:rPr>
                <w:noProof/>
                <w:webHidden/>
              </w:rPr>
            </w:r>
            <w:r w:rsidR="00BA66CC">
              <w:rPr>
                <w:noProof/>
                <w:webHidden/>
              </w:rPr>
              <w:fldChar w:fldCharType="separate"/>
            </w:r>
            <w:r w:rsidR="00BA66CC">
              <w:rPr>
                <w:noProof/>
                <w:webHidden/>
              </w:rPr>
              <w:t>71</w:t>
            </w:r>
            <w:r w:rsidR="00BA66CC">
              <w:rPr>
                <w:noProof/>
                <w:webHidden/>
              </w:rPr>
              <w:fldChar w:fldCharType="end"/>
            </w:r>
          </w:hyperlink>
        </w:p>
        <w:p w14:paraId="591722CD" w14:textId="11E1C735" w:rsidR="00BA66CC" w:rsidRDefault="00697C78">
          <w:pPr>
            <w:pStyle w:val="TOC2"/>
            <w:tabs>
              <w:tab w:val="left" w:pos="600"/>
              <w:tab w:val="right" w:leader="dot" w:pos="9940"/>
            </w:tabs>
            <w:rPr>
              <w:rFonts w:eastAsiaTheme="minorEastAsia" w:cstheme="minorBidi"/>
              <w:smallCaps w:val="0"/>
              <w:noProof/>
              <w:szCs w:val="22"/>
            </w:rPr>
          </w:pPr>
          <w:hyperlink w:anchor="_Toc138341988"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Système d’inventaire national (article 5.1 du Protocole de Kyoto)</w:t>
            </w:r>
            <w:r w:rsidR="00BA66CC">
              <w:rPr>
                <w:noProof/>
                <w:webHidden/>
              </w:rPr>
              <w:tab/>
            </w:r>
            <w:r w:rsidR="00BA66CC">
              <w:rPr>
                <w:noProof/>
                <w:webHidden/>
              </w:rPr>
              <w:fldChar w:fldCharType="begin"/>
            </w:r>
            <w:r w:rsidR="00BA66CC">
              <w:rPr>
                <w:noProof/>
                <w:webHidden/>
              </w:rPr>
              <w:instrText xml:space="preserve"> PAGEREF _Toc138341988 \h </w:instrText>
            </w:r>
            <w:r w:rsidR="00BA66CC">
              <w:rPr>
                <w:noProof/>
                <w:webHidden/>
              </w:rPr>
            </w:r>
            <w:r w:rsidR="00BA66CC">
              <w:rPr>
                <w:noProof/>
                <w:webHidden/>
              </w:rPr>
              <w:fldChar w:fldCharType="separate"/>
            </w:r>
            <w:r w:rsidR="00BA66CC">
              <w:rPr>
                <w:noProof/>
                <w:webHidden/>
              </w:rPr>
              <w:t>79</w:t>
            </w:r>
            <w:r w:rsidR="00BA66CC">
              <w:rPr>
                <w:noProof/>
                <w:webHidden/>
              </w:rPr>
              <w:fldChar w:fldCharType="end"/>
            </w:r>
          </w:hyperlink>
        </w:p>
        <w:p w14:paraId="679EEEA2" w14:textId="177FF2EC" w:rsidR="00BA66CC" w:rsidRDefault="00697C78">
          <w:pPr>
            <w:pStyle w:val="TOC3"/>
            <w:tabs>
              <w:tab w:val="left" w:pos="1000"/>
              <w:tab w:val="right" w:leader="dot" w:pos="9940"/>
            </w:tabs>
            <w:rPr>
              <w:rFonts w:eastAsiaTheme="minorEastAsia" w:cstheme="minorBidi"/>
              <w:i w:val="0"/>
              <w:iCs w:val="0"/>
              <w:noProof/>
              <w:szCs w:val="22"/>
            </w:rPr>
          </w:pPr>
          <w:hyperlink w:anchor="_Toc138341989" w:history="1">
            <w:r w:rsidR="00BA66CC" w:rsidRPr="007C4632">
              <w:rPr>
                <w:rStyle w:val="Hyperlink"/>
                <w:rFonts w:ascii="Marianne" w:eastAsiaTheme="majorEastAsia" w:hAnsi="Marianne"/>
                <w:noProof/>
              </w:rPr>
              <w:t>C.1.</w:t>
            </w:r>
            <w:r w:rsidR="00BA66CC">
              <w:rPr>
                <w:rFonts w:eastAsiaTheme="minorEastAsia" w:cstheme="minorBidi"/>
                <w:i w:val="0"/>
                <w:iCs w:val="0"/>
                <w:noProof/>
                <w:szCs w:val="22"/>
              </w:rPr>
              <w:tab/>
            </w:r>
            <w:r w:rsidR="00BA66CC" w:rsidRPr="007C4632">
              <w:rPr>
                <w:rStyle w:val="Hyperlink"/>
                <w:rFonts w:eastAsiaTheme="majorEastAsia"/>
                <w:noProof/>
              </w:rPr>
              <w:t>Nom et coordonnées du responsable du système national d’inventaire désigné par la Partie</w:t>
            </w:r>
            <w:r w:rsidR="00BA66CC">
              <w:rPr>
                <w:noProof/>
                <w:webHidden/>
              </w:rPr>
              <w:tab/>
            </w:r>
            <w:r w:rsidR="00BA66CC">
              <w:rPr>
                <w:noProof/>
                <w:webHidden/>
              </w:rPr>
              <w:fldChar w:fldCharType="begin"/>
            </w:r>
            <w:r w:rsidR="00BA66CC">
              <w:rPr>
                <w:noProof/>
                <w:webHidden/>
              </w:rPr>
              <w:instrText xml:space="preserve"> PAGEREF _Toc138341989 \h </w:instrText>
            </w:r>
            <w:r w:rsidR="00BA66CC">
              <w:rPr>
                <w:noProof/>
                <w:webHidden/>
              </w:rPr>
            </w:r>
            <w:r w:rsidR="00BA66CC">
              <w:rPr>
                <w:noProof/>
                <w:webHidden/>
              </w:rPr>
              <w:fldChar w:fldCharType="separate"/>
            </w:r>
            <w:r w:rsidR="00BA66CC">
              <w:rPr>
                <w:noProof/>
                <w:webHidden/>
              </w:rPr>
              <w:t>79</w:t>
            </w:r>
            <w:r w:rsidR="00BA66CC">
              <w:rPr>
                <w:noProof/>
                <w:webHidden/>
              </w:rPr>
              <w:fldChar w:fldCharType="end"/>
            </w:r>
          </w:hyperlink>
        </w:p>
        <w:p w14:paraId="5735A6B9" w14:textId="432E3CB2" w:rsidR="00BA66CC" w:rsidRDefault="00697C78">
          <w:pPr>
            <w:pStyle w:val="TOC3"/>
            <w:tabs>
              <w:tab w:val="left" w:pos="1200"/>
              <w:tab w:val="right" w:leader="dot" w:pos="9940"/>
            </w:tabs>
            <w:rPr>
              <w:rFonts w:eastAsiaTheme="minorEastAsia" w:cstheme="minorBidi"/>
              <w:i w:val="0"/>
              <w:iCs w:val="0"/>
              <w:noProof/>
              <w:szCs w:val="22"/>
            </w:rPr>
          </w:pPr>
          <w:hyperlink w:anchor="_Toc138341990" w:history="1">
            <w:r w:rsidR="00BA66CC" w:rsidRPr="007C4632">
              <w:rPr>
                <w:rStyle w:val="Hyperlink"/>
                <w:rFonts w:ascii="Marianne" w:eastAsiaTheme="majorEastAsia" w:hAnsi="Marianne"/>
                <w:noProof/>
              </w:rPr>
              <w:t>C.2.</w:t>
            </w:r>
            <w:r w:rsidR="00BA66CC">
              <w:rPr>
                <w:rFonts w:eastAsiaTheme="minorEastAsia" w:cstheme="minorBidi"/>
                <w:i w:val="0"/>
                <w:iCs w:val="0"/>
                <w:noProof/>
                <w:szCs w:val="22"/>
              </w:rPr>
              <w:tab/>
            </w:r>
            <w:r w:rsidR="00BA66CC" w:rsidRPr="007C4632">
              <w:rPr>
                <w:rStyle w:val="Hyperlink"/>
                <w:rFonts w:eastAsiaTheme="majorEastAsia"/>
                <w:noProof/>
              </w:rPr>
              <w:t>Répartition des rôles et des responsabilités au sein du système national</w:t>
            </w:r>
            <w:r w:rsidR="00BA66CC">
              <w:rPr>
                <w:noProof/>
                <w:webHidden/>
              </w:rPr>
              <w:tab/>
            </w:r>
            <w:r w:rsidR="00BA66CC">
              <w:rPr>
                <w:noProof/>
                <w:webHidden/>
              </w:rPr>
              <w:fldChar w:fldCharType="begin"/>
            </w:r>
            <w:r w:rsidR="00BA66CC">
              <w:rPr>
                <w:noProof/>
                <w:webHidden/>
              </w:rPr>
              <w:instrText xml:space="preserve"> PAGEREF _Toc138341990 \h </w:instrText>
            </w:r>
            <w:r w:rsidR="00BA66CC">
              <w:rPr>
                <w:noProof/>
                <w:webHidden/>
              </w:rPr>
            </w:r>
            <w:r w:rsidR="00BA66CC">
              <w:rPr>
                <w:noProof/>
                <w:webHidden/>
              </w:rPr>
              <w:fldChar w:fldCharType="separate"/>
            </w:r>
            <w:r w:rsidR="00BA66CC">
              <w:rPr>
                <w:noProof/>
                <w:webHidden/>
              </w:rPr>
              <w:t>79</w:t>
            </w:r>
            <w:r w:rsidR="00BA66CC">
              <w:rPr>
                <w:noProof/>
                <w:webHidden/>
              </w:rPr>
              <w:fldChar w:fldCharType="end"/>
            </w:r>
          </w:hyperlink>
        </w:p>
        <w:p w14:paraId="4049FA4C" w14:textId="1BFFFA91" w:rsidR="00BA66CC" w:rsidRDefault="00697C78">
          <w:pPr>
            <w:pStyle w:val="TOC3"/>
            <w:tabs>
              <w:tab w:val="left" w:pos="1200"/>
              <w:tab w:val="right" w:leader="dot" w:pos="9940"/>
            </w:tabs>
            <w:rPr>
              <w:rFonts w:eastAsiaTheme="minorEastAsia" w:cstheme="minorBidi"/>
              <w:i w:val="0"/>
              <w:iCs w:val="0"/>
              <w:noProof/>
              <w:szCs w:val="22"/>
            </w:rPr>
          </w:pPr>
          <w:hyperlink w:anchor="_Toc138341991" w:history="1">
            <w:r w:rsidR="00BA66CC" w:rsidRPr="007C4632">
              <w:rPr>
                <w:rStyle w:val="Hyperlink"/>
                <w:rFonts w:ascii="Marianne" w:eastAsiaTheme="majorEastAsia" w:hAnsi="Marianne"/>
                <w:noProof/>
              </w:rPr>
              <w:t>C.3.</w:t>
            </w:r>
            <w:r w:rsidR="00BA66CC">
              <w:rPr>
                <w:rFonts w:eastAsiaTheme="minorEastAsia" w:cstheme="minorBidi"/>
                <w:i w:val="0"/>
                <w:iCs w:val="0"/>
                <w:noProof/>
                <w:szCs w:val="22"/>
              </w:rPr>
              <w:tab/>
            </w:r>
            <w:r w:rsidR="00BA66CC" w:rsidRPr="007C4632">
              <w:rPr>
                <w:rStyle w:val="Hyperlink"/>
                <w:rFonts w:eastAsiaTheme="majorEastAsia"/>
                <w:noProof/>
              </w:rPr>
              <w:t>Processus de collecte, choix des facteurs d’émission et calculs d’émissions</w:t>
            </w:r>
            <w:r w:rsidR="00BA66CC">
              <w:rPr>
                <w:noProof/>
                <w:webHidden/>
              </w:rPr>
              <w:tab/>
            </w:r>
            <w:r w:rsidR="00BA66CC">
              <w:rPr>
                <w:noProof/>
                <w:webHidden/>
              </w:rPr>
              <w:fldChar w:fldCharType="begin"/>
            </w:r>
            <w:r w:rsidR="00BA66CC">
              <w:rPr>
                <w:noProof/>
                <w:webHidden/>
              </w:rPr>
              <w:instrText xml:space="preserve"> PAGEREF _Toc138341991 \h </w:instrText>
            </w:r>
            <w:r w:rsidR="00BA66CC">
              <w:rPr>
                <w:noProof/>
                <w:webHidden/>
              </w:rPr>
            </w:r>
            <w:r w:rsidR="00BA66CC">
              <w:rPr>
                <w:noProof/>
                <w:webHidden/>
              </w:rPr>
              <w:fldChar w:fldCharType="separate"/>
            </w:r>
            <w:r w:rsidR="00BA66CC">
              <w:rPr>
                <w:noProof/>
                <w:webHidden/>
              </w:rPr>
              <w:t>83</w:t>
            </w:r>
            <w:r w:rsidR="00BA66CC">
              <w:rPr>
                <w:noProof/>
                <w:webHidden/>
              </w:rPr>
              <w:fldChar w:fldCharType="end"/>
            </w:r>
          </w:hyperlink>
        </w:p>
        <w:p w14:paraId="71140F72" w14:textId="3A0CCD38" w:rsidR="00BA66CC" w:rsidRDefault="00697C78">
          <w:pPr>
            <w:pStyle w:val="TOC3"/>
            <w:tabs>
              <w:tab w:val="left" w:pos="1200"/>
              <w:tab w:val="right" w:leader="dot" w:pos="9940"/>
            </w:tabs>
            <w:rPr>
              <w:rFonts w:eastAsiaTheme="minorEastAsia" w:cstheme="minorBidi"/>
              <w:i w:val="0"/>
              <w:iCs w:val="0"/>
              <w:noProof/>
              <w:szCs w:val="22"/>
            </w:rPr>
          </w:pPr>
          <w:hyperlink w:anchor="_Toc138341992" w:history="1">
            <w:r w:rsidR="00BA66CC" w:rsidRPr="007C4632">
              <w:rPr>
                <w:rStyle w:val="Hyperlink"/>
                <w:rFonts w:ascii="Marianne" w:eastAsiaTheme="majorEastAsia" w:hAnsi="Marianne"/>
                <w:noProof/>
              </w:rPr>
              <w:t>C.4.</w:t>
            </w:r>
            <w:r w:rsidR="00BA66CC">
              <w:rPr>
                <w:rFonts w:eastAsiaTheme="minorEastAsia" w:cstheme="minorBidi"/>
                <w:i w:val="0"/>
                <w:iCs w:val="0"/>
                <w:noProof/>
                <w:szCs w:val="22"/>
              </w:rPr>
              <w:tab/>
            </w:r>
            <w:r w:rsidR="00BA66CC" w:rsidRPr="007C4632">
              <w:rPr>
                <w:rStyle w:val="Hyperlink"/>
                <w:rFonts w:eastAsiaTheme="majorEastAsia"/>
                <w:noProof/>
              </w:rPr>
              <w:t>Résultats de l’analyse des catégories clés (voir également NIR 2022 France pour plus de détails)</w:t>
            </w:r>
            <w:r w:rsidR="00BA66CC">
              <w:rPr>
                <w:noProof/>
                <w:webHidden/>
              </w:rPr>
              <w:tab/>
            </w:r>
            <w:r w:rsidR="00BA66CC">
              <w:rPr>
                <w:noProof/>
                <w:webHidden/>
              </w:rPr>
              <w:fldChar w:fldCharType="begin"/>
            </w:r>
            <w:r w:rsidR="00BA66CC">
              <w:rPr>
                <w:noProof/>
                <w:webHidden/>
              </w:rPr>
              <w:instrText xml:space="preserve"> PAGEREF _Toc138341992 \h </w:instrText>
            </w:r>
            <w:r w:rsidR="00BA66CC">
              <w:rPr>
                <w:noProof/>
                <w:webHidden/>
              </w:rPr>
            </w:r>
            <w:r w:rsidR="00BA66CC">
              <w:rPr>
                <w:noProof/>
                <w:webHidden/>
              </w:rPr>
              <w:fldChar w:fldCharType="separate"/>
            </w:r>
            <w:r w:rsidR="00BA66CC">
              <w:rPr>
                <w:noProof/>
                <w:webHidden/>
              </w:rPr>
              <w:t>84</w:t>
            </w:r>
            <w:r w:rsidR="00BA66CC">
              <w:rPr>
                <w:noProof/>
                <w:webHidden/>
              </w:rPr>
              <w:fldChar w:fldCharType="end"/>
            </w:r>
          </w:hyperlink>
        </w:p>
        <w:p w14:paraId="29A18073" w14:textId="0AD39F72" w:rsidR="00BA66CC" w:rsidRDefault="00697C78">
          <w:pPr>
            <w:pStyle w:val="TOC3"/>
            <w:tabs>
              <w:tab w:val="left" w:pos="1200"/>
              <w:tab w:val="right" w:leader="dot" w:pos="9940"/>
            </w:tabs>
            <w:rPr>
              <w:rFonts w:eastAsiaTheme="minorEastAsia" w:cstheme="minorBidi"/>
              <w:i w:val="0"/>
              <w:iCs w:val="0"/>
              <w:noProof/>
              <w:szCs w:val="22"/>
            </w:rPr>
          </w:pPr>
          <w:hyperlink w:anchor="_Toc138341993" w:history="1">
            <w:r w:rsidR="00BA66CC" w:rsidRPr="007C4632">
              <w:rPr>
                <w:rStyle w:val="Hyperlink"/>
                <w:rFonts w:ascii="Marianne" w:eastAsiaTheme="majorEastAsia" w:hAnsi="Marianne"/>
                <w:noProof/>
              </w:rPr>
              <w:t>C.5.</w:t>
            </w:r>
            <w:r w:rsidR="00BA66CC">
              <w:rPr>
                <w:rFonts w:eastAsiaTheme="minorEastAsia" w:cstheme="minorBidi"/>
                <w:i w:val="0"/>
                <w:iCs w:val="0"/>
                <w:noProof/>
                <w:szCs w:val="22"/>
              </w:rPr>
              <w:tab/>
            </w:r>
            <w:r w:rsidR="00BA66CC" w:rsidRPr="007C4632">
              <w:rPr>
                <w:rStyle w:val="Hyperlink"/>
                <w:rFonts w:eastAsiaTheme="majorEastAsia"/>
                <w:noProof/>
              </w:rPr>
              <w:t>Recalculs et améliorations</w:t>
            </w:r>
            <w:r w:rsidR="00BA66CC">
              <w:rPr>
                <w:noProof/>
                <w:webHidden/>
              </w:rPr>
              <w:tab/>
            </w:r>
            <w:r w:rsidR="00BA66CC">
              <w:rPr>
                <w:noProof/>
                <w:webHidden/>
              </w:rPr>
              <w:fldChar w:fldCharType="begin"/>
            </w:r>
            <w:r w:rsidR="00BA66CC">
              <w:rPr>
                <w:noProof/>
                <w:webHidden/>
              </w:rPr>
              <w:instrText xml:space="preserve"> PAGEREF _Toc138341993 \h </w:instrText>
            </w:r>
            <w:r w:rsidR="00BA66CC">
              <w:rPr>
                <w:noProof/>
                <w:webHidden/>
              </w:rPr>
            </w:r>
            <w:r w:rsidR="00BA66CC">
              <w:rPr>
                <w:noProof/>
                <w:webHidden/>
              </w:rPr>
              <w:fldChar w:fldCharType="separate"/>
            </w:r>
            <w:r w:rsidR="00BA66CC">
              <w:rPr>
                <w:noProof/>
                <w:webHidden/>
              </w:rPr>
              <w:t>85</w:t>
            </w:r>
            <w:r w:rsidR="00BA66CC">
              <w:rPr>
                <w:noProof/>
                <w:webHidden/>
              </w:rPr>
              <w:fldChar w:fldCharType="end"/>
            </w:r>
          </w:hyperlink>
        </w:p>
        <w:p w14:paraId="33C99551" w14:textId="14FA7028" w:rsidR="00BA66CC" w:rsidRDefault="00697C78">
          <w:pPr>
            <w:pStyle w:val="TOC3"/>
            <w:tabs>
              <w:tab w:val="left" w:pos="1200"/>
              <w:tab w:val="right" w:leader="dot" w:pos="9940"/>
            </w:tabs>
            <w:rPr>
              <w:rFonts w:eastAsiaTheme="minorEastAsia" w:cstheme="minorBidi"/>
              <w:i w:val="0"/>
              <w:iCs w:val="0"/>
              <w:noProof/>
              <w:szCs w:val="22"/>
            </w:rPr>
          </w:pPr>
          <w:hyperlink w:anchor="_Toc138341994" w:history="1">
            <w:r w:rsidR="00BA66CC" w:rsidRPr="007C4632">
              <w:rPr>
                <w:rStyle w:val="Hyperlink"/>
                <w:rFonts w:ascii="Marianne" w:eastAsiaTheme="majorEastAsia" w:hAnsi="Marianne"/>
                <w:noProof/>
              </w:rPr>
              <w:t>C.6.</w:t>
            </w:r>
            <w:r w:rsidR="00BA66CC">
              <w:rPr>
                <w:rFonts w:eastAsiaTheme="minorEastAsia" w:cstheme="minorBidi"/>
                <w:i w:val="0"/>
                <w:iCs w:val="0"/>
                <w:noProof/>
                <w:szCs w:val="22"/>
              </w:rPr>
              <w:tab/>
            </w:r>
            <w:r w:rsidR="00BA66CC" w:rsidRPr="007C4632">
              <w:rPr>
                <w:rStyle w:val="Hyperlink"/>
                <w:rFonts w:eastAsiaTheme="majorEastAsia"/>
                <w:noProof/>
              </w:rPr>
              <w:t>Description de la procédure d’assurance qualité et contrôle qualité</w:t>
            </w:r>
            <w:r w:rsidR="00BA66CC">
              <w:rPr>
                <w:noProof/>
                <w:webHidden/>
              </w:rPr>
              <w:tab/>
            </w:r>
            <w:r w:rsidR="00BA66CC">
              <w:rPr>
                <w:noProof/>
                <w:webHidden/>
              </w:rPr>
              <w:fldChar w:fldCharType="begin"/>
            </w:r>
            <w:r w:rsidR="00BA66CC">
              <w:rPr>
                <w:noProof/>
                <w:webHidden/>
              </w:rPr>
              <w:instrText xml:space="preserve"> PAGEREF _Toc138341994 \h </w:instrText>
            </w:r>
            <w:r w:rsidR="00BA66CC">
              <w:rPr>
                <w:noProof/>
                <w:webHidden/>
              </w:rPr>
            </w:r>
            <w:r w:rsidR="00BA66CC">
              <w:rPr>
                <w:noProof/>
                <w:webHidden/>
              </w:rPr>
              <w:fldChar w:fldCharType="separate"/>
            </w:r>
            <w:r w:rsidR="00BA66CC">
              <w:rPr>
                <w:noProof/>
                <w:webHidden/>
              </w:rPr>
              <w:t>86</w:t>
            </w:r>
            <w:r w:rsidR="00BA66CC">
              <w:rPr>
                <w:noProof/>
                <w:webHidden/>
              </w:rPr>
              <w:fldChar w:fldCharType="end"/>
            </w:r>
          </w:hyperlink>
        </w:p>
        <w:p w14:paraId="57722096" w14:textId="1DAA34CD" w:rsidR="00BA66CC" w:rsidRDefault="00697C78">
          <w:pPr>
            <w:pStyle w:val="TOC3"/>
            <w:tabs>
              <w:tab w:val="left" w:pos="1200"/>
              <w:tab w:val="right" w:leader="dot" w:pos="9940"/>
            </w:tabs>
            <w:rPr>
              <w:rFonts w:eastAsiaTheme="minorEastAsia" w:cstheme="minorBidi"/>
              <w:i w:val="0"/>
              <w:iCs w:val="0"/>
              <w:noProof/>
              <w:szCs w:val="22"/>
            </w:rPr>
          </w:pPr>
          <w:hyperlink w:anchor="_Toc138341995" w:history="1">
            <w:r w:rsidR="00BA66CC" w:rsidRPr="007C4632">
              <w:rPr>
                <w:rStyle w:val="Hyperlink"/>
                <w:rFonts w:ascii="Marianne" w:eastAsiaTheme="majorEastAsia" w:hAnsi="Marianne"/>
                <w:noProof/>
              </w:rPr>
              <w:t>C.7.</w:t>
            </w:r>
            <w:r w:rsidR="00BA66CC">
              <w:rPr>
                <w:rFonts w:eastAsiaTheme="minorEastAsia" w:cstheme="minorBidi"/>
                <w:i w:val="0"/>
                <w:iCs w:val="0"/>
                <w:noProof/>
                <w:szCs w:val="22"/>
              </w:rPr>
              <w:tab/>
            </w:r>
            <w:r w:rsidR="00BA66CC" w:rsidRPr="007C4632">
              <w:rPr>
                <w:rStyle w:val="Hyperlink"/>
                <w:rFonts w:eastAsiaTheme="majorEastAsia"/>
                <w:noProof/>
              </w:rPr>
              <w:t>Description de la procédure de validation officielle de l’inventaire</w:t>
            </w:r>
            <w:r w:rsidR="00BA66CC">
              <w:rPr>
                <w:noProof/>
                <w:webHidden/>
              </w:rPr>
              <w:tab/>
            </w:r>
            <w:r w:rsidR="00BA66CC">
              <w:rPr>
                <w:noProof/>
                <w:webHidden/>
              </w:rPr>
              <w:fldChar w:fldCharType="begin"/>
            </w:r>
            <w:r w:rsidR="00BA66CC">
              <w:rPr>
                <w:noProof/>
                <w:webHidden/>
              </w:rPr>
              <w:instrText xml:space="preserve"> PAGEREF _Toc138341995 \h </w:instrText>
            </w:r>
            <w:r w:rsidR="00BA66CC">
              <w:rPr>
                <w:noProof/>
                <w:webHidden/>
              </w:rPr>
            </w:r>
            <w:r w:rsidR="00BA66CC">
              <w:rPr>
                <w:noProof/>
                <w:webHidden/>
              </w:rPr>
              <w:fldChar w:fldCharType="separate"/>
            </w:r>
            <w:r w:rsidR="00BA66CC">
              <w:rPr>
                <w:noProof/>
                <w:webHidden/>
              </w:rPr>
              <w:t>92</w:t>
            </w:r>
            <w:r w:rsidR="00BA66CC">
              <w:rPr>
                <w:noProof/>
                <w:webHidden/>
              </w:rPr>
              <w:fldChar w:fldCharType="end"/>
            </w:r>
          </w:hyperlink>
        </w:p>
        <w:p w14:paraId="5059045D" w14:textId="0343C87F" w:rsidR="00BA66CC" w:rsidRDefault="00697C78">
          <w:pPr>
            <w:pStyle w:val="TOC2"/>
            <w:tabs>
              <w:tab w:val="left" w:pos="800"/>
              <w:tab w:val="right" w:leader="dot" w:pos="9940"/>
            </w:tabs>
            <w:rPr>
              <w:rFonts w:eastAsiaTheme="minorEastAsia" w:cstheme="minorBidi"/>
              <w:smallCaps w:val="0"/>
              <w:noProof/>
              <w:szCs w:val="22"/>
            </w:rPr>
          </w:pPr>
          <w:hyperlink w:anchor="_Toc138341996"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Registre national</w:t>
            </w:r>
            <w:r w:rsidR="00BA66CC">
              <w:rPr>
                <w:noProof/>
                <w:webHidden/>
              </w:rPr>
              <w:tab/>
            </w:r>
            <w:r w:rsidR="00BA66CC">
              <w:rPr>
                <w:noProof/>
                <w:webHidden/>
              </w:rPr>
              <w:fldChar w:fldCharType="begin"/>
            </w:r>
            <w:r w:rsidR="00BA66CC">
              <w:rPr>
                <w:noProof/>
                <w:webHidden/>
              </w:rPr>
              <w:instrText xml:space="preserve"> PAGEREF _Toc138341996 \h </w:instrText>
            </w:r>
            <w:r w:rsidR="00BA66CC">
              <w:rPr>
                <w:noProof/>
                <w:webHidden/>
              </w:rPr>
            </w:r>
            <w:r w:rsidR="00BA66CC">
              <w:rPr>
                <w:noProof/>
                <w:webHidden/>
              </w:rPr>
              <w:fldChar w:fldCharType="separate"/>
            </w:r>
            <w:r w:rsidR="00BA66CC">
              <w:rPr>
                <w:noProof/>
                <w:webHidden/>
              </w:rPr>
              <w:t>92</w:t>
            </w:r>
            <w:r w:rsidR="00BA66CC">
              <w:rPr>
                <w:noProof/>
                <w:webHidden/>
              </w:rPr>
              <w:fldChar w:fldCharType="end"/>
            </w:r>
          </w:hyperlink>
        </w:p>
        <w:p w14:paraId="020956E1" w14:textId="3D88B62A" w:rsidR="00BA66CC" w:rsidRDefault="00697C78">
          <w:pPr>
            <w:pStyle w:val="TOC1"/>
            <w:rPr>
              <w:rFonts w:eastAsiaTheme="minorEastAsia" w:cstheme="minorBidi"/>
              <w:b w:val="0"/>
              <w:bCs w:val="0"/>
              <w:caps w:val="0"/>
              <w:noProof/>
              <w:szCs w:val="22"/>
            </w:rPr>
          </w:pPr>
          <w:hyperlink w:anchor="_Toc138341997" w:history="1">
            <w:r w:rsidR="00BA66CC" w:rsidRPr="007C4632">
              <w:rPr>
                <w:rStyle w:val="Hyperlink"/>
                <w:rFonts w:eastAsiaTheme="majorEastAsia"/>
                <w:noProof/>
              </w:rPr>
              <w:t>Chapitre IV – Politiques et mesures</w:t>
            </w:r>
            <w:r w:rsidR="00BA66CC">
              <w:rPr>
                <w:noProof/>
                <w:webHidden/>
              </w:rPr>
              <w:tab/>
            </w:r>
            <w:r w:rsidR="00BA66CC">
              <w:rPr>
                <w:noProof/>
                <w:webHidden/>
              </w:rPr>
              <w:fldChar w:fldCharType="begin"/>
            </w:r>
            <w:r w:rsidR="00BA66CC">
              <w:rPr>
                <w:noProof/>
                <w:webHidden/>
              </w:rPr>
              <w:instrText xml:space="preserve"> PAGEREF _Toc138341997 \h </w:instrText>
            </w:r>
            <w:r w:rsidR="00BA66CC">
              <w:rPr>
                <w:noProof/>
                <w:webHidden/>
              </w:rPr>
            </w:r>
            <w:r w:rsidR="00BA66CC">
              <w:rPr>
                <w:noProof/>
                <w:webHidden/>
              </w:rPr>
              <w:fldChar w:fldCharType="separate"/>
            </w:r>
            <w:r w:rsidR="00BA66CC">
              <w:rPr>
                <w:noProof/>
                <w:webHidden/>
              </w:rPr>
              <w:t>95</w:t>
            </w:r>
            <w:r w:rsidR="00BA66CC">
              <w:rPr>
                <w:noProof/>
                <w:webHidden/>
              </w:rPr>
              <w:fldChar w:fldCharType="end"/>
            </w:r>
          </w:hyperlink>
        </w:p>
        <w:p w14:paraId="3B56A937" w14:textId="4C60692B" w:rsidR="00BA66CC" w:rsidRDefault="00697C78">
          <w:pPr>
            <w:pStyle w:val="TOC2"/>
            <w:tabs>
              <w:tab w:val="left" w:pos="800"/>
              <w:tab w:val="right" w:leader="dot" w:pos="9940"/>
            </w:tabs>
            <w:rPr>
              <w:rFonts w:eastAsiaTheme="minorEastAsia" w:cstheme="minorBidi"/>
              <w:smallCaps w:val="0"/>
              <w:noProof/>
              <w:szCs w:val="22"/>
            </w:rPr>
          </w:pPr>
          <w:hyperlink w:anchor="_Toc138341998"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La conception des politiques et mesures</w:t>
            </w:r>
            <w:r w:rsidR="00BA66CC">
              <w:rPr>
                <w:noProof/>
                <w:webHidden/>
              </w:rPr>
              <w:tab/>
            </w:r>
            <w:r w:rsidR="00BA66CC">
              <w:rPr>
                <w:noProof/>
                <w:webHidden/>
              </w:rPr>
              <w:fldChar w:fldCharType="begin"/>
            </w:r>
            <w:r w:rsidR="00BA66CC">
              <w:rPr>
                <w:noProof/>
                <w:webHidden/>
              </w:rPr>
              <w:instrText xml:space="preserve"> PAGEREF _Toc138341998 \h </w:instrText>
            </w:r>
            <w:r w:rsidR="00BA66CC">
              <w:rPr>
                <w:noProof/>
                <w:webHidden/>
              </w:rPr>
            </w:r>
            <w:r w:rsidR="00BA66CC">
              <w:rPr>
                <w:noProof/>
                <w:webHidden/>
              </w:rPr>
              <w:fldChar w:fldCharType="separate"/>
            </w:r>
            <w:r w:rsidR="00BA66CC">
              <w:rPr>
                <w:noProof/>
                <w:webHidden/>
              </w:rPr>
              <w:t>95</w:t>
            </w:r>
            <w:r w:rsidR="00BA66CC">
              <w:rPr>
                <w:noProof/>
                <w:webHidden/>
              </w:rPr>
              <w:fldChar w:fldCharType="end"/>
            </w:r>
          </w:hyperlink>
        </w:p>
        <w:p w14:paraId="06A674A9" w14:textId="66EA4446" w:rsidR="00BA66CC" w:rsidRDefault="00697C78">
          <w:pPr>
            <w:pStyle w:val="TOC3"/>
            <w:tabs>
              <w:tab w:val="left" w:pos="1000"/>
              <w:tab w:val="right" w:leader="dot" w:pos="9940"/>
            </w:tabs>
            <w:rPr>
              <w:rFonts w:eastAsiaTheme="minorEastAsia" w:cstheme="minorBidi"/>
              <w:i w:val="0"/>
              <w:iCs w:val="0"/>
              <w:noProof/>
              <w:szCs w:val="22"/>
            </w:rPr>
          </w:pPr>
          <w:hyperlink w:anchor="_Toc138341999"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Les fondements institutionnels</w:t>
            </w:r>
            <w:r w:rsidR="00BA66CC">
              <w:rPr>
                <w:noProof/>
                <w:webHidden/>
              </w:rPr>
              <w:tab/>
            </w:r>
            <w:r w:rsidR="00BA66CC">
              <w:rPr>
                <w:noProof/>
                <w:webHidden/>
              </w:rPr>
              <w:fldChar w:fldCharType="begin"/>
            </w:r>
            <w:r w:rsidR="00BA66CC">
              <w:rPr>
                <w:noProof/>
                <w:webHidden/>
              </w:rPr>
              <w:instrText xml:space="preserve"> PAGEREF _Toc138341999 \h </w:instrText>
            </w:r>
            <w:r w:rsidR="00BA66CC">
              <w:rPr>
                <w:noProof/>
                <w:webHidden/>
              </w:rPr>
            </w:r>
            <w:r w:rsidR="00BA66CC">
              <w:rPr>
                <w:noProof/>
                <w:webHidden/>
              </w:rPr>
              <w:fldChar w:fldCharType="separate"/>
            </w:r>
            <w:r w:rsidR="00BA66CC">
              <w:rPr>
                <w:noProof/>
                <w:webHidden/>
              </w:rPr>
              <w:t>95</w:t>
            </w:r>
            <w:r w:rsidR="00BA66CC">
              <w:rPr>
                <w:noProof/>
                <w:webHidden/>
              </w:rPr>
              <w:fldChar w:fldCharType="end"/>
            </w:r>
          </w:hyperlink>
        </w:p>
        <w:p w14:paraId="3AD61B10" w14:textId="3E59980D" w:rsidR="00BA66CC" w:rsidRDefault="00697C78">
          <w:pPr>
            <w:pStyle w:val="TOC3"/>
            <w:tabs>
              <w:tab w:val="left" w:pos="1200"/>
              <w:tab w:val="right" w:leader="dot" w:pos="9940"/>
            </w:tabs>
            <w:rPr>
              <w:rFonts w:eastAsiaTheme="minorEastAsia" w:cstheme="minorBidi"/>
              <w:i w:val="0"/>
              <w:iCs w:val="0"/>
              <w:noProof/>
              <w:szCs w:val="22"/>
            </w:rPr>
          </w:pPr>
          <w:hyperlink w:anchor="_Toc138342000" w:history="1">
            <w:r w:rsidR="00BA66CC" w:rsidRPr="007C4632">
              <w:rPr>
                <w:rStyle w:val="Hyperlink"/>
                <w:rFonts w:ascii="Marianne" w:eastAsiaTheme="majorEastAsia" w:hAnsi="Marianne"/>
                <w:noProof/>
                <w:lang w:eastAsia="en-US"/>
              </w:rPr>
              <w:t>A.2.</w:t>
            </w:r>
            <w:r w:rsidR="00BA66CC">
              <w:rPr>
                <w:rFonts w:eastAsiaTheme="minorEastAsia" w:cstheme="minorBidi"/>
                <w:i w:val="0"/>
                <w:iCs w:val="0"/>
                <w:noProof/>
                <w:szCs w:val="22"/>
              </w:rPr>
              <w:tab/>
            </w:r>
            <w:r w:rsidR="00BA66CC" w:rsidRPr="007C4632">
              <w:rPr>
                <w:rStyle w:val="Hyperlink"/>
                <w:rFonts w:eastAsiaTheme="majorEastAsia"/>
                <w:noProof/>
                <w:lang w:eastAsia="en-US"/>
              </w:rPr>
              <w:t>Les fondements de la politique climatique</w:t>
            </w:r>
            <w:r w:rsidR="00BA66CC">
              <w:rPr>
                <w:noProof/>
                <w:webHidden/>
              </w:rPr>
              <w:tab/>
            </w:r>
            <w:r w:rsidR="00BA66CC">
              <w:rPr>
                <w:noProof/>
                <w:webHidden/>
              </w:rPr>
              <w:fldChar w:fldCharType="begin"/>
            </w:r>
            <w:r w:rsidR="00BA66CC">
              <w:rPr>
                <w:noProof/>
                <w:webHidden/>
              </w:rPr>
              <w:instrText xml:space="preserve"> PAGEREF _Toc138342000 \h </w:instrText>
            </w:r>
            <w:r w:rsidR="00BA66CC">
              <w:rPr>
                <w:noProof/>
                <w:webHidden/>
              </w:rPr>
            </w:r>
            <w:r w:rsidR="00BA66CC">
              <w:rPr>
                <w:noProof/>
                <w:webHidden/>
              </w:rPr>
              <w:fldChar w:fldCharType="separate"/>
            </w:r>
            <w:r w:rsidR="00BA66CC">
              <w:rPr>
                <w:noProof/>
                <w:webHidden/>
              </w:rPr>
              <w:t>97</w:t>
            </w:r>
            <w:r w:rsidR="00BA66CC">
              <w:rPr>
                <w:noProof/>
                <w:webHidden/>
              </w:rPr>
              <w:fldChar w:fldCharType="end"/>
            </w:r>
          </w:hyperlink>
        </w:p>
        <w:p w14:paraId="42D8F9F9" w14:textId="4B441BEA" w:rsidR="00BA66CC" w:rsidRDefault="00697C78">
          <w:pPr>
            <w:pStyle w:val="TOC3"/>
            <w:tabs>
              <w:tab w:val="left" w:pos="1200"/>
              <w:tab w:val="right" w:leader="dot" w:pos="9940"/>
            </w:tabs>
            <w:rPr>
              <w:rFonts w:eastAsiaTheme="minorEastAsia" w:cstheme="minorBidi"/>
              <w:i w:val="0"/>
              <w:iCs w:val="0"/>
              <w:noProof/>
              <w:szCs w:val="22"/>
            </w:rPr>
          </w:pPr>
          <w:hyperlink w:anchor="_Toc138342001" w:history="1">
            <w:r w:rsidR="00BA66CC" w:rsidRPr="007C4632">
              <w:rPr>
                <w:rStyle w:val="Hyperlink"/>
                <w:rFonts w:ascii="Marianne" w:eastAsiaTheme="majorEastAsia" w:hAnsi="Marianne"/>
                <w:noProof/>
                <w:lang w:eastAsia="en-US"/>
              </w:rPr>
              <w:t>A.3.</w:t>
            </w:r>
            <w:r w:rsidR="00BA66CC">
              <w:rPr>
                <w:rFonts w:eastAsiaTheme="minorEastAsia" w:cstheme="minorBidi"/>
                <w:i w:val="0"/>
                <w:iCs w:val="0"/>
                <w:noProof/>
                <w:szCs w:val="22"/>
              </w:rPr>
              <w:tab/>
            </w:r>
            <w:r w:rsidR="00BA66CC" w:rsidRPr="007C4632">
              <w:rPr>
                <w:rStyle w:val="Hyperlink"/>
                <w:rFonts w:eastAsiaTheme="majorEastAsia"/>
                <w:noProof/>
                <w:lang w:eastAsia="en-US"/>
              </w:rPr>
              <w:t>Le suivi et l’évaluation de la politique climat</w:t>
            </w:r>
            <w:r w:rsidR="00BA66CC">
              <w:rPr>
                <w:noProof/>
                <w:webHidden/>
              </w:rPr>
              <w:tab/>
            </w:r>
            <w:r w:rsidR="00BA66CC">
              <w:rPr>
                <w:noProof/>
                <w:webHidden/>
              </w:rPr>
              <w:fldChar w:fldCharType="begin"/>
            </w:r>
            <w:r w:rsidR="00BA66CC">
              <w:rPr>
                <w:noProof/>
                <w:webHidden/>
              </w:rPr>
              <w:instrText xml:space="preserve"> PAGEREF _Toc138342001 \h </w:instrText>
            </w:r>
            <w:r w:rsidR="00BA66CC">
              <w:rPr>
                <w:noProof/>
                <w:webHidden/>
              </w:rPr>
            </w:r>
            <w:r w:rsidR="00BA66CC">
              <w:rPr>
                <w:noProof/>
                <w:webHidden/>
              </w:rPr>
              <w:fldChar w:fldCharType="separate"/>
            </w:r>
            <w:r w:rsidR="00BA66CC">
              <w:rPr>
                <w:noProof/>
                <w:webHidden/>
              </w:rPr>
              <w:t>100</w:t>
            </w:r>
            <w:r w:rsidR="00BA66CC">
              <w:rPr>
                <w:noProof/>
                <w:webHidden/>
              </w:rPr>
              <w:fldChar w:fldCharType="end"/>
            </w:r>
          </w:hyperlink>
        </w:p>
        <w:p w14:paraId="18FA9209" w14:textId="0B1C27BF" w:rsidR="00BA66CC" w:rsidRDefault="00697C78">
          <w:pPr>
            <w:pStyle w:val="TOC3"/>
            <w:tabs>
              <w:tab w:val="left" w:pos="1200"/>
              <w:tab w:val="right" w:leader="dot" w:pos="9940"/>
            </w:tabs>
            <w:rPr>
              <w:rFonts w:eastAsiaTheme="minorEastAsia" w:cstheme="minorBidi"/>
              <w:i w:val="0"/>
              <w:iCs w:val="0"/>
              <w:noProof/>
              <w:szCs w:val="22"/>
            </w:rPr>
          </w:pPr>
          <w:hyperlink w:anchor="_Toc138342002" w:history="1">
            <w:r w:rsidR="00BA66CC" w:rsidRPr="007C4632">
              <w:rPr>
                <w:rStyle w:val="Hyperlink"/>
                <w:rFonts w:ascii="Marianne" w:eastAsiaTheme="majorEastAsia" w:hAnsi="Marianne"/>
                <w:noProof/>
                <w:lang w:eastAsia="en-US"/>
              </w:rPr>
              <w:t>A.4.</w:t>
            </w:r>
            <w:r w:rsidR="00BA66CC">
              <w:rPr>
                <w:rFonts w:eastAsiaTheme="minorEastAsia" w:cstheme="minorBidi"/>
                <w:i w:val="0"/>
                <w:iCs w:val="0"/>
                <w:noProof/>
                <w:szCs w:val="22"/>
              </w:rPr>
              <w:tab/>
            </w:r>
            <w:r w:rsidR="00BA66CC" w:rsidRPr="007C4632">
              <w:rPr>
                <w:rStyle w:val="Hyperlink"/>
                <w:rFonts w:eastAsiaTheme="majorEastAsia"/>
                <w:noProof/>
                <w:lang w:eastAsia="en-US"/>
              </w:rPr>
              <w:t>Mise en œuvre des politiques européennes</w:t>
            </w:r>
            <w:r w:rsidR="00BA66CC">
              <w:rPr>
                <w:noProof/>
                <w:webHidden/>
              </w:rPr>
              <w:tab/>
            </w:r>
            <w:r w:rsidR="00BA66CC">
              <w:rPr>
                <w:noProof/>
                <w:webHidden/>
              </w:rPr>
              <w:fldChar w:fldCharType="begin"/>
            </w:r>
            <w:r w:rsidR="00BA66CC">
              <w:rPr>
                <w:noProof/>
                <w:webHidden/>
              </w:rPr>
              <w:instrText xml:space="preserve"> PAGEREF _Toc138342002 \h </w:instrText>
            </w:r>
            <w:r w:rsidR="00BA66CC">
              <w:rPr>
                <w:noProof/>
                <w:webHidden/>
              </w:rPr>
            </w:r>
            <w:r w:rsidR="00BA66CC">
              <w:rPr>
                <w:noProof/>
                <w:webHidden/>
              </w:rPr>
              <w:fldChar w:fldCharType="separate"/>
            </w:r>
            <w:r w:rsidR="00BA66CC">
              <w:rPr>
                <w:noProof/>
                <w:webHidden/>
              </w:rPr>
              <w:t>102</w:t>
            </w:r>
            <w:r w:rsidR="00BA66CC">
              <w:rPr>
                <w:noProof/>
                <w:webHidden/>
              </w:rPr>
              <w:fldChar w:fldCharType="end"/>
            </w:r>
          </w:hyperlink>
        </w:p>
        <w:p w14:paraId="5FC12F2C" w14:textId="1C42B614" w:rsidR="00BA66CC" w:rsidRDefault="00697C78">
          <w:pPr>
            <w:pStyle w:val="TOC2"/>
            <w:tabs>
              <w:tab w:val="left" w:pos="600"/>
              <w:tab w:val="right" w:leader="dot" w:pos="9940"/>
            </w:tabs>
            <w:rPr>
              <w:rFonts w:eastAsiaTheme="minorEastAsia" w:cstheme="minorBidi"/>
              <w:smallCaps w:val="0"/>
              <w:noProof/>
              <w:szCs w:val="22"/>
            </w:rPr>
          </w:pPr>
          <w:hyperlink w:anchor="_Toc138342003"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Les politiques et mesures et leurs effets</w:t>
            </w:r>
            <w:r w:rsidR="00BA66CC">
              <w:rPr>
                <w:noProof/>
                <w:webHidden/>
              </w:rPr>
              <w:tab/>
            </w:r>
            <w:r w:rsidR="00BA66CC">
              <w:rPr>
                <w:noProof/>
                <w:webHidden/>
              </w:rPr>
              <w:fldChar w:fldCharType="begin"/>
            </w:r>
            <w:r w:rsidR="00BA66CC">
              <w:rPr>
                <w:noProof/>
                <w:webHidden/>
              </w:rPr>
              <w:instrText xml:space="preserve"> PAGEREF _Toc138342003 \h </w:instrText>
            </w:r>
            <w:r w:rsidR="00BA66CC">
              <w:rPr>
                <w:noProof/>
                <w:webHidden/>
              </w:rPr>
            </w:r>
            <w:r w:rsidR="00BA66CC">
              <w:rPr>
                <w:noProof/>
                <w:webHidden/>
              </w:rPr>
              <w:fldChar w:fldCharType="separate"/>
            </w:r>
            <w:r w:rsidR="00BA66CC">
              <w:rPr>
                <w:noProof/>
                <w:webHidden/>
              </w:rPr>
              <w:t>103</w:t>
            </w:r>
            <w:r w:rsidR="00BA66CC">
              <w:rPr>
                <w:noProof/>
                <w:webHidden/>
              </w:rPr>
              <w:fldChar w:fldCharType="end"/>
            </w:r>
          </w:hyperlink>
        </w:p>
        <w:p w14:paraId="113B84E7" w14:textId="732D70DA" w:rsidR="00BA66CC" w:rsidRDefault="00697C78">
          <w:pPr>
            <w:pStyle w:val="TOC3"/>
            <w:tabs>
              <w:tab w:val="left" w:pos="1000"/>
              <w:tab w:val="right" w:leader="dot" w:pos="9940"/>
            </w:tabs>
            <w:rPr>
              <w:rFonts w:eastAsiaTheme="minorEastAsia" w:cstheme="minorBidi"/>
              <w:i w:val="0"/>
              <w:iCs w:val="0"/>
              <w:noProof/>
              <w:szCs w:val="22"/>
            </w:rPr>
          </w:pPr>
          <w:hyperlink w:anchor="_Toc138342004"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Transport</w:t>
            </w:r>
            <w:r w:rsidR="00BA66CC">
              <w:rPr>
                <w:noProof/>
                <w:webHidden/>
              </w:rPr>
              <w:tab/>
            </w:r>
            <w:r w:rsidR="00BA66CC">
              <w:rPr>
                <w:noProof/>
                <w:webHidden/>
              </w:rPr>
              <w:fldChar w:fldCharType="begin"/>
            </w:r>
            <w:r w:rsidR="00BA66CC">
              <w:rPr>
                <w:noProof/>
                <w:webHidden/>
              </w:rPr>
              <w:instrText xml:space="preserve"> PAGEREF _Toc138342004 \h </w:instrText>
            </w:r>
            <w:r w:rsidR="00BA66CC">
              <w:rPr>
                <w:noProof/>
                <w:webHidden/>
              </w:rPr>
            </w:r>
            <w:r w:rsidR="00BA66CC">
              <w:rPr>
                <w:noProof/>
                <w:webHidden/>
              </w:rPr>
              <w:fldChar w:fldCharType="separate"/>
            </w:r>
            <w:r w:rsidR="00BA66CC">
              <w:rPr>
                <w:noProof/>
                <w:webHidden/>
              </w:rPr>
              <w:t>103</w:t>
            </w:r>
            <w:r w:rsidR="00BA66CC">
              <w:rPr>
                <w:noProof/>
                <w:webHidden/>
              </w:rPr>
              <w:fldChar w:fldCharType="end"/>
            </w:r>
          </w:hyperlink>
        </w:p>
        <w:p w14:paraId="33664432" w14:textId="0AA975BE" w:rsidR="00BA66CC" w:rsidRDefault="00697C78">
          <w:pPr>
            <w:pStyle w:val="TOC3"/>
            <w:tabs>
              <w:tab w:val="left" w:pos="1000"/>
              <w:tab w:val="right" w:leader="dot" w:pos="9940"/>
            </w:tabs>
            <w:rPr>
              <w:rFonts w:eastAsiaTheme="minorEastAsia" w:cstheme="minorBidi"/>
              <w:i w:val="0"/>
              <w:iCs w:val="0"/>
              <w:noProof/>
              <w:szCs w:val="22"/>
            </w:rPr>
          </w:pPr>
          <w:hyperlink w:anchor="_Toc138342005"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Résidentiel/tertiaire</w:t>
            </w:r>
            <w:r w:rsidR="00BA66CC">
              <w:rPr>
                <w:noProof/>
                <w:webHidden/>
              </w:rPr>
              <w:tab/>
            </w:r>
            <w:r w:rsidR="00BA66CC">
              <w:rPr>
                <w:noProof/>
                <w:webHidden/>
              </w:rPr>
              <w:fldChar w:fldCharType="begin"/>
            </w:r>
            <w:r w:rsidR="00BA66CC">
              <w:rPr>
                <w:noProof/>
                <w:webHidden/>
              </w:rPr>
              <w:instrText xml:space="preserve"> PAGEREF _Toc138342005 \h </w:instrText>
            </w:r>
            <w:r w:rsidR="00BA66CC">
              <w:rPr>
                <w:noProof/>
                <w:webHidden/>
              </w:rPr>
            </w:r>
            <w:r w:rsidR="00BA66CC">
              <w:rPr>
                <w:noProof/>
                <w:webHidden/>
              </w:rPr>
              <w:fldChar w:fldCharType="separate"/>
            </w:r>
            <w:r w:rsidR="00BA66CC">
              <w:rPr>
                <w:noProof/>
                <w:webHidden/>
              </w:rPr>
              <w:t>114</w:t>
            </w:r>
            <w:r w:rsidR="00BA66CC">
              <w:rPr>
                <w:noProof/>
                <w:webHidden/>
              </w:rPr>
              <w:fldChar w:fldCharType="end"/>
            </w:r>
          </w:hyperlink>
        </w:p>
        <w:p w14:paraId="7553076E" w14:textId="459C7BAF" w:rsidR="00BA66CC" w:rsidRDefault="00697C78">
          <w:pPr>
            <w:pStyle w:val="TOC3"/>
            <w:tabs>
              <w:tab w:val="left" w:pos="1000"/>
              <w:tab w:val="right" w:leader="dot" w:pos="9940"/>
            </w:tabs>
            <w:rPr>
              <w:rFonts w:eastAsiaTheme="minorEastAsia" w:cstheme="minorBidi"/>
              <w:i w:val="0"/>
              <w:iCs w:val="0"/>
              <w:noProof/>
              <w:szCs w:val="22"/>
            </w:rPr>
          </w:pPr>
          <w:hyperlink w:anchor="_Toc138342006" w:history="1">
            <w:r w:rsidR="00BA66CC" w:rsidRPr="007C4632">
              <w:rPr>
                <w:rStyle w:val="Hyperlink"/>
                <w:rFonts w:ascii="Marianne" w:eastAsiaTheme="majorEastAsia" w:hAnsi="Marianne"/>
                <w:noProof/>
              </w:rPr>
              <w:t>B.3.</w:t>
            </w:r>
            <w:r w:rsidR="00BA66CC">
              <w:rPr>
                <w:rFonts w:eastAsiaTheme="minorEastAsia" w:cstheme="minorBidi"/>
                <w:i w:val="0"/>
                <w:iCs w:val="0"/>
                <w:noProof/>
                <w:szCs w:val="22"/>
              </w:rPr>
              <w:tab/>
            </w:r>
            <w:r w:rsidR="00BA66CC" w:rsidRPr="007C4632">
              <w:rPr>
                <w:rStyle w:val="Hyperlink"/>
                <w:rFonts w:eastAsiaTheme="majorEastAsia"/>
                <w:noProof/>
              </w:rPr>
              <w:t>Industrie manufacturière</w:t>
            </w:r>
            <w:r w:rsidR="00BA66CC">
              <w:rPr>
                <w:noProof/>
                <w:webHidden/>
              </w:rPr>
              <w:tab/>
            </w:r>
            <w:r w:rsidR="00BA66CC">
              <w:rPr>
                <w:noProof/>
                <w:webHidden/>
              </w:rPr>
              <w:fldChar w:fldCharType="begin"/>
            </w:r>
            <w:r w:rsidR="00BA66CC">
              <w:rPr>
                <w:noProof/>
                <w:webHidden/>
              </w:rPr>
              <w:instrText xml:space="preserve"> PAGEREF _Toc138342006 \h </w:instrText>
            </w:r>
            <w:r w:rsidR="00BA66CC">
              <w:rPr>
                <w:noProof/>
                <w:webHidden/>
              </w:rPr>
            </w:r>
            <w:r w:rsidR="00BA66CC">
              <w:rPr>
                <w:noProof/>
                <w:webHidden/>
              </w:rPr>
              <w:fldChar w:fldCharType="separate"/>
            </w:r>
            <w:r w:rsidR="00BA66CC">
              <w:rPr>
                <w:noProof/>
                <w:webHidden/>
              </w:rPr>
              <w:t>122</w:t>
            </w:r>
            <w:r w:rsidR="00BA66CC">
              <w:rPr>
                <w:noProof/>
                <w:webHidden/>
              </w:rPr>
              <w:fldChar w:fldCharType="end"/>
            </w:r>
          </w:hyperlink>
        </w:p>
        <w:p w14:paraId="0D50FBED" w14:textId="65E60E35" w:rsidR="00BA66CC" w:rsidRDefault="00697C78">
          <w:pPr>
            <w:pStyle w:val="TOC3"/>
            <w:tabs>
              <w:tab w:val="left" w:pos="1000"/>
              <w:tab w:val="right" w:leader="dot" w:pos="9940"/>
            </w:tabs>
            <w:rPr>
              <w:rFonts w:eastAsiaTheme="minorEastAsia" w:cstheme="minorBidi"/>
              <w:i w:val="0"/>
              <w:iCs w:val="0"/>
              <w:noProof/>
              <w:szCs w:val="22"/>
            </w:rPr>
          </w:pPr>
          <w:hyperlink w:anchor="_Toc138342007" w:history="1">
            <w:r w:rsidR="00BA66CC" w:rsidRPr="007C4632">
              <w:rPr>
                <w:rStyle w:val="Hyperlink"/>
                <w:rFonts w:ascii="Marianne" w:eastAsiaTheme="majorEastAsia" w:hAnsi="Marianne"/>
                <w:noProof/>
              </w:rPr>
              <w:t>B.4.</w:t>
            </w:r>
            <w:r w:rsidR="00BA66CC">
              <w:rPr>
                <w:rFonts w:eastAsiaTheme="minorEastAsia" w:cstheme="minorBidi"/>
                <w:i w:val="0"/>
                <w:iCs w:val="0"/>
                <w:noProof/>
                <w:szCs w:val="22"/>
              </w:rPr>
              <w:tab/>
            </w:r>
            <w:r w:rsidR="00BA66CC" w:rsidRPr="007C4632">
              <w:rPr>
                <w:rStyle w:val="Hyperlink"/>
                <w:rFonts w:eastAsiaTheme="majorEastAsia"/>
                <w:noProof/>
              </w:rPr>
              <w:t>Industrie de l’énergie</w:t>
            </w:r>
            <w:r w:rsidR="00BA66CC">
              <w:rPr>
                <w:noProof/>
                <w:webHidden/>
              </w:rPr>
              <w:tab/>
            </w:r>
            <w:r w:rsidR="00BA66CC">
              <w:rPr>
                <w:noProof/>
                <w:webHidden/>
              </w:rPr>
              <w:fldChar w:fldCharType="begin"/>
            </w:r>
            <w:r w:rsidR="00BA66CC">
              <w:rPr>
                <w:noProof/>
                <w:webHidden/>
              </w:rPr>
              <w:instrText xml:space="preserve"> PAGEREF _Toc138342007 \h </w:instrText>
            </w:r>
            <w:r w:rsidR="00BA66CC">
              <w:rPr>
                <w:noProof/>
                <w:webHidden/>
              </w:rPr>
            </w:r>
            <w:r w:rsidR="00BA66CC">
              <w:rPr>
                <w:noProof/>
                <w:webHidden/>
              </w:rPr>
              <w:fldChar w:fldCharType="separate"/>
            </w:r>
            <w:r w:rsidR="00BA66CC">
              <w:rPr>
                <w:noProof/>
                <w:webHidden/>
              </w:rPr>
              <w:t>125</w:t>
            </w:r>
            <w:r w:rsidR="00BA66CC">
              <w:rPr>
                <w:noProof/>
                <w:webHidden/>
              </w:rPr>
              <w:fldChar w:fldCharType="end"/>
            </w:r>
          </w:hyperlink>
        </w:p>
        <w:p w14:paraId="76DD7B67" w14:textId="00A79368" w:rsidR="00BA66CC" w:rsidRDefault="00697C78">
          <w:pPr>
            <w:pStyle w:val="TOC3"/>
            <w:tabs>
              <w:tab w:val="left" w:pos="1000"/>
              <w:tab w:val="right" w:leader="dot" w:pos="9940"/>
            </w:tabs>
            <w:rPr>
              <w:rFonts w:eastAsiaTheme="minorEastAsia" w:cstheme="minorBidi"/>
              <w:i w:val="0"/>
              <w:iCs w:val="0"/>
              <w:noProof/>
              <w:szCs w:val="22"/>
            </w:rPr>
          </w:pPr>
          <w:hyperlink w:anchor="_Toc138342008" w:history="1">
            <w:r w:rsidR="00BA66CC" w:rsidRPr="007C4632">
              <w:rPr>
                <w:rStyle w:val="Hyperlink"/>
                <w:rFonts w:ascii="Marianne" w:eastAsiaTheme="majorEastAsia" w:hAnsi="Marianne"/>
                <w:noProof/>
              </w:rPr>
              <w:t>B.5.</w:t>
            </w:r>
            <w:r w:rsidR="00BA66CC">
              <w:rPr>
                <w:rFonts w:eastAsiaTheme="minorEastAsia" w:cstheme="minorBidi"/>
                <w:i w:val="0"/>
                <w:iCs w:val="0"/>
                <w:noProof/>
                <w:szCs w:val="22"/>
              </w:rPr>
              <w:tab/>
            </w:r>
            <w:r w:rsidR="00BA66CC" w:rsidRPr="007C4632">
              <w:rPr>
                <w:rStyle w:val="Hyperlink"/>
                <w:rFonts w:eastAsiaTheme="majorEastAsia"/>
                <w:noProof/>
              </w:rPr>
              <w:t>Agriculture</w:t>
            </w:r>
            <w:r w:rsidR="00BA66CC">
              <w:rPr>
                <w:noProof/>
                <w:webHidden/>
              </w:rPr>
              <w:tab/>
            </w:r>
            <w:r w:rsidR="00BA66CC">
              <w:rPr>
                <w:noProof/>
                <w:webHidden/>
              </w:rPr>
              <w:fldChar w:fldCharType="begin"/>
            </w:r>
            <w:r w:rsidR="00BA66CC">
              <w:rPr>
                <w:noProof/>
                <w:webHidden/>
              </w:rPr>
              <w:instrText xml:space="preserve"> PAGEREF _Toc138342008 \h </w:instrText>
            </w:r>
            <w:r w:rsidR="00BA66CC">
              <w:rPr>
                <w:noProof/>
                <w:webHidden/>
              </w:rPr>
            </w:r>
            <w:r w:rsidR="00BA66CC">
              <w:rPr>
                <w:noProof/>
                <w:webHidden/>
              </w:rPr>
              <w:fldChar w:fldCharType="separate"/>
            </w:r>
            <w:r w:rsidR="00BA66CC">
              <w:rPr>
                <w:noProof/>
                <w:webHidden/>
              </w:rPr>
              <w:t>131</w:t>
            </w:r>
            <w:r w:rsidR="00BA66CC">
              <w:rPr>
                <w:noProof/>
                <w:webHidden/>
              </w:rPr>
              <w:fldChar w:fldCharType="end"/>
            </w:r>
          </w:hyperlink>
        </w:p>
        <w:p w14:paraId="29D40320" w14:textId="23C088FF" w:rsidR="00BA66CC" w:rsidRDefault="00697C78">
          <w:pPr>
            <w:pStyle w:val="TOC3"/>
            <w:tabs>
              <w:tab w:val="left" w:pos="1000"/>
              <w:tab w:val="right" w:leader="dot" w:pos="9940"/>
            </w:tabs>
            <w:rPr>
              <w:rFonts w:eastAsiaTheme="minorEastAsia" w:cstheme="minorBidi"/>
              <w:i w:val="0"/>
              <w:iCs w:val="0"/>
              <w:noProof/>
              <w:szCs w:val="22"/>
            </w:rPr>
          </w:pPr>
          <w:hyperlink w:anchor="_Toc138342009" w:history="1">
            <w:r w:rsidR="00BA66CC" w:rsidRPr="007C4632">
              <w:rPr>
                <w:rStyle w:val="Hyperlink"/>
                <w:rFonts w:ascii="Marianne" w:eastAsiaTheme="majorEastAsia" w:hAnsi="Marianne"/>
                <w:noProof/>
              </w:rPr>
              <w:t>B.6.</w:t>
            </w:r>
            <w:r w:rsidR="00BA66CC">
              <w:rPr>
                <w:rFonts w:eastAsiaTheme="minorEastAsia" w:cstheme="minorBidi"/>
                <w:i w:val="0"/>
                <w:iCs w:val="0"/>
                <w:noProof/>
                <w:szCs w:val="22"/>
              </w:rPr>
              <w:tab/>
            </w:r>
            <w:r w:rsidR="00BA66CC" w:rsidRPr="007C4632">
              <w:rPr>
                <w:rStyle w:val="Hyperlink"/>
                <w:rFonts w:eastAsiaTheme="majorEastAsia"/>
                <w:noProof/>
              </w:rPr>
              <w:t>Usage des terres, changements d’affectation des terres et forêts (UTCATF)</w:t>
            </w:r>
            <w:r w:rsidR="00BA66CC">
              <w:rPr>
                <w:noProof/>
                <w:webHidden/>
              </w:rPr>
              <w:tab/>
            </w:r>
            <w:r w:rsidR="00BA66CC">
              <w:rPr>
                <w:noProof/>
                <w:webHidden/>
              </w:rPr>
              <w:fldChar w:fldCharType="begin"/>
            </w:r>
            <w:r w:rsidR="00BA66CC">
              <w:rPr>
                <w:noProof/>
                <w:webHidden/>
              </w:rPr>
              <w:instrText xml:space="preserve"> PAGEREF _Toc138342009 \h </w:instrText>
            </w:r>
            <w:r w:rsidR="00BA66CC">
              <w:rPr>
                <w:noProof/>
                <w:webHidden/>
              </w:rPr>
            </w:r>
            <w:r w:rsidR="00BA66CC">
              <w:rPr>
                <w:noProof/>
                <w:webHidden/>
              </w:rPr>
              <w:fldChar w:fldCharType="separate"/>
            </w:r>
            <w:r w:rsidR="00BA66CC">
              <w:rPr>
                <w:noProof/>
                <w:webHidden/>
              </w:rPr>
              <w:t>142</w:t>
            </w:r>
            <w:r w:rsidR="00BA66CC">
              <w:rPr>
                <w:noProof/>
                <w:webHidden/>
              </w:rPr>
              <w:fldChar w:fldCharType="end"/>
            </w:r>
          </w:hyperlink>
        </w:p>
        <w:p w14:paraId="45889AE5" w14:textId="6B3C65D3" w:rsidR="00BA66CC" w:rsidRDefault="00697C78">
          <w:pPr>
            <w:pStyle w:val="TOC3"/>
            <w:tabs>
              <w:tab w:val="left" w:pos="1000"/>
              <w:tab w:val="right" w:leader="dot" w:pos="9940"/>
            </w:tabs>
            <w:rPr>
              <w:rFonts w:eastAsiaTheme="minorEastAsia" w:cstheme="minorBidi"/>
              <w:i w:val="0"/>
              <w:iCs w:val="0"/>
              <w:noProof/>
              <w:szCs w:val="22"/>
            </w:rPr>
          </w:pPr>
          <w:hyperlink w:anchor="_Toc138342010" w:history="1">
            <w:r w:rsidR="00BA66CC" w:rsidRPr="007C4632">
              <w:rPr>
                <w:rStyle w:val="Hyperlink"/>
                <w:rFonts w:ascii="Marianne" w:eastAsiaTheme="majorEastAsia" w:hAnsi="Marianne"/>
                <w:noProof/>
              </w:rPr>
              <w:t>B.7.</w:t>
            </w:r>
            <w:r w:rsidR="00BA66CC">
              <w:rPr>
                <w:rFonts w:eastAsiaTheme="minorEastAsia" w:cstheme="minorBidi"/>
                <w:i w:val="0"/>
                <w:iCs w:val="0"/>
                <w:noProof/>
                <w:szCs w:val="22"/>
              </w:rPr>
              <w:tab/>
            </w:r>
            <w:r w:rsidR="00BA66CC" w:rsidRPr="007C4632">
              <w:rPr>
                <w:rStyle w:val="Hyperlink"/>
                <w:rFonts w:eastAsiaTheme="majorEastAsia"/>
                <w:noProof/>
              </w:rPr>
              <w:t>Traitement des déchets</w:t>
            </w:r>
            <w:r w:rsidR="00BA66CC">
              <w:rPr>
                <w:noProof/>
                <w:webHidden/>
              </w:rPr>
              <w:tab/>
            </w:r>
            <w:r w:rsidR="00BA66CC">
              <w:rPr>
                <w:noProof/>
                <w:webHidden/>
              </w:rPr>
              <w:fldChar w:fldCharType="begin"/>
            </w:r>
            <w:r w:rsidR="00BA66CC">
              <w:rPr>
                <w:noProof/>
                <w:webHidden/>
              </w:rPr>
              <w:instrText xml:space="preserve"> PAGEREF _Toc138342010 \h </w:instrText>
            </w:r>
            <w:r w:rsidR="00BA66CC">
              <w:rPr>
                <w:noProof/>
                <w:webHidden/>
              </w:rPr>
            </w:r>
            <w:r w:rsidR="00BA66CC">
              <w:rPr>
                <w:noProof/>
                <w:webHidden/>
              </w:rPr>
              <w:fldChar w:fldCharType="separate"/>
            </w:r>
            <w:r w:rsidR="00BA66CC">
              <w:rPr>
                <w:noProof/>
                <w:webHidden/>
              </w:rPr>
              <w:t>149</w:t>
            </w:r>
            <w:r w:rsidR="00BA66CC">
              <w:rPr>
                <w:noProof/>
                <w:webHidden/>
              </w:rPr>
              <w:fldChar w:fldCharType="end"/>
            </w:r>
          </w:hyperlink>
        </w:p>
        <w:p w14:paraId="24AB2CD8" w14:textId="2BD341B6" w:rsidR="00BA66CC" w:rsidRDefault="00697C78">
          <w:pPr>
            <w:pStyle w:val="TOC3"/>
            <w:tabs>
              <w:tab w:val="left" w:pos="1000"/>
              <w:tab w:val="right" w:leader="dot" w:pos="9940"/>
            </w:tabs>
            <w:rPr>
              <w:rFonts w:eastAsiaTheme="minorEastAsia" w:cstheme="minorBidi"/>
              <w:i w:val="0"/>
              <w:iCs w:val="0"/>
              <w:noProof/>
              <w:szCs w:val="22"/>
            </w:rPr>
          </w:pPr>
          <w:hyperlink w:anchor="_Toc138342011" w:history="1">
            <w:r w:rsidR="00BA66CC" w:rsidRPr="007C4632">
              <w:rPr>
                <w:rStyle w:val="Hyperlink"/>
                <w:rFonts w:ascii="Marianne" w:eastAsiaTheme="majorEastAsia" w:hAnsi="Marianne"/>
                <w:noProof/>
              </w:rPr>
              <w:t>B.8.</w:t>
            </w:r>
            <w:r w:rsidR="00BA66CC">
              <w:rPr>
                <w:rFonts w:eastAsiaTheme="minorEastAsia" w:cstheme="minorBidi"/>
                <w:i w:val="0"/>
                <w:iCs w:val="0"/>
                <w:noProof/>
                <w:szCs w:val="22"/>
              </w:rPr>
              <w:tab/>
            </w:r>
            <w:r w:rsidR="00BA66CC" w:rsidRPr="007C4632">
              <w:rPr>
                <w:rStyle w:val="Hyperlink"/>
                <w:rFonts w:eastAsiaTheme="majorEastAsia"/>
                <w:noProof/>
              </w:rPr>
              <w:t>Les politiques et mesures transversales</w:t>
            </w:r>
            <w:r w:rsidR="00BA66CC">
              <w:rPr>
                <w:noProof/>
                <w:webHidden/>
              </w:rPr>
              <w:tab/>
            </w:r>
            <w:r w:rsidR="00BA66CC">
              <w:rPr>
                <w:noProof/>
                <w:webHidden/>
              </w:rPr>
              <w:fldChar w:fldCharType="begin"/>
            </w:r>
            <w:r w:rsidR="00BA66CC">
              <w:rPr>
                <w:noProof/>
                <w:webHidden/>
              </w:rPr>
              <w:instrText xml:space="preserve"> PAGEREF _Toc138342011 \h </w:instrText>
            </w:r>
            <w:r w:rsidR="00BA66CC">
              <w:rPr>
                <w:noProof/>
                <w:webHidden/>
              </w:rPr>
            </w:r>
            <w:r w:rsidR="00BA66CC">
              <w:rPr>
                <w:noProof/>
                <w:webHidden/>
              </w:rPr>
              <w:fldChar w:fldCharType="separate"/>
            </w:r>
            <w:r w:rsidR="00BA66CC">
              <w:rPr>
                <w:noProof/>
                <w:webHidden/>
              </w:rPr>
              <w:t>153</w:t>
            </w:r>
            <w:r w:rsidR="00BA66CC">
              <w:rPr>
                <w:noProof/>
                <w:webHidden/>
              </w:rPr>
              <w:fldChar w:fldCharType="end"/>
            </w:r>
          </w:hyperlink>
        </w:p>
        <w:p w14:paraId="55E4124A" w14:textId="7B67E0AA" w:rsidR="00BA66CC" w:rsidRDefault="00697C78">
          <w:pPr>
            <w:pStyle w:val="TOC2"/>
            <w:tabs>
              <w:tab w:val="left" w:pos="600"/>
              <w:tab w:val="right" w:leader="dot" w:pos="9940"/>
            </w:tabs>
            <w:rPr>
              <w:rFonts w:eastAsiaTheme="minorEastAsia" w:cstheme="minorBidi"/>
              <w:smallCaps w:val="0"/>
              <w:noProof/>
              <w:szCs w:val="22"/>
            </w:rPr>
          </w:pPr>
          <w:hyperlink w:anchor="_Toc138342012"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Politiques et mesures mises en œuvre en accord avec l’article 2 du Protocole de Kyoto</w:t>
            </w:r>
            <w:r w:rsidR="00BA66CC">
              <w:rPr>
                <w:noProof/>
                <w:webHidden/>
              </w:rPr>
              <w:tab/>
            </w:r>
            <w:r w:rsidR="00BA66CC">
              <w:rPr>
                <w:noProof/>
                <w:webHidden/>
              </w:rPr>
              <w:fldChar w:fldCharType="begin"/>
            </w:r>
            <w:r w:rsidR="00BA66CC">
              <w:rPr>
                <w:noProof/>
                <w:webHidden/>
              </w:rPr>
              <w:instrText xml:space="preserve"> PAGEREF _Toc138342012 \h </w:instrText>
            </w:r>
            <w:r w:rsidR="00BA66CC">
              <w:rPr>
                <w:noProof/>
                <w:webHidden/>
              </w:rPr>
            </w:r>
            <w:r w:rsidR="00BA66CC">
              <w:rPr>
                <w:noProof/>
                <w:webHidden/>
              </w:rPr>
              <w:fldChar w:fldCharType="separate"/>
            </w:r>
            <w:r w:rsidR="00BA66CC">
              <w:rPr>
                <w:noProof/>
                <w:webHidden/>
              </w:rPr>
              <w:t>155</w:t>
            </w:r>
            <w:r w:rsidR="00BA66CC">
              <w:rPr>
                <w:noProof/>
                <w:webHidden/>
              </w:rPr>
              <w:fldChar w:fldCharType="end"/>
            </w:r>
          </w:hyperlink>
        </w:p>
        <w:p w14:paraId="299E8716" w14:textId="65C61496" w:rsidR="00BA66CC" w:rsidRDefault="00697C78">
          <w:pPr>
            <w:pStyle w:val="TOC3"/>
            <w:tabs>
              <w:tab w:val="left" w:pos="1000"/>
              <w:tab w:val="right" w:leader="dot" w:pos="9940"/>
            </w:tabs>
            <w:rPr>
              <w:rFonts w:eastAsiaTheme="minorEastAsia" w:cstheme="minorBidi"/>
              <w:i w:val="0"/>
              <w:iCs w:val="0"/>
              <w:noProof/>
              <w:szCs w:val="22"/>
            </w:rPr>
          </w:pPr>
          <w:hyperlink w:anchor="_Toc138342013" w:history="1">
            <w:r w:rsidR="00BA66CC" w:rsidRPr="007C4632">
              <w:rPr>
                <w:rStyle w:val="Hyperlink"/>
                <w:rFonts w:ascii="Marianne" w:eastAsiaTheme="majorEastAsia" w:hAnsi="Marianne"/>
                <w:noProof/>
              </w:rPr>
              <w:t>C.1.</w:t>
            </w:r>
            <w:r w:rsidR="00BA66CC">
              <w:rPr>
                <w:rFonts w:eastAsiaTheme="minorEastAsia" w:cstheme="minorBidi"/>
                <w:i w:val="0"/>
                <w:iCs w:val="0"/>
                <w:noProof/>
                <w:szCs w:val="22"/>
              </w:rPr>
              <w:tab/>
            </w:r>
            <w:r w:rsidR="00BA66CC" w:rsidRPr="007C4632">
              <w:rPr>
                <w:rStyle w:val="Hyperlink"/>
                <w:rFonts w:eastAsiaTheme="majorEastAsia"/>
                <w:noProof/>
              </w:rPr>
              <w:t>Politiques et mesures relatives aux soutes internationales (article 2.2)</w:t>
            </w:r>
            <w:r w:rsidR="00BA66CC">
              <w:rPr>
                <w:noProof/>
                <w:webHidden/>
              </w:rPr>
              <w:tab/>
            </w:r>
            <w:r w:rsidR="00BA66CC">
              <w:rPr>
                <w:noProof/>
                <w:webHidden/>
              </w:rPr>
              <w:fldChar w:fldCharType="begin"/>
            </w:r>
            <w:r w:rsidR="00BA66CC">
              <w:rPr>
                <w:noProof/>
                <w:webHidden/>
              </w:rPr>
              <w:instrText xml:space="preserve"> PAGEREF _Toc138342013 \h </w:instrText>
            </w:r>
            <w:r w:rsidR="00BA66CC">
              <w:rPr>
                <w:noProof/>
                <w:webHidden/>
              </w:rPr>
            </w:r>
            <w:r w:rsidR="00BA66CC">
              <w:rPr>
                <w:noProof/>
                <w:webHidden/>
              </w:rPr>
              <w:fldChar w:fldCharType="separate"/>
            </w:r>
            <w:r w:rsidR="00BA66CC">
              <w:rPr>
                <w:noProof/>
                <w:webHidden/>
              </w:rPr>
              <w:t>155</w:t>
            </w:r>
            <w:r w:rsidR="00BA66CC">
              <w:rPr>
                <w:noProof/>
                <w:webHidden/>
              </w:rPr>
              <w:fldChar w:fldCharType="end"/>
            </w:r>
          </w:hyperlink>
        </w:p>
        <w:p w14:paraId="41B1278A" w14:textId="66461161" w:rsidR="00BA66CC" w:rsidRDefault="00697C78">
          <w:pPr>
            <w:pStyle w:val="TOC3"/>
            <w:tabs>
              <w:tab w:val="left" w:pos="1200"/>
              <w:tab w:val="right" w:leader="dot" w:pos="9940"/>
            </w:tabs>
            <w:rPr>
              <w:rFonts w:eastAsiaTheme="minorEastAsia" w:cstheme="minorBidi"/>
              <w:i w:val="0"/>
              <w:iCs w:val="0"/>
              <w:noProof/>
              <w:szCs w:val="22"/>
            </w:rPr>
          </w:pPr>
          <w:hyperlink w:anchor="_Toc138342014" w:history="1">
            <w:r w:rsidR="00BA66CC" w:rsidRPr="007C4632">
              <w:rPr>
                <w:rStyle w:val="Hyperlink"/>
                <w:rFonts w:ascii="Marianne" w:eastAsiaTheme="majorEastAsia" w:hAnsi="Marianne"/>
                <w:noProof/>
              </w:rPr>
              <w:t>C.2.</w:t>
            </w:r>
            <w:r w:rsidR="00BA66CC">
              <w:rPr>
                <w:rFonts w:eastAsiaTheme="minorEastAsia" w:cstheme="minorBidi"/>
                <w:i w:val="0"/>
                <w:iCs w:val="0"/>
                <w:noProof/>
                <w:szCs w:val="22"/>
              </w:rPr>
              <w:tab/>
            </w:r>
            <w:r w:rsidR="00BA66CC" w:rsidRPr="007C4632">
              <w:rPr>
                <w:rStyle w:val="Hyperlink"/>
                <w:rFonts w:eastAsiaTheme="majorEastAsia"/>
                <w:noProof/>
              </w:rPr>
              <w:t>Minimisation des effets adverses sur les pays en développement des politiques et mesures mises en œuvre (article 2.3)</w:t>
            </w:r>
            <w:r w:rsidR="00BA66CC">
              <w:rPr>
                <w:noProof/>
                <w:webHidden/>
              </w:rPr>
              <w:tab/>
            </w:r>
            <w:r w:rsidR="00BA66CC">
              <w:rPr>
                <w:noProof/>
                <w:webHidden/>
              </w:rPr>
              <w:fldChar w:fldCharType="begin"/>
            </w:r>
            <w:r w:rsidR="00BA66CC">
              <w:rPr>
                <w:noProof/>
                <w:webHidden/>
              </w:rPr>
              <w:instrText xml:space="preserve"> PAGEREF _Toc138342014 \h </w:instrText>
            </w:r>
            <w:r w:rsidR="00BA66CC">
              <w:rPr>
                <w:noProof/>
                <w:webHidden/>
              </w:rPr>
            </w:r>
            <w:r w:rsidR="00BA66CC">
              <w:rPr>
                <w:noProof/>
                <w:webHidden/>
              </w:rPr>
              <w:fldChar w:fldCharType="separate"/>
            </w:r>
            <w:r w:rsidR="00BA66CC">
              <w:rPr>
                <w:noProof/>
                <w:webHidden/>
              </w:rPr>
              <w:t>156</w:t>
            </w:r>
            <w:r w:rsidR="00BA66CC">
              <w:rPr>
                <w:noProof/>
                <w:webHidden/>
              </w:rPr>
              <w:fldChar w:fldCharType="end"/>
            </w:r>
          </w:hyperlink>
        </w:p>
        <w:p w14:paraId="4446BD16" w14:textId="3F3C7AE2" w:rsidR="00BA66CC" w:rsidRDefault="00697C78">
          <w:pPr>
            <w:pStyle w:val="TOC1"/>
            <w:rPr>
              <w:rFonts w:eastAsiaTheme="minorEastAsia" w:cstheme="minorBidi"/>
              <w:b w:val="0"/>
              <w:bCs w:val="0"/>
              <w:caps w:val="0"/>
              <w:noProof/>
              <w:szCs w:val="22"/>
            </w:rPr>
          </w:pPr>
          <w:hyperlink w:anchor="_Toc138342015" w:history="1">
            <w:r w:rsidR="00BA66CC" w:rsidRPr="007C4632">
              <w:rPr>
                <w:rStyle w:val="Hyperlink"/>
                <w:rFonts w:eastAsiaTheme="majorEastAsia"/>
                <w:noProof/>
              </w:rPr>
              <w:t>Chapitre V – Projections d’émissions de GES et quantification de l’impact des politiques et mesures</w:t>
            </w:r>
            <w:r w:rsidR="00BA66CC">
              <w:rPr>
                <w:noProof/>
                <w:webHidden/>
              </w:rPr>
              <w:tab/>
            </w:r>
            <w:r w:rsidR="00BA66CC">
              <w:rPr>
                <w:noProof/>
                <w:webHidden/>
              </w:rPr>
              <w:fldChar w:fldCharType="begin"/>
            </w:r>
            <w:r w:rsidR="00BA66CC">
              <w:rPr>
                <w:noProof/>
                <w:webHidden/>
              </w:rPr>
              <w:instrText xml:space="preserve"> PAGEREF _Toc138342015 \h </w:instrText>
            </w:r>
            <w:r w:rsidR="00BA66CC">
              <w:rPr>
                <w:noProof/>
                <w:webHidden/>
              </w:rPr>
            </w:r>
            <w:r w:rsidR="00BA66CC">
              <w:rPr>
                <w:noProof/>
                <w:webHidden/>
              </w:rPr>
              <w:fldChar w:fldCharType="separate"/>
            </w:r>
            <w:r w:rsidR="00BA66CC">
              <w:rPr>
                <w:noProof/>
                <w:webHidden/>
              </w:rPr>
              <w:t>158</w:t>
            </w:r>
            <w:r w:rsidR="00BA66CC">
              <w:rPr>
                <w:noProof/>
                <w:webHidden/>
              </w:rPr>
              <w:fldChar w:fldCharType="end"/>
            </w:r>
          </w:hyperlink>
        </w:p>
        <w:p w14:paraId="68D0DAAB" w14:textId="42E48BAA" w:rsidR="00BA66CC" w:rsidRDefault="00697C78">
          <w:pPr>
            <w:pStyle w:val="TOC2"/>
            <w:tabs>
              <w:tab w:val="left" w:pos="800"/>
              <w:tab w:val="right" w:leader="dot" w:pos="9940"/>
            </w:tabs>
            <w:rPr>
              <w:rFonts w:eastAsiaTheme="minorEastAsia" w:cstheme="minorBidi"/>
              <w:smallCaps w:val="0"/>
              <w:noProof/>
              <w:szCs w:val="22"/>
            </w:rPr>
          </w:pPr>
          <w:hyperlink w:anchor="_Toc138342016"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Projections</w:t>
            </w:r>
            <w:r w:rsidR="00BA66CC">
              <w:rPr>
                <w:noProof/>
                <w:webHidden/>
              </w:rPr>
              <w:tab/>
            </w:r>
            <w:r w:rsidR="00BA66CC">
              <w:rPr>
                <w:noProof/>
                <w:webHidden/>
              </w:rPr>
              <w:fldChar w:fldCharType="begin"/>
            </w:r>
            <w:r w:rsidR="00BA66CC">
              <w:rPr>
                <w:noProof/>
                <w:webHidden/>
              </w:rPr>
              <w:instrText xml:space="preserve"> PAGEREF _Toc138342016 \h </w:instrText>
            </w:r>
            <w:r w:rsidR="00BA66CC">
              <w:rPr>
                <w:noProof/>
                <w:webHidden/>
              </w:rPr>
            </w:r>
            <w:r w:rsidR="00BA66CC">
              <w:rPr>
                <w:noProof/>
                <w:webHidden/>
              </w:rPr>
              <w:fldChar w:fldCharType="separate"/>
            </w:r>
            <w:r w:rsidR="00BA66CC">
              <w:rPr>
                <w:noProof/>
                <w:webHidden/>
              </w:rPr>
              <w:t>158</w:t>
            </w:r>
            <w:r w:rsidR="00BA66CC">
              <w:rPr>
                <w:noProof/>
                <w:webHidden/>
              </w:rPr>
              <w:fldChar w:fldCharType="end"/>
            </w:r>
          </w:hyperlink>
        </w:p>
        <w:p w14:paraId="2F61BE9E" w14:textId="7C3819E1" w:rsidR="00BA66CC" w:rsidRDefault="00697C78">
          <w:pPr>
            <w:pStyle w:val="TOC3"/>
            <w:tabs>
              <w:tab w:val="left" w:pos="1000"/>
              <w:tab w:val="right" w:leader="dot" w:pos="9940"/>
            </w:tabs>
            <w:rPr>
              <w:rFonts w:eastAsiaTheme="minorEastAsia" w:cstheme="minorBidi"/>
              <w:i w:val="0"/>
              <w:iCs w:val="0"/>
              <w:noProof/>
              <w:szCs w:val="22"/>
            </w:rPr>
          </w:pPr>
          <w:hyperlink w:anchor="_Toc138342017"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Définition des scenarios</w:t>
            </w:r>
            <w:r w:rsidR="00BA66CC">
              <w:rPr>
                <w:noProof/>
                <w:webHidden/>
              </w:rPr>
              <w:tab/>
            </w:r>
            <w:r w:rsidR="00BA66CC">
              <w:rPr>
                <w:noProof/>
                <w:webHidden/>
              </w:rPr>
              <w:fldChar w:fldCharType="begin"/>
            </w:r>
            <w:r w:rsidR="00BA66CC">
              <w:rPr>
                <w:noProof/>
                <w:webHidden/>
              </w:rPr>
              <w:instrText xml:space="preserve"> PAGEREF _Toc138342017 \h </w:instrText>
            </w:r>
            <w:r w:rsidR="00BA66CC">
              <w:rPr>
                <w:noProof/>
                <w:webHidden/>
              </w:rPr>
            </w:r>
            <w:r w:rsidR="00BA66CC">
              <w:rPr>
                <w:noProof/>
                <w:webHidden/>
              </w:rPr>
              <w:fldChar w:fldCharType="separate"/>
            </w:r>
            <w:r w:rsidR="00BA66CC">
              <w:rPr>
                <w:noProof/>
                <w:webHidden/>
              </w:rPr>
              <w:t>158</w:t>
            </w:r>
            <w:r w:rsidR="00BA66CC">
              <w:rPr>
                <w:noProof/>
                <w:webHidden/>
              </w:rPr>
              <w:fldChar w:fldCharType="end"/>
            </w:r>
          </w:hyperlink>
        </w:p>
        <w:p w14:paraId="53DA8DD6" w14:textId="595DF148" w:rsidR="00BA66CC" w:rsidRDefault="00697C78">
          <w:pPr>
            <w:pStyle w:val="TOC3"/>
            <w:tabs>
              <w:tab w:val="left" w:pos="1200"/>
              <w:tab w:val="right" w:leader="dot" w:pos="9940"/>
            </w:tabs>
            <w:rPr>
              <w:rFonts w:eastAsiaTheme="minorEastAsia" w:cstheme="minorBidi"/>
              <w:i w:val="0"/>
              <w:iCs w:val="0"/>
              <w:noProof/>
              <w:szCs w:val="22"/>
            </w:rPr>
          </w:pPr>
          <w:hyperlink w:anchor="_Toc138342018"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Analyse de sensibilité</w:t>
            </w:r>
            <w:r w:rsidR="00BA66CC">
              <w:rPr>
                <w:noProof/>
                <w:webHidden/>
              </w:rPr>
              <w:tab/>
            </w:r>
            <w:r w:rsidR="00BA66CC">
              <w:rPr>
                <w:noProof/>
                <w:webHidden/>
              </w:rPr>
              <w:fldChar w:fldCharType="begin"/>
            </w:r>
            <w:r w:rsidR="00BA66CC">
              <w:rPr>
                <w:noProof/>
                <w:webHidden/>
              </w:rPr>
              <w:instrText xml:space="preserve"> PAGEREF _Toc138342018 \h </w:instrText>
            </w:r>
            <w:r w:rsidR="00BA66CC">
              <w:rPr>
                <w:noProof/>
                <w:webHidden/>
              </w:rPr>
            </w:r>
            <w:r w:rsidR="00BA66CC">
              <w:rPr>
                <w:noProof/>
                <w:webHidden/>
              </w:rPr>
              <w:fldChar w:fldCharType="separate"/>
            </w:r>
            <w:r w:rsidR="00BA66CC">
              <w:rPr>
                <w:noProof/>
                <w:webHidden/>
              </w:rPr>
              <w:t>165</w:t>
            </w:r>
            <w:r w:rsidR="00BA66CC">
              <w:rPr>
                <w:noProof/>
                <w:webHidden/>
              </w:rPr>
              <w:fldChar w:fldCharType="end"/>
            </w:r>
          </w:hyperlink>
        </w:p>
        <w:p w14:paraId="02802DCD" w14:textId="62E79ED8" w:rsidR="00BA66CC" w:rsidRDefault="00697C78">
          <w:pPr>
            <w:pStyle w:val="TOC3"/>
            <w:tabs>
              <w:tab w:val="left" w:pos="1200"/>
              <w:tab w:val="right" w:leader="dot" w:pos="9940"/>
            </w:tabs>
            <w:rPr>
              <w:rFonts w:eastAsiaTheme="minorEastAsia" w:cstheme="minorBidi"/>
              <w:i w:val="0"/>
              <w:iCs w:val="0"/>
              <w:noProof/>
              <w:szCs w:val="22"/>
            </w:rPr>
          </w:pPr>
          <w:hyperlink w:anchor="_Toc138342019" w:history="1">
            <w:r w:rsidR="00BA66CC" w:rsidRPr="007C4632">
              <w:rPr>
                <w:rStyle w:val="Hyperlink"/>
                <w:rFonts w:ascii="Marianne" w:eastAsiaTheme="majorEastAsia" w:hAnsi="Marianne"/>
                <w:noProof/>
              </w:rPr>
              <w:t>A.3.</w:t>
            </w:r>
            <w:r w:rsidR="00BA66CC">
              <w:rPr>
                <w:rFonts w:eastAsiaTheme="minorEastAsia" w:cstheme="minorBidi"/>
                <w:i w:val="0"/>
                <w:iCs w:val="0"/>
                <w:noProof/>
                <w:szCs w:val="22"/>
              </w:rPr>
              <w:tab/>
            </w:r>
            <w:r w:rsidR="00BA66CC" w:rsidRPr="007C4632">
              <w:rPr>
                <w:rStyle w:val="Hyperlink"/>
                <w:rFonts w:eastAsiaTheme="majorEastAsia"/>
                <w:noProof/>
              </w:rPr>
              <w:t>Présentation des projections par rapport aux données réelles</w:t>
            </w:r>
            <w:r w:rsidR="00BA66CC">
              <w:rPr>
                <w:noProof/>
                <w:webHidden/>
              </w:rPr>
              <w:tab/>
            </w:r>
            <w:r w:rsidR="00BA66CC">
              <w:rPr>
                <w:noProof/>
                <w:webHidden/>
              </w:rPr>
              <w:fldChar w:fldCharType="begin"/>
            </w:r>
            <w:r w:rsidR="00BA66CC">
              <w:rPr>
                <w:noProof/>
                <w:webHidden/>
              </w:rPr>
              <w:instrText xml:space="preserve"> PAGEREF _Toc138342019 \h </w:instrText>
            </w:r>
            <w:r w:rsidR="00BA66CC">
              <w:rPr>
                <w:noProof/>
                <w:webHidden/>
              </w:rPr>
            </w:r>
            <w:r w:rsidR="00BA66CC">
              <w:rPr>
                <w:noProof/>
                <w:webHidden/>
              </w:rPr>
              <w:fldChar w:fldCharType="separate"/>
            </w:r>
            <w:r w:rsidR="00BA66CC">
              <w:rPr>
                <w:noProof/>
                <w:webHidden/>
              </w:rPr>
              <w:t>165</w:t>
            </w:r>
            <w:r w:rsidR="00BA66CC">
              <w:rPr>
                <w:noProof/>
                <w:webHidden/>
              </w:rPr>
              <w:fldChar w:fldCharType="end"/>
            </w:r>
          </w:hyperlink>
        </w:p>
        <w:p w14:paraId="0A69C9E6" w14:textId="77B73A05" w:rsidR="00BA66CC" w:rsidRDefault="00697C78">
          <w:pPr>
            <w:pStyle w:val="TOC2"/>
            <w:tabs>
              <w:tab w:val="left" w:pos="600"/>
              <w:tab w:val="right" w:leader="dot" w:pos="9940"/>
            </w:tabs>
            <w:rPr>
              <w:rFonts w:eastAsiaTheme="minorEastAsia" w:cstheme="minorBidi"/>
              <w:smallCaps w:val="0"/>
              <w:noProof/>
              <w:szCs w:val="22"/>
            </w:rPr>
          </w:pPr>
          <w:hyperlink w:anchor="_Toc138342020"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Couverture et présentation</w:t>
            </w:r>
            <w:r w:rsidR="00BA66CC">
              <w:rPr>
                <w:noProof/>
                <w:webHidden/>
              </w:rPr>
              <w:tab/>
            </w:r>
            <w:r w:rsidR="00BA66CC">
              <w:rPr>
                <w:noProof/>
                <w:webHidden/>
              </w:rPr>
              <w:fldChar w:fldCharType="begin"/>
            </w:r>
            <w:r w:rsidR="00BA66CC">
              <w:rPr>
                <w:noProof/>
                <w:webHidden/>
              </w:rPr>
              <w:instrText xml:space="preserve"> PAGEREF _Toc138342020 \h </w:instrText>
            </w:r>
            <w:r w:rsidR="00BA66CC">
              <w:rPr>
                <w:noProof/>
                <w:webHidden/>
              </w:rPr>
            </w:r>
            <w:r w:rsidR="00BA66CC">
              <w:rPr>
                <w:noProof/>
                <w:webHidden/>
              </w:rPr>
              <w:fldChar w:fldCharType="separate"/>
            </w:r>
            <w:r w:rsidR="00BA66CC">
              <w:rPr>
                <w:noProof/>
                <w:webHidden/>
              </w:rPr>
              <w:t>170</w:t>
            </w:r>
            <w:r w:rsidR="00BA66CC">
              <w:rPr>
                <w:noProof/>
                <w:webHidden/>
              </w:rPr>
              <w:fldChar w:fldCharType="end"/>
            </w:r>
          </w:hyperlink>
        </w:p>
        <w:p w14:paraId="1773276B" w14:textId="145A729B" w:rsidR="00BA66CC" w:rsidRDefault="00697C78">
          <w:pPr>
            <w:pStyle w:val="TOC3"/>
            <w:tabs>
              <w:tab w:val="left" w:pos="1000"/>
              <w:tab w:val="right" w:leader="dot" w:pos="9940"/>
            </w:tabs>
            <w:rPr>
              <w:rFonts w:eastAsiaTheme="minorEastAsia" w:cstheme="minorBidi"/>
              <w:i w:val="0"/>
              <w:iCs w:val="0"/>
              <w:noProof/>
              <w:szCs w:val="22"/>
            </w:rPr>
          </w:pPr>
          <w:hyperlink w:anchor="_Toc138342021"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Évolution par secteur d’activités</w:t>
            </w:r>
            <w:r w:rsidR="00BA66CC">
              <w:rPr>
                <w:noProof/>
                <w:webHidden/>
              </w:rPr>
              <w:tab/>
            </w:r>
            <w:r w:rsidR="00BA66CC">
              <w:rPr>
                <w:noProof/>
                <w:webHidden/>
              </w:rPr>
              <w:fldChar w:fldCharType="begin"/>
            </w:r>
            <w:r w:rsidR="00BA66CC">
              <w:rPr>
                <w:noProof/>
                <w:webHidden/>
              </w:rPr>
              <w:instrText xml:space="preserve"> PAGEREF _Toc138342021 \h </w:instrText>
            </w:r>
            <w:r w:rsidR="00BA66CC">
              <w:rPr>
                <w:noProof/>
                <w:webHidden/>
              </w:rPr>
            </w:r>
            <w:r w:rsidR="00BA66CC">
              <w:rPr>
                <w:noProof/>
                <w:webHidden/>
              </w:rPr>
              <w:fldChar w:fldCharType="separate"/>
            </w:r>
            <w:r w:rsidR="00BA66CC">
              <w:rPr>
                <w:noProof/>
                <w:webHidden/>
              </w:rPr>
              <w:t>170</w:t>
            </w:r>
            <w:r w:rsidR="00BA66CC">
              <w:rPr>
                <w:noProof/>
                <w:webHidden/>
              </w:rPr>
              <w:fldChar w:fldCharType="end"/>
            </w:r>
          </w:hyperlink>
        </w:p>
        <w:p w14:paraId="37BBFA72" w14:textId="0CB84BE7" w:rsidR="00BA66CC" w:rsidRDefault="00697C78">
          <w:pPr>
            <w:pStyle w:val="TOC3"/>
            <w:tabs>
              <w:tab w:val="left" w:pos="1000"/>
              <w:tab w:val="right" w:leader="dot" w:pos="9940"/>
            </w:tabs>
            <w:rPr>
              <w:rFonts w:eastAsiaTheme="minorEastAsia" w:cstheme="minorBidi"/>
              <w:i w:val="0"/>
              <w:iCs w:val="0"/>
              <w:noProof/>
              <w:szCs w:val="22"/>
            </w:rPr>
          </w:pPr>
          <w:hyperlink w:anchor="_Toc138342022"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Évolution par gaz</w:t>
            </w:r>
            <w:r w:rsidR="00BA66CC">
              <w:rPr>
                <w:noProof/>
                <w:webHidden/>
              </w:rPr>
              <w:tab/>
            </w:r>
            <w:r w:rsidR="00BA66CC">
              <w:rPr>
                <w:noProof/>
                <w:webHidden/>
              </w:rPr>
              <w:fldChar w:fldCharType="begin"/>
            </w:r>
            <w:r w:rsidR="00BA66CC">
              <w:rPr>
                <w:noProof/>
                <w:webHidden/>
              </w:rPr>
              <w:instrText xml:space="preserve"> PAGEREF _Toc138342022 \h </w:instrText>
            </w:r>
            <w:r w:rsidR="00BA66CC">
              <w:rPr>
                <w:noProof/>
                <w:webHidden/>
              </w:rPr>
            </w:r>
            <w:r w:rsidR="00BA66CC">
              <w:rPr>
                <w:noProof/>
                <w:webHidden/>
              </w:rPr>
              <w:fldChar w:fldCharType="separate"/>
            </w:r>
            <w:r w:rsidR="00BA66CC">
              <w:rPr>
                <w:noProof/>
                <w:webHidden/>
              </w:rPr>
              <w:t>174</w:t>
            </w:r>
            <w:r w:rsidR="00BA66CC">
              <w:rPr>
                <w:noProof/>
                <w:webHidden/>
              </w:rPr>
              <w:fldChar w:fldCharType="end"/>
            </w:r>
          </w:hyperlink>
        </w:p>
        <w:p w14:paraId="4183B60D" w14:textId="0E6E820D" w:rsidR="00BA66CC" w:rsidRDefault="00697C78">
          <w:pPr>
            <w:pStyle w:val="TOC2"/>
            <w:tabs>
              <w:tab w:val="left" w:pos="600"/>
              <w:tab w:val="right" w:leader="dot" w:pos="9940"/>
            </w:tabs>
            <w:rPr>
              <w:rFonts w:eastAsiaTheme="minorEastAsia" w:cstheme="minorBidi"/>
              <w:smallCaps w:val="0"/>
              <w:noProof/>
              <w:szCs w:val="22"/>
            </w:rPr>
          </w:pPr>
          <w:hyperlink w:anchor="_Toc138342023"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Évaluation de l'effet global des politiques et des mesures</w:t>
            </w:r>
            <w:r w:rsidR="00BA66CC">
              <w:rPr>
                <w:noProof/>
                <w:webHidden/>
              </w:rPr>
              <w:tab/>
            </w:r>
            <w:r w:rsidR="00BA66CC">
              <w:rPr>
                <w:noProof/>
                <w:webHidden/>
              </w:rPr>
              <w:fldChar w:fldCharType="begin"/>
            </w:r>
            <w:r w:rsidR="00BA66CC">
              <w:rPr>
                <w:noProof/>
                <w:webHidden/>
              </w:rPr>
              <w:instrText xml:space="preserve"> PAGEREF _Toc138342023 \h </w:instrText>
            </w:r>
            <w:r w:rsidR="00BA66CC">
              <w:rPr>
                <w:noProof/>
                <w:webHidden/>
              </w:rPr>
            </w:r>
            <w:r w:rsidR="00BA66CC">
              <w:rPr>
                <w:noProof/>
                <w:webHidden/>
              </w:rPr>
              <w:fldChar w:fldCharType="separate"/>
            </w:r>
            <w:r w:rsidR="00BA66CC">
              <w:rPr>
                <w:noProof/>
                <w:webHidden/>
              </w:rPr>
              <w:t>186</w:t>
            </w:r>
            <w:r w:rsidR="00BA66CC">
              <w:rPr>
                <w:noProof/>
                <w:webHidden/>
              </w:rPr>
              <w:fldChar w:fldCharType="end"/>
            </w:r>
          </w:hyperlink>
        </w:p>
        <w:p w14:paraId="74EBEF94" w14:textId="36CFCCB7" w:rsidR="00BA66CC" w:rsidRDefault="00697C78">
          <w:pPr>
            <w:pStyle w:val="TOC2"/>
            <w:tabs>
              <w:tab w:val="left" w:pos="800"/>
              <w:tab w:val="right" w:leader="dot" w:pos="9940"/>
            </w:tabs>
            <w:rPr>
              <w:rFonts w:eastAsiaTheme="minorEastAsia" w:cstheme="minorBidi"/>
              <w:smallCaps w:val="0"/>
              <w:noProof/>
              <w:szCs w:val="22"/>
            </w:rPr>
          </w:pPr>
          <w:hyperlink w:anchor="_Toc138342024"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Rôle des crédits issus des mécanismes créés par les articles 6, 12 et 17 du Protocole de Kyoto dans l’atteinte des objectifs quantitatifs assignés à la France</w:t>
            </w:r>
            <w:r w:rsidR="00BA66CC">
              <w:rPr>
                <w:noProof/>
                <w:webHidden/>
              </w:rPr>
              <w:tab/>
            </w:r>
            <w:r w:rsidR="00BA66CC">
              <w:rPr>
                <w:noProof/>
                <w:webHidden/>
              </w:rPr>
              <w:fldChar w:fldCharType="begin"/>
            </w:r>
            <w:r w:rsidR="00BA66CC">
              <w:rPr>
                <w:noProof/>
                <w:webHidden/>
              </w:rPr>
              <w:instrText xml:space="preserve"> PAGEREF _Toc138342024 \h </w:instrText>
            </w:r>
            <w:r w:rsidR="00BA66CC">
              <w:rPr>
                <w:noProof/>
                <w:webHidden/>
              </w:rPr>
            </w:r>
            <w:r w:rsidR="00BA66CC">
              <w:rPr>
                <w:noProof/>
                <w:webHidden/>
              </w:rPr>
              <w:fldChar w:fldCharType="separate"/>
            </w:r>
            <w:r w:rsidR="00BA66CC">
              <w:rPr>
                <w:noProof/>
                <w:webHidden/>
              </w:rPr>
              <w:t>188</w:t>
            </w:r>
            <w:r w:rsidR="00BA66CC">
              <w:rPr>
                <w:noProof/>
                <w:webHidden/>
              </w:rPr>
              <w:fldChar w:fldCharType="end"/>
            </w:r>
          </w:hyperlink>
        </w:p>
        <w:p w14:paraId="1A52FF52" w14:textId="317F16C4" w:rsidR="00BA66CC" w:rsidRDefault="00697C78">
          <w:pPr>
            <w:pStyle w:val="TOC2"/>
            <w:tabs>
              <w:tab w:val="left" w:pos="600"/>
              <w:tab w:val="right" w:leader="dot" w:pos="9940"/>
            </w:tabs>
            <w:rPr>
              <w:rFonts w:eastAsiaTheme="minorEastAsia" w:cstheme="minorBidi"/>
              <w:smallCaps w:val="0"/>
              <w:noProof/>
              <w:szCs w:val="22"/>
            </w:rPr>
          </w:pPr>
          <w:hyperlink w:anchor="_Toc138342025" w:history="1">
            <w:r w:rsidR="00BA66CC" w:rsidRPr="007C4632">
              <w:rPr>
                <w:rStyle w:val="Hyperlink"/>
                <w:rFonts w:eastAsiaTheme="majorEastAsia"/>
                <w:noProof/>
              </w:rPr>
              <w:t>E.</w:t>
            </w:r>
            <w:r w:rsidR="00BA66CC">
              <w:rPr>
                <w:rFonts w:eastAsiaTheme="minorEastAsia" w:cstheme="minorBidi"/>
                <w:smallCaps w:val="0"/>
                <w:noProof/>
                <w:szCs w:val="22"/>
              </w:rPr>
              <w:tab/>
            </w:r>
            <w:r w:rsidR="00BA66CC" w:rsidRPr="007C4632">
              <w:rPr>
                <w:rStyle w:val="Hyperlink"/>
                <w:rFonts w:eastAsiaTheme="majorEastAsia"/>
                <w:noProof/>
              </w:rPr>
              <w:t>Méthodologie</w:t>
            </w:r>
            <w:r w:rsidR="00BA66CC">
              <w:rPr>
                <w:noProof/>
                <w:webHidden/>
              </w:rPr>
              <w:tab/>
            </w:r>
            <w:r w:rsidR="00BA66CC">
              <w:rPr>
                <w:noProof/>
                <w:webHidden/>
              </w:rPr>
              <w:fldChar w:fldCharType="begin"/>
            </w:r>
            <w:r w:rsidR="00BA66CC">
              <w:rPr>
                <w:noProof/>
                <w:webHidden/>
              </w:rPr>
              <w:instrText xml:space="preserve"> PAGEREF _Toc138342025 \h </w:instrText>
            </w:r>
            <w:r w:rsidR="00BA66CC">
              <w:rPr>
                <w:noProof/>
                <w:webHidden/>
              </w:rPr>
            </w:r>
            <w:r w:rsidR="00BA66CC">
              <w:rPr>
                <w:noProof/>
                <w:webHidden/>
              </w:rPr>
              <w:fldChar w:fldCharType="separate"/>
            </w:r>
            <w:r w:rsidR="00BA66CC">
              <w:rPr>
                <w:noProof/>
                <w:webHidden/>
              </w:rPr>
              <w:t>189</w:t>
            </w:r>
            <w:r w:rsidR="00BA66CC">
              <w:rPr>
                <w:noProof/>
                <w:webHidden/>
              </w:rPr>
              <w:fldChar w:fldCharType="end"/>
            </w:r>
          </w:hyperlink>
        </w:p>
        <w:p w14:paraId="7D19BEAF" w14:textId="58A42456" w:rsidR="00BA66CC" w:rsidRDefault="00697C78">
          <w:pPr>
            <w:pStyle w:val="TOC3"/>
            <w:tabs>
              <w:tab w:val="left" w:pos="1000"/>
              <w:tab w:val="right" w:leader="dot" w:pos="9940"/>
            </w:tabs>
            <w:rPr>
              <w:rFonts w:eastAsiaTheme="minorEastAsia" w:cstheme="minorBidi"/>
              <w:i w:val="0"/>
              <w:iCs w:val="0"/>
              <w:noProof/>
              <w:szCs w:val="22"/>
            </w:rPr>
          </w:pPr>
          <w:hyperlink w:anchor="_Toc138342026" w:history="1">
            <w:r w:rsidR="00BA66CC" w:rsidRPr="007C4632">
              <w:rPr>
                <w:rStyle w:val="Hyperlink"/>
                <w:rFonts w:ascii="Marianne" w:eastAsiaTheme="majorEastAsia" w:hAnsi="Marianne"/>
                <w:noProof/>
              </w:rPr>
              <w:t>E.1.</w:t>
            </w:r>
            <w:r w:rsidR="00BA66CC">
              <w:rPr>
                <w:rFonts w:eastAsiaTheme="minorEastAsia" w:cstheme="minorBidi"/>
                <w:i w:val="0"/>
                <w:iCs w:val="0"/>
                <w:noProof/>
                <w:szCs w:val="22"/>
              </w:rPr>
              <w:tab/>
            </w:r>
            <w:r w:rsidR="00BA66CC" w:rsidRPr="007C4632">
              <w:rPr>
                <w:rStyle w:val="Hyperlink"/>
                <w:rFonts w:eastAsiaTheme="majorEastAsia"/>
                <w:noProof/>
              </w:rPr>
              <w:t>Modélisations utilisées</w:t>
            </w:r>
            <w:r w:rsidR="00BA66CC">
              <w:rPr>
                <w:noProof/>
                <w:webHidden/>
              </w:rPr>
              <w:tab/>
            </w:r>
            <w:r w:rsidR="00BA66CC">
              <w:rPr>
                <w:noProof/>
                <w:webHidden/>
              </w:rPr>
              <w:fldChar w:fldCharType="begin"/>
            </w:r>
            <w:r w:rsidR="00BA66CC">
              <w:rPr>
                <w:noProof/>
                <w:webHidden/>
              </w:rPr>
              <w:instrText xml:space="preserve"> PAGEREF _Toc138342026 \h </w:instrText>
            </w:r>
            <w:r w:rsidR="00BA66CC">
              <w:rPr>
                <w:noProof/>
                <w:webHidden/>
              </w:rPr>
            </w:r>
            <w:r w:rsidR="00BA66CC">
              <w:rPr>
                <w:noProof/>
                <w:webHidden/>
              </w:rPr>
              <w:fldChar w:fldCharType="separate"/>
            </w:r>
            <w:r w:rsidR="00BA66CC">
              <w:rPr>
                <w:noProof/>
                <w:webHidden/>
              </w:rPr>
              <w:t>189</w:t>
            </w:r>
            <w:r w:rsidR="00BA66CC">
              <w:rPr>
                <w:noProof/>
                <w:webHidden/>
              </w:rPr>
              <w:fldChar w:fldCharType="end"/>
            </w:r>
          </w:hyperlink>
        </w:p>
        <w:p w14:paraId="5FB52DDE" w14:textId="26537D9C" w:rsidR="00BA66CC" w:rsidRDefault="00697C78">
          <w:pPr>
            <w:pStyle w:val="TOC3"/>
            <w:tabs>
              <w:tab w:val="left" w:pos="1000"/>
              <w:tab w:val="right" w:leader="dot" w:pos="9940"/>
            </w:tabs>
            <w:rPr>
              <w:rFonts w:eastAsiaTheme="minorEastAsia" w:cstheme="minorBidi"/>
              <w:i w:val="0"/>
              <w:iCs w:val="0"/>
              <w:noProof/>
              <w:szCs w:val="22"/>
            </w:rPr>
          </w:pPr>
          <w:hyperlink w:anchor="_Toc138342027" w:history="1">
            <w:r w:rsidR="00BA66CC" w:rsidRPr="007C4632">
              <w:rPr>
                <w:rStyle w:val="Hyperlink"/>
                <w:rFonts w:ascii="Marianne" w:eastAsiaTheme="majorEastAsia" w:hAnsi="Marianne"/>
                <w:noProof/>
              </w:rPr>
              <w:t>E.2.</w:t>
            </w:r>
            <w:r w:rsidR="00BA66CC">
              <w:rPr>
                <w:rFonts w:eastAsiaTheme="minorEastAsia" w:cstheme="minorBidi"/>
                <w:i w:val="0"/>
                <w:iCs w:val="0"/>
                <w:noProof/>
                <w:szCs w:val="22"/>
              </w:rPr>
              <w:tab/>
            </w:r>
            <w:r w:rsidR="00BA66CC" w:rsidRPr="007C4632">
              <w:rPr>
                <w:rStyle w:val="Hyperlink"/>
                <w:rFonts w:eastAsiaTheme="majorEastAsia"/>
                <w:noProof/>
              </w:rPr>
              <w:t>Hypothèses du scénario de référence</w:t>
            </w:r>
            <w:r w:rsidR="00BA66CC">
              <w:rPr>
                <w:noProof/>
                <w:webHidden/>
              </w:rPr>
              <w:tab/>
            </w:r>
            <w:r w:rsidR="00BA66CC">
              <w:rPr>
                <w:noProof/>
                <w:webHidden/>
              </w:rPr>
              <w:fldChar w:fldCharType="begin"/>
            </w:r>
            <w:r w:rsidR="00BA66CC">
              <w:rPr>
                <w:noProof/>
                <w:webHidden/>
              </w:rPr>
              <w:instrText xml:space="preserve"> PAGEREF _Toc138342027 \h </w:instrText>
            </w:r>
            <w:r w:rsidR="00BA66CC">
              <w:rPr>
                <w:noProof/>
                <w:webHidden/>
              </w:rPr>
            </w:r>
            <w:r w:rsidR="00BA66CC">
              <w:rPr>
                <w:noProof/>
                <w:webHidden/>
              </w:rPr>
              <w:fldChar w:fldCharType="separate"/>
            </w:r>
            <w:r w:rsidR="00BA66CC">
              <w:rPr>
                <w:noProof/>
                <w:webHidden/>
              </w:rPr>
              <w:t>193</w:t>
            </w:r>
            <w:r w:rsidR="00BA66CC">
              <w:rPr>
                <w:noProof/>
                <w:webHidden/>
              </w:rPr>
              <w:fldChar w:fldCharType="end"/>
            </w:r>
          </w:hyperlink>
        </w:p>
        <w:p w14:paraId="44AD85E0" w14:textId="52721B35" w:rsidR="00BA66CC" w:rsidRDefault="00697C78">
          <w:pPr>
            <w:pStyle w:val="TOC1"/>
            <w:rPr>
              <w:rFonts w:eastAsiaTheme="minorEastAsia" w:cstheme="minorBidi"/>
              <w:b w:val="0"/>
              <w:bCs w:val="0"/>
              <w:caps w:val="0"/>
              <w:noProof/>
              <w:szCs w:val="22"/>
            </w:rPr>
          </w:pPr>
          <w:hyperlink w:anchor="_Toc138342028" w:history="1">
            <w:r w:rsidR="00BA66CC" w:rsidRPr="007C4632">
              <w:rPr>
                <w:rStyle w:val="Hyperlink"/>
                <w:rFonts w:eastAsiaTheme="majorEastAsia"/>
                <w:noProof/>
              </w:rPr>
              <w:t>Chapitre VI – Impact, vulnérabilité et adaptation</w:t>
            </w:r>
            <w:r w:rsidR="00BA66CC">
              <w:rPr>
                <w:noProof/>
                <w:webHidden/>
              </w:rPr>
              <w:tab/>
            </w:r>
            <w:r w:rsidR="00BA66CC">
              <w:rPr>
                <w:noProof/>
                <w:webHidden/>
              </w:rPr>
              <w:fldChar w:fldCharType="begin"/>
            </w:r>
            <w:r w:rsidR="00BA66CC">
              <w:rPr>
                <w:noProof/>
                <w:webHidden/>
              </w:rPr>
              <w:instrText xml:space="preserve"> PAGEREF _Toc138342028 \h </w:instrText>
            </w:r>
            <w:r w:rsidR="00BA66CC">
              <w:rPr>
                <w:noProof/>
                <w:webHidden/>
              </w:rPr>
            </w:r>
            <w:r w:rsidR="00BA66CC">
              <w:rPr>
                <w:noProof/>
                <w:webHidden/>
              </w:rPr>
              <w:fldChar w:fldCharType="separate"/>
            </w:r>
            <w:r w:rsidR="00BA66CC">
              <w:rPr>
                <w:noProof/>
                <w:webHidden/>
              </w:rPr>
              <w:t>197</w:t>
            </w:r>
            <w:r w:rsidR="00BA66CC">
              <w:rPr>
                <w:noProof/>
                <w:webHidden/>
              </w:rPr>
              <w:fldChar w:fldCharType="end"/>
            </w:r>
          </w:hyperlink>
        </w:p>
        <w:p w14:paraId="4FF5AF40" w14:textId="176D3DE5" w:rsidR="00BA66CC" w:rsidRDefault="00697C78">
          <w:pPr>
            <w:pStyle w:val="TOC2"/>
            <w:tabs>
              <w:tab w:val="left" w:pos="800"/>
              <w:tab w:val="right" w:leader="dot" w:pos="9940"/>
            </w:tabs>
            <w:rPr>
              <w:rFonts w:eastAsiaTheme="minorEastAsia" w:cstheme="minorBidi"/>
              <w:smallCaps w:val="0"/>
              <w:noProof/>
              <w:szCs w:val="22"/>
            </w:rPr>
          </w:pPr>
          <w:hyperlink w:anchor="_Toc138342029"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Modélisation, projections et scénarios</w:t>
            </w:r>
            <w:r w:rsidR="00BA66CC">
              <w:rPr>
                <w:noProof/>
                <w:webHidden/>
              </w:rPr>
              <w:tab/>
            </w:r>
            <w:r w:rsidR="00BA66CC">
              <w:rPr>
                <w:noProof/>
                <w:webHidden/>
              </w:rPr>
              <w:fldChar w:fldCharType="begin"/>
            </w:r>
            <w:r w:rsidR="00BA66CC">
              <w:rPr>
                <w:noProof/>
                <w:webHidden/>
              </w:rPr>
              <w:instrText xml:space="preserve"> PAGEREF _Toc138342029 \h </w:instrText>
            </w:r>
            <w:r w:rsidR="00BA66CC">
              <w:rPr>
                <w:noProof/>
                <w:webHidden/>
              </w:rPr>
            </w:r>
            <w:r w:rsidR="00BA66CC">
              <w:rPr>
                <w:noProof/>
                <w:webHidden/>
              </w:rPr>
              <w:fldChar w:fldCharType="separate"/>
            </w:r>
            <w:r w:rsidR="00BA66CC">
              <w:rPr>
                <w:noProof/>
                <w:webHidden/>
              </w:rPr>
              <w:t>199</w:t>
            </w:r>
            <w:r w:rsidR="00BA66CC">
              <w:rPr>
                <w:noProof/>
                <w:webHidden/>
              </w:rPr>
              <w:fldChar w:fldCharType="end"/>
            </w:r>
          </w:hyperlink>
        </w:p>
        <w:p w14:paraId="1F511207" w14:textId="25AA509B" w:rsidR="00BA66CC" w:rsidRDefault="00697C78">
          <w:pPr>
            <w:pStyle w:val="TOC3"/>
            <w:tabs>
              <w:tab w:val="left" w:pos="1000"/>
              <w:tab w:val="right" w:leader="dot" w:pos="9940"/>
            </w:tabs>
            <w:rPr>
              <w:rFonts w:eastAsiaTheme="minorEastAsia" w:cstheme="minorBidi"/>
              <w:i w:val="0"/>
              <w:iCs w:val="0"/>
              <w:noProof/>
              <w:szCs w:val="22"/>
            </w:rPr>
          </w:pPr>
          <w:hyperlink w:anchor="_Toc138342030"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Les évolutions observées et les tendances</w:t>
            </w:r>
            <w:r w:rsidR="00BA66CC">
              <w:rPr>
                <w:noProof/>
                <w:webHidden/>
              </w:rPr>
              <w:tab/>
            </w:r>
            <w:r w:rsidR="00BA66CC">
              <w:rPr>
                <w:noProof/>
                <w:webHidden/>
              </w:rPr>
              <w:fldChar w:fldCharType="begin"/>
            </w:r>
            <w:r w:rsidR="00BA66CC">
              <w:rPr>
                <w:noProof/>
                <w:webHidden/>
              </w:rPr>
              <w:instrText xml:space="preserve"> PAGEREF _Toc138342030 \h </w:instrText>
            </w:r>
            <w:r w:rsidR="00BA66CC">
              <w:rPr>
                <w:noProof/>
                <w:webHidden/>
              </w:rPr>
            </w:r>
            <w:r w:rsidR="00BA66CC">
              <w:rPr>
                <w:noProof/>
                <w:webHidden/>
              </w:rPr>
              <w:fldChar w:fldCharType="separate"/>
            </w:r>
            <w:r w:rsidR="00BA66CC">
              <w:rPr>
                <w:noProof/>
                <w:webHidden/>
              </w:rPr>
              <w:t>199</w:t>
            </w:r>
            <w:r w:rsidR="00BA66CC">
              <w:rPr>
                <w:noProof/>
                <w:webHidden/>
              </w:rPr>
              <w:fldChar w:fldCharType="end"/>
            </w:r>
          </w:hyperlink>
        </w:p>
        <w:p w14:paraId="042D5FFA" w14:textId="4BCF5C49" w:rsidR="00BA66CC" w:rsidRDefault="00697C78">
          <w:pPr>
            <w:pStyle w:val="TOC3"/>
            <w:tabs>
              <w:tab w:val="left" w:pos="1200"/>
              <w:tab w:val="right" w:leader="dot" w:pos="9940"/>
            </w:tabs>
            <w:rPr>
              <w:rFonts w:eastAsiaTheme="minorEastAsia" w:cstheme="minorBidi"/>
              <w:i w:val="0"/>
              <w:iCs w:val="0"/>
              <w:noProof/>
              <w:szCs w:val="22"/>
            </w:rPr>
          </w:pPr>
          <w:hyperlink w:anchor="_Toc138342031"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La caractérisation du climat futur</w:t>
            </w:r>
            <w:r w:rsidR="00BA66CC">
              <w:rPr>
                <w:noProof/>
                <w:webHidden/>
              </w:rPr>
              <w:tab/>
            </w:r>
            <w:r w:rsidR="00BA66CC">
              <w:rPr>
                <w:noProof/>
                <w:webHidden/>
              </w:rPr>
              <w:fldChar w:fldCharType="begin"/>
            </w:r>
            <w:r w:rsidR="00BA66CC">
              <w:rPr>
                <w:noProof/>
                <w:webHidden/>
              </w:rPr>
              <w:instrText xml:space="preserve"> PAGEREF _Toc138342031 \h </w:instrText>
            </w:r>
            <w:r w:rsidR="00BA66CC">
              <w:rPr>
                <w:noProof/>
                <w:webHidden/>
              </w:rPr>
            </w:r>
            <w:r w:rsidR="00BA66CC">
              <w:rPr>
                <w:noProof/>
                <w:webHidden/>
              </w:rPr>
              <w:fldChar w:fldCharType="separate"/>
            </w:r>
            <w:r w:rsidR="00BA66CC">
              <w:rPr>
                <w:noProof/>
                <w:webHidden/>
              </w:rPr>
              <w:t>202</w:t>
            </w:r>
            <w:r w:rsidR="00BA66CC">
              <w:rPr>
                <w:noProof/>
                <w:webHidden/>
              </w:rPr>
              <w:fldChar w:fldCharType="end"/>
            </w:r>
          </w:hyperlink>
        </w:p>
        <w:p w14:paraId="5BC7AD98" w14:textId="286F8457" w:rsidR="00BA66CC" w:rsidRDefault="00697C78">
          <w:pPr>
            <w:pStyle w:val="TOC3"/>
            <w:tabs>
              <w:tab w:val="left" w:pos="1200"/>
              <w:tab w:val="right" w:leader="dot" w:pos="9940"/>
            </w:tabs>
            <w:rPr>
              <w:rFonts w:eastAsiaTheme="minorEastAsia" w:cstheme="minorBidi"/>
              <w:i w:val="0"/>
              <w:iCs w:val="0"/>
              <w:noProof/>
              <w:szCs w:val="22"/>
            </w:rPr>
          </w:pPr>
          <w:hyperlink w:anchor="_Toc138342032" w:history="1">
            <w:r w:rsidR="00BA66CC" w:rsidRPr="007C4632">
              <w:rPr>
                <w:rStyle w:val="Hyperlink"/>
                <w:rFonts w:ascii="Marianne" w:eastAsiaTheme="majorEastAsia" w:hAnsi="Marianne"/>
                <w:noProof/>
              </w:rPr>
              <w:t>A.3.</w:t>
            </w:r>
            <w:r w:rsidR="00BA66CC">
              <w:rPr>
                <w:rFonts w:eastAsiaTheme="minorEastAsia" w:cstheme="minorBidi"/>
                <w:i w:val="0"/>
                <w:iCs w:val="0"/>
                <w:noProof/>
                <w:szCs w:val="22"/>
              </w:rPr>
              <w:tab/>
            </w:r>
            <w:r w:rsidR="00BA66CC" w:rsidRPr="007C4632">
              <w:rPr>
                <w:rStyle w:val="Hyperlink"/>
                <w:rFonts w:eastAsiaTheme="majorEastAsia"/>
                <w:noProof/>
              </w:rPr>
              <w:t>Les incidences prévues du changement climatique</w:t>
            </w:r>
            <w:r w:rsidR="00BA66CC">
              <w:rPr>
                <w:noProof/>
                <w:webHidden/>
              </w:rPr>
              <w:tab/>
            </w:r>
            <w:r w:rsidR="00BA66CC">
              <w:rPr>
                <w:noProof/>
                <w:webHidden/>
              </w:rPr>
              <w:fldChar w:fldCharType="begin"/>
            </w:r>
            <w:r w:rsidR="00BA66CC">
              <w:rPr>
                <w:noProof/>
                <w:webHidden/>
              </w:rPr>
              <w:instrText xml:space="preserve"> PAGEREF _Toc138342032 \h </w:instrText>
            </w:r>
            <w:r w:rsidR="00BA66CC">
              <w:rPr>
                <w:noProof/>
                <w:webHidden/>
              </w:rPr>
            </w:r>
            <w:r w:rsidR="00BA66CC">
              <w:rPr>
                <w:noProof/>
                <w:webHidden/>
              </w:rPr>
              <w:fldChar w:fldCharType="separate"/>
            </w:r>
            <w:r w:rsidR="00BA66CC">
              <w:rPr>
                <w:noProof/>
                <w:webHidden/>
              </w:rPr>
              <w:t>204</w:t>
            </w:r>
            <w:r w:rsidR="00BA66CC">
              <w:rPr>
                <w:noProof/>
                <w:webHidden/>
              </w:rPr>
              <w:fldChar w:fldCharType="end"/>
            </w:r>
          </w:hyperlink>
        </w:p>
        <w:p w14:paraId="165B8DC4" w14:textId="40ECFC55" w:rsidR="00BA66CC" w:rsidRDefault="00697C78">
          <w:pPr>
            <w:pStyle w:val="TOC2"/>
            <w:tabs>
              <w:tab w:val="left" w:pos="600"/>
              <w:tab w:val="right" w:leader="dot" w:pos="9940"/>
            </w:tabs>
            <w:rPr>
              <w:rFonts w:eastAsiaTheme="minorEastAsia" w:cstheme="minorBidi"/>
              <w:smallCaps w:val="0"/>
              <w:noProof/>
              <w:szCs w:val="22"/>
            </w:rPr>
          </w:pPr>
          <w:hyperlink w:anchor="_Toc138342033"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Évaluation des risques et de la vulnérabilité au changement climatique</w:t>
            </w:r>
            <w:r w:rsidR="00BA66CC">
              <w:rPr>
                <w:noProof/>
                <w:webHidden/>
              </w:rPr>
              <w:tab/>
            </w:r>
            <w:r w:rsidR="00BA66CC">
              <w:rPr>
                <w:noProof/>
                <w:webHidden/>
              </w:rPr>
              <w:fldChar w:fldCharType="begin"/>
            </w:r>
            <w:r w:rsidR="00BA66CC">
              <w:rPr>
                <w:noProof/>
                <w:webHidden/>
              </w:rPr>
              <w:instrText xml:space="preserve"> PAGEREF _Toc138342033 \h </w:instrText>
            </w:r>
            <w:r w:rsidR="00BA66CC">
              <w:rPr>
                <w:noProof/>
                <w:webHidden/>
              </w:rPr>
            </w:r>
            <w:r w:rsidR="00BA66CC">
              <w:rPr>
                <w:noProof/>
                <w:webHidden/>
              </w:rPr>
              <w:fldChar w:fldCharType="separate"/>
            </w:r>
            <w:r w:rsidR="00BA66CC">
              <w:rPr>
                <w:noProof/>
                <w:webHidden/>
              </w:rPr>
              <w:t>208</w:t>
            </w:r>
            <w:r w:rsidR="00BA66CC">
              <w:rPr>
                <w:noProof/>
                <w:webHidden/>
              </w:rPr>
              <w:fldChar w:fldCharType="end"/>
            </w:r>
          </w:hyperlink>
        </w:p>
        <w:p w14:paraId="515A611C" w14:textId="74C02C0E" w:rsidR="00BA66CC" w:rsidRDefault="00697C78">
          <w:pPr>
            <w:pStyle w:val="TOC2"/>
            <w:tabs>
              <w:tab w:val="left" w:pos="600"/>
              <w:tab w:val="right" w:leader="dot" w:pos="9940"/>
            </w:tabs>
            <w:rPr>
              <w:rFonts w:eastAsiaTheme="minorEastAsia" w:cstheme="minorBidi"/>
              <w:smallCaps w:val="0"/>
              <w:noProof/>
              <w:szCs w:val="22"/>
            </w:rPr>
          </w:pPr>
          <w:hyperlink w:anchor="_Toc138342034"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Impacts du changement climatique</w:t>
            </w:r>
            <w:r w:rsidR="00BA66CC">
              <w:rPr>
                <w:noProof/>
                <w:webHidden/>
              </w:rPr>
              <w:tab/>
            </w:r>
            <w:r w:rsidR="00BA66CC">
              <w:rPr>
                <w:noProof/>
                <w:webHidden/>
              </w:rPr>
              <w:fldChar w:fldCharType="begin"/>
            </w:r>
            <w:r w:rsidR="00BA66CC">
              <w:rPr>
                <w:noProof/>
                <w:webHidden/>
              </w:rPr>
              <w:instrText xml:space="preserve"> PAGEREF _Toc138342034 \h </w:instrText>
            </w:r>
            <w:r w:rsidR="00BA66CC">
              <w:rPr>
                <w:noProof/>
                <w:webHidden/>
              </w:rPr>
            </w:r>
            <w:r w:rsidR="00BA66CC">
              <w:rPr>
                <w:noProof/>
                <w:webHidden/>
              </w:rPr>
              <w:fldChar w:fldCharType="separate"/>
            </w:r>
            <w:r w:rsidR="00BA66CC">
              <w:rPr>
                <w:noProof/>
                <w:webHidden/>
              </w:rPr>
              <w:t>212</w:t>
            </w:r>
            <w:r w:rsidR="00BA66CC">
              <w:rPr>
                <w:noProof/>
                <w:webHidden/>
              </w:rPr>
              <w:fldChar w:fldCharType="end"/>
            </w:r>
          </w:hyperlink>
        </w:p>
        <w:p w14:paraId="134C3EE6" w14:textId="408C5069" w:rsidR="00BA66CC" w:rsidRDefault="00697C78">
          <w:pPr>
            <w:pStyle w:val="TOC2"/>
            <w:tabs>
              <w:tab w:val="left" w:pos="800"/>
              <w:tab w:val="right" w:leader="dot" w:pos="9940"/>
            </w:tabs>
            <w:rPr>
              <w:rFonts w:eastAsiaTheme="minorEastAsia" w:cstheme="minorBidi"/>
              <w:smallCaps w:val="0"/>
              <w:noProof/>
              <w:szCs w:val="22"/>
            </w:rPr>
          </w:pPr>
          <w:hyperlink w:anchor="_Toc138342035"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Politiques et stratégies nationales d'adaptation</w:t>
            </w:r>
            <w:r w:rsidR="00BA66CC">
              <w:rPr>
                <w:noProof/>
                <w:webHidden/>
              </w:rPr>
              <w:tab/>
            </w:r>
            <w:r w:rsidR="00BA66CC">
              <w:rPr>
                <w:noProof/>
                <w:webHidden/>
              </w:rPr>
              <w:fldChar w:fldCharType="begin"/>
            </w:r>
            <w:r w:rsidR="00BA66CC">
              <w:rPr>
                <w:noProof/>
                <w:webHidden/>
              </w:rPr>
              <w:instrText xml:space="preserve"> PAGEREF _Toc138342035 \h </w:instrText>
            </w:r>
            <w:r w:rsidR="00BA66CC">
              <w:rPr>
                <w:noProof/>
                <w:webHidden/>
              </w:rPr>
            </w:r>
            <w:r w:rsidR="00BA66CC">
              <w:rPr>
                <w:noProof/>
                <w:webHidden/>
              </w:rPr>
              <w:fldChar w:fldCharType="separate"/>
            </w:r>
            <w:r w:rsidR="00BA66CC">
              <w:rPr>
                <w:noProof/>
                <w:webHidden/>
              </w:rPr>
              <w:t>216</w:t>
            </w:r>
            <w:r w:rsidR="00BA66CC">
              <w:rPr>
                <w:noProof/>
                <w:webHidden/>
              </w:rPr>
              <w:fldChar w:fldCharType="end"/>
            </w:r>
          </w:hyperlink>
        </w:p>
        <w:p w14:paraId="6F15BB38" w14:textId="2A65C800" w:rsidR="00BA66CC" w:rsidRDefault="00697C78">
          <w:pPr>
            <w:pStyle w:val="TOC3"/>
            <w:tabs>
              <w:tab w:val="left" w:pos="1200"/>
              <w:tab w:val="right" w:leader="dot" w:pos="9940"/>
            </w:tabs>
            <w:rPr>
              <w:rFonts w:eastAsiaTheme="minorEastAsia" w:cstheme="minorBidi"/>
              <w:i w:val="0"/>
              <w:iCs w:val="0"/>
              <w:noProof/>
              <w:szCs w:val="22"/>
            </w:rPr>
          </w:pPr>
          <w:hyperlink w:anchor="_Toc138342036" w:history="1">
            <w:r w:rsidR="00BA66CC" w:rsidRPr="007C4632">
              <w:rPr>
                <w:rStyle w:val="Hyperlink"/>
                <w:rFonts w:ascii="Marianne" w:eastAsiaTheme="majorEastAsia" w:hAnsi="Marianne"/>
                <w:noProof/>
              </w:rPr>
              <w:t>D.1.</w:t>
            </w:r>
            <w:r w:rsidR="00BA66CC">
              <w:rPr>
                <w:rFonts w:eastAsiaTheme="minorEastAsia" w:cstheme="minorBidi"/>
                <w:i w:val="0"/>
                <w:iCs w:val="0"/>
                <w:noProof/>
                <w:szCs w:val="22"/>
              </w:rPr>
              <w:tab/>
            </w:r>
            <w:r w:rsidR="00BA66CC" w:rsidRPr="007C4632">
              <w:rPr>
                <w:rStyle w:val="Hyperlink"/>
                <w:rFonts w:eastAsiaTheme="majorEastAsia"/>
                <w:noProof/>
              </w:rPr>
              <w:t>La loi climat et Résilience</w:t>
            </w:r>
            <w:r w:rsidR="00BA66CC">
              <w:rPr>
                <w:noProof/>
                <w:webHidden/>
              </w:rPr>
              <w:tab/>
            </w:r>
            <w:r w:rsidR="00BA66CC">
              <w:rPr>
                <w:noProof/>
                <w:webHidden/>
              </w:rPr>
              <w:fldChar w:fldCharType="begin"/>
            </w:r>
            <w:r w:rsidR="00BA66CC">
              <w:rPr>
                <w:noProof/>
                <w:webHidden/>
              </w:rPr>
              <w:instrText xml:space="preserve"> PAGEREF _Toc138342036 \h </w:instrText>
            </w:r>
            <w:r w:rsidR="00BA66CC">
              <w:rPr>
                <w:noProof/>
                <w:webHidden/>
              </w:rPr>
            </w:r>
            <w:r w:rsidR="00BA66CC">
              <w:rPr>
                <w:noProof/>
                <w:webHidden/>
              </w:rPr>
              <w:fldChar w:fldCharType="separate"/>
            </w:r>
            <w:r w:rsidR="00BA66CC">
              <w:rPr>
                <w:noProof/>
                <w:webHidden/>
              </w:rPr>
              <w:t>216</w:t>
            </w:r>
            <w:r w:rsidR="00BA66CC">
              <w:rPr>
                <w:noProof/>
                <w:webHidden/>
              </w:rPr>
              <w:fldChar w:fldCharType="end"/>
            </w:r>
          </w:hyperlink>
        </w:p>
        <w:p w14:paraId="2FBC3FFE" w14:textId="2E4382F4" w:rsidR="00BA66CC" w:rsidRDefault="00697C78">
          <w:pPr>
            <w:pStyle w:val="TOC3"/>
            <w:tabs>
              <w:tab w:val="left" w:pos="1200"/>
              <w:tab w:val="right" w:leader="dot" w:pos="9940"/>
            </w:tabs>
            <w:rPr>
              <w:rFonts w:eastAsiaTheme="minorEastAsia" w:cstheme="minorBidi"/>
              <w:i w:val="0"/>
              <w:iCs w:val="0"/>
              <w:noProof/>
              <w:szCs w:val="22"/>
            </w:rPr>
          </w:pPr>
          <w:hyperlink w:anchor="_Toc138342037" w:history="1">
            <w:r w:rsidR="00BA66CC" w:rsidRPr="007C4632">
              <w:rPr>
                <w:rStyle w:val="Hyperlink"/>
                <w:rFonts w:ascii="Marianne" w:eastAsiaTheme="majorEastAsia" w:hAnsi="Marianne"/>
                <w:noProof/>
              </w:rPr>
              <w:t>D.2.</w:t>
            </w:r>
            <w:r w:rsidR="00BA66CC">
              <w:rPr>
                <w:rFonts w:eastAsiaTheme="minorEastAsia" w:cstheme="minorBidi"/>
                <w:i w:val="0"/>
                <w:iCs w:val="0"/>
                <w:noProof/>
                <w:szCs w:val="22"/>
              </w:rPr>
              <w:tab/>
            </w:r>
            <w:r w:rsidR="00BA66CC" w:rsidRPr="007C4632">
              <w:rPr>
                <w:rStyle w:val="Hyperlink"/>
                <w:rFonts w:eastAsiaTheme="majorEastAsia"/>
                <w:noProof/>
              </w:rPr>
              <w:t>Le Plan climat de la France</w:t>
            </w:r>
            <w:r w:rsidR="00BA66CC">
              <w:rPr>
                <w:noProof/>
                <w:webHidden/>
              </w:rPr>
              <w:tab/>
            </w:r>
            <w:r w:rsidR="00BA66CC">
              <w:rPr>
                <w:noProof/>
                <w:webHidden/>
              </w:rPr>
              <w:fldChar w:fldCharType="begin"/>
            </w:r>
            <w:r w:rsidR="00BA66CC">
              <w:rPr>
                <w:noProof/>
                <w:webHidden/>
              </w:rPr>
              <w:instrText xml:space="preserve"> PAGEREF _Toc138342037 \h </w:instrText>
            </w:r>
            <w:r w:rsidR="00BA66CC">
              <w:rPr>
                <w:noProof/>
                <w:webHidden/>
              </w:rPr>
            </w:r>
            <w:r w:rsidR="00BA66CC">
              <w:rPr>
                <w:noProof/>
                <w:webHidden/>
              </w:rPr>
              <w:fldChar w:fldCharType="separate"/>
            </w:r>
            <w:r w:rsidR="00BA66CC">
              <w:rPr>
                <w:noProof/>
                <w:webHidden/>
              </w:rPr>
              <w:t>216</w:t>
            </w:r>
            <w:r w:rsidR="00BA66CC">
              <w:rPr>
                <w:noProof/>
                <w:webHidden/>
              </w:rPr>
              <w:fldChar w:fldCharType="end"/>
            </w:r>
          </w:hyperlink>
        </w:p>
        <w:p w14:paraId="63EFB56F" w14:textId="003AAE86" w:rsidR="00BA66CC" w:rsidRDefault="00697C78">
          <w:pPr>
            <w:pStyle w:val="TOC3"/>
            <w:tabs>
              <w:tab w:val="left" w:pos="1200"/>
              <w:tab w:val="right" w:leader="dot" w:pos="9940"/>
            </w:tabs>
            <w:rPr>
              <w:rFonts w:eastAsiaTheme="minorEastAsia" w:cstheme="minorBidi"/>
              <w:i w:val="0"/>
              <w:iCs w:val="0"/>
              <w:noProof/>
              <w:szCs w:val="22"/>
            </w:rPr>
          </w:pPr>
          <w:hyperlink w:anchor="_Toc138342038" w:history="1">
            <w:r w:rsidR="00BA66CC" w:rsidRPr="007C4632">
              <w:rPr>
                <w:rStyle w:val="Hyperlink"/>
                <w:rFonts w:ascii="Marianne" w:eastAsiaTheme="majorEastAsia" w:hAnsi="Marianne"/>
                <w:noProof/>
              </w:rPr>
              <w:t>D.3.</w:t>
            </w:r>
            <w:r w:rsidR="00BA66CC">
              <w:rPr>
                <w:rFonts w:eastAsiaTheme="minorEastAsia" w:cstheme="minorBidi"/>
                <w:i w:val="0"/>
                <w:iCs w:val="0"/>
                <w:noProof/>
                <w:szCs w:val="22"/>
              </w:rPr>
              <w:tab/>
            </w:r>
            <w:r w:rsidR="00BA66CC" w:rsidRPr="007C4632">
              <w:rPr>
                <w:rStyle w:val="Hyperlink"/>
                <w:rFonts w:eastAsiaTheme="majorEastAsia"/>
                <w:noProof/>
              </w:rPr>
              <w:t>La stratégie nationale d'adaptation de la France</w:t>
            </w:r>
            <w:r w:rsidR="00BA66CC">
              <w:rPr>
                <w:noProof/>
                <w:webHidden/>
              </w:rPr>
              <w:tab/>
            </w:r>
            <w:r w:rsidR="00BA66CC">
              <w:rPr>
                <w:noProof/>
                <w:webHidden/>
              </w:rPr>
              <w:fldChar w:fldCharType="begin"/>
            </w:r>
            <w:r w:rsidR="00BA66CC">
              <w:rPr>
                <w:noProof/>
                <w:webHidden/>
              </w:rPr>
              <w:instrText xml:space="preserve"> PAGEREF _Toc138342038 \h </w:instrText>
            </w:r>
            <w:r w:rsidR="00BA66CC">
              <w:rPr>
                <w:noProof/>
                <w:webHidden/>
              </w:rPr>
            </w:r>
            <w:r w:rsidR="00BA66CC">
              <w:rPr>
                <w:noProof/>
                <w:webHidden/>
              </w:rPr>
              <w:fldChar w:fldCharType="separate"/>
            </w:r>
            <w:r w:rsidR="00BA66CC">
              <w:rPr>
                <w:noProof/>
                <w:webHidden/>
              </w:rPr>
              <w:t>217</w:t>
            </w:r>
            <w:r w:rsidR="00BA66CC">
              <w:rPr>
                <w:noProof/>
                <w:webHidden/>
              </w:rPr>
              <w:fldChar w:fldCharType="end"/>
            </w:r>
          </w:hyperlink>
        </w:p>
        <w:p w14:paraId="7E104C12" w14:textId="4E11DAC7" w:rsidR="00BA66CC" w:rsidRDefault="00697C78">
          <w:pPr>
            <w:pStyle w:val="TOC3"/>
            <w:tabs>
              <w:tab w:val="left" w:pos="1200"/>
              <w:tab w:val="right" w:leader="dot" w:pos="9940"/>
            </w:tabs>
            <w:rPr>
              <w:rFonts w:eastAsiaTheme="minorEastAsia" w:cstheme="minorBidi"/>
              <w:i w:val="0"/>
              <w:iCs w:val="0"/>
              <w:noProof/>
              <w:szCs w:val="22"/>
            </w:rPr>
          </w:pPr>
          <w:hyperlink w:anchor="_Toc138342039" w:history="1">
            <w:r w:rsidR="00BA66CC" w:rsidRPr="007C4632">
              <w:rPr>
                <w:rStyle w:val="Hyperlink"/>
                <w:rFonts w:ascii="Marianne" w:eastAsiaTheme="majorEastAsia" w:hAnsi="Marianne"/>
                <w:noProof/>
              </w:rPr>
              <w:t>D.4.</w:t>
            </w:r>
            <w:r w:rsidR="00BA66CC">
              <w:rPr>
                <w:rFonts w:eastAsiaTheme="minorEastAsia" w:cstheme="minorBidi"/>
                <w:i w:val="0"/>
                <w:iCs w:val="0"/>
                <w:noProof/>
                <w:szCs w:val="22"/>
              </w:rPr>
              <w:tab/>
            </w:r>
            <w:r w:rsidR="00BA66CC" w:rsidRPr="007C4632">
              <w:rPr>
                <w:rStyle w:val="Hyperlink"/>
                <w:rFonts w:eastAsiaTheme="majorEastAsia"/>
                <w:noProof/>
              </w:rPr>
              <w:t>Le Plan national d’adaptation au changement climatique</w:t>
            </w:r>
            <w:r w:rsidR="00BA66CC">
              <w:rPr>
                <w:noProof/>
                <w:webHidden/>
              </w:rPr>
              <w:tab/>
            </w:r>
            <w:r w:rsidR="00BA66CC">
              <w:rPr>
                <w:noProof/>
                <w:webHidden/>
              </w:rPr>
              <w:fldChar w:fldCharType="begin"/>
            </w:r>
            <w:r w:rsidR="00BA66CC">
              <w:rPr>
                <w:noProof/>
                <w:webHidden/>
              </w:rPr>
              <w:instrText xml:space="preserve"> PAGEREF _Toc138342039 \h </w:instrText>
            </w:r>
            <w:r w:rsidR="00BA66CC">
              <w:rPr>
                <w:noProof/>
                <w:webHidden/>
              </w:rPr>
            </w:r>
            <w:r w:rsidR="00BA66CC">
              <w:rPr>
                <w:noProof/>
                <w:webHidden/>
              </w:rPr>
              <w:fldChar w:fldCharType="separate"/>
            </w:r>
            <w:r w:rsidR="00BA66CC">
              <w:rPr>
                <w:noProof/>
                <w:webHidden/>
              </w:rPr>
              <w:t>218</w:t>
            </w:r>
            <w:r w:rsidR="00BA66CC">
              <w:rPr>
                <w:noProof/>
                <w:webHidden/>
              </w:rPr>
              <w:fldChar w:fldCharType="end"/>
            </w:r>
          </w:hyperlink>
        </w:p>
        <w:p w14:paraId="52434C31" w14:textId="4F1163EF" w:rsidR="00BA66CC" w:rsidRDefault="00697C78">
          <w:pPr>
            <w:pStyle w:val="TOC3"/>
            <w:tabs>
              <w:tab w:val="left" w:pos="1200"/>
              <w:tab w:val="right" w:leader="dot" w:pos="9940"/>
            </w:tabs>
            <w:rPr>
              <w:rFonts w:eastAsiaTheme="minorEastAsia" w:cstheme="minorBidi"/>
              <w:i w:val="0"/>
              <w:iCs w:val="0"/>
              <w:noProof/>
              <w:szCs w:val="22"/>
            </w:rPr>
          </w:pPr>
          <w:hyperlink w:anchor="_Toc138342040" w:history="1">
            <w:r w:rsidR="00BA66CC" w:rsidRPr="007C4632">
              <w:rPr>
                <w:rStyle w:val="Hyperlink"/>
                <w:rFonts w:ascii="Marianne" w:eastAsiaTheme="majorEastAsia" w:hAnsi="Marianne"/>
                <w:noProof/>
              </w:rPr>
              <w:t>D.5.</w:t>
            </w:r>
            <w:r w:rsidR="00BA66CC">
              <w:rPr>
                <w:rFonts w:eastAsiaTheme="minorEastAsia" w:cstheme="minorBidi"/>
                <w:i w:val="0"/>
                <w:iCs w:val="0"/>
                <w:noProof/>
                <w:szCs w:val="22"/>
              </w:rPr>
              <w:tab/>
            </w:r>
            <w:r w:rsidR="00BA66CC" w:rsidRPr="007C4632">
              <w:rPr>
                <w:rStyle w:val="Hyperlink"/>
                <w:rFonts w:eastAsiaTheme="majorEastAsia"/>
                <w:noProof/>
              </w:rPr>
              <w:t>L’action des collectivités territoriales</w:t>
            </w:r>
            <w:r w:rsidR="00BA66CC">
              <w:rPr>
                <w:noProof/>
                <w:webHidden/>
              </w:rPr>
              <w:tab/>
            </w:r>
            <w:r w:rsidR="00BA66CC">
              <w:rPr>
                <w:noProof/>
                <w:webHidden/>
              </w:rPr>
              <w:fldChar w:fldCharType="begin"/>
            </w:r>
            <w:r w:rsidR="00BA66CC">
              <w:rPr>
                <w:noProof/>
                <w:webHidden/>
              </w:rPr>
              <w:instrText xml:space="preserve"> PAGEREF _Toc138342040 \h </w:instrText>
            </w:r>
            <w:r w:rsidR="00BA66CC">
              <w:rPr>
                <w:noProof/>
                <w:webHidden/>
              </w:rPr>
            </w:r>
            <w:r w:rsidR="00BA66CC">
              <w:rPr>
                <w:noProof/>
                <w:webHidden/>
              </w:rPr>
              <w:fldChar w:fldCharType="separate"/>
            </w:r>
            <w:r w:rsidR="00BA66CC">
              <w:rPr>
                <w:noProof/>
                <w:webHidden/>
              </w:rPr>
              <w:t>219</w:t>
            </w:r>
            <w:r w:rsidR="00BA66CC">
              <w:rPr>
                <w:noProof/>
                <w:webHidden/>
              </w:rPr>
              <w:fldChar w:fldCharType="end"/>
            </w:r>
          </w:hyperlink>
        </w:p>
        <w:p w14:paraId="7ACEE52A" w14:textId="3AA7E999" w:rsidR="00BA66CC" w:rsidRDefault="00697C78">
          <w:pPr>
            <w:pStyle w:val="TOC2"/>
            <w:tabs>
              <w:tab w:val="left" w:pos="600"/>
              <w:tab w:val="right" w:leader="dot" w:pos="9940"/>
            </w:tabs>
            <w:rPr>
              <w:rFonts w:eastAsiaTheme="minorEastAsia" w:cstheme="minorBidi"/>
              <w:smallCaps w:val="0"/>
              <w:noProof/>
              <w:szCs w:val="22"/>
            </w:rPr>
          </w:pPr>
          <w:hyperlink w:anchor="_Toc138342041" w:history="1">
            <w:r w:rsidR="00BA66CC" w:rsidRPr="007C4632">
              <w:rPr>
                <w:rStyle w:val="Hyperlink"/>
                <w:rFonts w:eastAsiaTheme="majorEastAsia"/>
                <w:noProof/>
              </w:rPr>
              <w:t>E.</w:t>
            </w:r>
            <w:r w:rsidR="00BA66CC">
              <w:rPr>
                <w:rFonts w:eastAsiaTheme="minorEastAsia" w:cstheme="minorBidi"/>
                <w:smallCaps w:val="0"/>
                <w:noProof/>
                <w:szCs w:val="22"/>
              </w:rPr>
              <w:tab/>
            </w:r>
            <w:r w:rsidR="00BA66CC" w:rsidRPr="007C4632">
              <w:rPr>
                <w:rStyle w:val="Hyperlink"/>
                <w:rFonts w:eastAsiaTheme="majorEastAsia"/>
                <w:noProof/>
              </w:rPr>
              <w:t>Cadre de suivi et d’évaluation</w:t>
            </w:r>
            <w:r w:rsidR="00BA66CC">
              <w:rPr>
                <w:noProof/>
                <w:webHidden/>
              </w:rPr>
              <w:tab/>
            </w:r>
            <w:r w:rsidR="00BA66CC">
              <w:rPr>
                <w:noProof/>
                <w:webHidden/>
              </w:rPr>
              <w:fldChar w:fldCharType="begin"/>
            </w:r>
            <w:r w:rsidR="00BA66CC">
              <w:rPr>
                <w:noProof/>
                <w:webHidden/>
              </w:rPr>
              <w:instrText xml:space="preserve"> PAGEREF _Toc138342041 \h </w:instrText>
            </w:r>
            <w:r w:rsidR="00BA66CC">
              <w:rPr>
                <w:noProof/>
                <w:webHidden/>
              </w:rPr>
            </w:r>
            <w:r w:rsidR="00BA66CC">
              <w:rPr>
                <w:noProof/>
                <w:webHidden/>
              </w:rPr>
              <w:fldChar w:fldCharType="separate"/>
            </w:r>
            <w:r w:rsidR="00BA66CC">
              <w:rPr>
                <w:noProof/>
                <w:webHidden/>
              </w:rPr>
              <w:t>224</w:t>
            </w:r>
            <w:r w:rsidR="00BA66CC">
              <w:rPr>
                <w:noProof/>
                <w:webHidden/>
              </w:rPr>
              <w:fldChar w:fldCharType="end"/>
            </w:r>
          </w:hyperlink>
        </w:p>
        <w:p w14:paraId="6E3A75A4" w14:textId="20DC01D3" w:rsidR="00BA66CC" w:rsidRDefault="00697C78">
          <w:pPr>
            <w:pStyle w:val="TOC2"/>
            <w:tabs>
              <w:tab w:val="left" w:pos="600"/>
              <w:tab w:val="right" w:leader="dot" w:pos="9940"/>
            </w:tabs>
            <w:rPr>
              <w:rFonts w:eastAsiaTheme="minorEastAsia" w:cstheme="minorBidi"/>
              <w:smallCaps w:val="0"/>
              <w:noProof/>
              <w:szCs w:val="22"/>
            </w:rPr>
          </w:pPr>
          <w:hyperlink w:anchor="_Toc138342042" w:history="1">
            <w:r w:rsidR="00BA66CC" w:rsidRPr="007C4632">
              <w:rPr>
                <w:rStyle w:val="Hyperlink"/>
                <w:rFonts w:eastAsiaTheme="majorEastAsia"/>
                <w:noProof/>
              </w:rPr>
              <w:t>F.</w:t>
            </w:r>
            <w:r w:rsidR="00BA66CC">
              <w:rPr>
                <w:rFonts w:eastAsiaTheme="minorEastAsia" w:cstheme="minorBidi"/>
                <w:smallCaps w:val="0"/>
                <w:noProof/>
                <w:szCs w:val="22"/>
              </w:rPr>
              <w:tab/>
            </w:r>
            <w:r w:rsidR="00BA66CC" w:rsidRPr="007C4632">
              <w:rPr>
                <w:rStyle w:val="Hyperlink"/>
                <w:rFonts w:eastAsiaTheme="majorEastAsia"/>
                <w:noProof/>
              </w:rPr>
              <w:t>Progrès et résultats des mesures d’adaptation</w:t>
            </w:r>
            <w:r w:rsidR="00BA66CC">
              <w:rPr>
                <w:noProof/>
                <w:webHidden/>
              </w:rPr>
              <w:tab/>
            </w:r>
            <w:r w:rsidR="00BA66CC">
              <w:rPr>
                <w:noProof/>
                <w:webHidden/>
              </w:rPr>
              <w:fldChar w:fldCharType="begin"/>
            </w:r>
            <w:r w:rsidR="00BA66CC">
              <w:rPr>
                <w:noProof/>
                <w:webHidden/>
              </w:rPr>
              <w:instrText xml:space="preserve"> PAGEREF _Toc138342042 \h </w:instrText>
            </w:r>
            <w:r w:rsidR="00BA66CC">
              <w:rPr>
                <w:noProof/>
                <w:webHidden/>
              </w:rPr>
            </w:r>
            <w:r w:rsidR="00BA66CC">
              <w:rPr>
                <w:noProof/>
                <w:webHidden/>
              </w:rPr>
              <w:fldChar w:fldCharType="separate"/>
            </w:r>
            <w:r w:rsidR="00BA66CC">
              <w:rPr>
                <w:noProof/>
                <w:webHidden/>
              </w:rPr>
              <w:t>226</w:t>
            </w:r>
            <w:r w:rsidR="00BA66CC">
              <w:rPr>
                <w:noProof/>
                <w:webHidden/>
              </w:rPr>
              <w:fldChar w:fldCharType="end"/>
            </w:r>
          </w:hyperlink>
        </w:p>
        <w:p w14:paraId="53BFF84F" w14:textId="4A2BA095" w:rsidR="00BA66CC" w:rsidRDefault="00697C78">
          <w:pPr>
            <w:pStyle w:val="TOC3"/>
            <w:tabs>
              <w:tab w:val="left" w:pos="1000"/>
              <w:tab w:val="right" w:leader="dot" w:pos="9940"/>
            </w:tabs>
            <w:rPr>
              <w:rFonts w:eastAsiaTheme="minorEastAsia" w:cstheme="minorBidi"/>
              <w:i w:val="0"/>
              <w:iCs w:val="0"/>
              <w:noProof/>
              <w:szCs w:val="22"/>
            </w:rPr>
          </w:pPr>
          <w:hyperlink w:anchor="_Toc138342043" w:history="1">
            <w:r w:rsidR="00BA66CC" w:rsidRPr="007C4632">
              <w:rPr>
                <w:rStyle w:val="Hyperlink"/>
                <w:rFonts w:ascii="Marianne" w:eastAsiaTheme="majorEastAsia" w:hAnsi="Marianne"/>
                <w:noProof/>
              </w:rPr>
              <w:t>F.1.</w:t>
            </w:r>
            <w:r w:rsidR="00BA66CC">
              <w:rPr>
                <w:rFonts w:eastAsiaTheme="minorEastAsia" w:cstheme="minorBidi"/>
                <w:i w:val="0"/>
                <w:iCs w:val="0"/>
                <w:noProof/>
                <w:szCs w:val="22"/>
              </w:rPr>
              <w:tab/>
            </w:r>
            <w:r w:rsidR="00BA66CC" w:rsidRPr="007C4632">
              <w:rPr>
                <w:rStyle w:val="Hyperlink"/>
                <w:rFonts w:eastAsiaTheme="majorEastAsia"/>
                <w:noProof/>
              </w:rPr>
              <w:t>Principales conclusions tirées de l’évaluation à mi-parcours du deuxième plan national d’adaptation au changement climatique</w:t>
            </w:r>
            <w:r w:rsidR="00BA66CC">
              <w:rPr>
                <w:noProof/>
                <w:webHidden/>
              </w:rPr>
              <w:tab/>
            </w:r>
            <w:r w:rsidR="00BA66CC">
              <w:rPr>
                <w:noProof/>
                <w:webHidden/>
              </w:rPr>
              <w:fldChar w:fldCharType="begin"/>
            </w:r>
            <w:r w:rsidR="00BA66CC">
              <w:rPr>
                <w:noProof/>
                <w:webHidden/>
              </w:rPr>
              <w:instrText xml:space="preserve"> PAGEREF _Toc138342043 \h </w:instrText>
            </w:r>
            <w:r w:rsidR="00BA66CC">
              <w:rPr>
                <w:noProof/>
                <w:webHidden/>
              </w:rPr>
            </w:r>
            <w:r w:rsidR="00BA66CC">
              <w:rPr>
                <w:noProof/>
                <w:webHidden/>
              </w:rPr>
              <w:fldChar w:fldCharType="separate"/>
            </w:r>
            <w:r w:rsidR="00BA66CC">
              <w:rPr>
                <w:noProof/>
                <w:webHidden/>
              </w:rPr>
              <w:t>226</w:t>
            </w:r>
            <w:r w:rsidR="00BA66CC">
              <w:rPr>
                <w:noProof/>
                <w:webHidden/>
              </w:rPr>
              <w:fldChar w:fldCharType="end"/>
            </w:r>
          </w:hyperlink>
        </w:p>
        <w:p w14:paraId="06A5BF8D" w14:textId="519DE64B" w:rsidR="00BA66CC" w:rsidRDefault="00697C78">
          <w:pPr>
            <w:pStyle w:val="TOC3"/>
            <w:tabs>
              <w:tab w:val="left" w:pos="1000"/>
              <w:tab w:val="right" w:leader="dot" w:pos="9940"/>
            </w:tabs>
            <w:rPr>
              <w:rFonts w:eastAsiaTheme="minorEastAsia" w:cstheme="minorBidi"/>
              <w:i w:val="0"/>
              <w:iCs w:val="0"/>
              <w:noProof/>
              <w:szCs w:val="22"/>
            </w:rPr>
          </w:pPr>
          <w:hyperlink w:anchor="_Toc138342044" w:history="1">
            <w:r w:rsidR="00BA66CC" w:rsidRPr="007C4632">
              <w:rPr>
                <w:rStyle w:val="Hyperlink"/>
                <w:rFonts w:ascii="Marianne" w:eastAsiaTheme="majorEastAsia" w:hAnsi="Marianne"/>
                <w:noProof/>
              </w:rPr>
              <w:t>F.2.</w:t>
            </w:r>
            <w:r w:rsidR="00BA66CC">
              <w:rPr>
                <w:rFonts w:eastAsiaTheme="minorEastAsia" w:cstheme="minorBidi"/>
                <w:i w:val="0"/>
                <w:iCs w:val="0"/>
                <w:noProof/>
                <w:szCs w:val="22"/>
              </w:rPr>
              <w:tab/>
            </w:r>
            <w:r w:rsidR="00BA66CC" w:rsidRPr="007C4632">
              <w:rPr>
                <w:rStyle w:val="Hyperlink"/>
                <w:rFonts w:eastAsiaTheme="majorEastAsia"/>
                <w:noProof/>
              </w:rPr>
              <w:t>Evaluation économique des coûts de l’adaptation au changement climatique</w:t>
            </w:r>
            <w:r w:rsidR="00BA66CC">
              <w:rPr>
                <w:noProof/>
                <w:webHidden/>
              </w:rPr>
              <w:tab/>
            </w:r>
            <w:r w:rsidR="00BA66CC">
              <w:rPr>
                <w:noProof/>
                <w:webHidden/>
              </w:rPr>
              <w:fldChar w:fldCharType="begin"/>
            </w:r>
            <w:r w:rsidR="00BA66CC">
              <w:rPr>
                <w:noProof/>
                <w:webHidden/>
              </w:rPr>
              <w:instrText xml:space="preserve"> PAGEREF _Toc138342044 \h </w:instrText>
            </w:r>
            <w:r w:rsidR="00BA66CC">
              <w:rPr>
                <w:noProof/>
                <w:webHidden/>
              </w:rPr>
            </w:r>
            <w:r w:rsidR="00BA66CC">
              <w:rPr>
                <w:noProof/>
                <w:webHidden/>
              </w:rPr>
              <w:fldChar w:fldCharType="separate"/>
            </w:r>
            <w:r w:rsidR="00BA66CC">
              <w:rPr>
                <w:noProof/>
                <w:webHidden/>
              </w:rPr>
              <w:t>233</w:t>
            </w:r>
            <w:r w:rsidR="00BA66CC">
              <w:rPr>
                <w:noProof/>
                <w:webHidden/>
              </w:rPr>
              <w:fldChar w:fldCharType="end"/>
            </w:r>
          </w:hyperlink>
        </w:p>
        <w:p w14:paraId="1FB23753" w14:textId="6F365E13" w:rsidR="00BA66CC" w:rsidRDefault="00697C78">
          <w:pPr>
            <w:pStyle w:val="TOC3"/>
            <w:tabs>
              <w:tab w:val="left" w:pos="1000"/>
              <w:tab w:val="right" w:leader="dot" w:pos="9940"/>
            </w:tabs>
            <w:rPr>
              <w:rFonts w:eastAsiaTheme="minorEastAsia" w:cstheme="minorBidi"/>
              <w:i w:val="0"/>
              <w:iCs w:val="0"/>
              <w:noProof/>
              <w:szCs w:val="22"/>
            </w:rPr>
          </w:pPr>
          <w:hyperlink w:anchor="_Toc138342045" w:history="1">
            <w:r w:rsidR="00BA66CC" w:rsidRPr="007C4632">
              <w:rPr>
                <w:rStyle w:val="Hyperlink"/>
                <w:rFonts w:ascii="Marianne" w:eastAsiaTheme="majorEastAsia" w:hAnsi="Marianne"/>
                <w:noProof/>
              </w:rPr>
              <w:t>F.3.</w:t>
            </w:r>
            <w:r w:rsidR="00BA66CC">
              <w:rPr>
                <w:rFonts w:eastAsiaTheme="minorEastAsia" w:cstheme="minorBidi"/>
                <w:i w:val="0"/>
                <w:iCs w:val="0"/>
                <w:noProof/>
                <w:szCs w:val="22"/>
              </w:rPr>
              <w:tab/>
            </w:r>
            <w:r w:rsidR="00BA66CC" w:rsidRPr="007C4632">
              <w:rPr>
                <w:rStyle w:val="Hyperlink"/>
                <w:rFonts w:eastAsiaTheme="majorEastAsia"/>
                <w:noProof/>
              </w:rPr>
              <w:t>Lancement d’un centre de ressources pour l’adaptation au changement climatique</w:t>
            </w:r>
            <w:r w:rsidR="00BA66CC">
              <w:rPr>
                <w:noProof/>
                <w:webHidden/>
              </w:rPr>
              <w:tab/>
            </w:r>
            <w:r w:rsidR="00BA66CC">
              <w:rPr>
                <w:noProof/>
                <w:webHidden/>
              </w:rPr>
              <w:fldChar w:fldCharType="begin"/>
            </w:r>
            <w:r w:rsidR="00BA66CC">
              <w:rPr>
                <w:noProof/>
                <w:webHidden/>
              </w:rPr>
              <w:instrText xml:space="preserve"> PAGEREF _Toc138342045 \h </w:instrText>
            </w:r>
            <w:r w:rsidR="00BA66CC">
              <w:rPr>
                <w:noProof/>
                <w:webHidden/>
              </w:rPr>
            </w:r>
            <w:r w:rsidR="00BA66CC">
              <w:rPr>
                <w:noProof/>
                <w:webHidden/>
              </w:rPr>
              <w:fldChar w:fldCharType="separate"/>
            </w:r>
            <w:r w:rsidR="00BA66CC">
              <w:rPr>
                <w:noProof/>
                <w:webHidden/>
              </w:rPr>
              <w:t>235</w:t>
            </w:r>
            <w:r w:rsidR="00BA66CC">
              <w:rPr>
                <w:noProof/>
                <w:webHidden/>
              </w:rPr>
              <w:fldChar w:fldCharType="end"/>
            </w:r>
          </w:hyperlink>
        </w:p>
        <w:p w14:paraId="13014059" w14:textId="1696ED91" w:rsidR="00BA66CC" w:rsidRDefault="00697C78">
          <w:pPr>
            <w:pStyle w:val="TOC1"/>
            <w:rPr>
              <w:rFonts w:eastAsiaTheme="minorEastAsia" w:cstheme="minorBidi"/>
              <w:b w:val="0"/>
              <w:bCs w:val="0"/>
              <w:caps w:val="0"/>
              <w:noProof/>
              <w:szCs w:val="22"/>
            </w:rPr>
          </w:pPr>
          <w:hyperlink w:anchor="_Toc138342046" w:history="1">
            <w:r w:rsidR="00BA66CC" w:rsidRPr="007C4632">
              <w:rPr>
                <w:rStyle w:val="Hyperlink"/>
                <w:rFonts w:eastAsiaTheme="majorEastAsia"/>
                <w:noProof/>
              </w:rPr>
              <w:t>Chapitre VII – Ressources financières et transferts de technologie</w:t>
            </w:r>
            <w:r w:rsidR="00BA66CC">
              <w:rPr>
                <w:noProof/>
                <w:webHidden/>
              </w:rPr>
              <w:tab/>
            </w:r>
            <w:r w:rsidR="00BA66CC">
              <w:rPr>
                <w:noProof/>
                <w:webHidden/>
              </w:rPr>
              <w:fldChar w:fldCharType="begin"/>
            </w:r>
            <w:r w:rsidR="00BA66CC">
              <w:rPr>
                <w:noProof/>
                <w:webHidden/>
              </w:rPr>
              <w:instrText xml:space="preserve"> PAGEREF _Toc138342046 \h </w:instrText>
            </w:r>
            <w:r w:rsidR="00BA66CC">
              <w:rPr>
                <w:noProof/>
                <w:webHidden/>
              </w:rPr>
            </w:r>
            <w:r w:rsidR="00BA66CC">
              <w:rPr>
                <w:noProof/>
                <w:webHidden/>
              </w:rPr>
              <w:fldChar w:fldCharType="separate"/>
            </w:r>
            <w:r w:rsidR="00BA66CC">
              <w:rPr>
                <w:noProof/>
                <w:webHidden/>
              </w:rPr>
              <w:t>238</w:t>
            </w:r>
            <w:r w:rsidR="00BA66CC">
              <w:rPr>
                <w:noProof/>
                <w:webHidden/>
              </w:rPr>
              <w:fldChar w:fldCharType="end"/>
            </w:r>
          </w:hyperlink>
        </w:p>
        <w:p w14:paraId="320E5DF7" w14:textId="4CE3D926" w:rsidR="00BA66CC" w:rsidRDefault="00697C78">
          <w:pPr>
            <w:pStyle w:val="TOC2"/>
            <w:tabs>
              <w:tab w:val="left" w:pos="800"/>
              <w:tab w:val="right" w:leader="dot" w:pos="9940"/>
            </w:tabs>
            <w:rPr>
              <w:rFonts w:eastAsiaTheme="minorEastAsia" w:cstheme="minorBidi"/>
              <w:smallCaps w:val="0"/>
              <w:noProof/>
              <w:szCs w:val="22"/>
            </w:rPr>
          </w:pPr>
          <w:hyperlink w:anchor="_Toc138342047"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Mobilisation des ressources financières de sources bilatérales</w:t>
            </w:r>
            <w:r w:rsidR="00BA66CC">
              <w:rPr>
                <w:noProof/>
                <w:webHidden/>
              </w:rPr>
              <w:tab/>
            </w:r>
            <w:r w:rsidR="00BA66CC">
              <w:rPr>
                <w:noProof/>
                <w:webHidden/>
              </w:rPr>
              <w:fldChar w:fldCharType="begin"/>
            </w:r>
            <w:r w:rsidR="00BA66CC">
              <w:rPr>
                <w:noProof/>
                <w:webHidden/>
              </w:rPr>
              <w:instrText xml:space="preserve"> PAGEREF _Toc138342047 \h </w:instrText>
            </w:r>
            <w:r w:rsidR="00BA66CC">
              <w:rPr>
                <w:noProof/>
                <w:webHidden/>
              </w:rPr>
            </w:r>
            <w:r w:rsidR="00BA66CC">
              <w:rPr>
                <w:noProof/>
                <w:webHidden/>
              </w:rPr>
              <w:fldChar w:fldCharType="separate"/>
            </w:r>
            <w:r w:rsidR="00BA66CC">
              <w:rPr>
                <w:noProof/>
                <w:webHidden/>
              </w:rPr>
              <w:t>238</w:t>
            </w:r>
            <w:r w:rsidR="00BA66CC">
              <w:rPr>
                <w:noProof/>
                <w:webHidden/>
              </w:rPr>
              <w:fldChar w:fldCharType="end"/>
            </w:r>
          </w:hyperlink>
        </w:p>
        <w:p w14:paraId="6C379914" w14:textId="6132B114" w:rsidR="00BA66CC" w:rsidRDefault="00697C78">
          <w:pPr>
            <w:pStyle w:val="TOC3"/>
            <w:tabs>
              <w:tab w:val="left" w:pos="1000"/>
              <w:tab w:val="right" w:leader="dot" w:pos="9940"/>
            </w:tabs>
            <w:rPr>
              <w:rFonts w:eastAsiaTheme="minorEastAsia" w:cstheme="minorBidi"/>
              <w:i w:val="0"/>
              <w:iCs w:val="0"/>
              <w:noProof/>
              <w:szCs w:val="22"/>
            </w:rPr>
          </w:pPr>
          <w:hyperlink w:anchor="_Toc138342048"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Soutien financier fourni par le groupe Agence française de développement</w:t>
            </w:r>
            <w:r w:rsidR="00BA66CC">
              <w:rPr>
                <w:noProof/>
                <w:webHidden/>
              </w:rPr>
              <w:tab/>
            </w:r>
            <w:r w:rsidR="00BA66CC">
              <w:rPr>
                <w:noProof/>
                <w:webHidden/>
              </w:rPr>
              <w:fldChar w:fldCharType="begin"/>
            </w:r>
            <w:r w:rsidR="00BA66CC">
              <w:rPr>
                <w:noProof/>
                <w:webHidden/>
              </w:rPr>
              <w:instrText xml:space="preserve"> PAGEREF _Toc138342048 \h </w:instrText>
            </w:r>
            <w:r w:rsidR="00BA66CC">
              <w:rPr>
                <w:noProof/>
                <w:webHidden/>
              </w:rPr>
            </w:r>
            <w:r w:rsidR="00BA66CC">
              <w:rPr>
                <w:noProof/>
                <w:webHidden/>
              </w:rPr>
              <w:fldChar w:fldCharType="separate"/>
            </w:r>
            <w:r w:rsidR="00BA66CC">
              <w:rPr>
                <w:noProof/>
                <w:webHidden/>
              </w:rPr>
              <w:t>238</w:t>
            </w:r>
            <w:r w:rsidR="00BA66CC">
              <w:rPr>
                <w:noProof/>
                <w:webHidden/>
              </w:rPr>
              <w:fldChar w:fldCharType="end"/>
            </w:r>
          </w:hyperlink>
        </w:p>
        <w:p w14:paraId="2BF897FE" w14:textId="0BC164E7" w:rsidR="00BA66CC" w:rsidRDefault="00697C78">
          <w:pPr>
            <w:pStyle w:val="TOC3"/>
            <w:tabs>
              <w:tab w:val="left" w:pos="1200"/>
              <w:tab w:val="right" w:leader="dot" w:pos="9940"/>
            </w:tabs>
            <w:rPr>
              <w:rFonts w:eastAsiaTheme="minorEastAsia" w:cstheme="minorBidi"/>
              <w:i w:val="0"/>
              <w:iCs w:val="0"/>
              <w:noProof/>
              <w:szCs w:val="22"/>
            </w:rPr>
          </w:pPr>
          <w:hyperlink w:anchor="_Toc138342049"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Méthodologie de comptabilisation des engagements « climat » du groupe AFD</w:t>
            </w:r>
            <w:r w:rsidR="00BA66CC">
              <w:rPr>
                <w:noProof/>
                <w:webHidden/>
              </w:rPr>
              <w:tab/>
            </w:r>
            <w:r w:rsidR="00BA66CC">
              <w:rPr>
                <w:noProof/>
                <w:webHidden/>
              </w:rPr>
              <w:fldChar w:fldCharType="begin"/>
            </w:r>
            <w:r w:rsidR="00BA66CC">
              <w:rPr>
                <w:noProof/>
                <w:webHidden/>
              </w:rPr>
              <w:instrText xml:space="preserve"> PAGEREF _Toc138342049 \h </w:instrText>
            </w:r>
            <w:r w:rsidR="00BA66CC">
              <w:rPr>
                <w:noProof/>
                <w:webHidden/>
              </w:rPr>
            </w:r>
            <w:r w:rsidR="00BA66CC">
              <w:rPr>
                <w:noProof/>
                <w:webHidden/>
              </w:rPr>
              <w:fldChar w:fldCharType="separate"/>
            </w:r>
            <w:r w:rsidR="00BA66CC">
              <w:rPr>
                <w:noProof/>
                <w:webHidden/>
              </w:rPr>
              <w:t>240</w:t>
            </w:r>
            <w:r w:rsidR="00BA66CC">
              <w:rPr>
                <w:noProof/>
                <w:webHidden/>
              </w:rPr>
              <w:fldChar w:fldCharType="end"/>
            </w:r>
          </w:hyperlink>
        </w:p>
        <w:p w14:paraId="7AEBAB55" w14:textId="0B3D5663" w:rsidR="00BA66CC" w:rsidRDefault="00697C78">
          <w:pPr>
            <w:pStyle w:val="TOC3"/>
            <w:tabs>
              <w:tab w:val="left" w:pos="1200"/>
              <w:tab w:val="right" w:leader="dot" w:pos="9940"/>
            </w:tabs>
            <w:rPr>
              <w:rFonts w:eastAsiaTheme="minorEastAsia" w:cstheme="minorBidi"/>
              <w:i w:val="0"/>
              <w:iCs w:val="0"/>
              <w:noProof/>
              <w:szCs w:val="22"/>
            </w:rPr>
          </w:pPr>
          <w:hyperlink w:anchor="_Toc138342050" w:history="1">
            <w:r w:rsidR="00BA66CC" w:rsidRPr="007C4632">
              <w:rPr>
                <w:rStyle w:val="Hyperlink"/>
                <w:rFonts w:ascii="Marianne" w:eastAsiaTheme="majorEastAsia" w:hAnsi="Marianne"/>
                <w:noProof/>
              </w:rPr>
              <w:t>A.3.</w:t>
            </w:r>
            <w:r w:rsidR="00BA66CC">
              <w:rPr>
                <w:rFonts w:eastAsiaTheme="minorEastAsia" w:cstheme="minorBidi"/>
                <w:i w:val="0"/>
                <w:iCs w:val="0"/>
                <w:noProof/>
                <w:szCs w:val="22"/>
              </w:rPr>
              <w:tab/>
            </w:r>
            <w:r w:rsidR="00BA66CC" w:rsidRPr="007C4632">
              <w:rPr>
                <w:rStyle w:val="Hyperlink"/>
                <w:rFonts w:eastAsiaTheme="majorEastAsia"/>
                <w:noProof/>
              </w:rPr>
              <w:t>Finance climat privée mobilisée par les financements du groupe AFD</w:t>
            </w:r>
            <w:r w:rsidR="00BA66CC">
              <w:rPr>
                <w:noProof/>
                <w:webHidden/>
              </w:rPr>
              <w:tab/>
            </w:r>
            <w:r w:rsidR="00BA66CC">
              <w:rPr>
                <w:noProof/>
                <w:webHidden/>
              </w:rPr>
              <w:fldChar w:fldCharType="begin"/>
            </w:r>
            <w:r w:rsidR="00BA66CC">
              <w:rPr>
                <w:noProof/>
                <w:webHidden/>
              </w:rPr>
              <w:instrText xml:space="preserve"> PAGEREF _Toc138342050 \h </w:instrText>
            </w:r>
            <w:r w:rsidR="00BA66CC">
              <w:rPr>
                <w:noProof/>
                <w:webHidden/>
              </w:rPr>
            </w:r>
            <w:r w:rsidR="00BA66CC">
              <w:rPr>
                <w:noProof/>
                <w:webHidden/>
              </w:rPr>
              <w:fldChar w:fldCharType="separate"/>
            </w:r>
            <w:r w:rsidR="00BA66CC">
              <w:rPr>
                <w:noProof/>
                <w:webHidden/>
              </w:rPr>
              <w:t>241</w:t>
            </w:r>
            <w:r w:rsidR="00BA66CC">
              <w:rPr>
                <w:noProof/>
                <w:webHidden/>
              </w:rPr>
              <w:fldChar w:fldCharType="end"/>
            </w:r>
          </w:hyperlink>
        </w:p>
        <w:p w14:paraId="3E18E7B2" w14:textId="1539EEF2" w:rsidR="00BA66CC" w:rsidRDefault="00697C78">
          <w:pPr>
            <w:pStyle w:val="TOC3"/>
            <w:tabs>
              <w:tab w:val="left" w:pos="1200"/>
              <w:tab w:val="right" w:leader="dot" w:pos="9940"/>
            </w:tabs>
            <w:rPr>
              <w:rFonts w:eastAsiaTheme="minorEastAsia" w:cstheme="minorBidi"/>
              <w:i w:val="0"/>
              <w:iCs w:val="0"/>
              <w:noProof/>
              <w:szCs w:val="22"/>
            </w:rPr>
          </w:pPr>
          <w:hyperlink w:anchor="_Toc138342051" w:history="1">
            <w:r w:rsidR="00BA66CC" w:rsidRPr="007C4632">
              <w:rPr>
                <w:rStyle w:val="Hyperlink"/>
                <w:rFonts w:ascii="Marianne" w:eastAsiaTheme="majorEastAsia" w:hAnsi="Marianne"/>
                <w:noProof/>
              </w:rPr>
              <w:t>A.4.</w:t>
            </w:r>
            <w:r w:rsidR="00BA66CC">
              <w:rPr>
                <w:rFonts w:eastAsiaTheme="minorEastAsia" w:cstheme="minorBidi"/>
                <w:i w:val="0"/>
                <w:iCs w:val="0"/>
                <w:noProof/>
                <w:szCs w:val="22"/>
              </w:rPr>
              <w:tab/>
            </w:r>
            <w:r w:rsidR="00BA66CC" w:rsidRPr="007C4632">
              <w:rPr>
                <w:rStyle w:val="Hyperlink"/>
                <w:rFonts w:eastAsiaTheme="majorEastAsia"/>
                <w:noProof/>
              </w:rPr>
              <w:t>Soutien financier fourni par le fonds français pour l’environnement mondial</w:t>
            </w:r>
            <w:r w:rsidR="00BA66CC">
              <w:rPr>
                <w:noProof/>
                <w:webHidden/>
              </w:rPr>
              <w:tab/>
            </w:r>
            <w:r w:rsidR="00BA66CC">
              <w:rPr>
                <w:noProof/>
                <w:webHidden/>
              </w:rPr>
              <w:fldChar w:fldCharType="begin"/>
            </w:r>
            <w:r w:rsidR="00BA66CC">
              <w:rPr>
                <w:noProof/>
                <w:webHidden/>
              </w:rPr>
              <w:instrText xml:space="preserve"> PAGEREF _Toc138342051 \h </w:instrText>
            </w:r>
            <w:r w:rsidR="00BA66CC">
              <w:rPr>
                <w:noProof/>
                <w:webHidden/>
              </w:rPr>
            </w:r>
            <w:r w:rsidR="00BA66CC">
              <w:rPr>
                <w:noProof/>
                <w:webHidden/>
              </w:rPr>
              <w:fldChar w:fldCharType="separate"/>
            </w:r>
            <w:r w:rsidR="00BA66CC">
              <w:rPr>
                <w:noProof/>
                <w:webHidden/>
              </w:rPr>
              <w:t>241</w:t>
            </w:r>
            <w:r w:rsidR="00BA66CC">
              <w:rPr>
                <w:noProof/>
                <w:webHidden/>
              </w:rPr>
              <w:fldChar w:fldCharType="end"/>
            </w:r>
          </w:hyperlink>
        </w:p>
        <w:p w14:paraId="5C7D6F67" w14:textId="56CEFEB8" w:rsidR="00BA66CC" w:rsidRDefault="00697C78">
          <w:pPr>
            <w:pStyle w:val="TOC3"/>
            <w:tabs>
              <w:tab w:val="left" w:pos="1200"/>
              <w:tab w:val="right" w:leader="dot" w:pos="9940"/>
            </w:tabs>
            <w:rPr>
              <w:rFonts w:eastAsiaTheme="minorEastAsia" w:cstheme="minorBidi"/>
              <w:i w:val="0"/>
              <w:iCs w:val="0"/>
              <w:noProof/>
              <w:szCs w:val="22"/>
            </w:rPr>
          </w:pPr>
          <w:hyperlink w:anchor="_Toc138342052" w:history="1">
            <w:r w:rsidR="00BA66CC" w:rsidRPr="007C4632">
              <w:rPr>
                <w:rStyle w:val="Hyperlink"/>
                <w:rFonts w:ascii="Marianne" w:eastAsiaTheme="majorEastAsia" w:hAnsi="Marianne"/>
                <w:noProof/>
              </w:rPr>
              <w:t>A.5.</w:t>
            </w:r>
            <w:r w:rsidR="00BA66CC">
              <w:rPr>
                <w:rFonts w:eastAsiaTheme="minorEastAsia" w:cstheme="minorBidi"/>
                <w:i w:val="0"/>
                <w:iCs w:val="0"/>
                <w:noProof/>
                <w:szCs w:val="22"/>
              </w:rPr>
              <w:tab/>
            </w:r>
            <w:r w:rsidR="00BA66CC" w:rsidRPr="007C4632">
              <w:rPr>
                <w:rStyle w:val="Hyperlink"/>
                <w:rFonts w:eastAsiaTheme="majorEastAsia"/>
                <w:noProof/>
              </w:rPr>
              <w:t>Soutien financier fourni sous forme de dons (FASEP) et de prêts par le Trésor français</w:t>
            </w:r>
            <w:r w:rsidR="00BA66CC">
              <w:rPr>
                <w:noProof/>
                <w:webHidden/>
              </w:rPr>
              <w:tab/>
            </w:r>
            <w:r w:rsidR="00BA66CC">
              <w:rPr>
                <w:noProof/>
                <w:webHidden/>
              </w:rPr>
              <w:fldChar w:fldCharType="begin"/>
            </w:r>
            <w:r w:rsidR="00BA66CC">
              <w:rPr>
                <w:noProof/>
                <w:webHidden/>
              </w:rPr>
              <w:instrText xml:space="preserve"> PAGEREF _Toc138342052 \h </w:instrText>
            </w:r>
            <w:r w:rsidR="00BA66CC">
              <w:rPr>
                <w:noProof/>
                <w:webHidden/>
              </w:rPr>
            </w:r>
            <w:r w:rsidR="00BA66CC">
              <w:rPr>
                <w:noProof/>
                <w:webHidden/>
              </w:rPr>
              <w:fldChar w:fldCharType="separate"/>
            </w:r>
            <w:r w:rsidR="00BA66CC">
              <w:rPr>
                <w:noProof/>
                <w:webHidden/>
              </w:rPr>
              <w:t>242</w:t>
            </w:r>
            <w:r w:rsidR="00BA66CC">
              <w:rPr>
                <w:noProof/>
                <w:webHidden/>
              </w:rPr>
              <w:fldChar w:fldCharType="end"/>
            </w:r>
          </w:hyperlink>
        </w:p>
        <w:p w14:paraId="5327B728" w14:textId="78A054C8" w:rsidR="00BA66CC" w:rsidRDefault="00697C78">
          <w:pPr>
            <w:pStyle w:val="TOC2"/>
            <w:tabs>
              <w:tab w:val="left" w:pos="600"/>
              <w:tab w:val="right" w:leader="dot" w:pos="9940"/>
            </w:tabs>
            <w:rPr>
              <w:rFonts w:eastAsiaTheme="minorEastAsia" w:cstheme="minorBidi"/>
              <w:smallCaps w:val="0"/>
              <w:noProof/>
              <w:szCs w:val="22"/>
            </w:rPr>
          </w:pPr>
          <w:hyperlink w:anchor="_Toc138342053"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Mobilisation des ressources financières de sources multilatérales</w:t>
            </w:r>
            <w:r w:rsidR="00BA66CC">
              <w:rPr>
                <w:noProof/>
                <w:webHidden/>
              </w:rPr>
              <w:tab/>
            </w:r>
            <w:r w:rsidR="00BA66CC">
              <w:rPr>
                <w:noProof/>
                <w:webHidden/>
              </w:rPr>
              <w:fldChar w:fldCharType="begin"/>
            </w:r>
            <w:r w:rsidR="00BA66CC">
              <w:rPr>
                <w:noProof/>
                <w:webHidden/>
              </w:rPr>
              <w:instrText xml:space="preserve"> PAGEREF _Toc138342053 \h </w:instrText>
            </w:r>
            <w:r w:rsidR="00BA66CC">
              <w:rPr>
                <w:noProof/>
                <w:webHidden/>
              </w:rPr>
            </w:r>
            <w:r w:rsidR="00BA66CC">
              <w:rPr>
                <w:noProof/>
                <w:webHidden/>
              </w:rPr>
              <w:fldChar w:fldCharType="separate"/>
            </w:r>
            <w:r w:rsidR="00BA66CC">
              <w:rPr>
                <w:noProof/>
                <w:webHidden/>
              </w:rPr>
              <w:t>242</w:t>
            </w:r>
            <w:r w:rsidR="00BA66CC">
              <w:rPr>
                <w:noProof/>
                <w:webHidden/>
              </w:rPr>
              <w:fldChar w:fldCharType="end"/>
            </w:r>
          </w:hyperlink>
        </w:p>
        <w:p w14:paraId="35AA5339" w14:textId="427273BA" w:rsidR="00BA66CC" w:rsidRDefault="00697C78">
          <w:pPr>
            <w:pStyle w:val="TOC3"/>
            <w:tabs>
              <w:tab w:val="left" w:pos="1000"/>
              <w:tab w:val="right" w:leader="dot" w:pos="9940"/>
            </w:tabs>
            <w:rPr>
              <w:rFonts w:eastAsiaTheme="minorEastAsia" w:cstheme="minorBidi"/>
              <w:i w:val="0"/>
              <w:iCs w:val="0"/>
              <w:noProof/>
              <w:szCs w:val="22"/>
            </w:rPr>
          </w:pPr>
          <w:hyperlink w:anchor="_Toc138342054"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Contribution au Fonds vert pour le climat</w:t>
            </w:r>
            <w:r w:rsidR="00BA66CC">
              <w:rPr>
                <w:noProof/>
                <w:webHidden/>
              </w:rPr>
              <w:tab/>
            </w:r>
            <w:r w:rsidR="00BA66CC">
              <w:rPr>
                <w:noProof/>
                <w:webHidden/>
              </w:rPr>
              <w:fldChar w:fldCharType="begin"/>
            </w:r>
            <w:r w:rsidR="00BA66CC">
              <w:rPr>
                <w:noProof/>
                <w:webHidden/>
              </w:rPr>
              <w:instrText xml:space="preserve"> PAGEREF _Toc138342054 \h </w:instrText>
            </w:r>
            <w:r w:rsidR="00BA66CC">
              <w:rPr>
                <w:noProof/>
                <w:webHidden/>
              </w:rPr>
            </w:r>
            <w:r w:rsidR="00BA66CC">
              <w:rPr>
                <w:noProof/>
                <w:webHidden/>
              </w:rPr>
              <w:fldChar w:fldCharType="separate"/>
            </w:r>
            <w:r w:rsidR="00BA66CC">
              <w:rPr>
                <w:noProof/>
                <w:webHidden/>
              </w:rPr>
              <w:t>243</w:t>
            </w:r>
            <w:r w:rsidR="00BA66CC">
              <w:rPr>
                <w:noProof/>
                <w:webHidden/>
              </w:rPr>
              <w:fldChar w:fldCharType="end"/>
            </w:r>
          </w:hyperlink>
        </w:p>
        <w:p w14:paraId="62477571" w14:textId="7D3664C1" w:rsidR="00BA66CC" w:rsidRDefault="00697C78">
          <w:pPr>
            <w:pStyle w:val="TOC3"/>
            <w:tabs>
              <w:tab w:val="left" w:pos="1000"/>
              <w:tab w:val="right" w:leader="dot" w:pos="9940"/>
            </w:tabs>
            <w:rPr>
              <w:rFonts w:eastAsiaTheme="minorEastAsia" w:cstheme="minorBidi"/>
              <w:i w:val="0"/>
              <w:iCs w:val="0"/>
              <w:noProof/>
              <w:szCs w:val="22"/>
            </w:rPr>
          </w:pPr>
          <w:hyperlink w:anchor="_Toc138342055"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Contribution au Fonds pour l’environnement mondial</w:t>
            </w:r>
            <w:r w:rsidR="00BA66CC">
              <w:rPr>
                <w:noProof/>
                <w:webHidden/>
              </w:rPr>
              <w:tab/>
            </w:r>
            <w:r w:rsidR="00BA66CC">
              <w:rPr>
                <w:noProof/>
                <w:webHidden/>
              </w:rPr>
              <w:fldChar w:fldCharType="begin"/>
            </w:r>
            <w:r w:rsidR="00BA66CC">
              <w:rPr>
                <w:noProof/>
                <w:webHidden/>
              </w:rPr>
              <w:instrText xml:space="preserve"> PAGEREF _Toc138342055 \h </w:instrText>
            </w:r>
            <w:r w:rsidR="00BA66CC">
              <w:rPr>
                <w:noProof/>
                <w:webHidden/>
              </w:rPr>
            </w:r>
            <w:r w:rsidR="00BA66CC">
              <w:rPr>
                <w:noProof/>
                <w:webHidden/>
              </w:rPr>
              <w:fldChar w:fldCharType="separate"/>
            </w:r>
            <w:r w:rsidR="00BA66CC">
              <w:rPr>
                <w:noProof/>
                <w:webHidden/>
              </w:rPr>
              <w:t>244</w:t>
            </w:r>
            <w:r w:rsidR="00BA66CC">
              <w:rPr>
                <w:noProof/>
                <w:webHidden/>
              </w:rPr>
              <w:fldChar w:fldCharType="end"/>
            </w:r>
          </w:hyperlink>
        </w:p>
        <w:p w14:paraId="6A7151AE" w14:textId="19E225AD" w:rsidR="00BA66CC" w:rsidRDefault="00697C78">
          <w:pPr>
            <w:pStyle w:val="TOC3"/>
            <w:tabs>
              <w:tab w:val="left" w:pos="1000"/>
              <w:tab w:val="right" w:leader="dot" w:pos="9940"/>
            </w:tabs>
            <w:rPr>
              <w:rFonts w:eastAsiaTheme="minorEastAsia" w:cstheme="minorBidi"/>
              <w:i w:val="0"/>
              <w:iCs w:val="0"/>
              <w:noProof/>
              <w:szCs w:val="22"/>
            </w:rPr>
          </w:pPr>
          <w:hyperlink w:anchor="_Toc138342056" w:history="1">
            <w:r w:rsidR="00BA66CC" w:rsidRPr="007C4632">
              <w:rPr>
                <w:rStyle w:val="Hyperlink"/>
                <w:rFonts w:ascii="Marianne" w:eastAsiaTheme="majorEastAsia" w:hAnsi="Marianne"/>
                <w:noProof/>
              </w:rPr>
              <w:t>B.3.</w:t>
            </w:r>
            <w:r w:rsidR="00BA66CC">
              <w:rPr>
                <w:rFonts w:eastAsiaTheme="minorEastAsia" w:cstheme="minorBidi"/>
                <w:i w:val="0"/>
                <w:iCs w:val="0"/>
                <w:noProof/>
                <w:szCs w:val="22"/>
              </w:rPr>
              <w:tab/>
            </w:r>
            <w:r w:rsidR="00BA66CC" w:rsidRPr="007C4632">
              <w:rPr>
                <w:rStyle w:val="Hyperlink"/>
                <w:rFonts w:eastAsiaTheme="majorEastAsia"/>
                <w:noProof/>
              </w:rPr>
              <w:t>Contribution au Fonds pour les pays les moins avancés</w:t>
            </w:r>
            <w:r w:rsidR="00BA66CC">
              <w:rPr>
                <w:noProof/>
                <w:webHidden/>
              </w:rPr>
              <w:tab/>
            </w:r>
            <w:r w:rsidR="00BA66CC">
              <w:rPr>
                <w:noProof/>
                <w:webHidden/>
              </w:rPr>
              <w:fldChar w:fldCharType="begin"/>
            </w:r>
            <w:r w:rsidR="00BA66CC">
              <w:rPr>
                <w:noProof/>
                <w:webHidden/>
              </w:rPr>
              <w:instrText xml:space="preserve"> PAGEREF _Toc138342056 \h </w:instrText>
            </w:r>
            <w:r w:rsidR="00BA66CC">
              <w:rPr>
                <w:noProof/>
                <w:webHidden/>
              </w:rPr>
            </w:r>
            <w:r w:rsidR="00BA66CC">
              <w:rPr>
                <w:noProof/>
                <w:webHidden/>
              </w:rPr>
              <w:fldChar w:fldCharType="separate"/>
            </w:r>
            <w:r w:rsidR="00BA66CC">
              <w:rPr>
                <w:noProof/>
                <w:webHidden/>
              </w:rPr>
              <w:t>244</w:t>
            </w:r>
            <w:r w:rsidR="00BA66CC">
              <w:rPr>
                <w:noProof/>
                <w:webHidden/>
              </w:rPr>
              <w:fldChar w:fldCharType="end"/>
            </w:r>
          </w:hyperlink>
        </w:p>
        <w:p w14:paraId="1857740E" w14:textId="2BA1747D" w:rsidR="00BA66CC" w:rsidRDefault="00697C78">
          <w:pPr>
            <w:pStyle w:val="TOC2"/>
            <w:tabs>
              <w:tab w:val="left" w:pos="600"/>
              <w:tab w:val="right" w:leader="dot" w:pos="9940"/>
            </w:tabs>
            <w:rPr>
              <w:rFonts w:eastAsiaTheme="minorEastAsia" w:cstheme="minorBidi"/>
              <w:smallCaps w:val="0"/>
              <w:noProof/>
              <w:szCs w:val="22"/>
            </w:rPr>
          </w:pPr>
          <w:hyperlink w:anchor="_Toc138342057"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La coopération technologique</w:t>
            </w:r>
            <w:r w:rsidR="00BA66CC">
              <w:rPr>
                <w:noProof/>
                <w:webHidden/>
              </w:rPr>
              <w:tab/>
            </w:r>
            <w:r w:rsidR="00BA66CC">
              <w:rPr>
                <w:noProof/>
                <w:webHidden/>
              </w:rPr>
              <w:fldChar w:fldCharType="begin"/>
            </w:r>
            <w:r w:rsidR="00BA66CC">
              <w:rPr>
                <w:noProof/>
                <w:webHidden/>
              </w:rPr>
              <w:instrText xml:space="preserve"> PAGEREF _Toc138342057 \h </w:instrText>
            </w:r>
            <w:r w:rsidR="00BA66CC">
              <w:rPr>
                <w:noProof/>
                <w:webHidden/>
              </w:rPr>
            </w:r>
            <w:r w:rsidR="00BA66CC">
              <w:rPr>
                <w:noProof/>
                <w:webHidden/>
              </w:rPr>
              <w:fldChar w:fldCharType="separate"/>
            </w:r>
            <w:r w:rsidR="00BA66CC">
              <w:rPr>
                <w:noProof/>
                <w:webHidden/>
              </w:rPr>
              <w:t>245</w:t>
            </w:r>
            <w:r w:rsidR="00BA66CC">
              <w:rPr>
                <w:noProof/>
                <w:webHidden/>
              </w:rPr>
              <w:fldChar w:fldCharType="end"/>
            </w:r>
          </w:hyperlink>
        </w:p>
        <w:p w14:paraId="6E0BE984" w14:textId="5EE08FF6" w:rsidR="00BA66CC" w:rsidRDefault="00697C78">
          <w:pPr>
            <w:pStyle w:val="TOC3"/>
            <w:tabs>
              <w:tab w:val="left" w:pos="1000"/>
              <w:tab w:val="right" w:leader="dot" w:pos="9940"/>
            </w:tabs>
            <w:rPr>
              <w:rFonts w:eastAsiaTheme="minorEastAsia" w:cstheme="minorBidi"/>
              <w:i w:val="0"/>
              <w:iCs w:val="0"/>
              <w:noProof/>
              <w:szCs w:val="22"/>
            </w:rPr>
          </w:pPr>
          <w:hyperlink w:anchor="_Toc138342058" w:history="1">
            <w:r w:rsidR="00BA66CC" w:rsidRPr="007C4632">
              <w:rPr>
                <w:rStyle w:val="Hyperlink"/>
                <w:rFonts w:ascii="Marianne" w:eastAsiaTheme="majorEastAsia" w:hAnsi="Marianne"/>
                <w:noProof/>
              </w:rPr>
              <w:t>C.1.</w:t>
            </w:r>
            <w:r w:rsidR="00BA66CC">
              <w:rPr>
                <w:rFonts w:eastAsiaTheme="minorEastAsia" w:cstheme="minorBidi"/>
                <w:i w:val="0"/>
                <w:iCs w:val="0"/>
                <w:noProof/>
                <w:szCs w:val="22"/>
              </w:rPr>
              <w:tab/>
            </w:r>
            <w:r w:rsidR="00BA66CC" w:rsidRPr="007C4632">
              <w:rPr>
                <w:rStyle w:val="Hyperlink"/>
                <w:rFonts w:eastAsiaTheme="majorEastAsia"/>
                <w:noProof/>
              </w:rPr>
              <w:t>Le rôle de l’ADEME</w:t>
            </w:r>
            <w:r w:rsidR="00BA66CC">
              <w:rPr>
                <w:noProof/>
                <w:webHidden/>
              </w:rPr>
              <w:tab/>
            </w:r>
            <w:r w:rsidR="00BA66CC">
              <w:rPr>
                <w:noProof/>
                <w:webHidden/>
              </w:rPr>
              <w:fldChar w:fldCharType="begin"/>
            </w:r>
            <w:r w:rsidR="00BA66CC">
              <w:rPr>
                <w:noProof/>
                <w:webHidden/>
              </w:rPr>
              <w:instrText xml:space="preserve"> PAGEREF _Toc138342058 \h </w:instrText>
            </w:r>
            <w:r w:rsidR="00BA66CC">
              <w:rPr>
                <w:noProof/>
                <w:webHidden/>
              </w:rPr>
            </w:r>
            <w:r w:rsidR="00BA66CC">
              <w:rPr>
                <w:noProof/>
                <w:webHidden/>
              </w:rPr>
              <w:fldChar w:fldCharType="separate"/>
            </w:r>
            <w:r w:rsidR="00BA66CC">
              <w:rPr>
                <w:noProof/>
                <w:webHidden/>
              </w:rPr>
              <w:t>245</w:t>
            </w:r>
            <w:r w:rsidR="00BA66CC">
              <w:rPr>
                <w:noProof/>
                <w:webHidden/>
              </w:rPr>
              <w:fldChar w:fldCharType="end"/>
            </w:r>
          </w:hyperlink>
        </w:p>
        <w:p w14:paraId="5A0A6224" w14:textId="73637B89" w:rsidR="00BA66CC" w:rsidRDefault="00697C78">
          <w:pPr>
            <w:pStyle w:val="TOC3"/>
            <w:tabs>
              <w:tab w:val="left" w:pos="1200"/>
              <w:tab w:val="right" w:leader="dot" w:pos="9940"/>
            </w:tabs>
            <w:rPr>
              <w:rFonts w:eastAsiaTheme="minorEastAsia" w:cstheme="minorBidi"/>
              <w:i w:val="0"/>
              <w:iCs w:val="0"/>
              <w:noProof/>
              <w:szCs w:val="22"/>
            </w:rPr>
          </w:pPr>
          <w:hyperlink w:anchor="_Toc138342059" w:history="1">
            <w:r w:rsidR="00BA66CC" w:rsidRPr="007C4632">
              <w:rPr>
                <w:rStyle w:val="Hyperlink"/>
                <w:rFonts w:ascii="Marianne" w:eastAsiaTheme="majorEastAsia" w:hAnsi="Marianne"/>
                <w:noProof/>
              </w:rPr>
              <w:t>C.2.</w:t>
            </w:r>
            <w:r w:rsidR="00BA66CC">
              <w:rPr>
                <w:rFonts w:eastAsiaTheme="minorEastAsia" w:cstheme="minorBidi"/>
                <w:i w:val="0"/>
                <w:iCs w:val="0"/>
                <w:noProof/>
                <w:szCs w:val="22"/>
              </w:rPr>
              <w:tab/>
            </w:r>
            <w:r w:rsidR="00BA66CC" w:rsidRPr="007C4632">
              <w:rPr>
                <w:rStyle w:val="Hyperlink"/>
                <w:rFonts w:eastAsiaTheme="majorEastAsia"/>
                <w:noProof/>
              </w:rPr>
              <w:t>Le Citepa</w:t>
            </w:r>
            <w:r w:rsidR="00BA66CC">
              <w:rPr>
                <w:noProof/>
                <w:webHidden/>
              </w:rPr>
              <w:tab/>
            </w:r>
            <w:r w:rsidR="00BA66CC">
              <w:rPr>
                <w:noProof/>
                <w:webHidden/>
              </w:rPr>
              <w:fldChar w:fldCharType="begin"/>
            </w:r>
            <w:r w:rsidR="00BA66CC">
              <w:rPr>
                <w:noProof/>
                <w:webHidden/>
              </w:rPr>
              <w:instrText xml:space="preserve"> PAGEREF _Toc138342059 \h </w:instrText>
            </w:r>
            <w:r w:rsidR="00BA66CC">
              <w:rPr>
                <w:noProof/>
                <w:webHidden/>
              </w:rPr>
            </w:r>
            <w:r w:rsidR="00BA66CC">
              <w:rPr>
                <w:noProof/>
                <w:webHidden/>
              </w:rPr>
              <w:fldChar w:fldCharType="separate"/>
            </w:r>
            <w:r w:rsidR="00BA66CC">
              <w:rPr>
                <w:noProof/>
                <w:webHidden/>
              </w:rPr>
              <w:t>248</w:t>
            </w:r>
            <w:r w:rsidR="00BA66CC">
              <w:rPr>
                <w:noProof/>
                <w:webHidden/>
              </w:rPr>
              <w:fldChar w:fldCharType="end"/>
            </w:r>
          </w:hyperlink>
        </w:p>
        <w:p w14:paraId="5B63DC36" w14:textId="52B717E3" w:rsidR="00BA66CC" w:rsidRDefault="00697C78">
          <w:pPr>
            <w:pStyle w:val="TOC2"/>
            <w:tabs>
              <w:tab w:val="left" w:pos="800"/>
              <w:tab w:val="right" w:leader="dot" w:pos="9940"/>
            </w:tabs>
            <w:rPr>
              <w:rFonts w:eastAsiaTheme="minorEastAsia" w:cstheme="minorBidi"/>
              <w:smallCaps w:val="0"/>
              <w:noProof/>
              <w:szCs w:val="22"/>
            </w:rPr>
          </w:pPr>
          <w:hyperlink w:anchor="_Toc138342060"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Le renforcement de capacité</w:t>
            </w:r>
            <w:r w:rsidR="00BA66CC">
              <w:rPr>
                <w:noProof/>
                <w:webHidden/>
              </w:rPr>
              <w:tab/>
            </w:r>
            <w:r w:rsidR="00BA66CC">
              <w:rPr>
                <w:noProof/>
                <w:webHidden/>
              </w:rPr>
              <w:fldChar w:fldCharType="begin"/>
            </w:r>
            <w:r w:rsidR="00BA66CC">
              <w:rPr>
                <w:noProof/>
                <w:webHidden/>
              </w:rPr>
              <w:instrText xml:space="preserve"> PAGEREF _Toc138342060 \h </w:instrText>
            </w:r>
            <w:r w:rsidR="00BA66CC">
              <w:rPr>
                <w:noProof/>
                <w:webHidden/>
              </w:rPr>
            </w:r>
            <w:r w:rsidR="00BA66CC">
              <w:rPr>
                <w:noProof/>
                <w:webHidden/>
              </w:rPr>
              <w:fldChar w:fldCharType="separate"/>
            </w:r>
            <w:r w:rsidR="00BA66CC">
              <w:rPr>
                <w:noProof/>
                <w:webHidden/>
              </w:rPr>
              <w:t>248</w:t>
            </w:r>
            <w:r w:rsidR="00BA66CC">
              <w:rPr>
                <w:noProof/>
                <w:webHidden/>
              </w:rPr>
              <w:fldChar w:fldCharType="end"/>
            </w:r>
          </w:hyperlink>
        </w:p>
        <w:p w14:paraId="2103FB5B" w14:textId="15D09F02" w:rsidR="00BA66CC" w:rsidRDefault="00697C78">
          <w:pPr>
            <w:pStyle w:val="TOC3"/>
            <w:tabs>
              <w:tab w:val="left" w:pos="1200"/>
              <w:tab w:val="right" w:leader="dot" w:pos="9940"/>
            </w:tabs>
            <w:rPr>
              <w:rFonts w:eastAsiaTheme="minorEastAsia" w:cstheme="minorBidi"/>
              <w:i w:val="0"/>
              <w:iCs w:val="0"/>
              <w:noProof/>
              <w:szCs w:val="22"/>
            </w:rPr>
          </w:pPr>
          <w:hyperlink w:anchor="_Toc138342061" w:history="1">
            <w:r w:rsidR="00BA66CC" w:rsidRPr="007C4632">
              <w:rPr>
                <w:rStyle w:val="Hyperlink"/>
                <w:rFonts w:ascii="Marianne" w:eastAsiaTheme="majorEastAsia" w:hAnsi="Marianne"/>
                <w:noProof/>
              </w:rPr>
              <w:t>D.1.</w:t>
            </w:r>
            <w:r w:rsidR="00BA66CC">
              <w:rPr>
                <w:rFonts w:eastAsiaTheme="minorEastAsia" w:cstheme="minorBidi"/>
                <w:i w:val="0"/>
                <w:iCs w:val="0"/>
                <w:noProof/>
                <w:szCs w:val="22"/>
              </w:rPr>
              <w:tab/>
            </w:r>
            <w:r w:rsidR="00BA66CC" w:rsidRPr="007C4632">
              <w:rPr>
                <w:rStyle w:val="Hyperlink"/>
                <w:rFonts w:eastAsiaTheme="majorEastAsia"/>
                <w:noProof/>
              </w:rPr>
              <w:t>L’adaptation au changement climatique</w:t>
            </w:r>
            <w:r w:rsidR="00BA66CC">
              <w:rPr>
                <w:noProof/>
                <w:webHidden/>
              </w:rPr>
              <w:tab/>
            </w:r>
            <w:r w:rsidR="00BA66CC">
              <w:rPr>
                <w:noProof/>
                <w:webHidden/>
              </w:rPr>
              <w:fldChar w:fldCharType="begin"/>
            </w:r>
            <w:r w:rsidR="00BA66CC">
              <w:rPr>
                <w:noProof/>
                <w:webHidden/>
              </w:rPr>
              <w:instrText xml:space="preserve"> PAGEREF _Toc138342061 \h </w:instrText>
            </w:r>
            <w:r w:rsidR="00BA66CC">
              <w:rPr>
                <w:noProof/>
                <w:webHidden/>
              </w:rPr>
            </w:r>
            <w:r w:rsidR="00BA66CC">
              <w:rPr>
                <w:noProof/>
                <w:webHidden/>
              </w:rPr>
              <w:fldChar w:fldCharType="separate"/>
            </w:r>
            <w:r w:rsidR="00BA66CC">
              <w:rPr>
                <w:noProof/>
                <w:webHidden/>
              </w:rPr>
              <w:t>248</w:t>
            </w:r>
            <w:r w:rsidR="00BA66CC">
              <w:rPr>
                <w:noProof/>
                <w:webHidden/>
              </w:rPr>
              <w:fldChar w:fldCharType="end"/>
            </w:r>
          </w:hyperlink>
        </w:p>
        <w:p w14:paraId="30CE8F93" w14:textId="0DDEB204" w:rsidR="00BA66CC" w:rsidRDefault="00697C78">
          <w:pPr>
            <w:pStyle w:val="TOC3"/>
            <w:tabs>
              <w:tab w:val="left" w:pos="1200"/>
              <w:tab w:val="right" w:leader="dot" w:pos="9940"/>
            </w:tabs>
            <w:rPr>
              <w:rFonts w:eastAsiaTheme="minorEastAsia" w:cstheme="minorBidi"/>
              <w:i w:val="0"/>
              <w:iCs w:val="0"/>
              <w:noProof/>
              <w:szCs w:val="22"/>
            </w:rPr>
          </w:pPr>
          <w:hyperlink w:anchor="_Toc138342062" w:history="1">
            <w:r w:rsidR="00BA66CC" w:rsidRPr="007C4632">
              <w:rPr>
                <w:rStyle w:val="Hyperlink"/>
                <w:rFonts w:ascii="Marianne" w:eastAsiaTheme="majorEastAsia" w:hAnsi="Marianne"/>
                <w:noProof/>
              </w:rPr>
              <w:t>D.2.</w:t>
            </w:r>
            <w:r w:rsidR="00BA66CC">
              <w:rPr>
                <w:rFonts w:eastAsiaTheme="minorEastAsia" w:cstheme="minorBidi"/>
                <w:i w:val="0"/>
                <w:iCs w:val="0"/>
                <w:noProof/>
                <w:szCs w:val="22"/>
              </w:rPr>
              <w:tab/>
            </w:r>
            <w:r w:rsidR="00BA66CC" w:rsidRPr="007C4632">
              <w:rPr>
                <w:rStyle w:val="Hyperlink"/>
                <w:rFonts w:eastAsiaTheme="majorEastAsia"/>
                <w:noProof/>
              </w:rPr>
              <w:t>Préparation et mise en œuvre des contributions prévues déterminées au niveau national (NDC)</w:t>
            </w:r>
            <w:r w:rsidR="00BA66CC">
              <w:rPr>
                <w:noProof/>
                <w:webHidden/>
              </w:rPr>
              <w:tab/>
            </w:r>
            <w:r w:rsidR="00BA66CC">
              <w:rPr>
                <w:noProof/>
                <w:webHidden/>
              </w:rPr>
              <w:fldChar w:fldCharType="begin"/>
            </w:r>
            <w:r w:rsidR="00BA66CC">
              <w:rPr>
                <w:noProof/>
                <w:webHidden/>
              </w:rPr>
              <w:instrText xml:space="preserve"> PAGEREF _Toc138342062 \h </w:instrText>
            </w:r>
            <w:r w:rsidR="00BA66CC">
              <w:rPr>
                <w:noProof/>
                <w:webHidden/>
              </w:rPr>
            </w:r>
            <w:r w:rsidR="00BA66CC">
              <w:rPr>
                <w:noProof/>
                <w:webHidden/>
              </w:rPr>
              <w:fldChar w:fldCharType="separate"/>
            </w:r>
            <w:r w:rsidR="00BA66CC">
              <w:rPr>
                <w:noProof/>
                <w:webHidden/>
              </w:rPr>
              <w:t>249</w:t>
            </w:r>
            <w:r w:rsidR="00BA66CC">
              <w:rPr>
                <w:noProof/>
                <w:webHidden/>
              </w:rPr>
              <w:fldChar w:fldCharType="end"/>
            </w:r>
          </w:hyperlink>
        </w:p>
        <w:p w14:paraId="7F66D91C" w14:textId="6C8C64B1" w:rsidR="00BA66CC" w:rsidRDefault="00697C78">
          <w:pPr>
            <w:pStyle w:val="TOC3"/>
            <w:tabs>
              <w:tab w:val="left" w:pos="1200"/>
              <w:tab w:val="right" w:leader="dot" w:pos="9940"/>
            </w:tabs>
            <w:rPr>
              <w:rFonts w:eastAsiaTheme="minorEastAsia" w:cstheme="minorBidi"/>
              <w:i w:val="0"/>
              <w:iCs w:val="0"/>
              <w:noProof/>
              <w:szCs w:val="22"/>
            </w:rPr>
          </w:pPr>
          <w:hyperlink w:anchor="_Toc138342063" w:history="1">
            <w:r w:rsidR="00BA66CC" w:rsidRPr="007C4632">
              <w:rPr>
                <w:rStyle w:val="Hyperlink"/>
                <w:rFonts w:ascii="Marianne" w:eastAsiaTheme="majorEastAsia" w:hAnsi="Marianne"/>
                <w:noProof/>
              </w:rPr>
              <w:t>D.3.</w:t>
            </w:r>
            <w:r w:rsidR="00BA66CC">
              <w:rPr>
                <w:rFonts w:eastAsiaTheme="minorEastAsia" w:cstheme="minorBidi"/>
                <w:i w:val="0"/>
                <w:iCs w:val="0"/>
                <w:noProof/>
                <w:szCs w:val="22"/>
              </w:rPr>
              <w:tab/>
            </w:r>
            <w:r w:rsidR="00BA66CC" w:rsidRPr="007C4632">
              <w:rPr>
                <w:rStyle w:val="Hyperlink"/>
                <w:rFonts w:eastAsiaTheme="majorEastAsia"/>
                <w:noProof/>
              </w:rPr>
              <w:t>Mise en place d’un système national de rapportage (inventaire de GES, projections, mesures d’atténuation, adaptation)</w:t>
            </w:r>
            <w:r w:rsidR="00BA66CC">
              <w:rPr>
                <w:noProof/>
                <w:webHidden/>
              </w:rPr>
              <w:tab/>
            </w:r>
            <w:r w:rsidR="00BA66CC">
              <w:rPr>
                <w:noProof/>
                <w:webHidden/>
              </w:rPr>
              <w:fldChar w:fldCharType="begin"/>
            </w:r>
            <w:r w:rsidR="00BA66CC">
              <w:rPr>
                <w:noProof/>
                <w:webHidden/>
              </w:rPr>
              <w:instrText xml:space="preserve"> PAGEREF _Toc138342063 \h </w:instrText>
            </w:r>
            <w:r w:rsidR="00BA66CC">
              <w:rPr>
                <w:noProof/>
                <w:webHidden/>
              </w:rPr>
            </w:r>
            <w:r w:rsidR="00BA66CC">
              <w:rPr>
                <w:noProof/>
                <w:webHidden/>
              </w:rPr>
              <w:fldChar w:fldCharType="separate"/>
            </w:r>
            <w:r w:rsidR="00BA66CC">
              <w:rPr>
                <w:noProof/>
                <w:webHidden/>
              </w:rPr>
              <w:t>250</w:t>
            </w:r>
            <w:r w:rsidR="00BA66CC">
              <w:rPr>
                <w:noProof/>
                <w:webHidden/>
              </w:rPr>
              <w:fldChar w:fldCharType="end"/>
            </w:r>
          </w:hyperlink>
        </w:p>
        <w:p w14:paraId="27A3F7CA" w14:textId="26C1E0BF" w:rsidR="00BA66CC" w:rsidRDefault="00697C78">
          <w:pPr>
            <w:pStyle w:val="TOC3"/>
            <w:tabs>
              <w:tab w:val="left" w:pos="1200"/>
              <w:tab w:val="right" w:leader="dot" w:pos="9940"/>
            </w:tabs>
            <w:rPr>
              <w:rFonts w:eastAsiaTheme="minorEastAsia" w:cstheme="minorBidi"/>
              <w:i w:val="0"/>
              <w:iCs w:val="0"/>
              <w:noProof/>
              <w:szCs w:val="22"/>
            </w:rPr>
          </w:pPr>
          <w:hyperlink w:anchor="_Toc138342064" w:history="1">
            <w:r w:rsidR="00BA66CC" w:rsidRPr="007C4632">
              <w:rPr>
                <w:rStyle w:val="Hyperlink"/>
                <w:rFonts w:ascii="Marianne" w:eastAsiaTheme="majorEastAsia" w:hAnsi="Marianne"/>
                <w:noProof/>
              </w:rPr>
              <w:t>D.4.</w:t>
            </w:r>
            <w:r w:rsidR="00BA66CC">
              <w:rPr>
                <w:rFonts w:eastAsiaTheme="minorEastAsia" w:cstheme="minorBidi"/>
                <w:i w:val="0"/>
                <w:iCs w:val="0"/>
                <w:noProof/>
                <w:szCs w:val="22"/>
              </w:rPr>
              <w:tab/>
            </w:r>
            <w:r w:rsidR="00BA66CC" w:rsidRPr="007C4632">
              <w:rPr>
                <w:rStyle w:val="Hyperlink"/>
                <w:rFonts w:eastAsiaTheme="majorEastAsia"/>
                <w:noProof/>
              </w:rPr>
              <w:t>Appui de la France à la mise en place d’un système national d’inventaire de GES en Algérie</w:t>
            </w:r>
            <w:r w:rsidR="00BA66CC">
              <w:rPr>
                <w:noProof/>
                <w:webHidden/>
              </w:rPr>
              <w:tab/>
            </w:r>
            <w:r w:rsidR="00BA66CC">
              <w:rPr>
                <w:noProof/>
                <w:webHidden/>
              </w:rPr>
              <w:fldChar w:fldCharType="begin"/>
            </w:r>
            <w:r w:rsidR="00BA66CC">
              <w:rPr>
                <w:noProof/>
                <w:webHidden/>
              </w:rPr>
              <w:instrText xml:space="preserve"> PAGEREF _Toc138342064 \h </w:instrText>
            </w:r>
            <w:r w:rsidR="00BA66CC">
              <w:rPr>
                <w:noProof/>
                <w:webHidden/>
              </w:rPr>
            </w:r>
            <w:r w:rsidR="00BA66CC">
              <w:rPr>
                <w:noProof/>
                <w:webHidden/>
              </w:rPr>
              <w:fldChar w:fldCharType="separate"/>
            </w:r>
            <w:r w:rsidR="00BA66CC">
              <w:rPr>
                <w:noProof/>
                <w:webHidden/>
              </w:rPr>
              <w:t>251</w:t>
            </w:r>
            <w:r w:rsidR="00BA66CC">
              <w:rPr>
                <w:noProof/>
                <w:webHidden/>
              </w:rPr>
              <w:fldChar w:fldCharType="end"/>
            </w:r>
          </w:hyperlink>
        </w:p>
        <w:p w14:paraId="5865DA85" w14:textId="136F0D69" w:rsidR="00BA66CC" w:rsidRDefault="00697C78">
          <w:pPr>
            <w:pStyle w:val="TOC3"/>
            <w:tabs>
              <w:tab w:val="left" w:pos="1200"/>
              <w:tab w:val="right" w:leader="dot" w:pos="9940"/>
            </w:tabs>
            <w:rPr>
              <w:rFonts w:eastAsiaTheme="minorEastAsia" w:cstheme="minorBidi"/>
              <w:i w:val="0"/>
              <w:iCs w:val="0"/>
              <w:noProof/>
              <w:szCs w:val="22"/>
            </w:rPr>
          </w:pPr>
          <w:hyperlink w:anchor="_Toc138342065" w:history="1">
            <w:r w:rsidR="00BA66CC" w:rsidRPr="007C4632">
              <w:rPr>
                <w:rStyle w:val="Hyperlink"/>
                <w:rFonts w:ascii="Marianne" w:eastAsiaTheme="majorEastAsia" w:hAnsi="Marianne"/>
                <w:noProof/>
              </w:rPr>
              <w:t>D.5.</w:t>
            </w:r>
            <w:r w:rsidR="00BA66CC">
              <w:rPr>
                <w:rFonts w:eastAsiaTheme="minorEastAsia" w:cstheme="minorBidi"/>
                <w:i w:val="0"/>
                <w:iCs w:val="0"/>
                <w:noProof/>
                <w:szCs w:val="22"/>
              </w:rPr>
              <w:tab/>
            </w:r>
            <w:r w:rsidR="00BA66CC" w:rsidRPr="007C4632">
              <w:rPr>
                <w:rStyle w:val="Hyperlink"/>
                <w:rFonts w:eastAsiaTheme="majorEastAsia"/>
                <w:noProof/>
              </w:rPr>
              <w:t>Logiciel de MRV des émissions de polluants atmosphériques et de GES</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 RISQ</w:t>
            </w:r>
            <w:r w:rsidR="00BA66CC">
              <w:rPr>
                <w:noProof/>
                <w:webHidden/>
              </w:rPr>
              <w:tab/>
            </w:r>
            <w:r w:rsidR="00BA66CC">
              <w:rPr>
                <w:noProof/>
                <w:webHidden/>
              </w:rPr>
              <w:fldChar w:fldCharType="begin"/>
            </w:r>
            <w:r w:rsidR="00BA66CC">
              <w:rPr>
                <w:noProof/>
                <w:webHidden/>
              </w:rPr>
              <w:instrText xml:space="preserve"> PAGEREF _Toc138342065 \h </w:instrText>
            </w:r>
            <w:r w:rsidR="00BA66CC">
              <w:rPr>
                <w:noProof/>
                <w:webHidden/>
              </w:rPr>
            </w:r>
            <w:r w:rsidR="00BA66CC">
              <w:rPr>
                <w:noProof/>
                <w:webHidden/>
              </w:rPr>
              <w:fldChar w:fldCharType="separate"/>
            </w:r>
            <w:r w:rsidR="00BA66CC">
              <w:rPr>
                <w:noProof/>
                <w:webHidden/>
              </w:rPr>
              <w:t>251</w:t>
            </w:r>
            <w:r w:rsidR="00BA66CC">
              <w:rPr>
                <w:noProof/>
                <w:webHidden/>
              </w:rPr>
              <w:fldChar w:fldCharType="end"/>
            </w:r>
          </w:hyperlink>
        </w:p>
        <w:p w14:paraId="567D0DDC" w14:textId="2D2E8234" w:rsidR="00BA66CC" w:rsidRDefault="00697C78">
          <w:pPr>
            <w:pStyle w:val="TOC3"/>
            <w:tabs>
              <w:tab w:val="left" w:pos="1200"/>
              <w:tab w:val="right" w:leader="dot" w:pos="9940"/>
            </w:tabs>
            <w:rPr>
              <w:rFonts w:eastAsiaTheme="minorEastAsia" w:cstheme="minorBidi"/>
              <w:i w:val="0"/>
              <w:iCs w:val="0"/>
              <w:noProof/>
              <w:szCs w:val="22"/>
            </w:rPr>
          </w:pPr>
          <w:hyperlink w:anchor="_Toc138342066" w:history="1">
            <w:r w:rsidR="00BA66CC" w:rsidRPr="007C4632">
              <w:rPr>
                <w:rStyle w:val="Hyperlink"/>
                <w:rFonts w:ascii="Marianne" w:eastAsiaTheme="majorEastAsia" w:hAnsi="Marianne"/>
                <w:noProof/>
              </w:rPr>
              <w:t>D.6.</w:t>
            </w:r>
            <w:r w:rsidR="00BA66CC">
              <w:rPr>
                <w:rFonts w:eastAsiaTheme="minorEastAsia" w:cstheme="minorBidi"/>
                <w:i w:val="0"/>
                <w:iCs w:val="0"/>
                <w:noProof/>
                <w:szCs w:val="22"/>
              </w:rPr>
              <w:tab/>
            </w:r>
            <w:r w:rsidR="00BA66CC" w:rsidRPr="007C4632">
              <w:rPr>
                <w:rStyle w:val="Hyperlink"/>
                <w:rFonts w:eastAsiaTheme="majorEastAsia"/>
                <w:noProof/>
              </w:rPr>
              <w:t>Le centre franco-chinois avec le CRAES</w:t>
            </w:r>
            <w:r w:rsidR="00BA66CC">
              <w:rPr>
                <w:noProof/>
                <w:webHidden/>
              </w:rPr>
              <w:tab/>
            </w:r>
            <w:r w:rsidR="00BA66CC">
              <w:rPr>
                <w:noProof/>
                <w:webHidden/>
              </w:rPr>
              <w:fldChar w:fldCharType="begin"/>
            </w:r>
            <w:r w:rsidR="00BA66CC">
              <w:rPr>
                <w:noProof/>
                <w:webHidden/>
              </w:rPr>
              <w:instrText xml:space="preserve"> PAGEREF _Toc138342066 \h </w:instrText>
            </w:r>
            <w:r w:rsidR="00BA66CC">
              <w:rPr>
                <w:noProof/>
                <w:webHidden/>
              </w:rPr>
            </w:r>
            <w:r w:rsidR="00BA66CC">
              <w:rPr>
                <w:noProof/>
                <w:webHidden/>
              </w:rPr>
              <w:fldChar w:fldCharType="separate"/>
            </w:r>
            <w:r w:rsidR="00BA66CC">
              <w:rPr>
                <w:noProof/>
                <w:webHidden/>
              </w:rPr>
              <w:t>252</w:t>
            </w:r>
            <w:r w:rsidR="00BA66CC">
              <w:rPr>
                <w:noProof/>
                <w:webHidden/>
              </w:rPr>
              <w:fldChar w:fldCharType="end"/>
            </w:r>
          </w:hyperlink>
        </w:p>
        <w:p w14:paraId="1689A031" w14:textId="01D1A7D2" w:rsidR="00BA66CC" w:rsidRDefault="00697C78">
          <w:pPr>
            <w:pStyle w:val="TOC3"/>
            <w:tabs>
              <w:tab w:val="left" w:pos="1200"/>
              <w:tab w:val="right" w:leader="dot" w:pos="9940"/>
            </w:tabs>
            <w:rPr>
              <w:rFonts w:eastAsiaTheme="minorEastAsia" w:cstheme="minorBidi"/>
              <w:i w:val="0"/>
              <w:iCs w:val="0"/>
              <w:noProof/>
              <w:szCs w:val="22"/>
            </w:rPr>
          </w:pPr>
          <w:hyperlink w:anchor="_Toc138342067" w:history="1">
            <w:r w:rsidR="00BA66CC" w:rsidRPr="007C4632">
              <w:rPr>
                <w:rStyle w:val="Hyperlink"/>
                <w:rFonts w:ascii="Marianne" w:eastAsiaTheme="majorEastAsia" w:hAnsi="Marianne"/>
                <w:noProof/>
              </w:rPr>
              <w:t>D.7.</w:t>
            </w:r>
            <w:r w:rsidR="00BA66CC">
              <w:rPr>
                <w:rFonts w:eastAsiaTheme="minorEastAsia" w:cstheme="minorBidi"/>
                <w:i w:val="0"/>
                <w:iCs w:val="0"/>
                <w:noProof/>
                <w:szCs w:val="22"/>
              </w:rPr>
              <w:tab/>
            </w:r>
            <w:r w:rsidR="00BA66CC" w:rsidRPr="007C4632">
              <w:rPr>
                <w:rStyle w:val="Hyperlink"/>
                <w:rFonts w:eastAsiaTheme="majorEastAsia"/>
                <w:noProof/>
              </w:rPr>
              <w:t>Le rôle de l’ADEME</w:t>
            </w:r>
            <w:r w:rsidR="00BA66CC">
              <w:rPr>
                <w:noProof/>
                <w:webHidden/>
              </w:rPr>
              <w:tab/>
            </w:r>
            <w:r w:rsidR="00BA66CC">
              <w:rPr>
                <w:noProof/>
                <w:webHidden/>
              </w:rPr>
              <w:fldChar w:fldCharType="begin"/>
            </w:r>
            <w:r w:rsidR="00BA66CC">
              <w:rPr>
                <w:noProof/>
                <w:webHidden/>
              </w:rPr>
              <w:instrText xml:space="preserve"> PAGEREF _Toc138342067 \h </w:instrText>
            </w:r>
            <w:r w:rsidR="00BA66CC">
              <w:rPr>
                <w:noProof/>
                <w:webHidden/>
              </w:rPr>
            </w:r>
            <w:r w:rsidR="00BA66CC">
              <w:rPr>
                <w:noProof/>
                <w:webHidden/>
              </w:rPr>
              <w:fldChar w:fldCharType="separate"/>
            </w:r>
            <w:r w:rsidR="00BA66CC">
              <w:rPr>
                <w:noProof/>
                <w:webHidden/>
              </w:rPr>
              <w:t>252</w:t>
            </w:r>
            <w:r w:rsidR="00BA66CC">
              <w:rPr>
                <w:noProof/>
                <w:webHidden/>
              </w:rPr>
              <w:fldChar w:fldCharType="end"/>
            </w:r>
          </w:hyperlink>
        </w:p>
        <w:p w14:paraId="38D34786" w14:textId="324A16F4" w:rsidR="00BA66CC" w:rsidRDefault="00697C78">
          <w:pPr>
            <w:pStyle w:val="TOC1"/>
            <w:rPr>
              <w:rFonts w:eastAsiaTheme="minorEastAsia" w:cstheme="minorBidi"/>
              <w:b w:val="0"/>
              <w:bCs w:val="0"/>
              <w:caps w:val="0"/>
              <w:noProof/>
              <w:szCs w:val="22"/>
            </w:rPr>
          </w:pPr>
          <w:hyperlink w:anchor="_Toc138342068" w:history="1">
            <w:r w:rsidR="00BA66CC" w:rsidRPr="007C4632">
              <w:rPr>
                <w:rStyle w:val="Hyperlink"/>
                <w:rFonts w:eastAsiaTheme="majorEastAsia"/>
                <w:noProof/>
              </w:rPr>
              <w:t>Chapitre VIII – Recherche et observation systématique</w:t>
            </w:r>
            <w:r w:rsidR="00BA66CC">
              <w:rPr>
                <w:noProof/>
                <w:webHidden/>
              </w:rPr>
              <w:tab/>
            </w:r>
            <w:r w:rsidR="00BA66CC">
              <w:rPr>
                <w:noProof/>
                <w:webHidden/>
              </w:rPr>
              <w:fldChar w:fldCharType="begin"/>
            </w:r>
            <w:r w:rsidR="00BA66CC">
              <w:rPr>
                <w:noProof/>
                <w:webHidden/>
              </w:rPr>
              <w:instrText xml:space="preserve"> PAGEREF _Toc138342068 \h </w:instrText>
            </w:r>
            <w:r w:rsidR="00BA66CC">
              <w:rPr>
                <w:noProof/>
                <w:webHidden/>
              </w:rPr>
            </w:r>
            <w:r w:rsidR="00BA66CC">
              <w:rPr>
                <w:noProof/>
                <w:webHidden/>
              </w:rPr>
              <w:fldChar w:fldCharType="separate"/>
            </w:r>
            <w:r w:rsidR="00BA66CC">
              <w:rPr>
                <w:noProof/>
                <w:webHidden/>
              </w:rPr>
              <w:t>255</w:t>
            </w:r>
            <w:r w:rsidR="00BA66CC">
              <w:rPr>
                <w:noProof/>
                <w:webHidden/>
              </w:rPr>
              <w:fldChar w:fldCharType="end"/>
            </w:r>
          </w:hyperlink>
        </w:p>
        <w:p w14:paraId="1C6BC3B6" w14:textId="3B522429" w:rsidR="00BA66CC" w:rsidRDefault="00697C78">
          <w:pPr>
            <w:pStyle w:val="TOC2"/>
            <w:tabs>
              <w:tab w:val="left" w:pos="800"/>
              <w:tab w:val="right" w:leader="dot" w:pos="9940"/>
            </w:tabs>
            <w:rPr>
              <w:rFonts w:eastAsiaTheme="minorEastAsia" w:cstheme="minorBidi"/>
              <w:smallCaps w:val="0"/>
              <w:noProof/>
              <w:szCs w:val="22"/>
            </w:rPr>
          </w:pPr>
          <w:hyperlink w:anchor="_Toc138342069" w:history="1">
            <w:r w:rsidR="00BA66CC" w:rsidRPr="007C4632">
              <w:rPr>
                <w:rStyle w:val="Hyperlink"/>
                <w:rFonts w:ascii="Times New Roman" w:eastAsiaTheme="majorEastAsia" w:hAnsi="Times New Roman"/>
                <w:noProof/>
              </w:rPr>
              <w:t>A.</w:t>
            </w:r>
            <w:r w:rsidR="00BA66CC">
              <w:rPr>
                <w:rFonts w:eastAsiaTheme="minorEastAsia" w:cstheme="minorBidi"/>
                <w:smallCaps w:val="0"/>
                <w:noProof/>
                <w:szCs w:val="22"/>
              </w:rPr>
              <w:tab/>
            </w:r>
            <w:r w:rsidR="00BA66CC" w:rsidRPr="007C4632">
              <w:rPr>
                <w:rStyle w:val="Hyperlink"/>
                <w:rFonts w:eastAsiaTheme="majorEastAsia"/>
                <w:noProof/>
              </w:rPr>
              <w:t>Vision générale de la recherche et de l’observation en France sur le climat</w:t>
            </w:r>
            <w:r w:rsidR="00BA66CC">
              <w:rPr>
                <w:noProof/>
                <w:webHidden/>
              </w:rPr>
              <w:tab/>
            </w:r>
            <w:r w:rsidR="00BA66CC">
              <w:rPr>
                <w:noProof/>
                <w:webHidden/>
              </w:rPr>
              <w:fldChar w:fldCharType="begin"/>
            </w:r>
            <w:r w:rsidR="00BA66CC">
              <w:rPr>
                <w:noProof/>
                <w:webHidden/>
              </w:rPr>
              <w:instrText xml:space="preserve"> PAGEREF _Toc138342069 \h </w:instrText>
            </w:r>
            <w:r w:rsidR="00BA66CC">
              <w:rPr>
                <w:noProof/>
                <w:webHidden/>
              </w:rPr>
            </w:r>
            <w:r w:rsidR="00BA66CC">
              <w:rPr>
                <w:noProof/>
                <w:webHidden/>
              </w:rPr>
              <w:fldChar w:fldCharType="separate"/>
            </w:r>
            <w:r w:rsidR="00BA66CC">
              <w:rPr>
                <w:noProof/>
                <w:webHidden/>
              </w:rPr>
              <w:t>255</w:t>
            </w:r>
            <w:r w:rsidR="00BA66CC">
              <w:rPr>
                <w:noProof/>
                <w:webHidden/>
              </w:rPr>
              <w:fldChar w:fldCharType="end"/>
            </w:r>
          </w:hyperlink>
        </w:p>
        <w:p w14:paraId="6D3FE366" w14:textId="6EBC1C8A" w:rsidR="00BA66CC" w:rsidRDefault="00697C78">
          <w:pPr>
            <w:pStyle w:val="TOC3"/>
            <w:tabs>
              <w:tab w:val="left" w:pos="1000"/>
              <w:tab w:val="right" w:leader="dot" w:pos="9940"/>
            </w:tabs>
            <w:rPr>
              <w:rFonts w:eastAsiaTheme="minorEastAsia" w:cstheme="minorBidi"/>
              <w:i w:val="0"/>
              <w:iCs w:val="0"/>
              <w:noProof/>
              <w:szCs w:val="22"/>
            </w:rPr>
          </w:pPr>
          <w:hyperlink w:anchor="_Toc138342070" w:history="1">
            <w:r w:rsidR="00BA66CC" w:rsidRPr="007C4632">
              <w:rPr>
                <w:rStyle w:val="Hyperlink"/>
                <w:rFonts w:ascii="Marianne" w:eastAsiaTheme="majorEastAsia" w:hAnsi="Marianne"/>
                <w:noProof/>
                <w:lang w:eastAsia="ar-SA"/>
              </w:rPr>
              <w:t>A.1.</w:t>
            </w:r>
            <w:r w:rsidR="00BA66CC">
              <w:rPr>
                <w:rFonts w:eastAsiaTheme="minorEastAsia" w:cstheme="minorBidi"/>
                <w:i w:val="0"/>
                <w:iCs w:val="0"/>
                <w:noProof/>
                <w:szCs w:val="22"/>
              </w:rPr>
              <w:tab/>
            </w:r>
            <w:r w:rsidR="00BA66CC" w:rsidRPr="007C4632">
              <w:rPr>
                <w:rStyle w:val="Hyperlink"/>
                <w:rFonts w:eastAsiaTheme="majorEastAsia"/>
                <w:noProof/>
              </w:rPr>
              <w:t>L’action globale des pouvoirs publics dans la recherche</w:t>
            </w:r>
            <w:r w:rsidR="00BA66CC">
              <w:rPr>
                <w:noProof/>
                <w:webHidden/>
              </w:rPr>
              <w:tab/>
            </w:r>
            <w:r w:rsidR="00BA66CC">
              <w:rPr>
                <w:noProof/>
                <w:webHidden/>
              </w:rPr>
              <w:fldChar w:fldCharType="begin"/>
            </w:r>
            <w:r w:rsidR="00BA66CC">
              <w:rPr>
                <w:noProof/>
                <w:webHidden/>
              </w:rPr>
              <w:instrText xml:space="preserve"> PAGEREF _Toc138342070 \h </w:instrText>
            </w:r>
            <w:r w:rsidR="00BA66CC">
              <w:rPr>
                <w:noProof/>
                <w:webHidden/>
              </w:rPr>
            </w:r>
            <w:r w:rsidR="00BA66CC">
              <w:rPr>
                <w:noProof/>
                <w:webHidden/>
              </w:rPr>
              <w:fldChar w:fldCharType="separate"/>
            </w:r>
            <w:r w:rsidR="00BA66CC">
              <w:rPr>
                <w:noProof/>
                <w:webHidden/>
              </w:rPr>
              <w:t>255</w:t>
            </w:r>
            <w:r w:rsidR="00BA66CC">
              <w:rPr>
                <w:noProof/>
                <w:webHidden/>
              </w:rPr>
              <w:fldChar w:fldCharType="end"/>
            </w:r>
          </w:hyperlink>
        </w:p>
        <w:p w14:paraId="4703A86E" w14:textId="3DBF9548" w:rsidR="00BA66CC" w:rsidRDefault="00697C78">
          <w:pPr>
            <w:pStyle w:val="TOC3"/>
            <w:tabs>
              <w:tab w:val="left" w:pos="1200"/>
              <w:tab w:val="right" w:leader="dot" w:pos="9940"/>
            </w:tabs>
            <w:rPr>
              <w:rFonts w:eastAsiaTheme="minorEastAsia" w:cstheme="minorBidi"/>
              <w:i w:val="0"/>
              <w:iCs w:val="0"/>
              <w:noProof/>
              <w:szCs w:val="22"/>
            </w:rPr>
          </w:pPr>
          <w:hyperlink w:anchor="_Toc138342071"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L’action des pouvoirs publics dans la recherche sur le changement climatique</w:t>
            </w:r>
            <w:r w:rsidR="00BA66CC">
              <w:rPr>
                <w:noProof/>
                <w:webHidden/>
              </w:rPr>
              <w:tab/>
            </w:r>
            <w:r w:rsidR="00BA66CC">
              <w:rPr>
                <w:noProof/>
                <w:webHidden/>
              </w:rPr>
              <w:fldChar w:fldCharType="begin"/>
            </w:r>
            <w:r w:rsidR="00BA66CC">
              <w:rPr>
                <w:noProof/>
                <w:webHidden/>
              </w:rPr>
              <w:instrText xml:space="preserve"> PAGEREF _Toc138342071 \h </w:instrText>
            </w:r>
            <w:r w:rsidR="00BA66CC">
              <w:rPr>
                <w:noProof/>
                <w:webHidden/>
              </w:rPr>
            </w:r>
            <w:r w:rsidR="00BA66CC">
              <w:rPr>
                <w:noProof/>
                <w:webHidden/>
              </w:rPr>
              <w:fldChar w:fldCharType="separate"/>
            </w:r>
            <w:r w:rsidR="00BA66CC">
              <w:rPr>
                <w:noProof/>
                <w:webHidden/>
              </w:rPr>
              <w:t>262</w:t>
            </w:r>
            <w:r w:rsidR="00BA66CC">
              <w:rPr>
                <w:noProof/>
                <w:webHidden/>
              </w:rPr>
              <w:fldChar w:fldCharType="end"/>
            </w:r>
          </w:hyperlink>
        </w:p>
        <w:p w14:paraId="72615ED9" w14:textId="3543FD57" w:rsidR="00BA66CC" w:rsidRDefault="00697C78">
          <w:pPr>
            <w:pStyle w:val="TOC3"/>
            <w:tabs>
              <w:tab w:val="left" w:pos="1200"/>
              <w:tab w:val="right" w:leader="dot" w:pos="9940"/>
            </w:tabs>
            <w:rPr>
              <w:rFonts w:eastAsiaTheme="minorEastAsia" w:cstheme="minorBidi"/>
              <w:i w:val="0"/>
              <w:iCs w:val="0"/>
              <w:noProof/>
              <w:szCs w:val="22"/>
            </w:rPr>
          </w:pPr>
          <w:hyperlink w:anchor="_Toc138342072" w:history="1">
            <w:r w:rsidR="00BA66CC" w:rsidRPr="007C4632">
              <w:rPr>
                <w:rStyle w:val="Hyperlink"/>
                <w:rFonts w:ascii="Marianne" w:eastAsiaTheme="majorEastAsia" w:hAnsi="Marianne"/>
                <w:noProof/>
                <w:lang w:eastAsia="ar-SA"/>
              </w:rPr>
              <w:t>A.3.</w:t>
            </w:r>
            <w:r w:rsidR="00BA66CC">
              <w:rPr>
                <w:rFonts w:eastAsiaTheme="minorEastAsia" w:cstheme="minorBidi"/>
                <w:i w:val="0"/>
                <w:iCs w:val="0"/>
                <w:noProof/>
                <w:szCs w:val="22"/>
              </w:rPr>
              <w:tab/>
            </w:r>
            <w:r w:rsidR="00BA66CC" w:rsidRPr="007C4632">
              <w:rPr>
                <w:rStyle w:val="Hyperlink"/>
                <w:rFonts w:eastAsiaTheme="majorEastAsia"/>
                <w:noProof/>
              </w:rPr>
              <w:t>La recherche face aux enjeux du changement climatique</w:t>
            </w:r>
            <w:r w:rsidR="00BA66CC">
              <w:rPr>
                <w:noProof/>
                <w:webHidden/>
              </w:rPr>
              <w:tab/>
            </w:r>
            <w:r w:rsidR="00BA66CC">
              <w:rPr>
                <w:noProof/>
                <w:webHidden/>
              </w:rPr>
              <w:fldChar w:fldCharType="begin"/>
            </w:r>
            <w:r w:rsidR="00BA66CC">
              <w:rPr>
                <w:noProof/>
                <w:webHidden/>
              </w:rPr>
              <w:instrText xml:space="preserve"> PAGEREF _Toc138342072 \h </w:instrText>
            </w:r>
            <w:r w:rsidR="00BA66CC">
              <w:rPr>
                <w:noProof/>
                <w:webHidden/>
              </w:rPr>
            </w:r>
            <w:r w:rsidR="00BA66CC">
              <w:rPr>
                <w:noProof/>
                <w:webHidden/>
              </w:rPr>
              <w:fldChar w:fldCharType="separate"/>
            </w:r>
            <w:r w:rsidR="00BA66CC">
              <w:rPr>
                <w:noProof/>
                <w:webHidden/>
              </w:rPr>
              <w:t>268</w:t>
            </w:r>
            <w:r w:rsidR="00BA66CC">
              <w:rPr>
                <w:noProof/>
                <w:webHidden/>
              </w:rPr>
              <w:fldChar w:fldCharType="end"/>
            </w:r>
          </w:hyperlink>
        </w:p>
        <w:p w14:paraId="1C809156" w14:textId="58968E2E" w:rsidR="00BA66CC" w:rsidRDefault="00697C78">
          <w:pPr>
            <w:pStyle w:val="TOC3"/>
            <w:tabs>
              <w:tab w:val="left" w:pos="1200"/>
              <w:tab w:val="right" w:leader="dot" w:pos="9940"/>
            </w:tabs>
            <w:rPr>
              <w:rFonts w:eastAsiaTheme="minorEastAsia" w:cstheme="minorBidi"/>
              <w:i w:val="0"/>
              <w:iCs w:val="0"/>
              <w:noProof/>
              <w:szCs w:val="22"/>
            </w:rPr>
          </w:pPr>
          <w:hyperlink w:anchor="_Toc138342073" w:history="1">
            <w:r w:rsidR="00BA66CC" w:rsidRPr="007C4632">
              <w:rPr>
                <w:rStyle w:val="Hyperlink"/>
                <w:rFonts w:ascii="Marianne" w:eastAsiaTheme="majorEastAsia" w:hAnsi="Marianne"/>
                <w:noProof/>
                <w:lang w:eastAsia="ar-SA"/>
              </w:rPr>
              <w:t>A.4.</w:t>
            </w:r>
            <w:r w:rsidR="00BA66CC">
              <w:rPr>
                <w:rFonts w:eastAsiaTheme="minorEastAsia" w:cstheme="minorBidi"/>
                <w:i w:val="0"/>
                <w:iCs w:val="0"/>
                <w:noProof/>
                <w:szCs w:val="22"/>
              </w:rPr>
              <w:tab/>
            </w:r>
            <w:r w:rsidR="00BA66CC" w:rsidRPr="007C4632">
              <w:rPr>
                <w:rStyle w:val="Hyperlink"/>
                <w:rFonts w:eastAsiaTheme="majorEastAsia"/>
                <w:noProof/>
              </w:rPr>
              <w:t>L’influence de la France dans la recherche climatique</w:t>
            </w:r>
            <w:r w:rsidR="00BA66CC">
              <w:rPr>
                <w:noProof/>
                <w:webHidden/>
              </w:rPr>
              <w:tab/>
            </w:r>
            <w:r w:rsidR="00BA66CC">
              <w:rPr>
                <w:noProof/>
                <w:webHidden/>
              </w:rPr>
              <w:fldChar w:fldCharType="begin"/>
            </w:r>
            <w:r w:rsidR="00BA66CC">
              <w:rPr>
                <w:noProof/>
                <w:webHidden/>
              </w:rPr>
              <w:instrText xml:space="preserve"> PAGEREF _Toc138342073 \h </w:instrText>
            </w:r>
            <w:r w:rsidR="00BA66CC">
              <w:rPr>
                <w:noProof/>
                <w:webHidden/>
              </w:rPr>
            </w:r>
            <w:r w:rsidR="00BA66CC">
              <w:rPr>
                <w:noProof/>
                <w:webHidden/>
              </w:rPr>
              <w:fldChar w:fldCharType="separate"/>
            </w:r>
            <w:r w:rsidR="00BA66CC">
              <w:rPr>
                <w:noProof/>
                <w:webHidden/>
              </w:rPr>
              <w:t>270</w:t>
            </w:r>
            <w:r w:rsidR="00BA66CC">
              <w:rPr>
                <w:noProof/>
                <w:webHidden/>
              </w:rPr>
              <w:fldChar w:fldCharType="end"/>
            </w:r>
          </w:hyperlink>
        </w:p>
        <w:p w14:paraId="0B54564E" w14:textId="4F6035F2" w:rsidR="00BA66CC" w:rsidRDefault="00697C78">
          <w:pPr>
            <w:pStyle w:val="TOC2"/>
            <w:tabs>
              <w:tab w:val="left" w:pos="600"/>
              <w:tab w:val="right" w:leader="dot" w:pos="9940"/>
            </w:tabs>
            <w:rPr>
              <w:rFonts w:eastAsiaTheme="minorEastAsia" w:cstheme="minorBidi"/>
              <w:smallCaps w:val="0"/>
              <w:noProof/>
              <w:szCs w:val="22"/>
            </w:rPr>
          </w:pPr>
          <w:hyperlink w:anchor="_Toc138342074"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L’observation systématique</w:t>
            </w:r>
            <w:r w:rsidR="00BA66CC">
              <w:rPr>
                <w:noProof/>
                <w:webHidden/>
              </w:rPr>
              <w:tab/>
            </w:r>
            <w:r w:rsidR="00BA66CC">
              <w:rPr>
                <w:noProof/>
                <w:webHidden/>
              </w:rPr>
              <w:fldChar w:fldCharType="begin"/>
            </w:r>
            <w:r w:rsidR="00BA66CC">
              <w:rPr>
                <w:noProof/>
                <w:webHidden/>
              </w:rPr>
              <w:instrText xml:space="preserve"> PAGEREF _Toc138342074 \h </w:instrText>
            </w:r>
            <w:r w:rsidR="00BA66CC">
              <w:rPr>
                <w:noProof/>
                <w:webHidden/>
              </w:rPr>
            </w:r>
            <w:r w:rsidR="00BA66CC">
              <w:rPr>
                <w:noProof/>
                <w:webHidden/>
              </w:rPr>
              <w:fldChar w:fldCharType="separate"/>
            </w:r>
            <w:r w:rsidR="00BA66CC">
              <w:rPr>
                <w:noProof/>
                <w:webHidden/>
              </w:rPr>
              <w:t>273</w:t>
            </w:r>
            <w:r w:rsidR="00BA66CC">
              <w:rPr>
                <w:noProof/>
                <w:webHidden/>
              </w:rPr>
              <w:fldChar w:fldCharType="end"/>
            </w:r>
          </w:hyperlink>
        </w:p>
        <w:p w14:paraId="3D7F9B71" w14:textId="5F83315A" w:rsidR="00BA66CC" w:rsidRDefault="00697C78">
          <w:pPr>
            <w:pStyle w:val="TOC3"/>
            <w:tabs>
              <w:tab w:val="left" w:pos="1000"/>
              <w:tab w:val="right" w:leader="dot" w:pos="9940"/>
            </w:tabs>
            <w:rPr>
              <w:rFonts w:eastAsiaTheme="minorEastAsia" w:cstheme="minorBidi"/>
              <w:i w:val="0"/>
              <w:iCs w:val="0"/>
              <w:noProof/>
              <w:szCs w:val="22"/>
            </w:rPr>
          </w:pPr>
          <w:hyperlink w:anchor="_Toc138342075"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Services nationaux d’observation dans le domaine atmosphérique</w:t>
            </w:r>
            <w:r w:rsidR="00BA66CC">
              <w:rPr>
                <w:noProof/>
                <w:webHidden/>
              </w:rPr>
              <w:tab/>
            </w:r>
            <w:r w:rsidR="00BA66CC">
              <w:rPr>
                <w:noProof/>
                <w:webHidden/>
              </w:rPr>
              <w:fldChar w:fldCharType="begin"/>
            </w:r>
            <w:r w:rsidR="00BA66CC">
              <w:rPr>
                <w:noProof/>
                <w:webHidden/>
              </w:rPr>
              <w:instrText xml:space="preserve"> PAGEREF _Toc138342075 \h </w:instrText>
            </w:r>
            <w:r w:rsidR="00BA66CC">
              <w:rPr>
                <w:noProof/>
                <w:webHidden/>
              </w:rPr>
            </w:r>
            <w:r w:rsidR="00BA66CC">
              <w:rPr>
                <w:noProof/>
                <w:webHidden/>
              </w:rPr>
              <w:fldChar w:fldCharType="separate"/>
            </w:r>
            <w:r w:rsidR="00BA66CC">
              <w:rPr>
                <w:noProof/>
                <w:webHidden/>
              </w:rPr>
              <w:t>273</w:t>
            </w:r>
            <w:r w:rsidR="00BA66CC">
              <w:rPr>
                <w:noProof/>
                <w:webHidden/>
              </w:rPr>
              <w:fldChar w:fldCharType="end"/>
            </w:r>
          </w:hyperlink>
        </w:p>
        <w:p w14:paraId="637B253A" w14:textId="5315992D" w:rsidR="00BA66CC" w:rsidRDefault="00697C78">
          <w:pPr>
            <w:pStyle w:val="TOC3"/>
            <w:tabs>
              <w:tab w:val="left" w:pos="1000"/>
              <w:tab w:val="right" w:leader="dot" w:pos="9940"/>
            </w:tabs>
            <w:rPr>
              <w:rFonts w:eastAsiaTheme="minorEastAsia" w:cstheme="minorBidi"/>
              <w:i w:val="0"/>
              <w:iCs w:val="0"/>
              <w:noProof/>
              <w:szCs w:val="22"/>
            </w:rPr>
          </w:pPr>
          <w:hyperlink w:anchor="_Toc138342076"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Participation aux réseaux internationaux de mesures physico-chimiques (GAW, EMEP)</w:t>
            </w:r>
            <w:r w:rsidR="00BA66CC">
              <w:rPr>
                <w:noProof/>
                <w:webHidden/>
              </w:rPr>
              <w:tab/>
            </w:r>
            <w:r w:rsidR="00BA66CC">
              <w:rPr>
                <w:noProof/>
                <w:webHidden/>
              </w:rPr>
              <w:fldChar w:fldCharType="begin"/>
            </w:r>
            <w:r w:rsidR="00BA66CC">
              <w:rPr>
                <w:noProof/>
                <w:webHidden/>
              </w:rPr>
              <w:instrText xml:space="preserve"> PAGEREF _Toc138342076 \h </w:instrText>
            </w:r>
            <w:r w:rsidR="00BA66CC">
              <w:rPr>
                <w:noProof/>
                <w:webHidden/>
              </w:rPr>
            </w:r>
            <w:r w:rsidR="00BA66CC">
              <w:rPr>
                <w:noProof/>
                <w:webHidden/>
              </w:rPr>
              <w:fldChar w:fldCharType="separate"/>
            </w:r>
            <w:r w:rsidR="00BA66CC">
              <w:rPr>
                <w:noProof/>
                <w:webHidden/>
              </w:rPr>
              <w:t>275</w:t>
            </w:r>
            <w:r w:rsidR="00BA66CC">
              <w:rPr>
                <w:noProof/>
                <w:webHidden/>
              </w:rPr>
              <w:fldChar w:fldCharType="end"/>
            </w:r>
          </w:hyperlink>
        </w:p>
        <w:p w14:paraId="0650007C" w14:textId="55753A18" w:rsidR="00BA66CC" w:rsidRDefault="00697C78">
          <w:pPr>
            <w:pStyle w:val="TOC3"/>
            <w:tabs>
              <w:tab w:val="left" w:pos="1000"/>
              <w:tab w:val="right" w:leader="dot" w:pos="9940"/>
            </w:tabs>
            <w:rPr>
              <w:rFonts w:eastAsiaTheme="minorEastAsia" w:cstheme="minorBidi"/>
              <w:i w:val="0"/>
              <w:iCs w:val="0"/>
              <w:noProof/>
              <w:szCs w:val="22"/>
            </w:rPr>
          </w:pPr>
          <w:hyperlink w:anchor="_Toc138342077" w:history="1">
            <w:r w:rsidR="00BA66CC" w:rsidRPr="007C4632">
              <w:rPr>
                <w:rStyle w:val="Hyperlink"/>
                <w:rFonts w:ascii="Marianne" w:eastAsiaTheme="majorEastAsia" w:hAnsi="Marianne"/>
                <w:noProof/>
              </w:rPr>
              <w:t>B.3.</w:t>
            </w:r>
            <w:r w:rsidR="00BA66CC">
              <w:rPr>
                <w:rFonts w:eastAsiaTheme="minorEastAsia" w:cstheme="minorBidi"/>
                <w:i w:val="0"/>
                <w:iCs w:val="0"/>
                <w:noProof/>
                <w:szCs w:val="22"/>
              </w:rPr>
              <w:tab/>
            </w:r>
            <w:r w:rsidR="00BA66CC" w:rsidRPr="007C4632">
              <w:rPr>
                <w:rStyle w:val="Hyperlink"/>
                <w:rFonts w:eastAsiaTheme="majorEastAsia"/>
                <w:noProof/>
              </w:rPr>
              <w:t>Systèmes d’observation Météo France</w:t>
            </w:r>
            <w:r w:rsidR="00BA66CC">
              <w:rPr>
                <w:noProof/>
                <w:webHidden/>
              </w:rPr>
              <w:tab/>
            </w:r>
            <w:r w:rsidR="00BA66CC">
              <w:rPr>
                <w:noProof/>
                <w:webHidden/>
              </w:rPr>
              <w:fldChar w:fldCharType="begin"/>
            </w:r>
            <w:r w:rsidR="00BA66CC">
              <w:rPr>
                <w:noProof/>
                <w:webHidden/>
              </w:rPr>
              <w:instrText xml:space="preserve"> PAGEREF _Toc138342077 \h </w:instrText>
            </w:r>
            <w:r w:rsidR="00BA66CC">
              <w:rPr>
                <w:noProof/>
                <w:webHidden/>
              </w:rPr>
            </w:r>
            <w:r w:rsidR="00BA66CC">
              <w:rPr>
                <w:noProof/>
                <w:webHidden/>
              </w:rPr>
              <w:fldChar w:fldCharType="separate"/>
            </w:r>
            <w:r w:rsidR="00BA66CC">
              <w:rPr>
                <w:noProof/>
                <w:webHidden/>
              </w:rPr>
              <w:t>275</w:t>
            </w:r>
            <w:r w:rsidR="00BA66CC">
              <w:rPr>
                <w:noProof/>
                <w:webHidden/>
              </w:rPr>
              <w:fldChar w:fldCharType="end"/>
            </w:r>
          </w:hyperlink>
        </w:p>
        <w:p w14:paraId="462F436D" w14:textId="6E78C7F9" w:rsidR="00BA66CC" w:rsidRDefault="00697C78">
          <w:pPr>
            <w:pStyle w:val="TOC3"/>
            <w:tabs>
              <w:tab w:val="left" w:pos="1000"/>
              <w:tab w:val="right" w:leader="dot" w:pos="9940"/>
            </w:tabs>
            <w:rPr>
              <w:rFonts w:eastAsiaTheme="minorEastAsia" w:cstheme="minorBidi"/>
              <w:i w:val="0"/>
              <w:iCs w:val="0"/>
              <w:noProof/>
              <w:szCs w:val="22"/>
            </w:rPr>
          </w:pPr>
          <w:hyperlink w:anchor="_Toc138342078" w:history="1">
            <w:r w:rsidR="00BA66CC" w:rsidRPr="007C4632">
              <w:rPr>
                <w:rStyle w:val="Hyperlink"/>
                <w:rFonts w:ascii="Marianne" w:eastAsiaTheme="majorEastAsia" w:hAnsi="Marianne"/>
                <w:noProof/>
                <w:lang w:eastAsia="ar-SA"/>
              </w:rPr>
              <w:t>B.4.</w:t>
            </w:r>
            <w:r w:rsidR="00BA66CC">
              <w:rPr>
                <w:rFonts w:eastAsiaTheme="minorEastAsia" w:cstheme="minorBidi"/>
                <w:i w:val="0"/>
                <w:iCs w:val="0"/>
                <w:noProof/>
                <w:szCs w:val="22"/>
              </w:rPr>
              <w:tab/>
            </w:r>
            <w:r w:rsidR="00BA66CC" w:rsidRPr="007C4632">
              <w:rPr>
                <w:rStyle w:val="Hyperlink"/>
                <w:rFonts w:eastAsiaTheme="majorEastAsia"/>
                <w:noProof/>
              </w:rPr>
              <w:t>Services nationaux d’observation dans le domaine océanique</w:t>
            </w:r>
            <w:r w:rsidR="00BA66CC">
              <w:rPr>
                <w:noProof/>
                <w:webHidden/>
              </w:rPr>
              <w:tab/>
            </w:r>
            <w:r w:rsidR="00BA66CC">
              <w:rPr>
                <w:noProof/>
                <w:webHidden/>
              </w:rPr>
              <w:fldChar w:fldCharType="begin"/>
            </w:r>
            <w:r w:rsidR="00BA66CC">
              <w:rPr>
                <w:noProof/>
                <w:webHidden/>
              </w:rPr>
              <w:instrText xml:space="preserve"> PAGEREF _Toc138342078 \h </w:instrText>
            </w:r>
            <w:r w:rsidR="00BA66CC">
              <w:rPr>
                <w:noProof/>
                <w:webHidden/>
              </w:rPr>
            </w:r>
            <w:r w:rsidR="00BA66CC">
              <w:rPr>
                <w:noProof/>
                <w:webHidden/>
              </w:rPr>
              <w:fldChar w:fldCharType="separate"/>
            </w:r>
            <w:r w:rsidR="00BA66CC">
              <w:rPr>
                <w:noProof/>
                <w:webHidden/>
              </w:rPr>
              <w:t>275</w:t>
            </w:r>
            <w:r w:rsidR="00BA66CC">
              <w:rPr>
                <w:noProof/>
                <w:webHidden/>
              </w:rPr>
              <w:fldChar w:fldCharType="end"/>
            </w:r>
          </w:hyperlink>
        </w:p>
        <w:p w14:paraId="1E3A9726" w14:textId="5B6395CA" w:rsidR="00BA66CC" w:rsidRDefault="00697C78">
          <w:pPr>
            <w:pStyle w:val="TOC3"/>
            <w:tabs>
              <w:tab w:val="left" w:pos="1000"/>
              <w:tab w:val="right" w:leader="dot" w:pos="9940"/>
            </w:tabs>
            <w:rPr>
              <w:rFonts w:eastAsiaTheme="minorEastAsia" w:cstheme="minorBidi"/>
              <w:i w:val="0"/>
              <w:iCs w:val="0"/>
              <w:noProof/>
              <w:szCs w:val="22"/>
            </w:rPr>
          </w:pPr>
          <w:hyperlink w:anchor="_Toc138342079" w:history="1">
            <w:r w:rsidR="00BA66CC" w:rsidRPr="007C4632">
              <w:rPr>
                <w:rStyle w:val="Hyperlink"/>
                <w:rFonts w:ascii="Marianne" w:eastAsiaTheme="majorEastAsia" w:hAnsi="Marianne"/>
                <w:noProof/>
                <w:lang w:eastAsia="ar-SA"/>
              </w:rPr>
              <w:t>B.5.</w:t>
            </w:r>
            <w:r w:rsidR="00BA66CC">
              <w:rPr>
                <w:rFonts w:eastAsiaTheme="minorEastAsia" w:cstheme="minorBidi"/>
                <w:i w:val="0"/>
                <w:iCs w:val="0"/>
                <w:noProof/>
                <w:szCs w:val="22"/>
              </w:rPr>
              <w:tab/>
            </w:r>
            <w:r w:rsidR="00BA66CC" w:rsidRPr="007C4632">
              <w:rPr>
                <w:rStyle w:val="Hyperlink"/>
                <w:rFonts w:eastAsiaTheme="majorEastAsia"/>
                <w:noProof/>
              </w:rPr>
              <w:t>L’observation du climat dans le domaine spatial</w:t>
            </w:r>
            <w:r w:rsidR="00BA66CC">
              <w:rPr>
                <w:noProof/>
                <w:webHidden/>
              </w:rPr>
              <w:tab/>
            </w:r>
            <w:r w:rsidR="00BA66CC">
              <w:rPr>
                <w:noProof/>
                <w:webHidden/>
              </w:rPr>
              <w:fldChar w:fldCharType="begin"/>
            </w:r>
            <w:r w:rsidR="00BA66CC">
              <w:rPr>
                <w:noProof/>
                <w:webHidden/>
              </w:rPr>
              <w:instrText xml:space="preserve"> PAGEREF _Toc138342079 \h </w:instrText>
            </w:r>
            <w:r w:rsidR="00BA66CC">
              <w:rPr>
                <w:noProof/>
                <w:webHidden/>
              </w:rPr>
            </w:r>
            <w:r w:rsidR="00BA66CC">
              <w:rPr>
                <w:noProof/>
                <w:webHidden/>
              </w:rPr>
              <w:fldChar w:fldCharType="separate"/>
            </w:r>
            <w:r w:rsidR="00BA66CC">
              <w:rPr>
                <w:noProof/>
                <w:webHidden/>
              </w:rPr>
              <w:t>276</w:t>
            </w:r>
            <w:r w:rsidR="00BA66CC">
              <w:rPr>
                <w:noProof/>
                <w:webHidden/>
              </w:rPr>
              <w:fldChar w:fldCharType="end"/>
            </w:r>
          </w:hyperlink>
        </w:p>
        <w:p w14:paraId="48C54B85" w14:textId="6B85785F" w:rsidR="00BA66CC" w:rsidRDefault="00697C78">
          <w:pPr>
            <w:pStyle w:val="TOC1"/>
            <w:rPr>
              <w:rFonts w:eastAsiaTheme="minorEastAsia" w:cstheme="minorBidi"/>
              <w:b w:val="0"/>
              <w:bCs w:val="0"/>
              <w:caps w:val="0"/>
              <w:noProof/>
              <w:szCs w:val="22"/>
            </w:rPr>
          </w:pPr>
          <w:hyperlink w:anchor="_Toc138342080" w:history="1">
            <w:r w:rsidR="00BA66CC" w:rsidRPr="007C4632">
              <w:rPr>
                <w:rStyle w:val="Hyperlink"/>
                <w:rFonts w:eastAsiaTheme="majorEastAsia"/>
                <w:noProof/>
              </w:rPr>
              <w:t>Chapitre IX – Éducation, formation et sensibilisation du public</w:t>
            </w:r>
            <w:r w:rsidR="00BA66CC">
              <w:rPr>
                <w:noProof/>
                <w:webHidden/>
              </w:rPr>
              <w:tab/>
            </w:r>
            <w:r w:rsidR="00BA66CC">
              <w:rPr>
                <w:noProof/>
                <w:webHidden/>
              </w:rPr>
              <w:fldChar w:fldCharType="begin"/>
            </w:r>
            <w:r w:rsidR="00BA66CC">
              <w:rPr>
                <w:noProof/>
                <w:webHidden/>
              </w:rPr>
              <w:instrText xml:space="preserve"> PAGEREF _Toc138342080 \h </w:instrText>
            </w:r>
            <w:r w:rsidR="00BA66CC">
              <w:rPr>
                <w:noProof/>
                <w:webHidden/>
              </w:rPr>
            </w:r>
            <w:r w:rsidR="00BA66CC">
              <w:rPr>
                <w:noProof/>
                <w:webHidden/>
              </w:rPr>
              <w:fldChar w:fldCharType="separate"/>
            </w:r>
            <w:r w:rsidR="00BA66CC">
              <w:rPr>
                <w:noProof/>
                <w:webHidden/>
              </w:rPr>
              <w:t>278</w:t>
            </w:r>
            <w:r w:rsidR="00BA66CC">
              <w:rPr>
                <w:noProof/>
                <w:webHidden/>
              </w:rPr>
              <w:fldChar w:fldCharType="end"/>
            </w:r>
          </w:hyperlink>
        </w:p>
        <w:p w14:paraId="53EF086E" w14:textId="121A1AA4" w:rsidR="00BA66CC" w:rsidRDefault="00697C78">
          <w:pPr>
            <w:pStyle w:val="TOC2"/>
            <w:tabs>
              <w:tab w:val="left" w:pos="800"/>
              <w:tab w:val="right" w:leader="dot" w:pos="9940"/>
            </w:tabs>
            <w:rPr>
              <w:rFonts w:eastAsiaTheme="minorEastAsia" w:cstheme="minorBidi"/>
              <w:smallCaps w:val="0"/>
              <w:noProof/>
              <w:szCs w:val="22"/>
            </w:rPr>
          </w:pPr>
          <w:hyperlink w:anchor="_Toc138342081"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État de l’opinion</w:t>
            </w:r>
            <w:r w:rsidR="00BA66CC">
              <w:rPr>
                <w:noProof/>
                <w:webHidden/>
              </w:rPr>
              <w:tab/>
            </w:r>
            <w:r w:rsidR="00BA66CC">
              <w:rPr>
                <w:noProof/>
                <w:webHidden/>
              </w:rPr>
              <w:fldChar w:fldCharType="begin"/>
            </w:r>
            <w:r w:rsidR="00BA66CC">
              <w:rPr>
                <w:noProof/>
                <w:webHidden/>
              </w:rPr>
              <w:instrText xml:space="preserve"> PAGEREF _Toc138342081 \h </w:instrText>
            </w:r>
            <w:r w:rsidR="00BA66CC">
              <w:rPr>
                <w:noProof/>
                <w:webHidden/>
              </w:rPr>
            </w:r>
            <w:r w:rsidR="00BA66CC">
              <w:rPr>
                <w:noProof/>
                <w:webHidden/>
              </w:rPr>
              <w:fldChar w:fldCharType="separate"/>
            </w:r>
            <w:r w:rsidR="00BA66CC">
              <w:rPr>
                <w:noProof/>
                <w:webHidden/>
              </w:rPr>
              <w:t>278</w:t>
            </w:r>
            <w:r w:rsidR="00BA66CC">
              <w:rPr>
                <w:noProof/>
                <w:webHidden/>
              </w:rPr>
              <w:fldChar w:fldCharType="end"/>
            </w:r>
          </w:hyperlink>
        </w:p>
        <w:p w14:paraId="14233902" w14:textId="356E9734" w:rsidR="00BA66CC" w:rsidRDefault="00697C78">
          <w:pPr>
            <w:pStyle w:val="TOC3"/>
            <w:tabs>
              <w:tab w:val="left" w:pos="1000"/>
              <w:tab w:val="right" w:leader="dot" w:pos="9940"/>
            </w:tabs>
            <w:rPr>
              <w:rFonts w:eastAsiaTheme="minorEastAsia" w:cstheme="minorBidi"/>
              <w:i w:val="0"/>
              <w:iCs w:val="0"/>
              <w:noProof/>
              <w:szCs w:val="22"/>
            </w:rPr>
          </w:pPr>
          <w:hyperlink w:anchor="_Toc138342082" w:history="1">
            <w:r w:rsidR="00BA66CC" w:rsidRPr="007C4632">
              <w:rPr>
                <w:rStyle w:val="Hyperlink"/>
                <w:rFonts w:ascii="Marianne" w:eastAsiaTheme="majorEastAsia" w:hAnsi="Marianne"/>
                <w:noProof/>
              </w:rPr>
              <w:t>A.1.</w:t>
            </w:r>
            <w:r w:rsidR="00BA66CC">
              <w:rPr>
                <w:rFonts w:eastAsiaTheme="minorEastAsia" w:cstheme="minorBidi"/>
                <w:i w:val="0"/>
                <w:iCs w:val="0"/>
                <w:noProof/>
                <w:szCs w:val="22"/>
              </w:rPr>
              <w:tab/>
            </w:r>
            <w:r w:rsidR="00BA66CC" w:rsidRPr="007C4632">
              <w:rPr>
                <w:rStyle w:val="Hyperlink"/>
                <w:rFonts w:eastAsiaTheme="majorEastAsia"/>
                <w:noProof/>
              </w:rPr>
              <w:t>L’importante prise de conscience des Français sur le changement climatique</w:t>
            </w:r>
            <w:r w:rsidR="00BA66CC">
              <w:rPr>
                <w:noProof/>
                <w:webHidden/>
              </w:rPr>
              <w:tab/>
            </w:r>
            <w:r w:rsidR="00BA66CC">
              <w:rPr>
                <w:noProof/>
                <w:webHidden/>
              </w:rPr>
              <w:fldChar w:fldCharType="begin"/>
            </w:r>
            <w:r w:rsidR="00BA66CC">
              <w:rPr>
                <w:noProof/>
                <w:webHidden/>
              </w:rPr>
              <w:instrText xml:space="preserve"> PAGEREF _Toc138342082 \h </w:instrText>
            </w:r>
            <w:r w:rsidR="00BA66CC">
              <w:rPr>
                <w:noProof/>
                <w:webHidden/>
              </w:rPr>
            </w:r>
            <w:r w:rsidR="00BA66CC">
              <w:rPr>
                <w:noProof/>
                <w:webHidden/>
              </w:rPr>
              <w:fldChar w:fldCharType="separate"/>
            </w:r>
            <w:r w:rsidR="00BA66CC">
              <w:rPr>
                <w:noProof/>
                <w:webHidden/>
              </w:rPr>
              <w:t>278</w:t>
            </w:r>
            <w:r w:rsidR="00BA66CC">
              <w:rPr>
                <w:noProof/>
                <w:webHidden/>
              </w:rPr>
              <w:fldChar w:fldCharType="end"/>
            </w:r>
          </w:hyperlink>
        </w:p>
        <w:p w14:paraId="264EBB6C" w14:textId="08E848E2" w:rsidR="00BA66CC" w:rsidRDefault="00697C78">
          <w:pPr>
            <w:pStyle w:val="TOC3"/>
            <w:tabs>
              <w:tab w:val="left" w:pos="1200"/>
              <w:tab w:val="right" w:leader="dot" w:pos="9940"/>
            </w:tabs>
            <w:rPr>
              <w:rFonts w:eastAsiaTheme="minorEastAsia" w:cstheme="minorBidi"/>
              <w:i w:val="0"/>
              <w:iCs w:val="0"/>
              <w:noProof/>
              <w:szCs w:val="22"/>
            </w:rPr>
          </w:pPr>
          <w:hyperlink w:anchor="_Toc138342083" w:history="1">
            <w:r w:rsidR="00BA66CC" w:rsidRPr="007C4632">
              <w:rPr>
                <w:rStyle w:val="Hyperlink"/>
                <w:rFonts w:ascii="Marianne" w:eastAsiaTheme="majorEastAsia" w:hAnsi="Marianne"/>
                <w:noProof/>
              </w:rPr>
              <w:t>A.2.</w:t>
            </w:r>
            <w:r w:rsidR="00BA66CC">
              <w:rPr>
                <w:rFonts w:eastAsiaTheme="minorEastAsia" w:cstheme="minorBidi"/>
                <w:i w:val="0"/>
                <w:iCs w:val="0"/>
                <w:noProof/>
                <w:szCs w:val="22"/>
              </w:rPr>
              <w:tab/>
            </w:r>
            <w:r w:rsidR="00BA66CC" w:rsidRPr="007C4632">
              <w:rPr>
                <w:rStyle w:val="Hyperlink"/>
                <w:rFonts w:eastAsiaTheme="majorEastAsia"/>
                <w:noProof/>
              </w:rPr>
              <w:t>Une prise de conscience qui génère une forte attente vis-à-vis des pouvoirs publics</w:t>
            </w:r>
            <w:r w:rsidR="00BA66CC">
              <w:rPr>
                <w:noProof/>
                <w:webHidden/>
              </w:rPr>
              <w:tab/>
            </w:r>
            <w:r w:rsidR="00BA66CC">
              <w:rPr>
                <w:noProof/>
                <w:webHidden/>
              </w:rPr>
              <w:fldChar w:fldCharType="begin"/>
            </w:r>
            <w:r w:rsidR="00BA66CC">
              <w:rPr>
                <w:noProof/>
                <w:webHidden/>
              </w:rPr>
              <w:instrText xml:space="preserve"> PAGEREF _Toc138342083 \h </w:instrText>
            </w:r>
            <w:r w:rsidR="00BA66CC">
              <w:rPr>
                <w:noProof/>
                <w:webHidden/>
              </w:rPr>
            </w:r>
            <w:r w:rsidR="00BA66CC">
              <w:rPr>
                <w:noProof/>
                <w:webHidden/>
              </w:rPr>
              <w:fldChar w:fldCharType="separate"/>
            </w:r>
            <w:r w:rsidR="00BA66CC">
              <w:rPr>
                <w:noProof/>
                <w:webHidden/>
              </w:rPr>
              <w:t>281</w:t>
            </w:r>
            <w:r w:rsidR="00BA66CC">
              <w:rPr>
                <w:noProof/>
                <w:webHidden/>
              </w:rPr>
              <w:fldChar w:fldCharType="end"/>
            </w:r>
          </w:hyperlink>
        </w:p>
        <w:p w14:paraId="3578F2D4" w14:textId="31B8C2B9" w:rsidR="00BA66CC" w:rsidRDefault="00697C78">
          <w:pPr>
            <w:pStyle w:val="TOC3"/>
            <w:tabs>
              <w:tab w:val="left" w:pos="1200"/>
              <w:tab w:val="right" w:leader="dot" w:pos="9940"/>
            </w:tabs>
            <w:rPr>
              <w:rFonts w:eastAsiaTheme="minorEastAsia" w:cstheme="minorBidi"/>
              <w:i w:val="0"/>
              <w:iCs w:val="0"/>
              <w:noProof/>
              <w:szCs w:val="22"/>
            </w:rPr>
          </w:pPr>
          <w:hyperlink w:anchor="_Toc138342084" w:history="1">
            <w:r w:rsidR="00BA66CC" w:rsidRPr="007C4632">
              <w:rPr>
                <w:rStyle w:val="Hyperlink"/>
                <w:rFonts w:ascii="Marianne" w:eastAsiaTheme="majorEastAsia" w:hAnsi="Marianne"/>
                <w:noProof/>
              </w:rPr>
              <w:t>A.3.</w:t>
            </w:r>
            <w:r w:rsidR="00BA66CC">
              <w:rPr>
                <w:rFonts w:eastAsiaTheme="minorEastAsia" w:cstheme="minorBidi"/>
                <w:i w:val="0"/>
                <w:iCs w:val="0"/>
                <w:noProof/>
                <w:szCs w:val="22"/>
              </w:rPr>
              <w:tab/>
            </w:r>
            <w:r w:rsidR="00BA66CC" w:rsidRPr="007C4632">
              <w:rPr>
                <w:rStyle w:val="Hyperlink"/>
                <w:rFonts w:eastAsiaTheme="majorEastAsia"/>
                <w:noProof/>
              </w:rPr>
              <w:t>Le développement des énergies renouvelables, grande priorité pour les Français</w:t>
            </w:r>
            <w:r w:rsidR="00BA66CC">
              <w:rPr>
                <w:noProof/>
                <w:webHidden/>
              </w:rPr>
              <w:tab/>
            </w:r>
            <w:r w:rsidR="00BA66CC">
              <w:rPr>
                <w:noProof/>
                <w:webHidden/>
              </w:rPr>
              <w:fldChar w:fldCharType="begin"/>
            </w:r>
            <w:r w:rsidR="00BA66CC">
              <w:rPr>
                <w:noProof/>
                <w:webHidden/>
              </w:rPr>
              <w:instrText xml:space="preserve"> PAGEREF _Toc138342084 \h </w:instrText>
            </w:r>
            <w:r w:rsidR="00BA66CC">
              <w:rPr>
                <w:noProof/>
                <w:webHidden/>
              </w:rPr>
            </w:r>
            <w:r w:rsidR="00BA66CC">
              <w:rPr>
                <w:noProof/>
                <w:webHidden/>
              </w:rPr>
              <w:fldChar w:fldCharType="separate"/>
            </w:r>
            <w:r w:rsidR="00BA66CC">
              <w:rPr>
                <w:noProof/>
                <w:webHidden/>
              </w:rPr>
              <w:t>282</w:t>
            </w:r>
            <w:r w:rsidR="00BA66CC">
              <w:rPr>
                <w:noProof/>
                <w:webHidden/>
              </w:rPr>
              <w:fldChar w:fldCharType="end"/>
            </w:r>
          </w:hyperlink>
        </w:p>
        <w:p w14:paraId="7C088BA0" w14:textId="18599FA3" w:rsidR="00BA66CC" w:rsidRDefault="00697C78">
          <w:pPr>
            <w:pStyle w:val="TOC3"/>
            <w:tabs>
              <w:tab w:val="left" w:pos="1200"/>
              <w:tab w:val="right" w:leader="dot" w:pos="9940"/>
            </w:tabs>
            <w:rPr>
              <w:rFonts w:eastAsiaTheme="minorEastAsia" w:cstheme="minorBidi"/>
              <w:i w:val="0"/>
              <w:iCs w:val="0"/>
              <w:noProof/>
              <w:szCs w:val="22"/>
            </w:rPr>
          </w:pPr>
          <w:hyperlink w:anchor="_Toc138342085" w:history="1">
            <w:r w:rsidR="00BA66CC" w:rsidRPr="007C4632">
              <w:rPr>
                <w:rStyle w:val="Hyperlink"/>
                <w:rFonts w:ascii="Marianne" w:eastAsiaTheme="majorEastAsia" w:hAnsi="Marianne"/>
                <w:noProof/>
              </w:rPr>
              <w:t>A.4.</w:t>
            </w:r>
            <w:r w:rsidR="00BA66CC">
              <w:rPr>
                <w:rFonts w:eastAsiaTheme="minorEastAsia" w:cstheme="minorBidi"/>
                <w:i w:val="0"/>
                <w:iCs w:val="0"/>
                <w:noProof/>
                <w:szCs w:val="22"/>
              </w:rPr>
              <w:tab/>
            </w:r>
            <w:r w:rsidR="00BA66CC" w:rsidRPr="007C4632">
              <w:rPr>
                <w:rStyle w:val="Hyperlink"/>
                <w:rFonts w:eastAsiaTheme="majorEastAsia"/>
                <w:noProof/>
              </w:rPr>
              <w:t>Une information objective et documentée à la base de la sensibilisation</w:t>
            </w:r>
            <w:r w:rsidR="00BA66CC">
              <w:rPr>
                <w:noProof/>
                <w:webHidden/>
              </w:rPr>
              <w:tab/>
            </w:r>
            <w:r w:rsidR="00BA66CC">
              <w:rPr>
                <w:noProof/>
                <w:webHidden/>
              </w:rPr>
              <w:fldChar w:fldCharType="begin"/>
            </w:r>
            <w:r w:rsidR="00BA66CC">
              <w:rPr>
                <w:noProof/>
                <w:webHidden/>
              </w:rPr>
              <w:instrText xml:space="preserve"> PAGEREF _Toc138342085 \h </w:instrText>
            </w:r>
            <w:r w:rsidR="00BA66CC">
              <w:rPr>
                <w:noProof/>
                <w:webHidden/>
              </w:rPr>
            </w:r>
            <w:r w:rsidR="00BA66CC">
              <w:rPr>
                <w:noProof/>
                <w:webHidden/>
              </w:rPr>
              <w:fldChar w:fldCharType="separate"/>
            </w:r>
            <w:r w:rsidR="00BA66CC">
              <w:rPr>
                <w:noProof/>
                <w:webHidden/>
              </w:rPr>
              <w:t>282</w:t>
            </w:r>
            <w:r w:rsidR="00BA66CC">
              <w:rPr>
                <w:noProof/>
                <w:webHidden/>
              </w:rPr>
              <w:fldChar w:fldCharType="end"/>
            </w:r>
          </w:hyperlink>
        </w:p>
        <w:p w14:paraId="6EE16671" w14:textId="3AF84C8A" w:rsidR="00BA66CC" w:rsidRDefault="00697C78">
          <w:pPr>
            <w:pStyle w:val="TOC3"/>
            <w:tabs>
              <w:tab w:val="left" w:pos="1200"/>
              <w:tab w:val="right" w:leader="dot" w:pos="9940"/>
            </w:tabs>
            <w:rPr>
              <w:rFonts w:eastAsiaTheme="minorEastAsia" w:cstheme="minorBidi"/>
              <w:i w:val="0"/>
              <w:iCs w:val="0"/>
              <w:noProof/>
              <w:szCs w:val="22"/>
            </w:rPr>
          </w:pPr>
          <w:hyperlink w:anchor="_Toc138342086" w:history="1">
            <w:r w:rsidR="00BA66CC" w:rsidRPr="007C4632">
              <w:rPr>
                <w:rStyle w:val="Hyperlink"/>
                <w:rFonts w:ascii="Marianne" w:eastAsiaTheme="majorEastAsia" w:hAnsi="Marianne"/>
                <w:noProof/>
              </w:rPr>
              <w:t>A.5.</w:t>
            </w:r>
            <w:r w:rsidR="00BA66CC">
              <w:rPr>
                <w:rFonts w:eastAsiaTheme="minorEastAsia" w:cstheme="minorBidi"/>
                <w:i w:val="0"/>
                <w:iCs w:val="0"/>
                <w:noProof/>
                <w:szCs w:val="22"/>
              </w:rPr>
              <w:tab/>
            </w:r>
            <w:r w:rsidR="00BA66CC" w:rsidRPr="007C4632">
              <w:rPr>
                <w:rStyle w:val="Hyperlink"/>
                <w:rFonts w:eastAsiaTheme="majorEastAsia"/>
                <w:noProof/>
              </w:rPr>
              <w:t>La publicité et les communication commerciales</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 outil majeur de la transition écologique</w:t>
            </w:r>
            <w:r w:rsidR="00BA66CC">
              <w:rPr>
                <w:noProof/>
                <w:webHidden/>
              </w:rPr>
              <w:tab/>
            </w:r>
            <w:r w:rsidR="00BA66CC">
              <w:rPr>
                <w:noProof/>
                <w:webHidden/>
              </w:rPr>
              <w:fldChar w:fldCharType="begin"/>
            </w:r>
            <w:r w:rsidR="00BA66CC">
              <w:rPr>
                <w:noProof/>
                <w:webHidden/>
              </w:rPr>
              <w:instrText xml:space="preserve"> PAGEREF _Toc138342086 \h </w:instrText>
            </w:r>
            <w:r w:rsidR="00BA66CC">
              <w:rPr>
                <w:noProof/>
                <w:webHidden/>
              </w:rPr>
            </w:r>
            <w:r w:rsidR="00BA66CC">
              <w:rPr>
                <w:noProof/>
                <w:webHidden/>
              </w:rPr>
              <w:fldChar w:fldCharType="separate"/>
            </w:r>
            <w:r w:rsidR="00BA66CC">
              <w:rPr>
                <w:noProof/>
                <w:webHidden/>
              </w:rPr>
              <w:t>283</w:t>
            </w:r>
            <w:r w:rsidR="00BA66CC">
              <w:rPr>
                <w:noProof/>
                <w:webHidden/>
              </w:rPr>
              <w:fldChar w:fldCharType="end"/>
            </w:r>
          </w:hyperlink>
        </w:p>
        <w:p w14:paraId="5823FDDA" w14:textId="6E9DDF7A" w:rsidR="00BA66CC" w:rsidRDefault="00697C78">
          <w:pPr>
            <w:pStyle w:val="TOC2"/>
            <w:tabs>
              <w:tab w:val="left" w:pos="600"/>
              <w:tab w:val="right" w:leader="dot" w:pos="9940"/>
            </w:tabs>
            <w:rPr>
              <w:rFonts w:eastAsiaTheme="minorEastAsia" w:cstheme="minorBidi"/>
              <w:smallCaps w:val="0"/>
              <w:noProof/>
              <w:szCs w:val="22"/>
            </w:rPr>
          </w:pPr>
          <w:hyperlink w:anchor="_Toc138342087"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Éducation et formation</w:t>
            </w:r>
            <w:r w:rsidR="00BA66CC">
              <w:rPr>
                <w:noProof/>
                <w:webHidden/>
              </w:rPr>
              <w:tab/>
            </w:r>
            <w:r w:rsidR="00BA66CC">
              <w:rPr>
                <w:noProof/>
                <w:webHidden/>
              </w:rPr>
              <w:fldChar w:fldCharType="begin"/>
            </w:r>
            <w:r w:rsidR="00BA66CC">
              <w:rPr>
                <w:noProof/>
                <w:webHidden/>
              </w:rPr>
              <w:instrText xml:space="preserve"> PAGEREF _Toc138342087 \h </w:instrText>
            </w:r>
            <w:r w:rsidR="00BA66CC">
              <w:rPr>
                <w:noProof/>
                <w:webHidden/>
              </w:rPr>
            </w:r>
            <w:r w:rsidR="00BA66CC">
              <w:rPr>
                <w:noProof/>
                <w:webHidden/>
              </w:rPr>
              <w:fldChar w:fldCharType="separate"/>
            </w:r>
            <w:r w:rsidR="00BA66CC">
              <w:rPr>
                <w:noProof/>
                <w:webHidden/>
              </w:rPr>
              <w:t>284</w:t>
            </w:r>
            <w:r w:rsidR="00BA66CC">
              <w:rPr>
                <w:noProof/>
                <w:webHidden/>
              </w:rPr>
              <w:fldChar w:fldCharType="end"/>
            </w:r>
          </w:hyperlink>
        </w:p>
        <w:p w14:paraId="77CE7753" w14:textId="5AB6EB43" w:rsidR="00BA66CC" w:rsidRDefault="00697C78">
          <w:pPr>
            <w:pStyle w:val="TOC3"/>
            <w:tabs>
              <w:tab w:val="left" w:pos="1000"/>
              <w:tab w:val="right" w:leader="dot" w:pos="9940"/>
            </w:tabs>
            <w:rPr>
              <w:rFonts w:eastAsiaTheme="minorEastAsia" w:cstheme="minorBidi"/>
              <w:i w:val="0"/>
              <w:iCs w:val="0"/>
              <w:noProof/>
              <w:szCs w:val="22"/>
            </w:rPr>
          </w:pPr>
          <w:hyperlink w:anchor="_Toc138342088" w:history="1">
            <w:r w:rsidR="00BA66CC" w:rsidRPr="007C4632">
              <w:rPr>
                <w:rStyle w:val="Hyperlink"/>
                <w:rFonts w:ascii="Marianne" w:eastAsiaTheme="majorEastAsia" w:hAnsi="Marianne"/>
                <w:noProof/>
              </w:rPr>
              <w:t>B.1.</w:t>
            </w:r>
            <w:r w:rsidR="00BA66CC">
              <w:rPr>
                <w:rFonts w:eastAsiaTheme="minorEastAsia" w:cstheme="minorBidi"/>
                <w:i w:val="0"/>
                <w:iCs w:val="0"/>
                <w:noProof/>
                <w:szCs w:val="22"/>
              </w:rPr>
              <w:tab/>
            </w:r>
            <w:r w:rsidR="00BA66CC" w:rsidRPr="007C4632">
              <w:rPr>
                <w:rStyle w:val="Hyperlink"/>
                <w:rFonts w:eastAsiaTheme="majorEastAsia"/>
                <w:noProof/>
              </w:rPr>
              <w:t>L’éducation au développement durable en milieu scolaire, déployée par le ministère de l’Education nationale dans l’ensemble des écoles, collèges et lycées de France</w:t>
            </w:r>
            <w:r w:rsidR="00BA66CC">
              <w:rPr>
                <w:noProof/>
                <w:webHidden/>
              </w:rPr>
              <w:tab/>
            </w:r>
            <w:r w:rsidR="00BA66CC">
              <w:rPr>
                <w:noProof/>
                <w:webHidden/>
              </w:rPr>
              <w:fldChar w:fldCharType="begin"/>
            </w:r>
            <w:r w:rsidR="00BA66CC">
              <w:rPr>
                <w:noProof/>
                <w:webHidden/>
              </w:rPr>
              <w:instrText xml:space="preserve"> PAGEREF _Toc138342088 \h </w:instrText>
            </w:r>
            <w:r w:rsidR="00BA66CC">
              <w:rPr>
                <w:noProof/>
                <w:webHidden/>
              </w:rPr>
            </w:r>
            <w:r w:rsidR="00BA66CC">
              <w:rPr>
                <w:noProof/>
                <w:webHidden/>
              </w:rPr>
              <w:fldChar w:fldCharType="separate"/>
            </w:r>
            <w:r w:rsidR="00BA66CC">
              <w:rPr>
                <w:noProof/>
                <w:webHidden/>
              </w:rPr>
              <w:t>284</w:t>
            </w:r>
            <w:r w:rsidR="00BA66CC">
              <w:rPr>
                <w:noProof/>
                <w:webHidden/>
              </w:rPr>
              <w:fldChar w:fldCharType="end"/>
            </w:r>
          </w:hyperlink>
        </w:p>
        <w:p w14:paraId="46C490E8" w14:textId="6404A6C6" w:rsidR="00BA66CC" w:rsidRDefault="00697C78">
          <w:pPr>
            <w:pStyle w:val="TOC3"/>
            <w:tabs>
              <w:tab w:val="left" w:pos="1000"/>
              <w:tab w:val="right" w:leader="dot" w:pos="9940"/>
            </w:tabs>
            <w:rPr>
              <w:rFonts w:eastAsiaTheme="minorEastAsia" w:cstheme="minorBidi"/>
              <w:i w:val="0"/>
              <w:iCs w:val="0"/>
              <w:noProof/>
              <w:szCs w:val="22"/>
            </w:rPr>
          </w:pPr>
          <w:hyperlink w:anchor="_Toc138342089" w:history="1">
            <w:r w:rsidR="00BA66CC" w:rsidRPr="007C4632">
              <w:rPr>
                <w:rStyle w:val="Hyperlink"/>
                <w:rFonts w:ascii="Marianne" w:eastAsiaTheme="majorEastAsia" w:hAnsi="Marianne"/>
                <w:noProof/>
              </w:rPr>
              <w:t>B.2.</w:t>
            </w:r>
            <w:r w:rsidR="00BA66CC">
              <w:rPr>
                <w:rFonts w:eastAsiaTheme="minorEastAsia" w:cstheme="minorBidi"/>
                <w:i w:val="0"/>
                <w:iCs w:val="0"/>
                <w:noProof/>
                <w:szCs w:val="22"/>
              </w:rPr>
              <w:tab/>
            </w:r>
            <w:r w:rsidR="00BA66CC" w:rsidRPr="007C4632">
              <w:rPr>
                <w:rStyle w:val="Hyperlink"/>
                <w:rFonts w:eastAsiaTheme="majorEastAsia"/>
                <w:noProof/>
              </w:rPr>
              <w:t>Le renforcement de la formation des enseignants et des ressources pédagogiques</w:t>
            </w:r>
            <w:r w:rsidR="00BA66CC">
              <w:rPr>
                <w:noProof/>
                <w:webHidden/>
              </w:rPr>
              <w:tab/>
            </w:r>
            <w:r w:rsidR="00BA66CC">
              <w:rPr>
                <w:noProof/>
                <w:webHidden/>
              </w:rPr>
              <w:fldChar w:fldCharType="begin"/>
            </w:r>
            <w:r w:rsidR="00BA66CC">
              <w:rPr>
                <w:noProof/>
                <w:webHidden/>
              </w:rPr>
              <w:instrText xml:space="preserve"> PAGEREF _Toc138342089 \h </w:instrText>
            </w:r>
            <w:r w:rsidR="00BA66CC">
              <w:rPr>
                <w:noProof/>
                <w:webHidden/>
              </w:rPr>
            </w:r>
            <w:r w:rsidR="00BA66CC">
              <w:rPr>
                <w:noProof/>
                <w:webHidden/>
              </w:rPr>
              <w:fldChar w:fldCharType="separate"/>
            </w:r>
            <w:r w:rsidR="00BA66CC">
              <w:rPr>
                <w:noProof/>
                <w:webHidden/>
              </w:rPr>
              <w:t>287</w:t>
            </w:r>
            <w:r w:rsidR="00BA66CC">
              <w:rPr>
                <w:noProof/>
                <w:webHidden/>
              </w:rPr>
              <w:fldChar w:fldCharType="end"/>
            </w:r>
          </w:hyperlink>
        </w:p>
        <w:p w14:paraId="7DF7E187" w14:textId="2BDF34B8" w:rsidR="00BA66CC" w:rsidRDefault="00697C78">
          <w:pPr>
            <w:pStyle w:val="TOC2"/>
            <w:tabs>
              <w:tab w:val="left" w:pos="600"/>
              <w:tab w:val="right" w:leader="dot" w:pos="9940"/>
            </w:tabs>
            <w:rPr>
              <w:rFonts w:eastAsiaTheme="minorEastAsia" w:cstheme="minorBidi"/>
              <w:smallCaps w:val="0"/>
              <w:noProof/>
              <w:szCs w:val="22"/>
            </w:rPr>
          </w:pPr>
          <w:hyperlink w:anchor="_Toc138342090"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Sensibilisation et participation du public</w:t>
            </w:r>
            <w:r w:rsidR="00BA66CC">
              <w:rPr>
                <w:noProof/>
                <w:webHidden/>
              </w:rPr>
              <w:tab/>
            </w:r>
            <w:r w:rsidR="00BA66CC">
              <w:rPr>
                <w:noProof/>
                <w:webHidden/>
              </w:rPr>
              <w:fldChar w:fldCharType="begin"/>
            </w:r>
            <w:r w:rsidR="00BA66CC">
              <w:rPr>
                <w:noProof/>
                <w:webHidden/>
              </w:rPr>
              <w:instrText xml:space="preserve"> PAGEREF _Toc138342090 \h </w:instrText>
            </w:r>
            <w:r w:rsidR="00BA66CC">
              <w:rPr>
                <w:noProof/>
                <w:webHidden/>
              </w:rPr>
            </w:r>
            <w:r w:rsidR="00BA66CC">
              <w:rPr>
                <w:noProof/>
                <w:webHidden/>
              </w:rPr>
              <w:fldChar w:fldCharType="separate"/>
            </w:r>
            <w:r w:rsidR="00BA66CC">
              <w:rPr>
                <w:noProof/>
                <w:webHidden/>
              </w:rPr>
              <w:t>289</w:t>
            </w:r>
            <w:r w:rsidR="00BA66CC">
              <w:rPr>
                <w:noProof/>
                <w:webHidden/>
              </w:rPr>
              <w:fldChar w:fldCharType="end"/>
            </w:r>
          </w:hyperlink>
        </w:p>
        <w:p w14:paraId="299402A9" w14:textId="69A53CA9" w:rsidR="00BA66CC" w:rsidRDefault="00697C78">
          <w:pPr>
            <w:pStyle w:val="TOC3"/>
            <w:tabs>
              <w:tab w:val="left" w:pos="1000"/>
              <w:tab w:val="right" w:leader="dot" w:pos="9940"/>
            </w:tabs>
            <w:rPr>
              <w:rFonts w:eastAsiaTheme="minorEastAsia" w:cstheme="minorBidi"/>
              <w:i w:val="0"/>
              <w:iCs w:val="0"/>
              <w:noProof/>
              <w:szCs w:val="22"/>
            </w:rPr>
          </w:pPr>
          <w:hyperlink w:anchor="_Toc138342091" w:history="1">
            <w:r w:rsidR="00BA66CC" w:rsidRPr="007C4632">
              <w:rPr>
                <w:rStyle w:val="Hyperlink"/>
                <w:rFonts w:ascii="Marianne" w:eastAsiaTheme="majorEastAsia" w:hAnsi="Marianne"/>
                <w:noProof/>
              </w:rPr>
              <w:t>C.1.</w:t>
            </w:r>
            <w:r w:rsidR="00BA66CC">
              <w:rPr>
                <w:rFonts w:eastAsiaTheme="minorEastAsia" w:cstheme="minorBidi"/>
                <w:i w:val="0"/>
                <w:iCs w:val="0"/>
                <w:noProof/>
                <w:szCs w:val="22"/>
              </w:rPr>
              <w:tab/>
            </w:r>
            <w:r w:rsidR="00BA66CC" w:rsidRPr="007C4632">
              <w:rPr>
                <w:rStyle w:val="Hyperlink"/>
                <w:rFonts w:eastAsiaTheme="majorEastAsia"/>
                <w:noProof/>
              </w:rPr>
              <w:t>Participation citoyenne</w:t>
            </w:r>
            <w:r w:rsidR="00BA66CC">
              <w:rPr>
                <w:noProof/>
                <w:webHidden/>
              </w:rPr>
              <w:tab/>
            </w:r>
            <w:r w:rsidR="00BA66CC">
              <w:rPr>
                <w:noProof/>
                <w:webHidden/>
              </w:rPr>
              <w:fldChar w:fldCharType="begin"/>
            </w:r>
            <w:r w:rsidR="00BA66CC">
              <w:rPr>
                <w:noProof/>
                <w:webHidden/>
              </w:rPr>
              <w:instrText xml:space="preserve"> PAGEREF _Toc138342091 \h </w:instrText>
            </w:r>
            <w:r w:rsidR="00BA66CC">
              <w:rPr>
                <w:noProof/>
                <w:webHidden/>
              </w:rPr>
            </w:r>
            <w:r w:rsidR="00BA66CC">
              <w:rPr>
                <w:noProof/>
                <w:webHidden/>
              </w:rPr>
              <w:fldChar w:fldCharType="separate"/>
            </w:r>
            <w:r w:rsidR="00BA66CC">
              <w:rPr>
                <w:noProof/>
                <w:webHidden/>
              </w:rPr>
              <w:t>289</w:t>
            </w:r>
            <w:r w:rsidR="00BA66CC">
              <w:rPr>
                <w:noProof/>
                <w:webHidden/>
              </w:rPr>
              <w:fldChar w:fldCharType="end"/>
            </w:r>
          </w:hyperlink>
        </w:p>
        <w:p w14:paraId="2E36E8BC" w14:textId="479C31DC" w:rsidR="00BA66CC" w:rsidRDefault="00697C78">
          <w:pPr>
            <w:pStyle w:val="TOC3"/>
            <w:tabs>
              <w:tab w:val="left" w:pos="1200"/>
              <w:tab w:val="right" w:leader="dot" w:pos="9940"/>
            </w:tabs>
            <w:rPr>
              <w:rFonts w:eastAsiaTheme="minorEastAsia" w:cstheme="minorBidi"/>
              <w:i w:val="0"/>
              <w:iCs w:val="0"/>
              <w:noProof/>
              <w:szCs w:val="22"/>
            </w:rPr>
          </w:pPr>
          <w:hyperlink w:anchor="_Toc138342092" w:history="1">
            <w:r w:rsidR="00BA66CC" w:rsidRPr="007C4632">
              <w:rPr>
                <w:rStyle w:val="Hyperlink"/>
                <w:rFonts w:ascii="Marianne" w:eastAsiaTheme="majorEastAsia" w:hAnsi="Marianne"/>
                <w:noProof/>
              </w:rPr>
              <w:t>C.2.</w:t>
            </w:r>
            <w:r w:rsidR="00BA66CC">
              <w:rPr>
                <w:rFonts w:eastAsiaTheme="minorEastAsia" w:cstheme="minorBidi"/>
                <w:i w:val="0"/>
                <w:iCs w:val="0"/>
                <w:noProof/>
                <w:szCs w:val="22"/>
              </w:rPr>
              <w:tab/>
            </w:r>
            <w:r w:rsidR="00BA66CC" w:rsidRPr="007C4632">
              <w:rPr>
                <w:rStyle w:val="Hyperlink"/>
                <w:rFonts w:eastAsiaTheme="majorEastAsia"/>
                <w:noProof/>
              </w:rPr>
              <w:t>Les Jeunes délégués : les représentants de la jeunesse dans l'équipe de négociations climatiques et les vecteurs d'avenir de la participation du public en France</w:t>
            </w:r>
            <w:r w:rsidR="00BA66CC">
              <w:rPr>
                <w:noProof/>
                <w:webHidden/>
              </w:rPr>
              <w:tab/>
            </w:r>
            <w:r w:rsidR="00BA66CC">
              <w:rPr>
                <w:noProof/>
                <w:webHidden/>
              </w:rPr>
              <w:fldChar w:fldCharType="begin"/>
            </w:r>
            <w:r w:rsidR="00BA66CC">
              <w:rPr>
                <w:noProof/>
                <w:webHidden/>
              </w:rPr>
              <w:instrText xml:space="preserve"> PAGEREF _Toc138342092 \h </w:instrText>
            </w:r>
            <w:r w:rsidR="00BA66CC">
              <w:rPr>
                <w:noProof/>
                <w:webHidden/>
              </w:rPr>
            </w:r>
            <w:r w:rsidR="00BA66CC">
              <w:rPr>
                <w:noProof/>
                <w:webHidden/>
              </w:rPr>
              <w:fldChar w:fldCharType="separate"/>
            </w:r>
            <w:r w:rsidR="00BA66CC">
              <w:rPr>
                <w:noProof/>
                <w:webHidden/>
              </w:rPr>
              <w:t>290</w:t>
            </w:r>
            <w:r w:rsidR="00BA66CC">
              <w:rPr>
                <w:noProof/>
                <w:webHidden/>
              </w:rPr>
              <w:fldChar w:fldCharType="end"/>
            </w:r>
          </w:hyperlink>
        </w:p>
        <w:p w14:paraId="0B8B37E3" w14:textId="4E2655AB" w:rsidR="00BA66CC" w:rsidRDefault="00697C78">
          <w:pPr>
            <w:pStyle w:val="TOC3"/>
            <w:tabs>
              <w:tab w:val="left" w:pos="1200"/>
              <w:tab w:val="right" w:leader="dot" w:pos="9940"/>
            </w:tabs>
            <w:rPr>
              <w:rFonts w:eastAsiaTheme="minorEastAsia" w:cstheme="minorBidi"/>
              <w:i w:val="0"/>
              <w:iCs w:val="0"/>
              <w:noProof/>
              <w:szCs w:val="22"/>
            </w:rPr>
          </w:pPr>
          <w:hyperlink w:anchor="_Toc138342093" w:history="1">
            <w:r w:rsidR="00BA66CC" w:rsidRPr="007C4632">
              <w:rPr>
                <w:rStyle w:val="Hyperlink"/>
                <w:rFonts w:ascii="Marianne" w:eastAsiaTheme="majorEastAsia" w:hAnsi="Marianne"/>
                <w:noProof/>
              </w:rPr>
              <w:t>C.3.</w:t>
            </w:r>
            <w:r w:rsidR="00BA66CC">
              <w:rPr>
                <w:rFonts w:eastAsiaTheme="minorEastAsia" w:cstheme="minorBidi"/>
                <w:i w:val="0"/>
                <w:iCs w:val="0"/>
                <w:noProof/>
                <w:szCs w:val="22"/>
              </w:rPr>
              <w:tab/>
            </w:r>
            <w:r w:rsidR="00BA66CC" w:rsidRPr="007C4632">
              <w:rPr>
                <w:rStyle w:val="Hyperlink"/>
                <w:rFonts w:eastAsiaTheme="majorEastAsia"/>
                <w:noProof/>
              </w:rPr>
              <w:t>Informer les consommateurs sur l’impact des produits sur le climat et l’environnement</w:t>
            </w:r>
            <w:r w:rsidR="00BA66CC">
              <w:rPr>
                <w:noProof/>
                <w:webHidden/>
              </w:rPr>
              <w:tab/>
            </w:r>
            <w:r w:rsidR="00BA66CC">
              <w:rPr>
                <w:noProof/>
                <w:webHidden/>
              </w:rPr>
              <w:fldChar w:fldCharType="begin"/>
            </w:r>
            <w:r w:rsidR="00BA66CC">
              <w:rPr>
                <w:noProof/>
                <w:webHidden/>
              </w:rPr>
              <w:instrText xml:space="preserve"> PAGEREF _Toc138342093 \h </w:instrText>
            </w:r>
            <w:r w:rsidR="00BA66CC">
              <w:rPr>
                <w:noProof/>
                <w:webHidden/>
              </w:rPr>
            </w:r>
            <w:r w:rsidR="00BA66CC">
              <w:rPr>
                <w:noProof/>
                <w:webHidden/>
              </w:rPr>
              <w:fldChar w:fldCharType="separate"/>
            </w:r>
            <w:r w:rsidR="00BA66CC">
              <w:rPr>
                <w:noProof/>
                <w:webHidden/>
              </w:rPr>
              <w:t>290</w:t>
            </w:r>
            <w:r w:rsidR="00BA66CC">
              <w:rPr>
                <w:noProof/>
                <w:webHidden/>
              </w:rPr>
              <w:fldChar w:fldCharType="end"/>
            </w:r>
          </w:hyperlink>
        </w:p>
        <w:p w14:paraId="76EBACCB" w14:textId="17741ED8" w:rsidR="00BA66CC" w:rsidRDefault="00697C78">
          <w:pPr>
            <w:pStyle w:val="TOC3"/>
            <w:tabs>
              <w:tab w:val="left" w:pos="1200"/>
              <w:tab w:val="right" w:leader="dot" w:pos="9940"/>
            </w:tabs>
            <w:rPr>
              <w:rFonts w:eastAsiaTheme="minorEastAsia" w:cstheme="minorBidi"/>
              <w:i w:val="0"/>
              <w:iCs w:val="0"/>
              <w:noProof/>
              <w:szCs w:val="22"/>
            </w:rPr>
          </w:pPr>
          <w:hyperlink w:anchor="_Toc138342094" w:history="1">
            <w:r w:rsidR="00BA66CC" w:rsidRPr="007C4632">
              <w:rPr>
                <w:rStyle w:val="Hyperlink"/>
                <w:rFonts w:ascii="Marianne" w:eastAsiaTheme="majorEastAsia" w:hAnsi="Marianne"/>
                <w:noProof/>
              </w:rPr>
              <w:t>C.4.</w:t>
            </w:r>
            <w:r w:rsidR="00BA66CC">
              <w:rPr>
                <w:rFonts w:eastAsiaTheme="minorEastAsia" w:cstheme="minorBidi"/>
                <w:i w:val="0"/>
                <w:iCs w:val="0"/>
                <w:noProof/>
                <w:szCs w:val="22"/>
              </w:rPr>
              <w:tab/>
            </w:r>
            <w:r w:rsidR="00BA66CC" w:rsidRPr="007C4632">
              <w:rPr>
                <w:rStyle w:val="Hyperlink"/>
                <w:rFonts w:eastAsiaTheme="majorEastAsia"/>
                <w:noProof/>
              </w:rPr>
              <w:t>Faire des rédactions et des services météo des relais d’information</w:t>
            </w:r>
            <w:r w:rsidR="00BA66CC">
              <w:rPr>
                <w:noProof/>
                <w:webHidden/>
              </w:rPr>
              <w:tab/>
            </w:r>
            <w:r w:rsidR="00BA66CC">
              <w:rPr>
                <w:noProof/>
                <w:webHidden/>
              </w:rPr>
              <w:fldChar w:fldCharType="begin"/>
            </w:r>
            <w:r w:rsidR="00BA66CC">
              <w:rPr>
                <w:noProof/>
                <w:webHidden/>
              </w:rPr>
              <w:instrText xml:space="preserve"> PAGEREF _Toc138342094 \h </w:instrText>
            </w:r>
            <w:r w:rsidR="00BA66CC">
              <w:rPr>
                <w:noProof/>
                <w:webHidden/>
              </w:rPr>
            </w:r>
            <w:r w:rsidR="00BA66CC">
              <w:rPr>
                <w:noProof/>
                <w:webHidden/>
              </w:rPr>
              <w:fldChar w:fldCharType="separate"/>
            </w:r>
            <w:r w:rsidR="00BA66CC">
              <w:rPr>
                <w:noProof/>
                <w:webHidden/>
              </w:rPr>
              <w:t>290</w:t>
            </w:r>
            <w:r w:rsidR="00BA66CC">
              <w:rPr>
                <w:noProof/>
                <w:webHidden/>
              </w:rPr>
              <w:fldChar w:fldCharType="end"/>
            </w:r>
          </w:hyperlink>
        </w:p>
        <w:p w14:paraId="4A50E3D4" w14:textId="3BE346E0" w:rsidR="00BA66CC" w:rsidRDefault="00697C78">
          <w:pPr>
            <w:pStyle w:val="TOC2"/>
            <w:tabs>
              <w:tab w:val="left" w:pos="800"/>
              <w:tab w:val="right" w:leader="dot" w:pos="9940"/>
            </w:tabs>
            <w:rPr>
              <w:rFonts w:eastAsiaTheme="minorEastAsia" w:cstheme="minorBidi"/>
              <w:smallCaps w:val="0"/>
              <w:noProof/>
              <w:szCs w:val="22"/>
            </w:rPr>
          </w:pPr>
          <w:hyperlink w:anchor="_Toc138342095"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Coopération</w:t>
            </w:r>
            <w:r w:rsidR="00BA66CC">
              <w:rPr>
                <w:noProof/>
                <w:webHidden/>
              </w:rPr>
              <w:tab/>
            </w:r>
            <w:r w:rsidR="00BA66CC">
              <w:rPr>
                <w:noProof/>
                <w:webHidden/>
              </w:rPr>
              <w:fldChar w:fldCharType="begin"/>
            </w:r>
            <w:r w:rsidR="00BA66CC">
              <w:rPr>
                <w:noProof/>
                <w:webHidden/>
              </w:rPr>
              <w:instrText xml:space="preserve"> PAGEREF _Toc138342095 \h </w:instrText>
            </w:r>
            <w:r w:rsidR="00BA66CC">
              <w:rPr>
                <w:noProof/>
                <w:webHidden/>
              </w:rPr>
            </w:r>
            <w:r w:rsidR="00BA66CC">
              <w:rPr>
                <w:noProof/>
                <w:webHidden/>
              </w:rPr>
              <w:fldChar w:fldCharType="separate"/>
            </w:r>
            <w:r w:rsidR="00BA66CC">
              <w:rPr>
                <w:noProof/>
                <w:webHidden/>
              </w:rPr>
              <w:t>291</w:t>
            </w:r>
            <w:r w:rsidR="00BA66CC">
              <w:rPr>
                <w:noProof/>
                <w:webHidden/>
              </w:rPr>
              <w:fldChar w:fldCharType="end"/>
            </w:r>
          </w:hyperlink>
        </w:p>
        <w:p w14:paraId="1C410E11" w14:textId="78F96422" w:rsidR="00BA66CC" w:rsidRDefault="00697C78">
          <w:pPr>
            <w:pStyle w:val="TOC3"/>
            <w:tabs>
              <w:tab w:val="left" w:pos="1200"/>
              <w:tab w:val="right" w:leader="dot" w:pos="9940"/>
            </w:tabs>
            <w:rPr>
              <w:rFonts w:eastAsiaTheme="minorEastAsia" w:cstheme="minorBidi"/>
              <w:i w:val="0"/>
              <w:iCs w:val="0"/>
              <w:noProof/>
              <w:szCs w:val="22"/>
            </w:rPr>
          </w:pPr>
          <w:hyperlink w:anchor="_Toc138342096" w:history="1">
            <w:r w:rsidR="00BA66CC" w:rsidRPr="007C4632">
              <w:rPr>
                <w:rStyle w:val="Hyperlink"/>
                <w:rFonts w:ascii="Marianne" w:eastAsiaTheme="majorEastAsia" w:hAnsi="Marianne"/>
                <w:noProof/>
              </w:rPr>
              <w:t>D.1.</w:t>
            </w:r>
            <w:r w:rsidR="00BA66CC">
              <w:rPr>
                <w:rFonts w:eastAsiaTheme="minorEastAsia" w:cstheme="minorBidi"/>
                <w:i w:val="0"/>
                <w:iCs w:val="0"/>
                <w:noProof/>
                <w:szCs w:val="22"/>
              </w:rPr>
              <w:tab/>
            </w:r>
            <w:r w:rsidR="00BA66CC" w:rsidRPr="007C4632">
              <w:rPr>
                <w:rStyle w:val="Hyperlink"/>
                <w:rFonts w:eastAsiaTheme="majorEastAsia"/>
                <w:noProof/>
              </w:rPr>
              <w:t>Coopération internationale</w:t>
            </w:r>
            <w:r w:rsidR="00BA66CC">
              <w:rPr>
                <w:noProof/>
                <w:webHidden/>
              </w:rPr>
              <w:tab/>
            </w:r>
            <w:r w:rsidR="00BA66CC">
              <w:rPr>
                <w:noProof/>
                <w:webHidden/>
              </w:rPr>
              <w:fldChar w:fldCharType="begin"/>
            </w:r>
            <w:r w:rsidR="00BA66CC">
              <w:rPr>
                <w:noProof/>
                <w:webHidden/>
              </w:rPr>
              <w:instrText xml:space="preserve"> PAGEREF _Toc138342096 \h </w:instrText>
            </w:r>
            <w:r w:rsidR="00BA66CC">
              <w:rPr>
                <w:noProof/>
                <w:webHidden/>
              </w:rPr>
            </w:r>
            <w:r w:rsidR="00BA66CC">
              <w:rPr>
                <w:noProof/>
                <w:webHidden/>
              </w:rPr>
              <w:fldChar w:fldCharType="separate"/>
            </w:r>
            <w:r w:rsidR="00BA66CC">
              <w:rPr>
                <w:noProof/>
                <w:webHidden/>
              </w:rPr>
              <w:t>291</w:t>
            </w:r>
            <w:r w:rsidR="00BA66CC">
              <w:rPr>
                <w:noProof/>
                <w:webHidden/>
              </w:rPr>
              <w:fldChar w:fldCharType="end"/>
            </w:r>
          </w:hyperlink>
        </w:p>
        <w:p w14:paraId="06C551AF" w14:textId="3FE557F1" w:rsidR="00BA66CC" w:rsidRDefault="00697C78">
          <w:pPr>
            <w:pStyle w:val="TOC1"/>
            <w:rPr>
              <w:rFonts w:eastAsiaTheme="minorEastAsia" w:cstheme="minorBidi"/>
              <w:b w:val="0"/>
              <w:bCs w:val="0"/>
              <w:caps w:val="0"/>
              <w:noProof/>
              <w:szCs w:val="22"/>
            </w:rPr>
          </w:pPr>
          <w:hyperlink w:anchor="_Toc138342097" w:history="1">
            <w:r w:rsidR="00BA66CC" w:rsidRPr="007C4632">
              <w:rPr>
                <w:rStyle w:val="Hyperlink"/>
                <w:rFonts w:eastAsiaTheme="majorEastAsia"/>
                <w:noProof/>
              </w:rPr>
              <w:t>Annexe I – Contributions à la huitième communication nationale de la France au titre de la CCNUCC</w:t>
            </w:r>
            <w:r w:rsidR="00BA66CC">
              <w:rPr>
                <w:noProof/>
                <w:webHidden/>
              </w:rPr>
              <w:tab/>
            </w:r>
            <w:r w:rsidR="00BA66CC">
              <w:rPr>
                <w:noProof/>
                <w:webHidden/>
              </w:rPr>
              <w:fldChar w:fldCharType="begin"/>
            </w:r>
            <w:r w:rsidR="00BA66CC">
              <w:rPr>
                <w:noProof/>
                <w:webHidden/>
              </w:rPr>
              <w:instrText xml:space="preserve"> PAGEREF _Toc138342097 \h </w:instrText>
            </w:r>
            <w:r w:rsidR="00BA66CC">
              <w:rPr>
                <w:noProof/>
                <w:webHidden/>
              </w:rPr>
            </w:r>
            <w:r w:rsidR="00BA66CC">
              <w:rPr>
                <w:noProof/>
                <w:webHidden/>
              </w:rPr>
              <w:fldChar w:fldCharType="separate"/>
            </w:r>
            <w:r w:rsidR="00BA66CC">
              <w:rPr>
                <w:noProof/>
                <w:webHidden/>
              </w:rPr>
              <w:t>293</w:t>
            </w:r>
            <w:r w:rsidR="00BA66CC">
              <w:rPr>
                <w:noProof/>
                <w:webHidden/>
              </w:rPr>
              <w:fldChar w:fldCharType="end"/>
            </w:r>
          </w:hyperlink>
        </w:p>
        <w:p w14:paraId="5ADB6031" w14:textId="5A5EE0FA" w:rsidR="00BA66CC" w:rsidRDefault="00697C78">
          <w:pPr>
            <w:pStyle w:val="TOC1"/>
            <w:rPr>
              <w:rFonts w:eastAsiaTheme="minorEastAsia" w:cstheme="minorBidi"/>
              <w:b w:val="0"/>
              <w:bCs w:val="0"/>
              <w:caps w:val="0"/>
              <w:noProof/>
              <w:szCs w:val="22"/>
            </w:rPr>
          </w:pPr>
          <w:hyperlink w:anchor="_Toc138342098" w:history="1">
            <w:r w:rsidR="00BA66CC" w:rsidRPr="007C4632">
              <w:rPr>
                <w:rStyle w:val="Hyperlink"/>
                <w:rFonts w:eastAsiaTheme="majorEastAsia"/>
                <w:noProof/>
              </w:rPr>
              <w:t>Annexe II – Inventaires d’émission de gaz à effet de serre, format CRF et format SECTEN</w:t>
            </w:r>
            <w:r w:rsidR="00BA66CC">
              <w:rPr>
                <w:noProof/>
                <w:webHidden/>
              </w:rPr>
              <w:tab/>
            </w:r>
            <w:r w:rsidR="00BA66CC">
              <w:rPr>
                <w:noProof/>
                <w:webHidden/>
              </w:rPr>
              <w:fldChar w:fldCharType="begin"/>
            </w:r>
            <w:r w:rsidR="00BA66CC">
              <w:rPr>
                <w:noProof/>
                <w:webHidden/>
              </w:rPr>
              <w:instrText xml:space="preserve"> PAGEREF _Toc138342098 \h </w:instrText>
            </w:r>
            <w:r w:rsidR="00BA66CC">
              <w:rPr>
                <w:noProof/>
                <w:webHidden/>
              </w:rPr>
            </w:r>
            <w:r w:rsidR="00BA66CC">
              <w:rPr>
                <w:noProof/>
                <w:webHidden/>
              </w:rPr>
              <w:fldChar w:fldCharType="separate"/>
            </w:r>
            <w:r w:rsidR="00BA66CC">
              <w:rPr>
                <w:noProof/>
                <w:webHidden/>
              </w:rPr>
              <w:t>295</w:t>
            </w:r>
            <w:r w:rsidR="00BA66CC">
              <w:rPr>
                <w:noProof/>
                <w:webHidden/>
              </w:rPr>
              <w:fldChar w:fldCharType="end"/>
            </w:r>
          </w:hyperlink>
        </w:p>
        <w:p w14:paraId="2D062BCB" w14:textId="5AC23329" w:rsidR="00BA66CC" w:rsidRDefault="00697C78">
          <w:pPr>
            <w:pStyle w:val="TOC2"/>
            <w:tabs>
              <w:tab w:val="left" w:pos="800"/>
              <w:tab w:val="right" w:leader="dot" w:pos="9940"/>
            </w:tabs>
            <w:rPr>
              <w:rFonts w:eastAsiaTheme="minorEastAsia" w:cstheme="minorBidi"/>
              <w:smallCaps w:val="0"/>
              <w:noProof/>
              <w:szCs w:val="22"/>
            </w:rPr>
          </w:pPr>
          <w:hyperlink w:anchor="_Toc138342099" w:history="1">
            <w:r w:rsidR="00BA66CC" w:rsidRPr="007C4632">
              <w:rPr>
                <w:rStyle w:val="Hyperlink"/>
                <w:rFonts w:eastAsiaTheme="majorEastAsia"/>
                <w:noProof/>
              </w:rPr>
              <w:t>A.</w:t>
            </w:r>
            <w:r w:rsidR="00BA66CC">
              <w:rPr>
                <w:rFonts w:eastAsiaTheme="minorEastAsia" w:cstheme="minorBidi"/>
                <w:smallCaps w:val="0"/>
                <w:noProof/>
                <w:szCs w:val="22"/>
              </w:rPr>
              <w:tab/>
            </w:r>
            <w:r w:rsidR="00BA66CC" w:rsidRPr="007C4632">
              <w:rPr>
                <w:rStyle w:val="Hyperlink"/>
                <w:rFonts w:eastAsiaTheme="majorEastAsia"/>
                <w:noProof/>
              </w:rPr>
              <w:t>Tendance pour le CO</w:t>
            </w:r>
            <w:r w:rsidR="00BA66CC" w:rsidRPr="007C4632">
              <w:rPr>
                <w:rStyle w:val="Hyperlink"/>
                <w:rFonts w:eastAsiaTheme="majorEastAsia"/>
                <w:noProof/>
                <w:vertAlign w:val="subscript"/>
              </w:rPr>
              <w:t>2</w:t>
            </w:r>
            <w:r w:rsidR="00BA66CC" w:rsidRPr="007C4632">
              <w:rPr>
                <w:rStyle w:val="Hyperlink"/>
                <w:rFonts w:eastAsiaTheme="majorEastAsia"/>
                <w:noProof/>
              </w:rPr>
              <w:t xml:space="preserve"> (périmètre «</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Kyoto</w:t>
            </w:r>
            <w:r w:rsidR="00BA66CC" w:rsidRPr="007C4632">
              <w:rPr>
                <w:rStyle w:val="Hyperlink"/>
                <w:rFonts w:ascii="Calibri" w:eastAsiaTheme="majorEastAsia" w:hAnsi="Calibri" w:cs="Calibri"/>
                <w:noProof/>
              </w:rPr>
              <w:t> </w:t>
            </w:r>
            <w:r w:rsidR="00BA66CC" w:rsidRPr="007C4632">
              <w:rPr>
                <w:rStyle w:val="Hyperlink"/>
                <w:rFonts w:ascii="Marianne" w:eastAsiaTheme="majorEastAsia" w:hAnsi="Marianne" w:cs="Marianne"/>
                <w:noProof/>
              </w:rPr>
              <w:t>»</w:t>
            </w:r>
            <w:r w:rsidR="00BA66CC" w:rsidRPr="007C4632">
              <w:rPr>
                <w:rStyle w:val="Hyperlink"/>
                <w:rFonts w:eastAsiaTheme="majorEastAsia"/>
                <w:noProof/>
              </w:rPr>
              <w:t xml:space="preserve"> - ktCO</w:t>
            </w:r>
            <w:r w:rsidR="00BA66CC" w:rsidRPr="007C4632">
              <w:rPr>
                <w:rStyle w:val="Hyperlink"/>
                <w:rFonts w:eastAsiaTheme="majorEastAsia"/>
                <w:noProof/>
                <w:vertAlign w:val="subscript"/>
              </w:rPr>
              <w:t>2</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_Toc138342099 \h </w:instrText>
            </w:r>
            <w:r w:rsidR="00BA66CC">
              <w:rPr>
                <w:noProof/>
                <w:webHidden/>
              </w:rPr>
            </w:r>
            <w:r w:rsidR="00BA66CC">
              <w:rPr>
                <w:noProof/>
                <w:webHidden/>
              </w:rPr>
              <w:fldChar w:fldCharType="separate"/>
            </w:r>
            <w:r w:rsidR="00BA66CC">
              <w:rPr>
                <w:noProof/>
                <w:webHidden/>
              </w:rPr>
              <w:t>295</w:t>
            </w:r>
            <w:r w:rsidR="00BA66CC">
              <w:rPr>
                <w:noProof/>
                <w:webHidden/>
              </w:rPr>
              <w:fldChar w:fldCharType="end"/>
            </w:r>
          </w:hyperlink>
        </w:p>
        <w:p w14:paraId="60CAC51D" w14:textId="76746AC5" w:rsidR="00BA66CC" w:rsidRDefault="00697C78">
          <w:pPr>
            <w:pStyle w:val="TOC2"/>
            <w:tabs>
              <w:tab w:val="left" w:pos="600"/>
              <w:tab w:val="right" w:leader="dot" w:pos="9940"/>
            </w:tabs>
            <w:rPr>
              <w:rFonts w:eastAsiaTheme="minorEastAsia" w:cstheme="minorBidi"/>
              <w:smallCaps w:val="0"/>
              <w:noProof/>
              <w:szCs w:val="22"/>
            </w:rPr>
          </w:pPr>
          <w:hyperlink w:anchor="_Toc138344563" w:history="1">
            <w:r w:rsidR="00BA66CC" w:rsidRPr="007C4632">
              <w:rPr>
                <w:rStyle w:val="Hyperlink"/>
                <w:rFonts w:eastAsiaTheme="majorEastAsia"/>
                <w:noProof/>
              </w:rPr>
              <w:t>B.</w:t>
            </w:r>
            <w:r w:rsidR="00BA66CC">
              <w:rPr>
                <w:rFonts w:eastAsiaTheme="minorEastAsia" w:cstheme="minorBidi"/>
                <w:smallCaps w:val="0"/>
                <w:noProof/>
                <w:szCs w:val="22"/>
              </w:rPr>
              <w:tab/>
            </w:r>
            <w:r w:rsidR="00BA66CC" w:rsidRPr="007C4632">
              <w:rPr>
                <w:rStyle w:val="Hyperlink"/>
                <w:rFonts w:eastAsiaTheme="majorEastAsia"/>
                <w:noProof/>
              </w:rPr>
              <w:t>Tendance pour le CH</w:t>
            </w:r>
            <w:r w:rsidR="00BA66CC" w:rsidRPr="007C4632">
              <w:rPr>
                <w:rStyle w:val="Hyperlink"/>
                <w:rFonts w:eastAsiaTheme="majorEastAsia"/>
                <w:noProof/>
                <w:vertAlign w:val="subscript"/>
              </w:rPr>
              <w:t>4</w:t>
            </w:r>
            <w:r w:rsidR="00BA66CC" w:rsidRPr="007C4632">
              <w:rPr>
                <w:rStyle w:val="Hyperlink"/>
                <w:rFonts w:eastAsiaTheme="majorEastAsia"/>
                <w:noProof/>
              </w:rPr>
              <w:t xml:space="preserve"> (périmètre «</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Kyoto</w:t>
            </w:r>
            <w:r w:rsidR="00BA66CC" w:rsidRPr="007C4632">
              <w:rPr>
                <w:rStyle w:val="Hyperlink"/>
                <w:rFonts w:ascii="Calibri" w:eastAsiaTheme="majorEastAsia" w:hAnsi="Calibri" w:cs="Calibri"/>
                <w:noProof/>
              </w:rPr>
              <w:t> </w:t>
            </w:r>
            <w:r w:rsidR="00BA66CC" w:rsidRPr="007C4632">
              <w:rPr>
                <w:rStyle w:val="Hyperlink"/>
                <w:rFonts w:ascii="Marianne" w:eastAsiaTheme="majorEastAsia" w:hAnsi="Marianne" w:cs="Marianne"/>
                <w:noProof/>
              </w:rPr>
              <w:t>»</w:t>
            </w:r>
            <w:r w:rsidR="00BA66CC" w:rsidRPr="007C4632">
              <w:rPr>
                <w:rStyle w:val="Hyperlink"/>
                <w:rFonts w:eastAsiaTheme="majorEastAsia"/>
                <w:noProof/>
              </w:rPr>
              <w:t xml:space="preserve"> - kt)</w:t>
            </w:r>
            <w:r w:rsidR="00BA66CC">
              <w:rPr>
                <w:noProof/>
                <w:webHidden/>
              </w:rPr>
              <w:tab/>
            </w:r>
            <w:r w:rsidR="00BA66CC">
              <w:rPr>
                <w:noProof/>
                <w:webHidden/>
              </w:rPr>
              <w:fldChar w:fldCharType="begin"/>
            </w:r>
            <w:r w:rsidR="00BA66CC">
              <w:rPr>
                <w:noProof/>
                <w:webHidden/>
              </w:rPr>
              <w:instrText xml:space="preserve"> PAGEREF _Toc138344563 \h </w:instrText>
            </w:r>
            <w:r w:rsidR="00BA66CC">
              <w:rPr>
                <w:noProof/>
                <w:webHidden/>
              </w:rPr>
            </w:r>
            <w:r w:rsidR="00BA66CC">
              <w:rPr>
                <w:noProof/>
                <w:webHidden/>
              </w:rPr>
              <w:fldChar w:fldCharType="separate"/>
            </w:r>
            <w:r w:rsidR="00BA66CC">
              <w:rPr>
                <w:noProof/>
                <w:webHidden/>
              </w:rPr>
              <w:t>304</w:t>
            </w:r>
            <w:r w:rsidR="00BA66CC">
              <w:rPr>
                <w:noProof/>
                <w:webHidden/>
              </w:rPr>
              <w:fldChar w:fldCharType="end"/>
            </w:r>
          </w:hyperlink>
        </w:p>
        <w:p w14:paraId="5DF8D67B" w14:textId="37B06252" w:rsidR="00BA66CC" w:rsidRDefault="00697C78">
          <w:pPr>
            <w:pStyle w:val="TOC2"/>
            <w:tabs>
              <w:tab w:val="left" w:pos="600"/>
              <w:tab w:val="right" w:leader="dot" w:pos="9940"/>
            </w:tabs>
            <w:rPr>
              <w:rFonts w:eastAsiaTheme="minorEastAsia" w:cstheme="minorBidi"/>
              <w:smallCaps w:val="0"/>
              <w:noProof/>
              <w:szCs w:val="22"/>
            </w:rPr>
          </w:pPr>
          <w:hyperlink w:anchor="_Toc138344564" w:history="1">
            <w:r w:rsidR="00BA66CC" w:rsidRPr="007C4632">
              <w:rPr>
                <w:rStyle w:val="Hyperlink"/>
                <w:rFonts w:eastAsiaTheme="majorEastAsia"/>
                <w:noProof/>
              </w:rPr>
              <w:t>C.</w:t>
            </w:r>
            <w:r w:rsidR="00BA66CC">
              <w:rPr>
                <w:rFonts w:eastAsiaTheme="minorEastAsia" w:cstheme="minorBidi"/>
                <w:smallCaps w:val="0"/>
                <w:noProof/>
                <w:szCs w:val="22"/>
              </w:rPr>
              <w:tab/>
            </w:r>
            <w:r w:rsidR="00BA66CC" w:rsidRPr="007C4632">
              <w:rPr>
                <w:rStyle w:val="Hyperlink"/>
                <w:rFonts w:eastAsiaTheme="majorEastAsia"/>
                <w:noProof/>
              </w:rPr>
              <w:t>Tendance pour le N</w:t>
            </w:r>
            <w:r w:rsidR="00BA66CC" w:rsidRPr="007C4632">
              <w:rPr>
                <w:rStyle w:val="Hyperlink"/>
                <w:rFonts w:eastAsiaTheme="majorEastAsia"/>
                <w:noProof/>
                <w:vertAlign w:val="subscript"/>
              </w:rPr>
              <w:t>2</w:t>
            </w:r>
            <w:r w:rsidR="00BA66CC" w:rsidRPr="007C4632">
              <w:rPr>
                <w:rStyle w:val="Hyperlink"/>
                <w:rFonts w:eastAsiaTheme="majorEastAsia"/>
                <w:noProof/>
              </w:rPr>
              <w:t>O (périmètre «</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Kyoto</w:t>
            </w:r>
            <w:r w:rsidR="00BA66CC" w:rsidRPr="007C4632">
              <w:rPr>
                <w:rStyle w:val="Hyperlink"/>
                <w:rFonts w:ascii="Calibri" w:eastAsiaTheme="majorEastAsia" w:hAnsi="Calibri" w:cs="Calibri"/>
                <w:noProof/>
              </w:rPr>
              <w:t> </w:t>
            </w:r>
            <w:r w:rsidR="00BA66CC" w:rsidRPr="007C4632">
              <w:rPr>
                <w:rStyle w:val="Hyperlink"/>
                <w:rFonts w:ascii="Marianne" w:eastAsiaTheme="majorEastAsia" w:hAnsi="Marianne" w:cs="Marianne"/>
                <w:noProof/>
              </w:rPr>
              <w:t>»</w:t>
            </w:r>
            <w:r w:rsidR="00BA66CC" w:rsidRPr="007C4632">
              <w:rPr>
                <w:rStyle w:val="Hyperlink"/>
                <w:rFonts w:eastAsiaTheme="majorEastAsia"/>
                <w:noProof/>
              </w:rPr>
              <w:t xml:space="preserve"> - kt)</w:t>
            </w:r>
            <w:r w:rsidR="00BA66CC">
              <w:rPr>
                <w:noProof/>
                <w:webHidden/>
              </w:rPr>
              <w:tab/>
            </w:r>
            <w:r w:rsidR="00BA66CC">
              <w:rPr>
                <w:noProof/>
                <w:webHidden/>
              </w:rPr>
              <w:fldChar w:fldCharType="begin"/>
            </w:r>
            <w:r w:rsidR="00BA66CC">
              <w:rPr>
                <w:noProof/>
                <w:webHidden/>
              </w:rPr>
              <w:instrText xml:space="preserve"> PAGEREF _Toc138344564 \h </w:instrText>
            </w:r>
            <w:r w:rsidR="00BA66CC">
              <w:rPr>
                <w:noProof/>
                <w:webHidden/>
              </w:rPr>
            </w:r>
            <w:r w:rsidR="00BA66CC">
              <w:rPr>
                <w:noProof/>
                <w:webHidden/>
              </w:rPr>
              <w:fldChar w:fldCharType="separate"/>
            </w:r>
            <w:r w:rsidR="00BA66CC">
              <w:rPr>
                <w:noProof/>
                <w:webHidden/>
              </w:rPr>
              <w:t>313</w:t>
            </w:r>
            <w:r w:rsidR="00BA66CC">
              <w:rPr>
                <w:noProof/>
                <w:webHidden/>
              </w:rPr>
              <w:fldChar w:fldCharType="end"/>
            </w:r>
          </w:hyperlink>
        </w:p>
        <w:p w14:paraId="2E490A92" w14:textId="2DC68F69" w:rsidR="00BA66CC" w:rsidRDefault="00697C78">
          <w:pPr>
            <w:pStyle w:val="TOC2"/>
            <w:tabs>
              <w:tab w:val="left" w:pos="800"/>
              <w:tab w:val="right" w:leader="dot" w:pos="9940"/>
            </w:tabs>
            <w:rPr>
              <w:rFonts w:eastAsiaTheme="minorEastAsia" w:cstheme="minorBidi"/>
              <w:smallCaps w:val="0"/>
              <w:noProof/>
              <w:szCs w:val="22"/>
            </w:rPr>
          </w:pPr>
          <w:hyperlink w:anchor="_Toc138344565" w:history="1">
            <w:r w:rsidR="00BA66CC" w:rsidRPr="007C4632">
              <w:rPr>
                <w:rStyle w:val="Hyperlink"/>
                <w:rFonts w:eastAsiaTheme="majorEastAsia"/>
                <w:noProof/>
              </w:rPr>
              <w:t>D.</w:t>
            </w:r>
            <w:r w:rsidR="00BA66CC">
              <w:rPr>
                <w:rFonts w:eastAsiaTheme="minorEastAsia" w:cstheme="minorBidi"/>
                <w:smallCaps w:val="0"/>
                <w:noProof/>
                <w:szCs w:val="22"/>
              </w:rPr>
              <w:tab/>
            </w:r>
            <w:r w:rsidR="00BA66CC" w:rsidRPr="007C4632">
              <w:rPr>
                <w:rStyle w:val="Hyperlink"/>
                <w:rFonts w:eastAsiaTheme="majorEastAsia"/>
                <w:noProof/>
              </w:rPr>
              <w:t>Tendance pour les gaz fluorés (périmètre «</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Kyoto</w:t>
            </w:r>
            <w:r w:rsidR="00BA66CC" w:rsidRPr="007C4632">
              <w:rPr>
                <w:rStyle w:val="Hyperlink"/>
                <w:rFonts w:ascii="Calibri" w:eastAsiaTheme="majorEastAsia" w:hAnsi="Calibri" w:cs="Calibri"/>
                <w:noProof/>
              </w:rPr>
              <w:t> </w:t>
            </w:r>
            <w:r w:rsidR="00BA66CC" w:rsidRPr="007C4632">
              <w:rPr>
                <w:rStyle w:val="Hyperlink"/>
                <w:rFonts w:ascii="Marianne" w:eastAsiaTheme="majorEastAsia" w:hAnsi="Marianne" w:cs="Marianne"/>
                <w:noProof/>
              </w:rPr>
              <w:t>»</w:t>
            </w:r>
            <w:r w:rsidR="00BA66CC" w:rsidRPr="007C4632">
              <w:rPr>
                <w:rStyle w:val="Hyperlink"/>
                <w:rFonts w:eastAsiaTheme="majorEastAsia"/>
                <w:noProof/>
              </w:rPr>
              <w:t xml:space="preserve"> - ktCO</w:t>
            </w:r>
            <w:r w:rsidR="00BA66CC" w:rsidRPr="007C4632">
              <w:rPr>
                <w:rStyle w:val="Hyperlink"/>
                <w:rFonts w:eastAsiaTheme="majorEastAsia"/>
                <w:noProof/>
                <w:vertAlign w:val="subscript"/>
              </w:rPr>
              <w:t>2e</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_Toc138344565 \h </w:instrText>
            </w:r>
            <w:r w:rsidR="00BA66CC">
              <w:rPr>
                <w:noProof/>
                <w:webHidden/>
              </w:rPr>
            </w:r>
            <w:r w:rsidR="00BA66CC">
              <w:rPr>
                <w:noProof/>
                <w:webHidden/>
              </w:rPr>
              <w:fldChar w:fldCharType="separate"/>
            </w:r>
            <w:r w:rsidR="00BA66CC">
              <w:rPr>
                <w:noProof/>
                <w:webHidden/>
              </w:rPr>
              <w:t>321</w:t>
            </w:r>
            <w:r w:rsidR="00BA66CC">
              <w:rPr>
                <w:noProof/>
                <w:webHidden/>
              </w:rPr>
              <w:fldChar w:fldCharType="end"/>
            </w:r>
          </w:hyperlink>
        </w:p>
        <w:p w14:paraId="43274D5E" w14:textId="5C4D857F" w:rsidR="00BA66CC" w:rsidRDefault="00697C78">
          <w:pPr>
            <w:pStyle w:val="TOC2"/>
            <w:tabs>
              <w:tab w:val="left" w:pos="600"/>
              <w:tab w:val="right" w:leader="dot" w:pos="9940"/>
            </w:tabs>
            <w:rPr>
              <w:rFonts w:eastAsiaTheme="minorEastAsia" w:cstheme="minorBidi"/>
              <w:smallCaps w:val="0"/>
              <w:noProof/>
              <w:szCs w:val="22"/>
            </w:rPr>
          </w:pPr>
          <w:hyperlink w:anchor="_Toc138344566" w:history="1">
            <w:r w:rsidR="00BA66CC" w:rsidRPr="007C4632">
              <w:rPr>
                <w:rStyle w:val="Hyperlink"/>
                <w:rFonts w:eastAsiaTheme="majorEastAsia"/>
                <w:noProof/>
              </w:rPr>
              <w:t>E.</w:t>
            </w:r>
            <w:r w:rsidR="00BA66CC">
              <w:rPr>
                <w:rFonts w:eastAsiaTheme="minorEastAsia" w:cstheme="minorBidi"/>
                <w:smallCaps w:val="0"/>
                <w:noProof/>
                <w:szCs w:val="22"/>
              </w:rPr>
              <w:tab/>
            </w:r>
            <w:r w:rsidR="00BA66CC" w:rsidRPr="007C4632">
              <w:rPr>
                <w:rStyle w:val="Hyperlink"/>
                <w:rFonts w:eastAsiaTheme="majorEastAsia"/>
                <w:noProof/>
              </w:rPr>
              <w:t>Résumé (périmètre «</w:t>
            </w:r>
            <w:r w:rsidR="00BA66CC" w:rsidRPr="007C4632">
              <w:rPr>
                <w:rStyle w:val="Hyperlink"/>
                <w:rFonts w:ascii="Calibri" w:eastAsiaTheme="majorEastAsia" w:hAnsi="Calibri" w:cs="Calibri"/>
                <w:noProof/>
              </w:rPr>
              <w:t> </w:t>
            </w:r>
            <w:r w:rsidR="00BA66CC" w:rsidRPr="007C4632">
              <w:rPr>
                <w:rStyle w:val="Hyperlink"/>
                <w:rFonts w:eastAsiaTheme="majorEastAsia"/>
                <w:noProof/>
              </w:rPr>
              <w:t>Kyoto</w:t>
            </w:r>
            <w:r w:rsidR="00BA66CC" w:rsidRPr="007C4632">
              <w:rPr>
                <w:rStyle w:val="Hyperlink"/>
                <w:rFonts w:ascii="Calibri" w:eastAsiaTheme="majorEastAsia" w:hAnsi="Calibri" w:cs="Calibri"/>
                <w:noProof/>
              </w:rPr>
              <w:t> </w:t>
            </w:r>
            <w:r w:rsidR="00BA66CC" w:rsidRPr="007C4632">
              <w:rPr>
                <w:rStyle w:val="Hyperlink"/>
                <w:rFonts w:ascii="Marianne" w:eastAsiaTheme="majorEastAsia" w:hAnsi="Marianne" w:cs="Marianne"/>
                <w:noProof/>
              </w:rPr>
              <w:t>»</w:t>
            </w:r>
            <w:r w:rsidR="00BA66CC" w:rsidRPr="007C4632">
              <w:rPr>
                <w:rStyle w:val="Hyperlink"/>
                <w:rFonts w:eastAsiaTheme="majorEastAsia"/>
                <w:noProof/>
              </w:rPr>
              <w:t xml:space="preserve"> - ktCO</w:t>
            </w:r>
            <w:r w:rsidR="00BA66CC" w:rsidRPr="007C4632">
              <w:rPr>
                <w:rStyle w:val="Hyperlink"/>
                <w:rFonts w:eastAsiaTheme="majorEastAsia"/>
                <w:noProof/>
                <w:vertAlign w:val="subscript"/>
              </w:rPr>
              <w:t>2e</w:t>
            </w:r>
            <w:r w:rsidR="00BA66CC" w:rsidRPr="007C4632">
              <w:rPr>
                <w:rStyle w:val="Hyperlink"/>
                <w:rFonts w:eastAsiaTheme="majorEastAsia"/>
                <w:noProof/>
              </w:rPr>
              <w:t>)</w:t>
            </w:r>
            <w:r w:rsidR="00BA66CC">
              <w:rPr>
                <w:noProof/>
                <w:webHidden/>
              </w:rPr>
              <w:tab/>
            </w:r>
            <w:r w:rsidR="00BA66CC">
              <w:rPr>
                <w:noProof/>
                <w:webHidden/>
              </w:rPr>
              <w:fldChar w:fldCharType="begin"/>
            </w:r>
            <w:r w:rsidR="00BA66CC">
              <w:rPr>
                <w:noProof/>
                <w:webHidden/>
              </w:rPr>
              <w:instrText xml:space="preserve"> PAGEREF _Toc138344566 \h </w:instrText>
            </w:r>
            <w:r w:rsidR="00BA66CC">
              <w:rPr>
                <w:noProof/>
                <w:webHidden/>
              </w:rPr>
            </w:r>
            <w:r w:rsidR="00BA66CC">
              <w:rPr>
                <w:noProof/>
                <w:webHidden/>
              </w:rPr>
              <w:fldChar w:fldCharType="separate"/>
            </w:r>
            <w:r w:rsidR="00BA66CC">
              <w:rPr>
                <w:noProof/>
                <w:webHidden/>
              </w:rPr>
              <w:t>328</w:t>
            </w:r>
            <w:r w:rsidR="00BA66CC">
              <w:rPr>
                <w:noProof/>
                <w:webHidden/>
              </w:rPr>
              <w:fldChar w:fldCharType="end"/>
            </w:r>
          </w:hyperlink>
        </w:p>
        <w:p w14:paraId="55CFF02E" w14:textId="67D73B25" w:rsidR="00BA66CC" w:rsidRDefault="00697C78">
          <w:pPr>
            <w:pStyle w:val="TOC2"/>
            <w:tabs>
              <w:tab w:val="left" w:pos="600"/>
              <w:tab w:val="right" w:leader="dot" w:pos="9940"/>
            </w:tabs>
            <w:rPr>
              <w:rFonts w:eastAsiaTheme="minorEastAsia" w:cstheme="minorBidi"/>
              <w:smallCaps w:val="0"/>
              <w:noProof/>
              <w:szCs w:val="22"/>
            </w:rPr>
          </w:pPr>
          <w:hyperlink w:anchor="_Toc138344567" w:history="1">
            <w:r w:rsidR="00BA66CC" w:rsidRPr="007C4632">
              <w:rPr>
                <w:rStyle w:val="Hyperlink"/>
                <w:rFonts w:eastAsiaTheme="majorEastAsia"/>
                <w:noProof/>
              </w:rPr>
              <w:t>F.</w:t>
            </w:r>
            <w:r w:rsidR="00BA66CC">
              <w:rPr>
                <w:rFonts w:eastAsiaTheme="minorEastAsia" w:cstheme="minorBidi"/>
                <w:smallCaps w:val="0"/>
                <w:noProof/>
                <w:szCs w:val="22"/>
              </w:rPr>
              <w:tab/>
            </w:r>
            <w:r w:rsidR="00BA66CC" w:rsidRPr="007C4632">
              <w:rPr>
                <w:rStyle w:val="Hyperlink"/>
                <w:rFonts w:eastAsiaTheme="majorEastAsia"/>
                <w:noProof/>
              </w:rPr>
              <w:t>Format SECTEN</w:t>
            </w:r>
            <w:r w:rsidR="00BA66CC">
              <w:rPr>
                <w:noProof/>
                <w:webHidden/>
              </w:rPr>
              <w:tab/>
            </w:r>
            <w:r w:rsidR="00BA66CC">
              <w:rPr>
                <w:noProof/>
                <w:webHidden/>
              </w:rPr>
              <w:fldChar w:fldCharType="begin"/>
            </w:r>
            <w:r w:rsidR="00BA66CC">
              <w:rPr>
                <w:noProof/>
                <w:webHidden/>
              </w:rPr>
              <w:instrText xml:space="preserve"> PAGEREF _Toc138344567 \h </w:instrText>
            </w:r>
            <w:r w:rsidR="00BA66CC">
              <w:rPr>
                <w:noProof/>
                <w:webHidden/>
              </w:rPr>
            </w:r>
            <w:r w:rsidR="00BA66CC">
              <w:rPr>
                <w:noProof/>
                <w:webHidden/>
              </w:rPr>
              <w:fldChar w:fldCharType="separate"/>
            </w:r>
            <w:r w:rsidR="00BA66CC">
              <w:rPr>
                <w:noProof/>
                <w:webHidden/>
              </w:rPr>
              <w:t>331</w:t>
            </w:r>
            <w:r w:rsidR="00BA66CC">
              <w:rPr>
                <w:noProof/>
                <w:webHidden/>
              </w:rPr>
              <w:fldChar w:fldCharType="end"/>
            </w:r>
          </w:hyperlink>
        </w:p>
        <w:p w14:paraId="253DF72B" w14:textId="1794593A" w:rsidR="00BA66CC" w:rsidRDefault="00697C78">
          <w:pPr>
            <w:pStyle w:val="TOC1"/>
            <w:rPr>
              <w:rFonts w:eastAsiaTheme="minorEastAsia" w:cstheme="minorBidi"/>
              <w:b w:val="0"/>
              <w:bCs w:val="0"/>
              <w:caps w:val="0"/>
              <w:noProof/>
              <w:szCs w:val="22"/>
            </w:rPr>
          </w:pPr>
          <w:hyperlink w:anchor="_Toc138344568" w:history="1">
            <w:r w:rsidR="00BA66CC" w:rsidRPr="007C4632">
              <w:rPr>
                <w:rStyle w:val="Hyperlink"/>
                <w:rFonts w:eastAsiaTheme="majorEastAsia"/>
                <w:noProof/>
              </w:rPr>
              <w:t>Annexe III - Evaluations des sources clés et analyse associée hors UTCATF</w:t>
            </w:r>
            <w:r w:rsidR="00BA66CC">
              <w:rPr>
                <w:noProof/>
                <w:webHidden/>
              </w:rPr>
              <w:tab/>
            </w:r>
            <w:r w:rsidR="00BA66CC">
              <w:rPr>
                <w:noProof/>
                <w:webHidden/>
              </w:rPr>
              <w:fldChar w:fldCharType="begin"/>
            </w:r>
            <w:r w:rsidR="00BA66CC">
              <w:rPr>
                <w:noProof/>
                <w:webHidden/>
              </w:rPr>
              <w:instrText xml:space="preserve"> PAGEREF _Toc138344568 \h </w:instrText>
            </w:r>
            <w:r w:rsidR="00BA66CC">
              <w:rPr>
                <w:noProof/>
                <w:webHidden/>
              </w:rPr>
            </w:r>
            <w:r w:rsidR="00BA66CC">
              <w:rPr>
                <w:noProof/>
                <w:webHidden/>
              </w:rPr>
              <w:fldChar w:fldCharType="separate"/>
            </w:r>
            <w:r w:rsidR="00BA66CC">
              <w:rPr>
                <w:noProof/>
                <w:webHidden/>
              </w:rPr>
              <w:t>336</w:t>
            </w:r>
            <w:r w:rsidR="00BA66CC">
              <w:rPr>
                <w:noProof/>
                <w:webHidden/>
              </w:rPr>
              <w:fldChar w:fldCharType="end"/>
            </w:r>
          </w:hyperlink>
        </w:p>
        <w:p w14:paraId="553FFA05" w14:textId="2486FE68" w:rsidR="00BA66CC" w:rsidRDefault="00697C78">
          <w:pPr>
            <w:pStyle w:val="TOC2"/>
            <w:tabs>
              <w:tab w:val="right" w:leader="dot" w:pos="9940"/>
            </w:tabs>
            <w:rPr>
              <w:rFonts w:eastAsiaTheme="minorEastAsia" w:cstheme="minorBidi"/>
              <w:smallCaps w:val="0"/>
              <w:noProof/>
              <w:szCs w:val="22"/>
            </w:rPr>
          </w:pPr>
          <w:hyperlink w:anchor="_Toc138344569" w:history="1">
            <w:r w:rsidR="00BA66CC" w:rsidRPr="007C4632">
              <w:rPr>
                <w:rStyle w:val="Hyperlink"/>
                <w:rFonts w:eastAsiaTheme="majorEastAsia"/>
                <w:noProof/>
              </w:rPr>
              <w:t>Eléments supplémentaires requis dans le cadre de l’article 7.2 du Protocole de Kyoto</w:t>
            </w:r>
            <w:r w:rsidR="00BA66CC">
              <w:rPr>
                <w:noProof/>
                <w:webHidden/>
              </w:rPr>
              <w:tab/>
            </w:r>
            <w:r w:rsidR="00BA66CC">
              <w:rPr>
                <w:noProof/>
                <w:webHidden/>
              </w:rPr>
              <w:fldChar w:fldCharType="begin"/>
            </w:r>
            <w:r w:rsidR="00BA66CC">
              <w:rPr>
                <w:noProof/>
                <w:webHidden/>
              </w:rPr>
              <w:instrText xml:space="preserve"> PAGEREF _Toc138344569 \h </w:instrText>
            </w:r>
            <w:r w:rsidR="00BA66CC">
              <w:rPr>
                <w:noProof/>
                <w:webHidden/>
              </w:rPr>
            </w:r>
            <w:r w:rsidR="00BA66CC">
              <w:rPr>
                <w:noProof/>
                <w:webHidden/>
              </w:rPr>
              <w:fldChar w:fldCharType="separate"/>
            </w:r>
            <w:r w:rsidR="00BA66CC">
              <w:rPr>
                <w:noProof/>
                <w:webHidden/>
              </w:rPr>
              <w:t>336</w:t>
            </w:r>
            <w:r w:rsidR="00BA66CC">
              <w:rPr>
                <w:noProof/>
                <w:webHidden/>
              </w:rPr>
              <w:fldChar w:fldCharType="end"/>
            </w:r>
          </w:hyperlink>
        </w:p>
        <w:p w14:paraId="12678403" w14:textId="3C9A2229" w:rsidR="00BA66CC" w:rsidRDefault="00697C78">
          <w:pPr>
            <w:pStyle w:val="TOC1"/>
            <w:rPr>
              <w:rFonts w:eastAsiaTheme="minorEastAsia" w:cstheme="minorBidi"/>
              <w:b w:val="0"/>
              <w:bCs w:val="0"/>
              <w:caps w:val="0"/>
              <w:noProof/>
              <w:szCs w:val="22"/>
            </w:rPr>
          </w:pPr>
          <w:hyperlink w:anchor="_Toc138344570" w:history="1">
            <w:r w:rsidR="00BA66CC" w:rsidRPr="007C4632">
              <w:rPr>
                <w:rStyle w:val="Hyperlink"/>
                <w:rFonts w:eastAsiaTheme="majorEastAsia"/>
                <w:noProof/>
              </w:rPr>
              <w:t>Annexe IV - Evaluations des sources clés et analyse associée avec UTCATF</w:t>
            </w:r>
            <w:r w:rsidR="00BA66CC">
              <w:rPr>
                <w:noProof/>
                <w:webHidden/>
              </w:rPr>
              <w:tab/>
            </w:r>
            <w:r w:rsidR="00BA66CC">
              <w:rPr>
                <w:noProof/>
                <w:webHidden/>
              </w:rPr>
              <w:fldChar w:fldCharType="begin"/>
            </w:r>
            <w:r w:rsidR="00BA66CC">
              <w:rPr>
                <w:noProof/>
                <w:webHidden/>
              </w:rPr>
              <w:instrText xml:space="preserve"> PAGEREF _Toc138344570 \h </w:instrText>
            </w:r>
            <w:r w:rsidR="00BA66CC">
              <w:rPr>
                <w:noProof/>
                <w:webHidden/>
              </w:rPr>
            </w:r>
            <w:r w:rsidR="00BA66CC">
              <w:rPr>
                <w:noProof/>
                <w:webHidden/>
              </w:rPr>
              <w:fldChar w:fldCharType="separate"/>
            </w:r>
            <w:r w:rsidR="00BA66CC">
              <w:rPr>
                <w:noProof/>
                <w:webHidden/>
              </w:rPr>
              <w:t>338</w:t>
            </w:r>
            <w:r w:rsidR="00BA66CC">
              <w:rPr>
                <w:noProof/>
                <w:webHidden/>
              </w:rPr>
              <w:fldChar w:fldCharType="end"/>
            </w:r>
          </w:hyperlink>
        </w:p>
        <w:p w14:paraId="0C2EC927" w14:textId="4CD0C5B9" w:rsidR="00D20917" w:rsidRPr="00C82713" w:rsidRDefault="003D55E6" w:rsidP="00C82713">
          <w:r>
            <w:rPr>
              <w:b/>
              <w:bCs/>
            </w:rPr>
            <w:fldChar w:fldCharType="end"/>
          </w:r>
        </w:p>
      </w:sdtContent>
    </w:sdt>
    <w:p w14:paraId="52EF0289" w14:textId="434AB952" w:rsidR="00A55861" w:rsidRDefault="00A55861">
      <w:pPr>
        <w:spacing w:line="240" w:lineRule="atLeast"/>
        <w:jc w:val="left"/>
      </w:pPr>
      <w:r>
        <w:br w:type="page"/>
      </w:r>
    </w:p>
    <w:p w14:paraId="7F867E3C" w14:textId="394EE156" w:rsidR="00165BDF" w:rsidRDefault="00165BDF" w:rsidP="00165BDF">
      <w:pPr>
        <w:pStyle w:val="TOCHeading"/>
      </w:pPr>
      <w:r>
        <w:lastRenderedPageBreak/>
        <w:t>Table des illustrations</w:t>
      </w:r>
    </w:p>
    <w:p w14:paraId="0F9A13E2" w14:textId="285B0007" w:rsidR="00AB51D9" w:rsidRDefault="00165BDF">
      <w:pPr>
        <w:pStyle w:val="TableofFigures"/>
        <w:tabs>
          <w:tab w:val="right" w:leader="dot" w:pos="9940"/>
        </w:tabs>
        <w:rPr>
          <w:rFonts w:asciiTheme="minorHAnsi" w:eastAsiaTheme="minorEastAsia" w:hAnsiTheme="minorHAnsi" w:cstheme="minorBidi"/>
          <w:noProof/>
          <w:szCs w:val="22"/>
        </w:rPr>
      </w:pPr>
      <w:r>
        <w:fldChar w:fldCharType="begin"/>
      </w:r>
      <w:r>
        <w:instrText xml:space="preserve"> TOC \h \z \c "Figure" </w:instrText>
      </w:r>
      <w:r>
        <w:fldChar w:fldCharType="separate"/>
      </w:r>
      <w:hyperlink w:anchor="_Toc123916412" w:history="1">
        <w:r w:rsidR="00AB51D9" w:rsidRPr="008234EE">
          <w:rPr>
            <w:rStyle w:val="Hyperlink"/>
            <w:noProof/>
          </w:rPr>
          <w:t>Figure 1 : Trajectoires des émissions nationales jusqu’en 2050 selon les différents scenarios hors secteur des terres (haut) et avec (bas)</w:t>
        </w:r>
        <w:r w:rsidR="00AB51D9">
          <w:rPr>
            <w:noProof/>
            <w:webHidden/>
          </w:rPr>
          <w:tab/>
        </w:r>
        <w:r w:rsidR="00AB51D9">
          <w:rPr>
            <w:noProof/>
            <w:webHidden/>
          </w:rPr>
          <w:fldChar w:fldCharType="begin"/>
        </w:r>
        <w:r w:rsidR="00AB51D9">
          <w:rPr>
            <w:noProof/>
            <w:webHidden/>
          </w:rPr>
          <w:instrText xml:space="preserve"> PAGEREF _Toc123916412 \h </w:instrText>
        </w:r>
        <w:r w:rsidR="00AB51D9">
          <w:rPr>
            <w:noProof/>
            <w:webHidden/>
          </w:rPr>
        </w:r>
        <w:r w:rsidR="00AB51D9">
          <w:rPr>
            <w:noProof/>
            <w:webHidden/>
          </w:rPr>
          <w:fldChar w:fldCharType="separate"/>
        </w:r>
        <w:r w:rsidR="00AB51D9">
          <w:rPr>
            <w:noProof/>
            <w:webHidden/>
          </w:rPr>
          <w:t>20</w:t>
        </w:r>
        <w:r w:rsidR="00AB51D9">
          <w:rPr>
            <w:noProof/>
            <w:webHidden/>
          </w:rPr>
          <w:fldChar w:fldCharType="end"/>
        </w:r>
      </w:hyperlink>
    </w:p>
    <w:p w14:paraId="24F9725C" w14:textId="5BD9452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3" w:history="1">
        <w:r w:rsidR="00AB51D9" w:rsidRPr="008234EE">
          <w:rPr>
            <w:rStyle w:val="Hyperlink"/>
            <w:noProof/>
          </w:rPr>
          <w:t>Figure 2: Projection de l’évolution de la population française de 2018 à 2070 en milliers d’habitants</w:t>
        </w:r>
        <w:r w:rsidR="00AB51D9">
          <w:rPr>
            <w:noProof/>
            <w:webHidden/>
          </w:rPr>
          <w:tab/>
        </w:r>
        <w:r w:rsidR="00AB51D9">
          <w:rPr>
            <w:noProof/>
            <w:webHidden/>
          </w:rPr>
          <w:fldChar w:fldCharType="begin"/>
        </w:r>
        <w:r w:rsidR="00AB51D9">
          <w:rPr>
            <w:noProof/>
            <w:webHidden/>
          </w:rPr>
          <w:instrText xml:space="preserve"> PAGEREF _Toc123916413 \h </w:instrText>
        </w:r>
        <w:r w:rsidR="00AB51D9">
          <w:rPr>
            <w:noProof/>
            <w:webHidden/>
          </w:rPr>
        </w:r>
        <w:r w:rsidR="00AB51D9">
          <w:rPr>
            <w:noProof/>
            <w:webHidden/>
          </w:rPr>
          <w:fldChar w:fldCharType="separate"/>
        </w:r>
        <w:r w:rsidR="00AB51D9">
          <w:rPr>
            <w:noProof/>
            <w:webHidden/>
          </w:rPr>
          <w:t>28</w:t>
        </w:r>
        <w:r w:rsidR="00AB51D9">
          <w:rPr>
            <w:noProof/>
            <w:webHidden/>
          </w:rPr>
          <w:fldChar w:fldCharType="end"/>
        </w:r>
      </w:hyperlink>
    </w:p>
    <w:p w14:paraId="10A5022D" w14:textId="161F5940"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4" w:history="1">
        <w:r w:rsidR="00AB51D9" w:rsidRPr="008234EE">
          <w:rPr>
            <w:rStyle w:val="Hyperlink"/>
            <w:noProof/>
          </w:rPr>
          <w:t>Figure 3: Evolution de la taille des ménages en France hors Mayotte</w:t>
        </w:r>
        <w:r w:rsidR="00AB51D9">
          <w:rPr>
            <w:noProof/>
            <w:webHidden/>
          </w:rPr>
          <w:tab/>
        </w:r>
        <w:r w:rsidR="00AB51D9">
          <w:rPr>
            <w:noProof/>
            <w:webHidden/>
          </w:rPr>
          <w:fldChar w:fldCharType="begin"/>
        </w:r>
        <w:r w:rsidR="00AB51D9">
          <w:rPr>
            <w:noProof/>
            <w:webHidden/>
          </w:rPr>
          <w:instrText xml:space="preserve"> PAGEREF _Toc123916414 \h </w:instrText>
        </w:r>
        <w:r w:rsidR="00AB51D9">
          <w:rPr>
            <w:noProof/>
            <w:webHidden/>
          </w:rPr>
        </w:r>
        <w:r w:rsidR="00AB51D9">
          <w:rPr>
            <w:noProof/>
            <w:webHidden/>
          </w:rPr>
          <w:fldChar w:fldCharType="separate"/>
        </w:r>
        <w:r w:rsidR="00AB51D9">
          <w:rPr>
            <w:noProof/>
            <w:webHidden/>
          </w:rPr>
          <w:t>29</w:t>
        </w:r>
        <w:r w:rsidR="00AB51D9">
          <w:rPr>
            <w:noProof/>
            <w:webHidden/>
          </w:rPr>
          <w:fldChar w:fldCharType="end"/>
        </w:r>
      </w:hyperlink>
    </w:p>
    <w:p w14:paraId="25512827" w14:textId="2C670A8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5" w:history="1">
        <w:r w:rsidR="00AB51D9" w:rsidRPr="008234EE">
          <w:rPr>
            <w:rStyle w:val="Hyperlink"/>
            <w:noProof/>
          </w:rPr>
          <w:t>Figure 4: Espérance de vie à la naissance et taux de mortalité infantile de 1950 à 2019 en France métropolitaine</w:t>
        </w:r>
        <w:r w:rsidR="00AB51D9">
          <w:rPr>
            <w:noProof/>
            <w:webHidden/>
          </w:rPr>
          <w:tab/>
        </w:r>
        <w:r w:rsidR="00AB51D9">
          <w:rPr>
            <w:noProof/>
            <w:webHidden/>
          </w:rPr>
          <w:fldChar w:fldCharType="begin"/>
        </w:r>
        <w:r w:rsidR="00AB51D9">
          <w:rPr>
            <w:noProof/>
            <w:webHidden/>
          </w:rPr>
          <w:instrText xml:space="preserve"> PAGEREF _Toc123916415 \h </w:instrText>
        </w:r>
        <w:r w:rsidR="00AB51D9">
          <w:rPr>
            <w:noProof/>
            <w:webHidden/>
          </w:rPr>
        </w:r>
        <w:r w:rsidR="00AB51D9">
          <w:rPr>
            <w:noProof/>
            <w:webHidden/>
          </w:rPr>
          <w:fldChar w:fldCharType="separate"/>
        </w:r>
        <w:r w:rsidR="00AB51D9">
          <w:rPr>
            <w:noProof/>
            <w:webHidden/>
          </w:rPr>
          <w:t>30</w:t>
        </w:r>
        <w:r w:rsidR="00AB51D9">
          <w:rPr>
            <w:noProof/>
            <w:webHidden/>
          </w:rPr>
          <w:fldChar w:fldCharType="end"/>
        </w:r>
      </w:hyperlink>
    </w:p>
    <w:p w14:paraId="357E35AA" w14:textId="5B0E2970"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6" w:history="1">
        <w:r w:rsidR="00AB51D9" w:rsidRPr="008234EE">
          <w:rPr>
            <w:rStyle w:val="Hyperlink"/>
            <w:noProof/>
          </w:rPr>
          <w:t>Figure 5: Carte d'occupation des sols en France en 2018</w:t>
        </w:r>
        <w:r w:rsidR="00AB51D9">
          <w:rPr>
            <w:noProof/>
            <w:webHidden/>
          </w:rPr>
          <w:tab/>
        </w:r>
        <w:r w:rsidR="00AB51D9">
          <w:rPr>
            <w:noProof/>
            <w:webHidden/>
          </w:rPr>
          <w:fldChar w:fldCharType="begin"/>
        </w:r>
        <w:r w:rsidR="00AB51D9">
          <w:rPr>
            <w:noProof/>
            <w:webHidden/>
          </w:rPr>
          <w:instrText xml:space="preserve"> PAGEREF _Toc123916416 \h </w:instrText>
        </w:r>
        <w:r w:rsidR="00AB51D9">
          <w:rPr>
            <w:noProof/>
            <w:webHidden/>
          </w:rPr>
        </w:r>
        <w:r w:rsidR="00AB51D9">
          <w:rPr>
            <w:noProof/>
            <w:webHidden/>
          </w:rPr>
          <w:fldChar w:fldCharType="separate"/>
        </w:r>
        <w:r w:rsidR="00AB51D9">
          <w:rPr>
            <w:noProof/>
            <w:webHidden/>
          </w:rPr>
          <w:t>31</w:t>
        </w:r>
        <w:r w:rsidR="00AB51D9">
          <w:rPr>
            <w:noProof/>
            <w:webHidden/>
          </w:rPr>
          <w:fldChar w:fldCharType="end"/>
        </w:r>
      </w:hyperlink>
    </w:p>
    <w:p w14:paraId="45DD77E6" w14:textId="68A1062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7" w:history="1">
        <w:r w:rsidR="00AB51D9" w:rsidRPr="008234EE">
          <w:rPr>
            <w:rStyle w:val="Hyperlink"/>
            <w:noProof/>
          </w:rPr>
          <w:t>Figure 6: Typologie climatique de la France - Les zones ombrées correspondent à des aires de transition.</w:t>
        </w:r>
        <w:r w:rsidR="00AB51D9">
          <w:rPr>
            <w:noProof/>
            <w:webHidden/>
          </w:rPr>
          <w:tab/>
        </w:r>
        <w:r w:rsidR="00AB51D9">
          <w:rPr>
            <w:noProof/>
            <w:webHidden/>
          </w:rPr>
          <w:fldChar w:fldCharType="begin"/>
        </w:r>
        <w:r w:rsidR="00AB51D9">
          <w:rPr>
            <w:noProof/>
            <w:webHidden/>
          </w:rPr>
          <w:instrText xml:space="preserve"> PAGEREF _Toc123916417 \h </w:instrText>
        </w:r>
        <w:r w:rsidR="00AB51D9">
          <w:rPr>
            <w:noProof/>
            <w:webHidden/>
          </w:rPr>
        </w:r>
        <w:r w:rsidR="00AB51D9">
          <w:rPr>
            <w:noProof/>
            <w:webHidden/>
          </w:rPr>
          <w:fldChar w:fldCharType="separate"/>
        </w:r>
        <w:r w:rsidR="00AB51D9">
          <w:rPr>
            <w:noProof/>
            <w:webHidden/>
          </w:rPr>
          <w:t>32</w:t>
        </w:r>
        <w:r w:rsidR="00AB51D9">
          <w:rPr>
            <w:noProof/>
            <w:webHidden/>
          </w:rPr>
          <w:fldChar w:fldCharType="end"/>
        </w:r>
      </w:hyperlink>
    </w:p>
    <w:p w14:paraId="5C4D94C9" w14:textId="663A56E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8" w:history="1">
        <w:r w:rsidR="00AB51D9" w:rsidRPr="008234EE">
          <w:rPr>
            <w:rStyle w:val="Hyperlink"/>
            <w:noProof/>
          </w:rPr>
          <w:t>Figure 7: Ecart à la normale des températures moyennes depuis 1900</w:t>
        </w:r>
        <w:r w:rsidR="00AB51D9">
          <w:rPr>
            <w:noProof/>
            <w:webHidden/>
          </w:rPr>
          <w:tab/>
        </w:r>
        <w:r w:rsidR="00AB51D9">
          <w:rPr>
            <w:noProof/>
            <w:webHidden/>
          </w:rPr>
          <w:fldChar w:fldCharType="begin"/>
        </w:r>
        <w:r w:rsidR="00AB51D9">
          <w:rPr>
            <w:noProof/>
            <w:webHidden/>
          </w:rPr>
          <w:instrText xml:space="preserve"> PAGEREF _Toc123916418 \h </w:instrText>
        </w:r>
        <w:r w:rsidR="00AB51D9">
          <w:rPr>
            <w:noProof/>
            <w:webHidden/>
          </w:rPr>
        </w:r>
        <w:r w:rsidR="00AB51D9">
          <w:rPr>
            <w:noProof/>
            <w:webHidden/>
          </w:rPr>
          <w:fldChar w:fldCharType="separate"/>
        </w:r>
        <w:r w:rsidR="00AB51D9">
          <w:rPr>
            <w:noProof/>
            <w:webHidden/>
          </w:rPr>
          <w:t>33</w:t>
        </w:r>
        <w:r w:rsidR="00AB51D9">
          <w:rPr>
            <w:noProof/>
            <w:webHidden/>
          </w:rPr>
          <w:fldChar w:fldCharType="end"/>
        </w:r>
      </w:hyperlink>
    </w:p>
    <w:p w14:paraId="2751C1E1" w14:textId="7D98AA2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19" w:history="1">
        <w:r w:rsidR="00AB51D9" w:rsidRPr="008234EE">
          <w:rPr>
            <w:rStyle w:val="Hyperlink"/>
            <w:noProof/>
          </w:rPr>
          <w:t>Figure 8: Écart à la moyenne annuelle de référence</w:t>
        </w:r>
        <w:r w:rsidR="00AB51D9">
          <w:rPr>
            <w:noProof/>
            <w:webHidden/>
          </w:rPr>
          <w:tab/>
        </w:r>
        <w:r w:rsidR="00AB51D9">
          <w:rPr>
            <w:noProof/>
            <w:webHidden/>
          </w:rPr>
          <w:fldChar w:fldCharType="begin"/>
        </w:r>
        <w:r w:rsidR="00AB51D9">
          <w:rPr>
            <w:noProof/>
            <w:webHidden/>
          </w:rPr>
          <w:instrText xml:space="preserve"> PAGEREF _Toc123916419 \h </w:instrText>
        </w:r>
        <w:r w:rsidR="00AB51D9">
          <w:rPr>
            <w:noProof/>
            <w:webHidden/>
          </w:rPr>
        </w:r>
        <w:r w:rsidR="00AB51D9">
          <w:rPr>
            <w:noProof/>
            <w:webHidden/>
          </w:rPr>
          <w:fldChar w:fldCharType="separate"/>
        </w:r>
        <w:r w:rsidR="00AB51D9">
          <w:rPr>
            <w:noProof/>
            <w:webHidden/>
          </w:rPr>
          <w:t>34</w:t>
        </w:r>
        <w:r w:rsidR="00AB51D9">
          <w:rPr>
            <w:noProof/>
            <w:webHidden/>
          </w:rPr>
          <w:fldChar w:fldCharType="end"/>
        </w:r>
      </w:hyperlink>
    </w:p>
    <w:p w14:paraId="0687ACEF" w14:textId="5EF9AA0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0" w:history="1">
        <w:r w:rsidR="00AB51D9" w:rsidRPr="008234EE">
          <w:rPr>
            <w:rStyle w:val="Hyperlink"/>
            <w:noProof/>
          </w:rPr>
          <w:t>Figure 9: Evolution du PIB de 1950 à 2021</w:t>
        </w:r>
        <w:r w:rsidR="00AB51D9">
          <w:rPr>
            <w:noProof/>
            <w:webHidden/>
          </w:rPr>
          <w:tab/>
        </w:r>
        <w:r w:rsidR="00AB51D9">
          <w:rPr>
            <w:noProof/>
            <w:webHidden/>
          </w:rPr>
          <w:fldChar w:fldCharType="begin"/>
        </w:r>
        <w:r w:rsidR="00AB51D9">
          <w:rPr>
            <w:noProof/>
            <w:webHidden/>
          </w:rPr>
          <w:instrText xml:space="preserve"> PAGEREF _Toc123916420 \h </w:instrText>
        </w:r>
        <w:r w:rsidR="00AB51D9">
          <w:rPr>
            <w:noProof/>
            <w:webHidden/>
          </w:rPr>
        </w:r>
        <w:r w:rsidR="00AB51D9">
          <w:rPr>
            <w:noProof/>
            <w:webHidden/>
          </w:rPr>
          <w:fldChar w:fldCharType="separate"/>
        </w:r>
        <w:r w:rsidR="00AB51D9">
          <w:rPr>
            <w:noProof/>
            <w:webHidden/>
          </w:rPr>
          <w:t>35</w:t>
        </w:r>
        <w:r w:rsidR="00AB51D9">
          <w:rPr>
            <w:noProof/>
            <w:webHidden/>
          </w:rPr>
          <w:fldChar w:fldCharType="end"/>
        </w:r>
      </w:hyperlink>
    </w:p>
    <w:p w14:paraId="1E01F849" w14:textId="3BB493A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1" w:history="1">
        <w:r w:rsidR="00AB51D9" w:rsidRPr="008234EE">
          <w:rPr>
            <w:rStyle w:val="Hyperlink"/>
            <w:noProof/>
          </w:rPr>
          <w:t>Figure 10 : Evolution du solde extérieur de 1971 à 2021</w:t>
        </w:r>
        <w:r w:rsidR="00AB51D9">
          <w:rPr>
            <w:noProof/>
            <w:webHidden/>
          </w:rPr>
          <w:tab/>
        </w:r>
        <w:r w:rsidR="00AB51D9">
          <w:rPr>
            <w:noProof/>
            <w:webHidden/>
          </w:rPr>
          <w:fldChar w:fldCharType="begin"/>
        </w:r>
        <w:r w:rsidR="00AB51D9">
          <w:rPr>
            <w:noProof/>
            <w:webHidden/>
          </w:rPr>
          <w:instrText xml:space="preserve"> PAGEREF _Toc123916421 \h </w:instrText>
        </w:r>
        <w:r w:rsidR="00AB51D9">
          <w:rPr>
            <w:noProof/>
            <w:webHidden/>
          </w:rPr>
        </w:r>
        <w:r w:rsidR="00AB51D9">
          <w:rPr>
            <w:noProof/>
            <w:webHidden/>
          </w:rPr>
          <w:fldChar w:fldCharType="separate"/>
        </w:r>
        <w:r w:rsidR="00AB51D9">
          <w:rPr>
            <w:noProof/>
            <w:webHidden/>
          </w:rPr>
          <w:t>36</w:t>
        </w:r>
        <w:r w:rsidR="00AB51D9">
          <w:rPr>
            <w:noProof/>
            <w:webHidden/>
          </w:rPr>
          <w:fldChar w:fldCharType="end"/>
        </w:r>
      </w:hyperlink>
    </w:p>
    <w:p w14:paraId="4C9EC97B" w14:textId="1837676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2" w:history="1">
        <w:r w:rsidR="00AB51D9" w:rsidRPr="008234EE">
          <w:rPr>
            <w:rStyle w:val="Hyperlink"/>
            <w:noProof/>
          </w:rPr>
          <w:t>Figure 11 : Figure : Transport intérieur terrestre de marchandises par mode de 1985 à 2021</w:t>
        </w:r>
        <w:r w:rsidR="00AB51D9">
          <w:rPr>
            <w:noProof/>
            <w:webHidden/>
          </w:rPr>
          <w:tab/>
        </w:r>
        <w:r w:rsidR="00AB51D9">
          <w:rPr>
            <w:noProof/>
            <w:webHidden/>
          </w:rPr>
          <w:fldChar w:fldCharType="begin"/>
        </w:r>
        <w:r w:rsidR="00AB51D9">
          <w:rPr>
            <w:noProof/>
            <w:webHidden/>
          </w:rPr>
          <w:instrText xml:space="preserve"> PAGEREF _Toc123916422 \h </w:instrText>
        </w:r>
        <w:r w:rsidR="00AB51D9">
          <w:rPr>
            <w:noProof/>
            <w:webHidden/>
          </w:rPr>
        </w:r>
        <w:r w:rsidR="00AB51D9">
          <w:rPr>
            <w:noProof/>
            <w:webHidden/>
          </w:rPr>
          <w:fldChar w:fldCharType="separate"/>
        </w:r>
        <w:r w:rsidR="00AB51D9">
          <w:rPr>
            <w:noProof/>
            <w:webHidden/>
          </w:rPr>
          <w:t>38</w:t>
        </w:r>
        <w:r w:rsidR="00AB51D9">
          <w:rPr>
            <w:noProof/>
            <w:webHidden/>
          </w:rPr>
          <w:fldChar w:fldCharType="end"/>
        </w:r>
      </w:hyperlink>
    </w:p>
    <w:p w14:paraId="02A46009" w14:textId="443D751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3" w:history="1">
        <w:r w:rsidR="00AB51D9" w:rsidRPr="008234EE">
          <w:rPr>
            <w:rStyle w:val="Hyperlink"/>
            <w:noProof/>
          </w:rPr>
          <w:t>Figure 12 : Evolution des modes de transports collectifs depuis 2012</w:t>
        </w:r>
        <w:r w:rsidR="00AB51D9">
          <w:rPr>
            <w:noProof/>
            <w:webHidden/>
          </w:rPr>
          <w:tab/>
        </w:r>
        <w:r w:rsidR="00AB51D9">
          <w:rPr>
            <w:noProof/>
            <w:webHidden/>
          </w:rPr>
          <w:fldChar w:fldCharType="begin"/>
        </w:r>
        <w:r w:rsidR="00AB51D9">
          <w:rPr>
            <w:noProof/>
            <w:webHidden/>
          </w:rPr>
          <w:instrText xml:space="preserve"> PAGEREF _Toc123916423 \h </w:instrText>
        </w:r>
        <w:r w:rsidR="00AB51D9">
          <w:rPr>
            <w:noProof/>
            <w:webHidden/>
          </w:rPr>
        </w:r>
        <w:r w:rsidR="00AB51D9">
          <w:rPr>
            <w:noProof/>
            <w:webHidden/>
          </w:rPr>
          <w:fldChar w:fldCharType="separate"/>
        </w:r>
        <w:r w:rsidR="00AB51D9">
          <w:rPr>
            <w:noProof/>
            <w:webHidden/>
          </w:rPr>
          <w:t>39</w:t>
        </w:r>
        <w:r w:rsidR="00AB51D9">
          <w:rPr>
            <w:noProof/>
            <w:webHidden/>
          </w:rPr>
          <w:fldChar w:fldCharType="end"/>
        </w:r>
      </w:hyperlink>
    </w:p>
    <w:p w14:paraId="7704DF68" w14:textId="32DA099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4" w:history="1">
        <w:r w:rsidR="00AB51D9" w:rsidRPr="008234EE">
          <w:rPr>
            <w:rStyle w:val="Hyperlink"/>
            <w:noProof/>
          </w:rPr>
          <w:t>Figure 13 : Figure Parc français de véhicules de 2011 à 2022, en millions d’unités : en haut, pour les voitures particulières ; en bas pour les véhicules utilitaires légers</w:t>
        </w:r>
        <w:r w:rsidR="00AB51D9">
          <w:rPr>
            <w:noProof/>
            <w:webHidden/>
          </w:rPr>
          <w:tab/>
        </w:r>
        <w:r w:rsidR="00AB51D9">
          <w:rPr>
            <w:noProof/>
            <w:webHidden/>
          </w:rPr>
          <w:fldChar w:fldCharType="begin"/>
        </w:r>
        <w:r w:rsidR="00AB51D9">
          <w:rPr>
            <w:noProof/>
            <w:webHidden/>
          </w:rPr>
          <w:instrText xml:space="preserve"> PAGEREF _Toc123916424 \h </w:instrText>
        </w:r>
        <w:r w:rsidR="00AB51D9">
          <w:rPr>
            <w:noProof/>
            <w:webHidden/>
          </w:rPr>
        </w:r>
        <w:r w:rsidR="00AB51D9">
          <w:rPr>
            <w:noProof/>
            <w:webHidden/>
          </w:rPr>
          <w:fldChar w:fldCharType="separate"/>
        </w:r>
        <w:r w:rsidR="00AB51D9">
          <w:rPr>
            <w:noProof/>
            <w:webHidden/>
          </w:rPr>
          <w:t>39</w:t>
        </w:r>
        <w:r w:rsidR="00AB51D9">
          <w:rPr>
            <w:noProof/>
            <w:webHidden/>
          </w:rPr>
          <w:fldChar w:fldCharType="end"/>
        </w:r>
      </w:hyperlink>
    </w:p>
    <w:p w14:paraId="10FB8416" w14:textId="6B8F1FE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5" w:history="1">
        <w:r w:rsidR="00AB51D9" w:rsidRPr="008234EE">
          <w:rPr>
            <w:rStyle w:val="Hyperlink"/>
            <w:noProof/>
          </w:rPr>
          <w:t>Figure 14 : Part des différentes énergies dans la vente de voitures en France</w:t>
        </w:r>
        <w:r w:rsidR="00AB51D9">
          <w:rPr>
            <w:noProof/>
            <w:webHidden/>
          </w:rPr>
          <w:tab/>
        </w:r>
        <w:r w:rsidR="00AB51D9">
          <w:rPr>
            <w:noProof/>
            <w:webHidden/>
          </w:rPr>
          <w:fldChar w:fldCharType="begin"/>
        </w:r>
        <w:r w:rsidR="00AB51D9">
          <w:rPr>
            <w:noProof/>
            <w:webHidden/>
          </w:rPr>
          <w:instrText xml:space="preserve"> PAGEREF _Toc123916425 \h </w:instrText>
        </w:r>
        <w:r w:rsidR="00AB51D9">
          <w:rPr>
            <w:noProof/>
            <w:webHidden/>
          </w:rPr>
        </w:r>
        <w:r w:rsidR="00AB51D9">
          <w:rPr>
            <w:noProof/>
            <w:webHidden/>
          </w:rPr>
          <w:fldChar w:fldCharType="separate"/>
        </w:r>
        <w:r w:rsidR="00AB51D9">
          <w:rPr>
            <w:noProof/>
            <w:webHidden/>
          </w:rPr>
          <w:t>40</w:t>
        </w:r>
        <w:r w:rsidR="00AB51D9">
          <w:rPr>
            <w:noProof/>
            <w:webHidden/>
          </w:rPr>
          <w:fldChar w:fldCharType="end"/>
        </w:r>
      </w:hyperlink>
    </w:p>
    <w:p w14:paraId="1C06E862" w14:textId="60A8FB7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6" w:history="1">
        <w:r w:rsidR="00AB51D9" w:rsidRPr="008234EE">
          <w:rPr>
            <w:rStyle w:val="Hyperlink"/>
            <w:noProof/>
          </w:rPr>
          <w:t>Figure 15 : Figure Part en% des consommations d’énergies renouvelables dans les consommations totales d’énergie du transport</w:t>
        </w:r>
        <w:r w:rsidR="00AB51D9">
          <w:rPr>
            <w:noProof/>
            <w:webHidden/>
          </w:rPr>
          <w:tab/>
        </w:r>
        <w:r w:rsidR="00AB51D9">
          <w:rPr>
            <w:noProof/>
            <w:webHidden/>
          </w:rPr>
          <w:fldChar w:fldCharType="begin"/>
        </w:r>
        <w:r w:rsidR="00AB51D9">
          <w:rPr>
            <w:noProof/>
            <w:webHidden/>
          </w:rPr>
          <w:instrText xml:space="preserve"> PAGEREF _Toc123916426 \h </w:instrText>
        </w:r>
        <w:r w:rsidR="00AB51D9">
          <w:rPr>
            <w:noProof/>
            <w:webHidden/>
          </w:rPr>
        </w:r>
        <w:r w:rsidR="00AB51D9">
          <w:rPr>
            <w:noProof/>
            <w:webHidden/>
          </w:rPr>
          <w:fldChar w:fldCharType="separate"/>
        </w:r>
        <w:r w:rsidR="00AB51D9">
          <w:rPr>
            <w:noProof/>
            <w:webHidden/>
          </w:rPr>
          <w:t>40</w:t>
        </w:r>
        <w:r w:rsidR="00AB51D9">
          <w:rPr>
            <w:noProof/>
            <w:webHidden/>
          </w:rPr>
          <w:fldChar w:fldCharType="end"/>
        </w:r>
      </w:hyperlink>
    </w:p>
    <w:p w14:paraId="500DA768" w14:textId="4FBD48A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7" w:history="1">
        <w:r w:rsidR="00AB51D9" w:rsidRPr="008234EE">
          <w:rPr>
            <w:rStyle w:val="Hyperlink"/>
            <w:noProof/>
          </w:rPr>
          <w:t>Figure 16 : Evolution annuelle moyenne du nombre de logements par type d’habitats depuis 1986</w:t>
        </w:r>
        <w:r w:rsidR="00AB51D9">
          <w:rPr>
            <w:noProof/>
            <w:webHidden/>
          </w:rPr>
          <w:tab/>
        </w:r>
        <w:r w:rsidR="00AB51D9">
          <w:rPr>
            <w:noProof/>
            <w:webHidden/>
          </w:rPr>
          <w:fldChar w:fldCharType="begin"/>
        </w:r>
        <w:r w:rsidR="00AB51D9">
          <w:rPr>
            <w:noProof/>
            <w:webHidden/>
          </w:rPr>
          <w:instrText xml:space="preserve"> PAGEREF _Toc123916427 \h </w:instrText>
        </w:r>
        <w:r w:rsidR="00AB51D9">
          <w:rPr>
            <w:noProof/>
            <w:webHidden/>
          </w:rPr>
        </w:r>
        <w:r w:rsidR="00AB51D9">
          <w:rPr>
            <w:noProof/>
            <w:webHidden/>
          </w:rPr>
          <w:fldChar w:fldCharType="separate"/>
        </w:r>
        <w:r w:rsidR="00AB51D9">
          <w:rPr>
            <w:noProof/>
            <w:webHidden/>
          </w:rPr>
          <w:t>42</w:t>
        </w:r>
        <w:r w:rsidR="00AB51D9">
          <w:rPr>
            <w:noProof/>
            <w:webHidden/>
          </w:rPr>
          <w:fldChar w:fldCharType="end"/>
        </w:r>
      </w:hyperlink>
    </w:p>
    <w:p w14:paraId="36DC1646" w14:textId="577B9C7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8" w:history="1">
        <w:r w:rsidR="00AB51D9" w:rsidRPr="008234EE">
          <w:rPr>
            <w:rStyle w:val="Hyperlink"/>
            <w:noProof/>
          </w:rPr>
          <w:t>Figure 17 : Production d’énergie primaire de 1970 à 2021</w:t>
        </w:r>
        <w:r w:rsidR="00AB51D9">
          <w:rPr>
            <w:noProof/>
            <w:webHidden/>
          </w:rPr>
          <w:tab/>
        </w:r>
        <w:r w:rsidR="00AB51D9">
          <w:rPr>
            <w:noProof/>
            <w:webHidden/>
          </w:rPr>
          <w:fldChar w:fldCharType="begin"/>
        </w:r>
        <w:r w:rsidR="00AB51D9">
          <w:rPr>
            <w:noProof/>
            <w:webHidden/>
          </w:rPr>
          <w:instrText xml:space="preserve"> PAGEREF _Toc123916428 \h </w:instrText>
        </w:r>
        <w:r w:rsidR="00AB51D9">
          <w:rPr>
            <w:noProof/>
            <w:webHidden/>
          </w:rPr>
        </w:r>
        <w:r w:rsidR="00AB51D9">
          <w:rPr>
            <w:noProof/>
            <w:webHidden/>
          </w:rPr>
          <w:fldChar w:fldCharType="separate"/>
        </w:r>
        <w:r w:rsidR="00AB51D9">
          <w:rPr>
            <w:noProof/>
            <w:webHidden/>
          </w:rPr>
          <w:t>44</w:t>
        </w:r>
        <w:r w:rsidR="00AB51D9">
          <w:rPr>
            <w:noProof/>
            <w:webHidden/>
          </w:rPr>
          <w:fldChar w:fldCharType="end"/>
        </w:r>
      </w:hyperlink>
    </w:p>
    <w:p w14:paraId="344F5EEF" w14:textId="4A797F3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29" w:history="1">
        <w:r w:rsidR="00AB51D9" w:rsidRPr="008234EE">
          <w:rPr>
            <w:rStyle w:val="Hyperlink"/>
            <w:noProof/>
          </w:rPr>
          <w:t>Figure 18 : Evolution de la consommation d’énergie primaire par forme d’énergie</w:t>
        </w:r>
        <w:r w:rsidR="00AB51D9">
          <w:rPr>
            <w:noProof/>
            <w:webHidden/>
          </w:rPr>
          <w:tab/>
        </w:r>
        <w:r w:rsidR="00AB51D9">
          <w:rPr>
            <w:noProof/>
            <w:webHidden/>
          </w:rPr>
          <w:fldChar w:fldCharType="begin"/>
        </w:r>
        <w:r w:rsidR="00AB51D9">
          <w:rPr>
            <w:noProof/>
            <w:webHidden/>
          </w:rPr>
          <w:instrText xml:space="preserve"> PAGEREF _Toc123916429 \h </w:instrText>
        </w:r>
        <w:r w:rsidR="00AB51D9">
          <w:rPr>
            <w:noProof/>
            <w:webHidden/>
          </w:rPr>
        </w:r>
        <w:r w:rsidR="00AB51D9">
          <w:rPr>
            <w:noProof/>
            <w:webHidden/>
          </w:rPr>
          <w:fldChar w:fldCharType="separate"/>
        </w:r>
        <w:r w:rsidR="00AB51D9">
          <w:rPr>
            <w:noProof/>
            <w:webHidden/>
          </w:rPr>
          <w:t>45</w:t>
        </w:r>
        <w:r w:rsidR="00AB51D9">
          <w:rPr>
            <w:noProof/>
            <w:webHidden/>
          </w:rPr>
          <w:fldChar w:fldCharType="end"/>
        </w:r>
      </w:hyperlink>
    </w:p>
    <w:p w14:paraId="63F9D90E" w14:textId="7F98654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0" w:history="1">
        <w:r w:rsidR="00AB51D9" w:rsidRPr="008234EE">
          <w:rPr>
            <w:rStyle w:val="Hyperlink"/>
            <w:noProof/>
          </w:rPr>
          <w:t>Figure 19 : Figure : Bouquet d’énergie primaire en 2021. * EnR : énergies renouvelables ; ** Production nucléaire (hors solde exportateur) et production hydraulique issue des stations de transfert d’énergie par pompage ; *** Hydraulique hors pompage</w:t>
        </w:r>
        <w:r w:rsidR="00AB51D9">
          <w:rPr>
            <w:noProof/>
            <w:webHidden/>
          </w:rPr>
          <w:tab/>
        </w:r>
        <w:r w:rsidR="00AB51D9">
          <w:rPr>
            <w:noProof/>
            <w:webHidden/>
          </w:rPr>
          <w:fldChar w:fldCharType="begin"/>
        </w:r>
        <w:r w:rsidR="00AB51D9">
          <w:rPr>
            <w:noProof/>
            <w:webHidden/>
          </w:rPr>
          <w:instrText xml:space="preserve"> PAGEREF _Toc123916430 \h </w:instrText>
        </w:r>
        <w:r w:rsidR="00AB51D9">
          <w:rPr>
            <w:noProof/>
            <w:webHidden/>
          </w:rPr>
        </w:r>
        <w:r w:rsidR="00AB51D9">
          <w:rPr>
            <w:noProof/>
            <w:webHidden/>
          </w:rPr>
          <w:fldChar w:fldCharType="separate"/>
        </w:r>
        <w:r w:rsidR="00AB51D9">
          <w:rPr>
            <w:noProof/>
            <w:webHidden/>
          </w:rPr>
          <w:t>45</w:t>
        </w:r>
        <w:r w:rsidR="00AB51D9">
          <w:rPr>
            <w:noProof/>
            <w:webHidden/>
          </w:rPr>
          <w:fldChar w:fldCharType="end"/>
        </w:r>
      </w:hyperlink>
    </w:p>
    <w:p w14:paraId="0308CCF3" w14:textId="741BE32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1" w:history="1">
        <w:r w:rsidR="00AB51D9" w:rsidRPr="008234EE">
          <w:rPr>
            <w:rStyle w:val="Hyperlink"/>
            <w:noProof/>
          </w:rPr>
          <w:t>Figure 20 : Progression de la progression primaire d’énergies renouvelables par filière en Métropole+ DOM (à partir de 2011) en Mtep depuis 1990</w:t>
        </w:r>
        <w:r w:rsidR="00AB51D9">
          <w:rPr>
            <w:noProof/>
            <w:webHidden/>
          </w:rPr>
          <w:tab/>
        </w:r>
        <w:r w:rsidR="00AB51D9">
          <w:rPr>
            <w:noProof/>
            <w:webHidden/>
          </w:rPr>
          <w:fldChar w:fldCharType="begin"/>
        </w:r>
        <w:r w:rsidR="00AB51D9">
          <w:rPr>
            <w:noProof/>
            <w:webHidden/>
          </w:rPr>
          <w:instrText xml:space="preserve"> PAGEREF _Toc123916431 \h </w:instrText>
        </w:r>
        <w:r w:rsidR="00AB51D9">
          <w:rPr>
            <w:noProof/>
            <w:webHidden/>
          </w:rPr>
        </w:r>
        <w:r w:rsidR="00AB51D9">
          <w:rPr>
            <w:noProof/>
            <w:webHidden/>
          </w:rPr>
          <w:fldChar w:fldCharType="separate"/>
        </w:r>
        <w:r w:rsidR="00AB51D9">
          <w:rPr>
            <w:noProof/>
            <w:webHidden/>
          </w:rPr>
          <w:t>46</w:t>
        </w:r>
        <w:r w:rsidR="00AB51D9">
          <w:rPr>
            <w:noProof/>
            <w:webHidden/>
          </w:rPr>
          <w:fldChar w:fldCharType="end"/>
        </w:r>
      </w:hyperlink>
    </w:p>
    <w:p w14:paraId="03AB381C" w14:textId="79AE3A0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2" w:history="1">
        <w:r w:rsidR="00AB51D9" w:rsidRPr="008234EE">
          <w:rPr>
            <w:rStyle w:val="Hyperlink"/>
            <w:noProof/>
          </w:rPr>
          <w:t>Figure 21 : Part de chaque filière dans la production primaire d’énergies renouvelables en 2021 – * Hydraulique hors pompage</w:t>
        </w:r>
        <w:r w:rsidR="00AB51D9">
          <w:rPr>
            <w:noProof/>
            <w:webHidden/>
          </w:rPr>
          <w:tab/>
        </w:r>
        <w:r w:rsidR="00AB51D9">
          <w:rPr>
            <w:noProof/>
            <w:webHidden/>
          </w:rPr>
          <w:fldChar w:fldCharType="begin"/>
        </w:r>
        <w:r w:rsidR="00AB51D9">
          <w:rPr>
            <w:noProof/>
            <w:webHidden/>
          </w:rPr>
          <w:instrText xml:space="preserve"> PAGEREF _Toc123916432 \h </w:instrText>
        </w:r>
        <w:r w:rsidR="00AB51D9">
          <w:rPr>
            <w:noProof/>
            <w:webHidden/>
          </w:rPr>
        </w:r>
        <w:r w:rsidR="00AB51D9">
          <w:rPr>
            <w:noProof/>
            <w:webHidden/>
          </w:rPr>
          <w:fldChar w:fldCharType="separate"/>
        </w:r>
        <w:r w:rsidR="00AB51D9">
          <w:rPr>
            <w:noProof/>
            <w:webHidden/>
          </w:rPr>
          <w:t>47</w:t>
        </w:r>
        <w:r w:rsidR="00AB51D9">
          <w:rPr>
            <w:noProof/>
            <w:webHidden/>
          </w:rPr>
          <w:fldChar w:fldCharType="end"/>
        </w:r>
      </w:hyperlink>
    </w:p>
    <w:p w14:paraId="5A9435A2" w14:textId="0AD0E37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3" w:history="1">
        <w:r w:rsidR="00AB51D9" w:rsidRPr="008234EE">
          <w:rPr>
            <w:rStyle w:val="Hyperlink"/>
            <w:noProof/>
          </w:rPr>
          <w:t>Figure 22 : Indice mensuel de la production industrielle depuis 205, base de référence 100 en 2015.</w:t>
        </w:r>
        <w:r w:rsidR="00AB51D9">
          <w:rPr>
            <w:noProof/>
            <w:webHidden/>
          </w:rPr>
          <w:tab/>
        </w:r>
        <w:r w:rsidR="00AB51D9">
          <w:rPr>
            <w:noProof/>
            <w:webHidden/>
          </w:rPr>
          <w:fldChar w:fldCharType="begin"/>
        </w:r>
        <w:r w:rsidR="00AB51D9">
          <w:rPr>
            <w:noProof/>
            <w:webHidden/>
          </w:rPr>
          <w:instrText xml:space="preserve"> PAGEREF _Toc123916433 \h </w:instrText>
        </w:r>
        <w:r w:rsidR="00AB51D9">
          <w:rPr>
            <w:noProof/>
            <w:webHidden/>
          </w:rPr>
        </w:r>
        <w:r w:rsidR="00AB51D9">
          <w:rPr>
            <w:noProof/>
            <w:webHidden/>
          </w:rPr>
          <w:fldChar w:fldCharType="separate"/>
        </w:r>
        <w:r w:rsidR="00AB51D9">
          <w:rPr>
            <w:noProof/>
            <w:webHidden/>
          </w:rPr>
          <w:t>48</w:t>
        </w:r>
        <w:r w:rsidR="00AB51D9">
          <w:rPr>
            <w:noProof/>
            <w:webHidden/>
          </w:rPr>
          <w:fldChar w:fldCharType="end"/>
        </w:r>
      </w:hyperlink>
    </w:p>
    <w:p w14:paraId="02DA5FD0" w14:textId="314DB53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4" w:history="1">
        <w:r w:rsidR="00AB51D9" w:rsidRPr="008234EE">
          <w:rPr>
            <w:rStyle w:val="Hyperlink"/>
            <w:noProof/>
          </w:rPr>
          <w:t>Figure 23 : Evolution du nombre d’exploitations agricoles de 1970 à 2020</w:t>
        </w:r>
        <w:r w:rsidR="00AB51D9">
          <w:rPr>
            <w:noProof/>
            <w:webHidden/>
          </w:rPr>
          <w:tab/>
        </w:r>
        <w:r w:rsidR="00AB51D9">
          <w:rPr>
            <w:noProof/>
            <w:webHidden/>
          </w:rPr>
          <w:fldChar w:fldCharType="begin"/>
        </w:r>
        <w:r w:rsidR="00AB51D9">
          <w:rPr>
            <w:noProof/>
            <w:webHidden/>
          </w:rPr>
          <w:instrText xml:space="preserve"> PAGEREF _Toc123916434 \h </w:instrText>
        </w:r>
        <w:r w:rsidR="00AB51D9">
          <w:rPr>
            <w:noProof/>
            <w:webHidden/>
          </w:rPr>
        </w:r>
        <w:r w:rsidR="00AB51D9">
          <w:rPr>
            <w:noProof/>
            <w:webHidden/>
          </w:rPr>
          <w:fldChar w:fldCharType="separate"/>
        </w:r>
        <w:r w:rsidR="00AB51D9">
          <w:rPr>
            <w:noProof/>
            <w:webHidden/>
          </w:rPr>
          <w:t>49</w:t>
        </w:r>
        <w:r w:rsidR="00AB51D9">
          <w:rPr>
            <w:noProof/>
            <w:webHidden/>
          </w:rPr>
          <w:fldChar w:fldCharType="end"/>
        </w:r>
      </w:hyperlink>
    </w:p>
    <w:p w14:paraId="0E9A5C32" w14:textId="4DE4EAE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5" w:history="1">
        <w:r w:rsidR="00AB51D9" w:rsidRPr="008234EE">
          <w:rPr>
            <w:rStyle w:val="Hyperlink"/>
            <w:noProof/>
          </w:rPr>
          <w:t>Figure 24 : Evolution de la surface moyenne des exploitations agricoles</w:t>
        </w:r>
        <w:r w:rsidR="00AB51D9">
          <w:rPr>
            <w:noProof/>
            <w:webHidden/>
          </w:rPr>
          <w:tab/>
        </w:r>
        <w:r w:rsidR="00AB51D9">
          <w:rPr>
            <w:noProof/>
            <w:webHidden/>
          </w:rPr>
          <w:fldChar w:fldCharType="begin"/>
        </w:r>
        <w:r w:rsidR="00AB51D9">
          <w:rPr>
            <w:noProof/>
            <w:webHidden/>
          </w:rPr>
          <w:instrText xml:space="preserve"> PAGEREF _Toc123916435 \h </w:instrText>
        </w:r>
        <w:r w:rsidR="00AB51D9">
          <w:rPr>
            <w:noProof/>
            <w:webHidden/>
          </w:rPr>
        </w:r>
        <w:r w:rsidR="00AB51D9">
          <w:rPr>
            <w:noProof/>
            <w:webHidden/>
          </w:rPr>
          <w:fldChar w:fldCharType="separate"/>
        </w:r>
        <w:r w:rsidR="00AB51D9">
          <w:rPr>
            <w:noProof/>
            <w:webHidden/>
          </w:rPr>
          <w:t>50</w:t>
        </w:r>
        <w:r w:rsidR="00AB51D9">
          <w:rPr>
            <w:noProof/>
            <w:webHidden/>
          </w:rPr>
          <w:fldChar w:fldCharType="end"/>
        </w:r>
      </w:hyperlink>
    </w:p>
    <w:p w14:paraId="52CFB565" w14:textId="7279FF5A"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6" w:history="1">
        <w:r w:rsidR="00AB51D9" w:rsidRPr="008234EE">
          <w:rPr>
            <w:rStyle w:val="Hyperlink"/>
            <w:noProof/>
          </w:rPr>
          <w:t>Figure 25 : Nombre d’exploitations par classe de SAU</w:t>
        </w:r>
        <w:r w:rsidR="00AB51D9">
          <w:rPr>
            <w:noProof/>
            <w:webHidden/>
          </w:rPr>
          <w:tab/>
        </w:r>
        <w:r w:rsidR="00AB51D9">
          <w:rPr>
            <w:noProof/>
            <w:webHidden/>
          </w:rPr>
          <w:fldChar w:fldCharType="begin"/>
        </w:r>
        <w:r w:rsidR="00AB51D9">
          <w:rPr>
            <w:noProof/>
            <w:webHidden/>
          </w:rPr>
          <w:instrText xml:space="preserve"> PAGEREF _Toc123916436 \h </w:instrText>
        </w:r>
        <w:r w:rsidR="00AB51D9">
          <w:rPr>
            <w:noProof/>
            <w:webHidden/>
          </w:rPr>
        </w:r>
        <w:r w:rsidR="00AB51D9">
          <w:rPr>
            <w:noProof/>
            <w:webHidden/>
          </w:rPr>
          <w:fldChar w:fldCharType="separate"/>
        </w:r>
        <w:r w:rsidR="00AB51D9">
          <w:rPr>
            <w:noProof/>
            <w:webHidden/>
          </w:rPr>
          <w:t>50</w:t>
        </w:r>
        <w:r w:rsidR="00AB51D9">
          <w:rPr>
            <w:noProof/>
            <w:webHidden/>
          </w:rPr>
          <w:fldChar w:fldCharType="end"/>
        </w:r>
      </w:hyperlink>
    </w:p>
    <w:p w14:paraId="056EBC43" w14:textId="15767569"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7" w:history="1">
        <w:r w:rsidR="00AB51D9" w:rsidRPr="008234EE">
          <w:rPr>
            <w:rStyle w:val="Hyperlink"/>
            <w:noProof/>
          </w:rPr>
          <w:t>Figure 26 : Part de la SAU selon la spécialisation des exploitations</w:t>
        </w:r>
        <w:r w:rsidR="00AB51D9">
          <w:rPr>
            <w:noProof/>
            <w:webHidden/>
          </w:rPr>
          <w:tab/>
        </w:r>
        <w:r w:rsidR="00AB51D9">
          <w:rPr>
            <w:noProof/>
            <w:webHidden/>
          </w:rPr>
          <w:fldChar w:fldCharType="begin"/>
        </w:r>
        <w:r w:rsidR="00AB51D9">
          <w:rPr>
            <w:noProof/>
            <w:webHidden/>
          </w:rPr>
          <w:instrText xml:space="preserve"> PAGEREF _Toc123916437 \h </w:instrText>
        </w:r>
        <w:r w:rsidR="00AB51D9">
          <w:rPr>
            <w:noProof/>
            <w:webHidden/>
          </w:rPr>
        </w:r>
        <w:r w:rsidR="00AB51D9">
          <w:rPr>
            <w:noProof/>
            <w:webHidden/>
          </w:rPr>
          <w:fldChar w:fldCharType="separate"/>
        </w:r>
        <w:r w:rsidR="00AB51D9">
          <w:rPr>
            <w:noProof/>
            <w:webHidden/>
          </w:rPr>
          <w:t>51</w:t>
        </w:r>
        <w:r w:rsidR="00AB51D9">
          <w:rPr>
            <w:noProof/>
            <w:webHidden/>
          </w:rPr>
          <w:fldChar w:fldCharType="end"/>
        </w:r>
      </w:hyperlink>
    </w:p>
    <w:p w14:paraId="0438FE48" w14:textId="49DF4CB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8" w:history="1">
        <w:r w:rsidR="00AB51D9" w:rsidRPr="008234EE">
          <w:rPr>
            <w:rStyle w:val="Hyperlink"/>
            <w:noProof/>
          </w:rPr>
          <w:t>Figure 27 : Evolution de l’emplois agricoles en équivalent temps plein de 1970 à 2020</w:t>
        </w:r>
        <w:r w:rsidR="00AB51D9">
          <w:rPr>
            <w:noProof/>
            <w:webHidden/>
          </w:rPr>
          <w:tab/>
        </w:r>
        <w:r w:rsidR="00AB51D9">
          <w:rPr>
            <w:noProof/>
            <w:webHidden/>
          </w:rPr>
          <w:fldChar w:fldCharType="begin"/>
        </w:r>
        <w:r w:rsidR="00AB51D9">
          <w:rPr>
            <w:noProof/>
            <w:webHidden/>
          </w:rPr>
          <w:instrText xml:space="preserve"> PAGEREF _Toc123916438 \h </w:instrText>
        </w:r>
        <w:r w:rsidR="00AB51D9">
          <w:rPr>
            <w:noProof/>
            <w:webHidden/>
          </w:rPr>
        </w:r>
        <w:r w:rsidR="00AB51D9">
          <w:rPr>
            <w:noProof/>
            <w:webHidden/>
          </w:rPr>
          <w:fldChar w:fldCharType="separate"/>
        </w:r>
        <w:r w:rsidR="00AB51D9">
          <w:rPr>
            <w:noProof/>
            <w:webHidden/>
          </w:rPr>
          <w:t>51</w:t>
        </w:r>
        <w:r w:rsidR="00AB51D9">
          <w:rPr>
            <w:noProof/>
            <w:webHidden/>
          </w:rPr>
          <w:fldChar w:fldCharType="end"/>
        </w:r>
      </w:hyperlink>
    </w:p>
    <w:p w14:paraId="197FBC84" w14:textId="66AEB67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39" w:history="1">
        <w:r w:rsidR="00AB51D9" w:rsidRPr="008234EE">
          <w:rPr>
            <w:rStyle w:val="Hyperlink"/>
            <w:noProof/>
          </w:rPr>
          <w:t>Figure 28 : Evolution de la surface forestière en France de 1840 à 2021</w:t>
        </w:r>
        <w:r w:rsidR="00AB51D9">
          <w:rPr>
            <w:noProof/>
            <w:webHidden/>
          </w:rPr>
          <w:tab/>
        </w:r>
        <w:r w:rsidR="00AB51D9">
          <w:rPr>
            <w:noProof/>
            <w:webHidden/>
          </w:rPr>
          <w:fldChar w:fldCharType="begin"/>
        </w:r>
        <w:r w:rsidR="00AB51D9">
          <w:rPr>
            <w:noProof/>
            <w:webHidden/>
          </w:rPr>
          <w:instrText xml:space="preserve"> PAGEREF _Toc123916439 \h </w:instrText>
        </w:r>
        <w:r w:rsidR="00AB51D9">
          <w:rPr>
            <w:noProof/>
            <w:webHidden/>
          </w:rPr>
        </w:r>
        <w:r w:rsidR="00AB51D9">
          <w:rPr>
            <w:noProof/>
            <w:webHidden/>
          </w:rPr>
          <w:fldChar w:fldCharType="separate"/>
        </w:r>
        <w:r w:rsidR="00AB51D9">
          <w:rPr>
            <w:noProof/>
            <w:webHidden/>
          </w:rPr>
          <w:t>52</w:t>
        </w:r>
        <w:r w:rsidR="00AB51D9">
          <w:rPr>
            <w:noProof/>
            <w:webHidden/>
          </w:rPr>
          <w:fldChar w:fldCharType="end"/>
        </w:r>
      </w:hyperlink>
    </w:p>
    <w:p w14:paraId="546FDBCF" w14:textId="4F7C1FE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0" w:history="1">
        <w:r w:rsidR="00AB51D9" w:rsidRPr="008234EE">
          <w:rPr>
            <w:rStyle w:val="Hyperlink"/>
            <w:noProof/>
          </w:rPr>
          <w:t>Figure 29 : Évolution du total des émissions de GES entre 1990 et 2020 de la France en millions de tonnes équivalent CO</w:t>
        </w:r>
        <w:r w:rsidR="00AB51D9" w:rsidRPr="008234EE">
          <w:rPr>
            <w:rStyle w:val="Hyperlink"/>
            <w:noProof/>
            <w:vertAlign w:val="subscript"/>
          </w:rPr>
          <w:t>2</w:t>
        </w:r>
        <w:r w:rsidR="00AB51D9">
          <w:rPr>
            <w:noProof/>
            <w:webHidden/>
          </w:rPr>
          <w:tab/>
        </w:r>
        <w:r w:rsidR="00AB51D9">
          <w:rPr>
            <w:noProof/>
            <w:webHidden/>
          </w:rPr>
          <w:fldChar w:fldCharType="begin"/>
        </w:r>
        <w:r w:rsidR="00AB51D9">
          <w:rPr>
            <w:noProof/>
            <w:webHidden/>
          </w:rPr>
          <w:instrText xml:space="preserve"> PAGEREF _Toc123916440 \h </w:instrText>
        </w:r>
        <w:r w:rsidR="00AB51D9">
          <w:rPr>
            <w:noProof/>
            <w:webHidden/>
          </w:rPr>
        </w:r>
        <w:r w:rsidR="00AB51D9">
          <w:rPr>
            <w:noProof/>
            <w:webHidden/>
          </w:rPr>
          <w:fldChar w:fldCharType="separate"/>
        </w:r>
        <w:r w:rsidR="00AB51D9">
          <w:rPr>
            <w:noProof/>
            <w:webHidden/>
          </w:rPr>
          <w:t>55</w:t>
        </w:r>
        <w:r w:rsidR="00AB51D9">
          <w:rPr>
            <w:noProof/>
            <w:webHidden/>
          </w:rPr>
          <w:fldChar w:fldCharType="end"/>
        </w:r>
      </w:hyperlink>
    </w:p>
    <w:p w14:paraId="62507574" w14:textId="641F052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1" w:history="1">
        <w:r w:rsidR="00AB51D9" w:rsidRPr="008234EE">
          <w:rPr>
            <w:rStyle w:val="Hyperlink"/>
            <w:noProof/>
          </w:rPr>
          <w:t>Figure 30 : Émissions de CO</w:t>
        </w:r>
        <w:r w:rsidR="00AB51D9" w:rsidRPr="008234EE">
          <w:rPr>
            <w:rStyle w:val="Hyperlink"/>
            <w:noProof/>
            <w:vertAlign w:val="subscript"/>
          </w:rPr>
          <w:t>2</w:t>
        </w:r>
        <w:r w:rsidR="00AB51D9" w:rsidRPr="008234EE">
          <w:rPr>
            <w:rStyle w:val="Hyperlink"/>
            <w:noProof/>
          </w:rPr>
          <w:t>, CH</w:t>
        </w:r>
        <w:r w:rsidR="00AB51D9" w:rsidRPr="008234EE">
          <w:rPr>
            <w:rStyle w:val="Hyperlink"/>
            <w:noProof/>
            <w:vertAlign w:val="subscript"/>
          </w:rPr>
          <w:t>4</w:t>
        </w:r>
        <w:r w:rsidR="00AB51D9" w:rsidRPr="008234EE">
          <w:rPr>
            <w:rStyle w:val="Hyperlink"/>
            <w:noProof/>
          </w:rPr>
          <w:t xml:space="preserve"> , N</w:t>
        </w:r>
        <w:r w:rsidR="00AB51D9" w:rsidRPr="008234EE">
          <w:rPr>
            <w:rStyle w:val="Hyperlink"/>
            <w:noProof/>
            <w:vertAlign w:val="subscript"/>
          </w:rPr>
          <w:t>2</w:t>
        </w:r>
        <w:r w:rsidR="00AB51D9" w:rsidRPr="008234EE">
          <w:rPr>
            <w:rStyle w:val="Hyperlink"/>
            <w:noProof/>
          </w:rPr>
          <w:t>O , HFCs et PFCs depuis 1990 en millions de tonnes équivalent CO</w:t>
        </w:r>
        <w:r w:rsidR="00AB51D9" w:rsidRPr="008234EE">
          <w:rPr>
            <w:rStyle w:val="Hyperlink"/>
            <w:noProof/>
            <w:vertAlign w:val="subscript"/>
          </w:rPr>
          <w:t>2</w:t>
        </w:r>
        <w:r w:rsidR="00AB51D9">
          <w:rPr>
            <w:noProof/>
            <w:webHidden/>
          </w:rPr>
          <w:tab/>
        </w:r>
        <w:r w:rsidR="00AB51D9">
          <w:rPr>
            <w:noProof/>
            <w:webHidden/>
          </w:rPr>
          <w:fldChar w:fldCharType="begin"/>
        </w:r>
        <w:r w:rsidR="00AB51D9">
          <w:rPr>
            <w:noProof/>
            <w:webHidden/>
          </w:rPr>
          <w:instrText xml:space="preserve"> PAGEREF _Toc123916441 \h </w:instrText>
        </w:r>
        <w:r w:rsidR="00AB51D9">
          <w:rPr>
            <w:noProof/>
            <w:webHidden/>
          </w:rPr>
        </w:r>
        <w:r w:rsidR="00AB51D9">
          <w:rPr>
            <w:noProof/>
            <w:webHidden/>
          </w:rPr>
          <w:fldChar w:fldCharType="separate"/>
        </w:r>
        <w:r w:rsidR="00AB51D9">
          <w:rPr>
            <w:noProof/>
            <w:webHidden/>
          </w:rPr>
          <w:t>60</w:t>
        </w:r>
        <w:r w:rsidR="00AB51D9">
          <w:rPr>
            <w:noProof/>
            <w:webHidden/>
          </w:rPr>
          <w:fldChar w:fldCharType="end"/>
        </w:r>
      </w:hyperlink>
    </w:p>
    <w:p w14:paraId="43B6DA80" w14:textId="588580F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2" w:history="1">
        <w:r w:rsidR="00AB51D9" w:rsidRPr="008234EE">
          <w:rPr>
            <w:rStyle w:val="Hyperlink"/>
            <w:noProof/>
          </w:rPr>
          <w:t>Figure 31 : Evolution de la part des différents gaz fluorés depuis 1990</w:t>
        </w:r>
        <w:r w:rsidR="00AB51D9">
          <w:rPr>
            <w:noProof/>
            <w:webHidden/>
          </w:rPr>
          <w:tab/>
        </w:r>
        <w:r w:rsidR="00AB51D9">
          <w:rPr>
            <w:noProof/>
            <w:webHidden/>
          </w:rPr>
          <w:fldChar w:fldCharType="begin"/>
        </w:r>
        <w:r w:rsidR="00AB51D9">
          <w:rPr>
            <w:noProof/>
            <w:webHidden/>
          </w:rPr>
          <w:instrText xml:space="preserve"> PAGEREF _Toc123916442 \h </w:instrText>
        </w:r>
        <w:r w:rsidR="00AB51D9">
          <w:rPr>
            <w:noProof/>
            <w:webHidden/>
          </w:rPr>
        </w:r>
        <w:r w:rsidR="00AB51D9">
          <w:rPr>
            <w:noProof/>
            <w:webHidden/>
          </w:rPr>
          <w:fldChar w:fldCharType="separate"/>
        </w:r>
        <w:r w:rsidR="00AB51D9">
          <w:rPr>
            <w:noProof/>
            <w:webHidden/>
          </w:rPr>
          <w:t>61</w:t>
        </w:r>
        <w:r w:rsidR="00AB51D9">
          <w:rPr>
            <w:noProof/>
            <w:webHidden/>
          </w:rPr>
          <w:fldChar w:fldCharType="end"/>
        </w:r>
      </w:hyperlink>
    </w:p>
    <w:p w14:paraId="58E947E6" w14:textId="184512C0"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3" w:history="1">
        <w:r w:rsidR="00AB51D9" w:rsidRPr="008234EE">
          <w:rPr>
            <w:rStyle w:val="Hyperlink"/>
            <w:noProof/>
          </w:rPr>
          <w:t>Figure 32 : Répartition des émissions de CO</w:t>
        </w:r>
        <w:r w:rsidR="00AB51D9" w:rsidRPr="008234EE">
          <w:rPr>
            <w:rStyle w:val="Hyperlink"/>
            <w:noProof/>
            <w:vertAlign w:val="subscript"/>
          </w:rPr>
          <w:t>2</w:t>
        </w:r>
        <w:r w:rsidR="00AB51D9" w:rsidRPr="008234EE">
          <w:rPr>
            <w:rStyle w:val="Hyperlink"/>
            <w:noProof/>
          </w:rPr>
          <w:t xml:space="preserve"> en 2020</w:t>
        </w:r>
        <w:r w:rsidR="00AB51D9">
          <w:rPr>
            <w:noProof/>
            <w:webHidden/>
          </w:rPr>
          <w:tab/>
        </w:r>
        <w:r w:rsidR="00AB51D9">
          <w:rPr>
            <w:noProof/>
            <w:webHidden/>
          </w:rPr>
          <w:fldChar w:fldCharType="begin"/>
        </w:r>
        <w:r w:rsidR="00AB51D9">
          <w:rPr>
            <w:noProof/>
            <w:webHidden/>
          </w:rPr>
          <w:instrText xml:space="preserve"> PAGEREF _Toc123916443 \h </w:instrText>
        </w:r>
        <w:r w:rsidR="00AB51D9">
          <w:rPr>
            <w:noProof/>
            <w:webHidden/>
          </w:rPr>
        </w:r>
        <w:r w:rsidR="00AB51D9">
          <w:rPr>
            <w:noProof/>
            <w:webHidden/>
          </w:rPr>
          <w:fldChar w:fldCharType="separate"/>
        </w:r>
        <w:r w:rsidR="00AB51D9">
          <w:rPr>
            <w:noProof/>
            <w:webHidden/>
          </w:rPr>
          <w:t>62</w:t>
        </w:r>
        <w:r w:rsidR="00AB51D9">
          <w:rPr>
            <w:noProof/>
            <w:webHidden/>
          </w:rPr>
          <w:fldChar w:fldCharType="end"/>
        </w:r>
      </w:hyperlink>
    </w:p>
    <w:p w14:paraId="087835DF" w14:textId="1BA199B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4" w:history="1">
        <w:r w:rsidR="00AB51D9" w:rsidRPr="008234EE">
          <w:rPr>
            <w:rStyle w:val="Hyperlink"/>
            <w:noProof/>
          </w:rPr>
          <w:t>Figure 33 : Répartition des émissions de CH</w:t>
        </w:r>
        <w:r w:rsidR="00AB51D9" w:rsidRPr="008234EE">
          <w:rPr>
            <w:rStyle w:val="Hyperlink"/>
            <w:noProof/>
            <w:vertAlign w:val="subscript"/>
          </w:rPr>
          <w:t>4</w:t>
        </w:r>
        <w:r w:rsidR="00AB51D9" w:rsidRPr="008234EE">
          <w:rPr>
            <w:rStyle w:val="Hyperlink"/>
            <w:noProof/>
          </w:rPr>
          <w:t xml:space="preserve"> en 2020</w:t>
        </w:r>
        <w:r w:rsidR="00AB51D9">
          <w:rPr>
            <w:noProof/>
            <w:webHidden/>
          </w:rPr>
          <w:tab/>
        </w:r>
        <w:r w:rsidR="00AB51D9">
          <w:rPr>
            <w:noProof/>
            <w:webHidden/>
          </w:rPr>
          <w:fldChar w:fldCharType="begin"/>
        </w:r>
        <w:r w:rsidR="00AB51D9">
          <w:rPr>
            <w:noProof/>
            <w:webHidden/>
          </w:rPr>
          <w:instrText xml:space="preserve"> PAGEREF _Toc123916444 \h </w:instrText>
        </w:r>
        <w:r w:rsidR="00AB51D9">
          <w:rPr>
            <w:noProof/>
            <w:webHidden/>
          </w:rPr>
        </w:r>
        <w:r w:rsidR="00AB51D9">
          <w:rPr>
            <w:noProof/>
            <w:webHidden/>
          </w:rPr>
          <w:fldChar w:fldCharType="separate"/>
        </w:r>
        <w:r w:rsidR="00AB51D9">
          <w:rPr>
            <w:noProof/>
            <w:webHidden/>
          </w:rPr>
          <w:t>62</w:t>
        </w:r>
        <w:r w:rsidR="00AB51D9">
          <w:rPr>
            <w:noProof/>
            <w:webHidden/>
          </w:rPr>
          <w:fldChar w:fldCharType="end"/>
        </w:r>
      </w:hyperlink>
    </w:p>
    <w:p w14:paraId="06B77465" w14:textId="42219BB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5" w:history="1">
        <w:r w:rsidR="00AB51D9" w:rsidRPr="008234EE">
          <w:rPr>
            <w:rStyle w:val="Hyperlink"/>
            <w:noProof/>
          </w:rPr>
          <w:t>Figure 34 : Répartition des émissions de N</w:t>
        </w:r>
        <w:r w:rsidR="00AB51D9" w:rsidRPr="008234EE">
          <w:rPr>
            <w:rStyle w:val="Hyperlink"/>
            <w:noProof/>
            <w:vertAlign w:val="subscript"/>
          </w:rPr>
          <w:t>2</w:t>
        </w:r>
        <w:r w:rsidR="00AB51D9" w:rsidRPr="008234EE">
          <w:rPr>
            <w:rStyle w:val="Hyperlink"/>
            <w:noProof/>
          </w:rPr>
          <w:t>O en 2020</w:t>
        </w:r>
        <w:r w:rsidR="00AB51D9">
          <w:rPr>
            <w:noProof/>
            <w:webHidden/>
          </w:rPr>
          <w:tab/>
        </w:r>
        <w:r w:rsidR="00AB51D9">
          <w:rPr>
            <w:noProof/>
            <w:webHidden/>
          </w:rPr>
          <w:fldChar w:fldCharType="begin"/>
        </w:r>
        <w:r w:rsidR="00AB51D9">
          <w:rPr>
            <w:noProof/>
            <w:webHidden/>
          </w:rPr>
          <w:instrText xml:space="preserve"> PAGEREF _Toc123916445 \h </w:instrText>
        </w:r>
        <w:r w:rsidR="00AB51D9">
          <w:rPr>
            <w:noProof/>
            <w:webHidden/>
          </w:rPr>
        </w:r>
        <w:r w:rsidR="00AB51D9">
          <w:rPr>
            <w:noProof/>
            <w:webHidden/>
          </w:rPr>
          <w:fldChar w:fldCharType="separate"/>
        </w:r>
        <w:r w:rsidR="00AB51D9">
          <w:rPr>
            <w:noProof/>
            <w:webHidden/>
          </w:rPr>
          <w:t>63</w:t>
        </w:r>
        <w:r w:rsidR="00AB51D9">
          <w:rPr>
            <w:noProof/>
            <w:webHidden/>
          </w:rPr>
          <w:fldChar w:fldCharType="end"/>
        </w:r>
      </w:hyperlink>
    </w:p>
    <w:p w14:paraId="46F90C00" w14:textId="6E9289B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6" w:history="1">
        <w:r w:rsidR="00AB51D9" w:rsidRPr="008234EE">
          <w:rPr>
            <w:rStyle w:val="Hyperlink"/>
            <w:noProof/>
          </w:rPr>
          <w:t>Figure 35 : Répartition des émissions de N</w:t>
        </w:r>
        <w:r w:rsidR="00AB51D9" w:rsidRPr="008234EE">
          <w:rPr>
            <w:rStyle w:val="Hyperlink"/>
            <w:noProof/>
            <w:vertAlign w:val="subscript"/>
          </w:rPr>
          <w:t>2</w:t>
        </w:r>
        <w:r w:rsidR="00AB51D9" w:rsidRPr="008234EE">
          <w:rPr>
            <w:rStyle w:val="Hyperlink"/>
            <w:noProof/>
          </w:rPr>
          <w:t>O en 2020</w:t>
        </w:r>
        <w:r w:rsidR="00AB51D9">
          <w:rPr>
            <w:noProof/>
            <w:webHidden/>
          </w:rPr>
          <w:tab/>
        </w:r>
        <w:r w:rsidR="00AB51D9">
          <w:rPr>
            <w:noProof/>
            <w:webHidden/>
          </w:rPr>
          <w:fldChar w:fldCharType="begin"/>
        </w:r>
        <w:r w:rsidR="00AB51D9">
          <w:rPr>
            <w:noProof/>
            <w:webHidden/>
          </w:rPr>
          <w:instrText xml:space="preserve"> PAGEREF _Toc123916446 \h </w:instrText>
        </w:r>
        <w:r w:rsidR="00AB51D9">
          <w:rPr>
            <w:noProof/>
            <w:webHidden/>
          </w:rPr>
        </w:r>
        <w:r w:rsidR="00AB51D9">
          <w:rPr>
            <w:noProof/>
            <w:webHidden/>
          </w:rPr>
          <w:fldChar w:fldCharType="separate"/>
        </w:r>
        <w:r w:rsidR="00AB51D9">
          <w:rPr>
            <w:noProof/>
            <w:webHidden/>
          </w:rPr>
          <w:t>64</w:t>
        </w:r>
        <w:r w:rsidR="00AB51D9">
          <w:rPr>
            <w:noProof/>
            <w:webHidden/>
          </w:rPr>
          <w:fldChar w:fldCharType="end"/>
        </w:r>
      </w:hyperlink>
    </w:p>
    <w:p w14:paraId="5B4E3683" w14:textId="1460573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7" w:history="1">
        <w:r w:rsidR="00AB51D9" w:rsidRPr="008234EE">
          <w:rPr>
            <w:rStyle w:val="Hyperlink"/>
            <w:noProof/>
          </w:rPr>
          <w:t>Figure 36 : Taux d’incorporation d’agro-carburants en France métropolitaine</w:t>
        </w:r>
        <w:r w:rsidR="00AB51D9">
          <w:rPr>
            <w:noProof/>
            <w:webHidden/>
          </w:rPr>
          <w:tab/>
        </w:r>
        <w:r w:rsidR="00AB51D9">
          <w:rPr>
            <w:noProof/>
            <w:webHidden/>
          </w:rPr>
          <w:fldChar w:fldCharType="begin"/>
        </w:r>
        <w:r w:rsidR="00AB51D9">
          <w:rPr>
            <w:noProof/>
            <w:webHidden/>
          </w:rPr>
          <w:instrText xml:space="preserve"> PAGEREF _Toc123916447 \h </w:instrText>
        </w:r>
        <w:r w:rsidR="00AB51D9">
          <w:rPr>
            <w:noProof/>
            <w:webHidden/>
          </w:rPr>
        </w:r>
        <w:r w:rsidR="00AB51D9">
          <w:rPr>
            <w:noProof/>
            <w:webHidden/>
          </w:rPr>
          <w:fldChar w:fldCharType="separate"/>
        </w:r>
        <w:r w:rsidR="00AB51D9">
          <w:rPr>
            <w:noProof/>
            <w:webHidden/>
          </w:rPr>
          <w:t>64</w:t>
        </w:r>
        <w:r w:rsidR="00AB51D9">
          <w:rPr>
            <w:noProof/>
            <w:webHidden/>
          </w:rPr>
          <w:fldChar w:fldCharType="end"/>
        </w:r>
      </w:hyperlink>
    </w:p>
    <w:p w14:paraId="628E299D" w14:textId="3F07C1E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8" w:history="1">
        <w:r w:rsidR="00AB51D9" w:rsidRPr="008234EE">
          <w:rPr>
            <w:rStyle w:val="Hyperlink"/>
            <w:noProof/>
          </w:rPr>
          <w:t>Figure 37 : Evolution des émissions dans l'air de CO</w:t>
        </w:r>
        <w:r w:rsidR="00AB51D9" w:rsidRPr="008234EE">
          <w:rPr>
            <w:rStyle w:val="Hyperlink"/>
            <w:noProof/>
            <w:vertAlign w:val="subscript"/>
          </w:rPr>
          <w:t>2e</w:t>
        </w:r>
        <w:r w:rsidR="00AB51D9" w:rsidRPr="008234EE">
          <w:rPr>
            <w:rStyle w:val="Hyperlink"/>
            <w:noProof/>
          </w:rPr>
          <w:t xml:space="preserve"> du secteur des transports depuis 1990 en France (Métropole et Outre-mer UE)</w:t>
        </w:r>
        <w:r w:rsidR="00AB51D9">
          <w:rPr>
            <w:noProof/>
            <w:webHidden/>
          </w:rPr>
          <w:tab/>
        </w:r>
        <w:r w:rsidR="00AB51D9">
          <w:rPr>
            <w:noProof/>
            <w:webHidden/>
          </w:rPr>
          <w:fldChar w:fldCharType="begin"/>
        </w:r>
        <w:r w:rsidR="00AB51D9">
          <w:rPr>
            <w:noProof/>
            <w:webHidden/>
          </w:rPr>
          <w:instrText xml:space="preserve"> PAGEREF _Toc123916448 \h </w:instrText>
        </w:r>
        <w:r w:rsidR="00AB51D9">
          <w:rPr>
            <w:noProof/>
            <w:webHidden/>
          </w:rPr>
        </w:r>
        <w:r w:rsidR="00AB51D9">
          <w:rPr>
            <w:noProof/>
            <w:webHidden/>
          </w:rPr>
          <w:fldChar w:fldCharType="separate"/>
        </w:r>
        <w:r w:rsidR="00AB51D9">
          <w:rPr>
            <w:noProof/>
            <w:webHidden/>
          </w:rPr>
          <w:t>65</w:t>
        </w:r>
        <w:r w:rsidR="00AB51D9">
          <w:rPr>
            <w:noProof/>
            <w:webHidden/>
          </w:rPr>
          <w:fldChar w:fldCharType="end"/>
        </w:r>
      </w:hyperlink>
    </w:p>
    <w:p w14:paraId="02DF46B4" w14:textId="25BAD01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49" w:history="1">
        <w:r w:rsidR="00AB51D9" w:rsidRPr="008234EE">
          <w:rPr>
            <w:rStyle w:val="Hyperlink"/>
            <w:noProof/>
          </w:rPr>
          <w:t>Figure 38 : Répartition des émissions de GES par mode de transport en France en 2020 (Métropole et Outre-mer UE)</w:t>
        </w:r>
        <w:r w:rsidR="00AB51D9">
          <w:rPr>
            <w:noProof/>
            <w:webHidden/>
          </w:rPr>
          <w:tab/>
        </w:r>
        <w:r w:rsidR="00AB51D9">
          <w:rPr>
            <w:noProof/>
            <w:webHidden/>
          </w:rPr>
          <w:fldChar w:fldCharType="begin"/>
        </w:r>
        <w:r w:rsidR="00AB51D9">
          <w:rPr>
            <w:noProof/>
            <w:webHidden/>
          </w:rPr>
          <w:instrText xml:space="preserve"> PAGEREF _Toc123916449 \h </w:instrText>
        </w:r>
        <w:r w:rsidR="00AB51D9">
          <w:rPr>
            <w:noProof/>
            <w:webHidden/>
          </w:rPr>
        </w:r>
        <w:r w:rsidR="00AB51D9">
          <w:rPr>
            <w:noProof/>
            <w:webHidden/>
          </w:rPr>
          <w:fldChar w:fldCharType="separate"/>
        </w:r>
        <w:r w:rsidR="00AB51D9">
          <w:rPr>
            <w:noProof/>
            <w:webHidden/>
          </w:rPr>
          <w:t>65</w:t>
        </w:r>
        <w:r w:rsidR="00AB51D9">
          <w:rPr>
            <w:noProof/>
            <w:webHidden/>
          </w:rPr>
          <w:fldChar w:fldCharType="end"/>
        </w:r>
      </w:hyperlink>
    </w:p>
    <w:p w14:paraId="4AA812A0" w14:textId="2920458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0" w:history="1">
        <w:r w:rsidR="00AB51D9" w:rsidRPr="008234EE">
          <w:rPr>
            <w:rStyle w:val="Hyperlink"/>
            <w:noProof/>
          </w:rPr>
          <w:t>Figure 39 : Emissions des secteurs autres que routier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_Toc123916450 \h </w:instrText>
        </w:r>
        <w:r w:rsidR="00AB51D9">
          <w:rPr>
            <w:noProof/>
            <w:webHidden/>
          </w:rPr>
        </w:r>
        <w:r w:rsidR="00AB51D9">
          <w:rPr>
            <w:noProof/>
            <w:webHidden/>
          </w:rPr>
          <w:fldChar w:fldCharType="separate"/>
        </w:r>
        <w:r w:rsidR="00AB51D9">
          <w:rPr>
            <w:noProof/>
            <w:webHidden/>
          </w:rPr>
          <w:t>66</w:t>
        </w:r>
        <w:r w:rsidR="00AB51D9">
          <w:rPr>
            <w:noProof/>
            <w:webHidden/>
          </w:rPr>
          <w:fldChar w:fldCharType="end"/>
        </w:r>
      </w:hyperlink>
    </w:p>
    <w:p w14:paraId="2CDF568D" w14:textId="0E62B890"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1" w:history="1">
        <w:r w:rsidR="00AB51D9" w:rsidRPr="008234EE">
          <w:rPr>
            <w:rStyle w:val="Hyperlink"/>
            <w:noProof/>
          </w:rPr>
          <w:t>Figure 40 : Emissions des secteurs résidentiel et tertiaire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_Toc123916451 \h </w:instrText>
        </w:r>
        <w:r w:rsidR="00AB51D9">
          <w:rPr>
            <w:noProof/>
            <w:webHidden/>
          </w:rPr>
        </w:r>
        <w:r w:rsidR="00AB51D9">
          <w:rPr>
            <w:noProof/>
            <w:webHidden/>
          </w:rPr>
          <w:fldChar w:fldCharType="separate"/>
        </w:r>
        <w:r w:rsidR="00AB51D9">
          <w:rPr>
            <w:noProof/>
            <w:webHidden/>
          </w:rPr>
          <w:t>67</w:t>
        </w:r>
        <w:r w:rsidR="00AB51D9">
          <w:rPr>
            <w:noProof/>
            <w:webHidden/>
          </w:rPr>
          <w:fldChar w:fldCharType="end"/>
        </w:r>
      </w:hyperlink>
    </w:p>
    <w:p w14:paraId="0F082236" w14:textId="0588974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2" w:history="1">
        <w:r w:rsidR="00AB51D9" w:rsidRPr="008234EE">
          <w:rPr>
            <w:rStyle w:val="Hyperlink"/>
            <w:noProof/>
          </w:rPr>
          <w:t>Figure 41 : Emissions des secteurs de l’industrie manufacturière et la construction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_Toc123916452 \h </w:instrText>
        </w:r>
        <w:r w:rsidR="00AB51D9">
          <w:rPr>
            <w:noProof/>
            <w:webHidden/>
          </w:rPr>
        </w:r>
        <w:r w:rsidR="00AB51D9">
          <w:rPr>
            <w:noProof/>
            <w:webHidden/>
          </w:rPr>
          <w:fldChar w:fldCharType="separate"/>
        </w:r>
        <w:r w:rsidR="00AB51D9">
          <w:rPr>
            <w:noProof/>
            <w:webHidden/>
          </w:rPr>
          <w:t>67</w:t>
        </w:r>
        <w:r w:rsidR="00AB51D9">
          <w:rPr>
            <w:noProof/>
            <w:webHidden/>
          </w:rPr>
          <w:fldChar w:fldCharType="end"/>
        </w:r>
      </w:hyperlink>
    </w:p>
    <w:p w14:paraId="461533EE" w14:textId="373FD0F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3" w:history="1">
        <w:r w:rsidR="00AB51D9" w:rsidRPr="008234EE">
          <w:rPr>
            <w:rStyle w:val="Hyperlink"/>
            <w:noProof/>
          </w:rPr>
          <w:t>Figure 42 : Emissions des secteurs de l’industrie de l’énergie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_Toc123916453 \h </w:instrText>
        </w:r>
        <w:r w:rsidR="00AB51D9">
          <w:rPr>
            <w:noProof/>
            <w:webHidden/>
          </w:rPr>
        </w:r>
        <w:r w:rsidR="00AB51D9">
          <w:rPr>
            <w:noProof/>
            <w:webHidden/>
          </w:rPr>
          <w:fldChar w:fldCharType="separate"/>
        </w:r>
        <w:r w:rsidR="00AB51D9">
          <w:rPr>
            <w:noProof/>
            <w:webHidden/>
          </w:rPr>
          <w:t>68</w:t>
        </w:r>
        <w:r w:rsidR="00AB51D9">
          <w:rPr>
            <w:noProof/>
            <w:webHidden/>
          </w:rPr>
          <w:fldChar w:fldCharType="end"/>
        </w:r>
      </w:hyperlink>
    </w:p>
    <w:p w14:paraId="367601C9" w14:textId="0A01590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4" w:history="1">
        <w:r w:rsidR="00AB51D9" w:rsidRPr="008234EE">
          <w:rPr>
            <w:rStyle w:val="Hyperlink"/>
            <w:noProof/>
          </w:rPr>
          <w:t>Figure 43 : Emissions du secteur agricole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_Toc123916454 \h </w:instrText>
        </w:r>
        <w:r w:rsidR="00AB51D9">
          <w:rPr>
            <w:noProof/>
            <w:webHidden/>
          </w:rPr>
        </w:r>
        <w:r w:rsidR="00AB51D9">
          <w:rPr>
            <w:noProof/>
            <w:webHidden/>
          </w:rPr>
          <w:fldChar w:fldCharType="separate"/>
        </w:r>
        <w:r w:rsidR="00AB51D9">
          <w:rPr>
            <w:noProof/>
            <w:webHidden/>
          </w:rPr>
          <w:t>69</w:t>
        </w:r>
        <w:r w:rsidR="00AB51D9">
          <w:rPr>
            <w:noProof/>
            <w:webHidden/>
          </w:rPr>
          <w:fldChar w:fldCharType="end"/>
        </w:r>
      </w:hyperlink>
    </w:p>
    <w:p w14:paraId="682F4B11" w14:textId="5E1C163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5" w:history="1">
        <w:r w:rsidR="00AB51D9" w:rsidRPr="008234EE">
          <w:rPr>
            <w:rStyle w:val="Hyperlink"/>
            <w:noProof/>
          </w:rPr>
          <w:t>Figure 44 : Emissions du secteur agricole depuis 1990 par gaz,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_Toc123916455 \h </w:instrText>
        </w:r>
        <w:r w:rsidR="00AB51D9">
          <w:rPr>
            <w:noProof/>
            <w:webHidden/>
          </w:rPr>
        </w:r>
        <w:r w:rsidR="00AB51D9">
          <w:rPr>
            <w:noProof/>
            <w:webHidden/>
          </w:rPr>
          <w:fldChar w:fldCharType="separate"/>
        </w:r>
        <w:r w:rsidR="00AB51D9">
          <w:rPr>
            <w:noProof/>
            <w:webHidden/>
          </w:rPr>
          <w:t>69</w:t>
        </w:r>
        <w:r w:rsidR="00AB51D9">
          <w:rPr>
            <w:noProof/>
            <w:webHidden/>
          </w:rPr>
          <w:fldChar w:fldCharType="end"/>
        </w:r>
      </w:hyperlink>
    </w:p>
    <w:p w14:paraId="795FBD37" w14:textId="03DA12D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6" w:history="1">
        <w:r w:rsidR="00AB51D9" w:rsidRPr="008234EE">
          <w:rPr>
            <w:rStyle w:val="Hyperlink"/>
            <w:noProof/>
          </w:rPr>
          <w:t>Figure 45 : Emissions du secteur UTCATF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_Toc123916456 \h </w:instrText>
        </w:r>
        <w:r w:rsidR="00AB51D9">
          <w:rPr>
            <w:noProof/>
            <w:webHidden/>
          </w:rPr>
        </w:r>
        <w:r w:rsidR="00AB51D9">
          <w:rPr>
            <w:noProof/>
            <w:webHidden/>
          </w:rPr>
          <w:fldChar w:fldCharType="separate"/>
        </w:r>
        <w:r w:rsidR="00AB51D9">
          <w:rPr>
            <w:noProof/>
            <w:webHidden/>
          </w:rPr>
          <w:t>70</w:t>
        </w:r>
        <w:r w:rsidR="00AB51D9">
          <w:rPr>
            <w:noProof/>
            <w:webHidden/>
          </w:rPr>
          <w:fldChar w:fldCharType="end"/>
        </w:r>
      </w:hyperlink>
    </w:p>
    <w:p w14:paraId="68EAD25A" w14:textId="3A09A88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7" w:history="1">
        <w:r w:rsidR="00AB51D9" w:rsidRPr="008234EE">
          <w:rPr>
            <w:rStyle w:val="Hyperlink"/>
            <w:noProof/>
          </w:rPr>
          <w:t>Figure 46 : Emissions du secteur des déchets depuis 1990, en MtCO</w:t>
        </w:r>
        <w:r w:rsidR="00AB51D9" w:rsidRPr="008234EE">
          <w:rPr>
            <w:rStyle w:val="Hyperlink"/>
            <w:noProof/>
            <w:vertAlign w:val="subscript"/>
          </w:rPr>
          <w:t>2e</w:t>
        </w:r>
        <w:r w:rsidR="00AB51D9" w:rsidRPr="008234EE">
          <w:rPr>
            <w:rStyle w:val="Hyperlink"/>
            <w:noProof/>
          </w:rPr>
          <w:t xml:space="preserve"> (Métropole et Outre-mer UE)</w:t>
        </w:r>
        <w:r w:rsidR="00AB51D9">
          <w:rPr>
            <w:noProof/>
            <w:webHidden/>
          </w:rPr>
          <w:tab/>
        </w:r>
        <w:r w:rsidR="00AB51D9">
          <w:rPr>
            <w:noProof/>
            <w:webHidden/>
          </w:rPr>
          <w:fldChar w:fldCharType="begin"/>
        </w:r>
        <w:r w:rsidR="00AB51D9">
          <w:rPr>
            <w:noProof/>
            <w:webHidden/>
          </w:rPr>
          <w:instrText xml:space="preserve"> PAGEREF _Toc123916457 \h </w:instrText>
        </w:r>
        <w:r w:rsidR="00AB51D9">
          <w:rPr>
            <w:noProof/>
            <w:webHidden/>
          </w:rPr>
        </w:r>
        <w:r w:rsidR="00AB51D9">
          <w:rPr>
            <w:noProof/>
            <w:webHidden/>
          </w:rPr>
          <w:fldChar w:fldCharType="separate"/>
        </w:r>
        <w:r w:rsidR="00AB51D9">
          <w:rPr>
            <w:noProof/>
            <w:webHidden/>
          </w:rPr>
          <w:t>70</w:t>
        </w:r>
        <w:r w:rsidR="00AB51D9">
          <w:rPr>
            <w:noProof/>
            <w:webHidden/>
          </w:rPr>
          <w:fldChar w:fldCharType="end"/>
        </w:r>
      </w:hyperlink>
    </w:p>
    <w:p w14:paraId="1394ABC7" w14:textId="555E06E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8" w:history="1">
        <w:r w:rsidR="00AB51D9" w:rsidRPr="008234EE">
          <w:rPr>
            <w:rStyle w:val="Hyperlink"/>
            <w:noProof/>
          </w:rPr>
          <w:t>Figure 47 : Evolution historique des émissions de GES hors secteur des terres et budgets carbone jusqu’à 2033</w:t>
        </w:r>
        <w:r w:rsidR="00AB51D9">
          <w:rPr>
            <w:noProof/>
            <w:webHidden/>
          </w:rPr>
          <w:tab/>
        </w:r>
        <w:r w:rsidR="00AB51D9">
          <w:rPr>
            <w:noProof/>
            <w:webHidden/>
          </w:rPr>
          <w:fldChar w:fldCharType="begin"/>
        </w:r>
        <w:r w:rsidR="00AB51D9">
          <w:rPr>
            <w:noProof/>
            <w:webHidden/>
          </w:rPr>
          <w:instrText xml:space="preserve"> PAGEREF _Toc123916458 \h </w:instrText>
        </w:r>
        <w:r w:rsidR="00AB51D9">
          <w:rPr>
            <w:noProof/>
            <w:webHidden/>
          </w:rPr>
        </w:r>
        <w:r w:rsidR="00AB51D9">
          <w:rPr>
            <w:noProof/>
            <w:webHidden/>
          </w:rPr>
          <w:fldChar w:fldCharType="separate"/>
        </w:r>
        <w:r w:rsidR="00AB51D9">
          <w:rPr>
            <w:noProof/>
            <w:webHidden/>
          </w:rPr>
          <w:t>87</w:t>
        </w:r>
        <w:r w:rsidR="00AB51D9">
          <w:rPr>
            <w:noProof/>
            <w:webHidden/>
          </w:rPr>
          <w:fldChar w:fldCharType="end"/>
        </w:r>
      </w:hyperlink>
    </w:p>
    <w:p w14:paraId="498EA60B" w14:textId="5CF1CB6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59" w:history="1">
        <w:r w:rsidR="00AB51D9" w:rsidRPr="008234EE">
          <w:rPr>
            <w:rStyle w:val="Hyperlink"/>
            <w:noProof/>
          </w:rPr>
          <w:t>Figure 48 : Trajectoire linéaire de réduction d’émissions pour atteindre la neutralité en 2050 et budgets carbone associés</w:t>
        </w:r>
        <w:r w:rsidR="00AB51D9">
          <w:rPr>
            <w:noProof/>
            <w:webHidden/>
          </w:rPr>
          <w:tab/>
        </w:r>
        <w:r w:rsidR="00AB51D9">
          <w:rPr>
            <w:noProof/>
            <w:webHidden/>
          </w:rPr>
          <w:fldChar w:fldCharType="begin"/>
        </w:r>
        <w:r w:rsidR="00AB51D9">
          <w:rPr>
            <w:noProof/>
            <w:webHidden/>
          </w:rPr>
          <w:instrText xml:space="preserve"> PAGEREF _Toc123916459 \h </w:instrText>
        </w:r>
        <w:r w:rsidR="00AB51D9">
          <w:rPr>
            <w:noProof/>
            <w:webHidden/>
          </w:rPr>
        </w:r>
        <w:r w:rsidR="00AB51D9">
          <w:rPr>
            <w:noProof/>
            <w:webHidden/>
          </w:rPr>
          <w:fldChar w:fldCharType="separate"/>
        </w:r>
        <w:r w:rsidR="00AB51D9">
          <w:rPr>
            <w:noProof/>
            <w:webHidden/>
          </w:rPr>
          <w:t>87</w:t>
        </w:r>
        <w:r w:rsidR="00AB51D9">
          <w:rPr>
            <w:noProof/>
            <w:webHidden/>
          </w:rPr>
          <w:fldChar w:fldCharType="end"/>
        </w:r>
      </w:hyperlink>
    </w:p>
    <w:p w14:paraId="0084C90B" w14:textId="7F28865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0" w:history="1">
        <w:r w:rsidR="00AB51D9" w:rsidRPr="008234EE">
          <w:rPr>
            <w:rStyle w:val="Hyperlink"/>
            <w:noProof/>
          </w:rPr>
          <w:t xml:space="preserve">Figure 49 : </w:t>
        </w:r>
        <w:r w:rsidR="00AB51D9" w:rsidRPr="008234EE">
          <w:rPr>
            <w:rStyle w:val="Hyperlink"/>
            <w:rFonts w:eastAsiaTheme="minorHAnsi"/>
            <w:noProof/>
          </w:rPr>
          <w:t>Evolution des ventes de voitures électriques (VE) et hybrides rechargeables (VHR)</w:t>
        </w:r>
        <w:r w:rsidR="00AB51D9">
          <w:rPr>
            <w:noProof/>
            <w:webHidden/>
          </w:rPr>
          <w:tab/>
        </w:r>
        <w:r w:rsidR="00AB51D9">
          <w:rPr>
            <w:noProof/>
            <w:webHidden/>
          </w:rPr>
          <w:fldChar w:fldCharType="begin"/>
        </w:r>
        <w:r w:rsidR="00AB51D9">
          <w:rPr>
            <w:noProof/>
            <w:webHidden/>
          </w:rPr>
          <w:instrText xml:space="preserve"> PAGEREF _Toc123916460 \h </w:instrText>
        </w:r>
        <w:r w:rsidR="00AB51D9">
          <w:rPr>
            <w:noProof/>
            <w:webHidden/>
          </w:rPr>
        </w:r>
        <w:r w:rsidR="00AB51D9">
          <w:rPr>
            <w:noProof/>
            <w:webHidden/>
          </w:rPr>
          <w:fldChar w:fldCharType="separate"/>
        </w:r>
        <w:r w:rsidR="00AB51D9">
          <w:rPr>
            <w:noProof/>
            <w:webHidden/>
          </w:rPr>
          <w:t>93</w:t>
        </w:r>
        <w:r w:rsidR="00AB51D9">
          <w:rPr>
            <w:noProof/>
            <w:webHidden/>
          </w:rPr>
          <w:fldChar w:fldCharType="end"/>
        </w:r>
      </w:hyperlink>
    </w:p>
    <w:p w14:paraId="012164B2" w14:textId="6C9943D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1" w:history="1">
        <w:r w:rsidR="00AB51D9" w:rsidRPr="008234EE">
          <w:rPr>
            <w:rStyle w:val="Hyperlink"/>
            <w:noProof/>
          </w:rPr>
          <w:t>Figure 50 : Comparaison des émissions en 2030 entre l’AME 2021 et l’AMS 2018 et effet des différents facteurs</w:t>
        </w:r>
        <w:r w:rsidR="00AB51D9">
          <w:rPr>
            <w:noProof/>
            <w:webHidden/>
          </w:rPr>
          <w:tab/>
        </w:r>
        <w:r w:rsidR="00AB51D9">
          <w:rPr>
            <w:noProof/>
            <w:webHidden/>
          </w:rPr>
          <w:fldChar w:fldCharType="begin"/>
        </w:r>
        <w:r w:rsidR="00AB51D9">
          <w:rPr>
            <w:noProof/>
            <w:webHidden/>
          </w:rPr>
          <w:instrText xml:space="preserve"> PAGEREF _Toc123916461 \h </w:instrText>
        </w:r>
        <w:r w:rsidR="00AB51D9">
          <w:rPr>
            <w:noProof/>
            <w:webHidden/>
          </w:rPr>
        </w:r>
        <w:r w:rsidR="00AB51D9">
          <w:rPr>
            <w:noProof/>
            <w:webHidden/>
          </w:rPr>
          <w:fldChar w:fldCharType="separate"/>
        </w:r>
        <w:r w:rsidR="00AB51D9">
          <w:rPr>
            <w:noProof/>
            <w:webHidden/>
          </w:rPr>
          <w:t>142</w:t>
        </w:r>
        <w:r w:rsidR="00AB51D9">
          <w:rPr>
            <w:noProof/>
            <w:webHidden/>
          </w:rPr>
          <w:fldChar w:fldCharType="end"/>
        </w:r>
      </w:hyperlink>
    </w:p>
    <w:p w14:paraId="7920AEE5" w14:textId="72ABF0C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2" w:history="1">
        <w:r w:rsidR="00AB51D9" w:rsidRPr="008234EE">
          <w:rPr>
            <w:rStyle w:val="Hyperlink"/>
            <w:noProof/>
          </w:rPr>
          <w:t>Figure 51 : Comparaison des émissions en 2050 entre l’AME 2021 et l’AMS 2018 et effet des différents facteurs</w:t>
        </w:r>
        <w:r w:rsidR="00AB51D9">
          <w:rPr>
            <w:noProof/>
            <w:webHidden/>
          </w:rPr>
          <w:tab/>
        </w:r>
        <w:r w:rsidR="00AB51D9">
          <w:rPr>
            <w:noProof/>
            <w:webHidden/>
          </w:rPr>
          <w:fldChar w:fldCharType="begin"/>
        </w:r>
        <w:r w:rsidR="00AB51D9">
          <w:rPr>
            <w:noProof/>
            <w:webHidden/>
          </w:rPr>
          <w:instrText xml:space="preserve"> PAGEREF _Toc123916462 \h </w:instrText>
        </w:r>
        <w:r w:rsidR="00AB51D9">
          <w:rPr>
            <w:noProof/>
            <w:webHidden/>
          </w:rPr>
        </w:r>
        <w:r w:rsidR="00AB51D9">
          <w:rPr>
            <w:noProof/>
            <w:webHidden/>
          </w:rPr>
          <w:fldChar w:fldCharType="separate"/>
        </w:r>
        <w:r w:rsidR="00AB51D9">
          <w:rPr>
            <w:noProof/>
            <w:webHidden/>
          </w:rPr>
          <w:t>142</w:t>
        </w:r>
        <w:r w:rsidR="00AB51D9">
          <w:rPr>
            <w:noProof/>
            <w:webHidden/>
          </w:rPr>
          <w:fldChar w:fldCharType="end"/>
        </w:r>
      </w:hyperlink>
    </w:p>
    <w:p w14:paraId="75E26F4D" w14:textId="4FEC568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3" w:history="1">
        <w:r w:rsidR="00AB51D9" w:rsidRPr="008234EE">
          <w:rPr>
            <w:rStyle w:val="Hyperlink"/>
            <w:noProof/>
          </w:rPr>
          <w:t>Figure 52 : Trajectoire des émissions hors UTCATF jusqu’à 2050</w:t>
        </w:r>
        <w:r w:rsidR="00AB51D9">
          <w:rPr>
            <w:noProof/>
            <w:webHidden/>
          </w:rPr>
          <w:tab/>
        </w:r>
        <w:r w:rsidR="00AB51D9">
          <w:rPr>
            <w:noProof/>
            <w:webHidden/>
          </w:rPr>
          <w:fldChar w:fldCharType="begin"/>
        </w:r>
        <w:r w:rsidR="00AB51D9">
          <w:rPr>
            <w:noProof/>
            <w:webHidden/>
          </w:rPr>
          <w:instrText xml:space="preserve"> PAGEREF _Toc123916463 \h </w:instrText>
        </w:r>
        <w:r w:rsidR="00AB51D9">
          <w:rPr>
            <w:noProof/>
            <w:webHidden/>
          </w:rPr>
        </w:r>
        <w:r w:rsidR="00AB51D9">
          <w:rPr>
            <w:noProof/>
            <w:webHidden/>
          </w:rPr>
          <w:fldChar w:fldCharType="separate"/>
        </w:r>
        <w:r w:rsidR="00AB51D9">
          <w:rPr>
            <w:noProof/>
            <w:webHidden/>
          </w:rPr>
          <w:t>144</w:t>
        </w:r>
        <w:r w:rsidR="00AB51D9">
          <w:rPr>
            <w:noProof/>
            <w:webHidden/>
          </w:rPr>
          <w:fldChar w:fldCharType="end"/>
        </w:r>
      </w:hyperlink>
    </w:p>
    <w:p w14:paraId="0AD4C20E" w14:textId="3BE984F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4" w:history="1">
        <w:r w:rsidR="00AB51D9" w:rsidRPr="008234EE">
          <w:rPr>
            <w:rStyle w:val="Hyperlink"/>
            <w:noProof/>
          </w:rPr>
          <w:t>Figure 53 : Trajectoire des émissions avec UTCATF jusqu’à 2050</w:t>
        </w:r>
        <w:r w:rsidR="00AB51D9">
          <w:rPr>
            <w:noProof/>
            <w:webHidden/>
          </w:rPr>
          <w:tab/>
        </w:r>
        <w:r w:rsidR="00AB51D9">
          <w:rPr>
            <w:noProof/>
            <w:webHidden/>
          </w:rPr>
          <w:fldChar w:fldCharType="begin"/>
        </w:r>
        <w:r w:rsidR="00AB51D9">
          <w:rPr>
            <w:noProof/>
            <w:webHidden/>
          </w:rPr>
          <w:instrText xml:space="preserve"> PAGEREF _Toc123916464 \h </w:instrText>
        </w:r>
        <w:r w:rsidR="00AB51D9">
          <w:rPr>
            <w:noProof/>
            <w:webHidden/>
          </w:rPr>
        </w:r>
        <w:r w:rsidR="00AB51D9">
          <w:rPr>
            <w:noProof/>
            <w:webHidden/>
          </w:rPr>
          <w:fldChar w:fldCharType="separate"/>
        </w:r>
        <w:r w:rsidR="00AB51D9">
          <w:rPr>
            <w:noProof/>
            <w:webHidden/>
          </w:rPr>
          <w:t>144</w:t>
        </w:r>
        <w:r w:rsidR="00AB51D9">
          <w:rPr>
            <w:noProof/>
            <w:webHidden/>
          </w:rPr>
          <w:fldChar w:fldCharType="end"/>
        </w:r>
      </w:hyperlink>
    </w:p>
    <w:p w14:paraId="1F2547EA" w14:textId="6CD5B1E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5" w:history="1">
        <w:r w:rsidR="00AB51D9" w:rsidRPr="008234EE">
          <w:rPr>
            <w:rStyle w:val="Hyperlink"/>
            <w:noProof/>
          </w:rPr>
          <w:t>Figure 54 : Projection par secteur en ktCO</w:t>
        </w:r>
        <w:r w:rsidR="00AB51D9" w:rsidRPr="008234EE">
          <w:rPr>
            <w:rStyle w:val="Hyperlink"/>
            <w:noProof/>
            <w:vertAlign w:val="subscript"/>
          </w:rPr>
          <w:t>2e</w:t>
        </w:r>
        <w:r w:rsidR="00AB51D9" w:rsidRPr="008234EE">
          <w:rPr>
            <w:rStyle w:val="Hyperlink"/>
            <w:noProof/>
          </w:rPr>
          <w:t>, au format Kyoto, scénario AME</w:t>
        </w:r>
        <w:r w:rsidR="00AB51D9">
          <w:rPr>
            <w:noProof/>
            <w:webHidden/>
          </w:rPr>
          <w:tab/>
        </w:r>
        <w:r w:rsidR="00AB51D9">
          <w:rPr>
            <w:noProof/>
            <w:webHidden/>
          </w:rPr>
          <w:fldChar w:fldCharType="begin"/>
        </w:r>
        <w:r w:rsidR="00AB51D9">
          <w:rPr>
            <w:noProof/>
            <w:webHidden/>
          </w:rPr>
          <w:instrText xml:space="preserve"> PAGEREF _Toc123916465 \h </w:instrText>
        </w:r>
        <w:r w:rsidR="00AB51D9">
          <w:rPr>
            <w:noProof/>
            <w:webHidden/>
          </w:rPr>
        </w:r>
        <w:r w:rsidR="00AB51D9">
          <w:rPr>
            <w:noProof/>
            <w:webHidden/>
          </w:rPr>
          <w:fldChar w:fldCharType="separate"/>
        </w:r>
        <w:r w:rsidR="00AB51D9">
          <w:rPr>
            <w:noProof/>
            <w:webHidden/>
          </w:rPr>
          <w:t>146</w:t>
        </w:r>
        <w:r w:rsidR="00AB51D9">
          <w:rPr>
            <w:noProof/>
            <w:webHidden/>
          </w:rPr>
          <w:fldChar w:fldCharType="end"/>
        </w:r>
      </w:hyperlink>
    </w:p>
    <w:p w14:paraId="744491A7" w14:textId="68BBFEF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6" w:history="1">
        <w:r w:rsidR="00AB51D9" w:rsidRPr="008234EE">
          <w:rPr>
            <w:rStyle w:val="Hyperlink"/>
            <w:noProof/>
          </w:rPr>
          <w:t>Figure 55 : Projection par secteur en ktCO</w:t>
        </w:r>
        <w:r w:rsidR="00AB51D9" w:rsidRPr="008234EE">
          <w:rPr>
            <w:rStyle w:val="Hyperlink"/>
            <w:noProof/>
            <w:vertAlign w:val="subscript"/>
          </w:rPr>
          <w:t>2e</w:t>
        </w:r>
        <w:r w:rsidR="00AB51D9" w:rsidRPr="008234EE">
          <w:rPr>
            <w:rStyle w:val="Hyperlink"/>
            <w:noProof/>
          </w:rPr>
          <w:t>, au format Kyoto, scénario AMS 2018</w:t>
        </w:r>
        <w:r w:rsidR="00AB51D9">
          <w:rPr>
            <w:noProof/>
            <w:webHidden/>
          </w:rPr>
          <w:tab/>
        </w:r>
        <w:r w:rsidR="00AB51D9">
          <w:rPr>
            <w:noProof/>
            <w:webHidden/>
          </w:rPr>
          <w:fldChar w:fldCharType="begin"/>
        </w:r>
        <w:r w:rsidR="00AB51D9">
          <w:rPr>
            <w:noProof/>
            <w:webHidden/>
          </w:rPr>
          <w:instrText xml:space="preserve"> PAGEREF _Toc123916466 \h </w:instrText>
        </w:r>
        <w:r w:rsidR="00AB51D9">
          <w:rPr>
            <w:noProof/>
            <w:webHidden/>
          </w:rPr>
        </w:r>
        <w:r w:rsidR="00AB51D9">
          <w:rPr>
            <w:noProof/>
            <w:webHidden/>
          </w:rPr>
          <w:fldChar w:fldCharType="separate"/>
        </w:r>
        <w:r w:rsidR="00AB51D9">
          <w:rPr>
            <w:noProof/>
            <w:webHidden/>
          </w:rPr>
          <w:t>147</w:t>
        </w:r>
        <w:r w:rsidR="00AB51D9">
          <w:rPr>
            <w:noProof/>
            <w:webHidden/>
          </w:rPr>
          <w:fldChar w:fldCharType="end"/>
        </w:r>
      </w:hyperlink>
    </w:p>
    <w:p w14:paraId="0594B5F9" w14:textId="49149279"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7" w:history="1">
        <w:r w:rsidR="00AB51D9" w:rsidRPr="008234EE">
          <w:rPr>
            <w:rStyle w:val="Hyperlink"/>
            <w:noProof/>
          </w:rPr>
          <w:t>Figure 56 : Détail des catégories du secteur énergie en ktCO</w:t>
        </w:r>
        <w:r w:rsidR="00AB51D9" w:rsidRPr="008234EE">
          <w:rPr>
            <w:rStyle w:val="Hyperlink"/>
            <w:noProof/>
            <w:vertAlign w:val="subscript"/>
          </w:rPr>
          <w:t>2e</w:t>
        </w:r>
        <w:r w:rsidR="00AB51D9" w:rsidRPr="008234EE">
          <w:rPr>
            <w:rStyle w:val="Hyperlink"/>
            <w:noProof/>
          </w:rPr>
          <w:t>, au périmètre Kyoto, scénario AME 2021</w:t>
        </w:r>
        <w:r w:rsidR="00AB51D9">
          <w:rPr>
            <w:noProof/>
            <w:webHidden/>
          </w:rPr>
          <w:tab/>
        </w:r>
        <w:r w:rsidR="00AB51D9">
          <w:rPr>
            <w:noProof/>
            <w:webHidden/>
          </w:rPr>
          <w:fldChar w:fldCharType="begin"/>
        </w:r>
        <w:r w:rsidR="00AB51D9">
          <w:rPr>
            <w:noProof/>
            <w:webHidden/>
          </w:rPr>
          <w:instrText xml:space="preserve"> PAGEREF _Toc123916467 \h </w:instrText>
        </w:r>
        <w:r w:rsidR="00AB51D9">
          <w:rPr>
            <w:noProof/>
            <w:webHidden/>
          </w:rPr>
        </w:r>
        <w:r w:rsidR="00AB51D9">
          <w:rPr>
            <w:noProof/>
            <w:webHidden/>
          </w:rPr>
          <w:fldChar w:fldCharType="separate"/>
        </w:r>
        <w:r w:rsidR="00AB51D9">
          <w:rPr>
            <w:noProof/>
            <w:webHidden/>
          </w:rPr>
          <w:t>148</w:t>
        </w:r>
        <w:r w:rsidR="00AB51D9">
          <w:rPr>
            <w:noProof/>
            <w:webHidden/>
          </w:rPr>
          <w:fldChar w:fldCharType="end"/>
        </w:r>
      </w:hyperlink>
    </w:p>
    <w:p w14:paraId="3515C023" w14:textId="0EEF85A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8" w:history="1">
        <w:r w:rsidR="00AB51D9" w:rsidRPr="008234EE">
          <w:rPr>
            <w:rStyle w:val="Hyperlink"/>
            <w:noProof/>
          </w:rPr>
          <w:t>Figure 57 : Détail des catégories du secteur énergie en ktCO</w:t>
        </w:r>
        <w:r w:rsidR="00AB51D9" w:rsidRPr="008234EE">
          <w:rPr>
            <w:rStyle w:val="Hyperlink"/>
            <w:noProof/>
            <w:vertAlign w:val="subscript"/>
          </w:rPr>
          <w:t>2e</w:t>
        </w:r>
        <w:r w:rsidR="00AB51D9" w:rsidRPr="008234EE">
          <w:rPr>
            <w:rStyle w:val="Hyperlink"/>
            <w:noProof/>
          </w:rPr>
          <w:t>, au périmètre Kyoto, scénario AMS 2018</w:t>
        </w:r>
        <w:r w:rsidR="00AB51D9">
          <w:rPr>
            <w:noProof/>
            <w:webHidden/>
          </w:rPr>
          <w:tab/>
        </w:r>
        <w:r w:rsidR="00AB51D9">
          <w:rPr>
            <w:noProof/>
            <w:webHidden/>
          </w:rPr>
          <w:fldChar w:fldCharType="begin"/>
        </w:r>
        <w:r w:rsidR="00AB51D9">
          <w:rPr>
            <w:noProof/>
            <w:webHidden/>
          </w:rPr>
          <w:instrText xml:space="preserve"> PAGEREF _Toc123916468 \h </w:instrText>
        </w:r>
        <w:r w:rsidR="00AB51D9">
          <w:rPr>
            <w:noProof/>
            <w:webHidden/>
          </w:rPr>
        </w:r>
        <w:r w:rsidR="00AB51D9">
          <w:rPr>
            <w:noProof/>
            <w:webHidden/>
          </w:rPr>
          <w:fldChar w:fldCharType="separate"/>
        </w:r>
        <w:r w:rsidR="00AB51D9">
          <w:rPr>
            <w:noProof/>
            <w:webHidden/>
          </w:rPr>
          <w:t>149</w:t>
        </w:r>
        <w:r w:rsidR="00AB51D9">
          <w:rPr>
            <w:noProof/>
            <w:webHidden/>
          </w:rPr>
          <w:fldChar w:fldCharType="end"/>
        </w:r>
      </w:hyperlink>
    </w:p>
    <w:p w14:paraId="1E78DEC6" w14:textId="5E0D604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69" w:history="1">
        <w:r w:rsidR="00AB51D9" w:rsidRPr="008234EE">
          <w:rPr>
            <w:rStyle w:val="Hyperlink"/>
            <w:noProof/>
          </w:rPr>
          <w:t>Figure 58 : Projection par gaz hors UTCATF en ktCO</w:t>
        </w:r>
        <w:r w:rsidR="00AB51D9" w:rsidRPr="008234EE">
          <w:rPr>
            <w:rStyle w:val="Hyperlink"/>
            <w:noProof/>
            <w:vertAlign w:val="subscript"/>
          </w:rPr>
          <w:t>2e</w:t>
        </w:r>
        <w:r w:rsidR="00AB51D9" w:rsidRPr="008234EE">
          <w:rPr>
            <w:rStyle w:val="Hyperlink"/>
            <w:noProof/>
          </w:rPr>
          <w:t>, au format Kyoto, scénario AME 2021</w:t>
        </w:r>
        <w:r w:rsidR="00AB51D9">
          <w:rPr>
            <w:noProof/>
            <w:webHidden/>
          </w:rPr>
          <w:tab/>
        </w:r>
        <w:r w:rsidR="00AB51D9">
          <w:rPr>
            <w:noProof/>
            <w:webHidden/>
          </w:rPr>
          <w:fldChar w:fldCharType="begin"/>
        </w:r>
        <w:r w:rsidR="00AB51D9">
          <w:rPr>
            <w:noProof/>
            <w:webHidden/>
          </w:rPr>
          <w:instrText xml:space="preserve"> PAGEREF _Toc123916469 \h </w:instrText>
        </w:r>
        <w:r w:rsidR="00AB51D9">
          <w:rPr>
            <w:noProof/>
            <w:webHidden/>
          </w:rPr>
        </w:r>
        <w:r w:rsidR="00AB51D9">
          <w:rPr>
            <w:noProof/>
            <w:webHidden/>
          </w:rPr>
          <w:fldChar w:fldCharType="separate"/>
        </w:r>
        <w:r w:rsidR="00AB51D9">
          <w:rPr>
            <w:noProof/>
            <w:webHidden/>
          </w:rPr>
          <w:t>150</w:t>
        </w:r>
        <w:r w:rsidR="00AB51D9">
          <w:rPr>
            <w:noProof/>
            <w:webHidden/>
          </w:rPr>
          <w:fldChar w:fldCharType="end"/>
        </w:r>
      </w:hyperlink>
    </w:p>
    <w:p w14:paraId="1E072687" w14:textId="74FBB6EA"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0" w:history="1">
        <w:r w:rsidR="00AB51D9" w:rsidRPr="008234EE">
          <w:rPr>
            <w:rStyle w:val="Hyperlink"/>
            <w:noProof/>
          </w:rPr>
          <w:t>Figure 59 : Projection par gaz avec UTCATF en ktCO</w:t>
        </w:r>
        <w:r w:rsidR="00AB51D9" w:rsidRPr="008234EE">
          <w:rPr>
            <w:rStyle w:val="Hyperlink"/>
            <w:noProof/>
            <w:vertAlign w:val="subscript"/>
          </w:rPr>
          <w:t>2e</w:t>
        </w:r>
        <w:r w:rsidR="00AB51D9" w:rsidRPr="008234EE">
          <w:rPr>
            <w:rStyle w:val="Hyperlink"/>
            <w:noProof/>
          </w:rPr>
          <w:t>, au format Kyoto, scénario AME 2021</w:t>
        </w:r>
        <w:r w:rsidR="00AB51D9">
          <w:rPr>
            <w:noProof/>
            <w:webHidden/>
          </w:rPr>
          <w:tab/>
        </w:r>
        <w:r w:rsidR="00AB51D9">
          <w:rPr>
            <w:noProof/>
            <w:webHidden/>
          </w:rPr>
          <w:fldChar w:fldCharType="begin"/>
        </w:r>
        <w:r w:rsidR="00AB51D9">
          <w:rPr>
            <w:noProof/>
            <w:webHidden/>
          </w:rPr>
          <w:instrText xml:space="preserve"> PAGEREF _Toc123916470 \h </w:instrText>
        </w:r>
        <w:r w:rsidR="00AB51D9">
          <w:rPr>
            <w:noProof/>
            <w:webHidden/>
          </w:rPr>
        </w:r>
        <w:r w:rsidR="00AB51D9">
          <w:rPr>
            <w:noProof/>
            <w:webHidden/>
          </w:rPr>
          <w:fldChar w:fldCharType="separate"/>
        </w:r>
        <w:r w:rsidR="00AB51D9">
          <w:rPr>
            <w:noProof/>
            <w:webHidden/>
          </w:rPr>
          <w:t>151</w:t>
        </w:r>
        <w:r w:rsidR="00AB51D9">
          <w:rPr>
            <w:noProof/>
            <w:webHidden/>
          </w:rPr>
          <w:fldChar w:fldCharType="end"/>
        </w:r>
      </w:hyperlink>
    </w:p>
    <w:p w14:paraId="135DBF4B" w14:textId="1678A34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1" w:history="1">
        <w:r w:rsidR="00AB51D9" w:rsidRPr="008234EE">
          <w:rPr>
            <w:rStyle w:val="Hyperlink"/>
            <w:noProof/>
          </w:rPr>
          <w:t>Figure 60 : Projection par gaz en ktCO</w:t>
        </w:r>
        <w:r w:rsidR="00AB51D9" w:rsidRPr="008234EE">
          <w:rPr>
            <w:rStyle w:val="Hyperlink"/>
            <w:noProof/>
            <w:vertAlign w:val="subscript"/>
          </w:rPr>
          <w:t>2</w:t>
        </w:r>
        <w:r w:rsidR="00AB51D9" w:rsidRPr="008234EE">
          <w:rPr>
            <w:rStyle w:val="Hyperlink"/>
            <w:noProof/>
          </w:rPr>
          <w:t>-eq, hors LULUCF (hors UTCF), au format Kyoto, scénario AME</w:t>
        </w:r>
        <w:r w:rsidR="00AB51D9">
          <w:rPr>
            <w:noProof/>
            <w:webHidden/>
          </w:rPr>
          <w:tab/>
        </w:r>
        <w:r w:rsidR="00AB51D9">
          <w:rPr>
            <w:noProof/>
            <w:webHidden/>
          </w:rPr>
          <w:fldChar w:fldCharType="begin"/>
        </w:r>
        <w:r w:rsidR="00AB51D9">
          <w:rPr>
            <w:noProof/>
            <w:webHidden/>
          </w:rPr>
          <w:instrText xml:space="preserve"> PAGEREF _Toc123916471 \h </w:instrText>
        </w:r>
        <w:r w:rsidR="00AB51D9">
          <w:rPr>
            <w:noProof/>
            <w:webHidden/>
          </w:rPr>
        </w:r>
        <w:r w:rsidR="00AB51D9">
          <w:rPr>
            <w:noProof/>
            <w:webHidden/>
          </w:rPr>
          <w:fldChar w:fldCharType="separate"/>
        </w:r>
        <w:r w:rsidR="00AB51D9">
          <w:rPr>
            <w:noProof/>
            <w:webHidden/>
          </w:rPr>
          <w:t>152</w:t>
        </w:r>
        <w:r w:rsidR="00AB51D9">
          <w:rPr>
            <w:noProof/>
            <w:webHidden/>
          </w:rPr>
          <w:fldChar w:fldCharType="end"/>
        </w:r>
      </w:hyperlink>
    </w:p>
    <w:p w14:paraId="0E806735" w14:textId="588E708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2" w:history="1">
        <w:r w:rsidR="00AB51D9" w:rsidRPr="008234EE">
          <w:rPr>
            <w:rStyle w:val="Hyperlink"/>
            <w:noProof/>
          </w:rPr>
          <w:t>Figure 61 : Projection par gaz en ktCO</w:t>
        </w:r>
        <w:r w:rsidR="00AB51D9" w:rsidRPr="008234EE">
          <w:rPr>
            <w:rStyle w:val="Hyperlink"/>
            <w:noProof/>
            <w:vertAlign w:val="subscript"/>
          </w:rPr>
          <w:t>2</w:t>
        </w:r>
        <w:r w:rsidR="00AB51D9" w:rsidRPr="008234EE">
          <w:rPr>
            <w:rStyle w:val="Hyperlink"/>
            <w:noProof/>
          </w:rPr>
          <w:t>-eq, hors LULUCF (avec UTCF), au format Kyoto, scénario AMS 2018</w:t>
        </w:r>
        <w:r w:rsidR="00AB51D9">
          <w:rPr>
            <w:noProof/>
            <w:webHidden/>
          </w:rPr>
          <w:tab/>
        </w:r>
        <w:r w:rsidR="00AB51D9">
          <w:rPr>
            <w:noProof/>
            <w:webHidden/>
          </w:rPr>
          <w:fldChar w:fldCharType="begin"/>
        </w:r>
        <w:r w:rsidR="00AB51D9">
          <w:rPr>
            <w:noProof/>
            <w:webHidden/>
          </w:rPr>
          <w:instrText xml:space="preserve"> PAGEREF _Toc123916472 \h </w:instrText>
        </w:r>
        <w:r w:rsidR="00AB51D9">
          <w:rPr>
            <w:noProof/>
            <w:webHidden/>
          </w:rPr>
        </w:r>
        <w:r w:rsidR="00AB51D9">
          <w:rPr>
            <w:noProof/>
            <w:webHidden/>
          </w:rPr>
          <w:fldChar w:fldCharType="separate"/>
        </w:r>
        <w:r w:rsidR="00AB51D9">
          <w:rPr>
            <w:noProof/>
            <w:webHidden/>
          </w:rPr>
          <w:t>153</w:t>
        </w:r>
        <w:r w:rsidR="00AB51D9">
          <w:rPr>
            <w:noProof/>
            <w:webHidden/>
          </w:rPr>
          <w:fldChar w:fldCharType="end"/>
        </w:r>
      </w:hyperlink>
    </w:p>
    <w:p w14:paraId="6F041040" w14:textId="500A76E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3" w:history="1">
        <w:r w:rsidR="00AB51D9" w:rsidRPr="008234EE">
          <w:rPr>
            <w:rStyle w:val="Hyperlink"/>
            <w:noProof/>
          </w:rPr>
          <w:t>Figure 62 : Projection par gaz hors UTCATF en ktCO</w:t>
        </w:r>
        <w:r w:rsidR="00AB51D9" w:rsidRPr="008234EE">
          <w:rPr>
            <w:rStyle w:val="Hyperlink"/>
            <w:noProof/>
            <w:vertAlign w:val="subscript"/>
          </w:rPr>
          <w:t>2e</w:t>
        </w:r>
        <w:r w:rsidR="00AB51D9" w:rsidRPr="008234EE">
          <w:rPr>
            <w:rStyle w:val="Hyperlink"/>
            <w:noProof/>
          </w:rPr>
          <w:t>, au format Kyoto, scénario AME 2021</w:t>
        </w:r>
        <w:r w:rsidR="00AB51D9">
          <w:rPr>
            <w:noProof/>
            <w:webHidden/>
          </w:rPr>
          <w:tab/>
        </w:r>
        <w:r w:rsidR="00AB51D9">
          <w:rPr>
            <w:noProof/>
            <w:webHidden/>
          </w:rPr>
          <w:fldChar w:fldCharType="begin"/>
        </w:r>
        <w:r w:rsidR="00AB51D9">
          <w:rPr>
            <w:noProof/>
            <w:webHidden/>
          </w:rPr>
          <w:instrText xml:space="preserve"> PAGEREF _Toc123916473 \h </w:instrText>
        </w:r>
        <w:r w:rsidR="00AB51D9">
          <w:rPr>
            <w:noProof/>
            <w:webHidden/>
          </w:rPr>
        </w:r>
        <w:r w:rsidR="00AB51D9">
          <w:rPr>
            <w:noProof/>
            <w:webHidden/>
          </w:rPr>
          <w:fldChar w:fldCharType="separate"/>
        </w:r>
        <w:r w:rsidR="00AB51D9">
          <w:rPr>
            <w:noProof/>
            <w:webHidden/>
          </w:rPr>
          <w:t>154</w:t>
        </w:r>
        <w:r w:rsidR="00AB51D9">
          <w:rPr>
            <w:noProof/>
            <w:webHidden/>
          </w:rPr>
          <w:fldChar w:fldCharType="end"/>
        </w:r>
      </w:hyperlink>
    </w:p>
    <w:p w14:paraId="09F069B4" w14:textId="195FAD2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4" w:history="1">
        <w:r w:rsidR="00AB51D9" w:rsidRPr="008234EE">
          <w:rPr>
            <w:rStyle w:val="Hyperlink"/>
            <w:noProof/>
          </w:rPr>
          <w:t>Figure 63 : Processus de modélisation de l'AME 2021</w:t>
        </w:r>
        <w:r w:rsidR="00AB51D9">
          <w:rPr>
            <w:noProof/>
            <w:webHidden/>
          </w:rPr>
          <w:tab/>
        </w:r>
        <w:r w:rsidR="00AB51D9">
          <w:rPr>
            <w:noProof/>
            <w:webHidden/>
          </w:rPr>
          <w:fldChar w:fldCharType="begin"/>
        </w:r>
        <w:r w:rsidR="00AB51D9">
          <w:rPr>
            <w:noProof/>
            <w:webHidden/>
          </w:rPr>
          <w:instrText xml:space="preserve"> PAGEREF _Toc123916474 \h </w:instrText>
        </w:r>
        <w:r w:rsidR="00AB51D9">
          <w:rPr>
            <w:noProof/>
            <w:webHidden/>
          </w:rPr>
        </w:r>
        <w:r w:rsidR="00AB51D9">
          <w:rPr>
            <w:noProof/>
            <w:webHidden/>
          </w:rPr>
          <w:fldChar w:fldCharType="separate"/>
        </w:r>
        <w:r w:rsidR="00AB51D9">
          <w:rPr>
            <w:noProof/>
            <w:webHidden/>
          </w:rPr>
          <w:t>161</w:t>
        </w:r>
        <w:r w:rsidR="00AB51D9">
          <w:rPr>
            <w:noProof/>
            <w:webHidden/>
          </w:rPr>
          <w:fldChar w:fldCharType="end"/>
        </w:r>
      </w:hyperlink>
    </w:p>
    <w:p w14:paraId="6713DB01" w14:textId="32E8955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5" w:history="1">
        <w:r w:rsidR="00AB51D9" w:rsidRPr="008234EE">
          <w:rPr>
            <w:rStyle w:val="Hyperlink"/>
            <w:noProof/>
          </w:rPr>
          <w:t>Figure 64 : Hypothèse de croissance de la population dans l’AME 2021 et l’AMS 2018</w:t>
        </w:r>
        <w:r w:rsidR="00AB51D9">
          <w:rPr>
            <w:noProof/>
            <w:webHidden/>
          </w:rPr>
          <w:tab/>
        </w:r>
        <w:r w:rsidR="00AB51D9">
          <w:rPr>
            <w:noProof/>
            <w:webHidden/>
          </w:rPr>
          <w:fldChar w:fldCharType="begin"/>
        </w:r>
        <w:r w:rsidR="00AB51D9">
          <w:rPr>
            <w:noProof/>
            <w:webHidden/>
          </w:rPr>
          <w:instrText xml:space="preserve"> PAGEREF _Toc123916475 \h </w:instrText>
        </w:r>
        <w:r w:rsidR="00AB51D9">
          <w:rPr>
            <w:noProof/>
            <w:webHidden/>
          </w:rPr>
        </w:r>
        <w:r w:rsidR="00AB51D9">
          <w:rPr>
            <w:noProof/>
            <w:webHidden/>
          </w:rPr>
          <w:fldChar w:fldCharType="separate"/>
        </w:r>
        <w:r w:rsidR="00AB51D9">
          <w:rPr>
            <w:noProof/>
            <w:webHidden/>
          </w:rPr>
          <w:t>165</w:t>
        </w:r>
        <w:r w:rsidR="00AB51D9">
          <w:rPr>
            <w:noProof/>
            <w:webHidden/>
          </w:rPr>
          <w:fldChar w:fldCharType="end"/>
        </w:r>
      </w:hyperlink>
    </w:p>
    <w:p w14:paraId="7FC5B38A" w14:textId="49D7B0D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6" w:history="1">
        <w:r w:rsidR="00AB51D9" w:rsidRPr="008234EE">
          <w:rPr>
            <w:rStyle w:val="Hyperlink"/>
            <w:noProof/>
          </w:rPr>
          <w:t>Figure 65 : Evolution des températures décennales en France</w:t>
        </w:r>
        <w:r w:rsidR="00AB51D9">
          <w:rPr>
            <w:noProof/>
            <w:webHidden/>
          </w:rPr>
          <w:tab/>
        </w:r>
        <w:r w:rsidR="00AB51D9">
          <w:rPr>
            <w:noProof/>
            <w:webHidden/>
          </w:rPr>
          <w:fldChar w:fldCharType="begin"/>
        </w:r>
        <w:r w:rsidR="00AB51D9">
          <w:rPr>
            <w:noProof/>
            <w:webHidden/>
          </w:rPr>
          <w:instrText xml:space="preserve"> PAGEREF _Toc123916476 \h </w:instrText>
        </w:r>
        <w:r w:rsidR="00AB51D9">
          <w:rPr>
            <w:noProof/>
            <w:webHidden/>
          </w:rPr>
        </w:r>
        <w:r w:rsidR="00AB51D9">
          <w:rPr>
            <w:noProof/>
            <w:webHidden/>
          </w:rPr>
          <w:fldChar w:fldCharType="separate"/>
        </w:r>
        <w:r w:rsidR="00AB51D9">
          <w:rPr>
            <w:noProof/>
            <w:webHidden/>
          </w:rPr>
          <w:t>169</w:t>
        </w:r>
        <w:r w:rsidR="00AB51D9">
          <w:rPr>
            <w:noProof/>
            <w:webHidden/>
          </w:rPr>
          <w:fldChar w:fldCharType="end"/>
        </w:r>
      </w:hyperlink>
    </w:p>
    <w:p w14:paraId="5E85B0D6" w14:textId="20B2FE2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7" w:history="1">
        <w:r w:rsidR="00AB51D9" w:rsidRPr="008234EE">
          <w:rPr>
            <w:rStyle w:val="Hyperlink"/>
            <w:noProof/>
          </w:rPr>
          <w:t>Figure 66 : Evolution du cumul annuel des précipitations sur la période 1961-2012</w:t>
        </w:r>
        <w:r w:rsidR="00AB51D9">
          <w:rPr>
            <w:noProof/>
            <w:webHidden/>
          </w:rPr>
          <w:tab/>
        </w:r>
        <w:r w:rsidR="00AB51D9">
          <w:rPr>
            <w:noProof/>
            <w:webHidden/>
          </w:rPr>
          <w:fldChar w:fldCharType="begin"/>
        </w:r>
        <w:r w:rsidR="00AB51D9">
          <w:rPr>
            <w:noProof/>
            <w:webHidden/>
          </w:rPr>
          <w:instrText xml:space="preserve"> PAGEREF _Toc123916477 \h </w:instrText>
        </w:r>
        <w:r w:rsidR="00AB51D9">
          <w:rPr>
            <w:noProof/>
            <w:webHidden/>
          </w:rPr>
        </w:r>
        <w:r w:rsidR="00AB51D9">
          <w:rPr>
            <w:noProof/>
            <w:webHidden/>
          </w:rPr>
          <w:fldChar w:fldCharType="separate"/>
        </w:r>
        <w:r w:rsidR="00AB51D9">
          <w:rPr>
            <w:noProof/>
            <w:webHidden/>
          </w:rPr>
          <w:t>170</w:t>
        </w:r>
        <w:r w:rsidR="00AB51D9">
          <w:rPr>
            <w:noProof/>
            <w:webHidden/>
          </w:rPr>
          <w:fldChar w:fldCharType="end"/>
        </w:r>
      </w:hyperlink>
    </w:p>
    <w:p w14:paraId="49DDFDC0" w14:textId="003B362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8" w:history="1">
        <w:r w:rsidR="00AB51D9" w:rsidRPr="008234EE">
          <w:rPr>
            <w:rStyle w:val="Hyperlink"/>
            <w:noProof/>
          </w:rPr>
          <w:t>Figure 67 : Perte en eau des glaciers</w:t>
        </w:r>
        <w:r w:rsidR="00AB51D9">
          <w:rPr>
            <w:noProof/>
            <w:webHidden/>
          </w:rPr>
          <w:tab/>
        </w:r>
        <w:r w:rsidR="00AB51D9">
          <w:rPr>
            <w:noProof/>
            <w:webHidden/>
          </w:rPr>
          <w:fldChar w:fldCharType="begin"/>
        </w:r>
        <w:r w:rsidR="00AB51D9">
          <w:rPr>
            <w:noProof/>
            <w:webHidden/>
          </w:rPr>
          <w:instrText xml:space="preserve"> PAGEREF _Toc123916478 \h </w:instrText>
        </w:r>
        <w:r w:rsidR="00AB51D9">
          <w:rPr>
            <w:noProof/>
            <w:webHidden/>
          </w:rPr>
        </w:r>
        <w:r w:rsidR="00AB51D9">
          <w:rPr>
            <w:noProof/>
            <w:webHidden/>
          </w:rPr>
          <w:fldChar w:fldCharType="separate"/>
        </w:r>
        <w:r w:rsidR="00AB51D9">
          <w:rPr>
            <w:noProof/>
            <w:webHidden/>
          </w:rPr>
          <w:t>171</w:t>
        </w:r>
        <w:r w:rsidR="00AB51D9">
          <w:rPr>
            <w:noProof/>
            <w:webHidden/>
          </w:rPr>
          <w:fldChar w:fldCharType="end"/>
        </w:r>
      </w:hyperlink>
    </w:p>
    <w:p w14:paraId="645C79D4" w14:textId="04101B50"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79" w:history="1">
        <w:r w:rsidR="00AB51D9" w:rsidRPr="008234EE">
          <w:rPr>
            <w:rStyle w:val="Hyperlink"/>
            <w:noProof/>
          </w:rPr>
          <w:t>Figure 68 : Impacts potentiels à 2050 et au-delà</w:t>
        </w:r>
        <w:r w:rsidR="00AB51D9">
          <w:rPr>
            <w:noProof/>
            <w:webHidden/>
          </w:rPr>
          <w:tab/>
        </w:r>
        <w:r w:rsidR="00AB51D9">
          <w:rPr>
            <w:noProof/>
            <w:webHidden/>
          </w:rPr>
          <w:fldChar w:fldCharType="begin"/>
        </w:r>
        <w:r w:rsidR="00AB51D9">
          <w:rPr>
            <w:noProof/>
            <w:webHidden/>
          </w:rPr>
          <w:instrText xml:space="preserve"> PAGEREF _Toc123916479 \h </w:instrText>
        </w:r>
        <w:r w:rsidR="00AB51D9">
          <w:rPr>
            <w:noProof/>
            <w:webHidden/>
          </w:rPr>
        </w:r>
        <w:r w:rsidR="00AB51D9">
          <w:rPr>
            <w:noProof/>
            <w:webHidden/>
          </w:rPr>
          <w:fldChar w:fldCharType="separate"/>
        </w:r>
        <w:r w:rsidR="00AB51D9">
          <w:rPr>
            <w:noProof/>
            <w:webHidden/>
          </w:rPr>
          <w:t>174</w:t>
        </w:r>
        <w:r w:rsidR="00AB51D9">
          <w:rPr>
            <w:noProof/>
            <w:webHidden/>
          </w:rPr>
          <w:fldChar w:fldCharType="end"/>
        </w:r>
      </w:hyperlink>
    </w:p>
    <w:p w14:paraId="4ABA9401" w14:textId="5518B67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0" w:history="1">
        <w:r w:rsidR="00AB51D9" w:rsidRPr="008234EE">
          <w:rPr>
            <w:rStyle w:val="Hyperlink"/>
            <w:noProof/>
          </w:rPr>
          <w:t>Figure 69 : Impacts possibles de l’élévation des températures selon différents scenarios</w:t>
        </w:r>
        <w:r w:rsidR="00AB51D9">
          <w:rPr>
            <w:noProof/>
            <w:webHidden/>
          </w:rPr>
          <w:tab/>
        </w:r>
        <w:r w:rsidR="00AB51D9">
          <w:rPr>
            <w:noProof/>
            <w:webHidden/>
          </w:rPr>
          <w:fldChar w:fldCharType="begin"/>
        </w:r>
        <w:r w:rsidR="00AB51D9">
          <w:rPr>
            <w:noProof/>
            <w:webHidden/>
          </w:rPr>
          <w:instrText xml:space="preserve"> PAGEREF _Toc123916480 \h </w:instrText>
        </w:r>
        <w:r w:rsidR="00AB51D9">
          <w:rPr>
            <w:noProof/>
            <w:webHidden/>
          </w:rPr>
        </w:r>
        <w:r w:rsidR="00AB51D9">
          <w:rPr>
            <w:noProof/>
            <w:webHidden/>
          </w:rPr>
          <w:fldChar w:fldCharType="separate"/>
        </w:r>
        <w:r w:rsidR="00AB51D9">
          <w:rPr>
            <w:noProof/>
            <w:webHidden/>
          </w:rPr>
          <w:t>175</w:t>
        </w:r>
        <w:r w:rsidR="00AB51D9">
          <w:rPr>
            <w:noProof/>
            <w:webHidden/>
          </w:rPr>
          <w:fldChar w:fldCharType="end"/>
        </w:r>
      </w:hyperlink>
    </w:p>
    <w:p w14:paraId="72CCC9F8" w14:textId="580BAA3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1" w:history="1">
        <w:r w:rsidR="00AB51D9" w:rsidRPr="008234EE">
          <w:rPr>
            <w:rStyle w:val="Hyperlink"/>
            <w:noProof/>
          </w:rPr>
          <w:t>Figure 70 : Evolution de la distributions de groupes de végétaux à l’horizon 2050 et 2100</w:t>
        </w:r>
        <w:r w:rsidR="00AB51D9">
          <w:rPr>
            <w:noProof/>
            <w:webHidden/>
          </w:rPr>
          <w:tab/>
        </w:r>
        <w:r w:rsidR="00AB51D9">
          <w:rPr>
            <w:noProof/>
            <w:webHidden/>
          </w:rPr>
          <w:fldChar w:fldCharType="begin"/>
        </w:r>
        <w:r w:rsidR="00AB51D9">
          <w:rPr>
            <w:noProof/>
            <w:webHidden/>
          </w:rPr>
          <w:instrText xml:space="preserve"> PAGEREF _Toc123916481 \h </w:instrText>
        </w:r>
        <w:r w:rsidR="00AB51D9">
          <w:rPr>
            <w:noProof/>
            <w:webHidden/>
          </w:rPr>
        </w:r>
        <w:r w:rsidR="00AB51D9">
          <w:rPr>
            <w:noProof/>
            <w:webHidden/>
          </w:rPr>
          <w:fldChar w:fldCharType="separate"/>
        </w:r>
        <w:r w:rsidR="00AB51D9">
          <w:rPr>
            <w:noProof/>
            <w:webHidden/>
          </w:rPr>
          <w:t>176</w:t>
        </w:r>
        <w:r w:rsidR="00AB51D9">
          <w:rPr>
            <w:noProof/>
            <w:webHidden/>
          </w:rPr>
          <w:fldChar w:fldCharType="end"/>
        </w:r>
      </w:hyperlink>
    </w:p>
    <w:p w14:paraId="356D269B" w14:textId="290C466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2" w:history="1">
        <w:r w:rsidR="00AB51D9" w:rsidRPr="008234EE">
          <w:rPr>
            <w:rStyle w:val="Hyperlink"/>
            <w:noProof/>
          </w:rPr>
          <w:t>Figure 71 : Longueur des infrastructures en fonction de leur nature submergées en cas d’élévation de la mer de 1 mètre auquel se superpose un aléa de submersion d’une durée de retour de 100 ans</w:t>
        </w:r>
        <w:r w:rsidR="00AB51D9">
          <w:rPr>
            <w:noProof/>
            <w:webHidden/>
          </w:rPr>
          <w:tab/>
        </w:r>
        <w:r w:rsidR="00AB51D9">
          <w:rPr>
            <w:noProof/>
            <w:webHidden/>
          </w:rPr>
          <w:fldChar w:fldCharType="begin"/>
        </w:r>
        <w:r w:rsidR="00AB51D9">
          <w:rPr>
            <w:noProof/>
            <w:webHidden/>
          </w:rPr>
          <w:instrText xml:space="preserve"> PAGEREF _Toc123916482 \h </w:instrText>
        </w:r>
        <w:r w:rsidR="00AB51D9">
          <w:rPr>
            <w:noProof/>
            <w:webHidden/>
          </w:rPr>
        </w:r>
        <w:r w:rsidR="00AB51D9">
          <w:rPr>
            <w:noProof/>
            <w:webHidden/>
          </w:rPr>
          <w:fldChar w:fldCharType="separate"/>
        </w:r>
        <w:r w:rsidR="00AB51D9">
          <w:rPr>
            <w:noProof/>
            <w:webHidden/>
          </w:rPr>
          <w:t>177</w:t>
        </w:r>
        <w:r w:rsidR="00AB51D9">
          <w:rPr>
            <w:noProof/>
            <w:webHidden/>
          </w:rPr>
          <w:fldChar w:fldCharType="end"/>
        </w:r>
      </w:hyperlink>
    </w:p>
    <w:p w14:paraId="376ED75C" w14:textId="17D8133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3" w:history="1">
        <w:r w:rsidR="00AB51D9" w:rsidRPr="008234EE">
          <w:rPr>
            <w:rStyle w:val="Hyperlink"/>
            <w:noProof/>
          </w:rPr>
          <w:t>Figure 72 : Exposition des populations</w:t>
        </w:r>
        <w:r w:rsidR="00AB51D9">
          <w:rPr>
            <w:noProof/>
            <w:webHidden/>
          </w:rPr>
          <w:tab/>
        </w:r>
        <w:r w:rsidR="00AB51D9">
          <w:rPr>
            <w:noProof/>
            <w:webHidden/>
          </w:rPr>
          <w:fldChar w:fldCharType="begin"/>
        </w:r>
        <w:r w:rsidR="00AB51D9">
          <w:rPr>
            <w:noProof/>
            <w:webHidden/>
          </w:rPr>
          <w:instrText xml:space="preserve"> PAGEREF _Toc123916483 \h </w:instrText>
        </w:r>
        <w:r w:rsidR="00AB51D9">
          <w:rPr>
            <w:noProof/>
            <w:webHidden/>
          </w:rPr>
        </w:r>
        <w:r w:rsidR="00AB51D9">
          <w:rPr>
            <w:noProof/>
            <w:webHidden/>
          </w:rPr>
          <w:fldChar w:fldCharType="separate"/>
        </w:r>
        <w:r w:rsidR="00AB51D9">
          <w:rPr>
            <w:noProof/>
            <w:webHidden/>
          </w:rPr>
          <w:t>178</w:t>
        </w:r>
        <w:r w:rsidR="00AB51D9">
          <w:rPr>
            <w:noProof/>
            <w:webHidden/>
          </w:rPr>
          <w:fldChar w:fldCharType="end"/>
        </w:r>
      </w:hyperlink>
    </w:p>
    <w:p w14:paraId="3248B01A" w14:textId="11467CA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4" w:history="1">
        <w:r w:rsidR="00AB51D9" w:rsidRPr="008234EE">
          <w:rPr>
            <w:rStyle w:val="Hyperlink"/>
            <w:noProof/>
          </w:rPr>
          <w:t>Figure 73 : Incendies répertoriés en 2022 sur le territoire (MODIS/Sentinel 2)</w:t>
        </w:r>
        <w:r w:rsidR="00AB51D9">
          <w:rPr>
            <w:noProof/>
            <w:webHidden/>
          </w:rPr>
          <w:tab/>
        </w:r>
        <w:r w:rsidR="00AB51D9">
          <w:rPr>
            <w:noProof/>
            <w:webHidden/>
          </w:rPr>
          <w:fldChar w:fldCharType="begin"/>
        </w:r>
        <w:r w:rsidR="00AB51D9">
          <w:rPr>
            <w:noProof/>
            <w:webHidden/>
          </w:rPr>
          <w:instrText xml:space="preserve"> PAGEREF _Toc123916484 \h </w:instrText>
        </w:r>
        <w:r w:rsidR="00AB51D9">
          <w:rPr>
            <w:noProof/>
            <w:webHidden/>
          </w:rPr>
        </w:r>
        <w:r w:rsidR="00AB51D9">
          <w:rPr>
            <w:noProof/>
            <w:webHidden/>
          </w:rPr>
          <w:fldChar w:fldCharType="separate"/>
        </w:r>
        <w:r w:rsidR="00AB51D9">
          <w:rPr>
            <w:noProof/>
            <w:webHidden/>
          </w:rPr>
          <w:t>183</w:t>
        </w:r>
        <w:r w:rsidR="00AB51D9">
          <w:rPr>
            <w:noProof/>
            <w:webHidden/>
          </w:rPr>
          <w:fldChar w:fldCharType="end"/>
        </w:r>
      </w:hyperlink>
    </w:p>
    <w:p w14:paraId="29989A75" w14:textId="266D310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5" w:history="1">
        <w:r w:rsidR="00AB51D9" w:rsidRPr="008234EE">
          <w:rPr>
            <w:rStyle w:val="Hyperlink"/>
            <w:noProof/>
          </w:rPr>
          <w:t>Figure 74 : Carte d’avancement des PCAET en aout 2022</w:t>
        </w:r>
        <w:r w:rsidR="00AB51D9">
          <w:rPr>
            <w:noProof/>
            <w:webHidden/>
          </w:rPr>
          <w:tab/>
        </w:r>
        <w:r w:rsidR="00AB51D9">
          <w:rPr>
            <w:noProof/>
            <w:webHidden/>
          </w:rPr>
          <w:fldChar w:fldCharType="begin"/>
        </w:r>
        <w:r w:rsidR="00AB51D9">
          <w:rPr>
            <w:noProof/>
            <w:webHidden/>
          </w:rPr>
          <w:instrText xml:space="preserve"> PAGEREF _Toc123916485 \h </w:instrText>
        </w:r>
        <w:r w:rsidR="00AB51D9">
          <w:rPr>
            <w:noProof/>
            <w:webHidden/>
          </w:rPr>
        </w:r>
        <w:r w:rsidR="00AB51D9">
          <w:rPr>
            <w:noProof/>
            <w:webHidden/>
          </w:rPr>
          <w:fldChar w:fldCharType="separate"/>
        </w:r>
        <w:r w:rsidR="00AB51D9">
          <w:rPr>
            <w:noProof/>
            <w:webHidden/>
          </w:rPr>
          <w:t>188</w:t>
        </w:r>
        <w:r w:rsidR="00AB51D9">
          <w:rPr>
            <w:noProof/>
            <w:webHidden/>
          </w:rPr>
          <w:fldChar w:fldCharType="end"/>
        </w:r>
      </w:hyperlink>
    </w:p>
    <w:p w14:paraId="5E6A3924" w14:textId="4F5E228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6" w:history="1">
        <w:r w:rsidR="00AB51D9" w:rsidRPr="008234EE">
          <w:rPr>
            <w:rStyle w:val="Hyperlink"/>
            <w:noProof/>
          </w:rPr>
          <w:t>Figure 75 : Articulation entre dispositifs réglementaires, outils de planification et documents d'urbanisme</w:t>
        </w:r>
        <w:r w:rsidR="00AB51D9">
          <w:rPr>
            <w:noProof/>
            <w:webHidden/>
          </w:rPr>
          <w:tab/>
        </w:r>
        <w:r w:rsidR="00AB51D9">
          <w:rPr>
            <w:noProof/>
            <w:webHidden/>
          </w:rPr>
          <w:fldChar w:fldCharType="begin"/>
        </w:r>
        <w:r w:rsidR="00AB51D9">
          <w:rPr>
            <w:noProof/>
            <w:webHidden/>
          </w:rPr>
          <w:instrText xml:space="preserve"> PAGEREF _Toc123916486 \h </w:instrText>
        </w:r>
        <w:r w:rsidR="00AB51D9">
          <w:rPr>
            <w:noProof/>
            <w:webHidden/>
          </w:rPr>
        </w:r>
        <w:r w:rsidR="00AB51D9">
          <w:rPr>
            <w:noProof/>
            <w:webHidden/>
          </w:rPr>
          <w:fldChar w:fldCharType="separate"/>
        </w:r>
        <w:r w:rsidR="00AB51D9">
          <w:rPr>
            <w:noProof/>
            <w:webHidden/>
          </w:rPr>
          <w:t>189</w:t>
        </w:r>
        <w:r w:rsidR="00AB51D9">
          <w:rPr>
            <w:noProof/>
            <w:webHidden/>
          </w:rPr>
          <w:fldChar w:fldCharType="end"/>
        </w:r>
      </w:hyperlink>
    </w:p>
    <w:p w14:paraId="2C1F1496" w14:textId="23FE9EF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7" w:history="1">
        <w:r w:rsidR="00AB51D9" w:rsidRPr="008234EE">
          <w:rPr>
            <w:rStyle w:val="Hyperlink"/>
            <w:noProof/>
          </w:rPr>
          <w:t>Figure 76 : Schéma simplifié de l’articulation des politiques d’atténuation et d’adaptation à plusieurs échelles de l’international à l’intercommunal</w:t>
        </w:r>
        <w:r w:rsidR="00AB51D9">
          <w:rPr>
            <w:noProof/>
            <w:webHidden/>
          </w:rPr>
          <w:tab/>
        </w:r>
        <w:r w:rsidR="00AB51D9">
          <w:rPr>
            <w:noProof/>
            <w:webHidden/>
          </w:rPr>
          <w:fldChar w:fldCharType="begin"/>
        </w:r>
        <w:r w:rsidR="00AB51D9">
          <w:rPr>
            <w:noProof/>
            <w:webHidden/>
          </w:rPr>
          <w:instrText xml:space="preserve"> PAGEREF _Toc123916487 \h </w:instrText>
        </w:r>
        <w:r w:rsidR="00AB51D9">
          <w:rPr>
            <w:noProof/>
            <w:webHidden/>
          </w:rPr>
        </w:r>
        <w:r w:rsidR="00AB51D9">
          <w:rPr>
            <w:noProof/>
            <w:webHidden/>
          </w:rPr>
          <w:fldChar w:fldCharType="separate"/>
        </w:r>
        <w:r w:rsidR="00AB51D9">
          <w:rPr>
            <w:noProof/>
            <w:webHidden/>
          </w:rPr>
          <w:t>190</w:t>
        </w:r>
        <w:r w:rsidR="00AB51D9">
          <w:rPr>
            <w:noProof/>
            <w:webHidden/>
          </w:rPr>
          <w:fldChar w:fldCharType="end"/>
        </w:r>
      </w:hyperlink>
    </w:p>
    <w:p w14:paraId="3F6597A8" w14:textId="1DAD920A"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8" w:history="1">
        <w:r w:rsidR="00AB51D9" w:rsidRPr="008234EE">
          <w:rPr>
            <w:rStyle w:val="Hyperlink"/>
            <w:noProof/>
          </w:rPr>
          <w:t>Figure 77 : Besoins financiers pour les mesures d’adaptations aux effets du changement climatique en France</w:t>
        </w:r>
        <w:r w:rsidR="00AB51D9">
          <w:rPr>
            <w:noProof/>
            <w:webHidden/>
          </w:rPr>
          <w:tab/>
        </w:r>
        <w:r w:rsidR="00AB51D9">
          <w:rPr>
            <w:noProof/>
            <w:webHidden/>
          </w:rPr>
          <w:fldChar w:fldCharType="begin"/>
        </w:r>
        <w:r w:rsidR="00AB51D9">
          <w:rPr>
            <w:noProof/>
            <w:webHidden/>
          </w:rPr>
          <w:instrText xml:space="preserve"> PAGEREF _Toc123916488 \h </w:instrText>
        </w:r>
        <w:r w:rsidR="00AB51D9">
          <w:rPr>
            <w:noProof/>
            <w:webHidden/>
          </w:rPr>
        </w:r>
        <w:r w:rsidR="00AB51D9">
          <w:rPr>
            <w:noProof/>
            <w:webHidden/>
          </w:rPr>
          <w:fldChar w:fldCharType="separate"/>
        </w:r>
        <w:r w:rsidR="00AB51D9">
          <w:rPr>
            <w:noProof/>
            <w:webHidden/>
          </w:rPr>
          <w:t>199</w:t>
        </w:r>
        <w:r w:rsidR="00AB51D9">
          <w:rPr>
            <w:noProof/>
            <w:webHidden/>
          </w:rPr>
          <w:fldChar w:fldCharType="end"/>
        </w:r>
      </w:hyperlink>
    </w:p>
    <w:p w14:paraId="3777E7B7" w14:textId="6B72A61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89" w:history="1">
        <w:r w:rsidR="00AB51D9" w:rsidRPr="008234EE">
          <w:rPr>
            <w:rStyle w:val="Hyperlink"/>
            <w:noProof/>
          </w:rPr>
          <w:t>Figure 78 : Extrait de la page d’accueil du Centre de ressources pour l’adaptation au changement climatique</w:t>
        </w:r>
        <w:r w:rsidR="00AB51D9">
          <w:rPr>
            <w:noProof/>
            <w:webHidden/>
          </w:rPr>
          <w:tab/>
        </w:r>
        <w:r w:rsidR="00AB51D9">
          <w:rPr>
            <w:noProof/>
            <w:webHidden/>
          </w:rPr>
          <w:fldChar w:fldCharType="begin"/>
        </w:r>
        <w:r w:rsidR="00AB51D9">
          <w:rPr>
            <w:noProof/>
            <w:webHidden/>
          </w:rPr>
          <w:instrText xml:space="preserve"> PAGEREF _Toc123916489 \h </w:instrText>
        </w:r>
        <w:r w:rsidR="00AB51D9">
          <w:rPr>
            <w:noProof/>
            <w:webHidden/>
          </w:rPr>
        </w:r>
        <w:r w:rsidR="00AB51D9">
          <w:rPr>
            <w:noProof/>
            <w:webHidden/>
          </w:rPr>
          <w:fldChar w:fldCharType="separate"/>
        </w:r>
        <w:r w:rsidR="00AB51D9">
          <w:rPr>
            <w:noProof/>
            <w:webHidden/>
          </w:rPr>
          <w:t>200</w:t>
        </w:r>
        <w:r w:rsidR="00AB51D9">
          <w:rPr>
            <w:noProof/>
            <w:webHidden/>
          </w:rPr>
          <w:fldChar w:fldCharType="end"/>
        </w:r>
      </w:hyperlink>
    </w:p>
    <w:p w14:paraId="0E012F99" w14:textId="616897C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0" w:history="1">
        <w:r w:rsidR="00AB51D9" w:rsidRPr="008234EE">
          <w:rPr>
            <w:rStyle w:val="Hyperlink"/>
            <w:noProof/>
          </w:rPr>
          <w:t>Figure 79 : Axes prioritaires pour l’adaptation des infrastructures de réseaux au changement climatique</w:t>
        </w:r>
        <w:r w:rsidR="00AB51D9">
          <w:rPr>
            <w:noProof/>
            <w:webHidden/>
          </w:rPr>
          <w:tab/>
        </w:r>
        <w:r w:rsidR="00AB51D9">
          <w:rPr>
            <w:noProof/>
            <w:webHidden/>
          </w:rPr>
          <w:fldChar w:fldCharType="begin"/>
        </w:r>
        <w:r w:rsidR="00AB51D9">
          <w:rPr>
            <w:noProof/>
            <w:webHidden/>
          </w:rPr>
          <w:instrText xml:space="preserve"> PAGEREF _Toc123916490 \h </w:instrText>
        </w:r>
        <w:r w:rsidR="00AB51D9">
          <w:rPr>
            <w:noProof/>
            <w:webHidden/>
          </w:rPr>
        </w:r>
        <w:r w:rsidR="00AB51D9">
          <w:rPr>
            <w:noProof/>
            <w:webHidden/>
          </w:rPr>
          <w:fldChar w:fldCharType="separate"/>
        </w:r>
        <w:r w:rsidR="00AB51D9">
          <w:rPr>
            <w:noProof/>
            <w:webHidden/>
          </w:rPr>
          <w:t>201</w:t>
        </w:r>
        <w:r w:rsidR="00AB51D9">
          <w:rPr>
            <w:noProof/>
            <w:webHidden/>
          </w:rPr>
          <w:fldChar w:fldCharType="end"/>
        </w:r>
      </w:hyperlink>
    </w:p>
    <w:p w14:paraId="5E8BCB6F" w14:textId="19B118F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1" w:history="1">
        <w:r w:rsidR="00AB51D9" w:rsidRPr="008234EE">
          <w:rPr>
            <w:rStyle w:val="Hyperlink"/>
            <w:noProof/>
          </w:rPr>
          <w:t>Figure 80 : Evolution des financements climats totaux (figure de gauche) dont les financements adaptation (droite) du groupe AFD</w:t>
        </w:r>
        <w:r w:rsidR="00AB51D9">
          <w:rPr>
            <w:noProof/>
            <w:webHidden/>
          </w:rPr>
          <w:tab/>
        </w:r>
        <w:r w:rsidR="00AB51D9">
          <w:rPr>
            <w:noProof/>
            <w:webHidden/>
          </w:rPr>
          <w:fldChar w:fldCharType="begin"/>
        </w:r>
        <w:r w:rsidR="00AB51D9">
          <w:rPr>
            <w:noProof/>
            <w:webHidden/>
          </w:rPr>
          <w:instrText xml:space="preserve"> PAGEREF _Toc123916491 \h </w:instrText>
        </w:r>
        <w:r w:rsidR="00AB51D9">
          <w:rPr>
            <w:noProof/>
            <w:webHidden/>
          </w:rPr>
        </w:r>
        <w:r w:rsidR="00AB51D9">
          <w:rPr>
            <w:noProof/>
            <w:webHidden/>
          </w:rPr>
          <w:fldChar w:fldCharType="separate"/>
        </w:r>
        <w:r w:rsidR="00AB51D9">
          <w:rPr>
            <w:noProof/>
            <w:webHidden/>
          </w:rPr>
          <w:t>204</w:t>
        </w:r>
        <w:r w:rsidR="00AB51D9">
          <w:rPr>
            <w:noProof/>
            <w:webHidden/>
          </w:rPr>
          <w:fldChar w:fldCharType="end"/>
        </w:r>
      </w:hyperlink>
    </w:p>
    <w:p w14:paraId="34084CC6" w14:textId="2308CC1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2" w:history="1">
        <w:r w:rsidR="00AB51D9" w:rsidRPr="008234EE">
          <w:rPr>
            <w:rStyle w:val="Hyperlink"/>
            <w:noProof/>
          </w:rPr>
          <w:t>Figure 81 : Évolution des préoccupations environnementales des Français (En%)</w:t>
        </w:r>
        <w:r w:rsidR="00AB51D9">
          <w:rPr>
            <w:noProof/>
            <w:webHidden/>
          </w:rPr>
          <w:tab/>
        </w:r>
        <w:r w:rsidR="00AB51D9">
          <w:rPr>
            <w:noProof/>
            <w:webHidden/>
          </w:rPr>
          <w:fldChar w:fldCharType="begin"/>
        </w:r>
        <w:r w:rsidR="00AB51D9">
          <w:rPr>
            <w:noProof/>
            <w:webHidden/>
          </w:rPr>
          <w:instrText xml:space="preserve"> PAGEREF _Toc123916492 \h </w:instrText>
        </w:r>
        <w:r w:rsidR="00AB51D9">
          <w:rPr>
            <w:noProof/>
            <w:webHidden/>
          </w:rPr>
        </w:r>
        <w:r w:rsidR="00AB51D9">
          <w:rPr>
            <w:noProof/>
            <w:webHidden/>
          </w:rPr>
          <w:fldChar w:fldCharType="separate"/>
        </w:r>
        <w:r w:rsidR="00AB51D9">
          <w:rPr>
            <w:noProof/>
            <w:webHidden/>
          </w:rPr>
          <w:t>237</w:t>
        </w:r>
        <w:r w:rsidR="00AB51D9">
          <w:rPr>
            <w:noProof/>
            <w:webHidden/>
          </w:rPr>
          <w:fldChar w:fldCharType="end"/>
        </w:r>
      </w:hyperlink>
    </w:p>
    <w:p w14:paraId="7FCA41E3" w14:textId="494FA5D7" w:rsidR="00D172CE" w:rsidRDefault="00165BDF" w:rsidP="00CB4956">
      <w:r>
        <w:fldChar w:fldCharType="end"/>
      </w:r>
    </w:p>
    <w:p w14:paraId="1807EBC1" w14:textId="71A10A37" w:rsidR="00D172CE" w:rsidRDefault="00D172CE" w:rsidP="00D172CE">
      <w:pPr>
        <w:pStyle w:val="TOCHeading"/>
      </w:pPr>
      <w:r>
        <w:lastRenderedPageBreak/>
        <w:t>Table des tableaux</w:t>
      </w:r>
    </w:p>
    <w:p w14:paraId="55A9C753" w14:textId="77777777" w:rsidR="008E4505" w:rsidRDefault="008E4505">
      <w:pPr>
        <w:pStyle w:val="TableofFigures"/>
        <w:tabs>
          <w:tab w:val="right" w:leader="dot" w:pos="9940"/>
        </w:tabs>
      </w:pPr>
    </w:p>
    <w:p w14:paraId="5A5901CA" w14:textId="771B1438" w:rsidR="00AB51D9" w:rsidRDefault="00D172CE">
      <w:pPr>
        <w:pStyle w:val="TableofFigures"/>
        <w:tabs>
          <w:tab w:val="right" w:leader="dot" w:pos="9940"/>
        </w:tabs>
        <w:rPr>
          <w:rFonts w:asciiTheme="minorHAnsi" w:eastAsiaTheme="minorEastAsia" w:hAnsiTheme="minorHAnsi" w:cstheme="minorBidi"/>
          <w:noProof/>
          <w:szCs w:val="22"/>
        </w:rPr>
      </w:pPr>
      <w:r>
        <w:fldChar w:fldCharType="begin"/>
      </w:r>
      <w:r>
        <w:instrText xml:space="preserve"> TOC \h \z \c "Tableau" </w:instrText>
      </w:r>
      <w:r>
        <w:fldChar w:fldCharType="separate"/>
      </w:r>
      <w:hyperlink w:anchor="_Toc123916493" w:history="1">
        <w:r w:rsidR="00AB51D9" w:rsidRPr="002E1124">
          <w:rPr>
            <w:rStyle w:val="Hyperlink"/>
            <w:noProof/>
          </w:rPr>
          <w:t>Tableau 1 : Transport intérieur terrestre de marchandises par mode en 1990, 2000, et de 2018 à 2021</w:t>
        </w:r>
        <w:r w:rsidR="00AB51D9">
          <w:rPr>
            <w:noProof/>
            <w:webHidden/>
          </w:rPr>
          <w:tab/>
        </w:r>
        <w:r w:rsidR="00AB51D9">
          <w:rPr>
            <w:noProof/>
            <w:webHidden/>
          </w:rPr>
          <w:fldChar w:fldCharType="begin"/>
        </w:r>
        <w:r w:rsidR="00AB51D9">
          <w:rPr>
            <w:noProof/>
            <w:webHidden/>
          </w:rPr>
          <w:instrText xml:space="preserve"> PAGEREF _Toc123916493 \h </w:instrText>
        </w:r>
        <w:r w:rsidR="00AB51D9">
          <w:rPr>
            <w:noProof/>
            <w:webHidden/>
          </w:rPr>
        </w:r>
        <w:r w:rsidR="00AB51D9">
          <w:rPr>
            <w:noProof/>
            <w:webHidden/>
          </w:rPr>
          <w:fldChar w:fldCharType="separate"/>
        </w:r>
        <w:r w:rsidR="00AB51D9">
          <w:rPr>
            <w:noProof/>
            <w:webHidden/>
          </w:rPr>
          <w:t>37</w:t>
        </w:r>
        <w:r w:rsidR="00AB51D9">
          <w:rPr>
            <w:noProof/>
            <w:webHidden/>
          </w:rPr>
          <w:fldChar w:fldCharType="end"/>
        </w:r>
      </w:hyperlink>
    </w:p>
    <w:p w14:paraId="23A697B9" w14:textId="0DF966D9"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4" w:history="1">
        <w:r w:rsidR="00AB51D9" w:rsidRPr="002E1124">
          <w:rPr>
            <w:rStyle w:val="Hyperlink"/>
            <w:noProof/>
          </w:rPr>
          <w:t>Tableau 2 : Répartition du parc de logement selon la catégorie en France (hors Mayotte)</w:t>
        </w:r>
        <w:r w:rsidR="00AB51D9">
          <w:rPr>
            <w:noProof/>
            <w:webHidden/>
          </w:rPr>
          <w:tab/>
        </w:r>
        <w:r w:rsidR="00AB51D9">
          <w:rPr>
            <w:noProof/>
            <w:webHidden/>
          </w:rPr>
          <w:fldChar w:fldCharType="begin"/>
        </w:r>
        <w:r w:rsidR="00AB51D9">
          <w:rPr>
            <w:noProof/>
            <w:webHidden/>
          </w:rPr>
          <w:instrText xml:space="preserve"> PAGEREF _Toc123916494 \h </w:instrText>
        </w:r>
        <w:r w:rsidR="00AB51D9">
          <w:rPr>
            <w:noProof/>
            <w:webHidden/>
          </w:rPr>
        </w:r>
        <w:r w:rsidR="00AB51D9">
          <w:rPr>
            <w:noProof/>
            <w:webHidden/>
          </w:rPr>
          <w:fldChar w:fldCharType="separate"/>
        </w:r>
        <w:r w:rsidR="00AB51D9">
          <w:rPr>
            <w:noProof/>
            <w:webHidden/>
          </w:rPr>
          <w:t>42</w:t>
        </w:r>
        <w:r w:rsidR="00AB51D9">
          <w:rPr>
            <w:noProof/>
            <w:webHidden/>
          </w:rPr>
          <w:fldChar w:fldCharType="end"/>
        </w:r>
      </w:hyperlink>
    </w:p>
    <w:p w14:paraId="491758EB" w14:textId="63233FC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5" w:history="1">
        <w:r w:rsidR="00AB51D9" w:rsidRPr="002E1124">
          <w:rPr>
            <w:rStyle w:val="Hyperlink"/>
            <w:noProof/>
          </w:rPr>
          <w:t>Tableau 3 : Répartition de l'habitat individuel et collectif selon la taille de l’unité urbaine au 1</w:t>
        </w:r>
        <w:r w:rsidR="00AB51D9" w:rsidRPr="002E1124">
          <w:rPr>
            <w:rStyle w:val="Hyperlink"/>
            <w:noProof/>
            <w:vertAlign w:val="superscript"/>
          </w:rPr>
          <w:t>er</w:t>
        </w:r>
        <w:r w:rsidR="00AB51D9" w:rsidRPr="002E1124">
          <w:rPr>
            <w:rStyle w:val="Hyperlink"/>
            <w:noProof/>
          </w:rPr>
          <w:t xml:space="preserve"> janvier 2021</w:t>
        </w:r>
        <w:r w:rsidR="00AB51D9">
          <w:rPr>
            <w:noProof/>
            <w:webHidden/>
          </w:rPr>
          <w:tab/>
        </w:r>
        <w:r w:rsidR="00AB51D9">
          <w:rPr>
            <w:noProof/>
            <w:webHidden/>
          </w:rPr>
          <w:fldChar w:fldCharType="begin"/>
        </w:r>
        <w:r w:rsidR="00AB51D9">
          <w:rPr>
            <w:noProof/>
            <w:webHidden/>
          </w:rPr>
          <w:instrText xml:space="preserve"> PAGEREF _Toc123916495 \h </w:instrText>
        </w:r>
        <w:r w:rsidR="00AB51D9">
          <w:rPr>
            <w:noProof/>
            <w:webHidden/>
          </w:rPr>
        </w:r>
        <w:r w:rsidR="00AB51D9">
          <w:rPr>
            <w:noProof/>
            <w:webHidden/>
          </w:rPr>
          <w:fldChar w:fldCharType="separate"/>
        </w:r>
        <w:r w:rsidR="00AB51D9">
          <w:rPr>
            <w:noProof/>
            <w:webHidden/>
          </w:rPr>
          <w:t>43</w:t>
        </w:r>
        <w:r w:rsidR="00AB51D9">
          <w:rPr>
            <w:noProof/>
            <w:webHidden/>
          </w:rPr>
          <w:fldChar w:fldCharType="end"/>
        </w:r>
      </w:hyperlink>
    </w:p>
    <w:p w14:paraId="1FBAF881" w14:textId="5F0D745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6" w:history="1">
        <w:r w:rsidR="00AB51D9" w:rsidRPr="002E1124">
          <w:rPr>
            <w:rStyle w:val="Hyperlink"/>
            <w:noProof/>
          </w:rPr>
          <w:t>Tableau 4 : Consommation finale brute d’énergie renouvelable par filières en 2005, 2010 et en 2021</w:t>
        </w:r>
        <w:r w:rsidR="00AB51D9">
          <w:rPr>
            <w:noProof/>
            <w:webHidden/>
          </w:rPr>
          <w:tab/>
        </w:r>
        <w:r w:rsidR="00AB51D9">
          <w:rPr>
            <w:noProof/>
            <w:webHidden/>
          </w:rPr>
          <w:fldChar w:fldCharType="begin"/>
        </w:r>
        <w:r w:rsidR="00AB51D9">
          <w:rPr>
            <w:noProof/>
            <w:webHidden/>
          </w:rPr>
          <w:instrText xml:space="preserve"> PAGEREF _Toc123916496 \h </w:instrText>
        </w:r>
        <w:r w:rsidR="00AB51D9">
          <w:rPr>
            <w:noProof/>
            <w:webHidden/>
          </w:rPr>
        </w:r>
        <w:r w:rsidR="00AB51D9">
          <w:rPr>
            <w:noProof/>
            <w:webHidden/>
          </w:rPr>
          <w:fldChar w:fldCharType="separate"/>
        </w:r>
        <w:r w:rsidR="00AB51D9">
          <w:rPr>
            <w:noProof/>
            <w:webHidden/>
          </w:rPr>
          <w:t>47</w:t>
        </w:r>
        <w:r w:rsidR="00AB51D9">
          <w:rPr>
            <w:noProof/>
            <w:webHidden/>
          </w:rPr>
          <w:fldChar w:fldCharType="end"/>
        </w:r>
      </w:hyperlink>
    </w:p>
    <w:p w14:paraId="62DC2B20" w14:textId="6956FBF8"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7" w:history="1">
        <w:r w:rsidR="00AB51D9" w:rsidRPr="002E1124">
          <w:rPr>
            <w:rStyle w:val="Hyperlink"/>
            <w:noProof/>
          </w:rPr>
          <w:t>Tableau 5 : Indicateurs</w:t>
        </w:r>
        <w:r w:rsidR="00AB51D9" w:rsidRPr="002E1124">
          <w:rPr>
            <w:rStyle w:val="Hyperlink"/>
            <w:bCs/>
            <w:noProof/>
          </w:rPr>
          <w:t xml:space="preserve"> macroéconomiques de l'industrie manufacturière en</w:t>
        </w:r>
        <w:r w:rsidR="00AB51D9" w:rsidRPr="002E1124">
          <w:rPr>
            <w:rStyle w:val="Hyperlink"/>
            <w:rFonts w:ascii="Calibri" w:hAnsi="Calibri" w:cs="Calibri"/>
            <w:bCs/>
            <w:noProof/>
          </w:rPr>
          <w:t> </w:t>
        </w:r>
        <w:r w:rsidR="00AB51D9" w:rsidRPr="002E1124">
          <w:rPr>
            <w:rStyle w:val="Hyperlink"/>
            <w:bCs/>
            <w:noProof/>
          </w:rPr>
          <w:t>2021</w:t>
        </w:r>
        <w:r w:rsidR="00AB51D9">
          <w:rPr>
            <w:noProof/>
            <w:webHidden/>
          </w:rPr>
          <w:tab/>
        </w:r>
        <w:r w:rsidR="00AB51D9">
          <w:rPr>
            <w:noProof/>
            <w:webHidden/>
          </w:rPr>
          <w:fldChar w:fldCharType="begin"/>
        </w:r>
        <w:r w:rsidR="00AB51D9">
          <w:rPr>
            <w:noProof/>
            <w:webHidden/>
          </w:rPr>
          <w:instrText xml:space="preserve"> PAGEREF _Toc123916497 \h </w:instrText>
        </w:r>
        <w:r w:rsidR="00AB51D9">
          <w:rPr>
            <w:noProof/>
            <w:webHidden/>
          </w:rPr>
        </w:r>
        <w:r w:rsidR="00AB51D9">
          <w:rPr>
            <w:noProof/>
            <w:webHidden/>
          </w:rPr>
          <w:fldChar w:fldCharType="separate"/>
        </w:r>
        <w:r w:rsidR="00AB51D9">
          <w:rPr>
            <w:noProof/>
            <w:webHidden/>
          </w:rPr>
          <w:t>49</w:t>
        </w:r>
        <w:r w:rsidR="00AB51D9">
          <w:rPr>
            <w:noProof/>
            <w:webHidden/>
          </w:rPr>
          <w:fldChar w:fldCharType="end"/>
        </w:r>
      </w:hyperlink>
    </w:p>
    <w:p w14:paraId="336F68A8" w14:textId="1DF7038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8" w:history="1">
        <w:r w:rsidR="00AB51D9" w:rsidRPr="002E1124">
          <w:rPr>
            <w:rStyle w:val="Hyperlink"/>
            <w:noProof/>
          </w:rPr>
          <w:t>Tableau 6 : Émissions hors UTCATF en millions de tonnes équivalent CO</w:t>
        </w:r>
        <w:r w:rsidR="00AB51D9" w:rsidRPr="002E1124">
          <w:rPr>
            <w:rStyle w:val="Hyperlink"/>
            <w:noProof/>
            <w:vertAlign w:val="subscript"/>
          </w:rPr>
          <w:t>2</w:t>
        </w:r>
        <w:r w:rsidR="00AB51D9" w:rsidRPr="002E1124">
          <w:rPr>
            <w:rStyle w:val="Hyperlink"/>
            <w:noProof/>
          </w:rPr>
          <w:t xml:space="preserve"> pour l’année 1990</w:t>
        </w:r>
        <w:r w:rsidR="00AB51D9">
          <w:rPr>
            <w:noProof/>
            <w:webHidden/>
          </w:rPr>
          <w:tab/>
        </w:r>
        <w:r w:rsidR="00AB51D9">
          <w:rPr>
            <w:noProof/>
            <w:webHidden/>
          </w:rPr>
          <w:fldChar w:fldCharType="begin"/>
        </w:r>
        <w:r w:rsidR="00AB51D9">
          <w:rPr>
            <w:noProof/>
            <w:webHidden/>
          </w:rPr>
          <w:instrText xml:space="preserve"> PAGEREF _Toc123916498 \h </w:instrText>
        </w:r>
        <w:r w:rsidR="00AB51D9">
          <w:rPr>
            <w:noProof/>
            <w:webHidden/>
          </w:rPr>
        </w:r>
        <w:r w:rsidR="00AB51D9">
          <w:rPr>
            <w:noProof/>
            <w:webHidden/>
          </w:rPr>
          <w:fldChar w:fldCharType="separate"/>
        </w:r>
        <w:r w:rsidR="00AB51D9">
          <w:rPr>
            <w:noProof/>
            <w:webHidden/>
          </w:rPr>
          <w:t>58</w:t>
        </w:r>
        <w:r w:rsidR="00AB51D9">
          <w:rPr>
            <w:noProof/>
            <w:webHidden/>
          </w:rPr>
          <w:fldChar w:fldCharType="end"/>
        </w:r>
      </w:hyperlink>
    </w:p>
    <w:p w14:paraId="540EBC70" w14:textId="57B6428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499" w:history="1">
        <w:r w:rsidR="00AB51D9" w:rsidRPr="002E1124">
          <w:rPr>
            <w:rStyle w:val="Hyperlink"/>
            <w:noProof/>
          </w:rPr>
          <w:t>Tableau 7 : Emissions hors UTCATF en millions de tonnes équivalent CO</w:t>
        </w:r>
        <w:r w:rsidR="00AB51D9" w:rsidRPr="002E1124">
          <w:rPr>
            <w:rStyle w:val="Hyperlink"/>
            <w:noProof/>
            <w:vertAlign w:val="subscript"/>
          </w:rPr>
          <w:t>2</w:t>
        </w:r>
        <w:r w:rsidR="00AB51D9" w:rsidRPr="002E1124">
          <w:rPr>
            <w:rStyle w:val="Hyperlink"/>
            <w:noProof/>
          </w:rPr>
          <w:t xml:space="preserve"> pour l’année 2020</w:t>
        </w:r>
        <w:r w:rsidR="00AB51D9">
          <w:rPr>
            <w:noProof/>
            <w:webHidden/>
          </w:rPr>
          <w:tab/>
        </w:r>
        <w:r w:rsidR="00AB51D9">
          <w:rPr>
            <w:noProof/>
            <w:webHidden/>
          </w:rPr>
          <w:fldChar w:fldCharType="begin"/>
        </w:r>
        <w:r w:rsidR="00AB51D9">
          <w:rPr>
            <w:noProof/>
            <w:webHidden/>
          </w:rPr>
          <w:instrText xml:space="preserve"> PAGEREF _Toc123916499 \h </w:instrText>
        </w:r>
        <w:r w:rsidR="00AB51D9">
          <w:rPr>
            <w:noProof/>
            <w:webHidden/>
          </w:rPr>
        </w:r>
        <w:r w:rsidR="00AB51D9">
          <w:rPr>
            <w:noProof/>
            <w:webHidden/>
          </w:rPr>
          <w:fldChar w:fldCharType="separate"/>
        </w:r>
        <w:r w:rsidR="00AB51D9">
          <w:rPr>
            <w:noProof/>
            <w:webHidden/>
          </w:rPr>
          <w:t>60</w:t>
        </w:r>
        <w:r w:rsidR="00AB51D9">
          <w:rPr>
            <w:noProof/>
            <w:webHidden/>
          </w:rPr>
          <w:fldChar w:fldCharType="end"/>
        </w:r>
      </w:hyperlink>
    </w:p>
    <w:p w14:paraId="545FF27F" w14:textId="240E799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0" w:history="1">
        <w:r w:rsidR="00AB51D9" w:rsidRPr="002E1124">
          <w:rPr>
            <w:rStyle w:val="Hyperlink"/>
            <w:noProof/>
          </w:rPr>
          <w:t>Tableau 8 : Liste des statistiques et données utilisées pour la réalisation des inventaires</w:t>
        </w:r>
        <w:r w:rsidR="00AB51D9">
          <w:rPr>
            <w:noProof/>
            <w:webHidden/>
          </w:rPr>
          <w:tab/>
        </w:r>
        <w:r w:rsidR="00AB51D9">
          <w:rPr>
            <w:noProof/>
            <w:webHidden/>
          </w:rPr>
          <w:fldChar w:fldCharType="begin"/>
        </w:r>
        <w:r w:rsidR="00AB51D9">
          <w:rPr>
            <w:noProof/>
            <w:webHidden/>
          </w:rPr>
          <w:instrText xml:space="preserve"> PAGEREF _Toc123916500 \h </w:instrText>
        </w:r>
        <w:r w:rsidR="00AB51D9">
          <w:rPr>
            <w:noProof/>
            <w:webHidden/>
          </w:rPr>
        </w:r>
        <w:r w:rsidR="00AB51D9">
          <w:rPr>
            <w:noProof/>
            <w:webHidden/>
          </w:rPr>
          <w:fldChar w:fldCharType="separate"/>
        </w:r>
        <w:r w:rsidR="00AB51D9">
          <w:rPr>
            <w:noProof/>
            <w:webHidden/>
          </w:rPr>
          <w:t>73</w:t>
        </w:r>
        <w:r w:rsidR="00AB51D9">
          <w:rPr>
            <w:noProof/>
            <w:webHidden/>
          </w:rPr>
          <w:fldChar w:fldCharType="end"/>
        </w:r>
      </w:hyperlink>
    </w:p>
    <w:p w14:paraId="7FE6DBDB" w14:textId="1BA63CA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1" w:history="1">
        <w:r w:rsidR="00AB51D9" w:rsidRPr="002E1124">
          <w:rPr>
            <w:rStyle w:val="Hyperlink"/>
            <w:noProof/>
          </w:rPr>
          <w:t>Tableau 9 : 2</w:t>
        </w:r>
        <w:r w:rsidR="00AB51D9" w:rsidRPr="002E1124">
          <w:rPr>
            <w:rStyle w:val="Hyperlink"/>
            <w:noProof/>
            <w:vertAlign w:val="superscript"/>
          </w:rPr>
          <w:t>e</w:t>
        </w:r>
        <w:r w:rsidR="00AB51D9" w:rsidRPr="002E1124">
          <w:rPr>
            <w:rStyle w:val="Hyperlink"/>
            <w:noProof/>
          </w:rPr>
          <w:t xml:space="preserve"> (2019-2023), 3</w:t>
        </w:r>
        <w:r w:rsidR="00AB51D9" w:rsidRPr="002E1124">
          <w:rPr>
            <w:rStyle w:val="Hyperlink"/>
            <w:noProof/>
            <w:vertAlign w:val="superscript"/>
          </w:rPr>
          <w:t>e</w:t>
        </w:r>
        <w:r w:rsidR="00AB51D9" w:rsidRPr="002E1124">
          <w:rPr>
            <w:rStyle w:val="Hyperlink"/>
            <w:noProof/>
          </w:rPr>
          <w:t xml:space="preserve"> (2024-2028) et 4</w:t>
        </w:r>
        <w:r w:rsidR="00AB51D9" w:rsidRPr="002E1124">
          <w:rPr>
            <w:rStyle w:val="Hyperlink"/>
            <w:noProof/>
            <w:vertAlign w:val="superscript"/>
          </w:rPr>
          <w:t>e</w:t>
        </w:r>
        <w:r w:rsidR="00AB51D9" w:rsidRPr="002E1124">
          <w:rPr>
            <w:rStyle w:val="Hyperlink"/>
            <w:noProof/>
          </w:rPr>
          <w:t xml:space="preserve"> (2029-2033) budgets carbone</w:t>
        </w:r>
        <w:r w:rsidR="00AB51D9">
          <w:rPr>
            <w:noProof/>
            <w:webHidden/>
          </w:rPr>
          <w:tab/>
        </w:r>
        <w:r w:rsidR="00AB51D9">
          <w:rPr>
            <w:noProof/>
            <w:webHidden/>
          </w:rPr>
          <w:fldChar w:fldCharType="begin"/>
        </w:r>
        <w:r w:rsidR="00AB51D9">
          <w:rPr>
            <w:noProof/>
            <w:webHidden/>
          </w:rPr>
          <w:instrText xml:space="preserve"> PAGEREF _Toc123916501 \h </w:instrText>
        </w:r>
        <w:r w:rsidR="00AB51D9">
          <w:rPr>
            <w:noProof/>
            <w:webHidden/>
          </w:rPr>
        </w:r>
        <w:r w:rsidR="00AB51D9">
          <w:rPr>
            <w:noProof/>
            <w:webHidden/>
          </w:rPr>
          <w:fldChar w:fldCharType="separate"/>
        </w:r>
        <w:r w:rsidR="00AB51D9">
          <w:rPr>
            <w:noProof/>
            <w:webHidden/>
          </w:rPr>
          <w:t>86</w:t>
        </w:r>
        <w:r w:rsidR="00AB51D9">
          <w:rPr>
            <w:noProof/>
            <w:webHidden/>
          </w:rPr>
          <w:fldChar w:fldCharType="end"/>
        </w:r>
      </w:hyperlink>
    </w:p>
    <w:p w14:paraId="568D6C13" w14:textId="317F4E1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2" w:history="1">
        <w:r w:rsidR="00AB51D9" w:rsidRPr="002E1124">
          <w:rPr>
            <w:rStyle w:val="Hyperlink"/>
            <w:noProof/>
          </w:rPr>
          <w:t>Tableau 10 : Projections d’émissions de GES (en ktCO</w:t>
        </w:r>
        <w:r w:rsidR="00AB51D9" w:rsidRPr="002E1124">
          <w:rPr>
            <w:rStyle w:val="Hyperlink"/>
            <w:noProof/>
            <w:vertAlign w:val="subscript"/>
          </w:rPr>
          <w:t>2e</w:t>
        </w:r>
        <w:r w:rsidR="00AB51D9" w:rsidRPr="002E1124">
          <w:rPr>
            <w:rStyle w:val="Hyperlink"/>
            <w:noProof/>
          </w:rPr>
          <w:t>) au périmètre Kyoto dans le scénario AME21 (avec mesures existantes)</w:t>
        </w:r>
        <w:r w:rsidR="00AB51D9">
          <w:rPr>
            <w:noProof/>
            <w:webHidden/>
          </w:rPr>
          <w:tab/>
        </w:r>
        <w:r w:rsidR="00AB51D9">
          <w:rPr>
            <w:noProof/>
            <w:webHidden/>
          </w:rPr>
          <w:fldChar w:fldCharType="begin"/>
        </w:r>
        <w:r w:rsidR="00AB51D9">
          <w:rPr>
            <w:noProof/>
            <w:webHidden/>
          </w:rPr>
          <w:instrText xml:space="preserve"> PAGEREF _Toc123916502 \h </w:instrText>
        </w:r>
        <w:r w:rsidR="00AB51D9">
          <w:rPr>
            <w:noProof/>
            <w:webHidden/>
          </w:rPr>
        </w:r>
        <w:r w:rsidR="00AB51D9">
          <w:rPr>
            <w:noProof/>
            <w:webHidden/>
          </w:rPr>
          <w:fldChar w:fldCharType="separate"/>
        </w:r>
        <w:r w:rsidR="00AB51D9">
          <w:rPr>
            <w:noProof/>
            <w:webHidden/>
          </w:rPr>
          <w:t>141</w:t>
        </w:r>
        <w:r w:rsidR="00AB51D9">
          <w:rPr>
            <w:noProof/>
            <w:webHidden/>
          </w:rPr>
          <w:fldChar w:fldCharType="end"/>
        </w:r>
      </w:hyperlink>
    </w:p>
    <w:p w14:paraId="0A77F723" w14:textId="5886EE7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3" w:history="1">
        <w:r w:rsidR="00AB51D9" w:rsidRPr="002E1124">
          <w:rPr>
            <w:rStyle w:val="Hyperlink"/>
            <w:noProof/>
          </w:rPr>
          <w:t>Tableau 11 : Impact des différents facteurs sur le niveau d’émissions en 2030 et 2050</w:t>
        </w:r>
        <w:r w:rsidR="00AB51D9">
          <w:rPr>
            <w:noProof/>
            <w:webHidden/>
          </w:rPr>
          <w:tab/>
        </w:r>
        <w:r w:rsidR="00AB51D9">
          <w:rPr>
            <w:noProof/>
            <w:webHidden/>
          </w:rPr>
          <w:fldChar w:fldCharType="begin"/>
        </w:r>
        <w:r w:rsidR="00AB51D9">
          <w:rPr>
            <w:noProof/>
            <w:webHidden/>
          </w:rPr>
          <w:instrText xml:space="preserve"> PAGEREF _Toc123916503 \h </w:instrText>
        </w:r>
        <w:r w:rsidR="00AB51D9">
          <w:rPr>
            <w:noProof/>
            <w:webHidden/>
          </w:rPr>
        </w:r>
        <w:r w:rsidR="00AB51D9">
          <w:rPr>
            <w:noProof/>
            <w:webHidden/>
          </w:rPr>
          <w:fldChar w:fldCharType="separate"/>
        </w:r>
        <w:r w:rsidR="00AB51D9">
          <w:rPr>
            <w:noProof/>
            <w:webHidden/>
          </w:rPr>
          <w:t>143</w:t>
        </w:r>
        <w:r w:rsidR="00AB51D9">
          <w:rPr>
            <w:noProof/>
            <w:webHidden/>
          </w:rPr>
          <w:fldChar w:fldCharType="end"/>
        </w:r>
      </w:hyperlink>
    </w:p>
    <w:p w14:paraId="3750B236" w14:textId="3914845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4" w:history="1">
        <w:r w:rsidR="00AB51D9" w:rsidRPr="002E1124">
          <w:rPr>
            <w:rStyle w:val="Hyperlink"/>
            <w:noProof/>
          </w:rPr>
          <w:t>Tableau 12 : Projections d’émissions de GES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_Toc123916504 \h </w:instrText>
        </w:r>
        <w:r w:rsidR="00AB51D9">
          <w:rPr>
            <w:noProof/>
            <w:webHidden/>
          </w:rPr>
        </w:r>
        <w:r w:rsidR="00AB51D9">
          <w:rPr>
            <w:noProof/>
            <w:webHidden/>
          </w:rPr>
          <w:fldChar w:fldCharType="separate"/>
        </w:r>
        <w:r w:rsidR="00AB51D9">
          <w:rPr>
            <w:noProof/>
            <w:webHidden/>
          </w:rPr>
          <w:t>143</w:t>
        </w:r>
        <w:r w:rsidR="00AB51D9">
          <w:rPr>
            <w:noProof/>
            <w:webHidden/>
          </w:rPr>
          <w:fldChar w:fldCharType="end"/>
        </w:r>
      </w:hyperlink>
    </w:p>
    <w:p w14:paraId="2DD199CF" w14:textId="28FB7199"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5" w:history="1">
        <w:r w:rsidR="00AB51D9" w:rsidRPr="002E1124">
          <w:rPr>
            <w:rStyle w:val="Hyperlink"/>
            <w:noProof/>
          </w:rPr>
          <w:t>Tableau 13 : Projections d’émissions de GES par secteur d’activité (en ktCO</w:t>
        </w:r>
        <w:r w:rsidR="00AB51D9" w:rsidRPr="002E1124">
          <w:rPr>
            <w:rStyle w:val="Hyperlink"/>
            <w:noProof/>
            <w:vertAlign w:val="subscript"/>
          </w:rPr>
          <w:t>2e</w:t>
        </w:r>
        <w:r w:rsidR="00AB51D9" w:rsidRPr="002E1124">
          <w:rPr>
            <w:rStyle w:val="Hyperlink"/>
            <w:noProof/>
          </w:rPr>
          <w:t>) au périmètre Kyoto dans le scénario AME (avec mesures existantes)</w:t>
        </w:r>
        <w:r w:rsidR="00AB51D9">
          <w:rPr>
            <w:noProof/>
            <w:webHidden/>
          </w:rPr>
          <w:tab/>
        </w:r>
        <w:r w:rsidR="00AB51D9">
          <w:rPr>
            <w:noProof/>
            <w:webHidden/>
          </w:rPr>
          <w:fldChar w:fldCharType="begin"/>
        </w:r>
        <w:r w:rsidR="00AB51D9">
          <w:rPr>
            <w:noProof/>
            <w:webHidden/>
          </w:rPr>
          <w:instrText xml:space="preserve"> PAGEREF _Toc123916505 \h </w:instrText>
        </w:r>
        <w:r w:rsidR="00AB51D9">
          <w:rPr>
            <w:noProof/>
            <w:webHidden/>
          </w:rPr>
        </w:r>
        <w:r w:rsidR="00AB51D9">
          <w:rPr>
            <w:noProof/>
            <w:webHidden/>
          </w:rPr>
          <w:fldChar w:fldCharType="separate"/>
        </w:r>
        <w:r w:rsidR="00AB51D9">
          <w:rPr>
            <w:noProof/>
            <w:webHidden/>
          </w:rPr>
          <w:t>145</w:t>
        </w:r>
        <w:r w:rsidR="00AB51D9">
          <w:rPr>
            <w:noProof/>
            <w:webHidden/>
          </w:rPr>
          <w:fldChar w:fldCharType="end"/>
        </w:r>
      </w:hyperlink>
    </w:p>
    <w:p w14:paraId="5D066C05" w14:textId="651D494D"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6" w:history="1">
        <w:r w:rsidR="00AB51D9" w:rsidRPr="002E1124">
          <w:rPr>
            <w:rStyle w:val="Hyperlink"/>
            <w:noProof/>
          </w:rPr>
          <w:t>Tableau 14 : Projections d’émissions de GES par secteur d’activité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_Toc123916506 \h </w:instrText>
        </w:r>
        <w:r w:rsidR="00AB51D9">
          <w:rPr>
            <w:noProof/>
            <w:webHidden/>
          </w:rPr>
        </w:r>
        <w:r w:rsidR="00AB51D9">
          <w:rPr>
            <w:noProof/>
            <w:webHidden/>
          </w:rPr>
          <w:fldChar w:fldCharType="separate"/>
        </w:r>
        <w:r w:rsidR="00AB51D9">
          <w:rPr>
            <w:noProof/>
            <w:webHidden/>
          </w:rPr>
          <w:t>146</w:t>
        </w:r>
        <w:r w:rsidR="00AB51D9">
          <w:rPr>
            <w:noProof/>
            <w:webHidden/>
          </w:rPr>
          <w:fldChar w:fldCharType="end"/>
        </w:r>
      </w:hyperlink>
    </w:p>
    <w:p w14:paraId="5A6AE324" w14:textId="0F4C1AD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7" w:history="1">
        <w:r w:rsidR="00AB51D9" w:rsidRPr="002E1124">
          <w:rPr>
            <w:rStyle w:val="Hyperlink"/>
            <w:noProof/>
          </w:rPr>
          <w:t>Tableau 15 : Détail des catégories du secteur énergie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_Toc123916507 \h </w:instrText>
        </w:r>
        <w:r w:rsidR="00AB51D9">
          <w:rPr>
            <w:noProof/>
            <w:webHidden/>
          </w:rPr>
        </w:r>
        <w:r w:rsidR="00AB51D9">
          <w:rPr>
            <w:noProof/>
            <w:webHidden/>
          </w:rPr>
          <w:fldChar w:fldCharType="separate"/>
        </w:r>
        <w:r w:rsidR="00AB51D9">
          <w:rPr>
            <w:noProof/>
            <w:webHidden/>
          </w:rPr>
          <w:t>147</w:t>
        </w:r>
        <w:r w:rsidR="00AB51D9">
          <w:rPr>
            <w:noProof/>
            <w:webHidden/>
          </w:rPr>
          <w:fldChar w:fldCharType="end"/>
        </w:r>
      </w:hyperlink>
    </w:p>
    <w:p w14:paraId="5198C86C" w14:textId="1F200A2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8" w:history="1">
        <w:r w:rsidR="00AB51D9" w:rsidRPr="002E1124">
          <w:rPr>
            <w:rStyle w:val="Hyperlink"/>
            <w:noProof/>
          </w:rPr>
          <w:t>Tableau 16 : Détail des catégories du secteur énergie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_Toc123916508 \h </w:instrText>
        </w:r>
        <w:r w:rsidR="00AB51D9">
          <w:rPr>
            <w:noProof/>
            <w:webHidden/>
          </w:rPr>
        </w:r>
        <w:r w:rsidR="00AB51D9">
          <w:rPr>
            <w:noProof/>
            <w:webHidden/>
          </w:rPr>
          <w:fldChar w:fldCharType="separate"/>
        </w:r>
        <w:r w:rsidR="00AB51D9">
          <w:rPr>
            <w:noProof/>
            <w:webHidden/>
          </w:rPr>
          <w:t>148</w:t>
        </w:r>
        <w:r w:rsidR="00AB51D9">
          <w:rPr>
            <w:noProof/>
            <w:webHidden/>
          </w:rPr>
          <w:fldChar w:fldCharType="end"/>
        </w:r>
      </w:hyperlink>
    </w:p>
    <w:p w14:paraId="6D4DCA19" w14:textId="5ECEF6E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09" w:history="1">
        <w:r w:rsidR="00AB51D9" w:rsidRPr="002E1124">
          <w:rPr>
            <w:rStyle w:val="Hyperlink"/>
            <w:noProof/>
          </w:rPr>
          <w:t>Tableau 17 : Projections d’émissions de GES par gaz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_Toc123916509 \h </w:instrText>
        </w:r>
        <w:r w:rsidR="00AB51D9">
          <w:rPr>
            <w:noProof/>
            <w:webHidden/>
          </w:rPr>
        </w:r>
        <w:r w:rsidR="00AB51D9">
          <w:rPr>
            <w:noProof/>
            <w:webHidden/>
          </w:rPr>
          <w:fldChar w:fldCharType="separate"/>
        </w:r>
        <w:r w:rsidR="00AB51D9">
          <w:rPr>
            <w:noProof/>
            <w:webHidden/>
          </w:rPr>
          <w:t>150</w:t>
        </w:r>
        <w:r w:rsidR="00AB51D9">
          <w:rPr>
            <w:noProof/>
            <w:webHidden/>
          </w:rPr>
          <w:fldChar w:fldCharType="end"/>
        </w:r>
      </w:hyperlink>
    </w:p>
    <w:p w14:paraId="5C4F0C61" w14:textId="2BD6053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0" w:history="1">
        <w:r w:rsidR="00AB51D9" w:rsidRPr="002E1124">
          <w:rPr>
            <w:rStyle w:val="Hyperlink"/>
            <w:noProof/>
          </w:rPr>
          <w:t>Tableau 18 : Projections d’émissions de GES par gaz (en ktCO</w:t>
        </w:r>
        <w:r w:rsidR="00AB51D9" w:rsidRPr="002E1124">
          <w:rPr>
            <w:rStyle w:val="Hyperlink"/>
            <w:noProof/>
            <w:vertAlign w:val="subscript"/>
          </w:rPr>
          <w:t>2</w:t>
        </w:r>
        <w:r w:rsidR="00AB51D9" w:rsidRPr="002E1124">
          <w:rPr>
            <w:rStyle w:val="Hyperlink"/>
            <w:noProof/>
          </w:rPr>
          <w:t>e)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_Toc123916510 \h </w:instrText>
        </w:r>
        <w:r w:rsidR="00AB51D9">
          <w:rPr>
            <w:noProof/>
            <w:webHidden/>
          </w:rPr>
        </w:r>
        <w:r w:rsidR="00AB51D9">
          <w:rPr>
            <w:noProof/>
            <w:webHidden/>
          </w:rPr>
          <w:fldChar w:fldCharType="separate"/>
        </w:r>
        <w:r w:rsidR="00AB51D9">
          <w:rPr>
            <w:noProof/>
            <w:webHidden/>
          </w:rPr>
          <w:t>152</w:t>
        </w:r>
        <w:r w:rsidR="00AB51D9">
          <w:rPr>
            <w:noProof/>
            <w:webHidden/>
          </w:rPr>
          <w:fldChar w:fldCharType="end"/>
        </w:r>
      </w:hyperlink>
    </w:p>
    <w:p w14:paraId="5F9AC346" w14:textId="69267E2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1" w:history="1">
        <w:r w:rsidR="00AB51D9" w:rsidRPr="002E1124">
          <w:rPr>
            <w:rStyle w:val="Hyperlink"/>
            <w:noProof/>
          </w:rPr>
          <w:t>Tableau 19 : Projections d’émissions de CO</w:t>
        </w:r>
        <w:r w:rsidR="00AB51D9" w:rsidRPr="002E1124">
          <w:rPr>
            <w:rStyle w:val="Hyperlink"/>
            <w:noProof/>
            <w:vertAlign w:val="subscript"/>
          </w:rPr>
          <w:t>2</w:t>
        </w:r>
        <w:r w:rsidR="00AB51D9" w:rsidRPr="002E1124">
          <w:rPr>
            <w:rStyle w:val="Hyperlink"/>
            <w:noProof/>
          </w:rPr>
          <w:t xml:space="preserve"> (en ktCO</w:t>
        </w:r>
        <w:r w:rsidR="00AB51D9" w:rsidRPr="002E1124">
          <w:rPr>
            <w:rStyle w:val="Hyperlink"/>
            <w:noProof/>
            <w:vertAlign w:val="subscript"/>
          </w:rPr>
          <w:t>2</w:t>
        </w:r>
        <w:r w:rsidR="00AB51D9" w:rsidRPr="002E1124">
          <w:rPr>
            <w:rStyle w:val="Hyperlink"/>
            <w:noProof/>
          </w:rPr>
          <w:t>e)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_Toc123916511 \h </w:instrText>
        </w:r>
        <w:r w:rsidR="00AB51D9">
          <w:rPr>
            <w:noProof/>
            <w:webHidden/>
          </w:rPr>
        </w:r>
        <w:r w:rsidR="00AB51D9">
          <w:rPr>
            <w:noProof/>
            <w:webHidden/>
          </w:rPr>
          <w:fldChar w:fldCharType="separate"/>
        </w:r>
        <w:r w:rsidR="00AB51D9">
          <w:rPr>
            <w:noProof/>
            <w:webHidden/>
          </w:rPr>
          <w:t>153</w:t>
        </w:r>
        <w:r w:rsidR="00AB51D9">
          <w:rPr>
            <w:noProof/>
            <w:webHidden/>
          </w:rPr>
          <w:fldChar w:fldCharType="end"/>
        </w:r>
      </w:hyperlink>
    </w:p>
    <w:p w14:paraId="4F422CB2" w14:textId="51CE197A"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2" w:history="1">
        <w:r w:rsidR="00AB51D9" w:rsidRPr="002E1124">
          <w:rPr>
            <w:rStyle w:val="Hyperlink"/>
            <w:noProof/>
          </w:rPr>
          <w:t>Tableau 20 : Projections d’émissions de CH</w:t>
        </w:r>
        <w:r w:rsidR="00AB51D9" w:rsidRPr="002E1124">
          <w:rPr>
            <w:rStyle w:val="Hyperlink"/>
            <w:noProof/>
            <w:vertAlign w:val="subscript"/>
          </w:rPr>
          <w:t>4</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_Toc123916512 \h </w:instrText>
        </w:r>
        <w:r w:rsidR="00AB51D9">
          <w:rPr>
            <w:noProof/>
            <w:webHidden/>
          </w:rPr>
        </w:r>
        <w:r w:rsidR="00AB51D9">
          <w:rPr>
            <w:noProof/>
            <w:webHidden/>
          </w:rPr>
          <w:fldChar w:fldCharType="separate"/>
        </w:r>
        <w:r w:rsidR="00AB51D9">
          <w:rPr>
            <w:noProof/>
            <w:webHidden/>
          </w:rPr>
          <w:t>154</w:t>
        </w:r>
        <w:r w:rsidR="00AB51D9">
          <w:rPr>
            <w:noProof/>
            <w:webHidden/>
          </w:rPr>
          <w:fldChar w:fldCharType="end"/>
        </w:r>
      </w:hyperlink>
    </w:p>
    <w:p w14:paraId="38B98174" w14:textId="1FA666B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3" w:history="1">
        <w:r w:rsidR="00AB51D9" w:rsidRPr="002E1124">
          <w:rPr>
            <w:rStyle w:val="Hyperlink"/>
            <w:noProof/>
          </w:rPr>
          <w:t>Tableau 21 : Projections d’émissions de N</w:t>
        </w:r>
        <w:r w:rsidR="00AB51D9" w:rsidRPr="002E1124">
          <w:rPr>
            <w:rStyle w:val="Hyperlink"/>
            <w:noProof/>
            <w:vertAlign w:val="subscript"/>
          </w:rPr>
          <w:t>2</w:t>
        </w:r>
        <w:r w:rsidR="00AB51D9" w:rsidRPr="002E1124">
          <w:rPr>
            <w:rStyle w:val="Hyperlink"/>
            <w:noProof/>
          </w:rPr>
          <w:t>O (en ktCO</w:t>
        </w:r>
        <w:r w:rsidR="00AB51D9" w:rsidRPr="002E1124">
          <w:rPr>
            <w:rStyle w:val="Hyperlink"/>
            <w:noProof/>
            <w:vertAlign w:val="subscript"/>
          </w:rPr>
          <w:t>2e</w:t>
        </w:r>
        <w:r w:rsidR="00AB51D9" w:rsidRPr="002E1124">
          <w:rPr>
            <w:rStyle w:val="Hyperlink"/>
            <w:noProof/>
          </w:rPr>
          <w:t>) au périmètre Kyoto dans le scénario AME (avec mesures existantes)</w:t>
        </w:r>
        <w:r w:rsidR="00AB51D9">
          <w:rPr>
            <w:noProof/>
            <w:webHidden/>
          </w:rPr>
          <w:tab/>
        </w:r>
        <w:r w:rsidR="00AB51D9">
          <w:rPr>
            <w:noProof/>
            <w:webHidden/>
          </w:rPr>
          <w:fldChar w:fldCharType="begin"/>
        </w:r>
        <w:r w:rsidR="00AB51D9">
          <w:rPr>
            <w:noProof/>
            <w:webHidden/>
          </w:rPr>
          <w:instrText xml:space="preserve"> PAGEREF _Toc123916513 \h </w:instrText>
        </w:r>
        <w:r w:rsidR="00AB51D9">
          <w:rPr>
            <w:noProof/>
            <w:webHidden/>
          </w:rPr>
        </w:r>
        <w:r w:rsidR="00AB51D9">
          <w:rPr>
            <w:noProof/>
            <w:webHidden/>
          </w:rPr>
          <w:fldChar w:fldCharType="separate"/>
        </w:r>
        <w:r w:rsidR="00AB51D9">
          <w:rPr>
            <w:noProof/>
            <w:webHidden/>
          </w:rPr>
          <w:t>155</w:t>
        </w:r>
        <w:r w:rsidR="00AB51D9">
          <w:rPr>
            <w:noProof/>
            <w:webHidden/>
          </w:rPr>
          <w:fldChar w:fldCharType="end"/>
        </w:r>
      </w:hyperlink>
    </w:p>
    <w:p w14:paraId="3FA82259" w14:textId="2E9FA86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4" w:history="1">
        <w:r w:rsidR="00AB51D9" w:rsidRPr="002E1124">
          <w:rPr>
            <w:rStyle w:val="Hyperlink"/>
            <w:noProof/>
          </w:rPr>
          <w:t>Tableau 22 : Projections d’émissions de HFC (en ktCO</w:t>
        </w:r>
        <w:r w:rsidR="00AB51D9" w:rsidRPr="002E1124">
          <w:rPr>
            <w:rStyle w:val="Hyperlink"/>
            <w:noProof/>
            <w:vertAlign w:val="subscript"/>
          </w:rPr>
          <w:t>2e</w:t>
        </w:r>
        <w:r w:rsidR="00AB51D9" w:rsidRPr="002E1124">
          <w:rPr>
            <w:rStyle w:val="Hyperlink"/>
            <w:noProof/>
          </w:rPr>
          <w:t>) au périmètre Kyoto dans le scénario AME (avec mesures existantes)</w:t>
        </w:r>
        <w:r w:rsidR="00AB51D9">
          <w:rPr>
            <w:noProof/>
            <w:webHidden/>
          </w:rPr>
          <w:tab/>
        </w:r>
        <w:r w:rsidR="00AB51D9">
          <w:rPr>
            <w:noProof/>
            <w:webHidden/>
          </w:rPr>
          <w:fldChar w:fldCharType="begin"/>
        </w:r>
        <w:r w:rsidR="00AB51D9">
          <w:rPr>
            <w:noProof/>
            <w:webHidden/>
          </w:rPr>
          <w:instrText xml:space="preserve"> PAGEREF _Toc123916514 \h </w:instrText>
        </w:r>
        <w:r w:rsidR="00AB51D9">
          <w:rPr>
            <w:noProof/>
            <w:webHidden/>
          </w:rPr>
        </w:r>
        <w:r w:rsidR="00AB51D9">
          <w:rPr>
            <w:noProof/>
            <w:webHidden/>
          </w:rPr>
          <w:fldChar w:fldCharType="separate"/>
        </w:r>
        <w:r w:rsidR="00AB51D9">
          <w:rPr>
            <w:noProof/>
            <w:webHidden/>
          </w:rPr>
          <w:t>155</w:t>
        </w:r>
        <w:r w:rsidR="00AB51D9">
          <w:rPr>
            <w:noProof/>
            <w:webHidden/>
          </w:rPr>
          <w:fldChar w:fldCharType="end"/>
        </w:r>
      </w:hyperlink>
    </w:p>
    <w:p w14:paraId="303A76B1" w14:textId="2721161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5" w:history="1">
        <w:r w:rsidR="00AB51D9" w:rsidRPr="002E1124">
          <w:rPr>
            <w:rStyle w:val="Hyperlink"/>
            <w:noProof/>
          </w:rPr>
          <w:t>Tableau 23 : Projections d’émissions de PFC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_Toc123916515 \h </w:instrText>
        </w:r>
        <w:r w:rsidR="00AB51D9">
          <w:rPr>
            <w:noProof/>
            <w:webHidden/>
          </w:rPr>
        </w:r>
        <w:r w:rsidR="00AB51D9">
          <w:rPr>
            <w:noProof/>
            <w:webHidden/>
          </w:rPr>
          <w:fldChar w:fldCharType="separate"/>
        </w:r>
        <w:r w:rsidR="00AB51D9">
          <w:rPr>
            <w:noProof/>
            <w:webHidden/>
          </w:rPr>
          <w:t>155</w:t>
        </w:r>
        <w:r w:rsidR="00AB51D9">
          <w:rPr>
            <w:noProof/>
            <w:webHidden/>
          </w:rPr>
          <w:fldChar w:fldCharType="end"/>
        </w:r>
      </w:hyperlink>
    </w:p>
    <w:p w14:paraId="4DE82D48" w14:textId="7E63184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6" w:history="1">
        <w:r w:rsidR="00AB51D9" w:rsidRPr="002E1124">
          <w:rPr>
            <w:rStyle w:val="Hyperlink"/>
            <w:noProof/>
          </w:rPr>
          <w:t>Tableau 24 : Projections d’émissions de SF</w:t>
        </w:r>
        <w:r w:rsidR="00AB51D9" w:rsidRPr="002E1124">
          <w:rPr>
            <w:rStyle w:val="Hyperlink"/>
            <w:noProof/>
            <w:vertAlign w:val="subscript"/>
          </w:rPr>
          <w:t>6</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_Toc123916516 \h </w:instrText>
        </w:r>
        <w:r w:rsidR="00AB51D9">
          <w:rPr>
            <w:noProof/>
            <w:webHidden/>
          </w:rPr>
        </w:r>
        <w:r w:rsidR="00AB51D9">
          <w:rPr>
            <w:noProof/>
            <w:webHidden/>
          </w:rPr>
          <w:fldChar w:fldCharType="separate"/>
        </w:r>
        <w:r w:rsidR="00AB51D9">
          <w:rPr>
            <w:noProof/>
            <w:webHidden/>
          </w:rPr>
          <w:t>156</w:t>
        </w:r>
        <w:r w:rsidR="00AB51D9">
          <w:rPr>
            <w:noProof/>
            <w:webHidden/>
          </w:rPr>
          <w:fldChar w:fldCharType="end"/>
        </w:r>
      </w:hyperlink>
    </w:p>
    <w:p w14:paraId="5F1DF9D9" w14:textId="6B7FB3B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7" w:history="1">
        <w:r w:rsidR="00AB51D9" w:rsidRPr="002E1124">
          <w:rPr>
            <w:rStyle w:val="Hyperlink"/>
            <w:noProof/>
          </w:rPr>
          <w:t>Tableau 25 : Projections d’émissions de NF</w:t>
        </w:r>
        <w:r w:rsidR="00AB51D9" w:rsidRPr="002E1124">
          <w:rPr>
            <w:rStyle w:val="Hyperlink"/>
            <w:noProof/>
            <w:vertAlign w:val="subscript"/>
          </w:rPr>
          <w:t>3</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AME 2021 (avec mesures existantes)</w:t>
        </w:r>
        <w:r w:rsidR="00AB51D9">
          <w:rPr>
            <w:noProof/>
            <w:webHidden/>
          </w:rPr>
          <w:tab/>
        </w:r>
        <w:r w:rsidR="00AB51D9">
          <w:rPr>
            <w:noProof/>
            <w:webHidden/>
          </w:rPr>
          <w:fldChar w:fldCharType="begin"/>
        </w:r>
        <w:r w:rsidR="00AB51D9">
          <w:rPr>
            <w:noProof/>
            <w:webHidden/>
          </w:rPr>
          <w:instrText xml:space="preserve"> PAGEREF _Toc123916517 \h </w:instrText>
        </w:r>
        <w:r w:rsidR="00AB51D9">
          <w:rPr>
            <w:noProof/>
            <w:webHidden/>
          </w:rPr>
        </w:r>
        <w:r w:rsidR="00AB51D9">
          <w:rPr>
            <w:noProof/>
            <w:webHidden/>
          </w:rPr>
          <w:fldChar w:fldCharType="separate"/>
        </w:r>
        <w:r w:rsidR="00AB51D9">
          <w:rPr>
            <w:noProof/>
            <w:webHidden/>
          </w:rPr>
          <w:t>156</w:t>
        </w:r>
        <w:r w:rsidR="00AB51D9">
          <w:rPr>
            <w:noProof/>
            <w:webHidden/>
          </w:rPr>
          <w:fldChar w:fldCharType="end"/>
        </w:r>
      </w:hyperlink>
    </w:p>
    <w:p w14:paraId="1C06D9BE" w14:textId="1FA85FF8"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8" w:history="1">
        <w:r w:rsidR="00AB51D9" w:rsidRPr="002E1124">
          <w:rPr>
            <w:rStyle w:val="Hyperlink"/>
            <w:noProof/>
          </w:rPr>
          <w:t>Tableau 26 : Projections d’émissions de CO</w:t>
        </w:r>
        <w:r w:rsidR="00AB51D9" w:rsidRPr="002E1124">
          <w:rPr>
            <w:rStyle w:val="Hyperlink"/>
            <w:noProof/>
            <w:vertAlign w:val="subscript"/>
          </w:rPr>
          <w:t>2</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_Toc123916518 \h </w:instrText>
        </w:r>
        <w:r w:rsidR="00AB51D9">
          <w:rPr>
            <w:noProof/>
            <w:webHidden/>
          </w:rPr>
        </w:r>
        <w:r w:rsidR="00AB51D9">
          <w:rPr>
            <w:noProof/>
            <w:webHidden/>
          </w:rPr>
          <w:fldChar w:fldCharType="separate"/>
        </w:r>
        <w:r w:rsidR="00AB51D9">
          <w:rPr>
            <w:noProof/>
            <w:webHidden/>
          </w:rPr>
          <w:t>157</w:t>
        </w:r>
        <w:r w:rsidR="00AB51D9">
          <w:rPr>
            <w:noProof/>
            <w:webHidden/>
          </w:rPr>
          <w:fldChar w:fldCharType="end"/>
        </w:r>
      </w:hyperlink>
    </w:p>
    <w:p w14:paraId="4DDC14AE" w14:textId="71548551"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19" w:history="1">
        <w:r w:rsidR="00AB51D9" w:rsidRPr="002E1124">
          <w:rPr>
            <w:rStyle w:val="Hyperlink"/>
            <w:noProof/>
          </w:rPr>
          <w:t>Tableau 27 : Projections d’émissions de CH</w:t>
        </w:r>
        <w:r w:rsidR="00AB51D9" w:rsidRPr="002E1124">
          <w:rPr>
            <w:rStyle w:val="Hyperlink"/>
            <w:noProof/>
            <w:vertAlign w:val="subscript"/>
          </w:rPr>
          <w:t>4</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_Toc123916519 \h </w:instrText>
        </w:r>
        <w:r w:rsidR="00AB51D9">
          <w:rPr>
            <w:noProof/>
            <w:webHidden/>
          </w:rPr>
        </w:r>
        <w:r w:rsidR="00AB51D9">
          <w:rPr>
            <w:noProof/>
            <w:webHidden/>
          </w:rPr>
          <w:fldChar w:fldCharType="separate"/>
        </w:r>
        <w:r w:rsidR="00AB51D9">
          <w:rPr>
            <w:noProof/>
            <w:webHidden/>
          </w:rPr>
          <w:t>157</w:t>
        </w:r>
        <w:r w:rsidR="00AB51D9">
          <w:rPr>
            <w:noProof/>
            <w:webHidden/>
          </w:rPr>
          <w:fldChar w:fldCharType="end"/>
        </w:r>
      </w:hyperlink>
    </w:p>
    <w:p w14:paraId="0F123C11" w14:textId="46E7259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0" w:history="1">
        <w:r w:rsidR="00AB51D9" w:rsidRPr="002E1124">
          <w:rPr>
            <w:rStyle w:val="Hyperlink"/>
            <w:noProof/>
          </w:rPr>
          <w:t>Tableau 28 : Projections d’émissions de N</w:t>
        </w:r>
        <w:r w:rsidR="00AB51D9" w:rsidRPr="002E1124">
          <w:rPr>
            <w:rStyle w:val="Hyperlink"/>
            <w:noProof/>
            <w:vertAlign w:val="subscript"/>
          </w:rPr>
          <w:t>2</w:t>
        </w:r>
        <w:r w:rsidR="00AB51D9" w:rsidRPr="002E1124">
          <w:rPr>
            <w:rStyle w:val="Hyperlink"/>
            <w:noProof/>
          </w:rPr>
          <w:t>O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_Toc123916520 \h </w:instrText>
        </w:r>
        <w:r w:rsidR="00AB51D9">
          <w:rPr>
            <w:noProof/>
            <w:webHidden/>
          </w:rPr>
        </w:r>
        <w:r w:rsidR="00AB51D9">
          <w:rPr>
            <w:noProof/>
            <w:webHidden/>
          </w:rPr>
          <w:fldChar w:fldCharType="separate"/>
        </w:r>
        <w:r w:rsidR="00AB51D9">
          <w:rPr>
            <w:noProof/>
            <w:webHidden/>
          </w:rPr>
          <w:t>157</w:t>
        </w:r>
        <w:r w:rsidR="00AB51D9">
          <w:rPr>
            <w:noProof/>
            <w:webHidden/>
          </w:rPr>
          <w:fldChar w:fldCharType="end"/>
        </w:r>
      </w:hyperlink>
    </w:p>
    <w:p w14:paraId="49971E62" w14:textId="58505054"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1" w:history="1">
        <w:r w:rsidR="00AB51D9" w:rsidRPr="002E1124">
          <w:rPr>
            <w:rStyle w:val="Hyperlink"/>
            <w:noProof/>
          </w:rPr>
          <w:t>Tableau 29 : Projections d’émissions de HFC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_Toc123916521 \h </w:instrText>
        </w:r>
        <w:r w:rsidR="00AB51D9">
          <w:rPr>
            <w:noProof/>
            <w:webHidden/>
          </w:rPr>
        </w:r>
        <w:r w:rsidR="00AB51D9">
          <w:rPr>
            <w:noProof/>
            <w:webHidden/>
          </w:rPr>
          <w:fldChar w:fldCharType="separate"/>
        </w:r>
        <w:r w:rsidR="00AB51D9">
          <w:rPr>
            <w:noProof/>
            <w:webHidden/>
          </w:rPr>
          <w:t>158</w:t>
        </w:r>
        <w:r w:rsidR="00AB51D9">
          <w:rPr>
            <w:noProof/>
            <w:webHidden/>
          </w:rPr>
          <w:fldChar w:fldCharType="end"/>
        </w:r>
      </w:hyperlink>
    </w:p>
    <w:p w14:paraId="45757702" w14:textId="0DF13F65"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2" w:history="1">
        <w:r w:rsidR="00AB51D9" w:rsidRPr="002E1124">
          <w:rPr>
            <w:rStyle w:val="Hyperlink"/>
            <w:noProof/>
          </w:rPr>
          <w:t>Tableau 30 : Projections d’émissions de PFC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_Toc123916522 \h </w:instrText>
        </w:r>
        <w:r w:rsidR="00AB51D9">
          <w:rPr>
            <w:noProof/>
            <w:webHidden/>
          </w:rPr>
        </w:r>
        <w:r w:rsidR="00AB51D9">
          <w:rPr>
            <w:noProof/>
            <w:webHidden/>
          </w:rPr>
          <w:fldChar w:fldCharType="separate"/>
        </w:r>
        <w:r w:rsidR="00AB51D9">
          <w:rPr>
            <w:noProof/>
            <w:webHidden/>
          </w:rPr>
          <w:t>158</w:t>
        </w:r>
        <w:r w:rsidR="00AB51D9">
          <w:rPr>
            <w:noProof/>
            <w:webHidden/>
          </w:rPr>
          <w:fldChar w:fldCharType="end"/>
        </w:r>
      </w:hyperlink>
    </w:p>
    <w:p w14:paraId="466366A9" w14:textId="266586D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3" w:history="1">
        <w:r w:rsidR="00AB51D9" w:rsidRPr="002E1124">
          <w:rPr>
            <w:rStyle w:val="Hyperlink"/>
            <w:noProof/>
          </w:rPr>
          <w:t>Tableau 31 : Projections d’émissions de SF</w:t>
        </w:r>
        <w:r w:rsidR="00AB51D9" w:rsidRPr="002E1124">
          <w:rPr>
            <w:rStyle w:val="Hyperlink"/>
            <w:noProof/>
            <w:vertAlign w:val="subscript"/>
          </w:rPr>
          <w:t>6</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_Toc123916523 \h </w:instrText>
        </w:r>
        <w:r w:rsidR="00AB51D9">
          <w:rPr>
            <w:noProof/>
            <w:webHidden/>
          </w:rPr>
        </w:r>
        <w:r w:rsidR="00AB51D9">
          <w:rPr>
            <w:noProof/>
            <w:webHidden/>
          </w:rPr>
          <w:fldChar w:fldCharType="separate"/>
        </w:r>
        <w:r w:rsidR="00AB51D9">
          <w:rPr>
            <w:noProof/>
            <w:webHidden/>
          </w:rPr>
          <w:t>158</w:t>
        </w:r>
        <w:r w:rsidR="00AB51D9">
          <w:rPr>
            <w:noProof/>
            <w:webHidden/>
          </w:rPr>
          <w:fldChar w:fldCharType="end"/>
        </w:r>
      </w:hyperlink>
    </w:p>
    <w:p w14:paraId="6E66408D" w14:textId="36099CAF"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4" w:history="1">
        <w:r w:rsidR="00AB51D9" w:rsidRPr="002E1124">
          <w:rPr>
            <w:rStyle w:val="Hyperlink"/>
            <w:noProof/>
          </w:rPr>
          <w:t>Tableau 32 : Projections d’émissions de NF</w:t>
        </w:r>
        <w:r w:rsidR="00AB51D9" w:rsidRPr="002E1124">
          <w:rPr>
            <w:rStyle w:val="Hyperlink"/>
            <w:noProof/>
            <w:vertAlign w:val="subscript"/>
          </w:rPr>
          <w:t>3</w:t>
        </w:r>
        <w:r w:rsidR="00AB51D9" w:rsidRPr="002E1124">
          <w:rPr>
            <w:rStyle w:val="Hyperlink"/>
            <w:noProof/>
          </w:rPr>
          <w:t xml:space="preserve"> (en ktCO</w:t>
        </w:r>
        <w:r w:rsidR="00AB51D9" w:rsidRPr="002E1124">
          <w:rPr>
            <w:rStyle w:val="Hyperlink"/>
            <w:noProof/>
            <w:vertAlign w:val="subscript"/>
          </w:rPr>
          <w:t>2e</w:t>
        </w:r>
        <w:r w:rsidR="00AB51D9" w:rsidRPr="002E1124">
          <w:rPr>
            <w:rStyle w:val="Hyperlink"/>
            <w:noProof/>
          </w:rPr>
          <w:t>) au périmètre Kyoto dans le scénario AMS 2018 (avec mesures supplémentaires)</w:t>
        </w:r>
        <w:r w:rsidR="00AB51D9">
          <w:rPr>
            <w:noProof/>
            <w:webHidden/>
          </w:rPr>
          <w:tab/>
        </w:r>
        <w:r w:rsidR="00AB51D9">
          <w:rPr>
            <w:noProof/>
            <w:webHidden/>
          </w:rPr>
          <w:fldChar w:fldCharType="begin"/>
        </w:r>
        <w:r w:rsidR="00AB51D9">
          <w:rPr>
            <w:noProof/>
            <w:webHidden/>
          </w:rPr>
          <w:instrText xml:space="preserve"> PAGEREF _Toc123916524 \h </w:instrText>
        </w:r>
        <w:r w:rsidR="00AB51D9">
          <w:rPr>
            <w:noProof/>
            <w:webHidden/>
          </w:rPr>
        </w:r>
        <w:r w:rsidR="00AB51D9">
          <w:rPr>
            <w:noProof/>
            <w:webHidden/>
          </w:rPr>
          <w:fldChar w:fldCharType="separate"/>
        </w:r>
        <w:r w:rsidR="00AB51D9">
          <w:rPr>
            <w:noProof/>
            <w:webHidden/>
          </w:rPr>
          <w:t>159</w:t>
        </w:r>
        <w:r w:rsidR="00AB51D9">
          <w:rPr>
            <w:noProof/>
            <w:webHidden/>
          </w:rPr>
          <w:fldChar w:fldCharType="end"/>
        </w:r>
      </w:hyperlink>
    </w:p>
    <w:p w14:paraId="63C75549" w14:textId="2F9B8E63"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5" w:history="1">
        <w:r w:rsidR="00AB51D9" w:rsidRPr="002E1124">
          <w:rPr>
            <w:rStyle w:val="Hyperlink"/>
            <w:noProof/>
          </w:rPr>
          <w:t>Tableau 33 : Effet des politiques et mesures sur les émissions de gaz à effet de serre au horizon 2025, 2030, 2035 et 2040</w:t>
        </w:r>
        <w:r w:rsidR="00AB51D9">
          <w:rPr>
            <w:noProof/>
            <w:webHidden/>
          </w:rPr>
          <w:tab/>
        </w:r>
        <w:r w:rsidR="00AB51D9">
          <w:rPr>
            <w:noProof/>
            <w:webHidden/>
          </w:rPr>
          <w:fldChar w:fldCharType="begin"/>
        </w:r>
        <w:r w:rsidR="00AB51D9">
          <w:rPr>
            <w:noProof/>
            <w:webHidden/>
          </w:rPr>
          <w:instrText xml:space="preserve"> PAGEREF _Toc123916525 \h </w:instrText>
        </w:r>
        <w:r w:rsidR="00AB51D9">
          <w:rPr>
            <w:noProof/>
            <w:webHidden/>
          </w:rPr>
        </w:r>
        <w:r w:rsidR="00AB51D9">
          <w:rPr>
            <w:noProof/>
            <w:webHidden/>
          </w:rPr>
          <w:fldChar w:fldCharType="separate"/>
        </w:r>
        <w:r w:rsidR="00AB51D9">
          <w:rPr>
            <w:noProof/>
            <w:webHidden/>
          </w:rPr>
          <w:t>160</w:t>
        </w:r>
        <w:r w:rsidR="00AB51D9">
          <w:rPr>
            <w:noProof/>
            <w:webHidden/>
          </w:rPr>
          <w:fldChar w:fldCharType="end"/>
        </w:r>
      </w:hyperlink>
    </w:p>
    <w:p w14:paraId="711FB94B" w14:textId="395B167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6" w:history="1">
        <w:r w:rsidR="00AB51D9" w:rsidRPr="002E1124">
          <w:rPr>
            <w:rStyle w:val="Hyperlink"/>
            <w:noProof/>
          </w:rPr>
          <w:t>Tableau 34 : Détail des outils et modèles utilisés</w:t>
        </w:r>
        <w:r w:rsidR="00AB51D9">
          <w:rPr>
            <w:noProof/>
            <w:webHidden/>
          </w:rPr>
          <w:tab/>
        </w:r>
        <w:r w:rsidR="00AB51D9">
          <w:rPr>
            <w:noProof/>
            <w:webHidden/>
          </w:rPr>
          <w:fldChar w:fldCharType="begin"/>
        </w:r>
        <w:r w:rsidR="00AB51D9">
          <w:rPr>
            <w:noProof/>
            <w:webHidden/>
          </w:rPr>
          <w:instrText xml:space="preserve"> PAGEREF _Toc123916526 \h </w:instrText>
        </w:r>
        <w:r w:rsidR="00AB51D9">
          <w:rPr>
            <w:noProof/>
            <w:webHidden/>
          </w:rPr>
        </w:r>
        <w:r w:rsidR="00AB51D9">
          <w:rPr>
            <w:noProof/>
            <w:webHidden/>
          </w:rPr>
          <w:fldChar w:fldCharType="separate"/>
        </w:r>
        <w:r w:rsidR="00AB51D9">
          <w:rPr>
            <w:noProof/>
            <w:webHidden/>
          </w:rPr>
          <w:t>162</w:t>
        </w:r>
        <w:r w:rsidR="00AB51D9">
          <w:rPr>
            <w:noProof/>
            <w:webHidden/>
          </w:rPr>
          <w:fldChar w:fldCharType="end"/>
        </w:r>
      </w:hyperlink>
    </w:p>
    <w:p w14:paraId="69146209" w14:textId="2BB0C7C7"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7" w:history="1">
        <w:r w:rsidR="00AB51D9" w:rsidRPr="002E1124">
          <w:rPr>
            <w:rStyle w:val="Hyperlink"/>
            <w:noProof/>
          </w:rPr>
          <w:t>Tableau 35 : Hypothèses de prix des énergies importées (en € 2013/boe) dans l’AME 21 et l’AMS 18</w:t>
        </w:r>
        <w:r w:rsidR="00AB51D9">
          <w:rPr>
            <w:noProof/>
            <w:webHidden/>
          </w:rPr>
          <w:tab/>
        </w:r>
        <w:r w:rsidR="00AB51D9">
          <w:rPr>
            <w:noProof/>
            <w:webHidden/>
          </w:rPr>
          <w:fldChar w:fldCharType="begin"/>
        </w:r>
        <w:r w:rsidR="00AB51D9">
          <w:rPr>
            <w:noProof/>
            <w:webHidden/>
          </w:rPr>
          <w:instrText xml:space="preserve"> PAGEREF _Toc123916527 \h </w:instrText>
        </w:r>
        <w:r w:rsidR="00AB51D9">
          <w:rPr>
            <w:noProof/>
            <w:webHidden/>
          </w:rPr>
        </w:r>
        <w:r w:rsidR="00AB51D9">
          <w:rPr>
            <w:noProof/>
            <w:webHidden/>
          </w:rPr>
          <w:fldChar w:fldCharType="separate"/>
        </w:r>
        <w:r w:rsidR="00AB51D9">
          <w:rPr>
            <w:noProof/>
            <w:webHidden/>
          </w:rPr>
          <w:t>164</w:t>
        </w:r>
        <w:r w:rsidR="00AB51D9">
          <w:rPr>
            <w:noProof/>
            <w:webHidden/>
          </w:rPr>
          <w:fldChar w:fldCharType="end"/>
        </w:r>
      </w:hyperlink>
    </w:p>
    <w:p w14:paraId="4E01F3C5" w14:textId="15FD459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8" w:history="1">
        <w:r w:rsidR="00AB51D9" w:rsidRPr="002E1124">
          <w:rPr>
            <w:rStyle w:val="Hyperlink"/>
            <w:noProof/>
          </w:rPr>
          <w:t>Tableau 36 : Hypothèses de prix du carbone sous l'ETS</w:t>
        </w:r>
        <w:r w:rsidR="00AB51D9">
          <w:rPr>
            <w:noProof/>
            <w:webHidden/>
          </w:rPr>
          <w:tab/>
        </w:r>
        <w:r w:rsidR="00AB51D9">
          <w:rPr>
            <w:noProof/>
            <w:webHidden/>
          </w:rPr>
          <w:fldChar w:fldCharType="begin"/>
        </w:r>
        <w:r w:rsidR="00AB51D9">
          <w:rPr>
            <w:noProof/>
            <w:webHidden/>
          </w:rPr>
          <w:instrText xml:space="preserve"> PAGEREF _Toc123916528 \h </w:instrText>
        </w:r>
        <w:r w:rsidR="00AB51D9">
          <w:rPr>
            <w:noProof/>
            <w:webHidden/>
          </w:rPr>
        </w:r>
        <w:r w:rsidR="00AB51D9">
          <w:rPr>
            <w:noProof/>
            <w:webHidden/>
          </w:rPr>
          <w:fldChar w:fldCharType="separate"/>
        </w:r>
        <w:r w:rsidR="00AB51D9">
          <w:rPr>
            <w:noProof/>
            <w:webHidden/>
          </w:rPr>
          <w:t>164</w:t>
        </w:r>
        <w:r w:rsidR="00AB51D9">
          <w:rPr>
            <w:noProof/>
            <w:webHidden/>
          </w:rPr>
          <w:fldChar w:fldCharType="end"/>
        </w:r>
      </w:hyperlink>
    </w:p>
    <w:p w14:paraId="3BF1BA1D" w14:textId="18C7AC2B"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29" w:history="1">
        <w:r w:rsidR="00AB51D9" w:rsidRPr="002E1124">
          <w:rPr>
            <w:rStyle w:val="Hyperlink"/>
            <w:noProof/>
          </w:rPr>
          <w:t>Tableau 37 : Hypothèses de croissance de la population pour l’AME 2021</w:t>
        </w:r>
        <w:r w:rsidR="00AB51D9">
          <w:rPr>
            <w:noProof/>
            <w:webHidden/>
          </w:rPr>
          <w:tab/>
        </w:r>
        <w:r w:rsidR="00AB51D9">
          <w:rPr>
            <w:noProof/>
            <w:webHidden/>
          </w:rPr>
          <w:fldChar w:fldCharType="begin"/>
        </w:r>
        <w:r w:rsidR="00AB51D9">
          <w:rPr>
            <w:noProof/>
            <w:webHidden/>
          </w:rPr>
          <w:instrText xml:space="preserve"> PAGEREF _Toc123916529 \h </w:instrText>
        </w:r>
        <w:r w:rsidR="00AB51D9">
          <w:rPr>
            <w:noProof/>
            <w:webHidden/>
          </w:rPr>
        </w:r>
        <w:r w:rsidR="00AB51D9">
          <w:rPr>
            <w:noProof/>
            <w:webHidden/>
          </w:rPr>
          <w:fldChar w:fldCharType="separate"/>
        </w:r>
        <w:r w:rsidR="00AB51D9">
          <w:rPr>
            <w:noProof/>
            <w:webHidden/>
          </w:rPr>
          <w:t>165</w:t>
        </w:r>
        <w:r w:rsidR="00AB51D9">
          <w:rPr>
            <w:noProof/>
            <w:webHidden/>
          </w:rPr>
          <w:fldChar w:fldCharType="end"/>
        </w:r>
      </w:hyperlink>
    </w:p>
    <w:p w14:paraId="437DB371" w14:textId="7FABDB0E"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30" w:history="1">
        <w:r w:rsidR="00AB51D9" w:rsidRPr="002E1124">
          <w:rPr>
            <w:rStyle w:val="Hyperlink"/>
            <w:noProof/>
          </w:rPr>
          <w:t>Tableau 38 : Hypothèses de croissance de la population pour l’AMS 2018</w:t>
        </w:r>
        <w:r w:rsidR="00AB51D9">
          <w:rPr>
            <w:noProof/>
            <w:webHidden/>
          </w:rPr>
          <w:tab/>
        </w:r>
        <w:r w:rsidR="00AB51D9">
          <w:rPr>
            <w:noProof/>
            <w:webHidden/>
          </w:rPr>
          <w:fldChar w:fldCharType="begin"/>
        </w:r>
        <w:r w:rsidR="00AB51D9">
          <w:rPr>
            <w:noProof/>
            <w:webHidden/>
          </w:rPr>
          <w:instrText xml:space="preserve"> PAGEREF _Toc123916530 \h </w:instrText>
        </w:r>
        <w:r w:rsidR="00AB51D9">
          <w:rPr>
            <w:noProof/>
            <w:webHidden/>
          </w:rPr>
        </w:r>
        <w:r w:rsidR="00AB51D9">
          <w:rPr>
            <w:noProof/>
            <w:webHidden/>
          </w:rPr>
          <w:fldChar w:fldCharType="separate"/>
        </w:r>
        <w:r w:rsidR="00AB51D9">
          <w:rPr>
            <w:noProof/>
            <w:webHidden/>
          </w:rPr>
          <w:t>165</w:t>
        </w:r>
        <w:r w:rsidR="00AB51D9">
          <w:rPr>
            <w:noProof/>
            <w:webHidden/>
          </w:rPr>
          <w:fldChar w:fldCharType="end"/>
        </w:r>
      </w:hyperlink>
    </w:p>
    <w:p w14:paraId="4859C5C6" w14:textId="3035B8A6"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31" w:history="1">
        <w:r w:rsidR="00AB51D9" w:rsidRPr="002E1124">
          <w:rPr>
            <w:rStyle w:val="Hyperlink"/>
            <w:noProof/>
          </w:rPr>
          <w:t>Tableau 39 : Hypothèses de croissance du PIB</w:t>
        </w:r>
        <w:r w:rsidR="00AB51D9">
          <w:rPr>
            <w:noProof/>
            <w:webHidden/>
          </w:rPr>
          <w:tab/>
        </w:r>
        <w:r w:rsidR="00AB51D9">
          <w:rPr>
            <w:noProof/>
            <w:webHidden/>
          </w:rPr>
          <w:fldChar w:fldCharType="begin"/>
        </w:r>
        <w:r w:rsidR="00AB51D9">
          <w:rPr>
            <w:noProof/>
            <w:webHidden/>
          </w:rPr>
          <w:instrText xml:space="preserve"> PAGEREF _Toc123916531 \h </w:instrText>
        </w:r>
        <w:r w:rsidR="00AB51D9">
          <w:rPr>
            <w:noProof/>
            <w:webHidden/>
          </w:rPr>
        </w:r>
        <w:r w:rsidR="00AB51D9">
          <w:rPr>
            <w:noProof/>
            <w:webHidden/>
          </w:rPr>
          <w:fldChar w:fldCharType="separate"/>
        </w:r>
        <w:r w:rsidR="00AB51D9">
          <w:rPr>
            <w:noProof/>
            <w:webHidden/>
          </w:rPr>
          <w:t>166</w:t>
        </w:r>
        <w:r w:rsidR="00AB51D9">
          <w:rPr>
            <w:noProof/>
            <w:webHidden/>
          </w:rPr>
          <w:fldChar w:fldCharType="end"/>
        </w:r>
      </w:hyperlink>
    </w:p>
    <w:p w14:paraId="370520F6" w14:textId="5B71323C"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32" w:history="1">
        <w:r w:rsidR="00AB51D9" w:rsidRPr="002E1124">
          <w:rPr>
            <w:rStyle w:val="Hyperlink"/>
            <w:noProof/>
          </w:rPr>
          <w:t>Tableau 40 : Hypothèses d’évolutions de la valeur ajoutée industrielle</w:t>
        </w:r>
        <w:r w:rsidR="00AB51D9">
          <w:rPr>
            <w:noProof/>
            <w:webHidden/>
          </w:rPr>
          <w:tab/>
        </w:r>
        <w:r w:rsidR="00AB51D9">
          <w:rPr>
            <w:noProof/>
            <w:webHidden/>
          </w:rPr>
          <w:fldChar w:fldCharType="begin"/>
        </w:r>
        <w:r w:rsidR="00AB51D9">
          <w:rPr>
            <w:noProof/>
            <w:webHidden/>
          </w:rPr>
          <w:instrText xml:space="preserve"> PAGEREF _Toc123916532 \h </w:instrText>
        </w:r>
        <w:r w:rsidR="00AB51D9">
          <w:rPr>
            <w:noProof/>
            <w:webHidden/>
          </w:rPr>
        </w:r>
        <w:r w:rsidR="00AB51D9">
          <w:rPr>
            <w:noProof/>
            <w:webHidden/>
          </w:rPr>
          <w:fldChar w:fldCharType="separate"/>
        </w:r>
        <w:r w:rsidR="00AB51D9">
          <w:rPr>
            <w:noProof/>
            <w:webHidden/>
          </w:rPr>
          <w:t>166</w:t>
        </w:r>
        <w:r w:rsidR="00AB51D9">
          <w:rPr>
            <w:noProof/>
            <w:webHidden/>
          </w:rPr>
          <w:fldChar w:fldCharType="end"/>
        </w:r>
      </w:hyperlink>
    </w:p>
    <w:p w14:paraId="5ACE43A6" w14:textId="5D160CE2" w:rsidR="00AB51D9" w:rsidRDefault="00697C78">
      <w:pPr>
        <w:pStyle w:val="TableofFigures"/>
        <w:tabs>
          <w:tab w:val="right" w:leader="dot" w:pos="9940"/>
        </w:tabs>
        <w:rPr>
          <w:rFonts w:asciiTheme="minorHAnsi" w:eastAsiaTheme="minorEastAsia" w:hAnsiTheme="minorHAnsi" w:cstheme="minorBidi"/>
          <w:noProof/>
          <w:szCs w:val="22"/>
        </w:rPr>
      </w:pPr>
      <w:hyperlink w:anchor="_Toc123916533" w:history="1">
        <w:r w:rsidR="00AB51D9" w:rsidRPr="002E1124">
          <w:rPr>
            <w:rStyle w:val="Hyperlink"/>
            <w:noProof/>
          </w:rPr>
          <w:t>Tableau 41 : Table CTF9 – Soutien en matière de renforcement des capacités</w:t>
        </w:r>
        <w:r w:rsidR="00AB51D9">
          <w:rPr>
            <w:noProof/>
            <w:webHidden/>
          </w:rPr>
          <w:tab/>
        </w:r>
        <w:r w:rsidR="00AB51D9">
          <w:rPr>
            <w:noProof/>
            <w:webHidden/>
          </w:rPr>
          <w:fldChar w:fldCharType="begin"/>
        </w:r>
        <w:r w:rsidR="00AB51D9">
          <w:rPr>
            <w:noProof/>
            <w:webHidden/>
          </w:rPr>
          <w:instrText xml:space="preserve"> PAGEREF _Toc123916533 \h </w:instrText>
        </w:r>
        <w:r w:rsidR="00AB51D9">
          <w:rPr>
            <w:noProof/>
            <w:webHidden/>
          </w:rPr>
        </w:r>
        <w:r w:rsidR="00AB51D9">
          <w:rPr>
            <w:noProof/>
            <w:webHidden/>
          </w:rPr>
          <w:fldChar w:fldCharType="separate"/>
        </w:r>
        <w:r w:rsidR="00AB51D9">
          <w:rPr>
            <w:noProof/>
            <w:webHidden/>
          </w:rPr>
          <w:t>216</w:t>
        </w:r>
        <w:r w:rsidR="00AB51D9">
          <w:rPr>
            <w:noProof/>
            <w:webHidden/>
          </w:rPr>
          <w:fldChar w:fldCharType="end"/>
        </w:r>
      </w:hyperlink>
    </w:p>
    <w:p w14:paraId="23B3A6B1" w14:textId="19EDFEE9" w:rsidR="00D172CE" w:rsidRPr="00D172CE" w:rsidRDefault="00D172CE" w:rsidP="00D172CE">
      <w:r>
        <w:fldChar w:fldCharType="end"/>
      </w:r>
    </w:p>
    <w:p w14:paraId="3DBE28AB" w14:textId="77777777" w:rsidR="00D172CE" w:rsidRDefault="00D172CE" w:rsidP="00CB4956"/>
    <w:p w14:paraId="438E4208" w14:textId="77777777" w:rsidR="00D172CE" w:rsidRDefault="00D172CE">
      <w:pPr>
        <w:spacing w:line="240" w:lineRule="atLeast"/>
        <w:jc w:val="left"/>
      </w:pPr>
      <w:r>
        <w:br w:type="page"/>
      </w:r>
    </w:p>
    <w:p w14:paraId="33FB843A" w14:textId="2F19B153" w:rsidR="0051771F" w:rsidRDefault="005D5AA6" w:rsidP="0029657F">
      <w:pPr>
        <w:pStyle w:val="Titre1Niveau1"/>
        <w:ind w:left="0" w:right="27"/>
      </w:pPr>
      <w:bookmarkStart w:id="0" w:name="ChapitreI"/>
      <w:bookmarkStart w:id="1" w:name="_Toc138341932"/>
      <w:r w:rsidRPr="0062059A">
        <w:lastRenderedPageBreak/>
        <w:t>Chapitre I</w:t>
      </w:r>
      <w:r w:rsidR="00C654BE">
        <w:t xml:space="preserve"> – </w:t>
      </w:r>
      <w:r w:rsidRPr="0062059A">
        <w:t>Résumé</w:t>
      </w:r>
      <w:r w:rsidR="00C654BE">
        <w:t xml:space="preserve"> </w:t>
      </w:r>
      <w:r w:rsidRPr="0062059A">
        <w:t>analytique</w:t>
      </w:r>
      <w:bookmarkEnd w:id="0"/>
      <w:bookmarkEnd w:id="1"/>
    </w:p>
    <w:p w14:paraId="6D65FD9D" w14:textId="77777777" w:rsidR="00133BB6" w:rsidRDefault="00133BB6" w:rsidP="003F57EA">
      <w:pPr>
        <w:pStyle w:val="Titre2Niveau2"/>
      </w:pPr>
      <w:bookmarkStart w:id="2" w:name="__RefHeading__353_475148820"/>
      <w:bookmarkStart w:id="3" w:name="_Toc118276984"/>
      <w:bookmarkStart w:id="4" w:name="_Toc118296275"/>
      <w:bookmarkStart w:id="5" w:name="_Toc118381484"/>
      <w:bookmarkStart w:id="6" w:name="_Toc138341933"/>
      <w:r>
        <w:t>Conditions propres au pays</w:t>
      </w:r>
      <w:bookmarkEnd w:id="2"/>
      <w:bookmarkEnd w:id="3"/>
      <w:bookmarkEnd w:id="4"/>
      <w:bookmarkEnd w:id="5"/>
      <w:bookmarkEnd w:id="6"/>
    </w:p>
    <w:p w14:paraId="7CBF6871" w14:textId="2E191F52" w:rsidR="00133BB6" w:rsidRDefault="00133BB6" w:rsidP="003F57EA">
      <w:pPr>
        <w:pStyle w:val="Titre3Niveau3"/>
      </w:pPr>
      <w:bookmarkStart w:id="7" w:name="_Toc118276985"/>
      <w:bookmarkStart w:id="8" w:name="_Toc118296276"/>
      <w:bookmarkStart w:id="9" w:name="_Toc118381485"/>
      <w:bookmarkStart w:id="10" w:name="_Toc138341934"/>
      <w:r>
        <w:t xml:space="preserve">Un pays mobilisé pour répondre au </w:t>
      </w:r>
      <w:r w:rsidRPr="00945C40">
        <w:t>défi</w:t>
      </w:r>
      <w:r>
        <w:t xml:space="preserve"> climatique</w:t>
      </w:r>
      <w:bookmarkEnd w:id="7"/>
      <w:bookmarkEnd w:id="8"/>
      <w:bookmarkEnd w:id="9"/>
      <w:bookmarkEnd w:id="10"/>
    </w:p>
    <w:p w14:paraId="5616B35B" w14:textId="41BA60EA" w:rsidR="00133BB6" w:rsidRDefault="00133BB6" w:rsidP="00AA2B36">
      <w:pPr>
        <w:rPr>
          <w:rStyle w:val="Strong"/>
          <w:rFonts w:ascii="Calibri" w:hAnsi="Calibri" w:cs="Calibri"/>
        </w:rPr>
      </w:pPr>
      <w:r>
        <w:t xml:space="preserve">L’engagement de la France dans le champ des politiques et mesures visant à atténuer le changement climatique a commencé au début des années 1990, à l’occasion de la Conférence de Rio et de la signature de la Convention-cadre des Nations unies sur les changements climatiques en 1992. Évoluant et se renforçant au fur et à mesure des négociations internationales et du développement de l’expertise sur ce sujet, la politique climatique de la France a été définie de manière intégrée dans le Programme national de lutte contre le changement climatique adopté en 2000. La politique nationale d’atténuation s’est ensuite appuyée sur la publication régulière de Plans climat </w:t>
      </w:r>
      <w:r w:rsidRPr="003D55E6">
        <w:t>en 2004, 2006, 2009, 2011</w:t>
      </w:r>
      <w:r>
        <w:t xml:space="preserve">, </w:t>
      </w:r>
      <w:r w:rsidRPr="003D55E6">
        <w:t>2013</w:t>
      </w:r>
      <w:r>
        <w:t xml:space="preserve"> et 2017</w:t>
      </w:r>
      <w:r w:rsidRPr="003D55E6">
        <w:t xml:space="preserve">. </w:t>
      </w:r>
      <w:r>
        <w:t xml:space="preserve">En 2015, la loi relative à la transition énergétique pour la croissance verte a institué </w:t>
      </w:r>
      <w:r w:rsidRPr="00C61D53">
        <w:t>la «</w:t>
      </w:r>
      <w:r w:rsidRPr="00C61D53">
        <w:rPr>
          <w:rFonts w:ascii="Calibri" w:hAnsi="Calibri" w:cs="Calibri"/>
        </w:rPr>
        <w:t> </w:t>
      </w:r>
      <w:r w:rsidRPr="00C61D53">
        <w:t>Stratégie nationale bas-carbone</w:t>
      </w:r>
      <w:r w:rsidRPr="00C61D53">
        <w:rPr>
          <w:rFonts w:ascii="Calibri" w:hAnsi="Calibri" w:cs="Calibri"/>
        </w:rPr>
        <w:t> </w:t>
      </w:r>
      <w:r w:rsidRPr="00C61D53">
        <w:rPr>
          <w:rFonts w:cs="Marianne"/>
        </w:rPr>
        <w:t>»</w:t>
      </w:r>
      <w:r w:rsidRPr="00C61D53">
        <w:t xml:space="preserve"> (document stratégique prescriptif qui définit</w:t>
      </w:r>
      <w:r w:rsidRPr="00C61D53">
        <w:rPr>
          <w:b/>
        </w:rPr>
        <w:t xml:space="preserve"> </w:t>
      </w:r>
      <w:r w:rsidRPr="00C61D53">
        <w:t>la</w:t>
      </w:r>
      <w:r w:rsidRPr="00C61D53">
        <w:rPr>
          <w:b/>
        </w:rPr>
        <w:t xml:space="preserve"> </w:t>
      </w:r>
      <w:r w:rsidRPr="00C61D53">
        <w:rPr>
          <w:rStyle w:val="Strong"/>
        </w:rPr>
        <w:t>feuille de route de la France pour mener sa politique d’atténuation du changement climatique et respecter ses objectifs de réduction des émissions de gaz à effet de serre (GES) de court, moyen et long term</w:t>
      </w:r>
      <w:r>
        <w:rPr>
          <w:rStyle w:val="Strong"/>
        </w:rPr>
        <w:t xml:space="preserve">e). </w:t>
      </w:r>
      <w:r w:rsidR="00B148BF" w:rsidRPr="00A47B71">
        <w:rPr>
          <w:rStyle w:val="Strong"/>
          <w:b w:val="0"/>
        </w:rPr>
        <w:t xml:space="preserve">Ce document est révisé tous les cinq ans. </w:t>
      </w:r>
      <w:r>
        <w:rPr>
          <w:rStyle w:val="Strong"/>
        </w:rPr>
        <w:t>La première SNBC a été adoptée en novembre 2015. La SNBC en vigueur</w:t>
      </w:r>
      <w:r w:rsidR="00B148BF">
        <w:rPr>
          <w:rStyle w:val="Strong"/>
        </w:rPr>
        <w:t>, deuxième édition,</w:t>
      </w:r>
      <w:r>
        <w:rPr>
          <w:rStyle w:val="Strong"/>
        </w:rPr>
        <w:t xml:space="preserve"> a été adoptée le 21 avril 2020.</w:t>
      </w:r>
    </w:p>
    <w:p w14:paraId="3FEB9116" w14:textId="6B2C47FD" w:rsidR="00133BB6" w:rsidRDefault="00133BB6" w:rsidP="00AA2B36">
      <w:r w:rsidRPr="003D55E6">
        <w:t>Concernant l’adaptation au changement climatique, une première stratégie nationale d’adaptation a été publiée en 2006. La France s’est ensuite dotée en 2011 d</w:t>
      </w:r>
      <w:r>
        <w:t>’un premier</w:t>
      </w:r>
      <w:r w:rsidRPr="003D55E6">
        <w:t xml:space="preserve"> Plan national d’adaptation au changement climatique (PNACC) couvrant la période 2011-2015. </w:t>
      </w:r>
      <w:r>
        <w:t>Une évaluation de ce plan d’adaptation accompagnée d’u</w:t>
      </w:r>
      <w:r w:rsidRPr="003D55E6">
        <w:t xml:space="preserve">ne démarche de concertation </w:t>
      </w:r>
      <w:r>
        <w:t xml:space="preserve">ont permis la publication du </w:t>
      </w:r>
      <w:r w:rsidR="00E4682A">
        <w:t>deuxième</w:t>
      </w:r>
      <w:r w:rsidRPr="003D55E6">
        <w:t xml:space="preserve"> Plan national d’adaptation </w:t>
      </w:r>
      <w:r>
        <w:t>en décembre 2018</w:t>
      </w:r>
      <w:r w:rsidRPr="003D55E6">
        <w:t>.</w:t>
      </w:r>
    </w:p>
    <w:p w14:paraId="4B29C977" w14:textId="4D621091" w:rsidR="00133BB6" w:rsidRDefault="00133BB6" w:rsidP="00133BB6">
      <w:pPr>
        <w:ind w:left="-2" w:right="54"/>
      </w:pPr>
      <w:r>
        <w:t>En</w:t>
      </w:r>
      <w:r w:rsidRPr="00EF4025">
        <w:t xml:space="preserve"> cohérence avec l'accord de Paris adopté le 12 décembre 2015 et ratifié le 5 octobre 2016, et dans le cadre du Pacte vert pour l'Europe, </w:t>
      </w:r>
      <w:r>
        <w:t>par la publication en août 2021 de sa Loi Climat et Résilience, la France</w:t>
      </w:r>
      <w:r w:rsidRPr="00EF4025">
        <w:t xml:space="preserve"> rappelle son engagement </w:t>
      </w:r>
      <w:r>
        <w:t>de lutte contre le dérèglement climatique et de renforcement de la résilience face à ses effets.</w:t>
      </w:r>
    </w:p>
    <w:p w14:paraId="46226F9B" w14:textId="6C76BF86" w:rsidR="003723A6" w:rsidRDefault="003723A6" w:rsidP="00133BB6">
      <w:pPr>
        <w:ind w:left="-2" w:right="54"/>
      </w:pPr>
    </w:p>
    <w:p w14:paraId="0A85FB7D" w14:textId="7ABAA5CD" w:rsidR="003723A6" w:rsidRDefault="003723A6" w:rsidP="00AA2B36">
      <w:pPr>
        <w:ind w:right="57"/>
      </w:pPr>
      <w:r>
        <w:t>Pour ce qui concerne la politique énergétique, la programmation pluriannuelle de l’énergie (</w:t>
      </w:r>
      <w:r w:rsidRPr="006A1081">
        <w:t>PPE</w:t>
      </w:r>
      <w:r>
        <w:t>)</w:t>
      </w:r>
      <w:r w:rsidRPr="006A1081">
        <w:t xml:space="preserve"> expose les orientations et fixe les priorités d’action des pouvoirs publics pour la gestion de l’ensemble des formes d’énergie sur le territoire métropolitain continental. La PPE doit être compatible avec la SNBC précitée et couvre une période de 10 ans. La PPE actuellement en vigueur (2ème édition, PPE2), couvrant la décennie 2019-2028, a été adoptée en avril 2020.</w:t>
      </w:r>
      <w:r>
        <w:t xml:space="preserve"> La PPE repose sur deux piliers principaux :</w:t>
      </w:r>
    </w:p>
    <w:p w14:paraId="33751A3E" w14:textId="77777777" w:rsidR="003723A6" w:rsidRDefault="003723A6" w:rsidP="003F57EA">
      <w:pPr>
        <w:pStyle w:val="ListParagraph"/>
        <w:numPr>
          <w:ilvl w:val="0"/>
          <w:numId w:val="83"/>
        </w:numPr>
        <w:ind w:right="54"/>
      </w:pPr>
      <w:r>
        <w:t>la réduction des consommations d’énergie ;</w:t>
      </w:r>
    </w:p>
    <w:p w14:paraId="229E5B43" w14:textId="76339201" w:rsidR="003723A6" w:rsidRDefault="003723A6" w:rsidP="003F57EA">
      <w:pPr>
        <w:pStyle w:val="ListParagraph"/>
        <w:numPr>
          <w:ilvl w:val="0"/>
          <w:numId w:val="83"/>
        </w:numPr>
        <w:ind w:right="54"/>
      </w:pPr>
      <w:r>
        <w:t>la fin de l’utilisation des énergies fossiles (pétrole, gaz, charbon) et la décarbonation totale de notre mix énergétique d’ici 2050 à travers notamment le développement des sources d’énergies bas-carbone (énergies renouvelables, nucléaire) et une transformation des usages (électrification notamment).</w:t>
      </w:r>
    </w:p>
    <w:p w14:paraId="1D22B738" w14:textId="1EA0AA21" w:rsidR="00133BB6" w:rsidRDefault="00133BB6" w:rsidP="003F57EA">
      <w:pPr>
        <w:pStyle w:val="Titre3Niveau3"/>
      </w:pPr>
      <w:bookmarkStart w:id="11" w:name="_Toc118381486"/>
      <w:bookmarkStart w:id="12" w:name="_Toc138341935"/>
      <w:r>
        <w:t>Evolutions récentes</w:t>
      </w:r>
      <w:bookmarkEnd w:id="11"/>
      <w:bookmarkEnd w:id="12"/>
    </w:p>
    <w:p w14:paraId="14AB793A" w14:textId="5671FAED" w:rsidR="00652F25" w:rsidRPr="00652F25" w:rsidRDefault="00652F25" w:rsidP="00EF6DB6">
      <w:pPr>
        <w:pStyle w:val="Titre4niveau4"/>
      </w:pPr>
      <w:r>
        <w:t>Au niveau national</w:t>
      </w:r>
    </w:p>
    <w:p w14:paraId="4A927FBE" w14:textId="367417F1" w:rsidR="00CF65D7" w:rsidRPr="00A22F7E" w:rsidRDefault="00CF65D7" w:rsidP="00CF65D7">
      <w:r w:rsidRPr="00CF65D7">
        <w:t>Les orientations sectorielles de la SNBC en vigueur ont été progressivement, au cours des dernières années, traduites au niveau législatif par des textes structurants, engageant des évolutions de long terme</w:t>
      </w:r>
      <w:r w:rsidRPr="00A22F7E">
        <w:t xml:space="preserve"> dans chaque secteur émetteur de GES en France.</w:t>
      </w:r>
    </w:p>
    <w:p w14:paraId="749C7AC8" w14:textId="77777777" w:rsidR="00CF65D7" w:rsidRPr="00CF65D7" w:rsidRDefault="00CF65D7" w:rsidP="00CF65D7">
      <w:pPr>
        <w:pStyle w:val="Default"/>
        <w:spacing w:after="120"/>
        <w:jc w:val="both"/>
        <w:rPr>
          <w:rFonts w:ascii="Marianne" w:hAnsi="Marianne"/>
          <w:sz w:val="22"/>
          <w:szCs w:val="22"/>
        </w:rPr>
      </w:pPr>
      <w:r w:rsidRPr="00CF65D7">
        <w:rPr>
          <w:rFonts w:ascii="Marianne" w:hAnsi="Marianne"/>
          <w:sz w:val="22"/>
          <w:szCs w:val="22"/>
        </w:rPr>
        <w:t>En particulier</w:t>
      </w:r>
      <w:r w:rsidRPr="00CF65D7">
        <w:rPr>
          <w:rFonts w:ascii="Calibri" w:hAnsi="Calibri" w:cs="Calibri"/>
          <w:sz w:val="22"/>
          <w:szCs w:val="22"/>
        </w:rPr>
        <w:t> </w:t>
      </w:r>
      <w:r w:rsidRPr="00CF65D7">
        <w:rPr>
          <w:rFonts w:ascii="Marianne" w:hAnsi="Marianne"/>
          <w:sz w:val="22"/>
          <w:szCs w:val="22"/>
        </w:rPr>
        <w:t xml:space="preserve">: </w:t>
      </w:r>
    </w:p>
    <w:p w14:paraId="321F39B3" w14:textId="04928427" w:rsidR="00CF65D7" w:rsidRPr="00E07A8D" w:rsidRDefault="00CF65D7" w:rsidP="003F57EA">
      <w:pPr>
        <w:pStyle w:val="Default"/>
        <w:numPr>
          <w:ilvl w:val="0"/>
          <w:numId w:val="80"/>
        </w:numPr>
        <w:suppressAutoHyphens/>
        <w:autoSpaceDN/>
        <w:adjustRightInd/>
        <w:spacing w:after="120"/>
        <w:ind w:left="714" w:hanging="357"/>
        <w:jc w:val="both"/>
        <w:rPr>
          <w:rFonts w:ascii="Marianne" w:hAnsi="Marianne"/>
          <w:sz w:val="22"/>
          <w:szCs w:val="22"/>
        </w:rPr>
      </w:pPr>
      <w:r w:rsidRPr="00CF65D7">
        <w:rPr>
          <w:rFonts w:ascii="Marianne" w:hAnsi="Marianne"/>
          <w:b/>
          <w:sz w:val="22"/>
          <w:szCs w:val="22"/>
        </w:rPr>
        <w:t>La loi du 30 décembre 201</w:t>
      </w:r>
      <w:r>
        <w:rPr>
          <w:rFonts w:ascii="Marianne" w:hAnsi="Marianne"/>
          <w:b/>
          <w:sz w:val="22"/>
          <w:szCs w:val="22"/>
        </w:rPr>
        <w:t>7</w:t>
      </w:r>
      <w:r w:rsidRPr="00CF65D7">
        <w:rPr>
          <w:rFonts w:ascii="Marianne" w:hAnsi="Marianne"/>
          <w:b/>
          <w:sz w:val="22"/>
          <w:szCs w:val="22"/>
        </w:rPr>
        <w:t xml:space="preserve"> mettant</w:t>
      </w:r>
      <w:r w:rsidRPr="00CF65D7">
        <w:rPr>
          <w:rFonts w:ascii="Marianne" w:hAnsi="Marianne"/>
          <w:sz w:val="22"/>
          <w:szCs w:val="22"/>
        </w:rPr>
        <w:t xml:space="preserve"> </w:t>
      </w:r>
      <w:r w:rsidRPr="00CF65D7">
        <w:rPr>
          <w:rFonts w:ascii="Marianne" w:hAnsi="Marianne"/>
          <w:b/>
          <w:sz w:val="22"/>
          <w:szCs w:val="22"/>
        </w:rPr>
        <w:t>fin à la recherche ainsi qu'à l'exploitation des hydrocarbures en France</w:t>
      </w:r>
      <w:r w:rsidRPr="00CF65D7">
        <w:rPr>
          <w:rFonts w:ascii="Marianne" w:hAnsi="Marianne"/>
          <w:sz w:val="22"/>
          <w:szCs w:val="22"/>
        </w:rPr>
        <w:t xml:space="preserve"> prévoit l’interdiction du renouvellement des concessions d’exploitation existantes au-delà de 2040, ainsi que l’interdiction de délivrer de nouveaux permis de recherche d’hydrocarbures. La production de pétrole brut sur le territoire français </w:t>
      </w:r>
      <w:r w:rsidRPr="00A22F7E">
        <w:rPr>
          <w:rFonts w:ascii="Marianne" w:hAnsi="Marianne"/>
          <w:sz w:val="22"/>
          <w:szCs w:val="22"/>
        </w:rPr>
        <w:t>a ainsi été divisée par plus de cinq depuis la fin des années 1980. Elle s’élevait en 2020 à 645 milliers de tonnes</w:t>
      </w:r>
      <w:r w:rsidRPr="00E07A8D">
        <w:rPr>
          <w:rFonts w:ascii="Marianne" w:hAnsi="Marianne"/>
          <w:sz w:val="22"/>
          <w:szCs w:val="22"/>
        </w:rPr>
        <w:t xml:space="preserve"> ;</w:t>
      </w:r>
    </w:p>
    <w:p w14:paraId="03E4827F" w14:textId="68AC21A7" w:rsidR="00CF65D7" w:rsidRPr="00CF65D7" w:rsidRDefault="00CF65D7" w:rsidP="003F57EA">
      <w:pPr>
        <w:pStyle w:val="Default"/>
        <w:numPr>
          <w:ilvl w:val="0"/>
          <w:numId w:val="80"/>
        </w:numPr>
        <w:suppressAutoHyphens/>
        <w:spacing w:after="120"/>
        <w:ind w:left="714" w:hanging="357"/>
        <w:jc w:val="both"/>
        <w:rPr>
          <w:rFonts w:ascii="Marianne" w:hAnsi="Marianne" w:cs="Calibri"/>
          <w:b/>
          <w:szCs w:val="22"/>
        </w:rPr>
      </w:pPr>
      <w:r w:rsidRPr="00224F0C">
        <w:rPr>
          <w:rFonts w:ascii="Marianne" w:hAnsi="Marianne"/>
          <w:b/>
          <w:sz w:val="22"/>
          <w:szCs w:val="22"/>
        </w:rPr>
        <w:lastRenderedPageBreak/>
        <w:t>La loi du 23 novembre 2018 portant évolution du logement, de l</w:t>
      </w:r>
      <w:r w:rsidRPr="006C6990">
        <w:rPr>
          <w:rFonts w:ascii="Marianne" w:hAnsi="Marianne"/>
          <w:b/>
          <w:sz w:val="22"/>
          <w:szCs w:val="22"/>
        </w:rPr>
        <w:t>’aménagement et du numérique</w:t>
      </w:r>
      <w:r w:rsidRPr="00CF65D7">
        <w:rPr>
          <w:rFonts w:ascii="Marianne" w:hAnsi="Marianne" w:cs="Calibri"/>
          <w:b/>
          <w:sz w:val="22"/>
          <w:szCs w:val="22"/>
        </w:rPr>
        <w:t xml:space="preserve">. </w:t>
      </w:r>
      <w:r w:rsidRPr="00CF65D7">
        <w:rPr>
          <w:rFonts w:ascii="Marianne" w:hAnsi="Marianne"/>
          <w:sz w:val="22"/>
          <w:szCs w:val="22"/>
        </w:rPr>
        <w:t>Cette loi entend faciliter la démarche de construction tout en responsabilisant les acteurs dans la réduction des consommations énergétiques des bâtiments. Cette loi a ainsi notamment posé les bases de la réglementation environnemental</w:t>
      </w:r>
      <w:r w:rsidRPr="00A22F7E">
        <w:rPr>
          <w:rFonts w:ascii="Marianne" w:hAnsi="Marianne"/>
          <w:sz w:val="22"/>
          <w:szCs w:val="22"/>
        </w:rPr>
        <w:t xml:space="preserve">e des bâtiments neufs, appelée RE2020 entrée en vigueur au </w:t>
      </w:r>
      <w:r w:rsidR="006518EF" w:rsidRPr="009F4180">
        <w:t>1</w:t>
      </w:r>
      <w:r w:rsidR="006518EF" w:rsidRPr="007F47EF">
        <w:rPr>
          <w:vertAlign w:val="superscript"/>
        </w:rPr>
        <w:t>er</w:t>
      </w:r>
      <w:r w:rsidRPr="00A22F7E">
        <w:rPr>
          <w:rFonts w:ascii="Marianne" w:hAnsi="Marianne"/>
          <w:sz w:val="22"/>
          <w:szCs w:val="22"/>
        </w:rPr>
        <w:t xml:space="preserve"> janvier 2022, en remplacement de la réglementation thermique antérieure (RT2012). </w:t>
      </w:r>
    </w:p>
    <w:p w14:paraId="11F197A2" w14:textId="2E9400CD" w:rsidR="00CF65D7" w:rsidRPr="006C6990" w:rsidRDefault="00CF65D7" w:rsidP="003F57EA">
      <w:pPr>
        <w:pStyle w:val="Default"/>
        <w:numPr>
          <w:ilvl w:val="0"/>
          <w:numId w:val="80"/>
        </w:numPr>
        <w:suppressAutoHyphens/>
        <w:spacing w:after="120"/>
        <w:ind w:left="714" w:hanging="357"/>
        <w:jc w:val="both"/>
        <w:rPr>
          <w:rFonts w:ascii="Marianne" w:hAnsi="Marianne"/>
          <w:sz w:val="22"/>
          <w:szCs w:val="22"/>
        </w:rPr>
      </w:pPr>
      <w:r w:rsidRPr="00CF65D7">
        <w:rPr>
          <w:rFonts w:ascii="Marianne" w:hAnsi="Marianne"/>
          <w:b/>
          <w:sz w:val="22"/>
          <w:szCs w:val="22"/>
        </w:rPr>
        <w:t>La loi du 30 octobre 2018 pour l’équilibre des relations commerciales dans le secteur agricole et alimentaire et une alimentation saine, durable et accessible à tous</w:t>
      </w:r>
      <w:r>
        <w:rPr>
          <w:rFonts w:ascii="Marianne" w:hAnsi="Marianne"/>
          <w:b/>
          <w:sz w:val="22"/>
          <w:szCs w:val="22"/>
        </w:rPr>
        <w:t xml:space="preserve"> (EGALIM)</w:t>
      </w:r>
      <w:r w:rsidRPr="00CF65D7">
        <w:rPr>
          <w:rFonts w:ascii="Marianne" w:hAnsi="Marianne"/>
          <w:b/>
          <w:sz w:val="22"/>
          <w:szCs w:val="22"/>
        </w:rPr>
        <w:t xml:space="preserve">. </w:t>
      </w:r>
      <w:r w:rsidRPr="00CF65D7">
        <w:rPr>
          <w:rFonts w:ascii="Marianne" w:hAnsi="Marianne"/>
          <w:sz w:val="22"/>
          <w:szCs w:val="22"/>
        </w:rPr>
        <w:t>Cette loi vise à enclencher un changement significatif dans notre manière de nous nourrir pour soutenir un système agricole plus respectueux de l’environnement.</w:t>
      </w:r>
      <w:r w:rsidRPr="00A22F7E">
        <w:rPr>
          <w:rFonts w:ascii="Marianne" w:hAnsi="Marianne"/>
          <w:sz w:val="22"/>
          <w:szCs w:val="22"/>
        </w:rPr>
        <w:t xml:space="preserve"> En particulier, la loi EGALIM</w:t>
      </w:r>
      <w:r w:rsidRPr="00A22F7E">
        <w:rPr>
          <w:rFonts w:ascii="Calibri" w:hAnsi="Calibri" w:cs="Calibri"/>
          <w:sz w:val="22"/>
          <w:szCs w:val="22"/>
        </w:rPr>
        <w:t> </w:t>
      </w:r>
      <w:r w:rsidRPr="009710F6">
        <w:rPr>
          <w:rFonts w:ascii="Marianne" w:hAnsi="Marianne"/>
          <w:sz w:val="22"/>
          <w:szCs w:val="22"/>
        </w:rPr>
        <w:t>: 1) Prévoit un soutien aux systèmes de production biologique en rég</w:t>
      </w:r>
      <w:r w:rsidRPr="00E07A8D">
        <w:rPr>
          <w:rFonts w:ascii="Marianne" w:hAnsi="Marianne"/>
          <w:sz w:val="22"/>
          <w:szCs w:val="22"/>
        </w:rPr>
        <w:t xml:space="preserve">lementant la part minimale en produits de qualité et durables, au </w:t>
      </w:r>
      <w:r w:rsidR="006518EF" w:rsidRPr="009F4180">
        <w:t>1</w:t>
      </w:r>
      <w:r w:rsidR="006518EF" w:rsidRPr="007F47EF">
        <w:rPr>
          <w:vertAlign w:val="superscript"/>
        </w:rPr>
        <w:t>er</w:t>
      </w:r>
      <w:r w:rsidRPr="00E07A8D">
        <w:rPr>
          <w:rFonts w:ascii="Marianne" w:hAnsi="Marianne"/>
          <w:sz w:val="22"/>
          <w:szCs w:val="22"/>
        </w:rPr>
        <w:t xml:space="preserve"> janvier 2022 servis en restauration collective</w:t>
      </w:r>
      <w:r w:rsidRPr="00E07A8D">
        <w:rPr>
          <w:rFonts w:ascii="Calibri" w:hAnsi="Calibri" w:cs="Calibri"/>
          <w:sz w:val="22"/>
          <w:szCs w:val="22"/>
        </w:rPr>
        <w:t> </w:t>
      </w:r>
      <w:r w:rsidRPr="00E07A8D">
        <w:rPr>
          <w:rFonts w:ascii="Marianne" w:hAnsi="Marianne"/>
          <w:sz w:val="22"/>
          <w:szCs w:val="22"/>
        </w:rPr>
        <w:t>; 2) Introduit la proposition d’un menu végétarien hebdomadaire par semaine dans les services de restauration collective dans un cadre expé</w:t>
      </w:r>
      <w:r w:rsidRPr="00224F0C">
        <w:rPr>
          <w:rFonts w:ascii="Marianne" w:hAnsi="Marianne"/>
          <w:sz w:val="22"/>
          <w:szCs w:val="22"/>
        </w:rPr>
        <w:t>rimental.</w:t>
      </w:r>
    </w:p>
    <w:p w14:paraId="72F5695B" w14:textId="7EEF8FFC" w:rsidR="00CF65D7" w:rsidRPr="00CF65D7" w:rsidRDefault="00CF65D7" w:rsidP="003F57EA">
      <w:pPr>
        <w:pStyle w:val="Default"/>
        <w:numPr>
          <w:ilvl w:val="0"/>
          <w:numId w:val="80"/>
        </w:numPr>
        <w:suppressAutoHyphens/>
        <w:autoSpaceDN/>
        <w:adjustRightInd/>
        <w:spacing w:after="120"/>
        <w:jc w:val="both"/>
        <w:rPr>
          <w:rFonts w:ascii="Marianne" w:hAnsi="Marianne"/>
          <w:sz w:val="22"/>
          <w:szCs w:val="22"/>
        </w:rPr>
      </w:pPr>
      <w:r w:rsidRPr="00CF65D7">
        <w:rPr>
          <w:rFonts w:ascii="Marianne" w:hAnsi="Marianne"/>
          <w:b/>
          <w:sz w:val="22"/>
          <w:szCs w:val="22"/>
        </w:rPr>
        <w:t>La loi du 8 novembre 2019 relative à l’énergie et au climat</w:t>
      </w:r>
      <w:r w:rsidRPr="00CF65D7">
        <w:rPr>
          <w:rFonts w:ascii="Marianne" w:hAnsi="Marianne"/>
          <w:sz w:val="22"/>
          <w:szCs w:val="22"/>
        </w:rPr>
        <w:t xml:space="preserve"> a inscrit dans la loi l’objectif de neutralité carbone à horizon 2050. Pour y parvenir, la loi prévoit un ensemble de mesures visant à réduire notre dépendance aux énergies fossiles (arrêt de la production d’électricité à partir du charbon), accélérer le développement des énergies renouvelables (installation obligatoire de panneaux solaires pour les nouveaux entrepôts et bâtiments commerciaux de 1000 mètres carrés d'emprise au sol, introduction des communautés d'énergies renouvelables, soutien à la filière hydrogène bas-carbone et renouvelable, etc.), lutter contre les passoires thermiques (gel dès 2021 des loyers des passoires énergétiques entre deux locations, etc.) et créer des outils de pilotage, de gouvernance et d’évaluation de notre politique climat</w:t>
      </w:r>
      <w:r w:rsidRPr="00CF65D7">
        <w:rPr>
          <w:rFonts w:ascii="Calibri" w:hAnsi="Calibri" w:cs="Calibri"/>
          <w:sz w:val="22"/>
          <w:szCs w:val="22"/>
        </w:rPr>
        <w:t> </w:t>
      </w:r>
      <w:r w:rsidRPr="00CF65D7">
        <w:rPr>
          <w:rFonts w:ascii="Marianne" w:hAnsi="Marianne"/>
          <w:sz w:val="22"/>
          <w:szCs w:val="22"/>
        </w:rPr>
        <w:t>(cr</w:t>
      </w:r>
      <w:r w:rsidRPr="00CF65D7">
        <w:rPr>
          <w:rFonts w:ascii="Marianne" w:hAnsi="Marianne" w:cs="Marianne"/>
          <w:sz w:val="22"/>
          <w:szCs w:val="22"/>
        </w:rPr>
        <w:t>é</w:t>
      </w:r>
      <w:r w:rsidRPr="00CF65D7">
        <w:rPr>
          <w:rFonts w:ascii="Marianne" w:hAnsi="Marianne"/>
          <w:sz w:val="22"/>
          <w:szCs w:val="22"/>
        </w:rPr>
        <w:t>ation du Haut Conseil pour le Climat, introduction dès 2023 d’une loi de programmation quinquennale de l’énergie et du climat, etc.).</w:t>
      </w:r>
    </w:p>
    <w:p w14:paraId="4BD7C663" w14:textId="77777777" w:rsidR="00CF65D7" w:rsidRPr="00CF65D7" w:rsidRDefault="00CF65D7" w:rsidP="003F57EA">
      <w:pPr>
        <w:pStyle w:val="Default"/>
        <w:numPr>
          <w:ilvl w:val="0"/>
          <w:numId w:val="80"/>
        </w:numPr>
        <w:suppressAutoHyphens/>
        <w:autoSpaceDN/>
        <w:adjustRightInd/>
        <w:spacing w:after="120"/>
        <w:ind w:left="714" w:hanging="357"/>
        <w:jc w:val="both"/>
        <w:rPr>
          <w:rFonts w:ascii="Marianne" w:hAnsi="Marianne"/>
          <w:sz w:val="22"/>
          <w:szCs w:val="22"/>
        </w:rPr>
      </w:pPr>
      <w:r w:rsidRPr="00CF65D7">
        <w:rPr>
          <w:rFonts w:ascii="Marianne" w:hAnsi="Marianne"/>
          <w:b/>
          <w:sz w:val="22"/>
          <w:szCs w:val="22"/>
        </w:rPr>
        <w:t>La loi du 24 décembre 2019 d’orientation des mobilités (LOM)</w:t>
      </w:r>
      <w:r w:rsidRPr="00CF65D7">
        <w:rPr>
          <w:rFonts w:ascii="Marianne" w:hAnsi="Marianne"/>
          <w:sz w:val="22"/>
          <w:szCs w:val="22"/>
        </w:rPr>
        <w:t xml:space="preserve"> transforme en profondeur la politique des mobilités autour de trois piliers : investir plus et mieux dans les transports du quotidien (hausse des moyens pour l’entretien des réseaux existants, investissement dans un plan RER pour les métropoles, désenclavement des territoires ruraux, etc.), faciliter et encourager le déploiement de nouvelles solutions pour permettre à tous de se déplacer (création du forfait mobilité durable, développement des solutions innovantes de mobilité</w:t>
      </w:r>
      <w:r w:rsidRPr="00CF65D7">
        <w:rPr>
          <w:rFonts w:ascii="Marianne" w:hAnsi="Marianne"/>
        </w:rPr>
        <w:t xml:space="preserve"> </w:t>
      </w:r>
      <w:r w:rsidRPr="00CF65D7">
        <w:rPr>
          <w:rFonts w:ascii="Marianne" w:hAnsi="Marianne"/>
          <w:sz w:val="22"/>
          <w:szCs w:val="22"/>
        </w:rPr>
        <w:t>en faisant le parti de la révolution numérique pour proposer de nouveaux services aux usagers, etc.) et engager la transition vers une mobilité plus propre (interdiction de la vente de véhicules légers neufs utilisant des énergies fossiles carbonées d'ici 2040, mise en place de zone à faibles émissions, etc.)</w:t>
      </w:r>
      <w:r w:rsidRPr="00CF65D7">
        <w:rPr>
          <w:rFonts w:ascii="Calibri" w:hAnsi="Calibri" w:cs="Calibri"/>
          <w:sz w:val="22"/>
          <w:szCs w:val="22"/>
        </w:rPr>
        <w:t> </w:t>
      </w:r>
      <w:r w:rsidRPr="00CF65D7">
        <w:rPr>
          <w:rFonts w:ascii="Marianne" w:hAnsi="Marianne"/>
          <w:sz w:val="22"/>
          <w:szCs w:val="22"/>
        </w:rPr>
        <w:t>;</w:t>
      </w:r>
    </w:p>
    <w:p w14:paraId="253CA8F5" w14:textId="4773BCBE" w:rsidR="00CF65D7" w:rsidRPr="00AA2B36" w:rsidRDefault="00CF65D7" w:rsidP="003F57EA">
      <w:pPr>
        <w:pStyle w:val="ListParagraph"/>
        <w:numPr>
          <w:ilvl w:val="0"/>
          <w:numId w:val="80"/>
        </w:numPr>
        <w:ind w:left="714" w:hanging="357"/>
        <w:contextualSpacing w:val="0"/>
        <w:rPr>
          <w:color w:val="000000"/>
          <w:szCs w:val="22"/>
        </w:rPr>
      </w:pPr>
      <w:r w:rsidRPr="00AA2B36">
        <w:rPr>
          <w:b/>
        </w:rPr>
        <w:t>Loi du 10 février 2020 relative à la lutte contre le gaspillage et à l’économie circulaire (AGEC)</w:t>
      </w:r>
      <w:r w:rsidRPr="00CF65D7">
        <w:t xml:space="preserve"> entend accélérer le changement de modèle de production et de consommation afin de limiter les déchets et préserver les ressources naturelles, la biodiversité et le climat au travers cinq grands axes : sortir du plastique jetable (fin de la mise sur le marché des emballages en plastique à usage unique d’ici 2040, contenant réutilisable autorisé dans les commerces de vente au détail, etc.), mieux informer les consommateurs (affichage environnement, tri plus efficace grâce à un logo unique et une harmonisation de la couleur des poubelles, etc.), agir contre l’obsolescence programmée (affichage d’un indice de réparabilité sur les produits, utilisation de pièces détachées issues de l’économie circulaire, etc.) et mieux produire (création de nouvelles filières «</w:t>
      </w:r>
      <w:r w:rsidRPr="00AA2B36">
        <w:rPr>
          <w:rFonts w:ascii="Calibri" w:hAnsi="Calibri" w:cs="Calibri"/>
        </w:rPr>
        <w:t> </w:t>
      </w:r>
      <w:r w:rsidRPr="00CF65D7">
        <w:t>pollueurs-payeurs</w:t>
      </w:r>
      <w:r w:rsidRPr="00AA2B36">
        <w:rPr>
          <w:rFonts w:ascii="Calibri" w:hAnsi="Calibri" w:cs="Calibri"/>
        </w:rPr>
        <w:t> </w:t>
      </w:r>
      <w:r w:rsidRPr="00AA2B36">
        <w:rPr>
          <w:rFonts w:cs="Marianne"/>
        </w:rPr>
        <w:t>»</w:t>
      </w:r>
      <w:r w:rsidRPr="00CF65D7">
        <w:t>, création de fonds de réemploi, etc.).</w:t>
      </w:r>
    </w:p>
    <w:p w14:paraId="232A7B9F" w14:textId="470E0FAA" w:rsidR="00CF65D7" w:rsidRPr="00AA2B36" w:rsidRDefault="00CF65D7" w:rsidP="003F57EA">
      <w:pPr>
        <w:pStyle w:val="ListParagraph"/>
        <w:numPr>
          <w:ilvl w:val="0"/>
          <w:numId w:val="80"/>
        </w:numPr>
        <w:ind w:left="714" w:hanging="357"/>
        <w:contextualSpacing w:val="0"/>
        <w:rPr>
          <w:color w:val="000000"/>
        </w:rPr>
      </w:pPr>
      <w:r w:rsidRPr="009710F6">
        <w:t>La loi n°2021-1104 du 22 août 2021 portant lutte contre le dérèglement climatique et renforcement de la résilience face à ses effets (dite Loi « Climat et résilience</w:t>
      </w:r>
      <w:r w:rsidRPr="00AA2B36">
        <w:rPr>
          <w:rFonts w:ascii="Calibri" w:hAnsi="Calibri" w:cs="Calibri"/>
        </w:rPr>
        <w:t> </w:t>
      </w:r>
      <w:r w:rsidRPr="00AA2B36">
        <w:rPr>
          <w:rFonts w:cs="Marianne"/>
        </w:rPr>
        <w:t>»</w:t>
      </w:r>
      <w:r w:rsidRPr="009710F6">
        <w:t>)</w:t>
      </w:r>
      <w:r w:rsidR="009710F6">
        <w:t xml:space="preserve">. </w:t>
      </w:r>
      <w:r w:rsidR="009710F6" w:rsidRPr="009710F6">
        <w:t xml:space="preserve">Cette loi inédite </w:t>
      </w:r>
      <w:r w:rsidR="009710F6">
        <w:t xml:space="preserve">qui </w:t>
      </w:r>
      <w:r w:rsidR="009710F6" w:rsidRPr="009710F6">
        <w:t>vient</w:t>
      </w:r>
      <w:r w:rsidRPr="009710F6">
        <w:t xml:space="preserve"> tradui</w:t>
      </w:r>
      <w:r w:rsidR="009710F6" w:rsidRPr="009710F6">
        <w:t>re</w:t>
      </w:r>
      <w:r w:rsidRPr="009710F6">
        <w:t xml:space="preserve"> les dispositions de nature l</w:t>
      </w:r>
      <w:r w:rsidRPr="00AA2B36">
        <w:rPr>
          <w:rFonts w:cs="Marianne"/>
        </w:rPr>
        <w:t>é</w:t>
      </w:r>
      <w:r w:rsidRPr="009710F6">
        <w:t>gislative recommand</w:t>
      </w:r>
      <w:r w:rsidRPr="00AA2B36">
        <w:rPr>
          <w:rFonts w:cs="Marianne"/>
        </w:rPr>
        <w:t>é</w:t>
      </w:r>
      <w:r w:rsidRPr="009710F6">
        <w:t>es p</w:t>
      </w:r>
      <w:r w:rsidRPr="00CF65D7">
        <w:t>ar la Convention citoyenne pour le climat, est venue consolider ce socle. Cette loi organisée en sept grands thème : consommer, produire et travailler, se déplacer, se loger, se nourrir, renforcer la protection judiciaire de l’environnement et améliorer la gouvernance climatique et environnementale, couvre tous les grands secteurs émetteurs de GES. Elle complète ou accélère les mesures précédemment prises, en fixant des objectifs ou des calendriers plus ambitieux ou en créant de nouveaux leviers pour atteindre nos objectifs.</w:t>
      </w:r>
    </w:p>
    <w:p w14:paraId="6D861218" w14:textId="77777777" w:rsidR="00E07A8D" w:rsidRPr="00E07A8D" w:rsidRDefault="00E07A8D" w:rsidP="00E07A8D">
      <w:pPr>
        <w:pStyle w:val="ListParagraph"/>
        <w:autoSpaceDE w:val="0"/>
        <w:autoSpaceDN w:val="0"/>
        <w:adjustRightInd w:val="0"/>
        <w:rPr>
          <w:color w:val="000000"/>
          <w:szCs w:val="22"/>
        </w:rPr>
      </w:pPr>
    </w:p>
    <w:p w14:paraId="017BD07E" w14:textId="161EEAE8" w:rsidR="00E07A8D" w:rsidRPr="00E07A8D" w:rsidRDefault="00E07A8D" w:rsidP="00E07A8D">
      <w:pPr>
        <w:autoSpaceDE w:val="0"/>
        <w:autoSpaceDN w:val="0"/>
        <w:adjustRightInd w:val="0"/>
        <w:rPr>
          <w:szCs w:val="22"/>
        </w:rPr>
      </w:pPr>
      <w:r w:rsidRPr="00E07A8D">
        <w:rPr>
          <w:szCs w:val="22"/>
        </w:rPr>
        <w:t xml:space="preserve">Ces travaux seront poursuivis au cours des prochains mois (projet de loi </w:t>
      </w:r>
      <w:r>
        <w:rPr>
          <w:szCs w:val="22"/>
        </w:rPr>
        <w:t>relatif à l’</w:t>
      </w:r>
      <w:r w:rsidRPr="00E07A8D">
        <w:rPr>
          <w:szCs w:val="22"/>
        </w:rPr>
        <w:t>accélération des énergies renouvelables</w:t>
      </w:r>
      <w:r>
        <w:rPr>
          <w:szCs w:val="22"/>
        </w:rPr>
        <w:t xml:space="preserve">, </w:t>
      </w:r>
      <w:r>
        <w:t>projet de loi relatif à l’accélération des procédures liées à la construction de nouvelles installations nucléaires, etc.</w:t>
      </w:r>
      <w:r w:rsidRPr="00E07A8D">
        <w:rPr>
          <w:szCs w:val="22"/>
        </w:rPr>
        <w:t>).</w:t>
      </w:r>
    </w:p>
    <w:p w14:paraId="1EC73A6A" w14:textId="77777777" w:rsidR="00CF65D7" w:rsidRPr="00CF65D7" w:rsidRDefault="00CF65D7" w:rsidP="00CF65D7"/>
    <w:p w14:paraId="6C6305DF" w14:textId="77777777" w:rsidR="00D2432A" w:rsidRDefault="00D2432A" w:rsidP="00E07A8D">
      <w:pPr>
        <w:rPr>
          <w:b/>
        </w:rPr>
      </w:pPr>
      <w:r w:rsidRPr="00D2432A">
        <w:t>La crise de la Covid-19 constitue un bouleversement pour notre économie dont nous ne mesurons pas encore toutes les conséquences. Mais c’est aussi une opportunité pour engager des transformations structurelles.</w:t>
      </w:r>
      <w:r w:rsidRPr="00A22E99">
        <w:rPr>
          <w:b/>
        </w:rPr>
        <w:t xml:space="preserve"> </w:t>
      </w:r>
    </w:p>
    <w:p w14:paraId="7B124203" w14:textId="77777777" w:rsidR="00D2432A" w:rsidRDefault="00D2432A" w:rsidP="00E07A8D">
      <w:pPr>
        <w:rPr>
          <w:b/>
        </w:rPr>
      </w:pPr>
    </w:p>
    <w:p w14:paraId="7E213677" w14:textId="741AD9C6" w:rsidR="009710F6" w:rsidRDefault="00E07A8D" w:rsidP="009710F6">
      <w:r>
        <w:rPr>
          <w:szCs w:val="22"/>
        </w:rPr>
        <w:t>P</w:t>
      </w:r>
      <w:r w:rsidR="009710F6" w:rsidRPr="009710F6">
        <w:rPr>
          <w:szCs w:val="22"/>
        </w:rPr>
        <w:t xml:space="preserve">our accompagner les changements profonds que nous impose cette transition, le Gouvernement a déployé des moyens budgétaires conséquents. </w:t>
      </w:r>
      <w:r w:rsidR="009710F6">
        <w:t xml:space="preserve">En cumulé, les différents plans et programmes </w:t>
      </w:r>
      <w:r w:rsidR="009710F6" w:rsidRPr="009710F6">
        <w:rPr>
          <w:bCs/>
        </w:rPr>
        <w:t>couvrent l’ensemble des secteurs de la SNBC.</w:t>
      </w:r>
      <w:r>
        <w:rPr>
          <w:bCs/>
        </w:rPr>
        <w:t xml:space="preserve"> </w:t>
      </w:r>
      <w:r w:rsidR="009710F6" w:rsidRPr="009710F6">
        <w:rPr>
          <w:szCs w:val="22"/>
        </w:rPr>
        <w:t>Ainsi, 30 des 100 milliards d’euros du plan «</w:t>
      </w:r>
      <w:r w:rsidR="009710F6" w:rsidRPr="009710F6">
        <w:rPr>
          <w:rFonts w:ascii="Calibri" w:hAnsi="Calibri" w:cs="Calibri"/>
          <w:szCs w:val="22"/>
        </w:rPr>
        <w:t> </w:t>
      </w:r>
      <w:r w:rsidR="009710F6" w:rsidRPr="009710F6">
        <w:rPr>
          <w:szCs w:val="22"/>
        </w:rPr>
        <w:t>France Relance</w:t>
      </w:r>
      <w:r w:rsidR="009710F6" w:rsidRPr="009710F6">
        <w:rPr>
          <w:rFonts w:ascii="Calibri" w:hAnsi="Calibri" w:cs="Calibri"/>
          <w:szCs w:val="22"/>
        </w:rPr>
        <w:t> </w:t>
      </w:r>
      <w:r w:rsidR="009710F6" w:rsidRPr="009710F6">
        <w:rPr>
          <w:rFonts w:cs="Marianne"/>
          <w:szCs w:val="22"/>
        </w:rPr>
        <w:t>»</w:t>
      </w:r>
      <w:r w:rsidR="009710F6" w:rsidRPr="009710F6">
        <w:rPr>
          <w:szCs w:val="22"/>
        </w:rPr>
        <w:t xml:space="preserve"> annoncé pour faire face aux effets de la crise sanitaire liée à la Covid-19 ont ainsi été spécifiquement destinés au financement de la transition écologique</w:t>
      </w:r>
      <w:r w:rsidR="009710F6" w:rsidRPr="009710F6">
        <w:rPr>
          <w:rFonts w:ascii="Calibri" w:hAnsi="Calibri" w:cs="Calibri"/>
          <w:szCs w:val="22"/>
        </w:rPr>
        <w:t> </w:t>
      </w:r>
      <w:r w:rsidR="009710F6" w:rsidRPr="009710F6">
        <w:rPr>
          <w:szCs w:val="22"/>
        </w:rPr>
        <w:t xml:space="preserve">: soutien </w:t>
      </w:r>
      <w:r w:rsidR="009710F6" w:rsidRPr="009710F6">
        <w:rPr>
          <w:rFonts w:cs="Marianne"/>
          <w:szCs w:val="22"/>
        </w:rPr>
        <w:t>à</w:t>
      </w:r>
      <w:r w:rsidR="009710F6" w:rsidRPr="009710F6">
        <w:rPr>
          <w:szCs w:val="22"/>
        </w:rPr>
        <w:t xml:space="preserve"> la d</w:t>
      </w:r>
      <w:r w:rsidR="009710F6" w:rsidRPr="009710F6">
        <w:rPr>
          <w:rFonts w:cs="Marianne"/>
          <w:szCs w:val="22"/>
        </w:rPr>
        <w:t>é</w:t>
      </w:r>
      <w:r w:rsidR="009710F6" w:rsidRPr="009710F6">
        <w:rPr>
          <w:szCs w:val="22"/>
        </w:rPr>
        <w:t>carbonation de l</w:t>
      </w:r>
      <w:r w:rsidR="009710F6" w:rsidRPr="009710F6">
        <w:rPr>
          <w:rFonts w:cs="Marianne"/>
          <w:szCs w:val="22"/>
        </w:rPr>
        <w:t>’</w:t>
      </w:r>
      <w:r w:rsidR="009710F6" w:rsidRPr="009710F6">
        <w:rPr>
          <w:szCs w:val="22"/>
        </w:rPr>
        <w:t>industrie</w:t>
      </w:r>
      <w:r w:rsidR="00EB2B73">
        <w:rPr>
          <w:szCs w:val="22"/>
        </w:rPr>
        <w:t>, à la rénovation thermique, au verdissement des transports</w:t>
      </w:r>
      <w:r w:rsidR="009710F6" w:rsidRPr="009710F6">
        <w:rPr>
          <w:szCs w:val="22"/>
        </w:rPr>
        <w:t>, à la transition des filières automobiles et aéronautiques</w:t>
      </w:r>
      <w:r w:rsidR="00EB2B73">
        <w:rPr>
          <w:szCs w:val="22"/>
        </w:rPr>
        <w:t>, à la transition agricole, à l’économie circulaire, etc.</w:t>
      </w:r>
      <w:r>
        <w:rPr>
          <w:szCs w:val="22"/>
        </w:rPr>
        <w:t xml:space="preserve"> </w:t>
      </w:r>
      <w:r w:rsidR="00EB2B73" w:rsidRPr="00EB2B73">
        <w:t xml:space="preserve">En complément, le Président de la République a annoncé le 12 octobre 2021 un </w:t>
      </w:r>
      <w:r w:rsidR="00EB2B73" w:rsidRPr="00EB2B73">
        <w:rPr>
          <w:bCs/>
        </w:rPr>
        <w:t>grand plan d’investissements «</w:t>
      </w:r>
      <w:r w:rsidR="00EB2B73" w:rsidRPr="00EB2B73">
        <w:rPr>
          <w:rFonts w:ascii="Calibri" w:hAnsi="Calibri" w:cs="Calibri"/>
          <w:bCs/>
        </w:rPr>
        <w:t> </w:t>
      </w:r>
      <w:r w:rsidR="00EB2B73" w:rsidRPr="00EB2B73">
        <w:rPr>
          <w:bCs/>
        </w:rPr>
        <w:t>France 2030</w:t>
      </w:r>
      <w:r w:rsidR="00EB2B73" w:rsidRPr="00EB2B73">
        <w:rPr>
          <w:rFonts w:ascii="Calibri" w:hAnsi="Calibri" w:cs="Calibri"/>
          <w:bCs/>
        </w:rPr>
        <w:t> </w:t>
      </w:r>
      <w:r w:rsidR="00EB2B73" w:rsidRPr="00EB2B73">
        <w:rPr>
          <w:rFonts w:cs="Marianne"/>
          <w:bCs/>
        </w:rPr>
        <w:t>»</w:t>
      </w:r>
      <w:r w:rsidR="00EB2B73" w:rsidRPr="00EB2B73">
        <w:t xml:space="preserve">, doté de </w:t>
      </w:r>
      <w:r w:rsidR="00EB2B73" w:rsidRPr="00EB2B73">
        <w:rPr>
          <w:bCs/>
        </w:rPr>
        <w:t>34 milliards d’euros déployés sur 5 ans</w:t>
      </w:r>
      <w:r w:rsidR="00EB2B73" w:rsidRPr="00EB2B73">
        <w:rPr>
          <w:rFonts w:cs="Arial"/>
        </w:rPr>
        <w:t xml:space="preserve"> </w:t>
      </w:r>
      <w:r w:rsidR="00EB2B73" w:rsidRPr="00EB2B73">
        <w:rPr>
          <w:rFonts w:cs="Arial"/>
          <w:bCs/>
        </w:rPr>
        <w:t>dont la moitié sont dédiés à la transition écologique</w:t>
      </w:r>
      <w:r w:rsidR="00EB2B73" w:rsidRPr="00EB2B73">
        <w:rPr>
          <w:rFonts w:cs="Arial"/>
        </w:rPr>
        <w:t>.</w:t>
      </w:r>
      <w:r w:rsidR="00EB2B73" w:rsidRPr="00EB2B73">
        <w:rPr>
          <w:bCs/>
        </w:rPr>
        <w:t xml:space="preserve"> </w:t>
      </w:r>
      <w:r w:rsidR="00EB2B73" w:rsidRPr="00EB2B73">
        <w:rPr>
          <w:rFonts w:cs="Arial"/>
        </w:rPr>
        <w:t>Ce plan vise à stimuler l’innovation technologique et à accompagner les transitions de nos secteurs d’excellence, qu’il s’agisse de l’énergie, de l’automobile, ou de l’aéronautique.</w:t>
      </w:r>
      <w:r w:rsidR="00EB2B73" w:rsidRPr="00EB2B73">
        <w:rPr>
          <w:rFonts w:ascii="Calibri" w:hAnsi="Calibri" w:cs="Calibri"/>
        </w:rPr>
        <w:t> </w:t>
      </w:r>
      <w:r w:rsidR="00EB2B73" w:rsidRPr="00EB2B73">
        <w:rPr>
          <w:rFonts w:cs="Arial"/>
          <w:bCs/>
        </w:rPr>
        <w:t>8 milliards d’euros sont prévus pour le secteur de l’énergie</w:t>
      </w:r>
      <w:r w:rsidR="00EB2B73" w:rsidRPr="00EB2B73">
        <w:rPr>
          <w:rFonts w:cs="Arial"/>
        </w:rPr>
        <w:t>, afin de construire une France décarbonée et résiliente, notamment en développant l'hydrogène décarboné et en décarbonant notre industrie.</w:t>
      </w:r>
      <w:r w:rsidR="00EB2B73" w:rsidRPr="00EB2B73">
        <w:rPr>
          <w:rFonts w:ascii="Calibri" w:hAnsi="Calibri" w:cs="Calibri"/>
        </w:rPr>
        <w:t> </w:t>
      </w:r>
      <w:r w:rsidR="00EB2B73" w:rsidRPr="00EB2B73">
        <w:rPr>
          <w:rFonts w:cs="Arial"/>
        </w:rPr>
        <w:t xml:space="preserve">Près de </w:t>
      </w:r>
      <w:r w:rsidR="00EB2B73" w:rsidRPr="00EB2B73">
        <w:rPr>
          <w:rFonts w:cs="Arial"/>
          <w:bCs/>
        </w:rPr>
        <w:t>4 milliards d’euros sont également programmés pour les « transports du futur »</w:t>
      </w:r>
      <w:r w:rsidR="00EB2B73" w:rsidRPr="00EB2B73">
        <w:rPr>
          <w:rFonts w:cs="Arial"/>
        </w:rPr>
        <w:t>, avec pour objectif de produire 2 millions de véhicules électriques ou hydrides par an, ainsi que le premier avion bas carbone.</w:t>
      </w:r>
    </w:p>
    <w:p w14:paraId="7FF550BF" w14:textId="5AE35654" w:rsidR="00652F25" w:rsidRDefault="00652F25" w:rsidP="00EF6DB6">
      <w:pPr>
        <w:pStyle w:val="Titre4niveau4"/>
      </w:pPr>
      <w:r>
        <w:t>Au niveau des collectivités</w:t>
      </w:r>
    </w:p>
    <w:p w14:paraId="57DBA2C7" w14:textId="551CB261" w:rsidR="00133BB6" w:rsidRDefault="00133BB6" w:rsidP="00133BB6">
      <w:pPr>
        <w:ind w:left="-2" w:right="54"/>
      </w:pPr>
      <w:r>
        <w:t xml:space="preserve">Le rôle joué par les collectivités dans la transition bas carbone est essentiel : les Régions, les Départements, les EPCI et les communes ont dans leurs champs de compétence, qu’ils soient directs ou indirects, d’importants leviers pour décliner la transition écologique et énergétique sur leur territoire. </w:t>
      </w:r>
    </w:p>
    <w:p w14:paraId="2000986B" w14:textId="77777777" w:rsidR="00133BB6" w:rsidRDefault="00133BB6" w:rsidP="00133BB6">
      <w:pPr>
        <w:ind w:left="-2" w:right="54"/>
      </w:pPr>
    </w:p>
    <w:p w14:paraId="51E3F878" w14:textId="38954777" w:rsidR="00133BB6" w:rsidRDefault="00133BB6" w:rsidP="00133BB6">
      <w:pPr>
        <w:ind w:left="-2" w:right="54"/>
      </w:pPr>
      <w:r>
        <w:t>La loi Climat &amp; Résilience est venu</w:t>
      </w:r>
      <w:r w:rsidR="002E55B5">
        <w:t>e</w:t>
      </w:r>
      <w:r>
        <w:t xml:space="preserve"> renforcer le niveau stratégique en matière d’énergie renouvelables que constitue la Région en mettant en place plusieurs dispositifs. Pour chaque région située sur le territoire métropolitain, un comité régional de l'énergie sera mis en place. Celui sera chargé de favoriser la concertation, en particulier avec les collectivités territoriales, sur les questions relatives à l'énergie au sein de la région. Il sera associé à la fixation ainsi qu'au suivi et à l'évaluation de la mise en œuvre des objectifs de développement des énergies renouvelables et de récupération du</w:t>
      </w:r>
      <w:r w:rsidRPr="00EF15F4">
        <w:t xml:space="preserve"> </w:t>
      </w:r>
      <w:r>
        <w:t>schéma régional d'aménagement, de développement durable et d'égalité des territoires (SRADDET</w:t>
      </w:r>
      <w:r w:rsidR="007674E7">
        <w:t>)</w:t>
      </w:r>
      <w:r>
        <w:t xml:space="preserve">. À compter de la prochaine révision de la programmation pluriannuelle de l'énergie (PPE), des objectifs régionaux de développement des énergies renouvelables seront établis par décret pour le territoire métropolitain continental, après concertation avec les conseils régionaux concernés, pour contribuer aux objectifs nationaux. </w:t>
      </w:r>
    </w:p>
    <w:p w14:paraId="29BCDBBE" w14:textId="0DB2B4D0" w:rsidR="00133BB6" w:rsidRDefault="00133BB6" w:rsidP="00190282">
      <w:pPr>
        <w:ind w:right="54"/>
      </w:pPr>
    </w:p>
    <w:p w14:paraId="31507D6F" w14:textId="35E84FD7" w:rsidR="00133BB6" w:rsidRDefault="00133BB6" w:rsidP="00945C40">
      <w:pPr>
        <w:ind w:left="-2" w:right="54"/>
      </w:pPr>
      <w:r>
        <w:t>En matière d’aménagement du territoire, l’artificialisation des sols a des impacts durables, voir irréversibles, sur notre capacité à préserver les puits de carbone sur le territoire et indirectement, sur notre consommation énergétique avec les répercussions qu’elle engendre en matière de déplacements. L’objectif fixé au niveau national est d’arriver à un rythme de zéro artificialisation nette à horizon 2050. A cet effet, la loi climat et résilience prévoit une déclinaison territoriale de l’objectif national de zéro artificialisation, en mobilisant tous les échelons de responsabilité, jusqu’au niveau de la collectivité territoriale chargée de l’élaboration du plan local de l’urbanisme.</w:t>
      </w:r>
    </w:p>
    <w:p w14:paraId="117C9495" w14:textId="78E6EF12" w:rsidR="00176265" w:rsidRPr="00176265" w:rsidRDefault="00133BB6" w:rsidP="003F57EA">
      <w:pPr>
        <w:pStyle w:val="Titre2Niveau2"/>
      </w:pPr>
      <w:bookmarkStart w:id="13" w:name="_Toc118381487"/>
      <w:bookmarkStart w:id="14" w:name="_Toc138341936"/>
      <w:r>
        <w:lastRenderedPageBreak/>
        <w:t>Informations relatives à l’inventaire de GES incluant les informations relatives au système national d’inventaire et au registre national</w:t>
      </w:r>
      <w:bookmarkStart w:id="15" w:name="_Toc121431289"/>
      <w:bookmarkStart w:id="16" w:name="_Toc121431449"/>
      <w:bookmarkStart w:id="17" w:name="_Toc121431610"/>
      <w:bookmarkStart w:id="18" w:name="_Toc121431773"/>
      <w:bookmarkStart w:id="19" w:name="_Toc121431935"/>
      <w:bookmarkStart w:id="20" w:name="_Toc121431290"/>
      <w:bookmarkStart w:id="21" w:name="_Toc121431450"/>
      <w:bookmarkStart w:id="22" w:name="_Toc121431611"/>
      <w:bookmarkStart w:id="23" w:name="_Toc121431774"/>
      <w:bookmarkStart w:id="24" w:name="_Toc121431936"/>
      <w:bookmarkStart w:id="25" w:name="_Toc118381488"/>
      <w:bookmarkEnd w:id="13"/>
      <w:bookmarkEnd w:id="15"/>
      <w:bookmarkEnd w:id="16"/>
      <w:bookmarkEnd w:id="17"/>
      <w:bookmarkEnd w:id="18"/>
      <w:bookmarkEnd w:id="19"/>
      <w:bookmarkEnd w:id="20"/>
      <w:bookmarkEnd w:id="21"/>
      <w:bookmarkEnd w:id="22"/>
      <w:bookmarkEnd w:id="23"/>
      <w:bookmarkEnd w:id="24"/>
      <w:bookmarkEnd w:id="14"/>
    </w:p>
    <w:p w14:paraId="3A78E747" w14:textId="3DBCDD24" w:rsidR="00133BB6" w:rsidRPr="00945C40" w:rsidRDefault="00133BB6" w:rsidP="003F57EA">
      <w:pPr>
        <w:pStyle w:val="Titre3Niveau3"/>
      </w:pPr>
      <w:bookmarkStart w:id="26" w:name="_Toc138341937"/>
      <w:r w:rsidRPr="00945C40">
        <w:t>Tendances</w:t>
      </w:r>
      <w:bookmarkEnd w:id="25"/>
      <w:bookmarkEnd w:id="26"/>
    </w:p>
    <w:p w14:paraId="4B4D6A6E" w14:textId="48155AE8" w:rsidR="00133BB6" w:rsidRDefault="00133BB6" w:rsidP="00133BB6">
      <w:r w:rsidRPr="00141043">
        <w:t>En 20</w:t>
      </w:r>
      <w:r>
        <w:t>20</w:t>
      </w:r>
      <w:r w:rsidRPr="00141043">
        <w:t xml:space="preserve">, les émissions françaises de gaz à effet de serre au périmètre Convention sont estimées à </w:t>
      </w:r>
      <w:r w:rsidR="00190282">
        <w:t>399,41 Mt</w:t>
      </w:r>
      <w:r w:rsidR="007F09F7">
        <w:t>CO</w:t>
      </w:r>
      <w:r w:rsidR="007F09F7" w:rsidRPr="007F09F7">
        <w:rPr>
          <w:vertAlign w:val="subscript"/>
        </w:rPr>
        <w:t>2</w:t>
      </w:r>
      <w:r w:rsidR="004F1EC8" w:rsidRPr="004F1EC8">
        <w:rPr>
          <w:vertAlign w:val="subscript"/>
        </w:rPr>
        <w:t>e</w:t>
      </w:r>
      <w:r w:rsidRPr="00141043">
        <w:t xml:space="preserve"> hors UTCATF. Après une relative stabilité des émissions dans les années</w:t>
      </w:r>
      <w:r>
        <w:t xml:space="preserve"> </w:t>
      </w:r>
      <w:r w:rsidRPr="00141043">
        <w:t xml:space="preserve">1990, on observe une forte décroissance à partir de 2005. </w:t>
      </w:r>
      <w:r>
        <w:t>Les émissions ont très fortement baissé entre 2019 et 2020 du fait des mesures de confinement mises en place pour lutter contre la pandémie de Covid-19 et du ralentissement de l’économie. De ce fait</w:t>
      </w:r>
      <w:r w:rsidR="00946A0A">
        <w:t>,</w:t>
      </w:r>
      <w:r>
        <w:t xml:space="preserve"> il n’est pas possible d’isoler l’effet des seules politiques mises en place.</w:t>
      </w:r>
    </w:p>
    <w:p w14:paraId="0CD7B3B0" w14:textId="77777777" w:rsidR="00946A0A" w:rsidRDefault="00946A0A" w:rsidP="00133BB6"/>
    <w:p w14:paraId="73F8DD6B" w14:textId="7F1A855C" w:rsidR="00133BB6" w:rsidRDefault="00133BB6" w:rsidP="00133BB6">
      <w:r w:rsidRPr="00141043">
        <w:t xml:space="preserve">L’utilisation d’énergie </w:t>
      </w:r>
      <w:r>
        <w:t>reste</w:t>
      </w:r>
      <w:r w:rsidRPr="00141043">
        <w:t xml:space="preserve"> la principale source d’émissions de gaz à effet de serre en France avec </w:t>
      </w:r>
      <w:r>
        <w:t>67</w:t>
      </w:r>
      <w:r w:rsidR="006518EF">
        <w:t>%</w:t>
      </w:r>
      <w:r w:rsidRPr="00141043">
        <w:t xml:space="preserve"> des émissions en 20</w:t>
      </w:r>
      <w:r>
        <w:t>20</w:t>
      </w:r>
      <w:r w:rsidRPr="00141043">
        <w:t>. Pour les émissions dues à la combustion d’énergie, le secteur le plus émetteur est celui des transports (41</w:t>
      </w:r>
      <w:r>
        <w:t>,4</w:t>
      </w:r>
      <w:r w:rsidR="006518EF">
        <w:t>%</w:t>
      </w:r>
      <w:r>
        <w:t xml:space="preserve"> en croissance par rapport à 1990</w:t>
      </w:r>
      <w:r w:rsidRPr="00141043">
        <w:t>), tandis que celui des industries de l’énergie est à l’origine de 2</w:t>
      </w:r>
      <w:r>
        <w:t>6,7</w:t>
      </w:r>
      <w:r w:rsidR="006518EF">
        <w:t>%</w:t>
      </w:r>
      <w:r w:rsidRPr="00141043">
        <w:t xml:space="preserve"> des émissions.</w:t>
      </w:r>
    </w:p>
    <w:p w14:paraId="2D533B72" w14:textId="77777777" w:rsidR="00133BB6" w:rsidRPr="00141043" w:rsidRDefault="00133BB6" w:rsidP="00133BB6">
      <w:pPr>
        <w:rPr>
          <w:rFonts w:ascii="Marianne Light" w:hAnsi="Marianne Light"/>
          <w:sz w:val="32"/>
          <w:szCs w:val="22"/>
        </w:rPr>
      </w:pPr>
    </w:p>
    <w:p w14:paraId="6D1C5BB4" w14:textId="6CBEAE53" w:rsidR="00133BB6" w:rsidRDefault="00133BB6" w:rsidP="00133BB6">
      <w:r w:rsidRPr="00141043">
        <w:t>Entre 1990 et 20</w:t>
      </w:r>
      <w:r>
        <w:t>20</w:t>
      </w:r>
      <w:r w:rsidRPr="00141043">
        <w:t xml:space="preserve">, les émissions de gaz à effet de serre de la France (périmètre du protocole de Kyoto) hors UTCATF ont diminué de </w:t>
      </w:r>
      <w:r>
        <w:t>27,8</w:t>
      </w:r>
      <w:r w:rsidR="006518EF">
        <w:t>%</w:t>
      </w:r>
      <w:r w:rsidRPr="00141043">
        <w:t xml:space="preserve"> par rapport à 1990, dans un contexte où la population a augmenté de 16</w:t>
      </w:r>
      <w:r w:rsidR="006518EF">
        <w:t>%</w:t>
      </w:r>
      <w:r w:rsidRPr="00141043">
        <w:t>. Les émissions françaises par habitant sur ce même périmètre sont passées de 9,</w:t>
      </w:r>
      <w:r>
        <w:t xml:space="preserve">6 t </w:t>
      </w:r>
      <w:r w:rsidR="007F09F7">
        <w:t>CO</w:t>
      </w:r>
      <w:r w:rsidR="007F09F7" w:rsidRPr="007F09F7">
        <w:rPr>
          <w:vertAlign w:val="subscript"/>
        </w:rPr>
        <w:t>2</w:t>
      </w:r>
      <w:r w:rsidR="004F1EC8" w:rsidRPr="004F1EC8">
        <w:rPr>
          <w:vertAlign w:val="subscript"/>
        </w:rPr>
        <w:t>e</w:t>
      </w:r>
      <w:r w:rsidRPr="00141043">
        <w:t xml:space="preserve"> à 6</w:t>
      </w:r>
      <w:r w:rsidR="00190282">
        <w:t xml:space="preserve"> t</w:t>
      </w:r>
      <w:r w:rsidR="007F09F7">
        <w:t>CO</w:t>
      </w:r>
      <w:r w:rsidR="007F09F7" w:rsidRPr="007F09F7">
        <w:rPr>
          <w:vertAlign w:val="subscript"/>
        </w:rPr>
        <w:t>2</w:t>
      </w:r>
      <w:r w:rsidR="004F1EC8" w:rsidRPr="004F1EC8">
        <w:rPr>
          <w:vertAlign w:val="subscript"/>
        </w:rPr>
        <w:t>e</w:t>
      </w:r>
      <w:r w:rsidRPr="00141043">
        <w:t xml:space="preserve"> entre 1990 et 20</w:t>
      </w:r>
      <w:r>
        <w:t>20</w:t>
      </w:r>
      <w:r w:rsidRPr="00141043">
        <w:t>, soit une réduction de 3</w:t>
      </w:r>
      <w:r>
        <w:t>8</w:t>
      </w:r>
      <w:r w:rsidR="006518EF">
        <w:t>%</w:t>
      </w:r>
      <w:r>
        <w:t>.</w:t>
      </w:r>
    </w:p>
    <w:p w14:paraId="294C6788" w14:textId="77777777" w:rsidR="00946A0A" w:rsidRDefault="00946A0A" w:rsidP="00133BB6"/>
    <w:p w14:paraId="73F6F9AE" w14:textId="7E440205" w:rsidR="00133BB6" w:rsidRDefault="00133BB6" w:rsidP="00133BB6">
      <w:r w:rsidRPr="00141043">
        <w:t xml:space="preserve">Les émissions de </w:t>
      </w:r>
      <w:r w:rsidR="007F09F7">
        <w:t>CO</w:t>
      </w:r>
      <w:r w:rsidR="007F09F7" w:rsidRPr="007F09F7">
        <w:rPr>
          <w:vertAlign w:val="subscript"/>
        </w:rPr>
        <w:t>2</w:t>
      </w:r>
      <w:r w:rsidRPr="00141043">
        <w:t xml:space="preserve"> ont diminué de </w:t>
      </w:r>
      <w:r>
        <w:t>27,3</w:t>
      </w:r>
      <w:r w:rsidR="006518EF">
        <w:t>%</w:t>
      </w:r>
      <w:r w:rsidRPr="00141043">
        <w:t xml:space="preserve"> entre 1990 et 20</w:t>
      </w:r>
      <w:r>
        <w:t>20</w:t>
      </w:r>
      <w:r w:rsidRPr="00141043">
        <w:t xml:space="preserve">. Les émissions de </w:t>
      </w:r>
      <w:r w:rsidR="00F80CAB" w:rsidRPr="00141043">
        <w:t>N</w:t>
      </w:r>
      <w:r w:rsidR="00F80CAB" w:rsidRPr="004F1EC8">
        <w:rPr>
          <w:vertAlign w:val="subscript"/>
        </w:rPr>
        <w:t>2</w:t>
      </w:r>
      <w:r w:rsidR="00F80CAB" w:rsidRPr="00141043">
        <w:t>O</w:t>
      </w:r>
      <w:r w:rsidR="00F80CAB">
        <w:t xml:space="preserve"> </w:t>
      </w:r>
      <w:r w:rsidRPr="00141043">
        <w:t xml:space="preserve">et de </w:t>
      </w:r>
      <w:r w:rsidR="007F09F7" w:rsidRPr="00141043">
        <w:t>CH</w:t>
      </w:r>
      <w:r w:rsidR="00190282" w:rsidRPr="004F1EC8">
        <w:rPr>
          <w:vertAlign w:val="subscript"/>
        </w:rPr>
        <w:t>4</w:t>
      </w:r>
      <w:r w:rsidR="00190282" w:rsidRPr="00141043">
        <w:t xml:space="preserve"> hors</w:t>
      </w:r>
      <w:r w:rsidRPr="00141043">
        <w:t xml:space="preserve"> UTCATF ont </w:t>
      </w:r>
      <w:r w:rsidR="00946A0A">
        <w:t xml:space="preserve">également </w:t>
      </w:r>
      <w:r w:rsidRPr="00141043">
        <w:t>diminué entre 1990 et 20</w:t>
      </w:r>
      <w:r>
        <w:t>20</w:t>
      </w:r>
      <w:r w:rsidRPr="00141043">
        <w:t xml:space="preserve">, respectivement de </w:t>
      </w:r>
      <w:r>
        <w:t>44,2</w:t>
      </w:r>
      <w:r w:rsidR="006518EF">
        <w:t>%</w:t>
      </w:r>
      <w:r w:rsidRPr="00141043">
        <w:t xml:space="preserve"> et de </w:t>
      </w:r>
      <w:r>
        <w:t>21</w:t>
      </w:r>
      <w:r w:rsidR="006518EF">
        <w:t>%</w:t>
      </w:r>
      <w:r w:rsidRPr="00141043">
        <w:t xml:space="preserve">, grâce à des mesures </w:t>
      </w:r>
      <w:r>
        <w:t xml:space="preserve">sectorielles mises en place </w:t>
      </w:r>
      <w:r w:rsidRPr="00141043">
        <w:t>telles que la récupération de méthane des décharges, la diminution de la quantité d’intrant sur les sols agricoles et la mise en place de procédés de réduction au niveau des industries.</w:t>
      </w:r>
    </w:p>
    <w:p w14:paraId="64D57AA0" w14:textId="2B71D679" w:rsidR="00133BB6" w:rsidRPr="00945C40" w:rsidRDefault="00133BB6" w:rsidP="00EF6DB6">
      <w:pPr>
        <w:pStyle w:val="Titre4niveau4"/>
      </w:pPr>
      <w:r w:rsidRPr="00945C40">
        <w:t>Analyse par secteur d’activités</w:t>
      </w:r>
    </w:p>
    <w:p w14:paraId="6CCE340C" w14:textId="58018469" w:rsidR="00133BB6" w:rsidRDefault="00133BB6" w:rsidP="00133BB6">
      <w:r>
        <w:t>Le transport est, en France, le premier secteur émetteur de gaz à effet de serre. Il représente, en 2020, 27,7</w:t>
      </w:r>
      <w:r w:rsidR="006518EF">
        <w:t>%</w:t>
      </w:r>
      <w:r>
        <w:t xml:space="preserve"> des émissions nationales soit 110,6 Mt</w:t>
      </w:r>
      <w:r w:rsidR="007F09F7">
        <w:t>CO</w:t>
      </w:r>
      <w:r w:rsidR="007F09F7" w:rsidRPr="007F09F7">
        <w:rPr>
          <w:vertAlign w:val="subscript"/>
        </w:rPr>
        <w:t>2</w:t>
      </w:r>
      <w:r w:rsidR="004F1EC8" w:rsidRPr="004F1EC8">
        <w:rPr>
          <w:vertAlign w:val="subscript"/>
        </w:rPr>
        <w:t>e</w:t>
      </w:r>
      <w:r>
        <w:t>, avec une forte croissance entre 1990 et 2004 (+ 18,1</w:t>
      </w:r>
      <w:r w:rsidR="006518EF">
        <w:t>%</w:t>
      </w:r>
      <w:r w:rsidR="00190282">
        <w:t>) puis une décroissance de 24</w:t>
      </w:r>
      <w:r w:rsidR="006518EF">
        <w:t>%</w:t>
      </w:r>
      <w:r>
        <w:t xml:space="preserve"> depuis 2004. La forte progression des biocarburants à partir de 2005 a permis de limiter de façon significative ces émissions du secteur routier, </w:t>
      </w:r>
      <w:r w:rsidR="00190282">
        <w:t>qui représentaient en 2020 95,3</w:t>
      </w:r>
      <w:r>
        <w:t>% des émissions du secteur des transports, une part qui continue de croître.</w:t>
      </w:r>
    </w:p>
    <w:p w14:paraId="20A17515" w14:textId="77777777" w:rsidR="00946A0A" w:rsidRDefault="00946A0A" w:rsidP="00133BB6"/>
    <w:p w14:paraId="3DAFAE17" w14:textId="3DE9580C" w:rsidR="00133BB6" w:rsidRDefault="00133BB6" w:rsidP="00133BB6">
      <w:r>
        <w:t>Les émissions de gaz à effet de serre d’origine agricole r</w:t>
      </w:r>
      <w:r w:rsidR="00190282">
        <w:t>eprésentaient, en 2020, 70,6 Mt</w:t>
      </w:r>
      <w:r w:rsidR="007F09F7">
        <w:t>CO</w:t>
      </w:r>
      <w:r w:rsidR="007F09F7" w:rsidRPr="007F09F7">
        <w:rPr>
          <w:vertAlign w:val="subscript"/>
        </w:rPr>
        <w:t>2</w:t>
      </w:r>
      <w:r w:rsidR="004F1EC8" w:rsidRPr="004F1EC8">
        <w:rPr>
          <w:vertAlign w:val="subscript"/>
        </w:rPr>
        <w:t>e</w:t>
      </w:r>
      <w:r w:rsidR="00190282">
        <w:t xml:space="preserve"> (hors </w:t>
      </w:r>
      <w:r>
        <w:t xml:space="preserve">puits </w:t>
      </w:r>
      <w:r w:rsidR="00190282">
        <w:t>de carbone), soit 17,7</w:t>
      </w:r>
      <w:r w:rsidR="006518EF">
        <w:t>%</w:t>
      </w:r>
      <w:r>
        <w:t xml:space="preserve"> des émissions françaises. Les sources principales d'émissions sont le </w:t>
      </w:r>
      <w:r w:rsidR="007F09F7" w:rsidRPr="00141043">
        <w:t>CH</w:t>
      </w:r>
      <w:r w:rsidR="007F09F7" w:rsidRPr="004F1EC8">
        <w:rPr>
          <w:vertAlign w:val="subscript"/>
        </w:rPr>
        <w:t>4</w:t>
      </w:r>
      <w:r>
        <w:t xml:space="preserve"> émis par les animaux d'élevage (fermentation entérique) et le </w:t>
      </w:r>
      <w:r w:rsidR="00F80CAB" w:rsidRPr="00141043">
        <w:t>N</w:t>
      </w:r>
      <w:r w:rsidR="00F80CAB" w:rsidRPr="004F1EC8">
        <w:rPr>
          <w:vertAlign w:val="subscript"/>
        </w:rPr>
        <w:t>2</w:t>
      </w:r>
      <w:r w:rsidR="00190282" w:rsidRPr="00141043">
        <w:t>O</w:t>
      </w:r>
      <w:r w:rsidR="00190282">
        <w:t>,</w:t>
      </w:r>
      <w:r>
        <w:t xml:space="preserve"> lié au cycle de l'azote. Depuis 1990, la réduction continue des émissions de gaz à effet de serre d’origine agricole est due à la diminution de la fertilisation azotée et à la baisse des effectifs bovins. Si on ajoute </w:t>
      </w:r>
      <w:r w:rsidR="00190282">
        <w:t>l</w:t>
      </w:r>
      <w:r>
        <w:t>es émissions dues à la combustion d’énergie dans le secteur agricole (engins et bâtiments), les émissions s’élèvent alors à 82 Mt</w:t>
      </w:r>
      <w:r w:rsidR="007F09F7">
        <w:t>CO</w:t>
      </w:r>
      <w:r w:rsidR="007F09F7" w:rsidRPr="007F09F7">
        <w:rPr>
          <w:vertAlign w:val="subscript"/>
        </w:rPr>
        <w:t>2</w:t>
      </w:r>
      <w:r w:rsidR="004F1EC8" w:rsidRPr="004F1EC8">
        <w:rPr>
          <w:vertAlign w:val="subscript"/>
        </w:rPr>
        <w:t>e</w:t>
      </w:r>
      <w:r>
        <w:t>, soit 20,5</w:t>
      </w:r>
      <w:r w:rsidR="006518EF">
        <w:t>%</w:t>
      </w:r>
      <w:r>
        <w:t xml:space="preserve"> des émissions totales.</w:t>
      </w:r>
    </w:p>
    <w:p w14:paraId="17B67A68" w14:textId="26DCB4D4" w:rsidR="00133BB6" w:rsidRDefault="003723A6" w:rsidP="00133BB6">
      <w:r>
        <w:t>Les émissions dues à la combustion d’énergie dans le secteur résidentiel-tertiaire représente, en 2020, 15</w:t>
      </w:r>
      <w:r w:rsidR="006518EF">
        <w:t>%</w:t>
      </w:r>
      <w:r>
        <w:t xml:space="preserve"> des émissions nationales soit 59,9 Mt</w:t>
      </w:r>
      <w:r w:rsidR="007F09F7">
        <w:t>CO</w:t>
      </w:r>
      <w:r w:rsidR="007F09F7" w:rsidRPr="007F09F7">
        <w:rPr>
          <w:vertAlign w:val="subscript"/>
        </w:rPr>
        <w:t>2</w:t>
      </w:r>
      <w:r w:rsidR="004F1EC8" w:rsidRPr="004F1EC8">
        <w:rPr>
          <w:vertAlign w:val="subscript"/>
        </w:rPr>
        <w:t>e</w:t>
      </w:r>
      <w:r>
        <w:t>, en baisse de 16 Mt</w:t>
      </w:r>
      <w:r w:rsidR="007F09F7">
        <w:t>CO</w:t>
      </w:r>
      <w:r w:rsidR="007F09F7" w:rsidRPr="007F09F7">
        <w:rPr>
          <w:vertAlign w:val="subscript"/>
        </w:rPr>
        <w:t>2</w:t>
      </w:r>
      <w:r w:rsidR="004F1EC8" w:rsidRPr="004F1EC8">
        <w:rPr>
          <w:vertAlign w:val="subscript"/>
        </w:rPr>
        <w:t>e</w:t>
      </w:r>
      <w:r>
        <w:t xml:space="preserve"> en comparaison de 1990 (85,9 Mt</w:t>
      </w:r>
      <w:r w:rsidR="007F09F7">
        <w:t>CO</w:t>
      </w:r>
      <w:r w:rsidR="007F09F7" w:rsidRPr="007F09F7">
        <w:rPr>
          <w:vertAlign w:val="subscript"/>
        </w:rPr>
        <w:t>2</w:t>
      </w:r>
      <w:r w:rsidR="004F1EC8" w:rsidRPr="004F1EC8">
        <w:rPr>
          <w:vertAlign w:val="subscript"/>
        </w:rPr>
        <w:t>e</w:t>
      </w:r>
      <w:r>
        <w:t xml:space="preserve"> soit 21,5% du total de 2015). Cette baisse est le résultat d’une politique de financement de rénovation énergétique, orientée vers des vecteurs énergétiques décarbonés, et mettant fin aux aides pour le renouvellement d’un système de chauffage carboné.</w:t>
      </w:r>
      <w:r w:rsidR="00260E0B">
        <w:t xml:space="preserve"> </w:t>
      </w:r>
      <w:r>
        <w:t>C’est également le résultat des réglementations successives pour les constructions neuves. Ces dispositions ont permis une stabilisation des émissions du résidentiel tertiaire, en venant compenser les hausses d’émissions liées à l’augmentation du nombre de logements, par une évolution du mix-énergétique : le fioul a fortement baissé au profit du gaz et de l’électricité, l’utilisation du charbon continue à baisser.</w:t>
      </w:r>
      <w:r w:rsidR="008E29E3">
        <w:t xml:space="preserve"> </w:t>
      </w:r>
    </w:p>
    <w:p w14:paraId="1D2DE468" w14:textId="33253949" w:rsidR="00AD1E0D" w:rsidRDefault="00133BB6" w:rsidP="00133BB6">
      <w:r>
        <w:t>Par rapport à 1990, les émissions de l’industrie (y compris procédés industriels)</w:t>
      </w:r>
      <w:r w:rsidR="00A335F6">
        <w:t xml:space="preserve"> – qui en 2020 pèsent pour 10% du total nationale hors UTCATF –</w:t>
      </w:r>
      <w:r>
        <w:t xml:space="preserve"> sont en forte baisse en France (- 48,9%), en raison de la tertiarisation de l’économie française liée à une perte de sites industriels et de la crise économique de 2008-2009. La majeure partie </w:t>
      </w:r>
      <w:r>
        <w:lastRenderedPageBreak/>
        <w:t xml:space="preserve">des réductions d’émissions sont </w:t>
      </w:r>
      <w:r w:rsidR="00DA4290">
        <w:t xml:space="preserve">aussi </w:t>
      </w:r>
      <w:r>
        <w:t>dues à l’amélioration des procédés et à des gains d’efficacité énergétique et carbone. Ainsi</w:t>
      </w:r>
      <w:r w:rsidR="00AD1E0D">
        <w:t>, le secteur de la chimie a vu s</w:t>
      </w:r>
      <w:r>
        <w:t xml:space="preserve">es émissions chuter de 81% en France entre 1990 et 2020, notamment grâce à une réduction drastique des émissions de </w:t>
      </w:r>
      <w:r w:rsidR="00F80CAB" w:rsidRPr="00141043">
        <w:t>N</w:t>
      </w:r>
      <w:r w:rsidR="00F80CAB" w:rsidRPr="004F1EC8">
        <w:rPr>
          <w:vertAlign w:val="subscript"/>
        </w:rPr>
        <w:t>2</w:t>
      </w:r>
      <w:r w:rsidR="00190282" w:rsidRPr="00141043">
        <w:t>O</w:t>
      </w:r>
      <w:r w:rsidR="00190282">
        <w:t xml:space="preserve"> (</w:t>
      </w:r>
      <w:r>
        <w:t xml:space="preserve">-97,4%) liée à la production d’acides adipique et nitrique. Si l’on ajoute les émissions liées à la consommation d’énergie dans l’industrie, le </w:t>
      </w:r>
      <w:r w:rsidR="005A6E03">
        <w:t xml:space="preserve">secteur compte alors pour 21,5% </w:t>
      </w:r>
      <w:r>
        <w:t>(des émissions totales, en baisse de 40,5% depuis 1990</w:t>
      </w:r>
      <w:r w:rsidR="00AD1E0D">
        <w:t>.</w:t>
      </w:r>
    </w:p>
    <w:p w14:paraId="2CA6BD09" w14:textId="0FB4A3C3" w:rsidR="00AD1E0D" w:rsidRDefault="00AD1E0D" w:rsidP="00AD1E0D">
      <w:r>
        <w:t>Les émissions du secteur des industries de l’énergie s’élèvent à 37,8 Mt</w:t>
      </w:r>
      <w:r w:rsidR="007F09F7">
        <w:t>CO</w:t>
      </w:r>
      <w:r w:rsidR="007F09F7" w:rsidRPr="007F09F7">
        <w:rPr>
          <w:vertAlign w:val="subscript"/>
        </w:rPr>
        <w:t>2</w:t>
      </w:r>
      <w:r w:rsidR="004F1EC8" w:rsidRPr="004F1EC8">
        <w:rPr>
          <w:vertAlign w:val="subscript"/>
        </w:rPr>
        <w:t>e</w:t>
      </w:r>
      <w:r>
        <w:t xml:space="preserve"> en 2020, soit seulement 9,4</w:t>
      </w:r>
      <w:r w:rsidR="006518EF">
        <w:t>%</w:t>
      </w:r>
      <w:r>
        <w:t xml:space="preserve"> des émissions françaises. Elles sont en baisse de 43,2</w:t>
      </w:r>
      <w:r w:rsidR="006518EF">
        <w:t>%</w:t>
      </w:r>
      <w:r>
        <w:t xml:space="preserve"> par rapport à 1990 (66,6 Mt</w:t>
      </w:r>
      <w:r w:rsidR="007F09F7">
        <w:t>CO</w:t>
      </w:r>
      <w:r w:rsidR="007F09F7" w:rsidRPr="007F09F7">
        <w:rPr>
          <w:vertAlign w:val="subscript"/>
        </w:rPr>
        <w:t>2</w:t>
      </w:r>
      <w:r w:rsidR="004F1EC8" w:rsidRPr="004F1EC8">
        <w:rPr>
          <w:vertAlign w:val="subscript"/>
        </w:rPr>
        <w:t>e</w:t>
      </w:r>
      <w:r>
        <w:t>). Les émissions de ce secteur sont essentiellement liées à la production d’électricité et au chauffage urbain qui en représentent 80,9</w:t>
      </w:r>
      <w:r w:rsidR="006518EF">
        <w:t>%</w:t>
      </w:r>
      <w:r>
        <w:t>, soit 30,6 Mt</w:t>
      </w:r>
      <w:r w:rsidR="007F09F7">
        <w:t>CO</w:t>
      </w:r>
      <w:r w:rsidR="007F09F7" w:rsidRPr="007F09F7">
        <w:rPr>
          <w:vertAlign w:val="subscript"/>
        </w:rPr>
        <w:t>2</w:t>
      </w:r>
      <w:r w:rsidR="004F1EC8" w:rsidRPr="004F1EC8">
        <w:rPr>
          <w:vertAlign w:val="subscript"/>
        </w:rPr>
        <w:t>e</w:t>
      </w:r>
      <w:r>
        <w:t>, en forte baisse de 38,6</w:t>
      </w:r>
      <w:r w:rsidR="006518EF">
        <w:t>%</w:t>
      </w:r>
      <w:r>
        <w:t xml:space="preserve"> depuis 1990 (49,8 Mt</w:t>
      </w:r>
      <w:r w:rsidR="007F09F7">
        <w:t>CO</w:t>
      </w:r>
      <w:r w:rsidR="007F09F7" w:rsidRPr="007F09F7">
        <w:rPr>
          <w:vertAlign w:val="subscript"/>
        </w:rPr>
        <w:t>2</w:t>
      </w:r>
      <w:r w:rsidR="004F1EC8" w:rsidRPr="004F1EC8">
        <w:rPr>
          <w:vertAlign w:val="subscript"/>
        </w:rPr>
        <w:t>e</w:t>
      </w:r>
      <w:r>
        <w:t>).</w:t>
      </w:r>
    </w:p>
    <w:p w14:paraId="32AA417D" w14:textId="45D652FE" w:rsidR="00133BB6" w:rsidRDefault="00133BB6" w:rsidP="003F57EA">
      <w:pPr>
        <w:pStyle w:val="Titre3Niveau3"/>
      </w:pPr>
      <w:bookmarkStart w:id="27" w:name="_Toc118381489"/>
      <w:bookmarkStart w:id="28" w:name="_Toc138341938"/>
      <w:r>
        <w:t>Le système national</w:t>
      </w:r>
      <w:bookmarkEnd w:id="27"/>
      <w:bookmarkEnd w:id="28"/>
    </w:p>
    <w:p w14:paraId="489F3925" w14:textId="77777777" w:rsidR="00133BB6" w:rsidRPr="00141043" w:rsidRDefault="00133BB6" w:rsidP="00133BB6">
      <w:r>
        <w:t xml:space="preserve">Il n’y a pas eu de modification du système national d’inventaire (SNIEBA – </w:t>
      </w:r>
      <w:r w:rsidRPr="00F459A3">
        <w:t>Système</w:t>
      </w:r>
      <w:r>
        <w:t xml:space="preserve"> </w:t>
      </w:r>
      <w:r w:rsidRPr="00F459A3">
        <w:t>national d’inventaire d’émissions et de bilans dans l’atmosphère)</w:t>
      </w:r>
      <w:r>
        <w:t xml:space="preserve"> que la France a mis en place conformément à l’article 5.1 du protocole de Kyoto. Ce système est encadré par </w:t>
      </w:r>
      <w:r w:rsidRPr="00F459A3">
        <w:t>arrêté intermini</w:t>
      </w:r>
      <w:r>
        <w:t>stériel en date du 24 août 2011</w:t>
      </w:r>
      <w:r>
        <w:rPr>
          <w:rStyle w:val="FootnoteReference"/>
        </w:rPr>
        <w:footnoteReference w:id="1"/>
      </w:r>
      <w:r>
        <w:t>.</w:t>
      </w:r>
    </w:p>
    <w:p w14:paraId="1F601E07" w14:textId="77777777" w:rsidR="00133BB6" w:rsidRDefault="00133BB6" w:rsidP="00755E47">
      <w:pPr>
        <w:pStyle w:val="Titre2Niveau2"/>
      </w:pPr>
      <w:bookmarkStart w:id="29" w:name="_Toc118381490"/>
      <w:bookmarkStart w:id="30" w:name="_Toc138341939"/>
      <w:r>
        <w:t>Politiques et mesures</w:t>
      </w:r>
      <w:bookmarkEnd w:id="29"/>
      <w:bookmarkEnd w:id="30"/>
    </w:p>
    <w:p w14:paraId="456CC75D" w14:textId="1FFB1DEC" w:rsidR="00133BB6" w:rsidRDefault="00133BB6" w:rsidP="00133BB6">
      <w:r w:rsidRPr="00D94D2D">
        <w:t>La Stratégie nationale bas-carbone (SNBC) en vigueur est la deuxième édition. Elle a été adoptée en avril 2020. Elle constitue la feuille de route de la France pour conduire sa politique d’atténuation du changement climatique et respecter ses engagements européens et internationaux. Cette stratégie prévoit des réductions importantes d’émissions de GES dans tous les secteurs d’activité émetteurs de GES (transport, bâtiments, industrie, agriculture, production d’énergie, déchets) et donne en conséquence les orientations stratégiques sectorielles pour mettre en œuvre en France la transition vers une économie décarbonée et durable. Tous secteurs confondus, l’objectif national actuel à l’horizon 2030 est de réduire d’au moins 40</w:t>
      </w:r>
      <w:r w:rsidR="006518EF">
        <w:t>%</w:t>
      </w:r>
      <w:r w:rsidRPr="00D94D2D">
        <w:t xml:space="preserve"> nos émissions de GES par rapport à 1990. Pour permettre une visibilité à moyen terme des trajectoires de réduction, la SNBC fixe des plafonds d’émission nationaux de GES à ne pas dépasser par période de cinq ans (les budgets carbone) cohérents avec la trajectoire visant la neutralité carbone à l’horizon 2050 et des budgets carbone annuels indicatifs. Les budgets carbone actuels couvrent la période 2019-2033.</w:t>
      </w:r>
    </w:p>
    <w:p w14:paraId="792905EF" w14:textId="77777777" w:rsidR="00133BB6" w:rsidRDefault="00133BB6" w:rsidP="00133BB6">
      <w:pPr>
        <w:rPr>
          <w:rFonts w:ascii="Arial" w:hAnsi="Arial" w:cs="Arial"/>
          <w:sz w:val="20"/>
          <w:szCs w:val="20"/>
        </w:rPr>
      </w:pPr>
    </w:p>
    <w:p w14:paraId="35D5A925" w14:textId="77777777" w:rsidR="00133BB6" w:rsidRDefault="00133BB6" w:rsidP="00133BB6">
      <w:r w:rsidRPr="00D94D2D">
        <w:t>Le dispositif de suivi de la mise en œuvre de la SNBC</w:t>
      </w:r>
      <w:r>
        <w:t xml:space="preserve"> (socle de 162 indicateurs)</w:t>
      </w:r>
      <w:r w:rsidRPr="00D94D2D">
        <w:t xml:space="preserve"> et le processus de révision régulière</w:t>
      </w:r>
      <w:r>
        <w:t xml:space="preserve"> (tous les 5 ans)</w:t>
      </w:r>
      <w:r w:rsidRPr="00D94D2D">
        <w:t xml:space="preserve"> de celle-ci permettent à la France de se situer par rapport à ses objectifs et de mettre en place les ajustements nécessaires dans les politiques sectorielles et territoriales lorsque des écarts à la trajectoire de référence seront constatés. </w:t>
      </w:r>
    </w:p>
    <w:p w14:paraId="60C6CC14" w14:textId="77777777" w:rsidR="00133BB6" w:rsidRDefault="00133BB6" w:rsidP="00133BB6"/>
    <w:p w14:paraId="675C43B3" w14:textId="66F8B310" w:rsidR="00133BB6" w:rsidRDefault="00133BB6" w:rsidP="00AA2B36">
      <w:pPr>
        <w:ind w:left="-2" w:right="54"/>
        <w:rPr>
          <w:highlight w:val="yellow"/>
        </w:rPr>
      </w:pPr>
      <w:r>
        <w:t>L’action climatique des collectivités territoriales s’articule autour d’outils de planification territoriale</w:t>
      </w:r>
      <w:r>
        <w:rPr>
          <w:rFonts w:ascii="Calibri" w:hAnsi="Calibri" w:cs="Calibri"/>
        </w:rPr>
        <w:t> </w:t>
      </w:r>
      <w:r>
        <w:t>: les Schémas régionaux d’aménagement, de développement durable et d’égalités des territoires (SRADDET) et l</w:t>
      </w:r>
      <w:r w:rsidRPr="00654A13">
        <w:t>e</w:t>
      </w:r>
      <w:r>
        <w:t>s</w:t>
      </w:r>
      <w:r w:rsidRPr="00654A13">
        <w:t xml:space="preserve"> schéma</w:t>
      </w:r>
      <w:r>
        <w:t xml:space="preserve">s régionaux </w:t>
      </w:r>
      <w:r w:rsidRPr="00654A13">
        <w:t xml:space="preserve">du climat, de l’air et de l’énergie (SRCAE) </w:t>
      </w:r>
      <w:r>
        <w:t>pour les Régions, le schéma d’aménagement régional (SAR) pour les départements d’Outre-mer, et les plans climat-air-énergie territoriaux (PCAET) pour les intercommunalités ou leur regroupement.</w:t>
      </w:r>
      <w:r w:rsidR="00260E0B">
        <w:t xml:space="preserve"> </w:t>
      </w:r>
    </w:p>
    <w:p w14:paraId="599E29B4" w14:textId="77777777" w:rsidR="00133BB6" w:rsidRPr="004B5220" w:rsidRDefault="00133BB6" w:rsidP="00133BB6">
      <w:pPr>
        <w:rPr>
          <w:highlight w:val="yellow"/>
        </w:rPr>
      </w:pPr>
    </w:p>
    <w:p w14:paraId="3FD67CAE" w14:textId="133B67EC" w:rsidR="00176265" w:rsidRPr="008D55E1" w:rsidRDefault="00133BB6" w:rsidP="008D55E1">
      <w:r w:rsidRPr="00113B2D">
        <w:t>La section qui suit propose un aperçu des politiques et mesures mises en place par la France pour réduire ses émissions. Celles-ci visent à activer les différents leviers d’atténuation dans tous les secteurs : les transports, le résidentiel-tertiaire, l’énergie, l’industrie</w:t>
      </w:r>
      <w:r w:rsidRPr="00A55861">
        <w:t>, les déchets, l’agriculture et la forêt. Les mesures nationales sont complémentaires des mesures européennes appliquées par la France en tant qu’Etat membre de l’Union européenne.</w:t>
      </w:r>
      <w:bookmarkStart w:id="31" w:name="_Toc121431454"/>
      <w:bookmarkStart w:id="32" w:name="_Toc121431615"/>
      <w:bookmarkStart w:id="33" w:name="_Toc121431778"/>
      <w:bookmarkStart w:id="34" w:name="_Toc121431940"/>
      <w:bookmarkEnd w:id="31"/>
      <w:bookmarkEnd w:id="32"/>
      <w:bookmarkEnd w:id="33"/>
      <w:bookmarkEnd w:id="34"/>
    </w:p>
    <w:p w14:paraId="1D495EF7" w14:textId="66435310" w:rsidR="00133BB6" w:rsidRPr="00A55861" w:rsidRDefault="00133BB6" w:rsidP="003F57EA">
      <w:pPr>
        <w:pStyle w:val="Titre3Niveau3"/>
      </w:pPr>
      <w:bookmarkStart w:id="35" w:name="_Toc138341940"/>
      <w:r w:rsidRPr="00A55861">
        <w:lastRenderedPageBreak/>
        <w:t>Les transports</w:t>
      </w:r>
      <w:bookmarkEnd w:id="35"/>
      <w:r w:rsidRPr="00A55861">
        <w:t xml:space="preserve"> </w:t>
      </w:r>
    </w:p>
    <w:p w14:paraId="00906466" w14:textId="5CE54C01" w:rsidR="00F01DBF" w:rsidRPr="00926606" w:rsidRDefault="00F01DBF" w:rsidP="00F01DBF">
      <w:r w:rsidRPr="00926606">
        <w:t xml:space="preserve"> Les politiques et mesures mises en œuvre dans ce secteur visent l’ensemble des leviers de décarbonation</w:t>
      </w:r>
      <w:r w:rsidRPr="00926606">
        <w:rPr>
          <w:rFonts w:ascii="Calibri" w:hAnsi="Calibri" w:cs="Calibri"/>
        </w:rPr>
        <w:t> </w:t>
      </w:r>
      <w:r w:rsidRPr="00926606">
        <w:t>:</w:t>
      </w:r>
    </w:p>
    <w:p w14:paraId="3E6853AE" w14:textId="3664774C" w:rsidR="00F01DBF" w:rsidRPr="00926606" w:rsidRDefault="00F01DBF" w:rsidP="003F57EA">
      <w:pPr>
        <w:pStyle w:val="ListParagraph"/>
        <w:numPr>
          <w:ilvl w:val="0"/>
          <w:numId w:val="63"/>
        </w:numPr>
      </w:pPr>
      <w:r w:rsidRPr="00926606">
        <w:t>améliorer l’efficacité énergétique des véhicules neufs du transport routier en incitant les acheteurs à acquérir les véhicules les plus performants (information, système de malus sur le poids des véhicules) et en imposant aux constructeurs automobiles des normes d’émissions</w:t>
      </w:r>
      <w:r w:rsidR="003C575E">
        <w:t xml:space="preserve"> </w:t>
      </w:r>
      <w:r w:rsidR="004703C5">
        <w:t>dans le cadre de</w:t>
      </w:r>
      <w:r w:rsidR="003C575E">
        <w:t xml:space="preserve"> règlements</w:t>
      </w:r>
      <w:r w:rsidR="00FC0C90">
        <w:t xml:space="preserve"> européens progressivement renforcés</w:t>
      </w:r>
      <w:r w:rsidRPr="00926606">
        <w:t>;</w:t>
      </w:r>
    </w:p>
    <w:p w14:paraId="435EFDA6" w14:textId="47417D65" w:rsidR="00F01DBF" w:rsidRPr="00926606" w:rsidRDefault="00F01DBF" w:rsidP="003F57EA">
      <w:pPr>
        <w:pStyle w:val="ListParagraph"/>
        <w:numPr>
          <w:ilvl w:val="0"/>
          <w:numId w:val="63"/>
        </w:numPr>
      </w:pPr>
      <w:r w:rsidRPr="00926606">
        <w:t>encourager le d</w:t>
      </w:r>
      <w:r w:rsidRPr="00926606">
        <w:rPr>
          <w:rFonts w:cs="Marianne"/>
        </w:rPr>
        <w:t>é</w:t>
      </w:r>
      <w:r w:rsidRPr="00926606">
        <w:t>veloppement des v</w:t>
      </w:r>
      <w:r w:rsidRPr="00926606">
        <w:rPr>
          <w:rFonts w:cs="Marianne"/>
        </w:rPr>
        <w:t>é</w:t>
      </w:r>
      <w:r w:rsidRPr="00926606">
        <w:t xml:space="preserve">hicules </w:t>
      </w:r>
      <w:r w:rsidRPr="00926606">
        <w:rPr>
          <w:rFonts w:cs="Marianne"/>
        </w:rPr>
        <w:t>à</w:t>
      </w:r>
      <w:r w:rsidRPr="00926606">
        <w:t xml:space="preserve"> faibles </w:t>
      </w:r>
      <w:r w:rsidRPr="00926606">
        <w:rPr>
          <w:rFonts w:cs="Marianne"/>
        </w:rPr>
        <w:t>é</w:t>
      </w:r>
      <w:r w:rsidRPr="00926606">
        <w:t xml:space="preserve">missions (notamment via des aides </w:t>
      </w:r>
      <w:r w:rsidRPr="00926606">
        <w:rPr>
          <w:rFonts w:cs="Marianne"/>
        </w:rPr>
        <w:t>à</w:t>
      </w:r>
      <w:r w:rsidRPr="00926606">
        <w:t xml:space="preserve"> l</w:t>
      </w:r>
      <w:r w:rsidRPr="00926606">
        <w:rPr>
          <w:rFonts w:cs="Marianne"/>
        </w:rPr>
        <w:t>’</w:t>
      </w:r>
      <w:r w:rsidRPr="00926606">
        <w:t xml:space="preserve">achat pour les véhicules électriques et hybrides rechargeables, des obligations de verdissement des flottes </w:t>
      </w:r>
      <w:r w:rsidR="00875EAA">
        <w:t>de</w:t>
      </w:r>
      <w:r w:rsidR="001353C9">
        <w:t xml:space="preserve"> </w:t>
      </w:r>
      <w:r w:rsidR="00A23AFA">
        <w:t>l’E</w:t>
      </w:r>
      <w:r w:rsidR="001353C9">
        <w:t>tat,</w:t>
      </w:r>
      <w:r w:rsidR="00A23AFA">
        <w:t xml:space="preserve"> </w:t>
      </w:r>
      <w:r w:rsidR="00875EAA">
        <w:t>d</w:t>
      </w:r>
      <w:r w:rsidR="00A23AFA">
        <w:t xml:space="preserve">es collectivités locales </w:t>
      </w:r>
      <w:r w:rsidR="00875EAA">
        <w:t>et d</w:t>
      </w:r>
      <w:r w:rsidR="001353C9">
        <w:t>es entreprises</w:t>
      </w:r>
      <w:r w:rsidR="00DB4D8D" w:rsidRPr="00DB4D8D">
        <w:t xml:space="preserve"> </w:t>
      </w:r>
      <w:r w:rsidR="00DB4D8D">
        <w:t>lors de leur renouvellement</w:t>
      </w:r>
      <w:r w:rsidR="00875EAA">
        <w:t xml:space="preserve"> </w:t>
      </w:r>
      <w:r w:rsidRPr="00926606">
        <w:t>et le soutien au développement des infrastructures de recharge)</w:t>
      </w:r>
      <w:r w:rsidRPr="00926606">
        <w:rPr>
          <w:rFonts w:ascii="Calibri" w:hAnsi="Calibri" w:cs="Calibri"/>
        </w:rPr>
        <w:t> </w:t>
      </w:r>
      <w:r w:rsidRPr="00926606">
        <w:t>;</w:t>
      </w:r>
      <w:r w:rsidR="00131556">
        <w:t xml:space="preserve"> la part des voitures électriques a atteint 9,7% en 2021 (12,7% </w:t>
      </w:r>
      <w:r w:rsidR="0085515B">
        <w:t xml:space="preserve">sur les dix premiers mois de l’année </w:t>
      </w:r>
      <w:r w:rsidR="00131556">
        <w:t>2022)</w:t>
      </w:r>
      <w:r w:rsidR="00131556">
        <w:rPr>
          <w:rFonts w:ascii="Calibri" w:hAnsi="Calibri" w:cs="Calibri"/>
        </w:rPr>
        <w:t> </w:t>
      </w:r>
      <w:r w:rsidR="00131556">
        <w:t xml:space="preserve">; la part des voitures hybrides rechargeables a atteint 8,3% en 2021 (7,9% sur les dix premiers mois de l’année 2022). </w:t>
      </w:r>
    </w:p>
    <w:p w14:paraId="2E359A87" w14:textId="77777777" w:rsidR="00F01DBF" w:rsidRPr="00926606" w:rsidRDefault="00F01DBF" w:rsidP="003F57EA">
      <w:pPr>
        <w:pStyle w:val="ListParagraph"/>
        <w:numPr>
          <w:ilvl w:val="0"/>
          <w:numId w:val="63"/>
        </w:numPr>
      </w:pPr>
      <w:r w:rsidRPr="00926606">
        <w:t>favoriser le d</w:t>
      </w:r>
      <w:r w:rsidRPr="00926606">
        <w:rPr>
          <w:rFonts w:cs="Marianne"/>
        </w:rPr>
        <w:t>é</w:t>
      </w:r>
      <w:r w:rsidRPr="00926606">
        <w:t>veloppement des biocarburants et des autres carburants alternatifs (avec des mesures fiscales principalement)</w:t>
      </w:r>
      <w:r w:rsidRPr="00926606">
        <w:rPr>
          <w:rFonts w:ascii="Calibri" w:hAnsi="Calibri" w:cs="Calibri"/>
        </w:rPr>
        <w:t> </w:t>
      </w:r>
      <w:r w:rsidRPr="00926606">
        <w:t>;</w:t>
      </w:r>
    </w:p>
    <w:p w14:paraId="597602FC" w14:textId="77777777" w:rsidR="00F01DBF" w:rsidRPr="00926606" w:rsidRDefault="00F01DBF" w:rsidP="003F57EA">
      <w:pPr>
        <w:pStyle w:val="ListParagraph"/>
        <w:numPr>
          <w:ilvl w:val="0"/>
          <w:numId w:val="63"/>
        </w:numPr>
      </w:pPr>
      <w:r w:rsidRPr="00926606">
        <w:t>Augmenter le taux d’occupation des véhicules (via le soutien au covoiturage, à la fois du côté de l’offre et de la demande)</w:t>
      </w:r>
    </w:p>
    <w:p w14:paraId="4888D33A" w14:textId="231DADE3" w:rsidR="00131556" w:rsidRPr="00926606" w:rsidRDefault="00F01DBF" w:rsidP="003F57EA">
      <w:pPr>
        <w:pStyle w:val="ListParagraph"/>
        <w:numPr>
          <w:ilvl w:val="0"/>
          <w:numId w:val="63"/>
        </w:numPr>
      </w:pPr>
      <w:r w:rsidRPr="00926606">
        <w:t>soutenir le report modal (par l’amélioration de l’offre de services de transport en commun et d’infrastructures alternatives à la route et des mesures incitant à la pratique du vélo).</w:t>
      </w:r>
    </w:p>
    <w:p w14:paraId="301A8D48" w14:textId="60E23A6D" w:rsidR="00133BB6" w:rsidRPr="002E55B5" w:rsidRDefault="00133BB6" w:rsidP="003F57EA">
      <w:pPr>
        <w:pStyle w:val="Titre3Niveau3"/>
      </w:pPr>
      <w:bookmarkStart w:id="36" w:name="_Toc138341941"/>
      <w:r w:rsidRPr="002E55B5">
        <w:t>Le résidentiel/tertiaire</w:t>
      </w:r>
      <w:bookmarkEnd w:id="36"/>
      <w:r w:rsidRPr="002E55B5">
        <w:t xml:space="preserve"> </w:t>
      </w:r>
    </w:p>
    <w:p w14:paraId="05AAD6EE" w14:textId="77777777" w:rsidR="00133BB6" w:rsidRPr="002E55B5" w:rsidRDefault="00133BB6" w:rsidP="00133BB6">
      <w:r w:rsidRPr="002E55B5">
        <w:rPr>
          <w:shd w:val="clear" w:color="auto" w:fill="FFFFFF"/>
        </w:rPr>
        <w:t xml:space="preserve">Les mesures mises en œuvre pour réduire les émissions du résidentiel/tertiaire visent principalement à améliorer la performance thermique de l’enveloppe des bâtiments, à favoriser le recours à des équipements de chauffage performants et utilisant les énergies les moins carbonées, et à améliorer l’efficacité énergétique des autres types d’équipement (éclairage, cuisson, eau chaude sanitaire, électricité spécifique). Ces leviers sont déclinés pour les constructions neuves et pour les bâtiments existants. </w:t>
      </w:r>
    </w:p>
    <w:p w14:paraId="671DD2F1" w14:textId="36745CEA" w:rsidR="00133BB6" w:rsidRPr="004B5220" w:rsidRDefault="00133BB6" w:rsidP="00133BB6">
      <w:pPr>
        <w:rPr>
          <w:highlight w:val="yellow"/>
        </w:rPr>
      </w:pPr>
      <w:r w:rsidRPr="002E55B5">
        <w:rPr>
          <w:shd w:val="clear" w:color="auto" w:fill="FFFFFF"/>
        </w:rPr>
        <w:t>Pour les constructions neuves, la réglementation environnementale RE2020 impose des normes ambitieuses et exigeantes. Son objectif est de poursuivre l’amélioration de la performance énergétique et du confort des constructions, tout en diminuant leur</w:t>
      </w:r>
      <w:r w:rsidRPr="006C3010">
        <w:rPr>
          <w:shd w:val="clear" w:color="auto" w:fill="FFFFFF"/>
        </w:rPr>
        <w:t xml:space="preserve"> impact carbone. </w:t>
      </w:r>
      <w:r>
        <w:rPr>
          <w:shd w:val="clear" w:color="auto" w:fill="FFFFFF"/>
        </w:rPr>
        <w:t>Les seuils de consommation énergétiques sont abaissés, avec des fortes exigences sur la qualité de l’isolation. L’impact carbone est réduit au maximum et pris en compte de manière globale, grâce à une analyse en cycle de vie, de la fabrication des matériaux jusqu’au démantèlement. Enfin, les bâtiments doivent mieux résister aux conditions du climat futur, notamment en résistant mieux aux canicules.</w:t>
      </w:r>
    </w:p>
    <w:p w14:paraId="7E326427" w14:textId="77777777" w:rsidR="00133BB6" w:rsidRPr="0032106B" w:rsidRDefault="00133BB6" w:rsidP="00133BB6"/>
    <w:p w14:paraId="3770B039" w14:textId="77777777" w:rsidR="0032106B" w:rsidRDefault="0032106B" w:rsidP="0032106B">
      <w:pPr>
        <w:rPr>
          <w:shd w:val="clear" w:color="auto" w:fill="FFFFFF"/>
        </w:rPr>
      </w:pPr>
      <w:r w:rsidRPr="0032106B">
        <w:rPr>
          <w:shd w:val="clear" w:color="auto" w:fill="FFFFFF"/>
        </w:rPr>
        <w:t>L’amélioration de la performance énergétique des bâtiments existants passe par des mesures budgétaires, fiscales, réglementaires et d’accompagnement : financement des rénovations énergétiques (aide de l’Etat «</w:t>
      </w:r>
      <w:r w:rsidRPr="0032106B">
        <w:rPr>
          <w:rFonts w:ascii="Calibri" w:hAnsi="Calibri" w:cs="Calibri"/>
          <w:shd w:val="clear" w:color="auto" w:fill="FFFFFF"/>
        </w:rPr>
        <w:t> </w:t>
      </w:r>
      <w:r w:rsidRPr="0032106B">
        <w:rPr>
          <w:shd w:val="clear" w:color="auto" w:fill="FFFFFF"/>
        </w:rPr>
        <w:t>MaPrimeRénov’</w:t>
      </w:r>
      <w:r w:rsidRPr="0032106B">
        <w:rPr>
          <w:rFonts w:ascii="Calibri" w:hAnsi="Calibri" w:cs="Calibri"/>
          <w:shd w:val="clear" w:color="auto" w:fill="FFFFFF"/>
        </w:rPr>
        <w:t> </w:t>
      </w:r>
      <w:r w:rsidRPr="0032106B">
        <w:rPr>
          <w:rFonts w:cs="Marianne"/>
          <w:shd w:val="clear" w:color="auto" w:fill="FFFFFF"/>
        </w:rPr>
        <w:t>»</w:t>
      </w:r>
      <w:r w:rsidRPr="0032106B">
        <w:rPr>
          <w:shd w:val="clear" w:color="auto" w:fill="FFFFFF"/>
        </w:rPr>
        <w:t xml:space="preserve"> progressive en fonction du revenu, dispositif des certificats d’économies d’énergie, prêt à taux zéro ou réduit, TVA réduite, etc.), labellisation des rénovations performantes, formation des professionnels, sensibilisation des ménages afin d’enclencher la décision de rénovation ou d’encourager les usages vertueux (service public de guichets uniques pour l’information, le conseil et l’accompagnement des ménages, obligations relatives à l’individualisation des frais de chauffage dans les logements collectifs), obligation de mettre en œuvre une isolation thermique lors de la réalisation de gros travaux de rénovation des bâtiments.</w:t>
      </w:r>
    </w:p>
    <w:p w14:paraId="4191005E" w14:textId="588312AF" w:rsidR="0032106B" w:rsidRDefault="0032106B" w:rsidP="0032106B">
      <w:pPr>
        <w:rPr>
          <w:shd w:val="clear" w:color="auto" w:fill="FFFFFF"/>
        </w:rPr>
      </w:pPr>
      <w:r>
        <w:rPr>
          <w:shd w:val="clear" w:color="auto" w:fill="FFFFFF"/>
        </w:rPr>
        <w:t xml:space="preserve"> </w:t>
      </w:r>
    </w:p>
    <w:p w14:paraId="72C7ECFD" w14:textId="77777777" w:rsidR="0032106B" w:rsidRPr="002E55B5" w:rsidRDefault="0032106B" w:rsidP="0032106B">
      <w:r>
        <w:rPr>
          <w:shd w:val="clear" w:color="auto" w:fill="FFFFFF"/>
        </w:rPr>
        <w:t>Récemment, la loi Climat &amp; Résilience, promulguée en juillet 2021, renforce l’ensemble de ces dispositifs, notamment</w:t>
      </w:r>
      <w:r>
        <w:rPr>
          <w:rFonts w:ascii="Calibri" w:hAnsi="Calibri" w:cs="Calibri"/>
          <w:shd w:val="clear" w:color="auto" w:fill="FFFFFF"/>
        </w:rPr>
        <w:t> </w:t>
      </w:r>
      <w:r>
        <w:rPr>
          <w:shd w:val="clear" w:color="auto" w:fill="FFFFFF"/>
        </w:rPr>
        <w:t>: en intégrant une composante carbone dans le Diagnostic de performance énergétique (DPE) des bâtiments, obligatoire pour la mise en location et la vente</w:t>
      </w:r>
      <w:r>
        <w:rPr>
          <w:rFonts w:ascii="Calibri" w:hAnsi="Calibri" w:cs="Calibri"/>
          <w:shd w:val="clear" w:color="auto" w:fill="FFFFFF"/>
        </w:rPr>
        <w:t> </w:t>
      </w:r>
      <w:r>
        <w:rPr>
          <w:shd w:val="clear" w:color="auto" w:fill="FFFFFF"/>
        </w:rPr>
        <w:t>; en interdisant la location des logements les plus consommateurs d’énergie et les plus émetteurs de gaz à effet de serre (dès 2023 pour les logements les plus énergivores puis classe G du DPE en 2025, F en 2028, E en 2034)</w:t>
      </w:r>
      <w:r w:rsidRPr="008E29E3">
        <w:rPr>
          <w:shd w:val="clear" w:color="auto" w:fill="FFFFFF"/>
        </w:rPr>
        <w:t>. Le plan de relance faisant sui</w:t>
      </w:r>
      <w:r>
        <w:rPr>
          <w:shd w:val="clear" w:color="auto" w:fill="FFFFFF"/>
        </w:rPr>
        <w:t>te à l’épidemie de Covid-19 a renforcé les montants d’aides de MaPrimeRénov’. Enfin, le secteur tertiaire est désormais soumis à une obligation de réduire sa consommation énergétique, via le dispositif éco-énergie tertiaire, avec des objectifs ambitieux</w:t>
      </w:r>
      <w:r>
        <w:rPr>
          <w:rFonts w:ascii="Calibri" w:hAnsi="Calibri" w:cs="Calibri"/>
          <w:shd w:val="clear" w:color="auto" w:fill="FFFFFF"/>
        </w:rPr>
        <w:t> </w:t>
      </w:r>
      <w:r>
        <w:rPr>
          <w:shd w:val="clear" w:color="auto" w:fill="FFFFFF"/>
        </w:rPr>
        <w:t>: -40% en 2030, -50% en 2040, -60% en 2050.</w:t>
      </w:r>
    </w:p>
    <w:p w14:paraId="22CCA5CF" w14:textId="189EBD9F" w:rsidR="00133BB6" w:rsidRPr="002E55B5" w:rsidRDefault="00133BB6" w:rsidP="003F57EA">
      <w:pPr>
        <w:pStyle w:val="Titre3Niveau3"/>
      </w:pPr>
      <w:bookmarkStart w:id="37" w:name="_Toc138341942"/>
      <w:r w:rsidRPr="002E55B5">
        <w:lastRenderedPageBreak/>
        <w:t>L’industrie</w:t>
      </w:r>
      <w:bookmarkEnd w:id="37"/>
    </w:p>
    <w:p w14:paraId="0113F785" w14:textId="493CD2D0" w:rsidR="007A2247" w:rsidRDefault="00133BB6" w:rsidP="00133BB6">
      <w:pPr>
        <w:rPr>
          <w:shd w:val="clear" w:color="auto" w:fill="FFFFFF"/>
        </w:rPr>
      </w:pPr>
      <w:r w:rsidRPr="002E55B5">
        <w:rPr>
          <w:shd w:val="clear" w:color="auto" w:fill="FFFFFF"/>
        </w:rPr>
        <w:t>La politique de la France en termes de réduction des émissions de gaz à effet de ser</w:t>
      </w:r>
      <w:r w:rsidR="0032106B">
        <w:rPr>
          <w:shd w:val="clear" w:color="auto" w:fill="FFFFFF"/>
        </w:rPr>
        <w:t>re dans le secteur industriel s’</w:t>
      </w:r>
      <w:r w:rsidRPr="002E55B5">
        <w:rPr>
          <w:shd w:val="clear" w:color="auto" w:fill="FFFFFF"/>
        </w:rPr>
        <w:t>appuie principalement sur le plafonnement des émissions des installations industrielles les plus émettrices via le système européen d’échanges de quotas d’émission</w:t>
      </w:r>
      <w:r w:rsidR="007A2247">
        <w:rPr>
          <w:shd w:val="clear" w:color="auto" w:fill="FFFFFF"/>
        </w:rPr>
        <w:t xml:space="preserve">. </w:t>
      </w:r>
    </w:p>
    <w:p w14:paraId="08D6CCE4" w14:textId="489A2A58" w:rsidR="007A2247" w:rsidRDefault="007A2247" w:rsidP="00133BB6">
      <w:pPr>
        <w:rPr>
          <w:shd w:val="clear" w:color="auto" w:fill="FFFFFF"/>
        </w:rPr>
      </w:pPr>
      <w:r>
        <w:rPr>
          <w:shd w:val="clear" w:color="auto" w:fill="FFFFFF"/>
        </w:rPr>
        <w:t xml:space="preserve">Depuis 2020, l’incitation aux réductions d’émissions de gaz à effet de serre dans l’industrie a été renforcée par la mise en œuvre de dispositifs de soutien à la réalisation d’opérations d’efficacité énergétique, de transformation de procédés et de production de chaleur à usage industriel à partir de biomasse. Le plan de relance y a consacré 1,2Md€ entre 2020 et 2022. </w:t>
      </w:r>
      <w:r w:rsidR="00AC6BD2">
        <w:rPr>
          <w:shd w:val="clear" w:color="auto" w:fill="FFFFFF"/>
        </w:rPr>
        <w:t>Le plan d’investissement « </w:t>
      </w:r>
      <w:r>
        <w:rPr>
          <w:shd w:val="clear" w:color="auto" w:fill="FFFFFF"/>
        </w:rPr>
        <w:t>France 2030</w:t>
      </w:r>
      <w:r w:rsidR="00AC6BD2">
        <w:rPr>
          <w:shd w:val="clear" w:color="auto" w:fill="FFFFFF"/>
        </w:rPr>
        <w:t> »</w:t>
      </w:r>
      <w:r>
        <w:rPr>
          <w:shd w:val="clear" w:color="auto" w:fill="FFFFFF"/>
        </w:rPr>
        <w:t xml:space="preserve"> </w:t>
      </w:r>
      <w:r w:rsidR="00AC6BD2">
        <w:rPr>
          <w:shd w:val="clear" w:color="auto" w:fill="FFFFFF"/>
        </w:rPr>
        <w:t>consacrera 5,61Md€ à ces dispositifs sur les cinq prochaines années.</w:t>
      </w:r>
    </w:p>
    <w:p w14:paraId="2001C075" w14:textId="19720E58" w:rsidR="00133BB6" w:rsidRPr="002E55B5" w:rsidRDefault="00AC6BD2" w:rsidP="00133BB6">
      <w:r>
        <w:rPr>
          <w:shd w:val="clear" w:color="auto" w:fill="FFFFFF"/>
        </w:rPr>
        <w:t>Enfin,</w:t>
      </w:r>
      <w:r w:rsidR="00133BB6" w:rsidRPr="002E55B5">
        <w:rPr>
          <w:shd w:val="clear" w:color="auto" w:fill="FFFFFF"/>
        </w:rPr>
        <w:t xml:space="preserve"> l’amélioration de l’efficacité énergétique et la valorisation de la chaleur fatale </w:t>
      </w:r>
      <w:r>
        <w:rPr>
          <w:shd w:val="clear" w:color="auto" w:fill="FFFFFF"/>
        </w:rPr>
        <w:t xml:space="preserve">sont encouragées </w:t>
      </w:r>
      <w:r w:rsidR="00133BB6" w:rsidRPr="002E55B5">
        <w:rPr>
          <w:shd w:val="clear" w:color="auto" w:fill="FFFFFF"/>
        </w:rPr>
        <w:t>avec l’obligation de réaliser une analyse coûts-avantages pour les nouvelles installations génératrices de chaleur fatale afin d’évaluer l'opportunité de valoriser cette chaleur dans un réseau de chaleur ou de froid.</w:t>
      </w:r>
    </w:p>
    <w:p w14:paraId="7E40FC33" w14:textId="28F6AA80" w:rsidR="00133BB6" w:rsidRPr="002E55B5" w:rsidRDefault="00133BB6" w:rsidP="003F57EA">
      <w:pPr>
        <w:pStyle w:val="Titre3Niveau3"/>
      </w:pPr>
      <w:bookmarkStart w:id="38" w:name="_Toc138341943"/>
      <w:r w:rsidRPr="002E55B5">
        <w:t>L’énergie</w:t>
      </w:r>
      <w:bookmarkEnd w:id="38"/>
    </w:p>
    <w:p w14:paraId="15707A13" w14:textId="77777777" w:rsidR="0032106B" w:rsidRPr="002E55B5" w:rsidRDefault="0032106B" w:rsidP="0032106B">
      <w:r w:rsidRPr="002E55B5">
        <w:rPr>
          <w:shd w:val="clear" w:color="auto" w:fill="FFFFFF"/>
        </w:rPr>
        <w:t>À côté des politiques sectorielles de maîtrise de la consommation énergétique (notamment dans les secteurs résidentiel-tertiaire et du transport), un certain nombre de mesures transversales contribuent à limiter la demande en énergie et à développer les énergies renouvelables. Il s’agit notamment des actions suivantes :</w:t>
      </w:r>
    </w:p>
    <w:p w14:paraId="1707F562" w14:textId="3AA54A98" w:rsidR="0032106B" w:rsidRPr="002E55B5" w:rsidRDefault="0032106B" w:rsidP="00BE086C">
      <w:pPr>
        <w:pStyle w:val="ListParagraph"/>
        <w:numPr>
          <w:ilvl w:val="0"/>
          <w:numId w:val="41"/>
        </w:numPr>
      </w:pPr>
      <w:r>
        <w:rPr>
          <w:shd w:val="clear" w:color="auto" w:fill="FFFFFF"/>
        </w:rPr>
        <w:t>une</w:t>
      </w:r>
      <w:r w:rsidRPr="002E55B5">
        <w:rPr>
          <w:shd w:val="clear" w:color="auto" w:fill="FFFFFF"/>
        </w:rPr>
        <w:t xml:space="preserve"> composante carbone </w:t>
      </w:r>
      <w:r>
        <w:rPr>
          <w:shd w:val="clear" w:color="auto" w:fill="FFFFFF"/>
        </w:rPr>
        <w:t>de 44,6 €/t</w:t>
      </w:r>
      <w:r w:rsidR="007F09F7">
        <w:t>CO</w:t>
      </w:r>
      <w:r w:rsidR="007F09F7" w:rsidRPr="007F09F7">
        <w:rPr>
          <w:vertAlign w:val="subscript"/>
        </w:rPr>
        <w:t>2</w:t>
      </w:r>
      <w:r>
        <w:rPr>
          <w:shd w:val="clear" w:color="auto" w:fill="FFFFFF"/>
        </w:rPr>
        <w:t xml:space="preserve"> introduite </w:t>
      </w:r>
      <w:r w:rsidRPr="002E55B5">
        <w:rPr>
          <w:shd w:val="clear" w:color="auto" w:fill="FFFFFF"/>
        </w:rPr>
        <w:t>dans la fiscalité de l’énergie,</w:t>
      </w:r>
      <w:r w:rsidR="00260E0B">
        <w:rPr>
          <w:shd w:val="clear" w:color="auto" w:fill="FFFFFF"/>
        </w:rPr>
        <w:t xml:space="preserve"> </w:t>
      </w:r>
      <w:r w:rsidRPr="002E55B5">
        <w:rPr>
          <w:shd w:val="clear" w:color="auto" w:fill="FFFFFF"/>
        </w:rPr>
        <w:t>encourage l’efficacité énergétique et le développement de solutions bas-carbone dans le transport et le bâtiment ;</w:t>
      </w:r>
    </w:p>
    <w:p w14:paraId="275D7935" w14:textId="21AD008B" w:rsidR="0032106B" w:rsidRPr="002E55B5" w:rsidRDefault="0032106B" w:rsidP="00BE086C">
      <w:pPr>
        <w:pStyle w:val="ListParagraph"/>
        <w:numPr>
          <w:ilvl w:val="0"/>
          <w:numId w:val="41"/>
        </w:numPr>
      </w:pPr>
      <w:r w:rsidRPr="002E55B5">
        <w:rPr>
          <w:shd w:val="clear" w:color="auto" w:fill="FFFFFF"/>
        </w:rPr>
        <w:t>les certificats d’économies d’énergie reposent sur une obligation de réalisation d’économies d’énergie imposée aux principaux fournisseurs d’énergie (vendeurs d’électricité, de gaz, de fioul domestique,</w:t>
      </w:r>
      <w:r>
        <w:rPr>
          <w:shd w:val="clear" w:color="auto" w:fill="FFFFFF"/>
        </w:rPr>
        <w:t xml:space="preserve"> </w:t>
      </w:r>
      <w:r w:rsidRPr="002E55B5">
        <w:rPr>
          <w:shd w:val="clear" w:color="auto" w:fill="FFFFFF"/>
        </w:rPr>
        <w:t xml:space="preserve">etc.). Ceux-ci </w:t>
      </w:r>
      <w:r>
        <w:rPr>
          <w:shd w:val="clear" w:color="auto" w:fill="FFFFFF"/>
        </w:rPr>
        <w:t xml:space="preserve">incitent </w:t>
      </w:r>
      <w:r w:rsidRPr="002E55B5">
        <w:rPr>
          <w:shd w:val="clear" w:color="auto" w:fill="FFFFFF"/>
        </w:rPr>
        <w:t xml:space="preserve">activement </w:t>
      </w:r>
      <w:r>
        <w:rPr>
          <w:shd w:val="clear" w:color="auto" w:fill="FFFFFF"/>
        </w:rPr>
        <w:t>à la réalisation d’économies d’énergie dans tous les secteurs (bâtiments résidentiels, tertiaires, industrie, transport, agriculture,</w:t>
      </w:r>
      <w:r w:rsidR="007674E7">
        <w:rPr>
          <w:shd w:val="clear" w:color="auto" w:fill="FFFFFF"/>
        </w:rPr>
        <w:t xml:space="preserve"> </w:t>
      </w:r>
      <w:r>
        <w:rPr>
          <w:shd w:val="clear" w:color="auto" w:fill="FFFFFF"/>
        </w:rPr>
        <w:t>…), notamment via l’attribution d’aides financières aux acteurs qui réalisent des économies. La 5</w:t>
      </w:r>
      <w:r w:rsidRPr="00CB2FA8">
        <w:rPr>
          <w:shd w:val="clear" w:color="auto" w:fill="FFFFFF"/>
          <w:vertAlign w:val="superscript"/>
        </w:rPr>
        <w:t>e</w:t>
      </w:r>
      <w:r>
        <w:rPr>
          <w:shd w:val="clear" w:color="auto" w:fill="FFFFFF"/>
        </w:rPr>
        <w:t xml:space="preserve"> période du dispositif (2022-2025) a renforcé les niveaux d'obligation</w:t>
      </w:r>
      <w:r w:rsidRPr="002E55B5">
        <w:rPr>
          <w:shd w:val="clear" w:color="auto" w:fill="FFFFFF"/>
        </w:rPr>
        <w:t> ;</w:t>
      </w:r>
    </w:p>
    <w:p w14:paraId="47FFC078" w14:textId="77777777" w:rsidR="0032106B" w:rsidRPr="002E55B5" w:rsidRDefault="0032106B" w:rsidP="00BE086C">
      <w:pPr>
        <w:pStyle w:val="ListParagraph"/>
        <w:numPr>
          <w:ilvl w:val="0"/>
          <w:numId w:val="41"/>
        </w:numPr>
      </w:pPr>
      <w:r w:rsidRPr="002E55B5">
        <w:rPr>
          <w:shd w:val="clear" w:color="auto" w:fill="FFFFFF"/>
        </w:rPr>
        <w:t>les grandes entreprises ont une obligation de réaliser un audit énergétique tous les quatre ans </w:t>
      </w:r>
      <w:r>
        <w:rPr>
          <w:shd w:val="clear" w:color="auto" w:fill="FFFFFF"/>
        </w:rPr>
        <w:t xml:space="preserve">en vertu de la directive </w:t>
      </w:r>
      <w:r>
        <w:t>2012/27/UE</w:t>
      </w:r>
      <w:r>
        <w:rPr>
          <w:shd w:val="clear" w:color="auto" w:fill="FFFFFF"/>
        </w:rPr>
        <w:t xml:space="preserve"> relative à l’efficacité énergétique. Ces audits permettent d’identifier des actions pertinentes pour réaliser des économies d’énergie et sont un levier pour diminuer la consommation énergétique des entreprises </w:t>
      </w:r>
      <w:r w:rsidRPr="002E55B5">
        <w:rPr>
          <w:shd w:val="clear" w:color="auto" w:fill="FFFFFF"/>
        </w:rPr>
        <w:t>;</w:t>
      </w:r>
    </w:p>
    <w:p w14:paraId="398789BF" w14:textId="77777777" w:rsidR="0032106B" w:rsidRPr="002E55B5" w:rsidRDefault="0032106B" w:rsidP="00BE086C">
      <w:pPr>
        <w:pStyle w:val="ListParagraph"/>
        <w:numPr>
          <w:ilvl w:val="0"/>
          <w:numId w:val="41"/>
        </w:numPr>
      </w:pPr>
      <w:r w:rsidRPr="002E55B5">
        <w:rPr>
          <w:shd w:val="clear" w:color="auto" w:fill="FFFFFF"/>
        </w:rPr>
        <w:t>le fonds chaleur soutient la production de chaleur dans le tertiaire, l’industrie et l’habitat collectif à partir de sources renouvelables </w:t>
      </w:r>
      <w:r>
        <w:rPr>
          <w:shd w:val="clear" w:color="auto" w:fill="FFFFFF"/>
        </w:rPr>
        <w:t xml:space="preserve">(biomasse, géothermie, solaire thermique, pompes à chaleur). Il soutient également le développement des réseaux de chaleur, infrastructures indispensables pour transporter la chaleur jusqu’aux lieux de consommation </w:t>
      </w:r>
      <w:r w:rsidRPr="002E55B5">
        <w:rPr>
          <w:shd w:val="clear" w:color="auto" w:fill="FFFFFF"/>
        </w:rPr>
        <w:t>;</w:t>
      </w:r>
    </w:p>
    <w:p w14:paraId="1FBC292C" w14:textId="128C8236" w:rsidR="0032106B" w:rsidRPr="002E55B5" w:rsidRDefault="00664ED0" w:rsidP="00BE086C">
      <w:pPr>
        <w:pStyle w:val="ListParagraph"/>
        <w:numPr>
          <w:ilvl w:val="0"/>
          <w:numId w:val="41"/>
        </w:numPr>
      </w:pPr>
      <w:r w:rsidRPr="00664ED0">
        <w:rPr>
          <w:shd w:val="clear" w:color="auto" w:fill="FFFFFF"/>
        </w:rPr>
        <w:t>les dispositifs de soutien aux énergies renouvelables (électricité et biogaz) : appels d’offres, pour un complément de rémunération de l’énergie produite par des installations de moyenne et grande puissance, et arrêtés tarifaires, pour l’obligation d’achat de l’énergie produite par des installations de petite taille. Ces dispositifs sont calibrés pour atteindre les objectifs quantitatifs de développement des énergies renouvelables fixés dans la programmation pluriannuelle de l’énergie ;</w:t>
      </w:r>
    </w:p>
    <w:p w14:paraId="1D1C97AD" w14:textId="10844D16" w:rsidR="00133BB6" w:rsidRPr="002E55B5" w:rsidRDefault="0032106B" w:rsidP="00BE086C">
      <w:pPr>
        <w:pStyle w:val="ListParagraph"/>
        <w:numPr>
          <w:ilvl w:val="0"/>
          <w:numId w:val="41"/>
        </w:numPr>
      </w:pPr>
      <w:r w:rsidRPr="002E55B5">
        <w:rPr>
          <w:shd w:val="clear" w:color="auto" w:fill="FFFFFF"/>
        </w:rPr>
        <w:t>le plafonnement des émissions des installations de production d'électricité, de chaleur et des raffineries par le système européen d’échange de quotas d’émission.</w:t>
      </w:r>
    </w:p>
    <w:p w14:paraId="6CF376D3" w14:textId="404E4C68" w:rsidR="00133BB6" w:rsidRPr="002E55B5" w:rsidRDefault="00133BB6" w:rsidP="003F57EA">
      <w:pPr>
        <w:pStyle w:val="Titre3Niveau3"/>
      </w:pPr>
      <w:bookmarkStart w:id="39" w:name="_Toc138341944"/>
      <w:r w:rsidRPr="002E55B5">
        <w:t>L’agriculture et la forêt</w:t>
      </w:r>
      <w:bookmarkEnd w:id="39"/>
    </w:p>
    <w:p w14:paraId="192CA004" w14:textId="3FB5EC79" w:rsidR="0096644E" w:rsidRPr="0096644E" w:rsidRDefault="0096644E" w:rsidP="0096644E">
      <w:pPr>
        <w:rPr>
          <w:shd w:val="clear" w:color="auto" w:fill="FFFFFF"/>
        </w:rPr>
      </w:pPr>
      <w:r w:rsidRPr="0096644E">
        <w:rPr>
          <w:shd w:val="clear" w:color="auto" w:fill="FFFFFF"/>
        </w:rPr>
        <w:t>Les politiques et mesures dans le domaine agricole visent une meilleure maîtrise de la fertilisation azotée, la lutte contre les excédents d’azotes organique et minéral, la réduction des émissions des effluents d’élevage, le développement d’énergies renouvelables d’origine agricole (méthanisation notamment), l’amélioration de la performance énergétique des exploitations, l’augmentation des stocks de carbone dans les sols agricoles, et la diminution des pertes et gaspillages</w:t>
      </w:r>
      <w:r>
        <w:rPr>
          <w:shd w:val="clear" w:color="auto" w:fill="FFFFFF"/>
        </w:rPr>
        <w:t>.</w:t>
      </w:r>
    </w:p>
    <w:p w14:paraId="600382A8" w14:textId="77777777" w:rsidR="0096644E" w:rsidRPr="0096644E" w:rsidRDefault="0096644E" w:rsidP="0096644E">
      <w:pPr>
        <w:rPr>
          <w:shd w:val="clear" w:color="auto" w:fill="FFFFFF"/>
        </w:rPr>
      </w:pPr>
    </w:p>
    <w:p w14:paraId="01B852A2" w14:textId="77777777" w:rsidR="0096644E" w:rsidRPr="002E55B5" w:rsidRDefault="0096644E" w:rsidP="0096644E">
      <w:r w:rsidRPr="0096644E">
        <w:rPr>
          <w:shd w:val="clear" w:color="auto" w:fill="FFFFFF"/>
        </w:rPr>
        <w:t>La Stratégie Nationale Bas Carbone fixe 6 orientations pour assurer la transition du secteur agricole, comprenant la réduction des émissions de N</w:t>
      </w:r>
      <w:r w:rsidRPr="0096644E">
        <w:rPr>
          <w:shd w:val="clear" w:color="auto" w:fill="FFFFFF"/>
          <w:vertAlign w:val="subscript"/>
        </w:rPr>
        <w:t>2</w:t>
      </w:r>
      <w:r w:rsidRPr="0096644E">
        <w:rPr>
          <w:shd w:val="clear" w:color="auto" w:fill="FFFFFF"/>
        </w:rPr>
        <w:t>O, CH</w:t>
      </w:r>
      <w:r w:rsidRPr="0096644E">
        <w:rPr>
          <w:shd w:val="clear" w:color="auto" w:fill="FFFFFF"/>
          <w:vertAlign w:val="subscript"/>
        </w:rPr>
        <w:t>4</w:t>
      </w:r>
      <w:r w:rsidRPr="0096644E">
        <w:rPr>
          <w:shd w:val="clear" w:color="auto" w:fill="FFFFFF"/>
        </w:rPr>
        <w:t xml:space="preserve"> et CO</w:t>
      </w:r>
      <w:r w:rsidRPr="0096644E">
        <w:rPr>
          <w:shd w:val="clear" w:color="auto" w:fill="FFFFFF"/>
          <w:vertAlign w:val="subscript"/>
        </w:rPr>
        <w:t>2</w:t>
      </w:r>
      <w:r w:rsidRPr="0096644E">
        <w:rPr>
          <w:shd w:val="clear" w:color="auto" w:fill="FFFFFF"/>
        </w:rPr>
        <w:t xml:space="preserve"> ; le développement de la production d’énergie décarbonée et de la </w:t>
      </w:r>
      <w:r w:rsidRPr="0096644E">
        <w:rPr>
          <w:shd w:val="clear" w:color="auto" w:fill="FFFFFF"/>
        </w:rPr>
        <w:lastRenderedPageBreak/>
        <w:t xml:space="preserve">bioéconomie ; l’augmentation du stockage de carbone ; l’évolution des modes de consommation alimentaire. </w:t>
      </w:r>
      <w:r w:rsidRPr="00743302">
        <w:t>Pour</w:t>
      </w:r>
      <w:r>
        <w:t xml:space="preserve"> renforcer la contribution de l’agriculture à la lutte contre le changement </w:t>
      </w:r>
      <w:r w:rsidRPr="00743302">
        <w:t xml:space="preserve">climatique, </w:t>
      </w:r>
      <w:r w:rsidRPr="0096644E">
        <w:rPr>
          <w:bCs/>
        </w:rPr>
        <w:t>plusieurs actions structurantes sont en cours de mise en œuvre. Le volet « Transition agricole, alimentation et forêt » du plan « France Relance »</w:t>
      </w:r>
      <w:r w:rsidRPr="00743302">
        <w:t xml:space="preserve"> se fixe </w:t>
      </w:r>
      <w:r w:rsidRPr="0096644E">
        <w:rPr>
          <w:bCs/>
        </w:rPr>
        <w:t>3 objectifs</w:t>
      </w:r>
      <w:r w:rsidRPr="00743302">
        <w:t xml:space="preserve"> : renforcer</w:t>
      </w:r>
      <w:r>
        <w:t xml:space="preserve"> la souveraineté alimentaire ; accélérer la transition agroécologique pour donner accès à tous les Français à une alimentation saine, durable et locale ; et adapter l’agriculture et la forêt au changement climatique. Le PSN 2023-2027 contribuera à la dynamique de baisse des émissions de l’agriculture et à l’augmentation du stockage de carbone, en particulier via la conditionnalité renforcée, l’écorégime et les mesures du 2</w:t>
      </w:r>
      <w:r w:rsidRPr="0096644E">
        <w:rPr>
          <w:vertAlign w:val="superscript"/>
        </w:rPr>
        <w:t>e</w:t>
      </w:r>
      <w:r>
        <w:t xml:space="preserve"> pilier. L’article 274 de La loi « climat et résilience » dispose que le PSN doit être </w:t>
      </w:r>
      <w:r w:rsidRPr="00743302">
        <w:t>compatible avec la SNBC</w:t>
      </w:r>
      <w:r w:rsidRPr="006C4DEC">
        <w:t>.</w:t>
      </w:r>
      <w:r w:rsidRPr="00D540DA">
        <w:t xml:space="preserve"> Un ensemble de plans transversaux contribue également à ces objectifs : </w:t>
      </w:r>
      <w:r w:rsidRPr="0096644E">
        <w:rPr>
          <w:shd w:val="clear" w:color="auto" w:fill="FFFFFF"/>
        </w:rPr>
        <w:t xml:space="preserve">le plan de compétitivité et d’adaptation des exploitations agricoles, le plan énergie méthanisation autonomie azote et le plan de développement de l’agroforesterie. </w:t>
      </w:r>
      <w:r w:rsidRPr="00D540DA">
        <w:t xml:space="preserve">Enfin, </w:t>
      </w:r>
      <w:r w:rsidRPr="0096644E">
        <w:rPr>
          <w:b/>
          <w:bCs/>
        </w:rPr>
        <w:t>le plan d’action climat du ministère de l’Agriculture</w:t>
      </w:r>
      <w:r w:rsidRPr="00D540DA">
        <w:t>, publié en</w:t>
      </w:r>
      <w:r>
        <w:t xml:space="preserve"> juin 2021, trace une feuille de route pour atteindre les objectifs climatiques des secteurs agricole et forestier, et rappelle la cohérence d’ensemble des différents leviers et outils mobilisés par le ministère.</w:t>
      </w:r>
    </w:p>
    <w:p w14:paraId="1746BE09" w14:textId="77777777" w:rsidR="0096644E" w:rsidRPr="0096644E" w:rsidRDefault="0096644E" w:rsidP="0096644E">
      <w:pPr>
        <w:rPr>
          <w:shd w:val="clear" w:color="auto" w:fill="FFFFFF"/>
        </w:rPr>
      </w:pPr>
    </w:p>
    <w:p w14:paraId="6C78D6C0" w14:textId="3E2E6BBC" w:rsidR="00133BB6" w:rsidRPr="0096644E" w:rsidRDefault="0096644E" w:rsidP="00133BB6">
      <w:r w:rsidRPr="0096644E">
        <w:rPr>
          <w:shd w:val="clear" w:color="auto" w:fill="FFFFFF"/>
        </w:rPr>
        <w:t>Concernant la forêt, les mesures en place cherchent à favoriser la séquestration de carbone dans l’écosystème forestier, et la résilience des peuplements face au changement climatique par une meilleure gestion des forêts, et à développer l’utilisation de produits bio-sourcés (qui permettent à la fois un stockage du carbone et la substitution de matériaux ou de sources d’énergie fortement émetteurs de gaz à effet de serre). Des moyens financiers importants (France Relance, France 2030…)</w:t>
      </w:r>
      <w:r w:rsidRPr="0096644E">
        <w:rPr>
          <w:rFonts w:ascii="Calibri" w:hAnsi="Calibri" w:cs="Calibri"/>
          <w:shd w:val="clear" w:color="auto" w:fill="FFFFFF"/>
        </w:rPr>
        <w:t xml:space="preserve"> </w:t>
      </w:r>
      <w:r w:rsidRPr="0096644E">
        <w:rPr>
          <w:shd w:val="clear" w:color="auto" w:fill="FFFFFF"/>
        </w:rPr>
        <w:t>sont déployés pour atteindre ces objectifs. La filière forêt-bois fait plus globalement l’objet d’une attention spécifique associée à des dispositifs de gouvernance renforcés. Les Assises de la forêt et du bois, conduites entre octobre 2021 et mars 2022, ont notamment permis de dégager de façon concertée les principales actions sur lesquels se focaliser à court-terme, et ont donné lieu à un engagement politique à pérenniser des moyens financiers conséquents sur la forêt. Ces moyens sont associés à des dispositifs de recherche et de suivi renforcés, ainsi qu’à un encadrement environnemental plus exigeant.</w:t>
      </w:r>
    </w:p>
    <w:p w14:paraId="72D36FCB" w14:textId="5BA55E3D" w:rsidR="00133BB6" w:rsidRPr="002E55B5" w:rsidRDefault="00133BB6" w:rsidP="003F57EA">
      <w:pPr>
        <w:pStyle w:val="Titre3Niveau3"/>
      </w:pPr>
      <w:bookmarkStart w:id="40" w:name="_Toc138341945"/>
      <w:r w:rsidRPr="002E55B5">
        <w:rPr>
          <w:shd w:val="clear" w:color="auto" w:fill="FFFFFF"/>
        </w:rPr>
        <w:t>Le traitement des déchets</w:t>
      </w:r>
      <w:bookmarkEnd w:id="40"/>
    </w:p>
    <w:p w14:paraId="3474BC41" w14:textId="77777777" w:rsidR="00133BB6" w:rsidRPr="002E55B5" w:rsidRDefault="00133BB6" w:rsidP="00133BB6">
      <w:r w:rsidRPr="002E55B5">
        <w:rPr>
          <w:shd w:val="clear" w:color="auto" w:fill="FFFFFF"/>
        </w:rPr>
        <w:t xml:space="preserve">La réduction des émissions du secteur des déchets repose sur la prévention des déchets (interdiction des sacs plastiques à usage unique, lutte contre le gaspillage alimentaire, pénalisation de l’obsolescence programmée), la mise en place de filières à responsabilité élargie des producteurs, des mesures encourageant le tri pour augmenter les quantités de déchets valorisés (obligation de tri des papiers, cartons, plastiques, métaux, bois, verre des activités économiques, obligation de tri des biodéchets pour les gros producteurs puis pour les ménages d’ici 2025, extension des consignes de tri, etc.), et des mesures fiscales visant à limiter l’élimination des déchets en décharge ou en incinérateur (composante déchets de la taxe générale sur les activités polluantes). La politique de prévention et de gestion des déchets est soutenue financièrement par le fonds déchets (alimenté par les recettes de la composante déchets), et les appels à projets </w:t>
      </w:r>
      <w:r w:rsidRPr="002E55B5">
        <w:t>« Territoires zéro déchet, zéro gaspillage » qui accompagne les collectivités.</w:t>
      </w:r>
    </w:p>
    <w:p w14:paraId="7D66C6AD" w14:textId="5791FE99" w:rsidR="00133BB6" w:rsidRPr="002E55B5" w:rsidRDefault="00133BB6" w:rsidP="003F57EA">
      <w:pPr>
        <w:pStyle w:val="Titre3Niveau3"/>
      </w:pPr>
      <w:bookmarkStart w:id="41" w:name="_Toc138341946"/>
      <w:r w:rsidRPr="002E55B5">
        <w:rPr>
          <w:shd w:val="clear" w:color="auto" w:fill="FFFFFF"/>
        </w:rPr>
        <w:t>Les politiques et mesures transversales</w:t>
      </w:r>
      <w:bookmarkEnd w:id="41"/>
      <w:r w:rsidRPr="002E55B5">
        <w:rPr>
          <w:shd w:val="clear" w:color="auto" w:fill="FFFFFF"/>
        </w:rPr>
        <w:t xml:space="preserve"> </w:t>
      </w:r>
    </w:p>
    <w:p w14:paraId="6AE0DC79" w14:textId="722B6A7B" w:rsidR="00133BB6" w:rsidRPr="002E55B5" w:rsidRDefault="00133BB6" w:rsidP="00133BB6">
      <w:r w:rsidRPr="002E55B5">
        <w:rPr>
          <w:shd w:val="clear" w:color="auto" w:fill="FFFFFF"/>
        </w:rPr>
        <w:t xml:space="preserve">Des obligations ont été mises en place pour les entreprises concernant la prise en compte de leurs émissions de gaz à effet de serre. </w:t>
      </w:r>
    </w:p>
    <w:p w14:paraId="210BBED2" w14:textId="06A0D28B" w:rsidR="00133BB6" w:rsidRPr="002E55B5" w:rsidRDefault="00133BB6" w:rsidP="00133BB6">
      <w:r w:rsidRPr="002E55B5">
        <w:rPr>
          <w:shd w:val="clear" w:color="auto" w:fill="FFFFFF"/>
        </w:rPr>
        <w:t xml:space="preserve">Les entreprises </w:t>
      </w:r>
      <w:r w:rsidR="00DB7C17">
        <w:rPr>
          <w:shd w:val="clear" w:color="auto" w:fill="FFFFFF"/>
        </w:rPr>
        <w:t xml:space="preserve">de plus de 500 salariés </w:t>
      </w:r>
      <w:r w:rsidRPr="002E55B5">
        <w:rPr>
          <w:shd w:val="clear" w:color="auto" w:fill="FFFFFF"/>
        </w:rPr>
        <w:t>(ainsi que les collectivités de plus de 50 000 habitants, les services de l’Etat et les établissements publics</w:t>
      </w:r>
      <w:r w:rsidR="00DB7C17">
        <w:rPr>
          <w:shd w:val="clear" w:color="auto" w:fill="FFFFFF"/>
        </w:rPr>
        <w:t xml:space="preserve"> de plus de 250 salariés</w:t>
      </w:r>
      <w:r w:rsidRPr="002E55B5">
        <w:rPr>
          <w:shd w:val="clear" w:color="auto" w:fill="FFFFFF"/>
        </w:rPr>
        <w:t xml:space="preserve">) doivent ainsi </w:t>
      </w:r>
      <w:r w:rsidRPr="002E55B5">
        <w:t xml:space="preserve">réaliser régulièrement un bilan de leurs émissions de gaz à effet de serre et mettre en place un plan d’action pour les réduire. </w:t>
      </w:r>
      <w:r w:rsidR="00DB7C17">
        <w:t xml:space="preserve">Ces bilans et plans d’action doivent être publiés sur un site dédié accessible au public sous peine d’amende. </w:t>
      </w:r>
      <w:r w:rsidRPr="002E55B5">
        <w:t>Par ailleurs, les grandes entreprises doivent intégrer à leur reporting extra-financier des informations sur les postes significatifs d’émissions de gaz à effet de serre générées du fait de leur activité, notamment par l’usage des biens et services qu’elles produisent. Les investisseurs institutionnels doivent quant à eux publier des informations relatives à leur contribution aux objectifs climatiques et aux risques financiers associés à la transition énergétique et écologique.</w:t>
      </w:r>
    </w:p>
    <w:p w14:paraId="317B9CA2" w14:textId="7AD5C321" w:rsidR="00133BB6" w:rsidRPr="00A47B71" w:rsidRDefault="00133BB6" w:rsidP="003F57EA">
      <w:pPr>
        <w:pStyle w:val="Titre3Niveau3"/>
      </w:pPr>
      <w:bookmarkStart w:id="42" w:name="_Toc123281438"/>
      <w:bookmarkStart w:id="43" w:name="_Toc138341947"/>
      <w:bookmarkEnd w:id="42"/>
      <w:r w:rsidRPr="00A47B71">
        <w:rPr>
          <w:shd w:val="clear" w:color="auto" w:fill="FFFFFF"/>
        </w:rPr>
        <w:lastRenderedPageBreak/>
        <w:t>Les politiques et mesures transversales sur les gaz fluorés</w:t>
      </w:r>
      <w:bookmarkEnd w:id="43"/>
    </w:p>
    <w:p w14:paraId="6E34C139" w14:textId="77777777" w:rsidR="00133BB6" w:rsidRDefault="00133BB6" w:rsidP="00133BB6">
      <w:r w:rsidRPr="00A47B71">
        <w:t>Le règlement européen n° 517/2014 (dit « F-Gas II ») met en place un ensemble de dispositions permettant de limiter les émissions de gaz fluorés issues des équipements de réfrigération et de climatisation utilisés dans les bâtiments, l’industrie et les transports frigorifiques. Il met notamment en place un mécanisme de réduction progressive des quantités de HFC mises sur le marché et des interdictions sectorielles de mise sur le marché de produits et d’équipements contenant des gaz à effet de serre fluorés dépassant un certain PRG.</w:t>
      </w:r>
    </w:p>
    <w:p w14:paraId="41085197" w14:textId="20355C2B" w:rsidR="00D5243A" w:rsidRDefault="00501FA3" w:rsidP="00755E47">
      <w:pPr>
        <w:pStyle w:val="Titre2Niveau2"/>
      </w:pPr>
      <w:bookmarkStart w:id="44" w:name="_Toc118381491"/>
      <w:bookmarkStart w:id="45" w:name="_Toc138341948"/>
      <w:r>
        <w:t xml:space="preserve">Projection </w:t>
      </w:r>
      <w:r w:rsidRPr="0051771F">
        <w:t>d’émissions de GES et quantification de l’impact des politiques et mesures</w:t>
      </w:r>
      <w:bookmarkEnd w:id="44"/>
      <w:bookmarkEnd w:id="45"/>
    </w:p>
    <w:p w14:paraId="450F45E5" w14:textId="42BBEEE5" w:rsidR="006D25AD" w:rsidRDefault="006D25AD" w:rsidP="003F57EA">
      <w:pPr>
        <w:pStyle w:val="Titre3Niveau3"/>
      </w:pPr>
      <w:bookmarkStart w:id="46" w:name="_Toc122004485"/>
      <w:bookmarkStart w:id="47" w:name="_Toc122006988"/>
      <w:bookmarkStart w:id="48" w:name="_Toc138341949"/>
      <w:bookmarkEnd w:id="46"/>
      <w:bookmarkEnd w:id="47"/>
      <w:r>
        <w:t>Mise à jour des scénarios AME et AMS</w:t>
      </w:r>
      <w:bookmarkEnd w:id="48"/>
    </w:p>
    <w:p w14:paraId="75F93A27" w14:textId="60B45F75" w:rsidR="006D25AD" w:rsidRDefault="006D25AD" w:rsidP="00364602">
      <w:r>
        <w:t>La France a conduit un large exercice de scénarisation prospective à l’horizon 2050, entre avril 2017 et mars 2018. Le précédent exercice avait été mené jusqu’à l’horizon 2035. Un scénario « avec mesures supplémentaires » ou AMS 2018 a alors été construit. Il matérialise pour la France une manière d’atteindre ses objectifs de long-terme, notamment la neutralité carbone sur son territoire national en 2050. Ce scénario a déjà été présenté dans le 4e rapport bisannuel de la France.</w:t>
      </w:r>
    </w:p>
    <w:p w14:paraId="08115C10" w14:textId="77777777" w:rsidR="00364602" w:rsidRDefault="00364602" w:rsidP="006444B0"/>
    <w:p w14:paraId="7538F3CF" w14:textId="0C9AB787" w:rsidR="006D25AD" w:rsidRDefault="006D25AD" w:rsidP="006444B0">
      <w:r>
        <w:t xml:space="preserve">Un scénario « avec mesures existantes » ou AME 2021, prenant en compte l’ensemble des politiques et mesures décidées et mises en œuvre jusqu’au 31 décembre 2019 a été construit en 2021. Ce scénario à l’horizon 2050 actualise le scénario AME 2018 en intégrant l’ensemble des politiques et mesures décidées et mises en œuvre entre le </w:t>
      </w:r>
      <w:r w:rsidR="006518EF" w:rsidRPr="009F4180">
        <w:t>1</w:t>
      </w:r>
      <w:r w:rsidR="006518EF" w:rsidRPr="007F47EF">
        <w:rPr>
          <w:vertAlign w:val="superscript"/>
        </w:rPr>
        <w:t>er</w:t>
      </w:r>
      <w:r>
        <w:t xml:space="preserve"> juillet 2017 et le 31 décembre 2019. </w:t>
      </w:r>
    </w:p>
    <w:p w14:paraId="6318B2A2" w14:textId="656FC251" w:rsidR="006D25AD" w:rsidRDefault="006D25AD" w:rsidP="003F57EA">
      <w:pPr>
        <w:pStyle w:val="Titre3Niveau3"/>
      </w:pPr>
      <w:bookmarkStart w:id="49" w:name="_Toc138341950"/>
      <w:r>
        <w:t>Présentation des résultats</w:t>
      </w:r>
      <w:bookmarkEnd w:id="49"/>
    </w:p>
    <w:p w14:paraId="4589CAC4" w14:textId="2976B714" w:rsidR="006D25AD" w:rsidRDefault="006D25AD" w:rsidP="006444B0">
      <w:r>
        <w:t>Dans le scénario AME 2021, au périmètre du protocole de Kyoto et hors secteur UTCATF, les émissions diminuent à 367</w:t>
      </w:r>
      <w:r w:rsidR="000E783D">
        <w:t xml:space="preserve"> </w:t>
      </w:r>
      <w:r>
        <w:t>Mt</w:t>
      </w:r>
      <w:r w:rsidR="007F09F7">
        <w:t>CO</w:t>
      </w:r>
      <w:r w:rsidR="007F09F7" w:rsidRPr="007F09F7">
        <w:rPr>
          <w:vertAlign w:val="subscript"/>
        </w:rPr>
        <w:t>2</w:t>
      </w:r>
      <w:r w:rsidR="004F1EC8" w:rsidRPr="004F1EC8">
        <w:rPr>
          <w:vertAlign w:val="subscript"/>
        </w:rPr>
        <w:t>e</w:t>
      </w:r>
      <w:r>
        <w:t xml:space="preserve"> en 2030, soit une réduction de 33% par rapport à 1990, et à 330Mt</w:t>
      </w:r>
      <w:r w:rsidR="007F09F7">
        <w:t>CO</w:t>
      </w:r>
      <w:r w:rsidR="007F09F7" w:rsidRPr="007F09F7">
        <w:rPr>
          <w:vertAlign w:val="subscript"/>
        </w:rPr>
        <w:t>2</w:t>
      </w:r>
      <w:r w:rsidR="004F1EC8" w:rsidRPr="004F1EC8">
        <w:rPr>
          <w:vertAlign w:val="subscript"/>
        </w:rPr>
        <w:t>e</w:t>
      </w:r>
      <w:r>
        <w:t xml:space="preserve"> en 2050, soit une réduction de 39% par rapport à 1990. Avec UTCATF, les émissions diminuent de 35% en 2030, et de 39% en 2050 par rapport à 1990. </w:t>
      </w:r>
    </w:p>
    <w:p w14:paraId="285ACB15" w14:textId="77777777" w:rsidR="00364602" w:rsidRDefault="00364602" w:rsidP="006444B0"/>
    <w:p w14:paraId="523499D8" w14:textId="29834C55" w:rsidR="006D25AD" w:rsidRDefault="006D25AD" w:rsidP="006444B0">
      <w:r>
        <w:t>Dans le scénario AMS 2018, les émissions atteignent 307 Mt</w:t>
      </w:r>
      <w:r w:rsidR="007F09F7">
        <w:t>CO</w:t>
      </w:r>
      <w:r w:rsidR="007F09F7" w:rsidRPr="007F09F7">
        <w:rPr>
          <w:vertAlign w:val="subscript"/>
        </w:rPr>
        <w:t>2</w:t>
      </w:r>
      <w:r w:rsidR="004F1EC8" w:rsidRPr="004F1EC8">
        <w:rPr>
          <w:vertAlign w:val="subscript"/>
        </w:rPr>
        <w:t>e</w:t>
      </w:r>
      <w:r>
        <w:t xml:space="preserve"> en 2030, soit une réduction de 43% par rapport à 1990, et 80</w:t>
      </w:r>
      <w:r w:rsidR="004F1EC8">
        <w:t> </w:t>
      </w:r>
      <w:r>
        <w:t>Mt</w:t>
      </w:r>
      <w:r w:rsidR="007F09F7">
        <w:t>CO</w:t>
      </w:r>
      <w:r w:rsidR="007F09F7" w:rsidRPr="007F09F7">
        <w:rPr>
          <w:vertAlign w:val="subscript"/>
        </w:rPr>
        <w:t>2</w:t>
      </w:r>
      <w:r w:rsidR="004F1EC8" w:rsidRPr="004F1EC8">
        <w:rPr>
          <w:vertAlign w:val="subscript"/>
        </w:rPr>
        <w:t>e</w:t>
      </w:r>
      <w:r>
        <w:t xml:space="preserve"> en 2050, soit une réduction de 85% par rapport à 1990. Avec UTCATF, ces réductions atteignent 48% en 2030, et 100% en 2050 (atteinte de la neutralité carbone). </w:t>
      </w:r>
    </w:p>
    <w:p w14:paraId="6C7AD9C6" w14:textId="3CB8D04C" w:rsidR="006D25AD" w:rsidRDefault="006D25AD" w:rsidP="006444B0"/>
    <w:p w14:paraId="191BCB0E" w14:textId="15CBDC4B" w:rsidR="00E727B3" w:rsidRDefault="00E727B3" w:rsidP="00E727B3">
      <w:pPr>
        <w:jc w:val="center"/>
      </w:pPr>
      <w:r>
        <w:rPr>
          <w:noProof/>
        </w:rPr>
        <w:lastRenderedPageBreak/>
        <w:drawing>
          <wp:inline distT="0" distB="0" distL="0" distR="0" wp14:anchorId="0D966609" wp14:editId="145180EE">
            <wp:extent cx="4572000" cy="27432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6EBBC6BC" w14:textId="40AB51E9" w:rsidR="00E727B3" w:rsidRDefault="006D25AD" w:rsidP="006444B0">
      <w:r>
        <w:tab/>
      </w:r>
    </w:p>
    <w:p w14:paraId="0DD54CA6" w14:textId="21ABBF9B" w:rsidR="00E727B3" w:rsidRDefault="00E727B3" w:rsidP="00E727B3">
      <w:pPr>
        <w:jc w:val="center"/>
      </w:pPr>
      <w:r>
        <w:rPr>
          <w:noProof/>
        </w:rPr>
        <w:drawing>
          <wp:inline distT="0" distB="0" distL="0" distR="0" wp14:anchorId="03DFFF81" wp14:editId="60652C9D">
            <wp:extent cx="4572000" cy="27432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79B3CA4F" w14:textId="1DBE7E0E" w:rsidR="00A335F6" w:rsidRDefault="00A335F6" w:rsidP="0045532B">
      <w:pPr>
        <w:pStyle w:val="Caption"/>
      </w:pPr>
      <w:bookmarkStart w:id="50" w:name="_Toc123916412"/>
      <w:r>
        <w:t xml:space="preserve">Figure </w:t>
      </w:r>
      <w:fldSimple w:instr=" SEQ Figure \* ARABIC ">
        <w:r w:rsidR="00AB51D9">
          <w:rPr>
            <w:noProof/>
          </w:rPr>
          <w:t>1</w:t>
        </w:r>
      </w:fldSimple>
      <w:r>
        <w:t> : Trajectoires des émissions nationales jusqu’en 2050 selon les différents scenarios hors secteur des terres (haut) et avec (bas)</w:t>
      </w:r>
      <w:bookmarkEnd w:id="50"/>
    </w:p>
    <w:p w14:paraId="5B324A4B" w14:textId="24C84696" w:rsidR="00A335F6" w:rsidRPr="00A335F6" w:rsidRDefault="00A335F6" w:rsidP="0045532B">
      <w:pPr>
        <w:pStyle w:val="Caption"/>
      </w:pPr>
      <w:r>
        <w:t xml:space="preserve">Source : </w:t>
      </w:r>
      <w:r w:rsidR="00652F25">
        <w:t>MTE</w:t>
      </w:r>
      <w:r>
        <w:t>-DGEC</w:t>
      </w:r>
    </w:p>
    <w:p w14:paraId="571DA700" w14:textId="77777777" w:rsidR="00E727B3" w:rsidRDefault="00E727B3" w:rsidP="006444B0"/>
    <w:p w14:paraId="4B827D6C" w14:textId="49BD4CC1" w:rsidR="00364602" w:rsidRDefault="006D25AD" w:rsidP="006444B0">
      <w:r>
        <w:t>Dans le cadre de l’accord de Paris, l’UE s’était engagée initialement à réduire ses émissions brutes de gaz à effet de serre de -40% en 2030 par rapport à 1990. De la même manière que pour son objectif 2020, cet effort était réparti entre les secteurs couverts par le marché carbone européen (SEQE-UE) et hors SEQE-UE. L’objectif de la France sur le secteur hors SEQE-UE était de -37% en 2030 par rapport à 2005. Dans le cadre du rehaussement de l’ambition européenne via le Pacte Vert, l’objectif global de l’UE a été fixé à -55% net en 2030 par rapport à 1990. Cela se traduit pour la France sur le secteur hors SEQE-UE par un objectif de -47,5% en 2030 par rapport à 2005.</w:t>
      </w:r>
    </w:p>
    <w:p w14:paraId="7E365BCE" w14:textId="77777777" w:rsidR="00100397" w:rsidRDefault="00100397" w:rsidP="006444B0"/>
    <w:p w14:paraId="65B5224D" w14:textId="1810F6AB" w:rsidR="005C2982" w:rsidRDefault="006D25AD" w:rsidP="00364602">
      <w:r>
        <w:t xml:space="preserve">La réduction d’émissions du secteur hors SEQE-UE dans le scénario AME 2021 atteint -30% en 2030 par rapport à 2005. Cela traduit que les mesures existantes </w:t>
      </w:r>
      <w:r w:rsidR="000E783D">
        <w:t xml:space="preserve">(adoptées jusqu’au 31 décembre 2019) </w:t>
      </w:r>
      <w:r>
        <w:t>vont significativement réduire les émissions, y compris par rapport au scénario AME 2018. Toutefois, des mesures additionnelles devront être adoptées pour atteindre les objectifs : c’est l’objet de la Stratégie Française pour l’Energie et le Climat, qui est en cours de révision.</w:t>
      </w:r>
    </w:p>
    <w:p w14:paraId="45407A70" w14:textId="345E7878" w:rsidR="00176265" w:rsidRPr="00176265" w:rsidRDefault="00501FA3" w:rsidP="00755E47">
      <w:pPr>
        <w:pStyle w:val="Titre2Niveau2"/>
      </w:pPr>
      <w:bookmarkStart w:id="51" w:name="_Toc118276986"/>
      <w:bookmarkStart w:id="52" w:name="_Toc118296277"/>
      <w:bookmarkStart w:id="53" w:name="_Toc118381492"/>
      <w:bookmarkStart w:id="54" w:name="_Toc138341951"/>
      <w:r w:rsidRPr="00FF0B82">
        <w:lastRenderedPageBreak/>
        <w:t>Impacts</w:t>
      </w:r>
      <w:r>
        <w:t>, vulnérabilité et adaptation</w:t>
      </w:r>
      <w:bookmarkStart w:id="55" w:name="_Toc121412457"/>
      <w:bookmarkStart w:id="56" w:name="_Toc121412585"/>
      <w:bookmarkStart w:id="57" w:name="_Toc121413770"/>
      <w:bookmarkStart w:id="58" w:name="_Toc121416252"/>
      <w:bookmarkStart w:id="59" w:name="_Toc121431626"/>
      <w:bookmarkStart w:id="60" w:name="_Toc121431789"/>
      <w:bookmarkStart w:id="61" w:name="_Toc121431951"/>
      <w:bookmarkStart w:id="62" w:name="_Toc121431627"/>
      <w:bookmarkStart w:id="63" w:name="_Toc121431790"/>
      <w:bookmarkStart w:id="64" w:name="_Toc121431952"/>
      <w:bookmarkEnd w:id="51"/>
      <w:bookmarkEnd w:id="52"/>
      <w:bookmarkEnd w:id="53"/>
      <w:bookmarkEnd w:id="55"/>
      <w:bookmarkEnd w:id="56"/>
      <w:bookmarkEnd w:id="57"/>
      <w:bookmarkEnd w:id="58"/>
      <w:bookmarkEnd w:id="59"/>
      <w:bookmarkEnd w:id="60"/>
      <w:bookmarkEnd w:id="61"/>
      <w:bookmarkEnd w:id="62"/>
      <w:bookmarkEnd w:id="63"/>
      <w:bookmarkEnd w:id="64"/>
      <w:bookmarkEnd w:id="54"/>
    </w:p>
    <w:p w14:paraId="0AB57C7C" w14:textId="72E7E4C6" w:rsidR="00A55861" w:rsidRPr="00A55861" w:rsidRDefault="00A55861" w:rsidP="003F57EA">
      <w:pPr>
        <w:pStyle w:val="Titre3Niveau3"/>
      </w:pPr>
      <w:bookmarkStart w:id="65" w:name="_Toc138341952"/>
      <w:r>
        <w:t xml:space="preserve">Les impacts du changement </w:t>
      </w:r>
      <w:r w:rsidRPr="00176265">
        <w:t>climatique</w:t>
      </w:r>
      <w:bookmarkEnd w:id="65"/>
    </w:p>
    <w:p w14:paraId="2217678B" w14:textId="02365706" w:rsidR="00501FA3" w:rsidRDefault="00501FA3" w:rsidP="00501FA3">
      <w:r w:rsidRPr="00237F90">
        <w:t xml:space="preserve">Comme à l’échelle mondiale, l’évolution des températures moyennes annuelles en France métropolitaine montre un réchauffement très net depuis 1900. Ce réchauffement a connu un rythme variable, avec une augmentation particulièrement marquée depuis les années 1980. </w:t>
      </w:r>
      <w:r w:rsidRPr="00EF4025">
        <w:t xml:space="preserve">A l’exception de l’année 2021, les dernières années (2017, 2018, 2019 et 2020) ont été parmi les années </w:t>
      </w:r>
      <w:r>
        <w:t xml:space="preserve">les </w:t>
      </w:r>
      <w:r w:rsidRPr="00EF4025">
        <w:t xml:space="preserve">plus chaudes depuis 1900. Ainsi, en 2020, la température annuelle moyennée sur le pays a atteint 14,1 °C, dépassant la normale (référence 1981-2010) de 1,5 °C. L’année 2020 s’est ainsi classée au </w:t>
      </w:r>
      <w:r w:rsidR="006518EF" w:rsidRPr="009F4180">
        <w:t>1</w:t>
      </w:r>
      <w:r w:rsidR="006518EF" w:rsidRPr="007F47EF">
        <w:rPr>
          <w:vertAlign w:val="superscript"/>
        </w:rPr>
        <w:t>er</w:t>
      </w:r>
      <w:r>
        <w:t xml:space="preserve"> </w:t>
      </w:r>
      <w:r w:rsidRPr="00EF4025">
        <w:t>rang des années les plus chaudes sur la période 1900-2020 devant 2018 (13,9 °C) et 2014 (13,8 °C).</w:t>
      </w:r>
    </w:p>
    <w:p w14:paraId="76EBF3F1" w14:textId="38F12BD1" w:rsidR="00501FA3" w:rsidRDefault="00501FA3" w:rsidP="003F57EA">
      <w:pPr>
        <w:pStyle w:val="Titre3Niveau3"/>
      </w:pPr>
      <w:bookmarkStart w:id="66" w:name="_Toc118276988"/>
      <w:bookmarkStart w:id="67" w:name="_Toc118296279"/>
      <w:bookmarkStart w:id="68" w:name="_Toc118381494"/>
      <w:bookmarkStart w:id="69" w:name="_Toc138341953"/>
      <w:r>
        <w:t xml:space="preserve">Les incidences </w:t>
      </w:r>
      <w:r w:rsidRPr="006D768D">
        <w:t>prévues</w:t>
      </w:r>
      <w:r>
        <w:t xml:space="preserve"> du changement climatique</w:t>
      </w:r>
      <w:bookmarkEnd w:id="66"/>
      <w:bookmarkEnd w:id="67"/>
      <w:bookmarkEnd w:id="68"/>
      <w:bookmarkEnd w:id="69"/>
    </w:p>
    <w:p w14:paraId="25D28809" w14:textId="53E2B85C" w:rsidR="00501FA3" w:rsidRDefault="00501FA3" w:rsidP="00501FA3">
      <w:r>
        <w:t>La situation de la France, va continuer à s’aggraver.</w:t>
      </w:r>
      <w:r w:rsidR="00190282">
        <w:t xml:space="preserve"> </w:t>
      </w:r>
      <w:r>
        <w:t>Les principales caractéristiques attendues, cohérentes avec les changements en cours déjà détectés, sont les suivantes :</w:t>
      </w:r>
    </w:p>
    <w:p w14:paraId="18B974F9" w14:textId="7FA9C2DC" w:rsidR="00501FA3" w:rsidRPr="00237F90" w:rsidRDefault="00501FA3" w:rsidP="00BE086C">
      <w:pPr>
        <w:pStyle w:val="ListParagraph"/>
        <w:numPr>
          <w:ilvl w:val="0"/>
          <w:numId w:val="20"/>
        </w:numPr>
        <w:ind w:left="714" w:hanging="357"/>
        <w:contextualSpacing w:val="0"/>
      </w:pPr>
      <w:r>
        <w:t>U</w:t>
      </w:r>
      <w:r w:rsidRPr="00237F90">
        <w:t>ne hausse des températures plus forte que la moyenne mondiale de 2°C, notamment dans les régions plus éloignées des côtes, avec des vagues de chaleur de plus en plus fréquentes, de plus en plus sévères et s’étendant au-delà des périodes estivales traditionnelles</w:t>
      </w:r>
      <w:r>
        <w:t>.</w:t>
      </w:r>
      <w:r w:rsidRPr="00237F90">
        <w:t xml:space="preserve"> </w:t>
      </w:r>
      <w:r w:rsidRPr="00C72E71">
        <w:t>En France métropolitaine, les projections climatiques montrent une poursuite du réchauffement jusqu’aux années 2050, quel que soit le scénario. Sur la seconde moitié du XXIe</w:t>
      </w:r>
      <w:r>
        <w:t xml:space="preserve"> </w:t>
      </w:r>
      <w:r w:rsidRPr="00C72E71">
        <w:t>siècle, l’évolution de la température moyenne annuelle diffère significativement selon le scénario considéré. Selon le scénario de fortes émissions (RCP8.5), le réchauffement pourrait dépasser 4,6°C en fin de siècle.</w:t>
      </w:r>
    </w:p>
    <w:p w14:paraId="1DC934AC" w14:textId="79B5437D" w:rsidR="00501FA3" w:rsidRPr="00237F90" w:rsidRDefault="00501FA3" w:rsidP="00BE086C">
      <w:pPr>
        <w:pStyle w:val="ListParagraph"/>
        <w:numPr>
          <w:ilvl w:val="0"/>
          <w:numId w:val="20"/>
        </w:numPr>
        <w:ind w:left="714" w:hanging="357"/>
        <w:contextualSpacing w:val="0"/>
      </w:pPr>
      <w:r>
        <w:t>D</w:t>
      </w:r>
      <w:r w:rsidRPr="00237F90">
        <w:t>es précipitations plus intenses, même dans les régions où la quantité annuelle de précipitation diminuera, augmentant le risque de crues et d’inondation. Dans le même temps, les épisodes de sécheresse seront plus fréquents et plus sévères avec des débits d’étiage des rivières et des fleuves en forte diminution, une pression accrue sur les ressources en eau nécessaires aux écosystèmes et aux activités humaines et une extension du risque de feux de forêts</w:t>
      </w:r>
      <w:r w:rsidR="00881BEF">
        <w:t> ;</w:t>
      </w:r>
    </w:p>
    <w:p w14:paraId="4AF67783" w14:textId="08C8EA37" w:rsidR="00501FA3" w:rsidRDefault="00501FA3" w:rsidP="00BE086C">
      <w:pPr>
        <w:pStyle w:val="ListParagraph"/>
        <w:numPr>
          <w:ilvl w:val="0"/>
          <w:numId w:val="20"/>
        </w:numPr>
        <w:ind w:left="714" w:hanging="357"/>
        <w:contextualSpacing w:val="0"/>
      </w:pPr>
      <w:r>
        <w:t>U</w:t>
      </w:r>
      <w:r w:rsidRPr="00237F90">
        <w:t>ne hausse du niveau des mers qui poursuivra son accélération et augment</w:t>
      </w:r>
      <w:r>
        <w:t xml:space="preserve">era les risques de </w:t>
      </w:r>
      <w:r w:rsidR="00881BEF">
        <w:t>submersion ;</w:t>
      </w:r>
    </w:p>
    <w:p w14:paraId="6C53ABF0" w14:textId="65D96ECB" w:rsidR="00501FA3" w:rsidRDefault="00501FA3" w:rsidP="00BE086C">
      <w:pPr>
        <w:pStyle w:val="ListParagraph"/>
        <w:numPr>
          <w:ilvl w:val="0"/>
          <w:numId w:val="20"/>
        </w:numPr>
        <w:ind w:left="714" w:hanging="357"/>
        <w:contextualSpacing w:val="0"/>
      </w:pPr>
      <w:r>
        <w:t>Les grandes tendances de l’évolution du climat sont mieux connues aujourd’hui dans les outremers. Dans les Antilles, le réchauffement pourrait atteindre 2,5°C à 3°C à l'horizon 2056-2080 par rapport à la période 1981-2010. Pour la Réunion, le réchauffement au cours du XXIe siècle pourrait atteindre 3°C à l'horizon 2071-2100 par rapport à la période 1976-2005, voire 4°C selon les toutes dernières simulations. Dans les outremers, les vagues de chaleur deviendraient aussi beaucoup plus fréquentes. Des températures exceptionnelles aujourd’hui deviendraient courantes dans le futur.</w:t>
      </w:r>
    </w:p>
    <w:p w14:paraId="60F7FDBD" w14:textId="7BB81998" w:rsidR="00501FA3" w:rsidRDefault="00501FA3" w:rsidP="00BE086C">
      <w:pPr>
        <w:pStyle w:val="ListParagraph"/>
        <w:numPr>
          <w:ilvl w:val="0"/>
          <w:numId w:val="20"/>
        </w:numPr>
        <w:ind w:left="714" w:hanging="357"/>
        <w:contextualSpacing w:val="0"/>
      </w:pPr>
      <w:r>
        <w:t>Une évolution incertaine de la fréquence et de la sévérité des tempêtes, sauf dans les régions d’outre-mer tropicales où la sévérité des cyclones devrait augmenter.</w:t>
      </w:r>
    </w:p>
    <w:p w14:paraId="24CE16B3" w14:textId="4273E149" w:rsidR="00501FA3" w:rsidRDefault="00501FA3" w:rsidP="003F57EA">
      <w:pPr>
        <w:pStyle w:val="Titre3Niveau3"/>
      </w:pPr>
      <w:bookmarkStart w:id="70" w:name="_Toc118276989"/>
      <w:bookmarkStart w:id="71" w:name="_Toc118296280"/>
      <w:bookmarkStart w:id="72" w:name="_Toc118381495"/>
      <w:bookmarkStart w:id="73" w:name="_Toc138341954"/>
      <w:r w:rsidRPr="006D768D">
        <w:t>L’Adaptation</w:t>
      </w:r>
      <w:bookmarkEnd w:id="70"/>
      <w:bookmarkEnd w:id="71"/>
      <w:bookmarkEnd w:id="72"/>
      <w:bookmarkEnd w:id="73"/>
    </w:p>
    <w:p w14:paraId="50698CA0" w14:textId="77777777" w:rsidR="00501FA3" w:rsidRPr="002E55B5" w:rsidRDefault="00501FA3" w:rsidP="00501FA3">
      <w:r w:rsidRPr="00250ACF">
        <w:t xml:space="preserve">L’adaptation du territoire français au changement climatique est un enjeu majeur qui doit être envisagé comme un complément désormais indispensable aux actions d’atténuation déjà engagées. Comme annoncé dans le Plan Climat publié en juillet 2017, la France a publié en 2018 son deuxième Plan national d’adaptation au changement climatique qui sera mis en </w:t>
      </w:r>
      <w:r w:rsidRPr="002E55B5">
        <w:t>œuvre de 2018 à 2023. Son objectif est de mieux protéger les Français face aux événements climatiques extrêmes, mais aussi de construire la résilience des principaux secteurs de l’économie (agriculture, industrie, tourisme) face aux changements climatiques.</w:t>
      </w:r>
    </w:p>
    <w:p w14:paraId="7C44AA57" w14:textId="3C653D03" w:rsidR="00501FA3" w:rsidRDefault="00501FA3" w:rsidP="00755E47">
      <w:pPr>
        <w:pStyle w:val="Titre2Niveau2"/>
      </w:pPr>
      <w:bookmarkStart w:id="74" w:name="_Toc118381496"/>
      <w:bookmarkStart w:id="75" w:name="_Toc138341955"/>
      <w:r w:rsidRPr="002E55B5">
        <w:lastRenderedPageBreak/>
        <w:t>Ressources financières et transferts de technologie</w:t>
      </w:r>
      <w:bookmarkEnd w:id="74"/>
      <w:bookmarkEnd w:id="75"/>
    </w:p>
    <w:p w14:paraId="1F1BE8E4" w14:textId="7CCADEB5" w:rsidR="00DE64D5" w:rsidRDefault="00E73BD6" w:rsidP="00E73BD6">
      <w:r>
        <w:t>En 2021, la France a fourni plus de 6 milliards d’euros de financements publics pour l’atténuation et l’adaptation aux changements climatiques dans les pays en développement, à travers des sources bilatérales et multilatérales. Ce niveau d’engagements a connu une nette progression par rapport à 2017 (+36</w:t>
      </w:r>
      <w:r w:rsidR="006518EF">
        <w:t>%</w:t>
      </w:r>
      <w:r>
        <w:t xml:space="preserve"> avec un niveau d’engagement de 4,4 Md€ en 2017) et porte à plus de 26,4 Md€ depuis 2017, principalement à travers l’activité du groupe Agence française de développement</w:t>
      </w:r>
      <w:r>
        <w:rPr>
          <w:rStyle w:val="FootnoteReference"/>
        </w:rPr>
        <w:footnoteReference w:id="2"/>
      </w:r>
      <w:r>
        <w:t xml:space="preserve">. </w:t>
      </w:r>
      <w:r w:rsidR="00DE64D5" w:rsidRPr="00DE64D5">
        <w:t>En l'absence d'une définition universellement acceptée des "ressources financières nouvelles et additionnelles" à l'article 4, paragraphe 3 de la Convention, la France définit les ressources financières nouvelles et additionnelles pour le climat comme les ressources financières pour le climat nouvellement engagées ou décaissées au cours de l'année 2021. Dans son rapport sur le financement climatique, la France ne fournit des informations que sur les ressources nouvellement engagées ou décaissées incluses dans son exercice budgétaire 2021. Cependant, dans l'intérêt de la comparaison entre les différentes parties, nous pouvons également mentionner l'évolution de notre finance climat depuis la signature de l'Accord de Paris, qui est une base de référence partagée par plusieurs des parties. À cet égard, nous avons fourni 6,1 milliards d'euros de financements climatiques nouveaux et additionnels en 2021, ce qui représente une augmentation significative depuis la base de référence de 2015 (pa</w:t>
      </w:r>
      <w:r w:rsidR="006F281F">
        <w:t>r exemple 3 milliards d'euros).</w:t>
      </w:r>
    </w:p>
    <w:p w14:paraId="6C5B8168" w14:textId="77777777" w:rsidR="00DE64D5" w:rsidRDefault="00DE64D5" w:rsidP="00E73BD6"/>
    <w:p w14:paraId="2DA511B8" w14:textId="50E27EDE" w:rsidR="00E73BD6" w:rsidRDefault="00E73BD6" w:rsidP="00E73BD6">
      <w:r>
        <w:t xml:space="preserve">On ne reporte pas l’engagement total des financements multilatéraux mais uniquement la quote-part décaissée en 2020 et 2021. </w:t>
      </w:r>
    </w:p>
    <w:p w14:paraId="12E27EB3" w14:textId="0FBDB404" w:rsidR="00E73BD6" w:rsidRDefault="00E73BD6" w:rsidP="00E73BD6">
      <w:r>
        <w:t>En outre, la France fournit une coopération technologique et soutient le renforcement des capacités des pays en développement à travers de nombreux canaux, qui sont également présentés dans ce rapport.</w:t>
      </w:r>
    </w:p>
    <w:p w14:paraId="7BAFB56C" w14:textId="190B72FF" w:rsidR="00E73BD6" w:rsidRDefault="00E73BD6" w:rsidP="003F57EA">
      <w:pPr>
        <w:pStyle w:val="Titre3Niveau3"/>
      </w:pPr>
      <w:bookmarkStart w:id="76" w:name="_Toc138341956"/>
      <w:r>
        <w:t>L’aide publique au développement/la coopération bilatérale</w:t>
      </w:r>
      <w:bookmarkEnd w:id="76"/>
    </w:p>
    <w:p w14:paraId="79E3F51A" w14:textId="1B733D9E" w:rsidR="00E73BD6" w:rsidRDefault="00E73BD6" w:rsidP="00E73BD6">
      <w:r>
        <w:t>Depuis 2017, le groupe AFD consacre chaque année au moins 50</w:t>
      </w:r>
      <w:r w:rsidR="006518EF">
        <w:t>%</w:t>
      </w:r>
      <w:r>
        <w:t xml:space="preserve"> de ses financements dans les pays en développement à des projets à co-bénéfices climat.</w:t>
      </w:r>
    </w:p>
    <w:p w14:paraId="393EECDE" w14:textId="77777777" w:rsidR="00E73BD6" w:rsidRDefault="00E73BD6" w:rsidP="00E73BD6"/>
    <w:p w14:paraId="3E11D565" w14:textId="2F9A3ED7" w:rsidR="00E73BD6" w:rsidRDefault="00E73BD6" w:rsidP="00E73BD6">
      <w:r>
        <w:t>En 2021, le Groupe AFD a engagé plus de 6 Md€ de financements ayant des co-bénéfices « climat » (contre 4 Md€ en 2017), dont 2 milliards d’euros pour l’adaptation en faveur des pays en développement, confirmant le rehaussement de son ambition afin de contribuer au nouvel objectif de la France.</w:t>
      </w:r>
      <w:r w:rsidR="00260E0B">
        <w:t xml:space="preserve"> </w:t>
      </w:r>
      <w:r>
        <w:t>Les engagements climat du Groupe AFD ont ainsi permis le financement de 330 projets dans les pays en développement sur l’année 2021. En ligne avec sa stratégie climat, l’AFD (hors Proparco) atteint 58</w:t>
      </w:r>
      <w:r w:rsidR="006518EF">
        <w:t>%</w:t>
      </w:r>
      <w:r>
        <w:t xml:space="preserve"> d’octrois ayant un co-bénéfice « climat » en 2021, Proparco atteignant 34</w:t>
      </w:r>
      <w:r w:rsidR="006518EF">
        <w:t>%</w:t>
      </w:r>
      <w:r>
        <w:t>. Les financements climat du Groupe AFD ont significativement augmenté entre 2017 et 2021 (+36</w:t>
      </w:r>
      <w:r w:rsidR="006518EF">
        <w:t>%</w:t>
      </w:r>
      <w:r>
        <w:t xml:space="preserve">). </w:t>
      </w:r>
    </w:p>
    <w:p w14:paraId="4D3447E0" w14:textId="77777777" w:rsidR="00E73BD6" w:rsidRDefault="00E73BD6" w:rsidP="00E73BD6"/>
    <w:p w14:paraId="3A69FCC0" w14:textId="1F70F30A" w:rsidR="00E73BD6" w:rsidRDefault="00E73BD6" w:rsidP="003F57EA">
      <w:pPr>
        <w:pStyle w:val="Titre3Niveau3"/>
      </w:pPr>
      <w:bookmarkStart w:id="77" w:name="_Toc138341957"/>
      <w:r>
        <w:t>L’aide publique au développement/la coopération multilatérale</w:t>
      </w:r>
      <w:bookmarkEnd w:id="77"/>
    </w:p>
    <w:p w14:paraId="0652C060" w14:textId="3B54B783" w:rsidR="00BA2C8F" w:rsidRDefault="00BA2C8F" w:rsidP="00BA2C8F">
      <w:r w:rsidRPr="0027680A">
        <w:t xml:space="preserve">Avec une contribution de 13 Md€ (15,5 milliards de dollars) en 2021, la France se situe au cinquième rang des pays du G7 en termes de contribution d’aide publique au développement rapportée au revenu national brut. Elle considère que le système multilatéral se doit d’être exemplaire et moteur en matière de lutte contre les changements climatiques, avec notamment pour finalité d’appuyer la mise en œuvre des contributions déterminées au niveau national par les pays en développement signataires de l’accord de Paris. A ce titre, la France est l’un des principaux </w:t>
      </w:r>
      <w:r w:rsidRPr="000D15AF">
        <w:t>contributeurs aux institutions financières et fonds multilatéraux dédiés au climat.</w:t>
      </w:r>
    </w:p>
    <w:p w14:paraId="3C10F1EF" w14:textId="77777777" w:rsidR="00BA2C8F" w:rsidRDefault="00BA2C8F" w:rsidP="00BA2C8F"/>
    <w:p w14:paraId="4B288C17" w14:textId="02E3CAF5" w:rsidR="00BA2C8F" w:rsidRDefault="00BA2C8F" w:rsidP="00BA2C8F">
      <w:pPr>
        <w:rPr>
          <w:rFonts w:eastAsiaTheme="minorHAnsi"/>
          <w:b/>
        </w:rPr>
      </w:pPr>
      <w:r>
        <w:rPr>
          <w:rFonts w:eastAsiaTheme="minorHAnsi"/>
        </w:rPr>
        <w:t xml:space="preserve">Une part importante de l’action de la France est dédiée à sa participation aux banques de développement et aux fonds multilatéraux de développement, tels l’Association internationale de développement (AID), guichet </w:t>
      </w:r>
      <w:r>
        <w:rPr>
          <w:rFonts w:eastAsiaTheme="minorHAnsi"/>
        </w:rPr>
        <w:lastRenderedPageBreak/>
        <w:t xml:space="preserve">concessionnel de la Banque </w:t>
      </w:r>
      <w:r w:rsidRPr="0027680A">
        <w:rPr>
          <w:rFonts w:eastAsiaTheme="minorHAnsi"/>
        </w:rPr>
        <w:t xml:space="preserve">mondiale, le Fonds africain de développement (FAD), le guichet concessionnel de la Banque africaine de développement et le fonds international de développement agricole (FIDA). Ces banques et fonds consacrent une partie de leurs ressources à la lutte contre les effets du changement climatique. La France comptabilise la part « climat » imputable à sa contribution dans ces fonds concessionnels. </w:t>
      </w:r>
      <w:r w:rsidRPr="0027680A">
        <w:rPr>
          <w:rFonts w:eastAsiaTheme="minorHAnsi"/>
          <w:b/>
        </w:rPr>
        <w:t>En 2018, la part « climat » des décaissements réalisés dans ces institutions est estimée représenter 372 M€.</w:t>
      </w:r>
    </w:p>
    <w:p w14:paraId="04AAB304" w14:textId="7DF7DA6A" w:rsidR="002F1518" w:rsidRPr="0027680A" w:rsidRDefault="002F1518" w:rsidP="002F1518">
      <w:pPr>
        <w:spacing w:before="240" w:after="240"/>
      </w:pPr>
      <w:r w:rsidRPr="00674248">
        <w:t>Le Fonds vert pour le climat, décidé à la conférence climat de Copenhague en 2009, a vocation à devenir le principal fonds multilatéral consacré au financement de l’atténuation et l’adaptation des pays en développement vers des économies sobres en carbone et résilientes. Sa capitalisation initiale est de 10,3 Mds USD. Il vise une répartition équilibrée entre atténuation et adaptation e</w:t>
      </w:r>
      <w:r>
        <w:t>t une allocation minimale de 50</w:t>
      </w:r>
      <w:r w:rsidRPr="00674248">
        <w:t xml:space="preserve">% de ses ressources consacrées à l’adaptation </w:t>
      </w:r>
      <w:r w:rsidRPr="0027680A">
        <w:t xml:space="preserve">pour les pays les moins avancés, les États africains et les petits États insulaires en développement. </w:t>
      </w:r>
    </w:p>
    <w:p w14:paraId="77EDD578" w14:textId="0C530F2D" w:rsidR="00BA2C8F" w:rsidRDefault="002F1518" w:rsidP="002F1518">
      <w:r w:rsidRPr="002F1518">
        <w:t>La France contribue à hauteur de 1,5 Md€ (1,7 Md$) à la reconstitution du Fonds vert pour le climat sur la période 20</w:t>
      </w:r>
      <w:r w:rsidR="00AE6339">
        <w:t>20</w:t>
      </w:r>
      <w:r w:rsidRPr="002F1518">
        <w:t>-2023</w:t>
      </w:r>
      <w:r w:rsidR="00AE6339">
        <w:rPr>
          <w:rStyle w:val="FootnoteReference"/>
        </w:rPr>
        <w:footnoteReference w:id="3"/>
      </w:r>
      <w:r w:rsidRPr="002F1518">
        <w:t>. Cet engagement fort, qui représente un effort budgétaire important, place la France au rang de troisième contributeur (en élément-don) à la reconstitution derrière le Royaume-Uni et l’Allemagne, et quatrième contributeur historique derrière ces pays et le Japon</w:t>
      </w:r>
      <w:r w:rsidRPr="0027680A">
        <w:t>.</w:t>
      </w:r>
    </w:p>
    <w:p w14:paraId="70511240" w14:textId="77777777" w:rsidR="002F1518" w:rsidRDefault="002F1518" w:rsidP="002F1518"/>
    <w:p w14:paraId="0B13C48F" w14:textId="55331ED4" w:rsidR="002F1518" w:rsidRPr="00BA2C8F" w:rsidRDefault="002F1518" w:rsidP="002F1518">
      <w:r w:rsidRPr="0027680A">
        <w:t xml:space="preserve">Contributrice historique </w:t>
      </w:r>
      <w:r>
        <w:t xml:space="preserve">au Fonds pour l’Environnement Mondial (FEM) </w:t>
      </w:r>
      <w:r w:rsidRPr="0027680A">
        <w:t xml:space="preserve">depuis plus de 30 ans, </w:t>
      </w:r>
      <w:r w:rsidRPr="0027680A">
        <w:rPr>
          <w:bCs/>
        </w:rPr>
        <w:t xml:space="preserve">la France a pris sa part pleine et entière dans </w:t>
      </w:r>
      <w:r>
        <w:rPr>
          <w:bCs/>
        </w:rPr>
        <w:t>l’</w:t>
      </w:r>
      <w:r w:rsidRPr="0027680A">
        <w:rPr>
          <w:bCs/>
        </w:rPr>
        <w:t xml:space="preserve">effort </w:t>
      </w:r>
      <w:r w:rsidRPr="0027680A">
        <w:t>de la communauté internationale</w:t>
      </w:r>
      <w:r>
        <w:t xml:space="preserve"> pour augmenter les ressources mobilisées</w:t>
      </w:r>
      <w:r w:rsidRPr="0027680A">
        <w:t xml:space="preserve">, en apportant une </w:t>
      </w:r>
      <w:r w:rsidRPr="0027680A">
        <w:rPr>
          <w:bCs/>
        </w:rPr>
        <w:t>contribution record de 360 millions</w:t>
      </w:r>
      <w:r w:rsidRPr="0027680A">
        <w:t xml:space="preserve"> </w:t>
      </w:r>
      <w:r w:rsidRPr="0027680A">
        <w:rPr>
          <w:bCs/>
        </w:rPr>
        <w:t>de dollars</w:t>
      </w:r>
      <w:r w:rsidRPr="0027680A">
        <w:t>, en hausse de près de 40% en euros par rapport à sa contribution à la précédente reconstitution</w:t>
      </w:r>
      <w:r>
        <w:t>.</w:t>
      </w:r>
      <w:r w:rsidRPr="002F1518">
        <w:t xml:space="preserve"> </w:t>
      </w:r>
      <w:r w:rsidRPr="0027680A">
        <w:t xml:space="preserve">Le fonds pour les pays les moins avancés (Least Developed Countries Fund – LDCF) est dédié à l’adaptation et aux transferts de technologies dans les pays en développement, hébergés et gérés par le FEM. La France y a apporté 15 M€ en dons en 2016, </w:t>
      </w:r>
      <w:r w:rsidRPr="0027680A">
        <w:rPr>
          <w:b/>
        </w:rPr>
        <w:t xml:space="preserve">10 M€ en 2017 </w:t>
      </w:r>
      <w:r w:rsidR="00297AAA" w:rsidRPr="0027680A">
        <w:rPr>
          <w:b/>
        </w:rPr>
        <w:t>7,5 M€ en 2018</w:t>
      </w:r>
      <w:r w:rsidR="00297AAA">
        <w:rPr>
          <w:b/>
        </w:rPr>
        <w:t xml:space="preserve"> et 20 M€ en 2021 (annoncé à la COP26)</w:t>
      </w:r>
      <w:r w:rsidR="00297AAA" w:rsidRPr="0027680A">
        <w:rPr>
          <w:b/>
        </w:rPr>
        <w:t>. La France a contribué à hauteur de 15</w:t>
      </w:r>
      <w:r w:rsidR="00297AAA" w:rsidRPr="0027680A">
        <w:rPr>
          <w:rFonts w:ascii="Calibri" w:hAnsi="Calibri" w:cs="Calibri"/>
          <w:b/>
        </w:rPr>
        <w:t> </w:t>
      </w:r>
      <w:r w:rsidR="00297AAA" w:rsidRPr="0027680A">
        <w:rPr>
          <w:b/>
        </w:rPr>
        <w:t>M</w:t>
      </w:r>
      <w:r w:rsidR="00297AAA" w:rsidRPr="0027680A">
        <w:rPr>
          <w:rFonts w:cs="Marianne"/>
          <w:b/>
        </w:rPr>
        <w:t>€</w:t>
      </w:r>
      <w:r w:rsidR="00297AAA" w:rsidRPr="0027680A">
        <w:rPr>
          <w:b/>
        </w:rPr>
        <w:t xml:space="preserve"> au fonds d</w:t>
      </w:r>
      <w:r w:rsidR="00297AAA" w:rsidRPr="0027680A">
        <w:rPr>
          <w:rFonts w:cs="Marianne"/>
          <w:b/>
        </w:rPr>
        <w:t>’</w:t>
      </w:r>
      <w:r w:rsidR="00297AAA" w:rsidRPr="0027680A">
        <w:rPr>
          <w:b/>
        </w:rPr>
        <w:t xml:space="preserve">adaptation en 2018 </w:t>
      </w:r>
      <w:r w:rsidR="00297AAA" w:rsidRPr="0027680A">
        <w:t>(annoncé lors de la COP24</w:t>
      </w:r>
      <w:r w:rsidR="00297AAA">
        <w:t xml:space="preserve">) </w:t>
      </w:r>
      <w:r w:rsidR="00297AAA" w:rsidRPr="00917D51">
        <w:rPr>
          <w:b/>
        </w:rPr>
        <w:t>et a annoncé à la COP27 une nouvelle contribution au fonds d’adaptation de 10 M€</w:t>
      </w:r>
      <w:r w:rsidR="00297AAA">
        <w:t>.</w:t>
      </w:r>
    </w:p>
    <w:p w14:paraId="03F8CA23" w14:textId="6B262456" w:rsidR="00E73BD6" w:rsidRDefault="00E73BD6" w:rsidP="003F57EA">
      <w:pPr>
        <w:pStyle w:val="Titre3Niveau3"/>
      </w:pPr>
      <w:bookmarkStart w:id="78" w:name="_Toc138341958"/>
      <w:r>
        <w:t>La coopération technologique</w:t>
      </w:r>
      <w:bookmarkEnd w:id="78"/>
    </w:p>
    <w:p w14:paraId="774ACBC3" w14:textId="77777777" w:rsidR="00300845" w:rsidRDefault="00300845" w:rsidP="00E73BD6">
      <w:r>
        <w:t>Depuis la 7</w:t>
      </w:r>
      <w:r w:rsidRPr="00300845">
        <w:rPr>
          <w:vertAlign w:val="superscript"/>
        </w:rPr>
        <w:t>e</w:t>
      </w:r>
      <w:r>
        <w:t xml:space="preserve"> communication nationale il y a une prise de conscience plus générale de la nécessité de renforcer l’adaptation au changement climatique tout en poursuivant les efforts d’atténuation.</w:t>
      </w:r>
    </w:p>
    <w:p w14:paraId="04421F03" w14:textId="77777777" w:rsidR="00300845" w:rsidRDefault="00300845" w:rsidP="00E73BD6"/>
    <w:p w14:paraId="031975A1" w14:textId="3A29E48E" w:rsidR="00300845" w:rsidRDefault="00300845" w:rsidP="00300845">
      <w:r>
        <w:t>Dans la continuité de ses travaux nationaux sur l’adaptation au changement climatique, l’ADEME a lancé en 2022 un appel à projets visant le renforcement de cet enjeu dans les initiatives multilatérales de l’Agenda de l’Action.</w:t>
      </w:r>
      <w:r w:rsidR="003936EA">
        <w:t xml:space="preserve"> </w:t>
      </w:r>
      <w:r>
        <w:t>L’ADEME a contribué au déploiement international des technologies climatiques françaises dans le cadre de plusieurs programmes et partenariats.</w:t>
      </w:r>
      <w:r w:rsidR="003936EA">
        <w:t xml:space="preserve"> </w:t>
      </w:r>
      <w:r>
        <w:t>A la demande du ministère de l’Écologie, suite de la COP 21, l’ADEME a géré un programme d’accompagnement des coalitions de l’Agenda de l’Action Climat. Ce programme concernait principalement l’Alliance mondiale pour les bâtiments et la construction (GlobalABC) et la Mission Innovation et comprenait un axe transversal « Femmes et climat ». Les activités soutenues par ce programme comprenaient des dimensions techniques et de développement de compétences</w:t>
      </w:r>
    </w:p>
    <w:p w14:paraId="05C027D0" w14:textId="77777777" w:rsidR="00300845" w:rsidRDefault="00300845" w:rsidP="00300845"/>
    <w:p w14:paraId="099F6FCE" w14:textId="2DAC9559" w:rsidR="00300845" w:rsidRDefault="00300845" w:rsidP="00300845">
      <w:r>
        <w:t>Au niveau national l’ADEME a accompagné le développement et déploiement de nouvelles technologies climatiques, grâce à sa dotation budgétaire annuelle, le Programme d’Investissements d’Avenir, et plus récemment le Plan de relance économique de la France (2020-2022).</w:t>
      </w:r>
    </w:p>
    <w:p w14:paraId="4490E6BD" w14:textId="77777777" w:rsidR="00300845" w:rsidRDefault="00300845" w:rsidP="00300845"/>
    <w:p w14:paraId="05F0B446" w14:textId="1B53A050" w:rsidR="00300845" w:rsidRDefault="00CE2485" w:rsidP="00300845">
      <w:r w:rsidRPr="00AB325E">
        <w:t xml:space="preserve">Le </w:t>
      </w:r>
      <w:r>
        <w:t>Citepa</w:t>
      </w:r>
      <w:r w:rsidRPr="00AB325E">
        <w:t>, opérateur de la DGEC en ce qui concerne les inventaires d’émissions nationaux ainsi que le renforcement des capacités des pays tiers</w:t>
      </w:r>
      <w:r>
        <w:t xml:space="preserve"> (une ligne </w:t>
      </w:r>
      <w:r w:rsidRPr="66A364D6">
        <w:t>du programme d’activité</w:t>
      </w:r>
      <w:r>
        <w:t xml:space="preserve"> s’y réfère), </w:t>
      </w:r>
      <w:r w:rsidRPr="00AB325E">
        <w:t xml:space="preserve">est impliqué au niveau </w:t>
      </w:r>
      <w:r w:rsidRPr="00AB325E">
        <w:lastRenderedPageBreak/>
        <w:t xml:space="preserve">international </w:t>
      </w:r>
      <w:r>
        <w:t xml:space="preserve">par </w:t>
      </w:r>
      <w:r w:rsidRPr="66A364D6">
        <w:t xml:space="preserve">des actions de renforcements des capacités sur </w:t>
      </w:r>
      <w:r w:rsidRPr="00AB325E">
        <w:t>le thème du changement climatique et de la pollution atmosphérique, que ce soit via des jumelages, IA</w:t>
      </w:r>
      <w:r w:rsidR="00C71719">
        <w:t>P (</w:t>
      </w:r>
      <w:r w:rsidR="00C71719" w:rsidRPr="00C71719">
        <w:t>Instrument d'aide de préadhésion</w:t>
      </w:r>
      <w:r w:rsidR="00C71719">
        <w:t>)</w:t>
      </w:r>
      <w:r w:rsidRPr="00AB325E">
        <w:t xml:space="preserve"> ou des appels d’offres</w:t>
      </w:r>
      <w:r w:rsidR="00B44F4E">
        <w:t xml:space="preserve"> (AO)</w:t>
      </w:r>
      <w:r w:rsidRPr="00AB325E">
        <w:t xml:space="preserve"> de bailleurs de fond internationaux, ou dans une moindre mesure, via une ligne de </w:t>
      </w:r>
      <w:r w:rsidRPr="66A364D6">
        <w:t xml:space="preserve">son programme avec </w:t>
      </w:r>
      <w:r w:rsidRPr="00AB325E">
        <w:t>la DGEC (40</w:t>
      </w:r>
      <w:r>
        <w:t> </w:t>
      </w:r>
      <w:r w:rsidRPr="00AB325E">
        <w:t>k€/an environ)</w:t>
      </w:r>
      <w:r w:rsidRPr="66A364D6">
        <w:t>,</w:t>
      </w:r>
      <w:r w:rsidRPr="00AB325E">
        <w:t xml:space="preserve"> potentiellement dans tous les pays émergents et en développements (chaque année dans une vingtaine de pays au gré des AO). Les collaborations sont la plupart du temps bilatérales via les AO des agences techniques AFD/GIZ/Agence Européenne de l’Environnement, ainsi qu’onusiennes (PNUD) ou encore des banques de développement (AFD/BM /ADB, etc.).</w:t>
      </w:r>
    </w:p>
    <w:p w14:paraId="28412450" w14:textId="134C0601" w:rsidR="00CE2485" w:rsidRDefault="00CE2485" w:rsidP="003F57EA">
      <w:pPr>
        <w:pStyle w:val="Titre3Niveau3"/>
      </w:pPr>
      <w:bookmarkStart w:id="79" w:name="_Toc138341959"/>
      <w:r>
        <w:t>Renforcement des capacités</w:t>
      </w:r>
      <w:bookmarkEnd w:id="79"/>
    </w:p>
    <w:p w14:paraId="06AE92EE" w14:textId="080FFA74" w:rsidR="00CE2485" w:rsidRDefault="00CE2485" w:rsidP="00CE2485">
      <w:r>
        <w:t>Depuis 2017, le programme Adapt</w:t>
      </w:r>
      <w:r w:rsidR="00B44F4E">
        <w:t>’</w:t>
      </w:r>
      <w:r>
        <w:t xml:space="preserve">Action du groupe AFD soutient des pays vulnérables </w:t>
      </w:r>
      <w:r w:rsidRPr="004B5F64">
        <w:t>dans la mise en œuvre de</w:t>
      </w:r>
      <w:r>
        <w:t xml:space="preserve"> leurs stratégies d’adaptation, par </w:t>
      </w:r>
      <w:r w:rsidRPr="004B5F64">
        <w:t>une assistance technique et des activités de renforcement de capacités pour consolider leur gouvernance climat, mieux intégrer l’adaptation au changement climatique dans leurs politiques publiques et faire émerger des projets d’adaptation structurants</w:t>
      </w:r>
      <w:r>
        <w:t>.</w:t>
      </w:r>
    </w:p>
    <w:p w14:paraId="3896D530" w14:textId="660C9EED" w:rsidR="00CE2485" w:rsidRDefault="00CE2485" w:rsidP="00CE2485"/>
    <w:p w14:paraId="3862E6A4" w14:textId="49E90551" w:rsidR="00CE2485" w:rsidRDefault="00CE2485" w:rsidP="003F50E9">
      <w:r w:rsidRPr="00733934">
        <w:t>La France participe depuis 2014, techniquement et financièrement, aux activités du « Cluster francophone » en cofinançant avec la Belgique, la Suisse et l’Allemagne des ateliers de renforcement de capacité à l’intention des pays en développement francophones. Le Cluster francophone est une initiative du Partenariat pour la transparence dans l’Accord de Paris.</w:t>
      </w:r>
      <w:r>
        <w:t xml:space="preserve"> </w:t>
      </w:r>
      <w:r w:rsidRPr="00733934">
        <w:t>Il a pour but de permettre des échanges d'informations, d’expertises et d’expériences entre partenaires francophones, pays en voie de développement et pays développés, concernant les inventaires de GES, le développement de mesures d’atténuation, le processus MRV et la formulation des contributions déterminées au niveau national (CDN ou NDC en anglais pour Nationally Determined Contribution).</w:t>
      </w:r>
      <w:r>
        <w:t xml:space="preserve"> </w:t>
      </w:r>
    </w:p>
    <w:p w14:paraId="0B7DC0A2" w14:textId="683CFE4D" w:rsidR="00CE2485" w:rsidRDefault="00CE2485" w:rsidP="003F50E9"/>
    <w:p w14:paraId="0D39D64C" w14:textId="1524920C" w:rsidR="00CE2485" w:rsidRPr="00CE2485" w:rsidRDefault="00CE2485" w:rsidP="00CE2485">
      <w:r>
        <w:t>Au niveau national l’ADEME accompagne le renforcement de capacité des collectivités territoriales sur le changement climatique. Cette expertise a été partagé</w:t>
      </w:r>
      <w:r w:rsidR="00917D51">
        <w:t>e</w:t>
      </w:r>
      <w:r>
        <w:t xml:space="preserve"> au niveau international dans des programmes de renforcement de capacité des collectivités de l’Afrique subsaharienne. En partenariat avec la Commission européenne l’ADEME a contribué aux travaux de la Convention des Maires pour l’Afrique subsaharienne (Com SSA)</w:t>
      </w:r>
    </w:p>
    <w:p w14:paraId="63CCD370" w14:textId="3D8693BB" w:rsidR="002E55B5" w:rsidRPr="00897D64" w:rsidRDefault="00501FA3" w:rsidP="00755E47">
      <w:pPr>
        <w:pStyle w:val="Titre2Niveau2"/>
      </w:pPr>
      <w:bookmarkStart w:id="80" w:name="_Toc118381497"/>
      <w:bookmarkStart w:id="81" w:name="_Toc138341960"/>
      <w:r w:rsidRPr="00897D64">
        <w:t>Recherche et observation</w:t>
      </w:r>
      <w:bookmarkStart w:id="82" w:name="_Toc118381498"/>
      <w:bookmarkEnd w:id="80"/>
      <w:bookmarkEnd w:id="81"/>
    </w:p>
    <w:p w14:paraId="6EDE4D5D" w14:textId="2723A287" w:rsidR="00DC331B" w:rsidRPr="00DC331B" w:rsidRDefault="00DC331B" w:rsidP="003F57EA">
      <w:pPr>
        <w:pStyle w:val="Titre3Niveau3"/>
      </w:pPr>
      <w:bookmarkStart w:id="83" w:name="_Toc138341961"/>
      <w:r>
        <w:t>La recherche</w:t>
      </w:r>
      <w:bookmarkEnd w:id="83"/>
    </w:p>
    <w:p w14:paraId="3FAF6BBF" w14:textId="55986E4D" w:rsidR="00CE2485" w:rsidRPr="00190282" w:rsidRDefault="000E2F47" w:rsidP="003F50E9">
      <w:r w:rsidRPr="00190282">
        <w:t>Face aux enjeux du changement climatique, la recherche française place ses priorités en cohérence avec les grands programmes européens et internationaux. En témoignent la participation française aux instances internationales comme le GIEC (Groupe intergouvernemental sur l’évolution du climat), le programme Future Earth (dont la France coordonne le secrétariat avec 4 autres pays</w:t>
      </w:r>
      <w:r w:rsidRPr="003936EA">
        <w:rPr>
          <w:vertAlign w:val="superscript"/>
        </w:rPr>
        <w:footnoteReference w:id="4"/>
      </w:r>
      <w:r w:rsidRPr="00190282">
        <w:t>), le consortium de financeurs Belmont Forum. Sa participation active aux initiatives de programmation conjointe européennes (JPI du programme Horizon-Europe), aux articles-185 (le programme PRIMA) ainsi que l’alignement de sa stratégie de recherche en cohérence avec les défis de la stratégie européenne de recherche du programme horizon Europe démontrent cette cohérence. A l’échelle nationale, la France mobilise des moyens pour l’étud</w:t>
      </w:r>
      <w:r w:rsidR="00896093">
        <w:t>e</w:t>
      </w:r>
      <w:r w:rsidRPr="00190282">
        <w:t xml:space="preserve"> du changement climatique notamment autour de grands chantiers de recherche.</w:t>
      </w:r>
    </w:p>
    <w:p w14:paraId="3D076BD3" w14:textId="788BD4E4" w:rsidR="000E2F47" w:rsidRPr="00190282" w:rsidRDefault="000E2F47" w:rsidP="003F50E9"/>
    <w:p w14:paraId="27733554" w14:textId="5504E7C0" w:rsidR="000E2F47" w:rsidRDefault="000E2F47" w:rsidP="003F50E9">
      <w:r>
        <w:lastRenderedPageBreak/>
        <w:t>A l’échelle européenne, le ministère soutient pleinement les dix Initiatives de Programmation Conjointes</w:t>
      </w:r>
      <w:r w:rsidR="003F50E9">
        <w:t xml:space="preserve"> </w:t>
      </w:r>
      <w:r>
        <w:t>(IPC ou Joint programming Initiative (JPI)). Chaque IPC développe des activités communes dans le but</w:t>
      </w:r>
      <w:r w:rsidR="003F50E9">
        <w:t xml:space="preserve"> </w:t>
      </w:r>
      <w:r>
        <w:t>de coordonner la recherche européenne.</w:t>
      </w:r>
    </w:p>
    <w:p w14:paraId="658EFC98" w14:textId="6DC5616F" w:rsidR="000E2F47" w:rsidRDefault="000E2F47" w:rsidP="003F50E9"/>
    <w:p w14:paraId="4837D6C2" w14:textId="1F1F5489" w:rsidR="000E2F47" w:rsidRDefault="000E2F47" w:rsidP="003F50E9">
      <w:pPr>
        <w:rPr>
          <w:color w:val="000000"/>
          <w:szCs w:val="22"/>
        </w:rPr>
      </w:pPr>
      <w:r>
        <w:rPr>
          <w:color w:val="000000"/>
          <w:szCs w:val="22"/>
        </w:rPr>
        <w:t>La recherche publique française conduite sur le climat au sens large est réalisée dans des établissements d’enseignement supérieur représentés dans l’alliance AllEnvi par la conférence des présidents d’université (CPU qui rassemble les dirigeants des Universités, des Instituts nationaux Polytechniques, des Écoles normales supérieures et des grands établissements) e</w:t>
      </w:r>
      <w:r w:rsidR="006518EF">
        <w:rPr>
          <w:color w:val="000000"/>
          <w:szCs w:val="22"/>
        </w:rPr>
        <w:tab/>
      </w:r>
      <w:r>
        <w:rPr>
          <w:color w:val="000000"/>
          <w:szCs w:val="22"/>
        </w:rPr>
        <w:t>t dans douze organismes de recherche qui consacrent une part variable de leurs activités à ce domaine.</w:t>
      </w:r>
    </w:p>
    <w:p w14:paraId="4358604E" w14:textId="77777777" w:rsidR="003F50E9" w:rsidRDefault="003F50E9" w:rsidP="003F50E9">
      <w:pPr>
        <w:rPr>
          <w:color w:val="000000"/>
          <w:szCs w:val="22"/>
        </w:rPr>
      </w:pPr>
    </w:p>
    <w:p w14:paraId="237643D1" w14:textId="30B254CC" w:rsidR="000E2F47" w:rsidRDefault="000E2F47" w:rsidP="003F50E9">
      <w:pPr>
        <w:rPr>
          <w:color w:val="000000"/>
          <w:szCs w:val="22"/>
        </w:rPr>
      </w:pPr>
      <w:r>
        <w:rPr>
          <w:color w:val="000000"/>
          <w:szCs w:val="22"/>
        </w:rPr>
        <w:t xml:space="preserve">Plusieurs centres de modélisation du climat existent en France qui ont conduit au développement de deux grands modèles climatiques, l'un développé par l'Institut Pierre-Simon-Laplace (IPSL) et l’autre par Météo-France. Ces modèles sont développés en partenariat avec de nombreuses unités de recherche en </w:t>
      </w:r>
      <w:r w:rsidR="003F50E9">
        <w:rPr>
          <w:color w:val="000000"/>
          <w:szCs w:val="22"/>
        </w:rPr>
        <w:t>France.</w:t>
      </w:r>
    </w:p>
    <w:p w14:paraId="446BDA25" w14:textId="77777777" w:rsidR="003F50E9" w:rsidRDefault="003F50E9" w:rsidP="003F50E9"/>
    <w:p w14:paraId="530F699D" w14:textId="75B77C90" w:rsidR="000E2F47" w:rsidRDefault="000E2F47" w:rsidP="003F50E9">
      <w:pPr>
        <w:rPr>
          <w:color w:val="000000"/>
        </w:rPr>
      </w:pPr>
      <w:r>
        <w:rPr>
          <w:color w:val="000000"/>
        </w:rPr>
        <w:t>Deux organismes nationaux de recherche (IRD, Cirad), sous la double tutelle du ministère de chargé de la recherche et du ministère chargé des affaires étrangères, mènent des activités de recherche et de développement avec et pour les pays du Sud.</w:t>
      </w:r>
    </w:p>
    <w:p w14:paraId="1B32A563" w14:textId="4648C042" w:rsidR="000E2F47" w:rsidRDefault="00DC331B" w:rsidP="003F57EA">
      <w:pPr>
        <w:pStyle w:val="Titre3Niveau3"/>
      </w:pPr>
      <w:bookmarkStart w:id="84" w:name="_Toc123281458"/>
      <w:bookmarkStart w:id="85" w:name="_Toc138341962"/>
      <w:bookmarkEnd w:id="84"/>
      <w:r>
        <w:t>Observation systématique</w:t>
      </w:r>
      <w:bookmarkEnd w:id="85"/>
    </w:p>
    <w:p w14:paraId="45CFD529" w14:textId="77777777" w:rsidR="003F50E9" w:rsidRPr="008E7350" w:rsidRDefault="003F50E9" w:rsidP="003F50E9">
      <w:r>
        <w:t xml:space="preserve">La France participe au Système </w:t>
      </w:r>
      <w:r w:rsidRPr="008E7350">
        <w:t>Mondial d’Observation du Climat (SMOC), un système d'observation composite comprenant quatre domaines d'observation avec des réseaux spécifiques : l'atmosphère, l'océan, les réseaux terrestres (glaciers et flux de carbone), le domaine spatial. Ce programme d’observation du climat se fait sous l’égide de l’Organisation Météorologique Mondiale (OMM), du Conseil International de la Science (ICSU), de la Commission Océanographique Internationale (COI) et du Programme des Nations Unies pour l’Environnement (PNUE). L'objet de la Communication Nationale SMOC est de vérifier que le système français permet la surveillance du climat (résolution spatiale, fréquence temporelle, état de fonctionnement) et respecte des aspects spécifiques liés à la Convention Climat (Rio, 1992) et au Protocole de Kyoto (1997).</w:t>
      </w:r>
    </w:p>
    <w:p w14:paraId="51316C65" w14:textId="77777777" w:rsidR="003F50E9" w:rsidRPr="008E7350" w:rsidRDefault="003F50E9" w:rsidP="003F50E9">
      <w:r w:rsidRPr="008E7350">
        <w:t>Deux types de réseaux de mesures sont à considérer selon les finalités : les réseaux de mesures pour la recherche et les réseaux pour des missions de service public. Les deux types de réseaux ont nécessairement développé des interactions.</w:t>
      </w:r>
    </w:p>
    <w:p w14:paraId="70184B1C" w14:textId="77777777" w:rsidR="003F50E9" w:rsidRPr="008E7350" w:rsidRDefault="003F50E9" w:rsidP="003F50E9">
      <w:r w:rsidRPr="008E7350">
        <w:t xml:space="preserve">En France, la recherche climatique s’appuie sur des services d’observations labellisés par la commission spécialisée Océan Atmosphère (CSOA) et qui sont gérés localement par des Observatoires des Sciences de l’Univers (OSU). Ces services constituent des briques de bases d’infrastructures de recherche nationales inscrites dans une feuille de route nationale (établissement en 2008 et mise à jour en 2012, 2016 et 2021). Depuis une dizaine d’années, la structuration du paysage des infrastructures nationales témoigne d’une démarche de la France de pérenniser les systèmes d’observation existants, nécessaires notamment à la recherche climatique en cohérence avec les infrastructures de recherches européennes ou internationales. </w:t>
      </w:r>
    </w:p>
    <w:p w14:paraId="6F066B01" w14:textId="77777777" w:rsidR="003F50E9" w:rsidRPr="008E7350" w:rsidRDefault="003F50E9" w:rsidP="003F50E9"/>
    <w:p w14:paraId="133267FD" w14:textId="4ECC7ACF" w:rsidR="003F50E9" w:rsidRPr="00CE2485" w:rsidRDefault="003F50E9" w:rsidP="003F50E9">
      <w:r w:rsidRPr="008E7350">
        <w:t>Météo-France, en tant que service météorologique et climatologique national exerçant au nom de l’État la sécurité météorologique des personnes et des biens, a aussi vocation à être à la pointe de la recherche et des dernières avancées scientifiques en matière d’observation, de prévision et de modélisation climat. Il occupe une place centrale dans le dispositif d’observation systématique de par son histoire, ses liens avec l’OMM et</w:t>
      </w:r>
      <w:r>
        <w:t xml:space="preserve"> son implantation territoriale.</w:t>
      </w:r>
    </w:p>
    <w:p w14:paraId="11269049" w14:textId="28EB3E96" w:rsidR="00501FA3" w:rsidRPr="00652F25" w:rsidRDefault="00501FA3" w:rsidP="00E22CF8">
      <w:pPr>
        <w:pStyle w:val="Titre2Niveau2"/>
      </w:pPr>
      <w:bookmarkStart w:id="86" w:name="_Toc138341963"/>
      <w:r w:rsidRPr="00652F25">
        <w:t>Éducation, formation et sensibilisation du public</w:t>
      </w:r>
      <w:bookmarkEnd w:id="82"/>
      <w:bookmarkEnd w:id="86"/>
    </w:p>
    <w:p w14:paraId="70393A1F" w14:textId="77777777" w:rsidR="00DC331B" w:rsidRPr="00324FFD" w:rsidRDefault="00DC331B" w:rsidP="00DC331B">
      <w:r w:rsidRPr="00324FFD">
        <w:t xml:space="preserve">En France, l’éducation aux enjeux du changement climatique </w:t>
      </w:r>
      <w:r>
        <w:t>fait partie de l’éducation au</w:t>
      </w:r>
      <w:r w:rsidRPr="00324FFD">
        <w:t xml:space="preserve"> développement durable</w:t>
      </w:r>
      <w:r>
        <w:t>, dans une approche globale, traitant l’ensemble des sujets environnementaux, ainsi que les dimensions économiques et sociales du développement durable</w:t>
      </w:r>
      <w:r w:rsidRPr="00324FFD">
        <w:t xml:space="preserve">. </w:t>
      </w:r>
    </w:p>
    <w:p w14:paraId="26D022D4" w14:textId="1F4B3142" w:rsidR="006D5177" w:rsidRDefault="006D5177" w:rsidP="00DC331B">
      <w:pPr>
        <w:rPr>
          <w:rFonts w:eastAsiaTheme="majorEastAsia"/>
        </w:rPr>
      </w:pPr>
    </w:p>
    <w:p w14:paraId="3B6C4337" w14:textId="77777777" w:rsidR="00CB7596" w:rsidRDefault="00CB7596" w:rsidP="00CB7596">
      <w:pPr>
        <w:rPr>
          <w:rFonts w:cstheme="minorHAnsi"/>
        </w:rPr>
      </w:pPr>
      <w:r w:rsidRPr="00324FFD">
        <w:rPr>
          <w:rFonts w:cstheme="minorHAnsi"/>
        </w:rPr>
        <w:lastRenderedPageBreak/>
        <w:t xml:space="preserve">L’éducation au développement durable est une éducation transversale qui s’appuie sur les programmes scolaires de toutes les disciplines. Elle repose aussi sur des projets pédagogiques concrets impliquant les élèves. </w:t>
      </w:r>
    </w:p>
    <w:p w14:paraId="22AD6820" w14:textId="07B545B7" w:rsidR="00CB7596" w:rsidRDefault="00CB7596" w:rsidP="00CB7596">
      <w:pPr>
        <w:rPr>
          <w:rFonts w:cstheme="minorHAnsi"/>
          <w:bCs/>
        </w:rPr>
      </w:pPr>
      <w:r>
        <w:rPr>
          <w:rFonts w:cstheme="minorHAnsi"/>
        </w:rPr>
        <w:t>Elle concerne tous les élèves dan</w:t>
      </w:r>
      <w:r w:rsidRPr="00324FFD">
        <w:rPr>
          <w:rFonts w:cstheme="minorHAnsi"/>
        </w:rPr>
        <w:t xml:space="preserve">s l’ensemble des filières </w:t>
      </w:r>
      <w:r>
        <w:rPr>
          <w:rFonts w:cstheme="minorHAnsi"/>
        </w:rPr>
        <w:t xml:space="preserve">relevant de l’Education nationale </w:t>
      </w:r>
      <w:r w:rsidRPr="00324FFD">
        <w:rPr>
          <w:rFonts w:cstheme="minorHAnsi"/>
        </w:rPr>
        <w:t xml:space="preserve">(générale, technologique et professionnelle), tout au long de la scolarité, depuis la maternelle jusqu’à la fin du lycée. L’objectif est de permettre aux jeunes générations d’acquérir des clés de compréhension, des </w:t>
      </w:r>
      <w:r w:rsidRPr="00324FFD">
        <w:rPr>
          <w:rFonts w:cstheme="minorHAnsi"/>
          <w:bCs/>
        </w:rPr>
        <w:t>connaissances et des compétences pour mieux comprendre la complexité du monde contemporain, et mieux agir en faveur du respect d’autrui et de notre environnement</w:t>
      </w:r>
      <w:r>
        <w:rPr>
          <w:rFonts w:cstheme="minorHAnsi"/>
          <w:bCs/>
        </w:rPr>
        <w:t>.</w:t>
      </w:r>
    </w:p>
    <w:p w14:paraId="5040341A" w14:textId="35EADF55" w:rsidR="00CB7596" w:rsidRDefault="00CB7596" w:rsidP="00CB7596">
      <w:pPr>
        <w:rPr>
          <w:rFonts w:cstheme="minorHAnsi"/>
          <w:bCs/>
        </w:rPr>
      </w:pPr>
    </w:p>
    <w:p w14:paraId="11DEBA5E" w14:textId="260D3AE1" w:rsidR="00CB7596" w:rsidRDefault="00CB7596" w:rsidP="00CB7596">
      <w:pPr>
        <w:rPr>
          <w:rFonts w:cs="Calibri"/>
        </w:rPr>
      </w:pPr>
      <w:r>
        <w:rPr>
          <w:rFonts w:cstheme="minorHAnsi"/>
          <w:bCs/>
        </w:rPr>
        <w:t xml:space="preserve">Depuis l’entrée de l’éducation au développement durable dans les missions de l’Ecole en 2013, </w:t>
      </w:r>
      <w:r>
        <w:t>il y a eu des renforcements législatifs en 2019 puis en 2021.</w:t>
      </w:r>
    </w:p>
    <w:p w14:paraId="28A06824" w14:textId="77777777" w:rsidR="00CB7596" w:rsidRPr="00324FFD" w:rsidRDefault="00CB7596" w:rsidP="00CB7596">
      <w:r>
        <w:rPr>
          <w:rFonts w:cs="Calibri"/>
        </w:rPr>
        <w:t>En 2019, la</w:t>
      </w:r>
      <w:r w:rsidRPr="00324FFD">
        <w:rPr>
          <w:rFonts w:cs="Calibri"/>
        </w:rPr>
        <w:t xml:space="preserve"> </w:t>
      </w:r>
      <w:r w:rsidRPr="00324FFD">
        <w:t xml:space="preserve">loi du 26 juillet </w:t>
      </w:r>
      <w:r w:rsidRPr="00324FFD">
        <w:rPr>
          <w:rFonts w:cs="Calibri"/>
        </w:rPr>
        <w:t xml:space="preserve">pour une école de la confiance a </w:t>
      </w:r>
      <w:r>
        <w:rPr>
          <w:rFonts w:cs="Calibri"/>
        </w:rPr>
        <w:t xml:space="preserve">ensuite </w:t>
      </w:r>
      <w:r w:rsidRPr="00324FFD">
        <w:rPr>
          <w:rFonts w:cs="Calibri"/>
        </w:rPr>
        <w:t xml:space="preserve">complété </w:t>
      </w:r>
      <w:r>
        <w:rPr>
          <w:rFonts w:cs="Calibri"/>
        </w:rPr>
        <w:t xml:space="preserve">cet </w:t>
      </w:r>
      <w:r w:rsidRPr="00324FFD">
        <w:rPr>
          <w:rFonts w:cs="Calibri"/>
        </w:rPr>
        <w:t>article</w:t>
      </w:r>
      <w:r w:rsidRPr="00324FFD">
        <w:t xml:space="preserve">. </w:t>
      </w:r>
    </w:p>
    <w:p w14:paraId="2CC7E533" w14:textId="77777777" w:rsidR="00CB7596" w:rsidRPr="001D4435" w:rsidRDefault="00CB7596" w:rsidP="00CB7596">
      <w:pPr>
        <w:rPr>
          <w:rFonts w:cs="Calibri"/>
        </w:rPr>
      </w:pPr>
      <w:r>
        <w:t>En 2021, s</w:t>
      </w:r>
      <w:r w:rsidRPr="00324FFD">
        <w:t xml:space="preserve">ur la base des propositions de la Convention citoyenne pour le climat, la loi Climat et Résilience du 22 août est venue renforcer le socle législatif de l’éducation au développement durable (nouvel article dédié </w:t>
      </w:r>
      <w:hyperlink r:id="rId17" w:history="1">
        <w:r w:rsidRPr="00324FFD">
          <w:rPr>
            <w:rStyle w:val="Hyperlink"/>
            <w:rFonts w:ascii="Calibri" w:hAnsi="Calibri"/>
          </w:rPr>
          <w:t>L. 121-8</w:t>
        </w:r>
      </w:hyperlink>
      <w:r w:rsidRPr="00324FFD">
        <w:t xml:space="preserve"> du code de l’éducation). Elle a aussi </w:t>
      </w:r>
      <w:r w:rsidRPr="00324FFD">
        <w:rPr>
          <w:rFonts w:cs="Calibri"/>
        </w:rPr>
        <w:t xml:space="preserve">élargi les missions des comités d’éducation à la santé et à la citoyenneté, instances partenariales présentes dans les collèges et les lycées, qui </w:t>
      </w:r>
      <w:r>
        <w:rPr>
          <w:rFonts w:cs="Calibri"/>
        </w:rPr>
        <w:t>sont devenues des</w:t>
      </w:r>
      <w:r w:rsidRPr="00324FFD">
        <w:rPr>
          <w:rFonts w:cs="Calibri"/>
        </w:rPr>
        <w:t xml:space="preserve"> CESCE, comités d’éducation à la santé, à la citoyenneté et à </w:t>
      </w:r>
      <w:r w:rsidRPr="001D4435">
        <w:rPr>
          <w:rFonts w:cs="Calibri"/>
        </w:rPr>
        <w:t xml:space="preserve">l’environnement (article </w:t>
      </w:r>
      <w:hyperlink r:id="rId18" w:history="1">
        <w:r w:rsidRPr="001D4435">
          <w:rPr>
            <w:rStyle w:val="Hyperlink"/>
            <w:rFonts w:ascii="Calibri" w:hAnsi="Calibri" w:cs="Calibri"/>
          </w:rPr>
          <w:t>L. 421-8</w:t>
        </w:r>
      </w:hyperlink>
      <w:r w:rsidRPr="001D4435">
        <w:rPr>
          <w:rFonts w:cs="Calibri"/>
        </w:rPr>
        <w:t xml:space="preserve"> du code de l’éducation).</w:t>
      </w:r>
    </w:p>
    <w:p w14:paraId="5CA20124" w14:textId="5D2D5AC5" w:rsidR="00CB7596" w:rsidRDefault="00CB7596" w:rsidP="00CB7596">
      <w:pPr>
        <w:rPr>
          <w:rFonts w:cstheme="minorHAnsi"/>
        </w:rPr>
      </w:pPr>
      <w:r w:rsidRPr="001D4435">
        <w:rPr>
          <w:rFonts w:cstheme="minorHAnsi"/>
        </w:rPr>
        <w:t>La loi Climat et Résilience du 22 août 2021 réaffirme également la responsabilité du ministère de l’Education nationale en matière de contenus, de mise en pratique de ces contenus et de déploiement de l’éducation au développement durable dans l’enseignement scolaire.</w:t>
      </w:r>
    </w:p>
    <w:p w14:paraId="0F071B25" w14:textId="521BFCEF" w:rsidR="00CB7596" w:rsidRDefault="00CB7596" w:rsidP="00CB7596">
      <w:r>
        <w:t xml:space="preserve">Les </w:t>
      </w:r>
      <w:r w:rsidRPr="00324FFD">
        <w:t xml:space="preserve">deux dernières circulaires ministérielles de référence en matière d’éducation au développement durable, datées du </w:t>
      </w:r>
      <w:hyperlink r:id="rId19" w:history="1">
        <w:r w:rsidRPr="00324FFD">
          <w:rPr>
            <w:rStyle w:val="Hyperlink"/>
            <w:rFonts w:ascii="Calibri" w:hAnsi="Calibri"/>
          </w:rPr>
          <w:t>27 août 2019</w:t>
        </w:r>
      </w:hyperlink>
      <w:r w:rsidRPr="00324FFD">
        <w:t xml:space="preserve"> et du </w:t>
      </w:r>
      <w:hyperlink r:id="rId20" w:history="1">
        <w:r w:rsidRPr="00324FFD">
          <w:rPr>
            <w:rStyle w:val="Hyperlink"/>
            <w:rFonts w:ascii="Calibri" w:hAnsi="Calibri"/>
          </w:rPr>
          <w:t>24 septembre 2020</w:t>
        </w:r>
      </w:hyperlink>
      <w:r w:rsidRPr="00324FFD">
        <w:rPr>
          <w:rStyle w:val="Hyperlink"/>
          <w:rFonts w:ascii="Calibri" w:hAnsi="Calibri"/>
        </w:rPr>
        <w:t>,</w:t>
      </w:r>
      <w:r w:rsidRPr="00324FFD">
        <w:t xml:space="preserve"> ont défini les grands principes de l’EDD et invité les lieux d’éducation à être eux-mêmes exemplaires</w:t>
      </w:r>
      <w:r w:rsidR="00904207">
        <w:t xml:space="preserve">. </w:t>
      </w:r>
      <w:r w:rsidRPr="00324FFD">
        <w:rPr>
          <w:rFonts w:eastAsia="Calibri" w:cs="Calibri"/>
        </w:rPr>
        <w:t xml:space="preserve">Suite à une saisine du Conseil supérieur des programmes </w:t>
      </w:r>
      <w:r>
        <w:rPr>
          <w:rFonts w:eastAsia="Calibri" w:cs="Calibri"/>
        </w:rPr>
        <w:t xml:space="preserve">par le ministre </w:t>
      </w:r>
      <w:r w:rsidRPr="00324FFD">
        <w:rPr>
          <w:rFonts w:eastAsia="Calibri" w:cs="Calibri"/>
        </w:rPr>
        <w:t>en 2019, les programmes scolaires ont été enrichis dans le domaine de la biodiversité et du climat, et plus globalement dans le d</w:t>
      </w:r>
      <w:r>
        <w:rPr>
          <w:rFonts w:eastAsia="Calibri" w:cs="Calibri"/>
        </w:rPr>
        <w:t>omaine du développement durable</w:t>
      </w:r>
    </w:p>
    <w:p w14:paraId="1253AD31" w14:textId="77777777" w:rsidR="00904207" w:rsidRDefault="00904207" w:rsidP="00CB7596">
      <w:pPr>
        <w:rPr>
          <w:rFonts w:cstheme="minorHAnsi"/>
          <w:noProof/>
        </w:rPr>
      </w:pPr>
    </w:p>
    <w:p w14:paraId="5948025B" w14:textId="002E01E1" w:rsidR="00CB7596" w:rsidRPr="00324FFD" w:rsidRDefault="00CB7596" w:rsidP="00CB7596">
      <w:pPr>
        <w:rPr>
          <w:rFonts w:cstheme="minorHAnsi"/>
          <w:noProof/>
        </w:rPr>
      </w:pPr>
      <w:r w:rsidRPr="00324FFD">
        <w:rPr>
          <w:rFonts w:cstheme="minorHAnsi"/>
          <w:noProof/>
        </w:rPr>
        <w:t xml:space="preserve">Pour la formation continue, les enjeux liés à l’éducation au développement durable sont intégrés dans le </w:t>
      </w:r>
      <w:r>
        <w:rPr>
          <w:rFonts w:cstheme="minorHAnsi"/>
          <w:noProof/>
        </w:rPr>
        <w:t>p</w:t>
      </w:r>
      <w:r w:rsidRPr="00324FFD">
        <w:rPr>
          <w:rFonts w:cstheme="minorHAnsi"/>
          <w:noProof/>
        </w:rPr>
        <w:t xml:space="preserve">lan national de formation (PNF) </w:t>
      </w:r>
      <w:r>
        <w:rPr>
          <w:rFonts w:cstheme="minorHAnsi"/>
          <w:noProof/>
        </w:rPr>
        <w:t xml:space="preserve">du ministère de l’Education nationale, avec l’organisation du </w:t>
      </w:r>
      <w:r w:rsidRPr="00324FFD">
        <w:rPr>
          <w:rFonts w:cstheme="minorHAnsi"/>
          <w:noProof/>
        </w:rPr>
        <w:t xml:space="preserve">Forum </w:t>
      </w:r>
      <w:r>
        <w:rPr>
          <w:rFonts w:cstheme="minorHAnsi"/>
          <w:noProof/>
        </w:rPr>
        <w:t xml:space="preserve">annuel </w:t>
      </w:r>
      <w:r w:rsidRPr="00324FFD">
        <w:rPr>
          <w:rFonts w:cstheme="minorHAnsi"/>
          <w:noProof/>
        </w:rPr>
        <w:t>des ressources pour l’éducation au développement durable (FOREDD)</w:t>
      </w:r>
      <w:r>
        <w:rPr>
          <w:rFonts w:cstheme="minorHAnsi"/>
          <w:noProof/>
        </w:rPr>
        <w:t>,</w:t>
      </w:r>
      <w:r w:rsidRPr="00324FFD">
        <w:rPr>
          <w:rFonts w:cstheme="minorHAnsi"/>
          <w:noProof/>
        </w:rPr>
        <w:t xml:space="preserve"> qui existe depuis 15 ans. </w:t>
      </w:r>
      <w:r w:rsidRPr="00324FFD">
        <w:t xml:space="preserve">D’autres formations du PNF abordent ces thématiques dans les différentes disciplines, particulièrement en histoire-géographie, en sciences de la vie et de la Terre, en sciences économiques et sociales, mais aussi en sciences du numérique ou en philosophie. </w:t>
      </w:r>
      <w:r w:rsidRPr="00324FFD">
        <w:rPr>
          <w:rFonts w:cstheme="minorHAnsi"/>
          <w:noProof/>
        </w:rPr>
        <w:t xml:space="preserve">Au niveau académique, les </w:t>
      </w:r>
      <w:r>
        <w:rPr>
          <w:rFonts w:cstheme="minorHAnsi"/>
          <w:noProof/>
        </w:rPr>
        <w:t>programmes</w:t>
      </w:r>
      <w:r w:rsidRPr="00324FFD">
        <w:rPr>
          <w:rFonts w:cstheme="minorHAnsi"/>
          <w:noProof/>
        </w:rPr>
        <w:t xml:space="preserve"> académiques de formation comportent des modules dédiés à l’éducation au développement durable, plus particulièrement pour les professeurs d’histoire-géographie et de sciences de la vie et de la Terre.</w:t>
      </w:r>
      <w:r w:rsidR="00260E0B">
        <w:rPr>
          <w:rFonts w:cstheme="minorHAnsi"/>
          <w:noProof/>
        </w:rPr>
        <w:t xml:space="preserve"> </w:t>
      </w:r>
    </w:p>
    <w:p w14:paraId="3A8F5099" w14:textId="4157774A" w:rsidR="00CB7596" w:rsidRDefault="00CB7596" w:rsidP="00CB7596">
      <w:r>
        <w:rPr>
          <w:rFonts w:cstheme="minorHAnsi"/>
        </w:rPr>
        <w:t xml:space="preserve">Depuis deux années consécutives, le ministère renforce le PNF par de nouvelles formations nationales qui s’ajoutent au FOREDD, avec l’objectif </w:t>
      </w:r>
      <w:r w:rsidRPr="00324FFD">
        <w:rPr>
          <w:rFonts w:cstheme="minorHAnsi"/>
        </w:rPr>
        <w:t xml:space="preserve">de former </w:t>
      </w:r>
      <w:r>
        <w:rPr>
          <w:rFonts w:cstheme="minorHAnsi"/>
        </w:rPr>
        <w:t xml:space="preserve">à la fois personnels </w:t>
      </w:r>
      <w:r w:rsidRPr="00324FFD">
        <w:rPr>
          <w:rFonts w:cstheme="minorHAnsi"/>
        </w:rPr>
        <w:t>enseignants</w:t>
      </w:r>
      <w:r>
        <w:rPr>
          <w:rFonts w:cstheme="minorHAnsi"/>
        </w:rPr>
        <w:t xml:space="preserve"> et cadres de direction</w:t>
      </w:r>
      <w:r w:rsidRPr="00324FFD">
        <w:rPr>
          <w:rFonts w:cstheme="minorHAnsi"/>
        </w:rPr>
        <w:t xml:space="preserve"> pour forger une culture commune sur l’éducation au développement durable.</w:t>
      </w:r>
      <w:r>
        <w:rPr>
          <w:rFonts w:cstheme="minorHAnsi"/>
        </w:rPr>
        <w:t xml:space="preserve"> </w:t>
      </w:r>
      <w:r w:rsidRPr="00073236">
        <w:t xml:space="preserve">Les enjeux climatiques sont </w:t>
      </w:r>
      <w:r>
        <w:t>intégrés dans c</w:t>
      </w:r>
      <w:r w:rsidRPr="00073236">
        <w:t>es formation</w:t>
      </w:r>
      <w:r w:rsidR="00306681">
        <w:t>s</w:t>
      </w:r>
      <w:r w:rsidR="00904207">
        <w:t>.</w:t>
      </w:r>
    </w:p>
    <w:p w14:paraId="028E806B" w14:textId="77777777" w:rsidR="00904207" w:rsidRPr="001D4435" w:rsidRDefault="00904207" w:rsidP="00904207">
      <w:r w:rsidRPr="001D4435">
        <w:t xml:space="preserve">La circulaire de rentrée 2022 place la transition écologique parmi les priorités ministérielles. </w:t>
      </w:r>
    </w:p>
    <w:p w14:paraId="2FE13FF2" w14:textId="77777777" w:rsidR="00904207" w:rsidRPr="001D4435" w:rsidRDefault="00904207" w:rsidP="00904207">
      <w:r w:rsidRPr="001D4435">
        <w:t xml:space="preserve">Les </w:t>
      </w:r>
      <w:r w:rsidRPr="001D4435">
        <w:rPr>
          <w:color w:val="000000"/>
        </w:rPr>
        <w:t xml:space="preserve">écoles, collèges et lycées sont invités à poursuivre leur action. Ceci implique la pérennisation de projets pédagogiques déjà nombreux, portés notamment par les éco-délégués, mais aussi que les écoles et établissements placent la transition écologique et énergétique au cœur de leur projet, notamment au travers de la labellisation E3D. </w:t>
      </w:r>
    </w:p>
    <w:p w14:paraId="17873F0C" w14:textId="48E8AD74" w:rsidR="00904207" w:rsidRPr="00904207" w:rsidRDefault="00904207" w:rsidP="00CB7596">
      <w:r w:rsidRPr="001D4435">
        <w:t>U</w:t>
      </w:r>
      <w:r w:rsidRPr="001D4435">
        <w:rPr>
          <w:color w:val="000000"/>
        </w:rPr>
        <w:t>n guide pour la transition écologique des écoles et établissements scolaires sera publié début 2023</w:t>
      </w:r>
      <w:r>
        <w:t xml:space="preserve">. </w:t>
      </w:r>
    </w:p>
    <w:p w14:paraId="6E71F465" w14:textId="77777777" w:rsidR="00CB7596" w:rsidRDefault="00CB7596" w:rsidP="00CB7596">
      <w:pPr>
        <w:rPr>
          <w:rFonts w:cstheme="minorHAnsi"/>
        </w:rPr>
      </w:pPr>
    </w:p>
    <w:p w14:paraId="0CFE8A48" w14:textId="77777777" w:rsidR="00CB7596" w:rsidRDefault="00CB7596" w:rsidP="00CB7596">
      <w:pPr>
        <w:rPr>
          <w:rFonts w:eastAsiaTheme="majorEastAsia"/>
        </w:rPr>
      </w:pPr>
    </w:p>
    <w:p w14:paraId="705AEB56" w14:textId="5A086F05" w:rsidR="00DC331B" w:rsidRDefault="00DC331B">
      <w:pPr>
        <w:spacing w:line="240" w:lineRule="atLeast"/>
        <w:jc w:val="left"/>
        <w:rPr>
          <w:rFonts w:eastAsiaTheme="majorEastAsia" w:cstheme="majorBidi"/>
          <w:bCs/>
          <w:spacing w:val="-10"/>
          <w:kern w:val="28"/>
          <w:sz w:val="48"/>
          <w:szCs w:val="56"/>
        </w:rPr>
      </w:pPr>
      <w:bookmarkStart w:id="87" w:name="ChapitreII"/>
    </w:p>
    <w:p w14:paraId="44A14964" w14:textId="533C81A6" w:rsidR="00CB7596" w:rsidRDefault="00CB7596">
      <w:pPr>
        <w:spacing w:line="240" w:lineRule="atLeast"/>
        <w:jc w:val="left"/>
        <w:rPr>
          <w:rFonts w:eastAsiaTheme="majorEastAsia" w:cstheme="majorBidi"/>
          <w:bCs/>
          <w:spacing w:val="-10"/>
          <w:kern w:val="28"/>
          <w:sz w:val="48"/>
          <w:szCs w:val="56"/>
        </w:rPr>
      </w:pPr>
      <w:r>
        <w:br w:type="page"/>
      </w:r>
    </w:p>
    <w:p w14:paraId="5C144C7D" w14:textId="2B67B541" w:rsidR="0051771F" w:rsidRDefault="0051771F" w:rsidP="0062059A">
      <w:pPr>
        <w:pStyle w:val="Titre1Niveau1"/>
        <w:ind w:left="0" w:right="27"/>
      </w:pPr>
      <w:bookmarkStart w:id="88" w:name="_Toc138341964"/>
      <w:r w:rsidRPr="005D5AA6">
        <w:lastRenderedPageBreak/>
        <w:t>Chapitre I</w:t>
      </w:r>
      <w:r>
        <w:t>I</w:t>
      </w:r>
      <w:r w:rsidR="00C654BE">
        <w:t xml:space="preserve"> – </w:t>
      </w:r>
      <w:r>
        <w:t>Circonstances</w:t>
      </w:r>
      <w:r w:rsidR="00C654BE">
        <w:t xml:space="preserve"> </w:t>
      </w:r>
      <w:r>
        <w:t>nationales</w:t>
      </w:r>
      <w:r w:rsidR="00E71B30">
        <w:t xml:space="preserve"> </w:t>
      </w:r>
      <w:r w:rsidR="00E71B30" w:rsidRPr="00E71B30">
        <w:t>relatives aux émissions et aux suppressions de gaz à effet de serre</w:t>
      </w:r>
      <w:bookmarkEnd w:id="87"/>
      <w:bookmarkEnd w:id="88"/>
    </w:p>
    <w:p w14:paraId="292E769E" w14:textId="77777777" w:rsidR="00501FA3" w:rsidRDefault="00501FA3" w:rsidP="003F57EA">
      <w:pPr>
        <w:pStyle w:val="Titre2Niveau2"/>
        <w:numPr>
          <w:ilvl w:val="0"/>
          <w:numId w:val="95"/>
        </w:numPr>
      </w:pPr>
      <w:bookmarkStart w:id="89" w:name="_Toc120567475"/>
      <w:bookmarkStart w:id="90" w:name="_Toc138341965"/>
      <w:bookmarkStart w:id="91" w:name="_Toc118276991"/>
      <w:r>
        <w:t>Institutions</w:t>
      </w:r>
      <w:bookmarkEnd w:id="89"/>
      <w:bookmarkEnd w:id="90"/>
    </w:p>
    <w:p w14:paraId="7689446A" w14:textId="77777777" w:rsidR="00501FA3" w:rsidRDefault="00501FA3" w:rsidP="00501FA3">
      <w:r>
        <w:t>La France est une république constitutionnelle, « indivisible, laïque, démocratique et sociale » (article Ier de la Constitution du 4 octobre 1958) à régime parlementaire.</w:t>
      </w:r>
    </w:p>
    <w:p w14:paraId="0B129F7B" w14:textId="77777777" w:rsidR="00501FA3" w:rsidRDefault="00501FA3" w:rsidP="00501FA3"/>
    <w:p w14:paraId="647CE6A8" w14:textId="77777777" w:rsidR="00501FA3" w:rsidRDefault="00501FA3" w:rsidP="00501FA3">
      <w:r>
        <w:t>Le Président de la République est élu pour 5 ans au suffrage universel direct. Il nomme le Premier ministre et, sur proposition de celui-ci, les membres du gouvernement. Le Président de la République préside le Conseil des ministres et promulgue les lois. Il est le chef des armées. Le Premier ministre dirige l'action du gouvernement qui détermine et conduit la politique de la Nation. Il est responsable devant les deux chambres du Parlement : l'Assemblée nationale, dont les 577 députés sont élus au suffrage universel direct pour 5 ans, et le Sénat, qui compte 348 sénateurs élus au suffrage universel indirect pour 6 ans.</w:t>
      </w:r>
    </w:p>
    <w:p w14:paraId="26A9A4FB" w14:textId="77777777" w:rsidR="00501FA3" w:rsidRDefault="00501FA3" w:rsidP="00501FA3"/>
    <w:p w14:paraId="552B04E1" w14:textId="16C66F3C" w:rsidR="00501FA3" w:rsidRDefault="00501FA3" w:rsidP="00501FA3">
      <w:r w:rsidRPr="009F4180">
        <w:t xml:space="preserve">La révision constitutionnelle </w:t>
      </w:r>
      <w:r w:rsidR="00133BB6">
        <w:t xml:space="preserve">qui </w:t>
      </w:r>
      <w:r w:rsidRPr="009F4180">
        <w:t xml:space="preserve">date du 28 mars 2003 a inscrit à l’article </w:t>
      </w:r>
      <w:r w:rsidR="006518EF" w:rsidRPr="009F4180">
        <w:t>1</w:t>
      </w:r>
      <w:r w:rsidR="006518EF" w:rsidRPr="007F47EF">
        <w:rPr>
          <w:vertAlign w:val="superscript"/>
        </w:rPr>
        <w:t>er</w:t>
      </w:r>
      <w:r w:rsidR="006518EF">
        <w:t xml:space="preserve"> </w:t>
      </w:r>
      <w:r w:rsidRPr="009F4180">
        <w:t>de la Constitution le fait que l’organisation de la République est décentralisée</w:t>
      </w:r>
      <w:r>
        <w:rPr>
          <w:rStyle w:val="FootnoteReference"/>
        </w:rPr>
        <w:footnoteReference w:id="5"/>
      </w:r>
      <w:r>
        <w:t>. L'Assemblée Nationale a adopté le 25 novembre 2014, en seconde lecture, la nouvelle carte à 12 régions, qui comprend notamment la fusion des régions Poitou-Charentes, Limousin et Aquitaine, ainsi que celle du Nord-Pas-de-Calais et de la Picardie. Cette nouvelle carte fait passer le nombre de régions en métropole</w:t>
      </w:r>
      <w:r>
        <w:rPr>
          <w:rStyle w:val="FootnoteReference"/>
        </w:rPr>
        <w:footnoteReference w:id="6"/>
      </w:r>
      <w:r>
        <w:t xml:space="preserve"> de 21 à 12.</w:t>
      </w:r>
    </w:p>
    <w:p w14:paraId="6E670174" w14:textId="77777777" w:rsidR="00501FA3" w:rsidRDefault="00501FA3" w:rsidP="00501FA3">
      <w:r>
        <w:t xml:space="preserve">La dernière révision constitutionnelle date du 23 juillet 2008. Elle </w:t>
      </w:r>
      <w:r w:rsidRPr="009F4180">
        <w:t>a élargi le champ d’application de ce principe de parité aux responsabilités professionnelles et sociales</w:t>
      </w:r>
      <w:r>
        <w:t>.</w:t>
      </w:r>
    </w:p>
    <w:p w14:paraId="00AFB78E" w14:textId="77777777" w:rsidR="00501FA3" w:rsidRDefault="00501FA3" w:rsidP="003F57EA">
      <w:pPr>
        <w:pStyle w:val="Titre2Niveau2"/>
        <w:numPr>
          <w:ilvl w:val="0"/>
          <w:numId w:val="94"/>
        </w:numPr>
      </w:pPr>
      <w:bookmarkStart w:id="92" w:name="_Toc120567476"/>
      <w:bookmarkStart w:id="93" w:name="_Toc138341966"/>
      <w:r>
        <w:t>Démographie</w:t>
      </w:r>
      <w:bookmarkEnd w:id="92"/>
      <w:bookmarkEnd w:id="93"/>
    </w:p>
    <w:p w14:paraId="7021722A" w14:textId="5DCAD9EB" w:rsidR="00501FA3" w:rsidRDefault="00501FA3" w:rsidP="00501FA3">
      <w:r>
        <w:t xml:space="preserve">Au </w:t>
      </w:r>
      <w:r w:rsidR="006518EF" w:rsidRPr="009F4180">
        <w:t>1</w:t>
      </w:r>
      <w:r w:rsidR="006518EF" w:rsidRPr="007F47EF">
        <w:rPr>
          <w:vertAlign w:val="superscript"/>
        </w:rPr>
        <w:t>er</w:t>
      </w:r>
      <w:r>
        <w:t xml:space="preserve"> janvier 2021, la population de la France atteint 67,8 millions d’habitants dont 2,2 millions dans les départements d’outre-mer (DOM). Au cours de l’année 2021, la population a augmenté de 0,3% (+187 000 personnes) ; cette augmentation est en partie due au solde naturel (+81 000) qui est plus élevé qu’en 2020 mais moins qu’avant la pandémie Covid-19. Le solde migratoire est estimé fin 2021 à 140 000 personnes.</w:t>
      </w:r>
    </w:p>
    <w:p w14:paraId="4E259C36" w14:textId="77777777" w:rsidR="00501FA3" w:rsidRDefault="00501FA3" w:rsidP="00501FA3">
      <w:r>
        <w:t>En 2021, 738 000 enfants sont nés en France, soit 3000 de plus qu’en 2020 : la chute du nombre de naissance constatée en début d’année, a ensuite été compensée par une hausse. En recul de 2015 à 2020 l’indice de fécondité croît légèrement en 2021 et s’établit à 1,83 enfants par femme.</w:t>
      </w:r>
    </w:p>
    <w:p w14:paraId="107B6B75" w14:textId="77777777" w:rsidR="00501FA3" w:rsidRDefault="00501FA3" w:rsidP="00501FA3"/>
    <w:p w14:paraId="69D615BC" w14:textId="1251179C" w:rsidR="00501FA3" w:rsidRDefault="00501FA3" w:rsidP="00501FA3">
      <w:r>
        <w:t>Les deux régions les plus peuplées (Île-de-France et Auvergne-Rhône-Alpes) concentre</w:t>
      </w:r>
      <w:r w:rsidR="007674E7">
        <w:t>nt</w:t>
      </w:r>
      <w:r>
        <w:t xml:space="preserve"> 30% de la population française mais ne représente</w:t>
      </w:r>
      <w:r w:rsidR="007674E7">
        <w:t>nt</w:t>
      </w:r>
      <w:r>
        <w:t xml:space="preserve"> que 13% du territoire. L’Île-de-France reste de loin la région la plus densément peuplée avec 1022 hab./km</w:t>
      </w:r>
      <w:r w:rsidRPr="0006294A">
        <w:rPr>
          <w:vertAlign w:val="superscript"/>
        </w:rPr>
        <w:t>2</w:t>
      </w:r>
      <w:r>
        <w:t>, soit près de 10 fois la densité moyenne française, DOM compris (106 hab.km</w:t>
      </w:r>
      <w:r w:rsidRPr="0006294A">
        <w:rPr>
          <w:vertAlign w:val="superscript"/>
        </w:rPr>
        <w:t>2</w:t>
      </w:r>
      <w:r>
        <w:t>).</w:t>
      </w:r>
    </w:p>
    <w:p w14:paraId="550CA9E8" w14:textId="6D9E3F5C" w:rsidR="00501FA3" w:rsidRDefault="00501FA3" w:rsidP="00501FA3">
      <w:r>
        <w:lastRenderedPageBreak/>
        <w:t>À champ constant (hors Mayotte), la population continue ainsi de croître, mais plus modérément que précédemment : en effet, la croissance démographique était de l’ordre de + 0,5</w:t>
      </w:r>
      <w:r w:rsidR="006518EF">
        <w:t>%</w:t>
      </w:r>
      <w:r>
        <w:t xml:space="preserve"> entre 2009 et 2014 et aux environs de + 0,7</w:t>
      </w:r>
      <w:r w:rsidR="006518EF">
        <w:t>%</w:t>
      </w:r>
      <w:r>
        <w:t xml:space="preserve"> au cours de la première moitié des années 2000.</w:t>
      </w:r>
    </w:p>
    <w:p w14:paraId="61DF169A" w14:textId="77777777" w:rsidR="00501FA3" w:rsidRDefault="00501FA3" w:rsidP="00501FA3"/>
    <w:p w14:paraId="4672EC4F" w14:textId="5521E051" w:rsidR="00501FA3" w:rsidRDefault="00501FA3" w:rsidP="00501FA3">
      <w:r>
        <w:t xml:space="preserve">Si les tendances démographiques récentes se poursuivaient, la France compterait 76,5 millions d’habitants au </w:t>
      </w:r>
      <w:r w:rsidR="006518EF" w:rsidRPr="009F4180">
        <w:t>1</w:t>
      </w:r>
      <w:r w:rsidR="006518EF" w:rsidRPr="007F47EF">
        <w:rPr>
          <w:vertAlign w:val="superscript"/>
        </w:rPr>
        <w:t>er</w:t>
      </w:r>
      <w:r>
        <w:t xml:space="preserve"> janvier 2070, soit 10,7 millions de plus qu’en 2013 : il s’agirait essentiellement de personnes âgées de 65 ans ou plus (+10,4 millions). La population âgée de 75 ans ou plus serait deux fois plus nombreuses en 2070 qu’en 2013 (+7,8 millions). Le solde naturel serait le moteur principal de la croissance en début de période. Puis, vers 2050, la croissance démographique serait davantage tirée par le solde migratoire. À la fin de la période de projection, le solde naturel progresserait de nouveau et rejoindrait le niveau du solde migratoire.</w:t>
      </w:r>
    </w:p>
    <w:p w14:paraId="5A06F7EC" w14:textId="77777777" w:rsidR="00501FA3" w:rsidRDefault="00501FA3" w:rsidP="00501FA3"/>
    <w:p w14:paraId="58620FF2" w14:textId="77777777" w:rsidR="00501FA3" w:rsidRDefault="00501FA3" w:rsidP="00501FA3">
      <w:r>
        <w:t>Le scénario central d’évolution de la population française</w:t>
      </w:r>
      <w:r>
        <w:rPr>
          <w:rStyle w:val="FootnoteReference"/>
        </w:rPr>
        <w:footnoteReference w:id="7"/>
      </w:r>
      <w:r>
        <w:t xml:space="preserve"> permet d’aboutir à la courbe suivante, en millions d’habitants :</w:t>
      </w:r>
    </w:p>
    <w:p w14:paraId="4151AE6F" w14:textId="6C724FA6" w:rsidR="00501FA3" w:rsidRDefault="00B052CA" w:rsidP="00A55861">
      <w:pPr>
        <w:jc w:val="center"/>
      </w:pPr>
      <w:r>
        <w:rPr>
          <w:noProof/>
        </w:rPr>
        <w:drawing>
          <wp:inline distT="0" distB="0" distL="0" distR="0" wp14:anchorId="7866765C" wp14:editId="508CD78E">
            <wp:extent cx="6124575" cy="3752850"/>
            <wp:effectExtent l="0" t="0" r="9525" b="0"/>
            <wp:docPr id="28678" name="Graphique 286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AE66AEF" w14:textId="579EC2C0" w:rsidR="00A55861" w:rsidRDefault="00A55861" w:rsidP="0045532B">
      <w:pPr>
        <w:pStyle w:val="Caption"/>
      </w:pPr>
      <w:bookmarkStart w:id="94" w:name="_Toc121411645"/>
      <w:bookmarkStart w:id="95" w:name="_Toc123916413"/>
      <w:r>
        <w:t xml:space="preserve">Figure </w:t>
      </w:r>
      <w:fldSimple w:instr=" SEQ Figure \* ARABIC ">
        <w:r w:rsidR="00AB51D9">
          <w:rPr>
            <w:noProof/>
          </w:rPr>
          <w:t>2</w:t>
        </w:r>
      </w:fldSimple>
      <w:r>
        <w:t>: P</w:t>
      </w:r>
      <w:r w:rsidRPr="002F0EBD">
        <w:t xml:space="preserve">rojection de l’évolution de la population française de </w:t>
      </w:r>
      <w:r w:rsidR="00B052CA">
        <w:t>2018</w:t>
      </w:r>
      <w:r w:rsidR="00260E0B">
        <w:t xml:space="preserve"> </w:t>
      </w:r>
      <w:r w:rsidRPr="002F0EBD">
        <w:t>à</w:t>
      </w:r>
      <w:r>
        <w:t xml:space="preserve"> 2070 en </w:t>
      </w:r>
      <w:r w:rsidR="00B052CA">
        <w:t>milliers</w:t>
      </w:r>
      <w:r>
        <w:t xml:space="preserve"> d’habitants</w:t>
      </w:r>
      <w:bookmarkEnd w:id="94"/>
      <w:bookmarkEnd w:id="95"/>
    </w:p>
    <w:p w14:paraId="759D9FF4" w14:textId="59ADE79B" w:rsidR="00501FA3" w:rsidRDefault="00A55861" w:rsidP="0045532B">
      <w:pPr>
        <w:pStyle w:val="Caption"/>
      </w:pPr>
      <w:r>
        <w:t xml:space="preserve">Source : </w:t>
      </w:r>
      <w:r w:rsidR="00B052CA">
        <w:t>Insee, Omphale 2022</w:t>
      </w:r>
    </w:p>
    <w:p w14:paraId="7F9B17A6" w14:textId="77777777" w:rsidR="00B052CA" w:rsidRPr="00B052CA" w:rsidRDefault="00B052CA" w:rsidP="00B052CA"/>
    <w:p w14:paraId="3B0E465B" w14:textId="025FBCFF" w:rsidR="00501FA3" w:rsidRDefault="00B052CA" w:rsidP="00501FA3">
      <w:r>
        <w:t>Selon les scenarios l</w:t>
      </w:r>
      <w:r w:rsidR="00501FA3">
        <w:t xml:space="preserve">a population </w:t>
      </w:r>
      <w:r w:rsidR="00267063">
        <w:t xml:space="preserve">évoluerait par rapport à 2022 de -5% à +10,6% en 2050 et -14% à +17% </w:t>
      </w:r>
      <w:r w:rsidR="00501FA3">
        <w:t>en 2070.</w:t>
      </w:r>
    </w:p>
    <w:p w14:paraId="2DADEE7F" w14:textId="77777777" w:rsidR="00501FA3" w:rsidRDefault="00501FA3" w:rsidP="00501FA3"/>
    <w:p w14:paraId="04A34506" w14:textId="77777777" w:rsidR="00501FA3" w:rsidRDefault="00501FA3" w:rsidP="00501FA3">
      <w:pPr>
        <w:jc w:val="center"/>
      </w:pPr>
      <w:r>
        <w:rPr>
          <w:noProof/>
        </w:rPr>
        <w:lastRenderedPageBreak/>
        <w:drawing>
          <wp:inline distT="0" distB="0" distL="0" distR="0" wp14:anchorId="5E8E4979" wp14:editId="13A5933B">
            <wp:extent cx="4572000" cy="2743200"/>
            <wp:effectExtent l="0" t="0" r="0" b="0"/>
            <wp:docPr id="32" name="Graphique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7A2941" w14:textId="441E57EA" w:rsidR="00A55861" w:rsidRDefault="00501FA3" w:rsidP="00A55861">
      <w:pPr>
        <w:keepNext/>
      </w:pPr>
      <w:r>
        <w:t>.</w:t>
      </w:r>
    </w:p>
    <w:p w14:paraId="0488F9A7" w14:textId="6E0D5345" w:rsidR="00A55861" w:rsidRDefault="00A55861" w:rsidP="0045532B">
      <w:pPr>
        <w:pStyle w:val="Caption"/>
      </w:pPr>
      <w:bookmarkStart w:id="96" w:name="_Toc121411646"/>
      <w:bookmarkStart w:id="97" w:name="_Toc123916414"/>
      <w:r>
        <w:t xml:space="preserve">Figure </w:t>
      </w:r>
      <w:fldSimple w:instr=" SEQ Figure \* ARABIC ">
        <w:r w:rsidR="00AB51D9">
          <w:rPr>
            <w:noProof/>
          </w:rPr>
          <w:t>3</w:t>
        </w:r>
      </w:fldSimple>
      <w:r>
        <w:t>: Evolution de la taille des ménages en France hors Mayotte</w:t>
      </w:r>
      <w:bookmarkEnd w:id="96"/>
      <w:bookmarkEnd w:id="97"/>
    </w:p>
    <w:p w14:paraId="1BF78BD4" w14:textId="4DA315D2" w:rsidR="00501FA3" w:rsidRDefault="00A55861" w:rsidP="0045532B">
      <w:pPr>
        <w:pStyle w:val="Caption"/>
      </w:pPr>
      <w:r w:rsidRPr="00A55861">
        <w:t>Source : Insee, RP1968 sondage au 1/4 - RP 1975 sondage au 1/5 - RP1982 sondage au 1/4 – RP1990 dépouillement exhaustif - RP1999 à RP2019 exploitations principales.</w:t>
      </w:r>
    </w:p>
    <w:p w14:paraId="07AB75E4" w14:textId="77777777" w:rsidR="00A55861" w:rsidRPr="00A55861" w:rsidRDefault="00A55861" w:rsidP="00A55861"/>
    <w:p w14:paraId="02BC0030" w14:textId="77777777" w:rsidR="00501FA3" w:rsidRDefault="00501FA3" w:rsidP="00501FA3"/>
    <w:p w14:paraId="015FDF73" w14:textId="77777777" w:rsidR="00501FA3" w:rsidRDefault="00501FA3" w:rsidP="00501FA3"/>
    <w:tbl>
      <w:tblPr>
        <w:tblStyle w:val="GridTable5Dark-Accent4"/>
        <w:tblW w:w="0" w:type="auto"/>
        <w:tblLook w:val="04A0" w:firstRow="1" w:lastRow="0" w:firstColumn="1" w:lastColumn="0" w:noHBand="0" w:noVBand="1"/>
      </w:tblPr>
      <w:tblGrid>
        <w:gridCol w:w="2485"/>
        <w:gridCol w:w="2485"/>
        <w:gridCol w:w="2485"/>
        <w:gridCol w:w="2485"/>
      </w:tblGrid>
      <w:tr w:rsidR="00501FA3" w14:paraId="7AAE91B9" w14:textId="77777777" w:rsidTr="00AA2B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60BE01F" w14:textId="77777777" w:rsidR="00501FA3" w:rsidRDefault="00501FA3" w:rsidP="00E53B5D"/>
        </w:tc>
        <w:tc>
          <w:tcPr>
            <w:tcW w:w="2485" w:type="dxa"/>
          </w:tcPr>
          <w:p w14:paraId="20A1EF95" w14:textId="77777777" w:rsidR="00501FA3" w:rsidRDefault="00501FA3" w:rsidP="00AA2B36">
            <w:pPr>
              <w:jc w:val="left"/>
              <w:cnfStyle w:val="100000000000" w:firstRow="1" w:lastRow="0" w:firstColumn="0" w:lastColumn="0" w:oddVBand="0" w:evenVBand="0" w:oddHBand="0" w:evenHBand="0" w:firstRowFirstColumn="0" w:firstRowLastColumn="0" w:lastRowFirstColumn="0" w:lastRowLastColumn="0"/>
            </w:pPr>
            <w:r w:rsidRPr="00C25F42">
              <w:t>Naissances vivantes en milliers</w:t>
            </w:r>
          </w:p>
        </w:tc>
        <w:tc>
          <w:tcPr>
            <w:tcW w:w="2485" w:type="dxa"/>
          </w:tcPr>
          <w:p w14:paraId="7F70E431" w14:textId="77777777" w:rsidR="00501FA3" w:rsidRDefault="00501FA3" w:rsidP="00AA2B36">
            <w:pPr>
              <w:jc w:val="left"/>
              <w:cnfStyle w:val="100000000000" w:firstRow="1" w:lastRow="0" w:firstColumn="0" w:lastColumn="0" w:oddVBand="0" w:evenVBand="0" w:oddHBand="0" w:evenHBand="0" w:firstRowFirstColumn="0" w:firstRowLastColumn="0" w:lastRowFirstColumn="0" w:lastRowLastColumn="0"/>
            </w:pPr>
            <w:r w:rsidRPr="00C25F42">
              <w:t>Taux de natalité en ‰</w:t>
            </w:r>
          </w:p>
        </w:tc>
        <w:tc>
          <w:tcPr>
            <w:tcW w:w="2485" w:type="dxa"/>
          </w:tcPr>
          <w:p w14:paraId="28EF2D6E" w14:textId="77777777" w:rsidR="00501FA3" w:rsidRDefault="00501FA3" w:rsidP="00AA2B36">
            <w:pPr>
              <w:jc w:val="left"/>
              <w:cnfStyle w:val="100000000000" w:firstRow="1" w:lastRow="0" w:firstColumn="0" w:lastColumn="0" w:oddVBand="0" w:evenVBand="0" w:oddHBand="0" w:evenHBand="0" w:firstRowFirstColumn="0" w:firstRowLastColumn="0" w:lastRowFirstColumn="0" w:lastRowLastColumn="0"/>
            </w:pPr>
            <w:r w:rsidRPr="00C25F42">
              <w:t>Indicateur conjoncturel de fécondité pour 100 femmes</w:t>
            </w:r>
          </w:p>
        </w:tc>
      </w:tr>
      <w:tr w:rsidR="00501FA3" w14:paraId="6943A767"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0" w:type="dxa"/>
            <w:gridSpan w:val="4"/>
          </w:tcPr>
          <w:p w14:paraId="16197253" w14:textId="77777777" w:rsidR="00501FA3" w:rsidRPr="0006294A" w:rsidRDefault="00501FA3" w:rsidP="00E53B5D">
            <w:pPr>
              <w:rPr>
                <w:b w:val="0"/>
              </w:rPr>
            </w:pPr>
            <w:r w:rsidRPr="0006294A">
              <w:rPr>
                <w:b w:val="0"/>
              </w:rPr>
              <w:t>France métropolitaine</w:t>
            </w:r>
          </w:p>
        </w:tc>
      </w:tr>
      <w:tr w:rsidR="00501FA3" w14:paraId="5AC036DF"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6379FEAC" w14:textId="77777777" w:rsidR="00501FA3" w:rsidRDefault="00501FA3" w:rsidP="00E53B5D">
            <w:r>
              <w:t>1950</w:t>
            </w:r>
          </w:p>
        </w:tc>
        <w:tc>
          <w:tcPr>
            <w:tcW w:w="2485" w:type="dxa"/>
          </w:tcPr>
          <w:p w14:paraId="5A2BE7AC"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A79F1">
              <w:t>862,3</w:t>
            </w:r>
          </w:p>
        </w:tc>
        <w:tc>
          <w:tcPr>
            <w:tcW w:w="2485" w:type="dxa"/>
          </w:tcPr>
          <w:p w14:paraId="61638D7F"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A79F1">
              <w:t>20,6</w:t>
            </w:r>
          </w:p>
        </w:tc>
        <w:tc>
          <w:tcPr>
            <w:tcW w:w="2485" w:type="dxa"/>
          </w:tcPr>
          <w:p w14:paraId="43381D13"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A79F1">
              <w:t>294,7</w:t>
            </w:r>
          </w:p>
        </w:tc>
      </w:tr>
      <w:tr w:rsidR="00501FA3" w14:paraId="045FCEFD"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1B05E21B" w14:textId="77777777" w:rsidR="00501FA3" w:rsidRDefault="00501FA3" w:rsidP="00E53B5D">
            <w:r w:rsidRPr="00F869B5">
              <w:t>1980</w:t>
            </w:r>
          </w:p>
        </w:tc>
        <w:tc>
          <w:tcPr>
            <w:tcW w:w="2485" w:type="dxa"/>
          </w:tcPr>
          <w:p w14:paraId="4BBFD829"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800,4</w:t>
            </w:r>
          </w:p>
        </w:tc>
        <w:tc>
          <w:tcPr>
            <w:tcW w:w="2485" w:type="dxa"/>
          </w:tcPr>
          <w:p w14:paraId="19D47922"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14,9</w:t>
            </w:r>
          </w:p>
        </w:tc>
        <w:tc>
          <w:tcPr>
            <w:tcW w:w="2485" w:type="dxa"/>
          </w:tcPr>
          <w:p w14:paraId="0737D7D6"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194,5</w:t>
            </w:r>
          </w:p>
        </w:tc>
      </w:tr>
      <w:tr w:rsidR="00501FA3" w14:paraId="64F78C5D"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6A9473C2" w14:textId="77777777" w:rsidR="00501FA3" w:rsidRDefault="00501FA3" w:rsidP="00E53B5D">
            <w:r w:rsidRPr="00F869B5">
              <w:t>1990</w:t>
            </w:r>
          </w:p>
        </w:tc>
        <w:tc>
          <w:tcPr>
            <w:tcW w:w="2485" w:type="dxa"/>
          </w:tcPr>
          <w:p w14:paraId="5C29CDFD"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762,4</w:t>
            </w:r>
          </w:p>
        </w:tc>
        <w:tc>
          <w:tcPr>
            <w:tcW w:w="2485" w:type="dxa"/>
          </w:tcPr>
          <w:p w14:paraId="4AD04E0F"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13,4</w:t>
            </w:r>
          </w:p>
        </w:tc>
        <w:tc>
          <w:tcPr>
            <w:tcW w:w="2485" w:type="dxa"/>
          </w:tcPr>
          <w:p w14:paraId="344F658C"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177,8</w:t>
            </w:r>
          </w:p>
        </w:tc>
      </w:tr>
      <w:tr w:rsidR="00501FA3" w14:paraId="1AEC5257"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07D0CA31" w14:textId="77777777" w:rsidR="00501FA3" w:rsidRDefault="00501FA3" w:rsidP="00E53B5D">
            <w:r w:rsidRPr="00F869B5">
              <w:t>2000</w:t>
            </w:r>
          </w:p>
        </w:tc>
        <w:tc>
          <w:tcPr>
            <w:tcW w:w="2485" w:type="dxa"/>
          </w:tcPr>
          <w:p w14:paraId="6FE97DAF"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774,8</w:t>
            </w:r>
          </w:p>
        </w:tc>
        <w:tc>
          <w:tcPr>
            <w:tcW w:w="2485" w:type="dxa"/>
          </w:tcPr>
          <w:p w14:paraId="6B879224"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13,1</w:t>
            </w:r>
          </w:p>
        </w:tc>
        <w:tc>
          <w:tcPr>
            <w:tcW w:w="2485" w:type="dxa"/>
          </w:tcPr>
          <w:p w14:paraId="4AFE5AC0"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187,4</w:t>
            </w:r>
          </w:p>
        </w:tc>
      </w:tr>
      <w:tr w:rsidR="00501FA3" w14:paraId="63F568E7"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771F9E3B" w14:textId="77777777" w:rsidR="00501FA3" w:rsidRDefault="00501FA3" w:rsidP="00E53B5D">
            <w:r w:rsidRPr="00F869B5">
              <w:t>2018</w:t>
            </w:r>
          </w:p>
        </w:tc>
        <w:tc>
          <w:tcPr>
            <w:tcW w:w="2485" w:type="dxa"/>
          </w:tcPr>
          <w:p w14:paraId="13063A58"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719,7</w:t>
            </w:r>
          </w:p>
        </w:tc>
        <w:tc>
          <w:tcPr>
            <w:tcW w:w="2485" w:type="dxa"/>
          </w:tcPr>
          <w:p w14:paraId="70F8EDA6"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(p) 11,1</w:t>
            </w:r>
          </w:p>
        </w:tc>
        <w:tc>
          <w:tcPr>
            <w:tcW w:w="2485" w:type="dxa"/>
          </w:tcPr>
          <w:p w14:paraId="18C1F58A"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869B5">
              <w:t>(p) 184,1</w:t>
            </w:r>
          </w:p>
        </w:tc>
      </w:tr>
      <w:tr w:rsidR="00501FA3" w14:paraId="7F88C390"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8C6417B" w14:textId="77777777" w:rsidR="00501FA3" w:rsidRDefault="00501FA3" w:rsidP="00E53B5D">
            <w:r w:rsidRPr="00F869B5">
              <w:t>2019 (p)</w:t>
            </w:r>
          </w:p>
        </w:tc>
        <w:tc>
          <w:tcPr>
            <w:tcW w:w="2485" w:type="dxa"/>
          </w:tcPr>
          <w:p w14:paraId="48CAE42C"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714,0</w:t>
            </w:r>
          </w:p>
        </w:tc>
        <w:tc>
          <w:tcPr>
            <w:tcW w:w="2485" w:type="dxa"/>
          </w:tcPr>
          <w:p w14:paraId="2AA059AE"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11,0</w:t>
            </w:r>
          </w:p>
        </w:tc>
        <w:tc>
          <w:tcPr>
            <w:tcW w:w="2485" w:type="dxa"/>
          </w:tcPr>
          <w:p w14:paraId="649D3F0D"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869B5">
              <w:t>183,5</w:t>
            </w:r>
          </w:p>
        </w:tc>
      </w:tr>
      <w:tr w:rsidR="00501FA3" w14:paraId="31A425D2" w14:textId="77777777" w:rsidTr="00AA2B36">
        <w:tc>
          <w:tcPr>
            <w:cnfStyle w:val="001000000000" w:firstRow="0" w:lastRow="0" w:firstColumn="1" w:lastColumn="0" w:oddVBand="0" w:evenVBand="0" w:oddHBand="0" w:evenHBand="0" w:firstRowFirstColumn="0" w:firstRowLastColumn="0" w:lastRowFirstColumn="0" w:lastRowLastColumn="0"/>
            <w:tcW w:w="9940" w:type="dxa"/>
            <w:gridSpan w:val="4"/>
          </w:tcPr>
          <w:p w14:paraId="3CC37674" w14:textId="77777777" w:rsidR="00501FA3" w:rsidRPr="0006294A" w:rsidRDefault="00501FA3" w:rsidP="00501FA3">
            <w:pPr>
              <w:jc w:val="left"/>
              <w:rPr>
                <w:b w:val="0"/>
              </w:rPr>
            </w:pPr>
            <w:r w:rsidRPr="0006294A">
              <w:rPr>
                <w:b w:val="0"/>
              </w:rPr>
              <w:t>France</w:t>
            </w:r>
            <w:r w:rsidRPr="0006294A">
              <w:rPr>
                <w:b w:val="0"/>
                <w:vertAlign w:val="superscript"/>
              </w:rPr>
              <w:t>1</w:t>
            </w:r>
          </w:p>
        </w:tc>
      </w:tr>
      <w:tr w:rsidR="00501FA3" w14:paraId="69CB6DCE"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014BAF6D" w14:textId="77777777" w:rsidR="00501FA3" w:rsidRDefault="00501FA3" w:rsidP="00E53B5D">
            <w:r w:rsidRPr="00F74CBC">
              <w:t>2000</w:t>
            </w:r>
          </w:p>
        </w:tc>
        <w:tc>
          <w:tcPr>
            <w:tcW w:w="2485" w:type="dxa"/>
          </w:tcPr>
          <w:p w14:paraId="4F959CAC"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807,4</w:t>
            </w:r>
          </w:p>
        </w:tc>
        <w:tc>
          <w:tcPr>
            <w:tcW w:w="2485" w:type="dxa"/>
          </w:tcPr>
          <w:p w14:paraId="39A8558B"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13,3</w:t>
            </w:r>
          </w:p>
        </w:tc>
        <w:tc>
          <w:tcPr>
            <w:tcW w:w="2485" w:type="dxa"/>
          </w:tcPr>
          <w:p w14:paraId="09E67962"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189,3</w:t>
            </w:r>
          </w:p>
        </w:tc>
      </w:tr>
      <w:tr w:rsidR="00501FA3" w14:paraId="18BAFA64" w14:textId="77777777" w:rsidTr="00AA2B36">
        <w:tc>
          <w:tcPr>
            <w:cnfStyle w:val="001000000000" w:firstRow="0" w:lastRow="0" w:firstColumn="1" w:lastColumn="0" w:oddVBand="0" w:evenVBand="0" w:oddHBand="0" w:evenHBand="0" w:firstRowFirstColumn="0" w:firstRowLastColumn="0" w:lastRowFirstColumn="0" w:lastRowLastColumn="0"/>
            <w:tcW w:w="2485" w:type="dxa"/>
          </w:tcPr>
          <w:p w14:paraId="3C40636F" w14:textId="77777777" w:rsidR="00501FA3" w:rsidRDefault="00501FA3" w:rsidP="00E53B5D">
            <w:r w:rsidRPr="00F74CBC">
              <w:t>2018</w:t>
            </w:r>
          </w:p>
        </w:tc>
        <w:tc>
          <w:tcPr>
            <w:tcW w:w="2485" w:type="dxa"/>
          </w:tcPr>
          <w:p w14:paraId="0D336CDF"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74CBC">
              <w:t>758,6</w:t>
            </w:r>
          </w:p>
        </w:tc>
        <w:tc>
          <w:tcPr>
            <w:tcW w:w="2485" w:type="dxa"/>
          </w:tcPr>
          <w:p w14:paraId="08E46ECC"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74CBC">
              <w:t>(p) 11,3</w:t>
            </w:r>
          </w:p>
        </w:tc>
        <w:tc>
          <w:tcPr>
            <w:tcW w:w="2485" w:type="dxa"/>
          </w:tcPr>
          <w:p w14:paraId="3E7B3C09" w14:textId="77777777" w:rsidR="00501FA3" w:rsidRDefault="00501FA3" w:rsidP="00501FA3">
            <w:pPr>
              <w:jc w:val="center"/>
              <w:cnfStyle w:val="000000000000" w:firstRow="0" w:lastRow="0" w:firstColumn="0" w:lastColumn="0" w:oddVBand="0" w:evenVBand="0" w:oddHBand="0" w:evenHBand="0" w:firstRowFirstColumn="0" w:firstRowLastColumn="0" w:lastRowFirstColumn="0" w:lastRowLastColumn="0"/>
            </w:pPr>
            <w:r w:rsidRPr="00F74CBC">
              <w:t>(p) 187,5</w:t>
            </w:r>
          </w:p>
        </w:tc>
      </w:tr>
      <w:tr w:rsidR="00501FA3" w14:paraId="45B03AD2" w14:textId="77777777" w:rsidTr="00AA2B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5" w:type="dxa"/>
          </w:tcPr>
          <w:p w14:paraId="58248EFD" w14:textId="77777777" w:rsidR="00501FA3" w:rsidRDefault="00501FA3" w:rsidP="00E53B5D">
            <w:r w:rsidRPr="00F74CBC">
              <w:t>2019 (p)</w:t>
            </w:r>
          </w:p>
        </w:tc>
        <w:tc>
          <w:tcPr>
            <w:tcW w:w="2485" w:type="dxa"/>
          </w:tcPr>
          <w:p w14:paraId="0D8E76C0"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753,0</w:t>
            </w:r>
          </w:p>
        </w:tc>
        <w:tc>
          <w:tcPr>
            <w:tcW w:w="2485" w:type="dxa"/>
          </w:tcPr>
          <w:p w14:paraId="2D6E5A60"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11,2</w:t>
            </w:r>
          </w:p>
        </w:tc>
        <w:tc>
          <w:tcPr>
            <w:tcW w:w="2485" w:type="dxa"/>
          </w:tcPr>
          <w:p w14:paraId="7D8DD84F" w14:textId="77777777" w:rsidR="00501FA3" w:rsidRDefault="00501FA3" w:rsidP="00501FA3">
            <w:pPr>
              <w:jc w:val="center"/>
              <w:cnfStyle w:val="000000100000" w:firstRow="0" w:lastRow="0" w:firstColumn="0" w:lastColumn="0" w:oddVBand="0" w:evenVBand="0" w:oddHBand="1" w:evenHBand="0" w:firstRowFirstColumn="0" w:firstRowLastColumn="0" w:lastRowFirstColumn="0" w:lastRowLastColumn="0"/>
            </w:pPr>
            <w:r w:rsidRPr="00F74CBC">
              <w:t>187,1</w:t>
            </w:r>
          </w:p>
        </w:tc>
      </w:tr>
      <w:tr w:rsidR="00501FA3" w14:paraId="004E839B" w14:textId="77777777" w:rsidTr="00AA2B36">
        <w:tc>
          <w:tcPr>
            <w:cnfStyle w:val="001000000000" w:firstRow="0" w:lastRow="0" w:firstColumn="1" w:lastColumn="0" w:oddVBand="0" w:evenVBand="0" w:oddHBand="0" w:evenHBand="0" w:firstRowFirstColumn="0" w:firstRowLastColumn="0" w:lastRowFirstColumn="0" w:lastRowLastColumn="0"/>
            <w:tcW w:w="9940" w:type="dxa"/>
            <w:gridSpan w:val="4"/>
          </w:tcPr>
          <w:p w14:paraId="14CD6854" w14:textId="77777777" w:rsidR="00501FA3" w:rsidRDefault="00501FA3" w:rsidP="00E53B5D">
            <w:r>
              <w:t>p : données provisoires.</w:t>
            </w:r>
          </w:p>
          <w:p w14:paraId="2728106B" w14:textId="77777777" w:rsidR="00501FA3" w:rsidRDefault="00501FA3" w:rsidP="00E53B5D">
            <w:r>
              <w:t>1. France hors Mayotte en 2000, y c. Mayotte en 2018 et 2019.</w:t>
            </w:r>
          </w:p>
          <w:p w14:paraId="470AB1A9" w14:textId="77777777" w:rsidR="00501FA3" w:rsidRDefault="00501FA3" w:rsidP="00E53B5D">
            <w:r>
              <w:t>Source : Insee, estimations de population et statistiques de l' état civil .</w:t>
            </w:r>
          </w:p>
        </w:tc>
      </w:tr>
    </w:tbl>
    <w:p w14:paraId="5F1B714D" w14:textId="77777777" w:rsidR="00501FA3" w:rsidRDefault="00501FA3" w:rsidP="00501FA3"/>
    <w:p w14:paraId="3AD68651" w14:textId="77777777" w:rsidR="00501FA3" w:rsidRDefault="00501FA3" w:rsidP="00501FA3"/>
    <w:p w14:paraId="52EBB681" w14:textId="77777777" w:rsidR="00501FA3" w:rsidRDefault="00501FA3" w:rsidP="00501FA3">
      <w:pPr>
        <w:jc w:val="center"/>
      </w:pPr>
      <w:r>
        <w:rPr>
          <w:noProof/>
        </w:rPr>
        <w:lastRenderedPageBreak/>
        <w:drawing>
          <wp:inline distT="0" distB="0" distL="0" distR="0" wp14:anchorId="520E03F7" wp14:editId="7EBB0A25">
            <wp:extent cx="4046400" cy="36576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46400" cy="3657600"/>
                    </a:xfrm>
                    <a:prstGeom prst="rect">
                      <a:avLst/>
                    </a:prstGeom>
                  </pic:spPr>
                </pic:pic>
              </a:graphicData>
            </a:graphic>
          </wp:inline>
        </w:drawing>
      </w:r>
    </w:p>
    <w:p w14:paraId="69B0A5EB" w14:textId="74523086" w:rsidR="00A55861" w:rsidRDefault="00A55861" w:rsidP="0045532B">
      <w:pPr>
        <w:pStyle w:val="Caption"/>
      </w:pPr>
      <w:bookmarkStart w:id="98" w:name="_Toc121411647"/>
      <w:bookmarkStart w:id="99" w:name="_Toc123916415"/>
      <w:bookmarkStart w:id="100" w:name="_Toc120567477"/>
      <w:r>
        <w:t xml:space="preserve">Figure </w:t>
      </w:r>
      <w:fldSimple w:instr=" SEQ Figure \* ARABIC ">
        <w:r w:rsidR="00AB51D9">
          <w:rPr>
            <w:noProof/>
          </w:rPr>
          <w:t>4</w:t>
        </w:r>
      </w:fldSimple>
      <w:r>
        <w:t xml:space="preserve">: </w:t>
      </w:r>
      <w:r w:rsidRPr="00846795">
        <w:t xml:space="preserve">Espérance de vie à la naissance et taux de mortalité infantile de 1950 à </w:t>
      </w:r>
      <w:r>
        <w:t>2019 en France métropolitaine</w:t>
      </w:r>
      <w:bookmarkEnd w:id="98"/>
      <w:bookmarkEnd w:id="99"/>
    </w:p>
    <w:p w14:paraId="08E46D0B" w14:textId="440E0A5F" w:rsidR="00A55861" w:rsidRDefault="00A55861" w:rsidP="0045532B">
      <w:pPr>
        <w:pStyle w:val="Caption"/>
      </w:pPr>
      <w:r w:rsidRPr="00846795">
        <w:t>Source : Insee, estimations de population et statistiques de l'état civil.</w:t>
      </w:r>
    </w:p>
    <w:p w14:paraId="5A57B258" w14:textId="6E2D117B" w:rsidR="00501FA3" w:rsidRDefault="00501FA3" w:rsidP="003F57EA">
      <w:pPr>
        <w:pStyle w:val="Titre2Niveau2"/>
        <w:numPr>
          <w:ilvl w:val="0"/>
          <w:numId w:val="94"/>
        </w:numPr>
      </w:pPr>
      <w:bookmarkStart w:id="101" w:name="_Toc138341967"/>
      <w:r w:rsidRPr="000C5AF3">
        <w:t>Géographie</w:t>
      </w:r>
      <w:bookmarkEnd w:id="100"/>
      <w:bookmarkEnd w:id="101"/>
    </w:p>
    <w:p w14:paraId="7161AE8F" w14:textId="0C074A65" w:rsidR="00501FA3" w:rsidRDefault="00501FA3" w:rsidP="00501FA3">
      <w:r>
        <w:t>La France est le pays de l’Union Européenne avec la plus grand superficie (550 000 km</w:t>
      </w:r>
      <w:r w:rsidRPr="0006294A">
        <w:rPr>
          <w:vertAlign w:val="superscript"/>
        </w:rPr>
        <w:t>2</w:t>
      </w:r>
      <w:r>
        <w:t xml:space="preserve">, environ 13% de la surface de l'Union européenne). Située entre l’Atlantique et la Méditerranée, entre les latitudes 41 °N </w:t>
      </w:r>
      <w:r w:rsidR="00BF6E90">
        <w:t xml:space="preserve">à </w:t>
      </w:r>
      <w:r>
        <w:t>51 °N, la France métropolitaine compte environ 5 500 km de côtes dont 2 000 km de plage, premier équipement de loisir du pays. Pays d’altitude moyenne, ou les plaines et les collines occupent deux tiers du territoire, elle possède cependant deux barrières montagneuses, à l’est et au sud : les Alpes et les Pyrénées. Le mont Blanc (4 810 m), point culminant de la France, se situe dans les Alpes, à la frontière avec l’Italie. Le Massif central, au centre du pays, joue un rôle de dispersion des eaux en quatre grands bassins principaux : la Seine au nord, la Loire au nord-ouest, le Rhône à l’est et la Garonne au sud-ouest.</w:t>
      </w:r>
    </w:p>
    <w:p w14:paraId="4B72A6EC" w14:textId="77777777" w:rsidR="00501FA3" w:rsidRDefault="00501FA3" w:rsidP="00501FA3"/>
    <w:p w14:paraId="087A990F" w14:textId="2F355436" w:rsidR="00501FA3" w:rsidRPr="00C01003" w:rsidRDefault="00501FA3" w:rsidP="00501FA3">
      <w:r w:rsidRPr="00C01003">
        <w:t>Selon l'enquête Teruti-Lucas</w:t>
      </w:r>
      <w:r w:rsidRPr="00C01003">
        <w:rPr>
          <w:rStyle w:val="FootnoteReference"/>
        </w:rPr>
        <w:footnoteReference w:id="8"/>
      </w:r>
      <w:r w:rsidRPr="00C01003">
        <w:t xml:space="preserve"> sur les usages des sols, les paysages agricoles (cultivés et toujours en herbe) occupent 51</w:t>
      </w:r>
      <w:r w:rsidR="006518EF">
        <w:t>%</w:t>
      </w:r>
      <w:r w:rsidRPr="00C01003">
        <w:t xml:space="preserve"> de la surface métropolitaine. Les espaces dits naturels (sols boisés, landes, sols nus, zones humides et sous les eaux) en représentent 40</w:t>
      </w:r>
      <w:r w:rsidR="006518EF">
        <w:t>%</w:t>
      </w:r>
      <w:r w:rsidRPr="00C01003">
        <w:t xml:space="preserve"> et les sols artificialisés 9</w:t>
      </w:r>
      <w:r w:rsidR="006518EF">
        <w:t>%</w:t>
      </w:r>
      <w:r w:rsidRPr="00C01003">
        <w:t xml:space="preserve"> (sols bâtis, sols revêtus ou stabilisés, autres sols artificialisés).</w:t>
      </w:r>
    </w:p>
    <w:p w14:paraId="624E8873" w14:textId="77777777" w:rsidR="00501FA3" w:rsidRPr="00C01003" w:rsidRDefault="00501FA3" w:rsidP="00501FA3"/>
    <w:p w14:paraId="79D57FDC" w14:textId="77777777" w:rsidR="00501FA3" w:rsidRDefault="00501FA3" w:rsidP="00501FA3">
      <w:r w:rsidRPr="00CA4E64">
        <w:t>La figure ci-dessous correspond aux données disponibles dans le cadre de la base de données géographique CORINE Land Cover produite dans le cadre du programme européen de coordination de l’information sur l’environnement.</w:t>
      </w:r>
    </w:p>
    <w:p w14:paraId="57543CA6" w14:textId="043B8B38" w:rsidR="00501FA3" w:rsidRDefault="00501FA3" w:rsidP="00501FA3">
      <w:pPr>
        <w:sectPr w:rsidR="00501FA3" w:rsidSect="00777BD5">
          <w:pgSz w:w="11906" w:h="16838" w:code="9"/>
          <w:pgMar w:top="1229" w:right="907" w:bottom="1648" w:left="1049" w:header="284" w:footer="284" w:gutter="0"/>
          <w:cols w:space="708"/>
          <w:titlePg/>
          <w:docGrid w:linePitch="360"/>
        </w:sectPr>
      </w:pPr>
    </w:p>
    <w:p w14:paraId="53644F9A" w14:textId="4ACB8123" w:rsidR="00165BDF" w:rsidRDefault="00165BDF" w:rsidP="00165BDF">
      <w:pPr>
        <w:jc w:val="center"/>
      </w:pPr>
      <w:r w:rsidRPr="00165BDF">
        <w:rPr>
          <w:noProof/>
        </w:rPr>
        <w:lastRenderedPageBreak/>
        <w:drawing>
          <wp:inline distT="0" distB="0" distL="0" distR="0" wp14:anchorId="6C7B7EB2" wp14:editId="2BEE14D6">
            <wp:extent cx="6789600" cy="5572800"/>
            <wp:effectExtent l="0" t="0" r="0" b="8890"/>
            <wp:docPr id="28689" name="Image 28689" descr="L:\9_Intranet, Internet, communication\95_Rapport bisannuel\Rapport 2022 BR5 NC8\Rédaction NC8\2 - Circonstances nationales relatives aux GES\Sources\CLC_18_F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9_Intranet, Internet, communication\95_Rapport bisannuel\Rapport 2022 BR5 NC8\Rédaction NC8\2 - Circonstances nationales relatives aux GES\Sources\CLC_18_Franc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89600" cy="5572800"/>
                    </a:xfrm>
                    <a:prstGeom prst="rect">
                      <a:avLst/>
                    </a:prstGeom>
                    <a:noFill/>
                    <a:ln>
                      <a:noFill/>
                    </a:ln>
                  </pic:spPr>
                </pic:pic>
              </a:graphicData>
            </a:graphic>
          </wp:inline>
        </w:drawing>
      </w:r>
    </w:p>
    <w:p w14:paraId="093D00C1" w14:textId="778721D7" w:rsidR="00165BDF" w:rsidRDefault="00165BDF" w:rsidP="0045532B">
      <w:pPr>
        <w:pStyle w:val="Caption"/>
      </w:pPr>
      <w:bookmarkStart w:id="102" w:name="_Toc123916416"/>
      <w:r>
        <w:t xml:space="preserve">Figure </w:t>
      </w:r>
      <w:fldSimple w:instr=" SEQ Figure \* ARABIC ">
        <w:r w:rsidR="00AB51D9">
          <w:rPr>
            <w:noProof/>
          </w:rPr>
          <w:t>5</w:t>
        </w:r>
      </w:fldSimple>
      <w:r>
        <w:t>: Carte d'occupation des sols en France en 2018</w:t>
      </w:r>
      <w:bookmarkEnd w:id="102"/>
    </w:p>
    <w:p w14:paraId="52A251BC" w14:textId="70ECA32E" w:rsidR="00165BDF" w:rsidRPr="00697C78" w:rsidRDefault="00165BDF" w:rsidP="0045532B">
      <w:pPr>
        <w:pStyle w:val="Caption"/>
        <w:rPr>
          <w:lang w:val="en-US"/>
        </w:rPr>
        <w:sectPr w:rsidR="00165BDF" w:rsidRPr="00697C78" w:rsidSect="00E53B5D">
          <w:pgSz w:w="16838" w:h="11906" w:orient="landscape" w:code="9"/>
          <w:pgMar w:top="1049" w:right="1229" w:bottom="907" w:left="1648" w:header="284" w:footer="284" w:gutter="0"/>
          <w:cols w:space="708"/>
          <w:titlePg/>
          <w:docGrid w:linePitch="360"/>
        </w:sectPr>
      </w:pPr>
      <w:r w:rsidRPr="00697C78">
        <w:rPr>
          <w:lang w:val="en-US"/>
        </w:rPr>
        <w:t xml:space="preserve">Source : </w:t>
      </w:r>
      <w:r w:rsidR="000C5AF3" w:rsidRPr="00697C78">
        <w:rPr>
          <w:lang w:val="en-US"/>
        </w:rPr>
        <w:t>Citepa d’après CORINE Land Cove</w:t>
      </w:r>
    </w:p>
    <w:p w14:paraId="6BA11F78" w14:textId="730C0665" w:rsidR="00501FA3" w:rsidRDefault="00501FA3" w:rsidP="003F57EA">
      <w:pPr>
        <w:pStyle w:val="Titre2Niveau2"/>
        <w:numPr>
          <w:ilvl w:val="0"/>
          <w:numId w:val="94"/>
        </w:numPr>
      </w:pPr>
      <w:bookmarkStart w:id="103" w:name="_Toc120567478"/>
      <w:bookmarkStart w:id="104" w:name="_Toc138341968"/>
      <w:r w:rsidRPr="000C5AF3">
        <w:lastRenderedPageBreak/>
        <w:t>Climat</w:t>
      </w:r>
      <w:bookmarkEnd w:id="91"/>
      <w:bookmarkEnd w:id="103"/>
      <w:bookmarkEnd w:id="104"/>
    </w:p>
    <w:p w14:paraId="1F413150" w14:textId="77777777" w:rsidR="00501FA3" w:rsidRDefault="00501FA3" w:rsidP="00501FA3">
      <w:r>
        <w:t>À l'échelle mondiale, la France métropolitaine bénéficie d'un climat dit tempéré. Elle connaît une pluviométrie répartie tout au long de l'année et des températures relativement douces. Ces caractéristiques sont dues à la latitude moyenne et à la dominance des vents venus de l'Atlantique.</w:t>
      </w:r>
    </w:p>
    <w:p w14:paraId="230D8123" w14:textId="77777777" w:rsidR="00501FA3" w:rsidRDefault="00501FA3" w:rsidP="00501FA3">
      <w:r>
        <w:t>Toutefois, les régions connaissent des climats variant selon leur latitude, leur altitude et la proximité ou non de la mer, renforcée par leur position par rapport aux trois importants massifs montagneux (Pyrénées, Massif central, Alpes).</w:t>
      </w:r>
    </w:p>
    <w:p w14:paraId="581FE299" w14:textId="77777777" w:rsidR="00501FA3" w:rsidRDefault="00501FA3" w:rsidP="00501FA3">
      <w:r>
        <w:t>En première approche, on distingue cinq grands types de climats en métropole : océanique, océanique altéré, semi-continental, de montagne, méditerranéen. Les climats des outre-mer français sont plus contrastés. La plupart des terres ultramarines sont situées dans des zones tropicales ou équatoriales (Caraïbes, Amérique du Sud, Océan Indien, Polynésie…) ; les autres relèvent de climats froids rigoureux (Saint-Pierre-et-Miquelon), voire extrêmes (Terres australes et antarctiques françaises, avec un record à Dumont d’Urville de - 37,5 °C en 1990).</w:t>
      </w:r>
    </w:p>
    <w:p w14:paraId="5A44DAFA" w14:textId="77777777" w:rsidR="00501FA3" w:rsidRDefault="00501FA3" w:rsidP="00501FA3"/>
    <w:p w14:paraId="578D63DB" w14:textId="2B86163C" w:rsidR="00165BDF" w:rsidRDefault="00501FA3" w:rsidP="00501FA3">
      <w:pPr>
        <w:rPr>
          <w:szCs w:val="21"/>
        </w:rPr>
      </w:pPr>
      <w:r>
        <w:rPr>
          <w:szCs w:val="21"/>
        </w:rPr>
        <w:t xml:space="preserve">Enfin, la France d'outre-mer des régions tropicales est exposée à des risques naturels tels que les cyclones (l’ouragan Irma en septembre 2017, </w:t>
      </w:r>
      <w:r w:rsidRPr="00504839">
        <w:rPr>
          <w:szCs w:val="21"/>
        </w:rPr>
        <w:t xml:space="preserve">cyclone </w:t>
      </w:r>
      <w:r>
        <w:rPr>
          <w:szCs w:val="21"/>
        </w:rPr>
        <w:t xml:space="preserve">Fakir en 2018, </w:t>
      </w:r>
      <w:r w:rsidRPr="00504839">
        <w:rPr>
          <w:szCs w:val="21"/>
        </w:rPr>
        <w:t>Batsirai</w:t>
      </w:r>
      <w:r>
        <w:rPr>
          <w:szCs w:val="21"/>
        </w:rPr>
        <w:t xml:space="preserve"> en 2022 à La Réunion).</w:t>
      </w:r>
    </w:p>
    <w:p w14:paraId="5042B413" w14:textId="02F0A958" w:rsidR="00501FA3" w:rsidRDefault="00501FA3" w:rsidP="00165BDF">
      <w:pPr>
        <w:jc w:val="center"/>
        <w:rPr>
          <w:szCs w:val="21"/>
        </w:rPr>
      </w:pPr>
      <w:r>
        <w:rPr>
          <w:noProof/>
        </w:rPr>
        <w:drawing>
          <wp:inline distT="0" distB="0" distL="0" distR="0" wp14:anchorId="64579A49" wp14:editId="659D4525">
            <wp:extent cx="3695700" cy="3495675"/>
            <wp:effectExtent l="0" t="0" r="0" b="9525"/>
            <wp:docPr id="2023" name="Picture 2023"/>
            <wp:cNvGraphicFramePr/>
            <a:graphic xmlns:a="http://schemas.openxmlformats.org/drawingml/2006/main">
              <a:graphicData uri="http://schemas.openxmlformats.org/drawingml/2006/picture">
                <pic:pic xmlns:pic="http://schemas.openxmlformats.org/drawingml/2006/picture">
                  <pic:nvPicPr>
                    <pic:cNvPr id="2023" name="Picture 2023"/>
                    <pic:cNvPicPr/>
                  </pic:nvPicPr>
                  <pic:blipFill>
                    <a:blip r:embed="rId25">
                      <a:extLst>
                        <a:ext uri="{28A0092B-C50C-407E-A947-70E740481C1C}">
                          <a14:useLocalDpi xmlns:a14="http://schemas.microsoft.com/office/drawing/2010/main" val="0"/>
                        </a:ext>
                      </a:extLst>
                    </a:blip>
                    <a:stretch>
                      <a:fillRect/>
                    </a:stretch>
                  </pic:blipFill>
                  <pic:spPr>
                    <a:xfrm>
                      <a:off x="0" y="0"/>
                      <a:ext cx="3695700" cy="3495675"/>
                    </a:xfrm>
                    <a:prstGeom prst="rect">
                      <a:avLst/>
                    </a:prstGeom>
                  </pic:spPr>
                </pic:pic>
              </a:graphicData>
            </a:graphic>
          </wp:inline>
        </w:drawing>
      </w:r>
    </w:p>
    <w:p w14:paraId="2F66D217" w14:textId="48F622C4" w:rsidR="00165BDF" w:rsidRDefault="00165BDF" w:rsidP="0045532B">
      <w:pPr>
        <w:pStyle w:val="Caption"/>
      </w:pPr>
      <w:bookmarkStart w:id="105" w:name="_Toc123916417"/>
      <w:r>
        <w:t xml:space="preserve">Figure </w:t>
      </w:r>
      <w:fldSimple w:instr=" SEQ Figure \* ARABIC ">
        <w:r w:rsidR="00AB51D9">
          <w:rPr>
            <w:noProof/>
          </w:rPr>
          <w:t>6</w:t>
        </w:r>
      </w:fldSimple>
      <w:r>
        <w:t>: Typologie climatique de la France - Les zones ombrées correspondent à des aires de transition.</w:t>
      </w:r>
      <w:bookmarkEnd w:id="105"/>
    </w:p>
    <w:p w14:paraId="3215C5BF" w14:textId="16969227" w:rsidR="00165BDF" w:rsidRDefault="00165BDF" w:rsidP="0045532B">
      <w:pPr>
        <w:pStyle w:val="Caption"/>
      </w:pPr>
      <w:r>
        <w:t>Les couleurs correspondent aux températures moyennes annuelles.</w:t>
      </w:r>
    </w:p>
    <w:p w14:paraId="7130D454" w14:textId="4B91C3EA" w:rsidR="00165BDF" w:rsidRDefault="00165BDF" w:rsidP="0045532B">
      <w:pPr>
        <w:pStyle w:val="Caption"/>
        <w:rPr>
          <w:szCs w:val="21"/>
        </w:rPr>
      </w:pPr>
      <w:r>
        <w:t>Source : UE, Météo France</w:t>
      </w:r>
    </w:p>
    <w:p w14:paraId="47D83E82" w14:textId="7B5595AE" w:rsidR="00501FA3" w:rsidRDefault="00501FA3" w:rsidP="00501FA3">
      <w:pPr>
        <w:spacing w:before="240" w:after="240"/>
      </w:pPr>
      <w:r>
        <w:rPr>
          <w:noProof/>
        </w:rPr>
        <w:lastRenderedPageBreak/>
        <w:drawing>
          <wp:inline distT="0" distB="0" distL="0" distR="0" wp14:anchorId="1FE7973D" wp14:editId="12A1B87C">
            <wp:extent cx="6300372" cy="3915072"/>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18697" cy="3926459"/>
                    </a:xfrm>
                    <a:prstGeom prst="rect">
                      <a:avLst/>
                    </a:prstGeom>
                    <a:noFill/>
                  </pic:spPr>
                </pic:pic>
              </a:graphicData>
            </a:graphic>
          </wp:inline>
        </w:drawing>
      </w:r>
    </w:p>
    <w:p w14:paraId="475EFEA0" w14:textId="5A3944EB" w:rsidR="00165BDF" w:rsidRDefault="00165BDF" w:rsidP="0045532B">
      <w:pPr>
        <w:pStyle w:val="Caption"/>
      </w:pPr>
      <w:bookmarkStart w:id="106" w:name="_Toc123916418"/>
      <w:r>
        <w:t xml:space="preserve">Figure </w:t>
      </w:r>
      <w:fldSimple w:instr=" SEQ Figure \* ARABIC ">
        <w:r w:rsidR="00AB51D9">
          <w:rPr>
            <w:noProof/>
          </w:rPr>
          <w:t>7</w:t>
        </w:r>
      </w:fldSimple>
      <w:r>
        <w:t>: Ecart à la normale des températures moyennes depuis 1900</w:t>
      </w:r>
      <w:bookmarkEnd w:id="106"/>
    </w:p>
    <w:p w14:paraId="4273E149" w14:textId="4CA7C0E0" w:rsidR="00165BDF" w:rsidRDefault="00165BDF" w:rsidP="0045532B">
      <w:pPr>
        <w:pStyle w:val="Caption"/>
      </w:pPr>
      <w:r>
        <w:t>Source : Météo France</w:t>
      </w:r>
    </w:p>
    <w:p w14:paraId="4DE2E7E1" w14:textId="77777777" w:rsidR="00501FA3" w:rsidRDefault="00501FA3" w:rsidP="00501FA3">
      <w:pPr>
        <w:spacing w:before="240" w:after="240"/>
      </w:pPr>
      <w:r>
        <w:t xml:space="preserve">L'évolution de la température moyenne annuelle sur la France métropolitaine est représentée sur la figure ci-dessous sous forme d'écart à la moyenne de la période 1961-1990. Elle présente à l’échelle nationale les mêmes caractéristiques qu’à l’échelle mondiale : le réchauffement des températures moyennes est très net. Jusqu'au milieu des années 1980, l'écart est le plus souvent négatif : la température moyenne annuelle est le plus souvent inférieure à la moyenne de la période 1961-1990. À partir de la fin des années 1980, les températures moyennes annuelles augmentent rapidement et l'écart est systématiquement positif. Comme à l’échelle mondiale, l’évolution des températures moyennes annuelles en France métropolitaine montre un réchauffement net depuis 1900. Ce réchauffement a connu un rythme variable, avec une augmentation particulièrement marquée depuis les années 1980. </w:t>
      </w:r>
    </w:p>
    <w:p w14:paraId="14E676BC" w14:textId="3DBF535C" w:rsidR="00501FA3" w:rsidRDefault="00501FA3" w:rsidP="00501FA3">
      <w:pPr>
        <w:spacing w:before="240" w:after="240"/>
        <w:rPr>
          <w:rFonts w:ascii="Calibri" w:hAnsi="Calibri" w:cs="Calibri"/>
        </w:rPr>
      </w:pPr>
      <w:r>
        <w:t>A l’exception de l’année 2021, les dernières années (2017, 2018, 2019 et 2020) ont été parmi les années plus chaudes depuis 1900. Ainsi, en 2020, la température annuelle moyennée sur le pays a atteint 14,1</w:t>
      </w:r>
      <w:r>
        <w:rPr>
          <w:rFonts w:ascii="Calibri" w:hAnsi="Calibri" w:cs="Calibri"/>
        </w:rPr>
        <w:t> </w:t>
      </w:r>
      <w:r>
        <w:t>°C, dépassant la normale (</w:t>
      </w:r>
      <w:r w:rsidRPr="00603609">
        <w:t>référence 1981-2010</w:t>
      </w:r>
      <w:r>
        <w:t>) de 1,5</w:t>
      </w:r>
      <w:r>
        <w:rPr>
          <w:rFonts w:ascii="Calibri" w:hAnsi="Calibri" w:cs="Calibri"/>
        </w:rPr>
        <w:t> </w:t>
      </w:r>
      <w:r>
        <w:t xml:space="preserve">°C. L’année 2020 s’est ainsi classée au </w:t>
      </w:r>
      <w:r w:rsidR="006518EF" w:rsidRPr="009F4180">
        <w:t>1</w:t>
      </w:r>
      <w:r w:rsidR="006518EF" w:rsidRPr="007F47EF">
        <w:rPr>
          <w:vertAlign w:val="superscript"/>
        </w:rPr>
        <w:t>er</w:t>
      </w:r>
      <w:r>
        <w:t xml:space="preserve"> rang des années les plus chaudes sur la période 1900-2020 devant 2018 (13,9</w:t>
      </w:r>
      <w:r>
        <w:rPr>
          <w:rFonts w:ascii="Calibri" w:hAnsi="Calibri" w:cs="Calibri"/>
        </w:rPr>
        <w:t> </w:t>
      </w:r>
      <w:r>
        <w:t>°C) et 2014 (13,8</w:t>
      </w:r>
      <w:r>
        <w:rPr>
          <w:rFonts w:ascii="Calibri" w:hAnsi="Calibri" w:cs="Calibri"/>
        </w:rPr>
        <w:t> </w:t>
      </w:r>
      <w:r>
        <w:t>°C). L’année 2019, qui est au 4ème rang des années les plus chaudes en France depuis le début du XXème siècle avec une température moyenne de 13,7</w:t>
      </w:r>
      <w:r>
        <w:rPr>
          <w:rFonts w:ascii="Calibri" w:hAnsi="Calibri" w:cs="Calibri"/>
        </w:rPr>
        <w:t> °</w:t>
      </w:r>
      <w:r w:rsidRPr="006D7BF9">
        <w:t>C</w:t>
      </w:r>
      <w:r>
        <w:t>,</w:t>
      </w:r>
      <w:r w:rsidRPr="006D7BF9">
        <w:t xml:space="preserve"> a été caractérisée</w:t>
      </w:r>
      <w:r>
        <w:rPr>
          <w:rFonts w:ascii="Calibri" w:hAnsi="Calibri" w:cs="Calibri"/>
        </w:rPr>
        <w:t xml:space="preserve"> </w:t>
      </w:r>
      <w:r w:rsidRPr="006D7BF9">
        <w:t xml:space="preserve">par deux épisodes de canicule </w:t>
      </w:r>
      <w:r>
        <w:t xml:space="preserve">qui </w:t>
      </w:r>
      <w:r w:rsidRPr="006D7BF9">
        <w:t>ont concerné la France du 25 au 30 juin puis du</w:t>
      </w:r>
      <w:r>
        <w:t xml:space="preserve"> </w:t>
      </w:r>
      <w:r w:rsidRPr="006D7BF9">
        <w:t>21 au 26 juillet</w:t>
      </w:r>
      <w:r>
        <w:t xml:space="preserve"> et surtout par d</w:t>
      </w:r>
      <w:r w:rsidRPr="006D7BF9">
        <w:t xml:space="preserve">e nombreux records absolus </w:t>
      </w:r>
      <w:r>
        <w:t xml:space="preserve">qui </w:t>
      </w:r>
      <w:r w:rsidRPr="006D7BF9">
        <w:t xml:space="preserve">ont été battus sur l’ensemble du pays. </w:t>
      </w:r>
      <w:r>
        <w:t>Ainsi</w:t>
      </w:r>
      <w:r w:rsidRPr="006D7BF9">
        <w:t>, le nouveau record absolu de chaleur pour la France a été mesuré avec 46 °C le 28</w:t>
      </w:r>
      <w:r>
        <w:t xml:space="preserve"> </w:t>
      </w:r>
      <w:r w:rsidRPr="006D7BF9">
        <w:t xml:space="preserve">juin </w:t>
      </w:r>
      <w:r>
        <w:t xml:space="preserve">2019 </w:t>
      </w:r>
      <w:r w:rsidRPr="006D7BF9">
        <w:t xml:space="preserve">à Vérargues (Hérault) dans le Sud-Est. </w:t>
      </w:r>
      <w:r>
        <w:t>Et, même si 2021 a été moins chaude que les précédentes, la température moyenne annuelle a dépassé les normales (référence 1981-2010) de 0,4</w:t>
      </w:r>
      <w:r>
        <w:rPr>
          <w:rFonts w:ascii="Calibri" w:hAnsi="Calibri" w:cs="Calibri"/>
        </w:rPr>
        <w:t> °C.</w:t>
      </w:r>
    </w:p>
    <w:p w14:paraId="6865D586" w14:textId="77777777" w:rsidR="00501FA3" w:rsidRDefault="00501FA3" w:rsidP="00501FA3">
      <w:pPr>
        <w:spacing w:before="240" w:after="240"/>
        <w:rPr>
          <w:rFonts w:ascii="Calibri" w:hAnsi="Calibri" w:cs="Calibri"/>
        </w:rPr>
      </w:pPr>
      <w:r w:rsidRPr="00603609">
        <w:rPr>
          <w:noProof/>
        </w:rPr>
        <w:lastRenderedPageBreak/>
        <w:drawing>
          <wp:inline distT="0" distB="0" distL="0" distR="0" wp14:anchorId="612F1ECC" wp14:editId="67BD6953">
            <wp:extent cx="4970585" cy="3908029"/>
            <wp:effectExtent l="0" t="0" r="1905"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73243" cy="3910119"/>
                    </a:xfrm>
                    <a:prstGeom prst="rect">
                      <a:avLst/>
                    </a:prstGeom>
                  </pic:spPr>
                </pic:pic>
              </a:graphicData>
            </a:graphic>
          </wp:inline>
        </w:drawing>
      </w:r>
    </w:p>
    <w:p w14:paraId="4D1A07D1" w14:textId="0244974C" w:rsidR="0096119B" w:rsidRDefault="00165BDF" w:rsidP="0045532B">
      <w:pPr>
        <w:pStyle w:val="Caption"/>
      </w:pPr>
      <w:bookmarkStart w:id="107" w:name="_Toc123916419"/>
      <w:r>
        <w:t xml:space="preserve">Figure </w:t>
      </w:r>
      <w:fldSimple w:instr=" SEQ Figure \* ARABIC ">
        <w:r w:rsidR="00AB51D9">
          <w:rPr>
            <w:noProof/>
          </w:rPr>
          <w:t>8</w:t>
        </w:r>
      </w:fldSimple>
      <w:r>
        <w:t xml:space="preserve">: </w:t>
      </w:r>
      <w:r w:rsidRPr="00C62F59">
        <w:t xml:space="preserve">Écart à la moyenne annuelle </w:t>
      </w:r>
      <w:r w:rsidR="0096119B">
        <w:t>de référence</w:t>
      </w:r>
      <w:bookmarkEnd w:id="107"/>
    </w:p>
    <w:p w14:paraId="25BD5D9B" w14:textId="4373D0B2" w:rsidR="00501FA3" w:rsidRDefault="00165BDF" w:rsidP="0045532B">
      <w:pPr>
        <w:pStyle w:val="Caption"/>
      </w:pPr>
      <w:r w:rsidRPr="00C62F59">
        <w:t>Source : Météo France</w:t>
      </w:r>
    </w:p>
    <w:p w14:paraId="2F871EE8" w14:textId="77777777" w:rsidR="0096119B" w:rsidRDefault="0096119B" w:rsidP="00501FA3"/>
    <w:p w14:paraId="779F25B4" w14:textId="129A4550" w:rsidR="000C5AF3" w:rsidRDefault="00501FA3" w:rsidP="000C5AF3">
      <w:r w:rsidRPr="00504839">
        <w:t xml:space="preserve">En ce qui concerne les précipitations, les années 2017 à 2021 ont été conformes aux normales (figure ci-dessus), tandis que </w:t>
      </w:r>
      <w:r>
        <w:t xml:space="preserve">les premiers mois de l’année </w:t>
      </w:r>
      <w:r w:rsidRPr="00504839">
        <w:t xml:space="preserve">2022 </w:t>
      </w:r>
      <w:r>
        <w:t>l</w:t>
      </w:r>
      <w:r w:rsidRPr="00504839">
        <w:t>’annonce</w:t>
      </w:r>
      <w:r>
        <w:t>nt</w:t>
      </w:r>
      <w:r w:rsidRPr="00504839">
        <w:t xml:space="preserve"> extrêm</w:t>
      </w:r>
      <w:r>
        <w:t>em</w:t>
      </w:r>
      <w:r w:rsidRPr="00504839">
        <w:t>ent sèche. Après un hiver déjà peu arrosé, le manque de pluie s’est poursuivi, avec 45</w:t>
      </w:r>
      <w:r w:rsidR="006518EF">
        <w:rPr>
          <w:rFonts w:ascii="Calibri" w:hAnsi="Calibri" w:cs="Calibri"/>
        </w:rPr>
        <w:t>%</w:t>
      </w:r>
      <w:r w:rsidRPr="00504839">
        <w:t xml:space="preserve"> de déficit de précipitations, le printemps 2022 est également le 3e le plus sec depuis 1959.</w:t>
      </w:r>
      <w:bookmarkStart w:id="108" w:name="_Toc120567447"/>
    </w:p>
    <w:p w14:paraId="5D039668" w14:textId="54D7D8A5" w:rsidR="00501FA3" w:rsidRPr="00A67073" w:rsidRDefault="00501FA3" w:rsidP="003F57EA">
      <w:pPr>
        <w:pStyle w:val="Titre2Niveau2"/>
        <w:numPr>
          <w:ilvl w:val="0"/>
          <w:numId w:val="94"/>
        </w:numPr>
        <w:rPr>
          <w:rFonts w:ascii="Marianne" w:hAnsi="Marianne"/>
          <w:sz w:val="21"/>
        </w:rPr>
      </w:pPr>
      <w:bookmarkStart w:id="109" w:name="_Toc138341969"/>
      <w:r w:rsidRPr="000C5AF3">
        <w:t>Economie</w:t>
      </w:r>
      <w:bookmarkEnd w:id="108"/>
      <w:bookmarkEnd w:id="109"/>
    </w:p>
    <w:p w14:paraId="6DADE946" w14:textId="4361D3AC" w:rsidR="00501FA3" w:rsidRDefault="00501FA3" w:rsidP="00501FA3">
      <w:r>
        <w:t>En 2021, la France se classait au 26</w:t>
      </w:r>
      <w:r w:rsidRPr="00125D09">
        <w:rPr>
          <w:vertAlign w:val="superscript"/>
        </w:rPr>
        <w:t>e</w:t>
      </w:r>
      <w:r>
        <w:t xml:space="preserve"> rang mondial pour le PIB par habitant en parité de pouvoir d'achat légèrement au-dessus de la moyenne de l'UE qui est 30</w:t>
      </w:r>
      <w:r w:rsidRPr="00125D09">
        <w:rPr>
          <w:vertAlign w:val="superscript"/>
        </w:rPr>
        <w:t>e</w:t>
      </w:r>
      <w:r>
        <w:t xml:space="preserve"> mais derrière la moyenne de la zone euro qui est 25</w:t>
      </w:r>
      <w:r w:rsidRPr="00125D09">
        <w:rPr>
          <w:vertAlign w:val="superscript"/>
        </w:rPr>
        <w:t>e</w:t>
      </w:r>
      <w:r>
        <w:t>. En classement par PIB en parité de pouvoir d’achat, la France est la 10</w:t>
      </w:r>
      <w:r w:rsidRPr="00405D74">
        <w:rPr>
          <w:vertAlign w:val="superscript"/>
        </w:rPr>
        <w:t>e</w:t>
      </w:r>
      <w:r>
        <w:t xml:space="preserve"> puissance économique (9</w:t>
      </w:r>
      <w:r w:rsidRPr="00405D74">
        <w:rPr>
          <w:vertAlign w:val="superscript"/>
        </w:rPr>
        <w:t>e</w:t>
      </w:r>
      <w:r>
        <w:t xml:space="preserve"> sans compter l’UE). En 2021 le PIB de la France a retrouvé et même dépassé son niveau de 2019, avant la crise sanitaire : il s’établit à </w:t>
      </w:r>
      <w:r w:rsidRPr="00405D74">
        <w:t>2</w:t>
      </w:r>
      <w:r>
        <w:t> 500</w:t>
      </w:r>
      <w:r w:rsidRPr="00405D74">
        <w:t>,</w:t>
      </w:r>
      <w:r>
        <w:t>8 milliards d’euros (en euros courants), en augmentation de 6,8</w:t>
      </w:r>
      <w:r w:rsidR="006518EF">
        <w:t>%</w:t>
      </w:r>
      <w:r>
        <w:t xml:space="preserve"> par rapport à 2020, après une baisse de 7,8% en 2020.</w:t>
      </w:r>
    </w:p>
    <w:p w14:paraId="43DB05EF" w14:textId="77777777" w:rsidR="00501FA3" w:rsidRDefault="00501FA3" w:rsidP="00501FA3"/>
    <w:p w14:paraId="447F840E" w14:textId="77777777" w:rsidR="00501FA3" w:rsidRDefault="00501FA3" w:rsidP="00501FA3">
      <w:pPr>
        <w:jc w:val="center"/>
      </w:pPr>
      <w:r>
        <w:rPr>
          <w:noProof/>
        </w:rPr>
        <w:lastRenderedPageBreak/>
        <w:drawing>
          <wp:inline distT="0" distB="0" distL="0" distR="0" wp14:anchorId="494004CA" wp14:editId="3804A189">
            <wp:extent cx="4572000" cy="2743200"/>
            <wp:effectExtent l="0" t="0" r="0" b="0"/>
            <wp:docPr id="35" name="Graphique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A467F96" w14:textId="6ED4F68B" w:rsidR="00077E3D" w:rsidRDefault="00077E3D" w:rsidP="0045532B">
      <w:pPr>
        <w:pStyle w:val="Caption"/>
      </w:pPr>
      <w:bookmarkStart w:id="110" w:name="_Toc123916420"/>
      <w:r>
        <w:t xml:space="preserve">Figure </w:t>
      </w:r>
      <w:fldSimple w:instr=" SEQ Figure \* ARABIC ">
        <w:r w:rsidR="00AB51D9">
          <w:rPr>
            <w:noProof/>
          </w:rPr>
          <w:t>9</w:t>
        </w:r>
      </w:fldSimple>
      <w:r>
        <w:t xml:space="preserve">: </w:t>
      </w:r>
      <w:r w:rsidRPr="00B072D6">
        <w:t>Evolution du PIB de 1950 à 2021</w:t>
      </w:r>
      <w:bookmarkEnd w:id="110"/>
    </w:p>
    <w:p w14:paraId="10DD7B1C" w14:textId="10C32A9D" w:rsidR="00501FA3" w:rsidRDefault="00077E3D" w:rsidP="0045532B">
      <w:pPr>
        <w:pStyle w:val="Caption"/>
      </w:pPr>
      <w:r w:rsidRPr="00B072D6">
        <w:t>Source IN</w:t>
      </w:r>
      <w:r>
        <w:t>SEE Comptes nationaux, base 2014</w:t>
      </w:r>
    </w:p>
    <w:p w14:paraId="1BC88CB5" w14:textId="77777777" w:rsidR="00501FA3" w:rsidRDefault="00501FA3" w:rsidP="00501FA3"/>
    <w:p w14:paraId="77CAC3AF" w14:textId="0F74B920" w:rsidR="00501FA3" w:rsidRDefault="00501FA3" w:rsidP="00501FA3">
      <w:r>
        <w:t>L'économie française est principalement une économie de services. En 2021, les exportations représentaient 29,4</w:t>
      </w:r>
      <w:r w:rsidR="006518EF">
        <w:t>%</w:t>
      </w:r>
      <w:r>
        <w:t xml:space="preserve"> du produit intérieur brut (PIB) et les importations 31,4</w:t>
      </w:r>
      <w:r w:rsidR="006518EF">
        <w:t>%</w:t>
      </w:r>
      <w:r>
        <w:t>. En 2018, le secteur tertiaire occupait 76,1</w:t>
      </w:r>
      <w:r w:rsidR="006518EF">
        <w:t>%</w:t>
      </w:r>
      <w:r>
        <w:t xml:space="preserve"> de la population active, tandis que le secteur primaire (agriculture, pêche, etc.) n'en représentait plus que 2,5</w:t>
      </w:r>
      <w:r w:rsidR="006518EF">
        <w:t>%</w:t>
      </w:r>
      <w:r>
        <w:t>, et le secteur secondaire (essentiellement l’industrie) 20</w:t>
      </w:r>
      <w:r w:rsidR="006518EF">
        <w:t>%</w:t>
      </w:r>
      <w:r>
        <w:t>. La balance commerciale (biens et services) est devenue déficitaire en 2004, et ce déficit s’est accru jusqu'en 2011 avant de décroître légèrement mais de rester important en 2015. Depuis 2015 ce déficit s’est de nouveau fortement creusé et atteint en 2021 84,8 milliard d’euros en rapport notamment avec l’augmentation de la facture énergétique.</w:t>
      </w:r>
    </w:p>
    <w:p w14:paraId="38C1F8CD" w14:textId="37F9101C" w:rsidR="00501FA3" w:rsidRDefault="00501FA3" w:rsidP="00501FA3">
      <w:r w:rsidRPr="00A35680">
        <w:t>En 2018, les exportations de biens et services décélèrent un peu (+ 3,5</w:t>
      </w:r>
      <w:r w:rsidR="006518EF">
        <w:t>%</w:t>
      </w:r>
      <w:r w:rsidRPr="00A35680">
        <w:t xml:space="preserve"> en volume, après + 3,9</w:t>
      </w:r>
      <w:r w:rsidR="006518EF">
        <w:t>%</w:t>
      </w:r>
      <w:r w:rsidRPr="00A35680">
        <w:t>) du fait surtout du ralentissement des exportations de biens manufacturés (+ 3,6</w:t>
      </w:r>
      <w:r w:rsidR="006518EF">
        <w:t>%</w:t>
      </w:r>
      <w:r w:rsidRPr="00A35680">
        <w:t xml:space="preserve"> en volume, après + 4,7</w:t>
      </w:r>
      <w:r w:rsidR="006518EF">
        <w:t>%</w:t>
      </w:r>
      <w:r w:rsidRPr="00A35680">
        <w:t>), qui représentent plus des deux tiers des ventes de biens et services</w:t>
      </w:r>
      <w:r>
        <w:t>. Après une chute en 2020, les échanges de services connaissent un rebond record s’établissant à +36,2 milliards d’euros.</w:t>
      </w:r>
    </w:p>
    <w:p w14:paraId="04729D6E" w14:textId="77777777" w:rsidR="00501FA3" w:rsidRDefault="00501FA3" w:rsidP="00501FA3"/>
    <w:p w14:paraId="3C0E26FB" w14:textId="77777777" w:rsidR="00501FA3" w:rsidRDefault="00501FA3" w:rsidP="00501FA3">
      <w:pPr>
        <w:jc w:val="center"/>
      </w:pPr>
      <w:r>
        <w:rPr>
          <w:noProof/>
        </w:rPr>
        <w:lastRenderedPageBreak/>
        <w:drawing>
          <wp:inline distT="0" distB="0" distL="0" distR="0" wp14:anchorId="24B5CAAE" wp14:editId="6D2D3ABE">
            <wp:extent cx="5481638" cy="4238625"/>
            <wp:effectExtent l="0" t="0" r="5080" b="9525"/>
            <wp:docPr id="33" name="Graphique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43FBB8A" w14:textId="252B60DD" w:rsidR="00077E3D" w:rsidRDefault="00077E3D" w:rsidP="0045532B">
      <w:pPr>
        <w:pStyle w:val="Caption"/>
      </w:pPr>
      <w:bookmarkStart w:id="111" w:name="_Toc123916421"/>
      <w:r>
        <w:t xml:space="preserve">Figure </w:t>
      </w:r>
      <w:fldSimple w:instr=" SEQ Figure \* ARABIC ">
        <w:r w:rsidR="00AB51D9">
          <w:rPr>
            <w:noProof/>
          </w:rPr>
          <w:t>10</w:t>
        </w:r>
      </w:fldSimple>
      <w:r>
        <w:t xml:space="preserve"> : </w:t>
      </w:r>
      <w:r w:rsidRPr="00855469">
        <w:t>Evolution du solde extérieur de 1971 à 2021</w:t>
      </w:r>
      <w:bookmarkEnd w:id="111"/>
    </w:p>
    <w:p w14:paraId="0140FB84" w14:textId="500DBFF3" w:rsidR="00501FA3" w:rsidRDefault="00077E3D" w:rsidP="0045532B">
      <w:pPr>
        <w:pStyle w:val="Caption"/>
      </w:pPr>
      <w:r w:rsidRPr="00855469">
        <w:t>Source : DGDDI, dif</w:t>
      </w:r>
      <w:r>
        <w:t>fusion des résultats de mai 202</w:t>
      </w:r>
      <w:r>
        <w:rPr>
          <w:noProof/>
        </w:rPr>
        <w:t>2</w:t>
      </w:r>
    </w:p>
    <w:p w14:paraId="29C5215C" w14:textId="20E2DAA8" w:rsidR="00501FA3" w:rsidRDefault="00501FA3" w:rsidP="003F57EA">
      <w:pPr>
        <w:pStyle w:val="Titre3Niveau3"/>
      </w:pPr>
      <w:bookmarkStart w:id="112" w:name="_Toc120567448"/>
      <w:bookmarkStart w:id="113" w:name="_Toc138341970"/>
      <w:r w:rsidRPr="00D72130">
        <w:t>Transports</w:t>
      </w:r>
      <w:bookmarkEnd w:id="112"/>
      <w:bookmarkEnd w:id="113"/>
    </w:p>
    <w:p w14:paraId="62CEC9D8" w14:textId="31CDA98B" w:rsidR="00501FA3" w:rsidRDefault="00501FA3" w:rsidP="00501FA3">
      <w:r w:rsidRPr="006B20FC">
        <w:rPr>
          <w:b/>
        </w:rPr>
        <w:t>Le secteur des transports est le premier secteur consommateur de produits pétroliers</w:t>
      </w:r>
      <w:r>
        <w:t>, avec près de ¾ de la consommation totale de produits pétroliers raffinées pour le seul secteur routier. La consommation de produits pétroliers dans le domaine des transports reste globalement stable autour de 38-39 Mtep. Dans le secteur aérien, après une tendance plutôt à la hausse jusqu’en 2018, la consommation a très fortement baissé avec la crise sanitaire (-53,3% entre 2019 et 2020) et bien q</w:t>
      </w:r>
      <w:r w:rsidR="00B44F4E">
        <w:t>u’ayant ré-augmenté en 2021 (+6,</w:t>
      </w:r>
      <w:r>
        <w:t>9%) reste très inférieur au niveau d’avant la crise (-50% vs. 2019).</w:t>
      </w:r>
    </w:p>
    <w:p w14:paraId="322244C4" w14:textId="77777777" w:rsidR="00501FA3" w:rsidRDefault="00501FA3" w:rsidP="00501FA3"/>
    <w:p w14:paraId="67B4E2DA" w14:textId="68EBCDEC" w:rsidR="00501FA3" w:rsidRDefault="00501FA3" w:rsidP="00501FA3">
      <w:r>
        <w:t>Les modes alternatifs au transport routier ne représentent qu’une faible part du transport de marchandises : en 2020, les transports alternatifs au transport routier ne représentent que 11,6</w:t>
      </w:r>
      <w:r w:rsidR="006518EF">
        <w:t>%</w:t>
      </w:r>
      <w:r>
        <w:t xml:space="preserve"> du transport terrestre de marchandises (hors oléoducs). Cette part a baissé en comparaison de 2015 (14,4%) et même 2019 (12,2%). En 2021, avec la reprise économique post Covid-19 le transport de marchandise rebondit pour tous les modes de transport, en particulier le ferroviaire dont la part atteindrait 11% (vs. 9,6% en 2020 et 10% en 2019).</w:t>
      </w:r>
    </w:p>
    <w:p w14:paraId="216FA242" w14:textId="77777777" w:rsidR="00501FA3" w:rsidRDefault="00501FA3" w:rsidP="00501FA3"/>
    <w:p w14:paraId="52B08861" w14:textId="149B9DD4" w:rsidR="00501FA3" w:rsidRDefault="00501FA3" w:rsidP="00501FA3">
      <w:r>
        <w:t>Avec la crise sanitaire, le transport intérieur de voyageurs a fortement baissé en 2020 (-23,5%) : tous les modes de transports sont concernés, mais le secteur aérien est particulièrement touché (-55,4% vs. 2019) ; les transports individuels en véhicules particuliers sont moins impactés (-19,2%). La part du transport collectif (14,7% en 2020) a baissé par rapport à 2019 (19,2%). En 2021</w:t>
      </w:r>
      <w:r w:rsidR="00A100E1">
        <w:t>,</w:t>
      </w:r>
      <w:r>
        <w:t xml:space="preserve"> le transport intérieur de voyageur rebondit mais reste inférieur à son niveau d’avant crise.</w:t>
      </w:r>
    </w:p>
    <w:p w14:paraId="596CD93D" w14:textId="77777777" w:rsidR="00501FA3" w:rsidRDefault="00501FA3" w:rsidP="003F57EA">
      <w:pPr>
        <w:pStyle w:val="Titre4niveau4"/>
      </w:pPr>
      <w:r>
        <w:t>Le transport de marchandises</w:t>
      </w:r>
    </w:p>
    <w:p w14:paraId="3015F0EA" w14:textId="3947C913" w:rsidR="00501FA3" w:rsidRDefault="00501FA3" w:rsidP="00501FA3">
      <w:r>
        <w:t xml:space="preserve">Comme le montrent les deux figures ci-dessous, depuis 1990, le transport intérieur terrestre de marchandises a fortement augmenté jusqu’à la crise économique de 2008, tiré par le trafic routier. En 2021, avec 343,8 milliards </w:t>
      </w:r>
      <w:r>
        <w:lastRenderedPageBreak/>
        <w:t>de tonnes-kilomètres, le transport intérieur terrestre de marchandises rebondit par rapport à 2020 (+2,8</w:t>
      </w:r>
      <w:r w:rsidR="006518EF">
        <w:t>%</w:t>
      </w:r>
      <w:r>
        <w:t>), mais reste inférieur au niveau d’avant la crise d Covid-19. Le rebond est notamment porté par le transport routier sous pavillon français effectué par les poids lourds (+3,6%). En 2021, le transport intérieur routier atteint 292 milliards de tonnes-kilomètres, en hausse de 1,7% : en comparaison à 2019, l’activité reste en baisse (-1,6%).</w:t>
      </w:r>
    </w:p>
    <w:p w14:paraId="54C80950" w14:textId="77777777" w:rsidR="00501FA3" w:rsidRDefault="00501FA3" w:rsidP="00501FA3">
      <w:r>
        <w:t xml:space="preserve"> </w:t>
      </w:r>
    </w:p>
    <w:p w14:paraId="191A26C5" w14:textId="77777777" w:rsidR="00501FA3" w:rsidRDefault="00501FA3" w:rsidP="00501FA3"/>
    <w:p w14:paraId="1B4E0BD7" w14:textId="77777777" w:rsidR="00501FA3" w:rsidRDefault="00501FA3" w:rsidP="00501FA3">
      <w:pPr>
        <w:jc w:val="center"/>
      </w:pPr>
      <w:r w:rsidRPr="008D5C53">
        <w:rPr>
          <w:noProof/>
        </w:rPr>
        <w:drawing>
          <wp:inline distT="0" distB="0" distL="0" distR="0" wp14:anchorId="7B337A70" wp14:editId="00ED1ECA">
            <wp:extent cx="5136515" cy="5038725"/>
            <wp:effectExtent l="0" t="0" r="6985" b="952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36515" cy="5038725"/>
                    </a:xfrm>
                    <a:prstGeom prst="rect">
                      <a:avLst/>
                    </a:prstGeom>
                    <a:noFill/>
                    <a:ln>
                      <a:noFill/>
                    </a:ln>
                  </pic:spPr>
                </pic:pic>
              </a:graphicData>
            </a:graphic>
          </wp:inline>
        </w:drawing>
      </w:r>
    </w:p>
    <w:p w14:paraId="6CDB173F" w14:textId="77777777" w:rsidR="000C5AF3" w:rsidRDefault="000C5AF3" w:rsidP="00501FA3"/>
    <w:p w14:paraId="29F1B004" w14:textId="6A41E91A" w:rsidR="000C5AF3" w:rsidRDefault="000C5AF3" w:rsidP="0045532B">
      <w:pPr>
        <w:pStyle w:val="Caption"/>
      </w:pPr>
      <w:bookmarkStart w:id="114" w:name="_Toc123916493"/>
      <w:r>
        <w:t xml:space="preserve">Tableau </w:t>
      </w:r>
      <w:fldSimple w:instr=" SEQ Tableau \* ARABIC ">
        <w:r w:rsidR="00AB51D9">
          <w:rPr>
            <w:noProof/>
          </w:rPr>
          <w:t>1</w:t>
        </w:r>
      </w:fldSimple>
      <w:r>
        <w:t xml:space="preserve"> : </w:t>
      </w:r>
      <w:r w:rsidRPr="00ED64B9">
        <w:t>Transport intérieur terrestre de marchandises par mode en 1990, 2000, et de 2018 à 2021</w:t>
      </w:r>
      <w:bookmarkEnd w:id="114"/>
    </w:p>
    <w:p w14:paraId="385BC4B1" w14:textId="458567F3" w:rsidR="000C5AF3" w:rsidRDefault="000C5AF3" w:rsidP="0045532B">
      <w:pPr>
        <w:pStyle w:val="Caption"/>
      </w:pPr>
      <w:r>
        <w:t>Source : SDES</w:t>
      </w:r>
    </w:p>
    <w:p w14:paraId="795903CA" w14:textId="77777777" w:rsidR="00501FA3" w:rsidRDefault="00501FA3" w:rsidP="00501FA3"/>
    <w:p w14:paraId="66F3534B" w14:textId="77777777" w:rsidR="00501FA3" w:rsidRDefault="00501FA3" w:rsidP="00501FA3">
      <w:r>
        <w:t>Le transport ferroviaire n’a cessé de s’éroder entre 1990 et 2010 et atteint en 2021 35,8 milliards de tonnes-kilomètres (-37,9% vs. 1990). Le niveau d’activité de 2021 est en hausse de 14,3% par rapport à 2020 mais surtout en hausse de 5,6% par rapport à 2019, avant la crise sanitaire. L’activité de fret ferroviaire est essentiellement portée par la dynamique du transport national qui représente 60% du secteur.</w:t>
      </w:r>
    </w:p>
    <w:p w14:paraId="1FCF4847" w14:textId="77777777" w:rsidR="00501FA3" w:rsidRDefault="00501FA3" w:rsidP="00501FA3"/>
    <w:p w14:paraId="6E149213" w14:textId="77777777" w:rsidR="00501FA3" w:rsidRDefault="00501FA3" w:rsidP="00501FA3">
      <w:pPr>
        <w:jc w:val="center"/>
      </w:pPr>
      <w:r>
        <w:rPr>
          <w:noProof/>
        </w:rPr>
        <w:drawing>
          <wp:inline distT="0" distB="0" distL="0" distR="0" wp14:anchorId="23C2E7DA" wp14:editId="07456014">
            <wp:extent cx="4572000" cy="2743200"/>
            <wp:effectExtent l="0" t="0" r="0" b="0"/>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1003B7" w14:textId="64FDA4D1" w:rsidR="000C5AF3" w:rsidRDefault="000C5AF3" w:rsidP="0045532B">
      <w:pPr>
        <w:pStyle w:val="Caption"/>
      </w:pPr>
      <w:bookmarkStart w:id="115" w:name="_Toc123916422"/>
      <w:r>
        <w:t xml:space="preserve">Figure </w:t>
      </w:r>
      <w:fldSimple w:instr=" SEQ Figure \* ARABIC ">
        <w:r w:rsidR="00AB51D9">
          <w:rPr>
            <w:noProof/>
          </w:rPr>
          <w:t>11</w:t>
        </w:r>
      </w:fldSimple>
      <w:r>
        <w:t xml:space="preserve"> : </w:t>
      </w:r>
      <w:r w:rsidRPr="000C5AF3">
        <w:t>Figure : Transport intérieur terrestre de marchandises par mode de 1985 à 2021</w:t>
      </w:r>
      <w:bookmarkEnd w:id="115"/>
    </w:p>
    <w:p w14:paraId="5602F7AB" w14:textId="7653959A" w:rsidR="000C5AF3" w:rsidRDefault="000C5AF3" w:rsidP="0045532B">
      <w:pPr>
        <w:pStyle w:val="Caption"/>
      </w:pPr>
      <w:r>
        <w:t>Source : SDES</w:t>
      </w:r>
    </w:p>
    <w:p w14:paraId="5DB622B6" w14:textId="77777777" w:rsidR="00501FA3" w:rsidRDefault="00501FA3" w:rsidP="00501FA3"/>
    <w:p w14:paraId="2F5E8C8A" w14:textId="77777777" w:rsidR="00501FA3" w:rsidRDefault="00501FA3" w:rsidP="00501FA3">
      <w:r>
        <w:t>Le transport fluvial, en érosion entre 1990 et 1997, a ensuite opéré une remontée progressive jusqu’en 2005. Il s’est ensuite un peu stabilisé avant de baisser de nouveau à partir de 2014. Le transport fluvial de marchandises s’élève à 6,8 milliards de tonnes-kilomètres en 2021.</w:t>
      </w:r>
    </w:p>
    <w:p w14:paraId="59425D9A" w14:textId="77777777" w:rsidR="00501FA3" w:rsidRDefault="00501FA3" w:rsidP="00501FA3">
      <w:r>
        <w:t xml:space="preserve">Le transport par oléoducs est en baisse continue depuis 1990 (-53%) </w:t>
      </w:r>
    </w:p>
    <w:p w14:paraId="620DC41F" w14:textId="77777777" w:rsidR="00501FA3" w:rsidRDefault="00501FA3" w:rsidP="00501FA3"/>
    <w:p w14:paraId="4529B7AC" w14:textId="77777777" w:rsidR="00501FA3" w:rsidRDefault="00501FA3" w:rsidP="00EF6DB6">
      <w:pPr>
        <w:pStyle w:val="Titre4niveau4"/>
      </w:pPr>
      <w:r>
        <w:t>Le transport de voyageurs</w:t>
      </w:r>
    </w:p>
    <w:p w14:paraId="6C78163A" w14:textId="77777777" w:rsidR="00501FA3" w:rsidRDefault="00501FA3" w:rsidP="00501FA3"/>
    <w:p w14:paraId="55F9999E" w14:textId="1C8F23D6" w:rsidR="00501FA3" w:rsidRDefault="00501FA3" w:rsidP="00501FA3">
      <w:r>
        <w:t>Le volume total des transports intérieurs de voyageurs a augmenté de manière régulière depuis 1990. Le volume total des voitures particulières a continuellement augmenté jusqu’en 2018 : après une légère baisse entre 2018 et 2019 (-0,5%), le volume a très fortement chuté en 2020 (-</w:t>
      </w:r>
      <w:r w:rsidR="005C72A2">
        <w:t>25,5%</w:t>
      </w:r>
      <w:r>
        <w:t xml:space="preserve">) en raison des restrictions mises en place pour lutter contre la crise de Covid-19. Le volume total des transports intérieurs de voyageurs par car est relativement stable, tandis que celui des autobus et tramways a augmenté jusqu’à la crise sanitaire. Le volume des transports aériens a fortement augmenté jusqu’à la crise sanitaire où il a baissé 55,5%. Malgré un rebond on 2021, le niveau d’avant crise n’a pas encore été retrouvé et le volume de l’aérien inférieur de 37,6% au niveau d’avant crise. La figure ci-dessous illustre ces évolutions sur la période 2012-2021. </w:t>
      </w:r>
    </w:p>
    <w:p w14:paraId="638727A0" w14:textId="77777777" w:rsidR="00501FA3" w:rsidRDefault="00501FA3" w:rsidP="00501FA3"/>
    <w:p w14:paraId="53080E2C" w14:textId="77777777" w:rsidR="00501FA3" w:rsidRDefault="00501FA3" w:rsidP="00501FA3">
      <w:pPr>
        <w:jc w:val="center"/>
      </w:pPr>
      <w:r>
        <w:rPr>
          <w:noProof/>
        </w:rPr>
        <w:drawing>
          <wp:inline distT="0" distB="0" distL="0" distR="0" wp14:anchorId="0B83A1FE" wp14:editId="53EA4A60">
            <wp:extent cx="5277600" cy="26172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7600" cy="2617200"/>
                    </a:xfrm>
                    <a:prstGeom prst="rect">
                      <a:avLst/>
                    </a:prstGeom>
                  </pic:spPr>
                </pic:pic>
              </a:graphicData>
            </a:graphic>
          </wp:inline>
        </w:drawing>
      </w:r>
    </w:p>
    <w:p w14:paraId="25E77ECE" w14:textId="60157D46" w:rsidR="000C5AF3" w:rsidRDefault="000C5AF3" w:rsidP="0045532B">
      <w:pPr>
        <w:pStyle w:val="Caption"/>
      </w:pPr>
      <w:bookmarkStart w:id="116" w:name="_Toc123916423"/>
      <w:r>
        <w:t xml:space="preserve">Figure </w:t>
      </w:r>
      <w:fldSimple w:instr=" SEQ Figure \* ARABIC ">
        <w:r w:rsidR="00AB51D9">
          <w:rPr>
            <w:noProof/>
          </w:rPr>
          <w:t>12</w:t>
        </w:r>
      </w:fldSimple>
      <w:r>
        <w:t xml:space="preserve"> : Evolution des modes de transports collectifs depuis 2012</w:t>
      </w:r>
      <w:bookmarkEnd w:id="116"/>
    </w:p>
    <w:p w14:paraId="6D770F9C" w14:textId="73F6F14C" w:rsidR="00501FA3" w:rsidRDefault="000C5AF3" w:rsidP="0045532B">
      <w:pPr>
        <w:pStyle w:val="Caption"/>
      </w:pPr>
      <w:r>
        <w:t>Source : SDES</w:t>
      </w:r>
    </w:p>
    <w:p w14:paraId="6393F501" w14:textId="77777777" w:rsidR="000C5AF3" w:rsidRPr="000C5AF3" w:rsidRDefault="000C5AF3" w:rsidP="000C5AF3"/>
    <w:p w14:paraId="0B9EC797" w14:textId="3518F98A" w:rsidR="00501FA3" w:rsidRDefault="00501FA3" w:rsidP="00501FA3">
      <w:r>
        <w:t>En 2015, l’activité du transport intérieur de voyageurs a crû sensiblement (+ 2,1</w:t>
      </w:r>
      <w:r w:rsidR="006518EF">
        <w:t>%</w:t>
      </w:r>
      <w:r>
        <w:t>, après + 0,8</w:t>
      </w:r>
      <w:r w:rsidR="006518EF">
        <w:t>%</w:t>
      </w:r>
      <w:r>
        <w:t xml:space="preserve"> en 2014), à un rythme bien supérieur à sa moyenne annuelle depuis 2010. </w:t>
      </w:r>
    </w:p>
    <w:p w14:paraId="655B9F54" w14:textId="77777777" w:rsidR="00501FA3" w:rsidRDefault="00501FA3" w:rsidP="00501FA3"/>
    <w:p w14:paraId="06FC518E" w14:textId="68545465" w:rsidR="00501FA3" w:rsidRDefault="00501FA3" w:rsidP="00501FA3">
      <w:r>
        <w:t>Les deux figures ci-dessous illustrent l’évolution des types de motorisations utilisées, d’une part pour les voitures particulières, et d’autre part à droite pour les véhicules utilitaires légers. La part du diesel dans le parc des voitures particulières a augmenté jusqu’en 2015 et a commencé à s’éroder depuis, pour atteindre 55,5% en 2022. Pour les véhicules légers, la part du diésel a augmenté jusqu’en 2018, et a commencé à baisser à partir de 2021 mais reste très élevée à 95%.</w:t>
      </w:r>
      <w:r w:rsidR="00775EB7">
        <w:t xml:space="preserve"> La part des voitures électriques (9,8 %) dans les immatriculations de voitures neuves s’accélère en 2021. Le verdissement des flottes </w:t>
      </w:r>
      <w:r w:rsidR="00775EB7">
        <w:softHyphen/>
        <w:t>soutenu par le Plan de relance, les normes européennes, et les mesures de la Loi sur les mobilités, ont contribué à cette accélération.</w:t>
      </w:r>
    </w:p>
    <w:p w14:paraId="18D1679D" w14:textId="77777777" w:rsidR="00501FA3" w:rsidRDefault="00501FA3" w:rsidP="00501FA3"/>
    <w:p w14:paraId="3480C043" w14:textId="77777777" w:rsidR="00501FA3" w:rsidRDefault="00501FA3" w:rsidP="00501FA3">
      <w:pPr>
        <w:jc w:val="center"/>
      </w:pPr>
      <w:r>
        <w:rPr>
          <w:noProof/>
        </w:rPr>
        <w:drawing>
          <wp:inline distT="0" distB="0" distL="0" distR="0" wp14:anchorId="5E3436CD" wp14:editId="14274A9D">
            <wp:extent cx="6157554" cy="2743200"/>
            <wp:effectExtent l="0" t="0" r="15240" b="0"/>
            <wp:docPr id="40" name="Graphique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A5C9618" w14:textId="77777777" w:rsidR="00501FA3" w:rsidRDefault="00501FA3" w:rsidP="00501FA3"/>
    <w:p w14:paraId="5CF6E2B2" w14:textId="77777777" w:rsidR="00501FA3" w:rsidRDefault="00501FA3" w:rsidP="00501FA3">
      <w:pPr>
        <w:jc w:val="center"/>
      </w:pPr>
      <w:r>
        <w:rPr>
          <w:noProof/>
        </w:rPr>
        <w:drawing>
          <wp:inline distT="0" distB="0" distL="0" distR="0" wp14:anchorId="42663157" wp14:editId="657FBB4F">
            <wp:extent cx="6167336" cy="3314700"/>
            <wp:effectExtent l="0" t="0" r="5080" b="0"/>
            <wp:docPr id="41" name="Graphique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A507539" w14:textId="053280B5" w:rsidR="00856AE5" w:rsidRDefault="00856AE5" w:rsidP="0045532B">
      <w:pPr>
        <w:pStyle w:val="Caption"/>
      </w:pPr>
      <w:bookmarkStart w:id="117" w:name="_Toc123916424"/>
      <w:r>
        <w:t xml:space="preserve">Figure </w:t>
      </w:r>
      <w:fldSimple w:instr=" SEQ Figure \* ARABIC ">
        <w:r w:rsidR="00AB51D9">
          <w:rPr>
            <w:noProof/>
          </w:rPr>
          <w:t>13</w:t>
        </w:r>
      </w:fldSimple>
      <w:r>
        <w:t xml:space="preserve"> : </w:t>
      </w:r>
      <w:r w:rsidRPr="00182F39">
        <w:t>Figure Parc français de véhicules de 2011 à 2022, en millions d’unités : en haut, pour les voitures particulières ; en bas pour les véhicules utilitaires légers</w:t>
      </w:r>
      <w:bookmarkEnd w:id="117"/>
    </w:p>
    <w:p w14:paraId="2AA6B0E2" w14:textId="19426660" w:rsidR="00501FA3" w:rsidRDefault="00856AE5" w:rsidP="0045532B">
      <w:pPr>
        <w:pStyle w:val="Caption"/>
      </w:pPr>
      <w:r>
        <w:t>Source : SDES</w:t>
      </w:r>
    </w:p>
    <w:p w14:paraId="57DC992E" w14:textId="77777777" w:rsidR="00501FA3" w:rsidRDefault="00501FA3" w:rsidP="00501FA3">
      <w:r>
        <w:rPr>
          <w:noProof/>
        </w:rPr>
        <w:drawing>
          <wp:inline distT="0" distB="0" distL="0" distR="0" wp14:anchorId="7041A455" wp14:editId="493917BD">
            <wp:extent cx="6303010" cy="2743200"/>
            <wp:effectExtent l="0" t="0" r="2540" b="0"/>
            <wp:docPr id="42" name="Graphique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9D91EC0" w14:textId="1999D521" w:rsidR="00856AE5" w:rsidRDefault="00856AE5" w:rsidP="0045532B">
      <w:pPr>
        <w:pStyle w:val="Caption"/>
      </w:pPr>
      <w:bookmarkStart w:id="118" w:name="_Toc123916425"/>
      <w:r>
        <w:t xml:space="preserve">Figure </w:t>
      </w:r>
      <w:fldSimple w:instr=" SEQ Figure \* ARABIC ">
        <w:r w:rsidR="00AB51D9">
          <w:rPr>
            <w:noProof/>
          </w:rPr>
          <w:t>14</w:t>
        </w:r>
      </w:fldSimple>
      <w:r>
        <w:t xml:space="preserve"> :</w:t>
      </w:r>
      <w:r w:rsidR="00605C46">
        <w:t xml:space="preserve"> </w:t>
      </w:r>
      <w:r>
        <w:t>Part des différentes énergies dans la vente de voitures en France</w:t>
      </w:r>
      <w:bookmarkEnd w:id="118"/>
    </w:p>
    <w:p w14:paraId="5FB0D9A2" w14:textId="41A9A2DB" w:rsidR="00501FA3" w:rsidRDefault="00856AE5" w:rsidP="0045532B">
      <w:pPr>
        <w:pStyle w:val="Caption"/>
      </w:pPr>
      <w:r>
        <w:t>Source : CCFA, INSEE</w:t>
      </w:r>
    </w:p>
    <w:p w14:paraId="1E9A135D" w14:textId="77777777" w:rsidR="00501FA3" w:rsidRDefault="00501FA3" w:rsidP="00501FA3"/>
    <w:p w14:paraId="17E5A5C3" w14:textId="77777777" w:rsidR="00501FA3" w:rsidRDefault="00501FA3" w:rsidP="00501FA3">
      <w:r>
        <w:t>Pour les véhicules particuliers, les motorisations diesel représentaient la majorité des ventes jusqu’en 2012, puis cette part a commencé à baisser : en 2021 les ventes de diesel ne représentent plus que 30,6% des ventes de véhicules neufs et en 2021 cette part descendrait sous les 25%.</w:t>
      </w:r>
    </w:p>
    <w:p w14:paraId="6014EE8C" w14:textId="77777777" w:rsidR="00501FA3" w:rsidRDefault="00501FA3" w:rsidP="00EF6DB6">
      <w:pPr>
        <w:pStyle w:val="Titre4niveau4"/>
      </w:pPr>
      <w:r>
        <w:t>L’utilisation d’énergie renouvelable dans les transports progresse</w:t>
      </w:r>
    </w:p>
    <w:p w14:paraId="1E10605B" w14:textId="1A29F8C7" w:rsidR="00501FA3" w:rsidRDefault="00501FA3" w:rsidP="00501FA3">
      <w:r>
        <w:t>La directive 2009 / 28 / CE relative à la promotion de l'utilisation des énergies renouvelables (EnR) a introduit deux objectifs nationaux contraignants dont un concerne les transports : pour la France, la part des énergies renouvelables dans la consommation finale brute d’énergie du secteur des transports doit atteindre 10</w:t>
      </w:r>
      <w:r w:rsidR="006518EF">
        <w:t>%</w:t>
      </w:r>
      <w:r>
        <w:t xml:space="preserve"> d’ici 2020. Cette part a atteint 9,2% en 2020, manquant de peu l’objectif fixé par la directive européenne.</w:t>
      </w:r>
    </w:p>
    <w:p w14:paraId="754D4152" w14:textId="77777777" w:rsidR="00501FA3" w:rsidRDefault="00501FA3" w:rsidP="00501FA3"/>
    <w:p w14:paraId="2FCFE4D2" w14:textId="665A4967" w:rsidR="00501FA3" w:rsidRDefault="00317CCF" w:rsidP="00317CCF">
      <w:pPr>
        <w:jc w:val="center"/>
      </w:pPr>
      <w:r>
        <w:rPr>
          <w:noProof/>
        </w:rPr>
        <w:drawing>
          <wp:inline distT="0" distB="0" distL="0" distR="0" wp14:anchorId="30BEED6E" wp14:editId="521F2BC8">
            <wp:extent cx="5210176" cy="3057526"/>
            <wp:effectExtent l="0" t="0" r="9525" b="9525"/>
            <wp:docPr id="28673" name="Graphique 28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A877768" w14:textId="1C435979" w:rsidR="00317CCF" w:rsidRDefault="00317CCF" w:rsidP="0045532B">
      <w:pPr>
        <w:pStyle w:val="Caption"/>
      </w:pPr>
      <w:bookmarkStart w:id="119" w:name="_Toc123916426"/>
      <w:r>
        <w:t xml:space="preserve">Figure </w:t>
      </w:r>
      <w:fldSimple w:instr=" SEQ Figure \* ARABIC ">
        <w:r w:rsidR="00AB51D9">
          <w:rPr>
            <w:noProof/>
          </w:rPr>
          <w:t>15</w:t>
        </w:r>
      </w:fldSimple>
      <w:r>
        <w:t xml:space="preserve"> : </w:t>
      </w:r>
      <w:r w:rsidR="00501FA3">
        <w:t>Figure Part en</w:t>
      </w:r>
      <w:r w:rsidR="006518EF">
        <w:t>%</w:t>
      </w:r>
      <w:r w:rsidR="00501FA3">
        <w:t xml:space="preserve"> des consommations d’énergies renouvelables dans les consommations totales d’énergie du transport</w:t>
      </w:r>
      <w:bookmarkEnd w:id="119"/>
    </w:p>
    <w:p w14:paraId="26C7709B" w14:textId="15334269" w:rsidR="00501FA3" w:rsidRDefault="00501FA3" w:rsidP="0045532B">
      <w:pPr>
        <w:pStyle w:val="Caption"/>
      </w:pPr>
      <w:r>
        <w:t>Source : SDES</w:t>
      </w:r>
    </w:p>
    <w:p w14:paraId="4C37B862" w14:textId="72A77FB9" w:rsidR="00501FA3" w:rsidRDefault="00501FA3" w:rsidP="003F57EA">
      <w:pPr>
        <w:pStyle w:val="Titre3Niveau3"/>
      </w:pPr>
      <w:bookmarkStart w:id="120" w:name="_Toc120567449"/>
      <w:bookmarkStart w:id="121" w:name="_Toc138341971"/>
      <w:r>
        <w:t>Bâtiment / Résidentiel /</w:t>
      </w:r>
      <w:r w:rsidR="00A100E1">
        <w:t xml:space="preserve"> </w:t>
      </w:r>
      <w:r>
        <w:t>Tertiaire</w:t>
      </w:r>
      <w:bookmarkEnd w:id="120"/>
      <w:bookmarkEnd w:id="121"/>
    </w:p>
    <w:p w14:paraId="10A96BC9" w14:textId="3EC6B249" w:rsidR="00501FA3" w:rsidRDefault="00501FA3" w:rsidP="00501FA3">
      <w:r>
        <w:t xml:space="preserve">La consommation corrigée des variations climatiques de l’ensemble résidentiel et tertiaire augmente jusqu’en 2006, puis baisse légèrement avant de réaugmenter très fortement en 2008. Une nouvelle tendance à la baisse s’établit jusqu’en 2019. La consommation a augmenté </w:t>
      </w:r>
      <w:r w:rsidR="00A15877">
        <w:t xml:space="preserve">dans le résidentiel </w:t>
      </w:r>
      <w:r>
        <w:t xml:space="preserve">en 2020 </w:t>
      </w:r>
      <w:r w:rsidR="00A15877">
        <w:t xml:space="preserve">(+3%) </w:t>
      </w:r>
      <w:r w:rsidR="00347286">
        <w:t>du fait du confinement. La reprise économique en 2021 entraîne un rebond global qui place 2021 quasiment au niveau de 2019</w:t>
      </w:r>
      <w:r>
        <w:t>.</w:t>
      </w:r>
      <w:r w:rsidR="00347286">
        <w:t xml:space="preserve"> </w:t>
      </w:r>
      <w:r w:rsidR="00347286" w:rsidRPr="000726B7">
        <w:t>Ce</w:t>
      </w:r>
      <w:r w:rsidR="00347286">
        <w:t>tt</w:t>
      </w:r>
      <w:r w:rsidR="00347286" w:rsidRPr="000726B7">
        <w:softHyphen/>
        <w:t>e hausse après la baisse conjoncturelle de 2020 relève d’une hausse des consommations d'énergie post Covid-19, avec principalement une intensi</w:t>
      </w:r>
      <w:r w:rsidR="00347286">
        <w:t>fi</w:t>
      </w:r>
      <w:r w:rsidR="00347286" w:rsidRPr="000726B7">
        <w:t>cation du chau</w:t>
      </w:r>
      <w:r w:rsidR="00347286">
        <w:t>ff</w:t>
      </w:r>
      <w:r w:rsidR="00347286" w:rsidRPr="000726B7">
        <w:t>age des bâtiments résidentiels et tertiaires résultant d’un hiver et d’une arrière-saison plus rigoureux, et un potentiel allongement des plages horaires de consommation d’énergie en journée, en lien avec les pratiques à la hausse du télétravail</w:t>
      </w:r>
      <w:r w:rsidR="00347286">
        <w:t>.</w:t>
      </w:r>
    </w:p>
    <w:p w14:paraId="4E98ABE0" w14:textId="55D0B32B" w:rsidR="00501FA3" w:rsidRDefault="00501FA3" w:rsidP="00501FA3">
      <w:r>
        <w:t>La part du résidentiel-tertiaire dans la consommation totale est passée de 41,5% en 1973 à 4</w:t>
      </w:r>
      <w:r w:rsidR="00775EB7">
        <w:t>3</w:t>
      </w:r>
      <w:r w:rsidR="006518EF">
        <w:t>%</w:t>
      </w:r>
      <w:r>
        <w:t xml:space="preserve"> en 1990, puis à 46,6% en 2021. </w:t>
      </w:r>
    </w:p>
    <w:p w14:paraId="60E2A6CA" w14:textId="77777777" w:rsidR="00501FA3" w:rsidRDefault="00501FA3" w:rsidP="00501FA3"/>
    <w:p w14:paraId="72256BDF" w14:textId="77777777" w:rsidR="00501FA3" w:rsidRDefault="00501FA3" w:rsidP="00501FA3">
      <w:r>
        <w:t>En particulier, la consommation de fioul domestique pour le chauffage s’érode depuis plus de trente ans. Depuis 1990, le gaz naturel s'est substitué au charbon et au fioul pour le chauffage des bâtiments, l'eau chaude et la cuisson. Les hausses de prix et dispositifs d’aide ont favorisé le remplacement des chaudières au fioul domestique par des installations plus performantes ou consommatrices d’autres formes d’énergie, telles que l’électricité, le gaz ou les énergies renouvelables. Le fioul est de moins en moins utilisé dans les réseaux de chaleur pour le chauffage urbain, au profit notamment des énergies renouvelables. Enfin, l’usage du butane et du propane diminue fortement depuis plusieurs années.</w:t>
      </w:r>
    </w:p>
    <w:p w14:paraId="20A837B5" w14:textId="77777777" w:rsidR="00501FA3" w:rsidRDefault="00501FA3" w:rsidP="00501FA3"/>
    <w:p w14:paraId="05F35FE6" w14:textId="25AB6D8E" w:rsidR="00260E0B" w:rsidRDefault="00501FA3" w:rsidP="00501FA3">
      <w:r>
        <w:t>En 2018, la combustion du gaz naturel est désormais à l’origine de près de 64</w:t>
      </w:r>
      <w:r w:rsidR="006518EF">
        <w:t>%</w:t>
      </w:r>
      <w:r>
        <w:t xml:space="preserve"> des émissions de </w:t>
      </w:r>
      <w:r w:rsidR="007F09F7">
        <w:t>CO</w:t>
      </w:r>
      <w:r w:rsidR="007F09F7" w:rsidRPr="007F09F7">
        <w:rPr>
          <w:vertAlign w:val="subscript"/>
        </w:rPr>
        <w:t>2</w:t>
      </w:r>
      <w:r>
        <w:t xml:space="preserve"> liées à ces usages. A noter que ces émissions sont très dépendantes des conditions climatiques : elles baissent lorsque les températures sont plus douces que les normales saisonnières et inversement augmentent en cas de plus grande rigueur climatique.</w:t>
      </w:r>
    </w:p>
    <w:p w14:paraId="6DD535F5" w14:textId="79C06434" w:rsidR="00260E0B" w:rsidRDefault="00260E0B" w:rsidP="00AA2B36">
      <w:pPr>
        <w:spacing w:before="240" w:after="240"/>
      </w:pPr>
      <w:r w:rsidRPr="009D6FCA">
        <w:t xml:space="preserve">Depuis le </w:t>
      </w:r>
      <w:r w:rsidR="006518EF" w:rsidRPr="009F4180">
        <w:t>1</w:t>
      </w:r>
      <w:r w:rsidR="006518EF" w:rsidRPr="007F47EF">
        <w:rPr>
          <w:vertAlign w:val="superscript"/>
        </w:rPr>
        <w:t>er</w:t>
      </w:r>
      <w:r>
        <w:t xml:space="preserve"> janvier 2020, le crédit d’impôt pour la transition énergétique (CITE) a été</w:t>
      </w:r>
      <w:r w:rsidRPr="009D6FCA">
        <w:t xml:space="preserve"> remplacé par le dispositif «</w:t>
      </w:r>
      <w:r w:rsidRPr="009D6FCA">
        <w:rPr>
          <w:rFonts w:ascii="Calibri" w:hAnsi="Calibri" w:cs="Calibri"/>
        </w:rPr>
        <w:t> </w:t>
      </w:r>
      <w:r w:rsidRPr="009D6FCA">
        <w:t>MaPrimeRénov’</w:t>
      </w:r>
      <w:r w:rsidRPr="009D6FCA">
        <w:rPr>
          <w:rFonts w:ascii="Calibri" w:hAnsi="Calibri" w:cs="Calibri"/>
        </w:rPr>
        <w:t> </w:t>
      </w:r>
      <w:r w:rsidRPr="009D6FCA">
        <w:rPr>
          <w:rFonts w:cs="Marianne"/>
        </w:rPr>
        <w:t>»</w:t>
      </w:r>
      <w:r w:rsidRPr="009D6FCA">
        <w:t>, a</w:t>
      </w:r>
      <w:r w:rsidRPr="009D6FCA">
        <w:rPr>
          <w:bCs/>
        </w:rPr>
        <w:t>ccessible à tous les propriétaires et à toutes les copropriétés de logement construit depuis au moins 15 ans</w:t>
      </w:r>
      <w:r w:rsidRPr="009D6FCA">
        <w:t xml:space="preserve">. Son montant est modulé selon les revenus du foyer et la nature des travaux. En 2021, </w:t>
      </w:r>
      <w:r>
        <w:t>ce dispositif</w:t>
      </w:r>
      <w:r w:rsidRPr="009D6FCA">
        <w:t xml:space="preserve"> a permis de financer la rénovation de</w:t>
      </w:r>
      <w:r>
        <w:t xml:space="preserve"> près de 650</w:t>
      </w:r>
      <w:r w:rsidRPr="009D6FCA">
        <w:rPr>
          <w:rFonts w:ascii="Calibri" w:hAnsi="Calibri" w:cs="Calibri"/>
        </w:rPr>
        <w:t> </w:t>
      </w:r>
      <w:r w:rsidRPr="009D6FCA">
        <w:t>000 logements, pour un budget d’un peu plus de deux milliards d’euros.</w:t>
      </w:r>
    </w:p>
    <w:p w14:paraId="44DA4210" w14:textId="77777777" w:rsidR="00501FA3" w:rsidRDefault="00501FA3" w:rsidP="00EF6DB6">
      <w:pPr>
        <w:pStyle w:val="Titre4niveau4"/>
      </w:pPr>
      <w:r>
        <w:t xml:space="preserve">Résidentiel </w:t>
      </w:r>
    </w:p>
    <w:p w14:paraId="042544BF" w14:textId="77777777" w:rsidR="00501FA3" w:rsidRDefault="00501FA3" w:rsidP="00501FA3"/>
    <w:p w14:paraId="24CAFA34" w14:textId="5FEFEE0C" w:rsidR="00501FA3" w:rsidRDefault="00501FA3" w:rsidP="00501FA3">
      <w:r>
        <w:t>Depuis trente ans, le parc de logements progresse tendanciellement sur un rythme d’environ 1</w:t>
      </w:r>
      <w:r w:rsidR="006518EF">
        <w:t>%</w:t>
      </w:r>
      <w:r>
        <w:t xml:space="preserve"> par an (cf. tableau ci-dessous). Au </w:t>
      </w:r>
      <w:r w:rsidR="006518EF" w:rsidRPr="009F4180">
        <w:t>1</w:t>
      </w:r>
      <w:r w:rsidR="006518EF" w:rsidRPr="007F47EF">
        <w:rPr>
          <w:vertAlign w:val="superscript"/>
        </w:rPr>
        <w:t>er</w:t>
      </w:r>
      <w:r>
        <w:t xml:space="preserve"> janvier 2021, le nombre de logements s’élève à 37,2 millions en France hors Mayotte : </w:t>
      </w:r>
    </w:p>
    <w:p w14:paraId="19ED53D1" w14:textId="77777777" w:rsidR="00501FA3" w:rsidRDefault="00501FA3" w:rsidP="00501FA3"/>
    <w:tbl>
      <w:tblPr>
        <w:tblStyle w:val="ListTable4-Accent4"/>
        <w:tblW w:w="0" w:type="auto"/>
        <w:jc w:val="center"/>
        <w:tblLook w:val="04A0" w:firstRow="1" w:lastRow="0" w:firstColumn="1" w:lastColumn="0" w:noHBand="0" w:noVBand="1"/>
      </w:tblPr>
      <w:tblGrid>
        <w:gridCol w:w="1642"/>
        <w:gridCol w:w="735"/>
        <w:gridCol w:w="1481"/>
        <w:gridCol w:w="1115"/>
        <w:gridCol w:w="367"/>
        <w:gridCol w:w="1482"/>
        <w:gridCol w:w="1482"/>
        <w:gridCol w:w="1636"/>
      </w:tblGrid>
      <w:tr w:rsidR="00501FA3" w14:paraId="4F4F40D4" w14:textId="77777777" w:rsidTr="00E53B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4" w:type="dxa"/>
          </w:tcPr>
          <w:p w14:paraId="40B531DF" w14:textId="77777777" w:rsidR="00501FA3" w:rsidRDefault="00501FA3" w:rsidP="00E53B5D"/>
        </w:tc>
        <w:tc>
          <w:tcPr>
            <w:tcW w:w="3334" w:type="dxa"/>
            <w:gridSpan w:val="3"/>
          </w:tcPr>
          <w:p w14:paraId="024713A7"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t>1982</w:t>
            </w:r>
          </w:p>
        </w:tc>
        <w:tc>
          <w:tcPr>
            <w:tcW w:w="3334" w:type="dxa"/>
            <w:gridSpan w:val="3"/>
          </w:tcPr>
          <w:p w14:paraId="7BC9A6C3"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t>2021</w:t>
            </w:r>
          </w:p>
        </w:tc>
        <w:tc>
          <w:tcPr>
            <w:tcW w:w="1638" w:type="dxa"/>
            <w:vMerge w:val="restart"/>
          </w:tcPr>
          <w:p w14:paraId="020F706C" w14:textId="77777777" w:rsidR="00501FA3" w:rsidRDefault="00501FA3" w:rsidP="00E53B5D">
            <w:pPr>
              <w:cnfStyle w:val="100000000000" w:firstRow="1" w:lastRow="0" w:firstColumn="0" w:lastColumn="0" w:oddVBand="0" w:evenVBand="0" w:oddHBand="0" w:evenHBand="0" w:firstRowFirstColumn="0" w:firstRowLastColumn="0" w:lastRowFirstColumn="0" w:lastRowLastColumn="0"/>
            </w:pPr>
            <w:r>
              <w:t>Évolution annuelle moyenne</w:t>
            </w:r>
          </w:p>
          <w:p w14:paraId="255880BB" w14:textId="128C3CDF" w:rsidR="00501FA3" w:rsidRDefault="00501FA3" w:rsidP="00E53B5D">
            <w:pPr>
              <w:cnfStyle w:val="100000000000" w:firstRow="1" w:lastRow="0" w:firstColumn="0" w:lastColumn="0" w:oddVBand="0" w:evenVBand="0" w:oddHBand="0" w:evenHBand="0" w:firstRowFirstColumn="0" w:firstRowLastColumn="0" w:lastRowFirstColumn="0" w:lastRowLastColumn="0"/>
            </w:pPr>
            <w:r>
              <w:t>(en</w:t>
            </w:r>
            <w:r w:rsidR="006518EF">
              <w:t>%</w:t>
            </w:r>
            <w:r>
              <w:t>)</w:t>
            </w:r>
          </w:p>
        </w:tc>
      </w:tr>
      <w:tr w:rsidR="00501FA3" w14:paraId="7F25B3B5"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E76ED04" w14:textId="77777777" w:rsidR="00501FA3" w:rsidRDefault="00501FA3" w:rsidP="00E53B5D"/>
        </w:tc>
        <w:tc>
          <w:tcPr>
            <w:tcW w:w="1482" w:type="dxa"/>
          </w:tcPr>
          <w:p w14:paraId="236F90CA"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Nombre de logements</w:t>
            </w:r>
          </w:p>
          <w:p w14:paraId="0A126329"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(en milliers)</w:t>
            </w:r>
          </w:p>
        </w:tc>
        <w:tc>
          <w:tcPr>
            <w:tcW w:w="1483" w:type="dxa"/>
            <w:gridSpan w:val="2"/>
          </w:tcPr>
          <w:p w14:paraId="7E72E432"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Répartition</w:t>
            </w:r>
          </w:p>
          <w:p w14:paraId="18A95D3C" w14:textId="2907E9D1"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(en</w:t>
            </w:r>
            <w:r w:rsidR="006518EF">
              <w:t>%</w:t>
            </w:r>
            <w:r>
              <w:t>)</w:t>
            </w:r>
          </w:p>
        </w:tc>
        <w:tc>
          <w:tcPr>
            <w:tcW w:w="1483" w:type="dxa"/>
          </w:tcPr>
          <w:p w14:paraId="346A7F12"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Nombre de logements</w:t>
            </w:r>
          </w:p>
          <w:p w14:paraId="749998D2"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(en milliers)</w:t>
            </w:r>
          </w:p>
        </w:tc>
        <w:tc>
          <w:tcPr>
            <w:tcW w:w="1483" w:type="dxa"/>
          </w:tcPr>
          <w:p w14:paraId="4388B4D6"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Répartition</w:t>
            </w:r>
          </w:p>
          <w:p w14:paraId="6E8E5C04" w14:textId="2FA1B03F"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(en</w:t>
            </w:r>
            <w:r w:rsidR="006518EF">
              <w:t>%</w:t>
            </w:r>
            <w:r>
              <w:t>)</w:t>
            </w:r>
          </w:p>
        </w:tc>
        <w:tc>
          <w:tcPr>
            <w:tcW w:w="1638" w:type="dxa"/>
            <w:vMerge/>
          </w:tcPr>
          <w:p w14:paraId="666D0355" w14:textId="77777777" w:rsidR="00501FA3" w:rsidRDefault="00501FA3" w:rsidP="00E53B5D">
            <w:pPr>
              <w:cnfStyle w:val="000000100000" w:firstRow="0" w:lastRow="0" w:firstColumn="0" w:lastColumn="0" w:oddVBand="0" w:evenVBand="0" w:oddHBand="1" w:evenHBand="0" w:firstRowFirstColumn="0" w:firstRowLastColumn="0" w:lastRowFirstColumn="0" w:lastRowLastColumn="0"/>
            </w:pPr>
          </w:p>
        </w:tc>
      </w:tr>
      <w:tr w:rsidR="00501FA3" w14:paraId="4255C529"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646C332B" w14:textId="77777777" w:rsidR="00501FA3" w:rsidRDefault="00501FA3" w:rsidP="00E53B5D">
            <w:r w:rsidRPr="004472F7">
              <w:t>France hors Mayotte</w:t>
            </w:r>
          </w:p>
        </w:tc>
        <w:tc>
          <w:tcPr>
            <w:tcW w:w="1482" w:type="dxa"/>
          </w:tcPr>
          <w:p w14:paraId="25F3E1BF"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24 023</w:t>
            </w:r>
          </w:p>
        </w:tc>
        <w:tc>
          <w:tcPr>
            <w:tcW w:w="1483" w:type="dxa"/>
            <w:gridSpan w:val="2"/>
          </w:tcPr>
          <w:p w14:paraId="18283029"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483" w:type="dxa"/>
          </w:tcPr>
          <w:p w14:paraId="58CC4B37"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37 196</w:t>
            </w:r>
          </w:p>
        </w:tc>
        <w:tc>
          <w:tcPr>
            <w:tcW w:w="1483" w:type="dxa"/>
          </w:tcPr>
          <w:p w14:paraId="306E7145"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638" w:type="dxa"/>
          </w:tcPr>
          <w:p w14:paraId="17FC3A50"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1,1</w:t>
            </w:r>
          </w:p>
        </w:tc>
      </w:tr>
      <w:tr w:rsidR="00501FA3" w14:paraId="64265D08"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6F799547" w14:textId="77777777" w:rsidR="00501FA3" w:rsidRDefault="00501FA3" w:rsidP="00E53B5D">
            <w:r w:rsidRPr="004472F7">
              <w:t>Résidences principales</w:t>
            </w:r>
          </w:p>
        </w:tc>
        <w:tc>
          <w:tcPr>
            <w:tcW w:w="1482" w:type="dxa"/>
          </w:tcPr>
          <w:p w14:paraId="2660A767"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19 849</w:t>
            </w:r>
          </w:p>
        </w:tc>
        <w:tc>
          <w:tcPr>
            <w:tcW w:w="1483" w:type="dxa"/>
            <w:gridSpan w:val="2"/>
          </w:tcPr>
          <w:p w14:paraId="6502CF64"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82,6</w:t>
            </w:r>
          </w:p>
        </w:tc>
        <w:tc>
          <w:tcPr>
            <w:tcW w:w="1483" w:type="dxa"/>
          </w:tcPr>
          <w:p w14:paraId="37DB1947"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30 434</w:t>
            </w:r>
          </w:p>
        </w:tc>
        <w:tc>
          <w:tcPr>
            <w:tcW w:w="1483" w:type="dxa"/>
          </w:tcPr>
          <w:p w14:paraId="6B658C7C"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81,8</w:t>
            </w:r>
          </w:p>
        </w:tc>
        <w:tc>
          <w:tcPr>
            <w:tcW w:w="1638" w:type="dxa"/>
          </w:tcPr>
          <w:p w14:paraId="31CB6D21"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1,1</w:t>
            </w:r>
          </w:p>
        </w:tc>
      </w:tr>
      <w:tr w:rsidR="00501FA3" w14:paraId="381C08AF"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ECBF824" w14:textId="77777777" w:rsidR="00501FA3" w:rsidRDefault="00501FA3" w:rsidP="00E53B5D">
            <w:r w:rsidRPr="004472F7">
              <w:t>Résidences secondaires ou logements occasionnels</w:t>
            </w:r>
          </w:p>
        </w:tc>
        <w:tc>
          <w:tcPr>
            <w:tcW w:w="1482" w:type="dxa"/>
          </w:tcPr>
          <w:p w14:paraId="61FB36B2"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2 279</w:t>
            </w:r>
          </w:p>
        </w:tc>
        <w:tc>
          <w:tcPr>
            <w:tcW w:w="1483" w:type="dxa"/>
            <w:gridSpan w:val="2"/>
          </w:tcPr>
          <w:p w14:paraId="7D6E3EA6"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9,5</w:t>
            </w:r>
          </w:p>
        </w:tc>
        <w:tc>
          <w:tcPr>
            <w:tcW w:w="1483" w:type="dxa"/>
          </w:tcPr>
          <w:p w14:paraId="09666D67"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3 678</w:t>
            </w:r>
          </w:p>
        </w:tc>
        <w:tc>
          <w:tcPr>
            <w:tcW w:w="1483" w:type="dxa"/>
          </w:tcPr>
          <w:p w14:paraId="397FCF13"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9,9</w:t>
            </w:r>
          </w:p>
        </w:tc>
        <w:tc>
          <w:tcPr>
            <w:tcW w:w="1638" w:type="dxa"/>
          </w:tcPr>
          <w:p w14:paraId="7737F0C1"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1,2</w:t>
            </w:r>
          </w:p>
        </w:tc>
      </w:tr>
      <w:tr w:rsidR="00501FA3" w14:paraId="6ED1958D"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2686030F" w14:textId="77777777" w:rsidR="00501FA3" w:rsidRDefault="00501FA3" w:rsidP="00E53B5D">
            <w:r w:rsidRPr="004472F7">
              <w:t>Logements vacants</w:t>
            </w:r>
          </w:p>
        </w:tc>
        <w:tc>
          <w:tcPr>
            <w:tcW w:w="1482" w:type="dxa"/>
          </w:tcPr>
          <w:p w14:paraId="7E3015FC"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1 895</w:t>
            </w:r>
          </w:p>
        </w:tc>
        <w:tc>
          <w:tcPr>
            <w:tcW w:w="1483" w:type="dxa"/>
            <w:gridSpan w:val="2"/>
          </w:tcPr>
          <w:p w14:paraId="15C865F3"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7,9</w:t>
            </w:r>
          </w:p>
        </w:tc>
        <w:tc>
          <w:tcPr>
            <w:tcW w:w="1483" w:type="dxa"/>
          </w:tcPr>
          <w:p w14:paraId="43FBE96D"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3 085</w:t>
            </w:r>
          </w:p>
        </w:tc>
        <w:tc>
          <w:tcPr>
            <w:tcW w:w="1483" w:type="dxa"/>
          </w:tcPr>
          <w:p w14:paraId="3236E5BF"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8,3</w:t>
            </w:r>
          </w:p>
        </w:tc>
        <w:tc>
          <w:tcPr>
            <w:tcW w:w="1638" w:type="dxa"/>
          </w:tcPr>
          <w:p w14:paraId="7F18A07B"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1,3</w:t>
            </w:r>
          </w:p>
        </w:tc>
      </w:tr>
      <w:tr w:rsidR="00501FA3" w14:paraId="537F7BA9"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96340A0" w14:textId="77777777" w:rsidR="00501FA3" w:rsidRDefault="00501FA3" w:rsidP="00E53B5D">
            <w:r w:rsidRPr="004472F7">
              <w:t>France métropolitaine</w:t>
            </w:r>
          </w:p>
        </w:tc>
        <w:tc>
          <w:tcPr>
            <w:tcW w:w="1482" w:type="dxa"/>
          </w:tcPr>
          <w:p w14:paraId="6FB32472"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23 652</w:t>
            </w:r>
          </w:p>
        </w:tc>
        <w:tc>
          <w:tcPr>
            <w:tcW w:w="1483" w:type="dxa"/>
            <w:gridSpan w:val="2"/>
          </w:tcPr>
          <w:p w14:paraId="468A2007"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483" w:type="dxa"/>
          </w:tcPr>
          <w:p w14:paraId="3BFB74B3"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36 247</w:t>
            </w:r>
          </w:p>
        </w:tc>
        <w:tc>
          <w:tcPr>
            <w:tcW w:w="1483" w:type="dxa"/>
          </w:tcPr>
          <w:p w14:paraId="38B8CDCC"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638" w:type="dxa"/>
          </w:tcPr>
          <w:p w14:paraId="24BBCBA0"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1,1</w:t>
            </w:r>
          </w:p>
        </w:tc>
      </w:tr>
      <w:tr w:rsidR="00501FA3" w14:paraId="6C366195"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5CB7E79F" w14:textId="77777777" w:rsidR="00501FA3" w:rsidRDefault="00501FA3" w:rsidP="00E53B5D">
            <w:r w:rsidRPr="004472F7">
              <w:t>Résidences principales</w:t>
            </w:r>
          </w:p>
        </w:tc>
        <w:tc>
          <w:tcPr>
            <w:tcW w:w="1482" w:type="dxa"/>
          </w:tcPr>
          <w:p w14:paraId="163DA7D0"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19 542</w:t>
            </w:r>
          </w:p>
        </w:tc>
        <w:tc>
          <w:tcPr>
            <w:tcW w:w="1483" w:type="dxa"/>
            <w:gridSpan w:val="2"/>
          </w:tcPr>
          <w:p w14:paraId="565BA35D"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82,6</w:t>
            </w:r>
          </w:p>
        </w:tc>
        <w:tc>
          <w:tcPr>
            <w:tcW w:w="1483" w:type="dxa"/>
          </w:tcPr>
          <w:p w14:paraId="14970798"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29 660</w:t>
            </w:r>
          </w:p>
        </w:tc>
        <w:tc>
          <w:tcPr>
            <w:tcW w:w="1483" w:type="dxa"/>
          </w:tcPr>
          <w:p w14:paraId="010B1FC6"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81,8</w:t>
            </w:r>
          </w:p>
        </w:tc>
        <w:tc>
          <w:tcPr>
            <w:tcW w:w="1638" w:type="dxa"/>
          </w:tcPr>
          <w:p w14:paraId="22CEA255"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1,1</w:t>
            </w:r>
          </w:p>
        </w:tc>
      </w:tr>
      <w:tr w:rsidR="00501FA3" w14:paraId="1896F291"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D4A7A23" w14:textId="77777777" w:rsidR="00501FA3" w:rsidRDefault="00501FA3" w:rsidP="00E53B5D">
            <w:r w:rsidRPr="004472F7">
              <w:t>Résidences secondaires ou logements occasionnels</w:t>
            </w:r>
          </w:p>
        </w:tc>
        <w:tc>
          <w:tcPr>
            <w:tcW w:w="1482" w:type="dxa"/>
          </w:tcPr>
          <w:p w14:paraId="2D3C939E"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2 260</w:t>
            </w:r>
          </w:p>
        </w:tc>
        <w:tc>
          <w:tcPr>
            <w:tcW w:w="1483" w:type="dxa"/>
            <w:gridSpan w:val="2"/>
          </w:tcPr>
          <w:p w14:paraId="07F7D477"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9,6</w:t>
            </w:r>
          </w:p>
        </w:tc>
        <w:tc>
          <w:tcPr>
            <w:tcW w:w="1483" w:type="dxa"/>
          </w:tcPr>
          <w:p w14:paraId="499E9852"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3 620</w:t>
            </w:r>
          </w:p>
        </w:tc>
        <w:tc>
          <w:tcPr>
            <w:tcW w:w="1483" w:type="dxa"/>
          </w:tcPr>
          <w:p w14:paraId="64465961"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w:t>
            </w:r>
          </w:p>
        </w:tc>
        <w:tc>
          <w:tcPr>
            <w:tcW w:w="1638" w:type="dxa"/>
          </w:tcPr>
          <w:p w14:paraId="79DFC509"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1,2</w:t>
            </w:r>
          </w:p>
        </w:tc>
      </w:tr>
      <w:tr w:rsidR="00501FA3" w14:paraId="1DACF6DA"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1E467BC" w14:textId="77777777" w:rsidR="00501FA3" w:rsidRDefault="00501FA3" w:rsidP="00E53B5D">
            <w:r w:rsidRPr="004472F7">
              <w:t>Logements vacants</w:t>
            </w:r>
          </w:p>
        </w:tc>
        <w:tc>
          <w:tcPr>
            <w:tcW w:w="1482" w:type="dxa"/>
          </w:tcPr>
          <w:p w14:paraId="626C86F0"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1 850</w:t>
            </w:r>
          </w:p>
        </w:tc>
        <w:tc>
          <w:tcPr>
            <w:tcW w:w="1483" w:type="dxa"/>
            <w:gridSpan w:val="2"/>
          </w:tcPr>
          <w:p w14:paraId="788197E6"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7,8</w:t>
            </w:r>
          </w:p>
        </w:tc>
        <w:tc>
          <w:tcPr>
            <w:tcW w:w="1483" w:type="dxa"/>
          </w:tcPr>
          <w:p w14:paraId="1EAD5648"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2 968</w:t>
            </w:r>
          </w:p>
        </w:tc>
        <w:tc>
          <w:tcPr>
            <w:tcW w:w="1483" w:type="dxa"/>
          </w:tcPr>
          <w:p w14:paraId="7AD3C837"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8,2</w:t>
            </w:r>
          </w:p>
        </w:tc>
        <w:tc>
          <w:tcPr>
            <w:tcW w:w="1638" w:type="dxa"/>
          </w:tcPr>
          <w:p w14:paraId="29B4F1CC"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1,2</w:t>
            </w:r>
          </w:p>
        </w:tc>
      </w:tr>
      <w:tr w:rsidR="00501FA3" w14:paraId="58BCAC7E"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0F86D793" w14:textId="77777777" w:rsidR="00501FA3" w:rsidRDefault="00501FA3" w:rsidP="00E53B5D">
            <w:r w:rsidRPr="004472F7">
              <w:t>DOM hors Mayotte</w:t>
            </w:r>
          </w:p>
        </w:tc>
        <w:tc>
          <w:tcPr>
            <w:tcW w:w="1482" w:type="dxa"/>
          </w:tcPr>
          <w:p w14:paraId="4308D5BA"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371</w:t>
            </w:r>
          </w:p>
        </w:tc>
        <w:tc>
          <w:tcPr>
            <w:tcW w:w="1483" w:type="dxa"/>
            <w:gridSpan w:val="2"/>
          </w:tcPr>
          <w:p w14:paraId="44FC2AAB"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483" w:type="dxa"/>
          </w:tcPr>
          <w:p w14:paraId="18FDC3C1"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949</w:t>
            </w:r>
          </w:p>
        </w:tc>
        <w:tc>
          <w:tcPr>
            <w:tcW w:w="1483" w:type="dxa"/>
          </w:tcPr>
          <w:p w14:paraId="5A4B9096"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100,0</w:t>
            </w:r>
          </w:p>
        </w:tc>
        <w:tc>
          <w:tcPr>
            <w:tcW w:w="1638" w:type="dxa"/>
          </w:tcPr>
          <w:p w14:paraId="1FF6C3A7"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2,4</w:t>
            </w:r>
          </w:p>
        </w:tc>
      </w:tr>
      <w:tr w:rsidR="00501FA3" w14:paraId="489EC778"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59323AE8" w14:textId="77777777" w:rsidR="00501FA3" w:rsidRDefault="00501FA3" w:rsidP="00E53B5D">
            <w:r w:rsidRPr="004472F7">
              <w:t>Résidences principales</w:t>
            </w:r>
          </w:p>
        </w:tc>
        <w:tc>
          <w:tcPr>
            <w:tcW w:w="1482" w:type="dxa"/>
          </w:tcPr>
          <w:p w14:paraId="770ACE03"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308</w:t>
            </w:r>
          </w:p>
        </w:tc>
        <w:tc>
          <w:tcPr>
            <w:tcW w:w="1483" w:type="dxa"/>
            <w:gridSpan w:val="2"/>
          </w:tcPr>
          <w:p w14:paraId="748E5354"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82,9</w:t>
            </w:r>
          </w:p>
        </w:tc>
        <w:tc>
          <w:tcPr>
            <w:tcW w:w="1483" w:type="dxa"/>
          </w:tcPr>
          <w:p w14:paraId="131FC2AB"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774</w:t>
            </w:r>
          </w:p>
        </w:tc>
        <w:tc>
          <w:tcPr>
            <w:tcW w:w="1483" w:type="dxa"/>
          </w:tcPr>
          <w:p w14:paraId="447BC50E"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81,6</w:t>
            </w:r>
          </w:p>
        </w:tc>
        <w:tc>
          <w:tcPr>
            <w:tcW w:w="1638" w:type="dxa"/>
          </w:tcPr>
          <w:p w14:paraId="5B4386FF"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2,4</w:t>
            </w:r>
          </w:p>
        </w:tc>
      </w:tr>
      <w:tr w:rsidR="00501FA3" w14:paraId="42168230" w14:textId="77777777" w:rsidTr="00E53B5D">
        <w:trPr>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0E57107A" w14:textId="77777777" w:rsidR="00501FA3" w:rsidRDefault="00501FA3" w:rsidP="00E53B5D">
            <w:r w:rsidRPr="004472F7">
              <w:t>Résidences secondaires ou logements occasionnels</w:t>
            </w:r>
          </w:p>
        </w:tc>
        <w:tc>
          <w:tcPr>
            <w:tcW w:w="1482" w:type="dxa"/>
          </w:tcPr>
          <w:p w14:paraId="3D1FCF8B"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19</w:t>
            </w:r>
          </w:p>
        </w:tc>
        <w:tc>
          <w:tcPr>
            <w:tcW w:w="1483" w:type="dxa"/>
            <w:gridSpan w:val="2"/>
          </w:tcPr>
          <w:p w14:paraId="0869DC52"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5,0</w:t>
            </w:r>
          </w:p>
        </w:tc>
        <w:tc>
          <w:tcPr>
            <w:tcW w:w="1483" w:type="dxa"/>
          </w:tcPr>
          <w:p w14:paraId="6035DA94"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58</w:t>
            </w:r>
          </w:p>
        </w:tc>
        <w:tc>
          <w:tcPr>
            <w:tcW w:w="1483" w:type="dxa"/>
          </w:tcPr>
          <w:p w14:paraId="0D0F40BA"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6,1</w:t>
            </w:r>
          </w:p>
        </w:tc>
        <w:tc>
          <w:tcPr>
            <w:tcW w:w="1638" w:type="dxa"/>
          </w:tcPr>
          <w:p w14:paraId="1D32D4B2" w14:textId="77777777" w:rsidR="00501FA3"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4472F7">
              <w:t>3,0</w:t>
            </w:r>
          </w:p>
        </w:tc>
      </w:tr>
      <w:tr w:rsidR="00501FA3" w14:paraId="28EF85A3" w14:textId="77777777" w:rsidTr="00E53B5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81" w:type="dxa"/>
            <w:gridSpan w:val="2"/>
          </w:tcPr>
          <w:p w14:paraId="748D36E3" w14:textId="77777777" w:rsidR="00501FA3" w:rsidRDefault="00501FA3" w:rsidP="00E53B5D">
            <w:r w:rsidRPr="004472F7">
              <w:t>Logements vacants</w:t>
            </w:r>
          </w:p>
        </w:tc>
        <w:tc>
          <w:tcPr>
            <w:tcW w:w="1482" w:type="dxa"/>
          </w:tcPr>
          <w:p w14:paraId="687F9F4B"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45</w:t>
            </w:r>
          </w:p>
        </w:tc>
        <w:tc>
          <w:tcPr>
            <w:tcW w:w="1483" w:type="dxa"/>
            <w:gridSpan w:val="2"/>
          </w:tcPr>
          <w:p w14:paraId="030EF1C4"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12,1</w:t>
            </w:r>
          </w:p>
        </w:tc>
        <w:tc>
          <w:tcPr>
            <w:tcW w:w="1483" w:type="dxa"/>
          </w:tcPr>
          <w:p w14:paraId="6F5DA6CB"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117</w:t>
            </w:r>
          </w:p>
        </w:tc>
        <w:tc>
          <w:tcPr>
            <w:tcW w:w="1483" w:type="dxa"/>
          </w:tcPr>
          <w:p w14:paraId="76D4BB99"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12,3</w:t>
            </w:r>
          </w:p>
        </w:tc>
        <w:tc>
          <w:tcPr>
            <w:tcW w:w="1638" w:type="dxa"/>
          </w:tcPr>
          <w:p w14:paraId="5A2DC51B" w14:textId="77777777" w:rsidR="00501FA3"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4472F7">
              <w:t>2,5</w:t>
            </w:r>
          </w:p>
        </w:tc>
      </w:tr>
    </w:tbl>
    <w:p w14:paraId="47F4A237" w14:textId="3297E796" w:rsidR="008B017A" w:rsidRDefault="008B017A" w:rsidP="0045532B">
      <w:pPr>
        <w:pStyle w:val="Caption"/>
      </w:pPr>
      <w:bookmarkStart w:id="122" w:name="_Toc123916494"/>
      <w:r>
        <w:t xml:space="preserve">Tableau </w:t>
      </w:r>
      <w:fldSimple w:instr=" SEQ Tableau \* ARABIC ">
        <w:r w:rsidR="00AB51D9">
          <w:rPr>
            <w:noProof/>
          </w:rPr>
          <w:t>2</w:t>
        </w:r>
      </w:fldSimple>
      <w:r>
        <w:t xml:space="preserve"> : Répartition du parc de logement selon la catégorie en France (hors Mayotte)</w:t>
      </w:r>
      <w:bookmarkEnd w:id="122"/>
    </w:p>
    <w:p w14:paraId="2F4DFD58" w14:textId="5CADBDF3" w:rsidR="00501FA3" w:rsidRDefault="008B017A" w:rsidP="0045532B">
      <w:pPr>
        <w:pStyle w:val="Caption"/>
      </w:pPr>
      <w:r>
        <w:t>Source : INSEE, SDES</w:t>
      </w:r>
    </w:p>
    <w:p w14:paraId="5DFCE565" w14:textId="77777777" w:rsidR="00501FA3" w:rsidRDefault="00501FA3" w:rsidP="00501FA3">
      <w:r>
        <w:t xml:space="preserve"> </w:t>
      </w:r>
    </w:p>
    <w:p w14:paraId="49F93805" w14:textId="052B2A4C" w:rsidR="00501FA3" w:rsidRDefault="00501FA3" w:rsidP="00501FA3">
      <w:r>
        <w:t xml:space="preserve">Le nombre de logements collectifs augmente plus vite que celui de logements individuels du fait des évolutions récentes de la construction neuve. Avant 2008, les logements achevés dans l’année étaient plus nombreux dans l’individuel que dans le collectif. Depuis 2013 c’est l’inverse : l’habitat </w:t>
      </w:r>
      <w:r w:rsidR="00347286">
        <w:t>collectif</w:t>
      </w:r>
      <w:r>
        <w:t xml:space="preserve"> représente 55</w:t>
      </w:r>
      <w:r w:rsidR="006518EF">
        <w:t>%</w:t>
      </w:r>
      <w:r>
        <w:t xml:space="preserve"> des logements en 2021 (comme en 1982). Il est majoritaire parmi les résidences principales comme parmi les résidences secondaires et logements occasionnels. </w:t>
      </w:r>
    </w:p>
    <w:p w14:paraId="78E6F9F8" w14:textId="77777777" w:rsidR="00501FA3" w:rsidRDefault="00501FA3" w:rsidP="00501FA3"/>
    <w:p w14:paraId="50109D59" w14:textId="77777777" w:rsidR="00501FA3" w:rsidRDefault="00501FA3" w:rsidP="00501FA3">
      <w:pPr>
        <w:jc w:val="center"/>
      </w:pPr>
      <w:r>
        <w:rPr>
          <w:noProof/>
        </w:rPr>
        <w:drawing>
          <wp:inline distT="0" distB="0" distL="0" distR="0" wp14:anchorId="37B42B61" wp14:editId="15F0F604">
            <wp:extent cx="4572000" cy="2743200"/>
            <wp:effectExtent l="0" t="0" r="0" b="0"/>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D3BED36" w14:textId="1935A1D9" w:rsidR="002538C6" w:rsidRDefault="002538C6" w:rsidP="0045532B">
      <w:pPr>
        <w:pStyle w:val="Caption"/>
      </w:pPr>
      <w:bookmarkStart w:id="123" w:name="_Toc123916427"/>
      <w:r>
        <w:t xml:space="preserve">Figure </w:t>
      </w:r>
      <w:fldSimple w:instr=" SEQ Figure \* ARABIC ">
        <w:r w:rsidR="00AB51D9">
          <w:rPr>
            <w:noProof/>
          </w:rPr>
          <w:t>16</w:t>
        </w:r>
      </w:fldSimple>
      <w:r>
        <w:t> : Evolution annuelle moyenne du nombre de logements par type d’habitats depuis 1986</w:t>
      </w:r>
      <w:bookmarkEnd w:id="123"/>
    </w:p>
    <w:p w14:paraId="571DFCB4" w14:textId="5D54B62D" w:rsidR="00501FA3" w:rsidRDefault="002538C6" w:rsidP="0045532B">
      <w:pPr>
        <w:pStyle w:val="Caption"/>
      </w:pPr>
      <w:r>
        <w:t>Source : INSEE, SDES</w:t>
      </w:r>
    </w:p>
    <w:p w14:paraId="3474605B" w14:textId="77777777" w:rsidR="00501FA3" w:rsidRDefault="00501FA3" w:rsidP="00501FA3"/>
    <w:p w14:paraId="6FA14A2A" w14:textId="393E5E46" w:rsidR="00501FA3" w:rsidRDefault="00501FA3" w:rsidP="00501FA3">
      <w:r>
        <w:t>La part d</w:t>
      </w:r>
      <w:r w:rsidR="00347286">
        <w:t xml:space="preserve">es communes </w:t>
      </w:r>
      <w:r>
        <w:t>rural</w:t>
      </w:r>
      <w:r w:rsidR="00347286">
        <w:t>es</w:t>
      </w:r>
      <w:r>
        <w:t xml:space="preserve"> a diminué depuis trente ans (51</w:t>
      </w:r>
      <w:r w:rsidR="006518EF">
        <w:t>%</w:t>
      </w:r>
      <w:r>
        <w:t xml:space="preserve"> en 1986 contre 43</w:t>
      </w:r>
      <w:r w:rsidR="006518EF">
        <w:t>%</w:t>
      </w:r>
      <w:r>
        <w:t xml:space="preserve"> en 2016) alors que celle des petites uni</w:t>
      </w:r>
      <w:r w:rsidR="00347286">
        <w:t>tés urbaines s’est accrue (de 32</w:t>
      </w:r>
      <w:r w:rsidR="006518EF">
        <w:t>%</w:t>
      </w:r>
      <w:r>
        <w:t xml:space="preserve"> à 3</w:t>
      </w:r>
      <w:r w:rsidR="00347286">
        <w:t>9</w:t>
      </w:r>
      <w:r w:rsidR="006518EF">
        <w:t>%</w:t>
      </w:r>
      <w:r>
        <w:t>) avec l’urbanisation. En 2021 en France métropolitaine, 16</w:t>
      </w:r>
      <w:r w:rsidR="006518EF">
        <w:t>%</w:t>
      </w:r>
      <w:r>
        <w:t xml:space="preserve"> des résidences principales se situent dans l’agglomération parisienne et 20</w:t>
      </w:r>
      <w:r w:rsidR="006518EF">
        <w:t>%</w:t>
      </w:r>
      <w:r>
        <w:t xml:space="preserve"> dans une communauté hors unité urbaine. Les résidences secondaires ou logements occasionnels se situent bien plus souvent en zone rurale ou dans une petite unité urbaine (moins de 100 000 habitants) : dans quatre cas sur cinq contre seulement la moitié des résidences principales. </w:t>
      </w:r>
    </w:p>
    <w:p w14:paraId="19A71590" w14:textId="77777777" w:rsidR="00501FA3" w:rsidRDefault="00501FA3" w:rsidP="00501FA3"/>
    <w:p w14:paraId="35F36967" w14:textId="11AE478B" w:rsidR="00501FA3" w:rsidRDefault="00501FA3" w:rsidP="00501FA3">
      <w:r>
        <w:t>Le tableau ci-dessous détaille la répartition des logements entre individuel et collectif en fonction du type d’agglomérations.</w:t>
      </w:r>
    </w:p>
    <w:tbl>
      <w:tblPr>
        <w:tblStyle w:val="ListTable3-Accent4"/>
        <w:tblW w:w="0" w:type="auto"/>
        <w:tblLook w:val="04A0" w:firstRow="1" w:lastRow="0" w:firstColumn="1" w:lastColumn="0" w:noHBand="0" w:noVBand="1"/>
      </w:tblPr>
      <w:tblGrid>
        <w:gridCol w:w="1988"/>
        <w:gridCol w:w="1988"/>
        <w:gridCol w:w="1988"/>
        <w:gridCol w:w="1988"/>
        <w:gridCol w:w="1988"/>
      </w:tblGrid>
      <w:tr w:rsidR="00501FA3" w14:paraId="5ACD9220" w14:textId="77777777" w:rsidTr="00E53B5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8" w:type="dxa"/>
          </w:tcPr>
          <w:p w14:paraId="561F5E39" w14:textId="77777777" w:rsidR="00501FA3" w:rsidRDefault="00501FA3" w:rsidP="00E53B5D">
            <w:r>
              <w:t>(en milliers)</w:t>
            </w:r>
          </w:p>
        </w:tc>
        <w:tc>
          <w:tcPr>
            <w:tcW w:w="1988" w:type="dxa"/>
          </w:tcPr>
          <w:p w14:paraId="0C6E8754"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453824">
              <w:t>Résidences principales</w:t>
            </w:r>
          </w:p>
        </w:tc>
        <w:tc>
          <w:tcPr>
            <w:tcW w:w="1988" w:type="dxa"/>
          </w:tcPr>
          <w:p w14:paraId="074A5419"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453824">
              <w:t>Résidences secondaires ou logements occasionnels</w:t>
            </w:r>
          </w:p>
        </w:tc>
        <w:tc>
          <w:tcPr>
            <w:tcW w:w="1988" w:type="dxa"/>
          </w:tcPr>
          <w:p w14:paraId="4988E77F"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453824">
              <w:t>Logements vacants</w:t>
            </w:r>
          </w:p>
        </w:tc>
        <w:tc>
          <w:tcPr>
            <w:tcW w:w="1988" w:type="dxa"/>
          </w:tcPr>
          <w:p w14:paraId="2425D79E" w14:textId="77777777" w:rsidR="00501FA3" w:rsidRDefault="00501FA3" w:rsidP="00E53B5D">
            <w:pPr>
              <w:jc w:val="center"/>
              <w:cnfStyle w:val="100000000000" w:firstRow="1" w:lastRow="0" w:firstColumn="0" w:lastColumn="0" w:oddVBand="0" w:evenVBand="0" w:oddHBand="0" w:evenHBand="0" w:firstRowFirstColumn="0" w:firstRowLastColumn="0" w:lastRowFirstColumn="0" w:lastRowLastColumn="0"/>
            </w:pPr>
            <w:r w:rsidRPr="00453824">
              <w:t>Ensemble des logements</w:t>
            </w:r>
          </w:p>
        </w:tc>
      </w:tr>
      <w:tr w:rsidR="00501FA3" w14:paraId="24FD0EF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1B6BCBA4" w14:textId="77777777" w:rsidR="00501FA3" w:rsidRPr="00DF74A9" w:rsidRDefault="00501FA3" w:rsidP="00AA2B36">
            <w:pPr>
              <w:jc w:val="left"/>
            </w:pPr>
            <w:r w:rsidRPr="00B00BB7">
              <w:t>Communes hors unité urbaine</w:t>
            </w:r>
          </w:p>
        </w:tc>
        <w:tc>
          <w:tcPr>
            <w:tcW w:w="1988" w:type="dxa"/>
            <w:shd w:val="clear" w:color="auto" w:fill="EEB792"/>
          </w:tcPr>
          <w:p w14:paraId="11700947"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6 005</w:t>
            </w:r>
          </w:p>
        </w:tc>
        <w:tc>
          <w:tcPr>
            <w:tcW w:w="1988" w:type="dxa"/>
            <w:shd w:val="clear" w:color="auto" w:fill="EEB792"/>
          </w:tcPr>
          <w:p w14:paraId="1220B333"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1 341</w:t>
            </w:r>
          </w:p>
        </w:tc>
        <w:tc>
          <w:tcPr>
            <w:tcW w:w="1988" w:type="dxa"/>
            <w:shd w:val="clear" w:color="auto" w:fill="EEB792"/>
          </w:tcPr>
          <w:p w14:paraId="0B876D2B"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726</w:t>
            </w:r>
          </w:p>
        </w:tc>
        <w:tc>
          <w:tcPr>
            <w:tcW w:w="1988" w:type="dxa"/>
            <w:shd w:val="clear" w:color="auto" w:fill="EEB792"/>
          </w:tcPr>
          <w:p w14:paraId="6573C297"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8 072</w:t>
            </w:r>
          </w:p>
        </w:tc>
      </w:tr>
      <w:tr w:rsidR="00501FA3" w14:paraId="094503D9"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1B3514F2" w14:textId="77777777" w:rsidR="00501FA3" w:rsidRPr="00DF74A9" w:rsidRDefault="00501FA3" w:rsidP="00AA2B36">
            <w:pPr>
              <w:jc w:val="left"/>
              <w:rPr>
                <w:b w:val="0"/>
              </w:rPr>
            </w:pPr>
            <w:r w:rsidRPr="00B00BB7">
              <w:t>Individuel</w:t>
            </w:r>
          </w:p>
        </w:tc>
        <w:tc>
          <w:tcPr>
            <w:tcW w:w="1988" w:type="dxa"/>
          </w:tcPr>
          <w:p w14:paraId="5E714641"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5 575</w:t>
            </w:r>
          </w:p>
        </w:tc>
        <w:tc>
          <w:tcPr>
            <w:tcW w:w="1988" w:type="dxa"/>
          </w:tcPr>
          <w:p w14:paraId="3AA10A40"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1 035</w:t>
            </w:r>
          </w:p>
        </w:tc>
        <w:tc>
          <w:tcPr>
            <w:tcW w:w="1988" w:type="dxa"/>
          </w:tcPr>
          <w:p w14:paraId="4F12FC89"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629</w:t>
            </w:r>
          </w:p>
        </w:tc>
        <w:tc>
          <w:tcPr>
            <w:tcW w:w="1988" w:type="dxa"/>
          </w:tcPr>
          <w:p w14:paraId="266EF1F5"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7 240</w:t>
            </w:r>
          </w:p>
        </w:tc>
      </w:tr>
      <w:tr w:rsidR="00501FA3" w14:paraId="07E9FCD2"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37B14604" w14:textId="77777777" w:rsidR="00501FA3" w:rsidRPr="00DF74A9" w:rsidRDefault="00501FA3" w:rsidP="00AA2B36">
            <w:pPr>
              <w:jc w:val="left"/>
              <w:rPr>
                <w:b w:val="0"/>
              </w:rPr>
            </w:pPr>
            <w:r w:rsidRPr="00B00BB7">
              <w:t>Collectif</w:t>
            </w:r>
          </w:p>
        </w:tc>
        <w:tc>
          <w:tcPr>
            <w:tcW w:w="1988" w:type="dxa"/>
          </w:tcPr>
          <w:p w14:paraId="26D7EB69"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431</w:t>
            </w:r>
          </w:p>
        </w:tc>
        <w:tc>
          <w:tcPr>
            <w:tcW w:w="1988" w:type="dxa"/>
          </w:tcPr>
          <w:p w14:paraId="446EDA76"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305</w:t>
            </w:r>
          </w:p>
        </w:tc>
        <w:tc>
          <w:tcPr>
            <w:tcW w:w="1988" w:type="dxa"/>
          </w:tcPr>
          <w:p w14:paraId="6BBFA6FF"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97</w:t>
            </w:r>
          </w:p>
        </w:tc>
        <w:tc>
          <w:tcPr>
            <w:tcW w:w="1988" w:type="dxa"/>
          </w:tcPr>
          <w:p w14:paraId="32768571"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833</w:t>
            </w:r>
          </w:p>
        </w:tc>
      </w:tr>
      <w:tr w:rsidR="00501FA3" w14:paraId="3EB99395" w14:textId="77777777" w:rsidTr="00E53B5D">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3694C3AE" w14:textId="77777777" w:rsidR="00501FA3" w:rsidRDefault="00501FA3" w:rsidP="00AA2B36">
            <w:pPr>
              <w:jc w:val="left"/>
            </w:pPr>
            <w:r w:rsidRPr="00B00BB7">
              <w:t>Unités urbaines de moins de 100 000 habitants</w:t>
            </w:r>
          </w:p>
        </w:tc>
        <w:tc>
          <w:tcPr>
            <w:tcW w:w="1988" w:type="dxa"/>
            <w:shd w:val="clear" w:color="auto" w:fill="EEB792"/>
          </w:tcPr>
          <w:p w14:paraId="0423B751"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9 545</w:t>
            </w:r>
          </w:p>
        </w:tc>
        <w:tc>
          <w:tcPr>
            <w:tcW w:w="1988" w:type="dxa"/>
            <w:shd w:val="clear" w:color="auto" w:fill="EEB792"/>
          </w:tcPr>
          <w:p w14:paraId="693C4E61"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1 440</w:t>
            </w:r>
          </w:p>
        </w:tc>
        <w:tc>
          <w:tcPr>
            <w:tcW w:w="1988" w:type="dxa"/>
            <w:shd w:val="clear" w:color="auto" w:fill="EEB792"/>
          </w:tcPr>
          <w:p w14:paraId="4997C2AB"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1 054</w:t>
            </w:r>
          </w:p>
        </w:tc>
        <w:tc>
          <w:tcPr>
            <w:tcW w:w="1988" w:type="dxa"/>
            <w:shd w:val="clear" w:color="auto" w:fill="EEB792"/>
          </w:tcPr>
          <w:p w14:paraId="5E13F562"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12 039</w:t>
            </w:r>
          </w:p>
        </w:tc>
      </w:tr>
      <w:tr w:rsidR="00501FA3" w14:paraId="30580012"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705F92F1" w14:textId="77777777" w:rsidR="00501FA3" w:rsidRPr="00DF74A9" w:rsidRDefault="00501FA3" w:rsidP="00AA2B36">
            <w:pPr>
              <w:jc w:val="left"/>
              <w:rPr>
                <w:b w:val="0"/>
              </w:rPr>
            </w:pPr>
            <w:r w:rsidRPr="00B00BB7">
              <w:t>Individuel</w:t>
            </w:r>
          </w:p>
        </w:tc>
        <w:tc>
          <w:tcPr>
            <w:tcW w:w="1988" w:type="dxa"/>
          </w:tcPr>
          <w:p w14:paraId="1D952343"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6 353</w:t>
            </w:r>
          </w:p>
        </w:tc>
        <w:tc>
          <w:tcPr>
            <w:tcW w:w="1988" w:type="dxa"/>
          </w:tcPr>
          <w:p w14:paraId="7D76709E"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757</w:t>
            </w:r>
          </w:p>
        </w:tc>
        <w:tc>
          <w:tcPr>
            <w:tcW w:w="1988" w:type="dxa"/>
          </w:tcPr>
          <w:p w14:paraId="43CB4ED7"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535</w:t>
            </w:r>
          </w:p>
        </w:tc>
        <w:tc>
          <w:tcPr>
            <w:tcW w:w="1988" w:type="dxa"/>
          </w:tcPr>
          <w:p w14:paraId="699C683E"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7 645</w:t>
            </w:r>
          </w:p>
        </w:tc>
      </w:tr>
      <w:tr w:rsidR="00501FA3" w14:paraId="2F1715F3"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3B077B72" w14:textId="77777777" w:rsidR="00501FA3" w:rsidRPr="00DF74A9" w:rsidRDefault="00501FA3" w:rsidP="00AA2B36">
            <w:pPr>
              <w:jc w:val="left"/>
              <w:rPr>
                <w:b w:val="0"/>
              </w:rPr>
            </w:pPr>
            <w:r w:rsidRPr="00B00BB7">
              <w:t>Collectif</w:t>
            </w:r>
          </w:p>
        </w:tc>
        <w:tc>
          <w:tcPr>
            <w:tcW w:w="1988" w:type="dxa"/>
          </w:tcPr>
          <w:p w14:paraId="29179424"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3 192</w:t>
            </w:r>
          </w:p>
        </w:tc>
        <w:tc>
          <w:tcPr>
            <w:tcW w:w="1988" w:type="dxa"/>
          </w:tcPr>
          <w:p w14:paraId="089AE6BF"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683</w:t>
            </w:r>
          </w:p>
        </w:tc>
        <w:tc>
          <w:tcPr>
            <w:tcW w:w="1988" w:type="dxa"/>
          </w:tcPr>
          <w:p w14:paraId="3992F3AC"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519</w:t>
            </w:r>
          </w:p>
        </w:tc>
        <w:tc>
          <w:tcPr>
            <w:tcW w:w="1988" w:type="dxa"/>
          </w:tcPr>
          <w:p w14:paraId="559ACF7F"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4 394</w:t>
            </w:r>
          </w:p>
        </w:tc>
      </w:tr>
      <w:tr w:rsidR="00501FA3" w14:paraId="5258406E"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23B1EAD0" w14:textId="77777777" w:rsidR="00501FA3" w:rsidRDefault="00501FA3" w:rsidP="00AA2B36">
            <w:pPr>
              <w:jc w:val="left"/>
            </w:pPr>
            <w:r w:rsidRPr="00B00BB7">
              <w:t>Unités urbaines de 100 000 habitants ou plus (hors Paris)</w:t>
            </w:r>
          </w:p>
        </w:tc>
        <w:tc>
          <w:tcPr>
            <w:tcW w:w="1988" w:type="dxa"/>
            <w:shd w:val="clear" w:color="auto" w:fill="EEB792"/>
          </w:tcPr>
          <w:p w14:paraId="7B89F7BD"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9 351</w:t>
            </w:r>
          </w:p>
        </w:tc>
        <w:tc>
          <w:tcPr>
            <w:tcW w:w="1988" w:type="dxa"/>
            <w:shd w:val="clear" w:color="auto" w:fill="EEB792"/>
          </w:tcPr>
          <w:p w14:paraId="76F2071E"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600</w:t>
            </w:r>
          </w:p>
        </w:tc>
        <w:tc>
          <w:tcPr>
            <w:tcW w:w="1988" w:type="dxa"/>
            <w:shd w:val="clear" w:color="auto" w:fill="EEB792"/>
          </w:tcPr>
          <w:p w14:paraId="3E07F4AC"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818</w:t>
            </w:r>
          </w:p>
        </w:tc>
        <w:tc>
          <w:tcPr>
            <w:tcW w:w="1988" w:type="dxa"/>
            <w:shd w:val="clear" w:color="auto" w:fill="EEB792"/>
          </w:tcPr>
          <w:p w14:paraId="52423E2E"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10 769</w:t>
            </w:r>
          </w:p>
        </w:tc>
      </w:tr>
      <w:tr w:rsidR="00501FA3" w14:paraId="75F00185"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1EAC8E03" w14:textId="77777777" w:rsidR="00501FA3" w:rsidRPr="00DF74A9" w:rsidRDefault="00501FA3" w:rsidP="00AA2B36">
            <w:pPr>
              <w:jc w:val="left"/>
              <w:rPr>
                <w:b w:val="0"/>
              </w:rPr>
            </w:pPr>
            <w:r w:rsidRPr="00B00BB7">
              <w:t>Individuel</w:t>
            </w:r>
          </w:p>
        </w:tc>
        <w:tc>
          <w:tcPr>
            <w:tcW w:w="1988" w:type="dxa"/>
          </w:tcPr>
          <w:p w14:paraId="5CD0B898"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3 668</w:t>
            </w:r>
          </w:p>
        </w:tc>
        <w:tc>
          <w:tcPr>
            <w:tcW w:w="1988" w:type="dxa"/>
          </w:tcPr>
          <w:p w14:paraId="4E467F34"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133</w:t>
            </w:r>
          </w:p>
        </w:tc>
        <w:tc>
          <w:tcPr>
            <w:tcW w:w="1988" w:type="dxa"/>
          </w:tcPr>
          <w:p w14:paraId="018ABB85"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213</w:t>
            </w:r>
          </w:p>
        </w:tc>
        <w:tc>
          <w:tcPr>
            <w:tcW w:w="1988" w:type="dxa"/>
          </w:tcPr>
          <w:p w14:paraId="424897B0"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4 015</w:t>
            </w:r>
          </w:p>
        </w:tc>
      </w:tr>
      <w:tr w:rsidR="00501FA3" w14:paraId="63148368"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137734AB" w14:textId="77777777" w:rsidR="00501FA3" w:rsidRPr="00DF74A9" w:rsidRDefault="00501FA3" w:rsidP="00AA2B36">
            <w:pPr>
              <w:jc w:val="left"/>
              <w:rPr>
                <w:b w:val="0"/>
              </w:rPr>
            </w:pPr>
            <w:r w:rsidRPr="00B00BB7">
              <w:t>Collectif</w:t>
            </w:r>
          </w:p>
        </w:tc>
        <w:tc>
          <w:tcPr>
            <w:tcW w:w="1988" w:type="dxa"/>
          </w:tcPr>
          <w:p w14:paraId="5F2C4695"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5 683</w:t>
            </w:r>
          </w:p>
        </w:tc>
        <w:tc>
          <w:tcPr>
            <w:tcW w:w="1988" w:type="dxa"/>
          </w:tcPr>
          <w:p w14:paraId="409CA064"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467</w:t>
            </w:r>
          </w:p>
        </w:tc>
        <w:tc>
          <w:tcPr>
            <w:tcW w:w="1988" w:type="dxa"/>
          </w:tcPr>
          <w:p w14:paraId="53C1E322"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605</w:t>
            </w:r>
          </w:p>
        </w:tc>
        <w:tc>
          <w:tcPr>
            <w:tcW w:w="1988" w:type="dxa"/>
          </w:tcPr>
          <w:p w14:paraId="50338224"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6 754</w:t>
            </w:r>
          </w:p>
        </w:tc>
      </w:tr>
      <w:tr w:rsidR="00501FA3" w14:paraId="6081DCF8" w14:textId="77777777" w:rsidTr="00E53B5D">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25020EF0" w14:textId="77777777" w:rsidR="00501FA3" w:rsidRDefault="00501FA3" w:rsidP="00AA2B36">
            <w:pPr>
              <w:jc w:val="left"/>
            </w:pPr>
            <w:r w:rsidRPr="00B00BB7">
              <w:t>Unité urbaine de Paris</w:t>
            </w:r>
          </w:p>
        </w:tc>
        <w:tc>
          <w:tcPr>
            <w:tcW w:w="1988" w:type="dxa"/>
            <w:shd w:val="clear" w:color="auto" w:fill="EEB792"/>
          </w:tcPr>
          <w:p w14:paraId="5B03E514"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4 758</w:t>
            </w:r>
          </w:p>
        </w:tc>
        <w:tc>
          <w:tcPr>
            <w:tcW w:w="1988" w:type="dxa"/>
            <w:shd w:val="clear" w:color="auto" w:fill="EEB792"/>
          </w:tcPr>
          <w:p w14:paraId="3F780C94"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238</w:t>
            </w:r>
          </w:p>
        </w:tc>
        <w:tc>
          <w:tcPr>
            <w:tcW w:w="1988" w:type="dxa"/>
            <w:shd w:val="clear" w:color="auto" w:fill="EEB792"/>
          </w:tcPr>
          <w:p w14:paraId="7B875B36"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370</w:t>
            </w:r>
          </w:p>
        </w:tc>
        <w:tc>
          <w:tcPr>
            <w:tcW w:w="1988" w:type="dxa"/>
            <w:shd w:val="clear" w:color="auto" w:fill="EEB792"/>
          </w:tcPr>
          <w:p w14:paraId="12C31178" w14:textId="77777777" w:rsidR="00501FA3" w:rsidRPr="004556BD" w:rsidRDefault="00501FA3" w:rsidP="00E53B5D">
            <w:pPr>
              <w:jc w:val="right"/>
              <w:cnfStyle w:val="000000000000" w:firstRow="0" w:lastRow="0" w:firstColumn="0" w:lastColumn="0" w:oddVBand="0" w:evenVBand="0" w:oddHBand="0" w:evenHBand="0" w:firstRowFirstColumn="0" w:firstRowLastColumn="0" w:lastRowFirstColumn="0" w:lastRowLastColumn="0"/>
              <w:rPr>
                <w:b/>
              </w:rPr>
            </w:pPr>
            <w:r w:rsidRPr="004556BD">
              <w:rPr>
                <w:b/>
              </w:rPr>
              <w:t>5 366</w:t>
            </w:r>
          </w:p>
        </w:tc>
      </w:tr>
      <w:tr w:rsidR="00501FA3" w14:paraId="10EF7810"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7106EEA8" w14:textId="77777777" w:rsidR="00501FA3" w:rsidRPr="00DF74A9" w:rsidRDefault="00501FA3" w:rsidP="00AA2B36">
            <w:pPr>
              <w:jc w:val="left"/>
              <w:rPr>
                <w:b w:val="0"/>
              </w:rPr>
            </w:pPr>
            <w:r w:rsidRPr="00B00BB7">
              <w:t>Individuel</w:t>
            </w:r>
          </w:p>
        </w:tc>
        <w:tc>
          <w:tcPr>
            <w:tcW w:w="1988" w:type="dxa"/>
          </w:tcPr>
          <w:p w14:paraId="31FE97B2"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1 011</w:t>
            </w:r>
          </w:p>
        </w:tc>
        <w:tc>
          <w:tcPr>
            <w:tcW w:w="1988" w:type="dxa"/>
          </w:tcPr>
          <w:p w14:paraId="0F0E5A77"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12</w:t>
            </w:r>
          </w:p>
        </w:tc>
        <w:tc>
          <w:tcPr>
            <w:tcW w:w="1988" w:type="dxa"/>
          </w:tcPr>
          <w:p w14:paraId="34B12FB1"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48</w:t>
            </w:r>
          </w:p>
        </w:tc>
        <w:tc>
          <w:tcPr>
            <w:tcW w:w="1988" w:type="dxa"/>
          </w:tcPr>
          <w:p w14:paraId="0C7F7671"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1 072</w:t>
            </w:r>
          </w:p>
        </w:tc>
      </w:tr>
      <w:tr w:rsidR="00501FA3" w14:paraId="719E73F9"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4DDDBB54" w14:textId="77777777" w:rsidR="00501FA3" w:rsidRPr="00DF74A9" w:rsidRDefault="00501FA3" w:rsidP="00AA2B36">
            <w:pPr>
              <w:jc w:val="left"/>
              <w:rPr>
                <w:b w:val="0"/>
              </w:rPr>
            </w:pPr>
            <w:r w:rsidRPr="00B00BB7">
              <w:t>Collectif</w:t>
            </w:r>
          </w:p>
        </w:tc>
        <w:tc>
          <w:tcPr>
            <w:tcW w:w="1988" w:type="dxa"/>
          </w:tcPr>
          <w:p w14:paraId="4E686439"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3 747</w:t>
            </w:r>
          </w:p>
        </w:tc>
        <w:tc>
          <w:tcPr>
            <w:tcW w:w="1988" w:type="dxa"/>
          </w:tcPr>
          <w:p w14:paraId="15D9CF54"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226</w:t>
            </w:r>
          </w:p>
        </w:tc>
        <w:tc>
          <w:tcPr>
            <w:tcW w:w="1988" w:type="dxa"/>
          </w:tcPr>
          <w:p w14:paraId="5FF37D37"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322</w:t>
            </w:r>
          </w:p>
        </w:tc>
        <w:tc>
          <w:tcPr>
            <w:tcW w:w="1988" w:type="dxa"/>
          </w:tcPr>
          <w:p w14:paraId="1B178D8F"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4 295</w:t>
            </w:r>
          </w:p>
        </w:tc>
      </w:tr>
      <w:tr w:rsidR="00501FA3" w14:paraId="1A350CB7"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shd w:val="clear" w:color="auto" w:fill="EEB792"/>
          </w:tcPr>
          <w:p w14:paraId="66D40D2B" w14:textId="77777777" w:rsidR="00501FA3" w:rsidRPr="00DF74A9" w:rsidRDefault="00501FA3" w:rsidP="00AA2B36">
            <w:pPr>
              <w:jc w:val="left"/>
            </w:pPr>
            <w:r w:rsidRPr="00B00BB7">
              <w:t>Ensemble des communes</w:t>
            </w:r>
          </w:p>
        </w:tc>
        <w:tc>
          <w:tcPr>
            <w:tcW w:w="1988" w:type="dxa"/>
            <w:shd w:val="clear" w:color="auto" w:fill="EEB792"/>
          </w:tcPr>
          <w:p w14:paraId="700A123F"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29 660</w:t>
            </w:r>
          </w:p>
        </w:tc>
        <w:tc>
          <w:tcPr>
            <w:tcW w:w="1988" w:type="dxa"/>
            <w:shd w:val="clear" w:color="auto" w:fill="EEB792"/>
          </w:tcPr>
          <w:p w14:paraId="4D6ADCBE"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3 620</w:t>
            </w:r>
          </w:p>
        </w:tc>
        <w:tc>
          <w:tcPr>
            <w:tcW w:w="1988" w:type="dxa"/>
            <w:shd w:val="clear" w:color="auto" w:fill="EEB792"/>
          </w:tcPr>
          <w:p w14:paraId="17A3478F"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2 968</w:t>
            </w:r>
          </w:p>
        </w:tc>
        <w:tc>
          <w:tcPr>
            <w:tcW w:w="1988" w:type="dxa"/>
            <w:shd w:val="clear" w:color="auto" w:fill="EEB792"/>
          </w:tcPr>
          <w:p w14:paraId="6DFCE6F4" w14:textId="77777777" w:rsidR="00501FA3" w:rsidRPr="004556BD" w:rsidRDefault="00501FA3" w:rsidP="00E53B5D">
            <w:pPr>
              <w:jc w:val="right"/>
              <w:cnfStyle w:val="000000100000" w:firstRow="0" w:lastRow="0" w:firstColumn="0" w:lastColumn="0" w:oddVBand="0" w:evenVBand="0" w:oddHBand="1" w:evenHBand="0" w:firstRowFirstColumn="0" w:firstRowLastColumn="0" w:lastRowFirstColumn="0" w:lastRowLastColumn="0"/>
              <w:rPr>
                <w:b/>
              </w:rPr>
            </w:pPr>
            <w:r w:rsidRPr="004556BD">
              <w:rPr>
                <w:b/>
              </w:rPr>
              <w:t>36 247</w:t>
            </w:r>
          </w:p>
        </w:tc>
      </w:tr>
      <w:tr w:rsidR="00501FA3" w14:paraId="2DE293E0" w14:textId="77777777" w:rsidTr="00E53B5D">
        <w:tc>
          <w:tcPr>
            <w:cnfStyle w:val="001000000000" w:firstRow="0" w:lastRow="0" w:firstColumn="1" w:lastColumn="0" w:oddVBand="0" w:evenVBand="0" w:oddHBand="0" w:evenHBand="0" w:firstRowFirstColumn="0" w:firstRowLastColumn="0" w:lastRowFirstColumn="0" w:lastRowLastColumn="0"/>
            <w:tcW w:w="1988" w:type="dxa"/>
          </w:tcPr>
          <w:p w14:paraId="00357584" w14:textId="77777777" w:rsidR="00501FA3" w:rsidRPr="00DF74A9" w:rsidRDefault="00501FA3" w:rsidP="00AA2B36">
            <w:pPr>
              <w:jc w:val="left"/>
              <w:rPr>
                <w:b w:val="0"/>
              </w:rPr>
            </w:pPr>
            <w:r w:rsidRPr="00B00BB7">
              <w:t>Individuel</w:t>
            </w:r>
          </w:p>
        </w:tc>
        <w:tc>
          <w:tcPr>
            <w:tcW w:w="1988" w:type="dxa"/>
          </w:tcPr>
          <w:p w14:paraId="1DEA02CD"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16 608</w:t>
            </w:r>
          </w:p>
        </w:tc>
        <w:tc>
          <w:tcPr>
            <w:tcW w:w="1988" w:type="dxa"/>
          </w:tcPr>
          <w:p w14:paraId="357A2EA4"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1 939</w:t>
            </w:r>
          </w:p>
        </w:tc>
        <w:tc>
          <w:tcPr>
            <w:tcW w:w="1988" w:type="dxa"/>
          </w:tcPr>
          <w:p w14:paraId="2B5C2C56"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1 425</w:t>
            </w:r>
          </w:p>
        </w:tc>
        <w:tc>
          <w:tcPr>
            <w:tcW w:w="1988" w:type="dxa"/>
          </w:tcPr>
          <w:p w14:paraId="0A1DA228" w14:textId="77777777" w:rsidR="00501FA3" w:rsidRPr="00DF74A9" w:rsidRDefault="00501FA3" w:rsidP="00E53B5D">
            <w:pPr>
              <w:jc w:val="right"/>
              <w:cnfStyle w:val="000000000000" w:firstRow="0" w:lastRow="0" w:firstColumn="0" w:lastColumn="0" w:oddVBand="0" w:evenVBand="0" w:oddHBand="0" w:evenHBand="0" w:firstRowFirstColumn="0" w:firstRowLastColumn="0" w:lastRowFirstColumn="0" w:lastRowLastColumn="0"/>
            </w:pPr>
            <w:r w:rsidRPr="00B00BB7">
              <w:t>19 971</w:t>
            </w:r>
          </w:p>
        </w:tc>
      </w:tr>
      <w:tr w:rsidR="00501FA3" w14:paraId="094124AA"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8" w:type="dxa"/>
          </w:tcPr>
          <w:p w14:paraId="684FCCD1" w14:textId="77777777" w:rsidR="00501FA3" w:rsidRPr="00DF74A9" w:rsidRDefault="00501FA3" w:rsidP="00AA2B36">
            <w:pPr>
              <w:jc w:val="left"/>
              <w:rPr>
                <w:b w:val="0"/>
              </w:rPr>
            </w:pPr>
            <w:r w:rsidRPr="00B00BB7">
              <w:t>Collectif</w:t>
            </w:r>
          </w:p>
        </w:tc>
        <w:tc>
          <w:tcPr>
            <w:tcW w:w="1988" w:type="dxa"/>
          </w:tcPr>
          <w:p w14:paraId="587162F6"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13 052</w:t>
            </w:r>
          </w:p>
        </w:tc>
        <w:tc>
          <w:tcPr>
            <w:tcW w:w="1988" w:type="dxa"/>
          </w:tcPr>
          <w:p w14:paraId="10EE6CEF"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1 681</w:t>
            </w:r>
          </w:p>
        </w:tc>
        <w:tc>
          <w:tcPr>
            <w:tcW w:w="1988" w:type="dxa"/>
          </w:tcPr>
          <w:p w14:paraId="25D5C014"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1 543</w:t>
            </w:r>
          </w:p>
        </w:tc>
        <w:tc>
          <w:tcPr>
            <w:tcW w:w="1988" w:type="dxa"/>
          </w:tcPr>
          <w:p w14:paraId="14367C09" w14:textId="77777777" w:rsidR="00501FA3" w:rsidRPr="00DF74A9" w:rsidRDefault="00501FA3" w:rsidP="00E53B5D">
            <w:pPr>
              <w:jc w:val="right"/>
              <w:cnfStyle w:val="000000100000" w:firstRow="0" w:lastRow="0" w:firstColumn="0" w:lastColumn="0" w:oddVBand="0" w:evenVBand="0" w:oddHBand="1" w:evenHBand="0" w:firstRowFirstColumn="0" w:firstRowLastColumn="0" w:lastRowFirstColumn="0" w:lastRowLastColumn="0"/>
            </w:pPr>
            <w:r w:rsidRPr="00B00BB7">
              <w:t>16 276</w:t>
            </w:r>
          </w:p>
        </w:tc>
      </w:tr>
    </w:tbl>
    <w:p w14:paraId="5132CE27" w14:textId="0F50ABC0" w:rsidR="002538C6" w:rsidRDefault="002538C6" w:rsidP="0045532B">
      <w:pPr>
        <w:pStyle w:val="Caption"/>
      </w:pPr>
      <w:bookmarkStart w:id="124" w:name="_Toc123916495"/>
      <w:r>
        <w:t xml:space="preserve">Tableau </w:t>
      </w:r>
      <w:fldSimple w:instr=" SEQ Tableau \* ARABIC ">
        <w:r w:rsidR="00AB51D9">
          <w:rPr>
            <w:noProof/>
          </w:rPr>
          <w:t>3</w:t>
        </w:r>
      </w:fldSimple>
      <w:r>
        <w:t xml:space="preserve"> : </w:t>
      </w:r>
      <w:r w:rsidRPr="00D94CE3">
        <w:t xml:space="preserve">Répartition de l'habitat individuel et collectif selon la taille de l’unité urbaine au </w:t>
      </w:r>
      <w:r w:rsidR="006518EF" w:rsidRPr="009F4180">
        <w:t>1</w:t>
      </w:r>
      <w:r w:rsidR="006518EF" w:rsidRPr="007F47EF">
        <w:rPr>
          <w:vertAlign w:val="superscript"/>
        </w:rPr>
        <w:t>er</w:t>
      </w:r>
      <w:r>
        <w:t xml:space="preserve"> </w:t>
      </w:r>
      <w:r w:rsidRPr="00D94CE3">
        <w:t>janvier 2021</w:t>
      </w:r>
      <w:bookmarkEnd w:id="124"/>
    </w:p>
    <w:p w14:paraId="0521AFF5" w14:textId="147862B6" w:rsidR="00501FA3" w:rsidRDefault="002538C6" w:rsidP="0045532B">
      <w:pPr>
        <w:pStyle w:val="Caption"/>
      </w:pPr>
      <w:r>
        <w:t>Source : INSEE, SDES</w:t>
      </w:r>
    </w:p>
    <w:p w14:paraId="7867FB74" w14:textId="0BC918A6" w:rsidR="00501FA3" w:rsidRDefault="00501FA3" w:rsidP="003F57EA">
      <w:pPr>
        <w:pStyle w:val="Titre3Niveau3"/>
      </w:pPr>
      <w:bookmarkStart w:id="125" w:name="_Toc120567450"/>
      <w:bookmarkStart w:id="126" w:name="_Toc138341972"/>
      <w:r>
        <w:t>Energie</w:t>
      </w:r>
      <w:bookmarkEnd w:id="125"/>
      <w:bookmarkEnd w:id="126"/>
    </w:p>
    <w:p w14:paraId="48268CD9" w14:textId="77777777" w:rsidR="00501FA3" w:rsidRDefault="00501FA3" w:rsidP="00501FA3">
      <w:r>
        <w:t>Après la période continue d’augmentation de 1990 à 2008, la baisse de 2009 et la remontée à partir de 2010, puis la stabilisation de 2010 à 2012, la production nationale d’énergie primaire augmente à nouveau légèrement entre 2013 et 2015 pour établir un nouveau record, à près de 140 Mtep. Une nouvelle baisse en dent de scie s’amorce à partir de 2015, et la production en 2021 atteint 131 Mtep, en baisse de 6,4% par rapport à 2015.</w:t>
      </w:r>
    </w:p>
    <w:p w14:paraId="09F6367B" w14:textId="77777777" w:rsidR="00501FA3" w:rsidRDefault="00501FA3" w:rsidP="00501FA3">
      <w:r>
        <w:t>La production nucléaire a atteint son maximum en 2005 avec une production d’énergie primaire de 117 Mtep. Depuis le niveau de production est globalement à la baisse.</w:t>
      </w:r>
    </w:p>
    <w:p w14:paraId="4594B166" w14:textId="77777777" w:rsidR="00501FA3" w:rsidRDefault="00501FA3" w:rsidP="00501FA3"/>
    <w:p w14:paraId="7466700A" w14:textId="77777777" w:rsidR="00501FA3" w:rsidRDefault="00501FA3" w:rsidP="00501FA3">
      <w:r>
        <w:t>Le graphique ci-dessous illustre ces tendances de long terme. Les énergies renouvelables montent progressivement en puissance (16,6% de la production primaire en 2021 ; 2</w:t>
      </w:r>
      <w:r w:rsidRPr="00D96208">
        <w:rPr>
          <w:vertAlign w:val="superscript"/>
        </w:rPr>
        <w:t>e</w:t>
      </w:r>
      <w:r>
        <w:t xml:space="preserve"> source d’énergie primaire), tandis que la part du nucléaire reste prépondérante (75,4% en 2021). </w:t>
      </w:r>
    </w:p>
    <w:p w14:paraId="18E5359B" w14:textId="77777777" w:rsidR="00501FA3" w:rsidRDefault="00501FA3" w:rsidP="00501FA3"/>
    <w:p w14:paraId="2C464C75" w14:textId="77777777" w:rsidR="00501FA3" w:rsidRDefault="00501FA3" w:rsidP="00501FA3">
      <w:r>
        <w:rPr>
          <w:noProof/>
        </w:rPr>
        <w:drawing>
          <wp:inline distT="0" distB="0" distL="0" distR="0" wp14:anchorId="581ABFC2" wp14:editId="153B5A2F">
            <wp:extent cx="6581775" cy="4247515"/>
            <wp:effectExtent l="0" t="0" r="9525" b="635"/>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FEFF37B" w14:textId="77777777" w:rsidR="00501FA3" w:rsidRDefault="00501FA3" w:rsidP="00501FA3"/>
    <w:p w14:paraId="7DE1CCC1" w14:textId="7291BE29" w:rsidR="00B1027F" w:rsidRDefault="00B1027F" w:rsidP="0045532B">
      <w:pPr>
        <w:pStyle w:val="Caption"/>
      </w:pPr>
      <w:bookmarkStart w:id="127" w:name="_Toc123916428"/>
      <w:r>
        <w:t xml:space="preserve">Figure </w:t>
      </w:r>
      <w:fldSimple w:instr=" SEQ Figure \* ARABIC ">
        <w:r w:rsidR="00AB51D9">
          <w:rPr>
            <w:noProof/>
          </w:rPr>
          <w:t>17</w:t>
        </w:r>
      </w:fldSimple>
      <w:r>
        <w:t> : Production d’énergie primaire de 1970 à 2021</w:t>
      </w:r>
      <w:bookmarkEnd w:id="127"/>
    </w:p>
    <w:p w14:paraId="58E085EB" w14:textId="5B993DFC" w:rsidR="00501FA3" w:rsidRDefault="00B1027F" w:rsidP="0045532B">
      <w:pPr>
        <w:pStyle w:val="Caption"/>
      </w:pPr>
      <w:r>
        <w:t>Source : SDES, Bilan de l’énergie édition 2022</w:t>
      </w:r>
    </w:p>
    <w:p w14:paraId="6337270A" w14:textId="1426F87F" w:rsidR="00501FA3" w:rsidRDefault="00501FA3" w:rsidP="00501FA3"/>
    <w:p w14:paraId="55E18871" w14:textId="77777777" w:rsidR="00501FA3" w:rsidRDefault="00501FA3" w:rsidP="00501FA3">
      <w:r>
        <w:t>La consommation d’énergie primaire corrigée des variations climatiques (CVC) est en hausse jusqu’en 2005 puis montre une certaine stabilité jusqu’en 2011. Depuis elle est en légère baisse malgré un rebond en 2011. En 2021 la consommation primaire CVC s’élève à 237 Mtep.</w:t>
      </w:r>
    </w:p>
    <w:p w14:paraId="483C40C6" w14:textId="77777777" w:rsidR="00501FA3" w:rsidRDefault="00501FA3" w:rsidP="00501FA3">
      <w:r>
        <w:t>La consommation finale énergétique corrigée des variations climatiques a augmenté jusqu’en 2001, puis est restée globalement stable jusqu’en 2011 et est depuis en baisse légère mais continue : elle atteint 139,1 Mtep en 2021.</w:t>
      </w:r>
    </w:p>
    <w:p w14:paraId="4A8DD115" w14:textId="77777777" w:rsidR="00501FA3" w:rsidRDefault="00501FA3" w:rsidP="00501FA3"/>
    <w:p w14:paraId="3D9AF4B6" w14:textId="77777777" w:rsidR="00501FA3" w:rsidRDefault="00501FA3" w:rsidP="00501FA3"/>
    <w:p w14:paraId="7CAABB09" w14:textId="77777777" w:rsidR="00501FA3" w:rsidRDefault="00501FA3" w:rsidP="00501FA3"/>
    <w:p w14:paraId="3CD64F11" w14:textId="77777777" w:rsidR="00501FA3" w:rsidRDefault="00501FA3" w:rsidP="00501FA3">
      <w:r>
        <w:rPr>
          <w:noProof/>
        </w:rPr>
        <w:drawing>
          <wp:inline distT="0" distB="0" distL="0" distR="0" wp14:anchorId="20FF7559" wp14:editId="03459A9F">
            <wp:extent cx="6515100" cy="3542665"/>
            <wp:effectExtent l="0" t="0" r="0" b="635"/>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A41054" w14:textId="77777777" w:rsidR="00501FA3" w:rsidRDefault="00501FA3" w:rsidP="00501FA3"/>
    <w:p w14:paraId="1192FCE8" w14:textId="0AA20F22" w:rsidR="006D7A26" w:rsidRDefault="006D7A26" w:rsidP="0045532B">
      <w:pPr>
        <w:pStyle w:val="Caption"/>
      </w:pPr>
      <w:bookmarkStart w:id="128" w:name="_Toc123916429"/>
      <w:r>
        <w:t xml:space="preserve">Figure </w:t>
      </w:r>
      <w:fldSimple w:instr=" SEQ Figure \* ARABIC ">
        <w:r w:rsidR="00AB51D9">
          <w:rPr>
            <w:noProof/>
          </w:rPr>
          <w:t>18</w:t>
        </w:r>
      </w:fldSimple>
      <w:r>
        <w:t> : Evolution de la consommation d’énergie primaire par forme d’énergie</w:t>
      </w:r>
      <w:bookmarkEnd w:id="128"/>
    </w:p>
    <w:p w14:paraId="673829B2" w14:textId="1689E253" w:rsidR="00501FA3" w:rsidRDefault="006D7A26" w:rsidP="0045532B">
      <w:pPr>
        <w:pStyle w:val="Caption"/>
      </w:pPr>
      <w:r>
        <w:t>Source : SDES, Bilan de l’énergie édition 2022</w:t>
      </w:r>
    </w:p>
    <w:p w14:paraId="70A48128" w14:textId="77777777" w:rsidR="00501FA3" w:rsidRDefault="00501FA3" w:rsidP="00501FA3"/>
    <w:p w14:paraId="71FBC028" w14:textId="6DFB222D" w:rsidR="00501FA3" w:rsidRDefault="00501FA3" w:rsidP="00501FA3">
      <w:r>
        <w:t>Le bouquet d’énergie primaire est composé en 2021 de 40</w:t>
      </w:r>
      <w:r w:rsidR="006518EF">
        <w:t>%</w:t>
      </w:r>
      <w:r>
        <w:t xml:space="preserve"> d’électricité primaire nucléaire non renouvelable et de 13</w:t>
      </w:r>
      <w:r w:rsidR="006518EF">
        <w:t>%</w:t>
      </w:r>
      <w:r>
        <w:t xml:space="preserve"> d’énergies renouvelables. Le pétrole occupe encore près d’un tiers (27,7%) et le gaz 15,5</w:t>
      </w:r>
      <w:r w:rsidR="006518EF">
        <w:t>%</w:t>
      </w:r>
      <w:r>
        <w:t>, tandis que la part du charbon continue de baisser (3,0%), comme le montre la figure ci-dessous.</w:t>
      </w:r>
    </w:p>
    <w:p w14:paraId="6207BCA2" w14:textId="77777777" w:rsidR="00501FA3" w:rsidRDefault="00501FA3" w:rsidP="00501FA3"/>
    <w:p w14:paraId="5DDC87AA" w14:textId="77777777" w:rsidR="00501FA3" w:rsidRDefault="00501FA3" w:rsidP="00501FA3"/>
    <w:p w14:paraId="704D656A" w14:textId="77777777" w:rsidR="00501FA3" w:rsidRDefault="00501FA3" w:rsidP="00501FA3">
      <w:r>
        <w:rPr>
          <w:noProof/>
        </w:rPr>
        <w:drawing>
          <wp:inline distT="0" distB="0" distL="0" distR="0" wp14:anchorId="20497D96" wp14:editId="3E63A355">
            <wp:extent cx="6318250" cy="2705100"/>
            <wp:effectExtent l="0" t="0" r="6350" b="0"/>
            <wp:docPr id="46" name="Graphique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D9A3C87" w14:textId="333E8B31" w:rsidR="006D7A26" w:rsidRDefault="006D7A26" w:rsidP="0045532B">
      <w:pPr>
        <w:pStyle w:val="Caption"/>
      </w:pPr>
      <w:bookmarkStart w:id="129" w:name="_Toc123916430"/>
      <w:r>
        <w:t xml:space="preserve">Figure </w:t>
      </w:r>
      <w:fldSimple w:instr=" SEQ Figure \* ARABIC ">
        <w:r w:rsidR="00AB51D9">
          <w:rPr>
            <w:noProof/>
          </w:rPr>
          <w:t>19</w:t>
        </w:r>
      </w:fldSimple>
      <w:r>
        <w:t> : Figure : Bouquet d’énergie primaire en 2021. * EnR : énergies renouvelables ; ** Production nucléaire (hors solde exportateur) et production hydraulique issue des stations de transfert d’énergie par pompage ; *** Hydraulique hors pompage</w:t>
      </w:r>
      <w:bookmarkEnd w:id="129"/>
    </w:p>
    <w:p w14:paraId="414A2962" w14:textId="3FB72234" w:rsidR="006D7A26" w:rsidRDefault="006D7A26" w:rsidP="0045532B">
      <w:pPr>
        <w:pStyle w:val="Caption"/>
      </w:pPr>
      <w:r>
        <w:t>Source : SDES, Bilan de l’énergie édition 2022</w:t>
      </w:r>
    </w:p>
    <w:p w14:paraId="65996C20" w14:textId="2FC922E0" w:rsidR="00501FA3" w:rsidRDefault="00501FA3" w:rsidP="00501FA3"/>
    <w:p w14:paraId="49D5FEE9" w14:textId="77777777" w:rsidR="00501FA3" w:rsidRDefault="00501FA3" w:rsidP="00501FA3"/>
    <w:p w14:paraId="31A11114" w14:textId="5854E59A" w:rsidR="00501FA3" w:rsidRDefault="00501FA3" w:rsidP="00501FA3">
      <w:r>
        <w:t xml:space="preserve">Les énergies renouvelables, qui regroupent les filières biomasse, </w:t>
      </w:r>
      <w:r w:rsidR="00664ED0">
        <w:t xml:space="preserve">la part renouvelable des </w:t>
      </w:r>
      <w:r>
        <w:t>déchets incinérés, chaleur primaire renouvelable les filières hydraulique (hors pompages), marémotrice, éolienne et photovoltaïque. La production primaire d’énergies renouvelables atteint 31 Mtep en 2021.</w:t>
      </w:r>
    </w:p>
    <w:p w14:paraId="0B18FD57" w14:textId="77777777" w:rsidR="00501FA3" w:rsidRDefault="00501FA3" w:rsidP="00501FA3"/>
    <w:p w14:paraId="58BBBA9C" w14:textId="77777777" w:rsidR="00501FA3" w:rsidRDefault="00501FA3" w:rsidP="00501FA3">
      <w:r>
        <w:t>Le graphique ci-dessous illustre la progression des énergies renouvelables depuis le début du rapportage sur les gaz à effet de serre : on constate en 2007 le décollage de ces énergies.</w:t>
      </w:r>
    </w:p>
    <w:p w14:paraId="34F2E1DE" w14:textId="77777777" w:rsidR="00501FA3" w:rsidRDefault="00501FA3" w:rsidP="00501FA3"/>
    <w:p w14:paraId="64CFCA67" w14:textId="77777777" w:rsidR="00501FA3" w:rsidRDefault="00501FA3" w:rsidP="00E53B5D">
      <w:pPr>
        <w:jc w:val="center"/>
      </w:pPr>
      <w:r>
        <w:rPr>
          <w:noProof/>
        </w:rPr>
        <w:drawing>
          <wp:inline distT="0" distB="0" distL="0" distR="0" wp14:anchorId="0F7DDB6F" wp14:editId="6A57E5D9">
            <wp:extent cx="6318250" cy="3886835"/>
            <wp:effectExtent l="0" t="0" r="6350" b="18415"/>
            <wp:docPr id="47" name="Graphique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E13FCCB" w14:textId="55B4B848" w:rsidR="00C07E57" w:rsidRDefault="00C07E57" w:rsidP="0045532B">
      <w:pPr>
        <w:pStyle w:val="Caption"/>
      </w:pPr>
      <w:bookmarkStart w:id="130" w:name="_Toc123916431"/>
      <w:r>
        <w:t xml:space="preserve">Figure </w:t>
      </w:r>
      <w:fldSimple w:instr=" SEQ Figure \* ARABIC ">
        <w:r w:rsidR="00AB51D9">
          <w:rPr>
            <w:noProof/>
          </w:rPr>
          <w:t>20</w:t>
        </w:r>
      </w:fldSimple>
      <w:r>
        <w:t> : Progression de la progression primaire d’énergies renouvelables par filière en Métropole+ DOM (à partir de 2011) en Mtep depuis 1990</w:t>
      </w:r>
      <w:bookmarkEnd w:id="130"/>
    </w:p>
    <w:p w14:paraId="05C5BED1" w14:textId="78F28673" w:rsidR="00501FA3" w:rsidRDefault="00C07E57" w:rsidP="0045532B">
      <w:pPr>
        <w:pStyle w:val="Caption"/>
      </w:pPr>
      <w:r>
        <w:t>Source : SDES, Bilan de l’énergie édition 2022</w:t>
      </w:r>
    </w:p>
    <w:p w14:paraId="0E35FA9F" w14:textId="77777777" w:rsidR="00501FA3" w:rsidRDefault="00501FA3" w:rsidP="00501FA3"/>
    <w:p w14:paraId="47DC5D0F" w14:textId="49CA56BB" w:rsidR="00501FA3" w:rsidRDefault="00501FA3" w:rsidP="00501FA3">
      <w:r>
        <w:t>En 2021, environ 53</w:t>
      </w:r>
      <w:r w:rsidR="006518EF">
        <w:t>%</w:t>
      </w:r>
      <w:r>
        <w:t xml:space="preserve"> de la production primaire d’énergies renouvelables est issue de la biomasse : 37,8</w:t>
      </w:r>
      <w:r w:rsidR="006518EF">
        <w:t>%</w:t>
      </w:r>
      <w:r>
        <w:t xml:space="preserve"> pour le bois-énergie, 6,4</w:t>
      </w:r>
      <w:r w:rsidR="006518EF">
        <w:t>%</w:t>
      </w:r>
      <w:r>
        <w:t xml:space="preserve"> pour les biocarburants, 4,6% pour le biogaz et 4,2</w:t>
      </w:r>
      <w:r w:rsidR="006518EF">
        <w:t>%</w:t>
      </w:r>
      <w:r>
        <w:t xml:space="preserve"> pour les déchets urbains renouvelables.</w:t>
      </w:r>
    </w:p>
    <w:p w14:paraId="6BEAE43C" w14:textId="77777777" w:rsidR="00501FA3" w:rsidRDefault="00501FA3" w:rsidP="00501FA3"/>
    <w:p w14:paraId="2D42BF32" w14:textId="726E32AD" w:rsidR="00501FA3" w:rsidRDefault="00501FA3" w:rsidP="00501FA3">
      <w:r>
        <w:t>L’électricité primaire renouvelable, regroupant l’hydraulique renouvelable, les énergies marines, l’éolien et le photovoltaïque, représente en 2021 le tiers de la production primaire d’énergies renouvelables. La chaleur primaire d’origine aérothermique, géothermique ou solaire, représente 14,7</w:t>
      </w:r>
      <w:r w:rsidR="006518EF">
        <w:t>%</w:t>
      </w:r>
      <w:r>
        <w:t xml:space="preserve"> de la production primaire d’énergies renouvelables.</w:t>
      </w:r>
    </w:p>
    <w:p w14:paraId="74AD9C21" w14:textId="77777777" w:rsidR="00501FA3" w:rsidRDefault="00501FA3" w:rsidP="00501FA3"/>
    <w:p w14:paraId="434B9C51" w14:textId="77777777" w:rsidR="00501FA3" w:rsidRDefault="00501FA3" w:rsidP="00501FA3"/>
    <w:p w14:paraId="46B8B2DB" w14:textId="77777777" w:rsidR="00501FA3" w:rsidRDefault="00501FA3" w:rsidP="00501FA3"/>
    <w:p w14:paraId="36B256D2" w14:textId="77777777" w:rsidR="00501FA3" w:rsidRDefault="00501FA3" w:rsidP="00501FA3"/>
    <w:p w14:paraId="72B99944" w14:textId="77777777" w:rsidR="00501FA3" w:rsidRDefault="00501FA3" w:rsidP="00E53B5D">
      <w:pPr>
        <w:jc w:val="center"/>
      </w:pPr>
      <w:r>
        <w:rPr>
          <w:noProof/>
        </w:rPr>
        <w:drawing>
          <wp:inline distT="0" distB="0" distL="0" distR="0" wp14:anchorId="49199C55" wp14:editId="768F554C">
            <wp:extent cx="5752800" cy="3016800"/>
            <wp:effectExtent l="0" t="0" r="635" b="12700"/>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9E6DDD3" w14:textId="7DA0DA5A" w:rsidR="00C07E57" w:rsidRDefault="00C07E57" w:rsidP="0045532B">
      <w:pPr>
        <w:pStyle w:val="Caption"/>
      </w:pPr>
      <w:bookmarkStart w:id="131" w:name="_Toc123916432"/>
      <w:r>
        <w:t xml:space="preserve">Figure </w:t>
      </w:r>
      <w:fldSimple w:instr=" SEQ Figure \* ARABIC ">
        <w:r w:rsidR="00AB51D9">
          <w:rPr>
            <w:noProof/>
          </w:rPr>
          <w:t>21</w:t>
        </w:r>
      </w:fldSimple>
      <w:r>
        <w:t> : Part de chaque filière dans la production primaire d’énergies renouvelables en 2021 – * Hydraulique hors pompage</w:t>
      </w:r>
      <w:bookmarkEnd w:id="131"/>
    </w:p>
    <w:p w14:paraId="75F80CFB" w14:textId="4A116621" w:rsidR="00501FA3" w:rsidRDefault="00C07E57" w:rsidP="0045532B">
      <w:pPr>
        <w:pStyle w:val="Caption"/>
      </w:pPr>
      <w:r>
        <w:t>Source : SDES, Bilan de l’énergie édition 2022</w:t>
      </w:r>
    </w:p>
    <w:p w14:paraId="1887CF31" w14:textId="77777777" w:rsidR="00C07E57" w:rsidRPr="00C07E57" w:rsidRDefault="00C07E57" w:rsidP="00C07E57"/>
    <w:p w14:paraId="4816E3A8" w14:textId="3DBC82E8" w:rsidR="00501FA3" w:rsidRDefault="00501FA3" w:rsidP="00501FA3">
      <w:r>
        <w:t>Comme illustré dans le tableau ci-dessous l’augmentation des énergies renouvelables dans la consommation finale est particulièrement forte depuis 2005 : +38,7</w:t>
      </w:r>
      <w:r w:rsidR="006518EF">
        <w:t>%</w:t>
      </w:r>
      <w:r>
        <w:t xml:space="preserve"> entre 2005 et 2010 et +85,6% entre 2005 et 2021. Cette progression est particulièrement forte dans le solaire photovoltaïque (multiplication par 1400), l’éolien (multiplication par 38), les biocarburants (multiplication par 3), les pompes à chaleur (multiplication par 17), la biomasse et les déchets (+22</w:t>
      </w:r>
      <w:r w:rsidR="006518EF">
        <w:t>%</w:t>
      </w:r>
      <w:r>
        <w:t>).</w:t>
      </w:r>
    </w:p>
    <w:p w14:paraId="31288238" w14:textId="77777777" w:rsidR="00501FA3" w:rsidRDefault="00501FA3" w:rsidP="00501FA3"/>
    <w:tbl>
      <w:tblPr>
        <w:tblStyle w:val="GridTable4-Accent4"/>
        <w:tblW w:w="0" w:type="auto"/>
        <w:tblLook w:val="04A0" w:firstRow="1" w:lastRow="0" w:firstColumn="1" w:lastColumn="0" w:noHBand="0" w:noVBand="1"/>
      </w:tblPr>
      <w:tblGrid>
        <w:gridCol w:w="2727"/>
        <w:gridCol w:w="2362"/>
        <w:gridCol w:w="2362"/>
        <w:gridCol w:w="2489"/>
      </w:tblGrid>
      <w:tr w:rsidR="00501FA3" w14:paraId="1E4BD2EC" w14:textId="77777777" w:rsidTr="00E53B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7A185E2E" w14:textId="77777777" w:rsidR="00501FA3" w:rsidRDefault="00501FA3" w:rsidP="00E53B5D">
            <w:r>
              <w:t>Par filière</w:t>
            </w:r>
          </w:p>
        </w:tc>
        <w:tc>
          <w:tcPr>
            <w:tcW w:w="2362" w:type="dxa"/>
          </w:tcPr>
          <w:p w14:paraId="13E201A0" w14:textId="77777777" w:rsidR="00501FA3" w:rsidRDefault="00501FA3" w:rsidP="00E53B5D">
            <w:pPr>
              <w:cnfStyle w:val="100000000000" w:firstRow="1" w:lastRow="0" w:firstColumn="0" w:lastColumn="0" w:oddVBand="0" w:evenVBand="0" w:oddHBand="0" w:evenHBand="0" w:firstRowFirstColumn="0" w:firstRowLastColumn="0" w:lastRowFirstColumn="0" w:lastRowLastColumn="0"/>
            </w:pPr>
          </w:p>
        </w:tc>
        <w:tc>
          <w:tcPr>
            <w:tcW w:w="2362" w:type="dxa"/>
          </w:tcPr>
          <w:p w14:paraId="606514CA" w14:textId="77777777" w:rsidR="00501FA3" w:rsidRDefault="00501FA3" w:rsidP="00E53B5D">
            <w:pPr>
              <w:jc w:val="right"/>
              <w:cnfStyle w:val="100000000000" w:firstRow="1" w:lastRow="0" w:firstColumn="0" w:lastColumn="0" w:oddVBand="0" w:evenVBand="0" w:oddHBand="0" w:evenHBand="0" w:firstRowFirstColumn="0" w:firstRowLastColumn="0" w:lastRowFirstColumn="0" w:lastRowLastColumn="0"/>
            </w:pPr>
          </w:p>
        </w:tc>
        <w:tc>
          <w:tcPr>
            <w:tcW w:w="2489" w:type="dxa"/>
          </w:tcPr>
          <w:p w14:paraId="20DB7608" w14:textId="77777777" w:rsidR="00501FA3" w:rsidRDefault="00501FA3" w:rsidP="00E53B5D">
            <w:pPr>
              <w:jc w:val="right"/>
              <w:cnfStyle w:val="100000000000" w:firstRow="1" w:lastRow="0" w:firstColumn="0" w:lastColumn="0" w:oddVBand="0" w:evenVBand="0" w:oddHBand="0" w:evenHBand="0" w:firstRowFirstColumn="0" w:firstRowLastColumn="0" w:lastRowFirstColumn="0" w:lastRowLastColumn="0"/>
            </w:pPr>
            <w:r>
              <w:t>En Mtep</w:t>
            </w:r>
          </w:p>
        </w:tc>
      </w:tr>
      <w:tr w:rsidR="00501FA3" w14:paraId="47D36F95"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5DE75C2F" w14:textId="77777777" w:rsidR="00501FA3" w:rsidRDefault="00501FA3" w:rsidP="00E53B5D"/>
        </w:tc>
        <w:tc>
          <w:tcPr>
            <w:tcW w:w="2362" w:type="dxa"/>
          </w:tcPr>
          <w:p w14:paraId="0FC8569C"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2005</w:t>
            </w:r>
          </w:p>
        </w:tc>
        <w:tc>
          <w:tcPr>
            <w:tcW w:w="2362" w:type="dxa"/>
          </w:tcPr>
          <w:p w14:paraId="13AF68DB"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2010</w:t>
            </w:r>
          </w:p>
        </w:tc>
        <w:tc>
          <w:tcPr>
            <w:tcW w:w="2489" w:type="dxa"/>
          </w:tcPr>
          <w:p w14:paraId="4B56464A"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2021</w:t>
            </w:r>
          </w:p>
        </w:tc>
      </w:tr>
      <w:tr w:rsidR="00501FA3" w14:paraId="123C3019"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156C73C9" w14:textId="77777777" w:rsidR="00501FA3" w:rsidRPr="00625D58" w:rsidRDefault="00501FA3" w:rsidP="00E53B5D">
            <w:pPr>
              <w:rPr>
                <w:b w:val="0"/>
              </w:rPr>
            </w:pPr>
            <w:r w:rsidRPr="00625D58">
              <w:rPr>
                <w:b w:val="0"/>
              </w:rPr>
              <w:t>Hydraulique renouvelable</w:t>
            </w:r>
          </w:p>
        </w:tc>
        <w:tc>
          <w:tcPr>
            <w:tcW w:w="2362" w:type="dxa"/>
          </w:tcPr>
          <w:p w14:paraId="7CA29286"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rsidRPr="00A9717E">
              <w:t>4</w:t>
            </w:r>
            <w:r>
              <w:t>,4</w:t>
            </w:r>
          </w:p>
        </w:tc>
        <w:tc>
          <w:tcPr>
            <w:tcW w:w="2362" w:type="dxa"/>
          </w:tcPr>
          <w:p w14:paraId="03DC1AD7"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5,4</w:t>
            </w:r>
          </w:p>
        </w:tc>
        <w:tc>
          <w:tcPr>
            <w:tcW w:w="2489" w:type="dxa"/>
          </w:tcPr>
          <w:p w14:paraId="2DFE5CD5"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5,1</w:t>
            </w:r>
          </w:p>
        </w:tc>
      </w:tr>
      <w:tr w:rsidR="00501FA3" w14:paraId="614F9A1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2A0DE4F5" w14:textId="77777777" w:rsidR="00501FA3" w:rsidRPr="00625D58" w:rsidRDefault="00501FA3" w:rsidP="00E53B5D">
            <w:pPr>
              <w:rPr>
                <w:b w:val="0"/>
              </w:rPr>
            </w:pPr>
            <w:r w:rsidRPr="00625D58">
              <w:rPr>
                <w:b w:val="0"/>
              </w:rPr>
              <w:t>Éolien</w:t>
            </w:r>
          </w:p>
        </w:tc>
        <w:tc>
          <w:tcPr>
            <w:tcW w:w="2362" w:type="dxa"/>
          </w:tcPr>
          <w:p w14:paraId="7215557B"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0,1</w:t>
            </w:r>
          </w:p>
        </w:tc>
        <w:tc>
          <w:tcPr>
            <w:tcW w:w="2362" w:type="dxa"/>
          </w:tcPr>
          <w:p w14:paraId="377D3EA7"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0,9</w:t>
            </w:r>
          </w:p>
        </w:tc>
        <w:tc>
          <w:tcPr>
            <w:tcW w:w="2489" w:type="dxa"/>
          </w:tcPr>
          <w:p w14:paraId="5AD966F5"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3,2</w:t>
            </w:r>
          </w:p>
        </w:tc>
      </w:tr>
      <w:tr w:rsidR="00501FA3" w14:paraId="6A5E2BDE"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45D87E4A" w14:textId="77777777" w:rsidR="00501FA3" w:rsidRPr="00625D58" w:rsidRDefault="00501FA3" w:rsidP="00E53B5D">
            <w:pPr>
              <w:rPr>
                <w:b w:val="0"/>
              </w:rPr>
            </w:pPr>
            <w:r w:rsidRPr="00625D58">
              <w:rPr>
                <w:b w:val="0"/>
              </w:rPr>
              <w:t>Biomasse</w:t>
            </w:r>
          </w:p>
        </w:tc>
        <w:tc>
          <w:tcPr>
            <w:tcW w:w="2362" w:type="dxa"/>
          </w:tcPr>
          <w:p w14:paraId="1D71AD5C"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9,1</w:t>
            </w:r>
          </w:p>
        </w:tc>
        <w:tc>
          <w:tcPr>
            <w:tcW w:w="2362" w:type="dxa"/>
          </w:tcPr>
          <w:p w14:paraId="2D14590C"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10,3</w:t>
            </w:r>
          </w:p>
        </w:tc>
        <w:tc>
          <w:tcPr>
            <w:tcW w:w="2489" w:type="dxa"/>
          </w:tcPr>
          <w:p w14:paraId="00A8E4CD"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11,2</w:t>
            </w:r>
          </w:p>
        </w:tc>
      </w:tr>
      <w:tr w:rsidR="00501FA3" w14:paraId="654E60EF"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39C5C19C" w14:textId="77777777" w:rsidR="00501FA3" w:rsidRPr="00625D58" w:rsidRDefault="00501FA3" w:rsidP="00E53B5D">
            <w:pPr>
              <w:rPr>
                <w:b w:val="0"/>
              </w:rPr>
            </w:pPr>
            <w:r w:rsidRPr="00625D58">
              <w:rPr>
                <w:b w:val="0"/>
              </w:rPr>
              <w:t>Déchets renouvelables</w:t>
            </w:r>
          </w:p>
        </w:tc>
        <w:tc>
          <w:tcPr>
            <w:tcW w:w="2362" w:type="dxa"/>
          </w:tcPr>
          <w:p w14:paraId="72A15A6E"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1,1</w:t>
            </w:r>
          </w:p>
        </w:tc>
        <w:tc>
          <w:tcPr>
            <w:tcW w:w="2362" w:type="dxa"/>
          </w:tcPr>
          <w:p w14:paraId="33172938"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1,2</w:t>
            </w:r>
          </w:p>
        </w:tc>
        <w:tc>
          <w:tcPr>
            <w:tcW w:w="2489" w:type="dxa"/>
          </w:tcPr>
          <w:p w14:paraId="1A951B8B"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1,3</w:t>
            </w:r>
          </w:p>
        </w:tc>
      </w:tr>
      <w:tr w:rsidR="00501FA3" w14:paraId="22201815"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0AE9AEEF" w14:textId="77777777" w:rsidR="00501FA3" w:rsidRPr="00625D58" w:rsidRDefault="00501FA3" w:rsidP="00E53B5D">
            <w:pPr>
              <w:rPr>
                <w:b w:val="0"/>
              </w:rPr>
            </w:pPr>
            <w:r w:rsidRPr="00625D58">
              <w:rPr>
                <w:b w:val="0"/>
              </w:rPr>
              <w:t>Biocarburants</w:t>
            </w:r>
          </w:p>
        </w:tc>
        <w:tc>
          <w:tcPr>
            <w:tcW w:w="2362" w:type="dxa"/>
          </w:tcPr>
          <w:p w14:paraId="41E8AED6"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0,6</w:t>
            </w:r>
          </w:p>
        </w:tc>
        <w:tc>
          <w:tcPr>
            <w:tcW w:w="2362" w:type="dxa"/>
          </w:tcPr>
          <w:p w14:paraId="1688216F"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2,3</w:t>
            </w:r>
          </w:p>
        </w:tc>
        <w:tc>
          <w:tcPr>
            <w:tcW w:w="2489" w:type="dxa"/>
          </w:tcPr>
          <w:p w14:paraId="7F77630E"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1,9</w:t>
            </w:r>
          </w:p>
        </w:tc>
      </w:tr>
      <w:tr w:rsidR="00501FA3" w14:paraId="4D796727"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4448AB2E" w14:textId="77777777" w:rsidR="00501FA3" w:rsidRPr="00625D58" w:rsidRDefault="00501FA3" w:rsidP="00E53B5D">
            <w:pPr>
              <w:rPr>
                <w:b w:val="0"/>
              </w:rPr>
            </w:pPr>
            <w:r w:rsidRPr="00625D58">
              <w:rPr>
                <w:b w:val="0"/>
              </w:rPr>
              <w:t>Pompes à chaleur</w:t>
            </w:r>
          </w:p>
        </w:tc>
        <w:tc>
          <w:tcPr>
            <w:tcW w:w="2362" w:type="dxa"/>
          </w:tcPr>
          <w:p w14:paraId="32DBDD7A"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0,2</w:t>
            </w:r>
          </w:p>
        </w:tc>
        <w:tc>
          <w:tcPr>
            <w:tcW w:w="2362" w:type="dxa"/>
          </w:tcPr>
          <w:p w14:paraId="37CC5C06"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1,3</w:t>
            </w:r>
          </w:p>
        </w:tc>
        <w:tc>
          <w:tcPr>
            <w:tcW w:w="2489" w:type="dxa"/>
          </w:tcPr>
          <w:p w14:paraId="35F32FB1"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3,7</w:t>
            </w:r>
          </w:p>
        </w:tc>
      </w:tr>
      <w:tr w:rsidR="00501FA3" w14:paraId="6DE82C4D"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45771271" w14:textId="77777777" w:rsidR="00501FA3" w:rsidRPr="00625D58" w:rsidRDefault="00501FA3" w:rsidP="00E53B5D">
            <w:pPr>
              <w:rPr>
                <w:b w:val="0"/>
              </w:rPr>
            </w:pPr>
            <w:r w:rsidRPr="00625D58">
              <w:rPr>
                <w:b w:val="0"/>
              </w:rPr>
              <w:t>Photovoltaïque</w:t>
            </w:r>
          </w:p>
        </w:tc>
        <w:tc>
          <w:tcPr>
            <w:tcW w:w="2362" w:type="dxa"/>
          </w:tcPr>
          <w:p w14:paraId="040B59A3"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0</w:t>
            </w:r>
          </w:p>
        </w:tc>
        <w:tc>
          <w:tcPr>
            <w:tcW w:w="2362" w:type="dxa"/>
          </w:tcPr>
          <w:p w14:paraId="427A7ADC"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0,1</w:t>
            </w:r>
          </w:p>
        </w:tc>
        <w:tc>
          <w:tcPr>
            <w:tcW w:w="2489" w:type="dxa"/>
          </w:tcPr>
          <w:p w14:paraId="6FC8300C" w14:textId="77777777" w:rsidR="00501FA3" w:rsidRDefault="00501FA3" w:rsidP="00E53B5D">
            <w:pPr>
              <w:jc w:val="center"/>
              <w:cnfStyle w:val="000000000000" w:firstRow="0" w:lastRow="0" w:firstColumn="0" w:lastColumn="0" w:oddVBand="0" w:evenVBand="0" w:oddHBand="0" w:evenHBand="0" w:firstRowFirstColumn="0" w:firstRowLastColumn="0" w:lastRowFirstColumn="0" w:lastRowLastColumn="0"/>
            </w:pPr>
            <w:r>
              <w:t>1,3</w:t>
            </w:r>
          </w:p>
        </w:tc>
      </w:tr>
      <w:tr w:rsidR="00501FA3" w14:paraId="03DB7874" w14:textId="77777777" w:rsidTr="00E53B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dxa"/>
          </w:tcPr>
          <w:p w14:paraId="7EF86E32" w14:textId="77777777" w:rsidR="00501FA3" w:rsidRPr="00625D58" w:rsidRDefault="00501FA3" w:rsidP="00E53B5D">
            <w:pPr>
              <w:rPr>
                <w:b w:val="0"/>
              </w:rPr>
            </w:pPr>
            <w:r w:rsidRPr="00625D58">
              <w:rPr>
                <w:b w:val="0"/>
              </w:rPr>
              <w:t>Autres renouvelables</w:t>
            </w:r>
          </w:p>
        </w:tc>
        <w:tc>
          <w:tcPr>
            <w:tcW w:w="2362" w:type="dxa"/>
          </w:tcPr>
          <w:p w14:paraId="1BA8677B"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0,5</w:t>
            </w:r>
          </w:p>
        </w:tc>
        <w:tc>
          <w:tcPr>
            <w:tcW w:w="2362" w:type="dxa"/>
          </w:tcPr>
          <w:p w14:paraId="2696A224"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0,7</w:t>
            </w:r>
          </w:p>
        </w:tc>
        <w:tc>
          <w:tcPr>
            <w:tcW w:w="2489" w:type="dxa"/>
          </w:tcPr>
          <w:p w14:paraId="7BD70B5A" w14:textId="77777777" w:rsidR="00501FA3" w:rsidRDefault="00501FA3" w:rsidP="00E53B5D">
            <w:pPr>
              <w:jc w:val="center"/>
              <w:cnfStyle w:val="000000100000" w:firstRow="0" w:lastRow="0" w:firstColumn="0" w:lastColumn="0" w:oddVBand="0" w:evenVBand="0" w:oddHBand="1" w:evenHBand="0" w:firstRowFirstColumn="0" w:firstRowLastColumn="0" w:lastRowFirstColumn="0" w:lastRowLastColumn="0"/>
            </w:pPr>
            <w:r>
              <w:t>2,1</w:t>
            </w:r>
          </w:p>
        </w:tc>
      </w:tr>
      <w:tr w:rsidR="00501FA3" w14:paraId="3F1F629C" w14:textId="77777777" w:rsidTr="00E53B5D">
        <w:tc>
          <w:tcPr>
            <w:cnfStyle w:val="001000000000" w:firstRow="0" w:lastRow="0" w:firstColumn="1" w:lastColumn="0" w:oddVBand="0" w:evenVBand="0" w:oddHBand="0" w:evenHBand="0" w:firstRowFirstColumn="0" w:firstRowLastColumn="0" w:lastRowFirstColumn="0" w:lastRowLastColumn="0"/>
            <w:tcW w:w="2727" w:type="dxa"/>
          </w:tcPr>
          <w:p w14:paraId="15A8BE41" w14:textId="77777777" w:rsidR="00501FA3" w:rsidRPr="00625D58" w:rsidRDefault="00501FA3" w:rsidP="00E53B5D">
            <w:r w:rsidRPr="00625D58">
              <w:t>TOTAL</w:t>
            </w:r>
          </w:p>
        </w:tc>
        <w:tc>
          <w:tcPr>
            <w:tcW w:w="2362" w:type="dxa"/>
          </w:tcPr>
          <w:p w14:paraId="05977B5D" w14:textId="77777777" w:rsidR="00501FA3" w:rsidRPr="00625D58"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sidRPr="00625D58">
              <w:rPr>
                <w:b/>
              </w:rPr>
              <w:t>16</w:t>
            </w:r>
          </w:p>
        </w:tc>
        <w:tc>
          <w:tcPr>
            <w:tcW w:w="2362" w:type="dxa"/>
          </w:tcPr>
          <w:p w14:paraId="1F6457A8" w14:textId="77777777" w:rsidR="00501FA3" w:rsidRPr="00625D58"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sidRPr="00625D58">
              <w:rPr>
                <w:b/>
              </w:rPr>
              <w:t>22,2</w:t>
            </w:r>
          </w:p>
        </w:tc>
        <w:tc>
          <w:tcPr>
            <w:tcW w:w="2489" w:type="dxa"/>
          </w:tcPr>
          <w:p w14:paraId="67839CB3" w14:textId="77777777" w:rsidR="00501FA3" w:rsidRPr="00625D58" w:rsidRDefault="00501FA3" w:rsidP="00E53B5D">
            <w:pPr>
              <w:jc w:val="center"/>
              <w:cnfStyle w:val="000000000000" w:firstRow="0" w:lastRow="0" w:firstColumn="0" w:lastColumn="0" w:oddVBand="0" w:evenVBand="0" w:oddHBand="0" w:evenHBand="0" w:firstRowFirstColumn="0" w:firstRowLastColumn="0" w:lastRowFirstColumn="0" w:lastRowLastColumn="0"/>
              <w:rPr>
                <w:b/>
              </w:rPr>
            </w:pPr>
            <w:r>
              <w:rPr>
                <w:b/>
              </w:rPr>
              <w:t>29,7</w:t>
            </w:r>
          </w:p>
        </w:tc>
      </w:tr>
    </w:tbl>
    <w:p w14:paraId="1B5DB2EF" w14:textId="0A5E4C2D" w:rsidR="00C07E57" w:rsidRDefault="00C07E57" w:rsidP="0045532B">
      <w:pPr>
        <w:pStyle w:val="Caption"/>
      </w:pPr>
      <w:bookmarkStart w:id="132" w:name="_Toc123916496"/>
      <w:r>
        <w:t xml:space="preserve">Tableau </w:t>
      </w:r>
      <w:fldSimple w:instr=" SEQ Tableau \* ARABIC ">
        <w:r w:rsidR="00AB51D9">
          <w:rPr>
            <w:noProof/>
          </w:rPr>
          <w:t>4</w:t>
        </w:r>
      </w:fldSimple>
      <w:r>
        <w:t> : Consommation finale brute d’énergie renouvelable par filières en 2005, 2010 et en 2021</w:t>
      </w:r>
      <w:bookmarkEnd w:id="132"/>
    </w:p>
    <w:p w14:paraId="62F2224B" w14:textId="784D6F4E" w:rsidR="00501FA3" w:rsidRDefault="00C07E57" w:rsidP="0045532B">
      <w:pPr>
        <w:pStyle w:val="Caption"/>
      </w:pPr>
      <w:r>
        <w:t xml:space="preserve">Source : SDES, Bilan de l’énergie édition 2022 </w:t>
      </w:r>
    </w:p>
    <w:p w14:paraId="7E1A8BE8" w14:textId="260B527E" w:rsidR="00501FA3" w:rsidRDefault="00501FA3" w:rsidP="003F57EA">
      <w:pPr>
        <w:pStyle w:val="Titre3Niveau3"/>
      </w:pPr>
      <w:bookmarkStart w:id="133" w:name="_Toc120567451"/>
      <w:bookmarkStart w:id="134" w:name="_Toc138341973"/>
      <w:r>
        <w:t>Industrie</w:t>
      </w:r>
      <w:bookmarkEnd w:id="133"/>
      <w:bookmarkEnd w:id="134"/>
    </w:p>
    <w:p w14:paraId="5B763C5D" w14:textId="11C0989C" w:rsidR="00501FA3" w:rsidRDefault="00501FA3" w:rsidP="00501FA3">
      <w:r>
        <w:t>Depuis 2015, la production industrielle avait tendance à augmenter dans les secteurs de la fabrication des matériels de transport, des biens d’équipements et autres biens industriels. La production était stable dan</w:t>
      </w:r>
      <w:r w:rsidR="00347286">
        <w:t>s l’agro-alimentaire et seul</w:t>
      </w:r>
      <w:r>
        <w:t xml:space="preserve"> le secteur du raffinage continuait son déclin.</w:t>
      </w:r>
    </w:p>
    <w:p w14:paraId="61F6AA01" w14:textId="4B443818" w:rsidR="00501FA3" w:rsidRDefault="00501FA3" w:rsidP="00501FA3">
      <w:r>
        <w:t>L’ensemble de la production a fortement baissé en 2020 du fait de la crise de Covid-19. L’ensemble des secteurs sont marqués par une forte reprise en mai 2020 à la fin du premier confinement : cette reprise a cependant été moins importante dans la cokéfaction-raffinage et la fabrication de matériels de transports, deux secteurs qui n’ont pas encore retrouvé leur niveau de production de 2015.</w:t>
      </w:r>
    </w:p>
    <w:p w14:paraId="1328C444" w14:textId="1D2F48D9" w:rsidR="00347286" w:rsidRDefault="00347286" w:rsidP="00501FA3">
      <w:r>
        <w:t>L’indice mensuel de production de l’industrie de l’Insee259 a chuté d’une valeur moyenne de 103,9 sur l’année 2019 à 92,8 en 2020, puis a crû jusqu’à hauteur de 98,2 sur l’année 2021 (base 100 en 2015).</w:t>
      </w:r>
    </w:p>
    <w:p w14:paraId="3A0A7DFB" w14:textId="77777777" w:rsidR="00347286" w:rsidRDefault="00347286" w:rsidP="00501FA3"/>
    <w:p w14:paraId="4EE4C99F" w14:textId="77777777" w:rsidR="00501FA3" w:rsidRDefault="00501FA3" w:rsidP="00501FA3">
      <w:r>
        <w:t>Le graphique ci-dessous décrit l’évolution de la production manufacturière par branche en volume.</w:t>
      </w:r>
    </w:p>
    <w:p w14:paraId="3A17A9C3" w14:textId="77777777" w:rsidR="00501FA3" w:rsidRDefault="00501FA3" w:rsidP="00501FA3"/>
    <w:p w14:paraId="38D85EE1" w14:textId="77777777" w:rsidR="00501FA3" w:rsidRDefault="00501FA3" w:rsidP="00501FA3">
      <w:r>
        <w:rPr>
          <w:noProof/>
        </w:rPr>
        <w:drawing>
          <wp:inline distT="0" distB="0" distL="0" distR="0" wp14:anchorId="73C83E71" wp14:editId="64105C60">
            <wp:extent cx="6318250" cy="3968750"/>
            <wp:effectExtent l="0" t="0" r="6350" b="12700"/>
            <wp:docPr id="49" name="Graphique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FBCAAB0" w14:textId="77777777" w:rsidR="00501FA3" w:rsidRDefault="00501FA3" w:rsidP="00501FA3"/>
    <w:p w14:paraId="021D6192" w14:textId="04D64521" w:rsidR="00C07E57" w:rsidRDefault="00C07E57" w:rsidP="0045532B">
      <w:pPr>
        <w:pStyle w:val="Caption"/>
      </w:pPr>
      <w:bookmarkStart w:id="135" w:name="_Toc123916433"/>
      <w:r>
        <w:t xml:space="preserve">Figure </w:t>
      </w:r>
      <w:fldSimple w:instr=" SEQ Figure \* ARABIC ">
        <w:r w:rsidR="00AB51D9">
          <w:rPr>
            <w:noProof/>
          </w:rPr>
          <w:t>22</w:t>
        </w:r>
      </w:fldSimple>
      <w:r>
        <w:t> :</w:t>
      </w:r>
      <w:r w:rsidR="00260E0B">
        <w:t xml:space="preserve"> </w:t>
      </w:r>
      <w:r>
        <w:t>Indice mensuel de la production industrielle depuis 205, base de référence 100 en 2015.</w:t>
      </w:r>
      <w:bookmarkEnd w:id="135"/>
    </w:p>
    <w:p w14:paraId="5AA34D3D" w14:textId="3C34D87C" w:rsidR="00C07E57" w:rsidRDefault="00C07E57" w:rsidP="0045532B">
      <w:pPr>
        <w:pStyle w:val="Caption"/>
      </w:pPr>
      <w:r>
        <w:t>Source : INSEE, SSP, SDES</w:t>
      </w:r>
    </w:p>
    <w:p w14:paraId="18A5CEE3" w14:textId="667D3605" w:rsidR="00501FA3" w:rsidRDefault="00501FA3" w:rsidP="00501FA3"/>
    <w:p w14:paraId="2BFE8E9E" w14:textId="77777777" w:rsidR="00501FA3" w:rsidRDefault="00501FA3" w:rsidP="00501FA3"/>
    <w:p w14:paraId="5FB2070F" w14:textId="77777777" w:rsidR="00501FA3" w:rsidRDefault="00501FA3" w:rsidP="00501FA3"/>
    <w:p w14:paraId="6A627D5E" w14:textId="77777777" w:rsidR="00347286" w:rsidRPr="0012153E" w:rsidRDefault="00347286" w:rsidP="00347286">
      <w:pPr>
        <w:rPr>
          <w:b/>
          <w:bCs/>
        </w:rPr>
      </w:pPr>
      <w:r>
        <w:t>Le tableau ci-dessous présente les indicateurs</w:t>
      </w:r>
      <w:r w:rsidRPr="0012153E">
        <w:rPr>
          <w:b/>
          <w:bCs/>
        </w:rPr>
        <w:t xml:space="preserve"> macroéconomiques de l'industrie manufacturière en</w:t>
      </w:r>
      <w:r w:rsidRPr="0012153E">
        <w:rPr>
          <w:rFonts w:ascii="Calibri" w:hAnsi="Calibri" w:cs="Calibri"/>
          <w:b/>
          <w:bCs/>
        </w:rPr>
        <w:t> </w:t>
      </w:r>
      <w:r w:rsidRPr="0012153E">
        <w:rPr>
          <w:b/>
          <w:bCs/>
        </w:rPr>
        <w:t>2021</w:t>
      </w:r>
    </w:p>
    <w:tbl>
      <w:tblPr>
        <w:tblStyle w:val="ListTable4-Accent4"/>
        <w:tblW w:w="0" w:type="auto"/>
        <w:tblLook w:val="04A0" w:firstRow="1" w:lastRow="0" w:firstColumn="1" w:lastColumn="0" w:noHBand="0" w:noVBand="1"/>
      </w:tblPr>
      <w:tblGrid>
        <w:gridCol w:w="2618"/>
        <w:gridCol w:w="1705"/>
        <w:gridCol w:w="981"/>
        <w:gridCol w:w="821"/>
        <w:gridCol w:w="1082"/>
        <w:gridCol w:w="1082"/>
        <w:gridCol w:w="1651"/>
      </w:tblGrid>
      <w:tr w:rsidR="00347286" w:rsidRPr="005675FA" w14:paraId="77FB0693" w14:textId="77777777" w:rsidTr="005675FA">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auto"/>
            <w:gridSpan w:val="7"/>
            <w:hideMark/>
          </w:tcPr>
          <w:p w14:paraId="5F707310" w14:textId="77777777" w:rsidR="00347286" w:rsidRPr="005675FA" w:rsidRDefault="00347286" w:rsidP="00FA30E8">
            <w:pPr>
              <w:rPr>
                <w:sz w:val="16"/>
                <w:szCs w:val="16"/>
              </w:rPr>
            </w:pPr>
            <w:r w:rsidRPr="005675FA">
              <w:rPr>
                <w:sz w:val="16"/>
                <w:szCs w:val="16"/>
              </w:rPr>
              <w:t>Indicateurs macroéconomiques de l'industrie manufacturière en</w:t>
            </w:r>
            <w:r w:rsidRPr="005675FA">
              <w:rPr>
                <w:rFonts w:ascii="Calibri" w:hAnsi="Calibri" w:cs="Calibri"/>
                <w:sz w:val="16"/>
                <w:szCs w:val="16"/>
              </w:rPr>
              <w:t> </w:t>
            </w:r>
            <w:r w:rsidRPr="005675FA">
              <w:rPr>
                <w:sz w:val="16"/>
                <w:szCs w:val="16"/>
              </w:rPr>
              <w:t>2021</w:t>
            </w:r>
          </w:p>
        </w:tc>
      </w:tr>
      <w:tr w:rsidR="00347286" w:rsidRPr="005675FA" w14:paraId="4BFA606E"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74382677" w14:textId="77777777" w:rsidR="00347286" w:rsidRPr="005675FA" w:rsidRDefault="00347286" w:rsidP="00FA30E8">
            <w:pPr>
              <w:rPr>
                <w:b w:val="0"/>
                <w:bCs w:val="0"/>
                <w:sz w:val="16"/>
                <w:szCs w:val="16"/>
              </w:rPr>
            </w:pPr>
            <w:r w:rsidRPr="005675FA">
              <w:rPr>
                <w:sz w:val="16"/>
                <w:szCs w:val="16"/>
              </w:rPr>
              <w:t>Branche de l'</w:t>
            </w:r>
            <w:hyperlink r:id="rId44" w:anchor="c1934" w:history="1">
              <w:r w:rsidRPr="005675FA">
                <w:rPr>
                  <w:rStyle w:val="Hyperlink"/>
                  <w:sz w:val="16"/>
                  <w:szCs w:val="16"/>
                </w:rPr>
                <w:t>industrie manufacturière</w:t>
              </w:r>
            </w:hyperlink>
          </w:p>
        </w:tc>
        <w:tc>
          <w:tcPr>
            <w:tcW w:w="0" w:type="auto"/>
            <w:vMerge w:val="restart"/>
            <w:hideMark/>
          </w:tcPr>
          <w:p w14:paraId="2928A72E"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b/>
                <w:bCs/>
                <w:sz w:val="16"/>
                <w:szCs w:val="16"/>
              </w:rPr>
            </w:pPr>
            <w:r w:rsidRPr="005675FA">
              <w:rPr>
                <w:b/>
                <w:bCs/>
                <w:sz w:val="16"/>
                <w:szCs w:val="16"/>
              </w:rPr>
              <w:t>Production en valeur (en</w:t>
            </w:r>
            <w:r w:rsidRPr="005675FA">
              <w:rPr>
                <w:rFonts w:ascii="Calibri" w:hAnsi="Calibri" w:cs="Calibri"/>
                <w:b/>
                <w:bCs/>
                <w:sz w:val="16"/>
                <w:szCs w:val="16"/>
              </w:rPr>
              <w:t> </w:t>
            </w:r>
            <w:r w:rsidRPr="005675FA">
              <w:rPr>
                <w:b/>
                <w:bCs/>
                <w:sz w:val="16"/>
                <w:szCs w:val="16"/>
              </w:rPr>
              <w:t>milliards d'euros)</w:t>
            </w:r>
          </w:p>
        </w:tc>
        <w:tc>
          <w:tcPr>
            <w:tcW w:w="0" w:type="auto"/>
            <w:gridSpan w:val="5"/>
            <w:hideMark/>
          </w:tcPr>
          <w:p w14:paraId="17A2649C"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b/>
                <w:bCs/>
                <w:sz w:val="16"/>
                <w:szCs w:val="16"/>
              </w:rPr>
            </w:pPr>
            <w:r w:rsidRPr="005675FA">
              <w:rPr>
                <w:b/>
                <w:bCs/>
                <w:sz w:val="16"/>
                <w:szCs w:val="16"/>
              </w:rPr>
              <w:t>Évolution 2021/2020 en volume (en</w:t>
            </w:r>
            <w:r w:rsidRPr="005675FA">
              <w:rPr>
                <w:rFonts w:ascii="Calibri" w:hAnsi="Calibri" w:cs="Calibri"/>
                <w:b/>
                <w:bCs/>
                <w:sz w:val="16"/>
                <w:szCs w:val="16"/>
              </w:rPr>
              <w:t> </w:t>
            </w:r>
            <w:r w:rsidRPr="005675FA">
              <w:rPr>
                <w:b/>
                <w:bCs/>
                <w:sz w:val="16"/>
                <w:szCs w:val="16"/>
              </w:rPr>
              <w:t>%)</w:t>
            </w:r>
          </w:p>
        </w:tc>
      </w:tr>
      <w:tr w:rsidR="00347286" w:rsidRPr="005675FA" w14:paraId="06DCB685"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vMerge/>
            <w:hideMark/>
          </w:tcPr>
          <w:p w14:paraId="5F5238CC" w14:textId="77777777" w:rsidR="00347286" w:rsidRPr="005675FA" w:rsidRDefault="00347286" w:rsidP="00FA30E8">
            <w:pPr>
              <w:rPr>
                <w:b w:val="0"/>
                <w:bCs w:val="0"/>
                <w:sz w:val="16"/>
                <w:szCs w:val="16"/>
              </w:rPr>
            </w:pPr>
          </w:p>
        </w:tc>
        <w:tc>
          <w:tcPr>
            <w:tcW w:w="0" w:type="auto"/>
            <w:vMerge/>
            <w:hideMark/>
          </w:tcPr>
          <w:p w14:paraId="7059C5F8"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p>
        </w:tc>
        <w:tc>
          <w:tcPr>
            <w:tcW w:w="0" w:type="auto"/>
            <w:hideMark/>
          </w:tcPr>
          <w:p w14:paraId="3F0CAF75"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Production</w:t>
            </w:r>
          </w:p>
        </w:tc>
        <w:tc>
          <w:tcPr>
            <w:tcW w:w="0" w:type="auto"/>
            <w:hideMark/>
          </w:tcPr>
          <w:p w14:paraId="64B3F8CA" w14:textId="77777777" w:rsidR="00347286" w:rsidRPr="005675FA" w:rsidRDefault="00697C78"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5" w:anchor="c1950" w:history="1">
              <w:r w:rsidR="00347286" w:rsidRPr="005675FA">
                <w:rPr>
                  <w:rStyle w:val="Hyperlink"/>
                  <w:sz w:val="16"/>
                  <w:szCs w:val="16"/>
                </w:rPr>
                <w:t>Valeur ajoutée</w:t>
              </w:r>
            </w:hyperlink>
          </w:p>
        </w:tc>
        <w:tc>
          <w:tcPr>
            <w:tcW w:w="0" w:type="auto"/>
            <w:hideMark/>
          </w:tcPr>
          <w:p w14:paraId="675C3CB1" w14:textId="77777777" w:rsidR="00347286" w:rsidRPr="005675FA" w:rsidRDefault="00697C78"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6" w:anchor="c1425" w:history="1">
              <w:r w:rsidR="00347286" w:rsidRPr="005675FA">
                <w:rPr>
                  <w:rStyle w:val="Hyperlink"/>
                  <w:sz w:val="16"/>
                  <w:szCs w:val="16"/>
                </w:rPr>
                <w:t>Exportations</w:t>
              </w:r>
            </w:hyperlink>
            <w:r w:rsidR="00347286" w:rsidRPr="005675FA">
              <w:rPr>
                <w:b/>
                <w:bCs/>
                <w:sz w:val="16"/>
                <w:szCs w:val="16"/>
              </w:rPr>
              <w:t>¹</w:t>
            </w:r>
          </w:p>
        </w:tc>
        <w:tc>
          <w:tcPr>
            <w:tcW w:w="0" w:type="auto"/>
            <w:hideMark/>
          </w:tcPr>
          <w:p w14:paraId="58912DF0" w14:textId="77777777" w:rsidR="00347286" w:rsidRPr="005675FA" w:rsidRDefault="00697C78"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7" w:anchor="c1527" w:history="1">
              <w:r w:rsidR="00347286" w:rsidRPr="005675FA">
                <w:rPr>
                  <w:rStyle w:val="Hyperlink"/>
                  <w:sz w:val="16"/>
                  <w:szCs w:val="16"/>
                </w:rPr>
                <w:t>Importations</w:t>
              </w:r>
            </w:hyperlink>
            <w:r w:rsidR="00347286" w:rsidRPr="005675FA">
              <w:rPr>
                <w:b/>
                <w:bCs/>
                <w:sz w:val="16"/>
                <w:szCs w:val="16"/>
              </w:rPr>
              <w:t>¹</w:t>
            </w:r>
          </w:p>
        </w:tc>
        <w:tc>
          <w:tcPr>
            <w:tcW w:w="0" w:type="auto"/>
            <w:hideMark/>
          </w:tcPr>
          <w:p w14:paraId="549C2FA5" w14:textId="77777777" w:rsidR="00347286" w:rsidRPr="005675FA" w:rsidRDefault="00697C78" w:rsidP="00FA30E8">
            <w:pPr>
              <w:cnfStyle w:val="000000000000" w:firstRow="0" w:lastRow="0" w:firstColumn="0" w:lastColumn="0" w:oddVBand="0" w:evenVBand="0" w:oddHBand="0" w:evenHBand="0" w:firstRowFirstColumn="0" w:firstRowLastColumn="0" w:lastRowFirstColumn="0" w:lastRowLastColumn="0"/>
              <w:rPr>
                <w:b/>
                <w:bCs/>
                <w:sz w:val="16"/>
                <w:szCs w:val="16"/>
              </w:rPr>
            </w:pPr>
            <w:hyperlink r:id="rId48" w:anchor="c1322" w:history="1">
              <w:r w:rsidR="00347286" w:rsidRPr="005675FA">
                <w:rPr>
                  <w:rStyle w:val="Hyperlink"/>
                  <w:sz w:val="16"/>
                  <w:szCs w:val="16"/>
                </w:rPr>
                <w:t>Dépense de consommation des ménages</w:t>
              </w:r>
            </w:hyperlink>
          </w:p>
        </w:tc>
      </w:tr>
      <w:tr w:rsidR="005675FA" w:rsidRPr="005675FA" w14:paraId="05136C6C"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C52BD2B" w14:textId="77777777" w:rsidR="00347286" w:rsidRPr="005675FA" w:rsidRDefault="00347286" w:rsidP="00FA30E8">
            <w:pPr>
              <w:rPr>
                <w:sz w:val="16"/>
                <w:szCs w:val="16"/>
              </w:rPr>
            </w:pPr>
            <w:r w:rsidRPr="005675FA">
              <w:rPr>
                <w:sz w:val="16"/>
                <w:szCs w:val="16"/>
              </w:rPr>
              <w:t>Fabrication de denrées alimentaires, de boissons et de produits à base de tabac</w:t>
            </w:r>
          </w:p>
        </w:tc>
        <w:tc>
          <w:tcPr>
            <w:tcW w:w="0" w:type="auto"/>
            <w:noWrap/>
            <w:hideMark/>
          </w:tcPr>
          <w:p w14:paraId="6D3004F1"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169</w:t>
            </w:r>
          </w:p>
        </w:tc>
        <w:tc>
          <w:tcPr>
            <w:tcW w:w="0" w:type="auto"/>
            <w:noWrap/>
            <w:hideMark/>
          </w:tcPr>
          <w:p w14:paraId="663A8816"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4,0</w:t>
            </w:r>
          </w:p>
        </w:tc>
        <w:tc>
          <w:tcPr>
            <w:tcW w:w="0" w:type="auto"/>
            <w:noWrap/>
            <w:hideMark/>
          </w:tcPr>
          <w:p w14:paraId="6E839B9E"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2,7</w:t>
            </w:r>
          </w:p>
        </w:tc>
        <w:tc>
          <w:tcPr>
            <w:tcW w:w="0" w:type="auto"/>
            <w:noWrap/>
            <w:hideMark/>
          </w:tcPr>
          <w:p w14:paraId="49F5DE41"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12,3</w:t>
            </w:r>
          </w:p>
        </w:tc>
        <w:tc>
          <w:tcPr>
            <w:tcW w:w="0" w:type="auto"/>
            <w:noWrap/>
            <w:hideMark/>
          </w:tcPr>
          <w:p w14:paraId="785C4624"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5,1</w:t>
            </w:r>
          </w:p>
        </w:tc>
        <w:tc>
          <w:tcPr>
            <w:tcW w:w="0" w:type="auto"/>
            <w:noWrap/>
            <w:hideMark/>
          </w:tcPr>
          <w:p w14:paraId="06FBCDD1"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-0,5</w:t>
            </w:r>
          </w:p>
        </w:tc>
      </w:tr>
      <w:tr w:rsidR="00347286" w:rsidRPr="005675FA" w14:paraId="25ABBBBA"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5332621" w14:textId="77777777" w:rsidR="00347286" w:rsidRPr="005675FA" w:rsidRDefault="00347286" w:rsidP="00FA30E8">
            <w:pPr>
              <w:rPr>
                <w:sz w:val="16"/>
                <w:szCs w:val="16"/>
              </w:rPr>
            </w:pPr>
            <w:r w:rsidRPr="005675FA">
              <w:rPr>
                <w:sz w:val="16"/>
                <w:szCs w:val="16"/>
              </w:rPr>
              <w:t>Cokéfaction et raffinage</w:t>
            </w:r>
          </w:p>
        </w:tc>
        <w:tc>
          <w:tcPr>
            <w:tcW w:w="0" w:type="auto"/>
            <w:noWrap/>
            <w:hideMark/>
          </w:tcPr>
          <w:p w14:paraId="264A90FD"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27</w:t>
            </w:r>
          </w:p>
        </w:tc>
        <w:tc>
          <w:tcPr>
            <w:tcW w:w="0" w:type="auto"/>
            <w:noWrap/>
            <w:hideMark/>
          </w:tcPr>
          <w:p w14:paraId="15A8FAF3"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3,1</w:t>
            </w:r>
          </w:p>
        </w:tc>
        <w:tc>
          <w:tcPr>
            <w:tcW w:w="0" w:type="auto"/>
            <w:noWrap/>
            <w:hideMark/>
          </w:tcPr>
          <w:p w14:paraId="0EB0093B"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-25,9</w:t>
            </w:r>
          </w:p>
        </w:tc>
        <w:tc>
          <w:tcPr>
            <w:tcW w:w="0" w:type="auto"/>
            <w:noWrap/>
            <w:hideMark/>
          </w:tcPr>
          <w:p w14:paraId="125EE4D1"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-6,7</w:t>
            </w:r>
          </w:p>
        </w:tc>
        <w:tc>
          <w:tcPr>
            <w:tcW w:w="0" w:type="auto"/>
            <w:noWrap/>
            <w:hideMark/>
          </w:tcPr>
          <w:p w14:paraId="5D7CEB3C"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11,8</w:t>
            </w:r>
          </w:p>
        </w:tc>
        <w:tc>
          <w:tcPr>
            <w:tcW w:w="0" w:type="auto"/>
            <w:noWrap/>
            <w:hideMark/>
          </w:tcPr>
          <w:p w14:paraId="1C593750"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14,4</w:t>
            </w:r>
          </w:p>
        </w:tc>
      </w:tr>
      <w:tr w:rsidR="005675FA" w:rsidRPr="005675FA" w14:paraId="5F19FA8B"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484D82DF" w14:textId="77777777" w:rsidR="00347286" w:rsidRPr="005675FA" w:rsidRDefault="00347286" w:rsidP="00FA30E8">
            <w:pPr>
              <w:rPr>
                <w:sz w:val="16"/>
                <w:szCs w:val="16"/>
              </w:rPr>
            </w:pPr>
            <w:r w:rsidRPr="005675FA">
              <w:rPr>
                <w:sz w:val="16"/>
                <w:szCs w:val="16"/>
              </w:rPr>
              <w:t>Fabrication d'équipements électriques, électroniques, informatiques et machines</w:t>
            </w:r>
          </w:p>
        </w:tc>
        <w:tc>
          <w:tcPr>
            <w:tcW w:w="0" w:type="auto"/>
            <w:noWrap/>
            <w:hideMark/>
          </w:tcPr>
          <w:p w14:paraId="60A2769B"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89</w:t>
            </w:r>
          </w:p>
        </w:tc>
        <w:tc>
          <w:tcPr>
            <w:tcW w:w="0" w:type="auto"/>
            <w:noWrap/>
            <w:hideMark/>
          </w:tcPr>
          <w:p w14:paraId="53AD1118"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10,7</w:t>
            </w:r>
          </w:p>
        </w:tc>
        <w:tc>
          <w:tcPr>
            <w:tcW w:w="0" w:type="auto"/>
            <w:noWrap/>
            <w:hideMark/>
          </w:tcPr>
          <w:p w14:paraId="31759811"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9,5</w:t>
            </w:r>
          </w:p>
        </w:tc>
        <w:tc>
          <w:tcPr>
            <w:tcW w:w="0" w:type="auto"/>
            <w:noWrap/>
            <w:hideMark/>
          </w:tcPr>
          <w:p w14:paraId="07578F8F"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9,7</w:t>
            </w:r>
          </w:p>
        </w:tc>
        <w:tc>
          <w:tcPr>
            <w:tcW w:w="0" w:type="auto"/>
            <w:noWrap/>
            <w:hideMark/>
          </w:tcPr>
          <w:p w14:paraId="452B0A16"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13,2</w:t>
            </w:r>
          </w:p>
        </w:tc>
        <w:tc>
          <w:tcPr>
            <w:tcW w:w="0" w:type="auto"/>
            <w:noWrap/>
            <w:hideMark/>
          </w:tcPr>
          <w:p w14:paraId="1F2EBD1E"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6,9</w:t>
            </w:r>
          </w:p>
        </w:tc>
      </w:tr>
      <w:tr w:rsidR="00347286" w:rsidRPr="005675FA" w14:paraId="7C9E6DF9"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02AD8DC0" w14:textId="77777777" w:rsidR="00347286" w:rsidRPr="005675FA" w:rsidRDefault="00347286" w:rsidP="00FA30E8">
            <w:pPr>
              <w:rPr>
                <w:i/>
                <w:iCs/>
                <w:sz w:val="16"/>
                <w:szCs w:val="16"/>
              </w:rPr>
            </w:pPr>
            <w:r w:rsidRPr="005675FA">
              <w:rPr>
                <w:i/>
                <w:iCs/>
                <w:sz w:val="16"/>
                <w:szCs w:val="16"/>
              </w:rPr>
              <w:t>dont fabrication produits informatique, électronique et optique</w:t>
            </w:r>
          </w:p>
        </w:tc>
        <w:tc>
          <w:tcPr>
            <w:tcW w:w="0" w:type="auto"/>
            <w:noWrap/>
            <w:hideMark/>
          </w:tcPr>
          <w:p w14:paraId="5723BDC3"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28</w:t>
            </w:r>
          </w:p>
        </w:tc>
        <w:tc>
          <w:tcPr>
            <w:tcW w:w="0" w:type="auto"/>
            <w:noWrap/>
            <w:hideMark/>
          </w:tcPr>
          <w:p w14:paraId="1133D8D5"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7,9</w:t>
            </w:r>
          </w:p>
        </w:tc>
        <w:tc>
          <w:tcPr>
            <w:tcW w:w="0" w:type="auto"/>
            <w:noWrap/>
            <w:hideMark/>
          </w:tcPr>
          <w:p w14:paraId="0D121895"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9,2</w:t>
            </w:r>
          </w:p>
        </w:tc>
        <w:tc>
          <w:tcPr>
            <w:tcW w:w="0" w:type="auto"/>
            <w:noWrap/>
            <w:hideMark/>
          </w:tcPr>
          <w:p w14:paraId="0A45BE42"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9,3</w:t>
            </w:r>
          </w:p>
        </w:tc>
        <w:tc>
          <w:tcPr>
            <w:tcW w:w="0" w:type="auto"/>
            <w:noWrap/>
            <w:hideMark/>
          </w:tcPr>
          <w:p w14:paraId="30A0B14F"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13,1</w:t>
            </w:r>
          </w:p>
        </w:tc>
        <w:tc>
          <w:tcPr>
            <w:tcW w:w="0" w:type="auto"/>
            <w:noWrap/>
            <w:hideMark/>
          </w:tcPr>
          <w:p w14:paraId="1FBEFA8B"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7,6</w:t>
            </w:r>
          </w:p>
        </w:tc>
      </w:tr>
      <w:tr w:rsidR="005675FA" w:rsidRPr="005675FA" w14:paraId="18A491DA"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64EDF499" w14:textId="77777777" w:rsidR="00347286" w:rsidRPr="005675FA" w:rsidRDefault="00347286" w:rsidP="00FA30E8">
            <w:pPr>
              <w:rPr>
                <w:sz w:val="16"/>
                <w:szCs w:val="16"/>
              </w:rPr>
            </w:pPr>
            <w:r w:rsidRPr="005675FA">
              <w:rPr>
                <w:sz w:val="16"/>
                <w:szCs w:val="16"/>
              </w:rPr>
              <w:t>Fabrication de matériels de transport</w:t>
            </w:r>
          </w:p>
        </w:tc>
        <w:tc>
          <w:tcPr>
            <w:tcW w:w="0" w:type="auto"/>
            <w:noWrap/>
            <w:hideMark/>
          </w:tcPr>
          <w:p w14:paraId="17CD7743"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115</w:t>
            </w:r>
          </w:p>
        </w:tc>
        <w:tc>
          <w:tcPr>
            <w:tcW w:w="0" w:type="auto"/>
            <w:noWrap/>
            <w:hideMark/>
          </w:tcPr>
          <w:p w14:paraId="40650B79"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3,7</w:t>
            </w:r>
          </w:p>
        </w:tc>
        <w:tc>
          <w:tcPr>
            <w:tcW w:w="0" w:type="auto"/>
            <w:noWrap/>
            <w:hideMark/>
          </w:tcPr>
          <w:p w14:paraId="7F75FB64"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0,8</w:t>
            </w:r>
          </w:p>
        </w:tc>
        <w:tc>
          <w:tcPr>
            <w:tcW w:w="0" w:type="auto"/>
            <w:noWrap/>
            <w:hideMark/>
          </w:tcPr>
          <w:p w14:paraId="6C3A34BF"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3,9</w:t>
            </w:r>
          </w:p>
        </w:tc>
        <w:tc>
          <w:tcPr>
            <w:tcW w:w="0" w:type="auto"/>
            <w:noWrap/>
            <w:hideMark/>
          </w:tcPr>
          <w:p w14:paraId="10066253"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3,9</w:t>
            </w:r>
          </w:p>
        </w:tc>
        <w:tc>
          <w:tcPr>
            <w:tcW w:w="0" w:type="auto"/>
            <w:noWrap/>
            <w:hideMark/>
          </w:tcPr>
          <w:p w14:paraId="5FF6C305" w14:textId="77777777" w:rsidR="00347286" w:rsidRPr="005675FA" w:rsidRDefault="00347286" w:rsidP="005675FA">
            <w:pPr>
              <w:jc w:val="center"/>
              <w:cnfStyle w:val="000000100000" w:firstRow="0" w:lastRow="0" w:firstColumn="0" w:lastColumn="0" w:oddVBand="0" w:evenVBand="0" w:oddHBand="1" w:evenHBand="0" w:firstRowFirstColumn="0" w:firstRowLastColumn="0" w:lastRowFirstColumn="0" w:lastRowLastColumn="0"/>
              <w:rPr>
                <w:sz w:val="16"/>
                <w:szCs w:val="16"/>
              </w:rPr>
            </w:pPr>
            <w:r w:rsidRPr="005675FA">
              <w:rPr>
                <w:sz w:val="16"/>
                <w:szCs w:val="16"/>
              </w:rPr>
              <w:t>5,6</w:t>
            </w:r>
          </w:p>
        </w:tc>
      </w:tr>
      <w:tr w:rsidR="00347286" w:rsidRPr="005675FA" w14:paraId="57AD0684"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7C7C1569" w14:textId="77777777" w:rsidR="00347286" w:rsidRPr="005675FA" w:rsidRDefault="00347286" w:rsidP="00FA30E8">
            <w:pPr>
              <w:rPr>
                <w:sz w:val="16"/>
                <w:szCs w:val="16"/>
              </w:rPr>
            </w:pPr>
            <w:r w:rsidRPr="005675FA">
              <w:rPr>
                <w:sz w:val="16"/>
                <w:szCs w:val="16"/>
              </w:rPr>
              <w:t>Fabrication d'autres produits industriels</w:t>
            </w:r>
          </w:p>
        </w:tc>
        <w:tc>
          <w:tcPr>
            <w:tcW w:w="0" w:type="auto"/>
            <w:noWrap/>
            <w:hideMark/>
          </w:tcPr>
          <w:p w14:paraId="3F4E4658"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378</w:t>
            </w:r>
          </w:p>
        </w:tc>
        <w:tc>
          <w:tcPr>
            <w:tcW w:w="0" w:type="auto"/>
            <w:noWrap/>
            <w:hideMark/>
          </w:tcPr>
          <w:p w14:paraId="38ED78B5"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8,0</w:t>
            </w:r>
          </w:p>
        </w:tc>
        <w:tc>
          <w:tcPr>
            <w:tcW w:w="0" w:type="auto"/>
            <w:noWrap/>
            <w:hideMark/>
          </w:tcPr>
          <w:p w14:paraId="093C9053"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6,3</w:t>
            </w:r>
          </w:p>
        </w:tc>
        <w:tc>
          <w:tcPr>
            <w:tcW w:w="0" w:type="auto"/>
            <w:noWrap/>
            <w:hideMark/>
          </w:tcPr>
          <w:p w14:paraId="73796816"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6,9</w:t>
            </w:r>
          </w:p>
        </w:tc>
        <w:tc>
          <w:tcPr>
            <w:tcW w:w="0" w:type="auto"/>
            <w:noWrap/>
            <w:hideMark/>
          </w:tcPr>
          <w:p w14:paraId="139B0D14"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6,2</w:t>
            </w:r>
          </w:p>
        </w:tc>
        <w:tc>
          <w:tcPr>
            <w:tcW w:w="0" w:type="auto"/>
            <w:noWrap/>
            <w:hideMark/>
          </w:tcPr>
          <w:p w14:paraId="3E51801F" w14:textId="77777777" w:rsidR="00347286" w:rsidRPr="005675FA" w:rsidRDefault="00347286" w:rsidP="005675FA">
            <w:pPr>
              <w:jc w:val="center"/>
              <w:cnfStyle w:val="000000000000" w:firstRow="0" w:lastRow="0" w:firstColumn="0" w:lastColumn="0" w:oddVBand="0" w:evenVBand="0" w:oddHBand="0" w:evenHBand="0" w:firstRowFirstColumn="0" w:firstRowLastColumn="0" w:lastRowFirstColumn="0" w:lastRowLastColumn="0"/>
              <w:rPr>
                <w:sz w:val="16"/>
                <w:szCs w:val="16"/>
              </w:rPr>
            </w:pPr>
            <w:r w:rsidRPr="005675FA">
              <w:rPr>
                <w:sz w:val="16"/>
                <w:szCs w:val="16"/>
              </w:rPr>
              <w:t>7,5</w:t>
            </w:r>
          </w:p>
        </w:tc>
      </w:tr>
      <w:tr w:rsidR="00347286" w:rsidRPr="005675FA" w14:paraId="74CB8B2E"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23DFED51" w14:textId="77777777" w:rsidR="00347286" w:rsidRPr="005675FA" w:rsidRDefault="00347286" w:rsidP="00FA30E8">
            <w:pPr>
              <w:rPr>
                <w:i/>
                <w:iCs/>
                <w:sz w:val="16"/>
                <w:szCs w:val="16"/>
              </w:rPr>
            </w:pPr>
            <w:r w:rsidRPr="005675FA">
              <w:rPr>
                <w:rFonts w:ascii="Calibri" w:hAnsi="Calibri" w:cs="Calibri"/>
                <w:i/>
                <w:iCs/>
                <w:sz w:val="16"/>
                <w:szCs w:val="16"/>
              </w:rPr>
              <w:t>   </w:t>
            </w:r>
            <w:r w:rsidRPr="005675FA">
              <w:rPr>
                <w:i/>
                <w:iCs/>
                <w:sz w:val="16"/>
                <w:szCs w:val="16"/>
              </w:rPr>
              <w:t>dont :</w:t>
            </w:r>
          </w:p>
        </w:tc>
        <w:tc>
          <w:tcPr>
            <w:tcW w:w="0" w:type="auto"/>
            <w:gridSpan w:val="6"/>
            <w:noWrap/>
            <w:hideMark/>
          </w:tcPr>
          <w:p w14:paraId="609FFD76" w14:textId="77777777" w:rsidR="00347286" w:rsidRPr="005675FA"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p>
        </w:tc>
      </w:tr>
      <w:tr w:rsidR="00347286" w:rsidRPr="005675FA" w14:paraId="4E65B2D4"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3FA75275" w14:textId="77777777" w:rsidR="00347286" w:rsidRPr="005675FA" w:rsidRDefault="00347286" w:rsidP="00FA30E8">
            <w:pPr>
              <w:rPr>
                <w:i/>
                <w:iCs/>
                <w:sz w:val="16"/>
                <w:szCs w:val="16"/>
              </w:rPr>
            </w:pPr>
            <w:r w:rsidRPr="005675FA">
              <w:rPr>
                <w:rFonts w:ascii="Calibri" w:hAnsi="Calibri" w:cs="Calibri"/>
                <w:i/>
                <w:iCs/>
                <w:sz w:val="16"/>
                <w:szCs w:val="16"/>
              </w:rPr>
              <w:t>   </w:t>
            </w:r>
            <w:r w:rsidRPr="005675FA">
              <w:rPr>
                <w:i/>
                <w:iCs/>
                <w:sz w:val="16"/>
                <w:szCs w:val="16"/>
              </w:rPr>
              <w:t>fabrication textiles, industrie de l'habillement, cuir et chaussures</w:t>
            </w:r>
          </w:p>
        </w:tc>
        <w:tc>
          <w:tcPr>
            <w:tcW w:w="0" w:type="auto"/>
            <w:noWrap/>
            <w:hideMark/>
          </w:tcPr>
          <w:p w14:paraId="111317F7" w14:textId="77777777" w:rsidR="00347286" w:rsidRPr="005675FA" w:rsidRDefault="00347286" w:rsidP="005675FA">
            <w:pPr>
              <w:jc w:val="right"/>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17</w:t>
            </w:r>
          </w:p>
        </w:tc>
        <w:tc>
          <w:tcPr>
            <w:tcW w:w="0" w:type="auto"/>
            <w:noWrap/>
            <w:hideMark/>
          </w:tcPr>
          <w:p w14:paraId="248B20D2"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11,8</w:t>
            </w:r>
          </w:p>
        </w:tc>
        <w:tc>
          <w:tcPr>
            <w:tcW w:w="0" w:type="auto"/>
            <w:noWrap/>
            <w:hideMark/>
          </w:tcPr>
          <w:p w14:paraId="0876D3B6"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11,3</w:t>
            </w:r>
          </w:p>
        </w:tc>
        <w:tc>
          <w:tcPr>
            <w:tcW w:w="0" w:type="auto"/>
            <w:noWrap/>
            <w:hideMark/>
          </w:tcPr>
          <w:p w14:paraId="51A4A22A"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17,7</w:t>
            </w:r>
          </w:p>
        </w:tc>
        <w:tc>
          <w:tcPr>
            <w:tcW w:w="0" w:type="auto"/>
            <w:noWrap/>
            <w:hideMark/>
          </w:tcPr>
          <w:p w14:paraId="33EE162D"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8,2</w:t>
            </w:r>
          </w:p>
        </w:tc>
        <w:tc>
          <w:tcPr>
            <w:tcW w:w="0" w:type="auto"/>
            <w:noWrap/>
            <w:hideMark/>
          </w:tcPr>
          <w:p w14:paraId="4FD58BEC"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8,3</w:t>
            </w:r>
          </w:p>
        </w:tc>
      </w:tr>
      <w:tr w:rsidR="005675FA" w:rsidRPr="005675FA" w14:paraId="1204BD23"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2E8A3D8B" w14:textId="77777777" w:rsidR="00347286" w:rsidRPr="005675FA" w:rsidRDefault="00347286" w:rsidP="00FA30E8">
            <w:pPr>
              <w:rPr>
                <w:i/>
                <w:iCs/>
                <w:sz w:val="16"/>
                <w:szCs w:val="16"/>
              </w:rPr>
            </w:pPr>
            <w:r w:rsidRPr="005675FA">
              <w:rPr>
                <w:rFonts w:ascii="Calibri" w:hAnsi="Calibri" w:cs="Calibri"/>
                <w:i/>
                <w:iCs/>
                <w:sz w:val="16"/>
                <w:szCs w:val="16"/>
              </w:rPr>
              <w:t>   </w:t>
            </w:r>
            <w:r w:rsidRPr="005675FA">
              <w:rPr>
                <w:i/>
                <w:iCs/>
                <w:sz w:val="16"/>
                <w:szCs w:val="16"/>
              </w:rPr>
              <w:t>industrie chimique</w:t>
            </w:r>
          </w:p>
        </w:tc>
        <w:tc>
          <w:tcPr>
            <w:tcW w:w="0" w:type="auto"/>
            <w:noWrap/>
            <w:hideMark/>
          </w:tcPr>
          <w:p w14:paraId="0867BEC3" w14:textId="77777777" w:rsidR="00347286" w:rsidRPr="005675FA"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73</w:t>
            </w:r>
          </w:p>
        </w:tc>
        <w:tc>
          <w:tcPr>
            <w:tcW w:w="0" w:type="auto"/>
            <w:noWrap/>
            <w:hideMark/>
          </w:tcPr>
          <w:p w14:paraId="0F0DFA56"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5,2</w:t>
            </w:r>
          </w:p>
        </w:tc>
        <w:tc>
          <w:tcPr>
            <w:tcW w:w="0" w:type="auto"/>
            <w:noWrap/>
            <w:hideMark/>
          </w:tcPr>
          <w:p w14:paraId="26497143"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5,2</w:t>
            </w:r>
          </w:p>
        </w:tc>
        <w:tc>
          <w:tcPr>
            <w:tcW w:w="0" w:type="auto"/>
            <w:noWrap/>
            <w:hideMark/>
          </w:tcPr>
          <w:p w14:paraId="6A8ADDC5"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6,9</w:t>
            </w:r>
          </w:p>
        </w:tc>
        <w:tc>
          <w:tcPr>
            <w:tcW w:w="0" w:type="auto"/>
            <w:noWrap/>
            <w:hideMark/>
          </w:tcPr>
          <w:p w14:paraId="6C6AC4E0"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4,4</w:t>
            </w:r>
          </w:p>
        </w:tc>
        <w:tc>
          <w:tcPr>
            <w:tcW w:w="0" w:type="auto"/>
            <w:noWrap/>
            <w:hideMark/>
          </w:tcPr>
          <w:p w14:paraId="570FBE4F"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0,9</w:t>
            </w:r>
          </w:p>
        </w:tc>
      </w:tr>
      <w:tr w:rsidR="00347286" w:rsidRPr="005675FA" w14:paraId="4C3B5B17"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5AD8926C" w14:textId="77777777" w:rsidR="00347286" w:rsidRPr="005675FA" w:rsidRDefault="00347286" w:rsidP="00FA30E8">
            <w:pPr>
              <w:rPr>
                <w:i/>
                <w:iCs/>
                <w:sz w:val="16"/>
                <w:szCs w:val="16"/>
              </w:rPr>
            </w:pPr>
            <w:r w:rsidRPr="005675FA">
              <w:rPr>
                <w:rFonts w:ascii="Calibri" w:hAnsi="Calibri" w:cs="Calibri"/>
                <w:i/>
                <w:iCs/>
                <w:sz w:val="16"/>
                <w:szCs w:val="16"/>
              </w:rPr>
              <w:t>   </w:t>
            </w:r>
            <w:r w:rsidRPr="005675FA">
              <w:rPr>
                <w:i/>
                <w:iCs/>
                <w:sz w:val="16"/>
                <w:szCs w:val="16"/>
              </w:rPr>
              <w:t>industrie pharmaceutique</w:t>
            </w:r>
          </w:p>
        </w:tc>
        <w:tc>
          <w:tcPr>
            <w:tcW w:w="0" w:type="auto"/>
            <w:noWrap/>
            <w:hideMark/>
          </w:tcPr>
          <w:p w14:paraId="4176279B" w14:textId="77777777" w:rsidR="00347286" w:rsidRPr="005675FA" w:rsidRDefault="00347286" w:rsidP="005675FA">
            <w:pPr>
              <w:jc w:val="right"/>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30</w:t>
            </w:r>
          </w:p>
        </w:tc>
        <w:tc>
          <w:tcPr>
            <w:tcW w:w="0" w:type="auto"/>
            <w:noWrap/>
            <w:hideMark/>
          </w:tcPr>
          <w:p w14:paraId="6CDA2E23"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0,8</w:t>
            </w:r>
          </w:p>
        </w:tc>
        <w:tc>
          <w:tcPr>
            <w:tcW w:w="0" w:type="auto"/>
            <w:noWrap/>
            <w:hideMark/>
          </w:tcPr>
          <w:p w14:paraId="0928E3D6"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-1,2</w:t>
            </w:r>
          </w:p>
        </w:tc>
        <w:tc>
          <w:tcPr>
            <w:tcW w:w="0" w:type="auto"/>
            <w:noWrap/>
            <w:hideMark/>
          </w:tcPr>
          <w:p w14:paraId="00B94A9C"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-3,9</w:t>
            </w:r>
          </w:p>
        </w:tc>
        <w:tc>
          <w:tcPr>
            <w:tcW w:w="0" w:type="auto"/>
            <w:noWrap/>
            <w:hideMark/>
          </w:tcPr>
          <w:p w14:paraId="5F6FE92F"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1,6</w:t>
            </w:r>
          </w:p>
        </w:tc>
        <w:tc>
          <w:tcPr>
            <w:tcW w:w="0" w:type="auto"/>
            <w:noWrap/>
            <w:hideMark/>
          </w:tcPr>
          <w:p w14:paraId="635197D9"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i/>
                <w:iCs/>
                <w:sz w:val="16"/>
                <w:szCs w:val="16"/>
              </w:rPr>
            </w:pPr>
            <w:r w:rsidRPr="005675FA">
              <w:rPr>
                <w:i/>
                <w:iCs/>
                <w:sz w:val="16"/>
                <w:szCs w:val="16"/>
              </w:rPr>
              <w:t>4,3</w:t>
            </w:r>
          </w:p>
        </w:tc>
      </w:tr>
      <w:tr w:rsidR="005675FA" w:rsidRPr="005675FA" w14:paraId="3B2B421C" w14:textId="77777777" w:rsidTr="005675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1C22537B" w14:textId="77777777" w:rsidR="00347286" w:rsidRPr="005675FA" w:rsidRDefault="00347286" w:rsidP="00FA30E8">
            <w:pPr>
              <w:rPr>
                <w:i/>
                <w:iCs/>
                <w:sz w:val="16"/>
                <w:szCs w:val="16"/>
              </w:rPr>
            </w:pPr>
            <w:r w:rsidRPr="005675FA">
              <w:rPr>
                <w:rFonts w:ascii="Calibri" w:hAnsi="Calibri" w:cs="Calibri"/>
                <w:i/>
                <w:iCs/>
                <w:sz w:val="16"/>
                <w:szCs w:val="16"/>
              </w:rPr>
              <w:t>   </w:t>
            </w:r>
            <w:r w:rsidRPr="005675FA">
              <w:rPr>
                <w:i/>
                <w:iCs/>
                <w:sz w:val="16"/>
                <w:szCs w:val="16"/>
              </w:rPr>
              <w:t>m</w:t>
            </w:r>
            <w:r w:rsidRPr="005675FA">
              <w:rPr>
                <w:rFonts w:cs="Marianne"/>
                <w:i/>
                <w:iCs/>
                <w:sz w:val="16"/>
                <w:szCs w:val="16"/>
              </w:rPr>
              <w:t>é</w:t>
            </w:r>
            <w:r w:rsidRPr="005675FA">
              <w:rPr>
                <w:i/>
                <w:iCs/>
                <w:sz w:val="16"/>
                <w:szCs w:val="16"/>
              </w:rPr>
              <w:t>tallurgie et fabrication produits m</w:t>
            </w:r>
            <w:r w:rsidRPr="005675FA">
              <w:rPr>
                <w:rFonts w:cs="Marianne"/>
                <w:i/>
                <w:iCs/>
                <w:sz w:val="16"/>
                <w:szCs w:val="16"/>
              </w:rPr>
              <w:t>é</w:t>
            </w:r>
            <w:r w:rsidRPr="005675FA">
              <w:rPr>
                <w:i/>
                <w:iCs/>
                <w:sz w:val="16"/>
                <w:szCs w:val="16"/>
              </w:rPr>
              <w:t>tal sauf machines</w:t>
            </w:r>
          </w:p>
        </w:tc>
        <w:tc>
          <w:tcPr>
            <w:tcW w:w="0" w:type="auto"/>
            <w:noWrap/>
            <w:hideMark/>
          </w:tcPr>
          <w:p w14:paraId="6BE94C27" w14:textId="77777777" w:rsidR="00347286" w:rsidRPr="005675FA" w:rsidRDefault="00347286" w:rsidP="005675FA">
            <w:pPr>
              <w:jc w:val="right"/>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87</w:t>
            </w:r>
          </w:p>
        </w:tc>
        <w:tc>
          <w:tcPr>
            <w:tcW w:w="0" w:type="auto"/>
            <w:noWrap/>
            <w:hideMark/>
          </w:tcPr>
          <w:p w14:paraId="701B7664"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12,4</w:t>
            </w:r>
          </w:p>
        </w:tc>
        <w:tc>
          <w:tcPr>
            <w:tcW w:w="0" w:type="auto"/>
            <w:noWrap/>
            <w:hideMark/>
          </w:tcPr>
          <w:p w14:paraId="6899CED7"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10,2</w:t>
            </w:r>
          </w:p>
        </w:tc>
        <w:tc>
          <w:tcPr>
            <w:tcW w:w="0" w:type="auto"/>
            <w:noWrap/>
            <w:hideMark/>
          </w:tcPr>
          <w:p w14:paraId="6FA0F953"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8,9</w:t>
            </w:r>
          </w:p>
        </w:tc>
        <w:tc>
          <w:tcPr>
            <w:tcW w:w="0" w:type="auto"/>
            <w:noWrap/>
            <w:hideMark/>
          </w:tcPr>
          <w:p w14:paraId="0D89E296"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10,5</w:t>
            </w:r>
          </w:p>
        </w:tc>
        <w:tc>
          <w:tcPr>
            <w:tcW w:w="0" w:type="auto"/>
            <w:noWrap/>
            <w:hideMark/>
          </w:tcPr>
          <w:p w14:paraId="7DC64AA9" w14:textId="77777777" w:rsidR="00347286" w:rsidRPr="005675FA" w:rsidRDefault="00347286" w:rsidP="00FA30E8">
            <w:pPr>
              <w:cnfStyle w:val="000000100000" w:firstRow="0" w:lastRow="0" w:firstColumn="0" w:lastColumn="0" w:oddVBand="0" w:evenVBand="0" w:oddHBand="1" w:evenHBand="0" w:firstRowFirstColumn="0" w:firstRowLastColumn="0" w:lastRowFirstColumn="0" w:lastRowLastColumn="0"/>
              <w:rPr>
                <w:i/>
                <w:iCs/>
                <w:sz w:val="16"/>
                <w:szCs w:val="16"/>
              </w:rPr>
            </w:pPr>
            <w:r w:rsidRPr="005675FA">
              <w:rPr>
                <w:i/>
                <w:iCs/>
                <w:sz w:val="16"/>
                <w:szCs w:val="16"/>
              </w:rPr>
              <w:t>1,4</w:t>
            </w:r>
          </w:p>
        </w:tc>
      </w:tr>
      <w:tr w:rsidR="00347286" w:rsidRPr="005675FA" w14:paraId="40D02BE6" w14:textId="77777777" w:rsidTr="005675FA">
        <w:trPr>
          <w:trHeight w:val="345"/>
        </w:trPr>
        <w:tc>
          <w:tcPr>
            <w:cnfStyle w:val="001000000000" w:firstRow="0" w:lastRow="0" w:firstColumn="1" w:lastColumn="0" w:oddVBand="0" w:evenVBand="0" w:oddHBand="0" w:evenHBand="0" w:firstRowFirstColumn="0" w:firstRowLastColumn="0" w:lastRowFirstColumn="0" w:lastRowLastColumn="0"/>
            <w:tcW w:w="0" w:type="auto"/>
            <w:hideMark/>
          </w:tcPr>
          <w:p w14:paraId="05940ACF" w14:textId="77777777" w:rsidR="00347286" w:rsidRPr="005675FA" w:rsidRDefault="00347286" w:rsidP="00FA30E8">
            <w:pPr>
              <w:rPr>
                <w:b w:val="0"/>
                <w:bCs w:val="0"/>
                <w:sz w:val="16"/>
                <w:szCs w:val="16"/>
              </w:rPr>
            </w:pPr>
            <w:r w:rsidRPr="005675FA">
              <w:rPr>
                <w:sz w:val="16"/>
                <w:szCs w:val="16"/>
              </w:rPr>
              <w:t>Ensemble</w:t>
            </w:r>
          </w:p>
        </w:tc>
        <w:tc>
          <w:tcPr>
            <w:tcW w:w="0" w:type="auto"/>
            <w:noWrap/>
            <w:hideMark/>
          </w:tcPr>
          <w:p w14:paraId="1B6F6A7D" w14:textId="77777777" w:rsidR="00347286" w:rsidRPr="005675FA" w:rsidRDefault="00347286" w:rsidP="005675FA">
            <w:pPr>
              <w:jc w:val="right"/>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779</w:t>
            </w:r>
          </w:p>
        </w:tc>
        <w:tc>
          <w:tcPr>
            <w:tcW w:w="0" w:type="auto"/>
            <w:noWrap/>
            <w:hideMark/>
          </w:tcPr>
          <w:p w14:paraId="1C54F53C"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6,6</w:t>
            </w:r>
          </w:p>
        </w:tc>
        <w:tc>
          <w:tcPr>
            <w:tcW w:w="0" w:type="auto"/>
            <w:noWrap/>
            <w:hideMark/>
          </w:tcPr>
          <w:p w14:paraId="0250BEA4"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5,3</w:t>
            </w:r>
          </w:p>
        </w:tc>
        <w:tc>
          <w:tcPr>
            <w:tcW w:w="0" w:type="auto"/>
            <w:noWrap/>
            <w:hideMark/>
          </w:tcPr>
          <w:p w14:paraId="6EAE43C3"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7,2</w:t>
            </w:r>
          </w:p>
        </w:tc>
        <w:tc>
          <w:tcPr>
            <w:tcW w:w="0" w:type="auto"/>
            <w:noWrap/>
            <w:hideMark/>
          </w:tcPr>
          <w:p w14:paraId="2E6A73CC"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7,6</w:t>
            </w:r>
          </w:p>
        </w:tc>
        <w:tc>
          <w:tcPr>
            <w:tcW w:w="0" w:type="auto"/>
            <w:noWrap/>
            <w:hideMark/>
          </w:tcPr>
          <w:p w14:paraId="44E92F80" w14:textId="77777777" w:rsidR="00347286" w:rsidRPr="005675FA" w:rsidRDefault="00347286" w:rsidP="00FA30E8">
            <w:pPr>
              <w:cnfStyle w:val="000000000000" w:firstRow="0" w:lastRow="0" w:firstColumn="0" w:lastColumn="0" w:oddVBand="0" w:evenVBand="0" w:oddHBand="0" w:evenHBand="0" w:firstRowFirstColumn="0" w:firstRowLastColumn="0" w:lastRowFirstColumn="0" w:lastRowLastColumn="0"/>
              <w:rPr>
                <w:b/>
                <w:bCs/>
                <w:sz w:val="16"/>
                <w:szCs w:val="16"/>
              </w:rPr>
            </w:pPr>
            <w:r w:rsidRPr="005675FA">
              <w:rPr>
                <w:b/>
                <w:bCs/>
                <w:sz w:val="16"/>
                <w:szCs w:val="16"/>
              </w:rPr>
              <w:t>4,4</w:t>
            </w:r>
          </w:p>
        </w:tc>
      </w:tr>
    </w:tbl>
    <w:p w14:paraId="0D30EDB3" w14:textId="77777777" w:rsidR="00347286" w:rsidRPr="005675FA" w:rsidRDefault="00347286" w:rsidP="00347286">
      <w:pPr>
        <w:rPr>
          <w:sz w:val="16"/>
        </w:rPr>
      </w:pPr>
      <w:r w:rsidRPr="005675FA">
        <w:rPr>
          <w:sz w:val="16"/>
        </w:rPr>
        <w:t>1. Les exportations de biens sont évaluées</w:t>
      </w:r>
      <w:r w:rsidRPr="005675FA">
        <w:rPr>
          <w:rFonts w:ascii="Calibri" w:hAnsi="Calibri" w:cs="Calibri"/>
          <w:sz w:val="16"/>
        </w:rPr>
        <w:t> </w:t>
      </w:r>
      <w:hyperlink r:id="rId49" w:anchor="c1347" w:history="1">
        <w:r w:rsidRPr="005675FA">
          <w:rPr>
            <w:rStyle w:val="Hyperlink"/>
            <w:sz w:val="16"/>
          </w:rPr>
          <w:t>FAB</w:t>
        </w:r>
      </w:hyperlink>
      <w:r w:rsidRPr="005675FA">
        <w:rPr>
          <w:sz w:val="16"/>
        </w:rPr>
        <w:t>, les importations de biens sont évaluées</w:t>
      </w:r>
      <w:r w:rsidRPr="005675FA">
        <w:rPr>
          <w:rFonts w:ascii="Calibri" w:hAnsi="Calibri" w:cs="Calibri"/>
          <w:sz w:val="16"/>
        </w:rPr>
        <w:t> </w:t>
      </w:r>
      <w:hyperlink r:id="rId50" w:anchor="c1860" w:history="1">
        <w:r w:rsidRPr="005675FA">
          <w:rPr>
            <w:rStyle w:val="Hyperlink"/>
            <w:sz w:val="16"/>
          </w:rPr>
          <w:t>CAF</w:t>
        </w:r>
      </w:hyperlink>
      <w:r w:rsidRPr="005675FA">
        <w:rPr>
          <w:sz w:val="16"/>
        </w:rPr>
        <w:t>.</w:t>
      </w:r>
    </w:p>
    <w:p w14:paraId="291BA905" w14:textId="77777777" w:rsidR="00347286" w:rsidRPr="005675FA" w:rsidRDefault="00347286" w:rsidP="00347286">
      <w:pPr>
        <w:rPr>
          <w:sz w:val="16"/>
        </w:rPr>
      </w:pPr>
      <w:r w:rsidRPr="005675FA">
        <w:rPr>
          <w:sz w:val="16"/>
        </w:rPr>
        <w:t>Lecture : en 2021, la production en valeur de l'industrie manufacturière est de 779</w:t>
      </w:r>
      <w:r w:rsidRPr="005675FA">
        <w:rPr>
          <w:rFonts w:ascii="Calibri" w:hAnsi="Calibri" w:cs="Calibri"/>
          <w:sz w:val="16"/>
        </w:rPr>
        <w:t> </w:t>
      </w:r>
      <w:r w:rsidRPr="005675FA">
        <w:rPr>
          <w:sz w:val="16"/>
        </w:rPr>
        <w:t>milliards d'euros.</w:t>
      </w:r>
    </w:p>
    <w:p w14:paraId="252FF91D" w14:textId="29D56B64" w:rsidR="00347286" w:rsidRPr="005675FA" w:rsidRDefault="00347286" w:rsidP="00347286">
      <w:pPr>
        <w:rPr>
          <w:sz w:val="16"/>
        </w:rPr>
      </w:pPr>
      <w:r w:rsidRPr="005675FA">
        <w:rPr>
          <w:sz w:val="16"/>
        </w:rPr>
        <w:t>Champ : France.</w:t>
      </w:r>
    </w:p>
    <w:p w14:paraId="71DD57B6" w14:textId="3949F946" w:rsidR="00347286" w:rsidRPr="00347286" w:rsidRDefault="00347286" w:rsidP="00347286">
      <w:pPr>
        <w:pStyle w:val="Caption"/>
        <w:rPr>
          <w:bCs/>
        </w:rPr>
      </w:pPr>
      <w:bookmarkStart w:id="136" w:name="_Toc123916497"/>
      <w:r>
        <w:t xml:space="preserve">Tableau </w:t>
      </w:r>
      <w:fldSimple w:instr=" SEQ Tableau \* ARABIC ">
        <w:r w:rsidR="00AB51D9">
          <w:rPr>
            <w:noProof/>
          </w:rPr>
          <w:t>5</w:t>
        </w:r>
      </w:fldSimple>
      <w:r>
        <w:t xml:space="preserve"> : </w:t>
      </w:r>
      <w:r w:rsidRPr="00347286">
        <w:t>Indicateurs</w:t>
      </w:r>
      <w:r w:rsidRPr="00347286">
        <w:rPr>
          <w:bCs/>
        </w:rPr>
        <w:t xml:space="preserve"> macroéconomiques de l'industrie manufacturière en</w:t>
      </w:r>
      <w:r w:rsidRPr="00347286">
        <w:rPr>
          <w:rFonts w:ascii="Calibri" w:hAnsi="Calibri" w:cs="Calibri"/>
          <w:bCs/>
        </w:rPr>
        <w:t> </w:t>
      </w:r>
      <w:r w:rsidRPr="00347286">
        <w:rPr>
          <w:bCs/>
        </w:rPr>
        <w:t>2021</w:t>
      </w:r>
      <w:bookmarkEnd w:id="136"/>
    </w:p>
    <w:p w14:paraId="3C748E46" w14:textId="0069628A" w:rsidR="00347286" w:rsidRPr="0012153E" w:rsidRDefault="00347286" w:rsidP="00347286">
      <w:pPr>
        <w:pStyle w:val="Caption"/>
      </w:pPr>
      <w:r w:rsidRPr="0012153E">
        <w:t>Source : Insee,</w:t>
      </w:r>
      <w:r>
        <w:t xml:space="preserve"> </w:t>
      </w:r>
      <w:hyperlink r:id="rId51" w:history="1">
        <w:r w:rsidRPr="00347286">
          <w:t>comptes nationaux - base 2014.</w:t>
        </w:r>
      </w:hyperlink>
    </w:p>
    <w:p w14:paraId="5F7945E0" w14:textId="77777777" w:rsidR="00347286" w:rsidRDefault="00347286" w:rsidP="00347286"/>
    <w:p w14:paraId="67891087" w14:textId="390C78E8" w:rsidR="00501FA3" w:rsidRPr="00347286" w:rsidRDefault="00347286" w:rsidP="00347286">
      <w:pPr>
        <w:rPr>
          <w:rFonts w:eastAsia="Calibri"/>
          <w:bCs/>
          <w:lang w:eastAsia="en-US"/>
        </w:rPr>
      </w:pPr>
      <w:r w:rsidRPr="00F372BC">
        <w:rPr>
          <w:rFonts w:eastAsia="Calibri"/>
          <w:bCs/>
          <w:lang w:eastAsia="en-US"/>
        </w:rPr>
        <w:t>L’emploi (équivalent temps plein, EQTP) dans l’industrie manufacturière a connu une légère baisse de 2015 à 2018 avant d’entamer une hausse jusqu’à la fin 2019. La Covid n’a entraîné qu’une baisse modérée en 2020</w:t>
      </w:r>
      <w:r w:rsidRPr="00B81B95">
        <w:rPr>
          <w:rFonts w:eastAsia="Calibri"/>
          <w:bCs/>
          <w:lang w:eastAsia="en-US"/>
        </w:rPr>
        <w:t>.</w:t>
      </w:r>
      <w:r w:rsidRPr="00BF54DF">
        <w:rPr>
          <w:rFonts w:eastAsia="Calibri"/>
          <w:bCs/>
          <w:lang w:eastAsia="en-US"/>
        </w:rPr>
        <w:t xml:space="preserve"> </w:t>
      </w:r>
      <w:r w:rsidRPr="00BF54DF">
        <w:rPr>
          <w:rFonts w:ascii="Calibri" w:eastAsia="Calibri" w:hAnsi="Calibri" w:cs="Calibri"/>
          <w:bCs/>
          <w:lang w:eastAsia="en-US"/>
        </w:rPr>
        <w:t> </w:t>
      </w:r>
      <w:r w:rsidRPr="00BF54DF">
        <w:rPr>
          <w:rFonts w:eastAsia="Calibri"/>
          <w:bCs/>
          <w:lang w:eastAsia="en-US"/>
        </w:rPr>
        <w:t>Fin</w:t>
      </w:r>
      <w:r w:rsidRPr="00BF54DF">
        <w:rPr>
          <w:rFonts w:ascii="Calibri" w:eastAsia="Calibri" w:hAnsi="Calibri" w:cs="Calibri"/>
          <w:bCs/>
          <w:lang w:eastAsia="en-US"/>
        </w:rPr>
        <w:t> </w:t>
      </w:r>
      <w:r w:rsidRPr="00BF54DF">
        <w:rPr>
          <w:rFonts w:eastAsia="Calibri"/>
          <w:bCs/>
          <w:lang w:eastAsia="en-US"/>
        </w:rPr>
        <w:t>2020, 3,1</w:t>
      </w:r>
      <w:r w:rsidRPr="00BF54DF">
        <w:rPr>
          <w:rFonts w:ascii="Calibri" w:eastAsia="Calibri" w:hAnsi="Calibri" w:cs="Calibri"/>
          <w:bCs/>
          <w:lang w:eastAsia="en-US"/>
        </w:rPr>
        <w:t> </w:t>
      </w:r>
      <w:r w:rsidRPr="00BF54DF">
        <w:rPr>
          <w:rFonts w:eastAsia="Calibri"/>
          <w:bCs/>
          <w:lang w:eastAsia="en-US"/>
        </w:rPr>
        <w:t>millions de personnes occupent un emploi salari</w:t>
      </w:r>
      <w:r w:rsidRPr="00BF54DF">
        <w:rPr>
          <w:rFonts w:eastAsia="Calibri" w:cs="Marianne"/>
          <w:bCs/>
          <w:lang w:eastAsia="en-US"/>
        </w:rPr>
        <w:t>é</w:t>
      </w:r>
      <w:r w:rsidRPr="00BF54DF">
        <w:rPr>
          <w:rFonts w:eastAsia="Calibri"/>
          <w:bCs/>
          <w:lang w:eastAsia="en-US"/>
        </w:rPr>
        <w:t xml:space="preserve"> dans l</w:t>
      </w:r>
      <w:r w:rsidRPr="00BF54DF">
        <w:rPr>
          <w:rFonts w:eastAsia="Calibri" w:cs="Marianne"/>
          <w:bCs/>
          <w:lang w:eastAsia="en-US"/>
        </w:rPr>
        <w:t>’</w:t>
      </w:r>
      <w:r w:rsidRPr="00BF54DF">
        <w:rPr>
          <w:rFonts w:eastAsia="Calibri"/>
          <w:bCs/>
          <w:lang w:eastAsia="en-US"/>
        </w:rPr>
        <w:t>industrie.</w:t>
      </w:r>
      <w:r>
        <w:rPr>
          <w:rFonts w:eastAsia="Calibri"/>
          <w:bCs/>
          <w:lang w:eastAsia="en-US"/>
        </w:rPr>
        <w:t xml:space="preserve"> </w:t>
      </w:r>
      <w:r w:rsidRPr="0046608A">
        <w:rPr>
          <w:rFonts w:eastAsia="Calibri"/>
          <w:bCs/>
          <w:lang w:eastAsia="en-US"/>
        </w:rPr>
        <w:t>L'emploi industriel (hors intérim) augmente de nouveau légèrement au quatrième trimestre 2021, dans la lignée des trimestres précédents</w:t>
      </w:r>
      <w:r w:rsidRPr="0046608A">
        <w:rPr>
          <w:rFonts w:ascii="Calibri" w:eastAsia="Calibri" w:hAnsi="Calibri" w:cs="Calibri"/>
          <w:bCs/>
          <w:lang w:eastAsia="en-US"/>
        </w:rPr>
        <w:t> </w:t>
      </w:r>
      <w:r w:rsidRPr="0046608A">
        <w:rPr>
          <w:rFonts w:eastAsia="Calibri"/>
          <w:bCs/>
          <w:lang w:eastAsia="en-US"/>
        </w:rPr>
        <w:t>: +0,2</w:t>
      </w:r>
      <w:r w:rsidRPr="0046608A">
        <w:rPr>
          <w:rFonts w:ascii="Calibri" w:eastAsia="Calibri" w:hAnsi="Calibri" w:cs="Calibri"/>
          <w:bCs/>
          <w:lang w:eastAsia="en-US"/>
        </w:rPr>
        <w:t> </w:t>
      </w:r>
      <w:r w:rsidRPr="0046608A">
        <w:rPr>
          <w:rFonts w:eastAsia="Calibri"/>
          <w:bCs/>
          <w:lang w:eastAsia="en-US"/>
        </w:rPr>
        <w:t>% apr</w:t>
      </w:r>
      <w:r w:rsidRPr="0046608A">
        <w:rPr>
          <w:rFonts w:eastAsia="Calibri" w:cs="Marianne"/>
          <w:bCs/>
          <w:lang w:eastAsia="en-US"/>
        </w:rPr>
        <w:t>è</w:t>
      </w:r>
      <w:r w:rsidRPr="0046608A">
        <w:rPr>
          <w:rFonts w:eastAsia="Calibri"/>
          <w:bCs/>
          <w:lang w:eastAsia="en-US"/>
        </w:rPr>
        <w:t>s +0,1% aux deuxi</w:t>
      </w:r>
      <w:r w:rsidRPr="0046608A">
        <w:rPr>
          <w:rFonts w:eastAsia="Calibri" w:cs="Marianne"/>
          <w:bCs/>
          <w:lang w:eastAsia="en-US"/>
        </w:rPr>
        <w:t>è</w:t>
      </w:r>
      <w:r w:rsidRPr="0046608A">
        <w:rPr>
          <w:rFonts w:eastAsia="Calibri"/>
          <w:bCs/>
          <w:lang w:eastAsia="en-US"/>
        </w:rPr>
        <w:t>me et troisi</w:t>
      </w:r>
      <w:r w:rsidRPr="0046608A">
        <w:rPr>
          <w:rFonts w:eastAsia="Calibri" w:cs="Marianne"/>
          <w:bCs/>
          <w:lang w:eastAsia="en-US"/>
        </w:rPr>
        <w:t>è</w:t>
      </w:r>
      <w:r w:rsidRPr="0046608A">
        <w:rPr>
          <w:rFonts w:eastAsia="Calibri"/>
          <w:bCs/>
          <w:lang w:eastAsia="en-US"/>
        </w:rPr>
        <w:t>me trimestres 2021 et +0,2</w:t>
      </w:r>
      <w:r w:rsidRPr="0046608A">
        <w:rPr>
          <w:rFonts w:ascii="Calibri" w:eastAsia="Calibri" w:hAnsi="Calibri" w:cs="Calibri"/>
          <w:bCs/>
          <w:lang w:eastAsia="en-US"/>
        </w:rPr>
        <w:t> </w:t>
      </w:r>
      <w:r w:rsidRPr="0046608A">
        <w:rPr>
          <w:rFonts w:eastAsia="Calibri"/>
          <w:bCs/>
          <w:lang w:eastAsia="en-US"/>
        </w:rPr>
        <w:t>% au premier trimestre. Il avait cependant baiss</w:t>
      </w:r>
      <w:r w:rsidRPr="0046608A">
        <w:rPr>
          <w:rFonts w:eastAsia="Calibri" w:cs="Marianne"/>
          <w:bCs/>
          <w:lang w:eastAsia="en-US"/>
        </w:rPr>
        <w:t>é</w:t>
      </w:r>
      <w:r w:rsidRPr="0046608A">
        <w:rPr>
          <w:rFonts w:eastAsia="Calibri"/>
          <w:bCs/>
          <w:lang w:eastAsia="en-US"/>
        </w:rPr>
        <w:t xml:space="preserve"> de 1,9</w:t>
      </w:r>
      <w:r w:rsidRPr="0046608A">
        <w:rPr>
          <w:rFonts w:ascii="Calibri" w:eastAsia="Calibri" w:hAnsi="Calibri" w:cs="Calibri"/>
          <w:bCs/>
          <w:lang w:eastAsia="en-US"/>
        </w:rPr>
        <w:t> </w:t>
      </w:r>
      <w:r w:rsidRPr="0046608A">
        <w:rPr>
          <w:rFonts w:eastAsia="Calibri"/>
          <w:bCs/>
          <w:lang w:eastAsia="en-US"/>
        </w:rPr>
        <w:t>% sur l'ensemble de l'ann</w:t>
      </w:r>
      <w:r w:rsidRPr="0046608A">
        <w:rPr>
          <w:rFonts w:eastAsia="Calibri" w:cs="Marianne"/>
          <w:bCs/>
          <w:lang w:eastAsia="en-US"/>
        </w:rPr>
        <w:t>é</w:t>
      </w:r>
      <w:r w:rsidRPr="0046608A">
        <w:rPr>
          <w:rFonts w:eastAsia="Calibri"/>
          <w:bCs/>
          <w:lang w:eastAsia="en-US"/>
        </w:rPr>
        <w:t>e 2020 (</w:t>
      </w:r>
      <w:r w:rsidRPr="0046608A">
        <w:rPr>
          <w:rFonts w:eastAsia="Calibri" w:cs="Marianne"/>
          <w:bCs/>
          <w:lang w:eastAsia="en-US"/>
        </w:rPr>
        <w:t>−</w:t>
      </w:r>
      <w:r w:rsidRPr="0046608A">
        <w:rPr>
          <w:rFonts w:eastAsia="Calibri"/>
          <w:bCs/>
          <w:lang w:eastAsia="en-US"/>
        </w:rPr>
        <w:t>56</w:t>
      </w:r>
      <w:r w:rsidRPr="0046608A">
        <w:rPr>
          <w:rFonts w:ascii="Calibri" w:eastAsia="Calibri" w:hAnsi="Calibri" w:cs="Calibri"/>
          <w:bCs/>
          <w:lang w:eastAsia="en-US"/>
        </w:rPr>
        <w:t> </w:t>
      </w:r>
      <w:r w:rsidRPr="0046608A">
        <w:rPr>
          <w:rFonts w:eastAsia="Calibri"/>
          <w:bCs/>
          <w:lang w:eastAsia="en-US"/>
        </w:rPr>
        <w:t>200 emplois). Fin d</w:t>
      </w:r>
      <w:r w:rsidRPr="0046608A">
        <w:rPr>
          <w:rFonts w:eastAsia="Calibri" w:cs="Marianne"/>
          <w:bCs/>
          <w:lang w:eastAsia="en-US"/>
        </w:rPr>
        <w:t>é</w:t>
      </w:r>
      <w:r w:rsidRPr="0046608A">
        <w:rPr>
          <w:rFonts w:eastAsia="Calibri"/>
          <w:bCs/>
          <w:lang w:eastAsia="en-US"/>
        </w:rPr>
        <w:t>cembre 2021, l'emploi industriel demeure ainsi inf</w:t>
      </w:r>
      <w:r w:rsidRPr="0046608A">
        <w:rPr>
          <w:rFonts w:eastAsia="Calibri" w:cs="Marianne"/>
          <w:bCs/>
          <w:lang w:eastAsia="en-US"/>
        </w:rPr>
        <w:t>é</w:t>
      </w:r>
      <w:r w:rsidRPr="0046608A">
        <w:rPr>
          <w:rFonts w:eastAsia="Calibri"/>
          <w:bCs/>
          <w:lang w:eastAsia="en-US"/>
        </w:rPr>
        <w:t xml:space="preserve">rieur </w:t>
      </w:r>
      <w:r w:rsidRPr="0046608A">
        <w:rPr>
          <w:rFonts w:eastAsia="Calibri" w:cs="Marianne"/>
          <w:bCs/>
          <w:lang w:eastAsia="en-US"/>
        </w:rPr>
        <w:t>à</w:t>
      </w:r>
      <w:r w:rsidRPr="0046608A">
        <w:rPr>
          <w:rFonts w:eastAsia="Calibri"/>
          <w:bCs/>
          <w:lang w:eastAsia="en-US"/>
        </w:rPr>
        <w:t xml:space="preserve"> son niveau d'avant-crise</w:t>
      </w:r>
      <w:r w:rsidRPr="0046608A">
        <w:rPr>
          <w:rFonts w:ascii="Calibri" w:eastAsia="Calibri" w:hAnsi="Calibri" w:cs="Calibri"/>
          <w:bCs/>
          <w:lang w:eastAsia="en-US"/>
        </w:rPr>
        <w:t> </w:t>
      </w:r>
      <w:r w:rsidRPr="0046608A">
        <w:rPr>
          <w:rFonts w:eastAsia="Calibri"/>
          <w:bCs/>
          <w:lang w:eastAsia="en-US"/>
        </w:rPr>
        <w:t xml:space="preserve">: </w:t>
      </w:r>
      <w:r w:rsidRPr="0046608A">
        <w:rPr>
          <w:rFonts w:eastAsia="Calibri" w:cs="Marianne"/>
          <w:bCs/>
          <w:lang w:eastAsia="en-US"/>
        </w:rPr>
        <w:t>−</w:t>
      </w:r>
      <w:r w:rsidRPr="0046608A">
        <w:rPr>
          <w:rFonts w:eastAsia="Calibri"/>
          <w:bCs/>
          <w:lang w:eastAsia="en-US"/>
        </w:rPr>
        <w:t>1,2</w:t>
      </w:r>
      <w:r w:rsidRPr="0046608A">
        <w:rPr>
          <w:rFonts w:ascii="Calibri" w:eastAsia="Calibri" w:hAnsi="Calibri" w:cs="Calibri"/>
          <w:bCs/>
          <w:lang w:eastAsia="en-US"/>
        </w:rPr>
        <w:t> </w:t>
      </w:r>
      <w:r w:rsidRPr="0046608A">
        <w:rPr>
          <w:rFonts w:eastAsia="Calibri"/>
          <w:bCs/>
          <w:lang w:eastAsia="en-US"/>
        </w:rPr>
        <w:t xml:space="preserve">% par rapport </w:t>
      </w:r>
      <w:r w:rsidRPr="0046608A">
        <w:rPr>
          <w:rFonts w:eastAsia="Calibri" w:cs="Marianne"/>
          <w:bCs/>
          <w:lang w:eastAsia="en-US"/>
        </w:rPr>
        <w:t>à</w:t>
      </w:r>
      <w:r w:rsidRPr="0046608A">
        <w:rPr>
          <w:rFonts w:eastAsia="Calibri"/>
          <w:bCs/>
          <w:lang w:eastAsia="en-US"/>
        </w:rPr>
        <w:t xml:space="preserve"> fin 2019 (soit </w:t>
      </w:r>
      <w:r w:rsidRPr="0046608A">
        <w:rPr>
          <w:rFonts w:eastAsia="Calibri" w:cs="Marianne"/>
          <w:bCs/>
          <w:lang w:eastAsia="en-US"/>
        </w:rPr>
        <w:t>−</w:t>
      </w:r>
      <w:r w:rsidRPr="0046608A">
        <w:rPr>
          <w:rFonts w:eastAsia="Calibri"/>
          <w:bCs/>
          <w:lang w:eastAsia="en-US"/>
        </w:rPr>
        <w:t>38</w:t>
      </w:r>
      <w:r w:rsidRPr="0046608A">
        <w:rPr>
          <w:rFonts w:ascii="Calibri" w:eastAsia="Calibri" w:hAnsi="Calibri" w:cs="Calibri"/>
          <w:bCs/>
          <w:lang w:eastAsia="en-US"/>
        </w:rPr>
        <w:t> </w:t>
      </w:r>
      <w:r w:rsidRPr="0046608A">
        <w:rPr>
          <w:rFonts w:eastAsia="Calibri"/>
          <w:bCs/>
          <w:lang w:eastAsia="en-US"/>
        </w:rPr>
        <w:t>200 emplois).</w:t>
      </w:r>
    </w:p>
    <w:p w14:paraId="197DD9EF" w14:textId="4D7D0A0C" w:rsidR="00501FA3" w:rsidRPr="00962AB2" w:rsidRDefault="00501FA3" w:rsidP="003F57EA">
      <w:pPr>
        <w:pStyle w:val="Titre3Niveau3"/>
      </w:pPr>
      <w:bookmarkStart w:id="137" w:name="_Toc120567452"/>
      <w:bookmarkStart w:id="138" w:name="_Toc138341974"/>
      <w:r w:rsidRPr="00962AB2">
        <w:t>L’agriculture et la forêt</w:t>
      </w:r>
      <w:bookmarkEnd w:id="137"/>
      <w:bookmarkEnd w:id="138"/>
    </w:p>
    <w:p w14:paraId="4A1E4572" w14:textId="77777777" w:rsidR="000D2594" w:rsidRPr="00962AB2" w:rsidRDefault="000D2594" w:rsidP="00EF6DB6">
      <w:pPr>
        <w:pStyle w:val="Titre4niveau4"/>
      </w:pPr>
      <w:r w:rsidRPr="00962AB2">
        <w:t>Agriculture</w:t>
      </w:r>
    </w:p>
    <w:p w14:paraId="6ABB5F94" w14:textId="1EDFE3E8" w:rsidR="000D2594" w:rsidRDefault="0096644E" w:rsidP="000D2594">
      <w:r w:rsidRPr="0096644E">
        <w:t>En 2020 la France compte 416 436 exploitations agricoles 390 000 en métropole</w:t>
      </w:r>
      <w:r>
        <w:t>, soit 21% de moins qu’en 2010 :</w:t>
      </w:r>
      <w:r w:rsidRPr="0096644E">
        <w:t xml:space="preserve"> cette baisse est continue depuis les années 1970 où l’on comptait 4 fois plus d’exploitations, mais la baisse a été maximale entre 1988 et 2000, avec une chute de 350 000 exploitations en 12 ans. La baisse moyenne annuelle a été de l’ordre de 2,3% entre 2010 et 2020.</w:t>
      </w:r>
    </w:p>
    <w:p w14:paraId="0E36EEE9" w14:textId="77777777" w:rsidR="0096644E" w:rsidRDefault="0096644E" w:rsidP="000D2594"/>
    <w:p w14:paraId="314E9EB0" w14:textId="77777777" w:rsidR="000D2594" w:rsidRDefault="000D2594" w:rsidP="000D2594">
      <w:pPr>
        <w:jc w:val="center"/>
      </w:pPr>
      <w:r>
        <w:rPr>
          <w:noProof/>
        </w:rPr>
        <w:drawing>
          <wp:inline distT="0" distB="0" distL="0" distR="0" wp14:anchorId="1D3EBA7B" wp14:editId="0A84D3A2">
            <wp:extent cx="4572000" cy="2743200"/>
            <wp:effectExtent l="0" t="0" r="0" b="0"/>
            <wp:docPr id="28690" name="Graphique 28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0B97D9E" w14:textId="410A6303" w:rsidR="000D2594" w:rsidRDefault="000D2594" w:rsidP="0045532B">
      <w:pPr>
        <w:pStyle w:val="Caption"/>
      </w:pPr>
      <w:bookmarkStart w:id="139" w:name="_Toc123916434"/>
      <w:r>
        <w:t xml:space="preserve">Figure </w:t>
      </w:r>
      <w:fldSimple w:instr=" SEQ Figure \* ARABIC ">
        <w:r w:rsidR="00AB51D9">
          <w:rPr>
            <w:noProof/>
          </w:rPr>
          <w:t>23</w:t>
        </w:r>
      </w:fldSimple>
      <w:r>
        <w:t> : Evolution du nombre d’exploitations agricoles de 1970 à 2020</w:t>
      </w:r>
      <w:bookmarkEnd w:id="139"/>
    </w:p>
    <w:p w14:paraId="302A8B53" w14:textId="5C8DF3CF" w:rsidR="000D2594" w:rsidRDefault="000D2594" w:rsidP="0045532B">
      <w:pPr>
        <w:pStyle w:val="Caption"/>
      </w:pPr>
      <w:r>
        <w:t>Source : AGRESTE, Recensement agricole 2020</w:t>
      </w:r>
    </w:p>
    <w:p w14:paraId="6B2FAA45" w14:textId="77777777" w:rsidR="000D2594" w:rsidRDefault="000D2594" w:rsidP="000D2594"/>
    <w:p w14:paraId="1EA3FEF9" w14:textId="77777777" w:rsidR="000D2594" w:rsidRDefault="000D2594" w:rsidP="000D2594">
      <w:r>
        <w:t>La baisse du nombre d’exploitation ne s’accompagne cependant pas d’une réduction de la surface agricole qui reste globalement stable : avec 26,7 Mha, elle n’a baissé que de 1% depuis 2010. L’agriculture occupe toujours près de 50% de l’espace en métropole.</w:t>
      </w:r>
    </w:p>
    <w:p w14:paraId="14794B22" w14:textId="77777777" w:rsidR="000D2594" w:rsidRDefault="000D2594" w:rsidP="000D2594">
      <w:r>
        <w:t>La baisse du nombre d’exploitations s’accompagne d’une augmentation de la SAU moyenne des exploitations qui atteint 69 ha, contre 55 ha en 2010.</w:t>
      </w:r>
    </w:p>
    <w:p w14:paraId="0C44256E" w14:textId="77777777" w:rsidR="000D2594" w:rsidRDefault="000D2594" w:rsidP="000D2594">
      <w:pPr>
        <w:jc w:val="center"/>
      </w:pPr>
      <w:r>
        <w:rPr>
          <w:noProof/>
        </w:rPr>
        <w:drawing>
          <wp:inline distT="0" distB="0" distL="0" distR="0" wp14:anchorId="24B7A440" wp14:editId="34250025">
            <wp:extent cx="4572000" cy="2743200"/>
            <wp:effectExtent l="0" t="0" r="0" b="0"/>
            <wp:docPr id="28691" name="Graphique 28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324E114" w14:textId="443AC1FB" w:rsidR="000D2594" w:rsidRDefault="000D2594" w:rsidP="0045532B">
      <w:pPr>
        <w:pStyle w:val="Caption"/>
      </w:pPr>
      <w:bookmarkStart w:id="140" w:name="_Toc123916435"/>
      <w:r>
        <w:t xml:space="preserve">Figure </w:t>
      </w:r>
      <w:fldSimple w:instr=" SEQ Figure \* ARABIC ">
        <w:r w:rsidR="00AB51D9">
          <w:rPr>
            <w:noProof/>
          </w:rPr>
          <w:t>24</w:t>
        </w:r>
      </w:fldSimple>
      <w:r>
        <w:t> : Evolution de la surface moyenne des exploitations agricoles</w:t>
      </w:r>
      <w:bookmarkEnd w:id="140"/>
    </w:p>
    <w:p w14:paraId="4AF0E270" w14:textId="3C240CB4" w:rsidR="000D2594" w:rsidRDefault="000D2594" w:rsidP="0045532B">
      <w:pPr>
        <w:pStyle w:val="Caption"/>
      </w:pPr>
      <w:r>
        <w:t>Source : AGRESTE, Recensement agricole 2020</w:t>
      </w:r>
    </w:p>
    <w:p w14:paraId="2B8649B9" w14:textId="4398DEB7" w:rsidR="000D2594" w:rsidRDefault="000D2594" w:rsidP="000D2594"/>
    <w:p w14:paraId="59C719C5" w14:textId="4B58FFAF" w:rsidR="000D2594" w:rsidRDefault="000D2594" w:rsidP="000D2594">
      <w:r>
        <w:t>La répartition des exploitations par classe de SAU évolue également : le nombre d’exploitations de moins de 100</w:t>
      </w:r>
      <w:r w:rsidR="00FA4362">
        <w:t> </w:t>
      </w:r>
      <w:r>
        <w:t>ha recule, tandis que les exploitations de plus de 100 ha progressent. Les exploitations de moins de 50 ha restent cependant majoritaires (54% en 2020).</w:t>
      </w:r>
    </w:p>
    <w:p w14:paraId="4634730F" w14:textId="77777777" w:rsidR="000D2594" w:rsidRDefault="000D2594" w:rsidP="000D2594"/>
    <w:p w14:paraId="652ECDC7" w14:textId="77777777" w:rsidR="000D2594" w:rsidRDefault="000D2594" w:rsidP="000D2594">
      <w:pPr>
        <w:jc w:val="center"/>
      </w:pPr>
      <w:r>
        <w:rPr>
          <w:noProof/>
        </w:rPr>
        <w:drawing>
          <wp:inline distT="0" distB="0" distL="0" distR="0" wp14:anchorId="0A835D91" wp14:editId="6CA93A25">
            <wp:extent cx="4572000" cy="2743200"/>
            <wp:effectExtent l="0" t="0" r="0" b="0"/>
            <wp:docPr id="28692" name="Graphique 28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7C85C97" w14:textId="6D284D00" w:rsidR="000D2594" w:rsidRDefault="000D2594" w:rsidP="0045532B">
      <w:pPr>
        <w:pStyle w:val="Caption"/>
      </w:pPr>
      <w:bookmarkStart w:id="141" w:name="_Toc123916436"/>
      <w:r>
        <w:t xml:space="preserve">Figure </w:t>
      </w:r>
      <w:fldSimple w:instr=" SEQ Figure \* ARABIC ">
        <w:r w:rsidR="00AB51D9">
          <w:rPr>
            <w:noProof/>
          </w:rPr>
          <w:t>25</w:t>
        </w:r>
      </w:fldSimple>
      <w:r>
        <w:t> : Nombre d’exploitations par classe de SAU</w:t>
      </w:r>
      <w:bookmarkEnd w:id="141"/>
    </w:p>
    <w:p w14:paraId="248B2AC5" w14:textId="7C94DD8D" w:rsidR="000D2594" w:rsidRPr="0008362E" w:rsidRDefault="000D2594" w:rsidP="0045532B">
      <w:pPr>
        <w:pStyle w:val="Caption"/>
      </w:pPr>
      <w:r>
        <w:t>Source : AGRESTE, Recensement agricole 2020</w:t>
      </w:r>
    </w:p>
    <w:p w14:paraId="15AE0AF7" w14:textId="77777777" w:rsidR="000D2594" w:rsidRDefault="000D2594" w:rsidP="000D2594"/>
    <w:p w14:paraId="50E764F8" w14:textId="77777777" w:rsidR="000D2594" w:rsidRDefault="000D2594" w:rsidP="000D2594">
      <w:r>
        <w:t>Les grandes cultures occupent plus du tiers de la SAU en métropole, celles spécialisées dans les élevages bovins presque autant.</w:t>
      </w:r>
    </w:p>
    <w:p w14:paraId="5819639F" w14:textId="77777777" w:rsidR="000D2594" w:rsidRDefault="000D2594" w:rsidP="000D2594">
      <w:pPr>
        <w:rPr>
          <w:noProof/>
        </w:rPr>
      </w:pPr>
    </w:p>
    <w:p w14:paraId="610FA952" w14:textId="77777777" w:rsidR="000D2594" w:rsidRDefault="000D2594" w:rsidP="000D2594">
      <w:pPr>
        <w:jc w:val="center"/>
      </w:pPr>
      <w:r>
        <w:rPr>
          <w:noProof/>
        </w:rPr>
        <w:drawing>
          <wp:inline distT="0" distB="0" distL="0" distR="0" wp14:anchorId="33289FAB" wp14:editId="38823146">
            <wp:extent cx="4572000" cy="2743200"/>
            <wp:effectExtent l="0" t="0" r="0" b="0"/>
            <wp:docPr id="28693" name="Graphique 286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956926A" w14:textId="0B4E0DD9" w:rsidR="000D2594" w:rsidRDefault="000D2594" w:rsidP="0045532B">
      <w:pPr>
        <w:pStyle w:val="Caption"/>
      </w:pPr>
      <w:bookmarkStart w:id="142" w:name="_Toc123916437"/>
      <w:r>
        <w:t xml:space="preserve">Figure </w:t>
      </w:r>
      <w:fldSimple w:instr=" SEQ Figure \* ARABIC ">
        <w:r w:rsidR="00AB51D9">
          <w:rPr>
            <w:noProof/>
          </w:rPr>
          <w:t>26</w:t>
        </w:r>
      </w:fldSimple>
      <w:r>
        <w:t> : Part de la SAU selon la spécialisation des exploitations</w:t>
      </w:r>
      <w:bookmarkEnd w:id="142"/>
    </w:p>
    <w:p w14:paraId="26C97F62" w14:textId="442611A1" w:rsidR="000D2594" w:rsidRDefault="000D2594" w:rsidP="0045532B">
      <w:pPr>
        <w:pStyle w:val="Caption"/>
      </w:pPr>
      <w:r>
        <w:t>Source : AGRESTE, Recensement agricole 2020</w:t>
      </w:r>
    </w:p>
    <w:p w14:paraId="1B28A6AC" w14:textId="77777777" w:rsidR="000D2594" w:rsidRDefault="000D2594" w:rsidP="000D2594"/>
    <w:p w14:paraId="13DFC233" w14:textId="3E968F1E" w:rsidR="000D2594" w:rsidRDefault="004F5218" w:rsidP="000D2594">
      <w:r w:rsidRPr="004F5218">
        <w:t xml:space="preserve">Parallèlement à </w:t>
      </w:r>
      <w:r>
        <w:t>la</w:t>
      </w:r>
      <w:r w:rsidRPr="004F5218">
        <w:t xml:space="preserve"> concentration des exploitations, les actifs permanents du secteur sont passés 758 300 actifs permanents en 2020, soit 20 8000 de moins qu’en 2010</w:t>
      </w:r>
      <w:r w:rsidR="000D2594">
        <w:t>.</w:t>
      </w:r>
      <w:r>
        <w:t xml:space="preserve"> </w:t>
      </w:r>
      <w:r w:rsidR="000D2594">
        <w:t xml:space="preserve">La baisse de l’emploi agricole </w:t>
      </w:r>
      <w:r>
        <w:t>a cependant ralenti</w:t>
      </w:r>
      <w:r w:rsidR="000D2594">
        <w:t xml:space="preserve"> sur la période 2010-2020 avec un rythme annuel de -</w:t>
      </w:r>
      <w:r w:rsidR="00FA4362">
        <w:t> </w:t>
      </w:r>
      <w:r w:rsidR="000D2594">
        <w:t>1,1% contre -</w:t>
      </w:r>
      <w:r w:rsidR="00FA4362">
        <w:t> </w:t>
      </w:r>
      <w:r w:rsidR="000D2594">
        <w:t>3,4% sur la période 1988-2000 qui a connu la plus forte perte d’emplois.</w:t>
      </w:r>
    </w:p>
    <w:p w14:paraId="0A29D202" w14:textId="77777777" w:rsidR="000D2594" w:rsidRDefault="000D2594" w:rsidP="000D2594">
      <w:pPr>
        <w:jc w:val="center"/>
      </w:pPr>
      <w:r>
        <w:rPr>
          <w:noProof/>
        </w:rPr>
        <w:drawing>
          <wp:inline distT="0" distB="0" distL="0" distR="0" wp14:anchorId="75A90F36" wp14:editId="71B98113">
            <wp:extent cx="4572000" cy="2743200"/>
            <wp:effectExtent l="0" t="0" r="0" b="0"/>
            <wp:docPr id="28694" name="Graphique 28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FC2721D" w14:textId="24F0C185" w:rsidR="000D2594" w:rsidRDefault="000D2594" w:rsidP="0045532B">
      <w:pPr>
        <w:pStyle w:val="Caption"/>
      </w:pPr>
      <w:bookmarkStart w:id="143" w:name="_Toc123916438"/>
      <w:r>
        <w:t xml:space="preserve">Figure </w:t>
      </w:r>
      <w:fldSimple w:instr=" SEQ Figure \* ARABIC ">
        <w:r w:rsidR="00AB51D9">
          <w:rPr>
            <w:noProof/>
          </w:rPr>
          <w:t>27</w:t>
        </w:r>
      </w:fldSimple>
      <w:r>
        <w:t> : Evolution de l’emplois agricoles en équivalent temps plein de 1970 à 2020</w:t>
      </w:r>
      <w:bookmarkEnd w:id="143"/>
    </w:p>
    <w:p w14:paraId="57E21D9F" w14:textId="4A6E9D51" w:rsidR="000D2594" w:rsidRDefault="000D2594" w:rsidP="0045532B">
      <w:pPr>
        <w:pStyle w:val="Caption"/>
      </w:pPr>
      <w:r>
        <w:t>Source : AGRESTE, Recensement agricole 2020</w:t>
      </w:r>
    </w:p>
    <w:p w14:paraId="189733FB" w14:textId="77777777" w:rsidR="000D2594" w:rsidRPr="00FB2C75" w:rsidRDefault="000D2594" w:rsidP="000D2594">
      <w:pPr>
        <w:rPr>
          <w:highlight w:val="yellow"/>
        </w:rPr>
      </w:pPr>
    </w:p>
    <w:p w14:paraId="7BB1E824" w14:textId="53B7102B" w:rsidR="000D2594" w:rsidRDefault="00FA4362" w:rsidP="000D2594">
      <w:r>
        <w:t>L'agriculture se distingue des autres secteurs par la prépondérance d'émissions de gaz à effet de serre non liées à la combustion d'énergie. Les sources principales d'émissions agricoles de la France sont le méthane provenant de l'élevage (fermentation entérique des ruminants et gestion des effluents) et le N</w:t>
      </w:r>
      <w:r>
        <w:rPr>
          <w:vertAlign w:val="subscript"/>
        </w:rPr>
        <w:t>2</w:t>
      </w:r>
      <w:r>
        <w:t>O, lié à l’épandage d’engrais azotés minéraux et organiques, ainsi qu’aux résidus de culture</w:t>
      </w:r>
      <w:r w:rsidR="000D2594">
        <w:t>.</w:t>
      </w:r>
      <w:r w:rsidR="004F5218">
        <w:t xml:space="preserve"> Ces deux gaz à effet de serre représentent 86% des émissions de l’agriculture (hors secteur des terres). </w:t>
      </w:r>
      <w:r w:rsidR="004F5218" w:rsidRPr="004F5218">
        <w:t>L’élevage représente 4</w:t>
      </w:r>
      <w:r w:rsidR="004F5218">
        <w:t>8,7</w:t>
      </w:r>
      <w:r w:rsidR="004F5218" w:rsidRPr="004F5218">
        <w:t>% des émissions de l’agriculture, dont 84 % sont issues des bovins. Les cultures représentent 38</w:t>
      </w:r>
      <w:r w:rsidR="004F5218">
        <w:t>,4</w:t>
      </w:r>
      <w:r w:rsidR="004F5218" w:rsidRPr="004F5218">
        <w:t xml:space="preserve"> % des émissions de l’agriculture, et comptabilisent 90 % des émissions de protoxyde d’azote du secteur, provenant majoritairement de la fertilisation des terres</w:t>
      </w:r>
      <w:r w:rsidR="004F5218">
        <w:t>.</w:t>
      </w:r>
    </w:p>
    <w:p w14:paraId="7323A39D" w14:textId="77777777" w:rsidR="000D2594" w:rsidRDefault="000D2594" w:rsidP="00EF6DB6">
      <w:pPr>
        <w:pStyle w:val="Titre4niveau4"/>
      </w:pPr>
      <w:r>
        <w:t>Forêt</w:t>
      </w:r>
    </w:p>
    <w:p w14:paraId="3948A5A9" w14:textId="44F31DE9" w:rsidR="000D2594" w:rsidRDefault="000D2594" w:rsidP="000D2594">
      <w:r>
        <w:t>La forêt française s’étend depuis plus d’un siècle : alors qu’elle occupait 19% du territoire en 1908, elle occupe désormais 31% du territoire métropolitain. Après plusieurs décennie</w:t>
      </w:r>
      <w:r w:rsidR="00306681">
        <w:t>s</w:t>
      </w:r>
      <w:r>
        <w:t xml:space="preserve"> d’expansion, le ralentissement de la progression en volume de la forêt se confirme : il atteint 2,8 milliards de mètres cubes.</w:t>
      </w:r>
    </w:p>
    <w:p w14:paraId="33082654" w14:textId="77777777" w:rsidR="000D2594" w:rsidRDefault="000D2594" w:rsidP="000D2594">
      <w:r>
        <w:t>Cette forte progression résulte de la révolution agricole de l’après-guerre et les politiques de boisement des terres soutenues par le Fonds forestier national (1947-1999). Entre 1908 et 1985 le rythme annuel moyen de boisement était de 50 000 ha, notamment dans le Massif central et la pointe bretonne. Ce rythme s’est accéléré après 1985 pour atteindre 80 000 ha/an.</w:t>
      </w:r>
    </w:p>
    <w:p w14:paraId="5AB32780" w14:textId="77777777" w:rsidR="000D2594" w:rsidRDefault="000D2594" w:rsidP="000D2594"/>
    <w:p w14:paraId="25FF422D" w14:textId="77777777" w:rsidR="000D2594" w:rsidRDefault="000D2594" w:rsidP="000D2594">
      <w:pPr>
        <w:jc w:val="center"/>
      </w:pPr>
      <w:r>
        <w:rPr>
          <w:noProof/>
        </w:rPr>
        <w:drawing>
          <wp:inline distT="0" distB="0" distL="0" distR="0" wp14:anchorId="7499BCD8" wp14:editId="48EEAFEA">
            <wp:extent cx="4572000" cy="2743200"/>
            <wp:effectExtent l="0" t="0" r="0" b="0"/>
            <wp:docPr id="28695" name="Graphique 286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EA24A95" w14:textId="4112A5E5" w:rsidR="000D2594" w:rsidRDefault="000D2594" w:rsidP="0045532B">
      <w:pPr>
        <w:pStyle w:val="Caption"/>
      </w:pPr>
      <w:bookmarkStart w:id="144" w:name="_Toc123916439"/>
      <w:r>
        <w:t xml:space="preserve">Figure </w:t>
      </w:r>
      <w:fldSimple w:instr=" SEQ Figure \* ARABIC ">
        <w:r w:rsidR="00AB51D9">
          <w:rPr>
            <w:noProof/>
          </w:rPr>
          <w:t>28</w:t>
        </w:r>
      </w:fldSimple>
      <w:r>
        <w:t> : Evolution de la surface forestière en France de 1840 à 2021</w:t>
      </w:r>
      <w:bookmarkEnd w:id="144"/>
    </w:p>
    <w:p w14:paraId="117C09E9" w14:textId="5313EA6E" w:rsidR="000D2594" w:rsidRDefault="000D2594" w:rsidP="0045532B">
      <w:pPr>
        <w:pStyle w:val="Caption"/>
      </w:pPr>
      <w:r>
        <w:t>Source : IGN, Inventaire forestier national édition 2022</w:t>
      </w:r>
    </w:p>
    <w:p w14:paraId="5F79FD88" w14:textId="7E7F587A" w:rsidR="000D2594" w:rsidRDefault="000D2594" w:rsidP="000D2594"/>
    <w:p w14:paraId="6DB55A52" w14:textId="4A1F6B18" w:rsidR="000D2594" w:rsidRPr="00B06B29" w:rsidRDefault="000D2594" w:rsidP="000D2594">
      <w:r>
        <w:t>Le dernier inventaire forestier national montre une baisse de la production biologique nette en forêt, qui s’explique par l’augmentation de la mortalité des arbres : les facteurs sont nombreux (sécheresse, canicule, insectes, champignons, bactéries, …) et leur part de responsabilités respectives ne sont pas connues.</w:t>
      </w:r>
    </w:p>
    <w:p w14:paraId="18091BD3" w14:textId="77777777" w:rsidR="00D15C46" w:rsidRPr="00D2002C" w:rsidRDefault="00D15C46" w:rsidP="00D15C46">
      <w:pPr>
        <w:spacing w:before="240" w:after="240"/>
      </w:pPr>
      <w:r w:rsidRPr="00BF6E90">
        <w:t xml:space="preserve">La </w:t>
      </w:r>
      <w:r w:rsidRPr="00AA2B36">
        <w:rPr>
          <w:bCs/>
        </w:rPr>
        <w:t xml:space="preserve">dynamique du puits français </w:t>
      </w:r>
      <w:r w:rsidRPr="00BF6E90">
        <w:t xml:space="preserve">reste avant tout marquée par la situation de transition que connaît la </w:t>
      </w:r>
      <w:r w:rsidRPr="00AA2B36">
        <w:rPr>
          <w:bCs/>
        </w:rPr>
        <w:t xml:space="preserve">forêt </w:t>
      </w:r>
      <w:r w:rsidRPr="00BF6E90">
        <w:t>française métropolitaine depuis plus d'un siècle, et qui se caractérise par une augmentation de la surface boisée et par une progression du volume de bois par hectare. Ce phénomène de fond</w:t>
      </w:r>
      <w:r w:rsidRPr="00D2002C">
        <w:t>, qui agit sur le long terme, trouve son origine dans la révolution industrielle du XIXe siècle. Celle-ci a entraîné tout au long du XXe siècle, d'une part une déprise agricole et un retour de terres agricoles vers la forêt, et d'autre part une déprise rurale qui, associée à l'émergence de l'utilisation des énergies fossiles, a provoqué une baisse continue de l'exploitation des arbres de taillis destinés pour le chauffage. Les défrichements restant par ailleurs limités, il en résulte une forêt dont la superficie augmente au rythme</w:t>
      </w:r>
      <w:r>
        <w:t xml:space="preserve"> </w:t>
      </w:r>
      <w:r w:rsidRPr="00D2002C">
        <w:t xml:space="preserve">de la déprise agricole, dont l'intensité et l'ancienneté sont très variables selon les régions. Par ailleurs, l'allongement des révolutions et rotations consécutif à l'abandon progressif des modes de traitement en taillis et taillis-sous-futaie entraîne une augmentation du diamètre moyen des arbres de la forêt française et donc une augmentation du volume de bois à l'hectare. Les augmentations en surface et en volume relèvent cependant de deux processus différents non synchrones et pas toujours corrélés spatialement. </w:t>
      </w:r>
    </w:p>
    <w:p w14:paraId="307D3D61" w14:textId="77777777" w:rsidR="00D15C46" w:rsidRPr="00D2002C" w:rsidRDefault="00D15C46" w:rsidP="00D15C46">
      <w:pPr>
        <w:spacing w:before="240" w:after="240"/>
      </w:pPr>
      <w:r w:rsidRPr="00D2002C">
        <w:t xml:space="preserve">L'expansion du domaine forestier sur le territoire national se réalise actuellement essentiellement sous la forme d'accrus naturels, mais elle a bénéficié également de grandes campagnes de boisements, comme celle entreprise par le Fonds forestier national (FFN) entre 1947 et la fin des années 1990 et qui a contribué à la plantation d'un million d'hectares de peuplements résineux (épicéas, douglas, pin laricio). Sur la période comprise entre 1990 et 2010, la superficie forestière s'est accrue de deux millions d'hectares, en raison du boisement de landes arbustives. </w:t>
      </w:r>
    </w:p>
    <w:p w14:paraId="4FA886E8" w14:textId="6E590907" w:rsidR="00D15C46" w:rsidRDefault="00D15C46" w:rsidP="00D15C46">
      <w:pPr>
        <w:spacing w:before="240" w:after="240"/>
      </w:pPr>
      <w:r w:rsidRPr="00D2002C">
        <w:t>La forêt métropolitaine française couvre un</w:t>
      </w:r>
      <w:r>
        <w:t xml:space="preserve"> peu moins d’un</w:t>
      </w:r>
      <w:r w:rsidRPr="00D2002C">
        <w:t xml:space="preserve"> tiers du territoire pour </w:t>
      </w:r>
      <w:r>
        <w:t>17,1</w:t>
      </w:r>
      <w:r w:rsidRPr="00D2002C">
        <w:t xml:space="preserve"> Mha. C'est une forêt très diversifiée en comparaison de ses voisines européennes : 1</w:t>
      </w:r>
      <w:r>
        <w:t>90 espèces regroupées en 70</w:t>
      </w:r>
      <w:r w:rsidRPr="00D2002C">
        <w:t xml:space="preserve"> essences sont présentes de façon significatives</w:t>
      </w:r>
      <w:r>
        <w:rPr>
          <w:rStyle w:val="FootnoteReference"/>
        </w:rPr>
        <w:footnoteReference w:id="9"/>
      </w:r>
      <w:r w:rsidRPr="00D2002C">
        <w:t xml:space="preserve"> dont </w:t>
      </w:r>
      <w:r>
        <w:t>13</w:t>
      </w:r>
      <w:r w:rsidRPr="00D2002C">
        <w:t xml:space="preserve"> </w:t>
      </w:r>
      <w:r>
        <w:t>représentent 82</w:t>
      </w:r>
      <w:r w:rsidR="006518EF">
        <w:t>%</w:t>
      </w:r>
      <w:r>
        <w:t xml:space="preserve"> du volume de bois vivant sur pied</w:t>
      </w:r>
      <w:r>
        <w:rPr>
          <w:rStyle w:val="FootnoteReference"/>
        </w:rPr>
        <w:footnoteReference w:id="10"/>
      </w:r>
      <w:r w:rsidRPr="00D2002C">
        <w:t>. La forêt est majoritairement feuillue (chêne, hêtre) aux deux tiers de sa superficie. La forêt métropolitaine française est privée pour les trois quarts de sa surface (</w:t>
      </w:r>
      <w:r>
        <w:t>9</w:t>
      </w:r>
      <w:r w:rsidR="006518EF">
        <w:t>%</w:t>
      </w:r>
      <w:r w:rsidRPr="00D2002C">
        <w:t xml:space="preserve"> appartiennent à l’État et 1</w:t>
      </w:r>
      <w:r>
        <w:t>6</w:t>
      </w:r>
      <w:r w:rsidR="006518EF">
        <w:t>%</w:t>
      </w:r>
      <w:r w:rsidRPr="00D2002C">
        <w:t xml:space="preserve"> aux collectivités). </w:t>
      </w:r>
      <w:r>
        <w:t>3,3</w:t>
      </w:r>
      <w:r w:rsidRPr="00D2002C">
        <w:t xml:space="preserve"> millions de Français sont propriétaires de forêts, mais </w:t>
      </w:r>
      <w:r>
        <w:t>11% d’entre eux</w:t>
      </w:r>
      <w:r w:rsidRPr="00D2002C">
        <w:t xml:space="preserve"> possèdent </w:t>
      </w:r>
      <w:r>
        <w:t>76% de la surface forestière</w:t>
      </w:r>
      <w:r w:rsidRPr="00D2002C">
        <w:t xml:space="preserve"> privée</w:t>
      </w:r>
      <w:r>
        <w:rPr>
          <w:rStyle w:val="FootnoteReference"/>
        </w:rPr>
        <w:footnoteReference w:id="11"/>
      </w:r>
      <w:r w:rsidRPr="00D2002C">
        <w:t xml:space="preserve">,. De nombreuses forêts sont difficiles d'accès pour des raisons topographiques (terrains de montagne) ou par manque d'infrastructures de desserte. Au final, ces différentes particularités contribuent au fait qu'environ la moitié de l'accroissement biologique est récolté chaque année, conduisant à un phénomène de capitalisation. Les forêts françaises sont en croissance à la fois en termes de surface et de volume à l'hectare. </w:t>
      </w:r>
    </w:p>
    <w:p w14:paraId="6D02FCDC" w14:textId="047A9286" w:rsidR="00D15C46" w:rsidRDefault="00D15C46" w:rsidP="00D15C46">
      <w:pPr>
        <w:spacing w:before="240" w:after="240"/>
      </w:pPr>
      <w:r>
        <w:t>Cependant les derniers inventaires forestiers révèlent qu’en France métropolitaine, la production biologique annuelle est en léger recul par rapport aux chiffres des années précédent</w:t>
      </w:r>
      <w:r w:rsidR="006431C9">
        <w:t>es (elle s’élève en moyenne à 87</w:t>
      </w:r>
      <w:r>
        <w:t>,8 millions de mètres cub</w:t>
      </w:r>
      <w:r w:rsidR="006431C9">
        <w:t>es (Mm³/ an) sur la période 2012-2020</w:t>
      </w:r>
      <w:r>
        <w:t>, avec une incertitude statistique de l’ordre de 1,3 Mm³/an, contre 91,5 Mm³/an sur la période 2005-2013). De plus, la mortalité tend à augmenter ces dernières anné</w:t>
      </w:r>
      <w:r w:rsidR="006431C9">
        <w:t>es (elle s’élève en moyenne à 11,4</w:t>
      </w:r>
      <w:r>
        <w:t xml:space="preserve"> millions de mètres cu</w:t>
      </w:r>
      <w:r w:rsidR="006431C9">
        <w:t>bes (Mm3/an) sur la période 2012-2020</w:t>
      </w:r>
      <w:r>
        <w:t>, avec une incertitude statistique de l’ordre de 0,4 Mm3/an, contre 7,4 Mm³/an sur la période 2005-2013). Ces évolutions sont notamment dues aux crises sanitaires liées à des conditions climatiques à la fois difficiles pour les arbres (sécheresses) et propices aux insectes xylophages, notamment les scolytes.</w:t>
      </w:r>
    </w:p>
    <w:p w14:paraId="0F4C55DD" w14:textId="017FEB74" w:rsidR="00D15C46" w:rsidRPr="00D2002C" w:rsidRDefault="00D15C46" w:rsidP="00D15C46">
      <w:pPr>
        <w:spacing w:before="240" w:after="240"/>
      </w:pPr>
      <w:r w:rsidRPr="00D2002C">
        <w:t xml:space="preserve">La filière forêt-bois française représente environ </w:t>
      </w:r>
      <w:r>
        <w:t>400</w:t>
      </w:r>
      <w:r>
        <w:rPr>
          <w:rFonts w:ascii="Calibri" w:hAnsi="Calibri" w:cs="Calibri"/>
        </w:rPr>
        <w:t> </w:t>
      </w:r>
      <w:r>
        <w:t xml:space="preserve">000 </w:t>
      </w:r>
      <w:r w:rsidRPr="00D2002C">
        <w:t xml:space="preserve">emplois directs et indirects et </w:t>
      </w:r>
      <w:r>
        <w:t xml:space="preserve">25 </w:t>
      </w:r>
      <w:r w:rsidRPr="00D2002C">
        <w:t xml:space="preserve">milliards d'euros de </w:t>
      </w:r>
      <w:r>
        <w:t>valeur ajoutée</w:t>
      </w:r>
      <w:r>
        <w:rPr>
          <w:rStyle w:val="FootnoteReference"/>
        </w:rPr>
        <w:footnoteReference w:id="12"/>
      </w:r>
      <w:r w:rsidRPr="00D2002C">
        <w:t xml:space="preserve">. La filière forêt bois reste un secteur qui pèse fortement dans le déficit de la balance commerciale française, avec un déficit </w:t>
      </w:r>
      <w:r>
        <w:t>qui se creuse depuis 2016 pour atteindre 8,6 milliards d’euros en 2021</w:t>
      </w:r>
      <w:r>
        <w:rPr>
          <w:rStyle w:val="FootnoteReference"/>
        </w:rPr>
        <w:footnoteReference w:id="13"/>
      </w:r>
      <w:r w:rsidRPr="00D2002C">
        <w:t xml:space="preserve">. Les principaux secteurs déficitaires sont, par ordre décroissant, le meuble, le papier/carton, </w:t>
      </w:r>
      <w:r>
        <w:t>les autres produits du travail mécanique du bois (ouvrage de menuiserie, bois profilés)</w:t>
      </w:r>
      <w:r w:rsidRPr="00D2002C">
        <w:t xml:space="preserve"> et les sciages </w:t>
      </w:r>
      <w:r>
        <w:t xml:space="preserve">de conifères </w:t>
      </w:r>
      <w:r w:rsidRPr="00D2002C">
        <w:t xml:space="preserve">alors que le bois brut est légèrement excédentaire. Les feuillus représentent les deux tiers du volume sur pied, mais la moitié de la récolte et seulement </w:t>
      </w:r>
      <w:r>
        <w:t>13</w:t>
      </w:r>
      <w:r w:rsidRPr="00D2002C">
        <w:t xml:space="preserve">% </w:t>
      </w:r>
      <w:r>
        <w:t xml:space="preserve">du volume </w:t>
      </w:r>
      <w:r w:rsidRPr="00D2002C">
        <w:t>des sciages</w:t>
      </w:r>
      <w:r>
        <w:t xml:space="preserve"> en 2018</w:t>
      </w:r>
      <w:r w:rsidRPr="00D2002C">
        <w:t xml:space="preserve">, à cause du manque de débouchés de ces essences (meubles en bois massif) et des difficultés économiques des entreprises de première transformation. Les essences résineuses, plus faciles à transformer, et dont l'offre a été normalisée sous l'impulsion d'industries compétitives du Nord de l'Europe, ont des débouchés plus porteurs notamment dans la construction. </w:t>
      </w:r>
    </w:p>
    <w:p w14:paraId="7E86C21E" w14:textId="68BC3E09" w:rsidR="00D15C46" w:rsidRPr="00D2002C" w:rsidRDefault="00D15C46" w:rsidP="00D15C46">
      <w:pPr>
        <w:spacing w:before="240" w:after="240"/>
      </w:pPr>
      <w:r w:rsidRPr="00D2002C">
        <w:t>Les forêts de Guadeloupe, Guyane, Martinique, Mayotte, Réunion et Saint-Pierre et Miquelon représentent 8,</w:t>
      </w:r>
      <w:r>
        <w:t>24</w:t>
      </w:r>
      <w:r w:rsidRPr="00D2002C">
        <w:t xml:space="preserve"> millions d'hectares, soit plus d'un tiers de la forêt française, 97</w:t>
      </w:r>
      <w:r w:rsidR="006518EF">
        <w:t>%</w:t>
      </w:r>
      <w:r w:rsidRPr="00D2002C">
        <w:t xml:space="preserve"> se trouvant en Guyane. Des mangroves des littoraux antillais et mahorais, aux immenses forêts primaires de Guyane en passant par les forêts de la montagne réunionnaise et les forêts boréales de Saint-Pierre-et-Miquelon, les forêts d’outre-mer sont très diverses et présentent une biodiversité exceptionnelle. La France est l’un des seuls pays développés à détenir des forêts tropicales et porte ainsi une responsabilité particulière d’exemplarité de leur protection et gestion durable. </w:t>
      </w:r>
    </w:p>
    <w:p w14:paraId="12D1FA01" w14:textId="77777777" w:rsidR="00D15C46" w:rsidRPr="00D2002C" w:rsidRDefault="00D15C46" w:rsidP="00D15C46">
      <w:pPr>
        <w:spacing w:before="240" w:after="240"/>
      </w:pPr>
      <w:r w:rsidRPr="00D2002C">
        <w:t>L’exploitation forestière demeure de faible ampleur mais permet de maintenir une activité économique par l’approvisionnement de filières locales de transformation à destination du marché domestique principalement (</w:t>
      </w:r>
      <w:r>
        <w:t>un des principaux</w:t>
      </w:r>
      <w:r w:rsidRPr="00D2002C">
        <w:t xml:space="preserve"> secteur</w:t>
      </w:r>
      <w:r>
        <w:t>s</w:t>
      </w:r>
      <w:r w:rsidRPr="00D2002C">
        <w:t xml:space="preserve"> économique</w:t>
      </w:r>
      <w:r>
        <w:t>s</w:t>
      </w:r>
      <w:r w:rsidRPr="00D2002C">
        <w:t xml:space="preserve"> en Guyane). En Guyane, l’Office national des forêts (ONF) aménage durablement cet espace naturel, pour en protéger les ressources, tout en favorisant le développement de la production forestière et de l’éco-tourisme. La demande en bois, notamment pour la construction, est forte dans ce département à forte croissance démographique. Dans les Antilles, à Mayotte et à la Réunion, la gestion des forêts est centrée sur la protection des milieux, la restauration</w:t>
      </w:r>
      <w:r>
        <w:t xml:space="preserve"> de </w:t>
      </w:r>
      <w:r w:rsidRPr="00D2002C">
        <w:t xml:space="preserve">terrains dégradés et l'accueil du public. La récolte de bois reste faible, mais la filière bois constitue une activité économique non négligeable (plusieurs milliers d'emplois). </w:t>
      </w:r>
    </w:p>
    <w:p w14:paraId="365590A2" w14:textId="18A4E013" w:rsidR="00501FA3" w:rsidRPr="00FB2C75" w:rsidRDefault="00D15C46" w:rsidP="00A47B71">
      <w:pPr>
        <w:spacing w:before="240" w:after="240"/>
        <w:rPr>
          <w:highlight w:val="yellow"/>
        </w:rPr>
      </w:pPr>
      <w:r w:rsidRPr="00D2002C">
        <w:t>La forêt publique des DOM est gérée durablement par l’ONF. La forêt privée en outre-mer est très peu gérée, alors qu'elle représente plus de la moitié des forêts des Antilles et 40</w:t>
      </w:r>
      <w:r w:rsidR="006518EF">
        <w:t>%</w:t>
      </w:r>
      <w:r w:rsidRPr="00D2002C">
        <w:t xml:space="preserve"> des forêts de Mayotte. La filière bois repose quasiment exclusivement sur le bois produit par l'ONF ou importé</w:t>
      </w:r>
      <w:r>
        <w:t>.</w:t>
      </w:r>
    </w:p>
    <w:p w14:paraId="0B9A7723" w14:textId="00D5333B" w:rsidR="00501FA3" w:rsidRPr="008E4B09" w:rsidRDefault="00501FA3" w:rsidP="003F57EA">
      <w:pPr>
        <w:pStyle w:val="Titre3Niveau3"/>
      </w:pPr>
      <w:bookmarkStart w:id="145" w:name="_Toc120567453"/>
      <w:bookmarkStart w:id="146" w:name="_Toc138341975"/>
      <w:r w:rsidRPr="008E4B09">
        <w:t>Déchets</w:t>
      </w:r>
      <w:bookmarkEnd w:id="145"/>
      <w:bookmarkEnd w:id="146"/>
    </w:p>
    <w:p w14:paraId="29D81C7D" w14:textId="77777777" w:rsidR="004F5218" w:rsidRDefault="004F5218" w:rsidP="004F5218">
      <w:r>
        <w:t>Entre 2000 et 2014, la dépense de protection de l’environnement a augmenté de 3,5 % en moyenne annuelle, alors que la croissance du produit intérieur brut (PIB) en valeur est de 2,6 % sur cette période, pour atteindre 47,6 milliards d’euros (Md€) en 2014. Le poids de ces dépenses reste modeste : 1,4 % du PIB. La gestion des déchets et l’assainissement des eaux usées continuent à constituer les principaux postes de ce total : respectivement 36 % et  27 % en 2014.</w:t>
      </w:r>
    </w:p>
    <w:p w14:paraId="62C9AF90" w14:textId="77777777" w:rsidR="004F5218" w:rsidRDefault="004F5218" w:rsidP="004F5218"/>
    <w:p w14:paraId="6E612471" w14:textId="77777777" w:rsidR="004F5218" w:rsidRDefault="004F5218" w:rsidP="004F5218">
      <w:r>
        <w:t xml:space="preserve">La mise en décharge des déchets municipaux baisse tendanciellement depuis 2000. Dans le même temps, la part des déchets recyclés passe de 13 % en 2000 à 22 % en 2015. Ceci reflète les effets des politiques de mise en place des flux de métaux, de verre et de papier-carton sur cette période. Le taux de recyclage matière et organique des déchets municipaux atteint désormais quant à lui 40 %.  La France exporte toujours plus de matières premières de recyclage : plus 75 % de 1999 à 2014. </w:t>
      </w:r>
    </w:p>
    <w:p w14:paraId="1FBFE9EE" w14:textId="77777777" w:rsidR="004F5218" w:rsidRDefault="004F5218" w:rsidP="004F5218"/>
    <w:p w14:paraId="207E1213" w14:textId="77777777" w:rsidR="004F5218" w:rsidRPr="00852DBB" w:rsidRDefault="004F5218" w:rsidP="004F5218">
      <w:r w:rsidRPr="00852DBB">
        <w:t>Le graphique ci-dessous illustre ces tendances.</w:t>
      </w:r>
    </w:p>
    <w:p w14:paraId="1F8828BD" w14:textId="400F6024" w:rsidR="004F5218" w:rsidRDefault="004F5218" w:rsidP="004F5218"/>
    <w:p w14:paraId="28E82789" w14:textId="7A287ED4" w:rsidR="00852DBB" w:rsidRDefault="00852DBB" w:rsidP="004F5218"/>
    <w:p w14:paraId="7E968BBD" w14:textId="33126ABE" w:rsidR="00852DBB" w:rsidRPr="00852DBB" w:rsidRDefault="00852DBB" w:rsidP="00852DBB">
      <w:pPr>
        <w:jc w:val="center"/>
      </w:pPr>
      <w:r>
        <w:rPr>
          <w:noProof/>
        </w:rPr>
        <w:drawing>
          <wp:inline distT="0" distB="0" distL="0" distR="0" wp14:anchorId="33D840A9" wp14:editId="3732CDEA">
            <wp:extent cx="2481580" cy="219456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81580" cy="2194560"/>
                    </a:xfrm>
                    <a:prstGeom prst="rect">
                      <a:avLst/>
                    </a:prstGeom>
                    <a:noFill/>
                  </pic:spPr>
                </pic:pic>
              </a:graphicData>
            </a:graphic>
          </wp:inline>
        </w:drawing>
      </w:r>
    </w:p>
    <w:p w14:paraId="458F993A" w14:textId="77777777" w:rsidR="004F5218" w:rsidRPr="00852DBB" w:rsidRDefault="004F5218" w:rsidP="004F5218"/>
    <w:p w14:paraId="30F6133F" w14:textId="24EB5D59" w:rsidR="004F5218" w:rsidRDefault="004F5218" w:rsidP="00852DBB">
      <w:pPr>
        <w:pStyle w:val="Caption"/>
      </w:pPr>
      <w:r w:rsidRPr="00852DBB">
        <w:t xml:space="preserve">Figure 1.19 Devenir des déchets ménagers et assimilés </w:t>
      </w:r>
      <w:r w:rsidR="00852DBB" w:rsidRPr="00852DBB">
        <w:t>par mode</w:t>
      </w:r>
      <w:r w:rsidRPr="00852DBB">
        <w:t xml:space="preserve"> de traitement entre 2000 et 2015 Source ADEME-SDES</w:t>
      </w:r>
    </w:p>
    <w:p w14:paraId="6B4D352C" w14:textId="77777777" w:rsidR="004F5218" w:rsidRDefault="004F5218" w:rsidP="004F5218"/>
    <w:p w14:paraId="0BFDB84C" w14:textId="77777777" w:rsidR="004F5218" w:rsidRDefault="004F5218" w:rsidP="004F5218">
      <w:r>
        <w:t xml:space="preserve">Près de 324 millions de tonnes de déchets sont produits en France en 2014, dont 71 % issus du secteur de la construction et 9 % des ménages. Les déchets municipaux collectés en 2015 (hors déblais et gravats) représentent 34,2 millions de tonnes, dont la moitié par le biais de la collecte sélective. </w:t>
      </w:r>
    </w:p>
    <w:p w14:paraId="1F93F0E3" w14:textId="77777777" w:rsidR="004F5218" w:rsidRDefault="004F5218" w:rsidP="004F5218"/>
    <w:p w14:paraId="31DAA8FD" w14:textId="271FC1A6" w:rsidR="00015530" w:rsidRPr="00015530" w:rsidRDefault="004F5218" w:rsidP="004F5218">
      <w:r>
        <w:t>La sobriété de l’utilisation des ressources est un des quatre enjeux de la stratégie nationale de transition écologique vers un développement durable 2015-2020 (SNTEDD) qui a été adoptée en 2015. Pour y répondre, elle invite à s’engager dans l’économie circulaire et sobre en carbone en mettant en place une politique industrielle plus économe en ressource, en limitant la production de déchets et en les recyclant, en s’appuyant davantage sur les énergies renouvelables et en préservant quantitativement et qualitativement les masses d’eau continentales.</w:t>
      </w:r>
    </w:p>
    <w:p w14:paraId="76233584" w14:textId="545AAA51" w:rsidR="006D5177" w:rsidRDefault="006D5177">
      <w:pPr>
        <w:spacing w:line="240" w:lineRule="atLeast"/>
        <w:jc w:val="left"/>
        <w:rPr>
          <w:rFonts w:eastAsiaTheme="majorEastAsia" w:cstheme="majorBidi"/>
          <w:bCs/>
          <w:spacing w:val="-10"/>
          <w:kern w:val="28"/>
          <w:sz w:val="48"/>
          <w:szCs w:val="56"/>
        </w:rPr>
      </w:pPr>
    </w:p>
    <w:p w14:paraId="0204D4EE" w14:textId="77777777" w:rsidR="00485BE5" w:rsidRDefault="00485BE5">
      <w:pPr>
        <w:spacing w:before="0" w:after="0" w:line="240" w:lineRule="atLeast"/>
        <w:jc w:val="left"/>
        <w:rPr>
          <w:rFonts w:eastAsiaTheme="majorEastAsia" w:cstheme="majorBidi"/>
          <w:bCs/>
          <w:spacing w:val="-10"/>
          <w:kern w:val="28"/>
          <w:sz w:val="48"/>
          <w:szCs w:val="56"/>
        </w:rPr>
      </w:pPr>
      <w:bookmarkStart w:id="147" w:name="ChapitreIII"/>
      <w:r>
        <w:br w:type="page"/>
      </w:r>
    </w:p>
    <w:p w14:paraId="6CC3EDFF" w14:textId="498B59E7" w:rsidR="0051771F" w:rsidRDefault="0051771F" w:rsidP="0062059A">
      <w:pPr>
        <w:pStyle w:val="Titre1Niveau1"/>
        <w:ind w:left="0" w:right="27"/>
      </w:pPr>
      <w:bookmarkStart w:id="148" w:name="_Toc138341976"/>
      <w:r w:rsidRPr="005D5AA6">
        <w:t>Chapitre I</w:t>
      </w:r>
      <w:r>
        <w:t>II</w:t>
      </w:r>
      <w:r w:rsidR="00C654BE">
        <w:t xml:space="preserve"> – </w:t>
      </w:r>
      <w:r>
        <w:t>Informations</w:t>
      </w:r>
      <w:r w:rsidR="00C654BE">
        <w:t xml:space="preserve"> </w:t>
      </w:r>
      <w:r>
        <w:t>relatives à l’inventaire de gaz à effet de serre</w:t>
      </w:r>
      <w:bookmarkEnd w:id="148"/>
    </w:p>
    <w:p w14:paraId="6AE62487" w14:textId="77777777" w:rsidR="00977B34" w:rsidRDefault="00977B34" w:rsidP="00E524AF">
      <w:pPr>
        <w:pStyle w:val="Titre2Niveau2"/>
        <w:numPr>
          <w:ilvl w:val="0"/>
          <w:numId w:val="98"/>
        </w:numPr>
      </w:pPr>
      <w:bookmarkStart w:id="149" w:name="_Toc120568033"/>
      <w:bookmarkStart w:id="150" w:name="_Toc138341977"/>
      <w:bookmarkEnd w:id="147"/>
      <w:r>
        <w:t>Tableaux récapitulatifs</w:t>
      </w:r>
      <w:bookmarkEnd w:id="149"/>
      <w:bookmarkEnd w:id="150"/>
    </w:p>
    <w:p w14:paraId="1A142CEE" w14:textId="77777777" w:rsidR="00977B34" w:rsidRDefault="00977B34" w:rsidP="00977B34">
      <w:r>
        <w:t>Dans le cadre de ses obligations sous la Convention Cadre des Nations Unies sur les Changements Climatiques (CCNUCC), la France est amenée à soumettre des inventaires de gaz à effet de serre sur deux périmètres géographiques différents :</w:t>
      </w:r>
    </w:p>
    <w:p w14:paraId="130C70DE" w14:textId="0AC92934" w:rsidR="00977B34" w:rsidRDefault="00977B34" w:rsidP="00BE086C">
      <w:pPr>
        <w:pStyle w:val="ListParagraph"/>
        <w:numPr>
          <w:ilvl w:val="0"/>
          <w:numId w:val="21"/>
        </w:numPr>
        <w:jc w:val="left"/>
      </w:pPr>
      <w:r>
        <w:t>Le périmètre dit « Kyoto » qui comprend l’ensemble des territoires français qui sont également considérés comme des territoires de l’Union Européenne. Il s’agit outre de la métr</w:t>
      </w:r>
      <w:r w:rsidR="00306681">
        <w:t>opole (dont la Corse), des sept</w:t>
      </w:r>
      <w:r>
        <w:t xml:space="preserve"> Régions Ultra-périphérique</w:t>
      </w:r>
      <w:r w:rsidR="00306681">
        <w:t>s</w:t>
      </w:r>
      <w:r>
        <w:t xml:space="preserve"> (RUP) françaises : </w:t>
      </w:r>
      <w:r w:rsidRPr="00B52CA8">
        <w:t>la Guyane, la Guadeloupe, Saint-</w:t>
      </w:r>
      <w:r>
        <w:t>Martin (depuis 2012)</w:t>
      </w:r>
      <w:r w:rsidRPr="00B52CA8">
        <w:t>, la Martinique, La Réunion</w:t>
      </w:r>
      <w:r>
        <w:t xml:space="preserve"> et</w:t>
      </w:r>
      <w:r w:rsidRPr="00B52CA8">
        <w:t xml:space="preserve"> Mayotte</w:t>
      </w:r>
      <w:r>
        <w:t xml:space="preserve"> (depuis 2014). Ce sont les territoires concernés par la mise en œuvre du protocole de Kyoto.</w:t>
      </w:r>
    </w:p>
    <w:p w14:paraId="5F52B649" w14:textId="77777777" w:rsidR="00977B34" w:rsidRDefault="00977B34" w:rsidP="00BE086C">
      <w:pPr>
        <w:pStyle w:val="ListParagraph"/>
        <w:numPr>
          <w:ilvl w:val="0"/>
          <w:numId w:val="21"/>
        </w:numPr>
        <w:jc w:val="left"/>
      </w:pPr>
      <w:r>
        <w:t xml:space="preserve">Le périmètre dit « Convention » qui englobe l’ensemble du territoire français : au périmètre « Kyoto » viennent s’ajouter les pays et territoires d’outre-mer (PTOM) : </w:t>
      </w:r>
      <w:r w:rsidRPr="00B52CA8">
        <w:t>la Nouvelle Calédonie, la Polynésie française, Wallis et Futuna, Saint-Barthélemy et Saint-Pierre-et-Miquelon</w:t>
      </w:r>
      <w:r>
        <w:t>.</w:t>
      </w:r>
    </w:p>
    <w:p w14:paraId="0327ECDC" w14:textId="77777777" w:rsidR="00977B34" w:rsidRDefault="00977B34" w:rsidP="00977B34"/>
    <w:p w14:paraId="2DB65B56" w14:textId="77777777" w:rsidR="00977B34" w:rsidRDefault="00977B34" w:rsidP="00977B34">
      <w:r>
        <w:t>Afin d’assurer la meilleure cohérence possible avec les données présentées par l’Union Européenne en tant que Partie, le périmètre « Kyoto » est privilégié dans la suite. Les chiffres présentés sont ceux soumis au secrétariat de la CCNUCC au 15 avril 2022 courant la période 1990-2020. Suite à la revue de cet inventaire par l’équipe d’experts, les chiffres pourront être amenés à évoluer pour incorporer d’éventuelles corrections.</w:t>
      </w:r>
    </w:p>
    <w:p w14:paraId="47DABA8D" w14:textId="77777777" w:rsidR="00977B34" w:rsidRDefault="00977B34" w:rsidP="00977B34"/>
    <w:p w14:paraId="2D338891" w14:textId="7F64510F" w:rsidR="00977B34" w:rsidRDefault="00977B34" w:rsidP="00977B34">
      <w:r>
        <w:t>En 2020, les émissions françaises de gaz à effet de serre au périmètre « Kyoto » sont estimées à 392,9 Mt</w:t>
      </w:r>
      <w:r w:rsidR="007F09F7">
        <w:t>CO</w:t>
      </w:r>
      <w:r w:rsidR="007F09F7" w:rsidRPr="007F09F7">
        <w:rPr>
          <w:vertAlign w:val="subscript"/>
        </w:rPr>
        <w:t>2</w:t>
      </w:r>
      <w:r w:rsidR="004F1EC8" w:rsidRPr="004F1EC8">
        <w:rPr>
          <w:vertAlign w:val="subscript"/>
        </w:rPr>
        <w:t>e</w:t>
      </w:r>
      <w:r>
        <w:t xml:space="preserve"> hors secteur des terres (378,9 Mt</w:t>
      </w:r>
      <w:r w:rsidR="007F09F7">
        <w:t>CO</w:t>
      </w:r>
      <w:r w:rsidR="007F09F7" w:rsidRPr="007F09F7">
        <w:rPr>
          <w:vertAlign w:val="subscript"/>
        </w:rPr>
        <w:t>2</w:t>
      </w:r>
      <w:r w:rsidR="004F1EC8" w:rsidRPr="004F1EC8">
        <w:rPr>
          <w:vertAlign w:val="subscript"/>
        </w:rPr>
        <w:t>e</w:t>
      </w:r>
      <w:r>
        <w:t xml:space="preserve"> avec). </w:t>
      </w:r>
      <w:r w:rsidRPr="00347D7C">
        <w:t xml:space="preserve">Après une relative stabilité des émissions dans les années 1990, on observe une forte décroissance à partir de 2005. </w:t>
      </w:r>
      <w:r>
        <w:t>Les émissions ont de nouveau augmenté entre 2014 et 2018: l</w:t>
      </w:r>
      <w:r w:rsidRPr="00347D7C">
        <w:t>es causes en sont, outre un indice de rigueur climatique plus élevé, le faible prix des carburants et l’indisponibilité de certaines centrales nucléaires suite à des travaux de maintenance. Cette indisponibilité a conduit à un recours accru à des combustibles d’origine fossile (pétrole, gaz, charbon).</w:t>
      </w:r>
      <w:r>
        <w:t xml:space="preserve"> A partir de 2018 les émissions ont recommencé à décroître.</w:t>
      </w:r>
      <w:r w:rsidR="008E6688">
        <w:t xml:space="preserve"> Les émissions ont connu une baisse spectaculaire (-9,5% hors secteur des terres) au cours de l’année 2020. Au-delà des effets des politiques mises en place en France, cette évolution est à relier aux mesures de confinement mises en place pour lutter contre la crise sanitaire de Covid-19 : les confinements successifs et le développement du télétravail ont eu un effet majeur sur la production du pays (-13,6% pour les émissions de l’industrie) et sur les déplacements (-16,8% pour les émissions du transport hors aérien international).</w:t>
      </w:r>
    </w:p>
    <w:p w14:paraId="286F6C1B" w14:textId="77777777" w:rsidR="008E6688" w:rsidRDefault="008E6688" w:rsidP="00977B34"/>
    <w:p w14:paraId="2D0AF83F" w14:textId="77777777" w:rsidR="00977B34" w:rsidRDefault="00977B34" w:rsidP="00977B34">
      <w:pPr>
        <w:jc w:val="center"/>
      </w:pPr>
      <w:r>
        <w:rPr>
          <w:noProof/>
        </w:rPr>
        <w:drawing>
          <wp:inline distT="0" distB="0" distL="0" distR="0" wp14:anchorId="5A16F0AB" wp14:editId="3D1BC11D">
            <wp:extent cx="4791456" cy="2193798"/>
            <wp:effectExtent l="0" t="0" r="9525" b="1651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CE8C386" w14:textId="1ABBD06F" w:rsidR="00C469A8" w:rsidRDefault="00C469A8" w:rsidP="0045532B">
      <w:pPr>
        <w:pStyle w:val="Caption"/>
      </w:pPr>
      <w:bookmarkStart w:id="151" w:name="_Toc123916440"/>
      <w:r>
        <w:t xml:space="preserve">Figure </w:t>
      </w:r>
      <w:fldSimple w:instr=" SEQ Figure \* ARABIC ">
        <w:r w:rsidR="00AB51D9">
          <w:rPr>
            <w:noProof/>
          </w:rPr>
          <w:t>29</w:t>
        </w:r>
      </w:fldSimple>
      <w:r>
        <w:t xml:space="preserve"> : </w:t>
      </w:r>
      <w:r w:rsidR="00977B34" w:rsidRPr="004811D4">
        <w:t>Évolution du total des émissions de GES entre 1990 et 20</w:t>
      </w:r>
      <w:r w:rsidR="00977B34">
        <w:t>20</w:t>
      </w:r>
      <w:r w:rsidR="00977B34" w:rsidRPr="004811D4">
        <w:t xml:space="preserve"> de la France en mill</w:t>
      </w:r>
      <w:r>
        <w:t xml:space="preserve">ions de tonnes équivalent </w:t>
      </w:r>
      <w:r w:rsidR="007F09F7">
        <w:t>CO</w:t>
      </w:r>
      <w:r w:rsidR="007F09F7" w:rsidRPr="007F09F7">
        <w:rPr>
          <w:vertAlign w:val="subscript"/>
        </w:rPr>
        <w:t>2</w:t>
      </w:r>
      <w:bookmarkEnd w:id="151"/>
    </w:p>
    <w:p w14:paraId="18E24D00" w14:textId="2E339BB2" w:rsidR="00977B34" w:rsidRDefault="00977B34" w:rsidP="0045532B">
      <w:pPr>
        <w:pStyle w:val="Caption"/>
      </w:pPr>
      <w:r w:rsidRPr="004811D4">
        <w:t xml:space="preserve">Source : inventaire </w:t>
      </w:r>
      <w:r>
        <w:t xml:space="preserve">Citepa/MTE, soumission </w:t>
      </w:r>
      <w:r w:rsidRPr="004811D4">
        <w:t>CCNUCC</w:t>
      </w:r>
      <w:r>
        <w:t xml:space="preserve"> avril 2022</w:t>
      </w:r>
      <w:r w:rsidRPr="004811D4">
        <w:t>, périmètre Kyoto</w:t>
      </w:r>
      <w:r>
        <w:t>.</w:t>
      </w:r>
    </w:p>
    <w:p w14:paraId="3CB0B0BF" w14:textId="77777777" w:rsidR="00977B34" w:rsidRDefault="00977B34" w:rsidP="00977B34"/>
    <w:p w14:paraId="61796E9E" w14:textId="0DA9793F" w:rsidR="00977B34" w:rsidRDefault="00977B34" w:rsidP="00977B34">
      <w:r>
        <w:t>La consommation d’énergie (CRF1.A) est la principale source d’émissions de gaz à effet de serre en France avec 66,5% des émissions pour 2020 (261,5 Mt</w:t>
      </w:r>
      <w:r w:rsidR="007F09F7">
        <w:t>CO</w:t>
      </w:r>
      <w:r w:rsidR="007F09F7" w:rsidRPr="007F09F7">
        <w:rPr>
          <w:vertAlign w:val="subscript"/>
        </w:rPr>
        <w:t>2</w:t>
      </w:r>
      <w:r w:rsidR="004F1EC8" w:rsidRPr="004F1EC8">
        <w:rPr>
          <w:vertAlign w:val="subscript"/>
        </w:rPr>
        <w:t>e</w:t>
      </w:r>
      <w:r>
        <w:t>). Pour les émissions dues à la combustion d’énergie, le secteur des transports est le plus émetteur (41,8% du total national), suivi par la consommation des bâtiments résidentiel/tertiaire et agricole (27,2%), l’industrie manufacturière et la construction (16,1%) et les industries de l’énergie (14,2%).</w:t>
      </w:r>
    </w:p>
    <w:p w14:paraId="0A959E6F" w14:textId="77777777" w:rsidR="00977B34" w:rsidRDefault="00977B34" w:rsidP="00977B34"/>
    <w:p w14:paraId="28EBC58B" w14:textId="254195E8" w:rsidR="00977B34" w:rsidRDefault="00977B34" w:rsidP="00977B34">
      <w:r>
        <w:t>Entre 1990 et 2020, les émissions de gaz à effet de serre de la France (périmètre du protocole de Kyoto) hors UTCATF ont diminué de 27,8</w:t>
      </w:r>
      <w:r w:rsidR="006518EF">
        <w:t>%</w:t>
      </w:r>
      <w:r>
        <w:t xml:space="preserve"> par rapport à 1990, alors que dans le même temps la population a augmenté de 16,2%. Sur le périmètre « Kyoto » les émissions par habitants sont donc passées de 9,4 t</w:t>
      </w:r>
      <w:r w:rsidR="007F09F7">
        <w:t>CO</w:t>
      </w:r>
      <w:r w:rsidR="007F09F7" w:rsidRPr="007F09F7">
        <w:rPr>
          <w:vertAlign w:val="subscript"/>
        </w:rPr>
        <w:t>2</w:t>
      </w:r>
      <w:r w:rsidR="004F1EC8" w:rsidRPr="004F1EC8">
        <w:rPr>
          <w:vertAlign w:val="subscript"/>
        </w:rPr>
        <w:t>e</w:t>
      </w:r>
      <w:r>
        <w:t xml:space="preserve"> à 5,93 t</w:t>
      </w:r>
      <w:r w:rsidR="007F09F7">
        <w:t>CO</w:t>
      </w:r>
      <w:r w:rsidR="007F09F7" w:rsidRPr="007F09F7">
        <w:rPr>
          <w:vertAlign w:val="subscript"/>
        </w:rPr>
        <w:t>2</w:t>
      </w:r>
      <w:r w:rsidR="004F1EC8" w:rsidRPr="004F1EC8">
        <w:rPr>
          <w:vertAlign w:val="subscript"/>
        </w:rPr>
        <w:t>e</w:t>
      </w:r>
      <w:r>
        <w:t>, soit une baisse de 37%.</w:t>
      </w:r>
    </w:p>
    <w:p w14:paraId="78062854" w14:textId="77777777" w:rsidR="00977B34" w:rsidRDefault="00977B34" w:rsidP="00977B34">
      <w:r>
        <w:t>Sur cette même période, l’intensité des émissions par unité de PIB a diminué de près de 50%.</w:t>
      </w:r>
    </w:p>
    <w:p w14:paraId="1F461F9F" w14:textId="77777777" w:rsidR="00977B34" w:rsidRDefault="00977B34" w:rsidP="00977B34"/>
    <w:p w14:paraId="6037C909" w14:textId="77777777" w:rsidR="00977B34" w:rsidRDefault="00977B34" w:rsidP="00261D3D">
      <w:pPr>
        <w:jc w:val="center"/>
      </w:pPr>
      <w:r w:rsidRPr="004F7142">
        <w:rPr>
          <w:noProof/>
        </w:rPr>
        <w:drawing>
          <wp:inline distT="0" distB="0" distL="0" distR="0" wp14:anchorId="6CCC4C13" wp14:editId="2C68DCCA">
            <wp:extent cx="5831129" cy="969645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5361" cy="9703488"/>
                    </a:xfrm>
                    <a:prstGeom prst="rect">
                      <a:avLst/>
                    </a:prstGeom>
                    <a:noFill/>
                    <a:ln>
                      <a:noFill/>
                    </a:ln>
                  </pic:spPr>
                </pic:pic>
              </a:graphicData>
            </a:graphic>
          </wp:inline>
        </w:drawing>
      </w:r>
    </w:p>
    <w:p w14:paraId="163BB117" w14:textId="1CBD9A84" w:rsidR="00C469A8" w:rsidRDefault="00C469A8" w:rsidP="0045532B">
      <w:pPr>
        <w:pStyle w:val="Caption"/>
      </w:pPr>
      <w:bookmarkStart w:id="152" w:name="_Toc123916498"/>
      <w:r>
        <w:t xml:space="preserve">Tableau </w:t>
      </w:r>
      <w:fldSimple w:instr=" SEQ Tableau \* ARABIC ">
        <w:r w:rsidR="00AB51D9">
          <w:rPr>
            <w:noProof/>
          </w:rPr>
          <w:t>6</w:t>
        </w:r>
      </w:fldSimple>
      <w:r>
        <w:t xml:space="preserve"> : </w:t>
      </w:r>
      <w:r w:rsidR="00977B34">
        <w:t xml:space="preserve">Émissions hors UTCATF en millions de tonnes équivalent </w:t>
      </w:r>
      <w:r w:rsidR="007F09F7">
        <w:t>CO</w:t>
      </w:r>
      <w:r w:rsidR="007F09F7" w:rsidRPr="007F09F7">
        <w:rPr>
          <w:vertAlign w:val="subscript"/>
        </w:rPr>
        <w:t>2</w:t>
      </w:r>
      <w:r w:rsidR="00977B34">
        <w:t xml:space="preserve"> pour l’année 1990</w:t>
      </w:r>
      <w:bookmarkEnd w:id="152"/>
    </w:p>
    <w:p w14:paraId="420DC185" w14:textId="2D7A17C1" w:rsidR="00977B34" w:rsidRDefault="00977B34" w:rsidP="0045532B">
      <w:pPr>
        <w:pStyle w:val="Caption"/>
      </w:pPr>
      <w:r>
        <w:t>Source : inventaire CCNUCC avril 2022, au périmètre Kyoto</w:t>
      </w:r>
    </w:p>
    <w:p w14:paraId="3FEE1663" w14:textId="77777777" w:rsidR="007A01D7" w:rsidRPr="00905D7C" w:rsidRDefault="007A01D7" w:rsidP="00261D3D"/>
    <w:p w14:paraId="24C5D38D" w14:textId="51C54318" w:rsidR="00977B34" w:rsidRDefault="007A01D7">
      <w:pPr>
        <w:rPr>
          <w:lang w:val="en-GB"/>
        </w:rPr>
      </w:pPr>
      <w:r>
        <w:rPr>
          <w:noProof/>
        </w:rPr>
        <w:drawing>
          <wp:inline distT="0" distB="0" distL="0" distR="0" wp14:anchorId="755926BC" wp14:editId="7CD088A4">
            <wp:extent cx="6318250" cy="8243570"/>
            <wp:effectExtent l="0" t="0" r="6350" b="5080"/>
            <wp:docPr id="287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18250" cy="8243570"/>
                    </a:xfrm>
                    <a:prstGeom prst="rect">
                      <a:avLst/>
                    </a:prstGeom>
                    <a:noFill/>
                  </pic:spPr>
                </pic:pic>
              </a:graphicData>
            </a:graphic>
          </wp:inline>
        </w:drawing>
      </w:r>
    </w:p>
    <w:p w14:paraId="161873C7" w14:textId="1AA4A229" w:rsidR="00C469A8" w:rsidRDefault="00C469A8" w:rsidP="0045532B">
      <w:pPr>
        <w:pStyle w:val="Caption"/>
      </w:pPr>
      <w:bookmarkStart w:id="153" w:name="_Toc123916499"/>
      <w:r>
        <w:t xml:space="preserve">Tableau </w:t>
      </w:r>
      <w:fldSimple w:instr=" SEQ Tableau \* ARABIC ">
        <w:r w:rsidR="00AB51D9">
          <w:rPr>
            <w:noProof/>
          </w:rPr>
          <w:t>7</w:t>
        </w:r>
      </w:fldSimple>
      <w:r>
        <w:t xml:space="preserve"> : </w:t>
      </w:r>
      <w:r w:rsidR="004A6A59">
        <w:t>E</w:t>
      </w:r>
      <w:r w:rsidR="00977B34">
        <w:t xml:space="preserve">missions hors UTCATF en millions de tonnes équivalent </w:t>
      </w:r>
      <w:r w:rsidR="007F09F7">
        <w:t>CO</w:t>
      </w:r>
      <w:r w:rsidR="007F09F7" w:rsidRPr="007F09F7">
        <w:rPr>
          <w:vertAlign w:val="subscript"/>
        </w:rPr>
        <w:t>2</w:t>
      </w:r>
      <w:r w:rsidR="00977B34">
        <w:t xml:space="preserve"> pour l’année 2020</w:t>
      </w:r>
      <w:bookmarkEnd w:id="153"/>
    </w:p>
    <w:p w14:paraId="5598CCF9" w14:textId="2A93D30D" w:rsidR="00977B34" w:rsidRDefault="00977B34" w:rsidP="0045532B">
      <w:pPr>
        <w:pStyle w:val="Caption"/>
      </w:pPr>
      <w:r>
        <w:t>Source : inventaire Citepa/MTE, soumission CCNUCC avril 2022, au périmètre Kyoto.</w:t>
      </w:r>
    </w:p>
    <w:p w14:paraId="041455BF" w14:textId="14F7E70D" w:rsidR="00EF7526" w:rsidRDefault="00EF7526" w:rsidP="00261D3D"/>
    <w:p w14:paraId="056798D8" w14:textId="7A001BBB" w:rsidR="00EF7526" w:rsidRPr="00905D7C" w:rsidRDefault="00EF7526" w:rsidP="00261D3D">
      <w:r>
        <w:t>Les émissions détaillées des tables précédentes pour les années 1990 à 2020 au périmètre Kyoto (</w:t>
      </w:r>
      <w:r w:rsidR="009237CE">
        <w:t>de l’inventaire 2022)</w:t>
      </w:r>
      <w:r w:rsidRPr="00364545">
        <w:t xml:space="preserve"> </w:t>
      </w:r>
      <w:r w:rsidR="009237CE">
        <w:t>sont disponibles dans l’annexe II.</w:t>
      </w:r>
    </w:p>
    <w:p w14:paraId="61FC55BB" w14:textId="0AF44DDA" w:rsidR="00977B34" w:rsidRDefault="00977B34" w:rsidP="00BE086C">
      <w:pPr>
        <w:pStyle w:val="Titre2Niveau2"/>
      </w:pPr>
      <w:bookmarkStart w:id="154" w:name="_Toc120568034"/>
      <w:bookmarkStart w:id="155" w:name="_Toc138341978"/>
      <w:r>
        <w:t xml:space="preserve">Résumé </w:t>
      </w:r>
      <w:r w:rsidRPr="002A1355">
        <w:t>descriptif</w:t>
      </w:r>
      <w:r>
        <w:t xml:space="preserve"> de l’inventaire d’émissions de gaz à effet de serre de la France</w:t>
      </w:r>
      <w:bookmarkEnd w:id="154"/>
      <w:bookmarkEnd w:id="155"/>
    </w:p>
    <w:p w14:paraId="2871C8A4" w14:textId="6DCCF264" w:rsidR="00977B34" w:rsidRDefault="00977B34" w:rsidP="00977B34">
      <w:r>
        <w:t xml:space="preserve">En 2020 le </w:t>
      </w:r>
      <w:r w:rsidR="007F09F7">
        <w:t>CO</w:t>
      </w:r>
      <w:r w:rsidR="007F09F7" w:rsidRPr="007F09F7">
        <w:rPr>
          <w:vertAlign w:val="subscript"/>
        </w:rPr>
        <w:t>2</w:t>
      </w:r>
      <w:r>
        <w:t xml:space="preserve"> pesait pour 73,6% des émissions totales hors UTCATF soit 289,4 Mt</w:t>
      </w:r>
      <w:r w:rsidR="007F09F7">
        <w:t>CO</w:t>
      </w:r>
      <w:r w:rsidR="007F09F7" w:rsidRPr="007F09F7">
        <w:rPr>
          <w:vertAlign w:val="subscript"/>
        </w:rPr>
        <w:t>2</w:t>
      </w:r>
      <w:r w:rsidR="004F1EC8" w:rsidRPr="004F1EC8">
        <w:rPr>
          <w:vertAlign w:val="subscript"/>
        </w:rPr>
        <w:t>e</w:t>
      </w:r>
      <w:r>
        <w:t xml:space="preserve"> ; les </w:t>
      </w:r>
      <w:r w:rsidR="007F09F7" w:rsidRPr="00141043">
        <w:t>CH</w:t>
      </w:r>
      <w:r w:rsidR="007F09F7" w:rsidRPr="004F1EC8">
        <w:rPr>
          <w:vertAlign w:val="subscript"/>
        </w:rPr>
        <w:t>4</w:t>
      </w:r>
      <w:r w:rsidR="00260E0B">
        <w:t xml:space="preserve"> </w:t>
      </w:r>
      <w:r>
        <w:t>pour 13,9% (54,6 Mt</w:t>
      </w:r>
      <w:r w:rsidR="007F09F7">
        <w:t>CO</w:t>
      </w:r>
      <w:r w:rsidR="007F09F7" w:rsidRPr="007F09F7">
        <w:rPr>
          <w:vertAlign w:val="subscript"/>
        </w:rPr>
        <w:t>2</w:t>
      </w:r>
      <w:r w:rsidR="004F1EC8" w:rsidRPr="004F1EC8">
        <w:rPr>
          <w:vertAlign w:val="subscript"/>
        </w:rPr>
        <w:t>e</w:t>
      </w:r>
      <w:r>
        <w:t xml:space="preserve">) ; le </w:t>
      </w:r>
      <w:r w:rsidR="00F80CAB" w:rsidRPr="00141043">
        <w:t>N</w:t>
      </w:r>
      <w:r w:rsidR="00F80CAB" w:rsidRPr="004F1EC8">
        <w:rPr>
          <w:vertAlign w:val="subscript"/>
        </w:rPr>
        <w:t>2</w:t>
      </w:r>
      <w:r w:rsidR="00F80CAB" w:rsidRPr="00141043">
        <w:t>O</w:t>
      </w:r>
      <w:r w:rsidR="00260E0B">
        <w:t xml:space="preserve"> </w:t>
      </w:r>
      <w:r>
        <w:t>pour 9,2% (36,3 Mt</w:t>
      </w:r>
      <w:r w:rsidR="007F09F7">
        <w:t>CO</w:t>
      </w:r>
      <w:r w:rsidR="007F09F7" w:rsidRPr="007F09F7">
        <w:rPr>
          <w:vertAlign w:val="subscript"/>
        </w:rPr>
        <w:t>2</w:t>
      </w:r>
      <w:r w:rsidR="004F1EC8" w:rsidRPr="004F1EC8">
        <w:rPr>
          <w:vertAlign w:val="subscript"/>
        </w:rPr>
        <w:t>e</w:t>
      </w:r>
      <w:r>
        <w:t>) ; et les émissions de HFC/PFCs pour 3,12% (12,3 Mt</w:t>
      </w:r>
      <w:r w:rsidR="007F09F7">
        <w:t>CO</w:t>
      </w:r>
      <w:r w:rsidR="007F09F7" w:rsidRPr="007F09F7">
        <w:rPr>
          <w:vertAlign w:val="subscript"/>
        </w:rPr>
        <w:t>2</w:t>
      </w:r>
      <w:r w:rsidR="004F1EC8" w:rsidRPr="004F1EC8">
        <w:rPr>
          <w:vertAlign w:val="subscript"/>
        </w:rPr>
        <w:t>e</w:t>
      </w:r>
      <w:r>
        <w:t>).</w:t>
      </w:r>
    </w:p>
    <w:p w14:paraId="302B1006" w14:textId="77777777" w:rsidR="00977B34" w:rsidRDefault="00977B34" w:rsidP="00977B34"/>
    <w:p w14:paraId="7F1284DA" w14:textId="77777777" w:rsidR="00977B34" w:rsidRDefault="00977B34" w:rsidP="00977B34">
      <w:r>
        <w:rPr>
          <w:noProof/>
        </w:rPr>
        <w:drawing>
          <wp:inline distT="0" distB="0" distL="0" distR="0" wp14:anchorId="7BFB6B7C" wp14:editId="77577B70">
            <wp:extent cx="6318250" cy="4053840"/>
            <wp:effectExtent l="0" t="0" r="6350" b="381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D429793" w14:textId="71AD1C09" w:rsidR="00C469A8" w:rsidRDefault="00C469A8" w:rsidP="0045532B">
      <w:pPr>
        <w:pStyle w:val="Caption"/>
        <w:rPr>
          <w:vertAlign w:val="subscript"/>
        </w:rPr>
      </w:pPr>
      <w:bookmarkStart w:id="156" w:name="_Toc123916441"/>
      <w:r>
        <w:t xml:space="preserve">Figure </w:t>
      </w:r>
      <w:fldSimple w:instr=" SEQ Figure \* ARABIC ">
        <w:r w:rsidR="00AB51D9">
          <w:rPr>
            <w:noProof/>
          </w:rPr>
          <w:t>30</w:t>
        </w:r>
      </w:fldSimple>
      <w:r>
        <w:t xml:space="preserve"> : </w:t>
      </w:r>
      <w:r w:rsidR="00977B34">
        <w:t xml:space="preserve">Émissions de </w:t>
      </w:r>
      <w:r w:rsidR="007F09F7">
        <w:t>CO</w:t>
      </w:r>
      <w:r w:rsidR="007F09F7" w:rsidRPr="007F09F7">
        <w:rPr>
          <w:vertAlign w:val="subscript"/>
        </w:rPr>
        <w:t>2</w:t>
      </w:r>
      <w:r w:rsidR="00977B34">
        <w:t xml:space="preserve">, </w:t>
      </w:r>
      <w:r w:rsidR="007F09F7" w:rsidRPr="00141043">
        <w:t>CH</w:t>
      </w:r>
      <w:r w:rsidR="007F09F7" w:rsidRPr="004F1EC8">
        <w:rPr>
          <w:vertAlign w:val="subscript"/>
        </w:rPr>
        <w:t>4</w:t>
      </w:r>
      <w:r w:rsidR="007F09F7" w:rsidRPr="00141043">
        <w:t xml:space="preserve"> </w:t>
      </w:r>
      <w:r w:rsidR="00977B34">
        <w:t xml:space="preserve">, </w:t>
      </w:r>
      <w:r w:rsidR="00F80CAB" w:rsidRPr="00141043">
        <w:t>N</w:t>
      </w:r>
      <w:r w:rsidR="00F80CAB" w:rsidRPr="004F1EC8">
        <w:rPr>
          <w:vertAlign w:val="subscript"/>
        </w:rPr>
        <w:t>2</w:t>
      </w:r>
      <w:r w:rsidR="00F80CAB" w:rsidRPr="00141043">
        <w:t>O</w:t>
      </w:r>
      <w:r w:rsidR="00F80CAB">
        <w:t xml:space="preserve"> </w:t>
      </w:r>
      <w:r w:rsidR="00977B34">
        <w:t xml:space="preserve">, HFCs et PFCs depuis 1990 en millions de tonnes équivalent </w:t>
      </w:r>
      <w:r w:rsidR="007F09F7">
        <w:t>CO</w:t>
      </w:r>
      <w:r w:rsidR="007F09F7" w:rsidRPr="007F09F7">
        <w:rPr>
          <w:vertAlign w:val="subscript"/>
        </w:rPr>
        <w:t>2</w:t>
      </w:r>
      <w:bookmarkEnd w:id="156"/>
    </w:p>
    <w:p w14:paraId="2D7AB02B" w14:textId="18764BB2" w:rsidR="00977B34" w:rsidRDefault="00977B34" w:rsidP="0045532B">
      <w:pPr>
        <w:pStyle w:val="Caption"/>
      </w:pPr>
      <w:r>
        <w:t>Source : inventaire Citepa/MTE, soumission CCNUCC avril 2022, au périmètre Kyoto.</w:t>
      </w:r>
    </w:p>
    <w:p w14:paraId="56C5255B" w14:textId="77777777" w:rsidR="00977B34" w:rsidRDefault="00977B34" w:rsidP="00977B34"/>
    <w:p w14:paraId="6436F5B0" w14:textId="135474C6" w:rsidR="00977B34" w:rsidRDefault="00977B34" w:rsidP="00977B34">
      <w:r>
        <w:t xml:space="preserve">Entre 1990 et 2020 les émissions de </w:t>
      </w:r>
      <w:r w:rsidR="007F09F7">
        <w:t>CO</w:t>
      </w:r>
      <w:r w:rsidR="007F09F7" w:rsidRPr="007F09F7">
        <w:rPr>
          <w:vertAlign w:val="subscript"/>
        </w:rPr>
        <w:t>2</w:t>
      </w:r>
      <w:r>
        <w:t xml:space="preserve"> ont diminué de 27,4% : les émissions sont restées relativement stable jusqu’en 2007 (+2%) puis ont fortement diminué avec la crise</w:t>
      </w:r>
      <w:r w:rsidR="008E6688">
        <w:t xml:space="preserve"> financière de 2008</w:t>
      </w:r>
      <w:r>
        <w:t>. La baisse se poursuit après 2008, signe que les politiques et mesures mises en place permettent d’éviter un rebond des émissions.</w:t>
      </w:r>
    </w:p>
    <w:p w14:paraId="2B7C54C7" w14:textId="2DD4C654" w:rsidR="00977B34" w:rsidRDefault="00977B34" w:rsidP="00977B34">
      <w:r>
        <w:t xml:space="preserve">Les émissions de </w:t>
      </w:r>
      <w:r w:rsidR="00F80CAB" w:rsidRPr="00141043">
        <w:t>N</w:t>
      </w:r>
      <w:r w:rsidR="00F80CAB" w:rsidRPr="004F1EC8">
        <w:rPr>
          <w:vertAlign w:val="subscript"/>
        </w:rPr>
        <w:t>2</w:t>
      </w:r>
      <w:r w:rsidR="00F80CAB" w:rsidRPr="00141043">
        <w:t>O</w:t>
      </w:r>
      <w:r w:rsidR="00260E0B">
        <w:t xml:space="preserve"> </w:t>
      </w:r>
      <w:r>
        <w:t xml:space="preserve">et </w:t>
      </w:r>
      <w:r w:rsidR="007F09F7" w:rsidRPr="00141043">
        <w:t>CH</w:t>
      </w:r>
      <w:r w:rsidR="007F09F7" w:rsidRPr="004F1EC8">
        <w:rPr>
          <w:vertAlign w:val="subscript"/>
        </w:rPr>
        <w:t>4</w:t>
      </w:r>
      <w:r w:rsidR="007F09F7" w:rsidRPr="00141043">
        <w:t xml:space="preserve"> </w:t>
      </w:r>
      <w:r>
        <w:t>, hors secteur des terres, ont respectivement baissé de 30,5% et 9,2%. Ces baisses sont essentiellement dues aux mesures dans le secteur des déchets pour favoriser la récupération du gaz de décharge, ainsi que la réduction des intrants agricoles.</w:t>
      </w:r>
    </w:p>
    <w:p w14:paraId="5BCD2916" w14:textId="43129443" w:rsidR="00977B34" w:rsidRDefault="00977B34" w:rsidP="00977B34">
      <w:r>
        <w:t xml:space="preserve">Les gaz fluorés ont augmenté de 7,3% depuis 1990 : il y a d’abord eu une baisse entre 1990 et 1997 (-21%), puis une augmentation jusqu’en 2011 (+57% vs. 1990), suivi d’une nouvelle baisse (-32% vs. 2011). Cette faible baisse globale masque une évolution de la répartition des émissions entre les différents gaz fluorés ; les émissions de </w:t>
      </w:r>
      <w:r w:rsidR="007F09F7">
        <w:t>SF</w:t>
      </w:r>
      <w:r w:rsidR="007F09F7" w:rsidRPr="007F09F7">
        <w:rPr>
          <w:vertAlign w:val="subscript"/>
        </w:rPr>
        <w:t>6</w:t>
      </w:r>
      <w:r>
        <w:t xml:space="preserve"> ont fortement baissé depuis 1995 (-86%), et remplacées par des émissions d’autres HFCs et PFCs.</w:t>
      </w:r>
    </w:p>
    <w:p w14:paraId="68AE262E" w14:textId="77777777" w:rsidR="00977B34" w:rsidRDefault="00977B34" w:rsidP="00977B34">
      <w:r>
        <w:rPr>
          <w:noProof/>
        </w:rPr>
        <w:drawing>
          <wp:inline distT="0" distB="0" distL="0" distR="0" wp14:anchorId="72278094" wp14:editId="707CA892">
            <wp:extent cx="6318250" cy="4047490"/>
            <wp:effectExtent l="0" t="0" r="6350" b="1016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D9713E5" w14:textId="2F0959CC" w:rsidR="00C469A8" w:rsidRDefault="00C469A8" w:rsidP="0045532B">
      <w:pPr>
        <w:pStyle w:val="Caption"/>
      </w:pPr>
      <w:bookmarkStart w:id="157" w:name="_Toc123916442"/>
      <w:r>
        <w:t xml:space="preserve">Figure </w:t>
      </w:r>
      <w:fldSimple w:instr=" SEQ Figure \* ARABIC ">
        <w:r w:rsidR="00AB51D9">
          <w:rPr>
            <w:noProof/>
          </w:rPr>
          <w:t>31</w:t>
        </w:r>
      </w:fldSimple>
      <w:r>
        <w:t xml:space="preserve"> : </w:t>
      </w:r>
      <w:r w:rsidR="00977B34">
        <w:t>Evolution de la part des différents gaz fluorés depuis 1990</w:t>
      </w:r>
      <w:bookmarkEnd w:id="157"/>
    </w:p>
    <w:p w14:paraId="776733EB" w14:textId="3F3310A5" w:rsidR="00977B34" w:rsidRDefault="00977B34" w:rsidP="0045532B">
      <w:pPr>
        <w:pStyle w:val="Caption"/>
      </w:pPr>
      <w:r>
        <w:t>Source : inventaire Citepa/MTE, soumission CCNUCC avril 2022, au périmètre Kyoto.</w:t>
      </w:r>
    </w:p>
    <w:p w14:paraId="4D3FAB17" w14:textId="77777777" w:rsidR="00977B34" w:rsidRDefault="00977B34" w:rsidP="00977B34"/>
    <w:p w14:paraId="1E9380C7" w14:textId="77777777" w:rsidR="00977B34" w:rsidRDefault="00977B34" w:rsidP="00977B34">
      <w:r>
        <w:t>L’analyse des émissions par gaz et par secteurs, s’appuie sur le format dit SECTEN, au périmètre Kyoto (</w:t>
      </w:r>
      <w:r w:rsidRPr="006C7946">
        <w:t>Citepa, avril 2022 - Format SECTEN</w:t>
      </w:r>
      <w:r>
        <w:t>, sorties « Plan Climat »).</w:t>
      </w:r>
    </w:p>
    <w:p w14:paraId="3A673327" w14:textId="6CF0CEFE" w:rsidR="002A1355" w:rsidRPr="00CB5795" w:rsidRDefault="008E6688" w:rsidP="00CB5795">
      <w:r>
        <w:t>Ce format est basé sur le format CRF (Common Reporting Format) avec comme principale différence une répartition des émissions par secteur. Ainsi les émissions liées aux consommations de gaz fluorés sont réparties au sein de chaque secteur de consommation (résidentiel-tertiaire ; transport…) et non au sein d’une seule catégorie (CR</w:t>
      </w:r>
      <w:r w:rsidR="009237CE">
        <w:t>F</w:t>
      </w:r>
      <w:r>
        <w:t xml:space="preserve"> 2F). Les tables d’émissions sont fournies en annexe, avec les tables au format CRF</w:t>
      </w:r>
      <w:r w:rsidR="00977B34">
        <w:t>.</w:t>
      </w:r>
      <w:bookmarkStart w:id="158" w:name="_Toc121422416"/>
      <w:bookmarkStart w:id="159" w:name="_Toc121422546"/>
      <w:bookmarkStart w:id="160" w:name="_Toc121422676"/>
      <w:bookmarkStart w:id="161" w:name="_Toc121422806"/>
      <w:bookmarkStart w:id="162" w:name="_Toc121422936"/>
      <w:bookmarkStart w:id="163" w:name="_Toc121423066"/>
      <w:bookmarkStart w:id="164" w:name="_Toc121423196"/>
      <w:bookmarkStart w:id="165" w:name="_Toc121423325"/>
      <w:bookmarkStart w:id="166" w:name="_Toc121423455"/>
      <w:bookmarkStart w:id="167" w:name="_Toc121423585"/>
      <w:bookmarkStart w:id="168" w:name="_Toc121424933"/>
      <w:bookmarkStart w:id="169" w:name="_Toc121430989"/>
      <w:bookmarkStart w:id="170" w:name="_Toc121431326"/>
      <w:bookmarkStart w:id="171" w:name="_Toc121431487"/>
      <w:bookmarkStart w:id="172" w:name="_Toc121431649"/>
      <w:bookmarkStart w:id="173" w:name="_Toc121431812"/>
      <w:bookmarkStart w:id="174" w:name="_Toc121431974"/>
      <w:bookmarkStart w:id="175" w:name="_Toc121422417"/>
      <w:bookmarkStart w:id="176" w:name="_Toc121422547"/>
      <w:bookmarkStart w:id="177" w:name="_Toc121422677"/>
      <w:bookmarkStart w:id="178" w:name="_Toc121422807"/>
      <w:bookmarkStart w:id="179" w:name="_Toc121422937"/>
      <w:bookmarkStart w:id="180" w:name="_Toc121423067"/>
      <w:bookmarkStart w:id="181" w:name="_Toc121423197"/>
      <w:bookmarkStart w:id="182" w:name="_Toc121423326"/>
      <w:bookmarkStart w:id="183" w:name="_Toc121423456"/>
      <w:bookmarkStart w:id="184" w:name="_Toc121423586"/>
      <w:bookmarkStart w:id="185" w:name="_Toc121424934"/>
      <w:bookmarkStart w:id="186" w:name="_Toc121430990"/>
      <w:bookmarkStart w:id="187" w:name="_Toc121431327"/>
      <w:bookmarkStart w:id="188" w:name="_Toc121431488"/>
      <w:bookmarkStart w:id="189" w:name="_Toc121431650"/>
      <w:bookmarkStart w:id="190" w:name="_Toc121431813"/>
      <w:bookmarkStart w:id="191" w:name="_Toc121431975"/>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5B576F1C" w14:textId="575175A8" w:rsidR="00C469A8" w:rsidRDefault="00C469A8" w:rsidP="003F57EA">
      <w:pPr>
        <w:pStyle w:val="Titre3Niveau3"/>
      </w:pPr>
      <w:bookmarkStart w:id="192" w:name="_Toc138341979"/>
      <w:r>
        <w:t xml:space="preserve">Répartition par secteurs des </w:t>
      </w:r>
      <w:r w:rsidRPr="005C7427">
        <w:t>émissions</w:t>
      </w:r>
      <w:r>
        <w:t xml:space="preserve"> de dioxyde de carbone (</w:t>
      </w:r>
      <w:r w:rsidR="007F09F7">
        <w:t>CO</w:t>
      </w:r>
      <w:r w:rsidR="007F09F7" w:rsidRPr="007F09F7">
        <w:rPr>
          <w:vertAlign w:val="subscript"/>
        </w:rPr>
        <w:t>2</w:t>
      </w:r>
      <w:r>
        <w:t>)</w:t>
      </w:r>
      <w:bookmarkEnd w:id="192"/>
    </w:p>
    <w:p w14:paraId="0B023ACB" w14:textId="62FFC1EC" w:rsidR="00977B34" w:rsidRDefault="00C469A8" w:rsidP="00C469A8">
      <w:r>
        <w:t xml:space="preserve"> </w:t>
      </w:r>
      <w:r w:rsidR="00977B34">
        <w:t xml:space="preserve">Les émissions de </w:t>
      </w:r>
      <w:r w:rsidR="007F09F7">
        <w:t>CO</w:t>
      </w:r>
      <w:r w:rsidR="007F09F7" w:rsidRPr="007F09F7">
        <w:rPr>
          <w:vertAlign w:val="subscript"/>
        </w:rPr>
        <w:t>2</w:t>
      </w:r>
      <w:r w:rsidR="00977B34">
        <w:t xml:space="preserve"> sont principalement dues à l’usage énergétique : en 2020 les émissions hors UTCATF sont de 289,4 Mt</w:t>
      </w:r>
      <w:r w:rsidR="007F09F7">
        <w:t>CO</w:t>
      </w:r>
      <w:r w:rsidR="007F09F7" w:rsidRPr="007F09F7">
        <w:rPr>
          <w:vertAlign w:val="subscript"/>
        </w:rPr>
        <w:t>2</w:t>
      </w:r>
      <w:r w:rsidR="004F1EC8" w:rsidRPr="004F1EC8">
        <w:rPr>
          <w:vertAlign w:val="subscript"/>
        </w:rPr>
        <w:t>e</w:t>
      </w:r>
      <w:r w:rsidR="00977B34">
        <w:t>, soit 73,6% des émissions totales. (393 Mt</w:t>
      </w:r>
      <w:r w:rsidR="007F09F7">
        <w:t>CO</w:t>
      </w:r>
      <w:r w:rsidR="007F09F7" w:rsidRPr="007F09F7">
        <w:rPr>
          <w:vertAlign w:val="subscript"/>
        </w:rPr>
        <w:t>2</w:t>
      </w:r>
      <w:r w:rsidR="004F1EC8" w:rsidRPr="004F1EC8">
        <w:rPr>
          <w:vertAlign w:val="subscript"/>
        </w:rPr>
        <w:t>e</w:t>
      </w:r>
      <w:r w:rsidR="00977B34">
        <w:t>).</w:t>
      </w:r>
    </w:p>
    <w:p w14:paraId="6F962F59" w14:textId="375213A9" w:rsidR="00977B34" w:rsidRPr="005F3EA0" w:rsidRDefault="00977B34" w:rsidP="00977B34">
      <w:r w:rsidRPr="005F3EA0">
        <w:t xml:space="preserve">Le transport est le secteur le plus émetteur de </w:t>
      </w:r>
      <w:r w:rsidR="007F09F7">
        <w:t>CO</w:t>
      </w:r>
      <w:r w:rsidR="007F09F7" w:rsidRPr="007F09F7">
        <w:rPr>
          <w:vertAlign w:val="subscript"/>
        </w:rPr>
        <w:t>2</w:t>
      </w:r>
      <w:r>
        <w:t xml:space="preserve"> (37,7%), suivi par l’industrie manufacturière (23,5%) et le résidentiel-tertiaire (20,9%). Ces parts ont très peu évolué, même si en 2020 l’industrie est passée devant le résidentiel-tertiaire.</w:t>
      </w:r>
    </w:p>
    <w:p w14:paraId="6FA3639A" w14:textId="1476C3D6" w:rsidR="00977B34" w:rsidRDefault="00977B34" w:rsidP="00977B34">
      <w:r w:rsidRPr="005F3EA0">
        <w:t xml:space="preserve"> </w:t>
      </w:r>
    </w:p>
    <w:p w14:paraId="6A310CCB" w14:textId="77777777" w:rsidR="00977B34" w:rsidRDefault="00977B34" w:rsidP="00977B34">
      <w:pPr>
        <w:rPr>
          <w:noProof/>
        </w:rPr>
      </w:pPr>
    </w:p>
    <w:p w14:paraId="76C4BFB4" w14:textId="77777777" w:rsidR="00977B34" w:rsidRDefault="00977B34" w:rsidP="00C469A8">
      <w:pPr>
        <w:jc w:val="center"/>
      </w:pPr>
      <w:r>
        <w:rPr>
          <w:noProof/>
        </w:rPr>
        <w:drawing>
          <wp:inline distT="0" distB="0" distL="0" distR="0" wp14:anchorId="795BDE26" wp14:editId="35C56DA8">
            <wp:extent cx="4762500" cy="2832100"/>
            <wp:effectExtent l="0" t="0" r="0" b="635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E93F95D" w14:textId="34E30E04" w:rsidR="00C469A8" w:rsidRDefault="00C469A8" w:rsidP="0045532B">
      <w:pPr>
        <w:pStyle w:val="Caption"/>
      </w:pPr>
      <w:bookmarkStart w:id="193" w:name="_Toc123916443"/>
      <w:r>
        <w:t xml:space="preserve">Figure </w:t>
      </w:r>
      <w:fldSimple w:instr=" SEQ Figure \* ARABIC ">
        <w:r w:rsidR="00AB51D9">
          <w:rPr>
            <w:noProof/>
          </w:rPr>
          <w:t>32</w:t>
        </w:r>
      </w:fldSimple>
      <w:r>
        <w:t xml:space="preserve"> : </w:t>
      </w:r>
      <w:r w:rsidR="00977B34">
        <w:t xml:space="preserve">Répartition des émissions de </w:t>
      </w:r>
      <w:r w:rsidR="007F09F7">
        <w:t>CO</w:t>
      </w:r>
      <w:r w:rsidR="007F09F7" w:rsidRPr="007F09F7">
        <w:rPr>
          <w:vertAlign w:val="subscript"/>
        </w:rPr>
        <w:t>2</w:t>
      </w:r>
      <w:r w:rsidR="00977B34">
        <w:t xml:space="preserve"> en 2020</w:t>
      </w:r>
      <w:bookmarkEnd w:id="193"/>
    </w:p>
    <w:p w14:paraId="2AB9851E" w14:textId="7DA3959E" w:rsidR="00977B34" w:rsidRDefault="00977B34" w:rsidP="0045532B">
      <w:pPr>
        <w:pStyle w:val="Caption"/>
      </w:pPr>
      <w:r>
        <w:t>Source : Inventaire Citepa, avril 2022 – Format SECTEN, sorties « Plan Climat Kyoto »</w:t>
      </w:r>
    </w:p>
    <w:p w14:paraId="2A34A65E" w14:textId="56C949E6" w:rsidR="00977B34" w:rsidRDefault="00977B34" w:rsidP="003F57EA">
      <w:pPr>
        <w:pStyle w:val="Titre3Niveau3"/>
      </w:pPr>
      <w:bookmarkStart w:id="194" w:name="_Toc120568036"/>
      <w:bookmarkStart w:id="195" w:name="_Toc138341980"/>
      <w:r w:rsidRPr="002A1355">
        <w:t>Répartition</w:t>
      </w:r>
      <w:r>
        <w:t xml:space="preserve"> </w:t>
      </w:r>
      <w:r w:rsidRPr="002A1355">
        <w:t>par</w:t>
      </w:r>
      <w:r>
        <w:t xml:space="preserve"> </w:t>
      </w:r>
      <w:r w:rsidRPr="002A1355">
        <w:t>secteurs</w:t>
      </w:r>
      <w:r>
        <w:t xml:space="preserve"> des </w:t>
      </w:r>
      <w:r w:rsidRPr="002A1355">
        <w:t>émissions</w:t>
      </w:r>
      <w:r>
        <w:t xml:space="preserve"> de méthane (</w:t>
      </w:r>
      <w:r w:rsidR="007F09F7" w:rsidRPr="00141043">
        <w:t>CH</w:t>
      </w:r>
      <w:r w:rsidR="007F09F7" w:rsidRPr="004F1EC8">
        <w:rPr>
          <w:vertAlign w:val="subscript"/>
        </w:rPr>
        <w:t>4</w:t>
      </w:r>
      <w:r>
        <w:t>)</w:t>
      </w:r>
      <w:bookmarkEnd w:id="194"/>
      <w:bookmarkEnd w:id="195"/>
    </w:p>
    <w:p w14:paraId="40DF2F27" w14:textId="280AE9B5" w:rsidR="00977B34" w:rsidRDefault="00977B34" w:rsidP="00977B34">
      <w:r>
        <w:t>En 2020 les émissions de méthane étaient de 54,6 Mt</w:t>
      </w:r>
      <w:r w:rsidR="007F09F7">
        <w:t>CO</w:t>
      </w:r>
      <w:r w:rsidR="007F09F7" w:rsidRPr="007F09F7">
        <w:rPr>
          <w:vertAlign w:val="subscript"/>
        </w:rPr>
        <w:t>2</w:t>
      </w:r>
      <w:r w:rsidR="004F1EC8" w:rsidRPr="004F1EC8">
        <w:rPr>
          <w:vertAlign w:val="subscript"/>
        </w:rPr>
        <w:t>e</w:t>
      </w:r>
      <w:r>
        <w:t>, soit 13,9% du total national.</w:t>
      </w:r>
    </w:p>
    <w:p w14:paraId="4D20BE30" w14:textId="414722AC" w:rsidR="00977B34" w:rsidRDefault="00977B34" w:rsidP="00977B34">
      <w:r>
        <w:t>L’agriculture (37 Mt</w:t>
      </w:r>
      <w:r w:rsidR="007F09F7">
        <w:t>CO</w:t>
      </w:r>
      <w:r w:rsidR="007F09F7" w:rsidRPr="007F09F7">
        <w:rPr>
          <w:vertAlign w:val="subscript"/>
        </w:rPr>
        <w:t>2</w:t>
      </w:r>
      <w:r w:rsidR="004F1EC8" w:rsidRPr="004F1EC8">
        <w:rPr>
          <w:vertAlign w:val="subscript"/>
        </w:rPr>
        <w:t>e</w:t>
      </w:r>
      <w:r>
        <w:t xml:space="preserve">) est responsable de 68% des émissions de méthane : le </w:t>
      </w:r>
      <w:r w:rsidR="007F09F7" w:rsidRPr="00141043">
        <w:t>CH</w:t>
      </w:r>
      <w:r w:rsidR="007F09F7" w:rsidRPr="004F1EC8">
        <w:rPr>
          <w:vertAlign w:val="subscript"/>
        </w:rPr>
        <w:t>4</w:t>
      </w:r>
      <w:r w:rsidR="007F09F7" w:rsidRPr="00141043">
        <w:t xml:space="preserve"> </w:t>
      </w:r>
      <w:r>
        <w:t>est issu à 99,7% de la fermentation entérique et de la gestion des déjections animales. Le traitement des déchets (12,9 Mt</w:t>
      </w:r>
      <w:r w:rsidR="007F09F7">
        <w:t>CO</w:t>
      </w:r>
      <w:r w:rsidR="007F09F7" w:rsidRPr="007F09F7">
        <w:rPr>
          <w:vertAlign w:val="subscript"/>
        </w:rPr>
        <w:t>2</w:t>
      </w:r>
      <w:r w:rsidR="004F1EC8" w:rsidRPr="004F1EC8">
        <w:rPr>
          <w:vertAlign w:val="subscript"/>
        </w:rPr>
        <w:t>e</w:t>
      </w:r>
      <w:r>
        <w:t>) est le 2</w:t>
      </w:r>
      <w:r w:rsidRPr="00F87158">
        <w:rPr>
          <w:vertAlign w:val="superscript"/>
        </w:rPr>
        <w:t>e</w:t>
      </w:r>
      <w:r>
        <w:t xml:space="preserve"> secteur contributeur aux émissions de méthane.</w:t>
      </w:r>
    </w:p>
    <w:p w14:paraId="7C2D1B2A" w14:textId="576546BB" w:rsidR="00977B34" w:rsidRDefault="00977B34" w:rsidP="00977B34"/>
    <w:p w14:paraId="69781164" w14:textId="77777777" w:rsidR="00977B34" w:rsidRDefault="00977B34" w:rsidP="00977B34"/>
    <w:p w14:paraId="3E402256" w14:textId="77777777" w:rsidR="00977B34" w:rsidRDefault="00977B34" w:rsidP="00977B34">
      <w:r>
        <w:rPr>
          <w:noProof/>
        </w:rPr>
        <w:drawing>
          <wp:inline distT="0" distB="0" distL="0" distR="0" wp14:anchorId="74C11CAE" wp14:editId="2F762590">
            <wp:extent cx="6048375" cy="3503930"/>
            <wp:effectExtent l="38100" t="0" r="9525" b="1270"/>
            <wp:docPr id="8"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AB2ABEE" w14:textId="3A6F163D" w:rsidR="004260ED" w:rsidRDefault="004260ED" w:rsidP="0045532B">
      <w:pPr>
        <w:pStyle w:val="Caption"/>
      </w:pPr>
      <w:bookmarkStart w:id="196" w:name="_Toc123916444"/>
      <w:r>
        <w:t xml:space="preserve">Figure </w:t>
      </w:r>
      <w:fldSimple w:instr=" SEQ Figure \* ARABIC ">
        <w:r w:rsidR="00AB51D9">
          <w:rPr>
            <w:noProof/>
          </w:rPr>
          <w:t>33</w:t>
        </w:r>
      </w:fldSimple>
      <w:r>
        <w:t xml:space="preserve"> : </w:t>
      </w:r>
      <w:r w:rsidR="00977B34">
        <w:t xml:space="preserve">Répartition des émissions de </w:t>
      </w:r>
      <w:r w:rsidR="007F09F7" w:rsidRPr="00141043">
        <w:t>CH</w:t>
      </w:r>
      <w:r w:rsidR="007F09F7" w:rsidRPr="004F1EC8">
        <w:rPr>
          <w:vertAlign w:val="subscript"/>
        </w:rPr>
        <w:t>4</w:t>
      </w:r>
      <w:r w:rsidR="00260E0B">
        <w:t xml:space="preserve"> </w:t>
      </w:r>
      <w:r w:rsidR="00977B34">
        <w:t>en 2020</w:t>
      </w:r>
      <w:bookmarkEnd w:id="196"/>
    </w:p>
    <w:p w14:paraId="5EEEDB26" w14:textId="42986049" w:rsidR="00977B34" w:rsidRDefault="00977B34" w:rsidP="0045532B">
      <w:pPr>
        <w:pStyle w:val="Caption"/>
      </w:pPr>
      <w:r>
        <w:t>Source : Inventaire Citepa, avril 2022 – Format SECTEN, sorties « Plan Climat Kyoto »</w:t>
      </w:r>
    </w:p>
    <w:p w14:paraId="0C5A37CB" w14:textId="77777777" w:rsidR="00977B34" w:rsidRDefault="00977B34" w:rsidP="00977B34"/>
    <w:p w14:paraId="7C1B2B4D" w14:textId="77777777" w:rsidR="00977B34" w:rsidRDefault="00977B34" w:rsidP="00977B34"/>
    <w:p w14:paraId="2DB587DA" w14:textId="3AC0991E" w:rsidR="00977B34" w:rsidRDefault="00977B34" w:rsidP="003F57EA">
      <w:pPr>
        <w:pStyle w:val="Titre3Niveau3"/>
      </w:pPr>
      <w:bookmarkStart w:id="197" w:name="_Toc120568037"/>
      <w:bookmarkStart w:id="198" w:name="_Toc138341981"/>
      <w:r>
        <w:t xml:space="preserve">Répartition </w:t>
      </w:r>
      <w:r w:rsidRPr="002A1355">
        <w:t>par</w:t>
      </w:r>
      <w:r>
        <w:t xml:space="preserve"> secteurs des émissions de protoxyde d’azote (</w:t>
      </w:r>
      <w:r w:rsidR="007F09F7" w:rsidRPr="00141043">
        <w:t>N</w:t>
      </w:r>
      <w:r w:rsidR="007F09F7" w:rsidRPr="004F1EC8">
        <w:rPr>
          <w:vertAlign w:val="subscript"/>
        </w:rPr>
        <w:t>2</w:t>
      </w:r>
      <w:r w:rsidR="007F09F7" w:rsidRPr="00141043">
        <w:t xml:space="preserve">O </w:t>
      </w:r>
      <w:r>
        <w:t>)</w:t>
      </w:r>
      <w:bookmarkEnd w:id="197"/>
      <w:bookmarkEnd w:id="198"/>
    </w:p>
    <w:p w14:paraId="282974B0" w14:textId="778B7FF0" w:rsidR="00977B34" w:rsidRDefault="008E6688" w:rsidP="00977B34">
      <w:r>
        <w:t xml:space="preserve">Les émissions de </w:t>
      </w:r>
      <w:r w:rsidR="00F80CAB" w:rsidRPr="00141043">
        <w:t>N</w:t>
      </w:r>
      <w:r w:rsidR="00F80CAB" w:rsidRPr="004F1EC8">
        <w:rPr>
          <w:vertAlign w:val="subscript"/>
        </w:rPr>
        <w:t>2</w:t>
      </w:r>
      <w:r w:rsidR="00F80CAB" w:rsidRPr="00141043">
        <w:t>O</w:t>
      </w:r>
      <w:r w:rsidR="00F80CAB">
        <w:t xml:space="preserve"> </w:t>
      </w:r>
      <w:r>
        <w:t>hors UTCATF pour le périmètre Kyoto étaient de 36,3 Mt</w:t>
      </w:r>
      <w:r w:rsidR="007F09F7">
        <w:t>CO</w:t>
      </w:r>
      <w:r w:rsidR="007F09F7" w:rsidRPr="007F09F7">
        <w:rPr>
          <w:vertAlign w:val="subscript"/>
        </w:rPr>
        <w:t>2</w:t>
      </w:r>
      <w:r w:rsidR="004F1EC8" w:rsidRPr="004F1EC8">
        <w:rPr>
          <w:vertAlign w:val="subscript"/>
        </w:rPr>
        <w:t>e</w:t>
      </w:r>
      <w:r>
        <w:t xml:space="preserve"> en 2020, soit 9,2% des émissions de la France</w:t>
      </w:r>
      <w:r w:rsidR="00977B34">
        <w:t>.</w:t>
      </w:r>
    </w:p>
    <w:p w14:paraId="596E4A25" w14:textId="6D41C727" w:rsidR="00977B34" w:rsidRDefault="009237CE" w:rsidP="00977B34">
      <w:r>
        <w:t>87</w:t>
      </w:r>
      <w:r w:rsidR="00977B34">
        <w:t xml:space="preserve">% des émissions de </w:t>
      </w:r>
      <w:r w:rsidR="00F80CAB" w:rsidRPr="00141043">
        <w:t>N</w:t>
      </w:r>
      <w:r w:rsidR="00F80CAB" w:rsidRPr="004F1EC8">
        <w:rPr>
          <w:vertAlign w:val="subscript"/>
        </w:rPr>
        <w:t>2</w:t>
      </w:r>
      <w:r w:rsidR="00F80CAB" w:rsidRPr="00141043">
        <w:t>O</w:t>
      </w:r>
      <w:r w:rsidR="00F80CAB">
        <w:t xml:space="preserve"> </w:t>
      </w:r>
      <w:r w:rsidR="00977B34">
        <w:t xml:space="preserve">proviennent du secteur agricole, et en particulier de l’épandage d’engrais pour la fertilisation des sols, et des déjections animales. Cette part a tendance à augmenter depuis 2010, alors que les émissions de </w:t>
      </w:r>
      <w:r w:rsidR="00F80CAB" w:rsidRPr="00141043">
        <w:t>N</w:t>
      </w:r>
      <w:r w:rsidR="00F80CAB" w:rsidRPr="004F1EC8">
        <w:rPr>
          <w:vertAlign w:val="subscript"/>
        </w:rPr>
        <w:t>2</w:t>
      </w:r>
      <w:r w:rsidR="00F80CAB" w:rsidRPr="00141043">
        <w:t>O</w:t>
      </w:r>
      <w:r w:rsidR="00F80CAB">
        <w:t xml:space="preserve"> </w:t>
      </w:r>
      <w:r w:rsidR="00977B34">
        <w:t>sont en baisse.</w:t>
      </w:r>
    </w:p>
    <w:p w14:paraId="771F4ED8" w14:textId="0F821E21" w:rsidR="00977B34" w:rsidRDefault="00977B34" w:rsidP="00977B34">
      <w:r>
        <w:t xml:space="preserve">La part de l’industrie dans les émissions de </w:t>
      </w:r>
      <w:r w:rsidR="00F80CAB" w:rsidRPr="00141043">
        <w:t>N</w:t>
      </w:r>
      <w:r w:rsidR="00F80CAB" w:rsidRPr="004F1EC8">
        <w:rPr>
          <w:vertAlign w:val="subscript"/>
        </w:rPr>
        <w:t>2</w:t>
      </w:r>
      <w:r w:rsidR="00F80CAB" w:rsidRPr="00141043">
        <w:t>O</w:t>
      </w:r>
      <w:r w:rsidR="00F80CAB">
        <w:t xml:space="preserve"> </w:t>
      </w:r>
      <w:r>
        <w:t>est relativement stable, même si les émissions de ce sous-secteur continuent de baisser et ont baissé de 95% depuis 19</w:t>
      </w:r>
      <w:r w:rsidR="009237CE">
        <w:t>9</w:t>
      </w:r>
      <w:r>
        <w:t>0.</w:t>
      </w:r>
    </w:p>
    <w:p w14:paraId="0720B9C5" w14:textId="20C617FD" w:rsidR="00977B34" w:rsidRDefault="00977B34" w:rsidP="00977B34"/>
    <w:p w14:paraId="0D837371" w14:textId="77777777" w:rsidR="00977B34" w:rsidRDefault="00977B34" w:rsidP="00977B34"/>
    <w:p w14:paraId="06F0645C" w14:textId="77777777" w:rsidR="00977B34" w:rsidRDefault="00977B34" w:rsidP="00BD588C">
      <w:pPr>
        <w:jc w:val="center"/>
      </w:pPr>
      <w:r>
        <w:rPr>
          <w:noProof/>
        </w:rPr>
        <w:drawing>
          <wp:inline distT="0" distB="0" distL="0" distR="0" wp14:anchorId="628BE3F2" wp14:editId="2BB4A491">
            <wp:extent cx="6318250" cy="3575685"/>
            <wp:effectExtent l="38100" t="0" r="6350" b="5715"/>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3823038" w14:textId="20EDE0B0" w:rsidR="00BD588C" w:rsidRDefault="00BD588C" w:rsidP="0045532B">
      <w:pPr>
        <w:pStyle w:val="Caption"/>
      </w:pPr>
      <w:bookmarkStart w:id="199" w:name="_Toc123916445"/>
      <w:r>
        <w:t xml:space="preserve">Figure </w:t>
      </w:r>
      <w:fldSimple w:instr=" SEQ Figure \* ARABIC ">
        <w:r w:rsidR="00AB51D9">
          <w:rPr>
            <w:noProof/>
          </w:rPr>
          <w:t>34</w:t>
        </w:r>
      </w:fldSimple>
      <w:r>
        <w:t xml:space="preserve"> : </w:t>
      </w:r>
      <w:r w:rsidR="00977B34">
        <w:t xml:space="preserve">Répartition des émissions de </w:t>
      </w:r>
      <w:r w:rsidR="00F80CAB" w:rsidRPr="00141043">
        <w:t>N</w:t>
      </w:r>
      <w:r w:rsidR="00F80CAB" w:rsidRPr="004F1EC8">
        <w:rPr>
          <w:vertAlign w:val="subscript"/>
        </w:rPr>
        <w:t>2</w:t>
      </w:r>
      <w:r w:rsidR="00F80CAB" w:rsidRPr="00141043">
        <w:t>O</w:t>
      </w:r>
      <w:r w:rsidR="00F80CAB">
        <w:t xml:space="preserve"> </w:t>
      </w:r>
      <w:r w:rsidR="00977B34">
        <w:t>en 2020</w:t>
      </w:r>
      <w:bookmarkEnd w:id="199"/>
    </w:p>
    <w:p w14:paraId="5815BA87" w14:textId="21FA9BEC" w:rsidR="00977B34" w:rsidRDefault="00977B34" w:rsidP="0045532B">
      <w:pPr>
        <w:pStyle w:val="Caption"/>
      </w:pPr>
      <w:r>
        <w:t>Source : Inventaire Citepa, avril 2022 – Format SECTEN, sorties « Plan Climat Kyoto »</w:t>
      </w:r>
    </w:p>
    <w:p w14:paraId="1526EC14" w14:textId="77777777" w:rsidR="00A67073" w:rsidRDefault="00A67073" w:rsidP="00977B34"/>
    <w:p w14:paraId="45D11B23" w14:textId="77777777" w:rsidR="00A67073" w:rsidRPr="00A67073" w:rsidRDefault="00A67073" w:rsidP="00BE086C">
      <w:pPr>
        <w:pStyle w:val="ListParagraph"/>
        <w:numPr>
          <w:ilvl w:val="0"/>
          <w:numId w:val="51"/>
        </w:numPr>
        <w:rPr>
          <w:vanish/>
        </w:rPr>
      </w:pPr>
    </w:p>
    <w:p w14:paraId="79870B8E" w14:textId="77777777" w:rsidR="00A67073" w:rsidRPr="00A67073" w:rsidRDefault="00A67073" w:rsidP="00BE086C">
      <w:pPr>
        <w:pStyle w:val="ListParagraph"/>
        <w:numPr>
          <w:ilvl w:val="0"/>
          <w:numId w:val="51"/>
        </w:numPr>
        <w:rPr>
          <w:vanish/>
        </w:rPr>
      </w:pPr>
    </w:p>
    <w:p w14:paraId="5D449F2E" w14:textId="77777777" w:rsidR="00A67073" w:rsidRPr="00A67073" w:rsidRDefault="00A67073" w:rsidP="00BE086C">
      <w:pPr>
        <w:pStyle w:val="ListParagraph"/>
        <w:numPr>
          <w:ilvl w:val="1"/>
          <w:numId w:val="51"/>
        </w:numPr>
        <w:rPr>
          <w:vanish/>
        </w:rPr>
      </w:pPr>
    </w:p>
    <w:p w14:paraId="6507ECEB" w14:textId="77777777" w:rsidR="00A67073" w:rsidRPr="00A67073" w:rsidRDefault="00A67073" w:rsidP="00BE086C">
      <w:pPr>
        <w:pStyle w:val="ListParagraph"/>
        <w:numPr>
          <w:ilvl w:val="1"/>
          <w:numId w:val="51"/>
        </w:numPr>
        <w:rPr>
          <w:vanish/>
        </w:rPr>
      </w:pPr>
    </w:p>
    <w:p w14:paraId="57DCA5A9" w14:textId="065EA690" w:rsidR="00977B34" w:rsidRDefault="00A67073" w:rsidP="003F57EA">
      <w:pPr>
        <w:pStyle w:val="Titre3Niveau3"/>
      </w:pPr>
      <w:bookmarkStart w:id="200" w:name="_Toc121424938"/>
      <w:bookmarkStart w:id="201" w:name="_Toc121430994"/>
      <w:bookmarkStart w:id="202" w:name="_Toc121431331"/>
      <w:bookmarkStart w:id="203" w:name="_Toc121431492"/>
      <w:bookmarkStart w:id="204" w:name="_Toc121431654"/>
      <w:bookmarkStart w:id="205" w:name="_Toc121431817"/>
      <w:bookmarkStart w:id="206" w:name="_Toc121431979"/>
      <w:bookmarkStart w:id="207" w:name="_Toc121424939"/>
      <w:bookmarkStart w:id="208" w:name="_Toc121430995"/>
      <w:bookmarkStart w:id="209" w:name="_Toc121431332"/>
      <w:bookmarkStart w:id="210" w:name="_Toc121431493"/>
      <w:bookmarkStart w:id="211" w:name="_Toc121431655"/>
      <w:bookmarkStart w:id="212" w:name="_Toc121431818"/>
      <w:bookmarkStart w:id="213" w:name="_Toc121431980"/>
      <w:bookmarkStart w:id="214" w:name="_Toc138341982"/>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t xml:space="preserve">Répartition des émissions par secteur : les gaz fluorés (PFC, HFC, </w:t>
      </w:r>
      <w:r w:rsidR="007F09F7">
        <w:t>SF</w:t>
      </w:r>
      <w:r w:rsidR="007F09F7" w:rsidRPr="007F09F7">
        <w:rPr>
          <w:vertAlign w:val="subscript"/>
        </w:rPr>
        <w:t>6</w:t>
      </w:r>
      <w:r>
        <w:t xml:space="preserve">, </w:t>
      </w:r>
      <w:r w:rsidR="007F09F7">
        <w:rPr>
          <w:sz w:val="18"/>
        </w:rPr>
        <w:t>NF</w:t>
      </w:r>
      <w:r w:rsidR="007F09F7" w:rsidRPr="007F09F7">
        <w:rPr>
          <w:sz w:val="18"/>
          <w:vertAlign w:val="subscript"/>
        </w:rPr>
        <w:t>3</w:t>
      </w:r>
      <w:r>
        <w:t>)</w:t>
      </w:r>
      <w:bookmarkEnd w:id="214"/>
    </w:p>
    <w:p w14:paraId="46CC32FD" w14:textId="45AE7315" w:rsidR="00977B34" w:rsidRDefault="00977B34" w:rsidP="00977B34">
      <w:r>
        <w:t xml:space="preserve">En 2020, les émissions de gaz fluorés (HFC, PFC, </w:t>
      </w:r>
      <w:r w:rsidR="007F09F7">
        <w:t>SF</w:t>
      </w:r>
      <w:r w:rsidR="007F09F7" w:rsidRPr="007F09F7">
        <w:rPr>
          <w:vertAlign w:val="subscript"/>
        </w:rPr>
        <w:t>6</w:t>
      </w:r>
      <w:r>
        <w:t xml:space="preserve"> et </w:t>
      </w:r>
      <w:r w:rsidR="007F09F7">
        <w:rPr>
          <w:sz w:val="18"/>
        </w:rPr>
        <w:t>NF</w:t>
      </w:r>
      <w:r w:rsidR="007F09F7" w:rsidRPr="007F09F7">
        <w:rPr>
          <w:sz w:val="18"/>
          <w:vertAlign w:val="subscript"/>
        </w:rPr>
        <w:t>3</w:t>
      </w:r>
      <w:r>
        <w:t>) pour le périmètre Kyoto s’élevaient à 12,6 Mt</w:t>
      </w:r>
      <w:r w:rsidR="007F09F7">
        <w:t>CO</w:t>
      </w:r>
      <w:r w:rsidR="007F09F7" w:rsidRPr="007F09F7">
        <w:rPr>
          <w:vertAlign w:val="subscript"/>
        </w:rPr>
        <w:t>2</w:t>
      </w:r>
      <w:r w:rsidR="004F1EC8" w:rsidRPr="004F1EC8">
        <w:rPr>
          <w:vertAlign w:val="subscript"/>
        </w:rPr>
        <w:t>e</w:t>
      </w:r>
      <w:r>
        <w:t>, soit 3,2% des émissions nationales. Après une forte augmentation entre 1990 et 2012 (+64%), les émissions sont reparties à la baisse et ont presque retrouvé leur niveau de 1990 (+7,3%).</w:t>
      </w:r>
    </w:p>
    <w:p w14:paraId="22CCF1A6" w14:textId="77777777" w:rsidR="00977B34" w:rsidRDefault="00977B34" w:rsidP="00977B34">
      <w:r>
        <w:t>Ces émissions proviennent principalement des secteurs suivants :</w:t>
      </w:r>
    </w:p>
    <w:p w14:paraId="2B5F29B3" w14:textId="77777777" w:rsidR="00977B34" w:rsidRDefault="00977B34" w:rsidP="00BE086C">
      <w:pPr>
        <w:pStyle w:val="ListParagraph"/>
        <w:numPr>
          <w:ilvl w:val="0"/>
          <w:numId w:val="22"/>
        </w:numPr>
        <w:jc w:val="left"/>
      </w:pPr>
      <w:r>
        <w:t>Résidentiel-tertiaire (climatisation et système de froid commercial et domestique) : 51,2% des émissions (contre 1,21% en 1990 et 54,4% en 2015).</w:t>
      </w:r>
    </w:p>
    <w:p w14:paraId="7CCF7AEF" w14:textId="77777777" w:rsidR="00977B34" w:rsidRDefault="00977B34" w:rsidP="00BE086C">
      <w:pPr>
        <w:pStyle w:val="ListParagraph"/>
        <w:numPr>
          <w:ilvl w:val="0"/>
          <w:numId w:val="22"/>
        </w:numPr>
        <w:jc w:val="left"/>
      </w:pPr>
      <w:r>
        <w:t xml:space="preserve">Industrie : 25,8% des émissions (contre 94,5% en 1990 et 23,75% en 2015). </w:t>
      </w:r>
      <w:r w:rsidRPr="005A309C">
        <w:t>Les émissions dans l’industrie manufacturière sont liées principalement à la production de magnésium et à la fabrication de disjoncteurs haute tension.</w:t>
      </w:r>
    </w:p>
    <w:p w14:paraId="3EAC2AE5" w14:textId="77777777" w:rsidR="00977B34" w:rsidRDefault="00977B34" w:rsidP="00BE086C">
      <w:pPr>
        <w:pStyle w:val="ListParagraph"/>
        <w:numPr>
          <w:ilvl w:val="0"/>
          <w:numId w:val="22"/>
        </w:numPr>
        <w:jc w:val="left"/>
      </w:pPr>
      <w:r>
        <w:t>Transport (climatisation) : 20,4% des émissions (vs. 19,7% en 2015).</w:t>
      </w:r>
    </w:p>
    <w:p w14:paraId="6DF667A2" w14:textId="276B4B8D" w:rsidR="00977B34" w:rsidRDefault="00977B34" w:rsidP="00977B34"/>
    <w:p w14:paraId="20F2A6E4" w14:textId="77777777" w:rsidR="00977B34" w:rsidRDefault="00977B34" w:rsidP="00BD588C">
      <w:pPr>
        <w:jc w:val="center"/>
      </w:pPr>
      <w:r>
        <w:rPr>
          <w:noProof/>
        </w:rPr>
        <w:drawing>
          <wp:inline distT="0" distB="0" distL="0" distR="0" wp14:anchorId="4C1A067F" wp14:editId="349B8ED2">
            <wp:extent cx="4933950" cy="3714750"/>
            <wp:effectExtent l="0" t="0" r="0" b="0"/>
            <wp:docPr id="19"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3B90926" w14:textId="103A6625" w:rsidR="00BD588C" w:rsidRDefault="00BD588C" w:rsidP="0045532B">
      <w:pPr>
        <w:pStyle w:val="Caption"/>
      </w:pPr>
      <w:bookmarkStart w:id="215" w:name="_Toc123916446"/>
      <w:r>
        <w:t xml:space="preserve">Figure </w:t>
      </w:r>
      <w:fldSimple w:instr=" SEQ Figure \* ARABIC ">
        <w:r w:rsidR="00AB51D9">
          <w:rPr>
            <w:noProof/>
          </w:rPr>
          <w:t>35</w:t>
        </w:r>
      </w:fldSimple>
      <w:r>
        <w:t xml:space="preserve"> : </w:t>
      </w:r>
      <w:r w:rsidR="00977B34">
        <w:t xml:space="preserve">Répartition des émissions de </w:t>
      </w:r>
      <w:r w:rsidR="00F80CAB" w:rsidRPr="00141043">
        <w:t>N</w:t>
      </w:r>
      <w:r w:rsidR="00F80CAB" w:rsidRPr="004F1EC8">
        <w:rPr>
          <w:vertAlign w:val="subscript"/>
        </w:rPr>
        <w:t>2</w:t>
      </w:r>
      <w:r w:rsidR="00F80CAB" w:rsidRPr="00141043">
        <w:t>O</w:t>
      </w:r>
      <w:r w:rsidR="00F80CAB">
        <w:t xml:space="preserve"> </w:t>
      </w:r>
      <w:r w:rsidR="00977B34">
        <w:t>en 2020</w:t>
      </w:r>
      <w:bookmarkEnd w:id="215"/>
    </w:p>
    <w:p w14:paraId="70B1CB71" w14:textId="4A87E6F0" w:rsidR="00977B34" w:rsidRDefault="00977B34" w:rsidP="0045532B">
      <w:pPr>
        <w:pStyle w:val="Caption"/>
      </w:pPr>
      <w:r>
        <w:t>Source : Inventaire Citepa, avril 2022 – Format SECTEN, sorties « Plan Climat Kyoto »</w:t>
      </w:r>
    </w:p>
    <w:p w14:paraId="160DD1A6" w14:textId="26B41548" w:rsidR="00977B34" w:rsidRDefault="00977B34" w:rsidP="003F57EA">
      <w:pPr>
        <w:pStyle w:val="Titre3Niveau3"/>
      </w:pPr>
      <w:bookmarkStart w:id="216" w:name="_Toc120568039"/>
      <w:bookmarkStart w:id="217" w:name="_Toc138341983"/>
      <w:r w:rsidRPr="005B1232">
        <w:t>Analyse des émissions totales de gaz à effet de serre par secteur d’activités</w:t>
      </w:r>
      <w:bookmarkEnd w:id="216"/>
      <w:bookmarkEnd w:id="217"/>
    </w:p>
    <w:p w14:paraId="2B307A7D" w14:textId="156A41E2" w:rsidR="00977B34" w:rsidRDefault="00977B34" w:rsidP="00EF6DB6">
      <w:pPr>
        <w:pStyle w:val="Titre4niveau4"/>
      </w:pPr>
      <w:r w:rsidRPr="005B1232">
        <w:t>Le secteur transport (CRF 1A3 et 2F en partie pour les gaz fluorés)</w:t>
      </w:r>
    </w:p>
    <w:p w14:paraId="7DD7D530" w14:textId="271930B7" w:rsidR="00977B34" w:rsidRDefault="00977B34" w:rsidP="00977B34">
      <w:r>
        <w:t>Le transport est en France le premier secteur émetteur de gaz à effet de serre : en 2020 il pèse pour 28,8% des émissions nationales, soit 113,1 Mt</w:t>
      </w:r>
      <w:r w:rsidR="007F09F7">
        <w:t>CO</w:t>
      </w:r>
      <w:r w:rsidR="007F09F7" w:rsidRPr="007F09F7">
        <w:rPr>
          <w:vertAlign w:val="subscript"/>
        </w:rPr>
        <w:t>2</w:t>
      </w:r>
      <w:r w:rsidR="004F1EC8" w:rsidRPr="004F1EC8">
        <w:rPr>
          <w:vertAlign w:val="subscript"/>
        </w:rPr>
        <w:t>e</w:t>
      </w:r>
      <w:r>
        <w:t>. Si les émissions de ce secteur ont baissé en 2020 du fait des mesures mises en place pour lutter contre la pandémie, en particulier dans le secteur aérien, elles ont plutôt eu tendance à augmenter entre 1990 et 2011, puis à baisser lentement depuis (-2,7% entre 2011 et 2019). Cette évolution résulte d’une augmentation du trafic tourier qui n’a pu être compensée par le développement des biocarburants et la baisse des émissions unitaires des véhicules neufs. Cependant la forte progression des biocarburants à partir de 2005 a permis de limiter les émissions du secteur routier.</w:t>
      </w:r>
    </w:p>
    <w:p w14:paraId="5C1A9317" w14:textId="77777777" w:rsidR="00977B34" w:rsidRDefault="00977B34" w:rsidP="00BD588C">
      <w:pPr>
        <w:jc w:val="center"/>
      </w:pPr>
      <w:r>
        <w:rPr>
          <w:noProof/>
        </w:rPr>
        <w:drawing>
          <wp:inline distT="0" distB="0" distL="0" distR="0" wp14:anchorId="23E40628" wp14:editId="2309EDD6">
            <wp:extent cx="5715000" cy="2581275"/>
            <wp:effectExtent l="0" t="0" r="0" b="9525"/>
            <wp:docPr id="180" name="Image 180"/>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15000" cy="2581275"/>
                    </a:xfrm>
                    <a:prstGeom prst="rect">
                      <a:avLst/>
                    </a:prstGeom>
                    <a:noFill/>
                    <a:ln>
                      <a:noFill/>
                    </a:ln>
                  </pic:spPr>
                </pic:pic>
              </a:graphicData>
            </a:graphic>
          </wp:inline>
        </w:drawing>
      </w:r>
    </w:p>
    <w:p w14:paraId="3915628C" w14:textId="124B3829" w:rsidR="00BD588C" w:rsidRDefault="00BD588C" w:rsidP="0045532B">
      <w:pPr>
        <w:pStyle w:val="Caption"/>
      </w:pPr>
      <w:bookmarkStart w:id="218" w:name="_Toc123916447"/>
      <w:r>
        <w:t xml:space="preserve">Figure </w:t>
      </w:r>
      <w:fldSimple w:instr=" SEQ Figure \* ARABIC ">
        <w:r w:rsidR="00AB51D9">
          <w:rPr>
            <w:noProof/>
          </w:rPr>
          <w:t>36</w:t>
        </w:r>
      </w:fldSimple>
      <w:r>
        <w:t xml:space="preserve"> : </w:t>
      </w:r>
      <w:r w:rsidR="00977B34">
        <w:t>Taux d’incorporation d’agro-carburants en France métropolitaine</w:t>
      </w:r>
      <w:bookmarkEnd w:id="218"/>
    </w:p>
    <w:p w14:paraId="76FA1EDA" w14:textId="790B1444" w:rsidR="00977B34" w:rsidRDefault="00977B34" w:rsidP="0045532B">
      <w:pPr>
        <w:pStyle w:val="Caption"/>
      </w:pPr>
      <w:r>
        <w:t>Source : CITEPA Sortie OMINEA février 2022</w:t>
      </w:r>
    </w:p>
    <w:p w14:paraId="747E83E9" w14:textId="77777777" w:rsidR="00977B34" w:rsidRDefault="00977B34" w:rsidP="00977B34"/>
    <w:p w14:paraId="34977602" w14:textId="00A42FED" w:rsidR="00977B34" w:rsidRDefault="00977B34" w:rsidP="00977B34">
      <w:r>
        <w:t>En 2020 le secteur routier représente 94,7% des émissions du secteur des transports. Les voitures particulières sont responsables de 52</w:t>
      </w:r>
      <w:r w:rsidR="006518EF">
        <w:t>%</w:t>
      </w:r>
      <w:r>
        <w:t xml:space="preserve"> des émissions de ce secteur ; les poids lourds 26,9% ; les véhicules utilitaires 14,7% ; et les deux roues 1,0%.</w:t>
      </w:r>
    </w:p>
    <w:p w14:paraId="31970803" w14:textId="77777777" w:rsidR="00977B34" w:rsidRDefault="00977B34" w:rsidP="00977B34">
      <w:pPr>
        <w:jc w:val="center"/>
      </w:pPr>
    </w:p>
    <w:p w14:paraId="0A1B3A67" w14:textId="77777777" w:rsidR="00977B34" w:rsidRDefault="00977B34" w:rsidP="00977B34"/>
    <w:p w14:paraId="519C36B1" w14:textId="77777777" w:rsidR="00977B34" w:rsidRDefault="00977B34" w:rsidP="00977B34"/>
    <w:p w14:paraId="70EB03C2" w14:textId="77777777" w:rsidR="00977B34" w:rsidRDefault="00977B34" w:rsidP="00BD588C">
      <w:pPr>
        <w:jc w:val="center"/>
      </w:pPr>
      <w:r>
        <w:rPr>
          <w:noProof/>
        </w:rPr>
        <w:drawing>
          <wp:inline distT="0" distB="0" distL="0" distR="0" wp14:anchorId="393E8CF1" wp14:editId="2FB1BFC3">
            <wp:extent cx="6515100" cy="2519680"/>
            <wp:effectExtent l="0" t="0" r="0" b="0"/>
            <wp:docPr id="18" name="Graphique 18">
              <a:extLst xmlns:a="http://schemas.openxmlformats.org/drawingml/2006/main">
                <a:ext uri="{FF2B5EF4-FFF2-40B4-BE49-F238E27FC236}">
                  <a16:creationId xmlns:a16="http://schemas.microsoft.com/office/drawing/2014/main" id="{238D9D3E-FE04-48A3-8B00-11883E17FD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9C23588" w14:textId="73A30C23" w:rsidR="00BD588C" w:rsidRDefault="00BD588C" w:rsidP="0045532B">
      <w:pPr>
        <w:pStyle w:val="Caption"/>
      </w:pPr>
      <w:bookmarkStart w:id="219" w:name="_Toc123916448"/>
      <w:r>
        <w:t xml:space="preserve">Figure </w:t>
      </w:r>
      <w:fldSimple w:instr=" SEQ Figure \* ARABIC ">
        <w:r w:rsidR="00AB51D9">
          <w:rPr>
            <w:noProof/>
          </w:rPr>
          <w:t>37</w:t>
        </w:r>
      </w:fldSimple>
      <w:r>
        <w:t xml:space="preserve"> : </w:t>
      </w:r>
      <w:r w:rsidR="00977B34" w:rsidRPr="00734C21">
        <w:t xml:space="preserve">Evolution des émissions dans l'air de </w:t>
      </w:r>
      <w:r w:rsidR="007F09F7">
        <w:t>CO</w:t>
      </w:r>
      <w:r w:rsidR="007F09F7" w:rsidRPr="007F09F7">
        <w:rPr>
          <w:vertAlign w:val="subscript"/>
        </w:rPr>
        <w:t>2</w:t>
      </w:r>
      <w:r w:rsidR="004F1EC8" w:rsidRPr="004F1EC8">
        <w:rPr>
          <w:vertAlign w:val="subscript"/>
        </w:rPr>
        <w:t>e</w:t>
      </w:r>
      <w:r w:rsidR="00977B34" w:rsidRPr="00734C21">
        <w:t xml:space="preserve"> du secteur des transports depuis 1990 en France (Métropole et Outre-mer UE)</w:t>
      </w:r>
      <w:bookmarkEnd w:id="219"/>
    </w:p>
    <w:p w14:paraId="1B73B104" w14:textId="3D4922A0" w:rsidR="00977B34" w:rsidRDefault="00977B34" w:rsidP="0045532B">
      <w:pPr>
        <w:pStyle w:val="Caption"/>
      </w:pPr>
      <w:r>
        <w:t>Source : Inventaire Citepa, avril 2022 – Format SECTEN, sorties « Plan Climat Kyoto »</w:t>
      </w:r>
    </w:p>
    <w:p w14:paraId="405AB162" w14:textId="77777777" w:rsidR="00977B34" w:rsidRDefault="00977B34" w:rsidP="00977B34"/>
    <w:p w14:paraId="7253DFA7" w14:textId="77777777" w:rsidR="00977B34" w:rsidRDefault="00977B34" w:rsidP="00977B34"/>
    <w:p w14:paraId="16B80ED2" w14:textId="77777777" w:rsidR="00977B34" w:rsidRDefault="00977B34" w:rsidP="00977B34">
      <w:pPr>
        <w:jc w:val="center"/>
      </w:pPr>
      <w:r>
        <w:rPr>
          <w:noProof/>
        </w:rPr>
        <w:drawing>
          <wp:inline distT="0" distB="0" distL="0" distR="0" wp14:anchorId="511656E2" wp14:editId="610FFB09">
            <wp:extent cx="5767388" cy="3124194"/>
            <wp:effectExtent l="19050" t="0" r="5080" b="635"/>
            <wp:docPr id="50" name="Graphique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4D6478A" w14:textId="09C291BA" w:rsidR="00BD588C" w:rsidRDefault="00BD588C" w:rsidP="0045532B">
      <w:pPr>
        <w:pStyle w:val="Caption"/>
      </w:pPr>
      <w:bookmarkStart w:id="220" w:name="_Toc123916449"/>
      <w:r>
        <w:t xml:space="preserve">Figure </w:t>
      </w:r>
      <w:fldSimple w:instr=" SEQ Figure \* ARABIC ">
        <w:r w:rsidR="00AB51D9">
          <w:rPr>
            <w:noProof/>
          </w:rPr>
          <w:t>38</w:t>
        </w:r>
      </w:fldSimple>
      <w:r>
        <w:t xml:space="preserve"> : </w:t>
      </w:r>
      <w:r w:rsidR="00977B34">
        <w:t>Répartition</w:t>
      </w:r>
      <w:r w:rsidR="00977B34" w:rsidRPr="00734C21">
        <w:t xml:space="preserve"> des émissions d</w:t>
      </w:r>
      <w:r w:rsidR="00977B34">
        <w:t>e GES</w:t>
      </w:r>
      <w:r w:rsidR="00977B34" w:rsidRPr="00734C21">
        <w:t xml:space="preserve"> </w:t>
      </w:r>
      <w:r w:rsidR="00977B34">
        <w:t>par mode de transport</w:t>
      </w:r>
      <w:r w:rsidR="00977B34" w:rsidRPr="00734C21">
        <w:t xml:space="preserve"> en France </w:t>
      </w:r>
      <w:r w:rsidR="00977B34">
        <w:t xml:space="preserve">en 2020 </w:t>
      </w:r>
      <w:r w:rsidR="00977B34" w:rsidRPr="00734C21">
        <w:t>(Métropole et Outre-mer UE)</w:t>
      </w:r>
      <w:bookmarkEnd w:id="220"/>
    </w:p>
    <w:p w14:paraId="32291C9F" w14:textId="2B952C6E" w:rsidR="00977B34" w:rsidRDefault="00977B34" w:rsidP="0045532B">
      <w:pPr>
        <w:pStyle w:val="Caption"/>
      </w:pPr>
      <w:r>
        <w:t>Source : Inventaire Citepa, avril 2022 – Format SECTEN, sorties « Plan Climat Kyoto »</w:t>
      </w:r>
    </w:p>
    <w:p w14:paraId="6E3BBC3A" w14:textId="77777777" w:rsidR="00977B34" w:rsidRDefault="00977B34" w:rsidP="00977B34"/>
    <w:p w14:paraId="04B0ED51" w14:textId="77777777" w:rsidR="00977B34" w:rsidRDefault="00977B34" w:rsidP="00977B34">
      <w:r>
        <w:t xml:space="preserve">Les transports alternatifs au transport routier ne représentent en termes d’émissions que 5,5% du secteur des transports. Concernant le trafic aérien, seules les émissions de GES du trafic aérien des vols domestiques (y compris l’outre-mer), sont prises en compte, quelle que soit la compagnie. Les émissions du trafic aérien international sont également estimées mais rapportées hors total national ; ces émissions se limitent aux ventes de carburants sur le territoire français. Les émissions unitaires des vols intérieurs, plus courts, où les phases de décollage et d’atterrissage particulièrement émettrices sont proches, sont plus élevées que celles des vols vers l’outre-mer ou des vols internationaux. </w:t>
      </w:r>
    </w:p>
    <w:p w14:paraId="128CF3CD" w14:textId="77777777" w:rsidR="00977B34" w:rsidRDefault="00977B34" w:rsidP="00977B34"/>
    <w:p w14:paraId="4471BBDD" w14:textId="77777777" w:rsidR="00977B34" w:rsidRDefault="00977B34" w:rsidP="00977B34">
      <w:pPr>
        <w:jc w:val="center"/>
      </w:pPr>
      <w:r>
        <w:rPr>
          <w:noProof/>
        </w:rPr>
        <w:drawing>
          <wp:inline distT="0" distB="0" distL="0" distR="0" wp14:anchorId="3D1E676E" wp14:editId="5272B4A9">
            <wp:extent cx="5710238" cy="2886069"/>
            <wp:effectExtent l="0" t="0" r="5080" b="10160"/>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854A25E" w14:textId="5A506F2B" w:rsidR="00FF3B71" w:rsidRDefault="00FF3B71" w:rsidP="0045532B">
      <w:pPr>
        <w:pStyle w:val="Caption"/>
      </w:pPr>
      <w:bookmarkStart w:id="221" w:name="_Toc123916450"/>
      <w:r>
        <w:t xml:space="preserve">Figure </w:t>
      </w:r>
      <w:fldSimple w:instr=" SEQ Figure \* ARABIC ">
        <w:r w:rsidR="00AB51D9">
          <w:rPr>
            <w:noProof/>
          </w:rPr>
          <w:t>39</w:t>
        </w:r>
      </w:fldSimple>
      <w:r>
        <w:t xml:space="preserve"> : </w:t>
      </w:r>
      <w:r w:rsidR="00977B34">
        <w:t>Emissions des secteurs autres que routier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221"/>
    </w:p>
    <w:p w14:paraId="093FADA9" w14:textId="3F0545D4" w:rsidR="00977B34" w:rsidRDefault="00977B34" w:rsidP="0045532B">
      <w:pPr>
        <w:pStyle w:val="Caption"/>
      </w:pPr>
      <w:r>
        <w:t>Source : Inventaire Citepa, avril 2022 – Format SECTEN, sorties « Plan Climat Kyoto »</w:t>
      </w:r>
    </w:p>
    <w:p w14:paraId="6AF5DA79" w14:textId="77777777" w:rsidR="00977B34" w:rsidRDefault="00977B34" w:rsidP="00977B34"/>
    <w:p w14:paraId="74CB48FE" w14:textId="0825670F" w:rsidR="00977B34" w:rsidRDefault="00977B34" w:rsidP="00EF6DB6">
      <w:pPr>
        <w:pStyle w:val="Titre4niveau4"/>
      </w:pPr>
      <w:r w:rsidRPr="005B1232">
        <w:t xml:space="preserve">Le secteur </w:t>
      </w:r>
      <w:r>
        <w:t>résidentiel/tertiaire</w:t>
      </w:r>
      <w:r w:rsidRPr="005B1232">
        <w:t xml:space="preserve"> (CRF 1A</w:t>
      </w:r>
      <w:r>
        <w:t>4a et 1A4b,</w:t>
      </w:r>
      <w:r w:rsidRPr="005B1232">
        <w:t xml:space="preserve"> et </w:t>
      </w:r>
      <w:r>
        <w:t xml:space="preserve">CRF </w:t>
      </w:r>
      <w:r w:rsidRPr="005B1232">
        <w:t>2 en partie)</w:t>
      </w:r>
    </w:p>
    <w:p w14:paraId="35BC2DFD" w14:textId="4E07C7B5" w:rsidR="00977B34" w:rsidRDefault="00977B34" w:rsidP="00977B34">
      <w:r>
        <w:t>Le secteur résidentiel/tertiaire représente en 2020 18% des émissions nationales, soit 71 Mt</w:t>
      </w:r>
      <w:r w:rsidR="007F09F7">
        <w:t>CO</w:t>
      </w:r>
      <w:r w:rsidR="007F09F7" w:rsidRPr="007F09F7">
        <w:rPr>
          <w:vertAlign w:val="subscript"/>
        </w:rPr>
        <w:t>2</w:t>
      </w:r>
      <w:r w:rsidR="004F1EC8" w:rsidRPr="004F1EC8">
        <w:rPr>
          <w:vertAlign w:val="subscript"/>
        </w:rPr>
        <w:t>e</w:t>
      </w:r>
      <w:r>
        <w:t>, en baisse de 5,8% par rapport à 2019 et de 23,5% par rapport à 1990. Les émissions de ce secteur ont augmenté jusqu’en 2009-2010 et ont entamé une baisse, particulièrement prononcée à partir de 2015. Les politiques et mesures mises en place depuis 1990, notamment les réglementations thermiques successives pour les construction neuves, ont permis de compenser la hausse du nombre de logements. La baisse de la part du fioul et le développement du gaz ont également contribué à la baisse des émissions de ce secteur.</w:t>
      </w:r>
    </w:p>
    <w:p w14:paraId="0F3D042D" w14:textId="77777777" w:rsidR="00977B34" w:rsidRDefault="00977B34" w:rsidP="00977B34"/>
    <w:p w14:paraId="32D5EDD8" w14:textId="77777777" w:rsidR="00977B34" w:rsidRDefault="00977B34" w:rsidP="00977B34"/>
    <w:p w14:paraId="5412337C" w14:textId="77777777" w:rsidR="00977B34" w:rsidRDefault="00977B34" w:rsidP="00977B34">
      <w:pPr>
        <w:jc w:val="center"/>
      </w:pPr>
      <w:r>
        <w:rPr>
          <w:noProof/>
        </w:rPr>
        <w:drawing>
          <wp:inline distT="0" distB="0" distL="0" distR="0" wp14:anchorId="15899F19" wp14:editId="5BA9448B">
            <wp:extent cx="5486400" cy="2947035"/>
            <wp:effectExtent l="0" t="0" r="0" b="571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11F7A68" w14:textId="0DD3F1EB" w:rsidR="00FF3B71" w:rsidRDefault="00FF3B71" w:rsidP="0045532B">
      <w:pPr>
        <w:pStyle w:val="Caption"/>
      </w:pPr>
      <w:bookmarkStart w:id="222" w:name="_Toc123916451"/>
      <w:r>
        <w:t xml:space="preserve">Figure </w:t>
      </w:r>
      <w:fldSimple w:instr=" SEQ Figure \* ARABIC ">
        <w:r w:rsidR="00AB51D9">
          <w:rPr>
            <w:noProof/>
          </w:rPr>
          <w:t>40</w:t>
        </w:r>
      </w:fldSimple>
      <w:r>
        <w:t xml:space="preserve"> : </w:t>
      </w:r>
      <w:r w:rsidR="00977B34">
        <w:t>Emissions des secteurs résidentiel et tertiaire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222"/>
    </w:p>
    <w:p w14:paraId="21B6166B" w14:textId="1540C703" w:rsidR="00977B34" w:rsidRDefault="00977B34" w:rsidP="0045532B">
      <w:pPr>
        <w:pStyle w:val="Caption"/>
      </w:pPr>
      <w:r>
        <w:t>Source : Inventaire Citepa, avril 2022 – Format SECTEN, sorties « Plan Climat Kyoto »</w:t>
      </w:r>
    </w:p>
    <w:p w14:paraId="6186D971" w14:textId="77777777" w:rsidR="00977B34" w:rsidRDefault="00977B34" w:rsidP="00977B34"/>
    <w:p w14:paraId="0D50A456" w14:textId="13782EA3" w:rsidR="00977B34" w:rsidRDefault="00977B34" w:rsidP="00977B34">
      <w:r>
        <w:t>Les émissions de gaz fluorés qui étaient très basses en 1990 (0,1 Mt</w:t>
      </w:r>
      <w:r w:rsidR="007F09F7">
        <w:t>CO</w:t>
      </w:r>
      <w:r w:rsidR="007F09F7" w:rsidRPr="007F09F7">
        <w:rPr>
          <w:vertAlign w:val="subscript"/>
        </w:rPr>
        <w:t>2</w:t>
      </w:r>
      <w:r w:rsidR="004F1EC8" w:rsidRPr="004F1EC8">
        <w:rPr>
          <w:vertAlign w:val="subscript"/>
        </w:rPr>
        <w:t>e</w:t>
      </w:r>
      <w:r>
        <w:t>) ont augmenté jusqu’à atteindre 19,3 Mt</w:t>
      </w:r>
      <w:r w:rsidR="007F09F7">
        <w:t>CO</w:t>
      </w:r>
      <w:r w:rsidR="007F09F7" w:rsidRPr="007F09F7">
        <w:rPr>
          <w:vertAlign w:val="subscript"/>
        </w:rPr>
        <w:t>2</w:t>
      </w:r>
      <w:r w:rsidR="004F1EC8" w:rsidRPr="004F1EC8">
        <w:rPr>
          <w:vertAlign w:val="subscript"/>
        </w:rPr>
        <w:t>e</w:t>
      </w:r>
      <w:r>
        <w:t xml:space="preserve"> en 2012, puis ont entamé une baisse. Cette forte augmentation est à lier au développement de la climatisation.</w:t>
      </w:r>
    </w:p>
    <w:p w14:paraId="69BD3A60" w14:textId="4798D8A2" w:rsidR="00977B34" w:rsidRDefault="00977B34" w:rsidP="00EF6DB6">
      <w:pPr>
        <w:pStyle w:val="Titre4niveau4"/>
      </w:pPr>
      <w:r w:rsidRPr="0074602A">
        <w:t>Le secteur de l’industrie manufacturière (CRF 1A2, CRF 2 en partie)</w:t>
      </w:r>
    </w:p>
    <w:p w14:paraId="1B756B7D" w14:textId="47BB090B" w:rsidR="00977B34" w:rsidRDefault="00977B34" w:rsidP="00977B34">
      <w:r>
        <w:t xml:space="preserve">Les émissions de l’industrie proviennent essentiellement des produits intensifs en </w:t>
      </w:r>
      <w:r w:rsidR="007F09F7">
        <w:t>CO</w:t>
      </w:r>
      <w:r w:rsidR="007F09F7" w:rsidRPr="007F09F7">
        <w:rPr>
          <w:vertAlign w:val="subscript"/>
        </w:rPr>
        <w:t>2</w:t>
      </w:r>
      <w:r>
        <w:t xml:space="preserve"> comme la métallurgie, la chimie ou la fabrication de minéraux non métalliques (ciments, chaux, verre</w:t>
      </w:r>
      <w:r w:rsidR="00BF6E90">
        <w:t xml:space="preserve">, </w:t>
      </w:r>
      <w:r>
        <w:t xml:space="preserve">….). En France l’intensité </w:t>
      </w:r>
      <w:r w:rsidR="007F09F7">
        <w:t>CO</w:t>
      </w:r>
      <w:r w:rsidR="007F09F7" w:rsidRPr="007F09F7">
        <w:rPr>
          <w:vertAlign w:val="subscript"/>
        </w:rPr>
        <w:t>2</w:t>
      </w:r>
      <w:r>
        <w:t xml:space="preserve"> de l’acier est de l’ordre de 1,1 t</w:t>
      </w:r>
      <w:r w:rsidR="007F09F7">
        <w:t>CO</w:t>
      </w:r>
      <w:r w:rsidR="007F09F7" w:rsidRPr="007F09F7">
        <w:rPr>
          <w:vertAlign w:val="subscript"/>
        </w:rPr>
        <w:t>2</w:t>
      </w:r>
      <w:r>
        <w:t>/tonne ; celle du ciment de l’ordre de 0,6 t</w:t>
      </w:r>
      <w:r w:rsidR="007F09F7">
        <w:t>CO</w:t>
      </w:r>
      <w:r w:rsidR="007F09F7" w:rsidRPr="007F09F7">
        <w:rPr>
          <w:vertAlign w:val="subscript"/>
        </w:rPr>
        <w:t>2</w:t>
      </w:r>
      <w:r>
        <w:t>/tonne ; celle du verre autour de 0,6 t</w:t>
      </w:r>
      <w:r w:rsidR="007F09F7">
        <w:t>CO</w:t>
      </w:r>
      <w:r w:rsidR="007F09F7" w:rsidRPr="007F09F7">
        <w:rPr>
          <w:vertAlign w:val="subscript"/>
        </w:rPr>
        <w:t>2</w:t>
      </w:r>
      <w:r>
        <w:t>/tonne.</w:t>
      </w:r>
    </w:p>
    <w:p w14:paraId="02A9627F" w14:textId="77777777" w:rsidR="00977B34" w:rsidRDefault="00977B34" w:rsidP="00977B34">
      <w:r>
        <w:t xml:space="preserve">Entre 1990 et 2020 les émissions de l’industrie ont baissé de 50% : cette baisse se retrouve dans tous les secteurs de l’industrie mais est particulièrement importante dans la chimie (-64,5%). Cette évolution est à mettre au crédit de l’amélioration des procédés et des gains d’efficacité énergétique et carbone. </w:t>
      </w:r>
    </w:p>
    <w:p w14:paraId="37344B93" w14:textId="77777777" w:rsidR="00977B34" w:rsidRDefault="00977B34" w:rsidP="00977B34"/>
    <w:p w14:paraId="6C440B09" w14:textId="77777777" w:rsidR="00977B34" w:rsidRDefault="00977B34" w:rsidP="00FF3B71">
      <w:pPr>
        <w:jc w:val="center"/>
      </w:pPr>
      <w:r>
        <w:rPr>
          <w:noProof/>
        </w:rPr>
        <w:drawing>
          <wp:inline distT="0" distB="0" distL="0" distR="0" wp14:anchorId="07B766C2" wp14:editId="21EDE749">
            <wp:extent cx="6743700" cy="3462655"/>
            <wp:effectExtent l="0" t="0" r="0" b="4445"/>
            <wp:docPr id="24" name="Graphique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BFEC2E4" w14:textId="5B6F91AE" w:rsidR="00FF3B71" w:rsidRDefault="00FF3B71" w:rsidP="0045532B">
      <w:pPr>
        <w:pStyle w:val="Caption"/>
      </w:pPr>
      <w:bookmarkStart w:id="223" w:name="_Toc123916452"/>
      <w:r>
        <w:t xml:space="preserve">Figure </w:t>
      </w:r>
      <w:fldSimple w:instr=" SEQ Figure \* ARABIC ">
        <w:r w:rsidR="00AB51D9">
          <w:rPr>
            <w:noProof/>
          </w:rPr>
          <w:t>41</w:t>
        </w:r>
      </w:fldSimple>
      <w:r>
        <w:t xml:space="preserve"> : </w:t>
      </w:r>
      <w:r w:rsidR="00977B34">
        <w:t>Emissions des secteurs de l’industrie manufacturière et la construction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223"/>
    </w:p>
    <w:p w14:paraId="40E65F9A" w14:textId="12C8862A" w:rsidR="00977B34" w:rsidRDefault="00977B34" w:rsidP="0045532B">
      <w:pPr>
        <w:pStyle w:val="Caption"/>
      </w:pPr>
      <w:r>
        <w:t>Source : Inventaire Citepa, avril 2022 – Format SECTEN, sorties « Plan Climat Kyoto »</w:t>
      </w:r>
    </w:p>
    <w:p w14:paraId="31CFC66F" w14:textId="77C85B23" w:rsidR="00ED5D38" w:rsidRDefault="00ED5D38" w:rsidP="00ED5D38"/>
    <w:p w14:paraId="17ACAD16" w14:textId="77777777" w:rsidR="00ED5D38" w:rsidRPr="00ED5D38" w:rsidRDefault="00ED5D38" w:rsidP="00BE086C">
      <w:pPr>
        <w:pStyle w:val="ListParagraph"/>
        <w:keepNext/>
        <w:keepLines/>
        <w:numPr>
          <w:ilvl w:val="1"/>
          <w:numId w:val="52"/>
        </w:numPr>
        <w:spacing w:before="480" w:after="240" w:line="240" w:lineRule="exact"/>
        <w:ind w:right="1701"/>
        <w:contextualSpacing w:val="0"/>
        <w:outlineLvl w:val="2"/>
        <w:rPr>
          <w:rFonts w:asciiTheme="majorHAnsi" w:eastAsiaTheme="majorEastAsia" w:hAnsiTheme="majorHAnsi" w:cs="Times New Roman (Titres CS)"/>
          <w:b/>
          <w:vanish/>
          <w:szCs w:val="21"/>
        </w:rPr>
      </w:pPr>
      <w:bookmarkStart w:id="224" w:name="_Toc121423592"/>
      <w:bookmarkStart w:id="225" w:name="_Toc121424942"/>
      <w:bookmarkStart w:id="226" w:name="_Toc121430998"/>
      <w:bookmarkStart w:id="227" w:name="_Toc121431335"/>
      <w:bookmarkStart w:id="228" w:name="_Toc121431496"/>
      <w:bookmarkStart w:id="229" w:name="_Toc121431658"/>
      <w:bookmarkStart w:id="230" w:name="_Toc121431821"/>
      <w:bookmarkStart w:id="231" w:name="_Toc121431983"/>
      <w:bookmarkStart w:id="232" w:name="_Toc121491637"/>
      <w:bookmarkStart w:id="233" w:name="_Toc121491782"/>
      <w:bookmarkStart w:id="234" w:name="_Toc121491929"/>
      <w:bookmarkStart w:id="235" w:name="_Toc121492075"/>
      <w:bookmarkStart w:id="236" w:name="_Toc121492221"/>
      <w:bookmarkStart w:id="237" w:name="_Toc121493260"/>
      <w:bookmarkStart w:id="238" w:name="_Toc121493405"/>
      <w:bookmarkStart w:id="239" w:name="_Toc121493550"/>
      <w:bookmarkStart w:id="240" w:name="_Toc121753517"/>
      <w:bookmarkStart w:id="241" w:name="_Toc121754980"/>
      <w:bookmarkStart w:id="242" w:name="_Toc121997932"/>
      <w:bookmarkStart w:id="243" w:name="_Toc122004351"/>
      <w:bookmarkStart w:id="244" w:name="_Toc122004516"/>
      <w:bookmarkStart w:id="245" w:name="_Toc122007019"/>
      <w:bookmarkStart w:id="246" w:name="_Toc122031452"/>
      <w:bookmarkStart w:id="247" w:name="_Toc122032424"/>
      <w:bookmarkStart w:id="248" w:name="_Toc122099425"/>
      <w:bookmarkStart w:id="249" w:name="_Toc122365853"/>
      <w:bookmarkStart w:id="250" w:name="_Toc122366022"/>
      <w:bookmarkStart w:id="251" w:name="_Toc122366193"/>
      <w:bookmarkStart w:id="252" w:name="_Toc122366682"/>
      <w:bookmarkStart w:id="253" w:name="_Toc122370091"/>
      <w:bookmarkStart w:id="254" w:name="_Toc122370271"/>
      <w:bookmarkStart w:id="255" w:name="_Toc122370451"/>
      <w:bookmarkStart w:id="256" w:name="_Toc122692560"/>
      <w:bookmarkStart w:id="257" w:name="_Toc122692736"/>
      <w:bookmarkStart w:id="258" w:name="_Toc122694222"/>
      <w:bookmarkStart w:id="259" w:name="_Toc122981938"/>
      <w:bookmarkStart w:id="260" w:name="_Toc122982116"/>
      <w:bookmarkStart w:id="261" w:name="_Toc122982293"/>
      <w:bookmarkStart w:id="262" w:name="_Toc122982470"/>
      <w:bookmarkStart w:id="263" w:name="_Toc122982647"/>
      <w:bookmarkStart w:id="264" w:name="_Toc123070084"/>
      <w:bookmarkStart w:id="265" w:name="_Toc123208181"/>
      <w:bookmarkStart w:id="266" w:name="_Toc123281481"/>
      <w:bookmarkStart w:id="267" w:name="_Toc123905226"/>
      <w:bookmarkStart w:id="268" w:name="_Toc123909285"/>
      <w:bookmarkStart w:id="269" w:name="_Toc123912825"/>
      <w:bookmarkStart w:id="270" w:name="_Toc123916288"/>
      <w:bookmarkStart w:id="271" w:name="_Toc138341984"/>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772BED35" w14:textId="77777777" w:rsidR="00ED5D38" w:rsidRPr="00ED5D38" w:rsidRDefault="00ED5D38" w:rsidP="00BE086C">
      <w:pPr>
        <w:pStyle w:val="ListParagraph"/>
        <w:keepNext/>
        <w:keepLines/>
        <w:numPr>
          <w:ilvl w:val="1"/>
          <w:numId w:val="52"/>
        </w:numPr>
        <w:spacing w:before="480" w:after="240" w:line="240" w:lineRule="exact"/>
        <w:ind w:right="1701"/>
        <w:contextualSpacing w:val="0"/>
        <w:outlineLvl w:val="2"/>
        <w:rPr>
          <w:rFonts w:asciiTheme="majorHAnsi" w:eastAsiaTheme="majorEastAsia" w:hAnsiTheme="majorHAnsi" w:cs="Times New Roman (Titres CS)"/>
          <w:b/>
          <w:vanish/>
          <w:szCs w:val="21"/>
        </w:rPr>
      </w:pPr>
      <w:bookmarkStart w:id="272" w:name="_Toc121423593"/>
      <w:bookmarkStart w:id="273" w:name="_Toc121424943"/>
      <w:bookmarkStart w:id="274" w:name="_Toc121430999"/>
      <w:bookmarkStart w:id="275" w:name="_Toc121431336"/>
      <w:bookmarkStart w:id="276" w:name="_Toc121431497"/>
      <w:bookmarkStart w:id="277" w:name="_Toc121431659"/>
      <w:bookmarkStart w:id="278" w:name="_Toc121431822"/>
      <w:bookmarkStart w:id="279" w:name="_Toc121431984"/>
      <w:bookmarkStart w:id="280" w:name="_Toc121491638"/>
      <w:bookmarkStart w:id="281" w:name="_Toc121491783"/>
      <w:bookmarkStart w:id="282" w:name="_Toc121491930"/>
      <w:bookmarkStart w:id="283" w:name="_Toc121492076"/>
      <w:bookmarkStart w:id="284" w:name="_Toc121492222"/>
      <w:bookmarkStart w:id="285" w:name="_Toc121493261"/>
      <w:bookmarkStart w:id="286" w:name="_Toc121493406"/>
      <w:bookmarkStart w:id="287" w:name="_Toc121493551"/>
      <w:bookmarkStart w:id="288" w:name="_Toc121753518"/>
      <w:bookmarkStart w:id="289" w:name="_Toc121754981"/>
      <w:bookmarkStart w:id="290" w:name="_Toc121997933"/>
      <w:bookmarkStart w:id="291" w:name="_Toc122004352"/>
      <w:bookmarkStart w:id="292" w:name="_Toc122004517"/>
      <w:bookmarkStart w:id="293" w:name="_Toc122007020"/>
      <w:bookmarkStart w:id="294" w:name="_Toc122031453"/>
      <w:bookmarkStart w:id="295" w:name="_Toc122032425"/>
      <w:bookmarkStart w:id="296" w:name="_Toc122099426"/>
      <w:bookmarkStart w:id="297" w:name="_Toc122365854"/>
      <w:bookmarkStart w:id="298" w:name="_Toc122366023"/>
      <w:bookmarkStart w:id="299" w:name="_Toc122366194"/>
      <w:bookmarkStart w:id="300" w:name="_Toc122366683"/>
      <w:bookmarkStart w:id="301" w:name="_Toc122370092"/>
      <w:bookmarkStart w:id="302" w:name="_Toc122370272"/>
      <w:bookmarkStart w:id="303" w:name="_Toc122370452"/>
      <w:bookmarkStart w:id="304" w:name="_Toc122692561"/>
      <w:bookmarkStart w:id="305" w:name="_Toc122692737"/>
      <w:bookmarkStart w:id="306" w:name="_Toc122694223"/>
      <w:bookmarkStart w:id="307" w:name="_Toc122981939"/>
      <w:bookmarkStart w:id="308" w:name="_Toc122982117"/>
      <w:bookmarkStart w:id="309" w:name="_Toc122982294"/>
      <w:bookmarkStart w:id="310" w:name="_Toc122982471"/>
      <w:bookmarkStart w:id="311" w:name="_Toc122982648"/>
      <w:bookmarkStart w:id="312" w:name="_Toc123070085"/>
      <w:bookmarkStart w:id="313" w:name="_Toc123208182"/>
      <w:bookmarkStart w:id="314" w:name="_Toc123281482"/>
      <w:bookmarkStart w:id="315" w:name="_Toc123905227"/>
      <w:bookmarkStart w:id="316" w:name="_Toc123909286"/>
      <w:bookmarkStart w:id="317" w:name="_Toc123912826"/>
      <w:bookmarkStart w:id="318" w:name="_Toc123916289"/>
      <w:bookmarkStart w:id="319" w:name="_Toc138341985"/>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14:paraId="60017BBB" w14:textId="77777777" w:rsidR="00ED5D38" w:rsidRPr="00ED5D38" w:rsidRDefault="00ED5D38" w:rsidP="00BE086C">
      <w:pPr>
        <w:pStyle w:val="ListParagraph"/>
        <w:keepNext/>
        <w:keepLines/>
        <w:numPr>
          <w:ilvl w:val="1"/>
          <w:numId w:val="52"/>
        </w:numPr>
        <w:spacing w:before="480" w:after="240" w:line="240" w:lineRule="exact"/>
        <w:ind w:right="1701"/>
        <w:contextualSpacing w:val="0"/>
        <w:outlineLvl w:val="2"/>
        <w:rPr>
          <w:rFonts w:asciiTheme="majorHAnsi" w:eastAsiaTheme="majorEastAsia" w:hAnsiTheme="majorHAnsi" w:cs="Times New Roman (Titres CS)"/>
          <w:b/>
          <w:vanish/>
          <w:szCs w:val="21"/>
        </w:rPr>
      </w:pPr>
      <w:bookmarkStart w:id="320" w:name="_Toc121423594"/>
      <w:bookmarkStart w:id="321" w:name="_Toc121424944"/>
      <w:bookmarkStart w:id="322" w:name="_Toc121431000"/>
      <w:bookmarkStart w:id="323" w:name="_Toc121431337"/>
      <w:bookmarkStart w:id="324" w:name="_Toc121431498"/>
      <w:bookmarkStart w:id="325" w:name="_Toc121431660"/>
      <w:bookmarkStart w:id="326" w:name="_Toc121431823"/>
      <w:bookmarkStart w:id="327" w:name="_Toc121431985"/>
      <w:bookmarkStart w:id="328" w:name="_Toc121491639"/>
      <w:bookmarkStart w:id="329" w:name="_Toc121491784"/>
      <w:bookmarkStart w:id="330" w:name="_Toc121491931"/>
      <w:bookmarkStart w:id="331" w:name="_Toc121492077"/>
      <w:bookmarkStart w:id="332" w:name="_Toc121492223"/>
      <w:bookmarkStart w:id="333" w:name="_Toc121493262"/>
      <w:bookmarkStart w:id="334" w:name="_Toc121493407"/>
      <w:bookmarkStart w:id="335" w:name="_Toc121493552"/>
      <w:bookmarkStart w:id="336" w:name="_Toc121753519"/>
      <w:bookmarkStart w:id="337" w:name="_Toc121754982"/>
      <w:bookmarkStart w:id="338" w:name="_Toc121997934"/>
      <w:bookmarkStart w:id="339" w:name="_Toc122004353"/>
      <w:bookmarkStart w:id="340" w:name="_Toc122004518"/>
      <w:bookmarkStart w:id="341" w:name="_Toc122007021"/>
      <w:bookmarkStart w:id="342" w:name="_Toc122031454"/>
      <w:bookmarkStart w:id="343" w:name="_Toc122032426"/>
      <w:bookmarkStart w:id="344" w:name="_Toc122099427"/>
      <w:bookmarkStart w:id="345" w:name="_Toc122365855"/>
      <w:bookmarkStart w:id="346" w:name="_Toc122366024"/>
      <w:bookmarkStart w:id="347" w:name="_Toc122366195"/>
      <w:bookmarkStart w:id="348" w:name="_Toc122366684"/>
      <w:bookmarkStart w:id="349" w:name="_Toc122370093"/>
      <w:bookmarkStart w:id="350" w:name="_Toc122370273"/>
      <w:bookmarkStart w:id="351" w:name="_Toc122370453"/>
      <w:bookmarkStart w:id="352" w:name="_Toc122692562"/>
      <w:bookmarkStart w:id="353" w:name="_Toc122692738"/>
      <w:bookmarkStart w:id="354" w:name="_Toc122694224"/>
      <w:bookmarkStart w:id="355" w:name="_Toc122981940"/>
      <w:bookmarkStart w:id="356" w:name="_Toc122982118"/>
      <w:bookmarkStart w:id="357" w:name="_Toc122982295"/>
      <w:bookmarkStart w:id="358" w:name="_Toc122982472"/>
      <w:bookmarkStart w:id="359" w:name="_Toc122982649"/>
      <w:bookmarkStart w:id="360" w:name="_Toc123070086"/>
      <w:bookmarkStart w:id="361" w:name="_Toc123208183"/>
      <w:bookmarkStart w:id="362" w:name="_Toc123281483"/>
      <w:bookmarkStart w:id="363" w:name="_Toc123905228"/>
      <w:bookmarkStart w:id="364" w:name="_Toc123909287"/>
      <w:bookmarkStart w:id="365" w:name="_Toc123912827"/>
      <w:bookmarkStart w:id="366" w:name="_Toc123916290"/>
      <w:bookmarkStart w:id="367" w:name="_Toc138341986"/>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14:paraId="4C5A6275" w14:textId="77777777" w:rsidR="00ED5D38" w:rsidRPr="00ED5D38" w:rsidRDefault="00ED5D38" w:rsidP="00BE086C">
      <w:pPr>
        <w:pStyle w:val="ListParagraph"/>
        <w:keepNext/>
        <w:keepLines/>
        <w:numPr>
          <w:ilvl w:val="1"/>
          <w:numId w:val="52"/>
        </w:numPr>
        <w:spacing w:before="480" w:after="240" w:line="240" w:lineRule="exact"/>
        <w:ind w:right="1701"/>
        <w:contextualSpacing w:val="0"/>
        <w:outlineLvl w:val="2"/>
        <w:rPr>
          <w:rFonts w:asciiTheme="majorHAnsi" w:eastAsiaTheme="majorEastAsia" w:hAnsiTheme="majorHAnsi" w:cs="Times New Roman (Titres CS)"/>
          <w:b/>
          <w:vanish/>
          <w:szCs w:val="21"/>
        </w:rPr>
      </w:pPr>
      <w:bookmarkStart w:id="368" w:name="_Toc121423595"/>
      <w:bookmarkStart w:id="369" w:name="_Toc121424945"/>
      <w:bookmarkStart w:id="370" w:name="_Toc121431001"/>
      <w:bookmarkStart w:id="371" w:name="_Toc121431338"/>
      <w:bookmarkStart w:id="372" w:name="_Toc121431499"/>
      <w:bookmarkStart w:id="373" w:name="_Toc121431661"/>
      <w:bookmarkStart w:id="374" w:name="_Toc121431824"/>
      <w:bookmarkStart w:id="375" w:name="_Toc121431986"/>
      <w:bookmarkStart w:id="376" w:name="_Toc121491640"/>
      <w:bookmarkStart w:id="377" w:name="_Toc121491785"/>
      <w:bookmarkStart w:id="378" w:name="_Toc121491932"/>
      <w:bookmarkStart w:id="379" w:name="_Toc121492078"/>
      <w:bookmarkStart w:id="380" w:name="_Toc121492224"/>
      <w:bookmarkStart w:id="381" w:name="_Toc121493263"/>
      <w:bookmarkStart w:id="382" w:name="_Toc121493408"/>
      <w:bookmarkStart w:id="383" w:name="_Toc121493553"/>
      <w:bookmarkStart w:id="384" w:name="_Toc121753520"/>
      <w:bookmarkStart w:id="385" w:name="_Toc121754983"/>
      <w:bookmarkStart w:id="386" w:name="_Toc121997935"/>
      <w:bookmarkStart w:id="387" w:name="_Toc122004354"/>
      <w:bookmarkStart w:id="388" w:name="_Toc122004519"/>
      <w:bookmarkStart w:id="389" w:name="_Toc122007022"/>
      <w:bookmarkStart w:id="390" w:name="_Toc122031455"/>
      <w:bookmarkStart w:id="391" w:name="_Toc122032427"/>
      <w:bookmarkStart w:id="392" w:name="_Toc122099428"/>
      <w:bookmarkStart w:id="393" w:name="_Toc122365856"/>
      <w:bookmarkStart w:id="394" w:name="_Toc122366025"/>
      <w:bookmarkStart w:id="395" w:name="_Toc122366196"/>
      <w:bookmarkStart w:id="396" w:name="_Toc122366685"/>
      <w:bookmarkStart w:id="397" w:name="_Toc122370094"/>
      <w:bookmarkStart w:id="398" w:name="_Toc122370274"/>
      <w:bookmarkStart w:id="399" w:name="_Toc122370454"/>
      <w:bookmarkStart w:id="400" w:name="_Toc122692563"/>
      <w:bookmarkStart w:id="401" w:name="_Toc122692739"/>
      <w:bookmarkStart w:id="402" w:name="_Toc122694225"/>
      <w:bookmarkStart w:id="403" w:name="_Toc122981941"/>
      <w:bookmarkStart w:id="404" w:name="_Toc122982119"/>
      <w:bookmarkStart w:id="405" w:name="_Toc122982296"/>
      <w:bookmarkStart w:id="406" w:name="_Toc122982473"/>
      <w:bookmarkStart w:id="407" w:name="_Toc122982650"/>
      <w:bookmarkStart w:id="408" w:name="_Toc123070087"/>
      <w:bookmarkStart w:id="409" w:name="_Toc123208184"/>
      <w:bookmarkStart w:id="410" w:name="_Toc123281484"/>
      <w:bookmarkStart w:id="411" w:name="_Toc123905229"/>
      <w:bookmarkStart w:id="412" w:name="_Toc123909288"/>
      <w:bookmarkStart w:id="413" w:name="_Toc123912828"/>
      <w:bookmarkStart w:id="414" w:name="_Toc123916291"/>
      <w:bookmarkStart w:id="415" w:name="_Toc13834198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3A0ABA20" w14:textId="77777777" w:rsidR="00ED5D38" w:rsidRPr="00ED5D38" w:rsidRDefault="00ED5D38" w:rsidP="00BE086C">
      <w:pPr>
        <w:pStyle w:val="ListParagraph"/>
        <w:keepNext/>
        <w:keepLines/>
        <w:numPr>
          <w:ilvl w:val="2"/>
          <w:numId w:val="52"/>
        </w:numPr>
        <w:spacing w:before="240" w:after="60" w:line="260" w:lineRule="atLeast"/>
        <w:contextualSpacing w:val="0"/>
        <w:outlineLvl w:val="3"/>
        <w:rPr>
          <w:rFonts w:asciiTheme="majorHAnsi" w:eastAsiaTheme="majorEastAsia" w:hAnsiTheme="majorHAnsi" w:cstheme="majorBidi"/>
          <w:b/>
          <w:bCs/>
          <w:iCs/>
          <w:vanish/>
          <w:sz w:val="20"/>
          <w:szCs w:val="20"/>
        </w:rPr>
      </w:pPr>
    </w:p>
    <w:p w14:paraId="4F3FEA61" w14:textId="77777777" w:rsidR="00ED5D38" w:rsidRPr="00ED5D38" w:rsidRDefault="00ED5D38" w:rsidP="00BE086C">
      <w:pPr>
        <w:pStyle w:val="ListParagraph"/>
        <w:keepNext/>
        <w:keepLines/>
        <w:numPr>
          <w:ilvl w:val="2"/>
          <w:numId w:val="52"/>
        </w:numPr>
        <w:spacing w:before="240" w:after="60" w:line="260" w:lineRule="atLeast"/>
        <w:contextualSpacing w:val="0"/>
        <w:outlineLvl w:val="3"/>
        <w:rPr>
          <w:rFonts w:asciiTheme="majorHAnsi" w:eastAsiaTheme="majorEastAsia" w:hAnsiTheme="majorHAnsi" w:cstheme="majorBidi"/>
          <w:b/>
          <w:bCs/>
          <w:iCs/>
          <w:vanish/>
          <w:sz w:val="20"/>
          <w:szCs w:val="20"/>
        </w:rPr>
      </w:pPr>
    </w:p>
    <w:p w14:paraId="07293976" w14:textId="77777777" w:rsidR="00ED5D38" w:rsidRPr="00ED5D38" w:rsidRDefault="00ED5D38" w:rsidP="00BE086C">
      <w:pPr>
        <w:pStyle w:val="ListParagraph"/>
        <w:keepNext/>
        <w:keepLines/>
        <w:numPr>
          <w:ilvl w:val="2"/>
          <w:numId w:val="52"/>
        </w:numPr>
        <w:spacing w:before="240" w:after="60" w:line="260" w:lineRule="atLeast"/>
        <w:contextualSpacing w:val="0"/>
        <w:outlineLvl w:val="3"/>
        <w:rPr>
          <w:rFonts w:asciiTheme="majorHAnsi" w:eastAsiaTheme="majorEastAsia" w:hAnsiTheme="majorHAnsi" w:cstheme="majorBidi"/>
          <w:b/>
          <w:bCs/>
          <w:iCs/>
          <w:vanish/>
          <w:sz w:val="20"/>
          <w:szCs w:val="20"/>
        </w:rPr>
      </w:pPr>
    </w:p>
    <w:p w14:paraId="60EE7FEC" w14:textId="620F7C87" w:rsidR="00977B34" w:rsidRDefault="00977B34" w:rsidP="00EF6DB6">
      <w:pPr>
        <w:pStyle w:val="Titre4niveau4"/>
      </w:pPr>
      <w:r w:rsidRPr="0074602A">
        <w:t xml:space="preserve">Le secteur </w:t>
      </w:r>
      <w:r w:rsidRPr="00FF3B71">
        <w:t>des</w:t>
      </w:r>
      <w:r w:rsidRPr="0074602A">
        <w:t xml:space="preserve"> industries de l’énergie (CRF 1A1 et 1B, CRF 2 en partie)</w:t>
      </w:r>
    </w:p>
    <w:p w14:paraId="38AE5D92" w14:textId="1EE2989B" w:rsidR="00977B34" w:rsidRDefault="00977B34" w:rsidP="00977B34">
      <w:r>
        <w:t>Le secteur des industries de l’énergie représente en 2020 40,8 Mt</w:t>
      </w:r>
      <w:r w:rsidR="007F09F7">
        <w:t>CO</w:t>
      </w:r>
      <w:r w:rsidR="007F09F7" w:rsidRPr="007F09F7">
        <w:rPr>
          <w:vertAlign w:val="subscript"/>
        </w:rPr>
        <w:t>2</w:t>
      </w:r>
      <w:r w:rsidR="004F1EC8" w:rsidRPr="004F1EC8">
        <w:rPr>
          <w:vertAlign w:val="subscript"/>
        </w:rPr>
        <w:t>e</w:t>
      </w:r>
      <w:r>
        <w:t>, en baisse de 7,4% par rapport à 2019 (46 Mt</w:t>
      </w:r>
      <w:r w:rsidR="007F09F7">
        <w:t>CO</w:t>
      </w:r>
      <w:r w:rsidR="007F09F7" w:rsidRPr="007F09F7">
        <w:rPr>
          <w:vertAlign w:val="subscript"/>
        </w:rPr>
        <w:t>2</w:t>
      </w:r>
      <w:r w:rsidR="004F1EC8" w:rsidRPr="004F1EC8">
        <w:rPr>
          <w:vertAlign w:val="subscript"/>
        </w:rPr>
        <w:t>e</w:t>
      </w:r>
      <w:r>
        <w:t>) et de 47,8% rapport à 1990 (78,1 Mt</w:t>
      </w:r>
      <w:r w:rsidR="007F09F7">
        <w:t>CO</w:t>
      </w:r>
      <w:r w:rsidR="007F09F7" w:rsidRPr="007F09F7">
        <w:rPr>
          <w:vertAlign w:val="subscript"/>
        </w:rPr>
        <w:t>2</w:t>
      </w:r>
      <w:r w:rsidR="004F1EC8" w:rsidRPr="004F1EC8">
        <w:rPr>
          <w:vertAlign w:val="subscript"/>
        </w:rPr>
        <w:t>e</w:t>
      </w:r>
      <w:r>
        <w:t>) : la production d’électricité et le chauffage urbain pèsent pour 56,6% de ces émissions (23,1 Mt</w:t>
      </w:r>
      <w:r w:rsidR="007F09F7">
        <w:t>CO</w:t>
      </w:r>
      <w:r w:rsidR="007F09F7" w:rsidRPr="007F09F7">
        <w:rPr>
          <w:vertAlign w:val="subscript"/>
        </w:rPr>
        <w:t>2</w:t>
      </w:r>
      <w:r w:rsidR="004F1EC8" w:rsidRPr="004F1EC8">
        <w:rPr>
          <w:vertAlign w:val="subscript"/>
        </w:rPr>
        <w:t>e</w:t>
      </w:r>
      <w:r>
        <w:t>), suivi par le raffinage du pétrole (17,9% avec 7,3 Mt</w:t>
      </w:r>
      <w:r w:rsidR="007F09F7">
        <w:t>CO</w:t>
      </w:r>
      <w:r w:rsidR="007F09F7" w:rsidRPr="007F09F7">
        <w:rPr>
          <w:vertAlign w:val="subscript"/>
        </w:rPr>
        <w:t>2</w:t>
      </w:r>
      <w:r w:rsidR="004F1EC8" w:rsidRPr="004F1EC8">
        <w:rPr>
          <w:vertAlign w:val="subscript"/>
        </w:rPr>
        <w:t>e</w:t>
      </w:r>
      <w:r>
        <w:t>), la valorisation énergétique des déchets (17,1% avec 7 Mt</w:t>
      </w:r>
      <w:r w:rsidR="007F09F7">
        <w:t>CO</w:t>
      </w:r>
      <w:r w:rsidR="007F09F7" w:rsidRPr="007F09F7">
        <w:rPr>
          <w:vertAlign w:val="subscript"/>
        </w:rPr>
        <w:t>2</w:t>
      </w:r>
      <w:r w:rsidR="004F1EC8" w:rsidRPr="004F1EC8">
        <w:rPr>
          <w:vertAlign w:val="subscript"/>
        </w:rPr>
        <w:t>e</w:t>
      </w:r>
      <w:r>
        <w:t>) et la transformation des CMS (8,4% avec 3,4 Mt</w:t>
      </w:r>
      <w:r w:rsidR="007F09F7">
        <w:t>CO</w:t>
      </w:r>
      <w:r w:rsidR="007F09F7" w:rsidRPr="007F09F7">
        <w:rPr>
          <w:vertAlign w:val="subscript"/>
        </w:rPr>
        <w:t>2</w:t>
      </w:r>
      <w:r w:rsidR="004F1EC8" w:rsidRPr="004F1EC8">
        <w:rPr>
          <w:vertAlign w:val="subscript"/>
        </w:rPr>
        <w:t>e</w:t>
      </w:r>
      <w:r>
        <w:t>).</w:t>
      </w:r>
    </w:p>
    <w:p w14:paraId="144885E7" w14:textId="77777777" w:rsidR="00977B34" w:rsidRDefault="00977B34" w:rsidP="00977B34">
      <w:pPr>
        <w:jc w:val="center"/>
      </w:pPr>
      <w:r>
        <w:rPr>
          <w:noProof/>
        </w:rPr>
        <w:drawing>
          <wp:inline distT="0" distB="0" distL="0" distR="0" wp14:anchorId="3ECEA7F2" wp14:editId="190DD33F">
            <wp:extent cx="6318250" cy="3228340"/>
            <wp:effectExtent l="0" t="0" r="6350" b="10160"/>
            <wp:docPr id="25"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D51D5BD" w14:textId="4AEF61BE" w:rsidR="00FF3B71" w:rsidRDefault="00FF3B71" w:rsidP="0045532B">
      <w:pPr>
        <w:pStyle w:val="Caption"/>
      </w:pPr>
      <w:bookmarkStart w:id="416" w:name="_Toc123916453"/>
      <w:r>
        <w:t xml:space="preserve">Figure </w:t>
      </w:r>
      <w:fldSimple w:instr=" SEQ Figure \* ARABIC ">
        <w:r w:rsidR="00AB51D9">
          <w:rPr>
            <w:noProof/>
          </w:rPr>
          <w:t>42</w:t>
        </w:r>
      </w:fldSimple>
      <w:r>
        <w:t xml:space="preserve"> : </w:t>
      </w:r>
      <w:r w:rsidR="00977B34">
        <w:t>Emissions des secteurs de l’industrie de l’énergie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416"/>
    </w:p>
    <w:p w14:paraId="376D6095" w14:textId="70B79165" w:rsidR="00977B34" w:rsidRDefault="00977B34" w:rsidP="0045532B">
      <w:pPr>
        <w:pStyle w:val="Caption"/>
      </w:pPr>
      <w:r>
        <w:t>Source : Inventaire Citepa, avril 2022 – Format SECTEN, sorties « Plan Climat Kyoto »</w:t>
      </w:r>
    </w:p>
    <w:p w14:paraId="7A1F0C77" w14:textId="77777777" w:rsidR="00977B34" w:rsidRDefault="00977B34" w:rsidP="00977B34"/>
    <w:p w14:paraId="6329D226" w14:textId="783D576A" w:rsidR="00FF3B71" w:rsidRDefault="00977B34" w:rsidP="00977B34">
      <w:r>
        <w:t>La part de la valorisation énergétique des déchets est en constante augmentation depuis 1990 où elle ne représentait que 3,4% des émissions du secteur de l’énergie. La proportion du raffinage dans les émissions de ce secteur est en revanche relativement stable.</w:t>
      </w:r>
    </w:p>
    <w:p w14:paraId="4C0E56EE" w14:textId="422E6C1C" w:rsidR="00977B34" w:rsidRDefault="00977B34" w:rsidP="00EF6DB6">
      <w:pPr>
        <w:pStyle w:val="Titre4niveau4"/>
      </w:pPr>
      <w:r w:rsidRPr="0074602A">
        <w:t>Le secteur agricole (CRF 1A4c et 3)</w:t>
      </w:r>
    </w:p>
    <w:p w14:paraId="5D29BD21" w14:textId="6A18A44A" w:rsidR="00977B34" w:rsidRDefault="00977B34" w:rsidP="00977B34">
      <w:pPr>
        <w:rPr>
          <w:rFonts w:eastAsiaTheme="majorEastAsia"/>
        </w:rPr>
      </w:pPr>
      <w:r>
        <w:rPr>
          <w:rFonts w:eastAsiaTheme="majorEastAsia"/>
        </w:rPr>
        <w:t>Les émissions du secteur agricole s’élevaient à 80,9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xml:space="preserve"> en 2020, en baisse de 1,9% par rapport à 2019 (82,5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et en baisse de 11,6% depuis 1990 (91,5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Ces émissions proviennent principalement de l’élevage (fermentation entérique et déjections animales), ainsi que des sols agricoles (usage d’intrants) et de la consommation d’énergie pour les bâtiments agricoles et engins à moteur.</w:t>
      </w:r>
    </w:p>
    <w:p w14:paraId="25497E92" w14:textId="77777777" w:rsidR="00977B34" w:rsidRDefault="00977B34" w:rsidP="00977B34">
      <w:pPr>
        <w:rPr>
          <w:rFonts w:eastAsiaTheme="majorEastAsia"/>
        </w:rPr>
      </w:pPr>
    </w:p>
    <w:p w14:paraId="0F8969E1" w14:textId="77777777" w:rsidR="00977B34" w:rsidRDefault="00977B34" w:rsidP="00FF3B71">
      <w:pPr>
        <w:jc w:val="center"/>
        <w:rPr>
          <w:rFonts w:eastAsiaTheme="majorEastAsia"/>
        </w:rPr>
      </w:pPr>
      <w:r>
        <w:rPr>
          <w:noProof/>
        </w:rPr>
        <w:drawing>
          <wp:inline distT="0" distB="0" distL="0" distR="0" wp14:anchorId="426DD3AE" wp14:editId="0A5E921B">
            <wp:extent cx="5981700" cy="3371850"/>
            <wp:effectExtent l="0" t="0" r="0" b="0"/>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E36B803" w14:textId="23F75DDC" w:rsidR="00FF3B71" w:rsidRDefault="00FF3B71" w:rsidP="0045532B">
      <w:pPr>
        <w:pStyle w:val="Caption"/>
      </w:pPr>
      <w:bookmarkStart w:id="417" w:name="_Toc123916454"/>
      <w:r>
        <w:t xml:space="preserve">Figure </w:t>
      </w:r>
      <w:fldSimple w:instr=" SEQ Figure \* ARABIC ">
        <w:r w:rsidR="00AB51D9">
          <w:rPr>
            <w:noProof/>
          </w:rPr>
          <w:t>43</w:t>
        </w:r>
      </w:fldSimple>
      <w:r>
        <w:t xml:space="preserve"> : </w:t>
      </w:r>
      <w:r w:rsidR="00977B34">
        <w:t>Emissions du secteur agricole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417"/>
    </w:p>
    <w:p w14:paraId="5B5EDE19" w14:textId="5DC29E10" w:rsidR="00977B34" w:rsidRDefault="00977B34" w:rsidP="0045532B">
      <w:pPr>
        <w:pStyle w:val="Caption"/>
      </w:pPr>
      <w:r>
        <w:t>Source : Inventaire Citepa, avril 2022 – Format SECTEN, sorties « Plan Climat Kyoto »</w:t>
      </w:r>
    </w:p>
    <w:p w14:paraId="617B59BE" w14:textId="77777777" w:rsidR="00977B34" w:rsidRDefault="00977B34" w:rsidP="00977B34">
      <w:pPr>
        <w:rPr>
          <w:rFonts w:eastAsiaTheme="majorEastAsia"/>
        </w:rPr>
      </w:pPr>
    </w:p>
    <w:p w14:paraId="542EC71B" w14:textId="6A67525A" w:rsidR="00977B34" w:rsidRDefault="00977B34" w:rsidP="00977B34">
      <w:pPr>
        <w:rPr>
          <w:rFonts w:eastAsiaTheme="majorEastAsia"/>
        </w:rPr>
      </w:pPr>
      <w:r>
        <w:rPr>
          <w:rFonts w:eastAsiaTheme="majorEastAsia"/>
        </w:rPr>
        <w:t xml:space="preserve">La particularité du secteur agricole est la prépondérance des émissions non liées à la combustion d’énergie : les principales sources de ce secteur sont le méthane émis par l’élevage et le protoxyde d’azote lié au cycle de l’azote dans les cultures : les proportions des différents gaz sont relativement stables dans le temps, le </w:t>
      </w:r>
      <w:r w:rsidR="007F09F7">
        <w:t>CO</w:t>
      </w:r>
      <w:r w:rsidR="007F09F7" w:rsidRPr="007F09F7">
        <w:rPr>
          <w:vertAlign w:val="subscript"/>
        </w:rPr>
        <w:t>2</w:t>
      </w:r>
      <w:r>
        <w:rPr>
          <w:rFonts w:eastAsiaTheme="majorEastAsia"/>
        </w:rPr>
        <w:t xml:space="preserve"> représentant 14% des émissions en 2020 (13% en 1990) ; le </w:t>
      </w:r>
      <w:r w:rsidR="007F09F7" w:rsidRPr="00141043">
        <w:t>CH</w:t>
      </w:r>
      <w:r w:rsidR="007F09F7" w:rsidRPr="004F1EC8">
        <w:rPr>
          <w:vertAlign w:val="subscript"/>
        </w:rPr>
        <w:t>4</w:t>
      </w:r>
      <w:r w:rsidR="00260E0B">
        <w:t xml:space="preserve"> </w:t>
      </w:r>
      <w:r>
        <w:rPr>
          <w:rFonts w:eastAsiaTheme="majorEastAsia"/>
        </w:rPr>
        <w:t xml:space="preserve">46% en 2020 (idem en 1990) ; et le </w:t>
      </w:r>
      <w:r w:rsidR="00F80CAB" w:rsidRPr="00141043">
        <w:t>N</w:t>
      </w:r>
      <w:r w:rsidR="00F80CAB" w:rsidRPr="004F1EC8">
        <w:rPr>
          <w:vertAlign w:val="subscript"/>
        </w:rPr>
        <w:t>2</w:t>
      </w:r>
      <w:r w:rsidR="00F80CAB" w:rsidRPr="00141043">
        <w:t>O</w:t>
      </w:r>
      <w:r w:rsidR="00F80CAB">
        <w:t xml:space="preserve"> </w:t>
      </w:r>
      <w:r>
        <w:rPr>
          <w:rFonts w:eastAsiaTheme="majorEastAsia"/>
        </w:rPr>
        <w:t>40% en 2020 (41% en 1990).</w:t>
      </w:r>
    </w:p>
    <w:p w14:paraId="21994508" w14:textId="77777777" w:rsidR="00977B34" w:rsidRDefault="00977B34" w:rsidP="00977B34">
      <w:pPr>
        <w:rPr>
          <w:rFonts w:eastAsiaTheme="majorEastAsia"/>
        </w:rPr>
      </w:pPr>
    </w:p>
    <w:p w14:paraId="0FF9FECE" w14:textId="77777777" w:rsidR="00977B34" w:rsidRDefault="00977B34" w:rsidP="00FF3B71">
      <w:pPr>
        <w:jc w:val="center"/>
        <w:rPr>
          <w:rFonts w:eastAsiaTheme="majorEastAsia"/>
        </w:rPr>
      </w:pPr>
      <w:r>
        <w:rPr>
          <w:noProof/>
        </w:rPr>
        <w:drawing>
          <wp:inline distT="0" distB="0" distL="0" distR="0" wp14:anchorId="6917CBC1" wp14:editId="50F0A2EC">
            <wp:extent cx="6210300" cy="3067050"/>
            <wp:effectExtent l="0" t="0" r="0" b="0"/>
            <wp:docPr id="51" name="Graphique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27A37BB" w14:textId="4F9AE9A2" w:rsidR="00FF3B71" w:rsidRDefault="00FF3B71" w:rsidP="0045532B">
      <w:pPr>
        <w:pStyle w:val="Caption"/>
      </w:pPr>
      <w:bookmarkStart w:id="418" w:name="_Toc123916455"/>
      <w:r>
        <w:t xml:space="preserve">Figure </w:t>
      </w:r>
      <w:fldSimple w:instr=" SEQ Figure \* ARABIC ">
        <w:r w:rsidR="00AB51D9">
          <w:rPr>
            <w:noProof/>
          </w:rPr>
          <w:t>44</w:t>
        </w:r>
      </w:fldSimple>
      <w:r>
        <w:t xml:space="preserve"> : </w:t>
      </w:r>
      <w:r w:rsidR="00977B34">
        <w:t>Emissions du secteur agricole depuis 1990 par gaz,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418"/>
    </w:p>
    <w:p w14:paraId="339CA497" w14:textId="4AEE9E87" w:rsidR="00977B34" w:rsidRPr="00FF3B71" w:rsidRDefault="00977B34" w:rsidP="0045532B">
      <w:pPr>
        <w:pStyle w:val="Caption"/>
      </w:pPr>
      <w:r>
        <w:t>Source : Inventaire Citepa, avril 2022 – Format SECTEN, sorties « Plan Climat Kyoto »</w:t>
      </w:r>
    </w:p>
    <w:p w14:paraId="1B62FD3D" w14:textId="77777777" w:rsidR="00977B34" w:rsidRDefault="00977B34" w:rsidP="00977B34">
      <w:pPr>
        <w:rPr>
          <w:rFonts w:eastAsiaTheme="majorEastAsia"/>
        </w:rPr>
      </w:pPr>
    </w:p>
    <w:p w14:paraId="43558A99" w14:textId="4009D74C" w:rsidR="00FF3B71" w:rsidRDefault="00977B34" w:rsidP="00EF6DB6">
      <w:pPr>
        <w:pStyle w:val="Titre4niveau4"/>
      </w:pPr>
      <w:r w:rsidRPr="0074602A">
        <w:t>Le secteur de l’utilisation et des changements d’utilisation des sols et de la foresterie</w:t>
      </w:r>
      <w:r w:rsidR="00FF3B71">
        <w:t xml:space="preserve"> (CRF 4)</w:t>
      </w:r>
    </w:p>
    <w:p w14:paraId="0B2C201C" w14:textId="07297E0D" w:rsidR="00977B34" w:rsidRDefault="00977B34" w:rsidP="00FF3B71">
      <w:pPr>
        <w:rPr>
          <w:rFonts w:eastAsiaTheme="majorEastAsia"/>
        </w:rPr>
      </w:pPr>
      <w:r>
        <w:rPr>
          <w:rFonts w:eastAsiaTheme="majorEastAsia"/>
        </w:rPr>
        <w:t>La forêt et les sols agricoles (essentiellement les prairies) contribuent à la lutte contre le changement climatique de par leur capacité à séquestrer du carbone atmosphérique. La forêt stocke en moyenne 75 tonnes de carbone par hectare dans les arbres (biomasse aérienne et souterraine). Les forêts</w:t>
      </w:r>
      <w:r>
        <w:rPr>
          <w:rStyle w:val="FootnoteReference"/>
          <w:rFonts w:asciiTheme="majorHAnsi" w:eastAsiaTheme="majorEastAsia" w:hAnsiTheme="majorHAnsi" w:cstheme="majorBidi"/>
          <w:bCs/>
          <w:iCs/>
          <w:sz w:val="18"/>
          <w:szCs w:val="18"/>
        </w:rPr>
        <w:footnoteReference w:id="14"/>
      </w:r>
      <w:r>
        <w:rPr>
          <w:rFonts w:eastAsiaTheme="majorEastAsia"/>
        </w:rPr>
        <w:t xml:space="preserve"> représentent un puits de </w:t>
      </w:r>
      <w:r w:rsidR="007F09F7">
        <w:t>CO</w:t>
      </w:r>
      <w:r w:rsidR="007F09F7" w:rsidRPr="007F09F7">
        <w:rPr>
          <w:vertAlign w:val="subscript"/>
        </w:rPr>
        <w:t>2</w:t>
      </w:r>
      <w:r>
        <w:rPr>
          <w:rFonts w:eastAsiaTheme="majorEastAsia"/>
        </w:rPr>
        <w:t xml:space="preserve"> important (-30,3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en 2020 : ce puits a fortement baissé depuis son maximum de -72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xml:space="preserve"> atteint en 2008. Malgré un accroissement forestier dynamique, et une faible exploitation de la ressource forestière (55% de l’accroissement naturel), l’augmentation de la mortalité ces dernières années (+170% depuis 1990) a entrainé une forte baisse du puits.</w:t>
      </w:r>
    </w:p>
    <w:p w14:paraId="36D895D5" w14:textId="77777777" w:rsidR="00977B34" w:rsidRDefault="00977B34" w:rsidP="00977B34">
      <w:pPr>
        <w:rPr>
          <w:rFonts w:asciiTheme="majorHAnsi" w:eastAsiaTheme="majorEastAsia" w:hAnsiTheme="majorHAnsi" w:cstheme="majorBidi"/>
          <w:bCs/>
          <w:iCs/>
          <w:sz w:val="18"/>
          <w:szCs w:val="18"/>
        </w:rPr>
      </w:pPr>
    </w:p>
    <w:p w14:paraId="2DF8E70B" w14:textId="77777777" w:rsidR="00977B34" w:rsidRDefault="00977B34" w:rsidP="00FF3B71">
      <w:pPr>
        <w:jc w:val="center"/>
        <w:rPr>
          <w:rFonts w:asciiTheme="majorHAnsi" w:eastAsiaTheme="majorEastAsia" w:hAnsiTheme="majorHAnsi" w:cstheme="majorBidi"/>
          <w:bCs/>
          <w:iCs/>
          <w:sz w:val="18"/>
          <w:szCs w:val="18"/>
        </w:rPr>
      </w:pPr>
      <w:r>
        <w:rPr>
          <w:noProof/>
        </w:rPr>
        <w:drawing>
          <wp:inline distT="0" distB="0" distL="0" distR="0" wp14:anchorId="3AA72295" wp14:editId="38E688B8">
            <wp:extent cx="6762750" cy="3686175"/>
            <wp:effectExtent l="0" t="0" r="0" b="9525"/>
            <wp:docPr id="52" name="Graphique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0C46298" w14:textId="77777777" w:rsidR="00977B34" w:rsidRDefault="00977B34" w:rsidP="00977B34">
      <w:pPr>
        <w:rPr>
          <w:rFonts w:asciiTheme="majorHAnsi" w:eastAsiaTheme="majorEastAsia" w:hAnsiTheme="majorHAnsi" w:cstheme="majorBidi"/>
          <w:bCs/>
          <w:iCs/>
          <w:sz w:val="18"/>
          <w:szCs w:val="18"/>
        </w:rPr>
      </w:pPr>
    </w:p>
    <w:p w14:paraId="24B3AE08" w14:textId="711E112C" w:rsidR="00FF3B71" w:rsidRDefault="00FF3B71" w:rsidP="0045532B">
      <w:pPr>
        <w:pStyle w:val="Caption"/>
      </w:pPr>
      <w:bookmarkStart w:id="419" w:name="_Toc123916456"/>
      <w:r>
        <w:t xml:space="preserve">Figure </w:t>
      </w:r>
      <w:fldSimple w:instr=" SEQ Figure \* ARABIC ">
        <w:r w:rsidR="00AB51D9">
          <w:rPr>
            <w:noProof/>
          </w:rPr>
          <w:t>45</w:t>
        </w:r>
      </w:fldSimple>
      <w:r>
        <w:t xml:space="preserve"> : </w:t>
      </w:r>
      <w:r w:rsidR="00977B34">
        <w:t>Emissions du secteur UTCATF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419"/>
    </w:p>
    <w:p w14:paraId="3454ECED" w14:textId="258970A8" w:rsidR="00977B34" w:rsidRDefault="00977B34" w:rsidP="0045532B">
      <w:pPr>
        <w:pStyle w:val="Caption"/>
      </w:pPr>
      <w:r>
        <w:t>Source : Inventaire Citepa, avril 2022 – Format SECTEN, sorties « Plan Climat Kyoto »</w:t>
      </w:r>
    </w:p>
    <w:p w14:paraId="39120B7A" w14:textId="77777777" w:rsidR="00977B34" w:rsidRDefault="00977B34" w:rsidP="00977B34">
      <w:pPr>
        <w:rPr>
          <w:rFonts w:asciiTheme="majorHAnsi" w:eastAsiaTheme="majorEastAsia" w:hAnsiTheme="majorHAnsi" w:cstheme="majorBidi"/>
          <w:bCs/>
          <w:iCs/>
          <w:sz w:val="18"/>
          <w:szCs w:val="18"/>
        </w:rPr>
      </w:pPr>
    </w:p>
    <w:p w14:paraId="3748AD6C" w14:textId="2E78998F" w:rsidR="00977B34" w:rsidRPr="000730B1" w:rsidRDefault="00977B34" w:rsidP="00977B34">
      <w:pPr>
        <w:rPr>
          <w:rFonts w:eastAsiaTheme="majorEastAsia"/>
        </w:rPr>
      </w:pPr>
      <w:r>
        <w:rPr>
          <w:rFonts w:eastAsiaTheme="majorEastAsia"/>
        </w:rPr>
        <w:t>Au global, le secteur UTCATF est un puits net de -13,8 Mt</w:t>
      </w:r>
      <w:r w:rsidR="007F09F7">
        <w:t>CO</w:t>
      </w:r>
      <w:r w:rsidR="007F09F7" w:rsidRPr="007F09F7">
        <w:rPr>
          <w:vertAlign w:val="subscript"/>
        </w:rPr>
        <w:t>2</w:t>
      </w:r>
      <w:r w:rsidR="004F1EC8" w:rsidRPr="004F1EC8">
        <w:rPr>
          <w:rFonts w:eastAsiaTheme="majorEastAsia"/>
          <w:vertAlign w:val="subscript"/>
        </w:rPr>
        <w:t>e</w:t>
      </w:r>
      <w:r>
        <w:rPr>
          <w:rFonts w:eastAsiaTheme="majorEastAsia"/>
        </w:rPr>
        <w:t xml:space="preserve"> en 2020.</w:t>
      </w:r>
    </w:p>
    <w:p w14:paraId="62B5B2DF" w14:textId="311B762E" w:rsidR="00977B34" w:rsidRDefault="00977B34" w:rsidP="00EF6DB6">
      <w:pPr>
        <w:pStyle w:val="Titre4niveau4"/>
      </w:pPr>
      <w:r w:rsidRPr="0074602A">
        <w:t>Le secteur de l’utilisation et des changements d’utilisation des sols et de la foresterie</w:t>
      </w:r>
      <w:r w:rsidR="00FF3B71">
        <w:t xml:space="preserve"> </w:t>
      </w:r>
      <w:r w:rsidRPr="0074602A">
        <w:t xml:space="preserve">(CRF </w:t>
      </w:r>
      <w:r>
        <w:t>5</w:t>
      </w:r>
      <w:r w:rsidRPr="0074602A">
        <w:t>)</w:t>
      </w:r>
    </w:p>
    <w:p w14:paraId="6F9BFFEF" w14:textId="35E88FEF" w:rsidR="00977B34" w:rsidRDefault="00977B34" w:rsidP="00977B34">
      <w:r>
        <w:t>Les émissions liées à la gestion des déchets représentent 14,7 Mt</w:t>
      </w:r>
      <w:r w:rsidR="007F09F7">
        <w:t>CO</w:t>
      </w:r>
      <w:r w:rsidR="007F09F7" w:rsidRPr="007F09F7">
        <w:rPr>
          <w:vertAlign w:val="subscript"/>
        </w:rPr>
        <w:t>2</w:t>
      </w:r>
      <w:r w:rsidR="004F1EC8" w:rsidRPr="004F1EC8">
        <w:rPr>
          <w:vertAlign w:val="subscript"/>
        </w:rPr>
        <w:t>e</w:t>
      </w:r>
      <w:r>
        <w:t xml:space="preserve"> en 2020, en baisse de 3,3% par rapport à 2019, et également par rapport à 1990. La part du secteur des déchets dans les émissions nationales est en constante augmentation, passant de 3,1% en 1990 à 4,5% en 2020.</w:t>
      </w:r>
    </w:p>
    <w:p w14:paraId="4EB65561" w14:textId="77777777" w:rsidR="00977B34" w:rsidRDefault="00977B34" w:rsidP="00977B34">
      <w:r>
        <w:t>Les émissions de ce secteur proviennent de la mise ne décharge (82% des émissions de ce secteur), de l’incinération des déchets sans récupération d’énergie (9,5% des émissions de ce secteur) et du traitement des eaux usées (2,7% des émissions de ce secteur).</w:t>
      </w:r>
    </w:p>
    <w:p w14:paraId="43F65742" w14:textId="77777777" w:rsidR="00977B34" w:rsidRDefault="00977B34" w:rsidP="00977B34"/>
    <w:p w14:paraId="5C7E63D4" w14:textId="77777777" w:rsidR="00977B34" w:rsidRDefault="00977B34" w:rsidP="00977B34">
      <w:pPr>
        <w:jc w:val="center"/>
      </w:pPr>
      <w:r>
        <w:rPr>
          <w:noProof/>
        </w:rPr>
        <w:drawing>
          <wp:inline distT="0" distB="0" distL="0" distR="0" wp14:anchorId="7F17C578" wp14:editId="4DFF8980">
            <wp:extent cx="5991225" cy="2524125"/>
            <wp:effectExtent l="0" t="0" r="9525" b="9525"/>
            <wp:docPr id="53" name="Graphique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9B3EAC3" w14:textId="49E7D412" w:rsidR="000730B1" w:rsidRDefault="000730B1" w:rsidP="0045532B">
      <w:pPr>
        <w:pStyle w:val="Caption"/>
      </w:pPr>
      <w:bookmarkStart w:id="420" w:name="_Toc123916457"/>
      <w:r>
        <w:t xml:space="preserve">Figure </w:t>
      </w:r>
      <w:fldSimple w:instr=" SEQ Figure \* ARABIC ">
        <w:r w:rsidR="00AB51D9">
          <w:rPr>
            <w:noProof/>
          </w:rPr>
          <w:t>46</w:t>
        </w:r>
      </w:fldSimple>
      <w:r>
        <w:t xml:space="preserve"> : </w:t>
      </w:r>
      <w:r w:rsidR="00977B34">
        <w:t>Emissions du secteur des déchets depuis 1990, en Mt</w:t>
      </w:r>
      <w:r w:rsidR="007F09F7">
        <w:t>CO</w:t>
      </w:r>
      <w:r w:rsidR="007F09F7" w:rsidRPr="007F09F7">
        <w:rPr>
          <w:vertAlign w:val="subscript"/>
        </w:rPr>
        <w:t>2</w:t>
      </w:r>
      <w:r w:rsidR="004F1EC8" w:rsidRPr="004F1EC8">
        <w:rPr>
          <w:vertAlign w:val="subscript"/>
        </w:rPr>
        <w:t>e</w:t>
      </w:r>
      <w:r w:rsidR="00977B34">
        <w:t xml:space="preserve"> </w:t>
      </w:r>
      <w:r w:rsidR="00977B34" w:rsidRPr="00734C21">
        <w:t>(Métropole et Outre-mer UE)</w:t>
      </w:r>
      <w:bookmarkEnd w:id="420"/>
    </w:p>
    <w:p w14:paraId="67F863E6" w14:textId="44303D7E" w:rsidR="00977B34" w:rsidRDefault="00977B34" w:rsidP="0045532B">
      <w:pPr>
        <w:pStyle w:val="Caption"/>
      </w:pPr>
      <w:r>
        <w:t>Source : Inventaire Citepa, avril 2022 – Format SECTEN, sorties « Plan Climat Kyoto »</w:t>
      </w:r>
    </w:p>
    <w:p w14:paraId="3F1D4D7D" w14:textId="77777777" w:rsidR="00977B34" w:rsidRDefault="00977B34" w:rsidP="00977B34"/>
    <w:p w14:paraId="62329391" w14:textId="77777777" w:rsidR="00977B34" w:rsidRDefault="00977B34" w:rsidP="00977B34">
      <w:r>
        <w:t>Après un pic atteint vers les années 2000, les émissions ont commencé à baisser en France. Cette lente évolution est notamment liée à l’équipement croissant de dispositifs de récupération du biogaz dans les installations de stockage de déchets.</w:t>
      </w:r>
    </w:p>
    <w:p w14:paraId="495415BD" w14:textId="5CCE4F52" w:rsidR="00977B34" w:rsidRDefault="00977B34" w:rsidP="00BE086C">
      <w:pPr>
        <w:pStyle w:val="Titre2Niveau2"/>
        <w:jc w:val="left"/>
      </w:pPr>
      <w:bookmarkStart w:id="421" w:name="_Toc120568040"/>
      <w:bookmarkStart w:id="422" w:name="_Toc138341988"/>
      <w:r>
        <w:t>Système d’inventaire</w:t>
      </w:r>
      <w:r w:rsidRPr="00093795">
        <w:t xml:space="preserve"> national</w:t>
      </w:r>
      <w:r>
        <w:rPr>
          <w:rStyle w:val="FootnoteReference"/>
        </w:rPr>
        <w:footnoteReference w:id="15"/>
      </w:r>
      <w:r>
        <w:t xml:space="preserve"> (article 5.1 du Protocole de Kyoto)</w:t>
      </w:r>
      <w:bookmarkEnd w:id="421"/>
      <w:bookmarkEnd w:id="422"/>
    </w:p>
    <w:p w14:paraId="39D2DB5D" w14:textId="3BF01448" w:rsidR="00977B34" w:rsidRDefault="00977B34" w:rsidP="003F57EA">
      <w:pPr>
        <w:pStyle w:val="Titre3Niveau3"/>
      </w:pPr>
      <w:bookmarkStart w:id="423" w:name="_Toc120568041"/>
      <w:bookmarkStart w:id="424" w:name="_Toc138341989"/>
      <w:r>
        <w:t>Nom et coordonnées du responsable du système national d’inventaire désigné par la Partie</w:t>
      </w:r>
      <w:bookmarkEnd w:id="423"/>
      <w:bookmarkEnd w:id="424"/>
    </w:p>
    <w:p w14:paraId="6936413F" w14:textId="77777777" w:rsidR="00977B34" w:rsidRDefault="00977B34" w:rsidP="00977B34">
      <w:r>
        <w:t>Conformément à l’article 5.1 du protocole de Kyoto, la France a créé un système national d’inventaire : le SNIEBA (Système national d’inventaire d’émissions et de bilans dans l’atmosphère) défini par un arrêté interministériel</w:t>
      </w:r>
      <w:r>
        <w:rPr>
          <w:rStyle w:val="FootnoteReference"/>
        </w:rPr>
        <w:footnoteReference w:id="16"/>
      </w:r>
      <w:r>
        <w:t xml:space="preserve"> en date du 24 août 2011.</w:t>
      </w:r>
    </w:p>
    <w:p w14:paraId="6A7D349C" w14:textId="00190948" w:rsidR="00977B34" w:rsidRDefault="00977B34" w:rsidP="00977B34">
      <w:r>
        <w:t xml:space="preserve">Le ministère de la Transition </w:t>
      </w:r>
      <w:r w:rsidR="00652F25">
        <w:t>énergétique</w:t>
      </w:r>
      <w:r>
        <w:t xml:space="preserve"> (MTE) assure son fonctionnement. M. Jonathan Hess de la Direction Générale de l’Energie et du Climat (DGEC), au sein du </w:t>
      </w:r>
      <w:r w:rsidR="00652F25">
        <w:t>MTE</w:t>
      </w:r>
      <w:r>
        <w:t xml:space="preserve">, a la responsabilité du suivi du système national d’inventaire de la France, </w:t>
      </w:r>
      <w:hyperlink r:id="rId79" w:history="1">
        <w:r w:rsidRPr="006A60F6">
          <w:rPr>
            <w:rStyle w:val="Hyperlink"/>
          </w:rPr>
          <w:t>jonathan.hess@developpement-durable.gouv.fr</w:t>
        </w:r>
      </w:hyperlink>
      <w:r w:rsidR="00042E84">
        <w:t>.</w:t>
      </w:r>
    </w:p>
    <w:p w14:paraId="60583776" w14:textId="184C419D" w:rsidR="00977B34" w:rsidRDefault="00977B34" w:rsidP="003F57EA">
      <w:pPr>
        <w:pStyle w:val="Titre3Niveau3"/>
      </w:pPr>
      <w:bookmarkStart w:id="425" w:name="_Toc120568042"/>
      <w:bookmarkStart w:id="426" w:name="_Toc138341990"/>
      <w:r w:rsidRPr="00CA4BC3">
        <w:t>Répartition des rôles et des responsabilités au sein du système national</w:t>
      </w:r>
      <w:bookmarkEnd w:id="425"/>
      <w:bookmarkEnd w:id="426"/>
    </w:p>
    <w:p w14:paraId="33548E33" w14:textId="52049251" w:rsidR="00977B34" w:rsidRDefault="00977B34" w:rsidP="00977B34">
      <w:r>
        <w:t>La responsabilité de la définition et de la maîtrise d’ouvrage du système national d’inventaires des émissions de polluants et de gaz à effet de serre dans l’atmosphère appartient MTE.</w:t>
      </w:r>
    </w:p>
    <w:p w14:paraId="4DDFF652" w14:textId="5DB1BB02" w:rsidR="00977B34" w:rsidRDefault="00977B34" w:rsidP="00977B34">
      <w:r>
        <w:t>Le MTE prend en coordination avec les autres ministères concernés les décisions utiles à la mise en place et au fonctionnement du SNIEBA, en particulier les dispositions institutionnelles, juridiques ou de procédure. A ce titre, il définit et répartit les responsabilités attribuées aux différents organismes impliqués. Celle</w:t>
      </w:r>
      <w:r w:rsidR="00E00867">
        <w:t>s-ci sont réparties comme suit :</w:t>
      </w:r>
    </w:p>
    <w:p w14:paraId="23F97FAF" w14:textId="77777777" w:rsidR="00977B34" w:rsidRDefault="00977B34" w:rsidP="00977B34"/>
    <w:p w14:paraId="35A41286" w14:textId="465C8232" w:rsidR="00977B34" w:rsidRDefault="00977B34" w:rsidP="00BE086C">
      <w:pPr>
        <w:pStyle w:val="ListParagraph"/>
        <w:numPr>
          <w:ilvl w:val="0"/>
          <w:numId w:val="23"/>
        </w:numPr>
        <w:jc w:val="left"/>
      </w:pPr>
      <w:r>
        <w:t xml:space="preserve">La maîtrise d’ouvrage de la réalisation des inventaires et la coordination d’ensemble du système sont assurées par le </w:t>
      </w:r>
      <w:r w:rsidR="00652F25">
        <w:t>MTEMTE</w:t>
      </w:r>
      <w:r>
        <w:t>.</w:t>
      </w:r>
    </w:p>
    <w:p w14:paraId="72677020" w14:textId="77777777" w:rsidR="00977B34" w:rsidRDefault="00977B34" w:rsidP="00BE086C">
      <w:pPr>
        <w:pStyle w:val="ListParagraph"/>
        <w:numPr>
          <w:ilvl w:val="0"/>
          <w:numId w:val="23"/>
        </w:numPr>
        <w:jc w:val="left"/>
      </w:pPr>
      <w:r>
        <w:t>D’autres ministères et organismes publics contribuent aux inventaires d’émissions par la mise à disposition de données et statistiques utilisées dans l’élaboration des inventaires. Ils sont listés dans l’arrêté SNIEBA.</w:t>
      </w:r>
    </w:p>
    <w:p w14:paraId="0545667A" w14:textId="1B0F0C1C" w:rsidR="00977B34" w:rsidRDefault="00977B34" w:rsidP="00BE086C">
      <w:pPr>
        <w:pStyle w:val="ListParagraph"/>
        <w:numPr>
          <w:ilvl w:val="0"/>
          <w:numId w:val="23"/>
        </w:numPr>
        <w:jc w:val="left"/>
      </w:pPr>
      <w:r>
        <w:t>L’élaboration des inventaires d’émissions en ce qui concerne les méthodes et la préparation de leurs évolutions, la collecte et le traitement des données, l’archivage, la réalisation des rapports et de divers supports, la gestion du contrôle et de la qualité, est confiée au Citepa</w:t>
      </w:r>
      <w:r>
        <w:rPr>
          <w:rStyle w:val="FootnoteReference"/>
        </w:rPr>
        <w:footnoteReference w:id="17"/>
      </w:r>
      <w:r>
        <w:t xml:space="preserve"> (Centre Interprofessionnel Technique d’Etudes de la Pollution Atmosphérique) par le </w:t>
      </w:r>
      <w:r w:rsidR="00652F25">
        <w:t>MTEMTE</w:t>
      </w:r>
      <w:r>
        <w:t xml:space="preserve">. </w:t>
      </w:r>
      <w:r w:rsidRPr="008F217B">
        <w:t xml:space="preserve">Le Citepa assiste le </w:t>
      </w:r>
      <w:r w:rsidR="00652F25">
        <w:t>MTEMTE</w:t>
      </w:r>
      <w:r w:rsidRPr="008F217B">
        <w:t xml:space="preserve"> dans la coordination d’ensemble du système national d’inventaires des émissions de polluants dans l’atmosphère. A ce titre, il convient de mentionner tout particulièrement la coordination qui doit être assurée entre les inventaires d’émissions et les registres d’émetteurs tels que l’E-PRTR et le registre des quotas d’émissions de gaz à effet de serre dans le cadre du système d’échange de quotas d'émission (SEQE), sans oublier d’autres aspects (guides publiés par le MTE, système de déclaration annuelle des rejets de polluants, etc.) pour lesquels il est important de veiller à la cohérence des informations.</w:t>
      </w:r>
    </w:p>
    <w:p w14:paraId="52790AB2" w14:textId="2B5054D5" w:rsidR="00977B34" w:rsidRDefault="00977B34" w:rsidP="00BE086C">
      <w:pPr>
        <w:pStyle w:val="ListParagraph"/>
        <w:numPr>
          <w:ilvl w:val="0"/>
          <w:numId w:val="23"/>
        </w:numPr>
        <w:jc w:val="left"/>
      </w:pPr>
      <w:r>
        <w:t xml:space="preserve">Le </w:t>
      </w:r>
      <w:r w:rsidR="00652F25">
        <w:t>MTE</w:t>
      </w:r>
      <w:r>
        <w:t xml:space="preserve"> met à disposition du Citepa toutes les informations dont il dispose dans le cadre de la réglementation existante, comme les déclarations annuelles de rejets de polluants des Installations Classées, ainsi que les résultats des différentes études permettant un enrichissement des connaissances sur les émissions qu’il a initiées tant au sein de ses services que d’autres organismes publics comme l’INERIS (Institut National de l’EnviRonnement et des rISques). </w:t>
      </w:r>
      <w:r w:rsidRPr="008F217B">
        <w:t>. Par ailleurs, l'arrêté SNIEBA du 24 août 2011 établit une liste des statistiques et données émanant d'organismes publics ou ayant une mission de service public, utilisées pour les inventaires d'émission (cf. tableau suivant relatif à l'annexe II de l'arrêté SNIEBA).</w:t>
      </w:r>
    </w:p>
    <w:p w14:paraId="49E09B92" w14:textId="77777777" w:rsidR="00E00867" w:rsidRDefault="00977B34" w:rsidP="00E00867">
      <w:pPr>
        <w:jc w:val="left"/>
      </w:pPr>
      <w:r>
        <w:t>Le MTE pilote le Groupe de Concertation et d’Information sur les Inventaires d’Emissions (GCIIE) qui a pour mission de :</w:t>
      </w:r>
    </w:p>
    <w:p w14:paraId="6999D0BB" w14:textId="118C2E80" w:rsidR="00977B34" w:rsidRDefault="00977B34" w:rsidP="003F57EA">
      <w:pPr>
        <w:pStyle w:val="ListParagraph"/>
        <w:numPr>
          <w:ilvl w:val="0"/>
          <w:numId w:val="59"/>
        </w:numPr>
        <w:jc w:val="left"/>
      </w:pPr>
      <w:r>
        <w:t>donner un avis sur les résultats des estimations produites dans les inventaires,</w:t>
      </w:r>
    </w:p>
    <w:p w14:paraId="4CE98F04" w14:textId="76933CAF" w:rsidR="00977B34" w:rsidRDefault="00977B34" w:rsidP="00BE086C">
      <w:pPr>
        <w:pStyle w:val="ListParagraph"/>
        <w:numPr>
          <w:ilvl w:val="0"/>
          <w:numId w:val="23"/>
        </w:numPr>
      </w:pPr>
      <w:r>
        <w:t>donner un avis sur les changements apportés dans les méthodologies d’estimation,</w:t>
      </w:r>
      <w:r w:rsidR="00260E0B">
        <w:t xml:space="preserve">                 </w:t>
      </w:r>
    </w:p>
    <w:p w14:paraId="37207AAC" w14:textId="77777777" w:rsidR="00977B34" w:rsidRDefault="00977B34" w:rsidP="00BE086C">
      <w:pPr>
        <w:pStyle w:val="ListParagraph"/>
        <w:numPr>
          <w:ilvl w:val="0"/>
          <w:numId w:val="23"/>
        </w:numPr>
      </w:pPr>
      <w:r>
        <w:t>donner un avis sur le plan d’action d’amélioration des inventaires pour les échéances futures,</w:t>
      </w:r>
    </w:p>
    <w:p w14:paraId="740EF9BD" w14:textId="77777777" w:rsidR="00977B34" w:rsidRDefault="00977B34" w:rsidP="00BE086C">
      <w:pPr>
        <w:pStyle w:val="ListParagraph"/>
        <w:numPr>
          <w:ilvl w:val="0"/>
          <w:numId w:val="23"/>
        </w:numPr>
      </w:pPr>
      <w:r>
        <w:t>émettre des recommandations relativement à tout sujet en rapport direct ou indirect avec les inventaires d’émissions afin d’assurer la cohérence et le bon déroulement des actions, favoriser leurs synergies, etc.,</w:t>
      </w:r>
    </w:p>
    <w:p w14:paraId="7D8FBF04" w14:textId="77777777" w:rsidR="00977B34" w:rsidRDefault="00977B34" w:rsidP="00BE086C">
      <w:pPr>
        <w:pStyle w:val="ListParagraph"/>
        <w:numPr>
          <w:ilvl w:val="0"/>
          <w:numId w:val="23"/>
        </w:numPr>
      </w:pPr>
      <w:r>
        <w:t>recommander des actions d’amélioration des estimations des émissions dans le cadre des programmes de recherche,</w:t>
      </w:r>
    </w:p>
    <w:p w14:paraId="0EA00A4C" w14:textId="77777777" w:rsidR="00977B34" w:rsidRPr="00E00867" w:rsidRDefault="00977B34" w:rsidP="00E00867">
      <w:r>
        <w:t xml:space="preserve">Le GCIIE est </w:t>
      </w:r>
      <w:r w:rsidRPr="00E00867">
        <w:t>composé de représentants :</w:t>
      </w:r>
    </w:p>
    <w:p w14:paraId="2CB7B33E" w14:textId="17938A39" w:rsidR="00977B34" w:rsidRPr="00E00867" w:rsidRDefault="008E6688" w:rsidP="003F57EA">
      <w:pPr>
        <w:pStyle w:val="ListParagraph"/>
        <w:numPr>
          <w:ilvl w:val="0"/>
          <w:numId w:val="61"/>
        </w:numPr>
      </w:pPr>
      <w:r>
        <w:t>du Ministère de la transition écologique et de la cohésion des territoires (</w:t>
      </w:r>
      <w:r w:rsidR="00652F25">
        <w:t>MTE</w:t>
      </w:r>
      <w:r>
        <w:t xml:space="preserve">) notamment de la Direction générale de l’énergie et du climat (DGEC), de la Direction générale de la prévention des risques (DGPR), de la Direction générale de l’aménagement, du logement et de la nature (DGALN), de la Direction générale des infrastructures, des transports et de la mer (DGITM ), de la Direction générale de l’aviation civile (DGAC) et des services statistiques du </w:t>
      </w:r>
      <w:r w:rsidR="00652F25">
        <w:t>MTE</w:t>
      </w:r>
      <w:r>
        <w:t xml:space="preserve"> notamment le SDES</w:t>
      </w:r>
      <w:r w:rsidR="00977B34" w:rsidRPr="00E00867">
        <w:t>,</w:t>
      </w:r>
    </w:p>
    <w:p w14:paraId="1E641CC1" w14:textId="77777777" w:rsidR="00977B34" w:rsidRPr="00E00867" w:rsidRDefault="00977B34" w:rsidP="003F57EA">
      <w:pPr>
        <w:pStyle w:val="ListParagraph"/>
        <w:numPr>
          <w:ilvl w:val="0"/>
          <w:numId w:val="61"/>
        </w:numPr>
      </w:pPr>
      <w:r w:rsidRPr="00E00867">
        <w:t>du Ministère de l'agriculture et de la souveraineté alimentaire (MASA), notamment le Service de la statistique et de la prospective (SSP) et la Direction générale de la performance économique (DGPE ),</w:t>
      </w:r>
    </w:p>
    <w:p w14:paraId="01AFD9AE" w14:textId="77777777" w:rsidR="00977B34" w:rsidRPr="00E00867" w:rsidRDefault="00977B34" w:rsidP="003F57EA">
      <w:pPr>
        <w:pStyle w:val="ListParagraph"/>
        <w:numPr>
          <w:ilvl w:val="0"/>
          <w:numId w:val="61"/>
        </w:numPr>
      </w:pPr>
      <w:r w:rsidRPr="00E00867">
        <w:t>du Ministère de l'économie et des finances, notamment de la Direction générale de l’INSEE et de la Direction générale du Trésor,</w:t>
      </w:r>
    </w:p>
    <w:p w14:paraId="523E9937" w14:textId="77777777" w:rsidR="00977B34" w:rsidRPr="00E00867" w:rsidRDefault="00977B34" w:rsidP="003F57EA">
      <w:pPr>
        <w:pStyle w:val="ListParagraph"/>
        <w:numPr>
          <w:ilvl w:val="0"/>
          <w:numId w:val="61"/>
        </w:numPr>
      </w:pPr>
      <w:r w:rsidRPr="00E00867">
        <w:t>de l’Agence de la Transition écologique (ADEME),</w:t>
      </w:r>
    </w:p>
    <w:p w14:paraId="4688A4E1" w14:textId="77777777" w:rsidR="00977B34" w:rsidRPr="00E00867" w:rsidRDefault="00977B34" w:rsidP="003F57EA">
      <w:pPr>
        <w:pStyle w:val="ListParagraph"/>
        <w:numPr>
          <w:ilvl w:val="0"/>
          <w:numId w:val="61"/>
        </w:numPr>
      </w:pPr>
      <w:r w:rsidRPr="00E00867">
        <w:t>de l’Institut National de l’EnviRonnement industriel et des rISques (INERIS).</w:t>
      </w:r>
    </w:p>
    <w:p w14:paraId="032A2AAD" w14:textId="77777777" w:rsidR="00977B34" w:rsidRDefault="00977B34" w:rsidP="00977B34"/>
    <w:p w14:paraId="03B3E7A6" w14:textId="122A67C1" w:rsidR="00977B34" w:rsidRDefault="00977B34" w:rsidP="00977B34">
      <w:r>
        <w:t xml:space="preserve">La diffusion des inventaires d’émissions est organisée par le </w:t>
      </w:r>
      <w:r w:rsidR="00652F25">
        <w:t>MTE</w:t>
      </w:r>
      <w:r>
        <w:t>.</w:t>
      </w:r>
    </w:p>
    <w:p w14:paraId="27CA72A5" w14:textId="77777777" w:rsidR="00977B34" w:rsidRDefault="00977B34" w:rsidP="00977B34"/>
    <w:p w14:paraId="1C9CFC46" w14:textId="77777777" w:rsidR="00977B34" w:rsidRDefault="00977B34" w:rsidP="00977B34">
      <w:r>
        <w:t>La DGEC assure la diffusion de l’inventaire des émissions de GES auprès de la Convention Cadre des Nations unies sur les Changements Climatiques (CCNUCC).</w:t>
      </w:r>
    </w:p>
    <w:p w14:paraId="4D86D9F1" w14:textId="77777777" w:rsidR="00977B34" w:rsidRDefault="00977B34" w:rsidP="00977B34"/>
    <w:p w14:paraId="4963BFD7" w14:textId="7FDB0FAE" w:rsidR="00977B34" w:rsidRDefault="00977B34" w:rsidP="00977B34">
      <w:r>
        <w:t xml:space="preserve">A la demande du </w:t>
      </w:r>
      <w:r w:rsidR="00652F25">
        <w:t>MTE</w:t>
      </w:r>
      <w:r>
        <w:t xml:space="preserve">, le Citepa assure la diffusion de tous les inventaires qu’il réalise par, notamment, la mise en accès public libre des rapports correspondants à l’adresse Internet </w:t>
      </w:r>
      <w:hyperlink r:id="rId80" w:history="1">
        <w:r w:rsidRPr="006A60F6">
          <w:rPr>
            <w:rStyle w:val="Hyperlink"/>
          </w:rPr>
          <w:t>https://www.citepa.org/fr/ccnucc/</w:t>
        </w:r>
      </w:hyperlink>
    </w:p>
    <w:p w14:paraId="12C36FA1" w14:textId="77777777" w:rsidR="00977B34" w:rsidRDefault="00977B34" w:rsidP="00977B34"/>
    <w:p w14:paraId="6E9E22C4" w14:textId="11F58BBC" w:rsidR="00977B34" w:rsidRDefault="00977B34" w:rsidP="00977B34">
      <w:r>
        <w:t xml:space="preserve">Le </w:t>
      </w:r>
      <w:r w:rsidR="00652F25">
        <w:t>MTE</w:t>
      </w:r>
      <w:r>
        <w:t xml:space="preserve"> met en œuvre les dispositions qui assurent la mise en place des processus relatifs à la détermination des méthodes d’estimation, à la collecte et au traitement des données, à l’archivage, au contrôle et à l’assurance de la qualité, la diffusion des inventaires tant au plan national qu’international ainsi que les dispositions relatives au suivi de la bonne exécution.</w:t>
      </w:r>
    </w:p>
    <w:p w14:paraId="43A8AAA5" w14:textId="77777777" w:rsidR="00977B34" w:rsidRDefault="00977B34" w:rsidP="00977B34"/>
    <w:p w14:paraId="38A75615" w14:textId="77777777" w:rsidR="00977B34" w:rsidRDefault="00977B34" w:rsidP="00977B34">
      <w:r>
        <w:t>La multiplicité des besoins conduisant à l’élaboration d’inventaires d’émissions dans l’atmosphère portant souvent sur des substances et des sources similaires justifie, dans un souci de cohérence, de qualité et d’efficacité, de retenir le principe d’unicité du système d’inventaire pour les différents inventaires d’émissions nationaux concernant les polluants atmosphériques et les gaz à effet de serre. Cette stratégie correspond aux recommandations des instances internationales de la Commission européenne et des Nations Unies. L’organisation française respecte les principes du cadre directeur des systèmes nationaux prévus au paragraphe 1 de l’article 5 du Protocole de Kyoto (décision CMP.1 annexée à la décision 20/CP.7 de la CCNUCC).</w:t>
      </w:r>
    </w:p>
    <w:p w14:paraId="069E2AD1" w14:textId="77777777" w:rsidR="00977B34" w:rsidRDefault="00977B34" w:rsidP="00977B34">
      <w:r>
        <w:cr/>
      </w:r>
      <w:r w:rsidRPr="008F217B">
        <w:rPr>
          <w:noProof/>
        </w:rPr>
        <w:drawing>
          <wp:inline distT="0" distB="0" distL="0" distR="0" wp14:anchorId="5F4AC58B" wp14:editId="528961BA">
            <wp:extent cx="6318250" cy="8312150"/>
            <wp:effectExtent l="0" t="0" r="635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18250" cy="8312150"/>
                    </a:xfrm>
                    <a:prstGeom prst="rect">
                      <a:avLst/>
                    </a:prstGeom>
                    <a:noFill/>
                    <a:ln>
                      <a:noFill/>
                    </a:ln>
                  </pic:spPr>
                </pic:pic>
              </a:graphicData>
            </a:graphic>
          </wp:inline>
        </w:drawing>
      </w:r>
    </w:p>
    <w:p w14:paraId="398450F7" w14:textId="76B4A5F0" w:rsidR="008E4505" w:rsidRDefault="008E4505" w:rsidP="0045532B">
      <w:pPr>
        <w:pStyle w:val="Caption"/>
      </w:pPr>
      <w:bookmarkStart w:id="427" w:name="_Toc123916500"/>
      <w:r>
        <w:t xml:space="preserve">Tableau </w:t>
      </w:r>
      <w:fldSimple w:instr=" SEQ Tableau \* ARABIC ">
        <w:r w:rsidR="00AB51D9">
          <w:rPr>
            <w:noProof/>
          </w:rPr>
          <w:t>8</w:t>
        </w:r>
      </w:fldSimple>
      <w:r>
        <w:t xml:space="preserve"> : </w:t>
      </w:r>
      <w:r w:rsidR="00977B34">
        <w:t>Liste des statistiques et données utilisées pour la réalisation des inventaires</w:t>
      </w:r>
      <w:bookmarkEnd w:id="427"/>
    </w:p>
    <w:p w14:paraId="4D7F6951" w14:textId="578236FC" w:rsidR="00977B34" w:rsidRDefault="00977B34" w:rsidP="0045532B">
      <w:pPr>
        <w:pStyle w:val="Caption"/>
      </w:pPr>
      <w:r>
        <w:t>Source : arrêté « SNIEBA » du 24 août 2011</w:t>
      </w:r>
    </w:p>
    <w:p w14:paraId="2BF82C75" w14:textId="0A4464A5" w:rsidR="00977B34" w:rsidRDefault="00977B34" w:rsidP="003F57EA">
      <w:pPr>
        <w:pStyle w:val="Titre3Niveau3"/>
      </w:pPr>
      <w:bookmarkStart w:id="428" w:name="_Toc120568043"/>
      <w:bookmarkStart w:id="429" w:name="_Toc138341991"/>
      <w:r>
        <w:t>Processus de collecte, choix des facteurs d’émission et calculs d’émissions</w:t>
      </w:r>
      <w:bookmarkEnd w:id="428"/>
      <w:bookmarkEnd w:id="429"/>
    </w:p>
    <w:p w14:paraId="6ACE4AC9" w14:textId="48604722" w:rsidR="00977B34" w:rsidRDefault="00977B34" w:rsidP="00977B34">
      <w:r>
        <w:t xml:space="preserve">Les inventaires d’émissions sont réalisés conformément aux recommandations de la CCNUCC (lignes directrices </w:t>
      </w:r>
      <w:r w:rsidRPr="00C36E79">
        <w:t>FCCC/CP/2013/10/Add.3</w:t>
      </w:r>
      <w:r>
        <w:t xml:space="preserve"> de la décision 24/CP.19) </w:t>
      </w:r>
      <w:r w:rsidR="008E6688" w:rsidRPr="008E6688">
        <w:t>et conformément</w:t>
      </w:r>
      <w:r w:rsidR="008E6688">
        <w:t xml:space="preserve"> aux lignes directrices du GIEC</w:t>
      </w:r>
      <w:r>
        <w:t>.</w:t>
      </w:r>
    </w:p>
    <w:p w14:paraId="3B61A294" w14:textId="49AF0C97" w:rsidR="00977B34" w:rsidRDefault="00977B34" w:rsidP="00977B34">
      <w:r>
        <w:t>Conformément à l’article 10, paragraphes a et f du Protocole de Kyoto, la France a entrepris différents programmes afin d’améliorer les facteurs d’émissions ou les données d’activité relatifs à l’inventaire national d’émissions. Ces différents programmes sont suivis par le GCIIE (Groupe de concertation et d'information sur les inventaires d'émissions) dans le cadre du SNIEBA (Arrêté du 24 août 2011 relatif au Système national d’inventaires d’émissions et de bilans dans l’atmosphère). Les principaux programmes d'améliorations de l'inventaire national, pour les dernières a</w:t>
      </w:r>
      <w:r w:rsidR="008E4505">
        <w:t>nnées, sont présentés ci-après.</w:t>
      </w:r>
    </w:p>
    <w:p w14:paraId="102A1506" w14:textId="1FD06BC5" w:rsidR="008E4505" w:rsidRDefault="00977B34" w:rsidP="00EF6DB6">
      <w:pPr>
        <w:pStyle w:val="Titre4niveau4"/>
      </w:pPr>
      <w:r>
        <w:t>Secteurs énergie/industrie</w:t>
      </w:r>
    </w:p>
    <w:p w14:paraId="18B6342C" w14:textId="77777777" w:rsidR="008E4505" w:rsidRDefault="008E4505" w:rsidP="008E4505">
      <w:r>
        <w:t xml:space="preserve">Le bilan de l’énergie national est un élément structurant important pour les inventaires d’émissions nationaux. Un travail d’amélioration continue est réalisé tous les ans pour une bonne compréhension et bonne prise en compte de ce bilan grâce à des réunions et échanges avec le SDES, notamment sur les consommations de produits pétroliers, de gaz naturel, de biogaz, gaz industriels dans l'industrie, etc. </w:t>
      </w:r>
    </w:p>
    <w:p w14:paraId="20FC3FA6" w14:textId="098BEE2E" w:rsidR="008E4505" w:rsidRDefault="008E4505" w:rsidP="008E4505">
      <w:r>
        <w:t>Avec l’opérateur de distribution de gaz naturel en France, un travail d’affinement des caractéristiques du gaz naturel a été réalisé récemment.</w:t>
      </w:r>
      <w:r w:rsidR="00260E0B">
        <w:t xml:space="preserve"> </w:t>
      </w:r>
    </w:p>
    <w:p w14:paraId="0822779C" w14:textId="77777777" w:rsidR="008E4505" w:rsidRDefault="008E4505" w:rsidP="008E4505">
      <w:r>
        <w:t>Pour les méthaniseurs il est prévu de mieux prendre en compte leur autoconsommation de biogaz.</w:t>
      </w:r>
    </w:p>
    <w:p w14:paraId="19C32741" w14:textId="2D5346E8" w:rsidR="008E4505" w:rsidRPr="008E4505" w:rsidRDefault="008E4505" w:rsidP="008E4505">
      <w:r>
        <w:t>Concernant les gaz fluorés dans l’Outre-mer, un programme de travail est prévu pour affiner ces émissions sur la base de données plus spécifiques aux territoires dans la mesure de leur disponibilité.</w:t>
      </w:r>
    </w:p>
    <w:p w14:paraId="3E0F9320" w14:textId="082A1293" w:rsidR="00977B34" w:rsidRDefault="00977B34" w:rsidP="00EF6DB6">
      <w:pPr>
        <w:pStyle w:val="Titre4niveau4"/>
      </w:pPr>
      <w:r>
        <w:t>Secteur des transports</w:t>
      </w:r>
    </w:p>
    <w:p w14:paraId="3D612AB0" w14:textId="583CFDB4" w:rsidR="008E4505" w:rsidRDefault="008E4505" w:rsidP="008E4505">
      <w:r>
        <w:t>Un travail d’amélioration continue a lieu au fil des années avec la DGAC afin d’affiner le modèle d’émissions TAARMAC pour les émissions de l’aviation civile, e.g. affinements de coefficients d’appareils, amélioration des émissions des vols non-commerciaux, etc.</w:t>
      </w:r>
      <w:r w:rsidR="00260E0B">
        <w:t xml:space="preserve"> </w:t>
      </w:r>
    </w:p>
    <w:p w14:paraId="53AF7D80" w14:textId="5E6F15ED" w:rsidR="008E4505" w:rsidRDefault="008E4505" w:rsidP="008E4505">
      <w:r>
        <w:t>Pour le transport fluvial, un programme d’amélioration est en cours sur la possibilité de déterminer un parc réel de bateaux fluviaux.</w:t>
      </w:r>
      <w:r w:rsidR="00260E0B">
        <w:t xml:space="preserve">   </w:t>
      </w:r>
    </w:p>
    <w:p w14:paraId="0E6E6FFE" w14:textId="77777777" w:rsidR="008E4505" w:rsidRDefault="008E4505" w:rsidP="008E4505">
      <w:r>
        <w:t>Pour le transport maritime, une actualisation de la distribution entre le transport international et domestique est en cours, en utilisant les données AIS satellites de suivi des navires.</w:t>
      </w:r>
    </w:p>
    <w:p w14:paraId="5117343E" w14:textId="3DCB2A9B" w:rsidR="008E4505" w:rsidRPr="008E4505" w:rsidRDefault="008E4505" w:rsidP="008E4505">
      <w:r>
        <w:t>Pour le transport routier, une amélioration continue est assurée en particulier afin de suivre les changements et affinements réguliers du modèle d’émissions Européens COPERT.</w:t>
      </w:r>
    </w:p>
    <w:p w14:paraId="768C0618" w14:textId="033160A6" w:rsidR="00977B34" w:rsidRDefault="00977B34" w:rsidP="00EF6DB6">
      <w:pPr>
        <w:pStyle w:val="Titre4niveau4"/>
      </w:pPr>
      <w:r>
        <w:t>Secteur de l’agriculture</w:t>
      </w:r>
    </w:p>
    <w:p w14:paraId="7D210521" w14:textId="77777777" w:rsidR="008E4505" w:rsidRDefault="008E4505" w:rsidP="008E4505">
      <w:r>
        <w:t>Les bovins contribuent de manière importante aux émissions agricoles avec des incertitudes relativement importantes. Il y a donc des enjeux d’améliorations des connaissances notamment en lien avec les travaux de recherche au niveau national notamment ceux de l’INRAE.</w:t>
      </w:r>
    </w:p>
    <w:p w14:paraId="76CEB7CC" w14:textId="77777777" w:rsidR="008E4505" w:rsidRDefault="008E4505" w:rsidP="008E4505">
      <w:r>
        <w:t>Côté élevage des porcins, une base de données BDD ELFE de facteurs d’émission a été développée. Des travaux à l’INRAE sont en cours pour l’exploitation de ces données et leur publication.</w:t>
      </w:r>
    </w:p>
    <w:p w14:paraId="18557CED" w14:textId="736E1434" w:rsidR="008E4505" w:rsidRPr="008E4505" w:rsidRDefault="008E4505" w:rsidP="008E4505">
      <w:r>
        <w:t>Par ailleurs, l’application des affinements du GIEC 2019 pour les émissions de l’agriculture a été mise en œuvre en 2022 pour le rapportage à partir de 2023</w:t>
      </w:r>
    </w:p>
    <w:p w14:paraId="74D2ADE4" w14:textId="2129A00C" w:rsidR="00977B34" w:rsidRDefault="00977B34" w:rsidP="00EF6DB6">
      <w:pPr>
        <w:pStyle w:val="Titre4niveau4"/>
      </w:pPr>
      <w:r>
        <w:t>Secteur UTCATF</w:t>
      </w:r>
    </w:p>
    <w:p w14:paraId="0CDF9349" w14:textId="77777777" w:rsidR="008E4505" w:rsidRDefault="008E4505" w:rsidP="008E4505">
      <w:r>
        <w:t>L’UTCATF est également un secteur à fortes incertitudes. Dans le cadre du règlement UE 2018/1999 de gouvernance Energie Climat une approche spatialement explicite doit être mise en place pour l’UTCATF à partir du rapportage 2023. Une telle approche spatialement explicite devrait à terme améliorer ces incertitudes. Un programme de préparation à cette approche spatialement explicite UTCATF a démarré depuis 2019 afin de produire et rapporter de tels inventaires UTCATF à partir de 2023.</w:t>
      </w:r>
    </w:p>
    <w:p w14:paraId="54EDB830" w14:textId="66A91EB4" w:rsidR="008E4505" w:rsidRPr="008E4505" w:rsidRDefault="008E4505" w:rsidP="008E4505">
      <w:r>
        <w:t>Par ailleurs, d’autres points spécifiques d’améliorations pour l’UTCATF sont en cours/au programme :</w:t>
      </w:r>
      <w:r w:rsidR="00260E0B">
        <w:t xml:space="preserve"> </w:t>
      </w:r>
      <w:r>
        <w:t>e.g. pour le bilan forestier en Outre-mer, les différents flux liés aux récoltes (rémanents, bois-énergie, brûlage sur site), une possible cinétique temporelle pour la biomasse racinaire en forêt, les arbres hors forêts (haies, agroforesterie), etc.</w:t>
      </w:r>
    </w:p>
    <w:p w14:paraId="5267B0A2" w14:textId="06043337" w:rsidR="00977B34" w:rsidRDefault="00977B34" w:rsidP="00EF6DB6">
      <w:pPr>
        <w:pStyle w:val="Titre4niveau4"/>
      </w:pPr>
      <w:r>
        <w:t>Secteur des déchets</w:t>
      </w:r>
    </w:p>
    <w:p w14:paraId="0E44A436" w14:textId="77777777" w:rsidR="008E4505" w:rsidRDefault="008E4505" w:rsidP="008E4505">
      <w:r>
        <w:t>Pour les émissions des ISDND (installation de stockage de déchets non dangereux), dernièrement le nouvel outil de calcul du GIEC 2019 a été mis en œuvre, en complément d’informations spécifiques issues d’une enquête FNADE récente sur la récupération du biogaz dans les ISDND.</w:t>
      </w:r>
    </w:p>
    <w:p w14:paraId="7A5C6B4E" w14:textId="010BD808" w:rsidR="008E4505" w:rsidRDefault="008E4505" w:rsidP="008E4505">
      <w:r>
        <w:t>Concernant le compostage domestique, les facteurs d’émissions ont été dernièrement améliorés sur la base d’une étude récente de l’ADEME sur ce sujet.</w:t>
      </w:r>
      <w:r w:rsidR="00260E0B">
        <w:t xml:space="preserve"> </w:t>
      </w:r>
    </w:p>
    <w:p w14:paraId="6A2D8A79" w14:textId="4373E003" w:rsidR="008E4505" w:rsidRPr="008E4505" w:rsidRDefault="008E4505" w:rsidP="008E4505">
      <w:r>
        <w:t>Quant à l’incinération de boues, un affinement des facteurs d’émissions a été réalisé dernièrement sur la base de connaissances spécifiques nationales (étude récente de l’INRAE sur ce sujet).</w:t>
      </w:r>
    </w:p>
    <w:p w14:paraId="6EF0243F" w14:textId="79D2785B" w:rsidR="00977B34" w:rsidRDefault="00977B34" w:rsidP="003F57EA">
      <w:pPr>
        <w:pStyle w:val="Titre3Niveau3"/>
      </w:pPr>
      <w:bookmarkStart w:id="430" w:name="_Toc120568044"/>
      <w:bookmarkStart w:id="431" w:name="_Toc138341992"/>
      <w:r>
        <w:t>Résultats de l’analyse des catégories clés (voir également NIR 2022 France pour plus de détails)</w:t>
      </w:r>
      <w:bookmarkEnd w:id="430"/>
      <w:bookmarkEnd w:id="431"/>
    </w:p>
    <w:p w14:paraId="0DAB6639" w14:textId="77777777" w:rsidR="00977B34" w:rsidRDefault="00977B34" w:rsidP="00977B34">
      <w:r>
        <w:t>Selon les recommandations du GIEC, une analyse des catégories clés est effectuée dans cette section.</w:t>
      </w:r>
    </w:p>
    <w:p w14:paraId="037D4A63" w14:textId="4BC29999" w:rsidR="00977B34" w:rsidRDefault="00977B34" w:rsidP="00977B34">
      <w:r>
        <w:t xml:space="preserve">Elle est réalisée globalement sur la base des contributions en </w:t>
      </w:r>
      <w:r w:rsidR="007F09F7">
        <w:t>CO</w:t>
      </w:r>
      <w:r w:rsidR="007F09F7" w:rsidRPr="007F09F7">
        <w:rPr>
          <w:vertAlign w:val="subscript"/>
        </w:rPr>
        <w:t>2</w:t>
      </w:r>
      <w:r>
        <w:t xml:space="preserve"> équivalent des différentes sources à un niveau sectoriel plus fin que celui par défaut et pour les sept gaz à effet de serre direct. Suivant les recommandations du GIEC, cette analyse est effectuée par type de combustible pour les installations de combustion.</w:t>
      </w:r>
    </w:p>
    <w:p w14:paraId="789B7BD9" w14:textId="77777777" w:rsidR="00977B34" w:rsidRPr="0074602A" w:rsidRDefault="00977B34" w:rsidP="00977B34">
      <w:pPr>
        <w:rPr>
          <w:rFonts w:asciiTheme="majorHAnsi" w:eastAsiaTheme="majorEastAsia" w:hAnsiTheme="majorHAnsi" w:cstheme="majorBidi"/>
          <w:b/>
          <w:bCs/>
          <w:iCs/>
          <w:sz w:val="18"/>
          <w:szCs w:val="18"/>
        </w:rPr>
      </w:pPr>
    </w:p>
    <w:p w14:paraId="7FEB2366" w14:textId="77777777" w:rsidR="00977B34" w:rsidRDefault="00977B34" w:rsidP="00977B34">
      <w:r>
        <w:t>Deux analyses différentes sont proposées de type Tier 1 :</w:t>
      </w:r>
    </w:p>
    <w:p w14:paraId="7AB9EBB9" w14:textId="77777777" w:rsidR="00977B34" w:rsidRDefault="00977B34" w:rsidP="00BE086C">
      <w:pPr>
        <w:pStyle w:val="ListParagraph"/>
        <w:numPr>
          <w:ilvl w:val="0"/>
          <w:numId w:val="24"/>
        </w:numPr>
        <w:jc w:val="left"/>
      </w:pPr>
      <w:r>
        <w:t>la première hors UTCATF permettant d’évaluer les contributions des différentes sources vis-à-vis d’engagements tels que ceux du Protocole de Kyoto ;</w:t>
      </w:r>
    </w:p>
    <w:p w14:paraId="49951929" w14:textId="77777777" w:rsidR="00977B34" w:rsidRDefault="00977B34" w:rsidP="00BE086C">
      <w:pPr>
        <w:pStyle w:val="ListParagraph"/>
        <w:numPr>
          <w:ilvl w:val="0"/>
          <w:numId w:val="24"/>
        </w:numPr>
        <w:jc w:val="left"/>
      </w:pPr>
      <w:r>
        <w:t>la seconde avec UTCATF pour répondre aux recommandations de la CCNUCC.</w:t>
      </w:r>
    </w:p>
    <w:p w14:paraId="77F30498" w14:textId="77777777" w:rsidR="00977B34" w:rsidRPr="00313BC5" w:rsidRDefault="00977B34" w:rsidP="00977B34">
      <w:pPr>
        <w:rPr>
          <w:szCs w:val="21"/>
        </w:rPr>
      </w:pPr>
      <w:r>
        <w:rPr>
          <w:bCs/>
          <w:szCs w:val="21"/>
        </w:rPr>
        <w:t xml:space="preserve">Ces analyses sont menées pour l’année 2020, l’année 1990, et également au regard des évolutions dans le temps entre 1990 et 2020. </w:t>
      </w:r>
      <w:r w:rsidRPr="00313BC5">
        <w:rPr>
          <w:bCs/>
          <w:szCs w:val="21"/>
        </w:rPr>
        <w:t>De plus, une analyse de Tier 2 avec UTCATF est conduite en complément de l’analyse Tier 1.</w:t>
      </w:r>
    </w:p>
    <w:p w14:paraId="41043F18" w14:textId="77777777" w:rsidR="00977B34" w:rsidRDefault="00977B34" w:rsidP="00977B34"/>
    <w:p w14:paraId="5AF54991" w14:textId="77777777" w:rsidR="00977B34" w:rsidRDefault="00977B34" w:rsidP="00977B34">
      <w:r>
        <w:t>Pour l’année 2020 :</w:t>
      </w:r>
    </w:p>
    <w:p w14:paraId="0F143551" w14:textId="77777777" w:rsidR="00977B34" w:rsidRDefault="00977B34" w:rsidP="00BE086C">
      <w:pPr>
        <w:pStyle w:val="ListParagraph"/>
        <w:numPr>
          <w:ilvl w:val="0"/>
          <w:numId w:val="25"/>
        </w:numPr>
        <w:jc w:val="left"/>
      </w:pPr>
      <w:r>
        <w:t>Catégories clés hors UTCATF</w:t>
      </w:r>
    </w:p>
    <w:p w14:paraId="154E1EA6" w14:textId="34DA8C43" w:rsidR="00977B34" w:rsidRPr="00313BC5" w:rsidRDefault="00977B34" w:rsidP="00BE086C">
      <w:pPr>
        <w:pStyle w:val="ListParagraph"/>
        <w:numPr>
          <w:ilvl w:val="1"/>
          <w:numId w:val="25"/>
        </w:numPr>
        <w:jc w:val="left"/>
      </w:pPr>
      <w:r>
        <w:rPr>
          <w:bCs/>
          <w:sz w:val="20"/>
          <w:szCs w:val="20"/>
        </w:rPr>
        <w:t>L</w:t>
      </w:r>
      <w:r w:rsidRPr="00313BC5">
        <w:rPr>
          <w:sz w:val="20"/>
          <w:szCs w:val="20"/>
        </w:rPr>
        <w:t xml:space="preserve">es 19 premières sources représentent environ 80% du total, </w:t>
      </w:r>
      <w:r>
        <w:rPr>
          <w:sz w:val="20"/>
          <w:szCs w:val="20"/>
        </w:rPr>
        <w:t xml:space="preserve">tandis </w:t>
      </w:r>
      <w:r w:rsidRPr="00313BC5">
        <w:rPr>
          <w:sz w:val="20"/>
          <w:szCs w:val="20"/>
        </w:rPr>
        <w:t xml:space="preserve">que les 31 premières sources </w:t>
      </w:r>
      <w:r>
        <w:rPr>
          <w:sz w:val="20"/>
          <w:szCs w:val="20"/>
        </w:rPr>
        <w:t>r</w:t>
      </w:r>
      <w:r w:rsidRPr="00313BC5">
        <w:rPr>
          <w:sz w:val="20"/>
          <w:szCs w:val="20"/>
        </w:rPr>
        <w:t>eprésentent plus de 90</w:t>
      </w:r>
      <w:r w:rsidR="006518EF">
        <w:rPr>
          <w:sz w:val="20"/>
          <w:szCs w:val="20"/>
        </w:rPr>
        <w:t>%</w:t>
      </w:r>
      <w:r w:rsidRPr="00313BC5">
        <w:rPr>
          <w:sz w:val="20"/>
          <w:szCs w:val="20"/>
        </w:rPr>
        <w:t xml:space="preserve"> du total, et que 44 sources forment l’ensemble des catégories clés relatives à 95</w:t>
      </w:r>
      <w:r w:rsidR="006518EF">
        <w:rPr>
          <w:sz w:val="20"/>
          <w:szCs w:val="20"/>
        </w:rPr>
        <w:t>%</w:t>
      </w:r>
      <w:r w:rsidRPr="00313BC5">
        <w:rPr>
          <w:sz w:val="20"/>
          <w:szCs w:val="20"/>
        </w:rPr>
        <w:t xml:space="preserve"> des émissions totales hors UTCATF.</w:t>
      </w:r>
    </w:p>
    <w:p w14:paraId="70FA7EF3" w14:textId="443CC5B6" w:rsidR="00977B34" w:rsidRPr="00313BC5" w:rsidRDefault="00977B34" w:rsidP="00BE086C">
      <w:pPr>
        <w:pStyle w:val="ListParagraph"/>
        <w:numPr>
          <w:ilvl w:val="1"/>
          <w:numId w:val="25"/>
        </w:numPr>
        <w:jc w:val="left"/>
      </w:pPr>
      <w:r>
        <w:rPr>
          <w:sz w:val="20"/>
          <w:szCs w:val="20"/>
        </w:rPr>
        <w:t xml:space="preserve">Le </w:t>
      </w:r>
      <w:r w:rsidR="007F09F7">
        <w:t>CO</w:t>
      </w:r>
      <w:r w:rsidR="007F09F7" w:rsidRPr="007F09F7">
        <w:rPr>
          <w:vertAlign w:val="subscript"/>
        </w:rPr>
        <w:t>2</w:t>
      </w:r>
      <w:r>
        <w:rPr>
          <w:sz w:val="13"/>
          <w:szCs w:val="13"/>
        </w:rPr>
        <w:t xml:space="preserve"> </w:t>
      </w:r>
      <w:r>
        <w:rPr>
          <w:sz w:val="20"/>
          <w:szCs w:val="20"/>
        </w:rPr>
        <w:t>du transport routier participe à lui seul pour plus d’un quart (26,3</w:t>
      </w:r>
      <w:r w:rsidR="006518EF">
        <w:rPr>
          <w:sz w:val="20"/>
          <w:szCs w:val="20"/>
        </w:rPr>
        <w:t>%</w:t>
      </w:r>
      <w:r>
        <w:rPr>
          <w:sz w:val="20"/>
          <w:szCs w:val="20"/>
        </w:rPr>
        <w:t xml:space="preserve">) du total des émissions hors UTCATF en 2020. Le </w:t>
      </w:r>
      <w:r w:rsidR="007F09F7" w:rsidRPr="00141043">
        <w:t>CH</w:t>
      </w:r>
      <w:r w:rsidR="007F09F7" w:rsidRPr="004F1EC8">
        <w:rPr>
          <w:vertAlign w:val="subscript"/>
        </w:rPr>
        <w:t>4</w:t>
      </w:r>
      <w:r w:rsidR="00260E0B">
        <w:t xml:space="preserve"> </w:t>
      </w:r>
      <w:r>
        <w:rPr>
          <w:sz w:val="20"/>
          <w:szCs w:val="20"/>
        </w:rPr>
        <w:t>de la fermentation entérique de l’élevage contribue à hauteur de 8,4</w:t>
      </w:r>
      <w:r w:rsidR="006518EF">
        <w:rPr>
          <w:sz w:val="20"/>
          <w:szCs w:val="20"/>
        </w:rPr>
        <w:t>%</w:t>
      </w:r>
      <w:r>
        <w:rPr>
          <w:sz w:val="20"/>
          <w:szCs w:val="20"/>
        </w:rPr>
        <w:t xml:space="preserve"> des émissions totales en équivalent </w:t>
      </w:r>
      <w:r w:rsidR="007F09F7">
        <w:t>CO</w:t>
      </w:r>
      <w:r w:rsidR="007F09F7" w:rsidRPr="007F09F7">
        <w:rPr>
          <w:vertAlign w:val="subscript"/>
        </w:rPr>
        <w:t>2</w:t>
      </w:r>
      <w:r>
        <w:rPr>
          <w:sz w:val="13"/>
          <w:szCs w:val="13"/>
        </w:rPr>
        <w:t xml:space="preserve"> </w:t>
      </w:r>
      <w:r>
        <w:rPr>
          <w:sz w:val="20"/>
          <w:szCs w:val="20"/>
        </w:rPr>
        <w:t xml:space="preserve">; vient ensuite le </w:t>
      </w:r>
      <w:r w:rsidR="007F09F7">
        <w:t>CO</w:t>
      </w:r>
      <w:r w:rsidR="007F09F7" w:rsidRPr="007F09F7">
        <w:rPr>
          <w:vertAlign w:val="subscript"/>
        </w:rPr>
        <w:t>2</w:t>
      </w:r>
      <w:r>
        <w:rPr>
          <w:sz w:val="13"/>
          <w:szCs w:val="13"/>
        </w:rPr>
        <w:t xml:space="preserve"> </w:t>
      </w:r>
      <w:r>
        <w:rPr>
          <w:sz w:val="20"/>
          <w:szCs w:val="20"/>
        </w:rPr>
        <w:t>de la combustion du gaz naturel dans le secteur résidentiel contribuant à hauteur de 6,4</w:t>
      </w:r>
      <w:r w:rsidR="006518EF">
        <w:rPr>
          <w:sz w:val="20"/>
          <w:szCs w:val="20"/>
        </w:rPr>
        <w:t>%</w:t>
      </w:r>
      <w:r>
        <w:rPr>
          <w:sz w:val="20"/>
          <w:szCs w:val="20"/>
        </w:rPr>
        <w:t xml:space="preserve">. En y ajoutant le </w:t>
      </w:r>
      <w:r w:rsidR="00F80CAB" w:rsidRPr="00141043">
        <w:t>N</w:t>
      </w:r>
      <w:r w:rsidR="00F80CAB" w:rsidRPr="004F1EC8">
        <w:rPr>
          <w:vertAlign w:val="subscript"/>
        </w:rPr>
        <w:t>2</w:t>
      </w:r>
      <w:r w:rsidR="00F80CAB" w:rsidRPr="00141043">
        <w:t>O</w:t>
      </w:r>
      <w:r w:rsidR="00F80CAB">
        <w:t xml:space="preserve"> </w:t>
      </w:r>
      <w:r>
        <w:rPr>
          <w:sz w:val="20"/>
          <w:szCs w:val="20"/>
        </w:rPr>
        <w:t>provenant des émissions directes des sols agricoles (6,1</w:t>
      </w:r>
      <w:r w:rsidR="006518EF">
        <w:rPr>
          <w:sz w:val="20"/>
          <w:szCs w:val="20"/>
        </w:rPr>
        <w:t>%</w:t>
      </w:r>
      <w:r>
        <w:rPr>
          <w:sz w:val="20"/>
          <w:szCs w:val="20"/>
        </w:rPr>
        <w:t xml:space="preserve">) ainsi que le </w:t>
      </w:r>
      <w:r w:rsidR="007F09F7">
        <w:t>CO</w:t>
      </w:r>
      <w:r w:rsidR="007F09F7" w:rsidRPr="007F09F7">
        <w:rPr>
          <w:vertAlign w:val="subscript"/>
        </w:rPr>
        <w:t>2</w:t>
      </w:r>
      <w:r>
        <w:rPr>
          <w:sz w:val="13"/>
          <w:szCs w:val="13"/>
        </w:rPr>
        <w:t xml:space="preserve"> </w:t>
      </w:r>
      <w:r>
        <w:rPr>
          <w:sz w:val="20"/>
          <w:szCs w:val="20"/>
        </w:rPr>
        <w:t>de la combustion des produits pétroliers dans le secteur résidentiel (3,4</w:t>
      </w:r>
      <w:r w:rsidR="006518EF">
        <w:rPr>
          <w:sz w:val="20"/>
          <w:szCs w:val="20"/>
        </w:rPr>
        <w:t>%</w:t>
      </w:r>
      <w:r>
        <w:rPr>
          <w:sz w:val="20"/>
          <w:szCs w:val="20"/>
        </w:rPr>
        <w:t>), ces cinq entités représentent plus de la moitié (50,6% précisément) des émissions de gaz à effet de serre en France en 2020 hors UTCATF. Parmi les catégories clés (à 95</w:t>
      </w:r>
      <w:r w:rsidR="006518EF">
        <w:rPr>
          <w:sz w:val="20"/>
          <w:szCs w:val="20"/>
        </w:rPr>
        <w:t>%</w:t>
      </w:r>
      <w:r>
        <w:rPr>
          <w:sz w:val="20"/>
          <w:szCs w:val="20"/>
        </w:rPr>
        <w:t xml:space="preserve">), sur les 7 gaz à effet de serre direct, le </w:t>
      </w:r>
      <w:r w:rsidR="007F09F7">
        <w:t>CO</w:t>
      </w:r>
      <w:r w:rsidR="007F09F7" w:rsidRPr="007F09F7">
        <w:rPr>
          <w:vertAlign w:val="subscript"/>
        </w:rPr>
        <w:t>2</w:t>
      </w:r>
      <w:r>
        <w:rPr>
          <w:sz w:val="13"/>
          <w:szCs w:val="13"/>
        </w:rPr>
        <w:t xml:space="preserve"> </w:t>
      </w:r>
      <w:r>
        <w:rPr>
          <w:sz w:val="20"/>
          <w:szCs w:val="20"/>
        </w:rPr>
        <w:t>représente environ 71</w:t>
      </w:r>
      <w:r w:rsidR="006518EF">
        <w:rPr>
          <w:sz w:val="20"/>
          <w:szCs w:val="20"/>
        </w:rPr>
        <w:t>%</w:t>
      </w:r>
      <w:r>
        <w:rPr>
          <w:sz w:val="20"/>
          <w:szCs w:val="20"/>
        </w:rPr>
        <w:t xml:space="preserve"> des émissions totales hors UTCATF avec 34 catégories sur 44.</w:t>
      </w:r>
    </w:p>
    <w:p w14:paraId="54E51667" w14:textId="77777777" w:rsidR="00977B34" w:rsidRPr="00313BC5" w:rsidRDefault="00977B34" w:rsidP="00BE086C">
      <w:pPr>
        <w:pStyle w:val="ListParagraph"/>
        <w:numPr>
          <w:ilvl w:val="0"/>
          <w:numId w:val="25"/>
        </w:numPr>
        <w:jc w:val="left"/>
      </w:pPr>
      <w:r>
        <w:rPr>
          <w:sz w:val="20"/>
          <w:szCs w:val="20"/>
        </w:rPr>
        <w:t>Catégories clés avec UTCATF.</w:t>
      </w:r>
    </w:p>
    <w:p w14:paraId="73995D6F" w14:textId="12A6FB49" w:rsidR="00977B34" w:rsidRPr="00313BC5" w:rsidRDefault="00977B34" w:rsidP="00BE086C">
      <w:pPr>
        <w:pStyle w:val="ListParagraph"/>
        <w:numPr>
          <w:ilvl w:val="1"/>
          <w:numId w:val="25"/>
        </w:numPr>
        <w:jc w:val="left"/>
      </w:pPr>
      <w:r>
        <w:rPr>
          <w:sz w:val="20"/>
          <w:szCs w:val="20"/>
        </w:rPr>
        <w:t xml:space="preserve">Il s’agit de la même analyse que précédemment mais en y incluant l’UTCATF en valeur absolue (la catégorie UTCATF est au bilan global un poste contribuant de manière significative au niveau des émissions et à leur évolution). L’analyse porte en conséquence sur le total hors UTCATF auquel s’ajoute la valeur absolue des postes (émissions ou absorptions) de l’UTCATF en </w:t>
      </w:r>
      <w:r w:rsidR="007F09F7">
        <w:t>CO</w:t>
      </w:r>
      <w:r w:rsidR="007F09F7" w:rsidRPr="007F09F7">
        <w:rPr>
          <w:vertAlign w:val="subscript"/>
        </w:rPr>
        <w:t>2</w:t>
      </w:r>
      <w:r>
        <w:rPr>
          <w:sz w:val="13"/>
          <w:szCs w:val="13"/>
        </w:rPr>
        <w:t xml:space="preserve"> </w:t>
      </w:r>
      <w:r>
        <w:rPr>
          <w:sz w:val="20"/>
          <w:szCs w:val="20"/>
        </w:rPr>
        <w:t>équivalent.</w:t>
      </w:r>
    </w:p>
    <w:p w14:paraId="5DA25A5E" w14:textId="6A79BC6B" w:rsidR="00977B34" w:rsidRPr="00426F59" w:rsidRDefault="00977B34" w:rsidP="00BE086C">
      <w:pPr>
        <w:pStyle w:val="ListParagraph"/>
        <w:numPr>
          <w:ilvl w:val="1"/>
          <w:numId w:val="25"/>
        </w:numPr>
        <w:jc w:val="left"/>
      </w:pPr>
      <w:r>
        <w:rPr>
          <w:sz w:val="20"/>
          <w:szCs w:val="20"/>
        </w:rPr>
        <w:t>Compte tenu de l’importance des émissions de l’UTCATF, 8 sous-catégories viennent s’intercaler par rapport à l’analyse des catégories clés en niveaux d’émission hors UTCATF en 2020, formant un total de 52 catégories clés (7 sous catégories en 1990 pour un total de 61 catégories clés). La catégorie 4A1 relative aux « forêts restant forêts », traduisant le bilan forestier (croissance, mortalité et récolte de bois), se place en quatrième position des catégories clés en niveau d’émission avec 5,1</w:t>
      </w:r>
      <w:r w:rsidR="006518EF">
        <w:rPr>
          <w:sz w:val="20"/>
          <w:szCs w:val="20"/>
        </w:rPr>
        <w:t>%</w:t>
      </w:r>
      <w:r>
        <w:rPr>
          <w:sz w:val="20"/>
          <w:szCs w:val="20"/>
        </w:rPr>
        <w:t xml:space="preserve"> en 2020.</w:t>
      </w:r>
    </w:p>
    <w:p w14:paraId="3871A97B" w14:textId="77777777" w:rsidR="00977B34" w:rsidRDefault="00977B34" w:rsidP="00977B34"/>
    <w:p w14:paraId="7B7FABA5" w14:textId="77777777" w:rsidR="00977B34" w:rsidRPr="00313BC5" w:rsidRDefault="00977B34" w:rsidP="00977B34">
      <w:r>
        <w:t>Les résultats détaillés sont disponibles en annexe.</w:t>
      </w:r>
    </w:p>
    <w:p w14:paraId="6BE8E295" w14:textId="77777777" w:rsidR="00977B34" w:rsidRDefault="00977B34" w:rsidP="00977B34"/>
    <w:p w14:paraId="604961E4" w14:textId="115E9E51" w:rsidR="00977B34" w:rsidRDefault="00977B34" w:rsidP="003F57EA">
      <w:pPr>
        <w:pStyle w:val="Titre3Niveau3"/>
      </w:pPr>
      <w:bookmarkStart w:id="432" w:name="_Toc120568045"/>
      <w:bookmarkStart w:id="433" w:name="_Toc138341993"/>
      <w:r>
        <w:t>Recalculs et améliorations</w:t>
      </w:r>
      <w:bookmarkEnd w:id="432"/>
      <w:bookmarkEnd w:id="433"/>
    </w:p>
    <w:p w14:paraId="7A3D5A17" w14:textId="77777777" w:rsidR="00977B34" w:rsidRDefault="00977B34" w:rsidP="00977B34">
      <w:r>
        <w:t>Chaque année, un certain nombre de révisions est apportés aux résultats des inventaires. Elles sont d’ordre méthodologiques et statistiques. Ces modifications répondent à la fois aux exigences de la CCNUCC (demandes dans le cadre des revues) et à un processus d’amélioration continue permettant de réduire les incertitudes et d’accroître la fiabilité des inventaires.</w:t>
      </w:r>
    </w:p>
    <w:p w14:paraId="1EB624A3" w14:textId="77777777" w:rsidR="00977B34" w:rsidRDefault="00977B34" w:rsidP="00977B34">
      <w:r w:rsidRPr="0064533F">
        <w:t>Les principales justifications motivant les révisions annuelles sont :</w:t>
      </w:r>
    </w:p>
    <w:p w14:paraId="4CA8337E" w14:textId="77777777" w:rsidR="00977B34" w:rsidRDefault="00977B34" w:rsidP="00BE086C">
      <w:pPr>
        <w:pStyle w:val="ListParagraph"/>
        <w:numPr>
          <w:ilvl w:val="0"/>
          <w:numId w:val="26"/>
        </w:numPr>
        <w:jc w:val="left"/>
      </w:pPr>
      <w:r>
        <w:t>les mises à jour rétroactives des statistiques : la dernière année de l’inventaire correspond à l’année n-2 pour une soumission le 15 avril de l’année n aux Nations unies. Or, quelques statistiques (e.g. enquêtes sur le chauffage urbain) ne sont pas disponibles pour l’année n-2 lors de la compilation de l’inventaire au dernier trimestre de l’année n-1. Dans certains cas, pour les données relatives à l’agriculture ou à l’UTCATF, les séries statistiques historiques peuvent être révisées entièrement. Dans d’autres cas, tel que pour les quantités de déchets traités par filière, les enquêtes ont lieu tous les deux ans ;</w:t>
      </w:r>
    </w:p>
    <w:p w14:paraId="6BCC3E0A" w14:textId="77777777" w:rsidR="00977B34" w:rsidRDefault="00977B34" w:rsidP="00BE086C">
      <w:pPr>
        <w:pStyle w:val="ListParagraph"/>
        <w:numPr>
          <w:ilvl w:val="0"/>
          <w:numId w:val="26"/>
        </w:numPr>
        <w:jc w:val="left"/>
      </w:pPr>
      <w:r>
        <w:t>les ruptures statistiques : dès l’arrêt de la diffusion d’une statistique, une méthode alternative est développée ;</w:t>
      </w:r>
    </w:p>
    <w:p w14:paraId="1574FA99" w14:textId="77777777" w:rsidR="00977B34" w:rsidRDefault="00977B34" w:rsidP="00BE086C">
      <w:pPr>
        <w:pStyle w:val="ListParagraph"/>
        <w:numPr>
          <w:ilvl w:val="0"/>
          <w:numId w:val="26"/>
        </w:numPr>
        <w:jc w:val="left"/>
      </w:pPr>
      <w:r>
        <w:t>les am</w:t>
      </w:r>
      <w:r w:rsidRPr="0064533F">
        <w:rPr>
          <w:rFonts w:ascii="Times New Roman" w:hAnsi="Times New Roman"/>
        </w:rPr>
        <w:t>é</w:t>
      </w:r>
      <w:r>
        <w:t>liorations m</w:t>
      </w:r>
      <w:r w:rsidRPr="0064533F">
        <w:rPr>
          <w:rFonts w:ascii="Times New Roman" w:hAnsi="Times New Roman"/>
        </w:rPr>
        <w:t>é</w:t>
      </w:r>
      <w:r>
        <w:t>thodologiques cons</w:t>
      </w:r>
      <w:r w:rsidRPr="0064533F">
        <w:rPr>
          <w:rFonts w:ascii="Times New Roman" w:hAnsi="Times New Roman"/>
        </w:rPr>
        <w:t>é</w:t>
      </w:r>
      <w:r>
        <w:t>cutives :</w:t>
      </w:r>
    </w:p>
    <w:p w14:paraId="43BE87E3" w14:textId="77777777" w:rsidR="00977B34" w:rsidRDefault="00977B34" w:rsidP="00BE086C">
      <w:pPr>
        <w:pStyle w:val="ListParagraph"/>
        <w:numPr>
          <w:ilvl w:val="1"/>
          <w:numId w:val="26"/>
        </w:numPr>
        <w:jc w:val="left"/>
      </w:pPr>
      <w:r>
        <w:t>aux décisions prises par le Groupe de concertation et d'information sur les inventaires nationaux d’émissions piloté par le Ministère chargé de l’Environnement,</w:t>
      </w:r>
    </w:p>
    <w:p w14:paraId="7F6FF42A" w14:textId="77777777" w:rsidR="00977B34" w:rsidRDefault="00977B34" w:rsidP="00BE086C">
      <w:pPr>
        <w:pStyle w:val="ListParagraph"/>
        <w:numPr>
          <w:ilvl w:val="1"/>
          <w:numId w:val="26"/>
        </w:numPr>
        <w:jc w:val="left"/>
      </w:pPr>
      <w:r>
        <w:t>aux remarques faites lors des revues officielles des Nations unies et de la Commission européenne sur l’inventaire de la France (voir tableau en annexe 8),</w:t>
      </w:r>
    </w:p>
    <w:p w14:paraId="04F6F442" w14:textId="77777777" w:rsidR="00977B34" w:rsidRDefault="00977B34" w:rsidP="00BE086C">
      <w:pPr>
        <w:pStyle w:val="ListParagraph"/>
        <w:numPr>
          <w:ilvl w:val="1"/>
          <w:numId w:val="26"/>
        </w:numPr>
        <w:jc w:val="left"/>
      </w:pPr>
      <w:r>
        <w:t>aux conclusions des procédures d’assurance qualité,</w:t>
      </w:r>
    </w:p>
    <w:p w14:paraId="11054B57" w14:textId="77777777" w:rsidR="00977B34" w:rsidRDefault="00977B34" w:rsidP="00BE086C">
      <w:pPr>
        <w:pStyle w:val="ListParagraph"/>
        <w:numPr>
          <w:ilvl w:val="1"/>
          <w:numId w:val="26"/>
        </w:numPr>
        <w:jc w:val="left"/>
      </w:pPr>
      <w:r>
        <w:t>à la disponibilité de nouvelles règles d’estimation et/ou de notification des émissions,</w:t>
      </w:r>
    </w:p>
    <w:p w14:paraId="13280766" w14:textId="77777777" w:rsidR="00977B34" w:rsidRDefault="00977B34" w:rsidP="00BE086C">
      <w:pPr>
        <w:pStyle w:val="ListParagraph"/>
        <w:numPr>
          <w:ilvl w:val="1"/>
          <w:numId w:val="26"/>
        </w:numPr>
        <w:jc w:val="left"/>
      </w:pPr>
      <w:r>
        <w:t>à la disponibilité de nouvelles informations ;</w:t>
      </w:r>
    </w:p>
    <w:p w14:paraId="01B08FC7" w14:textId="77777777" w:rsidR="00977B34" w:rsidRDefault="00977B34" w:rsidP="00BE086C">
      <w:pPr>
        <w:pStyle w:val="ListParagraph"/>
        <w:numPr>
          <w:ilvl w:val="0"/>
          <w:numId w:val="26"/>
        </w:numPr>
        <w:jc w:val="left"/>
      </w:pPr>
      <w:r>
        <w:t>les corrections d</w:t>
      </w:r>
      <w:r>
        <w:rPr>
          <w:rFonts w:ascii="Times New Roman" w:hAnsi="Times New Roman"/>
        </w:rPr>
        <w:t>’</w:t>
      </w:r>
      <w:r>
        <w:t>erreurs et d</w:t>
      </w:r>
      <w:r>
        <w:rPr>
          <w:rFonts w:ascii="Times New Roman" w:hAnsi="Times New Roman"/>
        </w:rPr>
        <w:t>’</w:t>
      </w:r>
      <w:r>
        <w:t>anomalies ;</w:t>
      </w:r>
    </w:p>
    <w:p w14:paraId="6D886FDA" w14:textId="77777777" w:rsidR="00977B34" w:rsidRDefault="00977B34" w:rsidP="00BE086C">
      <w:pPr>
        <w:pStyle w:val="ListParagraph"/>
        <w:numPr>
          <w:ilvl w:val="0"/>
          <w:numId w:val="26"/>
        </w:numPr>
        <w:jc w:val="left"/>
      </w:pPr>
      <w:r>
        <w:t>la prise en compte d</w:t>
      </w:r>
      <w:r>
        <w:rPr>
          <w:rFonts w:ascii="Times New Roman" w:hAnsi="Times New Roman"/>
        </w:rPr>
        <w:t>’</w:t>
      </w:r>
      <w:r>
        <w:t>une nouvelle source d</w:t>
      </w:r>
      <w:r>
        <w:rPr>
          <w:rFonts w:ascii="Times New Roman" w:hAnsi="Times New Roman"/>
        </w:rPr>
        <w:t>’é</w:t>
      </w:r>
      <w:r>
        <w:t>mission.</w:t>
      </w:r>
    </w:p>
    <w:p w14:paraId="2637DEA2" w14:textId="77777777" w:rsidR="00977B34" w:rsidRDefault="00977B34" w:rsidP="00977B34"/>
    <w:p w14:paraId="4864AE90" w14:textId="77777777" w:rsidR="00977B34" w:rsidRDefault="00977B34" w:rsidP="00977B34">
      <w:r>
        <w:t>Après chaque soumission de l’inventaire, le programme d’amélioration continue est révisé en traitant prioritairement les catégories clés.</w:t>
      </w:r>
    </w:p>
    <w:p w14:paraId="5989AF9D" w14:textId="77777777" w:rsidR="00977B34" w:rsidRDefault="00977B34" w:rsidP="00977B34"/>
    <w:p w14:paraId="12230A0E" w14:textId="77777777" w:rsidR="00977B34" w:rsidRDefault="00977B34" w:rsidP="00977B34">
      <w:r>
        <w:t>Les modifications apportées sont appliquées rétrospectivement à l’ensemble de la série historique des émissions depuis 1990, année de référence des inventaires, ceci permettant d’assurer la cohérence des émissions sur l’ensemble de la période étudiée conformément aux exigences de la CCNUCC.</w:t>
      </w:r>
    </w:p>
    <w:p w14:paraId="654583C4" w14:textId="77777777" w:rsidR="00977B34" w:rsidRDefault="00977B34" w:rsidP="00977B34"/>
    <w:p w14:paraId="36DCD763" w14:textId="77777777" w:rsidR="00977B34" w:rsidRDefault="00977B34" w:rsidP="00977B34">
      <w:r w:rsidRPr="00E87CC6">
        <w:t>Toutes les révisions effectuées lors d’une nouvelle édition de l’inventaire sont au préalable soumises à l’approbation du Groupe de concertation et d'information sur les inventaires nationaux d’émissions piloté par le Ministère chargé de l’Ecologie.</w:t>
      </w:r>
    </w:p>
    <w:p w14:paraId="513FBAFE" w14:textId="77777777" w:rsidR="00977B34" w:rsidRDefault="00977B34" w:rsidP="00977B34">
      <w:pPr>
        <w:rPr>
          <w:rFonts w:asciiTheme="majorHAnsi" w:eastAsiaTheme="majorEastAsia" w:hAnsiTheme="majorHAnsi" w:cstheme="majorBidi"/>
          <w:b/>
          <w:bCs/>
          <w:iCs/>
          <w:sz w:val="18"/>
          <w:szCs w:val="18"/>
        </w:rPr>
      </w:pPr>
    </w:p>
    <w:p w14:paraId="14F58DCC" w14:textId="09941A91" w:rsidR="00977B34" w:rsidRDefault="00977B34" w:rsidP="00EF6DB6">
      <w:pPr>
        <w:pStyle w:val="Titre4niveau4"/>
      </w:pPr>
      <w:r w:rsidRPr="00E87CC6">
        <w:t>Incidences sur les niveaux d’émissions</w:t>
      </w:r>
    </w:p>
    <w:p w14:paraId="2B4D97B0" w14:textId="77777777" w:rsidR="00977B34" w:rsidRDefault="00977B34" w:rsidP="00977B34">
      <w:r>
        <w:t>Seul l</w:t>
      </w:r>
      <w:r w:rsidRPr="00E87CC6">
        <w:t xml:space="preserve">’impact de l’ensemble des révisions </w:t>
      </w:r>
      <w:r>
        <w:t>pour les a</w:t>
      </w:r>
      <w:r w:rsidRPr="00E87CC6">
        <w:t xml:space="preserve">nnées 1990 et 2019 (dernière année de l’édition précédente des inventaires) </w:t>
      </w:r>
      <w:r>
        <w:t>est présenté</w:t>
      </w:r>
      <w:r w:rsidRPr="00E87CC6">
        <w:t xml:space="preserve"> bien que les changements puissent affecter l’ensemble de la période selon les cas.</w:t>
      </w:r>
    </w:p>
    <w:p w14:paraId="5AC106D7" w14:textId="77777777" w:rsidR="00977B34" w:rsidRDefault="00977B34" w:rsidP="00977B34">
      <w:r w:rsidRPr="00E87CC6">
        <w:t>Les comparaisons sont réalisées entre la soumission de mars 2021 et celle de mars 2022. Ainsi, des différences peuvent exister entre les résultats indiqués dans les tables 8 du CRF qui comparent deux éditions successives des tables CRF (pouvant contenir, par exemple, des modifications engendrées par un Saturday Paper identifié lors d’une revue annuelle, ceci n’a cependant pas été le cas en 2021).</w:t>
      </w:r>
    </w:p>
    <w:p w14:paraId="3A304005" w14:textId="77777777" w:rsidR="00977B34" w:rsidRDefault="00977B34" w:rsidP="00977B34"/>
    <w:p w14:paraId="6814D874" w14:textId="038226D8" w:rsidR="00977B34" w:rsidRDefault="00977B34" w:rsidP="00977B34">
      <w:r w:rsidRPr="00E87CC6">
        <w:t xml:space="preserve">Les changements introduits entre les soumissions CCNUCC de mars 2022 et mars 2021 donnent </w:t>
      </w:r>
      <w:r>
        <w:t xml:space="preserve">globalement au périmètre Kyoto des écarts négligeables de +0,2% en 1990 et 2019 pour le </w:t>
      </w:r>
      <w:r w:rsidR="007F09F7">
        <w:t>CO</w:t>
      </w:r>
      <w:r w:rsidR="007F09F7" w:rsidRPr="007F09F7">
        <w:rPr>
          <w:vertAlign w:val="subscript"/>
        </w:rPr>
        <w:t>2</w:t>
      </w:r>
      <w:r>
        <w:t xml:space="preserve"> hors UTCATF. En revanche, une différence de +6,6% est observée en 2019 sur le </w:t>
      </w:r>
      <w:r w:rsidR="007F09F7">
        <w:t>CO</w:t>
      </w:r>
      <w:r w:rsidR="007F09F7" w:rsidRPr="007F09F7">
        <w:rPr>
          <w:vertAlign w:val="subscript"/>
        </w:rPr>
        <w:t>2</w:t>
      </w:r>
      <w:r>
        <w:t xml:space="preserve"> avec UTCATF, </w:t>
      </w:r>
      <w:r w:rsidRPr="00E87CC6">
        <w:t>due à la mise à jour des données relatives aux forêts</w:t>
      </w:r>
      <w:r>
        <w:t>. Les évolutions pour les autres gaz sont plus minimes, mis à part les HFC qui diminuent de 8,2% en 2019 du fait de la révision de la méthodologie pour le froid industriel.</w:t>
      </w:r>
    </w:p>
    <w:p w14:paraId="02C0D5C7" w14:textId="77777777" w:rsidR="00977B34" w:rsidRDefault="00977B34" w:rsidP="00977B34"/>
    <w:p w14:paraId="3AD5DB88" w14:textId="0B211141" w:rsidR="00977B34" w:rsidRDefault="00977B34" w:rsidP="00977B34">
      <w:r w:rsidRPr="00E87CC6">
        <w:t xml:space="preserve">Au total, les émissions exprimées en </w:t>
      </w:r>
      <w:r w:rsidR="007F09F7">
        <w:t>CO</w:t>
      </w:r>
      <w:r w:rsidR="007F09F7" w:rsidRPr="007F09F7">
        <w:rPr>
          <w:vertAlign w:val="subscript"/>
        </w:rPr>
        <w:t>2</w:t>
      </w:r>
      <w:r w:rsidRPr="00E87CC6">
        <w:t xml:space="preserve"> équivalent hors UTCATF sont corrigées de 0,0</w:t>
      </w:r>
      <w:r w:rsidR="006518EF">
        <w:t>%</w:t>
      </w:r>
      <w:r w:rsidRPr="00E87CC6">
        <w:t xml:space="preserve"> en 1990 et de -0,3</w:t>
      </w:r>
      <w:r w:rsidR="006518EF">
        <w:t>%</w:t>
      </w:r>
      <w:r w:rsidRPr="00E87CC6">
        <w:t xml:space="preserve"> en 2019. Ces corrections sont plus visibles avec l’UTCATF inclus en 2019 où les émissions en </w:t>
      </w:r>
      <w:r w:rsidR="007F09F7">
        <w:t>CO</w:t>
      </w:r>
      <w:r w:rsidR="007F09F7" w:rsidRPr="007F09F7">
        <w:rPr>
          <w:vertAlign w:val="subscript"/>
        </w:rPr>
        <w:t>2</w:t>
      </w:r>
      <w:r w:rsidRPr="00E87CC6">
        <w:t xml:space="preserve"> équivalent sont corrigées de +4,2</w:t>
      </w:r>
      <w:r w:rsidR="006518EF">
        <w:t>%</w:t>
      </w:r>
      <w:r w:rsidRPr="00E87CC6">
        <w:t>, pour les raisons évoquées ci-dessus (pour 1990, la différence entre les deux éditions est de -0,4</w:t>
      </w:r>
      <w:r w:rsidR="006518EF">
        <w:t>%</w:t>
      </w:r>
      <w:r w:rsidRPr="00E87CC6">
        <w:t>)</w:t>
      </w:r>
    </w:p>
    <w:p w14:paraId="3953B8A4" w14:textId="77777777" w:rsidR="00977B34" w:rsidRDefault="00977B34" w:rsidP="00977B34"/>
    <w:p w14:paraId="5BDF39F4" w14:textId="11C06E0A" w:rsidR="00977B34" w:rsidRDefault="00977B34" w:rsidP="003F57EA">
      <w:pPr>
        <w:pStyle w:val="Titre3Niveau3"/>
      </w:pPr>
      <w:bookmarkStart w:id="434" w:name="_Toc120568046"/>
      <w:bookmarkStart w:id="435" w:name="_Toc138341994"/>
      <w:r>
        <w:t>Description de la procédure d’assurance qualité et contrôle qualité</w:t>
      </w:r>
      <w:bookmarkEnd w:id="434"/>
      <w:bookmarkEnd w:id="435"/>
    </w:p>
    <w:p w14:paraId="1DBF1F55" w14:textId="77777777" w:rsidR="00977B34" w:rsidRPr="00E87CC6" w:rsidRDefault="00977B34" w:rsidP="0034493F">
      <w:bookmarkStart w:id="436" w:name="_Toc120568047"/>
      <w:r w:rsidRPr="00E87CC6">
        <w:t xml:space="preserve">L’élaboration d’un inventaire d’émissions est une </w:t>
      </w:r>
      <w:r w:rsidRPr="0034493F">
        <w:t>tâche</w:t>
      </w:r>
      <w:r w:rsidRPr="00E87CC6">
        <w:t xml:space="preserve"> complexe au regard :</w:t>
      </w:r>
      <w:bookmarkEnd w:id="436"/>
    </w:p>
    <w:p w14:paraId="4821C39D" w14:textId="77777777" w:rsidR="00977B34" w:rsidRPr="00E87CC6" w:rsidRDefault="00977B34" w:rsidP="00BE086C">
      <w:pPr>
        <w:pStyle w:val="ListParagraph"/>
        <w:numPr>
          <w:ilvl w:val="0"/>
          <w:numId w:val="32"/>
        </w:numPr>
        <w:jc w:val="left"/>
      </w:pPr>
      <w:r w:rsidRPr="00E87CC6">
        <w:t>Du nombre important de données à manipuler,</w:t>
      </w:r>
    </w:p>
    <w:p w14:paraId="525A3FAA" w14:textId="77777777" w:rsidR="00977B34" w:rsidRPr="00E87CC6" w:rsidRDefault="00977B34" w:rsidP="00BE086C">
      <w:pPr>
        <w:pStyle w:val="ListParagraph"/>
        <w:numPr>
          <w:ilvl w:val="0"/>
          <w:numId w:val="32"/>
        </w:numPr>
        <w:jc w:val="left"/>
      </w:pPr>
      <w:r w:rsidRPr="00E87CC6">
        <w:t>De la grande diversité quantitative et qualitative des sources d’information,</w:t>
      </w:r>
    </w:p>
    <w:p w14:paraId="6B495098" w14:textId="77777777" w:rsidR="00977B34" w:rsidRPr="00E87CC6" w:rsidRDefault="00977B34" w:rsidP="00BE086C">
      <w:pPr>
        <w:pStyle w:val="ListParagraph"/>
        <w:numPr>
          <w:ilvl w:val="0"/>
          <w:numId w:val="32"/>
        </w:numPr>
        <w:jc w:val="left"/>
      </w:pPr>
      <w:r w:rsidRPr="00E87CC6">
        <w:t>Des méthodologies à mettre en oeuvre pour quantifier au mieux chaque activité émettrice,</w:t>
      </w:r>
    </w:p>
    <w:p w14:paraId="76A5D060" w14:textId="77777777" w:rsidR="00977B34" w:rsidRPr="00E87CC6" w:rsidRDefault="00977B34" w:rsidP="00BE086C">
      <w:pPr>
        <w:pStyle w:val="ListParagraph"/>
        <w:numPr>
          <w:ilvl w:val="0"/>
          <w:numId w:val="32"/>
        </w:numPr>
        <w:jc w:val="left"/>
      </w:pPr>
      <w:r w:rsidRPr="00E87CC6">
        <w:t>De la nécessité de fournir des informations aussi pertinentes et exactes que possible tout en respectant les contraintes de ressources et de respect des échéances,</w:t>
      </w:r>
    </w:p>
    <w:p w14:paraId="5237E823" w14:textId="77777777" w:rsidR="00977B34" w:rsidRPr="00E87CC6" w:rsidRDefault="00977B34" w:rsidP="00BE086C">
      <w:pPr>
        <w:pStyle w:val="ListParagraph"/>
        <w:numPr>
          <w:ilvl w:val="0"/>
          <w:numId w:val="32"/>
        </w:numPr>
        <w:jc w:val="left"/>
      </w:pPr>
      <w:r w:rsidRPr="00E87CC6">
        <w:t>De la garantie du respect de qualités fondamentales attachées aux inventaires (cohérence, exhaustivité, traçabilité, etc.).</w:t>
      </w:r>
    </w:p>
    <w:p w14:paraId="59B98EFC" w14:textId="000FDC64" w:rsidR="00467A03" w:rsidRPr="00467A03" w:rsidRDefault="008E6688" w:rsidP="00467A03">
      <w:r w:rsidRPr="00E87CC6">
        <w:t>Un dispositif de contrôle et d’assurance de la qualité est indispensable pour accomplir de ma</w:t>
      </w:r>
      <w:r>
        <w:t>nière satisfaisante cette tâche</w:t>
      </w:r>
      <w:r w:rsidR="00977B34" w:rsidRPr="00E87CC6">
        <w:t>.</w:t>
      </w:r>
    </w:p>
    <w:p w14:paraId="7D694746" w14:textId="39E6EC8A" w:rsidR="00977B34" w:rsidRDefault="00977B34" w:rsidP="00EF6DB6">
      <w:pPr>
        <w:pStyle w:val="Titre4niveau4"/>
      </w:pPr>
      <w:r>
        <w:t>Management de la qualité</w:t>
      </w:r>
    </w:p>
    <w:p w14:paraId="4AE04A5B" w14:textId="77777777" w:rsidR="00977B34" w:rsidRPr="005C28D2" w:rsidRDefault="00977B34" w:rsidP="00977B34">
      <w:r w:rsidRPr="005C28D2">
        <w:t>Le système national d’inventaire d’émission</w:t>
      </w:r>
      <w:r>
        <w:t>s</w:t>
      </w:r>
      <w:r w:rsidRPr="005C28D2">
        <w:t xml:space="preserve"> est établi en intégrant les critères usuels applicables aux </w:t>
      </w:r>
      <w:r w:rsidRPr="005C28D2">
        <w:rPr>
          <w:b/>
          <w:bCs/>
        </w:rPr>
        <w:t>Systèmes de Management de la Qualité</w:t>
      </w:r>
      <w:r w:rsidRPr="005C28D2">
        <w:t xml:space="preserve"> (SMQ). Le Citepa, qui a la charge de réaliser au plan technique les inventaires d’émission nationaux, a mis en place un tel système basé sur le référentiel </w:t>
      </w:r>
      <w:r w:rsidRPr="005C28D2">
        <w:rPr>
          <w:b/>
          <w:bCs/>
        </w:rPr>
        <w:t>ISO 9001</w:t>
      </w:r>
      <w:r w:rsidRPr="005C28D2">
        <w:t xml:space="preserve">. </w:t>
      </w:r>
      <w:r w:rsidRPr="005C28D2">
        <w:rPr>
          <w:bCs/>
          <w:iCs/>
        </w:rPr>
        <w:t xml:space="preserve">Cette disposition est confirmée par l’attribution d’un certificat délivré par l’AFAQ en 2004 et renouvelé en </w:t>
      </w:r>
      <w:r w:rsidRPr="005C28D2">
        <w:rPr>
          <w:bCs/>
          <w:iCs/>
          <w:color w:val="000000"/>
        </w:rPr>
        <w:t>2007, 2010, 2013, 2016</w:t>
      </w:r>
      <w:r>
        <w:rPr>
          <w:bCs/>
          <w:iCs/>
          <w:color w:val="000000"/>
        </w:rPr>
        <w:t xml:space="preserve">, </w:t>
      </w:r>
      <w:r w:rsidRPr="005C28D2">
        <w:rPr>
          <w:bCs/>
          <w:iCs/>
          <w:color w:val="000000"/>
        </w:rPr>
        <w:t>2018</w:t>
      </w:r>
      <w:r>
        <w:rPr>
          <w:bCs/>
          <w:iCs/>
          <w:color w:val="000000"/>
        </w:rPr>
        <w:t xml:space="preserve"> et 2021</w:t>
      </w:r>
      <w:r w:rsidRPr="005C28D2">
        <w:rPr>
          <w:bCs/>
          <w:iCs/>
          <w:color w:val="000000"/>
        </w:rPr>
        <w:t>,</w:t>
      </w:r>
      <w:r w:rsidRPr="005C28D2">
        <w:rPr>
          <w:bCs/>
          <w:iCs/>
          <w:color w:val="FF0000"/>
        </w:rPr>
        <w:t xml:space="preserve"> </w:t>
      </w:r>
      <w:r w:rsidRPr="005C28D2">
        <w:rPr>
          <w:bCs/>
          <w:iCs/>
        </w:rPr>
        <w:t>ainsi que par les audits annuels de suivi</w:t>
      </w:r>
      <w:r w:rsidRPr="005C28D2">
        <w:t>. La réalisation des inventaires d’émission nationaux est couverte par le SMQ au travers de plusieurs processus spécifiques (voir Manuel Qualité – document interne non public).</w:t>
      </w:r>
    </w:p>
    <w:p w14:paraId="19915DB4" w14:textId="77777777" w:rsidR="00977B34" w:rsidRPr="005C28D2" w:rsidRDefault="00977B34" w:rsidP="00977B34">
      <w:r w:rsidRPr="005C28D2">
        <w:t>Dans ce cadre, plusieurs processus relatifs au contrôle et à l’assurance de la qualité des inventaires sont intégrés dans les différents processus et procédures mis en œuvre, correspondant aux différentes phases et actions relatives aux points suivants :</w:t>
      </w:r>
    </w:p>
    <w:p w14:paraId="78C4714B" w14:textId="77777777" w:rsidR="00977B34" w:rsidRPr="005C28D2" w:rsidRDefault="00977B34" w:rsidP="00BE086C">
      <w:pPr>
        <w:pStyle w:val="ListParagraph"/>
        <w:numPr>
          <w:ilvl w:val="0"/>
          <w:numId w:val="27"/>
        </w:numPr>
        <w:jc w:val="left"/>
      </w:pPr>
      <w:r w:rsidRPr="005C28D2">
        <w:t>Fonctions générales de revue, de management des ressources, de planification, de veille et de participations à des travaux externes en rapport avec les inventaires d’émission.</w:t>
      </w:r>
    </w:p>
    <w:p w14:paraId="233B3F36" w14:textId="77777777" w:rsidR="00977B34" w:rsidRPr="005C28D2" w:rsidRDefault="00977B34" w:rsidP="00BE086C">
      <w:pPr>
        <w:pStyle w:val="ListParagraph"/>
        <w:numPr>
          <w:ilvl w:val="0"/>
          <w:numId w:val="27"/>
        </w:numPr>
        <w:jc w:val="left"/>
      </w:pPr>
      <w:r w:rsidRPr="005C28D2">
        <w:t>Choix, mise en œuvre et développement des méthodologies ainsi que la sélection des sources d’information et la collecte des données. Les processus de choix des méthodes sont clairement établis notamment vis-à-vis des cadres référentiels et des caractéristiques de pertinence et de pérennité attendues des sources de données. Ces choix sont généralement effectués en concertation avec les acteurs et experts des domaines concernés. Les modifications méthodologiques sont soumises à l’appréciation du Groupe de concertation et d’information sur les inventaires d’émission</w:t>
      </w:r>
      <w:r>
        <w:t>s</w:t>
      </w:r>
      <w:r w:rsidRPr="005C28D2">
        <w:t xml:space="preserve"> (GCIIE).</w:t>
      </w:r>
    </w:p>
    <w:p w14:paraId="32F4C2ED" w14:textId="77777777" w:rsidR="00977B34" w:rsidRPr="005C28D2" w:rsidRDefault="00977B34" w:rsidP="00BE086C">
      <w:pPr>
        <w:pStyle w:val="ListParagraph"/>
        <w:numPr>
          <w:ilvl w:val="0"/>
          <w:numId w:val="27"/>
        </w:numPr>
        <w:jc w:val="left"/>
      </w:pPr>
      <w:r w:rsidRPr="005C28D2">
        <w:t>Développement des procédures de calcul notamment des modèles de calcul des émissions, des bases de données, du reporting.</w:t>
      </w:r>
    </w:p>
    <w:p w14:paraId="72E6BC6F" w14:textId="77777777" w:rsidR="00977B34" w:rsidRPr="005C28D2" w:rsidRDefault="00977B34" w:rsidP="00BE086C">
      <w:pPr>
        <w:pStyle w:val="ListParagraph"/>
        <w:numPr>
          <w:ilvl w:val="0"/>
          <w:numId w:val="27"/>
        </w:numPr>
        <w:jc w:val="left"/>
      </w:pPr>
      <w:r w:rsidRPr="005C28D2">
        <w:t>Recherche d’un niveau élevé de traçabilité et de transparence.</w:t>
      </w:r>
    </w:p>
    <w:p w14:paraId="18D7F353" w14:textId="77777777" w:rsidR="00977B34" w:rsidRPr="005C28D2" w:rsidRDefault="00977B34" w:rsidP="00BE086C">
      <w:pPr>
        <w:pStyle w:val="ListParagraph"/>
        <w:numPr>
          <w:ilvl w:val="0"/>
          <w:numId w:val="27"/>
        </w:numPr>
        <w:jc w:val="left"/>
      </w:pPr>
      <w:r w:rsidRPr="005C28D2">
        <w:t>Mise en œuvre et enregistrement de contrôles relatifs aux étapes importantes et à risques de la réalisation de l’inventaire, à travers de multiples contrôles internes, tant sur les données d’entrée que sur les calculs, les bases de données, les rapports, l’archivage des données, le suivi des modifications (corrections d’erreurs ou améliorations) et les non conformités. Plusieurs outils destinés à accompagner ces contrôles ont été développés.</w:t>
      </w:r>
    </w:p>
    <w:p w14:paraId="2F9E7A84" w14:textId="77777777" w:rsidR="00977B34" w:rsidRPr="005C28D2" w:rsidRDefault="00977B34" w:rsidP="00BE086C">
      <w:pPr>
        <w:pStyle w:val="ListParagraph"/>
        <w:numPr>
          <w:ilvl w:val="0"/>
          <w:numId w:val="27"/>
        </w:numPr>
        <w:jc w:val="left"/>
      </w:pPr>
      <w:r w:rsidRPr="005C28D2">
        <w:t xml:space="preserve">Validation et approbation des résultats des inventaires, suite à l’avis formulé par le Groupe de concertation et d’information sur les inventaires d’émission </w:t>
      </w:r>
      <w:r>
        <w:t>(</w:t>
      </w:r>
      <w:r w:rsidRPr="005C28D2">
        <w:t>GCIIE).</w:t>
      </w:r>
    </w:p>
    <w:p w14:paraId="6DCED8BE" w14:textId="77777777" w:rsidR="00977B34" w:rsidRPr="005C28D2" w:rsidRDefault="00977B34" w:rsidP="00BE086C">
      <w:pPr>
        <w:pStyle w:val="ListParagraph"/>
        <w:numPr>
          <w:ilvl w:val="0"/>
          <w:numId w:val="27"/>
        </w:numPr>
        <w:jc w:val="left"/>
      </w:pPr>
      <w:r w:rsidRPr="005C28D2">
        <w:t xml:space="preserve">Validation et approbation des rapports et autres supports d’information par le </w:t>
      </w:r>
      <w:r>
        <w:t>M</w:t>
      </w:r>
      <w:r w:rsidRPr="005C28D2">
        <w:t>inistère charg</w:t>
      </w:r>
      <w:r>
        <w:t>é</w:t>
      </w:r>
      <w:r w:rsidRPr="005C28D2">
        <w:t xml:space="preserve"> de l’environnement.</w:t>
      </w:r>
    </w:p>
    <w:p w14:paraId="335DD31B" w14:textId="77777777" w:rsidR="00977B34" w:rsidRPr="005C28D2" w:rsidRDefault="00977B34" w:rsidP="00BE086C">
      <w:pPr>
        <w:pStyle w:val="ListParagraph"/>
        <w:numPr>
          <w:ilvl w:val="0"/>
          <w:numId w:val="27"/>
        </w:numPr>
        <w:jc w:val="left"/>
      </w:pPr>
      <w:r w:rsidRPr="005C28D2">
        <w:t>Archivage systématique des éléments nécessaires pour assurer la traçabilité requise.</w:t>
      </w:r>
    </w:p>
    <w:p w14:paraId="317883CF" w14:textId="77777777" w:rsidR="00977B34" w:rsidRPr="005C28D2" w:rsidRDefault="00977B34" w:rsidP="00BE086C">
      <w:pPr>
        <w:pStyle w:val="ListParagraph"/>
        <w:numPr>
          <w:ilvl w:val="0"/>
          <w:numId w:val="27"/>
        </w:numPr>
        <w:jc w:val="left"/>
      </w:pPr>
      <w:r w:rsidRPr="005C28D2">
        <w:t>Diffusion des informations et produits correspondants.</w:t>
      </w:r>
    </w:p>
    <w:p w14:paraId="77655D3C" w14:textId="77777777" w:rsidR="00977B34" w:rsidRPr="005C28D2" w:rsidRDefault="00977B34" w:rsidP="00BE086C">
      <w:pPr>
        <w:pStyle w:val="ListParagraph"/>
        <w:numPr>
          <w:ilvl w:val="0"/>
          <w:numId w:val="27"/>
        </w:numPr>
        <w:jc w:val="left"/>
      </w:pPr>
      <w:r w:rsidRPr="005C28D2">
        <w:t>Compatibilité avec les exigences communautaires en matière de communication des données et des caractéristiques des inventaires d’émission nécessaires à la Commission Européenne. En particulier, afin de lui permettre de préparer les inventaires de l’Union Européenne sur la base des inventaires des Etats membres et contribuer notamment à l’atteinte des exigences relatives à la qualité que la Commission met en œuvre à son niveau (i</w:t>
      </w:r>
      <w:r>
        <w:t>.</w:t>
      </w:r>
      <w:r w:rsidRPr="005C28D2">
        <w:t>e.</w:t>
      </w:r>
      <w:r>
        <w:t>,</w:t>
      </w:r>
      <w:r w:rsidRPr="005C28D2">
        <w:t xml:space="preserve"> en ce qui concerne les gaz à effet de serre dont la surveillance est soumise à des dispositions réglementaires particulières).</w:t>
      </w:r>
    </w:p>
    <w:p w14:paraId="06B6BA1E" w14:textId="77777777" w:rsidR="00977B34" w:rsidRPr="005C28D2" w:rsidRDefault="00977B34" w:rsidP="00BE086C">
      <w:pPr>
        <w:pStyle w:val="ListParagraph"/>
        <w:numPr>
          <w:ilvl w:val="0"/>
          <w:numId w:val="27"/>
        </w:numPr>
        <w:jc w:val="left"/>
      </w:pPr>
      <w:r w:rsidRPr="005C28D2">
        <w:t>Amélioration permanente de la qualité des estimations en développant les procédures pour éviter d’éventuelles erreurs systématiques, réduire les incertitudes associées, couvrir plus complètement les substances et les sources émettrices, etc. visant à satisfaire les objectifs relatifs à la qualité. Un plan d’action est défini et mis régulièrement à jour. Il intègre les améliorations requises et possibles en tenant compte des recommandations du GCIIE.</w:t>
      </w:r>
    </w:p>
    <w:p w14:paraId="6DF5868C" w14:textId="1372197B" w:rsidR="00977B34" w:rsidRPr="005C28D2" w:rsidRDefault="00977B34" w:rsidP="00BE086C">
      <w:pPr>
        <w:pStyle w:val="ListParagraph"/>
        <w:numPr>
          <w:ilvl w:val="0"/>
          <w:numId w:val="27"/>
        </w:numPr>
        <w:jc w:val="left"/>
      </w:pPr>
      <w:r w:rsidRPr="005C28D2">
        <w:t>Evaluation de la mise en œuvre des dispositions relatives au contrôle et à l’assurance de la qualité, en particulier les objectifs et le plan qualité.</w:t>
      </w:r>
    </w:p>
    <w:p w14:paraId="7F37A59D" w14:textId="207145AF" w:rsidR="00977B34" w:rsidRPr="00592A85" w:rsidRDefault="00977B34" w:rsidP="00EF6DB6">
      <w:pPr>
        <w:pStyle w:val="Titre4niveau4"/>
      </w:pPr>
      <w:r>
        <w:t>Objectifs qualité</w:t>
      </w:r>
    </w:p>
    <w:p w14:paraId="14D96283" w14:textId="77777777" w:rsidR="00977B34" w:rsidRPr="005C28D2" w:rsidRDefault="00977B34" w:rsidP="00977B34">
      <w:r w:rsidRPr="005C28D2">
        <w:t>L’objectif global du programme d’assurance et de contrôle de la qualité porte sur la réalisation des inventaires nationaux d’émissions et de puits, conformément aux exigences formulées dans les différents cadres nationaux et internationaux couverts par le SNIEBA. Ces exigences portent sur la définition, la mise en œuvre et l’application de procédures et de méthodes visant à satisfaire les critères de traçabilité, d’exhaustivité, de cohérence, de comparabilité et de ponctualité requis notamment par les instances internationales et européennes en application des engagements souscrits par la France.</w:t>
      </w:r>
    </w:p>
    <w:p w14:paraId="72A4F369" w14:textId="77777777" w:rsidR="00977B34" w:rsidRPr="005C28D2" w:rsidRDefault="00977B34" w:rsidP="00977B34">
      <w:r w:rsidRPr="005C28D2">
        <w:t>En particulier, cet objectif global se décline en sous éléments :</w:t>
      </w:r>
    </w:p>
    <w:p w14:paraId="3D1AE959" w14:textId="77777777" w:rsidR="00977B34" w:rsidRPr="005C28D2" w:rsidRDefault="00977B34" w:rsidP="00BE086C">
      <w:pPr>
        <w:pStyle w:val="ListParagraph"/>
        <w:numPr>
          <w:ilvl w:val="0"/>
          <w:numId w:val="28"/>
        </w:numPr>
        <w:jc w:val="left"/>
      </w:pPr>
      <w:r w:rsidRPr="005C28D2">
        <w:t>Préparation des rapports (notamment rapports nationaux d’inventaires pour certains protocoles et directives européennes) conformément aux critères de contenu et de forme éventuellement exigés (en particulier analyses de tendance, incertitudes, contrôle et assurance de la qualité, système national d’inventaire, méthodes utilisées, etc.),</w:t>
      </w:r>
    </w:p>
    <w:p w14:paraId="4C76CBE1" w14:textId="77777777" w:rsidR="00977B34" w:rsidRPr="005C28D2" w:rsidRDefault="00977B34" w:rsidP="00BE086C">
      <w:pPr>
        <w:pStyle w:val="ListParagraph"/>
        <w:numPr>
          <w:ilvl w:val="0"/>
          <w:numId w:val="28"/>
        </w:numPr>
        <w:jc w:val="left"/>
      </w:pPr>
      <w:r w:rsidRPr="005C28D2">
        <w:t>Fourniture des données sectorielles de base requises dans les formats de rapports définis (CRF, NFR, GIC, etc.) et en particulier : explications additionnelles, utilisation des codes de notes définis, modifications introduites dans le dernier exercice, ajustements rétrospectifs, données spécifiques (en particulier pour l’UTCATF en application des articles 3.3 et 3.4 du protocole de Kyoto), etc.</w:t>
      </w:r>
    </w:p>
    <w:p w14:paraId="04785AB2" w14:textId="77777777" w:rsidR="00977B34" w:rsidRPr="005C28D2" w:rsidRDefault="00977B34" w:rsidP="00BE086C">
      <w:pPr>
        <w:pStyle w:val="ListParagraph"/>
        <w:numPr>
          <w:ilvl w:val="0"/>
          <w:numId w:val="28"/>
        </w:numPr>
        <w:jc w:val="left"/>
      </w:pPr>
      <w:r w:rsidRPr="005C28D2">
        <w:t>Développement des procédures appropriées pour le choix des méthodes et des référentiels, la collecte, le traitement, la validation des données ainsi que leur archivage et leur sauvegarde,</w:t>
      </w:r>
    </w:p>
    <w:p w14:paraId="183C1DFB" w14:textId="77777777" w:rsidR="00977B34" w:rsidRPr="005C28D2" w:rsidRDefault="00977B34" w:rsidP="00BE086C">
      <w:pPr>
        <w:pStyle w:val="ListParagraph"/>
        <w:numPr>
          <w:ilvl w:val="0"/>
          <w:numId w:val="28"/>
        </w:numPr>
        <w:jc w:val="left"/>
      </w:pPr>
      <w:r w:rsidRPr="005C28D2">
        <w:t>Détermination des incertitudes quantitatives attachées aux estimations,</w:t>
      </w:r>
    </w:p>
    <w:p w14:paraId="5556EC51" w14:textId="77777777" w:rsidR="00977B34" w:rsidRPr="005C28D2" w:rsidRDefault="00977B34" w:rsidP="00BE086C">
      <w:pPr>
        <w:pStyle w:val="ListParagraph"/>
        <w:numPr>
          <w:ilvl w:val="0"/>
          <w:numId w:val="28"/>
        </w:numPr>
        <w:jc w:val="left"/>
      </w:pPr>
      <w:r w:rsidRPr="005C28D2">
        <w:t>Recherche et élimination des incohérences,</w:t>
      </w:r>
    </w:p>
    <w:p w14:paraId="02B4B9DE" w14:textId="77777777" w:rsidR="00977B34" w:rsidRPr="005C28D2" w:rsidRDefault="00977B34" w:rsidP="00BE086C">
      <w:pPr>
        <w:pStyle w:val="ListParagraph"/>
        <w:numPr>
          <w:ilvl w:val="0"/>
          <w:numId w:val="28"/>
        </w:numPr>
        <w:jc w:val="left"/>
      </w:pPr>
      <w:r w:rsidRPr="005C28D2">
        <w:t>Développement des procédures d’assurance qualité,</w:t>
      </w:r>
    </w:p>
    <w:p w14:paraId="6A4B3657" w14:textId="77777777" w:rsidR="00977B34" w:rsidRPr="005C28D2" w:rsidRDefault="00977B34" w:rsidP="00BE086C">
      <w:pPr>
        <w:pStyle w:val="ListParagraph"/>
        <w:numPr>
          <w:ilvl w:val="0"/>
          <w:numId w:val="28"/>
        </w:numPr>
        <w:jc w:val="left"/>
      </w:pPr>
      <w:r w:rsidRPr="005C28D2">
        <w:t>Contribution à l’amélioration continue des inventaires par :</w:t>
      </w:r>
    </w:p>
    <w:p w14:paraId="62708664" w14:textId="77777777" w:rsidR="00977B34" w:rsidRPr="005C28D2" w:rsidRDefault="00977B34" w:rsidP="00BE086C">
      <w:pPr>
        <w:pStyle w:val="ListParagraph"/>
        <w:numPr>
          <w:ilvl w:val="1"/>
          <w:numId w:val="28"/>
        </w:numPr>
        <w:jc w:val="left"/>
      </w:pPr>
      <w:r w:rsidRPr="005C28D2">
        <w:t>La recherche et la mise en œuvre de méthodes et/ou données plus pertinentes et précises,</w:t>
      </w:r>
    </w:p>
    <w:p w14:paraId="11E0928E" w14:textId="77777777" w:rsidR="00977B34" w:rsidRPr="005C28D2" w:rsidRDefault="00977B34" w:rsidP="00BE086C">
      <w:pPr>
        <w:pStyle w:val="ListParagraph"/>
        <w:numPr>
          <w:ilvl w:val="1"/>
          <w:numId w:val="28"/>
        </w:numPr>
        <w:jc w:val="left"/>
      </w:pPr>
      <w:r w:rsidRPr="005C28D2">
        <w:t>La formulation de recommandations auprès des divers organismes impliqués dans le système national d’inventaires d’émission, voire d’autres organismes y compris internationaux,</w:t>
      </w:r>
    </w:p>
    <w:p w14:paraId="6F631E76" w14:textId="77777777" w:rsidR="00977B34" w:rsidRPr="005C28D2" w:rsidRDefault="00977B34" w:rsidP="00BE086C">
      <w:pPr>
        <w:pStyle w:val="ListParagraph"/>
        <w:numPr>
          <w:ilvl w:val="1"/>
          <w:numId w:val="28"/>
        </w:numPr>
        <w:jc w:val="left"/>
      </w:pPr>
      <w:r w:rsidRPr="005C28D2">
        <w:t>La participation aux travaux internationaux sur les thèmes en rapport avec les inventaires d’émissions et les puits,</w:t>
      </w:r>
    </w:p>
    <w:p w14:paraId="48947CA5" w14:textId="77777777" w:rsidR="00977B34" w:rsidRPr="005C28D2" w:rsidRDefault="00977B34" w:rsidP="00BE086C">
      <w:pPr>
        <w:pStyle w:val="ListParagraph"/>
        <w:numPr>
          <w:ilvl w:val="1"/>
          <w:numId w:val="28"/>
        </w:numPr>
        <w:jc w:val="left"/>
      </w:pPr>
      <w:r w:rsidRPr="005C28D2">
        <w:t>La coopération avec d’autres pays sur ces mêmes aspects,</w:t>
      </w:r>
    </w:p>
    <w:p w14:paraId="037E8F73" w14:textId="77777777" w:rsidR="00977B34" w:rsidRPr="005C28D2" w:rsidRDefault="00977B34" w:rsidP="00BE086C">
      <w:pPr>
        <w:pStyle w:val="ListParagraph"/>
        <w:numPr>
          <w:ilvl w:val="1"/>
          <w:numId w:val="28"/>
        </w:numPr>
        <w:jc w:val="left"/>
      </w:pPr>
      <w:r w:rsidRPr="005C28D2">
        <w:t>Le respect des échéances communautaires et internationales de communication des inventaires d’émission,</w:t>
      </w:r>
    </w:p>
    <w:p w14:paraId="46787CBE" w14:textId="310E8553" w:rsidR="00977B34" w:rsidRDefault="00977B34" w:rsidP="00BE086C">
      <w:pPr>
        <w:pStyle w:val="ListParagraph"/>
        <w:numPr>
          <w:ilvl w:val="1"/>
          <w:numId w:val="28"/>
        </w:numPr>
        <w:jc w:val="left"/>
      </w:pPr>
      <w:r w:rsidRPr="005C28D2">
        <w:t>La recherche d’une efficience dans les travaux réalisés (pertinence, précision, mise en œuvre des méthodes vs. moyens, etc.) visant à satisfaire les besoins de détermination des émissions et des puits.</w:t>
      </w:r>
    </w:p>
    <w:p w14:paraId="17564E4E" w14:textId="4B28FA2A" w:rsidR="00977B34" w:rsidRPr="00592A85" w:rsidRDefault="00977B34" w:rsidP="00EF6DB6">
      <w:pPr>
        <w:pStyle w:val="Titre4niveau4"/>
      </w:pPr>
      <w:r>
        <w:t>Contrôle de la qualité</w:t>
      </w:r>
    </w:p>
    <w:p w14:paraId="6506D289" w14:textId="77777777" w:rsidR="00977B34" w:rsidRPr="005C28D2" w:rsidRDefault="00977B34" w:rsidP="00977B34">
      <w:r w:rsidRPr="005C28D2">
        <w:t>Le contrôle de la qualité est intégré dans les différentes phases des processus et procédures développées par les organismes impliqués dans le système national pour ce qui concerne les éléments dont ils ont la charge afin d’atteindre les objectifs définis.</w:t>
      </w:r>
    </w:p>
    <w:p w14:paraId="51C7C78E" w14:textId="77777777" w:rsidR="00977B34" w:rsidRPr="005C28D2" w:rsidRDefault="00977B34" w:rsidP="00977B34">
      <w:r w:rsidRPr="005C28D2">
        <w:t>Le Citepa, organisme responsable de la coordination technique et de la compilation des inventaires est chargé du suivi du contrôle qualité et formule des recommandations visant à améliorer, compléter, développer les processus et procédures nécessaires.</w:t>
      </w:r>
    </w:p>
    <w:p w14:paraId="783F811A" w14:textId="77777777" w:rsidR="00977B34" w:rsidRPr="005C28D2" w:rsidRDefault="00977B34" w:rsidP="00977B34">
      <w:r w:rsidRPr="005C28D2">
        <w:t>Ces procédures peuvent être automatiques ou manuelles, revêtir la forme de check-list, de tests de plausibilité, de cohérence et d’exhaustivité, d’analyses de tendances, de simulations, etc. Elles interviennent à plusieurs étapes de la réalisation de l’inventaire. Plus particulièrement certaines sont précisées ci-après :</w:t>
      </w:r>
    </w:p>
    <w:p w14:paraId="3748BF94" w14:textId="77777777" w:rsidR="00977B34" w:rsidRPr="005C28D2" w:rsidRDefault="00977B34" w:rsidP="00E22CF8">
      <w:pPr>
        <w:pStyle w:val="titreencadre"/>
      </w:pPr>
      <w:r w:rsidRPr="005C28D2">
        <w:t xml:space="preserve">Données </w:t>
      </w:r>
      <w:r w:rsidRPr="0034493F">
        <w:t>entrantes</w:t>
      </w:r>
    </w:p>
    <w:p w14:paraId="7CEA516D" w14:textId="77777777" w:rsidR="00977B34" w:rsidRPr="005C28D2" w:rsidRDefault="00977B34" w:rsidP="00BE086C">
      <w:pPr>
        <w:pStyle w:val="ListParagraph"/>
        <w:numPr>
          <w:ilvl w:val="0"/>
          <w:numId w:val="29"/>
        </w:numPr>
        <w:jc w:val="left"/>
      </w:pPr>
      <w:r w:rsidRPr="005C28D2">
        <w:t>Veille relative à la collecte des données (démarches nécessaires, publication effective, relance, etc.),</w:t>
      </w:r>
    </w:p>
    <w:p w14:paraId="4442B96F" w14:textId="77777777" w:rsidR="00977B34" w:rsidRPr="005C28D2" w:rsidRDefault="00977B34" w:rsidP="00BE086C">
      <w:pPr>
        <w:pStyle w:val="ListParagraph"/>
        <w:numPr>
          <w:ilvl w:val="0"/>
          <w:numId w:val="29"/>
        </w:numPr>
        <w:jc w:val="left"/>
      </w:pPr>
      <w:r w:rsidRPr="005C28D2">
        <w:t>Réception effective (délivrance, captation sur Internet, données effectivement présentes au Citepa),</w:t>
      </w:r>
    </w:p>
    <w:p w14:paraId="4ED0B476" w14:textId="77777777" w:rsidR="00977B34" w:rsidRPr="005C28D2" w:rsidRDefault="00977B34" w:rsidP="00BE086C">
      <w:pPr>
        <w:pStyle w:val="ListParagraph"/>
        <w:numPr>
          <w:ilvl w:val="0"/>
          <w:numId w:val="29"/>
        </w:numPr>
        <w:jc w:val="left"/>
      </w:pPr>
      <w:r w:rsidRPr="005C28D2">
        <w:t>Conformité du contenu au plan quantitatif (flux complet) et qualitatif (éventuelles observations quant à l’échantillonnage, au changement de périmètre, de méthodologie pouvant entraîner une rupture statistique, etc.).</w:t>
      </w:r>
    </w:p>
    <w:p w14:paraId="37A7E43D" w14:textId="77777777" w:rsidR="00977B34" w:rsidRPr="005C28D2" w:rsidRDefault="00977B34" w:rsidP="00BE086C">
      <w:pPr>
        <w:pStyle w:val="ListParagraph"/>
        <w:numPr>
          <w:ilvl w:val="0"/>
          <w:numId w:val="29"/>
        </w:numPr>
        <w:jc w:val="left"/>
      </w:pPr>
      <w:r w:rsidRPr="005C28D2">
        <w:t>Enregistrement et archivage des données brutes avant traitement.</w:t>
      </w:r>
    </w:p>
    <w:p w14:paraId="3EEBDC0A" w14:textId="77777777" w:rsidR="00977B34" w:rsidRPr="005C28D2" w:rsidRDefault="00977B34" w:rsidP="00E22CF8">
      <w:pPr>
        <w:pStyle w:val="titreencadre"/>
      </w:pPr>
      <w:r w:rsidRPr="005C28D2">
        <w:t>T</w:t>
      </w:r>
      <w:r>
        <w:t>raitement des données</w:t>
      </w:r>
    </w:p>
    <w:p w14:paraId="79654A57" w14:textId="77777777" w:rsidR="00977B34" w:rsidRPr="005C28D2" w:rsidRDefault="00977B34" w:rsidP="00977B34">
      <w:r w:rsidRPr="005C28D2">
        <w:t>Il est principalement réalisé au travers de fiches de calcul dédiées chacune à une catégorie de sources émettrices (le SNIEBA en compte plus d’une centaine).</w:t>
      </w:r>
    </w:p>
    <w:p w14:paraId="3DE1DC39" w14:textId="77777777" w:rsidR="00977B34" w:rsidRPr="005C28D2" w:rsidRDefault="00977B34" w:rsidP="00977B34">
      <w:r w:rsidRPr="005C28D2">
        <w:t>Ainsi chaque fiche de calcul sectorielle contient ses propres contrôles internes. Il s’agit notamment de tests internes visant à s’assurer des calculs (par exemple vérification de sous-totaux, affichage des tendances au niveau le plus fin des activités) et de la cohérence entre les valeurs calculées et les valeurs exportées vers le système de bases de données nationales. De même la documentation des sources et des hypothèses fait l’objet d’un soin particulier pour assurer la traçabilité.</w:t>
      </w:r>
    </w:p>
    <w:p w14:paraId="1CCA50D9" w14:textId="77777777" w:rsidR="00977B34" w:rsidRPr="005C28D2" w:rsidRDefault="00977B34" w:rsidP="00E22CF8">
      <w:pPr>
        <w:pStyle w:val="titreencadre"/>
      </w:pPr>
      <w:r w:rsidRPr="005C28D2">
        <w:t>Contrôle et va</w:t>
      </w:r>
      <w:r>
        <w:t>lidation interne des résultats</w:t>
      </w:r>
    </w:p>
    <w:p w14:paraId="188C5C04" w14:textId="77777777" w:rsidR="00977B34" w:rsidRPr="005C28D2" w:rsidRDefault="00977B34" w:rsidP="00977B34">
      <w:r w:rsidRPr="005C28D2">
        <w:t>Avant d’être exportée vers ces bases de données, plusieurs étapes de contrôles complémentaires sont réalisées. Chaque fiche de calcul sectorielle est soumise par son auteur à un contrôle au moyen d’un outil spécialement développé à cette fin par le Citepa, appelé VESUVE</w:t>
      </w:r>
      <w:r w:rsidRPr="005C28D2">
        <w:rPr>
          <w:rStyle w:val="FootnoteReference"/>
        </w:rPr>
        <w:footnoteReference w:id="18"/>
      </w:r>
      <w:r w:rsidRPr="005C28D2">
        <w:t>. Cet outil permet de vérifier non seulement la cohérence entre les facteurs d’émission, les activités et les émissions, mais assure l’affichage graphique des tendances des activités, des facteurs d’émissions et des émissions de tous les polluants pour l’édition précédente et celle en cours de l’inventaire. Les évolutions observées entre les deux éditions sont systématiquement analysées et commentées par l’auteur de la fiche de calcul.</w:t>
      </w:r>
    </w:p>
    <w:p w14:paraId="5BB2CE5B" w14:textId="77777777" w:rsidR="00977B34" w:rsidRPr="005C28D2" w:rsidRDefault="00977B34" w:rsidP="00977B34">
      <w:r w:rsidRPr="005C28D2">
        <w:t>Chaque fiche de calcul sectorielle est ensuite soumise, au minimum, à la vérification par une tierce personne et par une seconde hiérarchiquement plus haut placée dans le cas de modifications méthodologiques. Le contrôle effectué porte entre autres points sur la cohérence et la transparence de la méthode, le référencement des données utilisées, le traitement des éventuelles non-conformités ou améliorations programmées (cf. application RISQ au paragraphe 4 ci-après) et l’enregistrement des vérifications effectuées avec VESUVE.</w:t>
      </w:r>
    </w:p>
    <w:p w14:paraId="75A36F25" w14:textId="77777777" w:rsidR="00977B34" w:rsidRPr="005C28D2" w:rsidRDefault="00977B34" w:rsidP="00977B34">
      <w:r w:rsidRPr="005C28D2">
        <w:t>La représentativité des informations (définition, domaine, pertinence, exactitude, etc.), la pertinence et la conformité des méthodes, l’adéquation des outils de traitement et des formats de communication sont notamment concernés.</w:t>
      </w:r>
    </w:p>
    <w:p w14:paraId="19EBC279" w14:textId="77777777" w:rsidR="00977B34" w:rsidRPr="005C28D2" w:rsidRDefault="00977B34" w:rsidP="00977B34">
      <w:r w:rsidRPr="005C28D2">
        <w:t xml:space="preserve">Une étape supplémentaire de contrôle vient s’ajouter lors de la compilation des éléments descriptifs méthodologiques au cours de laquelle un nouveau passage en revue des évolutions des méthodes et des facteurs d’émission est opéré (justification des évolutions, explicitation des méthodes, référencement des sources, etc.). Par ailleurs, la compilation finale du rapport d’inventaire permet un contrôle d’ensemble sur les résultats. </w:t>
      </w:r>
    </w:p>
    <w:p w14:paraId="04906252" w14:textId="77777777" w:rsidR="00977B34" w:rsidRDefault="00977B34" w:rsidP="00977B34"/>
    <w:p w14:paraId="32188668" w14:textId="77777777" w:rsidR="00977B34" w:rsidRPr="005C28D2" w:rsidRDefault="00977B34" w:rsidP="00977B34">
      <w:r w:rsidRPr="005C28D2">
        <w:t>Etant donné la quantité considérable de données collectées et traitées dans les différents domaines concernés, il convient d’examiner la documentation correspondante de chacun des organismes impliqués. En particulier, il y a lieu de noter les procédures relatives aux processus de gestion de la qualité mises en place par le Citepa à cet effet (le Citepa a reçu la certification ISO 9001) pour la réalisation des inventaires d’émission</w:t>
      </w:r>
      <w:r>
        <w:t>s</w:t>
      </w:r>
      <w:r w:rsidRPr="005C28D2">
        <w:t>.</w:t>
      </w:r>
    </w:p>
    <w:p w14:paraId="71E91A78" w14:textId="77777777" w:rsidR="00977B34" w:rsidRDefault="00977B34" w:rsidP="00977B34"/>
    <w:p w14:paraId="16A973DE" w14:textId="77777777" w:rsidR="00977B34" w:rsidRPr="005C28D2" w:rsidRDefault="00977B34" w:rsidP="00977B34">
      <w:r w:rsidRPr="005C28D2">
        <w:t>En ce qui concerne la compilation des inventaires, la quasi</w:t>
      </w:r>
      <w:r>
        <w:t>-</w:t>
      </w:r>
      <w:r w:rsidRPr="005C28D2">
        <w:t xml:space="preserve">totalité des dispositions générales (de rang 1) décrites dans les Bonnes Pratiques du GIEC sont appliquées. Les dispositions spécifiques à certaines catégories de sources (de rang 2) sont mises en œuvre au cas par cas principalement dans les secteurs « industrie », « transports » et </w:t>
      </w:r>
      <w:r>
        <w:t>« </w:t>
      </w:r>
      <w:r w:rsidRPr="005C28D2">
        <w:t>agriculture</w:t>
      </w:r>
      <w:r>
        <w:t> »</w:t>
      </w:r>
      <w:r w:rsidRPr="005C28D2">
        <w:t xml:space="preserve"> et, dans une moindre mesure, dans les autres secteurs. En particulier, l’accès et l’utilisation de données relatives à des sources individuelles ou des sous-ensembles très fins de sources débouchent sur l’application de procédures spécifiques. Le SMQ s’attache particulièrement :</w:t>
      </w:r>
    </w:p>
    <w:p w14:paraId="7DCED24D" w14:textId="77777777" w:rsidR="00977B34" w:rsidRPr="005C28D2" w:rsidRDefault="00977B34" w:rsidP="00BE086C">
      <w:pPr>
        <w:pStyle w:val="ListParagraph"/>
        <w:numPr>
          <w:ilvl w:val="0"/>
          <w:numId w:val="29"/>
        </w:numPr>
        <w:jc w:val="left"/>
      </w:pPr>
      <w:r w:rsidRPr="005C28D2">
        <w:t>A assurer la disponibilité de la documentation utilisée pour les inventaires d’émission,</w:t>
      </w:r>
    </w:p>
    <w:p w14:paraId="0266DF32" w14:textId="77777777" w:rsidR="00977B34" w:rsidRPr="005C28D2" w:rsidRDefault="00977B34" w:rsidP="00BE086C">
      <w:pPr>
        <w:pStyle w:val="ListParagraph"/>
        <w:numPr>
          <w:ilvl w:val="0"/>
          <w:numId w:val="29"/>
        </w:numPr>
        <w:jc w:val="left"/>
      </w:pPr>
      <w:r w:rsidRPr="005C28D2">
        <w:t>Au classement et à l’archivage de toutes les données et informations considérées pour chaque inventaire,</w:t>
      </w:r>
    </w:p>
    <w:p w14:paraId="3F8D2129" w14:textId="77777777" w:rsidR="00977B34" w:rsidRDefault="00977B34" w:rsidP="00BE086C">
      <w:pPr>
        <w:pStyle w:val="ListParagraph"/>
        <w:numPr>
          <w:ilvl w:val="0"/>
          <w:numId w:val="29"/>
        </w:numPr>
        <w:jc w:val="left"/>
      </w:pPr>
      <w:r w:rsidRPr="005C28D2">
        <w:t>A préserver l’éventuelle confidentialité de certaines données.</w:t>
      </w:r>
    </w:p>
    <w:p w14:paraId="243DEAE1" w14:textId="77777777" w:rsidR="00977B34" w:rsidRDefault="00977B34" w:rsidP="00977B34"/>
    <w:p w14:paraId="76688111" w14:textId="007C86D3" w:rsidR="00977B34" w:rsidRPr="00592A85" w:rsidRDefault="00977B34" w:rsidP="00EF6DB6">
      <w:pPr>
        <w:pStyle w:val="Titre4niveau4"/>
      </w:pPr>
      <w:r>
        <w:t>Assurance de la qualité</w:t>
      </w:r>
    </w:p>
    <w:p w14:paraId="222C6662" w14:textId="77777777" w:rsidR="00977B34" w:rsidRPr="005C28D2" w:rsidRDefault="00977B34" w:rsidP="00977B34">
      <w:r w:rsidRPr="005C28D2">
        <w:t>Elle est assurée au travers de plusieurs dispositions visant à soumettre les inventaires à des revues et recueillir les commentaires et évaluations de publics disposant généralement d’une expertise appropriée. Plus particulièrement, les actions suivantes dont certaines sont intégrées dans le système d’inventaire et par suite dans le SMQ, sont effectives (voir également la figure ci-après) :</w:t>
      </w:r>
    </w:p>
    <w:p w14:paraId="1C608529" w14:textId="77777777" w:rsidR="00977B34" w:rsidRPr="005C28D2" w:rsidRDefault="00977B34" w:rsidP="00BE086C">
      <w:pPr>
        <w:pStyle w:val="ListParagraph"/>
        <w:numPr>
          <w:ilvl w:val="0"/>
          <w:numId w:val="30"/>
        </w:numPr>
        <w:jc w:val="left"/>
      </w:pPr>
      <w:r w:rsidRPr="005C28D2">
        <w:t>Les commentaires des membres du Groupe de coordination et d’information sur les inventaires d’émission (GCIIE) qui disposent en outre de leurs propres données de recoupement des éléments méthodologiques.</w:t>
      </w:r>
    </w:p>
    <w:p w14:paraId="3DE13B47" w14:textId="77777777" w:rsidR="00977B34" w:rsidRPr="005C28D2" w:rsidRDefault="00977B34" w:rsidP="00BE086C">
      <w:pPr>
        <w:pStyle w:val="ListParagraph"/>
        <w:numPr>
          <w:ilvl w:val="0"/>
          <w:numId w:val="30"/>
        </w:numPr>
        <w:jc w:val="left"/>
      </w:pPr>
      <w:r w:rsidRPr="005C28D2">
        <w:t>Les évaluations des autorités locales (DREAL) pour ce qui concerne les données individuelles d’activité et/ou d’émission de polluants déclarées annuellement qui concernent plus de 10 000 installations dont la totalité des installations soumises au SEQE. A noter que, dans ce dernier cadre, le second niveau de vérification ne peut être franchi si le premier niveau de vérification n’est pas concluant.</w:t>
      </w:r>
    </w:p>
    <w:p w14:paraId="04ABF447" w14:textId="77777777" w:rsidR="00977B34" w:rsidRPr="005C28D2" w:rsidRDefault="00977B34" w:rsidP="00977B34">
      <w:pPr>
        <w:rPr>
          <w:b/>
          <w:bCs/>
          <w:color w:val="005841" w:themeColor="accent1"/>
          <w:sz w:val="18"/>
          <w:szCs w:val="18"/>
        </w:rPr>
      </w:pPr>
    </w:p>
    <w:p w14:paraId="53C70755" w14:textId="77777777" w:rsidR="00977B34" w:rsidRPr="005C28D2" w:rsidRDefault="00977B34" w:rsidP="00977B34">
      <w:pPr>
        <w:rPr>
          <w:b/>
          <w:bCs/>
          <w:color w:val="005841" w:themeColor="accent1"/>
          <w:sz w:val="18"/>
          <w:szCs w:val="18"/>
        </w:rPr>
      </w:pPr>
    </w:p>
    <w:p w14:paraId="157122EB" w14:textId="77777777" w:rsidR="00977B34" w:rsidRPr="005C28D2" w:rsidRDefault="00977B34" w:rsidP="00977B34">
      <w:pPr>
        <w:rPr>
          <w:b/>
          <w:bCs/>
          <w:color w:val="005841" w:themeColor="accent1"/>
          <w:sz w:val="18"/>
          <w:szCs w:val="18"/>
        </w:rPr>
      </w:pPr>
    </w:p>
    <w:p w14:paraId="30555F73" w14:textId="77777777" w:rsidR="00977B34" w:rsidRPr="005C28D2" w:rsidRDefault="00977B34" w:rsidP="00977B34">
      <w:bookmarkStart w:id="437" w:name="_Toc66459634"/>
      <w:r w:rsidRPr="005C28D2">
        <w:t>Dispositions mises en œuvre pour l’assurance qualité</w:t>
      </w:r>
      <w:bookmarkEnd w:id="437"/>
    </w:p>
    <w:p w14:paraId="563B7C98" w14:textId="77777777" w:rsidR="00977B34" w:rsidRDefault="00977B34" w:rsidP="00977B34">
      <w:pPr>
        <w:jc w:val="center"/>
      </w:pPr>
      <w:r w:rsidRPr="005C28D2">
        <w:rPr>
          <w:noProof/>
        </w:rPr>
        <w:drawing>
          <wp:inline distT="0" distB="0" distL="0" distR="0" wp14:anchorId="7B76FC8D" wp14:editId="1EC3A137">
            <wp:extent cx="5800725" cy="5419725"/>
            <wp:effectExtent l="0" t="0" r="0" b="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00725" cy="5419725"/>
                    </a:xfrm>
                    <a:prstGeom prst="rect">
                      <a:avLst/>
                    </a:prstGeom>
                    <a:noFill/>
                    <a:ln>
                      <a:noFill/>
                    </a:ln>
                  </pic:spPr>
                </pic:pic>
              </a:graphicData>
            </a:graphic>
          </wp:inline>
        </w:drawing>
      </w:r>
    </w:p>
    <w:p w14:paraId="4327A770" w14:textId="77777777" w:rsidR="00977B34" w:rsidRPr="005C28D2" w:rsidRDefault="00977B34" w:rsidP="00977B34">
      <w:pPr>
        <w:jc w:val="center"/>
      </w:pPr>
    </w:p>
    <w:p w14:paraId="634F53D2" w14:textId="77777777" w:rsidR="00977B34" w:rsidRPr="005C28D2" w:rsidRDefault="00977B34" w:rsidP="00BE086C">
      <w:pPr>
        <w:pStyle w:val="ListParagraph"/>
        <w:numPr>
          <w:ilvl w:val="0"/>
          <w:numId w:val="31"/>
        </w:numPr>
        <w:jc w:val="left"/>
      </w:pPr>
      <w:r w:rsidRPr="005C28D2">
        <w:t>L’assurance qualité mise en œuvre par les entités statistiques chargées d’élaborer certaines données dans le cadre des agréments reçus par l’Administration (bilan énergie, productions, etc.). Cette assurance qualité est donc intégrée en amont de l’inventaire proprement dit.</w:t>
      </w:r>
    </w:p>
    <w:p w14:paraId="754F7AD9" w14:textId="49A0A333" w:rsidR="00977B34" w:rsidRPr="005C28D2" w:rsidRDefault="00977B34" w:rsidP="00BE086C">
      <w:pPr>
        <w:pStyle w:val="ListParagraph"/>
        <w:numPr>
          <w:ilvl w:val="0"/>
          <w:numId w:val="31"/>
        </w:numPr>
        <w:jc w:val="left"/>
      </w:pPr>
      <w:r w:rsidRPr="005C28D2">
        <w:t xml:space="preserve">Les revues diligentées par le Secrétariat de la Convention Cadre </w:t>
      </w:r>
      <w:r w:rsidR="005C72A2" w:rsidRPr="005C28D2">
        <w:t xml:space="preserve">des Nations Unies </w:t>
      </w:r>
      <w:r w:rsidRPr="005C28D2">
        <w:t>sur les Changements Climatiques</w:t>
      </w:r>
      <w:r>
        <w:t xml:space="preserve"> depuis 2002 et tous les ans sauf exception (e.g. 2020).</w:t>
      </w:r>
      <w:r w:rsidRPr="005C28D2">
        <w:t xml:space="preserve"> Ces revues donnent lieu à des rapports qui permettent d’introduire des améliorations. Bien que ces revues ne correspondent pas aux actions d’assurance qualité organisées par le pays, la nature et les résultats de ces revues sont totalement similaires à ce que produiraient des revues tierces organisées dans le cadre de l’assurance qualité du pays. De nombreuses améliorations introduites dans les inventaires de gaz à effet de serre proviennent de ces revues internationales. </w:t>
      </w:r>
    </w:p>
    <w:p w14:paraId="0528D5B1" w14:textId="77777777" w:rsidR="00977B34" w:rsidRPr="005C28D2" w:rsidRDefault="00977B34" w:rsidP="00BE086C">
      <w:pPr>
        <w:pStyle w:val="ListParagraph"/>
        <w:numPr>
          <w:ilvl w:val="0"/>
          <w:numId w:val="31"/>
        </w:numPr>
        <w:jc w:val="left"/>
      </w:pPr>
      <w:r w:rsidRPr="005C28D2">
        <w:t>Les revues effectuées dans les différents cadres (CCNUCC, CEE-NU / LRTAP, CE / Mécanisme communautaire de surveillance des émissions de gaz à effet de serre, etc.) sont autant d’analyses d’experts qui participent chacune, vis-à-vis des autres cadres, à l’assurance qualité des inventaires d’émissions. A minima, ces analyses portent sur des éléments communs tels que les activités de certaines sources (e g. l’énergie), mais aussi de divers autres aspects (organisation, incertitudes, etc.) du fait des éléments communs de rapportage et des fortes similarités entre ces exercices.</w:t>
      </w:r>
    </w:p>
    <w:p w14:paraId="0A9A8859" w14:textId="77777777" w:rsidR="00977B34" w:rsidRPr="005C28D2" w:rsidRDefault="00977B34" w:rsidP="00BE086C">
      <w:pPr>
        <w:pStyle w:val="ListParagraph"/>
        <w:numPr>
          <w:ilvl w:val="0"/>
          <w:numId w:val="31"/>
        </w:numPr>
        <w:jc w:val="left"/>
      </w:pPr>
      <w:r w:rsidRPr="005C28D2">
        <w:t>Les examens ponctuels réalisés par diverses personnes ayant accès aux rapports d’inventaires disponibles au public ou faisant suite à des commentaires formulés par des tiers.</w:t>
      </w:r>
    </w:p>
    <w:p w14:paraId="656D75C7" w14:textId="77777777" w:rsidR="00977B34" w:rsidRDefault="00977B34" w:rsidP="00BE086C">
      <w:pPr>
        <w:pStyle w:val="ListParagraph"/>
        <w:numPr>
          <w:ilvl w:val="0"/>
          <w:numId w:val="31"/>
        </w:numPr>
        <w:jc w:val="left"/>
      </w:pPr>
      <w:r w:rsidRPr="005C28D2">
        <w:t>Les échanges et actions bi et multi latérales conduites avec les organismes et experts étrangers chargés de réaliser des inventaires nationaux. La réalisation de revues complètes et approfondies par des tierces personnes se heurte à la double difficulté de la disponibilité des compétences et des ressources requises. Dans ce registre, des opérations bilatérales entre experts de deux pays limitées à certains secteurs et / ou polluants sont des formules qui associent intérêt et plus grande facilité de mise en œuvre. Une telle opération a été menée en juillet 2008 entre experts français et britanniques pour le secteur de l’agriculture et fin 2013/début 2014 entre experts français et allemands pour les émissions de gaz fluorés.</w:t>
      </w:r>
    </w:p>
    <w:p w14:paraId="334C3D05" w14:textId="77777777" w:rsidR="00977B34" w:rsidRPr="005C28D2" w:rsidRDefault="00977B34" w:rsidP="00977B34"/>
    <w:p w14:paraId="0ECDA79C" w14:textId="77777777" w:rsidR="00977B34" w:rsidRPr="005C28D2" w:rsidRDefault="00977B34" w:rsidP="00977B34">
      <w:r w:rsidRPr="005C28D2">
        <w:t>Les informations recueillies alimentent un outil dédié à l’enregistrement et au suivi de correction des non-conformités identifiées et des améliorations prévues, appelé RISQ</w:t>
      </w:r>
      <w:r w:rsidRPr="005C28D2">
        <w:rPr>
          <w:rStyle w:val="FootnoteReference"/>
        </w:rPr>
        <w:footnoteReference w:id="19"/>
      </w:r>
      <w:r w:rsidRPr="005C28D2">
        <w:t xml:space="preserve">. Cet outil est systématiquement consulté par tous les auteurs de fiches de calcul et de rapports lors de leur mise à jour et la réalisation des actions prévues est consignée et contrôlée par leur vérificateur. </w:t>
      </w:r>
    </w:p>
    <w:p w14:paraId="02A3C765" w14:textId="77777777" w:rsidR="00977B34" w:rsidRPr="005C28D2" w:rsidRDefault="00977B34" w:rsidP="00977B34">
      <w:r w:rsidRPr="005C28D2">
        <w:t>Ces informations contribuent à améliorer les éditions suivantes des inventaires selon l’impact de la modification vis-à-vis, d’une part, de l’écart engendré dans les estimations et, d’autre part, des ressources et du temps nécessaire pour disposer des données et/ou mettre en œuvre des méthodes alternatives.</w:t>
      </w:r>
    </w:p>
    <w:p w14:paraId="60251840" w14:textId="77777777" w:rsidR="00977B34" w:rsidRDefault="00977B34" w:rsidP="00977B34">
      <w:pPr>
        <w:rPr>
          <w:rFonts w:eastAsiaTheme="majorEastAsia"/>
        </w:rPr>
      </w:pPr>
    </w:p>
    <w:p w14:paraId="0A202FB0" w14:textId="575CD82A" w:rsidR="00977B34" w:rsidRDefault="00977B34" w:rsidP="003F57EA">
      <w:pPr>
        <w:pStyle w:val="Titre3Niveau3"/>
      </w:pPr>
      <w:bookmarkStart w:id="438" w:name="_Toc120568048"/>
      <w:bookmarkStart w:id="439" w:name="_Toc138341995"/>
      <w:r>
        <w:t>Description de la procédure de validation officielle de l’inventaire</w:t>
      </w:r>
      <w:bookmarkEnd w:id="438"/>
      <w:bookmarkEnd w:id="439"/>
    </w:p>
    <w:p w14:paraId="0FD234A7" w14:textId="77777777" w:rsidR="00977B34" w:rsidRPr="006F2DEC" w:rsidRDefault="00977B34" w:rsidP="00977B34">
      <w:r w:rsidRPr="006F2DEC">
        <w:t>Conformément aux responsabilités décrites précédemment, le GCIIE valide les modifications</w:t>
      </w:r>
      <w:r>
        <w:t xml:space="preserve"> </w:t>
      </w:r>
      <w:r w:rsidRPr="006F2DEC">
        <w:t>méthodologiques de la soumission du rapport national d’inventaire pour l’année n+2, en octobre de</w:t>
      </w:r>
      <w:r>
        <w:t xml:space="preserve"> </w:t>
      </w:r>
      <w:r w:rsidRPr="006F2DEC">
        <w:t>l’année n+1. Il valide ensuite les résultats de l’inventaire en décembre de l’année n +1.</w:t>
      </w:r>
    </w:p>
    <w:p w14:paraId="0E3AA99C" w14:textId="77777777" w:rsidR="00977B34" w:rsidRDefault="00977B34" w:rsidP="00BE086C">
      <w:pPr>
        <w:pStyle w:val="Titre2Niveau2"/>
        <w:jc w:val="left"/>
      </w:pPr>
      <w:bookmarkStart w:id="440" w:name="_Toc120568049"/>
      <w:bookmarkStart w:id="441" w:name="_Toc138341996"/>
      <w:r>
        <w:t>Registre national</w:t>
      </w:r>
      <w:bookmarkEnd w:id="440"/>
      <w:bookmarkEnd w:id="441"/>
    </w:p>
    <w:p w14:paraId="7B898F53" w14:textId="77777777" w:rsidR="00977B34" w:rsidRDefault="00977B34" w:rsidP="00977B34">
      <w:r>
        <w:t>Par décret n°2004-1412 du 23 décembre 2004, l’État a confié à la Caisse des Dépôts la gestion d’une mission de service public incluant la prise d’actes de police administrative environnementale. Ce texte a été modifié par le décret 2012-1343 du 3 décembre 2012 qui intègre les évolutions des directives européennes, notamment le remplacement des registres nationaux par un système unique développé par la Commission et qui confirme la délégation de service confiée à la Caisse des dépôts pour la période 2013-2020.</w:t>
      </w:r>
    </w:p>
    <w:p w14:paraId="674C5232" w14:textId="77777777" w:rsidR="00977B34" w:rsidRDefault="00977B34" w:rsidP="00977B34"/>
    <w:p w14:paraId="75FA297E" w14:textId="77777777" w:rsidR="00977B34" w:rsidRDefault="00977B34" w:rsidP="00977B34">
      <w:r>
        <w:t xml:space="preserve">Le groupe Caisse des Dépôts est un groupe public, investisseur de long terme au service de l’intérêt général et du développement économique du pays. La Caisse des Dépôts a été désignée par le décret n°2004-1412 pour administrer le registre et développer des systèmes d’informations destinés à exploiter le registre et leur sécurisation. </w:t>
      </w:r>
    </w:p>
    <w:p w14:paraId="1916C51B" w14:textId="77777777" w:rsidR="00977B34" w:rsidRDefault="00977B34" w:rsidP="00977B34"/>
    <w:p w14:paraId="199459E1" w14:textId="79D368CF" w:rsidR="00977B34" w:rsidRDefault="00977B34" w:rsidP="00977B34">
      <w:r>
        <w:t>Depuis la migration du 20 juin 2012 dans le registre de l‘Union européenne, c’est la Commission européenne qui assure la fourniture, la maintenance et la sécurisation du système d’information du registre national au titre des engagements des États Membres européens en tant que Parties au protocole de Kyoto (registre PK) et en tant que participants au Système d’Échange de Quotas d’Émission de gaz à effet de serre de l’Union Européenne (SEQE-UE ou EU-ETS selon l’acronyme anglais) piloté par la Commission européenne.</w:t>
      </w:r>
    </w:p>
    <w:p w14:paraId="3E68D605" w14:textId="77777777" w:rsidR="00BA7429" w:rsidRDefault="00BA7429" w:rsidP="00977B34"/>
    <w:p w14:paraId="763EFCFC" w14:textId="6F92A7E3" w:rsidR="00BA7429" w:rsidRDefault="00BA7429" w:rsidP="00977B34">
      <w:r w:rsidRPr="00BA7429">
        <w:t>Ce registre commun est utilisé pour les politiques européennes telles que les quotas du SCEQE, les quotas de l'ESR-ESD et la réglementation relative à l'UTCF. Le même registre abrite également toutes les exigences liées à la mise en œuvre du protocole de Kyoto.</w:t>
      </w:r>
    </w:p>
    <w:p w14:paraId="683FADDE" w14:textId="54B3C9A3" w:rsidR="00BA7429" w:rsidRDefault="00BA7429" w:rsidP="00977B34"/>
    <w:p w14:paraId="104B46BD" w14:textId="77777777" w:rsidR="00BA7429" w:rsidRDefault="00BA7429" w:rsidP="00977B34"/>
    <w:p w14:paraId="6B48C1A3" w14:textId="77777777" w:rsidR="00977B34" w:rsidRPr="006F2DEC" w:rsidRDefault="00977B34" w:rsidP="00BE086C">
      <w:pPr>
        <w:pStyle w:val="ListParagraph"/>
        <w:numPr>
          <w:ilvl w:val="0"/>
          <w:numId w:val="28"/>
        </w:numPr>
        <w:jc w:val="left"/>
        <w:rPr>
          <w:b/>
          <w:i/>
        </w:rPr>
      </w:pPr>
      <w:r w:rsidRPr="006F2DEC">
        <w:rPr>
          <w:b/>
          <w:i/>
        </w:rPr>
        <w:t>Nom et coordonnées de l'administrateur du registre désigné par la Partie pour gérer le registre national</w:t>
      </w:r>
    </w:p>
    <w:p w14:paraId="61396D32" w14:textId="0E9F9061" w:rsidR="00977B34" w:rsidRPr="006F2DEC" w:rsidRDefault="00977B34" w:rsidP="00977B34">
      <w:pPr>
        <w:pStyle w:val="ListParagraph"/>
      </w:pPr>
      <w:r w:rsidRPr="006F2DEC">
        <w:t xml:space="preserve">Depuis le </w:t>
      </w:r>
      <w:r w:rsidR="006518EF" w:rsidRPr="009F4180">
        <w:t>1</w:t>
      </w:r>
      <w:r w:rsidR="006518EF" w:rsidRPr="007F47EF">
        <w:rPr>
          <w:vertAlign w:val="superscript"/>
        </w:rPr>
        <w:t>er</w:t>
      </w:r>
      <w:r w:rsidRPr="006F2DEC">
        <w:t xml:space="preserve"> janvier 2022, le teneur du registre français est</w:t>
      </w:r>
      <w:r>
        <w:t> :</w:t>
      </w:r>
    </w:p>
    <w:p w14:paraId="04C5C867" w14:textId="3B6F89BF" w:rsidR="00977B34" w:rsidRPr="00762EA9" w:rsidRDefault="00977B34" w:rsidP="00BE086C">
      <w:pPr>
        <w:pStyle w:val="ListParagraph"/>
        <w:numPr>
          <w:ilvl w:val="1"/>
          <w:numId w:val="28"/>
        </w:numPr>
        <w:jc w:val="left"/>
        <w:rPr>
          <w:lang w:val="en-GB"/>
        </w:rPr>
      </w:pPr>
      <w:r w:rsidRPr="00762EA9">
        <w:rPr>
          <w:lang w:val="en-GB"/>
        </w:rPr>
        <w:t xml:space="preserve">M. Malick MBATH, +33 1 58 50 78 93, </w:t>
      </w:r>
      <w:r w:rsidR="00A53B6B">
        <w:rPr>
          <w:lang w:val="en-GB"/>
        </w:rPr>
        <w:t>malick.mbath@caissedesdepots.fr</w:t>
      </w:r>
    </w:p>
    <w:p w14:paraId="32A5C281" w14:textId="77777777" w:rsidR="00977B34" w:rsidRPr="006F2DEC" w:rsidRDefault="00977B34" w:rsidP="00BE086C">
      <w:pPr>
        <w:pStyle w:val="ListParagraph"/>
        <w:numPr>
          <w:ilvl w:val="0"/>
          <w:numId w:val="28"/>
        </w:numPr>
        <w:jc w:val="left"/>
        <w:rPr>
          <w:b/>
          <w:i/>
        </w:rPr>
      </w:pPr>
      <w:r w:rsidRPr="006F2DEC">
        <w:rPr>
          <w:b/>
          <w:i/>
        </w:rPr>
        <w:t>Noms des autres Parties avec lesquelles la Partie coopère pour gérer leur registre national grâce à un système consolidé</w:t>
      </w:r>
    </w:p>
    <w:p w14:paraId="1C23935A" w14:textId="77777777" w:rsidR="00977B34" w:rsidRDefault="00977B34" w:rsidP="00977B34">
      <w:pPr>
        <w:pStyle w:val="ListParagraph"/>
      </w:pPr>
      <w:r>
        <w:t xml:space="preserve">Depuis le 20 juin 2012, les registres nationaux (et européen) des Etats Membres de l’Union européenne sont gérés au moyen du logiciel développé, maintenu et sécurisé par la Commission européenne. </w:t>
      </w:r>
    </w:p>
    <w:p w14:paraId="1BD897EC" w14:textId="77777777" w:rsidR="00977B34" w:rsidRDefault="00977B34" w:rsidP="00977B34">
      <w:pPr>
        <w:pStyle w:val="ListParagraph"/>
      </w:pPr>
    </w:p>
    <w:p w14:paraId="5F49035D" w14:textId="77777777" w:rsidR="00977B34" w:rsidRPr="006F2DEC" w:rsidRDefault="00977B34" w:rsidP="00BE086C">
      <w:pPr>
        <w:pStyle w:val="ListParagraph"/>
        <w:numPr>
          <w:ilvl w:val="0"/>
          <w:numId w:val="28"/>
        </w:numPr>
        <w:jc w:val="left"/>
        <w:rPr>
          <w:b/>
          <w:i/>
        </w:rPr>
      </w:pPr>
      <w:r w:rsidRPr="006F2DEC">
        <w:rPr>
          <w:b/>
          <w:i/>
        </w:rPr>
        <w:t>Description de la structure de la base de données et de la capacité du registre national</w:t>
      </w:r>
    </w:p>
    <w:p w14:paraId="0F12DD55" w14:textId="77777777" w:rsidR="00977B34" w:rsidRDefault="00977B34" w:rsidP="00977B34">
      <w:pPr>
        <w:pStyle w:val="ListParagraph"/>
      </w:pPr>
      <w:r>
        <w:t>Depuis le 20 juin 2012, il n'y a qu'un seul registre européen pour tous les Etats Membres. Une description complète du registre unique a été fournie à l’ITL (Independent Transaction Log) dans la documentation générale et spécifique en vue du démarrage du registre national de l'UE et des registres nationaux consolidés. La structure de la base des données, fournie par la Commission européenne, est présentée en Annexe A CSEUR.</w:t>
      </w:r>
    </w:p>
    <w:p w14:paraId="61C1B17C" w14:textId="77777777" w:rsidR="00977B34" w:rsidRDefault="00977B34" w:rsidP="00977B34">
      <w:pPr>
        <w:pStyle w:val="ListParagraph"/>
      </w:pPr>
    </w:p>
    <w:p w14:paraId="5EC2D74F" w14:textId="77777777" w:rsidR="00977B34" w:rsidRPr="006F2DEC" w:rsidRDefault="00977B34" w:rsidP="00BE086C">
      <w:pPr>
        <w:pStyle w:val="ListParagraph"/>
        <w:numPr>
          <w:ilvl w:val="0"/>
          <w:numId w:val="28"/>
        </w:numPr>
        <w:jc w:val="left"/>
        <w:rPr>
          <w:b/>
          <w:i/>
        </w:rPr>
      </w:pPr>
      <w:r w:rsidRPr="006F2DEC">
        <w:rPr>
          <w:b/>
          <w:i/>
        </w:rPr>
        <w:t>Description des moyens mis en œuvre par le registre national pour se conformer aux DES (Data Exchange Standard) dans l’objectif d’assurer des échanges d’informations précis, transparents entre les registres nationaux, le registre des mécanismes de développement propre et le journal des transactions (décision 19/CP.7, paragraphe 1)</w:t>
      </w:r>
    </w:p>
    <w:p w14:paraId="73CAD5CD" w14:textId="77777777" w:rsidR="00977B34" w:rsidRDefault="00977B34" w:rsidP="00977B34">
      <w:pPr>
        <w:pStyle w:val="ListParagraph"/>
      </w:pPr>
      <w:r>
        <w:t>Depuis la migration informatique de juin 2012, les opérations visant à conformer aux DES les registres nationaux des Etats Membres de l’UE sont traitées par la Commission européenne.</w:t>
      </w:r>
    </w:p>
    <w:p w14:paraId="47790D16" w14:textId="77777777" w:rsidR="00977B34" w:rsidRDefault="00977B34" w:rsidP="00977B34">
      <w:pPr>
        <w:pStyle w:val="ListParagraph"/>
      </w:pPr>
    </w:p>
    <w:p w14:paraId="09F7E953" w14:textId="77777777" w:rsidR="00977B34" w:rsidRPr="006F2DEC" w:rsidRDefault="00977B34" w:rsidP="00BE086C">
      <w:pPr>
        <w:pStyle w:val="ListParagraph"/>
        <w:numPr>
          <w:ilvl w:val="0"/>
          <w:numId w:val="28"/>
        </w:numPr>
        <w:jc w:val="left"/>
        <w:rPr>
          <w:b/>
          <w:i/>
        </w:rPr>
      </w:pPr>
      <w:r w:rsidRPr="006F2DEC">
        <w:rPr>
          <w:b/>
          <w:i/>
        </w:rPr>
        <w:t>Adresse internet du registre national</w:t>
      </w:r>
    </w:p>
    <w:p w14:paraId="06BED0F3" w14:textId="77777777" w:rsidR="00977B34" w:rsidRDefault="00977B34" w:rsidP="00977B34">
      <w:pPr>
        <w:pStyle w:val="ListParagraph"/>
      </w:pPr>
      <w:r>
        <w:t>L’adresse URL de la partie française du système consolidé est la suivante :</w:t>
      </w:r>
    </w:p>
    <w:p w14:paraId="6162ABCE" w14:textId="77777777" w:rsidR="00977B34" w:rsidRDefault="00697C78" w:rsidP="00977B34">
      <w:pPr>
        <w:pStyle w:val="ListParagraph"/>
      </w:pPr>
      <w:hyperlink r:id="rId83" w:history="1">
        <w:r w:rsidR="00977B34" w:rsidRPr="006A60F6">
          <w:rPr>
            <w:rStyle w:val="Hyperlink"/>
          </w:rPr>
          <w:t>https://unionregistry.ec.europa.eu/euregistry/FR/index.xhtml</w:t>
        </w:r>
      </w:hyperlink>
      <w:r w:rsidR="00977B34">
        <w:t>;</w:t>
      </w:r>
    </w:p>
    <w:p w14:paraId="2165DA26" w14:textId="77777777" w:rsidR="00977B34" w:rsidRDefault="00977B34" w:rsidP="00977B34">
      <w:pPr>
        <w:pStyle w:val="ListParagraph"/>
      </w:pPr>
    </w:p>
    <w:p w14:paraId="5B6EB540" w14:textId="77777777" w:rsidR="00977B34" w:rsidRPr="006F2DEC" w:rsidRDefault="00977B34" w:rsidP="00BE086C">
      <w:pPr>
        <w:pStyle w:val="ListParagraph"/>
        <w:numPr>
          <w:ilvl w:val="0"/>
          <w:numId w:val="28"/>
        </w:numPr>
        <w:jc w:val="left"/>
        <w:rPr>
          <w:b/>
          <w:i/>
        </w:rPr>
      </w:pPr>
      <w:r w:rsidRPr="006F2DEC">
        <w:rPr>
          <w:b/>
          <w:i/>
        </w:rPr>
        <w:t>Adresse internet du site de communication du registre national</w:t>
      </w:r>
    </w:p>
    <w:p w14:paraId="60E8C0D7" w14:textId="0DCA8E51" w:rsidR="00603F20" w:rsidRDefault="00977B34" w:rsidP="00261D3D">
      <w:pPr>
        <w:pStyle w:val="ListParagraph"/>
      </w:pPr>
      <w:r>
        <w:t xml:space="preserve">Depuis le 9 janvier 2013, l’adresse internet du site de communication et d’information du registre est : </w:t>
      </w:r>
      <w:hyperlink r:id="rId84" w:history="1">
        <w:r w:rsidRPr="006A60F6">
          <w:rPr>
            <w:rStyle w:val="Hyperlink"/>
          </w:rPr>
          <w:t>https://www.seringas.caissedesdepots.fr</w:t>
        </w:r>
      </w:hyperlink>
    </w:p>
    <w:p w14:paraId="0066B19C" w14:textId="1D6748CF" w:rsidR="00DE64D5" w:rsidRDefault="00DE64D5" w:rsidP="00261D3D"/>
    <w:p w14:paraId="1E60E33A" w14:textId="135ACD94" w:rsidR="00DF6EA6" w:rsidRPr="00261D3D" w:rsidRDefault="00DE64D5" w:rsidP="00261D3D">
      <w:pPr>
        <w:sectPr w:rsidR="00DF6EA6" w:rsidRPr="00261D3D" w:rsidSect="00A8610E">
          <w:pgSz w:w="11906" w:h="16838" w:code="9"/>
          <w:pgMar w:top="1230" w:right="907" w:bottom="1650" w:left="1049" w:header="284" w:footer="284" w:gutter="0"/>
          <w:cols w:space="708"/>
          <w:titlePg/>
          <w:docGrid w:linePitch="360"/>
        </w:sectPr>
      </w:pPr>
      <w:r w:rsidRPr="00DE64D5">
        <w:t>La réalisation des engagements quantifiés de limitation et de réduction des émissions au titre de l'article 3 du protocole de Kyoto pour la France est prise collectivement par l'Union européenne. Avec des politiques détaillées (ETS, ESR) pour atteindre les objectifs. L'UE et les États membres sont encore en train de préparer la mise en œuvre de la période de transition pour finaliser la mise en œuvre du protocole de Kyoto.</w:t>
      </w:r>
    </w:p>
    <w:p w14:paraId="0C9CE0C3" w14:textId="49EA207E" w:rsidR="0051771F" w:rsidRDefault="0051771F" w:rsidP="0062059A">
      <w:pPr>
        <w:pStyle w:val="Titre1Niveau1"/>
        <w:ind w:left="0" w:right="27"/>
      </w:pPr>
      <w:bookmarkStart w:id="442" w:name="_Toc138341997"/>
      <w:bookmarkStart w:id="443" w:name="ChapitreIV"/>
      <w:r w:rsidRPr="005D5AA6">
        <w:t>Chapitre I</w:t>
      </w:r>
      <w:r>
        <w:t>V</w:t>
      </w:r>
      <w:r w:rsidR="00C654BE">
        <w:t xml:space="preserve"> – </w:t>
      </w:r>
      <w:r>
        <w:t>Politiques</w:t>
      </w:r>
      <w:r w:rsidR="00C654BE">
        <w:t xml:space="preserve"> </w:t>
      </w:r>
      <w:r>
        <w:t>et mesures</w:t>
      </w:r>
      <w:bookmarkEnd w:id="442"/>
    </w:p>
    <w:p w14:paraId="218454AF" w14:textId="272110EC" w:rsidR="00B23A9B" w:rsidRDefault="00B23A9B" w:rsidP="00E524AF">
      <w:pPr>
        <w:pStyle w:val="Titre2Niveau2"/>
        <w:numPr>
          <w:ilvl w:val="0"/>
          <w:numId w:val="99"/>
        </w:numPr>
      </w:pPr>
      <w:bookmarkStart w:id="444" w:name="_Toc111839765"/>
      <w:bookmarkStart w:id="445" w:name="_Ref121425129"/>
      <w:bookmarkStart w:id="446" w:name="_Ref121425137"/>
      <w:bookmarkStart w:id="447" w:name="_Toc138341998"/>
      <w:bookmarkEnd w:id="443"/>
      <w:r>
        <w:t>La conception des politiques et mesure</w:t>
      </w:r>
      <w:bookmarkEnd w:id="444"/>
      <w:r w:rsidR="00603F20">
        <w:t>s</w:t>
      </w:r>
      <w:bookmarkEnd w:id="445"/>
      <w:bookmarkEnd w:id="446"/>
      <w:bookmarkEnd w:id="447"/>
    </w:p>
    <w:p w14:paraId="3A9301E1" w14:textId="1ED1FE30" w:rsidR="00603F20" w:rsidRPr="00603F20" w:rsidRDefault="00603F20" w:rsidP="003F57EA">
      <w:pPr>
        <w:pStyle w:val="Titre3Niveau3"/>
      </w:pPr>
      <w:bookmarkStart w:id="448" w:name="_Toc138341999"/>
      <w:r>
        <w:t>Les fondements institutionnels</w:t>
      </w:r>
      <w:bookmarkEnd w:id="448"/>
    </w:p>
    <w:p w14:paraId="2E884298" w14:textId="72F97BF8" w:rsidR="00E77DC7" w:rsidRDefault="00E77DC7" w:rsidP="00EF6DB6">
      <w:pPr>
        <w:pStyle w:val="Titre4niveau4"/>
        <w:rPr>
          <w:lang w:eastAsia="en-US"/>
        </w:rPr>
      </w:pPr>
      <w:r>
        <w:rPr>
          <w:lang w:eastAsia="en-US"/>
        </w:rPr>
        <w:t>Au niveau de l’État</w:t>
      </w:r>
    </w:p>
    <w:p w14:paraId="1086B03D" w14:textId="1A72A1B2" w:rsidR="00224F0C" w:rsidRDefault="00224F0C" w:rsidP="00224F0C">
      <w:pPr>
        <w:pStyle w:val="BodyText"/>
        <w:rPr>
          <w:rFonts w:asciiTheme="minorHAnsi" w:hAnsiTheme="minorHAnsi"/>
          <w:sz w:val="22"/>
        </w:rPr>
      </w:pPr>
      <w:r w:rsidRPr="00224F0C">
        <w:rPr>
          <w:rFonts w:asciiTheme="minorHAnsi" w:eastAsia="Times New Roman" w:hAnsiTheme="minorHAnsi" w:cs="Times New Roman"/>
          <w:sz w:val="22"/>
        </w:rPr>
        <w:t xml:space="preserve">Face à l’urgence climatique, le Président de la République a engagé la France dans la planification écologique et a confié à la Première ministre </w:t>
      </w:r>
      <w:r w:rsidRPr="00224F0C">
        <w:rPr>
          <w:rFonts w:asciiTheme="minorHAnsi" w:hAnsiTheme="minorHAnsi" w:cs="Times New Roman"/>
          <w:sz w:val="22"/>
        </w:rPr>
        <w:t xml:space="preserve">le rôle stratégique de coordonner </w:t>
      </w:r>
      <w:r>
        <w:rPr>
          <w:rFonts w:asciiTheme="minorHAnsi" w:hAnsiTheme="minorHAnsi" w:cs="Times New Roman"/>
          <w:sz w:val="22"/>
        </w:rPr>
        <w:t>ce chantier</w:t>
      </w:r>
      <w:r w:rsidRPr="00224F0C">
        <w:rPr>
          <w:rFonts w:asciiTheme="minorHAnsi" w:eastAsia="Times New Roman" w:hAnsiTheme="minorHAnsi" w:cs="Times New Roman"/>
          <w:sz w:val="22"/>
        </w:rPr>
        <w:t>. La planification écologique</w:t>
      </w:r>
      <w:r w:rsidR="00BF6E90">
        <w:rPr>
          <w:rFonts w:asciiTheme="minorHAnsi" w:eastAsia="Times New Roman" w:hAnsiTheme="minorHAnsi" w:cs="Times New Roman"/>
          <w:sz w:val="22"/>
        </w:rPr>
        <w:t xml:space="preserve"> est un </w:t>
      </w:r>
      <w:r w:rsidRPr="00224F0C">
        <w:rPr>
          <w:rFonts w:asciiTheme="minorHAnsi" w:eastAsia="Times New Roman" w:hAnsiTheme="minorHAnsi" w:cs="Times New Roman"/>
          <w:sz w:val="22"/>
        </w:rPr>
        <w:t xml:space="preserve">mouvement de la société pour atteindre nos objectifs sur le climat, sur la biodiversité et la réduction des pollutions, en mobilisant tous les acteurs : l’Etat, les entreprises, les collectivités territoriales. </w:t>
      </w:r>
      <w:r>
        <w:rPr>
          <w:rFonts w:asciiTheme="minorHAnsi" w:eastAsia="Times New Roman" w:hAnsiTheme="minorHAnsi" w:cs="Times New Roman"/>
          <w:sz w:val="22"/>
        </w:rPr>
        <w:t>Pour mener à bien ce chantier, e</w:t>
      </w:r>
      <w:r w:rsidRPr="00224F0C">
        <w:rPr>
          <w:rFonts w:asciiTheme="minorHAnsi" w:hAnsiTheme="minorHAnsi"/>
          <w:sz w:val="22"/>
        </w:rPr>
        <w:t xml:space="preserve">n mai 2022, </w:t>
      </w:r>
      <w:r>
        <w:rPr>
          <w:rFonts w:asciiTheme="minorHAnsi" w:hAnsiTheme="minorHAnsi"/>
          <w:sz w:val="22"/>
        </w:rPr>
        <w:t xml:space="preserve">la </w:t>
      </w:r>
      <w:r w:rsidRPr="00224F0C">
        <w:rPr>
          <w:rFonts w:asciiTheme="minorHAnsi" w:eastAsia="Times New Roman" w:hAnsiTheme="minorHAnsi" w:cs="Times New Roman"/>
          <w:sz w:val="22"/>
        </w:rPr>
        <w:t xml:space="preserve">Première ministre </w:t>
      </w:r>
      <w:r w:rsidRPr="00224F0C">
        <w:rPr>
          <w:rFonts w:asciiTheme="minorHAnsi" w:hAnsiTheme="minorHAnsi"/>
          <w:sz w:val="22"/>
        </w:rPr>
        <w:t>a annoncé la création d’un Secrétariat général à la Planification écologique. Placé auprès d’elle, il est chargé de</w:t>
      </w:r>
      <w:r>
        <w:rPr>
          <w:rFonts w:ascii="Calibri" w:hAnsi="Calibri" w:cs="Calibri"/>
          <w:sz w:val="22"/>
        </w:rPr>
        <w:t> </w:t>
      </w:r>
      <w:r>
        <w:rPr>
          <w:rFonts w:asciiTheme="minorHAnsi" w:hAnsiTheme="minorHAnsi"/>
          <w:sz w:val="22"/>
        </w:rPr>
        <w:t>:</w:t>
      </w:r>
      <w:r w:rsidRPr="00224F0C">
        <w:rPr>
          <w:rFonts w:asciiTheme="minorHAnsi" w:hAnsiTheme="minorHAnsi"/>
          <w:sz w:val="22"/>
        </w:rPr>
        <w:t xml:space="preserve"> </w:t>
      </w:r>
    </w:p>
    <w:p w14:paraId="4DABB9C8" w14:textId="7CA9EEAF" w:rsidR="00224F0C" w:rsidRPr="00C20383" w:rsidRDefault="00224F0C" w:rsidP="00224F0C">
      <w:pPr>
        <w:pStyle w:val="ListParagraph"/>
        <w:numPr>
          <w:ilvl w:val="0"/>
          <w:numId w:val="6"/>
        </w:numPr>
        <w:spacing w:before="240" w:after="240"/>
        <w:rPr>
          <w:lang w:eastAsia="en-US"/>
        </w:rPr>
      </w:pPr>
      <w:r w:rsidRPr="00C20383">
        <w:rPr>
          <w:lang w:eastAsia="en-US"/>
        </w:rPr>
        <w:t>coordonne</w:t>
      </w:r>
      <w:r>
        <w:rPr>
          <w:lang w:eastAsia="en-US"/>
        </w:rPr>
        <w:t>r</w:t>
      </w:r>
      <w:r w:rsidRPr="00C20383">
        <w:rPr>
          <w:lang w:eastAsia="en-US"/>
        </w:rPr>
        <w:t xml:space="preserve"> l'élaboration des stratégies nationales en matière de climat, d'énergie, de biodiversité et d'économie circulaire, en s'assurant du respect des engagements européens et internationaux de la France. Il veille en particulier à la soutenabilité de ces stratégies et à leur différenciation, afin de s'adapter aux particularités de chaque territoire et d'intégrer les enjeux économiques et sociaux ;</w:t>
      </w:r>
    </w:p>
    <w:p w14:paraId="50031E0C" w14:textId="08A93C26" w:rsidR="00224F0C" w:rsidRPr="00C20383" w:rsidRDefault="00224F0C" w:rsidP="00224F0C">
      <w:pPr>
        <w:pStyle w:val="ListParagraph"/>
        <w:numPr>
          <w:ilvl w:val="0"/>
          <w:numId w:val="6"/>
        </w:numPr>
        <w:spacing w:before="240" w:after="240"/>
        <w:rPr>
          <w:lang w:eastAsia="en-US"/>
        </w:rPr>
      </w:pPr>
      <w:r w:rsidRPr="00C20383">
        <w:rPr>
          <w:lang w:eastAsia="en-US"/>
        </w:rPr>
        <w:t>veille</w:t>
      </w:r>
      <w:r>
        <w:rPr>
          <w:lang w:eastAsia="en-US"/>
        </w:rPr>
        <w:t>r</w:t>
      </w:r>
      <w:r w:rsidRPr="00C20383">
        <w:rPr>
          <w:lang w:eastAsia="en-US"/>
        </w:rPr>
        <w:t xml:space="preserve"> à la mise en œuvre de ces stratégies par l'ensemble des ministères concernés et à leur déclinaison en plans d'actions ;</w:t>
      </w:r>
    </w:p>
    <w:p w14:paraId="22A49DE2" w14:textId="5F7540DD" w:rsidR="00224F0C" w:rsidRPr="00C20383" w:rsidRDefault="00224F0C" w:rsidP="00224F0C">
      <w:pPr>
        <w:pStyle w:val="ListParagraph"/>
        <w:numPr>
          <w:ilvl w:val="0"/>
          <w:numId w:val="6"/>
        </w:numPr>
        <w:spacing w:before="240" w:after="240"/>
        <w:rPr>
          <w:lang w:eastAsia="en-US"/>
        </w:rPr>
      </w:pPr>
      <w:r w:rsidRPr="00C20383">
        <w:rPr>
          <w:lang w:eastAsia="en-US"/>
        </w:rPr>
        <w:t>veille</w:t>
      </w:r>
      <w:r>
        <w:rPr>
          <w:lang w:eastAsia="en-US"/>
        </w:rPr>
        <w:t>r</w:t>
      </w:r>
      <w:r w:rsidRPr="00C20383">
        <w:rPr>
          <w:lang w:eastAsia="en-US"/>
        </w:rPr>
        <w:t xml:space="preserve"> à l'évaluation régulière des politiques menées au titre de ces stratégies et des plans d'action et à la publication d'indicateurs pour en rendre compte ;</w:t>
      </w:r>
    </w:p>
    <w:p w14:paraId="2049B3AE" w14:textId="30464DEE" w:rsidR="00224F0C" w:rsidRPr="00C20383" w:rsidRDefault="00224F0C" w:rsidP="00224F0C">
      <w:pPr>
        <w:pStyle w:val="ListParagraph"/>
        <w:numPr>
          <w:ilvl w:val="0"/>
          <w:numId w:val="6"/>
        </w:numPr>
        <w:spacing w:before="240" w:after="240"/>
        <w:rPr>
          <w:lang w:eastAsia="en-US"/>
        </w:rPr>
      </w:pPr>
      <w:r w:rsidRPr="00C20383">
        <w:rPr>
          <w:lang w:eastAsia="en-US"/>
        </w:rPr>
        <w:t>veille</w:t>
      </w:r>
      <w:r>
        <w:rPr>
          <w:lang w:eastAsia="en-US"/>
        </w:rPr>
        <w:t>r</w:t>
      </w:r>
      <w:r w:rsidRPr="00C20383">
        <w:rPr>
          <w:lang w:eastAsia="en-US"/>
        </w:rPr>
        <w:t xml:space="preserve"> à la cohérence de l'ensemble des politiques publiques avec les stratégies susmentionnées ;</w:t>
      </w:r>
    </w:p>
    <w:p w14:paraId="2D9E68C7" w14:textId="5DA4D4C5" w:rsidR="00224F0C" w:rsidRPr="00A53B6B" w:rsidRDefault="00224F0C" w:rsidP="00A53B6B">
      <w:pPr>
        <w:pStyle w:val="ListParagraph"/>
        <w:numPr>
          <w:ilvl w:val="0"/>
          <w:numId w:val="6"/>
        </w:numPr>
        <w:spacing w:before="240" w:after="240"/>
        <w:rPr>
          <w:rFonts w:asciiTheme="minorHAnsi" w:hAnsiTheme="minorHAnsi"/>
        </w:rPr>
      </w:pPr>
      <w:r w:rsidRPr="00C20383">
        <w:rPr>
          <w:lang w:eastAsia="en-US"/>
        </w:rPr>
        <w:t>prépare</w:t>
      </w:r>
      <w:r>
        <w:rPr>
          <w:lang w:eastAsia="en-US"/>
        </w:rPr>
        <w:t>r</w:t>
      </w:r>
      <w:r w:rsidRPr="00C20383">
        <w:rPr>
          <w:lang w:eastAsia="en-US"/>
        </w:rPr>
        <w:t xml:space="preserve"> et coordonne</w:t>
      </w:r>
      <w:r>
        <w:rPr>
          <w:lang w:eastAsia="en-US"/>
        </w:rPr>
        <w:t>r</w:t>
      </w:r>
      <w:r w:rsidRPr="00C20383">
        <w:rPr>
          <w:lang w:eastAsia="en-US"/>
        </w:rPr>
        <w:t xml:space="preserve"> les saisines et les réponses du Gouvernement aux avis du Haut Conseil pour le climat.</w:t>
      </w:r>
    </w:p>
    <w:p w14:paraId="6815D9E5" w14:textId="5641A622" w:rsidR="00E77DC7" w:rsidRDefault="00E77DC7" w:rsidP="00E77DC7">
      <w:pPr>
        <w:spacing w:before="240" w:after="240"/>
        <w:rPr>
          <w:lang w:eastAsia="en-US"/>
        </w:rPr>
      </w:pPr>
      <w:r w:rsidRPr="00E77DC7">
        <w:rPr>
          <w:lang w:eastAsia="en-US"/>
        </w:rPr>
        <w:t>Le ministère de la Transition écologique et</w:t>
      </w:r>
      <w:r w:rsidR="009842E5">
        <w:rPr>
          <w:lang w:eastAsia="en-US"/>
        </w:rPr>
        <w:t xml:space="preserve"> de la Cohésion des territoires (MTECT) et le ministère de la Transition énergétique (MTE) ont</w:t>
      </w:r>
      <w:r w:rsidRPr="00E77DC7">
        <w:rPr>
          <w:lang w:eastAsia="en-US"/>
        </w:rPr>
        <w:t xml:space="preserve"> pour ambition de répondre aux enjeux environnementaux et climatiques du XXIe siècle. La coordination et l’animation de la politique domestique de lutte contre le changement climatique relèvent du Service climat et efficacité én</w:t>
      </w:r>
      <w:r w:rsidR="009842E5">
        <w:rPr>
          <w:lang w:eastAsia="en-US"/>
        </w:rPr>
        <w:t>ergétique (SCEE) au sein de la D</w:t>
      </w:r>
      <w:r w:rsidRPr="00E77DC7">
        <w:rPr>
          <w:lang w:eastAsia="en-US"/>
        </w:rPr>
        <w:t>irection générale de l’énergie et du climat (DGEC)</w:t>
      </w:r>
      <w:r w:rsidR="00737A61">
        <w:rPr>
          <w:lang w:eastAsia="en-US"/>
        </w:rPr>
        <w:t>, notamment via son</w:t>
      </w:r>
      <w:r w:rsidRPr="00E77DC7">
        <w:rPr>
          <w:lang w:eastAsia="en-US"/>
        </w:rPr>
        <w:t xml:space="preserve"> département de lutte </w:t>
      </w:r>
      <w:r w:rsidR="00737A61">
        <w:rPr>
          <w:lang w:eastAsia="en-US"/>
        </w:rPr>
        <w:t>contre l’effet de serre (DLCES).</w:t>
      </w:r>
    </w:p>
    <w:p w14:paraId="3F37038F" w14:textId="0909C571" w:rsidR="00E77DC7" w:rsidRDefault="00E77DC7" w:rsidP="00E77DC7">
      <w:pPr>
        <w:spacing w:before="240" w:after="240"/>
        <w:rPr>
          <w:lang w:eastAsia="en-US"/>
        </w:rPr>
      </w:pPr>
      <w:r w:rsidRPr="00E77DC7">
        <w:rPr>
          <w:lang w:eastAsia="en-US"/>
        </w:rPr>
        <w:t>Concernant la politique en matière d’adaptation, l’Observatoire national sur les effets du</w:t>
      </w:r>
      <w:r w:rsidR="00B86118">
        <w:rPr>
          <w:lang w:eastAsia="en-US"/>
        </w:rPr>
        <w:t xml:space="preserve"> réchauffement climatique (Onerc</w:t>
      </w:r>
      <w:r w:rsidRPr="00E77DC7">
        <w:rPr>
          <w:lang w:eastAsia="en-US"/>
        </w:rPr>
        <w:t xml:space="preserve">), créé le 21 février 2001 à l’initiative du Parlement, a pour mission la collecte et la diffusion d’informations sur le réchauffement et les phénomènes climatiques extrêmes. Il est rattaché à la </w:t>
      </w:r>
      <w:r w:rsidR="004B2A28">
        <w:rPr>
          <w:lang w:eastAsia="en-US"/>
        </w:rPr>
        <w:t>DGEC.</w:t>
      </w:r>
      <w:r w:rsidR="004077DC">
        <w:rPr>
          <w:lang w:eastAsia="en-US"/>
        </w:rPr>
        <w:t xml:space="preserve"> . L’Onerc est le point focal français pour le GIEC.</w:t>
      </w:r>
    </w:p>
    <w:p w14:paraId="540323BC" w14:textId="06A4AED4" w:rsidR="00E77DC7" w:rsidRDefault="00E77DC7" w:rsidP="00E77DC7">
      <w:pPr>
        <w:spacing w:before="240" w:after="240"/>
        <w:rPr>
          <w:lang w:eastAsia="en-US"/>
        </w:rPr>
      </w:pPr>
      <w:r w:rsidRPr="00E77DC7">
        <w:rPr>
          <w:lang w:eastAsia="en-US"/>
        </w:rPr>
        <w:t xml:space="preserve">D'autres ministères apportent une contribution essentielle à la mise en </w:t>
      </w:r>
      <w:r w:rsidR="004B2A28" w:rsidRPr="00E77DC7">
        <w:rPr>
          <w:lang w:eastAsia="en-US"/>
        </w:rPr>
        <w:t>œuvre</w:t>
      </w:r>
      <w:r w:rsidRPr="00E77DC7">
        <w:rPr>
          <w:lang w:eastAsia="en-US"/>
        </w:rPr>
        <w:t xml:space="preserve"> de la politique climatique nationale, notamment le ministère de l’Agriculture et de </w:t>
      </w:r>
      <w:r w:rsidR="004B2A28">
        <w:rPr>
          <w:lang w:eastAsia="en-US"/>
        </w:rPr>
        <w:t>la Souveraineté alimentaire</w:t>
      </w:r>
      <w:r w:rsidRPr="00E77DC7">
        <w:rPr>
          <w:lang w:eastAsia="en-US"/>
        </w:rPr>
        <w:t>, le ministère de l'Économie</w:t>
      </w:r>
      <w:r w:rsidR="004B2A28">
        <w:rPr>
          <w:lang w:eastAsia="en-US"/>
        </w:rPr>
        <w:t xml:space="preserve"> et des Finances</w:t>
      </w:r>
      <w:r w:rsidRPr="00E77DC7">
        <w:rPr>
          <w:lang w:eastAsia="en-US"/>
        </w:rPr>
        <w:t xml:space="preserve">, </w:t>
      </w:r>
      <w:r w:rsidR="004B2A28">
        <w:rPr>
          <w:lang w:eastAsia="en-US"/>
        </w:rPr>
        <w:t xml:space="preserve">et </w:t>
      </w:r>
      <w:r w:rsidRPr="00E77DC7">
        <w:rPr>
          <w:lang w:eastAsia="en-US"/>
        </w:rPr>
        <w:t>le ministère de l’Enseignement supérieur et de la Recherche</w:t>
      </w:r>
      <w:r w:rsidR="004B2A28">
        <w:rPr>
          <w:lang w:eastAsia="en-US"/>
        </w:rPr>
        <w:t>.</w:t>
      </w:r>
    </w:p>
    <w:p w14:paraId="401B32B6" w14:textId="38F248E2" w:rsidR="00E77DC7" w:rsidRDefault="00E77DC7" w:rsidP="00E77DC7">
      <w:pPr>
        <w:spacing w:before="240" w:after="240"/>
        <w:rPr>
          <w:lang w:eastAsia="en-US"/>
        </w:rPr>
      </w:pPr>
      <w:r w:rsidRPr="00E77DC7">
        <w:rPr>
          <w:lang w:eastAsia="en-US"/>
        </w:rPr>
        <w:t xml:space="preserve">Des établissements publics sont également impliqués dans la mise en </w:t>
      </w:r>
      <w:r w:rsidR="004B2A28" w:rsidRPr="00E77DC7">
        <w:rPr>
          <w:lang w:eastAsia="en-US"/>
        </w:rPr>
        <w:t>œuvre</w:t>
      </w:r>
      <w:r w:rsidRPr="00E77DC7">
        <w:rPr>
          <w:lang w:eastAsia="en-US"/>
        </w:rPr>
        <w:t xml:space="preserve"> des politiques publiques climatiques. En particulier, l’Agence de</w:t>
      </w:r>
      <w:r w:rsidR="004B2A28">
        <w:rPr>
          <w:lang w:eastAsia="en-US"/>
        </w:rPr>
        <w:t xml:space="preserve"> la transition écologique</w:t>
      </w:r>
      <w:r w:rsidRPr="00E77DC7">
        <w:rPr>
          <w:lang w:eastAsia="en-US"/>
        </w:rPr>
        <w:t xml:space="preserve"> (Ademe) met à disposition des entreprises, des collectivités locales, des pouvoirs publics et du grand public, ses capacités d'expertise et de conseil et participe au financement de projets. L’Agence nationale de l’habitat (ANAH) accompagne et finance la rénovation énergétique des logements des ménages les plus modestes. </w:t>
      </w:r>
      <w:r w:rsidR="004B2A28">
        <w:rPr>
          <w:lang w:eastAsia="en-US"/>
        </w:rPr>
        <w:t>Enfin, l</w:t>
      </w:r>
      <w:r w:rsidRPr="00E77DC7">
        <w:rPr>
          <w:lang w:eastAsia="en-US"/>
        </w:rPr>
        <w:t>’Agence française de développement (AFD) travaille à la mise en œuvre de la finance Climat de la France dans les pays en développement.</w:t>
      </w:r>
    </w:p>
    <w:p w14:paraId="6010861E" w14:textId="6A748644" w:rsidR="00224F0C" w:rsidRPr="00224F0C" w:rsidRDefault="00737A61" w:rsidP="00B95CF2">
      <w:pPr>
        <w:spacing w:before="240" w:after="240"/>
        <w:rPr>
          <w:lang w:eastAsia="en-US"/>
        </w:rPr>
      </w:pPr>
      <w:r>
        <w:rPr>
          <w:lang w:eastAsia="en-US"/>
        </w:rPr>
        <w:t xml:space="preserve">À l’initiative du Président de la République, le décret du 14 mai 2019 a créé le Haut Conseil pour le Climat, organisme indépendant chargé </w:t>
      </w:r>
      <w:r w:rsidR="00224F0C">
        <w:rPr>
          <w:lang w:eastAsia="en-US"/>
        </w:rPr>
        <w:t xml:space="preserve">de </w:t>
      </w:r>
      <w:r w:rsidR="00224F0C" w:rsidRPr="00224F0C">
        <w:rPr>
          <w:lang w:eastAsia="en-US"/>
        </w:rPr>
        <w:t xml:space="preserve">conseiller les décideurs politiques sur les orientations de moyen et long termes et </w:t>
      </w:r>
      <w:r>
        <w:rPr>
          <w:lang w:eastAsia="en-US"/>
        </w:rPr>
        <w:t>d’émettre des avis et recommandations sur la mise en œuvre des politiques et mesures visant la réduction des émissions de gaz à effet de serre nationales et d’apprécier leur cohérence avec les objectifs de la France sur le climat.</w:t>
      </w:r>
      <w:r w:rsidR="00224F0C">
        <w:rPr>
          <w:lang w:eastAsia="en-US"/>
        </w:rPr>
        <w:t xml:space="preserve"> </w:t>
      </w:r>
    </w:p>
    <w:p w14:paraId="65844EF2" w14:textId="7F77317F" w:rsidR="00737A61" w:rsidRPr="00133BB6" w:rsidRDefault="001078BD" w:rsidP="00737A61">
      <w:pPr>
        <w:spacing w:before="240" w:after="240"/>
        <w:rPr>
          <w:lang w:eastAsia="en-US"/>
        </w:rPr>
      </w:pPr>
      <w:r w:rsidRPr="00133BB6">
        <w:rPr>
          <w:lang w:eastAsia="en-US"/>
        </w:rPr>
        <w:t>Un</w:t>
      </w:r>
      <w:r w:rsidR="00737A61" w:rsidRPr="00133BB6">
        <w:rPr>
          <w:lang w:eastAsia="en-US"/>
        </w:rPr>
        <w:t xml:space="preserve"> Conseil de défense écologique a </w:t>
      </w:r>
      <w:r w:rsidRPr="00133BB6">
        <w:rPr>
          <w:lang w:eastAsia="en-US"/>
        </w:rPr>
        <w:t xml:space="preserve">également </w:t>
      </w:r>
      <w:r w:rsidR="00737A61" w:rsidRPr="00133BB6">
        <w:rPr>
          <w:lang w:eastAsia="en-US"/>
        </w:rPr>
        <w:t>été mis en place, réunissant les ministres principalement concernés par les enjeux environnementaux et climatiques afin de coordonner l’action transversale de l’Etat sur les sujets identifiés.</w:t>
      </w:r>
    </w:p>
    <w:p w14:paraId="72F8F498" w14:textId="1C865484" w:rsidR="00E77DC7" w:rsidRPr="00133BB6" w:rsidRDefault="00E77DC7" w:rsidP="00EF6DB6">
      <w:pPr>
        <w:pStyle w:val="Titre4niveau4"/>
        <w:rPr>
          <w:lang w:eastAsia="en-US"/>
        </w:rPr>
      </w:pPr>
      <w:r w:rsidRPr="00133BB6">
        <w:rPr>
          <w:lang w:eastAsia="en-US"/>
        </w:rPr>
        <w:t>Au niveau des collectivités</w:t>
      </w:r>
    </w:p>
    <w:p w14:paraId="7F033EF8" w14:textId="716FDEFB" w:rsidR="00206F95" w:rsidRPr="00133BB6" w:rsidRDefault="00E77DC7" w:rsidP="00E77DC7">
      <w:pPr>
        <w:spacing w:before="240" w:after="240"/>
        <w:rPr>
          <w:lang w:eastAsia="en-US"/>
        </w:rPr>
      </w:pPr>
      <w:r w:rsidRPr="00133BB6">
        <w:rPr>
          <w:lang w:eastAsia="en-US"/>
        </w:rPr>
        <w:t xml:space="preserve">Les collectivités territoriales jouent avec l’État, en tant que donneurs d’ordres publics, un rôle important dans la lutte contre le changement climatique au titre de leur patrimoine, de leurs activités directes, et de manière plus globale par la mise en mouvement de l’ensemble du tissu économique et social. </w:t>
      </w:r>
      <w:r w:rsidR="00206F95" w:rsidRPr="00133BB6">
        <w:rPr>
          <w:lang w:eastAsia="en-US"/>
        </w:rPr>
        <w:t>Leur champ local de compétences et d’actions englobe notamment le pilotage des politiques de transport, l’animation et le soutien de la filière de rénovation des bâtiments, ou encore la valorisation du potentiel énergétique de leur territoire au travers de leurs politiques économiques et d’aménagement.</w:t>
      </w:r>
    </w:p>
    <w:p w14:paraId="2AC583E2" w14:textId="56D3BB71" w:rsidR="00E77DC7" w:rsidRPr="00133BB6" w:rsidRDefault="00E77DC7" w:rsidP="00E77DC7">
      <w:pPr>
        <w:spacing w:before="240" w:after="240"/>
        <w:rPr>
          <w:lang w:eastAsia="en-US"/>
        </w:rPr>
      </w:pPr>
      <w:r w:rsidRPr="00133BB6">
        <w:rPr>
          <w:lang w:eastAsia="en-US"/>
        </w:rPr>
        <w:t>L’action climatique des collectivités s’articule autour d’outils de planification territoriale : les Schémas régionaux d’aménagement, de développement durable et d’égalités des territoires (SRADDET), et les Plans climat-air-énergie territoriaux (PCAET) pour les intercommunalités de plus de 20 000 habitants.</w:t>
      </w:r>
    </w:p>
    <w:p w14:paraId="4C71B29A" w14:textId="050F7257" w:rsidR="0045605C" w:rsidRPr="00133BB6" w:rsidRDefault="00E77DC7" w:rsidP="0045605C">
      <w:pPr>
        <w:spacing w:before="240" w:after="240"/>
        <w:rPr>
          <w:lang w:eastAsia="en-US"/>
        </w:rPr>
      </w:pPr>
      <w:r w:rsidRPr="00133BB6">
        <w:rPr>
          <w:lang w:eastAsia="en-US"/>
        </w:rPr>
        <w:t xml:space="preserve">Les SRADDET, mis en place par </w:t>
      </w:r>
      <w:r w:rsidR="00C2055C" w:rsidRPr="00133BB6">
        <w:rPr>
          <w:lang w:eastAsia="en-US"/>
        </w:rPr>
        <w:t>la loi NOTRe</w:t>
      </w:r>
      <w:r w:rsidR="0045605C" w:rsidRPr="00133BB6">
        <w:rPr>
          <w:lang w:eastAsia="en-US"/>
        </w:rPr>
        <w:t xml:space="preserve"> en 2016, englobe</w:t>
      </w:r>
      <w:r w:rsidRPr="00133BB6">
        <w:rPr>
          <w:lang w:eastAsia="en-US"/>
        </w:rPr>
        <w:t>nt plusieurs schémas existants,</w:t>
      </w:r>
      <w:r w:rsidR="0045605C" w:rsidRPr="00133BB6">
        <w:rPr>
          <w:lang w:eastAsia="en-US"/>
        </w:rPr>
        <w:t xml:space="preserve"> dont les Schémas régionaux du climat, de l’air et de l’énergie (SRCAE), les plans régionaux de prévention et de gestion des déchets et les schémas régionaux transport/intermodalité. Il s’agit d’un document intégrateur portant sur l’aménagement, la mobilité, l’énergie et la lutte contre le changement climatique, élaboré par les Régions en coopération avec les collectivités infra. Les SRADDET fixent les orientations stratégiques et les objectifs de moyen et long termes sur chaque territoire régional en termes notamment d’atténuation et d’adaptation au changement climatique, de lutte contre la pollution atmosphérique, de maîtrise de la consommation d’énergie et de développement des énergies renouvelables et de récupération, en cohérence avec les objectifs nationaux.</w:t>
      </w:r>
    </w:p>
    <w:p w14:paraId="20F3CD02" w14:textId="79D5FBAA" w:rsidR="00A95D87" w:rsidRPr="00133BB6" w:rsidRDefault="00A95D87" w:rsidP="00A95D87">
      <w:pPr>
        <w:spacing w:before="240" w:after="240"/>
        <w:rPr>
          <w:lang w:eastAsia="en-US"/>
        </w:rPr>
      </w:pPr>
      <w:r w:rsidRPr="00133BB6">
        <w:rPr>
          <w:lang w:eastAsia="en-US"/>
        </w:rPr>
        <w:t>Bien que décentralisée, l’élaboration du SRADDET inclut des phases de concertation avec l’État, les collectivités et groupement de collectivités principalement concernés ainsi que les EPCI.</w:t>
      </w:r>
    </w:p>
    <w:p w14:paraId="1D2F2BB3" w14:textId="6A539353" w:rsidR="00605E4A" w:rsidRPr="00133BB6" w:rsidRDefault="00605E4A" w:rsidP="00A95D87">
      <w:pPr>
        <w:spacing w:before="240" w:after="240"/>
        <w:rPr>
          <w:lang w:eastAsia="en-US"/>
        </w:rPr>
      </w:pPr>
      <w:r w:rsidRPr="00133BB6">
        <w:rPr>
          <w:lang w:eastAsia="en-US"/>
        </w:rPr>
        <w:t>Dans les départements d’Outre-mer, le schéma d’aménagement régional (SAR) est l'outil principal de planification de l'aménagement du territoire pour ce qui relève de la planification bas-carbone.</w:t>
      </w:r>
    </w:p>
    <w:p w14:paraId="2347D45C" w14:textId="7F71C0A1" w:rsidR="00605E4A" w:rsidRPr="00133BB6" w:rsidRDefault="00605E4A" w:rsidP="00A95D87">
      <w:pPr>
        <w:spacing w:before="240" w:after="240"/>
        <w:rPr>
          <w:lang w:eastAsia="en-US"/>
        </w:rPr>
      </w:pPr>
      <w:r w:rsidRPr="00133BB6">
        <w:rPr>
          <w:lang w:eastAsia="en-US"/>
        </w:rPr>
        <w:t xml:space="preserve">Les SAR et SRADDET </w:t>
      </w:r>
      <w:r w:rsidRPr="00133BB6">
        <w:t>doivent notamment prendre en compte la stratégie nationale bas-carbone</w:t>
      </w:r>
      <w:r w:rsidRPr="00133BB6">
        <w:rPr>
          <w:rFonts w:ascii="Calibri" w:hAnsi="Calibri" w:cs="Calibri"/>
        </w:rPr>
        <w:t> </w:t>
      </w:r>
      <w:r w:rsidRPr="00133BB6">
        <w:t>(SNBC).</w:t>
      </w:r>
    </w:p>
    <w:p w14:paraId="766151A3" w14:textId="5834F4F1" w:rsidR="00E77DC7" w:rsidRPr="00133BB6" w:rsidRDefault="00386BAA" w:rsidP="00386BAA">
      <w:pPr>
        <w:spacing w:before="240" w:after="240"/>
        <w:rPr>
          <w:lang w:eastAsia="en-US"/>
        </w:rPr>
      </w:pPr>
      <w:r w:rsidRPr="00133BB6">
        <w:rPr>
          <w:lang w:eastAsia="en-US"/>
        </w:rPr>
        <w:t xml:space="preserve">Les PCAET remplacent les anciens Plan climat énergie territoriaux (PCET). Leur réalisation est obligatoire pour les intercommunalités de plus de 20 000 habitants existant au </w:t>
      </w:r>
      <w:r w:rsidR="006518EF" w:rsidRPr="009F4180">
        <w:t>1</w:t>
      </w:r>
      <w:r w:rsidR="006518EF" w:rsidRPr="007F47EF">
        <w:rPr>
          <w:vertAlign w:val="superscript"/>
        </w:rPr>
        <w:t>er</w:t>
      </w:r>
      <w:r w:rsidRPr="00133BB6">
        <w:rPr>
          <w:lang w:eastAsia="en-US"/>
        </w:rPr>
        <w:t xml:space="preserve"> janvier 2017. Jusqu’à fin 2016, la réalisation des anciens PCET ne concernait que </w:t>
      </w:r>
      <w:r w:rsidR="009A642D" w:rsidRPr="00133BB6">
        <w:rPr>
          <w:lang w:eastAsia="en-US"/>
        </w:rPr>
        <w:t xml:space="preserve">les collectivités de plus de 50 </w:t>
      </w:r>
      <w:r w:rsidRPr="00133BB6">
        <w:rPr>
          <w:lang w:eastAsia="en-US"/>
        </w:rPr>
        <w:t>000 habitants. Le PCAET est un outil d’animation du territoire qui définit les objectifs stratégiques et opérationnels afin d’atténuer le changement climatique, de s’y adapter, de développer les énergies renouvelables et de maîtriser la consommation d’énergie, en cohérence avec les orientations nationales et régionales. Il comprend un diagnostic, une stratégie et des objectifs chiffrés, un programme d’actions, et un dispositif de suivi et d’évaluation</w:t>
      </w:r>
      <w:r w:rsidR="009A642D" w:rsidRPr="00133BB6">
        <w:rPr>
          <w:rStyle w:val="FootnoteReference"/>
          <w:lang w:eastAsia="en-US"/>
        </w:rPr>
        <w:footnoteReference w:id="20"/>
      </w:r>
      <w:r w:rsidRPr="00133BB6">
        <w:rPr>
          <w:lang w:eastAsia="en-US"/>
        </w:rPr>
        <w:t>.</w:t>
      </w:r>
    </w:p>
    <w:p w14:paraId="2138044D" w14:textId="2284121A" w:rsidR="00E77DC7" w:rsidRPr="00133BB6" w:rsidRDefault="00E77DC7" w:rsidP="003F57EA">
      <w:pPr>
        <w:pStyle w:val="Titre3Niveau3"/>
        <w:rPr>
          <w:lang w:eastAsia="en-US"/>
        </w:rPr>
      </w:pPr>
      <w:bookmarkStart w:id="449" w:name="_Toc138342000"/>
      <w:r w:rsidRPr="00133BB6">
        <w:rPr>
          <w:lang w:eastAsia="en-US"/>
        </w:rPr>
        <w:t>Les fondements de la politique climatique</w:t>
      </w:r>
      <w:bookmarkEnd w:id="449"/>
    </w:p>
    <w:p w14:paraId="3A831A8A" w14:textId="0CB8802A" w:rsidR="00070E9E" w:rsidRPr="00133BB6" w:rsidRDefault="00070E9E" w:rsidP="00070E9E">
      <w:pPr>
        <w:spacing w:before="240" w:after="240"/>
        <w:rPr>
          <w:lang w:eastAsia="en-US"/>
        </w:rPr>
      </w:pPr>
      <w:r w:rsidRPr="00133BB6">
        <w:rPr>
          <w:lang w:eastAsia="en-US"/>
        </w:rPr>
        <w:t>La politique en matière de réduction des émissions de gaz à effet de serre de la France s’est renforcée au cours des dernières années.</w:t>
      </w:r>
    </w:p>
    <w:p w14:paraId="1D19754C" w14:textId="3265BAEC" w:rsidR="00070E9E" w:rsidRPr="00133BB6" w:rsidRDefault="00070E9E" w:rsidP="00070E9E">
      <w:pPr>
        <w:spacing w:before="240" w:after="240"/>
        <w:rPr>
          <w:lang w:eastAsia="en-US"/>
        </w:rPr>
      </w:pPr>
      <w:r w:rsidRPr="00133BB6">
        <w:rPr>
          <w:lang w:eastAsia="en-US"/>
        </w:rPr>
        <w:t>Au cours des années 2000, la définition des politiques de lutte contre le changement climatique s’est appuyée sur des Plans Climats successifs.</w:t>
      </w:r>
    </w:p>
    <w:p w14:paraId="03C0CBC0" w14:textId="3C5C8B78" w:rsidR="00070E9E" w:rsidRPr="00133BB6" w:rsidRDefault="00070E9E" w:rsidP="00070E9E">
      <w:pPr>
        <w:spacing w:before="240" w:after="240"/>
        <w:rPr>
          <w:lang w:eastAsia="en-US"/>
        </w:rPr>
      </w:pPr>
      <w:r w:rsidRPr="00133BB6">
        <w:rPr>
          <w:lang w:eastAsia="en-US"/>
        </w:rPr>
        <w:t>En 2009 et 2010, via les lois Grenelle I et II, la France s’est engagée à diviser par quatre ses émissions de gaz à effet de serre en 2050 par rapport à leur niveau de 1990 (facteur 4).</w:t>
      </w:r>
    </w:p>
    <w:p w14:paraId="455F593A" w14:textId="02A5ABF4" w:rsidR="00070E9E" w:rsidRPr="00133BB6" w:rsidRDefault="00070E9E" w:rsidP="00070E9E">
      <w:pPr>
        <w:spacing w:before="240" w:after="240"/>
        <w:rPr>
          <w:lang w:eastAsia="en-US"/>
        </w:rPr>
      </w:pPr>
      <w:r w:rsidRPr="00133BB6">
        <w:rPr>
          <w:lang w:eastAsia="en-US"/>
        </w:rPr>
        <w:t>En 2015, la loi sur la transition énergétique pour la croissance verte (LTECV) a défini un objectif de réduction de 40</w:t>
      </w:r>
      <w:r w:rsidR="006518EF">
        <w:rPr>
          <w:lang w:eastAsia="en-US"/>
        </w:rPr>
        <w:t>%</w:t>
      </w:r>
      <w:r w:rsidRPr="00133BB6">
        <w:rPr>
          <w:lang w:eastAsia="en-US"/>
        </w:rPr>
        <w:t xml:space="preserve"> des émissions de gaz à effet de serre à horizon 2030 par rapport à 1990 et confirmé le « facteur 4 ». La LTECV a par ailleurs instauré la première Stratégie Nationale Bas-Carbone (SNBC) qui définit les orientations en matière de lutte contre le changement climatique ainsi que des budgets carbone, plafonds d’émission à ne pas dépasser, définis sur des périodes de cinq ans par décret. La première SNBC a été publiée en 2015.</w:t>
      </w:r>
    </w:p>
    <w:p w14:paraId="439282F3" w14:textId="28C2606C" w:rsidR="00C20383" w:rsidRPr="00C20383" w:rsidRDefault="00C20383" w:rsidP="00C20383">
      <w:pPr>
        <w:spacing w:before="240" w:after="240"/>
        <w:rPr>
          <w:lang w:eastAsia="en-US"/>
        </w:rPr>
      </w:pPr>
      <w:r w:rsidRPr="00C20383">
        <w:rPr>
          <w:lang w:eastAsia="en-US"/>
        </w:rPr>
        <w:t>La</w:t>
      </w:r>
      <w:r w:rsidRPr="00C20383">
        <w:rPr>
          <w:b/>
          <w:lang w:eastAsia="en-US"/>
        </w:rPr>
        <w:t xml:space="preserve"> loi du 8 novembre 2019 relative à l’énergie et au climat (LEC</w:t>
      </w:r>
      <w:r w:rsidRPr="00C20383">
        <w:rPr>
          <w:lang w:eastAsia="en-US"/>
        </w:rPr>
        <w:t xml:space="preserve">) </w:t>
      </w:r>
      <w:r w:rsidRPr="00C20383">
        <w:rPr>
          <w:lang w:val="fr" w:eastAsia="en-US"/>
        </w:rPr>
        <w:t>a inscrit dans la loi l’objectif de neutralité carbone à horizon 2050 en précisant que les émissions d’origine anthropique doivent être divisées par un facteur d’au moins 6, les émissions résiduelles devant être compensées par des absorptions d’origine anthropique. Elle confirme l’objectif de réduction des émissions de 40</w:t>
      </w:r>
      <w:r w:rsidR="006518EF">
        <w:rPr>
          <w:lang w:val="fr" w:eastAsia="en-US"/>
        </w:rPr>
        <w:t>%</w:t>
      </w:r>
      <w:r w:rsidRPr="00C20383">
        <w:rPr>
          <w:lang w:val="fr" w:eastAsia="en-US"/>
        </w:rPr>
        <w:t xml:space="preserve"> d’ici à 2030. Elle instaure par ailleurs un ensemble de mesures couvrant différents domaines de la transition énergétique, notamment concernant la lutte contre les passoires thermiques dans le bâtiment mais aussi la création ou la révision d’outils de pilotage, de gouvernance et d’évaluation de la politique nationale sur le climat.</w:t>
      </w:r>
    </w:p>
    <w:p w14:paraId="66B68741" w14:textId="43F9CC3A" w:rsidR="00C20383" w:rsidRPr="00C20383" w:rsidRDefault="00C20383" w:rsidP="00C20383">
      <w:pPr>
        <w:spacing w:before="240" w:after="240"/>
        <w:rPr>
          <w:lang w:eastAsia="en-US"/>
        </w:rPr>
      </w:pPr>
      <w:r w:rsidRPr="00C20383">
        <w:rPr>
          <w:lang w:eastAsia="en-US"/>
        </w:rPr>
        <w:t xml:space="preserve">La deuxième </w:t>
      </w:r>
      <w:r w:rsidRPr="00C20383">
        <w:rPr>
          <w:b/>
          <w:lang w:eastAsia="en-US"/>
        </w:rPr>
        <w:t>Stratégie Nationale Bas-Carbone (SNBC)</w:t>
      </w:r>
      <w:r w:rsidRPr="00C20383">
        <w:rPr>
          <w:lang w:eastAsia="en-US"/>
        </w:rPr>
        <w:t xml:space="preserve"> a été adoptée par le décret n° 2020-457 du 21 avril 2020. Cette 2ème SNBC vise l’atteinte de la neutralité carbone en 2050 en conservant le point de passage intermédiaire de 40</w:t>
      </w:r>
      <w:r w:rsidR="006518EF">
        <w:rPr>
          <w:lang w:eastAsia="en-US"/>
        </w:rPr>
        <w:t>%</w:t>
      </w:r>
      <w:r w:rsidRPr="00C20383">
        <w:rPr>
          <w:lang w:eastAsia="en-US"/>
        </w:rPr>
        <w:t xml:space="preserve"> en 2030 par rapport à 1990. </w:t>
      </w:r>
    </w:p>
    <w:p w14:paraId="4AC345E9" w14:textId="50139154" w:rsidR="00070E9E" w:rsidRDefault="00C20383" w:rsidP="00070E9E">
      <w:pPr>
        <w:spacing w:before="240" w:after="240"/>
        <w:rPr>
          <w:lang w:eastAsia="en-US"/>
        </w:rPr>
      </w:pPr>
      <w:r w:rsidRPr="00C20383">
        <w:rPr>
          <w:lang w:eastAsia="en-US"/>
        </w:rPr>
        <w:t>Les orientations sectorielles de la SNBC-2 ont été depuis, traduites au niveau législatif par des textes structurants, engageant des évolutions de long terme dans chaque secteur émetteur de GES en France</w:t>
      </w:r>
      <w:r w:rsidRPr="00C20383">
        <w:rPr>
          <w:rFonts w:ascii="Calibri" w:hAnsi="Calibri" w:cs="Calibri"/>
          <w:lang w:eastAsia="en-US"/>
        </w:rPr>
        <w:t> </w:t>
      </w:r>
      <w:r w:rsidRPr="00A47B71">
        <w:rPr>
          <w:lang w:val="fr" w:eastAsia="en-US"/>
        </w:rPr>
        <w:t>: loi d’orientation des mobilités, loi relative à la lutte contre le gaspillage et à l’économie circulaire)</w:t>
      </w:r>
      <w:r w:rsidRPr="00C20383">
        <w:rPr>
          <w:lang w:eastAsia="en-US"/>
        </w:rPr>
        <w:t>, loi climat et résilience</w:t>
      </w:r>
      <w:r w:rsidR="006C6990">
        <w:rPr>
          <w:lang w:eastAsia="en-US"/>
        </w:rPr>
        <w:t xml:space="preserve"> (cf. Chapitre 1 – A.2 Evolutions récentes)</w:t>
      </w:r>
      <w:r w:rsidRPr="00C20383">
        <w:rPr>
          <w:lang w:eastAsia="en-US"/>
        </w:rPr>
        <w:t>.</w:t>
      </w:r>
      <w:r w:rsidR="00070E9E" w:rsidRPr="00C20383">
        <w:rPr>
          <w:lang w:eastAsia="en-US"/>
        </w:rPr>
        <w:t xml:space="preserve"> </w:t>
      </w:r>
    </w:p>
    <w:p w14:paraId="0B40FA5B" w14:textId="6334EC6E" w:rsidR="00C20383" w:rsidRDefault="00C20383" w:rsidP="00070E9E">
      <w:pPr>
        <w:spacing w:before="240" w:after="240"/>
        <w:rPr>
          <w:lang w:eastAsia="en-US"/>
        </w:rPr>
      </w:pPr>
    </w:p>
    <w:tbl>
      <w:tblPr>
        <w:tblStyle w:val="GridTable5Dark-Accent4"/>
        <w:tblW w:w="9588" w:type="dxa"/>
        <w:tblLook w:val="04A0" w:firstRow="1" w:lastRow="0" w:firstColumn="1" w:lastColumn="0" w:noHBand="0" w:noVBand="1"/>
      </w:tblPr>
      <w:tblGrid>
        <w:gridCol w:w="2689"/>
        <w:gridCol w:w="2299"/>
        <w:gridCol w:w="2300"/>
        <w:gridCol w:w="2300"/>
      </w:tblGrid>
      <w:tr w:rsidR="00C20383" w14:paraId="1A834789" w14:textId="77777777" w:rsidTr="00A47B71">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89" w:type="dxa"/>
          </w:tcPr>
          <w:p w14:paraId="6E7159EA" w14:textId="6403892B" w:rsidR="00C20383" w:rsidRDefault="00C20383" w:rsidP="00A845C2">
            <w:pPr>
              <w:jc w:val="center"/>
              <w:rPr>
                <w:lang w:eastAsia="en-US"/>
              </w:rPr>
            </w:pPr>
            <w:r>
              <w:rPr>
                <w:lang w:eastAsia="en-US"/>
              </w:rPr>
              <w:t xml:space="preserve">Émissions annuelles moyennes (en Mt </w:t>
            </w:r>
            <w:r w:rsidR="007F09F7">
              <w:t>CO</w:t>
            </w:r>
            <w:r w:rsidR="007F09F7" w:rsidRPr="007F09F7">
              <w:rPr>
                <w:vertAlign w:val="subscript"/>
              </w:rPr>
              <w:t>2</w:t>
            </w:r>
            <w:r w:rsidR="004F1EC8" w:rsidRPr="004F1EC8">
              <w:rPr>
                <w:vertAlign w:val="subscript"/>
                <w:lang w:eastAsia="en-US"/>
              </w:rPr>
              <w:t>e</w:t>
            </w:r>
            <w:r>
              <w:rPr>
                <w:lang w:eastAsia="en-US"/>
              </w:rPr>
              <w:t>)</w:t>
            </w:r>
          </w:p>
        </w:tc>
        <w:tc>
          <w:tcPr>
            <w:tcW w:w="2299" w:type="dxa"/>
          </w:tcPr>
          <w:p w14:paraId="0D935594" w14:textId="77777777" w:rsidR="00C20383" w:rsidRDefault="00C20383" w:rsidP="00A845C2">
            <w:pPr>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2</w:t>
            </w:r>
            <w:r w:rsidRPr="000D29EA">
              <w:rPr>
                <w:vertAlign w:val="superscript"/>
                <w:lang w:eastAsia="en-US"/>
              </w:rPr>
              <w:t>ème</w:t>
            </w:r>
            <w:r>
              <w:rPr>
                <w:lang w:eastAsia="en-US"/>
              </w:rPr>
              <w:t xml:space="preserve"> budget carbone</w:t>
            </w:r>
          </w:p>
        </w:tc>
        <w:tc>
          <w:tcPr>
            <w:tcW w:w="2300" w:type="dxa"/>
          </w:tcPr>
          <w:p w14:paraId="6846D412" w14:textId="77777777" w:rsidR="00C20383" w:rsidRDefault="00C20383" w:rsidP="00A845C2">
            <w:pPr>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3</w:t>
            </w:r>
            <w:r w:rsidRPr="000D29EA">
              <w:rPr>
                <w:vertAlign w:val="superscript"/>
                <w:lang w:eastAsia="en-US"/>
              </w:rPr>
              <w:t>ème</w:t>
            </w:r>
            <w:r>
              <w:rPr>
                <w:lang w:eastAsia="en-US"/>
              </w:rPr>
              <w:t xml:space="preserve"> budget carbone</w:t>
            </w:r>
          </w:p>
        </w:tc>
        <w:tc>
          <w:tcPr>
            <w:tcW w:w="2300" w:type="dxa"/>
          </w:tcPr>
          <w:p w14:paraId="0042B76C" w14:textId="77777777" w:rsidR="00C20383" w:rsidRDefault="00C20383" w:rsidP="00A845C2">
            <w:pPr>
              <w:jc w:val="center"/>
              <w:cnfStyle w:val="100000000000" w:firstRow="1" w:lastRow="0" w:firstColumn="0" w:lastColumn="0" w:oddVBand="0" w:evenVBand="0" w:oddHBand="0" w:evenHBand="0" w:firstRowFirstColumn="0" w:firstRowLastColumn="0" w:lastRowFirstColumn="0" w:lastRowLastColumn="0"/>
              <w:rPr>
                <w:lang w:eastAsia="en-US"/>
              </w:rPr>
            </w:pPr>
            <w:r>
              <w:rPr>
                <w:lang w:eastAsia="en-US"/>
              </w:rPr>
              <w:t>4</w:t>
            </w:r>
            <w:r w:rsidRPr="000D29EA">
              <w:rPr>
                <w:vertAlign w:val="superscript"/>
                <w:lang w:eastAsia="en-US"/>
              </w:rPr>
              <w:t>ème</w:t>
            </w:r>
            <w:r>
              <w:rPr>
                <w:lang w:eastAsia="en-US"/>
              </w:rPr>
              <w:t xml:space="preserve"> budget carbone</w:t>
            </w:r>
          </w:p>
        </w:tc>
      </w:tr>
      <w:tr w:rsidR="00C20383" w14:paraId="073CAF8C" w14:textId="77777777" w:rsidTr="00A47B71">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2689" w:type="dxa"/>
          </w:tcPr>
          <w:p w14:paraId="395C0712" w14:textId="77777777" w:rsidR="00C20383" w:rsidRDefault="00C20383" w:rsidP="00A845C2">
            <w:pPr>
              <w:jc w:val="center"/>
              <w:rPr>
                <w:lang w:eastAsia="en-US"/>
              </w:rPr>
            </w:pPr>
            <w:r>
              <w:rPr>
                <w:lang w:eastAsia="en-US"/>
              </w:rPr>
              <w:t>Période</w:t>
            </w:r>
          </w:p>
        </w:tc>
        <w:tc>
          <w:tcPr>
            <w:tcW w:w="2299" w:type="dxa"/>
          </w:tcPr>
          <w:p w14:paraId="1A881D82" w14:textId="77777777" w:rsidR="00C20383" w:rsidRDefault="00C20383" w:rsidP="00A845C2">
            <w:pPr>
              <w:jc w:val="center"/>
              <w:cnfStyle w:val="000000100000" w:firstRow="0" w:lastRow="0" w:firstColumn="0" w:lastColumn="0" w:oddVBand="0" w:evenVBand="0" w:oddHBand="1" w:evenHBand="0" w:firstRowFirstColumn="0" w:firstRowLastColumn="0" w:lastRowFirstColumn="0" w:lastRowLastColumn="0"/>
              <w:rPr>
                <w:lang w:eastAsia="en-US"/>
              </w:rPr>
            </w:pPr>
            <w:r>
              <w:rPr>
                <w:lang w:eastAsia="en-US"/>
              </w:rPr>
              <w:t>2019-2023</w:t>
            </w:r>
          </w:p>
        </w:tc>
        <w:tc>
          <w:tcPr>
            <w:tcW w:w="2300" w:type="dxa"/>
          </w:tcPr>
          <w:p w14:paraId="72E0B35B" w14:textId="77777777" w:rsidR="00C20383" w:rsidRDefault="00C20383" w:rsidP="00A845C2">
            <w:pPr>
              <w:jc w:val="center"/>
              <w:cnfStyle w:val="000000100000" w:firstRow="0" w:lastRow="0" w:firstColumn="0" w:lastColumn="0" w:oddVBand="0" w:evenVBand="0" w:oddHBand="1" w:evenHBand="0" w:firstRowFirstColumn="0" w:firstRowLastColumn="0" w:lastRowFirstColumn="0" w:lastRowLastColumn="0"/>
              <w:rPr>
                <w:lang w:eastAsia="en-US"/>
              </w:rPr>
            </w:pPr>
            <w:r>
              <w:rPr>
                <w:lang w:eastAsia="en-US"/>
              </w:rPr>
              <w:t>2024-2028</w:t>
            </w:r>
          </w:p>
        </w:tc>
        <w:tc>
          <w:tcPr>
            <w:tcW w:w="2300" w:type="dxa"/>
          </w:tcPr>
          <w:p w14:paraId="314D8D91" w14:textId="77777777" w:rsidR="00C20383" w:rsidRDefault="00C20383" w:rsidP="00A845C2">
            <w:pPr>
              <w:jc w:val="center"/>
              <w:cnfStyle w:val="000000100000" w:firstRow="0" w:lastRow="0" w:firstColumn="0" w:lastColumn="0" w:oddVBand="0" w:evenVBand="0" w:oddHBand="1" w:evenHBand="0" w:firstRowFirstColumn="0" w:firstRowLastColumn="0" w:lastRowFirstColumn="0" w:lastRowLastColumn="0"/>
              <w:rPr>
                <w:lang w:eastAsia="en-US"/>
              </w:rPr>
            </w:pPr>
            <w:r>
              <w:rPr>
                <w:lang w:eastAsia="en-US"/>
              </w:rPr>
              <w:t>2029-2033</w:t>
            </w:r>
          </w:p>
        </w:tc>
      </w:tr>
      <w:tr w:rsidR="00C20383" w14:paraId="4B829DA2" w14:textId="77777777" w:rsidTr="00A47B71">
        <w:trPr>
          <w:trHeight w:val="199"/>
        </w:trPr>
        <w:tc>
          <w:tcPr>
            <w:cnfStyle w:val="001000000000" w:firstRow="0" w:lastRow="0" w:firstColumn="1" w:lastColumn="0" w:oddVBand="0" w:evenVBand="0" w:oddHBand="0" w:evenHBand="0" w:firstRowFirstColumn="0" w:firstRowLastColumn="0" w:lastRowFirstColumn="0" w:lastRowLastColumn="0"/>
            <w:tcW w:w="2689" w:type="dxa"/>
          </w:tcPr>
          <w:p w14:paraId="3E27465B" w14:textId="77777777" w:rsidR="00C20383" w:rsidRDefault="00C20383" w:rsidP="00A845C2">
            <w:pPr>
              <w:jc w:val="center"/>
              <w:rPr>
                <w:lang w:eastAsia="en-US"/>
              </w:rPr>
            </w:pPr>
            <w:r>
              <w:rPr>
                <w:lang w:eastAsia="en-US"/>
              </w:rPr>
              <w:t>Total hors UTCATF</w:t>
            </w:r>
          </w:p>
        </w:tc>
        <w:tc>
          <w:tcPr>
            <w:tcW w:w="2299" w:type="dxa"/>
            <w:vAlign w:val="center"/>
          </w:tcPr>
          <w:p w14:paraId="03C2E941" w14:textId="77777777" w:rsidR="00C20383" w:rsidRDefault="00C20383" w:rsidP="00A845C2">
            <w:pPr>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421</w:t>
            </w:r>
          </w:p>
        </w:tc>
        <w:tc>
          <w:tcPr>
            <w:tcW w:w="2300" w:type="dxa"/>
            <w:vAlign w:val="center"/>
          </w:tcPr>
          <w:p w14:paraId="677B0E12" w14:textId="77777777" w:rsidR="00C20383" w:rsidRDefault="00C20383" w:rsidP="00A845C2">
            <w:pPr>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358</w:t>
            </w:r>
          </w:p>
        </w:tc>
        <w:tc>
          <w:tcPr>
            <w:tcW w:w="2300" w:type="dxa"/>
            <w:vAlign w:val="center"/>
          </w:tcPr>
          <w:p w14:paraId="76D7AFDD" w14:textId="77777777" w:rsidR="00C20383" w:rsidRDefault="00C20383" w:rsidP="00A845C2">
            <w:pPr>
              <w:jc w:val="center"/>
              <w:cnfStyle w:val="000000000000" w:firstRow="0" w:lastRow="0" w:firstColumn="0" w:lastColumn="0" w:oddVBand="0" w:evenVBand="0" w:oddHBand="0" w:evenHBand="0" w:firstRowFirstColumn="0" w:firstRowLastColumn="0" w:lastRowFirstColumn="0" w:lastRowLastColumn="0"/>
              <w:rPr>
                <w:lang w:eastAsia="en-US"/>
              </w:rPr>
            </w:pPr>
            <w:r>
              <w:rPr>
                <w:lang w:eastAsia="en-US"/>
              </w:rPr>
              <w:t>299</w:t>
            </w:r>
          </w:p>
        </w:tc>
      </w:tr>
    </w:tbl>
    <w:p w14:paraId="33D6BF79" w14:textId="6A2DAC01" w:rsidR="00C20383" w:rsidRDefault="00C20383" w:rsidP="0045532B">
      <w:pPr>
        <w:pStyle w:val="Caption"/>
      </w:pPr>
      <w:bookmarkStart w:id="450" w:name="_Toc123916501"/>
      <w:r>
        <w:t xml:space="preserve">Tableau </w:t>
      </w:r>
      <w:fldSimple w:instr=" SEQ Tableau \* ARABIC ">
        <w:r w:rsidR="00AB51D9">
          <w:rPr>
            <w:noProof/>
          </w:rPr>
          <w:t>9</w:t>
        </w:r>
      </w:fldSimple>
      <w:r>
        <w:t> : 2</w:t>
      </w:r>
      <w:r w:rsidRPr="00AE7BDB">
        <w:rPr>
          <w:vertAlign w:val="superscript"/>
        </w:rPr>
        <w:t>e</w:t>
      </w:r>
      <w:r>
        <w:t xml:space="preserve"> (2019-2023), 3</w:t>
      </w:r>
      <w:r w:rsidRPr="00AE7BDB">
        <w:rPr>
          <w:vertAlign w:val="superscript"/>
        </w:rPr>
        <w:t>e</w:t>
      </w:r>
      <w:r>
        <w:t xml:space="preserve"> (2024-2028) et 4</w:t>
      </w:r>
      <w:r w:rsidRPr="00AE7BDB">
        <w:rPr>
          <w:vertAlign w:val="superscript"/>
        </w:rPr>
        <w:t>e</w:t>
      </w:r>
      <w:r>
        <w:t xml:space="preserve"> (2029-2033) budgets carbone</w:t>
      </w:r>
      <w:bookmarkEnd w:id="450"/>
    </w:p>
    <w:p w14:paraId="507C53C8" w14:textId="77777777" w:rsidR="00C20383" w:rsidRDefault="00C20383" w:rsidP="0045532B">
      <w:pPr>
        <w:pStyle w:val="Caption"/>
      </w:pPr>
      <w:r>
        <w:t>Source : MTE-DGEC</w:t>
      </w:r>
    </w:p>
    <w:p w14:paraId="6CE61C80" w14:textId="611CB85E" w:rsidR="00C20383" w:rsidRPr="00FE540F" w:rsidRDefault="00C20383" w:rsidP="00C20383">
      <w:pPr>
        <w:pStyle w:val="NormalWeb"/>
        <w:rPr>
          <w:lang w:eastAsia="en-US"/>
        </w:rPr>
      </w:pPr>
      <w:r w:rsidRPr="00FE540F">
        <w:rPr>
          <w:rFonts w:ascii="Marianne" w:hAnsi="Marianne"/>
          <w:lang w:eastAsia="en-US"/>
        </w:rPr>
        <w:t>Pour mémoire</w:t>
      </w:r>
      <w:r w:rsidRPr="00FE540F">
        <w:rPr>
          <w:rFonts w:ascii="Calibri" w:hAnsi="Calibri" w:cs="Calibri"/>
          <w:lang w:eastAsia="en-US"/>
        </w:rPr>
        <w:t> </w:t>
      </w:r>
      <w:r w:rsidRPr="00FE540F">
        <w:rPr>
          <w:rFonts w:ascii="Marianne" w:hAnsi="Marianne"/>
          <w:lang w:eastAsia="en-US"/>
        </w:rPr>
        <w:t xml:space="preserve">: Le premier budget carbone de la SNBC-1 adopté par décret en 2015, portait sur la période 2015-2018. Il a fait l’objet d’ajustements techniques en 2019 à la suite des évolutions dans la méthodologie de comptabilité des émissions de GES. Le budget ajusté figure dans la SNBC2. Le premier budget carbone ajusté s’élevait en moyenne à 442 Mt </w:t>
      </w:r>
      <w:r w:rsidR="007F09F7">
        <w:t>CO</w:t>
      </w:r>
      <w:r w:rsidR="007F09F7" w:rsidRPr="007F09F7">
        <w:rPr>
          <w:vertAlign w:val="subscript"/>
        </w:rPr>
        <w:t>2</w:t>
      </w:r>
      <w:r w:rsidRPr="00FE540F">
        <w:rPr>
          <w:rFonts w:ascii="Marianne" w:hAnsi="Marianne"/>
          <w:lang w:eastAsia="en-US"/>
        </w:rPr>
        <w:t xml:space="preserve"> eq par an, hors émissions et absorptions associées à l'usage des terres et à la foresterie.</w:t>
      </w:r>
      <w:r>
        <w:rPr>
          <w:rFonts w:ascii="Marianne" w:hAnsi="Marianne"/>
          <w:lang w:eastAsia="en-US"/>
        </w:rPr>
        <w:t xml:space="preserve"> </w:t>
      </w:r>
      <w:r w:rsidRPr="00FE540F">
        <w:rPr>
          <w:rFonts w:ascii="Marianne" w:hAnsi="Marianne"/>
          <w:lang w:eastAsia="en-US"/>
        </w:rPr>
        <w:t>Le premier budget carbone a été dépassé de 61 Mt éq</w:t>
      </w:r>
      <w:r w:rsidR="007F09F7">
        <w:t>CO</w:t>
      </w:r>
      <w:r w:rsidR="007F09F7" w:rsidRPr="007F09F7">
        <w:rPr>
          <w:vertAlign w:val="subscript"/>
        </w:rPr>
        <w:t>2</w:t>
      </w:r>
      <w:r w:rsidRPr="00FE540F">
        <w:rPr>
          <w:rFonts w:ascii="Marianne" w:hAnsi="Marianne"/>
          <w:lang w:eastAsia="en-US"/>
        </w:rPr>
        <w:t xml:space="preserve"> cumulés sur la périod</w:t>
      </w:r>
      <w:r>
        <w:rPr>
          <w:rFonts w:ascii="Marianne" w:hAnsi="Marianne"/>
          <w:lang w:eastAsia="en-US"/>
        </w:rPr>
        <w:t>e 2015-2018 (soit +3,4</w:t>
      </w:r>
      <w:r w:rsidRPr="00FE540F">
        <w:rPr>
          <w:rFonts w:ascii="Marianne" w:hAnsi="Marianne"/>
          <w:lang w:eastAsia="en-US"/>
        </w:rPr>
        <w:t>% sur l’ensemble de la période), avec un écart annuel moyen de +14%. Hors UTCATF, l</w:t>
      </w:r>
      <w:r>
        <w:rPr>
          <w:rFonts w:ascii="Marianne" w:hAnsi="Marianne"/>
          <w:lang w:eastAsia="en-US"/>
        </w:rPr>
        <w:t>es émissions ont diminué de 1,1</w:t>
      </w:r>
      <w:r w:rsidRPr="00FE540F">
        <w:rPr>
          <w:rFonts w:ascii="Marianne" w:hAnsi="Marianne"/>
          <w:lang w:eastAsia="en-US"/>
        </w:rPr>
        <w:t>% par an en moyenne entre 2015 et 2018 (par rapport à la période 2011- 2014), ce qui est inférieur à la décroissance visée par la SNBC-1 de 1,9</w:t>
      </w:r>
      <w:r w:rsidR="006518EF">
        <w:rPr>
          <w:rFonts w:ascii="Marianne" w:hAnsi="Marianne"/>
          <w:lang w:eastAsia="en-US"/>
        </w:rPr>
        <w:t>%</w:t>
      </w:r>
      <w:r w:rsidRPr="00FE540F">
        <w:rPr>
          <w:rFonts w:ascii="Marianne" w:hAnsi="Marianne"/>
          <w:lang w:eastAsia="en-US"/>
        </w:rPr>
        <w:t xml:space="preserve"> par an.</w:t>
      </w:r>
      <w:r>
        <w:rPr>
          <w:rFonts w:ascii="Marianne" w:hAnsi="Marianne"/>
          <w:lang w:eastAsia="en-US"/>
        </w:rPr>
        <w:t xml:space="preserve"> </w:t>
      </w:r>
      <w:r w:rsidRPr="00FE540F">
        <w:rPr>
          <w:rFonts w:ascii="Marianne" w:hAnsi="Marianne"/>
          <w:lang w:eastAsia="en-US"/>
        </w:rPr>
        <w:t xml:space="preserve">Les budgets sectoriels indicatifs ont été dépassés sur la période du premier budget carbone pour le transport, les bâtiments, l’agriculture et l’industrie. Ils ont été respectés pour la transformation d’énergie et les déchets. </w:t>
      </w:r>
    </w:p>
    <w:p w14:paraId="005F1E8B" w14:textId="52E053BC" w:rsidR="00C20383" w:rsidRPr="00133BB6" w:rsidRDefault="00C20383" w:rsidP="00C20383">
      <w:pPr>
        <w:spacing w:before="240" w:after="240"/>
        <w:jc w:val="center"/>
        <w:rPr>
          <w:lang w:eastAsia="en-US"/>
        </w:rPr>
      </w:pPr>
      <w:r>
        <w:rPr>
          <w:noProof/>
        </w:rPr>
        <w:drawing>
          <wp:inline distT="0" distB="0" distL="0" distR="0" wp14:anchorId="02F9293E" wp14:editId="2BAFF01D">
            <wp:extent cx="6318250" cy="2910205"/>
            <wp:effectExtent l="0" t="0" r="6350" b="4445"/>
            <wp:docPr id="28674" name="Image 28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18250" cy="2910205"/>
                    </a:xfrm>
                    <a:prstGeom prst="rect">
                      <a:avLst/>
                    </a:prstGeom>
                  </pic:spPr>
                </pic:pic>
              </a:graphicData>
            </a:graphic>
          </wp:inline>
        </w:drawing>
      </w:r>
    </w:p>
    <w:p w14:paraId="1942A7FA" w14:textId="06C4E78E" w:rsidR="00C20383" w:rsidRDefault="00C20383" w:rsidP="0045532B">
      <w:pPr>
        <w:pStyle w:val="Caption"/>
      </w:pPr>
      <w:bookmarkStart w:id="451" w:name="_Toc123916458"/>
      <w:r>
        <w:t xml:space="preserve">Figure </w:t>
      </w:r>
      <w:fldSimple w:instr=" SEQ Figure \* ARABIC ">
        <w:r w:rsidR="00AB51D9">
          <w:rPr>
            <w:noProof/>
          </w:rPr>
          <w:t>47</w:t>
        </w:r>
      </w:fldSimple>
      <w:r>
        <w:t> : Evolution historique des émissions de GES hors secteur des terres et budgets carbone jusqu’à 2033</w:t>
      </w:r>
      <w:bookmarkEnd w:id="451"/>
    </w:p>
    <w:p w14:paraId="27E2B6A6" w14:textId="54E04A9E" w:rsidR="00C20383" w:rsidRPr="00C20383" w:rsidRDefault="00C20383" w:rsidP="0045532B">
      <w:pPr>
        <w:pStyle w:val="Caption"/>
      </w:pPr>
      <w:r>
        <w:t xml:space="preserve">Source : </w:t>
      </w:r>
      <w:r w:rsidR="00652F25">
        <w:t>MTE</w:t>
      </w:r>
      <w:r>
        <w:t>-DGEC</w:t>
      </w:r>
    </w:p>
    <w:p w14:paraId="39B2335D" w14:textId="6633B810" w:rsidR="00603F20" w:rsidRPr="00603F20" w:rsidRDefault="00D1605E" w:rsidP="0076544A">
      <w:pPr>
        <w:jc w:val="center"/>
      </w:pPr>
      <w:r>
        <w:rPr>
          <w:noProof/>
        </w:rPr>
        <w:drawing>
          <wp:inline distT="0" distB="0" distL="0" distR="0" wp14:anchorId="692939AB" wp14:editId="33E89007">
            <wp:extent cx="6318250" cy="3915693"/>
            <wp:effectExtent l="0" t="0" r="6350" b="8890"/>
            <wp:docPr id="23" name="Image 23" descr="https://www.ecologie.gouv.fr/sites/default/files/Trajectoire%20et%20budgets%20carb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logie.gouv.fr/sites/default/files/Trajectoire%20et%20budgets%20carbon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18250" cy="3915693"/>
                    </a:xfrm>
                    <a:prstGeom prst="rect">
                      <a:avLst/>
                    </a:prstGeom>
                    <a:noFill/>
                    <a:ln>
                      <a:noFill/>
                    </a:ln>
                  </pic:spPr>
                </pic:pic>
              </a:graphicData>
            </a:graphic>
          </wp:inline>
        </w:drawing>
      </w:r>
    </w:p>
    <w:p w14:paraId="2CBF80A5" w14:textId="6006D3FF" w:rsidR="00603F20" w:rsidRDefault="00603F20" w:rsidP="0045532B">
      <w:pPr>
        <w:pStyle w:val="Caption"/>
        <w:rPr>
          <w:noProof/>
        </w:rPr>
      </w:pPr>
      <w:bookmarkStart w:id="452" w:name="_Toc123916459"/>
      <w:r>
        <w:t xml:space="preserve">Figure </w:t>
      </w:r>
      <w:fldSimple w:instr=" SEQ Figure \* ARABIC ">
        <w:r w:rsidR="00AB51D9">
          <w:rPr>
            <w:noProof/>
          </w:rPr>
          <w:t>48</w:t>
        </w:r>
      </w:fldSimple>
      <w:r w:rsidR="00D1605E">
        <w:rPr>
          <w:noProof/>
        </w:rPr>
        <w:t xml:space="preserve"> </w:t>
      </w:r>
      <w:r>
        <w:t>: Trajectoire linéaire de réduction d’émissions pour atteindre la neutralité en 2050 et budgets carbone associés</w:t>
      </w:r>
      <w:bookmarkEnd w:id="452"/>
    </w:p>
    <w:p w14:paraId="114884C3" w14:textId="6DAD8129" w:rsidR="00734FD3" w:rsidRDefault="00603F20" w:rsidP="0045532B">
      <w:pPr>
        <w:pStyle w:val="Caption"/>
        <w:rPr>
          <w:lang w:eastAsia="en-US"/>
        </w:rPr>
      </w:pPr>
      <w:r>
        <w:t>Source : MTE-DGEC</w:t>
      </w:r>
    </w:p>
    <w:p w14:paraId="32126FB4" w14:textId="78132392" w:rsidR="00E77DC7" w:rsidRPr="00133BB6" w:rsidRDefault="00E77DC7" w:rsidP="00E77DC7">
      <w:pPr>
        <w:spacing w:before="240" w:after="240"/>
        <w:rPr>
          <w:lang w:eastAsia="en-US"/>
        </w:rPr>
      </w:pPr>
      <w:r w:rsidRPr="00F91089">
        <w:rPr>
          <w:lang w:eastAsia="en-US"/>
        </w:rPr>
        <w:t xml:space="preserve">La SNBC est conforme à la décision 1/COP16 de Cancun qui a incité, en 2010, chaque pays développé Partie à la CCNUCC à se doter d'une stratégie de développement à faible intensité de carbone (ou stratégie bas-carbone) devant présenter et évaluer les orientations et mesures contribuant à l'atteinte des objectifs nationaux de long terme en matière </w:t>
      </w:r>
      <w:r w:rsidRPr="00133BB6">
        <w:rPr>
          <w:lang w:eastAsia="en-US"/>
        </w:rPr>
        <w:t>d’atténuation du changement climatique et aux dispositions de l’article 4, paragraphe 19 de l’Accord de Paris.</w:t>
      </w:r>
    </w:p>
    <w:p w14:paraId="43A7035E" w14:textId="1C2B9AF7" w:rsidR="00F91089" w:rsidRPr="00133BB6" w:rsidRDefault="000351CE" w:rsidP="00E77DC7">
      <w:pPr>
        <w:spacing w:before="240" w:after="240"/>
        <w:rPr>
          <w:lang w:eastAsia="en-US"/>
        </w:rPr>
      </w:pPr>
      <w:r>
        <w:rPr>
          <w:lang w:eastAsia="en-US"/>
        </w:rPr>
        <w:t>L</w:t>
      </w:r>
      <w:r w:rsidR="00F91089" w:rsidRPr="00133BB6">
        <w:rPr>
          <w:lang w:eastAsia="en-US"/>
        </w:rPr>
        <w:t xml:space="preserve">a SNBC </w:t>
      </w:r>
      <w:r>
        <w:rPr>
          <w:lang w:eastAsia="en-US"/>
        </w:rPr>
        <w:t>est révis</w:t>
      </w:r>
      <w:r w:rsidR="00C20383">
        <w:rPr>
          <w:lang w:eastAsia="en-US"/>
        </w:rPr>
        <w:t xml:space="preserve">ée </w:t>
      </w:r>
      <w:r w:rsidR="00F91089" w:rsidRPr="00133BB6">
        <w:rPr>
          <w:lang w:eastAsia="en-US"/>
        </w:rPr>
        <w:t>tous les 5 ans, après examen des résultats obtenus durant la période couverte par le budget carbone venant de s’achever. Ce</w:t>
      </w:r>
      <w:r w:rsidR="00F92F9B" w:rsidRPr="00133BB6">
        <w:rPr>
          <w:lang w:eastAsia="en-US"/>
        </w:rPr>
        <w:t>s révisions sont</w:t>
      </w:r>
      <w:r w:rsidR="00F91089" w:rsidRPr="00133BB6">
        <w:rPr>
          <w:lang w:eastAsia="en-US"/>
        </w:rPr>
        <w:t xml:space="preserve"> l’occasion d’ajuster la trajectoire et de définir un nouveau budget carbone, intégrant les nouvelles possibilités pour rehausser l’ambition et répondant au renforcement de l’ambition décidé lors de la COP21, en décembre 2015, et inscrit dans l’Accord de Paris.</w:t>
      </w:r>
    </w:p>
    <w:p w14:paraId="5907EA7E" w14:textId="75DE2BF7" w:rsidR="00C20383" w:rsidRPr="00A47B71" w:rsidRDefault="00C20383" w:rsidP="00C20383">
      <w:pPr>
        <w:spacing w:before="240" w:after="240"/>
        <w:rPr>
          <w:lang w:eastAsia="en-US"/>
        </w:rPr>
      </w:pPr>
      <w:r w:rsidRPr="00A47B71">
        <w:rPr>
          <w:lang w:eastAsia="en-US"/>
        </w:rPr>
        <w:t xml:space="preserve">En application de la loi climat et énergie de 2019, la prochaine révision de la SNBC doit être précédée de l’adoption d’une </w:t>
      </w:r>
      <w:r w:rsidRPr="00A47B71">
        <w:rPr>
          <w:b/>
          <w:lang w:eastAsia="en-US"/>
        </w:rPr>
        <w:t>loi de programmation énergie climat (LPEC)</w:t>
      </w:r>
      <w:r w:rsidRPr="00A47B71">
        <w:rPr>
          <w:lang w:eastAsia="en-US"/>
        </w:rPr>
        <w:t xml:space="preserve"> qui fixera les priorités d’action de la politique climat et énergétique de la </w:t>
      </w:r>
      <w:r w:rsidR="00F64B17">
        <w:rPr>
          <w:lang w:eastAsia="en-US"/>
        </w:rPr>
        <w:t xml:space="preserve">France </w:t>
      </w:r>
      <w:r w:rsidRPr="00A47B71">
        <w:rPr>
          <w:lang w:eastAsia="en-US"/>
        </w:rPr>
        <w:t>(I de l’article L. 100-1 A). Elle doit être adoptée en 2023. Elle devra préciser:</w:t>
      </w:r>
    </w:p>
    <w:p w14:paraId="1FBBC99A" w14:textId="77777777" w:rsidR="00C20383" w:rsidRPr="00A47B71" w:rsidRDefault="00C20383" w:rsidP="00BE086C">
      <w:pPr>
        <w:numPr>
          <w:ilvl w:val="0"/>
          <w:numId w:val="15"/>
        </w:numPr>
        <w:spacing w:before="240" w:after="240"/>
      </w:pPr>
      <w:r w:rsidRPr="00A47B71">
        <w:rPr>
          <w:lang w:eastAsia="en-US"/>
        </w:rPr>
        <w:t xml:space="preserve">Pour </w:t>
      </w:r>
      <w:r w:rsidRPr="00A47B71">
        <w:t>trois périodes successives de 5 ans, les objectifs de réduction des émissions de gaz à effet de serre;</w:t>
      </w:r>
    </w:p>
    <w:p w14:paraId="0231ED05" w14:textId="77777777" w:rsidR="00C20383" w:rsidRPr="00A47B71" w:rsidRDefault="00C20383" w:rsidP="00BE086C">
      <w:pPr>
        <w:numPr>
          <w:ilvl w:val="0"/>
          <w:numId w:val="15"/>
        </w:numPr>
        <w:spacing w:before="240" w:after="240"/>
        <w:rPr>
          <w:lang w:eastAsia="en-US"/>
        </w:rPr>
      </w:pPr>
      <w:r w:rsidRPr="00A47B71">
        <w:t>Pour deux</w:t>
      </w:r>
      <w:r w:rsidRPr="00A47B71">
        <w:rPr>
          <w:lang w:eastAsia="en-US"/>
        </w:rPr>
        <w:t xml:space="preserve"> périodes successives de 5 ans les objectifs:</w:t>
      </w:r>
    </w:p>
    <w:p w14:paraId="505E84A6" w14:textId="77777777" w:rsidR="00C20383" w:rsidRPr="00A47B71" w:rsidRDefault="00C20383" w:rsidP="00C20383">
      <w:pPr>
        <w:pStyle w:val="ListParagraph"/>
        <w:numPr>
          <w:ilvl w:val="1"/>
          <w:numId w:val="7"/>
        </w:numPr>
        <w:rPr>
          <w:lang w:eastAsia="en-US"/>
        </w:rPr>
      </w:pPr>
      <w:r w:rsidRPr="00A47B71">
        <w:rPr>
          <w:lang w:eastAsia="en-US"/>
        </w:rPr>
        <w:t>De réduction de la consommation énergétique finale et de réduction de la consommation énergétique primaire fossile, par énergie fossile, et les niveaux minimal et maximal des obligations de certificats d’économies d’énergie;</w:t>
      </w:r>
    </w:p>
    <w:p w14:paraId="5513B81C" w14:textId="77777777" w:rsidR="00C20383" w:rsidRPr="00A47B71" w:rsidRDefault="00C20383" w:rsidP="00C20383">
      <w:pPr>
        <w:pStyle w:val="ListParagraph"/>
        <w:numPr>
          <w:ilvl w:val="1"/>
          <w:numId w:val="7"/>
        </w:numPr>
        <w:rPr>
          <w:lang w:eastAsia="en-US"/>
        </w:rPr>
      </w:pPr>
      <w:r w:rsidRPr="00A47B71">
        <w:rPr>
          <w:lang w:eastAsia="en-US"/>
        </w:rPr>
        <w:t>De développement des énergies renouvelables pour l’électricité, la chaleur, le carburant et le gaz ainsi que l'hydrogène renouvelable et bas-carbone;</w:t>
      </w:r>
    </w:p>
    <w:p w14:paraId="708AF8EA" w14:textId="77777777" w:rsidR="00C20383" w:rsidRPr="00A47B71" w:rsidRDefault="00C20383" w:rsidP="00C20383">
      <w:pPr>
        <w:pStyle w:val="ListParagraph"/>
        <w:numPr>
          <w:ilvl w:val="1"/>
          <w:numId w:val="7"/>
        </w:numPr>
        <w:rPr>
          <w:lang w:eastAsia="en-US"/>
        </w:rPr>
      </w:pPr>
      <w:r w:rsidRPr="00A47B71">
        <w:rPr>
          <w:lang w:eastAsia="en-US"/>
        </w:rPr>
        <w:t>De diversification du mix de production d’électricité;</w:t>
      </w:r>
    </w:p>
    <w:p w14:paraId="1E7C14AF" w14:textId="77777777" w:rsidR="00C20383" w:rsidRPr="00A47B71" w:rsidRDefault="00C20383" w:rsidP="00C20383">
      <w:pPr>
        <w:pStyle w:val="ListParagraph"/>
        <w:numPr>
          <w:ilvl w:val="1"/>
          <w:numId w:val="7"/>
        </w:numPr>
        <w:rPr>
          <w:lang w:eastAsia="en-US"/>
        </w:rPr>
      </w:pPr>
      <w:r w:rsidRPr="00A47B71">
        <w:rPr>
          <w:lang w:eastAsia="en-US"/>
        </w:rPr>
        <w:t>De rénovation énergétique dans le secteur du bâtiment;</w:t>
      </w:r>
    </w:p>
    <w:p w14:paraId="193231CD" w14:textId="77777777" w:rsidR="00C20383" w:rsidRPr="00A47B71" w:rsidRDefault="00C20383" w:rsidP="00C20383">
      <w:pPr>
        <w:pStyle w:val="ListParagraph"/>
        <w:numPr>
          <w:ilvl w:val="1"/>
          <w:numId w:val="7"/>
        </w:numPr>
        <w:rPr>
          <w:lang w:eastAsia="en-US"/>
        </w:rPr>
      </w:pPr>
      <w:r w:rsidRPr="00A47B71">
        <w:rPr>
          <w:lang w:eastAsia="en-US"/>
        </w:rPr>
        <w:t>Permettant d’atteindre ou de maintenir l’autonomie énergétique des départements d’outre-mer.</w:t>
      </w:r>
    </w:p>
    <w:p w14:paraId="35AD501A" w14:textId="77777777" w:rsidR="00C20383" w:rsidRPr="00A47B71" w:rsidRDefault="00C20383" w:rsidP="00C20383">
      <w:pPr>
        <w:spacing w:before="240" w:after="240"/>
        <w:rPr>
          <w:lang w:eastAsia="en-US"/>
        </w:rPr>
      </w:pPr>
      <w:r w:rsidRPr="00A47B71">
        <w:rPr>
          <w:lang w:eastAsia="en-US"/>
        </w:rPr>
        <w:t xml:space="preserve">Les documents de planification en matière d’énergie et de climat (PPE </w:t>
      </w:r>
      <w:r w:rsidRPr="00A47B71">
        <w:rPr>
          <w:rFonts w:eastAsiaTheme="minorHAnsi"/>
          <w:lang w:eastAsia="en-US"/>
        </w:rPr>
        <w:t>(programmation pluriannuelle de l’énergie)</w:t>
      </w:r>
      <w:r w:rsidRPr="00A47B71">
        <w:rPr>
          <w:lang w:eastAsia="en-US"/>
        </w:rPr>
        <w:t xml:space="preserve"> et SNBC) devront être mis en conformité avec les objectifs inscrits dans cette loi dans un délai d’un an. </w:t>
      </w:r>
    </w:p>
    <w:p w14:paraId="54E6CBFD" w14:textId="77777777" w:rsidR="00C20383" w:rsidRPr="00A47B71" w:rsidRDefault="00C20383" w:rsidP="00C20383">
      <w:pPr>
        <w:spacing w:before="240" w:after="240"/>
        <w:rPr>
          <w:lang w:eastAsia="en-US"/>
        </w:rPr>
      </w:pPr>
      <w:r w:rsidRPr="00A47B71">
        <w:rPr>
          <w:lang w:eastAsia="en-US"/>
        </w:rPr>
        <w:t xml:space="preserve">Dans ce contexte, le gouvernement Français a </w:t>
      </w:r>
      <w:r w:rsidRPr="00A47B71">
        <w:rPr>
          <w:rFonts w:eastAsiaTheme="minorHAnsi"/>
          <w:lang w:eastAsia="en-US"/>
        </w:rPr>
        <w:t xml:space="preserve">pris le parti de </w:t>
      </w:r>
      <w:r w:rsidRPr="00A47B71">
        <w:rPr>
          <w:rFonts w:eastAsiaTheme="minorHAnsi"/>
          <w:u w:val="single"/>
          <w:lang w:eastAsia="en-US"/>
        </w:rPr>
        <w:t>regrouper cette loi et les documents de planification, qui seront adoptés à son issue</w:t>
      </w:r>
      <w:r w:rsidRPr="00A47B71">
        <w:rPr>
          <w:rFonts w:eastAsiaTheme="minorHAnsi"/>
          <w:lang w:eastAsia="en-US"/>
        </w:rPr>
        <w:t xml:space="preserve"> (en matière d’atténuation</w:t>
      </w:r>
      <w:r w:rsidRPr="00A47B71">
        <w:rPr>
          <w:rFonts w:ascii="Calibri" w:eastAsiaTheme="minorHAnsi" w:hAnsi="Calibri" w:cs="Calibri"/>
          <w:lang w:eastAsia="en-US"/>
        </w:rPr>
        <w:t> </w:t>
      </w:r>
      <w:r w:rsidRPr="00A47B71">
        <w:rPr>
          <w:rFonts w:eastAsiaTheme="minorHAnsi"/>
          <w:lang w:eastAsia="en-US"/>
        </w:rPr>
        <w:t>: la SNBC, d’énergie</w:t>
      </w:r>
      <w:r w:rsidRPr="00A47B71">
        <w:rPr>
          <w:rFonts w:ascii="Calibri" w:eastAsiaTheme="minorHAnsi" w:hAnsi="Calibri" w:cs="Calibri"/>
          <w:lang w:eastAsia="en-US"/>
        </w:rPr>
        <w:t> </w:t>
      </w:r>
      <w:r w:rsidRPr="00A47B71">
        <w:rPr>
          <w:rFonts w:eastAsiaTheme="minorHAnsi"/>
          <w:lang w:eastAsia="en-US"/>
        </w:rPr>
        <w:t>: la PPE, et d’adaptation</w:t>
      </w:r>
      <w:r w:rsidRPr="00A47B71">
        <w:rPr>
          <w:rFonts w:ascii="Calibri" w:eastAsiaTheme="minorHAnsi" w:hAnsi="Calibri" w:cs="Calibri"/>
          <w:lang w:eastAsia="en-US"/>
        </w:rPr>
        <w:t> </w:t>
      </w:r>
      <w:r w:rsidRPr="00A47B71">
        <w:rPr>
          <w:rFonts w:eastAsiaTheme="minorHAnsi"/>
          <w:lang w:eastAsia="en-US"/>
        </w:rPr>
        <w:t xml:space="preserve">: le PNACC (plan national d’adaptation au changement climatique) </w:t>
      </w:r>
      <w:r w:rsidRPr="00A47B71">
        <w:rPr>
          <w:rFonts w:eastAsiaTheme="minorHAnsi"/>
          <w:u w:val="single"/>
          <w:lang w:eastAsia="en-US"/>
        </w:rPr>
        <w:t>sous un unique vocable, la Stratégie Française Energie Climat (SFEC)</w:t>
      </w:r>
      <w:r w:rsidRPr="00A47B71">
        <w:rPr>
          <w:rFonts w:eastAsiaTheme="minorHAnsi"/>
          <w:lang w:eastAsia="en-US"/>
        </w:rPr>
        <w:t xml:space="preserve">, plus visible du grand public, et permettant de traiter de manière cohérente les enjeux de la décarbonation et de renforcer l’articulation nécessaire entre les politiques d’atténuation et d’adaptation au changement climatique. </w:t>
      </w:r>
    </w:p>
    <w:p w14:paraId="0DC4DC5B" w14:textId="7D9A733D" w:rsidR="00E77DC7" w:rsidRDefault="00E77DC7" w:rsidP="003F57EA">
      <w:pPr>
        <w:pStyle w:val="Titre3Niveau3"/>
        <w:rPr>
          <w:lang w:eastAsia="en-US"/>
        </w:rPr>
      </w:pPr>
      <w:bookmarkStart w:id="453" w:name="_Toc138342001"/>
      <w:r>
        <w:rPr>
          <w:lang w:eastAsia="en-US"/>
        </w:rPr>
        <w:t>Le suivi et l’évaluation de la politique climat</w:t>
      </w:r>
      <w:bookmarkEnd w:id="453"/>
    </w:p>
    <w:p w14:paraId="146DA42C" w14:textId="704E5ED9" w:rsidR="006C6990" w:rsidRPr="00E22CF8" w:rsidRDefault="006C6990" w:rsidP="00EF6DB6">
      <w:pPr>
        <w:pStyle w:val="Titre4niveau4"/>
        <w:rPr>
          <w:lang w:val="fr" w:eastAsia="en-US"/>
        </w:rPr>
      </w:pPr>
      <w:r w:rsidRPr="00E22CF8">
        <w:rPr>
          <w:lang w:val="fr" w:eastAsia="en-US"/>
        </w:rPr>
        <w:t>Le suivi conduit par le Gouvernement</w:t>
      </w:r>
    </w:p>
    <w:p w14:paraId="5B9DC276" w14:textId="25D9CC2F" w:rsidR="0077167C" w:rsidRDefault="00A47B71" w:rsidP="003B6A95">
      <w:pPr>
        <w:spacing w:before="240" w:after="240"/>
        <w:rPr>
          <w:lang w:val="fr" w:eastAsia="en-US"/>
        </w:rPr>
      </w:pPr>
      <w:r w:rsidRPr="0077167C">
        <w:rPr>
          <w:lang w:val="fr" w:eastAsia="en-US"/>
        </w:rPr>
        <w:t>La Stratégie Nationale Bas-Carbone fait l’objet d’un suivi régulier sur la base d’un ensemble d</w:t>
      </w:r>
      <w:r>
        <w:rPr>
          <w:lang w:val="fr" w:eastAsia="en-US"/>
        </w:rPr>
        <w:t xml:space="preserve">e 162 </w:t>
      </w:r>
      <w:r w:rsidRPr="0077167C">
        <w:rPr>
          <w:lang w:val="fr" w:eastAsia="en-US"/>
        </w:rPr>
        <w:t>indicateurs, comprenant à la fois des indicateurs de résultats (actualisés chaque année) et des indicateurs de suivi des orientations de la SNBC</w:t>
      </w:r>
      <w:r>
        <w:rPr>
          <w:lang w:val="fr" w:eastAsia="en-US"/>
        </w:rPr>
        <w:t xml:space="preserve"> (actualisés tous les 2 ans)</w:t>
      </w:r>
      <w:r w:rsidRPr="0077167C">
        <w:rPr>
          <w:lang w:val="fr" w:eastAsia="en-US"/>
        </w:rPr>
        <w:t xml:space="preserve">. Des indicateurs de contexte et environnementaux </w:t>
      </w:r>
      <w:r>
        <w:rPr>
          <w:lang w:val="fr" w:eastAsia="en-US"/>
        </w:rPr>
        <w:t xml:space="preserve">(actualisés tous les 2 ans) </w:t>
      </w:r>
      <w:r w:rsidRPr="0077167C">
        <w:rPr>
          <w:lang w:val="fr" w:eastAsia="en-US"/>
        </w:rPr>
        <w:t>complètent l’ensemble et permettent une mise en perspective des résultats</w:t>
      </w:r>
      <w:r w:rsidRPr="0077167C">
        <w:rPr>
          <w:rStyle w:val="FootnoteReference"/>
          <w:lang w:val="fr" w:eastAsia="en-US"/>
        </w:rPr>
        <w:footnoteReference w:id="21"/>
      </w:r>
      <w:r w:rsidRPr="0077167C">
        <w:rPr>
          <w:lang w:val="fr" w:eastAsia="en-US"/>
        </w:rPr>
        <w:t xml:space="preserve">. </w:t>
      </w:r>
      <w:r w:rsidR="006C6990">
        <w:t>Ces éléments de suivi permettent d’analyser les tendances, leur adéquation aux objectifs afin de proposer, si besoin, de nouvelles actions</w:t>
      </w:r>
      <w:r w:rsidR="0077167C" w:rsidRPr="0077167C">
        <w:rPr>
          <w:lang w:val="fr" w:eastAsia="en-US"/>
        </w:rPr>
        <w:t>.</w:t>
      </w:r>
    </w:p>
    <w:p w14:paraId="06D360A6" w14:textId="33E9FB8E" w:rsidR="006C6990" w:rsidRPr="00E22CF8" w:rsidRDefault="006C6990" w:rsidP="00EF6DB6">
      <w:pPr>
        <w:pStyle w:val="Titre4niveau4"/>
        <w:rPr>
          <w:lang w:val="fr" w:eastAsia="en-US"/>
        </w:rPr>
      </w:pPr>
      <w:r w:rsidRPr="00E22CF8">
        <w:rPr>
          <w:lang w:val="fr" w:eastAsia="en-US"/>
        </w:rPr>
        <w:t>L’évaluation conduite par le Gouvernement</w:t>
      </w:r>
    </w:p>
    <w:p w14:paraId="48942669" w14:textId="3DAF59F8" w:rsidR="006C6990" w:rsidRPr="006C6990" w:rsidRDefault="006C6990" w:rsidP="006C6990">
      <w:pPr>
        <w:pStyle w:val="NormalWeb"/>
        <w:rPr>
          <w:rFonts w:ascii="Marianne" w:hAnsi="Marianne"/>
          <w:sz w:val="24"/>
        </w:rPr>
      </w:pPr>
      <w:r w:rsidRPr="006C6990">
        <w:rPr>
          <w:rFonts w:ascii="Marianne" w:hAnsi="Marianne"/>
        </w:rPr>
        <w:t xml:space="preserve">A chaque cycle, la </w:t>
      </w:r>
      <w:r w:rsidRPr="00B95CF2">
        <w:rPr>
          <w:rStyle w:val="Strong"/>
          <w:rFonts w:ascii="Marianne" w:hAnsi="Marianne"/>
          <w:b w:val="0"/>
        </w:rPr>
        <w:t>Stratégie nationale bas-carbone</w:t>
      </w:r>
      <w:r w:rsidRPr="006C6990">
        <w:rPr>
          <w:rFonts w:ascii="Marianne" w:hAnsi="Marianne"/>
        </w:rPr>
        <w:t xml:space="preserve"> fait l’objet de </w:t>
      </w:r>
      <w:r w:rsidR="00B95CF2">
        <w:rPr>
          <w:rFonts w:ascii="Marianne" w:hAnsi="Marianne"/>
        </w:rPr>
        <w:t>plusieurs</w:t>
      </w:r>
      <w:r w:rsidRPr="006C6990">
        <w:rPr>
          <w:rFonts w:ascii="Marianne" w:hAnsi="Marianne"/>
        </w:rPr>
        <w:t xml:space="preserve"> évaluations complémentaires :</w:t>
      </w:r>
    </w:p>
    <w:p w14:paraId="76926E3F" w14:textId="60D474D8" w:rsidR="006C6990" w:rsidRPr="00B95CF2" w:rsidRDefault="006C6990" w:rsidP="003F57EA">
      <w:pPr>
        <w:numPr>
          <w:ilvl w:val="0"/>
          <w:numId w:val="82"/>
        </w:numPr>
        <w:spacing w:before="100" w:beforeAutospacing="1" w:after="100" w:afterAutospacing="1"/>
      </w:pPr>
      <w:r w:rsidRPr="006C6990">
        <w:t xml:space="preserve">La SNBC arrivant en « fin de cycle » fait l’objet d’une </w:t>
      </w:r>
      <w:r w:rsidRPr="006C6990">
        <w:rPr>
          <w:rStyle w:val="Strong"/>
        </w:rPr>
        <w:t>évaluation rétrospective</w:t>
      </w:r>
      <w:r w:rsidRPr="006C6990">
        <w:t xml:space="preserve"> visant à identifier les éventuels écarts à la trajectoire et aux objectifs cibles et à analyser leu</w:t>
      </w:r>
      <w:r w:rsidRPr="00B95CF2">
        <w:t xml:space="preserve">rs causes. L’évaluation rétrospective de la SNBC1 préparée en amont de la SNBC2 figure au chapitre 1.2 de la </w:t>
      </w:r>
      <w:hyperlink r:id="rId87" w:tgtFrame="_blank" w:history="1">
        <w:r w:rsidRPr="006C6990">
          <w:rPr>
            <w:rStyle w:val="Hyperlink"/>
          </w:rPr>
          <w:t>SNBC2</w:t>
        </w:r>
      </w:hyperlink>
      <w:r w:rsidRPr="006C6990">
        <w:t>. Cette évaluation constitue un retour d’expérience utile pour appréhender avec réalisme la révision de la stratégie et son scénario de référence. L’évaluation rétrospective de la SNBC2 (SNBC en vigueur) sera rendue publique en 2023 en application de la loi dite Climat et résilience (article 298</w:t>
      </w:r>
      <w:r w:rsidRPr="00B95CF2">
        <w:t>) ;</w:t>
      </w:r>
    </w:p>
    <w:p w14:paraId="6A9C5A80" w14:textId="374E99A5" w:rsidR="006C6990" w:rsidRPr="006C6990" w:rsidRDefault="006C6990" w:rsidP="003F57EA">
      <w:pPr>
        <w:numPr>
          <w:ilvl w:val="0"/>
          <w:numId w:val="82"/>
        </w:numPr>
        <w:spacing w:before="100" w:beforeAutospacing="1" w:after="100" w:afterAutospacing="1"/>
      </w:pPr>
      <w:r w:rsidRPr="00B95CF2">
        <w:t xml:space="preserve">Le projet de SNBC révisée fait l’objet, en application de l’article </w:t>
      </w:r>
      <w:hyperlink r:id="rId88" w:tgtFrame="_blank" w:history="1">
        <w:r w:rsidRPr="006C6990">
          <w:rPr>
            <w:rStyle w:val="Hyperlink"/>
          </w:rPr>
          <w:t>L. 222-1 D du Code de l’environnement</w:t>
        </w:r>
      </w:hyperlink>
      <w:r w:rsidRPr="006C6990">
        <w:t xml:space="preserve">, d’une </w:t>
      </w:r>
      <w:r w:rsidRPr="006C6990">
        <w:rPr>
          <w:rStyle w:val="Strong"/>
        </w:rPr>
        <w:t>évaluation prospective</w:t>
      </w:r>
      <w:r w:rsidRPr="006C6990">
        <w:t xml:space="preserve"> précisant la façon dont les projets de budget carbone et de stratégie bas-carbone intègrent les objectifs climatiques et énergétiques de la France ainsi que les engagements européens et internationaux de la France. L’évaluation prospective préparée sur la </w:t>
      </w:r>
      <w:r w:rsidRPr="00B95CF2">
        <w:t xml:space="preserve">base du projet de SNBC2 est disponible sur le </w:t>
      </w:r>
      <w:hyperlink r:id="rId89" w:tgtFrame="_blank" w:history="1">
        <w:r w:rsidRPr="006C6990">
          <w:rPr>
            <w:rStyle w:val="Hyperlink"/>
          </w:rPr>
          <w:t>site du Ministère</w:t>
        </w:r>
      </w:hyperlink>
      <w:r w:rsidRPr="006C6990">
        <w:t>.</w:t>
      </w:r>
      <w:r w:rsidR="00B95CF2">
        <w:t xml:space="preserve"> </w:t>
      </w:r>
      <w:r w:rsidRPr="006C6990">
        <w:t>L’évaluation prospective de la future SNBC (SNBC3) sera rendue publique en 2024.</w:t>
      </w:r>
    </w:p>
    <w:p w14:paraId="09EC181C" w14:textId="77777777" w:rsidR="00B95CF2" w:rsidRPr="00133BB6" w:rsidRDefault="00B95CF2" w:rsidP="003F57EA">
      <w:pPr>
        <w:pStyle w:val="ListParagraph"/>
        <w:numPr>
          <w:ilvl w:val="0"/>
          <w:numId w:val="82"/>
        </w:numPr>
        <w:spacing w:before="240" w:after="240"/>
        <w:rPr>
          <w:lang w:eastAsia="en-US"/>
        </w:rPr>
      </w:pPr>
      <w:r w:rsidRPr="00133BB6">
        <w:rPr>
          <w:lang w:eastAsia="en-US"/>
        </w:rPr>
        <w:t>Enfin, les première et deuxième Stratégies Nationales Bas-Carbone ont fait l’objet d’une évaluation macro-économique évaluant leurs impacts économiques et sociaux. La 2ème SNBC a également fait l’objet d’une évaluation environnementale stratégique, afin d’en évaluer l’impact sur l’environnement ; les orientations et indicateurs issus de cette évaluation sont intégrés à la SNBC2 et aux indicateurs de suivi.</w:t>
      </w:r>
    </w:p>
    <w:p w14:paraId="2CBBEFED" w14:textId="4DD2F284" w:rsidR="0077167C" w:rsidRDefault="0077167C" w:rsidP="0077167C">
      <w:pPr>
        <w:spacing w:before="240" w:after="240"/>
        <w:rPr>
          <w:lang w:eastAsia="en-US"/>
        </w:rPr>
      </w:pPr>
      <w:r w:rsidRPr="0077167C">
        <w:rPr>
          <w:lang w:eastAsia="en-US"/>
        </w:rPr>
        <w:t>Par ailleurs, chaque année, le Gouvernement présente au Parlement, en annexe au projet de loi de finances, un</w:t>
      </w:r>
      <w:r>
        <w:rPr>
          <w:lang w:eastAsia="en-US"/>
        </w:rPr>
        <w:t xml:space="preserve"> </w:t>
      </w:r>
      <w:r w:rsidRPr="0077167C">
        <w:rPr>
          <w:lang w:eastAsia="en-US"/>
        </w:rPr>
        <w:t>rapport présentant un état évaluatif des moyens financiers publics et privés mis en œuvre pour financer la transition</w:t>
      </w:r>
      <w:r>
        <w:rPr>
          <w:lang w:eastAsia="en-US"/>
        </w:rPr>
        <w:t xml:space="preserve"> </w:t>
      </w:r>
      <w:r w:rsidRPr="0077167C">
        <w:rPr>
          <w:lang w:eastAsia="en-US"/>
        </w:rPr>
        <w:t>écologique et énergétique ainsi que leur adéquation avec les volumes financiers nécessaires au respect des</w:t>
      </w:r>
      <w:r>
        <w:rPr>
          <w:lang w:eastAsia="en-US"/>
        </w:rPr>
        <w:t xml:space="preserve"> </w:t>
      </w:r>
      <w:r w:rsidRPr="0077167C">
        <w:rPr>
          <w:lang w:eastAsia="en-US"/>
        </w:rPr>
        <w:t>engagements européens, de l’accord de Paris et de l’agenda 2030 du développement durable.</w:t>
      </w:r>
    </w:p>
    <w:p w14:paraId="5D52EAEE" w14:textId="50E12762" w:rsidR="0077167C" w:rsidRPr="00133BB6" w:rsidRDefault="0077167C" w:rsidP="0077167C">
      <w:pPr>
        <w:spacing w:before="240" w:after="240"/>
        <w:rPr>
          <w:lang w:eastAsia="en-US"/>
        </w:rPr>
      </w:pPr>
      <w:r w:rsidRPr="00854899">
        <w:rPr>
          <w:lang w:eastAsia="en-US"/>
        </w:rPr>
        <w:t>Dans le cadre de ses obligations européennes de rapportage définies dans le règlement</w:t>
      </w:r>
      <w:r w:rsidR="00854899" w:rsidRPr="00854899">
        <w:rPr>
          <w:lang w:eastAsia="en-US"/>
        </w:rPr>
        <w:t xml:space="preserve"> (UE) 2018/1999 sur la gouvernance de l’union de l’énergie et de l’action pour le climat, dit règlement</w:t>
      </w:r>
      <w:r w:rsidRPr="00854899">
        <w:rPr>
          <w:lang w:eastAsia="en-US"/>
        </w:rPr>
        <w:t xml:space="preserve"> « </w:t>
      </w:r>
      <w:r w:rsidR="00854899" w:rsidRPr="00854899">
        <w:rPr>
          <w:lang w:eastAsia="en-US"/>
        </w:rPr>
        <w:t>Gouvernance</w:t>
      </w:r>
      <w:r w:rsidRPr="00854899">
        <w:rPr>
          <w:lang w:eastAsia="en-US"/>
        </w:rPr>
        <w:t xml:space="preserve"> », la France transmet tous les deux ans à la Commission européenne des informations sur les mesures adoptées, mises en œuvre ou prévues pour réduire ses émissions de GES, évalue leurs impacts (sur les émissions de GES et, lorsque cela est possible, sur les coûts) et décrit les perspectives de réduction des émissions à moyen terme, notamment au travers d’un scénario qui tient compte des mesures déjà mises en œuvre. Ces </w:t>
      </w:r>
      <w:r w:rsidRPr="00133BB6">
        <w:rPr>
          <w:lang w:eastAsia="en-US"/>
        </w:rPr>
        <w:t>informations sont rendues publiques.</w:t>
      </w:r>
    </w:p>
    <w:p w14:paraId="30AE85B9" w14:textId="3CE7F71A" w:rsidR="0077167C" w:rsidRDefault="0077167C" w:rsidP="0077167C">
      <w:pPr>
        <w:spacing w:before="240" w:after="240"/>
        <w:rPr>
          <w:lang w:eastAsia="en-US"/>
        </w:rPr>
      </w:pPr>
      <w:r w:rsidRPr="00133BB6">
        <w:rPr>
          <w:lang w:eastAsia="en-US"/>
        </w:rPr>
        <w:t xml:space="preserve">Les évaluations des politiques et mesures d’atténuation publiées dans le cadre du règlement « </w:t>
      </w:r>
      <w:r w:rsidR="00854899" w:rsidRPr="00133BB6">
        <w:rPr>
          <w:lang w:eastAsia="en-US"/>
        </w:rPr>
        <w:t>Gouvernance</w:t>
      </w:r>
      <w:r w:rsidRPr="00133BB6">
        <w:rPr>
          <w:lang w:eastAsia="en-US"/>
        </w:rPr>
        <w:t xml:space="preserve"> » sont réalisées par le DLCES. L’ensemble des hypothèses, méthodes de calcul et résultats des évaluations en termes de réduction des émissions de gaz à effet de serre et de coûts, sont détaillés dans le</w:t>
      </w:r>
      <w:r w:rsidR="00854899" w:rsidRPr="00133BB6">
        <w:rPr>
          <w:lang w:eastAsia="en-US"/>
        </w:rPr>
        <w:t>s</w:t>
      </w:r>
      <w:r w:rsidRPr="00133BB6">
        <w:rPr>
          <w:lang w:eastAsia="en-US"/>
        </w:rPr>
        <w:t xml:space="preserve"> rapport</w:t>
      </w:r>
      <w:r w:rsidR="00854899" w:rsidRPr="00133BB6">
        <w:rPr>
          <w:lang w:eastAsia="en-US"/>
        </w:rPr>
        <w:t>s soumis à la Commission</w:t>
      </w:r>
      <w:r w:rsidR="00854899" w:rsidRPr="00133BB6">
        <w:rPr>
          <w:rStyle w:val="FootnoteReference"/>
          <w:lang w:eastAsia="en-US"/>
        </w:rPr>
        <w:footnoteReference w:id="22"/>
      </w:r>
      <w:r w:rsidR="00854899" w:rsidRPr="00133BB6">
        <w:rPr>
          <w:lang w:eastAsia="en-US"/>
        </w:rPr>
        <w:t xml:space="preserve">. </w:t>
      </w:r>
    </w:p>
    <w:p w14:paraId="29FF7BDC" w14:textId="3167430F" w:rsidR="00B95CF2" w:rsidRPr="00E22CF8" w:rsidRDefault="00B95CF2" w:rsidP="00EF6DB6">
      <w:pPr>
        <w:pStyle w:val="Titre4niveau4"/>
        <w:rPr>
          <w:lang w:val="fr" w:eastAsia="en-US"/>
        </w:rPr>
      </w:pPr>
      <w:r w:rsidRPr="00E22CF8">
        <w:rPr>
          <w:lang w:val="fr" w:eastAsia="en-US"/>
        </w:rPr>
        <w:t>L’évaluation de l’action du gouvernement par le Haut Conseil pour le climat</w:t>
      </w:r>
    </w:p>
    <w:p w14:paraId="0270C7C9" w14:textId="77777777" w:rsidR="004012B9" w:rsidRDefault="004012B9" w:rsidP="004012B9">
      <w:pPr>
        <w:spacing w:before="240" w:after="240"/>
        <w:rPr>
          <w:rFonts w:cs="Arial"/>
          <w:sz w:val="20"/>
          <w:szCs w:val="20"/>
        </w:rPr>
      </w:pPr>
      <w:r>
        <w:rPr>
          <w:lang w:eastAsia="en-US"/>
        </w:rPr>
        <w:t>Le Haut Conseil pour le climat (instance créé par la loi relative à l’énergie et au climat de 2019) est chargé d’évaluer l’action climatique française de manière indépendante. En particulier, il</w:t>
      </w:r>
      <w:r w:rsidRPr="007E4EEB">
        <w:rPr>
          <w:rFonts w:cs="Arial"/>
          <w:sz w:val="20"/>
          <w:szCs w:val="20"/>
        </w:rPr>
        <w:t xml:space="preserve"> rend</w:t>
      </w:r>
      <w:r>
        <w:rPr>
          <w:rFonts w:ascii="Calibri" w:hAnsi="Calibri" w:cs="Calibri"/>
          <w:sz w:val="20"/>
          <w:szCs w:val="20"/>
        </w:rPr>
        <w:t> </w:t>
      </w:r>
      <w:r>
        <w:rPr>
          <w:rFonts w:cs="Arial"/>
          <w:sz w:val="20"/>
          <w:szCs w:val="20"/>
        </w:rPr>
        <w:t>:</w:t>
      </w:r>
    </w:p>
    <w:p w14:paraId="3BAD0DC3" w14:textId="2F7AFF57" w:rsidR="004012B9" w:rsidRDefault="004012B9" w:rsidP="003F57EA">
      <w:pPr>
        <w:pStyle w:val="ListParagraph"/>
        <w:numPr>
          <w:ilvl w:val="0"/>
          <w:numId w:val="81"/>
        </w:numPr>
        <w:spacing w:after="200"/>
        <w:rPr>
          <w:rFonts w:cs="Arial"/>
          <w:sz w:val="20"/>
          <w:szCs w:val="20"/>
        </w:rPr>
      </w:pPr>
      <w:r w:rsidRPr="002C40FB">
        <w:rPr>
          <w:rFonts w:cs="Arial"/>
          <w:b/>
          <w:sz w:val="20"/>
          <w:szCs w:val="20"/>
        </w:rPr>
        <w:t>chaque année</w:t>
      </w:r>
      <w:r w:rsidRPr="002C40FB">
        <w:rPr>
          <w:rFonts w:cs="Arial"/>
          <w:sz w:val="20"/>
          <w:szCs w:val="20"/>
        </w:rPr>
        <w:t xml:space="preserve"> autour du </w:t>
      </w:r>
      <w:r w:rsidR="006518EF" w:rsidRPr="009F4180">
        <w:t>1</w:t>
      </w:r>
      <w:r w:rsidR="006518EF" w:rsidRPr="007F47EF">
        <w:rPr>
          <w:vertAlign w:val="superscript"/>
        </w:rPr>
        <w:t>er</w:t>
      </w:r>
      <w:r w:rsidRPr="002C40FB">
        <w:rPr>
          <w:rFonts w:cs="Arial"/>
          <w:sz w:val="20"/>
          <w:szCs w:val="20"/>
        </w:rPr>
        <w:t xml:space="preserve"> juillet un rapport sur le respect de la trajectoire de réduction des émissions de GES établie dans la SNBC et sur la mise en œuvre des politiques climat au niveau national et territorial. Le Gouvernement doit y a</w:t>
      </w:r>
      <w:r>
        <w:rPr>
          <w:rFonts w:cs="Arial"/>
          <w:sz w:val="20"/>
          <w:szCs w:val="20"/>
        </w:rPr>
        <w:t>pporter une réponse sous 6 mois (Article L. 132-4 du Code de l’environnement)</w:t>
      </w:r>
      <w:r>
        <w:rPr>
          <w:rFonts w:ascii="Calibri" w:hAnsi="Calibri" w:cs="Calibri"/>
          <w:sz w:val="20"/>
          <w:szCs w:val="20"/>
        </w:rPr>
        <w:t> </w:t>
      </w:r>
      <w:r>
        <w:rPr>
          <w:rFonts w:cs="Arial"/>
          <w:sz w:val="20"/>
          <w:szCs w:val="20"/>
        </w:rPr>
        <w:t>;</w:t>
      </w:r>
    </w:p>
    <w:p w14:paraId="78F5BDF7" w14:textId="77777777" w:rsidR="004012B9" w:rsidRDefault="004012B9" w:rsidP="003F57EA">
      <w:pPr>
        <w:pStyle w:val="ListParagraph"/>
        <w:numPr>
          <w:ilvl w:val="0"/>
          <w:numId w:val="81"/>
        </w:numPr>
        <w:spacing w:after="200"/>
        <w:rPr>
          <w:rFonts w:cs="Arial"/>
          <w:sz w:val="20"/>
          <w:szCs w:val="20"/>
        </w:rPr>
      </w:pPr>
      <w:r w:rsidRPr="002C40FB">
        <w:rPr>
          <w:rFonts w:cs="Arial"/>
          <w:b/>
          <w:sz w:val="20"/>
          <w:szCs w:val="20"/>
        </w:rPr>
        <w:t>tous les 3 ans</w:t>
      </w:r>
      <w:r w:rsidRPr="002C40FB">
        <w:rPr>
          <w:rFonts w:cs="Arial"/>
          <w:sz w:val="20"/>
          <w:szCs w:val="20"/>
        </w:rPr>
        <w:t>, un rapport évaluant l'action des collectivités territoriales en matière de réduction des émissions de gaz à effet de serre et d'adaptation au changement climatique</w:t>
      </w:r>
      <w:r>
        <w:rPr>
          <w:rFonts w:cs="Arial"/>
          <w:sz w:val="20"/>
          <w:szCs w:val="20"/>
        </w:rPr>
        <w:t xml:space="preserve"> (Article 299 de la loi dite «</w:t>
      </w:r>
      <w:r>
        <w:rPr>
          <w:rFonts w:ascii="Calibri" w:hAnsi="Calibri" w:cs="Calibri"/>
          <w:sz w:val="20"/>
          <w:szCs w:val="20"/>
        </w:rPr>
        <w:t> </w:t>
      </w:r>
      <w:r>
        <w:rPr>
          <w:rFonts w:cs="Arial"/>
          <w:sz w:val="20"/>
          <w:szCs w:val="20"/>
        </w:rPr>
        <w:t>climat et résilience</w:t>
      </w:r>
      <w:r>
        <w:rPr>
          <w:rFonts w:ascii="Calibri" w:hAnsi="Calibri" w:cs="Calibri"/>
          <w:sz w:val="20"/>
          <w:szCs w:val="20"/>
        </w:rPr>
        <w:t> </w:t>
      </w:r>
      <w:r>
        <w:rPr>
          <w:rFonts w:cs="Marianne"/>
          <w:sz w:val="20"/>
          <w:szCs w:val="20"/>
        </w:rPr>
        <w:t>»</w:t>
      </w:r>
      <w:r>
        <w:rPr>
          <w:rFonts w:cs="Arial"/>
          <w:sz w:val="20"/>
          <w:szCs w:val="20"/>
        </w:rPr>
        <w:t xml:space="preserve">). </w:t>
      </w:r>
      <w:r w:rsidRPr="002C40FB">
        <w:rPr>
          <w:rFonts w:cs="Arial"/>
          <w:sz w:val="20"/>
          <w:szCs w:val="20"/>
        </w:rPr>
        <w:t>Ce rapport d'évaluation est rendu public et fait l'objet d'une réponse du Gouvernement, elle-même rendue publique</w:t>
      </w:r>
      <w:r>
        <w:rPr>
          <w:rFonts w:ascii="Calibri" w:hAnsi="Calibri" w:cs="Calibri"/>
          <w:sz w:val="20"/>
          <w:szCs w:val="20"/>
        </w:rPr>
        <w:t> </w:t>
      </w:r>
      <w:r>
        <w:rPr>
          <w:rFonts w:cs="Arial"/>
          <w:sz w:val="20"/>
          <w:szCs w:val="20"/>
        </w:rPr>
        <w:t>;</w:t>
      </w:r>
    </w:p>
    <w:p w14:paraId="0685B28E" w14:textId="77777777" w:rsidR="004012B9" w:rsidRPr="002C40FB" w:rsidRDefault="004012B9" w:rsidP="003F57EA">
      <w:pPr>
        <w:pStyle w:val="ListParagraph"/>
        <w:numPr>
          <w:ilvl w:val="0"/>
          <w:numId w:val="81"/>
        </w:numPr>
        <w:spacing w:after="200"/>
        <w:rPr>
          <w:rFonts w:cs="Arial"/>
          <w:sz w:val="20"/>
          <w:szCs w:val="20"/>
        </w:rPr>
      </w:pPr>
      <w:r>
        <w:rPr>
          <w:rFonts w:cs="Arial"/>
          <w:b/>
          <w:sz w:val="20"/>
          <w:szCs w:val="20"/>
        </w:rPr>
        <w:t xml:space="preserve">au moins tous les trois ans, </w:t>
      </w:r>
      <w:r w:rsidRPr="002C40FB">
        <w:rPr>
          <w:rFonts w:cs="Arial"/>
          <w:sz w:val="20"/>
          <w:szCs w:val="20"/>
        </w:rPr>
        <w:t>un avis sur le rapport d’avancement des travaux relatifs à l’adoption et à la mise en œuvre de feuilles de routes par les secteurs fortement émetteurs de GES produit par le Gouvernement</w:t>
      </w:r>
      <w:r>
        <w:rPr>
          <w:rFonts w:cs="Arial"/>
          <w:sz w:val="20"/>
          <w:szCs w:val="20"/>
        </w:rPr>
        <w:t xml:space="preserve"> (Article 301 de la loi dite «</w:t>
      </w:r>
      <w:r>
        <w:rPr>
          <w:rFonts w:ascii="Calibri" w:hAnsi="Calibri" w:cs="Calibri"/>
          <w:sz w:val="20"/>
          <w:szCs w:val="20"/>
        </w:rPr>
        <w:t> </w:t>
      </w:r>
      <w:r>
        <w:rPr>
          <w:rFonts w:cs="Arial"/>
          <w:sz w:val="20"/>
          <w:szCs w:val="20"/>
        </w:rPr>
        <w:t>climat et résilience</w:t>
      </w:r>
      <w:r>
        <w:rPr>
          <w:rFonts w:ascii="Calibri" w:hAnsi="Calibri" w:cs="Calibri"/>
          <w:sz w:val="20"/>
          <w:szCs w:val="20"/>
        </w:rPr>
        <w:t> </w:t>
      </w:r>
      <w:r>
        <w:rPr>
          <w:rFonts w:cs="Marianne"/>
          <w:sz w:val="20"/>
          <w:szCs w:val="20"/>
        </w:rPr>
        <w:t>»</w:t>
      </w:r>
      <w:r>
        <w:rPr>
          <w:rFonts w:cs="Arial"/>
          <w:sz w:val="20"/>
          <w:szCs w:val="20"/>
        </w:rPr>
        <w:t>)</w:t>
      </w:r>
      <w:r>
        <w:rPr>
          <w:rFonts w:ascii="Calibri" w:hAnsi="Calibri" w:cs="Calibri"/>
          <w:sz w:val="20"/>
          <w:szCs w:val="20"/>
        </w:rPr>
        <w:t>.</w:t>
      </w:r>
    </w:p>
    <w:p w14:paraId="61847768" w14:textId="521FB4F2" w:rsidR="00A53B6B" w:rsidRPr="00A53B6B" w:rsidRDefault="004012B9" w:rsidP="004012B9">
      <w:pPr>
        <w:rPr>
          <w:lang w:val="fr" w:eastAsia="en-US"/>
        </w:rPr>
      </w:pPr>
      <w:r>
        <w:rPr>
          <w:rFonts w:cs="Arial"/>
          <w:sz w:val="20"/>
          <w:szCs w:val="20"/>
        </w:rPr>
        <w:t xml:space="preserve">Ses rapports contribuent </w:t>
      </w:r>
      <w:r w:rsidRPr="002C40FB">
        <w:rPr>
          <w:rFonts w:cs="Arial"/>
          <w:sz w:val="20"/>
          <w:szCs w:val="20"/>
        </w:rPr>
        <w:t xml:space="preserve">à remettre à intervalle régulier la question climatique au centre du débat politique. Ils apportent un </w:t>
      </w:r>
      <w:r w:rsidRPr="00224F0C">
        <w:rPr>
          <w:rFonts w:cs="Arial"/>
          <w:sz w:val="20"/>
          <w:szCs w:val="20"/>
        </w:rPr>
        <w:t>éclairage indépendant sur la politique du gouvernement en matière de climat.</w:t>
      </w:r>
    </w:p>
    <w:p w14:paraId="3F05FE48" w14:textId="61C6752E" w:rsidR="00E77DC7" w:rsidRDefault="00E77DC7" w:rsidP="003F57EA">
      <w:pPr>
        <w:pStyle w:val="Titre3Niveau3"/>
        <w:rPr>
          <w:lang w:eastAsia="en-US"/>
        </w:rPr>
      </w:pPr>
      <w:bookmarkStart w:id="454" w:name="_Ref121425070"/>
      <w:bookmarkStart w:id="455" w:name="_Toc138342002"/>
      <w:r>
        <w:rPr>
          <w:lang w:eastAsia="en-US"/>
        </w:rPr>
        <w:t>Mise en œuvre des politiques européennes</w:t>
      </w:r>
      <w:bookmarkEnd w:id="454"/>
      <w:bookmarkEnd w:id="455"/>
    </w:p>
    <w:p w14:paraId="645B3A73" w14:textId="10DEEC81" w:rsidR="00550099" w:rsidRDefault="00550099" w:rsidP="00550099">
      <w:pPr>
        <w:rPr>
          <w:lang w:eastAsia="en-US"/>
        </w:rPr>
      </w:pPr>
      <w:r>
        <w:rPr>
          <w:lang w:eastAsia="en-US"/>
        </w:rPr>
        <w:t>La France définit son action climatique dans le cadre engageant des objectifs climat-énergie et des règlementations sectorielles de l'Union européenne.</w:t>
      </w:r>
    </w:p>
    <w:p w14:paraId="5323BE1E" w14:textId="77777777" w:rsidR="00550099" w:rsidRDefault="00550099" w:rsidP="00550099">
      <w:pPr>
        <w:rPr>
          <w:lang w:eastAsia="en-US"/>
        </w:rPr>
      </w:pPr>
    </w:p>
    <w:p w14:paraId="1ADE3ACD" w14:textId="21E456E6" w:rsidR="00550099" w:rsidRDefault="00550099" w:rsidP="00550099">
      <w:pPr>
        <w:rPr>
          <w:lang w:eastAsia="en-US"/>
        </w:rPr>
      </w:pPr>
      <w:r>
        <w:rPr>
          <w:lang w:eastAsia="en-US"/>
        </w:rPr>
        <w:t>Dans le cadre du pacte vert pour l'Europe, l'Union européenne s'est fixée l'objectif d'atteindre la neutralité climatique en 2050 et s'est engagée pour cela à accélérer sa réduction d'émissions de gaz à effet de serre d'ici 2030 en la rehaussant de -30</w:t>
      </w:r>
      <w:r w:rsidR="006518EF">
        <w:rPr>
          <w:lang w:eastAsia="en-US"/>
        </w:rPr>
        <w:t>%</w:t>
      </w:r>
      <w:r>
        <w:rPr>
          <w:lang w:eastAsia="en-US"/>
        </w:rPr>
        <w:t xml:space="preserve"> à au moins -55</w:t>
      </w:r>
      <w:r w:rsidR="006518EF">
        <w:rPr>
          <w:lang w:eastAsia="en-US"/>
        </w:rPr>
        <w:t>%</w:t>
      </w:r>
      <w:r>
        <w:rPr>
          <w:lang w:eastAsia="en-US"/>
        </w:rPr>
        <w:t xml:space="preserve"> net par rapport à 1990 (incluant les absorptions).</w:t>
      </w:r>
    </w:p>
    <w:p w14:paraId="1812796F" w14:textId="77777777" w:rsidR="00550099" w:rsidRDefault="00550099" w:rsidP="00550099">
      <w:pPr>
        <w:rPr>
          <w:lang w:eastAsia="en-US"/>
        </w:rPr>
      </w:pPr>
    </w:p>
    <w:p w14:paraId="5A8288F6" w14:textId="0B92A0A0" w:rsidR="00550099" w:rsidRDefault="00550099" w:rsidP="00550099">
      <w:pPr>
        <w:rPr>
          <w:lang w:eastAsia="en-US"/>
        </w:rPr>
      </w:pPr>
      <w:r>
        <w:rPr>
          <w:lang w:eastAsia="en-US"/>
        </w:rPr>
        <w:t>La Loi Européenne pour le Climat (LEC) de juillet 2021 rende juridiquement contraignant ces objectifs européens à horizon 2030 et 2050, tout en limitant la contribution à l'objectif 2030 du puits carbone européen à 225 Mt</w:t>
      </w:r>
      <w:r w:rsidR="007F09F7">
        <w:t>CO</w:t>
      </w:r>
      <w:r w:rsidR="007F09F7" w:rsidRPr="007F09F7">
        <w:rPr>
          <w:vertAlign w:val="subscript"/>
        </w:rPr>
        <w:t>2</w:t>
      </w:r>
      <w:r w:rsidR="004F1EC8" w:rsidRPr="004F1EC8">
        <w:rPr>
          <w:vertAlign w:val="subscript"/>
          <w:lang w:eastAsia="en-US"/>
        </w:rPr>
        <w:t>e</w:t>
      </w:r>
      <w:r>
        <w:rPr>
          <w:lang w:eastAsia="en-US"/>
        </w:rPr>
        <w:t xml:space="preserve"> (-2,2%), soit l'équivalent du niveau attendu selon le règlement LULUCF actuel. </w:t>
      </w:r>
    </w:p>
    <w:p w14:paraId="7615C399" w14:textId="77777777" w:rsidR="00550099" w:rsidRDefault="00550099" w:rsidP="00550099">
      <w:pPr>
        <w:rPr>
          <w:lang w:eastAsia="en-US"/>
        </w:rPr>
      </w:pPr>
    </w:p>
    <w:p w14:paraId="5CCD31F0" w14:textId="2D74D4D5" w:rsidR="00550099" w:rsidRDefault="00550099" w:rsidP="00550099">
      <w:pPr>
        <w:rPr>
          <w:lang w:eastAsia="en-US"/>
        </w:rPr>
      </w:pPr>
      <w:r>
        <w:rPr>
          <w:lang w:eastAsia="en-US"/>
        </w:rPr>
        <w:t>Ce nouvel objectif renforcé a été communiqué, le 18 décembre 2020, à la CCNUCC dans le cadre de la contribution déterminée au niveau national (CDN) de l'Union européenne et de ses États membres.</w:t>
      </w:r>
    </w:p>
    <w:p w14:paraId="1FD68776" w14:textId="77777777" w:rsidR="00550099" w:rsidRDefault="00550099" w:rsidP="00550099">
      <w:pPr>
        <w:rPr>
          <w:lang w:eastAsia="en-US"/>
        </w:rPr>
      </w:pPr>
    </w:p>
    <w:p w14:paraId="4701A598" w14:textId="36D63AA9" w:rsidR="00550099" w:rsidRDefault="00550099" w:rsidP="00550099">
      <w:pPr>
        <w:rPr>
          <w:lang w:eastAsia="en-US"/>
        </w:rPr>
      </w:pPr>
      <w:r>
        <w:rPr>
          <w:lang w:eastAsia="en-US"/>
        </w:rPr>
        <w:t>En juillet 2021, la Commission européenne a publi</w:t>
      </w:r>
      <w:r w:rsidR="00D00C02">
        <w:rPr>
          <w:lang w:eastAsia="en-US"/>
        </w:rPr>
        <w:t>é un paquet législatif appelé « Fit for 55 »</w:t>
      </w:r>
      <w:r>
        <w:rPr>
          <w:lang w:eastAsia="en-US"/>
        </w:rPr>
        <w:t>, consistant en 13 propositions de révision ou de nouveaux textes législatifs assorties d'études d'impact, vise à aligner le cadre énergie-climat de l'Union européenne avec cette nouvelle ambition climatique à l'horizon 2030 et l'atteinte de la neutralité carbone de l'Union européenne au plus tard en 2050.</w:t>
      </w:r>
    </w:p>
    <w:p w14:paraId="0E5EDE0B" w14:textId="77777777" w:rsidR="00550099" w:rsidRDefault="00550099" w:rsidP="00550099">
      <w:pPr>
        <w:rPr>
          <w:lang w:eastAsia="en-US"/>
        </w:rPr>
      </w:pPr>
    </w:p>
    <w:p w14:paraId="253A9728" w14:textId="1B78C1DD" w:rsidR="00550099" w:rsidRDefault="00D00C02" w:rsidP="00550099">
      <w:pPr>
        <w:rPr>
          <w:lang w:eastAsia="en-US"/>
        </w:rPr>
      </w:pPr>
      <w:r>
        <w:rPr>
          <w:lang w:eastAsia="en-US"/>
        </w:rPr>
        <w:t>Ce paquet « Fit for 55 »</w:t>
      </w:r>
      <w:r w:rsidR="00550099">
        <w:rPr>
          <w:lang w:eastAsia="en-US"/>
        </w:rPr>
        <w:t xml:space="preserve"> conserve le cadre précédent d'action climat - énergie actuel reposant sur les 3 piliers suivants avec un alignement de leurs objectifs respectifs sur cette ambition rehaussée : </w:t>
      </w:r>
    </w:p>
    <w:p w14:paraId="53C59253" w14:textId="047FEE15" w:rsidR="00550099" w:rsidRDefault="00550099" w:rsidP="003F57EA">
      <w:pPr>
        <w:pStyle w:val="ListParagraph"/>
        <w:numPr>
          <w:ilvl w:val="0"/>
          <w:numId w:val="76"/>
        </w:numPr>
        <w:rPr>
          <w:lang w:eastAsia="en-US"/>
        </w:rPr>
      </w:pPr>
      <w:r>
        <w:rPr>
          <w:lang w:eastAsia="en-US"/>
        </w:rPr>
        <w:t>Le marché carbone européen (« EU ETS », European Union Emission Trading System) avec un objectif de réduction des émissions rehaussé de - 43% à - 61% par rapport à 1990 (correspondant à une réduction d'émissions de - 64% pour les installations industrielles fixes) ;</w:t>
      </w:r>
    </w:p>
    <w:p w14:paraId="49101BAE" w14:textId="1191667F" w:rsidR="00550099" w:rsidRDefault="00550099" w:rsidP="003F57EA">
      <w:pPr>
        <w:pStyle w:val="ListParagraph"/>
        <w:numPr>
          <w:ilvl w:val="0"/>
          <w:numId w:val="76"/>
        </w:numPr>
        <w:rPr>
          <w:lang w:eastAsia="en-US"/>
        </w:rPr>
      </w:pPr>
      <w:r>
        <w:rPr>
          <w:lang w:eastAsia="en-US"/>
        </w:rPr>
        <w:t>Le règlement sur le partage de l'effort entre Etats membres (" ESR ", Effort Sharing Regulation) avec un objectif rehaussé de - 30% à - 40% par rapport à 2005 sur les secteurs de l'agriculture, du bâtiment, des transports, des déchets et de l'industrie non couverte par l'EU ETS historique ;</w:t>
      </w:r>
    </w:p>
    <w:p w14:paraId="2833F688" w14:textId="216F8715" w:rsidR="00550099" w:rsidRDefault="00550099" w:rsidP="003F57EA">
      <w:pPr>
        <w:pStyle w:val="ListParagraph"/>
        <w:numPr>
          <w:ilvl w:val="0"/>
          <w:numId w:val="76"/>
        </w:numPr>
        <w:rPr>
          <w:lang w:eastAsia="en-US"/>
        </w:rPr>
      </w:pPr>
      <w:r>
        <w:rPr>
          <w:lang w:eastAsia="en-US"/>
        </w:rPr>
        <w:t xml:space="preserve">Un cadre de comptabilisation des émissions et absorptions du secteur des terres et de la forêt (règlement « LULUCF », Land Use, Land-Use Change and Forestry) avec un objectif de 310 M de tonnes de </w:t>
      </w:r>
      <w:r w:rsidR="007F09F7">
        <w:t>CO</w:t>
      </w:r>
      <w:r w:rsidR="007F09F7" w:rsidRPr="007F09F7">
        <w:rPr>
          <w:vertAlign w:val="subscript"/>
        </w:rPr>
        <w:t>2</w:t>
      </w:r>
      <w:r>
        <w:rPr>
          <w:lang w:eastAsia="en-US"/>
        </w:rPr>
        <w:t xml:space="preserve"> équivalent pour le puits de carbone européen.</w:t>
      </w:r>
    </w:p>
    <w:p w14:paraId="5E9A4D06" w14:textId="77777777" w:rsidR="00550099" w:rsidRDefault="00550099" w:rsidP="00550099">
      <w:pPr>
        <w:rPr>
          <w:lang w:eastAsia="en-US"/>
        </w:rPr>
      </w:pPr>
    </w:p>
    <w:p w14:paraId="6C858636" w14:textId="1FBADC18" w:rsidR="00550099" w:rsidRDefault="00550099" w:rsidP="00550099">
      <w:pPr>
        <w:rPr>
          <w:lang w:eastAsia="en-US"/>
        </w:rPr>
      </w:pPr>
      <w:r>
        <w:rPr>
          <w:lang w:eastAsia="en-US"/>
        </w:rPr>
        <w:t>Outre le rehaussement de l'objectif global de réduction, l'Union européenne met en place également une réforme de son marché carbone européen, notamment en élargissant son champ d'application au transport maritime. Elle met également en place un nouveau marché carbone européen porté sur les consommations énergétiques liées aux transports routiers et aux bâtiments. Afin d'atténuer l'impact de ce nouveau marché carbone, l'Union européenne et ses Etats membres créent un Fonds Social pour le Climat (FSC) visant à accompagner les ménages les plus vulnérables et microentreprises vers des solutions bas carbone.</w:t>
      </w:r>
    </w:p>
    <w:p w14:paraId="597AB868" w14:textId="77777777" w:rsidR="00550099" w:rsidRDefault="00550099" w:rsidP="00550099">
      <w:pPr>
        <w:rPr>
          <w:lang w:eastAsia="en-US"/>
        </w:rPr>
      </w:pPr>
      <w:r>
        <w:rPr>
          <w:lang w:eastAsia="en-US"/>
        </w:rPr>
        <w:t>Viennent en complément et en soutien de ces outils climatiques des politiques et mesures sectorielles révisées elles aussi à la hausse dans le domaine de l'énergie avec des objectifs plus ambitieux :</w:t>
      </w:r>
    </w:p>
    <w:p w14:paraId="5401521C" w14:textId="6C123FB7" w:rsidR="00550099" w:rsidRDefault="00D00C02" w:rsidP="003F57EA">
      <w:pPr>
        <w:pStyle w:val="ListParagraph"/>
        <w:numPr>
          <w:ilvl w:val="0"/>
          <w:numId w:val="77"/>
        </w:numPr>
        <w:rPr>
          <w:lang w:eastAsia="en-US"/>
        </w:rPr>
      </w:pPr>
      <w:r>
        <w:rPr>
          <w:lang w:eastAsia="en-US"/>
        </w:rPr>
        <w:t>A</w:t>
      </w:r>
      <w:r w:rsidR="00550099">
        <w:rPr>
          <w:lang w:eastAsia="en-US"/>
        </w:rPr>
        <w:t>ugmentation de 32% actuellemen</w:t>
      </w:r>
      <w:r>
        <w:rPr>
          <w:lang w:eastAsia="en-US"/>
        </w:rPr>
        <w:t>t à 40</w:t>
      </w:r>
      <w:r w:rsidR="00550099">
        <w:rPr>
          <w:lang w:eastAsia="en-US"/>
        </w:rPr>
        <w:t>% de la part des énergies renouvelables dans la consommation énergétique finale brute;</w:t>
      </w:r>
    </w:p>
    <w:p w14:paraId="51B7DE54" w14:textId="384CF751" w:rsidR="00550099" w:rsidRDefault="00D00C02" w:rsidP="003F57EA">
      <w:pPr>
        <w:pStyle w:val="ListParagraph"/>
        <w:numPr>
          <w:ilvl w:val="0"/>
          <w:numId w:val="77"/>
        </w:numPr>
        <w:rPr>
          <w:lang w:eastAsia="en-US"/>
        </w:rPr>
      </w:pPr>
      <w:r>
        <w:rPr>
          <w:lang w:eastAsia="en-US"/>
        </w:rPr>
        <w:t>D</w:t>
      </w:r>
      <w:r w:rsidR="00550099">
        <w:rPr>
          <w:lang w:eastAsia="en-US"/>
        </w:rPr>
        <w:t>iminution de 32,5% en énergie primaire et en énergie finale actuellement à au moins 36% de la consommation d'énergie finale et 39% de la consommation d'énergie primaire par rapport au scénario de référence Baseline 2007.</w:t>
      </w:r>
    </w:p>
    <w:p w14:paraId="65D86F99" w14:textId="77777777" w:rsidR="00D00C02" w:rsidRDefault="00D00C02" w:rsidP="00550099">
      <w:pPr>
        <w:rPr>
          <w:lang w:eastAsia="en-US"/>
        </w:rPr>
      </w:pPr>
    </w:p>
    <w:p w14:paraId="15D91469" w14:textId="1CC89484" w:rsidR="00550099" w:rsidRDefault="00550099" w:rsidP="00550099">
      <w:pPr>
        <w:rPr>
          <w:lang w:eastAsia="en-US"/>
        </w:rPr>
      </w:pPr>
      <w:r>
        <w:rPr>
          <w:lang w:eastAsia="en-US"/>
        </w:rPr>
        <w:t xml:space="preserve">Le paquet </w:t>
      </w:r>
      <w:r w:rsidR="00D00C02">
        <w:rPr>
          <w:lang w:eastAsia="en-US"/>
        </w:rPr>
        <w:t>« </w:t>
      </w:r>
      <w:r>
        <w:rPr>
          <w:lang w:eastAsia="en-US"/>
        </w:rPr>
        <w:t>Fit for 55</w:t>
      </w:r>
      <w:r w:rsidR="00D00C02">
        <w:rPr>
          <w:lang w:eastAsia="en-US"/>
        </w:rPr>
        <w:t> »</w:t>
      </w:r>
      <w:r>
        <w:rPr>
          <w:lang w:eastAsia="en-US"/>
        </w:rPr>
        <w:t xml:space="preserve"> révise en ce sens la législation en matière d'énergie dans le cadre des directives sur les énergies renouvelables, sur l'efficacité énergétique, et sur la fiscalité de l'énergie, et également en matière de transports (règlement sur les normes d'émissions de </w:t>
      </w:r>
      <w:r w:rsidR="007F09F7">
        <w:t>CO</w:t>
      </w:r>
      <w:r w:rsidR="007F09F7" w:rsidRPr="007F09F7">
        <w:rPr>
          <w:vertAlign w:val="subscript"/>
        </w:rPr>
        <w:t>2</w:t>
      </w:r>
      <w:r>
        <w:rPr>
          <w:lang w:eastAsia="en-US"/>
        </w:rPr>
        <w:t xml:space="preserve"> des véhicules légers, carburants alternatifs dans les différents modes de transport). Ce corpus législatif vise à accélérer la décarbonation de l'économie européenne à travers tous les secteurs afin de permettre l'atteinte par les Etats membres de leurs objectifs climatiques. </w:t>
      </w:r>
    </w:p>
    <w:p w14:paraId="43F0B618" w14:textId="6B988AA5" w:rsidR="00550099" w:rsidRDefault="00550099" w:rsidP="00550099">
      <w:pPr>
        <w:rPr>
          <w:lang w:eastAsia="en-US"/>
        </w:rPr>
      </w:pPr>
      <w:r>
        <w:rPr>
          <w:lang w:eastAsia="en-US"/>
        </w:rPr>
        <w:t>Afin de maintenir la compétitivité des</w:t>
      </w:r>
      <w:r w:rsidR="00D00C02">
        <w:rPr>
          <w:lang w:eastAsia="en-US"/>
        </w:rPr>
        <w:t xml:space="preserve"> secteurs exposés au risque de « fuites de carbone »</w:t>
      </w:r>
      <w:r>
        <w:rPr>
          <w:lang w:eastAsia="en-US"/>
        </w:rPr>
        <w:t>, un mécanisme d'ajustement carbone aux frontières (MACF) est créé sur des secteurs pilotes (acier, ciment, électricité, engrais, aluminium) et en cohérence avec le marché carbone européen renforcé, avec une mise en œuvre effective à compter de 2026.</w:t>
      </w:r>
    </w:p>
    <w:p w14:paraId="30EB6759" w14:textId="627EF58C" w:rsidR="003E0B9A" w:rsidRPr="00133BB6" w:rsidRDefault="00550099" w:rsidP="00550099">
      <w:pPr>
        <w:rPr>
          <w:lang w:eastAsia="en-US"/>
        </w:rPr>
      </w:pPr>
      <w:r>
        <w:rPr>
          <w:lang w:eastAsia="en-US"/>
        </w:rPr>
        <w:t xml:space="preserve">Ces propositions font l'objet de négociations approfondies entre le Parlement européen et le Conseil de l'Union européenne (Etats membres). Des accords ont été trouvés à date sur plusieurs textes (ESR, LULUCF, </w:t>
      </w:r>
      <w:r w:rsidR="007F09F7">
        <w:t>CO</w:t>
      </w:r>
      <w:r w:rsidR="007F09F7" w:rsidRPr="007F09F7">
        <w:rPr>
          <w:vertAlign w:val="subscript"/>
        </w:rPr>
        <w:t>2</w:t>
      </w:r>
      <w:r>
        <w:rPr>
          <w:lang w:eastAsia="en-US"/>
        </w:rPr>
        <w:t xml:space="preserve"> des véhicules, MACF)</w:t>
      </w:r>
      <w:r w:rsidR="00F64B17">
        <w:rPr>
          <w:lang w:eastAsia="en-US"/>
        </w:rPr>
        <w:t xml:space="preserve"> sous présidence tchèque</w:t>
      </w:r>
      <w:r>
        <w:rPr>
          <w:lang w:eastAsia="en-US"/>
        </w:rPr>
        <w:t>.</w:t>
      </w:r>
      <w:r w:rsidR="00F64B17">
        <w:rPr>
          <w:lang w:eastAsia="en-US"/>
        </w:rPr>
        <w:t xml:space="preserve"> D’autres textes devraient également aboutir prochainement à un accord (EU ETS, FSC, …).</w:t>
      </w:r>
      <w:r>
        <w:rPr>
          <w:lang w:eastAsia="en-US"/>
        </w:rPr>
        <w:t xml:space="preserve"> L'adoption définitive de ces textes législatifs devrait être effective début 2023.</w:t>
      </w:r>
    </w:p>
    <w:p w14:paraId="26C93602" w14:textId="1FBA2950" w:rsidR="00B23A9B" w:rsidRDefault="00B23A9B" w:rsidP="00E22CF8">
      <w:pPr>
        <w:pStyle w:val="Titre2Niveau2"/>
      </w:pPr>
      <w:bookmarkStart w:id="456" w:name="_Toc111839766"/>
      <w:bookmarkStart w:id="457" w:name="_Toc138342003"/>
      <w:r>
        <w:t>Les politiques et mesures et leurs effets</w:t>
      </w:r>
      <w:bookmarkEnd w:id="456"/>
      <w:bookmarkEnd w:id="457"/>
    </w:p>
    <w:p w14:paraId="5EFC676E" w14:textId="6D83922D" w:rsidR="00B7225B" w:rsidRDefault="00B7225B" w:rsidP="00B7225B">
      <w:r>
        <w:t>Cette section présente les principales politiques et mesures mises en œuvre. Seules les plus impactantes sont évaluées. Un résumé des politiques et mesures par secteur sont disponibles dans la table CTF 3 du BR5, qui indique également l’état d’implémentation des mesures.</w:t>
      </w:r>
    </w:p>
    <w:p w14:paraId="686F8F8C" w14:textId="6A7B91AF" w:rsidR="00393C4D" w:rsidRDefault="00B23A9B" w:rsidP="003F57EA">
      <w:pPr>
        <w:pStyle w:val="Titre3Niveau3"/>
      </w:pPr>
      <w:bookmarkStart w:id="458" w:name="_Toc138342004"/>
      <w:r>
        <w:t>Transport</w:t>
      </w:r>
      <w:bookmarkEnd w:id="458"/>
    </w:p>
    <w:p w14:paraId="0BD196C0" w14:textId="5759FF88" w:rsidR="00393C4D" w:rsidRDefault="00393C4D" w:rsidP="00F0578E">
      <w:r w:rsidRPr="00B545E5">
        <w:t>Le secteur des transports est le premier poste d’émissions de gaz à effet de serre en France, représentant 30% des émissions en 2021. Les enjeux sont particulièrement forts pour le transport routier qui représente 94% des émissions du secteur. Le dioxyde de carbone (</w:t>
      </w:r>
      <w:r w:rsidR="007F09F7">
        <w:t>CO</w:t>
      </w:r>
      <w:r w:rsidR="007F09F7" w:rsidRPr="007F09F7">
        <w:rPr>
          <w:vertAlign w:val="subscript"/>
        </w:rPr>
        <w:t>2</w:t>
      </w:r>
      <w:r w:rsidRPr="00B545E5">
        <w:t>) est le principal gaz à effet de serre émis par les transports (96%)</w:t>
      </w:r>
      <w:r>
        <w:t>,</w:t>
      </w:r>
      <w:r w:rsidRPr="00B545E5">
        <w:t xml:space="preserve"> suivi des gaz fluorés émis par les systèmes de froid et climatisation (2,7%) et d’autres gaz à effet de serre (1,3%) comme le protoxyde d’azote (</w:t>
      </w:r>
      <w:r w:rsidR="007F09F7" w:rsidRPr="00141043">
        <w:t>N</w:t>
      </w:r>
      <w:r w:rsidR="007F09F7" w:rsidRPr="004F1EC8">
        <w:rPr>
          <w:vertAlign w:val="subscript"/>
        </w:rPr>
        <w:t>2</w:t>
      </w:r>
      <w:r w:rsidR="007F09F7" w:rsidRPr="00141043">
        <w:t>O</w:t>
      </w:r>
      <w:r w:rsidRPr="00B545E5">
        <w:t>) et le méthane (</w:t>
      </w:r>
      <w:r w:rsidR="007F09F7" w:rsidRPr="00141043">
        <w:t>CH</w:t>
      </w:r>
      <w:r w:rsidR="007F09F7" w:rsidRPr="004F1EC8">
        <w:rPr>
          <w:vertAlign w:val="subscript"/>
        </w:rPr>
        <w:t>4</w:t>
      </w:r>
      <w:r w:rsidRPr="00B545E5">
        <w:t>), émis en faibles quantités lors de la combustion.</w:t>
      </w:r>
    </w:p>
    <w:p w14:paraId="0290FC8D" w14:textId="147F8766" w:rsidR="00393C4D" w:rsidRPr="00D0706C" w:rsidRDefault="00393C4D" w:rsidP="00EF6DB6">
      <w:pPr>
        <w:pStyle w:val="Titre4niveau4"/>
      </w:pPr>
      <w:r w:rsidRPr="00D0706C">
        <w:t xml:space="preserve">Mesures visant à réduire </w:t>
      </w:r>
      <w:r w:rsidRPr="00571533">
        <w:t>les</w:t>
      </w:r>
      <w:r w:rsidRPr="00D0706C">
        <w:t xml:space="preserve"> émissions de </w:t>
      </w:r>
      <w:r w:rsidR="007F09F7">
        <w:t>CO</w:t>
      </w:r>
      <w:r w:rsidR="007F09F7" w:rsidRPr="00E22CF8">
        <w:rPr>
          <w:vertAlign w:val="subscript"/>
        </w:rPr>
        <w:t>2</w:t>
      </w:r>
      <w:r w:rsidRPr="00D0706C">
        <w:t xml:space="preserve"> des transports</w:t>
      </w:r>
    </w:p>
    <w:p w14:paraId="0F355490" w14:textId="1562A85B" w:rsidR="00393C4D" w:rsidRPr="00D0706C" w:rsidRDefault="00393C4D" w:rsidP="00F0578E">
      <w:r w:rsidRPr="00D0706C">
        <w:t xml:space="preserve">Les mesures mises en œuvre pour réduire les émissions de </w:t>
      </w:r>
      <w:r w:rsidR="007F09F7">
        <w:t>CO</w:t>
      </w:r>
      <w:r w:rsidR="007F09F7" w:rsidRPr="007F09F7">
        <w:rPr>
          <w:vertAlign w:val="subscript"/>
        </w:rPr>
        <w:t>2</w:t>
      </w:r>
      <w:r w:rsidRPr="00D0706C">
        <w:t xml:space="preserve"> des transports visent </w:t>
      </w:r>
      <w:r>
        <w:t>à accroître</w:t>
      </w:r>
      <w:r w:rsidRPr="00D0706C">
        <w:t xml:space="preserve"> </w:t>
      </w:r>
      <w:r>
        <w:t>massivement la part de</w:t>
      </w:r>
      <w:r w:rsidRPr="00D0706C">
        <w:t xml:space="preserve"> véhicules à faibles émissions</w:t>
      </w:r>
      <w:r>
        <w:t xml:space="preserve"> dans le parc,</w:t>
      </w:r>
      <w:r w:rsidRPr="00D0706C">
        <w:t xml:space="preserve"> </w:t>
      </w:r>
      <w:r>
        <w:t xml:space="preserve">améliorer </w:t>
      </w:r>
      <w:r w:rsidRPr="00D0706C">
        <w:t>l’efficacité énergétique des véhicules, favoriser</w:t>
      </w:r>
      <w:r>
        <w:t xml:space="preserve"> </w:t>
      </w:r>
      <w:r w:rsidRPr="00D0706C">
        <w:t>le développement des biocarburants</w:t>
      </w:r>
      <w:r>
        <w:t>,</w:t>
      </w:r>
      <w:r w:rsidRPr="001D442B">
        <w:t xml:space="preserve"> </w:t>
      </w:r>
      <w:r>
        <w:t>augmenter le taux d’occupation des véhicules</w:t>
      </w:r>
      <w:r w:rsidRPr="00D0706C">
        <w:t xml:space="preserve"> et soutenir le report modal.</w:t>
      </w:r>
    </w:p>
    <w:p w14:paraId="0BF9D9A8" w14:textId="77777777" w:rsidR="00393C4D" w:rsidRPr="00D0706C" w:rsidRDefault="00393C4D" w:rsidP="00F0578E">
      <w:r w:rsidRPr="00D0706C">
        <w:t>Les mesures visant à réduire les émissions de gaz à effet de serre des transports ont fait l’objet de renforcements</w:t>
      </w:r>
      <w:r>
        <w:t xml:space="preserve"> </w:t>
      </w:r>
      <w:r w:rsidRPr="00060486">
        <w:t>depuis 2019</w:t>
      </w:r>
      <w:r>
        <w:t>, notamment dans le cadre de la loi d’orientation des mobilités et de la loi climat résilience.</w:t>
      </w:r>
    </w:p>
    <w:p w14:paraId="55C44161" w14:textId="77777777" w:rsidR="00F0578E" w:rsidRDefault="00F0578E" w:rsidP="00F0578E">
      <w:pPr>
        <w:rPr>
          <w:b/>
          <w:noProof/>
        </w:rPr>
      </w:pPr>
    </w:p>
    <w:p w14:paraId="0B1FB523" w14:textId="49E571AB" w:rsidR="00393C4D" w:rsidRDefault="00393C4D" w:rsidP="00F0578E">
      <w:pPr>
        <w:rPr>
          <w:b/>
        </w:rPr>
      </w:pPr>
      <w:r w:rsidRPr="00F0578E">
        <w:rPr>
          <w:b/>
          <w:noProof/>
        </w:rPr>
        <w:t>Le développement des véhicules à faibles émissions et l</w:t>
      </w:r>
      <w:r w:rsidRPr="00F0578E">
        <w:rPr>
          <w:b/>
        </w:rPr>
        <w:t>’amélioration de l’efficacité énergétique des véhicules neufs du transport routier</w:t>
      </w:r>
      <w:r w:rsidR="00F0578E">
        <w:rPr>
          <w:b/>
        </w:rPr>
        <w:t>.</w:t>
      </w:r>
    </w:p>
    <w:p w14:paraId="0246779B" w14:textId="77777777" w:rsidR="00F0578E" w:rsidRPr="00F0578E" w:rsidRDefault="00F0578E" w:rsidP="00F0578E">
      <w:pPr>
        <w:rPr>
          <w:b/>
          <w:noProof/>
        </w:rPr>
      </w:pPr>
    </w:p>
    <w:p w14:paraId="5A74AE8B" w14:textId="5E8D2B8A" w:rsidR="00393C4D" w:rsidRDefault="00393C4D" w:rsidP="00F0578E">
      <w:pPr>
        <w:rPr>
          <w:noProof/>
        </w:rPr>
      </w:pPr>
      <w:r>
        <w:rPr>
          <w:noProof/>
        </w:rPr>
        <w:t>La Stratégie Nationale Bas-Carbone (SNBC) vise à décarboner les véhicules en promouvant pour les voitures particulières l’électrification progressive du parc de véhicules ; pour les véhicules lourds le développement d’un mix plus diversifié (électrification y compris via des solutions piles à combustible avec de l’hydrogène vert, développement de véhicules au gaz avec incitation au développement du gaz renouvelable).</w:t>
      </w:r>
    </w:p>
    <w:p w14:paraId="68CC34E8" w14:textId="77777777" w:rsidR="00F0578E" w:rsidRDefault="00F0578E" w:rsidP="00F0578E">
      <w:pPr>
        <w:rPr>
          <w:noProof/>
        </w:rPr>
      </w:pPr>
    </w:p>
    <w:p w14:paraId="4958F87E" w14:textId="54A40310" w:rsidR="00393C4D" w:rsidRDefault="00393C4D" w:rsidP="00F0578E">
      <w:r>
        <w:t xml:space="preserve">Les mesures relatives à la décarbonation des véhicules sont à la fois d’ordre législatif et réglementaire (règlements européens établissant des normes de performance d’émissions de </w:t>
      </w:r>
      <w:r w:rsidR="007F09F7">
        <w:t>CO</w:t>
      </w:r>
      <w:r w:rsidR="007F09F7" w:rsidRPr="007F09F7">
        <w:rPr>
          <w:vertAlign w:val="subscript"/>
        </w:rPr>
        <w:t>2</w:t>
      </w:r>
      <w:r>
        <w:t xml:space="preserve"> des véhicules neufs, objectifs de fin de vente des véhicules neufs figurant dans la loi d’orientation des mobilités et la loi climat et résilience, obligation d’incorporation de véhicules à faibles émissions lors du renouvellement des flottes de personnes morales), fiscal et financier (notamment bonus-malus à l’achat, prime à la conversion) et incluent des mesures en faveur du développement des infrastructures de recharge et de déploiement de zones à faibles émissions.</w:t>
      </w:r>
    </w:p>
    <w:p w14:paraId="7541C61F" w14:textId="77777777" w:rsidR="00393C4D" w:rsidRPr="006F3BD4" w:rsidRDefault="00393C4D" w:rsidP="00393C4D">
      <w:pPr>
        <w:spacing w:before="240" w:after="240"/>
        <w:rPr>
          <w:b/>
          <w:i/>
          <w:u w:val="single"/>
        </w:rPr>
      </w:pPr>
      <w:r w:rsidRPr="006F3BD4">
        <w:rPr>
          <w:b/>
          <w:i/>
          <w:u w:val="single"/>
        </w:rPr>
        <w:t>Voitures particulières</w:t>
      </w:r>
    </w:p>
    <w:p w14:paraId="775A96FC" w14:textId="3AAB9590" w:rsidR="00393C4D" w:rsidRPr="00D0706C" w:rsidRDefault="00393C4D" w:rsidP="00F0578E">
      <w:r>
        <w:t xml:space="preserve">Concernant les voitures, les </w:t>
      </w:r>
      <w:r w:rsidRPr="00555822">
        <w:rPr>
          <w:b/>
        </w:rPr>
        <w:t>règlements européens</w:t>
      </w:r>
      <w:r>
        <w:t xml:space="preserve"> successifs ont imposé des objectifs de réduction d’émissions dans les ventes de voitures neuves. Un premier règlement de 2009 </w:t>
      </w:r>
      <w:r w:rsidRPr="00D0706C">
        <w:t xml:space="preserve">modifié par </w:t>
      </w:r>
      <w:r>
        <w:t xml:space="preserve">un </w:t>
      </w:r>
      <w:r w:rsidRPr="00D0706C">
        <w:t xml:space="preserve">règlement </w:t>
      </w:r>
      <w:r>
        <w:t xml:space="preserve">de </w:t>
      </w:r>
      <w:r w:rsidRPr="00D0706C">
        <w:t>2014 a</w:t>
      </w:r>
      <w:r>
        <w:t xml:space="preserve"> </w:t>
      </w:r>
      <w:r w:rsidRPr="00D0706C">
        <w:t xml:space="preserve">ainsi imposé aux constructeurs automobiles d’abaisser le plafond d’émissions moyennes de </w:t>
      </w:r>
      <w:r w:rsidR="007F09F7">
        <w:t>CO</w:t>
      </w:r>
      <w:r w:rsidR="007F09F7" w:rsidRPr="007F09F7">
        <w:rPr>
          <w:vertAlign w:val="subscript"/>
        </w:rPr>
        <w:t>2</w:t>
      </w:r>
      <w:r w:rsidRPr="00D0706C">
        <w:t xml:space="preserve"> des </w:t>
      </w:r>
      <w:r>
        <w:t>voitures particulières neuves</w:t>
      </w:r>
      <w:r w:rsidRPr="00D0706C">
        <w:t xml:space="preserve"> à 130 g</w:t>
      </w:r>
      <w:r w:rsidR="007F09F7">
        <w:t>CO</w:t>
      </w:r>
      <w:r w:rsidR="007F09F7" w:rsidRPr="007F09F7">
        <w:rPr>
          <w:vertAlign w:val="subscript"/>
        </w:rPr>
        <w:t>2</w:t>
      </w:r>
      <w:r w:rsidRPr="00D0706C">
        <w:t>/km</w:t>
      </w:r>
      <w:r>
        <w:t xml:space="preserve"> NEDC</w:t>
      </w:r>
      <w:r w:rsidRPr="00D0706C">
        <w:t xml:space="preserve"> en 2015 puis 95 g</w:t>
      </w:r>
      <w:r w:rsidR="007F09F7">
        <w:t>CO</w:t>
      </w:r>
      <w:r w:rsidR="007F09F7" w:rsidRPr="007F09F7">
        <w:rPr>
          <w:vertAlign w:val="subscript"/>
        </w:rPr>
        <w:t>2</w:t>
      </w:r>
      <w:r w:rsidRPr="00D0706C">
        <w:t xml:space="preserve">/km </w:t>
      </w:r>
      <w:r>
        <w:t xml:space="preserve">NEDC </w:t>
      </w:r>
      <w:r w:rsidRPr="00D0706C">
        <w:t>en 202</w:t>
      </w:r>
      <w:r>
        <w:t>0 (cette cible étant traduite en 2021 en valeur WLTP)</w:t>
      </w:r>
      <w:r w:rsidRPr="00D0706C">
        <w:t>. Le règlement européen n° 2019/631 du 17 avril 2019 prévoit un renforcement des</w:t>
      </w:r>
      <w:r>
        <w:t xml:space="preserve"> </w:t>
      </w:r>
      <w:r w:rsidRPr="00D0706C">
        <w:t>objectifs fixés aux constru</w:t>
      </w:r>
      <w:r>
        <w:t>cteurs de voitures avec une réduction de 15</w:t>
      </w:r>
      <w:r w:rsidRPr="00D0706C">
        <w:t xml:space="preserve">% des émissions </w:t>
      </w:r>
      <w:r>
        <w:t>à compter de</w:t>
      </w:r>
      <w:r w:rsidRPr="00D0706C">
        <w:t xml:space="preserve"> 2025 </w:t>
      </w:r>
      <w:r>
        <w:t>puis 37,5</w:t>
      </w:r>
      <w:r w:rsidRPr="00D0706C">
        <w:t xml:space="preserve">% </w:t>
      </w:r>
      <w:r>
        <w:t>à compter de</w:t>
      </w:r>
      <w:r w:rsidRPr="00D0706C">
        <w:t xml:space="preserve"> 2030 par rapport </w:t>
      </w:r>
      <w:r>
        <w:t>à la cible 2021</w:t>
      </w:r>
      <w:r w:rsidRPr="00D0706C">
        <w:t>.</w:t>
      </w:r>
      <w:r>
        <w:t xml:space="preserve"> Dans le cadre du paquet Ajustement à l’objectif 55, l’accord provisoire obtenu au niveau européen prévoit des objectifs de réduction des émissions de 55% en 2030 et de 100% en 2035 par rapport à la cible 2021, soit une fin de vente des voitures neuves à moteur thermique en 2035. </w:t>
      </w:r>
    </w:p>
    <w:p w14:paraId="695F27F9" w14:textId="044796BD" w:rsidR="00393C4D" w:rsidRDefault="00393C4D" w:rsidP="00F0578E">
      <w:pPr>
        <w:rPr>
          <w:noProof/>
        </w:rPr>
      </w:pPr>
      <w:r>
        <w:t>Au niveau national, d</w:t>
      </w:r>
      <w:r>
        <w:rPr>
          <w:noProof/>
        </w:rPr>
        <w:t xml:space="preserve">es objectifs d’incorporation de véhicules à faibles émissions (électriques ou hybrides rechargeables) lors </w:t>
      </w:r>
      <w:r w:rsidRPr="00324980">
        <w:rPr>
          <w:b/>
          <w:noProof/>
        </w:rPr>
        <w:t>du renouvellement des flottes</w:t>
      </w:r>
      <w:r>
        <w:rPr>
          <w:noProof/>
        </w:rPr>
        <w:t xml:space="preserve"> sont fixés depuis 2015 pour les parcs automobiles gérés par l’État, ses établissements publics et les collectivités, ainsi que pour les loueurs de véhicules et les exploitants de taxis et de voitures de transport avec chauffeur (VTC). La loi d’orientation des mobilités (2019) a prévu un renforcement des cibles à atteindre ainsi que l’introduction d’une nouvelle cible portant cette fois sur les véhicules à très faibles émissions (électriques ou hydrogène) pour les flottes publiques et une extension du champ de la mesure aux entreprises privées gérant directement ou indirectement des flottes de plus de 100 véhicules</w:t>
      </w:r>
      <w:r w:rsidRPr="00324980">
        <w:rPr>
          <w:noProof/>
          <w:color w:val="FF0000"/>
        </w:rPr>
        <w:t xml:space="preserve">. </w:t>
      </w:r>
      <w:r w:rsidRPr="002126C7">
        <w:rPr>
          <w:noProof/>
        </w:rPr>
        <w:t>La loi</w:t>
      </w:r>
      <w:r w:rsidR="00260E0B">
        <w:rPr>
          <w:noProof/>
        </w:rPr>
        <w:t xml:space="preserve"> </w:t>
      </w:r>
      <w:r w:rsidRPr="002126C7">
        <w:rPr>
          <w:noProof/>
        </w:rPr>
        <w:t xml:space="preserve">climat et résilience a fixé un </w:t>
      </w:r>
      <w:r>
        <w:rPr>
          <w:noProof/>
        </w:rPr>
        <w:t>réhaussement de l’</w:t>
      </w:r>
      <w:r w:rsidRPr="002126C7">
        <w:rPr>
          <w:noProof/>
        </w:rPr>
        <w:t xml:space="preserve">objectif d'achat de véhicules à faibles émissions lors des renouvellements </w:t>
      </w:r>
      <w:r>
        <w:rPr>
          <w:noProof/>
        </w:rPr>
        <w:t xml:space="preserve">de flottes </w:t>
      </w:r>
      <w:r w:rsidRPr="002126C7">
        <w:rPr>
          <w:noProof/>
        </w:rPr>
        <w:t>à 70% à compter de 2026 pour l'Etat (au lieu de 50%), à 40% à compter de 2025 puis 70% à compter de 2030 pour les collectivités locales, à 40% à compter de 2027 puis 70% à compter de 2030 pour les flottes privées et les loueurs de flottes de plus de 100 véhicules.</w:t>
      </w:r>
      <w:r>
        <w:rPr>
          <w:noProof/>
        </w:rPr>
        <w:t xml:space="preserve"> </w:t>
      </w:r>
      <w:r w:rsidRPr="00837CA8">
        <w:rPr>
          <w:noProof/>
        </w:rPr>
        <w:t>La tr</w:t>
      </w:r>
      <w:r>
        <w:rPr>
          <w:noProof/>
        </w:rPr>
        <w:t>ansposition de la Directive</w:t>
      </w:r>
      <w:r w:rsidRPr="00837CA8">
        <w:rPr>
          <w:noProof/>
        </w:rPr>
        <w:t xml:space="preserve"> Véhicules Propres </w:t>
      </w:r>
      <w:r>
        <w:rPr>
          <w:noProof/>
        </w:rPr>
        <w:t xml:space="preserve">(2019/1161) </w:t>
      </w:r>
      <w:r w:rsidRPr="00837CA8">
        <w:rPr>
          <w:noProof/>
        </w:rPr>
        <w:t>en 2021 a rehaussé les objectifs de véhicules à très faibles émissions (électriques ou hydrogène) à 45</w:t>
      </w:r>
      <w:r w:rsidR="006518EF">
        <w:rPr>
          <w:noProof/>
        </w:rPr>
        <w:t>%</w:t>
      </w:r>
      <w:r w:rsidRPr="00837CA8">
        <w:rPr>
          <w:noProof/>
        </w:rPr>
        <w:t xml:space="preserve"> pour l'Etat à compter de 2030 (au lieu de 37,4%) et à 40</w:t>
      </w:r>
      <w:r w:rsidR="006518EF">
        <w:rPr>
          <w:noProof/>
        </w:rPr>
        <w:t>%</w:t>
      </w:r>
      <w:r w:rsidRPr="00837CA8">
        <w:rPr>
          <w:noProof/>
        </w:rPr>
        <w:t xml:space="preserve"> pour les collectivités locales à compter de 2030 (au lieu de 37,4</w:t>
      </w:r>
      <w:r w:rsidR="006518EF">
        <w:rPr>
          <w:noProof/>
        </w:rPr>
        <w:t>%</w:t>
      </w:r>
      <w:r w:rsidRPr="00837CA8">
        <w:rPr>
          <w:noProof/>
        </w:rPr>
        <w:t>)</w:t>
      </w:r>
      <w:r w:rsidR="00F0578E">
        <w:rPr>
          <w:noProof/>
        </w:rPr>
        <w:t>.</w:t>
      </w:r>
    </w:p>
    <w:p w14:paraId="496E7E5E" w14:textId="77777777" w:rsidR="00F0578E" w:rsidRPr="002126C7" w:rsidRDefault="00F0578E" w:rsidP="00F0578E">
      <w:pPr>
        <w:rPr>
          <w:noProof/>
        </w:rPr>
      </w:pPr>
    </w:p>
    <w:p w14:paraId="028D60FD" w14:textId="3AE6EDD6" w:rsidR="00393C4D" w:rsidRPr="002126C7" w:rsidRDefault="00393C4D" w:rsidP="00F0578E">
      <w:r w:rsidRPr="002126C7">
        <w:t>Au niveau national</w:t>
      </w:r>
      <w:r>
        <w:t xml:space="preserve">, </w:t>
      </w:r>
      <w:r w:rsidRPr="002126C7">
        <w:t xml:space="preserve">la loi climat-résilience </w:t>
      </w:r>
      <w:r>
        <w:t xml:space="preserve">fixe un objectif </w:t>
      </w:r>
      <w:r w:rsidRPr="002126C7">
        <w:t>de limitation à 5% maximum des ventes de voitures particulières neuves émettant plus de 123 g</w:t>
      </w:r>
      <w:r w:rsidR="007F09F7">
        <w:t>CO</w:t>
      </w:r>
      <w:r w:rsidR="007F09F7" w:rsidRPr="007F09F7">
        <w:rPr>
          <w:vertAlign w:val="subscript"/>
        </w:rPr>
        <w:t>2</w:t>
      </w:r>
      <w:r w:rsidRPr="002126C7">
        <w:t>/km WLTP (95</w:t>
      </w:r>
      <w:r>
        <w:t xml:space="preserve"> </w:t>
      </w:r>
      <w:r w:rsidRPr="002126C7">
        <w:t>g</w:t>
      </w:r>
      <w:r w:rsidR="007F09F7">
        <w:t>CO</w:t>
      </w:r>
      <w:r w:rsidR="007F09F7" w:rsidRPr="007F09F7">
        <w:rPr>
          <w:vertAlign w:val="subscript"/>
        </w:rPr>
        <w:t>2</w:t>
      </w:r>
      <w:r w:rsidRPr="002126C7">
        <w:t>/km NEDC)</w:t>
      </w:r>
      <w:r>
        <w:t xml:space="preserve">, d’ici le </w:t>
      </w:r>
      <w:r w:rsidR="006518EF" w:rsidRPr="009F4180">
        <w:t>1</w:t>
      </w:r>
      <w:r w:rsidR="006518EF" w:rsidRPr="007F47EF">
        <w:rPr>
          <w:vertAlign w:val="superscript"/>
        </w:rPr>
        <w:t>er</w:t>
      </w:r>
      <w:r>
        <w:t xml:space="preserve"> janvier </w:t>
      </w:r>
      <w:r w:rsidRPr="002126C7">
        <w:t>2030.</w:t>
      </w:r>
    </w:p>
    <w:p w14:paraId="04CE821C" w14:textId="77777777" w:rsidR="00393C4D" w:rsidRDefault="00393C4D" w:rsidP="00F0578E">
      <w:pPr>
        <w:rPr>
          <w:noProof/>
        </w:rPr>
      </w:pPr>
      <w:r w:rsidRPr="00555822">
        <w:t>Différents dispositifs fiscaux</w:t>
      </w:r>
      <w:r>
        <w:t xml:space="preserve"> et financiers</w:t>
      </w:r>
      <w:r w:rsidRPr="00555822">
        <w:t xml:space="preserve"> visent à inciter l</w:t>
      </w:r>
      <w:r>
        <w:t>’acquisition</w:t>
      </w:r>
      <w:r w:rsidRPr="00555822">
        <w:t xml:space="preserve"> </w:t>
      </w:r>
      <w:r>
        <w:t xml:space="preserve">de véhicules faiblement émetteurs. </w:t>
      </w:r>
      <w:r w:rsidRPr="00555822">
        <w:rPr>
          <w:noProof/>
        </w:rPr>
        <w:t>La loi climat-résilience affirme le principe d</w:t>
      </w:r>
      <w:r>
        <w:rPr>
          <w:noProof/>
        </w:rPr>
        <w:t>’un</w:t>
      </w:r>
      <w:r w:rsidRPr="00555822">
        <w:rPr>
          <w:noProof/>
        </w:rPr>
        <w:t xml:space="preserve"> maintien des dispositifs d'aide/incitation à l'acquisition de véhicules propres jusqu'en 2030, les dispositifs ayant vocation à être ajustés en fonction de l'atteinte des objectifs et des conditions économiques.</w:t>
      </w:r>
    </w:p>
    <w:p w14:paraId="1BADCFD7" w14:textId="77777777" w:rsidR="00F0578E" w:rsidRDefault="00F0578E" w:rsidP="00F0578E"/>
    <w:p w14:paraId="0162287F" w14:textId="3AD515B0" w:rsidR="00393C4D" w:rsidRPr="00F42F86" w:rsidRDefault="00393C4D" w:rsidP="00F0578E">
      <w:r w:rsidRPr="00D0706C">
        <w:t>Le dispositif de bonus-malus, mis en place depuis 2008, vise à récompenser, via un bonus, les acquéreurs</w:t>
      </w:r>
      <w:r>
        <w:t xml:space="preserve"> </w:t>
      </w:r>
      <w:r w:rsidRPr="00D0706C">
        <w:t xml:space="preserve">de voitures neuves émettant le moins de </w:t>
      </w:r>
      <w:r w:rsidR="007F09F7">
        <w:t>CO</w:t>
      </w:r>
      <w:r w:rsidR="007F09F7" w:rsidRPr="007F09F7">
        <w:rPr>
          <w:vertAlign w:val="subscript"/>
        </w:rPr>
        <w:t>2</w:t>
      </w:r>
      <w:r w:rsidRPr="00D0706C">
        <w:t>, et à pénaliser, via un malus fiscal, ceux qui optent pour les</w:t>
      </w:r>
      <w:r>
        <w:t xml:space="preserve"> </w:t>
      </w:r>
      <w:r w:rsidRPr="00D0706C">
        <w:t>modèles les plus émetteurs. Les montants et les seuils</w:t>
      </w:r>
      <w:r>
        <w:t xml:space="preserve"> </w:t>
      </w:r>
      <w:r w:rsidRPr="00D0706C">
        <w:t xml:space="preserve">sont revus périodiquement afin de conserver l’effet incitatif du dispositif. </w:t>
      </w:r>
      <w:r>
        <w:t xml:space="preserve">Au </w:t>
      </w:r>
      <w:r w:rsidR="006518EF" w:rsidRPr="009F4180">
        <w:t>1</w:t>
      </w:r>
      <w:r w:rsidR="006518EF" w:rsidRPr="007F47EF">
        <w:rPr>
          <w:vertAlign w:val="superscript"/>
        </w:rPr>
        <w:t>er</w:t>
      </w:r>
      <w:r>
        <w:t xml:space="preserve"> septembre 2022, le</w:t>
      </w:r>
      <w:r w:rsidRPr="00555822">
        <w:t xml:space="preserve"> </w:t>
      </w:r>
      <w:r w:rsidRPr="002C1739">
        <w:rPr>
          <w:b/>
        </w:rPr>
        <w:t>malus</w:t>
      </w:r>
      <w:r w:rsidRPr="00555822">
        <w:t xml:space="preserve"> s’applique aux véhicules émettant plus de </w:t>
      </w:r>
      <w:r>
        <w:t>128</w:t>
      </w:r>
      <w:r w:rsidRPr="00555822">
        <w:t xml:space="preserve"> g</w:t>
      </w:r>
      <w:r w:rsidR="007F09F7">
        <w:t>CO</w:t>
      </w:r>
      <w:r w:rsidR="007F09F7" w:rsidRPr="007F09F7">
        <w:rPr>
          <w:vertAlign w:val="subscript"/>
        </w:rPr>
        <w:t>2</w:t>
      </w:r>
      <w:r w:rsidRPr="00555822">
        <w:t xml:space="preserve">/km </w:t>
      </w:r>
      <w:r>
        <w:t xml:space="preserve">(dans le nouveau cycle WLTP) </w:t>
      </w:r>
      <w:r w:rsidRPr="00555822">
        <w:t xml:space="preserve">et correspond à une majoration du prix d'achat allant de </w:t>
      </w:r>
      <w:r>
        <w:t>50</w:t>
      </w:r>
      <w:r w:rsidRPr="00555822">
        <w:t xml:space="preserve"> € à </w:t>
      </w:r>
      <w:r>
        <w:t>40</w:t>
      </w:r>
      <w:r>
        <w:rPr>
          <w:rFonts w:ascii="Calibri" w:hAnsi="Calibri" w:cs="Calibri"/>
        </w:rPr>
        <w:t> </w:t>
      </w:r>
      <w:r>
        <w:t>000</w:t>
      </w:r>
      <w:r>
        <w:rPr>
          <w:rFonts w:ascii="Calibri" w:hAnsi="Calibri" w:cs="Calibri"/>
        </w:rPr>
        <w:t> </w:t>
      </w:r>
      <w:r w:rsidRPr="00555822">
        <w:t>€</w:t>
      </w:r>
      <w:r>
        <w:t xml:space="preserve"> (plafonné à 50% du montant d’achat TTC du véhicule)</w:t>
      </w:r>
      <w:r w:rsidRPr="00555822">
        <w:t xml:space="preserve">. Plus le modèle est émetteur </w:t>
      </w:r>
      <w:r>
        <w:t xml:space="preserve">de </w:t>
      </w:r>
      <w:r w:rsidR="007F09F7">
        <w:t>CO</w:t>
      </w:r>
      <w:r w:rsidR="007F09F7" w:rsidRPr="007F09F7">
        <w:rPr>
          <w:vertAlign w:val="subscript"/>
        </w:rPr>
        <w:t>2</w:t>
      </w:r>
      <w:r>
        <w:t>, plus le malus augmente.</w:t>
      </w:r>
      <w:r w:rsidRPr="00555822">
        <w:rPr>
          <w:noProof/>
        </w:rPr>
        <w:t xml:space="preserve"> </w:t>
      </w:r>
      <w:r>
        <w:t>Un malus poids, démarrant à 1</w:t>
      </w:r>
      <w:r>
        <w:rPr>
          <w:rFonts w:ascii="Calibri" w:hAnsi="Calibri" w:cs="Calibri"/>
        </w:rPr>
        <w:t> </w:t>
      </w:r>
      <w:r>
        <w:t xml:space="preserve">800 kg, a aussi été mis en place depuis le </w:t>
      </w:r>
      <w:r w:rsidR="006518EF" w:rsidRPr="009F4180">
        <w:t>1</w:t>
      </w:r>
      <w:r w:rsidR="006518EF" w:rsidRPr="007F47EF">
        <w:rPr>
          <w:vertAlign w:val="superscript"/>
        </w:rPr>
        <w:t>er</w:t>
      </w:r>
      <w:r>
        <w:t xml:space="preserve"> janvier 2022 pour les véhicules thermiques et les véhicules hybrides rechargeables d’une autonomie électrique en ville inférieure à 50 km. </w:t>
      </w:r>
      <w:r>
        <w:rPr>
          <w:noProof/>
        </w:rPr>
        <w:t xml:space="preserve">Au </w:t>
      </w:r>
      <w:r w:rsidR="006518EF" w:rsidRPr="009F4180">
        <w:t>1</w:t>
      </w:r>
      <w:r w:rsidR="006518EF" w:rsidRPr="007F47EF">
        <w:rPr>
          <w:vertAlign w:val="superscript"/>
        </w:rPr>
        <w:t>er</w:t>
      </w:r>
      <w:r>
        <w:rPr>
          <w:noProof/>
        </w:rPr>
        <w:t xml:space="preserve"> septembre 2022, le </w:t>
      </w:r>
      <w:r w:rsidRPr="00AA5D9B">
        <w:rPr>
          <w:b/>
          <w:noProof/>
        </w:rPr>
        <w:t xml:space="preserve">bonus </w:t>
      </w:r>
      <w:r w:rsidRPr="00555822">
        <w:rPr>
          <w:noProof/>
        </w:rPr>
        <w:t xml:space="preserve">pour </w:t>
      </w:r>
      <w:r>
        <w:rPr>
          <w:noProof/>
        </w:rPr>
        <w:t>une voiture électrique neuve</w:t>
      </w:r>
      <w:r w:rsidRPr="00555822">
        <w:rPr>
          <w:noProof/>
        </w:rPr>
        <w:t xml:space="preserve"> s’élève jusqu’à 6 000 € pour les particuliers et 4</w:t>
      </w:r>
      <w:r>
        <w:rPr>
          <w:noProof/>
        </w:rPr>
        <w:t xml:space="preserve"> </w:t>
      </w:r>
      <w:r w:rsidRPr="00555822">
        <w:rPr>
          <w:noProof/>
        </w:rPr>
        <w:t>000€ pour une personne morale.</w:t>
      </w:r>
      <w:r w:rsidR="00F64B17">
        <w:rPr>
          <w:noProof/>
        </w:rPr>
        <w:t xml:space="preserve"> </w:t>
      </w:r>
      <w:r>
        <w:rPr>
          <w:noProof/>
        </w:rPr>
        <w:t xml:space="preserve">Si l’achat d’un véhicule moins émetteur s’accompagne de la mise au rebut d’un véhicule thermique ancien, une prime complémentaire, dite prime à la conversion, est </w:t>
      </w:r>
      <w:r w:rsidRPr="00F42F86">
        <w:rPr>
          <w:noProof/>
        </w:rPr>
        <w:t>versée.</w:t>
      </w:r>
      <w:r w:rsidR="00F64B17">
        <w:rPr>
          <w:noProof/>
        </w:rPr>
        <w:t xml:space="preserve"> </w:t>
      </w:r>
      <w:r>
        <w:t>Son montant pour une voiture électrique neuve s’élève jusqu’à 5</w:t>
      </w:r>
      <w:r>
        <w:rPr>
          <w:rFonts w:ascii="Calibri" w:hAnsi="Calibri" w:cs="Calibri"/>
        </w:rPr>
        <w:t> </w:t>
      </w:r>
      <w:r>
        <w:t>000 € pour les particuliers (sous conditions de ressources et de kilométrage) et 2</w:t>
      </w:r>
      <w:r>
        <w:rPr>
          <w:rFonts w:ascii="Calibri" w:hAnsi="Calibri" w:cs="Calibri"/>
        </w:rPr>
        <w:t> </w:t>
      </w:r>
      <w:r>
        <w:t xml:space="preserve">500 € pour les personnes morales. </w:t>
      </w:r>
    </w:p>
    <w:p w14:paraId="79C34BF6" w14:textId="77777777" w:rsidR="00F0578E" w:rsidRDefault="00F0578E" w:rsidP="00F0578E"/>
    <w:p w14:paraId="2DB83CB6" w14:textId="7A93236F" w:rsidR="00393C4D" w:rsidRPr="00F42F86" w:rsidRDefault="00393C4D" w:rsidP="00F0578E">
      <w:r>
        <w:t xml:space="preserve">Pour les personnes </w:t>
      </w:r>
      <w:r w:rsidRPr="00F42F86">
        <w:t xml:space="preserve">habitant </w:t>
      </w:r>
      <w:r>
        <w:t xml:space="preserve">ou travaillant </w:t>
      </w:r>
      <w:r w:rsidRPr="00F42F86">
        <w:t xml:space="preserve">dans une zone à faible émission mobilité (ZFE), </w:t>
      </w:r>
      <w:r>
        <w:t>dont</w:t>
      </w:r>
      <w:r w:rsidRPr="00F42F86">
        <w:t xml:space="preserve"> l’accès est restreint </w:t>
      </w:r>
      <w:r>
        <w:t>pour les</w:t>
      </w:r>
      <w:r w:rsidRPr="00F42F86">
        <w:t xml:space="preserve"> véhicules les plus polluants</w:t>
      </w:r>
      <w:r>
        <w:t>,</w:t>
      </w:r>
      <w:r w:rsidRPr="00AA3A62">
        <w:rPr>
          <w:noProof/>
        </w:rPr>
        <w:t xml:space="preserve"> l’Etat accorde une surprime équivalente à l'éventuelle aide versée par la collectivité territoriale, dans la limite de 1 000 €.</w:t>
      </w:r>
    </w:p>
    <w:p w14:paraId="62F9AC2F" w14:textId="77777777" w:rsidR="00F0578E" w:rsidRDefault="00F0578E" w:rsidP="00F0578E"/>
    <w:p w14:paraId="0FFDDFA0" w14:textId="342DFAC2" w:rsidR="00393C4D" w:rsidRDefault="00393C4D" w:rsidP="00F0578E">
      <w:r w:rsidRPr="00F42F86">
        <w:t xml:space="preserve">Un dispositif </w:t>
      </w:r>
      <w:r>
        <w:t xml:space="preserve">de </w:t>
      </w:r>
      <w:r w:rsidRPr="00F42F86">
        <w:t>mi</w:t>
      </w:r>
      <w:r>
        <w:t xml:space="preserve">crocrédit pour l’acquisition d’un véhicule propre </w:t>
      </w:r>
      <w:r w:rsidRPr="00F42F86">
        <w:t xml:space="preserve">permet aux personnes </w:t>
      </w:r>
      <w:r>
        <w:t>exclues du réseau bancaire classique</w:t>
      </w:r>
      <w:r w:rsidRPr="00F42F86">
        <w:t xml:space="preserve"> d'a</w:t>
      </w:r>
      <w:r>
        <w:t>cheter</w:t>
      </w:r>
      <w:r w:rsidRPr="00F42F86">
        <w:t xml:space="preserve"> ou de louer une voiture</w:t>
      </w:r>
      <w:r>
        <w:t>, une camionnette</w:t>
      </w:r>
      <w:r w:rsidRPr="00F42F86">
        <w:t xml:space="preserve"> ou un </w:t>
      </w:r>
      <w:r>
        <w:t xml:space="preserve">véhicule à </w:t>
      </w:r>
      <w:r w:rsidRPr="00F42F86">
        <w:t>deux</w:t>
      </w:r>
      <w:r>
        <w:t xml:space="preserve">trois </w:t>
      </w:r>
      <w:r w:rsidRPr="00F42F86">
        <w:t>roues</w:t>
      </w:r>
      <w:r>
        <w:t xml:space="preserve"> ou quadricycle à moteur</w:t>
      </w:r>
      <w:r w:rsidRPr="00F42F86">
        <w:t xml:space="preserve"> peu polluant. Garanti à 50</w:t>
      </w:r>
      <w:r w:rsidR="006518EF">
        <w:t>%</w:t>
      </w:r>
      <w:r w:rsidRPr="00F42F86">
        <w:t xml:space="preserve"> par l'État, le montant du crédit varie en fonction des revenus du ménage</w:t>
      </w:r>
      <w:r>
        <w:t>. Depuis le 6 février 2022, son montant maximal atteint désormais 8</w:t>
      </w:r>
      <w:r>
        <w:rPr>
          <w:rFonts w:ascii="Calibri" w:hAnsi="Calibri" w:cs="Calibri"/>
        </w:rPr>
        <w:t> </w:t>
      </w:r>
      <w:r>
        <w:t>000 €, remboursable sur sept ans, contre 5</w:t>
      </w:r>
      <w:r>
        <w:rPr>
          <w:rFonts w:ascii="Calibri" w:hAnsi="Calibri" w:cs="Calibri"/>
        </w:rPr>
        <w:t> </w:t>
      </w:r>
      <w:r>
        <w:t>000 € remboursables sur cinq ans précédemment</w:t>
      </w:r>
      <w:r w:rsidRPr="00004581">
        <w:t xml:space="preserve">. </w:t>
      </w:r>
      <w:r>
        <w:t>Le microcrédit</w:t>
      </w:r>
      <w:r w:rsidRPr="00004581">
        <w:t xml:space="preserve"> est cumulable avec le bonus écologique et la prime à la conversion.</w:t>
      </w:r>
    </w:p>
    <w:p w14:paraId="3E901CB9" w14:textId="77777777" w:rsidR="00F0578E" w:rsidRDefault="00F0578E" w:rsidP="00F0578E"/>
    <w:p w14:paraId="1978BC7B" w14:textId="3A17CFEA" w:rsidR="00393C4D" w:rsidRDefault="00393C4D" w:rsidP="00F0578E">
      <w:r>
        <w:t xml:space="preserve">Une expérimentation de prêt à taux zéro est prévue à partir du </w:t>
      </w:r>
      <w:r w:rsidR="006518EF" w:rsidRPr="009F4180">
        <w:t>1</w:t>
      </w:r>
      <w:r w:rsidR="006518EF" w:rsidRPr="007F47EF">
        <w:rPr>
          <w:vertAlign w:val="superscript"/>
        </w:rPr>
        <w:t>er</w:t>
      </w:r>
      <w:r>
        <w:t xml:space="preserve"> janvier 2023 pour deux ans. Il sera ouvert aux ménages modestes et aux microentreprises, domiciliés ou justifiant d’une activité professionnelle dans les ZFE en dépassement des normes de qualité de l’air, ou dans une intercommunalité limitrophe de celles-ci, pour l’achat ou la location de véhicules à faibles émissions. Le prêt peut atteindre un montant de 30</w:t>
      </w:r>
      <w:r>
        <w:rPr>
          <w:rFonts w:ascii="Calibri" w:hAnsi="Calibri" w:cs="Calibri"/>
        </w:rPr>
        <w:t> </w:t>
      </w:r>
      <w:r>
        <w:t>000€ (respectivement, 10</w:t>
      </w:r>
      <w:r>
        <w:rPr>
          <w:rFonts w:ascii="Calibri" w:hAnsi="Calibri" w:cs="Calibri"/>
        </w:rPr>
        <w:t> </w:t>
      </w:r>
      <w:r>
        <w:t>000€ en cas de recours à la location longue durée ou à la location avec option d’achat) remboursable sur sept ans (respectivement, la durée du contrat de location).</w:t>
      </w:r>
    </w:p>
    <w:p w14:paraId="47E3711E" w14:textId="614B4ED7" w:rsidR="00393C4D" w:rsidRDefault="00393C4D" w:rsidP="00F0578E">
      <w:pPr>
        <w:rPr>
          <w:noProof/>
        </w:rPr>
      </w:pPr>
      <w:r w:rsidRPr="00D0706C">
        <w:t xml:space="preserve">La taxe sur les véhicules de société est une taxe annuelle portant sur les véhicules </w:t>
      </w:r>
      <w:r>
        <w:t xml:space="preserve">d’entreprises </w:t>
      </w:r>
      <w:r w:rsidRPr="00D0706C">
        <w:t>destinés au transport de</w:t>
      </w:r>
      <w:r>
        <w:t xml:space="preserve"> </w:t>
      </w:r>
      <w:r w:rsidRPr="00D0706C">
        <w:t>passagers</w:t>
      </w:r>
      <w:r>
        <w:t>,</w:t>
      </w:r>
      <w:r w:rsidRPr="002C1739">
        <w:t xml:space="preserve"> </w:t>
      </w:r>
      <w:r w:rsidRPr="002C1739">
        <w:rPr>
          <w:noProof/>
        </w:rPr>
        <w:t>assise sur</w:t>
      </w:r>
      <w:r>
        <w:rPr>
          <w:rFonts w:ascii="Calibri" w:hAnsi="Calibri" w:cs="Calibri"/>
          <w:noProof/>
        </w:rPr>
        <w:t> </w:t>
      </w:r>
      <w:r>
        <w:rPr>
          <w:noProof/>
        </w:rPr>
        <w:t xml:space="preserve">: </w:t>
      </w:r>
      <w:r w:rsidRPr="002C1739">
        <w:rPr>
          <w:noProof/>
        </w:rPr>
        <w:t xml:space="preserve">les émissions de </w:t>
      </w:r>
      <w:r w:rsidR="007F09F7">
        <w:t>CO</w:t>
      </w:r>
      <w:r w:rsidR="007F09F7" w:rsidRPr="007F09F7">
        <w:rPr>
          <w:vertAlign w:val="subscript"/>
        </w:rPr>
        <w:t>2</w:t>
      </w:r>
      <w:r w:rsidRPr="002C1739">
        <w:rPr>
          <w:noProof/>
        </w:rPr>
        <w:t xml:space="preserve"> d'une part ; l'énergie utilisée et l'année de mise en circulation du véhicule</w:t>
      </w:r>
      <w:r>
        <w:rPr>
          <w:noProof/>
        </w:rPr>
        <w:t>,</w:t>
      </w:r>
      <w:r w:rsidRPr="002C1739">
        <w:rPr>
          <w:noProof/>
        </w:rPr>
        <w:t xml:space="preserve"> d'autre part. </w:t>
      </w:r>
      <w:r>
        <w:rPr>
          <w:noProof/>
        </w:rPr>
        <w:t>D’autres avantages fiscaux existent pour les véhicules de société à faibles émissions comme l’augmentation du montant maximum amortissable et l’abattement de l’avantage en nature.</w:t>
      </w:r>
    </w:p>
    <w:p w14:paraId="60FDEFDD" w14:textId="77777777" w:rsidR="00F0578E" w:rsidRDefault="00F0578E" w:rsidP="00F0578E">
      <w:pPr>
        <w:rPr>
          <w:noProof/>
        </w:rPr>
      </w:pPr>
    </w:p>
    <w:p w14:paraId="7B777774" w14:textId="71FBB93B" w:rsidR="00393C4D" w:rsidRDefault="00393C4D" w:rsidP="00F0578E">
      <w:pPr>
        <w:rPr>
          <w:noProof/>
        </w:rPr>
      </w:pPr>
      <w:r w:rsidRPr="00D0706C">
        <w:rPr>
          <w:noProof/>
        </w:rPr>
        <w:t xml:space="preserve">Les mesures déjà engagées ont permis une croissance </w:t>
      </w:r>
      <w:r>
        <w:rPr>
          <w:noProof/>
        </w:rPr>
        <w:t xml:space="preserve">très rapide </w:t>
      </w:r>
      <w:r w:rsidRPr="00D0706C">
        <w:rPr>
          <w:noProof/>
        </w:rPr>
        <w:t>de</w:t>
      </w:r>
      <w:r>
        <w:rPr>
          <w:noProof/>
        </w:rPr>
        <w:t xml:space="preserve"> la part de marché de</w:t>
      </w:r>
      <w:r w:rsidRPr="00D0706C">
        <w:rPr>
          <w:noProof/>
        </w:rPr>
        <w:t xml:space="preserve">s </w:t>
      </w:r>
      <w:r>
        <w:rPr>
          <w:noProof/>
        </w:rPr>
        <w:t>voitures particulières</w:t>
      </w:r>
      <w:r w:rsidRPr="00D0706C">
        <w:rPr>
          <w:noProof/>
        </w:rPr>
        <w:t xml:space="preserve"> électriques et hybrides rechargeables</w:t>
      </w:r>
      <w:r>
        <w:rPr>
          <w:noProof/>
        </w:rPr>
        <w:t xml:space="preserve"> </w:t>
      </w:r>
      <w:r w:rsidRPr="00D0706C">
        <w:rPr>
          <w:noProof/>
        </w:rPr>
        <w:t xml:space="preserve">en France. </w:t>
      </w:r>
    </w:p>
    <w:p w14:paraId="65BE5A79" w14:textId="106AFDFC" w:rsidR="00393C4D" w:rsidRDefault="00393C4D" w:rsidP="00F0578E">
      <w:pPr>
        <w:rPr>
          <w:noProof/>
        </w:rPr>
      </w:pPr>
      <w:r>
        <w:rPr>
          <w:noProof/>
        </w:rPr>
        <w:t>Comme le montre le graphique suivant, la part de marché des voitures électriques a crû de manière très rapide de 1,9% de part de marché en 2019 à 9,7% en 2021 et 12,7% sur les dix premiers mois de l’année 2022. En 2021, 164</w:t>
      </w:r>
      <w:r>
        <w:rPr>
          <w:rFonts w:ascii="Calibri" w:hAnsi="Calibri" w:cs="Calibri"/>
          <w:noProof/>
        </w:rPr>
        <w:t> </w:t>
      </w:r>
      <w:r>
        <w:rPr>
          <w:noProof/>
        </w:rPr>
        <w:t xml:space="preserve">000 voitures électriques ont ainsi été vendues en France. La part des voitures hybrides rechargeables a également crû de 0,8% en 2019 à 8,3% en 2021 avant un léger repli à 7,9% sur les dix </w:t>
      </w:r>
      <w:r w:rsidR="00F0578E">
        <w:rPr>
          <w:noProof/>
        </w:rPr>
        <w:t>premiers mois de l’année 2022.</w:t>
      </w:r>
    </w:p>
    <w:p w14:paraId="739E69E9" w14:textId="77777777" w:rsidR="00F0578E" w:rsidRPr="002C1739" w:rsidRDefault="00F0578E" w:rsidP="00F0578E">
      <w:pPr>
        <w:rPr>
          <w:noProof/>
        </w:rPr>
      </w:pPr>
    </w:p>
    <w:p w14:paraId="52A1C34D" w14:textId="77777777" w:rsidR="00393C4D" w:rsidRDefault="00393C4D" w:rsidP="00393C4D">
      <w:pPr>
        <w:jc w:val="center"/>
        <w:rPr>
          <w:rFonts w:ascii="CIDFont+F1" w:eastAsiaTheme="minorHAnsi" w:hAnsi="CIDFont+F1" w:cs="CIDFont+F1"/>
          <w:sz w:val="20"/>
          <w:szCs w:val="20"/>
          <w:lang w:eastAsia="en-US"/>
        </w:rPr>
      </w:pPr>
      <w:r>
        <w:rPr>
          <w:rFonts w:ascii="CIDFont+F1" w:eastAsiaTheme="minorHAnsi" w:hAnsi="CIDFont+F1" w:cs="CIDFont+F1"/>
          <w:noProof/>
          <w:sz w:val="20"/>
          <w:szCs w:val="20"/>
        </w:rPr>
        <w:drawing>
          <wp:inline distT="0" distB="0" distL="0" distR="0" wp14:anchorId="429CA714" wp14:editId="0EC28EF9">
            <wp:extent cx="5817210" cy="284924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29033" cy="2855036"/>
                    </a:xfrm>
                    <a:prstGeom prst="rect">
                      <a:avLst/>
                    </a:prstGeom>
                    <a:noFill/>
                  </pic:spPr>
                </pic:pic>
              </a:graphicData>
            </a:graphic>
          </wp:inline>
        </w:drawing>
      </w:r>
    </w:p>
    <w:p w14:paraId="66C4BEB1" w14:textId="4C5AF488" w:rsidR="00571533" w:rsidRPr="00571533" w:rsidRDefault="00571533" w:rsidP="00571533">
      <w:pPr>
        <w:pStyle w:val="FootnoteText"/>
        <w:rPr>
          <w:rFonts w:eastAsiaTheme="minorHAnsi"/>
          <w:lang w:eastAsia="en-US"/>
        </w:rPr>
      </w:pPr>
      <w:r>
        <w:rPr>
          <w:rFonts w:eastAsiaTheme="minorHAnsi"/>
          <w:lang w:eastAsia="en-US"/>
        </w:rPr>
        <w:t>2022(p) : calcul sur les dix premiers mois de l’année</w:t>
      </w:r>
    </w:p>
    <w:p w14:paraId="29BE8E64" w14:textId="1513F7D0" w:rsidR="00571533" w:rsidRDefault="00571533" w:rsidP="0045532B">
      <w:pPr>
        <w:pStyle w:val="Caption"/>
        <w:rPr>
          <w:rFonts w:eastAsiaTheme="minorHAnsi"/>
        </w:rPr>
      </w:pPr>
      <w:bookmarkStart w:id="459" w:name="_Toc123916460"/>
      <w:r w:rsidRPr="00571533">
        <w:t xml:space="preserve">Figure </w:t>
      </w:r>
      <w:fldSimple w:instr=" SEQ Figure \* ARABIC ">
        <w:r w:rsidR="00AB51D9">
          <w:rPr>
            <w:noProof/>
          </w:rPr>
          <w:t>49</w:t>
        </w:r>
      </w:fldSimple>
      <w:r w:rsidRPr="00571533">
        <w:t xml:space="preserve"> : </w:t>
      </w:r>
      <w:r w:rsidR="00393C4D" w:rsidRPr="00571533">
        <w:rPr>
          <w:rFonts w:eastAsiaTheme="minorHAnsi"/>
        </w:rPr>
        <w:t>Evolution des ventes de voitures électriques (VE) et</w:t>
      </w:r>
      <w:r>
        <w:rPr>
          <w:rFonts w:eastAsiaTheme="minorHAnsi"/>
        </w:rPr>
        <w:t xml:space="preserve"> hybrides rechargeables (VHR)</w:t>
      </w:r>
      <w:bookmarkEnd w:id="459"/>
    </w:p>
    <w:p w14:paraId="22CE37AB" w14:textId="13EDED8A" w:rsidR="00393C4D" w:rsidRPr="00571533" w:rsidRDefault="00571533" w:rsidP="0045532B">
      <w:pPr>
        <w:pStyle w:val="Caption"/>
        <w:rPr>
          <w:rFonts w:eastAsiaTheme="minorHAnsi"/>
        </w:rPr>
      </w:pPr>
      <w:r>
        <w:rPr>
          <w:rFonts w:eastAsiaTheme="minorHAnsi"/>
        </w:rPr>
        <w:t>S</w:t>
      </w:r>
      <w:r w:rsidR="00393C4D" w:rsidRPr="00571533">
        <w:rPr>
          <w:rFonts w:eastAsiaTheme="minorHAnsi"/>
        </w:rPr>
        <w:t>ource : SDES, RSVERO</w:t>
      </w:r>
    </w:p>
    <w:p w14:paraId="44CEEAC7" w14:textId="5D41D8C1" w:rsidR="00393C4D" w:rsidRDefault="00393C4D" w:rsidP="00F0578E">
      <w:r>
        <w:rPr>
          <w:noProof/>
        </w:rPr>
        <w:t xml:space="preserve">Par ailleurs, les cibles d’émissions unitaires pour les voitures particulières neuves (95g </w:t>
      </w:r>
      <w:r w:rsidR="007F09F7">
        <w:t>CO</w:t>
      </w:r>
      <w:r w:rsidR="007F09F7" w:rsidRPr="007F09F7">
        <w:rPr>
          <w:vertAlign w:val="subscript"/>
        </w:rPr>
        <w:t>2</w:t>
      </w:r>
      <w:r>
        <w:rPr>
          <w:noProof/>
        </w:rPr>
        <w:t xml:space="preserve">/km, mesurées selon l’ancien cycle d’homologation NEDC, à partir de l’année 2020) ont bien été atteintes. L’objectif est décliné, à partir de l’année 2021, selon le nouveau cycle d’homologation WLTP, mis en place pour mieux évaluer les émissions réelles. </w:t>
      </w:r>
    </w:p>
    <w:p w14:paraId="5111B925" w14:textId="77777777" w:rsidR="00393C4D" w:rsidRPr="006F3BD4" w:rsidRDefault="00393C4D" w:rsidP="00393C4D">
      <w:pPr>
        <w:spacing w:before="240" w:after="240"/>
        <w:rPr>
          <w:b/>
          <w:i/>
          <w:u w:val="single"/>
        </w:rPr>
      </w:pPr>
      <w:r>
        <w:rPr>
          <w:b/>
          <w:i/>
          <w:u w:val="single"/>
        </w:rPr>
        <w:t>Véhicules utilitaires légers</w:t>
      </w:r>
    </w:p>
    <w:p w14:paraId="2FF8AD04" w14:textId="0D55BDB5" w:rsidR="00393C4D" w:rsidRDefault="00393C4D" w:rsidP="00F0578E">
      <w:r>
        <w:t>L</w:t>
      </w:r>
      <w:r w:rsidRPr="00D0706C">
        <w:t>e règlement européen n° 510/2011 a imposé aux constructeurs d’abaisser</w:t>
      </w:r>
      <w:r>
        <w:t xml:space="preserve"> </w:t>
      </w:r>
      <w:r w:rsidRPr="00D0706C">
        <w:t>progressivement les émissions moyennes des véhicules</w:t>
      </w:r>
      <w:r>
        <w:t xml:space="preserve"> utilitaires légers</w:t>
      </w:r>
      <w:r w:rsidRPr="00D0706C">
        <w:t xml:space="preserve"> neufs à 175 g</w:t>
      </w:r>
      <w:r w:rsidR="007F09F7">
        <w:t>CO</w:t>
      </w:r>
      <w:r w:rsidR="007F09F7" w:rsidRPr="007F09F7">
        <w:rPr>
          <w:vertAlign w:val="subscript"/>
        </w:rPr>
        <w:t>2</w:t>
      </w:r>
      <w:r w:rsidRPr="00D0706C">
        <w:t xml:space="preserve">/km </w:t>
      </w:r>
      <w:r>
        <w:t xml:space="preserve">NEDC </w:t>
      </w:r>
      <w:r w:rsidRPr="00D0706C">
        <w:t>entre 2014 et 2017. Un niveau</w:t>
      </w:r>
      <w:r>
        <w:t xml:space="preserve"> </w:t>
      </w:r>
      <w:r w:rsidRPr="00D0706C">
        <w:t>d’émissions moyen de 147 g</w:t>
      </w:r>
      <w:r w:rsidR="007F09F7">
        <w:t>CO</w:t>
      </w:r>
      <w:r w:rsidR="007F09F7" w:rsidRPr="007F09F7">
        <w:rPr>
          <w:vertAlign w:val="subscript"/>
        </w:rPr>
        <w:t>2</w:t>
      </w:r>
      <w:r w:rsidRPr="00D0706C">
        <w:t xml:space="preserve">/km </w:t>
      </w:r>
      <w:r>
        <w:t xml:space="preserve">NEDC </w:t>
      </w:r>
      <w:r w:rsidRPr="00D0706C">
        <w:t>a été fixé pour 202</w:t>
      </w:r>
      <w:r>
        <w:t>0 (cette cible étant traduite en 2021 en valeur WLTP)</w:t>
      </w:r>
      <w:r w:rsidRPr="00D0706C">
        <w:t>. Le règlement n° 2019/361</w:t>
      </w:r>
      <w:r>
        <w:t xml:space="preserve"> </w:t>
      </w:r>
      <w:r w:rsidRPr="00D0706C">
        <w:t>du 17 avril 2019 prévoit un renforcement des objectifs avec une réduction de 15</w:t>
      </w:r>
      <w:r w:rsidR="006518EF">
        <w:t>%</w:t>
      </w:r>
      <w:r w:rsidRPr="00D0706C">
        <w:t xml:space="preserve"> des émissions </w:t>
      </w:r>
      <w:r>
        <w:t>à compter de</w:t>
      </w:r>
      <w:r w:rsidRPr="00D0706C">
        <w:t xml:space="preserve"> 2025 </w:t>
      </w:r>
      <w:r>
        <w:t>puis</w:t>
      </w:r>
      <w:r w:rsidRPr="00D0706C">
        <w:t xml:space="preserve"> 31</w:t>
      </w:r>
      <w:r w:rsidR="006518EF">
        <w:t>%</w:t>
      </w:r>
      <w:r w:rsidRPr="00D0706C">
        <w:t xml:space="preserve"> en 2030 par rapport </w:t>
      </w:r>
      <w:r>
        <w:t>à la cible</w:t>
      </w:r>
      <w:r w:rsidRPr="00D0706C">
        <w:t xml:space="preserve"> 2021.</w:t>
      </w:r>
      <w:r>
        <w:t xml:space="preserve"> </w:t>
      </w:r>
      <w:r w:rsidRPr="0003475C">
        <w:t xml:space="preserve">Dans le cadre du </w:t>
      </w:r>
      <w:r>
        <w:t>paquet Ajustement à l’objectif 55</w:t>
      </w:r>
      <w:r w:rsidRPr="0003475C">
        <w:t xml:space="preserve">, l’accord </w:t>
      </w:r>
      <w:r>
        <w:t xml:space="preserve">provisoire obtenu au niveau européen </w:t>
      </w:r>
      <w:r w:rsidRPr="0003475C">
        <w:t xml:space="preserve">prévoit </w:t>
      </w:r>
      <w:r>
        <w:t>des</w:t>
      </w:r>
      <w:r w:rsidRPr="0003475C">
        <w:t xml:space="preserve"> objectif</w:t>
      </w:r>
      <w:r>
        <w:t>s</w:t>
      </w:r>
      <w:r w:rsidRPr="0003475C">
        <w:t xml:space="preserve"> de réduction de 50% en 2030 </w:t>
      </w:r>
      <w:r>
        <w:t xml:space="preserve">et de 100% en 2035 </w:t>
      </w:r>
      <w:r w:rsidRPr="0003475C">
        <w:t xml:space="preserve">par rapport </w:t>
      </w:r>
      <w:r>
        <w:t>à la cible</w:t>
      </w:r>
      <w:r w:rsidRPr="0003475C">
        <w:t xml:space="preserve"> 2021, </w:t>
      </w:r>
      <w:r>
        <w:t>soit</w:t>
      </w:r>
      <w:r w:rsidRPr="0003475C">
        <w:t xml:space="preserve"> une fin de vente des v</w:t>
      </w:r>
      <w:r>
        <w:t>éhicules utilitaires légers neufs thermiques</w:t>
      </w:r>
      <w:r w:rsidR="00F0578E">
        <w:t xml:space="preserve"> en 2035.</w:t>
      </w:r>
    </w:p>
    <w:p w14:paraId="2D5B81A0" w14:textId="77777777" w:rsidR="00F0578E" w:rsidRDefault="00F0578E" w:rsidP="00F0578E"/>
    <w:p w14:paraId="72122D7E" w14:textId="3BB48E05" w:rsidR="00393C4D" w:rsidRDefault="00393C4D" w:rsidP="00F0578E">
      <w:r w:rsidRPr="00924854">
        <w:t xml:space="preserve">Les camionnettes électriques </w:t>
      </w:r>
      <w:r>
        <w:t xml:space="preserve">neuves </w:t>
      </w:r>
      <w:r w:rsidRPr="00924854">
        <w:t>bénéficient d’un bonus</w:t>
      </w:r>
      <w:r>
        <w:t xml:space="preserve"> qui s’élève jusqu’à</w:t>
      </w:r>
      <w:r w:rsidRPr="00924854">
        <w:t xml:space="preserve"> 7</w:t>
      </w:r>
      <w:r>
        <w:t xml:space="preserve"> </w:t>
      </w:r>
      <w:r w:rsidRPr="00924854">
        <w:t xml:space="preserve">000€ </w:t>
      </w:r>
      <w:r>
        <w:t xml:space="preserve">pour une personne physique </w:t>
      </w:r>
      <w:r w:rsidRPr="00924854">
        <w:t>(5</w:t>
      </w:r>
      <w:r>
        <w:t xml:space="preserve"> </w:t>
      </w:r>
      <w:r w:rsidRPr="00924854">
        <w:t>000€ pour des personnes morales)</w:t>
      </w:r>
      <w:r>
        <w:t>,</w:t>
      </w:r>
      <w:r w:rsidRPr="00924854">
        <w:t xml:space="preserve"> dans la limite de 40% du montant TTC du véhicule. Si l’achat d</w:t>
      </w:r>
      <w:r>
        <w:t>’un</w:t>
      </w:r>
      <w:r w:rsidRPr="00924854">
        <w:t xml:space="preserve"> véhicule </w:t>
      </w:r>
      <w:r>
        <w:t xml:space="preserve">moins émetteur </w:t>
      </w:r>
      <w:r w:rsidRPr="00924854">
        <w:t>s’accompagne de la mise au rebut d’un véhicule ancien, et sous certaines conditions, une prime à la conversion peut également être versée.</w:t>
      </w:r>
      <w:r>
        <w:t xml:space="preserve"> Depuis le 26 juillet 2021, son montant atteint Les acquéreurs de camionnettes faiblement émettrices sont également éligibles aux dispositifs de microcrédit et de prêt à taux zéro (qui sera mis en place à compter de 2023).</w:t>
      </w:r>
    </w:p>
    <w:p w14:paraId="18B93CB2" w14:textId="77777777" w:rsidR="00F0578E" w:rsidRDefault="00F0578E" w:rsidP="00F0578E"/>
    <w:p w14:paraId="3E684012" w14:textId="5D3A8C33" w:rsidR="00393C4D" w:rsidRDefault="00393C4D" w:rsidP="00F0578E">
      <w:r>
        <w:t>Les objectifs d’incorporation de véhicules à faibles émissions lors du renouvellement des flottes s’appliquent également aux véhicules utilitaires légers.</w:t>
      </w:r>
    </w:p>
    <w:p w14:paraId="2A216888" w14:textId="77777777" w:rsidR="00F0578E" w:rsidRPr="00924854" w:rsidRDefault="00F0578E" w:rsidP="00F0578E"/>
    <w:p w14:paraId="406ED1C6" w14:textId="70DA5CA2" w:rsidR="00393C4D" w:rsidRDefault="00393C4D" w:rsidP="00F0578E">
      <w:r>
        <w:rPr>
          <w:noProof/>
        </w:rPr>
        <w:t xml:space="preserve">Les </w:t>
      </w:r>
      <w:r w:rsidRPr="0001229C">
        <w:rPr>
          <w:noProof/>
        </w:rPr>
        <w:t xml:space="preserve">véhicules utilitaires </w:t>
      </w:r>
      <w:r>
        <w:rPr>
          <w:noProof/>
        </w:rPr>
        <w:t xml:space="preserve">de 2,6 à 3,5 tonnes </w:t>
      </w:r>
      <w:r w:rsidRPr="0001229C">
        <w:rPr>
          <w:noProof/>
        </w:rPr>
        <w:t xml:space="preserve">fonctionnant </w:t>
      </w:r>
      <w:r>
        <w:rPr>
          <w:noProof/>
        </w:rPr>
        <w:t xml:space="preserve">au </w:t>
      </w:r>
      <w:r w:rsidRPr="00927630">
        <w:rPr>
          <w:noProof/>
        </w:rPr>
        <w:t xml:space="preserve">gaz naturel véhicule, </w:t>
      </w:r>
      <w:r>
        <w:rPr>
          <w:noProof/>
        </w:rPr>
        <w:t>aux biocarburants, à l’électricité ou à l’hydrogène</w:t>
      </w:r>
      <w:r w:rsidRPr="0001229C">
        <w:rPr>
          <w:noProof/>
        </w:rPr>
        <w:t>,</w:t>
      </w:r>
      <w:r>
        <w:rPr>
          <w:noProof/>
        </w:rPr>
        <w:t xml:space="preserve"> </w:t>
      </w:r>
      <w:r w:rsidRPr="0001229C">
        <w:rPr>
          <w:noProof/>
        </w:rPr>
        <w:t xml:space="preserve">bénéficient d’un dispositif </w:t>
      </w:r>
      <w:r>
        <w:rPr>
          <w:noProof/>
        </w:rPr>
        <w:t xml:space="preserve">fiscal </w:t>
      </w:r>
      <w:r w:rsidRPr="0001229C">
        <w:rPr>
          <w:noProof/>
        </w:rPr>
        <w:t>de suramortissement à hauteur de 20</w:t>
      </w:r>
      <w:r w:rsidR="006518EF">
        <w:rPr>
          <w:noProof/>
        </w:rPr>
        <w:t>%</w:t>
      </w:r>
      <w:r w:rsidRPr="0001229C">
        <w:rPr>
          <w:noProof/>
        </w:rPr>
        <w:t>.</w:t>
      </w:r>
      <w:r>
        <w:rPr>
          <w:noProof/>
        </w:rPr>
        <w:t xml:space="preserve"> </w:t>
      </w:r>
    </w:p>
    <w:p w14:paraId="76726D98" w14:textId="77777777" w:rsidR="00393C4D" w:rsidRPr="00F42F86" w:rsidRDefault="00393C4D" w:rsidP="00393C4D">
      <w:pPr>
        <w:autoSpaceDE w:val="0"/>
        <w:autoSpaceDN w:val="0"/>
        <w:adjustRightInd w:val="0"/>
        <w:spacing w:before="240" w:after="240"/>
        <w:rPr>
          <w:b/>
          <w:i/>
          <w:noProof/>
          <w:u w:val="single"/>
        </w:rPr>
      </w:pPr>
      <w:r>
        <w:rPr>
          <w:b/>
          <w:i/>
          <w:noProof/>
          <w:u w:val="single"/>
        </w:rPr>
        <w:t>Les poids lourds</w:t>
      </w:r>
    </w:p>
    <w:p w14:paraId="1EE36A2A" w14:textId="314560B9" w:rsidR="00393C4D" w:rsidRDefault="00393C4D" w:rsidP="00F0578E">
      <w:r w:rsidRPr="00D0706C">
        <w:t xml:space="preserve">Le nouveau règlement européen n° 2019/1242 crée des obligations de réduction </w:t>
      </w:r>
      <w:r>
        <w:t>d</w:t>
      </w:r>
      <w:r w:rsidRPr="00D0706C">
        <w:t>es émissions</w:t>
      </w:r>
      <w:r>
        <w:t xml:space="preserve"> de </w:t>
      </w:r>
      <w:r w:rsidR="007F09F7">
        <w:t>CO</w:t>
      </w:r>
      <w:r w:rsidR="007F09F7" w:rsidRPr="007F09F7">
        <w:rPr>
          <w:vertAlign w:val="subscript"/>
        </w:rPr>
        <w:t>2</w:t>
      </w:r>
      <w:r>
        <w:t xml:space="preserve"> </w:t>
      </w:r>
      <w:r w:rsidRPr="00D0706C">
        <w:t>de</w:t>
      </w:r>
      <w:r>
        <w:t xml:space="preserve"> certain</w:t>
      </w:r>
      <w:r w:rsidRPr="00D0706C">
        <w:t xml:space="preserve">s véhicules lourds neufs avec un objectif de réduction </w:t>
      </w:r>
      <w:r>
        <w:t>de 15</w:t>
      </w:r>
      <w:r w:rsidR="006518EF">
        <w:t>%</w:t>
      </w:r>
      <w:r>
        <w:t xml:space="preserve"> à horizon 2025 et de 30</w:t>
      </w:r>
      <w:r w:rsidRPr="00D0706C">
        <w:t>% à horizon 2030 par</w:t>
      </w:r>
      <w:r>
        <w:t xml:space="preserve"> </w:t>
      </w:r>
      <w:r w:rsidRPr="00D0706C">
        <w:t>rapport au niveau d’émissions remonté sur la période de référence juillet 2019 – juin 2020.</w:t>
      </w:r>
    </w:p>
    <w:p w14:paraId="4D9C59CB" w14:textId="77777777" w:rsidR="00F0578E" w:rsidRDefault="00F0578E" w:rsidP="00F0578E"/>
    <w:p w14:paraId="156C902C" w14:textId="62653005" w:rsidR="00393C4D" w:rsidRDefault="00393C4D" w:rsidP="00F0578E">
      <w:r>
        <w:t>Au niveau national, la</w:t>
      </w:r>
      <w:r w:rsidRPr="000E5C8B">
        <w:t xml:space="preserve"> loi </w:t>
      </w:r>
      <w:r w:rsidRPr="00AB5AB5">
        <w:t xml:space="preserve">climat-résilience fixe un objectif de fin de vente des véhicules </w:t>
      </w:r>
      <w:r>
        <w:t>lourds neufs utilisés pour le transport de personnes ou de marchandises fonctionnant majoritairement avec des énergies fossiles</w:t>
      </w:r>
      <w:r w:rsidRPr="00AB5AB5">
        <w:t xml:space="preserve"> en 2040. </w:t>
      </w:r>
      <w:r>
        <w:t>Les flottes publiques de poids lourds sont également soumises à des obligations de verdissement.</w:t>
      </w:r>
    </w:p>
    <w:p w14:paraId="5EF0151E" w14:textId="77777777" w:rsidR="00F0578E" w:rsidRDefault="00F0578E" w:rsidP="00F0578E"/>
    <w:p w14:paraId="00E3A355" w14:textId="0570115D" w:rsidR="00393C4D" w:rsidRPr="009D2437" w:rsidRDefault="00393C4D" w:rsidP="00F0578E">
      <w:pPr>
        <w:rPr>
          <w:noProof/>
        </w:rPr>
      </w:pPr>
      <w:r w:rsidRPr="00AB5AB5">
        <w:rPr>
          <w:noProof/>
        </w:rPr>
        <w:t xml:space="preserve">Il existe des incitations fiscales pour les PL, pour le développement de véhicules au GNV puis bio-GNV, électriques et H2. Les poids lourds fonctionnant </w:t>
      </w:r>
      <w:r>
        <w:rPr>
          <w:noProof/>
        </w:rPr>
        <w:t>au gaz naturel</w:t>
      </w:r>
      <w:r w:rsidRPr="00AB5AB5">
        <w:rPr>
          <w:noProof/>
        </w:rPr>
        <w:t xml:space="preserve">, </w:t>
      </w:r>
      <w:r>
        <w:rPr>
          <w:noProof/>
        </w:rPr>
        <w:t>aux biocarburants, à</w:t>
      </w:r>
      <w:r w:rsidR="00260E0B">
        <w:rPr>
          <w:noProof/>
        </w:rPr>
        <w:t xml:space="preserve"> </w:t>
      </w:r>
      <w:r w:rsidRPr="00AB5AB5">
        <w:rPr>
          <w:noProof/>
        </w:rPr>
        <w:t>l’électricité</w:t>
      </w:r>
      <w:r>
        <w:rPr>
          <w:noProof/>
        </w:rPr>
        <w:t xml:space="preserve"> et à l’hydrogène</w:t>
      </w:r>
      <w:r w:rsidRPr="00AB5AB5">
        <w:rPr>
          <w:noProof/>
        </w:rPr>
        <w:t xml:space="preserve"> bénéficient d’un dispositif de suramortissement à hauteur de 60</w:t>
      </w:r>
      <w:r w:rsidR="006518EF">
        <w:rPr>
          <w:noProof/>
        </w:rPr>
        <w:t>%</w:t>
      </w:r>
      <w:r w:rsidRPr="00AB5AB5">
        <w:rPr>
          <w:noProof/>
        </w:rPr>
        <w:t xml:space="preserve"> pour les poids lourds jusqu’à 16 t</w:t>
      </w:r>
      <w:r>
        <w:rPr>
          <w:noProof/>
        </w:rPr>
        <w:t>onnes</w:t>
      </w:r>
      <w:r w:rsidRPr="00AB5AB5">
        <w:rPr>
          <w:noProof/>
        </w:rPr>
        <w:t xml:space="preserve"> (</w:t>
      </w:r>
      <w:r>
        <w:rPr>
          <w:noProof/>
        </w:rPr>
        <w:t xml:space="preserve">et </w:t>
      </w:r>
      <w:r w:rsidRPr="00AB5AB5">
        <w:rPr>
          <w:noProof/>
        </w:rPr>
        <w:t>40</w:t>
      </w:r>
      <w:r w:rsidR="006518EF">
        <w:rPr>
          <w:noProof/>
        </w:rPr>
        <w:t>%</w:t>
      </w:r>
      <w:r w:rsidRPr="00AB5AB5">
        <w:rPr>
          <w:noProof/>
        </w:rPr>
        <w:t xml:space="preserve"> au-delà). </w:t>
      </w:r>
      <w:r>
        <w:rPr>
          <w:noProof/>
        </w:rPr>
        <w:t>Dans le cadre du plan de relance, l</w:t>
      </w:r>
      <w:r w:rsidRPr="009D2437">
        <w:rPr>
          <w:noProof/>
        </w:rPr>
        <w:t xml:space="preserve">es poids lourds </w:t>
      </w:r>
      <w:r>
        <w:rPr>
          <w:noProof/>
        </w:rPr>
        <w:t>fonctionnant à l’</w:t>
      </w:r>
      <w:r w:rsidRPr="009D2437">
        <w:rPr>
          <w:noProof/>
        </w:rPr>
        <w:t>électri</w:t>
      </w:r>
      <w:r>
        <w:rPr>
          <w:noProof/>
        </w:rPr>
        <w:t>cité et/</w:t>
      </w:r>
      <w:r w:rsidRPr="009D2437">
        <w:rPr>
          <w:noProof/>
        </w:rPr>
        <w:t xml:space="preserve">ou </w:t>
      </w:r>
      <w:r>
        <w:rPr>
          <w:noProof/>
        </w:rPr>
        <w:t>l’</w:t>
      </w:r>
      <w:r w:rsidRPr="009D2437">
        <w:rPr>
          <w:noProof/>
        </w:rPr>
        <w:t xml:space="preserve">hydrogène bénéficient d’un bonus </w:t>
      </w:r>
      <w:r>
        <w:rPr>
          <w:noProof/>
        </w:rPr>
        <w:t xml:space="preserve">qui s’élève jusqu’à </w:t>
      </w:r>
      <w:r w:rsidRPr="009D2437">
        <w:rPr>
          <w:noProof/>
        </w:rPr>
        <w:t>50</w:t>
      </w:r>
      <w:r>
        <w:rPr>
          <w:rFonts w:ascii="Calibri" w:hAnsi="Calibri" w:cs="Calibri"/>
          <w:noProof/>
        </w:rPr>
        <w:t> </w:t>
      </w:r>
      <w:r w:rsidRPr="009D2437">
        <w:rPr>
          <w:noProof/>
        </w:rPr>
        <w:t xml:space="preserve">000 €. </w:t>
      </w:r>
      <w:r>
        <w:rPr>
          <w:noProof/>
        </w:rPr>
        <w:t>En complément de ce bonus, un appel à projets, dit «</w:t>
      </w:r>
      <w:r>
        <w:rPr>
          <w:rFonts w:ascii="Calibri" w:hAnsi="Calibri" w:cs="Calibri"/>
          <w:noProof/>
        </w:rPr>
        <w:t> </w:t>
      </w:r>
      <w:r>
        <w:rPr>
          <w:noProof/>
        </w:rPr>
        <w:t>Ecosystème des véhicules lourds électriques</w:t>
      </w:r>
      <w:r>
        <w:rPr>
          <w:rFonts w:ascii="Calibri" w:hAnsi="Calibri" w:cs="Calibri"/>
          <w:noProof/>
        </w:rPr>
        <w:t> </w:t>
      </w:r>
      <w:r>
        <w:rPr>
          <w:rFonts w:cs="Marianne"/>
          <w:noProof/>
        </w:rPr>
        <w:t>»</w:t>
      </w:r>
      <w:r>
        <w:rPr>
          <w:noProof/>
        </w:rPr>
        <w:t xml:space="preserve"> a été ouvert en mars 2022. Doté d’une enveloppe de 65 M€ pour l’année 2022, il permet de soutenir des projets d’acquisition de véhicules lourds électriques (avec des aides atteignant jusque 150</w:t>
      </w:r>
      <w:r>
        <w:rPr>
          <w:rFonts w:ascii="Calibri" w:hAnsi="Calibri" w:cs="Calibri"/>
          <w:noProof/>
        </w:rPr>
        <w:t> </w:t>
      </w:r>
      <w:r>
        <w:rPr>
          <w:noProof/>
        </w:rPr>
        <w:t>000 € / véhicule) et de déploiement des infrastructures de recharge associées.</w:t>
      </w:r>
    </w:p>
    <w:p w14:paraId="37FDA1F6" w14:textId="77777777" w:rsidR="00393C4D" w:rsidRPr="00384A70" w:rsidRDefault="00393C4D" w:rsidP="00393C4D">
      <w:pPr>
        <w:spacing w:before="240" w:after="240"/>
        <w:rPr>
          <w:b/>
          <w:i/>
          <w:u w:val="single"/>
        </w:rPr>
      </w:pPr>
      <w:r w:rsidRPr="00384A70">
        <w:rPr>
          <w:b/>
          <w:i/>
          <w:u w:val="single"/>
        </w:rPr>
        <w:t>Les bus et cars</w:t>
      </w:r>
    </w:p>
    <w:p w14:paraId="183B290C" w14:textId="7AAB842F" w:rsidR="00393C4D" w:rsidRDefault="00393C4D" w:rsidP="00F0578E">
      <w:pPr>
        <w:rPr>
          <w:noProof/>
        </w:rPr>
      </w:pPr>
      <w:r w:rsidRPr="00C06F36">
        <w:rPr>
          <w:noProof/>
        </w:rPr>
        <w:t>Pour les véhicules dédiés au transport public gérés par l’Etat et les collectivités (autobus et autocars), la loi prévoit une obligation d’acquérir ou d’utiliser, lors du renouvellement du parc, au moins 50</w:t>
      </w:r>
      <w:r w:rsidR="006518EF">
        <w:rPr>
          <w:noProof/>
        </w:rPr>
        <w:t>%</w:t>
      </w:r>
      <w:r w:rsidRPr="00C06F36">
        <w:rPr>
          <w:noProof/>
        </w:rPr>
        <w:t xml:space="preserve"> de véhicules à faibles émissions parmi les véhicules renouvelés à partir du </w:t>
      </w:r>
      <w:r w:rsidR="006518EF" w:rsidRPr="009F4180">
        <w:t>1</w:t>
      </w:r>
      <w:r w:rsidR="006518EF" w:rsidRPr="007F47EF">
        <w:rPr>
          <w:vertAlign w:val="superscript"/>
        </w:rPr>
        <w:t>er</w:t>
      </w:r>
      <w:r w:rsidRPr="00C06F36">
        <w:rPr>
          <w:noProof/>
        </w:rPr>
        <w:t xml:space="preserve"> janvier 2020, puis la totalité des véhicules renouvelés à partir du </w:t>
      </w:r>
      <w:r w:rsidR="006518EF" w:rsidRPr="009F4180">
        <w:t>1</w:t>
      </w:r>
      <w:r w:rsidR="006518EF" w:rsidRPr="007F47EF">
        <w:rPr>
          <w:vertAlign w:val="superscript"/>
        </w:rPr>
        <w:t>er</w:t>
      </w:r>
      <w:r w:rsidRPr="00C06F36">
        <w:rPr>
          <w:noProof/>
        </w:rPr>
        <w:t xml:space="preserve"> janvier 2025. Les critères définissant les types de véhicules à faibles émissions (électrique, hybride, gaz naturel véhicule, biogaz, ou biocarburant très majoritairement renouvelable) sont fixés selon les usages, les territoires dans lesquels ils circulent et les capacités locales d'approvisionnement en source d'énergie. </w:t>
      </w:r>
      <w:r w:rsidRPr="000E5C8B">
        <w:rPr>
          <w:noProof/>
        </w:rPr>
        <w:t xml:space="preserve">Ces objectifs </w:t>
      </w:r>
      <w:r>
        <w:rPr>
          <w:noProof/>
        </w:rPr>
        <w:t>ont été</w:t>
      </w:r>
      <w:r w:rsidRPr="000E5C8B">
        <w:rPr>
          <w:noProof/>
        </w:rPr>
        <w:t xml:space="preserve"> renforc</w:t>
      </w:r>
      <w:r w:rsidRPr="000E5C8B">
        <w:rPr>
          <w:rFonts w:cs="Marianne"/>
          <w:noProof/>
        </w:rPr>
        <w:t>é</w:t>
      </w:r>
      <w:r w:rsidRPr="000E5C8B">
        <w:rPr>
          <w:noProof/>
        </w:rPr>
        <w:t xml:space="preserve">s par la </w:t>
      </w:r>
      <w:r>
        <w:rPr>
          <w:noProof/>
        </w:rPr>
        <w:t xml:space="preserve">transposition de la </w:t>
      </w:r>
      <w:r w:rsidRPr="000E5C8B">
        <w:rPr>
          <w:noProof/>
        </w:rPr>
        <w:t>directive européenne sur les véhicules propres</w:t>
      </w:r>
      <w:r>
        <w:rPr>
          <w:noProof/>
        </w:rPr>
        <w:t xml:space="preserve"> (2019/1161)</w:t>
      </w:r>
      <w:r>
        <w:rPr>
          <w:rFonts w:ascii="Calibri" w:hAnsi="Calibri" w:cs="Calibri"/>
          <w:noProof/>
        </w:rPr>
        <w:t xml:space="preserve">, </w:t>
      </w:r>
      <w:r w:rsidRPr="00281C0B">
        <w:rPr>
          <w:noProof/>
        </w:rPr>
        <w:t>notamment en introduisant un</w:t>
      </w:r>
      <w:r w:rsidRPr="001D442B">
        <w:rPr>
          <w:noProof/>
        </w:rPr>
        <w:t xml:space="preserve"> objectif d'au moins 50</w:t>
      </w:r>
      <w:r w:rsidR="006518EF">
        <w:rPr>
          <w:noProof/>
        </w:rPr>
        <w:t>%</w:t>
      </w:r>
      <w:r w:rsidRPr="001D442B">
        <w:rPr>
          <w:noProof/>
        </w:rPr>
        <w:t xml:space="preserve"> des Véhicules à faibles émissions qui soient "zéro émission" (électriques ou hydrogène) pour les agglomérations les plus importantes (</w:t>
      </w:r>
      <w:r>
        <w:rPr>
          <w:noProof/>
        </w:rPr>
        <w:t xml:space="preserve">plus de </w:t>
      </w:r>
      <w:r w:rsidRPr="001D442B">
        <w:rPr>
          <w:noProof/>
        </w:rPr>
        <w:t>250</w:t>
      </w:r>
      <w:r>
        <w:rPr>
          <w:rFonts w:ascii="Calibri" w:hAnsi="Calibri" w:cs="Calibri"/>
          <w:noProof/>
        </w:rPr>
        <w:t> </w:t>
      </w:r>
      <w:r w:rsidRPr="009127A6">
        <w:rPr>
          <w:noProof/>
        </w:rPr>
        <w:t>000</w:t>
      </w:r>
      <w:r w:rsidRPr="001D442B">
        <w:rPr>
          <w:noProof/>
        </w:rPr>
        <w:t xml:space="preserve"> habitants)</w:t>
      </w:r>
      <w:r w:rsidRPr="000E5C8B">
        <w:rPr>
          <w:noProof/>
        </w:rPr>
        <w:t>.</w:t>
      </w:r>
    </w:p>
    <w:p w14:paraId="20FB08DF" w14:textId="77777777" w:rsidR="00F0578E" w:rsidRDefault="00F0578E" w:rsidP="00F0578E">
      <w:pPr>
        <w:rPr>
          <w:noProof/>
        </w:rPr>
      </w:pPr>
    </w:p>
    <w:p w14:paraId="30A265A9" w14:textId="77777777" w:rsidR="00393C4D" w:rsidRDefault="00393C4D" w:rsidP="00F0578E">
      <w:pPr>
        <w:rPr>
          <w:noProof/>
        </w:rPr>
      </w:pPr>
      <w:r>
        <w:rPr>
          <w:noProof/>
        </w:rPr>
        <w:t>Dans le cadre du plan de relance, l</w:t>
      </w:r>
      <w:r w:rsidRPr="000E5C8B">
        <w:rPr>
          <w:noProof/>
        </w:rPr>
        <w:t xml:space="preserve">es bus et cars </w:t>
      </w:r>
      <w:r>
        <w:rPr>
          <w:noProof/>
        </w:rPr>
        <w:t>fonctionnant à l’</w:t>
      </w:r>
      <w:r w:rsidRPr="000E5C8B">
        <w:rPr>
          <w:noProof/>
        </w:rPr>
        <w:t>électri</w:t>
      </w:r>
      <w:r>
        <w:rPr>
          <w:noProof/>
        </w:rPr>
        <w:t>cité</w:t>
      </w:r>
      <w:r w:rsidRPr="000E5C8B">
        <w:rPr>
          <w:noProof/>
        </w:rPr>
        <w:t xml:space="preserve"> et</w:t>
      </w:r>
      <w:r>
        <w:rPr>
          <w:noProof/>
        </w:rPr>
        <w:t>/ou l’</w:t>
      </w:r>
      <w:r w:rsidRPr="000E5C8B">
        <w:rPr>
          <w:noProof/>
        </w:rPr>
        <w:t xml:space="preserve">hydrogène bénéficient par ailleurs d’un bonus </w:t>
      </w:r>
      <w:r>
        <w:rPr>
          <w:noProof/>
        </w:rPr>
        <w:t>qui s’élève jusqu’à</w:t>
      </w:r>
      <w:r w:rsidRPr="000E5C8B">
        <w:rPr>
          <w:noProof/>
        </w:rPr>
        <w:t xml:space="preserve"> 30</w:t>
      </w:r>
      <w:r>
        <w:rPr>
          <w:rFonts w:ascii="Calibri" w:hAnsi="Calibri" w:cs="Calibri"/>
          <w:noProof/>
        </w:rPr>
        <w:t> </w:t>
      </w:r>
      <w:r w:rsidRPr="000E5C8B">
        <w:rPr>
          <w:noProof/>
        </w:rPr>
        <w:t>000</w:t>
      </w:r>
      <w:r>
        <w:rPr>
          <w:rFonts w:ascii="Calibri" w:hAnsi="Calibri" w:cs="Calibri"/>
          <w:noProof/>
        </w:rPr>
        <w:t> </w:t>
      </w:r>
      <w:r w:rsidRPr="000E5C8B">
        <w:rPr>
          <w:noProof/>
        </w:rPr>
        <w:t>€</w:t>
      </w:r>
      <w:r>
        <w:rPr>
          <w:noProof/>
        </w:rPr>
        <w:t>. Les bus et cars à énergies alternatives peuvent également bénéficier du suramortissement dans les mêmes conditions que les poids lourds, dans la mesure où ils sont acquis par des entreprises soumises à l’impôt sur les sociétés ou à l’impôt sur le revenu selon un régime réel d’imposition. Enfin, les autobus et autocars électriques ont été éligibles en 2022 à l’appel à projets «</w:t>
      </w:r>
      <w:r>
        <w:rPr>
          <w:rFonts w:ascii="Calibri" w:hAnsi="Calibri" w:cs="Calibri"/>
          <w:noProof/>
        </w:rPr>
        <w:t> </w:t>
      </w:r>
      <w:r>
        <w:rPr>
          <w:noProof/>
        </w:rPr>
        <w:t>Ecosystème des véhicules lourds électriques</w:t>
      </w:r>
      <w:r>
        <w:rPr>
          <w:rFonts w:ascii="Calibri" w:hAnsi="Calibri" w:cs="Calibri"/>
          <w:noProof/>
        </w:rPr>
        <w:t> </w:t>
      </w:r>
      <w:r>
        <w:rPr>
          <w:rFonts w:cs="Marianne"/>
          <w:noProof/>
        </w:rPr>
        <w:t>», à l’instar des poids lourds électriques (avec des aides atteignant jusque 100</w:t>
      </w:r>
      <w:r>
        <w:rPr>
          <w:rFonts w:ascii="Calibri" w:hAnsi="Calibri" w:cs="Calibri"/>
          <w:noProof/>
        </w:rPr>
        <w:t> </w:t>
      </w:r>
      <w:r>
        <w:rPr>
          <w:rFonts w:cs="Marianne"/>
          <w:noProof/>
        </w:rPr>
        <w:t>000 € / véhicule).</w:t>
      </w:r>
    </w:p>
    <w:p w14:paraId="6122D5FD" w14:textId="77777777" w:rsidR="00393C4D" w:rsidRPr="000E5C8B" w:rsidRDefault="00393C4D" w:rsidP="00393C4D">
      <w:pPr>
        <w:autoSpaceDE w:val="0"/>
        <w:autoSpaceDN w:val="0"/>
        <w:adjustRightInd w:val="0"/>
        <w:spacing w:before="240" w:after="240"/>
        <w:rPr>
          <w:noProof/>
        </w:rPr>
      </w:pPr>
    </w:p>
    <w:p w14:paraId="107843B3" w14:textId="77777777" w:rsidR="00393C4D" w:rsidRPr="00384A70" w:rsidRDefault="00393C4D" w:rsidP="00393C4D">
      <w:pPr>
        <w:spacing w:before="240" w:after="240"/>
        <w:rPr>
          <w:b/>
          <w:i/>
          <w:u w:val="single"/>
        </w:rPr>
      </w:pPr>
      <w:r w:rsidRPr="00384A70">
        <w:rPr>
          <w:b/>
          <w:i/>
          <w:u w:val="single"/>
        </w:rPr>
        <w:t xml:space="preserve">Les infrastructures de </w:t>
      </w:r>
      <w:r>
        <w:rPr>
          <w:b/>
          <w:i/>
          <w:u w:val="single"/>
        </w:rPr>
        <w:t>re</w:t>
      </w:r>
      <w:r w:rsidRPr="00384A70">
        <w:rPr>
          <w:b/>
          <w:i/>
          <w:u w:val="single"/>
        </w:rPr>
        <w:t>charge</w:t>
      </w:r>
    </w:p>
    <w:p w14:paraId="70C9D602" w14:textId="77777777" w:rsidR="00393C4D" w:rsidRDefault="00393C4D" w:rsidP="00F0578E">
      <w:pPr>
        <w:rPr>
          <w:noProof/>
        </w:rPr>
      </w:pPr>
      <w:r>
        <w:rPr>
          <w:noProof/>
        </w:rPr>
        <w:t xml:space="preserve">Un ensemble de mesures vise à promouvoir le </w:t>
      </w:r>
      <w:r w:rsidRPr="00512C6A">
        <w:rPr>
          <w:b/>
          <w:noProof/>
        </w:rPr>
        <w:t>déploiement des infrastructures de recharge</w:t>
      </w:r>
      <w:r>
        <w:rPr>
          <w:noProof/>
        </w:rPr>
        <w:t xml:space="preserve"> pour les véhicules électriques. Il existe des obligations de pré-équipements et d’équipements de certains types de bâtiments et de parkings publics (loi d’orientation des mobilités, loi climat résilience). </w:t>
      </w:r>
    </w:p>
    <w:p w14:paraId="0A23FC79" w14:textId="16A46D9D" w:rsidR="00393C4D" w:rsidRDefault="00393C4D" w:rsidP="00F0578E">
      <w:pPr>
        <w:rPr>
          <w:noProof/>
        </w:rPr>
      </w:pPr>
      <w:r w:rsidRPr="00D0706C">
        <w:rPr>
          <w:noProof/>
        </w:rPr>
        <w:t>L’installation de bornes de recharge publiques</w:t>
      </w:r>
      <w:r>
        <w:rPr>
          <w:noProof/>
        </w:rPr>
        <w:t xml:space="preserve"> </w:t>
      </w:r>
      <w:r w:rsidRPr="00D0706C">
        <w:rPr>
          <w:noProof/>
        </w:rPr>
        <w:t xml:space="preserve">comme privées fait l’objet de soutiens financiers. </w:t>
      </w:r>
      <w:r w:rsidRPr="005A4E33">
        <w:rPr>
          <w:noProof/>
        </w:rPr>
        <w:t>Les particuliers qui installent des bornes</w:t>
      </w:r>
      <w:r>
        <w:rPr>
          <w:noProof/>
        </w:rPr>
        <w:t xml:space="preserve"> à domicile</w:t>
      </w:r>
      <w:r w:rsidRPr="005A4E33">
        <w:rPr>
          <w:noProof/>
        </w:rPr>
        <w:t xml:space="preserve"> bénéficient d’un crédit d’impôt </w:t>
      </w:r>
      <w:r>
        <w:rPr>
          <w:noProof/>
        </w:rPr>
        <w:t>dans la limite de 300€ par système de charge et 75% des dépenses</w:t>
      </w:r>
      <w:r w:rsidRPr="005A4E33">
        <w:rPr>
          <w:noProof/>
        </w:rPr>
        <w:t>.</w:t>
      </w:r>
    </w:p>
    <w:p w14:paraId="3D0DD742" w14:textId="77777777" w:rsidR="00F0578E" w:rsidRDefault="00F0578E" w:rsidP="00F0578E">
      <w:pPr>
        <w:rPr>
          <w:noProof/>
        </w:rPr>
      </w:pPr>
    </w:p>
    <w:p w14:paraId="2199573F" w14:textId="77777777" w:rsidR="00393C4D" w:rsidRDefault="00393C4D" w:rsidP="00F0578E">
      <w:pPr>
        <w:rPr>
          <w:noProof/>
        </w:rPr>
      </w:pPr>
      <w:r>
        <w:rPr>
          <w:noProof/>
        </w:rPr>
        <w:t>Le</w:t>
      </w:r>
      <w:r w:rsidRPr="00D0706C">
        <w:rPr>
          <w:noProof/>
        </w:rPr>
        <w:t xml:space="preserve"> programme ADVENIR, financé dans le cadre des</w:t>
      </w:r>
      <w:r>
        <w:rPr>
          <w:noProof/>
        </w:rPr>
        <w:t xml:space="preserve"> </w:t>
      </w:r>
      <w:r w:rsidRPr="00D0706C">
        <w:rPr>
          <w:noProof/>
        </w:rPr>
        <w:t xml:space="preserve">Certificats d’Economie d’Energie (CEE), </w:t>
      </w:r>
      <w:r>
        <w:rPr>
          <w:noProof/>
        </w:rPr>
        <w:t>subventionne</w:t>
      </w:r>
      <w:r w:rsidRPr="00D0706C">
        <w:rPr>
          <w:noProof/>
        </w:rPr>
        <w:t xml:space="preserve"> </w:t>
      </w:r>
      <w:r>
        <w:rPr>
          <w:noProof/>
        </w:rPr>
        <w:t>l</w:t>
      </w:r>
      <w:r w:rsidRPr="00D0706C">
        <w:rPr>
          <w:noProof/>
        </w:rPr>
        <w:t>’installation de points de</w:t>
      </w:r>
      <w:r>
        <w:rPr>
          <w:noProof/>
        </w:rPr>
        <w:t xml:space="preserve"> </w:t>
      </w:r>
      <w:r w:rsidRPr="00D0706C">
        <w:rPr>
          <w:noProof/>
        </w:rPr>
        <w:t xml:space="preserve">charge </w:t>
      </w:r>
      <w:r>
        <w:rPr>
          <w:noProof/>
        </w:rPr>
        <w:t>dans le résidentiel collectif, les entreprises et pour les</w:t>
      </w:r>
      <w:r w:rsidRPr="00D0706C">
        <w:rPr>
          <w:noProof/>
        </w:rPr>
        <w:t xml:space="preserve"> personnes publiques dans la limite de </w:t>
      </w:r>
      <w:r>
        <w:rPr>
          <w:noProof/>
        </w:rPr>
        <w:t xml:space="preserve">taux d’aide et de </w:t>
      </w:r>
      <w:r w:rsidRPr="00D0706C">
        <w:rPr>
          <w:noProof/>
        </w:rPr>
        <w:t>plafonds par point de recharge et par type de cible.</w:t>
      </w:r>
    </w:p>
    <w:p w14:paraId="12B4C296" w14:textId="7174F887" w:rsidR="00393C4D" w:rsidRDefault="00393C4D" w:rsidP="00F0578E">
      <w:pPr>
        <w:rPr>
          <w:noProof/>
        </w:rPr>
      </w:pPr>
      <w:r w:rsidRPr="00742B22">
        <w:rPr>
          <w:noProof/>
        </w:rPr>
        <w:t xml:space="preserve">L'installation de stations de recharge rapide </w:t>
      </w:r>
      <w:r>
        <w:rPr>
          <w:noProof/>
        </w:rPr>
        <w:t>bénéficient d’aides du plan de relance jusqu’à fin 2022 (</w:t>
      </w:r>
      <w:r w:rsidRPr="00742B22">
        <w:rPr>
          <w:noProof/>
        </w:rPr>
        <w:t>sur les grands axes routiers</w:t>
      </w:r>
      <w:r>
        <w:rPr>
          <w:noProof/>
        </w:rPr>
        <w:t>) et du plan d’investissements France 2030 jusqu’en 2024 (dans les métropoles et territoires).</w:t>
      </w:r>
      <w:r w:rsidRPr="00742B22">
        <w:rPr>
          <w:noProof/>
        </w:rPr>
        <w:t xml:space="preserve">. </w:t>
      </w:r>
      <w:r>
        <w:rPr>
          <w:noProof/>
        </w:rPr>
        <w:t xml:space="preserve">Des obligations d’assurer la distribution de l’ensemble des sources d’énergies usuelles sont mises en place pour les délégataires autoroutiers. </w:t>
      </w:r>
    </w:p>
    <w:p w14:paraId="2F6F46A9" w14:textId="77777777" w:rsidR="00F0578E" w:rsidRDefault="00F0578E" w:rsidP="00F0578E">
      <w:pPr>
        <w:rPr>
          <w:noProof/>
        </w:rPr>
      </w:pPr>
    </w:p>
    <w:p w14:paraId="3B99BEE6" w14:textId="77777777" w:rsidR="00393C4D" w:rsidRDefault="00393C4D" w:rsidP="00F0578E">
      <w:pPr>
        <w:rPr>
          <w:noProof/>
        </w:rPr>
      </w:pPr>
      <w:r>
        <w:rPr>
          <w:noProof/>
        </w:rPr>
        <w:t>La loi de finances pour 2021 prévoit l’intégration de l’électricité d’origine renouvelable fournie par les infrastructures de recharge ouvertes au public au dispositif de la TIRUERT (taxe incitative relative à l’utilisation d’énergie renouvelable dans le transport), permettant aux distributeurs de carburant de valoriser les recharges de véhicules électriques pour l’atteinte de leurs objectifs d’incorporation d’énergies renouvelables. Cela vise à favoriser le déploiement des infrastructures de recharge ouvertes au public en améliorant leur rentabilité et en permettant de prendre en charge sur la durée une partie des coûts d’exploitation.</w:t>
      </w:r>
    </w:p>
    <w:p w14:paraId="72A88B46" w14:textId="77777777" w:rsidR="00F0578E" w:rsidRDefault="00F0578E" w:rsidP="00F0578E">
      <w:pPr>
        <w:rPr>
          <w:noProof/>
        </w:rPr>
      </w:pPr>
    </w:p>
    <w:p w14:paraId="143D3F32" w14:textId="20017314" w:rsidR="00393C4D" w:rsidRDefault="00393C4D" w:rsidP="00F0578E">
      <w:pPr>
        <w:rPr>
          <w:noProof/>
        </w:rPr>
      </w:pPr>
      <w:r>
        <w:rPr>
          <w:noProof/>
        </w:rPr>
        <w:t>En outre, les bornes de recharge à domicile bénéficient d’un taux de TVA réduit à 5,5% (au ieu de 20%) et lorsque l’employeur met à disposition une borne de recharge, l’avantage en nature est considéré comme nul pour les déplacements à des fins non professionnelles.</w:t>
      </w:r>
    </w:p>
    <w:p w14:paraId="4B56ED82" w14:textId="77777777" w:rsidR="00F0578E" w:rsidRDefault="00F0578E" w:rsidP="00F0578E">
      <w:pPr>
        <w:rPr>
          <w:noProof/>
        </w:rPr>
      </w:pPr>
    </w:p>
    <w:p w14:paraId="0CAE1924" w14:textId="370EBC34" w:rsidR="00393C4D" w:rsidRDefault="00393C4D" w:rsidP="00F0578E">
      <w:pPr>
        <w:rPr>
          <w:noProof/>
        </w:rPr>
      </w:pPr>
      <w:r w:rsidRPr="00742B22">
        <w:rPr>
          <w:noProof/>
        </w:rPr>
        <w:t xml:space="preserve">La </w:t>
      </w:r>
      <w:r>
        <w:rPr>
          <w:noProof/>
        </w:rPr>
        <w:t>loi d’orientation des mobilités</w:t>
      </w:r>
      <w:r w:rsidRPr="00742B22">
        <w:rPr>
          <w:noProof/>
        </w:rPr>
        <w:t xml:space="preserve"> puis la loi climat résilience ont créé </w:t>
      </w:r>
      <w:r>
        <w:rPr>
          <w:noProof/>
        </w:rPr>
        <w:t xml:space="preserve">et renforcé </w:t>
      </w:r>
      <w:r w:rsidRPr="00742B22">
        <w:rPr>
          <w:noProof/>
        </w:rPr>
        <w:t>des dispositions</w:t>
      </w:r>
      <w:r>
        <w:rPr>
          <w:noProof/>
        </w:rPr>
        <w:t xml:space="preserve"> en faveur du déploiement des infrastructures de recharge.</w:t>
      </w:r>
      <w:r w:rsidRPr="00742B22">
        <w:rPr>
          <w:noProof/>
        </w:rPr>
        <w:t xml:space="preserve"> </w:t>
      </w:r>
      <w:r w:rsidRPr="00D0706C">
        <w:rPr>
          <w:noProof/>
        </w:rPr>
        <w:t xml:space="preserve">La </w:t>
      </w:r>
      <w:r>
        <w:rPr>
          <w:noProof/>
        </w:rPr>
        <w:t>loi d’orientation des mobilités</w:t>
      </w:r>
      <w:r w:rsidRPr="002817A5">
        <w:rPr>
          <w:noProof/>
        </w:rPr>
        <w:t xml:space="preserve"> </w:t>
      </w:r>
      <w:r>
        <w:rPr>
          <w:noProof/>
        </w:rPr>
        <w:t xml:space="preserve">a simplifié et étendu le dispositif de droit à la prise afin de faciliter l’installation de points de recharge en bâtiments collectifs et a </w:t>
      </w:r>
      <w:r w:rsidRPr="00D0706C">
        <w:rPr>
          <w:noProof/>
        </w:rPr>
        <w:t>m</w:t>
      </w:r>
      <w:r>
        <w:rPr>
          <w:noProof/>
        </w:rPr>
        <w:t>is</w:t>
      </w:r>
      <w:r w:rsidRPr="00D0706C">
        <w:rPr>
          <w:noProof/>
        </w:rPr>
        <w:t xml:space="preserve"> en</w:t>
      </w:r>
      <w:r>
        <w:rPr>
          <w:noProof/>
        </w:rPr>
        <w:t xml:space="preserve"> </w:t>
      </w:r>
      <w:r w:rsidRPr="00D0706C">
        <w:rPr>
          <w:noProof/>
        </w:rPr>
        <w:t xml:space="preserve">place un taux de réfaction maximal </w:t>
      </w:r>
      <w:r w:rsidRPr="00742B22">
        <w:rPr>
          <w:noProof/>
        </w:rPr>
        <w:t>de 75</w:t>
      </w:r>
      <w:r w:rsidR="006518EF">
        <w:rPr>
          <w:noProof/>
        </w:rPr>
        <w:t>%</w:t>
      </w:r>
      <w:r w:rsidRPr="00742B22">
        <w:rPr>
          <w:noProof/>
        </w:rPr>
        <w:t xml:space="preserve"> (au lieu de 40</w:t>
      </w:r>
      <w:r w:rsidR="006518EF">
        <w:rPr>
          <w:noProof/>
        </w:rPr>
        <w:t>%</w:t>
      </w:r>
      <w:r w:rsidRPr="00742B22">
        <w:rPr>
          <w:noProof/>
        </w:rPr>
        <w:t xml:space="preserve">) de prise en charge des coûts de raccordement pour les bornes </w:t>
      </w:r>
      <w:r>
        <w:rPr>
          <w:noProof/>
        </w:rPr>
        <w:t>ouvertes</w:t>
      </w:r>
      <w:r w:rsidRPr="00742B22">
        <w:rPr>
          <w:noProof/>
        </w:rPr>
        <w:t xml:space="preserve"> au public</w:t>
      </w:r>
      <w:r>
        <w:rPr>
          <w:noProof/>
        </w:rPr>
        <w:t xml:space="preserve"> ou dans les ateliers de charge de bus jusqu’en 2022 (sauf exceptions jusqu’en 2025)</w:t>
      </w:r>
      <w:r w:rsidRPr="00742B22">
        <w:rPr>
          <w:noProof/>
        </w:rPr>
        <w:t xml:space="preserve">. </w:t>
      </w:r>
      <w:r w:rsidRPr="004A476D">
        <w:rPr>
          <w:noProof/>
        </w:rPr>
        <w:t xml:space="preserve">La loi d’orientation des mobilités prévoit </w:t>
      </w:r>
      <w:r>
        <w:rPr>
          <w:noProof/>
        </w:rPr>
        <w:t xml:space="preserve">également </w:t>
      </w:r>
      <w:r w:rsidRPr="004A476D">
        <w:rPr>
          <w:noProof/>
        </w:rPr>
        <w:t xml:space="preserve">la possibilité, pour les </w:t>
      </w:r>
      <w:r>
        <w:rPr>
          <w:noProof/>
        </w:rPr>
        <w:t>territoires</w:t>
      </w:r>
      <w:r w:rsidR="00260E0B">
        <w:rPr>
          <w:noProof/>
        </w:rPr>
        <w:t xml:space="preserve"> </w:t>
      </w:r>
      <w:r w:rsidRPr="004A476D">
        <w:rPr>
          <w:noProof/>
        </w:rPr>
        <w:t xml:space="preserve">de réaliser un schéma directeur de développement des </w:t>
      </w:r>
      <w:r>
        <w:rPr>
          <w:noProof/>
        </w:rPr>
        <w:t>infrastructures</w:t>
      </w:r>
      <w:r w:rsidRPr="004A476D">
        <w:rPr>
          <w:noProof/>
        </w:rPr>
        <w:t xml:space="preserve"> de recharge pour véhicules électriques ouvertes au public. Il s’agit d’un dispositif qui donne à la collectivité un rôle de pilotage de l’offre de recharge sur son territoire, pour aboutir à une offre coordonnée entre les différents maîtres d’ouvrage publics et privés, cohérente avec les politiques locales de mobilité et adaptée aux besoins.</w:t>
      </w:r>
      <w:r>
        <w:rPr>
          <w:noProof/>
        </w:rPr>
        <w:t xml:space="preserve"> La loi climat-résilience a rendu ces schémas obligatoires dans les ZFE. La loi climat-résilience prévoit également la possibilité de faire installer une infrastructure électrique collective (facilitant le raccordement ultérieur des points de recharge) dans les bâtiments collectifs sans frais pour le propriétaire ou la copropriété via le gestionnaire de réseau ou un opérateur de recharge, qui est remboursé par les contributions des utilisateurs souhaitant raccorder un point de recharge à l’infrastructure collective.</w:t>
      </w:r>
    </w:p>
    <w:p w14:paraId="0FDB35F1" w14:textId="77777777" w:rsidR="00F0578E" w:rsidRDefault="00F0578E" w:rsidP="00F0578E">
      <w:pPr>
        <w:rPr>
          <w:noProof/>
        </w:rPr>
      </w:pPr>
    </w:p>
    <w:p w14:paraId="5F8F629F" w14:textId="1BF7E364" w:rsidR="001A4E13" w:rsidRPr="00742B22" w:rsidRDefault="00393C4D" w:rsidP="00F0578E">
      <w:pPr>
        <w:rPr>
          <w:noProof/>
        </w:rPr>
      </w:pPr>
      <w:r>
        <w:rPr>
          <w:noProof/>
        </w:rPr>
        <w:t>La loi de transition énergétique pour la croissance verte fixe un objectif de 7 millions de points de recharg</w:t>
      </w:r>
      <w:r w:rsidR="00571533">
        <w:rPr>
          <w:noProof/>
        </w:rPr>
        <w:t>e publics et privés d’ici 2030.</w:t>
      </w:r>
    </w:p>
    <w:p w14:paraId="1AC75863" w14:textId="18D6098D" w:rsidR="001A4E13" w:rsidRDefault="001A4E13" w:rsidP="00E22CF8">
      <w:pPr>
        <w:pStyle w:val="titreencadre"/>
        <w:rPr>
          <w:noProof/>
        </w:rPr>
      </w:pPr>
      <w:r w:rsidRPr="009251B7">
        <w:rPr>
          <w:noProof/>
        </w:rPr>
        <w:t xml:space="preserve">La stratégie nationale </w:t>
      </w:r>
      <w:r w:rsidR="00571533">
        <w:rPr>
          <w:noProof/>
        </w:rPr>
        <w:t>hydrogène</w:t>
      </w:r>
    </w:p>
    <w:p w14:paraId="67AB1E4B" w14:textId="27EF49AA" w:rsidR="001A4E13" w:rsidRPr="009D6FCA" w:rsidRDefault="001A4E13" w:rsidP="00F0578E">
      <w:pPr>
        <w:rPr>
          <w:noProof/>
        </w:rPr>
      </w:pPr>
      <w:r>
        <w:rPr>
          <w:noProof/>
        </w:rPr>
        <w:t>La stratégie nationale hydrogène</w:t>
      </w:r>
      <w:r w:rsidRPr="0001229C">
        <w:rPr>
          <w:noProof/>
        </w:rPr>
        <w:t xml:space="preserve"> </w:t>
      </w:r>
      <w:r>
        <w:rPr>
          <w:noProof/>
        </w:rPr>
        <w:t>vise le développement de l’hydrogène décarboné et comprend un axe de développement de la mobilité lourde à hydogène</w:t>
      </w:r>
      <w:r w:rsidRPr="0001229C">
        <w:rPr>
          <w:noProof/>
        </w:rPr>
        <w:t xml:space="preserve"> </w:t>
      </w:r>
      <w:r>
        <w:rPr>
          <w:noProof/>
        </w:rPr>
        <w:t>s’appuyant notamment sur</w:t>
      </w:r>
      <w:r w:rsidRPr="0001229C">
        <w:rPr>
          <w:noProof/>
        </w:rPr>
        <w:t xml:space="preserve"> des écosystèmes territoriaux de mobilité hydrogène sur la base de</w:t>
      </w:r>
      <w:r>
        <w:rPr>
          <w:noProof/>
        </w:rPr>
        <w:t xml:space="preserve"> </w:t>
      </w:r>
      <w:r w:rsidRPr="0001229C">
        <w:rPr>
          <w:noProof/>
        </w:rPr>
        <w:t xml:space="preserve">flottes de véhicules </w:t>
      </w:r>
      <w:r w:rsidRPr="00E00B50">
        <w:rPr>
          <w:noProof/>
        </w:rPr>
        <w:t>professionnels.</w:t>
      </w:r>
    </w:p>
    <w:p w14:paraId="27D40BF4" w14:textId="0AA9EA03" w:rsidR="001A4E13" w:rsidRDefault="001A4E13" w:rsidP="00E22CF8">
      <w:pPr>
        <w:pStyle w:val="titreencadre"/>
        <w:rPr>
          <w:noProof/>
        </w:rPr>
      </w:pPr>
      <w:r w:rsidRPr="0001229C">
        <w:rPr>
          <w:noProof/>
        </w:rPr>
        <w:t>Le développement des biocarburants</w:t>
      </w:r>
    </w:p>
    <w:p w14:paraId="0CDB4B83" w14:textId="03C49C2F" w:rsidR="001A4E13" w:rsidRDefault="001A4E13" w:rsidP="00F0578E">
      <w:pPr>
        <w:rPr>
          <w:noProof/>
        </w:rPr>
      </w:pPr>
      <w:r w:rsidRPr="00F65B9E">
        <w:rPr>
          <w:noProof/>
        </w:rPr>
        <w:t>La taxe incitative relative à l’utilisation d’énergie renouvelable dans le transport (TIRUERT) constitue un dispositif très fortement incitatif qui permet de maximiser le taux d’incorporation des biocarburants tout en s’assurant de la durabilité de leur production. La TIRUERT est une taxe acquittée par les opérateurs qui n’atteignent pas l’objectif national d’incorporation de biocarburants respectant les critères de durabilité dans les essences et gazole. En 2022, le taux cible d’incorporation des biocarburants est fixé à 9,2</w:t>
      </w:r>
      <w:r w:rsidR="006518EF">
        <w:rPr>
          <w:noProof/>
        </w:rPr>
        <w:t>%</w:t>
      </w:r>
      <w:r w:rsidRPr="00F65B9E">
        <w:rPr>
          <w:noProof/>
        </w:rPr>
        <w:t xml:space="preserve"> pour les essences et à 8,1% pour les diesel. </w:t>
      </w:r>
    </w:p>
    <w:p w14:paraId="53EC9916" w14:textId="77777777" w:rsidR="001A4E13" w:rsidRDefault="001A4E13" w:rsidP="00F0578E">
      <w:pPr>
        <w:rPr>
          <w:noProof/>
        </w:rPr>
      </w:pPr>
    </w:p>
    <w:p w14:paraId="0E0211E6" w14:textId="2A542083" w:rsidR="001A4E13" w:rsidRDefault="001A4E13" w:rsidP="00F0578E">
      <w:pPr>
        <w:rPr>
          <w:noProof/>
        </w:rPr>
      </w:pPr>
      <w:r w:rsidRPr="00440D7B">
        <w:rPr>
          <w:noProof/>
        </w:rPr>
        <w:t>L'incorporation de biocarburants dans l'aviation est obligatoire à hauteur de 1% à compter de 2022 (loi de finance). Cette obligation s'inscrit dans le cadre d'une stratégie de développement des biocarburants actée par la feuille de route sur le développement des biocarburants qui fixe un objectif d'incorporation à hauteur de 5% à l'horizon 2030. Par ailleurs un appel à manifestation d'intérêt sur les biocarburants durables a été lancé afin d'identifier les projets d'investissement dans des unités de 2ème génération.</w:t>
      </w:r>
    </w:p>
    <w:p w14:paraId="7870044F" w14:textId="0B1353C3" w:rsidR="000F4F53" w:rsidRDefault="000F4F53" w:rsidP="00F0578E">
      <w:pPr>
        <w:rPr>
          <w:noProof/>
        </w:rPr>
      </w:pPr>
    </w:p>
    <w:p w14:paraId="34729AB4" w14:textId="77777777" w:rsidR="000F4F53" w:rsidRPr="00761168" w:rsidRDefault="000F4F53" w:rsidP="000F4F53">
      <w:pPr>
        <w:rPr>
          <w:b/>
          <w:noProof/>
        </w:rPr>
      </w:pPr>
      <w:r w:rsidRPr="00761168">
        <w:rPr>
          <w:b/>
          <w:noProof/>
        </w:rPr>
        <w:t>L’augmentation du taux d’occupation des véhicules</w:t>
      </w:r>
    </w:p>
    <w:p w14:paraId="2BA5AB02" w14:textId="77777777" w:rsidR="000F4F53" w:rsidRDefault="000F4F53" w:rsidP="000F4F53">
      <w:pPr>
        <w:rPr>
          <w:noProof/>
        </w:rPr>
      </w:pPr>
      <w:r>
        <w:rPr>
          <w:noProof/>
        </w:rPr>
        <w:t>L’augmentation du taux d’occupation des véhicules est un moyen rapide de réduction des émissions et comporte de nombreux co-bénéfices, à la fois pour les usagers (pouvoir d’achat, accès à la mobilité, convivialité) et pour les collectivités (diminution de la congestion et de la pollution atmosphérique). En 2019, le gouvernement a fixé l’objectif de tripler le nombre de trajets réalisés en covoiturage du quotidien d’ici 2024 pour atteindre 3 millions.</w:t>
      </w:r>
    </w:p>
    <w:p w14:paraId="0D9E275F" w14:textId="77777777" w:rsidR="000F4F53" w:rsidRDefault="000F4F53" w:rsidP="000F4F53">
      <w:pPr>
        <w:autoSpaceDE w:val="0"/>
        <w:autoSpaceDN w:val="0"/>
        <w:adjustRightInd w:val="0"/>
        <w:spacing w:before="240" w:after="240"/>
        <w:rPr>
          <w:noProof/>
        </w:rPr>
      </w:pPr>
      <w:r w:rsidRPr="001D442B">
        <w:rPr>
          <w:noProof/>
        </w:rPr>
        <w:t>Le covoiturage est encouragé, notamment dans le cadre des plans de déplacement urbains, et l’Etat apporte la sécurité juridique nécessaire à ce mode de déplacement. A ce titre, la loi de modernisation de l’action publique territoriale et d’affirmation des métropoles (MAP</w:t>
      </w:r>
      <w:r>
        <w:rPr>
          <w:noProof/>
        </w:rPr>
        <w:t>T</w:t>
      </w:r>
      <w:r w:rsidRPr="001D442B">
        <w:rPr>
          <w:noProof/>
        </w:rPr>
        <w:t xml:space="preserve">AM) du 27 janvier 2014 a adopté une définition du covoiturage, qui a permis, pour la première fois, de donner un cadre juridique adapté à cette pratique, afin de permettre son développement, tout en la différenciant clairement de l'activité des transports publics réguliers, des taxis et des véhicules de tourisme avec chauffeur. Cette même loi permet aux autorités organisatrices de la mobilité (AOM), en cas d’inexistence, d’insuffisance ou d’inadaptation de l’offre privée, de mettre à disposition du public des plates-formes dématérialisées favorisant la rencontre des offres et demandes de covoiturage. Ces autorités peuvent également créer un signe distinctif des véhicules en situation de covoiturage, après avoir défini au préalable ses conditions d’attribution. </w:t>
      </w:r>
    </w:p>
    <w:p w14:paraId="07593178" w14:textId="77777777" w:rsidR="000F4F53" w:rsidRDefault="000F4F53" w:rsidP="000F4F53">
      <w:pPr>
        <w:autoSpaceDE w:val="0"/>
        <w:autoSpaceDN w:val="0"/>
        <w:adjustRightInd w:val="0"/>
        <w:spacing w:before="240" w:after="240"/>
        <w:rPr>
          <w:noProof/>
        </w:rPr>
      </w:pPr>
      <w:r w:rsidRPr="001D442B">
        <w:rPr>
          <w:noProof/>
        </w:rPr>
        <w:t xml:space="preserve">La loi de transition énergétique pour la croissance verte de 2015 prévoit aussi que les entreprises et les collectivités territoriales facilitent, autant qu’il est possible, les solutions de covoiturage pour les déplacements entre le domicile et le travail de leurs salariés et de leurs agents. </w:t>
      </w:r>
    </w:p>
    <w:p w14:paraId="03CB86CA" w14:textId="77777777" w:rsidR="000F4F53" w:rsidRDefault="000F4F53" w:rsidP="000F4F53">
      <w:pPr>
        <w:autoSpaceDE w:val="0"/>
        <w:autoSpaceDN w:val="0"/>
        <w:adjustRightInd w:val="0"/>
        <w:spacing w:before="240" w:after="240"/>
        <w:rPr>
          <w:noProof/>
        </w:rPr>
      </w:pPr>
      <w:r w:rsidRPr="001D442B">
        <w:rPr>
          <w:noProof/>
        </w:rPr>
        <w:t xml:space="preserve">La loi d'orientation des mibilités </w:t>
      </w:r>
      <w:r>
        <w:rPr>
          <w:noProof/>
        </w:rPr>
        <w:t xml:space="preserve">(2019) </w:t>
      </w:r>
      <w:r w:rsidRPr="001D442B">
        <w:rPr>
          <w:noProof/>
        </w:rPr>
        <w:t>prévoit de permettre aux collectivités de subventionner les offres de covoiturage pour les rendre encore plus attractives et en faire une solution à part entière. La loi d'orientation des mobilités a créé un forfait mobilité durable</w:t>
      </w:r>
      <w:r>
        <w:rPr>
          <w:noProof/>
        </w:rPr>
        <w:t xml:space="preserve">, qui permet à </w:t>
      </w:r>
      <w:r w:rsidRPr="001D442B">
        <w:rPr>
          <w:noProof/>
        </w:rPr>
        <w:t xml:space="preserve">tous les employeurs privés et publics </w:t>
      </w:r>
      <w:r>
        <w:rPr>
          <w:noProof/>
        </w:rPr>
        <w:t>de</w:t>
      </w:r>
      <w:r w:rsidRPr="001D442B">
        <w:rPr>
          <w:noProof/>
        </w:rPr>
        <w:t xml:space="preserve"> contribuer aux frais de déplacement domicile-travail en covoiturage ou en vélo de leurs salariés. Ce forfait peut s’élever jusqu’à 700 €/an en franchise d’impôt et de cotisations sociales.</w:t>
      </w:r>
    </w:p>
    <w:p w14:paraId="7F810B72" w14:textId="77777777" w:rsidR="000F4F53" w:rsidRPr="009D6FCA" w:rsidRDefault="000F4F53" w:rsidP="00F0578E">
      <w:pPr>
        <w:rPr>
          <w:noProof/>
        </w:rPr>
      </w:pPr>
    </w:p>
    <w:p w14:paraId="00756586" w14:textId="77777777" w:rsidR="001A4E13" w:rsidRDefault="001A4E13" w:rsidP="001A4E13">
      <w:pPr>
        <w:autoSpaceDE w:val="0"/>
        <w:autoSpaceDN w:val="0"/>
        <w:adjustRightInd w:val="0"/>
        <w:rPr>
          <w:noProof/>
        </w:rPr>
      </w:pPr>
    </w:p>
    <w:p w14:paraId="32C4654D" w14:textId="77777777" w:rsidR="001A4E13" w:rsidRPr="0001229C" w:rsidRDefault="001A4E13" w:rsidP="00E22CF8">
      <w:pPr>
        <w:pStyle w:val="titreencadre"/>
        <w:rPr>
          <w:noProof/>
        </w:rPr>
      </w:pPr>
      <w:r w:rsidRPr="0001229C">
        <w:rPr>
          <w:noProof/>
        </w:rPr>
        <w:t>Le soutien au report modal</w:t>
      </w:r>
    </w:p>
    <w:p w14:paraId="336F077A" w14:textId="307B1511" w:rsidR="001A4E13" w:rsidRDefault="001A4E13" w:rsidP="00F0578E">
      <w:pPr>
        <w:rPr>
          <w:noProof/>
        </w:rPr>
      </w:pPr>
      <w:r w:rsidRPr="0001229C">
        <w:rPr>
          <w:noProof/>
        </w:rPr>
        <w:t xml:space="preserve">Le soutien au report modal vers les modes de transport les moins émetteurs de </w:t>
      </w:r>
      <w:r w:rsidR="007F09F7">
        <w:t>CO</w:t>
      </w:r>
      <w:r w:rsidR="007F09F7" w:rsidRPr="007F09F7">
        <w:rPr>
          <w:vertAlign w:val="subscript"/>
        </w:rPr>
        <w:t>2</w:t>
      </w:r>
      <w:r w:rsidRPr="0001229C">
        <w:rPr>
          <w:noProof/>
        </w:rPr>
        <w:t xml:space="preserve"> consiste notamment en l’amélioration</w:t>
      </w:r>
      <w:r>
        <w:rPr>
          <w:noProof/>
        </w:rPr>
        <w:t xml:space="preserve"> </w:t>
      </w:r>
      <w:r w:rsidRPr="0001229C">
        <w:rPr>
          <w:noProof/>
        </w:rPr>
        <w:t>de l’offre de services de transport et d’infrastructures alternatifs à la route, qu’il s’agisse du transport</w:t>
      </w:r>
      <w:r>
        <w:rPr>
          <w:noProof/>
        </w:rPr>
        <w:t xml:space="preserve"> </w:t>
      </w:r>
      <w:r w:rsidRPr="0001229C">
        <w:rPr>
          <w:noProof/>
        </w:rPr>
        <w:t>urbain et interurbain de voyageurs ou du transport de fret.</w:t>
      </w:r>
    </w:p>
    <w:p w14:paraId="7CE405BD" w14:textId="77777777" w:rsidR="00F0578E" w:rsidRDefault="00F0578E" w:rsidP="00F0578E">
      <w:pPr>
        <w:rPr>
          <w:noProof/>
        </w:rPr>
      </w:pPr>
    </w:p>
    <w:p w14:paraId="457EA3C1" w14:textId="77777777" w:rsidR="001A4E13" w:rsidRPr="00672521" w:rsidRDefault="001A4E13" w:rsidP="00672521">
      <w:pPr>
        <w:rPr>
          <w:b/>
          <w:i/>
          <w:u w:val="single"/>
        </w:rPr>
      </w:pPr>
      <w:r w:rsidRPr="00672521">
        <w:rPr>
          <w:b/>
          <w:i/>
          <w:u w:val="single"/>
        </w:rPr>
        <w:t>Le soutien au transport ferroviaire et au transport en commun de voyageurs constitue une priorité.</w:t>
      </w:r>
    </w:p>
    <w:p w14:paraId="265D0FCC" w14:textId="7F62196B" w:rsidR="001A4E13" w:rsidRDefault="001A4E13" w:rsidP="00F0578E">
      <w:pPr>
        <w:rPr>
          <w:noProof/>
        </w:rPr>
      </w:pPr>
      <w:r w:rsidRPr="0001229C">
        <w:rPr>
          <w:noProof/>
        </w:rPr>
        <w:t>Les réseaux des transports nationaux ferroviaires à grande vitesse sont bien développés et les investissements en</w:t>
      </w:r>
      <w:r>
        <w:rPr>
          <w:noProof/>
        </w:rPr>
        <w:t xml:space="preserve"> </w:t>
      </w:r>
      <w:r w:rsidRPr="0001229C">
        <w:rPr>
          <w:noProof/>
        </w:rPr>
        <w:t>la matière ont été particulièrement importants ces dernières années avec notamment la construction de quatre</w:t>
      </w:r>
      <w:r>
        <w:rPr>
          <w:noProof/>
        </w:rPr>
        <w:t xml:space="preserve"> </w:t>
      </w:r>
      <w:r w:rsidRPr="0001229C">
        <w:rPr>
          <w:noProof/>
        </w:rPr>
        <w:t>nouvelles lignes à grandes vitesse (LGV) : Tours-Bordeaux, Bretagne Pays-de-la-Loire, la LGV Est européenne,</w:t>
      </w:r>
      <w:r>
        <w:rPr>
          <w:noProof/>
        </w:rPr>
        <w:t xml:space="preserve"> </w:t>
      </w:r>
      <w:r w:rsidRPr="0001229C">
        <w:rPr>
          <w:noProof/>
        </w:rPr>
        <w:t>et le contournement Nîmes-Montpellier (ligne mixte voyageurs et fret permettant de décongestionner l’axe</w:t>
      </w:r>
      <w:r>
        <w:rPr>
          <w:noProof/>
        </w:rPr>
        <w:t xml:space="preserve"> </w:t>
      </w:r>
      <w:r w:rsidRPr="0001229C">
        <w:rPr>
          <w:noProof/>
        </w:rPr>
        <w:t>Nîmes-Montpellier), soit 757 km de lignes nouvelles à grande vitesse supplémentaires mises en service entre</w:t>
      </w:r>
      <w:r>
        <w:rPr>
          <w:noProof/>
        </w:rPr>
        <w:t xml:space="preserve"> </w:t>
      </w:r>
      <w:r w:rsidRPr="0001229C">
        <w:rPr>
          <w:noProof/>
        </w:rPr>
        <w:t>2015 et 2020.</w:t>
      </w:r>
    </w:p>
    <w:p w14:paraId="7176087E" w14:textId="77777777" w:rsidR="00F0578E" w:rsidRPr="0001229C" w:rsidRDefault="00F0578E" w:rsidP="00F0578E">
      <w:pPr>
        <w:rPr>
          <w:noProof/>
        </w:rPr>
      </w:pPr>
    </w:p>
    <w:p w14:paraId="5B33DDD3" w14:textId="4F0BC28E" w:rsidR="001A4E13" w:rsidRDefault="001A4E13" w:rsidP="00F0578E">
      <w:pPr>
        <w:rPr>
          <w:noProof/>
        </w:rPr>
      </w:pPr>
      <w:r w:rsidRPr="0001229C">
        <w:rPr>
          <w:noProof/>
        </w:rPr>
        <w:t>Au niveau des transports urbains, les transports collectifs en site propre ont été fortement développés dans les</w:t>
      </w:r>
      <w:r>
        <w:rPr>
          <w:noProof/>
        </w:rPr>
        <w:t xml:space="preserve"> </w:t>
      </w:r>
      <w:r w:rsidRPr="0001229C">
        <w:rPr>
          <w:noProof/>
        </w:rPr>
        <w:t>grandes agglomérations de province sur les 15 dernières années. Depuis 2008, l’État a accompagné les projets de</w:t>
      </w:r>
      <w:r>
        <w:rPr>
          <w:noProof/>
        </w:rPr>
        <w:t xml:space="preserve"> </w:t>
      </w:r>
      <w:r w:rsidRPr="0001229C">
        <w:rPr>
          <w:noProof/>
        </w:rPr>
        <w:t>transport collectif en site propre (TCSP) des autorités organisatrices de la mobilité en les cofinançant dans le</w:t>
      </w:r>
      <w:r>
        <w:rPr>
          <w:noProof/>
        </w:rPr>
        <w:t xml:space="preserve"> </w:t>
      </w:r>
      <w:r w:rsidRPr="0001229C">
        <w:rPr>
          <w:noProof/>
        </w:rPr>
        <w:t xml:space="preserve">cadre d’appels à projets. </w:t>
      </w:r>
      <w:r>
        <w:rPr>
          <w:noProof/>
        </w:rPr>
        <w:t xml:space="preserve">Quatre appels </w:t>
      </w:r>
      <w:r w:rsidRPr="0001229C">
        <w:rPr>
          <w:noProof/>
        </w:rPr>
        <w:t>à projets s’adressant aux autorités organisatrices de transports ayant un</w:t>
      </w:r>
      <w:r>
        <w:rPr>
          <w:noProof/>
        </w:rPr>
        <w:t xml:space="preserve"> </w:t>
      </w:r>
      <w:r w:rsidRPr="0001229C">
        <w:rPr>
          <w:noProof/>
        </w:rPr>
        <w:t xml:space="preserve">projet de métro, tramway ou bus à haut niveau de service ont été lancés </w:t>
      </w:r>
      <w:r>
        <w:rPr>
          <w:noProof/>
        </w:rPr>
        <w:t>entre 2008 et 2021</w:t>
      </w:r>
      <w:r>
        <w:rPr>
          <w:rFonts w:ascii="Calibri" w:hAnsi="Calibri" w:cs="Calibri"/>
          <w:noProof/>
        </w:rPr>
        <w:t> </w:t>
      </w:r>
      <w:r>
        <w:rPr>
          <w:noProof/>
        </w:rPr>
        <w:t xml:space="preserve">; </w:t>
      </w:r>
      <w:r w:rsidRPr="00AD51AC">
        <w:rPr>
          <w:noProof/>
        </w:rPr>
        <w:t>le quatrième appel à projets, datant de 2021 va apporter 900 millions d’euros pour financer des projets de transports collectifs en site propre et les pôles d’échanges multimodaux.</w:t>
      </w:r>
    </w:p>
    <w:p w14:paraId="1133A9BD" w14:textId="77777777" w:rsidR="00F0578E" w:rsidRPr="00AD51AC" w:rsidRDefault="00F0578E" w:rsidP="00F0578E">
      <w:pPr>
        <w:rPr>
          <w:noProof/>
        </w:rPr>
      </w:pPr>
    </w:p>
    <w:p w14:paraId="6FD1C3E3" w14:textId="28A86DEC" w:rsidR="001A4E13" w:rsidRDefault="001A4E13" w:rsidP="00F0578E">
      <w:pPr>
        <w:rPr>
          <w:noProof/>
        </w:rPr>
      </w:pPr>
      <w:r w:rsidRPr="0001229C">
        <w:rPr>
          <w:noProof/>
        </w:rPr>
        <w:t>En Île-de-France, le projet du Grand Paris des transports lancé en 2013 doit permettre d'améliorer le service</w:t>
      </w:r>
      <w:r>
        <w:rPr>
          <w:noProof/>
        </w:rPr>
        <w:t xml:space="preserve"> </w:t>
      </w:r>
      <w:r w:rsidRPr="0001229C">
        <w:rPr>
          <w:noProof/>
        </w:rPr>
        <w:t>de transport public offert aux voyageurs en termes d'information et d'exploitation du réseau, de moderniser et</w:t>
      </w:r>
      <w:r>
        <w:rPr>
          <w:noProof/>
        </w:rPr>
        <w:t xml:space="preserve"> </w:t>
      </w:r>
      <w:r w:rsidRPr="0001229C">
        <w:rPr>
          <w:noProof/>
        </w:rPr>
        <w:t>développer les réseaux existants, construire un nouveau réseau de métro automatique et développer une liaison</w:t>
      </w:r>
      <w:r>
        <w:rPr>
          <w:noProof/>
        </w:rPr>
        <w:t xml:space="preserve"> </w:t>
      </w:r>
      <w:r w:rsidRPr="0001229C">
        <w:rPr>
          <w:noProof/>
        </w:rPr>
        <w:t>directe vers l'aéroport Paris-Roissy. À terme, il est prévu que 90</w:t>
      </w:r>
      <w:r w:rsidR="006518EF">
        <w:rPr>
          <w:noProof/>
        </w:rPr>
        <w:t>%</w:t>
      </w:r>
      <w:r w:rsidRPr="0001229C">
        <w:rPr>
          <w:noProof/>
        </w:rPr>
        <w:t xml:space="preserve"> de la population francilienne ait accès à une</w:t>
      </w:r>
      <w:r>
        <w:rPr>
          <w:noProof/>
        </w:rPr>
        <w:t xml:space="preserve"> </w:t>
      </w:r>
      <w:r w:rsidRPr="0001229C">
        <w:rPr>
          <w:noProof/>
        </w:rPr>
        <w:t>gare à moins de 2 km. Ce nouveau réseau améliorera considérablement les déplacements de périphérie à périphérie</w:t>
      </w:r>
      <w:r>
        <w:rPr>
          <w:noProof/>
        </w:rPr>
        <w:t xml:space="preserve"> </w:t>
      </w:r>
      <w:r w:rsidRPr="0001229C">
        <w:rPr>
          <w:noProof/>
        </w:rPr>
        <w:t>et déchargera le réseau existant. L’objectif est que toutes les lignes soient mises progressivement en service</w:t>
      </w:r>
      <w:r>
        <w:rPr>
          <w:noProof/>
        </w:rPr>
        <w:t xml:space="preserve"> </w:t>
      </w:r>
      <w:r w:rsidRPr="0001229C">
        <w:rPr>
          <w:noProof/>
        </w:rPr>
        <w:t>entre 2019 et 2030.</w:t>
      </w:r>
    </w:p>
    <w:p w14:paraId="5D54CC4E" w14:textId="77777777" w:rsidR="001A4E13" w:rsidRPr="00366798" w:rsidRDefault="001A4E13" w:rsidP="001A4E13">
      <w:pPr>
        <w:autoSpaceDE w:val="0"/>
        <w:autoSpaceDN w:val="0"/>
        <w:adjustRightInd w:val="0"/>
        <w:rPr>
          <w:noProof/>
        </w:rPr>
      </w:pPr>
    </w:p>
    <w:p w14:paraId="192EBB75" w14:textId="3B4DEBA9" w:rsidR="001A4E13" w:rsidRPr="00366798" w:rsidRDefault="001A4E13" w:rsidP="00F0578E">
      <w:pPr>
        <w:rPr>
          <w:noProof/>
        </w:rPr>
      </w:pPr>
      <w:r w:rsidRPr="00366798">
        <w:rPr>
          <w:noProof/>
        </w:rPr>
        <w:t>La loi d’orientation des mobilités (LOM)</w:t>
      </w:r>
      <w:r w:rsidR="00260E0B">
        <w:rPr>
          <w:noProof/>
        </w:rPr>
        <w:t xml:space="preserve"> </w:t>
      </w:r>
      <w:r>
        <w:rPr>
          <w:noProof/>
        </w:rPr>
        <w:t xml:space="preserve">a créé </w:t>
      </w:r>
      <w:r w:rsidRPr="00366798">
        <w:rPr>
          <w:noProof/>
        </w:rPr>
        <w:t>un ensemble de mes</w:t>
      </w:r>
      <w:r>
        <w:rPr>
          <w:noProof/>
        </w:rPr>
        <w:t>ures favorables au report modal</w:t>
      </w:r>
      <w:r w:rsidRPr="00366798">
        <w:rPr>
          <w:noProof/>
        </w:rPr>
        <w:t>:</w:t>
      </w:r>
    </w:p>
    <w:p w14:paraId="30DA394B" w14:textId="3756917B" w:rsidR="001A4E13" w:rsidRPr="00366798" w:rsidRDefault="001A4E13" w:rsidP="00BE086C">
      <w:pPr>
        <w:pStyle w:val="ListParagraph"/>
        <w:numPr>
          <w:ilvl w:val="0"/>
          <w:numId w:val="42"/>
        </w:numPr>
        <w:autoSpaceDE w:val="0"/>
        <w:autoSpaceDN w:val="0"/>
        <w:adjustRightInd w:val="0"/>
        <w:rPr>
          <w:noProof/>
        </w:rPr>
      </w:pPr>
      <w:r w:rsidRPr="00366798">
        <w:rPr>
          <w:noProof/>
        </w:rPr>
        <w:t>Un renforcement des transports collectifs et partagés : une augmentation de 40</w:t>
      </w:r>
      <w:r w:rsidR="006518EF">
        <w:rPr>
          <w:noProof/>
        </w:rPr>
        <w:t>%</w:t>
      </w:r>
      <w:r w:rsidRPr="00366798">
        <w:rPr>
          <w:noProof/>
        </w:rPr>
        <w:t xml:space="preserve"> des investissements en transports entre la période 2014-2018 et 2019-2023 pour notamment améliorer les transports du quotidien ;</w:t>
      </w:r>
    </w:p>
    <w:p w14:paraId="3ED4B828" w14:textId="77777777" w:rsidR="001A4E13" w:rsidRPr="00366798" w:rsidRDefault="001A4E13" w:rsidP="00BE086C">
      <w:pPr>
        <w:pStyle w:val="ListParagraph"/>
        <w:numPr>
          <w:ilvl w:val="0"/>
          <w:numId w:val="42"/>
        </w:numPr>
        <w:autoSpaceDE w:val="0"/>
        <w:autoSpaceDN w:val="0"/>
        <w:adjustRightInd w:val="0"/>
        <w:rPr>
          <w:noProof/>
        </w:rPr>
      </w:pPr>
      <w:r w:rsidRPr="00366798">
        <w:rPr>
          <w:noProof/>
        </w:rPr>
        <w:t>Un cadre et des outils pour favoriser le développement des alternatives à la voiture individuelle notamment dans les territoires ruraux (</w:t>
      </w:r>
      <w:r w:rsidRPr="00326DFF">
        <w:rPr>
          <w:b/>
          <w:noProof/>
        </w:rPr>
        <w:t>covoiturage</w:t>
      </w:r>
      <w:r w:rsidRPr="00366798">
        <w:rPr>
          <w:noProof/>
        </w:rPr>
        <w:t>, services à la demande, mise à disposition de véhicules en autopartage).</w:t>
      </w:r>
    </w:p>
    <w:p w14:paraId="01A99C12" w14:textId="4DFC430F" w:rsidR="001A4E13" w:rsidRPr="00366798" w:rsidRDefault="001A4E13" w:rsidP="00BE086C">
      <w:pPr>
        <w:pStyle w:val="ListParagraph"/>
        <w:numPr>
          <w:ilvl w:val="0"/>
          <w:numId w:val="42"/>
        </w:numPr>
        <w:autoSpaceDE w:val="0"/>
        <w:autoSpaceDN w:val="0"/>
        <w:adjustRightInd w:val="0"/>
        <w:rPr>
          <w:noProof/>
        </w:rPr>
      </w:pPr>
      <w:r w:rsidRPr="00366798">
        <w:rPr>
          <w:noProof/>
        </w:rPr>
        <w:t>Une meilleure information multimodale (ouverture des données</w:t>
      </w:r>
      <w:r w:rsidR="00AD57CD">
        <w:rPr>
          <w:noProof/>
        </w:rPr>
        <w:t xml:space="preserve"> de mobilité pour atteindre 100</w:t>
      </w:r>
      <w:r w:rsidRPr="00366798">
        <w:rPr>
          <w:noProof/>
        </w:rPr>
        <w:t>% des informations de mobilité accessibles pour un trajet en un seul clic)</w:t>
      </w:r>
      <w:r w:rsidR="00AD57CD">
        <w:rPr>
          <w:noProof/>
        </w:rPr>
        <w:t>.</w:t>
      </w:r>
    </w:p>
    <w:p w14:paraId="62D5013B" w14:textId="77777777" w:rsidR="001A4E13" w:rsidRDefault="001A4E13" w:rsidP="001A4E13">
      <w:pPr>
        <w:autoSpaceDE w:val="0"/>
        <w:autoSpaceDN w:val="0"/>
        <w:adjustRightInd w:val="0"/>
        <w:ind w:left="360"/>
        <w:rPr>
          <w:noProof/>
        </w:rPr>
      </w:pPr>
    </w:p>
    <w:p w14:paraId="209D1219" w14:textId="6CAF6C7F" w:rsidR="001A4E13" w:rsidRDefault="001A4E13" w:rsidP="00F0578E">
      <w:pPr>
        <w:rPr>
          <w:noProof/>
        </w:rPr>
      </w:pPr>
      <w:r w:rsidRPr="00366798">
        <w:rPr>
          <w:noProof/>
        </w:rPr>
        <w:t xml:space="preserve">Un « forfait mobilité durable » </w:t>
      </w:r>
      <w:r>
        <w:rPr>
          <w:noProof/>
        </w:rPr>
        <w:t>permet</w:t>
      </w:r>
      <w:r w:rsidRPr="00366798">
        <w:rPr>
          <w:noProof/>
        </w:rPr>
        <w:t xml:space="preserve"> à tous les employeurs privés et publics de contribuer aux frais de déplacement domicile-travail en covoiturage ou en vélo de leurs salariés. Ce forfait </w:t>
      </w:r>
      <w:r>
        <w:rPr>
          <w:noProof/>
        </w:rPr>
        <w:t xml:space="preserve">s’élève actuellement </w:t>
      </w:r>
      <w:r w:rsidRPr="00366798">
        <w:rPr>
          <w:noProof/>
        </w:rPr>
        <w:t xml:space="preserve">jusqu’à </w:t>
      </w:r>
      <w:r>
        <w:rPr>
          <w:noProof/>
        </w:rPr>
        <w:t>7</w:t>
      </w:r>
      <w:r w:rsidRPr="00366798">
        <w:rPr>
          <w:noProof/>
        </w:rPr>
        <w:t>00 €/an en franchise d’imp</w:t>
      </w:r>
      <w:r>
        <w:rPr>
          <w:noProof/>
        </w:rPr>
        <w:t>ôt et de cotisations sociales (8</w:t>
      </w:r>
      <w:r w:rsidRPr="00366798">
        <w:rPr>
          <w:noProof/>
        </w:rPr>
        <w:t xml:space="preserve">00 €/an </w:t>
      </w:r>
      <w:r>
        <w:rPr>
          <w:noProof/>
        </w:rPr>
        <w:t>en cas de cumul du forfait mobilité durable et de la prise en charge par l’employeur de l’abonnement aux transports en commun</w:t>
      </w:r>
      <w:r w:rsidRPr="00366798">
        <w:rPr>
          <w:noProof/>
        </w:rPr>
        <w:t>). La mise en œuvre du forfait au sein de chaque entreprise est facultative.</w:t>
      </w:r>
    </w:p>
    <w:p w14:paraId="20E2283E" w14:textId="77777777" w:rsidR="00115A87" w:rsidRPr="00366798" w:rsidRDefault="00115A87" w:rsidP="001A4E13">
      <w:pPr>
        <w:autoSpaceDE w:val="0"/>
        <w:autoSpaceDN w:val="0"/>
        <w:adjustRightInd w:val="0"/>
        <w:rPr>
          <w:noProof/>
        </w:rPr>
      </w:pPr>
    </w:p>
    <w:p w14:paraId="41E2252E" w14:textId="77777777" w:rsidR="009D6FCA" w:rsidRPr="00672521" w:rsidRDefault="001A4E13" w:rsidP="00672521">
      <w:pPr>
        <w:rPr>
          <w:b/>
          <w:i/>
          <w:u w:val="single"/>
        </w:rPr>
      </w:pPr>
      <w:r w:rsidRPr="00672521">
        <w:rPr>
          <w:b/>
          <w:i/>
          <w:u w:val="single"/>
        </w:rPr>
        <w:t>Des mesures incitatives en faveur de la pratique du vélo</w:t>
      </w:r>
    </w:p>
    <w:p w14:paraId="44CC09F8" w14:textId="7CD035E3" w:rsidR="001A4E13" w:rsidRDefault="009D6FCA" w:rsidP="00F0578E">
      <w:pPr>
        <w:rPr>
          <w:noProof/>
        </w:rPr>
      </w:pPr>
      <w:r>
        <w:rPr>
          <w:noProof/>
        </w:rPr>
        <w:t>Différentes mesures ont été mises en place :</w:t>
      </w:r>
    </w:p>
    <w:p w14:paraId="62A75478" w14:textId="0010B4BE" w:rsidR="001A4E13" w:rsidRDefault="001A4E13" w:rsidP="00BE086C">
      <w:pPr>
        <w:pStyle w:val="NormalWeb"/>
        <w:numPr>
          <w:ilvl w:val="0"/>
          <w:numId w:val="44"/>
        </w:numPr>
        <w:rPr>
          <w:rFonts w:ascii="Marianne" w:hAnsi="Marianne"/>
          <w:noProof/>
        </w:rPr>
      </w:pPr>
      <w:r>
        <w:rPr>
          <w:rFonts w:ascii="Marianne" w:hAnsi="Marianne"/>
          <w:noProof/>
        </w:rPr>
        <w:t>Des soutiens à l’achat ont été mis en place</w:t>
      </w:r>
      <w:r w:rsidRPr="00AA3A62">
        <w:rPr>
          <w:rFonts w:ascii="Calibri" w:hAnsi="Calibri" w:cs="Calibri"/>
          <w:noProof/>
        </w:rPr>
        <w:t> </w:t>
      </w:r>
      <w:r>
        <w:rPr>
          <w:rFonts w:ascii="Marianne" w:hAnsi="Marianne"/>
          <w:noProof/>
        </w:rPr>
        <w:t>: bonus écologique pour l’achat de</w:t>
      </w:r>
      <w:r w:rsidRPr="00F76752">
        <w:rPr>
          <w:rFonts w:ascii="Marianne" w:hAnsi="Marianne"/>
          <w:noProof/>
        </w:rPr>
        <w:t xml:space="preserve"> « vélo</w:t>
      </w:r>
      <w:r>
        <w:rPr>
          <w:rFonts w:ascii="Marianne" w:hAnsi="Marianne"/>
          <w:noProof/>
        </w:rPr>
        <w:t>s</w:t>
      </w:r>
      <w:r w:rsidRPr="00F76752">
        <w:rPr>
          <w:rFonts w:ascii="Marianne" w:hAnsi="Marianne"/>
          <w:noProof/>
        </w:rPr>
        <w:t xml:space="preserve"> à assistance électrique », </w:t>
      </w:r>
      <w:r>
        <w:rPr>
          <w:rFonts w:ascii="Marianne" w:hAnsi="Marianne"/>
          <w:noProof/>
        </w:rPr>
        <w:t xml:space="preserve">de </w:t>
      </w:r>
      <w:r w:rsidRPr="00F76752">
        <w:rPr>
          <w:rFonts w:ascii="Marianne" w:hAnsi="Marianne"/>
          <w:noProof/>
        </w:rPr>
        <w:t>«</w:t>
      </w:r>
      <w:r w:rsidRPr="00AA3A62">
        <w:rPr>
          <w:rFonts w:ascii="Calibri" w:hAnsi="Calibri" w:cs="Calibri"/>
          <w:noProof/>
        </w:rPr>
        <w:t> </w:t>
      </w:r>
      <w:r w:rsidRPr="00F76752">
        <w:rPr>
          <w:rFonts w:ascii="Marianne" w:hAnsi="Marianne"/>
          <w:noProof/>
        </w:rPr>
        <w:t>vélo</w:t>
      </w:r>
      <w:r w:rsidR="00AD57CD">
        <w:rPr>
          <w:rFonts w:ascii="Marianne" w:hAnsi="Marianne"/>
          <w:noProof/>
        </w:rPr>
        <w:t>s</w:t>
      </w:r>
      <w:r w:rsidRPr="00F76752">
        <w:rPr>
          <w:rFonts w:ascii="Marianne" w:hAnsi="Marianne"/>
          <w:noProof/>
        </w:rPr>
        <w:t>-cargo</w:t>
      </w:r>
      <w:r w:rsidRPr="00AA3A62">
        <w:rPr>
          <w:rFonts w:ascii="Calibri" w:hAnsi="Calibri" w:cs="Calibri"/>
          <w:noProof/>
        </w:rPr>
        <w:t> </w:t>
      </w:r>
      <w:r w:rsidRPr="00F76752">
        <w:rPr>
          <w:rFonts w:ascii="Marianne" w:hAnsi="Marianne"/>
          <w:noProof/>
        </w:rPr>
        <w:t>»</w:t>
      </w:r>
      <w:r w:rsidRPr="00AA3A62">
        <w:rPr>
          <w:rFonts w:ascii="Calibri" w:hAnsi="Calibri" w:cs="Calibri"/>
          <w:noProof/>
        </w:rPr>
        <w:t> </w:t>
      </w:r>
      <w:r>
        <w:rPr>
          <w:rFonts w:ascii="Marianne" w:hAnsi="Marianne"/>
          <w:noProof/>
        </w:rPr>
        <w:t xml:space="preserve">; prime à la conversion </w:t>
      </w:r>
      <w:r w:rsidRPr="00AA3A62">
        <w:rPr>
          <w:rFonts w:ascii="Marianne" w:hAnsi="Marianne"/>
          <w:noProof/>
        </w:rPr>
        <w:t>accordée pour l’achat d'un vélo à assistance électrique neuf ou d'occasion ou d’un vélo cargo, en échange de la mise au rebut d'un vieux véhicule motorisé. En zone à faibles émissions, l’Etat accorde une surprime équivalente à l'éventuelle aide versée par la collectivité territoriale, dans la limite de 1 000 €. La prime à la conversion est élargie à l’achat d’un vélo par personne dans le foyer avec le même plafond par vélo.</w:t>
      </w:r>
    </w:p>
    <w:p w14:paraId="48607694" w14:textId="77777777" w:rsidR="001A4E13" w:rsidRDefault="001A4E13" w:rsidP="00BE086C">
      <w:pPr>
        <w:pStyle w:val="NormalWeb"/>
        <w:numPr>
          <w:ilvl w:val="0"/>
          <w:numId w:val="44"/>
        </w:numPr>
        <w:rPr>
          <w:rFonts w:ascii="Marianne" w:hAnsi="Marianne"/>
          <w:noProof/>
        </w:rPr>
      </w:pPr>
      <w:r w:rsidRPr="00AA3A62">
        <w:rPr>
          <w:rFonts w:ascii="Marianne" w:hAnsi="Marianne"/>
          <w:noProof/>
        </w:rPr>
        <w:t>Pour faciliter le stationnement des vélos, il existe une obligation de mettre en place des stationnements sécurisés pour les vélos lors de la construction des immeubles d’habitation et de bureau, ou lors de la réalisation de travaux sur les parkings, ainsi que l’obligation de mettre à l’ordre du jour des assemblées générales ordinaires de copropriétaires la question des travaux permettant le st</w:t>
      </w:r>
      <w:r>
        <w:rPr>
          <w:rFonts w:ascii="Marianne" w:hAnsi="Marianne"/>
          <w:noProof/>
        </w:rPr>
        <w:t>ationnement sécurisé des vélos</w:t>
      </w:r>
    </w:p>
    <w:p w14:paraId="37B1F6B0" w14:textId="2255E855" w:rsidR="001A4E13" w:rsidRDefault="001A4E13" w:rsidP="00BE086C">
      <w:pPr>
        <w:pStyle w:val="NormalWeb"/>
        <w:numPr>
          <w:ilvl w:val="0"/>
          <w:numId w:val="44"/>
        </w:numPr>
        <w:rPr>
          <w:rFonts w:ascii="Marianne" w:hAnsi="Marianne"/>
          <w:noProof/>
        </w:rPr>
      </w:pPr>
      <w:r>
        <w:rPr>
          <w:rFonts w:ascii="Marianne" w:hAnsi="Marianne"/>
          <w:noProof/>
        </w:rPr>
        <w:t>Il existe des incitations financières à l’utilisation du v</w:t>
      </w:r>
      <w:r w:rsidR="0042401D">
        <w:rPr>
          <w:rFonts w:ascii="Marianne" w:hAnsi="Marianne"/>
          <w:noProof/>
        </w:rPr>
        <w:t>élo</w:t>
      </w:r>
      <w:r w:rsidRPr="00AA3A62">
        <w:rPr>
          <w:rFonts w:ascii="Calibri" w:hAnsi="Calibri" w:cs="Calibri"/>
          <w:noProof/>
        </w:rPr>
        <w:t> </w:t>
      </w:r>
      <w:r>
        <w:rPr>
          <w:rFonts w:ascii="Marianne" w:hAnsi="Marianne"/>
          <w:noProof/>
        </w:rPr>
        <w:t>: forfait mobilité durable permettant aux employeurs de financer l’utlisation du vélo par leurs salariés (jusquà 700 € par an)</w:t>
      </w:r>
      <w:r w:rsidRPr="00AA3A62">
        <w:rPr>
          <w:rFonts w:ascii="Calibri" w:hAnsi="Calibri" w:cs="Calibri"/>
          <w:noProof/>
        </w:rPr>
        <w:t> </w:t>
      </w:r>
      <w:r>
        <w:rPr>
          <w:rFonts w:ascii="Marianne" w:hAnsi="Marianne"/>
          <w:noProof/>
        </w:rPr>
        <w:t>; réductions d’impôts pour les</w:t>
      </w:r>
      <w:r w:rsidR="00260E0B">
        <w:rPr>
          <w:rFonts w:ascii="Marianne" w:hAnsi="Marianne"/>
          <w:noProof/>
        </w:rPr>
        <w:t xml:space="preserve"> </w:t>
      </w:r>
      <w:r w:rsidRPr="00AA3A62">
        <w:rPr>
          <w:rFonts w:ascii="Marianne" w:hAnsi="Marianne"/>
          <w:noProof/>
        </w:rPr>
        <w:t>entreprises mettant gratuitement à disposition de leurs salariés une flotte de vélos pour leurs déplacements domicile-travail (dans la limite de 25</w:t>
      </w:r>
      <w:r w:rsidR="006518EF">
        <w:rPr>
          <w:rFonts w:ascii="Marianne" w:hAnsi="Marianne"/>
          <w:noProof/>
        </w:rPr>
        <w:t>%</w:t>
      </w:r>
      <w:r w:rsidRPr="00AA3A62">
        <w:rPr>
          <w:rFonts w:ascii="Marianne" w:hAnsi="Marianne"/>
          <w:noProof/>
        </w:rPr>
        <w:t xml:space="preserve"> du prix d’achat de flotte de vélos). </w:t>
      </w:r>
    </w:p>
    <w:p w14:paraId="41519F7F" w14:textId="54BEC6F7" w:rsidR="001A4E13" w:rsidRDefault="001A4E13" w:rsidP="00BE086C">
      <w:pPr>
        <w:pStyle w:val="NormalWeb"/>
        <w:numPr>
          <w:ilvl w:val="0"/>
          <w:numId w:val="44"/>
        </w:numPr>
        <w:rPr>
          <w:rFonts w:ascii="Marianne" w:hAnsi="Marianne"/>
          <w:noProof/>
        </w:rPr>
      </w:pPr>
      <w:r w:rsidRPr="00AA3A62">
        <w:rPr>
          <w:rFonts w:ascii="Marianne" w:hAnsi="Marianne"/>
          <w:noProof/>
        </w:rPr>
        <w:t>Un fonds vélo, avec lancement d’appels à projets,</w:t>
      </w:r>
      <w:r w:rsidR="00260E0B">
        <w:rPr>
          <w:rFonts w:ascii="Marianne" w:hAnsi="Marianne"/>
          <w:noProof/>
        </w:rPr>
        <w:t xml:space="preserve"> </w:t>
      </w:r>
      <w:r w:rsidRPr="00AA3A62">
        <w:rPr>
          <w:rFonts w:ascii="Marianne" w:hAnsi="Marianne"/>
          <w:noProof/>
        </w:rPr>
        <w:t xml:space="preserve">a été créé pour soutenir et amplifier les projets de création d’axes cyclables au sein des collectivités, en ciblant notamment les discontinuités d’itinéraires et pour assurer la sécurité de tous les usagers. </w:t>
      </w:r>
      <w:r w:rsidR="00DA7F5B">
        <w:rPr>
          <w:rFonts w:ascii="Marianne" w:hAnsi="Marianne"/>
          <w:noProof/>
        </w:rPr>
        <w:t xml:space="preserve">Le premier plan vélo créé en 2018 est </w:t>
      </w:r>
      <w:r w:rsidR="00163209">
        <w:rPr>
          <w:rFonts w:ascii="Marianne" w:hAnsi="Marianne"/>
          <w:noProof/>
        </w:rPr>
        <w:t>prolongé et re</w:t>
      </w:r>
      <w:r w:rsidR="00DA7F5B">
        <w:rPr>
          <w:rFonts w:ascii="Marianne" w:hAnsi="Marianne"/>
          <w:noProof/>
        </w:rPr>
        <w:t>nforcé dans le cadre du plan vélo et mobilités actives 2022-2027.</w:t>
      </w:r>
    </w:p>
    <w:p w14:paraId="736091A4" w14:textId="4B3C6C0D" w:rsidR="001A4E13" w:rsidRDefault="009D312C" w:rsidP="00BE086C">
      <w:pPr>
        <w:pStyle w:val="NormalWeb"/>
        <w:numPr>
          <w:ilvl w:val="0"/>
          <w:numId w:val="44"/>
        </w:numPr>
        <w:rPr>
          <w:rFonts w:ascii="Marianne" w:hAnsi="Marianne"/>
          <w:noProof/>
        </w:rPr>
      </w:pPr>
      <w:r>
        <w:rPr>
          <w:rFonts w:ascii="Marianne" w:hAnsi="Marianne"/>
          <w:noProof/>
        </w:rPr>
        <w:t>La g</w:t>
      </w:r>
      <w:r w:rsidR="001A4E13" w:rsidRPr="00AA3A62">
        <w:rPr>
          <w:rFonts w:ascii="Marianne" w:hAnsi="Marianne"/>
          <w:noProof/>
        </w:rPr>
        <w:t xml:space="preserve">énéralisation progressive du marquage des vélos ainsi que le développement de parkings sécurisés </w:t>
      </w:r>
      <w:r>
        <w:rPr>
          <w:rFonts w:ascii="Marianne" w:hAnsi="Marianne"/>
          <w:noProof/>
        </w:rPr>
        <w:t xml:space="preserve">ont été mis en place </w:t>
      </w:r>
      <w:r w:rsidR="001A4E13" w:rsidRPr="00AA3A62">
        <w:rPr>
          <w:rFonts w:ascii="Marianne" w:hAnsi="Marianne"/>
          <w:noProof/>
        </w:rPr>
        <w:t>pour lutter contre le vol et le recel ;</w:t>
      </w:r>
    </w:p>
    <w:p w14:paraId="034CDC01" w14:textId="183854EC" w:rsidR="0076437B" w:rsidRPr="00F0578E" w:rsidRDefault="009D312C" w:rsidP="00BE086C">
      <w:pPr>
        <w:pStyle w:val="NormalWeb"/>
        <w:numPr>
          <w:ilvl w:val="0"/>
          <w:numId w:val="44"/>
        </w:numPr>
        <w:rPr>
          <w:rFonts w:ascii="Marianne" w:hAnsi="Marianne"/>
          <w:noProof/>
        </w:rPr>
      </w:pPr>
      <w:r>
        <w:rPr>
          <w:rFonts w:ascii="Marianne" w:hAnsi="Marianne"/>
          <w:noProof/>
        </w:rPr>
        <w:t>Le d</w:t>
      </w:r>
      <w:r w:rsidR="001A4E13" w:rsidRPr="00AA3A62">
        <w:rPr>
          <w:rFonts w:ascii="Marianne" w:hAnsi="Marianne"/>
          <w:noProof/>
        </w:rPr>
        <w:t>éveloppement de l’apprentissage et d’une culture vélo à l’école</w:t>
      </w:r>
      <w:r>
        <w:rPr>
          <w:rFonts w:ascii="Marianne" w:hAnsi="Marianne"/>
          <w:noProof/>
        </w:rPr>
        <w:t xml:space="preserve"> a été mis en place</w:t>
      </w:r>
      <w:r w:rsidR="001A4E13" w:rsidRPr="00AA3A62">
        <w:rPr>
          <w:rFonts w:ascii="Marianne" w:hAnsi="Marianne"/>
          <w:noProof/>
        </w:rPr>
        <w:t>.</w:t>
      </w:r>
    </w:p>
    <w:p w14:paraId="1C11EF60" w14:textId="71346623" w:rsidR="001A4E13" w:rsidRDefault="001A4E13" w:rsidP="00F0578E">
      <w:r w:rsidRPr="00E41DEF">
        <w:t>P</w:t>
      </w:r>
      <w:r w:rsidRPr="00591CBC">
        <w:t xml:space="preserve">our les </w:t>
      </w:r>
      <w:r>
        <w:t>déplacements à longue distance, et afin de favoriser le report modal vers le train, le transport aérien fait l’objet d’une taxation sur les billets d’avion ainsi que d’une obligation de compensation des émissions créée par la loi climat-résilience. Ces mesures viennent en complément des dispositifs européens (ETS et Corsia).</w:t>
      </w:r>
    </w:p>
    <w:p w14:paraId="023F40EF" w14:textId="77777777" w:rsidR="00CA2A7E" w:rsidRPr="00E41DEF" w:rsidRDefault="00CA2A7E" w:rsidP="00F0578E"/>
    <w:p w14:paraId="7718F02B" w14:textId="77777777" w:rsidR="001A4E13" w:rsidRPr="00672521" w:rsidRDefault="001A4E13" w:rsidP="00672521">
      <w:pPr>
        <w:rPr>
          <w:b/>
          <w:i/>
          <w:noProof/>
          <w:u w:val="single"/>
        </w:rPr>
      </w:pPr>
      <w:r w:rsidRPr="00672521">
        <w:rPr>
          <w:b/>
          <w:i/>
          <w:noProof/>
          <w:u w:val="single"/>
        </w:rPr>
        <w:t>Soutien au transport ferroviaire et fluvial de marchandises</w:t>
      </w:r>
    </w:p>
    <w:p w14:paraId="12C2879A" w14:textId="381004EB" w:rsidR="001A4E13" w:rsidRDefault="001A4E13" w:rsidP="00F0578E">
      <w:r w:rsidRPr="00ED35CA">
        <w:rPr>
          <w:b/>
        </w:rPr>
        <w:t>La loi climat résilience du 24 août 2021</w:t>
      </w:r>
      <w:r>
        <w:t xml:space="preserve"> fixe un objectif de doublement de la part modale du fret ferroviaire à horizon 2030 en passant de 9</w:t>
      </w:r>
      <w:r w:rsidR="006518EF">
        <w:t>%</w:t>
      </w:r>
      <w:r>
        <w:t xml:space="preserve"> (en 2019) à 18</w:t>
      </w:r>
      <w:r w:rsidR="006518EF">
        <w:t>%</w:t>
      </w:r>
      <w:r>
        <w:t>, ainsi qu’une augmentation à horizon 2030 de 50% de la part modale du fluvial. Pour le fret ferroviaire, et à plus long terme, l’État se donne l’objectif d’atteindre une part modale pour le fret ferroviaire de 25</w:t>
      </w:r>
      <w:r w:rsidR="006518EF">
        <w:t>%</w:t>
      </w:r>
      <w:r>
        <w:t xml:space="preserve"> à l’horizon 2050. Pour atteindre cet objectif, la </w:t>
      </w:r>
      <w:r w:rsidRPr="0042401D">
        <w:rPr>
          <w:b/>
        </w:rPr>
        <w:t>Stratégie nationale pour le développement du fret ferroviaire</w:t>
      </w:r>
      <w:r>
        <w:t xml:space="preserve"> identifie 72 mesures concrètes portant sur la viabilité économique des services, l’amélioration de la qualité de service du réseau, le renforcement de la performance des infrastructures permettant le développement du fret ferroviaire ; le développement de la coordination avec le portuaire et le fluvial. </w:t>
      </w:r>
    </w:p>
    <w:p w14:paraId="52064C6B" w14:textId="77777777" w:rsidR="00F0578E" w:rsidRDefault="00F0578E" w:rsidP="00F0578E"/>
    <w:p w14:paraId="59497CAE" w14:textId="12451AAB" w:rsidR="001A4E13" w:rsidRDefault="001A4E13" w:rsidP="00F0578E">
      <w:r>
        <w:t>Le transport combiné, système de transport qui combine le mode routier avec d’autres modes comme la navigation intérieure, le ferroviaire ou le transport maritime courte distance, fait l’objet de soutiens financiers. Le régime d’aides vise à réduire le coût supplémentaire que constituent les ruptures de charge de la chaîne intermodale par rapport au transport routier de porte à porte. Il s’agit de verser une aide forfaitaire par unité de transport intermodal - UTI (conteneurs, caisses mobiles, semi-remorques, remorques) transbordée dans un terminal terrestre ou portuaire situé sur le territoire français métropolitain et intégré dans une chaîne de transport incluant un pré et post acheminement routier aux e</w:t>
      </w:r>
      <w:r w:rsidR="009D6FCA">
        <w:t>xtrémités du maillon principal.</w:t>
      </w:r>
    </w:p>
    <w:p w14:paraId="001CDDA7" w14:textId="77777777" w:rsidR="00F0578E" w:rsidRPr="009D6FCA" w:rsidRDefault="00F0578E" w:rsidP="00F0578E"/>
    <w:p w14:paraId="7340FFA4" w14:textId="77777777" w:rsidR="001A4E13" w:rsidRPr="00672521" w:rsidRDefault="001A4E13" w:rsidP="00672521">
      <w:pPr>
        <w:rPr>
          <w:b/>
          <w:i/>
          <w:noProof/>
          <w:u w:val="single"/>
        </w:rPr>
      </w:pPr>
      <w:r w:rsidRPr="00672521">
        <w:rPr>
          <w:b/>
          <w:i/>
          <w:noProof/>
          <w:u w:val="single"/>
        </w:rPr>
        <w:t>L’information à destination des utilisateurs de services de transports</w:t>
      </w:r>
    </w:p>
    <w:p w14:paraId="459E179C" w14:textId="08E5F9EB" w:rsidR="001A4E13" w:rsidRDefault="001A4E13" w:rsidP="00F0578E">
      <w:pPr>
        <w:rPr>
          <w:noProof/>
        </w:rPr>
      </w:pPr>
      <w:r w:rsidRPr="00366798">
        <w:rPr>
          <w:noProof/>
        </w:rPr>
        <w:t>Un axe d’action de la politique de soutien au report modal consiste à améliorer l’information à destination des utilisateurs des services de transport avec le dispositif de l’information GES des prestations de transport. Les prestataires de transport de voyageurs et de marchandises ou de déménagement doivent obligatoirement fournir une information sur les quantités de gaz à effet de serre induites par les prestations réalisées p</w:t>
      </w:r>
      <w:r w:rsidR="009D6FCA">
        <w:rPr>
          <w:noProof/>
        </w:rPr>
        <w:t>our le compte de leurs clients.</w:t>
      </w:r>
    </w:p>
    <w:p w14:paraId="79B159ED" w14:textId="77777777" w:rsidR="00F0578E" w:rsidRPr="009D6FCA" w:rsidRDefault="00F0578E" w:rsidP="00F0578E">
      <w:pPr>
        <w:rPr>
          <w:noProof/>
        </w:rPr>
      </w:pPr>
    </w:p>
    <w:p w14:paraId="5CFC9270" w14:textId="77777777" w:rsidR="001A4E13" w:rsidRPr="00672521" w:rsidRDefault="001A4E13" w:rsidP="00672521">
      <w:pPr>
        <w:rPr>
          <w:b/>
          <w:i/>
          <w:u w:val="single"/>
        </w:rPr>
      </w:pPr>
      <w:r w:rsidRPr="00672521">
        <w:rPr>
          <w:b/>
          <w:i/>
          <w:u w:val="single"/>
        </w:rPr>
        <w:t>Mesures agissant sur plusieurs leviers</w:t>
      </w:r>
    </w:p>
    <w:p w14:paraId="608AB990" w14:textId="59997AF2" w:rsidR="001A4E13" w:rsidRPr="009F3F66" w:rsidRDefault="001A4E13" w:rsidP="00F0578E">
      <w:pPr>
        <w:rPr>
          <w:noProof/>
        </w:rPr>
      </w:pPr>
      <w:r>
        <w:rPr>
          <w:noProof/>
        </w:rPr>
        <w:t>L</w:t>
      </w:r>
      <w:r w:rsidRPr="009F3F66">
        <w:rPr>
          <w:noProof/>
        </w:rPr>
        <w:t xml:space="preserve">es agglomérations de plus de 150 000 habitants situées sur le territoire métropolitain devront avoir instauré une </w:t>
      </w:r>
      <w:r w:rsidRPr="00E41DEF">
        <w:rPr>
          <w:b/>
          <w:noProof/>
        </w:rPr>
        <w:t>zone à faibles émissions</w:t>
      </w:r>
      <w:r w:rsidRPr="009F3F66">
        <w:rPr>
          <w:noProof/>
        </w:rPr>
        <w:t xml:space="preserve"> </w:t>
      </w:r>
      <w:r w:rsidRPr="00E41DEF">
        <w:rPr>
          <w:b/>
          <w:noProof/>
        </w:rPr>
        <w:t>mobilité</w:t>
      </w:r>
      <w:r w:rsidRPr="009F3F66">
        <w:rPr>
          <w:noProof/>
        </w:rPr>
        <w:t xml:space="preserve"> avant le 31 décembre 2024. Pour les </w:t>
      </w:r>
      <w:r>
        <w:rPr>
          <w:noProof/>
        </w:rPr>
        <w:t>zones à faibles émissions</w:t>
      </w:r>
      <w:r w:rsidRPr="009F3F66">
        <w:rPr>
          <w:noProof/>
        </w:rPr>
        <w:t xml:space="preserve"> où les normes de qualité de l'air ne sont pas atteintes, sont interdits a minima : au plus tard le </w:t>
      </w:r>
      <w:r w:rsidR="006518EF" w:rsidRPr="009F4180">
        <w:t>1</w:t>
      </w:r>
      <w:r w:rsidR="006518EF" w:rsidRPr="007F47EF">
        <w:rPr>
          <w:vertAlign w:val="superscript"/>
        </w:rPr>
        <w:t>er</w:t>
      </w:r>
      <w:r w:rsidRPr="009F3F66">
        <w:rPr>
          <w:noProof/>
        </w:rPr>
        <w:t xml:space="preserve"> janvier 2025, les véhicules diesel et assimilés dont la date de première immatriculation est antérieure au 31 décembre 2010 ainsi que les véhicules essence et assimilés dont la date de première immatriculation est antérieure au 31 décembre 2005.</w:t>
      </w:r>
    </w:p>
    <w:p w14:paraId="06F3234E" w14:textId="77777777" w:rsidR="00F0578E" w:rsidRDefault="00F0578E" w:rsidP="00F0578E">
      <w:pPr>
        <w:rPr>
          <w:noProof/>
        </w:rPr>
      </w:pPr>
    </w:p>
    <w:p w14:paraId="44FDB236" w14:textId="4423F336" w:rsidR="001A4E13" w:rsidRPr="00366798" w:rsidRDefault="001A4E13" w:rsidP="00F0578E">
      <w:pPr>
        <w:rPr>
          <w:noProof/>
        </w:rPr>
      </w:pPr>
      <w:r w:rsidRPr="00366798">
        <w:rPr>
          <w:noProof/>
        </w:rPr>
        <w:t>Financé dans le cadre des certificats d'économie d'énergie (CEE), le Programme EVE (Engagements Volontaires</w:t>
      </w:r>
      <w:r>
        <w:rPr>
          <w:noProof/>
        </w:rPr>
        <w:t xml:space="preserve"> </w:t>
      </w:r>
      <w:r w:rsidRPr="00366798">
        <w:rPr>
          <w:noProof/>
        </w:rPr>
        <w:t>pour l’Environnement – Transport et logistique) vise à accompagner les acteurs du transport et de la logistique</w:t>
      </w:r>
      <w:r>
        <w:rPr>
          <w:noProof/>
        </w:rPr>
        <w:t xml:space="preserve"> </w:t>
      </w:r>
      <w:r w:rsidRPr="00366798">
        <w:rPr>
          <w:noProof/>
        </w:rPr>
        <w:t>(transporteurs, commissionnaires et chargeurs) vers l’amélioration de leur performance énergétique et environnementale.</w:t>
      </w:r>
      <w:r>
        <w:rPr>
          <w:noProof/>
        </w:rPr>
        <w:t xml:space="preserve"> </w:t>
      </w:r>
      <w:r w:rsidRPr="00366798">
        <w:rPr>
          <w:noProof/>
        </w:rPr>
        <w:t xml:space="preserve">Il s’appuie sur trois dispositifs d’engagements volontaires : Objectif </w:t>
      </w:r>
      <w:r w:rsidR="007F09F7">
        <w:t>CO</w:t>
      </w:r>
      <w:r w:rsidR="007F09F7" w:rsidRPr="007F09F7">
        <w:rPr>
          <w:vertAlign w:val="subscript"/>
        </w:rPr>
        <w:t>2</w:t>
      </w:r>
      <w:r w:rsidR="002125F7">
        <w:rPr>
          <w:noProof/>
        </w:rPr>
        <w:t xml:space="preserve"> </w:t>
      </w:r>
      <w:r w:rsidRPr="00366798">
        <w:rPr>
          <w:noProof/>
        </w:rPr>
        <w:t>pour les transporteurs de marchandises et de voyageurs, FRET21</w:t>
      </w:r>
      <w:r>
        <w:rPr>
          <w:noProof/>
        </w:rPr>
        <w:t xml:space="preserve"> </w:t>
      </w:r>
      <w:r w:rsidRPr="00366798">
        <w:rPr>
          <w:noProof/>
        </w:rPr>
        <w:t>pour les chargeurs et EVcom pour les commissionnaires.</w:t>
      </w:r>
    </w:p>
    <w:p w14:paraId="53AAA6D8" w14:textId="1BCF5375" w:rsidR="001A4E13" w:rsidRPr="00366798" w:rsidRDefault="001A4E13" w:rsidP="00BE086C">
      <w:pPr>
        <w:pStyle w:val="ListParagraph"/>
        <w:numPr>
          <w:ilvl w:val="0"/>
          <w:numId w:val="43"/>
        </w:numPr>
        <w:autoSpaceDE w:val="0"/>
        <w:autoSpaceDN w:val="0"/>
        <w:adjustRightInd w:val="0"/>
        <w:spacing w:before="240" w:after="240"/>
        <w:rPr>
          <w:noProof/>
        </w:rPr>
      </w:pPr>
      <w:r w:rsidRPr="00366798">
        <w:rPr>
          <w:noProof/>
        </w:rPr>
        <w:t xml:space="preserve">Le dispositif Objectif </w:t>
      </w:r>
      <w:r w:rsidR="007F09F7">
        <w:t>CO</w:t>
      </w:r>
      <w:r w:rsidR="007F09F7" w:rsidRPr="007F09F7">
        <w:rPr>
          <w:vertAlign w:val="subscript"/>
        </w:rPr>
        <w:t>2</w:t>
      </w:r>
      <w:r w:rsidRPr="00366798">
        <w:rPr>
          <w:noProof/>
        </w:rPr>
        <w:t>, issu de la charte d'engagement initiée en 2008, prévoit la mise à disposition d'outils</w:t>
      </w:r>
      <w:r>
        <w:rPr>
          <w:noProof/>
        </w:rPr>
        <w:t xml:space="preserve"> </w:t>
      </w:r>
      <w:r w:rsidRPr="00366798">
        <w:rPr>
          <w:noProof/>
        </w:rPr>
        <w:t>d'évaluation des émissions de GES pour la mise en place d'un plan d'action sur 3 ans de leur réduction</w:t>
      </w:r>
      <w:r>
        <w:rPr>
          <w:noProof/>
        </w:rPr>
        <w:t xml:space="preserve"> </w:t>
      </w:r>
      <w:r w:rsidRPr="00366798">
        <w:rPr>
          <w:noProof/>
        </w:rPr>
        <w:t>selon 4 axes : véhicule, carburant, conducteur, organisation des flux.</w:t>
      </w:r>
    </w:p>
    <w:p w14:paraId="54CF9584" w14:textId="77777777" w:rsidR="001A4E13" w:rsidRPr="00366798" w:rsidRDefault="001A4E13" w:rsidP="00BE086C">
      <w:pPr>
        <w:pStyle w:val="ListParagraph"/>
        <w:numPr>
          <w:ilvl w:val="0"/>
          <w:numId w:val="43"/>
        </w:numPr>
        <w:autoSpaceDE w:val="0"/>
        <w:autoSpaceDN w:val="0"/>
        <w:adjustRightInd w:val="0"/>
        <w:spacing w:before="240" w:after="240"/>
        <w:rPr>
          <w:noProof/>
        </w:rPr>
      </w:pPr>
      <w:r w:rsidRPr="00366798">
        <w:rPr>
          <w:noProof/>
        </w:rPr>
        <w:t>Le dispositif FRET21 a pour finalité d’inciter et de soutenir les chargeurs à réduire les émissions de GES</w:t>
      </w:r>
      <w:r>
        <w:rPr>
          <w:noProof/>
        </w:rPr>
        <w:t xml:space="preserve"> </w:t>
      </w:r>
      <w:r w:rsidRPr="00366798">
        <w:rPr>
          <w:noProof/>
        </w:rPr>
        <w:t>générées par les transports de marchandises liés à leur activité, au travers de la quantification de l'impact</w:t>
      </w:r>
      <w:r>
        <w:rPr>
          <w:noProof/>
        </w:rPr>
        <w:t xml:space="preserve"> </w:t>
      </w:r>
      <w:r w:rsidRPr="00366798">
        <w:rPr>
          <w:noProof/>
        </w:rPr>
        <w:t>environnemental de leurs transports et la mise en oeuvre d'actions de réduction de leurs émissions sur 3 ans</w:t>
      </w:r>
      <w:r>
        <w:rPr>
          <w:noProof/>
        </w:rPr>
        <w:t xml:space="preserve"> </w:t>
      </w:r>
      <w:r w:rsidRPr="00366798">
        <w:rPr>
          <w:noProof/>
        </w:rPr>
        <w:t>selon 4 axes : taux de chargement, distance parcourue, moyen de transport, achats responsables.</w:t>
      </w:r>
    </w:p>
    <w:p w14:paraId="23C92C4F" w14:textId="13B9E6CD" w:rsidR="001A4E13" w:rsidRDefault="001A4E13" w:rsidP="00BE086C">
      <w:pPr>
        <w:pStyle w:val="ListParagraph"/>
        <w:numPr>
          <w:ilvl w:val="0"/>
          <w:numId w:val="43"/>
        </w:numPr>
        <w:autoSpaceDE w:val="0"/>
        <w:autoSpaceDN w:val="0"/>
        <w:adjustRightInd w:val="0"/>
        <w:spacing w:before="240" w:after="240"/>
        <w:rPr>
          <w:noProof/>
        </w:rPr>
      </w:pPr>
      <w:r w:rsidRPr="00366798">
        <w:rPr>
          <w:noProof/>
        </w:rPr>
        <w:t>Le dispositif EVcom, similaire aux deux précédents, est destiné aux commissionnaires de transport. Les actions de réduction sur 3 ans s'articulent autour de 4 axes : flotte propre, achat transport, collaboration clients et démarche RSE (responsabilité sociale des entreprises).</w:t>
      </w:r>
    </w:p>
    <w:p w14:paraId="51E9E13E" w14:textId="77777777" w:rsidR="000F4F53" w:rsidRPr="000F4F53" w:rsidRDefault="000F4F53" w:rsidP="000F4F53">
      <w:pPr>
        <w:ind w:left="360"/>
        <w:rPr>
          <w:rFonts w:ascii="CIDFont+F1" w:eastAsiaTheme="minorHAnsi" w:hAnsi="CIDFont+F1" w:cs="CIDFont+F1"/>
          <w:sz w:val="20"/>
          <w:szCs w:val="20"/>
          <w:lang w:eastAsia="en-US"/>
        </w:rPr>
      </w:pPr>
      <w:r>
        <w:rPr>
          <w:noProof/>
        </w:rPr>
        <w:t xml:space="preserve">Dans le cadre de ce programme, </w:t>
      </w:r>
      <w:r w:rsidRPr="00366798">
        <w:rPr>
          <w:noProof/>
        </w:rPr>
        <w:t>une plateforme d’échange de</w:t>
      </w:r>
      <w:r>
        <w:rPr>
          <w:noProof/>
        </w:rPr>
        <w:t xml:space="preserve"> </w:t>
      </w:r>
      <w:r w:rsidRPr="00366798">
        <w:rPr>
          <w:noProof/>
        </w:rPr>
        <w:t>données environnementales entre les acteurs du transport</w:t>
      </w:r>
      <w:r>
        <w:rPr>
          <w:noProof/>
        </w:rPr>
        <w:t xml:space="preserve"> a été mise en œuvre afin d’établir un outil commun entre ces trois dispositifs et de faciliter la transmission d’informations environnementales sur les prestations de transport, comme par exemple l’information GES (cf. ci-dessus)</w:t>
      </w:r>
      <w:r w:rsidRPr="00366798">
        <w:rPr>
          <w:noProof/>
        </w:rPr>
        <w:t>.</w:t>
      </w:r>
    </w:p>
    <w:p w14:paraId="5DD80812" w14:textId="77777777" w:rsidR="000F4F53" w:rsidRPr="009D6FCA" w:rsidRDefault="000F4F53" w:rsidP="000F4F53">
      <w:pPr>
        <w:autoSpaceDE w:val="0"/>
        <w:autoSpaceDN w:val="0"/>
        <w:adjustRightInd w:val="0"/>
        <w:spacing w:before="240" w:after="240"/>
        <w:rPr>
          <w:noProof/>
        </w:rPr>
      </w:pPr>
    </w:p>
    <w:p w14:paraId="77B58619" w14:textId="47C2290B" w:rsidR="001A4E13" w:rsidRPr="00366798" w:rsidRDefault="001A4E13" w:rsidP="00EF6DB6">
      <w:pPr>
        <w:pStyle w:val="Titre4niveau4"/>
        <w:rPr>
          <w:noProof/>
        </w:rPr>
      </w:pPr>
      <w:r w:rsidRPr="00366798">
        <w:rPr>
          <w:noProof/>
        </w:rPr>
        <w:t xml:space="preserve">Politiques et mesures agissant sur les émissions de </w:t>
      </w:r>
      <w:r w:rsidR="007F09F7">
        <w:t>CO</w:t>
      </w:r>
      <w:r w:rsidR="007F09F7" w:rsidRPr="00E22CF8">
        <w:rPr>
          <w:vertAlign w:val="subscript"/>
        </w:rPr>
        <w:t>2</w:t>
      </w:r>
      <w:r w:rsidRPr="00366798">
        <w:rPr>
          <w:noProof/>
        </w:rPr>
        <w:t xml:space="preserve"> des transports internationaux</w:t>
      </w:r>
    </w:p>
    <w:p w14:paraId="09E65E27" w14:textId="77777777" w:rsidR="001A4E13" w:rsidRPr="00366798" w:rsidRDefault="001A4E13" w:rsidP="00E22CF8">
      <w:pPr>
        <w:pStyle w:val="titreencadre"/>
        <w:rPr>
          <w:noProof/>
        </w:rPr>
      </w:pPr>
      <w:r w:rsidRPr="00366798">
        <w:rPr>
          <w:noProof/>
        </w:rPr>
        <w:t xml:space="preserve">Le transport aérien </w:t>
      </w:r>
    </w:p>
    <w:p w14:paraId="65B6B563" w14:textId="77777777" w:rsidR="001A4E13" w:rsidRPr="00366798" w:rsidRDefault="001A4E13" w:rsidP="00F0578E">
      <w:pPr>
        <w:rPr>
          <w:noProof/>
        </w:rPr>
      </w:pPr>
      <w:r w:rsidRPr="00366798">
        <w:rPr>
          <w:noProof/>
        </w:rPr>
        <w:t>Les vols intra-européens sont inclus dans le système de marché carbone européen (SEQE-UE). En effet, l’Union européenne a adopté la directive 2008/101/CE du 19 novembre 2008 qui modifie la directive 2003/87/CE afin d’intégrer les activités aériennes dans le système européen d’échange de quotas d’émission de GES. Le dispositif s’applique depuis 2012 pour tous les vols au départ ou à l’arrivée de l’Union européenne (une suspension temporaire a toutefois été accordée à partir du 24 avril 2013 pour les vols internationaux).</w:t>
      </w:r>
    </w:p>
    <w:p w14:paraId="291A910E" w14:textId="77777777" w:rsidR="00F0578E" w:rsidRDefault="00F0578E" w:rsidP="00F0578E">
      <w:pPr>
        <w:rPr>
          <w:noProof/>
        </w:rPr>
      </w:pPr>
    </w:p>
    <w:p w14:paraId="2D599226" w14:textId="0EAE1BCE" w:rsidR="001A4E13" w:rsidRDefault="001A4E13" w:rsidP="00F0578E">
      <w:pPr>
        <w:rPr>
          <w:noProof/>
        </w:rPr>
      </w:pPr>
      <w:r w:rsidRPr="00366798">
        <w:rPr>
          <w:noProof/>
        </w:rPr>
        <w:t xml:space="preserve">La France soutient par ailleurs les travaux de l’Organisation de l’Aviation Civile Internationale (OACI) en faveur de la réduction des émissions du transport aérien international. Dans le cadre du CORSIA (Carbon Offsetting and Reduction Scheme for International Aviation), les compagnies aériennes devront, </w:t>
      </w:r>
      <w:r w:rsidR="00780CF3">
        <w:rPr>
          <w:noProof/>
        </w:rPr>
        <w:t>sur la période pilote 2021-20</w:t>
      </w:r>
      <w:r w:rsidR="005E53DA">
        <w:rPr>
          <w:noProof/>
        </w:rPr>
        <w:t>23</w:t>
      </w:r>
      <w:r w:rsidRPr="00366798">
        <w:rPr>
          <w:noProof/>
        </w:rPr>
        <w:t>, compenser leurs émissions supérieures au n</w:t>
      </w:r>
      <w:r w:rsidR="005E53DA">
        <w:rPr>
          <w:noProof/>
        </w:rPr>
        <w:t>iveau d’émissions de l’année 2019</w:t>
      </w:r>
      <w:r w:rsidRPr="00366798">
        <w:rPr>
          <w:noProof/>
        </w:rPr>
        <w:t xml:space="preserve"> en achetant des crédits carbone</w:t>
      </w:r>
      <w:r w:rsidR="00780CF3">
        <w:rPr>
          <w:noProof/>
        </w:rPr>
        <w:t>, puis à partir de 2024, compenser leurs émissions supérieures à 85% du niveau d’émissions de l’année 2019</w:t>
      </w:r>
      <w:r w:rsidRPr="00366798">
        <w:rPr>
          <w:noProof/>
        </w:rPr>
        <w:t>. Dans une première phase, seules les compagnies des pays volontaires (dont l’Union européenne) participeront.</w:t>
      </w:r>
    </w:p>
    <w:p w14:paraId="50465D1D" w14:textId="77777777" w:rsidR="00F0578E" w:rsidRDefault="00F0578E" w:rsidP="00F0578E">
      <w:pPr>
        <w:rPr>
          <w:noProof/>
        </w:rPr>
      </w:pPr>
    </w:p>
    <w:p w14:paraId="14586A8D" w14:textId="43773C05" w:rsidR="00780CF3" w:rsidRDefault="00780CF3" w:rsidP="00F0578E">
      <w:pPr>
        <w:rPr>
          <w:noProof/>
        </w:rPr>
      </w:pPr>
      <w:r>
        <w:rPr>
          <w:noProof/>
        </w:rPr>
        <w:t>La loi Climat et Résilience du 22 Août 2021 prévoit plusieurs mesures concernant l’aviation dont principalement</w:t>
      </w:r>
      <w:r>
        <w:rPr>
          <w:rFonts w:ascii="Calibri" w:hAnsi="Calibri" w:cs="Calibri"/>
          <w:noProof/>
        </w:rPr>
        <w:t> </w:t>
      </w:r>
      <w:r>
        <w:rPr>
          <w:noProof/>
        </w:rPr>
        <w:t>: i) l’obligation pour les compagnies aériennes de compenser les émissions des vols domestiques (y compris pour l’Outre-Mer) selon un calendrier progressif (50%/70%/100% des émission 2022/2023/2024 et après) ii) la suppression des vols lorsqu’une alternative ferroviaire de moins de 2h30 existe.</w:t>
      </w:r>
    </w:p>
    <w:p w14:paraId="604886F5" w14:textId="77777777" w:rsidR="001A4E13" w:rsidRPr="00366798" w:rsidRDefault="001A4E13" w:rsidP="00E22CF8">
      <w:pPr>
        <w:pStyle w:val="titreencadre"/>
        <w:rPr>
          <w:noProof/>
        </w:rPr>
      </w:pPr>
      <w:r w:rsidRPr="00366798">
        <w:rPr>
          <w:noProof/>
        </w:rPr>
        <w:t xml:space="preserve">Le transport maritime </w:t>
      </w:r>
    </w:p>
    <w:p w14:paraId="0358B59C" w14:textId="77777777" w:rsidR="005E53DA" w:rsidRDefault="005E53DA" w:rsidP="005E53DA">
      <w:pPr>
        <w:autoSpaceDE w:val="0"/>
        <w:autoSpaceDN w:val="0"/>
        <w:adjustRightInd w:val="0"/>
        <w:spacing w:before="240" w:after="240"/>
        <w:rPr>
          <w:noProof/>
        </w:rPr>
      </w:pPr>
      <w:r w:rsidRPr="00366798">
        <w:rPr>
          <w:noProof/>
        </w:rPr>
        <w:t>En 2015, l'Union européenne a adopté le règlement n°2015/757 qui met en place un système de surveillance, de déclaration et de vérification (système MRV) des émissions de CO2 des navires. Depuis le 1er janvier 2018, les compagnies maritimes doivent surveiller et déclarer tous les ans les émissions de leurs navires pour tous les voyages à l'intérieur de l'Union, tous les voyages à destination de l'Union (entre le dernier port situé en dehors de l'Union et le premier port d'escale situé dans l'Union), tous les voyages entre un port situé dans l'Union et le premier port d'escale en dehors de l'Union, ainsi que les émissions de CO2 produites dans les ports de l'Union.</w:t>
      </w:r>
      <w:r>
        <w:rPr>
          <w:noProof/>
        </w:rPr>
        <w:t xml:space="preserve"> </w:t>
      </w:r>
      <w:r w:rsidRPr="00366798">
        <w:rPr>
          <w:noProof/>
        </w:rPr>
        <w:t xml:space="preserve">Ces règles s'appliquent sans discrimination à tous les navires, quel que soit leur pavillon. </w:t>
      </w:r>
    </w:p>
    <w:p w14:paraId="7D3BCDCD" w14:textId="77777777" w:rsidR="005E53DA" w:rsidRDefault="005E53DA" w:rsidP="005E53DA">
      <w:pPr>
        <w:autoSpaceDE w:val="0"/>
        <w:autoSpaceDN w:val="0"/>
        <w:adjustRightInd w:val="0"/>
        <w:spacing w:before="240" w:after="240"/>
      </w:pPr>
      <w:r>
        <w:rPr>
          <w:noProof/>
        </w:rPr>
        <w:t>Dans le cadre du paquet «</w:t>
      </w:r>
      <w:r>
        <w:rPr>
          <w:rFonts w:ascii="Calibri" w:hAnsi="Calibri" w:cs="Calibri"/>
          <w:noProof/>
        </w:rPr>
        <w:t> </w:t>
      </w:r>
      <w:r>
        <w:rPr>
          <w:noProof/>
        </w:rPr>
        <w:t>Ajustement à l’objectif 55</w:t>
      </w:r>
      <w:r>
        <w:rPr>
          <w:rFonts w:ascii="Calibri" w:hAnsi="Calibri" w:cs="Calibri"/>
          <w:noProof/>
        </w:rPr>
        <w:t> </w:t>
      </w:r>
      <w:r>
        <w:rPr>
          <w:rFonts w:cs="Marianne"/>
          <w:noProof/>
        </w:rPr>
        <w:t>»</w:t>
      </w:r>
      <w:r>
        <w:rPr>
          <w:noProof/>
        </w:rPr>
        <w:t xml:space="preserve"> , la Commission européenne a proposé en juillet 2021 l’inclusion du transport maritime dans le système européen d’échanges de quotas d’émission (EU ETS), ainsi qu’un projet de texte </w:t>
      </w:r>
      <w:r>
        <w:t>visant à accroître la demande de carburants renouvelables et bas carbone dans le transport maritime (règlement "FuelEU Maritime") et un projet de texte pour favoriser le déploiement des infrastructures pour les carburants alternatifs, notamment dans les ports (règlement «</w:t>
      </w:r>
      <w:r>
        <w:rPr>
          <w:rFonts w:ascii="Calibri" w:hAnsi="Calibri" w:cs="Calibri"/>
        </w:rPr>
        <w:t> </w:t>
      </w:r>
      <w:r>
        <w:t>AFIR</w:t>
      </w:r>
      <w:r>
        <w:rPr>
          <w:rFonts w:ascii="Calibri" w:hAnsi="Calibri" w:cs="Calibri"/>
        </w:rPr>
        <w:t> </w:t>
      </w:r>
      <w:r>
        <w:rPr>
          <w:rFonts w:cs="Marianne"/>
        </w:rPr>
        <w:t>»</w:t>
      </w:r>
      <w:r>
        <w:t xml:space="preserve">). </w:t>
      </w:r>
      <w:r>
        <w:rPr>
          <w:rFonts w:cs="Marianne"/>
          <w:noProof/>
        </w:rPr>
        <w:t>La Présidence française de l’UE a obtenu un accord au Conseil sur ces trois textes en juin 2022, et les négociations en trilogues sont en cours.</w:t>
      </w:r>
    </w:p>
    <w:p w14:paraId="5477514D" w14:textId="4FED027B" w:rsidR="005E53DA" w:rsidRDefault="005E53DA" w:rsidP="005E53DA">
      <w:pPr>
        <w:autoSpaceDE w:val="0"/>
        <w:autoSpaceDN w:val="0"/>
        <w:adjustRightInd w:val="0"/>
        <w:spacing w:before="240" w:after="240"/>
        <w:rPr>
          <w:noProof/>
        </w:rPr>
      </w:pPr>
      <w:r w:rsidRPr="00366798">
        <w:rPr>
          <w:noProof/>
        </w:rPr>
        <w:t>La France soutient</w:t>
      </w:r>
      <w:r>
        <w:rPr>
          <w:noProof/>
        </w:rPr>
        <w:t xml:space="preserve"> par ailleurs</w:t>
      </w:r>
      <w:r w:rsidRPr="00366798">
        <w:rPr>
          <w:noProof/>
        </w:rPr>
        <w:t xml:space="preserve"> les travaux de l'OMI en faveur de la réduction des émissions du transport maritime international.</w:t>
      </w:r>
    </w:p>
    <w:p w14:paraId="5BD8640D" w14:textId="7D19675D" w:rsidR="001A4E13" w:rsidRDefault="001A4E13" w:rsidP="00EF6DB6">
      <w:pPr>
        <w:pStyle w:val="Titre4niveau4"/>
        <w:rPr>
          <w:noProof/>
        </w:rPr>
      </w:pPr>
      <w:r w:rsidRPr="00366798">
        <w:rPr>
          <w:noProof/>
        </w:rPr>
        <w:t xml:space="preserve">Mesures visant à </w:t>
      </w:r>
      <w:r w:rsidRPr="009D6FCA">
        <w:t>réduire</w:t>
      </w:r>
      <w:r w:rsidRPr="00366798">
        <w:rPr>
          <w:noProof/>
        </w:rPr>
        <w:t xml:space="preserve"> les émissions de gaz fluorés (HFC) des transports </w:t>
      </w:r>
    </w:p>
    <w:p w14:paraId="23C8E693" w14:textId="4AB984E2" w:rsidR="001A4E13" w:rsidRDefault="001A4E13" w:rsidP="00F0578E">
      <w:pPr>
        <w:rPr>
          <w:noProof/>
        </w:rPr>
      </w:pPr>
      <w:r w:rsidRPr="006277D9">
        <w:rPr>
          <w:noProof/>
        </w:rPr>
        <w:t xml:space="preserve">La directive européenne 2006/40/CE du 17 mai 2006 et les mesures prises en France pour sa transposition (arrêté du 21 décembre 2007 relatif à la réception des véhicules automobiles en ce qui concerne les systèmes de climatisation) interdisent l’usage de gaz fluorés dont le PRG est supérieur à 150 dans les systèmes de climatisation des véhicules à moteur et prévoit des mesures pour limiter les fuites. Depuis le </w:t>
      </w:r>
      <w:r w:rsidR="006518EF" w:rsidRPr="009F4180">
        <w:t>1</w:t>
      </w:r>
      <w:r w:rsidR="006518EF" w:rsidRPr="007F47EF">
        <w:rPr>
          <w:vertAlign w:val="superscript"/>
        </w:rPr>
        <w:t>er</w:t>
      </w:r>
      <w:r w:rsidRPr="006277D9">
        <w:rPr>
          <w:noProof/>
        </w:rPr>
        <w:t xml:space="preserve"> janvier 2011, la climatisation de tous les nouveaux types de véhicules doit fonctionner avec un fluide frigorigène dont le PRG est inférieur à 150. Depuis le </w:t>
      </w:r>
      <w:r w:rsidR="006518EF" w:rsidRPr="009F4180">
        <w:t>1</w:t>
      </w:r>
      <w:r w:rsidR="006518EF" w:rsidRPr="007F47EF">
        <w:rPr>
          <w:vertAlign w:val="superscript"/>
        </w:rPr>
        <w:t>er</w:t>
      </w:r>
      <w:r w:rsidRPr="006277D9">
        <w:rPr>
          <w:noProof/>
        </w:rPr>
        <w:t xml:space="preserve"> janvier 2017, cette interdiction touche tous les véhicules neufs. En pratique, cela conduit à un remplacement du gaz réfrigérant R-134a (PRG de 430) par le gaz R-1234yf (PRG de 4), avec à la clé des gains très substantiels.</w:t>
      </w:r>
    </w:p>
    <w:p w14:paraId="437083B6" w14:textId="70F06582" w:rsidR="00A5513E" w:rsidRPr="006D5177" w:rsidRDefault="00A5513E" w:rsidP="003F57EA">
      <w:pPr>
        <w:pStyle w:val="Titre3Niveau3"/>
      </w:pPr>
      <w:bookmarkStart w:id="460" w:name="_Ref122701549"/>
      <w:bookmarkStart w:id="461" w:name="_Toc138342005"/>
      <w:r w:rsidRPr="006D5177">
        <w:t>Résidentiel/tertiaire</w:t>
      </w:r>
      <w:bookmarkEnd w:id="460"/>
      <w:bookmarkEnd w:id="461"/>
    </w:p>
    <w:p w14:paraId="4E79C771" w14:textId="41F8AD49" w:rsidR="00A5513E" w:rsidRPr="009D6FCA" w:rsidRDefault="00A5513E" w:rsidP="00F0578E">
      <w:pPr>
        <w:rPr>
          <w:highlight w:val="yellow"/>
        </w:rPr>
      </w:pPr>
      <w:r w:rsidRPr="009D6FCA">
        <w:t>Ce secteur représente 18</w:t>
      </w:r>
      <w:r w:rsidR="006518EF">
        <w:t>%</w:t>
      </w:r>
      <w:r w:rsidRPr="009D6FCA">
        <w:t xml:space="preserve"> des émissions nationales en 2021 (hors UTCATF)</w:t>
      </w:r>
      <w:r w:rsidRPr="009D6FCA">
        <w:rPr>
          <w:rStyle w:val="FootnoteReference"/>
        </w:rPr>
        <w:footnoteReference w:id="23"/>
      </w:r>
      <w:r w:rsidRPr="009D6FCA">
        <w:t>. C’est le quatrième secteur le plus émetteur de gaz à effet de serre après l’industrie manufacturière, l’agriculture et le secteur des transports. Le dioxyde de carbone (</w:t>
      </w:r>
      <w:r w:rsidR="007F09F7">
        <w:t>CO</w:t>
      </w:r>
      <w:r w:rsidR="007F09F7" w:rsidRPr="007F09F7">
        <w:rPr>
          <w:vertAlign w:val="subscript"/>
        </w:rPr>
        <w:t>2</w:t>
      </w:r>
      <w:r w:rsidRPr="009D6FCA">
        <w:t>) reste le principal gaz émis et il concerne 85% des émissions du secteur du bâtiment. Les 16</w:t>
      </w:r>
      <w:r w:rsidR="006518EF">
        <w:t>%</w:t>
      </w:r>
      <w:r w:rsidRPr="009D6FCA">
        <w:t xml:space="preserve"> restant sont partagés entre les gaz fluorés (8%), et d’autres gaz comme le protoxyde d’azote et le méthane (7</w:t>
      </w:r>
      <w:r w:rsidR="006518EF">
        <w:t>%</w:t>
      </w:r>
      <w:r w:rsidRPr="009D6FCA">
        <w:t>).</w:t>
      </w:r>
    </w:p>
    <w:p w14:paraId="30E50A3A" w14:textId="545CB3FF" w:rsidR="00A5513E" w:rsidRPr="009D6FCA" w:rsidRDefault="00A5513E" w:rsidP="00EF6DB6">
      <w:pPr>
        <w:pStyle w:val="Titre4niveau4"/>
      </w:pPr>
      <w:r w:rsidRPr="009D6FCA">
        <w:t xml:space="preserve">Mesures visant à réduire les émissions de </w:t>
      </w:r>
      <w:r w:rsidR="007F09F7">
        <w:t>CO</w:t>
      </w:r>
      <w:r w:rsidR="007F09F7" w:rsidRPr="00E22CF8">
        <w:rPr>
          <w:vertAlign w:val="subscript"/>
        </w:rPr>
        <w:t>2</w:t>
      </w:r>
      <w:r w:rsidRPr="009D6FCA">
        <w:t xml:space="preserve"> du résidentiel/tertiaire </w:t>
      </w:r>
    </w:p>
    <w:p w14:paraId="5DC6142E" w14:textId="4E261086" w:rsidR="00A5513E" w:rsidRPr="009D6851" w:rsidRDefault="00A5513E" w:rsidP="00F0578E">
      <w:r w:rsidRPr="009D6FCA">
        <w:t xml:space="preserve">Les mesures mises en œuvre pour réduire les émissions de </w:t>
      </w:r>
      <w:r w:rsidR="007F09F7">
        <w:t>CO</w:t>
      </w:r>
      <w:r w:rsidR="007F09F7" w:rsidRPr="007F09F7">
        <w:rPr>
          <w:vertAlign w:val="subscript"/>
        </w:rPr>
        <w:t>2</w:t>
      </w:r>
      <w:r w:rsidRPr="009D6FCA">
        <w:t xml:space="preserve"> du résidentiel/tertiaire visent principalement à améliorer la performance thermique de l’enveloppe des bâtiments, à favoriser le recours à des équipements de chauffage performants et utilisant les </w:t>
      </w:r>
      <w:r w:rsidRPr="009D6851">
        <w:t xml:space="preserve">énergies les moins carbonées, et à améliorer l’efficacité énergétique des autres types d’équipement (éclairage, cuisson, eau chaude sanitaire, électricité spécifique). Ces leviers sont déclinés pour les constructions neuves et pour les bâtiments existants. </w:t>
      </w:r>
    </w:p>
    <w:p w14:paraId="130122FF" w14:textId="77777777" w:rsidR="00A5513E" w:rsidRPr="00897A12" w:rsidRDefault="00A5513E" w:rsidP="00A5513E">
      <w:pPr>
        <w:spacing w:before="240" w:after="240"/>
        <w:rPr>
          <w:b/>
          <w:i/>
        </w:rPr>
      </w:pPr>
      <w:r w:rsidRPr="00897A12">
        <w:rPr>
          <w:b/>
          <w:i/>
        </w:rPr>
        <w:t xml:space="preserve">Pour les constructions neuves </w:t>
      </w:r>
    </w:p>
    <w:p w14:paraId="2DA854E6" w14:textId="3F0CB795" w:rsidR="00A5513E" w:rsidRDefault="00A5513E" w:rsidP="00F0578E">
      <w:r w:rsidRPr="00897A12">
        <w:t>La performance énergétique des bâtiments neufs est intégrée dans les règles de construction depuis le premier choc pétrolier de 1973. La réglementation thermique s’appliquant aux bâtiments neufs a été progressivement renforcée.</w:t>
      </w:r>
    </w:p>
    <w:p w14:paraId="65EB957C" w14:textId="77777777" w:rsidR="00F0578E" w:rsidRDefault="00F0578E" w:rsidP="00F0578E"/>
    <w:p w14:paraId="2DCDC13D" w14:textId="726EA9AF" w:rsidR="00A5513E" w:rsidRPr="009D6FCA" w:rsidRDefault="00A5513E" w:rsidP="00F0578E">
      <w:r w:rsidRPr="00A22136">
        <w:t xml:space="preserve">Tous les bâtiments dont le permis de construire a été déposé après le </w:t>
      </w:r>
      <w:r w:rsidR="006518EF" w:rsidRPr="009F4180">
        <w:t>1</w:t>
      </w:r>
      <w:r w:rsidR="006518EF" w:rsidRPr="007F47EF">
        <w:rPr>
          <w:vertAlign w:val="superscript"/>
        </w:rPr>
        <w:t>er</w:t>
      </w:r>
      <w:r w:rsidRPr="00A22136">
        <w:t xml:space="preserve"> janvier 2013 sont soumis à la réglementation thermique 2012 (RT 2012). Ces bâtiments doivent avoir une consommation d’énergie primaire inférieure à 50 kWh/m²/an en moyenne. Cette obligation a été appliquée par anticipation depuis le 28 octobre 2011 pour les bâtiments de bureaux, d’enseignement primaire et secondaire et pour les établissements d’accueil de la petite enfance. L’exigence de 50 kWh/m²/an en moyenne porte sur les consommations de chauffage, de refroidissement, d’éclairage, de production d’eau chaude sanitaire et d’auxiliaires (pompes et ventilateurs). Ce seuil est par ailleurs modulé selon la localisation géographique, l’altitude, le type d’usage du bâtiment, la surface moyenne des logements et les émissions de gaz à effet de serre des énergies utilisées. Sur ce dernier point, seuls les bâtiments utilisant le bois-énergie et les réseaux de chaleur les moins émetteurs de </w:t>
      </w:r>
      <w:r w:rsidR="007F09F7">
        <w:t>CO</w:t>
      </w:r>
      <w:r w:rsidR="007F09F7" w:rsidRPr="007F09F7">
        <w:rPr>
          <w:vertAlign w:val="subscript"/>
        </w:rPr>
        <w:t>2</w:t>
      </w:r>
      <w:r w:rsidRPr="00A22136">
        <w:t xml:space="preserve"> bénéficient d’une modulation du seuil de consommation en énergie primaire, limitée à 30</w:t>
      </w:r>
      <w:r w:rsidR="006518EF">
        <w:t>%</w:t>
      </w:r>
      <w:r w:rsidRPr="00A22136">
        <w:t xml:space="preserve"> au maximum.</w:t>
      </w:r>
    </w:p>
    <w:p w14:paraId="76FF7FD6" w14:textId="77777777" w:rsidR="00F0578E" w:rsidRDefault="00F0578E" w:rsidP="00F0578E"/>
    <w:p w14:paraId="497B1827" w14:textId="55F01918" w:rsidR="00A5513E" w:rsidRDefault="00A5513E" w:rsidP="00F0578E">
      <w:r w:rsidRPr="009D6FCA">
        <w:t xml:space="preserve">L’expérimentation du label « Bâtiments à Énergie Positive &amp; Réduction Carbone (E+C-) » pour la construction de bâtiments exemplaires a été lancée fin 2016. Cette expérimentation a préparé la réglementation environnementale dans la construction neuve (RE2020) qui généralise les bâtiments à énergie positive et le déploiement de bâtiments à faible empreinte carbone tout au long de leur cycle de vie, depuis la conception jusqu’à la démolition. Ce label met en place un standard environnemental innovant pour les bâtiments neufs, qui réunit des exigences à la fois en matière d’énergie et d’émissions de gaz à effet de serre dans le bâtiment. Grâce à ce double critère « énergie » et « carbone », il permet aux maîtres d’ouvrage de choisir la combinaison adéquate en fonction des spécificités du territoire, de la typologie de bâtiments et des coûts induits. Cette expérimentation vise à tester sur le terrain l'adéquation entre niveau d’ambition environnementale, maîtrise des coûts de construction, capacité des entreprises </w:t>
      </w:r>
      <w:r w:rsidRPr="00A22136">
        <w:t>et des équipementiers à satisfaire ces ambitions. La France engage ainsi la filière du bâtiment vers la construction de bâtiments à énergie positive et bas-carbone.</w:t>
      </w:r>
      <w:r>
        <w:t xml:space="preserve"> </w:t>
      </w:r>
    </w:p>
    <w:p w14:paraId="6220E203" w14:textId="77777777" w:rsidR="00F0578E" w:rsidRDefault="00F0578E" w:rsidP="00F0578E"/>
    <w:p w14:paraId="125A6597" w14:textId="20F85362" w:rsidR="00A5513E" w:rsidRDefault="00A5513E" w:rsidP="00F0578E">
      <w:r w:rsidRPr="00D54E3B">
        <w:t xml:space="preserve">Pour inciter les maîtres d’ouvrage à construire des bâtiments exemplaires du point de vue énergétique et </w:t>
      </w:r>
      <w:r w:rsidRPr="009D6FCA">
        <w:t>environnemental, la loi relative à la transition énergétique et à la croissance verte du 17 août 2015 offre la possibilité d’obtenir un bonus de constructibilité pour ce type de bâtiment. L’autorité compétente en matière d’urbanisme peut autoriser un dépassement des règles de constructibilité au maximum de 30</w:t>
      </w:r>
      <w:r w:rsidR="006518EF">
        <w:t>%</w:t>
      </w:r>
      <w:r w:rsidRPr="009D6FCA">
        <w:t xml:space="preserve"> pour les constructions neuves (bâtiment neuf ou extension) faisant preuve d’exemplarité énergétique ou environnementale ou étant à énergie positive. Ce dispositif permet d’améliorer l’équilibre économique de ces opérations et d’absorber en partie le surcoût lié à l’effort d’exemplarité.</w:t>
      </w:r>
    </w:p>
    <w:p w14:paraId="71A393AA" w14:textId="77777777" w:rsidR="00F0578E" w:rsidRPr="009D6FCA" w:rsidRDefault="00F0578E" w:rsidP="00F0578E"/>
    <w:p w14:paraId="30F80808" w14:textId="03E87858" w:rsidR="00A5513E" w:rsidRPr="009D6FCA" w:rsidRDefault="00AD57CD" w:rsidP="00F0578E">
      <w:r w:rsidRPr="00AD57CD">
        <w:t xml:space="preserve">La France est le premier pays à introduire un plafonnement obligatoire des émissions de GES des constructions neuves calculées sur l’ensemble du cycle de vie des bâtiments. </w:t>
      </w:r>
      <w:r w:rsidR="00A5513E" w:rsidRPr="009D6FCA">
        <w:t xml:space="preserve">En 2020, la France est passée d’une réglementation thermique (RT2012) à une réglementation environnementale, la RE2020. Introduite par l’article 181 de la loi Évolution du Logement, de l’Aménagement et du Numérique (ELAN), elle est plus ambitieuse et exigeante pour la filière construction. Ainsi, les projets de construction de maison individuelle et de logement collectif faisant l’objet d’une demande de permis de construire ou d’une déclaration préalable déposée à partir du </w:t>
      </w:r>
      <w:r w:rsidR="006518EF" w:rsidRPr="009F4180">
        <w:t>1</w:t>
      </w:r>
      <w:r w:rsidR="006518EF" w:rsidRPr="007F47EF">
        <w:rPr>
          <w:vertAlign w:val="superscript"/>
        </w:rPr>
        <w:t>er</w:t>
      </w:r>
      <w:r w:rsidR="00A5513E" w:rsidRPr="009D6FCA">
        <w:t xml:space="preserve"> janvier 2022 et les projets de construction de bureau et de bâtiment d'enseignement primaire et secondaire faisant l'objet d'une demande de permis de construire ou d'une déclaration préalable déposée à partir du </w:t>
      </w:r>
      <w:r w:rsidR="006518EF" w:rsidRPr="009F4180">
        <w:t>1</w:t>
      </w:r>
      <w:r w:rsidR="006518EF" w:rsidRPr="007F47EF">
        <w:rPr>
          <w:vertAlign w:val="superscript"/>
        </w:rPr>
        <w:t>er</w:t>
      </w:r>
      <w:r w:rsidR="00A5513E" w:rsidRPr="009D6FCA">
        <w:t xml:space="preserve"> juillet 2022 sont soumis à la RE2020. La RE2020 met en place un standard environnemental innovant pour les bâtiments neufs, réunissant des exigences à la fois en matière de réduction de la consommation d’énergie, de développement de l’utilisation des énergies renouvelables, et de prise en compte des émissions de gaz à effet de serre sur l’ensemble du cycle de vie du bâtiment (depuis sa construction jusqu’à sa démolition, en passant par son exploitation).</w:t>
      </w:r>
    </w:p>
    <w:p w14:paraId="5EDAEC53" w14:textId="77777777" w:rsidR="00F0578E" w:rsidRDefault="00F0578E" w:rsidP="00F0578E"/>
    <w:p w14:paraId="3658DAE5" w14:textId="0E835184" w:rsidR="00A5513E" w:rsidRPr="00E55CBC" w:rsidRDefault="00A5513E" w:rsidP="00F0578E">
      <w:r w:rsidRPr="009D6FCA">
        <w:t>En outre, depuis 2008, pour toutes les constructions neuves d’une surface supérieure à 1</w:t>
      </w:r>
      <w:r w:rsidRPr="009D6FCA">
        <w:rPr>
          <w:rFonts w:ascii="Calibri" w:hAnsi="Calibri" w:cs="Calibri"/>
        </w:rPr>
        <w:t> </w:t>
      </w:r>
      <w:r w:rsidRPr="009D6FCA">
        <w:t>000</w:t>
      </w:r>
      <w:r w:rsidRPr="009D6FCA">
        <w:rPr>
          <w:rFonts w:ascii="Calibri" w:hAnsi="Calibri" w:cs="Calibri"/>
        </w:rPr>
        <w:t> </w:t>
      </w:r>
      <w:r w:rsidRPr="009D6FCA">
        <w:t>m</w:t>
      </w:r>
      <w:r w:rsidRPr="009D6FCA">
        <w:rPr>
          <w:rFonts w:cs="Marianne"/>
        </w:rPr>
        <w:t>²</w:t>
      </w:r>
      <w:r w:rsidRPr="009D6FCA">
        <w:t xml:space="preserve">, une </w:t>
      </w:r>
      <w:r w:rsidRPr="009D6FCA">
        <w:rPr>
          <w:bCs/>
        </w:rPr>
        <w:t xml:space="preserve">étude de faisabilité </w:t>
      </w:r>
      <w:r w:rsidRPr="009D6FCA">
        <w:t>technique et économique des diverses solutions d’approvisionnement en énergie de la construction doit être réalisée. Cette mesure est destinée à favoriser les recours aux énergies renouvelables et aux systèmes les plus performants. Le champ d’application de cette mesure a été élargi en 2014 à tous les bâtiments neufs de plus de 50</w:t>
      </w:r>
      <w:r w:rsidRPr="009D6FCA">
        <w:rPr>
          <w:rFonts w:ascii="Calibri" w:hAnsi="Calibri" w:cs="Calibri"/>
        </w:rPr>
        <w:t> </w:t>
      </w:r>
      <w:r w:rsidRPr="009D6FCA">
        <w:t>m</w:t>
      </w:r>
      <w:r w:rsidRPr="009D6FCA">
        <w:rPr>
          <w:rFonts w:cs="Marianne"/>
        </w:rPr>
        <w:t>²</w:t>
      </w:r>
      <w:r w:rsidRPr="009D6FCA">
        <w:t xml:space="preserve"> (</w:t>
      </w:r>
      <w:r w:rsidRPr="009D6FCA">
        <w:rPr>
          <w:rFonts w:cs="Marianne"/>
        </w:rPr>
        <w:t>à</w:t>
      </w:r>
      <w:r w:rsidRPr="009D6FCA">
        <w:t xml:space="preserve"> l</w:t>
      </w:r>
      <w:r w:rsidRPr="009D6FCA">
        <w:rPr>
          <w:rFonts w:cs="Marianne"/>
        </w:rPr>
        <w:t>’</w:t>
      </w:r>
      <w:r w:rsidRPr="009D6FCA">
        <w:t>exception des maisons individuelles ou accol</w:t>
      </w:r>
      <w:r w:rsidRPr="009D6FCA">
        <w:rPr>
          <w:rFonts w:cs="Marianne"/>
        </w:rPr>
        <w:t>é</w:t>
      </w:r>
      <w:r w:rsidRPr="009D6FCA">
        <w:t xml:space="preserve">es et des </w:t>
      </w:r>
      <w:r w:rsidRPr="00E55CBC">
        <w:t>extensions de b</w:t>
      </w:r>
      <w:r w:rsidRPr="00E55CBC">
        <w:rPr>
          <w:rFonts w:cs="Marianne"/>
        </w:rPr>
        <w:t>â</w:t>
      </w:r>
      <w:r w:rsidRPr="00E55CBC">
        <w:t xml:space="preserve">timents existants). </w:t>
      </w:r>
    </w:p>
    <w:p w14:paraId="575A2A20" w14:textId="77777777" w:rsidR="00F0578E" w:rsidRDefault="00F0578E" w:rsidP="00F0578E"/>
    <w:p w14:paraId="09D261AE" w14:textId="1D04AC7E" w:rsidR="00A5513E" w:rsidRPr="002C0108" w:rsidRDefault="00A5513E" w:rsidP="00F0578E">
      <w:r w:rsidRPr="002C0108">
        <w:t>Par ailleurs, pour contribuer à promouvoir l’utilisation de ressources de proximité, à dynamiser le tissu économique local et à favoriser le développement et la structuration d’éco-industries dans les territoires, et à offrir un choix plus large de matériaux et de produits pour les maîtres d’ouvrage, un label «</w:t>
      </w:r>
      <w:r w:rsidRPr="002C0108">
        <w:rPr>
          <w:rFonts w:ascii="Calibri" w:hAnsi="Calibri" w:cs="Calibri"/>
        </w:rPr>
        <w:t> </w:t>
      </w:r>
      <w:r w:rsidRPr="002C0108">
        <w:t>B</w:t>
      </w:r>
      <w:r w:rsidRPr="002C0108">
        <w:rPr>
          <w:rFonts w:cs="Marianne"/>
        </w:rPr>
        <w:t>â</w:t>
      </w:r>
      <w:r w:rsidRPr="002C0108">
        <w:t>timent biosourc</w:t>
      </w:r>
      <w:r w:rsidRPr="002C0108">
        <w:rPr>
          <w:rFonts w:cs="Marianne"/>
        </w:rPr>
        <w:t>é</w:t>
      </w:r>
      <w:r w:rsidRPr="002C0108">
        <w:rPr>
          <w:rFonts w:ascii="Calibri" w:hAnsi="Calibri" w:cs="Calibri"/>
        </w:rPr>
        <w:t> </w:t>
      </w:r>
      <w:r w:rsidRPr="002C0108">
        <w:rPr>
          <w:rFonts w:cs="Marianne"/>
        </w:rPr>
        <w:t>»</w:t>
      </w:r>
      <w:r w:rsidRPr="002C0108">
        <w:t xml:space="preserve"> a été créé en 2012. L’attribution de ce label (selon 3 niveaux d’exigence définis par arrêté) vise, pour les maîtres d’ouvrage qui en font la demande, à valoriser les constructions neuves intégrant une part significative de biomasse dans les matériaux utilisés.</w:t>
      </w:r>
    </w:p>
    <w:p w14:paraId="7EAB8992" w14:textId="77777777" w:rsidR="00F0578E" w:rsidRDefault="00F0578E" w:rsidP="00F0578E"/>
    <w:p w14:paraId="66FA058F" w14:textId="63795B82" w:rsidR="00A5513E" w:rsidRDefault="00A5513E" w:rsidP="00F0578E">
      <w:r w:rsidRPr="00DB4E0D">
        <w:t xml:space="preserve">Enfin, la loi relative à la transition énergétique pour la croissance verte d’août 2015 prévoit que les nouvelles constructions de </w:t>
      </w:r>
      <w:r w:rsidRPr="00AD57CD">
        <w:t>bâtiments publics</w:t>
      </w:r>
      <w:r w:rsidRPr="00DB4E0D">
        <w:t xml:space="preserve"> (constructions sous maîtrise d’ouvrage de l’État, de ses établissements publics ou des collectivités territoriales) doivent faire preuve </w:t>
      </w:r>
      <w:r w:rsidRPr="00AD57CD">
        <w:t>d’exemplarité énergétique et environnementale</w:t>
      </w:r>
      <w:r w:rsidRPr="00DB4E0D">
        <w:t xml:space="preserve"> et doivent être, chaque fois que possible, à énergie positive et à haute performance environnementale. Cette obligation</w:t>
      </w:r>
      <w:r w:rsidR="00F0578E">
        <w:t xml:space="preserve"> est entrée en vigueur en 2017.</w:t>
      </w:r>
    </w:p>
    <w:p w14:paraId="41B8870F" w14:textId="77777777" w:rsidR="00F0578E" w:rsidRPr="00DB4E0D" w:rsidRDefault="00F0578E" w:rsidP="00F0578E"/>
    <w:p w14:paraId="20B42561" w14:textId="77777777" w:rsidR="00A5513E" w:rsidRPr="00801F9E" w:rsidRDefault="00A5513E" w:rsidP="00A5513E">
      <w:pPr>
        <w:rPr>
          <w:b/>
          <w:i/>
        </w:rPr>
      </w:pPr>
      <w:r w:rsidRPr="00801F9E">
        <w:rPr>
          <w:b/>
          <w:i/>
        </w:rPr>
        <w:t xml:space="preserve">Les rénovations dans les constructions existantes </w:t>
      </w:r>
    </w:p>
    <w:p w14:paraId="3A0AB954" w14:textId="77777777" w:rsidR="00A5513E" w:rsidRPr="009D6FCA" w:rsidRDefault="00A5513E" w:rsidP="00F0578E">
      <w:pPr>
        <w:rPr>
          <w:highlight w:val="yellow"/>
        </w:rPr>
      </w:pPr>
      <w:r w:rsidRPr="008043DC">
        <w:t xml:space="preserve">Le </w:t>
      </w:r>
      <w:r w:rsidRPr="008043DC">
        <w:rPr>
          <w:b/>
        </w:rPr>
        <w:t>plan rénovation énergétique des bâtiments</w:t>
      </w:r>
      <w:r w:rsidRPr="008043DC">
        <w:t xml:space="preserve">, présenté en avril 2018, a fait de la rénovation énergétique une priorité nationale et fixe les axes d’action prioritaires sur le court terme afin de : massifier et améliorer la rénovation, renforcer les aides pour accompagner tous les ménages dans les travaux de rénovation, faire des bâtiments publics des bâtiments </w:t>
      </w:r>
      <w:r w:rsidRPr="009D6FCA">
        <w:t>exemplaires en matière d’efficacité énergétique et entraîner les territoires par la mobilisation des acteurs locaux. L’objectif est d’atteindre la neutralité carbone d’ici à 2050 tout en poursuivant un objectif social de lutte contre la précarité énergétique.</w:t>
      </w:r>
    </w:p>
    <w:p w14:paraId="5C032CD6" w14:textId="77777777" w:rsidR="00F0578E" w:rsidRDefault="00F0578E" w:rsidP="00F0578E"/>
    <w:p w14:paraId="4874A31B" w14:textId="45D6C9A9" w:rsidR="00A5513E" w:rsidRPr="006A308F" w:rsidRDefault="00A5513E" w:rsidP="00F0578E">
      <w:pPr>
        <w:rPr>
          <w:highlight w:val="yellow"/>
        </w:rPr>
      </w:pPr>
      <w:r w:rsidRPr="009D6FCA">
        <w:t>Le plan prévoit notamment de : créer un fonds de garantie de plus de 50 millions d’euros pour aider 75</w:t>
      </w:r>
      <w:r w:rsidRPr="009D6FCA">
        <w:rPr>
          <w:rFonts w:ascii="Calibri" w:hAnsi="Calibri" w:cs="Calibri"/>
        </w:rPr>
        <w:t> </w:t>
      </w:r>
      <w:r w:rsidRPr="009D6FCA">
        <w:t>000 m</w:t>
      </w:r>
      <w:r w:rsidRPr="009D6FCA">
        <w:rPr>
          <w:rFonts w:cs="Marianne"/>
        </w:rPr>
        <w:t>é</w:t>
      </w:r>
      <w:r w:rsidRPr="009D6FCA">
        <w:t>nages aux revenus modestes par an, simplifier les aides en transformant le crédit d’impôt pour la transition énergétique en une prime (voir plus bas) et en adaptant les prêts existants, fiabiliser l’étiquette énergie des logements et le diagnostic de la performance énergétique (DPE</w:t>
      </w:r>
      <w:r w:rsidRPr="001E4FD8">
        <w:t>), pour plus de confiance, mieux former les professionnels et mieux contrôler la qualité des travaux en réformant le label RGE (reconnu garant de l’environnement) et en investissant 30 millions d’euros dans la formation des professionnels et 40 millions d’euros dans l’innovation, encourager une rénovation massive des bâtiments publics de l’État et des collectivités en mobilisant 4,8 milliards d’euros.</w:t>
      </w:r>
    </w:p>
    <w:p w14:paraId="2959895C" w14:textId="77777777" w:rsidR="00F0578E" w:rsidRDefault="00F0578E" w:rsidP="00F0578E"/>
    <w:p w14:paraId="3DA2299C" w14:textId="2445EB1D" w:rsidR="00A5513E" w:rsidRPr="00645E8C" w:rsidRDefault="00A5513E" w:rsidP="00F0578E">
      <w:r w:rsidRPr="00645E8C">
        <w:t>La loi énergie-climat (LEC) de 2019 a fait de la réduction des émissions du secteur du bâtiment un axe d’action majeur. La LEC vise la rénovation de l’ensemble des passoires thermiques (logements consommant plus de 331</w:t>
      </w:r>
      <w:r w:rsidRPr="00645E8C">
        <w:rPr>
          <w:rFonts w:ascii="Calibri" w:hAnsi="Calibri" w:cs="Calibri"/>
        </w:rPr>
        <w:t> </w:t>
      </w:r>
      <w:r w:rsidRPr="00645E8C">
        <w:t>kWh/m</w:t>
      </w:r>
      <w:r w:rsidRPr="00645E8C">
        <w:rPr>
          <w:rFonts w:cs="Marianne"/>
        </w:rPr>
        <w:t>²</w:t>
      </w:r>
      <w:r w:rsidRPr="00645E8C">
        <w:t>) d</w:t>
      </w:r>
      <w:r w:rsidRPr="00645E8C">
        <w:rPr>
          <w:rFonts w:cs="Marianne"/>
        </w:rPr>
        <w:t>’</w:t>
      </w:r>
      <w:r w:rsidRPr="00645E8C">
        <w:t>ici 2028, avec une premi</w:t>
      </w:r>
      <w:r w:rsidRPr="00645E8C">
        <w:rPr>
          <w:rFonts w:cs="Marianne"/>
        </w:rPr>
        <w:t>è</w:t>
      </w:r>
      <w:r w:rsidRPr="00645E8C">
        <w:t>re phase d</w:t>
      </w:r>
      <w:r w:rsidRPr="00645E8C">
        <w:rPr>
          <w:rFonts w:cs="Marianne"/>
        </w:rPr>
        <w:t>’</w:t>
      </w:r>
      <w:r w:rsidRPr="00645E8C">
        <w:t>information et d</w:t>
      </w:r>
      <w:r w:rsidRPr="00645E8C">
        <w:rPr>
          <w:rFonts w:cs="Marianne"/>
        </w:rPr>
        <w:t>’</w:t>
      </w:r>
      <w:r w:rsidRPr="00645E8C">
        <w:t>incitation des propri</w:t>
      </w:r>
      <w:r w:rsidRPr="00645E8C">
        <w:rPr>
          <w:rFonts w:cs="Marianne"/>
        </w:rPr>
        <w:t>é</w:t>
      </w:r>
      <w:r w:rsidRPr="00645E8C">
        <w:t xml:space="preserve">taires </w:t>
      </w:r>
      <w:r w:rsidRPr="00645E8C">
        <w:rPr>
          <w:rFonts w:cs="Marianne"/>
        </w:rPr>
        <w:t>à</w:t>
      </w:r>
      <w:r w:rsidRPr="00645E8C">
        <w:t xml:space="preserve"> la r</w:t>
      </w:r>
      <w:r w:rsidRPr="00645E8C">
        <w:rPr>
          <w:rFonts w:cs="Marianne"/>
        </w:rPr>
        <w:t>é</w:t>
      </w:r>
      <w:r w:rsidRPr="00645E8C">
        <w:t>alisation de travaux sur la période 2021-2022, puis une seconde phase d’obligation de réalisation de travaux pour les propriétaires de passoires thermiques à l’horizon 2028 sous peine de sanctions qui seront définies dans un second temps.</w:t>
      </w:r>
    </w:p>
    <w:p w14:paraId="08AAB542" w14:textId="77777777" w:rsidR="00F0578E" w:rsidRDefault="00F0578E" w:rsidP="00F0578E"/>
    <w:p w14:paraId="1123279B" w14:textId="41377C5C" w:rsidR="00A5513E" w:rsidRPr="006C4937" w:rsidRDefault="00A5513E" w:rsidP="00F0578E">
      <w:r w:rsidRPr="006C4937">
        <w:t xml:space="preserve">Ces mesures prises depuis 2017 viennent compléter les dispositifs qui existaient déjà. </w:t>
      </w:r>
    </w:p>
    <w:p w14:paraId="0CB3284C" w14:textId="77777777" w:rsidR="00A5513E" w:rsidRPr="00B624EA" w:rsidRDefault="00A5513E" w:rsidP="00EF6DB6">
      <w:pPr>
        <w:pStyle w:val="Titre4niveau4"/>
      </w:pPr>
      <w:r w:rsidRPr="00B624EA">
        <w:t>Les réglementations visant à garantir la qualité des rénovations</w:t>
      </w:r>
    </w:p>
    <w:p w14:paraId="501DADEC" w14:textId="085D6D96" w:rsidR="00A5513E" w:rsidRPr="006C4937" w:rsidRDefault="00A5513E" w:rsidP="00F0578E">
      <w:r w:rsidRPr="006C4937">
        <w:t xml:space="preserve">La </w:t>
      </w:r>
      <w:r w:rsidRPr="006C4937">
        <w:rPr>
          <w:b/>
          <w:bCs/>
        </w:rPr>
        <w:t xml:space="preserve">réglementation thermique (RT) </w:t>
      </w:r>
      <w:r w:rsidRPr="006C4937">
        <w:t>a pour objectif d’assurer une amélioration significative de la performance énergétique d’un bâtiment existant lors de sa rénovation. Les mesures applicables, la « RT globale » et la « RT par élément », diffèrent selon l’importance des travaux entrepris. Pour les rénovations lourdes de bâtiments de plus de 1</w:t>
      </w:r>
      <w:r w:rsidRPr="006C4937">
        <w:rPr>
          <w:rFonts w:ascii="Calibri" w:hAnsi="Calibri" w:cs="Calibri"/>
        </w:rPr>
        <w:t> </w:t>
      </w:r>
      <w:r w:rsidRPr="006C4937">
        <w:t>000</w:t>
      </w:r>
      <w:r w:rsidRPr="006C4937">
        <w:rPr>
          <w:rFonts w:ascii="Calibri" w:hAnsi="Calibri" w:cs="Calibri"/>
        </w:rPr>
        <w:t> </w:t>
      </w:r>
      <w:r w:rsidRPr="006C4937">
        <w:t>m</w:t>
      </w:r>
      <w:r w:rsidRPr="006C4937">
        <w:rPr>
          <w:rFonts w:cs="Marianne"/>
        </w:rPr>
        <w:t>²</w:t>
      </w:r>
      <w:r w:rsidRPr="006C4937">
        <w:t>, la RT globale d</w:t>
      </w:r>
      <w:r w:rsidRPr="006C4937">
        <w:rPr>
          <w:rFonts w:cs="Marianne"/>
        </w:rPr>
        <w:t>é</w:t>
      </w:r>
      <w:r w:rsidRPr="006C4937">
        <w:t>finit un objectif de performance énergétique globale pour les bâtiments rénovés, à l’exception de ceux construits avant 1948. Pour les bâtiments de moins de 1</w:t>
      </w:r>
      <w:r w:rsidRPr="006C4937">
        <w:rPr>
          <w:rFonts w:ascii="Calibri" w:hAnsi="Calibri" w:cs="Calibri"/>
        </w:rPr>
        <w:t> </w:t>
      </w:r>
      <w:r w:rsidRPr="006C4937">
        <w:t>000</w:t>
      </w:r>
      <w:r w:rsidRPr="006C4937">
        <w:rPr>
          <w:rFonts w:ascii="Calibri" w:hAnsi="Calibri" w:cs="Calibri"/>
        </w:rPr>
        <w:t> </w:t>
      </w:r>
      <w:r w:rsidRPr="006C4937">
        <w:t>m</w:t>
      </w:r>
      <w:r w:rsidRPr="006C4937">
        <w:rPr>
          <w:rFonts w:cs="Marianne"/>
        </w:rPr>
        <w:t>²</w:t>
      </w:r>
      <w:r w:rsidRPr="006C4937">
        <w:t xml:space="preserve"> ou pour les b</w:t>
      </w:r>
      <w:r w:rsidRPr="006C4937">
        <w:rPr>
          <w:rFonts w:cs="Marianne"/>
        </w:rPr>
        <w:t>â</w:t>
      </w:r>
      <w:r w:rsidRPr="006C4937">
        <w:t>timents de plus de 1</w:t>
      </w:r>
      <w:r w:rsidRPr="006C4937">
        <w:rPr>
          <w:rFonts w:ascii="Calibri" w:hAnsi="Calibri" w:cs="Calibri"/>
        </w:rPr>
        <w:t> </w:t>
      </w:r>
      <w:r w:rsidRPr="006C4937">
        <w:t>000</w:t>
      </w:r>
      <w:r w:rsidRPr="006C4937">
        <w:rPr>
          <w:rFonts w:ascii="Calibri" w:hAnsi="Calibri" w:cs="Calibri"/>
        </w:rPr>
        <w:t> </w:t>
      </w:r>
      <w:r w:rsidRPr="006C4937">
        <w:t>m</w:t>
      </w:r>
      <w:r w:rsidRPr="006C4937">
        <w:rPr>
          <w:rFonts w:cs="Marianne"/>
        </w:rPr>
        <w:t>²</w:t>
      </w:r>
      <w:r w:rsidRPr="006C4937">
        <w:t xml:space="preserve"> objets d</w:t>
      </w:r>
      <w:r w:rsidRPr="006C4937">
        <w:rPr>
          <w:rFonts w:cs="Marianne"/>
        </w:rPr>
        <w:t>’</w:t>
      </w:r>
      <w:r w:rsidRPr="006C4937">
        <w:t>une r</w:t>
      </w:r>
      <w:r w:rsidRPr="006C4937">
        <w:rPr>
          <w:rFonts w:cs="Marianne"/>
        </w:rPr>
        <w:t>é</w:t>
      </w:r>
      <w:r w:rsidRPr="006C4937">
        <w:t>novation l</w:t>
      </w:r>
      <w:r w:rsidRPr="006C4937">
        <w:rPr>
          <w:rFonts w:cs="Marianne"/>
        </w:rPr>
        <w:t>é</w:t>
      </w:r>
      <w:r w:rsidRPr="006C4937">
        <w:t>g</w:t>
      </w:r>
      <w:r w:rsidRPr="006C4937">
        <w:rPr>
          <w:rFonts w:cs="Marianne"/>
        </w:rPr>
        <w:t>è</w:t>
      </w:r>
      <w:r w:rsidRPr="006C4937">
        <w:t xml:space="preserve">re, la RT par </w:t>
      </w:r>
      <w:r w:rsidRPr="006C4937">
        <w:rPr>
          <w:rFonts w:cs="Marianne"/>
        </w:rPr>
        <w:t>é</w:t>
      </w:r>
      <w:r w:rsidRPr="006C4937">
        <w:t>l</w:t>
      </w:r>
      <w:r w:rsidRPr="006C4937">
        <w:rPr>
          <w:rFonts w:cs="Marianne"/>
        </w:rPr>
        <w:t>é</w:t>
      </w:r>
      <w:r w:rsidRPr="006C4937">
        <w:t>ment d</w:t>
      </w:r>
      <w:r w:rsidRPr="006C4937">
        <w:rPr>
          <w:rFonts w:cs="Marianne"/>
        </w:rPr>
        <w:t>é</w:t>
      </w:r>
      <w:r w:rsidRPr="006C4937">
        <w:t>finit une performance minimale pour les éléments remplacés ou installés : elle porte notamment sur les équipements d’isolation (parois opaques et vitrées), de chauffage, de production d’eau chaude, de refroidissement, de ventilation. Les exigences de la RT par élément ont été renforcées en 2017 (pour une entrée en vigueur des nouvelles dis</w:t>
      </w:r>
      <w:r>
        <w:t xml:space="preserve">positions au </w:t>
      </w:r>
      <w:r w:rsidR="006518EF" w:rsidRPr="009F4180">
        <w:t>1</w:t>
      </w:r>
      <w:r w:rsidR="006518EF" w:rsidRPr="007F47EF">
        <w:rPr>
          <w:vertAlign w:val="superscript"/>
        </w:rPr>
        <w:t>er</w:t>
      </w:r>
      <w:r>
        <w:t xml:space="preserve"> janvier 2018).</w:t>
      </w:r>
    </w:p>
    <w:p w14:paraId="40DCF610" w14:textId="77777777" w:rsidR="00F0578E" w:rsidRDefault="00F0578E" w:rsidP="00F0578E"/>
    <w:p w14:paraId="10E5255B" w14:textId="17DE2924" w:rsidR="0032106B" w:rsidRPr="006C4937" w:rsidRDefault="0032106B" w:rsidP="00F0578E">
      <w:r w:rsidRPr="006C4937">
        <w:t xml:space="preserve">Le </w:t>
      </w:r>
      <w:r w:rsidRPr="006C4937">
        <w:rPr>
          <w:b/>
          <w:bCs/>
        </w:rPr>
        <w:t xml:space="preserve">label « Haute Performance Energétique (HPE) rénovation » </w:t>
      </w:r>
      <w:r w:rsidRPr="006C4937">
        <w:t>permet par ailleurs de valoriser la démarche volontaire de maîtres d’ouvrage désireux de réaliser une opération de rénovation performante, voire très performante (alors caractérisé par un niveau «</w:t>
      </w:r>
      <w:r w:rsidRPr="006C4937">
        <w:rPr>
          <w:rFonts w:ascii="Calibri" w:hAnsi="Calibri" w:cs="Calibri"/>
        </w:rPr>
        <w:t> </w:t>
      </w:r>
      <w:r w:rsidRPr="006C4937">
        <w:rPr>
          <w:b/>
        </w:rPr>
        <w:t>Bâtiment Basse Consommation (BBC)</w:t>
      </w:r>
      <w:r w:rsidRPr="006C4937">
        <w:rPr>
          <w:rFonts w:ascii="Calibri" w:hAnsi="Calibri" w:cs="Calibri"/>
        </w:rPr>
        <w:t> </w:t>
      </w:r>
      <w:r w:rsidRPr="006C4937">
        <w:rPr>
          <w:rFonts w:cs="Marianne"/>
        </w:rPr>
        <w:t>»</w:t>
      </w:r>
      <w:r w:rsidRPr="006C4937">
        <w:t xml:space="preserve">), du point de vue </w:t>
      </w:r>
      <w:r w:rsidRPr="006C4937">
        <w:rPr>
          <w:rFonts w:cs="Marianne"/>
        </w:rPr>
        <w:t>é</w:t>
      </w:r>
      <w:r w:rsidRPr="006C4937">
        <w:t>nerg</w:t>
      </w:r>
      <w:r w:rsidRPr="006C4937">
        <w:rPr>
          <w:rFonts w:cs="Marianne"/>
        </w:rPr>
        <w:t>é</w:t>
      </w:r>
      <w:r w:rsidRPr="006C4937">
        <w:t>tique. Il atteste que le b</w:t>
      </w:r>
      <w:r w:rsidRPr="006C4937">
        <w:rPr>
          <w:rFonts w:cs="Marianne"/>
        </w:rPr>
        <w:t>â</w:t>
      </w:r>
      <w:r w:rsidRPr="006C4937">
        <w:t xml:space="preserve">timent respecte un niveau de performance </w:t>
      </w:r>
      <w:r w:rsidRPr="006C4937">
        <w:rPr>
          <w:rFonts w:cs="Marianne"/>
        </w:rPr>
        <w:t>é</w:t>
      </w:r>
      <w:r w:rsidRPr="006C4937">
        <w:t>nerg</w:t>
      </w:r>
      <w:r w:rsidRPr="006C4937">
        <w:rPr>
          <w:rFonts w:cs="Marianne"/>
        </w:rPr>
        <w:t>é</w:t>
      </w:r>
      <w:r w:rsidRPr="006C4937">
        <w:t xml:space="preserve">tique </w:t>
      </w:r>
      <w:r w:rsidRPr="006C4937">
        <w:rPr>
          <w:rFonts w:cs="Marianne"/>
        </w:rPr>
        <w:t>é</w:t>
      </w:r>
      <w:r w:rsidRPr="006C4937">
        <w:t>lev</w:t>
      </w:r>
      <w:r w:rsidRPr="006C4937">
        <w:rPr>
          <w:rFonts w:cs="Marianne"/>
        </w:rPr>
        <w:t>é</w:t>
      </w:r>
      <w:r w:rsidRPr="006C4937">
        <w:t xml:space="preserve"> ainsi qu</w:t>
      </w:r>
      <w:r w:rsidRPr="006C4937">
        <w:rPr>
          <w:rFonts w:cs="Marianne"/>
        </w:rPr>
        <w:t>’</w:t>
      </w:r>
      <w:r w:rsidRPr="006C4937">
        <w:t xml:space="preserve">un niveau minimal de confort d’été. </w:t>
      </w:r>
    </w:p>
    <w:p w14:paraId="31D17A03" w14:textId="77777777" w:rsidR="00F0578E" w:rsidRDefault="00F0578E" w:rsidP="00F0578E"/>
    <w:p w14:paraId="41D6D9AB" w14:textId="0D9BECA0" w:rsidR="0032106B" w:rsidRDefault="0032106B" w:rsidP="00F0578E">
      <w:r>
        <w:t>Par ailleurs,</w:t>
      </w:r>
      <w:r w:rsidRPr="006C4937">
        <w:t xml:space="preserve"> depuis le </w:t>
      </w:r>
      <w:r w:rsidR="006518EF" w:rsidRPr="009F4180">
        <w:t>1</w:t>
      </w:r>
      <w:r w:rsidR="006518EF" w:rsidRPr="007F47EF">
        <w:rPr>
          <w:vertAlign w:val="superscript"/>
        </w:rPr>
        <w:t>er</w:t>
      </w:r>
      <w:r w:rsidRPr="006C4937">
        <w:t xml:space="preserve"> janvier 2008, tout bâtiment de plus de 1</w:t>
      </w:r>
      <w:r w:rsidRPr="006C4937">
        <w:rPr>
          <w:rFonts w:ascii="Calibri" w:hAnsi="Calibri" w:cs="Calibri"/>
        </w:rPr>
        <w:t> </w:t>
      </w:r>
      <w:r w:rsidRPr="006C4937">
        <w:t>000</w:t>
      </w:r>
      <w:r w:rsidRPr="006C4937">
        <w:rPr>
          <w:rFonts w:ascii="Calibri" w:hAnsi="Calibri" w:cs="Calibri"/>
        </w:rPr>
        <w:t> </w:t>
      </w:r>
      <w:r w:rsidRPr="006C4937">
        <w:t>m</w:t>
      </w:r>
      <w:r w:rsidRPr="006C4937">
        <w:rPr>
          <w:rFonts w:cs="Marianne"/>
        </w:rPr>
        <w:t>²</w:t>
      </w:r>
      <w:r w:rsidRPr="006C4937">
        <w:t xml:space="preserve"> soumis </w:t>
      </w:r>
      <w:r w:rsidRPr="006C4937">
        <w:rPr>
          <w:rFonts w:cs="Marianne"/>
        </w:rPr>
        <w:t>à</w:t>
      </w:r>
      <w:r w:rsidRPr="006C4937">
        <w:t xml:space="preserve"> une r</w:t>
      </w:r>
      <w:r w:rsidRPr="006C4937">
        <w:rPr>
          <w:rFonts w:cs="Marianne"/>
        </w:rPr>
        <w:t>é</w:t>
      </w:r>
      <w:r w:rsidRPr="006C4937">
        <w:t>novation lourde doit faire l</w:t>
      </w:r>
      <w:r w:rsidRPr="006C4937">
        <w:rPr>
          <w:rFonts w:cs="Marianne"/>
        </w:rPr>
        <w:t>’</w:t>
      </w:r>
      <w:r w:rsidRPr="006C4937">
        <w:t>objet, au m</w:t>
      </w:r>
      <w:r w:rsidRPr="006C4937">
        <w:rPr>
          <w:rFonts w:cs="Marianne"/>
        </w:rPr>
        <w:t>ê</w:t>
      </w:r>
      <w:r w:rsidRPr="006C4937">
        <w:t>me titre qu</w:t>
      </w:r>
      <w:r w:rsidRPr="006C4937">
        <w:rPr>
          <w:rFonts w:cs="Marianne"/>
        </w:rPr>
        <w:t>’</w:t>
      </w:r>
      <w:r w:rsidRPr="006C4937">
        <w:t>un b</w:t>
      </w:r>
      <w:r w:rsidRPr="006C4937">
        <w:rPr>
          <w:rFonts w:cs="Marianne"/>
        </w:rPr>
        <w:t>â</w:t>
      </w:r>
      <w:r w:rsidRPr="006C4937">
        <w:t>timent neuf, d</w:t>
      </w:r>
      <w:r w:rsidRPr="006C4937">
        <w:rPr>
          <w:rFonts w:cs="Marianne"/>
        </w:rPr>
        <w:t>’</w:t>
      </w:r>
      <w:r w:rsidRPr="006C4937">
        <w:t xml:space="preserve">une </w:t>
      </w:r>
      <w:r w:rsidRPr="006C4937">
        <w:rPr>
          <w:b/>
          <w:bCs/>
        </w:rPr>
        <w:t xml:space="preserve">étude de faisabilité </w:t>
      </w:r>
      <w:r w:rsidRPr="006C4937">
        <w:t>d’approvisionnement en énergie, de façon à inciter le maître d’ouvrage à recourir à une source d’énergie renouvelable ou à un système très performant.</w:t>
      </w:r>
    </w:p>
    <w:p w14:paraId="75EE7328" w14:textId="77777777" w:rsidR="00F0578E" w:rsidRDefault="00F0578E" w:rsidP="00F0578E"/>
    <w:p w14:paraId="05699981" w14:textId="1979EFBA" w:rsidR="00A5513E" w:rsidRPr="006C4937" w:rsidRDefault="0032106B" w:rsidP="00F0578E">
      <w:r>
        <w:t xml:space="preserve">Enfin, depuis le </w:t>
      </w:r>
      <w:r w:rsidR="006518EF" w:rsidRPr="009F4180">
        <w:t>1</w:t>
      </w:r>
      <w:r w:rsidR="006518EF" w:rsidRPr="007F47EF">
        <w:rPr>
          <w:vertAlign w:val="superscript"/>
        </w:rPr>
        <w:t>er</w:t>
      </w:r>
      <w:r>
        <w:t xml:space="preserve"> juillet 2022, l’installation de nouvelles chaudières dans les bâtiments doit répondre à un critère minimal de performance environnementale. Ainsi, sauf dérogation, </w:t>
      </w:r>
      <w:r w:rsidRPr="006F253A">
        <w:t xml:space="preserve">le niveau des émissions de gaz à </w:t>
      </w:r>
      <w:r>
        <w:t xml:space="preserve">effet de serre de l'équipement doit être </w:t>
      </w:r>
      <w:r w:rsidRPr="006F253A">
        <w:t>inférieur à 300 g</w:t>
      </w:r>
      <w:r w:rsidR="007F09F7">
        <w:t>CO</w:t>
      </w:r>
      <w:r w:rsidR="007F09F7" w:rsidRPr="007F09F7">
        <w:rPr>
          <w:vertAlign w:val="subscript"/>
        </w:rPr>
        <w:t>2</w:t>
      </w:r>
      <w:r w:rsidR="004F1EC8" w:rsidRPr="004F1EC8">
        <w:rPr>
          <w:vertAlign w:val="subscript"/>
        </w:rPr>
        <w:t>e</w:t>
      </w:r>
      <w:r w:rsidRPr="006F253A">
        <w:t xml:space="preserve"> / kWh PCI</w:t>
      </w:r>
      <w:r>
        <w:t>, excluant de fait les chaudières au fioul</w:t>
      </w:r>
      <w:r w:rsidR="00A5513E" w:rsidRPr="006C4937">
        <w:t>.</w:t>
      </w:r>
    </w:p>
    <w:p w14:paraId="3F328F2E" w14:textId="77777777" w:rsidR="00A5513E" w:rsidRPr="00B624EA" w:rsidRDefault="00A5513E" w:rsidP="00EF6DB6">
      <w:pPr>
        <w:pStyle w:val="Titre4niveau4"/>
      </w:pPr>
      <w:r w:rsidRPr="00B624EA">
        <w:t xml:space="preserve">Les aides financières à la rénovation </w:t>
      </w:r>
    </w:p>
    <w:p w14:paraId="11AB9CB9" w14:textId="77777777" w:rsidR="00A5513E" w:rsidRPr="009D6FCA" w:rsidRDefault="00A5513E" w:rsidP="00F0578E">
      <w:r w:rsidRPr="00914079">
        <w:t xml:space="preserve">Pour favoriser la rénovation énergétique, des aides financières sont disponibles pour les particuliers mais aussi pour les bailleurs sociaux. Les particuliers peuvent bénéficier de l’éco-prêt à taux zéro et du crédit d’impôt transition énergétique. Des aides complémentaires spécifiques sont prévues pour les ménages aux revenus modestes. Les bailleurs </w:t>
      </w:r>
      <w:r w:rsidRPr="009D6FCA">
        <w:t xml:space="preserve">sociaux peuvent, eux, prétendre obtenir l’éco-prêt logement social. </w:t>
      </w:r>
    </w:p>
    <w:p w14:paraId="1BADB31E" w14:textId="13E3B33C" w:rsidR="0032106B" w:rsidRPr="009D6FCA" w:rsidRDefault="0032106B" w:rsidP="00F0578E">
      <w:r w:rsidRPr="009D6FCA">
        <w:rPr>
          <w:b/>
          <w:bCs/>
        </w:rPr>
        <w:t xml:space="preserve">Jusqu’à 2020, le crédit d’impôt pour la transition énergétique </w:t>
      </w:r>
      <w:r w:rsidRPr="009D6FCA">
        <w:rPr>
          <w:b/>
        </w:rPr>
        <w:t>(CITE)</w:t>
      </w:r>
      <w:r w:rsidRPr="009D6FCA">
        <w:t xml:space="preserve"> permet</w:t>
      </w:r>
      <w:r>
        <w:t>tait</w:t>
      </w:r>
      <w:r w:rsidRPr="009D6FCA">
        <w:t xml:space="preserve"> de déduire de l’impôt sur le revenu 15</w:t>
      </w:r>
      <w:r w:rsidR="006518EF">
        <w:t>%</w:t>
      </w:r>
      <w:r w:rsidRPr="009D6FCA">
        <w:t xml:space="preserve"> à 30</w:t>
      </w:r>
      <w:r w:rsidR="006518EF">
        <w:rPr>
          <w:rFonts w:ascii="Calibri" w:hAnsi="Calibri" w:cs="Calibri"/>
        </w:rPr>
        <w:t>%</w:t>
      </w:r>
      <w:r w:rsidRPr="009D6FCA">
        <w:t xml:space="preserve"> des d</w:t>
      </w:r>
      <w:r w:rsidRPr="009D6FCA">
        <w:rPr>
          <w:rFonts w:cs="Marianne"/>
        </w:rPr>
        <w:t>é</w:t>
      </w:r>
      <w:r w:rsidRPr="009D6FCA">
        <w:t>penses r</w:t>
      </w:r>
      <w:r w:rsidRPr="009D6FCA">
        <w:rPr>
          <w:rFonts w:cs="Marianne"/>
        </w:rPr>
        <w:t>é</w:t>
      </w:r>
      <w:r w:rsidRPr="009D6FCA">
        <w:t>alis</w:t>
      </w:r>
      <w:r w:rsidRPr="009D6FCA">
        <w:rPr>
          <w:rFonts w:cs="Marianne"/>
        </w:rPr>
        <w:t>é</w:t>
      </w:r>
      <w:r w:rsidRPr="009D6FCA">
        <w:t>es pour certains travaux d</w:t>
      </w:r>
      <w:r w:rsidRPr="009D6FCA">
        <w:rPr>
          <w:rFonts w:cs="Marianne"/>
        </w:rPr>
        <w:t>’</w:t>
      </w:r>
      <w:r w:rsidRPr="009D6FCA">
        <w:t>am</w:t>
      </w:r>
      <w:r w:rsidRPr="009D6FCA">
        <w:rPr>
          <w:rFonts w:cs="Marianne"/>
        </w:rPr>
        <w:t>é</w:t>
      </w:r>
      <w:r w:rsidRPr="009D6FCA">
        <w:t xml:space="preserve">lioration de la performance </w:t>
      </w:r>
      <w:r w:rsidRPr="009D6FCA">
        <w:rPr>
          <w:rFonts w:cs="Marianne"/>
        </w:rPr>
        <w:t>é</w:t>
      </w:r>
      <w:r w:rsidRPr="009D6FCA">
        <w:t>nerg</w:t>
      </w:r>
      <w:r w:rsidRPr="009D6FCA">
        <w:rPr>
          <w:rFonts w:cs="Marianne"/>
        </w:rPr>
        <w:t>é</w:t>
      </w:r>
      <w:r w:rsidRPr="009D6FCA">
        <w:t xml:space="preserve">tique. L’objectif de ce dispositif </w:t>
      </w:r>
      <w:r>
        <w:t>était</w:t>
      </w:r>
      <w:r w:rsidRPr="009D6FCA">
        <w:t xml:space="preserve"> d’inciter les particuliers à effectuer des travaux d’amélioration énergétique de leurs logements tout en soutenant les technologies émergentes les plus efficaces en termes de réduction des consommations énergétiques, faisant ainsi évoluer les différents marchés vers des standards de performance plus élevés.</w:t>
      </w:r>
      <w:r w:rsidR="00260E0B">
        <w:t xml:space="preserve"> </w:t>
      </w:r>
      <w:r w:rsidRPr="009D6FCA">
        <w:t xml:space="preserve">Le CITE </w:t>
      </w:r>
      <w:r>
        <w:t>était</w:t>
      </w:r>
      <w:r w:rsidRPr="009D6FCA">
        <w:t xml:space="preserve"> centré sur les travaux et les équipements les plus efficaces.</w:t>
      </w:r>
    </w:p>
    <w:p w14:paraId="71BD40DD" w14:textId="7340C3AA" w:rsidR="0032106B" w:rsidRDefault="0032106B" w:rsidP="00F0578E">
      <w:r w:rsidRPr="009D6FCA">
        <w:t xml:space="preserve">Depuis le </w:t>
      </w:r>
      <w:r w:rsidR="006518EF" w:rsidRPr="009F4180">
        <w:t>1</w:t>
      </w:r>
      <w:r w:rsidR="006518EF" w:rsidRPr="007F47EF">
        <w:rPr>
          <w:vertAlign w:val="superscript"/>
        </w:rPr>
        <w:t>er</w:t>
      </w:r>
      <w:r w:rsidRPr="009D6FCA">
        <w:t xml:space="preserve"> janvier 2020, le CITE est remplacé par le dispositif «</w:t>
      </w:r>
      <w:r w:rsidRPr="009D6FCA">
        <w:rPr>
          <w:rFonts w:ascii="Calibri" w:hAnsi="Calibri" w:cs="Calibri"/>
        </w:rPr>
        <w:t> </w:t>
      </w:r>
      <w:r w:rsidRPr="009D6FCA">
        <w:t>MaPrimeRénov’</w:t>
      </w:r>
      <w:r w:rsidRPr="009D6FCA">
        <w:rPr>
          <w:rFonts w:ascii="Calibri" w:hAnsi="Calibri" w:cs="Calibri"/>
        </w:rPr>
        <w:t> </w:t>
      </w:r>
      <w:r w:rsidRPr="009D6FCA">
        <w:rPr>
          <w:rFonts w:cs="Marianne"/>
        </w:rPr>
        <w:t>»</w:t>
      </w:r>
      <w:r w:rsidRPr="009D6FCA">
        <w:t>, a</w:t>
      </w:r>
      <w:r w:rsidRPr="009D6FCA">
        <w:rPr>
          <w:bCs/>
        </w:rPr>
        <w:t>ccessible à tous les propriétaires et à toutes les copropriétés de logement construit depuis au moins 15 ans</w:t>
      </w:r>
      <w:r w:rsidRPr="009D6FCA">
        <w:t>. Son montant est modulé selon les revenus du foyer et la nature des travaux. En 2021, MaPrimerénov’ a permis de financer la rénovation de</w:t>
      </w:r>
      <w:r>
        <w:t xml:space="preserve"> près de 650</w:t>
      </w:r>
      <w:r w:rsidRPr="009D6FCA">
        <w:rPr>
          <w:rFonts w:ascii="Calibri" w:hAnsi="Calibri" w:cs="Calibri"/>
        </w:rPr>
        <w:t> </w:t>
      </w:r>
      <w:r w:rsidRPr="009D6FCA">
        <w:t>000 logements, pour un budget d’un peu plus de deux milliards d’euros.</w:t>
      </w:r>
    </w:p>
    <w:p w14:paraId="046E5C9E" w14:textId="27582FB6" w:rsidR="0032106B" w:rsidRDefault="0032106B" w:rsidP="00F0578E">
      <w:r w:rsidRPr="009D6FCA">
        <w:t>Pour les ménages aux revenus modestes,</w:t>
      </w:r>
      <w:r>
        <w:t xml:space="preserve"> ce dispositif est complété par</w:t>
      </w:r>
      <w:r w:rsidRPr="009D6FCA">
        <w:t xml:space="preserve"> l’aide «</w:t>
      </w:r>
      <w:r w:rsidRPr="009D6FCA">
        <w:rPr>
          <w:rFonts w:ascii="Calibri" w:hAnsi="Calibri" w:cs="Calibri"/>
        </w:rPr>
        <w:t> </w:t>
      </w:r>
      <w:r w:rsidRPr="009D6FCA">
        <w:t>MaPrimeRénov’ Sérénité</w:t>
      </w:r>
      <w:r w:rsidRPr="009D6FCA">
        <w:rPr>
          <w:rFonts w:ascii="Calibri" w:hAnsi="Calibri" w:cs="Calibri"/>
        </w:rPr>
        <w:t> </w:t>
      </w:r>
      <w:r w:rsidRPr="009D6FCA">
        <w:rPr>
          <w:rFonts w:cs="Marianne"/>
        </w:rPr>
        <w:t>»</w:t>
      </w:r>
      <w:r w:rsidRPr="009D6FCA">
        <w:t xml:space="preserve"> </w:t>
      </w:r>
      <w:r>
        <w:t xml:space="preserve">qui </w:t>
      </w:r>
      <w:r w:rsidRPr="009D6FCA">
        <w:t>finance des travaux de rénovation globale permettant un gain énergétique (en énergie primaire) d’au moins 35</w:t>
      </w:r>
      <w:r w:rsidR="006518EF">
        <w:t>%</w:t>
      </w:r>
      <w:r w:rsidRPr="009D6FCA">
        <w:t>. L’aide couvre jusqu’à 35</w:t>
      </w:r>
      <w:r w:rsidR="006518EF">
        <w:t>%</w:t>
      </w:r>
      <w:r w:rsidRPr="009D6FCA">
        <w:t xml:space="preserve"> (ménages modestes) ou 50</w:t>
      </w:r>
      <w:r w:rsidR="006518EF">
        <w:t>%</w:t>
      </w:r>
      <w:r w:rsidRPr="009D6FCA">
        <w:t xml:space="preserve"> (ménages très modestes) du coût des travaux (hors taxes).</w:t>
      </w:r>
      <w:r>
        <w:t xml:space="preserve"> Cette aide</w:t>
      </w:r>
      <w:r w:rsidRPr="002C7499">
        <w:t xml:space="preserve"> prévoit également un accompagnement spécifique pour l'assistance à maîtri</w:t>
      </w:r>
      <w:r w:rsidR="00F0578E">
        <w:t>se d'ouvrage des propriétaires.</w:t>
      </w:r>
    </w:p>
    <w:p w14:paraId="7D2B2A90" w14:textId="77777777" w:rsidR="00F0578E" w:rsidRPr="009D6FCA" w:rsidRDefault="00F0578E" w:rsidP="00F0578E"/>
    <w:p w14:paraId="18E3D678" w14:textId="77777777" w:rsidR="0032106B" w:rsidRDefault="0032106B" w:rsidP="00F0578E">
      <w:r w:rsidRPr="009D6FCA">
        <w:rPr>
          <w:b/>
          <w:bCs/>
        </w:rPr>
        <w:t xml:space="preserve">L’éco-prêt à taux zéro </w:t>
      </w:r>
      <w:r w:rsidRPr="009D6FCA">
        <w:rPr>
          <w:b/>
        </w:rPr>
        <w:t>(éco-PTZ)</w:t>
      </w:r>
      <w:r w:rsidRPr="009D6FCA">
        <w:t xml:space="preserve"> permet de bénéficier d’un prêt à taux zéro de 30</w:t>
      </w:r>
      <w:r w:rsidRPr="009D6FCA">
        <w:rPr>
          <w:rFonts w:ascii="Calibri" w:hAnsi="Calibri" w:cs="Calibri"/>
        </w:rPr>
        <w:t> </w:t>
      </w:r>
      <w:r w:rsidRPr="009D6FCA">
        <w:t>000 euros (50 000 € dans le cas d'un éco-PTZ "Performance globale") pour financer un bouquet de travaux de r</w:t>
      </w:r>
      <w:r w:rsidRPr="009D6FCA">
        <w:rPr>
          <w:rFonts w:cs="Marianne"/>
        </w:rPr>
        <w:t>é</w:t>
      </w:r>
      <w:r w:rsidRPr="009D6FCA">
        <w:t xml:space="preserve">novation </w:t>
      </w:r>
      <w:r w:rsidRPr="009D6FCA">
        <w:rPr>
          <w:rFonts w:cs="Marianne"/>
        </w:rPr>
        <w:t>é</w:t>
      </w:r>
      <w:r w:rsidRPr="009D6FCA">
        <w:t>nerg</w:t>
      </w:r>
      <w:r w:rsidRPr="009D6FCA">
        <w:rPr>
          <w:rFonts w:cs="Marianne"/>
        </w:rPr>
        <w:t>é</w:t>
      </w:r>
      <w:r w:rsidRPr="009D6FCA">
        <w:t>tique. Il s</w:t>
      </w:r>
      <w:r w:rsidRPr="009D6FCA">
        <w:rPr>
          <w:rFonts w:cs="Marianne"/>
        </w:rPr>
        <w:t>’</w:t>
      </w:r>
      <w:r w:rsidRPr="009D6FCA">
        <w:t>adresse aux propri</w:t>
      </w:r>
      <w:r w:rsidRPr="009D6FCA">
        <w:rPr>
          <w:rFonts w:cs="Marianne"/>
        </w:rPr>
        <w:t>é</w:t>
      </w:r>
      <w:r w:rsidRPr="009D6FCA">
        <w:t xml:space="preserve">taires occupants ou bailleurs. </w:t>
      </w:r>
    </w:p>
    <w:p w14:paraId="6B34FFE3" w14:textId="77777777" w:rsidR="00F0578E" w:rsidRDefault="00F0578E" w:rsidP="00F0578E"/>
    <w:p w14:paraId="77A76E7D" w14:textId="176DD299" w:rsidR="0032106B" w:rsidRPr="007118B0" w:rsidRDefault="0032106B" w:rsidP="00F0578E">
      <w:r>
        <w:t xml:space="preserve">Le </w:t>
      </w:r>
      <w:r w:rsidRPr="00CB2FA8">
        <w:rPr>
          <w:b/>
        </w:rPr>
        <w:t>prêt avance rénovation</w:t>
      </w:r>
      <w:r w:rsidRPr="005F7779">
        <w:t xml:space="preserve"> permet </w:t>
      </w:r>
      <w:r>
        <w:t xml:space="preserve">de financer le reste à charge des ménages via </w:t>
      </w:r>
      <w:r w:rsidRPr="005F7779">
        <w:t>un remboursement différé, lors de la vente du logement ou de sa transmission par succession.</w:t>
      </w:r>
    </w:p>
    <w:p w14:paraId="6D46BAC0" w14:textId="77777777" w:rsidR="0032106B" w:rsidRPr="002C7499" w:rsidRDefault="0032106B" w:rsidP="00F0578E">
      <w:r w:rsidRPr="007118B0">
        <w:t xml:space="preserve">Depuis 2015, les principales mesures d’aides sont soumises à un </w:t>
      </w:r>
      <w:r w:rsidRPr="007118B0">
        <w:rPr>
          <w:b/>
          <w:bCs/>
        </w:rPr>
        <w:t xml:space="preserve">critère d’éco-conditionnalité </w:t>
      </w:r>
      <w:r w:rsidRPr="007118B0">
        <w:t>: pour en bénéficier, les particuliers doivent recourir à des entreprises RGE «</w:t>
      </w:r>
      <w:r w:rsidRPr="007118B0">
        <w:rPr>
          <w:rFonts w:ascii="Calibri" w:hAnsi="Calibri" w:cs="Calibri"/>
        </w:rPr>
        <w:t> </w:t>
      </w:r>
      <w:r w:rsidRPr="007118B0">
        <w:t>Reconnues Garantes de l</w:t>
      </w:r>
      <w:r w:rsidRPr="007118B0">
        <w:rPr>
          <w:rFonts w:cs="Marianne"/>
        </w:rPr>
        <w:t>’</w:t>
      </w:r>
      <w:r w:rsidRPr="007118B0">
        <w:t>Environnement</w:t>
      </w:r>
      <w:r w:rsidRPr="007118B0">
        <w:rPr>
          <w:rFonts w:ascii="Calibri" w:hAnsi="Calibri" w:cs="Calibri"/>
        </w:rPr>
        <w:t> </w:t>
      </w:r>
      <w:r w:rsidRPr="007118B0">
        <w:rPr>
          <w:rFonts w:cs="Marianne"/>
        </w:rPr>
        <w:t>»</w:t>
      </w:r>
      <w:r w:rsidRPr="007118B0">
        <w:t>. La comp</w:t>
      </w:r>
      <w:r w:rsidRPr="007118B0">
        <w:rPr>
          <w:rFonts w:cs="Marianne"/>
        </w:rPr>
        <w:t>é</w:t>
      </w:r>
      <w:r w:rsidRPr="007118B0">
        <w:t>tence de l</w:t>
      </w:r>
      <w:r w:rsidRPr="007118B0">
        <w:rPr>
          <w:rFonts w:cs="Marianne"/>
        </w:rPr>
        <w:t>’</w:t>
      </w:r>
      <w:r w:rsidRPr="007118B0">
        <w:t>entreprise qui intervient dans les diff</w:t>
      </w:r>
      <w:r w:rsidRPr="007118B0">
        <w:rPr>
          <w:rFonts w:cs="Marianne"/>
        </w:rPr>
        <w:t>é</w:t>
      </w:r>
      <w:r w:rsidRPr="007118B0">
        <w:t>rentes missions li</w:t>
      </w:r>
      <w:r w:rsidRPr="007118B0">
        <w:rPr>
          <w:rFonts w:cs="Marianne"/>
        </w:rPr>
        <w:t>é</w:t>
      </w:r>
      <w:r w:rsidRPr="007118B0">
        <w:t>es aux travaux dans le b</w:t>
      </w:r>
      <w:r w:rsidRPr="007118B0">
        <w:rPr>
          <w:rFonts w:cs="Marianne"/>
        </w:rPr>
        <w:t>â</w:t>
      </w:r>
      <w:r w:rsidRPr="007118B0">
        <w:t xml:space="preserve">timent est en effet un aspect essentiel de la qualité de la construction. La formation des professionnels du bâtiment est par ailleurs soutenue au travers du </w:t>
      </w:r>
      <w:r w:rsidRPr="007118B0">
        <w:rPr>
          <w:b/>
          <w:bCs/>
        </w:rPr>
        <w:t xml:space="preserve">dispositif « FEEBat » </w:t>
      </w:r>
      <w:r w:rsidRPr="007118B0">
        <w:t xml:space="preserve">(Formation aux Economies d’Energie des entreprises et artisans du Bâtiment) qui bénéficie du financement des certificats d'économies d'énergie (CEE). Ce dispositif permet aux professionnels de bénéficier de formations aux économies d’énergie dispensées par des organismes habilités à des conditions financières avantageuses sur l’ensemble du territoire. Le dispositif FEEBat est renforcé dans le cadre de la prochaine période des certificats d'économies d'énergie et en cohérence avec la mise en place de l’éco-conditionnalité des dispositifs incitatifs </w:t>
      </w:r>
      <w:r w:rsidRPr="00B4783A">
        <w:t>: les objectifs de formation revus à la hausse visent 25</w:t>
      </w:r>
      <w:r w:rsidRPr="00B4783A">
        <w:rPr>
          <w:rFonts w:ascii="Calibri" w:hAnsi="Calibri" w:cs="Calibri"/>
        </w:rPr>
        <w:t> </w:t>
      </w:r>
      <w:r w:rsidRPr="00B4783A">
        <w:t xml:space="preserve">000 stagiaires par an et de nouveaux organismes de formation rejoignant le dispositif pour accroître sa capacité. </w:t>
      </w:r>
    </w:p>
    <w:p w14:paraId="03D3506B" w14:textId="77777777" w:rsidR="00F0578E" w:rsidRDefault="00F0578E" w:rsidP="00F0578E"/>
    <w:p w14:paraId="4D775601" w14:textId="5A3A2611" w:rsidR="0032106B" w:rsidRPr="0036181D" w:rsidRDefault="0032106B" w:rsidP="00F0578E">
      <w:r w:rsidRPr="002C7499">
        <w:t xml:space="preserve">Le </w:t>
      </w:r>
      <w:r w:rsidRPr="002C7499">
        <w:rPr>
          <w:b/>
        </w:rPr>
        <w:t xml:space="preserve">coup de pouce économies d'énergie pour les ménages </w:t>
      </w:r>
      <w:r w:rsidRPr="002C7499">
        <w:t xml:space="preserve">prévoit la mise en place, dans le cadre du dispositif des certificats d’économies d’énergie (CEE), de bonifications de certaines opérations pour lesquelles le demandeur se sera engagé à travers une charte permettant l’octroi de primes significatives pour les ménages diminuant ainsi leur reste à charge lors des travaux. La bonification concerne des opérations pour lesquelles le demandeur des CEE est signataire de l’une des chartes d’engagement « Coup de pouce Chauffage » </w:t>
      </w:r>
      <w:r>
        <w:t>(remplacement d’équipements au gaz, au fioul ou au charbon par des équipements renouvelables),</w:t>
      </w:r>
      <w:r w:rsidRPr="002C7499">
        <w:t xml:space="preserve"> « Coup de pouce </w:t>
      </w:r>
      <w:r>
        <w:t>rénovation performante</w:t>
      </w:r>
      <w:r w:rsidRPr="002C7499">
        <w:t xml:space="preserve">». Tous les ménages peuvent bénéficier de cette offre. Les montants de primes attribués sont cependant différenciés en fonction de leurs niveaux de ressources. Les ménages les plus modestes bénéficient de primes plus importantes. </w:t>
      </w:r>
    </w:p>
    <w:p w14:paraId="0F5C7A17" w14:textId="77777777" w:rsidR="00F0578E" w:rsidRDefault="00F0578E" w:rsidP="00F0578E">
      <w:pPr>
        <w:rPr>
          <w:b/>
          <w:bCs/>
        </w:rPr>
      </w:pPr>
    </w:p>
    <w:p w14:paraId="762B40BF" w14:textId="2DCA8E8C" w:rsidR="0032106B" w:rsidRDefault="0032106B" w:rsidP="00F0578E">
      <w:r w:rsidRPr="0036181D">
        <w:rPr>
          <w:b/>
          <w:bCs/>
        </w:rPr>
        <w:t xml:space="preserve">L’éco-prêt logement social </w:t>
      </w:r>
      <w:r w:rsidRPr="0036181D">
        <w:rPr>
          <w:b/>
        </w:rPr>
        <w:t>(éco-PLS</w:t>
      </w:r>
      <w:r w:rsidRPr="0036181D">
        <w:t>) est un prêt à taux bonifié dont le taux varie en fonction de la durée et dont le montant varie en fonction de l’économie d’énergie réalisée grâce aux travaux qu’il finance. Il est accessible notamment aux organismes d’habitations à loyer modéré, aux sociétés d’économie mixte, aux communes possédant ou gérant des logements sociaux, dans le cadre de la rénovation thermique de logements énergivores. L'éco-PLS finance les travaux d’économie d’énergie permettant à un logement de passer d’une consommation d’énergie primaire supérieure à 230</w:t>
      </w:r>
      <w:r w:rsidRPr="0036181D">
        <w:rPr>
          <w:rFonts w:ascii="Calibri" w:hAnsi="Calibri" w:cs="Calibri"/>
        </w:rPr>
        <w:t> </w:t>
      </w:r>
      <w:r w:rsidRPr="0036181D">
        <w:t>kWh/m</w:t>
      </w:r>
      <w:r w:rsidRPr="0036181D">
        <w:rPr>
          <w:vertAlign w:val="superscript"/>
        </w:rPr>
        <w:t>2</w:t>
      </w:r>
      <w:r w:rsidRPr="0036181D">
        <w:t>/an à une consommation inférieure à 150</w:t>
      </w:r>
      <w:r w:rsidRPr="0036181D">
        <w:rPr>
          <w:rFonts w:ascii="Calibri" w:hAnsi="Calibri" w:cs="Calibri"/>
        </w:rPr>
        <w:t> </w:t>
      </w:r>
      <w:r w:rsidRPr="0036181D">
        <w:t>kWh/m</w:t>
      </w:r>
      <w:r w:rsidRPr="0036181D">
        <w:rPr>
          <w:vertAlign w:val="superscript"/>
        </w:rPr>
        <w:t>2</w:t>
      </w:r>
      <w:r w:rsidR="00F0578E">
        <w:t>/an.</w:t>
      </w:r>
    </w:p>
    <w:p w14:paraId="4ECB4B01" w14:textId="77777777" w:rsidR="00F0578E" w:rsidRPr="0036181D" w:rsidRDefault="00F0578E" w:rsidP="00F0578E"/>
    <w:p w14:paraId="745FDE2A" w14:textId="77777777" w:rsidR="0032106B" w:rsidRPr="0036181D" w:rsidRDefault="0032106B" w:rsidP="00F0578E">
      <w:r w:rsidRPr="0036181D">
        <w:t xml:space="preserve">Outre les aides financières, des dispositifs ont été mis en place pour faciliter le financement des travaux de rénovation énergétique : </w:t>
      </w:r>
    </w:p>
    <w:p w14:paraId="1CDAD7FD" w14:textId="67A8233F" w:rsidR="0032106B" w:rsidRPr="0036181D" w:rsidRDefault="0032106B" w:rsidP="00BE086C">
      <w:pPr>
        <w:numPr>
          <w:ilvl w:val="0"/>
          <w:numId w:val="14"/>
        </w:numPr>
        <w:spacing w:before="240" w:after="240"/>
      </w:pPr>
      <w:r w:rsidRPr="0036181D">
        <w:t xml:space="preserve">Un cadre juridique complet a été mis en place sur le </w:t>
      </w:r>
      <w:r w:rsidRPr="0036181D">
        <w:rPr>
          <w:b/>
        </w:rPr>
        <w:t xml:space="preserve">tiers </w:t>
      </w:r>
      <w:r w:rsidRPr="0036181D">
        <w:rPr>
          <w:b/>
          <w:bCs/>
        </w:rPr>
        <w:t xml:space="preserve">financement. </w:t>
      </w:r>
      <w:r w:rsidRPr="0036181D">
        <w:t xml:space="preserve">Le tiers financement est une offre de rénovation énergétique incluant le financement de l’opération et un suivi post-travaux, de telle sorte que le propriétaire n’a rien à financer car les économies d’énergies futures remboursent progressivement tout </w:t>
      </w:r>
      <w:r>
        <w:t>ou partie de l’investissement ;</w:t>
      </w:r>
    </w:p>
    <w:p w14:paraId="129CB996" w14:textId="77777777" w:rsidR="0032106B" w:rsidRPr="0036181D" w:rsidRDefault="0032106B" w:rsidP="00BE086C">
      <w:pPr>
        <w:numPr>
          <w:ilvl w:val="0"/>
          <w:numId w:val="13"/>
        </w:numPr>
        <w:spacing w:before="240" w:after="240"/>
      </w:pPr>
      <w:r w:rsidRPr="0036181D">
        <w:rPr>
          <w:bCs/>
        </w:rPr>
        <w:t xml:space="preserve">Un </w:t>
      </w:r>
      <w:r w:rsidRPr="0036181D">
        <w:rPr>
          <w:b/>
          <w:bCs/>
        </w:rPr>
        <w:t xml:space="preserve">fonds de garantie pour la rénovation énergétique </w:t>
      </w:r>
      <w:r w:rsidRPr="0036181D">
        <w:t xml:space="preserve">a été créé par la loi de transition énergétique pour la croissance verte (LTECV) d’août 2015 pour faciliter le financement des travaux d’amélioration de la performance énergétique des logements existants. Il permet aux organismes bancaires de bénéficier d’une garantie lors de l’octroi de prêts aux propriétaires de logements existants aux ressources modestes qui financent des travaux de rénovation énergétique. </w:t>
      </w:r>
    </w:p>
    <w:p w14:paraId="3D3AE840" w14:textId="1B81502F" w:rsidR="00A5513E" w:rsidRPr="0036181D" w:rsidRDefault="0032106B" w:rsidP="00BE086C">
      <w:pPr>
        <w:pStyle w:val="ListParagraph"/>
        <w:numPr>
          <w:ilvl w:val="0"/>
          <w:numId w:val="13"/>
        </w:numPr>
        <w:spacing w:before="240" w:after="240"/>
      </w:pPr>
      <w:r w:rsidRPr="0036181D">
        <w:t xml:space="preserve">Un </w:t>
      </w:r>
      <w:r w:rsidRPr="0036181D">
        <w:rPr>
          <w:b/>
          <w:bCs/>
        </w:rPr>
        <w:t>taux réduit de 5,5</w:t>
      </w:r>
      <w:r w:rsidR="006518EF">
        <w:rPr>
          <w:rFonts w:ascii="Calibri" w:hAnsi="Calibri" w:cs="Calibri"/>
          <w:b/>
          <w:bCs/>
        </w:rPr>
        <w:t>%</w:t>
      </w:r>
      <w:r w:rsidRPr="0036181D">
        <w:rPr>
          <w:b/>
          <w:bCs/>
        </w:rPr>
        <w:t xml:space="preserve"> de la TVA </w:t>
      </w:r>
      <w:r w:rsidRPr="0036181D">
        <w:t>(taxe sur la valeur ajoutée) s'applique aux travaux d'amélioration de la performance énergétique des logements, ce qui permet d’en limiter les coûts.</w:t>
      </w:r>
      <w:r w:rsidR="00260E0B">
        <w:t xml:space="preserve"> </w:t>
      </w:r>
    </w:p>
    <w:p w14:paraId="17ECB832" w14:textId="77777777" w:rsidR="00A5513E" w:rsidRPr="00B624EA" w:rsidRDefault="00A5513E" w:rsidP="00EF6DB6">
      <w:pPr>
        <w:pStyle w:val="Titre4niveau4"/>
      </w:pPr>
      <w:r w:rsidRPr="00B624EA">
        <w:t xml:space="preserve">Les mesures d’information et d’accompagnement </w:t>
      </w:r>
    </w:p>
    <w:p w14:paraId="6F63060A" w14:textId="77777777" w:rsidR="00A5513E" w:rsidRDefault="00A5513E" w:rsidP="00F0578E">
      <w:pPr>
        <w:rPr>
          <w:b/>
          <w:bCs/>
        </w:rPr>
      </w:pPr>
      <w:r w:rsidRPr="0036181D">
        <w:t xml:space="preserve">Des mesures ont été mises en place pour favoriser l’information des usagers sur la performance </w:t>
      </w:r>
      <w:r w:rsidRPr="00B624EA">
        <w:t>énergétique des bâtiments qu’ils occupent, ainsi que sur les aides existantes pour la rénovation :</w:t>
      </w:r>
    </w:p>
    <w:p w14:paraId="44EBB075" w14:textId="7A5F3572" w:rsidR="00A5513E" w:rsidRDefault="0032106B" w:rsidP="00BE086C">
      <w:pPr>
        <w:pStyle w:val="ListParagraph"/>
        <w:numPr>
          <w:ilvl w:val="0"/>
          <w:numId w:val="12"/>
        </w:numPr>
        <w:spacing w:before="240" w:after="240"/>
      </w:pPr>
      <w:r>
        <w:t xml:space="preserve">Le </w:t>
      </w:r>
      <w:r w:rsidRPr="00B624EA">
        <w:rPr>
          <w:b/>
          <w:bCs/>
        </w:rPr>
        <w:t xml:space="preserve">diagnostic de performance énergétique </w:t>
      </w:r>
      <w:r w:rsidRPr="00E26935">
        <w:t xml:space="preserve">(DPE) renseigne sur la performance énergétique d’un logement ou d’un bâtiment, en évaluant sa consommation d’énergie et son impact en termes d’émissions de gaz à effet de serre. Le diagnostic comprend également des recommandations qui permettent à l’acquéreur, au propriétaire, au </w:t>
      </w:r>
      <w:r w:rsidRPr="009D6FCA">
        <w:t xml:space="preserve">bailleur ou au locataire, de connaître les mesures les plus efficaces pour économiser de l’énergie. Depuis 2006, un DPE doit être établi à l’occasion de la vente de tout bâtiment ou partie de bâtiment, quel que soit son usage (résidentiel et tertiaire). Depuis 2007, un DPE doit être établi en cas de location d’un logement ou d’un immeuble à usage principal d’habitation. Dans le cadre de l’article 179 de la loi ELAN de 2018, depuis le </w:t>
      </w:r>
      <w:r w:rsidR="006518EF" w:rsidRPr="009F4180">
        <w:t>1</w:t>
      </w:r>
      <w:r w:rsidR="006518EF" w:rsidRPr="007F47EF">
        <w:rPr>
          <w:vertAlign w:val="superscript"/>
        </w:rPr>
        <w:t>er</w:t>
      </w:r>
      <w:r w:rsidRPr="009D6FCA">
        <w:t xml:space="preserve"> juillet 2021, le DPE n'est plus informatif mais opposable. </w:t>
      </w:r>
      <w:r>
        <w:t xml:space="preserve">A compter du </w:t>
      </w:r>
      <w:r w:rsidR="006518EF" w:rsidRPr="009F4180">
        <w:t>1</w:t>
      </w:r>
      <w:r w:rsidR="006518EF" w:rsidRPr="007F47EF">
        <w:rPr>
          <w:vertAlign w:val="superscript"/>
        </w:rPr>
        <w:t>er</w:t>
      </w:r>
      <w:r>
        <w:t xml:space="preserve"> avril</w:t>
      </w:r>
      <w:r w:rsidRPr="009D6FCA">
        <w:t xml:space="preserve"> 2023, la réalisation d’un </w:t>
      </w:r>
      <w:r w:rsidRPr="009D6FCA">
        <w:rPr>
          <w:b/>
        </w:rPr>
        <w:t>audit énergétique réglementaire</w:t>
      </w:r>
      <w:r w:rsidRPr="009D6FCA">
        <w:t xml:space="preserve">, en complément du diagnostic de performance énergétique, </w:t>
      </w:r>
      <w:r>
        <w:t xml:space="preserve">sera obligatoire </w:t>
      </w:r>
      <w:r w:rsidRPr="009D6FCA">
        <w:t>pour toutes les ventes de maisons individuelles et de bâtiments d’habitation collective en monopropriété et présentant de faibles performances énergétiques</w:t>
      </w:r>
      <w:r w:rsidRPr="009D6FCA">
        <w:rPr>
          <w:rFonts w:ascii="Calibri" w:hAnsi="Calibri" w:cs="Calibri"/>
        </w:rPr>
        <w:t> </w:t>
      </w:r>
      <w:r w:rsidRPr="009D6FCA">
        <w:t>;</w:t>
      </w:r>
    </w:p>
    <w:p w14:paraId="20DD580A" w14:textId="52A7E476" w:rsidR="00A5513E" w:rsidRPr="00E4414D" w:rsidRDefault="00A5513E" w:rsidP="00BE086C">
      <w:pPr>
        <w:numPr>
          <w:ilvl w:val="0"/>
          <w:numId w:val="12"/>
        </w:numPr>
        <w:spacing w:before="240" w:after="240"/>
      </w:pPr>
      <w:r w:rsidRPr="00E4414D">
        <w:t xml:space="preserve">Les copropriétés construites avant 2000 comprenant 50 lots ou plus et équipées d’une installation collective de chauffage ou de refroidissement avaient l’obligation de réaliser un </w:t>
      </w:r>
      <w:r w:rsidRPr="00E4414D">
        <w:rPr>
          <w:b/>
          <w:bCs/>
        </w:rPr>
        <w:t xml:space="preserve">audit énergétique </w:t>
      </w:r>
      <w:r w:rsidRPr="00E4414D">
        <w:t xml:space="preserve">avant le </w:t>
      </w:r>
      <w:r w:rsidR="006518EF" w:rsidRPr="009F4180">
        <w:t>1</w:t>
      </w:r>
      <w:r w:rsidR="006518EF" w:rsidRPr="007F47EF">
        <w:rPr>
          <w:vertAlign w:val="superscript"/>
        </w:rPr>
        <w:t>er</w:t>
      </w:r>
      <w:r w:rsidRPr="00E4414D">
        <w:t xml:space="preserve"> janvier 2017. Cet audit comprend, pour chaque bâtiment de la copropriété, l’estimation de la consommation annuelle d’énergie du bâtiment liée au chauffage, au refroidissement, à la production d’eau chaude sanitaire, à l’éclairage et à la ventilation. L'audit doit comporter des propositions de travaux destinés à améliorer la performance énergétique du bâtiment ; </w:t>
      </w:r>
    </w:p>
    <w:p w14:paraId="668741CF" w14:textId="513F2C92" w:rsidR="00A5513E" w:rsidRPr="009D6FCA" w:rsidRDefault="00AD57CD" w:rsidP="00BE086C">
      <w:pPr>
        <w:numPr>
          <w:ilvl w:val="0"/>
          <w:numId w:val="12"/>
        </w:numPr>
        <w:spacing w:before="240" w:after="240"/>
      </w:pPr>
      <w:r w:rsidRPr="00AD57CD">
        <w:rPr>
          <w:b/>
        </w:rPr>
        <w:t>La France est le premier pays à rendre obligatoire les «</w:t>
      </w:r>
      <w:r w:rsidRPr="00AD57CD">
        <w:rPr>
          <w:rFonts w:ascii="Calibri" w:hAnsi="Calibri" w:cs="Calibri"/>
          <w:b/>
        </w:rPr>
        <w:t> </w:t>
      </w:r>
      <w:r w:rsidRPr="00AD57CD">
        <w:rPr>
          <w:b/>
        </w:rPr>
        <w:t>baux verts</w:t>
      </w:r>
      <w:r w:rsidRPr="00AD57CD">
        <w:rPr>
          <w:rFonts w:ascii="Calibri" w:hAnsi="Calibri" w:cs="Calibri"/>
          <w:b/>
        </w:rPr>
        <w:t> </w:t>
      </w:r>
      <w:r w:rsidRPr="00AD57CD">
        <w:rPr>
          <w:rFonts w:cs="Marianne"/>
          <w:b/>
        </w:rPr>
        <w:t>»</w:t>
      </w:r>
      <w:r w:rsidRPr="00AD57CD">
        <w:rPr>
          <w:b/>
        </w:rPr>
        <w:t>.</w:t>
      </w:r>
      <w:r w:rsidRPr="00AD57CD">
        <w:t xml:space="preserve"> </w:t>
      </w:r>
      <w:r w:rsidR="00A5513E" w:rsidRPr="00273F4E">
        <w:t>Depuis 2012, pour les locaux professionnels à usage de bureaux ou de commerces d’une surface supérieure à 2</w:t>
      </w:r>
      <w:r w:rsidR="00A5513E" w:rsidRPr="00273F4E">
        <w:rPr>
          <w:rFonts w:ascii="Calibri" w:hAnsi="Calibri" w:cs="Calibri"/>
        </w:rPr>
        <w:t> </w:t>
      </w:r>
      <w:r w:rsidR="00A5513E" w:rsidRPr="00273F4E">
        <w:t>000</w:t>
      </w:r>
      <w:r w:rsidR="00A5513E" w:rsidRPr="00273F4E">
        <w:rPr>
          <w:rFonts w:ascii="Calibri" w:hAnsi="Calibri" w:cs="Calibri"/>
        </w:rPr>
        <w:t> </w:t>
      </w:r>
      <w:r w:rsidR="00A5513E" w:rsidRPr="00273F4E">
        <w:t>m</w:t>
      </w:r>
      <w:r w:rsidR="00A5513E" w:rsidRPr="00273F4E">
        <w:rPr>
          <w:rFonts w:cs="Marianne"/>
        </w:rPr>
        <w:t>²</w:t>
      </w:r>
      <w:r w:rsidR="00A5513E" w:rsidRPr="00273F4E">
        <w:t xml:space="preserve">, une </w:t>
      </w:r>
      <w:r w:rsidR="00A5513E" w:rsidRPr="00273F4E">
        <w:rPr>
          <w:b/>
          <w:bCs/>
        </w:rPr>
        <w:t xml:space="preserve">annexe environnementale </w:t>
      </w:r>
      <w:r w:rsidR="00A5513E" w:rsidRPr="00273F4E">
        <w:t>(dite annexe verte</w:t>
      </w:r>
      <w:r>
        <w:t xml:space="preserve"> ou « Green lease »</w:t>
      </w:r>
      <w:r w:rsidR="00A5513E" w:rsidRPr="00273F4E">
        <w:t xml:space="preserve">) doit accompagner le contrat pour les baux nouvellement conclus ou renouvelés. Depuis juillet 2013, elle est obligatoire pour tous les baux en cours. L’annexe environnementale doit comporter un descriptif des caractéristiques énergétiques des équipements et </w:t>
      </w:r>
      <w:r w:rsidR="00A5513E" w:rsidRPr="009D6FCA">
        <w:t xml:space="preserve">des systèmes, leur consommation réelle d’eau et d’énergie et la quantité de déchets générée par le bâtiment. </w:t>
      </w:r>
    </w:p>
    <w:p w14:paraId="4A41B22F" w14:textId="719588EF" w:rsidR="0032106B" w:rsidRPr="009D6FCA" w:rsidRDefault="0032106B" w:rsidP="00BE086C">
      <w:pPr>
        <w:numPr>
          <w:ilvl w:val="0"/>
          <w:numId w:val="12"/>
        </w:numPr>
        <w:spacing w:before="240" w:after="240"/>
      </w:pPr>
      <w:r>
        <w:t xml:space="preserve">La mise en place du service public de la rénovation de l’habitat, baptisé France Rénov’ depuis le </w:t>
      </w:r>
      <w:r w:rsidR="006518EF" w:rsidRPr="009F4180">
        <w:t>1</w:t>
      </w:r>
      <w:r w:rsidR="006518EF" w:rsidRPr="007F47EF">
        <w:rPr>
          <w:vertAlign w:val="superscript"/>
        </w:rPr>
        <w:t>er</w:t>
      </w:r>
      <w:r>
        <w:t xml:space="preserve"> janvier 2022. Il est constitué d’un ensemble de guichets uniques qui informent, conseillent et accompagnent les ménages dans leur projet de rénovation de leur logement. </w:t>
      </w:r>
    </w:p>
    <w:p w14:paraId="5C0466BA" w14:textId="77777777" w:rsidR="00A5513E" w:rsidRPr="009D6FCA" w:rsidRDefault="00A5513E" w:rsidP="00F0578E">
      <w:r w:rsidRPr="009D6FCA">
        <w:t xml:space="preserve">Par ailleurs, différents dispositifs visent à lever certains des freins à la décision de rénovation des logements ou au recours à des usages vertueux : </w:t>
      </w:r>
    </w:p>
    <w:p w14:paraId="2FE5E096" w14:textId="77777777" w:rsidR="00A5513E" w:rsidRPr="0052594E" w:rsidRDefault="00A5513E" w:rsidP="00BE086C">
      <w:pPr>
        <w:numPr>
          <w:ilvl w:val="0"/>
          <w:numId w:val="11"/>
        </w:numPr>
        <w:spacing w:before="240" w:after="240"/>
      </w:pPr>
      <w:r w:rsidRPr="009D6FCA">
        <w:t xml:space="preserve">L’asymétrie entre les propriétaires-bailleurs, qui supportent la charge des travaux, et les locataires, qui bénéficient des économies d’énergie induites est réduite avec la possibilité d’un </w:t>
      </w:r>
      <w:r w:rsidRPr="009D6FCA">
        <w:rPr>
          <w:b/>
          <w:bCs/>
        </w:rPr>
        <w:t>partage des économies de charges entre propriétaires et locataires</w:t>
      </w:r>
      <w:r w:rsidRPr="009D6FCA">
        <w:t xml:space="preserve">. Le propriétaire peut demander à son locataire une participation financière mensuelle après la réalisation de travaux d’économies d’énergie, à hauteur de la moitié de l’économie de charges réalisée. Cette participation prend la forme d’une nouvelle ligne inscrite sur la quittance de loyer qui perdurera pour une durée de 15 ans. Cette participation n’est néanmoins possible que si le bailleur réalise un bouquet de travaux performants comportant </w:t>
      </w:r>
      <w:r w:rsidRPr="009D6FCA">
        <w:rPr>
          <w:i/>
          <w:iCs/>
        </w:rPr>
        <w:t xml:space="preserve">a minima </w:t>
      </w:r>
      <w:r w:rsidRPr="009D6FCA">
        <w:t xml:space="preserve">deux </w:t>
      </w:r>
      <w:r w:rsidRPr="0052594E">
        <w:t xml:space="preserve">actions ou permettant d’atteindre un niveau de performance minimal, et qu’il a engagé une démarche de concertation avec son locataire ; </w:t>
      </w:r>
    </w:p>
    <w:p w14:paraId="20E5AD5D" w14:textId="77777777" w:rsidR="00A5513E" w:rsidRPr="009D6FCA" w:rsidRDefault="00A5513E" w:rsidP="00BE086C">
      <w:pPr>
        <w:numPr>
          <w:ilvl w:val="0"/>
          <w:numId w:val="10"/>
        </w:numPr>
        <w:spacing w:before="240" w:after="240"/>
      </w:pPr>
      <w:r w:rsidRPr="0052594E">
        <w:t xml:space="preserve">Dans un immeuble chauffé collectivement, le partage de la facture avait l’habitude de se faire selon les tantièmes ou au </w:t>
      </w:r>
      <w:r w:rsidRPr="0052594E">
        <w:rPr>
          <w:i/>
          <w:iCs/>
        </w:rPr>
        <w:t xml:space="preserve">prorata </w:t>
      </w:r>
      <w:r w:rsidRPr="0052594E">
        <w:t xml:space="preserve">de la surface de l’appartement, même si la consommation de chauffage diffère d’un logement à l’autre. </w:t>
      </w:r>
      <w:r w:rsidRPr="0052594E">
        <w:rPr>
          <w:b/>
          <w:bCs/>
        </w:rPr>
        <w:t xml:space="preserve">L’individualisation des frais de chauffage </w:t>
      </w:r>
      <w:r w:rsidRPr="0052594E">
        <w:t xml:space="preserve">consiste à faire payer à l’occupant sa consommation réelle de chauffage. Cela permet une meilleure information de l’occupant et l’incite à maîtriser sa consommation. La loi de transition énergétique pour la croissance verte d’août 2015 prévoit la </w:t>
      </w:r>
      <w:r w:rsidRPr="009D6FCA">
        <w:rPr>
          <w:b/>
          <w:bCs/>
        </w:rPr>
        <w:t xml:space="preserve">généralisation </w:t>
      </w:r>
      <w:r w:rsidRPr="009D6FCA">
        <w:t>de ce dispositif, qui était jusqu’à présent obligatoire uniquement pour les bâtiments d’habitation énergivores. L’obligation de l’individualisation des frais de chauffage est ainsi élargie à tous les bâtiments d’habitation, ainsi qu’au secteur tertiaire, sauf en cas d’impossibilité technique ou de nécessité de modifier l’ensemble de l’installation de chauffage. Dans le cadre de l'article 71 de la loi ELAN de 2018, l'obligation d'installer un dispositif d'individualisation des frais de consommation d'énergie est étendue aux réseaux de froid</w:t>
      </w:r>
      <w:r w:rsidRPr="009D6FCA">
        <w:rPr>
          <w:rFonts w:ascii="Calibri" w:hAnsi="Calibri" w:cs="Calibri"/>
        </w:rPr>
        <w:t> </w:t>
      </w:r>
      <w:r w:rsidRPr="009D6FCA">
        <w:t>;</w:t>
      </w:r>
    </w:p>
    <w:p w14:paraId="26389E94" w14:textId="77777777" w:rsidR="00A5513E" w:rsidRPr="009D6FCA" w:rsidRDefault="00A5513E" w:rsidP="00EF6DB6">
      <w:pPr>
        <w:pStyle w:val="Titre4niveau4"/>
      </w:pPr>
      <w:r w:rsidRPr="009D6FCA">
        <w:t>Les obligations de travaux</w:t>
      </w:r>
    </w:p>
    <w:p w14:paraId="65286CC7" w14:textId="6CD95ACA" w:rsidR="00A5513E" w:rsidRDefault="00A5513E" w:rsidP="00F0578E">
      <w:r w:rsidRPr="00A812B8">
        <w:t xml:space="preserve">Une mesure introduite par la LTECV d’août 2015 concerne </w:t>
      </w:r>
      <w:r w:rsidRPr="00A812B8">
        <w:rPr>
          <w:b/>
          <w:bCs/>
        </w:rPr>
        <w:t xml:space="preserve">l’obligation de mettre en œuvre une isolation thermique lorsque de gros travaux de rénovation de bâtiments sont réalisés </w:t>
      </w:r>
      <w:r w:rsidRPr="00A812B8">
        <w:t xml:space="preserve">: ravalement de façade, réfection de toiture, et transformation de garages, combles, ou pièces non aménagées en pièces habitables. Cette mesure permet de saisir les opportunités de travaux importants de réhabilitation choisis par un maître d’ouvrage pour y associer à moindre coût des travaux de rénovation énergétique et ainsi diminuer les besoins en énergie du bâtiment. Cette obligation s’applique pour les devis d’engagement de prestation de maîtrise d’œuvre signés depuis le </w:t>
      </w:r>
      <w:r w:rsidR="006518EF" w:rsidRPr="009F4180">
        <w:t>1</w:t>
      </w:r>
      <w:r w:rsidR="006518EF" w:rsidRPr="007F47EF">
        <w:rPr>
          <w:vertAlign w:val="superscript"/>
        </w:rPr>
        <w:t>er</w:t>
      </w:r>
      <w:r w:rsidRPr="00A812B8">
        <w:t xml:space="preserve"> janvier 2017 pour les bâtiments à usage d’habitation, de bureaux, de commerce, d’enseignement et les hôtels. L’isolation installée doit conduire à une performance thermique conforme à la règlementation thermique par élément. Les travaux d’isolation peuvent bénéficier par </w:t>
      </w:r>
      <w:r w:rsidRPr="009D6FCA">
        <w:t>ailleurs d’aides financières (crédit d’impôt transition énergétique, éco-prêt à taux zéro, cert</w:t>
      </w:r>
      <w:r w:rsidR="00F0578E">
        <w:t>ificats d’économies d’énergie).</w:t>
      </w:r>
    </w:p>
    <w:p w14:paraId="697CF4BC" w14:textId="77777777" w:rsidR="00F0578E" w:rsidRPr="009D6FCA" w:rsidRDefault="00F0578E" w:rsidP="00F0578E"/>
    <w:p w14:paraId="5AE20667" w14:textId="092371E7" w:rsidR="00A5513E" w:rsidRDefault="00A5513E" w:rsidP="00F0578E">
      <w:r w:rsidRPr="009D6FCA">
        <w:t xml:space="preserve">Pour le tertiaire public, depuis le </w:t>
      </w:r>
      <w:r w:rsidR="006518EF" w:rsidRPr="009F4180">
        <w:t>1</w:t>
      </w:r>
      <w:r w:rsidR="006518EF" w:rsidRPr="007F47EF">
        <w:rPr>
          <w:vertAlign w:val="superscript"/>
        </w:rPr>
        <w:t>er</w:t>
      </w:r>
      <w:r w:rsidR="005E6A15">
        <w:t xml:space="preserve"> </w:t>
      </w:r>
      <w:r w:rsidRPr="009D6FCA">
        <w:t xml:space="preserve">septembre 2017, toutes les nouvelles constructions de bâtiments sous maîtrise d’ouvrage de l’État, de ses établissements publics ou des collectivités territoriales doivent faire preuve </w:t>
      </w:r>
      <w:r w:rsidRPr="009D6FCA">
        <w:rPr>
          <w:b/>
        </w:rPr>
        <w:t>d’exemplarité énergétique et environnementale</w:t>
      </w:r>
      <w:r w:rsidRPr="009D6FCA">
        <w:t xml:space="preserve"> et doivent être, chaque fois que possible, à énergie positive et à haut</w:t>
      </w:r>
      <w:r w:rsidR="00C71719">
        <w:t>e performance environnementale.</w:t>
      </w:r>
    </w:p>
    <w:p w14:paraId="468F2AC4" w14:textId="77777777" w:rsidR="00F0578E" w:rsidRDefault="00F0578E" w:rsidP="00F0578E"/>
    <w:p w14:paraId="2C1C7DC7" w14:textId="3B68151D" w:rsidR="00A5513E" w:rsidRDefault="00A5513E" w:rsidP="00F0578E">
      <w:r w:rsidRPr="009D6FCA">
        <w:t>Par ailleurs, les bâtiments, parties de bâtiments ou ensemble de bâtiments à usage tertiaire dont la surface est supérieure à 1</w:t>
      </w:r>
      <w:r w:rsidRPr="009D6FCA">
        <w:rPr>
          <w:rFonts w:ascii="Calibri" w:hAnsi="Calibri" w:cs="Calibri"/>
        </w:rPr>
        <w:t> </w:t>
      </w:r>
      <w:r w:rsidRPr="009D6FCA">
        <w:t>000</w:t>
      </w:r>
      <w:r w:rsidRPr="009D6FCA">
        <w:rPr>
          <w:rFonts w:ascii="Calibri" w:hAnsi="Calibri" w:cs="Calibri"/>
        </w:rPr>
        <w:t> </w:t>
      </w:r>
      <w:r w:rsidRPr="009D6FCA">
        <w:t>m</w:t>
      </w:r>
      <w:r w:rsidRPr="009D6FCA">
        <w:rPr>
          <w:rFonts w:cs="Marianne"/>
        </w:rPr>
        <w:t>²</w:t>
      </w:r>
      <w:r w:rsidRPr="009D6FCA">
        <w:t xml:space="preserve"> sont soumis </w:t>
      </w:r>
      <w:r w:rsidRPr="009D6FCA">
        <w:rPr>
          <w:rFonts w:cs="Marianne"/>
        </w:rPr>
        <w:t>à</w:t>
      </w:r>
      <w:r w:rsidRPr="009D6FCA">
        <w:t xml:space="preserve"> des </w:t>
      </w:r>
      <w:r w:rsidRPr="009D6FCA">
        <w:rPr>
          <w:b/>
        </w:rPr>
        <w:t>obligations d'actions de réduction des consommations d'énergie</w:t>
      </w:r>
      <w:r w:rsidRPr="009D6FCA">
        <w:t>. Ils doivent atteindre, pour chacune des années 2030, 2040 et 2050, les objectifs suivants : soit un niveau de consommation d'énergie finale réduit, respectivement, de 40</w:t>
      </w:r>
      <w:r w:rsidR="006518EF">
        <w:rPr>
          <w:rFonts w:ascii="Calibri" w:hAnsi="Calibri" w:cs="Calibri"/>
        </w:rPr>
        <w:t>%</w:t>
      </w:r>
      <w:r w:rsidRPr="009D6FCA">
        <w:t>, 50</w:t>
      </w:r>
      <w:r w:rsidR="006518EF">
        <w:rPr>
          <w:rFonts w:ascii="Calibri" w:hAnsi="Calibri" w:cs="Calibri"/>
        </w:rPr>
        <w:t>%</w:t>
      </w:r>
      <w:r w:rsidRPr="009D6FCA">
        <w:t xml:space="preserve"> et 60</w:t>
      </w:r>
      <w:r w:rsidR="006518EF">
        <w:rPr>
          <w:rFonts w:ascii="Calibri" w:hAnsi="Calibri" w:cs="Calibri"/>
        </w:rPr>
        <w:t>%</w:t>
      </w:r>
      <w:r w:rsidRPr="009D6FCA">
        <w:t xml:space="preserve"> par rapport </w:t>
      </w:r>
      <w:r w:rsidRPr="009D6FCA">
        <w:rPr>
          <w:rFonts w:cs="Marianne"/>
        </w:rPr>
        <w:t>à</w:t>
      </w:r>
      <w:r w:rsidRPr="009D6FCA">
        <w:t xml:space="preserve"> une consommation </w:t>
      </w:r>
      <w:r w:rsidRPr="009D6FCA">
        <w:rPr>
          <w:rFonts w:cs="Marianne"/>
        </w:rPr>
        <w:t>é</w:t>
      </w:r>
      <w:r w:rsidRPr="009D6FCA">
        <w:t>nerg</w:t>
      </w:r>
      <w:r w:rsidRPr="009D6FCA">
        <w:rPr>
          <w:rFonts w:cs="Marianne"/>
        </w:rPr>
        <w:t>é</w:t>
      </w:r>
      <w:r w:rsidRPr="009D6FCA">
        <w:t>tique de r</w:t>
      </w:r>
      <w:r w:rsidRPr="009D6FCA">
        <w:rPr>
          <w:rFonts w:cs="Marianne"/>
        </w:rPr>
        <w:t>é</w:t>
      </w:r>
      <w:r w:rsidRPr="009D6FCA">
        <w:t>f</w:t>
      </w:r>
      <w:r w:rsidRPr="009D6FCA">
        <w:rPr>
          <w:rFonts w:cs="Marianne"/>
        </w:rPr>
        <w:t>é</w:t>
      </w:r>
      <w:r w:rsidRPr="009D6FCA">
        <w:t xml:space="preserve">rence qui ne peut </w:t>
      </w:r>
      <w:r w:rsidRPr="009D6FCA">
        <w:rPr>
          <w:rFonts w:cs="Marianne"/>
        </w:rPr>
        <w:t>ê</w:t>
      </w:r>
      <w:r w:rsidRPr="009D6FCA">
        <w:t>tre ant</w:t>
      </w:r>
      <w:r w:rsidRPr="009D6FCA">
        <w:rPr>
          <w:rFonts w:cs="Marianne"/>
        </w:rPr>
        <w:t>é</w:t>
      </w:r>
      <w:r w:rsidRPr="009D6FCA">
        <w:t xml:space="preserve">rieure </w:t>
      </w:r>
      <w:r w:rsidRPr="009D6FCA">
        <w:rPr>
          <w:rFonts w:cs="Marianne"/>
        </w:rPr>
        <w:t>à</w:t>
      </w:r>
      <w:r w:rsidRPr="009D6FCA">
        <w:t xml:space="preserve"> 2010, soit un niveau de consommation d'énergie finale fixé en valeur absolue, en fonction de la consommation énergétique des bâtiments </w:t>
      </w:r>
      <w:r w:rsidRPr="00766CCB">
        <w:t>nouveaux de leur catégorie. Le décret</w:t>
      </w:r>
      <w:r w:rsidR="00C71719">
        <w:rPr>
          <w:rStyle w:val="FootnoteReference"/>
        </w:rPr>
        <w:footnoteReference w:id="24"/>
      </w:r>
      <w:r w:rsidRPr="00766CCB">
        <w:t xml:space="preserve"> </w:t>
      </w:r>
      <w:r w:rsidR="00C71719">
        <w:t xml:space="preserve">n°2019-771 </w:t>
      </w:r>
      <w:r w:rsidRPr="00766CCB">
        <w:t>(«</w:t>
      </w:r>
      <w:r w:rsidRPr="00766CCB">
        <w:rPr>
          <w:rFonts w:ascii="Calibri" w:hAnsi="Calibri" w:cs="Calibri"/>
        </w:rPr>
        <w:t> </w:t>
      </w:r>
      <w:r w:rsidRPr="00766CCB">
        <w:t>d</w:t>
      </w:r>
      <w:r w:rsidRPr="00766CCB">
        <w:rPr>
          <w:rFonts w:cs="Marianne"/>
        </w:rPr>
        <w:t>é</w:t>
      </w:r>
      <w:r w:rsidRPr="00766CCB">
        <w:t>cret tertiaire</w:t>
      </w:r>
      <w:r w:rsidRPr="00766CCB">
        <w:rPr>
          <w:rFonts w:ascii="Calibri" w:hAnsi="Calibri" w:cs="Calibri"/>
        </w:rPr>
        <w:t> </w:t>
      </w:r>
      <w:r w:rsidRPr="00766CCB">
        <w:rPr>
          <w:rFonts w:cs="Marianne"/>
        </w:rPr>
        <w:t>»</w:t>
      </w:r>
      <w:r w:rsidRPr="00766CCB">
        <w:t>) pris en application de la loi ELAN (Evolution du Logement, de l</w:t>
      </w:r>
      <w:r w:rsidRPr="00766CCB">
        <w:rPr>
          <w:rFonts w:cs="Marianne"/>
        </w:rPr>
        <w:t>’</w:t>
      </w:r>
      <w:r w:rsidRPr="00766CCB">
        <w:t>Am</w:t>
      </w:r>
      <w:r w:rsidRPr="00766CCB">
        <w:rPr>
          <w:rFonts w:cs="Marianne"/>
        </w:rPr>
        <w:t>é</w:t>
      </w:r>
      <w:r w:rsidRPr="00766CCB">
        <w:t>nagement et du Num</w:t>
      </w:r>
      <w:r w:rsidRPr="00766CCB">
        <w:rPr>
          <w:rFonts w:cs="Marianne"/>
        </w:rPr>
        <w:t>é</w:t>
      </w:r>
      <w:r w:rsidRPr="00766CCB">
        <w:t>rique) est entré en vigueur en 2019.</w:t>
      </w:r>
      <w:r w:rsidR="00C71719">
        <w:t xml:space="preserve"> </w:t>
      </w:r>
      <w:r w:rsidR="00C71719" w:rsidRPr="00C71719">
        <w:t>Pour cela, les propriétaires doivent rapporter chaque année les consommations sur la plateforme OPERABAT gérée par l’ADEME.</w:t>
      </w:r>
    </w:p>
    <w:p w14:paraId="22FEC883" w14:textId="77777777" w:rsidR="00F0578E" w:rsidRPr="006A308F" w:rsidRDefault="00F0578E" w:rsidP="00F0578E">
      <w:pPr>
        <w:rPr>
          <w:highlight w:val="yellow"/>
        </w:rPr>
      </w:pPr>
    </w:p>
    <w:p w14:paraId="5C120565" w14:textId="59CF7D34" w:rsidR="00A5513E" w:rsidRPr="00766CCB" w:rsidRDefault="00A5513E" w:rsidP="00F0578E">
      <w:r w:rsidRPr="00766CCB">
        <w:t xml:space="preserve">La loi énergie-climat de 2019 crée des </w:t>
      </w:r>
      <w:r w:rsidRPr="000351CE">
        <w:t>obligations de rénovation des passoires énergétiques à horizon 2028.</w:t>
      </w:r>
      <w:r w:rsidR="00260E0B">
        <w:t xml:space="preserve"> </w:t>
      </w:r>
      <w:r w:rsidRPr="000351CE">
        <w:t xml:space="preserve">Une première phase incitative prévoit l’obligation dès le </w:t>
      </w:r>
      <w:r w:rsidR="006518EF" w:rsidRPr="009F4180">
        <w:t>1</w:t>
      </w:r>
      <w:r w:rsidR="006518EF" w:rsidRPr="007F47EF">
        <w:rPr>
          <w:vertAlign w:val="superscript"/>
        </w:rPr>
        <w:t>er</w:t>
      </w:r>
      <w:r w:rsidRPr="000351CE">
        <w:t xml:space="preserve"> avril 2023 de réaliser un audit énergétique en cas de mise en vente ou location d’une passoire thermique, contenant des propositions de travaux adaptés au logement ainsi que leur coût estimé, et d’informer l’acquéreur ou locataire sur ses futures dépenses en énergie</w:t>
      </w:r>
      <w:r w:rsidRPr="00766CCB">
        <w:t>. Il est prévu dans une deuxième phase une obligation avant 2028 pour les propriétaires de passoires thermiques de réaliser des travaux d’amélioration de la performance énergétique de leur logement.</w:t>
      </w:r>
    </w:p>
    <w:p w14:paraId="3A65E62F" w14:textId="77777777" w:rsidR="00A5513E" w:rsidRPr="00B624EA" w:rsidRDefault="00A5513E" w:rsidP="00EF6DB6">
      <w:pPr>
        <w:pStyle w:val="Titre4niveau4"/>
      </w:pPr>
      <w:r w:rsidRPr="00B624EA">
        <w:t xml:space="preserve">Améliorer l’efficacité </w:t>
      </w:r>
      <w:r w:rsidRPr="009D6FCA">
        <w:t>énergétique</w:t>
      </w:r>
      <w:r w:rsidRPr="00B624EA">
        <w:t xml:space="preserve"> des autres types d’équipement </w:t>
      </w:r>
    </w:p>
    <w:p w14:paraId="723C6187" w14:textId="77777777" w:rsidR="00A5513E" w:rsidRPr="00906E38" w:rsidRDefault="00A5513E" w:rsidP="00F0578E">
      <w:r w:rsidRPr="00906E38">
        <w:t>La directive-cadre européenne 2009/125/CE établit un cadre pour la fixation d'exigences en matière d'</w:t>
      </w:r>
      <w:r w:rsidRPr="00906E38">
        <w:rPr>
          <w:b/>
          <w:bCs/>
        </w:rPr>
        <w:t xml:space="preserve">écoconception </w:t>
      </w:r>
      <w:r w:rsidRPr="00906E38">
        <w:t>applicables aux produits liés à l'énergie. Un ensemble de règlements d’exécution de la directive-cadre ont été adoptés à ce jour couvrant de nombreux produits, et en particulier les règlements suivants qui ont un impact sur la consommation d’énergie du résidentiel/tertiaire (consommation d’électricité spécifique, cuisson, éclairage et chauffage) :</w:t>
      </w:r>
    </w:p>
    <w:p w14:paraId="11766AB0" w14:textId="77777777" w:rsidR="00A5513E" w:rsidRPr="00906E38" w:rsidRDefault="00A5513E" w:rsidP="00BE086C">
      <w:pPr>
        <w:pStyle w:val="ListParagraph"/>
        <w:numPr>
          <w:ilvl w:val="0"/>
          <w:numId w:val="10"/>
        </w:numPr>
      </w:pPr>
      <w:r w:rsidRPr="00906E38">
        <w:t xml:space="preserve">Des règlements horizontaux s’appliquant de manière systématique à tous types d’équipements comme les modes « veille et arrêt » ; </w:t>
      </w:r>
    </w:p>
    <w:p w14:paraId="06E7921F" w14:textId="42D1032A" w:rsidR="00A5513E" w:rsidRPr="00906E38" w:rsidRDefault="00A5513E" w:rsidP="00BE086C">
      <w:pPr>
        <w:pStyle w:val="ListParagraph"/>
        <w:numPr>
          <w:ilvl w:val="0"/>
          <w:numId w:val="10"/>
        </w:numPr>
      </w:pPr>
      <w:r w:rsidRPr="00906E38">
        <w:t>Des règlements sur les produits dits « blancs » : appareils de froid, lave-ling</w:t>
      </w:r>
      <w:r w:rsidR="00F0578E">
        <w:t>e, lave-vaisselle, sèche-linge ;</w:t>
      </w:r>
      <w:r w:rsidRPr="00906E38">
        <w:t xml:space="preserve"> appareils de cuisine comme les fours, les hottes, et les tables de cuisson ; les aspirateurs ; </w:t>
      </w:r>
    </w:p>
    <w:p w14:paraId="7CDD5ADE" w14:textId="77777777" w:rsidR="00A5513E" w:rsidRPr="00906E38" w:rsidRDefault="00A5513E" w:rsidP="00BE086C">
      <w:pPr>
        <w:pStyle w:val="ListParagraph"/>
        <w:numPr>
          <w:ilvl w:val="0"/>
          <w:numId w:val="10"/>
        </w:numPr>
      </w:pPr>
      <w:r w:rsidRPr="00906E38">
        <w:t xml:space="preserve">Des règlements sur les produits « électroniques » : téléviseurs, ordinateurs et serveurs, décodeurs et alimentations externes ; </w:t>
      </w:r>
    </w:p>
    <w:p w14:paraId="52F3EBE9" w14:textId="77777777" w:rsidR="00A5513E" w:rsidRPr="00906E38" w:rsidRDefault="00A5513E" w:rsidP="00BE086C">
      <w:pPr>
        <w:pStyle w:val="ListParagraph"/>
        <w:numPr>
          <w:ilvl w:val="0"/>
          <w:numId w:val="10"/>
        </w:numPr>
      </w:pPr>
      <w:r w:rsidRPr="00906E38">
        <w:t xml:space="preserve">Des règlements sur les appareils de chauffage et de climatisation : chaudières (tous combustibles), chauffe-eau, chauffage mixte, pompes à chaleur et cogénération, appareils indépendants ; climatiseurs et ventilateurs ; </w:t>
      </w:r>
    </w:p>
    <w:p w14:paraId="72AE2DD2" w14:textId="525E0679" w:rsidR="00A5513E" w:rsidRDefault="00A5513E" w:rsidP="00BE086C">
      <w:pPr>
        <w:pStyle w:val="ListParagraph"/>
        <w:numPr>
          <w:ilvl w:val="0"/>
          <w:numId w:val="10"/>
        </w:numPr>
      </w:pPr>
      <w:r w:rsidRPr="00906E38">
        <w:t>Des règlements sur l’éc</w:t>
      </w:r>
      <w:r w:rsidR="00F0578E">
        <w:t>lairage : éclairage domestique.</w:t>
      </w:r>
    </w:p>
    <w:p w14:paraId="7C2B4152" w14:textId="77777777" w:rsidR="00F0578E" w:rsidRPr="00906E38" w:rsidRDefault="00F0578E" w:rsidP="00F0578E"/>
    <w:p w14:paraId="1F20CBE0" w14:textId="77777777" w:rsidR="00A5513E" w:rsidRPr="007A2A27" w:rsidRDefault="00A5513E" w:rsidP="00F0578E">
      <w:r w:rsidRPr="00906E38">
        <w:rPr>
          <w:b/>
          <w:bCs/>
        </w:rPr>
        <w:t xml:space="preserve">L’étiquetage énergétique </w:t>
      </w:r>
      <w:r w:rsidRPr="00906E38">
        <w:t xml:space="preserve">(encadré par la directive (UE) 2017/1369) vient compléter le dispositif en aidant le consommateur à s’orienter vers les produits les plus sobres. La gamme des produits soumis à cette </w:t>
      </w:r>
      <w:r w:rsidRPr="007A2A27">
        <w:t>obligation est progressivement élargie.</w:t>
      </w:r>
    </w:p>
    <w:p w14:paraId="483A0A25" w14:textId="77777777" w:rsidR="00A5513E" w:rsidRPr="007A2A27" w:rsidRDefault="00A5513E" w:rsidP="00EF6DB6">
      <w:pPr>
        <w:pStyle w:val="Titre4niveau4"/>
      </w:pPr>
      <w:r w:rsidRPr="007A2A27">
        <w:t xml:space="preserve">Mesures visant à réduire les </w:t>
      </w:r>
      <w:r w:rsidRPr="009D6FCA">
        <w:t>émissions</w:t>
      </w:r>
      <w:r w:rsidRPr="007A2A27">
        <w:t xml:space="preserve"> de HFC des bâtiments </w:t>
      </w:r>
    </w:p>
    <w:p w14:paraId="75A40900" w14:textId="30CB2CB6" w:rsidR="00A5513E" w:rsidRDefault="00A5513E" w:rsidP="00216205">
      <w:r w:rsidRPr="007A2A27">
        <w:t xml:space="preserve">Les émissions de gaz fluorés dans le secteur des bâtiments proviennent des équipements de production de froid (froid domestique pour le résidentiel et froid commercial pour le tertiaire), de climatisation à air et des pompes à chaleur. </w:t>
      </w:r>
      <w:r w:rsidRPr="007A2A27">
        <w:rPr>
          <w:b/>
          <w:bCs/>
        </w:rPr>
        <w:t xml:space="preserve">Le règlement européen n° 517/2014 (dit « F-Gas II ») </w:t>
      </w:r>
      <w:r w:rsidRPr="007A2A27">
        <w:t>met en place un certain nombre de dispositions visant à réduire les émissions de gaz fluorés des équipements de réfrigération et de climatisation utilisés dans les bâtiments,</w:t>
      </w:r>
      <w:r w:rsidRPr="00906E38">
        <w:t xml:space="preserve"> mais également dans tous les autres secteurs utilisant ce type d’équipements (industrie et transports frigorifiques) (cf. description détaillée du règl</w:t>
      </w:r>
      <w:r>
        <w:t>ement F-Gas II dans la section B.8.b.</w:t>
      </w:r>
      <w:r w:rsidRPr="00906E38">
        <w:t xml:space="preserve"> Les politiques et mesures transversales).</w:t>
      </w:r>
    </w:p>
    <w:p w14:paraId="7D7EFE82" w14:textId="77777777" w:rsidR="00F0578E" w:rsidRDefault="00F0578E" w:rsidP="00F0578E"/>
    <w:p w14:paraId="45D8A5F2" w14:textId="080315FA" w:rsidR="00C71719" w:rsidRPr="000D370D" w:rsidRDefault="00C71719" w:rsidP="00F0578E">
      <w:pPr>
        <w:rPr>
          <w:highlight w:val="yellow"/>
        </w:rPr>
      </w:pPr>
      <w:r w:rsidRPr="00C71719">
        <w:t>Ce règlement européen est en cours de révision, afin de réduire encore davantage les émissions européennes de ces puissants gaz à effet de serre et d’aider l'Union à atteindre ses objectifs de réduction des émissions d'au moins 55</w:t>
      </w:r>
      <w:r w:rsidR="006518EF">
        <w:t>%</w:t>
      </w:r>
      <w:r w:rsidRPr="00C71719">
        <w:t xml:space="preserve"> d'ici à 2030 et de neutralité climatique d'ici à 2050 (soit une réduction supplémentaire des émissions de 310</w:t>
      </w:r>
      <w:r>
        <w:t> Mt</w:t>
      </w:r>
      <w:r w:rsidRPr="00C71719">
        <w:t>CO</w:t>
      </w:r>
      <w:r w:rsidRPr="00C71719">
        <w:rPr>
          <w:vertAlign w:val="subscript"/>
        </w:rPr>
        <w:t>2e</w:t>
      </w:r>
      <w:r w:rsidRPr="00C71719">
        <w:t xml:space="preserve"> d'ici à 2050.)</w:t>
      </w:r>
    </w:p>
    <w:p w14:paraId="30FA43DB" w14:textId="467A659E" w:rsidR="00A5513E" w:rsidRDefault="00A5513E" w:rsidP="003F57EA">
      <w:pPr>
        <w:pStyle w:val="Titre3Niveau3"/>
      </w:pPr>
      <w:bookmarkStart w:id="462" w:name="_Toc120889887"/>
      <w:bookmarkStart w:id="463" w:name="_Toc138342006"/>
      <w:r>
        <w:t xml:space="preserve">Industrie </w:t>
      </w:r>
      <w:r w:rsidRPr="009D6FCA">
        <w:t>manufacturière</w:t>
      </w:r>
      <w:bookmarkEnd w:id="462"/>
      <w:bookmarkEnd w:id="463"/>
    </w:p>
    <w:p w14:paraId="0C09EFF8" w14:textId="60E20EA1" w:rsidR="00A5513E" w:rsidRDefault="00A5513E" w:rsidP="00216205">
      <w:r w:rsidRPr="002E030E">
        <w:t>L’industrie manufacturière a contribué à hauteur de 19% des émissions de gaz à effet de serre de la France en 2020. C’est le 3</w:t>
      </w:r>
      <w:r w:rsidRPr="002E030E">
        <w:rPr>
          <w:vertAlign w:val="superscript"/>
        </w:rPr>
        <w:t>ème</w:t>
      </w:r>
      <w:r w:rsidRPr="002E030E">
        <w:t xml:space="preserve"> secteur le plus émetteur après l’agriculture et les transports. Les émissions de ce secteur sont dominées par les industries produisant des produits de base intensifs en </w:t>
      </w:r>
      <w:r w:rsidR="007F09F7">
        <w:t>CO</w:t>
      </w:r>
      <w:r w:rsidR="007F09F7" w:rsidRPr="007F09F7">
        <w:rPr>
          <w:vertAlign w:val="subscript"/>
        </w:rPr>
        <w:t>2</w:t>
      </w:r>
      <w:r w:rsidRPr="002E030E">
        <w:t xml:space="preserve"> comme la métallurgie, la chimie </w:t>
      </w:r>
      <w:r w:rsidRPr="000D370D">
        <w:t xml:space="preserve">ou la fabrication de minéraux non métalliques (ciment, chaux, verre, </w:t>
      </w:r>
      <w:r w:rsidRPr="002E030E">
        <w:t xml:space="preserve">etc.). Le </w:t>
      </w:r>
      <w:r w:rsidR="007F09F7">
        <w:t>CO</w:t>
      </w:r>
      <w:r w:rsidR="007F09F7" w:rsidRPr="007F09F7">
        <w:rPr>
          <w:vertAlign w:val="subscript"/>
        </w:rPr>
        <w:t>2</w:t>
      </w:r>
      <w:r w:rsidRPr="002E030E">
        <w:t xml:space="preserve"> est le principal gaz à effet de serre émis par le secteur de l’industrie manufacturière (94</w:t>
      </w:r>
      <w:r w:rsidR="006518EF">
        <w:t>%</w:t>
      </w:r>
      <w:r w:rsidRPr="002E030E">
        <w:t>), suivis des gaz fluorés (4,5</w:t>
      </w:r>
      <w:r w:rsidR="006518EF">
        <w:t>%</w:t>
      </w:r>
      <w:r w:rsidRPr="002E030E">
        <w:t xml:space="preserve">) et du </w:t>
      </w:r>
      <w:r w:rsidR="00F80CAB" w:rsidRPr="00141043">
        <w:t>N</w:t>
      </w:r>
      <w:r w:rsidR="00F80CAB" w:rsidRPr="004F1EC8">
        <w:rPr>
          <w:vertAlign w:val="subscript"/>
        </w:rPr>
        <w:t>2</w:t>
      </w:r>
      <w:r w:rsidR="00F80CAB" w:rsidRPr="00141043">
        <w:t>O</w:t>
      </w:r>
      <w:r w:rsidR="00F80CAB">
        <w:t xml:space="preserve"> </w:t>
      </w:r>
      <w:r w:rsidRPr="002E030E">
        <w:t>(1,</w:t>
      </w:r>
      <w:r>
        <w:t>6</w:t>
      </w:r>
      <w:r w:rsidR="006518EF">
        <w:t>%</w:t>
      </w:r>
      <w:r w:rsidRPr="002E030E">
        <w:t>).</w:t>
      </w:r>
    </w:p>
    <w:p w14:paraId="7447B48A" w14:textId="1024B975" w:rsidR="00A5513E" w:rsidRPr="000D370D" w:rsidRDefault="00A5513E" w:rsidP="00EF6DB6">
      <w:pPr>
        <w:pStyle w:val="Titre4niveau4"/>
      </w:pPr>
      <w:r w:rsidRPr="000D370D">
        <w:t xml:space="preserve">Mesures visant à réduire les émissions de </w:t>
      </w:r>
      <w:r w:rsidR="007F09F7">
        <w:t>CO</w:t>
      </w:r>
      <w:r w:rsidR="007F09F7" w:rsidRPr="00E22CF8">
        <w:rPr>
          <w:vertAlign w:val="subscript"/>
        </w:rPr>
        <w:t>2</w:t>
      </w:r>
      <w:r w:rsidRPr="000D370D">
        <w:t xml:space="preserve"> de l’industrie </w:t>
      </w:r>
    </w:p>
    <w:p w14:paraId="27D84D6D" w14:textId="77777777" w:rsidR="00F0578E" w:rsidRDefault="00A5513E" w:rsidP="00216205">
      <w:r w:rsidRPr="000D370D">
        <w:t xml:space="preserve">Le </w:t>
      </w:r>
      <w:r w:rsidRPr="000D370D">
        <w:rPr>
          <w:b/>
          <w:bCs/>
        </w:rPr>
        <w:t xml:space="preserve">système européen d'échange de quotas d'émissions </w:t>
      </w:r>
      <w:r w:rsidRPr="000D370D">
        <w:rPr>
          <w:bCs/>
        </w:rPr>
        <w:t>(EU ETS)</w:t>
      </w:r>
      <w:r w:rsidRPr="000D370D">
        <w:rPr>
          <w:b/>
          <w:bCs/>
        </w:rPr>
        <w:t xml:space="preserve"> </w:t>
      </w:r>
      <w:r w:rsidRPr="000D370D">
        <w:t>joue un rôle structurant en plafonnant les émissions des installations industrielles</w:t>
      </w:r>
      <w:r>
        <w:t xml:space="preserve"> de l’Union européenne</w:t>
      </w:r>
      <w:r w:rsidRPr="000D370D">
        <w:t>. Celui-ci a été sensiblement renforcé pour la phase 2021-2030 avec la révision de la directive «</w:t>
      </w:r>
      <w:r>
        <w:rPr>
          <w:rFonts w:ascii="Calibri" w:hAnsi="Calibri" w:cs="Calibri"/>
        </w:rPr>
        <w:t xml:space="preserve"> </w:t>
      </w:r>
      <w:r w:rsidRPr="00063DDC">
        <w:t xml:space="preserve">EU </w:t>
      </w:r>
      <w:r w:rsidRPr="000D370D">
        <w:t>ETS</w:t>
      </w:r>
      <w:r w:rsidRPr="000D370D">
        <w:rPr>
          <w:rFonts w:ascii="Calibri" w:hAnsi="Calibri" w:cs="Calibri"/>
        </w:rPr>
        <w:t> </w:t>
      </w:r>
      <w:r w:rsidRPr="000D370D">
        <w:rPr>
          <w:rFonts w:cs="Marianne"/>
        </w:rPr>
        <w:t>»</w:t>
      </w:r>
      <w:r w:rsidRPr="000D370D">
        <w:t xml:space="preserve"> entr</w:t>
      </w:r>
      <w:r w:rsidRPr="000D370D">
        <w:rPr>
          <w:rFonts w:cs="Marianne"/>
        </w:rPr>
        <w:t>é</w:t>
      </w:r>
      <w:r w:rsidRPr="000D370D">
        <w:t xml:space="preserve">e en vigueur en avril 2018. Cela a conduit </w:t>
      </w:r>
      <w:r w:rsidRPr="000D370D">
        <w:rPr>
          <w:rFonts w:cs="Marianne"/>
        </w:rPr>
        <w:t>à</w:t>
      </w:r>
      <w:r w:rsidRPr="000D370D">
        <w:t xml:space="preserve"> une forte augmentation du prix du carbone, qui est passé de 6 €/t</w:t>
      </w:r>
      <w:r w:rsidR="007F09F7">
        <w:t>CO</w:t>
      </w:r>
      <w:r w:rsidR="007F09F7" w:rsidRPr="007F09F7">
        <w:rPr>
          <w:vertAlign w:val="subscript"/>
        </w:rPr>
        <w:t>2</w:t>
      </w:r>
      <w:r w:rsidRPr="000D370D">
        <w:t xml:space="preserve"> en moyenne sur l’année 2017 à 25€/t</w:t>
      </w:r>
      <w:r w:rsidR="007F09F7">
        <w:t>CO</w:t>
      </w:r>
      <w:r w:rsidR="007F09F7" w:rsidRPr="007F09F7">
        <w:rPr>
          <w:vertAlign w:val="subscript"/>
        </w:rPr>
        <w:t>2</w:t>
      </w:r>
      <w:r w:rsidRPr="000D370D">
        <w:t xml:space="preserve"> en 2019</w:t>
      </w:r>
      <w:r>
        <w:t xml:space="preserve"> et 2020, puis 54€/t</w:t>
      </w:r>
      <w:r w:rsidR="007F09F7">
        <w:t>CO</w:t>
      </w:r>
      <w:r w:rsidR="007F09F7" w:rsidRPr="007F09F7">
        <w:rPr>
          <w:vertAlign w:val="subscript"/>
        </w:rPr>
        <w:t>2</w:t>
      </w:r>
      <w:r>
        <w:t xml:space="preserve"> en 2021</w:t>
      </w:r>
      <w:r w:rsidRPr="000D370D">
        <w:t>.</w:t>
      </w:r>
      <w:r>
        <w:t xml:space="preserve"> Sur la période de janvier à novembre 2022, le prix moyen du carbone s’élève à 81€/t</w:t>
      </w:r>
      <w:r w:rsidR="007F09F7">
        <w:t>CO</w:t>
      </w:r>
      <w:r w:rsidR="007F09F7" w:rsidRPr="007F09F7">
        <w:rPr>
          <w:vertAlign w:val="subscript"/>
        </w:rPr>
        <w:t>2</w:t>
      </w:r>
      <w:r>
        <w:t>.</w:t>
      </w:r>
    </w:p>
    <w:p w14:paraId="7DE5FBDA" w14:textId="3CA4218B" w:rsidR="00A5513E" w:rsidRDefault="00A5513E" w:rsidP="00F0578E"/>
    <w:p w14:paraId="7AFBE5C9" w14:textId="0E2AB6CA" w:rsidR="00A5513E" w:rsidRPr="000D370D" w:rsidRDefault="00A5513E" w:rsidP="00F0578E">
      <w:r>
        <w:t>Le système européen d’échange de quotas d’émission est en cours de révision dans le cadre des négociations européennes du paquet «</w:t>
      </w:r>
      <w:r>
        <w:rPr>
          <w:rFonts w:ascii="Calibri" w:hAnsi="Calibri" w:cs="Calibri"/>
        </w:rPr>
        <w:t> </w:t>
      </w:r>
      <w:r>
        <w:t>Ajustement à l’objectif 55</w:t>
      </w:r>
      <w:r>
        <w:rPr>
          <w:rFonts w:ascii="Calibri" w:hAnsi="Calibri" w:cs="Calibri"/>
        </w:rPr>
        <w:t> </w:t>
      </w:r>
      <w:r>
        <w:rPr>
          <w:rFonts w:cs="Marianne"/>
        </w:rPr>
        <w:t>»</w:t>
      </w:r>
      <w:r>
        <w:t xml:space="preserve"> (cf. </w:t>
      </w:r>
      <w:r w:rsidR="000351CE">
        <w:fldChar w:fldCharType="begin"/>
      </w:r>
      <w:r w:rsidR="000351CE">
        <w:instrText xml:space="preserve"> REF _Ref121425070 \r \h </w:instrText>
      </w:r>
      <w:r w:rsidR="00F0578E">
        <w:instrText xml:space="preserve"> \* MERGEFORMAT </w:instrText>
      </w:r>
      <w:r w:rsidR="000351CE">
        <w:fldChar w:fldCharType="separate"/>
      </w:r>
      <w:r w:rsidR="00AB51D9">
        <w:t>A.4</w:t>
      </w:r>
      <w:r w:rsidR="000351CE">
        <w:fldChar w:fldCharType="end"/>
      </w:r>
      <w:r w:rsidR="000351CE">
        <w:t xml:space="preserve"> </w:t>
      </w:r>
      <w:hyperlink w:anchor="ChapitreIV" w:history="1">
        <w:r w:rsidR="00545C36" w:rsidRPr="00545C36">
          <w:rPr>
            <w:rStyle w:val="Hyperlink"/>
            <w:u w:val="none"/>
          </w:rPr>
          <w:t>Chapitre IV</w:t>
        </w:r>
      </w:hyperlink>
      <w:r>
        <w:t xml:space="preserve">). Cette révision vise à aligner l’EU ETS avec le nouvel objectif européen d’une réduction des émissions de l’UE de -55% net en 2030 par rapport à 1990, et devrait ainsi aboutir à un renforcement sensible de l’ambition de l’EU ETS pour 2030, notamment une baisse du plafond d’émission. </w:t>
      </w:r>
    </w:p>
    <w:p w14:paraId="2CAB3925" w14:textId="56C33D5F" w:rsidR="00A5513E" w:rsidRDefault="00A5513E" w:rsidP="00F0578E">
      <w:r>
        <w:t>Par ailleurs, au niveau national, des moyens importants sont déployés pour la décarbonation de l’industrie. Ainsi, le</w:t>
      </w:r>
      <w:r w:rsidRPr="00A40E3C">
        <w:t xml:space="preserve"> </w:t>
      </w:r>
      <w:r w:rsidRPr="00A40E3C">
        <w:rPr>
          <w:b/>
        </w:rPr>
        <w:t>fonds décarbonation de l’industrie</w:t>
      </w:r>
      <w:r w:rsidRPr="00A40E3C">
        <w:t xml:space="preserve"> mis en œuvre dans le cadre du Plan de Relance sur la période 2020-2022 </w:t>
      </w:r>
      <w:r>
        <w:t>a été doté d’</w:t>
      </w:r>
      <w:r w:rsidRPr="00A40E3C">
        <w:t>une enveloppe d’1,2 milliard d’euros. Ce fonds permet de soutenir la production de chaleur à partir de biomasse,</w:t>
      </w:r>
      <w:r>
        <w:t xml:space="preserve"> le déploiement de projets d’</w:t>
      </w:r>
      <w:r w:rsidRPr="00A40E3C">
        <w:t xml:space="preserve">efficacité énergétique et </w:t>
      </w:r>
      <w:r>
        <w:t>de</w:t>
      </w:r>
      <w:r w:rsidRPr="00A40E3C">
        <w:t xml:space="preserve"> décarbonation des procédés</w:t>
      </w:r>
      <w:r>
        <w:t xml:space="preserve"> industriels</w:t>
      </w:r>
      <w:r w:rsidRPr="00A40E3C">
        <w:t>, à travers différents appels à projets opérés par l’A</w:t>
      </w:r>
      <w:r>
        <w:t>DEME (Agence de la Transition Ecologique). Près de 230 projets ont été soutenus permettant une réduction des émissions estimée à 4,5</w:t>
      </w:r>
      <w:r w:rsidR="005E3468">
        <w:t> </w:t>
      </w:r>
      <w:r>
        <w:t>Mt</w:t>
      </w:r>
      <w:r w:rsidR="007F09F7">
        <w:t>CO</w:t>
      </w:r>
      <w:r w:rsidR="007F09F7" w:rsidRPr="007F09F7">
        <w:rPr>
          <w:vertAlign w:val="subscript"/>
        </w:rPr>
        <w:t>2</w:t>
      </w:r>
      <w:r w:rsidR="005E3468" w:rsidRPr="005E3468">
        <w:rPr>
          <w:vertAlign w:val="subscript"/>
        </w:rPr>
        <w:t>e</w:t>
      </w:r>
      <w:r w:rsidR="00F0578E">
        <w:t>/an.</w:t>
      </w:r>
    </w:p>
    <w:p w14:paraId="1B16560E" w14:textId="77777777" w:rsidR="00F0578E" w:rsidRDefault="00F0578E" w:rsidP="00F0578E"/>
    <w:p w14:paraId="3FBC1449" w14:textId="77777777" w:rsidR="00A5513E" w:rsidRPr="005953CB" w:rsidRDefault="00A5513E" w:rsidP="00F0578E">
      <w:pPr>
        <w:rPr>
          <w:rFonts w:cs="Arial"/>
        </w:rPr>
      </w:pPr>
      <w:r>
        <w:rPr>
          <w:rFonts w:cs="Arial"/>
        </w:rPr>
        <w:t>Pour la période 2022-2026, l</w:t>
      </w:r>
      <w:r w:rsidRPr="005953CB">
        <w:rPr>
          <w:rFonts w:cs="Arial"/>
        </w:rPr>
        <w:t xml:space="preserve">e </w:t>
      </w:r>
      <w:r w:rsidRPr="005953CB">
        <w:rPr>
          <w:rFonts w:cs="Arial"/>
          <w:b/>
        </w:rPr>
        <w:t>plan d’investissement «</w:t>
      </w:r>
      <w:r w:rsidRPr="005953CB">
        <w:rPr>
          <w:rFonts w:ascii="Calibri" w:hAnsi="Calibri" w:cs="Calibri"/>
          <w:b/>
        </w:rPr>
        <w:t> </w:t>
      </w:r>
      <w:r w:rsidRPr="005953CB">
        <w:rPr>
          <w:rFonts w:cs="Arial"/>
          <w:b/>
        </w:rPr>
        <w:t>France 2030</w:t>
      </w:r>
      <w:r w:rsidRPr="005953CB">
        <w:rPr>
          <w:rFonts w:ascii="Calibri" w:hAnsi="Calibri" w:cs="Calibri"/>
          <w:b/>
        </w:rPr>
        <w:t> </w:t>
      </w:r>
      <w:r w:rsidRPr="005953CB">
        <w:rPr>
          <w:rFonts w:cs="Marianne"/>
          <w:b/>
        </w:rPr>
        <w:t>»</w:t>
      </w:r>
      <w:r w:rsidRPr="005953CB">
        <w:rPr>
          <w:rFonts w:cs="Arial"/>
        </w:rPr>
        <w:t xml:space="preserve"> consacre </w:t>
      </w:r>
      <w:r w:rsidRPr="004520D8">
        <w:rPr>
          <w:rFonts w:cs="Arial"/>
        </w:rPr>
        <w:t>5,6 milliards d’euros à la décarbonation de l’industrie</w:t>
      </w:r>
      <w:r w:rsidRPr="005953CB">
        <w:rPr>
          <w:rFonts w:cs="Arial"/>
        </w:rPr>
        <w:t xml:space="preserve"> suivant deux grands axes</w:t>
      </w:r>
      <w:r w:rsidRPr="005953CB">
        <w:rPr>
          <w:rFonts w:ascii="Calibri" w:hAnsi="Calibri" w:cs="Calibri"/>
        </w:rPr>
        <w:t> </w:t>
      </w:r>
      <w:r w:rsidRPr="005953CB">
        <w:rPr>
          <w:rFonts w:cs="Arial"/>
        </w:rPr>
        <w:t>:</w:t>
      </w:r>
    </w:p>
    <w:p w14:paraId="2D63182D" w14:textId="77777777" w:rsidR="00A5513E" w:rsidRPr="004520D8" w:rsidRDefault="00A5513E" w:rsidP="00BE086C">
      <w:pPr>
        <w:pStyle w:val="ListParagraph"/>
        <w:numPr>
          <w:ilvl w:val="0"/>
          <w:numId w:val="45"/>
        </w:numPr>
        <w:spacing w:after="120" w:line="256" w:lineRule="auto"/>
        <w:rPr>
          <w:rFonts w:cs="Arial"/>
        </w:rPr>
      </w:pPr>
      <w:r w:rsidRPr="004520D8">
        <w:rPr>
          <w:rFonts w:cs="Arial"/>
        </w:rPr>
        <w:t>5 milliards d’euros sont consacrés au déploiement de solutions de décarbonation des sites industriels, via 2 volets à mettre en œuvre d’ici fin 2022</w:t>
      </w:r>
      <w:r w:rsidRPr="004520D8">
        <w:rPr>
          <w:rFonts w:ascii="Calibri" w:hAnsi="Calibri" w:cs="Calibri"/>
        </w:rPr>
        <w:t> </w:t>
      </w:r>
      <w:r w:rsidRPr="004520D8">
        <w:rPr>
          <w:rFonts w:cs="Arial"/>
        </w:rPr>
        <w:t>:</w:t>
      </w:r>
    </w:p>
    <w:p w14:paraId="4DA34027" w14:textId="77777777" w:rsidR="00A5513E" w:rsidRPr="004520D8" w:rsidRDefault="00A5513E" w:rsidP="00BE086C">
      <w:pPr>
        <w:pStyle w:val="ListParagraph"/>
        <w:numPr>
          <w:ilvl w:val="1"/>
          <w:numId w:val="45"/>
        </w:numPr>
        <w:spacing w:after="120" w:line="256" w:lineRule="auto"/>
        <w:rPr>
          <w:rFonts w:cs="Arial"/>
        </w:rPr>
      </w:pPr>
      <w:r w:rsidRPr="004520D8">
        <w:rPr>
          <w:rFonts w:cs="Arial"/>
        </w:rPr>
        <w:t>4 milliards d’euros pour le soutien à la décarbonation profonde de sites industriels très émetteurs (par exemple, la sidérurgie, la chimie lourde, le ciment, l’aluminium),</w:t>
      </w:r>
    </w:p>
    <w:p w14:paraId="0AE0EECA" w14:textId="77777777" w:rsidR="00A5513E" w:rsidRPr="004520D8" w:rsidRDefault="00A5513E" w:rsidP="00BE086C">
      <w:pPr>
        <w:pStyle w:val="ListParagraph"/>
        <w:numPr>
          <w:ilvl w:val="1"/>
          <w:numId w:val="45"/>
        </w:numPr>
        <w:spacing w:after="120" w:line="256" w:lineRule="auto"/>
        <w:rPr>
          <w:rFonts w:cs="Arial"/>
        </w:rPr>
      </w:pPr>
      <w:r w:rsidRPr="004520D8">
        <w:rPr>
          <w:rFonts w:cs="Arial"/>
        </w:rPr>
        <w:t>1 milliards d’euros pour le déploiement de solutions plus matures dans le tissu industriel français, notamment la chaleur bas carbone et l’efficacité énergétique.</w:t>
      </w:r>
    </w:p>
    <w:p w14:paraId="06C84126" w14:textId="46EFA039" w:rsidR="00A5513E" w:rsidRPr="00D72130" w:rsidRDefault="00A5513E" w:rsidP="00BE086C">
      <w:pPr>
        <w:pStyle w:val="ListParagraph"/>
        <w:numPr>
          <w:ilvl w:val="0"/>
          <w:numId w:val="45"/>
        </w:numPr>
        <w:rPr>
          <w:rFonts w:cs="Arial"/>
        </w:rPr>
      </w:pPr>
      <w:r w:rsidRPr="00C90D25">
        <w:rPr>
          <w:rFonts w:cs="Arial"/>
        </w:rPr>
        <w:t xml:space="preserve">610 millions d’euros sont dédiés à l’émergence et l’industrialisation de solutions de décarbonation de l’industrie (soutien à l’innovation). </w:t>
      </w:r>
    </w:p>
    <w:p w14:paraId="55FFE8EC" w14:textId="77777777" w:rsidR="00F0578E" w:rsidRDefault="00F0578E" w:rsidP="00F0578E"/>
    <w:p w14:paraId="4B780D12" w14:textId="5385FB20" w:rsidR="00A5513E" w:rsidRDefault="00A5513E" w:rsidP="00F0578E">
      <w:r>
        <w:t xml:space="preserve">Outre les soutiens publics, un important travail d’élaboration de </w:t>
      </w:r>
      <w:r w:rsidRPr="00F45820">
        <w:rPr>
          <w:b/>
        </w:rPr>
        <w:t>feuilles de route de décarbonation des secteurs industriels</w:t>
      </w:r>
      <w:r>
        <w:t xml:space="preserve"> a également été lancé par le Gouvernement avec les acteurs industriels depuis 2019, pour engager l’industrie dans la transition. Certaines filières ont ainsi publié des feuilles de route (Chimie, Mines métallurgie, Papier Carton, Ciment), qui constituent des engagements croisés Etat / filière</w:t>
      </w:r>
      <w:r w:rsidR="00260E0B">
        <w:t>s</w:t>
      </w:r>
      <w:r>
        <w:t xml:space="preserve"> d’ici à 2030. </w:t>
      </w:r>
    </w:p>
    <w:p w14:paraId="579A4334" w14:textId="22EAACA9" w:rsidR="00A5513E" w:rsidRDefault="00A5513E" w:rsidP="00F0578E">
      <w:r>
        <w:t xml:space="preserve">Par ailleurs, l’ADEME est en train de construire depuis 2020 des Plans de Transition Sectoriels avec les 9 secteurs industriels les plus émetteurs (acier, aluminium, verre, ciment, éthylène, chlore, ammoniac, papier/carton, sucre), une initiative méthodologique proposant de modéliser différents scénarios de trajectoire de décarbonation à échéance 2050, </w:t>
      </w:r>
      <w:r w:rsidRPr="000477A7">
        <w:t>quantifie</w:t>
      </w:r>
      <w:r>
        <w:t>r</w:t>
      </w:r>
      <w:r w:rsidRPr="000477A7">
        <w:t xml:space="preserve"> les impacts sur les coûts de production, évalue</w:t>
      </w:r>
      <w:r>
        <w:t>r</w:t>
      </w:r>
      <w:r w:rsidRPr="000477A7">
        <w:t xml:space="preserve"> les besoins d’investissements climat et analyse</w:t>
      </w:r>
      <w:r>
        <w:t>r</w:t>
      </w:r>
      <w:r w:rsidRPr="000477A7">
        <w:t xml:space="preserve"> les mutations en emplois. </w:t>
      </w:r>
      <w:r w:rsidRPr="00685F00">
        <w:t>Ces plans sont élaborés dans le cadre du projet européen LIFE Finance Climat et seront finalisés d’ici 2024.</w:t>
      </w:r>
    </w:p>
    <w:p w14:paraId="1FEEA497" w14:textId="77777777" w:rsidR="00F0578E" w:rsidRDefault="00F0578E" w:rsidP="00F0578E"/>
    <w:p w14:paraId="54110FA9" w14:textId="7FDCFD37" w:rsidR="00A5513E" w:rsidRDefault="00A5513E" w:rsidP="00F0578E">
      <w:r w:rsidRPr="000D370D">
        <w:t>Des réductions d’émissions de gaz à effet de serre dans l’industrie sont aussi générées par certaines mesures transversales (rapportées dans la section ‘réduction des consommations d’énergie dans l’ensemble des secteurs’)</w:t>
      </w:r>
      <w:r w:rsidRPr="000D370D">
        <w:rPr>
          <w:rFonts w:ascii="Calibri" w:hAnsi="Calibri" w:cs="Calibri"/>
        </w:rPr>
        <w:t> </w:t>
      </w:r>
      <w:r w:rsidRPr="000D370D">
        <w:t xml:space="preserve">: dispositif des </w:t>
      </w:r>
      <w:r w:rsidRPr="000D370D">
        <w:rPr>
          <w:b/>
        </w:rPr>
        <w:t>certificats d’économies d’énergie</w:t>
      </w:r>
      <w:r w:rsidRPr="000D370D">
        <w:t xml:space="preserve">, </w:t>
      </w:r>
      <w:r w:rsidRPr="000D370D">
        <w:rPr>
          <w:b/>
        </w:rPr>
        <w:t>fonds chaleur de l’Ademe</w:t>
      </w:r>
      <w:r w:rsidRPr="000D370D">
        <w:t xml:space="preserve"> et </w:t>
      </w:r>
      <w:r w:rsidRPr="000D370D">
        <w:rPr>
          <w:b/>
        </w:rPr>
        <w:t>obligation de réalisation d’audits énergétiques</w:t>
      </w:r>
      <w:r w:rsidRPr="000D370D">
        <w:t xml:space="preserve"> pour les grandes entreprises. L’industrie peut également bénéficier des financements du </w:t>
      </w:r>
      <w:r w:rsidRPr="000D370D">
        <w:rPr>
          <w:b/>
        </w:rPr>
        <w:t>Programme des Investissements d’Avenir (PIA)</w:t>
      </w:r>
      <w:r w:rsidRPr="000D370D">
        <w:t xml:space="preserve"> pour des projets d’innovation dans le domaine de la transition écologique et énergétique.</w:t>
      </w:r>
    </w:p>
    <w:p w14:paraId="5BEB33C5" w14:textId="77777777" w:rsidR="00F0578E" w:rsidRDefault="00F0578E" w:rsidP="00F0578E"/>
    <w:p w14:paraId="6DB2489D" w14:textId="7CF8A395" w:rsidR="00A5513E" w:rsidRPr="00A40E3C" w:rsidRDefault="00A5513E" w:rsidP="00F0578E">
      <w:r w:rsidRPr="000D370D">
        <w:t>Certains dispositifs complémentaires spécifiques pour les entreprises industrielles ont par ailleurs été mis en place</w:t>
      </w:r>
      <w:r w:rsidRPr="000D370D">
        <w:rPr>
          <w:rFonts w:ascii="Calibri" w:hAnsi="Calibri" w:cs="Calibri"/>
        </w:rPr>
        <w:t> </w:t>
      </w:r>
      <w:r w:rsidRPr="000D370D">
        <w:t xml:space="preserve">: </w:t>
      </w:r>
    </w:p>
    <w:p w14:paraId="6B989430" w14:textId="77777777" w:rsidR="00A5513E" w:rsidRPr="000D370D" w:rsidRDefault="00A5513E" w:rsidP="003F57EA">
      <w:pPr>
        <w:pStyle w:val="ListParagraph"/>
        <w:numPr>
          <w:ilvl w:val="0"/>
          <w:numId w:val="88"/>
        </w:numPr>
      </w:pPr>
      <w:r w:rsidRPr="000D370D">
        <w:t xml:space="preserve">Le </w:t>
      </w:r>
      <w:r w:rsidRPr="00F0578E">
        <w:rPr>
          <w:b/>
        </w:rPr>
        <w:t>Prêt Eco Énergie</w:t>
      </w:r>
      <w:r w:rsidRPr="000D370D">
        <w:t xml:space="preserve">, allant de 10 000€ à </w:t>
      </w:r>
      <w:r>
        <w:t>5</w:t>
      </w:r>
      <w:r w:rsidRPr="000D370D">
        <w:t>00 000€, permet de financer l’acquisition ou les travaux d’installation réalisés par les TPE et petites PME qui investissent dans des équipements générateurs de certificats d’économies d’énergie ;</w:t>
      </w:r>
    </w:p>
    <w:p w14:paraId="5779D7AB" w14:textId="77777777" w:rsidR="00A5513E" w:rsidRPr="000D370D" w:rsidRDefault="00A5513E" w:rsidP="003F57EA">
      <w:pPr>
        <w:pStyle w:val="ListParagraph"/>
        <w:numPr>
          <w:ilvl w:val="0"/>
          <w:numId w:val="88"/>
        </w:numPr>
      </w:pPr>
      <w:r w:rsidRPr="000D370D">
        <w:t xml:space="preserve">Le dispositif des </w:t>
      </w:r>
      <w:r w:rsidRPr="00F0578E">
        <w:rPr>
          <w:b/>
          <w:bCs/>
        </w:rPr>
        <w:t xml:space="preserve">« Aides à la décision » </w:t>
      </w:r>
      <w:r w:rsidRPr="000D370D">
        <w:t xml:space="preserve">de l’Ademe subventionne la réalisation d’études sur l’efficacité énergétique dans l’industrie, dont des diagnostics énergétiques, tant qu’ils ne sont pas rendus obligatoires par la réglementation, ainsi que la mise en place de systèmes de management de l’énergie ; </w:t>
      </w:r>
    </w:p>
    <w:p w14:paraId="78539A0D" w14:textId="77777777" w:rsidR="00A5513E" w:rsidRPr="000D370D" w:rsidRDefault="00A5513E" w:rsidP="003F57EA">
      <w:pPr>
        <w:pStyle w:val="ListParagraph"/>
        <w:numPr>
          <w:ilvl w:val="0"/>
          <w:numId w:val="88"/>
        </w:numPr>
      </w:pPr>
      <w:r w:rsidRPr="000D370D">
        <w:t xml:space="preserve">Le </w:t>
      </w:r>
      <w:r w:rsidRPr="00F0578E">
        <w:rPr>
          <w:b/>
          <w:bCs/>
        </w:rPr>
        <w:t>programme de formation PROREFEI</w:t>
      </w:r>
      <w:r w:rsidRPr="00F0578E">
        <w:rPr>
          <w:bCs/>
        </w:rPr>
        <w:t>, lancé en 2018 et financé par le dispositif des certificats d’économies d’énergie, v</w:t>
      </w:r>
      <w:r w:rsidRPr="000D370D">
        <w:t>ise à former les personnes en charge de la gestion de l’énergie dans les entreprises pour en faire de véritables référents énergie qui seront à même de concevoir, mettre en place et coordonner des actions permettant d’améliorer la performance énergétique de leurs sites. Il vise également à créer un réseau de référents énergie qui auront accès notamment aux retours d’expérience de l’ensemble de la communauté et à une veille technique et réglementaire</w:t>
      </w:r>
      <w:r w:rsidRPr="00F0578E">
        <w:rPr>
          <w:rFonts w:ascii="Calibri" w:hAnsi="Calibri" w:cs="Calibri"/>
        </w:rPr>
        <w:t> </w:t>
      </w:r>
      <w:r w:rsidRPr="000D370D">
        <w:t>;</w:t>
      </w:r>
    </w:p>
    <w:p w14:paraId="3A49EA3F" w14:textId="77777777" w:rsidR="00A5513E" w:rsidRPr="000D370D" w:rsidRDefault="00A5513E" w:rsidP="003F57EA">
      <w:pPr>
        <w:pStyle w:val="ListParagraph"/>
        <w:numPr>
          <w:ilvl w:val="0"/>
          <w:numId w:val="88"/>
        </w:numPr>
      </w:pPr>
      <w:r w:rsidRPr="000D370D">
        <w:t xml:space="preserve">Le </w:t>
      </w:r>
      <w:r w:rsidRPr="00F0578E">
        <w:rPr>
          <w:b/>
        </w:rPr>
        <w:t>programme INVEEST</w:t>
      </w:r>
      <w:r w:rsidRPr="000D370D">
        <w:t>, également financé par le dispositif des certificats d’économies d’énergie, s’adresse aux acteurs financiers (banquiers, commissaires aux comptes, experts comptables, etc.). Grâce à un programme de formation et d’accompagnement combinant expertises énergétique, financière et industrielle, ce programme vise à accélérer le financement de projets d’efficacité énergétique dans l’industrie</w:t>
      </w:r>
      <w:r w:rsidRPr="00F0578E">
        <w:rPr>
          <w:rFonts w:ascii="Calibri" w:hAnsi="Calibri" w:cs="Calibri"/>
        </w:rPr>
        <w:t> </w:t>
      </w:r>
      <w:r w:rsidRPr="000D370D">
        <w:t>;</w:t>
      </w:r>
    </w:p>
    <w:p w14:paraId="40AC40BD" w14:textId="7BA530B2" w:rsidR="00A5513E" w:rsidRDefault="00A5513E" w:rsidP="003F57EA">
      <w:pPr>
        <w:pStyle w:val="ListParagraph"/>
        <w:numPr>
          <w:ilvl w:val="0"/>
          <w:numId w:val="88"/>
        </w:numPr>
      </w:pPr>
      <w:r w:rsidRPr="000D370D">
        <w:t xml:space="preserve">Depuis le </w:t>
      </w:r>
      <w:r w:rsidR="006518EF" w:rsidRPr="009F4180">
        <w:t>1</w:t>
      </w:r>
      <w:r w:rsidR="006518EF" w:rsidRPr="00F0578E">
        <w:rPr>
          <w:vertAlign w:val="superscript"/>
        </w:rPr>
        <w:t>er</w:t>
      </w:r>
      <w:r w:rsidRPr="000D370D">
        <w:t xml:space="preserve"> janvier 2015, en application de l’article 14 de la directive 2012/27/UE relative à l’efficacité énergétique, les installations industrielles générant de la </w:t>
      </w:r>
      <w:r w:rsidRPr="00F0578E">
        <w:rPr>
          <w:b/>
        </w:rPr>
        <w:t>chaleur fatale</w:t>
      </w:r>
      <w:r w:rsidRPr="000D370D">
        <w:t xml:space="preserve"> non valorisée doivent réaliser une </w:t>
      </w:r>
      <w:r w:rsidRPr="00F0578E">
        <w:rPr>
          <w:b/>
          <w:bCs/>
        </w:rPr>
        <w:t xml:space="preserve">analyse coûts-avantages </w:t>
      </w:r>
      <w:r w:rsidRPr="000D370D">
        <w:t>lorsqu'il s'agit d'installations nouvelles et en cas de rénovation substantielle. Cette analyse permet d'évaluer pour un industriel la rentabilité de la valorisation de la chaleur fatale par un raccordement à un réseau de chaleur ou de froid et s'accompagne de la mise en œuvre des solutions jugées rentables</w:t>
      </w:r>
      <w:r>
        <w:t>. Les principaux secteurs industriels concernés par la mesure sont la chimie, la production de verre, ciment, chaux, plâtre, papier-carton, la transformation des métaux et l'agroalimentaire ;</w:t>
      </w:r>
    </w:p>
    <w:p w14:paraId="2B3C61F0" w14:textId="77777777" w:rsidR="00A5513E" w:rsidRDefault="00A5513E" w:rsidP="003F57EA">
      <w:pPr>
        <w:pStyle w:val="ListParagraph"/>
        <w:numPr>
          <w:ilvl w:val="0"/>
          <w:numId w:val="88"/>
        </w:numPr>
      </w:pPr>
      <w:r>
        <w:t xml:space="preserve">Depuis 2016, les entreprises fortement consommatrices d'électricité peuvent bénéficier d'une </w:t>
      </w:r>
      <w:r w:rsidRPr="00F0578E">
        <w:rPr>
          <w:b/>
        </w:rPr>
        <w:t>réduction sur le tarif d'utilisation des réseaux publics d'électricité (TURPE)</w:t>
      </w:r>
      <w:r>
        <w:t>. En contrepartie, elles doivent mettre en œuvre une politique de performance énergétique (mettre en œuvre un système de management de l'énergie selon la norme ISO 50001, atteindre dans un délai de 5 ans un objectif de performance suivi au moyen d'indicateurs faisant l'objet d'une certification et élaborer un plan de performance énergétique pour atteindre cet objectif) ;</w:t>
      </w:r>
    </w:p>
    <w:p w14:paraId="4685EE68" w14:textId="77777777" w:rsidR="00A5513E" w:rsidRPr="000D370D" w:rsidRDefault="00A5513E" w:rsidP="00EF6DB6">
      <w:pPr>
        <w:pStyle w:val="Titre4niveau4"/>
      </w:pPr>
      <w:r w:rsidRPr="000D370D">
        <w:t xml:space="preserve">Mesures visant à réduire les émissions de gaz fluorés de l’industrie </w:t>
      </w:r>
    </w:p>
    <w:p w14:paraId="1B17EACB" w14:textId="749006DF" w:rsidR="00A5513E" w:rsidRDefault="00A5513E" w:rsidP="00216205">
      <w:r w:rsidRPr="000D370D">
        <w:t xml:space="preserve">Depuis 2013, les émissions de perfluorocarbures (PFC) de la production d'aluminium sont soumises au </w:t>
      </w:r>
      <w:r w:rsidRPr="000D370D">
        <w:rPr>
          <w:b/>
        </w:rPr>
        <w:t>système européen d'échange de quotas d'émissions</w:t>
      </w:r>
      <w:r w:rsidR="00216205">
        <w:t>.</w:t>
      </w:r>
    </w:p>
    <w:p w14:paraId="546480C9" w14:textId="77777777" w:rsidR="00216205" w:rsidRPr="000D370D" w:rsidRDefault="00216205" w:rsidP="00216205"/>
    <w:p w14:paraId="7F972D82" w14:textId="55424E21" w:rsidR="00A5513E" w:rsidRDefault="00A5513E" w:rsidP="00216205">
      <w:r w:rsidRPr="000D370D">
        <w:t xml:space="preserve">Le </w:t>
      </w:r>
      <w:r w:rsidRPr="000D370D">
        <w:rPr>
          <w:b/>
        </w:rPr>
        <w:t xml:space="preserve">règlement européen n° 517/2014 </w:t>
      </w:r>
      <w:r w:rsidRPr="000D370D">
        <w:t xml:space="preserve">(dit « F-Gas II ») met en place un certain nombre de dispositions visant à réduire les émissions de gaz fluorés issues des équipements de climatisation et de froid, notamment le froid industriel (cf. description détaillée du règlement dans la section B.8). </w:t>
      </w:r>
      <w:r w:rsidRPr="00F96A1F">
        <w:t>La révision de ce règlement «</w:t>
      </w:r>
      <w:r w:rsidRPr="00F96A1F">
        <w:rPr>
          <w:rFonts w:ascii="Calibri" w:hAnsi="Calibri" w:cs="Calibri"/>
        </w:rPr>
        <w:t> </w:t>
      </w:r>
      <w:r w:rsidRPr="00F96A1F">
        <w:t>F-Gas</w:t>
      </w:r>
      <w:r w:rsidRPr="00F96A1F">
        <w:rPr>
          <w:rFonts w:ascii="Calibri" w:hAnsi="Calibri" w:cs="Calibri"/>
        </w:rPr>
        <w:t> </w:t>
      </w:r>
      <w:r w:rsidRPr="00F96A1F">
        <w:rPr>
          <w:rFonts w:cs="Marianne"/>
        </w:rPr>
        <w:t>»</w:t>
      </w:r>
      <w:r w:rsidRPr="00F96A1F">
        <w:t xml:space="preserve"> est engagée afin de réduire encore plus fortement la production et la mise sur le marché de gaz à effet de serre fluorés sur le territoire de l’Union européenne. La proposition actuellement discutée entre les Etats-membres prévoit notamment une diminution de 95% de la mise sur le marché de HFC d’ici 2030 par rapport à 2015 (contre 80% selon le règlement F-Gaz actuellement en vigueur).</w:t>
      </w:r>
    </w:p>
    <w:p w14:paraId="6BBC2F03" w14:textId="77777777" w:rsidR="00216205" w:rsidRPr="000D370D" w:rsidRDefault="00216205" w:rsidP="00216205"/>
    <w:p w14:paraId="65B9C42B" w14:textId="63F6B27A" w:rsidR="00A5513E" w:rsidRDefault="00A5513E" w:rsidP="00216205">
      <w:pPr>
        <w:rPr>
          <w:rFonts w:cstheme="minorHAnsi"/>
        </w:rPr>
      </w:pPr>
      <w:r w:rsidRPr="000D370D">
        <w:t xml:space="preserve">Au niveau national, </w:t>
      </w:r>
      <w:r w:rsidRPr="00907D91">
        <w:t xml:space="preserve">la loi de finances pour 2019 </w:t>
      </w:r>
      <w:r>
        <w:t>avait prévu</w:t>
      </w:r>
      <w:r w:rsidRPr="00907D91">
        <w:t xml:space="preserve"> la mise en place à parti</w:t>
      </w:r>
      <w:r w:rsidRPr="00DF67D7">
        <w:t xml:space="preserve">r du </w:t>
      </w:r>
      <w:r w:rsidR="006518EF" w:rsidRPr="009F4180">
        <w:t>1</w:t>
      </w:r>
      <w:r w:rsidR="006518EF" w:rsidRPr="007F47EF">
        <w:rPr>
          <w:vertAlign w:val="superscript"/>
        </w:rPr>
        <w:t>er</w:t>
      </w:r>
      <w:r w:rsidRPr="00DF67D7">
        <w:t xml:space="preserve"> janvier 2021 d’une </w:t>
      </w:r>
      <w:r w:rsidRPr="00DF67D7">
        <w:rPr>
          <w:b/>
        </w:rPr>
        <w:t>taxe sur les HFC</w:t>
      </w:r>
      <w:r w:rsidRPr="00DF67D7">
        <w:t xml:space="preserve"> dont le tarif devait évoluer de la manière suivante : 15€ par tonne équivalent </w:t>
      </w:r>
      <w:r w:rsidR="007F09F7">
        <w:t>CO</w:t>
      </w:r>
      <w:r w:rsidR="007F09F7" w:rsidRPr="007F09F7">
        <w:rPr>
          <w:vertAlign w:val="subscript"/>
        </w:rPr>
        <w:t>2</w:t>
      </w:r>
      <w:r w:rsidRPr="00DF67D7">
        <w:t xml:space="preserve"> en 2021, 18€ en 2022, 22€ en 2023, 26€ en 2024 et 30€ à compter de 2025. </w:t>
      </w:r>
      <w:r w:rsidRPr="007F7BB2">
        <w:t xml:space="preserve">L’entrée en vigueur de la taxe HFC a été repoussée au </w:t>
      </w:r>
      <w:r w:rsidR="006518EF" w:rsidRPr="009F4180">
        <w:t>1</w:t>
      </w:r>
      <w:r w:rsidR="006518EF" w:rsidRPr="007F47EF">
        <w:rPr>
          <w:vertAlign w:val="superscript"/>
        </w:rPr>
        <w:t>er</w:t>
      </w:r>
      <w:r w:rsidRPr="00FC3318">
        <w:t xml:space="preserve"> janvier 202</w:t>
      </w:r>
      <w:r>
        <w:t>5</w:t>
      </w:r>
      <w:r w:rsidRPr="00FC3318">
        <w:t xml:space="preserve"> </w:t>
      </w:r>
      <w:r w:rsidRPr="007F7BB2">
        <w:t>par la loi de finances 202</w:t>
      </w:r>
      <w:r>
        <w:t>2</w:t>
      </w:r>
      <w:r w:rsidRPr="007F7BB2">
        <w:t xml:space="preserve"> compte tenu de l’atteinte des objectifs de réduction </w:t>
      </w:r>
      <w:r w:rsidRPr="007F7BB2">
        <w:rPr>
          <w:rFonts w:cstheme="minorHAnsi"/>
        </w:rPr>
        <w:t xml:space="preserve">de l’utilisation de HFC qui avaient été fixés aux professionnels </w:t>
      </w:r>
      <w:r>
        <w:rPr>
          <w:rFonts w:cstheme="minorHAnsi"/>
        </w:rPr>
        <w:t xml:space="preserve">du froid et de la réfrigération </w:t>
      </w:r>
      <w:r w:rsidRPr="00F266E3">
        <w:rPr>
          <w:rFonts w:cstheme="minorHAnsi"/>
        </w:rPr>
        <w:t>en 2019</w:t>
      </w:r>
      <w:r w:rsidR="00216205">
        <w:rPr>
          <w:rFonts w:cstheme="minorHAnsi"/>
        </w:rPr>
        <w:t>.</w:t>
      </w:r>
    </w:p>
    <w:p w14:paraId="0A29CDF6" w14:textId="77777777" w:rsidR="00216205" w:rsidRDefault="00216205" w:rsidP="00216205"/>
    <w:p w14:paraId="22A78DD9" w14:textId="7B36306C" w:rsidR="00A5513E" w:rsidRDefault="00A5513E" w:rsidP="00216205">
      <w:r>
        <w:t>La loi de finances pour 2019</w:t>
      </w:r>
      <w:r w:rsidRPr="00DF67D7">
        <w:t xml:space="preserve"> a </w:t>
      </w:r>
      <w:r>
        <w:t xml:space="preserve">également </w:t>
      </w:r>
      <w:r w:rsidRPr="00DF67D7">
        <w:t>créé un dispositif de suramortissement destiné à accompagner, jusqu'à la fin 2022, l’effort d’investissement des entreprises dans les équipements de production de froid utilisant des réfrigérants à faible pouvoir de réchauffement planétaire. Les entreprises soumises à l'impôt sur les sociétés ou à l'impôt sur le revenu selon un régime réel d'imposition peuvent ainsi, dans le cadre de ce dispositif, déduire de leur résultat imposable une somme égale à 40</w:t>
      </w:r>
      <w:r w:rsidR="006518EF">
        <w:t>%</w:t>
      </w:r>
      <w:r w:rsidRPr="00DF67D7">
        <w:t xml:space="preserve"> de la valeur d'origine des biens d'équipement de réfrigération et de traitement de l'air fonctionnant sans HFC acquis à l'état neuf entre le </w:t>
      </w:r>
      <w:r w:rsidR="006518EF" w:rsidRPr="009F4180">
        <w:t>1</w:t>
      </w:r>
      <w:r w:rsidR="006518EF" w:rsidRPr="007F47EF">
        <w:rPr>
          <w:vertAlign w:val="superscript"/>
        </w:rPr>
        <w:t>er</w:t>
      </w:r>
      <w:r w:rsidRPr="00DF67D7">
        <w:t xml:space="preserve"> janvier 2019 et le 31 décembre 2022.</w:t>
      </w:r>
    </w:p>
    <w:p w14:paraId="10F98AB6" w14:textId="62E5339C" w:rsidR="00A5513E" w:rsidRPr="000D370D" w:rsidRDefault="00A5513E" w:rsidP="00EF6DB6">
      <w:pPr>
        <w:pStyle w:val="Titre4niveau4"/>
      </w:pPr>
      <w:r w:rsidRPr="000D370D">
        <w:t xml:space="preserve">Mesures visant à réduire les émissions de </w:t>
      </w:r>
      <w:r w:rsidR="007F09F7" w:rsidRPr="00141043">
        <w:t>N</w:t>
      </w:r>
      <w:r w:rsidR="007F09F7" w:rsidRPr="00E22CF8">
        <w:rPr>
          <w:vertAlign w:val="subscript"/>
        </w:rPr>
        <w:t>2</w:t>
      </w:r>
      <w:r w:rsidR="007F09F7" w:rsidRPr="00141043">
        <w:t>O</w:t>
      </w:r>
      <w:r w:rsidRPr="000D370D">
        <w:t xml:space="preserve"> de l’industrie </w:t>
      </w:r>
    </w:p>
    <w:p w14:paraId="504B2987" w14:textId="7EBB0110" w:rsidR="00A5513E" w:rsidRDefault="00A5513E" w:rsidP="00216205">
      <w:r w:rsidRPr="000D370D">
        <w:t xml:space="preserve">Depuis 2013, les émissions de </w:t>
      </w:r>
      <w:r w:rsidR="007F09F7" w:rsidRPr="00141043">
        <w:t>N</w:t>
      </w:r>
      <w:r w:rsidR="007F09F7" w:rsidRPr="004F1EC8">
        <w:rPr>
          <w:vertAlign w:val="subscript"/>
        </w:rPr>
        <w:t>2</w:t>
      </w:r>
      <w:r w:rsidR="007F09F7" w:rsidRPr="00141043">
        <w:t xml:space="preserve">O </w:t>
      </w:r>
      <w:r w:rsidRPr="000D370D">
        <w:t>du secteur de la chimie sont soumises au système européen d'échange de quotas d'émissions</w:t>
      </w:r>
      <w:r>
        <w:t>.</w:t>
      </w:r>
    </w:p>
    <w:p w14:paraId="6E850FD5" w14:textId="2822CA4A" w:rsidR="00A5513E" w:rsidRDefault="00A5513E" w:rsidP="003F57EA">
      <w:pPr>
        <w:pStyle w:val="Titre3Niveau3"/>
      </w:pPr>
      <w:bookmarkStart w:id="464" w:name="_Toc120889888"/>
      <w:bookmarkStart w:id="465" w:name="_Toc138342007"/>
      <w:r>
        <w:t>Industrie de l’énergie</w:t>
      </w:r>
      <w:bookmarkEnd w:id="464"/>
      <w:bookmarkEnd w:id="465"/>
    </w:p>
    <w:p w14:paraId="01BD5EE3" w14:textId="4E583262" w:rsidR="00A5513E" w:rsidRDefault="00A5513E" w:rsidP="00216205">
      <w:r w:rsidRPr="00907D91">
        <w:t>Dans cette section, on distingue la production d’énergie et la consommation d’énergie. Dans la sous-section sur la conso</w:t>
      </w:r>
      <w:r>
        <w:t>mmation d’énergie (</w:t>
      </w:r>
      <w:r w:rsidR="00C5626E">
        <w:fldChar w:fldCharType="begin"/>
      </w:r>
      <w:r w:rsidR="00C5626E">
        <w:instrText xml:space="preserve"> REF _Ref122700578 \r \h </w:instrText>
      </w:r>
      <w:r w:rsidR="00216205">
        <w:instrText xml:space="preserve"> \* MERGEFORMAT </w:instrText>
      </w:r>
      <w:r w:rsidR="00C5626E">
        <w:fldChar w:fldCharType="separate"/>
      </w:r>
      <w:r w:rsidR="00AB51D9">
        <w:t>B.4.2</w:t>
      </w:r>
      <w:r w:rsidR="00C5626E">
        <w:fldChar w:fldCharType="end"/>
      </w:r>
      <w:r w:rsidRPr="00907D91">
        <w:t>), le choix a été fait de rapporter les politiq</w:t>
      </w:r>
      <w:r>
        <w:t>ues et mesures impactant la con</w:t>
      </w:r>
      <w:r w:rsidRPr="00907D91">
        <w:t>sommation d’énergie de manière transversale (</w:t>
      </w:r>
      <w:r w:rsidRPr="00051DC4">
        <w:rPr>
          <w:i/>
        </w:rPr>
        <w:t>i.e.</w:t>
      </w:r>
      <w:r w:rsidRPr="00907D91">
        <w:t xml:space="preserve"> dans plusieurs secteurs). Les politiques et mesures impactant la consommation d’énergie d’un seul secteur ont été rapportées dans les sect</w:t>
      </w:r>
      <w:r>
        <w:t>ions dédiées aux différents sec</w:t>
      </w:r>
      <w:r w:rsidRPr="00907D91">
        <w:t xml:space="preserve">teurs. </w:t>
      </w:r>
    </w:p>
    <w:p w14:paraId="58EDCB5B" w14:textId="77777777" w:rsidR="00A5513E" w:rsidRPr="006D5177" w:rsidRDefault="00A5513E" w:rsidP="00EF6DB6">
      <w:pPr>
        <w:pStyle w:val="Titre4niveau4"/>
      </w:pPr>
      <w:r w:rsidRPr="006D5177">
        <w:t>La production d’énergie</w:t>
      </w:r>
    </w:p>
    <w:p w14:paraId="359F584C" w14:textId="0155A669" w:rsidR="00A5513E" w:rsidRDefault="00A5513E" w:rsidP="00216205">
      <w:r w:rsidRPr="00EC36FE">
        <w:t>Ce secteur représente 10</w:t>
      </w:r>
      <w:r w:rsidR="006518EF">
        <w:t>%</w:t>
      </w:r>
      <w:r w:rsidRPr="00EC36FE">
        <w:t xml:space="preserve"> des émissions nationales en 2020 (hors UTCATF). Les principaux postes d’émissions sont la production d’électricité qui représente 43</w:t>
      </w:r>
      <w:r w:rsidR="006518EF">
        <w:t>%</w:t>
      </w:r>
      <w:r w:rsidRPr="00EC36FE">
        <w:t xml:space="preserve"> des émissions du secteur, le raffinage du pétrole (18%), la transformation d’énergie (17</w:t>
      </w:r>
      <w:r w:rsidR="006518EF">
        <w:t>%</w:t>
      </w:r>
      <w:r w:rsidRPr="00EC36FE">
        <w:t>) et le chauffage urbain (13</w:t>
      </w:r>
      <w:r w:rsidR="006518EF">
        <w:t>%</w:t>
      </w:r>
      <w:r w:rsidRPr="00EC36FE">
        <w:t>), suivis de la transformation de combustibles minéraux solides dans la sidérurgie (5</w:t>
      </w:r>
      <w:r w:rsidR="006518EF">
        <w:t>%</w:t>
      </w:r>
      <w:r w:rsidRPr="00EC36FE">
        <w:t>) et l’extraction et la distribution de combustibles gazeux (3%)</w:t>
      </w:r>
      <w:r w:rsidRPr="00EC36FE">
        <w:rPr>
          <w:rStyle w:val="FootnoteReference"/>
        </w:rPr>
        <w:footnoteReference w:id="25"/>
      </w:r>
      <w:r w:rsidRPr="00EC36FE">
        <w:t>.</w:t>
      </w:r>
    </w:p>
    <w:p w14:paraId="4DDDBCDF" w14:textId="77777777" w:rsidR="00216205" w:rsidRPr="00EC36FE" w:rsidRDefault="00216205" w:rsidP="00216205"/>
    <w:p w14:paraId="4603A7E5" w14:textId="549154FB" w:rsidR="00EC36FE" w:rsidRDefault="00A5513E" w:rsidP="00E22CF8">
      <w:pPr>
        <w:pStyle w:val="titreencadre"/>
      </w:pPr>
      <w:r w:rsidRPr="00EC36FE">
        <w:t xml:space="preserve">Mesures visant à réduire les émissions de </w:t>
      </w:r>
      <w:r w:rsidR="007F09F7">
        <w:t>CO</w:t>
      </w:r>
      <w:r w:rsidR="007F09F7" w:rsidRPr="007F09F7">
        <w:rPr>
          <w:vertAlign w:val="subscript"/>
        </w:rPr>
        <w:t>2</w:t>
      </w:r>
      <w:r w:rsidRPr="00EC36FE">
        <w:t xml:space="preserve"> de la production d’énergie </w:t>
      </w:r>
    </w:p>
    <w:p w14:paraId="735E9F51" w14:textId="02FB9F27" w:rsidR="00A5513E" w:rsidRDefault="00A5513E" w:rsidP="00B22542">
      <w:r w:rsidRPr="00EC36FE">
        <w:t xml:space="preserve">La réduction des émissions de </w:t>
      </w:r>
      <w:r w:rsidR="007F09F7">
        <w:t>CO</w:t>
      </w:r>
      <w:r w:rsidR="007F09F7" w:rsidRPr="007F09F7">
        <w:rPr>
          <w:vertAlign w:val="subscript"/>
        </w:rPr>
        <w:t>2</w:t>
      </w:r>
      <w:r w:rsidRPr="00EC36FE">
        <w:t xml:space="preserve"> du secteur de la production d’énergie passe notamment par le plafonnement des émissions des installations de production d'électricité, de chaleur et des raffineries par </w:t>
      </w:r>
      <w:r w:rsidRPr="000620EE">
        <w:rPr>
          <w:b/>
        </w:rPr>
        <w:t>le système européen d’échange de quotas d’émissions</w:t>
      </w:r>
      <w:r w:rsidRPr="00EC36FE">
        <w:t>, par la réduction de la demande en énergie et la décarbonation du secteur. À ce titre, le projet de SNBC révisée vise la décarbonation complète du secteur d’ici 2050, notamment via le développement des énergies renouvelables.</w:t>
      </w:r>
    </w:p>
    <w:p w14:paraId="0A154C2D" w14:textId="77777777" w:rsidR="00B22542" w:rsidRPr="00EC36FE" w:rsidRDefault="00B22542" w:rsidP="00B22542"/>
    <w:p w14:paraId="1012D061" w14:textId="7B8D8BC5" w:rsidR="00A5513E" w:rsidRDefault="00A5513E" w:rsidP="00B22542">
      <w:r w:rsidRPr="00907D91">
        <w:t>Par ailleurs, la loi hydrocarbures adoptée fin 2017 interdit tout nouveau permis d’exploration ou d’exploitation d’énergies fossiles et assoit l’objectif de fin des exploitations de production existantes en 2040.</w:t>
      </w:r>
    </w:p>
    <w:p w14:paraId="00380AEB" w14:textId="77777777" w:rsidR="00B22542" w:rsidRPr="00907D91" w:rsidRDefault="00B22542" w:rsidP="00B22542">
      <w:pPr>
        <w:rPr>
          <w:b/>
        </w:rPr>
      </w:pPr>
    </w:p>
    <w:p w14:paraId="3CD0C6B8" w14:textId="0954CEBD" w:rsidR="00A5513E" w:rsidRDefault="00A5513E" w:rsidP="00B22542">
      <w:r>
        <w:t>A</w:t>
      </w:r>
      <w:r w:rsidRPr="00907D91">
        <w:t>fin de soutenir la réalisation concrète des projets de développement d’</w:t>
      </w:r>
      <w:r>
        <w:t>énergie renouvelables (</w:t>
      </w:r>
      <w:r w:rsidRPr="00907D91">
        <w:t>EnR</w:t>
      </w:r>
      <w:r>
        <w:t>)</w:t>
      </w:r>
      <w:r w:rsidRPr="00907D91">
        <w:t xml:space="preserve">, l’État a lancé fin 2017 le </w:t>
      </w:r>
      <w:r w:rsidRPr="00907D91">
        <w:rPr>
          <w:bCs/>
        </w:rPr>
        <w:t xml:space="preserve">plan de libération des EnR, </w:t>
      </w:r>
      <w:r w:rsidRPr="00907D91">
        <w:t xml:space="preserve">qui vise l’adoption de </w:t>
      </w:r>
      <w:r w:rsidRPr="00907D91">
        <w:rPr>
          <w:bCs/>
        </w:rPr>
        <w:t>mesures de simplification</w:t>
      </w:r>
      <w:r w:rsidRPr="00907D91">
        <w:t xml:space="preserve"> administrative engagées afin de raccourcir les délais de développement et de réduire les coûts. Ce plan a d’ores et déjà abouti à des simplifications administratives pour les filières de l’éolien terrestre, du solaire photovoltaïque et de la méthanisation et une augmentation du volume de l’appel d’of</w:t>
      </w:r>
      <w:r w:rsidR="00B22542">
        <w:t>fres solaire (1,5 à 2,5 GW/an).</w:t>
      </w:r>
    </w:p>
    <w:p w14:paraId="158BEA86" w14:textId="77777777" w:rsidR="00B22542" w:rsidRPr="00907D91" w:rsidRDefault="00B22542" w:rsidP="00B22542"/>
    <w:p w14:paraId="30646480" w14:textId="76FD3EBC" w:rsidR="00A5513E" w:rsidRPr="00907D91" w:rsidRDefault="00A5513E" w:rsidP="00B22542">
      <w:r w:rsidRPr="00907D91">
        <w:t xml:space="preserve">Un </w:t>
      </w:r>
      <w:r w:rsidRPr="00907D91">
        <w:rPr>
          <w:b/>
        </w:rPr>
        <w:t>dispositif de réfaction tarifaire pour le raccordement des installations de production d’énergies renouvelables</w:t>
      </w:r>
      <w:r w:rsidRPr="00907D91">
        <w:t xml:space="preserve"> aux réseaux d’électricité et de gaz a été introduit en 2017. Il permet la prise en charge jusqu’à 40</w:t>
      </w:r>
      <w:r w:rsidR="006518EF">
        <w:t>%</w:t>
      </w:r>
      <w:r w:rsidRPr="00907D91">
        <w:t xml:space="preserve"> de ces coûts par les gestionnaires de réseau. Ceci permet d’alléger significativement les coûts de raccordement pour les exploitations agricoles souvent éloignées des réseaux et ainsi de faciliter le déploiement des énergies renouvelables.</w:t>
      </w:r>
    </w:p>
    <w:p w14:paraId="118DD2C1" w14:textId="77777777" w:rsidR="00B22542" w:rsidRDefault="00B22542" w:rsidP="00B22542"/>
    <w:p w14:paraId="16704C4F" w14:textId="50BA2E44" w:rsidR="00A5513E" w:rsidRDefault="00A5513E" w:rsidP="00B22542">
      <w:r w:rsidRPr="00907D91">
        <w:t xml:space="preserve">La </w:t>
      </w:r>
      <w:r w:rsidRPr="00907D91">
        <w:rPr>
          <w:b/>
        </w:rPr>
        <w:t>stratégie nationale de mobilisation de la biomasse</w:t>
      </w:r>
      <w:r w:rsidRPr="00907D91">
        <w:t xml:space="preserve"> créée en 2018 définit des orientations, recommandations et actions concernant les filières de production et de valorisation de la biomasse susceptible d'avoir un usage énergétique, en vue de développer la production de biomasse, et d'augmenter sa mobilisation tout en veillant à une bonne articulation de ses usages et à l'atténuation du changement climatique. Les schémas régionaux de mobilisation de la biomasse adaptent la stratégie nationale de mobilisation de la biomasse aux spécificités régionales.</w:t>
      </w:r>
    </w:p>
    <w:p w14:paraId="3B35EFA1" w14:textId="77777777" w:rsidR="00B22542" w:rsidRPr="00907D91" w:rsidRDefault="00B22542" w:rsidP="00B22542"/>
    <w:p w14:paraId="6D2C22F3" w14:textId="77777777" w:rsidR="00A5513E" w:rsidRPr="00907D91" w:rsidRDefault="00A5513E" w:rsidP="00B22542">
      <w:r w:rsidRPr="00907D91">
        <w:t xml:space="preserve">Le </w:t>
      </w:r>
      <w:r w:rsidRPr="00907D91">
        <w:rPr>
          <w:b/>
        </w:rPr>
        <w:t>droit à l’injection pour les installations de biométhane</w:t>
      </w:r>
      <w:r w:rsidRPr="00907D91">
        <w:t>, créé en 2019, qui permet aux gestionnaires des réseaux de gaz naturels d’effectuer les renforcements nécessaires pour permettre l'injection dans le réseau de gaz du biométhane produit (dans des conditions et limites permettant de s'assurer de la pertinence technico-économique des investissements). L'objectif est de faciliter la réalisation de projets de méthanisation aujourd'hui limités par la capacité de l'antenne de réseau de gaz locale.</w:t>
      </w:r>
    </w:p>
    <w:p w14:paraId="03E13B2F" w14:textId="77777777" w:rsidR="00B22542" w:rsidRDefault="00B22542" w:rsidP="00B22542"/>
    <w:p w14:paraId="5145C394" w14:textId="342B802E" w:rsidR="00A5513E" w:rsidRPr="00907D91" w:rsidRDefault="00A5513E" w:rsidP="00B22542">
      <w:r w:rsidRPr="00907D91">
        <w:t>La programmation pluriannuelle de l'énergie 2019-2028 (PPE 2) prévoit également les mesures suivantes, favorisant le déploiement des énergies renouvelables et la décarbonation du secteur</w:t>
      </w:r>
      <w:r w:rsidRPr="00907D91">
        <w:rPr>
          <w:rFonts w:ascii="Calibri" w:hAnsi="Calibri" w:cs="Calibri"/>
        </w:rPr>
        <w:t> </w:t>
      </w:r>
      <w:r w:rsidRPr="00907D91">
        <w:t>:</w:t>
      </w:r>
    </w:p>
    <w:p w14:paraId="7C6CF5FB" w14:textId="77777777" w:rsidR="00A5513E" w:rsidRPr="00907D91" w:rsidRDefault="00A5513E" w:rsidP="00BE086C">
      <w:pPr>
        <w:numPr>
          <w:ilvl w:val="0"/>
          <w:numId w:val="15"/>
        </w:numPr>
        <w:spacing w:before="240" w:after="240"/>
      </w:pPr>
      <w:r w:rsidRPr="00907D91">
        <w:t>En faveur de l'</w:t>
      </w:r>
      <w:r w:rsidRPr="00907D91">
        <w:rPr>
          <w:b/>
        </w:rPr>
        <w:t>éolien terrestre</w:t>
      </w:r>
      <w:r w:rsidRPr="00907D91">
        <w:t xml:space="preserve"> : rendre obligatoire d’ici 2023 le recyclage des matériaux constitutifs des éoliennes lors de leur démantèlement, favoriser la réutilisation des sites éoliens en fin de vie pour y réimplanter des machines plus performantes, lancer des appels d’offres à hauteur de 2 GW/an selon un calendrier défini dans la PPE.</w:t>
      </w:r>
    </w:p>
    <w:p w14:paraId="7B2589A1" w14:textId="77777777" w:rsidR="00A5513E" w:rsidRPr="00907D91" w:rsidRDefault="00A5513E" w:rsidP="00BE086C">
      <w:pPr>
        <w:numPr>
          <w:ilvl w:val="0"/>
          <w:numId w:val="15"/>
        </w:numPr>
        <w:spacing w:before="240" w:after="240"/>
      </w:pPr>
      <w:r w:rsidRPr="00907D91">
        <w:t>En faveur du</w:t>
      </w:r>
      <w:r w:rsidRPr="00907D91">
        <w:rPr>
          <w:b/>
        </w:rPr>
        <w:t xml:space="preserve"> photovoltaïque</w:t>
      </w:r>
      <w:r w:rsidRPr="00907D91">
        <w:t xml:space="preserve"> : privilégier le développement du photovoltaïque au sol, moins coûteux, de préférence sur les terrains urbanisés ou dégradés et les parkings, en veillant à ce que les projets respectent la biodiversité et les terres agricoles, soutenir l’innovation dans la filière du photovoltaïque par appel d’offres afin d’encourager de nouvelles solutions solaires au sol (agrivoltaïsme, centrales flottantes…) et sur les bâtiments. Le projet de PPE 2 définit un calendrier d’appel d’offres correspondant à 2 GW par an pour les centrales au sol et 0,9 GW par an pour les installations sur grandes toitures, et elle maintient un objectif de 3050 MW installés par an pour les installations sur petites et moyennes toitures (inférieures à 100 kWc) via un système de guichet ouvert en orientant les projets vers l’autoconsommation.</w:t>
      </w:r>
    </w:p>
    <w:p w14:paraId="6A1DD19C" w14:textId="7DD1D06E" w:rsidR="00A5513E" w:rsidRPr="00907D91" w:rsidRDefault="00A5513E" w:rsidP="00BE086C">
      <w:pPr>
        <w:numPr>
          <w:ilvl w:val="0"/>
          <w:numId w:val="15"/>
        </w:numPr>
        <w:spacing w:before="240" w:after="240"/>
      </w:pPr>
      <w:r>
        <w:t>E</w:t>
      </w:r>
      <w:r w:rsidRPr="00907D91">
        <w:t>n faveur du développement du</w:t>
      </w:r>
      <w:r w:rsidRPr="00907D91">
        <w:rPr>
          <w:b/>
        </w:rPr>
        <w:t xml:space="preserve"> gaz renouvelable</w:t>
      </w:r>
      <w:r w:rsidRPr="00907D91">
        <w:t xml:space="preserve"> : donner de la visibilité en adoptant un calendrier d’appel d’offres pour le biométhane injecté : deux appels d’offres, pour un objectif de production annuelle de 350 GWh PCS/an chacun, seront lancés chaque année ; consolider l’obligation d’achat de biogaz à un tarif réglementé et lancer des appels d’offres permettant d’atteindre les objectifs de production à un coût maîtrisé grâce à de fortes baisses des coûts ; mettre en place un dispositif de soutien adapté pour le biométhane non injecté dans les réseaux de gaz naturel (en particulier le biométhane utilisé directement pour des véhicules au bio</w:t>
      </w:r>
      <w:r w:rsidR="00664ED0">
        <w:t>méthane-véhicule</w:t>
      </w:r>
      <w:r w:rsidRPr="00907D91">
        <w:t>).</w:t>
      </w:r>
    </w:p>
    <w:p w14:paraId="14FF2BB6" w14:textId="6C5CB066" w:rsidR="00A5513E" w:rsidRPr="00907D91" w:rsidRDefault="00A5513E" w:rsidP="00BE086C">
      <w:pPr>
        <w:numPr>
          <w:ilvl w:val="0"/>
          <w:numId w:val="15"/>
        </w:numPr>
        <w:spacing w:before="240" w:after="240"/>
      </w:pPr>
      <w:r>
        <w:t>E</w:t>
      </w:r>
      <w:r w:rsidRPr="00907D91">
        <w:t>n faveur du développement de l'</w:t>
      </w:r>
      <w:r w:rsidRPr="00907D91">
        <w:rPr>
          <w:b/>
        </w:rPr>
        <w:t>hydrogène</w:t>
      </w:r>
      <w:r w:rsidRPr="00907D91">
        <w:t xml:space="preserve"> : mettre en place un soutien au développement de l’hydrogène à hauteur de 100 millions d’euros et lancer des appels à projet sur la mobilité et la production d’hydrogène à l’aide d’électrolyseurs ; mettre en place d’ici 2020 d’un système de traçabilité de l’hydrogène décarboné ; prolonger la mesure de suramortissement à l’achat de véhicules hydrogène a minima dans les mêmes conditions que pour le GNV (poids lourds&gt;3,5t) ;</w:t>
      </w:r>
      <w:r w:rsidR="00260E0B">
        <w:t xml:space="preserve"> </w:t>
      </w:r>
      <w:r w:rsidRPr="00907D91">
        <w:t>mobiliser les institutions financières (financements privés et publics dont CDC, BPI) et standardiser les modèles de cofinancement pour les projets de déploiements d’écosystèmes dans les territoires ; mener avec tous les acteurs concernés une réflexion sur la simplification et l’harmonisation des procédures d’autorisation et d’homologation des bateaux et des solutions d’avitaillement hydrogène associées.</w:t>
      </w:r>
    </w:p>
    <w:p w14:paraId="1C3C9706" w14:textId="77777777" w:rsidR="00A5513E" w:rsidRDefault="00A5513E" w:rsidP="00BE086C">
      <w:pPr>
        <w:numPr>
          <w:ilvl w:val="0"/>
          <w:numId w:val="16"/>
        </w:numPr>
        <w:spacing w:before="240" w:after="240"/>
      </w:pPr>
      <w:r w:rsidRPr="00907D91">
        <w:t>En faveur du développement des</w:t>
      </w:r>
      <w:r w:rsidRPr="00907D91">
        <w:rPr>
          <w:b/>
        </w:rPr>
        <w:t xml:space="preserve"> biocarburants</w:t>
      </w:r>
      <w:r w:rsidRPr="00907D91">
        <w:rPr>
          <w:rFonts w:ascii="Calibri" w:hAnsi="Calibri" w:cs="Calibri"/>
        </w:rPr>
        <w:t> </w:t>
      </w:r>
      <w:r w:rsidRPr="00907D91">
        <w:t xml:space="preserve">: une incitation </w:t>
      </w:r>
      <w:r w:rsidRPr="00907D91">
        <w:rPr>
          <w:rFonts w:cs="Marianne"/>
        </w:rPr>
        <w:t>à</w:t>
      </w:r>
      <w:r w:rsidRPr="00907D91">
        <w:t xml:space="preserve"> l</w:t>
      </w:r>
      <w:r w:rsidRPr="00907D91">
        <w:rPr>
          <w:rFonts w:cs="Marianne"/>
        </w:rPr>
        <w:t>’</w:t>
      </w:r>
      <w:r w:rsidRPr="00907D91">
        <w:t>incorporation pour les op</w:t>
      </w:r>
      <w:r w:rsidRPr="00907D91">
        <w:rPr>
          <w:rFonts w:cs="Marianne"/>
        </w:rPr>
        <w:t>é</w:t>
      </w:r>
      <w:r w:rsidRPr="00907D91">
        <w:t xml:space="preserve">rateurs qui mettent </w:t>
      </w:r>
      <w:r w:rsidRPr="00907D91">
        <w:rPr>
          <w:rFonts w:cs="Marianne"/>
        </w:rPr>
        <w:t>à</w:t>
      </w:r>
      <w:r w:rsidRPr="00907D91">
        <w:t xml:space="preserve"> la consommation les carburants. Par ailleurs, au-del</w:t>
      </w:r>
      <w:r w:rsidRPr="00907D91">
        <w:rPr>
          <w:rFonts w:cs="Marianne"/>
        </w:rPr>
        <w:t>à</w:t>
      </w:r>
      <w:r w:rsidRPr="00907D91">
        <w:t xml:space="preserve"> du plafond existant pour les biocarburants conventionnels, il prévoit de limiter l’incorporation de biocarburants réalisés à partir de matières premières présentant un risque élevé d'induire des changements indirects dans l'affectation des sols (huile de palme en l’occurrence), comme le prévoit la nouvelle directive européenne relative aux énergies renouvelables RED II du 11 décembre 2018 et notamment son acte délégué du 13 mars 2019.</w:t>
      </w:r>
      <w:r w:rsidRPr="00907D91">
        <w:rPr>
          <w:vertAlign w:val="superscript"/>
        </w:rPr>
        <w:footnoteReference w:id="26"/>
      </w:r>
    </w:p>
    <w:p w14:paraId="5B7A739B" w14:textId="3AE82DDE" w:rsidR="00A5513E" w:rsidRDefault="00A5513E" w:rsidP="00BE086C">
      <w:pPr>
        <w:numPr>
          <w:ilvl w:val="0"/>
          <w:numId w:val="16"/>
        </w:numPr>
        <w:spacing w:before="240" w:after="240"/>
      </w:pPr>
      <w:r>
        <w:t>E</w:t>
      </w:r>
      <w:r w:rsidRPr="00907D91">
        <w:t>n faveur de la décarbonation du secteur</w:t>
      </w:r>
      <w:r w:rsidRPr="004B5C85">
        <w:rPr>
          <w:rFonts w:ascii="Calibri" w:hAnsi="Calibri" w:cs="Calibri"/>
        </w:rPr>
        <w:t> </w:t>
      </w:r>
      <w:r w:rsidRPr="00907D91">
        <w:t xml:space="preserve">: </w:t>
      </w:r>
      <w:r w:rsidRPr="004B5C85">
        <w:rPr>
          <w:b/>
        </w:rPr>
        <w:t>d’arrêter les dernières centrales électriques fonctionnant exclusivement au charbon d’ici 2022</w:t>
      </w:r>
      <w:r w:rsidRPr="00907D91">
        <w:t xml:space="preserve"> ou d’accompagner leur évolution vers des solutions moins carbonées, mais également de </w:t>
      </w:r>
      <w:r w:rsidRPr="004B5C85">
        <w:rPr>
          <w:b/>
        </w:rPr>
        <w:t>ne plus autoriser de nouveau projet de centrale de production exclusive d’électricité à partir d’énergies fossiles</w:t>
      </w:r>
      <w:r w:rsidRPr="00907D91">
        <w:t>. À ce titre, les contrats de transition écologique (CTE), signés entre l’État et les territoires, fixent un programme d’actions de transformation écologique volontaire des territoires. Ils ont en particulier pour but d’accompagner les situations de reconversion industrielles des territoires touchés par la fermeture des centrales à charbon. Après une première phase d’expérimentation en 2018, il a été décidé d’étendre la démarche CTE et de conduire une seconde phase d’expérimentation au premier semestre 2019. Un déploiement plus large est maintenant envisagé</w:t>
      </w:r>
      <w:r w:rsidR="00AA2B36">
        <w:t xml:space="preserve">. </w:t>
      </w:r>
      <w:r w:rsidR="00AA2B36" w:rsidRPr="00AA2B36">
        <w:t>Concernant l’arrêt des centrales charbon, un décret a dû être pris au 15 septembre 2022 pour rehausser leur plafond d’émissions pour permettre environ « 2500 kilotonne d'équivalents dioxyde de carbone par mégawatt de plus » sur la période entre le 1er octobre 2022 et le 31 mars 2023. Ce décret conduit au maintien en activité de deux centrales charbon : cette mesure d’urgence doit garantir l’approvisionnement en électricité durant l’hiver dans un contexte de tension sur le parc nucléaire et sur le gaz. Cette décision ne remet cependant pas en cause l’ambition qui est d’arrêter les centrales thermiques au charbon à terme.</w:t>
      </w:r>
    </w:p>
    <w:p w14:paraId="03B1E485" w14:textId="71A458B9" w:rsidR="00A5513E" w:rsidRDefault="00A5513E" w:rsidP="00B22542">
      <w:r>
        <w:t>La programmation pluriannuelle de l'énergie 2019-2028 (PPE 2) prévoit également d'engager, au cours de la première période de la PPE (2019-2023), les démarches permettant le développement des stations de pompage d’électricité pour un potentiel de 1,5 GW identifié en vue de la mise en service des installations entre 2030 et 2035. La PPE 2 fixe en outre un objectif d'effacement de 6,5 GW à l’horizon 2028 avec un objectif intermédiaire de 4,5GW en 2023.</w:t>
      </w:r>
    </w:p>
    <w:p w14:paraId="48ECB4EE" w14:textId="77777777" w:rsidR="00B22542" w:rsidRDefault="00B22542" w:rsidP="00B22542"/>
    <w:p w14:paraId="5A98624F" w14:textId="03B7607B" w:rsidR="00A5513E" w:rsidRDefault="00A5513E" w:rsidP="00B22542">
      <w:r>
        <w:t>La PPE permet notamment de se donner les moyens d’atteindre les objectifs de production d’énergies renouvelables fixés par la loi de transition énergétique pour la croissance verte de 2015 et la loi énergie-climat de 2019. La législation française prévoit en effet d’atteindre une part d’énergies renouvelables d’au moins 33</w:t>
      </w:r>
      <w:r w:rsidR="006518EF">
        <w:t>%</w:t>
      </w:r>
      <w:r>
        <w:t xml:space="preserve"> dans la consommation finale brute d’énergie en 2030. Cet objectif se décline par vecteur énergétique : 40</w:t>
      </w:r>
      <w:r w:rsidR="006518EF">
        <w:t>%</w:t>
      </w:r>
      <w:r>
        <w:t xml:space="preserve"> de la production d’électricité sera renouvelable en 2030, 38</w:t>
      </w:r>
      <w:r w:rsidR="006518EF">
        <w:t>%</w:t>
      </w:r>
      <w:r>
        <w:t xml:space="preserve"> de la consommation finale de chaleur, 15</w:t>
      </w:r>
      <w:r w:rsidR="006518EF">
        <w:t>%</w:t>
      </w:r>
      <w:r>
        <w:t xml:space="preserve"> de la consommation finale de carburant et 10</w:t>
      </w:r>
      <w:r w:rsidR="006518EF">
        <w:t>%</w:t>
      </w:r>
      <w:r>
        <w:t xml:space="preserve"> de la consommation finale de gaz. La production de chaleur et de froid d’origine renouvelable dans les réseaux de chaleur sera multipliée par 5 entre 2012 et 2030.</w:t>
      </w:r>
    </w:p>
    <w:p w14:paraId="2300600B" w14:textId="77777777" w:rsidR="00A5513E" w:rsidRDefault="00A5513E" w:rsidP="00B22542">
      <w:r>
        <w:t xml:space="preserve">Dans cette perspective, la PPE fixe des objectifs pour chaque filière renouvelable à l’horizon 2023 et 2028. Les mécanismes incitatifs mis en place sont spécifiques à chaque filière et doivent faire l'objet d'adaptations périodiques pour tenir compte des évolutions techniques et économiques. Ils sont guidés par le principe d’assurer à ces technologies la rentabilité minimale nécessaire à leur déploiement. </w:t>
      </w:r>
    </w:p>
    <w:p w14:paraId="60715CB0" w14:textId="21FDECA7" w:rsidR="00A5513E" w:rsidRDefault="00A5513E" w:rsidP="00B22542">
      <w:r>
        <w:t>Pour atteindre les objectifs concernant la production d'électricité renouvelable, le gouvernement dispose principalement de deux types de dispositifs de soutien : les guichets ouverts et les pro</w:t>
      </w:r>
      <w:r w:rsidR="00B22542">
        <w:t>cédures de mise en concurrence.</w:t>
      </w:r>
    </w:p>
    <w:p w14:paraId="256C8E46" w14:textId="77777777" w:rsidR="00B22542" w:rsidRDefault="00B22542" w:rsidP="00B22542"/>
    <w:p w14:paraId="77FDABD8" w14:textId="158EBA49" w:rsidR="00A5513E" w:rsidRDefault="00A5513E" w:rsidP="00B22542">
      <w:r>
        <w:t>Le dispositif des guichets ouverts ouvre un droit à bénéficier d’un soutien pour toute installation éligible. Ce dispositif est adapté aux filières matures pour lesquelles les coûts de production sont relativement connus et stables et pour lesquelles les sites potentiels de développement sont nombreux, avec des conflits d’usages limités. Ce dispositif ne permettant pas de développer des énergies renouvelables au meilleur coût, il est réservé aux installations de petite taille (jusqu’à 1 MW, et par exception jusqu’à 18 MW pour l’éolien), par souci de simplicité d’accès. On distingue deux mécanismes de soutien en guichet ouvert en fonction de la taille de l’installation : l’obligation d’achat et le complément de rémunération.</w:t>
      </w:r>
    </w:p>
    <w:p w14:paraId="1F8D2FC7" w14:textId="77777777" w:rsidR="00B22542" w:rsidRDefault="00B22542" w:rsidP="00B22542"/>
    <w:p w14:paraId="59B66A7D" w14:textId="09177C83" w:rsidR="00A5513E" w:rsidRDefault="00A5513E" w:rsidP="00B22542">
      <w:r>
        <w:t>L’obligation d’achat ne s’applique depuis 2016 que pour les plus petites installations (jusqu’à 500 kW). Tout kilowattheure injecté sur le réseau public est acheté par un acheteur obligé à un tarif d’achat, supérieur au niveau moyen du prix de marché, fixé à l’avance et permettant de couvrir les coûts de son installation tout en assurant une ren</w:t>
      </w:r>
      <w:r w:rsidR="00B22542">
        <w:t>tabilité normale de son projet.</w:t>
      </w:r>
    </w:p>
    <w:p w14:paraId="651066E8" w14:textId="77777777" w:rsidR="00B22542" w:rsidRDefault="00B22542" w:rsidP="00B22542"/>
    <w:p w14:paraId="46202257" w14:textId="63D4ECA2" w:rsidR="00A5513E" w:rsidRDefault="00A5513E" w:rsidP="00B22542">
      <w:r>
        <w:t>Le complément de rémunération, mis en place en 2016</w:t>
      </w:r>
      <w:r w:rsidR="00664ED0">
        <w:t>, en accord avec les lignes directrices énergie environnement</w:t>
      </w:r>
      <w:r>
        <w:t>, s’applique pour les installations de plus grande puissance (obligatoire lorsque la puissance installée est supérieure à 500 kW). Le complément de rémunération en guichet ouvert est une prime versée à un producteur d'énergie renouvelable en complément de la vente sur le marché de l’électricité qu’il a produite. Cette prime est proportionnelle à l’énergie produite et calculée comme la différence entre un tarif de référence et le prix de marché. Elle doit permettre de donner au producteur un niveau de rémunération permettant de couvrir les coûts de son installation tout en assurant une ren</w:t>
      </w:r>
      <w:r w:rsidR="00B22542">
        <w:t>tabilité normale de son projet.</w:t>
      </w:r>
    </w:p>
    <w:p w14:paraId="7A86FF9B" w14:textId="77777777" w:rsidR="00B22542" w:rsidRDefault="00B22542" w:rsidP="00B22542"/>
    <w:p w14:paraId="59D230C8" w14:textId="77777777" w:rsidR="00A5513E" w:rsidRDefault="00A5513E" w:rsidP="00B22542">
      <w:r>
        <w:t>Dans les procédures de mise en concurrence, le soutien est attribué aux seuls lauréats de ces procédures (ex. : appels d’offres). Ces dispositifs sont adaptés aux filières renouvelables présentant l’une des caractéristiques suivantes : besoin de pilotage du fait du risque de conflits d’usage ; rareté des zones propices (cas de l’éolien en mer) ; forte asymétrie d’information sur les coûts ; enjeu de démonstration technologique et de développement industriel. Les procédures de mise en concurrence permettent d’améliorer la compétitivité du développement des énergies renouvelables par la mise en concurrence des projets et constituent des outils adaptés pour piloter les trajectoires de développement des énergies renouvelables conformément aux objectifs fixés par la PPE. En effet, lorsque les objectifs en termes de puissance installée fixés par la PPE ne sont pas atteints, le ministre en charge de l’énergie a la possibilité de lancer des procédures de mise en concurrence pour développer de nouvelles capacités de production. Les lauréats pourront bénéficier soit d’un tarif d’achat soit d’un complément de rémunération, en fonction de la puissance installée des projets et du cahier des charges de la procédure.</w:t>
      </w:r>
    </w:p>
    <w:p w14:paraId="6FA645F0" w14:textId="77777777" w:rsidR="00A5513E" w:rsidRPr="004B5C85" w:rsidRDefault="00A5513E" w:rsidP="00A5513E">
      <w:pPr>
        <w:spacing w:before="240" w:after="240"/>
      </w:pPr>
      <w:r w:rsidRPr="004B5C85">
        <w:t>Le soutien aux énergies renouvelables dans le secteur gazier est assur</w:t>
      </w:r>
      <w:r>
        <w:t>é par les mécanismes suivants :</w:t>
      </w:r>
    </w:p>
    <w:p w14:paraId="58D60DDC" w14:textId="77777777" w:rsidR="00A5513E" w:rsidRPr="004B5C85" w:rsidRDefault="00A5513E" w:rsidP="00BE086C">
      <w:pPr>
        <w:numPr>
          <w:ilvl w:val="0"/>
          <w:numId w:val="17"/>
        </w:numPr>
        <w:spacing w:before="240" w:after="240"/>
      </w:pPr>
      <w:r>
        <w:t>L</w:t>
      </w:r>
      <w:r w:rsidRPr="004B5C85">
        <w:t xml:space="preserve">es guichets ouverts : tout producteur de biométhane souhaitant injecter sa production dans les réseaux de transport et de distribution de gaz naturel est éligible à une obligation d’achat en guichet ouvert, sous réserve de la préservation du bon fonctionnement des réseaux. Dans ce système, le biométhane injecté est acheté par un fournisseur de gaz naturel à un tarif d’achat fixé à l’avance et permettant de couvrir les coûts d’investissement et d’exploitation de l’installation de production de biométhane tout en assurant une rentabilité normale du projet. L’obligation d’achat est contractée pour une durée de 15 ans ; </w:t>
      </w:r>
    </w:p>
    <w:p w14:paraId="26DE8C90" w14:textId="77777777" w:rsidR="00A5513E" w:rsidRPr="004B5C85" w:rsidRDefault="00A5513E" w:rsidP="00BE086C">
      <w:pPr>
        <w:numPr>
          <w:ilvl w:val="0"/>
          <w:numId w:val="17"/>
        </w:numPr>
        <w:spacing w:before="240" w:after="240"/>
      </w:pPr>
      <w:r>
        <w:t>L</w:t>
      </w:r>
      <w:r w:rsidRPr="004B5C85">
        <w:t xml:space="preserve">es appels d’offres : lorsque les capacités de production de biogaz destiné à être injecté dans le réseau de gaz ne répondent pas aux objectifs chiffrés de la programmation pluriannuelle de l’énergie, le ministre chargé de l’Énergie peut recourir à une procédure d’appel d’offres. </w:t>
      </w:r>
    </w:p>
    <w:p w14:paraId="42C32968" w14:textId="77777777" w:rsidR="00A5513E" w:rsidRPr="004B5C85" w:rsidRDefault="00A5513E" w:rsidP="00B22542">
      <w:r w:rsidRPr="004B5C85">
        <w:t xml:space="preserve">Par ailleurs, les producteurs qui en font la demande peuvent bénéficier de </w:t>
      </w:r>
      <w:r w:rsidRPr="004B5C85">
        <w:rPr>
          <w:b/>
          <w:bCs/>
        </w:rPr>
        <w:t xml:space="preserve">garanties d'origine </w:t>
      </w:r>
      <w:r w:rsidRPr="004B5C85">
        <w:t xml:space="preserve">pour la production d'électricité renouvelable, issue de cogénération haut rendement, ou pour le biogaz injecté. Ces garanties d'origine peuvent être valorisées sur les marchés et constituer une source de revenu complémentaire pour les producteurs. </w:t>
      </w:r>
    </w:p>
    <w:p w14:paraId="10179078" w14:textId="77777777" w:rsidR="00B22542" w:rsidRDefault="00B22542" w:rsidP="00B22542"/>
    <w:p w14:paraId="5418645B" w14:textId="65E4A840" w:rsidR="00A5513E" w:rsidRPr="004B5C85" w:rsidRDefault="00A5513E" w:rsidP="00B22542">
      <w:r w:rsidRPr="004B5C85">
        <w:t xml:space="preserve">Depuis le </w:t>
      </w:r>
      <w:r w:rsidR="006518EF" w:rsidRPr="009F4180">
        <w:t>1</w:t>
      </w:r>
      <w:r w:rsidR="006518EF" w:rsidRPr="007F47EF">
        <w:rPr>
          <w:vertAlign w:val="superscript"/>
        </w:rPr>
        <w:t>er</w:t>
      </w:r>
      <w:r w:rsidRPr="004B5C85">
        <w:t xml:space="preserve"> janvier 2015, en application de l’article 14 de la directive 2012/27/UE relative à l’efficacité énergétique, les installations de production d'énergie dans des réseaux de chaleur ou de froid, d'une puissance thermique totale supérieure à 20 MW, doivent réaliser une </w:t>
      </w:r>
      <w:r w:rsidRPr="004B5C85">
        <w:rPr>
          <w:b/>
          <w:bCs/>
        </w:rPr>
        <w:t xml:space="preserve">analyse coûts-avantages </w:t>
      </w:r>
      <w:r w:rsidRPr="004B5C85">
        <w:t>lorsqu'il s'agit d'installations nouvelles et en cas de rénovation substantielle. Cette analyse permet d'identifier les fournisseurs potentiels de chaleur fatale situés à proximité du réseau et de mettre en œuvre la solution jugée rentable.</w:t>
      </w:r>
    </w:p>
    <w:p w14:paraId="15FF59A9" w14:textId="77777777" w:rsidR="00B22542" w:rsidRDefault="00B22542" w:rsidP="00B22542">
      <w:pPr>
        <w:rPr>
          <w:b/>
          <w:bCs/>
        </w:rPr>
      </w:pPr>
    </w:p>
    <w:p w14:paraId="5821D3E3" w14:textId="00E616A5" w:rsidR="0032106B" w:rsidRDefault="0032106B" w:rsidP="00B22542">
      <w:r w:rsidRPr="004B5C85">
        <w:rPr>
          <w:b/>
          <w:bCs/>
        </w:rPr>
        <w:t xml:space="preserve">Enfin, le fonds chaleur </w:t>
      </w:r>
      <w:r w:rsidRPr="004B5C85">
        <w:t xml:space="preserve">soutient financièrement des projets de production de chaleur à partir d’énergies renouvelables : biomasse (sylvicole, agricole, biogaz), géothermie (en utilisation directe ou par le biais de pompes à chaleur), solaire thermique, énergies de récupération, ainsi que le développement des réseaux de chaleur utilisant ces énergies. Les </w:t>
      </w:r>
      <w:r w:rsidRPr="00EC36FE">
        <w:t>secteurs concernés sont l’habitat collectif, le tertiaire, l’agriculture et l’industrie. Le fonds chaleur permet à la chaleur renouvelable d’être compétitive par rapport à la chaleur produite à partir d’énergies conventionnelles, en garantissant un prix de la chaleur d'origine renouvelable inférieur d'environ 5</w:t>
      </w:r>
      <w:r w:rsidR="006518EF">
        <w:t>%</w:t>
      </w:r>
      <w:r w:rsidRPr="00EC36FE">
        <w:t xml:space="preserve"> à celui obtenu avec des énergies conventionnelles. Le fonds chaleur a été doté d’une enveloppe de 2,9 milliards d’euros en engagements juridiques pour la période 2009-2021. La PPE 2019-2028 prévoit également une simplification des règles, notamment en supprimant l’obligation des avances remboursables pour les remplacer par des subventions.</w:t>
      </w:r>
    </w:p>
    <w:p w14:paraId="0668263E" w14:textId="77777777" w:rsidR="00B22542" w:rsidRDefault="00B22542" w:rsidP="00B22542"/>
    <w:p w14:paraId="46CECE46" w14:textId="1F61CFA8" w:rsidR="00A5513E" w:rsidRDefault="0032106B" w:rsidP="00B22542">
      <w:r>
        <w:t>Enfin</w:t>
      </w:r>
      <w:r w:rsidRPr="008C2413">
        <w:t xml:space="preserve">, le </w:t>
      </w:r>
      <w:r w:rsidRPr="009F4644">
        <w:rPr>
          <w:b/>
        </w:rPr>
        <w:t>classement des réseaux de chaleur et de froid</w:t>
      </w:r>
      <w:r w:rsidRPr="008C2413">
        <w:t xml:space="preserve"> alimentés majoritairement par des énergies renouvelables ou de récupération a été rendu automatique par la loi énergie climat. Cette réglementation permet de rendre obligatoire, au sein d’une zone de développement prioritaire du réseau, le raccordement des bâtiments neufs ou des bâtiments existants remplaçant leur système de chauffage.</w:t>
      </w:r>
    </w:p>
    <w:p w14:paraId="06CC3DC2" w14:textId="77777777" w:rsidR="00A5513E" w:rsidRPr="004B5C85" w:rsidRDefault="00A5513E" w:rsidP="00EF6DB6">
      <w:pPr>
        <w:pStyle w:val="Titre4niveau4"/>
      </w:pPr>
      <w:bookmarkStart w:id="466" w:name="_Ref122700578"/>
      <w:r w:rsidRPr="004B5C85">
        <w:t>Les politiques et mesures impactant la consommation d’énergie de manière transversale</w:t>
      </w:r>
      <w:bookmarkEnd w:id="466"/>
      <w:r w:rsidRPr="004B5C85">
        <w:t xml:space="preserve"> </w:t>
      </w:r>
    </w:p>
    <w:p w14:paraId="6469E549" w14:textId="77777777" w:rsidR="00A5513E" w:rsidRPr="004B5C85" w:rsidRDefault="00A5513E" w:rsidP="00B22542">
      <w:r w:rsidRPr="004B5C85">
        <w:t xml:space="preserve">Plusieurs politiques et mesures structurantes ont été mises en place pour limiter la consommation d’énergie et favoriser l’efficacité énergétique dans plusieurs secteurs consommateurs d’énergie, dont les principales sont citées ci-dessous. Ces mesures contribuent ainsi à la réduction des émissions de gaz à effet de serre. </w:t>
      </w:r>
    </w:p>
    <w:p w14:paraId="40F35349" w14:textId="77777777" w:rsidR="00B22542" w:rsidRDefault="00B22542" w:rsidP="00B22542"/>
    <w:p w14:paraId="4D8E08FF" w14:textId="5A5D1B76" w:rsidR="00A5513E" w:rsidRPr="004B5C85" w:rsidRDefault="00A5513E" w:rsidP="00B22542">
      <w:r w:rsidRPr="004B5C85">
        <w:t xml:space="preserve">Le code de l’énergie prévoit un objectif de réduction de 20% de la consommation finale en 2030 et 50% en 2050 par rapport au niveau de 2012. </w:t>
      </w:r>
    </w:p>
    <w:p w14:paraId="0DADAC04" w14:textId="77777777" w:rsidR="00B22542" w:rsidRDefault="00B22542" w:rsidP="00B22542"/>
    <w:p w14:paraId="6BC770C9" w14:textId="6562784A" w:rsidR="000620EE" w:rsidRDefault="00A5513E" w:rsidP="00B22542">
      <w:r w:rsidRPr="004B5C85">
        <w:t xml:space="preserve">Le dispositif des </w:t>
      </w:r>
      <w:r w:rsidRPr="004B5C85">
        <w:rPr>
          <w:b/>
          <w:bCs/>
        </w:rPr>
        <w:t>certificats d’économies d’énergie</w:t>
      </w:r>
      <w:r w:rsidRPr="004B5C85">
        <w:t>, en vigueur depuis 2006, repose sur une obligation de réalisation d’économies d’énergie imposée par les pouvoirs publics aux vendeurs d’énergie (électricité, gaz, GPL, chaleur et froid, fioul domestique et carburants pour automobiles). Un objectif pluriannuel est défini et réparti entre les obligés en fonction de leurs volumes de ventes. En fin de période, les obligés doivent justifier de l'accomplissement de leurs obligations par la détention d'un montant de certificats d'économies d'énergi</w:t>
      </w:r>
      <w:r w:rsidR="000620EE">
        <w:t>e équivalent à ces obligations.</w:t>
      </w:r>
    </w:p>
    <w:p w14:paraId="04A3AF1E" w14:textId="77777777" w:rsidR="00B22542" w:rsidRDefault="00B22542" w:rsidP="00B22542"/>
    <w:p w14:paraId="612436A8" w14:textId="4332884C" w:rsidR="000620EE" w:rsidRDefault="00A5513E" w:rsidP="00B22542">
      <w:r w:rsidRPr="004B5C85">
        <w:t>Pour obtenir des certificats, les obligés ont le choix des actions à mettre en œuvre (réaliser des actions d'économies d'énergie eux-mêmes, faire réaliser des actions d'énergie par les consommateurs, acheter des certificats à d'autres acteurs sur le marché, etc.), des secteurs d’activité (résidentiel, tertiaire, industriel, agricole, transport) et des types de clients (ménages, entreprises, collectivités publiques, etc.).</w:t>
      </w:r>
    </w:p>
    <w:p w14:paraId="216BFEA1" w14:textId="77777777" w:rsidR="00B22542" w:rsidRDefault="00B22542" w:rsidP="00B22542"/>
    <w:p w14:paraId="214B1E14" w14:textId="55DD2F4A" w:rsidR="000620EE" w:rsidRDefault="00A5513E" w:rsidP="00B22542">
      <w:r w:rsidRPr="004B5C85">
        <w:t>La première période triennale du dispositif s’est déroulée entre mi 2006 et mi 2009, avec une obligation totale fixée à 54 TWh cumac.</w:t>
      </w:r>
    </w:p>
    <w:p w14:paraId="6E963706" w14:textId="77777777" w:rsidR="00B22542" w:rsidRDefault="00B22542" w:rsidP="00B22542"/>
    <w:p w14:paraId="18FA6BF3" w14:textId="592153BC" w:rsidR="000620EE" w:rsidRDefault="00A5513E" w:rsidP="00B22542">
      <w:r w:rsidRPr="004B5C85">
        <w:t xml:space="preserve">La seconde période, qui s’est étendue du </w:t>
      </w:r>
      <w:r w:rsidR="006518EF" w:rsidRPr="009F4180">
        <w:t>1</w:t>
      </w:r>
      <w:r w:rsidR="006518EF" w:rsidRPr="007F47EF">
        <w:rPr>
          <w:vertAlign w:val="superscript"/>
        </w:rPr>
        <w:t>er</w:t>
      </w:r>
      <w:r>
        <w:t xml:space="preserve"> </w:t>
      </w:r>
      <w:r w:rsidRPr="004B5C85">
        <w:t xml:space="preserve">janvier </w:t>
      </w:r>
      <w:r w:rsidRPr="00EC36FE">
        <w:t>2011 au 31 décembre 2014, comportait un objectif de 460</w:t>
      </w:r>
      <w:r w:rsidR="0032106B">
        <w:t> </w:t>
      </w:r>
      <w:r w:rsidRPr="00EC36FE">
        <w:t>TWh cumac.</w:t>
      </w:r>
    </w:p>
    <w:p w14:paraId="77A05E74" w14:textId="77777777" w:rsidR="00B22542" w:rsidRDefault="00B22542" w:rsidP="00B22542"/>
    <w:p w14:paraId="55360DBD" w14:textId="688CAB9C" w:rsidR="000620EE" w:rsidRDefault="00A5513E" w:rsidP="00B22542">
      <w:r w:rsidRPr="00EC36FE">
        <w:t xml:space="preserve">La troisième période s’est déroulée entre le </w:t>
      </w:r>
      <w:r w:rsidR="006518EF" w:rsidRPr="009F4180">
        <w:t>1</w:t>
      </w:r>
      <w:r w:rsidR="006518EF" w:rsidRPr="007F47EF">
        <w:rPr>
          <w:vertAlign w:val="superscript"/>
        </w:rPr>
        <w:t>er</w:t>
      </w:r>
      <w:r w:rsidRPr="00EC36FE">
        <w:t xml:space="preserve"> janvier 2015 et le 31 décembre 2017. L’obligation globale imposée aux vendeurs d’énergie était fixée à 700 TWh cumac.</w:t>
      </w:r>
    </w:p>
    <w:p w14:paraId="68A5597C" w14:textId="77777777" w:rsidR="00B22542" w:rsidRDefault="00B22542" w:rsidP="00B22542"/>
    <w:p w14:paraId="583656A8" w14:textId="4A98F2BF" w:rsidR="000620EE" w:rsidRDefault="00A5513E" w:rsidP="00B22542">
      <w:r w:rsidRPr="00EC36FE">
        <w:t xml:space="preserve">En application de la loi du 17 août 2015 relative à la transition énergétique pour la croissance verte, une nouvelle obligation dédiée au bénéfice des ménages en situation de précarité énergétique a été mise en place depuis le </w:t>
      </w:r>
      <w:r w:rsidR="006518EF" w:rsidRPr="009F4180">
        <w:t>1</w:t>
      </w:r>
      <w:r w:rsidR="006518EF" w:rsidRPr="007F47EF">
        <w:rPr>
          <w:vertAlign w:val="superscript"/>
        </w:rPr>
        <w:t>er</w:t>
      </w:r>
      <w:r w:rsidRPr="00EC36FE">
        <w:t xml:space="preserve"> janvier 2016, avec un objectif de 150 TWh cumac d’ici fin 2017.</w:t>
      </w:r>
    </w:p>
    <w:p w14:paraId="0B24676E" w14:textId="77777777" w:rsidR="00B22542" w:rsidRDefault="00B22542" w:rsidP="00B22542"/>
    <w:p w14:paraId="186C57D0" w14:textId="731F198F" w:rsidR="000620EE" w:rsidRDefault="00A5513E" w:rsidP="00B22542">
      <w:r w:rsidRPr="00EC36FE">
        <w:t xml:space="preserve">La quatrième période initialement prévue du </w:t>
      </w:r>
      <w:r w:rsidR="006518EF" w:rsidRPr="009F4180">
        <w:t>1</w:t>
      </w:r>
      <w:r w:rsidR="006518EF" w:rsidRPr="007F47EF">
        <w:rPr>
          <w:vertAlign w:val="superscript"/>
        </w:rPr>
        <w:t>er</w:t>
      </w:r>
      <w:r w:rsidRPr="00EC36FE">
        <w:t xml:space="preserve"> janvier 2018 au 31 décembre 2020, s’est étendue au 31 décembre 2021. L’obligation imposée aux vendeurs d’énergie en quatrième période équivaut à 2133 TWhc d’actions classiques sur la période 2018-2021 dont 533 TWhc à réaliser au bénéfice des ménages en situation de précarité énergétique.</w:t>
      </w:r>
    </w:p>
    <w:p w14:paraId="630DF4E6" w14:textId="77777777" w:rsidR="00B22542" w:rsidRDefault="00B22542" w:rsidP="00B22542"/>
    <w:p w14:paraId="5CFBF28E" w14:textId="5834221F" w:rsidR="00A5513E" w:rsidRPr="00EC36FE" w:rsidRDefault="00A5513E" w:rsidP="00B22542">
      <w:r w:rsidRPr="00EC36FE">
        <w:t xml:space="preserve">La 5ème période, qui commence au </w:t>
      </w:r>
      <w:r w:rsidR="006518EF" w:rsidRPr="009F4180">
        <w:t>1</w:t>
      </w:r>
      <w:r w:rsidR="006518EF" w:rsidRPr="007F47EF">
        <w:rPr>
          <w:vertAlign w:val="superscript"/>
        </w:rPr>
        <w:t>er</w:t>
      </w:r>
      <w:r w:rsidRPr="00EC36FE">
        <w:t xml:space="preserve"> janvier 2022 dans le cadre du paquet législatif « Fit for 55 », a un niveau d’obligation fixé à 2 500 TWh cumac sur quatre ans dont près de 30</w:t>
      </w:r>
      <w:r w:rsidR="006518EF">
        <w:t>%</w:t>
      </w:r>
      <w:r w:rsidRPr="00EC36FE">
        <w:t xml:space="preserve"> au bénéfice des ménages en situation de précarité énergétique.</w:t>
      </w:r>
    </w:p>
    <w:p w14:paraId="598D20B7" w14:textId="77777777" w:rsidR="00B22542" w:rsidRDefault="00B22542" w:rsidP="00B22542"/>
    <w:p w14:paraId="48951C35" w14:textId="11F405BF" w:rsidR="00A5513E" w:rsidRPr="004B5C85" w:rsidRDefault="00A5513E" w:rsidP="00B22542">
      <w:r w:rsidRPr="00EC36FE">
        <w:t xml:space="preserve">En 2014, une part proportionnelle aux émissions de </w:t>
      </w:r>
      <w:r w:rsidR="007F09F7">
        <w:t>CO</w:t>
      </w:r>
      <w:r w:rsidR="007F09F7" w:rsidRPr="007F09F7">
        <w:rPr>
          <w:vertAlign w:val="subscript"/>
        </w:rPr>
        <w:t>2</w:t>
      </w:r>
      <w:r w:rsidRPr="00EC36FE">
        <w:t xml:space="preserve"> des produits énergétiques a été introduite au sein des taxes intérieures de consommation sur les produits énergétiques (TICPE</w:t>
      </w:r>
      <w:r w:rsidRPr="004B5C85">
        <w:t xml:space="preserve">). La </w:t>
      </w:r>
      <w:r w:rsidRPr="004B5C85">
        <w:rPr>
          <w:b/>
          <w:bCs/>
        </w:rPr>
        <w:t xml:space="preserve">« composante carbone </w:t>
      </w:r>
      <w:r w:rsidRPr="004B5C85">
        <w:t>» s’élève actuellement à 44,6€/t</w:t>
      </w:r>
      <w:r w:rsidR="007F09F7">
        <w:t>CO</w:t>
      </w:r>
      <w:r w:rsidR="007F09F7" w:rsidRPr="007F09F7">
        <w:rPr>
          <w:vertAlign w:val="subscript"/>
        </w:rPr>
        <w:t>2</w:t>
      </w:r>
      <w:r w:rsidRPr="004B5C85">
        <w:t xml:space="preserve">. </w:t>
      </w:r>
    </w:p>
    <w:p w14:paraId="3BC677A0" w14:textId="77777777" w:rsidR="00B22542" w:rsidRDefault="00B22542" w:rsidP="00B22542"/>
    <w:p w14:paraId="1B68094E" w14:textId="15CB8553" w:rsidR="00A5513E" w:rsidRDefault="00A5513E" w:rsidP="00B22542">
      <w:r w:rsidRPr="004B5C85">
        <w:t xml:space="preserve">Dans le cadre de la transposition de la directive 2012/27/UE relative à l'efficacité énergétique, les entreprises employant plus de 250 salariés ou ayant un chiffre d'affaire annuel de plus de 50 millions d’euros et un total de bilan de plus de 43 millions d’euros doivent réaliser tous les 4 ans un </w:t>
      </w:r>
      <w:r w:rsidRPr="004B5C85">
        <w:rPr>
          <w:b/>
          <w:bCs/>
        </w:rPr>
        <w:t>audit énergétique</w:t>
      </w:r>
      <w:r w:rsidRPr="004B5C85">
        <w:t>. L’audit énergétique, réalisé par un auditeur interne ou externe, consiste en une analyse méthodique des flux et des consommations énergétiques d’un site et doit permettre aux entreprises d’identifier des actions d'économies d'énergie à tous les niveaux (bâtiments, procédés industriels, transport, etc.).</w:t>
      </w:r>
    </w:p>
    <w:p w14:paraId="0139A5F8" w14:textId="0A80E00B" w:rsidR="00A5513E" w:rsidRPr="001229A8" w:rsidRDefault="00A5513E" w:rsidP="003F57EA">
      <w:pPr>
        <w:pStyle w:val="Titre3Niveau3"/>
      </w:pPr>
      <w:bookmarkStart w:id="467" w:name="_Ref123288437"/>
      <w:bookmarkStart w:id="468" w:name="_Toc138342008"/>
      <w:bookmarkStart w:id="469" w:name="_Toc120889889"/>
      <w:r>
        <w:t>Agriculture</w:t>
      </w:r>
      <w:bookmarkEnd w:id="467"/>
      <w:bookmarkEnd w:id="468"/>
      <w:r w:rsidRPr="00E22CF8">
        <w:rPr>
          <w:color w:val="FF0000"/>
        </w:rPr>
        <w:t xml:space="preserve"> </w:t>
      </w:r>
      <w:bookmarkEnd w:id="469"/>
    </w:p>
    <w:p w14:paraId="235F9DE9" w14:textId="77777777" w:rsidR="00426FA6" w:rsidRPr="00CC4C75" w:rsidRDefault="00A5513E" w:rsidP="00426FA6">
      <w:pPr>
        <w:spacing w:line="259" w:lineRule="auto"/>
        <w:rPr>
          <w:b/>
          <w:bCs/>
        </w:rPr>
      </w:pPr>
      <w:r w:rsidRPr="001229A8">
        <w:t>L’agriculture représente 21% des émissions de la France en 2020. C’est le deuxième secteur le plus émetteur après les transports. Les émissions agricoles se répartissent entre l’élevage (49</w:t>
      </w:r>
      <w:r w:rsidR="006518EF">
        <w:t>%</w:t>
      </w:r>
      <w:r w:rsidRPr="001229A8">
        <w:t xml:space="preserve"> des émissions en 2020), les cultures (38</w:t>
      </w:r>
      <w:r w:rsidR="006518EF">
        <w:t>%</w:t>
      </w:r>
      <w:r w:rsidRPr="001229A8">
        <w:t>) et la consommation d’énergie des tracteurs, engins et chaudières agricoles (13</w:t>
      </w:r>
      <w:r w:rsidR="006518EF">
        <w:t>%</w:t>
      </w:r>
      <w:r w:rsidRPr="001229A8">
        <w:t xml:space="preserve">). Les émissions de </w:t>
      </w:r>
      <w:r w:rsidR="007F09F7" w:rsidRPr="00141043">
        <w:t>CH</w:t>
      </w:r>
      <w:r w:rsidR="007F09F7" w:rsidRPr="004F1EC8">
        <w:rPr>
          <w:vertAlign w:val="subscript"/>
        </w:rPr>
        <w:t>4</w:t>
      </w:r>
      <w:r w:rsidRPr="001229A8">
        <w:t xml:space="preserve"> issues de la fermentation entérique des élevages, principalement bovins, et des déjections animales, ainsi que les émissions de </w:t>
      </w:r>
      <w:r w:rsidR="007F09F7" w:rsidRPr="00141043">
        <w:t>N</w:t>
      </w:r>
      <w:r w:rsidR="007F09F7" w:rsidRPr="004F1EC8">
        <w:rPr>
          <w:vertAlign w:val="subscript"/>
        </w:rPr>
        <w:t>2</w:t>
      </w:r>
      <w:r w:rsidR="007F09F7" w:rsidRPr="00141043">
        <w:t>O</w:t>
      </w:r>
      <w:r w:rsidRPr="001229A8">
        <w:t>, provenant principalement des sols agricoles (engrais minéraux azotés et résidus de culture), sont prépondérantes : elles représentent respectivement 45</w:t>
      </w:r>
      <w:r w:rsidR="006518EF">
        <w:t>%</w:t>
      </w:r>
      <w:r w:rsidRPr="001229A8">
        <w:t xml:space="preserve"> et 4</w:t>
      </w:r>
      <w:r w:rsidR="00426FA6">
        <w:t>2</w:t>
      </w:r>
      <w:r w:rsidR="006518EF">
        <w:t>%</w:t>
      </w:r>
      <w:r w:rsidRPr="001229A8">
        <w:t xml:space="preserve"> des émissions de l’agriculture. Le </w:t>
      </w:r>
      <w:r w:rsidR="007F09F7">
        <w:t>CO</w:t>
      </w:r>
      <w:r w:rsidR="007F09F7" w:rsidRPr="007F09F7">
        <w:rPr>
          <w:vertAlign w:val="subscript"/>
        </w:rPr>
        <w:t>2</w:t>
      </w:r>
      <w:r w:rsidRPr="001229A8">
        <w:t xml:space="preserve"> représente 13</w:t>
      </w:r>
      <w:r w:rsidR="006518EF">
        <w:t>%</w:t>
      </w:r>
      <w:r w:rsidRPr="001229A8">
        <w:t xml:space="preserve"> des émissions du secteur et est principalement issu de la consommation d’énergie.</w:t>
      </w:r>
      <w:r w:rsidR="00426FA6">
        <w:t xml:space="preserve"> La SNBC 2 </w:t>
      </w:r>
      <w:r w:rsidR="00426FA6" w:rsidRPr="4FAF5619">
        <w:rPr>
          <w:b/>
          <w:bCs/>
        </w:rPr>
        <w:t>vise une réduction de 18 % des émissions du secteur en 2030 par rapport à 2015 et de 46 % à l’horizon 2050</w:t>
      </w:r>
      <w:r w:rsidR="00426FA6">
        <w:t xml:space="preserve">. Les tranches annuelles indicatives de la SNBC 2 prévoient, en moyenne, pour l’agriculture, une baisse des émissions de -1,2 % par an sur la période 2020-2023 puis -1,3 % par an de 2024 à 2029, et enfin -1,4 % par an de 2030 à 2033. </w:t>
      </w:r>
    </w:p>
    <w:p w14:paraId="2639C11F" w14:textId="77777777" w:rsidR="00426FA6" w:rsidRDefault="00426FA6" w:rsidP="00426FA6">
      <w:pPr>
        <w:spacing w:before="0" w:after="120" w:line="259" w:lineRule="auto"/>
      </w:pPr>
      <w:r w:rsidRPr="006D40FE">
        <w:t>Dans le contexte de la pandémie de la COVID-19,</w:t>
      </w:r>
      <w:r w:rsidRPr="006D40FE">
        <w:rPr>
          <w:b/>
          <w:bCs/>
        </w:rPr>
        <w:t xml:space="preserve"> </w:t>
      </w:r>
      <w:r w:rsidRPr="006D40FE">
        <w:rPr>
          <w:bCs/>
        </w:rPr>
        <w:t>le volet « Transition agricole, alimentation et forêt » du plan « France Relance »</w:t>
      </w:r>
      <w:r>
        <w:t xml:space="preserve"> se fixe </w:t>
      </w:r>
      <w:r w:rsidRPr="006D40FE">
        <w:rPr>
          <w:bCs/>
        </w:rPr>
        <w:t>3 objectifs</w:t>
      </w:r>
      <w:r>
        <w:t xml:space="preserve"> : </w:t>
      </w:r>
      <w:r w:rsidRPr="006D40FE">
        <w:rPr>
          <w:b/>
        </w:rPr>
        <w:t>renforcer la souveraineté alimentaire ; accélérer la transition agroécologique pour donner accès à tous les Français à une alimentation saine, durable et locale ; et adapter l’agriculture et la forêt au changement climatique</w:t>
      </w:r>
      <w:r>
        <w:t xml:space="preserve">. 1,4 milliard d’euros sont ainsi spécifiquement dédiés aux secteurs agricole et agroalimentaire, auxquels s’ajoutent les mesures transversales du plan France Relance dont bénéficieront les agriculteurs et les industries agroalimentaires, notamment celles portées par le ministère de l’Économie, des Finances et de la Relance et celles portées par ministère du Travail, de l’Emploi et de l’Insertion. En particulier, les mesures du </w:t>
      </w:r>
      <w:r w:rsidRPr="006D40FE">
        <w:rPr>
          <w:b/>
        </w:rPr>
        <w:t>plan national pour les protéines végétales, « Plantons des haies » et « Bon diagnostic carbone »</w:t>
      </w:r>
      <w:r>
        <w:t xml:space="preserve"> participent à répondre aux enjeux d’atténuation (et d’adaptation) du secteur agricole au changement climatique</w:t>
      </w:r>
      <w:r>
        <w:rPr>
          <w:rStyle w:val="FootnoteReference"/>
        </w:rPr>
        <w:footnoteReference w:id="27"/>
      </w:r>
      <w:r>
        <w:t>.</w:t>
      </w:r>
    </w:p>
    <w:p w14:paraId="10B29510" w14:textId="77777777" w:rsidR="00426FA6" w:rsidRDefault="00426FA6" w:rsidP="00426FA6">
      <w:pPr>
        <w:spacing w:before="240" w:after="240"/>
      </w:pPr>
      <w:r>
        <w:t>S’inscrivant dans le cadre du Grand Plan d’Investissement (GPI) présenté par le Premier Ministre fin 2017, le volet agricole du GPI est doté de 5 milliards d’euros sur 5 ans (2018-2022). Il vise à accélérer l’adaptation des outils et le changement des pratiques de l’agriculture, la pêche, l’agroalimentaire et le secteur forêt-bois</w:t>
      </w:r>
      <w:r>
        <w:rPr>
          <w:rStyle w:val="FootnoteReference"/>
        </w:rPr>
        <w:footnoteReference w:id="28"/>
      </w:r>
      <w:r>
        <w:t>.  Il s’articule autour de 9 actions regroupées en 3 axes structurants</w:t>
      </w:r>
      <w:r>
        <w:rPr>
          <w:rStyle w:val="FootnoteReference"/>
        </w:rPr>
        <w:footnoteReference w:id="29"/>
      </w:r>
      <w:r>
        <w:t>. L’axe 1 « Transformation de l’amont agricole et forestier » regroupe quatre actions : le soutien aux investissements dans les exploitations agricoles, le soutien au changement des pratiques, le soutien à la méthanisation agricole et le soutien aux investissements en forêt. L’axe 2 « Amélioration de la compétitivité de l’aval agricole et forestier » regroupe deux actions : le soutien à la montée en gamme de l’aval agricole et le soutien à la modernisation de l’aval forestier. L’axe 3 « Innovation et structuration des filières » regroupe trois actions : le concours d’innovation, le soutien aux projets d’innovation collaboratives et territoriales et le soutien aux investissements structurants dans les filières.</w:t>
      </w:r>
    </w:p>
    <w:p w14:paraId="2E0D2F46" w14:textId="77777777" w:rsidR="00426FA6" w:rsidRDefault="00426FA6" w:rsidP="00426FA6">
      <w:pPr>
        <w:spacing w:before="0" w:after="120" w:line="256" w:lineRule="auto"/>
      </w:pPr>
      <w:r>
        <w:t>Le plan stratégique national (PSN) pour la période 2023-2027 a été élaboré suite à un débat public et une consultation du public par voie électronique. Le PSN pourra contribuer à la dynamique de baisse des émissions de l’agriculture et à l’augmentation du potentiel de stockage de carbone pour l’agriculture et la forêt, en particulier via le nouvel écorégime, la conditionnalité renforcée et les mesures du 2</w:t>
      </w:r>
      <w:r w:rsidRPr="00C16405">
        <w:rPr>
          <w:vertAlign w:val="superscript"/>
        </w:rPr>
        <w:t>e</w:t>
      </w:r>
      <w:r>
        <w:t xml:space="preserve"> pilier. L’article 274 de La loi « climat et résilience » dispose que le PSN doit être compatible avec la SNBC. Les dispositions de la proposition de PSN contribuant aux objectifs climatiques fixés dans la réglementation européenne et les plans et programmes nationaux qui en découlent sont explicitées dans le plan cible contenu dans la proposition de PSN français. Ce sont en particulier les priorités fixées pour </w:t>
      </w:r>
      <w:r w:rsidRPr="00E85C18">
        <w:rPr>
          <w:b/>
        </w:rPr>
        <w:t>maintenir les prairies permanentes et en limiter le labour, l’incitation à la plantation et à l’entretien durable des haies, l’objectif de doublement des surfaces agricoles portant des cultures de légumineuses et de celles conduites en agriculture biologique, et les incitations au maintien et développement de systèmes d’élevage plus autonomes et herbagers</w:t>
      </w:r>
      <w:r>
        <w:t xml:space="preserve"> qui pourront contribuer à l’atteinte des objectifs en matière de lutte contre le changement climatique. </w:t>
      </w:r>
    </w:p>
    <w:p w14:paraId="4ADB6D91" w14:textId="77777777" w:rsidR="00426FA6" w:rsidRDefault="00426FA6" w:rsidP="00426FA6">
      <w:pPr>
        <w:spacing w:line="259" w:lineRule="auto"/>
      </w:pPr>
      <w:r>
        <w:rPr>
          <w:b/>
          <w:bCs/>
        </w:rPr>
        <w:t>Par ailleurs, l</w:t>
      </w:r>
      <w:r w:rsidRPr="0006533A">
        <w:rPr>
          <w:b/>
          <w:bCs/>
        </w:rPr>
        <w:t>e Varenne agricole de l’eau et de l’adaptation au changement climatique</w:t>
      </w:r>
      <w:r>
        <w:t xml:space="preserve"> vise à renforcer la résilience de l'agriculture dans une approche globale en agissant notamment sur les sols, les variétés, les pratiques culturales, les infrastructures agroécologiques et l'efficience de l'eau d'irrigation.</w:t>
      </w:r>
      <w:r w:rsidRPr="11A0C7AD">
        <w:t xml:space="preserve"> </w:t>
      </w:r>
      <w:r>
        <w:t>Les travaux issus du Varenne agricole de l’eau sont consultables depuis décembre 2021</w:t>
      </w:r>
      <w:r>
        <w:rPr>
          <w:rStyle w:val="FootnoteReference"/>
          <w:rFonts w:eastAsiaTheme="majorEastAsia"/>
        </w:rPr>
        <w:footnoteReference w:id="30"/>
      </w:r>
      <w:r>
        <w:t xml:space="preserve">, </w:t>
      </w:r>
      <w:r w:rsidRPr="00C95EB2">
        <w:t>et le plan France 2030 prévoit 200 M€ pour les mettre en œuvre dès 2022 à travers le soutien aux équipements de la 3e Révolution agricoles et l’accompagnement des filières, dont une partie sera notamment dédiée au soutien à l’innovat</w:t>
      </w:r>
      <w:r>
        <w:t>ion en matière d’hydraulique.</w:t>
      </w:r>
    </w:p>
    <w:p w14:paraId="532E7605" w14:textId="5F07250C" w:rsidR="00A5513E" w:rsidRDefault="00426FA6" w:rsidP="00426FA6">
      <w:r>
        <w:t xml:space="preserve">Enfin, </w:t>
      </w:r>
      <w:r w:rsidRPr="008A7C26">
        <w:rPr>
          <w:b/>
          <w:bCs/>
        </w:rPr>
        <w:t>le plan d’action climat du ministère de l’Agriculture</w:t>
      </w:r>
      <w:r>
        <w:t>, publié en juin 2021, trace une feuille de route pour atteindre les objectifs climatiques des secteurs agricole et forestier, et rappelle la cohérence d’ensemble des différents leviers et outils mobilisés par le ministère</w:t>
      </w:r>
      <w:r w:rsidR="00A5513E">
        <w:t>.</w:t>
      </w:r>
    </w:p>
    <w:p w14:paraId="38727735" w14:textId="13BAEFB8" w:rsidR="00A5513E" w:rsidRDefault="00A5513E" w:rsidP="00EF6DB6">
      <w:pPr>
        <w:pStyle w:val="Titre4niveau4"/>
      </w:pPr>
      <w:r>
        <w:t xml:space="preserve">Réduction des émissions de </w:t>
      </w:r>
      <w:r w:rsidR="007F09F7" w:rsidRPr="00141043">
        <w:t>CH</w:t>
      </w:r>
      <w:r w:rsidR="007F09F7" w:rsidRPr="00E22CF8">
        <w:rPr>
          <w:vertAlign w:val="subscript"/>
        </w:rPr>
        <w:t>4</w:t>
      </w:r>
      <w:r w:rsidR="007F09F7" w:rsidRPr="00141043">
        <w:t xml:space="preserve"> </w:t>
      </w:r>
      <w:r>
        <w:t xml:space="preserve">dues à la gestion des effluents d’élevage </w:t>
      </w:r>
    </w:p>
    <w:p w14:paraId="2DE63CAE" w14:textId="77777777" w:rsidR="00426FA6" w:rsidRDefault="00426FA6" w:rsidP="00426FA6">
      <w:r w:rsidRPr="00B86D45">
        <w:rPr>
          <w:bCs/>
        </w:rPr>
        <w:t>Les émissions de méthane sont le premier poste d’émissions de gaz à effet de serre en agriculture (45%)</w:t>
      </w:r>
      <w:r w:rsidRPr="00B86D45">
        <w:t> :</w:t>
      </w:r>
      <w:r w:rsidRPr="11A0C7AD">
        <w:t xml:space="preserve"> </w:t>
      </w:r>
      <w:r>
        <w:t>l’amélioration de la gestion des effluents, l’optimisation de la conduite des troupeaux et les ajustements de l’alimentation animale répondent à cet enjeu.</w:t>
      </w:r>
    </w:p>
    <w:p w14:paraId="74B29AB3" w14:textId="77777777" w:rsidR="00426FA6" w:rsidRDefault="00426FA6" w:rsidP="00426FA6">
      <w:pPr>
        <w:spacing w:before="240" w:after="60"/>
      </w:pPr>
      <w:r>
        <w:t xml:space="preserve">La méthanisation agricole permet de réduire les émissions de méthane par le traitement des effluents d’élevage. </w:t>
      </w:r>
      <w:r w:rsidRPr="00DE5289">
        <w:rPr>
          <w:rFonts w:eastAsia="Arial" w:cs="Arial"/>
        </w:rPr>
        <w:t xml:space="preserve">La </w:t>
      </w:r>
      <w:r w:rsidRPr="00DE5289">
        <w:rPr>
          <w:rFonts w:eastAsia="Arial" w:cs="Arial"/>
          <w:b/>
          <w:bCs/>
        </w:rPr>
        <w:t>filière de production de biogaz par méthanisation</w:t>
      </w:r>
      <w:r w:rsidRPr="00DE5289">
        <w:rPr>
          <w:rFonts w:eastAsia="Arial" w:cs="Arial"/>
        </w:rPr>
        <w:t xml:space="preserve"> est en plein essor. Fin septembre 2021, 1086 méthaniseurs produisent du biogaz et le valorisent par injection dans les réseaux de gaz naturel (308) ou production d’électricité (778), soit 225 nouveaux méthaniseurs mis en service en un an. </w:t>
      </w:r>
      <w:r>
        <w:t xml:space="preserve"> </w:t>
      </w:r>
    </w:p>
    <w:p w14:paraId="02E5CDC7" w14:textId="77777777" w:rsidR="00426FA6" w:rsidRPr="00724549" w:rsidRDefault="00426FA6" w:rsidP="00426FA6">
      <w:pPr>
        <w:pStyle w:val="ListParagraph"/>
        <w:numPr>
          <w:ilvl w:val="0"/>
          <w:numId w:val="15"/>
        </w:numPr>
        <w:spacing w:before="0" w:after="0"/>
        <w:jc w:val="left"/>
        <w:rPr>
          <w:rFonts w:ascii="Times New Roman" w:hAnsi="Times New Roman"/>
          <w:sz w:val="24"/>
        </w:rPr>
      </w:pPr>
      <w:r>
        <w:t>La Programmation pluriannuelle de l'énergie (2019-2028)</w:t>
      </w:r>
      <w:r>
        <w:rPr>
          <w:rStyle w:val="FootnoteReference"/>
        </w:rPr>
        <w:footnoteReference w:id="31"/>
      </w:r>
      <w:r>
        <w:t xml:space="preserve"> prévoit </w:t>
      </w:r>
      <w:r w:rsidRPr="00DE5289">
        <w:rPr>
          <w:rFonts w:eastAsia="Arial" w:cs="Arial"/>
        </w:rPr>
        <w:t>une enveloppe d’engagement rehaussée à 9,7 Md€ pour soutenir le développement de la méthanisation. Afin d’accélérer le développement de la filière, la loi « climat et résilience » a créé le</w:t>
      </w:r>
      <w:r>
        <w:rPr>
          <w:rFonts w:eastAsia="Arial" w:cs="Arial"/>
        </w:rPr>
        <w:t>s</w:t>
      </w:r>
      <w:r w:rsidRPr="00DE5289">
        <w:rPr>
          <w:rFonts w:eastAsia="Arial" w:cs="Arial"/>
        </w:rPr>
        <w:t xml:space="preserve"> certificats de production de biogaz, </w:t>
      </w:r>
      <w:r>
        <w:rPr>
          <w:rFonts w:eastAsia="Arial" w:cs="Arial"/>
        </w:rPr>
        <w:t xml:space="preserve">pour </w:t>
      </w:r>
      <w:r w:rsidRPr="00DE5289">
        <w:rPr>
          <w:rFonts w:eastAsia="Arial" w:cs="Arial"/>
        </w:rPr>
        <w:t>assigner aux fournisseurs de gaz naturel une obligation de soutenir la production de biogaz.</w:t>
      </w:r>
      <w:r w:rsidRPr="00DE5289">
        <w:rPr>
          <w:rFonts w:ascii="Times New Roman" w:hAnsi="Times New Roman"/>
          <w:sz w:val="24"/>
        </w:rPr>
        <w:t xml:space="preserve"> </w:t>
      </w:r>
    </w:p>
    <w:p w14:paraId="4513EB70" w14:textId="77777777" w:rsidR="00426FA6" w:rsidRPr="006A0CFC" w:rsidRDefault="00426FA6" w:rsidP="00426FA6">
      <w:pPr>
        <w:numPr>
          <w:ilvl w:val="0"/>
          <w:numId w:val="15"/>
        </w:numPr>
        <w:spacing w:before="240" w:after="240"/>
      </w:pPr>
      <w:r w:rsidRPr="006A0CFC">
        <w:t>Le tarif d’achat de l’électricité produite par les installations de méthanisation, créé en 2006, a été revalorisé en 2016 pour les installations de taille petite et moyenne (moins de 500 kWe), et un appel d’offres a été créé pour les installations de plus grande taille (500 kW à 1 MW) sous la forme d’une famille « méthanisation » intégrée dans les appels d’offres pour la production d’électricité à partir de biomasse ; un dispositif de complément de rémunération pour l’électricité produite par le biogaz issu de la méthanisation est destiné aux installations éloignées des réseaux de gaz naturel</w:t>
      </w:r>
      <w:r w:rsidRPr="006A0CFC">
        <w:rPr>
          <w:rFonts w:ascii="Calibri" w:hAnsi="Calibri" w:cs="Calibri"/>
        </w:rPr>
        <w:t> </w:t>
      </w:r>
      <w:r w:rsidRPr="006A0CFC">
        <w:t>;</w:t>
      </w:r>
    </w:p>
    <w:p w14:paraId="283BFE9C" w14:textId="77777777" w:rsidR="00426FA6" w:rsidRPr="006A0CFC" w:rsidRDefault="00426FA6" w:rsidP="00426FA6">
      <w:pPr>
        <w:numPr>
          <w:ilvl w:val="0"/>
          <w:numId w:val="15"/>
        </w:numPr>
        <w:spacing w:before="240" w:after="240"/>
      </w:pPr>
      <w:r w:rsidRPr="006A0CFC">
        <w:t>Un tarif d’achat pour le biométhane produit par les installations de méthanisation agricole, et injecté dans les réseaux de gaz naturel, a été mis en place en 2011, et a été complété de plusieurs mesures visant à faciliter le raccordement des installations aux réseaux de gaz naturel et l’injection des volumes de gaz renouvelable ainsi produits. Il a été révisé en novembre 2020, réservé aux projets ayant une capacité de production inférieure à 25 GWh/an, afin de tenir compte du niveau de maturité atteint par la filière et de la baisse des coûts de production. Le dispositif d’obligation d’achat du biométhane injecté dans un réseau de gaz naturel suite à appel d’offres est destiné à soutenir les projets ayant une capacité de production supérieure à 25 GWh/an</w:t>
      </w:r>
      <w:r w:rsidRPr="006A0CFC">
        <w:rPr>
          <w:rFonts w:ascii="Calibri" w:hAnsi="Calibri" w:cs="Calibri"/>
        </w:rPr>
        <w:t> </w:t>
      </w:r>
      <w:r w:rsidRPr="006A0CFC">
        <w:t>;</w:t>
      </w:r>
    </w:p>
    <w:p w14:paraId="20A365C4" w14:textId="77777777" w:rsidR="00426FA6" w:rsidRPr="006A0CFC" w:rsidRDefault="00426FA6" w:rsidP="00426FA6">
      <w:pPr>
        <w:numPr>
          <w:ilvl w:val="0"/>
          <w:numId w:val="15"/>
        </w:numPr>
        <w:spacing w:before="240" w:after="240"/>
      </w:pPr>
      <w:r w:rsidRPr="006A0CFC">
        <w:t>Le plan « Énergie méthanisation autonomie azote » (EMAA), entré en vigueur en 2013, prévoit notamment la simplification des procédures administratives pour le développement des projets de méthanisation, un meilleur accompagnement des porteurs de projets et des efforts de structuration de la filière ;</w:t>
      </w:r>
    </w:p>
    <w:p w14:paraId="3783C16F" w14:textId="77777777" w:rsidR="00426FA6" w:rsidRDefault="00426FA6" w:rsidP="00426FA6">
      <w:pPr>
        <w:pStyle w:val="ListParagraph"/>
        <w:numPr>
          <w:ilvl w:val="0"/>
          <w:numId w:val="15"/>
        </w:numPr>
        <w:spacing w:before="100" w:beforeAutospacing="1" w:after="100" w:afterAutospacing="1"/>
      </w:pPr>
      <w:r w:rsidRPr="00662953">
        <w:t xml:space="preserve">Depuis 2015, le plan </w:t>
      </w:r>
      <w:r w:rsidRPr="006C4DEC">
        <w:t>de</w:t>
      </w:r>
      <w:r w:rsidRPr="00B0549A">
        <w:t xml:space="preserve"> compétitivité et l’adaptation des exploitations agricoles (PCAE) propose des aides financières pour </w:t>
      </w:r>
      <w:r w:rsidRPr="00A353B8">
        <w:t>des investissements réalisés par les exploitations agricoles comme la modernisation des bâtiments d’élevage, une meilleure gestion des effluents (couvertures des fosses), l’amélioration de l’autonomie alimentaire du cheptel, amélioration de performance énergétique des exploitations agricoles en développant notamment la méthanisation</w:t>
      </w:r>
      <w:r w:rsidRPr="00CC4C75">
        <w:t>.</w:t>
      </w:r>
      <w:r w:rsidRPr="00662953">
        <w:t xml:space="preserve"> </w:t>
      </w:r>
      <w:r w:rsidRPr="006C4DEC">
        <w:t>Il permet de moderniser l’a</w:t>
      </w:r>
      <w:r w:rsidRPr="00A353B8">
        <w:t>ppareil de production, d’innover, de combiner performance économique, environnementale, sanitaire et sociale, et de favoriser l’installation de nouveaux agriculteurs. Il est décliné dans chacun des programmes de développement</w:t>
      </w:r>
      <w:r w:rsidRPr="002B67E5">
        <w:t xml:space="preserve"> rural régionaux, dont les Régions sont autorité de gestion. Depuis 2018, il est intégré aux outils du volet agricole du Grand plan d'investissement destinés à répondre aux enjeux de modernisation des exploitations agricoles. Il est également le support de la mise en oeuvre de la mesure "PACTE biosécurité et bien-être animal en élevage" du Plan de Relance, dotée de 90M€ (dont 86,5M€ pour le soutien aux investissements). </w:t>
      </w:r>
      <w:r>
        <w:t>Entre 2015 et 2019, l'enveloppe globale annuelle consacrée au PCAE a presque doublé puisqu'elle était de 313 millions d’euros en 2015 pour atteindre 621 millions d’euros en 2019</w:t>
      </w:r>
      <w:r>
        <w:rPr>
          <w:rStyle w:val="FootnoteReference"/>
        </w:rPr>
        <w:footnoteReference w:id="32"/>
      </w:r>
      <w:r w:rsidRPr="002B67E5">
        <w:rPr>
          <w:rFonts w:ascii="Calibri" w:hAnsi="Calibri" w:cs="Calibri"/>
        </w:rPr>
        <w:t> </w:t>
      </w:r>
      <w:r>
        <w:t>;</w:t>
      </w:r>
    </w:p>
    <w:p w14:paraId="54A07FC3" w14:textId="77777777" w:rsidR="00426FA6" w:rsidRPr="006A0CFC" w:rsidRDefault="00426FA6" w:rsidP="003F57EA">
      <w:pPr>
        <w:pStyle w:val="ListParagraph"/>
        <w:numPr>
          <w:ilvl w:val="0"/>
          <w:numId w:val="89"/>
        </w:numPr>
        <w:spacing w:before="240" w:after="60"/>
      </w:pPr>
      <w:r w:rsidRPr="006A0CFC">
        <w:t>En 2019, un fonds de garantie a été mis en place par le Ministère en charge de l’agriculture et abondé à hauteur de 25 millions d’euros, afin de permettre à BPI France de proposer jusqu’à 100 millions d’euros de prêts sans garantie pour les projets de méthanisation agricole avec injection dans le réseau de gaz de plus de 125 Nm3 dans le but d’aider à la concrétisation des tours de table financiers (prise en charge de jusqu’à 20 % du montant de l’investissement sous forme de prêts).</w:t>
      </w:r>
    </w:p>
    <w:p w14:paraId="2C523DC6" w14:textId="77777777" w:rsidR="00426FA6" w:rsidRDefault="00426FA6" w:rsidP="003F57EA">
      <w:pPr>
        <w:pStyle w:val="ListParagraph"/>
        <w:numPr>
          <w:ilvl w:val="0"/>
          <w:numId w:val="89"/>
        </w:numPr>
        <w:spacing w:before="0" w:after="0" w:line="259" w:lineRule="auto"/>
      </w:pPr>
      <w:r>
        <w:t xml:space="preserve">Le </w:t>
      </w:r>
      <w:r w:rsidRPr="00AB6E55">
        <w:rPr>
          <w:b/>
          <w:bCs/>
        </w:rPr>
        <w:t>projet de plan stratégique national PAC 2023-2027</w:t>
      </w:r>
      <w:r>
        <w:t xml:space="preserve"> promeut le développement de pratiques agro-écologiques dans les élevages à travers la conditionnalité renforcée, l’écorégime, les mesures agro-environnementales et climatiques (MAEC), les investissements, le renforcement des aides couplées aux légumineuses ou encore les plafonds de l’ICHN et de l’aide couplée bovine qui tiennent compte de la surface fourragère, très majoritairement constituée de prairies dans notre pays. Ces mesures incitent à l’extensification des élevages avec un recours accru au pâturage, ainsi qu’à l’autonomie protéique des exploitations via l’augmentation de la production de légumineuses. Le PSN favorise le bouclage des cycles entre cultures et élevage à l’échelle des exploitations et des territoires, et une meilleure gestion des effluents d’élevage.</w:t>
      </w:r>
    </w:p>
    <w:p w14:paraId="6A1897EA" w14:textId="77777777" w:rsidR="00426FA6" w:rsidRDefault="00426FA6" w:rsidP="003F57EA">
      <w:pPr>
        <w:pStyle w:val="ListParagraph"/>
        <w:numPr>
          <w:ilvl w:val="0"/>
          <w:numId w:val="89"/>
        </w:numPr>
        <w:spacing w:before="0" w:after="0" w:line="259" w:lineRule="auto"/>
      </w:pPr>
      <w:r>
        <w:t xml:space="preserve">Le </w:t>
      </w:r>
      <w:r w:rsidRPr="00AB6E55">
        <w:rPr>
          <w:b/>
          <w:bCs/>
        </w:rPr>
        <w:t>programme national de développement agricole et rural</w:t>
      </w:r>
      <w:r>
        <w:t xml:space="preserve"> (PNDAR) intègre à compter de 2023 la priorité relative à la réduction des émissions de GES de l'agriculture et au développement des techniques permettant de stocker du carbone (thème prioritaire 3 de la programmation 2022-2027).  Le PNDAR soutient notamment des projets de R&amp;D et des démarches de transfert des connaissances qui peuvent donc contribuer à la diminution des émissions de GES, en réduisant par exemple les périodes improductives des animaux, en travaillant sur leur longévité, leur efficience alimentaire en particulier au pâturage et leur capacité à valoriser une diversité de ressources fourragères (notamment herbacées et ligneuses).</w:t>
      </w:r>
    </w:p>
    <w:p w14:paraId="4C88D4AF" w14:textId="77777777" w:rsidR="00426FA6" w:rsidRDefault="00426FA6" w:rsidP="003F57EA">
      <w:pPr>
        <w:pStyle w:val="ListParagraph"/>
        <w:numPr>
          <w:ilvl w:val="0"/>
          <w:numId w:val="89"/>
        </w:numPr>
        <w:autoSpaceDE w:val="0"/>
        <w:autoSpaceDN w:val="0"/>
        <w:adjustRightInd w:val="0"/>
        <w:spacing w:before="0" w:after="0"/>
      </w:pPr>
      <w:r w:rsidRPr="00AB6E55">
        <w:rPr>
          <w:rFonts w:eastAsia="Arial" w:cs="Arial"/>
        </w:rPr>
        <w:t xml:space="preserve">La consommation de légumineuses (protéines végétales) est en hausse dans les ménages en France. Elle a augmenté de 9 % entre 2015 et 2017. Permettre aux Français de </w:t>
      </w:r>
      <w:r w:rsidRPr="00AB6E55">
        <w:rPr>
          <w:rFonts w:eastAsia="Arial" w:cs="Arial"/>
          <w:b/>
          <w:bCs/>
        </w:rPr>
        <w:t xml:space="preserve">diversifier leurs apports en protéines en mangeant des légumes secs issus de productions locales est une priorité, en ligne avec les recommandations du Programme national nutrition santé </w:t>
      </w:r>
      <w:r w:rsidRPr="00AB6E55">
        <w:rPr>
          <w:rFonts w:eastAsia="Arial" w:cs="Arial"/>
        </w:rPr>
        <w:t>(PNNS). L’enjeu est donc de favoriser le développement d’une offre française locale pour répondre à cette demande croissante</w:t>
      </w:r>
      <w:r w:rsidRPr="00AB6E55">
        <w:rPr>
          <w:rFonts w:ascii="Marianne-Regular" w:hAnsi="Marianne-Regular" w:cs="Marianne-Regular"/>
          <w:color w:val="333333"/>
          <w:sz w:val="18"/>
          <w:szCs w:val="18"/>
        </w:rPr>
        <w:t xml:space="preserve">. </w:t>
      </w:r>
      <w:r w:rsidRPr="00AB6E55">
        <w:rPr>
          <w:rFonts w:eastAsia="Arial" w:cs="Arial"/>
        </w:rPr>
        <w:t>Les légumineuses ont un intérêt nutritionnel incontestable dans l’alimentation humaine mais également pour la réduction d’émissions de GES associées (l</w:t>
      </w:r>
      <w:r w:rsidRPr="00AF0739">
        <w:t>es cultures de légumineuses contribuent au développement de pratiques nécessitant moins de fertilisation sur la rotation, fournissent de</w:t>
      </w:r>
      <w:r>
        <w:t>s matières premières pour</w:t>
      </w:r>
      <w:r w:rsidRPr="00AF0739">
        <w:t xml:space="preserve"> l'alimentation animale en substitution de soja importé et pouvant être issu d'espaces déforestés</w:t>
      </w:r>
      <w:r>
        <w:t>,</w:t>
      </w:r>
      <w:r w:rsidRPr="00AF0739">
        <w:t xml:space="preserve"> et produisent des légumes secs pour l'alimentation humaine</w:t>
      </w:r>
      <w:r>
        <w:t>)</w:t>
      </w:r>
      <w:r w:rsidRPr="00AB6E55">
        <w:rPr>
          <w:rFonts w:eastAsia="Arial" w:cs="Arial"/>
        </w:rPr>
        <w:t xml:space="preserve">. </w:t>
      </w:r>
      <w:r>
        <w:t xml:space="preserve">Le </w:t>
      </w:r>
      <w:r w:rsidRPr="00AB6E55">
        <w:rPr>
          <w:b/>
          <w:bCs/>
        </w:rPr>
        <w:t>Programme national de l’alimentation et de la nutrition</w:t>
      </w:r>
      <w:r w:rsidRPr="009954D3">
        <w:rPr>
          <w:rStyle w:val="FootnoteReference"/>
          <w:rFonts w:eastAsiaTheme="majorEastAsia"/>
          <w:color w:val="000000" w:themeColor="hyperlink"/>
        </w:rPr>
        <w:footnoteReference w:id="33"/>
      </w:r>
      <w:r>
        <w:t xml:space="preserve"> (2019-2023) </w:t>
      </w:r>
      <w:r w:rsidRPr="00AB6E55">
        <w:rPr>
          <w:rFonts w:eastAsia="Arial" w:cs="Arial"/>
          <w:b/>
          <w:bCs/>
        </w:rPr>
        <w:t>prévoit d’accompagner ce rééquilibrage des protéines végétales et animales dans les régimes alimentaires</w:t>
      </w:r>
      <w:r w:rsidRPr="00AB6E55">
        <w:rPr>
          <w:rFonts w:eastAsia="Arial" w:cs="Arial"/>
        </w:rPr>
        <w:t>. Dans ce cadre, l</w:t>
      </w:r>
      <w:r>
        <w:t xml:space="preserve">a </w:t>
      </w:r>
      <w:r w:rsidRPr="00857B6C">
        <w:t>Loi EG</w:t>
      </w:r>
      <w:r>
        <w:t>alim</w:t>
      </w:r>
      <w:r>
        <w:rPr>
          <w:rStyle w:val="FootnoteReference"/>
          <w:rFonts w:eastAsiaTheme="majorEastAsia"/>
          <w:color w:val="000000" w:themeColor="hyperlink"/>
        </w:rPr>
        <w:footnoteReference w:id="34"/>
      </w:r>
      <w:r>
        <w:t xml:space="preserve"> i</w:t>
      </w:r>
      <w:r w:rsidRPr="00562889">
        <w:t xml:space="preserve">ntroduit </w:t>
      </w:r>
      <w:r>
        <w:t>la proposition</w:t>
      </w:r>
      <w:r w:rsidRPr="00562889">
        <w:t xml:space="preserve"> </w:t>
      </w:r>
      <w:r>
        <w:t>d’</w:t>
      </w:r>
      <w:r w:rsidRPr="00562889">
        <w:t xml:space="preserve">un menu végétarien hebdomadaire </w:t>
      </w:r>
      <w:r>
        <w:t xml:space="preserve">par semaine dans les </w:t>
      </w:r>
      <w:r w:rsidRPr="00C873FA">
        <w:t>services de restauration collective</w:t>
      </w:r>
      <w:r w:rsidRPr="00562889">
        <w:t xml:space="preserve"> </w:t>
      </w:r>
      <w:r>
        <w:t xml:space="preserve">dans un cadre expérimental. </w:t>
      </w:r>
      <w:r w:rsidRPr="00C00F73">
        <w:t xml:space="preserve">Cette proposition est devenue obligatoire avec la Loi </w:t>
      </w:r>
      <w:r>
        <w:t>« </w:t>
      </w:r>
      <w:r w:rsidRPr="00C00F73">
        <w:t>climat et résilience</w:t>
      </w:r>
      <w:r>
        <w:t> » (Article 252)</w:t>
      </w:r>
      <w:r w:rsidRPr="00C00F73">
        <w:t xml:space="preserve"> qui prévoit également une proposition quotidienne de menu végétarien, à titre expérimental, pour la restauration collective gérée par les collectivités territoriales volontaires</w:t>
      </w:r>
      <w:r>
        <w:t xml:space="preserve">. L’État, lui, dans un soucis d’exemplarité, proposera dès 2023, quotidiennement, un menu végétarien en cas de choix multiples offerts aux convives dans ses cantines et celles de ses établissements publics et entreprises publiques nationales. Cette disposition concernera également les universités (article 252 de la Loi « climat et résilience »). </w:t>
      </w:r>
    </w:p>
    <w:p w14:paraId="38540DE6" w14:textId="77777777" w:rsidR="00426FA6" w:rsidRPr="00B82F4A" w:rsidRDefault="00426FA6" w:rsidP="00EF6DB6">
      <w:pPr>
        <w:pStyle w:val="Titre4niveau4"/>
      </w:pPr>
      <w:r w:rsidRPr="00CC4C75">
        <w:t>Mesures visant à réduire les émissions de N2O de l’agriculture</w:t>
      </w:r>
      <w:r w:rsidRPr="00B82F4A">
        <w:t xml:space="preserve"> </w:t>
      </w:r>
    </w:p>
    <w:p w14:paraId="0BA5FF9C" w14:textId="77777777" w:rsidR="00426FA6" w:rsidRDefault="00426FA6" w:rsidP="00426FA6">
      <w:pPr>
        <w:spacing w:before="240" w:after="60"/>
      </w:pPr>
      <w:r w:rsidRPr="00123BDB">
        <w:t>L’agriculture française participe de manière significative à l’émission de certains gaz à effet de serre (GES),</w:t>
      </w:r>
      <w:r w:rsidRPr="00EA2A8F">
        <w:t xml:space="preserve"> notamment à </w:t>
      </w:r>
      <w:r>
        <w:t>90</w:t>
      </w:r>
      <w:r w:rsidRPr="00EA2A8F">
        <w:t>% des émissions de protoxyde d’azote (N2O).</w:t>
      </w:r>
      <w:r>
        <w:t xml:space="preserve"> </w:t>
      </w:r>
      <w:r>
        <w:rPr>
          <w:b/>
          <w:bCs/>
        </w:rPr>
        <w:t>Les émissions de protoxyde d’azote sont le 2</w:t>
      </w:r>
      <w:r>
        <w:rPr>
          <w:b/>
          <w:bCs/>
          <w:vertAlign w:val="superscript"/>
        </w:rPr>
        <w:t>ème</w:t>
      </w:r>
      <w:r>
        <w:rPr>
          <w:b/>
          <w:bCs/>
        </w:rPr>
        <w:t xml:space="preserve"> poste d’émission de GES par l’agriculture (42%)</w:t>
      </w:r>
      <w:r>
        <w:t xml:space="preserve">. </w:t>
      </w:r>
      <w:r w:rsidRPr="00EA2A8F">
        <w:t>Une part</w:t>
      </w:r>
      <w:r>
        <w:t xml:space="preserve"> (84%)</w:t>
      </w:r>
      <w:r w:rsidRPr="00EA2A8F">
        <w:t xml:space="preserve"> de ces émissions est directe, liées principalement à l’utilisation d’engrais azotés minéraux (29%), aux déjections à la pâture (23%), mais aussi aux résidus agricoles (12%), à la gestion des déjections animales au bâtiment et au stockage (7%) et à l’épandage d’engrais et amendements organiques (9%) ; </w:t>
      </w:r>
      <w:r>
        <w:t xml:space="preserve">le reste des émissions est </w:t>
      </w:r>
      <w:r w:rsidRPr="00EA2A8F">
        <w:t xml:space="preserve"> indirect (16%)</w:t>
      </w:r>
      <w:r>
        <w:t xml:space="preserve"> et lié aux pertes d’azote par volatilisation et lixiviation. </w:t>
      </w:r>
      <w:r>
        <w:rPr>
          <w:b/>
          <w:bCs/>
        </w:rPr>
        <w:t xml:space="preserve"> </w:t>
      </w:r>
      <w:r>
        <w:t xml:space="preserve">L’optimisation du cycle de l’azote et l’amélioration de l’autonomie en protéines végétales répondent à cet enjeu. Les </w:t>
      </w:r>
      <w:r>
        <w:rPr>
          <w:b/>
          <w:bCs/>
        </w:rPr>
        <w:t>politiques qui accompagnent la baisse de l’utilisation des engrais minéraux azotés reposent sur la directive nitrates avec le 6</w:t>
      </w:r>
      <w:r>
        <w:rPr>
          <w:b/>
          <w:bCs/>
          <w:vertAlign w:val="superscript"/>
        </w:rPr>
        <w:t>ième</w:t>
      </w:r>
      <w:r>
        <w:rPr>
          <w:b/>
          <w:bCs/>
        </w:rPr>
        <w:t xml:space="preserve"> programme d’action nitrates, la Loi « climat et résilience »</w:t>
      </w:r>
      <w:r>
        <w:t xml:space="preserve"> et </w:t>
      </w:r>
      <w:r>
        <w:rPr>
          <w:b/>
          <w:bCs/>
        </w:rPr>
        <w:t>la stratégie nationale sur les protéines végétales</w:t>
      </w:r>
      <w:r>
        <w:rPr>
          <w:rStyle w:val="FootnoteReference"/>
        </w:rPr>
        <w:footnoteReference w:id="35"/>
      </w:r>
      <w:r>
        <w:t>.</w:t>
      </w:r>
    </w:p>
    <w:p w14:paraId="7A4BA8FC" w14:textId="77777777" w:rsidR="00426FA6" w:rsidRDefault="00426FA6" w:rsidP="00426FA6">
      <w:pPr>
        <w:spacing w:before="240" w:after="60"/>
      </w:pPr>
      <w:r w:rsidRPr="00CC4C75">
        <w:rPr>
          <w:b/>
          <w:bCs/>
        </w:rPr>
        <w:t>La Loi « climat et résilience »</w:t>
      </w:r>
      <w:r w:rsidRPr="00CC4C75">
        <w:t xml:space="preserve"> (publiée en août 2021 - article 268) prévoit une réduction de 15% des émissions de protoxyde d'azote en 2030 par rapport à 2015, en cohérence avec les budgets carbone de la stratégie nationale bas carbone. Le décret d’application définissant la trajectoire pour le secteur agricole a été mis en consultation du 30 novembre 2022 au 22 décembre 2022 et devrait être publié rapidement. La loi climat et résilience prévoit également un plan d'action national en vue de la réduction des émissions de protoxyde d'azote liées aux usages d'engrais azotés minéraux (plan d'acion national éco-azote dit "PANEA") pour accompagner les acteurs dans cette voie ; il envisage de plus la possibilité</w:t>
      </w:r>
      <w:r w:rsidRPr="00CC4C75">
        <w:rPr>
          <w:rFonts w:cs="Marianne"/>
        </w:rPr>
        <w:t xml:space="preserve"> d’une redevance si la trajectoire de réduction des émissions de N2O n’était pas respectée. Ceci se fait en cohérence avec les émissions de NH3 pour la qualité de l’air.</w:t>
      </w:r>
    </w:p>
    <w:p w14:paraId="439EB6EB" w14:textId="77777777" w:rsidR="00426FA6" w:rsidRDefault="00426FA6" w:rsidP="00426FA6">
      <w:pPr>
        <w:spacing w:line="256" w:lineRule="auto"/>
      </w:pPr>
      <w:r>
        <w:t>La stratégie nationale sur les protéines végétales vise notamment le développement des légumineuses via le plan protéines végétales doté de plus de 150 millions d’euros grâce au plan France Relance, complété par le 4</w:t>
      </w:r>
      <w:r>
        <w:rPr>
          <w:vertAlign w:val="superscript"/>
        </w:rPr>
        <w:t>ème</w:t>
      </w:r>
      <w:r>
        <w:t xml:space="preserve"> Plan d'investissement d'avenir (PIA4). Il soutient les actions de recherche et d'innovation, l'accompagnement des investissements matériels, l’appui à la structuration des filières de protéines végétales et aux investissements aval, l’aide à la promotion des légumineuses. La stratégie doit permettre d’ici 2030 de </w:t>
      </w:r>
      <w:r>
        <w:rPr>
          <w:b/>
          <w:bCs/>
        </w:rPr>
        <w:t>doubler les surfaces dédiées à ces productions ainsi portées à 2 millions d’hectares</w:t>
      </w:r>
      <w:r>
        <w:t xml:space="preserve"> (ie 8% de la surface agricole utile). Grâce à la hausse des surfaces de légumineuses, elle contribuera à la réduction de l'utilisation de fertilisants azotés de synthèse, fort contributeurs d'émissions de N</w:t>
      </w:r>
      <w:r>
        <w:rPr>
          <w:vertAlign w:val="subscript"/>
        </w:rPr>
        <w:t>2</w:t>
      </w:r>
      <w:r>
        <w:t>O, et à renforcer notre indépendance aux importations de matières riches en protéines, notamment au soja importé de pays tiers.</w:t>
      </w:r>
    </w:p>
    <w:p w14:paraId="3ADC3A73" w14:textId="77777777" w:rsidR="00426FA6" w:rsidRDefault="00426FA6" w:rsidP="00426FA6">
      <w:pPr>
        <w:spacing w:line="256" w:lineRule="auto"/>
      </w:pPr>
      <w:r>
        <w:t xml:space="preserve">Par ailleurs, le </w:t>
      </w:r>
      <w:r>
        <w:rPr>
          <w:b/>
          <w:bCs/>
        </w:rPr>
        <w:t>PSN 2023-2027</w:t>
      </w:r>
      <w:r>
        <w:t xml:space="preserve"> prévoit de multiplier presque par deux les aides couplées pour accompagner le développement de légumineuses (de 134 millions d’euros en 2020 à 236 millions par an en fin de programmation), afin de favoriser la diminution de l’utilisation des fertilisants azotés de synthèse dans les systèmes de grandes cultures, et de renforcer l’autonomie protéique des élevages. Les aides du PSN visent également un doublement des surfaces cultivées en agriculture biologique d’ici 2027 (soit 18% de la SAU totale), et ainsi une plus grande diversification des cultures avec l’implantation de légumineuses dans les rotations, la réduction des utilisations et risques liés aux produits phytopharmaceutiques et une meilleure valorisation des engrais organiques.</w:t>
      </w:r>
    </w:p>
    <w:p w14:paraId="2DBB28E4" w14:textId="77777777" w:rsidR="00426FA6" w:rsidRPr="0089777A" w:rsidRDefault="00426FA6" w:rsidP="00426FA6">
      <w:pPr>
        <w:spacing w:after="120" w:line="256" w:lineRule="auto"/>
        <w:rPr>
          <w:rFonts w:ascii="Arial" w:hAnsi="Arial"/>
          <w:sz w:val="20"/>
          <w:szCs w:val="22"/>
        </w:rPr>
      </w:pPr>
      <w:r w:rsidRPr="0089777A">
        <w:rPr>
          <w:b/>
          <w:bCs/>
        </w:rPr>
        <w:t>L’objectif de 8 % de la surface agricole utile cultivée en légumineuses d’ici le 1</w:t>
      </w:r>
      <w:r w:rsidRPr="0089777A">
        <w:rPr>
          <w:b/>
          <w:bCs/>
          <w:vertAlign w:val="superscript"/>
        </w:rPr>
        <w:t>er</w:t>
      </w:r>
      <w:r w:rsidRPr="0089777A">
        <w:rPr>
          <w:b/>
          <w:bCs/>
        </w:rPr>
        <w:t xml:space="preserve"> janvier 2030</w:t>
      </w:r>
      <w:r>
        <w:t xml:space="preserve"> a également été adopté (article 261 de la Loi « climat et résilience »).</w:t>
      </w:r>
    </w:p>
    <w:p w14:paraId="001C87E0" w14:textId="77777777" w:rsidR="00426FA6" w:rsidRDefault="00426FA6" w:rsidP="00426FA6">
      <w:pPr>
        <w:spacing w:before="240" w:after="60"/>
      </w:pPr>
      <w:r>
        <w:t xml:space="preserve">La réduction des émissions de N2O passe par une meilleure maîtrise de la fertilisation azotée </w:t>
      </w:r>
      <w:r w:rsidRPr="00B82F4A">
        <w:t xml:space="preserve">et par la lutte contre les excédents d’azote, </w:t>
      </w:r>
      <w:r w:rsidRPr="00AE61FB">
        <w:t>enjeu prioritaire pour le secteur agricole</w:t>
      </w:r>
      <w:r w:rsidRPr="00123BDB">
        <w:t xml:space="preserve">. </w:t>
      </w:r>
      <w:r w:rsidRPr="00CC4C75">
        <w:t>En hausse constante depuis les années 1970, les quantités d'azote minéral vendues (kg) rapportées à la surface fertilisable (en ha) ont atteint un plateau oscillant autour de 90 kg dans les années 1990, suivi d'une légère baisse dans les années 2010 (autour de 85 kg). Cette baisse s'est confirmé lors des 3 dernières campagnes connues (2018 à 2021) avec des valeurs de respectivement 75, 77 et 69 kg.</w:t>
      </w:r>
      <w:r w:rsidRPr="00CC4C75" w:rsidDel="00E51960">
        <w:t xml:space="preserve"> </w:t>
      </w:r>
    </w:p>
    <w:p w14:paraId="61955611" w14:textId="77777777" w:rsidR="00426FA6" w:rsidRDefault="00426FA6" w:rsidP="00426FA6">
      <w:pPr>
        <w:spacing w:before="240" w:after="60"/>
      </w:pPr>
      <w:r>
        <w:t xml:space="preserve">Les </w:t>
      </w:r>
      <w:r w:rsidRPr="00FF7358">
        <w:rPr>
          <w:b/>
        </w:rPr>
        <w:t>programmes d’actions nitrates</w:t>
      </w:r>
      <w:r>
        <w:t>, d’application obligatoire en zones vulnérables, imposent l’équilibre de la fertilisation azotée ainsi que la bonne gestion des effluents d’élevage. Ils visent à apporter l'azote à la bonne dose et au bon moment afin que la culture le prélève rapidement, et ainsi à limiter les fuites vers le milieu. Des cultures intermédiaires pièges à nitrates doivent être introduites sur l’ensemble des parcelles en zones vulnérables sur lesquelles la durée de l’interculture est longue, ce qui peut aider à immobiliser temporairement l'azote de façon à le rendre disponible au moment où la culture principale en aura besoin.</w:t>
      </w:r>
    </w:p>
    <w:p w14:paraId="3913C523" w14:textId="77777777" w:rsidR="00426FA6" w:rsidRDefault="00426FA6" w:rsidP="00426FA6">
      <w:pPr>
        <w:spacing w:before="240" w:after="60"/>
      </w:pPr>
      <w:r>
        <w:t xml:space="preserve">Le </w:t>
      </w:r>
      <w:r w:rsidRPr="00FF7358">
        <w:rPr>
          <w:b/>
        </w:rPr>
        <w:t>plan Énergie méthanisation autonomie azote</w:t>
      </w:r>
      <w:r>
        <w:t xml:space="preserve"> s’inscrit dans une démarche agronomique fondée sur le respect de l’équilibre de la fertilisation et la réduction globale du recours aux intrants. Ce plan contient un ensemble d’outils visant à une meilleure gestion de l'azote, notamment des appels à projets, la valorisation et diffusion de la connaissance, et la simplification des règles administratives. </w:t>
      </w:r>
    </w:p>
    <w:p w14:paraId="467E9459" w14:textId="77777777" w:rsidR="00426FA6" w:rsidRDefault="00426FA6" w:rsidP="00426FA6">
      <w:pPr>
        <w:spacing w:before="240" w:after="60"/>
      </w:pPr>
      <w:r>
        <w:t xml:space="preserve">Le </w:t>
      </w:r>
      <w:r w:rsidRPr="00FF7358">
        <w:rPr>
          <w:b/>
        </w:rPr>
        <w:t>Programme « Ambition bio 2022 »</w:t>
      </w:r>
      <w:r>
        <w:t xml:space="preserve"> a été présenté en juin 2018. Il a pour objectif de couvrir 15 % de la surface agricole utile en agriculture biologique d'ici 2022. Il est doté de 1,1 milliard d’euros</w:t>
      </w:r>
      <w:r>
        <w:rPr>
          <w:rStyle w:val="FootnoteReference"/>
        </w:rPr>
        <w:footnoteReference w:id="36"/>
      </w:r>
      <w:r>
        <w:t xml:space="preserve"> et s'articule autour de sept axes </w:t>
      </w:r>
      <w:r w:rsidRPr="0013006F">
        <w:t>majeurs : développer la production, , la structuration des filières, le développement de la consommation bio, le renforcement de la recherche, la formation des acteurs, l'adaptation de la réglementation, et le développement de la production bio dans les territoires d'outre-mer</w:t>
      </w:r>
      <w:r>
        <w:t>.</w:t>
      </w:r>
      <w:r w:rsidRPr="005605B6">
        <w:t xml:space="preserve"> </w:t>
      </w:r>
      <w:r>
        <w:t>Les aides du PSN visent également un doublement des surfaces cultivées en agriculture biologique d’ici 2027 (soit 18% de la SAU totale), et ainsi une plus grande diversification des cultures avec l’implantation de légumineuses dans les rotations, la réduction des utilisations et risques liés aux produits phytopharmaceutiques et une meilleure valorisation des engrais organiques.</w:t>
      </w:r>
    </w:p>
    <w:p w14:paraId="010E02DC" w14:textId="77777777" w:rsidR="00426FA6" w:rsidRDefault="00426FA6" w:rsidP="00426FA6">
      <w:pPr>
        <w:spacing w:before="240" w:after="60"/>
      </w:pPr>
      <w:r>
        <w:t xml:space="preserve">Le </w:t>
      </w:r>
      <w:r w:rsidRPr="00FF7358">
        <w:rPr>
          <w:b/>
        </w:rPr>
        <w:t>plan semences et agriculture durable</w:t>
      </w:r>
      <w:r>
        <w:t xml:space="preserve">, lancé en 2016, en appuyant la sélection de plantes économes en azote ainsi qu’en améliorant les ressources en semences de légumineuses, contribue à la limitation des émissions de N2O. </w:t>
      </w:r>
      <w:r w:rsidRPr="00F92419">
        <w:t xml:space="preserve">À l’occasion de la tenue de la conférence internationale sur le développement vert du secteur semencier organisée par la FAO les 4 et 5 novembre 2021, </w:t>
      </w:r>
      <w:r>
        <w:t xml:space="preserve">un </w:t>
      </w:r>
      <w:r w:rsidRPr="00F92419">
        <w:t xml:space="preserve">nouveau plan Semences et plants </w:t>
      </w:r>
      <w:r>
        <w:t>au service de l’agro-écologie, de l’adaptation au changement climatique et de la souveraineté alimentaire a été lancé</w:t>
      </w:r>
      <w:r w:rsidRPr="00F92419">
        <w:t xml:space="preserve">. </w:t>
      </w:r>
      <w:r>
        <w:t>Il prévoit des actions organisées autour de quatre axes de travail</w:t>
      </w:r>
      <w:r>
        <w:rPr>
          <w:rFonts w:ascii="Calibri" w:hAnsi="Calibri" w:cs="Calibri"/>
        </w:rPr>
        <w:t> </w:t>
      </w:r>
      <w:r>
        <w:t>: une diversité de variétés et d’espèces, une alimentation de qualité respectueuse de l’environnement, des démarches participatives et l’utilisation de nouvelles techniques, une expertise scientifique au service des pouvoirs publics et de la société</w:t>
      </w:r>
      <w:r>
        <w:rPr>
          <w:rStyle w:val="FootnoteReference"/>
        </w:rPr>
        <w:footnoteReference w:id="37"/>
      </w:r>
      <w:r>
        <w:t>.</w:t>
      </w:r>
    </w:p>
    <w:p w14:paraId="11907450" w14:textId="77777777" w:rsidR="00426FA6" w:rsidRDefault="00426FA6" w:rsidP="00426FA6">
      <w:pPr>
        <w:spacing w:before="240" w:after="60"/>
      </w:pPr>
      <w:r w:rsidRPr="00CC4C75">
        <w:t xml:space="preserve">Le </w:t>
      </w:r>
      <w:r w:rsidRPr="00CC4C75">
        <w:rPr>
          <w:b/>
        </w:rPr>
        <w:t>plan de compétitivité et d’adaptation des exploitations agricoles</w:t>
      </w:r>
      <w:r w:rsidRPr="00CC4C75">
        <w:t xml:space="preserve"> propose des aides aux investissements visant à favoriser, entre autres, l’usage raisonné de la fertilisation minérale et le développement de la culture de légumineuses.</w:t>
      </w:r>
      <w:r>
        <w:t xml:space="preserve"> </w:t>
      </w:r>
    </w:p>
    <w:p w14:paraId="6DCAD1FD" w14:textId="77777777" w:rsidR="00426FA6" w:rsidRDefault="00426FA6" w:rsidP="00EF6DB6">
      <w:pPr>
        <w:pStyle w:val="Titre4niveau4"/>
      </w:pPr>
      <w:r>
        <w:t>Réduction des émissions de CO2 par la maîtrise des consommations d’énergie et le développement des énergies renouvelables dans le secteur de l’agriculture</w:t>
      </w:r>
    </w:p>
    <w:p w14:paraId="18E6D3B5" w14:textId="77777777" w:rsidR="00426FA6" w:rsidRDefault="00426FA6" w:rsidP="00426FA6">
      <w:pPr>
        <w:spacing w:before="240" w:after="60"/>
      </w:pPr>
      <w:r>
        <w:t xml:space="preserve">La méthanisation agricole, mentionnée précédemment, permet la production de biogaz. Ce biogaz peut être valorisé en tant qu’énergie renouvelable sous différentes formes : </w:t>
      </w:r>
    </w:p>
    <w:p w14:paraId="6A547B20" w14:textId="77777777" w:rsidR="00426FA6" w:rsidRDefault="00426FA6" w:rsidP="00426FA6">
      <w:pPr>
        <w:numPr>
          <w:ilvl w:val="0"/>
          <w:numId w:val="15"/>
        </w:numPr>
        <w:spacing w:before="240" w:after="240"/>
      </w:pPr>
      <w:r>
        <w:t>Par la production simple de chaleur qui sera consommée à proximité du site de production ;</w:t>
      </w:r>
    </w:p>
    <w:p w14:paraId="4604798E" w14:textId="77777777" w:rsidR="00426FA6" w:rsidRDefault="00426FA6" w:rsidP="00426FA6">
      <w:pPr>
        <w:numPr>
          <w:ilvl w:val="0"/>
          <w:numId w:val="15"/>
        </w:numPr>
        <w:spacing w:before="240" w:after="240"/>
      </w:pPr>
      <w:r>
        <w:t xml:space="preserve">Par la production combinée d’électricité et de chaleur (cogénération) par combustion dans un moteur ; </w:t>
      </w:r>
    </w:p>
    <w:p w14:paraId="34B80AE3" w14:textId="77777777" w:rsidR="00426FA6" w:rsidRDefault="00426FA6" w:rsidP="00426FA6">
      <w:pPr>
        <w:numPr>
          <w:ilvl w:val="0"/>
          <w:numId w:val="15"/>
        </w:numPr>
        <w:spacing w:before="240" w:after="240"/>
      </w:pPr>
      <w:r>
        <w:t xml:space="preserve">Par l’injection dans les réseaux de gaz naturel après une étape d’épuration (le biogaz devient alors du biométhane) ; </w:t>
      </w:r>
    </w:p>
    <w:p w14:paraId="13867930" w14:textId="77777777" w:rsidR="00426FA6" w:rsidRDefault="00426FA6" w:rsidP="00426FA6">
      <w:pPr>
        <w:numPr>
          <w:ilvl w:val="0"/>
          <w:numId w:val="15"/>
        </w:numPr>
        <w:spacing w:before="240" w:after="240"/>
      </w:pPr>
      <w:r>
        <w:t xml:space="preserve">Par la transformation en carburant sous forme de gaz naturel véhicule (GNV). </w:t>
      </w:r>
    </w:p>
    <w:p w14:paraId="28E3EE4C" w14:textId="77777777" w:rsidR="00426FA6" w:rsidRDefault="00426FA6" w:rsidP="00426FA6">
      <w:pPr>
        <w:spacing w:before="240" w:after="60"/>
      </w:pPr>
      <w:r>
        <w:t xml:space="preserve">Le plan de compétitivité et d’adaptation des exploitations agricoles, cité précédemment, permet également de subventionner des actions additionnelles de réduction des consommations d’énergie et de développement des énergies renouvelables. </w:t>
      </w:r>
    </w:p>
    <w:p w14:paraId="4B399481" w14:textId="77777777" w:rsidR="00426FA6" w:rsidRDefault="00426FA6" w:rsidP="00EF6DB6">
      <w:pPr>
        <w:pStyle w:val="Titre4niveau4"/>
      </w:pPr>
      <w:r>
        <w:t xml:space="preserve">Mesures agissant sur les différents leviers de réduction des émissions de l’agriculture </w:t>
      </w:r>
    </w:p>
    <w:p w14:paraId="7B02E9DC" w14:textId="77777777" w:rsidR="00426FA6" w:rsidRPr="00123BDB" w:rsidRDefault="00426FA6" w:rsidP="00426FA6">
      <w:pPr>
        <w:spacing w:before="240" w:after="60"/>
      </w:pPr>
      <w:r w:rsidRPr="00B82F4A">
        <w:t>Les mesures agro-environnementales et climatiques (MAEC) permettent d’accompagner financièrement les exploitations agricoles qui s’engagent dans le développement de pratiques combinant performance économique et performance environnementale ou dans le maintien de telles pratiques lorsqu’elles sont menacées de disparition. Pour la période 2014-202</w:t>
      </w:r>
      <w:r w:rsidRPr="00CC4C75">
        <w:t>2</w:t>
      </w:r>
      <w:r w:rsidRPr="00B82F4A">
        <w:t>, les mesures agro-environnementales et climatiques suivantes sont pri</w:t>
      </w:r>
      <w:r w:rsidRPr="00123BDB">
        <w:t xml:space="preserve">vilégiées : </w:t>
      </w:r>
    </w:p>
    <w:p w14:paraId="39D28453" w14:textId="77777777" w:rsidR="00426FA6" w:rsidRPr="00123BDB" w:rsidRDefault="00426FA6" w:rsidP="00426FA6">
      <w:pPr>
        <w:numPr>
          <w:ilvl w:val="0"/>
          <w:numId w:val="15"/>
        </w:numPr>
        <w:spacing w:before="240" w:after="240"/>
      </w:pPr>
      <w:r w:rsidRPr="00123BDB">
        <w:t xml:space="preserve">Les MAEC répondant à une logique de système, consistant à proposer un engagement global d’une exploitation, plutôt que l’engagement des seules parcelles sur lesquelles existe un enjeu environnemental singulier ; </w:t>
      </w:r>
    </w:p>
    <w:p w14:paraId="5C2B311A" w14:textId="77777777" w:rsidR="00426FA6" w:rsidRPr="00123BDB" w:rsidRDefault="00426FA6" w:rsidP="00426FA6">
      <w:pPr>
        <w:numPr>
          <w:ilvl w:val="0"/>
          <w:numId w:val="15"/>
        </w:numPr>
        <w:spacing w:before="240" w:after="240"/>
      </w:pPr>
      <w:r w:rsidRPr="00123BDB">
        <w:t xml:space="preserve">Maintien de pratiques pour les systèmes herbagers extensifs/limitation intensification et retour de la matière organique au sol ; </w:t>
      </w:r>
    </w:p>
    <w:p w14:paraId="0007A132" w14:textId="77777777" w:rsidR="00426FA6" w:rsidRPr="00123BDB" w:rsidRDefault="00426FA6" w:rsidP="00426FA6">
      <w:pPr>
        <w:numPr>
          <w:ilvl w:val="0"/>
          <w:numId w:val="15"/>
        </w:numPr>
        <w:spacing w:before="240" w:after="240"/>
      </w:pPr>
      <w:r w:rsidRPr="00123BDB">
        <w:t xml:space="preserve">Maintien et changement de pratique pour les systèmes de polyculture-élevage/limitation des intrants ; - changement de pratique pour les grandes cultures/limitation des intrants ; </w:t>
      </w:r>
    </w:p>
    <w:p w14:paraId="3FBF9A1C" w14:textId="77777777" w:rsidR="00426FA6" w:rsidRPr="00123BDB" w:rsidRDefault="00426FA6" w:rsidP="00426FA6">
      <w:pPr>
        <w:numPr>
          <w:ilvl w:val="0"/>
          <w:numId w:val="15"/>
        </w:numPr>
        <w:spacing w:before="240" w:after="240"/>
      </w:pPr>
      <w:r w:rsidRPr="00123BDB">
        <w:t xml:space="preserve">Introduction de légumineuses dans les systèmes irrigués (en particulier dans les systèmes en monoculture de maïs) ; </w:t>
      </w:r>
    </w:p>
    <w:p w14:paraId="3487FEB0" w14:textId="77777777" w:rsidR="00426FA6" w:rsidRPr="00123BDB" w:rsidRDefault="00426FA6" w:rsidP="00426FA6">
      <w:pPr>
        <w:numPr>
          <w:ilvl w:val="0"/>
          <w:numId w:val="15"/>
        </w:numPr>
        <w:spacing w:before="240" w:after="240"/>
      </w:pPr>
      <w:r w:rsidRPr="00123BDB">
        <w:t>Entretien des éléments topographiques tels que les haies, les bosquets, les alignements d'arbres, etc.</w:t>
      </w:r>
    </w:p>
    <w:p w14:paraId="6042773C" w14:textId="77777777" w:rsidR="00426FA6" w:rsidRPr="00AE61FB" w:rsidRDefault="00426FA6" w:rsidP="00426FA6">
      <w:pPr>
        <w:spacing w:before="240" w:after="60"/>
      </w:pPr>
      <w:r w:rsidRPr="00B82F4A">
        <w:t>Pour la période 2023-2027, les MAEC qui concernent plus particulièrement l’atténuation du climat sont</w:t>
      </w:r>
      <w:r w:rsidRPr="00B82F4A">
        <w:rPr>
          <w:rFonts w:ascii="Calibri" w:hAnsi="Calibri" w:cs="Calibri"/>
        </w:rPr>
        <w:t> </w:t>
      </w:r>
      <w:r>
        <w:rPr>
          <w:rFonts w:ascii="Calibri" w:hAnsi="Calibri" w:cs="Calibri"/>
        </w:rPr>
        <w:t xml:space="preserve">notamment </w:t>
      </w:r>
      <w:r>
        <w:t xml:space="preserve">les MAEC « transition des pratiques », « qualité et préservation du sol », </w:t>
      </w:r>
      <w:r w:rsidRPr="00AE61FB">
        <w:t>« climat – bien être animal – autonomie fourragère et alimentaire pour les élevages ».</w:t>
      </w:r>
    </w:p>
    <w:p w14:paraId="70E515B5" w14:textId="77777777" w:rsidR="00426FA6" w:rsidRPr="00AE61FB" w:rsidRDefault="00426FA6" w:rsidP="00426FA6">
      <w:pPr>
        <w:spacing w:before="240" w:after="60"/>
      </w:pPr>
      <w:r w:rsidRPr="00AE61FB">
        <w:t xml:space="preserve">Le Projet agro-écologique incite à innover et à engager la transition vers de nouveaux systèmes de production performants dans toutes leurs dimensions (économique, environnementale, et sociale) en favorisant la recherche, la formation et la communication sur l'agroécologie. </w:t>
      </w:r>
    </w:p>
    <w:p w14:paraId="1F7EA396" w14:textId="77777777" w:rsidR="00426FA6" w:rsidRDefault="00426FA6" w:rsidP="00426FA6">
      <w:pPr>
        <w:spacing w:before="240" w:after="60"/>
      </w:pPr>
      <w:r w:rsidRPr="00AE61FB">
        <w:t>Le Plan « Enseigner à produire autrement » a été lancé pour généraliser l’agroécologie dans l’enseignement agricole. Aujourd’hui, le nouveau plan « Enseigner à produire autrement, pour les transitions et l’agroécologie », vise à amplifier la dynamique, autour de 4 axes : encourager la parole et l’initiative des apprenants sur les questions des transitions et de l’agroécologie ;  mobiliser la communauté éducative pour enseigner l’agroécologie et poursuivre les transitions ; amplifier la mobilisation des exploitations agricoles et ateliers technologiques comme support d’apprentissage, de démonstration et d’expérimentation ; développer l’animation dans les territoires et l’essaimage des pratiques innovantes.</w:t>
      </w:r>
    </w:p>
    <w:p w14:paraId="58567B72" w14:textId="77777777" w:rsidR="00426FA6" w:rsidRDefault="00426FA6" w:rsidP="00426FA6">
      <w:pPr>
        <w:spacing w:before="240" w:after="60"/>
      </w:pPr>
      <w:r w:rsidRPr="00AE61FB">
        <w:t>La stratégie national</w:t>
      </w:r>
      <w:r w:rsidRPr="00CC4C75">
        <w:t>e</w:t>
      </w:r>
      <w:r w:rsidRPr="00AE61FB">
        <w:t xml:space="preserve"> biodiversité 2030 publiée au printemps 2022</w:t>
      </w:r>
      <w:r w:rsidRPr="00AE61FB">
        <w:rPr>
          <w:rStyle w:val="FootnoteReference"/>
        </w:rPr>
        <w:footnoteReference w:id="38"/>
      </w:r>
      <w:r w:rsidRPr="00AE61FB">
        <w:t xml:space="preserve"> prévoit la préservation des écosystèmes sensibles, notamment ceux </w:t>
      </w:r>
      <w:r w:rsidRPr="00CC4C75">
        <w:t>riches</w:t>
      </w:r>
      <w:r w:rsidRPr="00AE61FB">
        <w:t xml:space="preserve"> </w:t>
      </w:r>
      <w:r w:rsidRPr="00CC4C75">
        <w:t>en</w:t>
      </w:r>
      <w:r w:rsidRPr="00AE61FB">
        <w:t xml:space="preserve"> carbone</w:t>
      </w:r>
      <w:r w:rsidRPr="00CC4C75">
        <w:t xml:space="preserve"> comme les prairies</w:t>
      </w:r>
      <w:r w:rsidRPr="00AE61FB">
        <w:t>, entre autres par le 4</w:t>
      </w:r>
      <w:r w:rsidRPr="00AE61FB">
        <w:rPr>
          <w:vertAlign w:val="superscript"/>
        </w:rPr>
        <w:t>ième</w:t>
      </w:r>
      <w:r w:rsidRPr="00AE61FB">
        <w:t xml:space="preserve"> plan d’action pour les milieux humides 2022-2026.</w:t>
      </w:r>
    </w:p>
    <w:p w14:paraId="08CAA8F9" w14:textId="77777777" w:rsidR="00426FA6" w:rsidRDefault="00426FA6" w:rsidP="00426FA6">
      <w:pPr>
        <w:spacing w:before="240" w:after="60"/>
      </w:pPr>
      <w:r w:rsidRPr="00CC4C75">
        <w:t>Le volet agricole de la feuille de route économie circulaire (FREC), publié en 2019, vise à mobiliser les matières fertilisantes issues du recyclage pour substituer en partie les engrais minéraux issus de ressources non renouvelables et contribuer à l'apport de matières organiques, et donc de carbone, dans les sols.</w:t>
      </w:r>
    </w:p>
    <w:p w14:paraId="61C102CA" w14:textId="77777777" w:rsidR="00426FA6" w:rsidRDefault="00426FA6" w:rsidP="00426FA6">
      <w:pPr>
        <w:spacing w:before="240" w:after="60"/>
      </w:pPr>
      <w:r>
        <w:t>Porté par le ministère en charge de la transition énergétique, le Label bas-carbone</w:t>
      </w:r>
      <w:r>
        <w:rPr>
          <w:rStyle w:val="FootnoteReference"/>
        </w:rPr>
        <w:footnoteReference w:id="39"/>
      </w:r>
      <w:r>
        <w:t xml:space="preserve"> ,</w:t>
      </w:r>
      <w:r w:rsidRPr="002D37E9">
        <w:rPr>
          <w:b/>
          <w:bCs/>
        </w:rPr>
        <w:t>lancé en 2019</w:t>
      </w:r>
      <w:r>
        <w:rPr>
          <w:b/>
          <w:bCs/>
        </w:rPr>
        <w:t>,</w:t>
      </w:r>
      <w:r w:rsidRPr="002D37E9">
        <w:rPr>
          <w:b/>
          <w:bCs/>
        </w:rPr>
        <w:t xml:space="preserve"> </w:t>
      </w:r>
      <w:r>
        <w:t xml:space="preserve">a pour objectif de récompenser les comportements vertueux de réduction des émissions de gaz à effet de serre </w:t>
      </w:r>
      <w:r w:rsidRPr="00FA0182">
        <w:t>et de séquestration carbone dans tous les secteurs (forêt, agriculture, transport, bâtiment, déchets, etc.)</w:t>
      </w:r>
      <w:r>
        <w:t>,</w:t>
      </w:r>
      <w:r w:rsidRPr="00FA0182">
        <w:t xml:space="preserve"> </w:t>
      </w:r>
      <w:r>
        <w:t xml:space="preserve">qui vont au-delà des pratiques usuelles, </w:t>
      </w:r>
      <w:r w:rsidRPr="00FA0182">
        <w:t>et de les valoriser économiquement grâce à un financement volontaire pa</w:t>
      </w:r>
      <w:r>
        <w:t>r des acteurs privés ou publics,</w:t>
      </w:r>
      <w:r w:rsidRPr="00FA0182">
        <w:t xml:space="preserve"> </w:t>
      </w:r>
      <w:r>
        <w:t xml:space="preserve">afin de susciter des actions locales et additionnelles. Le Label bas carbone </w:t>
      </w:r>
      <w:r w:rsidRPr="004E6C6A">
        <w:t xml:space="preserve">permet de déclencher des financements publics ou privés </w:t>
      </w:r>
      <w:r>
        <w:t>volontaires ou correspondant à l’accomplissement d’obligation de compensation (cf. article 147 de la loi « climat et résilience » relatif à la compensation des émissions des vols intérieurs). Pour ce faire, il reconnaît des « réductions d’émissions », sur la base de méthodes élaborées par les parties prenantes et approuvées par le ministère en charge de la transition énergétique, pouvant être acquises par des acteurs souhaitant notamment compenser leurs émissions, ce qui permet le financement des projets.</w:t>
      </w:r>
    </w:p>
    <w:p w14:paraId="4494F146" w14:textId="77777777" w:rsidR="00426FA6" w:rsidRDefault="00426FA6" w:rsidP="00426FA6">
      <w:pPr>
        <w:spacing w:before="240" w:after="60"/>
      </w:pPr>
      <w:r>
        <w:t xml:space="preserve">Déjà 6 méthodes approuvées par le Ministère de la Transition Energétique dans le secteur agricole : </w:t>
      </w:r>
    </w:p>
    <w:p w14:paraId="20F8E7DE" w14:textId="77777777" w:rsidR="00426FA6" w:rsidRDefault="00426FA6" w:rsidP="00426FA6">
      <w:pPr>
        <w:numPr>
          <w:ilvl w:val="0"/>
          <w:numId w:val="15"/>
        </w:numPr>
        <w:spacing w:before="240" w:after="240"/>
      </w:pPr>
      <w:r>
        <w:t xml:space="preserve">La méthode « Carbon Agri », développée par l’institut de l’Elevage, valorisant les pratiques permettant l’atténuation des émissions de GES et l’augmentation du stockage du carbone dans les sols des exploitations agricoles en élevage bovin et de grandes cultures ; </w:t>
      </w:r>
    </w:p>
    <w:p w14:paraId="07E3F689" w14:textId="77777777" w:rsidR="00426FA6" w:rsidRDefault="00426FA6" w:rsidP="00426FA6">
      <w:pPr>
        <w:numPr>
          <w:ilvl w:val="0"/>
          <w:numId w:val="15"/>
        </w:numPr>
        <w:spacing w:before="240" w:after="240"/>
      </w:pPr>
      <w:r>
        <w:t>La méthode « Haies », développée par la Chambre d’agriculture des Pays de la Loire</w:t>
      </w:r>
      <w:r w:rsidRPr="00A8610E">
        <w:rPr>
          <w:rFonts w:ascii="Calibri" w:hAnsi="Calibri" w:cs="Calibri"/>
        </w:rPr>
        <w:t> </w:t>
      </w:r>
      <w:r w:rsidRPr="009B7F8A">
        <w:t>cible la gestion durable des haies</w:t>
      </w:r>
      <w:r>
        <w:t xml:space="preserve"> ; </w:t>
      </w:r>
    </w:p>
    <w:p w14:paraId="4F7592CD" w14:textId="77777777" w:rsidR="00426FA6" w:rsidRDefault="00426FA6" w:rsidP="00426FA6">
      <w:pPr>
        <w:numPr>
          <w:ilvl w:val="0"/>
          <w:numId w:val="15"/>
        </w:numPr>
        <w:spacing w:before="240" w:after="240"/>
      </w:pPr>
      <w:r>
        <w:t>La méthode « Plantation de vergers », développée par la Compagnie des Amandes, valorisant les réductions d’émissions et le stockage de carbone permis par la plantation de verger</w:t>
      </w:r>
      <w:r w:rsidRPr="00A8610E">
        <w:rPr>
          <w:rFonts w:ascii="Calibri" w:hAnsi="Calibri" w:cs="Calibri"/>
        </w:rPr>
        <w:t> </w:t>
      </w:r>
      <w:r>
        <w:t xml:space="preserve">; </w:t>
      </w:r>
    </w:p>
    <w:p w14:paraId="6C8DA2AE" w14:textId="77777777" w:rsidR="00426FA6" w:rsidRDefault="00426FA6" w:rsidP="00426FA6">
      <w:pPr>
        <w:pStyle w:val="ListParagraph"/>
        <w:numPr>
          <w:ilvl w:val="0"/>
          <w:numId w:val="15"/>
        </w:numPr>
        <w:spacing w:before="240" w:beforeAutospacing="1" w:after="240" w:afterAutospacing="1"/>
        <w:jc w:val="left"/>
      </w:pPr>
      <w:r>
        <w:t>La méthode « Grandes cultures », élaborée par un consortium d’instituts techniques dont Arvalis,</w:t>
      </w:r>
      <w:r w:rsidRPr="008A5CFA">
        <w:rPr>
          <w:rFonts w:ascii="Times New Roman" w:hAnsi="Times New Roman"/>
          <w:sz w:val="24"/>
        </w:rPr>
        <w:t xml:space="preserve"> </w:t>
      </w:r>
      <w:r w:rsidRPr="009B7F8A">
        <w:t>Terres Inovia, l'ITB, l'ARTB et Agrosolutions</w:t>
      </w:r>
      <w:r>
        <w:t>, permettant aux agriculteurs de valoriser les réductions d’émissions et l’augmentation du stockage de carbone liées à la mise en œuvre d’un ensemble de pratiques à l’échelle de l’exploitation de grandes cultures (par exemple couverture des sols ou inter-cultures)</w:t>
      </w:r>
      <w:r w:rsidRPr="008A5CFA">
        <w:rPr>
          <w:rFonts w:ascii="Calibri" w:hAnsi="Calibri" w:cs="Calibri"/>
        </w:rPr>
        <w:t> </w:t>
      </w:r>
      <w:r>
        <w:t xml:space="preserve">; </w:t>
      </w:r>
    </w:p>
    <w:p w14:paraId="10A6CFBF" w14:textId="77777777" w:rsidR="00426FA6" w:rsidRDefault="00426FA6" w:rsidP="00426FA6">
      <w:pPr>
        <w:numPr>
          <w:ilvl w:val="0"/>
          <w:numId w:val="15"/>
        </w:numPr>
        <w:spacing w:before="240" w:after="240"/>
      </w:pPr>
      <w:r>
        <w:t>La méthode "SOBAC'ECO TMM" développée par l'entreprise SOBAC et ciblant la gestion des intrants</w:t>
      </w:r>
      <w:r w:rsidRPr="00A8610E">
        <w:rPr>
          <w:rFonts w:ascii="Calibri" w:hAnsi="Calibri" w:cs="Calibri"/>
        </w:rPr>
        <w:t> </w:t>
      </w:r>
      <w:r>
        <w:t xml:space="preserve">; </w:t>
      </w:r>
    </w:p>
    <w:p w14:paraId="6A7C8077" w14:textId="77777777" w:rsidR="00426FA6" w:rsidRDefault="00426FA6" w:rsidP="00426FA6">
      <w:pPr>
        <w:numPr>
          <w:ilvl w:val="0"/>
          <w:numId w:val="15"/>
        </w:numPr>
        <w:spacing w:before="240" w:after="240"/>
      </w:pPr>
      <w:r>
        <w:t>La méthode Ecométhane", développée par l'entreprise Bleu Blanc Cœur, ciblant la réduction des émissions de méthane d'origine digestive par l'alimentation des bovins laitiers.</w:t>
      </w:r>
    </w:p>
    <w:p w14:paraId="45594A45" w14:textId="77777777" w:rsidR="00426FA6" w:rsidRDefault="00426FA6" w:rsidP="00426FA6">
      <w:r w:rsidRPr="00FA0182">
        <w:t>Plusieurs projets ont été validés, dont un projet Carbon Agri qui regroupe 300 éleveurs pour une baisse d’émissions de 0,139 MtCO2eq. Plus d’une trentaine de projets agricoles sont par ailleurs en cours d’élaboration. La communication du 15 décembre 2021 de la Commission européenne relative aux cycles durables du carbone, qui vise à soutenir le développement de solutions d’absorption du carbone, permettra un développement harmonisé de ces pratiques et outils au niveau de l’Union Européenne. Cette communication propose un plan d’action pour promouvoir le stockage du carbone dans les sols agricoles et forestiers, soutenir de nouvelles technologies d’absorption et mettre en place un cadre réglementaire pour la certification des absorptions de carbone.</w:t>
      </w:r>
    </w:p>
    <w:p w14:paraId="0D830845" w14:textId="77777777" w:rsidR="00426FA6" w:rsidRDefault="00426FA6" w:rsidP="00426FA6">
      <w:pPr>
        <w:spacing w:before="240" w:after="60"/>
      </w:pPr>
      <w:r>
        <w:t>Les obligations de compensation pour les compagnies aériennes pour les émissions liées aux vols intérieurs (article 147 de la loi climat et résilience et décret d’application publié le 27 avril 2022</w:t>
      </w:r>
      <w:r>
        <w:rPr>
          <w:rStyle w:val="FootnoteReference"/>
        </w:rPr>
        <w:footnoteReference w:id="40"/>
      </w:r>
      <w:r>
        <w:t>) et pour les centrales à charbon dont l’exploitation est prolongée (article 36 de la loi pouvoir d’achat), vont accroître considérablement la demande pour les projets labellisés bas carbone. Les agriculteurs ont donc intérêt à se lancer dans la démarche pour recevoir des financements et participer à la décarbonation du secteur.</w:t>
      </w:r>
    </w:p>
    <w:p w14:paraId="76E0F250" w14:textId="77777777" w:rsidR="00426FA6" w:rsidRPr="007B407D" w:rsidRDefault="00426FA6" w:rsidP="00426FA6">
      <w:pPr>
        <w:pStyle w:val="Heading4"/>
        <w:numPr>
          <w:ilvl w:val="0"/>
          <w:numId w:val="0"/>
        </w:numPr>
      </w:pPr>
      <w:r>
        <w:t>Mesures pour influencer la demande et les modes de consommation alimentaire</w:t>
      </w:r>
    </w:p>
    <w:p w14:paraId="2EBCF08F" w14:textId="77777777" w:rsidR="00426FA6" w:rsidRDefault="00426FA6" w:rsidP="00426FA6">
      <w:pPr>
        <w:spacing w:line="259" w:lineRule="auto"/>
        <w:rPr>
          <w:b/>
          <w:bCs/>
        </w:rPr>
      </w:pPr>
      <w:r>
        <w:rPr>
          <w:b/>
          <w:bCs/>
        </w:rPr>
        <w:t>Les émissions de GES issues de l</w:t>
      </w:r>
      <w:r w:rsidRPr="005539A3">
        <w:rPr>
          <w:b/>
          <w:bCs/>
        </w:rPr>
        <w:t xml:space="preserve">'alimentation </w:t>
      </w:r>
      <w:r w:rsidRPr="000C0CAB">
        <w:rPr>
          <w:b/>
          <w:bCs/>
        </w:rPr>
        <w:t xml:space="preserve">représentent environ </w:t>
      </w:r>
      <w:r w:rsidRPr="00430B9F">
        <w:rPr>
          <w:rStyle w:val="Strong"/>
        </w:rPr>
        <w:t>2</w:t>
      </w:r>
      <w:r>
        <w:rPr>
          <w:rStyle w:val="Strong"/>
        </w:rPr>
        <w:t>4</w:t>
      </w:r>
      <w:r w:rsidRPr="00430B9F">
        <w:rPr>
          <w:rStyle w:val="Strong"/>
        </w:rPr>
        <w:t xml:space="preserve"> %</w:t>
      </w:r>
      <w:r w:rsidRPr="002D5669">
        <w:rPr>
          <w:rStyle w:val="Strong"/>
        </w:rPr>
        <w:t xml:space="preserve"> de</w:t>
      </w:r>
      <w:r>
        <w:rPr>
          <w:rStyle w:val="Strong"/>
        </w:rPr>
        <w:t xml:space="preserve"> l’empreinte carbone des ménages</w:t>
      </w:r>
      <w:r w:rsidRPr="002D5669">
        <w:rPr>
          <w:rStyle w:val="Strong"/>
        </w:rPr>
        <w:t xml:space="preserve"> en France</w:t>
      </w:r>
      <w:r>
        <w:rPr>
          <w:rStyle w:val="FootnoteReference"/>
          <w:rFonts w:eastAsiaTheme="majorEastAsia"/>
        </w:rPr>
        <w:footnoteReference w:id="41"/>
      </w:r>
      <w:r w:rsidRPr="005539A3">
        <w:rPr>
          <w:b/>
          <w:bCs/>
        </w:rPr>
        <w:t>.</w:t>
      </w:r>
    </w:p>
    <w:p w14:paraId="21655D6A" w14:textId="77777777" w:rsidR="00426FA6" w:rsidRDefault="00426FA6" w:rsidP="00426FA6">
      <w:pPr>
        <w:spacing w:line="259" w:lineRule="auto"/>
        <w:rPr>
          <w:color w:val="000000" w:themeColor="text1"/>
        </w:rPr>
      </w:pPr>
      <w:r>
        <w:t xml:space="preserve">Le Gouvernement a inscrit dans </w:t>
      </w:r>
      <w:r w:rsidRPr="008A7C26">
        <w:t>la Loi du 30 octobre 2018 pour l’équilibre des relations commerciales dans le sec</w:t>
      </w:r>
      <w:r w:rsidRPr="007545F0">
        <w:t>teur agricole et alimentaire et une alimentation saine, durable et accessible à tous</w:t>
      </w:r>
      <w:r w:rsidRPr="0078341D">
        <w:t xml:space="preserve"> ainsi</w:t>
      </w:r>
      <w:r>
        <w:t xml:space="preserve"> que dans la Loi « climat et résilience » du 22 août 2021 un </w:t>
      </w:r>
      <w:r w:rsidRPr="002D37E9">
        <w:rPr>
          <w:b/>
          <w:bCs/>
        </w:rPr>
        <w:t>ensemble de mesures visant à</w:t>
      </w:r>
      <w:r>
        <w:t xml:space="preserve"> </w:t>
      </w:r>
      <w:r w:rsidRPr="4FAF5619">
        <w:rPr>
          <w:b/>
          <w:bCs/>
          <w:color w:val="000000" w:themeColor="text1"/>
        </w:rPr>
        <w:t>enclencher un changement significatif dans notre manière de nous nourrir</w:t>
      </w:r>
      <w:r w:rsidRPr="4FAF5619">
        <w:rPr>
          <w:color w:val="000000" w:themeColor="text1"/>
        </w:rPr>
        <w:t xml:space="preserve"> pour soutenir un système agricole plus respectueux de l’environnement, avec notamment : </w:t>
      </w:r>
    </w:p>
    <w:p w14:paraId="48BD7F94" w14:textId="77777777" w:rsidR="00426FA6" w:rsidRPr="00831923" w:rsidRDefault="00426FA6" w:rsidP="003F57EA">
      <w:pPr>
        <w:pStyle w:val="ListParagraph"/>
        <w:numPr>
          <w:ilvl w:val="0"/>
          <w:numId w:val="92"/>
        </w:numPr>
        <w:spacing w:before="0" w:after="120" w:line="259" w:lineRule="auto"/>
        <w:contextualSpacing w:val="0"/>
      </w:pPr>
      <w:r w:rsidRPr="4FAF5619">
        <w:rPr>
          <w:b/>
          <w:bCs/>
        </w:rPr>
        <w:t>L’extension de l’obligation d’approvisionnement à hauteur d’au moins 50 %</w:t>
      </w:r>
      <w:r>
        <w:t xml:space="preserve"> </w:t>
      </w:r>
      <w:r w:rsidRPr="002D37E9">
        <w:rPr>
          <w:b/>
          <w:bCs/>
        </w:rPr>
        <w:t>de produits durables et de qualité</w:t>
      </w:r>
      <w:r>
        <w:t xml:space="preserve"> dont au moins 20 % de </w:t>
      </w:r>
      <w:r w:rsidRPr="002D37E9">
        <w:rPr>
          <w:b/>
          <w:bCs/>
        </w:rPr>
        <w:t>produits issus de l’agriculture biologique</w:t>
      </w:r>
      <w:r>
        <w:t xml:space="preserve"> au 1</w:t>
      </w:r>
      <w:r w:rsidRPr="0002596B">
        <w:rPr>
          <w:vertAlign w:val="superscript"/>
        </w:rPr>
        <w:t>er</w:t>
      </w:r>
      <w:r>
        <w:t xml:space="preserve"> janvier 2022 pour la restauration publique et à charge de service public, à tous les restaurants collectifs, y compris ceux des entreprises privées à partir de 2024 (art 257 de la Loi « climat et résilience »). Cette mesure garantit notamment un débouché à l’agriculture biologique qui n’utilise pas d’engrais minéraux de synthèse et la prise en compte des performances environnementales des produits lors de la passation des marchés. En outre, les </w:t>
      </w:r>
      <w:r w:rsidRPr="002D37E9">
        <w:rPr>
          <w:b/>
          <w:bCs/>
        </w:rPr>
        <w:t>produits issus d’exploitations bénéficiant de la certification environnementale de niveau 2 ou de niveau 3 (« haute valeur environnementale »)</w:t>
      </w:r>
      <w:r>
        <w:t>, qui encourage d</w:t>
      </w:r>
      <w:r w:rsidRPr="00091240">
        <w:t xml:space="preserve">es pratiques agricoles </w:t>
      </w:r>
      <w:r>
        <w:t>vertueuses, entrent dans cet objectif</w:t>
      </w:r>
      <w:r w:rsidRPr="00091240">
        <w:t xml:space="preserve"> </w:t>
      </w:r>
      <w:r>
        <w:t xml:space="preserve">avec une dynamique forte (doublement du nombre d’exploitations HVE entre </w:t>
      </w:r>
      <w:r w:rsidRPr="00091240">
        <w:t>juillet 2020 et juillet 2021</w:t>
      </w:r>
      <w:r>
        <w:t>). La Loi « climat et résilience » a raccourci le délai de prise en compte des produits issus d’exploitations bénéficiant du niveau 2 afin d’accélérer le passage des exploitations au niveau 3 (échéance à fin 2026 contre fin 2029 initialement). La certification HVE est par ailleurs en cours de révision pour augmenter son ambition environnementale ;</w:t>
      </w:r>
    </w:p>
    <w:p w14:paraId="28D422F7" w14:textId="77777777" w:rsidR="00426FA6" w:rsidRDefault="00426FA6" w:rsidP="00426FA6">
      <w:pPr>
        <w:spacing w:before="240" w:after="60"/>
      </w:pPr>
      <w:r w:rsidRPr="4FAF5619">
        <w:rPr>
          <w:b/>
          <w:bCs/>
        </w:rPr>
        <w:t>L’obligation</w:t>
      </w:r>
      <w:r>
        <w:rPr>
          <w:b/>
          <w:bCs/>
        </w:rPr>
        <w:t xml:space="preserve"> </w:t>
      </w:r>
      <w:r w:rsidRPr="4FAF5619">
        <w:rPr>
          <w:b/>
          <w:bCs/>
        </w:rPr>
        <w:t>pour les cantines scolaires de proposer un menu végétarien au moins une fois par semaine</w:t>
      </w:r>
      <w:r w:rsidRPr="0066699A">
        <w:t xml:space="preserve">, </w:t>
      </w:r>
      <w:r w:rsidRPr="0089623F">
        <w:t>et</w:t>
      </w:r>
      <w:r>
        <w:t xml:space="preserve"> l’obligation pour les restaurants collectifs servant plus de 200 couverts par jour de mettre en œuvre un plan pluriannuel de diversification des sources de protéines ; à compter de la promulgation de la loi « climat et résilience », instauration d’une option végétarienne quotidienne dans les services de restauration collective à la charge des collectivités, et à partir du</w:t>
      </w:r>
      <w:r w:rsidRPr="002370F4">
        <w:t xml:space="preserve"> 1</w:t>
      </w:r>
      <w:r w:rsidRPr="00A94350">
        <w:rPr>
          <w:vertAlign w:val="superscript"/>
        </w:rPr>
        <w:t>er</w:t>
      </w:r>
      <w:r>
        <w:t xml:space="preserve"> </w:t>
      </w:r>
      <w:r w:rsidRPr="002370F4">
        <w:t xml:space="preserve">janvier 2023, </w:t>
      </w:r>
      <w:r>
        <w:t xml:space="preserve">obligation pour les services de restauration collective d’Etat </w:t>
      </w:r>
      <w:r w:rsidRPr="002370F4">
        <w:t xml:space="preserve">de proposer </w:t>
      </w:r>
      <w:r>
        <w:t>un menu végétarien quotidien</w:t>
      </w:r>
      <w:r w:rsidRPr="002370F4" w:rsidDel="002370F4">
        <w:t xml:space="preserve"> </w:t>
      </w:r>
      <w:r>
        <w:t xml:space="preserve">(article 252 de la Loi « climat et résilience »). Il s’agit de </w:t>
      </w:r>
      <w:r w:rsidRPr="0066699A">
        <w:rPr>
          <w:b/>
          <w:bCs/>
        </w:rPr>
        <w:t>diversifier les apports en protéines</w:t>
      </w:r>
      <w:r>
        <w:t xml:space="preserve"> </w:t>
      </w:r>
      <w:r>
        <w:rPr>
          <w:rFonts w:eastAsia="Arial" w:cs="Arial"/>
        </w:rPr>
        <w:t xml:space="preserve">en mangeant plus </w:t>
      </w:r>
      <w:r w:rsidRPr="00F0300D">
        <w:rPr>
          <w:rFonts w:eastAsia="Arial" w:cs="Arial"/>
        </w:rPr>
        <w:t xml:space="preserve">de </w:t>
      </w:r>
      <w:r>
        <w:rPr>
          <w:rFonts w:eastAsia="Arial" w:cs="Arial"/>
        </w:rPr>
        <w:t>légumineuses</w:t>
      </w:r>
      <w:r>
        <w:t xml:space="preserve"> en accord avec les objectifs du Plan National Nutrition Santé 2019-2023</w:t>
      </w:r>
      <w:r>
        <w:rPr>
          <w:rStyle w:val="FootnoteReference"/>
          <w:rFonts w:eastAsiaTheme="majorEastAsia"/>
        </w:rPr>
        <w:footnoteReference w:id="42"/>
      </w:r>
      <w:r>
        <w:t> ;</w:t>
      </w:r>
      <w:r w:rsidRPr="00BF76D2">
        <w:t xml:space="preserve"> </w:t>
      </w:r>
      <w:r>
        <w:t>L’enjeu est donc de favoriser le développement d’une offre française locale pour répondre à cette demande croissante.</w:t>
      </w:r>
    </w:p>
    <w:p w14:paraId="6D4E1B2B" w14:textId="77777777" w:rsidR="00426FA6" w:rsidRDefault="00426FA6" w:rsidP="003F57EA">
      <w:pPr>
        <w:pStyle w:val="ListParagraph"/>
        <w:numPr>
          <w:ilvl w:val="0"/>
          <w:numId w:val="92"/>
        </w:numPr>
        <w:spacing w:before="0" w:after="120" w:line="259" w:lineRule="auto"/>
        <w:contextualSpacing w:val="0"/>
      </w:pPr>
      <w:r>
        <w:rPr>
          <w:b/>
          <w:bCs/>
        </w:rPr>
        <w:t xml:space="preserve">L’objectif de déploiement des projets alimentaires territoriaux (PAT), </w:t>
      </w:r>
      <w:r w:rsidRPr="0066699A">
        <w:t>inscrit dans la Loi « climat et résilience » (article 266) qui prévoit un objectif d’au moins un PAT par département au 1</w:t>
      </w:r>
      <w:r w:rsidRPr="00A94350">
        <w:rPr>
          <w:vertAlign w:val="superscript"/>
        </w:rPr>
        <w:t>er</w:t>
      </w:r>
      <w:r w:rsidRPr="0066699A">
        <w:t xml:space="preserve"> janvier </w:t>
      </w:r>
      <w:r w:rsidRPr="0089623F">
        <w:t>2023 mais qui élargit également les objectifs assignés aux PAT et prévoit un dispositif d’accompagnement au travers d’un réseau national des PAT. Fortement soutenu par le Plan de Relance, le déploiement des PAT a connu un essor particulièrement important ces dernières années.</w:t>
      </w:r>
      <w:r w:rsidRPr="4DF281A0">
        <w:t xml:space="preserve"> </w:t>
      </w:r>
      <w:r w:rsidRPr="0066699A">
        <w:t xml:space="preserve">A la fin de l’année 2021, on dénombre plus de 330 PAT reconnus par le ministère de l’Agriculture </w:t>
      </w:r>
      <w:r w:rsidRPr="0089623F">
        <w:t>et de l’alimentation</w:t>
      </w:r>
      <w:r w:rsidRPr="4DF281A0">
        <w:t xml:space="preserve">. </w:t>
      </w:r>
      <w:r w:rsidRPr="0066699A">
        <w:t xml:space="preserve">Suite au </w:t>
      </w:r>
      <w:r w:rsidRPr="0089623F">
        <w:t>dernier appel à projets du Programme National pour l’Alimentation (2021-2022)</w:t>
      </w:r>
      <w:r w:rsidRPr="4DF281A0">
        <w:t xml:space="preserve">, </w:t>
      </w:r>
      <w:r w:rsidRPr="0066699A">
        <w:t xml:space="preserve">seul </w:t>
      </w:r>
      <w:r w:rsidRPr="0089623F">
        <w:t>un département ne possède pas de PAT à ce jour</w:t>
      </w:r>
      <w:r w:rsidRPr="4DF281A0">
        <w:t xml:space="preserve">. </w:t>
      </w:r>
    </w:p>
    <w:p w14:paraId="68753EB9" w14:textId="77777777" w:rsidR="00426FA6" w:rsidRPr="00321C55" w:rsidRDefault="00426FA6" w:rsidP="003F57EA">
      <w:pPr>
        <w:pStyle w:val="ListParagraph"/>
        <w:numPr>
          <w:ilvl w:val="0"/>
          <w:numId w:val="92"/>
        </w:numPr>
        <w:spacing w:before="0" w:after="120" w:line="259" w:lineRule="auto"/>
        <w:contextualSpacing w:val="0"/>
      </w:pPr>
      <w:r>
        <w:rPr>
          <w:b/>
          <w:bCs/>
        </w:rPr>
        <w:t>L’objectif de diviser par deux le gaspillage alimentaire</w:t>
      </w:r>
      <w:r w:rsidRPr="008A7C26">
        <w:t xml:space="preserve"> par rapport à 2015, en 2025 pour la distribution et la restauration collective et en 2030 pour les autres secteurs. Pour cela, par l’application successive des</w:t>
      </w:r>
      <w:r w:rsidRPr="00843D21">
        <w:t xml:space="preserve"> lois Garot</w:t>
      </w:r>
      <w:r w:rsidRPr="008A7C26">
        <w:rPr>
          <w:rStyle w:val="FootnoteReference"/>
          <w:rFonts w:eastAsiaTheme="majorEastAsia"/>
        </w:rPr>
        <w:footnoteReference w:id="43"/>
      </w:r>
      <w:r w:rsidRPr="008A7C26">
        <w:t>, EGAlim et AGEC</w:t>
      </w:r>
      <w:r w:rsidRPr="008A7C26">
        <w:rPr>
          <w:rStyle w:val="FootnoteReference"/>
          <w:rFonts w:eastAsiaTheme="majorEastAsia"/>
        </w:rPr>
        <w:footnoteReference w:id="44"/>
      </w:r>
      <w:r w:rsidRPr="008A7C26">
        <w:t xml:space="preserve">, l’interdiction de rendre impropre à la consommation des denrées encore consommables et l’obligation de proposer une convention de don à une association habilitée (pour les structures au-dessus d’un certain seuil) est applicable aux secteurs des industries agroalimentaires, des distributeurs, </w:t>
      </w:r>
      <w:r w:rsidRPr="007545F0">
        <w:t>des grossistes et de la restauration collective. Un diagnostic et une démarche de lutte contre le gaspillage alimentaire sont obligatoires pour la restauration collective et l’industrie agroalimentaire. Enfin, un label national « anti-gaspillage alimentaire » a été introduit par la loi AGEC en 2020, avec une mise en œuvre effective en 2022 pour les GMS et commerces de proximité, les grossistes et les métiers de bouche, et une expérimentation sera mise en œuvre en 2022 pour évaluer les eff</w:t>
      </w:r>
      <w:r w:rsidRPr="00651652">
        <w:t>ets de solutions de réservation de repas en restauration collective sur l’évolution du gaspillage alimentaire, du taux de fréquentation et de la satisfaction des usagers;</w:t>
      </w:r>
    </w:p>
    <w:p w14:paraId="74F43404" w14:textId="77777777" w:rsidR="00426FA6" w:rsidRDefault="00426FA6" w:rsidP="003F57EA">
      <w:pPr>
        <w:pStyle w:val="ListParagraph"/>
        <w:numPr>
          <w:ilvl w:val="0"/>
          <w:numId w:val="92"/>
        </w:numPr>
        <w:spacing w:before="0" w:after="120" w:line="259" w:lineRule="auto"/>
        <w:contextualSpacing w:val="0"/>
      </w:pPr>
      <w:r>
        <w:rPr>
          <w:b/>
          <w:bCs/>
        </w:rPr>
        <w:t xml:space="preserve">La mise en œuvre d’un affichage environnemental sur les produits alimentaires, </w:t>
      </w:r>
      <w:r w:rsidRPr="008A7C26">
        <w:t>suite à une expérimentation ayant mobilisé 18 projets en 2020 et 2021, telle que prévue par la loi AGEC puis la loi « </w:t>
      </w:r>
      <w:r w:rsidRPr="007545F0">
        <w:t>climat et résilience ». Ces premiers travaux ont vocation à se prolonger pour approfondir la méthodologie, permettant de mieux intégrer les enje</w:t>
      </w:r>
      <w:r w:rsidRPr="00651652">
        <w:t xml:space="preserve">ux de stockage du carbone et de modèles de production. </w:t>
      </w:r>
      <w:r w:rsidRPr="008A7C26">
        <w:t xml:space="preserve">Cet affichage a pour objectif de permettre la comparaison i) entre produits de catégories différentes pour montrer l’impact environnemental d’un changement d’habitude alimentaire (ex. augmentation de la consommation des protéines végétales), et ii) </w:t>
      </w:r>
      <w:r w:rsidRPr="007545F0">
        <w:t>entre produits d’une même catégorie</w:t>
      </w:r>
      <w:r w:rsidRPr="65750DFC">
        <w:t>,</w:t>
      </w:r>
      <w:r w:rsidRPr="007545F0">
        <w:t xml:space="preserve"> afin d’illustrer le niveau de performance d’une référence en matière d’écoconception par rapport à une offre similaire.</w:t>
      </w:r>
    </w:p>
    <w:p w14:paraId="577C8479" w14:textId="77777777" w:rsidR="00426FA6" w:rsidRPr="002F4D87" w:rsidRDefault="00426FA6" w:rsidP="003F57EA">
      <w:pPr>
        <w:pStyle w:val="ListParagraph"/>
        <w:numPr>
          <w:ilvl w:val="0"/>
          <w:numId w:val="92"/>
        </w:numPr>
        <w:spacing w:before="0" w:after="120" w:line="259" w:lineRule="auto"/>
        <w:contextualSpacing w:val="0"/>
      </w:pPr>
      <w:r>
        <w:rPr>
          <w:b/>
          <w:bCs/>
        </w:rPr>
        <w:t>L</w:t>
      </w:r>
      <w:r w:rsidRPr="4FAF5619">
        <w:rPr>
          <w:b/>
          <w:bCs/>
        </w:rPr>
        <w:t xml:space="preserve">’Etat </w:t>
      </w:r>
      <w:r>
        <w:rPr>
          <w:b/>
          <w:bCs/>
        </w:rPr>
        <w:t xml:space="preserve">a pour objectif </w:t>
      </w:r>
      <w:r w:rsidRPr="4FAF5619">
        <w:rPr>
          <w:b/>
          <w:bCs/>
        </w:rPr>
        <w:t>de ne plus acheter de biens ayant contribués directement à la déforestation</w:t>
      </w:r>
      <w:r>
        <w:t xml:space="preserve"> (article 272 de la Loi </w:t>
      </w:r>
      <w:r w:rsidRPr="65750DFC">
        <w:t>« </w:t>
      </w:r>
      <w:r>
        <w:t>climat et résilience</w:t>
      </w:r>
      <w:r w:rsidRPr="65750DFC">
        <w:t xml:space="preserve"> »). </w:t>
      </w:r>
      <w:r>
        <w:t xml:space="preserve">Dans cette perspective, la traçabilité complète des chaînes d'approvisionnement en matières premières agricoles importées a été améliorée grâce à l’article 271 de la Loi « climat et résilience »). Ces travaux se poursuivent au niveau européen afin de permettre aux services des douanes de disposer des informations nécessaires à la lutte contre la déforestation importée. Le développement d’une demande pour des produits non issus de la déforestation accompagne la stratégie nationale protéines végétales dans la mesure où le développement de protéagineux et de légumineuses fourragères en France permettrait de limiter le recours aux importations issues de la déforestation. Le guide pour des achats publics non issus de la déforestation importée </w:t>
      </w:r>
      <w:r w:rsidRPr="009A0F5E">
        <w:t>a été</w:t>
      </w:r>
      <w:r w:rsidRPr="65750DFC">
        <w:t xml:space="preserve"> </w:t>
      </w:r>
      <w:r>
        <w:t>mis à jour. Par ailleurs, comme souhaité par la France, la</w:t>
      </w:r>
      <w:r w:rsidRPr="00387D2D">
        <w:t xml:space="preserve"> Commission </w:t>
      </w:r>
      <w:r>
        <w:t>européenne a proposé en novembre 2021</w:t>
      </w:r>
      <w:r w:rsidRPr="00387D2D">
        <w:t xml:space="preserve"> de nouvelles règles pour enrayer la</w:t>
      </w:r>
      <w:r>
        <w:t xml:space="preserve"> déforestation imputable à l'UE</w:t>
      </w:r>
      <w:r w:rsidRPr="65750DFC">
        <w:t xml:space="preserve">. </w:t>
      </w:r>
      <w:r w:rsidRPr="00E11A68">
        <w:t>Le règlement fixe</w:t>
      </w:r>
      <w:r>
        <w:t>rait</w:t>
      </w:r>
      <w:r w:rsidRPr="00E11A68">
        <w:t xml:space="preserve"> les règles d'une diligence raisonnable obligatoire pour les entreprises qui souhaitent mettre </w:t>
      </w:r>
      <w:r>
        <w:t>certains</w:t>
      </w:r>
      <w:r w:rsidRPr="00E11A68">
        <w:t xml:space="preserve"> produits</w:t>
      </w:r>
      <w:r w:rsidRPr="65750DFC">
        <w:t xml:space="preserve"> </w:t>
      </w:r>
      <w:r>
        <w:t>sur le marché (p</w:t>
      </w:r>
      <w:r w:rsidRPr="00E11A68">
        <w:t>roduits de base tels que soja, bœuf, hui</w:t>
      </w:r>
      <w:r>
        <w:t>le de palme, bois, cacao et café)</w:t>
      </w:r>
      <w:r w:rsidRPr="00E11A68">
        <w:t>, l'objectif étant de garantir que seuls des produits conformes à la législation et sans lien avec la déforest</w:t>
      </w:r>
      <w:r>
        <w:t>ation sont autorisés sur le marché européen</w:t>
      </w:r>
      <w:r w:rsidRPr="65750DFC">
        <w:t xml:space="preserve">. </w:t>
      </w:r>
    </w:p>
    <w:p w14:paraId="5EF2FC15" w14:textId="77777777" w:rsidR="00426FA6" w:rsidRDefault="00426FA6" w:rsidP="003F57EA">
      <w:pPr>
        <w:pStyle w:val="ListParagraph"/>
        <w:numPr>
          <w:ilvl w:val="0"/>
          <w:numId w:val="92"/>
        </w:numPr>
        <w:spacing w:before="0" w:after="120" w:line="259" w:lineRule="auto"/>
        <w:contextualSpacing w:val="0"/>
      </w:pPr>
      <w:r w:rsidRPr="4FAF5619">
        <w:rPr>
          <w:b/>
          <w:bCs/>
        </w:rPr>
        <w:t>L’objectif de 8 % de la surface agricole utile cultivée en légumineuses d’ici le 1</w:t>
      </w:r>
      <w:r w:rsidRPr="00C00F73">
        <w:rPr>
          <w:b/>
          <w:bCs/>
          <w:vertAlign w:val="superscript"/>
        </w:rPr>
        <w:t>er</w:t>
      </w:r>
      <w:r w:rsidRPr="4FAF5619">
        <w:rPr>
          <w:b/>
          <w:bCs/>
        </w:rPr>
        <w:t xml:space="preserve"> janvier 2030</w:t>
      </w:r>
      <w:r>
        <w:t xml:space="preserve"> (article 261 de la Loi « climat et résilience »).</w:t>
      </w:r>
    </w:p>
    <w:p w14:paraId="2ABDA193" w14:textId="77777777" w:rsidR="00426FA6" w:rsidRPr="00DC0406" w:rsidRDefault="00426FA6" w:rsidP="003F57EA">
      <w:pPr>
        <w:pStyle w:val="ListParagraph"/>
        <w:numPr>
          <w:ilvl w:val="0"/>
          <w:numId w:val="92"/>
        </w:numPr>
        <w:spacing w:before="0" w:after="120" w:line="259" w:lineRule="auto"/>
        <w:rPr>
          <w:rStyle w:val="Strong"/>
          <w:b w:val="0"/>
          <w:bCs w:val="0"/>
        </w:rPr>
      </w:pPr>
      <w:r w:rsidRPr="00DC0406">
        <w:rPr>
          <w:rStyle w:val="Strong"/>
        </w:rPr>
        <w:t>L’introduction d’une nouvelle stratégie nationale pour l’alimentation, la nutrition et le climat (SNANC)</w:t>
      </w:r>
      <w:r>
        <w:rPr>
          <w:rStyle w:val="Strong"/>
        </w:rPr>
        <w:t>,</w:t>
      </w:r>
      <w:r w:rsidRPr="00DC0406">
        <w:rPr>
          <w:rStyle w:val="Strong"/>
        </w:rPr>
        <w:t xml:space="preserve"> </w:t>
      </w:r>
      <w:r>
        <w:rPr>
          <w:rStyle w:val="Strong"/>
        </w:rPr>
        <w:t>prévue dans le cadre de l’article 265 de la loi « climat et résilience », qui vient instaurer une nouvelle gouvernance globale de l’alimentation</w:t>
      </w:r>
      <w:r w:rsidRPr="00DC0406">
        <w:rPr>
          <w:rStyle w:val="Strong"/>
        </w:rPr>
        <w:t>.</w:t>
      </w:r>
      <w:r>
        <w:rPr>
          <w:rStyle w:val="Strong"/>
        </w:rPr>
        <w:t xml:space="preserve"> Dans ce contexte, </w:t>
      </w:r>
      <w:hyperlink r:id="rId91" w:history="1">
        <w:r w:rsidRPr="002D37E9">
          <w:rPr>
            <w:rStyle w:val="Hyperlink"/>
            <w:b/>
            <w:bCs/>
          </w:rPr>
          <w:t>un bilan à mi-parcours</w:t>
        </w:r>
      </w:hyperlink>
      <w:r w:rsidRPr="00DC0406">
        <w:rPr>
          <w:rStyle w:val="Strong"/>
        </w:rPr>
        <w:t xml:space="preserve"> du 4ème Programme national nutrition santé (PNNS) a été publié en mai 2021. </w:t>
      </w:r>
    </w:p>
    <w:p w14:paraId="47EC461D" w14:textId="77777777" w:rsidR="00426FA6" w:rsidRDefault="00426FA6" w:rsidP="00426FA6">
      <w:pPr>
        <w:spacing w:before="240" w:after="60"/>
      </w:pPr>
      <w:r>
        <w:t xml:space="preserve">Ces mesures font l’objet d’un </w:t>
      </w:r>
      <w:r w:rsidRPr="4FAF5619">
        <w:rPr>
          <w:b/>
          <w:bCs/>
        </w:rPr>
        <w:t>accompagnement financier</w:t>
      </w:r>
      <w:r>
        <w:t xml:space="preserve"> dans le cadre du plan France relance qui prévoit de consacrer 816 M€ pour accélérer la transition agro-écologique au service d’une alimentation saine, durable et locale dont plus de 150 M€ pour augmenter la production de protéines végétales et dont 200 M€ pour le volet alimentation. En particulier, la stratégie en faveur des protéines végétales</w:t>
      </w:r>
      <w:r w:rsidRPr="002A61C0">
        <w:t xml:space="preserve"> prévoit une campagne de promotion de la consommation de légumineuses à destination des jeunes, directement ou indirectement à travers leurs parents, </w:t>
      </w:r>
      <w:r>
        <w:t xml:space="preserve">de </w:t>
      </w:r>
      <w:r w:rsidRPr="002A61C0">
        <w:t xml:space="preserve">la restauration collective ou </w:t>
      </w:r>
      <w:r>
        <w:t>d</w:t>
      </w:r>
      <w:r w:rsidRPr="002A61C0">
        <w:t>es professionnels de santé,</w:t>
      </w:r>
      <w:r>
        <w:t xml:space="preserve"> qui sera mise en œuvre en 2022. Cet accompagnement se poursuit avec la mise en œuvre des stratégies d’accélération </w:t>
      </w:r>
      <w:r w:rsidRPr="00D068B0">
        <w:t xml:space="preserve">« Systèmes agricoles durables et équipements agricoles contribuant à la transition écologique » et « Alimentation durable et favorable à la santé » </w:t>
      </w:r>
      <w:r>
        <w:t>du PIA4, qui prévoient des dispositifs de soutien aux protéines végétales.</w:t>
      </w:r>
      <w:r w:rsidRPr="00FF57A8">
        <w:t xml:space="preserve"> </w:t>
      </w:r>
    </w:p>
    <w:p w14:paraId="4E4AABD6" w14:textId="77777777" w:rsidR="00426FA6" w:rsidRPr="00A6361A" w:rsidRDefault="00426FA6" w:rsidP="00426FA6">
      <w:pPr>
        <w:rPr>
          <w:rFonts w:ascii="Times New Roman" w:hAnsi="Times New Roman"/>
          <w:sz w:val="48"/>
          <w:szCs w:val="48"/>
        </w:rPr>
      </w:pPr>
      <w:r w:rsidRPr="00B0549A">
        <w:t xml:space="preserve">Établi par les ministères en charge de l'économie et de l'agriculture en coopération avec l'ANIA (Association nationale des industries alimentaires) et Coop de France (entreprises-coopératives agricoles et agroalimentaires), dans le cadre du conseil national de l'industrie, le </w:t>
      </w:r>
      <w:r w:rsidRPr="00DE66F2">
        <w:t>Contrat stratégique de la filière agroalimentaire (CSF) a été signé le 16 novembre 2018. Il comporte notamment un projet de développement des protéines végétales dans l'alimentation (projet protéines du futur). Au travers du soutien à des projets de R&amp;D, d’une communication grand public, d'actions de pré-normalisation et d’une veille réglementaire ainsi que de l’accompagnement de start-ups, le but recherché est de favoriser la production de sources complémentaires aux protéines animales pour répondre à une demande en protéine en croissance de 40 % d’ici 2030. Certaines actions de ce volet ont été soutenues au titre de France relance puis de France 2030.</w:t>
      </w:r>
    </w:p>
    <w:p w14:paraId="21AF20C3" w14:textId="77777777" w:rsidR="00426FA6" w:rsidRDefault="00426FA6" w:rsidP="003F57EA">
      <w:pPr>
        <w:pStyle w:val="Titre3Niveau3"/>
      </w:pPr>
      <w:bookmarkStart w:id="470" w:name="_Toc120889890"/>
      <w:bookmarkStart w:id="471" w:name="_Toc122099450"/>
      <w:bookmarkStart w:id="472" w:name="_Toc138342009"/>
      <w:r w:rsidRPr="00B23A9B">
        <w:t>Usage des terres, changements d’affectation des terres et forêts</w:t>
      </w:r>
      <w:r>
        <w:t xml:space="preserve"> (UTCATF)</w:t>
      </w:r>
      <w:bookmarkEnd w:id="470"/>
      <w:bookmarkEnd w:id="471"/>
      <w:bookmarkEnd w:id="472"/>
    </w:p>
    <w:p w14:paraId="5688A185" w14:textId="77777777" w:rsidR="00426FA6" w:rsidRPr="00303F94" w:rsidRDefault="00426FA6" w:rsidP="00426FA6">
      <w:pPr>
        <w:spacing w:before="240" w:after="240"/>
      </w:pPr>
      <w:r w:rsidRPr="00303F94">
        <w:t xml:space="preserve">Par rapport aux autres secteurs, le secteur de l’usage des terres, des changements d'affectation des terres et des forêts (UTCATF, ou en anglais LULUCF pour </w:t>
      </w:r>
      <w:r w:rsidRPr="00303F94">
        <w:rPr>
          <w:i/>
          <w:iCs/>
        </w:rPr>
        <w:t>Land Use, Land-Use Change and Forestry</w:t>
      </w:r>
      <w:r w:rsidRPr="00303F94">
        <w:t xml:space="preserve">) présente la </w:t>
      </w:r>
      <w:r w:rsidRPr="0052567D">
        <w:t>particularité d’être un puits net de carbone : en 2020, l'absorption globale du secteur est d’environ -14 MtCO2eq, ce qui</w:t>
      </w:r>
      <w:r w:rsidRPr="0052567D">
        <w:rPr>
          <w:rFonts w:ascii="TrebuchetMS" w:eastAsiaTheme="minorHAnsi" w:hAnsi="TrebuchetMS" w:cs="TrebuchetMS"/>
          <w:sz w:val="18"/>
          <w:szCs w:val="18"/>
          <w:lang w:eastAsia="en-US"/>
        </w:rPr>
        <w:t xml:space="preserve"> </w:t>
      </w:r>
      <w:r w:rsidRPr="0052567D">
        <w:t>permet donc de compenser 3,6% des émissions des autres secteurs. À elles seules, les forêts représentent un puits de -30,4 MtCO2eq.</w:t>
      </w:r>
      <w:r w:rsidRPr="0052567D">
        <w:rPr>
          <w:strike/>
        </w:rPr>
        <w:t xml:space="preserve"> </w:t>
      </w:r>
    </w:p>
    <w:p w14:paraId="52A94C7F" w14:textId="77777777" w:rsidR="00426FA6" w:rsidRPr="00303F94" w:rsidRDefault="00426FA6" w:rsidP="00426FA6">
      <w:pPr>
        <w:spacing w:before="240" w:after="240"/>
      </w:pPr>
      <w:r w:rsidRPr="00303F94">
        <w:t>Les mesures présentées dans cette section ont pour effet principal de réduire les émissions de CO2 ou de contribuer au stockage de carbone grâce à l’absorption de CO2.</w:t>
      </w:r>
    </w:p>
    <w:p w14:paraId="43E89487" w14:textId="77777777" w:rsidR="00426FA6" w:rsidRDefault="00426FA6" w:rsidP="003F57EA">
      <w:pPr>
        <w:pStyle w:val="Titre4niveau4"/>
        <w:numPr>
          <w:ilvl w:val="2"/>
          <w:numId w:val="91"/>
        </w:numPr>
      </w:pPr>
      <w:r w:rsidRPr="00303F94">
        <w:t xml:space="preserve">Dispositifs favorables au stockage de carbone dans les sols et la biomasse </w:t>
      </w:r>
    </w:p>
    <w:p w14:paraId="4C96EA91" w14:textId="77777777" w:rsidR="00426FA6" w:rsidRDefault="00426FA6" w:rsidP="00426FA6">
      <w:r>
        <w:t xml:space="preserve">La </w:t>
      </w:r>
      <w:r w:rsidRPr="002D37E9">
        <w:t>préservation des prairies permanentes, le développement de l’agroforesterie, le retour au sol des résidus de culture, l’agroécologie, la préservation des zones humides et la lutte contre l’artificialisation</w:t>
      </w:r>
      <w:r>
        <w:t xml:space="preserve"> sont autant de mesures qui permettraient de renforcer le stockage de carbone dans les sols</w:t>
      </w:r>
      <w:r w:rsidRPr="11A0C7AD">
        <w:t>.</w:t>
      </w:r>
    </w:p>
    <w:p w14:paraId="54B18940" w14:textId="77777777" w:rsidR="00426FA6" w:rsidRDefault="00426FA6" w:rsidP="00426FA6">
      <w:r>
        <w:t xml:space="preserve">Le </w:t>
      </w:r>
      <w:r w:rsidRPr="00813B8F">
        <w:rPr>
          <w:b/>
        </w:rPr>
        <w:t>plan France Relance</w:t>
      </w:r>
      <w:r w:rsidRPr="002D37E9">
        <w:t xml:space="preserve"> </w:t>
      </w:r>
      <w:r w:rsidRPr="00CC4C75">
        <w:rPr>
          <w:b/>
        </w:rPr>
        <w:t>favorise l’augmentation du stockage de carbone dans les sols agricoles, à travers les actions « Bon Diagnostic Carbone » et « Plantons des Haies ».</w:t>
      </w:r>
      <w:r>
        <w:t xml:space="preserve"> Le dispositif « Bon Diagnostic Carbone » du plan France Relance vise à inciter les agriculteurs nouvellement installés (depuis moins de 5 ans) à réduire leurs émissions de GES et à stocker du carbone tout en adaptant leur exploitation au changement climatique. Sa mise en œuvre consiste à financer des structures porteuses pour la réalisation de diagnostics carbone auprès des agriculteurs et l’élaboration d'un plan d'actions individualisé. Les bons diagnostics carbone peuvent ainsi constituer un premier pas vers le développement de projets agricoles dans le cadre du Label bas carbone. Dotée d'un budget de 10M€, la mesure cible la réalisation de 5000 "bon diagnostic carbone". Au 1</w:t>
      </w:r>
      <w:r w:rsidRPr="008A4485">
        <w:rPr>
          <w:vertAlign w:val="superscript"/>
        </w:rPr>
        <w:t>er</w:t>
      </w:r>
      <w:r>
        <w:t xml:space="preserve"> janvier 2022, il y avait 757 bons signés, 177 diagnostics réalisés ayant donné lieu à 43 restitutions auprès des agriculteurs. Comme expliqué précédemment, le dispositif « Plantons des haies » vise à soutenir la plantation de 7000 km linéaires de haies et d'alignements d'arbres intraparcellaires sur les parcelles agricoles. Adossé à une enveloppe de 50 M€, il est décliné au niveau régional et en deux volets. D’une part une aide à l’animation, avec une prise en charge de la sensibilisation générale sur l'arbre champêtre et de l'accompagnement technique à la réalisation des projets de plantation, à destination des structures opératrices du territoire. D’autre part une aide à l’investissement, avec un soutien pour la plantation de haies et d'alignements d'arbres intraparcellaires. En 2021, 24,5 M€ sont prévus à l’engagement, ce qui représenterait environ 2800 km linéaires d'arbres implantés. Les appels à projets investissements seront poursuivis en 2022.</w:t>
      </w:r>
    </w:p>
    <w:p w14:paraId="39EB4E84" w14:textId="77777777" w:rsidR="00426FA6" w:rsidRDefault="00426FA6" w:rsidP="00426FA6">
      <w:r>
        <w:t>En matière de</w:t>
      </w:r>
      <w:r w:rsidRPr="002D37E9">
        <w:rPr>
          <w:b/>
        </w:rPr>
        <w:t xml:space="preserve"> lutte contre l’artificialisation</w:t>
      </w:r>
      <w:r w:rsidRPr="00C00F73">
        <w:t>, c</w:t>
      </w:r>
      <w:r>
        <w:t>onformément aux objectifs européens, la loi « climat et résilience » a inscrit l’object</w:t>
      </w:r>
      <w:r w:rsidRPr="671F724F">
        <w:t xml:space="preserve">if d'atteindre </w:t>
      </w:r>
      <w:r>
        <w:t>« </w:t>
      </w:r>
      <w:r w:rsidRPr="671F724F">
        <w:t>zéro artifi</w:t>
      </w:r>
      <w:r w:rsidRPr="081E351E">
        <w:t>cialisation nette</w:t>
      </w:r>
      <w:r>
        <w:t> »</w:t>
      </w:r>
      <w:r w:rsidRPr="081E351E">
        <w:t xml:space="preserve"> des sols en 2050 et a fixé un premier jalon intermédiaire en 2031 de réduction de la consommati</w:t>
      </w:r>
      <w:r w:rsidRPr="77255761">
        <w:t>on des espaces naturels, agricoles et forestiers</w:t>
      </w:r>
      <w:r>
        <w:t xml:space="preserve"> (i.e. le rythme d’artificialisation des sols entre 2022 et 2031 doit être divisé par deux par rapport à la période 2012-2021)</w:t>
      </w:r>
      <w:r w:rsidRPr="77255761">
        <w:t>. Pour les régions couvertes par un S</w:t>
      </w:r>
      <w:r>
        <w:t>chéma Régional d’aménagement, de développement durable et d’égalité des territoires (toutes les régions hors Corse et IDF)</w:t>
      </w:r>
      <w:r w:rsidRPr="77255761">
        <w:t xml:space="preserve">, la réduction </w:t>
      </w:r>
      <w:r>
        <w:t>au niveau de la région doit être au moins</w:t>
      </w:r>
      <w:r w:rsidRPr="77255761">
        <w:t xml:space="preserve"> de 50%.</w:t>
      </w:r>
      <w:r>
        <w:t xml:space="preserve"> Afin de suivre cette évolution, un observatoire de l’artificialisation des sols a été mis en place en 2019</w:t>
      </w:r>
      <w:r w:rsidRPr="4568F55F">
        <w:t>.</w:t>
      </w:r>
      <w:r>
        <w:t xml:space="preserve"> Les décrets d’application de la loi définissant la notion d’artificialisation, le contenu des schémas et des bilans triennaux que devront réaliser les collectivités du bloc local sont en voie de publication.</w:t>
      </w:r>
    </w:p>
    <w:p w14:paraId="132FF7DF" w14:textId="77777777" w:rsidR="00426FA6" w:rsidRPr="00813B8F" w:rsidRDefault="00426FA6" w:rsidP="00426FA6">
      <w:r>
        <w:t xml:space="preserve">Le </w:t>
      </w:r>
      <w:r w:rsidRPr="002F2BD8">
        <w:t>Projet « 4 pour 1000 »</w:t>
      </w:r>
      <w:r>
        <w:rPr>
          <w:rStyle w:val="FootnoteReference"/>
          <w:rFonts w:eastAsiaTheme="majorEastAsia"/>
        </w:rPr>
        <w:footnoteReference w:id="45"/>
      </w:r>
      <w:r>
        <w:t xml:space="preserve"> vise à </w:t>
      </w:r>
      <w:r w:rsidRPr="002D37E9">
        <w:rPr>
          <w:b/>
        </w:rPr>
        <w:t>augmenter de 0,4 % le stockage de carbone dans les sols</w:t>
      </w:r>
      <w:r>
        <w:t xml:space="preserve"> (l’équivalent à l’échelle mondiale des émissions de CO</w:t>
      </w:r>
      <w:r>
        <w:rPr>
          <w:vertAlign w:val="subscript"/>
        </w:rPr>
        <w:t>2</w:t>
      </w:r>
      <w:r w:rsidRPr="11A0C7AD">
        <w:t>).</w:t>
      </w:r>
      <w:r>
        <w:t xml:space="preserve"> Cette initiative internationale 4 pour 1000, lancée par la France le 1</w:t>
      </w:r>
      <w:r w:rsidRPr="008A4485">
        <w:rPr>
          <w:vertAlign w:val="superscript"/>
        </w:rPr>
        <w:t>er</w:t>
      </w:r>
      <w:r>
        <w:t xml:space="preserve"> décembre 2015 lors de la COP 21, consiste à fédérer tous les acteurs volontaires du public et du privé (États, collectivités, entreprises, organisations professionnelles, ONG, établissements de la recherche, etc.) dans le cadre du le MPGCA (Marrakech Partnership for Global Climate Action). L’initiative vise à montrer que l’agriculture, et en particulier les sols agricoles, peuvent jouer un rôle crucial pour la sécurité alimentaire et la lutte contre le changement climatique. Elle a vocation à faire connaître ou mettre en place les actions concrètes sur le stockage du carbone dans les sols et le type de pratiques pour y parvenir (agro-écologie, agroforesterie, agriculture de conservation, de gestion des paysages, etc.).</w:t>
      </w:r>
    </w:p>
    <w:p w14:paraId="3244D84A" w14:textId="77777777" w:rsidR="00426FA6" w:rsidRPr="00950472" w:rsidRDefault="00426FA6" w:rsidP="00426FA6">
      <w:pPr>
        <w:spacing w:before="240" w:after="240"/>
      </w:pPr>
      <w:r w:rsidRPr="00950472">
        <w:t xml:space="preserve">La Politique agricole commune (PAC) 2014-2022 comprend différentes mesures favorables au stockage du carbone dans les sols et la biomasse : </w:t>
      </w:r>
    </w:p>
    <w:p w14:paraId="162A6427" w14:textId="77777777" w:rsidR="00426FA6" w:rsidRPr="00950472" w:rsidRDefault="00426FA6" w:rsidP="003F57EA">
      <w:pPr>
        <w:numPr>
          <w:ilvl w:val="0"/>
          <w:numId w:val="90"/>
        </w:numPr>
        <w:spacing w:before="240" w:after="240"/>
      </w:pPr>
      <w:r w:rsidRPr="00B82F4A">
        <w:t xml:space="preserve">Le </w:t>
      </w:r>
      <w:r w:rsidRPr="00B82F4A">
        <w:rPr>
          <w:b/>
        </w:rPr>
        <w:t xml:space="preserve">verdissement </w:t>
      </w:r>
      <w:r w:rsidRPr="00B82F4A">
        <w:t>qui contribue au maintien d’un ratio des prairies permanentes, à une exigence de diversification des cultures, et à disposer de 5 % de la surfaces des terres arables de l’exploitation agricole en surfaces d’intérêt écologique</w:t>
      </w:r>
      <w:r w:rsidRPr="00950472">
        <w:rPr>
          <w:rFonts w:ascii="Calibri" w:hAnsi="Calibri" w:cs="Calibri"/>
        </w:rPr>
        <w:t> </w:t>
      </w:r>
      <w:r w:rsidRPr="00950472">
        <w:t>;</w:t>
      </w:r>
    </w:p>
    <w:p w14:paraId="7350FAC4" w14:textId="77777777" w:rsidR="00426FA6" w:rsidRPr="00950472" w:rsidRDefault="00426FA6" w:rsidP="003F57EA">
      <w:pPr>
        <w:numPr>
          <w:ilvl w:val="0"/>
          <w:numId w:val="90"/>
        </w:numPr>
        <w:spacing w:before="240" w:after="240"/>
      </w:pPr>
      <w:r w:rsidRPr="00950472">
        <w:rPr>
          <w:bCs/>
        </w:rPr>
        <w:t>L’</w:t>
      </w:r>
      <w:r w:rsidRPr="00950472">
        <w:rPr>
          <w:b/>
          <w:bCs/>
        </w:rPr>
        <w:t xml:space="preserve">Indemnité compensatoire de handicap naturel </w:t>
      </w:r>
      <w:r w:rsidRPr="00950472">
        <w:t xml:space="preserve">(ICHN), en contribuant largement au maintien des surfaces herbagères extensives, est un levier important pour la préservation et le stockage du carbone dans les sols des terres cultivées et des prairies ; </w:t>
      </w:r>
    </w:p>
    <w:p w14:paraId="04B11FCD" w14:textId="77777777" w:rsidR="00426FA6" w:rsidRPr="00950472" w:rsidRDefault="00426FA6" w:rsidP="003F57EA">
      <w:pPr>
        <w:numPr>
          <w:ilvl w:val="0"/>
          <w:numId w:val="90"/>
        </w:numPr>
        <w:spacing w:before="240" w:after="240"/>
      </w:pPr>
      <w:r w:rsidRPr="00950472">
        <w:t xml:space="preserve">La conditionnalité prévoit plusieurs </w:t>
      </w:r>
      <w:r w:rsidRPr="00950472">
        <w:rPr>
          <w:b/>
          <w:bCs/>
        </w:rPr>
        <w:t xml:space="preserve">bonnes conditions agricoles et environnementales </w:t>
      </w:r>
      <w:r w:rsidRPr="00950472">
        <w:t xml:space="preserve">(BCAE) et plusieurs </w:t>
      </w:r>
      <w:r w:rsidRPr="00950472">
        <w:rPr>
          <w:b/>
          <w:bCs/>
        </w:rPr>
        <w:t xml:space="preserve">exigences réglementaires en matière de gestion </w:t>
      </w:r>
      <w:r w:rsidRPr="00950472">
        <w:t xml:space="preserve">(ERMG) qui favorisent un plus fort retour au sol des matières organiques, des surfaces en herbe ou des milieux propices à la diversité des espèces animales et végétales (maintien des haies, des mares et des bosquets) et donc mieux adaptés ; </w:t>
      </w:r>
    </w:p>
    <w:p w14:paraId="1A1DB2D9" w14:textId="77777777" w:rsidR="00426FA6" w:rsidRPr="00950472" w:rsidRDefault="00426FA6" w:rsidP="003F57EA">
      <w:pPr>
        <w:numPr>
          <w:ilvl w:val="0"/>
          <w:numId w:val="90"/>
        </w:numPr>
        <w:spacing w:before="240" w:after="240"/>
      </w:pPr>
      <w:r w:rsidRPr="00950472">
        <w:t xml:space="preserve">Les </w:t>
      </w:r>
      <w:r w:rsidRPr="00950472">
        <w:rPr>
          <w:b/>
          <w:bCs/>
        </w:rPr>
        <w:t xml:space="preserve">soutiens couplés du premier pilier </w:t>
      </w:r>
      <w:r w:rsidRPr="00950472">
        <w:t xml:space="preserve">visant à accompagner la production de légumineuses, peuvent contribuer à permettre le stockage de matière organique en maintenant la fertilité des sols. Les trois composantes du verdissement favorisent les apports en matière organique, les surfaces en herbe ou les couverts ligneux, bénéfiques pour le stockage du carbone, ainsi que la diversité, source d’une meilleure adaptation ; </w:t>
      </w:r>
    </w:p>
    <w:p w14:paraId="0062EB3A" w14:textId="77777777" w:rsidR="00426FA6" w:rsidRPr="00950472" w:rsidRDefault="00426FA6" w:rsidP="003F57EA">
      <w:pPr>
        <w:numPr>
          <w:ilvl w:val="0"/>
          <w:numId w:val="90"/>
        </w:numPr>
        <w:spacing w:before="240" w:after="240"/>
      </w:pPr>
      <w:r w:rsidRPr="00950472">
        <w:t xml:space="preserve">L’action climatique sur les sols agricoles passe aussi par les </w:t>
      </w:r>
      <w:r w:rsidRPr="00950472">
        <w:rPr>
          <w:b/>
          <w:bCs/>
        </w:rPr>
        <w:t xml:space="preserve">mesures agro-environnementales et climatiques </w:t>
      </w:r>
      <w:r w:rsidRPr="00950472">
        <w:t>(MAEC).</w:t>
      </w:r>
    </w:p>
    <w:p w14:paraId="6DE6D2FB" w14:textId="77777777" w:rsidR="00426FA6" w:rsidRPr="00AE61FB" w:rsidRDefault="00426FA6" w:rsidP="003F57EA">
      <w:pPr>
        <w:numPr>
          <w:ilvl w:val="0"/>
          <w:numId w:val="90"/>
        </w:numPr>
        <w:spacing w:before="240" w:after="240"/>
      </w:pPr>
      <w:r w:rsidRPr="00950472">
        <w:t>Dans le cadre du second pilier, le volet d’</w:t>
      </w:r>
      <w:r w:rsidRPr="00841AF1">
        <w:rPr>
          <w:b/>
          <w:bCs/>
        </w:rPr>
        <w:t xml:space="preserve">assistance technique du Programme national de gestion des risques et de l’assistance technique </w:t>
      </w:r>
      <w:r w:rsidRPr="00B82F4A">
        <w:t xml:space="preserve">(PNGRAT) est mobilisé pour améliorer la connaissance des sols (référentiels régionaux pédologiques) et plusieurs mesures des </w:t>
      </w:r>
      <w:r w:rsidRPr="00B82F4A">
        <w:rPr>
          <w:b/>
          <w:bCs/>
        </w:rPr>
        <w:t xml:space="preserve">Programmes de développement rural régionaux </w:t>
      </w:r>
      <w:r w:rsidRPr="00B82F4A">
        <w:t>(PDRR) concourent à l’améliorat</w:t>
      </w:r>
      <w:r w:rsidRPr="00AE61FB">
        <w:t xml:space="preserve">ion de la teneur en carbone des sols agricoles. </w:t>
      </w:r>
    </w:p>
    <w:p w14:paraId="4B38C8E4" w14:textId="77777777" w:rsidR="00426FA6" w:rsidRDefault="00426FA6" w:rsidP="00426FA6">
      <w:r w:rsidRPr="00813B8F">
        <w:rPr>
          <w:b/>
        </w:rPr>
        <w:t>Le PSN 2023-2027 encourage également le stockage de carbone dans les sols agricoles</w:t>
      </w:r>
      <w:r>
        <w:t>, en favorisant le maintien des prairies permanentes, la préservation et la gestion durable des haies, ainsi que l’implantation de couverts. En particulier, la voie des pratiques agro-écologiques de l’écorégime consiste à réduire le labour des prairies permanentes, à diversifier les cultures des systèmes de grandes cultures et de polyculture-élevage et à implanter une couverture végétale de l’inter-rang en cultures pérennes. De plus, le bonus « haies gérées durablement » rémunère les exploitations ayant un minimum de 6% de haies sur leur exploitation et disposant d’un certificat attestant de leur gestion durable.</w:t>
      </w:r>
    </w:p>
    <w:p w14:paraId="5C7FB5A8" w14:textId="77777777" w:rsidR="00426FA6" w:rsidRDefault="00426FA6" w:rsidP="00426FA6">
      <w:pPr>
        <w:spacing w:line="259" w:lineRule="auto"/>
        <w:rPr>
          <w:highlight w:val="cyan"/>
        </w:rPr>
      </w:pPr>
    </w:p>
    <w:p w14:paraId="2A68DE47" w14:textId="77777777" w:rsidR="00426FA6" w:rsidRDefault="00426FA6" w:rsidP="00426FA6">
      <w:pPr>
        <w:spacing w:line="259" w:lineRule="auto"/>
      </w:pPr>
      <w:r w:rsidRPr="00175E00">
        <w:t xml:space="preserve">Les mesures en faveur de l'agroforesterie </w:t>
      </w:r>
      <w:r w:rsidRPr="00EF2F25">
        <w:rPr>
          <w:rFonts w:cs="Arial"/>
        </w:rPr>
        <w:t xml:space="preserve">intra parcellaire et des haies </w:t>
      </w:r>
      <w:r w:rsidRPr="00175E00">
        <w:t>sont aussi des leviers importants pour favoriser le stockage de carbone à la fois dans le sol et dans la biomasse végétale</w:t>
      </w:r>
      <w:r w:rsidRPr="00231F0B">
        <w:rPr>
          <w:rFonts w:cs="Arial"/>
        </w:rPr>
        <w:t xml:space="preserve"> </w:t>
      </w:r>
      <w:r w:rsidRPr="00EF2F25">
        <w:rPr>
          <w:rFonts w:cs="Arial"/>
        </w:rPr>
        <w:t>et à renforcer la valeur</w:t>
      </w:r>
      <w:r>
        <w:rPr>
          <w:rFonts w:cs="Arial"/>
        </w:rPr>
        <w:t xml:space="preserve"> </w:t>
      </w:r>
      <w:r w:rsidRPr="00EF2F25">
        <w:rPr>
          <w:rFonts w:cs="Arial"/>
        </w:rPr>
        <w:t>ajoutée du secteur agricole</w:t>
      </w:r>
      <w:r w:rsidRPr="00175E00">
        <w:t xml:space="preserve">. </w:t>
      </w:r>
      <w:r w:rsidRPr="00175E00">
        <w:rPr>
          <w:b/>
          <w:bCs/>
        </w:rPr>
        <w:t xml:space="preserve">Le plan de développement de l’agroforesterie </w:t>
      </w:r>
      <w:r w:rsidRPr="00175E00">
        <w:t>lancé en 201</w:t>
      </w:r>
      <w:r>
        <w:t>5</w:t>
      </w:r>
      <w:r w:rsidRPr="00EF2F25">
        <w:rPr>
          <w:rStyle w:val="FootnoteReference"/>
          <w:rFonts w:eastAsiaTheme="majorEastAsia"/>
        </w:rPr>
        <w:footnoteReference w:id="46"/>
      </w:r>
      <w:r w:rsidRPr="00175E00">
        <w:t xml:space="preserve"> est constitué de cinq axes d'actions : i) renforcer la connaissance</w:t>
      </w:r>
      <w:r w:rsidRPr="00231F0B">
        <w:t xml:space="preserve"> </w:t>
      </w:r>
      <w:r w:rsidRPr="00EF2F25">
        <w:t>des systèmes agroforestiers</w:t>
      </w:r>
      <w:r w:rsidRPr="00175E00">
        <w:t xml:space="preserve">, le suivi, et les actions de recherche sur l'agroforesterie ; ii) améliorer le cadre réglementaire et juridique et renforcer les appuis financiers ; iii) développer le conseil et la formation, promouvoir l'agroforesterie et valoriser ses productions ; iv) valoriser économiquement les productions de l'agroforesterie, et les développer sur les terroirs et les territoires ; v) promouvoir les approches européennes et internationales. </w:t>
      </w:r>
      <w:r>
        <w:t xml:space="preserve">Suite à une évaluation finale, une nouvelle phase de ce plan est en cours de formulation. Le </w:t>
      </w:r>
      <w:r w:rsidRPr="00EF2F25">
        <w:rPr>
          <w:rFonts w:cs="Arial"/>
        </w:rPr>
        <w:t xml:space="preserve">gouvernement a </w:t>
      </w:r>
      <w:r>
        <w:rPr>
          <w:rFonts w:cs="Arial"/>
        </w:rPr>
        <w:t xml:space="preserve">également </w:t>
      </w:r>
      <w:r w:rsidRPr="00EF2F25">
        <w:rPr>
          <w:rFonts w:cs="Arial"/>
        </w:rPr>
        <w:t xml:space="preserve">mis en place </w:t>
      </w:r>
      <w:r w:rsidRPr="00EF2F25">
        <w:t xml:space="preserve">dans le cadre du plan </w:t>
      </w:r>
      <w:r>
        <w:t>France</w:t>
      </w:r>
      <w:r w:rsidRPr="00EF2F25">
        <w:t xml:space="preserve"> </w:t>
      </w:r>
      <w:r>
        <w:t>R</w:t>
      </w:r>
      <w:r w:rsidRPr="00EF2F25">
        <w:t xml:space="preserve">elance un Programme </w:t>
      </w:r>
      <w:r w:rsidRPr="11A0C7AD">
        <w:t>« </w:t>
      </w:r>
      <w:r w:rsidRPr="00EF2F25">
        <w:t>plantons des haies</w:t>
      </w:r>
      <w:r w:rsidRPr="11A0C7AD">
        <w:t> ! »</w:t>
      </w:r>
      <w:r w:rsidRPr="00EF2F25">
        <w:rPr>
          <w:rStyle w:val="FootnoteReference"/>
          <w:rFonts w:eastAsiaTheme="majorEastAsia"/>
        </w:rPr>
        <w:footnoteReference w:id="47"/>
      </w:r>
      <w:r w:rsidRPr="11A0C7AD">
        <w:t xml:space="preserve">, </w:t>
      </w:r>
      <w:r w:rsidRPr="00EF2F25">
        <w:t xml:space="preserve">qui </w:t>
      </w:r>
      <w:r>
        <w:t>incite</w:t>
      </w:r>
      <w:r w:rsidRPr="00EF2F25">
        <w:t xml:space="preserve"> les agriculteurs </w:t>
      </w:r>
      <w:r>
        <w:t>à</w:t>
      </w:r>
      <w:r w:rsidRPr="11A0C7AD">
        <w:t xml:space="preserve"> </w:t>
      </w:r>
      <w:r w:rsidRPr="00EF2F25">
        <w:rPr>
          <w:b/>
          <w:bCs/>
        </w:rPr>
        <w:t>reconstituer les haies bocagères</w:t>
      </w:r>
      <w:r w:rsidRPr="00EF2F25">
        <w:t xml:space="preserve">. L’objectif </w:t>
      </w:r>
      <w:r>
        <w:rPr>
          <w:b/>
          <w:bCs/>
        </w:rPr>
        <w:t xml:space="preserve">est de planter </w:t>
      </w:r>
      <w:r w:rsidRPr="00EF2F25">
        <w:rPr>
          <w:b/>
          <w:bCs/>
        </w:rPr>
        <w:t xml:space="preserve">7 000 km de haies et </w:t>
      </w:r>
      <w:r>
        <w:rPr>
          <w:b/>
          <w:bCs/>
        </w:rPr>
        <w:t xml:space="preserve">de mettre en œuvre </w:t>
      </w:r>
      <w:r w:rsidRPr="00EF2F25">
        <w:rPr>
          <w:b/>
          <w:bCs/>
        </w:rPr>
        <w:t>la gestion durable de 90 000 km de haies existantes</w:t>
      </w:r>
      <w:r w:rsidRPr="11A0C7AD">
        <w:t xml:space="preserve">. </w:t>
      </w:r>
      <w:r w:rsidRPr="00453063">
        <w:t>A cet objectif s'ajoute la gestion durable des haies et l'incitation au développement du bois de bocage réalisée dans le cadre du Label Haie de l'association AFAC-agroforesterie</w:t>
      </w:r>
      <w:r w:rsidRPr="11A0C7AD">
        <w:t xml:space="preserve"> </w:t>
      </w:r>
      <w:r w:rsidRPr="00453063">
        <w:t>et des</w:t>
      </w:r>
      <w:r w:rsidRPr="11A0C7AD">
        <w:t xml:space="preserve"> </w:t>
      </w:r>
      <w:r w:rsidRPr="00453063">
        <w:t>paiement</w:t>
      </w:r>
      <w:r>
        <w:t>s</w:t>
      </w:r>
      <w:r w:rsidRPr="00453063">
        <w:t xml:space="preserve"> pour service environnementaux</w:t>
      </w:r>
      <w:r>
        <w:t xml:space="preserve">. </w:t>
      </w:r>
    </w:p>
    <w:p w14:paraId="14240105" w14:textId="77777777" w:rsidR="00426FA6" w:rsidRPr="00CC4C75" w:rsidRDefault="00426FA6" w:rsidP="00426FA6">
      <w:pPr>
        <w:spacing w:before="240" w:after="240"/>
      </w:pPr>
      <w:r w:rsidRPr="00CC4C75">
        <w:rPr>
          <w:bCs/>
        </w:rPr>
        <w:t>L’</w:t>
      </w:r>
      <w:r w:rsidRPr="00CC4C75">
        <w:rPr>
          <w:b/>
          <w:bCs/>
        </w:rPr>
        <w:t xml:space="preserve">agriculture biologique </w:t>
      </w:r>
      <w:r w:rsidRPr="00CC4C75">
        <w:t xml:space="preserve">mérite également d’être mentionnée, par son usage presque exclusif de fertilisants organiques, par des pratiques impliquant plus souvent une diversification des cultures et des couverts intermédiaires, par son usage privilégié de l’herbe en élevage et/ou par une plus forte propension à l’agroforesterie. </w:t>
      </w:r>
    </w:p>
    <w:p w14:paraId="4447CB46" w14:textId="77777777" w:rsidR="00426FA6" w:rsidRDefault="00426FA6" w:rsidP="00426FA6">
      <w:pPr>
        <w:spacing w:before="240" w:after="240"/>
      </w:pPr>
      <w:r w:rsidRPr="006A0CFC">
        <w:t xml:space="preserve">Par ailleurs, la mise en œuvre de critères de </w:t>
      </w:r>
      <w:r w:rsidRPr="006A0CFC">
        <w:rPr>
          <w:b/>
          <w:bCs/>
        </w:rPr>
        <w:t xml:space="preserve">durabilité pour les bioénergies </w:t>
      </w:r>
      <w:r w:rsidRPr="006A0CFC">
        <w:t>conduit à éviter la production des matières premières agricoles destinées à la production énergétique sur certains sols riches en carbone et dans certaines zones riches en biodiversité, au sein de l’Union européenne ou dans les pays exportateurs vers l’Union européenne.</w:t>
      </w:r>
    </w:p>
    <w:p w14:paraId="114E0796" w14:textId="77777777" w:rsidR="00426FA6" w:rsidRPr="001918D8" w:rsidRDefault="00426FA6" w:rsidP="00426FA6">
      <w:pPr>
        <w:spacing w:before="240" w:after="240"/>
      </w:pPr>
      <w:r w:rsidRPr="006C4DEC">
        <w:t xml:space="preserve">Le </w:t>
      </w:r>
      <w:r w:rsidRPr="006C4DEC">
        <w:rPr>
          <w:b/>
        </w:rPr>
        <w:t>plan biodiversité</w:t>
      </w:r>
      <w:r w:rsidRPr="006C4DEC">
        <w:t>, publié en 2018, qui vise à mettre en œuvre l’objectif de réduire à zéro la perte de biodiversité nette, propose des actions pour limiter la consommation d’espaces n</w:t>
      </w:r>
      <w:r w:rsidRPr="001918D8">
        <w:t xml:space="preserve">aturels, agricoles et forestiers pour atteindre l’objectif de zéro artificialisation nette. Il prévoit notamment de revoir les politiques d’urbanisme et d’aménagement commercial afin d’enrayer l’augmentation des surfaces artificialisées (bâtiments, infrastructures de transports, parkings, terrains de sports...) et de favoriser un urbanisme sobre en consommation d’espace. </w:t>
      </w:r>
    </w:p>
    <w:p w14:paraId="7985C015" w14:textId="77777777" w:rsidR="00426FA6" w:rsidRPr="00D62F07" w:rsidRDefault="00426FA6" w:rsidP="00EF6DB6">
      <w:pPr>
        <w:pStyle w:val="Titre4niveau4"/>
      </w:pPr>
      <w:r w:rsidRPr="00303F94">
        <w:t xml:space="preserve">Stockage de carbone en forêt </w:t>
      </w:r>
    </w:p>
    <w:p w14:paraId="1B26E77B" w14:textId="77777777" w:rsidR="00426FA6" w:rsidRDefault="00426FA6" w:rsidP="00426FA6">
      <w:pPr>
        <w:spacing w:before="240" w:after="240"/>
      </w:pPr>
      <w:r w:rsidRPr="00303F94">
        <w:t>Les forêts françaises ont actuellement une contribution nette globalement positive à l’atténuation du changement climatique, avec des émissions (</w:t>
      </w:r>
      <w:r w:rsidRPr="009E30DE">
        <w:t>provenant notamment de l’oxydation des bois morts et des prélèvements) inférieures à la séquestration. Le puits forestier était de -30,4</w:t>
      </w:r>
      <w:r w:rsidRPr="009E30DE">
        <w:rPr>
          <w:rFonts w:ascii="Calibri" w:hAnsi="Calibri" w:cs="Calibri"/>
        </w:rPr>
        <w:t> </w:t>
      </w:r>
      <w:r w:rsidRPr="009E30DE">
        <w:t>MtCO</w:t>
      </w:r>
      <w:r w:rsidRPr="009E30DE">
        <w:rPr>
          <w:vertAlign w:val="subscript"/>
        </w:rPr>
        <w:t>2</w:t>
      </w:r>
      <w:r w:rsidRPr="009E30DE">
        <w:t xml:space="preserve"> en 2020.</w:t>
      </w:r>
    </w:p>
    <w:p w14:paraId="3E8B2B48" w14:textId="77777777" w:rsidR="00426FA6" w:rsidRDefault="00426FA6" w:rsidP="00426FA6">
      <w:pPr>
        <w:spacing w:before="240" w:after="240"/>
      </w:pPr>
      <w:r w:rsidRPr="00A47B71">
        <w:rPr>
          <w:b/>
          <w:sz w:val="21"/>
        </w:rPr>
        <w:t>Les Assises de la forêt et du bois, conduites entre octobre 2021 et mars 2022</w:t>
      </w:r>
      <w:r w:rsidRPr="00A47B71">
        <w:rPr>
          <w:sz w:val="21"/>
        </w:rPr>
        <w:t xml:space="preserve">, ont permis de dégager de façon concertée les principales actions sur lesquels se focaliser à court-terme en matière de connaissance, de renouvellement forestier, de préservation de la biodiversité, d’investissement dans la filière de transformation, de gouvernance… Ces actions seront reprises et amplifiées dans le cadre du </w:t>
      </w:r>
      <w:r w:rsidRPr="00A47B71">
        <w:rPr>
          <w:b/>
          <w:sz w:val="21"/>
        </w:rPr>
        <w:t>« volet forêt » de la planification écologique</w:t>
      </w:r>
      <w:r w:rsidRPr="00A47B71">
        <w:rPr>
          <w:sz w:val="21"/>
        </w:rPr>
        <w:t xml:space="preserve"> lancée par la Première Ministre </w:t>
      </w:r>
      <w:r>
        <w:t xml:space="preserve">française </w:t>
      </w:r>
      <w:r w:rsidRPr="00A47B71">
        <w:rPr>
          <w:sz w:val="21"/>
        </w:rPr>
        <w:t>fin 2022, planification qui viendra notamment concrétiser l’objectif de replantation d’un milliard d’arbres en 10 ans fixé par le Président de la République le 28 octobre 2022, suite aux incendies de l’été.</w:t>
      </w:r>
    </w:p>
    <w:p w14:paraId="7C083B93" w14:textId="77777777" w:rsidR="00426FA6" w:rsidRPr="003D43DC" w:rsidRDefault="00426FA6" w:rsidP="00426FA6">
      <w:pPr>
        <w:spacing w:before="240" w:after="240"/>
      </w:pPr>
      <w:r w:rsidRPr="00F26DA9">
        <w:rPr>
          <w:b/>
        </w:rPr>
        <w:t>Des moyens financiers conséquents ont été débloqués ces dernières années pour financer le renouvellement forestier</w:t>
      </w:r>
      <w:r>
        <w:t xml:space="preserve"> (France Relance puis France 2030). En</w:t>
      </w:r>
      <w:r w:rsidRPr="0045638B">
        <w:t xml:space="preserve"> clôture des Assises de la forêt et du bois, un financement pérenne a été annoncé. Dédié au renouvellement forestier et doté de 100 à 150 millions d’euros chaque année, il sera mis en place à partir de 2024, faisant appel notamment aux mécanismes de la finance carbone au regard du rôle de puits de carbone que représente la forêt et ses produits.</w:t>
      </w:r>
    </w:p>
    <w:p w14:paraId="62E26F1C" w14:textId="77777777" w:rsidR="00426FA6" w:rsidRPr="00303F94" w:rsidRDefault="00426FA6" w:rsidP="00426FA6">
      <w:pPr>
        <w:spacing w:before="240" w:after="240"/>
      </w:pPr>
      <w:r w:rsidRPr="00303F94">
        <w:t xml:space="preserve">Parmi les différentes politiques et mesures contribuant à renforcer le puits carbone forestier, on peut </w:t>
      </w:r>
      <w:r>
        <w:t xml:space="preserve">également </w:t>
      </w:r>
      <w:r w:rsidRPr="00303F94">
        <w:t>citer</w:t>
      </w:r>
      <w:r w:rsidRPr="00303F94">
        <w:rPr>
          <w:rFonts w:ascii="Calibri" w:hAnsi="Calibri" w:cs="Calibri"/>
        </w:rPr>
        <w:t> </w:t>
      </w:r>
      <w:r w:rsidRPr="00303F94">
        <w:t xml:space="preserve">: </w:t>
      </w:r>
    </w:p>
    <w:p w14:paraId="23CD76FD" w14:textId="77777777" w:rsidR="00426FA6" w:rsidRPr="00303F94" w:rsidRDefault="00426FA6" w:rsidP="00426FA6">
      <w:pPr>
        <w:numPr>
          <w:ilvl w:val="0"/>
          <w:numId w:val="8"/>
        </w:numPr>
        <w:spacing w:before="240" w:after="240"/>
      </w:pPr>
      <w:r w:rsidRPr="00303F94">
        <w:rPr>
          <w:bCs/>
        </w:rPr>
        <w:t>Le</w:t>
      </w:r>
      <w:r w:rsidRPr="00303F94">
        <w:rPr>
          <w:b/>
          <w:bCs/>
        </w:rPr>
        <w:t xml:space="preserve"> dispositif d'encouragement fiscal à l'investissement en forêt </w:t>
      </w:r>
      <w:r w:rsidRPr="00303F94">
        <w:t>(DEFI) incitant les propriétaires forestiers à s'inscrire dans une démarche de gestion durable de leur forêt, y compris à se regrouper dans des organisations de producteurs ou dans des groupements d’intérêt économique et environnemental forestiers (GIEEF), du fait d'un taux de crédit d'impôt supérieur, est prorogé jusqu'au 31 décembre 2020. L'objectif est d’améliorer la gestion forestière permettant de multiples bénéfices, notamment une réduction de la surcapitalisation de certaines forêts, une meilleure résilience au risque de tempête, mais aussi une plu</w:t>
      </w:r>
      <w:r>
        <w:t>s grande mobilisation du bois ;</w:t>
      </w:r>
    </w:p>
    <w:p w14:paraId="1C5A9E61" w14:textId="77777777" w:rsidR="00426FA6" w:rsidRPr="00303F94" w:rsidRDefault="00426FA6" w:rsidP="00426FA6">
      <w:pPr>
        <w:numPr>
          <w:ilvl w:val="0"/>
          <w:numId w:val="8"/>
        </w:numPr>
        <w:spacing w:before="240" w:after="240"/>
      </w:pPr>
      <w:r w:rsidRPr="00303F94">
        <w:t xml:space="preserve">Le </w:t>
      </w:r>
      <w:r w:rsidRPr="00303F94">
        <w:rPr>
          <w:b/>
          <w:bCs/>
        </w:rPr>
        <w:t xml:space="preserve">compte d’investissement forestier et d’assurance </w:t>
      </w:r>
      <w:r w:rsidRPr="00303F94">
        <w:t>(CIFA) incitant les propriétaires forestiers à s’assurer contre le risque de tempête et à constituer une épargne pour financer les travaux de prévention et, le cas échéant, de nettoyage et de reconstitution des peuplements endommagés. L'objectif est d’améliorer la résilience au changement climatique et donc de maint</w:t>
      </w:r>
      <w:r>
        <w:t>enir la séquestration en forêt</w:t>
      </w:r>
      <w:r>
        <w:rPr>
          <w:rFonts w:ascii="Calibri" w:hAnsi="Calibri" w:cs="Calibri"/>
        </w:rPr>
        <w:t> </w:t>
      </w:r>
      <w:r>
        <w:t>;</w:t>
      </w:r>
    </w:p>
    <w:p w14:paraId="5B7ABA3D" w14:textId="77777777" w:rsidR="00426FA6" w:rsidRDefault="00426FA6" w:rsidP="00426FA6">
      <w:pPr>
        <w:pStyle w:val="ListParagraph"/>
        <w:numPr>
          <w:ilvl w:val="0"/>
          <w:numId w:val="8"/>
        </w:numPr>
        <w:spacing w:before="240" w:after="240"/>
      </w:pPr>
      <w:r w:rsidRPr="000172DA">
        <w:rPr>
          <w:bCs/>
        </w:rPr>
        <w:t>Le</w:t>
      </w:r>
      <w:r w:rsidRPr="000172DA">
        <w:rPr>
          <w:b/>
          <w:bCs/>
        </w:rPr>
        <w:t xml:space="preserve"> dispositif de lutte contre les feux de forêts</w:t>
      </w:r>
      <w:r w:rsidRPr="00303F94">
        <w:t>, mis en place chaque année pour protéger les populations et les massifs forestiers. La lutte contre les feux de forêts débute par la mobilisation préventive des moyens d'intervention et sur une évaluation quotidienne et précise du risque de feu</w:t>
      </w:r>
      <w:r>
        <w:t>. Le Président de la République a annoncé un renforcement de ces moyens suite aux incendies de l’été 2022.</w:t>
      </w:r>
    </w:p>
    <w:p w14:paraId="0E47AF8C" w14:textId="77777777" w:rsidR="00426FA6" w:rsidRPr="00303F94" w:rsidRDefault="00426FA6" w:rsidP="00426FA6">
      <w:pPr>
        <w:numPr>
          <w:ilvl w:val="0"/>
          <w:numId w:val="8"/>
        </w:numPr>
        <w:spacing w:before="240" w:after="240"/>
      </w:pPr>
      <w:r w:rsidRPr="003702D5">
        <w:t xml:space="preserve">Le </w:t>
      </w:r>
      <w:r w:rsidRPr="003702D5">
        <w:rPr>
          <w:b/>
        </w:rPr>
        <w:t>label bas-carbone</w:t>
      </w:r>
      <w:r w:rsidRPr="003702D5">
        <w:t xml:space="preserve"> créé par le décret n°2018-1043 du 28 novembre 2018, permet au Ministère de la Transition Energétique de favoriser l’émergence de projets évitant l’émission ou séquestrant des gaz à effet de serre (GES) et de les valoriser, dans le cadre de la compensation volontaire ou obligatoire d’acteurs publics ou privés. Des projets séquestrant des émissions de GES de manière additionnelle, par rapport à la réglementation et aux incitations existantes, peuvent ainsi être labellisés puis financés par des acteurs publics ou privés, les réductions d’émission étant finalement reconnues à leur bénéfice. Les projets souhaitant être labellisés bas-carbone doivent s’inscrire dans le champ d’application d’une méthode approuvée par le Ministère de la Transition Energétique. Ces méthodes ont pour rôle de définir le périmètre d’application, les critères d’éligibilité et les critères d’additionnalité et le mode de calcul des GES séquestrés ou réduits. Ces projets de séquestration de GES peuvent concerner l’ensemble des secteurs d’activité, hormis les activités soumises au système d’échange de quotas d’émissions de l’Union Européenne (SEQE-UE). Onze méthodes ont déjà été approuvées dont trois en sylviculture</w:t>
      </w:r>
      <w:r w:rsidRPr="00303F94">
        <w:t>.</w:t>
      </w:r>
    </w:p>
    <w:p w14:paraId="6F264B39" w14:textId="77777777" w:rsidR="00426FA6" w:rsidRDefault="00426FA6" w:rsidP="00426FA6">
      <w:pPr>
        <w:numPr>
          <w:ilvl w:val="0"/>
          <w:numId w:val="8"/>
        </w:numPr>
        <w:spacing w:before="240" w:after="240"/>
      </w:pPr>
      <w:r w:rsidRPr="00303F94">
        <w:t xml:space="preserve">Le </w:t>
      </w:r>
      <w:r w:rsidRPr="00303F94">
        <w:rPr>
          <w:b/>
        </w:rPr>
        <w:t>Plan national d'adaptation au changement climatique</w:t>
      </w:r>
      <w:r w:rsidRPr="00303F94">
        <w:t>, qui comporte des mesures concernant la forêt. L'adaptation au changement climatique est essentielle pour assurer et sécuriser la fonction de puits de carbone de la forêt.</w:t>
      </w:r>
    </w:p>
    <w:p w14:paraId="2B20C0D8" w14:textId="77777777" w:rsidR="00426FA6" w:rsidRPr="00303F94" w:rsidRDefault="00426FA6" w:rsidP="00426FA6">
      <w:pPr>
        <w:spacing w:before="240" w:after="240"/>
      </w:pPr>
      <w:r w:rsidRPr="00303F94">
        <w:t xml:space="preserve">Par ailleurs, un certain nombre de dispositifs transversaux visent à la fois une meilleure gestion de la forêt et une plus grande mobilisation du bois : </w:t>
      </w:r>
    </w:p>
    <w:p w14:paraId="2292F11E" w14:textId="77777777" w:rsidR="00426FA6" w:rsidRPr="00303F94" w:rsidRDefault="00426FA6" w:rsidP="00426FA6">
      <w:pPr>
        <w:numPr>
          <w:ilvl w:val="0"/>
          <w:numId w:val="9"/>
        </w:numPr>
        <w:spacing w:before="240" w:after="240"/>
      </w:pPr>
      <w:r w:rsidRPr="00303F94">
        <w:rPr>
          <w:bCs/>
        </w:rPr>
        <w:t xml:space="preserve">Le </w:t>
      </w:r>
      <w:r w:rsidRPr="00303F94">
        <w:rPr>
          <w:b/>
          <w:bCs/>
        </w:rPr>
        <w:t xml:space="preserve">programme national de la forêt et du bois </w:t>
      </w:r>
      <w:r w:rsidRPr="00303F94">
        <w:t xml:space="preserve">(PNFB), issu de la LAAAF et approuvé par décret le 8 février 2017, fixe les orientations de la politique forestière pour la décennie 2016-2026. Il a notamment pour objet l'optimisation des leviers forestiers pour adapter les forêts françaises au changement climatique et contribuer à l’atténuation, en prenant en considération le bilan carbone complet de la filière forêt-bois (stockage de carbone dans la biomasse vivante aérienne et souterraine, dans la biomasse morte, dans les sols forestiers, dans les produits en bois, substitution du bois en remplacement d’énergies fossiles ou de matériaux concurrents). Il fixe notamment un objectif de mobilisation supplémentaire de bois de 12 Mm³ commerciaux d'ici 2026 par rapport à 2015. Les </w:t>
      </w:r>
      <w:r w:rsidRPr="00303F94">
        <w:rPr>
          <w:b/>
          <w:bCs/>
        </w:rPr>
        <w:t xml:space="preserve">programmes régionaux de la forêt et du bois </w:t>
      </w:r>
      <w:r w:rsidRPr="00303F94">
        <w:t xml:space="preserve">(PRFB) sont une déclinaison régionale du programme national de la forêt et du bois et sont en cours d’élaboration par les régions. Les PRFB reprendront les éléments structurants des plans pluriannuels régionaux de développement forestier ; </w:t>
      </w:r>
    </w:p>
    <w:p w14:paraId="7A38CCC8" w14:textId="77777777" w:rsidR="00426FA6" w:rsidRPr="00303F94" w:rsidRDefault="00426FA6" w:rsidP="00426FA6">
      <w:pPr>
        <w:numPr>
          <w:ilvl w:val="0"/>
          <w:numId w:val="9"/>
        </w:numPr>
        <w:spacing w:before="240" w:after="240"/>
      </w:pPr>
      <w:r w:rsidRPr="00303F94">
        <w:rPr>
          <w:bCs/>
        </w:rPr>
        <w:t xml:space="preserve">Le </w:t>
      </w:r>
      <w:r w:rsidRPr="00303F94">
        <w:rPr>
          <w:b/>
          <w:bCs/>
        </w:rPr>
        <w:t xml:space="preserve">plan d’action interministériel pour la relance de la filière forêt bois </w:t>
      </w:r>
      <w:r w:rsidRPr="00303F94">
        <w:rPr>
          <w:bCs/>
        </w:rPr>
        <w:t>(PAIFB), présenté par le gouvernement le 16 novembre 2018. Il identifie des actions prioritaires regroupées en trois axes qui portent sur la mobilisation et le renouvellement durable de la forêt, le développement des marchés finaux et le soutien à l’innovation et à l’investissement, l’amélioration de la performance environnementale de la filière et son développement dans les territoires.</w:t>
      </w:r>
    </w:p>
    <w:p w14:paraId="70152065" w14:textId="77777777" w:rsidR="00426FA6" w:rsidRPr="00303F94" w:rsidRDefault="00426FA6" w:rsidP="00426FA6">
      <w:pPr>
        <w:numPr>
          <w:ilvl w:val="0"/>
          <w:numId w:val="9"/>
        </w:numPr>
        <w:spacing w:before="240" w:after="240"/>
      </w:pPr>
      <w:r w:rsidRPr="00595671">
        <w:t xml:space="preserve">Le </w:t>
      </w:r>
      <w:r w:rsidRPr="00595671">
        <w:rPr>
          <w:b/>
        </w:rPr>
        <w:t>contrat stratégique de la filière bois</w:t>
      </w:r>
      <w:r w:rsidRPr="00595671">
        <w:t xml:space="preserve"> (CSF 2018-2022), signé par les professionnels de la filière et le gouvernement, vise à promouvoir l'usage de bois et renforcer la compétitivité de la filière. Le CSF contribue à préciser un nouveau modèle d’économie circulaire visant à produire de manière durable, en limitant les gaspillages de matières premières et en veillant au recyclage et à la valorisation des déchets de bois. Il prévoit également de développer l'usage du bois dans la construction, permettant ainsi un stockage de longue durée du carbone. Un avenant a été signé pour les années 2021-2022 pour la mise en œuvre du plan de relance.</w:t>
      </w:r>
    </w:p>
    <w:p w14:paraId="7588B9C0" w14:textId="77777777" w:rsidR="00426FA6" w:rsidRPr="00303F94" w:rsidRDefault="00426FA6" w:rsidP="00426FA6">
      <w:pPr>
        <w:numPr>
          <w:ilvl w:val="0"/>
          <w:numId w:val="9"/>
        </w:numPr>
        <w:spacing w:before="240" w:after="240"/>
      </w:pPr>
      <w:r w:rsidRPr="00303F94">
        <w:t xml:space="preserve">La </w:t>
      </w:r>
      <w:r w:rsidRPr="00303F94">
        <w:rPr>
          <w:b/>
        </w:rPr>
        <w:t>Stratégie nationale bio-économie</w:t>
      </w:r>
      <w:r w:rsidRPr="00303F94">
        <w:t xml:space="preserve"> (adoptée en 2017) et son plan d'action 2018-2020 intègrent dans une même perspective toutes les politiques publiques s’intéressant à la biomasse, afin de remettre l’économie du carbone renouvelable et du vivant au cœur de l’économie, en substituant les produits fossiles et miniers par des produits biosourcés. Le plan d'action décline la stratégie bio-économie en actions opérationnelles réparties en cinq axes : améliorer la connaissance</w:t>
      </w:r>
      <w:r w:rsidRPr="00303F94">
        <w:rPr>
          <w:rFonts w:ascii="Calibri" w:hAnsi="Calibri" w:cs="Calibri"/>
        </w:rPr>
        <w:t> </w:t>
      </w:r>
      <w:r w:rsidRPr="00303F94">
        <w:t>; promouvoir la bio-</w:t>
      </w:r>
      <w:r w:rsidRPr="00303F94">
        <w:rPr>
          <w:rFonts w:cs="Marianne"/>
        </w:rPr>
        <w:t>é</w:t>
      </w:r>
      <w:r w:rsidRPr="00303F94">
        <w:t>conomie et ses produits aupr</w:t>
      </w:r>
      <w:r w:rsidRPr="00303F94">
        <w:rPr>
          <w:rFonts w:cs="Marianne"/>
        </w:rPr>
        <w:t>è</w:t>
      </w:r>
      <w:r w:rsidRPr="00303F94">
        <w:t>s du grand public</w:t>
      </w:r>
      <w:r w:rsidRPr="00303F94">
        <w:rPr>
          <w:rFonts w:ascii="Calibri" w:hAnsi="Calibri" w:cs="Calibri"/>
        </w:rPr>
        <w:t> </w:t>
      </w:r>
      <w:r w:rsidRPr="00303F94">
        <w:t>; créer les conditions d'une rencontre de l’offre et de la demande</w:t>
      </w:r>
      <w:r w:rsidRPr="00303F94">
        <w:rPr>
          <w:rFonts w:ascii="Calibri" w:hAnsi="Calibri" w:cs="Calibri"/>
        </w:rPr>
        <w:t> </w:t>
      </w:r>
      <w:r w:rsidRPr="00303F94">
        <w:t>; produire, mobiliser et transformer durablement des bio-ressources</w:t>
      </w:r>
      <w:r w:rsidRPr="00303F94">
        <w:rPr>
          <w:rFonts w:ascii="Calibri" w:hAnsi="Calibri" w:cs="Calibri"/>
        </w:rPr>
        <w:t> </w:t>
      </w:r>
      <w:r w:rsidRPr="00303F94">
        <w:t>; lever les freins et mobiliser les financements.</w:t>
      </w:r>
    </w:p>
    <w:p w14:paraId="6A680CF5" w14:textId="3AD4973D" w:rsidR="00426FA6" w:rsidRPr="00426FA6" w:rsidRDefault="00426FA6" w:rsidP="00426FA6">
      <w:pPr>
        <w:numPr>
          <w:ilvl w:val="0"/>
          <w:numId w:val="9"/>
        </w:numPr>
        <w:spacing w:before="240" w:after="240"/>
        <w:rPr>
          <w:sz w:val="21"/>
        </w:rPr>
      </w:pPr>
      <w:r w:rsidRPr="00303F94">
        <w:t xml:space="preserve">Le </w:t>
      </w:r>
      <w:r w:rsidRPr="00303F94">
        <w:rPr>
          <w:b/>
        </w:rPr>
        <w:t>Plan Recherche-Innovation Forêt-Bois 2025</w:t>
      </w:r>
      <w:r w:rsidRPr="00303F94">
        <w:t xml:space="preserve"> qui décrit les grandes priorités de la filière en termes de recherche et développement: accroître les usages du bois à forte valeur ajoutée notamment les feuillus, accroître la performance de la filière, assurer son adaptation, etc.</w:t>
      </w:r>
      <w:r>
        <w:t xml:space="preserve"> Le</w:t>
      </w:r>
      <w:r w:rsidRPr="00A47B71">
        <w:rPr>
          <w:sz w:val="21"/>
        </w:rPr>
        <w:t xml:space="preserve"> lancement d’un programme prioritaire de recherche doté de 50 millions d’euros en faveur de la résilience et de la biodiversité des forêts et d’une bioéconomie agile, programme porté par la recherche publique, </w:t>
      </w:r>
      <w:r>
        <w:t>a été annoncé le 21 novembre 2022</w:t>
      </w:r>
      <w:r>
        <w:rPr>
          <w:rStyle w:val="FootnoteReference"/>
        </w:rPr>
        <w:footnoteReference w:id="48"/>
      </w:r>
      <w:r w:rsidRPr="00A47B71">
        <w:rPr>
          <w:sz w:val="21"/>
        </w:rPr>
        <w:t>.</w:t>
      </w:r>
    </w:p>
    <w:p w14:paraId="34C60319" w14:textId="77777777" w:rsidR="00426FA6" w:rsidRPr="00303F94" w:rsidRDefault="00426FA6" w:rsidP="00EF6DB6">
      <w:pPr>
        <w:pStyle w:val="Titre4niveau4"/>
      </w:pPr>
      <w:r w:rsidRPr="00303F94">
        <w:t xml:space="preserve">Développement du bois matériau </w:t>
      </w:r>
    </w:p>
    <w:p w14:paraId="2B71A5BB" w14:textId="77777777" w:rsidR="00426FA6" w:rsidRPr="00303F94" w:rsidRDefault="00426FA6" w:rsidP="00426FA6">
      <w:pPr>
        <w:spacing w:before="240" w:after="240"/>
      </w:pPr>
      <w:r w:rsidRPr="00303F94">
        <w:t xml:space="preserve">Le bois matériau produit et utilisé de façon durable demande peu d’énergie pour sa fabrication et permet de stocker temporairement du carbone : il permet ainsi d’ores et déjà en France le stockage d’environ 2 MtCO2eq annuellement et le développement de ces usages permettrait de l’accroître. Par ailleurs, il peut se substituer à des matériaux dont la fabrication est génératrice de gaz à effet de serre (comme le béton, l’acier et l’aluminium par exemple). </w:t>
      </w:r>
    </w:p>
    <w:p w14:paraId="41EFD3FF" w14:textId="77777777" w:rsidR="00426FA6" w:rsidRPr="00303F94" w:rsidRDefault="00426FA6" w:rsidP="00426FA6">
      <w:pPr>
        <w:spacing w:before="240" w:after="240"/>
      </w:pPr>
      <w:r w:rsidRPr="00016E77">
        <w:t xml:space="preserve">Plusieurs dispositifs sont prévus pour favoriser le développement du bois matériau, en particulier dans la construction. </w:t>
      </w:r>
      <w:r w:rsidRPr="00016E77">
        <w:rPr>
          <w:b/>
          <w:bCs/>
        </w:rPr>
        <w:t xml:space="preserve">Les plans bois I et II et III (le plan bois IV </w:t>
      </w:r>
      <w:r w:rsidRPr="00016E77">
        <w:t xml:space="preserve">couvre la période 2021-2024) ont permis de contribuer à lever les freins techniques et règlementaires pour l'utilisation du bois dans la construction de moyenne et de grande hauteur. </w:t>
      </w:r>
      <w:r w:rsidRPr="00016E77">
        <w:rPr>
          <w:b/>
          <w:bCs/>
        </w:rPr>
        <w:t xml:space="preserve">Le plan nouvelle France industrielle « Immeubles de grande hauteur en bois » </w:t>
      </w:r>
      <w:r w:rsidRPr="00016E77">
        <w:t xml:space="preserve">a pour objet de démontrer, de manière très concrète par la réalisation de bâtiments, la faisabilité de construire en bois en grande hauteur et de démocratiser, par la suite, les solutions techniques les plus adéquates. Enfin, </w:t>
      </w:r>
      <w:r w:rsidRPr="00016E77">
        <w:rPr>
          <w:b/>
          <w:bCs/>
        </w:rPr>
        <w:t xml:space="preserve">la RE2020 </w:t>
      </w:r>
      <w:r w:rsidRPr="00016E77">
        <w:t>(cf. section B.2) prend en compte l'ensemble des émissions d'un nouveau bâtiment sur l'ensemble de son cycle de vie (fabrication des matériaux inclus), ce qui promeut les produits biosourcés</w:t>
      </w:r>
      <w:r>
        <w:t>.</w:t>
      </w:r>
    </w:p>
    <w:p w14:paraId="28A4A80B" w14:textId="77777777" w:rsidR="00426FA6" w:rsidRDefault="00426FA6" w:rsidP="00426FA6">
      <w:pPr>
        <w:spacing w:before="240" w:after="240"/>
      </w:pPr>
      <w:r w:rsidRPr="00303F94">
        <w:t xml:space="preserve">Le </w:t>
      </w:r>
      <w:r w:rsidRPr="00303F94">
        <w:rPr>
          <w:b/>
          <w:bCs/>
        </w:rPr>
        <w:t xml:space="preserve">label « bâtiments biosourcés », </w:t>
      </w:r>
      <w:r w:rsidRPr="00303F94">
        <w:t>opérationnel depuis 2013, permet de donner une meilleure visibilité aux constructions neuves qui font l’effort d’utiliser de façon significative des matériaux d’origine végétale et animale (bois, chanvre, paille, laine, plumes, etc.).</w:t>
      </w:r>
    </w:p>
    <w:p w14:paraId="4FCF6FA2" w14:textId="77777777" w:rsidR="00426FA6" w:rsidRPr="00303F94" w:rsidRDefault="00426FA6" w:rsidP="00426FA6">
      <w:pPr>
        <w:spacing w:before="240" w:after="240"/>
      </w:pPr>
      <w:r w:rsidRPr="00E10486">
        <w:t xml:space="preserve">Les entreprises de la filière bois bénéficient par ailleurs de plusieurs </w:t>
      </w:r>
      <w:r w:rsidRPr="00E10486">
        <w:rPr>
          <w:b/>
        </w:rPr>
        <w:t>dispositifs de financement gérés par la banque publique d’investissement française Bpifrance</w:t>
      </w:r>
      <w:r w:rsidRPr="00E10486">
        <w:rPr>
          <w:vertAlign w:val="superscript"/>
        </w:rPr>
        <w:footnoteReference w:id="49"/>
      </w:r>
      <w:r w:rsidRPr="00E10486">
        <w:rPr>
          <w:rFonts w:ascii="Calibri" w:hAnsi="Calibri" w:cs="Calibri"/>
        </w:rPr>
        <w:t> </w:t>
      </w:r>
      <w:r w:rsidRPr="00E10486">
        <w:t>: le Prêt Participatif de Développement (PPD) Bois et le Prêt Filière Bois pour les financements en bas de bilan, le Fonds Bois pour les investissements en haut de bilan. Elles bénéficient également d’un dispositif d’accompagnement, l’Accélérateur Filière Bois, comprenant du conseil, de la formation et de la mise en relation pour faciliter leur croissance.</w:t>
      </w:r>
    </w:p>
    <w:p w14:paraId="63FA782F" w14:textId="77777777" w:rsidR="00426FA6" w:rsidRPr="00303F94" w:rsidRDefault="00426FA6" w:rsidP="00EF6DB6">
      <w:pPr>
        <w:pStyle w:val="Titre4niveau4"/>
      </w:pPr>
      <w:r w:rsidRPr="00303F94">
        <w:t xml:space="preserve">Développement de la biomasse énergie </w:t>
      </w:r>
    </w:p>
    <w:p w14:paraId="1AE19737" w14:textId="77777777" w:rsidR="00426FA6" w:rsidRPr="00303F94" w:rsidRDefault="00426FA6" w:rsidP="00426FA6">
      <w:pPr>
        <w:spacing w:before="240" w:after="240"/>
      </w:pPr>
      <w:r w:rsidRPr="00303F94">
        <w:t xml:space="preserve">Le bois énergie peut être récolté en tant que coproduit du bois d’œuvre, dans le respect de la hiérarchie des usages. Il est ainsi intéressant de valoriser sous forme de chaleur les produits connexes de récolte de bois d'œuvre et d'industrie, de scieries ainsi que certains déchets bois. Plus généralement, le développement de la valorisation de la biomasse sous forme énergétique permet de réduire les émissions de GES dans différents secteurs d’activité lorsqu’elle vient en substitution à des énergies fossiles. Le choix a été fait de rapporter les mesures en faveur du développement de la biomasse énergie dans cette section consacrée à la forêt (plutôt que dans la section énergie) car elles sont complémentaires des mesures visant à assurer une gestion durable des forêts. La politique publique sur la forêt et le bois vise en effet à prendre en compte de manière complémentaire l’amont et l’aval forestiers. </w:t>
      </w:r>
    </w:p>
    <w:p w14:paraId="5B72E149" w14:textId="77777777" w:rsidR="00426FA6" w:rsidRPr="00303F94" w:rsidRDefault="00426FA6" w:rsidP="00426FA6">
      <w:pPr>
        <w:spacing w:before="240" w:after="240"/>
      </w:pPr>
      <w:r w:rsidRPr="00303F94">
        <w:t xml:space="preserve">La </w:t>
      </w:r>
      <w:r w:rsidRPr="00303F94">
        <w:rPr>
          <w:b/>
          <w:bCs/>
        </w:rPr>
        <w:t xml:space="preserve">Stratégie nationale de mobilisation de la biomasse </w:t>
      </w:r>
      <w:r w:rsidRPr="00303F94">
        <w:t xml:space="preserve">(SNMB) et </w:t>
      </w:r>
      <w:r w:rsidRPr="00303F94">
        <w:rPr>
          <w:b/>
          <w:bCs/>
        </w:rPr>
        <w:t xml:space="preserve">les Schémas régionaux de mobilisation de la biomasse </w:t>
      </w:r>
      <w:r w:rsidRPr="00303F94">
        <w:t xml:space="preserve">(SRB) sont issus de la loi de transition énergétique pour la croissance verte d'août 2015. La SNMB définit des orientations, recommandations et actions concernant les filières de production et de valorisation de la biomasse susceptible d'avoir un usage énergétique, en vue de développer la production de biomasse, et d'augmenter sa mobilisation tout en veillant à une bonne articulation de ses usages et à l'atténuation du changement climatique. Les SRB adaptent la SNMB aux spécificités régionales. </w:t>
      </w:r>
    </w:p>
    <w:p w14:paraId="61399239" w14:textId="77777777" w:rsidR="00426FA6" w:rsidRPr="00303F94" w:rsidRDefault="00426FA6" w:rsidP="00426FA6">
      <w:pPr>
        <w:spacing w:before="240" w:after="240"/>
      </w:pPr>
      <w:r w:rsidRPr="00303F94">
        <w:t xml:space="preserve">Concernant la production de chaleur, </w:t>
      </w:r>
      <w:r w:rsidRPr="00303F94">
        <w:rPr>
          <w:bCs/>
        </w:rPr>
        <w:t>le</w:t>
      </w:r>
      <w:r w:rsidRPr="00303F94">
        <w:rPr>
          <w:b/>
          <w:bCs/>
        </w:rPr>
        <w:t xml:space="preserve"> fonds chaleur </w:t>
      </w:r>
      <w:r w:rsidRPr="00303F94">
        <w:t>géré par l’</w:t>
      </w:r>
      <w:r>
        <w:t>Ademe depuis 2009 (cf. section É</w:t>
      </w:r>
      <w:r w:rsidRPr="00303F94">
        <w:t xml:space="preserve">nergie) soutient de nombreux projets de chaufferies </w:t>
      </w:r>
      <w:r w:rsidRPr="009E30DE">
        <w:t>biomasse. Sur la période 2009-2021, ce sont 6566 projets qui ont été soutenus (dont 1853 projets bois-biomasse) pour un total de 2,9 milliards d’euros d’aides et une production annuelle de chaleur de 3,34</w:t>
      </w:r>
      <w:r>
        <w:t> </w:t>
      </w:r>
      <w:r w:rsidRPr="009E30DE">
        <w:t>Mtep</w:t>
      </w:r>
      <w:r w:rsidRPr="009E30DE">
        <w:rPr>
          <w:rStyle w:val="FootnoteReference"/>
        </w:rPr>
        <w:footnoteReference w:id="50"/>
      </w:r>
      <w:r w:rsidRPr="009E30DE">
        <w:t xml:space="preserve">. De plus, deux appels à manifestation d’intérêt </w:t>
      </w:r>
      <w:r w:rsidRPr="009E30DE">
        <w:rPr>
          <w:b/>
          <w:bCs/>
        </w:rPr>
        <w:t xml:space="preserve">DYNAMIC bois </w:t>
      </w:r>
      <w:r w:rsidRPr="009E30DE">
        <w:t xml:space="preserve">ont été lancés par l’Ademe en 2015 et </w:t>
      </w:r>
      <w:r w:rsidRPr="00303F94">
        <w:t xml:space="preserve">2016 pour soutenir des actions innovantes et opérationnelles permettant de mobiliser du bois supplémentaire pour faciliter l’approvisionnement des chaufferies biomasse financées dans le cadre du fonds chaleur et d’améliorer les peuplements forestiers. </w:t>
      </w:r>
    </w:p>
    <w:p w14:paraId="78AB7357" w14:textId="77777777" w:rsidR="00426FA6" w:rsidRDefault="00426FA6" w:rsidP="00426FA6">
      <w:pPr>
        <w:spacing w:before="240" w:after="240"/>
      </w:pPr>
      <w:r w:rsidRPr="00303F94">
        <w:t xml:space="preserve">La production d’électricité à partir de biomasse solide est soutenue par des </w:t>
      </w:r>
      <w:r>
        <w:t>dispositifs contractuels issus d’</w:t>
      </w:r>
      <w:r w:rsidRPr="00303F94">
        <w:rPr>
          <w:b/>
          <w:bCs/>
        </w:rPr>
        <w:t>appels d’offres</w:t>
      </w:r>
      <w:r>
        <w:rPr>
          <w:b/>
          <w:bCs/>
        </w:rPr>
        <w:t xml:space="preserve"> passés</w:t>
      </w:r>
      <w:r w:rsidRPr="00303F94">
        <w:t xml:space="preserve">. </w:t>
      </w:r>
      <w:r>
        <w:t>Les dispositifs d’aide se focalisent désormais sur un soutien à la chaleur renouvelable.</w:t>
      </w:r>
    </w:p>
    <w:p w14:paraId="5794C723" w14:textId="6474BA41" w:rsidR="00A5513E" w:rsidRDefault="00426FA6" w:rsidP="00426FA6">
      <w:pPr>
        <w:spacing w:before="240" w:after="240"/>
      </w:pPr>
      <w:r w:rsidRPr="00303F94">
        <w:t xml:space="preserve">Par ailleurs, les </w:t>
      </w:r>
      <w:r w:rsidRPr="009E30DE">
        <w:t xml:space="preserve">dispositifs MaPrimeRénov’ (cf. </w:t>
      </w:r>
      <w:r>
        <w:t>section B.2. Résidentiel/ter</w:t>
      </w:r>
      <w:r w:rsidRPr="00303F94">
        <w:t>t</w:t>
      </w:r>
      <w:r>
        <w:t>i</w:t>
      </w:r>
      <w:r w:rsidRPr="00303F94">
        <w:t>aire), des certificats d’éc</w:t>
      </w:r>
      <w:r>
        <w:t>onomies d’énergie (cf. section Én</w:t>
      </w:r>
      <w:r w:rsidRPr="00303F94">
        <w:t>ergie) et de l’éco-prêt à taux zéro (cf. section Résidentiel/tertiaire) soutiennent le développement du bois-énergie chez les particuliers</w:t>
      </w:r>
      <w:r w:rsidR="00A5513E" w:rsidRPr="00303F94">
        <w:t>.</w:t>
      </w:r>
    </w:p>
    <w:p w14:paraId="01A86ECC" w14:textId="6D4AAD6A" w:rsidR="00A5513E" w:rsidRDefault="00A5513E" w:rsidP="003F57EA">
      <w:pPr>
        <w:pStyle w:val="Titre3Niveau3"/>
      </w:pPr>
      <w:bookmarkStart w:id="473" w:name="_Toc120889891"/>
      <w:bookmarkStart w:id="474" w:name="_Toc138342010"/>
      <w:r w:rsidRPr="006D5177">
        <w:t>Traitement</w:t>
      </w:r>
      <w:r>
        <w:t xml:space="preserve"> des déchets</w:t>
      </w:r>
      <w:bookmarkEnd w:id="473"/>
      <w:bookmarkEnd w:id="474"/>
    </w:p>
    <w:p w14:paraId="35AF3CDC" w14:textId="45313AB3" w:rsidR="00A5513E" w:rsidRPr="00EC36FE" w:rsidRDefault="00A5513E" w:rsidP="00A5513E">
      <w:pPr>
        <w:spacing w:before="240" w:after="240"/>
      </w:pPr>
      <w:r w:rsidRPr="00EC36FE">
        <w:t>Ce secteur a contribué en 2020 à hauteur de 4</w:t>
      </w:r>
      <w:r w:rsidR="006518EF">
        <w:t>%</w:t>
      </w:r>
      <w:r w:rsidRPr="00EC36FE">
        <w:rPr>
          <w:rStyle w:val="FootnoteReference"/>
        </w:rPr>
        <w:footnoteReference w:id="51"/>
      </w:r>
      <w:r w:rsidRPr="00EC36FE">
        <w:t xml:space="preserve"> aux émissions de gaz à effet de serre françaises. Le stockage des déchets (mise en décharge) représente 82</w:t>
      </w:r>
      <w:r w:rsidR="006518EF">
        <w:t>%</w:t>
      </w:r>
      <w:r w:rsidRPr="00EC36FE">
        <w:t xml:space="preserve"> des émissions du secteur, l’incinération sans récupération d’énergie 9</w:t>
      </w:r>
      <w:r w:rsidR="006518EF">
        <w:t>%</w:t>
      </w:r>
      <w:r w:rsidRPr="00EC36FE">
        <w:t>, les autres traitements de déchets solides (tri et recyclage, production de compost et biogaz) représentent 6</w:t>
      </w:r>
      <w:r w:rsidR="006518EF">
        <w:t>%</w:t>
      </w:r>
      <w:r w:rsidRPr="00EC36FE">
        <w:t xml:space="preserve"> des émissions du secteur et le traitement des eaux usées 3</w:t>
      </w:r>
      <w:r w:rsidR="006518EF">
        <w:t>%</w:t>
      </w:r>
      <w:r w:rsidRPr="00EC36FE">
        <w:t>. Le méthane issu du stockage de déchets en décharges et du traitement des déchets solides et des eaux usées est le principal gaz à effet de serre émis par ce secteur en 2020 avec 88</w:t>
      </w:r>
      <w:r w:rsidR="006518EF">
        <w:t>%</w:t>
      </w:r>
      <w:r w:rsidRPr="00EC36FE">
        <w:t xml:space="preserve"> des émissions), suivi du </w:t>
      </w:r>
      <w:r w:rsidR="007F09F7">
        <w:t>CO</w:t>
      </w:r>
      <w:r w:rsidR="007F09F7" w:rsidRPr="007F09F7">
        <w:rPr>
          <w:vertAlign w:val="subscript"/>
        </w:rPr>
        <w:t>2</w:t>
      </w:r>
      <w:r w:rsidRPr="00EC36FE">
        <w:t xml:space="preserve"> provenant de l’incinération des déchets (9</w:t>
      </w:r>
      <w:r w:rsidR="006518EF">
        <w:t>%</w:t>
      </w:r>
      <w:r w:rsidRPr="00EC36FE">
        <w:t xml:space="preserve">) et du </w:t>
      </w:r>
      <w:r w:rsidR="00F80CAB" w:rsidRPr="00141043">
        <w:t>N</w:t>
      </w:r>
      <w:r w:rsidR="00F80CAB" w:rsidRPr="004F1EC8">
        <w:rPr>
          <w:vertAlign w:val="subscript"/>
        </w:rPr>
        <w:t>2</w:t>
      </w:r>
      <w:r w:rsidR="00F80CAB" w:rsidRPr="00141043">
        <w:t>O</w:t>
      </w:r>
      <w:r w:rsidR="00F80CAB">
        <w:t xml:space="preserve"> </w:t>
      </w:r>
      <w:r w:rsidRPr="00EC36FE">
        <w:t>principalement issu du traitement des eaux usées et des déchets solides (3%).</w:t>
      </w:r>
    </w:p>
    <w:p w14:paraId="1EBE98F8" w14:textId="77777777" w:rsidR="00A5513E" w:rsidRPr="002D3D8C" w:rsidRDefault="00A5513E" w:rsidP="00A5513E">
      <w:pPr>
        <w:spacing w:before="240" w:after="240"/>
      </w:pPr>
      <w:r w:rsidRPr="00EC36FE">
        <w:t>La prévention de la production de déchets est inscrite dans le Code de l’environnement comme la priorité en matière de gestion des déchets. La prévention de la production des déchets ne permet pas seulement d’éviter les impacts environnementaux liés à leur traitement. El</w:t>
      </w:r>
      <w:r w:rsidRPr="002D3D8C">
        <w:t xml:space="preserve">le permet également d’éviter les impacts environnementaux des étapes amont du cycle de vie des produits : extraction des ressources naturelles, production des biens et services, distribution, utilisation. </w:t>
      </w:r>
    </w:p>
    <w:p w14:paraId="10FF2741" w14:textId="77777777" w:rsidR="00A5513E" w:rsidRPr="002D3D8C" w:rsidRDefault="00A5513E" w:rsidP="00A5513E">
      <w:pPr>
        <w:spacing w:before="240" w:after="240"/>
      </w:pPr>
      <w:r w:rsidRPr="002D3D8C">
        <w:t xml:space="preserve">Plusieurs mesures ont été mises en place pour réduire la production de déchets : </w:t>
      </w:r>
    </w:p>
    <w:p w14:paraId="2379EFE4" w14:textId="77777777" w:rsidR="00ED2A5C" w:rsidRDefault="00ED2A5C" w:rsidP="00BE086C">
      <w:pPr>
        <w:numPr>
          <w:ilvl w:val="0"/>
          <w:numId w:val="18"/>
        </w:numPr>
        <w:spacing w:before="240" w:after="240"/>
      </w:pPr>
      <w:r>
        <w:t xml:space="preserve">L’arrêt de l’éligibilité au complément de rémunération pour la production d’électricité </w:t>
      </w:r>
      <w:r w:rsidRPr="00C332E7">
        <w:t>à partir de déchets incinérés dans les UIOM (en 2016) et à partir de gaz de décharge (en 2020</w:t>
      </w:r>
      <w:r>
        <w:t>).</w:t>
      </w:r>
    </w:p>
    <w:p w14:paraId="2791B531" w14:textId="0CA5B5CE" w:rsidR="00A5513E" w:rsidRPr="002D3D8C" w:rsidRDefault="00A5513E" w:rsidP="00BE086C">
      <w:pPr>
        <w:numPr>
          <w:ilvl w:val="0"/>
          <w:numId w:val="18"/>
        </w:numPr>
        <w:spacing w:before="240" w:after="240"/>
      </w:pPr>
      <w:r>
        <w:t>L</w:t>
      </w:r>
      <w:r w:rsidRPr="002D3D8C">
        <w:t xml:space="preserve">es </w:t>
      </w:r>
      <w:r w:rsidRPr="002D3D8C">
        <w:rPr>
          <w:b/>
          <w:bCs/>
        </w:rPr>
        <w:t xml:space="preserve">sacs plastiques à usage unique sont interdits </w:t>
      </w:r>
      <w:r w:rsidRPr="002D3D8C">
        <w:t xml:space="preserve">depuis le </w:t>
      </w:r>
      <w:r w:rsidR="006518EF" w:rsidRPr="009F4180">
        <w:t>1</w:t>
      </w:r>
      <w:r w:rsidR="006518EF" w:rsidRPr="007F47EF">
        <w:rPr>
          <w:vertAlign w:val="superscript"/>
        </w:rPr>
        <w:t>er</w:t>
      </w:r>
      <w:r w:rsidRPr="002D3D8C">
        <w:t xml:space="preserve"> janvier 2016 ; </w:t>
      </w:r>
    </w:p>
    <w:p w14:paraId="1BE0E4B5" w14:textId="77777777" w:rsidR="00A5513E" w:rsidRPr="002D3D8C" w:rsidRDefault="00A5513E" w:rsidP="00BE086C">
      <w:pPr>
        <w:numPr>
          <w:ilvl w:val="0"/>
          <w:numId w:val="18"/>
        </w:numPr>
        <w:spacing w:before="240" w:after="240"/>
      </w:pPr>
      <w:r>
        <w:t>L</w:t>
      </w:r>
      <w:r w:rsidRPr="002D3D8C">
        <w:t xml:space="preserve">a </w:t>
      </w:r>
      <w:r w:rsidRPr="002D3D8C">
        <w:rPr>
          <w:b/>
          <w:bCs/>
        </w:rPr>
        <w:t xml:space="preserve">lutte contre le gaspillage alimentaire </w:t>
      </w:r>
      <w:r w:rsidRPr="002D3D8C">
        <w:t>a été constituée comme priorité nationale avec un objectif de réduire de moitié les pertes et gaspillages à l’horizon 2025. Les mesures suivantes ont été prises : les grandes surfaces alimentaires ont désormais l’obligation de proposer des conventions à des associations caritatives habilitées pour effectuer des dons de denrées alimentaires invendues. Les distributeurs ont l’interdiction de rendre délibérément les denrées alimentaires invendues impropres à la consommation. L’État, ses établissements publics et les collectivités territoriales ont l’obligation de mettre en place une démarche de lutte contre le gaspillage alimentaire dans les services de restauration collective qu’ils gèrent</w:t>
      </w:r>
      <w:r w:rsidRPr="002D3D8C">
        <w:rPr>
          <w:rFonts w:ascii="Calibri" w:hAnsi="Calibri" w:cs="Calibri"/>
        </w:rPr>
        <w:t> </w:t>
      </w:r>
      <w:r w:rsidRPr="002D3D8C">
        <w:t xml:space="preserve">; </w:t>
      </w:r>
    </w:p>
    <w:p w14:paraId="1DB2A74F" w14:textId="4C3C4BF8" w:rsidR="00A5513E" w:rsidRPr="002D3D8C" w:rsidRDefault="00A5513E" w:rsidP="00BE086C">
      <w:pPr>
        <w:numPr>
          <w:ilvl w:val="0"/>
          <w:numId w:val="18"/>
        </w:numPr>
        <w:spacing w:before="240" w:after="240"/>
      </w:pPr>
      <w:r>
        <w:t>L</w:t>
      </w:r>
      <w:r w:rsidRPr="002D3D8C">
        <w:t xml:space="preserve">’obsolescence programmée a été définie dans loi du 17 août 2015 relative à la transition énergétique pour la croissance verte comme « l’ensemble des techniques par lesquelles un metteur sur le marché vise à réduire délibérément la durée de vie d’un produit pour en augmenter le taux de remplacement ». La loi reconnaît le </w:t>
      </w:r>
      <w:r w:rsidRPr="002D3D8C">
        <w:rPr>
          <w:b/>
          <w:bCs/>
        </w:rPr>
        <w:t>délit d’obsolescence programmée</w:t>
      </w:r>
      <w:r w:rsidRPr="002D3D8C">
        <w:t>, qui est puni d’une peine de deux ans d’emprisonnement et de 300 000 euros d’amende, le montant de l’amende pouvant être porté à 5</w:t>
      </w:r>
      <w:r w:rsidR="006518EF">
        <w:t>%</w:t>
      </w:r>
      <w:r w:rsidRPr="002D3D8C">
        <w:t xml:space="preserve"> du chiffre d’affaires moyen annuel. </w:t>
      </w:r>
    </w:p>
    <w:p w14:paraId="69C933F9" w14:textId="77777777" w:rsidR="00A5513E" w:rsidRPr="002D3D8C" w:rsidRDefault="00A5513E" w:rsidP="00A5513E">
      <w:pPr>
        <w:spacing w:before="240" w:after="240"/>
      </w:pPr>
      <w:r w:rsidRPr="002D3D8C">
        <w:t xml:space="preserve">Après la prévention des déchets, la hiérarchie des traitements de déchets dans le droit français (en application de la directive européenne déchets 2008/98/CE) est la suivante : la réutilisation, le recyclage et les autres formes de valorisation de la matière, la valorisation énergétique et l’élimination (incinération sans valorisation énergétique et stockage en décharge). </w:t>
      </w:r>
    </w:p>
    <w:p w14:paraId="66DBD316" w14:textId="77777777" w:rsidR="00A5513E" w:rsidRPr="00EC36FE" w:rsidRDefault="00A5513E" w:rsidP="00A5513E">
      <w:pPr>
        <w:spacing w:before="240" w:after="240"/>
      </w:pPr>
      <w:r w:rsidRPr="002D3D8C">
        <w:t xml:space="preserve">Les </w:t>
      </w:r>
      <w:r w:rsidRPr="002D3D8C">
        <w:rPr>
          <w:b/>
          <w:bCs/>
        </w:rPr>
        <w:t xml:space="preserve">filières à responsabilité élargie des producteurs </w:t>
      </w:r>
      <w:r w:rsidRPr="002D3D8C">
        <w:t xml:space="preserve">(REP) sont des dispositifs d’organisation de la prévention et de la gestion de déchets qui concernent certains types de produits. Ces dispositifs reposent sur le principe de responsabilité élargie du producteur, selon lequel les producteurs, c’est-à-dire les personnes responsables de la mise sur le marché de certains produits, sont rendus responsables de financer ou d’organiser la gestion des déchets issus de ces produits en fin de vie. </w:t>
      </w:r>
      <w:r w:rsidRPr="00EC36FE">
        <w:t xml:space="preserve">Il existe actuellement en France une vingtaine de filières qui sont soumises à ce principe, mise en place de manière progressive depuis 1992. Un tel dispositif permet l’intégration par le producteur du coût de gestion des déchets dans le coût du produit et encourage l’écoconception de son produit pour les réduire. La </w:t>
      </w:r>
      <w:r w:rsidRPr="00EC36FE">
        <w:rPr>
          <w:b/>
        </w:rPr>
        <w:t xml:space="preserve">loi n° 2020-105 du 10 février 2020 relative à la lutte contre le gaspillage et à l'économie circulaire (AGEC) </w:t>
      </w:r>
      <w:r w:rsidRPr="00EC36FE">
        <w:t>prévoit que tout produit relevant du principe de responsabilité élargie des producteurs (REP), à l'exclusion des emballages ménagers de boissons en verre, fait l'objet d'une signalétique Triman</w:t>
      </w:r>
      <w:r w:rsidRPr="00EC36FE">
        <w:rPr>
          <w:rStyle w:val="FootnoteReference"/>
        </w:rPr>
        <w:footnoteReference w:id="52"/>
      </w:r>
      <w:r w:rsidRPr="00EC36FE">
        <w:t xml:space="preserve"> informant le consommateur que ce produit fait l'objet de règles de tri. Cette signalétique Triman est accompagnée d'une information précisant les modalités de tri ou d'apport du déchet issu du produit. Si plusieurs éléments du produit ou des déchets issus du produit font l'objet de modalités de tri différentes, ces modalités sont détaillées élément par élément. Ces informations figurent sur le produit, son emballage ou, à défaut, dans les autres documents fournis avec le produit, sans préjudice des symboles apposés en application d'autres dispositions.</w:t>
      </w:r>
    </w:p>
    <w:p w14:paraId="1A3DE7F5" w14:textId="77777777" w:rsidR="00A5513E" w:rsidRPr="00EC36FE" w:rsidRDefault="00A5513E" w:rsidP="00A5513E">
      <w:pPr>
        <w:spacing w:before="240" w:after="240"/>
      </w:pPr>
      <w:r w:rsidRPr="00EC36FE">
        <w:t>La loi AGEC prévoit également la création de onze filières REP supplémentaires entre 2021 et 2025</w:t>
      </w:r>
      <w:r w:rsidRPr="00EC36FE">
        <w:rPr>
          <w:rStyle w:val="FootnoteReference"/>
        </w:rPr>
        <w:footnoteReference w:id="53"/>
      </w:r>
      <w:r w:rsidRPr="00EC36FE">
        <w:t>.</w:t>
      </w:r>
    </w:p>
    <w:p w14:paraId="53F86A3C" w14:textId="403B4269" w:rsidR="00A5513E" w:rsidRPr="002D3D8C" w:rsidRDefault="00A5513E" w:rsidP="00A5513E">
      <w:pPr>
        <w:spacing w:before="240" w:after="240"/>
      </w:pPr>
      <w:r w:rsidRPr="002D3D8C">
        <w:t>Juste après les démarches de réduction et de prévention des déchets, le tri à la source des déchets est une étape très importante pour les orienter dans une filière appropriée et augmenter les quantités de déchets valorisés. La loi relative à la transition énergétique pour la croissance verte a mis en place un ensemble de dispositions relatives au tri :</w:t>
      </w:r>
      <w:r w:rsidR="00260E0B">
        <w:t xml:space="preserve"> </w:t>
      </w:r>
    </w:p>
    <w:p w14:paraId="7C105D87" w14:textId="77777777" w:rsidR="00A5513E" w:rsidRPr="002D3D8C" w:rsidRDefault="00A5513E" w:rsidP="00BE086C">
      <w:pPr>
        <w:numPr>
          <w:ilvl w:val="0"/>
          <w:numId w:val="19"/>
        </w:numPr>
        <w:spacing w:before="240" w:after="240"/>
      </w:pPr>
      <w:r w:rsidRPr="002D3D8C">
        <w:rPr>
          <w:b/>
          <w:bCs/>
        </w:rPr>
        <w:t xml:space="preserve">Obligation de tri </w:t>
      </w:r>
      <w:r w:rsidRPr="002D3D8C">
        <w:t xml:space="preserve">pour le papier, le carton, le plastique, les métaux, le bois, le verre en vue d’une valorisation matière ou d’une valorisation énergétique </w:t>
      </w:r>
      <w:r w:rsidRPr="002D3D8C">
        <w:rPr>
          <w:b/>
          <w:bCs/>
        </w:rPr>
        <w:t xml:space="preserve">pour les déchets des activités économiques </w:t>
      </w:r>
      <w:r w:rsidRPr="002D3D8C">
        <w:t xml:space="preserve">des entreprises et des administrations ; </w:t>
      </w:r>
    </w:p>
    <w:p w14:paraId="1AE10D2A" w14:textId="77777777" w:rsidR="00A5513E" w:rsidRPr="002D3D8C" w:rsidRDefault="00A5513E" w:rsidP="00BE086C">
      <w:pPr>
        <w:numPr>
          <w:ilvl w:val="0"/>
          <w:numId w:val="19"/>
        </w:numPr>
        <w:spacing w:before="240" w:after="240"/>
      </w:pPr>
      <w:r w:rsidRPr="002D3D8C">
        <w:rPr>
          <w:b/>
          <w:bCs/>
        </w:rPr>
        <w:t xml:space="preserve">Généralisation du tri à la source des biodéchets </w:t>
      </w:r>
      <w:r w:rsidRPr="002D3D8C">
        <w:t xml:space="preserve">pour les ménages d’ici 2025; </w:t>
      </w:r>
    </w:p>
    <w:p w14:paraId="46C2C752" w14:textId="77777777" w:rsidR="00A5513E" w:rsidRPr="002D3D8C" w:rsidRDefault="00A5513E" w:rsidP="00BE086C">
      <w:pPr>
        <w:numPr>
          <w:ilvl w:val="0"/>
          <w:numId w:val="19"/>
        </w:numPr>
        <w:spacing w:before="240" w:after="240"/>
      </w:pPr>
      <w:r w:rsidRPr="002D3D8C">
        <w:t xml:space="preserve">Déploiement d’une </w:t>
      </w:r>
      <w:r w:rsidRPr="002D3D8C">
        <w:rPr>
          <w:b/>
          <w:bCs/>
        </w:rPr>
        <w:t>tarification incitative pour l'enlèvement des déchets ménagers et assimilés</w:t>
      </w:r>
      <w:r w:rsidRPr="002D3D8C">
        <w:t xml:space="preserve">, c’est-à-dire introduire une part variable dans la taxe d’enlèvement des ordures ménagères pour récompenser les bons trieurs ; </w:t>
      </w:r>
    </w:p>
    <w:p w14:paraId="39655E12" w14:textId="77777777" w:rsidR="00A5513E" w:rsidRPr="002D3D8C" w:rsidRDefault="00A5513E" w:rsidP="00BE086C">
      <w:pPr>
        <w:numPr>
          <w:ilvl w:val="0"/>
          <w:numId w:val="19"/>
        </w:numPr>
        <w:spacing w:before="240" w:after="240"/>
      </w:pPr>
      <w:r w:rsidRPr="002D3D8C">
        <w:rPr>
          <w:b/>
          <w:bCs/>
        </w:rPr>
        <w:t xml:space="preserve">Extension des consignes de tri des emballages ménagers à l’ensemble des emballages en plastique </w:t>
      </w:r>
      <w:r w:rsidRPr="002D3D8C">
        <w:t xml:space="preserve">d’ici 2022, dont les films et barquettes en plastique (jusqu’ici, seules les bouteilles et les flacons en plastique devaient être triés) ; </w:t>
      </w:r>
    </w:p>
    <w:p w14:paraId="00D6A4BF" w14:textId="77777777" w:rsidR="00A5513E" w:rsidRPr="002D3D8C" w:rsidRDefault="00A5513E" w:rsidP="00BE086C">
      <w:pPr>
        <w:numPr>
          <w:ilvl w:val="0"/>
          <w:numId w:val="19"/>
        </w:numPr>
        <w:spacing w:before="240" w:after="240"/>
      </w:pPr>
      <w:r w:rsidRPr="002D3D8C">
        <w:rPr>
          <w:b/>
          <w:bCs/>
        </w:rPr>
        <w:t xml:space="preserve">Harmonisation progressive des consignes de tri et les couleurs des poubelles </w:t>
      </w:r>
      <w:r w:rsidRPr="002D3D8C">
        <w:t>en France</w:t>
      </w:r>
    </w:p>
    <w:p w14:paraId="457ADC73" w14:textId="3C6F7D67" w:rsidR="00A5513E" w:rsidRPr="002D3D8C" w:rsidRDefault="00A5513E" w:rsidP="00BE086C">
      <w:pPr>
        <w:numPr>
          <w:ilvl w:val="0"/>
          <w:numId w:val="19"/>
        </w:numPr>
        <w:spacing w:before="240" w:after="240"/>
      </w:pPr>
      <w:r w:rsidRPr="002D3D8C">
        <w:t xml:space="preserve">Mise en place, à compter du </w:t>
      </w:r>
      <w:r w:rsidR="006518EF" w:rsidRPr="009F4180">
        <w:t>1</w:t>
      </w:r>
      <w:r w:rsidR="006518EF" w:rsidRPr="007F47EF">
        <w:rPr>
          <w:vertAlign w:val="superscript"/>
        </w:rPr>
        <w:t>er</w:t>
      </w:r>
      <w:r w:rsidRPr="002D3D8C">
        <w:t xml:space="preserve"> janvier 2017, d’</w:t>
      </w:r>
      <w:r w:rsidRPr="002D3D8C">
        <w:rPr>
          <w:b/>
          <w:bCs/>
        </w:rPr>
        <w:t xml:space="preserve">un réseau de déchèteries professionnelles du BTP </w:t>
      </w:r>
      <w:r w:rsidRPr="002D3D8C">
        <w:t xml:space="preserve">sous la responsabilité des distributeurs de matériaux de construction, pour reprendre les déchets pré-triés de leurs clients. </w:t>
      </w:r>
    </w:p>
    <w:p w14:paraId="1567EFF0" w14:textId="1C2AA84B" w:rsidR="00A5513E" w:rsidRPr="002D3D8C" w:rsidRDefault="00A5513E" w:rsidP="00A5513E">
      <w:pPr>
        <w:spacing w:before="240" w:after="240"/>
      </w:pPr>
      <w:r w:rsidRPr="002D3D8C">
        <w:t xml:space="preserve">La </w:t>
      </w:r>
      <w:r w:rsidRPr="002D3D8C">
        <w:rPr>
          <w:b/>
          <w:bCs/>
        </w:rPr>
        <w:t xml:space="preserve">composante déchets de la taxe générale sur les activités polluantes </w:t>
      </w:r>
      <w:r w:rsidRPr="002D3D8C">
        <w:t>(TGAP) constitue une fiscalité incitative due par tout exploitant d'une décharge (installation de stockage) ou d’un incinérateur (installation de traitement thermique de déchets) soumis à autorisation. Le fait générateur de la taxe est dû à la réception de déchets par l’exploitant de l’installation et vise à réduire en amont la quantité de déchets produite et favoriser le recyclage. Les taux de la TGAP déchets sont régulièrement augmentés afin d’en renforce le caractère incitatif.</w:t>
      </w:r>
      <w:r w:rsidR="00260E0B">
        <w:t xml:space="preserve"> </w:t>
      </w:r>
      <w:r w:rsidRPr="002D3D8C">
        <w:t xml:space="preserve">Par ailleurs, le taux de la TGAP déchets non dangereux est modulé en fonction de critères environnementaux et énergétiques des décharges et incinérateurs, afin d’inciter à l’exploitation des installations présentant les performances environnementales et de valorisation les plus élevées. </w:t>
      </w:r>
    </w:p>
    <w:p w14:paraId="4F6C860E" w14:textId="77777777" w:rsidR="00A5513E" w:rsidRPr="002D3D8C" w:rsidRDefault="00A5513E" w:rsidP="00A5513E">
      <w:pPr>
        <w:spacing w:before="240" w:after="240"/>
      </w:pPr>
      <w:r w:rsidRPr="002D3D8C">
        <w:t xml:space="preserve">Le </w:t>
      </w:r>
      <w:r w:rsidRPr="002D3D8C">
        <w:rPr>
          <w:b/>
          <w:bCs/>
        </w:rPr>
        <w:t xml:space="preserve">fonds déchets de l’Ademe </w:t>
      </w:r>
      <w:r w:rsidRPr="002D3D8C">
        <w:t xml:space="preserve">vise à soutenir l’ensemble des opérations qui concourent à mettre en œuvre la politique déchets et l’économie circulaire. Le fonds déchet est alimenté par les recettes de la TGAP déchets. Le niveau de ce fonds permet à l'Ademe d'offrir des soutiens à la plupart des opérations concourant à cette politique, selon des modalités dépendant de la nature des opérations (études, animation, sensibilisation, investissements...) et de leur objectif (prévention, recyclage, valorisation…). Les actions principales portent sur : le tri à la source des biodéchets par les ménages et les entreprises, la prévention de la production des déchets des activités économiques et leur tri, et la tarification incitative du service public de gestion des déchets. </w:t>
      </w:r>
    </w:p>
    <w:p w14:paraId="115FA5F3" w14:textId="77777777" w:rsidR="00A5513E" w:rsidRPr="002D3D8C" w:rsidRDefault="00A5513E" w:rsidP="00A5513E">
      <w:pPr>
        <w:spacing w:before="240" w:after="240"/>
      </w:pPr>
      <w:r w:rsidRPr="002D3D8C">
        <w:t xml:space="preserve">La </w:t>
      </w:r>
      <w:r w:rsidRPr="002D3D8C">
        <w:rPr>
          <w:b/>
          <w:bCs/>
        </w:rPr>
        <w:t>feuille de route sur l’économie circulaire</w:t>
      </w:r>
      <w:r w:rsidRPr="002D3D8C">
        <w:t xml:space="preserve">, publiée en avril 2018, vise à mieux produire (écoconception, incorporation de matières recyclées), mieux consommer (développement du réemploi et de la réparation, allongement de la durée de vie des produits), mieux gérer les déchets (optimisation du tri des déchets, développement du recyclage et de la valorisation) et mobiliser tous les acteurs. </w:t>
      </w:r>
    </w:p>
    <w:p w14:paraId="1D6E0D1B" w14:textId="77777777" w:rsidR="00A5513E" w:rsidRPr="002D3D8C" w:rsidRDefault="00A5513E" w:rsidP="00A5513E">
      <w:pPr>
        <w:spacing w:before="240" w:after="240"/>
      </w:pPr>
      <w:r w:rsidRPr="002D3D8C">
        <w:t xml:space="preserve">Faisant suite à cette feuille de route sur l’économie circulaire de 2018, </w:t>
      </w:r>
      <w:r>
        <w:t>la</w:t>
      </w:r>
      <w:r w:rsidRPr="002D3D8C">
        <w:rPr>
          <w:b/>
        </w:rPr>
        <w:t xml:space="preserve"> loi </w:t>
      </w:r>
      <w:r>
        <w:rPr>
          <w:b/>
        </w:rPr>
        <w:t>AGEC</w:t>
      </w:r>
      <w:r w:rsidRPr="002D3D8C">
        <w:t xml:space="preserve"> vise à mettre en place un ensemble de mesures articulées autour de quatre grandes orientations</w:t>
      </w:r>
      <w:r w:rsidRPr="002D3D8C">
        <w:rPr>
          <w:rFonts w:ascii="Calibri" w:hAnsi="Calibri" w:cs="Calibri"/>
        </w:rPr>
        <w:t> </w:t>
      </w:r>
      <w:r w:rsidRPr="002D3D8C">
        <w:t>: mettre fin au gaspillage pour pr</w:t>
      </w:r>
      <w:r w:rsidRPr="002D3D8C">
        <w:rPr>
          <w:rFonts w:cs="Marianne"/>
        </w:rPr>
        <w:t>é</w:t>
      </w:r>
      <w:r w:rsidRPr="002D3D8C">
        <w:t>server les ressources naturelles, mobiliser les industriels pour transformer les modes de production, renforcer l’information du consommateur et améliorer la collecte des déchets et lutter contre les dépôts sauvages</w:t>
      </w:r>
      <w:r w:rsidRPr="002D3D8C">
        <w:rPr>
          <w:rFonts w:ascii="Calibri" w:hAnsi="Calibri" w:cs="Calibri"/>
        </w:rPr>
        <w:t> </w:t>
      </w:r>
      <w:r w:rsidRPr="002D3D8C">
        <w:t>:</w:t>
      </w:r>
    </w:p>
    <w:p w14:paraId="21F996A2" w14:textId="77777777" w:rsidR="00A5513E" w:rsidRDefault="00A5513E" w:rsidP="00BE086C">
      <w:pPr>
        <w:numPr>
          <w:ilvl w:val="0"/>
          <w:numId w:val="15"/>
        </w:numPr>
        <w:spacing w:before="240" w:after="240"/>
      </w:pPr>
      <w:r w:rsidRPr="002D3D8C">
        <w:t xml:space="preserve">Pour stopper le gaspillage, </w:t>
      </w:r>
      <w:r>
        <w:t>la</w:t>
      </w:r>
      <w:r w:rsidRPr="002D3D8C">
        <w:t xml:space="preserve"> loi prévoit la mise en place d’interdictions de détruire les produits invendus, l’instauration d’une information du consommateur sur la disponibilité (ou non) de pièces détachées pour favoriser la réparation, et un renforcement du diagnostic déchets que doit réaliser le maître d’ouvrage en amont du chantier pour une meilleure gestion des déchets du bâtiment</w:t>
      </w:r>
      <w:r w:rsidRPr="00580E95">
        <w:rPr>
          <w:rFonts w:ascii="Calibri" w:hAnsi="Calibri" w:cs="Calibri"/>
        </w:rPr>
        <w:t> </w:t>
      </w:r>
      <w:r w:rsidRPr="002D3D8C">
        <w:t>;</w:t>
      </w:r>
    </w:p>
    <w:p w14:paraId="7F1485D0" w14:textId="77777777" w:rsidR="00A5513E" w:rsidRPr="002D3D8C" w:rsidRDefault="00A5513E" w:rsidP="00BE086C">
      <w:pPr>
        <w:numPr>
          <w:ilvl w:val="0"/>
          <w:numId w:val="15"/>
        </w:numPr>
        <w:spacing w:before="240" w:after="240"/>
      </w:pPr>
      <w:r w:rsidRPr="002D3D8C">
        <w:t xml:space="preserve">Pour transformer les modes de production, un bonus-malus sera instauré sur la contribution que les fabricants versent pour la gestion et le traitement de la fin de vie de leurs produits afin de récompenser les produits </w:t>
      </w:r>
      <w:r>
        <w:t>éco-conçus, et les filières REP</w:t>
      </w:r>
      <w:r w:rsidRPr="002D3D8C">
        <w:t xml:space="preserve"> seront étendues à de nouveaux produits (jouets, cigarettes, articles de sport)</w:t>
      </w:r>
      <w:r w:rsidRPr="00580E95">
        <w:rPr>
          <w:rFonts w:ascii="Calibri" w:hAnsi="Calibri" w:cs="Calibri"/>
        </w:rPr>
        <w:t> </w:t>
      </w:r>
      <w:r w:rsidRPr="002D3D8C">
        <w:t>;</w:t>
      </w:r>
    </w:p>
    <w:p w14:paraId="515E68E8" w14:textId="77777777" w:rsidR="00A5513E" w:rsidRPr="002D3D8C" w:rsidRDefault="00A5513E" w:rsidP="00BE086C">
      <w:pPr>
        <w:numPr>
          <w:ilvl w:val="0"/>
          <w:numId w:val="15"/>
        </w:numPr>
        <w:spacing w:before="240" w:after="240"/>
      </w:pPr>
      <w:r w:rsidRPr="002D3D8C">
        <w:t>Pour mieux consommer, un indice de réparabilité visant à informer le consommateur sera mis en place sur un certain nombre de produits électriques et électroniques de grande consommation, et le tri sera rendu plus efficace grâce à un logo unique et une harmonisation des couleurs des poubelles de tri.</w:t>
      </w:r>
    </w:p>
    <w:p w14:paraId="2DEB7F4C" w14:textId="77777777" w:rsidR="00A5513E" w:rsidRPr="002D3D8C" w:rsidRDefault="00A5513E" w:rsidP="00BE086C">
      <w:pPr>
        <w:numPr>
          <w:ilvl w:val="0"/>
          <w:numId w:val="15"/>
        </w:numPr>
        <w:spacing w:before="240" w:after="240"/>
      </w:pPr>
      <w:r w:rsidRPr="002D3D8C">
        <w:t>La collecte des déchets sera améliorée par la mise à disposition des Français de dispositifs de consigne, l’obligation pour les distributeurs de la vente de reprendre gratuitement un ancien appareil, et la structuration de la filière pour la gestion des déchets du bâtiment.</w:t>
      </w:r>
    </w:p>
    <w:p w14:paraId="3E7F597B" w14:textId="77777777" w:rsidR="00A5513E" w:rsidRPr="002D3D8C" w:rsidRDefault="00A5513E" w:rsidP="00A5513E">
      <w:pPr>
        <w:spacing w:before="240" w:after="240"/>
      </w:pPr>
      <w:r w:rsidRPr="002D3D8C">
        <w:t xml:space="preserve">Ces mesures auront un effet positif en termes de réduction des gaz à effet de serre, grâce à l’évolution des modes de production et de consommation. </w:t>
      </w:r>
      <w:r>
        <w:t>Elles auront également un impact positif en termes de réduction de la quantité de matière produite, grâce à une meilleure réutilisation des matériaux. Enfin, la disparition progressive du plastique à usage unique permettra de freiner la pollution plastique de l’environnement, et ses impacts sur la biodiversité.</w:t>
      </w:r>
    </w:p>
    <w:p w14:paraId="3698997A" w14:textId="77777777" w:rsidR="00A5513E" w:rsidRDefault="00A5513E" w:rsidP="00A5513E">
      <w:pPr>
        <w:spacing w:before="240" w:after="240"/>
      </w:pPr>
      <w:r w:rsidRPr="002D3D8C">
        <w:t xml:space="preserve">Dans le Pacte national sur les emballages, signé en février 2019, </w:t>
      </w:r>
      <w:r w:rsidRPr="002D3D8C">
        <w:rPr>
          <w:b/>
        </w:rPr>
        <w:t>les entreprises signataires s'engagent à réduire leur utilisation du plastique</w:t>
      </w:r>
      <w:r w:rsidRPr="002D3D8C">
        <w:t xml:space="preserve"> (et donc à diminuer la quantité de déchets produite) et souscrivent à une vision commune de l’économie circulaire avec les ONG.</w:t>
      </w:r>
    </w:p>
    <w:p w14:paraId="1744B657" w14:textId="2D4C5C0C" w:rsidR="00A5513E" w:rsidRDefault="00A5513E" w:rsidP="003F57EA">
      <w:pPr>
        <w:pStyle w:val="Titre3Niveau3"/>
      </w:pPr>
      <w:bookmarkStart w:id="475" w:name="_Toc120889892"/>
      <w:bookmarkStart w:id="476" w:name="_Toc138342011"/>
      <w:r>
        <w:t>Les politiques et mesures transversales</w:t>
      </w:r>
      <w:bookmarkEnd w:id="475"/>
      <w:bookmarkEnd w:id="476"/>
    </w:p>
    <w:p w14:paraId="4213D2FD" w14:textId="77777777" w:rsidR="00A5513E" w:rsidRDefault="00A5513E" w:rsidP="00EF6DB6">
      <w:pPr>
        <w:pStyle w:val="Titre4niveau4"/>
      </w:pPr>
      <w:r>
        <w:t xml:space="preserve">Les politiques et mesures impactant l’ensemble des secteurs </w:t>
      </w:r>
    </w:p>
    <w:p w14:paraId="0D921445" w14:textId="77777777" w:rsidR="00A5513E" w:rsidRDefault="00A5513E" w:rsidP="00A5513E">
      <w:pPr>
        <w:spacing w:before="240" w:after="240"/>
      </w:pPr>
      <w:r>
        <w:t xml:space="preserve">Les politiques et mesures impactant l’ensemble des secteurs sont celles qui concernent les entreprises et les collectivités. Elles sont également de nature à impacter l’ensemble des gaz à effet de serre. </w:t>
      </w:r>
    </w:p>
    <w:p w14:paraId="3820652C" w14:textId="779E393C" w:rsidR="00A5513E" w:rsidRDefault="00A5513E" w:rsidP="00A5513E">
      <w:pPr>
        <w:spacing w:before="240" w:after="240"/>
      </w:pPr>
      <w:r>
        <w:t xml:space="preserve">Depuis 2012, une obligation de réalisation </w:t>
      </w:r>
      <w:r w:rsidRPr="005D1192">
        <w:t xml:space="preserve">d’un </w:t>
      </w:r>
      <w:r w:rsidRPr="005D1192">
        <w:rPr>
          <w:b/>
        </w:rPr>
        <w:t>bilan d’émissions de gaz à effet de serre</w:t>
      </w:r>
      <w:r w:rsidRPr="005D1192">
        <w:t xml:space="preserve"> et d’un plan d’action visant à les réduire s’applique pour les entreprises de plus de 500 salariés, les collectivités de plus de 50 000 habitants, les établissements publics de plus de 250 salariés et les services de l’État. Le bilan et le plan d'actions doivent être réalisés tous les trois ans dans le cas des collectivités et des établissements publics et tous les quatre ans dans le cas des entreprises</w:t>
      </w:r>
      <w:r w:rsidR="00DB7C17">
        <w:t>, sous peine d’amendes</w:t>
      </w:r>
      <w:r w:rsidRPr="005D1192">
        <w:t xml:space="preserve">. Il s’agit d’une démarche de diagnostic des émissions de gaz à effet de serre à l'échelle d'une organisation (privée ou publique), réalisé en vue d’identifier et de mobiliser les gisements de réduction des émissions. Depuis le décret n°2022-982 du </w:t>
      </w:r>
      <w:r w:rsidR="006518EF" w:rsidRPr="009F4180">
        <w:t>1</w:t>
      </w:r>
      <w:r w:rsidR="006518EF" w:rsidRPr="007F47EF">
        <w:rPr>
          <w:vertAlign w:val="superscript"/>
        </w:rPr>
        <w:t>er</w:t>
      </w:r>
      <w:r w:rsidRPr="005D1192">
        <w:t xml:space="preserve"> juillet 2022, la réglementation rend obligatoire le calcul de l’ensemble des émissions directes (scope 1) et indirectes significatives (scopes 2 et 3)</w:t>
      </w:r>
      <w:r w:rsidR="00DB7C17">
        <w:t xml:space="preserve"> pour une grande partie des obligés</w:t>
      </w:r>
      <w:r w:rsidRPr="005D1192">
        <w:t xml:space="preserve">. Un guide méthodologique pour la réalisation du bilan est mis gratuitement à la disposition </w:t>
      </w:r>
      <w:r>
        <w:t>des organisations. En outre, une plateforme internet de publication des bilans a été mise en place en 2015, afin de faciliter la publication et la diffusion de cette information auprès du public.</w:t>
      </w:r>
    </w:p>
    <w:p w14:paraId="4DD6151C" w14:textId="0C069BED" w:rsidR="00A5513E" w:rsidRDefault="00A5513E" w:rsidP="00A5513E">
      <w:pPr>
        <w:spacing w:before="240" w:after="240"/>
      </w:pPr>
      <w:r>
        <w:t>Les devoirs des entreprises en matière de responsabilité sociale, environnementale et sociétale ont été renforcés par la loi relative à la transition énergétique pour la croissance verte d'août 2015, en ce qui concerne les obligations de reporting sur le changement climatique. Les grandes entreprises doivent intégrer à leur reporting extra-financier des informations sur les postes significatifs d’émissions de gaz à effet de serre générées du fait de leur activité, notamment par l’usage des biens et services qu’elles produisent, à compter de l’exercice clos au 31 décembre 2016. La notion de postes d’émissions significatifs a ainsi été retenue pour conduire l’entreprise à faire état des impacts de son activité sur le changement climatique, qu’il s’agisse de ses émissions directes et indirectes, notamment celles relevant de l’usage des biens et services qu’elle produit.</w:t>
      </w:r>
      <w:r w:rsidR="00260E0B">
        <w:t xml:space="preserve"> </w:t>
      </w:r>
    </w:p>
    <w:p w14:paraId="28F4C1FE" w14:textId="77777777" w:rsidR="00A5513E" w:rsidRPr="00EC36FE" w:rsidRDefault="00A5513E" w:rsidP="00A5513E">
      <w:pPr>
        <w:spacing w:before="240" w:after="240"/>
      </w:pPr>
      <w:r>
        <w:t xml:space="preserve">La même loi a également complété le dispositif réglementaire relatif à l’information par les sociétés de gestion de portefeuille des critères environnementaux, sociaux, et de gouvernance (dits « ESG ») pris en compte dans leur politique d’investissement. </w:t>
      </w:r>
      <w:r w:rsidRPr="008A5F62">
        <w:t xml:space="preserve">Les investisseurs institutionnels doivent ainsi publier des informations relatives à leur contribution aux objectifs climatiques et aux risques financiers associés à la transition énergétique et écologique. Ces obligations sont applicables à </w:t>
      </w:r>
      <w:r w:rsidRPr="00EC36FE">
        <w:t xml:space="preserve">compter des rapports de gestion publiés en 2017 pour l’année 2016. </w:t>
      </w:r>
    </w:p>
    <w:p w14:paraId="50C2F98D" w14:textId="77777777" w:rsidR="00A5513E" w:rsidRPr="00EC36FE" w:rsidRDefault="00A5513E" w:rsidP="00A5513E">
      <w:pPr>
        <w:spacing w:before="240" w:after="240"/>
      </w:pPr>
      <w:r w:rsidRPr="00EC36FE">
        <w:t xml:space="preserve">Depuis 2021, deux dispositifs de </w:t>
      </w:r>
      <w:r w:rsidRPr="00EC36FE">
        <w:rPr>
          <w:b/>
        </w:rPr>
        <w:t>conditionnalité environnementale des aides publiques</w:t>
      </w:r>
      <w:r w:rsidRPr="00EC36FE">
        <w:t xml:space="preserve"> ont également été introduits</w:t>
      </w:r>
      <w:r w:rsidRPr="00EC36FE">
        <w:rPr>
          <w:rFonts w:ascii="Calibri" w:hAnsi="Calibri" w:cs="Calibri"/>
        </w:rPr>
        <w:t> </w:t>
      </w:r>
      <w:r w:rsidRPr="00EC36FE">
        <w:t>:</w:t>
      </w:r>
    </w:p>
    <w:p w14:paraId="62EC6C9D" w14:textId="77777777" w:rsidR="00A5513E" w:rsidRPr="00EC36FE" w:rsidRDefault="00A5513E" w:rsidP="00BE086C">
      <w:pPr>
        <w:numPr>
          <w:ilvl w:val="0"/>
          <w:numId w:val="9"/>
        </w:numPr>
        <w:spacing w:before="240" w:after="240"/>
      </w:pPr>
      <w:r w:rsidRPr="00EC36FE">
        <w:t>L’article 66 de la loi n°2020-935 du 30 juillet 2020 prévoit que les entreprises de plus de 500 millions d’euros de chiffre d’affaires soumises à l’obligation de déclaration de performance extra-financière (DPEF) et bénéficiant de participations de l’État dans le cadre du plan d’urgence mis en place par le Gouvernement pour faire face à la crise sanitaire, doivent souscrire à des engagements en matière de réduction de leurs émissions de gaz à effet de serre. Ces engagements doivent être établis en cohérence avec les budgets carbone sectoriels fixés par la Stratégie Nationale Bas-Carbone, sont déclinés sous forme d'un plan d’action et sont suivis annuellement, le tout de façon publique</w:t>
      </w:r>
      <w:r w:rsidRPr="00EC36FE">
        <w:rPr>
          <w:rFonts w:ascii="Calibri" w:hAnsi="Calibri" w:cs="Calibri"/>
        </w:rPr>
        <w:t> </w:t>
      </w:r>
      <w:r w:rsidRPr="00EC36FE">
        <w:t>;</w:t>
      </w:r>
    </w:p>
    <w:p w14:paraId="230FAD6F" w14:textId="77777777" w:rsidR="00A5513E" w:rsidRPr="00EC36FE" w:rsidRDefault="00A5513E" w:rsidP="00BE086C">
      <w:pPr>
        <w:numPr>
          <w:ilvl w:val="0"/>
          <w:numId w:val="9"/>
        </w:numPr>
        <w:spacing w:before="240" w:after="240"/>
      </w:pPr>
      <w:r w:rsidRPr="00EC36FE">
        <w:t xml:space="preserve">L’article 244 de la loi n°2020-1721 du 29 décembre 2020 prévoit l’établissement d’un bilan simplifié des émissions de gaz à effet de serre pour les personnes morales de droit privé bénéficiant des crédits au titre du plan de relance suite à la crise sanitaire. Ce rapportage est différent du dispositif des bilans d’émissions de gaz à effet de serre (BEGES), encadré par l’article L. 229-25 du code de l’environnement, à la fois sur le périmètre des obligés et le périmètre des émissions à prendre en compte : </w:t>
      </w:r>
    </w:p>
    <w:p w14:paraId="2B7D5278" w14:textId="77777777" w:rsidR="00A5513E" w:rsidRPr="00EC36FE" w:rsidRDefault="00A5513E" w:rsidP="00BE086C">
      <w:pPr>
        <w:numPr>
          <w:ilvl w:val="1"/>
          <w:numId w:val="9"/>
        </w:numPr>
        <w:spacing w:before="240" w:after="240"/>
      </w:pPr>
      <w:r w:rsidRPr="00EC36FE">
        <w:t>Sont concernées uniquement les entreprises non soumises au BEGES, présentant un effectif salarié compris entre 50 et 500 personnes (le BEGES s’applique aux personnes morales de droit privé de plus de 500 salariés)</w:t>
      </w:r>
      <w:r w:rsidRPr="00EC36FE">
        <w:rPr>
          <w:rFonts w:ascii="Calibri" w:hAnsi="Calibri" w:cs="Calibri"/>
        </w:rPr>
        <w:t> </w:t>
      </w:r>
      <w:r w:rsidRPr="00EC36FE">
        <w:t>;</w:t>
      </w:r>
    </w:p>
    <w:p w14:paraId="01D18297" w14:textId="77777777" w:rsidR="00A5513E" w:rsidRPr="00EC36FE" w:rsidRDefault="00A5513E" w:rsidP="00BE086C">
      <w:pPr>
        <w:pStyle w:val="ListParagraph"/>
        <w:numPr>
          <w:ilvl w:val="1"/>
          <w:numId w:val="9"/>
        </w:numPr>
        <w:spacing w:before="240" w:after="240"/>
      </w:pPr>
      <w:r w:rsidRPr="00EC36FE">
        <w:t>Doivent être estimées uniquement les émissions directes produites par les sources d’énergie fixes et mobiles nécessaires aux activités de la personne morale.</w:t>
      </w:r>
    </w:p>
    <w:p w14:paraId="5D8B88C9" w14:textId="1989916C" w:rsidR="00A5513E" w:rsidRPr="00EC36FE" w:rsidRDefault="00A5513E" w:rsidP="00A5513E">
      <w:pPr>
        <w:spacing w:before="240" w:after="240"/>
      </w:pPr>
      <w:r w:rsidRPr="00EC36FE">
        <w:t xml:space="preserve">Par ailleurs, les décrets n° 2022-538 et 2022-539 du 13 avril 2022 prévoient qu’à compter du </w:t>
      </w:r>
      <w:r w:rsidR="006518EF" w:rsidRPr="009F4180">
        <w:t>1</w:t>
      </w:r>
      <w:r w:rsidR="006518EF" w:rsidRPr="007F47EF">
        <w:rPr>
          <w:vertAlign w:val="superscript"/>
        </w:rPr>
        <w:t>er</w:t>
      </w:r>
      <w:r w:rsidRPr="00EC36FE">
        <w:t xml:space="preserve"> janvier 2023, il sera interdit aux annonceurs d'affirmer dans une publicité qu'un produit ou service est « neutre en carbone » sans présenter un bilan des émissions de gaz à effet de serre sur l'ensemble du cycle de vie du produit ou service, la trajectoire de réduction prévue des émissions, ainsi que les modalités de compensation des émissions résiduelles. Ces éléments devront être facilement accessibles pour le public et mis à jour tous les ans. Ce dispositif, prévu à l'article 12 de la Loi Climat et Résilience, vise à garantir une information complète du public sur les allégations « neutre en carbone » et permettra de renforcer progressivement les engagements des annonceurs tout en luttant contre « l’éco-blanchiment ».</w:t>
      </w:r>
    </w:p>
    <w:p w14:paraId="4D0B6E1F" w14:textId="77777777" w:rsidR="00A5513E" w:rsidRDefault="00A5513E" w:rsidP="00A5513E">
      <w:pPr>
        <w:spacing w:before="240" w:after="240"/>
      </w:pPr>
      <w:r w:rsidRPr="00EC36FE">
        <w:t xml:space="preserve">Concernant les collectivités, leur action climatique s’articule autour d’outils de planification territoriale : les Schémas régionaux d’aménagement, de développement durable et d’égalités </w:t>
      </w:r>
      <w:r>
        <w:t>des territoires (SRADDET) pour les régions, et les Plans climat-air-énergie territoriaux (PCAET) pour les intercommunalités de plus de 20 000 habitants (cf. section A.1. Les fondements institutionnels).</w:t>
      </w:r>
    </w:p>
    <w:p w14:paraId="4A8C89B5" w14:textId="77777777" w:rsidR="00A5513E" w:rsidRDefault="00A5513E" w:rsidP="00EF6DB6">
      <w:pPr>
        <w:pStyle w:val="Titre4niveau4"/>
      </w:pPr>
      <w:r>
        <w:t xml:space="preserve">Les politiques et mesures transversales sur les gaz fluorés </w:t>
      </w:r>
    </w:p>
    <w:p w14:paraId="0C8BB48E" w14:textId="0DA063FF" w:rsidR="00A5513E" w:rsidRDefault="00A5513E" w:rsidP="00A5513E">
      <w:pPr>
        <w:spacing w:before="240" w:after="240"/>
      </w:pPr>
      <w:r>
        <w:t xml:space="preserve">Le règlement européen n° 517/2014 (dit « F-Gas II ») met en place un certain nombre de dispositions visant à réduire les émissions de gaz fluorés des équipements de réfrigération et de climatisation utilisés dans les bâtiments, l’industrie et les transports frigorifiques. Entré en vigueur le </w:t>
      </w:r>
      <w:r w:rsidR="006518EF" w:rsidRPr="009F4180">
        <w:t>1</w:t>
      </w:r>
      <w:r w:rsidR="006518EF" w:rsidRPr="007F47EF">
        <w:rPr>
          <w:vertAlign w:val="superscript"/>
        </w:rPr>
        <w:t>er</w:t>
      </w:r>
      <w:r>
        <w:t xml:space="preserve"> janvier 2015, il abroge et remplace le règlement n° 842/2006 (dit « F-Gas »). Il repose sur les dispositions suivantes : </w:t>
      </w:r>
    </w:p>
    <w:p w14:paraId="669A7038" w14:textId="77777777" w:rsidR="00A5513E" w:rsidRDefault="00A5513E" w:rsidP="00BE086C">
      <w:pPr>
        <w:numPr>
          <w:ilvl w:val="0"/>
          <w:numId w:val="15"/>
        </w:numPr>
        <w:spacing w:before="240" w:after="240"/>
      </w:pPr>
      <w:r>
        <w:t xml:space="preserve">Le renforcement des obligations liées au confinement des équipements (contrôles d’étanchéité, obligations de réparation), à la certification du personnel manipulant les HFC, et à l'obligation de récupération lors de la maintenance et du démantèlement des équipements ; </w:t>
      </w:r>
    </w:p>
    <w:p w14:paraId="4DCFFCDE" w14:textId="5D28D7F8" w:rsidR="00A5513E" w:rsidRDefault="00A5513E" w:rsidP="00BE086C">
      <w:pPr>
        <w:numPr>
          <w:ilvl w:val="0"/>
          <w:numId w:val="15"/>
        </w:numPr>
        <w:spacing w:before="240" w:after="240"/>
      </w:pPr>
      <w:r>
        <w:t xml:space="preserve">La mise en place d’un mécanisme de réduction progressive des quantités de HFC mises sur le marché de 2015 à 2030 via un système de quotas. En 2030, la quantité totale de HFC mise sur le marché, en </w:t>
      </w:r>
      <w:r w:rsidR="007F09F7">
        <w:t>CO</w:t>
      </w:r>
      <w:r w:rsidR="007F09F7" w:rsidRPr="007F09F7">
        <w:rPr>
          <w:vertAlign w:val="subscript"/>
        </w:rPr>
        <w:t>2</w:t>
      </w:r>
      <w:r>
        <w:t xml:space="preserve"> équivalent, devra correspondre à 21</w:t>
      </w:r>
      <w:r w:rsidR="006518EF">
        <w:t>%</w:t>
      </w:r>
      <w:r>
        <w:t xml:space="preserve"> du niveau moyen entre 2009 et 2012 ; </w:t>
      </w:r>
    </w:p>
    <w:p w14:paraId="3F24B966" w14:textId="77777777" w:rsidR="00A5513E" w:rsidRDefault="00A5513E" w:rsidP="00BE086C">
      <w:pPr>
        <w:numPr>
          <w:ilvl w:val="0"/>
          <w:numId w:val="15"/>
        </w:numPr>
        <w:spacing w:before="240" w:after="240"/>
      </w:pPr>
      <w:r>
        <w:t xml:space="preserve">Des interdictions sectorielles de mise sur le marché de produits et d’équipements contenant des gaz à effet de serre fluorés dépassant un certain PRG ; </w:t>
      </w:r>
    </w:p>
    <w:p w14:paraId="7EE95558" w14:textId="02F236FD" w:rsidR="00A5513E" w:rsidRDefault="00A5513E" w:rsidP="00BE086C">
      <w:pPr>
        <w:numPr>
          <w:ilvl w:val="0"/>
          <w:numId w:val="15"/>
        </w:numPr>
        <w:spacing w:before="240" w:after="240"/>
      </w:pPr>
      <w:r>
        <w:t xml:space="preserve">L’interdiction de maintenance des installations de réfrigération avec des fluides neufs de PRG supérieur à 2 500 à partir du </w:t>
      </w:r>
      <w:r w:rsidR="006518EF" w:rsidRPr="009F4180">
        <w:t>1</w:t>
      </w:r>
      <w:r w:rsidR="006518EF" w:rsidRPr="007F47EF">
        <w:rPr>
          <w:vertAlign w:val="superscript"/>
        </w:rPr>
        <w:t>er</w:t>
      </w:r>
      <w:r>
        <w:t xml:space="preserve"> janvier 2020. </w:t>
      </w:r>
    </w:p>
    <w:p w14:paraId="587C0242" w14:textId="77777777" w:rsidR="00A5513E" w:rsidRDefault="00A5513E" w:rsidP="00A5513E">
      <w:r>
        <w:rPr>
          <w:rFonts w:cstheme="minorHAnsi"/>
        </w:rPr>
        <w:t xml:space="preserve">La </w:t>
      </w:r>
      <w:r w:rsidRPr="00F266E3">
        <w:rPr>
          <w:rFonts w:cstheme="minorHAnsi"/>
        </w:rPr>
        <w:t>révision d</w:t>
      </w:r>
      <w:r>
        <w:rPr>
          <w:rFonts w:cstheme="minorHAnsi"/>
        </w:rPr>
        <w:t>e ce</w:t>
      </w:r>
      <w:r w:rsidRPr="00F266E3">
        <w:rPr>
          <w:rFonts w:cstheme="minorHAnsi"/>
        </w:rPr>
        <w:t xml:space="preserve"> règlement </w:t>
      </w:r>
      <w:r>
        <w:rPr>
          <w:rFonts w:cstheme="minorHAnsi"/>
        </w:rPr>
        <w:t>« F</w:t>
      </w:r>
      <w:r w:rsidRPr="00F266E3">
        <w:rPr>
          <w:rFonts w:cstheme="minorHAnsi"/>
        </w:rPr>
        <w:t>-</w:t>
      </w:r>
      <w:r>
        <w:rPr>
          <w:rFonts w:cstheme="minorHAnsi"/>
        </w:rPr>
        <w:t>G</w:t>
      </w:r>
      <w:r w:rsidRPr="00F266E3">
        <w:rPr>
          <w:rFonts w:cstheme="minorHAnsi"/>
        </w:rPr>
        <w:t>a</w:t>
      </w:r>
      <w:r>
        <w:rPr>
          <w:rFonts w:cstheme="minorHAnsi"/>
        </w:rPr>
        <w:t>s »</w:t>
      </w:r>
      <w:r w:rsidRPr="00F266E3">
        <w:rPr>
          <w:rFonts w:cstheme="minorHAnsi"/>
        </w:rPr>
        <w:t xml:space="preserve"> </w:t>
      </w:r>
      <w:r>
        <w:rPr>
          <w:rFonts w:cstheme="minorHAnsi"/>
        </w:rPr>
        <w:t xml:space="preserve">est engagée afin de </w:t>
      </w:r>
      <w:r w:rsidRPr="00F266E3">
        <w:rPr>
          <w:rFonts w:cstheme="minorHAnsi"/>
        </w:rPr>
        <w:t xml:space="preserve">réduire encore plus fortement la production et la mise sur le marché de </w:t>
      </w:r>
      <w:r>
        <w:rPr>
          <w:rFonts w:cstheme="minorHAnsi"/>
        </w:rPr>
        <w:t>gaz à effet de serre fluorés</w:t>
      </w:r>
      <w:r w:rsidRPr="00F266E3">
        <w:rPr>
          <w:rFonts w:cstheme="minorHAnsi"/>
        </w:rPr>
        <w:t xml:space="preserve"> sur le territoire de l’Union européenne</w:t>
      </w:r>
      <w:r>
        <w:rPr>
          <w:rFonts w:cstheme="minorHAnsi"/>
        </w:rPr>
        <w:t xml:space="preserve">. </w:t>
      </w:r>
      <w:r w:rsidRPr="00F266E3">
        <w:rPr>
          <w:rFonts w:cstheme="minorHAnsi"/>
        </w:rPr>
        <w:t>L</w:t>
      </w:r>
      <w:r>
        <w:rPr>
          <w:rFonts w:cstheme="minorHAnsi"/>
        </w:rPr>
        <w:t>a</w:t>
      </w:r>
      <w:r w:rsidRPr="00F266E3">
        <w:rPr>
          <w:rFonts w:cstheme="minorHAnsi"/>
        </w:rPr>
        <w:t xml:space="preserve"> proposition </w:t>
      </w:r>
      <w:r>
        <w:rPr>
          <w:rFonts w:cstheme="minorHAnsi"/>
        </w:rPr>
        <w:t>actuellement discutée</w:t>
      </w:r>
      <w:r w:rsidRPr="00F266E3">
        <w:rPr>
          <w:rFonts w:cstheme="minorHAnsi"/>
        </w:rPr>
        <w:t xml:space="preserve"> entre les Etats-membres prévoit</w:t>
      </w:r>
      <w:r>
        <w:rPr>
          <w:rFonts w:cstheme="minorHAnsi"/>
        </w:rPr>
        <w:t xml:space="preserve"> notamment</w:t>
      </w:r>
      <w:r w:rsidRPr="00F266E3">
        <w:rPr>
          <w:rFonts w:cstheme="minorHAnsi"/>
        </w:rPr>
        <w:t xml:space="preserve"> une diminution de 95% </w:t>
      </w:r>
      <w:r>
        <w:rPr>
          <w:rFonts w:cstheme="minorHAnsi"/>
        </w:rPr>
        <w:t>de la mise sur le marché</w:t>
      </w:r>
      <w:r w:rsidRPr="00F266E3">
        <w:rPr>
          <w:rFonts w:cstheme="minorHAnsi"/>
        </w:rPr>
        <w:t xml:space="preserve"> de HFC d’ici 2030</w:t>
      </w:r>
      <w:r>
        <w:rPr>
          <w:rFonts w:cstheme="minorHAnsi"/>
        </w:rPr>
        <w:t xml:space="preserve"> par rapport à 2015</w:t>
      </w:r>
      <w:r w:rsidRPr="00F266E3">
        <w:rPr>
          <w:rFonts w:cstheme="minorHAnsi"/>
        </w:rPr>
        <w:t xml:space="preserve"> (contre 80% selon le règlement F-Ga</w:t>
      </w:r>
      <w:r>
        <w:rPr>
          <w:rFonts w:cstheme="minorHAnsi"/>
        </w:rPr>
        <w:t>z</w:t>
      </w:r>
      <w:r w:rsidRPr="00F266E3">
        <w:rPr>
          <w:rFonts w:cstheme="minorHAnsi"/>
        </w:rPr>
        <w:t xml:space="preserve"> actuellement en vigueur)</w:t>
      </w:r>
      <w:r w:rsidRPr="00F266E3">
        <w:t>.</w:t>
      </w:r>
    </w:p>
    <w:p w14:paraId="0DF37DE4" w14:textId="7695806B" w:rsidR="00D534C6" w:rsidRDefault="00A5513E" w:rsidP="001C2896">
      <w:pPr>
        <w:spacing w:before="240" w:after="240"/>
      </w:pPr>
      <w:r>
        <w:t>Par ailleurs, la France a ratifié le 29 mars 2018 l’amendement de Kigali au protocole de Montréal</w:t>
      </w:r>
      <w:r w:rsidR="00C71719">
        <w:t xml:space="preserve"> sur les substances appauvrissant la couche d’ozone</w:t>
      </w:r>
      <w:r>
        <w:t>. Si l’amendement de Kigali concourt globalement aux mêmes objectifs que le règlement européen F-gas II, il couvre une période d’engagement plus importante allant jusqu’en 2036 (le règlement F-gas II allant jusqu’en 2030).</w:t>
      </w:r>
    </w:p>
    <w:p w14:paraId="78DC9557" w14:textId="1BAE14F6" w:rsidR="00A5513E" w:rsidRPr="00962AB2" w:rsidRDefault="00D534C6" w:rsidP="00E22CF8">
      <w:pPr>
        <w:pStyle w:val="Titre2Niveau2"/>
      </w:pPr>
      <w:bookmarkStart w:id="477" w:name="_Toc138342012"/>
      <w:r w:rsidRPr="00962AB2">
        <w:t>Politiques et mesures mises en œuvre en accord avec l’article 2 du Protocole de Kyoto</w:t>
      </w:r>
      <w:bookmarkEnd w:id="477"/>
    </w:p>
    <w:p w14:paraId="0F2DF9FE" w14:textId="2421A5B6" w:rsidR="00D534C6" w:rsidRPr="00962AB2" w:rsidRDefault="00D534C6" w:rsidP="003F57EA">
      <w:pPr>
        <w:pStyle w:val="Titre3Niveau3"/>
      </w:pPr>
      <w:bookmarkStart w:id="478" w:name="_Toc138342013"/>
      <w:bookmarkStart w:id="479" w:name="ChapitreV"/>
      <w:r w:rsidRPr="00962AB2">
        <w:t>Politiques et mesures relatives aux soutes internationales (article 2.2)</w:t>
      </w:r>
      <w:bookmarkEnd w:id="478"/>
    </w:p>
    <w:p w14:paraId="23E65E4A" w14:textId="0453431C" w:rsidR="009C793D" w:rsidRPr="00962AB2" w:rsidRDefault="009C793D" w:rsidP="009C793D">
      <w:r w:rsidRPr="00962AB2">
        <w:t>La France soutient les travaux de l’OACI et de l’OMI pour mettre en place un mécanisme mondial permettant de réduire les émissions du transport aérien international et du transport maritime international.</w:t>
      </w:r>
    </w:p>
    <w:p w14:paraId="61EC54FA" w14:textId="3F11BD80" w:rsidR="009C793D" w:rsidRPr="00962AB2" w:rsidRDefault="009C793D" w:rsidP="009C793D">
      <w:r w:rsidRPr="00962AB2">
        <w:t>Comme décrit dans la section B.1 sur les politiques et mesures agissant sur les émissions des transports internationaux, l’Union européenne a intégré les activités aériennes dans le système européen d’échange</w:t>
      </w:r>
    </w:p>
    <w:p w14:paraId="006E6013" w14:textId="1DCC5C17" w:rsidR="009C793D" w:rsidRPr="00962AB2" w:rsidRDefault="009C793D" w:rsidP="009C793D">
      <w:r w:rsidRPr="00962AB2">
        <w:t xml:space="preserve">de quotas d’émission (directive 2008/101/CE), et a mis en place un système de surveillance, de déclaration et de vérification (système MRV) des émissions de </w:t>
      </w:r>
      <w:r w:rsidR="007F09F7" w:rsidRPr="00962AB2">
        <w:t>CO</w:t>
      </w:r>
      <w:r w:rsidR="007F09F7" w:rsidRPr="00962AB2">
        <w:rPr>
          <w:vertAlign w:val="subscript"/>
        </w:rPr>
        <w:t>2</w:t>
      </w:r>
      <w:r w:rsidRPr="00962AB2">
        <w:t xml:space="preserve"> des navires (règlement n° 757/2015).</w:t>
      </w:r>
    </w:p>
    <w:p w14:paraId="4323CD80" w14:textId="2421E167" w:rsidR="009C793D" w:rsidRPr="00962AB2" w:rsidRDefault="009C793D" w:rsidP="009C793D">
      <w:r w:rsidRPr="00962AB2">
        <w:t>Initialement, le SEQE devait intégrer les émissions de tous les vols à destination ou en provenance de l’Espace Économique Européen (EEE). En 2013, pour faciliter l’obtention d’un accord international à l’OACI, l’UE a accepté de limiter le champ d’application du dispositif européen aux seuls vols intra EEE jusqu’en 2016 (décision dite « Arrêt de l’horloge » ou « Stop the clock »). L’adoption, en octobre 2016, par l’Assemblée de l’OACI, du système CORSIA (Carbon Offsetting and Reduction Scheme for International Aviation) a conduit l’UE à proposer la prolongation du « Stop the clock » au-delà de 2016, au moins jusqu’en 2020. Au-delà de 2020, le SEQE aviation est appelé à évoluer afin de tenir compte des objectifs climatiques de l’UE à l’horizon 2030 et de la capacité du CORSIA de remplir tout ou partie de ces objectifs. Par ailleurs, la France, comme l’ensemble des États membres de l’UE, participera au CORSIA dès sa première phase entre 2021 et 2026 (phase d’application volontaire).</w:t>
      </w:r>
    </w:p>
    <w:p w14:paraId="39DEF229" w14:textId="439FB3BC" w:rsidR="009C793D" w:rsidRPr="009C793D" w:rsidRDefault="009C793D" w:rsidP="009C793D">
      <w:r w:rsidRPr="00962AB2">
        <w:t xml:space="preserve">Concernant le transport maritime, suite à l'adoption d'un système mondial de collecte des données par l'OMI en 2016, la Commission européenne a décidé de réexaminer la situation en vue d’aligner le MRV de l’UE sur le système de collecte de données de l’OMI, en application de l'article 22 du règlement n° 757/2015 stipulant que : « En cas d'accord international sur la création d'un système mondial de surveillance, de déclaration et de vérification des émissions de GES, la Commission réexamine le présent règlement et, le cas échéant, propose des modifications de celui-ci afin de le mettre en adéquation avec ledit accord international ». Elle a ainsi lancé en septembre 2017 une consultation publique sur la révision de la politique en matière de surveillance, de déclaration et de vérification des émissions de </w:t>
      </w:r>
      <w:r w:rsidR="007F09F7" w:rsidRPr="00962AB2">
        <w:t>CO</w:t>
      </w:r>
      <w:r w:rsidR="007F09F7" w:rsidRPr="00962AB2">
        <w:rPr>
          <w:vertAlign w:val="subscript"/>
        </w:rPr>
        <w:t>2</w:t>
      </w:r>
      <w:r w:rsidRPr="00962AB2">
        <w:t xml:space="preserve"> dues au transport maritime. Elle pourrait présenter une proposition législative visant à modifier le système MRV de l’UE en 2018</w:t>
      </w:r>
      <w:r w:rsidR="0071419C" w:rsidRPr="00962AB2">
        <w:t>.</w:t>
      </w:r>
    </w:p>
    <w:p w14:paraId="23352A9A" w14:textId="7B69E813" w:rsidR="00D534C6" w:rsidRDefault="00D534C6" w:rsidP="003F57EA">
      <w:pPr>
        <w:pStyle w:val="Titre3Niveau3"/>
      </w:pPr>
      <w:bookmarkStart w:id="480" w:name="_Toc138342014"/>
      <w:r>
        <w:t xml:space="preserve">Minimisation des effets adverses sur les pays en développement des politiques et </w:t>
      </w:r>
      <w:r w:rsidR="009C793D">
        <w:t>m</w:t>
      </w:r>
      <w:r>
        <w:t>esures mises en œuvre (article 2.3)</w:t>
      </w:r>
      <w:bookmarkEnd w:id="480"/>
    </w:p>
    <w:p w14:paraId="02A7C936" w14:textId="69697FF0" w:rsidR="008A4310" w:rsidRPr="00962AB2" w:rsidRDefault="008A4310" w:rsidP="008A4310">
      <w:r w:rsidRPr="00962AB2">
        <w:t xml:space="preserve">En plus du transfert de technologie et d’expertise, la France aide les pays en développement à renforcer et à enrichir leurs systèmes d’observation du changement climatique via son réseau d’observation du climat mais également ses projets de recherche et de coopération (cf. </w:t>
      </w:r>
      <w:hyperlink w:anchor="ChapitreVIII" w:history="1">
        <w:r w:rsidRPr="00962AB2">
          <w:rPr>
            <w:rStyle w:val="Hyperlink"/>
          </w:rPr>
          <w:t>chapitre VIII</w:t>
        </w:r>
      </w:hyperlink>
      <w:r w:rsidRPr="00962AB2">
        <w:t>).</w:t>
      </w:r>
    </w:p>
    <w:p w14:paraId="3F68D482" w14:textId="77777777" w:rsidR="008A4310" w:rsidRPr="00962AB2" w:rsidRDefault="008A4310" w:rsidP="008A4310">
      <w:r w:rsidRPr="00962AB2">
        <w:t xml:space="preserve">Concernant les politiques et mesures mises en place dans le cadre de politiques européennes, la France en tant qu’État membre de l’Union européenne se doit de transposer le droit européen dans son système législatif. Dans le processus d’adoption de politiques européennes, l’Europe a mis en place un système permettant d’estimer les impacts positifs et négatifs de celles-ci, dont les effets sur les autres pays dans le cadre des études d’impact. La prise en compte de ces études d’impact est un élément clef de la décision finale de la définition de la politique et mesure. Elles permettent de s’assurer que les impacts négatifs d’une politique européenne sur les pays en développement soient minimisés et d’assurer ainsi que les dispositions législatives françaises issues du droit européen respectent bien l’engagement pris dans le cadre du protocole de Kyoto en accord avec son article 3.14. Toutes ces études d’impacts sont rendues publiques sur le site : </w:t>
      </w:r>
    </w:p>
    <w:p w14:paraId="6071CA47" w14:textId="6ED3D462" w:rsidR="008A4310" w:rsidRPr="00962AB2" w:rsidRDefault="00697C78" w:rsidP="008A4310">
      <w:hyperlink r:id="rId92" w:history="1">
        <w:r w:rsidR="008A4310" w:rsidRPr="00962AB2">
          <w:rPr>
            <w:rStyle w:val="Hyperlink"/>
          </w:rPr>
          <w:t>http://ec.europa.eu/transparency/regdoc/?fuseaction=ia</w:t>
        </w:r>
      </w:hyperlink>
      <w:r w:rsidR="008A4310" w:rsidRPr="00962AB2">
        <w:t>.</w:t>
      </w:r>
    </w:p>
    <w:p w14:paraId="28F92321" w14:textId="4B3F4E24" w:rsidR="009C793D" w:rsidRPr="009C793D" w:rsidRDefault="008A4310" w:rsidP="008A4310">
      <w:r w:rsidRPr="00962AB2">
        <w:t>Le tableau ci-dessous liste les effets directs et indirects estimés de certaines politiques et mesures climatiques de la France (effet positif en jaune et effet négatif en bleu).</w:t>
      </w:r>
    </w:p>
    <w:p w14:paraId="59D6AA72" w14:textId="77777777" w:rsidR="00D534C6" w:rsidRPr="00D534C6" w:rsidRDefault="00D534C6" w:rsidP="00D534C6">
      <w:pPr>
        <w:rPr>
          <w:rFonts w:eastAsiaTheme="majorEastAsia"/>
        </w:rPr>
      </w:pPr>
    </w:p>
    <w:p w14:paraId="6240A550" w14:textId="4D773F7C" w:rsidR="00D534C6" w:rsidRDefault="00D534C6">
      <w:pPr>
        <w:spacing w:line="240" w:lineRule="atLeast"/>
        <w:jc w:val="left"/>
        <w:rPr>
          <w:rFonts w:eastAsiaTheme="majorEastAsia" w:cstheme="majorBidi"/>
          <w:bCs/>
          <w:spacing w:val="-10"/>
          <w:kern w:val="28"/>
          <w:sz w:val="48"/>
          <w:szCs w:val="56"/>
        </w:rPr>
      </w:pPr>
    </w:p>
    <w:tbl>
      <w:tblPr>
        <w:tblW w:w="4750" w:type="pct"/>
        <w:tblCellMar>
          <w:left w:w="70" w:type="dxa"/>
          <w:right w:w="70" w:type="dxa"/>
        </w:tblCellMar>
        <w:tblLook w:val="00A0" w:firstRow="1" w:lastRow="0" w:firstColumn="1" w:lastColumn="0" w:noHBand="0" w:noVBand="0"/>
      </w:tblPr>
      <w:tblGrid>
        <w:gridCol w:w="1224"/>
        <w:gridCol w:w="1394"/>
        <w:gridCol w:w="1527"/>
        <w:gridCol w:w="1476"/>
        <w:gridCol w:w="782"/>
        <w:gridCol w:w="1723"/>
        <w:gridCol w:w="1317"/>
      </w:tblGrid>
      <w:tr w:rsidR="00A84DD9" w14:paraId="09922AF0" w14:textId="77777777" w:rsidTr="00A84DD9">
        <w:trPr>
          <w:trHeight w:val="300"/>
        </w:trPr>
        <w:tc>
          <w:tcPr>
            <w:tcW w:w="1412" w:type="dxa"/>
            <w:shd w:val="clear" w:color="auto" w:fill="auto"/>
            <w:vAlign w:val="center"/>
          </w:tcPr>
          <w:p w14:paraId="2DC69D78" w14:textId="77777777" w:rsidR="00A84DD9" w:rsidRDefault="00A84DD9" w:rsidP="00B149A0">
            <w:pPr>
              <w:jc w:val="center"/>
              <w:rPr>
                <w:sz w:val="16"/>
                <w:szCs w:val="16"/>
              </w:rPr>
            </w:pPr>
          </w:p>
        </w:tc>
        <w:tc>
          <w:tcPr>
            <w:tcW w:w="6101" w:type="dxa"/>
            <w:gridSpan w:val="3"/>
            <w:tcBorders>
              <w:top w:val="single" w:sz="8" w:space="0" w:color="000001"/>
              <w:left w:val="single" w:sz="8" w:space="0" w:color="000001"/>
              <w:bottom w:val="single" w:sz="4" w:space="0" w:color="000001"/>
              <w:right w:val="single" w:sz="8" w:space="0" w:color="000001"/>
            </w:tcBorders>
            <w:shd w:val="clear" w:color="auto" w:fill="auto"/>
            <w:tcMar>
              <w:left w:w="20" w:type="dxa"/>
            </w:tcMar>
            <w:vAlign w:val="center"/>
          </w:tcPr>
          <w:p w14:paraId="3793C316" w14:textId="77777777" w:rsidR="00A84DD9" w:rsidRDefault="00A84DD9" w:rsidP="00B149A0">
            <w:pPr>
              <w:jc w:val="center"/>
              <w:rPr>
                <w:b/>
                <w:bCs/>
                <w:sz w:val="16"/>
                <w:szCs w:val="16"/>
              </w:rPr>
            </w:pPr>
            <w:r>
              <w:rPr>
                <w:b/>
                <w:bCs/>
                <w:sz w:val="16"/>
                <w:szCs w:val="16"/>
              </w:rPr>
              <w:t>Effets directs</w:t>
            </w:r>
          </w:p>
        </w:tc>
        <w:tc>
          <w:tcPr>
            <w:tcW w:w="5789" w:type="dxa"/>
            <w:gridSpan w:val="3"/>
            <w:tcBorders>
              <w:top w:val="single" w:sz="8" w:space="0" w:color="000001"/>
              <w:left w:val="single" w:sz="8" w:space="0" w:color="000001"/>
              <w:bottom w:val="single" w:sz="4" w:space="0" w:color="000001"/>
              <w:right w:val="single" w:sz="8" w:space="0" w:color="000001"/>
            </w:tcBorders>
            <w:shd w:val="clear" w:color="auto" w:fill="auto"/>
            <w:tcMar>
              <w:left w:w="40" w:type="dxa"/>
            </w:tcMar>
            <w:vAlign w:val="center"/>
          </w:tcPr>
          <w:p w14:paraId="3AAFE933" w14:textId="77777777" w:rsidR="00A84DD9" w:rsidRDefault="00A84DD9" w:rsidP="00B149A0">
            <w:pPr>
              <w:jc w:val="center"/>
              <w:rPr>
                <w:b/>
                <w:bCs/>
                <w:sz w:val="16"/>
                <w:szCs w:val="16"/>
              </w:rPr>
            </w:pPr>
            <w:r>
              <w:rPr>
                <w:b/>
                <w:bCs/>
                <w:sz w:val="16"/>
                <w:szCs w:val="16"/>
              </w:rPr>
              <w:t>Effets indirects</w:t>
            </w:r>
          </w:p>
        </w:tc>
      </w:tr>
      <w:tr w:rsidR="00A84DD9" w14:paraId="11BFD37F" w14:textId="77777777" w:rsidTr="00A84DD9">
        <w:trPr>
          <w:trHeight w:val="300"/>
        </w:trPr>
        <w:tc>
          <w:tcPr>
            <w:tcW w:w="1412" w:type="dxa"/>
            <w:tcBorders>
              <w:top w:val="single" w:sz="4" w:space="0" w:color="000001"/>
              <w:left w:val="single" w:sz="4" w:space="0" w:color="000001"/>
              <w:bottom w:val="single" w:sz="4" w:space="0" w:color="000001"/>
            </w:tcBorders>
            <w:shd w:val="clear" w:color="auto" w:fill="auto"/>
            <w:tcMar>
              <w:left w:w="45" w:type="dxa"/>
            </w:tcMar>
            <w:vAlign w:val="center"/>
          </w:tcPr>
          <w:p w14:paraId="4785F1C2" w14:textId="77777777" w:rsidR="00A84DD9" w:rsidRDefault="00A84DD9" w:rsidP="00B149A0">
            <w:pPr>
              <w:jc w:val="center"/>
              <w:rPr>
                <w:b/>
                <w:bCs/>
                <w:sz w:val="16"/>
                <w:szCs w:val="16"/>
              </w:rPr>
            </w:pPr>
            <w:r>
              <w:rPr>
                <w:b/>
                <w:bCs/>
                <w:sz w:val="16"/>
                <w:szCs w:val="16"/>
              </w:rPr>
              <w:t>Mesure</w:t>
            </w:r>
          </w:p>
        </w:tc>
        <w:tc>
          <w:tcPr>
            <w:tcW w:w="1964" w:type="dxa"/>
            <w:tcBorders>
              <w:top w:val="single" w:sz="4" w:space="0" w:color="000001"/>
              <w:left w:val="single" w:sz="8" w:space="0" w:color="000001"/>
              <w:bottom w:val="single" w:sz="4" w:space="0" w:color="000001"/>
              <w:right w:val="single" w:sz="4" w:space="0" w:color="000001"/>
            </w:tcBorders>
            <w:shd w:val="clear" w:color="auto" w:fill="auto"/>
            <w:tcMar>
              <w:left w:w="20" w:type="dxa"/>
            </w:tcMar>
            <w:vAlign w:val="center"/>
          </w:tcPr>
          <w:p w14:paraId="78987EA2" w14:textId="77777777" w:rsidR="00A84DD9" w:rsidRDefault="00A84DD9" w:rsidP="00B149A0">
            <w:pPr>
              <w:jc w:val="center"/>
              <w:rPr>
                <w:b/>
                <w:bCs/>
                <w:sz w:val="16"/>
                <w:szCs w:val="16"/>
              </w:rPr>
            </w:pPr>
            <w:r>
              <w:rPr>
                <w:b/>
                <w:bCs/>
                <w:sz w:val="16"/>
                <w:szCs w:val="16"/>
              </w:rPr>
              <w:t>Social</w:t>
            </w:r>
          </w:p>
        </w:tc>
        <w:tc>
          <w:tcPr>
            <w:tcW w:w="1938"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0D3F00EB" w14:textId="77777777" w:rsidR="00A84DD9" w:rsidRDefault="00A84DD9" w:rsidP="00B149A0">
            <w:pPr>
              <w:jc w:val="center"/>
              <w:rPr>
                <w:b/>
                <w:bCs/>
                <w:sz w:val="16"/>
                <w:szCs w:val="16"/>
              </w:rPr>
            </w:pPr>
            <w:r>
              <w:rPr>
                <w:b/>
                <w:bCs/>
                <w:sz w:val="16"/>
                <w:szCs w:val="16"/>
              </w:rPr>
              <w:t>Environnemental</w:t>
            </w:r>
          </w:p>
        </w:tc>
        <w:tc>
          <w:tcPr>
            <w:tcW w:w="2198" w:type="dxa"/>
            <w:tcBorders>
              <w:top w:val="single" w:sz="4" w:space="0" w:color="000001"/>
              <w:left w:val="single" w:sz="8" w:space="0" w:color="000001"/>
              <w:bottom w:val="single" w:sz="4" w:space="0" w:color="000001"/>
              <w:right w:val="single" w:sz="8" w:space="0" w:color="000001"/>
            </w:tcBorders>
            <w:shd w:val="clear" w:color="auto" w:fill="auto"/>
            <w:tcMar>
              <w:left w:w="40" w:type="dxa"/>
            </w:tcMar>
            <w:vAlign w:val="center"/>
          </w:tcPr>
          <w:p w14:paraId="4512F8C9" w14:textId="77777777" w:rsidR="00A84DD9" w:rsidRDefault="00A84DD9" w:rsidP="00B149A0">
            <w:pPr>
              <w:jc w:val="center"/>
              <w:rPr>
                <w:b/>
                <w:bCs/>
                <w:sz w:val="16"/>
                <w:szCs w:val="16"/>
              </w:rPr>
            </w:pPr>
            <w:r>
              <w:rPr>
                <w:b/>
                <w:bCs/>
                <w:sz w:val="16"/>
                <w:szCs w:val="16"/>
              </w:rPr>
              <w:t>Economique</w:t>
            </w:r>
          </w:p>
        </w:tc>
        <w:tc>
          <w:tcPr>
            <w:tcW w:w="1266"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03DF0074" w14:textId="77777777" w:rsidR="00A84DD9" w:rsidRDefault="00A84DD9" w:rsidP="00B149A0">
            <w:pPr>
              <w:jc w:val="center"/>
              <w:rPr>
                <w:b/>
                <w:bCs/>
                <w:sz w:val="16"/>
                <w:szCs w:val="16"/>
              </w:rPr>
            </w:pPr>
            <w:r>
              <w:rPr>
                <w:b/>
                <w:bCs/>
                <w:sz w:val="16"/>
                <w:szCs w:val="16"/>
              </w:rPr>
              <w:t>Social</w:t>
            </w:r>
          </w:p>
        </w:tc>
        <w:tc>
          <w:tcPr>
            <w:tcW w:w="2517" w:type="dxa"/>
            <w:tcBorders>
              <w:top w:val="single" w:sz="4" w:space="0" w:color="000001"/>
              <w:left w:val="single" w:sz="4" w:space="0" w:color="000001"/>
              <w:bottom w:val="single" w:sz="4" w:space="0" w:color="000001"/>
              <w:right w:val="single" w:sz="4" w:space="0" w:color="000001"/>
            </w:tcBorders>
            <w:shd w:val="clear" w:color="auto" w:fill="auto"/>
            <w:tcMar>
              <w:left w:w="55" w:type="dxa"/>
            </w:tcMar>
            <w:vAlign w:val="center"/>
          </w:tcPr>
          <w:p w14:paraId="1D2115EB" w14:textId="77777777" w:rsidR="00A84DD9" w:rsidRDefault="00A84DD9" w:rsidP="00B149A0">
            <w:pPr>
              <w:jc w:val="center"/>
              <w:rPr>
                <w:b/>
                <w:bCs/>
                <w:sz w:val="16"/>
                <w:szCs w:val="16"/>
              </w:rPr>
            </w:pPr>
            <w:r>
              <w:rPr>
                <w:b/>
                <w:bCs/>
                <w:sz w:val="16"/>
                <w:szCs w:val="16"/>
              </w:rPr>
              <w:t>Environnemental</w:t>
            </w:r>
          </w:p>
        </w:tc>
        <w:tc>
          <w:tcPr>
            <w:tcW w:w="2007" w:type="dxa"/>
            <w:tcBorders>
              <w:top w:val="single" w:sz="4" w:space="0" w:color="000001"/>
              <w:left w:val="single" w:sz="8" w:space="0" w:color="000001"/>
              <w:bottom w:val="single" w:sz="4" w:space="0" w:color="000001"/>
              <w:right w:val="single" w:sz="8" w:space="0" w:color="000001"/>
            </w:tcBorders>
            <w:shd w:val="clear" w:color="auto" w:fill="auto"/>
            <w:tcMar>
              <w:left w:w="40" w:type="dxa"/>
            </w:tcMar>
            <w:vAlign w:val="center"/>
          </w:tcPr>
          <w:p w14:paraId="19529F8E" w14:textId="77777777" w:rsidR="00A84DD9" w:rsidRDefault="00A84DD9" w:rsidP="00B149A0">
            <w:pPr>
              <w:jc w:val="center"/>
              <w:rPr>
                <w:b/>
                <w:bCs/>
                <w:sz w:val="16"/>
                <w:szCs w:val="16"/>
              </w:rPr>
            </w:pPr>
            <w:r>
              <w:rPr>
                <w:b/>
                <w:bCs/>
                <w:sz w:val="16"/>
                <w:szCs w:val="16"/>
              </w:rPr>
              <w:t>Economique</w:t>
            </w:r>
          </w:p>
        </w:tc>
      </w:tr>
      <w:tr w:rsidR="00A84DD9" w14:paraId="1B5786AB" w14:textId="77777777" w:rsidTr="00A84DD9">
        <w:trPr>
          <w:trHeight w:val="1489"/>
        </w:trPr>
        <w:tc>
          <w:tcPr>
            <w:tcW w:w="1412" w:type="dxa"/>
            <w:tcBorders>
              <w:top w:val="single" w:sz="4" w:space="0" w:color="000001"/>
              <w:left w:val="single" w:sz="4" w:space="0" w:color="000001"/>
              <w:bottom w:val="single" w:sz="4" w:space="0" w:color="000001"/>
            </w:tcBorders>
            <w:shd w:val="clear" w:color="auto" w:fill="auto"/>
            <w:tcMar>
              <w:left w:w="45" w:type="dxa"/>
            </w:tcMar>
          </w:tcPr>
          <w:p w14:paraId="07215880" w14:textId="77777777" w:rsidR="00A84DD9" w:rsidRDefault="00A84DD9" w:rsidP="00A84DD9">
            <w:pPr>
              <w:jc w:val="left"/>
              <w:rPr>
                <w:sz w:val="16"/>
                <w:szCs w:val="16"/>
              </w:rPr>
            </w:pPr>
            <w:r>
              <w:rPr>
                <w:sz w:val="16"/>
                <w:szCs w:val="16"/>
              </w:rPr>
              <w:t>Système européen d’échange de quotas d’émission</w:t>
            </w:r>
          </w:p>
        </w:tc>
        <w:tc>
          <w:tcPr>
            <w:tcW w:w="1964" w:type="dxa"/>
            <w:tcBorders>
              <w:top w:val="single" w:sz="4" w:space="0" w:color="000001"/>
              <w:left w:val="single" w:sz="8" w:space="0" w:color="000001"/>
              <w:bottom w:val="single" w:sz="4" w:space="0" w:color="000001"/>
              <w:right w:val="single" w:sz="4" w:space="0" w:color="000001"/>
            </w:tcBorders>
            <w:shd w:val="clear" w:color="auto" w:fill="auto"/>
            <w:tcMar>
              <w:left w:w="20" w:type="dxa"/>
            </w:tcMar>
            <w:vAlign w:val="bottom"/>
          </w:tcPr>
          <w:p w14:paraId="254CE42B" w14:textId="77777777" w:rsidR="00A84DD9" w:rsidRDefault="00A84DD9" w:rsidP="006956FA">
            <w:pPr>
              <w:jc w:val="left"/>
              <w:rPr>
                <w:sz w:val="16"/>
                <w:szCs w:val="16"/>
              </w:rPr>
            </w:pPr>
            <w:r>
              <w:rPr>
                <w:sz w:val="16"/>
                <w:szCs w:val="16"/>
              </w:rPr>
              <w:t> </w:t>
            </w:r>
          </w:p>
        </w:tc>
        <w:tc>
          <w:tcPr>
            <w:tcW w:w="1938"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14:paraId="11DA0BE8" w14:textId="77777777" w:rsidR="00A84DD9" w:rsidRDefault="00A84DD9" w:rsidP="006956FA">
            <w:pPr>
              <w:jc w:val="left"/>
              <w:rPr>
                <w:sz w:val="16"/>
                <w:szCs w:val="16"/>
              </w:rPr>
            </w:pPr>
            <w:r>
              <w:rPr>
                <w:sz w:val="16"/>
                <w:szCs w:val="16"/>
              </w:rPr>
              <w:t> </w:t>
            </w:r>
          </w:p>
        </w:tc>
        <w:tc>
          <w:tcPr>
            <w:tcW w:w="2198" w:type="dxa"/>
            <w:tcBorders>
              <w:top w:val="single" w:sz="4" w:space="0" w:color="000001"/>
              <w:left w:val="single" w:sz="8" w:space="0" w:color="000001"/>
              <w:bottom w:val="single" w:sz="4" w:space="0" w:color="000001"/>
              <w:right w:val="single" w:sz="8" w:space="0" w:color="000001"/>
            </w:tcBorders>
            <w:shd w:val="clear" w:color="auto" w:fill="E6D3C5" w:themeFill="accent6" w:themeFillTint="33"/>
            <w:tcMar>
              <w:left w:w="40" w:type="dxa"/>
            </w:tcMar>
          </w:tcPr>
          <w:p w14:paraId="7507854A" w14:textId="77777777" w:rsidR="00A84DD9" w:rsidRDefault="00A84DD9" w:rsidP="006956FA">
            <w:pPr>
              <w:jc w:val="left"/>
              <w:rPr>
                <w:sz w:val="16"/>
                <w:szCs w:val="16"/>
              </w:rPr>
            </w:pPr>
            <w:r>
              <w:rPr>
                <w:sz w:val="16"/>
                <w:szCs w:val="16"/>
              </w:rPr>
              <w:t>Effet économique potentiellement positif sur les pays extérieurs à l'Union européenne en cas de différence de compétitivité induite par l'introduction d'un signal prix sur le carbone pour les activités économiques européennes</w:t>
            </w:r>
          </w:p>
        </w:tc>
        <w:tc>
          <w:tcPr>
            <w:tcW w:w="1266" w:type="dxa"/>
            <w:tcBorders>
              <w:top w:val="single" w:sz="4" w:space="0" w:color="000001"/>
              <w:left w:val="single" w:sz="4" w:space="0" w:color="000001"/>
              <w:bottom w:val="single" w:sz="4" w:space="0" w:color="000001"/>
              <w:right w:val="single" w:sz="4" w:space="0" w:color="000001"/>
            </w:tcBorders>
            <w:shd w:val="clear" w:color="auto" w:fill="auto"/>
            <w:tcMar>
              <w:left w:w="55" w:type="dxa"/>
            </w:tcMar>
          </w:tcPr>
          <w:p w14:paraId="3C91690F" w14:textId="77777777" w:rsidR="00A84DD9" w:rsidRDefault="00A84DD9" w:rsidP="006956FA">
            <w:pPr>
              <w:jc w:val="left"/>
              <w:rPr>
                <w:sz w:val="16"/>
                <w:szCs w:val="16"/>
              </w:rPr>
            </w:pPr>
            <w:r>
              <w:rPr>
                <w:sz w:val="16"/>
                <w:szCs w:val="16"/>
              </w:rPr>
              <w:t> </w:t>
            </w:r>
          </w:p>
        </w:tc>
        <w:tc>
          <w:tcPr>
            <w:tcW w:w="2517" w:type="dxa"/>
            <w:tcBorders>
              <w:top w:val="single" w:sz="4" w:space="0" w:color="000001"/>
              <w:left w:val="single" w:sz="4" w:space="0" w:color="000001"/>
              <w:bottom w:val="single" w:sz="4" w:space="0" w:color="000001"/>
              <w:right w:val="single" w:sz="4" w:space="0" w:color="000001"/>
            </w:tcBorders>
            <w:shd w:val="clear" w:color="auto" w:fill="E6D3C5" w:themeFill="accent6" w:themeFillTint="33"/>
            <w:tcMar>
              <w:left w:w="55" w:type="dxa"/>
            </w:tcMar>
          </w:tcPr>
          <w:p w14:paraId="317843FC" w14:textId="77777777" w:rsidR="00A84DD9" w:rsidRDefault="00A84DD9" w:rsidP="006956FA">
            <w:pPr>
              <w:jc w:val="left"/>
              <w:rPr>
                <w:sz w:val="16"/>
                <w:szCs w:val="16"/>
              </w:rPr>
            </w:pPr>
            <w:r>
              <w:rPr>
                <w:sz w:val="16"/>
                <w:szCs w:val="16"/>
              </w:rPr>
              <w:t>Incitation des firmes internationales soumises aux quotas à développer des procédés plus efficaces au niveau environnemental potentiellement transférables dans les pays en développement</w:t>
            </w:r>
          </w:p>
        </w:tc>
        <w:tc>
          <w:tcPr>
            <w:tcW w:w="2007" w:type="dxa"/>
            <w:tcBorders>
              <w:top w:val="single" w:sz="4" w:space="0" w:color="000001"/>
              <w:left w:val="single" w:sz="8" w:space="0" w:color="000001"/>
              <w:bottom w:val="single" w:sz="4" w:space="0" w:color="000001"/>
              <w:right w:val="single" w:sz="8" w:space="0" w:color="000001"/>
            </w:tcBorders>
            <w:shd w:val="clear" w:color="auto" w:fill="auto"/>
            <w:tcMar>
              <w:left w:w="40" w:type="dxa"/>
            </w:tcMar>
          </w:tcPr>
          <w:p w14:paraId="6DD4E4B9" w14:textId="77777777" w:rsidR="00A84DD9" w:rsidRDefault="00A84DD9" w:rsidP="006956FA">
            <w:pPr>
              <w:jc w:val="left"/>
              <w:rPr>
                <w:sz w:val="16"/>
                <w:szCs w:val="16"/>
              </w:rPr>
            </w:pPr>
            <w:r>
              <w:rPr>
                <w:sz w:val="16"/>
                <w:szCs w:val="16"/>
              </w:rPr>
              <w:t> </w:t>
            </w:r>
          </w:p>
        </w:tc>
      </w:tr>
      <w:tr w:rsidR="00A84DD9" w14:paraId="042EBBF6" w14:textId="77777777" w:rsidTr="00A84DD9">
        <w:trPr>
          <w:trHeight w:val="985"/>
        </w:trPr>
        <w:tc>
          <w:tcPr>
            <w:tcW w:w="1412" w:type="dxa"/>
            <w:tcBorders>
              <w:top w:val="single" w:sz="4" w:space="0" w:color="00000A"/>
              <w:left w:val="single" w:sz="4" w:space="0" w:color="000001"/>
              <w:bottom w:val="single" w:sz="4" w:space="0" w:color="00000A"/>
            </w:tcBorders>
            <w:shd w:val="clear" w:color="auto" w:fill="auto"/>
            <w:tcMar>
              <w:left w:w="45" w:type="dxa"/>
            </w:tcMar>
          </w:tcPr>
          <w:p w14:paraId="07D61289" w14:textId="77777777" w:rsidR="00A84DD9" w:rsidRDefault="00A84DD9" w:rsidP="00A84DD9">
            <w:pPr>
              <w:jc w:val="left"/>
              <w:rPr>
                <w:sz w:val="16"/>
                <w:szCs w:val="16"/>
              </w:rPr>
            </w:pPr>
            <w:r>
              <w:rPr>
                <w:sz w:val="16"/>
                <w:szCs w:val="16"/>
              </w:rPr>
              <w:t xml:space="preserve">Développement des biocarburants </w:t>
            </w:r>
          </w:p>
        </w:tc>
        <w:tc>
          <w:tcPr>
            <w:tcW w:w="1964" w:type="dxa"/>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tcPr>
          <w:p w14:paraId="3A91BF07" w14:textId="77777777" w:rsidR="00A84DD9" w:rsidRDefault="00A84DD9" w:rsidP="006956FA">
            <w:pPr>
              <w:jc w:val="left"/>
              <w:rPr>
                <w:sz w:val="16"/>
                <w:szCs w:val="16"/>
              </w:rPr>
            </w:pPr>
            <w:r>
              <w:rPr>
                <w:sz w:val="16"/>
                <w:szCs w:val="16"/>
              </w:rPr>
              <w:t>Effet positif de maintien ou création potentielle d'emplois dans les pays en développement exportateurs de biocarburants</w:t>
            </w:r>
          </w:p>
        </w:tc>
        <w:tc>
          <w:tcPr>
            <w:tcW w:w="1938"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045A3E4C" w14:textId="77777777" w:rsidR="00A84DD9" w:rsidRDefault="00A84DD9" w:rsidP="006956FA">
            <w:pPr>
              <w:jc w:val="left"/>
              <w:rPr>
                <w:sz w:val="16"/>
                <w:szCs w:val="16"/>
              </w:rPr>
            </w:pPr>
            <w:r>
              <w:rPr>
                <w:sz w:val="16"/>
                <w:szCs w:val="16"/>
              </w:rPr>
              <w:t>Effet positif à la condition que des critères de durabilité soient mis en place notamment par rapport au problème de changements d'affectation des</w:t>
            </w:r>
            <w:r>
              <w:rPr>
                <w:sz w:val="16"/>
                <w:szCs w:val="16"/>
                <w:shd w:val="clear" w:color="auto" w:fill="E2EFD9"/>
              </w:rPr>
              <w:t xml:space="preserve"> </w:t>
            </w:r>
            <w:r>
              <w:rPr>
                <w:sz w:val="16"/>
                <w:szCs w:val="16"/>
              </w:rPr>
              <w:t>sols</w:t>
            </w:r>
          </w:p>
        </w:tc>
        <w:tc>
          <w:tcPr>
            <w:tcW w:w="2198"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1514996B" w14:textId="77777777" w:rsidR="00A84DD9" w:rsidRDefault="00A84DD9" w:rsidP="006956FA">
            <w:pPr>
              <w:jc w:val="left"/>
              <w:rPr>
                <w:sz w:val="16"/>
                <w:szCs w:val="16"/>
              </w:rPr>
            </w:pPr>
            <w:r>
              <w:rPr>
                <w:sz w:val="16"/>
                <w:szCs w:val="16"/>
              </w:rPr>
              <w:t>Effet positif sur les importations de biocarburants en provenance des pays en développement</w:t>
            </w:r>
          </w:p>
        </w:tc>
        <w:tc>
          <w:tcPr>
            <w:tcW w:w="1266" w:type="dxa"/>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524E4D00" w14:textId="77777777" w:rsidR="00A84DD9" w:rsidRDefault="00A84DD9" w:rsidP="006956FA">
            <w:pPr>
              <w:jc w:val="left"/>
              <w:rPr>
                <w:sz w:val="16"/>
                <w:szCs w:val="16"/>
              </w:rPr>
            </w:pPr>
            <w:r>
              <w:rPr>
                <w:sz w:val="16"/>
                <w:szCs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C6C6EA" w:themeFill="accent2" w:themeFillTint="33"/>
            <w:tcMar>
              <w:left w:w="55" w:type="dxa"/>
            </w:tcMar>
          </w:tcPr>
          <w:p w14:paraId="20ECDC82" w14:textId="77777777" w:rsidR="00A84DD9" w:rsidRDefault="00A84DD9" w:rsidP="006956FA">
            <w:pPr>
              <w:jc w:val="left"/>
              <w:rPr>
                <w:sz w:val="16"/>
                <w:szCs w:val="16"/>
              </w:rPr>
            </w:pPr>
            <w:r>
              <w:rPr>
                <w:sz w:val="16"/>
                <w:szCs w:val="16"/>
              </w:rPr>
              <w:t xml:space="preserve">Effet négatif sur la déforestation et sur la ressource alimentaire. </w:t>
            </w:r>
          </w:p>
          <w:p w14:paraId="39D42318" w14:textId="77777777" w:rsidR="00A84DD9" w:rsidRDefault="00A84DD9" w:rsidP="006956FA">
            <w:pPr>
              <w:jc w:val="left"/>
              <w:rPr>
                <w:sz w:val="16"/>
                <w:szCs w:val="16"/>
              </w:rPr>
            </w:pPr>
            <w:r>
              <w:rPr>
                <w:sz w:val="16"/>
                <w:szCs w:val="16"/>
              </w:rPr>
              <w:t>Mise en place de critères de durabilité des biocarburants via des accords entre la Commission européenne et les pays en développement</w:t>
            </w:r>
          </w:p>
        </w:tc>
        <w:tc>
          <w:tcPr>
            <w:tcW w:w="2007"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1A532E95" w14:textId="77777777" w:rsidR="00A84DD9" w:rsidRDefault="00A84DD9" w:rsidP="006956FA">
            <w:pPr>
              <w:jc w:val="left"/>
              <w:rPr>
                <w:sz w:val="16"/>
                <w:szCs w:val="16"/>
              </w:rPr>
            </w:pPr>
            <w:r>
              <w:rPr>
                <w:sz w:val="16"/>
                <w:szCs w:val="16"/>
              </w:rPr>
              <w:t xml:space="preserve">Effet de diminution de la demande en énergies fossiles et potentielle moindre tension sur leur prix </w:t>
            </w:r>
          </w:p>
        </w:tc>
      </w:tr>
      <w:tr w:rsidR="00A84DD9" w14:paraId="17520B5B" w14:textId="77777777" w:rsidTr="00A84DD9">
        <w:trPr>
          <w:trHeight w:val="565"/>
        </w:trPr>
        <w:tc>
          <w:tcPr>
            <w:tcW w:w="1412" w:type="dxa"/>
            <w:vMerge w:val="restart"/>
            <w:tcBorders>
              <w:top w:val="single" w:sz="4" w:space="0" w:color="00000A"/>
              <w:left w:val="single" w:sz="4" w:space="0" w:color="000001"/>
              <w:right w:val="single" w:sz="4" w:space="0" w:color="000001"/>
            </w:tcBorders>
            <w:shd w:val="clear" w:color="auto" w:fill="auto"/>
            <w:tcMar>
              <w:left w:w="45" w:type="dxa"/>
            </w:tcMar>
          </w:tcPr>
          <w:p w14:paraId="0FED77D4" w14:textId="77777777" w:rsidR="00A84DD9" w:rsidRDefault="00A84DD9" w:rsidP="00A84DD9">
            <w:pPr>
              <w:jc w:val="left"/>
              <w:rPr>
                <w:sz w:val="16"/>
                <w:szCs w:val="16"/>
              </w:rPr>
            </w:pPr>
            <w:r>
              <w:rPr>
                <w:sz w:val="16"/>
                <w:szCs w:val="16"/>
              </w:rPr>
              <w:t>Promotion de l’efficacité énergétique</w:t>
            </w:r>
          </w:p>
        </w:tc>
        <w:tc>
          <w:tcPr>
            <w:tcW w:w="1964" w:type="dxa"/>
            <w:vMerge w:val="restart"/>
            <w:tcBorders>
              <w:top w:val="single" w:sz="4" w:space="0" w:color="00000A"/>
              <w:left w:val="single" w:sz="4" w:space="0" w:color="000001"/>
              <w:right w:val="single" w:sz="4" w:space="0" w:color="000001"/>
            </w:tcBorders>
            <w:shd w:val="clear" w:color="auto" w:fill="E6D3C5" w:themeFill="accent6" w:themeFillTint="33"/>
            <w:tcMar>
              <w:left w:w="55" w:type="dxa"/>
            </w:tcMar>
          </w:tcPr>
          <w:p w14:paraId="241AC0FB" w14:textId="77777777" w:rsidR="00A84DD9" w:rsidRDefault="00A84DD9" w:rsidP="006956FA">
            <w:pPr>
              <w:jc w:val="left"/>
              <w:rPr>
                <w:sz w:val="16"/>
                <w:szCs w:val="16"/>
              </w:rPr>
            </w:pPr>
            <w:r>
              <w:rPr>
                <w:sz w:val="16"/>
                <w:szCs w:val="16"/>
              </w:rPr>
              <w:t>Effet positif de maintien ou création potentielle d'emplois dans les pays en développement exportateurs d’équipements générant de l’efficacité énergétique</w:t>
            </w:r>
          </w:p>
        </w:tc>
        <w:tc>
          <w:tcPr>
            <w:tcW w:w="1938" w:type="dxa"/>
            <w:vMerge w:val="restart"/>
            <w:tcBorders>
              <w:top w:val="single" w:sz="4" w:space="0" w:color="00000A"/>
              <w:left w:val="single" w:sz="4" w:space="0" w:color="000001"/>
              <w:right w:val="single" w:sz="4" w:space="0" w:color="000001"/>
            </w:tcBorders>
            <w:shd w:val="clear" w:color="auto" w:fill="auto"/>
            <w:tcMar>
              <w:left w:w="55" w:type="dxa"/>
            </w:tcMar>
          </w:tcPr>
          <w:p w14:paraId="316A232B" w14:textId="77777777" w:rsidR="00A84DD9" w:rsidRDefault="00A84DD9" w:rsidP="006956FA">
            <w:pPr>
              <w:jc w:val="left"/>
              <w:rPr>
                <w:sz w:val="16"/>
                <w:szCs w:val="16"/>
              </w:rPr>
            </w:pPr>
            <w:r>
              <w:rPr>
                <w:sz w:val="16"/>
                <w:szCs w:val="16"/>
              </w:rPr>
              <w:t> </w:t>
            </w:r>
          </w:p>
        </w:tc>
        <w:tc>
          <w:tcPr>
            <w:tcW w:w="2198"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4FD3F51F" w14:textId="77777777" w:rsidR="00A84DD9" w:rsidRDefault="00A84DD9" w:rsidP="006956FA">
            <w:pPr>
              <w:jc w:val="left"/>
              <w:rPr>
                <w:sz w:val="16"/>
                <w:szCs w:val="16"/>
              </w:rPr>
            </w:pPr>
            <w:r>
              <w:rPr>
                <w:sz w:val="16"/>
                <w:szCs w:val="16"/>
              </w:rPr>
              <w:t>Effet positif sur les importations en provenance des pays en développement pour des équipements générant de l’efficacité énergétique</w:t>
            </w:r>
          </w:p>
        </w:tc>
        <w:tc>
          <w:tcPr>
            <w:tcW w:w="1266" w:type="dxa"/>
            <w:vMerge w:val="restart"/>
            <w:tcBorders>
              <w:top w:val="single" w:sz="4" w:space="0" w:color="00000A"/>
              <w:left w:val="single" w:sz="4" w:space="0" w:color="000001"/>
              <w:right w:val="single" w:sz="4" w:space="0" w:color="000001"/>
            </w:tcBorders>
            <w:shd w:val="clear" w:color="auto" w:fill="auto"/>
            <w:tcMar>
              <w:left w:w="55" w:type="dxa"/>
            </w:tcMar>
            <w:vAlign w:val="bottom"/>
          </w:tcPr>
          <w:p w14:paraId="116F9190" w14:textId="77777777" w:rsidR="00A84DD9" w:rsidRDefault="00A84DD9" w:rsidP="006956FA">
            <w:pPr>
              <w:jc w:val="left"/>
              <w:rPr>
                <w:sz w:val="16"/>
                <w:szCs w:val="16"/>
              </w:rPr>
            </w:pPr>
            <w:r>
              <w:rPr>
                <w:sz w:val="16"/>
                <w:szCs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002FF8FD" w14:textId="77777777" w:rsidR="00A84DD9" w:rsidRDefault="00A84DD9" w:rsidP="006956FA">
            <w:pPr>
              <w:jc w:val="left"/>
              <w:rPr>
                <w:sz w:val="16"/>
                <w:szCs w:val="16"/>
              </w:rPr>
            </w:pPr>
            <w:r>
              <w:rPr>
                <w:sz w:val="16"/>
                <w:szCs w:val="16"/>
              </w:rPr>
              <w:t>Amélioration de la qualité de l’air dans les pays en développement</w:t>
            </w:r>
          </w:p>
        </w:tc>
        <w:tc>
          <w:tcPr>
            <w:tcW w:w="2007"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4B6FB3D0" w14:textId="77777777" w:rsidR="00A84DD9" w:rsidRDefault="00A84DD9" w:rsidP="006956FA">
            <w:pPr>
              <w:jc w:val="left"/>
              <w:rPr>
                <w:sz w:val="16"/>
                <w:szCs w:val="16"/>
              </w:rPr>
            </w:pPr>
            <w:r>
              <w:rPr>
                <w:sz w:val="16"/>
                <w:szCs w:val="16"/>
              </w:rPr>
              <w:t>Effet de diminution de la demande en énergies fossiles et potentielle moindre tension sur leur prix</w:t>
            </w:r>
          </w:p>
        </w:tc>
      </w:tr>
      <w:tr w:rsidR="00A84DD9" w14:paraId="23259836" w14:textId="77777777" w:rsidTr="00A84DD9">
        <w:trPr>
          <w:trHeight w:val="564"/>
        </w:trPr>
        <w:tc>
          <w:tcPr>
            <w:tcW w:w="1412" w:type="dxa"/>
            <w:vMerge/>
            <w:tcBorders>
              <w:top w:val="single" w:sz="4" w:space="0" w:color="00000A"/>
              <w:left w:val="single" w:sz="4" w:space="0" w:color="000001"/>
              <w:bottom w:val="single" w:sz="4" w:space="0" w:color="00000A"/>
              <w:right w:val="single" w:sz="4" w:space="0" w:color="000001"/>
            </w:tcBorders>
            <w:shd w:val="clear" w:color="auto" w:fill="auto"/>
            <w:tcMar>
              <w:left w:w="45" w:type="dxa"/>
            </w:tcMar>
          </w:tcPr>
          <w:p w14:paraId="418A6D49" w14:textId="77777777" w:rsidR="00A84DD9" w:rsidRDefault="00A84DD9" w:rsidP="00A84DD9">
            <w:pPr>
              <w:jc w:val="left"/>
              <w:rPr>
                <w:sz w:val="16"/>
                <w:szCs w:val="16"/>
              </w:rPr>
            </w:pPr>
          </w:p>
        </w:tc>
        <w:tc>
          <w:tcPr>
            <w:tcW w:w="1964" w:type="dxa"/>
            <w:vMerge/>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768F7171" w14:textId="77777777" w:rsidR="00A84DD9" w:rsidRDefault="00A84DD9" w:rsidP="006956FA">
            <w:pPr>
              <w:jc w:val="left"/>
              <w:rPr>
                <w:sz w:val="16"/>
                <w:szCs w:val="16"/>
              </w:rPr>
            </w:pPr>
          </w:p>
        </w:tc>
        <w:tc>
          <w:tcPr>
            <w:tcW w:w="1938"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77FFF9C7" w14:textId="77777777" w:rsidR="00A84DD9" w:rsidRDefault="00A84DD9" w:rsidP="006956FA">
            <w:pPr>
              <w:jc w:val="left"/>
              <w:rPr>
                <w:sz w:val="16"/>
                <w:szCs w:val="16"/>
              </w:rPr>
            </w:pPr>
          </w:p>
        </w:tc>
        <w:tc>
          <w:tcPr>
            <w:tcW w:w="2198"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321E3FB4" w14:textId="77777777" w:rsidR="00A84DD9" w:rsidRDefault="00A84DD9" w:rsidP="006956FA">
            <w:pPr>
              <w:jc w:val="left"/>
              <w:rPr>
                <w:sz w:val="16"/>
                <w:szCs w:val="16"/>
              </w:rPr>
            </w:pPr>
          </w:p>
        </w:tc>
        <w:tc>
          <w:tcPr>
            <w:tcW w:w="1266"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4D7EB255" w14:textId="77777777" w:rsidR="00A84DD9" w:rsidRDefault="00A84DD9" w:rsidP="006956FA">
            <w:pPr>
              <w:jc w:val="left"/>
              <w:rPr>
                <w:sz w:val="16"/>
                <w:szCs w:val="16"/>
              </w:rPr>
            </w:pP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108C4DD5" w14:textId="77777777" w:rsidR="00A84DD9" w:rsidRDefault="00A84DD9" w:rsidP="006956FA">
            <w:pPr>
              <w:jc w:val="left"/>
              <w:rPr>
                <w:sz w:val="16"/>
                <w:szCs w:val="16"/>
              </w:rPr>
            </w:pPr>
            <w:r>
              <w:rPr>
                <w:sz w:val="16"/>
                <w:szCs w:val="16"/>
              </w:rPr>
              <w:t>Développement d’équipements plus efficace énergétiquement potentiellement transférables dans les pays en développement</w:t>
            </w:r>
          </w:p>
        </w:tc>
        <w:tc>
          <w:tcPr>
            <w:tcW w:w="2007"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7192ADE2" w14:textId="77777777" w:rsidR="00A84DD9" w:rsidRDefault="00A84DD9" w:rsidP="006956FA">
            <w:pPr>
              <w:jc w:val="left"/>
              <w:rPr>
                <w:sz w:val="16"/>
                <w:szCs w:val="16"/>
              </w:rPr>
            </w:pPr>
          </w:p>
        </w:tc>
      </w:tr>
      <w:tr w:rsidR="00A84DD9" w14:paraId="19BEDC32" w14:textId="77777777" w:rsidTr="00A84DD9">
        <w:trPr>
          <w:trHeight w:val="565"/>
        </w:trPr>
        <w:tc>
          <w:tcPr>
            <w:tcW w:w="1412" w:type="dxa"/>
            <w:vMerge w:val="restart"/>
            <w:tcBorders>
              <w:top w:val="single" w:sz="4" w:space="0" w:color="00000A"/>
              <w:left w:val="single" w:sz="4" w:space="0" w:color="000001"/>
            </w:tcBorders>
            <w:shd w:val="clear" w:color="auto" w:fill="auto"/>
            <w:tcMar>
              <w:left w:w="45" w:type="dxa"/>
            </w:tcMar>
          </w:tcPr>
          <w:p w14:paraId="744D12AD" w14:textId="77777777" w:rsidR="00A84DD9" w:rsidRDefault="00A84DD9" w:rsidP="00A84DD9">
            <w:pPr>
              <w:jc w:val="left"/>
              <w:rPr>
                <w:sz w:val="16"/>
                <w:szCs w:val="16"/>
              </w:rPr>
            </w:pPr>
            <w:r>
              <w:rPr>
                <w:sz w:val="16"/>
                <w:szCs w:val="16"/>
              </w:rPr>
              <w:t xml:space="preserve">Promotion des énergies renouvelables </w:t>
            </w:r>
          </w:p>
        </w:tc>
        <w:tc>
          <w:tcPr>
            <w:tcW w:w="1964" w:type="dxa"/>
            <w:vMerge w:val="restart"/>
            <w:tcBorders>
              <w:top w:val="single" w:sz="4" w:space="0" w:color="00000A"/>
              <w:left w:val="single" w:sz="8" w:space="0" w:color="000001"/>
              <w:right w:val="single" w:sz="4" w:space="0" w:color="000001"/>
            </w:tcBorders>
            <w:shd w:val="clear" w:color="auto" w:fill="E6D3C5" w:themeFill="accent6" w:themeFillTint="33"/>
            <w:tcMar>
              <w:left w:w="20" w:type="dxa"/>
            </w:tcMar>
          </w:tcPr>
          <w:p w14:paraId="4BD2667E" w14:textId="77777777" w:rsidR="00A84DD9" w:rsidRDefault="00A84DD9" w:rsidP="006956FA">
            <w:pPr>
              <w:jc w:val="left"/>
              <w:rPr>
                <w:sz w:val="16"/>
                <w:szCs w:val="16"/>
              </w:rPr>
            </w:pPr>
            <w:r>
              <w:rPr>
                <w:sz w:val="16"/>
                <w:szCs w:val="16"/>
              </w:rPr>
              <w:t>Effet positif de maintien ou création potentielle d'emplois dans les pays en développement exportateurs d’équipements de production d’énergie renouvelable</w:t>
            </w:r>
          </w:p>
        </w:tc>
        <w:tc>
          <w:tcPr>
            <w:tcW w:w="1938" w:type="dxa"/>
            <w:vMerge w:val="restart"/>
            <w:tcBorders>
              <w:top w:val="single" w:sz="4" w:space="0" w:color="00000A"/>
              <w:left w:val="single" w:sz="4" w:space="0" w:color="000001"/>
              <w:right w:val="single" w:sz="4" w:space="0" w:color="000001"/>
            </w:tcBorders>
            <w:shd w:val="clear" w:color="auto" w:fill="auto"/>
            <w:tcMar>
              <w:left w:w="55" w:type="dxa"/>
            </w:tcMar>
          </w:tcPr>
          <w:p w14:paraId="61B2BC20" w14:textId="77777777" w:rsidR="00A84DD9" w:rsidRDefault="00A84DD9" w:rsidP="006956FA">
            <w:pPr>
              <w:jc w:val="left"/>
              <w:rPr>
                <w:sz w:val="16"/>
                <w:szCs w:val="16"/>
              </w:rPr>
            </w:pPr>
            <w:r>
              <w:rPr>
                <w:sz w:val="16"/>
                <w:szCs w:val="16"/>
              </w:rPr>
              <w:t> </w:t>
            </w:r>
          </w:p>
        </w:tc>
        <w:tc>
          <w:tcPr>
            <w:tcW w:w="2198"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20E7F4FD" w14:textId="77777777" w:rsidR="00A84DD9" w:rsidRDefault="00A84DD9" w:rsidP="006956FA">
            <w:pPr>
              <w:jc w:val="left"/>
              <w:rPr>
                <w:sz w:val="16"/>
                <w:szCs w:val="16"/>
              </w:rPr>
            </w:pPr>
            <w:r>
              <w:rPr>
                <w:sz w:val="16"/>
                <w:szCs w:val="16"/>
              </w:rPr>
              <w:t xml:space="preserve">Effet </w:t>
            </w:r>
            <w:r>
              <w:rPr>
                <w:sz w:val="16"/>
                <w:szCs w:val="16"/>
                <w:shd w:val="clear" w:color="auto" w:fill="E2EFD9"/>
              </w:rPr>
              <w:t>positif sur les importatio</w:t>
            </w:r>
            <w:r>
              <w:rPr>
                <w:sz w:val="16"/>
                <w:szCs w:val="16"/>
              </w:rPr>
              <w:t>ns en provenance des pays en développement pour des équipements de production d’énergie renouvelable</w:t>
            </w:r>
          </w:p>
        </w:tc>
        <w:tc>
          <w:tcPr>
            <w:tcW w:w="1266" w:type="dxa"/>
            <w:vMerge w:val="restart"/>
            <w:tcBorders>
              <w:top w:val="single" w:sz="4" w:space="0" w:color="00000A"/>
              <w:left w:val="single" w:sz="4" w:space="0" w:color="000001"/>
              <w:right w:val="single" w:sz="4" w:space="0" w:color="000001"/>
            </w:tcBorders>
            <w:shd w:val="clear" w:color="auto" w:fill="auto"/>
            <w:tcMar>
              <w:left w:w="55" w:type="dxa"/>
            </w:tcMar>
            <w:vAlign w:val="bottom"/>
          </w:tcPr>
          <w:p w14:paraId="7DAE4DD2" w14:textId="77777777" w:rsidR="00A84DD9" w:rsidRDefault="00A84DD9" w:rsidP="006956FA">
            <w:pPr>
              <w:jc w:val="left"/>
              <w:rPr>
                <w:sz w:val="16"/>
                <w:szCs w:val="16"/>
              </w:rPr>
            </w:pPr>
            <w:r>
              <w:rPr>
                <w:sz w:val="16"/>
                <w:szCs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22EC6F2C" w14:textId="77777777" w:rsidR="00A84DD9" w:rsidRDefault="00A84DD9" w:rsidP="006956FA">
            <w:pPr>
              <w:jc w:val="left"/>
              <w:rPr>
                <w:sz w:val="16"/>
                <w:szCs w:val="16"/>
              </w:rPr>
            </w:pPr>
            <w:r>
              <w:rPr>
                <w:sz w:val="16"/>
                <w:szCs w:val="16"/>
              </w:rPr>
              <w:t>Amélioration de la qualité de l’air dans les pays en développement</w:t>
            </w:r>
          </w:p>
        </w:tc>
        <w:tc>
          <w:tcPr>
            <w:tcW w:w="2007" w:type="dxa"/>
            <w:vMerge w:val="restart"/>
            <w:tcBorders>
              <w:top w:val="single" w:sz="4" w:space="0" w:color="00000A"/>
              <w:left w:val="single" w:sz="8" w:space="0" w:color="000001"/>
              <w:right w:val="single" w:sz="8" w:space="0" w:color="000001"/>
            </w:tcBorders>
            <w:shd w:val="clear" w:color="auto" w:fill="E6D3C5" w:themeFill="accent6" w:themeFillTint="33"/>
            <w:tcMar>
              <w:left w:w="40" w:type="dxa"/>
            </w:tcMar>
          </w:tcPr>
          <w:p w14:paraId="6371A474" w14:textId="77777777" w:rsidR="00A84DD9" w:rsidRDefault="00A84DD9" w:rsidP="006956FA">
            <w:pPr>
              <w:jc w:val="left"/>
              <w:rPr>
                <w:sz w:val="16"/>
                <w:szCs w:val="16"/>
              </w:rPr>
            </w:pPr>
            <w:r>
              <w:rPr>
                <w:sz w:val="16"/>
                <w:szCs w:val="16"/>
              </w:rPr>
              <w:t xml:space="preserve">Effet de diminution de la demande en énergies fossiles et potentielle moindre tension sur leur prix </w:t>
            </w:r>
          </w:p>
        </w:tc>
      </w:tr>
      <w:tr w:rsidR="00A84DD9" w14:paraId="54F0AA53" w14:textId="77777777" w:rsidTr="00A84DD9">
        <w:trPr>
          <w:trHeight w:val="564"/>
        </w:trPr>
        <w:tc>
          <w:tcPr>
            <w:tcW w:w="1412" w:type="dxa"/>
            <w:vMerge/>
            <w:tcBorders>
              <w:top w:val="single" w:sz="4" w:space="0" w:color="00000A"/>
              <w:left w:val="single" w:sz="4" w:space="0" w:color="000001"/>
              <w:bottom w:val="single" w:sz="4" w:space="0" w:color="00000A"/>
            </w:tcBorders>
            <w:shd w:val="clear" w:color="auto" w:fill="auto"/>
            <w:tcMar>
              <w:left w:w="45" w:type="dxa"/>
            </w:tcMar>
          </w:tcPr>
          <w:p w14:paraId="4A122CC6" w14:textId="77777777" w:rsidR="00A84DD9" w:rsidRDefault="00A84DD9" w:rsidP="00A84DD9">
            <w:pPr>
              <w:jc w:val="left"/>
              <w:rPr>
                <w:sz w:val="16"/>
                <w:szCs w:val="16"/>
              </w:rPr>
            </w:pPr>
          </w:p>
        </w:tc>
        <w:tc>
          <w:tcPr>
            <w:tcW w:w="1964" w:type="dxa"/>
            <w:vMerge/>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tcPr>
          <w:p w14:paraId="364C9421" w14:textId="77777777" w:rsidR="00A84DD9" w:rsidRDefault="00A84DD9" w:rsidP="006956FA">
            <w:pPr>
              <w:jc w:val="left"/>
              <w:rPr>
                <w:sz w:val="16"/>
                <w:szCs w:val="16"/>
              </w:rPr>
            </w:pPr>
          </w:p>
        </w:tc>
        <w:tc>
          <w:tcPr>
            <w:tcW w:w="1938"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32DB748E" w14:textId="77777777" w:rsidR="00A84DD9" w:rsidRDefault="00A84DD9" w:rsidP="006956FA">
            <w:pPr>
              <w:jc w:val="left"/>
              <w:rPr>
                <w:sz w:val="16"/>
                <w:szCs w:val="16"/>
              </w:rPr>
            </w:pPr>
          </w:p>
        </w:tc>
        <w:tc>
          <w:tcPr>
            <w:tcW w:w="2198"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281338C4" w14:textId="77777777" w:rsidR="00A84DD9" w:rsidRDefault="00A84DD9" w:rsidP="006956FA">
            <w:pPr>
              <w:jc w:val="left"/>
              <w:rPr>
                <w:sz w:val="16"/>
                <w:szCs w:val="16"/>
              </w:rPr>
            </w:pPr>
          </w:p>
        </w:tc>
        <w:tc>
          <w:tcPr>
            <w:tcW w:w="1266" w:type="dxa"/>
            <w:vMerge/>
            <w:tcBorders>
              <w:top w:val="single" w:sz="4" w:space="0" w:color="00000A"/>
              <w:left w:val="single" w:sz="4" w:space="0" w:color="000001"/>
              <w:bottom w:val="single" w:sz="4" w:space="0" w:color="00000A"/>
              <w:right w:val="single" w:sz="4" w:space="0" w:color="000001"/>
            </w:tcBorders>
            <w:shd w:val="clear" w:color="auto" w:fill="auto"/>
            <w:tcMar>
              <w:left w:w="55" w:type="dxa"/>
            </w:tcMar>
            <w:vAlign w:val="bottom"/>
          </w:tcPr>
          <w:p w14:paraId="04756E21" w14:textId="77777777" w:rsidR="00A84DD9" w:rsidRDefault="00A84DD9" w:rsidP="006956FA">
            <w:pPr>
              <w:jc w:val="left"/>
              <w:rPr>
                <w:sz w:val="16"/>
                <w:szCs w:val="16"/>
              </w:rPr>
            </w:pP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280EA0F0" w14:textId="77777777" w:rsidR="00A84DD9" w:rsidRDefault="00A84DD9" w:rsidP="006956FA">
            <w:pPr>
              <w:jc w:val="left"/>
              <w:rPr>
                <w:sz w:val="16"/>
                <w:szCs w:val="16"/>
              </w:rPr>
            </w:pPr>
            <w:r>
              <w:rPr>
                <w:sz w:val="16"/>
                <w:szCs w:val="16"/>
              </w:rPr>
              <w:t>Développement d’équipements de production d’énergie renouvelable potentiellement transférables dans les pays en développement</w:t>
            </w:r>
          </w:p>
        </w:tc>
        <w:tc>
          <w:tcPr>
            <w:tcW w:w="2007" w:type="dxa"/>
            <w:vMerge/>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5440CC76" w14:textId="77777777" w:rsidR="00A84DD9" w:rsidRDefault="00A84DD9" w:rsidP="006956FA">
            <w:pPr>
              <w:jc w:val="left"/>
              <w:rPr>
                <w:sz w:val="16"/>
                <w:szCs w:val="16"/>
              </w:rPr>
            </w:pPr>
          </w:p>
        </w:tc>
      </w:tr>
      <w:tr w:rsidR="00A84DD9" w14:paraId="3C203C77" w14:textId="77777777" w:rsidTr="00A84DD9">
        <w:trPr>
          <w:trHeight w:val="607"/>
        </w:trPr>
        <w:tc>
          <w:tcPr>
            <w:tcW w:w="1412" w:type="dxa"/>
            <w:vMerge w:val="restart"/>
            <w:tcBorders>
              <w:top w:val="single" w:sz="4" w:space="0" w:color="00000A"/>
              <w:left w:val="single" w:sz="4" w:space="0" w:color="000001"/>
              <w:bottom w:val="single" w:sz="4" w:space="0" w:color="000001"/>
              <w:right w:val="single" w:sz="8" w:space="0" w:color="000001"/>
            </w:tcBorders>
            <w:shd w:val="clear" w:color="auto" w:fill="auto"/>
            <w:tcMar>
              <w:left w:w="45" w:type="dxa"/>
            </w:tcMar>
          </w:tcPr>
          <w:p w14:paraId="2FC31BBA" w14:textId="77777777" w:rsidR="00A84DD9" w:rsidRDefault="00A84DD9" w:rsidP="00A84DD9">
            <w:pPr>
              <w:jc w:val="left"/>
              <w:rPr>
                <w:sz w:val="16"/>
                <w:szCs w:val="16"/>
              </w:rPr>
            </w:pPr>
            <w:r>
              <w:rPr>
                <w:sz w:val="16"/>
                <w:szCs w:val="16"/>
              </w:rPr>
              <w:t xml:space="preserve">Mesures en faveur de véhicules faiblement émetteurs en gaz à effet de serre </w:t>
            </w:r>
          </w:p>
        </w:tc>
        <w:tc>
          <w:tcPr>
            <w:tcW w:w="1964" w:type="dxa"/>
            <w:vMerge w:val="restart"/>
            <w:tcBorders>
              <w:top w:val="single" w:sz="4" w:space="0" w:color="00000A"/>
              <w:left w:val="single" w:sz="8" w:space="0" w:color="000001"/>
              <w:bottom w:val="single" w:sz="4" w:space="0" w:color="000001"/>
              <w:right w:val="single" w:sz="4" w:space="0" w:color="000001"/>
            </w:tcBorders>
            <w:shd w:val="clear" w:color="auto" w:fill="E6D3C5" w:themeFill="accent6" w:themeFillTint="33"/>
            <w:tcMar>
              <w:left w:w="20" w:type="dxa"/>
            </w:tcMar>
          </w:tcPr>
          <w:p w14:paraId="6B0B85C9" w14:textId="77777777" w:rsidR="00A84DD9" w:rsidRDefault="00A84DD9" w:rsidP="006956FA">
            <w:pPr>
              <w:jc w:val="left"/>
              <w:rPr>
                <w:sz w:val="16"/>
                <w:szCs w:val="16"/>
              </w:rPr>
            </w:pPr>
            <w:r>
              <w:rPr>
                <w:sz w:val="16"/>
                <w:szCs w:val="16"/>
              </w:rPr>
              <w:t>Effet positif de maintien ou création potentielle d'emplois dans les pays en développement exportateurs de véhicules peu émissifs</w:t>
            </w:r>
          </w:p>
        </w:tc>
        <w:tc>
          <w:tcPr>
            <w:tcW w:w="1938" w:type="dxa"/>
            <w:tcBorders>
              <w:top w:val="single" w:sz="4" w:space="0" w:color="00000A"/>
              <w:left w:val="single" w:sz="4" w:space="0" w:color="000001"/>
              <w:right w:val="single" w:sz="4" w:space="0" w:color="000001"/>
            </w:tcBorders>
            <w:shd w:val="clear" w:color="auto" w:fill="auto"/>
            <w:tcMar>
              <w:left w:w="55" w:type="dxa"/>
            </w:tcMar>
          </w:tcPr>
          <w:p w14:paraId="34185A58" w14:textId="77777777" w:rsidR="00A84DD9" w:rsidRDefault="00A84DD9" w:rsidP="006956FA">
            <w:pPr>
              <w:jc w:val="left"/>
              <w:rPr>
                <w:sz w:val="16"/>
                <w:szCs w:val="16"/>
              </w:rPr>
            </w:pPr>
            <w:r>
              <w:rPr>
                <w:sz w:val="16"/>
                <w:szCs w:val="16"/>
              </w:rPr>
              <w:t> </w:t>
            </w:r>
          </w:p>
        </w:tc>
        <w:tc>
          <w:tcPr>
            <w:tcW w:w="2198" w:type="dxa"/>
            <w:vMerge w:val="restart"/>
            <w:tcBorders>
              <w:top w:val="single" w:sz="4" w:space="0" w:color="00000A"/>
              <w:left w:val="single" w:sz="4" w:space="0" w:color="000001"/>
              <w:bottom w:val="single" w:sz="4" w:space="0" w:color="000001"/>
              <w:right w:val="single" w:sz="8" w:space="0" w:color="000001"/>
            </w:tcBorders>
            <w:shd w:val="clear" w:color="auto" w:fill="E6D3C5" w:themeFill="accent6" w:themeFillTint="33"/>
            <w:tcMar>
              <w:left w:w="45" w:type="dxa"/>
            </w:tcMar>
          </w:tcPr>
          <w:p w14:paraId="254EB238" w14:textId="77777777" w:rsidR="00A84DD9" w:rsidRDefault="00A84DD9" w:rsidP="006956FA">
            <w:pPr>
              <w:jc w:val="left"/>
              <w:rPr>
                <w:sz w:val="16"/>
                <w:szCs w:val="16"/>
              </w:rPr>
            </w:pPr>
            <w:r>
              <w:rPr>
                <w:sz w:val="16"/>
                <w:szCs w:val="16"/>
              </w:rPr>
              <w:t>Favorise les importations en provenance des pays en développement de véhicules peu émissifs</w:t>
            </w:r>
          </w:p>
        </w:tc>
        <w:tc>
          <w:tcPr>
            <w:tcW w:w="1266" w:type="dxa"/>
            <w:tcBorders>
              <w:top w:val="single" w:sz="4" w:space="0" w:color="00000A"/>
              <w:left w:val="single" w:sz="4" w:space="0" w:color="000001"/>
              <w:right w:val="single" w:sz="4" w:space="0" w:color="000001"/>
            </w:tcBorders>
            <w:shd w:val="clear" w:color="auto" w:fill="auto"/>
            <w:tcMar>
              <w:left w:w="55" w:type="dxa"/>
            </w:tcMar>
          </w:tcPr>
          <w:p w14:paraId="5717D66C" w14:textId="77777777" w:rsidR="00A84DD9" w:rsidRDefault="00A84DD9" w:rsidP="006956FA">
            <w:pPr>
              <w:jc w:val="left"/>
              <w:rPr>
                <w:sz w:val="16"/>
                <w:szCs w:val="16"/>
              </w:rPr>
            </w:pPr>
            <w:r>
              <w:rPr>
                <w:sz w:val="16"/>
                <w:szCs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4889E365" w14:textId="77777777" w:rsidR="00A84DD9" w:rsidRDefault="00A84DD9" w:rsidP="006956FA">
            <w:pPr>
              <w:jc w:val="left"/>
              <w:rPr>
                <w:sz w:val="16"/>
                <w:szCs w:val="16"/>
              </w:rPr>
            </w:pPr>
            <w:r>
              <w:rPr>
                <w:sz w:val="16"/>
                <w:szCs w:val="16"/>
              </w:rPr>
              <w:t>Amélioration de la qualité de l’air dans les pays en développement</w:t>
            </w:r>
          </w:p>
        </w:tc>
        <w:tc>
          <w:tcPr>
            <w:tcW w:w="2007" w:type="dxa"/>
            <w:tcBorders>
              <w:top w:val="single" w:sz="4" w:space="0" w:color="00000A"/>
              <w:left w:val="single" w:sz="8" w:space="0" w:color="000001"/>
              <w:bottom w:val="single" w:sz="4" w:space="0" w:color="000001"/>
              <w:right w:val="single" w:sz="8" w:space="0" w:color="000001"/>
            </w:tcBorders>
            <w:shd w:val="clear" w:color="auto" w:fill="C6C6EA" w:themeFill="accent2" w:themeFillTint="33"/>
            <w:tcMar>
              <w:left w:w="40" w:type="dxa"/>
            </w:tcMar>
          </w:tcPr>
          <w:p w14:paraId="6CE584B0" w14:textId="77777777" w:rsidR="00A84DD9" w:rsidRDefault="00A84DD9" w:rsidP="006956FA">
            <w:pPr>
              <w:jc w:val="left"/>
              <w:rPr>
                <w:sz w:val="16"/>
                <w:szCs w:val="16"/>
              </w:rPr>
            </w:pPr>
            <w:r>
              <w:rPr>
                <w:sz w:val="16"/>
                <w:szCs w:val="16"/>
              </w:rPr>
              <w:t>Hausse de la demande de matières premières et potentielle tension accrue sur leur prix</w:t>
            </w:r>
          </w:p>
        </w:tc>
      </w:tr>
      <w:tr w:rsidR="00A84DD9" w14:paraId="5A4613DF" w14:textId="77777777" w:rsidTr="00A84DD9">
        <w:trPr>
          <w:trHeight w:val="420"/>
        </w:trPr>
        <w:tc>
          <w:tcPr>
            <w:tcW w:w="1412" w:type="dxa"/>
            <w:vMerge/>
            <w:tcBorders>
              <w:top w:val="single" w:sz="4" w:space="0" w:color="00000A"/>
              <w:left w:val="single" w:sz="4" w:space="0" w:color="000001"/>
              <w:bottom w:val="single" w:sz="4" w:space="0" w:color="00000A"/>
              <w:right w:val="single" w:sz="8" w:space="0" w:color="000001"/>
            </w:tcBorders>
            <w:shd w:val="clear" w:color="auto" w:fill="auto"/>
            <w:tcMar>
              <w:left w:w="45" w:type="dxa"/>
            </w:tcMar>
            <w:vAlign w:val="center"/>
          </w:tcPr>
          <w:p w14:paraId="3BBC63B1" w14:textId="77777777" w:rsidR="00A84DD9" w:rsidRDefault="00A84DD9" w:rsidP="00B149A0">
            <w:pPr>
              <w:rPr>
                <w:sz w:val="16"/>
                <w:szCs w:val="16"/>
              </w:rPr>
            </w:pPr>
          </w:p>
        </w:tc>
        <w:tc>
          <w:tcPr>
            <w:tcW w:w="1964" w:type="dxa"/>
            <w:vMerge/>
            <w:tcBorders>
              <w:top w:val="single" w:sz="4" w:space="0" w:color="00000A"/>
              <w:left w:val="single" w:sz="8" w:space="0" w:color="000001"/>
              <w:bottom w:val="single" w:sz="4" w:space="0" w:color="00000A"/>
              <w:right w:val="single" w:sz="4" w:space="0" w:color="000001"/>
            </w:tcBorders>
            <w:shd w:val="clear" w:color="auto" w:fill="E6D3C5" w:themeFill="accent6" w:themeFillTint="33"/>
            <w:tcMar>
              <w:left w:w="20" w:type="dxa"/>
            </w:tcMar>
            <w:vAlign w:val="center"/>
          </w:tcPr>
          <w:p w14:paraId="45495B90" w14:textId="77777777" w:rsidR="00A84DD9" w:rsidRDefault="00A84DD9" w:rsidP="006956FA">
            <w:pPr>
              <w:jc w:val="left"/>
              <w:rPr>
                <w:sz w:val="16"/>
                <w:szCs w:val="16"/>
              </w:rPr>
            </w:pPr>
          </w:p>
        </w:tc>
        <w:tc>
          <w:tcPr>
            <w:tcW w:w="1938" w:type="dxa"/>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2A4A6A1F" w14:textId="77777777" w:rsidR="00A84DD9" w:rsidRDefault="00A84DD9" w:rsidP="006956FA">
            <w:pPr>
              <w:jc w:val="left"/>
              <w:rPr>
                <w:sz w:val="16"/>
                <w:szCs w:val="16"/>
              </w:rPr>
            </w:pPr>
            <w:r>
              <w:rPr>
                <w:sz w:val="16"/>
                <w:szCs w:val="16"/>
              </w:rPr>
              <w:t> </w:t>
            </w:r>
          </w:p>
        </w:tc>
        <w:tc>
          <w:tcPr>
            <w:tcW w:w="2198" w:type="dxa"/>
            <w:vMerge/>
            <w:tcBorders>
              <w:top w:val="single" w:sz="4" w:space="0" w:color="00000A"/>
              <w:left w:val="single" w:sz="4" w:space="0" w:color="000001"/>
              <w:bottom w:val="single" w:sz="4" w:space="0" w:color="00000A"/>
              <w:right w:val="single" w:sz="8" w:space="0" w:color="000001"/>
            </w:tcBorders>
            <w:shd w:val="clear" w:color="auto" w:fill="E6D3C5" w:themeFill="accent6" w:themeFillTint="33"/>
            <w:tcMar>
              <w:left w:w="45" w:type="dxa"/>
            </w:tcMar>
            <w:vAlign w:val="center"/>
          </w:tcPr>
          <w:p w14:paraId="03D5F3B1" w14:textId="77777777" w:rsidR="00A84DD9" w:rsidRDefault="00A84DD9" w:rsidP="006956FA">
            <w:pPr>
              <w:jc w:val="left"/>
              <w:rPr>
                <w:sz w:val="16"/>
                <w:szCs w:val="16"/>
              </w:rPr>
            </w:pPr>
          </w:p>
        </w:tc>
        <w:tc>
          <w:tcPr>
            <w:tcW w:w="1266" w:type="dxa"/>
            <w:tcBorders>
              <w:top w:val="single" w:sz="4" w:space="0" w:color="00000A"/>
              <w:left w:val="single" w:sz="4" w:space="0" w:color="000001"/>
              <w:bottom w:val="single" w:sz="4" w:space="0" w:color="00000A"/>
              <w:right w:val="single" w:sz="4" w:space="0" w:color="000001"/>
            </w:tcBorders>
            <w:shd w:val="clear" w:color="auto" w:fill="auto"/>
            <w:tcMar>
              <w:left w:w="55" w:type="dxa"/>
            </w:tcMar>
          </w:tcPr>
          <w:p w14:paraId="41F28B44" w14:textId="77777777" w:rsidR="00A84DD9" w:rsidRDefault="00A84DD9" w:rsidP="006956FA">
            <w:pPr>
              <w:jc w:val="left"/>
              <w:rPr>
                <w:sz w:val="16"/>
                <w:szCs w:val="16"/>
              </w:rPr>
            </w:pPr>
            <w:r>
              <w:rPr>
                <w:sz w:val="16"/>
                <w:szCs w:val="16"/>
              </w:rPr>
              <w:t> </w:t>
            </w:r>
          </w:p>
        </w:tc>
        <w:tc>
          <w:tcPr>
            <w:tcW w:w="2517" w:type="dxa"/>
            <w:tcBorders>
              <w:top w:val="single" w:sz="4" w:space="0" w:color="00000A"/>
              <w:left w:val="single" w:sz="4" w:space="0" w:color="000001"/>
              <w:bottom w:val="single" w:sz="4" w:space="0" w:color="00000A"/>
              <w:right w:val="single" w:sz="4" w:space="0" w:color="000001"/>
            </w:tcBorders>
            <w:shd w:val="clear" w:color="auto" w:fill="E6D3C5" w:themeFill="accent6" w:themeFillTint="33"/>
            <w:tcMar>
              <w:left w:w="55" w:type="dxa"/>
            </w:tcMar>
          </w:tcPr>
          <w:p w14:paraId="10D591DD" w14:textId="77777777" w:rsidR="00A84DD9" w:rsidRDefault="00A84DD9" w:rsidP="006956FA">
            <w:pPr>
              <w:jc w:val="left"/>
              <w:rPr>
                <w:sz w:val="16"/>
                <w:szCs w:val="16"/>
              </w:rPr>
            </w:pPr>
            <w:r>
              <w:rPr>
                <w:sz w:val="16"/>
                <w:szCs w:val="16"/>
              </w:rPr>
              <w:t>Développement de véhicules à faible émissions potentiellement transférables dans les pays en développement</w:t>
            </w:r>
          </w:p>
        </w:tc>
        <w:tc>
          <w:tcPr>
            <w:tcW w:w="2007" w:type="dxa"/>
            <w:tcBorders>
              <w:top w:val="single" w:sz="4" w:space="0" w:color="00000A"/>
              <w:left w:val="single" w:sz="8" w:space="0" w:color="000001"/>
              <w:bottom w:val="single" w:sz="4" w:space="0" w:color="00000A"/>
              <w:right w:val="single" w:sz="8" w:space="0" w:color="000001"/>
            </w:tcBorders>
            <w:shd w:val="clear" w:color="auto" w:fill="E6D3C5" w:themeFill="accent6" w:themeFillTint="33"/>
            <w:tcMar>
              <w:left w:w="40" w:type="dxa"/>
            </w:tcMar>
          </w:tcPr>
          <w:p w14:paraId="6C497CCF" w14:textId="77777777" w:rsidR="00A84DD9" w:rsidRDefault="00A84DD9" w:rsidP="006956FA">
            <w:pPr>
              <w:jc w:val="left"/>
              <w:rPr>
                <w:sz w:val="16"/>
                <w:szCs w:val="16"/>
              </w:rPr>
            </w:pPr>
            <w:r>
              <w:rPr>
                <w:sz w:val="16"/>
                <w:szCs w:val="16"/>
              </w:rPr>
              <w:t xml:space="preserve">Effet de diminution de la demande en énergies fossiles et potentielle moindre tension sur leur prix </w:t>
            </w:r>
          </w:p>
        </w:tc>
      </w:tr>
    </w:tbl>
    <w:p w14:paraId="17C4101B" w14:textId="77777777" w:rsidR="00A84DD9" w:rsidRDefault="00A84DD9">
      <w:pPr>
        <w:spacing w:line="240" w:lineRule="atLeast"/>
        <w:jc w:val="left"/>
        <w:rPr>
          <w:rFonts w:eastAsiaTheme="majorEastAsia" w:cstheme="majorBidi"/>
          <w:bCs/>
          <w:spacing w:val="-10"/>
          <w:kern w:val="28"/>
          <w:sz w:val="48"/>
          <w:szCs w:val="56"/>
        </w:rPr>
      </w:pPr>
      <w:r>
        <w:br w:type="page"/>
      </w:r>
    </w:p>
    <w:p w14:paraId="60E29C09" w14:textId="620C952F" w:rsidR="0051771F" w:rsidRDefault="0051771F" w:rsidP="00A5513E">
      <w:pPr>
        <w:pStyle w:val="Titre1Niveau1"/>
        <w:ind w:left="0" w:right="27"/>
      </w:pPr>
      <w:bookmarkStart w:id="481" w:name="_Toc138342015"/>
      <w:r w:rsidRPr="005D5AA6">
        <w:t xml:space="preserve">Chapitre </w:t>
      </w:r>
      <w:r>
        <w:t>V</w:t>
      </w:r>
      <w:r w:rsidR="00C654BE">
        <w:t xml:space="preserve"> – </w:t>
      </w:r>
      <w:r>
        <w:t>Projection</w:t>
      </w:r>
      <w:r w:rsidR="00C654BE">
        <w:t xml:space="preserve">s </w:t>
      </w:r>
      <w:r>
        <w:t>d’émissions de GES et quantification de l’impact des politiques et mesures</w:t>
      </w:r>
      <w:bookmarkEnd w:id="481"/>
    </w:p>
    <w:p w14:paraId="312B1609" w14:textId="77777777" w:rsidR="001021CB" w:rsidRDefault="001021CB" w:rsidP="003F57EA">
      <w:pPr>
        <w:pStyle w:val="Titre2Niveau2"/>
        <w:numPr>
          <w:ilvl w:val="0"/>
          <w:numId w:val="78"/>
        </w:numPr>
      </w:pPr>
      <w:bookmarkStart w:id="482" w:name="_Toc121215525"/>
      <w:bookmarkStart w:id="483" w:name="_Toc138342016"/>
      <w:bookmarkEnd w:id="479"/>
      <w:r>
        <w:t>Projections</w:t>
      </w:r>
      <w:bookmarkEnd w:id="482"/>
      <w:bookmarkEnd w:id="483"/>
    </w:p>
    <w:p w14:paraId="5CF93574" w14:textId="77777777" w:rsidR="001021CB" w:rsidRPr="00F60E15" w:rsidRDefault="001021CB" w:rsidP="003F57EA">
      <w:pPr>
        <w:pStyle w:val="Titre3Niveau3"/>
        <w:numPr>
          <w:ilvl w:val="1"/>
          <w:numId w:val="78"/>
        </w:numPr>
      </w:pPr>
      <w:bookmarkStart w:id="484" w:name="_Toc138342017"/>
      <w:r>
        <w:t>Définition des scenarios</w:t>
      </w:r>
      <w:bookmarkStart w:id="485" w:name="_Toc121215527"/>
      <w:bookmarkEnd w:id="485"/>
      <w:bookmarkEnd w:id="484"/>
    </w:p>
    <w:p w14:paraId="5F848957" w14:textId="77777777" w:rsidR="001021CB" w:rsidRPr="00A014B7" w:rsidRDefault="001021CB" w:rsidP="003F57EA">
      <w:pPr>
        <w:pStyle w:val="titreencadre"/>
        <w:numPr>
          <w:ilvl w:val="3"/>
          <w:numId w:val="78"/>
        </w:numPr>
      </w:pPr>
      <w:r w:rsidRPr="00A014B7">
        <w:t>Scénario AME</w:t>
      </w:r>
    </w:p>
    <w:p w14:paraId="7A95C583" w14:textId="3B7FF3C4" w:rsidR="001021CB" w:rsidRPr="00AB325E" w:rsidRDefault="001B5E15" w:rsidP="001B5E15">
      <w:pPr>
        <w:rPr>
          <w:b/>
        </w:rPr>
      </w:pPr>
      <w:r>
        <w:t xml:space="preserve">Un scénario « avec mesures existantes » ou AME 2021, prenant en compte l’ensemble des politiques et mesures décidées et mises en œuvre jusqu’au 31 décembre 2019 a été construit en 2021. Ce scénario à l’horizon 2050 actualise le scénario AME 2018 en intégrant l’ensemble des politiques et mesures décidées et mises en œuvre entre le </w:t>
      </w:r>
      <w:r w:rsidR="006518EF" w:rsidRPr="009F4180">
        <w:t>1</w:t>
      </w:r>
      <w:r w:rsidR="006518EF" w:rsidRPr="007F47EF">
        <w:rPr>
          <w:vertAlign w:val="superscript"/>
        </w:rPr>
        <w:t>er</w:t>
      </w:r>
      <w:r>
        <w:t xml:space="preserve"> juillet 2017 et le 31 décembre 2019.</w:t>
      </w:r>
      <w:r w:rsidR="00AA4016">
        <w:t xml:space="preserve"> </w:t>
      </w:r>
      <w:r w:rsidR="00B978DC">
        <w:t>L’approche générale du scénario AME est de considérer qu’aucune nouvelle mesure n’est prise à partir d’une certaine date, et que les mesures existantes prennent fin sauf si une trajectoire de financement a été actée dans un document de politique publique. C’est donc un scénario tendanciel qui donne une vision conservatrice de l’évolution des émissions au regard des mesures actuelles.</w:t>
      </w:r>
      <w:r w:rsidR="00FE4D17">
        <w:t xml:space="preserve"> </w:t>
      </w:r>
      <w:r w:rsidRPr="00EF3365">
        <w:t>Une synthèse de ce scénario</w:t>
      </w:r>
      <w:r>
        <w:t>,</w:t>
      </w:r>
      <w:r w:rsidRPr="00EF3365">
        <w:t xml:space="preserve"> rédigée en français</w:t>
      </w:r>
      <w:r>
        <w:t>,</w:t>
      </w:r>
      <w:r w:rsidRPr="00EF3365">
        <w:t xml:space="preserve"> </w:t>
      </w:r>
      <w:r>
        <w:t>est disponible</w:t>
      </w:r>
      <w:r w:rsidRPr="00EF3365">
        <w:t xml:space="preserve"> sur le site du Ministère de la Transition Energétique</w:t>
      </w:r>
      <w:r>
        <w:rPr>
          <w:rStyle w:val="FootnoteReference"/>
        </w:rPr>
        <w:footnoteReference w:id="54"/>
      </w:r>
      <w:r>
        <w:rPr>
          <w:rFonts w:ascii="Times New Roman" w:hAnsi="Times New Roman"/>
          <w:color w:val="000000"/>
        </w:rPr>
        <w:t>.</w:t>
      </w:r>
    </w:p>
    <w:p w14:paraId="5EC73CE8" w14:textId="77777777" w:rsidR="001021CB" w:rsidRPr="00E32310" w:rsidRDefault="001021CB" w:rsidP="003F57EA">
      <w:pPr>
        <w:pStyle w:val="titreencadre"/>
        <w:numPr>
          <w:ilvl w:val="3"/>
          <w:numId w:val="78"/>
        </w:numPr>
      </w:pPr>
      <w:r w:rsidRPr="00E32310">
        <w:t>Scénario AMS</w:t>
      </w:r>
    </w:p>
    <w:p w14:paraId="45885974" w14:textId="2D578931" w:rsidR="001B5E15" w:rsidRDefault="001B5E15" w:rsidP="001B5E15">
      <w:r>
        <w:t>La France a conduit un large exercice de scénarisation prospective à l’horizon 2050, entre avril 2017 et mars 2018. Le précédent exercice avait été mené jusqu’à l’horizon 2035. Un scénario « avec mesures supplémentaires » ou AMS 2018 a alors été construit. Il matérialise pour la France une manière d’atteindre ses objectifs de long-terme, notamment la neutralité carbone sur son territoire national en 2050.</w:t>
      </w:r>
      <w:r w:rsidR="00833C38">
        <w:t xml:space="preserve"> Ce scénario avait déjà été rapporté dans le 4</w:t>
      </w:r>
      <w:r w:rsidR="00833C38" w:rsidRPr="00833C38">
        <w:rPr>
          <w:vertAlign w:val="superscript"/>
        </w:rPr>
        <w:t>e</w:t>
      </w:r>
      <w:r w:rsidR="00833C38">
        <w:t xml:space="preserve"> rapport bisannuel de la France dans une version préliminaire. Ce même scénario dans sa version finalisée est communiqué dans le présent rapport, même si les différences sont minimes et principalement dues à des raisons méthodologiques (calage sur le l’inventaire de 2018). C’est notamment cette version du scénario qui a été utilisée pour établir les budgets carbone.</w:t>
      </w:r>
    </w:p>
    <w:p w14:paraId="5DB9134D" w14:textId="51739286" w:rsidR="00FE4D17" w:rsidRDefault="00FE4D17" w:rsidP="001B5E15"/>
    <w:p w14:paraId="0DB1C0AC" w14:textId="283D07F7" w:rsidR="00833C38" w:rsidRDefault="00833C38" w:rsidP="001B5E15">
      <w:r>
        <w:t xml:space="preserve">Pas de scénario « sans mesures » </w:t>
      </w:r>
      <w:r w:rsidR="00AA4016">
        <w:t>n’a été produit. En effet, étant donné l’architecture de modélisation utilisée, cela aurait représenté un investissement très important, sans pour autant apporter d’éléments additionels utiles à la prise de décision comparé au scénario AME.</w:t>
      </w:r>
    </w:p>
    <w:p w14:paraId="1B935A67" w14:textId="77777777" w:rsidR="001B5E15" w:rsidRDefault="001B5E15" w:rsidP="001B5E15"/>
    <w:p w14:paraId="1ADC9C12" w14:textId="32B64BF3" w:rsidR="001B5E15" w:rsidRDefault="001B5E15" w:rsidP="001B5E15">
      <w:r>
        <w:t xml:space="preserve">Des mesures supplémentaires par rapport au scénario AME sont incluses dans ce scénario. Le scénario AMS intègre en effet les mesures complémentaires adoptées depuis le </w:t>
      </w:r>
      <w:r w:rsidR="006518EF" w:rsidRPr="009F4180">
        <w:t>1</w:t>
      </w:r>
      <w:r w:rsidR="006518EF" w:rsidRPr="007F47EF">
        <w:rPr>
          <w:vertAlign w:val="superscript"/>
        </w:rPr>
        <w:t>er</w:t>
      </w:r>
      <w:r>
        <w:t xml:space="preserve"> juillet 2017 (dont certaines sont comprises dans le scénario AME 2021), un renforcement et un prolongement des mesures existantes et la prise en compte des orientations actées dans le cadre de la Stratégie Nationale Bas Carbone et de la Programmation Pluriannuelle de l’énergie. </w:t>
      </w:r>
      <w:r w:rsidR="00B978DC">
        <w:t xml:space="preserve">Comme l’AMS n’est mis à jour que tous les 4/5 ans, et l’AME tous les deux ans, le présent scénario AME 2021 inclut certaines des mesures qui avait été introduites comme « supplémentaires » dans l’AMS 2018 (par exemple le décret tertiaire, la fermeture des centrales à charbon, ou encore le règlement européen sur les émissions de CO2 des véhicules). Toutefois, ce recouvrement est assez limité, et l’AMS contient un nombre nettement plus important de politiques et mesures, avec d’une part des mesures qui sont maintenues voire étendues jusqu’à 2050 (ex. CEE, Fonds Chaleur, MaPrimeRénov…), et de l’autre des mesures additionnelles qui n’ont pas encore été adoptées (ex. soutien au report modal dans les transports, renforcement de la régulation pour la construction neuve, etc). </w:t>
      </w:r>
      <w:r w:rsidR="007255D5">
        <w:t>Les sections suivantes détaillent plus avant les politiques et mesures intégrées dans chacun des scénarios.</w:t>
      </w:r>
    </w:p>
    <w:p w14:paraId="36CFF1ED" w14:textId="77777777" w:rsidR="001B5E15" w:rsidRDefault="001B5E15" w:rsidP="001B5E15"/>
    <w:p w14:paraId="1C5C2BB8" w14:textId="1F73C16B" w:rsidR="001B5E15" w:rsidRDefault="001B5E15" w:rsidP="001B5E15">
      <w:r>
        <w:t>Ce scénario a été défini dans le cadre des travaux de concertation de la 2</w:t>
      </w:r>
      <w:r w:rsidRPr="003775A8">
        <w:rPr>
          <w:vertAlign w:val="superscript"/>
        </w:rPr>
        <w:t>e</w:t>
      </w:r>
      <w:r>
        <w:t xml:space="preserve"> Stratégie Nationale Bas Carbone. Les hypothèses ont été élaborées dans le cadre des groupes techniques d’échanges avec les parties prenantes et présentées au Comité d’Information et d’Orientation de la SNBC. Le scénario AMS constitue le scénario de référence de la stratégie française pour l’énergie et le climat. Les deux documents de planification ou de stratégie nationaux que sont la Programmation Pluriannuelle de l’Energie (PPE) et la Stratégie Nationale Bas Carbone (SNBC) sont basés sur ce scénario, tout comme le Plan National Intégré Energie Climat (PNIEC) que la France a soumis à l’Union Européenne en 2019. </w:t>
      </w:r>
      <w:r w:rsidRPr="003775A8">
        <w:t>Une synthèse de ce scénario a été rédigée en français et peut-être trouvée sur le site du Ministère de la Transition Energétique</w:t>
      </w:r>
      <w:r>
        <w:rPr>
          <w:rStyle w:val="FootnoteReference"/>
          <w:rFonts w:ascii="Times New Roman" w:eastAsiaTheme="majorEastAsia" w:hAnsi="Times New Roman"/>
          <w:color w:val="000000"/>
          <w:szCs w:val="22"/>
        </w:rPr>
        <w:footnoteReference w:id="55"/>
      </w:r>
      <w:r>
        <w:rPr>
          <w:rFonts w:ascii="Times New Roman" w:hAnsi="Times New Roman"/>
          <w:color w:val="000000"/>
        </w:rPr>
        <w:t>.</w:t>
      </w:r>
    </w:p>
    <w:p w14:paraId="78FFF8F4" w14:textId="77777777" w:rsidR="001B5E15" w:rsidRDefault="001B5E15" w:rsidP="001B5E15"/>
    <w:p w14:paraId="72AEA6A5" w14:textId="50CD8F51" w:rsidR="001021CB" w:rsidRDefault="001B5E15" w:rsidP="001B5E15">
      <w:r>
        <w:t>L’ensemble des politiques et mesures présentées au chapitre 4 et signalées par un astérisque (*) ont ainsi été intégrées.</w:t>
      </w:r>
    </w:p>
    <w:p w14:paraId="313C060C" w14:textId="77777777" w:rsidR="001021CB" w:rsidRDefault="001021CB" w:rsidP="003F57EA">
      <w:pPr>
        <w:pStyle w:val="Titre4niveau4"/>
        <w:numPr>
          <w:ilvl w:val="2"/>
          <w:numId w:val="78"/>
        </w:numPr>
      </w:pPr>
      <w:r>
        <w:t>Fiscalité carbone (transversal)</w:t>
      </w:r>
    </w:p>
    <w:p w14:paraId="66C0C8CF" w14:textId="77777777" w:rsidR="001021CB" w:rsidRDefault="001021CB" w:rsidP="003F57EA">
      <w:pPr>
        <w:pStyle w:val="titreencadre"/>
        <w:numPr>
          <w:ilvl w:val="3"/>
          <w:numId w:val="78"/>
        </w:numPr>
      </w:pPr>
      <w:r>
        <w:t>AME 2021</w:t>
      </w:r>
    </w:p>
    <w:p w14:paraId="0CE48DDC" w14:textId="3AD7A5F8" w:rsidR="001021CB" w:rsidRDefault="001B5E15" w:rsidP="001B5E15">
      <w:r w:rsidRPr="00262B24">
        <w:t>Les hypothèses sur la fiscalité carbone ont été modifiées. Pour les secteurs hors ETS en particulier, le dernier scénario AME intégrait la même composante carbone sur les taxes intérieures de consommation énergétiques avec une valeur de 14,5€/t</w:t>
      </w:r>
      <w:r w:rsidR="007F09F7">
        <w:t>CO</w:t>
      </w:r>
      <w:r w:rsidR="007F09F7" w:rsidRPr="007F09F7">
        <w:rPr>
          <w:vertAlign w:val="subscript"/>
        </w:rPr>
        <w:t>2</w:t>
      </w:r>
      <w:r w:rsidRPr="00262B24">
        <w:t xml:space="preserve"> en 2015, 22€/t</w:t>
      </w:r>
      <w:r w:rsidR="007F09F7">
        <w:t>CO</w:t>
      </w:r>
      <w:r w:rsidR="007F09F7" w:rsidRPr="007F09F7">
        <w:rPr>
          <w:vertAlign w:val="subscript"/>
        </w:rPr>
        <w:t>2</w:t>
      </w:r>
      <w:r w:rsidRPr="00262B24">
        <w:t xml:space="preserve"> en 2016, 30,5€/t</w:t>
      </w:r>
      <w:r w:rsidR="007F09F7">
        <w:t>CO</w:t>
      </w:r>
      <w:r w:rsidR="007F09F7" w:rsidRPr="007F09F7">
        <w:rPr>
          <w:vertAlign w:val="subscript"/>
        </w:rPr>
        <w:t>2</w:t>
      </w:r>
      <w:r w:rsidRPr="00262B24">
        <w:t xml:space="preserve"> en 2017, 39€/t</w:t>
      </w:r>
      <w:r w:rsidR="007F09F7">
        <w:t>CO</w:t>
      </w:r>
      <w:r w:rsidR="007F09F7" w:rsidRPr="007F09F7">
        <w:rPr>
          <w:vertAlign w:val="subscript"/>
        </w:rPr>
        <w:t>2</w:t>
      </w:r>
      <w:r w:rsidRPr="00262B24">
        <w:t xml:space="preserve"> en 2018, 47,5€/t</w:t>
      </w:r>
      <w:r w:rsidR="007F09F7">
        <w:t>CO</w:t>
      </w:r>
      <w:r w:rsidR="007F09F7" w:rsidRPr="007F09F7">
        <w:rPr>
          <w:vertAlign w:val="subscript"/>
        </w:rPr>
        <w:t>2</w:t>
      </w:r>
      <w:r w:rsidRPr="00262B24">
        <w:t xml:space="preserve"> en 2019, 56€/t</w:t>
      </w:r>
      <w:r w:rsidR="007F09F7">
        <w:t>CO</w:t>
      </w:r>
      <w:r w:rsidR="007F09F7" w:rsidRPr="007F09F7">
        <w:rPr>
          <w:vertAlign w:val="subscript"/>
        </w:rPr>
        <w:t>2</w:t>
      </w:r>
      <w:r w:rsidRPr="00262B24">
        <w:t xml:space="preserve"> en 2020 puis une croissance linéaire jusqu’à 100€/t</w:t>
      </w:r>
      <w:r w:rsidR="007F09F7">
        <w:t>CO</w:t>
      </w:r>
      <w:r w:rsidR="007F09F7" w:rsidRPr="007F09F7">
        <w:rPr>
          <w:vertAlign w:val="subscript"/>
        </w:rPr>
        <w:t>2</w:t>
      </w:r>
      <w:r w:rsidRPr="00262B24">
        <w:t>. Le scénario AME 2021 intègre quant à lui le gel de la TICPE décidé fin 2018, et fait l’hypothèse de son maintien au niveau actuel, soit 44,6€/t</w:t>
      </w:r>
      <w:r w:rsidR="007F09F7">
        <w:t>CO</w:t>
      </w:r>
      <w:r w:rsidR="007F09F7" w:rsidRPr="007F09F7">
        <w:rPr>
          <w:vertAlign w:val="subscript"/>
        </w:rPr>
        <w:t>2</w:t>
      </w:r>
      <w:r w:rsidRPr="00262B24">
        <w:t>, jusqu’en 2050.</w:t>
      </w:r>
    </w:p>
    <w:p w14:paraId="3722F089" w14:textId="77777777" w:rsidR="001021CB" w:rsidRDefault="001021CB" w:rsidP="003F57EA">
      <w:pPr>
        <w:pStyle w:val="titreencadre"/>
        <w:numPr>
          <w:ilvl w:val="3"/>
          <w:numId w:val="78"/>
        </w:numPr>
      </w:pPr>
      <w:r>
        <w:t>AMS 2018</w:t>
      </w:r>
    </w:p>
    <w:p w14:paraId="527299C6" w14:textId="6A235B30" w:rsidR="001021CB" w:rsidRDefault="001021CB" w:rsidP="001021CB">
      <w:pPr>
        <w:spacing w:before="240" w:after="240"/>
      </w:pPr>
      <w:r w:rsidRPr="00082F40">
        <w:t>Le scénario AMS 2018 prend en compte la décision de geler la hausse de la composante carbone à la fin de l’année 2018. La composante carbone est donc modélisée avec une trajectoire stable à compter de 2018 à 44,6€/t</w:t>
      </w:r>
      <w:r w:rsidR="007F09F7">
        <w:t>CO</w:t>
      </w:r>
      <w:r w:rsidR="007F09F7" w:rsidRPr="007F09F7">
        <w:rPr>
          <w:vertAlign w:val="subscript"/>
        </w:rPr>
        <w:t>2</w:t>
      </w:r>
      <w:r w:rsidRPr="00082F40">
        <w:t>.</w:t>
      </w:r>
    </w:p>
    <w:p w14:paraId="11823140" w14:textId="77777777" w:rsidR="001021CB" w:rsidRPr="00F23340" w:rsidRDefault="001021CB" w:rsidP="003F57EA">
      <w:pPr>
        <w:pStyle w:val="Titre4niveau4"/>
        <w:numPr>
          <w:ilvl w:val="2"/>
          <w:numId w:val="78"/>
        </w:numPr>
      </w:pPr>
      <w:r w:rsidRPr="00F23340">
        <w:t xml:space="preserve">Certificats d’économie d’énergie (transversal) </w:t>
      </w:r>
    </w:p>
    <w:p w14:paraId="4AA82271" w14:textId="77777777" w:rsidR="001021CB" w:rsidRDefault="001021CB" w:rsidP="003F57EA">
      <w:pPr>
        <w:pStyle w:val="titreencadre"/>
        <w:numPr>
          <w:ilvl w:val="3"/>
          <w:numId w:val="78"/>
        </w:numPr>
      </w:pPr>
      <w:r>
        <w:t>AME 2021</w:t>
      </w:r>
    </w:p>
    <w:p w14:paraId="2F3E19C0" w14:textId="77777777" w:rsidR="001021CB" w:rsidRDefault="001021CB" w:rsidP="001021CB">
      <w:pPr>
        <w:spacing w:before="240" w:after="240"/>
      </w:pPr>
      <w:r w:rsidRPr="00262B24">
        <w:t>Le scénario AME 2021 intègre la prolongation de la 4</w:t>
      </w:r>
      <w:r w:rsidRPr="00AB325E">
        <w:rPr>
          <w:vertAlign w:val="superscript"/>
        </w:rPr>
        <w:t>e</w:t>
      </w:r>
      <w:r>
        <w:t xml:space="preserve"> </w:t>
      </w:r>
      <w:r w:rsidRPr="00262B24">
        <w:t>période du dispositif des certificats d’économie d’énergie jusqu’au 31/12/2021 avec un objectif indiqué de 2133 TWh cumac sur la période 2018-2021. La valeur du CEE est fixée à 6 €/MWh cumac (contre 3€/MWh dans le précédent AME) pour cette période reflétant la hausse des prix observée depuis 2018.</w:t>
      </w:r>
      <w:r w:rsidRPr="00F23340">
        <w:t xml:space="preserve"> </w:t>
      </w:r>
    </w:p>
    <w:p w14:paraId="7C6EA646" w14:textId="77777777" w:rsidR="001021CB" w:rsidRDefault="001021CB" w:rsidP="003F57EA">
      <w:pPr>
        <w:pStyle w:val="titreencadre"/>
        <w:numPr>
          <w:ilvl w:val="3"/>
          <w:numId w:val="78"/>
        </w:numPr>
      </w:pPr>
      <w:r>
        <w:t>AMS 2018</w:t>
      </w:r>
    </w:p>
    <w:p w14:paraId="3BEDCF3B" w14:textId="77777777" w:rsidR="001021CB" w:rsidRPr="00F23340" w:rsidRDefault="001021CB" w:rsidP="001021CB">
      <w:pPr>
        <w:spacing w:before="240" w:after="240"/>
      </w:pPr>
      <w:r w:rsidRPr="00BE01AD">
        <w:t>Le dispositif des certificats d’économie d’énergie est prolongé jusqu’en 2050. La valeur du CEE augmente progressivement de 3 €/MWh Cumac en début de période jusqu’à 20 €/MWh Cumac en 2050.</w:t>
      </w:r>
    </w:p>
    <w:p w14:paraId="2D33D164" w14:textId="77777777" w:rsidR="001021CB" w:rsidRPr="00F23340" w:rsidRDefault="001021CB" w:rsidP="003F57EA">
      <w:pPr>
        <w:pStyle w:val="Titre4niveau4"/>
        <w:numPr>
          <w:ilvl w:val="2"/>
          <w:numId w:val="78"/>
        </w:numPr>
      </w:pPr>
      <w:r w:rsidRPr="00F23340">
        <w:t xml:space="preserve">Énergies renouvelables </w:t>
      </w:r>
    </w:p>
    <w:p w14:paraId="37F4C3B1" w14:textId="77777777" w:rsidR="001021CB" w:rsidRDefault="001021CB" w:rsidP="003F57EA">
      <w:pPr>
        <w:pStyle w:val="titreencadre"/>
        <w:numPr>
          <w:ilvl w:val="3"/>
          <w:numId w:val="78"/>
        </w:numPr>
      </w:pPr>
      <w:r>
        <w:t>AME 2021</w:t>
      </w:r>
    </w:p>
    <w:p w14:paraId="44043963" w14:textId="7E4E5D6A" w:rsidR="001021CB" w:rsidRDefault="001021CB" w:rsidP="001021CB">
      <w:pPr>
        <w:spacing w:before="240" w:after="240"/>
      </w:pPr>
      <w:r w:rsidRPr="00262B24">
        <w:t>Le fonds chaleur est prolongé jusqu’en 2021 et arrêté au-delà. Les biocarburants sont incorporés à hauteur de 7,9% pour l’essence et 7,3% pour le gazole en 2015 et reste stable sur la période. Les énergies renouvelables électriques sont supposées se développer au rythme actuel.</w:t>
      </w:r>
      <w:r w:rsidR="00260E0B">
        <w:t xml:space="preserve"> </w:t>
      </w:r>
    </w:p>
    <w:p w14:paraId="711A6DDE" w14:textId="77777777" w:rsidR="001021CB" w:rsidRDefault="001021CB" w:rsidP="003F57EA">
      <w:pPr>
        <w:pStyle w:val="titreencadre"/>
        <w:numPr>
          <w:ilvl w:val="3"/>
          <w:numId w:val="78"/>
        </w:numPr>
      </w:pPr>
      <w:r>
        <w:t>AMS 2018</w:t>
      </w:r>
    </w:p>
    <w:p w14:paraId="1DF5D4DD" w14:textId="77777777" w:rsidR="001021CB" w:rsidRPr="00F23340" w:rsidRDefault="001021CB" w:rsidP="001021CB">
      <w:pPr>
        <w:spacing w:before="240" w:after="240"/>
      </w:pPr>
      <w:r w:rsidRPr="00BE01AD">
        <w:t>Le fonds chaleur est prolongé jusqu’en 2050. Les biocarburants sont incorporés à hauteur de 7,5% pour l’essence et pour le gazole en 2015, le taux augmente jusqu’à 10,6% en 2030 puis 100% en 2050. Les énergies renouvelables électriques sont supposées se développer plus rapidement que dans le scénario AME.</w:t>
      </w:r>
    </w:p>
    <w:p w14:paraId="7AF3D575" w14:textId="77777777" w:rsidR="001021CB" w:rsidRDefault="001021CB" w:rsidP="003F57EA">
      <w:pPr>
        <w:pStyle w:val="Titre4niveau4"/>
        <w:numPr>
          <w:ilvl w:val="2"/>
          <w:numId w:val="78"/>
        </w:numPr>
      </w:pPr>
      <w:r>
        <w:t>Transports</w:t>
      </w:r>
    </w:p>
    <w:p w14:paraId="7750EC07" w14:textId="77777777" w:rsidR="001021CB" w:rsidRDefault="001021CB" w:rsidP="003F57EA">
      <w:pPr>
        <w:pStyle w:val="titreencadre"/>
        <w:numPr>
          <w:ilvl w:val="3"/>
          <w:numId w:val="78"/>
        </w:numPr>
      </w:pPr>
      <w:r>
        <w:t>AME 2021</w:t>
      </w:r>
    </w:p>
    <w:p w14:paraId="4A282996" w14:textId="77777777" w:rsidR="001B5E15" w:rsidRDefault="001B5E15" w:rsidP="001B5E15">
      <w:r>
        <w:t xml:space="preserve">L’AME 2021 intègre notamment pour ce secteur : les règlements européens sur les véhicules de 2019, les mesures de la Loi d’Orientation des Mobilités (LOM), les mesures fiscales prises avant fin 2019. </w:t>
      </w:r>
    </w:p>
    <w:p w14:paraId="01D0427A" w14:textId="77777777" w:rsidR="001B5E15" w:rsidRDefault="001B5E15" w:rsidP="001B5E15"/>
    <w:p w14:paraId="2D92F3C6" w14:textId="1F62A99D" w:rsidR="001B5E15" w:rsidRDefault="001B5E15" w:rsidP="001B5E15">
      <w:r>
        <w:t>Pour les parcs de véhicules</w:t>
      </w:r>
      <w:r w:rsidRPr="003775A8">
        <w:t xml:space="preserve">, le scénario intègre les </w:t>
      </w:r>
      <w:r>
        <w:t>règlements européens de 2019 fixant des objectifs de réduction d’émissions pour les véhicules neufs vendus à horizon 2030 par rapport à 2021 pour les VP (-37,5%), les VUL (-31%) et les PL (-30%). Le scénario intègre également les mesures nationales relatives aux véhicules</w:t>
      </w:r>
      <w:r w:rsidRPr="003775A8">
        <w:t xml:space="preserve"> notamment </w:t>
      </w:r>
      <w:r>
        <w:t>l’ensemble des mesures fiscales décidées avant 2020 (bonus-malus, prime à la conversion, taxe sur les véhicules de société, dispositif de suramortissement des véhicules lourds)</w:t>
      </w:r>
      <w:r w:rsidRPr="00502447">
        <w:rPr>
          <w:rFonts w:ascii="Calibri" w:hAnsi="Calibri" w:cs="Calibri"/>
        </w:rPr>
        <w:t> </w:t>
      </w:r>
      <w:r>
        <w:t>; le renforcement dans le cadre de la loi d’orientation des mobilités des objectifs d’intégration de véhicules à faibles émissions et l’extension de la mesure aux flottes d’entreprises de plus de 100 véhicules, y compris les loueurs de flotte</w:t>
      </w:r>
      <w:r w:rsidRPr="00502447">
        <w:rPr>
          <w:rFonts w:ascii="Calibri" w:hAnsi="Calibri" w:cs="Calibri"/>
        </w:rPr>
        <w:t> </w:t>
      </w:r>
      <w:r>
        <w:t>;</w:t>
      </w:r>
      <w:r w:rsidR="00260E0B">
        <w:t xml:space="preserve"> </w:t>
      </w:r>
      <w:r>
        <w:t>les dispositifs d’incitation à l’installation de bornes de recharges publiques et privées</w:t>
      </w:r>
      <w:r w:rsidRPr="00502447">
        <w:rPr>
          <w:rFonts w:ascii="Calibri" w:hAnsi="Calibri" w:cs="Calibri"/>
        </w:rPr>
        <w:t> </w:t>
      </w:r>
      <w:r>
        <w:t>; zones à faibles émissions. Dans la modélisation, les mesures relatives aux obligations d’intégration de véhicules à faibles émissions dans le renouvellement des flottes, les mesures fiscales incitatives, le développement des zones à faibles émissions et les mesures de développement des bornes de recharge sont considérées comme des mesures qui viennent conforter l’atteinte des objectifs européens mais sans effet additionnel.</w:t>
      </w:r>
    </w:p>
    <w:p w14:paraId="799EC846" w14:textId="77777777" w:rsidR="001B5E15" w:rsidRDefault="001B5E15" w:rsidP="001B5E15"/>
    <w:p w14:paraId="5B761200" w14:textId="60C50A5A" w:rsidR="001B5E15" w:rsidRDefault="001B5E15" w:rsidP="001B5E15">
      <w:r>
        <w:t>Pour les trafics</w:t>
      </w:r>
      <w:r w:rsidRPr="003775A8">
        <w:t>, l</w:t>
      </w:r>
      <w:r>
        <w:t>a modélisation intègre l’ensemble des mesures en faveur du vélo actées dans le cadre de la loi d’orientation des mobilités et du plan vélo, les mesures de renforcement des transports collectifs, les zones à faibles émissions. Pour l’aviation, le scénario intègre les dispositifs ETS et CORSIA. Un effet de saturation est pris en compte dans la modélisation pour le trafic international à partir de 2025 et jusqu’en 2050, à travers une réduction de l’élasticité du trafic par rapport au PIB de l’ordre de 25% à l’horizon 2050.</w:t>
      </w:r>
    </w:p>
    <w:p w14:paraId="022AFD09" w14:textId="77777777" w:rsidR="001B5E15" w:rsidRDefault="001B5E15" w:rsidP="001B5E15"/>
    <w:p w14:paraId="3D555564" w14:textId="5B9D6B7B" w:rsidR="001021CB" w:rsidRDefault="001B5E15" w:rsidP="001B5E15">
      <w:r>
        <w:t>Les trafics ont été modélisés aux points clés 2030 et 2050. Le point 2025 a fait l’objet d’une interpolation entre l’année 2018 et l’année 2030. La prise en compte de l’impact de la Covid-19 est faite d’une part à travers la chronique de PIB de la Commission qui intègre un effet Covid-19, ce qui se traduit sur les trafics y compris à moyen à terme, à travers l’impact du PIB dans les modèles</w:t>
      </w:r>
      <w:r w:rsidRPr="00502447">
        <w:rPr>
          <w:rFonts w:ascii="Calibri" w:hAnsi="Calibri" w:cs="Calibri"/>
        </w:rPr>
        <w:t> </w:t>
      </w:r>
      <w:r>
        <w:t>; d</w:t>
      </w:r>
      <w:r w:rsidRPr="00502447">
        <w:t>’</w:t>
      </w:r>
      <w:r>
        <w:t xml:space="preserve">autre part le point 2020 qui est </w:t>
      </w:r>
      <w:r w:rsidRPr="00502447">
        <w:t>é</w:t>
      </w:r>
      <w:r>
        <w:t>valu</w:t>
      </w:r>
      <w:r w:rsidRPr="00502447">
        <w:t>é</w:t>
      </w:r>
      <w:r>
        <w:t xml:space="preserve"> </w:t>
      </w:r>
      <w:r w:rsidRPr="00502447">
        <w:t>à</w:t>
      </w:r>
      <w:r>
        <w:t xml:space="preserve"> partir des donn</w:t>
      </w:r>
      <w:r w:rsidRPr="00502447">
        <w:t>é</w:t>
      </w:r>
      <w:r>
        <w:t>es de trafic provisoires connues au moment de l’élaboration des chroniques.</w:t>
      </w:r>
    </w:p>
    <w:p w14:paraId="0DB9BBE4" w14:textId="77777777" w:rsidR="001021CB" w:rsidRPr="009F56AE" w:rsidRDefault="001021CB" w:rsidP="003F57EA">
      <w:pPr>
        <w:pStyle w:val="titreencadre"/>
        <w:numPr>
          <w:ilvl w:val="3"/>
          <w:numId w:val="78"/>
        </w:numPr>
      </w:pPr>
      <w:r w:rsidRPr="009F56AE">
        <w:t>AMS 2018</w:t>
      </w:r>
    </w:p>
    <w:p w14:paraId="1BB2A49F" w14:textId="5A8C1F9A" w:rsidR="00512611" w:rsidRPr="003936EA" w:rsidRDefault="00512611" w:rsidP="00512611">
      <w:pPr>
        <w:spacing w:before="240" w:after="240"/>
        <w:rPr>
          <w:szCs w:val="22"/>
        </w:rPr>
      </w:pPr>
      <w:r w:rsidRPr="003936EA">
        <w:rPr>
          <w:szCs w:val="22"/>
        </w:rPr>
        <w:t>Le scénario AMS réalisé antérieurement à l’adoption des règlements de 2019 anticipait l’adoption de ces règlements et prévoyait un développement de véhicules à faibles émissions proche du scénario AME 21. Par ailleurs le scénario intègre un objectif de fin de vente des voitures et véhicules utilitaires légers neufs émettant des gaz à effet de serre en 2040. Le scénario prévoit ainsi l’électrification complète à terme du parc de voitures particulières, un fort développement de l’électrification pour les véhicules utilitaires légers ainsi qu’un mix énergétique plus diversifié pour les poids lourds incluant un développement de véhicules au GNV (Gaz Naturel Véhicule) avec développement du bio-GNV, de l’électrification y compris pile à combustible hydrogène. Le scénario intègre aussi de forts gains d’efficacité énergétique avec une consommation de 4 L/100 km en consommation réelle pour les voitures neuves en 2030. Le taux d’incorporation des biocarburants dans les carburants liquides et gazeux se développe jusqu’à atteindre 100% d’incorporation pour les transports terrestres en 2050.</w:t>
      </w:r>
    </w:p>
    <w:p w14:paraId="7E202436" w14:textId="7CC74554" w:rsidR="001021CB" w:rsidRPr="003936EA" w:rsidRDefault="00512611" w:rsidP="00512611">
      <w:pPr>
        <w:spacing w:before="240" w:after="240"/>
        <w:rPr>
          <w:szCs w:val="22"/>
        </w:rPr>
      </w:pPr>
      <w:r w:rsidRPr="003936EA">
        <w:rPr>
          <w:szCs w:val="22"/>
        </w:rPr>
        <w:t>Le scénario intègre des mesures renforcées sur la demande. La part modale du vélo est multipliée par 4 à horizon 2030, Le scénario intègre un report modal vers les transports collectifs de 3 points à horizon 2030 et 7 points à horizon 2050. Le scénario intègre aussi une hypothèse de maîtrise de la demande de mobilité avec une croissance inférieure à celle du scénario AME (télétravail, limitation de l’étalement urbain) ainsi qu’une croissance des taux d’occupation des véhicules.</w:t>
      </w:r>
    </w:p>
    <w:p w14:paraId="321A260D" w14:textId="77777777" w:rsidR="001021CB" w:rsidRPr="00F23340" w:rsidRDefault="001021CB" w:rsidP="003F57EA">
      <w:pPr>
        <w:pStyle w:val="Titre4niveau4"/>
        <w:numPr>
          <w:ilvl w:val="2"/>
          <w:numId w:val="78"/>
        </w:numPr>
      </w:pPr>
      <w:r w:rsidRPr="00F23340">
        <w:t xml:space="preserve">Bâtiments </w:t>
      </w:r>
    </w:p>
    <w:p w14:paraId="30329312" w14:textId="77777777" w:rsidR="001021CB" w:rsidRDefault="001021CB" w:rsidP="003F57EA">
      <w:pPr>
        <w:pStyle w:val="titreencadre"/>
        <w:numPr>
          <w:ilvl w:val="3"/>
          <w:numId w:val="78"/>
        </w:numPr>
      </w:pPr>
      <w:r>
        <w:t>AME 2021</w:t>
      </w:r>
    </w:p>
    <w:p w14:paraId="4B897385" w14:textId="77777777" w:rsidR="00512611" w:rsidRDefault="00512611" w:rsidP="00512611">
      <w:pPr>
        <w:spacing w:before="240" w:after="240"/>
      </w:pPr>
      <w:r>
        <w:t>Concernant la construction de bâtiments neufs, le scénario AME 2021 prend en compte la dernière réglementation en vigueur, à savoir la RT2012. Contrairement au scénario de 2018, l’expérimentation E+/C- n’a pas été intégrée à la modélisation car elle n’a finalement concerné qu’un nombre limité de logements.</w:t>
      </w:r>
    </w:p>
    <w:p w14:paraId="73218F01" w14:textId="77777777" w:rsidR="00512611" w:rsidRDefault="00512611" w:rsidP="00512611">
      <w:pPr>
        <w:spacing w:before="240" w:after="240"/>
      </w:pPr>
      <w:r>
        <w:t xml:space="preserve">Concernant la rénovation thermique des logements, le crédit d’impôt (nouvellement appelé MaPrimeRénov’), les subventions pour la rénovation thermique de logements de ménages précaires, l’éco PTZ (prêt à taux bonifié pour les particuliers) et éco-PLS (prêt à taux bonifié pour la rénovation des logements sociaux) sont prolongés jusque fin 2021. </w:t>
      </w:r>
    </w:p>
    <w:p w14:paraId="69780376" w14:textId="77777777" w:rsidR="00512611" w:rsidRDefault="00512611" w:rsidP="00512611">
      <w:pPr>
        <w:spacing w:before="240" w:after="240"/>
      </w:pPr>
      <w:r>
        <w:t xml:space="preserve">L’objectif de rénovation des passoires thermiques d’ici 2028, bien qu’adopté via la loi énergie climat de 2019, n’a quant à lui pas été intégré dans le scénario central du fait du faible nombre de mesures effectives permettant de l’atteindre. </w:t>
      </w:r>
    </w:p>
    <w:p w14:paraId="59004D5C" w14:textId="3C29A780" w:rsidR="001021CB" w:rsidRDefault="00512611" w:rsidP="00512611">
      <w:pPr>
        <w:spacing w:before="240" w:after="240"/>
      </w:pPr>
      <w:r>
        <w:t>Les mesures d’obligations de rénovations énergétiques lors de travaux importants dans le résidentiel comme le tertiaire, d’obligation d’audit énergétique dans les copropriétés, de renforcement de la réglementation thermique élément par élément et d’individualisation des frais de chauffage (déjà intégrées dans le précédent AME) ont été prises en compte.</w:t>
      </w:r>
    </w:p>
    <w:p w14:paraId="7BA4A9AB" w14:textId="77777777" w:rsidR="001021CB" w:rsidRDefault="001021CB" w:rsidP="003F57EA">
      <w:pPr>
        <w:pStyle w:val="titreencadre"/>
        <w:numPr>
          <w:ilvl w:val="3"/>
          <w:numId w:val="78"/>
        </w:numPr>
      </w:pPr>
      <w:r>
        <w:t>AMS 2018</w:t>
      </w:r>
    </w:p>
    <w:p w14:paraId="770E10DC" w14:textId="77777777" w:rsidR="001021CB" w:rsidRDefault="001021CB" w:rsidP="001021CB">
      <w:pPr>
        <w:spacing w:before="240" w:after="240"/>
      </w:pPr>
      <w:r>
        <w:t>Concernant la construction de bâtiments neufs, le scénario AMS prend en compte la dernière réglementation en vigueur, à savoir la RT2012 puis fait des hypothèses pour une réglementation de plus en plus ambitieuse sur la consommation d’énergie, la décarbonation du mix énergétique et le recours à des matériaux moins émetteurs de gaz à effet de serre, en particulier des matériaux biosourcés.</w:t>
      </w:r>
    </w:p>
    <w:p w14:paraId="71A9BEFB" w14:textId="77777777" w:rsidR="001021CB" w:rsidRDefault="001021CB" w:rsidP="001021CB">
      <w:pPr>
        <w:spacing w:before="240" w:after="240"/>
      </w:pPr>
      <w:r>
        <w:t>Concernant la rénovation thermique des logements, le crédit d’impôt, les subventions pour la rénovation thermique de logements de ménages précaires, l’éco-PTZ (prêt à taux bonifié pour les particuliers), l’éco-PLS (prêt à taux bonifié pour la rénovation des logements sociaux) sont prolongés jusqu’en 2050. Le scénario intègre aussi les mesures d’obligations de rénovations énergétiques lors de travaux importants (déjà intégrées dans le scénario AME) ainsi qu’un objectif de disparition des passoires thermiques (logements les plus consommateurs) dès 2030 présent dans la loi relative à l’énergie et au climat de 2019.</w:t>
      </w:r>
    </w:p>
    <w:p w14:paraId="18109527" w14:textId="77777777" w:rsidR="001021CB" w:rsidRDefault="001021CB" w:rsidP="003F57EA">
      <w:pPr>
        <w:pStyle w:val="Titre4niveau4"/>
        <w:numPr>
          <w:ilvl w:val="2"/>
          <w:numId w:val="78"/>
        </w:numPr>
      </w:pPr>
      <w:r>
        <w:t>Industrie</w:t>
      </w:r>
    </w:p>
    <w:p w14:paraId="4F36B748" w14:textId="77777777" w:rsidR="001021CB" w:rsidRDefault="001021CB" w:rsidP="003F57EA">
      <w:pPr>
        <w:pStyle w:val="titreencadre"/>
        <w:numPr>
          <w:ilvl w:val="3"/>
          <w:numId w:val="78"/>
        </w:numPr>
      </w:pPr>
      <w:r>
        <w:t>AME 2021</w:t>
      </w:r>
    </w:p>
    <w:p w14:paraId="01223541" w14:textId="77777777" w:rsidR="001021CB" w:rsidRDefault="001021CB" w:rsidP="001021CB">
      <w:pPr>
        <w:spacing w:before="240" w:after="240"/>
      </w:pPr>
      <w:r>
        <w:t>La production industrielle croît en lien avec le cadrage macro-économique (taux de croissance annuel moyen de la valeur ajoutée industrielle). Une amélioration tendancielle de l’efficacité énergétique des procédés soutenue par les obligations d’audits énergétiques et les certificats d’économie d’énergie est néanmoins représentée, ce qui contrebalance le premier effet et conduit à une consommation énergétique du secteur industriel quasiment stable entre 2015 et 2030.</w:t>
      </w:r>
    </w:p>
    <w:p w14:paraId="1861A7E7" w14:textId="77777777" w:rsidR="001021CB" w:rsidRDefault="001021CB" w:rsidP="003F57EA">
      <w:pPr>
        <w:pStyle w:val="titreencadre"/>
        <w:numPr>
          <w:ilvl w:val="3"/>
          <w:numId w:val="78"/>
        </w:numPr>
      </w:pPr>
      <w:r>
        <w:t>AMS 2018</w:t>
      </w:r>
    </w:p>
    <w:p w14:paraId="0C653BEE" w14:textId="2A306A5F" w:rsidR="00512611" w:rsidRDefault="00512611" w:rsidP="00512611">
      <w:pPr>
        <w:spacing w:before="240" w:after="240"/>
      </w:pPr>
      <w:r>
        <w:t>L’objectif de neutralité carbone impose de mobiliser l’ensemble des leviers disponibles de réduction des émissions. Le secteur industriel est concerné par les 4 grandes familles de leviers : réduction de la consommation énergétique, décarbonation de l’énergie, réduction des émissions non-énergétiques et augmentation du puits de carbone. Un 5</w:t>
      </w:r>
      <w:r w:rsidRPr="00512611">
        <w:rPr>
          <w:vertAlign w:val="superscript"/>
        </w:rPr>
        <w:t>e</w:t>
      </w:r>
      <w:r>
        <w:t xml:space="preserve"> levier peut également s’appliquer pour le secteur industriel : la diminution de l’intensité matière de l’économie (grâce à l’écoconception, le recyclage, etc.). Le scénario AMS (avec mesures supplémentaires) prévoit ainsi d’importants gains d’efficacité énergétique (entre -15</w:t>
      </w:r>
      <w:r w:rsidR="006518EF">
        <w:t>%</w:t>
      </w:r>
      <w:r>
        <w:t xml:space="preserve"> et -40</w:t>
      </w:r>
      <w:r w:rsidR="006518EF">
        <w:t>%</w:t>
      </w:r>
      <w:r>
        <w:t xml:space="preserve"> pour les consommations unitaires par rapport à 2015 selon les filières, qui ont des potentiels différents, et une récupération de 15 TWh de chaleur fatale) associée à une décarbonation du mix énergétique, avec une électrification du secteur à hauteur de 74</w:t>
      </w:r>
      <w:r w:rsidR="006518EF">
        <w:t>%</w:t>
      </w:r>
      <w:r>
        <w:t xml:space="preserve">, le reste des consommations reposant principalement sur le biogaz (12%) et la biomasse (12%). Dans ce scénario, des progrès sont également effectués sur les émissions non-énergétiques du secteur via une amélioration des procédés industriels (ex. ciment bas carbone) et une réduction forte des émissions de gaz fluorés via une substitution avec des fluides à faible potentiel de réchauffement. A plus long terme, le puits de carbone est renforcé via les technologies de capture et stockage du </w:t>
      </w:r>
      <w:r w:rsidR="007F09F7">
        <w:t>CO</w:t>
      </w:r>
      <w:r w:rsidR="007F09F7" w:rsidRPr="007F09F7">
        <w:rPr>
          <w:vertAlign w:val="subscript"/>
        </w:rPr>
        <w:t>2</w:t>
      </w:r>
      <w:r>
        <w:t xml:space="preserve"> (voir fiche dédiée à ce sujet).</w:t>
      </w:r>
    </w:p>
    <w:p w14:paraId="7572FF9D" w14:textId="7223D0D0" w:rsidR="001021CB" w:rsidRDefault="00512611" w:rsidP="00512611">
      <w:pPr>
        <w:spacing w:before="240" w:after="240"/>
      </w:pPr>
      <w:r>
        <w:t>Ces transformations adviennent principalement via le renforcement du SEQE-UE (EU-ETS), relevant progressivement le prix des quotas sur le marché, mais aussi via le maintien de la composante carbone dans les TIC, le fonds chaleur, les certificats d’économies d’énergie, les obligations d’audits énergétiques, les subventions à l’innovation dans le cadre du Programme d’Investissements d’Avenir (PIA) et les prêts de la BPI contribuent également à accélérer la transition dans l’industrie. D’autres mesures de soutien (par exemple le fonds d’innovation de l’EU ETS) faciliteront l’initiation des investissements nécessaires.</w:t>
      </w:r>
    </w:p>
    <w:p w14:paraId="57C5264D" w14:textId="77777777" w:rsidR="001021CB" w:rsidRDefault="001021CB" w:rsidP="003F57EA">
      <w:pPr>
        <w:pStyle w:val="Titre4niveau4"/>
        <w:numPr>
          <w:ilvl w:val="2"/>
          <w:numId w:val="78"/>
        </w:numPr>
      </w:pPr>
      <w:r>
        <w:t>Gaz fluorés</w:t>
      </w:r>
    </w:p>
    <w:p w14:paraId="415B4EBC" w14:textId="34BFA194" w:rsidR="001021CB" w:rsidRDefault="001021CB" w:rsidP="003F57EA">
      <w:pPr>
        <w:pStyle w:val="titreencadre"/>
        <w:numPr>
          <w:ilvl w:val="3"/>
          <w:numId w:val="78"/>
        </w:numPr>
      </w:pPr>
      <w:r>
        <w:t>AMS 2018 et AM</w:t>
      </w:r>
      <w:r w:rsidR="00594142">
        <w:t>E</w:t>
      </w:r>
      <w:r>
        <w:t xml:space="preserve"> 2021</w:t>
      </w:r>
    </w:p>
    <w:p w14:paraId="66E85850" w14:textId="77777777" w:rsidR="001021CB" w:rsidRDefault="001021CB" w:rsidP="001021CB">
      <w:pPr>
        <w:spacing w:before="240" w:after="240"/>
      </w:pPr>
      <w:r>
        <w:t xml:space="preserve">Le règlement 842/2006 (F-Gaz) relatif aux gaz à effet de serre fluorés et la Directive 2006/40/CE (climatisation automobile) et les règlements français en découlant (art. R 543-75 et suivants, R 543-99 Code de l’environnement) sont pris en compte. </w:t>
      </w:r>
    </w:p>
    <w:p w14:paraId="7A90E2FB" w14:textId="77777777" w:rsidR="001021CB" w:rsidRDefault="001021CB" w:rsidP="003F57EA">
      <w:pPr>
        <w:pStyle w:val="Titre4niveau4"/>
        <w:numPr>
          <w:ilvl w:val="2"/>
          <w:numId w:val="78"/>
        </w:numPr>
      </w:pPr>
      <w:r>
        <w:t>Agriculture et forêt</w:t>
      </w:r>
    </w:p>
    <w:p w14:paraId="2360A2EF" w14:textId="77777777" w:rsidR="001021CB" w:rsidRDefault="001021CB" w:rsidP="003F57EA">
      <w:pPr>
        <w:pStyle w:val="titreencadre"/>
        <w:numPr>
          <w:ilvl w:val="3"/>
          <w:numId w:val="78"/>
        </w:numPr>
      </w:pPr>
      <w:r>
        <w:t>AME 2021</w:t>
      </w:r>
    </w:p>
    <w:p w14:paraId="4D576618" w14:textId="4FC7B3D6" w:rsidR="001021CB" w:rsidRDefault="00512611" w:rsidP="001021CB">
      <w:pPr>
        <w:spacing w:before="240" w:after="240"/>
      </w:pPr>
      <w:r w:rsidRPr="00512611">
        <w:t>Peu de nouvelles mesures ont été adoptées dans ce secteur depuis le précédent AME. Les modifications portent principalement sur l’ajustement des tendances au vu des trajectoires récentes observées. La part des surfaces agricoles en grandes cultures cultivées en agriculture biologique augmente entre 2015 et 2030 pour passer de 5,5</w:t>
      </w:r>
      <w:r w:rsidR="006518EF">
        <w:t>%</w:t>
      </w:r>
      <w:r w:rsidRPr="00512611">
        <w:t xml:space="preserve"> en 2019 à 10,6</w:t>
      </w:r>
      <w:r w:rsidR="006518EF">
        <w:t>%</w:t>
      </w:r>
      <w:r w:rsidRPr="00512611">
        <w:t xml:space="preserve"> en 2030 puis à 16,9</w:t>
      </w:r>
      <w:r w:rsidR="006518EF">
        <w:t>%</w:t>
      </w:r>
      <w:r w:rsidRPr="00512611">
        <w:t xml:space="preserve"> en 2050. La consommation d’engrais minéraux baisse de 5,2</w:t>
      </w:r>
      <w:r w:rsidR="006518EF">
        <w:t>%</w:t>
      </w:r>
      <w:r w:rsidRPr="00512611">
        <w:t xml:space="preserve"> entre 2019 et 2030 et de 12,7</w:t>
      </w:r>
      <w:r w:rsidR="006518EF">
        <w:t>%</w:t>
      </w:r>
      <w:r w:rsidRPr="00512611">
        <w:t xml:space="preserve"> entre 2019 et 2050</w:t>
      </w:r>
      <w:r w:rsidR="001021CB" w:rsidRPr="00262B24">
        <w:t>.</w:t>
      </w:r>
    </w:p>
    <w:p w14:paraId="2CF47432" w14:textId="77777777" w:rsidR="001021CB" w:rsidRDefault="001021CB" w:rsidP="003F57EA">
      <w:pPr>
        <w:pStyle w:val="titreencadre"/>
        <w:numPr>
          <w:ilvl w:val="3"/>
          <w:numId w:val="78"/>
        </w:numPr>
      </w:pPr>
      <w:r>
        <w:t>AMS 2018</w:t>
      </w:r>
    </w:p>
    <w:p w14:paraId="0CCC9364" w14:textId="3B4B07F0" w:rsidR="00512611" w:rsidRDefault="00512611" w:rsidP="00512611">
      <w:pPr>
        <w:spacing w:before="240" w:after="240"/>
      </w:pPr>
      <w:r>
        <w:t>La part des surfaces agricoles en grandes cultures cultivées en agriculture biologique augmente entre 2015 et 2030 pour passer de 2,3% en 2015 à 28% en 2030 puis à 44</w:t>
      </w:r>
      <w:r w:rsidR="006518EF">
        <w:t>%</w:t>
      </w:r>
      <w:r>
        <w:t xml:space="preserve"> en 2050. La consommation d’engrais minéraux baisse de 21% entre 2015 et 2030 et de 45% entre 2015 et 2050.</w:t>
      </w:r>
    </w:p>
    <w:p w14:paraId="4705D031" w14:textId="1F3F2B1D" w:rsidR="001021CB" w:rsidRDefault="00512611" w:rsidP="00512611">
      <w:pPr>
        <w:spacing w:before="240" w:after="240"/>
      </w:pPr>
      <w:r>
        <w:t>Le changement de régime alimentaire au niveau national vers une alimentation moins carnée et plus qualitative entraîne un changement dans la structure de production agricole. En particulier, les revenus des agriculteurs augmentent via la montée en qualité mais aussi la diversification des sources de revenus (augmentation de la production de biomasse issue de l’agriculture via la valorisation des déchets, des résidus de culture ou des cultures dédiées, notamment des cultures intermédiaires ; valorisation de services écosystémiques, en particulier du stockage de carbone…). Ce changement de structure de production s’accompagne d’une baisse du cheptel bovin de 11% entre 2015 et 2030 puis de 30% entre 2015 et 2050</w:t>
      </w:r>
      <w:r w:rsidR="001021CB">
        <w:t>.</w:t>
      </w:r>
    </w:p>
    <w:p w14:paraId="4510C4F0" w14:textId="77777777" w:rsidR="001021CB" w:rsidRDefault="001021CB" w:rsidP="003F57EA">
      <w:pPr>
        <w:pStyle w:val="Titre4niveau4"/>
        <w:numPr>
          <w:ilvl w:val="2"/>
          <w:numId w:val="78"/>
        </w:numPr>
      </w:pPr>
      <w:r>
        <w:t>Gestion et traitement des déchets</w:t>
      </w:r>
    </w:p>
    <w:p w14:paraId="2F5FFC90" w14:textId="77777777" w:rsidR="001021CB" w:rsidRDefault="001021CB" w:rsidP="003F57EA">
      <w:pPr>
        <w:pStyle w:val="titreencadre"/>
        <w:numPr>
          <w:ilvl w:val="3"/>
          <w:numId w:val="78"/>
        </w:numPr>
      </w:pPr>
      <w:r>
        <w:t>AME 2021</w:t>
      </w:r>
    </w:p>
    <w:p w14:paraId="1068DDD5" w14:textId="77777777" w:rsidR="001021CB" w:rsidRDefault="001021CB" w:rsidP="001021CB">
      <w:pPr>
        <w:spacing w:before="240" w:after="240"/>
      </w:pPr>
      <w:r w:rsidRPr="00262B24">
        <w:t>Le scénario intègre les mêmes mesures que le scénario AME précédent, la loi relative à la lutte contre le gaspillage et à l’économie circulaire (dite loi AGEC) ayant été adoptée début 2020 et n’ayant donc pas été intégrée à l’exercice. Par ailleurs le taux de captage du biométhane reste stable entre 2015 et 2030 à 50%</w:t>
      </w:r>
      <w:r>
        <w:t>.</w:t>
      </w:r>
      <w:r w:rsidRPr="00262B24">
        <w:t xml:space="preserve"> La part de biométhane capté valorisé atteint 85% sur la période 2030-2050.</w:t>
      </w:r>
    </w:p>
    <w:p w14:paraId="2212ECBA" w14:textId="77777777" w:rsidR="001021CB" w:rsidRDefault="001021CB" w:rsidP="003F57EA">
      <w:pPr>
        <w:pStyle w:val="titreencadre"/>
        <w:numPr>
          <w:ilvl w:val="3"/>
          <w:numId w:val="78"/>
        </w:numPr>
      </w:pPr>
      <w:r>
        <w:t>AMS 2018</w:t>
      </w:r>
    </w:p>
    <w:p w14:paraId="4B1065D3" w14:textId="2C5A5B0A" w:rsidR="001021CB" w:rsidRDefault="001021CB" w:rsidP="001021CB">
      <w:pPr>
        <w:spacing w:before="240" w:after="240"/>
      </w:pPr>
      <w:r w:rsidRPr="00F60E15">
        <w:t>Le scénario intègre une économie plus circulaire et une réorientation massive des déchets vers la réutilisation, le recyclage, la valorisation matière ou la valorisation énergétique. La quantité de déchets allant en décharge diminue de 86% entre 2015 et 2050. Par ailleurs le taux de captage du biométhane augmente entre 2015 et 2030 de 50% à 60% puis passe à 85% en 2050. La part de biométhane capté valorisé reste stable à partir de 2030 à hauteur de 75%.</w:t>
      </w:r>
    </w:p>
    <w:p w14:paraId="17561F07" w14:textId="77777777" w:rsidR="00046521" w:rsidRDefault="00046521" w:rsidP="00046521">
      <w:pPr>
        <w:spacing w:before="240" w:after="240"/>
      </w:pPr>
    </w:p>
    <w:p w14:paraId="5DF10950" w14:textId="13A3BB88" w:rsidR="00046521" w:rsidRDefault="00046521" w:rsidP="00046521">
      <w:pPr>
        <w:pStyle w:val="Titre4niveau4"/>
        <w:numPr>
          <w:ilvl w:val="2"/>
          <w:numId w:val="78"/>
        </w:numPr>
      </w:pPr>
      <w:r>
        <w:t>Résumé</w:t>
      </w:r>
    </w:p>
    <w:tbl>
      <w:tblPr>
        <w:tblStyle w:val="TableGrid"/>
        <w:tblW w:w="0" w:type="auto"/>
        <w:tblLook w:val="04A0" w:firstRow="1" w:lastRow="0" w:firstColumn="1" w:lastColumn="0" w:noHBand="0" w:noVBand="1"/>
      </w:tblPr>
      <w:tblGrid>
        <w:gridCol w:w="1696"/>
        <w:gridCol w:w="3274"/>
        <w:gridCol w:w="2485"/>
        <w:gridCol w:w="2485"/>
      </w:tblGrid>
      <w:tr w:rsidR="00046521" w14:paraId="6B19D912" w14:textId="77777777" w:rsidTr="00C53C7D">
        <w:tc>
          <w:tcPr>
            <w:tcW w:w="1696" w:type="dxa"/>
          </w:tcPr>
          <w:p w14:paraId="02FF1DA1" w14:textId="77777777" w:rsidR="00046521" w:rsidRDefault="00046521" w:rsidP="00C53C7D">
            <w:pPr>
              <w:spacing w:before="240" w:after="240"/>
            </w:pPr>
          </w:p>
        </w:tc>
        <w:tc>
          <w:tcPr>
            <w:tcW w:w="3274" w:type="dxa"/>
          </w:tcPr>
          <w:p w14:paraId="10205B9E" w14:textId="77777777" w:rsidR="00046521" w:rsidRDefault="00046521" w:rsidP="00C53C7D">
            <w:pPr>
              <w:spacing w:before="240" w:after="240"/>
            </w:pPr>
          </w:p>
        </w:tc>
        <w:tc>
          <w:tcPr>
            <w:tcW w:w="2485" w:type="dxa"/>
          </w:tcPr>
          <w:p w14:paraId="446783BC" w14:textId="77777777" w:rsidR="00046521" w:rsidRDefault="00046521" w:rsidP="00C53C7D">
            <w:pPr>
              <w:spacing w:before="240" w:after="240"/>
              <w:jc w:val="center"/>
            </w:pPr>
            <w:r>
              <w:t>AME</w:t>
            </w:r>
          </w:p>
        </w:tc>
        <w:tc>
          <w:tcPr>
            <w:tcW w:w="2485" w:type="dxa"/>
          </w:tcPr>
          <w:p w14:paraId="52358AC7" w14:textId="77777777" w:rsidR="00046521" w:rsidRDefault="00046521" w:rsidP="00C53C7D">
            <w:pPr>
              <w:spacing w:before="240" w:after="240"/>
              <w:jc w:val="center"/>
            </w:pPr>
            <w:r>
              <w:t>AMS</w:t>
            </w:r>
          </w:p>
        </w:tc>
      </w:tr>
      <w:tr w:rsidR="00046521" w14:paraId="7F0EEAE5" w14:textId="77777777" w:rsidTr="00C53C7D">
        <w:tc>
          <w:tcPr>
            <w:tcW w:w="1696" w:type="dxa"/>
            <w:vMerge w:val="restart"/>
            <w:vAlign w:val="center"/>
          </w:tcPr>
          <w:p w14:paraId="59A96D24" w14:textId="02965875" w:rsidR="00046521" w:rsidRDefault="00046521" w:rsidP="00C53C7D">
            <w:pPr>
              <w:spacing w:before="240" w:after="240"/>
              <w:jc w:val="center"/>
            </w:pPr>
            <w:r>
              <w:t>Transversales</w:t>
            </w:r>
          </w:p>
        </w:tc>
        <w:tc>
          <w:tcPr>
            <w:tcW w:w="3274" w:type="dxa"/>
          </w:tcPr>
          <w:p w14:paraId="53CCE39B" w14:textId="60A14EEC" w:rsidR="00046521" w:rsidRDefault="00046521" w:rsidP="00C53C7D">
            <w:pPr>
              <w:spacing w:before="240" w:after="240"/>
            </w:pPr>
            <w:r>
              <w:t xml:space="preserve">Taxe carbone </w:t>
            </w:r>
          </w:p>
        </w:tc>
        <w:tc>
          <w:tcPr>
            <w:tcW w:w="2485" w:type="dxa"/>
            <w:vAlign w:val="center"/>
          </w:tcPr>
          <w:p w14:paraId="76448FDD" w14:textId="77777777" w:rsidR="00046521" w:rsidRDefault="00046521" w:rsidP="00C53C7D">
            <w:pPr>
              <w:spacing w:before="240" w:after="240"/>
              <w:jc w:val="center"/>
            </w:pPr>
            <w:r>
              <w:t>X</w:t>
            </w:r>
          </w:p>
        </w:tc>
        <w:tc>
          <w:tcPr>
            <w:tcW w:w="2485" w:type="dxa"/>
            <w:vAlign w:val="center"/>
          </w:tcPr>
          <w:p w14:paraId="3F501A54" w14:textId="77777777" w:rsidR="00046521" w:rsidRDefault="00046521" w:rsidP="00C53C7D">
            <w:pPr>
              <w:spacing w:before="240" w:after="240"/>
              <w:jc w:val="center"/>
            </w:pPr>
            <w:r>
              <w:t>X</w:t>
            </w:r>
          </w:p>
        </w:tc>
      </w:tr>
      <w:tr w:rsidR="00046521" w14:paraId="0D088C7B" w14:textId="77777777" w:rsidTr="00C53C7D">
        <w:tc>
          <w:tcPr>
            <w:tcW w:w="1696" w:type="dxa"/>
            <w:vMerge/>
            <w:vAlign w:val="center"/>
          </w:tcPr>
          <w:p w14:paraId="7A563FFC" w14:textId="77777777" w:rsidR="00046521" w:rsidRDefault="00046521" w:rsidP="00C53C7D">
            <w:pPr>
              <w:spacing w:before="240" w:after="240"/>
              <w:jc w:val="center"/>
            </w:pPr>
          </w:p>
        </w:tc>
        <w:tc>
          <w:tcPr>
            <w:tcW w:w="3274" w:type="dxa"/>
          </w:tcPr>
          <w:p w14:paraId="59E19CDB" w14:textId="5AE030FE" w:rsidR="00046521" w:rsidRDefault="00046521" w:rsidP="00C53C7D">
            <w:pPr>
              <w:spacing w:before="240" w:after="240"/>
            </w:pPr>
            <w:r>
              <w:t xml:space="preserve">Certificats d’économie d’énergie  </w:t>
            </w:r>
          </w:p>
        </w:tc>
        <w:tc>
          <w:tcPr>
            <w:tcW w:w="2485" w:type="dxa"/>
            <w:vAlign w:val="center"/>
          </w:tcPr>
          <w:p w14:paraId="3F4B7691" w14:textId="77777777" w:rsidR="00046521" w:rsidRDefault="00046521" w:rsidP="00C53C7D">
            <w:pPr>
              <w:spacing w:before="240" w:after="240"/>
              <w:jc w:val="center"/>
            </w:pPr>
            <w:r>
              <w:t>X</w:t>
            </w:r>
          </w:p>
        </w:tc>
        <w:tc>
          <w:tcPr>
            <w:tcW w:w="2485" w:type="dxa"/>
            <w:vAlign w:val="center"/>
          </w:tcPr>
          <w:p w14:paraId="4D107FED" w14:textId="4071446D" w:rsidR="00046521" w:rsidRDefault="00046521">
            <w:pPr>
              <w:spacing w:before="240" w:after="240"/>
              <w:jc w:val="center"/>
            </w:pPr>
            <w:r>
              <w:t>X (jusqu’en 2050)</w:t>
            </w:r>
          </w:p>
        </w:tc>
      </w:tr>
      <w:tr w:rsidR="00046521" w14:paraId="4D8FD2C9" w14:textId="77777777" w:rsidTr="00C53C7D">
        <w:tc>
          <w:tcPr>
            <w:tcW w:w="1696" w:type="dxa"/>
            <w:vAlign w:val="center"/>
          </w:tcPr>
          <w:p w14:paraId="1C01F4F2" w14:textId="45341066" w:rsidR="00046521" w:rsidRDefault="00046521" w:rsidP="00C53C7D">
            <w:pPr>
              <w:spacing w:before="240" w:after="240"/>
              <w:jc w:val="center"/>
            </w:pPr>
            <w:r>
              <w:t>EnR</w:t>
            </w:r>
          </w:p>
        </w:tc>
        <w:tc>
          <w:tcPr>
            <w:tcW w:w="3274" w:type="dxa"/>
          </w:tcPr>
          <w:p w14:paraId="121EAC7A" w14:textId="14B35BF3" w:rsidR="00046521" w:rsidRDefault="00046521" w:rsidP="00C53C7D">
            <w:pPr>
              <w:spacing w:before="240" w:after="240"/>
            </w:pPr>
            <w:r>
              <w:t>Fonds chaleur</w:t>
            </w:r>
          </w:p>
        </w:tc>
        <w:tc>
          <w:tcPr>
            <w:tcW w:w="2485" w:type="dxa"/>
            <w:vAlign w:val="center"/>
          </w:tcPr>
          <w:p w14:paraId="3DCB7F84" w14:textId="77777777" w:rsidR="00046521" w:rsidRDefault="00046521" w:rsidP="00C53C7D">
            <w:pPr>
              <w:spacing w:before="240" w:after="240"/>
              <w:jc w:val="center"/>
            </w:pPr>
            <w:r>
              <w:t>X</w:t>
            </w:r>
          </w:p>
        </w:tc>
        <w:tc>
          <w:tcPr>
            <w:tcW w:w="2485" w:type="dxa"/>
            <w:vAlign w:val="center"/>
          </w:tcPr>
          <w:p w14:paraId="42E7B176" w14:textId="687416B2" w:rsidR="00046521" w:rsidRDefault="00046521">
            <w:pPr>
              <w:spacing w:before="240" w:after="240"/>
              <w:jc w:val="center"/>
            </w:pPr>
            <w:r>
              <w:t>X (jusqu’en 2050)</w:t>
            </w:r>
          </w:p>
        </w:tc>
      </w:tr>
      <w:tr w:rsidR="00046521" w14:paraId="7AE78837" w14:textId="77777777" w:rsidTr="00C53C7D">
        <w:tc>
          <w:tcPr>
            <w:tcW w:w="1696" w:type="dxa"/>
            <w:vMerge w:val="restart"/>
            <w:vAlign w:val="center"/>
          </w:tcPr>
          <w:p w14:paraId="21963779" w14:textId="77777777" w:rsidR="00046521" w:rsidRDefault="00046521" w:rsidP="00C53C7D">
            <w:pPr>
              <w:spacing w:before="240" w:after="240"/>
              <w:jc w:val="center"/>
            </w:pPr>
            <w:r>
              <w:t>Transport</w:t>
            </w:r>
          </w:p>
        </w:tc>
        <w:tc>
          <w:tcPr>
            <w:tcW w:w="3274" w:type="dxa"/>
          </w:tcPr>
          <w:p w14:paraId="1ADAD741" w14:textId="6C2ECD11" w:rsidR="00046521" w:rsidRDefault="00046521" w:rsidP="00C53C7D">
            <w:pPr>
              <w:spacing w:before="240" w:after="240"/>
            </w:pPr>
            <w:r>
              <w:t xml:space="preserve">Régulation européenne sur les émissions (2019) </w:t>
            </w:r>
          </w:p>
        </w:tc>
        <w:tc>
          <w:tcPr>
            <w:tcW w:w="2485" w:type="dxa"/>
            <w:vAlign w:val="center"/>
          </w:tcPr>
          <w:p w14:paraId="5880983A" w14:textId="77777777" w:rsidR="00046521" w:rsidRDefault="00046521" w:rsidP="00C53C7D">
            <w:pPr>
              <w:spacing w:before="240" w:after="240"/>
              <w:jc w:val="center"/>
            </w:pPr>
            <w:r>
              <w:t>X</w:t>
            </w:r>
          </w:p>
        </w:tc>
        <w:tc>
          <w:tcPr>
            <w:tcW w:w="2485" w:type="dxa"/>
            <w:vAlign w:val="center"/>
          </w:tcPr>
          <w:p w14:paraId="585CCB13" w14:textId="77777777" w:rsidR="00046521" w:rsidRDefault="00046521" w:rsidP="00C53C7D">
            <w:pPr>
              <w:spacing w:before="240" w:after="240"/>
              <w:jc w:val="center"/>
            </w:pPr>
            <w:r>
              <w:t>X</w:t>
            </w:r>
          </w:p>
        </w:tc>
      </w:tr>
      <w:tr w:rsidR="00046521" w14:paraId="08BAE93F" w14:textId="77777777" w:rsidTr="00C53C7D">
        <w:tc>
          <w:tcPr>
            <w:tcW w:w="1696" w:type="dxa"/>
            <w:vMerge/>
            <w:vAlign w:val="center"/>
          </w:tcPr>
          <w:p w14:paraId="1F61B0E6" w14:textId="77777777" w:rsidR="00046521" w:rsidRDefault="00046521" w:rsidP="00C53C7D">
            <w:pPr>
              <w:spacing w:before="240" w:after="240"/>
              <w:jc w:val="center"/>
            </w:pPr>
          </w:p>
        </w:tc>
        <w:tc>
          <w:tcPr>
            <w:tcW w:w="3274" w:type="dxa"/>
          </w:tcPr>
          <w:p w14:paraId="01CC3868" w14:textId="02873711" w:rsidR="00046521" w:rsidRDefault="00046521" w:rsidP="00C53C7D">
            <w:pPr>
              <w:spacing w:before="240" w:after="240"/>
            </w:pPr>
            <w:r>
              <w:t>Loi d’orientation des mobilités</w:t>
            </w:r>
          </w:p>
        </w:tc>
        <w:tc>
          <w:tcPr>
            <w:tcW w:w="2485" w:type="dxa"/>
            <w:vAlign w:val="center"/>
          </w:tcPr>
          <w:p w14:paraId="129CA0E3" w14:textId="77777777" w:rsidR="00046521" w:rsidRDefault="00046521" w:rsidP="00C53C7D">
            <w:pPr>
              <w:spacing w:before="240" w:after="240"/>
              <w:jc w:val="center"/>
            </w:pPr>
            <w:r>
              <w:t>X</w:t>
            </w:r>
          </w:p>
        </w:tc>
        <w:tc>
          <w:tcPr>
            <w:tcW w:w="2485" w:type="dxa"/>
            <w:vAlign w:val="center"/>
          </w:tcPr>
          <w:p w14:paraId="1DD4D34D" w14:textId="77777777" w:rsidR="00046521" w:rsidRDefault="00046521" w:rsidP="00C53C7D">
            <w:pPr>
              <w:spacing w:before="240" w:after="240"/>
              <w:jc w:val="center"/>
            </w:pPr>
            <w:r>
              <w:t>X</w:t>
            </w:r>
          </w:p>
        </w:tc>
      </w:tr>
      <w:tr w:rsidR="00046521" w14:paraId="44E0A17B" w14:textId="77777777" w:rsidTr="00C53C7D">
        <w:tc>
          <w:tcPr>
            <w:tcW w:w="1696" w:type="dxa"/>
            <w:vMerge/>
            <w:vAlign w:val="center"/>
          </w:tcPr>
          <w:p w14:paraId="0592D92D" w14:textId="77777777" w:rsidR="00046521" w:rsidRDefault="00046521" w:rsidP="00C53C7D">
            <w:pPr>
              <w:spacing w:before="240" w:after="240"/>
              <w:jc w:val="center"/>
            </w:pPr>
          </w:p>
        </w:tc>
        <w:tc>
          <w:tcPr>
            <w:tcW w:w="3274" w:type="dxa"/>
          </w:tcPr>
          <w:p w14:paraId="6DA24B2B" w14:textId="4412F8BF" w:rsidR="00046521" w:rsidRDefault="00046521" w:rsidP="00C53C7D">
            <w:pPr>
              <w:spacing w:before="240" w:after="240"/>
            </w:pPr>
            <w:r>
              <w:t xml:space="preserve">Mesures fiscales avant fin 2019 </w:t>
            </w:r>
          </w:p>
        </w:tc>
        <w:tc>
          <w:tcPr>
            <w:tcW w:w="2485" w:type="dxa"/>
            <w:vAlign w:val="center"/>
          </w:tcPr>
          <w:p w14:paraId="062A96D4" w14:textId="77777777" w:rsidR="00046521" w:rsidRDefault="00046521" w:rsidP="00C53C7D">
            <w:pPr>
              <w:spacing w:before="240" w:after="240"/>
              <w:jc w:val="center"/>
            </w:pPr>
            <w:r>
              <w:t>X</w:t>
            </w:r>
          </w:p>
        </w:tc>
        <w:tc>
          <w:tcPr>
            <w:tcW w:w="2485" w:type="dxa"/>
            <w:vAlign w:val="center"/>
          </w:tcPr>
          <w:p w14:paraId="2AE8ED34" w14:textId="77777777" w:rsidR="00046521" w:rsidRDefault="00046521" w:rsidP="00C53C7D">
            <w:pPr>
              <w:spacing w:before="240" w:after="240"/>
              <w:jc w:val="center"/>
            </w:pPr>
            <w:r>
              <w:t>X</w:t>
            </w:r>
          </w:p>
        </w:tc>
      </w:tr>
      <w:tr w:rsidR="00046521" w14:paraId="7E426765" w14:textId="77777777" w:rsidTr="00C53C7D">
        <w:tc>
          <w:tcPr>
            <w:tcW w:w="1696" w:type="dxa"/>
            <w:vMerge/>
            <w:vAlign w:val="center"/>
          </w:tcPr>
          <w:p w14:paraId="789FD15C" w14:textId="77777777" w:rsidR="00046521" w:rsidRDefault="00046521" w:rsidP="00C53C7D">
            <w:pPr>
              <w:spacing w:before="240" w:after="240"/>
              <w:jc w:val="center"/>
            </w:pPr>
          </w:p>
        </w:tc>
        <w:tc>
          <w:tcPr>
            <w:tcW w:w="3274" w:type="dxa"/>
          </w:tcPr>
          <w:p w14:paraId="262FA2EC" w14:textId="347F381F" w:rsidR="00046521" w:rsidRDefault="00046521" w:rsidP="00C53C7D">
            <w:pPr>
              <w:spacing w:before="240" w:after="240"/>
            </w:pPr>
            <w:r>
              <w:t>Fin de vente des véhicules émetteurs en 2040</w:t>
            </w:r>
          </w:p>
        </w:tc>
        <w:tc>
          <w:tcPr>
            <w:tcW w:w="2485" w:type="dxa"/>
            <w:vAlign w:val="center"/>
          </w:tcPr>
          <w:p w14:paraId="0C89EBD0" w14:textId="77777777" w:rsidR="00046521" w:rsidRDefault="00046521" w:rsidP="00C53C7D">
            <w:pPr>
              <w:spacing w:before="240" w:after="240"/>
              <w:jc w:val="center"/>
            </w:pPr>
          </w:p>
        </w:tc>
        <w:tc>
          <w:tcPr>
            <w:tcW w:w="2485" w:type="dxa"/>
            <w:vAlign w:val="center"/>
          </w:tcPr>
          <w:p w14:paraId="22284742" w14:textId="77777777" w:rsidR="00046521" w:rsidRDefault="00046521" w:rsidP="00C53C7D">
            <w:pPr>
              <w:spacing w:before="240" w:after="240"/>
              <w:jc w:val="center"/>
            </w:pPr>
            <w:r>
              <w:t>X</w:t>
            </w:r>
          </w:p>
        </w:tc>
      </w:tr>
      <w:tr w:rsidR="00046521" w14:paraId="0A538A39" w14:textId="77777777" w:rsidTr="00C53C7D">
        <w:tc>
          <w:tcPr>
            <w:tcW w:w="1696" w:type="dxa"/>
            <w:vMerge/>
            <w:vAlign w:val="center"/>
          </w:tcPr>
          <w:p w14:paraId="54858547" w14:textId="77777777" w:rsidR="00046521" w:rsidRDefault="00046521" w:rsidP="00C53C7D">
            <w:pPr>
              <w:spacing w:before="240" w:after="240"/>
              <w:jc w:val="center"/>
            </w:pPr>
          </w:p>
        </w:tc>
        <w:tc>
          <w:tcPr>
            <w:tcW w:w="3274" w:type="dxa"/>
          </w:tcPr>
          <w:p w14:paraId="2156CABD" w14:textId="4BFB84A6" w:rsidR="00046521" w:rsidRDefault="00046521" w:rsidP="00C53C7D">
            <w:pPr>
              <w:spacing w:before="240" w:after="240"/>
            </w:pPr>
            <w:r>
              <w:t xml:space="preserve">Electrification </w:t>
            </w:r>
          </w:p>
        </w:tc>
        <w:tc>
          <w:tcPr>
            <w:tcW w:w="2485" w:type="dxa"/>
            <w:vAlign w:val="center"/>
          </w:tcPr>
          <w:p w14:paraId="19AC7540" w14:textId="77777777" w:rsidR="00046521" w:rsidRDefault="00046521" w:rsidP="00C53C7D">
            <w:pPr>
              <w:spacing w:before="240" w:after="240"/>
              <w:jc w:val="center"/>
            </w:pPr>
          </w:p>
        </w:tc>
        <w:tc>
          <w:tcPr>
            <w:tcW w:w="2485" w:type="dxa"/>
            <w:vAlign w:val="center"/>
          </w:tcPr>
          <w:p w14:paraId="081AE1C2" w14:textId="77777777" w:rsidR="00046521" w:rsidRDefault="00046521" w:rsidP="00C53C7D">
            <w:pPr>
              <w:spacing w:before="240" w:after="240"/>
              <w:jc w:val="center"/>
            </w:pPr>
            <w:r>
              <w:t>X</w:t>
            </w:r>
          </w:p>
        </w:tc>
      </w:tr>
      <w:tr w:rsidR="00046521" w14:paraId="256EBAD2" w14:textId="77777777" w:rsidTr="00C53C7D">
        <w:tc>
          <w:tcPr>
            <w:tcW w:w="1696" w:type="dxa"/>
            <w:vMerge/>
            <w:vAlign w:val="center"/>
          </w:tcPr>
          <w:p w14:paraId="41EA6FC5" w14:textId="77777777" w:rsidR="00046521" w:rsidRDefault="00046521" w:rsidP="00C53C7D">
            <w:pPr>
              <w:spacing w:before="240" w:after="240"/>
              <w:jc w:val="center"/>
            </w:pPr>
          </w:p>
        </w:tc>
        <w:tc>
          <w:tcPr>
            <w:tcW w:w="3274" w:type="dxa"/>
          </w:tcPr>
          <w:p w14:paraId="59CEA1D8" w14:textId="3ED55FB7" w:rsidR="00046521" w:rsidRDefault="00046521" w:rsidP="00C53C7D">
            <w:pPr>
              <w:spacing w:before="240" w:after="240"/>
            </w:pPr>
            <w:r>
              <w:t xml:space="preserve">Augmentation de la part modale du vélo </w:t>
            </w:r>
          </w:p>
        </w:tc>
        <w:tc>
          <w:tcPr>
            <w:tcW w:w="2485" w:type="dxa"/>
            <w:vAlign w:val="center"/>
          </w:tcPr>
          <w:p w14:paraId="6723CE08" w14:textId="77777777" w:rsidR="00046521" w:rsidRDefault="00046521" w:rsidP="00C53C7D">
            <w:pPr>
              <w:spacing w:before="240" w:after="240"/>
              <w:jc w:val="center"/>
            </w:pPr>
            <w:r>
              <w:t>X</w:t>
            </w:r>
          </w:p>
        </w:tc>
        <w:tc>
          <w:tcPr>
            <w:tcW w:w="2485" w:type="dxa"/>
            <w:vAlign w:val="center"/>
          </w:tcPr>
          <w:p w14:paraId="63A3FEB1" w14:textId="77777777" w:rsidR="00046521" w:rsidRDefault="00046521" w:rsidP="00C53C7D">
            <w:pPr>
              <w:spacing w:before="240" w:after="240"/>
              <w:jc w:val="center"/>
            </w:pPr>
            <w:r>
              <w:t>X (2030 and 2050)</w:t>
            </w:r>
          </w:p>
        </w:tc>
      </w:tr>
      <w:tr w:rsidR="00046521" w14:paraId="65865682" w14:textId="77777777" w:rsidTr="00C53C7D">
        <w:tc>
          <w:tcPr>
            <w:tcW w:w="1696" w:type="dxa"/>
            <w:vMerge w:val="restart"/>
            <w:vAlign w:val="center"/>
          </w:tcPr>
          <w:p w14:paraId="2401E10F" w14:textId="77777777" w:rsidR="00046521" w:rsidRDefault="00046521" w:rsidP="00C53C7D">
            <w:pPr>
              <w:spacing w:before="240" w:after="240"/>
              <w:jc w:val="center"/>
            </w:pPr>
            <w:r>
              <w:t>Construction</w:t>
            </w:r>
          </w:p>
        </w:tc>
        <w:tc>
          <w:tcPr>
            <w:tcW w:w="3274" w:type="dxa"/>
          </w:tcPr>
          <w:p w14:paraId="7723BCF6" w14:textId="77777777" w:rsidR="00046521" w:rsidRDefault="00046521" w:rsidP="00C53C7D">
            <w:pPr>
              <w:spacing w:before="240" w:after="240"/>
            </w:pPr>
            <w:r>
              <w:t>RT 2012</w:t>
            </w:r>
          </w:p>
        </w:tc>
        <w:tc>
          <w:tcPr>
            <w:tcW w:w="2485" w:type="dxa"/>
            <w:vAlign w:val="center"/>
          </w:tcPr>
          <w:p w14:paraId="31151245" w14:textId="77777777" w:rsidR="00046521" w:rsidRDefault="00046521" w:rsidP="00C53C7D">
            <w:pPr>
              <w:spacing w:before="240" w:after="240"/>
              <w:jc w:val="center"/>
            </w:pPr>
            <w:r>
              <w:t>X</w:t>
            </w:r>
          </w:p>
        </w:tc>
        <w:tc>
          <w:tcPr>
            <w:tcW w:w="2485" w:type="dxa"/>
            <w:vAlign w:val="center"/>
          </w:tcPr>
          <w:p w14:paraId="106A9FEF" w14:textId="77777777" w:rsidR="00046521" w:rsidRDefault="00046521" w:rsidP="00C53C7D">
            <w:pPr>
              <w:spacing w:before="240" w:after="240"/>
              <w:jc w:val="center"/>
            </w:pPr>
            <w:r>
              <w:t>X</w:t>
            </w:r>
          </w:p>
        </w:tc>
      </w:tr>
      <w:tr w:rsidR="00046521" w14:paraId="6375914C" w14:textId="77777777" w:rsidTr="00C53C7D">
        <w:tc>
          <w:tcPr>
            <w:tcW w:w="1696" w:type="dxa"/>
            <w:vMerge/>
            <w:vAlign w:val="center"/>
          </w:tcPr>
          <w:p w14:paraId="6DB1AC64" w14:textId="77777777" w:rsidR="00046521" w:rsidRDefault="00046521" w:rsidP="00C53C7D">
            <w:pPr>
              <w:spacing w:before="240" w:after="240"/>
              <w:jc w:val="center"/>
            </w:pPr>
          </w:p>
        </w:tc>
        <w:tc>
          <w:tcPr>
            <w:tcW w:w="3274" w:type="dxa"/>
          </w:tcPr>
          <w:p w14:paraId="542F5922" w14:textId="77777777" w:rsidR="00046521" w:rsidRDefault="00046521" w:rsidP="00C53C7D">
            <w:pPr>
              <w:spacing w:before="240" w:after="240"/>
            </w:pPr>
            <w:r>
              <w:t>MaPrimeRénov’</w:t>
            </w:r>
          </w:p>
        </w:tc>
        <w:tc>
          <w:tcPr>
            <w:tcW w:w="2485" w:type="dxa"/>
            <w:vAlign w:val="center"/>
          </w:tcPr>
          <w:p w14:paraId="377B6144" w14:textId="77777777" w:rsidR="00046521" w:rsidRDefault="00046521" w:rsidP="00C53C7D">
            <w:pPr>
              <w:spacing w:before="240" w:after="240"/>
              <w:jc w:val="center"/>
            </w:pPr>
            <w:r>
              <w:t>X</w:t>
            </w:r>
          </w:p>
        </w:tc>
        <w:tc>
          <w:tcPr>
            <w:tcW w:w="2485" w:type="dxa"/>
            <w:vAlign w:val="center"/>
          </w:tcPr>
          <w:p w14:paraId="134F4778" w14:textId="77777777" w:rsidR="00046521" w:rsidRDefault="00046521" w:rsidP="00C53C7D">
            <w:pPr>
              <w:spacing w:before="240" w:after="240"/>
              <w:jc w:val="center"/>
            </w:pPr>
            <w:r>
              <w:t>X</w:t>
            </w:r>
          </w:p>
        </w:tc>
      </w:tr>
      <w:tr w:rsidR="00046521" w14:paraId="6CD434AA" w14:textId="77777777" w:rsidTr="00C53C7D">
        <w:tc>
          <w:tcPr>
            <w:tcW w:w="1696" w:type="dxa"/>
            <w:vMerge/>
            <w:vAlign w:val="center"/>
          </w:tcPr>
          <w:p w14:paraId="3053EE1F" w14:textId="77777777" w:rsidR="00046521" w:rsidRDefault="00046521" w:rsidP="00C53C7D">
            <w:pPr>
              <w:spacing w:before="240" w:after="240"/>
              <w:jc w:val="center"/>
            </w:pPr>
          </w:p>
        </w:tc>
        <w:tc>
          <w:tcPr>
            <w:tcW w:w="3274" w:type="dxa"/>
          </w:tcPr>
          <w:p w14:paraId="1EE2E91D" w14:textId="77777777" w:rsidR="00046521" w:rsidRDefault="00046521" w:rsidP="00C53C7D">
            <w:pPr>
              <w:spacing w:before="240" w:after="240"/>
            </w:pPr>
            <w:r>
              <w:t>Eco-PTZ</w:t>
            </w:r>
          </w:p>
        </w:tc>
        <w:tc>
          <w:tcPr>
            <w:tcW w:w="2485" w:type="dxa"/>
            <w:vAlign w:val="center"/>
          </w:tcPr>
          <w:p w14:paraId="0215CCD0" w14:textId="77777777" w:rsidR="00046521" w:rsidRDefault="00046521" w:rsidP="00C53C7D">
            <w:pPr>
              <w:spacing w:before="240" w:after="240"/>
              <w:jc w:val="center"/>
            </w:pPr>
            <w:r>
              <w:t>X</w:t>
            </w:r>
          </w:p>
        </w:tc>
        <w:tc>
          <w:tcPr>
            <w:tcW w:w="2485" w:type="dxa"/>
            <w:vAlign w:val="center"/>
          </w:tcPr>
          <w:p w14:paraId="195F01C9" w14:textId="30230D36" w:rsidR="00046521" w:rsidRDefault="00046521">
            <w:pPr>
              <w:spacing w:before="240" w:after="240"/>
              <w:jc w:val="center"/>
            </w:pPr>
            <w:r>
              <w:t>X (jusqu’en 2050)</w:t>
            </w:r>
          </w:p>
        </w:tc>
      </w:tr>
      <w:tr w:rsidR="00046521" w14:paraId="750A20E2" w14:textId="77777777" w:rsidTr="00C53C7D">
        <w:tc>
          <w:tcPr>
            <w:tcW w:w="1696" w:type="dxa"/>
            <w:vMerge/>
            <w:vAlign w:val="center"/>
          </w:tcPr>
          <w:p w14:paraId="23F55AE4" w14:textId="77777777" w:rsidR="00046521" w:rsidRDefault="00046521" w:rsidP="00C53C7D">
            <w:pPr>
              <w:spacing w:before="240" w:after="240"/>
              <w:jc w:val="center"/>
            </w:pPr>
          </w:p>
        </w:tc>
        <w:tc>
          <w:tcPr>
            <w:tcW w:w="3274" w:type="dxa"/>
          </w:tcPr>
          <w:p w14:paraId="16AC9D7E" w14:textId="7F54450C" w:rsidR="00046521" w:rsidRDefault="00046521" w:rsidP="00C53C7D">
            <w:pPr>
              <w:spacing w:before="240" w:after="240"/>
            </w:pPr>
            <w:r>
              <w:t>Disparition des passoires thermiques d’ici 2030</w:t>
            </w:r>
          </w:p>
        </w:tc>
        <w:tc>
          <w:tcPr>
            <w:tcW w:w="2485" w:type="dxa"/>
            <w:vAlign w:val="center"/>
          </w:tcPr>
          <w:p w14:paraId="7722BB3E" w14:textId="77777777" w:rsidR="00046521" w:rsidRDefault="00046521" w:rsidP="00C53C7D">
            <w:pPr>
              <w:spacing w:before="240" w:after="240"/>
              <w:jc w:val="center"/>
            </w:pPr>
          </w:p>
        </w:tc>
        <w:tc>
          <w:tcPr>
            <w:tcW w:w="2485" w:type="dxa"/>
            <w:vAlign w:val="center"/>
          </w:tcPr>
          <w:p w14:paraId="0A763CE0" w14:textId="77777777" w:rsidR="00046521" w:rsidRDefault="00046521" w:rsidP="00C53C7D">
            <w:pPr>
              <w:spacing w:before="240" w:after="240"/>
              <w:jc w:val="center"/>
            </w:pPr>
            <w:r>
              <w:t>X</w:t>
            </w:r>
          </w:p>
        </w:tc>
      </w:tr>
      <w:tr w:rsidR="00046521" w14:paraId="6FB594CD" w14:textId="77777777" w:rsidTr="00C53C7D">
        <w:tc>
          <w:tcPr>
            <w:tcW w:w="1696" w:type="dxa"/>
            <w:vMerge w:val="restart"/>
            <w:vAlign w:val="center"/>
          </w:tcPr>
          <w:p w14:paraId="209C7132" w14:textId="616463B1" w:rsidR="00046521" w:rsidRDefault="00046521" w:rsidP="00C53C7D">
            <w:pPr>
              <w:spacing w:before="240" w:after="240"/>
              <w:jc w:val="center"/>
            </w:pPr>
            <w:r>
              <w:t>Industrie</w:t>
            </w:r>
          </w:p>
        </w:tc>
        <w:tc>
          <w:tcPr>
            <w:tcW w:w="3274" w:type="dxa"/>
          </w:tcPr>
          <w:p w14:paraId="2CAF3EA4" w14:textId="18F5504F" w:rsidR="00046521" w:rsidRDefault="00046521" w:rsidP="00C53C7D">
            <w:pPr>
              <w:spacing w:before="240" w:after="240"/>
            </w:pPr>
            <w:r>
              <w:t xml:space="preserve">Certificats d’économies d’énergie et audits énergétiques </w:t>
            </w:r>
          </w:p>
        </w:tc>
        <w:tc>
          <w:tcPr>
            <w:tcW w:w="2485" w:type="dxa"/>
            <w:vAlign w:val="center"/>
          </w:tcPr>
          <w:p w14:paraId="5A02EB40" w14:textId="77777777" w:rsidR="00046521" w:rsidRDefault="00046521" w:rsidP="00C53C7D">
            <w:pPr>
              <w:spacing w:before="240" w:after="240"/>
              <w:jc w:val="center"/>
            </w:pPr>
            <w:r>
              <w:t>X</w:t>
            </w:r>
          </w:p>
        </w:tc>
        <w:tc>
          <w:tcPr>
            <w:tcW w:w="2485" w:type="dxa"/>
            <w:vAlign w:val="center"/>
          </w:tcPr>
          <w:p w14:paraId="3D07CFA4" w14:textId="77777777" w:rsidR="00046521" w:rsidRDefault="00046521" w:rsidP="00C53C7D">
            <w:pPr>
              <w:spacing w:before="240" w:after="240"/>
              <w:jc w:val="center"/>
            </w:pPr>
            <w:r>
              <w:t>X</w:t>
            </w:r>
          </w:p>
        </w:tc>
      </w:tr>
      <w:tr w:rsidR="00046521" w14:paraId="0B6BD9C5" w14:textId="77777777" w:rsidTr="00C53C7D">
        <w:tc>
          <w:tcPr>
            <w:tcW w:w="1696" w:type="dxa"/>
            <w:vMerge/>
            <w:vAlign w:val="center"/>
          </w:tcPr>
          <w:p w14:paraId="241A6E97" w14:textId="77777777" w:rsidR="00046521" w:rsidRDefault="00046521" w:rsidP="00C53C7D">
            <w:pPr>
              <w:spacing w:before="240" w:after="240"/>
              <w:jc w:val="center"/>
            </w:pPr>
          </w:p>
        </w:tc>
        <w:tc>
          <w:tcPr>
            <w:tcW w:w="3274" w:type="dxa"/>
          </w:tcPr>
          <w:p w14:paraId="251162E9" w14:textId="42372BAC" w:rsidR="00046521" w:rsidRDefault="00046521" w:rsidP="00C53C7D">
            <w:pPr>
              <w:spacing w:before="240" w:after="240"/>
            </w:pPr>
            <w:r>
              <w:t>Electrification du secteur</w:t>
            </w:r>
          </w:p>
        </w:tc>
        <w:tc>
          <w:tcPr>
            <w:tcW w:w="2485" w:type="dxa"/>
            <w:vAlign w:val="center"/>
          </w:tcPr>
          <w:p w14:paraId="270C4622" w14:textId="77777777" w:rsidR="00046521" w:rsidRDefault="00046521" w:rsidP="00C53C7D">
            <w:pPr>
              <w:spacing w:before="240" w:after="240"/>
              <w:jc w:val="center"/>
            </w:pPr>
          </w:p>
        </w:tc>
        <w:tc>
          <w:tcPr>
            <w:tcW w:w="2485" w:type="dxa"/>
            <w:vAlign w:val="center"/>
          </w:tcPr>
          <w:p w14:paraId="1CEB56C1" w14:textId="77777777" w:rsidR="00046521" w:rsidRDefault="00046521" w:rsidP="00C53C7D">
            <w:pPr>
              <w:spacing w:before="240" w:after="240"/>
              <w:jc w:val="center"/>
            </w:pPr>
            <w:r>
              <w:t>X</w:t>
            </w:r>
          </w:p>
        </w:tc>
      </w:tr>
      <w:tr w:rsidR="00046521" w14:paraId="2E35A992" w14:textId="77777777" w:rsidTr="00C53C7D">
        <w:tc>
          <w:tcPr>
            <w:tcW w:w="1696" w:type="dxa"/>
            <w:vMerge/>
            <w:vAlign w:val="center"/>
          </w:tcPr>
          <w:p w14:paraId="438E221F" w14:textId="77777777" w:rsidR="00046521" w:rsidRDefault="00046521" w:rsidP="00C53C7D">
            <w:pPr>
              <w:spacing w:before="240" w:after="240"/>
              <w:jc w:val="center"/>
            </w:pPr>
          </w:p>
        </w:tc>
        <w:tc>
          <w:tcPr>
            <w:tcW w:w="3274" w:type="dxa"/>
          </w:tcPr>
          <w:p w14:paraId="3EBFEB02" w14:textId="155F5B6D" w:rsidR="00046521" w:rsidRDefault="00046521" w:rsidP="00C53C7D">
            <w:pPr>
              <w:spacing w:before="240" w:after="240"/>
            </w:pPr>
            <w:r>
              <w:t>Amélioration des procédés industriels</w:t>
            </w:r>
          </w:p>
        </w:tc>
        <w:tc>
          <w:tcPr>
            <w:tcW w:w="2485" w:type="dxa"/>
            <w:vAlign w:val="center"/>
          </w:tcPr>
          <w:p w14:paraId="63A78D35" w14:textId="77777777" w:rsidR="00046521" w:rsidRDefault="00046521" w:rsidP="00C53C7D">
            <w:pPr>
              <w:spacing w:before="240" w:after="240"/>
              <w:jc w:val="center"/>
            </w:pPr>
          </w:p>
        </w:tc>
        <w:tc>
          <w:tcPr>
            <w:tcW w:w="2485" w:type="dxa"/>
            <w:vAlign w:val="center"/>
          </w:tcPr>
          <w:p w14:paraId="2DE11028" w14:textId="77777777" w:rsidR="00046521" w:rsidRDefault="00046521" w:rsidP="00C53C7D">
            <w:pPr>
              <w:spacing w:before="240" w:after="240"/>
              <w:jc w:val="center"/>
            </w:pPr>
            <w:r>
              <w:t>X</w:t>
            </w:r>
          </w:p>
        </w:tc>
      </w:tr>
      <w:tr w:rsidR="00046521" w14:paraId="22A4C776" w14:textId="77777777" w:rsidTr="00C53C7D">
        <w:tc>
          <w:tcPr>
            <w:tcW w:w="1696" w:type="dxa"/>
            <w:vMerge/>
            <w:vAlign w:val="center"/>
          </w:tcPr>
          <w:p w14:paraId="5BB7141D" w14:textId="77777777" w:rsidR="00046521" w:rsidRDefault="00046521" w:rsidP="00C53C7D">
            <w:pPr>
              <w:spacing w:before="240" w:after="240"/>
              <w:jc w:val="center"/>
            </w:pPr>
          </w:p>
        </w:tc>
        <w:tc>
          <w:tcPr>
            <w:tcW w:w="3274" w:type="dxa"/>
          </w:tcPr>
          <w:p w14:paraId="198B80B8" w14:textId="77777777" w:rsidR="00046521" w:rsidRDefault="00046521" w:rsidP="00C53C7D">
            <w:pPr>
              <w:spacing w:before="240" w:after="240"/>
            </w:pPr>
            <w:r>
              <w:t xml:space="preserve">EU ETS </w:t>
            </w:r>
          </w:p>
        </w:tc>
        <w:tc>
          <w:tcPr>
            <w:tcW w:w="2485" w:type="dxa"/>
            <w:vAlign w:val="center"/>
          </w:tcPr>
          <w:p w14:paraId="17D5C0B4" w14:textId="77777777" w:rsidR="00046521" w:rsidRDefault="00046521" w:rsidP="00C53C7D">
            <w:pPr>
              <w:spacing w:before="240" w:after="240"/>
              <w:jc w:val="center"/>
            </w:pPr>
          </w:p>
        </w:tc>
        <w:tc>
          <w:tcPr>
            <w:tcW w:w="2485" w:type="dxa"/>
            <w:vAlign w:val="center"/>
          </w:tcPr>
          <w:p w14:paraId="7E4E7328" w14:textId="77777777" w:rsidR="00046521" w:rsidRDefault="00046521" w:rsidP="00C53C7D">
            <w:pPr>
              <w:spacing w:before="240" w:after="240"/>
              <w:jc w:val="center"/>
            </w:pPr>
            <w:r>
              <w:t>X</w:t>
            </w:r>
          </w:p>
        </w:tc>
      </w:tr>
      <w:tr w:rsidR="00046521" w14:paraId="2156C5A4" w14:textId="77777777" w:rsidTr="00C53C7D">
        <w:tc>
          <w:tcPr>
            <w:tcW w:w="1696" w:type="dxa"/>
            <w:vAlign w:val="center"/>
          </w:tcPr>
          <w:p w14:paraId="2684AC25" w14:textId="79FEAEA7" w:rsidR="00046521" w:rsidRDefault="00046521" w:rsidP="00C53C7D">
            <w:pPr>
              <w:spacing w:before="240" w:after="240"/>
              <w:jc w:val="center"/>
            </w:pPr>
            <w:r>
              <w:t>Gaz F</w:t>
            </w:r>
          </w:p>
        </w:tc>
        <w:tc>
          <w:tcPr>
            <w:tcW w:w="3274" w:type="dxa"/>
          </w:tcPr>
          <w:p w14:paraId="4ACCDCB6" w14:textId="2AF32DC8" w:rsidR="00046521" w:rsidRDefault="00046521" w:rsidP="00C53C7D">
            <w:pPr>
              <w:spacing w:before="240" w:after="240"/>
            </w:pPr>
            <w:r>
              <w:t xml:space="preserve">Régulation française sur les gaz-F </w:t>
            </w:r>
          </w:p>
        </w:tc>
        <w:tc>
          <w:tcPr>
            <w:tcW w:w="2485" w:type="dxa"/>
            <w:vAlign w:val="center"/>
          </w:tcPr>
          <w:p w14:paraId="303C00B8" w14:textId="77777777" w:rsidR="00046521" w:rsidRDefault="00046521" w:rsidP="00C53C7D">
            <w:pPr>
              <w:spacing w:before="240" w:after="240"/>
              <w:jc w:val="center"/>
            </w:pPr>
            <w:r>
              <w:t>X</w:t>
            </w:r>
          </w:p>
        </w:tc>
        <w:tc>
          <w:tcPr>
            <w:tcW w:w="2485" w:type="dxa"/>
            <w:vAlign w:val="center"/>
          </w:tcPr>
          <w:p w14:paraId="08F45B14" w14:textId="77777777" w:rsidR="00046521" w:rsidRDefault="00046521" w:rsidP="00C53C7D">
            <w:pPr>
              <w:spacing w:before="240" w:after="240"/>
              <w:jc w:val="center"/>
            </w:pPr>
            <w:r>
              <w:t>X</w:t>
            </w:r>
          </w:p>
        </w:tc>
      </w:tr>
      <w:tr w:rsidR="00046521" w14:paraId="12DE710B" w14:textId="77777777" w:rsidTr="00C53C7D">
        <w:tc>
          <w:tcPr>
            <w:tcW w:w="1696" w:type="dxa"/>
            <w:vMerge w:val="restart"/>
            <w:vAlign w:val="center"/>
          </w:tcPr>
          <w:p w14:paraId="18E8E0F9" w14:textId="622C7E2A" w:rsidR="00046521" w:rsidRDefault="00046521">
            <w:pPr>
              <w:spacing w:before="240" w:after="240"/>
              <w:jc w:val="center"/>
            </w:pPr>
            <w:r>
              <w:t>Agriculture et forêts</w:t>
            </w:r>
          </w:p>
        </w:tc>
        <w:tc>
          <w:tcPr>
            <w:tcW w:w="3274" w:type="dxa"/>
          </w:tcPr>
          <w:p w14:paraId="390B735E" w14:textId="5E243ABA" w:rsidR="00046521" w:rsidRDefault="00046521" w:rsidP="00C53C7D">
            <w:pPr>
              <w:spacing w:before="240" w:after="240"/>
            </w:pPr>
            <w:r>
              <w:t xml:space="preserve">Augmentation de la part du bio dans la SAU </w:t>
            </w:r>
          </w:p>
        </w:tc>
        <w:tc>
          <w:tcPr>
            <w:tcW w:w="2485" w:type="dxa"/>
            <w:vAlign w:val="center"/>
          </w:tcPr>
          <w:p w14:paraId="0755BEDC" w14:textId="77777777" w:rsidR="00046521" w:rsidRDefault="00046521" w:rsidP="00C53C7D">
            <w:pPr>
              <w:spacing w:before="240" w:after="240"/>
              <w:jc w:val="center"/>
            </w:pPr>
            <w:r>
              <w:t>X</w:t>
            </w:r>
          </w:p>
        </w:tc>
        <w:tc>
          <w:tcPr>
            <w:tcW w:w="2485" w:type="dxa"/>
            <w:vAlign w:val="center"/>
          </w:tcPr>
          <w:p w14:paraId="7F87AC00" w14:textId="77777777" w:rsidR="00046521" w:rsidRDefault="00046521" w:rsidP="00C53C7D">
            <w:pPr>
              <w:spacing w:before="240" w:after="240"/>
              <w:jc w:val="center"/>
            </w:pPr>
            <w:r>
              <w:t>X</w:t>
            </w:r>
          </w:p>
        </w:tc>
      </w:tr>
      <w:tr w:rsidR="00046521" w14:paraId="1E2CB29B" w14:textId="77777777" w:rsidTr="00C53C7D">
        <w:tc>
          <w:tcPr>
            <w:tcW w:w="1696" w:type="dxa"/>
            <w:vMerge/>
            <w:vAlign w:val="center"/>
          </w:tcPr>
          <w:p w14:paraId="7AA35BFB" w14:textId="77777777" w:rsidR="00046521" w:rsidRDefault="00046521" w:rsidP="00C53C7D">
            <w:pPr>
              <w:spacing w:before="240" w:after="240"/>
              <w:jc w:val="center"/>
            </w:pPr>
          </w:p>
        </w:tc>
        <w:tc>
          <w:tcPr>
            <w:tcW w:w="3274" w:type="dxa"/>
          </w:tcPr>
          <w:p w14:paraId="680C93BB" w14:textId="69FF7F7E" w:rsidR="00046521" w:rsidRDefault="00046521" w:rsidP="00C53C7D">
            <w:pPr>
              <w:spacing w:before="240" w:after="240"/>
            </w:pPr>
            <w:r>
              <w:t xml:space="preserve">Transition à des régimes alimentaires moins carnés </w:t>
            </w:r>
          </w:p>
        </w:tc>
        <w:tc>
          <w:tcPr>
            <w:tcW w:w="2485" w:type="dxa"/>
            <w:vAlign w:val="center"/>
          </w:tcPr>
          <w:p w14:paraId="458C6E56" w14:textId="77777777" w:rsidR="00046521" w:rsidRDefault="00046521" w:rsidP="00C53C7D">
            <w:pPr>
              <w:spacing w:before="240" w:after="240"/>
              <w:jc w:val="center"/>
            </w:pPr>
          </w:p>
        </w:tc>
        <w:tc>
          <w:tcPr>
            <w:tcW w:w="2485" w:type="dxa"/>
            <w:vAlign w:val="center"/>
          </w:tcPr>
          <w:p w14:paraId="3771A751" w14:textId="77777777" w:rsidR="00046521" w:rsidRDefault="00046521" w:rsidP="00C53C7D">
            <w:pPr>
              <w:spacing w:before="240" w:after="240"/>
              <w:jc w:val="center"/>
            </w:pPr>
            <w:r>
              <w:t>X</w:t>
            </w:r>
          </w:p>
        </w:tc>
      </w:tr>
      <w:tr w:rsidR="00046521" w14:paraId="419DBD1F" w14:textId="77777777" w:rsidTr="00C53C7D">
        <w:tc>
          <w:tcPr>
            <w:tcW w:w="1696" w:type="dxa"/>
            <w:vMerge w:val="restart"/>
            <w:vAlign w:val="center"/>
          </w:tcPr>
          <w:p w14:paraId="33CCB887" w14:textId="21F66774" w:rsidR="00046521" w:rsidRDefault="00046521" w:rsidP="00C53C7D">
            <w:pPr>
              <w:spacing w:before="240" w:after="240"/>
              <w:jc w:val="center"/>
            </w:pPr>
            <w:r>
              <w:t>Déchets</w:t>
            </w:r>
          </w:p>
        </w:tc>
        <w:tc>
          <w:tcPr>
            <w:tcW w:w="3274" w:type="dxa"/>
          </w:tcPr>
          <w:p w14:paraId="4FCFF32D" w14:textId="23150650" w:rsidR="00046521" w:rsidRDefault="00046521" w:rsidP="00C53C7D">
            <w:pPr>
              <w:spacing w:before="240" w:after="240"/>
            </w:pPr>
            <w:r>
              <w:t>Augmentation de la part de capture du bio-méthane</w:t>
            </w:r>
          </w:p>
        </w:tc>
        <w:tc>
          <w:tcPr>
            <w:tcW w:w="2485" w:type="dxa"/>
            <w:vAlign w:val="center"/>
          </w:tcPr>
          <w:p w14:paraId="77B0E0E8" w14:textId="77777777" w:rsidR="00046521" w:rsidRDefault="00046521" w:rsidP="00C53C7D">
            <w:pPr>
              <w:spacing w:before="240" w:after="240"/>
              <w:jc w:val="center"/>
            </w:pPr>
            <w:r>
              <w:t>X</w:t>
            </w:r>
          </w:p>
        </w:tc>
        <w:tc>
          <w:tcPr>
            <w:tcW w:w="2485" w:type="dxa"/>
            <w:vAlign w:val="center"/>
          </w:tcPr>
          <w:p w14:paraId="57B12322" w14:textId="77777777" w:rsidR="00046521" w:rsidRDefault="00046521" w:rsidP="00C53C7D">
            <w:pPr>
              <w:spacing w:before="240" w:after="240"/>
              <w:jc w:val="center"/>
            </w:pPr>
            <w:r>
              <w:t>X</w:t>
            </w:r>
          </w:p>
        </w:tc>
      </w:tr>
      <w:tr w:rsidR="00046521" w14:paraId="0F21188F" w14:textId="77777777" w:rsidTr="00C53C7D">
        <w:tc>
          <w:tcPr>
            <w:tcW w:w="1696" w:type="dxa"/>
            <w:vMerge/>
          </w:tcPr>
          <w:p w14:paraId="5B6D2C12" w14:textId="77777777" w:rsidR="00046521" w:rsidRDefault="00046521" w:rsidP="00C53C7D">
            <w:pPr>
              <w:spacing w:before="240" w:after="240"/>
            </w:pPr>
          </w:p>
        </w:tc>
        <w:tc>
          <w:tcPr>
            <w:tcW w:w="3274" w:type="dxa"/>
          </w:tcPr>
          <w:p w14:paraId="06409844" w14:textId="37322709" w:rsidR="00046521" w:rsidRDefault="00046521">
            <w:pPr>
              <w:spacing w:before="240" w:after="240"/>
            </w:pPr>
            <w:r>
              <w:t>Mesures d’économie circulaire</w:t>
            </w:r>
          </w:p>
        </w:tc>
        <w:tc>
          <w:tcPr>
            <w:tcW w:w="2485" w:type="dxa"/>
            <w:vAlign w:val="center"/>
          </w:tcPr>
          <w:p w14:paraId="771E277D" w14:textId="77777777" w:rsidR="00046521" w:rsidRDefault="00046521" w:rsidP="00C53C7D">
            <w:pPr>
              <w:spacing w:before="240" w:after="240"/>
              <w:jc w:val="center"/>
            </w:pPr>
          </w:p>
        </w:tc>
        <w:tc>
          <w:tcPr>
            <w:tcW w:w="2485" w:type="dxa"/>
            <w:vAlign w:val="center"/>
          </w:tcPr>
          <w:p w14:paraId="5ADDEEDA" w14:textId="77777777" w:rsidR="00046521" w:rsidRDefault="00046521" w:rsidP="00C53C7D">
            <w:pPr>
              <w:spacing w:before="240" w:after="240"/>
              <w:jc w:val="center"/>
            </w:pPr>
            <w:r>
              <w:t>X</w:t>
            </w:r>
          </w:p>
        </w:tc>
      </w:tr>
    </w:tbl>
    <w:p w14:paraId="21635AE9" w14:textId="77777777" w:rsidR="00046521" w:rsidRDefault="00046521" w:rsidP="001021CB">
      <w:pPr>
        <w:spacing w:before="240" w:after="240"/>
      </w:pPr>
    </w:p>
    <w:p w14:paraId="4F1F29B7" w14:textId="77777777" w:rsidR="001021CB" w:rsidRDefault="001021CB" w:rsidP="003F57EA">
      <w:pPr>
        <w:pStyle w:val="Titre3Niveau3"/>
        <w:numPr>
          <w:ilvl w:val="1"/>
          <w:numId w:val="78"/>
        </w:numPr>
      </w:pPr>
      <w:bookmarkStart w:id="486" w:name="_Toc138342018"/>
      <w:bookmarkStart w:id="487" w:name="_Toc121215528"/>
      <w:r>
        <w:t>Analyse de sensibilité</w:t>
      </w:r>
      <w:bookmarkEnd w:id="486"/>
      <w:r>
        <w:t xml:space="preserve"> </w:t>
      </w:r>
      <w:bookmarkEnd w:id="487"/>
    </w:p>
    <w:p w14:paraId="0B6562FF" w14:textId="158AA023" w:rsidR="00512611" w:rsidRPr="00512611" w:rsidRDefault="00512611" w:rsidP="009B7105">
      <w:bookmarkStart w:id="488" w:name="_Toc121151062"/>
      <w:bookmarkStart w:id="489" w:name="_Toc121151063"/>
      <w:bookmarkStart w:id="490" w:name="_Toc121151064"/>
      <w:bookmarkStart w:id="491" w:name="_Toc121151065"/>
      <w:bookmarkStart w:id="492" w:name="_Toc121151066"/>
      <w:bookmarkStart w:id="493" w:name="_Toc121151067"/>
      <w:bookmarkStart w:id="494" w:name="_Toc121151068"/>
      <w:bookmarkStart w:id="495" w:name="_Toc121151069"/>
      <w:bookmarkStart w:id="496" w:name="_Toc121151070"/>
      <w:bookmarkStart w:id="497" w:name="_Toc121151071"/>
      <w:bookmarkStart w:id="498" w:name="_Toc121151072"/>
      <w:bookmarkStart w:id="499" w:name="_Toc121151073"/>
      <w:bookmarkStart w:id="500" w:name="_Toc121151109"/>
      <w:bookmarkEnd w:id="488"/>
      <w:bookmarkEnd w:id="489"/>
      <w:bookmarkEnd w:id="490"/>
      <w:bookmarkEnd w:id="491"/>
      <w:bookmarkEnd w:id="492"/>
      <w:bookmarkEnd w:id="493"/>
      <w:bookmarkEnd w:id="494"/>
      <w:bookmarkEnd w:id="495"/>
      <w:bookmarkEnd w:id="496"/>
      <w:bookmarkEnd w:id="497"/>
      <w:bookmarkEnd w:id="498"/>
      <w:bookmarkEnd w:id="499"/>
      <w:bookmarkEnd w:id="500"/>
      <w:r w:rsidRPr="00512611">
        <w:t>Aucune analyse de sensibilité n’a été menée dans le cadre de l’AME 2021.</w:t>
      </w:r>
      <w:r w:rsidR="00AA4016">
        <w:t xml:space="preserve"> En effet, cela aurait représenté un coût important, or l’architecture de modélisation reste assez similaire à celle utilisé pour l’exercice de 2018, pour lequel une telle analyse avait été produite (voir BR4). Il est possible de considérer au premier ordre que la sensibilité aux principaux paramètres (PIB, prix des énergies, etc.) est similaire. </w:t>
      </w:r>
    </w:p>
    <w:p w14:paraId="7990380E" w14:textId="17D2E1B1" w:rsidR="001021CB" w:rsidRDefault="001021CB" w:rsidP="003F57EA">
      <w:pPr>
        <w:pStyle w:val="Titre3Niveau3"/>
        <w:numPr>
          <w:ilvl w:val="1"/>
          <w:numId w:val="78"/>
        </w:numPr>
      </w:pPr>
      <w:bookmarkStart w:id="501" w:name="_Toc138342019"/>
      <w:r w:rsidRPr="00F40D97">
        <w:t>Présentation</w:t>
      </w:r>
      <w:r w:rsidRPr="008136D9">
        <w:t xml:space="preserve"> des projections par rapport aux données réelles</w:t>
      </w:r>
      <w:bookmarkEnd w:id="501"/>
    </w:p>
    <w:p w14:paraId="3291AA68" w14:textId="7D05246E" w:rsidR="00512611" w:rsidRDefault="00512611" w:rsidP="00512611">
      <w:pPr>
        <w:spacing w:before="240" w:after="240"/>
      </w:pPr>
      <w:r>
        <w:t>Le scénario AMS 2018 présenté ici prend comme année de référence, l’année 2015, l’historique jusqu’à cette date étant cohérent avec le dernier inventaire soumis en avril 2018. Le scénario AME 2021 prend comme année de référence l’année 2019, et se base sur l’inventaire soumis en avril 2021.</w:t>
      </w:r>
      <w:r w:rsidR="00B7225B">
        <w:t xml:space="preserve"> En raison du délai entre la production du scénario AMS 2018 et du scénario AME 2021, les années de références sont différentes et ne s’alignent pas avec l’année de référence du dernier inventaire GES, soumis en 2022. Cependant, les tableaux ci-dessous contiennent bien les données de l’inventaire 2022 dans les années observées (jusqu’à 2019)</w:t>
      </w:r>
      <w:r w:rsidR="00FF40B8">
        <w:t>, ce qui peut expliquer certaines ruptures de pentes à partir de 2020</w:t>
      </w:r>
      <w:r w:rsidR="00B7225B">
        <w:t>.</w:t>
      </w:r>
      <w:r w:rsidR="00FF40B8">
        <w:t xml:space="preserve"> Ces données sont également disponibles dans les tables CTF 6(a) et CTF 6(c) du BR5.</w:t>
      </w:r>
    </w:p>
    <w:p w14:paraId="194335BE" w14:textId="77777777" w:rsidR="00512611" w:rsidRDefault="00512611" w:rsidP="00512611">
      <w:pPr>
        <w:spacing w:before="240" w:after="240"/>
      </w:pPr>
      <w:r>
        <w:t>En projection pour l’AMS 2018, les émissions intègrent des éléments correctifs relatifs à certains éléments conjoncturels comme la rigueur de l’hiver. En effet, l’année 2015 étant plus chaude que la moyenne des années passées, les émissions réelles sont moins élevées que si la rigueur de l’hiver avait été dans la moyenne des années passées. Un correctif des émissions à la hausse a ainsi été introduit sur la période de court terme. Un scénario de réchauffement à hauteur de 2°C au niveau mondial en 2050 a par ailleurs été considéré dans le scénario. Dans le présent chapitre les résultats détaillés sont présentés au périmètre Kyoto. Les projections au périmètre convention n’ont pas pu être réalisées dans le cadre de cet exercice.</w:t>
      </w:r>
    </w:p>
    <w:p w14:paraId="0A84AF60" w14:textId="15CD09A5" w:rsidR="001021CB" w:rsidRDefault="00512611" w:rsidP="00512611">
      <w:pPr>
        <w:spacing w:before="240" w:after="240"/>
      </w:pPr>
      <w:r>
        <w:t>Au périmètre Kyoto, les émissions utilisées dans les scénarios (hors secteur UTCATF) étaient ainsi de 457 Mt</w:t>
      </w:r>
      <w:r w:rsidR="007F09F7">
        <w:t>CO</w:t>
      </w:r>
      <w:r w:rsidR="007F09F7" w:rsidRPr="007F09F7">
        <w:rPr>
          <w:vertAlign w:val="subscript"/>
        </w:rPr>
        <w:t>2</w:t>
      </w:r>
      <w:r w:rsidR="004F1EC8" w:rsidRPr="004F1EC8">
        <w:rPr>
          <w:vertAlign w:val="subscript"/>
        </w:rPr>
        <w:t>e</w:t>
      </w:r>
      <w:r>
        <w:t xml:space="preserve"> en 2015 soit 15,9% de réduction par rapport à 1990</w:t>
      </w:r>
      <w:r w:rsidR="001021CB">
        <w:t>.</w:t>
      </w:r>
    </w:p>
    <w:p w14:paraId="1F48B604" w14:textId="77777777" w:rsidR="001021CB" w:rsidRPr="00AB325E" w:rsidRDefault="001021CB" w:rsidP="003F57EA">
      <w:pPr>
        <w:pStyle w:val="titreencadre"/>
        <w:numPr>
          <w:ilvl w:val="3"/>
          <w:numId w:val="78"/>
        </w:numPr>
      </w:pPr>
      <w:r w:rsidRPr="00AB325E">
        <w:t>AME 2021</w:t>
      </w:r>
    </w:p>
    <w:p w14:paraId="66BD6DC2" w14:textId="77777777" w:rsidR="00512611" w:rsidRPr="002C2BF1" w:rsidRDefault="00512611" w:rsidP="00512611">
      <w:pPr>
        <w:spacing w:before="240" w:after="240"/>
      </w:pPr>
      <w:r w:rsidRPr="002C2BF1">
        <w:t>Les émissions</w:t>
      </w:r>
      <w:r>
        <w:t xml:space="preserve"> hors UTCATF au périmètre Kyoto</w:t>
      </w:r>
      <w:r w:rsidRPr="002C2BF1">
        <w:t xml:space="preserve"> diminuent dans le scénario AME 2021 pour atteindre</w:t>
      </w:r>
      <w:r w:rsidRPr="002C2BF1">
        <w:rPr>
          <w:rFonts w:ascii="Calibri" w:hAnsi="Calibri" w:cs="Calibri"/>
        </w:rPr>
        <w:t> </w:t>
      </w:r>
      <w:r w:rsidRPr="002C2BF1">
        <w:t>:</w:t>
      </w:r>
    </w:p>
    <w:p w14:paraId="0C288EE9" w14:textId="3B987821" w:rsidR="00512611" w:rsidRPr="00E26626" w:rsidRDefault="00512611" w:rsidP="00BE086C">
      <w:pPr>
        <w:pStyle w:val="ListParagraph"/>
        <w:numPr>
          <w:ilvl w:val="0"/>
          <w:numId w:val="53"/>
        </w:numPr>
        <w:spacing w:before="240" w:after="240"/>
      </w:pPr>
      <w:r w:rsidRPr="002C2BF1">
        <w:t>367 Mt</w:t>
      </w:r>
      <w:r w:rsidR="007F09F7">
        <w:t>CO</w:t>
      </w:r>
      <w:r w:rsidR="007F09F7" w:rsidRPr="007F09F7">
        <w:rPr>
          <w:vertAlign w:val="subscript"/>
        </w:rPr>
        <w:t>2</w:t>
      </w:r>
      <w:r w:rsidR="004F1EC8" w:rsidRPr="004F1EC8">
        <w:rPr>
          <w:vertAlign w:val="subscript"/>
        </w:rPr>
        <w:t>e</w:t>
      </w:r>
      <w:r w:rsidRPr="002C2BF1">
        <w:t xml:space="preserve"> en 2030, soit 33% de r</w:t>
      </w:r>
      <w:r w:rsidRPr="002C2BF1">
        <w:rPr>
          <w:rFonts w:cs="Marianne"/>
        </w:rPr>
        <w:t>é</w:t>
      </w:r>
      <w:r w:rsidRPr="002C2BF1">
        <w:t>duction par rapport à 1990</w:t>
      </w:r>
    </w:p>
    <w:p w14:paraId="3175CCA0" w14:textId="763C22E5" w:rsidR="001021CB" w:rsidRDefault="00512611" w:rsidP="00BE086C">
      <w:pPr>
        <w:pStyle w:val="ListParagraph"/>
        <w:numPr>
          <w:ilvl w:val="0"/>
          <w:numId w:val="53"/>
        </w:numPr>
        <w:spacing w:before="240" w:after="240"/>
      </w:pPr>
      <w:r w:rsidRPr="002C2BF1">
        <w:t>330 Mt</w:t>
      </w:r>
      <w:r w:rsidR="007F09F7">
        <w:t>CO</w:t>
      </w:r>
      <w:r w:rsidR="007F09F7" w:rsidRPr="007F09F7">
        <w:rPr>
          <w:vertAlign w:val="subscript"/>
        </w:rPr>
        <w:t>2</w:t>
      </w:r>
      <w:r w:rsidR="004F1EC8" w:rsidRPr="004F1EC8">
        <w:rPr>
          <w:vertAlign w:val="subscript"/>
        </w:rPr>
        <w:t>e</w:t>
      </w:r>
      <w:r w:rsidRPr="002C2BF1">
        <w:t xml:space="preserve"> en 2050, soit 39%</w:t>
      </w:r>
      <w:r w:rsidRPr="00262B24">
        <w:t xml:space="preserve"> de réduction par rapport à 199</w:t>
      </w:r>
      <w:r>
        <w:t>0</w:t>
      </w:r>
    </w:p>
    <w:tbl>
      <w:tblPr>
        <w:tblStyle w:val="TableGrid1"/>
        <w:tblW w:w="9941" w:type="dxa"/>
        <w:tblInd w:w="3" w:type="dxa"/>
        <w:tblCellMar>
          <w:top w:w="135" w:type="dxa"/>
          <w:left w:w="28" w:type="dxa"/>
          <w:right w:w="20" w:type="dxa"/>
        </w:tblCellMar>
        <w:tblLook w:val="04A0" w:firstRow="1" w:lastRow="0" w:firstColumn="1" w:lastColumn="0" w:noHBand="0" w:noVBand="1"/>
      </w:tblPr>
      <w:tblGrid>
        <w:gridCol w:w="1031"/>
        <w:gridCol w:w="780"/>
        <w:gridCol w:w="775"/>
        <w:gridCol w:w="780"/>
        <w:gridCol w:w="780"/>
        <w:gridCol w:w="780"/>
        <w:gridCol w:w="780"/>
        <w:gridCol w:w="780"/>
        <w:gridCol w:w="691"/>
        <w:gridCol w:w="691"/>
        <w:gridCol w:w="691"/>
        <w:gridCol w:w="691"/>
        <w:gridCol w:w="691"/>
      </w:tblGrid>
      <w:tr w:rsidR="003936EA" w14:paraId="6F51AC53" w14:textId="77777777" w:rsidTr="00FF40B8">
        <w:trPr>
          <w:trHeight w:val="402"/>
        </w:trPr>
        <w:tc>
          <w:tcPr>
            <w:tcW w:w="1031" w:type="dxa"/>
            <w:tcBorders>
              <w:top w:val="single" w:sz="2" w:space="0" w:color="FFFFFF"/>
              <w:left w:val="single" w:sz="2" w:space="0" w:color="FFFFFF"/>
              <w:bottom w:val="single" w:sz="2" w:space="0" w:color="FFFFFF"/>
              <w:right w:val="single" w:sz="2" w:space="0" w:color="FFFFFF"/>
            </w:tcBorders>
            <w:shd w:val="clear" w:color="auto" w:fill="6D2A78"/>
          </w:tcPr>
          <w:p w14:paraId="3AF8BAD3" w14:textId="77777777" w:rsidR="003936EA" w:rsidRDefault="003936EA" w:rsidP="00E11221">
            <w:pPr>
              <w:spacing w:line="259" w:lineRule="auto"/>
            </w:pPr>
            <w:r w:rsidRPr="001A3BA1">
              <w:rPr>
                <w:color w:val="FFFFFF" w:themeColor="background1"/>
              </w:rPr>
              <w:t>AME 2021</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7323FE33" w14:textId="77777777" w:rsidR="003936EA" w:rsidRDefault="003936EA" w:rsidP="00E11221">
            <w:pPr>
              <w:spacing w:line="259" w:lineRule="auto"/>
              <w:ind w:right="4"/>
              <w:jc w:val="center"/>
            </w:pPr>
            <w:r>
              <w:rPr>
                <w:b/>
                <w:color w:val="FFFFFF"/>
                <w:sz w:val="18"/>
              </w:rPr>
              <w:t>1990</w:t>
            </w:r>
          </w:p>
        </w:tc>
        <w:tc>
          <w:tcPr>
            <w:tcW w:w="775"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31E7AD7" w14:textId="0B0C4B6C" w:rsidR="003936EA" w:rsidRDefault="003936EA" w:rsidP="003936EA">
            <w:pPr>
              <w:spacing w:line="259" w:lineRule="auto"/>
              <w:ind w:right="6"/>
              <w:jc w:val="center"/>
              <w:rPr>
                <w:b/>
                <w:color w:val="FFFFFF"/>
                <w:sz w:val="18"/>
              </w:rPr>
            </w:pPr>
            <w:r>
              <w:rPr>
                <w:b/>
                <w:color w:val="FFFFFF"/>
                <w:sz w:val="18"/>
              </w:rPr>
              <w:t>1995</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6DBEAA8" w14:textId="5533E67F" w:rsidR="003936EA" w:rsidRDefault="003936EA" w:rsidP="00E11221">
            <w:pPr>
              <w:spacing w:line="259" w:lineRule="auto"/>
              <w:ind w:right="6"/>
              <w:jc w:val="center"/>
            </w:pPr>
            <w:r>
              <w:rPr>
                <w:b/>
                <w:color w:val="FFFFFF"/>
                <w:sz w:val="18"/>
              </w:rPr>
              <w:t>2000</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7DC5F9E2" w14:textId="77777777" w:rsidR="003936EA" w:rsidRDefault="003936EA" w:rsidP="00E11221">
            <w:pPr>
              <w:spacing w:line="259" w:lineRule="auto"/>
              <w:ind w:right="4"/>
              <w:jc w:val="center"/>
            </w:pPr>
            <w:r>
              <w:rPr>
                <w:b/>
                <w:color w:val="FFFFFF"/>
                <w:sz w:val="18"/>
              </w:rPr>
              <w:t>2005</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F103E8D" w14:textId="77777777" w:rsidR="003936EA" w:rsidRDefault="003936EA" w:rsidP="00E11221">
            <w:pPr>
              <w:spacing w:line="259" w:lineRule="auto"/>
              <w:ind w:right="7"/>
              <w:jc w:val="center"/>
            </w:pPr>
            <w:r>
              <w:rPr>
                <w:b/>
                <w:color w:val="FFFFFF"/>
                <w:sz w:val="18"/>
              </w:rPr>
              <w:t>2010</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1D3C6CFC" w14:textId="77777777" w:rsidR="003936EA" w:rsidRDefault="003936EA" w:rsidP="00E11221">
            <w:pPr>
              <w:spacing w:line="259" w:lineRule="auto"/>
              <w:ind w:right="5"/>
              <w:jc w:val="center"/>
            </w:pPr>
            <w:r>
              <w:rPr>
                <w:b/>
                <w:color w:val="FFFFFF"/>
                <w:sz w:val="18"/>
              </w:rPr>
              <w:t>2015</w:t>
            </w:r>
          </w:p>
        </w:tc>
        <w:tc>
          <w:tcPr>
            <w:tcW w:w="780"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322DB725" w14:textId="77777777" w:rsidR="003936EA" w:rsidRDefault="003936EA" w:rsidP="00E11221">
            <w:pPr>
              <w:spacing w:line="259" w:lineRule="auto"/>
              <w:ind w:right="7"/>
              <w:jc w:val="center"/>
              <w:rPr>
                <w:b/>
                <w:color w:val="FFFFFF"/>
                <w:sz w:val="18"/>
              </w:rPr>
            </w:pPr>
            <w:r>
              <w:rPr>
                <w:b/>
                <w:color w:val="FFFFFF"/>
                <w:sz w:val="18"/>
              </w:rPr>
              <w:t>2019</w:t>
            </w:r>
          </w:p>
        </w:tc>
        <w:tc>
          <w:tcPr>
            <w:tcW w:w="69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1ED7D7BE" w14:textId="77777777" w:rsidR="003936EA" w:rsidRDefault="003936EA" w:rsidP="00E11221">
            <w:pPr>
              <w:spacing w:line="259" w:lineRule="auto"/>
              <w:ind w:right="7"/>
              <w:jc w:val="center"/>
            </w:pPr>
            <w:r>
              <w:rPr>
                <w:b/>
                <w:color w:val="FFFFFF"/>
                <w:sz w:val="18"/>
              </w:rPr>
              <w:t>2020</w:t>
            </w:r>
          </w:p>
        </w:tc>
        <w:tc>
          <w:tcPr>
            <w:tcW w:w="691" w:type="dxa"/>
            <w:tcBorders>
              <w:top w:val="single" w:sz="2" w:space="0" w:color="FFFFFF"/>
              <w:left w:val="single" w:sz="2" w:space="0" w:color="FFFFFF"/>
              <w:bottom w:val="single" w:sz="2" w:space="0" w:color="FFFFFF"/>
              <w:right w:val="nil"/>
            </w:tcBorders>
            <w:shd w:val="clear" w:color="auto" w:fill="6D2A78"/>
            <w:vAlign w:val="center"/>
          </w:tcPr>
          <w:p w14:paraId="597C4A92" w14:textId="77777777" w:rsidR="003936EA" w:rsidRPr="003936EA" w:rsidRDefault="003936EA" w:rsidP="003936EA">
            <w:pPr>
              <w:spacing w:line="259" w:lineRule="auto"/>
              <w:ind w:right="7"/>
              <w:jc w:val="center"/>
              <w:rPr>
                <w:b/>
                <w:color w:val="FFFFFF"/>
                <w:sz w:val="18"/>
              </w:rPr>
            </w:pPr>
            <w:r>
              <w:rPr>
                <w:b/>
                <w:color w:val="FFFFFF"/>
                <w:sz w:val="18"/>
              </w:rPr>
              <w:t>2025</w:t>
            </w:r>
          </w:p>
        </w:tc>
        <w:tc>
          <w:tcPr>
            <w:tcW w:w="691" w:type="dxa"/>
            <w:tcBorders>
              <w:top w:val="single" w:sz="2" w:space="0" w:color="FFFFFF"/>
              <w:left w:val="nil"/>
              <w:bottom w:val="single" w:sz="2" w:space="0" w:color="FFFFFF"/>
              <w:right w:val="single" w:sz="2" w:space="0" w:color="FFFFFF"/>
            </w:tcBorders>
            <w:shd w:val="clear" w:color="auto" w:fill="6D2A78"/>
            <w:vAlign w:val="center"/>
          </w:tcPr>
          <w:p w14:paraId="1045A5DF" w14:textId="77777777" w:rsidR="003936EA" w:rsidRPr="003936EA" w:rsidRDefault="003936EA" w:rsidP="003936EA">
            <w:pPr>
              <w:spacing w:line="259" w:lineRule="auto"/>
              <w:ind w:right="7"/>
              <w:jc w:val="center"/>
              <w:rPr>
                <w:b/>
                <w:color w:val="FFFFFF"/>
                <w:sz w:val="18"/>
              </w:rPr>
            </w:pPr>
            <w:r>
              <w:rPr>
                <w:b/>
                <w:color w:val="FFFFFF"/>
                <w:sz w:val="18"/>
              </w:rPr>
              <w:t>2030</w:t>
            </w:r>
          </w:p>
        </w:tc>
        <w:tc>
          <w:tcPr>
            <w:tcW w:w="69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5AF925E4" w14:textId="77777777" w:rsidR="003936EA" w:rsidRDefault="003936EA" w:rsidP="00E11221">
            <w:pPr>
              <w:spacing w:line="259" w:lineRule="auto"/>
              <w:jc w:val="center"/>
            </w:pPr>
            <w:r>
              <w:rPr>
                <w:b/>
                <w:color w:val="FFFFFF"/>
                <w:sz w:val="18"/>
              </w:rPr>
              <w:t>2035</w:t>
            </w:r>
          </w:p>
        </w:tc>
        <w:tc>
          <w:tcPr>
            <w:tcW w:w="691"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232F796A" w14:textId="77777777" w:rsidR="003936EA" w:rsidRDefault="003936EA" w:rsidP="00E11221">
            <w:pPr>
              <w:spacing w:line="259" w:lineRule="auto"/>
              <w:jc w:val="center"/>
              <w:rPr>
                <w:b/>
                <w:color w:val="FFFFFF"/>
                <w:sz w:val="18"/>
              </w:rPr>
            </w:pPr>
            <w:r>
              <w:rPr>
                <w:b/>
                <w:color w:val="FFFFFF"/>
                <w:sz w:val="18"/>
              </w:rPr>
              <w:t>2050</w:t>
            </w:r>
          </w:p>
        </w:tc>
      </w:tr>
      <w:tr w:rsidR="003936EA" w14:paraId="1E62615E" w14:textId="77777777" w:rsidTr="00FF40B8">
        <w:trPr>
          <w:trHeight w:val="460"/>
        </w:trPr>
        <w:tc>
          <w:tcPr>
            <w:tcW w:w="1031" w:type="dxa"/>
            <w:tcBorders>
              <w:top w:val="single" w:sz="2" w:space="0" w:color="FFFFFF"/>
              <w:left w:val="single" w:sz="2" w:space="0" w:color="6D2A78"/>
              <w:bottom w:val="single" w:sz="2" w:space="0" w:color="6D2A78"/>
              <w:right w:val="single" w:sz="2" w:space="0" w:color="6D2A78"/>
            </w:tcBorders>
            <w:vAlign w:val="center"/>
          </w:tcPr>
          <w:p w14:paraId="2B4CDDAC" w14:textId="175E6D91" w:rsidR="003936EA" w:rsidRDefault="003936EA" w:rsidP="00E11221">
            <w:pPr>
              <w:spacing w:line="259" w:lineRule="auto"/>
              <w:ind w:left="39"/>
            </w:pPr>
            <w:r>
              <w:rPr>
                <w:sz w:val="18"/>
              </w:rPr>
              <w:t>(en kt</w:t>
            </w:r>
            <w:r>
              <w:t>CO</w:t>
            </w:r>
            <w:r w:rsidRPr="007F09F7">
              <w:rPr>
                <w:vertAlign w:val="subscript"/>
              </w:rPr>
              <w:t>2</w:t>
            </w:r>
            <w:r w:rsidRPr="004F1EC8">
              <w:rPr>
                <w:sz w:val="18"/>
                <w:vertAlign w:val="subscript"/>
              </w:rPr>
              <w:t>e</w:t>
            </w:r>
            <w:r>
              <w:rPr>
                <w:sz w:val="18"/>
              </w:rPr>
              <w:t xml:space="preserve">) </w:t>
            </w:r>
          </w:p>
        </w:tc>
        <w:tc>
          <w:tcPr>
            <w:tcW w:w="780" w:type="dxa"/>
            <w:tcBorders>
              <w:top w:val="single" w:sz="2" w:space="0" w:color="FFFFFF"/>
              <w:left w:val="single" w:sz="2" w:space="0" w:color="6D2A78"/>
              <w:bottom w:val="single" w:sz="2" w:space="0" w:color="6D2A78"/>
              <w:right w:val="single" w:sz="2" w:space="0" w:color="6D2A78"/>
            </w:tcBorders>
            <w:vAlign w:val="center"/>
          </w:tcPr>
          <w:p w14:paraId="3EE0CA27" w14:textId="77777777" w:rsidR="003936EA" w:rsidRDefault="003936EA" w:rsidP="00E11221">
            <w:pPr>
              <w:spacing w:line="259" w:lineRule="auto"/>
              <w:jc w:val="center"/>
            </w:pPr>
            <w:r>
              <w:rPr>
                <w:sz w:val="18"/>
              </w:rPr>
              <w:t>Observé</w:t>
            </w:r>
          </w:p>
        </w:tc>
        <w:tc>
          <w:tcPr>
            <w:tcW w:w="775" w:type="dxa"/>
            <w:tcBorders>
              <w:top w:val="single" w:sz="2" w:space="0" w:color="FFFFFF"/>
              <w:left w:val="single" w:sz="2" w:space="0" w:color="6D2A78"/>
              <w:bottom w:val="single" w:sz="2" w:space="0" w:color="6D2A78"/>
              <w:right w:val="single" w:sz="2" w:space="0" w:color="6D2A78"/>
            </w:tcBorders>
            <w:vAlign w:val="center"/>
          </w:tcPr>
          <w:p w14:paraId="64CE044F" w14:textId="1A93832F" w:rsidR="003936EA" w:rsidRDefault="003936EA" w:rsidP="003936EA">
            <w:pPr>
              <w:spacing w:line="259" w:lineRule="auto"/>
              <w:jc w:val="center"/>
              <w:rPr>
                <w:sz w:val="18"/>
              </w:rPr>
            </w:pPr>
            <w:r>
              <w:rPr>
                <w:sz w:val="18"/>
              </w:rPr>
              <w:t>Observé</w:t>
            </w:r>
          </w:p>
        </w:tc>
        <w:tc>
          <w:tcPr>
            <w:tcW w:w="780" w:type="dxa"/>
            <w:tcBorders>
              <w:top w:val="single" w:sz="2" w:space="0" w:color="FFFFFF"/>
              <w:left w:val="single" w:sz="2" w:space="0" w:color="6D2A78"/>
              <w:bottom w:val="single" w:sz="2" w:space="0" w:color="6D2A78"/>
              <w:right w:val="single" w:sz="2" w:space="0" w:color="6D2A78"/>
            </w:tcBorders>
            <w:vAlign w:val="center"/>
          </w:tcPr>
          <w:p w14:paraId="50B81CA0" w14:textId="035B68BE" w:rsidR="003936EA" w:rsidRDefault="003936EA" w:rsidP="00E11221">
            <w:pPr>
              <w:spacing w:line="259" w:lineRule="auto"/>
              <w:jc w:val="center"/>
            </w:pPr>
            <w:r>
              <w:rPr>
                <w:sz w:val="18"/>
              </w:rPr>
              <w:t>Observé</w:t>
            </w:r>
          </w:p>
        </w:tc>
        <w:tc>
          <w:tcPr>
            <w:tcW w:w="780" w:type="dxa"/>
            <w:tcBorders>
              <w:top w:val="single" w:sz="2" w:space="0" w:color="FFFFFF"/>
              <w:left w:val="single" w:sz="2" w:space="0" w:color="6D2A78"/>
              <w:bottom w:val="single" w:sz="2" w:space="0" w:color="6D2A78"/>
              <w:right w:val="single" w:sz="2" w:space="0" w:color="6D2A78"/>
            </w:tcBorders>
            <w:vAlign w:val="center"/>
          </w:tcPr>
          <w:p w14:paraId="422EF387" w14:textId="77777777" w:rsidR="003936EA" w:rsidRDefault="003936EA" w:rsidP="00E11221">
            <w:pPr>
              <w:spacing w:line="259" w:lineRule="auto"/>
              <w:jc w:val="center"/>
            </w:pPr>
            <w:r>
              <w:rPr>
                <w:sz w:val="18"/>
              </w:rPr>
              <w:t>Observé</w:t>
            </w:r>
          </w:p>
        </w:tc>
        <w:tc>
          <w:tcPr>
            <w:tcW w:w="780" w:type="dxa"/>
            <w:tcBorders>
              <w:top w:val="single" w:sz="2" w:space="0" w:color="FFFFFF"/>
              <w:left w:val="single" w:sz="2" w:space="0" w:color="6D2A78"/>
              <w:bottom w:val="single" w:sz="2" w:space="0" w:color="6D2A78"/>
              <w:right w:val="single" w:sz="2" w:space="0" w:color="6D2A78"/>
            </w:tcBorders>
            <w:vAlign w:val="center"/>
          </w:tcPr>
          <w:p w14:paraId="1E414DDF" w14:textId="77777777" w:rsidR="003936EA" w:rsidRDefault="003936EA" w:rsidP="00E11221">
            <w:pPr>
              <w:spacing w:line="259" w:lineRule="auto"/>
              <w:jc w:val="center"/>
            </w:pPr>
            <w:r>
              <w:rPr>
                <w:sz w:val="18"/>
              </w:rPr>
              <w:t>Observé</w:t>
            </w:r>
          </w:p>
        </w:tc>
        <w:tc>
          <w:tcPr>
            <w:tcW w:w="780" w:type="dxa"/>
            <w:tcBorders>
              <w:top w:val="single" w:sz="2" w:space="0" w:color="FFFFFF"/>
              <w:left w:val="single" w:sz="2" w:space="0" w:color="6D2A78"/>
              <w:bottom w:val="single" w:sz="2" w:space="0" w:color="6D2A78"/>
              <w:right w:val="single" w:sz="2" w:space="0" w:color="6D2A78"/>
            </w:tcBorders>
            <w:vAlign w:val="center"/>
          </w:tcPr>
          <w:p w14:paraId="4A5536F5" w14:textId="77777777" w:rsidR="003936EA" w:rsidRDefault="003936EA" w:rsidP="00E11221">
            <w:pPr>
              <w:spacing w:line="259" w:lineRule="auto"/>
              <w:jc w:val="center"/>
            </w:pPr>
            <w:r>
              <w:rPr>
                <w:sz w:val="18"/>
              </w:rPr>
              <w:t>Observé</w:t>
            </w:r>
          </w:p>
        </w:tc>
        <w:tc>
          <w:tcPr>
            <w:tcW w:w="780" w:type="dxa"/>
            <w:tcBorders>
              <w:top w:val="single" w:sz="2" w:space="0" w:color="FFFFFF"/>
              <w:left w:val="single" w:sz="2" w:space="0" w:color="6D2A78"/>
              <w:bottom w:val="single" w:sz="2" w:space="0" w:color="6D2A78"/>
              <w:right w:val="single" w:sz="2" w:space="0" w:color="6D2A78"/>
            </w:tcBorders>
            <w:vAlign w:val="center"/>
          </w:tcPr>
          <w:p w14:paraId="422A31C4" w14:textId="77777777" w:rsidR="003936EA" w:rsidRDefault="003936EA" w:rsidP="00E11221">
            <w:pPr>
              <w:spacing w:line="259" w:lineRule="auto"/>
              <w:jc w:val="center"/>
              <w:rPr>
                <w:sz w:val="18"/>
              </w:rPr>
            </w:pPr>
            <w:r>
              <w:rPr>
                <w:sz w:val="18"/>
              </w:rPr>
              <w:t>Observé</w:t>
            </w:r>
          </w:p>
        </w:tc>
        <w:tc>
          <w:tcPr>
            <w:tcW w:w="691" w:type="dxa"/>
            <w:tcBorders>
              <w:top w:val="single" w:sz="2" w:space="0" w:color="FFFFFF"/>
              <w:left w:val="single" w:sz="2" w:space="0" w:color="6D2A78"/>
              <w:bottom w:val="single" w:sz="2" w:space="0" w:color="6D2A78"/>
              <w:right w:val="single" w:sz="2" w:space="0" w:color="6D2A78"/>
            </w:tcBorders>
            <w:vAlign w:val="center"/>
          </w:tcPr>
          <w:p w14:paraId="67C40118" w14:textId="77777777" w:rsidR="003936EA" w:rsidRDefault="003936EA" w:rsidP="00E11221">
            <w:pPr>
              <w:spacing w:line="259" w:lineRule="auto"/>
              <w:jc w:val="center"/>
            </w:pPr>
            <w:r>
              <w:rPr>
                <w:sz w:val="18"/>
              </w:rPr>
              <w:t>Projeté</w:t>
            </w:r>
          </w:p>
        </w:tc>
        <w:tc>
          <w:tcPr>
            <w:tcW w:w="691" w:type="dxa"/>
            <w:tcBorders>
              <w:top w:val="single" w:sz="2" w:space="0" w:color="FFFFFF"/>
              <w:left w:val="single" w:sz="2" w:space="0" w:color="6D2A78"/>
              <w:bottom w:val="single" w:sz="2" w:space="0" w:color="6D2A78"/>
              <w:right w:val="single" w:sz="2" w:space="0" w:color="6D2A78"/>
            </w:tcBorders>
            <w:vAlign w:val="center"/>
          </w:tcPr>
          <w:p w14:paraId="656AEE34" w14:textId="77777777" w:rsidR="003936EA" w:rsidRDefault="003936EA" w:rsidP="00E11221">
            <w:pPr>
              <w:spacing w:line="259" w:lineRule="auto"/>
              <w:jc w:val="center"/>
            </w:pPr>
            <w:r>
              <w:rPr>
                <w:sz w:val="18"/>
              </w:rPr>
              <w:t>Projeté</w:t>
            </w:r>
          </w:p>
        </w:tc>
        <w:tc>
          <w:tcPr>
            <w:tcW w:w="691" w:type="dxa"/>
            <w:tcBorders>
              <w:top w:val="single" w:sz="2" w:space="0" w:color="FFFFFF"/>
              <w:left w:val="single" w:sz="2" w:space="0" w:color="6D2A78"/>
              <w:bottom w:val="single" w:sz="2" w:space="0" w:color="6D2A78"/>
              <w:right w:val="single" w:sz="2" w:space="0" w:color="6D2A78"/>
            </w:tcBorders>
            <w:vAlign w:val="center"/>
          </w:tcPr>
          <w:p w14:paraId="52411DBA" w14:textId="77777777" w:rsidR="003936EA" w:rsidRDefault="003936EA" w:rsidP="00E11221">
            <w:pPr>
              <w:spacing w:line="259" w:lineRule="auto"/>
              <w:jc w:val="center"/>
            </w:pPr>
            <w:r>
              <w:rPr>
                <w:sz w:val="18"/>
              </w:rPr>
              <w:t>Projeté</w:t>
            </w:r>
          </w:p>
        </w:tc>
        <w:tc>
          <w:tcPr>
            <w:tcW w:w="691" w:type="dxa"/>
            <w:tcBorders>
              <w:top w:val="single" w:sz="2" w:space="0" w:color="FFFFFF"/>
              <w:left w:val="single" w:sz="2" w:space="0" w:color="6D2A78"/>
              <w:bottom w:val="single" w:sz="2" w:space="0" w:color="6D2A78"/>
              <w:right w:val="single" w:sz="2" w:space="0" w:color="6D2A78"/>
            </w:tcBorders>
            <w:vAlign w:val="center"/>
          </w:tcPr>
          <w:p w14:paraId="271E446F" w14:textId="77777777" w:rsidR="003936EA" w:rsidRDefault="003936EA" w:rsidP="00E11221">
            <w:pPr>
              <w:spacing w:line="259" w:lineRule="auto"/>
              <w:jc w:val="center"/>
            </w:pPr>
            <w:r>
              <w:rPr>
                <w:sz w:val="18"/>
              </w:rPr>
              <w:t>Projeté</w:t>
            </w:r>
          </w:p>
        </w:tc>
        <w:tc>
          <w:tcPr>
            <w:tcW w:w="691" w:type="dxa"/>
            <w:tcBorders>
              <w:top w:val="single" w:sz="2" w:space="0" w:color="FFFFFF"/>
              <w:left w:val="single" w:sz="2" w:space="0" w:color="6D2A78"/>
              <w:bottom w:val="single" w:sz="2" w:space="0" w:color="6D2A78"/>
              <w:right w:val="single" w:sz="2" w:space="0" w:color="6D2A78"/>
            </w:tcBorders>
            <w:vAlign w:val="center"/>
          </w:tcPr>
          <w:p w14:paraId="4F342453" w14:textId="77777777" w:rsidR="003936EA" w:rsidRDefault="003936EA" w:rsidP="00E11221">
            <w:pPr>
              <w:spacing w:line="259" w:lineRule="auto"/>
              <w:jc w:val="center"/>
              <w:rPr>
                <w:sz w:val="18"/>
              </w:rPr>
            </w:pPr>
            <w:r>
              <w:rPr>
                <w:sz w:val="18"/>
              </w:rPr>
              <w:t>Projeté</w:t>
            </w:r>
          </w:p>
        </w:tc>
      </w:tr>
      <w:tr w:rsidR="00FF40B8" w14:paraId="59067298" w14:textId="77777777" w:rsidTr="00FF40B8">
        <w:trPr>
          <w:trHeight w:val="457"/>
        </w:trPr>
        <w:tc>
          <w:tcPr>
            <w:tcW w:w="103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F3E0520" w14:textId="77777777" w:rsidR="00FF40B8" w:rsidRDefault="00FF40B8" w:rsidP="00FF40B8">
            <w:pPr>
              <w:spacing w:line="259" w:lineRule="auto"/>
              <w:ind w:right="9"/>
              <w:jc w:val="center"/>
            </w:pPr>
            <w:r>
              <w:rPr>
                <w:sz w:val="18"/>
              </w:rPr>
              <w:t xml:space="preserve">Ensemble (hors UTCATF) </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9577C62" w14:textId="36B76D03" w:rsidR="00FF40B8" w:rsidRDefault="00FF40B8" w:rsidP="00FF40B8">
            <w:pPr>
              <w:spacing w:line="259" w:lineRule="auto"/>
              <w:ind w:left="59"/>
              <w:jc w:val="center"/>
            </w:pPr>
            <w:r w:rsidRPr="006E265A">
              <w:rPr>
                <w:sz w:val="18"/>
              </w:rPr>
              <w:t>544086</w:t>
            </w:r>
          </w:p>
        </w:tc>
        <w:tc>
          <w:tcPr>
            <w:tcW w:w="775"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8954C4D" w14:textId="35DDD885" w:rsidR="00FF40B8" w:rsidRPr="001A3BA1" w:rsidRDefault="00FF40B8" w:rsidP="00FF40B8">
            <w:pPr>
              <w:spacing w:line="259" w:lineRule="auto"/>
              <w:ind w:left="58"/>
              <w:jc w:val="center"/>
              <w:rPr>
                <w:sz w:val="18"/>
              </w:rPr>
            </w:pPr>
            <w:r w:rsidRPr="006E265A">
              <w:rPr>
                <w:sz w:val="18"/>
              </w:rPr>
              <w:t>536475</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C4B9AB0" w14:textId="1AC82449" w:rsidR="00FF40B8" w:rsidRPr="001A3BA1" w:rsidRDefault="00FF40B8" w:rsidP="00FF40B8">
            <w:pPr>
              <w:spacing w:line="259" w:lineRule="auto"/>
              <w:ind w:left="58"/>
              <w:jc w:val="center"/>
            </w:pPr>
            <w:r w:rsidRPr="006E265A">
              <w:rPr>
                <w:sz w:val="18"/>
              </w:rPr>
              <w:t>549005</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B7A18AC" w14:textId="0B24C051" w:rsidR="00FF40B8" w:rsidRPr="002C2BF1" w:rsidRDefault="00FF40B8" w:rsidP="00FF40B8">
            <w:pPr>
              <w:spacing w:line="259" w:lineRule="auto"/>
              <w:ind w:left="59"/>
              <w:jc w:val="center"/>
              <w:rPr>
                <w:highlight w:val="yellow"/>
              </w:rPr>
            </w:pPr>
            <w:r w:rsidRPr="006E265A">
              <w:rPr>
                <w:sz w:val="18"/>
              </w:rPr>
              <w:t>551391</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61143F1" w14:textId="1BF294F5" w:rsidR="00FF40B8" w:rsidRDefault="00FF40B8" w:rsidP="00FF40B8">
            <w:pPr>
              <w:spacing w:line="259" w:lineRule="auto"/>
              <w:ind w:left="62"/>
              <w:jc w:val="center"/>
            </w:pPr>
            <w:r w:rsidRPr="006E265A">
              <w:rPr>
                <w:sz w:val="18"/>
              </w:rPr>
              <w:t>507468</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F685D00" w14:textId="444930F4" w:rsidR="00FF40B8" w:rsidRDefault="00FF40B8" w:rsidP="00FF40B8">
            <w:pPr>
              <w:spacing w:line="259" w:lineRule="auto"/>
              <w:ind w:left="59"/>
              <w:jc w:val="center"/>
            </w:pPr>
            <w:r w:rsidRPr="006E265A">
              <w:rPr>
                <w:sz w:val="18"/>
              </w:rPr>
              <w:t>457923</w:t>
            </w:r>
          </w:p>
        </w:tc>
        <w:tc>
          <w:tcPr>
            <w:tcW w:w="78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11C4AAC9" w14:textId="46E7D216" w:rsidR="00FF40B8" w:rsidRDefault="00FF40B8" w:rsidP="00FF40B8">
            <w:pPr>
              <w:spacing w:line="259" w:lineRule="auto"/>
              <w:ind w:left="58"/>
              <w:jc w:val="center"/>
              <w:rPr>
                <w:sz w:val="18"/>
              </w:rPr>
            </w:pPr>
            <w:r w:rsidRPr="006E265A">
              <w:rPr>
                <w:sz w:val="18"/>
              </w:rPr>
              <w:t>434539</w:t>
            </w:r>
          </w:p>
        </w:tc>
        <w:tc>
          <w:tcPr>
            <w:tcW w:w="69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0D89625" w14:textId="467380D7" w:rsidR="00FF40B8" w:rsidRDefault="00FF40B8" w:rsidP="00FF40B8">
            <w:pPr>
              <w:spacing w:line="259" w:lineRule="auto"/>
              <w:ind w:left="58"/>
              <w:jc w:val="center"/>
            </w:pPr>
            <w:r w:rsidRPr="00364545">
              <w:rPr>
                <w:sz w:val="18"/>
              </w:rPr>
              <w:t>398676</w:t>
            </w:r>
          </w:p>
        </w:tc>
        <w:tc>
          <w:tcPr>
            <w:tcW w:w="69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004DAF6" w14:textId="582292B1" w:rsidR="00FF40B8" w:rsidRDefault="00FF40B8" w:rsidP="00FF40B8">
            <w:pPr>
              <w:spacing w:line="259" w:lineRule="auto"/>
              <w:ind w:left="59"/>
              <w:jc w:val="center"/>
            </w:pPr>
            <w:r w:rsidRPr="00364545">
              <w:rPr>
                <w:sz w:val="18"/>
              </w:rPr>
              <w:t>392095</w:t>
            </w:r>
          </w:p>
        </w:tc>
        <w:tc>
          <w:tcPr>
            <w:tcW w:w="69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551012E" w14:textId="4162814B" w:rsidR="00FF40B8" w:rsidRDefault="00FF40B8" w:rsidP="00FF40B8">
            <w:pPr>
              <w:spacing w:line="259" w:lineRule="auto"/>
              <w:ind w:left="58"/>
              <w:jc w:val="center"/>
            </w:pPr>
            <w:r w:rsidRPr="00364545">
              <w:rPr>
                <w:sz w:val="18"/>
              </w:rPr>
              <w:t>367049</w:t>
            </w:r>
          </w:p>
        </w:tc>
        <w:tc>
          <w:tcPr>
            <w:tcW w:w="69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6FA73E8A" w14:textId="7B06F0C9" w:rsidR="00FF40B8" w:rsidRDefault="00FF40B8" w:rsidP="00FF40B8">
            <w:pPr>
              <w:spacing w:line="259" w:lineRule="auto"/>
              <w:ind w:left="59"/>
              <w:jc w:val="center"/>
            </w:pPr>
            <w:r w:rsidRPr="00364545">
              <w:rPr>
                <w:sz w:val="18"/>
              </w:rPr>
              <w:t>354446</w:t>
            </w:r>
          </w:p>
        </w:tc>
        <w:tc>
          <w:tcPr>
            <w:tcW w:w="691"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7E17257F" w14:textId="5450475A" w:rsidR="00FF40B8" w:rsidRDefault="00FF40B8" w:rsidP="00FF40B8">
            <w:pPr>
              <w:spacing w:line="259" w:lineRule="auto"/>
              <w:ind w:left="59"/>
              <w:jc w:val="center"/>
              <w:rPr>
                <w:sz w:val="18"/>
              </w:rPr>
            </w:pPr>
            <w:r w:rsidRPr="00364545">
              <w:rPr>
                <w:sz w:val="18"/>
              </w:rPr>
              <w:t>329653</w:t>
            </w:r>
          </w:p>
        </w:tc>
      </w:tr>
      <w:tr w:rsidR="00FF40B8" w14:paraId="3F20C364" w14:textId="77777777" w:rsidTr="00FF40B8">
        <w:trPr>
          <w:trHeight w:val="459"/>
        </w:trPr>
        <w:tc>
          <w:tcPr>
            <w:tcW w:w="1031" w:type="dxa"/>
            <w:tcBorders>
              <w:top w:val="single" w:sz="2" w:space="0" w:color="6D2A78"/>
              <w:left w:val="single" w:sz="2" w:space="0" w:color="6D2A78"/>
              <w:bottom w:val="single" w:sz="2" w:space="0" w:color="6D2A78"/>
              <w:right w:val="single" w:sz="2" w:space="0" w:color="6D2A78"/>
            </w:tcBorders>
            <w:vAlign w:val="center"/>
          </w:tcPr>
          <w:p w14:paraId="67671BFD" w14:textId="77777777" w:rsidR="00FF40B8" w:rsidRDefault="00FF40B8" w:rsidP="00FF40B8">
            <w:pPr>
              <w:spacing w:line="259" w:lineRule="auto"/>
              <w:ind w:left="144"/>
            </w:pPr>
            <w:r>
              <w:rPr>
                <w:sz w:val="18"/>
              </w:rPr>
              <w:t xml:space="preserve">Ensemble (avec UTCATF) </w:t>
            </w:r>
          </w:p>
        </w:tc>
        <w:tc>
          <w:tcPr>
            <w:tcW w:w="780" w:type="dxa"/>
            <w:tcBorders>
              <w:top w:val="single" w:sz="2" w:space="0" w:color="6D2A78"/>
              <w:left w:val="single" w:sz="2" w:space="0" w:color="6D2A78"/>
              <w:bottom w:val="single" w:sz="2" w:space="0" w:color="6D2A78"/>
              <w:right w:val="single" w:sz="2" w:space="0" w:color="6D2A78"/>
            </w:tcBorders>
            <w:vAlign w:val="center"/>
          </w:tcPr>
          <w:p w14:paraId="79A9B2E4" w14:textId="26CE3D1C" w:rsidR="00FF40B8" w:rsidRDefault="00FF40B8" w:rsidP="00FF40B8">
            <w:pPr>
              <w:spacing w:line="259" w:lineRule="auto"/>
              <w:ind w:left="59"/>
              <w:jc w:val="center"/>
            </w:pPr>
            <w:r w:rsidRPr="006E265A">
              <w:rPr>
                <w:sz w:val="18"/>
              </w:rPr>
              <w:t>520100</w:t>
            </w:r>
          </w:p>
        </w:tc>
        <w:tc>
          <w:tcPr>
            <w:tcW w:w="775" w:type="dxa"/>
            <w:tcBorders>
              <w:top w:val="single" w:sz="2" w:space="0" w:color="6D2A78"/>
              <w:left w:val="single" w:sz="2" w:space="0" w:color="6D2A78"/>
              <w:bottom w:val="single" w:sz="2" w:space="0" w:color="6D2A78"/>
              <w:right w:val="single" w:sz="2" w:space="0" w:color="6D2A78"/>
            </w:tcBorders>
            <w:vAlign w:val="center"/>
          </w:tcPr>
          <w:p w14:paraId="1069EE0F" w14:textId="510B26D9" w:rsidR="00FF40B8" w:rsidRPr="001A3BA1" w:rsidRDefault="00FF40B8" w:rsidP="00FF40B8">
            <w:pPr>
              <w:spacing w:line="259" w:lineRule="auto"/>
              <w:ind w:left="58"/>
              <w:jc w:val="center"/>
              <w:rPr>
                <w:sz w:val="18"/>
              </w:rPr>
            </w:pPr>
            <w:r w:rsidRPr="006E265A">
              <w:rPr>
                <w:sz w:val="18"/>
              </w:rPr>
              <w:t>511596</w:t>
            </w:r>
          </w:p>
        </w:tc>
        <w:tc>
          <w:tcPr>
            <w:tcW w:w="780" w:type="dxa"/>
            <w:tcBorders>
              <w:top w:val="single" w:sz="2" w:space="0" w:color="6D2A78"/>
              <w:left w:val="single" w:sz="2" w:space="0" w:color="6D2A78"/>
              <w:bottom w:val="single" w:sz="2" w:space="0" w:color="6D2A78"/>
              <w:right w:val="single" w:sz="2" w:space="0" w:color="6D2A78"/>
            </w:tcBorders>
            <w:vAlign w:val="center"/>
          </w:tcPr>
          <w:p w14:paraId="7E40C9F0" w14:textId="33DE3E35" w:rsidR="00FF40B8" w:rsidRPr="001A3BA1" w:rsidRDefault="00FF40B8" w:rsidP="00FF40B8">
            <w:pPr>
              <w:spacing w:line="259" w:lineRule="auto"/>
              <w:ind w:left="58"/>
              <w:jc w:val="center"/>
            </w:pPr>
            <w:r w:rsidRPr="006E265A">
              <w:rPr>
                <w:sz w:val="18"/>
              </w:rPr>
              <w:t>529295</w:t>
            </w:r>
          </w:p>
        </w:tc>
        <w:tc>
          <w:tcPr>
            <w:tcW w:w="780" w:type="dxa"/>
            <w:tcBorders>
              <w:top w:val="single" w:sz="2" w:space="0" w:color="6D2A78"/>
              <w:left w:val="single" w:sz="2" w:space="0" w:color="6D2A78"/>
              <w:bottom w:val="single" w:sz="2" w:space="0" w:color="6D2A78"/>
              <w:right w:val="single" w:sz="2" w:space="0" w:color="6D2A78"/>
            </w:tcBorders>
            <w:vAlign w:val="center"/>
          </w:tcPr>
          <w:p w14:paraId="168FF8CC" w14:textId="700535E4" w:rsidR="00FF40B8" w:rsidRPr="002C2BF1" w:rsidRDefault="00FF40B8" w:rsidP="00FF40B8">
            <w:pPr>
              <w:spacing w:line="259" w:lineRule="auto"/>
              <w:ind w:left="59"/>
              <w:jc w:val="center"/>
              <w:rPr>
                <w:highlight w:val="yellow"/>
              </w:rPr>
            </w:pPr>
            <w:r w:rsidRPr="006E265A">
              <w:rPr>
                <w:sz w:val="18"/>
              </w:rPr>
              <w:t>504079</w:t>
            </w:r>
          </w:p>
        </w:tc>
        <w:tc>
          <w:tcPr>
            <w:tcW w:w="780" w:type="dxa"/>
            <w:tcBorders>
              <w:top w:val="single" w:sz="2" w:space="0" w:color="6D2A78"/>
              <w:left w:val="single" w:sz="2" w:space="0" w:color="6D2A78"/>
              <w:bottom w:val="single" w:sz="2" w:space="0" w:color="6D2A78"/>
              <w:right w:val="single" w:sz="2" w:space="0" w:color="6D2A78"/>
            </w:tcBorders>
            <w:vAlign w:val="center"/>
          </w:tcPr>
          <w:p w14:paraId="2C486049" w14:textId="12F16657" w:rsidR="00FF40B8" w:rsidRDefault="00FF40B8" w:rsidP="00FF40B8">
            <w:pPr>
              <w:spacing w:line="259" w:lineRule="auto"/>
              <w:ind w:left="57"/>
              <w:jc w:val="center"/>
            </w:pPr>
            <w:r w:rsidRPr="006E265A">
              <w:rPr>
                <w:sz w:val="18"/>
              </w:rPr>
              <w:t>469112</w:t>
            </w:r>
          </w:p>
        </w:tc>
        <w:tc>
          <w:tcPr>
            <w:tcW w:w="780" w:type="dxa"/>
            <w:tcBorders>
              <w:top w:val="single" w:sz="2" w:space="0" w:color="6D2A78"/>
              <w:left w:val="single" w:sz="2" w:space="0" w:color="6D2A78"/>
              <w:bottom w:val="single" w:sz="2" w:space="0" w:color="6D2A78"/>
              <w:right w:val="single" w:sz="2" w:space="0" w:color="6D2A78"/>
            </w:tcBorders>
            <w:vAlign w:val="center"/>
          </w:tcPr>
          <w:p w14:paraId="6FA29081" w14:textId="51EFCA7B" w:rsidR="00FF40B8" w:rsidRDefault="00FF40B8" w:rsidP="00FF40B8">
            <w:pPr>
              <w:spacing w:line="259" w:lineRule="auto"/>
              <w:ind w:left="59"/>
              <w:jc w:val="center"/>
            </w:pPr>
            <w:r w:rsidRPr="006E265A">
              <w:rPr>
                <w:sz w:val="18"/>
              </w:rPr>
              <w:t>423346</w:t>
            </w:r>
          </w:p>
        </w:tc>
        <w:tc>
          <w:tcPr>
            <w:tcW w:w="780" w:type="dxa"/>
            <w:tcBorders>
              <w:top w:val="single" w:sz="2" w:space="0" w:color="6D2A78"/>
              <w:left w:val="single" w:sz="2" w:space="0" w:color="6D2A78"/>
              <w:bottom w:val="single" w:sz="2" w:space="0" w:color="6D2A78"/>
              <w:right w:val="single" w:sz="2" w:space="0" w:color="6D2A78"/>
            </w:tcBorders>
            <w:vAlign w:val="center"/>
          </w:tcPr>
          <w:p w14:paraId="4A8EA9B6" w14:textId="7737B755" w:rsidR="00FF40B8" w:rsidRDefault="00FF40B8" w:rsidP="00FF40B8">
            <w:pPr>
              <w:spacing w:line="259" w:lineRule="auto"/>
              <w:ind w:left="57"/>
              <w:jc w:val="center"/>
              <w:rPr>
                <w:sz w:val="18"/>
              </w:rPr>
            </w:pPr>
            <w:r w:rsidRPr="006E265A">
              <w:rPr>
                <w:sz w:val="18"/>
              </w:rPr>
              <w:t>422251</w:t>
            </w:r>
          </w:p>
        </w:tc>
        <w:tc>
          <w:tcPr>
            <w:tcW w:w="691" w:type="dxa"/>
            <w:tcBorders>
              <w:top w:val="single" w:sz="2" w:space="0" w:color="6D2A78"/>
              <w:left w:val="single" w:sz="2" w:space="0" w:color="6D2A78"/>
              <w:bottom w:val="single" w:sz="2" w:space="0" w:color="6D2A78"/>
              <w:right w:val="single" w:sz="2" w:space="0" w:color="6D2A78"/>
            </w:tcBorders>
            <w:vAlign w:val="center"/>
          </w:tcPr>
          <w:p w14:paraId="5E1186E7" w14:textId="2F81323D" w:rsidR="00FF40B8" w:rsidRDefault="00FF40B8" w:rsidP="00FF40B8">
            <w:pPr>
              <w:spacing w:line="259" w:lineRule="auto"/>
              <w:ind w:left="57"/>
              <w:jc w:val="center"/>
            </w:pPr>
            <w:r w:rsidRPr="00364545">
              <w:rPr>
                <w:sz w:val="18"/>
              </w:rPr>
              <w:t>365838</w:t>
            </w:r>
          </w:p>
        </w:tc>
        <w:tc>
          <w:tcPr>
            <w:tcW w:w="691" w:type="dxa"/>
            <w:tcBorders>
              <w:top w:val="single" w:sz="2" w:space="0" w:color="6D2A78"/>
              <w:left w:val="single" w:sz="2" w:space="0" w:color="6D2A78"/>
              <w:bottom w:val="single" w:sz="2" w:space="0" w:color="6D2A78"/>
              <w:right w:val="single" w:sz="2" w:space="0" w:color="6D2A78"/>
            </w:tcBorders>
            <w:vAlign w:val="center"/>
          </w:tcPr>
          <w:p w14:paraId="61713950" w14:textId="0A711977" w:rsidR="00FF40B8" w:rsidRDefault="00FF40B8" w:rsidP="00FF40B8">
            <w:pPr>
              <w:spacing w:line="259" w:lineRule="auto"/>
              <w:ind w:left="58"/>
              <w:jc w:val="center"/>
            </w:pPr>
            <w:r w:rsidRPr="00364545">
              <w:rPr>
                <w:sz w:val="18"/>
              </w:rPr>
              <w:t>363349</w:t>
            </w:r>
          </w:p>
        </w:tc>
        <w:tc>
          <w:tcPr>
            <w:tcW w:w="691" w:type="dxa"/>
            <w:tcBorders>
              <w:top w:val="single" w:sz="2" w:space="0" w:color="6D2A78"/>
              <w:left w:val="single" w:sz="2" w:space="0" w:color="6D2A78"/>
              <w:bottom w:val="single" w:sz="2" w:space="0" w:color="6D2A78"/>
              <w:right w:val="single" w:sz="2" w:space="0" w:color="6D2A78"/>
            </w:tcBorders>
            <w:vAlign w:val="center"/>
          </w:tcPr>
          <w:p w14:paraId="4FB09365" w14:textId="2FEAB2C3" w:rsidR="00FF40B8" w:rsidRDefault="00FF40B8" w:rsidP="00FF40B8">
            <w:pPr>
              <w:spacing w:line="259" w:lineRule="auto"/>
              <w:ind w:left="58"/>
              <w:jc w:val="center"/>
            </w:pPr>
            <w:r w:rsidRPr="00364545">
              <w:rPr>
                <w:sz w:val="18"/>
              </w:rPr>
              <w:t>340618</w:t>
            </w:r>
          </w:p>
        </w:tc>
        <w:tc>
          <w:tcPr>
            <w:tcW w:w="691" w:type="dxa"/>
            <w:tcBorders>
              <w:top w:val="single" w:sz="2" w:space="0" w:color="6D2A78"/>
              <w:left w:val="single" w:sz="2" w:space="0" w:color="6D2A78"/>
              <w:bottom w:val="single" w:sz="2" w:space="0" w:color="6D2A78"/>
              <w:right w:val="single" w:sz="2" w:space="0" w:color="6D2A78"/>
            </w:tcBorders>
            <w:vAlign w:val="center"/>
          </w:tcPr>
          <w:p w14:paraId="441361A8" w14:textId="59D8B615" w:rsidR="00FF40B8" w:rsidRDefault="00FF40B8" w:rsidP="00FF40B8">
            <w:pPr>
              <w:keepNext/>
              <w:spacing w:line="259" w:lineRule="auto"/>
              <w:ind w:left="63"/>
              <w:jc w:val="center"/>
            </w:pPr>
            <w:r w:rsidRPr="00364545">
              <w:rPr>
                <w:sz w:val="18"/>
              </w:rPr>
              <w:t>332886</w:t>
            </w:r>
          </w:p>
        </w:tc>
        <w:tc>
          <w:tcPr>
            <w:tcW w:w="691" w:type="dxa"/>
            <w:tcBorders>
              <w:top w:val="single" w:sz="2" w:space="0" w:color="6D2A78"/>
              <w:left w:val="single" w:sz="2" w:space="0" w:color="6D2A78"/>
              <w:bottom w:val="single" w:sz="2" w:space="0" w:color="6D2A78"/>
              <w:right w:val="single" w:sz="2" w:space="0" w:color="6D2A78"/>
            </w:tcBorders>
            <w:vAlign w:val="center"/>
          </w:tcPr>
          <w:p w14:paraId="36964D50" w14:textId="69CE3C43" w:rsidR="00FF40B8" w:rsidRDefault="00FF40B8" w:rsidP="00FF40B8">
            <w:pPr>
              <w:keepNext/>
              <w:spacing w:line="259" w:lineRule="auto"/>
              <w:ind w:left="63"/>
              <w:jc w:val="center"/>
              <w:rPr>
                <w:sz w:val="18"/>
              </w:rPr>
            </w:pPr>
            <w:r w:rsidRPr="00364545">
              <w:rPr>
                <w:sz w:val="18"/>
              </w:rPr>
              <w:t>317026</w:t>
            </w:r>
          </w:p>
        </w:tc>
      </w:tr>
    </w:tbl>
    <w:p w14:paraId="50D745E3" w14:textId="19FC8B69" w:rsidR="00062EEA" w:rsidRDefault="00062EEA" w:rsidP="0045532B">
      <w:pPr>
        <w:pStyle w:val="Caption"/>
      </w:pPr>
      <w:bookmarkStart w:id="502" w:name="_Toc123916502"/>
      <w:r>
        <w:t xml:space="preserve">Tableau </w:t>
      </w:r>
      <w:fldSimple w:instr=" SEQ Tableau \* ARABIC ">
        <w:r w:rsidR="00AB51D9">
          <w:rPr>
            <w:noProof/>
          </w:rPr>
          <w:t>10</w:t>
        </w:r>
      </w:fldSimple>
      <w:r>
        <w:t xml:space="preserve"> : </w:t>
      </w:r>
      <w:r w:rsidR="001021CB" w:rsidRPr="00AF0377">
        <w:t xml:space="preserve">Projections d’émissions de GES (en </w:t>
      </w:r>
      <w:r w:rsidR="001021CB" w:rsidRPr="00590551">
        <w:t>kt</w:t>
      </w:r>
      <w:r w:rsidR="007F09F7">
        <w:t>CO</w:t>
      </w:r>
      <w:r w:rsidR="007F09F7" w:rsidRPr="007F09F7">
        <w:rPr>
          <w:vertAlign w:val="subscript"/>
        </w:rPr>
        <w:t>2</w:t>
      </w:r>
      <w:r w:rsidR="004F1EC8" w:rsidRPr="004F1EC8">
        <w:rPr>
          <w:vertAlign w:val="subscript"/>
        </w:rPr>
        <w:t>e</w:t>
      </w:r>
      <w:r w:rsidR="001021CB" w:rsidRPr="00AF0377">
        <w:t>) au périmètre Kyoto dans le scénario AME</w:t>
      </w:r>
      <w:r w:rsidR="00512611">
        <w:t>21</w:t>
      </w:r>
      <w:r w:rsidR="001021CB" w:rsidRPr="00AF0377">
        <w:t xml:space="preserve"> (avec mesures existantes)</w:t>
      </w:r>
      <w:bookmarkEnd w:id="502"/>
    </w:p>
    <w:p w14:paraId="66234A59" w14:textId="27EAC11D" w:rsidR="001021CB" w:rsidRDefault="001021CB" w:rsidP="0045532B">
      <w:pPr>
        <w:pStyle w:val="Caption"/>
      </w:pPr>
      <w:r w:rsidRPr="00AF0377">
        <w:t>Source : Inventaire CCNUCC, Citepa/MTE, soumission 20</w:t>
      </w:r>
      <w:r w:rsidR="006B4B07">
        <w:t>2</w:t>
      </w:r>
      <w:r w:rsidR="00FF40B8">
        <w:t>2</w:t>
      </w:r>
      <w:r w:rsidR="006B4B07">
        <w:t xml:space="preserve"> </w:t>
      </w:r>
      <w:r w:rsidRPr="00AF0377">
        <w:t xml:space="preserve">et projections d’émissions MTE, </w:t>
      </w:r>
      <w:r>
        <w:t>20</w:t>
      </w:r>
      <w:r w:rsidR="006B4B07">
        <w:t>21</w:t>
      </w:r>
    </w:p>
    <w:p w14:paraId="5F92EF15" w14:textId="3E7A494C" w:rsidR="00512611" w:rsidRDefault="00512611" w:rsidP="001021CB">
      <w:pPr>
        <w:spacing w:before="240" w:after="240"/>
      </w:pPr>
      <w:r w:rsidRPr="002C2BF1">
        <w:t>En AME2021, les émissions baissent fortement en 2020 du fait de l’impact de la crise sanitaire liée au C</w:t>
      </w:r>
      <w:r>
        <w:t>ovid</w:t>
      </w:r>
      <w:r w:rsidRPr="001A3BA1">
        <w:t xml:space="preserve">-19. Le rebond important attendu en 2021-2022 n’est pas visible dans les sorties du fait du pas de temps de 5 ans de la modélisation. Par la suite, la tendance d’émissions est similaire à celle de l’AME 2018 avec un décalage d’environ </w:t>
      </w:r>
      <w:r>
        <w:t>–</w:t>
      </w:r>
      <w:r>
        <w:rPr>
          <w:rFonts w:ascii="Calibri" w:hAnsi="Calibri" w:cs="Calibri"/>
        </w:rPr>
        <w:t> </w:t>
      </w:r>
      <w:r w:rsidRPr="001A3BA1">
        <w:t>50</w:t>
      </w:r>
      <w:r>
        <w:rPr>
          <w:rFonts w:ascii="Calibri" w:hAnsi="Calibri" w:cs="Calibri"/>
        </w:rPr>
        <w:t> </w:t>
      </w:r>
      <w:r w:rsidRPr="00AA4D70">
        <w:t>Mt</w:t>
      </w:r>
      <w:r w:rsidR="007F09F7">
        <w:t>CO</w:t>
      </w:r>
      <w:r w:rsidR="007F09F7" w:rsidRPr="007F09F7">
        <w:rPr>
          <w:vertAlign w:val="subscript"/>
        </w:rPr>
        <w:t>2</w:t>
      </w:r>
      <w:r w:rsidR="004F1EC8" w:rsidRPr="004F1EC8">
        <w:rPr>
          <w:vertAlign w:val="subscript"/>
        </w:rPr>
        <w:t>e</w:t>
      </w:r>
      <w:r w:rsidRPr="00AA4D70">
        <w:t>. Cela permet de se rapprocher de la trajectoire de l’AMS 2018 sans toutefois l’atteindre</w:t>
      </w:r>
      <w:r>
        <w:t>.</w:t>
      </w:r>
      <w:r w:rsidRPr="00AA4D70">
        <w:t xml:space="preserve"> En revanche, le rythme de décroissance des émissions dans la période post-2030 reste très faible par rappor</w:t>
      </w:r>
      <w:r w:rsidRPr="00262B24">
        <w:t>t à ce qui est attendu en AMS</w:t>
      </w:r>
      <w:r>
        <w:t>.</w:t>
      </w:r>
    </w:p>
    <w:p w14:paraId="12AD3056" w14:textId="57CE93DD" w:rsidR="001021CB" w:rsidRPr="00AB325E" w:rsidRDefault="001021CB" w:rsidP="001021CB">
      <w:pPr>
        <w:spacing w:before="240" w:after="240"/>
      </w:pPr>
      <w:r w:rsidRPr="00AB325E">
        <w:t>Plus précisément sur ce décalage de -50</w:t>
      </w:r>
      <w:r w:rsidR="00512611">
        <w:t> </w:t>
      </w:r>
      <w:r w:rsidRPr="00AB325E">
        <w:t>Mt</w:t>
      </w:r>
      <w:r w:rsidR="007F09F7">
        <w:t>CO</w:t>
      </w:r>
      <w:r w:rsidR="007F09F7" w:rsidRPr="007F09F7">
        <w:rPr>
          <w:vertAlign w:val="subscript"/>
        </w:rPr>
        <w:t>2</w:t>
      </w:r>
      <w:r w:rsidR="004F1EC8" w:rsidRPr="004F1EC8">
        <w:rPr>
          <w:vertAlign w:val="subscript"/>
        </w:rPr>
        <w:t>e</w:t>
      </w:r>
      <w:r w:rsidRPr="00AB325E">
        <w:t>, il est difficile, avec les outils utilisés, d’évaluer exactement le rôle respectif des politiques et mesures adoptées depuis 2018, et celui de l’actualisation des hypothèses de cadrage et de changements méthodologiques. On peut toutefois l’estimer de manière approximative :</w:t>
      </w:r>
    </w:p>
    <w:p w14:paraId="1924201F" w14:textId="77777777" w:rsidR="001021CB" w:rsidRDefault="001021CB" w:rsidP="001021CB">
      <w:pPr>
        <w:pStyle w:val="Standard"/>
        <w:jc w:val="both"/>
        <w:rPr>
          <w:rFonts w:ascii="Times New Roman" w:hAnsi="Times New Roman"/>
          <w:sz w:val="22"/>
          <w:szCs w:val="22"/>
        </w:rPr>
      </w:pPr>
    </w:p>
    <w:p w14:paraId="19F106AD" w14:textId="77777777" w:rsidR="001021CB" w:rsidRDefault="001021CB" w:rsidP="001021CB">
      <w:pPr>
        <w:pStyle w:val="Standard"/>
        <w:jc w:val="both"/>
        <w:rPr>
          <w:rFonts w:ascii="Times New Roman" w:hAnsi="Times New Roman"/>
          <w:sz w:val="22"/>
          <w:szCs w:val="22"/>
        </w:rPr>
      </w:pPr>
      <w:r>
        <w:rPr>
          <w:noProof/>
          <w:lang w:eastAsia="fr-FR" w:bidi="ar-SA"/>
        </w:rPr>
        <w:drawing>
          <wp:inline distT="0" distB="0" distL="0" distR="0" wp14:anchorId="14AC0FB8" wp14:editId="27E3C6A9">
            <wp:extent cx="6120130" cy="3748349"/>
            <wp:effectExtent l="0" t="0" r="0" b="5080"/>
            <wp:docPr id="28696" name="Image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20130" cy="3748349"/>
                    </a:xfrm>
                    <a:prstGeom prst="rect">
                      <a:avLst/>
                    </a:prstGeom>
                  </pic:spPr>
                </pic:pic>
              </a:graphicData>
            </a:graphic>
          </wp:inline>
        </w:drawing>
      </w:r>
    </w:p>
    <w:p w14:paraId="54EA3ED1" w14:textId="02AA4DA9" w:rsidR="00062EEA" w:rsidRDefault="00062EEA" w:rsidP="0045532B">
      <w:pPr>
        <w:pStyle w:val="Caption"/>
      </w:pPr>
      <w:bookmarkStart w:id="503" w:name="_Toc123916461"/>
      <w:r>
        <w:t xml:space="preserve">Figure </w:t>
      </w:r>
      <w:fldSimple w:instr=" SEQ Figure \* ARABIC ">
        <w:r w:rsidR="00AB51D9">
          <w:rPr>
            <w:noProof/>
          </w:rPr>
          <w:t>50</w:t>
        </w:r>
      </w:fldSimple>
      <w:r>
        <w:t xml:space="preserve"> : </w:t>
      </w:r>
      <w:r w:rsidR="001021CB">
        <w:t>Comparaison des émissions en 2030 entre l’AME 2021 et l’AMS 2018 et effet des différents facteurs</w:t>
      </w:r>
      <w:bookmarkEnd w:id="503"/>
    </w:p>
    <w:p w14:paraId="00D751F0" w14:textId="4230A61E" w:rsidR="001021CB" w:rsidRDefault="001021CB" w:rsidP="0045532B">
      <w:pPr>
        <w:pStyle w:val="Caption"/>
      </w:pPr>
      <w:r>
        <w:t xml:space="preserve">Source : </w:t>
      </w:r>
      <w:r w:rsidR="00062EEA">
        <w:t>MTE-</w:t>
      </w:r>
      <w:r>
        <w:t>DGEC</w:t>
      </w:r>
    </w:p>
    <w:p w14:paraId="5F6F0501" w14:textId="77777777" w:rsidR="001021CB" w:rsidRDefault="001021CB" w:rsidP="001021CB">
      <w:pPr>
        <w:pStyle w:val="Standard"/>
        <w:jc w:val="both"/>
        <w:rPr>
          <w:rFonts w:ascii="Times New Roman" w:hAnsi="Times New Roman"/>
          <w:sz w:val="22"/>
          <w:szCs w:val="22"/>
        </w:rPr>
      </w:pPr>
      <w:r>
        <w:rPr>
          <w:noProof/>
          <w:lang w:eastAsia="fr-FR" w:bidi="ar-SA"/>
        </w:rPr>
        <w:drawing>
          <wp:inline distT="0" distB="0" distL="0" distR="0" wp14:anchorId="6848F970" wp14:editId="529638CB">
            <wp:extent cx="6120130" cy="3779718"/>
            <wp:effectExtent l="0" t="0" r="0" b="0"/>
            <wp:docPr id="28697" name="Image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20130" cy="3779718"/>
                    </a:xfrm>
                    <a:prstGeom prst="rect">
                      <a:avLst/>
                    </a:prstGeom>
                  </pic:spPr>
                </pic:pic>
              </a:graphicData>
            </a:graphic>
          </wp:inline>
        </w:drawing>
      </w:r>
    </w:p>
    <w:p w14:paraId="0BE6BA6A" w14:textId="0FCA11C2" w:rsidR="00062EEA" w:rsidRDefault="00062EEA" w:rsidP="0045532B">
      <w:pPr>
        <w:pStyle w:val="Caption"/>
      </w:pPr>
      <w:bookmarkStart w:id="504" w:name="_Toc123916462"/>
      <w:r>
        <w:t xml:space="preserve">Figure </w:t>
      </w:r>
      <w:fldSimple w:instr=" SEQ Figure \* ARABIC ">
        <w:r w:rsidR="00AB51D9">
          <w:rPr>
            <w:noProof/>
          </w:rPr>
          <w:t>51</w:t>
        </w:r>
      </w:fldSimple>
      <w:r>
        <w:t xml:space="preserve"> : </w:t>
      </w:r>
      <w:r w:rsidR="001021CB">
        <w:t>Comparaison des émissions en 2050 entre l’AME 2021 et l’AMS 2018 et effet des différents facteurs</w:t>
      </w:r>
      <w:bookmarkEnd w:id="504"/>
    </w:p>
    <w:p w14:paraId="43714BA5" w14:textId="65E654F1" w:rsidR="001021CB" w:rsidRDefault="001021CB" w:rsidP="0045532B">
      <w:pPr>
        <w:pStyle w:val="Caption"/>
      </w:pPr>
      <w:r>
        <w:t xml:space="preserve">Source : </w:t>
      </w:r>
      <w:r w:rsidR="00062EEA">
        <w:t>MTE-</w:t>
      </w:r>
      <w:r>
        <w:t>DGEC</w:t>
      </w:r>
    </w:p>
    <w:p w14:paraId="6C6FD4E0" w14:textId="77777777" w:rsidR="001021CB" w:rsidRDefault="001021CB" w:rsidP="001021CB">
      <w:pPr>
        <w:pStyle w:val="Standard"/>
        <w:jc w:val="both"/>
        <w:rPr>
          <w:rFonts w:ascii="Times New Roman" w:hAnsi="Times New Roman"/>
          <w:sz w:val="22"/>
          <w:szCs w:val="22"/>
        </w:rPr>
      </w:pPr>
    </w:p>
    <w:tbl>
      <w:tblPr>
        <w:tblStyle w:val="GridTable5Dark-Accent4"/>
        <w:tblW w:w="0" w:type="auto"/>
        <w:tblLook w:val="04A0" w:firstRow="1" w:lastRow="0" w:firstColumn="1" w:lastColumn="0" w:noHBand="0" w:noVBand="1"/>
      </w:tblPr>
      <w:tblGrid>
        <w:gridCol w:w="2213"/>
        <w:gridCol w:w="3736"/>
        <w:gridCol w:w="1860"/>
        <w:gridCol w:w="1819"/>
      </w:tblGrid>
      <w:tr w:rsidR="001021CB" w14:paraId="5D64E9F2" w14:textId="77777777" w:rsidTr="00DF06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tcPr>
          <w:p w14:paraId="194690B6" w14:textId="77777777" w:rsidR="001021CB" w:rsidRPr="00D11C15" w:rsidRDefault="001021CB" w:rsidP="00C44824">
            <w:pPr>
              <w:rPr>
                <w:b w:val="0"/>
              </w:rPr>
            </w:pPr>
            <w:r w:rsidRPr="00D11C15">
              <w:t>Catégorie</w:t>
            </w:r>
          </w:p>
        </w:tc>
        <w:tc>
          <w:tcPr>
            <w:tcW w:w="3736" w:type="dxa"/>
          </w:tcPr>
          <w:p w14:paraId="432A48FE" w14:textId="77777777" w:rsidR="001021CB" w:rsidRPr="00D11C1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D11C15">
              <w:t>Déterminant</w:t>
            </w:r>
          </w:p>
        </w:tc>
        <w:tc>
          <w:tcPr>
            <w:tcW w:w="1860" w:type="dxa"/>
          </w:tcPr>
          <w:p w14:paraId="483F1EED" w14:textId="700D8C1F" w:rsidR="001021CB" w:rsidRPr="00D11C1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D11C15">
              <w:t>Impact approximatif à 2030 (Mt</w:t>
            </w:r>
            <w:r w:rsidR="007F09F7">
              <w:t>CO</w:t>
            </w:r>
            <w:r w:rsidR="007F09F7" w:rsidRPr="007F09F7">
              <w:rPr>
                <w:vertAlign w:val="subscript"/>
              </w:rPr>
              <w:t>2</w:t>
            </w:r>
            <w:r w:rsidR="004F1EC8" w:rsidRPr="004F1EC8">
              <w:rPr>
                <w:vertAlign w:val="subscript"/>
              </w:rPr>
              <w:t>e</w:t>
            </w:r>
            <w:r w:rsidRPr="00D11C15">
              <w:t>)</w:t>
            </w:r>
          </w:p>
        </w:tc>
        <w:tc>
          <w:tcPr>
            <w:tcW w:w="1819" w:type="dxa"/>
          </w:tcPr>
          <w:p w14:paraId="38923E18" w14:textId="7997F6EE" w:rsidR="001021CB" w:rsidRPr="00D11C15" w:rsidRDefault="001021CB" w:rsidP="00C44824">
            <w:pPr>
              <w:cnfStyle w:val="100000000000" w:firstRow="1" w:lastRow="0" w:firstColumn="0" w:lastColumn="0" w:oddVBand="0" w:evenVBand="0" w:oddHBand="0" w:evenHBand="0" w:firstRowFirstColumn="0" w:firstRowLastColumn="0" w:lastRowFirstColumn="0" w:lastRowLastColumn="0"/>
              <w:rPr>
                <w:b w:val="0"/>
              </w:rPr>
            </w:pPr>
            <w:r w:rsidRPr="00D11C15">
              <w:t>Impact approximatif à 2050 (Mt</w:t>
            </w:r>
            <w:r w:rsidR="007F09F7">
              <w:t>CO</w:t>
            </w:r>
            <w:r w:rsidR="007F09F7" w:rsidRPr="007F09F7">
              <w:rPr>
                <w:vertAlign w:val="subscript"/>
              </w:rPr>
              <w:t>2</w:t>
            </w:r>
            <w:r w:rsidR="004F1EC8" w:rsidRPr="004F1EC8">
              <w:rPr>
                <w:vertAlign w:val="subscript"/>
              </w:rPr>
              <w:t>e</w:t>
            </w:r>
            <w:r w:rsidRPr="00D11C15">
              <w:t>)</w:t>
            </w:r>
          </w:p>
        </w:tc>
      </w:tr>
      <w:tr w:rsidR="001021CB" w14:paraId="14AEFE82"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val="restart"/>
          </w:tcPr>
          <w:p w14:paraId="036FD0D8" w14:textId="77777777" w:rsidR="001021CB" w:rsidRDefault="001021CB" w:rsidP="00C44824">
            <w:r>
              <w:t>Politiques et mesures</w:t>
            </w:r>
          </w:p>
        </w:tc>
        <w:tc>
          <w:tcPr>
            <w:tcW w:w="3736" w:type="dxa"/>
          </w:tcPr>
          <w:p w14:paraId="73AB9F78" w14:textId="77777777" w:rsidR="001021CB" w:rsidRDefault="001021CB" w:rsidP="00C44824">
            <w:pPr>
              <w:cnfStyle w:val="000000100000" w:firstRow="0" w:lastRow="0" w:firstColumn="0" w:lastColumn="0" w:oddVBand="0" w:evenVBand="0" w:oddHBand="1" w:evenHBand="0" w:firstRowFirstColumn="0" w:firstRowLastColumn="0" w:lastRowFirstColumn="0" w:lastRowLastColumn="0"/>
            </w:pPr>
            <w:r>
              <w:t xml:space="preserve">Fermeture des centrales électriques au charbon </w:t>
            </w:r>
          </w:p>
        </w:tc>
        <w:tc>
          <w:tcPr>
            <w:tcW w:w="1860" w:type="dxa"/>
          </w:tcPr>
          <w:p w14:paraId="1A11B6DB"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194FCE">
              <w:t>-4,0</w:t>
            </w:r>
          </w:p>
        </w:tc>
        <w:tc>
          <w:tcPr>
            <w:tcW w:w="1819" w:type="dxa"/>
          </w:tcPr>
          <w:p w14:paraId="34A0B791"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-4</w:t>
            </w:r>
          </w:p>
        </w:tc>
      </w:tr>
      <w:tr w:rsidR="001021CB" w14:paraId="6FDCEE71"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186689FC" w14:textId="77777777" w:rsidR="001021CB" w:rsidRDefault="001021CB" w:rsidP="00C44824"/>
        </w:tc>
        <w:tc>
          <w:tcPr>
            <w:tcW w:w="3736" w:type="dxa"/>
          </w:tcPr>
          <w:p w14:paraId="30C84A56"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Décret tertiaire</w:t>
            </w:r>
          </w:p>
        </w:tc>
        <w:tc>
          <w:tcPr>
            <w:tcW w:w="1860" w:type="dxa"/>
          </w:tcPr>
          <w:p w14:paraId="0ED88B27"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194FCE">
              <w:t>-4,0</w:t>
            </w:r>
          </w:p>
        </w:tc>
        <w:tc>
          <w:tcPr>
            <w:tcW w:w="1819" w:type="dxa"/>
          </w:tcPr>
          <w:p w14:paraId="245F1CB4"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-4</w:t>
            </w:r>
          </w:p>
        </w:tc>
      </w:tr>
      <w:tr w:rsidR="001021CB" w14:paraId="5A9BA810"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09B46914" w14:textId="77777777" w:rsidR="001021CB" w:rsidRDefault="001021CB" w:rsidP="00C44824"/>
        </w:tc>
        <w:tc>
          <w:tcPr>
            <w:tcW w:w="3736" w:type="dxa"/>
          </w:tcPr>
          <w:p w14:paraId="692FD9D6" w14:textId="77777777" w:rsidR="001021CB" w:rsidRDefault="001021CB" w:rsidP="00C44824">
            <w:pPr>
              <w:cnfStyle w:val="000000100000" w:firstRow="0" w:lastRow="0" w:firstColumn="0" w:lastColumn="0" w:oddVBand="0" w:evenVBand="0" w:oddHBand="1" w:evenHBand="0" w:firstRowFirstColumn="0" w:firstRowLastColumn="0" w:lastRowFirstColumn="0" w:lastRowLastColumn="0"/>
            </w:pPr>
            <w:r>
              <w:t>Règlements européens sur les véhicules</w:t>
            </w:r>
          </w:p>
        </w:tc>
        <w:tc>
          <w:tcPr>
            <w:tcW w:w="1860" w:type="dxa"/>
          </w:tcPr>
          <w:p w14:paraId="6BC4E212"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194FCE">
              <w:t>-15,0</w:t>
            </w:r>
          </w:p>
        </w:tc>
        <w:tc>
          <w:tcPr>
            <w:tcW w:w="1819" w:type="dxa"/>
          </w:tcPr>
          <w:p w14:paraId="7B21CBFD"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-15</w:t>
            </w:r>
          </w:p>
        </w:tc>
      </w:tr>
      <w:tr w:rsidR="001021CB" w14:paraId="6F67FF87"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208B5118" w14:textId="77777777" w:rsidR="001021CB" w:rsidRDefault="001021CB" w:rsidP="00C44824"/>
        </w:tc>
        <w:tc>
          <w:tcPr>
            <w:tcW w:w="3736" w:type="dxa"/>
          </w:tcPr>
          <w:p w14:paraId="1BB2D30C"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Récolte et produits bois</w:t>
            </w:r>
          </w:p>
        </w:tc>
        <w:tc>
          <w:tcPr>
            <w:tcW w:w="1860" w:type="dxa"/>
          </w:tcPr>
          <w:p w14:paraId="36573838"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194FCE">
              <w:t>-2,0</w:t>
            </w:r>
          </w:p>
        </w:tc>
        <w:tc>
          <w:tcPr>
            <w:tcW w:w="1819" w:type="dxa"/>
          </w:tcPr>
          <w:p w14:paraId="4B149369"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-3</w:t>
            </w:r>
          </w:p>
        </w:tc>
      </w:tr>
      <w:tr w:rsidR="001021CB" w14:paraId="6B471D1E"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val="restart"/>
          </w:tcPr>
          <w:p w14:paraId="03C2DCD3" w14:textId="77777777" w:rsidR="001021CB" w:rsidRDefault="001021CB" w:rsidP="00C44824">
            <w:r>
              <w:t>Modification du cadrage</w:t>
            </w:r>
          </w:p>
        </w:tc>
        <w:tc>
          <w:tcPr>
            <w:tcW w:w="3736" w:type="dxa"/>
          </w:tcPr>
          <w:p w14:paraId="659E4B04" w14:textId="77777777" w:rsidR="001021CB" w:rsidRDefault="001021CB" w:rsidP="00C44824">
            <w:pPr>
              <w:cnfStyle w:val="000000100000" w:firstRow="0" w:lastRow="0" w:firstColumn="0" w:lastColumn="0" w:oddVBand="0" w:evenVBand="0" w:oddHBand="1" w:evenHBand="0" w:firstRowFirstColumn="0" w:firstRowLastColumn="0" w:lastRowFirstColumn="0" w:lastRowLastColumn="0"/>
            </w:pPr>
            <w:r>
              <w:t>Population</w:t>
            </w:r>
          </w:p>
        </w:tc>
        <w:tc>
          <w:tcPr>
            <w:tcW w:w="1860" w:type="dxa"/>
          </w:tcPr>
          <w:p w14:paraId="04B0B36C"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194FCE">
              <w:t>-3,0</w:t>
            </w:r>
          </w:p>
        </w:tc>
        <w:tc>
          <w:tcPr>
            <w:tcW w:w="1819" w:type="dxa"/>
          </w:tcPr>
          <w:p w14:paraId="09DFD6FB"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-4,8</w:t>
            </w:r>
          </w:p>
        </w:tc>
      </w:tr>
      <w:tr w:rsidR="001021CB" w14:paraId="552B64AE"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2235021C" w14:textId="77777777" w:rsidR="001021CB" w:rsidRDefault="001021CB" w:rsidP="00C44824"/>
        </w:tc>
        <w:tc>
          <w:tcPr>
            <w:tcW w:w="3736" w:type="dxa"/>
          </w:tcPr>
          <w:p w14:paraId="669EA989"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Production industrielle</w:t>
            </w:r>
          </w:p>
        </w:tc>
        <w:tc>
          <w:tcPr>
            <w:tcW w:w="1860" w:type="dxa"/>
          </w:tcPr>
          <w:p w14:paraId="6FDAE3E7"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194FCE">
              <w:t>-7,6</w:t>
            </w:r>
          </w:p>
        </w:tc>
        <w:tc>
          <w:tcPr>
            <w:tcW w:w="1819" w:type="dxa"/>
          </w:tcPr>
          <w:p w14:paraId="3B660DC7"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+7</w:t>
            </w:r>
          </w:p>
        </w:tc>
      </w:tr>
      <w:tr w:rsidR="001021CB" w14:paraId="2FCA65EF"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7CC25BCC" w14:textId="77777777" w:rsidR="001021CB" w:rsidRDefault="001021CB" w:rsidP="00C44824"/>
        </w:tc>
        <w:tc>
          <w:tcPr>
            <w:tcW w:w="3736" w:type="dxa"/>
          </w:tcPr>
          <w:p w14:paraId="4748933A" w14:textId="77777777" w:rsidR="001021CB" w:rsidRDefault="001021CB" w:rsidP="00C44824">
            <w:pPr>
              <w:cnfStyle w:val="000000100000" w:firstRow="0" w:lastRow="0" w:firstColumn="0" w:lastColumn="0" w:oddVBand="0" w:evenVBand="0" w:oddHBand="1" w:evenHBand="0" w:firstRowFirstColumn="0" w:firstRowLastColumn="0" w:lastRowFirstColumn="0" w:lastRowLastColumn="0"/>
            </w:pPr>
            <w:r>
              <w:t>Outre-mer</w:t>
            </w:r>
          </w:p>
        </w:tc>
        <w:tc>
          <w:tcPr>
            <w:tcW w:w="1860" w:type="dxa"/>
          </w:tcPr>
          <w:p w14:paraId="4644E41F"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rsidRPr="00194FCE">
              <w:t>0,0</w:t>
            </w:r>
          </w:p>
        </w:tc>
        <w:tc>
          <w:tcPr>
            <w:tcW w:w="1819" w:type="dxa"/>
          </w:tcPr>
          <w:p w14:paraId="5BF0611C"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-2</w:t>
            </w:r>
          </w:p>
        </w:tc>
      </w:tr>
      <w:tr w:rsidR="001021CB" w14:paraId="39ECECFB"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val="restart"/>
          </w:tcPr>
          <w:p w14:paraId="02B557D9" w14:textId="77777777" w:rsidR="001021CB" w:rsidRDefault="001021CB" w:rsidP="00C44824">
            <w:r>
              <w:t>Modifications méthodologiques</w:t>
            </w:r>
          </w:p>
        </w:tc>
        <w:tc>
          <w:tcPr>
            <w:tcW w:w="3736" w:type="dxa"/>
          </w:tcPr>
          <w:p w14:paraId="01F7C108"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Nouveau calcul du rythme d’artificialisation</w:t>
            </w:r>
          </w:p>
        </w:tc>
        <w:tc>
          <w:tcPr>
            <w:tcW w:w="1860" w:type="dxa"/>
          </w:tcPr>
          <w:p w14:paraId="18B4EEEE"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194FCE">
              <w:t>-3,0</w:t>
            </w:r>
          </w:p>
        </w:tc>
        <w:tc>
          <w:tcPr>
            <w:tcW w:w="1819" w:type="dxa"/>
          </w:tcPr>
          <w:p w14:paraId="703EF293"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-4,5</w:t>
            </w:r>
          </w:p>
        </w:tc>
      </w:tr>
      <w:tr w:rsidR="001021CB" w14:paraId="26712ACC"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3" w:type="dxa"/>
            <w:vMerge/>
          </w:tcPr>
          <w:p w14:paraId="514C1919" w14:textId="77777777" w:rsidR="001021CB" w:rsidRDefault="001021CB" w:rsidP="00C44824"/>
        </w:tc>
        <w:tc>
          <w:tcPr>
            <w:tcW w:w="3736" w:type="dxa"/>
          </w:tcPr>
          <w:p w14:paraId="6F6BAB99" w14:textId="77777777" w:rsidR="001021CB" w:rsidRDefault="001021CB" w:rsidP="00C44824">
            <w:pPr>
              <w:cnfStyle w:val="000000100000" w:firstRow="0" w:lastRow="0" w:firstColumn="0" w:lastColumn="0" w:oddVBand="0" w:evenVBand="0" w:oddHBand="1" w:evenHBand="0" w:firstRowFirstColumn="0" w:firstRowLastColumn="0" w:lastRowFirstColumn="0" w:lastRowLastColumn="0"/>
            </w:pPr>
            <w:r>
              <w:t>Comptabilisation des émissions de méthane en décharge post-2035</w:t>
            </w:r>
          </w:p>
        </w:tc>
        <w:tc>
          <w:tcPr>
            <w:tcW w:w="1860" w:type="dxa"/>
          </w:tcPr>
          <w:p w14:paraId="10A2EC6B"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0</w:t>
            </w:r>
          </w:p>
        </w:tc>
        <w:tc>
          <w:tcPr>
            <w:tcW w:w="1819" w:type="dxa"/>
          </w:tcPr>
          <w:p w14:paraId="555484A2"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+5</w:t>
            </w:r>
          </w:p>
        </w:tc>
      </w:tr>
      <w:tr w:rsidR="001021CB" w14:paraId="6E661223" w14:textId="77777777" w:rsidTr="00DF06D4">
        <w:tc>
          <w:tcPr>
            <w:cnfStyle w:val="001000000000" w:firstRow="0" w:lastRow="0" w:firstColumn="1" w:lastColumn="0" w:oddVBand="0" w:evenVBand="0" w:oddHBand="0" w:evenHBand="0" w:firstRowFirstColumn="0" w:firstRowLastColumn="0" w:lastRowFirstColumn="0" w:lastRowLastColumn="0"/>
            <w:tcW w:w="2213" w:type="dxa"/>
            <w:vMerge/>
          </w:tcPr>
          <w:p w14:paraId="5E8395D2" w14:textId="77777777" w:rsidR="001021CB" w:rsidRDefault="001021CB" w:rsidP="00C44824"/>
        </w:tc>
        <w:tc>
          <w:tcPr>
            <w:tcW w:w="3736" w:type="dxa"/>
          </w:tcPr>
          <w:p w14:paraId="79177E97"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Méthodologie de comptabilisation F-gaz</w:t>
            </w:r>
          </w:p>
        </w:tc>
        <w:tc>
          <w:tcPr>
            <w:tcW w:w="1860" w:type="dxa"/>
          </w:tcPr>
          <w:p w14:paraId="156056E0"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rsidRPr="00194FCE">
              <w:t>-2,0</w:t>
            </w:r>
          </w:p>
        </w:tc>
        <w:tc>
          <w:tcPr>
            <w:tcW w:w="1819" w:type="dxa"/>
          </w:tcPr>
          <w:p w14:paraId="2BF19822"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-2</w:t>
            </w:r>
          </w:p>
        </w:tc>
      </w:tr>
      <w:tr w:rsidR="001021CB" w14:paraId="71EED424"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gridSpan w:val="2"/>
          </w:tcPr>
          <w:p w14:paraId="5CD2B4FC" w14:textId="77777777" w:rsidR="001021CB" w:rsidRDefault="001021CB" w:rsidP="00C44824">
            <w:r>
              <w:t>Total politiques et mesures</w:t>
            </w:r>
          </w:p>
        </w:tc>
        <w:tc>
          <w:tcPr>
            <w:tcW w:w="1860" w:type="dxa"/>
          </w:tcPr>
          <w:p w14:paraId="1A761385"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-25</w:t>
            </w:r>
          </w:p>
        </w:tc>
        <w:tc>
          <w:tcPr>
            <w:tcW w:w="1819" w:type="dxa"/>
          </w:tcPr>
          <w:p w14:paraId="3ED7A557"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-26</w:t>
            </w:r>
          </w:p>
        </w:tc>
      </w:tr>
      <w:tr w:rsidR="001021CB" w14:paraId="7515F3F1" w14:textId="77777777" w:rsidTr="00DF06D4">
        <w:tc>
          <w:tcPr>
            <w:cnfStyle w:val="001000000000" w:firstRow="0" w:lastRow="0" w:firstColumn="1" w:lastColumn="0" w:oddVBand="0" w:evenVBand="0" w:oddHBand="0" w:evenHBand="0" w:firstRowFirstColumn="0" w:firstRowLastColumn="0" w:lastRowFirstColumn="0" w:lastRowLastColumn="0"/>
            <w:tcW w:w="5949" w:type="dxa"/>
            <w:gridSpan w:val="2"/>
          </w:tcPr>
          <w:p w14:paraId="724D6B9A" w14:textId="77777777" w:rsidR="001021CB" w:rsidRDefault="001021CB" w:rsidP="00C44824">
            <w:r>
              <w:t>Total cadrage</w:t>
            </w:r>
          </w:p>
        </w:tc>
        <w:tc>
          <w:tcPr>
            <w:tcW w:w="1860" w:type="dxa"/>
          </w:tcPr>
          <w:p w14:paraId="1F25DCF9"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-10,6</w:t>
            </w:r>
          </w:p>
        </w:tc>
        <w:tc>
          <w:tcPr>
            <w:tcW w:w="1819" w:type="dxa"/>
          </w:tcPr>
          <w:p w14:paraId="0A9AF0D6"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+0,2</w:t>
            </w:r>
          </w:p>
        </w:tc>
      </w:tr>
      <w:tr w:rsidR="001021CB" w14:paraId="0D83260A" w14:textId="77777777" w:rsidTr="00DF06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gridSpan w:val="2"/>
          </w:tcPr>
          <w:p w14:paraId="663C5936" w14:textId="77777777" w:rsidR="001021CB" w:rsidRDefault="001021CB" w:rsidP="00C44824">
            <w:r>
              <w:t>Total méthodologie</w:t>
            </w:r>
          </w:p>
        </w:tc>
        <w:tc>
          <w:tcPr>
            <w:tcW w:w="1860" w:type="dxa"/>
          </w:tcPr>
          <w:p w14:paraId="343765C7"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-5</w:t>
            </w:r>
          </w:p>
        </w:tc>
        <w:tc>
          <w:tcPr>
            <w:tcW w:w="1819" w:type="dxa"/>
          </w:tcPr>
          <w:p w14:paraId="4C48521E" w14:textId="77777777" w:rsidR="001021CB" w:rsidRDefault="001021CB" w:rsidP="00C44824">
            <w:pPr>
              <w:jc w:val="center"/>
              <w:cnfStyle w:val="000000100000" w:firstRow="0" w:lastRow="0" w:firstColumn="0" w:lastColumn="0" w:oddVBand="0" w:evenVBand="0" w:oddHBand="1" w:evenHBand="0" w:firstRowFirstColumn="0" w:firstRowLastColumn="0" w:lastRowFirstColumn="0" w:lastRowLastColumn="0"/>
            </w:pPr>
            <w:r>
              <w:t>-1,5</w:t>
            </w:r>
          </w:p>
        </w:tc>
      </w:tr>
      <w:tr w:rsidR="001021CB" w14:paraId="2695D3C1" w14:textId="77777777" w:rsidTr="00DF06D4">
        <w:tc>
          <w:tcPr>
            <w:cnfStyle w:val="001000000000" w:firstRow="0" w:lastRow="0" w:firstColumn="1" w:lastColumn="0" w:oddVBand="0" w:evenVBand="0" w:oddHBand="0" w:evenHBand="0" w:firstRowFirstColumn="0" w:firstRowLastColumn="0" w:lastRowFirstColumn="0" w:lastRowLastColumn="0"/>
            <w:tcW w:w="2213" w:type="dxa"/>
          </w:tcPr>
          <w:p w14:paraId="7B56F8A3" w14:textId="77777777" w:rsidR="001021CB" w:rsidRDefault="001021CB" w:rsidP="00C44824">
            <w:r>
              <w:t>Total autres</w:t>
            </w:r>
          </w:p>
        </w:tc>
        <w:tc>
          <w:tcPr>
            <w:tcW w:w="3736" w:type="dxa"/>
          </w:tcPr>
          <w:p w14:paraId="528D8F75" w14:textId="77777777" w:rsidR="001021CB" w:rsidRDefault="001021CB" w:rsidP="00C44824">
            <w:pPr>
              <w:cnfStyle w:val="000000000000" w:firstRow="0" w:lastRow="0" w:firstColumn="0" w:lastColumn="0" w:oddVBand="0" w:evenVBand="0" w:oddHBand="0" w:evenHBand="0" w:firstRowFirstColumn="0" w:firstRowLastColumn="0" w:lastRowFirstColumn="0" w:lastRowLastColumn="0"/>
            </w:pPr>
            <w:r>
              <w:t>Déterminants indéterminés ou indissociables</w:t>
            </w:r>
          </w:p>
        </w:tc>
        <w:tc>
          <w:tcPr>
            <w:tcW w:w="1860" w:type="dxa"/>
          </w:tcPr>
          <w:p w14:paraId="1BC55A4A"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-9,5</w:t>
            </w:r>
          </w:p>
        </w:tc>
        <w:tc>
          <w:tcPr>
            <w:tcW w:w="1819" w:type="dxa"/>
          </w:tcPr>
          <w:p w14:paraId="7D259A1A" w14:textId="77777777" w:rsidR="001021CB" w:rsidRDefault="001021CB" w:rsidP="00C44824">
            <w:pPr>
              <w:jc w:val="center"/>
              <w:cnfStyle w:val="000000000000" w:firstRow="0" w:lastRow="0" w:firstColumn="0" w:lastColumn="0" w:oddVBand="0" w:evenVBand="0" w:oddHBand="0" w:evenHBand="0" w:firstRowFirstColumn="0" w:firstRowLastColumn="0" w:lastRowFirstColumn="0" w:lastRowLastColumn="0"/>
            </w:pPr>
            <w:r>
              <w:t>-19</w:t>
            </w:r>
          </w:p>
        </w:tc>
      </w:tr>
    </w:tbl>
    <w:p w14:paraId="62E12C76" w14:textId="17A412DC" w:rsidR="00DF06D4" w:rsidRDefault="00DF06D4" w:rsidP="0045532B">
      <w:pPr>
        <w:pStyle w:val="Caption"/>
      </w:pPr>
      <w:bookmarkStart w:id="505" w:name="_Toc123916503"/>
      <w:r>
        <w:t xml:space="preserve">Tableau </w:t>
      </w:r>
      <w:fldSimple w:instr=" SEQ Tableau \* ARABIC ">
        <w:r w:rsidR="00AB51D9">
          <w:rPr>
            <w:noProof/>
          </w:rPr>
          <w:t>11</w:t>
        </w:r>
      </w:fldSimple>
      <w:r>
        <w:t xml:space="preserve"> : </w:t>
      </w:r>
      <w:r w:rsidR="001021CB">
        <w:t>Impact des différents facteurs sur le niveau d’émissions en 2030 et 2050</w:t>
      </w:r>
      <w:bookmarkEnd w:id="505"/>
    </w:p>
    <w:p w14:paraId="7E3FC9C3" w14:textId="318DA241" w:rsidR="001021CB" w:rsidRDefault="001021CB" w:rsidP="0045532B">
      <w:pPr>
        <w:pStyle w:val="Caption"/>
      </w:pPr>
      <w:r>
        <w:t xml:space="preserve">Source : </w:t>
      </w:r>
      <w:r w:rsidR="00DF06D4">
        <w:t>MTE-</w:t>
      </w:r>
      <w:r>
        <w:t>DGEC</w:t>
      </w:r>
    </w:p>
    <w:p w14:paraId="702C4130" w14:textId="77777777" w:rsidR="001021CB" w:rsidRPr="00AB325E" w:rsidRDefault="001021CB" w:rsidP="001021CB">
      <w:pPr>
        <w:pStyle w:val="Standard"/>
        <w:jc w:val="both"/>
        <w:rPr>
          <w:rFonts w:ascii="Marianne" w:hAnsi="Marianne"/>
          <w:sz w:val="21"/>
        </w:rPr>
      </w:pPr>
    </w:p>
    <w:p w14:paraId="6CCDB84F" w14:textId="77777777" w:rsidR="001021CB" w:rsidRDefault="001021CB" w:rsidP="003F57EA">
      <w:pPr>
        <w:pStyle w:val="titreencadre"/>
        <w:numPr>
          <w:ilvl w:val="3"/>
          <w:numId w:val="78"/>
        </w:numPr>
      </w:pPr>
      <w:r w:rsidRPr="00AB325E">
        <w:t>AMS 2018</w:t>
      </w:r>
    </w:p>
    <w:p w14:paraId="5A63B97B" w14:textId="77777777" w:rsidR="00314F8F" w:rsidRPr="00AA4D70" w:rsidRDefault="00314F8F" w:rsidP="00314F8F">
      <w:pPr>
        <w:spacing w:before="240" w:after="240"/>
        <w:rPr>
          <w:rFonts w:asciiTheme="minorHAnsi" w:hAnsiTheme="minorHAnsi"/>
          <w:szCs w:val="21"/>
        </w:rPr>
      </w:pPr>
      <w:r w:rsidRPr="00AA4D70">
        <w:rPr>
          <w:rFonts w:asciiTheme="minorHAnsi" w:hAnsiTheme="minorHAnsi"/>
          <w:szCs w:val="21"/>
        </w:rPr>
        <w:t xml:space="preserve">Les émissions </w:t>
      </w:r>
      <w:r>
        <w:rPr>
          <w:rFonts w:asciiTheme="minorHAnsi" w:hAnsiTheme="minorHAnsi"/>
          <w:szCs w:val="21"/>
        </w:rPr>
        <w:t xml:space="preserve">hors UTCATF au périmètre Kyoto </w:t>
      </w:r>
      <w:r w:rsidRPr="00AA4D70">
        <w:rPr>
          <w:rFonts w:asciiTheme="minorHAnsi" w:hAnsiTheme="minorHAnsi"/>
          <w:szCs w:val="21"/>
        </w:rPr>
        <w:t>diminuent en scénario AMS pour atteindre</w:t>
      </w:r>
      <w:r w:rsidRPr="00AA4D70">
        <w:rPr>
          <w:rFonts w:ascii="Calibri" w:hAnsi="Calibri" w:cs="Calibri"/>
          <w:szCs w:val="21"/>
        </w:rPr>
        <w:t> </w:t>
      </w:r>
      <w:r w:rsidRPr="00AA4D70">
        <w:rPr>
          <w:rFonts w:asciiTheme="minorHAnsi" w:hAnsiTheme="minorHAnsi"/>
          <w:szCs w:val="21"/>
        </w:rPr>
        <w:t>:</w:t>
      </w:r>
    </w:p>
    <w:p w14:paraId="3ECF810B" w14:textId="6515B4EC" w:rsidR="00314F8F" w:rsidRPr="006B4B07" w:rsidRDefault="00314F8F" w:rsidP="00BE086C">
      <w:pPr>
        <w:pStyle w:val="Standard"/>
        <w:numPr>
          <w:ilvl w:val="0"/>
          <w:numId w:val="46"/>
        </w:numPr>
        <w:jc w:val="both"/>
        <w:rPr>
          <w:rFonts w:asciiTheme="minorHAnsi" w:hAnsiTheme="minorHAnsi"/>
          <w:sz w:val="22"/>
          <w:szCs w:val="22"/>
        </w:rPr>
      </w:pPr>
      <w:r w:rsidRPr="006B4B07">
        <w:rPr>
          <w:rFonts w:asciiTheme="minorHAnsi" w:hAnsiTheme="minorHAnsi"/>
          <w:sz w:val="22"/>
          <w:szCs w:val="22"/>
        </w:rPr>
        <w:t>307 Mt</w:t>
      </w:r>
      <w:r w:rsidR="007F09F7" w:rsidRPr="006B4B07">
        <w:rPr>
          <w:rFonts w:asciiTheme="minorHAnsi" w:hAnsiTheme="minorHAnsi"/>
          <w:sz w:val="22"/>
          <w:szCs w:val="22"/>
        </w:rPr>
        <w:t>CO</w:t>
      </w:r>
      <w:r w:rsidR="007F09F7" w:rsidRPr="006B4B07">
        <w:rPr>
          <w:rFonts w:asciiTheme="minorHAnsi" w:hAnsiTheme="minorHAnsi"/>
          <w:sz w:val="22"/>
          <w:szCs w:val="22"/>
          <w:vertAlign w:val="subscript"/>
        </w:rPr>
        <w:t>2</w:t>
      </w:r>
      <w:r w:rsidR="004F1EC8" w:rsidRPr="006B4B07">
        <w:rPr>
          <w:rFonts w:asciiTheme="minorHAnsi" w:hAnsiTheme="minorHAnsi"/>
          <w:sz w:val="22"/>
          <w:szCs w:val="22"/>
          <w:vertAlign w:val="subscript"/>
        </w:rPr>
        <w:t>e</w:t>
      </w:r>
      <w:r w:rsidRPr="006B4B07">
        <w:rPr>
          <w:rFonts w:asciiTheme="minorHAnsi" w:hAnsiTheme="minorHAnsi"/>
          <w:sz w:val="22"/>
          <w:szCs w:val="22"/>
        </w:rPr>
        <w:t xml:space="preserve"> en 2030, soit 43% de r</w:t>
      </w:r>
      <w:r w:rsidRPr="006B4B07">
        <w:rPr>
          <w:rFonts w:asciiTheme="minorHAnsi" w:hAnsiTheme="minorHAnsi" w:cs="Marianne"/>
          <w:sz w:val="22"/>
          <w:szCs w:val="22"/>
        </w:rPr>
        <w:t>é</w:t>
      </w:r>
      <w:r w:rsidRPr="006B4B07">
        <w:rPr>
          <w:rFonts w:asciiTheme="minorHAnsi" w:hAnsiTheme="minorHAnsi"/>
          <w:sz w:val="22"/>
          <w:szCs w:val="22"/>
        </w:rPr>
        <w:t xml:space="preserve">duction par rapport </w:t>
      </w:r>
      <w:r w:rsidRPr="006B4B07">
        <w:rPr>
          <w:rFonts w:asciiTheme="minorHAnsi" w:hAnsiTheme="minorHAnsi" w:cs="Marianne"/>
          <w:sz w:val="22"/>
          <w:szCs w:val="22"/>
        </w:rPr>
        <w:t>à</w:t>
      </w:r>
      <w:r w:rsidRPr="006B4B07">
        <w:rPr>
          <w:rFonts w:asciiTheme="minorHAnsi" w:hAnsiTheme="minorHAnsi"/>
          <w:sz w:val="22"/>
          <w:szCs w:val="22"/>
        </w:rPr>
        <w:t xml:space="preserve"> 1990</w:t>
      </w:r>
    </w:p>
    <w:p w14:paraId="39966946" w14:textId="73FF4927" w:rsidR="00314F8F" w:rsidRPr="006B4B07" w:rsidRDefault="00DC213D" w:rsidP="00BE086C">
      <w:pPr>
        <w:pStyle w:val="Standard"/>
        <w:numPr>
          <w:ilvl w:val="0"/>
          <w:numId w:val="46"/>
        </w:numPr>
        <w:jc w:val="both"/>
        <w:rPr>
          <w:rFonts w:asciiTheme="minorHAnsi" w:hAnsiTheme="minorHAnsi"/>
          <w:sz w:val="22"/>
          <w:szCs w:val="22"/>
        </w:rPr>
      </w:pPr>
      <w:r>
        <w:rPr>
          <w:rFonts w:asciiTheme="minorHAnsi" w:hAnsiTheme="minorHAnsi"/>
          <w:sz w:val="22"/>
          <w:szCs w:val="22"/>
        </w:rPr>
        <w:t>65</w:t>
      </w:r>
      <w:r w:rsidR="00314F8F" w:rsidRPr="006B4B07">
        <w:rPr>
          <w:rFonts w:asciiTheme="minorHAnsi" w:hAnsiTheme="minorHAnsi"/>
          <w:sz w:val="22"/>
          <w:szCs w:val="22"/>
        </w:rPr>
        <w:t xml:space="preserve"> Mt</w:t>
      </w:r>
      <w:r w:rsidR="007F09F7" w:rsidRPr="006B4B07">
        <w:rPr>
          <w:rFonts w:asciiTheme="minorHAnsi" w:hAnsiTheme="minorHAnsi"/>
          <w:sz w:val="22"/>
          <w:szCs w:val="22"/>
        </w:rPr>
        <w:t>CO</w:t>
      </w:r>
      <w:r w:rsidR="007F09F7" w:rsidRPr="006B4B07">
        <w:rPr>
          <w:rFonts w:asciiTheme="minorHAnsi" w:hAnsiTheme="minorHAnsi"/>
          <w:sz w:val="22"/>
          <w:szCs w:val="22"/>
          <w:vertAlign w:val="subscript"/>
        </w:rPr>
        <w:t>2</w:t>
      </w:r>
      <w:r w:rsidR="004F1EC8" w:rsidRPr="006B4B07">
        <w:rPr>
          <w:rFonts w:asciiTheme="minorHAnsi" w:hAnsiTheme="minorHAnsi"/>
          <w:sz w:val="22"/>
          <w:szCs w:val="22"/>
          <w:vertAlign w:val="subscript"/>
        </w:rPr>
        <w:t>e</w:t>
      </w:r>
      <w:r w:rsidR="00314F8F" w:rsidRPr="006B4B07">
        <w:rPr>
          <w:rFonts w:asciiTheme="minorHAnsi" w:hAnsiTheme="minorHAnsi"/>
          <w:sz w:val="22"/>
          <w:szCs w:val="22"/>
        </w:rPr>
        <w:t xml:space="preserve"> en 2050, soit 85% de réduction par rapport à 1990</w:t>
      </w:r>
    </w:p>
    <w:p w14:paraId="5A5179F2" w14:textId="77777777" w:rsidR="00314F8F" w:rsidRPr="006B4B07" w:rsidRDefault="00314F8F" w:rsidP="00314F8F">
      <w:pPr>
        <w:pStyle w:val="Standard"/>
        <w:jc w:val="both"/>
        <w:rPr>
          <w:rFonts w:asciiTheme="minorHAnsi" w:hAnsiTheme="minorHAnsi"/>
          <w:sz w:val="22"/>
          <w:szCs w:val="22"/>
        </w:rPr>
      </w:pPr>
    </w:p>
    <w:p w14:paraId="02C018C0" w14:textId="77777777" w:rsidR="00314F8F" w:rsidRPr="006B4B07" w:rsidRDefault="00314F8F" w:rsidP="00314F8F">
      <w:pPr>
        <w:pStyle w:val="Standard"/>
        <w:jc w:val="both"/>
        <w:rPr>
          <w:rFonts w:asciiTheme="minorHAnsi" w:hAnsiTheme="minorHAnsi"/>
          <w:sz w:val="22"/>
          <w:szCs w:val="22"/>
        </w:rPr>
      </w:pPr>
      <w:r w:rsidRPr="006B4B07">
        <w:rPr>
          <w:rFonts w:asciiTheme="minorHAnsi" w:hAnsiTheme="minorHAnsi"/>
          <w:sz w:val="22"/>
          <w:szCs w:val="22"/>
        </w:rPr>
        <w:t>La réduction des émissions est donc bien plus forte dans le scénario AMS que dans le scénario AME.</w:t>
      </w:r>
    </w:p>
    <w:p w14:paraId="15FFF84A" w14:textId="39FD75C1" w:rsidR="001021CB" w:rsidRDefault="001021CB" w:rsidP="001021CB">
      <w:pPr>
        <w:pStyle w:val="Standard"/>
        <w:jc w:val="both"/>
        <w:rPr>
          <w:rFonts w:asciiTheme="minorHAnsi" w:hAnsiTheme="minorHAnsi"/>
          <w:sz w:val="21"/>
          <w:szCs w:val="21"/>
        </w:rPr>
      </w:pPr>
    </w:p>
    <w:tbl>
      <w:tblPr>
        <w:tblStyle w:val="TableGrid0"/>
        <w:tblW w:w="8814" w:type="dxa"/>
        <w:tblInd w:w="3" w:type="dxa"/>
        <w:tblCellMar>
          <w:top w:w="135" w:type="dxa"/>
          <w:left w:w="28" w:type="dxa"/>
          <w:right w:w="20" w:type="dxa"/>
        </w:tblCellMar>
        <w:tblLook w:val="04A0" w:firstRow="1" w:lastRow="0" w:firstColumn="1" w:lastColumn="0" w:noHBand="0" w:noVBand="1"/>
      </w:tblPr>
      <w:tblGrid>
        <w:gridCol w:w="952"/>
        <w:gridCol w:w="653"/>
        <w:gridCol w:w="653"/>
        <w:gridCol w:w="653"/>
        <w:gridCol w:w="653"/>
        <w:gridCol w:w="653"/>
        <w:gridCol w:w="653"/>
        <w:gridCol w:w="672"/>
        <w:gridCol w:w="672"/>
        <w:gridCol w:w="673"/>
        <w:gridCol w:w="672"/>
        <w:gridCol w:w="677"/>
        <w:gridCol w:w="578"/>
      </w:tblGrid>
      <w:tr w:rsidR="007A01D7" w14:paraId="65DDED5A" w14:textId="77777777" w:rsidTr="00FF40B8">
        <w:trPr>
          <w:trHeight w:val="431"/>
        </w:trPr>
        <w:tc>
          <w:tcPr>
            <w:tcW w:w="600" w:type="dxa"/>
            <w:tcBorders>
              <w:top w:val="single" w:sz="2" w:space="0" w:color="FFFFFF"/>
              <w:left w:val="single" w:sz="2" w:space="0" w:color="FFFFFF"/>
              <w:bottom w:val="single" w:sz="2" w:space="0" w:color="FFFFFF"/>
              <w:right w:val="single" w:sz="2" w:space="0" w:color="FFFFFF"/>
            </w:tcBorders>
            <w:shd w:val="clear" w:color="auto" w:fill="6D2A78"/>
          </w:tcPr>
          <w:p w14:paraId="17D07B0F" w14:textId="77777777" w:rsidR="003936EA" w:rsidRDefault="003936EA" w:rsidP="00E11221">
            <w:pPr>
              <w:spacing w:line="259" w:lineRule="auto"/>
            </w:pPr>
            <w:r>
              <w:rPr>
                <w:color w:val="FFFFFF" w:themeColor="background1"/>
              </w:rPr>
              <w:t>AMS 2018</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340D9D35" w14:textId="77777777" w:rsidR="003936EA" w:rsidRDefault="003936EA" w:rsidP="00E11221">
            <w:pPr>
              <w:spacing w:line="259" w:lineRule="auto"/>
              <w:ind w:right="4"/>
              <w:jc w:val="center"/>
            </w:pPr>
            <w:r>
              <w:rPr>
                <w:b/>
                <w:color w:val="FFFFFF"/>
                <w:sz w:val="18"/>
              </w:rPr>
              <w:t>1990</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3AB6A72" w14:textId="0F311420" w:rsidR="003936EA" w:rsidRDefault="003936EA" w:rsidP="006B4B07">
            <w:pPr>
              <w:spacing w:line="259" w:lineRule="auto"/>
              <w:ind w:right="6"/>
              <w:jc w:val="center"/>
              <w:rPr>
                <w:b/>
                <w:color w:val="FFFFFF"/>
                <w:sz w:val="18"/>
              </w:rPr>
            </w:pPr>
            <w:r>
              <w:rPr>
                <w:b/>
                <w:color w:val="FFFFFF"/>
                <w:sz w:val="18"/>
              </w:rPr>
              <w:t>1995</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0954BAEC" w14:textId="06AA05C1" w:rsidR="003936EA" w:rsidRDefault="003936EA" w:rsidP="00E11221">
            <w:pPr>
              <w:spacing w:line="259" w:lineRule="auto"/>
              <w:ind w:right="6"/>
              <w:jc w:val="center"/>
            </w:pPr>
            <w:r>
              <w:rPr>
                <w:b/>
                <w:color w:val="FFFFFF"/>
                <w:sz w:val="18"/>
              </w:rPr>
              <w:t>2000</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129399D9" w14:textId="77777777" w:rsidR="003936EA" w:rsidRDefault="003936EA" w:rsidP="00E11221">
            <w:pPr>
              <w:spacing w:line="259" w:lineRule="auto"/>
              <w:ind w:right="4"/>
              <w:jc w:val="center"/>
            </w:pPr>
            <w:r>
              <w:rPr>
                <w:b/>
                <w:color w:val="FFFFFF"/>
                <w:sz w:val="18"/>
              </w:rPr>
              <w:t>2005</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4381D074" w14:textId="77777777" w:rsidR="003936EA" w:rsidRDefault="003936EA" w:rsidP="00E11221">
            <w:pPr>
              <w:spacing w:line="259" w:lineRule="auto"/>
              <w:ind w:right="7"/>
              <w:jc w:val="center"/>
            </w:pPr>
            <w:r>
              <w:rPr>
                <w:b/>
                <w:color w:val="FFFFFF"/>
                <w:sz w:val="18"/>
              </w:rPr>
              <w:t>2010</w:t>
            </w:r>
          </w:p>
        </w:tc>
        <w:tc>
          <w:tcPr>
            <w:tcW w:w="592"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626DBF0" w14:textId="77777777" w:rsidR="003936EA" w:rsidRDefault="003936EA" w:rsidP="00E11221">
            <w:pPr>
              <w:spacing w:line="259" w:lineRule="auto"/>
              <w:ind w:right="5"/>
              <w:jc w:val="center"/>
            </w:pPr>
            <w:r>
              <w:rPr>
                <w:b/>
                <w:color w:val="FFFFFF"/>
                <w:sz w:val="18"/>
              </w:rPr>
              <w:t>2015</w:t>
            </w:r>
          </w:p>
        </w:tc>
        <w:tc>
          <w:tcPr>
            <w:tcW w:w="79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7BD0724E" w14:textId="77777777" w:rsidR="003936EA" w:rsidRDefault="003936EA" w:rsidP="00E11221">
            <w:pPr>
              <w:spacing w:line="259" w:lineRule="auto"/>
              <w:ind w:right="7"/>
              <w:jc w:val="center"/>
              <w:rPr>
                <w:b/>
                <w:color w:val="FFFFFF"/>
                <w:sz w:val="18"/>
              </w:rPr>
            </w:pPr>
            <w:r>
              <w:rPr>
                <w:b/>
                <w:color w:val="FFFFFF"/>
                <w:sz w:val="18"/>
              </w:rPr>
              <w:t>2019</w:t>
            </w:r>
          </w:p>
        </w:tc>
        <w:tc>
          <w:tcPr>
            <w:tcW w:w="796"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06BE1EAA" w14:textId="77777777" w:rsidR="003936EA" w:rsidRDefault="003936EA" w:rsidP="00E11221">
            <w:pPr>
              <w:spacing w:line="259" w:lineRule="auto"/>
              <w:ind w:right="7"/>
              <w:jc w:val="center"/>
            </w:pPr>
            <w:r>
              <w:rPr>
                <w:b/>
                <w:color w:val="FFFFFF"/>
                <w:sz w:val="18"/>
              </w:rPr>
              <w:t>2020</w:t>
            </w:r>
          </w:p>
        </w:tc>
        <w:tc>
          <w:tcPr>
            <w:tcW w:w="797" w:type="dxa"/>
            <w:tcBorders>
              <w:top w:val="single" w:sz="2" w:space="0" w:color="FFFFFF"/>
              <w:left w:val="single" w:sz="2" w:space="0" w:color="FFFFFF"/>
              <w:bottom w:val="single" w:sz="2" w:space="0" w:color="FFFFFF"/>
              <w:right w:val="nil"/>
            </w:tcBorders>
            <w:shd w:val="clear" w:color="auto" w:fill="6D2A78"/>
            <w:vAlign w:val="center"/>
          </w:tcPr>
          <w:p w14:paraId="46AB0AD7" w14:textId="77777777" w:rsidR="003936EA" w:rsidRDefault="003936EA" w:rsidP="00E11221">
            <w:pPr>
              <w:spacing w:line="259" w:lineRule="auto"/>
              <w:ind w:right="4"/>
              <w:jc w:val="center"/>
            </w:pPr>
            <w:r>
              <w:rPr>
                <w:b/>
                <w:color w:val="FFFFFF"/>
                <w:sz w:val="18"/>
              </w:rPr>
              <w:t>2025</w:t>
            </w:r>
          </w:p>
        </w:tc>
        <w:tc>
          <w:tcPr>
            <w:tcW w:w="796" w:type="dxa"/>
            <w:tcBorders>
              <w:top w:val="single" w:sz="2" w:space="0" w:color="FFFFFF"/>
              <w:left w:val="nil"/>
              <w:bottom w:val="single" w:sz="2" w:space="0" w:color="FFFFFF"/>
              <w:right w:val="single" w:sz="2" w:space="0" w:color="FFFFFF"/>
            </w:tcBorders>
            <w:shd w:val="clear" w:color="auto" w:fill="6D2A78"/>
            <w:vAlign w:val="center"/>
          </w:tcPr>
          <w:p w14:paraId="2ACBC4F4" w14:textId="77777777" w:rsidR="003936EA" w:rsidRDefault="003936EA" w:rsidP="00E11221">
            <w:pPr>
              <w:spacing w:line="259" w:lineRule="auto"/>
              <w:ind w:right="6"/>
              <w:jc w:val="center"/>
            </w:pPr>
            <w:r>
              <w:rPr>
                <w:b/>
                <w:color w:val="FFFFFF"/>
                <w:sz w:val="18"/>
              </w:rPr>
              <w:t>2030</w:t>
            </w:r>
          </w:p>
        </w:tc>
        <w:tc>
          <w:tcPr>
            <w:tcW w:w="799"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664F9F3A" w14:textId="77777777" w:rsidR="003936EA" w:rsidRDefault="003936EA" w:rsidP="00E11221">
            <w:pPr>
              <w:spacing w:line="259" w:lineRule="auto"/>
              <w:jc w:val="center"/>
            </w:pPr>
            <w:r>
              <w:rPr>
                <w:b/>
                <w:color w:val="FFFFFF"/>
                <w:sz w:val="18"/>
              </w:rPr>
              <w:t>2035</w:t>
            </w:r>
          </w:p>
        </w:tc>
        <w:tc>
          <w:tcPr>
            <w:tcW w:w="678" w:type="dxa"/>
            <w:tcBorders>
              <w:top w:val="single" w:sz="2" w:space="0" w:color="FFFFFF"/>
              <w:left w:val="single" w:sz="2" w:space="0" w:color="FFFFFF"/>
              <w:bottom w:val="single" w:sz="2" w:space="0" w:color="FFFFFF"/>
              <w:right w:val="single" w:sz="2" w:space="0" w:color="FFFFFF"/>
            </w:tcBorders>
            <w:shd w:val="clear" w:color="auto" w:fill="6D2A78"/>
            <w:vAlign w:val="center"/>
          </w:tcPr>
          <w:p w14:paraId="179C6511" w14:textId="77777777" w:rsidR="003936EA" w:rsidRDefault="003936EA" w:rsidP="00E11221">
            <w:pPr>
              <w:spacing w:line="259" w:lineRule="auto"/>
              <w:jc w:val="center"/>
              <w:rPr>
                <w:b/>
                <w:color w:val="FFFFFF"/>
                <w:sz w:val="18"/>
              </w:rPr>
            </w:pPr>
            <w:r>
              <w:rPr>
                <w:b/>
                <w:color w:val="FFFFFF"/>
                <w:sz w:val="18"/>
              </w:rPr>
              <w:t>2050</w:t>
            </w:r>
          </w:p>
        </w:tc>
      </w:tr>
      <w:tr w:rsidR="006B4B07" w14:paraId="375A7542" w14:textId="77777777" w:rsidTr="00261D3D">
        <w:trPr>
          <w:trHeight w:val="493"/>
        </w:trPr>
        <w:tc>
          <w:tcPr>
            <w:tcW w:w="600" w:type="dxa"/>
            <w:tcBorders>
              <w:top w:val="single" w:sz="2" w:space="0" w:color="FFFFFF"/>
              <w:left w:val="single" w:sz="2" w:space="0" w:color="6D2A78"/>
              <w:bottom w:val="single" w:sz="2" w:space="0" w:color="6D2A78"/>
              <w:right w:val="single" w:sz="2" w:space="0" w:color="6D2A78"/>
            </w:tcBorders>
            <w:vAlign w:val="center"/>
          </w:tcPr>
          <w:p w14:paraId="0DE78E09" w14:textId="568C219E" w:rsidR="003936EA" w:rsidRDefault="003936EA" w:rsidP="00E11221">
            <w:pPr>
              <w:spacing w:line="259" w:lineRule="auto"/>
              <w:ind w:left="39"/>
            </w:pPr>
            <w:r>
              <w:rPr>
                <w:sz w:val="18"/>
              </w:rPr>
              <w:t>(en kt</w:t>
            </w:r>
            <w:r>
              <w:t>CO</w:t>
            </w:r>
            <w:r w:rsidRPr="007F09F7">
              <w:rPr>
                <w:vertAlign w:val="subscript"/>
              </w:rPr>
              <w:t>2</w:t>
            </w:r>
            <w:r w:rsidRPr="004F1EC8">
              <w:rPr>
                <w:sz w:val="18"/>
                <w:vertAlign w:val="subscript"/>
              </w:rPr>
              <w:t>e</w:t>
            </w:r>
            <w:r>
              <w:rPr>
                <w:sz w:val="18"/>
              </w:rPr>
              <w:t xml:space="preserve">) </w:t>
            </w:r>
          </w:p>
        </w:tc>
        <w:tc>
          <w:tcPr>
            <w:tcW w:w="592" w:type="dxa"/>
            <w:tcBorders>
              <w:top w:val="single" w:sz="2" w:space="0" w:color="FFFFFF"/>
              <w:left w:val="single" w:sz="2" w:space="0" w:color="6D2A78"/>
              <w:bottom w:val="single" w:sz="2" w:space="0" w:color="6D2A78"/>
              <w:right w:val="single" w:sz="2" w:space="0" w:color="6D2A78"/>
            </w:tcBorders>
            <w:vAlign w:val="center"/>
          </w:tcPr>
          <w:p w14:paraId="074097CF" w14:textId="77777777" w:rsidR="003936EA" w:rsidRDefault="003936EA" w:rsidP="00E11221">
            <w:pPr>
              <w:spacing w:line="259" w:lineRule="auto"/>
              <w:jc w:val="center"/>
            </w:pPr>
            <w:r>
              <w:rPr>
                <w:sz w:val="18"/>
              </w:rPr>
              <w:t>Observé</w:t>
            </w:r>
          </w:p>
        </w:tc>
        <w:tc>
          <w:tcPr>
            <w:tcW w:w="592" w:type="dxa"/>
            <w:tcBorders>
              <w:top w:val="single" w:sz="2" w:space="0" w:color="FFFFFF"/>
              <w:left w:val="single" w:sz="2" w:space="0" w:color="6D2A78"/>
              <w:bottom w:val="single" w:sz="2" w:space="0" w:color="6D2A78"/>
              <w:right w:val="single" w:sz="2" w:space="0" w:color="6D2A78"/>
            </w:tcBorders>
            <w:vAlign w:val="center"/>
          </w:tcPr>
          <w:p w14:paraId="2AAA8366" w14:textId="7AABC710" w:rsidR="003936EA" w:rsidRDefault="003936EA" w:rsidP="006B4B07">
            <w:pPr>
              <w:spacing w:line="259" w:lineRule="auto"/>
              <w:jc w:val="center"/>
              <w:rPr>
                <w:sz w:val="18"/>
              </w:rPr>
            </w:pPr>
            <w:r>
              <w:rPr>
                <w:sz w:val="18"/>
              </w:rPr>
              <w:t>Observé</w:t>
            </w:r>
          </w:p>
        </w:tc>
        <w:tc>
          <w:tcPr>
            <w:tcW w:w="592" w:type="dxa"/>
            <w:tcBorders>
              <w:top w:val="single" w:sz="2" w:space="0" w:color="FFFFFF"/>
              <w:left w:val="single" w:sz="2" w:space="0" w:color="6D2A78"/>
              <w:bottom w:val="single" w:sz="2" w:space="0" w:color="6D2A78"/>
              <w:right w:val="single" w:sz="2" w:space="0" w:color="6D2A78"/>
            </w:tcBorders>
            <w:vAlign w:val="center"/>
          </w:tcPr>
          <w:p w14:paraId="540C9DF0" w14:textId="221F6D22" w:rsidR="003936EA" w:rsidRDefault="003936EA" w:rsidP="00E11221">
            <w:pPr>
              <w:spacing w:line="259" w:lineRule="auto"/>
              <w:jc w:val="center"/>
            </w:pPr>
            <w:r>
              <w:rPr>
                <w:sz w:val="18"/>
              </w:rPr>
              <w:t>Observé</w:t>
            </w:r>
          </w:p>
        </w:tc>
        <w:tc>
          <w:tcPr>
            <w:tcW w:w="592" w:type="dxa"/>
            <w:tcBorders>
              <w:top w:val="single" w:sz="2" w:space="0" w:color="FFFFFF"/>
              <w:left w:val="single" w:sz="2" w:space="0" w:color="6D2A78"/>
              <w:bottom w:val="single" w:sz="2" w:space="0" w:color="6D2A78"/>
              <w:right w:val="single" w:sz="2" w:space="0" w:color="6D2A78"/>
            </w:tcBorders>
            <w:vAlign w:val="center"/>
          </w:tcPr>
          <w:p w14:paraId="0313F3CE" w14:textId="77777777" w:rsidR="003936EA" w:rsidRDefault="003936EA" w:rsidP="00E11221">
            <w:pPr>
              <w:spacing w:line="259" w:lineRule="auto"/>
              <w:jc w:val="center"/>
            </w:pPr>
            <w:r>
              <w:rPr>
                <w:sz w:val="18"/>
              </w:rPr>
              <w:t>Observé</w:t>
            </w:r>
          </w:p>
        </w:tc>
        <w:tc>
          <w:tcPr>
            <w:tcW w:w="592" w:type="dxa"/>
            <w:tcBorders>
              <w:top w:val="single" w:sz="2" w:space="0" w:color="FFFFFF"/>
              <w:left w:val="single" w:sz="2" w:space="0" w:color="6D2A78"/>
              <w:bottom w:val="single" w:sz="2" w:space="0" w:color="6D2A78"/>
              <w:right w:val="single" w:sz="2" w:space="0" w:color="6D2A78"/>
            </w:tcBorders>
            <w:vAlign w:val="center"/>
          </w:tcPr>
          <w:p w14:paraId="2F7CE3BA" w14:textId="77777777" w:rsidR="003936EA" w:rsidRDefault="003936EA" w:rsidP="00E11221">
            <w:pPr>
              <w:spacing w:line="259" w:lineRule="auto"/>
              <w:jc w:val="center"/>
            </w:pPr>
            <w:r>
              <w:rPr>
                <w:sz w:val="18"/>
              </w:rPr>
              <w:t>Observé</w:t>
            </w:r>
          </w:p>
        </w:tc>
        <w:tc>
          <w:tcPr>
            <w:tcW w:w="592" w:type="dxa"/>
            <w:tcBorders>
              <w:top w:val="single" w:sz="2" w:space="0" w:color="FFFFFF"/>
              <w:left w:val="single" w:sz="2" w:space="0" w:color="6D2A78"/>
              <w:bottom w:val="single" w:sz="2" w:space="0" w:color="6D2A78"/>
              <w:right w:val="single" w:sz="2" w:space="0" w:color="6D2A78"/>
            </w:tcBorders>
            <w:vAlign w:val="center"/>
          </w:tcPr>
          <w:p w14:paraId="653931C2" w14:textId="77777777" w:rsidR="003936EA" w:rsidRDefault="003936EA" w:rsidP="00E11221">
            <w:pPr>
              <w:spacing w:line="259" w:lineRule="auto"/>
              <w:jc w:val="center"/>
            </w:pPr>
            <w:r>
              <w:rPr>
                <w:sz w:val="18"/>
              </w:rPr>
              <w:t>Observé</w:t>
            </w:r>
          </w:p>
        </w:tc>
        <w:tc>
          <w:tcPr>
            <w:tcW w:w="796" w:type="dxa"/>
            <w:tcBorders>
              <w:top w:val="single" w:sz="2" w:space="0" w:color="FFFFFF"/>
              <w:left w:val="single" w:sz="2" w:space="0" w:color="6D2A78"/>
              <w:bottom w:val="single" w:sz="2" w:space="0" w:color="6D2A78"/>
              <w:right w:val="single" w:sz="2" w:space="0" w:color="6D2A78"/>
            </w:tcBorders>
            <w:vAlign w:val="center"/>
          </w:tcPr>
          <w:p w14:paraId="5E36D27D" w14:textId="77777777" w:rsidR="003936EA" w:rsidRDefault="003936EA" w:rsidP="00E11221">
            <w:pPr>
              <w:spacing w:line="259" w:lineRule="auto"/>
              <w:jc w:val="center"/>
              <w:rPr>
                <w:sz w:val="18"/>
              </w:rPr>
            </w:pPr>
            <w:r>
              <w:rPr>
                <w:sz w:val="18"/>
              </w:rPr>
              <w:t>Observé</w:t>
            </w:r>
          </w:p>
        </w:tc>
        <w:tc>
          <w:tcPr>
            <w:tcW w:w="796" w:type="dxa"/>
            <w:tcBorders>
              <w:top w:val="single" w:sz="2" w:space="0" w:color="FFFFFF"/>
              <w:left w:val="single" w:sz="2" w:space="0" w:color="6D2A78"/>
              <w:bottom w:val="single" w:sz="2" w:space="0" w:color="6D2A78"/>
              <w:right w:val="single" w:sz="2" w:space="0" w:color="6D2A78"/>
            </w:tcBorders>
            <w:vAlign w:val="center"/>
          </w:tcPr>
          <w:p w14:paraId="7835FEA4" w14:textId="77777777" w:rsidR="003936EA" w:rsidRDefault="003936EA" w:rsidP="00E11221">
            <w:pPr>
              <w:spacing w:line="259" w:lineRule="auto"/>
              <w:jc w:val="center"/>
            </w:pPr>
            <w:r>
              <w:rPr>
                <w:sz w:val="18"/>
              </w:rPr>
              <w:t>Projeté</w:t>
            </w:r>
          </w:p>
        </w:tc>
        <w:tc>
          <w:tcPr>
            <w:tcW w:w="797" w:type="dxa"/>
            <w:tcBorders>
              <w:top w:val="single" w:sz="2" w:space="0" w:color="FFFFFF"/>
              <w:left w:val="single" w:sz="2" w:space="0" w:color="6D2A78"/>
              <w:bottom w:val="single" w:sz="2" w:space="0" w:color="6D2A78"/>
              <w:right w:val="single" w:sz="2" w:space="0" w:color="6D2A78"/>
            </w:tcBorders>
            <w:vAlign w:val="center"/>
          </w:tcPr>
          <w:p w14:paraId="4A76D5BC" w14:textId="77777777" w:rsidR="003936EA" w:rsidRDefault="003936EA" w:rsidP="00E11221">
            <w:pPr>
              <w:spacing w:line="259" w:lineRule="auto"/>
              <w:jc w:val="center"/>
            </w:pPr>
            <w:r>
              <w:rPr>
                <w:sz w:val="18"/>
              </w:rPr>
              <w:t>Projeté</w:t>
            </w:r>
          </w:p>
        </w:tc>
        <w:tc>
          <w:tcPr>
            <w:tcW w:w="796" w:type="dxa"/>
            <w:tcBorders>
              <w:top w:val="single" w:sz="2" w:space="0" w:color="FFFFFF"/>
              <w:left w:val="single" w:sz="2" w:space="0" w:color="6D2A78"/>
              <w:bottom w:val="single" w:sz="2" w:space="0" w:color="6D2A78"/>
              <w:right w:val="single" w:sz="2" w:space="0" w:color="6D2A78"/>
            </w:tcBorders>
            <w:vAlign w:val="center"/>
          </w:tcPr>
          <w:p w14:paraId="4BF26663" w14:textId="77777777" w:rsidR="003936EA" w:rsidRDefault="003936EA" w:rsidP="00E11221">
            <w:pPr>
              <w:spacing w:line="259" w:lineRule="auto"/>
              <w:jc w:val="center"/>
            </w:pPr>
            <w:r>
              <w:rPr>
                <w:sz w:val="18"/>
              </w:rPr>
              <w:t>Projeté</w:t>
            </w:r>
          </w:p>
        </w:tc>
        <w:tc>
          <w:tcPr>
            <w:tcW w:w="799" w:type="dxa"/>
            <w:tcBorders>
              <w:top w:val="single" w:sz="2" w:space="0" w:color="FFFFFF"/>
              <w:left w:val="single" w:sz="2" w:space="0" w:color="6D2A78"/>
              <w:bottom w:val="single" w:sz="2" w:space="0" w:color="6D2A78"/>
              <w:right w:val="single" w:sz="2" w:space="0" w:color="6D2A78"/>
            </w:tcBorders>
            <w:vAlign w:val="center"/>
          </w:tcPr>
          <w:p w14:paraId="2D4EBCAE" w14:textId="77777777" w:rsidR="003936EA" w:rsidRDefault="003936EA" w:rsidP="00E11221">
            <w:pPr>
              <w:spacing w:line="259" w:lineRule="auto"/>
              <w:jc w:val="center"/>
            </w:pPr>
            <w:r>
              <w:rPr>
                <w:sz w:val="18"/>
              </w:rPr>
              <w:t>Projeté</w:t>
            </w:r>
          </w:p>
        </w:tc>
        <w:tc>
          <w:tcPr>
            <w:tcW w:w="678" w:type="dxa"/>
            <w:tcBorders>
              <w:top w:val="single" w:sz="2" w:space="0" w:color="FFFFFF"/>
              <w:left w:val="single" w:sz="2" w:space="0" w:color="6D2A78"/>
              <w:bottom w:val="single" w:sz="2" w:space="0" w:color="6D2A78"/>
              <w:right w:val="single" w:sz="2" w:space="0" w:color="6D2A78"/>
            </w:tcBorders>
            <w:vAlign w:val="center"/>
          </w:tcPr>
          <w:p w14:paraId="40A93B73" w14:textId="77777777" w:rsidR="003936EA" w:rsidRDefault="003936EA" w:rsidP="00E11221">
            <w:pPr>
              <w:spacing w:line="259" w:lineRule="auto"/>
              <w:jc w:val="center"/>
              <w:rPr>
                <w:sz w:val="18"/>
              </w:rPr>
            </w:pPr>
            <w:r>
              <w:rPr>
                <w:sz w:val="18"/>
              </w:rPr>
              <w:t>Projeté</w:t>
            </w:r>
          </w:p>
        </w:tc>
      </w:tr>
      <w:tr w:rsidR="00261D3D" w14:paraId="4C2D13C8" w14:textId="77777777" w:rsidTr="00261D3D">
        <w:trPr>
          <w:trHeight w:val="490"/>
        </w:trPr>
        <w:tc>
          <w:tcPr>
            <w:tcW w:w="600"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24512D96" w14:textId="77777777" w:rsidR="00FF40B8" w:rsidRDefault="00FF40B8" w:rsidP="00FF40B8">
            <w:pPr>
              <w:spacing w:line="259" w:lineRule="auto"/>
              <w:ind w:right="9"/>
              <w:jc w:val="center"/>
            </w:pPr>
            <w:r>
              <w:rPr>
                <w:sz w:val="18"/>
              </w:rPr>
              <w:t xml:space="preserve">Ensemble (hors UTCATF) </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94E8757" w14:textId="23A65248"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b/>
                <w:sz w:val="18"/>
              </w:rPr>
              <w:t>544086</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072FEB8" w14:textId="3EAF6A66"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b/>
                <w:sz w:val="18"/>
              </w:rPr>
              <w:t>536475</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4AB091F" w14:textId="6A91A784"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549005</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2089AF0C" w14:textId="70D45256"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551391</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D0D2F75" w14:textId="1C678FDA"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507468</w:t>
            </w:r>
          </w:p>
        </w:tc>
        <w:tc>
          <w:tcPr>
            <w:tcW w:w="592"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DE27C03" w14:textId="4C06532B"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457923</w:t>
            </w:r>
          </w:p>
        </w:tc>
        <w:tc>
          <w:tcPr>
            <w:tcW w:w="79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4BC5721" w14:textId="29B18292" w:rsidR="00FF40B8" w:rsidRPr="00FF40B8" w:rsidRDefault="00FF40B8" w:rsidP="00FF40B8">
            <w:pPr>
              <w:spacing w:line="259" w:lineRule="auto"/>
              <w:ind w:left="58"/>
              <w:jc w:val="center"/>
              <w:rPr>
                <w:b/>
                <w:sz w:val="18"/>
              </w:rPr>
            </w:pPr>
            <w:r w:rsidRPr="00261D3D">
              <w:rPr>
                <w:rFonts w:ascii="Calibri" w:hAnsi="Calibri" w:cs="Calibri"/>
                <w:b/>
                <w:sz w:val="18"/>
              </w:rPr>
              <w:t>434539</w:t>
            </w:r>
          </w:p>
        </w:tc>
        <w:tc>
          <w:tcPr>
            <w:tcW w:w="79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867773C" w14:textId="19EAEEBD" w:rsidR="00FF40B8" w:rsidRPr="00261D3D" w:rsidRDefault="00FF40B8" w:rsidP="00FF40B8">
            <w:pPr>
              <w:spacing w:line="259" w:lineRule="auto"/>
              <w:ind w:left="58"/>
              <w:jc w:val="center"/>
              <w:rPr>
                <w:b/>
                <w:sz w:val="18"/>
              </w:rPr>
            </w:pPr>
            <w:r w:rsidRPr="00261D3D">
              <w:rPr>
                <w:rFonts w:ascii="Calibri" w:hAnsi="Calibri"/>
                <w:b/>
                <w:color w:val="000000"/>
                <w:sz w:val="18"/>
              </w:rPr>
              <w:t>434378</w:t>
            </w:r>
          </w:p>
        </w:tc>
        <w:tc>
          <w:tcPr>
            <w:tcW w:w="797"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1456285E" w14:textId="64D57803" w:rsidR="00FF40B8" w:rsidRPr="00261D3D" w:rsidRDefault="00FF40B8" w:rsidP="00FF40B8">
            <w:pPr>
              <w:spacing w:line="259" w:lineRule="auto"/>
              <w:ind w:left="59"/>
              <w:jc w:val="center"/>
              <w:rPr>
                <w:b/>
                <w:sz w:val="18"/>
              </w:rPr>
            </w:pPr>
            <w:r w:rsidRPr="00261D3D">
              <w:rPr>
                <w:rFonts w:ascii="Calibri" w:hAnsi="Calibri"/>
                <w:b/>
                <w:color w:val="000000"/>
                <w:sz w:val="18"/>
              </w:rPr>
              <w:t>367661</w:t>
            </w:r>
          </w:p>
        </w:tc>
        <w:tc>
          <w:tcPr>
            <w:tcW w:w="796"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48576362" w14:textId="6C6A037F" w:rsidR="00FF40B8" w:rsidRPr="00261D3D" w:rsidRDefault="00FF40B8" w:rsidP="00FF40B8">
            <w:pPr>
              <w:spacing w:line="259" w:lineRule="auto"/>
              <w:ind w:left="58"/>
              <w:jc w:val="center"/>
              <w:rPr>
                <w:b/>
                <w:sz w:val="18"/>
              </w:rPr>
            </w:pPr>
            <w:r w:rsidRPr="00261D3D">
              <w:rPr>
                <w:rFonts w:ascii="Calibri" w:hAnsi="Calibri"/>
                <w:b/>
                <w:color w:val="000000"/>
                <w:sz w:val="18"/>
              </w:rPr>
              <w:t>307094</w:t>
            </w:r>
          </w:p>
        </w:tc>
        <w:tc>
          <w:tcPr>
            <w:tcW w:w="799"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5B8C7A25" w14:textId="3A151B5E" w:rsidR="00FF40B8" w:rsidRPr="00261D3D" w:rsidRDefault="00FF40B8" w:rsidP="00FF40B8">
            <w:pPr>
              <w:spacing w:line="259" w:lineRule="auto"/>
              <w:ind w:left="59"/>
              <w:jc w:val="center"/>
              <w:rPr>
                <w:b/>
                <w:sz w:val="18"/>
              </w:rPr>
            </w:pPr>
            <w:r w:rsidRPr="00261D3D">
              <w:rPr>
                <w:rFonts w:ascii="Calibri" w:hAnsi="Calibri"/>
                <w:b/>
                <w:color w:val="000000"/>
                <w:sz w:val="18"/>
              </w:rPr>
              <w:t>247697</w:t>
            </w:r>
          </w:p>
        </w:tc>
        <w:tc>
          <w:tcPr>
            <w:tcW w:w="678" w:type="dxa"/>
            <w:tcBorders>
              <w:top w:val="single" w:sz="2" w:space="0" w:color="6D2A78"/>
              <w:left w:val="single" w:sz="2" w:space="0" w:color="6D2A78"/>
              <w:bottom w:val="single" w:sz="2" w:space="0" w:color="6D2A78"/>
              <w:right w:val="single" w:sz="2" w:space="0" w:color="6D2A78"/>
            </w:tcBorders>
            <w:shd w:val="clear" w:color="auto" w:fill="ECE6E2"/>
            <w:vAlign w:val="center"/>
          </w:tcPr>
          <w:p w14:paraId="3736CB96" w14:textId="56C7C548" w:rsidR="00FF40B8" w:rsidRPr="00FF40B8" w:rsidRDefault="00FF40B8" w:rsidP="00FF40B8">
            <w:pPr>
              <w:spacing w:line="259" w:lineRule="auto"/>
              <w:ind w:left="59"/>
              <w:jc w:val="center"/>
              <w:rPr>
                <w:b/>
                <w:sz w:val="18"/>
              </w:rPr>
            </w:pPr>
            <w:r w:rsidRPr="00261D3D">
              <w:rPr>
                <w:rFonts w:ascii="Calibri" w:hAnsi="Calibri"/>
                <w:b/>
                <w:color w:val="000000"/>
                <w:sz w:val="18"/>
              </w:rPr>
              <w:t>64551</w:t>
            </w:r>
          </w:p>
        </w:tc>
      </w:tr>
      <w:tr w:rsidR="00FF40B8" w14:paraId="1F862CAC" w14:textId="77777777" w:rsidTr="00261D3D">
        <w:trPr>
          <w:trHeight w:val="492"/>
        </w:trPr>
        <w:tc>
          <w:tcPr>
            <w:tcW w:w="600" w:type="dxa"/>
            <w:tcBorders>
              <w:top w:val="single" w:sz="2" w:space="0" w:color="6D2A78"/>
              <w:left w:val="single" w:sz="2" w:space="0" w:color="6D2A78"/>
              <w:bottom w:val="single" w:sz="2" w:space="0" w:color="6D2A78"/>
              <w:right w:val="single" w:sz="2" w:space="0" w:color="6D2A78"/>
            </w:tcBorders>
            <w:vAlign w:val="center"/>
          </w:tcPr>
          <w:p w14:paraId="785CB4C6" w14:textId="77777777" w:rsidR="00FF40B8" w:rsidRDefault="00FF40B8" w:rsidP="00FF40B8">
            <w:pPr>
              <w:spacing w:line="259" w:lineRule="auto"/>
              <w:ind w:left="144"/>
            </w:pPr>
            <w:r>
              <w:rPr>
                <w:sz w:val="18"/>
              </w:rPr>
              <w:t xml:space="preserve">Ensemble (avec UTCATF) </w:t>
            </w:r>
          </w:p>
        </w:tc>
        <w:tc>
          <w:tcPr>
            <w:tcW w:w="592" w:type="dxa"/>
            <w:tcBorders>
              <w:top w:val="single" w:sz="2" w:space="0" w:color="6D2A78"/>
              <w:left w:val="single" w:sz="2" w:space="0" w:color="6D2A78"/>
              <w:bottom w:val="single" w:sz="2" w:space="0" w:color="6D2A78"/>
              <w:right w:val="single" w:sz="2" w:space="0" w:color="6D2A78"/>
            </w:tcBorders>
            <w:vAlign w:val="center"/>
          </w:tcPr>
          <w:p w14:paraId="178FF6F5" w14:textId="48E836B8"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b/>
                <w:sz w:val="18"/>
              </w:rPr>
              <w:t>520100</w:t>
            </w:r>
          </w:p>
        </w:tc>
        <w:tc>
          <w:tcPr>
            <w:tcW w:w="592" w:type="dxa"/>
            <w:tcBorders>
              <w:top w:val="single" w:sz="2" w:space="0" w:color="6D2A78"/>
              <w:left w:val="single" w:sz="2" w:space="0" w:color="6D2A78"/>
              <w:bottom w:val="single" w:sz="2" w:space="0" w:color="6D2A78"/>
              <w:right w:val="single" w:sz="2" w:space="0" w:color="6D2A78"/>
            </w:tcBorders>
            <w:vAlign w:val="center"/>
          </w:tcPr>
          <w:p w14:paraId="78D92A53" w14:textId="0F880956"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b/>
                <w:sz w:val="18"/>
              </w:rPr>
              <w:t>511596</w:t>
            </w:r>
          </w:p>
        </w:tc>
        <w:tc>
          <w:tcPr>
            <w:tcW w:w="592" w:type="dxa"/>
            <w:tcBorders>
              <w:top w:val="single" w:sz="2" w:space="0" w:color="6D2A78"/>
              <w:left w:val="single" w:sz="2" w:space="0" w:color="6D2A78"/>
              <w:bottom w:val="single" w:sz="2" w:space="0" w:color="6D2A78"/>
              <w:right w:val="single" w:sz="2" w:space="0" w:color="6D2A78"/>
            </w:tcBorders>
            <w:vAlign w:val="center"/>
          </w:tcPr>
          <w:p w14:paraId="0901E58E" w14:textId="70DAEF92"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529295</w:t>
            </w:r>
          </w:p>
        </w:tc>
        <w:tc>
          <w:tcPr>
            <w:tcW w:w="592" w:type="dxa"/>
            <w:tcBorders>
              <w:top w:val="single" w:sz="2" w:space="0" w:color="6D2A78"/>
              <w:left w:val="single" w:sz="2" w:space="0" w:color="6D2A78"/>
              <w:bottom w:val="single" w:sz="2" w:space="0" w:color="6D2A78"/>
              <w:right w:val="single" w:sz="2" w:space="0" w:color="6D2A78"/>
            </w:tcBorders>
            <w:vAlign w:val="center"/>
          </w:tcPr>
          <w:p w14:paraId="28D0362E" w14:textId="1A25B13F"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504079</w:t>
            </w:r>
          </w:p>
        </w:tc>
        <w:tc>
          <w:tcPr>
            <w:tcW w:w="592" w:type="dxa"/>
            <w:tcBorders>
              <w:top w:val="single" w:sz="2" w:space="0" w:color="6D2A78"/>
              <w:left w:val="single" w:sz="2" w:space="0" w:color="6D2A78"/>
              <w:bottom w:val="single" w:sz="2" w:space="0" w:color="6D2A78"/>
              <w:right w:val="single" w:sz="2" w:space="0" w:color="6D2A78"/>
            </w:tcBorders>
            <w:vAlign w:val="center"/>
          </w:tcPr>
          <w:p w14:paraId="56BB4206" w14:textId="330D8572"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469112</w:t>
            </w:r>
          </w:p>
        </w:tc>
        <w:tc>
          <w:tcPr>
            <w:tcW w:w="592" w:type="dxa"/>
            <w:tcBorders>
              <w:top w:val="single" w:sz="2" w:space="0" w:color="6D2A78"/>
              <w:left w:val="single" w:sz="2" w:space="0" w:color="6D2A78"/>
              <w:bottom w:val="single" w:sz="2" w:space="0" w:color="6D2A78"/>
              <w:right w:val="single" w:sz="2" w:space="0" w:color="6D2A78"/>
            </w:tcBorders>
            <w:vAlign w:val="center"/>
          </w:tcPr>
          <w:p w14:paraId="68E0CCAC" w14:textId="28C52BCD" w:rsidR="00FF40B8" w:rsidRPr="00261D3D" w:rsidRDefault="00FF40B8" w:rsidP="00FF40B8">
            <w:pPr>
              <w:spacing w:line="259" w:lineRule="auto"/>
              <w:ind w:left="57"/>
              <w:jc w:val="center"/>
              <w:rPr>
                <w:rFonts w:ascii="Calibri" w:hAnsi="Calibri"/>
                <w:b/>
                <w:color w:val="000000"/>
                <w:sz w:val="18"/>
                <w:szCs w:val="20"/>
              </w:rPr>
            </w:pPr>
            <w:r w:rsidRPr="00261D3D">
              <w:rPr>
                <w:rFonts w:ascii="Calibri" w:hAnsi="Calibri" w:cs="Calibri"/>
                <w:b/>
                <w:sz w:val="18"/>
              </w:rPr>
              <w:t>423346</w:t>
            </w:r>
          </w:p>
        </w:tc>
        <w:tc>
          <w:tcPr>
            <w:tcW w:w="796" w:type="dxa"/>
            <w:tcBorders>
              <w:top w:val="single" w:sz="2" w:space="0" w:color="6D2A78"/>
              <w:left w:val="single" w:sz="2" w:space="0" w:color="6D2A78"/>
              <w:bottom w:val="single" w:sz="2" w:space="0" w:color="6D2A78"/>
              <w:right w:val="single" w:sz="2" w:space="0" w:color="6D2A78"/>
            </w:tcBorders>
            <w:vAlign w:val="center"/>
          </w:tcPr>
          <w:p w14:paraId="1318E34A" w14:textId="2F2E1298" w:rsidR="00FF40B8" w:rsidRPr="00FF40B8" w:rsidRDefault="00FF40B8" w:rsidP="00FF40B8">
            <w:pPr>
              <w:spacing w:line="259" w:lineRule="auto"/>
              <w:ind w:left="57"/>
              <w:jc w:val="center"/>
              <w:rPr>
                <w:b/>
                <w:sz w:val="18"/>
              </w:rPr>
            </w:pPr>
            <w:r w:rsidRPr="00261D3D">
              <w:rPr>
                <w:rFonts w:ascii="Calibri" w:hAnsi="Calibri" w:cs="Calibri"/>
                <w:b/>
                <w:sz w:val="18"/>
              </w:rPr>
              <w:t>422251</w:t>
            </w:r>
          </w:p>
        </w:tc>
        <w:tc>
          <w:tcPr>
            <w:tcW w:w="796" w:type="dxa"/>
            <w:tcBorders>
              <w:top w:val="single" w:sz="2" w:space="0" w:color="6D2A78"/>
              <w:left w:val="single" w:sz="2" w:space="0" w:color="6D2A78"/>
              <w:bottom w:val="single" w:sz="2" w:space="0" w:color="6D2A78"/>
              <w:right w:val="single" w:sz="2" w:space="0" w:color="6D2A78"/>
            </w:tcBorders>
            <w:vAlign w:val="center"/>
          </w:tcPr>
          <w:p w14:paraId="3CD44A93" w14:textId="158C10C3" w:rsidR="00FF40B8" w:rsidRPr="00261D3D" w:rsidRDefault="00FF40B8" w:rsidP="00FF40B8">
            <w:pPr>
              <w:spacing w:line="259" w:lineRule="auto"/>
              <w:ind w:left="57"/>
              <w:jc w:val="center"/>
              <w:rPr>
                <w:b/>
                <w:sz w:val="18"/>
              </w:rPr>
            </w:pPr>
            <w:r w:rsidRPr="00261D3D">
              <w:rPr>
                <w:rFonts w:ascii="Calibri" w:hAnsi="Calibri"/>
                <w:b/>
                <w:color w:val="000000"/>
                <w:sz w:val="18"/>
              </w:rPr>
              <w:t>395383</w:t>
            </w:r>
          </w:p>
        </w:tc>
        <w:tc>
          <w:tcPr>
            <w:tcW w:w="797" w:type="dxa"/>
            <w:tcBorders>
              <w:top w:val="single" w:sz="2" w:space="0" w:color="6D2A78"/>
              <w:left w:val="single" w:sz="2" w:space="0" w:color="6D2A78"/>
              <w:bottom w:val="single" w:sz="2" w:space="0" w:color="6D2A78"/>
              <w:right w:val="single" w:sz="2" w:space="0" w:color="6D2A78"/>
            </w:tcBorders>
            <w:vAlign w:val="center"/>
          </w:tcPr>
          <w:p w14:paraId="373DC830" w14:textId="396BBD84" w:rsidR="00FF40B8" w:rsidRPr="00261D3D" w:rsidRDefault="00FF40B8" w:rsidP="00FF40B8">
            <w:pPr>
              <w:spacing w:line="259" w:lineRule="auto"/>
              <w:ind w:left="58"/>
              <w:jc w:val="center"/>
              <w:rPr>
                <w:b/>
                <w:sz w:val="18"/>
              </w:rPr>
            </w:pPr>
            <w:r w:rsidRPr="00261D3D">
              <w:rPr>
                <w:rFonts w:ascii="Calibri" w:hAnsi="Calibri"/>
                <w:b/>
                <w:color w:val="000000"/>
                <w:sz w:val="18"/>
              </w:rPr>
              <w:t>329989</w:t>
            </w:r>
          </w:p>
        </w:tc>
        <w:tc>
          <w:tcPr>
            <w:tcW w:w="796" w:type="dxa"/>
            <w:tcBorders>
              <w:top w:val="single" w:sz="2" w:space="0" w:color="6D2A78"/>
              <w:left w:val="single" w:sz="2" w:space="0" w:color="6D2A78"/>
              <w:bottom w:val="single" w:sz="2" w:space="0" w:color="6D2A78"/>
              <w:right w:val="single" w:sz="2" w:space="0" w:color="6D2A78"/>
            </w:tcBorders>
            <w:vAlign w:val="center"/>
          </w:tcPr>
          <w:p w14:paraId="5835AAA9" w14:textId="75523F07" w:rsidR="00FF40B8" w:rsidRPr="00261D3D" w:rsidRDefault="00FF40B8" w:rsidP="00FF40B8">
            <w:pPr>
              <w:spacing w:line="259" w:lineRule="auto"/>
              <w:ind w:left="58"/>
              <w:jc w:val="center"/>
              <w:rPr>
                <w:b/>
                <w:sz w:val="18"/>
              </w:rPr>
            </w:pPr>
            <w:r w:rsidRPr="00261D3D">
              <w:rPr>
                <w:rFonts w:ascii="Calibri" w:hAnsi="Calibri"/>
                <w:b/>
                <w:color w:val="000000"/>
                <w:sz w:val="18"/>
              </w:rPr>
              <w:t>266934</w:t>
            </w:r>
          </w:p>
        </w:tc>
        <w:tc>
          <w:tcPr>
            <w:tcW w:w="799" w:type="dxa"/>
            <w:tcBorders>
              <w:top w:val="single" w:sz="2" w:space="0" w:color="6D2A78"/>
              <w:left w:val="single" w:sz="2" w:space="0" w:color="6D2A78"/>
              <w:bottom w:val="single" w:sz="2" w:space="0" w:color="6D2A78"/>
              <w:right w:val="single" w:sz="2" w:space="0" w:color="6D2A78"/>
            </w:tcBorders>
            <w:vAlign w:val="center"/>
          </w:tcPr>
          <w:p w14:paraId="1DE0EB57" w14:textId="6F48D3B8" w:rsidR="00FF40B8" w:rsidRPr="00261D3D" w:rsidRDefault="00FF40B8" w:rsidP="00FF40B8">
            <w:pPr>
              <w:keepNext/>
              <w:spacing w:line="259" w:lineRule="auto"/>
              <w:ind w:left="63"/>
              <w:jc w:val="center"/>
              <w:rPr>
                <w:b/>
                <w:sz w:val="18"/>
              </w:rPr>
            </w:pPr>
            <w:r w:rsidRPr="00261D3D">
              <w:rPr>
                <w:rFonts w:ascii="Calibri" w:hAnsi="Calibri"/>
                <w:b/>
                <w:color w:val="000000"/>
                <w:sz w:val="18"/>
              </w:rPr>
              <w:t>202492</w:t>
            </w:r>
          </w:p>
        </w:tc>
        <w:tc>
          <w:tcPr>
            <w:tcW w:w="678" w:type="dxa"/>
            <w:tcBorders>
              <w:top w:val="single" w:sz="2" w:space="0" w:color="6D2A78"/>
              <w:left w:val="single" w:sz="2" w:space="0" w:color="6D2A78"/>
              <w:bottom w:val="single" w:sz="2" w:space="0" w:color="6D2A78"/>
              <w:right w:val="single" w:sz="2" w:space="0" w:color="6D2A78"/>
            </w:tcBorders>
            <w:vAlign w:val="center"/>
          </w:tcPr>
          <w:p w14:paraId="58B12931" w14:textId="57EF3480" w:rsidR="00FF40B8" w:rsidRPr="00FF40B8" w:rsidRDefault="00FF40B8" w:rsidP="00FF40B8">
            <w:pPr>
              <w:keepNext/>
              <w:spacing w:line="259" w:lineRule="auto"/>
              <w:ind w:left="63"/>
              <w:jc w:val="center"/>
              <w:rPr>
                <w:b/>
                <w:sz w:val="18"/>
              </w:rPr>
            </w:pPr>
            <w:r w:rsidRPr="00261D3D">
              <w:rPr>
                <w:rFonts w:ascii="Calibri" w:hAnsi="Calibri"/>
                <w:b/>
                <w:color w:val="000000"/>
                <w:sz w:val="18"/>
              </w:rPr>
              <w:t>-2597</w:t>
            </w:r>
          </w:p>
        </w:tc>
      </w:tr>
    </w:tbl>
    <w:p w14:paraId="185F138C" w14:textId="4CD366AE" w:rsidR="00314F8F" w:rsidRDefault="00314F8F" w:rsidP="0045532B">
      <w:pPr>
        <w:pStyle w:val="Caption"/>
      </w:pPr>
      <w:bookmarkStart w:id="506" w:name="_Toc123916504"/>
      <w:r>
        <w:t xml:space="preserve">Tableau </w:t>
      </w:r>
      <w:fldSimple w:instr=" SEQ Tableau \* ARABIC ">
        <w:r w:rsidR="00AB51D9">
          <w:rPr>
            <w:noProof/>
          </w:rPr>
          <w:t>12</w:t>
        </w:r>
      </w:fldSimple>
      <w:r>
        <w:t> : Projections d’émissions de GES (en kt</w:t>
      </w:r>
      <w:r w:rsidR="007F09F7">
        <w:t>CO</w:t>
      </w:r>
      <w:r w:rsidR="007F09F7" w:rsidRPr="007F09F7">
        <w:rPr>
          <w:vertAlign w:val="subscript"/>
        </w:rPr>
        <w:t>2</w:t>
      </w:r>
      <w:r w:rsidR="004F1EC8" w:rsidRPr="004F1EC8">
        <w:rPr>
          <w:vertAlign w:val="subscript"/>
        </w:rPr>
        <w:t>e</w:t>
      </w:r>
      <w:r>
        <w:t>) au périmètre Kyoto dans le scénario AMS 2018 (avec mesures supplémentaires)</w:t>
      </w:r>
      <w:bookmarkEnd w:id="506"/>
    </w:p>
    <w:p w14:paraId="4B9B2D67" w14:textId="2D7E6690" w:rsidR="00314F8F" w:rsidRPr="00AB325E" w:rsidRDefault="00314F8F" w:rsidP="0045532B">
      <w:pPr>
        <w:pStyle w:val="Caption"/>
        <w:rPr>
          <w:rFonts w:asciiTheme="minorHAnsi" w:hAnsiTheme="minorHAnsi"/>
          <w:sz w:val="21"/>
          <w:szCs w:val="21"/>
        </w:rPr>
      </w:pPr>
      <w:r>
        <w:t xml:space="preserve">Source : Inventaire CCNUCC, Citepa/MTE, soumission </w:t>
      </w:r>
      <w:r w:rsidR="00FF40B8">
        <w:t xml:space="preserve">2022 </w:t>
      </w:r>
      <w:r>
        <w:t>et projections d’émissions MTE, 2018</w:t>
      </w:r>
    </w:p>
    <w:p w14:paraId="17E4E283" w14:textId="65317A0D" w:rsidR="001021CB" w:rsidRDefault="001021CB" w:rsidP="001021CB">
      <w:pPr>
        <w:spacing w:before="240" w:after="240"/>
        <w:jc w:val="center"/>
      </w:pPr>
    </w:p>
    <w:p w14:paraId="5337D1AD" w14:textId="6C03B94A" w:rsidR="00FF40B8" w:rsidRDefault="00FF40B8" w:rsidP="00261D3D">
      <w:pPr>
        <w:pStyle w:val="Caption"/>
        <w:jc w:val="center"/>
      </w:pPr>
      <w:bookmarkStart w:id="507" w:name="_Toc123916463"/>
      <w:r>
        <w:rPr>
          <w:noProof/>
        </w:rPr>
        <w:drawing>
          <wp:inline distT="0" distB="0" distL="0" distR="0" wp14:anchorId="65E836F4" wp14:editId="719A0969">
            <wp:extent cx="4587240" cy="2656115"/>
            <wp:effectExtent l="0" t="0" r="3810" b="11430"/>
            <wp:docPr id="28706" name="Graphique 287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8EC3023" w14:textId="7D2A1A17" w:rsidR="00631506" w:rsidRDefault="00631506" w:rsidP="0045532B">
      <w:pPr>
        <w:pStyle w:val="Caption"/>
      </w:pPr>
      <w:r>
        <w:t xml:space="preserve">Figure </w:t>
      </w:r>
      <w:fldSimple w:instr=" SEQ Figure \* ARABIC ">
        <w:r w:rsidR="00AB51D9">
          <w:rPr>
            <w:noProof/>
          </w:rPr>
          <w:t>52</w:t>
        </w:r>
      </w:fldSimple>
      <w:r>
        <w:t xml:space="preserve"> : </w:t>
      </w:r>
      <w:r w:rsidR="001021CB">
        <w:t>Trajectoire des émissions hors UTCATF jusqu’à 2050</w:t>
      </w:r>
      <w:bookmarkEnd w:id="507"/>
    </w:p>
    <w:p w14:paraId="1ED906E4" w14:textId="4EF505CC" w:rsidR="001021CB" w:rsidRDefault="001021CB" w:rsidP="0045532B">
      <w:pPr>
        <w:pStyle w:val="Caption"/>
      </w:pPr>
      <w:r>
        <w:t>Source : DGEC</w:t>
      </w:r>
    </w:p>
    <w:p w14:paraId="06EA27CE" w14:textId="77777777" w:rsidR="001021CB" w:rsidRDefault="001021CB" w:rsidP="001021CB">
      <w:pPr>
        <w:spacing w:before="240" w:after="240"/>
        <w:jc w:val="center"/>
      </w:pPr>
    </w:p>
    <w:p w14:paraId="66736EF4" w14:textId="6797070A" w:rsidR="00FF40B8" w:rsidRDefault="00FF40B8" w:rsidP="00261D3D">
      <w:pPr>
        <w:pStyle w:val="Caption"/>
        <w:jc w:val="center"/>
      </w:pPr>
      <w:bookmarkStart w:id="508" w:name="_Toc123916464"/>
      <w:r w:rsidRPr="00364545">
        <w:rPr>
          <w:noProof/>
        </w:rPr>
        <w:drawing>
          <wp:inline distT="0" distB="0" distL="0" distR="0" wp14:anchorId="27F5EAEB" wp14:editId="0A96A645">
            <wp:extent cx="4572000" cy="2743200"/>
            <wp:effectExtent l="0" t="0" r="0" b="0"/>
            <wp:docPr id="55" name="Graphique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E549507" w14:textId="3F777FED" w:rsidR="00631506" w:rsidRDefault="00631506" w:rsidP="0045532B">
      <w:pPr>
        <w:pStyle w:val="Caption"/>
      </w:pPr>
      <w:r>
        <w:t xml:space="preserve">Figure </w:t>
      </w:r>
      <w:fldSimple w:instr=" SEQ Figure \* ARABIC ">
        <w:r w:rsidR="00AB51D9">
          <w:rPr>
            <w:noProof/>
          </w:rPr>
          <w:t>53</w:t>
        </w:r>
      </w:fldSimple>
      <w:r>
        <w:t xml:space="preserve"> : </w:t>
      </w:r>
      <w:r w:rsidR="001021CB">
        <w:t>Trajectoire des émissions avec UTCATF jusqu’à 2050</w:t>
      </w:r>
      <w:bookmarkEnd w:id="508"/>
    </w:p>
    <w:p w14:paraId="590D638A" w14:textId="4A969811" w:rsidR="001021CB" w:rsidRDefault="001021CB" w:rsidP="0045532B">
      <w:pPr>
        <w:pStyle w:val="Caption"/>
      </w:pPr>
      <w:r>
        <w:t>Source : DGEC</w:t>
      </w:r>
    </w:p>
    <w:p w14:paraId="01F314A1" w14:textId="05618A2F" w:rsidR="001021CB" w:rsidRPr="0057120A" w:rsidRDefault="001021CB" w:rsidP="003F57EA">
      <w:pPr>
        <w:pStyle w:val="Titre2Niveau2"/>
        <w:numPr>
          <w:ilvl w:val="0"/>
          <w:numId w:val="78"/>
        </w:numPr>
      </w:pPr>
      <w:bookmarkStart w:id="509" w:name="_Toc121215529"/>
      <w:bookmarkStart w:id="510" w:name="_Toc121215530"/>
      <w:bookmarkStart w:id="511" w:name="_Toc138342020"/>
      <w:bookmarkEnd w:id="509"/>
      <w:r w:rsidRPr="008136D9">
        <w:t>Couverture et présentation</w:t>
      </w:r>
      <w:bookmarkStart w:id="512" w:name="_Toc121215531"/>
      <w:bookmarkStart w:id="513" w:name="_Toc121431032"/>
      <w:bookmarkStart w:id="514" w:name="_Toc121431369"/>
      <w:bookmarkStart w:id="515" w:name="_Toc121431530"/>
      <w:bookmarkStart w:id="516" w:name="_Toc121431692"/>
      <w:bookmarkStart w:id="517" w:name="_Toc121431855"/>
      <w:bookmarkStart w:id="518" w:name="_Toc121432017"/>
      <w:bookmarkStart w:id="519" w:name="_Toc121215532"/>
      <w:bookmarkStart w:id="520" w:name="_Toc121431033"/>
      <w:bookmarkStart w:id="521" w:name="_Toc121431370"/>
      <w:bookmarkStart w:id="522" w:name="_Toc121431531"/>
      <w:bookmarkStart w:id="523" w:name="_Toc121431693"/>
      <w:bookmarkStart w:id="524" w:name="_Toc121431856"/>
      <w:bookmarkStart w:id="525" w:name="_Toc121432018"/>
      <w:bookmarkEnd w:id="510"/>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11"/>
    </w:p>
    <w:p w14:paraId="656B0874" w14:textId="77777777" w:rsidR="001021CB" w:rsidRPr="00BA4A6C" w:rsidRDefault="001021CB" w:rsidP="003F57EA">
      <w:pPr>
        <w:pStyle w:val="Titre3Niveau3"/>
        <w:numPr>
          <w:ilvl w:val="1"/>
          <w:numId w:val="78"/>
        </w:numPr>
      </w:pPr>
      <w:bookmarkStart w:id="526" w:name="_Toc121215533"/>
      <w:bookmarkStart w:id="527" w:name="_Toc138342021"/>
      <w:r>
        <w:t>Évolution par secteur d’activités</w:t>
      </w:r>
      <w:bookmarkEnd w:id="526"/>
      <w:bookmarkEnd w:id="527"/>
    </w:p>
    <w:p w14:paraId="00DCF282" w14:textId="0CB43205" w:rsidR="00821C9C" w:rsidRPr="0045532B" w:rsidRDefault="00314F8F" w:rsidP="0045532B">
      <w:pPr>
        <w:rPr>
          <w:szCs w:val="21"/>
        </w:rPr>
      </w:pPr>
      <w:r>
        <w:rPr>
          <w:szCs w:val="21"/>
        </w:rPr>
        <w:t>Les tableaux et graphiques ci-dessous présentent la ventilation par secteur d’activité des projections d’émissions de la France à l’horizon 2020 et 2030, dans un premier temps par grand secteur d’activité, puis en sous-détaillant le secteur énergie. Les résultats sont présentés en utilisant les catégories CRF définies dans les lignes directrices du GIEC pour les inventaires nationaux de GES</w:t>
      </w:r>
      <w:r w:rsidR="001021CB">
        <w:rPr>
          <w:szCs w:val="21"/>
        </w:rPr>
        <w:t>.</w:t>
      </w:r>
    </w:p>
    <w:p w14:paraId="295049C0" w14:textId="2307E4B0" w:rsidR="001021CB" w:rsidRPr="0057120A" w:rsidRDefault="001021CB" w:rsidP="003F57EA">
      <w:pPr>
        <w:pStyle w:val="Titre4niveau4"/>
        <w:numPr>
          <w:ilvl w:val="2"/>
          <w:numId w:val="78"/>
        </w:numPr>
      </w:pPr>
      <w:r w:rsidRPr="0057120A">
        <w:t xml:space="preserve">Présentation par macro-secteur (énergie, agriculture, procédés industriels et traitement des déchets) </w:t>
      </w:r>
    </w:p>
    <w:p w14:paraId="082A1768" w14:textId="77777777" w:rsidR="001021CB" w:rsidRDefault="001021CB" w:rsidP="001021CB"/>
    <w:p w14:paraId="51D09D4A" w14:textId="6B18692B" w:rsidR="001021CB" w:rsidRDefault="001021CB" w:rsidP="003F57EA">
      <w:pPr>
        <w:pStyle w:val="titreencadre"/>
        <w:numPr>
          <w:ilvl w:val="3"/>
          <w:numId w:val="78"/>
        </w:numPr>
      </w:pPr>
      <w:r>
        <w:t>AME 2021</w:t>
      </w:r>
    </w:p>
    <w:tbl>
      <w:tblPr>
        <w:tblStyle w:val="TableGrid0"/>
        <w:tblW w:w="10709" w:type="dxa"/>
        <w:tblInd w:w="10" w:type="dxa"/>
        <w:tblLayout w:type="fixed"/>
        <w:tblCellMar>
          <w:top w:w="40" w:type="dxa"/>
          <w:left w:w="28" w:type="dxa"/>
          <w:right w:w="3" w:type="dxa"/>
        </w:tblCellMar>
        <w:tblLook w:val="04A0" w:firstRow="1" w:lastRow="0" w:firstColumn="1" w:lastColumn="0" w:noHBand="0" w:noVBand="1"/>
      </w:tblPr>
      <w:tblGrid>
        <w:gridCol w:w="1405"/>
        <w:gridCol w:w="775"/>
        <w:gridCol w:w="775"/>
        <w:gridCol w:w="775"/>
        <w:gridCol w:w="776"/>
        <w:gridCol w:w="775"/>
        <w:gridCol w:w="775"/>
        <w:gridCol w:w="776"/>
        <w:gridCol w:w="775"/>
        <w:gridCol w:w="775"/>
        <w:gridCol w:w="776"/>
        <w:gridCol w:w="775"/>
        <w:gridCol w:w="776"/>
      </w:tblGrid>
      <w:tr w:rsidR="00365886" w14:paraId="6A4F4BDA" w14:textId="77777777" w:rsidTr="00881BEF">
        <w:trPr>
          <w:trHeight w:val="400"/>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7DDDDCF2" w14:textId="77777777" w:rsidR="00365886" w:rsidRPr="00921C44" w:rsidRDefault="00365886" w:rsidP="00881BEF">
            <w:pPr>
              <w:spacing w:line="259" w:lineRule="auto"/>
              <w:rPr>
                <w:b/>
              </w:rPr>
            </w:pPr>
            <w:r w:rsidRPr="00921C44">
              <w:rPr>
                <w:b/>
                <w:color w:val="FFFFFF" w:themeColor="background1"/>
              </w:rPr>
              <w:t>AME 21</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437228C6" w14:textId="77777777" w:rsidR="00365886" w:rsidRDefault="00365886" w:rsidP="00881BEF">
            <w:pPr>
              <w:spacing w:line="259" w:lineRule="auto"/>
              <w:ind w:right="28"/>
              <w:jc w:val="center"/>
            </w:pPr>
            <w:r>
              <w:rPr>
                <w:b/>
                <w:color w:val="FFFFFF"/>
                <w:sz w:val="18"/>
              </w:rPr>
              <w:t xml:space="preserve">1990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0D930D53" w14:textId="77777777" w:rsidR="00365886" w:rsidRDefault="00365886" w:rsidP="00881BEF">
            <w:pPr>
              <w:spacing w:line="259" w:lineRule="auto"/>
              <w:ind w:right="26"/>
              <w:jc w:val="center"/>
              <w:rPr>
                <w:b/>
                <w:color w:val="FFFFFF"/>
                <w:sz w:val="18"/>
              </w:rPr>
            </w:pPr>
            <w:r>
              <w:rPr>
                <w:b/>
                <w:color w:val="FFFFFF"/>
                <w:sz w:val="18"/>
              </w:rPr>
              <w:t>1995</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5D72D103" w14:textId="77777777" w:rsidR="00365886" w:rsidRDefault="00365886" w:rsidP="00881BEF">
            <w:pPr>
              <w:spacing w:line="259" w:lineRule="auto"/>
              <w:ind w:right="26"/>
              <w:jc w:val="center"/>
            </w:pPr>
            <w:r>
              <w:rPr>
                <w:b/>
                <w:color w:val="FFFFFF"/>
                <w:sz w:val="18"/>
              </w:rPr>
              <w:t xml:space="preserve">2000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18C95235" w14:textId="77777777" w:rsidR="00365886" w:rsidRDefault="00365886" w:rsidP="00881BEF">
            <w:pPr>
              <w:spacing w:line="259" w:lineRule="auto"/>
              <w:ind w:right="28"/>
              <w:jc w:val="center"/>
            </w:pPr>
            <w:r>
              <w:rPr>
                <w:b/>
                <w:color w:val="FFFFFF"/>
                <w:sz w:val="18"/>
              </w:rPr>
              <w:t xml:space="preserve">2005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E63873A" w14:textId="77777777" w:rsidR="00365886" w:rsidRDefault="00365886" w:rsidP="00881BEF">
            <w:pPr>
              <w:spacing w:line="259" w:lineRule="auto"/>
              <w:ind w:right="26"/>
              <w:jc w:val="center"/>
            </w:pPr>
            <w:r>
              <w:rPr>
                <w:b/>
                <w:color w:val="FFFFFF"/>
                <w:sz w:val="18"/>
              </w:rPr>
              <w:t xml:space="preserve">2010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4B47C351" w14:textId="77777777" w:rsidR="00365886" w:rsidRDefault="00365886" w:rsidP="00881BEF">
            <w:pPr>
              <w:spacing w:line="259" w:lineRule="auto"/>
              <w:ind w:right="28"/>
              <w:jc w:val="center"/>
            </w:pPr>
            <w:r>
              <w:rPr>
                <w:b/>
                <w:color w:val="FFFFFF"/>
                <w:sz w:val="18"/>
              </w:rPr>
              <w:t xml:space="preserve">2015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1B1CCF06" w14:textId="77777777" w:rsidR="00365886" w:rsidRDefault="00365886" w:rsidP="00881BEF">
            <w:pPr>
              <w:spacing w:line="259" w:lineRule="auto"/>
              <w:ind w:right="26"/>
              <w:jc w:val="center"/>
            </w:pPr>
            <w:r>
              <w:t>2019</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B3ECF6E" w14:textId="77777777" w:rsidR="00365886" w:rsidRDefault="00365886" w:rsidP="00881BEF">
            <w:pPr>
              <w:spacing w:line="259" w:lineRule="auto"/>
              <w:ind w:right="28"/>
              <w:jc w:val="center"/>
            </w:pPr>
            <w:r>
              <w:rPr>
                <w:b/>
                <w:color w:val="FFFFFF"/>
                <w:sz w:val="18"/>
              </w:rPr>
              <w:t xml:space="preserve">2020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3A875EA" w14:textId="77777777" w:rsidR="00365886" w:rsidRDefault="00365886" w:rsidP="00881BEF">
            <w:pPr>
              <w:spacing w:line="259" w:lineRule="auto"/>
              <w:ind w:right="26"/>
              <w:jc w:val="center"/>
            </w:pPr>
            <w:r>
              <w:rPr>
                <w:b/>
                <w:color w:val="FFFFFF"/>
                <w:sz w:val="18"/>
              </w:rPr>
              <w:t>2025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20C092BD" w14:textId="77777777" w:rsidR="00365886" w:rsidRDefault="00365886" w:rsidP="00881BEF">
            <w:pPr>
              <w:spacing w:line="259" w:lineRule="auto"/>
              <w:ind w:right="27"/>
              <w:jc w:val="center"/>
            </w:pPr>
            <w:r>
              <w:rPr>
                <w:b/>
                <w:color w:val="FFFFFF"/>
                <w:sz w:val="18"/>
              </w:rPr>
              <w:t xml:space="preserve">2030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16CA1289" w14:textId="77777777" w:rsidR="00365886" w:rsidRDefault="00365886" w:rsidP="00881BEF">
            <w:pPr>
              <w:spacing w:line="259" w:lineRule="auto"/>
              <w:ind w:right="27"/>
              <w:jc w:val="center"/>
              <w:rPr>
                <w:b/>
                <w:color w:val="FFFFFF"/>
                <w:sz w:val="18"/>
              </w:rPr>
            </w:pPr>
            <w:r>
              <w:rPr>
                <w:b/>
                <w:color w:val="FFFFFF"/>
                <w:sz w:val="18"/>
              </w:rPr>
              <w:t>2035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6135DC3F" w14:textId="77777777" w:rsidR="00365886" w:rsidRDefault="00365886" w:rsidP="00881BEF">
            <w:pPr>
              <w:spacing w:line="259" w:lineRule="auto"/>
              <w:ind w:right="27"/>
              <w:jc w:val="center"/>
              <w:rPr>
                <w:b/>
                <w:color w:val="FFFFFF"/>
                <w:sz w:val="18"/>
              </w:rPr>
            </w:pPr>
            <w:r>
              <w:rPr>
                <w:b/>
                <w:color w:val="FFFFFF"/>
                <w:sz w:val="18"/>
              </w:rPr>
              <w:t>2050</w:t>
            </w:r>
          </w:p>
        </w:tc>
      </w:tr>
      <w:tr w:rsidR="00365886" w14:paraId="3B74F07A" w14:textId="77777777" w:rsidTr="00881BEF">
        <w:trPr>
          <w:trHeight w:val="347"/>
        </w:trPr>
        <w:tc>
          <w:tcPr>
            <w:tcW w:w="1405" w:type="dxa"/>
            <w:tcBorders>
              <w:top w:val="single" w:sz="2" w:space="0" w:color="000000"/>
              <w:left w:val="single" w:sz="2" w:space="0" w:color="000000"/>
              <w:bottom w:val="single" w:sz="2" w:space="0" w:color="000000"/>
              <w:right w:val="single" w:sz="2" w:space="0" w:color="000000"/>
            </w:tcBorders>
          </w:tcPr>
          <w:p w14:paraId="7F1DEAC5" w14:textId="77777777" w:rsidR="00365886" w:rsidRDefault="00365886" w:rsidP="00881BEF">
            <w:pPr>
              <w:spacing w:line="259" w:lineRule="auto"/>
            </w:pPr>
            <w:r>
              <w:rPr>
                <w:sz w:val="18"/>
              </w:rPr>
              <w:t xml:space="preserve"> </w:t>
            </w:r>
          </w:p>
        </w:tc>
        <w:tc>
          <w:tcPr>
            <w:tcW w:w="5427" w:type="dxa"/>
            <w:gridSpan w:val="7"/>
            <w:tcBorders>
              <w:top w:val="single" w:sz="2" w:space="0" w:color="000000"/>
              <w:left w:val="single" w:sz="2" w:space="0" w:color="000000"/>
              <w:bottom w:val="single" w:sz="2" w:space="0" w:color="000000"/>
              <w:right w:val="single" w:sz="2" w:space="0" w:color="000000"/>
            </w:tcBorders>
          </w:tcPr>
          <w:p w14:paraId="39C47C15" w14:textId="77777777" w:rsidR="00365886" w:rsidRDefault="00365886" w:rsidP="00881BEF">
            <w:pPr>
              <w:spacing w:line="259" w:lineRule="auto"/>
              <w:ind w:left="76"/>
              <w:jc w:val="center"/>
            </w:pPr>
            <w:r>
              <w:rPr>
                <w:b/>
                <w:color w:val="6D2A78"/>
                <w:sz w:val="18"/>
              </w:rPr>
              <w:t>Observé</w:t>
            </w:r>
          </w:p>
        </w:tc>
        <w:tc>
          <w:tcPr>
            <w:tcW w:w="3877" w:type="dxa"/>
            <w:gridSpan w:val="5"/>
            <w:tcBorders>
              <w:top w:val="single" w:sz="2" w:space="0" w:color="000000"/>
              <w:left w:val="single" w:sz="2" w:space="0" w:color="000000"/>
              <w:bottom w:val="single" w:sz="2" w:space="0" w:color="000000"/>
              <w:right w:val="single" w:sz="2" w:space="0" w:color="000000"/>
            </w:tcBorders>
          </w:tcPr>
          <w:p w14:paraId="41D8F67D" w14:textId="77777777" w:rsidR="00365886" w:rsidRDefault="00365886" w:rsidP="00881BEF">
            <w:pPr>
              <w:spacing w:line="259" w:lineRule="auto"/>
              <w:ind w:left="75"/>
              <w:jc w:val="center"/>
              <w:rPr>
                <w:b/>
                <w:color w:val="6D2A78"/>
                <w:sz w:val="18"/>
              </w:rPr>
            </w:pPr>
            <w:r>
              <w:rPr>
                <w:b/>
                <w:color w:val="6D2A78"/>
                <w:sz w:val="18"/>
              </w:rPr>
              <w:t>Projeté</w:t>
            </w:r>
          </w:p>
        </w:tc>
      </w:tr>
      <w:tr w:rsidR="00FF40B8" w14:paraId="6E8F7BF9"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03A54B6" w14:textId="77777777" w:rsidR="00FF40B8" w:rsidRDefault="00FF40B8" w:rsidP="00FF40B8">
            <w:pPr>
              <w:spacing w:line="259" w:lineRule="auto"/>
              <w:jc w:val="left"/>
            </w:pPr>
            <w:r>
              <w:rPr>
                <w:sz w:val="18"/>
              </w:rPr>
              <w:t xml:space="preserve">Énergie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8D07C2C" w14:textId="2899D292" w:rsidR="00FF40B8" w:rsidRDefault="00FF40B8" w:rsidP="00FF40B8">
            <w:pPr>
              <w:spacing w:line="259" w:lineRule="auto"/>
              <w:jc w:val="center"/>
            </w:pPr>
            <w:r>
              <w:rPr>
                <w:sz w:val="18"/>
                <w:szCs w:val="18"/>
              </w:rPr>
              <w:t>367272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386459" w14:textId="302FFE36" w:rsidR="00FF40B8" w:rsidRPr="00AB5735" w:rsidRDefault="00FF40B8" w:rsidP="00FF40B8">
            <w:pPr>
              <w:spacing w:line="259" w:lineRule="auto"/>
              <w:ind w:left="56"/>
              <w:jc w:val="center"/>
              <w:rPr>
                <w:sz w:val="18"/>
                <w:szCs w:val="18"/>
              </w:rPr>
            </w:pPr>
            <w:r>
              <w:rPr>
                <w:sz w:val="18"/>
                <w:szCs w:val="18"/>
              </w:rPr>
              <w:t>366079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B6E854B" w14:textId="3C3828EC" w:rsidR="00FF40B8" w:rsidRDefault="00FF40B8" w:rsidP="00FF40B8">
            <w:pPr>
              <w:spacing w:line="259" w:lineRule="auto"/>
              <w:ind w:left="56"/>
              <w:jc w:val="center"/>
            </w:pPr>
            <w:r>
              <w:rPr>
                <w:sz w:val="18"/>
                <w:szCs w:val="18"/>
              </w:rPr>
              <w:t>381989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9FC7BB7" w14:textId="5186AE44" w:rsidR="00FF40B8" w:rsidRDefault="00FF40B8" w:rsidP="00FF40B8">
            <w:pPr>
              <w:spacing w:line="259" w:lineRule="auto"/>
              <w:ind w:left="55"/>
              <w:jc w:val="center"/>
            </w:pPr>
            <w:r>
              <w:rPr>
                <w:sz w:val="18"/>
                <w:szCs w:val="18"/>
              </w:rPr>
              <w:t>390391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62303C9" w14:textId="36D839F3" w:rsidR="00FF40B8" w:rsidRDefault="00FF40B8" w:rsidP="00FF40B8">
            <w:pPr>
              <w:spacing w:line="259" w:lineRule="auto"/>
              <w:ind w:left="56"/>
              <w:jc w:val="center"/>
            </w:pPr>
            <w:r>
              <w:rPr>
                <w:sz w:val="18"/>
                <w:szCs w:val="18"/>
              </w:rPr>
              <w:t>357711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854E380" w14:textId="2033F18D" w:rsidR="00FF40B8" w:rsidRDefault="00FF40B8" w:rsidP="00FF40B8">
            <w:pPr>
              <w:spacing w:line="259" w:lineRule="auto"/>
              <w:ind w:left="55"/>
              <w:jc w:val="center"/>
            </w:pPr>
            <w:r>
              <w:rPr>
                <w:sz w:val="18"/>
                <w:szCs w:val="18"/>
              </w:rPr>
              <w:t>313634</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4BA88927" w14:textId="03C672A3" w:rsidR="00FF40B8" w:rsidRDefault="00FF40B8" w:rsidP="00FF40B8">
            <w:pPr>
              <w:spacing w:line="259" w:lineRule="auto"/>
              <w:ind w:left="56"/>
              <w:jc w:val="center"/>
            </w:pPr>
            <w:r>
              <w:rPr>
                <w:sz w:val="18"/>
                <w:szCs w:val="18"/>
              </w:rPr>
              <w:t>297313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A28D57" w14:textId="6F288478" w:rsidR="00FF40B8" w:rsidRPr="00921C44" w:rsidRDefault="00FF40B8" w:rsidP="00FF40B8">
            <w:pPr>
              <w:spacing w:line="259" w:lineRule="auto"/>
              <w:ind w:left="56"/>
              <w:jc w:val="center"/>
              <w:rPr>
                <w:sz w:val="18"/>
                <w:szCs w:val="18"/>
              </w:rPr>
            </w:pPr>
            <w:r w:rsidRPr="00364545">
              <w:rPr>
                <w:sz w:val="18"/>
              </w:rPr>
              <w:t>264395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14F2DC" w14:textId="006EE4B6" w:rsidR="00FF40B8" w:rsidRPr="00921C44" w:rsidRDefault="00FF40B8" w:rsidP="00FF40B8">
            <w:pPr>
              <w:spacing w:line="259" w:lineRule="auto"/>
              <w:ind w:left="56"/>
              <w:jc w:val="center"/>
              <w:rPr>
                <w:sz w:val="18"/>
                <w:szCs w:val="18"/>
              </w:rPr>
            </w:pPr>
            <w:r w:rsidRPr="00364545">
              <w:rPr>
                <w:sz w:val="18"/>
              </w:rPr>
              <w:t>261598</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B5BADD" w14:textId="3948C9FF" w:rsidR="00FF40B8" w:rsidRPr="00921C44" w:rsidRDefault="00FF40B8" w:rsidP="00FF40B8">
            <w:pPr>
              <w:spacing w:line="259" w:lineRule="auto"/>
              <w:ind w:left="56"/>
              <w:jc w:val="center"/>
              <w:rPr>
                <w:sz w:val="18"/>
                <w:szCs w:val="18"/>
              </w:rPr>
            </w:pPr>
            <w:r w:rsidRPr="00364545">
              <w:rPr>
                <w:sz w:val="18"/>
              </w:rPr>
              <w:t>240639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CE7B10" w14:textId="387A181A" w:rsidR="00FF40B8" w:rsidRPr="00921C44" w:rsidRDefault="00FF40B8" w:rsidP="00FF40B8">
            <w:pPr>
              <w:spacing w:line="259" w:lineRule="auto"/>
              <w:ind w:left="56"/>
              <w:jc w:val="center"/>
              <w:rPr>
                <w:sz w:val="18"/>
                <w:szCs w:val="18"/>
              </w:rPr>
            </w:pPr>
            <w:r w:rsidRPr="00364545">
              <w:rPr>
                <w:sz w:val="18"/>
              </w:rPr>
              <w:t>231245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53F94A" w14:textId="3EFB61EE" w:rsidR="00FF40B8" w:rsidRPr="00921C44" w:rsidRDefault="00FF40B8" w:rsidP="00FF40B8">
            <w:pPr>
              <w:spacing w:line="259" w:lineRule="auto"/>
              <w:ind w:left="56"/>
              <w:jc w:val="center"/>
              <w:rPr>
                <w:sz w:val="18"/>
                <w:szCs w:val="18"/>
              </w:rPr>
            </w:pPr>
            <w:r w:rsidRPr="00364545">
              <w:rPr>
                <w:sz w:val="18"/>
              </w:rPr>
              <w:t>211199</w:t>
            </w:r>
          </w:p>
        </w:tc>
      </w:tr>
      <w:tr w:rsidR="00FF40B8" w14:paraId="43688049" w14:textId="77777777" w:rsidTr="00261D3D">
        <w:trPr>
          <w:trHeight w:val="419"/>
        </w:trPr>
        <w:tc>
          <w:tcPr>
            <w:tcW w:w="1405" w:type="dxa"/>
            <w:tcBorders>
              <w:top w:val="single" w:sz="2" w:space="0" w:color="000000"/>
              <w:left w:val="single" w:sz="2" w:space="0" w:color="000000"/>
              <w:bottom w:val="single" w:sz="2" w:space="0" w:color="000000"/>
              <w:right w:val="single" w:sz="2" w:space="0" w:color="000000"/>
            </w:tcBorders>
          </w:tcPr>
          <w:p w14:paraId="1193F579" w14:textId="77777777" w:rsidR="00FF40B8" w:rsidRDefault="00FF40B8" w:rsidP="00FF40B8">
            <w:pPr>
              <w:spacing w:line="259" w:lineRule="auto"/>
              <w:jc w:val="left"/>
            </w:pPr>
            <w:r>
              <w:rPr>
                <w:sz w:val="18"/>
              </w:rPr>
              <w:t xml:space="preserve">Procédés industriels, solvants et autres produits </w:t>
            </w:r>
          </w:p>
        </w:tc>
        <w:tc>
          <w:tcPr>
            <w:tcW w:w="775" w:type="dxa"/>
            <w:tcBorders>
              <w:top w:val="single" w:sz="2" w:space="0" w:color="000000"/>
              <w:left w:val="single" w:sz="2" w:space="0" w:color="000000"/>
              <w:bottom w:val="single" w:sz="2" w:space="0" w:color="000000"/>
              <w:right w:val="single" w:sz="2" w:space="0" w:color="000000"/>
            </w:tcBorders>
            <w:vAlign w:val="bottom"/>
          </w:tcPr>
          <w:p w14:paraId="743CD9BA" w14:textId="4CE8C20C" w:rsidR="00FF40B8" w:rsidRDefault="00FF40B8" w:rsidP="00FF40B8">
            <w:pPr>
              <w:spacing w:line="259" w:lineRule="auto"/>
              <w:ind w:left="106"/>
              <w:jc w:val="center"/>
            </w:pPr>
            <w:r>
              <w:rPr>
                <w:sz w:val="18"/>
                <w:szCs w:val="18"/>
              </w:rPr>
              <w:t>78729</w:t>
            </w:r>
          </w:p>
        </w:tc>
        <w:tc>
          <w:tcPr>
            <w:tcW w:w="775" w:type="dxa"/>
            <w:tcBorders>
              <w:top w:val="single" w:sz="2" w:space="0" w:color="000000"/>
              <w:left w:val="single" w:sz="2" w:space="0" w:color="000000"/>
              <w:bottom w:val="single" w:sz="2" w:space="0" w:color="000000"/>
              <w:right w:val="single" w:sz="2" w:space="0" w:color="000000"/>
            </w:tcBorders>
            <w:vAlign w:val="bottom"/>
          </w:tcPr>
          <w:p w14:paraId="1FD4105E" w14:textId="177D4E3E" w:rsidR="00FF40B8" w:rsidRPr="00AB5735" w:rsidRDefault="00FF40B8" w:rsidP="00FF40B8">
            <w:pPr>
              <w:spacing w:line="259" w:lineRule="auto"/>
              <w:ind w:left="56"/>
              <w:jc w:val="center"/>
              <w:rPr>
                <w:sz w:val="18"/>
                <w:szCs w:val="18"/>
              </w:rPr>
            </w:pPr>
            <w:r>
              <w:rPr>
                <w:sz w:val="18"/>
                <w:szCs w:val="18"/>
              </w:rPr>
              <w:t>71997</w:t>
            </w:r>
          </w:p>
        </w:tc>
        <w:tc>
          <w:tcPr>
            <w:tcW w:w="775" w:type="dxa"/>
            <w:tcBorders>
              <w:top w:val="single" w:sz="2" w:space="0" w:color="000000"/>
              <w:left w:val="single" w:sz="2" w:space="0" w:color="000000"/>
              <w:bottom w:val="single" w:sz="2" w:space="0" w:color="000000"/>
              <w:right w:val="single" w:sz="2" w:space="0" w:color="000000"/>
            </w:tcBorders>
            <w:vAlign w:val="bottom"/>
          </w:tcPr>
          <w:p w14:paraId="2584AC6F" w14:textId="3D2F4C22" w:rsidR="00FF40B8" w:rsidRDefault="00FF40B8" w:rsidP="00FF40B8">
            <w:pPr>
              <w:spacing w:line="259" w:lineRule="auto"/>
              <w:ind w:left="107"/>
              <w:jc w:val="center"/>
            </w:pPr>
            <w:r>
              <w:rPr>
                <w:sz w:val="18"/>
                <w:szCs w:val="18"/>
              </w:rPr>
              <w:t>64668</w:t>
            </w:r>
          </w:p>
        </w:tc>
        <w:tc>
          <w:tcPr>
            <w:tcW w:w="776" w:type="dxa"/>
            <w:tcBorders>
              <w:top w:val="single" w:sz="2" w:space="0" w:color="000000"/>
              <w:left w:val="single" w:sz="2" w:space="0" w:color="000000"/>
              <w:bottom w:val="single" w:sz="2" w:space="0" w:color="000000"/>
              <w:right w:val="single" w:sz="2" w:space="0" w:color="000000"/>
            </w:tcBorders>
            <w:vAlign w:val="bottom"/>
          </w:tcPr>
          <w:p w14:paraId="6DD7E055" w14:textId="5A888340" w:rsidR="00FF40B8" w:rsidRDefault="00FF40B8" w:rsidP="00FF40B8">
            <w:pPr>
              <w:spacing w:line="259" w:lineRule="auto"/>
              <w:ind w:left="106"/>
              <w:jc w:val="center"/>
            </w:pPr>
            <w:r>
              <w:rPr>
                <w:sz w:val="18"/>
                <w:szCs w:val="18"/>
              </w:rPr>
              <w:t>63620</w:t>
            </w:r>
          </w:p>
        </w:tc>
        <w:tc>
          <w:tcPr>
            <w:tcW w:w="775" w:type="dxa"/>
            <w:tcBorders>
              <w:top w:val="single" w:sz="2" w:space="0" w:color="000000"/>
              <w:left w:val="single" w:sz="2" w:space="0" w:color="000000"/>
              <w:bottom w:val="single" w:sz="2" w:space="0" w:color="000000"/>
              <w:right w:val="single" w:sz="2" w:space="0" w:color="000000"/>
            </w:tcBorders>
            <w:vAlign w:val="bottom"/>
          </w:tcPr>
          <w:p w14:paraId="0DC61E0F" w14:textId="4220125B" w:rsidR="00FF40B8" w:rsidRDefault="00FF40B8" w:rsidP="00FF40B8">
            <w:pPr>
              <w:spacing w:line="259" w:lineRule="auto"/>
              <w:ind w:left="107"/>
              <w:jc w:val="center"/>
            </w:pPr>
            <w:r>
              <w:rPr>
                <w:sz w:val="18"/>
                <w:szCs w:val="18"/>
              </w:rPr>
              <w:t>53798</w:t>
            </w:r>
          </w:p>
        </w:tc>
        <w:tc>
          <w:tcPr>
            <w:tcW w:w="775" w:type="dxa"/>
            <w:tcBorders>
              <w:top w:val="single" w:sz="2" w:space="0" w:color="000000"/>
              <w:left w:val="single" w:sz="2" w:space="0" w:color="000000"/>
              <w:bottom w:val="single" w:sz="2" w:space="0" w:color="000000"/>
              <w:right w:val="single" w:sz="2" w:space="0" w:color="000000"/>
            </w:tcBorders>
            <w:vAlign w:val="bottom"/>
          </w:tcPr>
          <w:p w14:paraId="047BDEA0" w14:textId="636CFA4F" w:rsidR="00FF40B8" w:rsidRDefault="00FF40B8" w:rsidP="00FF40B8">
            <w:pPr>
              <w:spacing w:line="259" w:lineRule="auto"/>
              <w:ind w:left="105"/>
              <w:jc w:val="center"/>
            </w:pPr>
            <w:r>
              <w:rPr>
                <w:sz w:val="18"/>
                <w:szCs w:val="18"/>
              </w:rPr>
              <w:t>50664</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1F1843F1" w14:textId="66CB8CF4" w:rsidR="00FF40B8" w:rsidRDefault="00FF40B8" w:rsidP="00FF40B8">
            <w:pPr>
              <w:spacing w:line="259" w:lineRule="auto"/>
              <w:ind w:left="107"/>
              <w:jc w:val="center"/>
            </w:pPr>
            <w:r>
              <w:rPr>
                <w:sz w:val="18"/>
                <w:szCs w:val="18"/>
              </w:rPr>
              <w:t>46564</w:t>
            </w:r>
          </w:p>
        </w:tc>
        <w:tc>
          <w:tcPr>
            <w:tcW w:w="775" w:type="dxa"/>
            <w:tcBorders>
              <w:top w:val="single" w:sz="2" w:space="0" w:color="000000"/>
              <w:left w:val="single" w:sz="2" w:space="0" w:color="000000"/>
              <w:bottom w:val="single" w:sz="2" w:space="0" w:color="000000"/>
              <w:right w:val="single" w:sz="2" w:space="0" w:color="000000"/>
            </w:tcBorders>
            <w:vAlign w:val="center"/>
          </w:tcPr>
          <w:p w14:paraId="00F347A7" w14:textId="29EB47D4" w:rsidR="00FF40B8" w:rsidRPr="00921C44" w:rsidRDefault="00FF40B8" w:rsidP="00FF40B8">
            <w:pPr>
              <w:spacing w:line="259" w:lineRule="auto"/>
              <w:ind w:left="56"/>
              <w:jc w:val="center"/>
              <w:rPr>
                <w:sz w:val="18"/>
                <w:szCs w:val="18"/>
              </w:rPr>
            </w:pPr>
            <w:r w:rsidRPr="00364545">
              <w:rPr>
                <w:sz w:val="18"/>
              </w:rPr>
              <w:t>43717</w:t>
            </w:r>
          </w:p>
        </w:tc>
        <w:tc>
          <w:tcPr>
            <w:tcW w:w="775" w:type="dxa"/>
            <w:tcBorders>
              <w:top w:val="single" w:sz="2" w:space="0" w:color="000000"/>
              <w:left w:val="single" w:sz="2" w:space="0" w:color="000000"/>
              <w:bottom w:val="single" w:sz="2" w:space="0" w:color="000000"/>
              <w:right w:val="single" w:sz="2" w:space="0" w:color="000000"/>
            </w:tcBorders>
            <w:vAlign w:val="center"/>
          </w:tcPr>
          <w:p w14:paraId="10106FA4" w14:textId="422F6C07" w:rsidR="00FF40B8" w:rsidRPr="00921C44" w:rsidRDefault="00FF40B8" w:rsidP="00FF40B8">
            <w:pPr>
              <w:spacing w:line="259" w:lineRule="auto"/>
              <w:ind w:left="56"/>
              <w:jc w:val="center"/>
              <w:rPr>
                <w:sz w:val="18"/>
                <w:szCs w:val="18"/>
              </w:rPr>
            </w:pPr>
            <w:r w:rsidRPr="00364545">
              <w:rPr>
                <w:sz w:val="18"/>
              </w:rPr>
              <w:t>41701</w:t>
            </w:r>
          </w:p>
        </w:tc>
        <w:tc>
          <w:tcPr>
            <w:tcW w:w="776" w:type="dxa"/>
            <w:tcBorders>
              <w:top w:val="single" w:sz="2" w:space="0" w:color="000000"/>
              <w:left w:val="single" w:sz="2" w:space="0" w:color="000000"/>
              <w:bottom w:val="single" w:sz="2" w:space="0" w:color="000000"/>
              <w:right w:val="single" w:sz="2" w:space="0" w:color="000000"/>
            </w:tcBorders>
            <w:vAlign w:val="center"/>
          </w:tcPr>
          <w:p w14:paraId="6197B33B" w14:textId="3050247B" w:rsidR="00FF40B8" w:rsidRPr="00921C44" w:rsidRDefault="00FF40B8" w:rsidP="00FF40B8">
            <w:pPr>
              <w:spacing w:line="259" w:lineRule="auto"/>
              <w:ind w:left="56"/>
              <w:jc w:val="center"/>
              <w:rPr>
                <w:sz w:val="18"/>
                <w:szCs w:val="18"/>
              </w:rPr>
            </w:pPr>
            <w:r w:rsidRPr="00364545">
              <w:rPr>
                <w:sz w:val="18"/>
              </w:rPr>
              <w:t>39058</w:t>
            </w:r>
          </w:p>
        </w:tc>
        <w:tc>
          <w:tcPr>
            <w:tcW w:w="775" w:type="dxa"/>
            <w:tcBorders>
              <w:top w:val="single" w:sz="2" w:space="0" w:color="000000"/>
              <w:left w:val="single" w:sz="2" w:space="0" w:color="000000"/>
              <w:bottom w:val="single" w:sz="2" w:space="0" w:color="000000"/>
              <w:right w:val="single" w:sz="2" w:space="0" w:color="000000"/>
            </w:tcBorders>
            <w:vAlign w:val="center"/>
          </w:tcPr>
          <w:p w14:paraId="13C3BCCF" w14:textId="0D9457A8" w:rsidR="00FF40B8" w:rsidRPr="00921C44" w:rsidRDefault="00FF40B8" w:rsidP="00FF40B8">
            <w:pPr>
              <w:spacing w:line="259" w:lineRule="auto"/>
              <w:ind w:left="56"/>
              <w:jc w:val="center"/>
              <w:rPr>
                <w:sz w:val="18"/>
                <w:szCs w:val="18"/>
              </w:rPr>
            </w:pPr>
            <w:r w:rsidRPr="00364545">
              <w:rPr>
                <w:sz w:val="18"/>
              </w:rPr>
              <w:t>36794</w:t>
            </w:r>
          </w:p>
        </w:tc>
        <w:tc>
          <w:tcPr>
            <w:tcW w:w="776" w:type="dxa"/>
            <w:tcBorders>
              <w:top w:val="single" w:sz="2" w:space="0" w:color="000000"/>
              <w:left w:val="single" w:sz="2" w:space="0" w:color="000000"/>
              <w:bottom w:val="single" w:sz="2" w:space="0" w:color="000000"/>
              <w:right w:val="single" w:sz="2" w:space="0" w:color="000000"/>
            </w:tcBorders>
            <w:vAlign w:val="center"/>
          </w:tcPr>
          <w:p w14:paraId="572F0F3D" w14:textId="0EF37AC3" w:rsidR="00FF40B8" w:rsidRPr="00921C44" w:rsidRDefault="00FF40B8" w:rsidP="00FF40B8">
            <w:pPr>
              <w:spacing w:line="259" w:lineRule="auto"/>
              <w:ind w:left="56"/>
              <w:jc w:val="center"/>
              <w:rPr>
                <w:sz w:val="18"/>
                <w:szCs w:val="18"/>
              </w:rPr>
            </w:pPr>
            <w:r w:rsidRPr="00364545">
              <w:rPr>
                <w:sz w:val="18"/>
              </w:rPr>
              <w:t>33455</w:t>
            </w:r>
          </w:p>
        </w:tc>
      </w:tr>
      <w:tr w:rsidR="00FF40B8" w14:paraId="4DA59FB0"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B0E444B" w14:textId="77777777" w:rsidR="00FF40B8" w:rsidRDefault="00FF40B8" w:rsidP="00FF40B8">
            <w:pPr>
              <w:spacing w:line="259" w:lineRule="auto"/>
              <w:jc w:val="left"/>
            </w:pPr>
            <w:r>
              <w:rPr>
                <w:sz w:val="18"/>
              </w:rPr>
              <w:t xml:space="preserve">Agriculture (hors énergie)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D5EA793" w14:textId="2DB93D31" w:rsidR="00FF40B8" w:rsidRDefault="00FF40B8" w:rsidP="00FF40B8">
            <w:pPr>
              <w:spacing w:line="259" w:lineRule="auto"/>
              <w:ind w:left="106"/>
              <w:jc w:val="center"/>
            </w:pPr>
            <w:r>
              <w:rPr>
                <w:sz w:val="18"/>
                <w:szCs w:val="18"/>
              </w:rPr>
              <w:t>80803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63B2EFA" w14:textId="6AC50823" w:rsidR="00FF40B8" w:rsidRPr="00AB5735" w:rsidRDefault="00FF40B8" w:rsidP="00FF40B8">
            <w:pPr>
              <w:spacing w:line="259" w:lineRule="auto"/>
              <w:ind w:left="56"/>
              <w:jc w:val="center"/>
              <w:rPr>
                <w:sz w:val="18"/>
                <w:szCs w:val="18"/>
              </w:rPr>
            </w:pPr>
            <w:r>
              <w:rPr>
                <w:sz w:val="18"/>
                <w:szCs w:val="18"/>
              </w:rPr>
              <w:t>78281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85E2EB" w14:textId="23D6274B" w:rsidR="00FF40B8" w:rsidRDefault="00FF40B8" w:rsidP="00FF40B8">
            <w:pPr>
              <w:spacing w:line="259" w:lineRule="auto"/>
              <w:ind w:left="107"/>
              <w:jc w:val="center"/>
            </w:pPr>
            <w:r>
              <w:rPr>
                <w:sz w:val="18"/>
                <w:szCs w:val="18"/>
              </w:rPr>
              <w:t>81292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65F47C1" w14:textId="69AE3665" w:rsidR="00FF40B8" w:rsidRDefault="00FF40B8" w:rsidP="00FF40B8">
            <w:pPr>
              <w:spacing w:line="259" w:lineRule="auto"/>
              <w:ind w:left="106"/>
              <w:jc w:val="center"/>
            </w:pPr>
            <w:r>
              <w:rPr>
                <w:sz w:val="18"/>
                <w:szCs w:val="18"/>
              </w:rPr>
              <w:t>76018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050B703" w14:textId="5B69ABD6" w:rsidR="00FF40B8" w:rsidRDefault="00FF40B8" w:rsidP="00FF40B8">
            <w:pPr>
              <w:spacing w:line="259" w:lineRule="auto"/>
              <w:ind w:left="107"/>
              <w:jc w:val="center"/>
            </w:pPr>
            <w:r>
              <w:rPr>
                <w:sz w:val="18"/>
                <w:szCs w:val="18"/>
              </w:rPr>
              <w:t>75203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389F09D" w14:textId="7FF22733" w:rsidR="00FF40B8" w:rsidRDefault="00FF40B8" w:rsidP="00FF40B8">
            <w:pPr>
              <w:spacing w:line="259" w:lineRule="auto"/>
              <w:ind w:left="106"/>
              <w:jc w:val="center"/>
            </w:pPr>
            <w:r>
              <w:rPr>
                <w:sz w:val="18"/>
                <w:szCs w:val="18"/>
              </w:rPr>
              <w:t>75720</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3DE0A10F" w14:textId="07D6D667" w:rsidR="00FF40B8" w:rsidRDefault="00FF40B8" w:rsidP="00FF40B8">
            <w:pPr>
              <w:spacing w:line="259" w:lineRule="auto"/>
              <w:ind w:left="107"/>
              <w:jc w:val="center"/>
            </w:pPr>
            <w:r>
              <w:rPr>
                <w:sz w:val="18"/>
                <w:szCs w:val="18"/>
              </w:rPr>
              <w:t>72498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D8F971C" w14:textId="57EBDF18" w:rsidR="00FF40B8" w:rsidRPr="00921C44" w:rsidRDefault="00FF40B8" w:rsidP="00FF40B8">
            <w:pPr>
              <w:spacing w:line="259" w:lineRule="auto"/>
              <w:ind w:left="56"/>
              <w:jc w:val="center"/>
              <w:rPr>
                <w:sz w:val="18"/>
                <w:szCs w:val="18"/>
              </w:rPr>
            </w:pPr>
            <w:r w:rsidRPr="00364545">
              <w:rPr>
                <w:sz w:val="18"/>
              </w:rPr>
              <w:t>73050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A50522" w14:textId="0EDA85F8" w:rsidR="00FF40B8" w:rsidRPr="00921C44" w:rsidRDefault="00FF40B8" w:rsidP="00FF40B8">
            <w:pPr>
              <w:spacing w:line="259" w:lineRule="auto"/>
              <w:ind w:left="56"/>
              <w:jc w:val="center"/>
              <w:rPr>
                <w:sz w:val="18"/>
                <w:szCs w:val="18"/>
              </w:rPr>
            </w:pPr>
            <w:r w:rsidRPr="00364545">
              <w:rPr>
                <w:sz w:val="18"/>
              </w:rPr>
              <w:t>72080</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C2BBD9" w14:textId="7052444C" w:rsidR="00FF40B8" w:rsidRPr="00921C44" w:rsidRDefault="00FF40B8" w:rsidP="00FF40B8">
            <w:pPr>
              <w:spacing w:line="259" w:lineRule="auto"/>
              <w:ind w:left="56"/>
              <w:jc w:val="center"/>
              <w:rPr>
                <w:sz w:val="18"/>
                <w:szCs w:val="18"/>
              </w:rPr>
            </w:pPr>
            <w:r w:rsidRPr="00364545">
              <w:rPr>
                <w:sz w:val="18"/>
              </w:rPr>
              <w:t>71043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AD4D26" w14:textId="1F130335" w:rsidR="00FF40B8" w:rsidRPr="00921C44" w:rsidRDefault="00FF40B8" w:rsidP="00FF40B8">
            <w:pPr>
              <w:spacing w:line="259" w:lineRule="auto"/>
              <w:ind w:left="56"/>
              <w:jc w:val="center"/>
              <w:rPr>
                <w:sz w:val="18"/>
                <w:szCs w:val="18"/>
              </w:rPr>
            </w:pPr>
            <w:r w:rsidRPr="00364545">
              <w:rPr>
                <w:sz w:val="18"/>
              </w:rPr>
              <w:t>70093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D75720F" w14:textId="376EDBCD" w:rsidR="00FF40B8" w:rsidRPr="00921C44" w:rsidRDefault="00FF40B8" w:rsidP="00FF40B8">
            <w:pPr>
              <w:spacing w:line="259" w:lineRule="auto"/>
              <w:ind w:left="56"/>
              <w:jc w:val="center"/>
              <w:rPr>
                <w:sz w:val="18"/>
                <w:szCs w:val="18"/>
              </w:rPr>
            </w:pPr>
            <w:r w:rsidRPr="00364545">
              <w:rPr>
                <w:sz w:val="18"/>
              </w:rPr>
              <w:t>68253</w:t>
            </w:r>
          </w:p>
        </w:tc>
      </w:tr>
      <w:tr w:rsidR="00FF40B8" w14:paraId="3071C55E" w14:textId="77777777" w:rsidTr="00261D3D">
        <w:trPr>
          <w:trHeight w:val="347"/>
        </w:trPr>
        <w:tc>
          <w:tcPr>
            <w:tcW w:w="1405" w:type="dxa"/>
            <w:tcBorders>
              <w:top w:val="single" w:sz="2" w:space="0" w:color="000000"/>
              <w:left w:val="single" w:sz="2" w:space="0" w:color="000000"/>
              <w:bottom w:val="single" w:sz="2" w:space="0" w:color="000000"/>
              <w:right w:val="single" w:sz="2" w:space="0" w:color="000000"/>
            </w:tcBorders>
          </w:tcPr>
          <w:p w14:paraId="65EBEEB0" w14:textId="77777777" w:rsidR="00FF40B8" w:rsidRDefault="00FF40B8" w:rsidP="00FF40B8">
            <w:pPr>
              <w:spacing w:line="259" w:lineRule="auto"/>
              <w:jc w:val="left"/>
            </w:pPr>
            <w:r>
              <w:rPr>
                <w:sz w:val="18"/>
              </w:rPr>
              <w:t xml:space="preserve">UTCATF </w:t>
            </w:r>
          </w:p>
        </w:tc>
        <w:tc>
          <w:tcPr>
            <w:tcW w:w="775" w:type="dxa"/>
            <w:tcBorders>
              <w:top w:val="single" w:sz="2" w:space="0" w:color="000000"/>
              <w:left w:val="single" w:sz="2" w:space="0" w:color="000000"/>
              <w:bottom w:val="single" w:sz="2" w:space="0" w:color="000000"/>
              <w:right w:val="single" w:sz="2" w:space="0" w:color="000000"/>
            </w:tcBorders>
            <w:vAlign w:val="bottom"/>
          </w:tcPr>
          <w:p w14:paraId="2730C848" w14:textId="32F30F41" w:rsidR="00FF40B8" w:rsidRDefault="00FF40B8" w:rsidP="00FF40B8">
            <w:pPr>
              <w:spacing w:line="259" w:lineRule="auto"/>
              <w:ind w:left="50"/>
              <w:jc w:val="center"/>
            </w:pPr>
            <w:r>
              <w:rPr>
                <w:sz w:val="18"/>
                <w:szCs w:val="18"/>
              </w:rPr>
              <w:t>-23986</w:t>
            </w:r>
          </w:p>
        </w:tc>
        <w:tc>
          <w:tcPr>
            <w:tcW w:w="775" w:type="dxa"/>
            <w:tcBorders>
              <w:top w:val="single" w:sz="2" w:space="0" w:color="000000"/>
              <w:left w:val="single" w:sz="2" w:space="0" w:color="000000"/>
              <w:bottom w:val="single" w:sz="2" w:space="0" w:color="000000"/>
              <w:right w:val="single" w:sz="2" w:space="0" w:color="000000"/>
            </w:tcBorders>
            <w:vAlign w:val="bottom"/>
          </w:tcPr>
          <w:p w14:paraId="713EBD5D" w14:textId="70B81509" w:rsidR="00FF40B8" w:rsidRPr="00AB5735" w:rsidRDefault="00FF40B8" w:rsidP="00FF40B8">
            <w:pPr>
              <w:spacing w:line="259" w:lineRule="auto"/>
              <w:ind w:left="56"/>
              <w:jc w:val="center"/>
              <w:rPr>
                <w:sz w:val="18"/>
                <w:szCs w:val="18"/>
              </w:rPr>
            </w:pPr>
            <w:r>
              <w:rPr>
                <w:sz w:val="18"/>
                <w:szCs w:val="18"/>
              </w:rPr>
              <w:t>-24879</w:t>
            </w:r>
          </w:p>
        </w:tc>
        <w:tc>
          <w:tcPr>
            <w:tcW w:w="775" w:type="dxa"/>
            <w:tcBorders>
              <w:top w:val="single" w:sz="2" w:space="0" w:color="000000"/>
              <w:left w:val="single" w:sz="2" w:space="0" w:color="000000"/>
              <w:bottom w:val="single" w:sz="2" w:space="0" w:color="000000"/>
              <w:right w:val="single" w:sz="2" w:space="0" w:color="000000"/>
            </w:tcBorders>
            <w:vAlign w:val="bottom"/>
          </w:tcPr>
          <w:p w14:paraId="0EF394CB" w14:textId="610BE14B" w:rsidR="00FF40B8" w:rsidRDefault="00FF40B8" w:rsidP="00FF40B8">
            <w:pPr>
              <w:spacing w:line="259" w:lineRule="auto"/>
              <w:ind w:left="52"/>
              <w:jc w:val="center"/>
            </w:pPr>
            <w:r>
              <w:rPr>
                <w:sz w:val="18"/>
                <w:szCs w:val="18"/>
              </w:rPr>
              <w:t>-19709</w:t>
            </w:r>
          </w:p>
        </w:tc>
        <w:tc>
          <w:tcPr>
            <w:tcW w:w="776" w:type="dxa"/>
            <w:tcBorders>
              <w:top w:val="single" w:sz="2" w:space="0" w:color="000000"/>
              <w:left w:val="single" w:sz="2" w:space="0" w:color="000000"/>
              <w:bottom w:val="single" w:sz="2" w:space="0" w:color="000000"/>
              <w:right w:val="single" w:sz="2" w:space="0" w:color="000000"/>
            </w:tcBorders>
            <w:vAlign w:val="bottom"/>
          </w:tcPr>
          <w:p w14:paraId="319FFAE6" w14:textId="1FCEF129" w:rsidR="00FF40B8" w:rsidRDefault="00FF40B8" w:rsidP="00FF40B8">
            <w:pPr>
              <w:spacing w:line="259" w:lineRule="auto"/>
              <w:ind w:left="50"/>
              <w:jc w:val="center"/>
            </w:pPr>
            <w:r>
              <w:rPr>
                <w:sz w:val="18"/>
                <w:szCs w:val="18"/>
              </w:rPr>
              <w:t>-47311</w:t>
            </w:r>
          </w:p>
        </w:tc>
        <w:tc>
          <w:tcPr>
            <w:tcW w:w="775" w:type="dxa"/>
            <w:tcBorders>
              <w:top w:val="single" w:sz="2" w:space="0" w:color="000000"/>
              <w:left w:val="single" w:sz="2" w:space="0" w:color="000000"/>
              <w:bottom w:val="single" w:sz="2" w:space="0" w:color="000000"/>
              <w:right w:val="single" w:sz="2" w:space="0" w:color="000000"/>
            </w:tcBorders>
            <w:vAlign w:val="bottom"/>
          </w:tcPr>
          <w:p w14:paraId="61692A83" w14:textId="61066F7C" w:rsidR="00FF40B8" w:rsidRDefault="00FF40B8" w:rsidP="00FF40B8">
            <w:pPr>
              <w:spacing w:line="259" w:lineRule="auto"/>
              <w:ind w:left="52"/>
              <w:jc w:val="center"/>
            </w:pPr>
            <w:r>
              <w:rPr>
                <w:sz w:val="18"/>
                <w:szCs w:val="18"/>
              </w:rPr>
              <w:t>-38355</w:t>
            </w:r>
          </w:p>
        </w:tc>
        <w:tc>
          <w:tcPr>
            <w:tcW w:w="775" w:type="dxa"/>
            <w:tcBorders>
              <w:top w:val="single" w:sz="2" w:space="0" w:color="000000"/>
              <w:left w:val="single" w:sz="2" w:space="0" w:color="000000"/>
              <w:bottom w:val="single" w:sz="2" w:space="0" w:color="000000"/>
              <w:right w:val="single" w:sz="2" w:space="0" w:color="000000"/>
            </w:tcBorders>
            <w:vAlign w:val="bottom"/>
          </w:tcPr>
          <w:p w14:paraId="1A90BF14" w14:textId="790AB9D3" w:rsidR="00FF40B8" w:rsidRDefault="00FF40B8" w:rsidP="00FF40B8">
            <w:pPr>
              <w:spacing w:line="259" w:lineRule="auto"/>
              <w:ind w:left="50"/>
              <w:jc w:val="center"/>
            </w:pPr>
            <w:r>
              <w:rPr>
                <w:sz w:val="18"/>
                <w:szCs w:val="18"/>
              </w:rPr>
              <w:t>-34577</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3DFF33CA" w14:textId="2B87DD13" w:rsidR="00FF40B8" w:rsidRDefault="00FF40B8" w:rsidP="00FF40B8">
            <w:pPr>
              <w:spacing w:line="259" w:lineRule="auto"/>
              <w:ind w:left="51"/>
              <w:jc w:val="center"/>
            </w:pPr>
            <w:r>
              <w:rPr>
                <w:sz w:val="18"/>
                <w:szCs w:val="18"/>
              </w:rPr>
              <w:t>-12288</w:t>
            </w:r>
          </w:p>
        </w:tc>
        <w:tc>
          <w:tcPr>
            <w:tcW w:w="775" w:type="dxa"/>
            <w:tcBorders>
              <w:top w:val="single" w:sz="2" w:space="0" w:color="000000"/>
              <w:left w:val="single" w:sz="2" w:space="0" w:color="000000"/>
              <w:bottom w:val="single" w:sz="2" w:space="0" w:color="000000"/>
              <w:right w:val="single" w:sz="2" w:space="0" w:color="000000"/>
            </w:tcBorders>
            <w:vAlign w:val="center"/>
          </w:tcPr>
          <w:p w14:paraId="027297D7" w14:textId="1638DA7A" w:rsidR="00FF40B8" w:rsidRPr="00921C44" w:rsidRDefault="00FF40B8" w:rsidP="00FF40B8">
            <w:pPr>
              <w:spacing w:line="259" w:lineRule="auto"/>
              <w:ind w:left="56"/>
              <w:jc w:val="center"/>
              <w:rPr>
                <w:sz w:val="18"/>
                <w:szCs w:val="18"/>
              </w:rPr>
            </w:pPr>
            <w:r w:rsidRPr="00364545">
              <w:rPr>
                <w:sz w:val="18"/>
              </w:rPr>
              <w:t>-32838</w:t>
            </w:r>
          </w:p>
        </w:tc>
        <w:tc>
          <w:tcPr>
            <w:tcW w:w="775" w:type="dxa"/>
            <w:tcBorders>
              <w:top w:val="single" w:sz="2" w:space="0" w:color="000000"/>
              <w:left w:val="single" w:sz="2" w:space="0" w:color="000000"/>
              <w:bottom w:val="single" w:sz="2" w:space="0" w:color="000000"/>
              <w:right w:val="single" w:sz="2" w:space="0" w:color="000000"/>
            </w:tcBorders>
            <w:vAlign w:val="center"/>
          </w:tcPr>
          <w:p w14:paraId="0137C337" w14:textId="1E22331E" w:rsidR="00FF40B8" w:rsidRPr="00921C44" w:rsidRDefault="00FF40B8" w:rsidP="00FF40B8">
            <w:pPr>
              <w:spacing w:line="259" w:lineRule="auto"/>
              <w:ind w:left="56"/>
              <w:jc w:val="center"/>
              <w:rPr>
                <w:sz w:val="18"/>
                <w:szCs w:val="18"/>
              </w:rPr>
            </w:pPr>
            <w:r>
              <w:rPr>
                <w:sz w:val="18"/>
              </w:rPr>
              <w:t>- 28</w:t>
            </w:r>
            <w:r w:rsidRPr="00364545">
              <w:rPr>
                <w:sz w:val="18"/>
              </w:rPr>
              <w:t>746</w:t>
            </w:r>
          </w:p>
        </w:tc>
        <w:tc>
          <w:tcPr>
            <w:tcW w:w="776" w:type="dxa"/>
            <w:tcBorders>
              <w:top w:val="single" w:sz="2" w:space="0" w:color="000000"/>
              <w:left w:val="single" w:sz="2" w:space="0" w:color="000000"/>
              <w:bottom w:val="single" w:sz="2" w:space="0" w:color="000000"/>
              <w:right w:val="single" w:sz="2" w:space="0" w:color="000000"/>
            </w:tcBorders>
            <w:vAlign w:val="center"/>
          </w:tcPr>
          <w:p w14:paraId="5348B99F" w14:textId="59EDBEFB" w:rsidR="00FF40B8" w:rsidRPr="00921C44" w:rsidRDefault="00FF40B8" w:rsidP="00FF40B8">
            <w:pPr>
              <w:spacing w:line="259" w:lineRule="auto"/>
              <w:ind w:left="56"/>
              <w:jc w:val="center"/>
              <w:rPr>
                <w:sz w:val="18"/>
                <w:szCs w:val="18"/>
              </w:rPr>
            </w:pPr>
            <w:r>
              <w:rPr>
                <w:sz w:val="18"/>
              </w:rPr>
              <w:t>- 26</w:t>
            </w:r>
            <w:r w:rsidRPr="00364545">
              <w:rPr>
                <w:sz w:val="18"/>
              </w:rPr>
              <w:t>431</w:t>
            </w:r>
          </w:p>
        </w:tc>
        <w:tc>
          <w:tcPr>
            <w:tcW w:w="775" w:type="dxa"/>
            <w:tcBorders>
              <w:top w:val="single" w:sz="2" w:space="0" w:color="000000"/>
              <w:left w:val="single" w:sz="2" w:space="0" w:color="000000"/>
              <w:bottom w:val="single" w:sz="2" w:space="0" w:color="000000"/>
              <w:right w:val="single" w:sz="2" w:space="0" w:color="000000"/>
            </w:tcBorders>
            <w:vAlign w:val="center"/>
          </w:tcPr>
          <w:p w14:paraId="2805F2C8" w14:textId="10C48186" w:rsidR="00FF40B8" w:rsidRPr="00921C44" w:rsidRDefault="00FF40B8" w:rsidP="00FF40B8">
            <w:pPr>
              <w:spacing w:line="259" w:lineRule="auto"/>
              <w:ind w:left="56"/>
              <w:jc w:val="center"/>
              <w:rPr>
                <w:sz w:val="18"/>
                <w:szCs w:val="18"/>
              </w:rPr>
            </w:pPr>
            <w:r>
              <w:rPr>
                <w:sz w:val="18"/>
              </w:rPr>
              <w:t>- 21</w:t>
            </w:r>
            <w:r w:rsidRPr="00364545">
              <w:rPr>
                <w:sz w:val="18"/>
              </w:rPr>
              <w:t>560</w:t>
            </w:r>
          </w:p>
        </w:tc>
        <w:tc>
          <w:tcPr>
            <w:tcW w:w="776" w:type="dxa"/>
            <w:tcBorders>
              <w:top w:val="single" w:sz="2" w:space="0" w:color="000000"/>
              <w:left w:val="single" w:sz="2" w:space="0" w:color="000000"/>
              <w:bottom w:val="single" w:sz="2" w:space="0" w:color="000000"/>
              <w:right w:val="single" w:sz="2" w:space="0" w:color="000000"/>
            </w:tcBorders>
            <w:vAlign w:val="center"/>
          </w:tcPr>
          <w:p w14:paraId="073FAA37" w14:textId="5DA99917" w:rsidR="00FF40B8" w:rsidRPr="00921C44" w:rsidRDefault="00FF40B8" w:rsidP="00FF40B8">
            <w:pPr>
              <w:spacing w:line="259" w:lineRule="auto"/>
              <w:ind w:left="56"/>
              <w:jc w:val="center"/>
              <w:rPr>
                <w:sz w:val="18"/>
                <w:szCs w:val="18"/>
              </w:rPr>
            </w:pPr>
            <w:r>
              <w:rPr>
                <w:sz w:val="18"/>
              </w:rPr>
              <w:t>-12</w:t>
            </w:r>
            <w:r w:rsidRPr="00364545">
              <w:rPr>
                <w:sz w:val="18"/>
              </w:rPr>
              <w:t>627</w:t>
            </w:r>
          </w:p>
        </w:tc>
      </w:tr>
      <w:tr w:rsidR="00FF40B8" w14:paraId="419963BD"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7AD6245" w14:textId="77777777" w:rsidR="00FF40B8" w:rsidRDefault="00FF40B8" w:rsidP="00FF40B8">
            <w:pPr>
              <w:spacing w:line="259" w:lineRule="auto"/>
              <w:jc w:val="left"/>
            </w:pPr>
            <w:r>
              <w:rPr>
                <w:sz w:val="18"/>
              </w:rPr>
              <w:t xml:space="preserve">Déchets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19FB09A" w14:textId="207E44BD" w:rsidR="00FF40B8" w:rsidRDefault="00FF40B8" w:rsidP="00FF40B8">
            <w:pPr>
              <w:spacing w:line="259" w:lineRule="auto"/>
              <w:ind w:left="106"/>
              <w:jc w:val="center"/>
            </w:pPr>
            <w:r>
              <w:rPr>
                <w:sz w:val="18"/>
                <w:szCs w:val="18"/>
              </w:rPr>
              <w:t>17283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6470559" w14:textId="271FC9F3" w:rsidR="00FF40B8" w:rsidRPr="00AB5735" w:rsidRDefault="00FF40B8" w:rsidP="00FF40B8">
            <w:pPr>
              <w:spacing w:line="259" w:lineRule="auto"/>
              <w:ind w:left="56"/>
              <w:jc w:val="center"/>
              <w:rPr>
                <w:sz w:val="18"/>
                <w:szCs w:val="18"/>
              </w:rPr>
            </w:pPr>
            <w:r>
              <w:rPr>
                <w:sz w:val="18"/>
                <w:szCs w:val="18"/>
              </w:rPr>
              <w:t>20118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DA4F57C" w14:textId="0993271A" w:rsidR="00FF40B8" w:rsidRDefault="00FF40B8" w:rsidP="00FF40B8">
            <w:pPr>
              <w:spacing w:line="259" w:lineRule="auto"/>
              <w:ind w:left="107"/>
              <w:jc w:val="center"/>
            </w:pPr>
            <w:r>
              <w:rPr>
                <w:sz w:val="18"/>
                <w:szCs w:val="18"/>
              </w:rPr>
              <w:t>21056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C6A5AD4" w14:textId="6990DD34" w:rsidR="00FF40B8" w:rsidRDefault="00FF40B8" w:rsidP="00FF40B8">
            <w:pPr>
              <w:spacing w:line="259" w:lineRule="auto"/>
              <w:ind w:left="106"/>
              <w:jc w:val="center"/>
            </w:pPr>
            <w:r>
              <w:rPr>
                <w:sz w:val="18"/>
                <w:szCs w:val="18"/>
              </w:rPr>
              <w:t>21362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72B6D7B" w14:textId="75830089" w:rsidR="00FF40B8" w:rsidRDefault="00FF40B8" w:rsidP="00FF40B8">
            <w:pPr>
              <w:spacing w:line="259" w:lineRule="auto"/>
              <w:ind w:left="107"/>
              <w:jc w:val="center"/>
            </w:pPr>
            <w:r>
              <w:rPr>
                <w:sz w:val="18"/>
                <w:szCs w:val="18"/>
              </w:rPr>
              <w:t>20756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813C1E6" w14:textId="5C6C7B04" w:rsidR="00FF40B8" w:rsidRDefault="00FF40B8" w:rsidP="00FF40B8">
            <w:pPr>
              <w:spacing w:line="259" w:lineRule="auto"/>
              <w:ind w:left="106"/>
              <w:jc w:val="center"/>
            </w:pPr>
            <w:r>
              <w:rPr>
                <w:sz w:val="18"/>
                <w:szCs w:val="18"/>
              </w:rPr>
              <w:t>17905</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290299EE" w14:textId="48B834E0" w:rsidR="00FF40B8" w:rsidRDefault="00FF40B8" w:rsidP="00FF40B8">
            <w:pPr>
              <w:spacing w:line="259" w:lineRule="auto"/>
              <w:ind w:left="107"/>
              <w:jc w:val="center"/>
            </w:pPr>
            <w:r>
              <w:rPr>
                <w:sz w:val="18"/>
                <w:szCs w:val="18"/>
              </w:rPr>
              <w:t>18165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D7FF39" w14:textId="5DD148D8" w:rsidR="00FF40B8" w:rsidRPr="00921C44" w:rsidRDefault="00FF40B8" w:rsidP="00FF40B8">
            <w:pPr>
              <w:spacing w:line="259" w:lineRule="auto"/>
              <w:ind w:left="56"/>
              <w:jc w:val="center"/>
              <w:rPr>
                <w:sz w:val="18"/>
                <w:szCs w:val="18"/>
              </w:rPr>
            </w:pPr>
            <w:r w:rsidRPr="00364545">
              <w:rPr>
                <w:sz w:val="18"/>
              </w:rPr>
              <w:t>17514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671DA6" w14:textId="40E46DA5" w:rsidR="00FF40B8" w:rsidRPr="00921C44" w:rsidRDefault="00FF40B8" w:rsidP="00FF40B8">
            <w:pPr>
              <w:spacing w:line="259" w:lineRule="auto"/>
              <w:ind w:left="56"/>
              <w:jc w:val="center"/>
              <w:rPr>
                <w:sz w:val="18"/>
                <w:szCs w:val="18"/>
              </w:rPr>
            </w:pPr>
            <w:r w:rsidRPr="00364545">
              <w:rPr>
                <w:sz w:val="18"/>
              </w:rPr>
              <w:t>16717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E95161" w14:textId="164F315B" w:rsidR="00FF40B8" w:rsidRPr="00921C44" w:rsidRDefault="00FF40B8" w:rsidP="00FF40B8">
            <w:pPr>
              <w:spacing w:line="259" w:lineRule="auto"/>
              <w:ind w:left="56"/>
              <w:jc w:val="center"/>
              <w:rPr>
                <w:sz w:val="18"/>
                <w:szCs w:val="18"/>
              </w:rPr>
            </w:pPr>
            <w:r w:rsidRPr="00364545">
              <w:rPr>
                <w:sz w:val="18"/>
              </w:rPr>
              <w:t>16308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E3DB9E" w14:textId="77251E70" w:rsidR="00FF40B8" w:rsidRPr="00921C44" w:rsidRDefault="00FF40B8" w:rsidP="00FF40B8">
            <w:pPr>
              <w:spacing w:line="259" w:lineRule="auto"/>
              <w:ind w:left="56"/>
              <w:jc w:val="center"/>
              <w:rPr>
                <w:sz w:val="18"/>
                <w:szCs w:val="18"/>
              </w:rPr>
            </w:pPr>
            <w:r w:rsidRPr="00364545">
              <w:rPr>
                <w:sz w:val="18"/>
              </w:rPr>
              <w:t>16315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6D0D06" w14:textId="660D993C" w:rsidR="00FF40B8" w:rsidRPr="00921C44" w:rsidRDefault="00FF40B8" w:rsidP="00FF40B8">
            <w:pPr>
              <w:spacing w:line="259" w:lineRule="auto"/>
              <w:ind w:left="56"/>
              <w:jc w:val="center"/>
              <w:rPr>
                <w:sz w:val="18"/>
                <w:szCs w:val="18"/>
              </w:rPr>
            </w:pPr>
            <w:r w:rsidRPr="00364545">
              <w:rPr>
                <w:sz w:val="18"/>
              </w:rPr>
              <w:t>16746</w:t>
            </w:r>
          </w:p>
        </w:tc>
      </w:tr>
      <w:tr w:rsidR="00FF40B8" w14:paraId="29362DB3" w14:textId="77777777" w:rsidTr="00881BEF">
        <w:trPr>
          <w:trHeight w:val="344"/>
        </w:trPr>
        <w:tc>
          <w:tcPr>
            <w:tcW w:w="1405" w:type="dxa"/>
            <w:tcBorders>
              <w:top w:val="single" w:sz="2" w:space="0" w:color="000000"/>
              <w:left w:val="single" w:sz="2" w:space="0" w:color="000000"/>
              <w:bottom w:val="single" w:sz="2" w:space="0" w:color="000000"/>
              <w:right w:val="single" w:sz="2" w:space="0" w:color="000000"/>
            </w:tcBorders>
          </w:tcPr>
          <w:p w14:paraId="34942B38" w14:textId="77777777" w:rsidR="00FF40B8" w:rsidRDefault="00FF40B8" w:rsidP="00FF40B8">
            <w:pPr>
              <w:spacing w:line="259" w:lineRule="auto"/>
              <w:jc w:val="left"/>
            </w:pPr>
            <w:r>
              <w:rPr>
                <w:b/>
                <w:sz w:val="18"/>
              </w:rPr>
              <w:t xml:space="preserve">Ensemble (hors UTCF) </w:t>
            </w:r>
          </w:p>
        </w:tc>
        <w:tc>
          <w:tcPr>
            <w:tcW w:w="775" w:type="dxa"/>
            <w:tcBorders>
              <w:top w:val="single" w:sz="2" w:space="0" w:color="000000"/>
              <w:left w:val="single" w:sz="2" w:space="0" w:color="000000"/>
              <w:bottom w:val="single" w:sz="2" w:space="0" w:color="000000"/>
              <w:right w:val="single" w:sz="2" w:space="0" w:color="000000"/>
            </w:tcBorders>
            <w:vAlign w:val="center"/>
          </w:tcPr>
          <w:p w14:paraId="334AC9DA" w14:textId="32BC7807" w:rsidR="00FF40B8" w:rsidRDefault="00FF40B8" w:rsidP="00FF40B8">
            <w:pPr>
              <w:spacing w:line="259" w:lineRule="auto"/>
              <w:ind w:left="55"/>
              <w:jc w:val="center"/>
            </w:pPr>
            <w:r w:rsidRPr="0002410C">
              <w:rPr>
                <w:rFonts w:asciiTheme="majorHAnsi" w:hAnsiTheme="majorHAnsi"/>
                <w:b/>
                <w:sz w:val="18"/>
                <w:szCs w:val="18"/>
              </w:rPr>
              <w:t>544086</w:t>
            </w:r>
          </w:p>
        </w:tc>
        <w:tc>
          <w:tcPr>
            <w:tcW w:w="775" w:type="dxa"/>
            <w:tcBorders>
              <w:top w:val="single" w:sz="2" w:space="0" w:color="000000"/>
              <w:left w:val="single" w:sz="2" w:space="0" w:color="000000"/>
              <w:bottom w:val="single" w:sz="2" w:space="0" w:color="000000"/>
              <w:right w:val="single" w:sz="2" w:space="0" w:color="000000"/>
            </w:tcBorders>
            <w:vAlign w:val="center"/>
          </w:tcPr>
          <w:p w14:paraId="572E871C" w14:textId="0355673C" w:rsidR="00FF40B8" w:rsidRPr="00AB5735" w:rsidRDefault="00FF40B8" w:rsidP="00FF40B8">
            <w:pPr>
              <w:spacing w:line="259" w:lineRule="auto"/>
              <w:ind w:left="56"/>
              <w:jc w:val="center"/>
              <w:rPr>
                <w:sz w:val="18"/>
                <w:szCs w:val="18"/>
              </w:rPr>
            </w:pPr>
            <w:r w:rsidRPr="0002410C">
              <w:rPr>
                <w:rFonts w:asciiTheme="majorHAnsi" w:hAnsiTheme="majorHAnsi"/>
                <w:b/>
                <w:sz w:val="18"/>
                <w:szCs w:val="18"/>
              </w:rPr>
              <w:t>536475</w:t>
            </w:r>
          </w:p>
        </w:tc>
        <w:tc>
          <w:tcPr>
            <w:tcW w:w="775" w:type="dxa"/>
            <w:tcBorders>
              <w:top w:val="single" w:sz="2" w:space="0" w:color="000000"/>
              <w:left w:val="single" w:sz="2" w:space="0" w:color="000000"/>
              <w:bottom w:val="single" w:sz="2" w:space="0" w:color="000000"/>
              <w:right w:val="single" w:sz="2" w:space="0" w:color="000000"/>
            </w:tcBorders>
            <w:vAlign w:val="center"/>
          </w:tcPr>
          <w:p w14:paraId="2F0231FD" w14:textId="7E660F3B" w:rsidR="00FF40B8" w:rsidRDefault="00FF40B8" w:rsidP="00FF40B8">
            <w:pPr>
              <w:spacing w:line="259" w:lineRule="auto"/>
              <w:ind w:left="56"/>
              <w:jc w:val="center"/>
            </w:pPr>
            <w:r w:rsidRPr="0002410C">
              <w:rPr>
                <w:rFonts w:asciiTheme="majorHAnsi" w:hAnsiTheme="majorHAnsi" w:cs="Calibri"/>
                <w:b/>
                <w:sz w:val="18"/>
                <w:szCs w:val="18"/>
              </w:rPr>
              <w:t>549005</w:t>
            </w:r>
          </w:p>
        </w:tc>
        <w:tc>
          <w:tcPr>
            <w:tcW w:w="776" w:type="dxa"/>
            <w:tcBorders>
              <w:top w:val="single" w:sz="2" w:space="0" w:color="000000"/>
              <w:left w:val="single" w:sz="2" w:space="0" w:color="000000"/>
              <w:bottom w:val="single" w:sz="2" w:space="0" w:color="000000"/>
              <w:right w:val="single" w:sz="2" w:space="0" w:color="000000"/>
            </w:tcBorders>
            <w:vAlign w:val="center"/>
          </w:tcPr>
          <w:p w14:paraId="02447135" w14:textId="2C63519C" w:rsidR="00FF40B8" w:rsidRDefault="00FF40B8" w:rsidP="00FF40B8">
            <w:pPr>
              <w:spacing w:line="259" w:lineRule="auto"/>
              <w:ind w:left="55"/>
              <w:jc w:val="center"/>
            </w:pPr>
            <w:r w:rsidRPr="0002410C">
              <w:rPr>
                <w:rFonts w:asciiTheme="majorHAnsi" w:hAnsiTheme="majorHAnsi" w:cs="Calibri"/>
                <w:b/>
                <w:sz w:val="18"/>
                <w:szCs w:val="18"/>
              </w:rPr>
              <w:t>551391</w:t>
            </w:r>
          </w:p>
        </w:tc>
        <w:tc>
          <w:tcPr>
            <w:tcW w:w="775" w:type="dxa"/>
            <w:tcBorders>
              <w:top w:val="single" w:sz="2" w:space="0" w:color="000000"/>
              <w:left w:val="single" w:sz="2" w:space="0" w:color="000000"/>
              <w:bottom w:val="single" w:sz="2" w:space="0" w:color="000000"/>
              <w:right w:val="single" w:sz="2" w:space="0" w:color="000000"/>
            </w:tcBorders>
            <w:vAlign w:val="center"/>
          </w:tcPr>
          <w:p w14:paraId="16B7BDDF" w14:textId="793E8BEF" w:rsidR="00FF40B8" w:rsidRDefault="00FF40B8" w:rsidP="00FF40B8">
            <w:pPr>
              <w:spacing w:line="259" w:lineRule="auto"/>
              <w:ind w:left="61"/>
              <w:jc w:val="center"/>
            </w:pPr>
            <w:r w:rsidRPr="0002410C">
              <w:rPr>
                <w:rFonts w:asciiTheme="majorHAnsi" w:hAnsiTheme="majorHAnsi" w:cs="Calibri"/>
                <w:b/>
                <w:sz w:val="18"/>
                <w:szCs w:val="18"/>
              </w:rPr>
              <w:t>507468</w:t>
            </w:r>
          </w:p>
        </w:tc>
        <w:tc>
          <w:tcPr>
            <w:tcW w:w="775" w:type="dxa"/>
            <w:tcBorders>
              <w:top w:val="single" w:sz="2" w:space="0" w:color="000000"/>
              <w:left w:val="single" w:sz="2" w:space="0" w:color="000000"/>
              <w:bottom w:val="single" w:sz="2" w:space="0" w:color="000000"/>
              <w:right w:val="single" w:sz="2" w:space="0" w:color="000000"/>
            </w:tcBorders>
            <w:vAlign w:val="center"/>
          </w:tcPr>
          <w:p w14:paraId="21FBCFA9" w14:textId="6F8B4DDA" w:rsidR="00FF40B8" w:rsidRDefault="00FF40B8" w:rsidP="00FF40B8">
            <w:pPr>
              <w:spacing w:line="259" w:lineRule="auto"/>
              <w:ind w:left="55"/>
              <w:jc w:val="center"/>
            </w:pPr>
            <w:r w:rsidRPr="0002410C">
              <w:rPr>
                <w:rFonts w:asciiTheme="majorHAnsi" w:hAnsiTheme="majorHAnsi" w:cs="Calibri"/>
                <w:b/>
                <w:sz w:val="18"/>
                <w:szCs w:val="18"/>
              </w:rPr>
              <w:t>457923</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45A40FD" w14:textId="4E36921D" w:rsidR="00FF40B8" w:rsidRDefault="00FF40B8" w:rsidP="00FF40B8">
            <w:pPr>
              <w:spacing w:line="259" w:lineRule="auto"/>
              <w:ind w:left="56"/>
              <w:jc w:val="center"/>
            </w:pPr>
            <w:r w:rsidRPr="0002410C">
              <w:rPr>
                <w:rFonts w:asciiTheme="majorHAnsi" w:hAnsiTheme="majorHAnsi" w:cs="Calibri"/>
                <w:b/>
                <w:sz w:val="18"/>
                <w:szCs w:val="18"/>
              </w:rPr>
              <w:t>434539</w:t>
            </w:r>
          </w:p>
        </w:tc>
        <w:tc>
          <w:tcPr>
            <w:tcW w:w="775" w:type="dxa"/>
            <w:tcBorders>
              <w:top w:val="single" w:sz="2" w:space="0" w:color="000000"/>
              <w:left w:val="single" w:sz="2" w:space="0" w:color="000000"/>
              <w:bottom w:val="single" w:sz="2" w:space="0" w:color="000000"/>
              <w:right w:val="single" w:sz="2" w:space="0" w:color="000000"/>
            </w:tcBorders>
            <w:vAlign w:val="center"/>
          </w:tcPr>
          <w:p w14:paraId="257C0566" w14:textId="1E904E5C" w:rsidR="00FF40B8" w:rsidRPr="00921C44" w:rsidRDefault="00FF40B8" w:rsidP="00FF40B8">
            <w:pPr>
              <w:spacing w:line="259" w:lineRule="auto"/>
              <w:ind w:left="56"/>
              <w:jc w:val="center"/>
              <w:rPr>
                <w:sz w:val="18"/>
                <w:szCs w:val="18"/>
              </w:rPr>
            </w:pPr>
            <w:r w:rsidRPr="00364545">
              <w:rPr>
                <w:sz w:val="18"/>
              </w:rPr>
              <w:t>398676</w:t>
            </w:r>
          </w:p>
        </w:tc>
        <w:tc>
          <w:tcPr>
            <w:tcW w:w="775" w:type="dxa"/>
            <w:tcBorders>
              <w:top w:val="single" w:sz="2" w:space="0" w:color="000000"/>
              <w:left w:val="single" w:sz="2" w:space="0" w:color="000000"/>
              <w:bottom w:val="single" w:sz="2" w:space="0" w:color="000000"/>
              <w:right w:val="single" w:sz="2" w:space="0" w:color="000000"/>
            </w:tcBorders>
            <w:vAlign w:val="center"/>
          </w:tcPr>
          <w:p w14:paraId="21E7EB94" w14:textId="211AE183" w:rsidR="00FF40B8" w:rsidRPr="00921C44" w:rsidRDefault="00FF40B8" w:rsidP="00FF40B8">
            <w:pPr>
              <w:spacing w:line="259" w:lineRule="auto"/>
              <w:ind w:left="56"/>
              <w:jc w:val="center"/>
              <w:rPr>
                <w:sz w:val="18"/>
                <w:szCs w:val="18"/>
              </w:rPr>
            </w:pPr>
            <w:r w:rsidRPr="00364545">
              <w:rPr>
                <w:sz w:val="18"/>
              </w:rPr>
              <w:t>392095</w:t>
            </w:r>
          </w:p>
        </w:tc>
        <w:tc>
          <w:tcPr>
            <w:tcW w:w="776" w:type="dxa"/>
            <w:tcBorders>
              <w:top w:val="single" w:sz="2" w:space="0" w:color="000000"/>
              <w:left w:val="single" w:sz="2" w:space="0" w:color="000000"/>
              <w:bottom w:val="single" w:sz="2" w:space="0" w:color="000000"/>
              <w:right w:val="single" w:sz="2" w:space="0" w:color="000000"/>
            </w:tcBorders>
            <w:vAlign w:val="center"/>
          </w:tcPr>
          <w:p w14:paraId="59455838" w14:textId="1F4A1A03" w:rsidR="00FF40B8" w:rsidRPr="00921C44" w:rsidRDefault="00FF40B8" w:rsidP="00FF40B8">
            <w:pPr>
              <w:spacing w:line="259" w:lineRule="auto"/>
              <w:ind w:left="56"/>
              <w:jc w:val="center"/>
              <w:rPr>
                <w:sz w:val="18"/>
                <w:szCs w:val="18"/>
              </w:rPr>
            </w:pPr>
            <w:r w:rsidRPr="00364545">
              <w:rPr>
                <w:sz w:val="18"/>
              </w:rPr>
              <w:t>367049</w:t>
            </w:r>
          </w:p>
        </w:tc>
        <w:tc>
          <w:tcPr>
            <w:tcW w:w="775" w:type="dxa"/>
            <w:tcBorders>
              <w:top w:val="single" w:sz="2" w:space="0" w:color="000000"/>
              <w:left w:val="single" w:sz="2" w:space="0" w:color="000000"/>
              <w:bottom w:val="single" w:sz="2" w:space="0" w:color="000000"/>
              <w:right w:val="single" w:sz="2" w:space="0" w:color="000000"/>
            </w:tcBorders>
            <w:vAlign w:val="center"/>
          </w:tcPr>
          <w:p w14:paraId="545632CF" w14:textId="78D49A23" w:rsidR="00FF40B8" w:rsidRPr="00921C44" w:rsidRDefault="00FF40B8" w:rsidP="00FF40B8">
            <w:pPr>
              <w:spacing w:line="259" w:lineRule="auto"/>
              <w:ind w:left="56"/>
              <w:jc w:val="center"/>
              <w:rPr>
                <w:sz w:val="18"/>
                <w:szCs w:val="18"/>
              </w:rPr>
            </w:pPr>
            <w:r w:rsidRPr="00364545">
              <w:rPr>
                <w:sz w:val="18"/>
              </w:rPr>
              <w:t>354446</w:t>
            </w:r>
          </w:p>
        </w:tc>
        <w:tc>
          <w:tcPr>
            <w:tcW w:w="776" w:type="dxa"/>
            <w:tcBorders>
              <w:top w:val="single" w:sz="2" w:space="0" w:color="000000"/>
              <w:left w:val="single" w:sz="2" w:space="0" w:color="000000"/>
              <w:bottom w:val="single" w:sz="2" w:space="0" w:color="000000"/>
              <w:right w:val="single" w:sz="2" w:space="0" w:color="000000"/>
            </w:tcBorders>
            <w:vAlign w:val="center"/>
          </w:tcPr>
          <w:p w14:paraId="09E82092" w14:textId="0F2A21A3" w:rsidR="00FF40B8" w:rsidRPr="00921C44" w:rsidRDefault="00FF40B8" w:rsidP="00FF40B8">
            <w:pPr>
              <w:spacing w:line="259" w:lineRule="auto"/>
              <w:ind w:left="56"/>
              <w:jc w:val="center"/>
              <w:rPr>
                <w:sz w:val="18"/>
                <w:szCs w:val="18"/>
              </w:rPr>
            </w:pPr>
            <w:r w:rsidRPr="00364545">
              <w:rPr>
                <w:sz w:val="18"/>
              </w:rPr>
              <w:t>329653</w:t>
            </w:r>
          </w:p>
        </w:tc>
      </w:tr>
      <w:tr w:rsidR="00FF40B8" w14:paraId="53F313D6" w14:textId="77777777" w:rsidTr="00261D3D">
        <w:trPr>
          <w:trHeight w:val="345"/>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E83E965" w14:textId="77777777" w:rsidR="00FF40B8" w:rsidRDefault="00FF40B8" w:rsidP="00FF40B8">
            <w:pPr>
              <w:spacing w:line="259" w:lineRule="auto"/>
              <w:jc w:val="left"/>
            </w:pPr>
            <w:r>
              <w:rPr>
                <w:b/>
                <w:sz w:val="18"/>
              </w:rPr>
              <w:t xml:space="preserve">Ensemble (avec UTCF)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59D9877" w14:textId="5E591380" w:rsidR="00FF40B8" w:rsidRDefault="00FF40B8" w:rsidP="00FF40B8">
            <w:pPr>
              <w:spacing w:line="259" w:lineRule="auto"/>
              <w:ind w:left="55"/>
              <w:jc w:val="center"/>
            </w:pPr>
            <w:r>
              <w:rPr>
                <w:sz w:val="18"/>
                <w:szCs w:val="18"/>
              </w:rPr>
              <w:t>520100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9EEDFBA" w14:textId="1A4DF290" w:rsidR="00FF40B8" w:rsidRPr="00AB5735" w:rsidRDefault="00FF40B8" w:rsidP="00FF40B8">
            <w:pPr>
              <w:spacing w:line="259" w:lineRule="auto"/>
              <w:ind w:left="56"/>
              <w:jc w:val="center"/>
              <w:rPr>
                <w:sz w:val="18"/>
                <w:szCs w:val="18"/>
              </w:rPr>
            </w:pPr>
            <w:r>
              <w:rPr>
                <w:sz w:val="18"/>
                <w:szCs w:val="18"/>
              </w:rPr>
              <w:t>511596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C09BBE2" w14:textId="3B5F48B8" w:rsidR="00FF40B8" w:rsidRDefault="00FF40B8" w:rsidP="00FF40B8">
            <w:pPr>
              <w:spacing w:line="259" w:lineRule="auto"/>
              <w:ind w:left="56"/>
              <w:jc w:val="center"/>
            </w:pPr>
            <w:r>
              <w:rPr>
                <w:sz w:val="18"/>
                <w:szCs w:val="18"/>
              </w:rPr>
              <w:t>529296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C79BAB9" w14:textId="51757C7B" w:rsidR="00FF40B8" w:rsidRDefault="00FF40B8" w:rsidP="00FF40B8">
            <w:pPr>
              <w:spacing w:line="259" w:lineRule="auto"/>
              <w:ind w:left="55"/>
              <w:jc w:val="center"/>
            </w:pPr>
            <w:r>
              <w:rPr>
                <w:sz w:val="18"/>
                <w:szCs w:val="18"/>
              </w:rPr>
              <w:t>504080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4FD1B27" w14:textId="23355905" w:rsidR="00FF40B8" w:rsidRDefault="00FF40B8" w:rsidP="00FF40B8">
            <w:pPr>
              <w:spacing w:line="259" w:lineRule="auto"/>
              <w:ind w:left="56"/>
              <w:jc w:val="center"/>
            </w:pPr>
            <w:r>
              <w:rPr>
                <w:sz w:val="18"/>
                <w:szCs w:val="18"/>
              </w:rPr>
              <w:t>469113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D07A01B" w14:textId="50A4E297" w:rsidR="00FF40B8" w:rsidRDefault="00FF40B8" w:rsidP="00FF40B8">
            <w:pPr>
              <w:spacing w:line="259" w:lineRule="auto"/>
              <w:ind w:left="55"/>
              <w:jc w:val="center"/>
            </w:pPr>
            <w:r>
              <w:rPr>
                <w:sz w:val="18"/>
                <w:szCs w:val="18"/>
              </w:rPr>
              <w:t>423346</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bottom"/>
          </w:tcPr>
          <w:p w14:paraId="1895E5E1" w14:textId="6095A986" w:rsidR="00FF40B8" w:rsidRDefault="00FF40B8" w:rsidP="00FF40B8">
            <w:pPr>
              <w:spacing w:line="259" w:lineRule="auto"/>
              <w:ind w:left="56"/>
              <w:jc w:val="center"/>
            </w:pPr>
            <w:r>
              <w:rPr>
                <w:sz w:val="18"/>
                <w:szCs w:val="18"/>
              </w:rPr>
              <w:t>422252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A0B9CF" w14:textId="68955E62" w:rsidR="00FF40B8" w:rsidRPr="00921C44" w:rsidRDefault="00FF40B8" w:rsidP="00FF40B8">
            <w:pPr>
              <w:spacing w:line="259" w:lineRule="auto"/>
              <w:ind w:left="56"/>
              <w:jc w:val="center"/>
              <w:rPr>
                <w:sz w:val="18"/>
                <w:szCs w:val="18"/>
              </w:rPr>
            </w:pPr>
            <w:r w:rsidRPr="00364545">
              <w:rPr>
                <w:sz w:val="18"/>
              </w:rPr>
              <w:t>365838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052892" w14:textId="4552B43C" w:rsidR="00FF40B8" w:rsidRPr="00921C44" w:rsidRDefault="00FF40B8" w:rsidP="00FF40B8">
            <w:pPr>
              <w:spacing w:line="259" w:lineRule="auto"/>
              <w:ind w:left="56"/>
              <w:jc w:val="center"/>
              <w:rPr>
                <w:sz w:val="18"/>
                <w:szCs w:val="18"/>
              </w:rPr>
            </w:pPr>
            <w:r w:rsidRPr="00364545">
              <w:rPr>
                <w:sz w:val="18"/>
              </w:rPr>
              <w:t>363349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F231DE" w14:textId="10D94B73" w:rsidR="00FF40B8" w:rsidRPr="00921C44" w:rsidRDefault="00FF40B8" w:rsidP="00FF40B8">
            <w:pPr>
              <w:spacing w:line="259" w:lineRule="auto"/>
              <w:ind w:left="56"/>
              <w:jc w:val="center"/>
              <w:rPr>
                <w:sz w:val="18"/>
                <w:szCs w:val="18"/>
              </w:rPr>
            </w:pPr>
            <w:r w:rsidRPr="00364545">
              <w:rPr>
                <w:sz w:val="18"/>
              </w:rPr>
              <w:t>340618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7000C5" w14:textId="7B303298" w:rsidR="00FF40B8" w:rsidRPr="00921C44" w:rsidRDefault="00FF40B8" w:rsidP="00FF40B8">
            <w:pPr>
              <w:spacing w:line="259" w:lineRule="auto"/>
              <w:ind w:left="56"/>
              <w:jc w:val="center"/>
              <w:rPr>
                <w:sz w:val="18"/>
                <w:szCs w:val="18"/>
              </w:rPr>
            </w:pPr>
            <w:r w:rsidRPr="00364545">
              <w:rPr>
                <w:sz w:val="18"/>
              </w:rPr>
              <w:t>332886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DA476D" w14:textId="0311FDCA" w:rsidR="00FF40B8" w:rsidRPr="00921C44" w:rsidRDefault="00FF40B8" w:rsidP="00FF40B8">
            <w:pPr>
              <w:spacing w:line="259" w:lineRule="auto"/>
              <w:ind w:left="56"/>
              <w:jc w:val="center"/>
              <w:rPr>
                <w:sz w:val="18"/>
                <w:szCs w:val="18"/>
              </w:rPr>
            </w:pPr>
            <w:r w:rsidRPr="00364545">
              <w:rPr>
                <w:sz w:val="18"/>
              </w:rPr>
              <w:t>317026</w:t>
            </w:r>
          </w:p>
        </w:tc>
      </w:tr>
      <w:tr w:rsidR="00FF40B8" w14:paraId="60B57313" w14:textId="77777777" w:rsidTr="00881BEF">
        <w:trPr>
          <w:trHeight w:val="346"/>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2F4CE085" w14:textId="77777777" w:rsidR="00FF40B8" w:rsidRDefault="00FF40B8" w:rsidP="00FF40B8">
            <w:pPr>
              <w:spacing w:line="259" w:lineRule="auto"/>
              <w:jc w:val="left"/>
            </w:pPr>
            <w:r>
              <w:rPr>
                <w:i/>
                <w:sz w:val="18"/>
              </w:rPr>
              <w:t xml:space="preserve">Pour mémoire :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34E17BF" w14:textId="77777777" w:rsidR="00FF40B8" w:rsidRDefault="00FF40B8" w:rsidP="00FF40B8">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5F1D486" w14:textId="77777777" w:rsidR="00FF40B8" w:rsidRPr="00AB5735" w:rsidRDefault="00FF40B8" w:rsidP="00FF40B8">
            <w:pPr>
              <w:spacing w:line="259" w:lineRule="auto"/>
              <w:ind w:left="20"/>
              <w:jc w:val="center"/>
              <w:rPr>
                <w:i/>
                <w:sz w:val="18"/>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973063A" w14:textId="77777777" w:rsidR="00FF40B8" w:rsidRDefault="00FF40B8" w:rsidP="00FF40B8">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CC2A7FB" w14:textId="77777777" w:rsidR="00FF40B8" w:rsidRDefault="00FF40B8" w:rsidP="00FF40B8">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2B2F18C" w14:textId="77777777" w:rsidR="00FF40B8" w:rsidRDefault="00FF40B8" w:rsidP="00FF40B8">
            <w:pPr>
              <w:spacing w:line="259" w:lineRule="auto"/>
              <w:ind w:left="20"/>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5E94586" w14:textId="77777777" w:rsidR="00FF40B8" w:rsidRDefault="00FF40B8" w:rsidP="00FF40B8">
            <w:pPr>
              <w:spacing w:line="259" w:lineRule="auto"/>
              <w:ind w:left="18"/>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11D1254" w14:textId="77777777" w:rsidR="00FF40B8" w:rsidRDefault="00FF40B8" w:rsidP="00FF40B8">
            <w:pPr>
              <w:spacing w:line="259" w:lineRule="auto"/>
              <w:ind w:left="20"/>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354E286" w14:textId="77777777" w:rsidR="00FF40B8" w:rsidRDefault="00FF40B8" w:rsidP="00FF40B8">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A832FDC" w14:textId="77777777" w:rsidR="00FF40B8" w:rsidRDefault="00FF40B8" w:rsidP="00FF40B8">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5CFC418" w14:textId="77777777" w:rsidR="00FF40B8" w:rsidRDefault="00FF40B8" w:rsidP="00FF40B8">
            <w:pPr>
              <w:spacing w:line="259" w:lineRule="auto"/>
              <w:ind w:left="19"/>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EA296E5" w14:textId="77777777" w:rsidR="00FF40B8" w:rsidRDefault="00FF40B8" w:rsidP="00FF40B8">
            <w:pPr>
              <w:spacing w:line="259" w:lineRule="auto"/>
              <w:ind w:left="19"/>
              <w:jc w:val="center"/>
              <w:rPr>
                <w:i/>
                <w:sz w:val="18"/>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E83C8A7" w14:textId="77777777" w:rsidR="00FF40B8" w:rsidRDefault="00FF40B8" w:rsidP="00FF40B8">
            <w:pPr>
              <w:spacing w:line="259" w:lineRule="auto"/>
              <w:ind w:left="19"/>
              <w:jc w:val="center"/>
              <w:rPr>
                <w:i/>
                <w:sz w:val="18"/>
              </w:rPr>
            </w:pPr>
          </w:p>
        </w:tc>
      </w:tr>
      <w:tr w:rsidR="00FF40B8" w14:paraId="6BBE2B39" w14:textId="77777777" w:rsidTr="00881BEF">
        <w:trPr>
          <w:trHeight w:val="346"/>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2C0C99E3" w14:textId="77777777" w:rsidR="00FF40B8" w:rsidRDefault="00FF40B8" w:rsidP="00FF40B8">
            <w:pPr>
              <w:spacing w:line="259" w:lineRule="auto"/>
              <w:jc w:val="left"/>
            </w:pPr>
            <w:r>
              <w:rPr>
                <w:i/>
                <w:sz w:val="18"/>
              </w:rPr>
              <w:t xml:space="preserve">Soutes internationales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A786836" w14:textId="6441D891" w:rsidR="00FF40B8" w:rsidRPr="00921C44" w:rsidRDefault="00FF40B8" w:rsidP="00FF40B8">
            <w:pPr>
              <w:spacing w:line="259" w:lineRule="auto"/>
              <w:ind w:left="56"/>
              <w:jc w:val="center"/>
              <w:rPr>
                <w:i/>
                <w:sz w:val="18"/>
                <w:szCs w:val="18"/>
              </w:rPr>
            </w:pPr>
            <w:r>
              <w:rPr>
                <w:sz w:val="18"/>
                <w:szCs w:val="18"/>
              </w:rPr>
              <w:t>16921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842DC25" w14:textId="26BA240E" w:rsidR="00FF40B8" w:rsidRPr="00AB5735" w:rsidRDefault="00FF40B8" w:rsidP="00FF40B8">
            <w:pPr>
              <w:spacing w:line="259" w:lineRule="auto"/>
              <w:ind w:left="56"/>
              <w:jc w:val="center"/>
              <w:rPr>
                <w:i/>
                <w:sz w:val="18"/>
                <w:szCs w:val="18"/>
              </w:rPr>
            </w:pPr>
            <w:r>
              <w:rPr>
                <w:sz w:val="18"/>
                <w:szCs w:val="18"/>
              </w:rPr>
              <w:t>17908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8047373" w14:textId="4E05E1FC" w:rsidR="00FF40B8" w:rsidRPr="00921C44" w:rsidRDefault="00FF40B8" w:rsidP="00FF40B8">
            <w:pPr>
              <w:spacing w:line="259" w:lineRule="auto"/>
              <w:ind w:left="56"/>
              <w:jc w:val="center"/>
              <w:rPr>
                <w:i/>
                <w:sz w:val="18"/>
                <w:szCs w:val="18"/>
              </w:rPr>
            </w:pPr>
            <w:r>
              <w:rPr>
                <w:sz w:val="18"/>
                <w:szCs w:val="18"/>
              </w:rPr>
              <w:t>23807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DCDCDEF" w14:textId="52BB6387" w:rsidR="00FF40B8" w:rsidRPr="00921C44" w:rsidRDefault="00FF40B8" w:rsidP="00FF40B8">
            <w:pPr>
              <w:spacing w:line="259" w:lineRule="auto"/>
              <w:ind w:left="56"/>
              <w:jc w:val="center"/>
              <w:rPr>
                <w:i/>
                <w:sz w:val="18"/>
                <w:szCs w:val="18"/>
              </w:rPr>
            </w:pPr>
            <w:r>
              <w:rPr>
                <w:sz w:val="18"/>
                <w:szCs w:val="18"/>
              </w:rPr>
              <w:t>24733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B62046A" w14:textId="79E609DB" w:rsidR="00FF40B8" w:rsidRPr="00921C44" w:rsidRDefault="00FF40B8" w:rsidP="00FF40B8">
            <w:pPr>
              <w:spacing w:line="259" w:lineRule="auto"/>
              <w:ind w:left="56"/>
              <w:jc w:val="center"/>
              <w:rPr>
                <w:i/>
                <w:sz w:val="18"/>
                <w:szCs w:val="18"/>
              </w:rPr>
            </w:pPr>
            <w:r w:rsidRPr="00634E4C">
              <w:rPr>
                <w:sz w:val="18"/>
              </w:rPr>
              <w:t>24227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A50585B" w14:textId="09151245" w:rsidR="00FF40B8" w:rsidRPr="00921C44" w:rsidRDefault="00FF40B8" w:rsidP="00FF40B8">
            <w:pPr>
              <w:spacing w:line="259" w:lineRule="auto"/>
              <w:ind w:left="56"/>
              <w:jc w:val="center"/>
              <w:rPr>
                <w:i/>
                <w:sz w:val="18"/>
                <w:szCs w:val="18"/>
              </w:rPr>
            </w:pPr>
            <w:r w:rsidRPr="00634E4C">
              <w:rPr>
                <w:sz w:val="18"/>
              </w:rPr>
              <w:t>23316</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75A9304" w14:textId="086A905A" w:rsidR="00FF40B8" w:rsidRPr="00921C44" w:rsidRDefault="00FF40B8" w:rsidP="00FF40B8">
            <w:pPr>
              <w:spacing w:line="259" w:lineRule="auto"/>
              <w:ind w:left="56"/>
              <w:jc w:val="center"/>
              <w:rPr>
                <w:i/>
                <w:sz w:val="18"/>
                <w:szCs w:val="18"/>
              </w:rPr>
            </w:pPr>
            <w:r w:rsidRPr="00634E4C">
              <w:rPr>
                <w:sz w:val="18"/>
              </w:rPr>
              <w:t>24791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8C6F94F" w14:textId="7B307168" w:rsidR="00FF40B8" w:rsidRPr="00921C44" w:rsidRDefault="00FF40B8" w:rsidP="00FF40B8">
            <w:pPr>
              <w:spacing w:line="259" w:lineRule="auto"/>
              <w:ind w:left="56"/>
              <w:jc w:val="center"/>
              <w:rPr>
                <w:i/>
                <w:sz w:val="18"/>
                <w:szCs w:val="18"/>
              </w:rPr>
            </w:pPr>
            <w:r w:rsidRPr="00364545">
              <w:rPr>
                <w:i/>
                <w:sz w:val="18"/>
              </w:rPr>
              <w:t>9647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4574B74" w14:textId="0C7BA323" w:rsidR="00FF40B8" w:rsidRPr="00921C44" w:rsidRDefault="00FF40B8" w:rsidP="00FF40B8">
            <w:pPr>
              <w:spacing w:line="259" w:lineRule="auto"/>
              <w:ind w:left="56"/>
              <w:jc w:val="center"/>
              <w:rPr>
                <w:i/>
                <w:sz w:val="18"/>
                <w:szCs w:val="18"/>
              </w:rPr>
            </w:pPr>
            <w:r w:rsidRPr="00364545">
              <w:rPr>
                <w:i/>
                <w:sz w:val="18"/>
              </w:rPr>
              <w:t>23890</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3F66F5E" w14:textId="7E2E2F08" w:rsidR="00FF40B8" w:rsidRPr="00921C44" w:rsidRDefault="00FF40B8" w:rsidP="00FF40B8">
            <w:pPr>
              <w:spacing w:line="259" w:lineRule="auto"/>
              <w:ind w:left="56"/>
              <w:jc w:val="center"/>
              <w:rPr>
                <w:i/>
                <w:sz w:val="18"/>
                <w:szCs w:val="18"/>
              </w:rPr>
            </w:pPr>
            <w:r w:rsidRPr="00364545">
              <w:rPr>
                <w:i/>
                <w:sz w:val="18"/>
              </w:rPr>
              <w:t>24424</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01B34E6" w14:textId="4CCF4462" w:rsidR="00FF40B8" w:rsidRPr="00921C44" w:rsidRDefault="00FF40B8" w:rsidP="00FF40B8">
            <w:pPr>
              <w:spacing w:line="259" w:lineRule="auto"/>
              <w:ind w:left="56"/>
              <w:jc w:val="center"/>
              <w:rPr>
                <w:i/>
                <w:sz w:val="18"/>
                <w:szCs w:val="18"/>
              </w:rPr>
            </w:pPr>
            <w:r w:rsidRPr="00364545">
              <w:rPr>
                <w:i/>
                <w:sz w:val="18"/>
              </w:rPr>
              <w:t>24881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EC94DE5" w14:textId="467F54D1" w:rsidR="00FF40B8" w:rsidRPr="00921C44" w:rsidRDefault="00FF40B8" w:rsidP="00FF40B8">
            <w:pPr>
              <w:spacing w:line="259" w:lineRule="auto"/>
              <w:ind w:left="56"/>
              <w:jc w:val="center"/>
              <w:rPr>
                <w:i/>
                <w:sz w:val="18"/>
                <w:szCs w:val="18"/>
              </w:rPr>
            </w:pPr>
            <w:r w:rsidRPr="00364545">
              <w:rPr>
                <w:i/>
                <w:sz w:val="18"/>
              </w:rPr>
              <w:t>26319</w:t>
            </w:r>
          </w:p>
        </w:tc>
      </w:tr>
      <w:tr w:rsidR="00FF40B8" w14:paraId="78ECD0AF" w14:textId="77777777" w:rsidTr="00881BEF">
        <w:trPr>
          <w:trHeight w:val="343"/>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798D0C29" w14:textId="77777777" w:rsidR="00FF40B8" w:rsidRDefault="00FF40B8" w:rsidP="00FF40B8">
            <w:pPr>
              <w:spacing w:line="259" w:lineRule="auto"/>
              <w:jc w:val="left"/>
            </w:pPr>
            <w:r>
              <w:rPr>
                <w:i/>
                <w:sz w:val="18"/>
              </w:rPr>
              <w:t xml:space="preserve">Soutes aviation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31874CF" w14:textId="1DE5C160" w:rsidR="00FF40B8" w:rsidRPr="00921C44" w:rsidRDefault="00FF40B8" w:rsidP="00FF40B8">
            <w:pPr>
              <w:spacing w:line="259" w:lineRule="auto"/>
              <w:ind w:left="56"/>
              <w:jc w:val="center"/>
              <w:rPr>
                <w:i/>
                <w:sz w:val="18"/>
                <w:szCs w:val="18"/>
              </w:rPr>
            </w:pPr>
            <w:r>
              <w:rPr>
                <w:sz w:val="18"/>
                <w:szCs w:val="18"/>
              </w:rPr>
              <w:t>8880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C46030A" w14:textId="72946A13" w:rsidR="00FF40B8" w:rsidRPr="00AB5735" w:rsidRDefault="00FF40B8" w:rsidP="00FF40B8">
            <w:pPr>
              <w:spacing w:line="259" w:lineRule="auto"/>
              <w:ind w:left="56"/>
              <w:jc w:val="center"/>
              <w:rPr>
                <w:i/>
                <w:sz w:val="18"/>
                <w:szCs w:val="18"/>
              </w:rPr>
            </w:pPr>
            <w:r>
              <w:rPr>
                <w:sz w:val="18"/>
                <w:szCs w:val="18"/>
              </w:rPr>
              <w:t>10709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4EF684E" w14:textId="42B65D6D" w:rsidR="00FF40B8" w:rsidRPr="00921C44" w:rsidRDefault="00FF40B8" w:rsidP="00FF40B8">
            <w:pPr>
              <w:spacing w:line="259" w:lineRule="auto"/>
              <w:ind w:left="56"/>
              <w:jc w:val="center"/>
              <w:rPr>
                <w:i/>
                <w:sz w:val="18"/>
                <w:szCs w:val="18"/>
              </w:rPr>
            </w:pPr>
            <w:r>
              <w:rPr>
                <w:sz w:val="18"/>
                <w:szCs w:val="18"/>
              </w:rPr>
              <w:t>14243</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F8151B9" w14:textId="692B089E" w:rsidR="00FF40B8" w:rsidRPr="00921C44" w:rsidRDefault="00FF40B8" w:rsidP="00FF40B8">
            <w:pPr>
              <w:spacing w:line="259" w:lineRule="auto"/>
              <w:ind w:left="56"/>
              <w:jc w:val="center"/>
              <w:rPr>
                <w:i/>
                <w:sz w:val="18"/>
                <w:szCs w:val="18"/>
              </w:rPr>
            </w:pPr>
            <w:r>
              <w:rPr>
                <w:sz w:val="18"/>
                <w:szCs w:val="18"/>
              </w:rPr>
              <w:t>15862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F291ACB" w14:textId="32F6966D" w:rsidR="00FF40B8" w:rsidRPr="00921C44" w:rsidRDefault="00FF40B8" w:rsidP="00FF40B8">
            <w:pPr>
              <w:spacing w:line="259" w:lineRule="auto"/>
              <w:ind w:left="56"/>
              <w:jc w:val="center"/>
              <w:rPr>
                <w:i/>
                <w:sz w:val="18"/>
                <w:szCs w:val="18"/>
              </w:rPr>
            </w:pPr>
            <w:r w:rsidRPr="00634E4C">
              <w:rPr>
                <w:sz w:val="18"/>
              </w:rPr>
              <w:t>16227</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6F5CFDC" w14:textId="38F5A532" w:rsidR="00FF40B8" w:rsidRPr="00921C44" w:rsidRDefault="00FF40B8" w:rsidP="00FF40B8">
            <w:pPr>
              <w:spacing w:line="259" w:lineRule="auto"/>
              <w:ind w:left="56"/>
              <w:jc w:val="center"/>
              <w:rPr>
                <w:i/>
                <w:sz w:val="18"/>
                <w:szCs w:val="18"/>
              </w:rPr>
            </w:pPr>
            <w:r w:rsidRPr="00634E4C">
              <w:rPr>
                <w:sz w:val="18"/>
              </w:rPr>
              <w:t>17705</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F341D55" w14:textId="42CF4196" w:rsidR="00FF40B8" w:rsidRPr="00921C44" w:rsidRDefault="00FF40B8" w:rsidP="00FF40B8">
            <w:pPr>
              <w:spacing w:line="259" w:lineRule="auto"/>
              <w:ind w:left="56"/>
              <w:jc w:val="center"/>
              <w:rPr>
                <w:i/>
                <w:sz w:val="18"/>
                <w:szCs w:val="18"/>
              </w:rPr>
            </w:pPr>
            <w:r w:rsidRPr="00634E4C">
              <w:rPr>
                <w:sz w:val="18"/>
              </w:rPr>
              <w:t>19202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D565419" w14:textId="2413E9D7" w:rsidR="00FF40B8" w:rsidRPr="00921C44" w:rsidRDefault="00FF40B8" w:rsidP="00FF40B8">
            <w:pPr>
              <w:spacing w:line="259" w:lineRule="auto"/>
              <w:ind w:left="56"/>
              <w:jc w:val="center"/>
              <w:rPr>
                <w:i/>
                <w:sz w:val="18"/>
                <w:szCs w:val="18"/>
              </w:rPr>
            </w:pPr>
            <w:r w:rsidRPr="00364545">
              <w:rPr>
                <w:i/>
                <w:sz w:val="18"/>
              </w:rPr>
              <w:t>4898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3E4ED44" w14:textId="2AFEA87C" w:rsidR="00FF40B8" w:rsidRPr="00921C44" w:rsidRDefault="00FF40B8" w:rsidP="00FF40B8">
            <w:pPr>
              <w:spacing w:line="259" w:lineRule="auto"/>
              <w:ind w:left="56"/>
              <w:jc w:val="center"/>
              <w:rPr>
                <w:i/>
                <w:sz w:val="18"/>
                <w:szCs w:val="18"/>
              </w:rPr>
            </w:pPr>
            <w:r w:rsidRPr="00364545">
              <w:rPr>
                <w:i/>
                <w:sz w:val="18"/>
              </w:rPr>
              <w:t>19148</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06F2DA8" w14:textId="06926C8D" w:rsidR="00FF40B8" w:rsidRPr="00921C44" w:rsidRDefault="00FF40B8" w:rsidP="00FF40B8">
            <w:pPr>
              <w:spacing w:line="259" w:lineRule="auto"/>
              <w:ind w:left="56"/>
              <w:jc w:val="center"/>
              <w:rPr>
                <w:i/>
                <w:sz w:val="18"/>
                <w:szCs w:val="18"/>
              </w:rPr>
            </w:pPr>
            <w:r w:rsidRPr="00364545">
              <w:rPr>
                <w:i/>
                <w:sz w:val="18"/>
              </w:rPr>
              <w:t>19698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4376BB7" w14:textId="3A5B05FC" w:rsidR="00FF40B8" w:rsidRPr="00921C44" w:rsidRDefault="00FF40B8" w:rsidP="00FF40B8">
            <w:pPr>
              <w:spacing w:line="259" w:lineRule="auto"/>
              <w:ind w:left="56"/>
              <w:jc w:val="center"/>
              <w:rPr>
                <w:i/>
                <w:sz w:val="18"/>
                <w:szCs w:val="18"/>
              </w:rPr>
            </w:pPr>
            <w:r w:rsidRPr="00364545">
              <w:rPr>
                <w:i/>
                <w:sz w:val="18"/>
              </w:rPr>
              <w:t>20165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D2BEB40" w14:textId="51016731" w:rsidR="00FF40B8" w:rsidRPr="00921C44" w:rsidRDefault="00FF40B8" w:rsidP="00FF40B8">
            <w:pPr>
              <w:spacing w:line="259" w:lineRule="auto"/>
              <w:ind w:left="56"/>
              <w:jc w:val="center"/>
              <w:rPr>
                <w:i/>
                <w:sz w:val="18"/>
                <w:szCs w:val="18"/>
              </w:rPr>
            </w:pPr>
            <w:r w:rsidRPr="00364545">
              <w:rPr>
                <w:i/>
                <w:sz w:val="18"/>
              </w:rPr>
              <w:t>21635</w:t>
            </w:r>
          </w:p>
        </w:tc>
      </w:tr>
      <w:tr w:rsidR="00FF40B8" w14:paraId="38C32F41" w14:textId="77777777" w:rsidTr="00881BEF">
        <w:trPr>
          <w:trHeight w:val="345"/>
        </w:trPr>
        <w:tc>
          <w:tcPr>
            <w:tcW w:w="1405" w:type="dxa"/>
            <w:tcBorders>
              <w:top w:val="single" w:sz="2" w:space="0" w:color="000000"/>
              <w:left w:val="single" w:sz="2" w:space="0" w:color="000000"/>
              <w:bottom w:val="single" w:sz="2" w:space="0" w:color="000000"/>
              <w:right w:val="single" w:sz="2" w:space="0" w:color="000000"/>
            </w:tcBorders>
            <w:shd w:val="clear" w:color="auto" w:fill="E5EAF3"/>
          </w:tcPr>
          <w:p w14:paraId="300ED2FE" w14:textId="77777777" w:rsidR="00FF40B8" w:rsidRDefault="00FF40B8" w:rsidP="00FF40B8">
            <w:pPr>
              <w:spacing w:line="259" w:lineRule="auto"/>
              <w:jc w:val="left"/>
            </w:pPr>
            <w:r>
              <w:rPr>
                <w:i/>
                <w:sz w:val="18"/>
              </w:rPr>
              <w:t xml:space="preserve">Soutes maritimes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3C13935" w14:textId="3DE0AA0D" w:rsidR="00FF40B8" w:rsidRPr="00921C44" w:rsidRDefault="00FF40B8" w:rsidP="00FF40B8">
            <w:pPr>
              <w:spacing w:line="259" w:lineRule="auto"/>
              <w:ind w:left="56"/>
              <w:jc w:val="center"/>
              <w:rPr>
                <w:i/>
                <w:sz w:val="18"/>
                <w:szCs w:val="18"/>
              </w:rPr>
            </w:pPr>
            <w:r>
              <w:rPr>
                <w:sz w:val="18"/>
                <w:szCs w:val="18"/>
              </w:rPr>
              <w:t>8041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6BC8569" w14:textId="6C6CA811" w:rsidR="00FF40B8" w:rsidRPr="00AB5735" w:rsidRDefault="00FF40B8" w:rsidP="00FF40B8">
            <w:pPr>
              <w:spacing w:line="259" w:lineRule="auto"/>
              <w:ind w:left="56"/>
              <w:jc w:val="center"/>
              <w:rPr>
                <w:i/>
                <w:sz w:val="18"/>
                <w:szCs w:val="18"/>
              </w:rPr>
            </w:pPr>
            <w:r>
              <w:rPr>
                <w:sz w:val="18"/>
                <w:szCs w:val="18"/>
              </w:rPr>
              <w:t>7199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9570135" w14:textId="1F787F1A" w:rsidR="00FF40B8" w:rsidRPr="00921C44" w:rsidRDefault="00FF40B8" w:rsidP="00FF40B8">
            <w:pPr>
              <w:spacing w:line="259" w:lineRule="auto"/>
              <w:ind w:left="56"/>
              <w:jc w:val="center"/>
              <w:rPr>
                <w:i/>
                <w:sz w:val="18"/>
                <w:szCs w:val="18"/>
              </w:rPr>
            </w:pPr>
            <w:r>
              <w:rPr>
                <w:sz w:val="18"/>
                <w:szCs w:val="18"/>
              </w:rPr>
              <w:t>9564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9D635F4" w14:textId="6CB0C3B6" w:rsidR="00FF40B8" w:rsidRPr="00921C44" w:rsidRDefault="00FF40B8" w:rsidP="00FF40B8">
            <w:pPr>
              <w:spacing w:line="259" w:lineRule="auto"/>
              <w:ind w:left="56"/>
              <w:jc w:val="center"/>
              <w:rPr>
                <w:i/>
                <w:sz w:val="18"/>
                <w:szCs w:val="18"/>
              </w:rPr>
            </w:pPr>
            <w:r w:rsidRPr="00634E4C">
              <w:rPr>
                <w:sz w:val="18"/>
              </w:rPr>
              <w:t>8871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9E0BA77" w14:textId="545110F5" w:rsidR="00FF40B8" w:rsidRPr="00921C44" w:rsidRDefault="00FF40B8" w:rsidP="00FF40B8">
            <w:pPr>
              <w:spacing w:line="259" w:lineRule="auto"/>
              <w:ind w:left="56"/>
              <w:jc w:val="center"/>
              <w:rPr>
                <w:i/>
                <w:sz w:val="18"/>
                <w:szCs w:val="18"/>
              </w:rPr>
            </w:pPr>
            <w:r w:rsidRPr="00634E4C">
              <w:rPr>
                <w:sz w:val="18"/>
              </w:rPr>
              <w:t>8001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D5E457D" w14:textId="450459F3" w:rsidR="00FF40B8" w:rsidRPr="00921C44" w:rsidRDefault="00FF40B8" w:rsidP="00FF40B8">
            <w:pPr>
              <w:spacing w:line="259" w:lineRule="auto"/>
              <w:ind w:left="56"/>
              <w:jc w:val="center"/>
              <w:rPr>
                <w:i/>
                <w:sz w:val="18"/>
                <w:szCs w:val="18"/>
              </w:rPr>
            </w:pPr>
            <w:r w:rsidRPr="00634E4C">
              <w:rPr>
                <w:sz w:val="18"/>
              </w:rPr>
              <w:t>5611</w:t>
            </w:r>
          </w:p>
        </w:tc>
        <w:tc>
          <w:tcPr>
            <w:tcW w:w="77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49CB995" w14:textId="52FB9C0A" w:rsidR="00FF40B8" w:rsidRPr="00921C44" w:rsidRDefault="00FF40B8" w:rsidP="00FF40B8">
            <w:pPr>
              <w:spacing w:line="259" w:lineRule="auto"/>
              <w:ind w:left="56"/>
              <w:jc w:val="center"/>
              <w:rPr>
                <w:i/>
                <w:sz w:val="18"/>
                <w:szCs w:val="18"/>
              </w:rPr>
            </w:pPr>
            <w:r w:rsidRPr="00634E4C">
              <w:rPr>
                <w:sz w:val="18"/>
              </w:rPr>
              <w:t>5589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B8855A2" w14:textId="199E0087" w:rsidR="00FF40B8" w:rsidRPr="00921C44" w:rsidRDefault="00FF40B8" w:rsidP="00FF40B8">
            <w:pPr>
              <w:spacing w:line="259" w:lineRule="auto"/>
              <w:ind w:left="56"/>
              <w:jc w:val="center"/>
              <w:rPr>
                <w:i/>
                <w:sz w:val="18"/>
                <w:szCs w:val="18"/>
              </w:rPr>
            </w:pPr>
            <w:r w:rsidRPr="00364545">
              <w:rPr>
                <w:i/>
                <w:sz w:val="18"/>
              </w:rPr>
              <w:t>4750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849ECCA" w14:textId="5D870D2A" w:rsidR="00FF40B8" w:rsidRPr="00921C44" w:rsidRDefault="00FF40B8" w:rsidP="00FF40B8">
            <w:pPr>
              <w:spacing w:line="259" w:lineRule="auto"/>
              <w:ind w:left="56"/>
              <w:jc w:val="center"/>
              <w:rPr>
                <w:i/>
                <w:sz w:val="18"/>
                <w:szCs w:val="18"/>
              </w:rPr>
            </w:pPr>
            <w:r w:rsidRPr="00364545">
              <w:rPr>
                <w:i/>
                <w:sz w:val="18"/>
              </w:rPr>
              <w:t>4742</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70DB90E" w14:textId="2110E119" w:rsidR="00FF40B8" w:rsidRPr="00921C44" w:rsidRDefault="00FF40B8" w:rsidP="00FF40B8">
            <w:pPr>
              <w:spacing w:line="259" w:lineRule="auto"/>
              <w:ind w:left="56"/>
              <w:jc w:val="center"/>
              <w:rPr>
                <w:i/>
                <w:sz w:val="18"/>
                <w:szCs w:val="18"/>
              </w:rPr>
            </w:pPr>
            <w:r w:rsidRPr="00364545">
              <w:rPr>
                <w:i/>
                <w:sz w:val="18"/>
              </w:rPr>
              <w:t>4726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481265A" w14:textId="1F983195" w:rsidR="00FF40B8" w:rsidRPr="00921C44" w:rsidRDefault="00FF40B8" w:rsidP="00FF40B8">
            <w:pPr>
              <w:spacing w:line="259" w:lineRule="auto"/>
              <w:ind w:left="56"/>
              <w:jc w:val="center"/>
              <w:rPr>
                <w:i/>
                <w:sz w:val="18"/>
                <w:szCs w:val="18"/>
              </w:rPr>
            </w:pPr>
            <w:r w:rsidRPr="00364545">
              <w:rPr>
                <w:i/>
                <w:sz w:val="18"/>
              </w:rPr>
              <w:t>4716</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9A9237D" w14:textId="2CB2EF21" w:rsidR="00FF40B8" w:rsidRPr="00921C44" w:rsidRDefault="00FF40B8" w:rsidP="00FF40B8">
            <w:pPr>
              <w:spacing w:line="259" w:lineRule="auto"/>
              <w:ind w:left="56"/>
              <w:jc w:val="center"/>
              <w:rPr>
                <w:i/>
                <w:sz w:val="18"/>
                <w:szCs w:val="18"/>
              </w:rPr>
            </w:pPr>
            <w:r w:rsidRPr="00364545">
              <w:rPr>
                <w:i/>
                <w:sz w:val="18"/>
              </w:rPr>
              <w:t>4685</w:t>
            </w:r>
          </w:p>
        </w:tc>
      </w:tr>
    </w:tbl>
    <w:p w14:paraId="4492169D" w14:textId="77777777" w:rsidR="001021CB" w:rsidRDefault="001021CB" w:rsidP="001021CB">
      <w:pPr>
        <w:pStyle w:val="Default"/>
        <w:rPr>
          <w:sz w:val="16"/>
          <w:szCs w:val="16"/>
        </w:rPr>
      </w:pPr>
      <w:r>
        <w:rPr>
          <w:i/>
          <w:iCs/>
          <w:sz w:val="16"/>
          <w:szCs w:val="16"/>
        </w:rPr>
        <w:t xml:space="preserve">Lecture du tableau : Énergie = catégorie CRF1 ; procédés industriels et solvants = catégorie CRF2 et 3 ; agriculture (hors énergie) = catégorie CRF4 ; traitements des déchets = catégorie CRF 6. </w:t>
      </w:r>
    </w:p>
    <w:p w14:paraId="3773671C" w14:textId="75388EF1" w:rsidR="00631506" w:rsidRDefault="00631506" w:rsidP="0045532B">
      <w:pPr>
        <w:pStyle w:val="Caption"/>
      </w:pPr>
      <w:bookmarkStart w:id="528" w:name="_Toc123916505"/>
      <w:r>
        <w:t xml:space="preserve">Tableau </w:t>
      </w:r>
      <w:fldSimple w:instr=" SEQ Tableau \* ARABIC ">
        <w:r w:rsidR="00AB51D9">
          <w:rPr>
            <w:noProof/>
          </w:rPr>
          <w:t>13</w:t>
        </w:r>
      </w:fldSimple>
      <w:r>
        <w:t xml:space="preserve"> : </w:t>
      </w:r>
      <w:r w:rsidR="001021CB" w:rsidRPr="00BA4A6C">
        <w:t>Projections d’émissions de GES par secteur d’activité (en kt</w:t>
      </w:r>
      <w:r w:rsidR="007F09F7">
        <w:t>CO</w:t>
      </w:r>
      <w:r w:rsidR="007F09F7" w:rsidRPr="007F09F7">
        <w:rPr>
          <w:vertAlign w:val="subscript"/>
        </w:rPr>
        <w:t>2</w:t>
      </w:r>
      <w:r w:rsidR="004F1EC8" w:rsidRPr="004F1EC8">
        <w:rPr>
          <w:vertAlign w:val="subscript"/>
        </w:rPr>
        <w:t>e</w:t>
      </w:r>
      <w:r w:rsidR="001021CB" w:rsidRPr="00BA4A6C">
        <w:t>) au périmètre Kyoto dans le scénario AME (avec mesures existantes)</w:t>
      </w:r>
      <w:bookmarkEnd w:id="528"/>
    </w:p>
    <w:p w14:paraId="7A907248" w14:textId="193756DF" w:rsidR="001021CB" w:rsidRPr="00BA4A6C" w:rsidRDefault="001021CB" w:rsidP="0045532B">
      <w:pPr>
        <w:pStyle w:val="Caption"/>
      </w:pPr>
      <w:r>
        <w:t xml:space="preserve">Source : </w:t>
      </w:r>
      <w:r w:rsidRPr="00BA4A6C">
        <w:t>Inventaire CCNUCC, Citepa/MTE, soumission 20</w:t>
      </w:r>
      <w:r w:rsidR="00FF40B8">
        <w:t>22</w:t>
      </w:r>
      <w:r w:rsidR="006B4B07">
        <w:t xml:space="preserve"> </w:t>
      </w:r>
      <w:r w:rsidRPr="00BA4A6C">
        <w:t>et projections d’émis</w:t>
      </w:r>
      <w:r w:rsidR="006B4B07">
        <w:t>sions MTE, 2021</w:t>
      </w:r>
    </w:p>
    <w:p w14:paraId="127D3782" w14:textId="77777777" w:rsidR="001021CB" w:rsidRDefault="001021CB" w:rsidP="001021CB">
      <w:pPr>
        <w:rPr>
          <w:sz w:val="18"/>
          <w:szCs w:val="18"/>
        </w:rPr>
      </w:pPr>
    </w:p>
    <w:p w14:paraId="68C739BC" w14:textId="77777777" w:rsidR="001021CB" w:rsidRPr="00D2565E" w:rsidRDefault="001021CB" w:rsidP="001021CB">
      <w:pPr>
        <w:rPr>
          <w:i/>
          <w:iCs/>
          <w:sz w:val="16"/>
          <w:szCs w:val="16"/>
        </w:rPr>
      </w:pPr>
    </w:p>
    <w:p w14:paraId="3DFED463" w14:textId="77777777" w:rsidR="001021CB" w:rsidRDefault="001021CB" w:rsidP="001021CB">
      <w:pPr>
        <w:rPr>
          <w:sz w:val="18"/>
          <w:szCs w:val="18"/>
        </w:rPr>
      </w:pPr>
    </w:p>
    <w:p w14:paraId="7426B3CD" w14:textId="77777777" w:rsidR="001021CB" w:rsidRDefault="001021CB" w:rsidP="001021CB">
      <w:pPr>
        <w:rPr>
          <w:sz w:val="18"/>
          <w:szCs w:val="18"/>
        </w:rPr>
      </w:pPr>
    </w:p>
    <w:p w14:paraId="0BCCB783" w14:textId="77777777" w:rsidR="001021CB" w:rsidRDefault="001021CB" w:rsidP="001021CB">
      <w:pPr>
        <w:rPr>
          <w:sz w:val="18"/>
          <w:szCs w:val="18"/>
        </w:rPr>
      </w:pPr>
    </w:p>
    <w:p w14:paraId="47A8CFC4" w14:textId="7B0C6267" w:rsidR="001021CB" w:rsidRDefault="001021CB" w:rsidP="001021CB">
      <w:pPr>
        <w:jc w:val="center"/>
        <w:rPr>
          <w:sz w:val="18"/>
          <w:szCs w:val="18"/>
        </w:rPr>
      </w:pPr>
    </w:p>
    <w:p w14:paraId="7C99B718" w14:textId="591B9F01" w:rsidR="00FF40B8" w:rsidRDefault="00FF40B8" w:rsidP="00261D3D">
      <w:pPr>
        <w:pStyle w:val="Caption"/>
        <w:jc w:val="center"/>
      </w:pPr>
      <w:bookmarkStart w:id="529" w:name="_Toc123916465"/>
      <w:r>
        <w:rPr>
          <w:noProof/>
        </w:rPr>
        <w:drawing>
          <wp:inline distT="0" distB="0" distL="0" distR="0" wp14:anchorId="13AFBBDD" wp14:editId="3176588F">
            <wp:extent cx="5886450" cy="2667000"/>
            <wp:effectExtent l="0" t="0" r="0" b="0"/>
            <wp:docPr id="28712" name="Graphique 28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0C2141B" w14:textId="0D7FD84D" w:rsidR="00631506" w:rsidRDefault="00631506" w:rsidP="0045532B">
      <w:pPr>
        <w:pStyle w:val="Caption"/>
      </w:pPr>
      <w:r>
        <w:t xml:space="preserve">Figure </w:t>
      </w:r>
      <w:fldSimple w:instr=" SEQ Figure \* ARABIC ">
        <w:r w:rsidR="00AB51D9">
          <w:rPr>
            <w:noProof/>
          </w:rPr>
          <w:t>54</w:t>
        </w:r>
      </w:fldSimple>
      <w:r>
        <w:t xml:space="preserve"> : </w:t>
      </w:r>
      <w:r w:rsidR="001021CB" w:rsidRPr="00BA4A6C">
        <w:t>Projection par secteur en kt</w:t>
      </w:r>
      <w:r w:rsidR="007F09F7">
        <w:t>CO</w:t>
      </w:r>
      <w:r w:rsidR="007F09F7" w:rsidRPr="007F09F7">
        <w:rPr>
          <w:vertAlign w:val="subscript"/>
        </w:rPr>
        <w:t>2</w:t>
      </w:r>
      <w:r w:rsidR="004F1EC8" w:rsidRPr="004F1EC8">
        <w:rPr>
          <w:color w:val="auto"/>
          <w:sz w:val="21"/>
          <w:szCs w:val="24"/>
          <w:vertAlign w:val="subscript"/>
        </w:rPr>
        <w:t>e</w:t>
      </w:r>
      <w:r w:rsidR="001021CB" w:rsidRPr="00BA4A6C">
        <w:t>, au format Kyoto, scénario AME</w:t>
      </w:r>
      <w:bookmarkEnd w:id="529"/>
      <w:r w:rsidR="001021CB" w:rsidRPr="00BA4A6C">
        <w:t xml:space="preserve"> </w:t>
      </w:r>
    </w:p>
    <w:p w14:paraId="5BD8531F" w14:textId="1C129CC9" w:rsidR="001021CB" w:rsidRPr="00BA4A6C" w:rsidRDefault="001021CB" w:rsidP="0045532B">
      <w:pPr>
        <w:pStyle w:val="Caption"/>
      </w:pPr>
      <w:r w:rsidRPr="00BA4A6C">
        <w:t>Source : Inventaire CCNUCC, Citepa/MTES, soumission 20</w:t>
      </w:r>
      <w:r w:rsidR="000046E5">
        <w:t>22</w:t>
      </w:r>
      <w:r w:rsidRPr="00BA4A6C">
        <w:t xml:space="preserve"> et projections d’émissions MTES, 2017</w:t>
      </w:r>
    </w:p>
    <w:p w14:paraId="14F9A61B" w14:textId="799A2361" w:rsidR="001021CB" w:rsidRDefault="001021CB" w:rsidP="001021CB">
      <w:pPr>
        <w:rPr>
          <w:sz w:val="18"/>
          <w:szCs w:val="18"/>
        </w:rPr>
      </w:pPr>
    </w:p>
    <w:p w14:paraId="294C447D" w14:textId="13137FF3" w:rsidR="0045532B" w:rsidRDefault="0045532B" w:rsidP="003F57EA">
      <w:pPr>
        <w:pStyle w:val="titreencadre"/>
        <w:numPr>
          <w:ilvl w:val="3"/>
          <w:numId w:val="78"/>
        </w:numPr>
      </w:pPr>
      <w:r>
        <w:t>AMS 2018</w:t>
      </w:r>
    </w:p>
    <w:tbl>
      <w:tblPr>
        <w:tblStyle w:val="TableGrid0"/>
        <w:tblW w:w="10708" w:type="dxa"/>
        <w:tblInd w:w="10" w:type="dxa"/>
        <w:tblLayout w:type="fixed"/>
        <w:tblCellMar>
          <w:top w:w="40" w:type="dxa"/>
          <w:left w:w="28" w:type="dxa"/>
          <w:right w:w="3" w:type="dxa"/>
        </w:tblCellMar>
        <w:tblLook w:val="04A0" w:firstRow="1" w:lastRow="0" w:firstColumn="1" w:lastColumn="0" w:noHBand="0" w:noVBand="1"/>
      </w:tblPr>
      <w:tblGrid>
        <w:gridCol w:w="1404"/>
        <w:gridCol w:w="775"/>
        <w:gridCol w:w="775"/>
        <w:gridCol w:w="775"/>
        <w:gridCol w:w="776"/>
        <w:gridCol w:w="775"/>
        <w:gridCol w:w="776"/>
        <w:gridCol w:w="775"/>
        <w:gridCol w:w="775"/>
        <w:gridCol w:w="775"/>
        <w:gridCol w:w="776"/>
        <w:gridCol w:w="775"/>
        <w:gridCol w:w="776"/>
      </w:tblGrid>
      <w:tr w:rsidR="000046E5" w14:paraId="6969A330" w14:textId="77777777" w:rsidTr="00261D3D">
        <w:trPr>
          <w:trHeight w:val="400"/>
        </w:trPr>
        <w:tc>
          <w:tcPr>
            <w:tcW w:w="1404" w:type="dxa"/>
            <w:tcBorders>
              <w:top w:val="single" w:sz="2" w:space="0" w:color="000000"/>
              <w:left w:val="single" w:sz="2" w:space="0" w:color="000000"/>
              <w:bottom w:val="single" w:sz="2" w:space="0" w:color="000000"/>
              <w:right w:val="single" w:sz="2" w:space="0" w:color="000000"/>
            </w:tcBorders>
            <w:shd w:val="clear" w:color="auto" w:fill="6D2A78"/>
          </w:tcPr>
          <w:p w14:paraId="0FD524B9" w14:textId="77777777" w:rsidR="000046E5" w:rsidRPr="00921C44" w:rsidRDefault="000046E5" w:rsidP="009947FF">
            <w:pPr>
              <w:spacing w:line="259" w:lineRule="auto"/>
              <w:rPr>
                <w:b/>
              </w:rPr>
            </w:pPr>
            <w:r>
              <w:rPr>
                <w:b/>
                <w:color w:val="FFFFFF" w:themeColor="background1"/>
              </w:rPr>
              <w:t>AMS 2018</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EEE8480" w14:textId="77777777" w:rsidR="000046E5" w:rsidRDefault="000046E5" w:rsidP="009947FF">
            <w:pPr>
              <w:spacing w:line="259" w:lineRule="auto"/>
              <w:ind w:right="28"/>
              <w:jc w:val="center"/>
            </w:pPr>
            <w:r>
              <w:rPr>
                <w:b/>
                <w:color w:val="FFFFFF"/>
                <w:sz w:val="18"/>
              </w:rPr>
              <w:t xml:space="preserve">1990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1F5E24A7" w14:textId="77777777" w:rsidR="000046E5" w:rsidRDefault="000046E5" w:rsidP="009947FF">
            <w:pPr>
              <w:spacing w:line="259" w:lineRule="auto"/>
              <w:ind w:right="26"/>
              <w:jc w:val="center"/>
              <w:rPr>
                <w:b/>
                <w:color w:val="FFFFFF"/>
                <w:sz w:val="18"/>
              </w:rPr>
            </w:pPr>
            <w:r>
              <w:rPr>
                <w:b/>
                <w:color w:val="FFFFFF"/>
                <w:sz w:val="18"/>
              </w:rPr>
              <w:t>1995</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9B0E1C6" w14:textId="77777777" w:rsidR="000046E5" w:rsidRDefault="000046E5" w:rsidP="009947FF">
            <w:pPr>
              <w:spacing w:line="259" w:lineRule="auto"/>
              <w:ind w:right="26"/>
              <w:jc w:val="center"/>
            </w:pPr>
            <w:r>
              <w:rPr>
                <w:b/>
                <w:color w:val="FFFFFF"/>
                <w:sz w:val="18"/>
              </w:rPr>
              <w:t xml:space="preserve">2000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11D2513C" w14:textId="77777777" w:rsidR="000046E5" w:rsidRDefault="000046E5" w:rsidP="009947FF">
            <w:pPr>
              <w:spacing w:line="259" w:lineRule="auto"/>
              <w:ind w:right="28"/>
              <w:jc w:val="center"/>
            </w:pPr>
            <w:r>
              <w:rPr>
                <w:b/>
                <w:color w:val="FFFFFF"/>
                <w:sz w:val="18"/>
              </w:rPr>
              <w:t xml:space="preserve">2005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4C831847" w14:textId="77777777" w:rsidR="000046E5" w:rsidRDefault="000046E5" w:rsidP="009947FF">
            <w:pPr>
              <w:spacing w:line="259" w:lineRule="auto"/>
              <w:ind w:right="26"/>
              <w:jc w:val="center"/>
            </w:pPr>
            <w:r>
              <w:rPr>
                <w:b/>
                <w:color w:val="FFFFFF"/>
                <w:sz w:val="18"/>
              </w:rPr>
              <w:t xml:space="preserve">2010 </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5C473F72" w14:textId="77777777" w:rsidR="000046E5" w:rsidRDefault="000046E5" w:rsidP="009947FF">
            <w:pPr>
              <w:spacing w:line="259" w:lineRule="auto"/>
              <w:ind w:right="28"/>
              <w:jc w:val="center"/>
            </w:pPr>
            <w:r>
              <w:rPr>
                <w:b/>
                <w:color w:val="FFFFFF"/>
                <w:sz w:val="18"/>
              </w:rPr>
              <w:t xml:space="preserve">2015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605BC873" w14:textId="41BA79B5" w:rsidR="000046E5" w:rsidRDefault="000046E5" w:rsidP="009947FF">
            <w:pPr>
              <w:spacing w:line="259" w:lineRule="auto"/>
              <w:ind w:right="28"/>
              <w:jc w:val="center"/>
              <w:rPr>
                <w:b/>
                <w:color w:val="FFFFFF"/>
                <w:sz w:val="18"/>
              </w:rPr>
            </w:pPr>
            <w:r>
              <w:rPr>
                <w:b/>
                <w:color w:val="FFFFFF"/>
                <w:sz w:val="18"/>
              </w:rPr>
              <w:t>2019</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459E895" w14:textId="1EEF60A8" w:rsidR="000046E5" w:rsidRDefault="000046E5" w:rsidP="009947FF">
            <w:pPr>
              <w:spacing w:line="259" w:lineRule="auto"/>
              <w:ind w:right="28"/>
              <w:jc w:val="center"/>
            </w:pPr>
            <w:r>
              <w:rPr>
                <w:b/>
                <w:color w:val="FFFFFF"/>
                <w:sz w:val="18"/>
              </w:rPr>
              <w:t xml:space="preserve">2020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783C72BE" w14:textId="77777777" w:rsidR="000046E5" w:rsidRDefault="000046E5" w:rsidP="009947FF">
            <w:pPr>
              <w:spacing w:line="259" w:lineRule="auto"/>
              <w:ind w:right="26"/>
              <w:jc w:val="center"/>
            </w:pPr>
            <w:r>
              <w:rPr>
                <w:b/>
                <w:color w:val="FFFFFF"/>
                <w:sz w:val="18"/>
              </w:rPr>
              <w:t>2025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420AE254" w14:textId="77777777" w:rsidR="000046E5" w:rsidRDefault="000046E5" w:rsidP="009947FF">
            <w:pPr>
              <w:spacing w:line="259" w:lineRule="auto"/>
              <w:ind w:right="27"/>
              <w:jc w:val="center"/>
            </w:pPr>
            <w:r>
              <w:rPr>
                <w:b/>
                <w:color w:val="FFFFFF"/>
                <w:sz w:val="18"/>
              </w:rPr>
              <w:t xml:space="preserve">2030 </w:t>
            </w:r>
          </w:p>
        </w:tc>
        <w:tc>
          <w:tcPr>
            <w:tcW w:w="775" w:type="dxa"/>
            <w:tcBorders>
              <w:top w:val="single" w:sz="2" w:space="0" w:color="000000"/>
              <w:left w:val="single" w:sz="2" w:space="0" w:color="000000"/>
              <w:bottom w:val="single" w:sz="2" w:space="0" w:color="000000"/>
              <w:right w:val="single" w:sz="2" w:space="0" w:color="000000"/>
            </w:tcBorders>
            <w:shd w:val="clear" w:color="auto" w:fill="6D2A78"/>
          </w:tcPr>
          <w:p w14:paraId="36997B5F" w14:textId="77777777" w:rsidR="000046E5" w:rsidRDefault="000046E5" w:rsidP="009947FF">
            <w:pPr>
              <w:spacing w:line="259" w:lineRule="auto"/>
              <w:ind w:right="27"/>
              <w:jc w:val="center"/>
              <w:rPr>
                <w:b/>
                <w:color w:val="FFFFFF"/>
                <w:sz w:val="18"/>
              </w:rPr>
            </w:pPr>
            <w:r>
              <w:rPr>
                <w:b/>
                <w:color w:val="FFFFFF"/>
                <w:sz w:val="18"/>
              </w:rPr>
              <w:t>2035</w:t>
            </w:r>
          </w:p>
        </w:tc>
        <w:tc>
          <w:tcPr>
            <w:tcW w:w="776" w:type="dxa"/>
            <w:tcBorders>
              <w:top w:val="single" w:sz="2" w:space="0" w:color="000000"/>
              <w:left w:val="single" w:sz="2" w:space="0" w:color="000000"/>
              <w:bottom w:val="single" w:sz="2" w:space="0" w:color="000000"/>
              <w:right w:val="single" w:sz="2" w:space="0" w:color="000000"/>
            </w:tcBorders>
            <w:shd w:val="clear" w:color="auto" w:fill="6D2A78"/>
          </w:tcPr>
          <w:p w14:paraId="391EB099" w14:textId="77777777" w:rsidR="000046E5" w:rsidRDefault="000046E5" w:rsidP="009947FF">
            <w:pPr>
              <w:spacing w:line="259" w:lineRule="auto"/>
              <w:ind w:right="27"/>
              <w:jc w:val="center"/>
              <w:rPr>
                <w:b/>
                <w:color w:val="FFFFFF"/>
                <w:sz w:val="18"/>
              </w:rPr>
            </w:pPr>
            <w:r>
              <w:rPr>
                <w:b/>
                <w:color w:val="FFFFFF"/>
                <w:sz w:val="18"/>
              </w:rPr>
              <w:t>2050</w:t>
            </w:r>
          </w:p>
        </w:tc>
      </w:tr>
      <w:tr w:rsidR="000046E5" w14:paraId="7E4C5C3D" w14:textId="77777777" w:rsidTr="000046E5">
        <w:trPr>
          <w:trHeight w:val="347"/>
        </w:trPr>
        <w:tc>
          <w:tcPr>
            <w:tcW w:w="1404" w:type="dxa"/>
            <w:tcBorders>
              <w:top w:val="single" w:sz="2" w:space="0" w:color="000000"/>
              <w:left w:val="single" w:sz="2" w:space="0" w:color="000000"/>
              <w:bottom w:val="single" w:sz="2" w:space="0" w:color="000000"/>
              <w:right w:val="single" w:sz="2" w:space="0" w:color="000000"/>
            </w:tcBorders>
          </w:tcPr>
          <w:p w14:paraId="14A65ED4" w14:textId="77777777" w:rsidR="000046E5" w:rsidRDefault="000046E5" w:rsidP="009947FF">
            <w:pPr>
              <w:spacing w:line="259" w:lineRule="auto"/>
            </w:pPr>
            <w:r>
              <w:rPr>
                <w:sz w:val="18"/>
              </w:rPr>
              <w:t xml:space="preserve"> </w:t>
            </w:r>
          </w:p>
        </w:tc>
        <w:tc>
          <w:tcPr>
            <w:tcW w:w="5427" w:type="dxa"/>
            <w:gridSpan w:val="7"/>
            <w:tcBorders>
              <w:top w:val="single" w:sz="2" w:space="0" w:color="000000"/>
              <w:left w:val="single" w:sz="2" w:space="0" w:color="000000"/>
              <w:bottom w:val="single" w:sz="2" w:space="0" w:color="000000"/>
              <w:right w:val="single" w:sz="2" w:space="0" w:color="000000"/>
            </w:tcBorders>
            <w:shd w:val="clear" w:color="auto" w:fill="auto"/>
          </w:tcPr>
          <w:p w14:paraId="0F24855C" w14:textId="7781A2A4" w:rsidR="000046E5" w:rsidRDefault="000046E5" w:rsidP="009947FF">
            <w:pPr>
              <w:spacing w:line="259" w:lineRule="auto"/>
              <w:ind w:left="75"/>
              <w:jc w:val="center"/>
              <w:rPr>
                <w:b/>
                <w:color w:val="6D2A78"/>
                <w:sz w:val="18"/>
              </w:rPr>
            </w:pPr>
            <w:r>
              <w:rPr>
                <w:b/>
                <w:color w:val="6D2A78"/>
                <w:sz w:val="18"/>
              </w:rPr>
              <w:t>Observé</w:t>
            </w:r>
          </w:p>
        </w:tc>
        <w:tc>
          <w:tcPr>
            <w:tcW w:w="3877" w:type="dxa"/>
            <w:gridSpan w:val="5"/>
            <w:tcBorders>
              <w:top w:val="single" w:sz="2" w:space="0" w:color="000000"/>
              <w:left w:val="single" w:sz="2" w:space="0" w:color="000000"/>
              <w:bottom w:val="single" w:sz="2" w:space="0" w:color="000000"/>
              <w:right w:val="single" w:sz="2" w:space="0" w:color="000000"/>
            </w:tcBorders>
          </w:tcPr>
          <w:p w14:paraId="401199F7" w14:textId="3C25BF31" w:rsidR="000046E5" w:rsidRDefault="000046E5" w:rsidP="009947FF">
            <w:pPr>
              <w:spacing w:line="259" w:lineRule="auto"/>
              <w:ind w:left="75"/>
              <w:jc w:val="center"/>
              <w:rPr>
                <w:b/>
                <w:color w:val="6D2A78"/>
                <w:sz w:val="18"/>
              </w:rPr>
            </w:pPr>
            <w:r>
              <w:rPr>
                <w:b/>
                <w:color w:val="6D2A78"/>
                <w:sz w:val="18"/>
              </w:rPr>
              <w:t>Projeté</w:t>
            </w:r>
          </w:p>
        </w:tc>
      </w:tr>
      <w:tr w:rsidR="000046E5" w14:paraId="08D2297A" w14:textId="77777777" w:rsidTr="00261D3D">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527B8340" w14:textId="77777777" w:rsidR="000046E5" w:rsidRDefault="000046E5" w:rsidP="000046E5">
            <w:pPr>
              <w:spacing w:line="259" w:lineRule="auto"/>
            </w:pPr>
            <w:r>
              <w:rPr>
                <w:sz w:val="18"/>
              </w:rPr>
              <w:t xml:space="preserve">Énergie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670816" w14:textId="1115961A" w:rsidR="000046E5" w:rsidRPr="00AB5735" w:rsidRDefault="000046E5" w:rsidP="000046E5">
            <w:pPr>
              <w:spacing w:line="259" w:lineRule="auto"/>
              <w:ind w:left="55"/>
              <w:jc w:val="center"/>
            </w:pPr>
            <w:r>
              <w:rPr>
                <w:sz w:val="18"/>
                <w:szCs w:val="18"/>
              </w:rPr>
              <w:t>367272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AE2C06" w14:textId="042C1713" w:rsidR="000046E5" w:rsidRPr="00C14DCA" w:rsidRDefault="000046E5" w:rsidP="000046E5">
            <w:pPr>
              <w:spacing w:line="259" w:lineRule="auto"/>
              <w:ind w:left="56"/>
              <w:jc w:val="center"/>
              <w:rPr>
                <w:highlight w:val="yellow"/>
              </w:rPr>
            </w:pPr>
            <w:r>
              <w:rPr>
                <w:sz w:val="18"/>
                <w:szCs w:val="18"/>
              </w:rPr>
              <w:t>366079</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DBE1EF" w14:textId="2A7DED26" w:rsidR="000046E5" w:rsidRPr="00C14DCA" w:rsidRDefault="000046E5" w:rsidP="000046E5">
            <w:pPr>
              <w:spacing w:line="259" w:lineRule="auto"/>
              <w:ind w:left="56"/>
              <w:jc w:val="center"/>
              <w:rPr>
                <w:highlight w:val="yellow"/>
              </w:rPr>
            </w:pPr>
            <w:r>
              <w:rPr>
                <w:sz w:val="18"/>
                <w:szCs w:val="18"/>
              </w:rPr>
              <w:t>381989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775C21" w14:textId="3BFF9BF4" w:rsidR="000046E5" w:rsidRPr="00C14DCA" w:rsidRDefault="000046E5" w:rsidP="000046E5">
            <w:pPr>
              <w:spacing w:line="259" w:lineRule="auto"/>
              <w:ind w:left="55"/>
              <w:jc w:val="center"/>
              <w:rPr>
                <w:highlight w:val="yellow"/>
              </w:rPr>
            </w:pPr>
            <w:r>
              <w:rPr>
                <w:sz w:val="18"/>
                <w:szCs w:val="18"/>
              </w:rPr>
              <w:t>390391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160A59" w14:textId="580EAE9D" w:rsidR="000046E5" w:rsidRPr="00AB5735" w:rsidRDefault="000046E5" w:rsidP="000046E5">
            <w:pPr>
              <w:spacing w:line="259" w:lineRule="auto"/>
              <w:ind w:left="56"/>
              <w:jc w:val="center"/>
            </w:pPr>
            <w:r>
              <w:rPr>
                <w:sz w:val="18"/>
                <w:szCs w:val="18"/>
              </w:rPr>
              <w:t>357711</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97C031" w14:textId="464DA81C" w:rsidR="000046E5" w:rsidRPr="00AB5735" w:rsidRDefault="000046E5" w:rsidP="000046E5">
            <w:pPr>
              <w:spacing w:line="259" w:lineRule="auto"/>
              <w:ind w:left="55"/>
              <w:jc w:val="center"/>
            </w:pPr>
            <w:r>
              <w:rPr>
                <w:sz w:val="18"/>
                <w:szCs w:val="18"/>
              </w:rPr>
              <w:t>313634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89F3F1" w14:textId="6640DFF4" w:rsidR="000046E5" w:rsidRDefault="000046E5" w:rsidP="000046E5">
            <w:pPr>
              <w:spacing w:line="259" w:lineRule="auto"/>
              <w:ind w:left="56"/>
              <w:jc w:val="center"/>
              <w:rPr>
                <w:rFonts w:ascii="Calibri" w:hAnsi="Calibri"/>
                <w:color w:val="000000"/>
                <w:sz w:val="20"/>
                <w:szCs w:val="20"/>
              </w:rPr>
            </w:pPr>
            <w:r>
              <w:rPr>
                <w:sz w:val="18"/>
                <w:szCs w:val="18"/>
              </w:rPr>
              <w:t>297313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B4D2B3" w14:textId="2C37034E"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305017</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03C7A9" w14:textId="5586859A"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253350</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0F85CC" w14:textId="24C03C9D"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203515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8CB00F" w14:textId="7DE21A70"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151385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4B1E32" w14:textId="661D3EDC"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-5007</w:t>
            </w:r>
          </w:p>
        </w:tc>
      </w:tr>
      <w:tr w:rsidR="000046E5" w14:paraId="0F3C6BDE" w14:textId="77777777" w:rsidTr="00261D3D">
        <w:trPr>
          <w:trHeight w:val="419"/>
        </w:trPr>
        <w:tc>
          <w:tcPr>
            <w:tcW w:w="1404" w:type="dxa"/>
            <w:tcBorders>
              <w:top w:val="single" w:sz="2" w:space="0" w:color="000000"/>
              <w:left w:val="single" w:sz="2" w:space="0" w:color="000000"/>
              <w:bottom w:val="single" w:sz="2" w:space="0" w:color="000000"/>
              <w:right w:val="single" w:sz="2" w:space="0" w:color="000000"/>
            </w:tcBorders>
          </w:tcPr>
          <w:p w14:paraId="018DE179" w14:textId="77777777" w:rsidR="000046E5" w:rsidRDefault="000046E5" w:rsidP="000046E5">
            <w:pPr>
              <w:spacing w:line="259" w:lineRule="auto"/>
            </w:pPr>
            <w:r>
              <w:rPr>
                <w:sz w:val="18"/>
              </w:rPr>
              <w:t xml:space="preserve">Procédés industriels, solvants et autres produits </w:t>
            </w:r>
          </w:p>
        </w:tc>
        <w:tc>
          <w:tcPr>
            <w:tcW w:w="775" w:type="dxa"/>
            <w:tcBorders>
              <w:top w:val="single" w:sz="2" w:space="0" w:color="000000"/>
              <w:left w:val="single" w:sz="2" w:space="0" w:color="000000"/>
              <w:bottom w:val="single" w:sz="2" w:space="0" w:color="000000"/>
              <w:right w:val="single" w:sz="2" w:space="0" w:color="000000"/>
            </w:tcBorders>
            <w:vAlign w:val="center"/>
          </w:tcPr>
          <w:p w14:paraId="3B0FA29E" w14:textId="0B0167A6" w:rsidR="000046E5" w:rsidRPr="00AB5735" w:rsidRDefault="000046E5" w:rsidP="000046E5">
            <w:pPr>
              <w:spacing w:line="259" w:lineRule="auto"/>
              <w:ind w:left="106"/>
              <w:jc w:val="center"/>
            </w:pPr>
            <w:r>
              <w:rPr>
                <w:sz w:val="18"/>
                <w:szCs w:val="18"/>
              </w:rPr>
              <w:t>78729</w:t>
            </w:r>
          </w:p>
        </w:tc>
        <w:tc>
          <w:tcPr>
            <w:tcW w:w="775" w:type="dxa"/>
            <w:tcBorders>
              <w:top w:val="single" w:sz="2" w:space="0" w:color="000000"/>
              <w:left w:val="single" w:sz="2" w:space="0" w:color="000000"/>
              <w:bottom w:val="single" w:sz="2" w:space="0" w:color="000000"/>
              <w:right w:val="single" w:sz="2" w:space="0" w:color="000000"/>
            </w:tcBorders>
            <w:vAlign w:val="center"/>
          </w:tcPr>
          <w:p w14:paraId="61DE6210" w14:textId="4FF20A18" w:rsidR="000046E5" w:rsidRPr="00C14DCA" w:rsidRDefault="000046E5" w:rsidP="000046E5">
            <w:pPr>
              <w:spacing w:line="259" w:lineRule="auto"/>
              <w:ind w:left="107"/>
              <w:jc w:val="center"/>
              <w:rPr>
                <w:highlight w:val="yellow"/>
              </w:rPr>
            </w:pPr>
            <w:r>
              <w:rPr>
                <w:sz w:val="18"/>
                <w:szCs w:val="18"/>
              </w:rPr>
              <w:t>71997</w:t>
            </w:r>
          </w:p>
        </w:tc>
        <w:tc>
          <w:tcPr>
            <w:tcW w:w="775" w:type="dxa"/>
            <w:tcBorders>
              <w:top w:val="single" w:sz="2" w:space="0" w:color="000000"/>
              <w:left w:val="single" w:sz="2" w:space="0" w:color="000000"/>
              <w:bottom w:val="single" w:sz="2" w:space="0" w:color="000000"/>
              <w:right w:val="single" w:sz="2" w:space="0" w:color="000000"/>
            </w:tcBorders>
            <w:vAlign w:val="center"/>
          </w:tcPr>
          <w:p w14:paraId="2B64DCE0" w14:textId="137A1CCE" w:rsidR="000046E5" w:rsidRPr="00C14DCA" w:rsidRDefault="000046E5" w:rsidP="000046E5">
            <w:pPr>
              <w:spacing w:line="259" w:lineRule="auto"/>
              <w:ind w:left="107"/>
              <w:jc w:val="center"/>
              <w:rPr>
                <w:highlight w:val="yellow"/>
              </w:rPr>
            </w:pPr>
            <w:r>
              <w:rPr>
                <w:sz w:val="18"/>
                <w:szCs w:val="18"/>
              </w:rPr>
              <w:t>64668</w:t>
            </w:r>
          </w:p>
        </w:tc>
        <w:tc>
          <w:tcPr>
            <w:tcW w:w="776" w:type="dxa"/>
            <w:tcBorders>
              <w:top w:val="single" w:sz="2" w:space="0" w:color="000000"/>
              <w:left w:val="single" w:sz="2" w:space="0" w:color="000000"/>
              <w:bottom w:val="single" w:sz="2" w:space="0" w:color="000000"/>
              <w:right w:val="single" w:sz="2" w:space="0" w:color="000000"/>
            </w:tcBorders>
            <w:vAlign w:val="center"/>
          </w:tcPr>
          <w:p w14:paraId="577A47C7" w14:textId="4EAFB565" w:rsidR="000046E5" w:rsidRPr="00C14DCA" w:rsidRDefault="000046E5" w:rsidP="000046E5">
            <w:pPr>
              <w:spacing w:line="259" w:lineRule="auto"/>
              <w:ind w:left="106"/>
              <w:jc w:val="center"/>
              <w:rPr>
                <w:highlight w:val="yellow"/>
              </w:rPr>
            </w:pPr>
            <w:r>
              <w:rPr>
                <w:sz w:val="18"/>
                <w:szCs w:val="18"/>
              </w:rPr>
              <w:t>63620</w:t>
            </w:r>
          </w:p>
        </w:tc>
        <w:tc>
          <w:tcPr>
            <w:tcW w:w="775" w:type="dxa"/>
            <w:tcBorders>
              <w:top w:val="single" w:sz="2" w:space="0" w:color="000000"/>
              <w:left w:val="single" w:sz="2" w:space="0" w:color="000000"/>
              <w:bottom w:val="single" w:sz="2" w:space="0" w:color="000000"/>
              <w:right w:val="single" w:sz="2" w:space="0" w:color="000000"/>
            </w:tcBorders>
            <w:vAlign w:val="center"/>
          </w:tcPr>
          <w:p w14:paraId="0920854C" w14:textId="45CEC420" w:rsidR="000046E5" w:rsidRPr="00AB5735" w:rsidRDefault="000046E5" w:rsidP="000046E5">
            <w:pPr>
              <w:spacing w:line="259" w:lineRule="auto"/>
              <w:ind w:left="107"/>
              <w:jc w:val="center"/>
            </w:pPr>
            <w:r>
              <w:rPr>
                <w:sz w:val="18"/>
                <w:szCs w:val="18"/>
              </w:rPr>
              <w:t>53798</w:t>
            </w:r>
          </w:p>
        </w:tc>
        <w:tc>
          <w:tcPr>
            <w:tcW w:w="776" w:type="dxa"/>
            <w:tcBorders>
              <w:top w:val="single" w:sz="2" w:space="0" w:color="000000"/>
              <w:left w:val="single" w:sz="2" w:space="0" w:color="000000"/>
              <w:bottom w:val="single" w:sz="2" w:space="0" w:color="000000"/>
              <w:right w:val="single" w:sz="2" w:space="0" w:color="000000"/>
            </w:tcBorders>
            <w:vAlign w:val="center"/>
          </w:tcPr>
          <w:p w14:paraId="3FA66C95" w14:textId="2846D0B3" w:rsidR="000046E5" w:rsidRPr="00AB5735" w:rsidRDefault="000046E5" w:rsidP="000046E5">
            <w:pPr>
              <w:spacing w:line="259" w:lineRule="auto"/>
              <w:ind w:left="105"/>
              <w:jc w:val="center"/>
            </w:pPr>
            <w:r>
              <w:rPr>
                <w:sz w:val="18"/>
                <w:szCs w:val="18"/>
              </w:rPr>
              <w:t>50664</w:t>
            </w:r>
          </w:p>
        </w:tc>
        <w:tc>
          <w:tcPr>
            <w:tcW w:w="775" w:type="dxa"/>
            <w:tcBorders>
              <w:top w:val="single" w:sz="2" w:space="0" w:color="000000"/>
              <w:left w:val="single" w:sz="2" w:space="0" w:color="000000"/>
              <w:bottom w:val="single" w:sz="2" w:space="0" w:color="000000"/>
              <w:right w:val="single" w:sz="2" w:space="0" w:color="000000"/>
            </w:tcBorders>
            <w:vAlign w:val="center"/>
          </w:tcPr>
          <w:p w14:paraId="33540550" w14:textId="70D499E1" w:rsidR="000046E5" w:rsidRDefault="000046E5" w:rsidP="000046E5">
            <w:pPr>
              <w:spacing w:line="259" w:lineRule="auto"/>
              <w:ind w:left="56"/>
              <w:jc w:val="center"/>
              <w:rPr>
                <w:rFonts w:ascii="Calibri" w:hAnsi="Calibri"/>
                <w:color w:val="000000"/>
                <w:sz w:val="20"/>
                <w:szCs w:val="20"/>
              </w:rPr>
            </w:pPr>
            <w:r>
              <w:rPr>
                <w:sz w:val="18"/>
                <w:szCs w:val="18"/>
              </w:rPr>
              <w:t>46564</w:t>
            </w:r>
          </w:p>
        </w:tc>
        <w:tc>
          <w:tcPr>
            <w:tcW w:w="775" w:type="dxa"/>
            <w:tcBorders>
              <w:top w:val="single" w:sz="2" w:space="0" w:color="000000"/>
              <w:left w:val="single" w:sz="2" w:space="0" w:color="000000"/>
              <w:bottom w:val="single" w:sz="2" w:space="0" w:color="000000"/>
              <w:right w:val="single" w:sz="2" w:space="0" w:color="000000"/>
            </w:tcBorders>
            <w:vAlign w:val="center"/>
          </w:tcPr>
          <w:p w14:paraId="6EA05DE7" w14:textId="3FC12B09"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41371</w:t>
            </w:r>
          </w:p>
        </w:tc>
        <w:tc>
          <w:tcPr>
            <w:tcW w:w="775" w:type="dxa"/>
            <w:tcBorders>
              <w:top w:val="single" w:sz="2" w:space="0" w:color="000000"/>
              <w:left w:val="single" w:sz="2" w:space="0" w:color="000000"/>
              <w:bottom w:val="single" w:sz="2" w:space="0" w:color="000000"/>
              <w:right w:val="single" w:sz="2" w:space="0" w:color="000000"/>
            </w:tcBorders>
            <w:vAlign w:val="center"/>
          </w:tcPr>
          <w:p w14:paraId="193F5597" w14:textId="709CC119"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32979</w:t>
            </w:r>
          </w:p>
        </w:tc>
        <w:tc>
          <w:tcPr>
            <w:tcW w:w="776" w:type="dxa"/>
            <w:tcBorders>
              <w:top w:val="single" w:sz="2" w:space="0" w:color="000000"/>
              <w:left w:val="single" w:sz="2" w:space="0" w:color="000000"/>
              <w:bottom w:val="single" w:sz="2" w:space="0" w:color="000000"/>
              <w:right w:val="single" w:sz="2" w:space="0" w:color="000000"/>
            </w:tcBorders>
            <w:vAlign w:val="center"/>
          </w:tcPr>
          <w:p w14:paraId="2DC34046" w14:textId="48A8CB33"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27368</w:t>
            </w:r>
          </w:p>
        </w:tc>
        <w:tc>
          <w:tcPr>
            <w:tcW w:w="775" w:type="dxa"/>
            <w:tcBorders>
              <w:top w:val="single" w:sz="2" w:space="0" w:color="000000"/>
              <w:left w:val="single" w:sz="2" w:space="0" w:color="000000"/>
              <w:bottom w:val="single" w:sz="2" w:space="0" w:color="000000"/>
              <w:right w:val="single" w:sz="2" w:space="0" w:color="000000"/>
            </w:tcBorders>
            <w:vAlign w:val="center"/>
          </w:tcPr>
          <w:p w14:paraId="36857CAC" w14:textId="0E884BC2"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24409</w:t>
            </w:r>
          </w:p>
        </w:tc>
        <w:tc>
          <w:tcPr>
            <w:tcW w:w="776" w:type="dxa"/>
            <w:tcBorders>
              <w:top w:val="single" w:sz="2" w:space="0" w:color="000000"/>
              <w:left w:val="single" w:sz="2" w:space="0" w:color="000000"/>
              <w:bottom w:val="single" w:sz="2" w:space="0" w:color="000000"/>
              <w:right w:val="single" w:sz="2" w:space="0" w:color="000000"/>
            </w:tcBorders>
            <w:vAlign w:val="center"/>
          </w:tcPr>
          <w:p w14:paraId="3A0C91A6" w14:textId="1DCEF7FE"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15534</w:t>
            </w:r>
          </w:p>
        </w:tc>
      </w:tr>
      <w:tr w:rsidR="000046E5" w14:paraId="540BD03A" w14:textId="77777777" w:rsidTr="00261D3D">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1C02DFF8" w14:textId="77777777" w:rsidR="000046E5" w:rsidRDefault="000046E5" w:rsidP="000046E5">
            <w:pPr>
              <w:spacing w:line="259" w:lineRule="auto"/>
            </w:pPr>
            <w:r>
              <w:rPr>
                <w:sz w:val="18"/>
              </w:rPr>
              <w:t xml:space="preserve">Agriculture (hors énergie)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56E90A" w14:textId="280C8CB0" w:rsidR="000046E5" w:rsidRPr="00AB5735" w:rsidRDefault="000046E5" w:rsidP="000046E5">
            <w:pPr>
              <w:spacing w:line="259" w:lineRule="auto"/>
              <w:ind w:left="106"/>
              <w:jc w:val="center"/>
            </w:pPr>
            <w:r>
              <w:rPr>
                <w:sz w:val="18"/>
                <w:szCs w:val="18"/>
              </w:rPr>
              <w:t>80803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36E418" w14:textId="047E055F" w:rsidR="000046E5" w:rsidRPr="00C14DCA" w:rsidRDefault="000046E5" w:rsidP="000046E5">
            <w:pPr>
              <w:spacing w:line="259" w:lineRule="auto"/>
              <w:ind w:left="107"/>
              <w:jc w:val="center"/>
              <w:rPr>
                <w:highlight w:val="yellow"/>
              </w:rPr>
            </w:pPr>
            <w:r>
              <w:rPr>
                <w:sz w:val="18"/>
                <w:szCs w:val="18"/>
              </w:rPr>
              <w:t>78281</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D96726" w14:textId="71A0C149" w:rsidR="000046E5" w:rsidRPr="00C14DCA" w:rsidRDefault="000046E5" w:rsidP="000046E5">
            <w:pPr>
              <w:spacing w:line="259" w:lineRule="auto"/>
              <w:ind w:left="107"/>
              <w:jc w:val="center"/>
              <w:rPr>
                <w:highlight w:val="yellow"/>
              </w:rPr>
            </w:pPr>
            <w:r>
              <w:rPr>
                <w:sz w:val="18"/>
                <w:szCs w:val="18"/>
              </w:rPr>
              <w:t>81292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57155E" w14:textId="3F23FB11" w:rsidR="000046E5" w:rsidRPr="00C14DCA" w:rsidRDefault="000046E5" w:rsidP="000046E5">
            <w:pPr>
              <w:spacing w:line="259" w:lineRule="auto"/>
              <w:ind w:left="106"/>
              <w:jc w:val="center"/>
              <w:rPr>
                <w:highlight w:val="yellow"/>
              </w:rPr>
            </w:pPr>
            <w:r>
              <w:rPr>
                <w:sz w:val="18"/>
                <w:szCs w:val="18"/>
              </w:rPr>
              <w:t>76018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DB74AB" w14:textId="6263843B" w:rsidR="000046E5" w:rsidRPr="00AB5735" w:rsidRDefault="000046E5" w:rsidP="000046E5">
            <w:pPr>
              <w:spacing w:line="259" w:lineRule="auto"/>
              <w:ind w:left="107"/>
              <w:jc w:val="center"/>
            </w:pPr>
            <w:r>
              <w:rPr>
                <w:sz w:val="18"/>
                <w:szCs w:val="18"/>
              </w:rPr>
              <w:t>75203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177C78" w14:textId="1ED4A919" w:rsidR="000046E5" w:rsidRPr="00AB5735" w:rsidRDefault="000046E5" w:rsidP="000046E5">
            <w:pPr>
              <w:spacing w:line="259" w:lineRule="auto"/>
              <w:ind w:left="106"/>
              <w:jc w:val="center"/>
            </w:pPr>
            <w:r>
              <w:rPr>
                <w:sz w:val="18"/>
                <w:szCs w:val="18"/>
              </w:rPr>
              <w:t>75720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D5ACC1" w14:textId="6E117B9E" w:rsidR="000046E5" w:rsidRDefault="000046E5" w:rsidP="000046E5">
            <w:pPr>
              <w:spacing w:line="259" w:lineRule="auto"/>
              <w:ind w:left="56"/>
              <w:jc w:val="center"/>
              <w:rPr>
                <w:rFonts w:ascii="Calibri" w:hAnsi="Calibri"/>
                <w:color w:val="000000"/>
                <w:sz w:val="20"/>
                <w:szCs w:val="20"/>
              </w:rPr>
            </w:pPr>
            <w:r>
              <w:rPr>
                <w:sz w:val="18"/>
                <w:szCs w:val="18"/>
              </w:rPr>
              <w:t>72498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0ED1D9" w14:textId="5F67D981"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73646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954BE5" w14:textId="2E101743"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69007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8D76C5" w14:textId="3A59204F"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65227</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123099" w14:textId="08394EAB"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62117</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DF0692" w14:textId="198BB30A"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47831</w:t>
            </w:r>
          </w:p>
        </w:tc>
      </w:tr>
      <w:tr w:rsidR="000046E5" w14:paraId="261D79E0" w14:textId="77777777" w:rsidTr="00261D3D">
        <w:trPr>
          <w:trHeight w:val="347"/>
        </w:trPr>
        <w:tc>
          <w:tcPr>
            <w:tcW w:w="1404" w:type="dxa"/>
            <w:tcBorders>
              <w:top w:val="single" w:sz="2" w:space="0" w:color="000000"/>
              <w:left w:val="single" w:sz="2" w:space="0" w:color="000000"/>
              <w:bottom w:val="single" w:sz="2" w:space="0" w:color="000000"/>
              <w:right w:val="single" w:sz="2" w:space="0" w:color="000000"/>
            </w:tcBorders>
          </w:tcPr>
          <w:p w14:paraId="64402775" w14:textId="77777777" w:rsidR="000046E5" w:rsidRDefault="000046E5" w:rsidP="000046E5">
            <w:pPr>
              <w:spacing w:line="259" w:lineRule="auto"/>
            </w:pPr>
            <w:r>
              <w:rPr>
                <w:sz w:val="18"/>
              </w:rPr>
              <w:t xml:space="preserve">UTCATF </w:t>
            </w:r>
          </w:p>
        </w:tc>
        <w:tc>
          <w:tcPr>
            <w:tcW w:w="775" w:type="dxa"/>
            <w:tcBorders>
              <w:top w:val="single" w:sz="2" w:space="0" w:color="000000"/>
              <w:left w:val="single" w:sz="2" w:space="0" w:color="000000"/>
              <w:bottom w:val="single" w:sz="2" w:space="0" w:color="000000"/>
              <w:right w:val="single" w:sz="2" w:space="0" w:color="000000"/>
            </w:tcBorders>
            <w:vAlign w:val="center"/>
          </w:tcPr>
          <w:p w14:paraId="0C36A8B2" w14:textId="1F6053F6" w:rsidR="000046E5" w:rsidRPr="00AB5735" w:rsidRDefault="000046E5" w:rsidP="000046E5">
            <w:pPr>
              <w:spacing w:line="259" w:lineRule="auto"/>
              <w:ind w:left="50"/>
              <w:jc w:val="center"/>
            </w:pPr>
            <w:r w:rsidRPr="00634E4C">
              <w:rPr>
                <w:sz w:val="18"/>
              </w:rPr>
              <w:t>-</w:t>
            </w:r>
            <w:r>
              <w:rPr>
                <w:sz w:val="18"/>
                <w:szCs w:val="18"/>
              </w:rPr>
              <w:t>23986</w:t>
            </w:r>
          </w:p>
        </w:tc>
        <w:tc>
          <w:tcPr>
            <w:tcW w:w="775" w:type="dxa"/>
            <w:tcBorders>
              <w:top w:val="single" w:sz="2" w:space="0" w:color="000000"/>
              <w:left w:val="single" w:sz="2" w:space="0" w:color="000000"/>
              <w:bottom w:val="single" w:sz="2" w:space="0" w:color="000000"/>
              <w:right w:val="single" w:sz="2" w:space="0" w:color="000000"/>
            </w:tcBorders>
            <w:vAlign w:val="center"/>
          </w:tcPr>
          <w:p w14:paraId="27F26B70" w14:textId="4D81C93A" w:rsidR="000046E5" w:rsidRPr="00C14DCA" w:rsidRDefault="000046E5" w:rsidP="000046E5">
            <w:pPr>
              <w:spacing w:line="259" w:lineRule="auto"/>
              <w:ind w:left="52"/>
              <w:jc w:val="center"/>
              <w:rPr>
                <w:highlight w:val="yellow"/>
              </w:rPr>
            </w:pPr>
            <w:r w:rsidRPr="00634E4C">
              <w:rPr>
                <w:sz w:val="18"/>
              </w:rPr>
              <w:t>-</w:t>
            </w:r>
            <w:r>
              <w:rPr>
                <w:sz w:val="18"/>
                <w:szCs w:val="18"/>
              </w:rPr>
              <w:t>24879</w:t>
            </w:r>
          </w:p>
        </w:tc>
        <w:tc>
          <w:tcPr>
            <w:tcW w:w="775" w:type="dxa"/>
            <w:tcBorders>
              <w:top w:val="single" w:sz="2" w:space="0" w:color="000000"/>
              <w:left w:val="single" w:sz="2" w:space="0" w:color="000000"/>
              <w:bottom w:val="single" w:sz="2" w:space="0" w:color="000000"/>
              <w:right w:val="single" w:sz="2" w:space="0" w:color="000000"/>
            </w:tcBorders>
            <w:vAlign w:val="center"/>
          </w:tcPr>
          <w:p w14:paraId="1A107910" w14:textId="07118D24" w:rsidR="000046E5" w:rsidRPr="00C14DCA" w:rsidRDefault="000046E5" w:rsidP="000046E5">
            <w:pPr>
              <w:spacing w:line="259" w:lineRule="auto"/>
              <w:ind w:left="52"/>
              <w:jc w:val="center"/>
              <w:rPr>
                <w:highlight w:val="yellow"/>
              </w:rPr>
            </w:pPr>
            <w:r w:rsidRPr="00634E4C">
              <w:rPr>
                <w:sz w:val="18"/>
              </w:rPr>
              <w:t>-</w:t>
            </w:r>
            <w:r>
              <w:rPr>
                <w:sz w:val="18"/>
                <w:szCs w:val="18"/>
              </w:rPr>
              <w:t>19709</w:t>
            </w:r>
          </w:p>
        </w:tc>
        <w:tc>
          <w:tcPr>
            <w:tcW w:w="776" w:type="dxa"/>
            <w:tcBorders>
              <w:top w:val="single" w:sz="2" w:space="0" w:color="000000"/>
              <w:left w:val="single" w:sz="2" w:space="0" w:color="000000"/>
              <w:bottom w:val="single" w:sz="2" w:space="0" w:color="000000"/>
              <w:right w:val="single" w:sz="2" w:space="0" w:color="000000"/>
            </w:tcBorders>
            <w:vAlign w:val="center"/>
          </w:tcPr>
          <w:p w14:paraId="05011855" w14:textId="4760541A" w:rsidR="000046E5" w:rsidRPr="00C14DCA" w:rsidRDefault="000046E5" w:rsidP="000046E5">
            <w:pPr>
              <w:spacing w:line="259" w:lineRule="auto"/>
              <w:ind w:left="50"/>
              <w:jc w:val="center"/>
              <w:rPr>
                <w:highlight w:val="yellow"/>
              </w:rPr>
            </w:pPr>
            <w:r w:rsidRPr="00634E4C">
              <w:rPr>
                <w:sz w:val="18"/>
              </w:rPr>
              <w:t>-</w:t>
            </w:r>
            <w:r>
              <w:rPr>
                <w:sz w:val="18"/>
                <w:szCs w:val="18"/>
              </w:rPr>
              <w:t>47311</w:t>
            </w:r>
          </w:p>
        </w:tc>
        <w:tc>
          <w:tcPr>
            <w:tcW w:w="775" w:type="dxa"/>
            <w:tcBorders>
              <w:top w:val="single" w:sz="2" w:space="0" w:color="000000"/>
              <w:left w:val="single" w:sz="2" w:space="0" w:color="000000"/>
              <w:bottom w:val="single" w:sz="2" w:space="0" w:color="000000"/>
              <w:right w:val="single" w:sz="2" w:space="0" w:color="000000"/>
            </w:tcBorders>
            <w:vAlign w:val="center"/>
          </w:tcPr>
          <w:p w14:paraId="160F2D3A" w14:textId="558741DC" w:rsidR="000046E5" w:rsidRPr="00AB5735" w:rsidRDefault="000046E5" w:rsidP="000046E5">
            <w:pPr>
              <w:spacing w:line="259" w:lineRule="auto"/>
              <w:ind w:left="52"/>
              <w:jc w:val="center"/>
            </w:pPr>
            <w:r w:rsidRPr="00634E4C">
              <w:rPr>
                <w:sz w:val="18"/>
              </w:rPr>
              <w:t>-</w:t>
            </w:r>
            <w:r>
              <w:rPr>
                <w:sz w:val="18"/>
                <w:szCs w:val="18"/>
              </w:rPr>
              <w:t>38355</w:t>
            </w:r>
          </w:p>
        </w:tc>
        <w:tc>
          <w:tcPr>
            <w:tcW w:w="776" w:type="dxa"/>
            <w:tcBorders>
              <w:top w:val="single" w:sz="2" w:space="0" w:color="000000"/>
              <w:left w:val="single" w:sz="2" w:space="0" w:color="000000"/>
              <w:bottom w:val="single" w:sz="2" w:space="0" w:color="000000"/>
              <w:right w:val="single" w:sz="2" w:space="0" w:color="000000"/>
            </w:tcBorders>
            <w:vAlign w:val="center"/>
          </w:tcPr>
          <w:p w14:paraId="5F46D453" w14:textId="40F67BA6" w:rsidR="000046E5" w:rsidRPr="00AB5735" w:rsidRDefault="000046E5" w:rsidP="000046E5">
            <w:pPr>
              <w:spacing w:line="259" w:lineRule="auto"/>
              <w:ind w:left="50"/>
              <w:jc w:val="center"/>
            </w:pPr>
            <w:r w:rsidRPr="00634E4C">
              <w:rPr>
                <w:sz w:val="18"/>
              </w:rPr>
              <w:t>-</w:t>
            </w:r>
            <w:r>
              <w:rPr>
                <w:sz w:val="18"/>
                <w:szCs w:val="18"/>
              </w:rPr>
              <w:t>34577</w:t>
            </w:r>
          </w:p>
        </w:tc>
        <w:tc>
          <w:tcPr>
            <w:tcW w:w="775" w:type="dxa"/>
            <w:tcBorders>
              <w:top w:val="single" w:sz="2" w:space="0" w:color="000000"/>
              <w:left w:val="single" w:sz="2" w:space="0" w:color="000000"/>
              <w:bottom w:val="single" w:sz="2" w:space="0" w:color="000000"/>
              <w:right w:val="single" w:sz="2" w:space="0" w:color="000000"/>
            </w:tcBorders>
            <w:vAlign w:val="center"/>
          </w:tcPr>
          <w:p w14:paraId="707380CE" w14:textId="22EE1A9E" w:rsidR="000046E5" w:rsidRDefault="000046E5" w:rsidP="000046E5">
            <w:pPr>
              <w:spacing w:line="259" w:lineRule="auto"/>
              <w:ind w:left="56"/>
              <w:jc w:val="center"/>
              <w:rPr>
                <w:rFonts w:ascii="Calibri" w:hAnsi="Calibri"/>
                <w:color w:val="000000"/>
                <w:sz w:val="20"/>
                <w:szCs w:val="20"/>
              </w:rPr>
            </w:pPr>
            <w:r>
              <w:rPr>
                <w:sz w:val="18"/>
                <w:szCs w:val="18"/>
              </w:rPr>
              <w:t>-12288</w:t>
            </w:r>
          </w:p>
        </w:tc>
        <w:tc>
          <w:tcPr>
            <w:tcW w:w="775" w:type="dxa"/>
            <w:tcBorders>
              <w:top w:val="single" w:sz="2" w:space="0" w:color="000000"/>
              <w:left w:val="single" w:sz="2" w:space="0" w:color="000000"/>
              <w:bottom w:val="single" w:sz="2" w:space="0" w:color="000000"/>
              <w:right w:val="single" w:sz="2" w:space="0" w:color="000000"/>
            </w:tcBorders>
            <w:vAlign w:val="center"/>
          </w:tcPr>
          <w:p w14:paraId="3B4C4E37" w14:textId="4AF26A44"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-38995</w:t>
            </w:r>
          </w:p>
        </w:tc>
        <w:tc>
          <w:tcPr>
            <w:tcW w:w="775" w:type="dxa"/>
            <w:tcBorders>
              <w:top w:val="single" w:sz="2" w:space="0" w:color="000000"/>
              <w:left w:val="single" w:sz="2" w:space="0" w:color="000000"/>
              <w:bottom w:val="single" w:sz="2" w:space="0" w:color="000000"/>
              <w:right w:val="single" w:sz="2" w:space="0" w:color="000000"/>
            </w:tcBorders>
            <w:vAlign w:val="center"/>
          </w:tcPr>
          <w:p w14:paraId="79617A8E" w14:textId="50E3A02C"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-37671</w:t>
            </w:r>
          </w:p>
        </w:tc>
        <w:tc>
          <w:tcPr>
            <w:tcW w:w="776" w:type="dxa"/>
            <w:tcBorders>
              <w:top w:val="single" w:sz="2" w:space="0" w:color="000000"/>
              <w:left w:val="single" w:sz="2" w:space="0" w:color="000000"/>
              <w:bottom w:val="single" w:sz="2" w:space="0" w:color="000000"/>
              <w:right w:val="single" w:sz="2" w:space="0" w:color="000000"/>
            </w:tcBorders>
            <w:vAlign w:val="center"/>
          </w:tcPr>
          <w:p w14:paraId="2BA78CFA" w14:textId="4784A049"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-40160</w:t>
            </w:r>
          </w:p>
        </w:tc>
        <w:tc>
          <w:tcPr>
            <w:tcW w:w="775" w:type="dxa"/>
            <w:tcBorders>
              <w:top w:val="single" w:sz="2" w:space="0" w:color="000000"/>
              <w:left w:val="single" w:sz="2" w:space="0" w:color="000000"/>
              <w:bottom w:val="single" w:sz="2" w:space="0" w:color="000000"/>
              <w:right w:val="single" w:sz="2" w:space="0" w:color="000000"/>
            </w:tcBorders>
            <w:vAlign w:val="center"/>
          </w:tcPr>
          <w:p w14:paraId="55D8222B" w14:textId="4605E45D"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-45205</w:t>
            </w:r>
          </w:p>
        </w:tc>
        <w:tc>
          <w:tcPr>
            <w:tcW w:w="776" w:type="dxa"/>
            <w:tcBorders>
              <w:top w:val="single" w:sz="2" w:space="0" w:color="000000"/>
              <w:left w:val="single" w:sz="2" w:space="0" w:color="000000"/>
              <w:bottom w:val="single" w:sz="2" w:space="0" w:color="000000"/>
              <w:right w:val="single" w:sz="2" w:space="0" w:color="000000"/>
            </w:tcBorders>
            <w:vAlign w:val="center"/>
          </w:tcPr>
          <w:p w14:paraId="5FA3B32C" w14:textId="6B16A770"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-67148</w:t>
            </w:r>
          </w:p>
        </w:tc>
      </w:tr>
      <w:tr w:rsidR="000046E5" w14:paraId="68B50DE2" w14:textId="77777777" w:rsidTr="00261D3D">
        <w:trPr>
          <w:trHeight w:val="344"/>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53D94683" w14:textId="77777777" w:rsidR="000046E5" w:rsidRDefault="000046E5" w:rsidP="000046E5">
            <w:pPr>
              <w:spacing w:line="259" w:lineRule="auto"/>
            </w:pPr>
            <w:r>
              <w:rPr>
                <w:sz w:val="18"/>
              </w:rPr>
              <w:t xml:space="preserve">Déchets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72FC03" w14:textId="5F2263DB" w:rsidR="000046E5" w:rsidRPr="00AB5735" w:rsidRDefault="000046E5" w:rsidP="000046E5">
            <w:pPr>
              <w:spacing w:line="259" w:lineRule="auto"/>
              <w:ind w:left="106"/>
              <w:jc w:val="center"/>
            </w:pPr>
            <w:r>
              <w:rPr>
                <w:sz w:val="18"/>
                <w:szCs w:val="18"/>
              </w:rPr>
              <w:t>17283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3AD28F" w14:textId="455D9F40" w:rsidR="000046E5" w:rsidRPr="00C14DCA" w:rsidRDefault="000046E5" w:rsidP="000046E5">
            <w:pPr>
              <w:spacing w:line="259" w:lineRule="auto"/>
              <w:ind w:left="107"/>
              <w:jc w:val="center"/>
              <w:rPr>
                <w:highlight w:val="yellow"/>
              </w:rPr>
            </w:pPr>
            <w:r>
              <w:rPr>
                <w:sz w:val="18"/>
                <w:szCs w:val="18"/>
              </w:rPr>
              <w:t>20118</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AC9F20" w14:textId="33B33A29" w:rsidR="000046E5" w:rsidRPr="00C14DCA" w:rsidRDefault="000046E5" w:rsidP="000046E5">
            <w:pPr>
              <w:spacing w:line="259" w:lineRule="auto"/>
              <w:ind w:left="107"/>
              <w:jc w:val="center"/>
              <w:rPr>
                <w:highlight w:val="yellow"/>
              </w:rPr>
            </w:pPr>
            <w:r>
              <w:rPr>
                <w:sz w:val="18"/>
                <w:szCs w:val="18"/>
              </w:rPr>
              <w:t>21056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616D08" w14:textId="7DCAFD8C" w:rsidR="000046E5" w:rsidRPr="00C14DCA" w:rsidRDefault="000046E5" w:rsidP="000046E5">
            <w:pPr>
              <w:spacing w:line="259" w:lineRule="auto"/>
              <w:ind w:left="106"/>
              <w:jc w:val="center"/>
              <w:rPr>
                <w:highlight w:val="yellow"/>
              </w:rPr>
            </w:pPr>
            <w:r>
              <w:rPr>
                <w:sz w:val="18"/>
                <w:szCs w:val="18"/>
              </w:rPr>
              <w:t>21362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A0C703" w14:textId="6F6DEF13" w:rsidR="000046E5" w:rsidRPr="00AB5735" w:rsidRDefault="000046E5" w:rsidP="000046E5">
            <w:pPr>
              <w:spacing w:line="259" w:lineRule="auto"/>
              <w:ind w:left="107"/>
              <w:jc w:val="center"/>
            </w:pPr>
            <w:r>
              <w:rPr>
                <w:sz w:val="18"/>
                <w:szCs w:val="18"/>
              </w:rPr>
              <w:t>20756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FFA8B6" w14:textId="6779989F" w:rsidR="000046E5" w:rsidRPr="00AB5735" w:rsidRDefault="000046E5" w:rsidP="000046E5">
            <w:pPr>
              <w:spacing w:line="259" w:lineRule="auto"/>
              <w:ind w:left="106"/>
              <w:jc w:val="center"/>
            </w:pPr>
            <w:r>
              <w:rPr>
                <w:sz w:val="18"/>
                <w:szCs w:val="18"/>
              </w:rPr>
              <w:t>17905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310101" w14:textId="36916F16" w:rsidR="000046E5" w:rsidRDefault="000046E5" w:rsidP="000046E5">
            <w:pPr>
              <w:spacing w:line="259" w:lineRule="auto"/>
              <w:ind w:left="56"/>
              <w:jc w:val="center"/>
              <w:rPr>
                <w:rFonts w:ascii="Calibri" w:hAnsi="Calibri"/>
                <w:color w:val="000000"/>
                <w:sz w:val="20"/>
                <w:szCs w:val="20"/>
              </w:rPr>
            </w:pPr>
            <w:r>
              <w:rPr>
                <w:sz w:val="18"/>
                <w:szCs w:val="18"/>
              </w:rPr>
              <w:t>18165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F83A3E" w14:textId="3EE0FB2E"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14345</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DF141E" w14:textId="5810F15F"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12325</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13BA90" w14:textId="1D08A54D"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10983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E8DCF0" w14:textId="6FBA4201"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9786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70A69F" w14:textId="578301B2" w:rsidR="000046E5" w:rsidRPr="00921C44" w:rsidRDefault="000046E5" w:rsidP="000046E5">
            <w:pPr>
              <w:spacing w:line="259" w:lineRule="auto"/>
              <w:ind w:left="56"/>
              <w:jc w:val="center"/>
              <w:rPr>
                <w:sz w:val="18"/>
                <w:szCs w:val="18"/>
              </w:rPr>
            </w:pPr>
            <w:r w:rsidRPr="00634E4C">
              <w:rPr>
                <w:rFonts w:asciiTheme="majorHAnsi" w:hAnsiTheme="majorHAnsi"/>
                <w:color w:val="000000"/>
                <w:sz w:val="18"/>
              </w:rPr>
              <w:t>6193</w:t>
            </w:r>
          </w:p>
        </w:tc>
      </w:tr>
      <w:tr w:rsidR="000046E5" w14:paraId="5D55970A" w14:textId="77777777" w:rsidTr="00261D3D">
        <w:trPr>
          <w:trHeight w:val="344"/>
        </w:trPr>
        <w:tc>
          <w:tcPr>
            <w:tcW w:w="1404" w:type="dxa"/>
            <w:tcBorders>
              <w:top w:val="single" w:sz="2" w:space="0" w:color="000000"/>
              <w:left w:val="single" w:sz="2" w:space="0" w:color="000000"/>
              <w:bottom w:val="single" w:sz="2" w:space="0" w:color="000000"/>
              <w:right w:val="single" w:sz="2" w:space="0" w:color="000000"/>
            </w:tcBorders>
          </w:tcPr>
          <w:p w14:paraId="04E27511" w14:textId="77777777" w:rsidR="000046E5" w:rsidRDefault="000046E5" w:rsidP="000046E5">
            <w:pPr>
              <w:spacing w:line="259" w:lineRule="auto"/>
            </w:pPr>
            <w:r>
              <w:rPr>
                <w:b/>
                <w:sz w:val="18"/>
              </w:rPr>
              <w:t xml:space="preserve">Ensemble (hors UTCF) </w:t>
            </w:r>
          </w:p>
        </w:tc>
        <w:tc>
          <w:tcPr>
            <w:tcW w:w="775" w:type="dxa"/>
            <w:tcBorders>
              <w:top w:val="single" w:sz="2" w:space="0" w:color="000000"/>
              <w:left w:val="single" w:sz="2" w:space="0" w:color="000000"/>
              <w:bottom w:val="single" w:sz="2" w:space="0" w:color="000000"/>
              <w:right w:val="single" w:sz="2" w:space="0" w:color="000000"/>
            </w:tcBorders>
            <w:vAlign w:val="center"/>
          </w:tcPr>
          <w:p w14:paraId="7EB1B81B" w14:textId="57E4E1B4" w:rsidR="000046E5" w:rsidRPr="000867AD" w:rsidRDefault="000046E5" w:rsidP="000046E5">
            <w:pPr>
              <w:spacing w:line="259" w:lineRule="auto"/>
              <w:ind w:left="55"/>
              <w:jc w:val="center"/>
              <w:rPr>
                <w:b/>
              </w:rPr>
            </w:pPr>
            <w:r w:rsidRPr="0002410C">
              <w:rPr>
                <w:rFonts w:asciiTheme="majorHAnsi" w:hAnsiTheme="majorHAnsi"/>
                <w:b/>
                <w:sz w:val="18"/>
                <w:szCs w:val="18"/>
              </w:rPr>
              <w:t>544086</w:t>
            </w:r>
          </w:p>
        </w:tc>
        <w:tc>
          <w:tcPr>
            <w:tcW w:w="775" w:type="dxa"/>
            <w:tcBorders>
              <w:top w:val="single" w:sz="2" w:space="0" w:color="000000"/>
              <w:left w:val="single" w:sz="2" w:space="0" w:color="000000"/>
              <w:bottom w:val="single" w:sz="2" w:space="0" w:color="000000"/>
              <w:right w:val="single" w:sz="2" w:space="0" w:color="000000"/>
            </w:tcBorders>
            <w:vAlign w:val="center"/>
          </w:tcPr>
          <w:p w14:paraId="02F0E716" w14:textId="02B3A0A5" w:rsidR="000046E5" w:rsidRPr="000867AD" w:rsidRDefault="000046E5" w:rsidP="000046E5">
            <w:pPr>
              <w:spacing w:line="259" w:lineRule="auto"/>
              <w:ind w:left="56"/>
              <w:jc w:val="center"/>
              <w:rPr>
                <w:b/>
                <w:highlight w:val="yellow"/>
              </w:rPr>
            </w:pPr>
            <w:r w:rsidRPr="0002410C">
              <w:rPr>
                <w:rFonts w:asciiTheme="majorHAnsi" w:hAnsiTheme="majorHAnsi"/>
                <w:b/>
                <w:sz w:val="18"/>
                <w:szCs w:val="18"/>
              </w:rPr>
              <w:t>536475</w:t>
            </w:r>
          </w:p>
        </w:tc>
        <w:tc>
          <w:tcPr>
            <w:tcW w:w="775" w:type="dxa"/>
            <w:tcBorders>
              <w:top w:val="single" w:sz="2" w:space="0" w:color="000000"/>
              <w:left w:val="single" w:sz="2" w:space="0" w:color="000000"/>
              <w:bottom w:val="single" w:sz="2" w:space="0" w:color="000000"/>
              <w:right w:val="single" w:sz="2" w:space="0" w:color="000000"/>
            </w:tcBorders>
            <w:vAlign w:val="center"/>
          </w:tcPr>
          <w:p w14:paraId="6EDDF375" w14:textId="40267CC9" w:rsidR="000046E5" w:rsidRPr="000867AD" w:rsidRDefault="000046E5" w:rsidP="000046E5">
            <w:pPr>
              <w:spacing w:line="259" w:lineRule="auto"/>
              <w:ind w:left="56"/>
              <w:jc w:val="center"/>
              <w:rPr>
                <w:b/>
                <w:highlight w:val="yellow"/>
              </w:rPr>
            </w:pPr>
            <w:r w:rsidRPr="0002410C">
              <w:rPr>
                <w:rFonts w:asciiTheme="majorHAnsi" w:hAnsiTheme="majorHAnsi" w:cs="Calibri"/>
                <w:b/>
                <w:sz w:val="18"/>
                <w:szCs w:val="18"/>
              </w:rPr>
              <w:t>549005</w:t>
            </w:r>
          </w:p>
        </w:tc>
        <w:tc>
          <w:tcPr>
            <w:tcW w:w="776" w:type="dxa"/>
            <w:tcBorders>
              <w:top w:val="single" w:sz="2" w:space="0" w:color="000000"/>
              <w:left w:val="single" w:sz="2" w:space="0" w:color="000000"/>
              <w:bottom w:val="single" w:sz="2" w:space="0" w:color="000000"/>
              <w:right w:val="single" w:sz="2" w:space="0" w:color="000000"/>
            </w:tcBorders>
            <w:vAlign w:val="center"/>
          </w:tcPr>
          <w:p w14:paraId="53D1BFBF" w14:textId="1F8DF042" w:rsidR="000046E5" w:rsidRPr="000867AD" w:rsidRDefault="000046E5" w:rsidP="000046E5">
            <w:pPr>
              <w:spacing w:line="259" w:lineRule="auto"/>
              <w:ind w:left="55"/>
              <w:jc w:val="center"/>
              <w:rPr>
                <w:b/>
                <w:highlight w:val="yellow"/>
              </w:rPr>
            </w:pPr>
            <w:r w:rsidRPr="0002410C">
              <w:rPr>
                <w:rFonts w:asciiTheme="majorHAnsi" w:hAnsiTheme="majorHAnsi" w:cs="Calibri"/>
                <w:b/>
                <w:sz w:val="18"/>
                <w:szCs w:val="18"/>
              </w:rPr>
              <w:t>551391</w:t>
            </w:r>
          </w:p>
        </w:tc>
        <w:tc>
          <w:tcPr>
            <w:tcW w:w="775" w:type="dxa"/>
            <w:tcBorders>
              <w:top w:val="single" w:sz="2" w:space="0" w:color="000000"/>
              <w:left w:val="single" w:sz="2" w:space="0" w:color="000000"/>
              <w:bottom w:val="single" w:sz="2" w:space="0" w:color="000000"/>
              <w:right w:val="single" w:sz="2" w:space="0" w:color="000000"/>
            </w:tcBorders>
            <w:vAlign w:val="center"/>
          </w:tcPr>
          <w:p w14:paraId="30B5F70D" w14:textId="2346D82A" w:rsidR="000046E5" w:rsidRPr="000867AD" w:rsidRDefault="000046E5" w:rsidP="000046E5">
            <w:pPr>
              <w:spacing w:line="259" w:lineRule="auto"/>
              <w:ind w:left="61"/>
              <w:jc w:val="center"/>
              <w:rPr>
                <w:b/>
              </w:rPr>
            </w:pPr>
            <w:r w:rsidRPr="0002410C">
              <w:rPr>
                <w:rFonts w:asciiTheme="majorHAnsi" w:hAnsiTheme="majorHAnsi" w:cs="Calibri"/>
                <w:b/>
                <w:sz w:val="18"/>
                <w:szCs w:val="18"/>
              </w:rPr>
              <w:t>507468</w:t>
            </w:r>
          </w:p>
        </w:tc>
        <w:tc>
          <w:tcPr>
            <w:tcW w:w="776" w:type="dxa"/>
            <w:tcBorders>
              <w:top w:val="single" w:sz="2" w:space="0" w:color="000000"/>
              <w:left w:val="single" w:sz="2" w:space="0" w:color="000000"/>
              <w:bottom w:val="single" w:sz="2" w:space="0" w:color="000000"/>
              <w:right w:val="single" w:sz="2" w:space="0" w:color="000000"/>
            </w:tcBorders>
            <w:vAlign w:val="center"/>
          </w:tcPr>
          <w:p w14:paraId="4FD38071" w14:textId="6FDF81F8" w:rsidR="000046E5" w:rsidRPr="000867AD" w:rsidRDefault="000046E5" w:rsidP="000046E5">
            <w:pPr>
              <w:spacing w:line="259" w:lineRule="auto"/>
              <w:ind w:left="55"/>
              <w:jc w:val="center"/>
              <w:rPr>
                <w:b/>
              </w:rPr>
            </w:pPr>
            <w:r w:rsidRPr="0002410C">
              <w:rPr>
                <w:rFonts w:asciiTheme="majorHAnsi" w:hAnsiTheme="majorHAnsi" w:cs="Calibri"/>
                <w:b/>
                <w:sz w:val="18"/>
                <w:szCs w:val="18"/>
              </w:rPr>
              <w:t>457923</w:t>
            </w:r>
          </w:p>
        </w:tc>
        <w:tc>
          <w:tcPr>
            <w:tcW w:w="775" w:type="dxa"/>
            <w:tcBorders>
              <w:top w:val="single" w:sz="2" w:space="0" w:color="000000"/>
              <w:left w:val="single" w:sz="2" w:space="0" w:color="000000"/>
              <w:bottom w:val="single" w:sz="2" w:space="0" w:color="000000"/>
              <w:right w:val="single" w:sz="2" w:space="0" w:color="000000"/>
            </w:tcBorders>
            <w:vAlign w:val="center"/>
          </w:tcPr>
          <w:p w14:paraId="54F456E8" w14:textId="295FD126" w:rsidR="000046E5" w:rsidRPr="000867AD" w:rsidRDefault="000046E5" w:rsidP="000046E5">
            <w:pPr>
              <w:spacing w:line="259" w:lineRule="auto"/>
              <w:ind w:left="56"/>
              <w:jc w:val="center"/>
              <w:rPr>
                <w:rFonts w:ascii="Calibri" w:hAnsi="Calibri"/>
                <w:b/>
                <w:color w:val="000000"/>
                <w:sz w:val="20"/>
                <w:szCs w:val="20"/>
              </w:rPr>
            </w:pPr>
            <w:r w:rsidRPr="0002410C">
              <w:rPr>
                <w:rFonts w:asciiTheme="majorHAnsi" w:hAnsiTheme="majorHAnsi" w:cs="Calibri"/>
                <w:b/>
                <w:sz w:val="18"/>
                <w:szCs w:val="18"/>
              </w:rPr>
              <w:t>434539</w:t>
            </w:r>
          </w:p>
        </w:tc>
        <w:tc>
          <w:tcPr>
            <w:tcW w:w="775" w:type="dxa"/>
            <w:tcBorders>
              <w:top w:val="single" w:sz="2" w:space="0" w:color="000000"/>
              <w:left w:val="single" w:sz="2" w:space="0" w:color="000000"/>
              <w:bottom w:val="single" w:sz="2" w:space="0" w:color="000000"/>
              <w:right w:val="single" w:sz="2" w:space="0" w:color="000000"/>
            </w:tcBorders>
            <w:vAlign w:val="center"/>
          </w:tcPr>
          <w:p w14:paraId="7FF35D44" w14:textId="6C8A0891"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434378</w:t>
            </w:r>
          </w:p>
        </w:tc>
        <w:tc>
          <w:tcPr>
            <w:tcW w:w="775" w:type="dxa"/>
            <w:tcBorders>
              <w:top w:val="single" w:sz="2" w:space="0" w:color="000000"/>
              <w:left w:val="single" w:sz="2" w:space="0" w:color="000000"/>
              <w:bottom w:val="single" w:sz="2" w:space="0" w:color="000000"/>
              <w:right w:val="single" w:sz="2" w:space="0" w:color="000000"/>
            </w:tcBorders>
            <w:vAlign w:val="center"/>
          </w:tcPr>
          <w:p w14:paraId="364E0153" w14:textId="06779E16"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367661</w:t>
            </w:r>
          </w:p>
        </w:tc>
        <w:tc>
          <w:tcPr>
            <w:tcW w:w="776" w:type="dxa"/>
            <w:tcBorders>
              <w:top w:val="single" w:sz="2" w:space="0" w:color="000000"/>
              <w:left w:val="single" w:sz="2" w:space="0" w:color="000000"/>
              <w:bottom w:val="single" w:sz="2" w:space="0" w:color="000000"/>
              <w:right w:val="single" w:sz="2" w:space="0" w:color="000000"/>
            </w:tcBorders>
            <w:vAlign w:val="center"/>
          </w:tcPr>
          <w:p w14:paraId="69959E4C" w14:textId="35F86BC3"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307094</w:t>
            </w:r>
          </w:p>
        </w:tc>
        <w:tc>
          <w:tcPr>
            <w:tcW w:w="775" w:type="dxa"/>
            <w:tcBorders>
              <w:top w:val="single" w:sz="2" w:space="0" w:color="000000"/>
              <w:left w:val="single" w:sz="2" w:space="0" w:color="000000"/>
              <w:bottom w:val="single" w:sz="2" w:space="0" w:color="000000"/>
              <w:right w:val="single" w:sz="2" w:space="0" w:color="000000"/>
            </w:tcBorders>
            <w:vAlign w:val="center"/>
          </w:tcPr>
          <w:p w14:paraId="2BE6BEF3" w14:textId="164AF368"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247697</w:t>
            </w:r>
          </w:p>
        </w:tc>
        <w:tc>
          <w:tcPr>
            <w:tcW w:w="776" w:type="dxa"/>
            <w:tcBorders>
              <w:top w:val="single" w:sz="2" w:space="0" w:color="000000"/>
              <w:left w:val="single" w:sz="2" w:space="0" w:color="000000"/>
              <w:bottom w:val="single" w:sz="2" w:space="0" w:color="000000"/>
              <w:right w:val="single" w:sz="2" w:space="0" w:color="000000"/>
            </w:tcBorders>
            <w:vAlign w:val="center"/>
          </w:tcPr>
          <w:p w14:paraId="4E3834FC" w14:textId="54688EE8"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64551</w:t>
            </w:r>
          </w:p>
        </w:tc>
      </w:tr>
      <w:tr w:rsidR="000046E5" w14:paraId="51E2B0CC" w14:textId="77777777" w:rsidTr="00261D3D">
        <w:trPr>
          <w:trHeight w:val="345"/>
        </w:trPr>
        <w:tc>
          <w:tcPr>
            <w:tcW w:w="1404" w:type="dxa"/>
            <w:tcBorders>
              <w:top w:val="single" w:sz="2" w:space="0" w:color="000000"/>
              <w:left w:val="single" w:sz="2" w:space="0" w:color="000000"/>
              <w:bottom w:val="single" w:sz="2" w:space="0" w:color="000000"/>
              <w:right w:val="single" w:sz="2" w:space="0" w:color="000000"/>
            </w:tcBorders>
            <w:shd w:val="clear" w:color="auto" w:fill="ECE6E2"/>
          </w:tcPr>
          <w:p w14:paraId="37903F43" w14:textId="77777777" w:rsidR="000046E5" w:rsidRDefault="000046E5" w:rsidP="000046E5">
            <w:pPr>
              <w:spacing w:line="259" w:lineRule="auto"/>
            </w:pPr>
            <w:r>
              <w:rPr>
                <w:b/>
                <w:sz w:val="18"/>
              </w:rPr>
              <w:t xml:space="preserve">Ensemble (avec UTCF) </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D7C502" w14:textId="4A3F47FA" w:rsidR="000046E5" w:rsidRPr="000867AD" w:rsidRDefault="000046E5" w:rsidP="000046E5">
            <w:pPr>
              <w:spacing w:line="259" w:lineRule="auto"/>
              <w:ind w:left="55"/>
              <w:jc w:val="center"/>
              <w:rPr>
                <w:b/>
              </w:rPr>
            </w:pPr>
            <w:r w:rsidRPr="0002410C">
              <w:rPr>
                <w:b/>
                <w:sz w:val="18"/>
                <w:szCs w:val="18"/>
              </w:rPr>
              <w:t>520100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ADA521" w14:textId="78B918A9" w:rsidR="000046E5" w:rsidRPr="000867AD" w:rsidRDefault="000046E5" w:rsidP="000046E5">
            <w:pPr>
              <w:spacing w:line="259" w:lineRule="auto"/>
              <w:ind w:left="56"/>
              <w:jc w:val="center"/>
              <w:rPr>
                <w:b/>
                <w:highlight w:val="yellow"/>
              </w:rPr>
            </w:pPr>
            <w:r w:rsidRPr="0002410C">
              <w:rPr>
                <w:b/>
                <w:sz w:val="18"/>
                <w:szCs w:val="18"/>
              </w:rPr>
              <w:t>511596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A4E729" w14:textId="6FF3F93D" w:rsidR="000046E5" w:rsidRPr="000867AD" w:rsidRDefault="000046E5" w:rsidP="000046E5">
            <w:pPr>
              <w:spacing w:line="259" w:lineRule="auto"/>
              <w:ind w:left="56"/>
              <w:jc w:val="center"/>
              <w:rPr>
                <w:b/>
                <w:highlight w:val="yellow"/>
              </w:rPr>
            </w:pPr>
            <w:r w:rsidRPr="0002410C">
              <w:rPr>
                <w:b/>
                <w:sz w:val="18"/>
                <w:szCs w:val="18"/>
              </w:rPr>
              <w:t>529296</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44F99E" w14:textId="7DAD7E16" w:rsidR="000046E5" w:rsidRPr="000867AD" w:rsidRDefault="000046E5" w:rsidP="000046E5">
            <w:pPr>
              <w:spacing w:line="259" w:lineRule="auto"/>
              <w:ind w:left="55"/>
              <w:jc w:val="center"/>
              <w:rPr>
                <w:b/>
                <w:highlight w:val="yellow"/>
              </w:rPr>
            </w:pPr>
            <w:r w:rsidRPr="0002410C">
              <w:rPr>
                <w:b/>
                <w:sz w:val="18"/>
                <w:szCs w:val="18"/>
              </w:rPr>
              <w:t>504080</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29078D" w14:textId="03CB059C" w:rsidR="000046E5" w:rsidRPr="000867AD" w:rsidRDefault="000046E5" w:rsidP="000046E5">
            <w:pPr>
              <w:spacing w:line="259" w:lineRule="auto"/>
              <w:ind w:left="56"/>
              <w:jc w:val="center"/>
              <w:rPr>
                <w:b/>
              </w:rPr>
            </w:pPr>
            <w:r w:rsidRPr="0002410C">
              <w:rPr>
                <w:b/>
                <w:sz w:val="18"/>
                <w:szCs w:val="18"/>
              </w:rPr>
              <w:t>469113</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138E4E" w14:textId="1EA2EFA4" w:rsidR="000046E5" w:rsidRPr="000867AD" w:rsidRDefault="000046E5" w:rsidP="000046E5">
            <w:pPr>
              <w:spacing w:line="259" w:lineRule="auto"/>
              <w:ind w:left="55"/>
              <w:jc w:val="center"/>
              <w:rPr>
                <w:b/>
              </w:rPr>
            </w:pPr>
            <w:r w:rsidRPr="0002410C">
              <w:rPr>
                <w:b/>
                <w:sz w:val="18"/>
                <w:szCs w:val="18"/>
              </w:rPr>
              <w:t>423346</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5A9E13" w14:textId="650CD8BC" w:rsidR="000046E5" w:rsidRPr="000867AD" w:rsidRDefault="000046E5" w:rsidP="000046E5">
            <w:pPr>
              <w:spacing w:line="259" w:lineRule="auto"/>
              <w:ind w:left="56"/>
              <w:jc w:val="center"/>
              <w:rPr>
                <w:rFonts w:ascii="Calibri" w:hAnsi="Calibri"/>
                <w:b/>
                <w:color w:val="000000"/>
                <w:sz w:val="20"/>
                <w:szCs w:val="20"/>
              </w:rPr>
            </w:pPr>
            <w:r w:rsidRPr="0002410C">
              <w:rPr>
                <w:b/>
                <w:sz w:val="18"/>
                <w:szCs w:val="18"/>
              </w:rPr>
              <w:t>422252</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471742" w14:textId="6BD0225E"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395383</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541F69" w14:textId="2AC36E67"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329989</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45D038" w14:textId="266F41CE"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266934</w:t>
            </w:r>
          </w:p>
        </w:tc>
        <w:tc>
          <w:tcPr>
            <w:tcW w:w="7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51BC5A" w14:textId="153C5441"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202492</w:t>
            </w:r>
          </w:p>
        </w:tc>
        <w:tc>
          <w:tcPr>
            <w:tcW w:w="77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B39187" w14:textId="467901FA" w:rsidR="000046E5" w:rsidRPr="000867AD" w:rsidRDefault="000046E5" w:rsidP="000046E5">
            <w:pPr>
              <w:spacing w:line="259" w:lineRule="auto"/>
              <w:ind w:left="56"/>
              <w:jc w:val="center"/>
              <w:rPr>
                <w:b/>
                <w:sz w:val="18"/>
                <w:szCs w:val="18"/>
              </w:rPr>
            </w:pPr>
            <w:r w:rsidRPr="00634E4C">
              <w:rPr>
                <w:rFonts w:asciiTheme="majorHAnsi" w:hAnsiTheme="majorHAnsi"/>
                <w:b/>
                <w:color w:val="000000"/>
                <w:sz w:val="18"/>
              </w:rPr>
              <w:t>-2597</w:t>
            </w:r>
          </w:p>
        </w:tc>
      </w:tr>
      <w:tr w:rsidR="000046E5" w14:paraId="24AE6F6C" w14:textId="77777777" w:rsidTr="00261D3D">
        <w:trPr>
          <w:trHeight w:val="346"/>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00A56A44" w14:textId="77777777" w:rsidR="000046E5" w:rsidRDefault="000046E5" w:rsidP="000046E5">
            <w:pPr>
              <w:spacing w:line="259" w:lineRule="auto"/>
            </w:pPr>
            <w:r>
              <w:rPr>
                <w:i/>
                <w:sz w:val="18"/>
              </w:rPr>
              <w:t xml:space="preserve">Pour mémoire :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4EA523F" w14:textId="77777777" w:rsidR="000046E5" w:rsidRPr="00AB5735" w:rsidRDefault="000046E5" w:rsidP="000046E5">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C6226CA" w14:textId="77777777" w:rsidR="000046E5" w:rsidRPr="00C14DCA" w:rsidRDefault="000046E5" w:rsidP="000046E5">
            <w:pPr>
              <w:spacing w:line="259" w:lineRule="auto"/>
              <w:ind w:left="20"/>
              <w:jc w:val="center"/>
              <w:rPr>
                <w:highlight w:val="yellow"/>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C76C18A" w14:textId="77777777" w:rsidR="000046E5" w:rsidRPr="00C14DCA" w:rsidRDefault="000046E5" w:rsidP="000046E5">
            <w:pPr>
              <w:spacing w:line="259" w:lineRule="auto"/>
              <w:ind w:left="20"/>
              <w:jc w:val="center"/>
              <w:rPr>
                <w:highlight w:val="yellow"/>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2EBA0C6" w14:textId="77777777" w:rsidR="000046E5" w:rsidRPr="00C14DCA" w:rsidRDefault="000046E5" w:rsidP="000046E5">
            <w:pPr>
              <w:spacing w:line="259" w:lineRule="auto"/>
              <w:ind w:left="18"/>
              <w:jc w:val="center"/>
              <w:rPr>
                <w:highlight w:val="yellow"/>
              </w:rP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483BD60" w14:textId="77777777" w:rsidR="000046E5" w:rsidRPr="00AB5735" w:rsidRDefault="000046E5" w:rsidP="000046E5">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D04BF80" w14:textId="77777777" w:rsidR="000046E5" w:rsidRPr="00AB5735" w:rsidRDefault="000046E5" w:rsidP="000046E5">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F3A09FE" w14:textId="77777777" w:rsidR="000046E5" w:rsidRDefault="000046E5" w:rsidP="000046E5">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A33711C" w14:textId="1C6F270E" w:rsidR="000046E5" w:rsidRDefault="000046E5" w:rsidP="000046E5">
            <w:pPr>
              <w:spacing w:line="259" w:lineRule="auto"/>
              <w:ind w:left="18"/>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2871052" w14:textId="77777777" w:rsidR="000046E5" w:rsidRDefault="000046E5" w:rsidP="000046E5">
            <w:pPr>
              <w:spacing w:line="259" w:lineRule="auto"/>
              <w:ind w:left="20"/>
              <w:jc w:val="cente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289E8C4" w14:textId="77777777" w:rsidR="000046E5" w:rsidRDefault="000046E5" w:rsidP="000046E5">
            <w:pPr>
              <w:spacing w:line="259" w:lineRule="auto"/>
              <w:ind w:left="19"/>
              <w:jc w:val="center"/>
            </w:pP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FB36BE9" w14:textId="77777777" w:rsidR="000046E5" w:rsidRDefault="000046E5" w:rsidP="000046E5">
            <w:pPr>
              <w:spacing w:line="259" w:lineRule="auto"/>
              <w:ind w:left="19"/>
              <w:jc w:val="center"/>
              <w:rPr>
                <w:i/>
                <w:sz w:val="18"/>
              </w:rPr>
            </w:pP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13FB924" w14:textId="77777777" w:rsidR="000046E5" w:rsidRDefault="000046E5" w:rsidP="000046E5">
            <w:pPr>
              <w:spacing w:line="259" w:lineRule="auto"/>
              <w:ind w:left="19"/>
              <w:jc w:val="center"/>
              <w:rPr>
                <w:i/>
                <w:sz w:val="18"/>
              </w:rPr>
            </w:pPr>
          </w:p>
        </w:tc>
      </w:tr>
      <w:tr w:rsidR="000046E5" w14:paraId="583CE848" w14:textId="77777777" w:rsidTr="00261D3D">
        <w:trPr>
          <w:trHeight w:val="346"/>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52F557CD" w14:textId="77777777" w:rsidR="000046E5" w:rsidRDefault="000046E5" w:rsidP="000046E5">
            <w:pPr>
              <w:spacing w:line="259" w:lineRule="auto"/>
            </w:pPr>
            <w:r>
              <w:rPr>
                <w:i/>
                <w:sz w:val="18"/>
              </w:rPr>
              <w:t xml:space="preserve">Soutes internationales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9363DF3" w14:textId="2B4DAEC9" w:rsidR="000046E5" w:rsidRPr="00AB5735" w:rsidRDefault="000046E5" w:rsidP="000046E5">
            <w:pPr>
              <w:spacing w:line="259" w:lineRule="auto"/>
              <w:ind w:left="56"/>
              <w:jc w:val="center"/>
              <w:rPr>
                <w:i/>
                <w:sz w:val="18"/>
                <w:szCs w:val="18"/>
              </w:rPr>
            </w:pPr>
            <w:r>
              <w:rPr>
                <w:sz w:val="18"/>
                <w:szCs w:val="18"/>
              </w:rPr>
              <w:t>16921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0F34B07" w14:textId="5E371C20" w:rsidR="000046E5" w:rsidRPr="00C14DCA" w:rsidRDefault="000046E5" w:rsidP="000046E5">
            <w:pPr>
              <w:spacing w:line="259" w:lineRule="auto"/>
              <w:ind w:left="56"/>
              <w:jc w:val="center"/>
              <w:rPr>
                <w:i/>
                <w:sz w:val="18"/>
                <w:szCs w:val="18"/>
                <w:highlight w:val="yellow"/>
              </w:rPr>
            </w:pPr>
            <w:r>
              <w:rPr>
                <w:sz w:val="18"/>
                <w:szCs w:val="18"/>
              </w:rPr>
              <w:t>17908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092046A" w14:textId="033EDFEE" w:rsidR="000046E5" w:rsidRPr="00C14DCA" w:rsidRDefault="000046E5" w:rsidP="000046E5">
            <w:pPr>
              <w:spacing w:line="259" w:lineRule="auto"/>
              <w:ind w:left="56"/>
              <w:jc w:val="center"/>
              <w:rPr>
                <w:i/>
                <w:sz w:val="18"/>
                <w:szCs w:val="18"/>
                <w:highlight w:val="yellow"/>
              </w:rPr>
            </w:pPr>
            <w:r>
              <w:rPr>
                <w:sz w:val="18"/>
                <w:szCs w:val="18"/>
              </w:rPr>
              <w:t>23807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CC02B2D" w14:textId="1E215AF2" w:rsidR="000046E5" w:rsidRPr="00C14DCA" w:rsidRDefault="000046E5" w:rsidP="000046E5">
            <w:pPr>
              <w:spacing w:line="259" w:lineRule="auto"/>
              <w:ind w:left="56"/>
              <w:jc w:val="center"/>
              <w:rPr>
                <w:i/>
                <w:sz w:val="18"/>
                <w:szCs w:val="18"/>
                <w:highlight w:val="yellow"/>
              </w:rPr>
            </w:pPr>
            <w:r>
              <w:rPr>
                <w:sz w:val="18"/>
                <w:szCs w:val="18"/>
              </w:rPr>
              <w:t>24733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34540EE" w14:textId="00AAB336" w:rsidR="000046E5" w:rsidRPr="00AB5735" w:rsidRDefault="000046E5" w:rsidP="000046E5">
            <w:pPr>
              <w:spacing w:line="259" w:lineRule="auto"/>
              <w:ind w:left="56"/>
              <w:jc w:val="center"/>
              <w:rPr>
                <w:i/>
                <w:sz w:val="18"/>
                <w:szCs w:val="18"/>
              </w:rPr>
            </w:pPr>
            <w:r>
              <w:rPr>
                <w:sz w:val="18"/>
                <w:szCs w:val="18"/>
              </w:rPr>
              <w:t>24227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2D8AD5F" w14:textId="2FA9D910" w:rsidR="000046E5" w:rsidRPr="00AB5735" w:rsidRDefault="000046E5" w:rsidP="000046E5">
            <w:pPr>
              <w:spacing w:line="259" w:lineRule="auto"/>
              <w:ind w:left="56"/>
              <w:jc w:val="center"/>
              <w:rPr>
                <w:i/>
                <w:sz w:val="18"/>
                <w:szCs w:val="18"/>
              </w:rPr>
            </w:pPr>
            <w:r>
              <w:rPr>
                <w:sz w:val="18"/>
                <w:szCs w:val="18"/>
              </w:rPr>
              <w:t>23316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236FE09" w14:textId="638D99D6" w:rsidR="000046E5" w:rsidRDefault="000046E5" w:rsidP="000046E5">
            <w:pPr>
              <w:spacing w:line="259" w:lineRule="auto"/>
              <w:ind w:left="56"/>
              <w:jc w:val="center"/>
              <w:rPr>
                <w:rFonts w:ascii="Calibri" w:hAnsi="Calibri"/>
                <w:color w:val="000000"/>
                <w:sz w:val="20"/>
                <w:szCs w:val="20"/>
              </w:rPr>
            </w:pPr>
            <w:r>
              <w:rPr>
                <w:sz w:val="18"/>
                <w:szCs w:val="18"/>
              </w:rPr>
              <w:t>24791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D7FF738" w14:textId="21F9085E"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24784</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13BF3C9" w14:textId="69C2BD0C"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26995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4045B0F" w14:textId="6EDB7512"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29299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6261DCC" w14:textId="742737DC"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26287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F5202AA" w14:textId="1F96EABC"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13459</w:t>
            </w:r>
          </w:p>
        </w:tc>
      </w:tr>
      <w:tr w:rsidR="000046E5" w14:paraId="0EA23314" w14:textId="77777777" w:rsidTr="00261D3D">
        <w:trPr>
          <w:trHeight w:val="343"/>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33A7F8A9" w14:textId="77777777" w:rsidR="000046E5" w:rsidRDefault="000046E5" w:rsidP="000046E5">
            <w:pPr>
              <w:spacing w:line="259" w:lineRule="auto"/>
            </w:pPr>
            <w:r>
              <w:rPr>
                <w:i/>
                <w:sz w:val="18"/>
              </w:rPr>
              <w:t xml:space="preserve">Soutes aviation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DFB3174" w14:textId="7BB7F2DA" w:rsidR="000046E5" w:rsidRPr="00AB5735" w:rsidRDefault="000046E5" w:rsidP="000046E5">
            <w:pPr>
              <w:spacing w:line="259" w:lineRule="auto"/>
              <w:ind w:left="56"/>
              <w:jc w:val="center"/>
              <w:rPr>
                <w:i/>
                <w:sz w:val="18"/>
                <w:szCs w:val="18"/>
              </w:rPr>
            </w:pPr>
            <w:r>
              <w:rPr>
                <w:sz w:val="18"/>
                <w:szCs w:val="18"/>
              </w:rPr>
              <w:t>8880</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8A5029D" w14:textId="5AEC9D1D" w:rsidR="000046E5" w:rsidRPr="00C14DCA" w:rsidRDefault="000046E5" w:rsidP="000046E5">
            <w:pPr>
              <w:spacing w:line="259" w:lineRule="auto"/>
              <w:ind w:left="56"/>
              <w:jc w:val="center"/>
              <w:rPr>
                <w:i/>
                <w:sz w:val="18"/>
                <w:szCs w:val="18"/>
                <w:highlight w:val="yellow"/>
              </w:rPr>
            </w:pPr>
            <w:r>
              <w:rPr>
                <w:sz w:val="18"/>
                <w:szCs w:val="18"/>
              </w:rPr>
              <w:t>10709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D6201D9" w14:textId="42544E8E" w:rsidR="000046E5" w:rsidRPr="00C14DCA" w:rsidRDefault="000046E5" w:rsidP="000046E5">
            <w:pPr>
              <w:spacing w:line="259" w:lineRule="auto"/>
              <w:ind w:left="56"/>
              <w:jc w:val="center"/>
              <w:rPr>
                <w:i/>
                <w:sz w:val="18"/>
                <w:szCs w:val="18"/>
                <w:highlight w:val="yellow"/>
              </w:rPr>
            </w:pPr>
            <w:r>
              <w:rPr>
                <w:sz w:val="18"/>
                <w:szCs w:val="18"/>
              </w:rPr>
              <w:t>14243</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3EDC03E" w14:textId="37568271" w:rsidR="000046E5" w:rsidRPr="00C14DCA" w:rsidRDefault="000046E5" w:rsidP="000046E5">
            <w:pPr>
              <w:spacing w:line="259" w:lineRule="auto"/>
              <w:ind w:left="56"/>
              <w:jc w:val="center"/>
              <w:rPr>
                <w:i/>
                <w:sz w:val="18"/>
                <w:szCs w:val="18"/>
                <w:highlight w:val="yellow"/>
              </w:rPr>
            </w:pPr>
            <w:r>
              <w:rPr>
                <w:sz w:val="18"/>
                <w:szCs w:val="18"/>
              </w:rPr>
              <w:t>15862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2F4DF44" w14:textId="0CD6EF43" w:rsidR="000046E5" w:rsidRPr="00AB5735" w:rsidRDefault="000046E5" w:rsidP="000046E5">
            <w:pPr>
              <w:spacing w:line="259" w:lineRule="auto"/>
              <w:ind w:left="56"/>
              <w:jc w:val="center"/>
              <w:rPr>
                <w:i/>
                <w:sz w:val="18"/>
                <w:szCs w:val="18"/>
              </w:rPr>
            </w:pPr>
            <w:r>
              <w:rPr>
                <w:sz w:val="18"/>
                <w:szCs w:val="18"/>
              </w:rPr>
              <w:t>16227</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37261E41" w14:textId="2CA59863" w:rsidR="000046E5" w:rsidRPr="00AB5735" w:rsidRDefault="000046E5" w:rsidP="000046E5">
            <w:pPr>
              <w:spacing w:line="259" w:lineRule="auto"/>
              <w:ind w:left="56"/>
              <w:jc w:val="center"/>
              <w:rPr>
                <w:i/>
                <w:sz w:val="18"/>
                <w:szCs w:val="18"/>
              </w:rPr>
            </w:pPr>
            <w:r>
              <w:rPr>
                <w:sz w:val="18"/>
                <w:szCs w:val="18"/>
              </w:rPr>
              <w:t>17705</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9D1502F" w14:textId="70D67580" w:rsidR="000046E5" w:rsidRDefault="000046E5" w:rsidP="000046E5">
            <w:pPr>
              <w:spacing w:line="259" w:lineRule="auto"/>
              <w:ind w:left="56"/>
              <w:jc w:val="center"/>
              <w:rPr>
                <w:rFonts w:ascii="Calibri" w:hAnsi="Calibri"/>
                <w:color w:val="000000"/>
                <w:sz w:val="20"/>
                <w:szCs w:val="20"/>
              </w:rPr>
            </w:pPr>
            <w:r>
              <w:rPr>
                <w:sz w:val="18"/>
                <w:szCs w:val="18"/>
              </w:rPr>
              <w:t>19202</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C63627A" w14:textId="67D3C689"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17005</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BC5CB5F" w14:textId="427454EE"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19084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E17C851" w14:textId="03EAFC2A"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21396</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16C85DF" w14:textId="68D89898"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18692</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B58898F" w14:textId="5862E80B"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11003</w:t>
            </w:r>
          </w:p>
        </w:tc>
      </w:tr>
      <w:tr w:rsidR="000046E5" w14:paraId="1CF80392" w14:textId="77777777" w:rsidTr="00261D3D">
        <w:trPr>
          <w:trHeight w:val="345"/>
        </w:trPr>
        <w:tc>
          <w:tcPr>
            <w:tcW w:w="1404" w:type="dxa"/>
            <w:tcBorders>
              <w:top w:val="single" w:sz="2" w:space="0" w:color="000000"/>
              <w:left w:val="single" w:sz="2" w:space="0" w:color="000000"/>
              <w:bottom w:val="single" w:sz="2" w:space="0" w:color="000000"/>
              <w:right w:val="single" w:sz="2" w:space="0" w:color="000000"/>
            </w:tcBorders>
            <w:shd w:val="clear" w:color="auto" w:fill="E5EAF3"/>
          </w:tcPr>
          <w:p w14:paraId="7F8E511E" w14:textId="77777777" w:rsidR="000046E5" w:rsidRDefault="000046E5" w:rsidP="000046E5">
            <w:pPr>
              <w:spacing w:line="259" w:lineRule="auto"/>
            </w:pPr>
            <w:r>
              <w:rPr>
                <w:i/>
                <w:sz w:val="18"/>
              </w:rPr>
              <w:t xml:space="preserve">Soutes maritimes </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11CAD759" w14:textId="656CCC41" w:rsidR="000046E5" w:rsidRPr="00AB5735" w:rsidRDefault="000046E5" w:rsidP="000046E5">
            <w:pPr>
              <w:spacing w:line="259" w:lineRule="auto"/>
              <w:ind w:left="56"/>
              <w:jc w:val="center"/>
              <w:rPr>
                <w:i/>
                <w:sz w:val="18"/>
                <w:szCs w:val="18"/>
              </w:rPr>
            </w:pPr>
            <w:r>
              <w:rPr>
                <w:sz w:val="18"/>
                <w:szCs w:val="18"/>
              </w:rPr>
              <w:t>8041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DB43717" w14:textId="19E4C6C9" w:rsidR="000046E5" w:rsidRPr="00C14DCA" w:rsidRDefault="000046E5" w:rsidP="000046E5">
            <w:pPr>
              <w:spacing w:line="259" w:lineRule="auto"/>
              <w:ind w:left="56"/>
              <w:jc w:val="center"/>
              <w:rPr>
                <w:i/>
                <w:sz w:val="18"/>
                <w:szCs w:val="18"/>
                <w:highlight w:val="yellow"/>
              </w:rPr>
            </w:pPr>
            <w:r>
              <w:rPr>
                <w:sz w:val="18"/>
                <w:szCs w:val="18"/>
              </w:rPr>
              <w:t>7199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5B24B50" w14:textId="78AAD971" w:rsidR="000046E5" w:rsidRPr="00C14DCA" w:rsidRDefault="000046E5" w:rsidP="000046E5">
            <w:pPr>
              <w:spacing w:line="259" w:lineRule="auto"/>
              <w:ind w:left="56"/>
              <w:jc w:val="center"/>
              <w:rPr>
                <w:i/>
                <w:sz w:val="18"/>
                <w:szCs w:val="18"/>
                <w:highlight w:val="yellow"/>
              </w:rPr>
            </w:pPr>
            <w:r>
              <w:rPr>
                <w:sz w:val="18"/>
                <w:szCs w:val="18"/>
              </w:rPr>
              <w:t>9564</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40033B9" w14:textId="4D64CEBE" w:rsidR="000046E5" w:rsidRPr="00C14DCA" w:rsidRDefault="000046E5" w:rsidP="000046E5">
            <w:pPr>
              <w:spacing w:line="259" w:lineRule="auto"/>
              <w:ind w:left="56"/>
              <w:jc w:val="center"/>
              <w:rPr>
                <w:i/>
                <w:sz w:val="18"/>
                <w:szCs w:val="18"/>
                <w:highlight w:val="yellow"/>
              </w:rPr>
            </w:pPr>
            <w:r>
              <w:rPr>
                <w:sz w:val="18"/>
                <w:szCs w:val="18"/>
              </w:rPr>
              <w:t>8871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6CD1D32" w14:textId="2F5C3141" w:rsidR="000046E5" w:rsidRPr="00AB5735" w:rsidRDefault="000046E5" w:rsidP="000046E5">
            <w:pPr>
              <w:spacing w:line="259" w:lineRule="auto"/>
              <w:ind w:left="56"/>
              <w:jc w:val="center"/>
              <w:rPr>
                <w:i/>
                <w:sz w:val="18"/>
                <w:szCs w:val="18"/>
              </w:rPr>
            </w:pPr>
            <w:r>
              <w:rPr>
                <w:sz w:val="18"/>
                <w:szCs w:val="18"/>
              </w:rPr>
              <w:t>8001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5E5CA9A" w14:textId="7EDA6978" w:rsidR="000046E5" w:rsidRPr="00AB5735" w:rsidRDefault="000046E5" w:rsidP="000046E5">
            <w:pPr>
              <w:spacing w:line="259" w:lineRule="auto"/>
              <w:ind w:left="56"/>
              <w:jc w:val="center"/>
              <w:rPr>
                <w:i/>
                <w:sz w:val="18"/>
                <w:szCs w:val="18"/>
              </w:rPr>
            </w:pPr>
            <w:r>
              <w:rPr>
                <w:sz w:val="18"/>
                <w:szCs w:val="18"/>
              </w:rPr>
              <w:t>5611</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21EEAF17" w14:textId="0DAE601D" w:rsidR="000046E5" w:rsidRDefault="000046E5" w:rsidP="000046E5">
            <w:pPr>
              <w:spacing w:line="259" w:lineRule="auto"/>
              <w:ind w:left="56"/>
              <w:jc w:val="center"/>
              <w:rPr>
                <w:rFonts w:ascii="Calibri" w:hAnsi="Calibri"/>
                <w:color w:val="000000"/>
                <w:sz w:val="20"/>
                <w:szCs w:val="20"/>
              </w:rPr>
            </w:pPr>
            <w:r>
              <w:rPr>
                <w:sz w:val="18"/>
                <w:szCs w:val="18"/>
              </w:rPr>
              <w:t>5589</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7B9A3BB3" w14:textId="1C0D1F26"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7778</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66F14659" w14:textId="3E70C6B4"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7911</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5124BC24" w14:textId="0783AF53"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7903</w:t>
            </w:r>
          </w:p>
        </w:tc>
        <w:tc>
          <w:tcPr>
            <w:tcW w:w="775"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09529BEE" w14:textId="61E9C503"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7595</w:t>
            </w:r>
          </w:p>
        </w:tc>
        <w:tc>
          <w:tcPr>
            <w:tcW w:w="776" w:type="dxa"/>
            <w:tcBorders>
              <w:top w:val="single" w:sz="2" w:space="0" w:color="000000"/>
              <w:left w:val="single" w:sz="2" w:space="0" w:color="000000"/>
              <w:bottom w:val="single" w:sz="2" w:space="0" w:color="000000"/>
              <w:right w:val="single" w:sz="2" w:space="0" w:color="000000"/>
            </w:tcBorders>
            <w:shd w:val="clear" w:color="auto" w:fill="E5EAF3"/>
            <w:vAlign w:val="center"/>
          </w:tcPr>
          <w:p w14:paraId="4134ADB0" w14:textId="6037F754" w:rsidR="000046E5" w:rsidRPr="00921C44" w:rsidRDefault="000046E5" w:rsidP="000046E5">
            <w:pPr>
              <w:spacing w:line="259" w:lineRule="auto"/>
              <w:ind w:left="56"/>
              <w:jc w:val="center"/>
              <w:rPr>
                <w:i/>
                <w:sz w:val="18"/>
                <w:szCs w:val="18"/>
              </w:rPr>
            </w:pPr>
            <w:r w:rsidRPr="00634E4C">
              <w:rPr>
                <w:rFonts w:asciiTheme="majorHAnsi" w:hAnsiTheme="majorHAnsi"/>
                <w:color w:val="000000"/>
                <w:sz w:val="18"/>
              </w:rPr>
              <w:t>2456</w:t>
            </w:r>
          </w:p>
        </w:tc>
      </w:tr>
    </w:tbl>
    <w:p w14:paraId="140D4B78" w14:textId="77777777" w:rsidR="0045532B" w:rsidRDefault="0045532B" w:rsidP="0045532B">
      <w:pPr>
        <w:pStyle w:val="Default"/>
        <w:rPr>
          <w:sz w:val="16"/>
          <w:szCs w:val="16"/>
        </w:rPr>
      </w:pPr>
      <w:r>
        <w:rPr>
          <w:i/>
          <w:iCs/>
          <w:sz w:val="16"/>
          <w:szCs w:val="16"/>
        </w:rPr>
        <w:t xml:space="preserve">Lecture du tableau : Énergie = catégorie CRF1 ; procédés industriels et solvants = catégorie CRF2 et 3 ; agriculture (hors énergie) = catégorie CRF4 ; traitements des déchets = catégorie CRF 6. </w:t>
      </w:r>
    </w:p>
    <w:p w14:paraId="483E128B" w14:textId="204735D5" w:rsidR="0045532B" w:rsidRDefault="0045532B" w:rsidP="0045532B">
      <w:pPr>
        <w:pStyle w:val="Caption"/>
      </w:pPr>
      <w:bookmarkStart w:id="530" w:name="_Toc123916506"/>
      <w:r>
        <w:t xml:space="preserve">Tableau </w:t>
      </w:r>
      <w:fldSimple w:instr=" SEQ Tableau \* ARABIC ">
        <w:r w:rsidR="00AB51D9">
          <w:rPr>
            <w:noProof/>
          </w:rPr>
          <w:t>14</w:t>
        </w:r>
      </w:fldSimple>
      <w:r>
        <w:t xml:space="preserve"> : </w:t>
      </w:r>
      <w:r w:rsidRPr="00BA4A6C">
        <w:t>Projections d’émissions de GES par secteur d’activité (en kt</w:t>
      </w:r>
      <w:r w:rsidR="007F09F7">
        <w:t>CO</w:t>
      </w:r>
      <w:r w:rsidR="007F09F7" w:rsidRPr="007F09F7">
        <w:rPr>
          <w:vertAlign w:val="subscript"/>
        </w:rPr>
        <w:t>2</w:t>
      </w:r>
      <w:r w:rsidR="004F1EC8" w:rsidRPr="004F1EC8">
        <w:rPr>
          <w:vertAlign w:val="subscript"/>
        </w:rPr>
        <w:t>e</w:t>
      </w:r>
      <w:r w:rsidRPr="00BA4A6C">
        <w:t xml:space="preserve">) au périmètre Kyoto dans le scénario </w:t>
      </w:r>
      <w:r>
        <w:t xml:space="preserve">AMS 2018 </w:t>
      </w:r>
      <w:r w:rsidRPr="00BA4A6C">
        <w:t xml:space="preserve">(avec mesures </w:t>
      </w:r>
      <w:r>
        <w:t>supplémentaires</w:t>
      </w:r>
      <w:r w:rsidRPr="00BA4A6C">
        <w:t>)</w:t>
      </w:r>
      <w:bookmarkEnd w:id="530"/>
    </w:p>
    <w:p w14:paraId="6E203B81" w14:textId="5E18394A" w:rsidR="0045532B" w:rsidRDefault="0045532B" w:rsidP="0045532B">
      <w:pPr>
        <w:pStyle w:val="Caption"/>
      </w:pPr>
      <w:r w:rsidRPr="0045532B">
        <w:t>Source</w:t>
      </w:r>
      <w:r w:rsidRPr="0045532B">
        <w:rPr>
          <w:rFonts w:ascii="Calibri" w:hAnsi="Calibri" w:cs="Calibri"/>
        </w:rPr>
        <w:t> </w:t>
      </w:r>
      <w:r w:rsidRPr="0045532B">
        <w:t xml:space="preserve">: Inventaire CCNUCC, Citepa/MTE, soumission </w:t>
      </w:r>
      <w:r w:rsidR="000046E5">
        <w:t>2022</w:t>
      </w:r>
      <w:r w:rsidR="000046E5" w:rsidRPr="0045532B">
        <w:t xml:space="preserve"> </w:t>
      </w:r>
      <w:r w:rsidRPr="0045532B">
        <w:t>et projections d’émissions MTE, 2018</w:t>
      </w:r>
    </w:p>
    <w:p w14:paraId="17E69037" w14:textId="625ABBAD" w:rsidR="0045532B" w:rsidRDefault="0045532B" w:rsidP="0045532B">
      <w:pPr>
        <w:jc w:val="center"/>
      </w:pPr>
    </w:p>
    <w:p w14:paraId="22980718" w14:textId="276E9A28" w:rsidR="000046E5" w:rsidRDefault="000046E5" w:rsidP="0045532B">
      <w:pPr>
        <w:pStyle w:val="Caption"/>
      </w:pPr>
      <w:bookmarkStart w:id="531" w:name="_Toc123916466"/>
      <w:r>
        <w:rPr>
          <w:noProof/>
        </w:rPr>
        <w:drawing>
          <wp:inline distT="0" distB="0" distL="0" distR="0" wp14:anchorId="591CA820" wp14:editId="1690846F">
            <wp:extent cx="6172200" cy="3305175"/>
            <wp:effectExtent l="0" t="0" r="0" b="0"/>
            <wp:docPr id="28682" name="Graphique 28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5BD8299" w14:textId="5C2F6DE6" w:rsidR="0045532B" w:rsidRDefault="0045532B" w:rsidP="0045532B">
      <w:pPr>
        <w:pStyle w:val="Caption"/>
      </w:pPr>
      <w:r>
        <w:t xml:space="preserve">Figure </w:t>
      </w:r>
      <w:fldSimple w:instr=" SEQ Figure \* ARABIC ">
        <w:r w:rsidR="00AB51D9">
          <w:rPr>
            <w:noProof/>
          </w:rPr>
          <w:t>55</w:t>
        </w:r>
      </w:fldSimple>
      <w:r>
        <w:t xml:space="preserve"> : </w:t>
      </w:r>
      <w:r w:rsidRPr="00BA4A6C">
        <w:t>Projection par secteur en kt</w:t>
      </w:r>
      <w:r w:rsidR="007F09F7">
        <w:t>CO</w:t>
      </w:r>
      <w:r w:rsidR="007F09F7" w:rsidRPr="007F09F7">
        <w:rPr>
          <w:vertAlign w:val="subscript"/>
        </w:rPr>
        <w:t>2</w:t>
      </w:r>
      <w:r w:rsidR="004F1EC8" w:rsidRPr="004F1EC8">
        <w:rPr>
          <w:vertAlign w:val="subscript"/>
        </w:rPr>
        <w:t>e</w:t>
      </w:r>
      <w:r w:rsidRPr="00BA4A6C">
        <w:t xml:space="preserve">, au format Kyoto, scénario </w:t>
      </w:r>
      <w:r>
        <w:t>AMS 2018</w:t>
      </w:r>
      <w:bookmarkEnd w:id="531"/>
    </w:p>
    <w:p w14:paraId="7B52661A" w14:textId="3C455056" w:rsidR="0045532B" w:rsidRPr="00BA4A6C" w:rsidRDefault="0045532B" w:rsidP="0045532B">
      <w:pPr>
        <w:pStyle w:val="Caption"/>
      </w:pPr>
      <w:r w:rsidRPr="00BA4A6C">
        <w:t>Source : Inventaire CCN</w:t>
      </w:r>
      <w:r>
        <w:t xml:space="preserve">UCC, Citepa/MTES, soumission </w:t>
      </w:r>
      <w:r w:rsidR="000046E5">
        <w:t xml:space="preserve">2022 </w:t>
      </w:r>
      <w:r w:rsidRPr="00BA4A6C">
        <w:t>et pr</w:t>
      </w:r>
      <w:r>
        <w:t>ojections d’émissions MTES, 2018</w:t>
      </w:r>
    </w:p>
    <w:p w14:paraId="63192FE7" w14:textId="77777777" w:rsidR="0045532B" w:rsidRPr="0045532B" w:rsidRDefault="0045532B" w:rsidP="0045532B"/>
    <w:p w14:paraId="4866051E" w14:textId="13AB7E93" w:rsidR="001021CB" w:rsidRDefault="001021CB" w:rsidP="003F57EA">
      <w:pPr>
        <w:pStyle w:val="Titre4niveau4"/>
        <w:numPr>
          <w:ilvl w:val="2"/>
          <w:numId w:val="78"/>
        </w:numPr>
      </w:pPr>
      <w:r w:rsidRPr="007E7778">
        <w:t xml:space="preserve">Détail des catégories du secteur énergie </w:t>
      </w:r>
    </w:p>
    <w:p w14:paraId="35237C3C" w14:textId="234540DB" w:rsidR="00A514C6" w:rsidRDefault="00A514C6" w:rsidP="003F57EA">
      <w:pPr>
        <w:pStyle w:val="titreencadre"/>
        <w:numPr>
          <w:ilvl w:val="3"/>
          <w:numId w:val="78"/>
        </w:numPr>
      </w:pPr>
      <w:r>
        <w:t>AME 2021</w:t>
      </w:r>
    </w:p>
    <w:tbl>
      <w:tblPr>
        <w:tblStyle w:val="TableGrid0"/>
        <w:tblW w:w="10264" w:type="dxa"/>
        <w:tblInd w:w="10" w:type="dxa"/>
        <w:tblLayout w:type="fixed"/>
        <w:tblCellMar>
          <w:top w:w="40" w:type="dxa"/>
          <w:left w:w="28" w:type="dxa"/>
          <w:right w:w="1" w:type="dxa"/>
        </w:tblCellMar>
        <w:tblLook w:val="04A0" w:firstRow="1" w:lastRow="0" w:firstColumn="1" w:lastColumn="0" w:noHBand="0" w:noVBand="1"/>
      </w:tblPr>
      <w:tblGrid>
        <w:gridCol w:w="1329"/>
        <w:gridCol w:w="714"/>
        <w:gridCol w:w="759"/>
        <w:gridCol w:w="759"/>
        <w:gridCol w:w="806"/>
        <w:gridCol w:w="804"/>
        <w:gridCol w:w="770"/>
        <w:gridCol w:w="704"/>
        <w:gridCol w:w="783"/>
        <w:gridCol w:w="692"/>
        <w:gridCol w:w="804"/>
        <w:gridCol w:w="670"/>
        <w:gridCol w:w="670"/>
      </w:tblGrid>
      <w:tr w:rsidR="007A01D7" w14:paraId="0789A4EB" w14:textId="77777777" w:rsidTr="000046E5">
        <w:trPr>
          <w:trHeight w:val="381"/>
        </w:trPr>
        <w:tc>
          <w:tcPr>
            <w:tcW w:w="1329" w:type="dxa"/>
            <w:tcBorders>
              <w:top w:val="single" w:sz="2" w:space="0" w:color="000000"/>
              <w:left w:val="single" w:sz="2" w:space="0" w:color="000000"/>
              <w:bottom w:val="single" w:sz="2" w:space="0" w:color="000000"/>
              <w:right w:val="single" w:sz="2" w:space="0" w:color="000000"/>
            </w:tcBorders>
            <w:shd w:val="clear" w:color="auto" w:fill="6D2A78"/>
          </w:tcPr>
          <w:p w14:paraId="1BA3C003" w14:textId="77777777" w:rsidR="00647421" w:rsidRPr="00A514C6" w:rsidRDefault="00647421" w:rsidP="00A514C6">
            <w:r w:rsidRPr="00A514C6">
              <w:t>AME 2021</w:t>
            </w:r>
          </w:p>
        </w:tc>
        <w:tc>
          <w:tcPr>
            <w:tcW w:w="714" w:type="dxa"/>
            <w:tcBorders>
              <w:top w:val="single" w:sz="2" w:space="0" w:color="000000"/>
              <w:left w:val="single" w:sz="2" w:space="0" w:color="000000"/>
              <w:bottom w:val="single" w:sz="2" w:space="0" w:color="000000"/>
              <w:right w:val="single" w:sz="2" w:space="0" w:color="000000"/>
            </w:tcBorders>
            <w:shd w:val="clear" w:color="auto" w:fill="6D2A78"/>
          </w:tcPr>
          <w:p w14:paraId="7409FD44" w14:textId="77777777" w:rsidR="00647421" w:rsidRPr="0015655F" w:rsidRDefault="00647421" w:rsidP="009947FF">
            <w:pPr>
              <w:spacing w:line="259" w:lineRule="auto"/>
              <w:ind w:right="27"/>
              <w:jc w:val="center"/>
            </w:pPr>
            <w:r w:rsidRPr="0015655F">
              <w:rPr>
                <w:b/>
                <w:color w:val="FFFFFF"/>
                <w:sz w:val="18"/>
              </w:rPr>
              <w:t xml:space="preserve">1990 </w:t>
            </w:r>
          </w:p>
        </w:tc>
        <w:tc>
          <w:tcPr>
            <w:tcW w:w="759" w:type="dxa"/>
            <w:tcBorders>
              <w:top w:val="single" w:sz="2" w:space="0" w:color="000000"/>
              <w:left w:val="single" w:sz="2" w:space="0" w:color="000000"/>
              <w:bottom w:val="single" w:sz="2" w:space="0" w:color="000000"/>
              <w:right w:val="single" w:sz="2" w:space="0" w:color="000000"/>
            </w:tcBorders>
            <w:shd w:val="clear" w:color="auto" w:fill="6D2A78"/>
          </w:tcPr>
          <w:p w14:paraId="1B4F40B0" w14:textId="073082B4" w:rsidR="00647421" w:rsidRPr="0015655F" w:rsidRDefault="00647421" w:rsidP="009947FF">
            <w:pPr>
              <w:spacing w:line="259" w:lineRule="auto"/>
              <w:ind w:right="24"/>
              <w:jc w:val="center"/>
              <w:rPr>
                <w:b/>
                <w:color w:val="FFFFFF"/>
                <w:sz w:val="18"/>
              </w:rPr>
            </w:pPr>
            <w:r>
              <w:rPr>
                <w:b/>
                <w:color w:val="FFFFFF"/>
                <w:sz w:val="18"/>
              </w:rPr>
              <w:t>1995</w:t>
            </w:r>
          </w:p>
        </w:tc>
        <w:tc>
          <w:tcPr>
            <w:tcW w:w="759" w:type="dxa"/>
            <w:tcBorders>
              <w:top w:val="single" w:sz="2" w:space="0" w:color="000000"/>
              <w:left w:val="single" w:sz="2" w:space="0" w:color="000000"/>
              <w:bottom w:val="single" w:sz="2" w:space="0" w:color="000000"/>
              <w:right w:val="single" w:sz="2" w:space="0" w:color="000000"/>
            </w:tcBorders>
            <w:shd w:val="clear" w:color="auto" w:fill="6D2A78"/>
          </w:tcPr>
          <w:p w14:paraId="3E46132A" w14:textId="76D9C45E" w:rsidR="00647421" w:rsidRPr="0015655F" w:rsidRDefault="00647421" w:rsidP="009947FF">
            <w:pPr>
              <w:spacing w:line="259" w:lineRule="auto"/>
              <w:ind w:right="24"/>
              <w:jc w:val="center"/>
            </w:pPr>
            <w:r w:rsidRPr="0015655F">
              <w:rPr>
                <w:b/>
                <w:color w:val="FFFFFF"/>
                <w:sz w:val="18"/>
              </w:rPr>
              <w:t xml:space="preserve">2000 </w:t>
            </w:r>
          </w:p>
        </w:tc>
        <w:tc>
          <w:tcPr>
            <w:tcW w:w="806" w:type="dxa"/>
            <w:tcBorders>
              <w:top w:val="single" w:sz="2" w:space="0" w:color="000000"/>
              <w:left w:val="single" w:sz="2" w:space="0" w:color="000000"/>
              <w:bottom w:val="single" w:sz="2" w:space="0" w:color="000000"/>
              <w:right w:val="single" w:sz="2" w:space="0" w:color="000000"/>
            </w:tcBorders>
            <w:shd w:val="clear" w:color="auto" w:fill="6D2A78"/>
          </w:tcPr>
          <w:p w14:paraId="2159F6AB" w14:textId="77777777" w:rsidR="00647421" w:rsidRPr="0015655F" w:rsidRDefault="00647421" w:rsidP="009947FF">
            <w:pPr>
              <w:spacing w:line="259" w:lineRule="auto"/>
              <w:ind w:right="27"/>
              <w:jc w:val="center"/>
            </w:pPr>
            <w:r w:rsidRPr="0015655F">
              <w:rPr>
                <w:b/>
                <w:color w:val="FFFFFF"/>
                <w:sz w:val="18"/>
              </w:rPr>
              <w:t xml:space="preserve">2005 </w:t>
            </w:r>
          </w:p>
        </w:tc>
        <w:tc>
          <w:tcPr>
            <w:tcW w:w="804" w:type="dxa"/>
            <w:tcBorders>
              <w:top w:val="single" w:sz="2" w:space="0" w:color="000000"/>
              <w:left w:val="single" w:sz="2" w:space="0" w:color="000000"/>
              <w:bottom w:val="single" w:sz="2" w:space="0" w:color="000000"/>
              <w:right w:val="single" w:sz="2" w:space="0" w:color="000000"/>
            </w:tcBorders>
            <w:shd w:val="clear" w:color="auto" w:fill="6D2A78"/>
          </w:tcPr>
          <w:p w14:paraId="1358D1BE" w14:textId="77777777" w:rsidR="00647421" w:rsidRPr="0015655F" w:rsidRDefault="00647421" w:rsidP="009947FF">
            <w:pPr>
              <w:spacing w:line="259" w:lineRule="auto"/>
              <w:ind w:right="24"/>
              <w:jc w:val="center"/>
            </w:pPr>
            <w:r w:rsidRPr="0015655F">
              <w:rPr>
                <w:b/>
                <w:color w:val="FFFFFF"/>
                <w:sz w:val="18"/>
              </w:rPr>
              <w:t xml:space="preserve">2010 </w:t>
            </w:r>
          </w:p>
        </w:tc>
        <w:tc>
          <w:tcPr>
            <w:tcW w:w="770" w:type="dxa"/>
            <w:tcBorders>
              <w:top w:val="single" w:sz="2" w:space="0" w:color="000000"/>
              <w:left w:val="single" w:sz="2" w:space="0" w:color="000000"/>
              <w:bottom w:val="single" w:sz="2" w:space="0" w:color="000000"/>
              <w:right w:val="single" w:sz="2" w:space="0" w:color="000000"/>
            </w:tcBorders>
            <w:shd w:val="clear" w:color="auto" w:fill="6D2A78"/>
          </w:tcPr>
          <w:p w14:paraId="517334C6" w14:textId="77777777" w:rsidR="00647421" w:rsidRPr="0015655F" w:rsidRDefault="00647421" w:rsidP="009947FF">
            <w:pPr>
              <w:spacing w:line="259" w:lineRule="auto"/>
              <w:ind w:right="27"/>
              <w:jc w:val="center"/>
            </w:pPr>
            <w:r w:rsidRPr="0015655F">
              <w:rPr>
                <w:b/>
                <w:color w:val="FFFFFF"/>
                <w:sz w:val="18"/>
              </w:rPr>
              <w:t xml:space="preserve">2015 </w:t>
            </w:r>
          </w:p>
        </w:tc>
        <w:tc>
          <w:tcPr>
            <w:tcW w:w="704" w:type="dxa"/>
            <w:tcBorders>
              <w:top w:val="single" w:sz="2" w:space="0" w:color="000000"/>
              <w:left w:val="single" w:sz="2" w:space="0" w:color="000000"/>
              <w:bottom w:val="single" w:sz="2" w:space="0" w:color="000000"/>
              <w:right w:val="single" w:sz="2" w:space="0" w:color="000000"/>
            </w:tcBorders>
            <w:shd w:val="clear" w:color="auto" w:fill="6D2A78"/>
          </w:tcPr>
          <w:p w14:paraId="4BBC6619" w14:textId="77777777" w:rsidR="00647421" w:rsidRPr="0015655F" w:rsidRDefault="00647421" w:rsidP="009947FF">
            <w:pPr>
              <w:spacing w:line="259" w:lineRule="auto"/>
              <w:ind w:right="24"/>
              <w:jc w:val="center"/>
              <w:rPr>
                <w:b/>
                <w:color w:val="FFFFFF"/>
                <w:sz w:val="18"/>
              </w:rPr>
            </w:pPr>
            <w:r w:rsidRPr="0015655F">
              <w:rPr>
                <w:b/>
                <w:color w:val="FFFFFF"/>
                <w:sz w:val="18"/>
              </w:rPr>
              <w:t>2019</w:t>
            </w:r>
          </w:p>
        </w:tc>
        <w:tc>
          <w:tcPr>
            <w:tcW w:w="783" w:type="dxa"/>
            <w:tcBorders>
              <w:top w:val="single" w:sz="2" w:space="0" w:color="000000"/>
              <w:left w:val="single" w:sz="2" w:space="0" w:color="000000"/>
              <w:bottom w:val="single" w:sz="2" w:space="0" w:color="000000"/>
              <w:right w:val="single" w:sz="2" w:space="0" w:color="000000"/>
            </w:tcBorders>
            <w:shd w:val="clear" w:color="auto" w:fill="6D2A78"/>
          </w:tcPr>
          <w:p w14:paraId="15A5A294" w14:textId="77777777" w:rsidR="00647421" w:rsidRPr="0015655F" w:rsidRDefault="00647421" w:rsidP="009947FF">
            <w:pPr>
              <w:spacing w:line="259" w:lineRule="auto"/>
              <w:ind w:right="24"/>
              <w:jc w:val="center"/>
            </w:pPr>
            <w:r w:rsidRPr="0015655F">
              <w:rPr>
                <w:b/>
                <w:color w:val="FFFFFF"/>
                <w:sz w:val="18"/>
              </w:rPr>
              <w:t xml:space="preserve">2020 </w:t>
            </w:r>
          </w:p>
        </w:tc>
        <w:tc>
          <w:tcPr>
            <w:tcW w:w="692" w:type="dxa"/>
            <w:tcBorders>
              <w:top w:val="single" w:sz="2" w:space="0" w:color="000000"/>
              <w:left w:val="single" w:sz="2" w:space="0" w:color="000000"/>
              <w:bottom w:val="single" w:sz="2" w:space="0" w:color="000000"/>
              <w:right w:val="single" w:sz="2" w:space="0" w:color="000000"/>
            </w:tcBorders>
            <w:shd w:val="clear" w:color="auto" w:fill="6D2A78"/>
          </w:tcPr>
          <w:p w14:paraId="0E5AC4E9" w14:textId="77777777" w:rsidR="00647421" w:rsidRPr="0015655F" w:rsidRDefault="00647421" w:rsidP="009947FF">
            <w:pPr>
              <w:spacing w:line="259" w:lineRule="auto"/>
              <w:ind w:right="27"/>
              <w:jc w:val="center"/>
            </w:pPr>
            <w:r w:rsidRPr="0015655F">
              <w:rPr>
                <w:b/>
                <w:color w:val="FFFFFF"/>
                <w:sz w:val="18"/>
              </w:rPr>
              <w:t xml:space="preserve">2025 </w:t>
            </w:r>
          </w:p>
        </w:tc>
        <w:tc>
          <w:tcPr>
            <w:tcW w:w="804" w:type="dxa"/>
            <w:tcBorders>
              <w:top w:val="single" w:sz="2" w:space="0" w:color="000000"/>
              <w:left w:val="single" w:sz="2" w:space="0" w:color="000000"/>
              <w:bottom w:val="single" w:sz="2" w:space="0" w:color="000000"/>
              <w:right w:val="single" w:sz="2" w:space="0" w:color="000000"/>
            </w:tcBorders>
            <w:shd w:val="clear" w:color="auto" w:fill="6D2A78"/>
          </w:tcPr>
          <w:p w14:paraId="4B40DA83" w14:textId="77777777" w:rsidR="00647421" w:rsidRPr="0015655F" w:rsidRDefault="00647421" w:rsidP="009947FF">
            <w:pPr>
              <w:spacing w:line="259" w:lineRule="auto"/>
              <w:ind w:right="24"/>
              <w:jc w:val="center"/>
            </w:pPr>
            <w:r w:rsidRPr="0015655F">
              <w:rPr>
                <w:b/>
                <w:color w:val="FFFFFF"/>
                <w:sz w:val="18"/>
              </w:rPr>
              <w:t xml:space="preserve">2030 </w:t>
            </w:r>
          </w:p>
        </w:tc>
        <w:tc>
          <w:tcPr>
            <w:tcW w:w="670" w:type="dxa"/>
            <w:tcBorders>
              <w:top w:val="single" w:sz="2" w:space="0" w:color="000000"/>
              <w:left w:val="single" w:sz="2" w:space="0" w:color="000000"/>
              <w:bottom w:val="single" w:sz="2" w:space="0" w:color="000000"/>
              <w:right w:val="single" w:sz="2" w:space="0" w:color="000000"/>
            </w:tcBorders>
            <w:shd w:val="clear" w:color="auto" w:fill="6D2A78"/>
          </w:tcPr>
          <w:p w14:paraId="120BB274" w14:textId="77777777" w:rsidR="00647421" w:rsidRPr="0015655F" w:rsidRDefault="00647421" w:rsidP="009947FF">
            <w:pPr>
              <w:spacing w:line="259" w:lineRule="auto"/>
              <w:ind w:right="26"/>
              <w:jc w:val="center"/>
            </w:pPr>
            <w:r w:rsidRPr="0015655F">
              <w:rPr>
                <w:b/>
                <w:color w:val="FFFFFF"/>
                <w:sz w:val="18"/>
              </w:rPr>
              <w:t xml:space="preserve">2035 </w:t>
            </w:r>
          </w:p>
        </w:tc>
        <w:tc>
          <w:tcPr>
            <w:tcW w:w="670" w:type="dxa"/>
            <w:tcBorders>
              <w:top w:val="single" w:sz="2" w:space="0" w:color="000000"/>
              <w:left w:val="single" w:sz="2" w:space="0" w:color="000000"/>
              <w:bottom w:val="single" w:sz="2" w:space="0" w:color="000000"/>
              <w:right w:val="single" w:sz="2" w:space="0" w:color="000000"/>
            </w:tcBorders>
            <w:shd w:val="clear" w:color="auto" w:fill="6D2A78"/>
          </w:tcPr>
          <w:p w14:paraId="65C9BDF7" w14:textId="77777777" w:rsidR="00647421" w:rsidRPr="0015655F" w:rsidRDefault="00647421" w:rsidP="009947FF">
            <w:pPr>
              <w:spacing w:line="259" w:lineRule="auto"/>
              <w:ind w:right="26"/>
              <w:jc w:val="center"/>
              <w:rPr>
                <w:b/>
                <w:color w:val="FFFFFF"/>
                <w:sz w:val="18"/>
              </w:rPr>
            </w:pPr>
            <w:r>
              <w:rPr>
                <w:b/>
                <w:color w:val="FFFFFF"/>
                <w:sz w:val="18"/>
              </w:rPr>
              <w:t>2050</w:t>
            </w:r>
          </w:p>
        </w:tc>
      </w:tr>
      <w:tr w:rsidR="00647421" w14:paraId="336291C9" w14:textId="77777777" w:rsidTr="00261D3D">
        <w:trPr>
          <w:trHeight w:val="331"/>
        </w:trPr>
        <w:tc>
          <w:tcPr>
            <w:tcW w:w="1329" w:type="dxa"/>
            <w:tcBorders>
              <w:top w:val="single" w:sz="2" w:space="0" w:color="000000"/>
              <w:left w:val="single" w:sz="2" w:space="0" w:color="000000"/>
              <w:bottom w:val="single" w:sz="2" w:space="0" w:color="000000"/>
              <w:right w:val="single" w:sz="2" w:space="0" w:color="000000"/>
            </w:tcBorders>
          </w:tcPr>
          <w:p w14:paraId="46888C55" w14:textId="77777777" w:rsidR="00647421" w:rsidRPr="0015655F" w:rsidRDefault="00647421" w:rsidP="009947FF">
            <w:pPr>
              <w:spacing w:line="259" w:lineRule="auto"/>
            </w:pPr>
            <w:r w:rsidRPr="0015655F">
              <w:rPr>
                <w:b/>
                <w:sz w:val="18"/>
              </w:rPr>
              <w:t xml:space="preserve"> </w:t>
            </w:r>
          </w:p>
        </w:tc>
        <w:tc>
          <w:tcPr>
            <w:tcW w:w="714" w:type="dxa"/>
            <w:tcBorders>
              <w:top w:val="single" w:sz="2" w:space="0" w:color="000000"/>
              <w:left w:val="single" w:sz="2" w:space="0" w:color="000000"/>
              <w:bottom w:val="single" w:sz="2" w:space="0" w:color="000000"/>
              <w:right w:val="single" w:sz="2" w:space="0" w:color="000000"/>
            </w:tcBorders>
          </w:tcPr>
          <w:p w14:paraId="7F7C8539" w14:textId="77777777" w:rsidR="00647421" w:rsidRPr="000A390A" w:rsidRDefault="00647421" w:rsidP="009947FF">
            <w:pPr>
              <w:spacing w:line="259" w:lineRule="auto"/>
              <w:rPr>
                <w:sz w:val="16"/>
              </w:rPr>
            </w:pPr>
            <w:r w:rsidRPr="000A390A">
              <w:rPr>
                <w:b/>
                <w:color w:val="6D2A78"/>
                <w:sz w:val="16"/>
              </w:rPr>
              <w:t xml:space="preserve">Observé </w:t>
            </w:r>
          </w:p>
        </w:tc>
        <w:tc>
          <w:tcPr>
            <w:tcW w:w="759" w:type="dxa"/>
            <w:tcBorders>
              <w:top w:val="single" w:sz="2" w:space="0" w:color="000000"/>
              <w:left w:val="single" w:sz="2" w:space="0" w:color="000000"/>
              <w:bottom w:val="single" w:sz="2" w:space="0" w:color="000000"/>
              <w:right w:val="single" w:sz="2" w:space="0" w:color="000000"/>
            </w:tcBorders>
          </w:tcPr>
          <w:p w14:paraId="7AAAC361" w14:textId="3622DD4B" w:rsidR="00647421" w:rsidRPr="000A390A" w:rsidRDefault="00647421" w:rsidP="009947FF">
            <w:pPr>
              <w:spacing w:line="259" w:lineRule="auto"/>
              <w:rPr>
                <w:b/>
                <w:color w:val="6D2A78"/>
                <w:sz w:val="16"/>
              </w:rPr>
            </w:pPr>
            <w:r>
              <w:rPr>
                <w:b/>
                <w:color w:val="6D2A78"/>
                <w:sz w:val="16"/>
              </w:rPr>
              <w:t>Observé</w:t>
            </w:r>
          </w:p>
        </w:tc>
        <w:tc>
          <w:tcPr>
            <w:tcW w:w="759" w:type="dxa"/>
            <w:tcBorders>
              <w:top w:val="single" w:sz="2" w:space="0" w:color="000000"/>
              <w:left w:val="single" w:sz="2" w:space="0" w:color="000000"/>
              <w:bottom w:val="single" w:sz="2" w:space="0" w:color="000000"/>
              <w:right w:val="single" w:sz="2" w:space="0" w:color="000000"/>
            </w:tcBorders>
          </w:tcPr>
          <w:p w14:paraId="670FCE92" w14:textId="4A716133" w:rsidR="00647421" w:rsidRPr="000A390A" w:rsidRDefault="00647421" w:rsidP="009947FF">
            <w:pPr>
              <w:spacing w:line="259" w:lineRule="auto"/>
              <w:rPr>
                <w:sz w:val="16"/>
              </w:rPr>
            </w:pPr>
            <w:r w:rsidRPr="000A390A">
              <w:rPr>
                <w:b/>
                <w:color w:val="6D2A78"/>
                <w:sz w:val="16"/>
              </w:rPr>
              <w:t xml:space="preserve">Observé </w:t>
            </w:r>
          </w:p>
        </w:tc>
        <w:tc>
          <w:tcPr>
            <w:tcW w:w="806" w:type="dxa"/>
            <w:tcBorders>
              <w:top w:val="single" w:sz="2" w:space="0" w:color="000000"/>
              <w:left w:val="single" w:sz="2" w:space="0" w:color="000000"/>
              <w:bottom w:val="single" w:sz="2" w:space="0" w:color="000000"/>
              <w:right w:val="single" w:sz="2" w:space="0" w:color="000000"/>
            </w:tcBorders>
          </w:tcPr>
          <w:p w14:paraId="6474A269" w14:textId="77777777" w:rsidR="00647421" w:rsidRPr="000A390A" w:rsidRDefault="00647421" w:rsidP="009947FF">
            <w:pPr>
              <w:spacing w:line="259" w:lineRule="auto"/>
              <w:rPr>
                <w:sz w:val="16"/>
              </w:rPr>
            </w:pPr>
            <w:r w:rsidRPr="000A390A">
              <w:rPr>
                <w:b/>
                <w:color w:val="6D2A78"/>
                <w:sz w:val="16"/>
              </w:rPr>
              <w:t xml:space="preserve">Observé </w:t>
            </w:r>
          </w:p>
        </w:tc>
        <w:tc>
          <w:tcPr>
            <w:tcW w:w="804" w:type="dxa"/>
            <w:tcBorders>
              <w:top w:val="single" w:sz="2" w:space="0" w:color="000000"/>
              <w:left w:val="single" w:sz="2" w:space="0" w:color="000000"/>
              <w:bottom w:val="single" w:sz="2" w:space="0" w:color="000000"/>
              <w:right w:val="single" w:sz="2" w:space="0" w:color="000000"/>
            </w:tcBorders>
          </w:tcPr>
          <w:p w14:paraId="69877B25" w14:textId="77777777" w:rsidR="00647421" w:rsidRPr="000A390A" w:rsidRDefault="00647421" w:rsidP="009947FF">
            <w:pPr>
              <w:spacing w:line="259" w:lineRule="auto"/>
              <w:rPr>
                <w:sz w:val="16"/>
              </w:rPr>
            </w:pPr>
            <w:r w:rsidRPr="000A390A">
              <w:rPr>
                <w:b/>
                <w:color w:val="6D2A78"/>
                <w:sz w:val="16"/>
              </w:rPr>
              <w:t xml:space="preserve">Observé </w:t>
            </w:r>
          </w:p>
        </w:tc>
        <w:tc>
          <w:tcPr>
            <w:tcW w:w="770" w:type="dxa"/>
            <w:tcBorders>
              <w:top w:val="single" w:sz="2" w:space="0" w:color="000000"/>
              <w:left w:val="single" w:sz="2" w:space="0" w:color="000000"/>
              <w:bottom w:val="single" w:sz="2" w:space="0" w:color="000000"/>
              <w:right w:val="single" w:sz="2" w:space="0" w:color="000000"/>
            </w:tcBorders>
          </w:tcPr>
          <w:p w14:paraId="0D8C34F4" w14:textId="77777777" w:rsidR="00647421" w:rsidRPr="000A390A" w:rsidRDefault="00647421" w:rsidP="009947FF">
            <w:pPr>
              <w:spacing w:line="259" w:lineRule="auto"/>
              <w:rPr>
                <w:sz w:val="16"/>
              </w:rPr>
            </w:pPr>
            <w:r w:rsidRPr="000A390A">
              <w:rPr>
                <w:b/>
                <w:color w:val="6D2A78"/>
                <w:sz w:val="16"/>
              </w:rPr>
              <w:t xml:space="preserve">Observé </w:t>
            </w:r>
          </w:p>
        </w:tc>
        <w:tc>
          <w:tcPr>
            <w:tcW w:w="704" w:type="dxa"/>
            <w:tcBorders>
              <w:top w:val="single" w:sz="2" w:space="0" w:color="000000"/>
              <w:left w:val="single" w:sz="2" w:space="0" w:color="000000"/>
              <w:bottom w:val="single" w:sz="2" w:space="0" w:color="000000"/>
              <w:right w:val="single" w:sz="2" w:space="0" w:color="000000"/>
            </w:tcBorders>
          </w:tcPr>
          <w:p w14:paraId="56D82771" w14:textId="77777777" w:rsidR="00647421" w:rsidRPr="000A390A" w:rsidRDefault="00647421" w:rsidP="009947FF">
            <w:pPr>
              <w:spacing w:line="259" w:lineRule="auto"/>
              <w:rPr>
                <w:b/>
                <w:color w:val="6D2A78"/>
                <w:sz w:val="16"/>
              </w:rPr>
            </w:pPr>
            <w:r w:rsidRPr="000A390A">
              <w:rPr>
                <w:b/>
                <w:color w:val="6D2A78"/>
                <w:sz w:val="16"/>
              </w:rPr>
              <w:t>Observé</w:t>
            </w:r>
          </w:p>
        </w:tc>
        <w:tc>
          <w:tcPr>
            <w:tcW w:w="783" w:type="dxa"/>
            <w:tcBorders>
              <w:top w:val="single" w:sz="2" w:space="0" w:color="000000"/>
              <w:left w:val="single" w:sz="2" w:space="0" w:color="000000"/>
              <w:bottom w:val="single" w:sz="2" w:space="0" w:color="000000"/>
              <w:right w:val="single" w:sz="2" w:space="0" w:color="000000"/>
            </w:tcBorders>
          </w:tcPr>
          <w:p w14:paraId="3D6DF9BC" w14:textId="77777777" w:rsidR="00647421" w:rsidRPr="000A390A" w:rsidRDefault="00647421" w:rsidP="009947FF">
            <w:pPr>
              <w:spacing w:line="259" w:lineRule="auto"/>
              <w:rPr>
                <w:sz w:val="16"/>
              </w:rPr>
            </w:pPr>
            <w:r w:rsidRPr="000A390A">
              <w:rPr>
                <w:b/>
                <w:color w:val="6D2A78"/>
                <w:sz w:val="16"/>
              </w:rPr>
              <w:t xml:space="preserve">Projeté </w:t>
            </w:r>
          </w:p>
        </w:tc>
        <w:tc>
          <w:tcPr>
            <w:tcW w:w="692" w:type="dxa"/>
            <w:tcBorders>
              <w:top w:val="single" w:sz="2" w:space="0" w:color="000000"/>
              <w:left w:val="single" w:sz="2" w:space="0" w:color="000000"/>
              <w:bottom w:val="single" w:sz="2" w:space="0" w:color="000000"/>
              <w:right w:val="single" w:sz="2" w:space="0" w:color="000000"/>
            </w:tcBorders>
          </w:tcPr>
          <w:p w14:paraId="3F12796A" w14:textId="77777777" w:rsidR="00647421" w:rsidRPr="000A390A" w:rsidRDefault="00647421" w:rsidP="009947FF">
            <w:pPr>
              <w:spacing w:line="259" w:lineRule="auto"/>
              <w:rPr>
                <w:sz w:val="16"/>
              </w:rPr>
            </w:pPr>
            <w:r w:rsidRPr="000A390A">
              <w:rPr>
                <w:b/>
                <w:color w:val="6D2A78"/>
                <w:sz w:val="16"/>
              </w:rPr>
              <w:t xml:space="preserve">Projeté </w:t>
            </w:r>
          </w:p>
        </w:tc>
        <w:tc>
          <w:tcPr>
            <w:tcW w:w="804" w:type="dxa"/>
            <w:tcBorders>
              <w:top w:val="single" w:sz="2" w:space="0" w:color="000000"/>
              <w:left w:val="single" w:sz="2" w:space="0" w:color="000000"/>
              <w:bottom w:val="single" w:sz="2" w:space="0" w:color="000000"/>
              <w:right w:val="single" w:sz="2" w:space="0" w:color="000000"/>
            </w:tcBorders>
          </w:tcPr>
          <w:p w14:paraId="42C8A25D" w14:textId="77777777" w:rsidR="00647421" w:rsidRPr="000A390A" w:rsidRDefault="00647421" w:rsidP="009947FF">
            <w:pPr>
              <w:spacing w:line="259" w:lineRule="auto"/>
              <w:rPr>
                <w:sz w:val="16"/>
              </w:rPr>
            </w:pPr>
            <w:r w:rsidRPr="000A390A">
              <w:rPr>
                <w:b/>
                <w:color w:val="6D2A78"/>
                <w:sz w:val="16"/>
              </w:rPr>
              <w:t xml:space="preserve">Projeté </w:t>
            </w:r>
          </w:p>
        </w:tc>
        <w:tc>
          <w:tcPr>
            <w:tcW w:w="670" w:type="dxa"/>
            <w:tcBorders>
              <w:top w:val="single" w:sz="2" w:space="0" w:color="000000"/>
              <w:left w:val="single" w:sz="2" w:space="0" w:color="000000"/>
              <w:bottom w:val="single" w:sz="2" w:space="0" w:color="000000"/>
              <w:right w:val="single" w:sz="2" w:space="0" w:color="000000"/>
            </w:tcBorders>
          </w:tcPr>
          <w:p w14:paraId="26098EDF" w14:textId="77777777" w:rsidR="00647421" w:rsidRPr="000A390A" w:rsidRDefault="00647421" w:rsidP="009947FF">
            <w:pPr>
              <w:spacing w:line="259" w:lineRule="auto"/>
              <w:rPr>
                <w:sz w:val="16"/>
              </w:rPr>
            </w:pPr>
            <w:r w:rsidRPr="000A390A">
              <w:rPr>
                <w:b/>
                <w:color w:val="6D2A78"/>
                <w:sz w:val="16"/>
              </w:rPr>
              <w:t xml:space="preserve">Projeté </w:t>
            </w:r>
          </w:p>
        </w:tc>
        <w:tc>
          <w:tcPr>
            <w:tcW w:w="670" w:type="dxa"/>
            <w:tcBorders>
              <w:top w:val="single" w:sz="2" w:space="0" w:color="000000"/>
              <w:left w:val="single" w:sz="2" w:space="0" w:color="000000"/>
              <w:bottom w:val="single" w:sz="2" w:space="0" w:color="000000"/>
              <w:right w:val="single" w:sz="2" w:space="0" w:color="000000"/>
            </w:tcBorders>
          </w:tcPr>
          <w:p w14:paraId="57BAC69E" w14:textId="77777777" w:rsidR="00647421" w:rsidRPr="000A390A" w:rsidRDefault="00647421" w:rsidP="009947FF">
            <w:pPr>
              <w:spacing w:line="259" w:lineRule="auto"/>
              <w:rPr>
                <w:b/>
                <w:color w:val="6D2A78"/>
                <w:sz w:val="16"/>
              </w:rPr>
            </w:pPr>
            <w:r w:rsidRPr="000A390A">
              <w:rPr>
                <w:b/>
                <w:color w:val="6D2A78"/>
                <w:sz w:val="16"/>
              </w:rPr>
              <w:t>Projeté</w:t>
            </w:r>
          </w:p>
        </w:tc>
      </w:tr>
      <w:tr w:rsidR="007A01D7" w14:paraId="5753DF40" w14:textId="77777777" w:rsidTr="000046E5">
        <w:trPr>
          <w:trHeight w:val="328"/>
        </w:trPr>
        <w:tc>
          <w:tcPr>
            <w:tcW w:w="1329" w:type="dxa"/>
            <w:tcBorders>
              <w:top w:val="single" w:sz="2" w:space="0" w:color="000000"/>
              <w:left w:val="single" w:sz="2" w:space="0" w:color="000000"/>
              <w:bottom w:val="single" w:sz="2" w:space="0" w:color="000000"/>
              <w:right w:val="single" w:sz="2" w:space="0" w:color="000000"/>
            </w:tcBorders>
            <w:shd w:val="clear" w:color="auto" w:fill="ECE6E2"/>
          </w:tcPr>
          <w:p w14:paraId="677FA58F" w14:textId="77777777" w:rsidR="000046E5" w:rsidRPr="0015655F" w:rsidRDefault="000046E5" w:rsidP="000046E5">
            <w:pPr>
              <w:spacing w:line="259" w:lineRule="auto"/>
            </w:pPr>
            <w:r w:rsidRPr="0015655F">
              <w:rPr>
                <w:sz w:val="18"/>
              </w:rPr>
              <w:t xml:space="preserve">Industrie de l’énergie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FF3B1D" w14:textId="4A27D374"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66338</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C6520D" w14:textId="3C4342C1" w:rsidR="000046E5" w:rsidRPr="00647421" w:rsidRDefault="000046E5" w:rsidP="000046E5">
            <w:pPr>
              <w:spacing w:line="259" w:lineRule="auto"/>
              <w:jc w:val="center"/>
              <w:rPr>
                <w:sz w:val="16"/>
                <w:szCs w:val="16"/>
              </w:rPr>
            </w:pPr>
            <w:r w:rsidRPr="00664108">
              <w:rPr>
                <w:rFonts w:asciiTheme="majorHAnsi" w:hAnsiTheme="majorHAnsi"/>
                <w:sz w:val="16"/>
                <w:szCs w:val="16"/>
              </w:rPr>
              <w:t>55802</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8B8B0C" w14:textId="7B64C066"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62526</w:t>
            </w:r>
          </w:p>
        </w:tc>
        <w:tc>
          <w:tcPr>
            <w:tcW w:w="80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621817" w14:textId="63360489"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66972</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42DDD5" w14:textId="2A58E2CC"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60134</w:t>
            </w:r>
          </w:p>
        </w:tc>
        <w:tc>
          <w:tcPr>
            <w:tcW w:w="7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45060D" w14:textId="2F017C95"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44988</w:t>
            </w:r>
          </w:p>
        </w:tc>
        <w:tc>
          <w:tcPr>
            <w:tcW w:w="7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05FA1E" w14:textId="67153D1D"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41680</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58F8C3" w14:textId="34D66B56" w:rsidR="000046E5" w:rsidRPr="000A390A" w:rsidRDefault="000046E5" w:rsidP="000046E5">
            <w:pPr>
              <w:spacing w:line="259" w:lineRule="auto"/>
              <w:ind w:left="108"/>
              <w:jc w:val="center"/>
              <w:rPr>
                <w:sz w:val="16"/>
                <w:szCs w:val="16"/>
              </w:rPr>
            </w:pPr>
            <w:r w:rsidRPr="00364545">
              <w:rPr>
                <w:sz w:val="16"/>
              </w:rPr>
              <w:t>49721</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4C1C98" w14:textId="20E08801" w:rsidR="000046E5" w:rsidRPr="000A390A" w:rsidRDefault="000046E5" w:rsidP="000046E5">
            <w:pPr>
              <w:spacing w:line="259" w:lineRule="auto"/>
              <w:ind w:left="108"/>
              <w:jc w:val="center"/>
              <w:rPr>
                <w:sz w:val="16"/>
                <w:szCs w:val="16"/>
              </w:rPr>
            </w:pPr>
            <w:r w:rsidRPr="00364545">
              <w:rPr>
                <w:sz w:val="16"/>
              </w:rPr>
              <w:t>49450</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F1BF31" w14:textId="60CE45F5" w:rsidR="000046E5" w:rsidRPr="000A390A" w:rsidRDefault="000046E5" w:rsidP="000046E5">
            <w:pPr>
              <w:spacing w:line="259" w:lineRule="auto"/>
              <w:ind w:left="108"/>
              <w:jc w:val="center"/>
              <w:rPr>
                <w:sz w:val="16"/>
                <w:szCs w:val="16"/>
              </w:rPr>
            </w:pPr>
            <w:r w:rsidRPr="00364545">
              <w:rPr>
                <w:sz w:val="16"/>
              </w:rPr>
              <w:t>48836</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40C20D" w14:textId="645EBFAA" w:rsidR="000046E5" w:rsidRPr="000A390A" w:rsidRDefault="000046E5" w:rsidP="000046E5">
            <w:pPr>
              <w:spacing w:line="259" w:lineRule="auto"/>
              <w:ind w:left="108"/>
              <w:jc w:val="center"/>
              <w:rPr>
                <w:sz w:val="16"/>
                <w:szCs w:val="16"/>
              </w:rPr>
            </w:pPr>
            <w:r w:rsidRPr="00364545">
              <w:rPr>
                <w:sz w:val="16"/>
              </w:rPr>
              <w:t>48946</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611AF3" w14:textId="21EBB9AC" w:rsidR="000046E5" w:rsidRPr="000A390A" w:rsidRDefault="000046E5" w:rsidP="000046E5">
            <w:pPr>
              <w:spacing w:line="259" w:lineRule="auto"/>
              <w:ind w:left="108"/>
              <w:jc w:val="center"/>
              <w:rPr>
                <w:sz w:val="16"/>
                <w:szCs w:val="16"/>
              </w:rPr>
            </w:pPr>
            <w:r w:rsidRPr="00364545">
              <w:rPr>
                <w:sz w:val="16"/>
              </w:rPr>
              <w:t>30247</w:t>
            </w:r>
          </w:p>
        </w:tc>
      </w:tr>
      <w:tr w:rsidR="000046E5" w14:paraId="7412B603" w14:textId="77777777" w:rsidTr="00261D3D">
        <w:trPr>
          <w:trHeight w:val="399"/>
        </w:trPr>
        <w:tc>
          <w:tcPr>
            <w:tcW w:w="1329" w:type="dxa"/>
            <w:tcBorders>
              <w:top w:val="single" w:sz="2" w:space="0" w:color="000000"/>
              <w:left w:val="single" w:sz="2" w:space="0" w:color="000000"/>
              <w:bottom w:val="single" w:sz="2" w:space="0" w:color="000000"/>
              <w:right w:val="single" w:sz="2" w:space="0" w:color="000000"/>
            </w:tcBorders>
          </w:tcPr>
          <w:p w14:paraId="47A88792" w14:textId="77777777" w:rsidR="000046E5" w:rsidRPr="0015655F" w:rsidRDefault="000046E5" w:rsidP="000046E5">
            <w:pPr>
              <w:spacing w:line="259" w:lineRule="auto"/>
            </w:pPr>
            <w:r w:rsidRPr="0015655F">
              <w:rPr>
                <w:sz w:val="18"/>
              </w:rPr>
              <w:t xml:space="preserve">Industrie manufacturière et construction </w:t>
            </w:r>
          </w:p>
        </w:tc>
        <w:tc>
          <w:tcPr>
            <w:tcW w:w="714" w:type="dxa"/>
            <w:tcBorders>
              <w:top w:val="single" w:sz="2" w:space="0" w:color="000000"/>
              <w:left w:val="single" w:sz="2" w:space="0" w:color="000000"/>
              <w:bottom w:val="single" w:sz="2" w:space="0" w:color="000000"/>
              <w:right w:val="single" w:sz="2" w:space="0" w:color="000000"/>
            </w:tcBorders>
            <w:vAlign w:val="center"/>
          </w:tcPr>
          <w:p w14:paraId="2765C668" w14:textId="6B3EB7F3"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76164</w:t>
            </w:r>
          </w:p>
        </w:tc>
        <w:tc>
          <w:tcPr>
            <w:tcW w:w="759" w:type="dxa"/>
            <w:tcBorders>
              <w:top w:val="single" w:sz="2" w:space="0" w:color="000000"/>
              <w:left w:val="single" w:sz="2" w:space="0" w:color="000000"/>
              <w:bottom w:val="single" w:sz="2" w:space="0" w:color="000000"/>
              <w:right w:val="single" w:sz="2" w:space="0" w:color="000000"/>
            </w:tcBorders>
            <w:vAlign w:val="center"/>
          </w:tcPr>
          <w:p w14:paraId="155A86D1" w14:textId="2FA42E7B" w:rsidR="000046E5" w:rsidRPr="00647421" w:rsidRDefault="000046E5" w:rsidP="000046E5">
            <w:pPr>
              <w:spacing w:line="259" w:lineRule="auto"/>
              <w:jc w:val="center"/>
              <w:rPr>
                <w:sz w:val="16"/>
                <w:szCs w:val="16"/>
              </w:rPr>
            </w:pPr>
            <w:r w:rsidRPr="00664108">
              <w:rPr>
                <w:rFonts w:asciiTheme="majorHAnsi" w:hAnsiTheme="majorHAnsi" w:cs="Calibri"/>
                <w:color w:val="000000"/>
                <w:sz w:val="16"/>
                <w:szCs w:val="16"/>
              </w:rPr>
              <w:t>80423</w:t>
            </w:r>
          </w:p>
        </w:tc>
        <w:tc>
          <w:tcPr>
            <w:tcW w:w="759" w:type="dxa"/>
            <w:tcBorders>
              <w:top w:val="single" w:sz="2" w:space="0" w:color="000000"/>
              <w:left w:val="single" w:sz="2" w:space="0" w:color="000000"/>
              <w:bottom w:val="single" w:sz="2" w:space="0" w:color="000000"/>
              <w:right w:val="single" w:sz="2" w:space="0" w:color="000000"/>
            </w:tcBorders>
            <w:vAlign w:val="center"/>
          </w:tcPr>
          <w:p w14:paraId="06793982" w14:textId="4897E798"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75532</w:t>
            </w:r>
          </w:p>
        </w:tc>
        <w:tc>
          <w:tcPr>
            <w:tcW w:w="806" w:type="dxa"/>
            <w:tcBorders>
              <w:top w:val="single" w:sz="2" w:space="0" w:color="000000"/>
              <w:left w:val="single" w:sz="2" w:space="0" w:color="000000"/>
              <w:bottom w:val="single" w:sz="2" w:space="0" w:color="000000"/>
              <w:right w:val="single" w:sz="2" w:space="0" w:color="000000"/>
            </w:tcBorders>
            <w:vAlign w:val="center"/>
          </w:tcPr>
          <w:p w14:paraId="739FECC4" w14:textId="3FE3BF8B"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71990</w:t>
            </w:r>
          </w:p>
        </w:tc>
        <w:tc>
          <w:tcPr>
            <w:tcW w:w="804" w:type="dxa"/>
            <w:tcBorders>
              <w:top w:val="single" w:sz="2" w:space="0" w:color="000000"/>
              <w:left w:val="single" w:sz="2" w:space="0" w:color="000000"/>
              <w:bottom w:val="single" w:sz="2" w:space="0" w:color="000000"/>
              <w:right w:val="single" w:sz="2" w:space="0" w:color="000000"/>
            </w:tcBorders>
            <w:vAlign w:val="center"/>
          </w:tcPr>
          <w:p w14:paraId="594B126A" w14:textId="1F38062C"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62105</w:t>
            </w:r>
          </w:p>
        </w:tc>
        <w:tc>
          <w:tcPr>
            <w:tcW w:w="770" w:type="dxa"/>
            <w:tcBorders>
              <w:top w:val="single" w:sz="2" w:space="0" w:color="000000"/>
              <w:left w:val="single" w:sz="2" w:space="0" w:color="000000"/>
              <w:bottom w:val="single" w:sz="2" w:space="0" w:color="000000"/>
              <w:right w:val="single" w:sz="2" w:space="0" w:color="000000"/>
            </w:tcBorders>
            <w:vAlign w:val="center"/>
          </w:tcPr>
          <w:p w14:paraId="300E460C" w14:textId="4351952F"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51963</w:t>
            </w:r>
          </w:p>
        </w:tc>
        <w:tc>
          <w:tcPr>
            <w:tcW w:w="704" w:type="dxa"/>
            <w:tcBorders>
              <w:top w:val="single" w:sz="2" w:space="0" w:color="000000"/>
              <w:left w:val="single" w:sz="2" w:space="0" w:color="000000"/>
              <w:bottom w:val="single" w:sz="2" w:space="0" w:color="000000"/>
              <w:right w:val="single" w:sz="2" w:space="0" w:color="000000"/>
            </w:tcBorders>
            <w:vAlign w:val="center"/>
          </w:tcPr>
          <w:p w14:paraId="2EA21686" w14:textId="2BD505B1"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48031</w:t>
            </w:r>
          </w:p>
        </w:tc>
        <w:tc>
          <w:tcPr>
            <w:tcW w:w="783" w:type="dxa"/>
            <w:tcBorders>
              <w:top w:val="single" w:sz="2" w:space="0" w:color="000000"/>
              <w:left w:val="single" w:sz="2" w:space="0" w:color="000000"/>
              <w:bottom w:val="single" w:sz="2" w:space="0" w:color="000000"/>
              <w:right w:val="single" w:sz="2" w:space="0" w:color="000000"/>
            </w:tcBorders>
            <w:vAlign w:val="center"/>
          </w:tcPr>
          <w:p w14:paraId="1B46D631" w14:textId="26481412" w:rsidR="000046E5" w:rsidRPr="000A390A" w:rsidRDefault="000046E5" w:rsidP="000046E5">
            <w:pPr>
              <w:spacing w:line="259" w:lineRule="auto"/>
              <w:ind w:left="108"/>
              <w:jc w:val="center"/>
              <w:rPr>
                <w:sz w:val="16"/>
                <w:szCs w:val="16"/>
              </w:rPr>
            </w:pPr>
            <w:r w:rsidRPr="00364545">
              <w:rPr>
                <w:sz w:val="16"/>
              </w:rPr>
              <w:t>47344</w:t>
            </w:r>
          </w:p>
        </w:tc>
        <w:tc>
          <w:tcPr>
            <w:tcW w:w="692" w:type="dxa"/>
            <w:tcBorders>
              <w:top w:val="single" w:sz="2" w:space="0" w:color="000000"/>
              <w:left w:val="single" w:sz="2" w:space="0" w:color="000000"/>
              <w:bottom w:val="single" w:sz="2" w:space="0" w:color="000000"/>
              <w:right w:val="single" w:sz="2" w:space="0" w:color="000000"/>
            </w:tcBorders>
            <w:vAlign w:val="center"/>
          </w:tcPr>
          <w:p w14:paraId="0793E288" w14:textId="3636B5EE" w:rsidR="000046E5" w:rsidRPr="000A390A" w:rsidRDefault="000046E5" w:rsidP="000046E5">
            <w:pPr>
              <w:spacing w:line="259" w:lineRule="auto"/>
              <w:ind w:left="108"/>
              <w:jc w:val="center"/>
              <w:rPr>
                <w:sz w:val="16"/>
                <w:szCs w:val="16"/>
              </w:rPr>
            </w:pPr>
            <w:r w:rsidRPr="00364545">
              <w:rPr>
                <w:sz w:val="16"/>
              </w:rPr>
              <w:t>49895</w:t>
            </w:r>
          </w:p>
        </w:tc>
        <w:tc>
          <w:tcPr>
            <w:tcW w:w="804" w:type="dxa"/>
            <w:tcBorders>
              <w:top w:val="single" w:sz="2" w:space="0" w:color="000000"/>
              <w:left w:val="single" w:sz="2" w:space="0" w:color="000000"/>
              <w:bottom w:val="single" w:sz="2" w:space="0" w:color="000000"/>
              <w:right w:val="single" w:sz="2" w:space="0" w:color="000000"/>
            </w:tcBorders>
            <w:vAlign w:val="center"/>
          </w:tcPr>
          <w:p w14:paraId="4F662EE2" w14:textId="6BEE388F" w:rsidR="000046E5" w:rsidRPr="000A390A" w:rsidRDefault="000046E5" w:rsidP="000046E5">
            <w:pPr>
              <w:spacing w:line="259" w:lineRule="auto"/>
              <w:ind w:left="108"/>
              <w:jc w:val="center"/>
              <w:rPr>
                <w:sz w:val="16"/>
                <w:szCs w:val="16"/>
              </w:rPr>
            </w:pPr>
            <w:r w:rsidRPr="00364545">
              <w:rPr>
                <w:sz w:val="16"/>
              </w:rPr>
              <w:t>48956</w:t>
            </w:r>
          </w:p>
        </w:tc>
        <w:tc>
          <w:tcPr>
            <w:tcW w:w="670" w:type="dxa"/>
            <w:tcBorders>
              <w:top w:val="single" w:sz="2" w:space="0" w:color="000000"/>
              <w:left w:val="single" w:sz="2" w:space="0" w:color="000000"/>
              <w:bottom w:val="single" w:sz="2" w:space="0" w:color="000000"/>
              <w:right w:val="single" w:sz="2" w:space="0" w:color="000000"/>
            </w:tcBorders>
            <w:vAlign w:val="center"/>
          </w:tcPr>
          <w:p w14:paraId="1E2165C7" w14:textId="2CFCC2A2" w:rsidR="000046E5" w:rsidRPr="000A390A" w:rsidRDefault="000046E5" w:rsidP="000046E5">
            <w:pPr>
              <w:spacing w:line="259" w:lineRule="auto"/>
              <w:ind w:left="108"/>
              <w:jc w:val="center"/>
              <w:rPr>
                <w:sz w:val="16"/>
                <w:szCs w:val="16"/>
              </w:rPr>
            </w:pPr>
            <w:r w:rsidRPr="00364545">
              <w:rPr>
                <w:sz w:val="16"/>
              </w:rPr>
              <w:t>49242</w:t>
            </w:r>
          </w:p>
        </w:tc>
        <w:tc>
          <w:tcPr>
            <w:tcW w:w="670" w:type="dxa"/>
            <w:tcBorders>
              <w:top w:val="single" w:sz="2" w:space="0" w:color="000000"/>
              <w:left w:val="single" w:sz="2" w:space="0" w:color="000000"/>
              <w:bottom w:val="single" w:sz="2" w:space="0" w:color="000000"/>
              <w:right w:val="single" w:sz="2" w:space="0" w:color="000000"/>
            </w:tcBorders>
            <w:vAlign w:val="center"/>
          </w:tcPr>
          <w:p w14:paraId="024A3653" w14:textId="77C37DEA" w:rsidR="000046E5" w:rsidRPr="000A390A" w:rsidRDefault="000046E5" w:rsidP="000046E5">
            <w:pPr>
              <w:spacing w:line="259" w:lineRule="auto"/>
              <w:ind w:left="108"/>
              <w:jc w:val="center"/>
              <w:rPr>
                <w:sz w:val="16"/>
                <w:szCs w:val="16"/>
              </w:rPr>
            </w:pPr>
            <w:r w:rsidRPr="00364545">
              <w:rPr>
                <w:sz w:val="16"/>
              </w:rPr>
              <w:t>50182</w:t>
            </w:r>
          </w:p>
        </w:tc>
      </w:tr>
      <w:tr w:rsidR="007A01D7" w14:paraId="776A29EE" w14:textId="77777777" w:rsidTr="000046E5">
        <w:trPr>
          <w:trHeight w:val="328"/>
        </w:trPr>
        <w:tc>
          <w:tcPr>
            <w:tcW w:w="1329" w:type="dxa"/>
            <w:tcBorders>
              <w:top w:val="single" w:sz="2" w:space="0" w:color="000000"/>
              <w:left w:val="single" w:sz="2" w:space="0" w:color="000000"/>
              <w:bottom w:val="single" w:sz="2" w:space="0" w:color="000000"/>
              <w:right w:val="single" w:sz="2" w:space="0" w:color="000000"/>
            </w:tcBorders>
            <w:shd w:val="clear" w:color="auto" w:fill="ECE6E2"/>
          </w:tcPr>
          <w:p w14:paraId="0CDD8336" w14:textId="77777777" w:rsidR="000046E5" w:rsidRPr="0015655F" w:rsidRDefault="000046E5" w:rsidP="000046E5">
            <w:pPr>
              <w:spacing w:line="259" w:lineRule="auto"/>
            </w:pPr>
            <w:r w:rsidRPr="0015655F">
              <w:rPr>
                <w:sz w:val="18"/>
              </w:rPr>
              <w:t xml:space="preserve">Transport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FF6B3C" w14:textId="21C27BA3"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122293</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DEDC53" w14:textId="4C2C964A" w:rsidR="000046E5" w:rsidRPr="00647421" w:rsidRDefault="000046E5" w:rsidP="000046E5">
            <w:pPr>
              <w:spacing w:line="259" w:lineRule="auto"/>
              <w:jc w:val="center"/>
              <w:rPr>
                <w:sz w:val="16"/>
                <w:szCs w:val="16"/>
              </w:rPr>
            </w:pPr>
            <w:r w:rsidRPr="00664108">
              <w:rPr>
                <w:rFonts w:asciiTheme="majorHAnsi" w:hAnsiTheme="majorHAnsi"/>
                <w:sz w:val="16"/>
                <w:szCs w:val="16"/>
              </w:rPr>
              <w:t>132329</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C1B49C" w14:textId="658E6B33"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141051</w:t>
            </w:r>
          </w:p>
        </w:tc>
        <w:tc>
          <w:tcPr>
            <w:tcW w:w="80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3AC061" w14:textId="23B366F6"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142041</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F31ECF" w14:textId="3481A045"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133750</w:t>
            </w:r>
          </w:p>
        </w:tc>
        <w:tc>
          <w:tcPr>
            <w:tcW w:w="7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F1AF50" w14:textId="6BEE33AE"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133744</w:t>
            </w:r>
          </w:p>
        </w:tc>
        <w:tc>
          <w:tcPr>
            <w:tcW w:w="7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DF47D0" w14:textId="2C419864" w:rsidR="000046E5" w:rsidRPr="000A390A" w:rsidRDefault="000046E5" w:rsidP="000046E5">
            <w:pPr>
              <w:spacing w:line="259" w:lineRule="auto"/>
              <w:ind w:left="62"/>
              <w:jc w:val="center"/>
              <w:rPr>
                <w:sz w:val="16"/>
                <w:szCs w:val="16"/>
              </w:rPr>
            </w:pPr>
            <w:r w:rsidRPr="00664108">
              <w:rPr>
                <w:rFonts w:asciiTheme="majorHAnsi" w:hAnsiTheme="majorHAnsi"/>
                <w:sz w:val="16"/>
                <w:szCs w:val="16"/>
              </w:rPr>
              <w:t>131725</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D2AF6E" w14:textId="6B8009AB" w:rsidR="000046E5" w:rsidRPr="000A390A" w:rsidRDefault="000046E5" w:rsidP="000046E5">
            <w:pPr>
              <w:spacing w:line="259" w:lineRule="auto"/>
              <w:ind w:left="62"/>
              <w:jc w:val="center"/>
              <w:rPr>
                <w:sz w:val="16"/>
                <w:szCs w:val="16"/>
              </w:rPr>
            </w:pPr>
            <w:r w:rsidRPr="00364545">
              <w:rPr>
                <w:sz w:val="16"/>
              </w:rPr>
              <w:t>104084</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A109FF" w14:textId="29FFE10E" w:rsidR="000046E5" w:rsidRPr="000A390A" w:rsidRDefault="000046E5" w:rsidP="000046E5">
            <w:pPr>
              <w:spacing w:line="259" w:lineRule="auto"/>
              <w:ind w:left="62"/>
              <w:jc w:val="center"/>
              <w:rPr>
                <w:sz w:val="16"/>
                <w:szCs w:val="16"/>
              </w:rPr>
            </w:pPr>
            <w:r w:rsidRPr="00364545">
              <w:rPr>
                <w:sz w:val="16"/>
              </w:rPr>
              <w:t>114627</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093901" w14:textId="58699A58" w:rsidR="000046E5" w:rsidRPr="000A390A" w:rsidRDefault="000046E5" w:rsidP="000046E5">
            <w:pPr>
              <w:spacing w:line="259" w:lineRule="auto"/>
              <w:ind w:left="62"/>
              <w:jc w:val="center"/>
              <w:rPr>
                <w:sz w:val="16"/>
                <w:szCs w:val="16"/>
              </w:rPr>
            </w:pPr>
            <w:r w:rsidRPr="00364545">
              <w:rPr>
                <w:sz w:val="16"/>
              </w:rPr>
              <w:t>102181</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DCAC24" w14:textId="66530E03" w:rsidR="000046E5" w:rsidRPr="000A390A" w:rsidRDefault="000046E5" w:rsidP="000046E5">
            <w:pPr>
              <w:spacing w:line="259" w:lineRule="auto"/>
              <w:ind w:left="62"/>
              <w:jc w:val="center"/>
              <w:rPr>
                <w:sz w:val="16"/>
                <w:szCs w:val="16"/>
              </w:rPr>
            </w:pPr>
            <w:r w:rsidRPr="00364545">
              <w:rPr>
                <w:sz w:val="16"/>
              </w:rPr>
              <w:t>96593</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C48D37" w14:textId="1B4D8673" w:rsidR="000046E5" w:rsidRPr="000A390A" w:rsidRDefault="000046E5" w:rsidP="000046E5">
            <w:pPr>
              <w:spacing w:line="259" w:lineRule="auto"/>
              <w:ind w:left="62"/>
              <w:jc w:val="center"/>
              <w:rPr>
                <w:sz w:val="16"/>
                <w:szCs w:val="16"/>
              </w:rPr>
            </w:pPr>
            <w:r w:rsidRPr="00364545">
              <w:rPr>
                <w:sz w:val="16"/>
              </w:rPr>
              <w:t>83729</w:t>
            </w:r>
          </w:p>
        </w:tc>
      </w:tr>
      <w:tr w:rsidR="000046E5" w14:paraId="5B7200BE" w14:textId="77777777" w:rsidTr="00261D3D">
        <w:trPr>
          <w:trHeight w:val="599"/>
        </w:trPr>
        <w:tc>
          <w:tcPr>
            <w:tcW w:w="1329" w:type="dxa"/>
            <w:tcBorders>
              <w:top w:val="single" w:sz="2" w:space="0" w:color="000000"/>
              <w:left w:val="single" w:sz="2" w:space="0" w:color="000000"/>
              <w:bottom w:val="single" w:sz="2" w:space="0" w:color="000000"/>
              <w:right w:val="single" w:sz="2" w:space="0" w:color="000000"/>
            </w:tcBorders>
          </w:tcPr>
          <w:p w14:paraId="3ED77D15" w14:textId="77777777" w:rsidR="000046E5" w:rsidRPr="0015655F" w:rsidRDefault="000046E5" w:rsidP="000046E5">
            <w:pPr>
              <w:spacing w:line="259" w:lineRule="auto"/>
            </w:pPr>
            <w:r w:rsidRPr="0015655F">
              <w:rPr>
                <w:sz w:val="18"/>
              </w:rPr>
              <w:t xml:space="preserve">Autres secteurs </w:t>
            </w:r>
          </w:p>
          <w:p w14:paraId="6BE65E93" w14:textId="77777777" w:rsidR="000046E5" w:rsidRPr="0015655F" w:rsidRDefault="000046E5" w:rsidP="000046E5">
            <w:pPr>
              <w:spacing w:line="259" w:lineRule="auto"/>
            </w:pPr>
            <w:r w:rsidRPr="0015655F">
              <w:rPr>
                <w:sz w:val="18"/>
              </w:rPr>
              <w:t xml:space="preserve">(résidentiel, tertiaire, agriculture) </w:t>
            </w:r>
          </w:p>
        </w:tc>
        <w:tc>
          <w:tcPr>
            <w:tcW w:w="714" w:type="dxa"/>
            <w:tcBorders>
              <w:top w:val="single" w:sz="2" w:space="0" w:color="000000"/>
              <w:left w:val="single" w:sz="2" w:space="0" w:color="000000"/>
              <w:bottom w:val="single" w:sz="2" w:space="0" w:color="000000"/>
              <w:right w:val="single" w:sz="2" w:space="0" w:color="000000"/>
            </w:tcBorders>
            <w:vAlign w:val="center"/>
          </w:tcPr>
          <w:p w14:paraId="7FC72655" w14:textId="082B98D6"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102477</w:t>
            </w:r>
          </w:p>
        </w:tc>
        <w:tc>
          <w:tcPr>
            <w:tcW w:w="759" w:type="dxa"/>
            <w:tcBorders>
              <w:top w:val="single" w:sz="2" w:space="0" w:color="000000"/>
              <w:left w:val="single" w:sz="2" w:space="0" w:color="000000"/>
              <w:bottom w:val="single" w:sz="2" w:space="0" w:color="000000"/>
              <w:right w:val="single" w:sz="2" w:space="0" w:color="000000"/>
            </w:tcBorders>
            <w:vAlign w:val="center"/>
          </w:tcPr>
          <w:p w14:paraId="5118B710" w14:textId="77DE99E7" w:rsidR="000046E5" w:rsidRPr="00647421" w:rsidRDefault="000046E5" w:rsidP="000046E5">
            <w:pPr>
              <w:spacing w:line="259" w:lineRule="auto"/>
              <w:jc w:val="center"/>
              <w:rPr>
                <w:sz w:val="16"/>
                <w:szCs w:val="16"/>
              </w:rPr>
            </w:pPr>
            <w:r w:rsidRPr="00664108">
              <w:rPr>
                <w:rFonts w:asciiTheme="majorHAnsi" w:hAnsiTheme="majorHAnsi" w:cs="Calibri"/>
                <w:color w:val="000000"/>
                <w:sz w:val="16"/>
                <w:szCs w:val="16"/>
              </w:rPr>
              <w:t>97525</w:t>
            </w:r>
          </w:p>
        </w:tc>
        <w:tc>
          <w:tcPr>
            <w:tcW w:w="759" w:type="dxa"/>
            <w:tcBorders>
              <w:top w:val="single" w:sz="2" w:space="0" w:color="000000"/>
              <w:left w:val="single" w:sz="2" w:space="0" w:color="000000"/>
              <w:bottom w:val="single" w:sz="2" w:space="0" w:color="000000"/>
              <w:right w:val="single" w:sz="2" w:space="0" w:color="000000"/>
            </w:tcBorders>
            <w:vAlign w:val="center"/>
          </w:tcPr>
          <w:p w14:paraId="161691AE" w14:textId="31C334FF"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102881</w:t>
            </w:r>
          </w:p>
        </w:tc>
        <w:tc>
          <w:tcPr>
            <w:tcW w:w="806" w:type="dxa"/>
            <w:tcBorders>
              <w:top w:val="single" w:sz="2" w:space="0" w:color="000000"/>
              <w:left w:val="single" w:sz="2" w:space="0" w:color="000000"/>
              <w:bottom w:val="single" w:sz="2" w:space="0" w:color="000000"/>
              <w:right w:val="single" w:sz="2" w:space="0" w:color="000000"/>
            </w:tcBorders>
            <w:vAlign w:val="center"/>
          </w:tcPr>
          <w:p w14:paraId="7ADF6AFE" w14:textId="28D4DAB4" w:rsidR="000046E5" w:rsidRPr="000A390A" w:rsidRDefault="000046E5" w:rsidP="000046E5">
            <w:pPr>
              <w:spacing w:line="259" w:lineRule="auto"/>
              <w:ind w:left="62"/>
              <w:jc w:val="center"/>
              <w:rPr>
                <w:sz w:val="16"/>
                <w:szCs w:val="16"/>
              </w:rPr>
            </w:pPr>
            <w:r w:rsidRPr="00664108">
              <w:rPr>
                <w:rFonts w:asciiTheme="majorHAnsi" w:hAnsiTheme="majorHAnsi" w:cs="Calibri"/>
                <w:color w:val="000000"/>
                <w:sz w:val="16"/>
                <w:szCs w:val="16"/>
              </w:rPr>
              <w:t>109388</w:t>
            </w:r>
          </w:p>
        </w:tc>
        <w:tc>
          <w:tcPr>
            <w:tcW w:w="804" w:type="dxa"/>
            <w:tcBorders>
              <w:top w:val="single" w:sz="2" w:space="0" w:color="000000"/>
              <w:left w:val="single" w:sz="2" w:space="0" w:color="000000"/>
              <w:bottom w:val="single" w:sz="2" w:space="0" w:color="000000"/>
              <w:right w:val="single" w:sz="2" w:space="0" w:color="000000"/>
            </w:tcBorders>
            <w:vAlign w:val="center"/>
          </w:tcPr>
          <w:p w14:paraId="6818879C" w14:textId="08D6EA7C"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101722</w:t>
            </w:r>
          </w:p>
        </w:tc>
        <w:tc>
          <w:tcPr>
            <w:tcW w:w="770" w:type="dxa"/>
            <w:tcBorders>
              <w:top w:val="single" w:sz="2" w:space="0" w:color="000000"/>
              <w:left w:val="single" w:sz="2" w:space="0" w:color="000000"/>
              <w:bottom w:val="single" w:sz="2" w:space="0" w:color="000000"/>
              <w:right w:val="single" w:sz="2" w:space="0" w:color="000000"/>
            </w:tcBorders>
            <w:vAlign w:val="center"/>
          </w:tcPr>
          <w:p w14:paraId="101756E6" w14:textId="37EE4847"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82940</w:t>
            </w:r>
          </w:p>
        </w:tc>
        <w:tc>
          <w:tcPr>
            <w:tcW w:w="704" w:type="dxa"/>
            <w:tcBorders>
              <w:top w:val="single" w:sz="2" w:space="0" w:color="000000"/>
              <w:left w:val="single" w:sz="2" w:space="0" w:color="000000"/>
              <w:bottom w:val="single" w:sz="2" w:space="0" w:color="000000"/>
              <w:right w:val="single" w:sz="2" w:space="0" w:color="000000"/>
            </w:tcBorders>
            <w:vAlign w:val="center"/>
          </w:tcPr>
          <w:p w14:paraId="6A6D6641" w14:textId="4B578C3B"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75877</w:t>
            </w:r>
          </w:p>
        </w:tc>
        <w:tc>
          <w:tcPr>
            <w:tcW w:w="783" w:type="dxa"/>
            <w:tcBorders>
              <w:top w:val="single" w:sz="2" w:space="0" w:color="000000"/>
              <w:left w:val="single" w:sz="2" w:space="0" w:color="000000"/>
              <w:bottom w:val="single" w:sz="2" w:space="0" w:color="000000"/>
              <w:right w:val="single" w:sz="2" w:space="0" w:color="000000"/>
            </w:tcBorders>
            <w:vAlign w:val="center"/>
          </w:tcPr>
          <w:p w14:paraId="01F8CE5E" w14:textId="78AB955D" w:rsidR="000046E5" w:rsidRPr="000A390A" w:rsidRDefault="000046E5" w:rsidP="000046E5">
            <w:pPr>
              <w:spacing w:line="259" w:lineRule="auto"/>
              <w:ind w:left="108"/>
              <w:jc w:val="center"/>
              <w:rPr>
                <w:sz w:val="16"/>
                <w:szCs w:val="16"/>
              </w:rPr>
            </w:pPr>
            <w:r w:rsidRPr="00364545">
              <w:rPr>
                <w:sz w:val="16"/>
              </w:rPr>
              <w:t>73985</w:t>
            </w:r>
          </w:p>
        </w:tc>
        <w:tc>
          <w:tcPr>
            <w:tcW w:w="692" w:type="dxa"/>
            <w:tcBorders>
              <w:top w:val="single" w:sz="2" w:space="0" w:color="000000"/>
              <w:left w:val="single" w:sz="2" w:space="0" w:color="000000"/>
              <w:bottom w:val="single" w:sz="2" w:space="0" w:color="000000"/>
              <w:right w:val="single" w:sz="2" w:space="0" w:color="000000"/>
            </w:tcBorders>
            <w:vAlign w:val="center"/>
          </w:tcPr>
          <w:p w14:paraId="41119E33" w14:textId="698DFA22" w:rsidR="000046E5" w:rsidRPr="000A390A" w:rsidRDefault="000046E5" w:rsidP="000046E5">
            <w:pPr>
              <w:spacing w:line="259" w:lineRule="auto"/>
              <w:ind w:left="108"/>
              <w:jc w:val="center"/>
              <w:rPr>
                <w:sz w:val="16"/>
                <w:szCs w:val="16"/>
              </w:rPr>
            </w:pPr>
            <w:r w:rsidRPr="00364545">
              <w:rPr>
                <w:sz w:val="16"/>
              </w:rPr>
              <w:t>67291</w:t>
            </w:r>
          </w:p>
        </w:tc>
        <w:tc>
          <w:tcPr>
            <w:tcW w:w="804" w:type="dxa"/>
            <w:tcBorders>
              <w:top w:val="single" w:sz="2" w:space="0" w:color="000000"/>
              <w:left w:val="single" w:sz="2" w:space="0" w:color="000000"/>
              <w:bottom w:val="single" w:sz="2" w:space="0" w:color="000000"/>
              <w:right w:val="single" w:sz="2" w:space="0" w:color="000000"/>
            </w:tcBorders>
            <w:vAlign w:val="center"/>
          </w:tcPr>
          <w:p w14:paraId="5BEEF141" w14:textId="06C1D32E" w:rsidR="000046E5" w:rsidRPr="000A390A" w:rsidRDefault="000046E5" w:rsidP="000046E5">
            <w:pPr>
              <w:spacing w:line="259" w:lineRule="auto"/>
              <w:ind w:left="113"/>
              <w:jc w:val="center"/>
              <w:rPr>
                <w:sz w:val="16"/>
                <w:szCs w:val="16"/>
              </w:rPr>
            </w:pPr>
            <w:r w:rsidRPr="00364545">
              <w:rPr>
                <w:sz w:val="16"/>
              </w:rPr>
              <w:t>60718</w:t>
            </w:r>
          </w:p>
        </w:tc>
        <w:tc>
          <w:tcPr>
            <w:tcW w:w="670" w:type="dxa"/>
            <w:tcBorders>
              <w:top w:val="single" w:sz="2" w:space="0" w:color="000000"/>
              <w:left w:val="single" w:sz="2" w:space="0" w:color="000000"/>
              <w:bottom w:val="single" w:sz="2" w:space="0" w:color="000000"/>
              <w:right w:val="single" w:sz="2" w:space="0" w:color="000000"/>
            </w:tcBorders>
            <w:vAlign w:val="center"/>
          </w:tcPr>
          <w:p w14:paraId="78AA3C93" w14:textId="54CF439B" w:rsidR="000046E5" w:rsidRPr="000A390A" w:rsidRDefault="000046E5" w:rsidP="000046E5">
            <w:pPr>
              <w:spacing w:line="259" w:lineRule="auto"/>
              <w:ind w:left="108"/>
              <w:jc w:val="center"/>
              <w:rPr>
                <w:sz w:val="16"/>
                <w:szCs w:val="16"/>
              </w:rPr>
            </w:pPr>
            <w:r w:rsidRPr="00364545">
              <w:rPr>
                <w:sz w:val="16"/>
              </w:rPr>
              <w:t>57402</w:t>
            </w:r>
          </w:p>
        </w:tc>
        <w:tc>
          <w:tcPr>
            <w:tcW w:w="670" w:type="dxa"/>
            <w:tcBorders>
              <w:top w:val="single" w:sz="2" w:space="0" w:color="000000"/>
              <w:left w:val="single" w:sz="2" w:space="0" w:color="000000"/>
              <w:bottom w:val="single" w:sz="2" w:space="0" w:color="000000"/>
              <w:right w:val="single" w:sz="2" w:space="0" w:color="000000"/>
            </w:tcBorders>
            <w:vAlign w:val="center"/>
          </w:tcPr>
          <w:p w14:paraId="35E2DE2C" w14:textId="2E617E7B" w:rsidR="000046E5" w:rsidRPr="000A390A" w:rsidRDefault="000046E5" w:rsidP="000046E5">
            <w:pPr>
              <w:spacing w:line="259" w:lineRule="auto"/>
              <w:ind w:left="108"/>
              <w:jc w:val="center"/>
              <w:rPr>
                <w:sz w:val="16"/>
                <w:szCs w:val="16"/>
              </w:rPr>
            </w:pPr>
            <w:r w:rsidRPr="00364545">
              <w:rPr>
                <w:sz w:val="16"/>
              </w:rPr>
              <w:t>47041</w:t>
            </w:r>
          </w:p>
        </w:tc>
      </w:tr>
      <w:tr w:rsidR="007A01D7" w14:paraId="56A22B3D" w14:textId="77777777" w:rsidTr="000046E5">
        <w:trPr>
          <w:trHeight w:val="328"/>
        </w:trPr>
        <w:tc>
          <w:tcPr>
            <w:tcW w:w="1329" w:type="dxa"/>
            <w:tcBorders>
              <w:top w:val="single" w:sz="2" w:space="0" w:color="000000"/>
              <w:left w:val="single" w:sz="2" w:space="0" w:color="000000"/>
              <w:bottom w:val="single" w:sz="2" w:space="0" w:color="000000"/>
              <w:right w:val="single" w:sz="2" w:space="0" w:color="000000"/>
            </w:tcBorders>
            <w:shd w:val="clear" w:color="auto" w:fill="ECE6E2"/>
          </w:tcPr>
          <w:p w14:paraId="3F937328" w14:textId="77777777" w:rsidR="000046E5" w:rsidRPr="0015655F" w:rsidRDefault="000046E5" w:rsidP="000046E5">
            <w:pPr>
              <w:spacing w:line="259" w:lineRule="auto"/>
            </w:pPr>
            <w:r w:rsidRPr="0015655F">
              <w:rPr>
                <w:b/>
                <w:sz w:val="18"/>
              </w:rPr>
              <w:t xml:space="preserve">Total énergie </w:t>
            </w:r>
          </w:p>
        </w:tc>
        <w:tc>
          <w:tcPr>
            <w:tcW w:w="71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B5A238" w14:textId="7EBD737F" w:rsidR="000046E5" w:rsidRPr="000A390A" w:rsidRDefault="000046E5" w:rsidP="000046E5">
            <w:pPr>
              <w:spacing w:line="259" w:lineRule="auto"/>
              <w:jc w:val="center"/>
              <w:rPr>
                <w:sz w:val="16"/>
                <w:szCs w:val="16"/>
              </w:rPr>
            </w:pPr>
            <w:r w:rsidRPr="00664108">
              <w:rPr>
                <w:rFonts w:asciiTheme="majorHAnsi" w:hAnsiTheme="majorHAnsi"/>
                <w:b/>
                <w:sz w:val="16"/>
                <w:szCs w:val="16"/>
              </w:rPr>
              <w:t>367272</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2A57B8" w14:textId="3768C6CF" w:rsidR="000046E5" w:rsidRPr="00647421" w:rsidRDefault="000046E5" w:rsidP="000046E5">
            <w:pPr>
              <w:spacing w:line="259" w:lineRule="auto"/>
              <w:jc w:val="center"/>
              <w:rPr>
                <w:b/>
                <w:sz w:val="16"/>
                <w:szCs w:val="16"/>
              </w:rPr>
            </w:pPr>
            <w:r w:rsidRPr="00664108">
              <w:rPr>
                <w:rFonts w:asciiTheme="majorHAnsi" w:hAnsiTheme="majorHAnsi"/>
                <w:b/>
                <w:sz w:val="16"/>
                <w:szCs w:val="16"/>
              </w:rPr>
              <w:t>366079</w:t>
            </w:r>
          </w:p>
        </w:tc>
        <w:tc>
          <w:tcPr>
            <w:tcW w:w="7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1D0C45" w14:textId="499FC0E6" w:rsidR="000046E5" w:rsidRPr="000A390A" w:rsidRDefault="000046E5" w:rsidP="000046E5">
            <w:pPr>
              <w:spacing w:line="259" w:lineRule="auto"/>
              <w:jc w:val="center"/>
              <w:rPr>
                <w:sz w:val="16"/>
                <w:szCs w:val="16"/>
              </w:rPr>
            </w:pPr>
            <w:r w:rsidRPr="00664108">
              <w:rPr>
                <w:rFonts w:asciiTheme="majorHAnsi" w:hAnsiTheme="majorHAnsi"/>
                <w:b/>
                <w:sz w:val="16"/>
                <w:szCs w:val="16"/>
              </w:rPr>
              <w:t>381989</w:t>
            </w:r>
          </w:p>
        </w:tc>
        <w:tc>
          <w:tcPr>
            <w:tcW w:w="80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6C894F" w14:textId="10B81F42" w:rsidR="000046E5" w:rsidRPr="000A390A" w:rsidRDefault="000046E5" w:rsidP="000046E5">
            <w:pPr>
              <w:spacing w:line="259" w:lineRule="auto"/>
              <w:jc w:val="center"/>
              <w:rPr>
                <w:sz w:val="16"/>
                <w:szCs w:val="16"/>
              </w:rPr>
            </w:pPr>
            <w:r w:rsidRPr="00664108">
              <w:rPr>
                <w:rFonts w:asciiTheme="majorHAnsi" w:hAnsiTheme="majorHAnsi"/>
                <w:b/>
                <w:sz w:val="16"/>
                <w:szCs w:val="16"/>
              </w:rPr>
              <w:t>390391</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DC7828" w14:textId="0293E971" w:rsidR="000046E5" w:rsidRPr="000A390A" w:rsidRDefault="000046E5" w:rsidP="000046E5">
            <w:pPr>
              <w:spacing w:line="259" w:lineRule="auto"/>
              <w:jc w:val="center"/>
              <w:rPr>
                <w:sz w:val="16"/>
                <w:szCs w:val="16"/>
              </w:rPr>
            </w:pPr>
            <w:r w:rsidRPr="00664108">
              <w:rPr>
                <w:rFonts w:asciiTheme="majorHAnsi" w:hAnsiTheme="majorHAnsi"/>
                <w:b/>
                <w:sz w:val="16"/>
                <w:szCs w:val="16"/>
              </w:rPr>
              <w:t>357711</w:t>
            </w:r>
          </w:p>
        </w:tc>
        <w:tc>
          <w:tcPr>
            <w:tcW w:w="7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FA9C47" w14:textId="7F6F4BF2" w:rsidR="000046E5" w:rsidRPr="000A390A" w:rsidRDefault="000046E5" w:rsidP="000046E5">
            <w:pPr>
              <w:spacing w:line="259" w:lineRule="auto"/>
              <w:jc w:val="center"/>
              <w:rPr>
                <w:sz w:val="16"/>
                <w:szCs w:val="16"/>
              </w:rPr>
            </w:pPr>
            <w:r w:rsidRPr="00664108">
              <w:rPr>
                <w:rFonts w:asciiTheme="majorHAnsi" w:hAnsiTheme="majorHAnsi"/>
                <w:b/>
                <w:sz w:val="16"/>
                <w:szCs w:val="16"/>
              </w:rPr>
              <w:t>313634</w:t>
            </w:r>
          </w:p>
        </w:tc>
        <w:tc>
          <w:tcPr>
            <w:tcW w:w="7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4A3278" w14:textId="6BC17016" w:rsidR="000046E5" w:rsidRPr="000A390A" w:rsidRDefault="000046E5" w:rsidP="000046E5">
            <w:pPr>
              <w:spacing w:line="259" w:lineRule="auto"/>
              <w:jc w:val="center"/>
              <w:rPr>
                <w:b/>
                <w:sz w:val="16"/>
                <w:szCs w:val="16"/>
              </w:rPr>
            </w:pPr>
            <w:r w:rsidRPr="00664108">
              <w:rPr>
                <w:rFonts w:asciiTheme="majorHAnsi" w:hAnsiTheme="majorHAnsi"/>
                <w:b/>
                <w:sz w:val="16"/>
                <w:szCs w:val="16"/>
              </w:rPr>
              <w:t>297313</w:t>
            </w:r>
          </w:p>
        </w:tc>
        <w:tc>
          <w:tcPr>
            <w:tcW w:w="7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7F2E43" w14:textId="76F5DF6B" w:rsidR="000046E5" w:rsidRPr="000A390A" w:rsidRDefault="000046E5" w:rsidP="000046E5">
            <w:pPr>
              <w:spacing w:line="259" w:lineRule="auto"/>
              <w:jc w:val="center"/>
              <w:rPr>
                <w:sz w:val="16"/>
                <w:szCs w:val="16"/>
              </w:rPr>
            </w:pPr>
            <w:r w:rsidRPr="00364545">
              <w:rPr>
                <w:b/>
                <w:sz w:val="16"/>
              </w:rPr>
              <w:t>264395</w:t>
            </w:r>
          </w:p>
        </w:tc>
        <w:tc>
          <w:tcPr>
            <w:tcW w:w="6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1EA62B" w14:textId="51890D92" w:rsidR="000046E5" w:rsidRPr="000A390A" w:rsidRDefault="000046E5" w:rsidP="000046E5">
            <w:pPr>
              <w:spacing w:line="259" w:lineRule="auto"/>
              <w:jc w:val="center"/>
              <w:rPr>
                <w:sz w:val="16"/>
                <w:szCs w:val="16"/>
              </w:rPr>
            </w:pPr>
            <w:r w:rsidRPr="00364545">
              <w:rPr>
                <w:b/>
                <w:sz w:val="16"/>
              </w:rPr>
              <w:t>261598</w:t>
            </w:r>
          </w:p>
        </w:tc>
        <w:tc>
          <w:tcPr>
            <w:tcW w:w="80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D993B0" w14:textId="11DA8411" w:rsidR="000046E5" w:rsidRPr="000A390A" w:rsidRDefault="000046E5" w:rsidP="000046E5">
            <w:pPr>
              <w:spacing w:line="259" w:lineRule="auto"/>
              <w:jc w:val="center"/>
              <w:rPr>
                <w:sz w:val="16"/>
                <w:szCs w:val="16"/>
              </w:rPr>
            </w:pPr>
            <w:r w:rsidRPr="00364545">
              <w:rPr>
                <w:b/>
                <w:sz w:val="16"/>
              </w:rPr>
              <w:t>240639</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03BF7E" w14:textId="0709347B" w:rsidR="000046E5" w:rsidRPr="000A390A" w:rsidRDefault="000046E5" w:rsidP="000046E5">
            <w:pPr>
              <w:spacing w:line="259" w:lineRule="auto"/>
              <w:jc w:val="center"/>
              <w:rPr>
                <w:sz w:val="16"/>
                <w:szCs w:val="16"/>
              </w:rPr>
            </w:pPr>
            <w:r w:rsidRPr="00364545">
              <w:rPr>
                <w:b/>
                <w:sz w:val="16"/>
              </w:rPr>
              <w:t>231245</w:t>
            </w:r>
          </w:p>
        </w:tc>
        <w:tc>
          <w:tcPr>
            <w:tcW w:w="67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D64F04" w14:textId="072EFDEC" w:rsidR="000046E5" w:rsidRPr="000A390A" w:rsidRDefault="000046E5" w:rsidP="000046E5">
            <w:pPr>
              <w:spacing w:line="259" w:lineRule="auto"/>
              <w:ind w:left="58"/>
              <w:jc w:val="center"/>
              <w:rPr>
                <w:b/>
                <w:sz w:val="16"/>
                <w:szCs w:val="16"/>
              </w:rPr>
            </w:pPr>
            <w:r w:rsidRPr="00364545">
              <w:rPr>
                <w:b/>
                <w:sz w:val="16"/>
              </w:rPr>
              <w:t>211199</w:t>
            </w:r>
          </w:p>
        </w:tc>
      </w:tr>
    </w:tbl>
    <w:p w14:paraId="26619462" w14:textId="77777777" w:rsidR="00A514C6" w:rsidRDefault="00A514C6" w:rsidP="00A514C6">
      <w:pPr>
        <w:pStyle w:val="Default"/>
        <w:rPr>
          <w:sz w:val="16"/>
          <w:szCs w:val="16"/>
        </w:rPr>
      </w:pPr>
      <w:r>
        <w:rPr>
          <w:i/>
          <w:iCs/>
          <w:sz w:val="16"/>
          <w:szCs w:val="16"/>
        </w:rPr>
        <w:t xml:space="preserve">Lecture du tableau : Industrie de l’énergie = catégorie CRF1A1 ; industrie manufacturière et construction = catégorie CRF1A2 et 1B ; transports = catégorie CRF 1A3 ; autres secteurs = catégorie CRF 1A4 et 1A5. </w:t>
      </w:r>
    </w:p>
    <w:p w14:paraId="7B17CA52" w14:textId="247C5644" w:rsidR="00A514C6" w:rsidRDefault="00A514C6" w:rsidP="00A514C6">
      <w:pPr>
        <w:pStyle w:val="Caption"/>
      </w:pPr>
      <w:bookmarkStart w:id="532" w:name="_Toc123916507"/>
      <w:r>
        <w:t xml:space="preserve">Tableau </w:t>
      </w:r>
      <w:fldSimple w:instr=" SEQ Tableau \* ARABIC ">
        <w:r w:rsidR="00AB51D9">
          <w:rPr>
            <w:noProof/>
          </w:rPr>
          <w:t>15</w:t>
        </w:r>
      </w:fldSimple>
      <w:r>
        <w:t xml:space="preserve"> : </w:t>
      </w:r>
      <w:r w:rsidRPr="00BA4A6C">
        <w:t xml:space="preserve">Détail des catégories du secteur énergie (en </w:t>
      </w:r>
      <w:r w:rsidRPr="00590551">
        <w:t>kt</w:t>
      </w:r>
      <w:r w:rsidR="007F09F7">
        <w:t>CO</w:t>
      </w:r>
      <w:r w:rsidR="007F09F7" w:rsidRPr="007F09F7">
        <w:rPr>
          <w:vertAlign w:val="subscript"/>
        </w:rPr>
        <w:t>2</w:t>
      </w:r>
      <w:r w:rsidR="004F1EC8" w:rsidRPr="004F1EC8">
        <w:rPr>
          <w:vertAlign w:val="subscript"/>
        </w:rPr>
        <w:t>e</w:t>
      </w:r>
      <w:r w:rsidRPr="00BA4A6C">
        <w:t xml:space="preserve">) au périmètre Kyoto dans le scénario AME </w:t>
      </w:r>
      <w:r>
        <w:t>2021 (avec mesures existantes)</w:t>
      </w:r>
      <w:bookmarkEnd w:id="532"/>
    </w:p>
    <w:p w14:paraId="22C04073" w14:textId="4BE8EC19" w:rsidR="00A514C6" w:rsidRPr="00BA4A6C" w:rsidRDefault="00A514C6" w:rsidP="00A514C6">
      <w:pPr>
        <w:pStyle w:val="Caption"/>
      </w:pPr>
      <w:r w:rsidRPr="00C244FC">
        <w:t xml:space="preserve">Source : Inventaire CNUCC, Citepa/MTES, soumission </w:t>
      </w:r>
      <w:r w:rsidR="000046E5">
        <w:t>2022</w:t>
      </w:r>
      <w:r w:rsidR="000046E5" w:rsidRPr="00C244FC">
        <w:t xml:space="preserve"> </w:t>
      </w:r>
      <w:r w:rsidRPr="00C244FC">
        <w:t>et projections d’émissions MTES, 20</w:t>
      </w:r>
      <w:r>
        <w:t>21</w:t>
      </w:r>
    </w:p>
    <w:p w14:paraId="49BBEABA" w14:textId="642EEF62" w:rsidR="001021CB" w:rsidRDefault="001021CB" w:rsidP="001021CB">
      <w:pPr>
        <w:pStyle w:val="Default"/>
        <w:rPr>
          <w:sz w:val="18"/>
          <w:szCs w:val="18"/>
        </w:rPr>
      </w:pPr>
    </w:p>
    <w:p w14:paraId="320DF968" w14:textId="41B64A95" w:rsidR="00A514C6" w:rsidRDefault="00A514C6" w:rsidP="00A514C6">
      <w:pPr>
        <w:jc w:val="center"/>
      </w:pPr>
    </w:p>
    <w:p w14:paraId="37D56979" w14:textId="3D7C9094" w:rsidR="000046E5" w:rsidRDefault="000046E5" w:rsidP="00261D3D">
      <w:pPr>
        <w:pStyle w:val="Caption"/>
        <w:jc w:val="center"/>
      </w:pPr>
      <w:bookmarkStart w:id="533" w:name="_Toc123916467"/>
      <w:r>
        <w:rPr>
          <w:noProof/>
        </w:rPr>
        <w:drawing>
          <wp:inline distT="0" distB="0" distL="0" distR="0" wp14:anchorId="6EC34997" wp14:editId="6931D5B4">
            <wp:extent cx="5511800" cy="2743200"/>
            <wp:effectExtent l="0" t="0" r="12700" b="0"/>
            <wp:docPr id="28683" name="Graphique 28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CA7B065" w14:textId="79045FA0" w:rsidR="00A514C6" w:rsidRDefault="00A514C6" w:rsidP="00A514C6">
      <w:pPr>
        <w:pStyle w:val="Caption"/>
      </w:pPr>
      <w:r>
        <w:t xml:space="preserve">Figure </w:t>
      </w:r>
      <w:fldSimple w:instr=" SEQ Figure \* ARABIC ">
        <w:r w:rsidR="00AB51D9">
          <w:rPr>
            <w:noProof/>
          </w:rPr>
          <w:t>56</w:t>
        </w:r>
      </w:fldSimple>
      <w:r>
        <w:t xml:space="preserve"> : </w:t>
      </w:r>
      <w:r w:rsidRPr="00BA4A6C">
        <w:t>Détail des catégories du secteur énergie en kt</w:t>
      </w:r>
      <w:r w:rsidR="007F09F7">
        <w:t>CO</w:t>
      </w:r>
      <w:r w:rsidR="007F09F7" w:rsidRPr="007F09F7">
        <w:rPr>
          <w:vertAlign w:val="subscript"/>
        </w:rPr>
        <w:t>2</w:t>
      </w:r>
      <w:r w:rsidR="004F1EC8" w:rsidRPr="004F1EC8">
        <w:rPr>
          <w:vertAlign w:val="subscript"/>
        </w:rPr>
        <w:t>e</w:t>
      </w:r>
      <w:r w:rsidRPr="00BA4A6C">
        <w:t xml:space="preserve">, au </w:t>
      </w:r>
      <w:r>
        <w:t>périmètre</w:t>
      </w:r>
      <w:r w:rsidRPr="00BA4A6C">
        <w:t xml:space="preserve"> Kyoto, scénario AME </w:t>
      </w:r>
      <w:r>
        <w:t>2021</w:t>
      </w:r>
      <w:bookmarkEnd w:id="533"/>
    </w:p>
    <w:p w14:paraId="3D91239C" w14:textId="6BC3EB60" w:rsidR="001021CB" w:rsidRDefault="00A514C6" w:rsidP="00A514C6">
      <w:pPr>
        <w:pStyle w:val="Caption"/>
        <w:rPr>
          <w:szCs w:val="21"/>
        </w:rPr>
      </w:pPr>
      <w:r w:rsidRPr="00BA4A6C">
        <w:t>Source</w:t>
      </w:r>
      <w:r>
        <w:t xml:space="preserve"> : Inventaire CNUCC, Citepa/MTE</w:t>
      </w:r>
      <w:r w:rsidRPr="00BA4A6C">
        <w:t xml:space="preserve">, soumission </w:t>
      </w:r>
      <w:r w:rsidR="000046E5">
        <w:t>2022</w:t>
      </w:r>
      <w:r w:rsidR="000046E5" w:rsidRPr="00BA4A6C">
        <w:t xml:space="preserve"> </w:t>
      </w:r>
      <w:r w:rsidRPr="00BA4A6C">
        <w:t>et projections d’émissions MTE, 20</w:t>
      </w:r>
      <w:r>
        <w:t>21</w:t>
      </w:r>
    </w:p>
    <w:p w14:paraId="555F32B2" w14:textId="02D7C8D3" w:rsidR="00E0671D" w:rsidRDefault="001021CB" w:rsidP="003F57EA">
      <w:pPr>
        <w:pStyle w:val="titreencadre"/>
        <w:numPr>
          <w:ilvl w:val="3"/>
          <w:numId w:val="78"/>
        </w:numPr>
      </w:pPr>
      <w:r>
        <w:t>AMS 2018</w:t>
      </w:r>
    </w:p>
    <w:tbl>
      <w:tblPr>
        <w:tblStyle w:val="TableGrid0"/>
        <w:tblW w:w="10787" w:type="dxa"/>
        <w:tblInd w:w="10" w:type="dxa"/>
        <w:tblLayout w:type="fixed"/>
        <w:tblCellMar>
          <w:top w:w="40" w:type="dxa"/>
          <w:left w:w="28" w:type="dxa"/>
          <w:right w:w="1" w:type="dxa"/>
        </w:tblCellMar>
        <w:tblLook w:val="04A0" w:firstRow="1" w:lastRow="0" w:firstColumn="1" w:lastColumn="0" w:noHBand="0" w:noVBand="1"/>
      </w:tblPr>
      <w:tblGrid>
        <w:gridCol w:w="1405"/>
        <w:gridCol w:w="781"/>
        <w:gridCol w:w="782"/>
        <w:gridCol w:w="782"/>
        <w:gridCol w:w="782"/>
        <w:gridCol w:w="782"/>
        <w:gridCol w:w="781"/>
        <w:gridCol w:w="782"/>
        <w:gridCol w:w="782"/>
        <w:gridCol w:w="782"/>
        <w:gridCol w:w="782"/>
        <w:gridCol w:w="782"/>
        <w:gridCol w:w="782"/>
      </w:tblGrid>
      <w:tr w:rsidR="000046E5" w14:paraId="5E84A3F2" w14:textId="77777777" w:rsidTr="00261D3D">
        <w:trPr>
          <w:trHeight w:val="400"/>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55FD628B" w14:textId="77777777" w:rsidR="000046E5" w:rsidRPr="00E0671D" w:rsidRDefault="000046E5" w:rsidP="00E0671D">
            <w:r w:rsidRPr="00E0671D">
              <w:t>AMS 2018</w:t>
            </w:r>
          </w:p>
        </w:tc>
        <w:tc>
          <w:tcPr>
            <w:tcW w:w="781" w:type="dxa"/>
            <w:tcBorders>
              <w:top w:val="single" w:sz="2" w:space="0" w:color="000000"/>
              <w:left w:val="single" w:sz="2" w:space="0" w:color="000000"/>
              <w:bottom w:val="single" w:sz="2" w:space="0" w:color="000000"/>
              <w:right w:val="single" w:sz="2" w:space="0" w:color="000000"/>
            </w:tcBorders>
            <w:shd w:val="clear" w:color="auto" w:fill="6D2A78"/>
          </w:tcPr>
          <w:p w14:paraId="74BA5B97" w14:textId="77777777" w:rsidR="000046E5" w:rsidRPr="0015655F" w:rsidRDefault="000046E5" w:rsidP="009947FF">
            <w:pPr>
              <w:spacing w:line="259" w:lineRule="auto"/>
              <w:ind w:right="27"/>
              <w:jc w:val="center"/>
            </w:pPr>
            <w:r w:rsidRPr="0015655F">
              <w:rPr>
                <w:b/>
                <w:color w:val="FFFFFF"/>
                <w:sz w:val="18"/>
              </w:rPr>
              <w:t xml:space="preserve">1990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2C589BAE" w14:textId="77777777" w:rsidR="000046E5" w:rsidRPr="0015655F" w:rsidRDefault="000046E5" w:rsidP="009947FF">
            <w:pPr>
              <w:spacing w:line="259" w:lineRule="auto"/>
              <w:ind w:right="24"/>
              <w:jc w:val="center"/>
              <w:rPr>
                <w:b/>
                <w:color w:val="FFFFFF"/>
                <w:sz w:val="18"/>
              </w:rPr>
            </w:pPr>
            <w:r>
              <w:rPr>
                <w:b/>
                <w:color w:val="FFFFFF"/>
                <w:sz w:val="18"/>
              </w:rPr>
              <w:t>1995</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5E59245F" w14:textId="77777777" w:rsidR="000046E5" w:rsidRPr="0015655F" w:rsidRDefault="000046E5" w:rsidP="009947FF">
            <w:pPr>
              <w:spacing w:line="259" w:lineRule="auto"/>
              <w:ind w:right="24"/>
              <w:jc w:val="center"/>
            </w:pPr>
            <w:r w:rsidRPr="0015655F">
              <w:rPr>
                <w:b/>
                <w:color w:val="FFFFFF"/>
                <w:sz w:val="18"/>
              </w:rPr>
              <w:t xml:space="preserve">2000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1CD53944" w14:textId="77777777" w:rsidR="000046E5" w:rsidRPr="0015655F" w:rsidRDefault="000046E5" w:rsidP="009947FF">
            <w:pPr>
              <w:spacing w:line="259" w:lineRule="auto"/>
              <w:ind w:right="27"/>
              <w:jc w:val="center"/>
            </w:pPr>
            <w:r w:rsidRPr="0015655F">
              <w:rPr>
                <w:b/>
                <w:color w:val="FFFFFF"/>
                <w:sz w:val="18"/>
              </w:rPr>
              <w:t xml:space="preserve">2005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3B0296A2" w14:textId="77777777" w:rsidR="000046E5" w:rsidRPr="0015655F" w:rsidRDefault="000046E5" w:rsidP="009947FF">
            <w:pPr>
              <w:spacing w:line="259" w:lineRule="auto"/>
              <w:ind w:right="24"/>
              <w:jc w:val="center"/>
            </w:pPr>
            <w:r w:rsidRPr="0015655F">
              <w:rPr>
                <w:b/>
                <w:color w:val="FFFFFF"/>
                <w:sz w:val="18"/>
              </w:rPr>
              <w:t xml:space="preserve">2010 </w:t>
            </w:r>
          </w:p>
        </w:tc>
        <w:tc>
          <w:tcPr>
            <w:tcW w:w="781" w:type="dxa"/>
            <w:tcBorders>
              <w:top w:val="single" w:sz="2" w:space="0" w:color="000000"/>
              <w:left w:val="single" w:sz="2" w:space="0" w:color="000000"/>
              <w:bottom w:val="single" w:sz="2" w:space="0" w:color="000000"/>
              <w:right w:val="single" w:sz="2" w:space="0" w:color="000000"/>
            </w:tcBorders>
            <w:shd w:val="clear" w:color="auto" w:fill="6D2A78"/>
          </w:tcPr>
          <w:p w14:paraId="6D598FC7" w14:textId="77777777" w:rsidR="000046E5" w:rsidRPr="0015655F" w:rsidRDefault="000046E5" w:rsidP="009947FF">
            <w:pPr>
              <w:spacing w:line="259" w:lineRule="auto"/>
              <w:ind w:right="27"/>
              <w:jc w:val="center"/>
            </w:pPr>
            <w:r w:rsidRPr="0015655F">
              <w:rPr>
                <w:b/>
                <w:color w:val="FFFFFF"/>
                <w:sz w:val="18"/>
              </w:rPr>
              <w:t xml:space="preserve">2015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02AD5179" w14:textId="3B37C39B" w:rsidR="000046E5" w:rsidRPr="0015655F" w:rsidRDefault="000046E5" w:rsidP="009947FF">
            <w:pPr>
              <w:spacing w:line="259" w:lineRule="auto"/>
              <w:ind w:right="24"/>
              <w:jc w:val="center"/>
              <w:rPr>
                <w:b/>
                <w:color w:val="FFFFFF"/>
                <w:sz w:val="18"/>
              </w:rPr>
            </w:pPr>
            <w:r>
              <w:rPr>
                <w:b/>
                <w:color w:val="FFFFFF"/>
                <w:sz w:val="18"/>
              </w:rPr>
              <w:t>2019</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1FEDB7B6" w14:textId="7BE45C13" w:rsidR="000046E5" w:rsidRPr="0015655F" w:rsidRDefault="000046E5" w:rsidP="009947FF">
            <w:pPr>
              <w:spacing w:line="259" w:lineRule="auto"/>
              <w:ind w:right="24"/>
              <w:jc w:val="center"/>
            </w:pPr>
            <w:r w:rsidRPr="0015655F">
              <w:rPr>
                <w:b/>
                <w:color w:val="FFFFFF"/>
                <w:sz w:val="18"/>
              </w:rPr>
              <w:t xml:space="preserve">2020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7DAD82AD" w14:textId="77777777" w:rsidR="000046E5" w:rsidRPr="0015655F" w:rsidRDefault="000046E5" w:rsidP="009947FF">
            <w:pPr>
              <w:spacing w:line="259" w:lineRule="auto"/>
              <w:ind w:right="27"/>
              <w:jc w:val="center"/>
            </w:pPr>
            <w:r w:rsidRPr="0015655F">
              <w:rPr>
                <w:b/>
                <w:color w:val="FFFFFF"/>
                <w:sz w:val="18"/>
              </w:rPr>
              <w:t xml:space="preserve">2025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047B2495" w14:textId="77777777" w:rsidR="000046E5" w:rsidRPr="0015655F" w:rsidRDefault="000046E5" w:rsidP="009947FF">
            <w:pPr>
              <w:spacing w:line="259" w:lineRule="auto"/>
              <w:ind w:right="24"/>
              <w:jc w:val="center"/>
            </w:pPr>
            <w:r w:rsidRPr="0015655F">
              <w:rPr>
                <w:b/>
                <w:color w:val="FFFFFF"/>
                <w:sz w:val="18"/>
              </w:rPr>
              <w:t xml:space="preserve">2030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033713D1" w14:textId="77777777" w:rsidR="000046E5" w:rsidRPr="0015655F" w:rsidRDefault="000046E5" w:rsidP="009947FF">
            <w:pPr>
              <w:spacing w:line="259" w:lineRule="auto"/>
              <w:ind w:right="26"/>
              <w:jc w:val="center"/>
            </w:pPr>
            <w:r w:rsidRPr="0015655F">
              <w:rPr>
                <w:b/>
                <w:color w:val="FFFFFF"/>
                <w:sz w:val="18"/>
              </w:rPr>
              <w:t xml:space="preserve">2035 </w:t>
            </w:r>
          </w:p>
        </w:tc>
        <w:tc>
          <w:tcPr>
            <w:tcW w:w="782" w:type="dxa"/>
            <w:tcBorders>
              <w:top w:val="single" w:sz="2" w:space="0" w:color="000000"/>
              <w:left w:val="single" w:sz="2" w:space="0" w:color="000000"/>
              <w:bottom w:val="single" w:sz="2" w:space="0" w:color="000000"/>
              <w:right w:val="single" w:sz="2" w:space="0" w:color="000000"/>
            </w:tcBorders>
            <w:shd w:val="clear" w:color="auto" w:fill="6D2A78"/>
          </w:tcPr>
          <w:p w14:paraId="72FFE86D" w14:textId="77777777" w:rsidR="000046E5" w:rsidRPr="0015655F" w:rsidRDefault="000046E5" w:rsidP="009947FF">
            <w:pPr>
              <w:spacing w:line="259" w:lineRule="auto"/>
              <w:ind w:right="26"/>
              <w:jc w:val="center"/>
              <w:rPr>
                <w:b/>
                <w:color w:val="FFFFFF"/>
                <w:sz w:val="18"/>
              </w:rPr>
            </w:pPr>
            <w:r>
              <w:rPr>
                <w:b/>
                <w:color w:val="FFFFFF"/>
                <w:sz w:val="18"/>
              </w:rPr>
              <w:t>2050</w:t>
            </w:r>
          </w:p>
        </w:tc>
      </w:tr>
      <w:tr w:rsidR="000046E5" w14:paraId="56D08094" w14:textId="77777777" w:rsidTr="00261D3D">
        <w:trPr>
          <w:trHeight w:val="347"/>
        </w:trPr>
        <w:tc>
          <w:tcPr>
            <w:tcW w:w="1405" w:type="dxa"/>
            <w:tcBorders>
              <w:top w:val="single" w:sz="2" w:space="0" w:color="000000"/>
              <w:left w:val="single" w:sz="2" w:space="0" w:color="000000"/>
              <w:bottom w:val="single" w:sz="2" w:space="0" w:color="000000"/>
              <w:right w:val="single" w:sz="2" w:space="0" w:color="000000"/>
            </w:tcBorders>
          </w:tcPr>
          <w:p w14:paraId="21925F8C" w14:textId="77777777" w:rsidR="000046E5" w:rsidRPr="0015655F" w:rsidRDefault="000046E5" w:rsidP="00E0671D">
            <w:pPr>
              <w:spacing w:line="259" w:lineRule="auto"/>
              <w:jc w:val="left"/>
            </w:pPr>
            <w:r w:rsidRPr="0015655F">
              <w:rPr>
                <w:b/>
                <w:sz w:val="18"/>
              </w:rPr>
              <w:t xml:space="preserve"> </w:t>
            </w:r>
          </w:p>
        </w:tc>
        <w:tc>
          <w:tcPr>
            <w:tcW w:w="781" w:type="dxa"/>
            <w:tcBorders>
              <w:top w:val="single" w:sz="2" w:space="0" w:color="000000"/>
              <w:left w:val="single" w:sz="2" w:space="0" w:color="000000"/>
              <w:bottom w:val="single" w:sz="2" w:space="0" w:color="000000"/>
              <w:right w:val="single" w:sz="2" w:space="0" w:color="000000"/>
            </w:tcBorders>
          </w:tcPr>
          <w:p w14:paraId="07682F2A" w14:textId="77777777" w:rsidR="000046E5" w:rsidRPr="000A390A" w:rsidRDefault="000046E5" w:rsidP="009947FF">
            <w:pPr>
              <w:spacing w:line="259" w:lineRule="auto"/>
              <w:rPr>
                <w:sz w:val="16"/>
              </w:rPr>
            </w:pPr>
            <w:r w:rsidRPr="000A390A">
              <w:rPr>
                <w:b/>
                <w:color w:val="6D2A78"/>
                <w:sz w:val="16"/>
              </w:rPr>
              <w:t xml:space="preserve">Observé </w:t>
            </w:r>
          </w:p>
        </w:tc>
        <w:tc>
          <w:tcPr>
            <w:tcW w:w="782" w:type="dxa"/>
            <w:tcBorders>
              <w:top w:val="single" w:sz="2" w:space="0" w:color="000000"/>
              <w:left w:val="single" w:sz="2" w:space="0" w:color="000000"/>
              <w:bottom w:val="single" w:sz="2" w:space="0" w:color="000000"/>
              <w:right w:val="single" w:sz="2" w:space="0" w:color="000000"/>
            </w:tcBorders>
          </w:tcPr>
          <w:p w14:paraId="42E625AA" w14:textId="77777777" w:rsidR="000046E5" w:rsidRPr="000A390A" w:rsidRDefault="000046E5" w:rsidP="009947FF">
            <w:pPr>
              <w:spacing w:line="259" w:lineRule="auto"/>
              <w:rPr>
                <w:b/>
                <w:color w:val="6D2A78"/>
                <w:sz w:val="16"/>
              </w:rPr>
            </w:pPr>
            <w:r w:rsidRPr="000A390A">
              <w:rPr>
                <w:b/>
                <w:color w:val="6D2A78"/>
                <w:sz w:val="16"/>
              </w:rPr>
              <w:t xml:space="preserve">Observé </w:t>
            </w:r>
          </w:p>
        </w:tc>
        <w:tc>
          <w:tcPr>
            <w:tcW w:w="782" w:type="dxa"/>
            <w:tcBorders>
              <w:top w:val="single" w:sz="2" w:space="0" w:color="000000"/>
              <w:left w:val="single" w:sz="2" w:space="0" w:color="000000"/>
              <w:bottom w:val="single" w:sz="2" w:space="0" w:color="000000"/>
              <w:right w:val="single" w:sz="2" w:space="0" w:color="000000"/>
            </w:tcBorders>
          </w:tcPr>
          <w:p w14:paraId="123FC892" w14:textId="77777777" w:rsidR="000046E5" w:rsidRPr="000A390A" w:rsidRDefault="000046E5" w:rsidP="009947FF">
            <w:pPr>
              <w:spacing w:line="259" w:lineRule="auto"/>
              <w:rPr>
                <w:sz w:val="16"/>
              </w:rPr>
            </w:pPr>
            <w:r w:rsidRPr="000A390A">
              <w:rPr>
                <w:b/>
                <w:color w:val="6D2A78"/>
                <w:sz w:val="16"/>
              </w:rPr>
              <w:t xml:space="preserve">Observé </w:t>
            </w:r>
          </w:p>
        </w:tc>
        <w:tc>
          <w:tcPr>
            <w:tcW w:w="782" w:type="dxa"/>
            <w:tcBorders>
              <w:top w:val="single" w:sz="2" w:space="0" w:color="000000"/>
              <w:left w:val="single" w:sz="2" w:space="0" w:color="000000"/>
              <w:bottom w:val="single" w:sz="2" w:space="0" w:color="000000"/>
              <w:right w:val="single" w:sz="2" w:space="0" w:color="000000"/>
            </w:tcBorders>
          </w:tcPr>
          <w:p w14:paraId="33FE4C67" w14:textId="77777777" w:rsidR="000046E5" w:rsidRPr="000A390A" w:rsidRDefault="000046E5" w:rsidP="009947FF">
            <w:pPr>
              <w:spacing w:line="259" w:lineRule="auto"/>
              <w:rPr>
                <w:sz w:val="16"/>
              </w:rPr>
            </w:pPr>
            <w:r w:rsidRPr="000A390A">
              <w:rPr>
                <w:b/>
                <w:color w:val="6D2A78"/>
                <w:sz w:val="16"/>
              </w:rPr>
              <w:t xml:space="preserve">Observé </w:t>
            </w:r>
          </w:p>
        </w:tc>
        <w:tc>
          <w:tcPr>
            <w:tcW w:w="782" w:type="dxa"/>
            <w:tcBorders>
              <w:top w:val="single" w:sz="2" w:space="0" w:color="000000"/>
              <w:left w:val="single" w:sz="2" w:space="0" w:color="000000"/>
              <w:bottom w:val="single" w:sz="2" w:space="0" w:color="000000"/>
              <w:right w:val="single" w:sz="2" w:space="0" w:color="000000"/>
            </w:tcBorders>
          </w:tcPr>
          <w:p w14:paraId="3DC5CA35" w14:textId="77777777" w:rsidR="000046E5" w:rsidRPr="000A390A" w:rsidRDefault="000046E5" w:rsidP="009947FF">
            <w:pPr>
              <w:spacing w:line="259" w:lineRule="auto"/>
              <w:rPr>
                <w:sz w:val="16"/>
              </w:rPr>
            </w:pPr>
            <w:r w:rsidRPr="000A390A">
              <w:rPr>
                <w:b/>
                <w:color w:val="6D2A78"/>
                <w:sz w:val="16"/>
              </w:rPr>
              <w:t xml:space="preserve">Observé </w:t>
            </w:r>
          </w:p>
        </w:tc>
        <w:tc>
          <w:tcPr>
            <w:tcW w:w="781" w:type="dxa"/>
            <w:tcBorders>
              <w:top w:val="single" w:sz="2" w:space="0" w:color="000000"/>
              <w:left w:val="single" w:sz="2" w:space="0" w:color="000000"/>
              <w:bottom w:val="single" w:sz="2" w:space="0" w:color="000000"/>
              <w:right w:val="single" w:sz="2" w:space="0" w:color="000000"/>
            </w:tcBorders>
          </w:tcPr>
          <w:p w14:paraId="67EB3555" w14:textId="77777777" w:rsidR="000046E5" w:rsidRPr="000A390A" w:rsidRDefault="000046E5" w:rsidP="009947FF">
            <w:pPr>
              <w:spacing w:line="259" w:lineRule="auto"/>
              <w:rPr>
                <w:sz w:val="16"/>
              </w:rPr>
            </w:pPr>
            <w:r w:rsidRPr="000A390A">
              <w:rPr>
                <w:b/>
                <w:color w:val="6D2A78"/>
                <w:sz w:val="16"/>
              </w:rPr>
              <w:t xml:space="preserve">Observé </w:t>
            </w:r>
          </w:p>
        </w:tc>
        <w:tc>
          <w:tcPr>
            <w:tcW w:w="782" w:type="dxa"/>
            <w:tcBorders>
              <w:top w:val="single" w:sz="2" w:space="0" w:color="000000"/>
              <w:left w:val="single" w:sz="2" w:space="0" w:color="000000"/>
              <w:bottom w:val="single" w:sz="2" w:space="0" w:color="000000"/>
              <w:right w:val="single" w:sz="2" w:space="0" w:color="000000"/>
            </w:tcBorders>
          </w:tcPr>
          <w:p w14:paraId="056BFE0A" w14:textId="7AD5CC5E" w:rsidR="000046E5" w:rsidRPr="000A390A" w:rsidRDefault="000046E5" w:rsidP="009947FF">
            <w:pPr>
              <w:spacing w:line="259" w:lineRule="auto"/>
              <w:rPr>
                <w:b/>
                <w:color w:val="6D2A78"/>
                <w:sz w:val="16"/>
              </w:rPr>
            </w:pPr>
            <w:r w:rsidRPr="000A390A">
              <w:rPr>
                <w:b/>
                <w:color w:val="6D2A78"/>
                <w:sz w:val="16"/>
              </w:rPr>
              <w:t>Observé</w:t>
            </w:r>
          </w:p>
        </w:tc>
        <w:tc>
          <w:tcPr>
            <w:tcW w:w="782" w:type="dxa"/>
            <w:tcBorders>
              <w:top w:val="single" w:sz="2" w:space="0" w:color="000000"/>
              <w:left w:val="single" w:sz="2" w:space="0" w:color="000000"/>
              <w:bottom w:val="single" w:sz="2" w:space="0" w:color="000000"/>
              <w:right w:val="single" w:sz="2" w:space="0" w:color="000000"/>
            </w:tcBorders>
          </w:tcPr>
          <w:p w14:paraId="4569F52A" w14:textId="4E1B3924" w:rsidR="000046E5" w:rsidRPr="000A390A" w:rsidRDefault="000046E5" w:rsidP="009947FF">
            <w:pPr>
              <w:spacing w:line="259" w:lineRule="auto"/>
              <w:rPr>
                <w:sz w:val="16"/>
              </w:rPr>
            </w:pPr>
            <w:r w:rsidRPr="000A390A">
              <w:rPr>
                <w:b/>
                <w:color w:val="6D2A78"/>
                <w:sz w:val="16"/>
              </w:rPr>
              <w:t xml:space="preserve">Projeté </w:t>
            </w:r>
          </w:p>
        </w:tc>
        <w:tc>
          <w:tcPr>
            <w:tcW w:w="782" w:type="dxa"/>
            <w:tcBorders>
              <w:top w:val="single" w:sz="2" w:space="0" w:color="000000"/>
              <w:left w:val="single" w:sz="2" w:space="0" w:color="000000"/>
              <w:bottom w:val="single" w:sz="2" w:space="0" w:color="000000"/>
              <w:right w:val="single" w:sz="2" w:space="0" w:color="000000"/>
            </w:tcBorders>
          </w:tcPr>
          <w:p w14:paraId="0CEF2CB2" w14:textId="77777777" w:rsidR="000046E5" w:rsidRPr="000A390A" w:rsidRDefault="000046E5" w:rsidP="009947FF">
            <w:pPr>
              <w:spacing w:line="259" w:lineRule="auto"/>
              <w:rPr>
                <w:sz w:val="16"/>
              </w:rPr>
            </w:pPr>
            <w:r w:rsidRPr="000A390A">
              <w:rPr>
                <w:b/>
                <w:color w:val="6D2A78"/>
                <w:sz w:val="16"/>
              </w:rPr>
              <w:t xml:space="preserve">Projeté </w:t>
            </w:r>
          </w:p>
        </w:tc>
        <w:tc>
          <w:tcPr>
            <w:tcW w:w="782" w:type="dxa"/>
            <w:tcBorders>
              <w:top w:val="single" w:sz="2" w:space="0" w:color="000000"/>
              <w:left w:val="single" w:sz="2" w:space="0" w:color="000000"/>
              <w:bottom w:val="single" w:sz="2" w:space="0" w:color="000000"/>
              <w:right w:val="single" w:sz="2" w:space="0" w:color="000000"/>
            </w:tcBorders>
          </w:tcPr>
          <w:p w14:paraId="4E92535F" w14:textId="77777777" w:rsidR="000046E5" w:rsidRPr="000A390A" w:rsidRDefault="000046E5" w:rsidP="009947FF">
            <w:pPr>
              <w:spacing w:line="259" w:lineRule="auto"/>
              <w:rPr>
                <w:sz w:val="16"/>
              </w:rPr>
            </w:pPr>
            <w:r w:rsidRPr="000A390A">
              <w:rPr>
                <w:b/>
                <w:color w:val="6D2A78"/>
                <w:sz w:val="16"/>
              </w:rPr>
              <w:t xml:space="preserve">Projeté </w:t>
            </w:r>
          </w:p>
        </w:tc>
        <w:tc>
          <w:tcPr>
            <w:tcW w:w="782" w:type="dxa"/>
            <w:tcBorders>
              <w:top w:val="single" w:sz="2" w:space="0" w:color="000000"/>
              <w:left w:val="single" w:sz="2" w:space="0" w:color="000000"/>
              <w:bottom w:val="single" w:sz="2" w:space="0" w:color="000000"/>
              <w:right w:val="single" w:sz="2" w:space="0" w:color="000000"/>
            </w:tcBorders>
          </w:tcPr>
          <w:p w14:paraId="5E9551E1" w14:textId="77777777" w:rsidR="000046E5" w:rsidRPr="000A390A" w:rsidRDefault="000046E5" w:rsidP="009947FF">
            <w:pPr>
              <w:spacing w:line="259" w:lineRule="auto"/>
              <w:rPr>
                <w:sz w:val="16"/>
              </w:rPr>
            </w:pPr>
            <w:r w:rsidRPr="000A390A">
              <w:rPr>
                <w:b/>
                <w:color w:val="6D2A78"/>
                <w:sz w:val="16"/>
              </w:rPr>
              <w:t xml:space="preserve">Projeté </w:t>
            </w:r>
          </w:p>
        </w:tc>
        <w:tc>
          <w:tcPr>
            <w:tcW w:w="782" w:type="dxa"/>
            <w:tcBorders>
              <w:top w:val="single" w:sz="2" w:space="0" w:color="000000"/>
              <w:left w:val="single" w:sz="2" w:space="0" w:color="000000"/>
              <w:bottom w:val="single" w:sz="2" w:space="0" w:color="000000"/>
              <w:right w:val="single" w:sz="2" w:space="0" w:color="000000"/>
            </w:tcBorders>
          </w:tcPr>
          <w:p w14:paraId="217313EF" w14:textId="77777777" w:rsidR="000046E5" w:rsidRPr="000A390A" w:rsidRDefault="000046E5" w:rsidP="009947FF">
            <w:pPr>
              <w:spacing w:line="259" w:lineRule="auto"/>
              <w:rPr>
                <w:b/>
                <w:color w:val="6D2A78"/>
                <w:sz w:val="16"/>
              </w:rPr>
            </w:pPr>
            <w:r w:rsidRPr="000A390A">
              <w:rPr>
                <w:b/>
                <w:color w:val="6D2A78"/>
                <w:sz w:val="16"/>
              </w:rPr>
              <w:t>Projeté</w:t>
            </w:r>
          </w:p>
        </w:tc>
      </w:tr>
      <w:tr w:rsidR="000046E5" w14:paraId="25F0129C"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7E195EB" w14:textId="77777777" w:rsidR="000046E5" w:rsidRPr="0015655F" w:rsidRDefault="000046E5" w:rsidP="000046E5">
            <w:pPr>
              <w:spacing w:line="259" w:lineRule="auto"/>
              <w:jc w:val="left"/>
            </w:pPr>
            <w:r w:rsidRPr="0015655F">
              <w:rPr>
                <w:sz w:val="18"/>
              </w:rPr>
              <w:t xml:space="preserve">Industrie de l’énergie </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411E47" w14:textId="5629C453"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66338</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3375B1" w14:textId="1B5D8723"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55802</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36D05A" w14:textId="6E15FB2A"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62526</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E410B9" w14:textId="5C5175F7"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66972</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623EC8" w14:textId="3C275A60"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60134</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0F53A1" w14:textId="4CC2DFF4" w:rsidR="000046E5" w:rsidRPr="000A390A" w:rsidRDefault="000046E5" w:rsidP="000046E5">
            <w:pPr>
              <w:spacing w:line="259" w:lineRule="auto"/>
              <w:ind w:left="108"/>
              <w:jc w:val="center"/>
              <w:rPr>
                <w:sz w:val="16"/>
                <w:szCs w:val="16"/>
              </w:rPr>
            </w:pPr>
            <w:r w:rsidRPr="00664108">
              <w:rPr>
                <w:rFonts w:asciiTheme="majorHAnsi" w:hAnsiTheme="majorHAnsi"/>
                <w:sz w:val="16"/>
                <w:szCs w:val="16"/>
              </w:rPr>
              <w:t>44988</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94DEED" w14:textId="556C072C" w:rsidR="000046E5" w:rsidRDefault="000046E5" w:rsidP="000046E5">
            <w:pPr>
              <w:spacing w:line="259" w:lineRule="auto"/>
              <w:ind w:left="108"/>
              <w:jc w:val="center"/>
              <w:rPr>
                <w:rFonts w:ascii="Calibri" w:hAnsi="Calibri" w:cs="Calibri"/>
                <w:color w:val="000000"/>
                <w:sz w:val="20"/>
                <w:szCs w:val="20"/>
              </w:rPr>
            </w:pPr>
            <w:r w:rsidRPr="00664108">
              <w:rPr>
                <w:rFonts w:asciiTheme="majorHAnsi" w:hAnsiTheme="majorHAnsi"/>
                <w:sz w:val="16"/>
                <w:szCs w:val="16"/>
              </w:rPr>
              <w:t>41680</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07FA36" w14:textId="6B166DA1"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51390</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16E8B2" w14:textId="56789919"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35549</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8E9D0E7" w14:textId="6B96253A"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30007</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FFF865" w14:textId="7A1F1768"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19242</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E929A9" w14:textId="15D1DC02"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-13050</w:t>
            </w:r>
          </w:p>
        </w:tc>
      </w:tr>
      <w:tr w:rsidR="000046E5" w14:paraId="5B6CBD9C" w14:textId="77777777" w:rsidTr="00261D3D">
        <w:trPr>
          <w:trHeight w:val="419"/>
        </w:trPr>
        <w:tc>
          <w:tcPr>
            <w:tcW w:w="1405" w:type="dxa"/>
            <w:tcBorders>
              <w:top w:val="single" w:sz="2" w:space="0" w:color="000000"/>
              <w:left w:val="single" w:sz="2" w:space="0" w:color="000000"/>
              <w:bottom w:val="single" w:sz="2" w:space="0" w:color="000000"/>
              <w:right w:val="single" w:sz="2" w:space="0" w:color="000000"/>
            </w:tcBorders>
          </w:tcPr>
          <w:p w14:paraId="0606B8D3" w14:textId="77777777" w:rsidR="000046E5" w:rsidRPr="0015655F" w:rsidRDefault="000046E5" w:rsidP="000046E5">
            <w:pPr>
              <w:spacing w:line="259" w:lineRule="auto"/>
              <w:jc w:val="left"/>
            </w:pPr>
            <w:r w:rsidRPr="0015655F">
              <w:rPr>
                <w:sz w:val="18"/>
              </w:rPr>
              <w:t xml:space="preserve">Industrie manufacturière et construction </w:t>
            </w:r>
          </w:p>
        </w:tc>
        <w:tc>
          <w:tcPr>
            <w:tcW w:w="781" w:type="dxa"/>
            <w:tcBorders>
              <w:top w:val="single" w:sz="2" w:space="0" w:color="000000"/>
              <w:left w:val="single" w:sz="2" w:space="0" w:color="000000"/>
              <w:bottom w:val="single" w:sz="2" w:space="0" w:color="000000"/>
              <w:right w:val="single" w:sz="2" w:space="0" w:color="000000"/>
            </w:tcBorders>
            <w:vAlign w:val="center"/>
          </w:tcPr>
          <w:p w14:paraId="4AED3B70" w14:textId="2EF1E982"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76164</w:t>
            </w:r>
          </w:p>
        </w:tc>
        <w:tc>
          <w:tcPr>
            <w:tcW w:w="782" w:type="dxa"/>
            <w:tcBorders>
              <w:top w:val="single" w:sz="2" w:space="0" w:color="000000"/>
              <w:left w:val="single" w:sz="2" w:space="0" w:color="000000"/>
              <w:bottom w:val="single" w:sz="2" w:space="0" w:color="000000"/>
              <w:right w:val="single" w:sz="2" w:space="0" w:color="000000"/>
            </w:tcBorders>
            <w:vAlign w:val="center"/>
          </w:tcPr>
          <w:p w14:paraId="0A0E07CA" w14:textId="1197DD39"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80423</w:t>
            </w:r>
          </w:p>
        </w:tc>
        <w:tc>
          <w:tcPr>
            <w:tcW w:w="782" w:type="dxa"/>
            <w:tcBorders>
              <w:top w:val="single" w:sz="2" w:space="0" w:color="000000"/>
              <w:left w:val="single" w:sz="2" w:space="0" w:color="000000"/>
              <w:bottom w:val="single" w:sz="2" w:space="0" w:color="000000"/>
              <w:right w:val="single" w:sz="2" w:space="0" w:color="000000"/>
            </w:tcBorders>
            <w:vAlign w:val="center"/>
          </w:tcPr>
          <w:p w14:paraId="574D8A87" w14:textId="0A0E81A4"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75532</w:t>
            </w:r>
          </w:p>
        </w:tc>
        <w:tc>
          <w:tcPr>
            <w:tcW w:w="782" w:type="dxa"/>
            <w:tcBorders>
              <w:top w:val="single" w:sz="2" w:space="0" w:color="000000"/>
              <w:left w:val="single" w:sz="2" w:space="0" w:color="000000"/>
              <w:bottom w:val="single" w:sz="2" w:space="0" w:color="000000"/>
              <w:right w:val="single" w:sz="2" w:space="0" w:color="000000"/>
            </w:tcBorders>
            <w:vAlign w:val="center"/>
          </w:tcPr>
          <w:p w14:paraId="54C83515" w14:textId="69903150"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71990</w:t>
            </w:r>
          </w:p>
        </w:tc>
        <w:tc>
          <w:tcPr>
            <w:tcW w:w="782" w:type="dxa"/>
            <w:tcBorders>
              <w:top w:val="single" w:sz="2" w:space="0" w:color="000000"/>
              <w:left w:val="single" w:sz="2" w:space="0" w:color="000000"/>
              <w:bottom w:val="single" w:sz="2" w:space="0" w:color="000000"/>
              <w:right w:val="single" w:sz="2" w:space="0" w:color="000000"/>
            </w:tcBorders>
            <w:vAlign w:val="center"/>
          </w:tcPr>
          <w:p w14:paraId="1FA950E1" w14:textId="5BC0C7DE"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62105</w:t>
            </w:r>
          </w:p>
        </w:tc>
        <w:tc>
          <w:tcPr>
            <w:tcW w:w="781" w:type="dxa"/>
            <w:tcBorders>
              <w:top w:val="single" w:sz="2" w:space="0" w:color="000000"/>
              <w:left w:val="single" w:sz="2" w:space="0" w:color="000000"/>
              <w:bottom w:val="single" w:sz="2" w:space="0" w:color="000000"/>
              <w:right w:val="single" w:sz="2" w:space="0" w:color="000000"/>
            </w:tcBorders>
            <w:vAlign w:val="center"/>
          </w:tcPr>
          <w:p w14:paraId="3D9090F2" w14:textId="0DC06884"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51963</w:t>
            </w:r>
          </w:p>
        </w:tc>
        <w:tc>
          <w:tcPr>
            <w:tcW w:w="782" w:type="dxa"/>
            <w:tcBorders>
              <w:top w:val="single" w:sz="2" w:space="0" w:color="000000"/>
              <w:left w:val="single" w:sz="2" w:space="0" w:color="000000"/>
              <w:bottom w:val="single" w:sz="2" w:space="0" w:color="000000"/>
              <w:right w:val="single" w:sz="2" w:space="0" w:color="000000"/>
            </w:tcBorders>
            <w:vAlign w:val="center"/>
          </w:tcPr>
          <w:p w14:paraId="6ACFBF9D" w14:textId="29AC28DC" w:rsidR="000046E5" w:rsidRDefault="000046E5" w:rsidP="000046E5">
            <w:pPr>
              <w:spacing w:line="259" w:lineRule="auto"/>
              <w:ind w:left="108"/>
              <w:jc w:val="center"/>
              <w:rPr>
                <w:rFonts w:ascii="Calibri" w:hAnsi="Calibri" w:cs="Calibri"/>
                <w:color w:val="000000"/>
                <w:sz w:val="20"/>
                <w:szCs w:val="20"/>
              </w:rPr>
            </w:pPr>
            <w:r w:rsidRPr="00664108">
              <w:rPr>
                <w:rFonts w:asciiTheme="majorHAnsi" w:hAnsiTheme="majorHAnsi" w:cs="Calibri"/>
                <w:color w:val="000000"/>
                <w:sz w:val="16"/>
                <w:szCs w:val="16"/>
              </w:rPr>
              <w:t>48031</w:t>
            </w:r>
          </w:p>
        </w:tc>
        <w:tc>
          <w:tcPr>
            <w:tcW w:w="782" w:type="dxa"/>
            <w:tcBorders>
              <w:top w:val="single" w:sz="2" w:space="0" w:color="000000"/>
              <w:left w:val="single" w:sz="2" w:space="0" w:color="000000"/>
              <w:bottom w:val="single" w:sz="2" w:space="0" w:color="000000"/>
              <w:right w:val="single" w:sz="2" w:space="0" w:color="000000"/>
            </w:tcBorders>
            <w:vAlign w:val="center"/>
          </w:tcPr>
          <w:p w14:paraId="6E155925" w14:textId="297653C4"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43570</w:t>
            </w:r>
          </w:p>
        </w:tc>
        <w:tc>
          <w:tcPr>
            <w:tcW w:w="782" w:type="dxa"/>
            <w:tcBorders>
              <w:top w:val="single" w:sz="2" w:space="0" w:color="000000"/>
              <w:left w:val="single" w:sz="2" w:space="0" w:color="000000"/>
              <w:bottom w:val="single" w:sz="2" w:space="0" w:color="000000"/>
              <w:right w:val="single" w:sz="2" w:space="0" w:color="000000"/>
            </w:tcBorders>
            <w:vAlign w:val="center"/>
          </w:tcPr>
          <w:p w14:paraId="4409DA5A" w14:textId="3B784871"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38146</w:t>
            </w:r>
          </w:p>
        </w:tc>
        <w:tc>
          <w:tcPr>
            <w:tcW w:w="782" w:type="dxa"/>
            <w:tcBorders>
              <w:top w:val="single" w:sz="2" w:space="0" w:color="000000"/>
              <w:left w:val="single" w:sz="2" w:space="0" w:color="000000"/>
              <w:bottom w:val="single" w:sz="2" w:space="0" w:color="000000"/>
              <w:right w:val="single" w:sz="2" w:space="0" w:color="000000"/>
            </w:tcBorders>
            <w:vAlign w:val="center"/>
          </w:tcPr>
          <w:p w14:paraId="490A768D" w14:textId="107FE069"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30122</w:t>
            </w:r>
          </w:p>
        </w:tc>
        <w:tc>
          <w:tcPr>
            <w:tcW w:w="782" w:type="dxa"/>
            <w:tcBorders>
              <w:top w:val="single" w:sz="2" w:space="0" w:color="000000"/>
              <w:left w:val="single" w:sz="2" w:space="0" w:color="000000"/>
              <w:bottom w:val="single" w:sz="2" w:space="0" w:color="000000"/>
              <w:right w:val="single" w:sz="2" w:space="0" w:color="000000"/>
            </w:tcBorders>
            <w:vAlign w:val="center"/>
          </w:tcPr>
          <w:p w14:paraId="3172E07B" w14:textId="14D0C8F4"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23105</w:t>
            </w:r>
          </w:p>
        </w:tc>
        <w:tc>
          <w:tcPr>
            <w:tcW w:w="782" w:type="dxa"/>
            <w:tcBorders>
              <w:top w:val="single" w:sz="2" w:space="0" w:color="000000"/>
              <w:left w:val="single" w:sz="2" w:space="0" w:color="000000"/>
              <w:bottom w:val="single" w:sz="2" w:space="0" w:color="000000"/>
              <w:right w:val="single" w:sz="2" w:space="0" w:color="000000"/>
            </w:tcBorders>
            <w:vAlign w:val="center"/>
          </w:tcPr>
          <w:p w14:paraId="1F1A9FAF" w14:textId="28BA03F2"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2056</w:t>
            </w:r>
          </w:p>
        </w:tc>
      </w:tr>
      <w:tr w:rsidR="000046E5" w14:paraId="42149967"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75B2FCFC" w14:textId="77777777" w:rsidR="000046E5" w:rsidRPr="0015655F" w:rsidRDefault="000046E5" w:rsidP="000046E5">
            <w:pPr>
              <w:spacing w:line="259" w:lineRule="auto"/>
              <w:jc w:val="left"/>
            </w:pPr>
            <w:r w:rsidRPr="0015655F">
              <w:rPr>
                <w:sz w:val="18"/>
              </w:rPr>
              <w:t xml:space="preserve">Transport </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A03E4A" w14:textId="03362373"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122293</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8288B5" w14:textId="4EFA9FA9"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132329</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C349EA" w14:textId="7FCBE8AA"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141051</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F77EC2" w14:textId="4CA9C388"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142041</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C6AFEB" w14:textId="27BF2953"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133750</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57A33D" w14:textId="6BA124B9" w:rsidR="000046E5" w:rsidRPr="000A390A" w:rsidRDefault="000046E5" w:rsidP="000046E5">
            <w:pPr>
              <w:spacing w:line="259" w:lineRule="auto"/>
              <w:ind w:left="58"/>
              <w:jc w:val="center"/>
              <w:rPr>
                <w:sz w:val="16"/>
                <w:szCs w:val="16"/>
              </w:rPr>
            </w:pPr>
            <w:r w:rsidRPr="00664108">
              <w:rPr>
                <w:rFonts w:asciiTheme="majorHAnsi" w:hAnsiTheme="majorHAnsi"/>
                <w:sz w:val="16"/>
                <w:szCs w:val="16"/>
              </w:rPr>
              <w:t>133744</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375B53" w14:textId="668CEDF6" w:rsidR="000046E5" w:rsidRDefault="000046E5" w:rsidP="000046E5">
            <w:pPr>
              <w:spacing w:line="259" w:lineRule="auto"/>
              <w:ind w:left="62"/>
              <w:jc w:val="center"/>
              <w:rPr>
                <w:rFonts w:ascii="Calibri" w:hAnsi="Calibri" w:cs="Calibri"/>
                <w:color w:val="000000"/>
                <w:sz w:val="20"/>
                <w:szCs w:val="20"/>
              </w:rPr>
            </w:pPr>
            <w:r w:rsidRPr="00664108">
              <w:rPr>
                <w:rFonts w:asciiTheme="majorHAnsi" w:hAnsiTheme="majorHAnsi"/>
                <w:sz w:val="16"/>
                <w:szCs w:val="16"/>
              </w:rPr>
              <w:t>131725</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1E1EF9" w14:textId="200AC9AA" w:rsidR="000046E5" w:rsidRPr="000A390A" w:rsidRDefault="000046E5" w:rsidP="000046E5">
            <w:pPr>
              <w:spacing w:line="259" w:lineRule="auto"/>
              <w:ind w:left="62"/>
              <w:jc w:val="center"/>
              <w:rPr>
                <w:sz w:val="16"/>
                <w:szCs w:val="16"/>
              </w:rPr>
            </w:pPr>
            <w:r w:rsidRPr="00634E4C">
              <w:rPr>
                <w:rFonts w:asciiTheme="majorHAnsi" w:hAnsiTheme="majorHAnsi"/>
                <w:color w:val="000000"/>
                <w:sz w:val="16"/>
              </w:rPr>
              <w:t>126491</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96F8B1" w14:textId="58E74D5B" w:rsidR="000046E5" w:rsidRPr="000A390A" w:rsidRDefault="000046E5" w:rsidP="000046E5">
            <w:pPr>
              <w:spacing w:line="259" w:lineRule="auto"/>
              <w:ind w:left="62"/>
              <w:jc w:val="center"/>
              <w:rPr>
                <w:sz w:val="16"/>
                <w:szCs w:val="16"/>
              </w:rPr>
            </w:pPr>
            <w:r w:rsidRPr="00634E4C">
              <w:rPr>
                <w:rFonts w:asciiTheme="majorHAnsi" w:hAnsiTheme="majorHAnsi"/>
                <w:color w:val="000000"/>
                <w:sz w:val="16"/>
              </w:rPr>
              <w:t>110958</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CF8E05" w14:textId="3C8F8AA7" w:rsidR="000046E5" w:rsidRPr="000A390A" w:rsidRDefault="000046E5" w:rsidP="000046E5">
            <w:pPr>
              <w:spacing w:line="259" w:lineRule="auto"/>
              <w:ind w:left="62"/>
              <w:jc w:val="center"/>
              <w:rPr>
                <w:sz w:val="16"/>
                <w:szCs w:val="16"/>
              </w:rPr>
            </w:pPr>
            <w:r w:rsidRPr="00634E4C">
              <w:rPr>
                <w:rFonts w:asciiTheme="majorHAnsi" w:hAnsiTheme="majorHAnsi"/>
                <w:color w:val="000000"/>
                <w:sz w:val="16"/>
              </w:rPr>
              <w:t>94288</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882910" w14:textId="69C70667" w:rsidR="000046E5" w:rsidRPr="000A390A" w:rsidRDefault="000046E5" w:rsidP="000046E5">
            <w:pPr>
              <w:spacing w:line="259" w:lineRule="auto"/>
              <w:ind w:left="62"/>
              <w:jc w:val="center"/>
              <w:rPr>
                <w:sz w:val="16"/>
                <w:szCs w:val="16"/>
              </w:rPr>
            </w:pPr>
            <w:r w:rsidRPr="00634E4C">
              <w:rPr>
                <w:rFonts w:asciiTheme="majorHAnsi" w:hAnsiTheme="majorHAnsi"/>
                <w:color w:val="000000"/>
                <w:sz w:val="16"/>
              </w:rPr>
              <w:t>71522</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9C1D16" w14:textId="134D802D" w:rsidR="000046E5" w:rsidRPr="000A390A" w:rsidRDefault="000046E5" w:rsidP="000046E5">
            <w:pPr>
              <w:spacing w:line="259" w:lineRule="auto"/>
              <w:ind w:left="62"/>
              <w:jc w:val="center"/>
              <w:rPr>
                <w:sz w:val="16"/>
                <w:szCs w:val="16"/>
              </w:rPr>
            </w:pPr>
            <w:r w:rsidRPr="00634E4C">
              <w:rPr>
                <w:rFonts w:asciiTheme="majorHAnsi" w:hAnsiTheme="majorHAnsi"/>
                <w:color w:val="000000"/>
                <w:sz w:val="16"/>
              </w:rPr>
              <w:t>3221</w:t>
            </w:r>
          </w:p>
        </w:tc>
      </w:tr>
      <w:tr w:rsidR="000046E5" w14:paraId="079FF965" w14:textId="77777777" w:rsidTr="00261D3D">
        <w:trPr>
          <w:trHeight w:val="628"/>
        </w:trPr>
        <w:tc>
          <w:tcPr>
            <w:tcW w:w="1405" w:type="dxa"/>
            <w:tcBorders>
              <w:top w:val="single" w:sz="2" w:space="0" w:color="000000"/>
              <w:left w:val="single" w:sz="2" w:space="0" w:color="000000"/>
              <w:bottom w:val="single" w:sz="2" w:space="0" w:color="000000"/>
              <w:right w:val="single" w:sz="2" w:space="0" w:color="000000"/>
            </w:tcBorders>
          </w:tcPr>
          <w:p w14:paraId="2B4DD80A" w14:textId="77777777" w:rsidR="000046E5" w:rsidRPr="0015655F" w:rsidRDefault="000046E5" w:rsidP="000046E5">
            <w:pPr>
              <w:spacing w:line="259" w:lineRule="auto"/>
              <w:jc w:val="left"/>
            </w:pPr>
            <w:r w:rsidRPr="0015655F">
              <w:rPr>
                <w:sz w:val="18"/>
              </w:rPr>
              <w:t xml:space="preserve">Autres secteurs </w:t>
            </w:r>
          </w:p>
          <w:p w14:paraId="6465C661" w14:textId="77777777" w:rsidR="000046E5" w:rsidRPr="0015655F" w:rsidRDefault="000046E5" w:rsidP="000046E5">
            <w:pPr>
              <w:spacing w:line="259" w:lineRule="auto"/>
              <w:jc w:val="left"/>
            </w:pPr>
            <w:r w:rsidRPr="0015655F">
              <w:rPr>
                <w:sz w:val="18"/>
              </w:rPr>
              <w:t xml:space="preserve">(résidentiel, tertiaire, agriculture) </w:t>
            </w:r>
          </w:p>
        </w:tc>
        <w:tc>
          <w:tcPr>
            <w:tcW w:w="781" w:type="dxa"/>
            <w:tcBorders>
              <w:top w:val="single" w:sz="2" w:space="0" w:color="000000"/>
              <w:left w:val="single" w:sz="2" w:space="0" w:color="000000"/>
              <w:bottom w:val="single" w:sz="2" w:space="0" w:color="000000"/>
              <w:right w:val="single" w:sz="2" w:space="0" w:color="000000"/>
            </w:tcBorders>
            <w:vAlign w:val="center"/>
          </w:tcPr>
          <w:p w14:paraId="2F7873C5" w14:textId="1F3B0143"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102477</w:t>
            </w:r>
          </w:p>
        </w:tc>
        <w:tc>
          <w:tcPr>
            <w:tcW w:w="782" w:type="dxa"/>
            <w:tcBorders>
              <w:top w:val="single" w:sz="2" w:space="0" w:color="000000"/>
              <w:left w:val="single" w:sz="2" w:space="0" w:color="000000"/>
              <w:bottom w:val="single" w:sz="2" w:space="0" w:color="000000"/>
              <w:right w:val="single" w:sz="2" w:space="0" w:color="000000"/>
            </w:tcBorders>
            <w:vAlign w:val="center"/>
          </w:tcPr>
          <w:p w14:paraId="3AFE220F" w14:textId="35AC22AF"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97525</w:t>
            </w:r>
          </w:p>
        </w:tc>
        <w:tc>
          <w:tcPr>
            <w:tcW w:w="782" w:type="dxa"/>
            <w:tcBorders>
              <w:top w:val="single" w:sz="2" w:space="0" w:color="000000"/>
              <w:left w:val="single" w:sz="2" w:space="0" w:color="000000"/>
              <w:bottom w:val="single" w:sz="2" w:space="0" w:color="000000"/>
              <w:right w:val="single" w:sz="2" w:space="0" w:color="000000"/>
            </w:tcBorders>
            <w:vAlign w:val="center"/>
          </w:tcPr>
          <w:p w14:paraId="426D7CF4" w14:textId="27BB6805"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102881</w:t>
            </w:r>
          </w:p>
        </w:tc>
        <w:tc>
          <w:tcPr>
            <w:tcW w:w="782" w:type="dxa"/>
            <w:tcBorders>
              <w:top w:val="single" w:sz="2" w:space="0" w:color="000000"/>
              <w:left w:val="single" w:sz="2" w:space="0" w:color="000000"/>
              <w:bottom w:val="single" w:sz="2" w:space="0" w:color="000000"/>
              <w:right w:val="single" w:sz="2" w:space="0" w:color="000000"/>
            </w:tcBorders>
            <w:vAlign w:val="center"/>
          </w:tcPr>
          <w:p w14:paraId="7D5F7EDE" w14:textId="5B92567D" w:rsidR="000046E5" w:rsidRPr="000A390A" w:rsidRDefault="000046E5" w:rsidP="000046E5">
            <w:pPr>
              <w:spacing w:line="259" w:lineRule="auto"/>
              <w:ind w:left="62"/>
              <w:jc w:val="center"/>
              <w:rPr>
                <w:sz w:val="16"/>
                <w:szCs w:val="16"/>
              </w:rPr>
            </w:pPr>
            <w:r w:rsidRPr="00664108">
              <w:rPr>
                <w:rFonts w:asciiTheme="majorHAnsi" w:hAnsiTheme="majorHAnsi" w:cs="Calibri"/>
                <w:color w:val="000000"/>
                <w:sz w:val="16"/>
                <w:szCs w:val="16"/>
              </w:rPr>
              <w:t>109388</w:t>
            </w:r>
          </w:p>
        </w:tc>
        <w:tc>
          <w:tcPr>
            <w:tcW w:w="782" w:type="dxa"/>
            <w:tcBorders>
              <w:top w:val="single" w:sz="2" w:space="0" w:color="000000"/>
              <w:left w:val="single" w:sz="2" w:space="0" w:color="000000"/>
              <w:bottom w:val="single" w:sz="2" w:space="0" w:color="000000"/>
              <w:right w:val="single" w:sz="2" w:space="0" w:color="000000"/>
            </w:tcBorders>
            <w:vAlign w:val="center"/>
          </w:tcPr>
          <w:p w14:paraId="53930FDF" w14:textId="180CEEFA" w:rsidR="000046E5" w:rsidRPr="000A390A" w:rsidRDefault="000046E5" w:rsidP="000046E5">
            <w:pPr>
              <w:spacing w:line="259" w:lineRule="auto"/>
              <w:ind w:left="58"/>
              <w:jc w:val="center"/>
              <w:rPr>
                <w:sz w:val="16"/>
                <w:szCs w:val="16"/>
              </w:rPr>
            </w:pPr>
            <w:r w:rsidRPr="00664108">
              <w:rPr>
                <w:rFonts w:asciiTheme="majorHAnsi" w:hAnsiTheme="majorHAnsi" w:cs="Calibri"/>
                <w:color w:val="000000"/>
                <w:sz w:val="16"/>
                <w:szCs w:val="16"/>
              </w:rPr>
              <w:t>101722</w:t>
            </w:r>
          </w:p>
        </w:tc>
        <w:tc>
          <w:tcPr>
            <w:tcW w:w="781" w:type="dxa"/>
            <w:tcBorders>
              <w:top w:val="single" w:sz="2" w:space="0" w:color="000000"/>
              <w:left w:val="single" w:sz="2" w:space="0" w:color="000000"/>
              <w:bottom w:val="single" w:sz="2" w:space="0" w:color="000000"/>
              <w:right w:val="single" w:sz="2" w:space="0" w:color="000000"/>
            </w:tcBorders>
            <w:vAlign w:val="center"/>
          </w:tcPr>
          <w:p w14:paraId="4BD4B65A" w14:textId="4338A012" w:rsidR="000046E5" w:rsidRPr="000A390A" w:rsidRDefault="000046E5" w:rsidP="000046E5">
            <w:pPr>
              <w:spacing w:line="259" w:lineRule="auto"/>
              <w:ind w:left="108"/>
              <w:jc w:val="center"/>
              <w:rPr>
                <w:sz w:val="16"/>
                <w:szCs w:val="16"/>
              </w:rPr>
            </w:pPr>
            <w:r w:rsidRPr="00664108">
              <w:rPr>
                <w:rFonts w:asciiTheme="majorHAnsi" w:hAnsiTheme="majorHAnsi" w:cs="Calibri"/>
                <w:color w:val="000000"/>
                <w:sz w:val="16"/>
                <w:szCs w:val="16"/>
              </w:rPr>
              <w:t>82940</w:t>
            </w:r>
          </w:p>
        </w:tc>
        <w:tc>
          <w:tcPr>
            <w:tcW w:w="782" w:type="dxa"/>
            <w:tcBorders>
              <w:top w:val="single" w:sz="2" w:space="0" w:color="000000"/>
              <w:left w:val="single" w:sz="2" w:space="0" w:color="000000"/>
              <w:bottom w:val="single" w:sz="2" w:space="0" w:color="000000"/>
              <w:right w:val="single" w:sz="2" w:space="0" w:color="000000"/>
            </w:tcBorders>
            <w:vAlign w:val="center"/>
          </w:tcPr>
          <w:p w14:paraId="0B3A0152" w14:textId="0379437B" w:rsidR="000046E5" w:rsidRDefault="000046E5" w:rsidP="000046E5">
            <w:pPr>
              <w:spacing w:line="259" w:lineRule="auto"/>
              <w:ind w:left="108"/>
              <w:jc w:val="center"/>
              <w:rPr>
                <w:rFonts w:ascii="Calibri" w:hAnsi="Calibri" w:cs="Calibri"/>
                <w:color w:val="000000"/>
                <w:sz w:val="20"/>
                <w:szCs w:val="20"/>
              </w:rPr>
            </w:pPr>
            <w:r w:rsidRPr="00664108">
              <w:rPr>
                <w:rFonts w:asciiTheme="majorHAnsi" w:hAnsiTheme="majorHAnsi" w:cs="Calibri"/>
                <w:color w:val="000000"/>
                <w:sz w:val="16"/>
                <w:szCs w:val="16"/>
              </w:rPr>
              <w:t>75877</w:t>
            </w:r>
          </w:p>
        </w:tc>
        <w:tc>
          <w:tcPr>
            <w:tcW w:w="782" w:type="dxa"/>
            <w:tcBorders>
              <w:top w:val="single" w:sz="2" w:space="0" w:color="000000"/>
              <w:left w:val="single" w:sz="2" w:space="0" w:color="000000"/>
              <w:bottom w:val="single" w:sz="2" w:space="0" w:color="000000"/>
              <w:right w:val="single" w:sz="2" w:space="0" w:color="000000"/>
            </w:tcBorders>
            <w:vAlign w:val="center"/>
          </w:tcPr>
          <w:p w14:paraId="3A647A74" w14:textId="6E61B5AB"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83566</w:t>
            </w:r>
          </w:p>
        </w:tc>
        <w:tc>
          <w:tcPr>
            <w:tcW w:w="782" w:type="dxa"/>
            <w:tcBorders>
              <w:top w:val="single" w:sz="2" w:space="0" w:color="000000"/>
              <w:left w:val="single" w:sz="2" w:space="0" w:color="000000"/>
              <w:bottom w:val="single" w:sz="2" w:space="0" w:color="000000"/>
              <w:right w:val="single" w:sz="2" w:space="0" w:color="000000"/>
            </w:tcBorders>
            <w:vAlign w:val="center"/>
          </w:tcPr>
          <w:p w14:paraId="3BBA933A" w14:textId="358346E0"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68697</w:t>
            </w:r>
          </w:p>
        </w:tc>
        <w:tc>
          <w:tcPr>
            <w:tcW w:w="782" w:type="dxa"/>
            <w:tcBorders>
              <w:top w:val="single" w:sz="2" w:space="0" w:color="000000"/>
              <w:left w:val="single" w:sz="2" w:space="0" w:color="000000"/>
              <w:bottom w:val="single" w:sz="2" w:space="0" w:color="000000"/>
              <w:right w:val="single" w:sz="2" w:space="0" w:color="000000"/>
            </w:tcBorders>
            <w:vAlign w:val="center"/>
          </w:tcPr>
          <w:p w14:paraId="7FAEDECD" w14:textId="0842CCA1" w:rsidR="000046E5" w:rsidRPr="000A390A" w:rsidRDefault="000046E5" w:rsidP="000046E5">
            <w:pPr>
              <w:spacing w:line="259" w:lineRule="auto"/>
              <w:ind w:left="113"/>
              <w:jc w:val="center"/>
              <w:rPr>
                <w:sz w:val="16"/>
                <w:szCs w:val="16"/>
              </w:rPr>
            </w:pPr>
            <w:r w:rsidRPr="00634E4C">
              <w:rPr>
                <w:rFonts w:asciiTheme="majorHAnsi" w:hAnsiTheme="majorHAnsi"/>
                <w:color w:val="000000"/>
                <w:sz w:val="16"/>
              </w:rPr>
              <w:t>49099</w:t>
            </w:r>
          </w:p>
        </w:tc>
        <w:tc>
          <w:tcPr>
            <w:tcW w:w="782" w:type="dxa"/>
            <w:tcBorders>
              <w:top w:val="single" w:sz="2" w:space="0" w:color="000000"/>
              <w:left w:val="single" w:sz="2" w:space="0" w:color="000000"/>
              <w:bottom w:val="single" w:sz="2" w:space="0" w:color="000000"/>
              <w:right w:val="single" w:sz="2" w:space="0" w:color="000000"/>
            </w:tcBorders>
            <w:vAlign w:val="center"/>
          </w:tcPr>
          <w:p w14:paraId="72A64A4B" w14:textId="05B0FA62"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37516</w:t>
            </w:r>
          </w:p>
        </w:tc>
        <w:tc>
          <w:tcPr>
            <w:tcW w:w="782" w:type="dxa"/>
            <w:tcBorders>
              <w:top w:val="single" w:sz="2" w:space="0" w:color="000000"/>
              <w:left w:val="single" w:sz="2" w:space="0" w:color="000000"/>
              <w:bottom w:val="single" w:sz="2" w:space="0" w:color="000000"/>
              <w:right w:val="single" w:sz="2" w:space="0" w:color="000000"/>
            </w:tcBorders>
            <w:vAlign w:val="center"/>
          </w:tcPr>
          <w:p w14:paraId="707D07C5" w14:textId="7182366C" w:rsidR="000046E5" w:rsidRPr="000A390A" w:rsidRDefault="000046E5" w:rsidP="000046E5">
            <w:pPr>
              <w:spacing w:line="259" w:lineRule="auto"/>
              <w:ind w:left="108"/>
              <w:jc w:val="center"/>
              <w:rPr>
                <w:sz w:val="16"/>
                <w:szCs w:val="16"/>
              </w:rPr>
            </w:pPr>
            <w:r w:rsidRPr="00634E4C">
              <w:rPr>
                <w:rFonts w:asciiTheme="majorHAnsi" w:hAnsiTheme="majorHAnsi"/>
                <w:color w:val="000000"/>
                <w:sz w:val="16"/>
              </w:rPr>
              <w:t>2766</w:t>
            </w:r>
          </w:p>
        </w:tc>
      </w:tr>
      <w:tr w:rsidR="000046E5" w14:paraId="032FD552" w14:textId="77777777" w:rsidTr="00261D3D">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1F2F4FAA" w14:textId="77777777" w:rsidR="000046E5" w:rsidRPr="0015655F" w:rsidRDefault="000046E5" w:rsidP="000046E5">
            <w:pPr>
              <w:spacing w:line="259" w:lineRule="auto"/>
              <w:jc w:val="left"/>
            </w:pPr>
            <w:r w:rsidRPr="0015655F">
              <w:rPr>
                <w:b/>
                <w:sz w:val="18"/>
              </w:rPr>
              <w:t xml:space="preserve">Total énergie </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0FFA88" w14:textId="2B6ECF9C" w:rsidR="000046E5" w:rsidRPr="001B30C5" w:rsidRDefault="000046E5" w:rsidP="000046E5">
            <w:pPr>
              <w:spacing w:line="259" w:lineRule="auto"/>
              <w:jc w:val="center"/>
              <w:rPr>
                <w:b/>
                <w:sz w:val="16"/>
                <w:szCs w:val="16"/>
              </w:rPr>
            </w:pPr>
            <w:r w:rsidRPr="00664108">
              <w:rPr>
                <w:rFonts w:asciiTheme="majorHAnsi" w:hAnsiTheme="majorHAnsi"/>
                <w:b/>
                <w:sz w:val="16"/>
                <w:szCs w:val="16"/>
              </w:rPr>
              <w:t>367272</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0B2214" w14:textId="551F6F9C" w:rsidR="000046E5" w:rsidRPr="001B30C5" w:rsidRDefault="000046E5" w:rsidP="000046E5">
            <w:pPr>
              <w:spacing w:line="259" w:lineRule="auto"/>
              <w:jc w:val="center"/>
              <w:rPr>
                <w:b/>
                <w:sz w:val="16"/>
                <w:szCs w:val="16"/>
              </w:rPr>
            </w:pPr>
            <w:r w:rsidRPr="00664108">
              <w:rPr>
                <w:rFonts w:asciiTheme="majorHAnsi" w:hAnsiTheme="majorHAnsi"/>
                <w:b/>
                <w:sz w:val="16"/>
                <w:szCs w:val="16"/>
              </w:rPr>
              <w:t>366079</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2717AF" w14:textId="320988A4" w:rsidR="000046E5" w:rsidRPr="001B30C5" w:rsidRDefault="000046E5" w:rsidP="000046E5">
            <w:pPr>
              <w:spacing w:line="259" w:lineRule="auto"/>
              <w:jc w:val="center"/>
              <w:rPr>
                <w:b/>
                <w:sz w:val="16"/>
                <w:szCs w:val="16"/>
              </w:rPr>
            </w:pPr>
            <w:r w:rsidRPr="00664108">
              <w:rPr>
                <w:rFonts w:asciiTheme="majorHAnsi" w:hAnsiTheme="majorHAnsi"/>
                <w:b/>
                <w:sz w:val="16"/>
                <w:szCs w:val="16"/>
              </w:rPr>
              <w:t>381989</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C453D1" w14:textId="32CBD4AB" w:rsidR="000046E5" w:rsidRPr="001B30C5" w:rsidRDefault="000046E5" w:rsidP="000046E5">
            <w:pPr>
              <w:spacing w:line="259" w:lineRule="auto"/>
              <w:jc w:val="center"/>
              <w:rPr>
                <w:b/>
                <w:sz w:val="16"/>
                <w:szCs w:val="16"/>
              </w:rPr>
            </w:pPr>
            <w:r w:rsidRPr="00664108">
              <w:rPr>
                <w:rFonts w:asciiTheme="majorHAnsi" w:hAnsiTheme="majorHAnsi"/>
                <w:b/>
                <w:sz w:val="16"/>
                <w:szCs w:val="16"/>
              </w:rPr>
              <w:t>390391</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D04397" w14:textId="50AA7CD6" w:rsidR="000046E5" w:rsidRPr="001B30C5" w:rsidRDefault="000046E5" w:rsidP="000046E5">
            <w:pPr>
              <w:spacing w:line="259" w:lineRule="auto"/>
              <w:jc w:val="center"/>
              <w:rPr>
                <w:b/>
                <w:sz w:val="16"/>
                <w:szCs w:val="16"/>
              </w:rPr>
            </w:pPr>
            <w:r w:rsidRPr="00664108">
              <w:rPr>
                <w:rFonts w:asciiTheme="majorHAnsi" w:hAnsiTheme="majorHAnsi"/>
                <w:b/>
                <w:sz w:val="16"/>
                <w:szCs w:val="16"/>
              </w:rPr>
              <w:t>357711</w:t>
            </w:r>
          </w:p>
        </w:tc>
        <w:tc>
          <w:tcPr>
            <w:tcW w:w="78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BDE510" w14:textId="3783F9FB" w:rsidR="000046E5" w:rsidRPr="001B30C5" w:rsidRDefault="000046E5" w:rsidP="000046E5">
            <w:pPr>
              <w:spacing w:line="259" w:lineRule="auto"/>
              <w:jc w:val="center"/>
              <w:rPr>
                <w:b/>
                <w:sz w:val="16"/>
                <w:szCs w:val="16"/>
              </w:rPr>
            </w:pPr>
            <w:r w:rsidRPr="00664108">
              <w:rPr>
                <w:rFonts w:asciiTheme="majorHAnsi" w:hAnsiTheme="majorHAnsi"/>
                <w:b/>
                <w:sz w:val="16"/>
                <w:szCs w:val="16"/>
              </w:rPr>
              <w:t>313634</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A48D02" w14:textId="2609C0CA" w:rsidR="000046E5" w:rsidRPr="001B30C5" w:rsidRDefault="000046E5" w:rsidP="000046E5">
            <w:pPr>
              <w:spacing w:line="259" w:lineRule="auto"/>
              <w:jc w:val="center"/>
              <w:rPr>
                <w:rFonts w:ascii="Calibri" w:hAnsi="Calibri" w:cs="Calibri"/>
                <w:b/>
                <w:color w:val="000000"/>
                <w:sz w:val="20"/>
                <w:szCs w:val="20"/>
              </w:rPr>
            </w:pPr>
            <w:r w:rsidRPr="00664108">
              <w:rPr>
                <w:rFonts w:asciiTheme="majorHAnsi" w:hAnsiTheme="majorHAnsi"/>
                <w:b/>
                <w:sz w:val="16"/>
                <w:szCs w:val="16"/>
              </w:rPr>
              <w:t>297313</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0979DE" w14:textId="5D19DCA9" w:rsidR="000046E5" w:rsidRPr="001B30C5" w:rsidRDefault="000046E5" w:rsidP="000046E5">
            <w:pPr>
              <w:spacing w:line="259" w:lineRule="auto"/>
              <w:jc w:val="center"/>
              <w:rPr>
                <w:b/>
                <w:sz w:val="16"/>
                <w:szCs w:val="16"/>
              </w:rPr>
            </w:pPr>
            <w:r w:rsidRPr="00634E4C">
              <w:rPr>
                <w:rFonts w:asciiTheme="majorHAnsi" w:hAnsiTheme="majorHAnsi"/>
                <w:b/>
                <w:color w:val="000000"/>
                <w:sz w:val="16"/>
              </w:rPr>
              <w:t>305017</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951870" w14:textId="44332E5D" w:rsidR="000046E5" w:rsidRPr="001B30C5" w:rsidRDefault="000046E5" w:rsidP="000046E5">
            <w:pPr>
              <w:spacing w:line="259" w:lineRule="auto"/>
              <w:jc w:val="center"/>
              <w:rPr>
                <w:b/>
                <w:sz w:val="16"/>
                <w:szCs w:val="16"/>
              </w:rPr>
            </w:pPr>
            <w:r w:rsidRPr="00634E4C">
              <w:rPr>
                <w:rFonts w:asciiTheme="majorHAnsi" w:hAnsiTheme="majorHAnsi"/>
                <w:b/>
                <w:color w:val="000000"/>
                <w:sz w:val="16"/>
              </w:rPr>
              <w:t>253350</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D72B8C" w14:textId="7A867FFF" w:rsidR="000046E5" w:rsidRPr="001B30C5" w:rsidRDefault="000046E5" w:rsidP="000046E5">
            <w:pPr>
              <w:spacing w:line="259" w:lineRule="auto"/>
              <w:jc w:val="center"/>
              <w:rPr>
                <w:b/>
                <w:sz w:val="16"/>
                <w:szCs w:val="16"/>
              </w:rPr>
            </w:pPr>
            <w:r w:rsidRPr="00634E4C">
              <w:rPr>
                <w:rFonts w:asciiTheme="majorHAnsi" w:hAnsiTheme="majorHAnsi"/>
                <w:b/>
                <w:color w:val="000000"/>
                <w:sz w:val="16"/>
              </w:rPr>
              <w:t>203515</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AE6FCF" w14:textId="14E94E27" w:rsidR="000046E5" w:rsidRPr="001B30C5" w:rsidRDefault="000046E5" w:rsidP="000046E5">
            <w:pPr>
              <w:spacing w:line="259" w:lineRule="auto"/>
              <w:jc w:val="center"/>
              <w:rPr>
                <w:b/>
                <w:sz w:val="16"/>
                <w:szCs w:val="16"/>
              </w:rPr>
            </w:pPr>
            <w:r w:rsidRPr="00634E4C">
              <w:rPr>
                <w:rFonts w:asciiTheme="majorHAnsi" w:hAnsiTheme="majorHAnsi"/>
                <w:b/>
                <w:color w:val="000000"/>
                <w:sz w:val="16"/>
              </w:rPr>
              <w:t>151385</w:t>
            </w:r>
          </w:p>
        </w:tc>
        <w:tc>
          <w:tcPr>
            <w:tcW w:w="7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03FDE4" w14:textId="5567F307" w:rsidR="000046E5" w:rsidRPr="001B30C5" w:rsidRDefault="000046E5" w:rsidP="000046E5">
            <w:pPr>
              <w:spacing w:line="259" w:lineRule="auto"/>
              <w:ind w:left="58"/>
              <w:jc w:val="center"/>
              <w:rPr>
                <w:b/>
                <w:sz w:val="16"/>
                <w:szCs w:val="16"/>
              </w:rPr>
            </w:pPr>
            <w:r w:rsidRPr="00634E4C">
              <w:rPr>
                <w:rFonts w:asciiTheme="majorHAnsi" w:hAnsiTheme="majorHAnsi"/>
                <w:b/>
                <w:color w:val="000000"/>
                <w:sz w:val="16"/>
              </w:rPr>
              <w:t>-5007</w:t>
            </w:r>
          </w:p>
        </w:tc>
      </w:tr>
    </w:tbl>
    <w:p w14:paraId="5D1754D3" w14:textId="487C4AF1" w:rsidR="00E0671D" w:rsidRDefault="00E0671D" w:rsidP="00E0671D">
      <w:pPr>
        <w:pStyle w:val="Default"/>
        <w:rPr>
          <w:sz w:val="16"/>
          <w:szCs w:val="16"/>
        </w:rPr>
      </w:pPr>
      <w:r>
        <w:rPr>
          <w:i/>
          <w:iCs/>
          <w:sz w:val="16"/>
          <w:szCs w:val="16"/>
        </w:rPr>
        <w:t>Lecture du tableau : Industrie de l’énergie = catégorie CRF1A1 et 1B ; industrie manufacturière et construction = catégorie CRF1A2</w:t>
      </w:r>
      <w:r w:rsidR="00260E0B">
        <w:rPr>
          <w:i/>
          <w:iCs/>
          <w:sz w:val="16"/>
          <w:szCs w:val="16"/>
        </w:rPr>
        <w:t xml:space="preserve"> </w:t>
      </w:r>
      <w:r>
        <w:rPr>
          <w:i/>
          <w:iCs/>
          <w:sz w:val="16"/>
          <w:szCs w:val="16"/>
        </w:rPr>
        <w:t xml:space="preserve">; transports = catégorie CRF 1A3 ; autres secteurs = catégorie CRF 1A4 et 1A5. </w:t>
      </w:r>
    </w:p>
    <w:p w14:paraId="6E391F38" w14:textId="73B1B080" w:rsidR="00E0671D" w:rsidRDefault="00E0671D" w:rsidP="00E0671D">
      <w:pPr>
        <w:pStyle w:val="Caption"/>
      </w:pPr>
      <w:bookmarkStart w:id="534" w:name="_Toc123916508"/>
      <w:r>
        <w:t xml:space="preserve">Tableau </w:t>
      </w:r>
      <w:fldSimple w:instr=" SEQ Tableau \* ARABIC ">
        <w:r w:rsidR="00AB51D9">
          <w:rPr>
            <w:noProof/>
          </w:rPr>
          <w:t>16</w:t>
        </w:r>
      </w:fldSimple>
      <w:r>
        <w:t xml:space="preserve"> : </w:t>
      </w:r>
      <w:r w:rsidRPr="00BA4A6C">
        <w:t xml:space="preserve">Détail des catégories du secteur énergie (en </w:t>
      </w:r>
      <w:r w:rsidRPr="00590551">
        <w:t>kt</w:t>
      </w:r>
      <w:r w:rsidR="007F09F7">
        <w:t>CO</w:t>
      </w:r>
      <w:r w:rsidR="007F09F7" w:rsidRPr="007F09F7">
        <w:rPr>
          <w:vertAlign w:val="subscript"/>
        </w:rPr>
        <w:t>2</w:t>
      </w:r>
      <w:r w:rsidR="004F1EC8" w:rsidRPr="004F1EC8">
        <w:rPr>
          <w:vertAlign w:val="subscript"/>
        </w:rPr>
        <w:t>e</w:t>
      </w:r>
      <w:r w:rsidRPr="00BA4A6C">
        <w:t xml:space="preserve">) au périmètre Kyoto dans le scénario </w:t>
      </w:r>
      <w:r>
        <w:t xml:space="preserve">AMS 2018 </w:t>
      </w:r>
      <w:r w:rsidRPr="00BA4A6C">
        <w:t xml:space="preserve">(avec mesures </w:t>
      </w:r>
      <w:r>
        <w:t>supplémentaires)</w:t>
      </w:r>
      <w:bookmarkEnd w:id="534"/>
    </w:p>
    <w:p w14:paraId="6BE303F2" w14:textId="5DA53ADD" w:rsidR="001021CB" w:rsidRDefault="00E0671D" w:rsidP="00E0671D">
      <w:pPr>
        <w:pStyle w:val="Caption"/>
      </w:pPr>
      <w:r w:rsidRPr="00C244FC">
        <w:t xml:space="preserve">Source : Inventaire CNUCC, Citepa/MTES, soumission </w:t>
      </w:r>
      <w:r w:rsidR="000046E5">
        <w:t>2022</w:t>
      </w:r>
      <w:r w:rsidR="000046E5" w:rsidRPr="00C244FC">
        <w:t xml:space="preserve"> </w:t>
      </w:r>
      <w:r w:rsidRPr="00C244FC">
        <w:t>et projections d’émissions MTES, 20</w:t>
      </w:r>
      <w:r>
        <w:t>18</w:t>
      </w:r>
    </w:p>
    <w:p w14:paraId="3CB81100" w14:textId="6CC0C6EB" w:rsidR="00E0671D" w:rsidRDefault="00E0671D" w:rsidP="00E0671D"/>
    <w:p w14:paraId="0D0A0E4A" w14:textId="26D01704" w:rsidR="00E0671D" w:rsidRDefault="00E0671D" w:rsidP="00E0671D">
      <w:pPr>
        <w:rPr>
          <w:szCs w:val="21"/>
        </w:rPr>
      </w:pPr>
    </w:p>
    <w:p w14:paraId="3B97A929" w14:textId="58109A44" w:rsidR="000046E5" w:rsidRDefault="000046E5" w:rsidP="00261D3D">
      <w:pPr>
        <w:pStyle w:val="Caption"/>
        <w:jc w:val="center"/>
      </w:pPr>
      <w:bookmarkStart w:id="535" w:name="_Toc123916468"/>
      <w:r>
        <w:rPr>
          <w:noProof/>
        </w:rPr>
        <w:drawing>
          <wp:inline distT="0" distB="0" distL="0" distR="0" wp14:anchorId="0FFB18F1" wp14:editId="5BD001C9">
            <wp:extent cx="5630333" cy="2743200"/>
            <wp:effectExtent l="0" t="0" r="8890" b="0"/>
            <wp:docPr id="28713" name="Graphique 287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919C8BA" w14:textId="2DAC070F" w:rsidR="00E0671D" w:rsidRDefault="00E0671D" w:rsidP="00E0671D">
      <w:pPr>
        <w:pStyle w:val="Caption"/>
      </w:pPr>
      <w:r>
        <w:t xml:space="preserve">Figure </w:t>
      </w:r>
      <w:fldSimple w:instr=" SEQ Figure \* ARABIC ">
        <w:r w:rsidR="00AB51D9">
          <w:rPr>
            <w:noProof/>
          </w:rPr>
          <w:t>57</w:t>
        </w:r>
      </w:fldSimple>
      <w:r>
        <w:t xml:space="preserve"> : </w:t>
      </w:r>
      <w:r w:rsidRPr="00BA4A6C">
        <w:t>Détail des catégories du secteur énergie en kt</w:t>
      </w:r>
      <w:r w:rsidR="007F09F7">
        <w:t>CO</w:t>
      </w:r>
      <w:r w:rsidR="007F09F7" w:rsidRPr="007F09F7">
        <w:rPr>
          <w:vertAlign w:val="subscript"/>
        </w:rPr>
        <w:t>2</w:t>
      </w:r>
      <w:r w:rsidR="004F1EC8" w:rsidRPr="004F1EC8">
        <w:rPr>
          <w:vertAlign w:val="subscript"/>
        </w:rPr>
        <w:t>e</w:t>
      </w:r>
      <w:r w:rsidRPr="00BA4A6C">
        <w:t xml:space="preserve">, au </w:t>
      </w:r>
      <w:r>
        <w:t>périmètre</w:t>
      </w:r>
      <w:r w:rsidRPr="00BA4A6C">
        <w:t xml:space="preserve"> Kyoto, scénario </w:t>
      </w:r>
      <w:r>
        <w:t>AMS 2018</w:t>
      </w:r>
      <w:bookmarkEnd w:id="535"/>
    </w:p>
    <w:p w14:paraId="17D60580" w14:textId="22E845CD" w:rsidR="00E0671D" w:rsidRDefault="00E0671D" w:rsidP="00E0671D">
      <w:pPr>
        <w:pStyle w:val="Caption"/>
        <w:rPr>
          <w:szCs w:val="21"/>
        </w:rPr>
      </w:pPr>
      <w:r w:rsidRPr="00BA4A6C">
        <w:t xml:space="preserve">Source : Inventaire CNUCC, Citepa/MTES, soumission </w:t>
      </w:r>
      <w:r w:rsidR="000046E5">
        <w:t>2022</w:t>
      </w:r>
      <w:r w:rsidR="000046E5" w:rsidRPr="00BA4A6C">
        <w:t xml:space="preserve"> </w:t>
      </w:r>
      <w:r w:rsidRPr="00BA4A6C">
        <w:t>et projections d’émissions MTES, 20</w:t>
      </w:r>
      <w:r>
        <w:t>18</w:t>
      </w:r>
    </w:p>
    <w:p w14:paraId="3A9C1610" w14:textId="77777777" w:rsidR="00E0671D" w:rsidRPr="00E0671D" w:rsidRDefault="00E0671D" w:rsidP="00E0671D"/>
    <w:p w14:paraId="3D11C319" w14:textId="77777777" w:rsidR="001021CB" w:rsidRPr="00BA4A6C" w:rsidRDefault="001021CB" w:rsidP="003F57EA">
      <w:pPr>
        <w:pStyle w:val="Titre3Niveau3"/>
        <w:numPr>
          <w:ilvl w:val="1"/>
          <w:numId w:val="78"/>
        </w:numPr>
      </w:pPr>
      <w:bookmarkStart w:id="536" w:name="_Toc121215534"/>
      <w:bookmarkStart w:id="537" w:name="_Toc138342022"/>
      <w:r>
        <w:t>Évolution par gaz</w:t>
      </w:r>
      <w:bookmarkEnd w:id="536"/>
      <w:bookmarkEnd w:id="537"/>
    </w:p>
    <w:p w14:paraId="6906F233" w14:textId="33A52D4B" w:rsidR="004213BA" w:rsidRPr="00E0671D" w:rsidRDefault="001021CB" w:rsidP="00E0671D">
      <w:pPr>
        <w:rPr>
          <w:szCs w:val="21"/>
        </w:rPr>
      </w:pPr>
      <w:r w:rsidRPr="00167D47">
        <w:rPr>
          <w:szCs w:val="21"/>
        </w:rPr>
        <w:t>Conformément aux lignes directrices de la CCNUCC, les évolutions des émissions par gaz sont présentées dans les tableaux et graphiques ci-dessous (globalement puis par secteur).</w:t>
      </w:r>
    </w:p>
    <w:p w14:paraId="42311310" w14:textId="57C2D8E0" w:rsidR="001021CB" w:rsidRDefault="001021CB" w:rsidP="003F57EA">
      <w:pPr>
        <w:pStyle w:val="Titre4niveau4"/>
        <w:numPr>
          <w:ilvl w:val="2"/>
          <w:numId w:val="78"/>
        </w:numPr>
      </w:pPr>
      <w:r w:rsidRPr="001E34E8">
        <w:t>Évolutions globales</w:t>
      </w:r>
    </w:p>
    <w:p w14:paraId="6FB52440" w14:textId="3A609CDE" w:rsidR="001021CB" w:rsidRDefault="001021CB" w:rsidP="003F57EA">
      <w:pPr>
        <w:pStyle w:val="titreencadre"/>
        <w:numPr>
          <w:ilvl w:val="3"/>
          <w:numId w:val="78"/>
        </w:numPr>
      </w:pPr>
      <w:r>
        <w:t>AME 2021</w:t>
      </w:r>
    </w:p>
    <w:tbl>
      <w:tblPr>
        <w:tblStyle w:val="TableGrid0"/>
        <w:tblW w:w="9937" w:type="dxa"/>
        <w:tblInd w:w="7" w:type="dxa"/>
        <w:tblCellMar>
          <w:top w:w="106" w:type="dxa"/>
          <w:left w:w="27" w:type="dxa"/>
        </w:tblCellMar>
        <w:tblLook w:val="04A0" w:firstRow="1" w:lastRow="0" w:firstColumn="1" w:lastColumn="0" w:noHBand="0" w:noVBand="1"/>
      </w:tblPr>
      <w:tblGrid>
        <w:gridCol w:w="868"/>
        <w:gridCol w:w="755"/>
        <w:gridCol w:w="756"/>
        <w:gridCol w:w="756"/>
        <w:gridCol w:w="756"/>
        <w:gridCol w:w="755"/>
        <w:gridCol w:w="756"/>
        <w:gridCol w:w="756"/>
        <w:gridCol w:w="756"/>
        <w:gridCol w:w="755"/>
        <w:gridCol w:w="756"/>
        <w:gridCol w:w="756"/>
        <w:gridCol w:w="756"/>
      </w:tblGrid>
      <w:tr w:rsidR="00E0671D" w14:paraId="0B563428" w14:textId="77777777" w:rsidTr="009947FF">
        <w:trPr>
          <w:trHeight w:val="401"/>
        </w:trPr>
        <w:tc>
          <w:tcPr>
            <w:tcW w:w="868" w:type="dxa"/>
            <w:tcBorders>
              <w:top w:val="single" w:sz="2" w:space="0" w:color="000000"/>
              <w:left w:val="single" w:sz="2" w:space="0" w:color="000000"/>
              <w:bottom w:val="single" w:sz="2" w:space="0" w:color="000000"/>
              <w:right w:val="single" w:sz="2" w:space="0" w:color="000000"/>
            </w:tcBorders>
            <w:shd w:val="clear" w:color="auto" w:fill="6D2A78"/>
          </w:tcPr>
          <w:p w14:paraId="34692C69" w14:textId="77777777" w:rsidR="00E0671D" w:rsidRPr="00E8711A" w:rsidRDefault="00E0671D" w:rsidP="009947FF">
            <w:pPr>
              <w:spacing w:line="259" w:lineRule="auto"/>
              <w:rPr>
                <w:b/>
              </w:rPr>
            </w:pPr>
            <w:bookmarkStart w:id="538" w:name="OLE_LINK46"/>
            <w:r>
              <w:rPr>
                <w:b/>
                <w:color w:val="FFFFFF" w:themeColor="background1"/>
              </w:rPr>
              <w:t>AME</w:t>
            </w:r>
            <w:r w:rsidRPr="00E8711A">
              <w:rPr>
                <w:b/>
                <w:color w:val="FFFFFF" w:themeColor="background1"/>
              </w:rPr>
              <w:t xml:space="preserve"> </w:t>
            </w:r>
            <w:r>
              <w:rPr>
                <w:b/>
                <w:color w:val="FFFFFF" w:themeColor="background1"/>
              </w:rPr>
              <w:t>2021</w:t>
            </w:r>
          </w:p>
        </w:tc>
        <w:tc>
          <w:tcPr>
            <w:tcW w:w="755" w:type="dxa"/>
            <w:tcBorders>
              <w:top w:val="single" w:sz="2" w:space="0" w:color="000000"/>
              <w:left w:val="single" w:sz="2" w:space="0" w:color="000000"/>
              <w:bottom w:val="single" w:sz="2" w:space="0" w:color="000000"/>
              <w:right w:val="single" w:sz="2" w:space="0" w:color="000000"/>
            </w:tcBorders>
            <w:shd w:val="clear" w:color="auto" w:fill="6D2A78"/>
          </w:tcPr>
          <w:p w14:paraId="41D986D2" w14:textId="77777777" w:rsidR="00E0671D" w:rsidRDefault="00E0671D" w:rsidP="009947FF">
            <w:pPr>
              <w:spacing w:line="259" w:lineRule="auto"/>
              <w:ind w:right="23"/>
              <w:jc w:val="center"/>
            </w:pPr>
            <w:r>
              <w:rPr>
                <w:b/>
                <w:color w:val="FFFFFF"/>
                <w:sz w:val="18"/>
              </w:rPr>
              <w:t xml:space="preserve">1990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5115F57D" w14:textId="77777777" w:rsidR="00E0671D" w:rsidRDefault="00E0671D" w:rsidP="009947FF">
            <w:pPr>
              <w:spacing w:line="259" w:lineRule="auto"/>
              <w:ind w:right="26"/>
              <w:jc w:val="center"/>
              <w:rPr>
                <w:b/>
                <w:color w:val="FFFFFF"/>
                <w:sz w:val="18"/>
              </w:rPr>
            </w:pPr>
            <w:r>
              <w:rPr>
                <w:b/>
                <w:color w:val="FFFFFF"/>
                <w:sz w:val="18"/>
              </w:rPr>
              <w:t>1995</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52779606" w14:textId="77777777" w:rsidR="00E0671D" w:rsidRDefault="00E0671D" w:rsidP="009947FF">
            <w:pPr>
              <w:spacing w:line="259" w:lineRule="auto"/>
              <w:ind w:right="26"/>
              <w:jc w:val="center"/>
            </w:pPr>
            <w:r>
              <w:rPr>
                <w:b/>
                <w:color w:val="FFFFFF"/>
                <w:sz w:val="18"/>
              </w:rPr>
              <w:t xml:space="preserve">2000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50C3474F" w14:textId="77777777" w:rsidR="00E0671D" w:rsidRDefault="00E0671D" w:rsidP="009947FF">
            <w:pPr>
              <w:spacing w:line="259" w:lineRule="auto"/>
              <w:ind w:right="23"/>
              <w:jc w:val="center"/>
            </w:pPr>
            <w:r>
              <w:rPr>
                <w:b/>
                <w:color w:val="FFFFFF"/>
                <w:sz w:val="18"/>
              </w:rPr>
              <w:t xml:space="preserve">2005 </w:t>
            </w:r>
          </w:p>
        </w:tc>
        <w:tc>
          <w:tcPr>
            <w:tcW w:w="755" w:type="dxa"/>
            <w:tcBorders>
              <w:top w:val="single" w:sz="2" w:space="0" w:color="000000"/>
              <w:left w:val="single" w:sz="2" w:space="0" w:color="000000"/>
              <w:bottom w:val="single" w:sz="2" w:space="0" w:color="000000"/>
              <w:right w:val="single" w:sz="2" w:space="0" w:color="000000"/>
            </w:tcBorders>
            <w:shd w:val="clear" w:color="auto" w:fill="6D2A78"/>
          </w:tcPr>
          <w:p w14:paraId="6E938773" w14:textId="77777777" w:rsidR="00E0671D" w:rsidRDefault="00E0671D" w:rsidP="009947FF">
            <w:pPr>
              <w:spacing w:line="259" w:lineRule="auto"/>
              <w:ind w:right="26"/>
              <w:jc w:val="center"/>
            </w:pPr>
            <w:r>
              <w:rPr>
                <w:b/>
                <w:color w:val="FFFFFF"/>
                <w:sz w:val="18"/>
              </w:rPr>
              <w:t xml:space="preserve">2010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2CC03A3E" w14:textId="77777777" w:rsidR="00E0671D" w:rsidRDefault="00E0671D" w:rsidP="009947FF">
            <w:pPr>
              <w:spacing w:line="259" w:lineRule="auto"/>
              <w:ind w:right="23"/>
              <w:jc w:val="center"/>
            </w:pPr>
            <w:r>
              <w:rPr>
                <w:b/>
                <w:color w:val="FFFFFF"/>
                <w:sz w:val="18"/>
              </w:rPr>
              <w:t xml:space="preserve">2015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658732EA" w14:textId="77777777" w:rsidR="00E0671D" w:rsidRDefault="00E0671D" w:rsidP="009947FF">
            <w:pPr>
              <w:spacing w:line="259" w:lineRule="auto"/>
              <w:ind w:right="26"/>
              <w:jc w:val="center"/>
              <w:rPr>
                <w:b/>
                <w:color w:val="FFFFFF"/>
                <w:sz w:val="18"/>
              </w:rPr>
            </w:pPr>
            <w:r>
              <w:rPr>
                <w:b/>
                <w:color w:val="FFFFFF"/>
                <w:sz w:val="18"/>
              </w:rPr>
              <w:t>2019</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0EB92569" w14:textId="77777777" w:rsidR="00E0671D" w:rsidRDefault="00E0671D" w:rsidP="009947FF">
            <w:pPr>
              <w:spacing w:line="259" w:lineRule="auto"/>
              <w:ind w:right="26"/>
              <w:jc w:val="center"/>
            </w:pPr>
            <w:r>
              <w:rPr>
                <w:b/>
                <w:color w:val="FFFFFF"/>
                <w:sz w:val="18"/>
              </w:rPr>
              <w:t xml:space="preserve">2020 </w:t>
            </w:r>
          </w:p>
        </w:tc>
        <w:tc>
          <w:tcPr>
            <w:tcW w:w="755" w:type="dxa"/>
            <w:tcBorders>
              <w:top w:val="single" w:sz="2" w:space="0" w:color="000000"/>
              <w:left w:val="single" w:sz="2" w:space="0" w:color="000000"/>
              <w:bottom w:val="single" w:sz="2" w:space="0" w:color="000000"/>
              <w:right w:val="single" w:sz="2" w:space="0" w:color="000000"/>
            </w:tcBorders>
            <w:shd w:val="clear" w:color="auto" w:fill="6D2A78"/>
          </w:tcPr>
          <w:p w14:paraId="6FDCDDEC" w14:textId="77777777" w:rsidR="00E0671D" w:rsidRDefault="00E0671D" w:rsidP="009947FF">
            <w:pPr>
              <w:spacing w:line="259" w:lineRule="auto"/>
              <w:ind w:right="23"/>
              <w:jc w:val="center"/>
            </w:pPr>
            <w:r>
              <w:rPr>
                <w:b/>
                <w:color w:val="FFFFFF"/>
                <w:sz w:val="18"/>
              </w:rPr>
              <w:t xml:space="preserve">2025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073A8A18" w14:textId="77777777" w:rsidR="00E0671D" w:rsidRDefault="00E0671D" w:rsidP="009947FF">
            <w:pPr>
              <w:spacing w:line="259" w:lineRule="auto"/>
              <w:ind w:right="26"/>
              <w:jc w:val="center"/>
            </w:pPr>
            <w:r>
              <w:rPr>
                <w:b/>
                <w:color w:val="FFFFFF"/>
                <w:sz w:val="18"/>
              </w:rPr>
              <w:t xml:space="preserve">2030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6BD068CC" w14:textId="77777777" w:rsidR="00E0671D" w:rsidRDefault="00E0671D" w:rsidP="009947FF">
            <w:pPr>
              <w:spacing w:line="259" w:lineRule="auto"/>
              <w:ind w:right="23"/>
              <w:jc w:val="center"/>
            </w:pPr>
            <w:r>
              <w:rPr>
                <w:b/>
                <w:color w:val="FFFFFF"/>
                <w:sz w:val="18"/>
              </w:rPr>
              <w:t xml:space="preserve">2035 </w:t>
            </w:r>
          </w:p>
        </w:tc>
        <w:tc>
          <w:tcPr>
            <w:tcW w:w="756" w:type="dxa"/>
            <w:tcBorders>
              <w:top w:val="single" w:sz="2" w:space="0" w:color="000000"/>
              <w:left w:val="single" w:sz="2" w:space="0" w:color="000000"/>
              <w:bottom w:val="single" w:sz="2" w:space="0" w:color="000000"/>
              <w:right w:val="single" w:sz="2" w:space="0" w:color="000000"/>
            </w:tcBorders>
            <w:shd w:val="clear" w:color="auto" w:fill="6D2A78"/>
          </w:tcPr>
          <w:p w14:paraId="35514F26" w14:textId="77777777" w:rsidR="00E0671D" w:rsidRDefault="00E0671D" w:rsidP="009947FF">
            <w:pPr>
              <w:spacing w:line="259" w:lineRule="auto"/>
              <w:ind w:right="23"/>
              <w:jc w:val="center"/>
              <w:rPr>
                <w:b/>
                <w:color w:val="FFFFFF"/>
                <w:sz w:val="18"/>
              </w:rPr>
            </w:pPr>
            <w:r>
              <w:rPr>
                <w:b/>
                <w:color w:val="FFFFFF"/>
                <w:sz w:val="18"/>
              </w:rPr>
              <w:t>2050</w:t>
            </w:r>
          </w:p>
        </w:tc>
      </w:tr>
      <w:tr w:rsidR="00E0671D" w14:paraId="141C0EC0" w14:textId="77777777" w:rsidTr="009947FF">
        <w:trPr>
          <w:trHeight w:val="401"/>
        </w:trPr>
        <w:tc>
          <w:tcPr>
            <w:tcW w:w="868" w:type="dxa"/>
            <w:tcBorders>
              <w:top w:val="single" w:sz="2" w:space="0" w:color="000000"/>
              <w:left w:val="single" w:sz="2" w:space="0" w:color="000000"/>
              <w:bottom w:val="single" w:sz="2" w:space="0" w:color="000000"/>
              <w:right w:val="single" w:sz="2" w:space="0" w:color="000000"/>
            </w:tcBorders>
            <w:shd w:val="clear" w:color="auto" w:fill="6D2A78"/>
          </w:tcPr>
          <w:p w14:paraId="051BA3B9" w14:textId="5BE19C7D" w:rsidR="00E0671D" w:rsidRPr="00AA2B36" w:rsidRDefault="00E0671D" w:rsidP="009947FF">
            <w:pPr>
              <w:spacing w:line="259" w:lineRule="auto"/>
              <w:rPr>
                <w:color w:val="FFFFFF" w:themeColor="background1"/>
              </w:rPr>
            </w:pPr>
            <w:r w:rsidRPr="00365886">
              <w:rPr>
                <w:color w:val="FFFFFF" w:themeColor="background1"/>
              </w:rPr>
              <w:t>kt</w:t>
            </w:r>
            <w:r w:rsidR="005E3468" w:rsidRPr="00AA2B36">
              <w:rPr>
                <w:color w:val="FFFFFF" w:themeColor="background1"/>
              </w:rPr>
              <w:t>CO</w:t>
            </w:r>
            <w:r w:rsidR="005E3468" w:rsidRPr="00AA2B36">
              <w:rPr>
                <w:color w:val="FFFFFF" w:themeColor="background1"/>
                <w:vertAlign w:val="subscript"/>
              </w:rPr>
              <w:t>2</w:t>
            </w:r>
            <w:r w:rsidR="005E3468" w:rsidRPr="00365886">
              <w:rPr>
                <w:color w:val="FFFFFF" w:themeColor="background1"/>
                <w:vertAlign w:val="subscript"/>
              </w:rPr>
              <w:t>e</w:t>
            </w:r>
          </w:p>
        </w:tc>
        <w:tc>
          <w:tcPr>
            <w:tcW w:w="4534" w:type="dxa"/>
            <w:gridSpan w:val="6"/>
            <w:tcBorders>
              <w:top w:val="single" w:sz="2" w:space="0" w:color="000000"/>
              <w:left w:val="single" w:sz="2" w:space="0" w:color="000000"/>
              <w:bottom w:val="single" w:sz="2" w:space="0" w:color="000000"/>
              <w:right w:val="single" w:sz="2" w:space="0" w:color="000000"/>
            </w:tcBorders>
            <w:shd w:val="clear" w:color="auto" w:fill="6D2A78"/>
          </w:tcPr>
          <w:p w14:paraId="1064A4BC" w14:textId="77777777" w:rsidR="00E0671D" w:rsidRDefault="00E0671D" w:rsidP="009947FF">
            <w:pPr>
              <w:spacing w:line="259" w:lineRule="auto"/>
              <w:ind w:right="23"/>
              <w:jc w:val="center"/>
              <w:rPr>
                <w:b/>
                <w:color w:val="FFFFFF"/>
                <w:sz w:val="18"/>
              </w:rPr>
            </w:pPr>
            <w:r>
              <w:rPr>
                <w:b/>
                <w:color w:val="FFFFFF"/>
                <w:sz w:val="18"/>
              </w:rPr>
              <w:t>Observé</w:t>
            </w:r>
          </w:p>
        </w:tc>
        <w:tc>
          <w:tcPr>
            <w:tcW w:w="4535" w:type="dxa"/>
            <w:gridSpan w:val="6"/>
            <w:tcBorders>
              <w:top w:val="single" w:sz="2" w:space="0" w:color="000000"/>
              <w:left w:val="single" w:sz="2" w:space="0" w:color="000000"/>
              <w:bottom w:val="single" w:sz="2" w:space="0" w:color="000000"/>
              <w:right w:val="single" w:sz="2" w:space="0" w:color="000000"/>
            </w:tcBorders>
            <w:shd w:val="clear" w:color="auto" w:fill="6D2A78"/>
          </w:tcPr>
          <w:p w14:paraId="00108071" w14:textId="77777777" w:rsidR="00E0671D" w:rsidRDefault="00E0671D" w:rsidP="009947FF">
            <w:pPr>
              <w:spacing w:line="259" w:lineRule="auto"/>
              <w:ind w:right="23"/>
              <w:jc w:val="center"/>
              <w:rPr>
                <w:b/>
                <w:color w:val="FFFFFF"/>
                <w:sz w:val="18"/>
              </w:rPr>
            </w:pPr>
            <w:r>
              <w:rPr>
                <w:b/>
                <w:color w:val="FFFFFF"/>
                <w:sz w:val="18"/>
              </w:rPr>
              <w:t>Projeté</w:t>
            </w:r>
          </w:p>
        </w:tc>
      </w:tr>
      <w:tr w:rsidR="000046E5" w14:paraId="7F3711E8" w14:textId="77777777" w:rsidTr="00261D3D">
        <w:trPr>
          <w:trHeight w:val="342"/>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136E88DC" w14:textId="3C28C137"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CO</w:t>
            </w:r>
            <w:r w:rsidRPr="00AA2B36">
              <w:rPr>
                <w:rFonts w:asciiTheme="minorHAnsi" w:hAnsiTheme="minorHAnsi"/>
                <w:sz w:val="18"/>
                <w:szCs w:val="18"/>
                <w:vertAlign w:val="subscript"/>
              </w:rPr>
              <w:t>2</w:t>
            </w:r>
            <w:r w:rsidRPr="00AA2B36">
              <w:rPr>
                <w:rFonts w:asciiTheme="minorHAnsi" w:hAnsiTheme="minorHAnsi"/>
                <w:sz w:val="18"/>
                <w:szCs w:val="18"/>
              </w:rPr>
              <w:t xml:space="preserve"> hors UTCF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852E65" w14:textId="43CA8EEE" w:rsidR="000046E5" w:rsidRPr="00AA2B36" w:rsidRDefault="000046E5" w:rsidP="000046E5">
            <w:pPr>
              <w:spacing w:line="259" w:lineRule="auto"/>
              <w:ind w:left="59"/>
              <w:jc w:val="center"/>
              <w:rPr>
                <w:rFonts w:asciiTheme="minorHAnsi" w:hAnsiTheme="minorHAnsi"/>
                <w:sz w:val="18"/>
                <w:szCs w:val="18"/>
              </w:rPr>
            </w:pPr>
            <w:r>
              <w:rPr>
                <w:sz w:val="18"/>
                <w:szCs w:val="18"/>
              </w:rPr>
              <w:t>398425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518B24" w14:textId="4CDA28E9" w:rsidR="000046E5" w:rsidRPr="00AA2B36" w:rsidRDefault="000046E5" w:rsidP="000046E5">
            <w:pPr>
              <w:spacing w:line="259" w:lineRule="auto"/>
              <w:ind w:left="59"/>
              <w:jc w:val="center"/>
              <w:rPr>
                <w:rFonts w:asciiTheme="minorHAnsi" w:hAnsiTheme="minorHAnsi"/>
                <w:sz w:val="18"/>
                <w:szCs w:val="18"/>
              </w:rPr>
            </w:pPr>
            <w:r>
              <w:rPr>
                <w:sz w:val="18"/>
                <w:szCs w:val="18"/>
              </w:rPr>
              <w:t>392916</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539912" w14:textId="6860546C" w:rsidR="000046E5" w:rsidRPr="00AA2B36" w:rsidRDefault="000046E5" w:rsidP="000046E5">
            <w:pPr>
              <w:spacing w:line="259" w:lineRule="auto"/>
              <w:ind w:left="59"/>
              <w:jc w:val="center"/>
              <w:rPr>
                <w:rFonts w:asciiTheme="minorHAnsi" w:hAnsiTheme="minorHAnsi"/>
                <w:sz w:val="18"/>
                <w:szCs w:val="18"/>
              </w:rPr>
            </w:pPr>
            <w:r>
              <w:rPr>
                <w:sz w:val="18"/>
                <w:szCs w:val="18"/>
              </w:rPr>
              <w:t>414788</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2429A4" w14:textId="5293B502" w:rsidR="000046E5" w:rsidRPr="00AA2B36" w:rsidRDefault="000046E5" w:rsidP="000046E5">
            <w:pPr>
              <w:spacing w:line="259" w:lineRule="auto"/>
              <w:ind w:left="59"/>
              <w:jc w:val="center"/>
              <w:rPr>
                <w:rFonts w:asciiTheme="minorHAnsi" w:hAnsiTheme="minorHAnsi"/>
                <w:sz w:val="18"/>
                <w:szCs w:val="18"/>
              </w:rPr>
            </w:pPr>
            <w:r>
              <w:rPr>
                <w:sz w:val="18"/>
                <w:szCs w:val="18"/>
              </w:rPr>
              <w:t>425444</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5E41A3" w14:textId="0793FEA6" w:rsidR="000046E5" w:rsidRPr="00AA2B36" w:rsidRDefault="000046E5" w:rsidP="000046E5">
            <w:pPr>
              <w:spacing w:line="259" w:lineRule="auto"/>
              <w:ind w:left="59"/>
              <w:jc w:val="center"/>
              <w:rPr>
                <w:rFonts w:asciiTheme="minorHAnsi" w:hAnsiTheme="minorHAnsi"/>
                <w:sz w:val="18"/>
                <w:szCs w:val="18"/>
              </w:rPr>
            </w:pPr>
            <w:r>
              <w:rPr>
                <w:sz w:val="18"/>
                <w:szCs w:val="18"/>
              </w:rPr>
              <w:t>386872</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08C182" w14:textId="539CCF84" w:rsidR="000046E5" w:rsidRPr="00AA2B36" w:rsidRDefault="000046E5" w:rsidP="000046E5">
            <w:pPr>
              <w:spacing w:line="259" w:lineRule="auto"/>
              <w:ind w:left="59"/>
              <w:jc w:val="center"/>
              <w:rPr>
                <w:rFonts w:asciiTheme="minorHAnsi" w:hAnsiTheme="minorHAnsi"/>
                <w:sz w:val="18"/>
                <w:szCs w:val="18"/>
              </w:rPr>
            </w:pPr>
            <w:r>
              <w:rPr>
                <w:sz w:val="18"/>
                <w:szCs w:val="18"/>
              </w:rPr>
              <w:t>341631</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F49A61" w14:textId="41D1D10C" w:rsidR="000046E5" w:rsidRPr="00AA2B36" w:rsidRDefault="000046E5" w:rsidP="000046E5">
            <w:pPr>
              <w:spacing w:line="259" w:lineRule="auto"/>
              <w:ind w:left="64"/>
              <w:jc w:val="center"/>
              <w:rPr>
                <w:rFonts w:asciiTheme="minorHAnsi" w:hAnsiTheme="minorHAnsi"/>
                <w:sz w:val="18"/>
                <w:szCs w:val="18"/>
              </w:rPr>
            </w:pPr>
            <w:r>
              <w:rPr>
                <w:sz w:val="18"/>
                <w:szCs w:val="18"/>
              </w:rPr>
              <w:t>326725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D34258" w14:textId="294D87E3" w:rsidR="000046E5" w:rsidRPr="00AA2B36" w:rsidRDefault="000046E5" w:rsidP="000046E5">
            <w:pPr>
              <w:spacing w:line="259" w:lineRule="auto"/>
              <w:ind w:left="64"/>
              <w:jc w:val="center"/>
              <w:rPr>
                <w:rFonts w:asciiTheme="minorHAnsi" w:hAnsiTheme="minorHAnsi"/>
                <w:sz w:val="18"/>
                <w:szCs w:val="18"/>
              </w:rPr>
            </w:pPr>
            <w:r w:rsidRPr="00364545">
              <w:rPr>
                <w:rFonts w:asciiTheme="minorHAnsi" w:hAnsiTheme="minorHAnsi"/>
                <w:sz w:val="18"/>
              </w:rPr>
              <w:t xml:space="preserve">291487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BA51245" w14:textId="1E62D0BB"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292205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BAB4E9" w14:textId="4FEE516D" w:rsidR="000046E5" w:rsidRPr="00AA2B36" w:rsidRDefault="000046E5" w:rsidP="000046E5">
            <w:pPr>
              <w:spacing w:line="259" w:lineRule="auto"/>
              <w:ind w:left="59"/>
              <w:jc w:val="center"/>
              <w:rPr>
                <w:rFonts w:asciiTheme="minorHAnsi" w:hAnsiTheme="minorHAnsi"/>
                <w:sz w:val="18"/>
                <w:szCs w:val="18"/>
              </w:rPr>
            </w:pPr>
            <w:bookmarkStart w:id="539" w:name="OLE_LINK28"/>
            <w:r w:rsidRPr="00364545">
              <w:rPr>
                <w:rFonts w:asciiTheme="minorHAnsi" w:hAnsiTheme="minorHAnsi"/>
                <w:sz w:val="18"/>
              </w:rPr>
              <w:t xml:space="preserve">272039 </w:t>
            </w:r>
            <w:bookmarkEnd w:id="539"/>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BB324E" w14:textId="04B6A4FC"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262355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857DC7" w14:textId="6DE3F79D"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241265 </w:t>
            </w:r>
          </w:p>
        </w:tc>
      </w:tr>
      <w:tr w:rsidR="000046E5" w14:paraId="179436DA" w14:textId="77777777" w:rsidTr="00261D3D">
        <w:trPr>
          <w:trHeight w:val="347"/>
        </w:trPr>
        <w:tc>
          <w:tcPr>
            <w:tcW w:w="868" w:type="dxa"/>
            <w:tcBorders>
              <w:top w:val="single" w:sz="2" w:space="0" w:color="000000"/>
              <w:left w:val="single" w:sz="2" w:space="0" w:color="000000"/>
              <w:bottom w:val="single" w:sz="2" w:space="0" w:color="000000"/>
              <w:right w:val="single" w:sz="2" w:space="0" w:color="000000"/>
            </w:tcBorders>
          </w:tcPr>
          <w:p w14:paraId="7EB6F095" w14:textId="626368FD"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CO</w:t>
            </w:r>
            <w:r w:rsidRPr="00AA2B36">
              <w:rPr>
                <w:rFonts w:asciiTheme="minorHAnsi" w:hAnsiTheme="minorHAnsi"/>
                <w:sz w:val="18"/>
                <w:szCs w:val="18"/>
                <w:vertAlign w:val="subscript"/>
              </w:rPr>
              <w:t>2</w:t>
            </w:r>
            <w:r w:rsidRPr="00AA2B36">
              <w:rPr>
                <w:rFonts w:asciiTheme="minorHAnsi" w:hAnsiTheme="minorHAnsi"/>
                <w:sz w:val="18"/>
                <w:szCs w:val="18"/>
              </w:rPr>
              <w:t xml:space="preserve"> avec UTCF </w:t>
            </w:r>
          </w:p>
        </w:tc>
        <w:tc>
          <w:tcPr>
            <w:tcW w:w="755" w:type="dxa"/>
            <w:tcBorders>
              <w:top w:val="single" w:sz="2" w:space="0" w:color="000000"/>
              <w:left w:val="single" w:sz="2" w:space="0" w:color="000000"/>
              <w:bottom w:val="single" w:sz="2" w:space="0" w:color="000000"/>
              <w:right w:val="single" w:sz="2" w:space="0" w:color="000000"/>
            </w:tcBorders>
            <w:vAlign w:val="center"/>
          </w:tcPr>
          <w:p w14:paraId="4B387558" w14:textId="5D9F3858" w:rsidR="000046E5" w:rsidRPr="00AA2B36" w:rsidRDefault="000046E5" w:rsidP="000046E5">
            <w:pPr>
              <w:spacing w:line="259" w:lineRule="auto"/>
              <w:ind w:left="59"/>
              <w:jc w:val="center"/>
              <w:rPr>
                <w:rFonts w:asciiTheme="minorHAnsi" w:hAnsiTheme="minorHAnsi"/>
                <w:sz w:val="18"/>
                <w:szCs w:val="18"/>
              </w:rPr>
            </w:pPr>
            <w:bookmarkStart w:id="540" w:name="OLE_LINK22"/>
            <w:r>
              <w:rPr>
                <w:sz w:val="18"/>
                <w:szCs w:val="18"/>
              </w:rPr>
              <w:t>370280</w:t>
            </w:r>
            <w:bookmarkEnd w:id="540"/>
          </w:p>
        </w:tc>
        <w:tc>
          <w:tcPr>
            <w:tcW w:w="756" w:type="dxa"/>
            <w:tcBorders>
              <w:top w:val="single" w:sz="2" w:space="0" w:color="000000"/>
              <w:left w:val="single" w:sz="2" w:space="0" w:color="000000"/>
              <w:bottom w:val="single" w:sz="2" w:space="0" w:color="000000"/>
              <w:right w:val="single" w:sz="2" w:space="0" w:color="000000"/>
            </w:tcBorders>
            <w:vAlign w:val="center"/>
          </w:tcPr>
          <w:p w14:paraId="4FFA9C7D" w14:textId="404180FA" w:rsidR="000046E5" w:rsidRPr="00AA2B36" w:rsidRDefault="000046E5" w:rsidP="000046E5">
            <w:pPr>
              <w:spacing w:line="259" w:lineRule="auto"/>
              <w:ind w:left="59"/>
              <w:jc w:val="center"/>
              <w:rPr>
                <w:rFonts w:asciiTheme="minorHAnsi" w:hAnsiTheme="minorHAnsi"/>
                <w:sz w:val="18"/>
                <w:szCs w:val="18"/>
              </w:rPr>
            </w:pPr>
            <w:r>
              <w:rPr>
                <w:sz w:val="18"/>
                <w:szCs w:val="18"/>
              </w:rPr>
              <w:t>361121</w:t>
            </w:r>
          </w:p>
        </w:tc>
        <w:tc>
          <w:tcPr>
            <w:tcW w:w="756" w:type="dxa"/>
            <w:tcBorders>
              <w:top w:val="single" w:sz="2" w:space="0" w:color="000000"/>
              <w:left w:val="single" w:sz="2" w:space="0" w:color="000000"/>
              <w:bottom w:val="single" w:sz="2" w:space="0" w:color="000000"/>
              <w:right w:val="single" w:sz="2" w:space="0" w:color="000000"/>
            </w:tcBorders>
            <w:vAlign w:val="center"/>
          </w:tcPr>
          <w:p w14:paraId="5C525A59" w14:textId="2BFDDE13" w:rsidR="000046E5" w:rsidRPr="00AA2B36" w:rsidRDefault="000046E5" w:rsidP="000046E5">
            <w:pPr>
              <w:spacing w:line="259" w:lineRule="auto"/>
              <w:ind w:left="59"/>
              <w:jc w:val="center"/>
              <w:rPr>
                <w:rFonts w:asciiTheme="minorHAnsi" w:hAnsiTheme="minorHAnsi"/>
                <w:sz w:val="18"/>
                <w:szCs w:val="18"/>
              </w:rPr>
            </w:pPr>
            <w:r>
              <w:rPr>
                <w:sz w:val="18"/>
                <w:szCs w:val="18"/>
              </w:rPr>
              <w:t>390194</w:t>
            </w:r>
          </w:p>
        </w:tc>
        <w:tc>
          <w:tcPr>
            <w:tcW w:w="756" w:type="dxa"/>
            <w:tcBorders>
              <w:top w:val="single" w:sz="2" w:space="0" w:color="000000"/>
              <w:left w:val="single" w:sz="2" w:space="0" w:color="000000"/>
              <w:bottom w:val="single" w:sz="2" w:space="0" w:color="000000"/>
              <w:right w:val="single" w:sz="2" w:space="0" w:color="000000"/>
            </w:tcBorders>
            <w:vAlign w:val="center"/>
          </w:tcPr>
          <w:p w14:paraId="5E60FA99" w14:textId="453D3DEB" w:rsidR="000046E5" w:rsidRPr="00AA2B36" w:rsidRDefault="000046E5" w:rsidP="000046E5">
            <w:pPr>
              <w:spacing w:line="259" w:lineRule="auto"/>
              <w:ind w:left="59"/>
              <w:jc w:val="center"/>
              <w:rPr>
                <w:rFonts w:asciiTheme="minorHAnsi" w:hAnsiTheme="minorHAnsi"/>
                <w:sz w:val="18"/>
                <w:szCs w:val="18"/>
              </w:rPr>
            </w:pPr>
            <w:r>
              <w:rPr>
                <w:sz w:val="18"/>
                <w:szCs w:val="18"/>
              </w:rPr>
              <w:t>373972</w:t>
            </w:r>
          </w:p>
        </w:tc>
        <w:tc>
          <w:tcPr>
            <w:tcW w:w="755" w:type="dxa"/>
            <w:tcBorders>
              <w:top w:val="single" w:sz="2" w:space="0" w:color="000000"/>
              <w:left w:val="single" w:sz="2" w:space="0" w:color="000000"/>
              <w:bottom w:val="single" w:sz="2" w:space="0" w:color="000000"/>
              <w:right w:val="single" w:sz="2" w:space="0" w:color="000000"/>
            </w:tcBorders>
            <w:vAlign w:val="center"/>
          </w:tcPr>
          <w:p w14:paraId="497A997F" w14:textId="597D30FE" w:rsidR="000046E5" w:rsidRPr="00AA2B36" w:rsidRDefault="000046E5" w:rsidP="000046E5">
            <w:pPr>
              <w:spacing w:line="259" w:lineRule="auto"/>
              <w:ind w:left="59"/>
              <w:jc w:val="center"/>
              <w:rPr>
                <w:rFonts w:asciiTheme="minorHAnsi" w:hAnsiTheme="minorHAnsi"/>
                <w:sz w:val="18"/>
                <w:szCs w:val="18"/>
              </w:rPr>
            </w:pPr>
            <w:r>
              <w:rPr>
                <w:sz w:val="18"/>
                <w:szCs w:val="18"/>
              </w:rPr>
              <w:t>344171</w:t>
            </w:r>
          </w:p>
        </w:tc>
        <w:tc>
          <w:tcPr>
            <w:tcW w:w="756" w:type="dxa"/>
            <w:tcBorders>
              <w:top w:val="single" w:sz="2" w:space="0" w:color="000000"/>
              <w:left w:val="single" w:sz="2" w:space="0" w:color="000000"/>
              <w:bottom w:val="single" w:sz="2" w:space="0" w:color="000000"/>
              <w:right w:val="single" w:sz="2" w:space="0" w:color="000000"/>
            </w:tcBorders>
            <w:vAlign w:val="center"/>
          </w:tcPr>
          <w:p w14:paraId="7F5F75C6" w14:textId="32CD6B32" w:rsidR="000046E5" w:rsidRPr="00AA2B36" w:rsidRDefault="000046E5" w:rsidP="000046E5">
            <w:pPr>
              <w:spacing w:line="259" w:lineRule="auto"/>
              <w:ind w:left="59"/>
              <w:jc w:val="center"/>
              <w:rPr>
                <w:rFonts w:asciiTheme="minorHAnsi" w:hAnsiTheme="minorHAnsi"/>
                <w:sz w:val="18"/>
                <w:szCs w:val="18"/>
              </w:rPr>
            </w:pPr>
            <w:r>
              <w:rPr>
                <w:sz w:val="18"/>
                <w:szCs w:val="18"/>
              </w:rPr>
              <w:t>303032</w:t>
            </w:r>
          </w:p>
        </w:tc>
        <w:tc>
          <w:tcPr>
            <w:tcW w:w="756" w:type="dxa"/>
            <w:tcBorders>
              <w:top w:val="single" w:sz="2" w:space="0" w:color="000000"/>
              <w:left w:val="single" w:sz="2" w:space="0" w:color="000000"/>
              <w:bottom w:val="single" w:sz="2" w:space="0" w:color="000000"/>
              <w:right w:val="single" w:sz="2" w:space="0" w:color="000000"/>
            </w:tcBorders>
            <w:vAlign w:val="center"/>
          </w:tcPr>
          <w:p w14:paraId="0C362891" w14:textId="0D963EB9" w:rsidR="000046E5" w:rsidRPr="00AA2B36" w:rsidRDefault="000046E5" w:rsidP="000046E5">
            <w:pPr>
              <w:spacing w:line="259" w:lineRule="auto"/>
              <w:ind w:left="59"/>
              <w:jc w:val="center"/>
              <w:rPr>
                <w:rFonts w:asciiTheme="minorHAnsi" w:hAnsiTheme="minorHAnsi"/>
                <w:sz w:val="18"/>
                <w:szCs w:val="18"/>
              </w:rPr>
            </w:pPr>
            <w:r>
              <w:rPr>
                <w:sz w:val="18"/>
                <w:szCs w:val="18"/>
              </w:rPr>
              <w:t>310432</w:t>
            </w:r>
          </w:p>
        </w:tc>
        <w:tc>
          <w:tcPr>
            <w:tcW w:w="756" w:type="dxa"/>
            <w:tcBorders>
              <w:top w:val="single" w:sz="2" w:space="0" w:color="000000"/>
              <w:left w:val="single" w:sz="2" w:space="0" w:color="000000"/>
              <w:bottom w:val="single" w:sz="2" w:space="0" w:color="000000"/>
              <w:right w:val="single" w:sz="2" w:space="0" w:color="000000"/>
            </w:tcBorders>
            <w:vAlign w:val="center"/>
          </w:tcPr>
          <w:p w14:paraId="14BEEB11" w14:textId="57F105B7" w:rsidR="000046E5" w:rsidRPr="00AA2B36" w:rsidRDefault="000046E5" w:rsidP="000046E5">
            <w:pPr>
              <w:spacing w:line="259" w:lineRule="auto"/>
              <w:ind w:left="59"/>
              <w:jc w:val="center"/>
              <w:rPr>
                <w:rFonts w:asciiTheme="minorHAnsi" w:hAnsiTheme="minorHAnsi"/>
                <w:sz w:val="18"/>
                <w:szCs w:val="18"/>
              </w:rPr>
            </w:pPr>
            <w:bookmarkStart w:id="541" w:name="OLE_LINK24"/>
            <w:r w:rsidRPr="00364545">
              <w:rPr>
                <w:rFonts w:asciiTheme="minorHAnsi" w:hAnsiTheme="minorHAnsi"/>
                <w:sz w:val="18"/>
              </w:rPr>
              <w:t xml:space="preserve">254402 </w:t>
            </w:r>
            <w:bookmarkEnd w:id="541"/>
          </w:p>
        </w:tc>
        <w:tc>
          <w:tcPr>
            <w:tcW w:w="755" w:type="dxa"/>
            <w:tcBorders>
              <w:top w:val="single" w:sz="2" w:space="0" w:color="000000"/>
              <w:left w:val="single" w:sz="2" w:space="0" w:color="000000"/>
              <w:bottom w:val="single" w:sz="2" w:space="0" w:color="000000"/>
              <w:right w:val="single" w:sz="2" w:space="0" w:color="000000"/>
            </w:tcBorders>
            <w:vAlign w:val="center"/>
          </w:tcPr>
          <w:p w14:paraId="7B4C9AFA" w14:textId="54751465" w:rsidR="000046E5" w:rsidRPr="00AA2B36" w:rsidRDefault="000046E5" w:rsidP="000046E5">
            <w:pPr>
              <w:spacing w:line="259" w:lineRule="auto"/>
              <w:ind w:left="59"/>
              <w:jc w:val="center"/>
              <w:rPr>
                <w:rFonts w:asciiTheme="minorHAnsi" w:hAnsiTheme="minorHAnsi"/>
                <w:sz w:val="18"/>
                <w:szCs w:val="18"/>
              </w:rPr>
            </w:pPr>
            <w:bookmarkStart w:id="542" w:name="OLE_LINK25"/>
            <w:r w:rsidRPr="00364545">
              <w:rPr>
                <w:rFonts w:asciiTheme="minorHAnsi" w:hAnsiTheme="minorHAnsi"/>
                <w:sz w:val="18"/>
              </w:rPr>
              <w:t xml:space="preserve">259213 </w:t>
            </w:r>
            <w:bookmarkEnd w:id="542"/>
          </w:p>
        </w:tc>
        <w:tc>
          <w:tcPr>
            <w:tcW w:w="756" w:type="dxa"/>
            <w:tcBorders>
              <w:top w:val="single" w:sz="2" w:space="0" w:color="000000"/>
              <w:left w:val="single" w:sz="2" w:space="0" w:color="000000"/>
              <w:bottom w:val="single" w:sz="2" w:space="0" w:color="000000"/>
              <w:right w:val="single" w:sz="2" w:space="0" w:color="000000"/>
            </w:tcBorders>
            <w:vAlign w:val="center"/>
          </w:tcPr>
          <w:p w14:paraId="44E264AD" w14:textId="2A9C5B82"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241362 </w:t>
            </w:r>
          </w:p>
        </w:tc>
        <w:tc>
          <w:tcPr>
            <w:tcW w:w="756" w:type="dxa"/>
            <w:tcBorders>
              <w:top w:val="single" w:sz="2" w:space="0" w:color="000000"/>
              <w:left w:val="single" w:sz="2" w:space="0" w:color="000000"/>
              <w:bottom w:val="single" w:sz="2" w:space="0" w:color="000000"/>
              <w:right w:val="single" w:sz="2" w:space="0" w:color="000000"/>
            </w:tcBorders>
            <w:vAlign w:val="center"/>
          </w:tcPr>
          <w:p w14:paraId="3C3D246E" w14:textId="4B6F4485"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236549 </w:t>
            </w:r>
          </w:p>
        </w:tc>
        <w:tc>
          <w:tcPr>
            <w:tcW w:w="756" w:type="dxa"/>
            <w:tcBorders>
              <w:top w:val="single" w:sz="2" w:space="0" w:color="000000"/>
              <w:left w:val="single" w:sz="2" w:space="0" w:color="000000"/>
              <w:bottom w:val="single" w:sz="2" w:space="0" w:color="000000"/>
              <w:right w:val="single" w:sz="2" w:space="0" w:color="000000"/>
            </w:tcBorders>
            <w:vAlign w:val="center"/>
          </w:tcPr>
          <w:p w14:paraId="10AB52CD" w14:textId="06A4884C"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224391 </w:t>
            </w:r>
          </w:p>
        </w:tc>
      </w:tr>
      <w:tr w:rsidR="000046E5" w14:paraId="285ACE5C" w14:textId="77777777" w:rsidTr="00261D3D">
        <w:trPr>
          <w:trHeight w:val="344"/>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2C08FB66" w14:textId="07C650D8"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CH</w:t>
            </w:r>
            <w:r w:rsidRPr="00AA2B36">
              <w:rPr>
                <w:rFonts w:asciiTheme="minorHAnsi" w:hAnsiTheme="minorHAnsi"/>
                <w:sz w:val="18"/>
                <w:szCs w:val="18"/>
                <w:vertAlign w:val="subscript"/>
              </w:rPr>
              <w:t>4</w:t>
            </w:r>
            <w:r w:rsidRPr="00AA2B36">
              <w:rPr>
                <w:rFonts w:asciiTheme="minorHAnsi" w:hAnsiTheme="minorHAnsi"/>
                <w:sz w:val="18"/>
                <w:szCs w:val="18"/>
              </w:rPr>
              <w:t xml:space="preserve"> hors UTCF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A1465A" w14:textId="710D8740" w:rsidR="000046E5" w:rsidRPr="00AA2B36" w:rsidRDefault="000046E5" w:rsidP="000046E5">
            <w:pPr>
              <w:spacing w:line="259" w:lineRule="auto"/>
              <w:ind w:left="59"/>
              <w:jc w:val="center"/>
              <w:rPr>
                <w:rFonts w:asciiTheme="minorHAnsi" w:hAnsiTheme="minorHAnsi"/>
                <w:sz w:val="18"/>
                <w:szCs w:val="18"/>
              </w:rPr>
            </w:pPr>
            <w:r>
              <w:rPr>
                <w:sz w:val="18"/>
                <w:szCs w:val="18"/>
              </w:rPr>
              <w:t>69161</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14E3C8" w14:textId="2F0A9292" w:rsidR="000046E5" w:rsidRPr="00AA2B36" w:rsidRDefault="000046E5" w:rsidP="000046E5">
            <w:pPr>
              <w:spacing w:line="259" w:lineRule="auto"/>
              <w:ind w:left="59"/>
              <w:jc w:val="center"/>
              <w:rPr>
                <w:rFonts w:asciiTheme="minorHAnsi" w:hAnsiTheme="minorHAnsi"/>
                <w:sz w:val="18"/>
                <w:szCs w:val="18"/>
              </w:rPr>
            </w:pPr>
            <w:r>
              <w:rPr>
                <w:sz w:val="18"/>
                <w:szCs w:val="18"/>
              </w:rPr>
              <w:t>70383</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733783" w14:textId="43A5A94E" w:rsidR="000046E5" w:rsidRPr="00AA2B36" w:rsidRDefault="000046E5" w:rsidP="000046E5">
            <w:pPr>
              <w:spacing w:line="259" w:lineRule="auto"/>
              <w:ind w:left="59"/>
              <w:jc w:val="center"/>
              <w:rPr>
                <w:rFonts w:asciiTheme="minorHAnsi" w:hAnsiTheme="minorHAnsi"/>
                <w:sz w:val="18"/>
                <w:szCs w:val="18"/>
              </w:rPr>
            </w:pPr>
            <w:r>
              <w:rPr>
                <w:sz w:val="18"/>
                <w:szCs w:val="18"/>
              </w:rPr>
              <w:t>68603</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257DD9" w14:textId="455CED01" w:rsidR="000046E5" w:rsidRPr="00AA2B36" w:rsidRDefault="000046E5" w:rsidP="000046E5">
            <w:pPr>
              <w:spacing w:line="259" w:lineRule="auto"/>
              <w:ind w:left="59"/>
              <w:jc w:val="center"/>
              <w:rPr>
                <w:rFonts w:asciiTheme="minorHAnsi" w:hAnsiTheme="minorHAnsi"/>
                <w:sz w:val="18"/>
                <w:szCs w:val="18"/>
              </w:rPr>
            </w:pPr>
            <w:r>
              <w:rPr>
                <w:sz w:val="18"/>
                <w:szCs w:val="18"/>
              </w:rPr>
              <w:t>63632</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59BED4" w14:textId="18FD06C6" w:rsidR="000046E5" w:rsidRPr="00AA2B36" w:rsidRDefault="000046E5" w:rsidP="000046E5">
            <w:pPr>
              <w:spacing w:line="259" w:lineRule="auto"/>
              <w:ind w:left="59"/>
              <w:jc w:val="center"/>
              <w:rPr>
                <w:rFonts w:asciiTheme="minorHAnsi" w:hAnsiTheme="minorHAnsi"/>
                <w:sz w:val="18"/>
                <w:szCs w:val="18"/>
              </w:rPr>
            </w:pPr>
            <w:r>
              <w:rPr>
                <w:sz w:val="18"/>
                <w:szCs w:val="18"/>
              </w:rPr>
              <w:t>61663</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FAB26A" w14:textId="3DF99161" w:rsidR="000046E5" w:rsidRPr="00AA2B36" w:rsidRDefault="000046E5" w:rsidP="000046E5">
            <w:pPr>
              <w:spacing w:line="259" w:lineRule="auto"/>
              <w:ind w:left="59"/>
              <w:jc w:val="center"/>
              <w:rPr>
                <w:rFonts w:asciiTheme="minorHAnsi" w:hAnsiTheme="minorHAnsi"/>
                <w:sz w:val="18"/>
                <w:szCs w:val="18"/>
              </w:rPr>
            </w:pPr>
            <w:r>
              <w:rPr>
                <w:sz w:val="18"/>
                <w:szCs w:val="18"/>
              </w:rPr>
              <w:t>57862</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9B7FD3" w14:textId="2A4AF99A" w:rsidR="000046E5" w:rsidRPr="00AA2B36" w:rsidRDefault="000046E5" w:rsidP="000046E5">
            <w:pPr>
              <w:spacing w:line="259" w:lineRule="auto"/>
              <w:ind w:left="59"/>
              <w:jc w:val="center"/>
              <w:rPr>
                <w:rFonts w:asciiTheme="minorHAnsi" w:hAnsiTheme="minorHAnsi"/>
                <w:sz w:val="18"/>
                <w:szCs w:val="18"/>
              </w:rPr>
            </w:pPr>
            <w:r>
              <w:rPr>
                <w:sz w:val="18"/>
                <w:szCs w:val="18"/>
              </w:rPr>
              <w:t>55740</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838A1C" w14:textId="195647BD"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55161.5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562073" w14:textId="1E0AD961"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53575.1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27B22B" w14:textId="21422F2A"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52448.1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EB0606" w14:textId="03181855"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51718.6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52C4F5" w14:textId="4E6A1F96"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51049.8 </w:t>
            </w:r>
          </w:p>
        </w:tc>
      </w:tr>
      <w:tr w:rsidR="000046E5" w14:paraId="66F735DA" w14:textId="77777777" w:rsidTr="00261D3D">
        <w:trPr>
          <w:trHeight w:val="347"/>
        </w:trPr>
        <w:tc>
          <w:tcPr>
            <w:tcW w:w="868" w:type="dxa"/>
            <w:tcBorders>
              <w:top w:val="single" w:sz="2" w:space="0" w:color="000000"/>
              <w:left w:val="single" w:sz="2" w:space="0" w:color="000000"/>
              <w:bottom w:val="single" w:sz="2" w:space="0" w:color="000000"/>
              <w:right w:val="single" w:sz="2" w:space="0" w:color="000000"/>
            </w:tcBorders>
          </w:tcPr>
          <w:p w14:paraId="3EAB73B7" w14:textId="3D2440AB"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CH</w:t>
            </w:r>
            <w:r w:rsidRPr="00AA2B36">
              <w:rPr>
                <w:rFonts w:asciiTheme="minorHAnsi" w:hAnsiTheme="minorHAnsi"/>
                <w:sz w:val="18"/>
                <w:szCs w:val="18"/>
                <w:vertAlign w:val="subscript"/>
              </w:rPr>
              <w:t>4</w:t>
            </w:r>
            <w:r w:rsidRPr="00AA2B36">
              <w:rPr>
                <w:rFonts w:asciiTheme="minorHAnsi" w:hAnsiTheme="minorHAnsi"/>
                <w:sz w:val="18"/>
                <w:szCs w:val="18"/>
              </w:rPr>
              <w:t xml:space="preserve"> avec UTCF </w:t>
            </w:r>
          </w:p>
        </w:tc>
        <w:tc>
          <w:tcPr>
            <w:tcW w:w="755" w:type="dxa"/>
            <w:tcBorders>
              <w:top w:val="single" w:sz="2" w:space="0" w:color="000000"/>
              <w:left w:val="single" w:sz="2" w:space="0" w:color="000000"/>
              <w:bottom w:val="single" w:sz="2" w:space="0" w:color="000000"/>
              <w:right w:val="single" w:sz="2" w:space="0" w:color="000000"/>
            </w:tcBorders>
            <w:vAlign w:val="center"/>
          </w:tcPr>
          <w:p w14:paraId="52831A95" w14:textId="584AABDD" w:rsidR="000046E5" w:rsidRPr="00AA2B36" w:rsidRDefault="000046E5" w:rsidP="000046E5">
            <w:pPr>
              <w:spacing w:line="259" w:lineRule="auto"/>
              <w:ind w:left="59"/>
              <w:jc w:val="center"/>
              <w:rPr>
                <w:rFonts w:asciiTheme="minorHAnsi" w:hAnsiTheme="minorHAnsi"/>
                <w:sz w:val="18"/>
                <w:szCs w:val="18"/>
              </w:rPr>
            </w:pPr>
            <w:r>
              <w:rPr>
                <w:sz w:val="18"/>
                <w:szCs w:val="18"/>
              </w:rPr>
              <w:t>70094</w:t>
            </w:r>
          </w:p>
        </w:tc>
        <w:tc>
          <w:tcPr>
            <w:tcW w:w="756" w:type="dxa"/>
            <w:tcBorders>
              <w:top w:val="single" w:sz="2" w:space="0" w:color="000000"/>
              <w:left w:val="single" w:sz="2" w:space="0" w:color="000000"/>
              <w:bottom w:val="single" w:sz="2" w:space="0" w:color="000000"/>
              <w:right w:val="single" w:sz="2" w:space="0" w:color="000000"/>
            </w:tcBorders>
            <w:vAlign w:val="center"/>
          </w:tcPr>
          <w:p w14:paraId="0A9F9D93" w14:textId="43B01D1E" w:rsidR="000046E5" w:rsidRPr="00AA2B36" w:rsidRDefault="000046E5" w:rsidP="000046E5">
            <w:pPr>
              <w:spacing w:line="259" w:lineRule="auto"/>
              <w:ind w:left="59"/>
              <w:jc w:val="center"/>
              <w:rPr>
                <w:rFonts w:asciiTheme="minorHAnsi" w:hAnsiTheme="minorHAnsi"/>
                <w:sz w:val="18"/>
                <w:szCs w:val="18"/>
              </w:rPr>
            </w:pPr>
            <w:r>
              <w:rPr>
                <w:sz w:val="18"/>
                <w:szCs w:val="18"/>
              </w:rPr>
              <w:t>74053</w:t>
            </w:r>
          </w:p>
        </w:tc>
        <w:tc>
          <w:tcPr>
            <w:tcW w:w="756" w:type="dxa"/>
            <w:tcBorders>
              <w:top w:val="single" w:sz="2" w:space="0" w:color="000000"/>
              <w:left w:val="single" w:sz="2" w:space="0" w:color="000000"/>
              <w:bottom w:val="single" w:sz="2" w:space="0" w:color="000000"/>
              <w:right w:val="single" w:sz="2" w:space="0" w:color="000000"/>
            </w:tcBorders>
            <w:vAlign w:val="center"/>
          </w:tcPr>
          <w:p w14:paraId="286CC2E8" w14:textId="5659EDF3" w:rsidR="000046E5" w:rsidRPr="00AA2B36" w:rsidRDefault="000046E5" w:rsidP="000046E5">
            <w:pPr>
              <w:spacing w:line="259" w:lineRule="auto"/>
              <w:ind w:left="59"/>
              <w:jc w:val="center"/>
              <w:rPr>
                <w:rFonts w:asciiTheme="minorHAnsi" w:hAnsiTheme="minorHAnsi"/>
                <w:sz w:val="18"/>
                <w:szCs w:val="18"/>
              </w:rPr>
            </w:pPr>
            <w:r>
              <w:rPr>
                <w:sz w:val="18"/>
                <w:szCs w:val="18"/>
              </w:rPr>
              <w:t>70296</w:t>
            </w:r>
          </w:p>
        </w:tc>
        <w:tc>
          <w:tcPr>
            <w:tcW w:w="756" w:type="dxa"/>
            <w:tcBorders>
              <w:top w:val="single" w:sz="2" w:space="0" w:color="000000"/>
              <w:left w:val="single" w:sz="2" w:space="0" w:color="000000"/>
              <w:bottom w:val="single" w:sz="2" w:space="0" w:color="000000"/>
              <w:right w:val="single" w:sz="2" w:space="0" w:color="000000"/>
            </w:tcBorders>
            <w:vAlign w:val="center"/>
          </w:tcPr>
          <w:p w14:paraId="6F7E0217" w14:textId="530A6C40" w:rsidR="000046E5" w:rsidRPr="00AA2B36" w:rsidRDefault="000046E5" w:rsidP="000046E5">
            <w:pPr>
              <w:spacing w:line="259" w:lineRule="auto"/>
              <w:ind w:left="59"/>
              <w:jc w:val="center"/>
              <w:rPr>
                <w:rFonts w:asciiTheme="minorHAnsi" w:hAnsiTheme="minorHAnsi"/>
                <w:sz w:val="18"/>
                <w:szCs w:val="18"/>
              </w:rPr>
            </w:pPr>
            <w:r>
              <w:rPr>
                <w:sz w:val="18"/>
                <w:szCs w:val="18"/>
              </w:rPr>
              <w:t>64820</w:t>
            </w:r>
          </w:p>
        </w:tc>
        <w:tc>
          <w:tcPr>
            <w:tcW w:w="755" w:type="dxa"/>
            <w:tcBorders>
              <w:top w:val="single" w:sz="2" w:space="0" w:color="000000"/>
              <w:left w:val="single" w:sz="2" w:space="0" w:color="000000"/>
              <w:bottom w:val="single" w:sz="2" w:space="0" w:color="000000"/>
              <w:right w:val="single" w:sz="2" w:space="0" w:color="000000"/>
            </w:tcBorders>
            <w:vAlign w:val="center"/>
          </w:tcPr>
          <w:p w14:paraId="502314F4" w14:textId="51E7BF72" w:rsidR="000046E5" w:rsidRPr="00AA2B36" w:rsidRDefault="000046E5" w:rsidP="000046E5">
            <w:pPr>
              <w:spacing w:line="259" w:lineRule="auto"/>
              <w:ind w:left="59"/>
              <w:jc w:val="center"/>
              <w:rPr>
                <w:rFonts w:asciiTheme="minorHAnsi" w:hAnsiTheme="minorHAnsi"/>
                <w:sz w:val="18"/>
                <w:szCs w:val="18"/>
              </w:rPr>
            </w:pPr>
            <w:r>
              <w:rPr>
                <w:sz w:val="18"/>
                <w:szCs w:val="18"/>
              </w:rPr>
              <w:t>62793</w:t>
            </w:r>
          </w:p>
        </w:tc>
        <w:tc>
          <w:tcPr>
            <w:tcW w:w="756" w:type="dxa"/>
            <w:tcBorders>
              <w:top w:val="single" w:sz="2" w:space="0" w:color="000000"/>
              <w:left w:val="single" w:sz="2" w:space="0" w:color="000000"/>
              <w:bottom w:val="single" w:sz="2" w:space="0" w:color="000000"/>
              <w:right w:val="single" w:sz="2" w:space="0" w:color="000000"/>
            </w:tcBorders>
            <w:vAlign w:val="center"/>
          </w:tcPr>
          <w:p w14:paraId="6CE7C45B" w14:textId="42A85D58" w:rsidR="000046E5" w:rsidRPr="00AA2B36" w:rsidRDefault="000046E5" w:rsidP="000046E5">
            <w:pPr>
              <w:spacing w:line="259" w:lineRule="auto"/>
              <w:ind w:left="59"/>
              <w:jc w:val="center"/>
              <w:rPr>
                <w:rFonts w:asciiTheme="minorHAnsi" w:hAnsiTheme="minorHAnsi"/>
                <w:sz w:val="18"/>
                <w:szCs w:val="18"/>
              </w:rPr>
            </w:pPr>
            <w:r>
              <w:rPr>
                <w:sz w:val="18"/>
                <w:szCs w:val="18"/>
              </w:rPr>
              <w:t>58940</w:t>
            </w:r>
          </w:p>
        </w:tc>
        <w:tc>
          <w:tcPr>
            <w:tcW w:w="756" w:type="dxa"/>
            <w:tcBorders>
              <w:top w:val="single" w:sz="2" w:space="0" w:color="000000"/>
              <w:left w:val="single" w:sz="2" w:space="0" w:color="000000"/>
              <w:bottom w:val="single" w:sz="2" w:space="0" w:color="000000"/>
              <w:right w:val="single" w:sz="2" w:space="0" w:color="000000"/>
            </w:tcBorders>
            <w:vAlign w:val="center"/>
          </w:tcPr>
          <w:p w14:paraId="1264D098" w14:textId="5011C625" w:rsidR="000046E5" w:rsidRPr="00AA2B36" w:rsidRDefault="000046E5" w:rsidP="000046E5">
            <w:pPr>
              <w:spacing w:line="259" w:lineRule="auto"/>
              <w:ind w:left="59"/>
              <w:jc w:val="center"/>
              <w:rPr>
                <w:rFonts w:asciiTheme="minorHAnsi" w:hAnsiTheme="minorHAnsi"/>
                <w:sz w:val="18"/>
                <w:szCs w:val="18"/>
              </w:rPr>
            </w:pPr>
            <w:r>
              <w:rPr>
                <w:sz w:val="18"/>
                <w:szCs w:val="18"/>
              </w:rPr>
              <w:t>56877</w:t>
            </w:r>
          </w:p>
        </w:tc>
        <w:tc>
          <w:tcPr>
            <w:tcW w:w="756" w:type="dxa"/>
            <w:tcBorders>
              <w:top w:val="single" w:sz="2" w:space="0" w:color="000000"/>
              <w:left w:val="single" w:sz="2" w:space="0" w:color="000000"/>
              <w:bottom w:val="single" w:sz="2" w:space="0" w:color="000000"/>
              <w:right w:val="single" w:sz="2" w:space="0" w:color="000000"/>
            </w:tcBorders>
            <w:vAlign w:val="center"/>
          </w:tcPr>
          <w:p w14:paraId="40A322AC" w14:textId="54EB56BA"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56289.0 </w:t>
            </w:r>
          </w:p>
        </w:tc>
        <w:tc>
          <w:tcPr>
            <w:tcW w:w="755" w:type="dxa"/>
            <w:tcBorders>
              <w:top w:val="single" w:sz="2" w:space="0" w:color="000000"/>
              <w:left w:val="single" w:sz="2" w:space="0" w:color="000000"/>
              <w:bottom w:val="single" w:sz="2" w:space="0" w:color="000000"/>
              <w:right w:val="single" w:sz="2" w:space="0" w:color="000000"/>
            </w:tcBorders>
            <w:vAlign w:val="center"/>
          </w:tcPr>
          <w:p w14:paraId="4D75F6F3" w14:textId="636AFCE1"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54702.2 </w:t>
            </w:r>
          </w:p>
        </w:tc>
        <w:tc>
          <w:tcPr>
            <w:tcW w:w="756" w:type="dxa"/>
            <w:tcBorders>
              <w:top w:val="single" w:sz="2" w:space="0" w:color="000000"/>
              <w:left w:val="single" w:sz="2" w:space="0" w:color="000000"/>
              <w:bottom w:val="single" w:sz="2" w:space="0" w:color="000000"/>
              <w:right w:val="single" w:sz="2" w:space="0" w:color="000000"/>
            </w:tcBorders>
            <w:vAlign w:val="center"/>
          </w:tcPr>
          <w:p w14:paraId="418FB9A5" w14:textId="1A741F61" w:rsidR="000046E5" w:rsidRPr="00AA2B36" w:rsidRDefault="000046E5" w:rsidP="000046E5">
            <w:pPr>
              <w:spacing w:line="259" w:lineRule="auto"/>
              <w:ind w:left="59"/>
              <w:jc w:val="center"/>
              <w:rPr>
                <w:rFonts w:asciiTheme="minorHAnsi" w:hAnsiTheme="minorHAnsi"/>
                <w:sz w:val="18"/>
                <w:szCs w:val="18"/>
              </w:rPr>
            </w:pPr>
            <w:bookmarkStart w:id="543" w:name="OLE_LINK31"/>
            <w:r w:rsidRPr="00364545">
              <w:rPr>
                <w:rFonts w:asciiTheme="minorHAnsi" w:hAnsiTheme="minorHAnsi"/>
                <w:sz w:val="18"/>
              </w:rPr>
              <w:t xml:space="preserve">53575.1 </w:t>
            </w:r>
            <w:bookmarkEnd w:id="543"/>
          </w:p>
        </w:tc>
        <w:tc>
          <w:tcPr>
            <w:tcW w:w="756" w:type="dxa"/>
            <w:tcBorders>
              <w:top w:val="single" w:sz="2" w:space="0" w:color="000000"/>
              <w:left w:val="single" w:sz="2" w:space="0" w:color="000000"/>
              <w:bottom w:val="single" w:sz="2" w:space="0" w:color="000000"/>
              <w:right w:val="single" w:sz="2" w:space="0" w:color="000000"/>
            </w:tcBorders>
            <w:vAlign w:val="center"/>
          </w:tcPr>
          <w:p w14:paraId="41D1C1F6" w14:textId="73E48555"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52845.5 </w:t>
            </w:r>
          </w:p>
        </w:tc>
        <w:tc>
          <w:tcPr>
            <w:tcW w:w="756" w:type="dxa"/>
            <w:tcBorders>
              <w:top w:val="single" w:sz="2" w:space="0" w:color="000000"/>
              <w:left w:val="single" w:sz="2" w:space="0" w:color="000000"/>
              <w:bottom w:val="single" w:sz="2" w:space="0" w:color="000000"/>
              <w:right w:val="single" w:sz="2" w:space="0" w:color="000000"/>
            </w:tcBorders>
            <w:vAlign w:val="center"/>
          </w:tcPr>
          <w:p w14:paraId="270ADE19" w14:textId="20DBF775"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52176.8 </w:t>
            </w:r>
          </w:p>
        </w:tc>
      </w:tr>
      <w:tr w:rsidR="000046E5" w14:paraId="40A6A1E0" w14:textId="77777777" w:rsidTr="00261D3D">
        <w:trPr>
          <w:trHeight w:val="342"/>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34D9E50E" w14:textId="094FBA98"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N</w:t>
            </w:r>
            <w:r w:rsidRPr="00AA2B36">
              <w:rPr>
                <w:rFonts w:asciiTheme="minorHAnsi" w:hAnsiTheme="minorHAnsi"/>
                <w:sz w:val="18"/>
                <w:szCs w:val="18"/>
                <w:vertAlign w:val="subscript"/>
              </w:rPr>
              <w:t>2</w:t>
            </w:r>
            <w:r w:rsidRPr="00AA2B36">
              <w:rPr>
                <w:rFonts w:asciiTheme="minorHAnsi" w:hAnsiTheme="minorHAnsi"/>
                <w:sz w:val="18"/>
                <w:szCs w:val="18"/>
              </w:rPr>
              <w:t xml:space="preserve">O hors UTCF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352367" w14:textId="31B0F46F" w:rsidR="000046E5" w:rsidRPr="00AA2B36" w:rsidRDefault="000046E5" w:rsidP="000046E5">
            <w:pPr>
              <w:spacing w:line="259" w:lineRule="auto"/>
              <w:ind w:left="59"/>
              <w:jc w:val="center"/>
              <w:rPr>
                <w:rFonts w:asciiTheme="minorHAnsi" w:hAnsiTheme="minorHAnsi"/>
                <w:sz w:val="18"/>
                <w:szCs w:val="18"/>
              </w:rPr>
            </w:pPr>
            <w:r>
              <w:rPr>
                <w:sz w:val="18"/>
                <w:szCs w:val="18"/>
              </w:rPr>
              <w:t>64725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9BEDAC" w14:textId="6C9E1140" w:rsidR="000046E5" w:rsidRPr="00AA2B36" w:rsidRDefault="000046E5" w:rsidP="000046E5">
            <w:pPr>
              <w:spacing w:line="259" w:lineRule="auto"/>
              <w:ind w:left="59"/>
              <w:jc w:val="center"/>
              <w:rPr>
                <w:rFonts w:asciiTheme="minorHAnsi" w:hAnsiTheme="minorHAnsi"/>
                <w:sz w:val="18"/>
                <w:szCs w:val="18"/>
              </w:rPr>
            </w:pPr>
            <w:r>
              <w:rPr>
                <w:sz w:val="18"/>
                <w:szCs w:val="18"/>
              </w:rPr>
              <w:t>65937</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F9D5B8" w14:textId="0708B6AB" w:rsidR="000046E5" w:rsidRPr="00AA2B36" w:rsidRDefault="000046E5" w:rsidP="000046E5">
            <w:pPr>
              <w:spacing w:line="259" w:lineRule="auto"/>
              <w:ind w:left="59"/>
              <w:jc w:val="center"/>
              <w:rPr>
                <w:rFonts w:asciiTheme="minorHAnsi" w:hAnsiTheme="minorHAnsi"/>
                <w:sz w:val="18"/>
                <w:szCs w:val="18"/>
              </w:rPr>
            </w:pPr>
            <w:r>
              <w:rPr>
                <w:sz w:val="18"/>
                <w:szCs w:val="18"/>
              </w:rPr>
              <w:t>53681</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88E5CF" w14:textId="74547FAE" w:rsidR="000046E5" w:rsidRPr="00AA2B36" w:rsidRDefault="000046E5" w:rsidP="000046E5">
            <w:pPr>
              <w:spacing w:line="259" w:lineRule="auto"/>
              <w:ind w:left="59"/>
              <w:jc w:val="center"/>
              <w:rPr>
                <w:rFonts w:asciiTheme="minorHAnsi" w:hAnsiTheme="minorHAnsi"/>
                <w:sz w:val="18"/>
                <w:szCs w:val="18"/>
              </w:rPr>
            </w:pPr>
            <w:r>
              <w:rPr>
                <w:sz w:val="18"/>
                <w:szCs w:val="18"/>
              </w:rPr>
              <w:t>46307</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E51AAE" w14:textId="68B333F0" w:rsidR="000046E5" w:rsidRPr="00AA2B36" w:rsidRDefault="000046E5" w:rsidP="000046E5">
            <w:pPr>
              <w:spacing w:line="259" w:lineRule="auto"/>
              <w:ind w:left="59"/>
              <w:jc w:val="center"/>
              <w:rPr>
                <w:rFonts w:asciiTheme="minorHAnsi" w:hAnsiTheme="minorHAnsi"/>
                <w:sz w:val="18"/>
                <w:szCs w:val="18"/>
              </w:rPr>
            </w:pPr>
            <w:r>
              <w:rPr>
                <w:sz w:val="18"/>
                <w:szCs w:val="18"/>
              </w:rPr>
              <w:t>40478</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3D4EF0" w14:textId="3DDC7699" w:rsidR="000046E5" w:rsidRPr="00AA2B36" w:rsidRDefault="000046E5" w:rsidP="000046E5">
            <w:pPr>
              <w:spacing w:line="259" w:lineRule="auto"/>
              <w:ind w:left="59"/>
              <w:jc w:val="center"/>
              <w:rPr>
                <w:rFonts w:asciiTheme="minorHAnsi" w:hAnsiTheme="minorHAnsi"/>
                <w:sz w:val="18"/>
                <w:szCs w:val="18"/>
              </w:rPr>
            </w:pPr>
            <w:r>
              <w:rPr>
                <w:sz w:val="18"/>
                <w:szCs w:val="18"/>
              </w:rPr>
              <w:t>39895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0A4333" w14:textId="4DBEA173" w:rsidR="000046E5" w:rsidRPr="00AA2B36" w:rsidRDefault="000046E5" w:rsidP="000046E5">
            <w:pPr>
              <w:spacing w:line="259" w:lineRule="auto"/>
              <w:ind w:left="59"/>
              <w:jc w:val="center"/>
              <w:rPr>
                <w:rFonts w:asciiTheme="minorHAnsi" w:hAnsiTheme="minorHAnsi"/>
                <w:sz w:val="18"/>
                <w:szCs w:val="18"/>
              </w:rPr>
            </w:pPr>
            <w:r>
              <w:rPr>
                <w:sz w:val="18"/>
                <w:szCs w:val="18"/>
              </w:rPr>
              <w:t>38071</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C0D897" w14:textId="254498C3"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38446.9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41E342" w14:textId="53A53E77"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37839.2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B842F9" w14:textId="055A3BF8"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36921.5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EE4F28" w14:textId="71BB394F"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36417.5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5F7F62" w14:textId="36928FF3"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35003.5 </w:t>
            </w:r>
          </w:p>
        </w:tc>
      </w:tr>
      <w:tr w:rsidR="000046E5" w14:paraId="7FB89019" w14:textId="77777777" w:rsidTr="00261D3D">
        <w:trPr>
          <w:trHeight w:val="347"/>
        </w:trPr>
        <w:tc>
          <w:tcPr>
            <w:tcW w:w="868" w:type="dxa"/>
            <w:tcBorders>
              <w:top w:val="single" w:sz="2" w:space="0" w:color="000000"/>
              <w:left w:val="single" w:sz="2" w:space="0" w:color="000000"/>
              <w:bottom w:val="single" w:sz="2" w:space="0" w:color="000000"/>
              <w:right w:val="single" w:sz="2" w:space="0" w:color="000000"/>
            </w:tcBorders>
          </w:tcPr>
          <w:p w14:paraId="539CEEF5" w14:textId="304B2C1E"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N</w:t>
            </w:r>
            <w:r w:rsidRPr="00AA2B36">
              <w:rPr>
                <w:rFonts w:asciiTheme="minorHAnsi" w:hAnsiTheme="minorHAnsi"/>
                <w:sz w:val="18"/>
                <w:szCs w:val="18"/>
                <w:vertAlign w:val="subscript"/>
              </w:rPr>
              <w:t>2</w:t>
            </w:r>
            <w:r w:rsidRPr="00AA2B36">
              <w:rPr>
                <w:rFonts w:asciiTheme="minorHAnsi" w:hAnsiTheme="minorHAnsi"/>
                <w:sz w:val="18"/>
                <w:szCs w:val="18"/>
              </w:rPr>
              <w:t xml:space="preserve">O avec UTCF </w:t>
            </w:r>
          </w:p>
        </w:tc>
        <w:tc>
          <w:tcPr>
            <w:tcW w:w="755" w:type="dxa"/>
            <w:tcBorders>
              <w:top w:val="single" w:sz="2" w:space="0" w:color="000000"/>
              <w:left w:val="single" w:sz="2" w:space="0" w:color="000000"/>
              <w:bottom w:val="single" w:sz="2" w:space="0" w:color="000000"/>
              <w:right w:val="single" w:sz="2" w:space="0" w:color="000000"/>
            </w:tcBorders>
            <w:vAlign w:val="center"/>
          </w:tcPr>
          <w:p w14:paraId="46880C03" w14:textId="2FA927AF" w:rsidR="000046E5" w:rsidRPr="00AA2B36" w:rsidRDefault="000046E5" w:rsidP="000046E5">
            <w:pPr>
              <w:spacing w:line="259" w:lineRule="auto"/>
              <w:ind w:left="59"/>
              <w:jc w:val="center"/>
              <w:rPr>
                <w:rFonts w:asciiTheme="minorHAnsi" w:hAnsiTheme="minorHAnsi"/>
                <w:sz w:val="18"/>
                <w:szCs w:val="18"/>
              </w:rPr>
            </w:pPr>
            <w:r>
              <w:rPr>
                <w:sz w:val="18"/>
                <w:szCs w:val="18"/>
              </w:rPr>
              <w:t>67951</w:t>
            </w:r>
          </w:p>
        </w:tc>
        <w:tc>
          <w:tcPr>
            <w:tcW w:w="756" w:type="dxa"/>
            <w:tcBorders>
              <w:top w:val="single" w:sz="2" w:space="0" w:color="000000"/>
              <w:left w:val="single" w:sz="2" w:space="0" w:color="000000"/>
              <w:bottom w:val="single" w:sz="2" w:space="0" w:color="000000"/>
              <w:right w:val="single" w:sz="2" w:space="0" w:color="000000"/>
            </w:tcBorders>
            <w:vAlign w:val="center"/>
          </w:tcPr>
          <w:p w14:paraId="6C41B537" w14:textId="07642637" w:rsidR="000046E5" w:rsidRPr="00AA2B36" w:rsidRDefault="000046E5" w:rsidP="000046E5">
            <w:pPr>
              <w:spacing w:line="259" w:lineRule="auto"/>
              <w:ind w:left="59"/>
              <w:jc w:val="center"/>
              <w:rPr>
                <w:rFonts w:asciiTheme="minorHAnsi" w:hAnsiTheme="minorHAnsi"/>
                <w:sz w:val="18"/>
                <w:szCs w:val="18"/>
              </w:rPr>
            </w:pPr>
            <w:r>
              <w:rPr>
                <w:sz w:val="18"/>
                <w:szCs w:val="18"/>
              </w:rPr>
              <w:t>69183</w:t>
            </w:r>
          </w:p>
        </w:tc>
        <w:tc>
          <w:tcPr>
            <w:tcW w:w="756" w:type="dxa"/>
            <w:tcBorders>
              <w:top w:val="single" w:sz="2" w:space="0" w:color="000000"/>
              <w:left w:val="single" w:sz="2" w:space="0" w:color="000000"/>
              <w:bottom w:val="single" w:sz="2" w:space="0" w:color="000000"/>
              <w:right w:val="single" w:sz="2" w:space="0" w:color="000000"/>
            </w:tcBorders>
            <w:vAlign w:val="center"/>
          </w:tcPr>
          <w:p w14:paraId="2FD1EEED" w14:textId="281AC3F4" w:rsidR="000046E5" w:rsidRPr="00AA2B36" w:rsidRDefault="000046E5" w:rsidP="000046E5">
            <w:pPr>
              <w:spacing w:line="259" w:lineRule="auto"/>
              <w:ind w:left="59"/>
              <w:jc w:val="center"/>
              <w:rPr>
                <w:rFonts w:asciiTheme="minorHAnsi" w:hAnsiTheme="minorHAnsi"/>
                <w:sz w:val="18"/>
                <w:szCs w:val="18"/>
              </w:rPr>
            </w:pPr>
            <w:r>
              <w:rPr>
                <w:sz w:val="18"/>
                <w:szCs w:val="18"/>
              </w:rPr>
              <w:t>56873</w:t>
            </w:r>
          </w:p>
        </w:tc>
        <w:tc>
          <w:tcPr>
            <w:tcW w:w="756" w:type="dxa"/>
            <w:tcBorders>
              <w:top w:val="single" w:sz="2" w:space="0" w:color="000000"/>
              <w:left w:val="single" w:sz="2" w:space="0" w:color="000000"/>
              <w:bottom w:val="single" w:sz="2" w:space="0" w:color="000000"/>
              <w:right w:val="single" w:sz="2" w:space="0" w:color="000000"/>
            </w:tcBorders>
            <w:vAlign w:val="center"/>
          </w:tcPr>
          <w:p w14:paraId="23C7BBF6" w14:textId="25DC356B" w:rsidR="000046E5" w:rsidRPr="00AA2B36" w:rsidRDefault="000046E5" w:rsidP="000046E5">
            <w:pPr>
              <w:spacing w:line="259" w:lineRule="auto"/>
              <w:ind w:left="59"/>
              <w:jc w:val="center"/>
              <w:rPr>
                <w:rFonts w:asciiTheme="minorHAnsi" w:hAnsiTheme="minorHAnsi"/>
                <w:sz w:val="18"/>
                <w:szCs w:val="18"/>
              </w:rPr>
            </w:pPr>
            <w:r>
              <w:rPr>
                <w:sz w:val="18"/>
                <w:szCs w:val="18"/>
              </w:rPr>
              <w:t>49279</w:t>
            </w:r>
          </w:p>
        </w:tc>
        <w:tc>
          <w:tcPr>
            <w:tcW w:w="755" w:type="dxa"/>
            <w:tcBorders>
              <w:top w:val="single" w:sz="2" w:space="0" w:color="000000"/>
              <w:left w:val="single" w:sz="2" w:space="0" w:color="000000"/>
              <w:bottom w:val="single" w:sz="2" w:space="0" w:color="000000"/>
              <w:right w:val="single" w:sz="2" w:space="0" w:color="000000"/>
            </w:tcBorders>
            <w:vAlign w:val="center"/>
          </w:tcPr>
          <w:p w14:paraId="4082993E" w14:textId="0BFA122E" w:rsidR="000046E5" w:rsidRPr="00AA2B36" w:rsidRDefault="000046E5" w:rsidP="000046E5">
            <w:pPr>
              <w:spacing w:line="259" w:lineRule="auto"/>
              <w:ind w:left="59"/>
              <w:jc w:val="center"/>
              <w:rPr>
                <w:rFonts w:asciiTheme="minorHAnsi" w:hAnsiTheme="minorHAnsi"/>
                <w:sz w:val="18"/>
                <w:szCs w:val="18"/>
              </w:rPr>
            </w:pPr>
            <w:r>
              <w:rPr>
                <w:sz w:val="18"/>
                <w:szCs w:val="18"/>
              </w:rPr>
              <w:t>43694</w:t>
            </w:r>
          </w:p>
        </w:tc>
        <w:tc>
          <w:tcPr>
            <w:tcW w:w="756" w:type="dxa"/>
            <w:tcBorders>
              <w:top w:val="single" w:sz="2" w:space="0" w:color="000000"/>
              <w:left w:val="single" w:sz="2" w:space="0" w:color="000000"/>
              <w:bottom w:val="single" w:sz="2" w:space="0" w:color="000000"/>
              <w:right w:val="single" w:sz="2" w:space="0" w:color="000000"/>
            </w:tcBorders>
            <w:vAlign w:val="center"/>
          </w:tcPr>
          <w:p w14:paraId="6D3DC74C" w14:textId="13982D0E" w:rsidR="000046E5" w:rsidRPr="00AA2B36" w:rsidRDefault="000046E5" w:rsidP="000046E5">
            <w:pPr>
              <w:spacing w:line="259" w:lineRule="auto"/>
              <w:ind w:left="59"/>
              <w:jc w:val="center"/>
              <w:rPr>
                <w:rFonts w:asciiTheme="minorHAnsi" w:hAnsiTheme="minorHAnsi"/>
                <w:sz w:val="18"/>
                <w:szCs w:val="18"/>
              </w:rPr>
            </w:pPr>
            <w:r>
              <w:rPr>
                <w:sz w:val="18"/>
                <w:szCs w:val="18"/>
              </w:rPr>
              <w:t>42840</w:t>
            </w:r>
          </w:p>
        </w:tc>
        <w:tc>
          <w:tcPr>
            <w:tcW w:w="756" w:type="dxa"/>
            <w:tcBorders>
              <w:top w:val="single" w:sz="2" w:space="0" w:color="000000"/>
              <w:left w:val="single" w:sz="2" w:space="0" w:color="000000"/>
              <w:bottom w:val="single" w:sz="2" w:space="0" w:color="000000"/>
              <w:right w:val="single" w:sz="2" w:space="0" w:color="000000"/>
            </w:tcBorders>
            <w:vAlign w:val="center"/>
          </w:tcPr>
          <w:p w14:paraId="76139E66" w14:textId="50052A5B" w:rsidR="000046E5" w:rsidRPr="00AA2B36" w:rsidRDefault="000046E5" w:rsidP="000046E5">
            <w:pPr>
              <w:spacing w:line="259" w:lineRule="auto"/>
              <w:ind w:left="59"/>
              <w:jc w:val="center"/>
              <w:rPr>
                <w:rFonts w:asciiTheme="minorHAnsi" w:hAnsiTheme="minorHAnsi"/>
                <w:sz w:val="18"/>
                <w:szCs w:val="18"/>
              </w:rPr>
            </w:pPr>
            <w:r>
              <w:rPr>
                <w:sz w:val="18"/>
                <w:szCs w:val="18"/>
              </w:rPr>
              <w:t>40939</w:t>
            </w:r>
          </w:p>
        </w:tc>
        <w:tc>
          <w:tcPr>
            <w:tcW w:w="756" w:type="dxa"/>
            <w:tcBorders>
              <w:top w:val="single" w:sz="2" w:space="0" w:color="000000"/>
              <w:left w:val="single" w:sz="2" w:space="0" w:color="000000"/>
              <w:bottom w:val="single" w:sz="2" w:space="0" w:color="000000"/>
              <w:right w:val="single" w:sz="2" w:space="0" w:color="000000"/>
            </w:tcBorders>
            <w:vAlign w:val="center"/>
          </w:tcPr>
          <w:p w14:paraId="69B0AF8E" w14:textId="7136CEB4"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41566.3 </w:t>
            </w:r>
          </w:p>
        </w:tc>
        <w:tc>
          <w:tcPr>
            <w:tcW w:w="755" w:type="dxa"/>
            <w:tcBorders>
              <w:top w:val="single" w:sz="2" w:space="0" w:color="000000"/>
              <w:left w:val="single" w:sz="2" w:space="0" w:color="000000"/>
              <w:bottom w:val="single" w:sz="2" w:space="0" w:color="000000"/>
              <w:right w:val="single" w:sz="2" w:space="0" w:color="000000"/>
            </w:tcBorders>
            <w:vAlign w:val="center"/>
          </w:tcPr>
          <w:p w14:paraId="3A4BC835" w14:textId="5EA4D3F0"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40958.6 </w:t>
            </w:r>
          </w:p>
        </w:tc>
        <w:tc>
          <w:tcPr>
            <w:tcW w:w="756" w:type="dxa"/>
            <w:tcBorders>
              <w:top w:val="single" w:sz="2" w:space="0" w:color="000000"/>
              <w:left w:val="single" w:sz="2" w:space="0" w:color="000000"/>
              <w:bottom w:val="single" w:sz="2" w:space="0" w:color="000000"/>
              <w:right w:val="single" w:sz="2" w:space="0" w:color="000000"/>
            </w:tcBorders>
            <w:vAlign w:val="center"/>
          </w:tcPr>
          <w:p w14:paraId="084C6922" w14:textId="74638476"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40040.9 </w:t>
            </w:r>
          </w:p>
        </w:tc>
        <w:tc>
          <w:tcPr>
            <w:tcW w:w="756" w:type="dxa"/>
            <w:tcBorders>
              <w:top w:val="single" w:sz="2" w:space="0" w:color="000000"/>
              <w:left w:val="single" w:sz="2" w:space="0" w:color="000000"/>
              <w:bottom w:val="single" w:sz="2" w:space="0" w:color="000000"/>
              <w:right w:val="single" w:sz="2" w:space="0" w:color="000000"/>
            </w:tcBorders>
            <w:vAlign w:val="center"/>
          </w:tcPr>
          <w:p w14:paraId="7669E297" w14:textId="28DDA0C0"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39537.0 </w:t>
            </w:r>
          </w:p>
        </w:tc>
        <w:tc>
          <w:tcPr>
            <w:tcW w:w="756" w:type="dxa"/>
            <w:tcBorders>
              <w:top w:val="single" w:sz="2" w:space="0" w:color="000000"/>
              <w:left w:val="single" w:sz="2" w:space="0" w:color="000000"/>
              <w:bottom w:val="single" w:sz="2" w:space="0" w:color="000000"/>
              <w:right w:val="single" w:sz="2" w:space="0" w:color="000000"/>
            </w:tcBorders>
            <w:vAlign w:val="center"/>
          </w:tcPr>
          <w:p w14:paraId="57269F42" w14:textId="596C9F38"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38123.0 </w:t>
            </w:r>
          </w:p>
        </w:tc>
      </w:tr>
      <w:tr w:rsidR="000046E5" w14:paraId="6A45622A" w14:textId="77777777" w:rsidTr="00261D3D">
        <w:trPr>
          <w:trHeight w:val="344"/>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667D0937" w14:textId="77777777"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 xml:space="preserve">HFCs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D75FD1" w14:textId="37250D66" w:rsidR="000046E5" w:rsidRPr="00AA2B36" w:rsidRDefault="000046E5" w:rsidP="000046E5">
            <w:pPr>
              <w:spacing w:line="259" w:lineRule="auto"/>
              <w:ind w:left="59"/>
              <w:rPr>
                <w:rFonts w:asciiTheme="minorHAnsi" w:hAnsiTheme="minorHAnsi"/>
                <w:sz w:val="18"/>
                <w:szCs w:val="18"/>
              </w:rPr>
            </w:pPr>
            <w:r>
              <w:rPr>
                <w:sz w:val="18"/>
                <w:szCs w:val="18"/>
              </w:rPr>
              <w:t>4402</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83B0CA" w14:textId="237FC4AB" w:rsidR="000046E5" w:rsidRPr="00AA2B36" w:rsidRDefault="000046E5" w:rsidP="000046E5">
            <w:pPr>
              <w:spacing w:line="259" w:lineRule="auto"/>
              <w:ind w:left="59"/>
              <w:jc w:val="center"/>
              <w:rPr>
                <w:rFonts w:asciiTheme="minorHAnsi" w:hAnsiTheme="minorHAnsi"/>
                <w:sz w:val="18"/>
                <w:szCs w:val="18"/>
              </w:rPr>
            </w:pPr>
            <w:r>
              <w:rPr>
                <w:sz w:val="18"/>
                <w:szCs w:val="18"/>
              </w:rPr>
              <w:t>1702</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220362" w14:textId="77A899F4" w:rsidR="000046E5" w:rsidRPr="00AA2B36" w:rsidRDefault="000046E5" w:rsidP="000046E5">
            <w:pPr>
              <w:spacing w:line="259" w:lineRule="auto"/>
              <w:ind w:left="59"/>
              <w:jc w:val="center"/>
              <w:rPr>
                <w:rFonts w:asciiTheme="minorHAnsi" w:hAnsiTheme="minorHAnsi"/>
                <w:sz w:val="18"/>
                <w:szCs w:val="18"/>
              </w:rPr>
            </w:pPr>
            <w:r>
              <w:rPr>
                <w:sz w:val="18"/>
                <w:szCs w:val="18"/>
              </w:rPr>
              <w:t>6736</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E8A3CF" w14:textId="1A270A92" w:rsidR="000046E5" w:rsidRPr="00AA2B36" w:rsidRDefault="000046E5" w:rsidP="000046E5">
            <w:pPr>
              <w:spacing w:line="259" w:lineRule="auto"/>
              <w:ind w:left="59"/>
              <w:jc w:val="center"/>
              <w:rPr>
                <w:rFonts w:asciiTheme="minorHAnsi" w:hAnsiTheme="minorHAnsi"/>
                <w:sz w:val="18"/>
                <w:szCs w:val="18"/>
              </w:rPr>
            </w:pPr>
            <w:r>
              <w:rPr>
                <w:sz w:val="18"/>
                <w:szCs w:val="18"/>
              </w:rPr>
              <w:t>12862</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E13AE8" w14:textId="66CD504A" w:rsidR="000046E5" w:rsidRPr="00AA2B36" w:rsidRDefault="000046E5" w:rsidP="000046E5">
            <w:pPr>
              <w:spacing w:line="259" w:lineRule="auto"/>
              <w:ind w:left="59"/>
              <w:jc w:val="center"/>
              <w:rPr>
                <w:rFonts w:asciiTheme="minorHAnsi" w:hAnsiTheme="minorHAnsi"/>
                <w:sz w:val="18"/>
                <w:szCs w:val="18"/>
              </w:rPr>
            </w:pPr>
            <w:r>
              <w:rPr>
                <w:sz w:val="18"/>
                <w:szCs w:val="18"/>
              </w:rPr>
              <w:t>16930</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9D8FC1" w14:textId="6D8E0B22" w:rsidR="000046E5" w:rsidRPr="00AA2B36" w:rsidRDefault="000046E5" w:rsidP="000046E5">
            <w:pPr>
              <w:spacing w:line="259" w:lineRule="auto"/>
              <w:ind w:left="59"/>
              <w:jc w:val="center"/>
              <w:rPr>
                <w:rFonts w:asciiTheme="minorHAnsi" w:hAnsiTheme="minorHAnsi"/>
                <w:sz w:val="18"/>
                <w:szCs w:val="18"/>
              </w:rPr>
            </w:pPr>
            <w:r>
              <w:rPr>
                <w:sz w:val="18"/>
                <w:szCs w:val="18"/>
              </w:rPr>
              <w:t>17494</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A09ECD" w14:textId="7D4E18E6" w:rsidR="000046E5" w:rsidRPr="00AA2B36" w:rsidRDefault="000046E5" w:rsidP="000046E5">
            <w:pPr>
              <w:spacing w:line="259" w:lineRule="auto"/>
              <w:ind w:left="59"/>
              <w:jc w:val="center"/>
              <w:rPr>
                <w:rFonts w:asciiTheme="minorHAnsi" w:hAnsiTheme="minorHAnsi"/>
                <w:sz w:val="18"/>
                <w:szCs w:val="18"/>
              </w:rPr>
            </w:pPr>
            <w:r>
              <w:rPr>
                <w:sz w:val="18"/>
                <w:szCs w:val="18"/>
              </w:rPr>
              <w:t>12992</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F90772" w14:textId="381E3201"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12721.1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9F8C9D" w14:textId="79713357"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7816.6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E2219A" w14:textId="06CB8ECA"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5052.7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2FDE1F" w14:textId="4A318A5D"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3427.2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69288B" w14:textId="6995E75A"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1830.7 </w:t>
            </w:r>
          </w:p>
        </w:tc>
      </w:tr>
      <w:tr w:rsidR="000046E5" w14:paraId="0351E2CF" w14:textId="77777777" w:rsidTr="00261D3D">
        <w:trPr>
          <w:trHeight w:val="347"/>
        </w:trPr>
        <w:tc>
          <w:tcPr>
            <w:tcW w:w="868" w:type="dxa"/>
            <w:tcBorders>
              <w:top w:val="single" w:sz="2" w:space="0" w:color="000000"/>
              <w:left w:val="single" w:sz="2" w:space="0" w:color="000000"/>
              <w:bottom w:val="single" w:sz="2" w:space="0" w:color="000000"/>
              <w:right w:val="single" w:sz="2" w:space="0" w:color="000000"/>
            </w:tcBorders>
          </w:tcPr>
          <w:p w14:paraId="02D3E743" w14:textId="77777777"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 xml:space="preserve">PFCs </w:t>
            </w:r>
          </w:p>
        </w:tc>
        <w:tc>
          <w:tcPr>
            <w:tcW w:w="755" w:type="dxa"/>
            <w:tcBorders>
              <w:top w:val="single" w:sz="2" w:space="0" w:color="000000"/>
              <w:left w:val="single" w:sz="2" w:space="0" w:color="000000"/>
              <w:bottom w:val="single" w:sz="2" w:space="0" w:color="000000"/>
              <w:right w:val="single" w:sz="2" w:space="0" w:color="000000"/>
            </w:tcBorders>
            <w:vAlign w:val="center"/>
          </w:tcPr>
          <w:p w14:paraId="165BAE70" w14:textId="36D9522B" w:rsidR="000046E5" w:rsidRPr="00AA2B36" w:rsidRDefault="000046E5" w:rsidP="000046E5">
            <w:pPr>
              <w:spacing w:line="259" w:lineRule="auto"/>
              <w:ind w:left="59"/>
              <w:jc w:val="center"/>
              <w:rPr>
                <w:rFonts w:asciiTheme="minorHAnsi" w:hAnsiTheme="minorHAnsi"/>
                <w:sz w:val="18"/>
                <w:szCs w:val="18"/>
              </w:rPr>
            </w:pPr>
            <w:r>
              <w:rPr>
                <w:sz w:val="18"/>
                <w:szCs w:val="18"/>
              </w:rPr>
              <w:t>5202</w:t>
            </w:r>
          </w:p>
        </w:tc>
        <w:tc>
          <w:tcPr>
            <w:tcW w:w="756" w:type="dxa"/>
            <w:tcBorders>
              <w:top w:val="single" w:sz="2" w:space="0" w:color="000000"/>
              <w:left w:val="single" w:sz="2" w:space="0" w:color="000000"/>
              <w:bottom w:val="single" w:sz="2" w:space="0" w:color="000000"/>
              <w:right w:val="single" w:sz="2" w:space="0" w:color="000000"/>
            </w:tcBorders>
            <w:vAlign w:val="center"/>
          </w:tcPr>
          <w:p w14:paraId="563FC1E6" w14:textId="4A3219BB" w:rsidR="000046E5" w:rsidRPr="00AA2B36" w:rsidRDefault="000046E5" w:rsidP="000046E5">
            <w:pPr>
              <w:spacing w:line="259" w:lineRule="auto"/>
              <w:ind w:left="59"/>
              <w:jc w:val="center"/>
              <w:rPr>
                <w:rFonts w:asciiTheme="minorHAnsi" w:hAnsiTheme="minorHAnsi"/>
                <w:sz w:val="18"/>
                <w:szCs w:val="18"/>
              </w:rPr>
            </w:pPr>
            <w:r w:rsidRPr="00634E4C">
              <w:rPr>
                <w:sz w:val="18"/>
              </w:rPr>
              <w:t>3065</w:t>
            </w:r>
          </w:p>
        </w:tc>
        <w:tc>
          <w:tcPr>
            <w:tcW w:w="756" w:type="dxa"/>
            <w:tcBorders>
              <w:top w:val="single" w:sz="2" w:space="0" w:color="000000"/>
              <w:left w:val="single" w:sz="2" w:space="0" w:color="000000"/>
              <w:bottom w:val="single" w:sz="2" w:space="0" w:color="000000"/>
              <w:right w:val="single" w:sz="2" w:space="0" w:color="000000"/>
            </w:tcBorders>
            <w:vAlign w:val="center"/>
          </w:tcPr>
          <w:p w14:paraId="66FE82C6" w14:textId="7F11FA2A" w:rsidR="000046E5" w:rsidRPr="00AA2B36" w:rsidRDefault="000046E5" w:rsidP="000046E5">
            <w:pPr>
              <w:spacing w:line="259" w:lineRule="auto"/>
              <w:ind w:left="59"/>
              <w:jc w:val="center"/>
              <w:rPr>
                <w:rFonts w:asciiTheme="minorHAnsi" w:hAnsiTheme="minorHAnsi"/>
                <w:sz w:val="18"/>
                <w:szCs w:val="18"/>
              </w:rPr>
            </w:pPr>
            <w:r w:rsidRPr="00634E4C">
              <w:rPr>
                <w:sz w:val="18"/>
              </w:rPr>
              <w:t>2997</w:t>
            </w:r>
          </w:p>
        </w:tc>
        <w:tc>
          <w:tcPr>
            <w:tcW w:w="756" w:type="dxa"/>
            <w:tcBorders>
              <w:top w:val="single" w:sz="2" w:space="0" w:color="000000"/>
              <w:left w:val="single" w:sz="2" w:space="0" w:color="000000"/>
              <w:bottom w:val="single" w:sz="2" w:space="0" w:color="000000"/>
              <w:right w:val="single" w:sz="2" w:space="0" w:color="000000"/>
            </w:tcBorders>
            <w:vAlign w:val="center"/>
          </w:tcPr>
          <w:p w14:paraId="4CEBC730" w14:textId="6FB7184A" w:rsidR="000046E5" w:rsidRPr="00AA2B36" w:rsidRDefault="000046E5" w:rsidP="000046E5">
            <w:pPr>
              <w:spacing w:line="259" w:lineRule="auto"/>
              <w:ind w:left="59"/>
              <w:jc w:val="center"/>
              <w:rPr>
                <w:rFonts w:asciiTheme="minorHAnsi" w:hAnsiTheme="minorHAnsi"/>
                <w:sz w:val="18"/>
                <w:szCs w:val="18"/>
              </w:rPr>
            </w:pPr>
            <w:r w:rsidRPr="00634E4C">
              <w:rPr>
                <w:sz w:val="18"/>
              </w:rPr>
              <w:t>1760</w:t>
            </w:r>
          </w:p>
        </w:tc>
        <w:tc>
          <w:tcPr>
            <w:tcW w:w="755" w:type="dxa"/>
            <w:tcBorders>
              <w:top w:val="single" w:sz="2" w:space="0" w:color="000000"/>
              <w:left w:val="single" w:sz="2" w:space="0" w:color="000000"/>
              <w:bottom w:val="single" w:sz="2" w:space="0" w:color="000000"/>
              <w:right w:val="single" w:sz="2" w:space="0" w:color="000000"/>
            </w:tcBorders>
            <w:vAlign w:val="center"/>
          </w:tcPr>
          <w:p w14:paraId="0C454D70" w14:textId="5E2BB29C" w:rsidR="000046E5" w:rsidRPr="00AA2B36" w:rsidRDefault="000046E5" w:rsidP="000046E5">
            <w:pPr>
              <w:spacing w:line="259" w:lineRule="auto"/>
              <w:ind w:left="59"/>
              <w:jc w:val="center"/>
              <w:rPr>
                <w:rFonts w:asciiTheme="minorHAnsi" w:hAnsiTheme="minorHAnsi"/>
                <w:sz w:val="18"/>
                <w:szCs w:val="18"/>
              </w:rPr>
            </w:pPr>
            <w:r w:rsidRPr="00634E4C">
              <w:rPr>
                <w:sz w:val="18"/>
              </w:rPr>
              <w:t>617</w:t>
            </w:r>
          </w:p>
        </w:tc>
        <w:tc>
          <w:tcPr>
            <w:tcW w:w="756" w:type="dxa"/>
            <w:tcBorders>
              <w:top w:val="single" w:sz="2" w:space="0" w:color="000000"/>
              <w:left w:val="single" w:sz="2" w:space="0" w:color="000000"/>
              <w:bottom w:val="single" w:sz="2" w:space="0" w:color="000000"/>
              <w:right w:val="single" w:sz="2" w:space="0" w:color="000000"/>
            </w:tcBorders>
            <w:vAlign w:val="center"/>
          </w:tcPr>
          <w:p w14:paraId="59B882B9" w14:textId="4D7001E2" w:rsidR="000046E5" w:rsidRPr="00AA2B36" w:rsidRDefault="000046E5" w:rsidP="000046E5">
            <w:pPr>
              <w:spacing w:line="259" w:lineRule="auto"/>
              <w:ind w:left="59"/>
              <w:jc w:val="center"/>
              <w:rPr>
                <w:rFonts w:asciiTheme="minorHAnsi" w:hAnsiTheme="minorHAnsi"/>
                <w:sz w:val="18"/>
                <w:szCs w:val="18"/>
              </w:rPr>
            </w:pPr>
            <w:r w:rsidRPr="00634E4C">
              <w:rPr>
                <w:sz w:val="18"/>
              </w:rPr>
              <w:t>537</w:t>
            </w:r>
          </w:p>
        </w:tc>
        <w:tc>
          <w:tcPr>
            <w:tcW w:w="756" w:type="dxa"/>
            <w:tcBorders>
              <w:top w:val="single" w:sz="2" w:space="0" w:color="000000"/>
              <w:left w:val="single" w:sz="2" w:space="0" w:color="000000"/>
              <w:bottom w:val="single" w:sz="2" w:space="0" w:color="000000"/>
              <w:right w:val="single" w:sz="2" w:space="0" w:color="000000"/>
            </w:tcBorders>
            <w:vAlign w:val="center"/>
          </w:tcPr>
          <w:p w14:paraId="167BE686" w14:textId="5D051491" w:rsidR="000046E5" w:rsidRPr="00AA2B36" w:rsidRDefault="000046E5" w:rsidP="000046E5">
            <w:pPr>
              <w:spacing w:line="259" w:lineRule="auto"/>
              <w:ind w:left="59"/>
              <w:jc w:val="center"/>
              <w:rPr>
                <w:rFonts w:asciiTheme="minorHAnsi" w:hAnsiTheme="minorHAnsi"/>
                <w:sz w:val="18"/>
                <w:szCs w:val="18"/>
              </w:rPr>
            </w:pPr>
            <w:r>
              <w:rPr>
                <w:sz w:val="18"/>
                <w:szCs w:val="18"/>
              </w:rPr>
              <w:t>615</w:t>
            </w:r>
          </w:p>
        </w:tc>
        <w:tc>
          <w:tcPr>
            <w:tcW w:w="756" w:type="dxa"/>
            <w:tcBorders>
              <w:top w:val="single" w:sz="2" w:space="0" w:color="000000"/>
              <w:left w:val="single" w:sz="2" w:space="0" w:color="000000"/>
              <w:bottom w:val="single" w:sz="2" w:space="0" w:color="000000"/>
              <w:right w:val="single" w:sz="2" w:space="0" w:color="000000"/>
            </w:tcBorders>
            <w:vAlign w:val="center"/>
          </w:tcPr>
          <w:p w14:paraId="2A476B10" w14:textId="26F2D3DF"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462.9 </w:t>
            </w:r>
          </w:p>
        </w:tc>
        <w:tc>
          <w:tcPr>
            <w:tcW w:w="755" w:type="dxa"/>
            <w:tcBorders>
              <w:top w:val="single" w:sz="2" w:space="0" w:color="000000"/>
              <w:left w:val="single" w:sz="2" w:space="0" w:color="000000"/>
              <w:bottom w:val="single" w:sz="2" w:space="0" w:color="000000"/>
              <w:right w:val="single" w:sz="2" w:space="0" w:color="000000"/>
            </w:tcBorders>
            <w:vAlign w:val="center"/>
          </w:tcPr>
          <w:p w14:paraId="10E30A20" w14:textId="4CB6D9A5"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290.7 </w:t>
            </w:r>
          </w:p>
        </w:tc>
        <w:tc>
          <w:tcPr>
            <w:tcW w:w="756" w:type="dxa"/>
            <w:tcBorders>
              <w:top w:val="single" w:sz="2" w:space="0" w:color="000000"/>
              <w:left w:val="single" w:sz="2" w:space="0" w:color="000000"/>
              <w:bottom w:val="single" w:sz="2" w:space="0" w:color="000000"/>
              <w:right w:val="single" w:sz="2" w:space="0" w:color="000000"/>
            </w:tcBorders>
            <w:vAlign w:val="center"/>
          </w:tcPr>
          <w:p w14:paraId="710821C6" w14:textId="1DC85B4C"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217.7 </w:t>
            </w:r>
          </w:p>
        </w:tc>
        <w:tc>
          <w:tcPr>
            <w:tcW w:w="756" w:type="dxa"/>
            <w:tcBorders>
              <w:top w:val="single" w:sz="2" w:space="0" w:color="000000"/>
              <w:left w:val="single" w:sz="2" w:space="0" w:color="000000"/>
              <w:bottom w:val="single" w:sz="2" w:space="0" w:color="000000"/>
              <w:right w:val="single" w:sz="2" w:space="0" w:color="000000"/>
            </w:tcBorders>
            <w:vAlign w:val="center"/>
          </w:tcPr>
          <w:p w14:paraId="600492F4" w14:textId="2A63299C"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156.5 </w:t>
            </w:r>
          </w:p>
        </w:tc>
        <w:tc>
          <w:tcPr>
            <w:tcW w:w="756" w:type="dxa"/>
            <w:tcBorders>
              <w:top w:val="single" w:sz="2" w:space="0" w:color="000000"/>
              <w:left w:val="single" w:sz="2" w:space="0" w:color="000000"/>
              <w:bottom w:val="single" w:sz="2" w:space="0" w:color="000000"/>
              <w:right w:val="single" w:sz="2" w:space="0" w:color="000000"/>
            </w:tcBorders>
            <w:vAlign w:val="center"/>
          </w:tcPr>
          <w:p w14:paraId="2A867561" w14:textId="39400596"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130.9 </w:t>
            </w:r>
          </w:p>
        </w:tc>
      </w:tr>
      <w:tr w:rsidR="000046E5" w14:paraId="48661B70" w14:textId="77777777" w:rsidTr="00261D3D">
        <w:trPr>
          <w:trHeight w:val="342"/>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7776C722" w14:textId="63D6C950"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SF</w:t>
            </w:r>
            <w:r w:rsidRPr="00AA2B36">
              <w:rPr>
                <w:rFonts w:asciiTheme="minorHAnsi" w:hAnsiTheme="minorHAnsi"/>
                <w:sz w:val="18"/>
                <w:szCs w:val="18"/>
                <w:vertAlign w:val="subscript"/>
              </w:rPr>
              <w:t>6</w:t>
            </w:r>
            <w:r w:rsidRPr="00AA2B36">
              <w:rPr>
                <w:rFonts w:asciiTheme="minorHAnsi" w:hAnsiTheme="minorHAnsi"/>
                <w:sz w:val="18"/>
                <w:szCs w:val="18"/>
              </w:rPr>
              <w:t xml:space="preserve">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C25C71" w14:textId="68232302" w:rsidR="000046E5" w:rsidRPr="00AA2B36" w:rsidRDefault="000046E5" w:rsidP="000046E5">
            <w:pPr>
              <w:spacing w:line="259" w:lineRule="auto"/>
              <w:ind w:left="59"/>
              <w:jc w:val="center"/>
              <w:rPr>
                <w:rFonts w:asciiTheme="minorHAnsi" w:hAnsiTheme="minorHAnsi"/>
                <w:sz w:val="18"/>
                <w:szCs w:val="18"/>
              </w:rPr>
            </w:pPr>
            <w:r>
              <w:rPr>
                <w:sz w:val="18"/>
                <w:szCs w:val="18"/>
              </w:rPr>
              <w:t>2155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6113A0" w14:textId="2702E390" w:rsidR="000046E5" w:rsidRPr="00AA2B36" w:rsidRDefault="000046E5" w:rsidP="000046E5">
            <w:pPr>
              <w:spacing w:line="259" w:lineRule="auto"/>
              <w:ind w:left="59"/>
              <w:jc w:val="center"/>
              <w:rPr>
                <w:rFonts w:asciiTheme="minorHAnsi" w:hAnsiTheme="minorHAnsi"/>
                <w:sz w:val="18"/>
                <w:szCs w:val="18"/>
              </w:rPr>
            </w:pPr>
            <w:r w:rsidRPr="00634E4C">
              <w:rPr>
                <w:sz w:val="18"/>
              </w:rPr>
              <w:t>2467</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3A99EC" w14:textId="34E0CB01" w:rsidR="000046E5" w:rsidRPr="00AA2B36" w:rsidRDefault="000046E5" w:rsidP="000046E5">
            <w:pPr>
              <w:spacing w:line="259" w:lineRule="auto"/>
              <w:ind w:left="59"/>
              <w:jc w:val="center"/>
              <w:rPr>
                <w:rFonts w:asciiTheme="minorHAnsi" w:hAnsiTheme="minorHAnsi"/>
                <w:sz w:val="18"/>
                <w:szCs w:val="18"/>
              </w:rPr>
            </w:pPr>
            <w:r w:rsidRPr="00634E4C">
              <w:rPr>
                <w:sz w:val="18"/>
              </w:rPr>
              <w:t>2180</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2FC070" w14:textId="2ED8A7FA" w:rsidR="000046E5" w:rsidRPr="00AA2B36" w:rsidRDefault="000046E5" w:rsidP="000046E5">
            <w:pPr>
              <w:spacing w:line="259" w:lineRule="auto"/>
              <w:ind w:left="59"/>
              <w:jc w:val="center"/>
              <w:rPr>
                <w:rFonts w:asciiTheme="minorHAnsi" w:hAnsiTheme="minorHAnsi"/>
                <w:sz w:val="18"/>
                <w:szCs w:val="18"/>
              </w:rPr>
            </w:pPr>
            <w:r w:rsidRPr="00634E4C">
              <w:rPr>
                <w:sz w:val="18"/>
              </w:rPr>
              <w:t>1355</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F64A06" w14:textId="48B0E7A7" w:rsidR="000046E5" w:rsidRPr="00AA2B36" w:rsidRDefault="000046E5" w:rsidP="000046E5">
            <w:pPr>
              <w:spacing w:line="259" w:lineRule="auto"/>
              <w:ind w:left="59"/>
              <w:jc w:val="center"/>
              <w:rPr>
                <w:rFonts w:asciiTheme="minorHAnsi" w:hAnsiTheme="minorHAnsi"/>
                <w:sz w:val="18"/>
                <w:szCs w:val="18"/>
              </w:rPr>
            </w:pPr>
            <w:r w:rsidRPr="00634E4C">
              <w:rPr>
                <w:sz w:val="18"/>
              </w:rPr>
              <w:t>875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82B102" w14:textId="45B3D699" w:rsidR="000046E5" w:rsidRPr="00AA2B36" w:rsidRDefault="000046E5" w:rsidP="000046E5">
            <w:pPr>
              <w:spacing w:line="259" w:lineRule="auto"/>
              <w:ind w:left="59"/>
              <w:jc w:val="center"/>
              <w:rPr>
                <w:rFonts w:asciiTheme="minorHAnsi" w:hAnsiTheme="minorHAnsi"/>
                <w:sz w:val="18"/>
                <w:szCs w:val="18"/>
              </w:rPr>
            </w:pPr>
            <w:r w:rsidRPr="00634E4C">
              <w:rPr>
                <w:sz w:val="18"/>
              </w:rPr>
              <w:t>498</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CD519F" w14:textId="1F3C78C3" w:rsidR="000046E5" w:rsidRPr="00AA2B36" w:rsidRDefault="000046E5" w:rsidP="000046E5">
            <w:pPr>
              <w:spacing w:line="259" w:lineRule="auto"/>
              <w:ind w:left="59"/>
              <w:jc w:val="center"/>
              <w:rPr>
                <w:rFonts w:asciiTheme="minorHAnsi" w:hAnsiTheme="minorHAnsi"/>
                <w:sz w:val="18"/>
                <w:szCs w:val="18"/>
              </w:rPr>
            </w:pPr>
            <w:r>
              <w:rPr>
                <w:sz w:val="18"/>
                <w:szCs w:val="18"/>
              </w:rPr>
              <w:t>385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C12DEE" w14:textId="6DF187C3"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387.4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0BF640" w14:textId="65F22326"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358.1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F2D995" w14:textId="153B4472"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359.2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91E4EC" w14:textId="1DBD8283"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360.2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0809A0" w14:textId="0A449ECE"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363.0 </w:t>
            </w:r>
          </w:p>
        </w:tc>
      </w:tr>
      <w:tr w:rsidR="000046E5" w14:paraId="39F43FB0" w14:textId="77777777" w:rsidTr="00261D3D">
        <w:trPr>
          <w:trHeight w:val="347"/>
        </w:trPr>
        <w:tc>
          <w:tcPr>
            <w:tcW w:w="868" w:type="dxa"/>
            <w:tcBorders>
              <w:top w:val="single" w:sz="2" w:space="0" w:color="000000"/>
              <w:left w:val="single" w:sz="2" w:space="0" w:color="000000"/>
              <w:bottom w:val="single" w:sz="2" w:space="0" w:color="000000"/>
              <w:right w:val="single" w:sz="2" w:space="0" w:color="000000"/>
            </w:tcBorders>
          </w:tcPr>
          <w:p w14:paraId="10376923" w14:textId="20315E0A" w:rsidR="000046E5" w:rsidRPr="00AA2B36" w:rsidRDefault="000046E5" w:rsidP="000046E5">
            <w:pPr>
              <w:spacing w:line="259" w:lineRule="auto"/>
              <w:rPr>
                <w:rFonts w:asciiTheme="minorHAnsi" w:hAnsiTheme="minorHAnsi"/>
                <w:sz w:val="18"/>
                <w:szCs w:val="18"/>
              </w:rPr>
            </w:pPr>
            <w:r w:rsidRPr="00AA2B36">
              <w:rPr>
                <w:rFonts w:asciiTheme="minorHAnsi" w:hAnsiTheme="minorHAnsi"/>
                <w:sz w:val="18"/>
                <w:szCs w:val="18"/>
              </w:rPr>
              <w:t>NF</w:t>
            </w:r>
            <w:r w:rsidRPr="00AA2B36">
              <w:rPr>
                <w:rFonts w:asciiTheme="minorHAnsi" w:hAnsiTheme="minorHAnsi"/>
                <w:sz w:val="18"/>
                <w:szCs w:val="18"/>
                <w:vertAlign w:val="subscript"/>
              </w:rPr>
              <w:t>3</w:t>
            </w:r>
            <w:r w:rsidRPr="00AA2B36">
              <w:rPr>
                <w:rFonts w:asciiTheme="minorHAnsi" w:hAnsiTheme="minorHAnsi"/>
                <w:sz w:val="18"/>
                <w:szCs w:val="18"/>
              </w:rPr>
              <w:t xml:space="preserve"> </w:t>
            </w:r>
          </w:p>
        </w:tc>
        <w:tc>
          <w:tcPr>
            <w:tcW w:w="755" w:type="dxa"/>
            <w:tcBorders>
              <w:top w:val="single" w:sz="2" w:space="0" w:color="000000"/>
              <w:left w:val="single" w:sz="2" w:space="0" w:color="000000"/>
              <w:bottom w:val="single" w:sz="2" w:space="0" w:color="000000"/>
              <w:right w:val="single" w:sz="2" w:space="0" w:color="000000"/>
            </w:tcBorders>
            <w:vAlign w:val="center"/>
          </w:tcPr>
          <w:p w14:paraId="38C92833" w14:textId="058CF5B1" w:rsidR="000046E5" w:rsidRPr="00AA2B36" w:rsidRDefault="000046E5" w:rsidP="000046E5">
            <w:pPr>
              <w:spacing w:line="259" w:lineRule="auto"/>
              <w:ind w:left="59"/>
              <w:jc w:val="center"/>
              <w:rPr>
                <w:rFonts w:asciiTheme="minorHAnsi" w:hAnsiTheme="minorHAnsi"/>
                <w:sz w:val="18"/>
                <w:szCs w:val="18"/>
              </w:rPr>
            </w:pPr>
            <w:r w:rsidRPr="00634E4C">
              <w:rPr>
                <w:sz w:val="18"/>
              </w:rPr>
              <w:t>16</w:t>
            </w:r>
          </w:p>
        </w:tc>
        <w:tc>
          <w:tcPr>
            <w:tcW w:w="756" w:type="dxa"/>
            <w:tcBorders>
              <w:top w:val="single" w:sz="2" w:space="0" w:color="000000"/>
              <w:left w:val="single" w:sz="2" w:space="0" w:color="000000"/>
              <w:bottom w:val="single" w:sz="2" w:space="0" w:color="000000"/>
              <w:right w:val="single" w:sz="2" w:space="0" w:color="000000"/>
            </w:tcBorders>
            <w:vAlign w:val="center"/>
          </w:tcPr>
          <w:p w14:paraId="1818071E" w14:textId="0BBA4B44" w:rsidR="000046E5" w:rsidRPr="00AA2B36" w:rsidRDefault="000046E5" w:rsidP="000046E5">
            <w:pPr>
              <w:spacing w:line="259" w:lineRule="auto"/>
              <w:ind w:left="59"/>
              <w:jc w:val="center"/>
              <w:rPr>
                <w:rFonts w:asciiTheme="minorHAnsi" w:hAnsiTheme="minorHAnsi"/>
                <w:sz w:val="18"/>
                <w:szCs w:val="18"/>
              </w:rPr>
            </w:pPr>
            <w:r>
              <w:rPr>
                <w:sz w:val="18"/>
                <w:szCs w:val="18"/>
              </w:rPr>
              <w:t>6</w:t>
            </w:r>
          </w:p>
        </w:tc>
        <w:tc>
          <w:tcPr>
            <w:tcW w:w="756" w:type="dxa"/>
            <w:tcBorders>
              <w:top w:val="single" w:sz="2" w:space="0" w:color="000000"/>
              <w:left w:val="single" w:sz="2" w:space="0" w:color="000000"/>
              <w:bottom w:val="single" w:sz="2" w:space="0" w:color="000000"/>
              <w:right w:val="single" w:sz="2" w:space="0" w:color="000000"/>
            </w:tcBorders>
            <w:vAlign w:val="center"/>
          </w:tcPr>
          <w:p w14:paraId="6CD5D486" w14:textId="04E61984" w:rsidR="000046E5" w:rsidRPr="00AA2B36" w:rsidRDefault="000046E5" w:rsidP="000046E5">
            <w:pPr>
              <w:spacing w:line="259" w:lineRule="auto"/>
              <w:ind w:left="59"/>
              <w:jc w:val="center"/>
              <w:rPr>
                <w:rFonts w:asciiTheme="minorHAnsi" w:hAnsiTheme="minorHAnsi"/>
                <w:sz w:val="18"/>
                <w:szCs w:val="18"/>
              </w:rPr>
            </w:pPr>
            <w:r w:rsidRPr="00634E4C">
              <w:rPr>
                <w:sz w:val="18"/>
              </w:rPr>
              <w:t>20</w:t>
            </w:r>
          </w:p>
        </w:tc>
        <w:tc>
          <w:tcPr>
            <w:tcW w:w="756" w:type="dxa"/>
            <w:tcBorders>
              <w:top w:val="single" w:sz="2" w:space="0" w:color="000000"/>
              <w:left w:val="single" w:sz="2" w:space="0" w:color="000000"/>
              <w:bottom w:val="single" w:sz="2" w:space="0" w:color="000000"/>
              <w:right w:val="single" w:sz="2" w:space="0" w:color="000000"/>
            </w:tcBorders>
            <w:vAlign w:val="center"/>
          </w:tcPr>
          <w:p w14:paraId="62471595" w14:textId="0A6D9E12" w:rsidR="000046E5" w:rsidRPr="00AA2B36" w:rsidRDefault="000046E5" w:rsidP="000046E5">
            <w:pPr>
              <w:spacing w:line="259" w:lineRule="auto"/>
              <w:ind w:left="59"/>
              <w:jc w:val="center"/>
              <w:rPr>
                <w:rFonts w:asciiTheme="minorHAnsi" w:hAnsiTheme="minorHAnsi"/>
                <w:sz w:val="18"/>
                <w:szCs w:val="18"/>
              </w:rPr>
            </w:pPr>
            <w:r w:rsidRPr="00634E4C">
              <w:rPr>
                <w:sz w:val="18"/>
              </w:rPr>
              <w:t>31</w:t>
            </w:r>
          </w:p>
        </w:tc>
        <w:tc>
          <w:tcPr>
            <w:tcW w:w="755" w:type="dxa"/>
            <w:tcBorders>
              <w:top w:val="single" w:sz="2" w:space="0" w:color="000000"/>
              <w:left w:val="single" w:sz="2" w:space="0" w:color="000000"/>
              <w:bottom w:val="single" w:sz="2" w:space="0" w:color="000000"/>
              <w:right w:val="single" w:sz="2" w:space="0" w:color="000000"/>
            </w:tcBorders>
            <w:vAlign w:val="center"/>
          </w:tcPr>
          <w:p w14:paraId="5C13ED8A" w14:textId="2A55C619" w:rsidR="000046E5" w:rsidRPr="00AA2B36" w:rsidRDefault="000046E5" w:rsidP="000046E5">
            <w:pPr>
              <w:spacing w:line="259" w:lineRule="auto"/>
              <w:ind w:left="59"/>
              <w:jc w:val="center"/>
              <w:rPr>
                <w:rFonts w:asciiTheme="minorHAnsi" w:hAnsiTheme="minorHAnsi"/>
                <w:sz w:val="18"/>
                <w:szCs w:val="18"/>
              </w:rPr>
            </w:pPr>
            <w:r w:rsidRPr="00634E4C">
              <w:rPr>
                <w:sz w:val="18"/>
              </w:rPr>
              <w:t>32</w:t>
            </w:r>
          </w:p>
        </w:tc>
        <w:tc>
          <w:tcPr>
            <w:tcW w:w="756" w:type="dxa"/>
            <w:tcBorders>
              <w:top w:val="single" w:sz="2" w:space="0" w:color="000000"/>
              <w:left w:val="single" w:sz="2" w:space="0" w:color="000000"/>
              <w:bottom w:val="single" w:sz="2" w:space="0" w:color="000000"/>
              <w:right w:val="single" w:sz="2" w:space="0" w:color="000000"/>
            </w:tcBorders>
            <w:vAlign w:val="center"/>
          </w:tcPr>
          <w:p w14:paraId="038C9D01" w14:textId="379D7158" w:rsidR="000046E5" w:rsidRPr="00AA2B36" w:rsidRDefault="000046E5" w:rsidP="000046E5">
            <w:pPr>
              <w:spacing w:line="259" w:lineRule="auto"/>
              <w:ind w:left="59"/>
              <w:jc w:val="center"/>
              <w:rPr>
                <w:rFonts w:asciiTheme="minorHAnsi" w:hAnsiTheme="minorHAnsi"/>
                <w:sz w:val="18"/>
                <w:szCs w:val="18"/>
              </w:rPr>
            </w:pPr>
            <w:r>
              <w:rPr>
                <w:sz w:val="18"/>
                <w:szCs w:val="18"/>
              </w:rPr>
              <w:t>6</w:t>
            </w:r>
          </w:p>
        </w:tc>
        <w:tc>
          <w:tcPr>
            <w:tcW w:w="756" w:type="dxa"/>
            <w:tcBorders>
              <w:top w:val="single" w:sz="2" w:space="0" w:color="000000"/>
              <w:left w:val="single" w:sz="2" w:space="0" w:color="000000"/>
              <w:bottom w:val="single" w:sz="2" w:space="0" w:color="000000"/>
              <w:right w:val="single" w:sz="2" w:space="0" w:color="000000"/>
            </w:tcBorders>
            <w:vAlign w:val="center"/>
          </w:tcPr>
          <w:p w14:paraId="446FE8FC" w14:textId="2E1202A7" w:rsidR="000046E5" w:rsidRPr="00AA2B36" w:rsidRDefault="000046E5" w:rsidP="000046E5">
            <w:pPr>
              <w:spacing w:line="259" w:lineRule="auto"/>
              <w:ind w:left="59"/>
              <w:jc w:val="center"/>
              <w:rPr>
                <w:rFonts w:asciiTheme="minorHAnsi" w:hAnsiTheme="minorHAnsi"/>
                <w:sz w:val="18"/>
                <w:szCs w:val="18"/>
              </w:rPr>
            </w:pPr>
            <w:r w:rsidRPr="00634E4C">
              <w:rPr>
                <w:sz w:val="18"/>
              </w:rPr>
              <w:t>10</w:t>
            </w:r>
          </w:p>
        </w:tc>
        <w:tc>
          <w:tcPr>
            <w:tcW w:w="756" w:type="dxa"/>
            <w:tcBorders>
              <w:top w:val="single" w:sz="2" w:space="0" w:color="000000"/>
              <w:left w:val="single" w:sz="2" w:space="0" w:color="000000"/>
              <w:bottom w:val="single" w:sz="2" w:space="0" w:color="000000"/>
              <w:right w:val="single" w:sz="2" w:space="0" w:color="000000"/>
            </w:tcBorders>
            <w:vAlign w:val="center"/>
          </w:tcPr>
          <w:p w14:paraId="1449D92D" w14:textId="03FC97AA"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9.4 </w:t>
            </w:r>
          </w:p>
        </w:tc>
        <w:tc>
          <w:tcPr>
            <w:tcW w:w="755" w:type="dxa"/>
            <w:tcBorders>
              <w:top w:val="single" w:sz="2" w:space="0" w:color="000000"/>
              <w:left w:val="single" w:sz="2" w:space="0" w:color="000000"/>
              <w:bottom w:val="single" w:sz="2" w:space="0" w:color="000000"/>
              <w:right w:val="single" w:sz="2" w:space="0" w:color="000000"/>
            </w:tcBorders>
            <w:vAlign w:val="center"/>
          </w:tcPr>
          <w:p w14:paraId="701D4DB7" w14:textId="0C5303D1"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56" w:type="dxa"/>
            <w:tcBorders>
              <w:top w:val="single" w:sz="2" w:space="0" w:color="000000"/>
              <w:left w:val="single" w:sz="2" w:space="0" w:color="000000"/>
              <w:bottom w:val="single" w:sz="2" w:space="0" w:color="000000"/>
              <w:right w:val="single" w:sz="2" w:space="0" w:color="000000"/>
            </w:tcBorders>
            <w:vAlign w:val="center"/>
          </w:tcPr>
          <w:p w14:paraId="2F3B526D" w14:textId="67C61F19"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56" w:type="dxa"/>
            <w:tcBorders>
              <w:top w:val="single" w:sz="2" w:space="0" w:color="000000"/>
              <w:left w:val="single" w:sz="2" w:space="0" w:color="000000"/>
              <w:bottom w:val="single" w:sz="2" w:space="0" w:color="000000"/>
              <w:right w:val="single" w:sz="2" w:space="0" w:color="000000"/>
            </w:tcBorders>
            <w:vAlign w:val="center"/>
          </w:tcPr>
          <w:p w14:paraId="11D5FDA3" w14:textId="36A3E86F"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10.4 </w:t>
            </w:r>
          </w:p>
        </w:tc>
        <w:tc>
          <w:tcPr>
            <w:tcW w:w="756" w:type="dxa"/>
            <w:tcBorders>
              <w:top w:val="single" w:sz="2" w:space="0" w:color="000000"/>
              <w:left w:val="single" w:sz="2" w:space="0" w:color="000000"/>
              <w:bottom w:val="single" w:sz="2" w:space="0" w:color="000000"/>
              <w:right w:val="single" w:sz="2" w:space="0" w:color="000000"/>
            </w:tcBorders>
            <w:vAlign w:val="center"/>
          </w:tcPr>
          <w:p w14:paraId="5970081E" w14:textId="4918C8CF" w:rsidR="000046E5" w:rsidRPr="00AA2B36" w:rsidRDefault="000046E5" w:rsidP="000046E5">
            <w:pPr>
              <w:spacing w:line="259" w:lineRule="auto"/>
              <w:ind w:left="59"/>
              <w:jc w:val="center"/>
              <w:rPr>
                <w:rFonts w:asciiTheme="minorHAnsi" w:hAnsiTheme="minorHAnsi"/>
                <w:sz w:val="18"/>
                <w:szCs w:val="18"/>
              </w:rPr>
            </w:pPr>
            <w:r w:rsidRPr="00364545">
              <w:rPr>
                <w:rFonts w:asciiTheme="minorHAnsi" w:hAnsiTheme="minorHAnsi"/>
                <w:sz w:val="18"/>
              </w:rPr>
              <w:t xml:space="preserve">10.5 </w:t>
            </w:r>
          </w:p>
        </w:tc>
      </w:tr>
      <w:tr w:rsidR="000046E5" w14:paraId="68AC9810" w14:textId="77777777" w:rsidTr="00261D3D">
        <w:trPr>
          <w:trHeight w:val="344"/>
        </w:trPr>
        <w:tc>
          <w:tcPr>
            <w:tcW w:w="868" w:type="dxa"/>
            <w:tcBorders>
              <w:top w:val="single" w:sz="2" w:space="0" w:color="000000"/>
              <w:left w:val="single" w:sz="2" w:space="0" w:color="000000"/>
              <w:bottom w:val="single" w:sz="2" w:space="0" w:color="000000"/>
              <w:right w:val="single" w:sz="2" w:space="0" w:color="000000"/>
            </w:tcBorders>
            <w:shd w:val="clear" w:color="auto" w:fill="ECE6E2"/>
          </w:tcPr>
          <w:p w14:paraId="6A3C2624" w14:textId="77777777" w:rsidR="000046E5" w:rsidRPr="00AA2B36" w:rsidRDefault="000046E5" w:rsidP="000046E5">
            <w:pPr>
              <w:spacing w:line="259" w:lineRule="auto"/>
              <w:rPr>
                <w:rFonts w:asciiTheme="minorHAnsi" w:hAnsiTheme="minorHAnsi"/>
                <w:b/>
                <w:sz w:val="18"/>
                <w:szCs w:val="18"/>
              </w:rPr>
            </w:pPr>
            <w:r w:rsidRPr="00AA2B36">
              <w:rPr>
                <w:rFonts w:asciiTheme="minorHAnsi" w:hAnsiTheme="minorHAnsi"/>
                <w:b/>
                <w:sz w:val="18"/>
                <w:szCs w:val="18"/>
              </w:rPr>
              <w:t xml:space="preserve">Ensemble (hors UTCF)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901FCD" w14:textId="56DC88E9"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544086</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20C474" w14:textId="657D3912"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536476</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1D6CD6" w14:textId="10034CFF"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549005</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E50749" w14:textId="69AD83DD"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551391</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55688A" w14:textId="40A89C16" w:rsidR="000046E5" w:rsidRPr="00AA2B36" w:rsidRDefault="000046E5" w:rsidP="000046E5">
            <w:pPr>
              <w:spacing w:line="259" w:lineRule="auto"/>
              <w:ind w:left="64"/>
              <w:jc w:val="center"/>
              <w:rPr>
                <w:rFonts w:asciiTheme="minorHAnsi" w:hAnsiTheme="minorHAnsi"/>
                <w:b/>
                <w:sz w:val="18"/>
                <w:szCs w:val="18"/>
              </w:rPr>
            </w:pPr>
            <w:r w:rsidRPr="00664108">
              <w:rPr>
                <w:b/>
                <w:sz w:val="18"/>
                <w:szCs w:val="18"/>
              </w:rPr>
              <w:t>507468</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985B11" w14:textId="1F78D9ED"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457924</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EA41FE" w14:textId="7A4D1C15"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434540</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F26432" w14:textId="7B3B3A4D"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398676 </w:t>
            </w:r>
          </w:p>
        </w:tc>
        <w:tc>
          <w:tcPr>
            <w:tcW w:w="75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FAB179" w14:textId="2A3892BC"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392095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0774A99" w14:textId="57620C63"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367049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7588AD" w14:textId="678226DA"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354446 </w:t>
            </w:r>
          </w:p>
        </w:tc>
        <w:tc>
          <w:tcPr>
            <w:tcW w:w="75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093E6C" w14:textId="071960D3"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329653 </w:t>
            </w:r>
          </w:p>
        </w:tc>
      </w:tr>
      <w:tr w:rsidR="000046E5" w14:paraId="3FC6B21C" w14:textId="77777777" w:rsidTr="00261D3D">
        <w:trPr>
          <w:trHeight w:val="346"/>
        </w:trPr>
        <w:tc>
          <w:tcPr>
            <w:tcW w:w="868" w:type="dxa"/>
            <w:tcBorders>
              <w:top w:val="single" w:sz="2" w:space="0" w:color="000000"/>
              <w:left w:val="single" w:sz="2" w:space="0" w:color="000000"/>
              <w:bottom w:val="single" w:sz="2" w:space="0" w:color="000000"/>
              <w:right w:val="single" w:sz="2" w:space="0" w:color="000000"/>
            </w:tcBorders>
          </w:tcPr>
          <w:p w14:paraId="40528E0E" w14:textId="77777777" w:rsidR="000046E5" w:rsidRPr="00AA2B36" w:rsidRDefault="000046E5" w:rsidP="000046E5">
            <w:pPr>
              <w:spacing w:line="259" w:lineRule="auto"/>
              <w:rPr>
                <w:rFonts w:asciiTheme="minorHAnsi" w:hAnsiTheme="minorHAnsi"/>
                <w:b/>
                <w:sz w:val="18"/>
                <w:szCs w:val="18"/>
              </w:rPr>
            </w:pPr>
            <w:r w:rsidRPr="00AA2B36">
              <w:rPr>
                <w:rFonts w:asciiTheme="minorHAnsi" w:hAnsiTheme="minorHAnsi"/>
                <w:b/>
                <w:sz w:val="18"/>
                <w:szCs w:val="18"/>
              </w:rPr>
              <w:t xml:space="preserve">Ensemble (avec UTCF) </w:t>
            </w:r>
          </w:p>
        </w:tc>
        <w:tc>
          <w:tcPr>
            <w:tcW w:w="755" w:type="dxa"/>
            <w:tcBorders>
              <w:top w:val="single" w:sz="2" w:space="0" w:color="000000"/>
              <w:left w:val="single" w:sz="2" w:space="0" w:color="000000"/>
              <w:bottom w:val="single" w:sz="2" w:space="0" w:color="000000"/>
              <w:right w:val="single" w:sz="2" w:space="0" w:color="000000"/>
            </w:tcBorders>
            <w:vAlign w:val="center"/>
          </w:tcPr>
          <w:p w14:paraId="3A208CAC" w14:textId="73A43A25"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520100</w:t>
            </w:r>
          </w:p>
        </w:tc>
        <w:tc>
          <w:tcPr>
            <w:tcW w:w="756" w:type="dxa"/>
            <w:tcBorders>
              <w:top w:val="single" w:sz="2" w:space="0" w:color="000000"/>
              <w:left w:val="single" w:sz="2" w:space="0" w:color="000000"/>
              <w:bottom w:val="single" w:sz="2" w:space="0" w:color="000000"/>
              <w:right w:val="single" w:sz="2" w:space="0" w:color="000000"/>
            </w:tcBorders>
            <w:vAlign w:val="center"/>
          </w:tcPr>
          <w:p w14:paraId="0DC1774E" w14:textId="7E577FD2"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511596</w:t>
            </w:r>
          </w:p>
        </w:tc>
        <w:tc>
          <w:tcPr>
            <w:tcW w:w="756" w:type="dxa"/>
            <w:tcBorders>
              <w:top w:val="single" w:sz="2" w:space="0" w:color="000000"/>
              <w:left w:val="single" w:sz="2" w:space="0" w:color="000000"/>
              <w:bottom w:val="single" w:sz="2" w:space="0" w:color="000000"/>
              <w:right w:val="single" w:sz="2" w:space="0" w:color="000000"/>
            </w:tcBorders>
            <w:vAlign w:val="center"/>
          </w:tcPr>
          <w:p w14:paraId="520AB67D" w14:textId="7DCF8828"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529296</w:t>
            </w:r>
          </w:p>
        </w:tc>
        <w:tc>
          <w:tcPr>
            <w:tcW w:w="756" w:type="dxa"/>
            <w:tcBorders>
              <w:top w:val="single" w:sz="2" w:space="0" w:color="000000"/>
              <w:left w:val="single" w:sz="2" w:space="0" w:color="000000"/>
              <w:bottom w:val="single" w:sz="2" w:space="0" w:color="000000"/>
              <w:right w:val="single" w:sz="2" w:space="0" w:color="000000"/>
            </w:tcBorders>
            <w:vAlign w:val="center"/>
          </w:tcPr>
          <w:p w14:paraId="0007BA5F" w14:textId="1DA763E4"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504080</w:t>
            </w:r>
          </w:p>
        </w:tc>
        <w:tc>
          <w:tcPr>
            <w:tcW w:w="755" w:type="dxa"/>
            <w:tcBorders>
              <w:top w:val="single" w:sz="2" w:space="0" w:color="000000"/>
              <w:left w:val="single" w:sz="2" w:space="0" w:color="000000"/>
              <w:bottom w:val="single" w:sz="2" w:space="0" w:color="000000"/>
              <w:right w:val="single" w:sz="2" w:space="0" w:color="000000"/>
            </w:tcBorders>
            <w:vAlign w:val="center"/>
          </w:tcPr>
          <w:p w14:paraId="438583A3" w14:textId="39AFD0F5"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469113</w:t>
            </w:r>
          </w:p>
        </w:tc>
        <w:tc>
          <w:tcPr>
            <w:tcW w:w="756" w:type="dxa"/>
            <w:tcBorders>
              <w:top w:val="single" w:sz="2" w:space="0" w:color="000000"/>
              <w:left w:val="single" w:sz="2" w:space="0" w:color="000000"/>
              <w:bottom w:val="single" w:sz="2" w:space="0" w:color="000000"/>
              <w:right w:val="single" w:sz="2" w:space="0" w:color="000000"/>
            </w:tcBorders>
            <w:vAlign w:val="center"/>
          </w:tcPr>
          <w:p w14:paraId="7417D5BC" w14:textId="28F02A83"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423346</w:t>
            </w:r>
          </w:p>
        </w:tc>
        <w:tc>
          <w:tcPr>
            <w:tcW w:w="756" w:type="dxa"/>
            <w:tcBorders>
              <w:top w:val="single" w:sz="2" w:space="0" w:color="000000"/>
              <w:left w:val="single" w:sz="2" w:space="0" w:color="000000"/>
              <w:bottom w:val="single" w:sz="2" w:space="0" w:color="000000"/>
              <w:right w:val="single" w:sz="2" w:space="0" w:color="000000"/>
            </w:tcBorders>
            <w:vAlign w:val="center"/>
          </w:tcPr>
          <w:p w14:paraId="516F8CC0" w14:textId="209B9F76" w:rsidR="000046E5" w:rsidRPr="00AA2B36" w:rsidRDefault="000046E5" w:rsidP="000046E5">
            <w:pPr>
              <w:spacing w:line="259" w:lineRule="auto"/>
              <w:ind w:left="59"/>
              <w:jc w:val="center"/>
              <w:rPr>
                <w:rFonts w:asciiTheme="minorHAnsi" w:hAnsiTheme="minorHAnsi"/>
                <w:b/>
                <w:sz w:val="18"/>
                <w:szCs w:val="18"/>
              </w:rPr>
            </w:pPr>
            <w:r w:rsidRPr="00664108">
              <w:rPr>
                <w:b/>
                <w:sz w:val="18"/>
                <w:szCs w:val="18"/>
              </w:rPr>
              <w:t>422252</w:t>
            </w:r>
          </w:p>
        </w:tc>
        <w:tc>
          <w:tcPr>
            <w:tcW w:w="756" w:type="dxa"/>
            <w:tcBorders>
              <w:top w:val="single" w:sz="2" w:space="0" w:color="000000"/>
              <w:left w:val="single" w:sz="2" w:space="0" w:color="000000"/>
              <w:bottom w:val="single" w:sz="2" w:space="0" w:color="000000"/>
              <w:right w:val="single" w:sz="2" w:space="0" w:color="000000"/>
            </w:tcBorders>
            <w:vAlign w:val="center"/>
          </w:tcPr>
          <w:p w14:paraId="3F777A8A" w14:textId="0D412A5E" w:rsidR="000046E5" w:rsidRPr="00AA2B36" w:rsidRDefault="000046E5" w:rsidP="000046E5">
            <w:pPr>
              <w:spacing w:line="259" w:lineRule="auto"/>
              <w:ind w:left="59"/>
              <w:jc w:val="center"/>
              <w:rPr>
                <w:rFonts w:asciiTheme="minorHAnsi" w:hAnsiTheme="minorHAnsi"/>
                <w:b/>
                <w:sz w:val="18"/>
                <w:szCs w:val="18"/>
              </w:rPr>
            </w:pPr>
            <w:r>
              <w:rPr>
                <w:rFonts w:asciiTheme="minorHAnsi" w:hAnsiTheme="minorHAnsi"/>
                <w:b/>
                <w:sz w:val="18"/>
              </w:rPr>
              <w:t xml:space="preserve"> </w:t>
            </w:r>
            <w:r w:rsidRPr="00364545">
              <w:rPr>
                <w:rFonts w:asciiTheme="minorHAnsi" w:hAnsiTheme="minorHAnsi"/>
                <w:b/>
                <w:sz w:val="18"/>
              </w:rPr>
              <w:t xml:space="preserve">365838 </w:t>
            </w:r>
          </w:p>
        </w:tc>
        <w:tc>
          <w:tcPr>
            <w:tcW w:w="755" w:type="dxa"/>
            <w:tcBorders>
              <w:top w:val="single" w:sz="2" w:space="0" w:color="000000"/>
              <w:left w:val="single" w:sz="2" w:space="0" w:color="000000"/>
              <w:bottom w:val="single" w:sz="2" w:space="0" w:color="000000"/>
              <w:right w:val="single" w:sz="2" w:space="0" w:color="000000"/>
            </w:tcBorders>
            <w:vAlign w:val="center"/>
          </w:tcPr>
          <w:p w14:paraId="65A4E356" w14:textId="180309FB"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363349 </w:t>
            </w:r>
          </w:p>
        </w:tc>
        <w:tc>
          <w:tcPr>
            <w:tcW w:w="756" w:type="dxa"/>
            <w:tcBorders>
              <w:top w:val="single" w:sz="2" w:space="0" w:color="000000"/>
              <w:left w:val="single" w:sz="2" w:space="0" w:color="000000"/>
              <w:bottom w:val="single" w:sz="2" w:space="0" w:color="000000"/>
              <w:right w:val="single" w:sz="2" w:space="0" w:color="000000"/>
            </w:tcBorders>
            <w:vAlign w:val="center"/>
          </w:tcPr>
          <w:p w14:paraId="01B246F8" w14:textId="47A28DA4" w:rsidR="000046E5" w:rsidRPr="00AA2B36" w:rsidRDefault="000046E5" w:rsidP="000046E5">
            <w:pPr>
              <w:spacing w:line="259" w:lineRule="auto"/>
              <w:ind w:left="59"/>
              <w:jc w:val="center"/>
              <w:rPr>
                <w:rFonts w:asciiTheme="minorHAnsi" w:hAnsiTheme="minorHAnsi"/>
                <w:b/>
                <w:sz w:val="18"/>
                <w:szCs w:val="18"/>
              </w:rPr>
            </w:pPr>
            <w:r w:rsidRPr="00364545">
              <w:rPr>
                <w:rFonts w:asciiTheme="minorHAnsi" w:hAnsiTheme="minorHAnsi"/>
                <w:b/>
                <w:sz w:val="18"/>
              </w:rPr>
              <w:t xml:space="preserve">340618 </w:t>
            </w:r>
          </w:p>
        </w:tc>
        <w:tc>
          <w:tcPr>
            <w:tcW w:w="756" w:type="dxa"/>
            <w:tcBorders>
              <w:top w:val="single" w:sz="2" w:space="0" w:color="000000"/>
              <w:left w:val="single" w:sz="2" w:space="0" w:color="000000"/>
              <w:bottom w:val="single" w:sz="2" w:space="0" w:color="000000"/>
              <w:right w:val="single" w:sz="2" w:space="0" w:color="000000"/>
            </w:tcBorders>
            <w:vAlign w:val="center"/>
          </w:tcPr>
          <w:p w14:paraId="2F593AB6" w14:textId="4220B3E8" w:rsidR="000046E5" w:rsidRPr="00AA2B36" w:rsidRDefault="000046E5" w:rsidP="000046E5">
            <w:pPr>
              <w:spacing w:line="259" w:lineRule="auto"/>
              <w:ind w:left="63"/>
              <w:jc w:val="center"/>
              <w:rPr>
                <w:rFonts w:asciiTheme="minorHAnsi" w:hAnsiTheme="minorHAnsi"/>
                <w:b/>
                <w:sz w:val="18"/>
                <w:szCs w:val="18"/>
              </w:rPr>
            </w:pPr>
            <w:r w:rsidRPr="00364545">
              <w:rPr>
                <w:rFonts w:asciiTheme="minorHAnsi" w:hAnsiTheme="minorHAnsi"/>
                <w:b/>
                <w:sz w:val="18"/>
              </w:rPr>
              <w:t xml:space="preserve">332886 </w:t>
            </w:r>
          </w:p>
        </w:tc>
        <w:tc>
          <w:tcPr>
            <w:tcW w:w="756" w:type="dxa"/>
            <w:tcBorders>
              <w:top w:val="single" w:sz="2" w:space="0" w:color="000000"/>
              <w:left w:val="single" w:sz="2" w:space="0" w:color="000000"/>
              <w:bottom w:val="single" w:sz="2" w:space="0" w:color="000000"/>
              <w:right w:val="single" w:sz="2" w:space="0" w:color="000000"/>
            </w:tcBorders>
            <w:vAlign w:val="center"/>
          </w:tcPr>
          <w:p w14:paraId="0D2E2ED1" w14:textId="7BA29143" w:rsidR="000046E5" w:rsidRPr="00AA2B36" w:rsidRDefault="000046E5" w:rsidP="000046E5">
            <w:pPr>
              <w:spacing w:line="259" w:lineRule="auto"/>
              <w:ind w:left="63"/>
              <w:jc w:val="center"/>
              <w:rPr>
                <w:rFonts w:asciiTheme="minorHAnsi" w:hAnsiTheme="minorHAnsi"/>
                <w:b/>
                <w:sz w:val="18"/>
                <w:szCs w:val="18"/>
              </w:rPr>
            </w:pPr>
            <w:r w:rsidRPr="00364545">
              <w:rPr>
                <w:rFonts w:asciiTheme="minorHAnsi" w:hAnsiTheme="minorHAnsi"/>
                <w:b/>
                <w:sz w:val="18"/>
              </w:rPr>
              <w:t xml:space="preserve">317026 </w:t>
            </w:r>
          </w:p>
        </w:tc>
      </w:tr>
    </w:tbl>
    <w:bookmarkEnd w:id="538"/>
    <w:p w14:paraId="38541620" w14:textId="77777777" w:rsidR="001021CB" w:rsidRDefault="001021CB" w:rsidP="001021CB">
      <w:pPr>
        <w:pStyle w:val="Default"/>
        <w:rPr>
          <w:sz w:val="16"/>
          <w:szCs w:val="16"/>
        </w:rPr>
      </w:pPr>
      <w:r>
        <w:rPr>
          <w:i/>
          <w:iCs/>
          <w:sz w:val="16"/>
          <w:szCs w:val="16"/>
        </w:rPr>
        <w:t xml:space="preserve">Lecture du tableau : Énergie = catégorie CRF1 ; procédés industriels et solvants = catégorie CRF2 et 3 ; agriculture (hors énergie) = catégorie CRF4 ; traitements des déchets = catégorie CRF 6. </w:t>
      </w:r>
    </w:p>
    <w:p w14:paraId="6F8D7719" w14:textId="2375169D" w:rsidR="009947FF" w:rsidRDefault="00631506" w:rsidP="009947FF">
      <w:pPr>
        <w:pStyle w:val="Caption"/>
      </w:pPr>
      <w:bookmarkStart w:id="544" w:name="_Toc123916509"/>
      <w:r>
        <w:t xml:space="preserve">Tableau </w:t>
      </w:r>
      <w:fldSimple w:instr=" SEQ Tableau \* ARABIC ">
        <w:r w:rsidR="00AB51D9">
          <w:rPr>
            <w:noProof/>
          </w:rPr>
          <w:t>17</w:t>
        </w:r>
      </w:fldSimple>
      <w:r>
        <w:t xml:space="preserve"> : </w:t>
      </w:r>
      <w:r w:rsidR="009947FF">
        <w:t>Projections d’émissions de GES par gaz (en kt</w:t>
      </w:r>
      <w:r w:rsidR="007F09F7">
        <w:t>CO</w:t>
      </w:r>
      <w:r w:rsidR="007F09F7" w:rsidRPr="007F09F7">
        <w:rPr>
          <w:vertAlign w:val="subscript"/>
        </w:rPr>
        <w:t>2</w:t>
      </w:r>
      <w:r w:rsidR="004F1EC8" w:rsidRPr="004F1EC8">
        <w:rPr>
          <w:vertAlign w:val="subscript"/>
        </w:rPr>
        <w:t>e</w:t>
      </w:r>
      <w:r w:rsidR="009947FF">
        <w:t>) au périmètre Kyoto dans le scénario AME 2021 (avec mesures existantes)</w:t>
      </w:r>
      <w:bookmarkEnd w:id="544"/>
    </w:p>
    <w:p w14:paraId="4593F18F" w14:textId="2B5ED12B" w:rsidR="001021CB" w:rsidRDefault="009947FF" w:rsidP="009947FF">
      <w:pPr>
        <w:pStyle w:val="Caption"/>
      </w:pPr>
      <w:r>
        <w:t xml:space="preserve">Source : Inventaire CCNUCC, Citepa/MTE, soumission </w:t>
      </w:r>
      <w:r w:rsidR="000046E5">
        <w:t xml:space="preserve">2022 </w:t>
      </w:r>
      <w:r w:rsidR="003C2855">
        <w:t>et projections d’émissions MTE</w:t>
      </w:r>
      <w:r>
        <w:t>, 2021</w:t>
      </w:r>
    </w:p>
    <w:p w14:paraId="639C067E" w14:textId="4EDC0646" w:rsidR="00176265" w:rsidRDefault="000046E5" w:rsidP="00261D3D">
      <w:pPr>
        <w:jc w:val="center"/>
      </w:pPr>
      <w:r>
        <w:rPr>
          <w:noProof/>
        </w:rPr>
        <w:drawing>
          <wp:inline distT="0" distB="0" distL="0" distR="0" wp14:anchorId="69E98E8F" wp14:editId="581AC8BC">
            <wp:extent cx="6318250" cy="3632382"/>
            <wp:effectExtent l="0" t="0" r="6350" b="6350"/>
            <wp:docPr id="28701" name="Graphique 287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2BAED10" w14:textId="728EBAF5" w:rsidR="003C57F0" w:rsidRDefault="003C57F0" w:rsidP="009947FF">
      <w:pPr>
        <w:jc w:val="center"/>
      </w:pPr>
    </w:p>
    <w:p w14:paraId="17C0E634" w14:textId="3610DCBD" w:rsidR="009947FF" w:rsidRDefault="00C91ACF" w:rsidP="009947FF">
      <w:pPr>
        <w:pStyle w:val="Caption"/>
      </w:pPr>
      <w:bookmarkStart w:id="545" w:name="_Toc123916469"/>
      <w:r>
        <w:t xml:space="preserve">Figure </w:t>
      </w:r>
      <w:fldSimple w:instr=" SEQ Figure \* ARABIC ">
        <w:r w:rsidR="00AB51D9">
          <w:rPr>
            <w:noProof/>
          </w:rPr>
          <w:t>58</w:t>
        </w:r>
      </w:fldSimple>
      <w:r>
        <w:t xml:space="preserve"> : </w:t>
      </w:r>
      <w:r w:rsidR="009947FF">
        <w:t>Projection par gaz hors UTCATF en kt</w:t>
      </w:r>
      <w:r w:rsidR="007F09F7">
        <w:t>CO</w:t>
      </w:r>
      <w:r w:rsidR="007F09F7" w:rsidRPr="007F09F7">
        <w:rPr>
          <w:vertAlign w:val="subscript"/>
        </w:rPr>
        <w:t>2</w:t>
      </w:r>
      <w:r w:rsidR="004F1EC8" w:rsidRPr="004F1EC8">
        <w:rPr>
          <w:vertAlign w:val="subscript"/>
        </w:rPr>
        <w:t>e</w:t>
      </w:r>
      <w:r w:rsidR="009947FF">
        <w:t>, au format Kyoto, scénario AME 2021</w:t>
      </w:r>
      <w:bookmarkEnd w:id="545"/>
    </w:p>
    <w:p w14:paraId="6F2D9763" w14:textId="65902A9F" w:rsidR="001021CB" w:rsidRPr="001E34E8" w:rsidRDefault="009947FF" w:rsidP="009947FF">
      <w:pPr>
        <w:pStyle w:val="Caption"/>
      </w:pPr>
      <w:r>
        <w:t xml:space="preserve">Source : Inventaire CCNUCC, Citepa/MTE, soumission </w:t>
      </w:r>
      <w:r w:rsidR="000046E5">
        <w:t xml:space="preserve">2022 </w:t>
      </w:r>
      <w:r>
        <w:t>et projections d’émissions MTE, 2021</w:t>
      </w:r>
    </w:p>
    <w:p w14:paraId="3B83FC54" w14:textId="5847181D" w:rsidR="003C57F0" w:rsidRDefault="003C57F0" w:rsidP="003C57F0">
      <w:pPr>
        <w:rPr>
          <w:rFonts w:eastAsiaTheme="majorEastAsia"/>
          <w:noProof/>
        </w:rPr>
      </w:pPr>
    </w:p>
    <w:p w14:paraId="6CF9D704" w14:textId="66C002A1" w:rsidR="003C2855" w:rsidRPr="001E34E8" w:rsidRDefault="003C2855" w:rsidP="003C2855">
      <w:pPr>
        <w:jc w:val="center"/>
      </w:pPr>
      <w:r w:rsidRPr="00BA4A6C">
        <w:t xml:space="preserve"> </w:t>
      </w:r>
    </w:p>
    <w:p w14:paraId="50919113" w14:textId="51C0A032" w:rsidR="000046E5" w:rsidRDefault="000046E5" w:rsidP="003C2855">
      <w:pPr>
        <w:pStyle w:val="Caption"/>
      </w:pPr>
      <w:bookmarkStart w:id="546" w:name="_Toc123916470"/>
      <w:r>
        <w:rPr>
          <w:noProof/>
        </w:rPr>
        <w:drawing>
          <wp:inline distT="0" distB="0" distL="0" distR="0" wp14:anchorId="65CE8FE7" wp14:editId="7419D1F3">
            <wp:extent cx="6318250" cy="3420110"/>
            <wp:effectExtent l="0" t="0" r="6350" b="8890"/>
            <wp:docPr id="28702" name="Graphique 287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336D989" w14:textId="5A8F8FEE" w:rsidR="003C2855" w:rsidRDefault="00C91ACF" w:rsidP="003C2855">
      <w:pPr>
        <w:pStyle w:val="Caption"/>
      </w:pPr>
      <w:r>
        <w:t xml:space="preserve">Figure </w:t>
      </w:r>
      <w:fldSimple w:instr=" SEQ Figure \* ARABIC ">
        <w:r w:rsidR="00AB51D9">
          <w:rPr>
            <w:noProof/>
          </w:rPr>
          <w:t>59</w:t>
        </w:r>
      </w:fldSimple>
      <w:r>
        <w:t> :</w:t>
      </w:r>
      <w:r w:rsidR="00260E0B">
        <w:t xml:space="preserve"> </w:t>
      </w:r>
      <w:r w:rsidR="003C2855">
        <w:t>Projection par gaz avec UTCATF en kt</w:t>
      </w:r>
      <w:r w:rsidR="007F09F7">
        <w:t>CO</w:t>
      </w:r>
      <w:r w:rsidR="007F09F7" w:rsidRPr="007F09F7">
        <w:rPr>
          <w:vertAlign w:val="subscript"/>
        </w:rPr>
        <w:t>2</w:t>
      </w:r>
      <w:r w:rsidR="004F1EC8" w:rsidRPr="004F1EC8">
        <w:rPr>
          <w:vertAlign w:val="subscript"/>
        </w:rPr>
        <w:t>e</w:t>
      </w:r>
      <w:r w:rsidR="003C2855">
        <w:t>, au format Kyoto, scénario AME 2021</w:t>
      </w:r>
      <w:bookmarkEnd w:id="546"/>
    </w:p>
    <w:p w14:paraId="2C8472B7" w14:textId="504DFDDC" w:rsidR="001021CB" w:rsidRDefault="003C2855" w:rsidP="003C2855">
      <w:pPr>
        <w:pStyle w:val="Caption"/>
      </w:pPr>
      <w:r>
        <w:t xml:space="preserve">Source : Inventaire CCNUCC, Citepa/MTES, soumission </w:t>
      </w:r>
      <w:r w:rsidR="000046E5">
        <w:t xml:space="preserve">2022 </w:t>
      </w:r>
      <w:r>
        <w:t>et projections d’émissions MTES, 2021</w:t>
      </w:r>
    </w:p>
    <w:p w14:paraId="14FBCC55" w14:textId="77777777" w:rsidR="00D737AE" w:rsidRPr="00D737AE" w:rsidRDefault="00D737AE" w:rsidP="00D737AE"/>
    <w:p w14:paraId="70319053" w14:textId="52478623" w:rsidR="001021CB" w:rsidRDefault="001021CB" w:rsidP="003F57EA">
      <w:pPr>
        <w:pStyle w:val="titreencadre"/>
        <w:numPr>
          <w:ilvl w:val="3"/>
          <w:numId w:val="78"/>
        </w:numPr>
      </w:pPr>
      <w:r>
        <w:t>AMS 2018</w:t>
      </w:r>
    </w:p>
    <w:p w14:paraId="1CF1DD09" w14:textId="5E426B14" w:rsidR="00591B9B" w:rsidRDefault="00591B9B" w:rsidP="00591B9B"/>
    <w:tbl>
      <w:tblPr>
        <w:tblStyle w:val="TableGrid0"/>
        <w:tblW w:w="10338" w:type="dxa"/>
        <w:tblInd w:w="7" w:type="dxa"/>
        <w:tblLayout w:type="fixed"/>
        <w:tblCellMar>
          <w:top w:w="106" w:type="dxa"/>
          <w:left w:w="27" w:type="dxa"/>
        </w:tblCellMar>
        <w:tblLook w:val="04A0" w:firstRow="1" w:lastRow="0" w:firstColumn="1" w:lastColumn="0" w:noHBand="0" w:noVBand="1"/>
      </w:tblPr>
      <w:tblGrid>
        <w:gridCol w:w="521"/>
        <w:gridCol w:w="826"/>
        <w:gridCol w:w="825"/>
        <w:gridCol w:w="825"/>
        <w:gridCol w:w="825"/>
        <w:gridCol w:w="828"/>
        <w:gridCol w:w="664"/>
        <w:gridCol w:w="172"/>
        <w:gridCol w:w="741"/>
        <w:gridCol w:w="851"/>
        <w:gridCol w:w="850"/>
        <w:gridCol w:w="851"/>
        <w:gridCol w:w="709"/>
        <w:gridCol w:w="850"/>
      </w:tblGrid>
      <w:tr w:rsidR="000046E5" w14:paraId="506D4491" w14:textId="77777777" w:rsidTr="00261D3D">
        <w:trPr>
          <w:trHeight w:val="401"/>
        </w:trPr>
        <w:tc>
          <w:tcPr>
            <w:tcW w:w="521" w:type="dxa"/>
            <w:tcBorders>
              <w:top w:val="single" w:sz="2" w:space="0" w:color="000000"/>
              <w:left w:val="single" w:sz="2" w:space="0" w:color="000000"/>
              <w:bottom w:val="single" w:sz="2" w:space="0" w:color="000000"/>
              <w:right w:val="single" w:sz="2" w:space="0" w:color="000000"/>
            </w:tcBorders>
            <w:shd w:val="clear" w:color="auto" w:fill="6D2A78"/>
          </w:tcPr>
          <w:p w14:paraId="102FA3D2" w14:textId="77777777" w:rsidR="000046E5" w:rsidRPr="00E8711A" w:rsidRDefault="000046E5" w:rsidP="009947FF">
            <w:pPr>
              <w:spacing w:line="259" w:lineRule="auto"/>
              <w:rPr>
                <w:b/>
              </w:rPr>
            </w:pPr>
            <w:r w:rsidRPr="00E8711A">
              <w:rPr>
                <w:b/>
                <w:color w:val="FFFFFF" w:themeColor="background1"/>
              </w:rPr>
              <w:t>AMS 2018</w:t>
            </w:r>
          </w:p>
        </w:tc>
        <w:tc>
          <w:tcPr>
            <w:tcW w:w="826" w:type="dxa"/>
            <w:tcBorders>
              <w:top w:val="single" w:sz="2" w:space="0" w:color="000000"/>
              <w:left w:val="single" w:sz="2" w:space="0" w:color="000000"/>
              <w:bottom w:val="single" w:sz="2" w:space="0" w:color="000000"/>
              <w:right w:val="single" w:sz="2" w:space="0" w:color="000000"/>
            </w:tcBorders>
            <w:shd w:val="clear" w:color="auto" w:fill="6D2A78"/>
          </w:tcPr>
          <w:p w14:paraId="0EAC6504" w14:textId="77777777" w:rsidR="000046E5" w:rsidRDefault="000046E5" w:rsidP="009947FF">
            <w:pPr>
              <w:spacing w:line="259" w:lineRule="auto"/>
              <w:ind w:right="23"/>
              <w:jc w:val="center"/>
            </w:pPr>
            <w:r>
              <w:rPr>
                <w:b/>
                <w:color w:val="FFFFFF"/>
                <w:sz w:val="18"/>
              </w:rPr>
              <w:t xml:space="preserve">1990 </w:t>
            </w:r>
          </w:p>
        </w:tc>
        <w:tc>
          <w:tcPr>
            <w:tcW w:w="825" w:type="dxa"/>
            <w:tcBorders>
              <w:top w:val="single" w:sz="2" w:space="0" w:color="000000"/>
              <w:left w:val="single" w:sz="2" w:space="0" w:color="000000"/>
              <w:bottom w:val="single" w:sz="2" w:space="0" w:color="000000"/>
              <w:right w:val="single" w:sz="2" w:space="0" w:color="000000"/>
            </w:tcBorders>
            <w:shd w:val="clear" w:color="auto" w:fill="6D2A78"/>
          </w:tcPr>
          <w:p w14:paraId="06AC0700" w14:textId="77777777" w:rsidR="000046E5" w:rsidRDefault="000046E5" w:rsidP="009947FF">
            <w:pPr>
              <w:spacing w:line="259" w:lineRule="auto"/>
              <w:ind w:right="26"/>
              <w:jc w:val="center"/>
              <w:rPr>
                <w:b/>
                <w:color w:val="FFFFFF"/>
                <w:sz w:val="18"/>
              </w:rPr>
            </w:pPr>
            <w:r>
              <w:rPr>
                <w:b/>
                <w:color w:val="FFFFFF"/>
                <w:sz w:val="18"/>
              </w:rPr>
              <w:t>1995</w:t>
            </w:r>
          </w:p>
        </w:tc>
        <w:tc>
          <w:tcPr>
            <w:tcW w:w="825" w:type="dxa"/>
            <w:tcBorders>
              <w:top w:val="single" w:sz="2" w:space="0" w:color="000000"/>
              <w:left w:val="single" w:sz="2" w:space="0" w:color="000000"/>
              <w:bottom w:val="single" w:sz="2" w:space="0" w:color="000000"/>
              <w:right w:val="single" w:sz="2" w:space="0" w:color="000000"/>
            </w:tcBorders>
            <w:shd w:val="clear" w:color="auto" w:fill="6D2A78"/>
          </w:tcPr>
          <w:p w14:paraId="1095357D" w14:textId="77777777" w:rsidR="000046E5" w:rsidRDefault="000046E5" w:rsidP="009947FF">
            <w:pPr>
              <w:spacing w:line="259" w:lineRule="auto"/>
              <w:ind w:right="26"/>
              <w:jc w:val="center"/>
            </w:pPr>
            <w:r>
              <w:rPr>
                <w:b/>
                <w:color w:val="FFFFFF"/>
                <w:sz w:val="18"/>
              </w:rPr>
              <w:t xml:space="preserve">2000 </w:t>
            </w:r>
          </w:p>
        </w:tc>
        <w:tc>
          <w:tcPr>
            <w:tcW w:w="825" w:type="dxa"/>
            <w:tcBorders>
              <w:top w:val="single" w:sz="2" w:space="0" w:color="000000"/>
              <w:left w:val="single" w:sz="2" w:space="0" w:color="000000"/>
              <w:bottom w:val="single" w:sz="2" w:space="0" w:color="000000"/>
              <w:right w:val="single" w:sz="2" w:space="0" w:color="000000"/>
            </w:tcBorders>
            <w:shd w:val="clear" w:color="auto" w:fill="6D2A78"/>
          </w:tcPr>
          <w:p w14:paraId="4731AF83" w14:textId="77777777" w:rsidR="000046E5" w:rsidRDefault="000046E5" w:rsidP="009947FF">
            <w:pPr>
              <w:spacing w:line="259" w:lineRule="auto"/>
              <w:ind w:right="23"/>
              <w:jc w:val="center"/>
            </w:pPr>
            <w:r>
              <w:rPr>
                <w:b/>
                <w:color w:val="FFFFFF"/>
                <w:sz w:val="18"/>
              </w:rPr>
              <w:t xml:space="preserve">2005 </w:t>
            </w:r>
          </w:p>
        </w:tc>
        <w:tc>
          <w:tcPr>
            <w:tcW w:w="828" w:type="dxa"/>
            <w:tcBorders>
              <w:top w:val="single" w:sz="2" w:space="0" w:color="000000"/>
              <w:left w:val="single" w:sz="2" w:space="0" w:color="000000"/>
              <w:bottom w:val="single" w:sz="2" w:space="0" w:color="000000"/>
              <w:right w:val="single" w:sz="2" w:space="0" w:color="000000"/>
            </w:tcBorders>
            <w:shd w:val="clear" w:color="auto" w:fill="6D2A78"/>
          </w:tcPr>
          <w:p w14:paraId="582709C8" w14:textId="77777777" w:rsidR="000046E5" w:rsidRDefault="000046E5" w:rsidP="009947FF">
            <w:pPr>
              <w:spacing w:line="259" w:lineRule="auto"/>
              <w:ind w:right="26"/>
              <w:jc w:val="center"/>
            </w:pPr>
            <w:r>
              <w:rPr>
                <w:b/>
                <w:color w:val="FFFFFF"/>
                <w:sz w:val="18"/>
              </w:rPr>
              <w:t xml:space="preserve">2010 </w:t>
            </w:r>
          </w:p>
        </w:tc>
        <w:tc>
          <w:tcPr>
            <w:tcW w:w="664" w:type="dxa"/>
            <w:tcBorders>
              <w:top w:val="single" w:sz="2" w:space="0" w:color="000000"/>
              <w:left w:val="single" w:sz="2" w:space="0" w:color="000000"/>
              <w:bottom w:val="single" w:sz="2" w:space="0" w:color="000000"/>
              <w:right w:val="single" w:sz="2" w:space="0" w:color="000000"/>
            </w:tcBorders>
            <w:shd w:val="clear" w:color="auto" w:fill="6D2A78"/>
          </w:tcPr>
          <w:p w14:paraId="6CAF2BA6" w14:textId="77777777" w:rsidR="000046E5" w:rsidRDefault="000046E5" w:rsidP="009947FF">
            <w:pPr>
              <w:spacing w:line="259" w:lineRule="auto"/>
              <w:ind w:right="23"/>
              <w:jc w:val="center"/>
            </w:pPr>
            <w:r>
              <w:rPr>
                <w:b/>
                <w:color w:val="FFFFFF"/>
                <w:sz w:val="18"/>
              </w:rPr>
              <w:t xml:space="preserve">2015 </w:t>
            </w:r>
          </w:p>
        </w:tc>
        <w:tc>
          <w:tcPr>
            <w:tcW w:w="913" w:type="dxa"/>
            <w:gridSpan w:val="2"/>
            <w:tcBorders>
              <w:top w:val="single" w:sz="2" w:space="0" w:color="000000"/>
              <w:left w:val="single" w:sz="2" w:space="0" w:color="000000"/>
              <w:bottom w:val="single" w:sz="2" w:space="0" w:color="000000"/>
              <w:right w:val="single" w:sz="2" w:space="0" w:color="000000"/>
            </w:tcBorders>
            <w:shd w:val="clear" w:color="auto" w:fill="6D2A78"/>
          </w:tcPr>
          <w:p w14:paraId="5AD67701" w14:textId="17B725E4" w:rsidR="000046E5" w:rsidRDefault="000046E5" w:rsidP="009947FF">
            <w:pPr>
              <w:spacing w:line="259" w:lineRule="auto"/>
              <w:ind w:right="26"/>
              <w:jc w:val="center"/>
              <w:rPr>
                <w:b/>
                <w:color w:val="FFFFFF"/>
                <w:sz w:val="18"/>
              </w:rPr>
            </w:pPr>
            <w:r>
              <w:rPr>
                <w:b/>
                <w:color w:val="FFFFFF"/>
                <w:sz w:val="18"/>
              </w:rPr>
              <w:t>2019</w:t>
            </w:r>
          </w:p>
        </w:tc>
        <w:tc>
          <w:tcPr>
            <w:tcW w:w="851" w:type="dxa"/>
            <w:tcBorders>
              <w:top w:val="single" w:sz="2" w:space="0" w:color="000000"/>
              <w:left w:val="single" w:sz="2" w:space="0" w:color="000000"/>
              <w:bottom w:val="single" w:sz="2" w:space="0" w:color="000000"/>
              <w:right w:val="single" w:sz="2" w:space="0" w:color="000000"/>
            </w:tcBorders>
            <w:shd w:val="clear" w:color="auto" w:fill="6D2A78"/>
          </w:tcPr>
          <w:p w14:paraId="172A7206" w14:textId="04054FE3" w:rsidR="000046E5" w:rsidRDefault="000046E5" w:rsidP="009947FF">
            <w:pPr>
              <w:spacing w:line="259" w:lineRule="auto"/>
              <w:ind w:right="26"/>
              <w:jc w:val="center"/>
            </w:pPr>
            <w:r>
              <w:rPr>
                <w:b/>
                <w:color w:val="FFFFFF"/>
                <w:sz w:val="18"/>
              </w:rPr>
              <w:t xml:space="preserve">2020 </w:t>
            </w:r>
          </w:p>
        </w:tc>
        <w:tc>
          <w:tcPr>
            <w:tcW w:w="850" w:type="dxa"/>
            <w:tcBorders>
              <w:top w:val="single" w:sz="2" w:space="0" w:color="000000"/>
              <w:left w:val="single" w:sz="2" w:space="0" w:color="000000"/>
              <w:bottom w:val="single" w:sz="2" w:space="0" w:color="000000"/>
              <w:right w:val="single" w:sz="2" w:space="0" w:color="000000"/>
            </w:tcBorders>
            <w:shd w:val="clear" w:color="auto" w:fill="6D2A78"/>
          </w:tcPr>
          <w:p w14:paraId="52650740" w14:textId="77777777" w:rsidR="000046E5" w:rsidRDefault="000046E5" w:rsidP="009947FF">
            <w:pPr>
              <w:spacing w:line="259" w:lineRule="auto"/>
              <w:ind w:right="23"/>
              <w:jc w:val="center"/>
            </w:pPr>
            <w:r>
              <w:rPr>
                <w:b/>
                <w:color w:val="FFFFFF"/>
                <w:sz w:val="18"/>
              </w:rPr>
              <w:t xml:space="preserve">2025 </w:t>
            </w:r>
          </w:p>
        </w:tc>
        <w:tc>
          <w:tcPr>
            <w:tcW w:w="851" w:type="dxa"/>
            <w:tcBorders>
              <w:top w:val="single" w:sz="2" w:space="0" w:color="000000"/>
              <w:left w:val="single" w:sz="2" w:space="0" w:color="000000"/>
              <w:bottom w:val="single" w:sz="2" w:space="0" w:color="000000"/>
              <w:right w:val="single" w:sz="2" w:space="0" w:color="000000"/>
            </w:tcBorders>
            <w:shd w:val="clear" w:color="auto" w:fill="6D2A78"/>
          </w:tcPr>
          <w:p w14:paraId="08D40F80" w14:textId="77777777" w:rsidR="000046E5" w:rsidRDefault="000046E5" w:rsidP="009947FF">
            <w:pPr>
              <w:spacing w:line="259" w:lineRule="auto"/>
              <w:ind w:right="26"/>
              <w:jc w:val="center"/>
            </w:pPr>
            <w:r>
              <w:rPr>
                <w:b/>
                <w:color w:val="FFFFFF"/>
                <w:sz w:val="18"/>
              </w:rPr>
              <w:t xml:space="preserve">2030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4A634E88" w14:textId="77777777" w:rsidR="000046E5" w:rsidRDefault="000046E5" w:rsidP="009947FF">
            <w:pPr>
              <w:spacing w:line="259" w:lineRule="auto"/>
              <w:ind w:right="23"/>
              <w:jc w:val="center"/>
            </w:pPr>
            <w:r>
              <w:rPr>
                <w:b/>
                <w:color w:val="FFFFFF"/>
                <w:sz w:val="18"/>
              </w:rPr>
              <w:t xml:space="preserve">2035 </w:t>
            </w:r>
          </w:p>
        </w:tc>
        <w:tc>
          <w:tcPr>
            <w:tcW w:w="850" w:type="dxa"/>
            <w:tcBorders>
              <w:top w:val="single" w:sz="2" w:space="0" w:color="000000"/>
              <w:left w:val="single" w:sz="2" w:space="0" w:color="000000"/>
              <w:bottom w:val="single" w:sz="2" w:space="0" w:color="000000"/>
              <w:right w:val="single" w:sz="2" w:space="0" w:color="000000"/>
            </w:tcBorders>
            <w:shd w:val="clear" w:color="auto" w:fill="6D2A78"/>
          </w:tcPr>
          <w:p w14:paraId="5EC8979D" w14:textId="77777777" w:rsidR="000046E5" w:rsidRDefault="000046E5" w:rsidP="009947FF">
            <w:pPr>
              <w:spacing w:line="259" w:lineRule="auto"/>
              <w:ind w:right="23"/>
              <w:jc w:val="center"/>
              <w:rPr>
                <w:b/>
                <w:color w:val="FFFFFF"/>
                <w:sz w:val="18"/>
              </w:rPr>
            </w:pPr>
            <w:r>
              <w:rPr>
                <w:b/>
                <w:color w:val="FFFFFF"/>
                <w:sz w:val="18"/>
              </w:rPr>
              <w:t>2050</w:t>
            </w:r>
          </w:p>
        </w:tc>
      </w:tr>
      <w:tr w:rsidR="000046E5" w14:paraId="297AE761" w14:textId="77777777" w:rsidTr="00261D3D">
        <w:trPr>
          <w:trHeight w:val="401"/>
        </w:trPr>
        <w:tc>
          <w:tcPr>
            <w:tcW w:w="521" w:type="dxa"/>
            <w:tcBorders>
              <w:top w:val="single" w:sz="2" w:space="0" w:color="000000"/>
              <w:left w:val="single" w:sz="2" w:space="0" w:color="000000"/>
              <w:bottom w:val="single" w:sz="2" w:space="0" w:color="000000"/>
              <w:right w:val="single" w:sz="2" w:space="0" w:color="000000"/>
            </w:tcBorders>
            <w:shd w:val="clear" w:color="auto" w:fill="6D2A78"/>
          </w:tcPr>
          <w:p w14:paraId="0AEC430C" w14:textId="3DF99A6E" w:rsidR="000046E5" w:rsidRDefault="000046E5" w:rsidP="009947FF">
            <w:pPr>
              <w:spacing w:line="259" w:lineRule="auto"/>
            </w:pPr>
            <w:r w:rsidRPr="00E8711A">
              <w:rPr>
                <w:color w:val="FFFFFF" w:themeColor="background1"/>
              </w:rPr>
              <w:t>kt</w:t>
            </w:r>
            <w:r>
              <w:t>CO</w:t>
            </w:r>
            <w:r w:rsidRPr="007F09F7">
              <w:rPr>
                <w:vertAlign w:val="subscript"/>
              </w:rPr>
              <w:t>2</w:t>
            </w:r>
            <w:r w:rsidRPr="004F1EC8">
              <w:rPr>
                <w:color w:val="FFFFFF" w:themeColor="background1"/>
                <w:vertAlign w:val="subscript"/>
              </w:rPr>
              <w:t>e</w:t>
            </w:r>
          </w:p>
        </w:tc>
        <w:tc>
          <w:tcPr>
            <w:tcW w:w="5706" w:type="dxa"/>
            <w:gridSpan w:val="8"/>
            <w:tcBorders>
              <w:top w:val="single" w:sz="2" w:space="0" w:color="000000"/>
              <w:left w:val="single" w:sz="2" w:space="0" w:color="000000"/>
              <w:bottom w:val="single" w:sz="2" w:space="0" w:color="000000"/>
              <w:right w:val="single" w:sz="2" w:space="0" w:color="000000"/>
            </w:tcBorders>
            <w:shd w:val="clear" w:color="auto" w:fill="6D2A78"/>
          </w:tcPr>
          <w:p w14:paraId="4E3A097E" w14:textId="25471FD1" w:rsidR="000046E5" w:rsidRDefault="000046E5" w:rsidP="009947FF">
            <w:pPr>
              <w:spacing w:line="259" w:lineRule="auto"/>
              <w:ind w:right="23"/>
              <w:jc w:val="center"/>
              <w:rPr>
                <w:b/>
                <w:color w:val="FFFFFF"/>
                <w:sz w:val="18"/>
              </w:rPr>
            </w:pPr>
            <w:r>
              <w:rPr>
                <w:b/>
                <w:color w:val="FFFFFF"/>
                <w:sz w:val="18"/>
              </w:rPr>
              <w:t>Observé</w:t>
            </w:r>
          </w:p>
        </w:tc>
        <w:tc>
          <w:tcPr>
            <w:tcW w:w="4111" w:type="dxa"/>
            <w:gridSpan w:val="5"/>
            <w:tcBorders>
              <w:top w:val="single" w:sz="2" w:space="0" w:color="000000"/>
              <w:left w:val="single" w:sz="2" w:space="0" w:color="000000"/>
              <w:bottom w:val="single" w:sz="2" w:space="0" w:color="000000"/>
              <w:right w:val="single" w:sz="2" w:space="0" w:color="000000"/>
            </w:tcBorders>
            <w:shd w:val="clear" w:color="auto" w:fill="6D2A78"/>
          </w:tcPr>
          <w:p w14:paraId="174ABE80" w14:textId="70A03C66" w:rsidR="000046E5" w:rsidRDefault="000046E5" w:rsidP="009947FF">
            <w:pPr>
              <w:spacing w:line="259" w:lineRule="auto"/>
              <w:ind w:right="23"/>
              <w:jc w:val="center"/>
              <w:rPr>
                <w:b/>
                <w:color w:val="FFFFFF"/>
                <w:sz w:val="18"/>
              </w:rPr>
            </w:pPr>
            <w:r>
              <w:rPr>
                <w:b/>
                <w:color w:val="FFFFFF"/>
                <w:sz w:val="18"/>
              </w:rPr>
              <w:t>Projeté</w:t>
            </w:r>
          </w:p>
        </w:tc>
      </w:tr>
      <w:tr w:rsidR="00DC213D" w14:paraId="429C86EC" w14:textId="77777777" w:rsidTr="000046E5">
        <w:trPr>
          <w:trHeight w:val="342"/>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6B0B3486" w14:textId="62797A04" w:rsidR="00DC213D" w:rsidRDefault="00DC213D" w:rsidP="00DC213D">
            <w:pPr>
              <w:spacing w:line="259" w:lineRule="auto"/>
              <w:jc w:val="left"/>
            </w:pPr>
            <w:r>
              <w:t>CO</w:t>
            </w:r>
            <w:r w:rsidRPr="007F09F7">
              <w:rPr>
                <w:vertAlign w:val="subscript"/>
              </w:rPr>
              <w:t>2</w:t>
            </w:r>
            <w:r>
              <w:rPr>
                <w:sz w:val="18"/>
              </w:rPr>
              <w:t xml:space="preserve"> hors UTCF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EAF30A" w14:textId="5B10C579" w:rsidR="00DC213D" w:rsidRPr="00E220B9" w:rsidRDefault="00DC213D" w:rsidP="00DC213D">
            <w:pPr>
              <w:spacing w:line="259" w:lineRule="auto"/>
              <w:ind w:left="59"/>
              <w:jc w:val="left"/>
              <w:rPr>
                <w:sz w:val="16"/>
                <w:szCs w:val="16"/>
              </w:rPr>
            </w:pPr>
            <w:r>
              <w:rPr>
                <w:sz w:val="18"/>
                <w:szCs w:val="18"/>
              </w:rPr>
              <w:t>398425</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7A91EF" w14:textId="2D74AA05" w:rsidR="00DC213D" w:rsidRPr="00E220B9" w:rsidRDefault="00DC213D" w:rsidP="00DC213D">
            <w:pPr>
              <w:spacing w:line="259" w:lineRule="auto"/>
              <w:ind w:left="59"/>
              <w:jc w:val="left"/>
              <w:rPr>
                <w:sz w:val="16"/>
                <w:szCs w:val="16"/>
              </w:rPr>
            </w:pPr>
            <w:r>
              <w:rPr>
                <w:sz w:val="18"/>
                <w:szCs w:val="18"/>
              </w:rPr>
              <w:t>392916</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D6CB8" w14:textId="6FAB4D57" w:rsidR="00DC213D" w:rsidRPr="00E220B9" w:rsidRDefault="00DC213D" w:rsidP="00DC213D">
            <w:pPr>
              <w:spacing w:line="259" w:lineRule="auto"/>
              <w:ind w:left="59"/>
              <w:jc w:val="left"/>
              <w:rPr>
                <w:sz w:val="16"/>
                <w:szCs w:val="16"/>
              </w:rPr>
            </w:pPr>
            <w:r>
              <w:rPr>
                <w:sz w:val="18"/>
                <w:szCs w:val="18"/>
              </w:rPr>
              <w:t>414788</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80A217" w14:textId="19C30668" w:rsidR="00DC213D" w:rsidRPr="00E220B9" w:rsidRDefault="00DC213D" w:rsidP="00DC213D">
            <w:pPr>
              <w:spacing w:line="259" w:lineRule="auto"/>
              <w:ind w:left="59"/>
              <w:jc w:val="left"/>
              <w:rPr>
                <w:sz w:val="16"/>
                <w:szCs w:val="16"/>
              </w:rPr>
            </w:pPr>
            <w:r>
              <w:rPr>
                <w:sz w:val="18"/>
                <w:szCs w:val="18"/>
              </w:rPr>
              <w:t>425444</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D71EA0" w14:textId="69D98ABC" w:rsidR="00DC213D" w:rsidRPr="00E220B9" w:rsidRDefault="00DC213D" w:rsidP="00DC213D">
            <w:pPr>
              <w:spacing w:line="259" w:lineRule="auto"/>
              <w:ind w:left="59"/>
              <w:jc w:val="left"/>
              <w:rPr>
                <w:sz w:val="16"/>
                <w:szCs w:val="16"/>
              </w:rPr>
            </w:pPr>
            <w:r>
              <w:rPr>
                <w:sz w:val="18"/>
                <w:szCs w:val="18"/>
              </w:rPr>
              <w:t>386872</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63BECAE5" w14:textId="59AC4F06" w:rsidR="00DC213D" w:rsidRPr="00E220B9" w:rsidRDefault="00DC213D" w:rsidP="00DC213D">
            <w:pPr>
              <w:spacing w:line="259" w:lineRule="auto"/>
              <w:ind w:left="59"/>
              <w:jc w:val="left"/>
              <w:rPr>
                <w:sz w:val="16"/>
                <w:szCs w:val="16"/>
              </w:rPr>
            </w:pPr>
            <w:r>
              <w:rPr>
                <w:sz w:val="18"/>
                <w:szCs w:val="18"/>
              </w:rPr>
              <w:t>341631</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5C69A" w14:textId="7ACE226D" w:rsidR="00DC213D" w:rsidRPr="00E220B9" w:rsidRDefault="00DC213D" w:rsidP="00DC213D">
            <w:pPr>
              <w:spacing w:line="259" w:lineRule="auto"/>
              <w:ind w:left="64"/>
              <w:jc w:val="left"/>
              <w:rPr>
                <w:rFonts w:ascii="Calibri" w:hAnsi="Calibri" w:cs="Calibri"/>
                <w:sz w:val="20"/>
                <w:szCs w:val="20"/>
              </w:rPr>
            </w:pPr>
            <w:r>
              <w:rPr>
                <w:sz w:val="18"/>
                <w:szCs w:val="18"/>
              </w:rPr>
              <w:t>326725</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7AAD40" w14:textId="42607544" w:rsidR="00DC213D" w:rsidRPr="00E220B9" w:rsidRDefault="00DC213D" w:rsidP="00DC213D">
            <w:pPr>
              <w:spacing w:line="259" w:lineRule="auto"/>
              <w:ind w:left="64"/>
              <w:jc w:val="left"/>
              <w:rPr>
                <w:sz w:val="16"/>
                <w:szCs w:val="16"/>
              </w:rPr>
            </w:pPr>
            <w:r>
              <w:rPr>
                <w:rFonts w:asciiTheme="majorHAnsi" w:hAnsiTheme="majorHAnsi"/>
                <w:sz w:val="18"/>
                <w:szCs w:val="18"/>
              </w:rPr>
              <w:t>325904</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25545F7" w14:textId="097F949D" w:rsidR="00DC213D" w:rsidRPr="00E220B9" w:rsidRDefault="00DC213D" w:rsidP="00DC213D">
            <w:pPr>
              <w:spacing w:line="259" w:lineRule="auto"/>
              <w:ind w:left="59"/>
              <w:jc w:val="left"/>
              <w:rPr>
                <w:sz w:val="16"/>
                <w:szCs w:val="16"/>
              </w:rPr>
            </w:pPr>
            <w:r>
              <w:rPr>
                <w:rFonts w:asciiTheme="majorHAnsi" w:hAnsiTheme="majorHAnsi"/>
                <w:sz w:val="18"/>
                <w:szCs w:val="18"/>
              </w:rPr>
              <w:t>273167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6A0D23" w14:textId="7E74F584" w:rsidR="00DC213D" w:rsidRPr="00E220B9" w:rsidRDefault="00DC213D" w:rsidP="00DC213D">
            <w:pPr>
              <w:spacing w:line="259" w:lineRule="auto"/>
              <w:ind w:left="59"/>
              <w:jc w:val="left"/>
              <w:rPr>
                <w:sz w:val="16"/>
                <w:szCs w:val="16"/>
              </w:rPr>
            </w:pPr>
            <w:r>
              <w:rPr>
                <w:rFonts w:asciiTheme="majorHAnsi" w:hAnsiTheme="majorHAnsi"/>
                <w:sz w:val="18"/>
                <w:szCs w:val="18"/>
              </w:rPr>
              <w:t>220992</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86F3F3" w14:textId="67FBC8C7" w:rsidR="00DC213D" w:rsidRPr="00E220B9" w:rsidRDefault="00DC213D" w:rsidP="00DC213D">
            <w:pPr>
              <w:spacing w:line="259" w:lineRule="auto"/>
              <w:ind w:left="59"/>
              <w:jc w:val="left"/>
              <w:rPr>
                <w:sz w:val="16"/>
                <w:szCs w:val="16"/>
              </w:rPr>
            </w:pPr>
            <w:r>
              <w:rPr>
                <w:rFonts w:asciiTheme="majorHAnsi" w:hAnsiTheme="majorHAnsi"/>
                <w:sz w:val="18"/>
                <w:szCs w:val="18"/>
              </w:rPr>
              <w:t>167257</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496B0C" w14:textId="41527600" w:rsidR="00DC213D" w:rsidRPr="00E220B9" w:rsidRDefault="00DC213D" w:rsidP="00DC213D">
            <w:pPr>
              <w:spacing w:line="259" w:lineRule="auto"/>
              <w:ind w:left="59"/>
              <w:jc w:val="left"/>
              <w:rPr>
                <w:sz w:val="16"/>
                <w:szCs w:val="16"/>
              </w:rPr>
            </w:pPr>
            <w:r w:rsidRPr="000B08DE">
              <w:rPr>
                <w:sz w:val="18"/>
              </w:rPr>
              <w:t>6447</w:t>
            </w:r>
          </w:p>
        </w:tc>
      </w:tr>
      <w:tr w:rsidR="00DC213D" w14:paraId="37009D4B" w14:textId="77777777" w:rsidTr="00261D3D">
        <w:trPr>
          <w:trHeight w:val="347"/>
        </w:trPr>
        <w:tc>
          <w:tcPr>
            <w:tcW w:w="521" w:type="dxa"/>
            <w:tcBorders>
              <w:top w:val="single" w:sz="2" w:space="0" w:color="000000"/>
              <w:left w:val="single" w:sz="2" w:space="0" w:color="000000"/>
              <w:bottom w:val="single" w:sz="2" w:space="0" w:color="000000"/>
              <w:right w:val="single" w:sz="2" w:space="0" w:color="000000"/>
            </w:tcBorders>
          </w:tcPr>
          <w:p w14:paraId="09F0E43A" w14:textId="7676C049" w:rsidR="00DC213D" w:rsidRDefault="00DC213D" w:rsidP="00DC213D">
            <w:pPr>
              <w:spacing w:line="259" w:lineRule="auto"/>
              <w:jc w:val="left"/>
            </w:pPr>
            <w:r>
              <w:t>CO</w:t>
            </w:r>
            <w:r w:rsidRPr="007F09F7">
              <w:rPr>
                <w:vertAlign w:val="subscript"/>
              </w:rPr>
              <w:t>2</w:t>
            </w:r>
            <w:r>
              <w:rPr>
                <w:sz w:val="18"/>
              </w:rPr>
              <w:t xml:space="preserve"> avec UTCF </w:t>
            </w:r>
          </w:p>
        </w:tc>
        <w:tc>
          <w:tcPr>
            <w:tcW w:w="826" w:type="dxa"/>
            <w:tcBorders>
              <w:top w:val="single" w:sz="2" w:space="0" w:color="000000"/>
              <w:left w:val="single" w:sz="2" w:space="0" w:color="000000"/>
              <w:bottom w:val="single" w:sz="2" w:space="0" w:color="000000"/>
              <w:right w:val="single" w:sz="2" w:space="0" w:color="000000"/>
            </w:tcBorders>
            <w:vAlign w:val="center"/>
          </w:tcPr>
          <w:p w14:paraId="79704C66" w14:textId="1385B392" w:rsidR="00DC213D" w:rsidRPr="00E220B9" w:rsidRDefault="00DC213D" w:rsidP="00DC213D">
            <w:pPr>
              <w:spacing w:line="259" w:lineRule="auto"/>
              <w:ind w:left="59"/>
              <w:jc w:val="left"/>
              <w:rPr>
                <w:sz w:val="16"/>
                <w:szCs w:val="16"/>
              </w:rPr>
            </w:pPr>
            <w:r>
              <w:rPr>
                <w:sz w:val="18"/>
                <w:szCs w:val="18"/>
              </w:rPr>
              <w:t>370280</w:t>
            </w:r>
          </w:p>
        </w:tc>
        <w:tc>
          <w:tcPr>
            <w:tcW w:w="825" w:type="dxa"/>
            <w:tcBorders>
              <w:top w:val="single" w:sz="2" w:space="0" w:color="000000"/>
              <w:left w:val="single" w:sz="2" w:space="0" w:color="000000"/>
              <w:bottom w:val="single" w:sz="2" w:space="0" w:color="000000"/>
              <w:right w:val="single" w:sz="2" w:space="0" w:color="000000"/>
            </w:tcBorders>
            <w:vAlign w:val="center"/>
          </w:tcPr>
          <w:p w14:paraId="642FE242" w14:textId="0B46AC27" w:rsidR="00DC213D" w:rsidRPr="00E220B9" w:rsidRDefault="00DC213D" w:rsidP="00DC213D">
            <w:pPr>
              <w:spacing w:line="259" w:lineRule="auto"/>
              <w:ind w:left="59"/>
              <w:jc w:val="left"/>
              <w:rPr>
                <w:sz w:val="16"/>
                <w:szCs w:val="16"/>
              </w:rPr>
            </w:pPr>
            <w:r>
              <w:rPr>
                <w:sz w:val="18"/>
                <w:szCs w:val="18"/>
              </w:rPr>
              <w:t>361121</w:t>
            </w:r>
          </w:p>
        </w:tc>
        <w:tc>
          <w:tcPr>
            <w:tcW w:w="825" w:type="dxa"/>
            <w:tcBorders>
              <w:top w:val="single" w:sz="2" w:space="0" w:color="000000"/>
              <w:left w:val="single" w:sz="2" w:space="0" w:color="000000"/>
              <w:bottom w:val="single" w:sz="2" w:space="0" w:color="000000"/>
              <w:right w:val="single" w:sz="2" w:space="0" w:color="000000"/>
            </w:tcBorders>
            <w:vAlign w:val="center"/>
          </w:tcPr>
          <w:p w14:paraId="1C07EBE6" w14:textId="31470BEA" w:rsidR="00DC213D" w:rsidRPr="00E220B9" w:rsidRDefault="00DC213D" w:rsidP="00DC213D">
            <w:pPr>
              <w:spacing w:line="259" w:lineRule="auto"/>
              <w:ind w:left="59"/>
              <w:jc w:val="left"/>
              <w:rPr>
                <w:sz w:val="16"/>
                <w:szCs w:val="16"/>
              </w:rPr>
            </w:pPr>
            <w:r>
              <w:rPr>
                <w:sz w:val="18"/>
                <w:szCs w:val="18"/>
              </w:rPr>
              <w:t>390194</w:t>
            </w:r>
          </w:p>
        </w:tc>
        <w:tc>
          <w:tcPr>
            <w:tcW w:w="825" w:type="dxa"/>
            <w:tcBorders>
              <w:top w:val="single" w:sz="2" w:space="0" w:color="000000"/>
              <w:left w:val="single" w:sz="2" w:space="0" w:color="000000"/>
              <w:bottom w:val="single" w:sz="2" w:space="0" w:color="000000"/>
              <w:right w:val="single" w:sz="2" w:space="0" w:color="000000"/>
            </w:tcBorders>
            <w:vAlign w:val="center"/>
          </w:tcPr>
          <w:p w14:paraId="76F19BEF" w14:textId="0DA0EF3F" w:rsidR="00DC213D" w:rsidRPr="00E220B9" w:rsidRDefault="00DC213D" w:rsidP="00DC213D">
            <w:pPr>
              <w:spacing w:line="259" w:lineRule="auto"/>
              <w:ind w:left="59"/>
              <w:jc w:val="left"/>
              <w:rPr>
                <w:sz w:val="16"/>
                <w:szCs w:val="16"/>
              </w:rPr>
            </w:pPr>
            <w:r>
              <w:rPr>
                <w:sz w:val="18"/>
                <w:szCs w:val="18"/>
              </w:rPr>
              <w:t>373972</w:t>
            </w:r>
          </w:p>
        </w:tc>
        <w:tc>
          <w:tcPr>
            <w:tcW w:w="828" w:type="dxa"/>
            <w:tcBorders>
              <w:top w:val="single" w:sz="2" w:space="0" w:color="000000"/>
              <w:left w:val="single" w:sz="2" w:space="0" w:color="000000"/>
              <w:bottom w:val="single" w:sz="2" w:space="0" w:color="000000"/>
              <w:right w:val="single" w:sz="2" w:space="0" w:color="000000"/>
            </w:tcBorders>
            <w:vAlign w:val="center"/>
          </w:tcPr>
          <w:p w14:paraId="2DF827AC" w14:textId="7206F231" w:rsidR="00DC213D" w:rsidRPr="00E220B9" w:rsidRDefault="00DC213D" w:rsidP="00DC213D">
            <w:pPr>
              <w:spacing w:line="259" w:lineRule="auto"/>
              <w:ind w:left="59"/>
              <w:jc w:val="left"/>
              <w:rPr>
                <w:sz w:val="16"/>
                <w:szCs w:val="16"/>
              </w:rPr>
            </w:pPr>
            <w:r>
              <w:rPr>
                <w:sz w:val="18"/>
                <w:szCs w:val="18"/>
              </w:rPr>
              <w:t>344171</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2416B11A" w14:textId="0F862562" w:rsidR="00DC213D" w:rsidRPr="00E220B9" w:rsidRDefault="00DC213D" w:rsidP="00DC213D">
            <w:pPr>
              <w:spacing w:line="259" w:lineRule="auto"/>
              <w:ind w:left="59"/>
              <w:jc w:val="left"/>
              <w:rPr>
                <w:sz w:val="16"/>
                <w:szCs w:val="16"/>
              </w:rPr>
            </w:pPr>
            <w:r>
              <w:rPr>
                <w:sz w:val="18"/>
                <w:szCs w:val="18"/>
              </w:rPr>
              <w:t>303032</w:t>
            </w:r>
          </w:p>
        </w:tc>
        <w:tc>
          <w:tcPr>
            <w:tcW w:w="741" w:type="dxa"/>
            <w:tcBorders>
              <w:top w:val="single" w:sz="2" w:space="0" w:color="000000"/>
              <w:left w:val="single" w:sz="2" w:space="0" w:color="000000"/>
              <w:bottom w:val="single" w:sz="2" w:space="0" w:color="000000"/>
              <w:right w:val="single" w:sz="2" w:space="0" w:color="000000"/>
            </w:tcBorders>
            <w:vAlign w:val="center"/>
          </w:tcPr>
          <w:p w14:paraId="4B81C30E" w14:textId="21A54C3F" w:rsidR="00DC213D" w:rsidRPr="00E220B9" w:rsidRDefault="00DC213D" w:rsidP="00DC213D">
            <w:pPr>
              <w:spacing w:line="259" w:lineRule="auto"/>
              <w:ind w:left="59"/>
              <w:jc w:val="left"/>
              <w:rPr>
                <w:rFonts w:ascii="Calibri" w:hAnsi="Calibri" w:cs="Calibri"/>
                <w:sz w:val="20"/>
                <w:szCs w:val="20"/>
              </w:rPr>
            </w:pPr>
            <w:r>
              <w:rPr>
                <w:sz w:val="18"/>
                <w:szCs w:val="18"/>
              </w:rPr>
              <w:t>310432</w:t>
            </w:r>
          </w:p>
        </w:tc>
        <w:tc>
          <w:tcPr>
            <w:tcW w:w="851" w:type="dxa"/>
            <w:tcBorders>
              <w:top w:val="single" w:sz="2" w:space="0" w:color="000000"/>
              <w:left w:val="single" w:sz="2" w:space="0" w:color="000000"/>
              <w:bottom w:val="single" w:sz="2" w:space="0" w:color="000000"/>
              <w:right w:val="single" w:sz="2" w:space="0" w:color="000000"/>
            </w:tcBorders>
            <w:vAlign w:val="center"/>
          </w:tcPr>
          <w:p w14:paraId="1594EE17" w14:textId="2854E384" w:rsidR="00DC213D" w:rsidRPr="00E220B9" w:rsidRDefault="00DC213D" w:rsidP="00DC213D">
            <w:pPr>
              <w:spacing w:line="259" w:lineRule="auto"/>
              <w:ind w:left="59"/>
              <w:jc w:val="left"/>
              <w:rPr>
                <w:sz w:val="16"/>
                <w:szCs w:val="16"/>
              </w:rPr>
            </w:pPr>
            <w:bookmarkStart w:id="547" w:name="OLE_LINK1"/>
            <w:r>
              <w:rPr>
                <w:rFonts w:asciiTheme="majorHAnsi" w:hAnsiTheme="majorHAnsi"/>
                <w:sz w:val="18"/>
                <w:szCs w:val="18"/>
              </w:rPr>
              <w:t>282686</w:t>
            </w:r>
            <w:bookmarkEnd w:id="547"/>
          </w:p>
        </w:tc>
        <w:tc>
          <w:tcPr>
            <w:tcW w:w="850" w:type="dxa"/>
            <w:tcBorders>
              <w:top w:val="single" w:sz="2" w:space="0" w:color="000000"/>
              <w:left w:val="single" w:sz="2" w:space="0" w:color="000000"/>
              <w:bottom w:val="single" w:sz="2" w:space="0" w:color="000000"/>
              <w:right w:val="single" w:sz="2" w:space="0" w:color="000000"/>
            </w:tcBorders>
            <w:vAlign w:val="center"/>
          </w:tcPr>
          <w:p w14:paraId="0D7EB250" w14:textId="5BA8FA4C" w:rsidR="00DC213D" w:rsidRPr="00E220B9" w:rsidRDefault="00DC213D" w:rsidP="00DC213D">
            <w:pPr>
              <w:spacing w:line="259" w:lineRule="auto"/>
              <w:ind w:left="59"/>
              <w:jc w:val="left"/>
              <w:rPr>
                <w:sz w:val="16"/>
                <w:szCs w:val="16"/>
              </w:rPr>
            </w:pPr>
            <w:r>
              <w:rPr>
                <w:rFonts w:asciiTheme="majorHAnsi" w:hAnsiTheme="majorHAnsi"/>
                <w:sz w:val="18"/>
                <w:szCs w:val="18"/>
              </w:rPr>
              <w:t>231263</w:t>
            </w:r>
          </w:p>
        </w:tc>
        <w:tc>
          <w:tcPr>
            <w:tcW w:w="851" w:type="dxa"/>
            <w:tcBorders>
              <w:top w:val="single" w:sz="2" w:space="0" w:color="000000"/>
              <w:left w:val="single" w:sz="2" w:space="0" w:color="000000"/>
              <w:bottom w:val="single" w:sz="2" w:space="0" w:color="000000"/>
              <w:right w:val="single" w:sz="2" w:space="0" w:color="000000"/>
            </w:tcBorders>
            <w:vAlign w:val="center"/>
          </w:tcPr>
          <w:p w14:paraId="508B6541" w14:textId="7C970A0D" w:rsidR="00DC213D" w:rsidRPr="00E220B9" w:rsidRDefault="00DC213D" w:rsidP="00DC213D">
            <w:pPr>
              <w:spacing w:line="259" w:lineRule="auto"/>
              <w:ind w:left="59"/>
              <w:jc w:val="left"/>
              <w:rPr>
                <w:sz w:val="16"/>
                <w:szCs w:val="16"/>
              </w:rPr>
            </w:pPr>
            <w:r>
              <w:rPr>
                <w:rFonts w:asciiTheme="majorHAnsi" w:hAnsiTheme="majorHAnsi"/>
                <w:sz w:val="18"/>
                <w:szCs w:val="18"/>
              </w:rPr>
              <w:t>176617</w:t>
            </w:r>
          </w:p>
        </w:tc>
        <w:tc>
          <w:tcPr>
            <w:tcW w:w="709" w:type="dxa"/>
            <w:tcBorders>
              <w:top w:val="single" w:sz="2" w:space="0" w:color="000000"/>
              <w:left w:val="single" w:sz="2" w:space="0" w:color="000000"/>
              <w:bottom w:val="single" w:sz="2" w:space="0" w:color="000000"/>
              <w:right w:val="single" w:sz="2" w:space="0" w:color="000000"/>
            </w:tcBorders>
            <w:vAlign w:val="center"/>
          </w:tcPr>
          <w:p w14:paraId="0EB83F50" w14:textId="496989C3" w:rsidR="00DC213D" w:rsidRPr="00E220B9" w:rsidRDefault="00DC213D" w:rsidP="00DC213D">
            <w:pPr>
              <w:spacing w:line="259" w:lineRule="auto"/>
              <w:ind w:left="59"/>
              <w:jc w:val="left"/>
              <w:rPr>
                <w:sz w:val="16"/>
                <w:szCs w:val="16"/>
              </w:rPr>
            </w:pPr>
            <w:r>
              <w:rPr>
                <w:rFonts w:asciiTheme="majorHAnsi" w:hAnsiTheme="majorHAnsi"/>
                <w:sz w:val="18"/>
                <w:szCs w:val="18"/>
              </w:rPr>
              <w:t>117863</w:t>
            </w:r>
          </w:p>
        </w:tc>
        <w:tc>
          <w:tcPr>
            <w:tcW w:w="850" w:type="dxa"/>
            <w:tcBorders>
              <w:top w:val="single" w:sz="2" w:space="0" w:color="000000"/>
              <w:left w:val="single" w:sz="2" w:space="0" w:color="000000"/>
              <w:bottom w:val="single" w:sz="2" w:space="0" w:color="000000"/>
              <w:right w:val="single" w:sz="2" w:space="0" w:color="000000"/>
            </w:tcBorders>
            <w:vAlign w:val="center"/>
          </w:tcPr>
          <w:p w14:paraId="4D61AB97" w14:textId="70D6CD30" w:rsidR="00DC213D" w:rsidRPr="00E220B9" w:rsidRDefault="00DC213D" w:rsidP="00DC213D">
            <w:pPr>
              <w:spacing w:line="259" w:lineRule="auto"/>
              <w:ind w:left="59"/>
              <w:jc w:val="left"/>
              <w:rPr>
                <w:sz w:val="16"/>
                <w:szCs w:val="16"/>
              </w:rPr>
            </w:pPr>
            <w:r w:rsidRPr="000B08DE">
              <w:rPr>
                <w:sz w:val="18"/>
              </w:rPr>
              <w:t>-64813</w:t>
            </w:r>
          </w:p>
        </w:tc>
      </w:tr>
      <w:tr w:rsidR="00DC213D" w14:paraId="1BED70DD" w14:textId="77777777" w:rsidTr="000046E5">
        <w:trPr>
          <w:trHeight w:val="344"/>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2D9F0D21" w14:textId="4D618A65" w:rsidR="00DC213D" w:rsidRDefault="00DC213D" w:rsidP="00DC213D">
            <w:pPr>
              <w:spacing w:line="259" w:lineRule="auto"/>
              <w:jc w:val="left"/>
            </w:pPr>
            <w:r w:rsidRPr="00141043">
              <w:t>CH</w:t>
            </w:r>
            <w:r w:rsidRPr="004F1EC8">
              <w:rPr>
                <w:vertAlign w:val="subscript"/>
              </w:rPr>
              <w:t>4</w:t>
            </w:r>
            <w:r>
              <w:t xml:space="preserve"> </w:t>
            </w:r>
            <w:r>
              <w:rPr>
                <w:sz w:val="18"/>
              </w:rPr>
              <w:t xml:space="preserve">hors UTCF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C77E62" w14:textId="7B8A91FC" w:rsidR="00DC213D" w:rsidRPr="00E220B9" w:rsidRDefault="00DC213D" w:rsidP="00DC213D">
            <w:pPr>
              <w:spacing w:line="259" w:lineRule="auto"/>
              <w:ind w:left="59"/>
              <w:jc w:val="left"/>
              <w:rPr>
                <w:sz w:val="16"/>
                <w:szCs w:val="16"/>
              </w:rPr>
            </w:pPr>
            <w:r>
              <w:rPr>
                <w:sz w:val="18"/>
                <w:szCs w:val="18"/>
              </w:rPr>
              <w:t>69161</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4855D0" w14:textId="0E0F71F4" w:rsidR="00DC213D" w:rsidRPr="00E220B9" w:rsidRDefault="00DC213D" w:rsidP="00DC213D">
            <w:pPr>
              <w:spacing w:line="259" w:lineRule="auto"/>
              <w:ind w:left="59"/>
              <w:jc w:val="left"/>
              <w:rPr>
                <w:sz w:val="16"/>
                <w:szCs w:val="16"/>
              </w:rPr>
            </w:pPr>
            <w:r>
              <w:rPr>
                <w:sz w:val="18"/>
                <w:szCs w:val="18"/>
              </w:rPr>
              <w:t>70383</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10C8BB" w14:textId="0193456F" w:rsidR="00DC213D" w:rsidRPr="00E220B9" w:rsidRDefault="00DC213D" w:rsidP="00DC213D">
            <w:pPr>
              <w:spacing w:line="259" w:lineRule="auto"/>
              <w:ind w:left="59"/>
              <w:jc w:val="left"/>
              <w:rPr>
                <w:sz w:val="16"/>
                <w:szCs w:val="16"/>
              </w:rPr>
            </w:pPr>
            <w:r>
              <w:rPr>
                <w:sz w:val="18"/>
                <w:szCs w:val="18"/>
              </w:rPr>
              <w:t>68603</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F1824D" w14:textId="09DB51C0" w:rsidR="00DC213D" w:rsidRPr="00E220B9" w:rsidRDefault="00DC213D" w:rsidP="00DC213D">
            <w:pPr>
              <w:spacing w:line="259" w:lineRule="auto"/>
              <w:ind w:left="59"/>
              <w:jc w:val="left"/>
              <w:rPr>
                <w:sz w:val="16"/>
                <w:szCs w:val="16"/>
              </w:rPr>
            </w:pPr>
            <w:r>
              <w:rPr>
                <w:sz w:val="18"/>
                <w:szCs w:val="18"/>
              </w:rPr>
              <w:t>63632</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20B20B" w14:textId="3DDBDC7D" w:rsidR="00DC213D" w:rsidRPr="00E220B9" w:rsidRDefault="00DC213D" w:rsidP="00DC213D">
            <w:pPr>
              <w:spacing w:line="259" w:lineRule="auto"/>
              <w:ind w:left="59"/>
              <w:jc w:val="left"/>
              <w:rPr>
                <w:sz w:val="16"/>
                <w:szCs w:val="16"/>
              </w:rPr>
            </w:pPr>
            <w:r>
              <w:rPr>
                <w:sz w:val="18"/>
                <w:szCs w:val="18"/>
              </w:rPr>
              <w:t>61663</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7A5B2363" w14:textId="36A66D0F" w:rsidR="00DC213D" w:rsidRPr="00E220B9" w:rsidRDefault="00DC213D" w:rsidP="00DC213D">
            <w:pPr>
              <w:spacing w:line="259" w:lineRule="auto"/>
              <w:ind w:left="59"/>
              <w:jc w:val="left"/>
              <w:rPr>
                <w:sz w:val="16"/>
                <w:szCs w:val="16"/>
              </w:rPr>
            </w:pPr>
            <w:r>
              <w:rPr>
                <w:sz w:val="18"/>
                <w:szCs w:val="18"/>
              </w:rPr>
              <w:t>57862</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216941" w14:textId="6A39196A" w:rsidR="00DC213D" w:rsidRPr="00E220B9" w:rsidRDefault="00DC213D" w:rsidP="00DC213D">
            <w:pPr>
              <w:spacing w:line="259" w:lineRule="auto"/>
              <w:ind w:left="59"/>
              <w:jc w:val="left"/>
              <w:rPr>
                <w:rFonts w:ascii="Calibri" w:hAnsi="Calibri" w:cs="Calibri"/>
                <w:sz w:val="20"/>
                <w:szCs w:val="20"/>
              </w:rPr>
            </w:pPr>
            <w:r>
              <w:rPr>
                <w:sz w:val="18"/>
                <w:szCs w:val="18"/>
              </w:rPr>
              <w:t>55740</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69938A" w14:textId="29B298BD" w:rsidR="00DC213D" w:rsidRPr="00E220B9" w:rsidRDefault="00DC213D" w:rsidP="00DC213D">
            <w:pPr>
              <w:spacing w:line="259" w:lineRule="auto"/>
              <w:ind w:left="59"/>
              <w:jc w:val="left"/>
              <w:rPr>
                <w:sz w:val="16"/>
                <w:szCs w:val="16"/>
              </w:rPr>
            </w:pPr>
            <w:r w:rsidRPr="00634E4C">
              <w:rPr>
                <w:rFonts w:asciiTheme="majorHAnsi" w:hAnsiTheme="majorHAnsi"/>
                <w:sz w:val="18"/>
              </w:rPr>
              <w:t>52531</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4DD14E" w14:textId="439A5EA8" w:rsidR="00DC213D" w:rsidRPr="00E220B9" w:rsidRDefault="00DC213D" w:rsidP="00DC213D">
            <w:pPr>
              <w:spacing w:line="259" w:lineRule="auto"/>
              <w:ind w:left="59"/>
              <w:jc w:val="left"/>
              <w:rPr>
                <w:sz w:val="16"/>
                <w:szCs w:val="16"/>
              </w:rPr>
            </w:pPr>
            <w:r w:rsidRPr="00634E4C">
              <w:rPr>
                <w:rFonts w:asciiTheme="majorHAnsi" w:hAnsiTheme="majorHAnsi"/>
                <w:sz w:val="18"/>
              </w:rPr>
              <w:t>47947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634B57" w14:textId="142E1E43" w:rsidR="00DC213D" w:rsidRPr="00E220B9" w:rsidRDefault="00DC213D" w:rsidP="00DC213D">
            <w:pPr>
              <w:spacing w:line="259" w:lineRule="auto"/>
              <w:ind w:left="59"/>
              <w:jc w:val="left"/>
              <w:rPr>
                <w:sz w:val="16"/>
                <w:szCs w:val="16"/>
              </w:rPr>
            </w:pPr>
            <w:r w:rsidRPr="00634E4C">
              <w:rPr>
                <w:rFonts w:asciiTheme="majorHAnsi" w:hAnsiTheme="majorHAnsi"/>
                <w:sz w:val="18"/>
              </w:rPr>
              <w:t>44507</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4E36AD" w14:textId="484BB1E7" w:rsidR="00DC213D" w:rsidRPr="00E220B9" w:rsidRDefault="00DC213D" w:rsidP="00DC213D">
            <w:pPr>
              <w:spacing w:line="259" w:lineRule="auto"/>
              <w:ind w:left="59"/>
              <w:jc w:val="left"/>
              <w:rPr>
                <w:sz w:val="16"/>
                <w:szCs w:val="16"/>
              </w:rPr>
            </w:pPr>
            <w:r w:rsidRPr="00634E4C">
              <w:rPr>
                <w:rFonts w:asciiTheme="majorHAnsi" w:hAnsiTheme="majorHAnsi"/>
                <w:sz w:val="18"/>
              </w:rPr>
              <w:t>41496</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9945E2C" w14:textId="1AF4C249" w:rsidR="00DC213D" w:rsidRPr="00E220B9" w:rsidRDefault="00DC213D" w:rsidP="00DC213D">
            <w:pPr>
              <w:spacing w:line="259" w:lineRule="auto"/>
              <w:ind w:left="59"/>
              <w:jc w:val="left"/>
              <w:rPr>
                <w:sz w:val="16"/>
                <w:szCs w:val="16"/>
              </w:rPr>
            </w:pPr>
            <w:r w:rsidRPr="000B08DE">
              <w:rPr>
                <w:sz w:val="18"/>
              </w:rPr>
              <w:t>32465</w:t>
            </w:r>
          </w:p>
        </w:tc>
      </w:tr>
      <w:tr w:rsidR="00DC213D" w14:paraId="131BDE4C" w14:textId="77777777" w:rsidTr="00261D3D">
        <w:trPr>
          <w:trHeight w:val="347"/>
        </w:trPr>
        <w:tc>
          <w:tcPr>
            <w:tcW w:w="521" w:type="dxa"/>
            <w:tcBorders>
              <w:top w:val="single" w:sz="2" w:space="0" w:color="000000"/>
              <w:left w:val="single" w:sz="2" w:space="0" w:color="000000"/>
              <w:bottom w:val="single" w:sz="2" w:space="0" w:color="000000"/>
              <w:right w:val="single" w:sz="2" w:space="0" w:color="000000"/>
            </w:tcBorders>
          </w:tcPr>
          <w:p w14:paraId="7F0F8E92" w14:textId="5422D07C" w:rsidR="00DC213D" w:rsidRDefault="00DC213D" w:rsidP="00DC213D">
            <w:pPr>
              <w:spacing w:line="259" w:lineRule="auto"/>
              <w:jc w:val="left"/>
            </w:pPr>
            <w:r w:rsidRPr="00141043">
              <w:t>CH</w:t>
            </w:r>
            <w:r w:rsidRPr="004F1EC8">
              <w:rPr>
                <w:vertAlign w:val="subscript"/>
              </w:rPr>
              <w:t>4</w:t>
            </w:r>
            <w:r>
              <w:t xml:space="preserve"> </w:t>
            </w:r>
            <w:r>
              <w:rPr>
                <w:sz w:val="18"/>
              </w:rPr>
              <w:t xml:space="preserve">avec UTCF </w:t>
            </w:r>
          </w:p>
        </w:tc>
        <w:tc>
          <w:tcPr>
            <w:tcW w:w="826" w:type="dxa"/>
            <w:tcBorders>
              <w:top w:val="single" w:sz="2" w:space="0" w:color="000000"/>
              <w:left w:val="single" w:sz="2" w:space="0" w:color="000000"/>
              <w:bottom w:val="single" w:sz="2" w:space="0" w:color="000000"/>
              <w:right w:val="single" w:sz="2" w:space="0" w:color="000000"/>
            </w:tcBorders>
            <w:vAlign w:val="center"/>
          </w:tcPr>
          <w:p w14:paraId="12DD7166" w14:textId="3ACE3C6B" w:rsidR="00DC213D" w:rsidRPr="00E220B9" w:rsidRDefault="00DC213D" w:rsidP="00DC213D">
            <w:pPr>
              <w:spacing w:line="259" w:lineRule="auto"/>
              <w:ind w:left="59"/>
              <w:jc w:val="left"/>
              <w:rPr>
                <w:sz w:val="16"/>
                <w:szCs w:val="16"/>
              </w:rPr>
            </w:pPr>
            <w:r>
              <w:rPr>
                <w:sz w:val="18"/>
                <w:szCs w:val="18"/>
              </w:rPr>
              <w:t>70094</w:t>
            </w:r>
          </w:p>
        </w:tc>
        <w:tc>
          <w:tcPr>
            <w:tcW w:w="825" w:type="dxa"/>
            <w:tcBorders>
              <w:top w:val="single" w:sz="2" w:space="0" w:color="000000"/>
              <w:left w:val="single" w:sz="2" w:space="0" w:color="000000"/>
              <w:bottom w:val="single" w:sz="2" w:space="0" w:color="000000"/>
              <w:right w:val="single" w:sz="2" w:space="0" w:color="000000"/>
            </w:tcBorders>
            <w:vAlign w:val="center"/>
          </w:tcPr>
          <w:p w14:paraId="5454215B" w14:textId="14F09CCE" w:rsidR="00DC213D" w:rsidRPr="00E220B9" w:rsidRDefault="00DC213D" w:rsidP="00DC213D">
            <w:pPr>
              <w:spacing w:line="259" w:lineRule="auto"/>
              <w:ind w:left="59"/>
              <w:jc w:val="left"/>
              <w:rPr>
                <w:sz w:val="16"/>
                <w:szCs w:val="16"/>
              </w:rPr>
            </w:pPr>
            <w:r>
              <w:rPr>
                <w:sz w:val="18"/>
                <w:szCs w:val="18"/>
              </w:rPr>
              <w:t>74053</w:t>
            </w:r>
          </w:p>
        </w:tc>
        <w:tc>
          <w:tcPr>
            <w:tcW w:w="825" w:type="dxa"/>
            <w:tcBorders>
              <w:top w:val="single" w:sz="2" w:space="0" w:color="000000"/>
              <w:left w:val="single" w:sz="2" w:space="0" w:color="000000"/>
              <w:bottom w:val="single" w:sz="2" w:space="0" w:color="000000"/>
              <w:right w:val="single" w:sz="2" w:space="0" w:color="000000"/>
            </w:tcBorders>
            <w:vAlign w:val="center"/>
          </w:tcPr>
          <w:p w14:paraId="3A908EF4" w14:textId="6DBC4CB2" w:rsidR="00DC213D" w:rsidRPr="00E220B9" w:rsidRDefault="00DC213D" w:rsidP="00DC213D">
            <w:pPr>
              <w:spacing w:line="259" w:lineRule="auto"/>
              <w:ind w:left="59"/>
              <w:jc w:val="left"/>
              <w:rPr>
                <w:sz w:val="16"/>
                <w:szCs w:val="16"/>
              </w:rPr>
            </w:pPr>
            <w:r>
              <w:rPr>
                <w:sz w:val="18"/>
                <w:szCs w:val="18"/>
              </w:rPr>
              <w:t>70296</w:t>
            </w:r>
          </w:p>
        </w:tc>
        <w:tc>
          <w:tcPr>
            <w:tcW w:w="825" w:type="dxa"/>
            <w:tcBorders>
              <w:top w:val="single" w:sz="2" w:space="0" w:color="000000"/>
              <w:left w:val="single" w:sz="2" w:space="0" w:color="000000"/>
              <w:bottom w:val="single" w:sz="2" w:space="0" w:color="000000"/>
              <w:right w:val="single" w:sz="2" w:space="0" w:color="000000"/>
            </w:tcBorders>
            <w:vAlign w:val="center"/>
          </w:tcPr>
          <w:p w14:paraId="56C8F9E3" w14:textId="6BD73BE7" w:rsidR="00DC213D" w:rsidRPr="00E220B9" w:rsidRDefault="00DC213D" w:rsidP="00DC213D">
            <w:pPr>
              <w:spacing w:line="259" w:lineRule="auto"/>
              <w:ind w:left="59"/>
              <w:jc w:val="left"/>
              <w:rPr>
                <w:sz w:val="16"/>
                <w:szCs w:val="16"/>
              </w:rPr>
            </w:pPr>
            <w:r>
              <w:rPr>
                <w:sz w:val="18"/>
                <w:szCs w:val="18"/>
              </w:rPr>
              <w:t>64820</w:t>
            </w:r>
          </w:p>
        </w:tc>
        <w:tc>
          <w:tcPr>
            <w:tcW w:w="828" w:type="dxa"/>
            <w:tcBorders>
              <w:top w:val="single" w:sz="2" w:space="0" w:color="000000"/>
              <w:left w:val="single" w:sz="2" w:space="0" w:color="000000"/>
              <w:bottom w:val="single" w:sz="2" w:space="0" w:color="000000"/>
              <w:right w:val="single" w:sz="2" w:space="0" w:color="000000"/>
            </w:tcBorders>
            <w:vAlign w:val="center"/>
          </w:tcPr>
          <w:p w14:paraId="77274BBC" w14:textId="3B21F4D8" w:rsidR="00DC213D" w:rsidRPr="00E220B9" w:rsidRDefault="00DC213D" w:rsidP="00DC213D">
            <w:pPr>
              <w:spacing w:line="259" w:lineRule="auto"/>
              <w:ind w:left="59"/>
              <w:jc w:val="left"/>
              <w:rPr>
                <w:sz w:val="16"/>
                <w:szCs w:val="16"/>
              </w:rPr>
            </w:pPr>
            <w:r>
              <w:rPr>
                <w:sz w:val="18"/>
                <w:szCs w:val="18"/>
              </w:rPr>
              <w:t>62793</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39915612" w14:textId="20BAD9EA" w:rsidR="00DC213D" w:rsidRPr="00E220B9" w:rsidRDefault="00DC213D" w:rsidP="00DC213D">
            <w:pPr>
              <w:spacing w:line="259" w:lineRule="auto"/>
              <w:ind w:left="59"/>
              <w:jc w:val="left"/>
              <w:rPr>
                <w:sz w:val="16"/>
                <w:szCs w:val="16"/>
              </w:rPr>
            </w:pPr>
            <w:r>
              <w:rPr>
                <w:sz w:val="18"/>
                <w:szCs w:val="18"/>
              </w:rPr>
              <w:t>58940</w:t>
            </w:r>
          </w:p>
        </w:tc>
        <w:tc>
          <w:tcPr>
            <w:tcW w:w="741" w:type="dxa"/>
            <w:tcBorders>
              <w:top w:val="single" w:sz="2" w:space="0" w:color="000000"/>
              <w:left w:val="single" w:sz="2" w:space="0" w:color="000000"/>
              <w:bottom w:val="single" w:sz="2" w:space="0" w:color="000000"/>
              <w:right w:val="single" w:sz="2" w:space="0" w:color="000000"/>
            </w:tcBorders>
            <w:vAlign w:val="center"/>
          </w:tcPr>
          <w:p w14:paraId="299A3E85" w14:textId="01CC9466" w:rsidR="00DC213D" w:rsidRPr="00E220B9" w:rsidRDefault="00DC213D" w:rsidP="00DC213D">
            <w:pPr>
              <w:spacing w:line="259" w:lineRule="auto"/>
              <w:ind w:left="59"/>
              <w:jc w:val="left"/>
              <w:rPr>
                <w:rFonts w:ascii="Calibri" w:hAnsi="Calibri" w:cs="Calibri"/>
                <w:sz w:val="20"/>
                <w:szCs w:val="20"/>
              </w:rPr>
            </w:pPr>
            <w:r>
              <w:rPr>
                <w:sz w:val="18"/>
                <w:szCs w:val="18"/>
              </w:rPr>
              <w:t>56877</w:t>
            </w:r>
          </w:p>
        </w:tc>
        <w:tc>
          <w:tcPr>
            <w:tcW w:w="851" w:type="dxa"/>
            <w:tcBorders>
              <w:top w:val="single" w:sz="2" w:space="0" w:color="000000"/>
              <w:left w:val="single" w:sz="2" w:space="0" w:color="000000"/>
              <w:bottom w:val="single" w:sz="2" w:space="0" w:color="000000"/>
              <w:right w:val="single" w:sz="2" w:space="0" w:color="000000"/>
            </w:tcBorders>
            <w:vAlign w:val="center"/>
          </w:tcPr>
          <w:p w14:paraId="179FC43D" w14:textId="3B469883" w:rsidR="00DC213D" w:rsidRPr="00E220B9" w:rsidRDefault="00DC213D" w:rsidP="00DC213D">
            <w:pPr>
              <w:spacing w:line="259" w:lineRule="auto"/>
              <w:ind w:left="59"/>
              <w:jc w:val="left"/>
              <w:rPr>
                <w:sz w:val="16"/>
                <w:szCs w:val="16"/>
              </w:rPr>
            </w:pPr>
            <w:r w:rsidRPr="00634E4C">
              <w:rPr>
                <w:rFonts w:asciiTheme="majorHAnsi" w:hAnsiTheme="majorHAnsi"/>
                <w:sz w:val="18"/>
              </w:rPr>
              <w:t>53671</w:t>
            </w:r>
          </w:p>
        </w:tc>
        <w:tc>
          <w:tcPr>
            <w:tcW w:w="850" w:type="dxa"/>
            <w:tcBorders>
              <w:top w:val="single" w:sz="2" w:space="0" w:color="000000"/>
              <w:left w:val="single" w:sz="2" w:space="0" w:color="000000"/>
              <w:bottom w:val="single" w:sz="2" w:space="0" w:color="000000"/>
              <w:right w:val="single" w:sz="2" w:space="0" w:color="000000"/>
            </w:tcBorders>
            <w:vAlign w:val="center"/>
          </w:tcPr>
          <w:p w14:paraId="67380783" w14:textId="1E559D67" w:rsidR="00DC213D" w:rsidRPr="00E220B9" w:rsidRDefault="00DC213D" w:rsidP="00DC213D">
            <w:pPr>
              <w:spacing w:line="259" w:lineRule="auto"/>
              <w:ind w:left="59"/>
              <w:jc w:val="left"/>
              <w:rPr>
                <w:sz w:val="16"/>
                <w:szCs w:val="16"/>
              </w:rPr>
            </w:pPr>
            <w:r w:rsidRPr="00634E4C">
              <w:rPr>
                <w:rFonts w:asciiTheme="majorHAnsi" w:hAnsiTheme="majorHAnsi"/>
                <w:sz w:val="18"/>
              </w:rPr>
              <w:t>49093</w:t>
            </w:r>
          </w:p>
        </w:tc>
        <w:tc>
          <w:tcPr>
            <w:tcW w:w="851" w:type="dxa"/>
            <w:tcBorders>
              <w:top w:val="single" w:sz="2" w:space="0" w:color="000000"/>
              <w:left w:val="single" w:sz="2" w:space="0" w:color="000000"/>
              <w:bottom w:val="single" w:sz="2" w:space="0" w:color="000000"/>
              <w:right w:val="single" w:sz="2" w:space="0" w:color="000000"/>
            </w:tcBorders>
            <w:vAlign w:val="center"/>
          </w:tcPr>
          <w:p w14:paraId="6B8524FF" w14:textId="55843AA7" w:rsidR="00DC213D" w:rsidRPr="00E220B9" w:rsidRDefault="00DC213D" w:rsidP="00DC213D">
            <w:pPr>
              <w:spacing w:line="259" w:lineRule="auto"/>
              <w:ind w:left="59"/>
              <w:jc w:val="left"/>
              <w:rPr>
                <w:sz w:val="16"/>
                <w:szCs w:val="16"/>
              </w:rPr>
            </w:pPr>
            <w:r w:rsidRPr="00634E4C">
              <w:rPr>
                <w:rFonts w:asciiTheme="majorHAnsi" w:hAnsiTheme="majorHAnsi"/>
                <w:sz w:val="18"/>
              </w:rPr>
              <w:t>45641</w:t>
            </w:r>
          </w:p>
        </w:tc>
        <w:tc>
          <w:tcPr>
            <w:tcW w:w="709" w:type="dxa"/>
            <w:tcBorders>
              <w:top w:val="single" w:sz="2" w:space="0" w:color="000000"/>
              <w:left w:val="single" w:sz="2" w:space="0" w:color="000000"/>
              <w:bottom w:val="single" w:sz="2" w:space="0" w:color="000000"/>
              <w:right w:val="single" w:sz="2" w:space="0" w:color="000000"/>
            </w:tcBorders>
            <w:vAlign w:val="center"/>
          </w:tcPr>
          <w:p w14:paraId="6DE946DE" w14:textId="4CCB0863" w:rsidR="00DC213D" w:rsidRPr="00E220B9" w:rsidRDefault="00DC213D" w:rsidP="00DC213D">
            <w:pPr>
              <w:spacing w:line="259" w:lineRule="auto"/>
              <w:ind w:left="59"/>
              <w:jc w:val="left"/>
              <w:rPr>
                <w:sz w:val="16"/>
                <w:szCs w:val="16"/>
              </w:rPr>
            </w:pPr>
            <w:r w:rsidRPr="00634E4C">
              <w:rPr>
                <w:rFonts w:asciiTheme="majorHAnsi" w:hAnsiTheme="majorHAnsi"/>
                <w:sz w:val="18"/>
              </w:rPr>
              <w:t>42610</w:t>
            </w:r>
          </w:p>
        </w:tc>
        <w:tc>
          <w:tcPr>
            <w:tcW w:w="850" w:type="dxa"/>
            <w:tcBorders>
              <w:top w:val="single" w:sz="2" w:space="0" w:color="000000"/>
              <w:left w:val="single" w:sz="2" w:space="0" w:color="000000"/>
              <w:bottom w:val="single" w:sz="2" w:space="0" w:color="000000"/>
              <w:right w:val="single" w:sz="2" w:space="0" w:color="000000"/>
            </w:tcBorders>
            <w:vAlign w:val="center"/>
          </w:tcPr>
          <w:p w14:paraId="295092C8" w14:textId="240D9123" w:rsidR="00DC213D" w:rsidRPr="00E220B9" w:rsidRDefault="00DC213D" w:rsidP="00DC213D">
            <w:pPr>
              <w:spacing w:line="259" w:lineRule="auto"/>
              <w:ind w:left="59"/>
              <w:jc w:val="left"/>
              <w:rPr>
                <w:sz w:val="16"/>
                <w:szCs w:val="16"/>
              </w:rPr>
            </w:pPr>
            <w:r w:rsidRPr="000B08DE">
              <w:rPr>
                <w:sz w:val="18"/>
              </w:rPr>
              <w:t>33519</w:t>
            </w:r>
          </w:p>
        </w:tc>
      </w:tr>
      <w:tr w:rsidR="00DC213D" w14:paraId="7EC4F568" w14:textId="77777777" w:rsidTr="000046E5">
        <w:trPr>
          <w:trHeight w:val="342"/>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2F2BC2B5" w14:textId="7F8E9EEB" w:rsidR="00DC213D" w:rsidRDefault="00DC213D" w:rsidP="00DC213D">
            <w:pPr>
              <w:spacing w:line="259" w:lineRule="auto"/>
              <w:jc w:val="left"/>
            </w:pPr>
            <w:r w:rsidRPr="00141043">
              <w:t>N</w:t>
            </w:r>
            <w:r w:rsidRPr="004F1EC8">
              <w:rPr>
                <w:vertAlign w:val="subscript"/>
              </w:rPr>
              <w:t>2</w:t>
            </w:r>
            <w:r w:rsidRPr="00141043">
              <w:t>O</w:t>
            </w:r>
            <w:r>
              <w:t xml:space="preserve"> </w:t>
            </w:r>
            <w:r>
              <w:rPr>
                <w:sz w:val="18"/>
              </w:rPr>
              <w:t xml:space="preserve">hors UTCF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D95CF7" w14:textId="3785B705" w:rsidR="00DC213D" w:rsidRPr="00E220B9" w:rsidRDefault="00DC213D" w:rsidP="00DC213D">
            <w:pPr>
              <w:spacing w:line="259" w:lineRule="auto"/>
              <w:ind w:left="59"/>
              <w:jc w:val="left"/>
              <w:rPr>
                <w:sz w:val="16"/>
                <w:szCs w:val="16"/>
              </w:rPr>
            </w:pPr>
            <w:r>
              <w:rPr>
                <w:sz w:val="18"/>
                <w:szCs w:val="18"/>
              </w:rPr>
              <w:t>64725</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D046F2" w14:textId="1FCB0359" w:rsidR="00DC213D" w:rsidRPr="00E220B9" w:rsidRDefault="00DC213D" w:rsidP="00DC213D">
            <w:pPr>
              <w:spacing w:line="259" w:lineRule="auto"/>
              <w:ind w:left="59"/>
              <w:jc w:val="left"/>
              <w:rPr>
                <w:sz w:val="16"/>
                <w:szCs w:val="16"/>
              </w:rPr>
            </w:pPr>
            <w:r>
              <w:rPr>
                <w:sz w:val="18"/>
                <w:szCs w:val="18"/>
              </w:rPr>
              <w:t>65937</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3E9C3D" w14:textId="4A4C4094" w:rsidR="00DC213D" w:rsidRPr="00E220B9" w:rsidRDefault="00DC213D" w:rsidP="00DC213D">
            <w:pPr>
              <w:spacing w:line="259" w:lineRule="auto"/>
              <w:ind w:left="59"/>
              <w:jc w:val="left"/>
              <w:rPr>
                <w:sz w:val="16"/>
                <w:szCs w:val="16"/>
              </w:rPr>
            </w:pPr>
            <w:r>
              <w:rPr>
                <w:sz w:val="18"/>
                <w:szCs w:val="18"/>
              </w:rPr>
              <w:t>53681</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FCA068" w14:textId="6A564009" w:rsidR="00DC213D" w:rsidRPr="00E220B9" w:rsidRDefault="00DC213D" w:rsidP="00DC213D">
            <w:pPr>
              <w:spacing w:line="259" w:lineRule="auto"/>
              <w:ind w:left="59"/>
              <w:jc w:val="left"/>
              <w:rPr>
                <w:sz w:val="16"/>
                <w:szCs w:val="16"/>
              </w:rPr>
            </w:pPr>
            <w:r>
              <w:rPr>
                <w:sz w:val="18"/>
                <w:szCs w:val="18"/>
              </w:rPr>
              <w:t>46307</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A2A439" w14:textId="09E3840C" w:rsidR="00DC213D" w:rsidRPr="00E220B9" w:rsidRDefault="00DC213D" w:rsidP="00DC213D">
            <w:pPr>
              <w:spacing w:line="259" w:lineRule="auto"/>
              <w:ind w:left="59"/>
              <w:jc w:val="left"/>
              <w:rPr>
                <w:sz w:val="16"/>
                <w:szCs w:val="16"/>
              </w:rPr>
            </w:pPr>
            <w:r>
              <w:rPr>
                <w:sz w:val="18"/>
                <w:szCs w:val="18"/>
              </w:rPr>
              <w:t>40478</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12831506" w14:textId="784D6D9D" w:rsidR="00DC213D" w:rsidRPr="00E220B9" w:rsidRDefault="00DC213D" w:rsidP="00DC213D">
            <w:pPr>
              <w:spacing w:line="259" w:lineRule="auto"/>
              <w:ind w:left="59"/>
              <w:jc w:val="left"/>
              <w:rPr>
                <w:sz w:val="16"/>
                <w:szCs w:val="16"/>
              </w:rPr>
            </w:pPr>
            <w:r>
              <w:rPr>
                <w:sz w:val="18"/>
                <w:szCs w:val="18"/>
              </w:rPr>
              <w:t>39895</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0DABE5" w14:textId="2A4389A5" w:rsidR="00DC213D" w:rsidRPr="00E220B9" w:rsidRDefault="00DC213D" w:rsidP="00DC213D">
            <w:pPr>
              <w:spacing w:line="259" w:lineRule="auto"/>
              <w:ind w:left="59"/>
              <w:jc w:val="left"/>
              <w:rPr>
                <w:rFonts w:ascii="Calibri" w:hAnsi="Calibri" w:cs="Calibri"/>
                <w:sz w:val="20"/>
                <w:szCs w:val="20"/>
              </w:rPr>
            </w:pPr>
            <w:r>
              <w:rPr>
                <w:sz w:val="18"/>
                <w:szCs w:val="18"/>
              </w:rPr>
              <w:t>38071</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CA3376" w14:textId="4D731526" w:rsidR="00DC213D" w:rsidRPr="00E220B9" w:rsidRDefault="00DC213D" w:rsidP="00DC213D">
            <w:pPr>
              <w:spacing w:line="259" w:lineRule="auto"/>
              <w:ind w:left="59"/>
              <w:jc w:val="left"/>
              <w:rPr>
                <w:sz w:val="16"/>
                <w:szCs w:val="16"/>
              </w:rPr>
            </w:pPr>
            <w:r w:rsidRPr="00634E4C">
              <w:rPr>
                <w:rFonts w:asciiTheme="majorHAnsi" w:hAnsiTheme="majorHAnsi"/>
                <w:sz w:val="18"/>
              </w:rPr>
              <w:t>40268</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D251D1E" w14:textId="52FF290C" w:rsidR="00DC213D" w:rsidRPr="00E220B9" w:rsidRDefault="00DC213D" w:rsidP="00DC213D">
            <w:pPr>
              <w:spacing w:line="259" w:lineRule="auto"/>
              <w:ind w:left="59"/>
              <w:jc w:val="left"/>
              <w:rPr>
                <w:sz w:val="16"/>
                <w:szCs w:val="16"/>
              </w:rPr>
            </w:pPr>
            <w:r w:rsidRPr="00634E4C">
              <w:rPr>
                <w:rFonts w:asciiTheme="majorHAnsi" w:hAnsiTheme="majorHAnsi"/>
                <w:sz w:val="18"/>
              </w:rPr>
              <w:t>37693</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DAED47" w14:textId="21D68DD3" w:rsidR="00DC213D" w:rsidRPr="00E220B9" w:rsidRDefault="00DC213D" w:rsidP="00DC213D">
            <w:pPr>
              <w:spacing w:line="259" w:lineRule="auto"/>
              <w:ind w:left="59"/>
              <w:jc w:val="left"/>
              <w:rPr>
                <w:sz w:val="16"/>
                <w:szCs w:val="16"/>
              </w:rPr>
            </w:pPr>
            <w:r w:rsidRPr="00634E4C">
              <w:rPr>
                <w:rFonts w:asciiTheme="majorHAnsi" w:hAnsiTheme="majorHAnsi"/>
                <w:sz w:val="18"/>
              </w:rPr>
              <w:t>35559</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CD8D7E" w14:textId="3F0B90AC" w:rsidR="00DC213D" w:rsidRPr="00E220B9" w:rsidRDefault="00DC213D" w:rsidP="00DC213D">
            <w:pPr>
              <w:spacing w:line="259" w:lineRule="auto"/>
              <w:ind w:left="59"/>
              <w:jc w:val="left"/>
              <w:rPr>
                <w:sz w:val="16"/>
                <w:szCs w:val="16"/>
              </w:rPr>
            </w:pPr>
            <w:r w:rsidRPr="00634E4C">
              <w:rPr>
                <w:rFonts w:asciiTheme="majorHAnsi" w:hAnsiTheme="majorHAnsi"/>
                <w:sz w:val="18"/>
              </w:rPr>
              <w:t>33721</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B9E64E" w14:textId="39B9F917" w:rsidR="00DC213D" w:rsidRPr="00E220B9" w:rsidRDefault="00DC213D" w:rsidP="00DC213D">
            <w:pPr>
              <w:spacing w:line="259" w:lineRule="auto"/>
              <w:ind w:left="59"/>
              <w:jc w:val="left"/>
              <w:rPr>
                <w:sz w:val="16"/>
                <w:szCs w:val="16"/>
              </w:rPr>
            </w:pPr>
            <w:r w:rsidRPr="000B08DE">
              <w:rPr>
                <w:sz w:val="18"/>
              </w:rPr>
              <w:t>22856</w:t>
            </w:r>
          </w:p>
        </w:tc>
      </w:tr>
      <w:tr w:rsidR="00DC213D" w14:paraId="6D77DDB4" w14:textId="77777777" w:rsidTr="00261D3D">
        <w:trPr>
          <w:trHeight w:val="347"/>
        </w:trPr>
        <w:tc>
          <w:tcPr>
            <w:tcW w:w="521" w:type="dxa"/>
            <w:tcBorders>
              <w:top w:val="single" w:sz="2" w:space="0" w:color="000000"/>
              <w:left w:val="single" w:sz="2" w:space="0" w:color="000000"/>
              <w:bottom w:val="single" w:sz="2" w:space="0" w:color="000000"/>
              <w:right w:val="single" w:sz="2" w:space="0" w:color="000000"/>
            </w:tcBorders>
          </w:tcPr>
          <w:p w14:paraId="65078406" w14:textId="33493F35" w:rsidR="00DC213D" w:rsidRDefault="00DC213D" w:rsidP="00DC213D">
            <w:pPr>
              <w:spacing w:line="259" w:lineRule="auto"/>
              <w:jc w:val="left"/>
            </w:pPr>
            <w:r w:rsidRPr="00141043">
              <w:t>N</w:t>
            </w:r>
            <w:r w:rsidRPr="004F1EC8">
              <w:rPr>
                <w:vertAlign w:val="subscript"/>
              </w:rPr>
              <w:t>2</w:t>
            </w:r>
            <w:r w:rsidRPr="00141043">
              <w:t>O</w:t>
            </w:r>
            <w:r>
              <w:t xml:space="preserve"> </w:t>
            </w:r>
            <w:r>
              <w:rPr>
                <w:sz w:val="18"/>
              </w:rPr>
              <w:t xml:space="preserve">avec UTCF </w:t>
            </w:r>
          </w:p>
        </w:tc>
        <w:tc>
          <w:tcPr>
            <w:tcW w:w="826" w:type="dxa"/>
            <w:tcBorders>
              <w:top w:val="single" w:sz="2" w:space="0" w:color="000000"/>
              <w:left w:val="single" w:sz="2" w:space="0" w:color="000000"/>
              <w:bottom w:val="single" w:sz="2" w:space="0" w:color="000000"/>
              <w:right w:val="single" w:sz="2" w:space="0" w:color="000000"/>
            </w:tcBorders>
            <w:vAlign w:val="center"/>
          </w:tcPr>
          <w:p w14:paraId="6C60D416" w14:textId="2E95C2B2" w:rsidR="00DC213D" w:rsidRPr="00E220B9" w:rsidRDefault="00DC213D" w:rsidP="00DC213D">
            <w:pPr>
              <w:spacing w:line="259" w:lineRule="auto"/>
              <w:ind w:left="59"/>
              <w:jc w:val="left"/>
              <w:rPr>
                <w:sz w:val="16"/>
                <w:szCs w:val="16"/>
              </w:rPr>
            </w:pPr>
            <w:r>
              <w:rPr>
                <w:sz w:val="18"/>
                <w:szCs w:val="18"/>
              </w:rPr>
              <w:t>67951</w:t>
            </w:r>
          </w:p>
        </w:tc>
        <w:tc>
          <w:tcPr>
            <w:tcW w:w="825" w:type="dxa"/>
            <w:tcBorders>
              <w:top w:val="single" w:sz="2" w:space="0" w:color="000000"/>
              <w:left w:val="single" w:sz="2" w:space="0" w:color="000000"/>
              <w:bottom w:val="single" w:sz="2" w:space="0" w:color="000000"/>
              <w:right w:val="single" w:sz="2" w:space="0" w:color="000000"/>
            </w:tcBorders>
            <w:vAlign w:val="center"/>
          </w:tcPr>
          <w:p w14:paraId="59B53E23" w14:textId="425AEA40" w:rsidR="00DC213D" w:rsidRPr="00E220B9" w:rsidRDefault="00DC213D" w:rsidP="00DC213D">
            <w:pPr>
              <w:spacing w:line="259" w:lineRule="auto"/>
              <w:ind w:left="59"/>
              <w:jc w:val="left"/>
              <w:rPr>
                <w:sz w:val="16"/>
                <w:szCs w:val="16"/>
              </w:rPr>
            </w:pPr>
            <w:r>
              <w:rPr>
                <w:sz w:val="18"/>
                <w:szCs w:val="18"/>
              </w:rPr>
              <w:t>69183</w:t>
            </w:r>
          </w:p>
        </w:tc>
        <w:tc>
          <w:tcPr>
            <w:tcW w:w="825" w:type="dxa"/>
            <w:tcBorders>
              <w:top w:val="single" w:sz="2" w:space="0" w:color="000000"/>
              <w:left w:val="single" w:sz="2" w:space="0" w:color="000000"/>
              <w:bottom w:val="single" w:sz="2" w:space="0" w:color="000000"/>
              <w:right w:val="single" w:sz="2" w:space="0" w:color="000000"/>
            </w:tcBorders>
            <w:vAlign w:val="center"/>
          </w:tcPr>
          <w:p w14:paraId="191D9F28" w14:textId="34D96CF2" w:rsidR="00DC213D" w:rsidRPr="00E220B9" w:rsidRDefault="00DC213D" w:rsidP="00DC213D">
            <w:pPr>
              <w:spacing w:line="259" w:lineRule="auto"/>
              <w:ind w:left="59"/>
              <w:jc w:val="left"/>
              <w:rPr>
                <w:sz w:val="16"/>
                <w:szCs w:val="16"/>
              </w:rPr>
            </w:pPr>
            <w:r>
              <w:rPr>
                <w:sz w:val="18"/>
                <w:szCs w:val="18"/>
              </w:rPr>
              <w:t>56873</w:t>
            </w:r>
          </w:p>
        </w:tc>
        <w:tc>
          <w:tcPr>
            <w:tcW w:w="825" w:type="dxa"/>
            <w:tcBorders>
              <w:top w:val="single" w:sz="2" w:space="0" w:color="000000"/>
              <w:left w:val="single" w:sz="2" w:space="0" w:color="000000"/>
              <w:bottom w:val="single" w:sz="2" w:space="0" w:color="000000"/>
              <w:right w:val="single" w:sz="2" w:space="0" w:color="000000"/>
            </w:tcBorders>
            <w:vAlign w:val="center"/>
          </w:tcPr>
          <w:p w14:paraId="206F7E3A" w14:textId="143555A3" w:rsidR="00DC213D" w:rsidRPr="00E220B9" w:rsidRDefault="00DC213D" w:rsidP="00DC213D">
            <w:pPr>
              <w:spacing w:line="259" w:lineRule="auto"/>
              <w:ind w:left="59"/>
              <w:jc w:val="left"/>
              <w:rPr>
                <w:sz w:val="16"/>
                <w:szCs w:val="16"/>
              </w:rPr>
            </w:pPr>
            <w:r>
              <w:rPr>
                <w:sz w:val="18"/>
                <w:szCs w:val="18"/>
              </w:rPr>
              <w:t>49279</w:t>
            </w:r>
          </w:p>
        </w:tc>
        <w:tc>
          <w:tcPr>
            <w:tcW w:w="828" w:type="dxa"/>
            <w:tcBorders>
              <w:top w:val="single" w:sz="2" w:space="0" w:color="000000"/>
              <w:left w:val="single" w:sz="2" w:space="0" w:color="000000"/>
              <w:bottom w:val="single" w:sz="2" w:space="0" w:color="000000"/>
              <w:right w:val="single" w:sz="2" w:space="0" w:color="000000"/>
            </w:tcBorders>
            <w:vAlign w:val="center"/>
          </w:tcPr>
          <w:p w14:paraId="704A2F7D" w14:textId="5D22F9E6" w:rsidR="00DC213D" w:rsidRPr="00E220B9" w:rsidRDefault="00DC213D" w:rsidP="00DC213D">
            <w:pPr>
              <w:spacing w:line="259" w:lineRule="auto"/>
              <w:ind w:left="59"/>
              <w:jc w:val="left"/>
              <w:rPr>
                <w:sz w:val="16"/>
                <w:szCs w:val="16"/>
              </w:rPr>
            </w:pPr>
            <w:r>
              <w:rPr>
                <w:sz w:val="18"/>
                <w:szCs w:val="18"/>
              </w:rPr>
              <w:t>43694</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690CC5FE" w14:textId="21D9C26D" w:rsidR="00DC213D" w:rsidRPr="00E220B9" w:rsidRDefault="00DC213D" w:rsidP="00DC213D">
            <w:pPr>
              <w:spacing w:line="259" w:lineRule="auto"/>
              <w:ind w:left="59"/>
              <w:jc w:val="left"/>
              <w:rPr>
                <w:sz w:val="16"/>
                <w:szCs w:val="16"/>
              </w:rPr>
            </w:pPr>
            <w:r>
              <w:rPr>
                <w:sz w:val="18"/>
                <w:szCs w:val="18"/>
              </w:rPr>
              <w:t>42840</w:t>
            </w:r>
          </w:p>
        </w:tc>
        <w:tc>
          <w:tcPr>
            <w:tcW w:w="741" w:type="dxa"/>
            <w:tcBorders>
              <w:top w:val="single" w:sz="2" w:space="0" w:color="000000"/>
              <w:left w:val="single" w:sz="2" w:space="0" w:color="000000"/>
              <w:bottom w:val="single" w:sz="2" w:space="0" w:color="000000"/>
              <w:right w:val="single" w:sz="2" w:space="0" w:color="000000"/>
            </w:tcBorders>
            <w:vAlign w:val="center"/>
          </w:tcPr>
          <w:p w14:paraId="07E93977" w14:textId="09C11E71" w:rsidR="00DC213D" w:rsidRPr="00E220B9" w:rsidRDefault="00DC213D" w:rsidP="00DC213D">
            <w:pPr>
              <w:spacing w:line="259" w:lineRule="auto"/>
              <w:ind w:left="59"/>
              <w:jc w:val="left"/>
              <w:rPr>
                <w:rFonts w:ascii="Calibri" w:hAnsi="Calibri" w:cs="Calibri"/>
                <w:sz w:val="20"/>
                <w:szCs w:val="20"/>
              </w:rPr>
            </w:pPr>
            <w:r>
              <w:rPr>
                <w:sz w:val="18"/>
                <w:szCs w:val="18"/>
              </w:rPr>
              <w:t>40939</w:t>
            </w:r>
          </w:p>
        </w:tc>
        <w:tc>
          <w:tcPr>
            <w:tcW w:w="851" w:type="dxa"/>
            <w:tcBorders>
              <w:top w:val="single" w:sz="2" w:space="0" w:color="000000"/>
              <w:left w:val="single" w:sz="2" w:space="0" w:color="000000"/>
              <w:bottom w:val="single" w:sz="2" w:space="0" w:color="000000"/>
              <w:right w:val="single" w:sz="2" w:space="0" w:color="000000"/>
            </w:tcBorders>
            <w:vAlign w:val="center"/>
          </w:tcPr>
          <w:p w14:paraId="2A149D95" w14:textId="3A048938" w:rsidR="00DC213D" w:rsidRPr="00E220B9" w:rsidRDefault="00DC213D" w:rsidP="00DC213D">
            <w:pPr>
              <w:spacing w:line="259" w:lineRule="auto"/>
              <w:ind w:left="59"/>
              <w:jc w:val="left"/>
              <w:rPr>
                <w:sz w:val="16"/>
                <w:szCs w:val="16"/>
              </w:rPr>
            </w:pPr>
            <w:r w:rsidRPr="00634E4C">
              <w:rPr>
                <w:rFonts w:asciiTheme="majorHAnsi" w:hAnsiTheme="majorHAnsi"/>
                <w:sz w:val="18"/>
              </w:rPr>
              <w:t>43352</w:t>
            </w:r>
          </w:p>
        </w:tc>
        <w:tc>
          <w:tcPr>
            <w:tcW w:w="850" w:type="dxa"/>
            <w:tcBorders>
              <w:top w:val="single" w:sz="2" w:space="0" w:color="000000"/>
              <w:left w:val="single" w:sz="2" w:space="0" w:color="000000"/>
              <w:bottom w:val="single" w:sz="2" w:space="0" w:color="000000"/>
              <w:right w:val="single" w:sz="2" w:space="0" w:color="000000"/>
            </w:tcBorders>
            <w:vAlign w:val="center"/>
          </w:tcPr>
          <w:p w14:paraId="73EE1DB7" w14:textId="5B10F6F8" w:rsidR="00DC213D" w:rsidRPr="00E220B9" w:rsidRDefault="00DC213D" w:rsidP="00DC213D">
            <w:pPr>
              <w:spacing w:line="259" w:lineRule="auto"/>
              <w:ind w:left="59"/>
              <w:jc w:val="left"/>
              <w:rPr>
                <w:sz w:val="16"/>
                <w:szCs w:val="16"/>
              </w:rPr>
            </w:pPr>
            <w:r w:rsidRPr="00634E4C">
              <w:rPr>
                <w:rFonts w:asciiTheme="majorHAnsi" w:hAnsiTheme="majorHAnsi"/>
                <w:sz w:val="18"/>
              </w:rPr>
              <w:t>40778</w:t>
            </w:r>
          </w:p>
        </w:tc>
        <w:tc>
          <w:tcPr>
            <w:tcW w:w="851" w:type="dxa"/>
            <w:tcBorders>
              <w:top w:val="single" w:sz="2" w:space="0" w:color="000000"/>
              <w:left w:val="single" w:sz="2" w:space="0" w:color="000000"/>
              <w:bottom w:val="single" w:sz="2" w:space="0" w:color="000000"/>
              <w:right w:val="single" w:sz="2" w:space="0" w:color="000000"/>
            </w:tcBorders>
            <w:vAlign w:val="center"/>
          </w:tcPr>
          <w:p w14:paraId="10F6E55A" w14:textId="34DF68D4" w:rsidR="00DC213D" w:rsidRPr="00E220B9" w:rsidRDefault="00DC213D" w:rsidP="00DC213D">
            <w:pPr>
              <w:spacing w:line="259" w:lineRule="auto"/>
              <w:ind w:left="59"/>
              <w:jc w:val="left"/>
              <w:rPr>
                <w:sz w:val="16"/>
                <w:szCs w:val="16"/>
              </w:rPr>
            </w:pPr>
            <w:r w:rsidRPr="00634E4C">
              <w:rPr>
                <w:rFonts w:asciiTheme="majorHAnsi" w:hAnsiTheme="majorHAnsi"/>
                <w:sz w:val="18"/>
              </w:rPr>
              <w:t>38641</w:t>
            </w:r>
          </w:p>
        </w:tc>
        <w:tc>
          <w:tcPr>
            <w:tcW w:w="709" w:type="dxa"/>
            <w:tcBorders>
              <w:top w:val="single" w:sz="2" w:space="0" w:color="000000"/>
              <w:left w:val="single" w:sz="2" w:space="0" w:color="000000"/>
              <w:bottom w:val="single" w:sz="2" w:space="0" w:color="000000"/>
              <w:right w:val="single" w:sz="2" w:space="0" w:color="000000"/>
            </w:tcBorders>
            <w:vAlign w:val="center"/>
          </w:tcPr>
          <w:p w14:paraId="6AC96883" w14:textId="79C55398" w:rsidR="00DC213D" w:rsidRPr="00E220B9" w:rsidRDefault="00DC213D" w:rsidP="00DC213D">
            <w:pPr>
              <w:spacing w:line="259" w:lineRule="auto"/>
              <w:ind w:left="59"/>
              <w:jc w:val="left"/>
              <w:rPr>
                <w:sz w:val="16"/>
                <w:szCs w:val="16"/>
              </w:rPr>
            </w:pPr>
            <w:r w:rsidRPr="00634E4C">
              <w:rPr>
                <w:rFonts w:asciiTheme="majorHAnsi" w:hAnsiTheme="majorHAnsi"/>
                <w:sz w:val="18"/>
              </w:rPr>
              <w:t>36797</w:t>
            </w:r>
          </w:p>
        </w:tc>
        <w:tc>
          <w:tcPr>
            <w:tcW w:w="850" w:type="dxa"/>
            <w:tcBorders>
              <w:top w:val="single" w:sz="2" w:space="0" w:color="000000"/>
              <w:left w:val="single" w:sz="2" w:space="0" w:color="000000"/>
              <w:bottom w:val="single" w:sz="2" w:space="0" w:color="000000"/>
              <w:right w:val="single" w:sz="2" w:space="0" w:color="000000"/>
            </w:tcBorders>
            <w:vAlign w:val="center"/>
          </w:tcPr>
          <w:p w14:paraId="4BBB59FB" w14:textId="2224F278" w:rsidR="00DC213D" w:rsidRPr="00E220B9" w:rsidRDefault="00DC213D" w:rsidP="00DC213D">
            <w:pPr>
              <w:spacing w:line="259" w:lineRule="auto"/>
              <w:ind w:left="59"/>
              <w:jc w:val="left"/>
              <w:rPr>
                <w:sz w:val="16"/>
                <w:szCs w:val="16"/>
              </w:rPr>
            </w:pPr>
            <w:r w:rsidRPr="000B08DE">
              <w:rPr>
                <w:sz w:val="18"/>
              </w:rPr>
              <w:t>25914</w:t>
            </w:r>
          </w:p>
        </w:tc>
      </w:tr>
      <w:tr w:rsidR="00DC213D" w14:paraId="3B98DCC9" w14:textId="77777777" w:rsidTr="000046E5">
        <w:trPr>
          <w:trHeight w:val="344"/>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2A813555" w14:textId="77777777" w:rsidR="00DC213D" w:rsidRDefault="00DC213D" w:rsidP="00DC213D">
            <w:pPr>
              <w:spacing w:line="259" w:lineRule="auto"/>
              <w:jc w:val="left"/>
            </w:pPr>
            <w:r>
              <w:rPr>
                <w:sz w:val="18"/>
              </w:rPr>
              <w:t xml:space="preserve">HFCs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E7C9EF" w14:textId="7E76AFFE" w:rsidR="00DC213D" w:rsidRPr="00E220B9" w:rsidRDefault="00DC213D" w:rsidP="00DC213D">
            <w:pPr>
              <w:spacing w:line="259" w:lineRule="auto"/>
              <w:ind w:left="59"/>
              <w:jc w:val="left"/>
              <w:rPr>
                <w:sz w:val="16"/>
                <w:szCs w:val="16"/>
              </w:rPr>
            </w:pPr>
            <w:r>
              <w:rPr>
                <w:sz w:val="18"/>
                <w:szCs w:val="18"/>
              </w:rPr>
              <w:t>4402</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C3A9751" w14:textId="2A4AB1A4" w:rsidR="00DC213D" w:rsidRPr="00E220B9" w:rsidRDefault="00DC213D" w:rsidP="00DC213D">
            <w:pPr>
              <w:spacing w:line="259" w:lineRule="auto"/>
              <w:ind w:left="59"/>
              <w:jc w:val="left"/>
              <w:rPr>
                <w:sz w:val="16"/>
                <w:szCs w:val="16"/>
              </w:rPr>
            </w:pPr>
            <w:r>
              <w:rPr>
                <w:sz w:val="18"/>
                <w:szCs w:val="18"/>
              </w:rPr>
              <w:t>1702</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CBA876" w14:textId="0E8D988E" w:rsidR="00DC213D" w:rsidRPr="00E220B9" w:rsidRDefault="00DC213D" w:rsidP="00DC213D">
            <w:pPr>
              <w:spacing w:line="259" w:lineRule="auto"/>
              <w:ind w:left="59"/>
              <w:jc w:val="left"/>
              <w:rPr>
                <w:sz w:val="16"/>
                <w:szCs w:val="16"/>
              </w:rPr>
            </w:pPr>
            <w:r>
              <w:rPr>
                <w:sz w:val="18"/>
                <w:szCs w:val="18"/>
              </w:rPr>
              <w:t>6736</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0A8CE3" w14:textId="692226FF" w:rsidR="00DC213D" w:rsidRPr="00E220B9" w:rsidRDefault="00DC213D" w:rsidP="00DC213D">
            <w:pPr>
              <w:spacing w:line="259" w:lineRule="auto"/>
              <w:ind w:left="59"/>
              <w:jc w:val="left"/>
              <w:rPr>
                <w:sz w:val="16"/>
                <w:szCs w:val="16"/>
              </w:rPr>
            </w:pPr>
            <w:r>
              <w:rPr>
                <w:sz w:val="18"/>
                <w:szCs w:val="18"/>
              </w:rPr>
              <w:t>12862</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CBA805" w14:textId="5E3EF34E" w:rsidR="00DC213D" w:rsidRPr="00E220B9" w:rsidRDefault="00DC213D" w:rsidP="00DC213D">
            <w:pPr>
              <w:spacing w:line="259" w:lineRule="auto"/>
              <w:ind w:left="59"/>
              <w:jc w:val="left"/>
              <w:rPr>
                <w:sz w:val="16"/>
                <w:szCs w:val="16"/>
              </w:rPr>
            </w:pPr>
            <w:r>
              <w:rPr>
                <w:sz w:val="18"/>
                <w:szCs w:val="18"/>
              </w:rPr>
              <w:t>16930</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08F9B391" w14:textId="3008DC0A" w:rsidR="00DC213D" w:rsidRPr="00E220B9" w:rsidRDefault="00DC213D" w:rsidP="00DC213D">
            <w:pPr>
              <w:spacing w:line="259" w:lineRule="auto"/>
              <w:ind w:left="59"/>
              <w:jc w:val="left"/>
              <w:rPr>
                <w:sz w:val="16"/>
                <w:szCs w:val="16"/>
              </w:rPr>
            </w:pPr>
            <w:r>
              <w:rPr>
                <w:sz w:val="18"/>
                <w:szCs w:val="18"/>
              </w:rPr>
              <w:t>17494</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BF3027" w14:textId="4AD5A5C8" w:rsidR="00DC213D" w:rsidRPr="00E220B9" w:rsidRDefault="00DC213D" w:rsidP="00DC213D">
            <w:pPr>
              <w:spacing w:line="259" w:lineRule="auto"/>
              <w:ind w:left="59"/>
              <w:jc w:val="left"/>
              <w:rPr>
                <w:rFonts w:ascii="Calibri" w:hAnsi="Calibri" w:cs="Calibri"/>
                <w:sz w:val="20"/>
                <w:szCs w:val="20"/>
              </w:rPr>
            </w:pPr>
            <w:r>
              <w:rPr>
                <w:sz w:val="18"/>
                <w:szCs w:val="18"/>
              </w:rPr>
              <w:t>12992</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6A7CF1" w14:textId="5EEE4A44" w:rsidR="00DC213D" w:rsidRPr="00E220B9" w:rsidRDefault="00DC213D" w:rsidP="00DC213D">
            <w:pPr>
              <w:spacing w:line="259" w:lineRule="auto"/>
              <w:ind w:left="59"/>
              <w:jc w:val="left"/>
              <w:rPr>
                <w:sz w:val="16"/>
                <w:szCs w:val="16"/>
              </w:rPr>
            </w:pPr>
            <w:r w:rsidRPr="00634E4C">
              <w:rPr>
                <w:rFonts w:asciiTheme="majorHAnsi" w:hAnsiTheme="majorHAnsi"/>
                <w:sz w:val="18"/>
              </w:rPr>
              <w:t>14731</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481D65" w14:textId="76A3FC59" w:rsidR="00DC213D" w:rsidRPr="00E220B9" w:rsidRDefault="00DC213D" w:rsidP="00DC213D">
            <w:pPr>
              <w:spacing w:line="259" w:lineRule="auto"/>
              <w:ind w:left="59"/>
              <w:jc w:val="left"/>
              <w:rPr>
                <w:sz w:val="16"/>
                <w:szCs w:val="16"/>
              </w:rPr>
            </w:pPr>
            <w:r w:rsidRPr="00634E4C">
              <w:rPr>
                <w:rFonts w:asciiTheme="majorHAnsi" w:hAnsiTheme="majorHAnsi"/>
                <w:sz w:val="18"/>
              </w:rPr>
              <w:t>7995</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9C5847" w14:textId="0C14E6E2" w:rsidR="00DC213D" w:rsidRPr="00E220B9" w:rsidRDefault="00DC213D" w:rsidP="00DC213D">
            <w:pPr>
              <w:spacing w:line="259" w:lineRule="auto"/>
              <w:ind w:left="59"/>
              <w:jc w:val="left"/>
              <w:rPr>
                <w:sz w:val="16"/>
                <w:szCs w:val="16"/>
              </w:rPr>
            </w:pPr>
            <w:r w:rsidRPr="00634E4C">
              <w:rPr>
                <w:rFonts w:asciiTheme="majorHAnsi" w:hAnsiTheme="majorHAnsi"/>
                <w:sz w:val="18"/>
              </w:rPr>
              <w:t>5241</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F35230" w14:textId="18EA2C05" w:rsidR="00DC213D" w:rsidRPr="00E220B9" w:rsidRDefault="00DC213D" w:rsidP="00DC213D">
            <w:pPr>
              <w:spacing w:line="259" w:lineRule="auto"/>
              <w:ind w:left="59"/>
              <w:jc w:val="left"/>
              <w:rPr>
                <w:sz w:val="16"/>
                <w:szCs w:val="16"/>
              </w:rPr>
            </w:pPr>
            <w:r w:rsidRPr="00634E4C">
              <w:rPr>
                <w:rFonts w:asciiTheme="majorHAnsi" w:hAnsiTheme="majorHAnsi"/>
                <w:sz w:val="18"/>
              </w:rPr>
              <w:t>4458</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A4F6B3" w14:textId="6AA76CF8" w:rsidR="00DC213D" w:rsidRPr="00E220B9" w:rsidRDefault="00DC213D" w:rsidP="00DC213D">
            <w:pPr>
              <w:spacing w:line="259" w:lineRule="auto"/>
              <w:ind w:left="59"/>
              <w:jc w:val="left"/>
              <w:rPr>
                <w:sz w:val="16"/>
                <w:szCs w:val="16"/>
              </w:rPr>
            </w:pPr>
            <w:r w:rsidRPr="00634E4C">
              <w:rPr>
                <w:rFonts w:asciiTheme="majorHAnsi" w:hAnsiTheme="majorHAnsi"/>
                <w:sz w:val="18"/>
              </w:rPr>
              <w:t>2109</w:t>
            </w:r>
          </w:p>
        </w:tc>
      </w:tr>
      <w:tr w:rsidR="00DC213D" w14:paraId="752F18D1" w14:textId="77777777" w:rsidTr="00261D3D">
        <w:trPr>
          <w:trHeight w:val="347"/>
        </w:trPr>
        <w:tc>
          <w:tcPr>
            <w:tcW w:w="521" w:type="dxa"/>
            <w:tcBorders>
              <w:top w:val="single" w:sz="2" w:space="0" w:color="000000"/>
              <w:left w:val="single" w:sz="2" w:space="0" w:color="000000"/>
              <w:bottom w:val="single" w:sz="2" w:space="0" w:color="000000"/>
              <w:right w:val="single" w:sz="2" w:space="0" w:color="000000"/>
            </w:tcBorders>
          </w:tcPr>
          <w:p w14:paraId="725AE7DA" w14:textId="77777777" w:rsidR="00DC213D" w:rsidRDefault="00DC213D" w:rsidP="00DC213D">
            <w:pPr>
              <w:spacing w:line="259" w:lineRule="auto"/>
              <w:jc w:val="left"/>
            </w:pPr>
            <w:r>
              <w:rPr>
                <w:sz w:val="18"/>
              </w:rPr>
              <w:t xml:space="preserve">PFCs </w:t>
            </w:r>
          </w:p>
        </w:tc>
        <w:tc>
          <w:tcPr>
            <w:tcW w:w="826" w:type="dxa"/>
            <w:tcBorders>
              <w:top w:val="single" w:sz="2" w:space="0" w:color="000000"/>
              <w:left w:val="single" w:sz="2" w:space="0" w:color="000000"/>
              <w:bottom w:val="single" w:sz="2" w:space="0" w:color="000000"/>
              <w:right w:val="single" w:sz="2" w:space="0" w:color="000000"/>
            </w:tcBorders>
            <w:vAlign w:val="center"/>
          </w:tcPr>
          <w:p w14:paraId="247D986C" w14:textId="340C45EE" w:rsidR="00DC213D" w:rsidRPr="00E220B9" w:rsidRDefault="00DC213D" w:rsidP="00DC213D">
            <w:pPr>
              <w:spacing w:line="259" w:lineRule="auto"/>
              <w:ind w:left="59"/>
              <w:jc w:val="left"/>
              <w:rPr>
                <w:sz w:val="16"/>
                <w:szCs w:val="16"/>
              </w:rPr>
            </w:pPr>
            <w:r>
              <w:rPr>
                <w:sz w:val="18"/>
                <w:szCs w:val="18"/>
              </w:rPr>
              <w:t>5202</w:t>
            </w:r>
          </w:p>
        </w:tc>
        <w:tc>
          <w:tcPr>
            <w:tcW w:w="825" w:type="dxa"/>
            <w:tcBorders>
              <w:top w:val="single" w:sz="2" w:space="0" w:color="000000"/>
              <w:left w:val="single" w:sz="2" w:space="0" w:color="000000"/>
              <w:bottom w:val="single" w:sz="2" w:space="0" w:color="000000"/>
              <w:right w:val="single" w:sz="2" w:space="0" w:color="000000"/>
            </w:tcBorders>
            <w:vAlign w:val="center"/>
          </w:tcPr>
          <w:p w14:paraId="014D3564" w14:textId="55E37B26" w:rsidR="00DC213D" w:rsidRPr="00E220B9" w:rsidRDefault="00DC213D" w:rsidP="00DC213D">
            <w:pPr>
              <w:spacing w:line="259" w:lineRule="auto"/>
              <w:ind w:left="59"/>
              <w:jc w:val="left"/>
              <w:rPr>
                <w:sz w:val="16"/>
                <w:szCs w:val="16"/>
              </w:rPr>
            </w:pPr>
            <w:r w:rsidRPr="00634E4C">
              <w:rPr>
                <w:sz w:val="18"/>
              </w:rPr>
              <w:t>3065</w:t>
            </w:r>
          </w:p>
        </w:tc>
        <w:tc>
          <w:tcPr>
            <w:tcW w:w="825" w:type="dxa"/>
            <w:tcBorders>
              <w:top w:val="single" w:sz="2" w:space="0" w:color="000000"/>
              <w:left w:val="single" w:sz="2" w:space="0" w:color="000000"/>
              <w:bottom w:val="single" w:sz="2" w:space="0" w:color="000000"/>
              <w:right w:val="single" w:sz="2" w:space="0" w:color="000000"/>
            </w:tcBorders>
            <w:vAlign w:val="center"/>
          </w:tcPr>
          <w:p w14:paraId="0A05DBC1" w14:textId="12F849C8" w:rsidR="00DC213D" w:rsidRPr="00E220B9" w:rsidRDefault="00DC213D" w:rsidP="00DC213D">
            <w:pPr>
              <w:spacing w:line="259" w:lineRule="auto"/>
              <w:ind w:left="59"/>
              <w:jc w:val="left"/>
              <w:rPr>
                <w:sz w:val="16"/>
                <w:szCs w:val="16"/>
              </w:rPr>
            </w:pPr>
            <w:r w:rsidRPr="00634E4C">
              <w:rPr>
                <w:sz w:val="18"/>
              </w:rPr>
              <w:t>2997</w:t>
            </w:r>
          </w:p>
        </w:tc>
        <w:tc>
          <w:tcPr>
            <w:tcW w:w="825" w:type="dxa"/>
            <w:tcBorders>
              <w:top w:val="single" w:sz="2" w:space="0" w:color="000000"/>
              <w:left w:val="single" w:sz="2" w:space="0" w:color="000000"/>
              <w:bottom w:val="single" w:sz="2" w:space="0" w:color="000000"/>
              <w:right w:val="single" w:sz="2" w:space="0" w:color="000000"/>
            </w:tcBorders>
            <w:vAlign w:val="center"/>
          </w:tcPr>
          <w:p w14:paraId="1DCC24DA" w14:textId="5A33437D" w:rsidR="00DC213D" w:rsidRPr="00E220B9" w:rsidRDefault="00DC213D" w:rsidP="00DC213D">
            <w:pPr>
              <w:spacing w:line="259" w:lineRule="auto"/>
              <w:ind w:left="59"/>
              <w:jc w:val="left"/>
              <w:rPr>
                <w:sz w:val="16"/>
                <w:szCs w:val="16"/>
              </w:rPr>
            </w:pPr>
            <w:r w:rsidRPr="00634E4C">
              <w:rPr>
                <w:sz w:val="18"/>
              </w:rPr>
              <w:t>1760</w:t>
            </w:r>
          </w:p>
        </w:tc>
        <w:tc>
          <w:tcPr>
            <w:tcW w:w="828" w:type="dxa"/>
            <w:tcBorders>
              <w:top w:val="single" w:sz="2" w:space="0" w:color="000000"/>
              <w:left w:val="single" w:sz="2" w:space="0" w:color="000000"/>
              <w:bottom w:val="single" w:sz="2" w:space="0" w:color="000000"/>
              <w:right w:val="single" w:sz="2" w:space="0" w:color="000000"/>
            </w:tcBorders>
            <w:vAlign w:val="center"/>
          </w:tcPr>
          <w:p w14:paraId="3BAE84D7" w14:textId="7BB0F756" w:rsidR="00DC213D" w:rsidRPr="00E220B9" w:rsidRDefault="00DC213D" w:rsidP="00DC213D">
            <w:pPr>
              <w:spacing w:line="259" w:lineRule="auto"/>
              <w:ind w:left="59"/>
              <w:jc w:val="left"/>
              <w:rPr>
                <w:sz w:val="16"/>
                <w:szCs w:val="16"/>
              </w:rPr>
            </w:pPr>
            <w:r w:rsidRPr="00634E4C">
              <w:rPr>
                <w:sz w:val="18"/>
              </w:rPr>
              <w:t>617</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312B12CC" w14:textId="4F0D91C8" w:rsidR="00DC213D" w:rsidRPr="00E220B9" w:rsidRDefault="00DC213D" w:rsidP="00DC213D">
            <w:pPr>
              <w:spacing w:line="259" w:lineRule="auto"/>
              <w:ind w:left="59"/>
              <w:jc w:val="left"/>
              <w:rPr>
                <w:sz w:val="16"/>
                <w:szCs w:val="16"/>
              </w:rPr>
            </w:pPr>
            <w:r w:rsidRPr="00634E4C">
              <w:rPr>
                <w:sz w:val="18"/>
              </w:rPr>
              <w:t>537</w:t>
            </w:r>
          </w:p>
        </w:tc>
        <w:tc>
          <w:tcPr>
            <w:tcW w:w="741" w:type="dxa"/>
            <w:tcBorders>
              <w:top w:val="single" w:sz="2" w:space="0" w:color="000000"/>
              <w:left w:val="single" w:sz="2" w:space="0" w:color="000000"/>
              <w:bottom w:val="single" w:sz="2" w:space="0" w:color="000000"/>
              <w:right w:val="single" w:sz="2" w:space="0" w:color="000000"/>
            </w:tcBorders>
            <w:vAlign w:val="center"/>
          </w:tcPr>
          <w:p w14:paraId="23043613" w14:textId="11B14DC8" w:rsidR="00DC213D" w:rsidRPr="00E220B9" w:rsidRDefault="00DC213D" w:rsidP="00DC213D">
            <w:pPr>
              <w:spacing w:line="259" w:lineRule="auto"/>
              <w:ind w:left="59"/>
              <w:jc w:val="left"/>
              <w:rPr>
                <w:rFonts w:ascii="Calibri" w:hAnsi="Calibri" w:cs="Calibri"/>
                <w:sz w:val="20"/>
                <w:szCs w:val="20"/>
              </w:rPr>
            </w:pPr>
            <w:r>
              <w:rPr>
                <w:sz w:val="18"/>
                <w:szCs w:val="18"/>
              </w:rPr>
              <w:t>615</w:t>
            </w:r>
          </w:p>
        </w:tc>
        <w:tc>
          <w:tcPr>
            <w:tcW w:w="851" w:type="dxa"/>
            <w:tcBorders>
              <w:top w:val="single" w:sz="2" w:space="0" w:color="000000"/>
              <w:left w:val="single" w:sz="2" w:space="0" w:color="000000"/>
              <w:bottom w:val="single" w:sz="2" w:space="0" w:color="000000"/>
              <w:right w:val="single" w:sz="2" w:space="0" w:color="000000"/>
            </w:tcBorders>
            <w:vAlign w:val="center"/>
          </w:tcPr>
          <w:p w14:paraId="5C7CE071" w14:textId="569E8317" w:rsidR="00DC213D" w:rsidRPr="00E220B9" w:rsidRDefault="00DC213D" w:rsidP="00DC213D">
            <w:pPr>
              <w:spacing w:line="259" w:lineRule="auto"/>
              <w:ind w:left="59"/>
              <w:jc w:val="left"/>
              <w:rPr>
                <w:sz w:val="16"/>
                <w:szCs w:val="16"/>
              </w:rPr>
            </w:pPr>
            <w:r w:rsidRPr="00634E4C">
              <w:rPr>
                <w:rFonts w:asciiTheme="majorHAnsi" w:hAnsiTheme="majorHAnsi"/>
                <w:sz w:val="18"/>
              </w:rPr>
              <w:t>479</w:t>
            </w:r>
          </w:p>
        </w:tc>
        <w:tc>
          <w:tcPr>
            <w:tcW w:w="850" w:type="dxa"/>
            <w:tcBorders>
              <w:top w:val="single" w:sz="2" w:space="0" w:color="000000"/>
              <w:left w:val="single" w:sz="2" w:space="0" w:color="000000"/>
              <w:bottom w:val="single" w:sz="2" w:space="0" w:color="000000"/>
              <w:right w:val="single" w:sz="2" w:space="0" w:color="000000"/>
            </w:tcBorders>
            <w:vAlign w:val="center"/>
          </w:tcPr>
          <w:p w14:paraId="3DBB4211" w14:textId="1A17F69B" w:rsidR="00DC213D" w:rsidRPr="00E220B9" w:rsidRDefault="00DC213D" w:rsidP="00DC213D">
            <w:pPr>
              <w:spacing w:line="259" w:lineRule="auto"/>
              <w:ind w:left="59"/>
              <w:jc w:val="left"/>
              <w:rPr>
                <w:sz w:val="16"/>
                <w:szCs w:val="16"/>
              </w:rPr>
            </w:pPr>
            <w:r w:rsidRPr="00634E4C">
              <w:rPr>
                <w:rFonts w:asciiTheme="majorHAnsi" w:hAnsiTheme="majorHAnsi"/>
                <w:sz w:val="18"/>
              </w:rPr>
              <w:t>395</w:t>
            </w:r>
          </w:p>
        </w:tc>
        <w:tc>
          <w:tcPr>
            <w:tcW w:w="851" w:type="dxa"/>
            <w:tcBorders>
              <w:top w:val="single" w:sz="2" w:space="0" w:color="000000"/>
              <w:left w:val="single" w:sz="2" w:space="0" w:color="000000"/>
              <w:bottom w:val="single" w:sz="2" w:space="0" w:color="000000"/>
              <w:right w:val="single" w:sz="2" w:space="0" w:color="000000"/>
            </w:tcBorders>
            <w:vAlign w:val="center"/>
          </w:tcPr>
          <w:p w14:paraId="53E2590C" w14:textId="245C4558" w:rsidR="00DC213D" w:rsidRPr="00E220B9" w:rsidRDefault="00DC213D" w:rsidP="00DC213D">
            <w:pPr>
              <w:spacing w:line="259" w:lineRule="auto"/>
              <w:ind w:left="59"/>
              <w:jc w:val="left"/>
              <w:rPr>
                <w:sz w:val="16"/>
                <w:szCs w:val="16"/>
              </w:rPr>
            </w:pPr>
            <w:r w:rsidRPr="00634E4C">
              <w:rPr>
                <w:rFonts w:asciiTheme="majorHAnsi" w:hAnsiTheme="majorHAnsi"/>
                <w:sz w:val="18"/>
              </w:rPr>
              <w:t>330</w:t>
            </w:r>
          </w:p>
        </w:tc>
        <w:tc>
          <w:tcPr>
            <w:tcW w:w="709" w:type="dxa"/>
            <w:tcBorders>
              <w:top w:val="single" w:sz="2" w:space="0" w:color="000000"/>
              <w:left w:val="single" w:sz="2" w:space="0" w:color="000000"/>
              <w:bottom w:val="single" w:sz="2" w:space="0" w:color="000000"/>
              <w:right w:val="single" w:sz="2" w:space="0" w:color="000000"/>
            </w:tcBorders>
            <w:vAlign w:val="center"/>
          </w:tcPr>
          <w:p w14:paraId="2D7EF727" w14:textId="02DCFAD1" w:rsidR="00DC213D" w:rsidRPr="00E220B9" w:rsidRDefault="00DC213D" w:rsidP="00DC213D">
            <w:pPr>
              <w:spacing w:line="259" w:lineRule="auto"/>
              <w:ind w:left="59"/>
              <w:jc w:val="left"/>
              <w:rPr>
                <w:sz w:val="16"/>
                <w:szCs w:val="16"/>
              </w:rPr>
            </w:pPr>
            <w:r w:rsidRPr="00634E4C">
              <w:rPr>
                <w:rFonts w:asciiTheme="majorHAnsi" w:hAnsiTheme="majorHAnsi"/>
                <w:sz w:val="18"/>
              </w:rPr>
              <w:t>299</w:t>
            </w:r>
          </w:p>
        </w:tc>
        <w:tc>
          <w:tcPr>
            <w:tcW w:w="850" w:type="dxa"/>
            <w:tcBorders>
              <w:top w:val="single" w:sz="2" w:space="0" w:color="000000"/>
              <w:left w:val="single" w:sz="2" w:space="0" w:color="000000"/>
              <w:bottom w:val="single" w:sz="2" w:space="0" w:color="000000"/>
              <w:right w:val="single" w:sz="2" w:space="0" w:color="000000"/>
            </w:tcBorders>
            <w:vAlign w:val="center"/>
          </w:tcPr>
          <w:p w14:paraId="7ADC6C2E" w14:textId="728EE017" w:rsidR="00DC213D" w:rsidRPr="00E220B9" w:rsidRDefault="00DC213D" w:rsidP="00DC213D">
            <w:pPr>
              <w:spacing w:line="259" w:lineRule="auto"/>
              <w:ind w:left="59"/>
              <w:jc w:val="left"/>
              <w:rPr>
                <w:sz w:val="16"/>
                <w:szCs w:val="16"/>
              </w:rPr>
            </w:pPr>
            <w:r w:rsidRPr="00634E4C">
              <w:rPr>
                <w:rFonts w:asciiTheme="majorHAnsi" w:hAnsiTheme="majorHAnsi"/>
                <w:sz w:val="18"/>
              </w:rPr>
              <w:t>205</w:t>
            </w:r>
          </w:p>
        </w:tc>
      </w:tr>
      <w:tr w:rsidR="00DC213D" w14:paraId="1B826F49" w14:textId="77777777" w:rsidTr="000046E5">
        <w:trPr>
          <w:trHeight w:val="342"/>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2AD810B9" w14:textId="128021E2" w:rsidR="00DC213D" w:rsidRDefault="00DC213D" w:rsidP="00DC213D">
            <w:pPr>
              <w:spacing w:line="259" w:lineRule="auto"/>
              <w:jc w:val="left"/>
            </w:pPr>
            <w:r>
              <w:t>SF</w:t>
            </w:r>
            <w:r w:rsidRPr="007F09F7">
              <w:rPr>
                <w:vertAlign w:val="subscript"/>
              </w:rPr>
              <w:t>6</w:t>
            </w:r>
            <w:r>
              <w:rPr>
                <w:sz w:val="18"/>
              </w:rPr>
              <w:t xml:space="preserve">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065A5B" w14:textId="6E37CD16" w:rsidR="00DC213D" w:rsidRPr="00E220B9" w:rsidRDefault="00DC213D" w:rsidP="00DC213D">
            <w:pPr>
              <w:spacing w:line="259" w:lineRule="auto"/>
              <w:ind w:left="59"/>
              <w:jc w:val="left"/>
              <w:rPr>
                <w:sz w:val="16"/>
                <w:szCs w:val="16"/>
              </w:rPr>
            </w:pPr>
            <w:r>
              <w:rPr>
                <w:sz w:val="18"/>
                <w:szCs w:val="18"/>
              </w:rPr>
              <w:t>2155</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C52409" w14:textId="6DC3CA23" w:rsidR="00DC213D" w:rsidRPr="00E220B9" w:rsidRDefault="00DC213D" w:rsidP="00DC213D">
            <w:pPr>
              <w:spacing w:line="259" w:lineRule="auto"/>
              <w:ind w:left="59"/>
              <w:jc w:val="left"/>
              <w:rPr>
                <w:sz w:val="16"/>
                <w:szCs w:val="16"/>
              </w:rPr>
            </w:pPr>
            <w:r>
              <w:rPr>
                <w:sz w:val="18"/>
                <w:szCs w:val="18"/>
              </w:rPr>
              <w:t>2467</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0431FA" w14:textId="0B2E9861" w:rsidR="00DC213D" w:rsidRPr="00E220B9" w:rsidRDefault="00DC213D" w:rsidP="00DC213D">
            <w:pPr>
              <w:spacing w:line="259" w:lineRule="auto"/>
              <w:ind w:left="59"/>
              <w:jc w:val="left"/>
              <w:rPr>
                <w:sz w:val="16"/>
                <w:szCs w:val="16"/>
              </w:rPr>
            </w:pPr>
            <w:r>
              <w:rPr>
                <w:sz w:val="18"/>
                <w:szCs w:val="18"/>
              </w:rPr>
              <w:t>2180</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FE3350" w14:textId="159877DD" w:rsidR="00DC213D" w:rsidRPr="00E220B9" w:rsidRDefault="00DC213D" w:rsidP="00DC213D">
            <w:pPr>
              <w:spacing w:line="259" w:lineRule="auto"/>
              <w:ind w:left="59"/>
              <w:jc w:val="left"/>
              <w:rPr>
                <w:sz w:val="16"/>
                <w:szCs w:val="16"/>
              </w:rPr>
            </w:pPr>
            <w:r w:rsidRPr="00634E4C">
              <w:rPr>
                <w:sz w:val="18"/>
              </w:rPr>
              <w:t>1355</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0368B1" w14:textId="153B1CB9" w:rsidR="00DC213D" w:rsidRPr="00E220B9" w:rsidRDefault="00DC213D" w:rsidP="00DC213D">
            <w:pPr>
              <w:spacing w:line="259" w:lineRule="auto"/>
              <w:ind w:left="59"/>
              <w:jc w:val="left"/>
              <w:rPr>
                <w:sz w:val="16"/>
                <w:szCs w:val="16"/>
              </w:rPr>
            </w:pPr>
            <w:r>
              <w:rPr>
                <w:sz w:val="18"/>
                <w:szCs w:val="18"/>
              </w:rPr>
              <w:t>875</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09D425F8" w14:textId="17C9AAF8" w:rsidR="00DC213D" w:rsidRPr="00E220B9" w:rsidRDefault="00DC213D" w:rsidP="00DC213D">
            <w:pPr>
              <w:spacing w:line="259" w:lineRule="auto"/>
              <w:ind w:left="59"/>
              <w:jc w:val="left"/>
              <w:rPr>
                <w:sz w:val="16"/>
                <w:szCs w:val="16"/>
              </w:rPr>
            </w:pPr>
            <w:r>
              <w:rPr>
                <w:sz w:val="18"/>
                <w:szCs w:val="18"/>
              </w:rPr>
              <w:t>498</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06194B" w14:textId="423D19E6" w:rsidR="00DC213D" w:rsidRPr="00E220B9" w:rsidRDefault="00DC213D" w:rsidP="00DC213D">
            <w:pPr>
              <w:spacing w:line="259" w:lineRule="auto"/>
              <w:ind w:left="59"/>
              <w:jc w:val="left"/>
              <w:rPr>
                <w:rFonts w:ascii="Calibri" w:hAnsi="Calibri" w:cs="Calibri"/>
                <w:sz w:val="20"/>
                <w:szCs w:val="20"/>
              </w:rPr>
            </w:pPr>
            <w:r>
              <w:rPr>
                <w:sz w:val="18"/>
                <w:szCs w:val="18"/>
              </w:rPr>
              <w:t>385</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C16281" w14:textId="2EB0A3B1" w:rsidR="00DC213D" w:rsidRPr="00E220B9" w:rsidRDefault="00DC213D" w:rsidP="00DC213D">
            <w:pPr>
              <w:spacing w:line="259" w:lineRule="auto"/>
              <w:ind w:left="59"/>
              <w:jc w:val="left"/>
              <w:rPr>
                <w:sz w:val="16"/>
                <w:szCs w:val="16"/>
              </w:rPr>
            </w:pPr>
            <w:r w:rsidRPr="00634E4C">
              <w:rPr>
                <w:rFonts w:asciiTheme="majorHAnsi" w:hAnsiTheme="majorHAnsi"/>
                <w:sz w:val="18"/>
              </w:rPr>
              <w:t>458</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ECA64F" w14:textId="49848E99" w:rsidR="00DC213D" w:rsidRPr="00E220B9" w:rsidRDefault="00DC213D" w:rsidP="00DC213D">
            <w:pPr>
              <w:spacing w:line="259" w:lineRule="auto"/>
              <w:ind w:left="59"/>
              <w:jc w:val="left"/>
              <w:rPr>
                <w:sz w:val="16"/>
                <w:szCs w:val="16"/>
              </w:rPr>
            </w:pPr>
            <w:r w:rsidRPr="00634E4C">
              <w:rPr>
                <w:rFonts w:asciiTheme="majorHAnsi" w:hAnsiTheme="majorHAnsi"/>
                <w:sz w:val="18"/>
              </w:rPr>
              <w:t>459</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B50E6D" w14:textId="7D5F607D" w:rsidR="00DC213D" w:rsidRPr="00E220B9" w:rsidRDefault="00DC213D" w:rsidP="00DC213D">
            <w:pPr>
              <w:spacing w:line="259" w:lineRule="auto"/>
              <w:ind w:left="59"/>
              <w:jc w:val="left"/>
              <w:rPr>
                <w:sz w:val="16"/>
                <w:szCs w:val="16"/>
              </w:rPr>
            </w:pPr>
            <w:r w:rsidRPr="00634E4C">
              <w:rPr>
                <w:rFonts w:asciiTheme="majorHAnsi" w:hAnsiTheme="majorHAnsi"/>
                <w:sz w:val="18"/>
              </w:rPr>
              <w:t>460</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F72A63" w14:textId="4F05A49A" w:rsidR="00DC213D" w:rsidRPr="00E220B9" w:rsidRDefault="00DC213D" w:rsidP="00DC213D">
            <w:pPr>
              <w:spacing w:line="259" w:lineRule="auto"/>
              <w:ind w:left="59"/>
              <w:jc w:val="left"/>
              <w:rPr>
                <w:sz w:val="16"/>
                <w:szCs w:val="16"/>
              </w:rPr>
            </w:pPr>
            <w:r w:rsidRPr="00634E4C">
              <w:rPr>
                <w:rFonts w:asciiTheme="majorHAnsi" w:hAnsiTheme="majorHAnsi"/>
                <w:sz w:val="18"/>
              </w:rPr>
              <w:t>460</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21FA0B" w14:textId="26889844" w:rsidR="00DC213D" w:rsidRPr="00E220B9" w:rsidRDefault="00DC213D" w:rsidP="00DC213D">
            <w:pPr>
              <w:spacing w:line="259" w:lineRule="auto"/>
              <w:ind w:left="59"/>
              <w:jc w:val="left"/>
              <w:rPr>
                <w:sz w:val="16"/>
                <w:szCs w:val="16"/>
              </w:rPr>
            </w:pPr>
            <w:r w:rsidRPr="00634E4C">
              <w:rPr>
                <w:rFonts w:asciiTheme="majorHAnsi" w:hAnsiTheme="majorHAnsi"/>
                <w:sz w:val="18"/>
              </w:rPr>
              <w:t>463</w:t>
            </w:r>
          </w:p>
        </w:tc>
      </w:tr>
      <w:tr w:rsidR="00DC213D" w14:paraId="78732AF0" w14:textId="77777777" w:rsidTr="00261D3D">
        <w:trPr>
          <w:trHeight w:val="347"/>
        </w:trPr>
        <w:tc>
          <w:tcPr>
            <w:tcW w:w="521" w:type="dxa"/>
            <w:tcBorders>
              <w:top w:val="single" w:sz="2" w:space="0" w:color="000000"/>
              <w:left w:val="single" w:sz="2" w:space="0" w:color="000000"/>
              <w:bottom w:val="single" w:sz="2" w:space="0" w:color="000000"/>
              <w:right w:val="single" w:sz="2" w:space="0" w:color="000000"/>
            </w:tcBorders>
          </w:tcPr>
          <w:p w14:paraId="75F3FD96" w14:textId="6A0AA9C4" w:rsidR="00DC213D" w:rsidRDefault="00DC213D" w:rsidP="00DC213D">
            <w:pPr>
              <w:spacing w:line="259" w:lineRule="auto"/>
              <w:jc w:val="left"/>
            </w:pPr>
            <w:r>
              <w:rPr>
                <w:sz w:val="18"/>
              </w:rPr>
              <w:t>NF</w:t>
            </w:r>
            <w:r w:rsidRPr="007F09F7">
              <w:rPr>
                <w:sz w:val="18"/>
                <w:vertAlign w:val="subscript"/>
              </w:rPr>
              <w:t>3</w:t>
            </w:r>
            <w:r>
              <w:rPr>
                <w:sz w:val="18"/>
              </w:rPr>
              <w:t xml:space="preserve"> </w:t>
            </w:r>
          </w:p>
        </w:tc>
        <w:tc>
          <w:tcPr>
            <w:tcW w:w="826" w:type="dxa"/>
            <w:tcBorders>
              <w:top w:val="single" w:sz="2" w:space="0" w:color="000000"/>
              <w:left w:val="single" w:sz="2" w:space="0" w:color="000000"/>
              <w:bottom w:val="single" w:sz="2" w:space="0" w:color="000000"/>
              <w:right w:val="single" w:sz="2" w:space="0" w:color="000000"/>
            </w:tcBorders>
            <w:vAlign w:val="center"/>
          </w:tcPr>
          <w:p w14:paraId="2C545AEE" w14:textId="614626E4" w:rsidR="00DC213D" w:rsidRPr="00E220B9" w:rsidRDefault="00DC213D" w:rsidP="00DC213D">
            <w:pPr>
              <w:spacing w:line="259" w:lineRule="auto"/>
              <w:ind w:left="59"/>
              <w:jc w:val="left"/>
              <w:rPr>
                <w:sz w:val="16"/>
                <w:szCs w:val="16"/>
              </w:rPr>
            </w:pPr>
            <w:r w:rsidRPr="00634E4C">
              <w:rPr>
                <w:sz w:val="18"/>
              </w:rPr>
              <w:t>16</w:t>
            </w:r>
          </w:p>
        </w:tc>
        <w:tc>
          <w:tcPr>
            <w:tcW w:w="825" w:type="dxa"/>
            <w:tcBorders>
              <w:top w:val="single" w:sz="2" w:space="0" w:color="000000"/>
              <w:left w:val="single" w:sz="2" w:space="0" w:color="000000"/>
              <w:bottom w:val="single" w:sz="2" w:space="0" w:color="000000"/>
              <w:right w:val="single" w:sz="2" w:space="0" w:color="000000"/>
            </w:tcBorders>
            <w:vAlign w:val="center"/>
          </w:tcPr>
          <w:p w14:paraId="3B31249E" w14:textId="5B4EEFE3" w:rsidR="00DC213D" w:rsidRPr="00E220B9" w:rsidRDefault="00DC213D" w:rsidP="00DC213D">
            <w:pPr>
              <w:spacing w:line="259" w:lineRule="auto"/>
              <w:ind w:left="59"/>
              <w:jc w:val="left"/>
              <w:rPr>
                <w:sz w:val="16"/>
                <w:szCs w:val="16"/>
              </w:rPr>
            </w:pPr>
            <w:r w:rsidRPr="00634E4C">
              <w:rPr>
                <w:sz w:val="18"/>
              </w:rPr>
              <w:t>6</w:t>
            </w:r>
          </w:p>
        </w:tc>
        <w:tc>
          <w:tcPr>
            <w:tcW w:w="825" w:type="dxa"/>
            <w:tcBorders>
              <w:top w:val="single" w:sz="2" w:space="0" w:color="000000"/>
              <w:left w:val="single" w:sz="2" w:space="0" w:color="000000"/>
              <w:bottom w:val="single" w:sz="2" w:space="0" w:color="000000"/>
              <w:right w:val="single" w:sz="2" w:space="0" w:color="000000"/>
            </w:tcBorders>
            <w:vAlign w:val="center"/>
          </w:tcPr>
          <w:p w14:paraId="6756982A" w14:textId="7E55C95A" w:rsidR="00DC213D" w:rsidRPr="00E220B9" w:rsidRDefault="00DC213D" w:rsidP="00DC213D">
            <w:pPr>
              <w:spacing w:line="259" w:lineRule="auto"/>
              <w:ind w:left="59"/>
              <w:jc w:val="left"/>
              <w:rPr>
                <w:sz w:val="16"/>
                <w:szCs w:val="16"/>
              </w:rPr>
            </w:pPr>
            <w:r w:rsidRPr="00634E4C">
              <w:rPr>
                <w:sz w:val="18"/>
              </w:rPr>
              <w:t>20</w:t>
            </w:r>
          </w:p>
        </w:tc>
        <w:tc>
          <w:tcPr>
            <w:tcW w:w="825" w:type="dxa"/>
            <w:tcBorders>
              <w:top w:val="single" w:sz="2" w:space="0" w:color="000000"/>
              <w:left w:val="single" w:sz="2" w:space="0" w:color="000000"/>
              <w:bottom w:val="single" w:sz="2" w:space="0" w:color="000000"/>
              <w:right w:val="single" w:sz="2" w:space="0" w:color="000000"/>
            </w:tcBorders>
            <w:vAlign w:val="center"/>
          </w:tcPr>
          <w:p w14:paraId="00186A23" w14:textId="3C1A857F" w:rsidR="00DC213D" w:rsidRPr="00E220B9" w:rsidRDefault="00DC213D" w:rsidP="00DC213D">
            <w:pPr>
              <w:spacing w:line="259" w:lineRule="auto"/>
              <w:ind w:left="59"/>
              <w:jc w:val="left"/>
              <w:rPr>
                <w:sz w:val="16"/>
                <w:szCs w:val="16"/>
              </w:rPr>
            </w:pPr>
            <w:r w:rsidRPr="00634E4C">
              <w:rPr>
                <w:sz w:val="18"/>
              </w:rPr>
              <w:t>31</w:t>
            </w:r>
          </w:p>
        </w:tc>
        <w:tc>
          <w:tcPr>
            <w:tcW w:w="828" w:type="dxa"/>
            <w:tcBorders>
              <w:top w:val="single" w:sz="2" w:space="0" w:color="000000"/>
              <w:left w:val="single" w:sz="2" w:space="0" w:color="000000"/>
              <w:bottom w:val="single" w:sz="2" w:space="0" w:color="000000"/>
              <w:right w:val="single" w:sz="2" w:space="0" w:color="000000"/>
            </w:tcBorders>
            <w:vAlign w:val="center"/>
          </w:tcPr>
          <w:p w14:paraId="43AC8340" w14:textId="60802018" w:rsidR="00DC213D" w:rsidRPr="00E220B9" w:rsidRDefault="00DC213D" w:rsidP="00DC213D">
            <w:pPr>
              <w:spacing w:line="259" w:lineRule="auto"/>
              <w:ind w:left="59"/>
              <w:jc w:val="left"/>
              <w:rPr>
                <w:sz w:val="16"/>
                <w:szCs w:val="16"/>
              </w:rPr>
            </w:pPr>
            <w:r w:rsidRPr="00634E4C">
              <w:rPr>
                <w:sz w:val="18"/>
              </w:rPr>
              <w:t>32</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4C34137B" w14:textId="2E5C1315" w:rsidR="00DC213D" w:rsidRPr="00E220B9" w:rsidRDefault="00DC213D" w:rsidP="00DC213D">
            <w:pPr>
              <w:spacing w:line="259" w:lineRule="auto"/>
              <w:ind w:left="59"/>
              <w:jc w:val="left"/>
              <w:rPr>
                <w:sz w:val="16"/>
                <w:szCs w:val="16"/>
              </w:rPr>
            </w:pPr>
            <w:r w:rsidRPr="00634E4C">
              <w:rPr>
                <w:sz w:val="18"/>
              </w:rPr>
              <w:t>6</w:t>
            </w:r>
          </w:p>
        </w:tc>
        <w:tc>
          <w:tcPr>
            <w:tcW w:w="741" w:type="dxa"/>
            <w:tcBorders>
              <w:top w:val="single" w:sz="2" w:space="0" w:color="000000"/>
              <w:left w:val="single" w:sz="2" w:space="0" w:color="000000"/>
              <w:bottom w:val="single" w:sz="2" w:space="0" w:color="000000"/>
              <w:right w:val="single" w:sz="2" w:space="0" w:color="000000"/>
            </w:tcBorders>
            <w:vAlign w:val="center"/>
          </w:tcPr>
          <w:p w14:paraId="27A25CEA" w14:textId="6428EA3E" w:rsidR="00DC213D" w:rsidRPr="00E220B9" w:rsidRDefault="00DC213D" w:rsidP="00DC213D">
            <w:pPr>
              <w:spacing w:line="259" w:lineRule="auto"/>
              <w:ind w:left="59"/>
              <w:jc w:val="left"/>
              <w:rPr>
                <w:rFonts w:ascii="Calibri" w:hAnsi="Calibri" w:cs="Calibri"/>
                <w:sz w:val="20"/>
                <w:szCs w:val="20"/>
              </w:rPr>
            </w:pPr>
            <w:r>
              <w:rPr>
                <w:sz w:val="18"/>
                <w:szCs w:val="18"/>
              </w:rPr>
              <w:t>10</w:t>
            </w:r>
          </w:p>
        </w:tc>
        <w:tc>
          <w:tcPr>
            <w:tcW w:w="851" w:type="dxa"/>
            <w:tcBorders>
              <w:top w:val="single" w:sz="2" w:space="0" w:color="000000"/>
              <w:left w:val="single" w:sz="2" w:space="0" w:color="000000"/>
              <w:bottom w:val="single" w:sz="2" w:space="0" w:color="000000"/>
              <w:right w:val="single" w:sz="2" w:space="0" w:color="000000"/>
            </w:tcBorders>
            <w:vAlign w:val="center"/>
          </w:tcPr>
          <w:p w14:paraId="04DC2603" w14:textId="1D54E8B8" w:rsidR="00DC213D" w:rsidRPr="00E220B9" w:rsidRDefault="00DC213D" w:rsidP="00DC213D">
            <w:pPr>
              <w:spacing w:line="259" w:lineRule="auto"/>
              <w:ind w:left="59"/>
              <w:jc w:val="left"/>
              <w:rPr>
                <w:sz w:val="16"/>
                <w:szCs w:val="16"/>
              </w:rPr>
            </w:pPr>
            <w:r w:rsidRPr="00634E4C">
              <w:rPr>
                <w:rFonts w:asciiTheme="majorHAnsi" w:hAnsiTheme="majorHAnsi"/>
                <w:sz w:val="18"/>
              </w:rPr>
              <w:t>6</w:t>
            </w:r>
          </w:p>
        </w:tc>
        <w:tc>
          <w:tcPr>
            <w:tcW w:w="850" w:type="dxa"/>
            <w:tcBorders>
              <w:top w:val="single" w:sz="2" w:space="0" w:color="000000"/>
              <w:left w:val="single" w:sz="2" w:space="0" w:color="000000"/>
              <w:bottom w:val="single" w:sz="2" w:space="0" w:color="000000"/>
              <w:right w:val="single" w:sz="2" w:space="0" w:color="000000"/>
            </w:tcBorders>
            <w:vAlign w:val="center"/>
          </w:tcPr>
          <w:p w14:paraId="0CAAE9C8" w14:textId="5D709762" w:rsidR="00DC213D" w:rsidRPr="00E220B9" w:rsidRDefault="00DC213D" w:rsidP="00DC213D">
            <w:pPr>
              <w:spacing w:line="259" w:lineRule="auto"/>
              <w:ind w:left="59"/>
              <w:jc w:val="left"/>
              <w:rPr>
                <w:sz w:val="16"/>
                <w:szCs w:val="16"/>
              </w:rPr>
            </w:pPr>
            <w:r w:rsidRPr="00634E4C">
              <w:rPr>
                <w:rFonts w:asciiTheme="majorHAnsi" w:hAnsiTheme="majorHAnsi"/>
                <w:sz w:val="18"/>
              </w:rPr>
              <w:t>6</w:t>
            </w:r>
          </w:p>
        </w:tc>
        <w:tc>
          <w:tcPr>
            <w:tcW w:w="851" w:type="dxa"/>
            <w:tcBorders>
              <w:top w:val="single" w:sz="2" w:space="0" w:color="000000"/>
              <w:left w:val="single" w:sz="2" w:space="0" w:color="000000"/>
              <w:bottom w:val="single" w:sz="2" w:space="0" w:color="000000"/>
              <w:right w:val="single" w:sz="2" w:space="0" w:color="000000"/>
            </w:tcBorders>
            <w:vAlign w:val="center"/>
          </w:tcPr>
          <w:p w14:paraId="13D742F9" w14:textId="436C81D0" w:rsidR="00DC213D" w:rsidRPr="00E220B9" w:rsidRDefault="00DC213D" w:rsidP="00DC213D">
            <w:pPr>
              <w:spacing w:line="259" w:lineRule="auto"/>
              <w:ind w:left="59"/>
              <w:jc w:val="left"/>
              <w:rPr>
                <w:sz w:val="16"/>
                <w:szCs w:val="16"/>
              </w:rPr>
            </w:pPr>
            <w:r w:rsidRPr="00634E4C">
              <w:rPr>
                <w:rFonts w:asciiTheme="majorHAnsi" w:hAnsiTheme="majorHAnsi"/>
                <w:sz w:val="18"/>
              </w:rPr>
              <w:t>6</w:t>
            </w:r>
          </w:p>
        </w:tc>
        <w:tc>
          <w:tcPr>
            <w:tcW w:w="709" w:type="dxa"/>
            <w:tcBorders>
              <w:top w:val="single" w:sz="2" w:space="0" w:color="000000"/>
              <w:left w:val="single" w:sz="2" w:space="0" w:color="000000"/>
              <w:bottom w:val="single" w:sz="2" w:space="0" w:color="000000"/>
              <w:right w:val="single" w:sz="2" w:space="0" w:color="000000"/>
            </w:tcBorders>
            <w:vAlign w:val="center"/>
          </w:tcPr>
          <w:p w14:paraId="44310F77" w14:textId="34BCE207" w:rsidR="00DC213D" w:rsidRPr="00E220B9" w:rsidRDefault="00DC213D" w:rsidP="00DC213D">
            <w:pPr>
              <w:spacing w:line="259" w:lineRule="auto"/>
              <w:ind w:left="59"/>
              <w:jc w:val="left"/>
              <w:rPr>
                <w:sz w:val="16"/>
                <w:szCs w:val="16"/>
              </w:rPr>
            </w:pPr>
            <w:r w:rsidRPr="00634E4C">
              <w:rPr>
                <w:rFonts w:asciiTheme="majorHAnsi" w:hAnsiTheme="majorHAnsi"/>
                <w:sz w:val="18"/>
              </w:rPr>
              <w:t>6</w:t>
            </w:r>
          </w:p>
        </w:tc>
        <w:tc>
          <w:tcPr>
            <w:tcW w:w="850" w:type="dxa"/>
            <w:tcBorders>
              <w:top w:val="single" w:sz="2" w:space="0" w:color="000000"/>
              <w:left w:val="single" w:sz="2" w:space="0" w:color="000000"/>
              <w:bottom w:val="single" w:sz="2" w:space="0" w:color="000000"/>
              <w:right w:val="single" w:sz="2" w:space="0" w:color="000000"/>
            </w:tcBorders>
            <w:vAlign w:val="center"/>
          </w:tcPr>
          <w:p w14:paraId="292B2D3C" w14:textId="4D37FBBC" w:rsidR="00DC213D" w:rsidRPr="00E220B9" w:rsidRDefault="00DC213D" w:rsidP="00DC213D">
            <w:pPr>
              <w:spacing w:line="259" w:lineRule="auto"/>
              <w:ind w:left="59"/>
              <w:jc w:val="left"/>
              <w:rPr>
                <w:sz w:val="16"/>
                <w:szCs w:val="16"/>
              </w:rPr>
            </w:pPr>
            <w:r w:rsidRPr="00634E4C">
              <w:rPr>
                <w:rFonts w:asciiTheme="majorHAnsi" w:hAnsiTheme="majorHAnsi"/>
                <w:sz w:val="18"/>
              </w:rPr>
              <w:t>6</w:t>
            </w:r>
          </w:p>
        </w:tc>
      </w:tr>
      <w:tr w:rsidR="00DC213D" w14:paraId="0F6A3930" w14:textId="77777777" w:rsidTr="000046E5">
        <w:trPr>
          <w:trHeight w:val="344"/>
        </w:trPr>
        <w:tc>
          <w:tcPr>
            <w:tcW w:w="521" w:type="dxa"/>
            <w:tcBorders>
              <w:top w:val="single" w:sz="2" w:space="0" w:color="000000"/>
              <w:left w:val="single" w:sz="2" w:space="0" w:color="000000"/>
              <w:bottom w:val="single" w:sz="2" w:space="0" w:color="000000"/>
              <w:right w:val="single" w:sz="2" w:space="0" w:color="000000"/>
            </w:tcBorders>
            <w:shd w:val="clear" w:color="auto" w:fill="ECE6E2"/>
          </w:tcPr>
          <w:p w14:paraId="754338B6" w14:textId="77777777" w:rsidR="00DC213D" w:rsidRDefault="00DC213D" w:rsidP="00DC213D">
            <w:pPr>
              <w:spacing w:line="259" w:lineRule="auto"/>
              <w:jc w:val="left"/>
            </w:pPr>
            <w:r>
              <w:rPr>
                <w:b/>
                <w:sz w:val="18"/>
              </w:rPr>
              <w:t xml:space="preserve">Ensemble (hors UTCF) </w:t>
            </w:r>
          </w:p>
        </w:tc>
        <w:tc>
          <w:tcPr>
            <w:tcW w:w="82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E3A451" w14:textId="77C1494A" w:rsidR="00DC213D" w:rsidRPr="00E220B9" w:rsidRDefault="00DC213D" w:rsidP="00DC213D">
            <w:pPr>
              <w:spacing w:line="259" w:lineRule="auto"/>
              <w:ind w:left="59"/>
              <w:jc w:val="left"/>
              <w:rPr>
                <w:b/>
                <w:sz w:val="16"/>
                <w:szCs w:val="16"/>
              </w:rPr>
            </w:pPr>
            <w:r w:rsidRPr="00664108">
              <w:rPr>
                <w:b/>
                <w:sz w:val="18"/>
                <w:szCs w:val="18"/>
              </w:rPr>
              <w:t>544086</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237730" w14:textId="4D258E99" w:rsidR="00DC213D" w:rsidRPr="00E220B9" w:rsidRDefault="00DC213D" w:rsidP="00DC213D">
            <w:pPr>
              <w:spacing w:line="259" w:lineRule="auto"/>
              <w:ind w:left="59"/>
              <w:jc w:val="left"/>
              <w:rPr>
                <w:b/>
                <w:sz w:val="16"/>
                <w:szCs w:val="16"/>
              </w:rPr>
            </w:pPr>
            <w:r w:rsidRPr="00664108">
              <w:rPr>
                <w:b/>
                <w:sz w:val="18"/>
                <w:szCs w:val="18"/>
              </w:rPr>
              <w:t>536476</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A05C61" w14:textId="34DC6105" w:rsidR="00DC213D" w:rsidRPr="00E220B9" w:rsidRDefault="00DC213D" w:rsidP="00DC213D">
            <w:pPr>
              <w:spacing w:line="259" w:lineRule="auto"/>
              <w:ind w:left="59"/>
              <w:jc w:val="left"/>
              <w:rPr>
                <w:b/>
                <w:sz w:val="16"/>
                <w:szCs w:val="16"/>
              </w:rPr>
            </w:pPr>
            <w:r w:rsidRPr="00664108">
              <w:rPr>
                <w:b/>
                <w:sz w:val="18"/>
                <w:szCs w:val="18"/>
              </w:rPr>
              <w:t>549005</w:t>
            </w:r>
          </w:p>
        </w:tc>
        <w:tc>
          <w:tcPr>
            <w:tcW w:w="8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04DD76" w14:textId="0582C3B4" w:rsidR="00DC213D" w:rsidRPr="00E220B9" w:rsidRDefault="00DC213D" w:rsidP="00DC213D">
            <w:pPr>
              <w:spacing w:line="259" w:lineRule="auto"/>
              <w:ind w:left="59"/>
              <w:jc w:val="left"/>
              <w:rPr>
                <w:b/>
                <w:sz w:val="16"/>
                <w:szCs w:val="16"/>
              </w:rPr>
            </w:pPr>
            <w:r w:rsidRPr="00664108">
              <w:rPr>
                <w:b/>
                <w:sz w:val="18"/>
                <w:szCs w:val="18"/>
              </w:rPr>
              <w:t>551391</w:t>
            </w:r>
          </w:p>
        </w:tc>
        <w:tc>
          <w:tcPr>
            <w:tcW w:w="82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B0EB1C" w14:textId="049A7D6D" w:rsidR="00DC213D" w:rsidRPr="00E220B9" w:rsidRDefault="00DC213D" w:rsidP="00DC213D">
            <w:pPr>
              <w:spacing w:line="259" w:lineRule="auto"/>
              <w:ind w:left="64"/>
              <w:jc w:val="left"/>
              <w:rPr>
                <w:b/>
                <w:sz w:val="16"/>
                <w:szCs w:val="16"/>
              </w:rPr>
            </w:pPr>
            <w:r w:rsidRPr="00664108">
              <w:rPr>
                <w:b/>
                <w:sz w:val="18"/>
                <w:szCs w:val="18"/>
              </w:rPr>
              <w:t>507468</w:t>
            </w:r>
          </w:p>
        </w:tc>
        <w:tc>
          <w:tcPr>
            <w:tcW w:w="836" w:type="dxa"/>
            <w:gridSpan w:val="2"/>
            <w:tcBorders>
              <w:top w:val="single" w:sz="2" w:space="0" w:color="000000"/>
              <w:left w:val="single" w:sz="2" w:space="0" w:color="000000"/>
              <w:bottom w:val="single" w:sz="2" w:space="0" w:color="000000"/>
              <w:right w:val="single" w:sz="2" w:space="0" w:color="000000"/>
            </w:tcBorders>
            <w:shd w:val="clear" w:color="auto" w:fill="ECE6E2"/>
            <w:vAlign w:val="center"/>
          </w:tcPr>
          <w:p w14:paraId="5F385295" w14:textId="35CA7871" w:rsidR="00DC213D" w:rsidRPr="00E220B9" w:rsidRDefault="00DC213D" w:rsidP="00DC213D">
            <w:pPr>
              <w:spacing w:line="259" w:lineRule="auto"/>
              <w:ind w:left="59"/>
              <w:jc w:val="left"/>
              <w:rPr>
                <w:b/>
                <w:sz w:val="16"/>
                <w:szCs w:val="16"/>
              </w:rPr>
            </w:pPr>
            <w:r w:rsidRPr="00664108">
              <w:rPr>
                <w:b/>
                <w:sz w:val="18"/>
                <w:szCs w:val="18"/>
              </w:rPr>
              <w:t>457924</w:t>
            </w:r>
          </w:p>
        </w:tc>
        <w:tc>
          <w:tcPr>
            <w:tcW w:w="74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D75E98" w14:textId="185041C2" w:rsidR="00DC213D" w:rsidRPr="00E220B9" w:rsidRDefault="00DC213D" w:rsidP="00DC213D">
            <w:pPr>
              <w:spacing w:line="259" w:lineRule="auto"/>
              <w:ind w:left="59"/>
              <w:jc w:val="left"/>
              <w:rPr>
                <w:rFonts w:ascii="Calibri" w:hAnsi="Calibri" w:cs="Calibri"/>
                <w:b/>
                <w:sz w:val="20"/>
                <w:szCs w:val="20"/>
              </w:rPr>
            </w:pPr>
            <w:r w:rsidRPr="00664108">
              <w:rPr>
                <w:b/>
                <w:sz w:val="18"/>
                <w:szCs w:val="18"/>
              </w:rPr>
              <w:t>434540</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C50DED" w14:textId="337B6995" w:rsidR="00DC213D" w:rsidRPr="00E220B9" w:rsidRDefault="00DC213D" w:rsidP="00DC213D">
            <w:pPr>
              <w:spacing w:line="259" w:lineRule="auto"/>
              <w:ind w:left="59"/>
              <w:jc w:val="left"/>
              <w:rPr>
                <w:b/>
                <w:sz w:val="16"/>
                <w:szCs w:val="16"/>
              </w:rPr>
            </w:pPr>
            <w:r w:rsidRPr="00634E4C">
              <w:rPr>
                <w:rFonts w:asciiTheme="majorHAnsi" w:hAnsiTheme="majorHAnsi"/>
                <w:b/>
                <w:sz w:val="18"/>
              </w:rPr>
              <w:t>434378</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B3F0E0" w14:textId="208E4D80" w:rsidR="00DC213D" w:rsidRPr="00E220B9" w:rsidRDefault="00DC213D" w:rsidP="00DC213D">
            <w:pPr>
              <w:spacing w:line="259" w:lineRule="auto"/>
              <w:ind w:left="59"/>
              <w:jc w:val="left"/>
              <w:rPr>
                <w:b/>
                <w:sz w:val="16"/>
                <w:szCs w:val="16"/>
              </w:rPr>
            </w:pPr>
            <w:r w:rsidRPr="00634E4C">
              <w:rPr>
                <w:rFonts w:asciiTheme="majorHAnsi" w:hAnsiTheme="majorHAnsi"/>
                <w:b/>
                <w:sz w:val="18"/>
              </w:rPr>
              <w:t>367661</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2C888E" w14:textId="0E3FEF36" w:rsidR="00DC213D" w:rsidRPr="00E220B9" w:rsidRDefault="00DC213D" w:rsidP="00DC213D">
            <w:pPr>
              <w:spacing w:line="259" w:lineRule="auto"/>
              <w:ind w:left="59"/>
              <w:jc w:val="left"/>
              <w:rPr>
                <w:b/>
                <w:sz w:val="16"/>
                <w:szCs w:val="16"/>
              </w:rPr>
            </w:pPr>
            <w:r w:rsidRPr="00634E4C">
              <w:rPr>
                <w:rFonts w:asciiTheme="majorHAnsi" w:hAnsiTheme="majorHAnsi"/>
                <w:b/>
                <w:sz w:val="18"/>
              </w:rPr>
              <w:t>307094</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7F9EDB" w14:textId="45C89793" w:rsidR="00DC213D" w:rsidRPr="00E220B9" w:rsidRDefault="00DC213D" w:rsidP="00DC213D">
            <w:pPr>
              <w:spacing w:line="259" w:lineRule="auto"/>
              <w:ind w:left="59"/>
              <w:jc w:val="left"/>
              <w:rPr>
                <w:b/>
                <w:sz w:val="16"/>
                <w:szCs w:val="16"/>
              </w:rPr>
            </w:pPr>
            <w:r w:rsidRPr="00634E4C">
              <w:rPr>
                <w:rFonts w:asciiTheme="majorHAnsi" w:hAnsiTheme="majorHAnsi"/>
                <w:b/>
                <w:sz w:val="18"/>
              </w:rPr>
              <w:t>247697</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FE0748" w14:textId="3B6BBBA4" w:rsidR="00DC213D" w:rsidRPr="00E220B9" w:rsidRDefault="00DC213D" w:rsidP="00DC213D">
            <w:pPr>
              <w:spacing w:line="259" w:lineRule="auto"/>
              <w:ind w:left="59"/>
              <w:jc w:val="left"/>
              <w:rPr>
                <w:b/>
                <w:sz w:val="16"/>
                <w:szCs w:val="16"/>
              </w:rPr>
            </w:pPr>
            <w:r w:rsidRPr="00634E4C">
              <w:rPr>
                <w:rFonts w:asciiTheme="majorHAnsi" w:hAnsiTheme="majorHAnsi"/>
                <w:b/>
                <w:sz w:val="18"/>
              </w:rPr>
              <w:t>64551</w:t>
            </w:r>
          </w:p>
        </w:tc>
      </w:tr>
      <w:tr w:rsidR="00DC213D" w14:paraId="5881C6C0" w14:textId="77777777" w:rsidTr="00261D3D">
        <w:trPr>
          <w:trHeight w:val="346"/>
        </w:trPr>
        <w:tc>
          <w:tcPr>
            <w:tcW w:w="521" w:type="dxa"/>
            <w:tcBorders>
              <w:top w:val="single" w:sz="2" w:space="0" w:color="000000"/>
              <w:left w:val="single" w:sz="2" w:space="0" w:color="000000"/>
              <w:bottom w:val="single" w:sz="2" w:space="0" w:color="000000"/>
              <w:right w:val="single" w:sz="2" w:space="0" w:color="000000"/>
            </w:tcBorders>
          </w:tcPr>
          <w:p w14:paraId="7920ACB8" w14:textId="77777777" w:rsidR="00DC213D" w:rsidRDefault="00DC213D" w:rsidP="00DC213D">
            <w:pPr>
              <w:spacing w:line="259" w:lineRule="auto"/>
              <w:jc w:val="left"/>
            </w:pPr>
            <w:r>
              <w:rPr>
                <w:b/>
                <w:sz w:val="18"/>
              </w:rPr>
              <w:t xml:space="preserve">Ensemble (avec UTCF) </w:t>
            </w:r>
          </w:p>
        </w:tc>
        <w:tc>
          <w:tcPr>
            <w:tcW w:w="826" w:type="dxa"/>
            <w:tcBorders>
              <w:top w:val="single" w:sz="2" w:space="0" w:color="000000"/>
              <w:left w:val="single" w:sz="2" w:space="0" w:color="000000"/>
              <w:bottom w:val="single" w:sz="2" w:space="0" w:color="000000"/>
              <w:right w:val="single" w:sz="2" w:space="0" w:color="000000"/>
            </w:tcBorders>
            <w:vAlign w:val="center"/>
          </w:tcPr>
          <w:p w14:paraId="758EF737" w14:textId="2F0A693B" w:rsidR="00DC213D" w:rsidRPr="00E220B9" w:rsidRDefault="00DC213D" w:rsidP="00DC213D">
            <w:pPr>
              <w:spacing w:line="259" w:lineRule="auto"/>
              <w:ind w:left="59"/>
              <w:jc w:val="left"/>
              <w:rPr>
                <w:b/>
                <w:sz w:val="16"/>
                <w:szCs w:val="16"/>
              </w:rPr>
            </w:pPr>
            <w:r w:rsidRPr="00664108">
              <w:rPr>
                <w:b/>
                <w:sz w:val="18"/>
                <w:szCs w:val="18"/>
              </w:rPr>
              <w:t>520100</w:t>
            </w:r>
          </w:p>
        </w:tc>
        <w:tc>
          <w:tcPr>
            <w:tcW w:w="825" w:type="dxa"/>
            <w:tcBorders>
              <w:top w:val="single" w:sz="2" w:space="0" w:color="000000"/>
              <w:left w:val="single" w:sz="2" w:space="0" w:color="000000"/>
              <w:bottom w:val="single" w:sz="2" w:space="0" w:color="000000"/>
              <w:right w:val="single" w:sz="2" w:space="0" w:color="000000"/>
            </w:tcBorders>
            <w:vAlign w:val="center"/>
          </w:tcPr>
          <w:p w14:paraId="08AEFA3C" w14:textId="3D73D06E" w:rsidR="00DC213D" w:rsidRPr="00E220B9" w:rsidRDefault="00DC213D" w:rsidP="00DC213D">
            <w:pPr>
              <w:spacing w:line="259" w:lineRule="auto"/>
              <w:ind w:left="59"/>
              <w:jc w:val="left"/>
              <w:rPr>
                <w:b/>
                <w:sz w:val="16"/>
                <w:szCs w:val="16"/>
              </w:rPr>
            </w:pPr>
            <w:r w:rsidRPr="00664108">
              <w:rPr>
                <w:b/>
                <w:sz w:val="18"/>
                <w:szCs w:val="18"/>
              </w:rPr>
              <w:t>511596</w:t>
            </w:r>
          </w:p>
        </w:tc>
        <w:tc>
          <w:tcPr>
            <w:tcW w:w="825" w:type="dxa"/>
            <w:tcBorders>
              <w:top w:val="single" w:sz="2" w:space="0" w:color="000000"/>
              <w:left w:val="single" w:sz="2" w:space="0" w:color="000000"/>
              <w:bottom w:val="single" w:sz="2" w:space="0" w:color="000000"/>
              <w:right w:val="single" w:sz="2" w:space="0" w:color="000000"/>
            </w:tcBorders>
            <w:vAlign w:val="center"/>
          </w:tcPr>
          <w:p w14:paraId="3BC29003" w14:textId="1F0FD731" w:rsidR="00DC213D" w:rsidRPr="00E220B9" w:rsidRDefault="00DC213D" w:rsidP="00DC213D">
            <w:pPr>
              <w:spacing w:line="259" w:lineRule="auto"/>
              <w:ind w:left="59"/>
              <w:jc w:val="left"/>
              <w:rPr>
                <w:b/>
                <w:sz w:val="16"/>
                <w:szCs w:val="16"/>
              </w:rPr>
            </w:pPr>
            <w:r w:rsidRPr="00664108">
              <w:rPr>
                <w:b/>
                <w:sz w:val="18"/>
                <w:szCs w:val="18"/>
              </w:rPr>
              <w:t>529296</w:t>
            </w:r>
          </w:p>
        </w:tc>
        <w:tc>
          <w:tcPr>
            <w:tcW w:w="825" w:type="dxa"/>
            <w:tcBorders>
              <w:top w:val="single" w:sz="2" w:space="0" w:color="000000"/>
              <w:left w:val="single" w:sz="2" w:space="0" w:color="000000"/>
              <w:bottom w:val="single" w:sz="2" w:space="0" w:color="000000"/>
              <w:right w:val="single" w:sz="2" w:space="0" w:color="000000"/>
            </w:tcBorders>
            <w:vAlign w:val="center"/>
          </w:tcPr>
          <w:p w14:paraId="321B901E" w14:textId="3DBF345D" w:rsidR="00DC213D" w:rsidRPr="00E220B9" w:rsidRDefault="00DC213D" w:rsidP="00DC213D">
            <w:pPr>
              <w:spacing w:line="259" w:lineRule="auto"/>
              <w:ind w:left="59"/>
              <w:jc w:val="left"/>
              <w:rPr>
                <w:b/>
                <w:sz w:val="16"/>
                <w:szCs w:val="16"/>
              </w:rPr>
            </w:pPr>
            <w:r w:rsidRPr="00664108">
              <w:rPr>
                <w:b/>
                <w:sz w:val="18"/>
                <w:szCs w:val="18"/>
              </w:rPr>
              <w:t>504080</w:t>
            </w:r>
          </w:p>
        </w:tc>
        <w:tc>
          <w:tcPr>
            <w:tcW w:w="828" w:type="dxa"/>
            <w:tcBorders>
              <w:top w:val="single" w:sz="2" w:space="0" w:color="000000"/>
              <w:left w:val="single" w:sz="2" w:space="0" w:color="000000"/>
              <w:bottom w:val="single" w:sz="2" w:space="0" w:color="000000"/>
              <w:right w:val="single" w:sz="2" w:space="0" w:color="000000"/>
            </w:tcBorders>
            <w:vAlign w:val="center"/>
          </w:tcPr>
          <w:p w14:paraId="66749E3F" w14:textId="6B48AB26" w:rsidR="00DC213D" w:rsidRPr="00E220B9" w:rsidRDefault="00DC213D" w:rsidP="00DC213D">
            <w:pPr>
              <w:spacing w:line="259" w:lineRule="auto"/>
              <w:ind w:left="59"/>
              <w:jc w:val="left"/>
              <w:rPr>
                <w:b/>
                <w:sz w:val="16"/>
                <w:szCs w:val="16"/>
              </w:rPr>
            </w:pPr>
            <w:r w:rsidRPr="00664108">
              <w:rPr>
                <w:b/>
                <w:sz w:val="18"/>
                <w:szCs w:val="18"/>
              </w:rPr>
              <w:t>469113</w:t>
            </w:r>
          </w:p>
        </w:tc>
        <w:tc>
          <w:tcPr>
            <w:tcW w:w="836" w:type="dxa"/>
            <w:gridSpan w:val="2"/>
            <w:tcBorders>
              <w:top w:val="single" w:sz="2" w:space="0" w:color="000000"/>
              <w:left w:val="single" w:sz="2" w:space="0" w:color="000000"/>
              <w:bottom w:val="single" w:sz="2" w:space="0" w:color="000000"/>
              <w:right w:val="single" w:sz="2" w:space="0" w:color="000000"/>
            </w:tcBorders>
            <w:vAlign w:val="center"/>
          </w:tcPr>
          <w:p w14:paraId="22E7BE71" w14:textId="5DDAC910" w:rsidR="00DC213D" w:rsidRPr="00E220B9" w:rsidRDefault="00DC213D" w:rsidP="00DC213D">
            <w:pPr>
              <w:spacing w:line="259" w:lineRule="auto"/>
              <w:ind w:left="59"/>
              <w:jc w:val="left"/>
              <w:rPr>
                <w:b/>
                <w:sz w:val="16"/>
                <w:szCs w:val="16"/>
              </w:rPr>
            </w:pPr>
            <w:r w:rsidRPr="00664108">
              <w:rPr>
                <w:b/>
                <w:sz w:val="18"/>
                <w:szCs w:val="18"/>
              </w:rPr>
              <w:t>423346</w:t>
            </w:r>
          </w:p>
        </w:tc>
        <w:tc>
          <w:tcPr>
            <w:tcW w:w="741" w:type="dxa"/>
            <w:tcBorders>
              <w:top w:val="single" w:sz="2" w:space="0" w:color="000000"/>
              <w:left w:val="single" w:sz="2" w:space="0" w:color="000000"/>
              <w:bottom w:val="single" w:sz="2" w:space="0" w:color="000000"/>
              <w:right w:val="single" w:sz="2" w:space="0" w:color="000000"/>
            </w:tcBorders>
            <w:vAlign w:val="center"/>
          </w:tcPr>
          <w:p w14:paraId="37C20606" w14:textId="15B34136" w:rsidR="00DC213D" w:rsidRPr="00E220B9" w:rsidRDefault="00DC213D" w:rsidP="00DC213D">
            <w:pPr>
              <w:spacing w:line="259" w:lineRule="auto"/>
              <w:ind w:left="59"/>
              <w:jc w:val="left"/>
              <w:rPr>
                <w:rFonts w:ascii="Calibri" w:hAnsi="Calibri" w:cs="Calibri"/>
                <w:b/>
                <w:sz w:val="20"/>
                <w:szCs w:val="20"/>
              </w:rPr>
            </w:pPr>
            <w:r w:rsidRPr="00664108">
              <w:rPr>
                <w:b/>
                <w:sz w:val="18"/>
                <w:szCs w:val="18"/>
              </w:rPr>
              <w:t>422252</w:t>
            </w:r>
          </w:p>
        </w:tc>
        <w:tc>
          <w:tcPr>
            <w:tcW w:w="851" w:type="dxa"/>
            <w:tcBorders>
              <w:top w:val="single" w:sz="2" w:space="0" w:color="000000"/>
              <w:left w:val="single" w:sz="2" w:space="0" w:color="000000"/>
              <w:bottom w:val="single" w:sz="2" w:space="0" w:color="000000"/>
              <w:right w:val="single" w:sz="2" w:space="0" w:color="000000"/>
            </w:tcBorders>
            <w:vAlign w:val="center"/>
          </w:tcPr>
          <w:p w14:paraId="2F81A994" w14:textId="2D60592F" w:rsidR="00DC213D" w:rsidRPr="00E220B9" w:rsidRDefault="00DC213D" w:rsidP="00DC213D">
            <w:pPr>
              <w:spacing w:line="259" w:lineRule="auto"/>
              <w:ind w:left="59"/>
              <w:jc w:val="left"/>
              <w:rPr>
                <w:b/>
                <w:sz w:val="16"/>
                <w:szCs w:val="16"/>
              </w:rPr>
            </w:pPr>
            <w:r w:rsidRPr="00634E4C">
              <w:rPr>
                <w:rFonts w:asciiTheme="majorHAnsi" w:hAnsiTheme="majorHAnsi"/>
                <w:b/>
                <w:sz w:val="18"/>
              </w:rPr>
              <w:t>395383</w:t>
            </w:r>
          </w:p>
        </w:tc>
        <w:tc>
          <w:tcPr>
            <w:tcW w:w="850" w:type="dxa"/>
            <w:tcBorders>
              <w:top w:val="single" w:sz="2" w:space="0" w:color="000000"/>
              <w:left w:val="single" w:sz="2" w:space="0" w:color="000000"/>
              <w:bottom w:val="single" w:sz="2" w:space="0" w:color="000000"/>
              <w:right w:val="single" w:sz="2" w:space="0" w:color="000000"/>
            </w:tcBorders>
            <w:vAlign w:val="center"/>
          </w:tcPr>
          <w:p w14:paraId="1C5352E8" w14:textId="644A28E7" w:rsidR="00DC213D" w:rsidRPr="00E220B9" w:rsidRDefault="00DC213D" w:rsidP="00DC213D">
            <w:pPr>
              <w:spacing w:line="259" w:lineRule="auto"/>
              <w:ind w:left="59"/>
              <w:jc w:val="left"/>
              <w:rPr>
                <w:b/>
                <w:sz w:val="16"/>
                <w:szCs w:val="16"/>
              </w:rPr>
            </w:pPr>
            <w:r w:rsidRPr="00634E4C">
              <w:rPr>
                <w:rFonts w:asciiTheme="majorHAnsi" w:hAnsiTheme="majorHAnsi"/>
                <w:b/>
                <w:sz w:val="18"/>
              </w:rPr>
              <w:t>329989</w:t>
            </w:r>
          </w:p>
        </w:tc>
        <w:tc>
          <w:tcPr>
            <w:tcW w:w="851" w:type="dxa"/>
            <w:tcBorders>
              <w:top w:val="single" w:sz="2" w:space="0" w:color="000000"/>
              <w:left w:val="single" w:sz="2" w:space="0" w:color="000000"/>
              <w:bottom w:val="single" w:sz="2" w:space="0" w:color="000000"/>
              <w:right w:val="single" w:sz="2" w:space="0" w:color="000000"/>
            </w:tcBorders>
            <w:vAlign w:val="center"/>
          </w:tcPr>
          <w:p w14:paraId="43A05457" w14:textId="0C10150A" w:rsidR="00DC213D" w:rsidRPr="00E220B9" w:rsidRDefault="00DC213D" w:rsidP="00DC213D">
            <w:pPr>
              <w:spacing w:line="259" w:lineRule="auto"/>
              <w:ind w:left="59"/>
              <w:jc w:val="left"/>
              <w:rPr>
                <w:b/>
                <w:sz w:val="16"/>
                <w:szCs w:val="16"/>
              </w:rPr>
            </w:pPr>
            <w:r w:rsidRPr="00634E4C">
              <w:rPr>
                <w:rFonts w:asciiTheme="majorHAnsi" w:hAnsiTheme="majorHAnsi"/>
                <w:b/>
                <w:sz w:val="18"/>
              </w:rPr>
              <w:t>266934</w:t>
            </w:r>
          </w:p>
        </w:tc>
        <w:tc>
          <w:tcPr>
            <w:tcW w:w="709" w:type="dxa"/>
            <w:tcBorders>
              <w:top w:val="single" w:sz="2" w:space="0" w:color="000000"/>
              <w:left w:val="single" w:sz="2" w:space="0" w:color="000000"/>
              <w:bottom w:val="single" w:sz="2" w:space="0" w:color="000000"/>
              <w:right w:val="single" w:sz="2" w:space="0" w:color="000000"/>
            </w:tcBorders>
            <w:vAlign w:val="center"/>
          </w:tcPr>
          <w:p w14:paraId="78D06113" w14:textId="6003E26B" w:rsidR="00DC213D" w:rsidRPr="00E220B9" w:rsidRDefault="00DC213D" w:rsidP="00DC213D">
            <w:pPr>
              <w:spacing w:line="259" w:lineRule="auto"/>
              <w:ind w:left="63"/>
              <w:jc w:val="left"/>
              <w:rPr>
                <w:b/>
                <w:sz w:val="16"/>
                <w:szCs w:val="16"/>
              </w:rPr>
            </w:pPr>
            <w:r w:rsidRPr="00634E4C">
              <w:rPr>
                <w:rFonts w:asciiTheme="majorHAnsi" w:hAnsiTheme="majorHAnsi"/>
                <w:b/>
                <w:sz w:val="18"/>
              </w:rPr>
              <w:t>202492</w:t>
            </w:r>
          </w:p>
        </w:tc>
        <w:tc>
          <w:tcPr>
            <w:tcW w:w="850" w:type="dxa"/>
            <w:tcBorders>
              <w:top w:val="single" w:sz="2" w:space="0" w:color="000000"/>
              <w:left w:val="single" w:sz="2" w:space="0" w:color="000000"/>
              <w:bottom w:val="single" w:sz="2" w:space="0" w:color="000000"/>
              <w:right w:val="single" w:sz="2" w:space="0" w:color="000000"/>
            </w:tcBorders>
            <w:vAlign w:val="center"/>
          </w:tcPr>
          <w:p w14:paraId="6D28FD14" w14:textId="10120F25" w:rsidR="00DC213D" w:rsidRPr="00E220B9" w:rsidRDefault="00DC213D" w:rsidP="00DC213D">
            <w:pPr>
              <w:spacing w:line="259" w:lineRule="auto"/>
              <w:ind w:left="63"/>
              <w:jc w:val="left"/>
              <w:rPr>
                <w:b/>
                <w:sz w:val="16"/>
                <w:szCs w:val="16"/>
              </w:rPr>
            </w:pPr>
            <w:r w:rsidRPr="00634E4C">
              <w:rPr>
                <w:rFonts w:asciiTheme="majorHAnsi" w:hAnsiTheme="majorHAnsi"/>
                <w:b/>
                <w:sz w:val="18"/>
              </w:rPr>
              <w:t>-2597</w:t>
            </w:r>
          </w:p>
        </w:tc>
      </w:tr>
    </w:tbl>
    <w:p w14:paraId="630931FE" w14:textId="11DE7926" w:rsidR="003C2855" w:rsidRDefault="00591B9B" w:rsidP="003C2855">
      <w:pPr>
        <w:pStyle w:val="Caption"/>
      </w:pPr>
      <w:bookmarkStart w:id="548" w:name="_Toc123916510"/>
      <w:r>
        <w:t xml:space="preserve">Tableau </w:t>
      </w:r>
      <w:fldSimple w:instr=" SEQ Tableau \* ARABIC ">
        <w:r w:rsidR="00AB51D9">
          <w:rPr>
            <w:noProof/>
          </w:rPr>
          <w:t>18</w:t>
        </w:r>
      </w:fldSimple>
      <w:r>
        <w:t xml:space="preserve"> : </w:t>
      </w:r>
      <w:r w:rsidR="003C2855">
        <w:t>Projections d’émissions de GES par gaz (en kt</w:t>
      </w:r>
      <w:r w:rsidR="007F09F7">
        <w:t>CO</w:t>
      </w:r>
      <w:r w:rsidR="007F09F7" w:rsidRPr="007F09F7">
        <w:rPr>
          <w:vertAlign w:val="subscript"/>
        </w:rPr>
        <w:t>2</w:t>
      </w:r>
      <w:r w:rsidR="003C2855">
        <w:t>e) au périmètre Kyoto dans le scénario AMS 2018 (avec mesures supplémentaires)</w:t>
      </w:r>
      <w:bookmarkEnd w:id="548"/>
    </w:p>
    <w:p w14:paraId="169B333F" w14:textId="3D95CAE2" w:rsidR="001021CB" w:rsidRDefault="003C2855" w:rsidP="003C2855">
      <w:pPr>
        <w:pStyle w:val="Caption"/>
      </w:pPr>
      <w:r>
        <w:t xml:space="preserve">Source : Inventaire CCNUCC, Citepa/MTES, soumission </w:t>
      </w:r>
      <w:r w:rsidR="000046E5">
        <w:t xml:space="preserve">2022 </w:t>
      </w:r>
      <w:r>
        <w:t>et projections d’émissions MTE, 2018</w:t>
      </w:r>
    </w:p>
    <w:p w14:paraId="1E41D1FA" w14:textId="34D6BE9E" w:rsidR="001021CB" w:rsidRDefault="001021CB" w:rsidP="00A36804"/>
    <w:p w14:paraId="1F9BBA5B" w14:textId="3A282CEE" w:rsidR="000046E5" w:rsidRDefault="000046E5" w:rsidP="00261D3D">
      <w:pPr>
        <w:jc w:val="center"/>
      </w:pPr>
      <w:bookmarkStart w:id="549" w:name="_Toc123916471"/>
    </w:p>
    <w:p w14:paraId="41D507EC" w14:textId="3EBB09ED" w:rsidR="00DC213D" w:rsidRDefault="00DC213D" w:rsidP="003C2855">
      <w:pPr>
        <w:pStyle w:val="Caption"/>
      </w:pPr>
      <w:r>
        <w:rPr>
          <w:noProof/>
        </w:rPr>
        <w:drawing>
          <wp:inline distT="0" distB="0" distL="0" distR="0" wp14:anchorId="2878A87C" wp14:editId="434465C9">
            <wp:extent cx="6318250" cy="4242959"/>
            <wp:effectExtent l="0" t="0" r="6350" b="5715"/>
            <wp:docPr id="28719" name="Graphique 28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34193F95" w14:textId="4D89FDA9" w:rsidR="003C2855" w:rsidRDefault="00D737AE" w:rsidP="003C2855">
      <w:pPr>
        <w:pStyle w:val="Caption"/>
      </w:pPr>
      <w:r>
        <w:t xml:space="preserve">Figure </w:t>
      </w:r>
      <w:fldSimple w:instr=" SEQ Figure \* ARABIC ">
        <w:r w:rsidR="00AB51D9">
          <w:rPr>
            <w:noProof/>
          </w:rPr>
          <w:t>60</w:t>
        </w:r>
      </w:fldSimple>
      <w:r>
        <w:rPr>
          <w:rFonts w:ascii="Calibri" w:hAnsi="Calibri" w:cs="Calibri"/>
        </w:rPr>
        <w:t> </w:t>
      </w:r>
      <w:r>
        <w:t xml:space="preserve">: </w:t>
      </w:r>
      <w:r w:rsidR="003C2855">
        <w:t>Projection par gaz en kt</w:t>
      </w:r>
      <w:r w:rsidR="007F09F7">
        <w:t>CO</w:t>
      </w:r>
      <w:r w:rsidR="007F09F7" w:rsidRPr="007F09F7">
        <w:rPr>
          <w:vertAlign w:val="subscript"/>
        </w:rPr>
        <w:t>2</w:t>
      </w:r>
      <w:r w:rsidR="003C2855">
        <w:t>-eq, hors LULUCF (hors UTCF), au format Kyoto, scénario AME</w:t>
      </w:r>
      <w:bookmarkEnd w:id="549"/>
      <w:r w:rsidR="003C2855">
        <w:t xml:space="preserve"> </w:t>
      </w:r>
    </w:p>
    <w:p w14:paraId="36485321" w14:textId="1EB7077A" w:rsidR="001021CB" w:rsidRDefault="003C2855" w:rsidP="003C2855">
      <w:pPr>
        <w:pStyle w:val="Caption"/>
      </w:pPr>
      <w:r>
        <w:t xml:space="preserve">Source : Inventaire CCNUCC, Citepa/MTE, soumission </w:t>
      </w:r>
      <w:r w:rsidR="000046E5">
        <w:t xml:space="preserve">2022 </w:t>
      </w:r>
      <w:r>
        <w:t>et projections d’émissions MTE, 2018</w:t>
      </w:r>
    </w:p>
    <w:p w14:paraId="3C08EB66" w14:textId="77777777" w:rsidR="000046E5" w:rsidRDefault="000046E5" w:rsidP="00261D3D">
      <w:bookmarkStart w:id="550" w:name="_Toc123916472"/>
    </w:p>
    <w:p w14:paraId="6E0B6868" w14:textId="78D9E89C" w:rsidR="00DC213D" w:rsidRDefault="00DC213D" w:rsidP="003C2855">
      <w:pPr>
        <w:pStyle w:val="Caption"/>
      </w:pPr>
      <w:r>
        <w:rPr>
          <w:noProof/>
        </w:rPr>
        <w:drawing>
          <wp:inline distT="0" distB="0" distL="0" distR="0" wp14:anchorId="5ABDB2EA" wp14:editId="16E5AE13">
            <wp:extent cx="6318250" cy="3841750"/>
            <wp:effectExtent l="0" t="0" r="6350" b="6350"/>
            <wp:docPr id="28720" name="Graphique 287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983AC8F" w14:textId="4912B736" w:rsidR="003C2855" w:rsidRDefault="0031010B" w:rsidP="003C2855">
      <w:pPr>
        <w:pStyle w:val="Caption"/>
      </w:pPr>
      <w:r>
        <w:t xml:space="preserve">Figure </w:t>
      </w:r>
      <w:fldSimple w:instr=" SEQ Figure \* ARABIC ">
        <w:r w:rsidR="00AB51D9">
          <w:rPr>
            <w:noProof/>
          </w:rPr>
          <w:t>61</w:t>
        </w:r>
      </w:fldSimple>
      <w:r>
        <w:rPr>
          <w:rFonts w:ascii="Calibri" w:hAnsi="Calibri" w:cs="Calibri"/>
        </w:rPr>
        <w:t> </w:t>
      </w:r>
      <w:r>
        <w:t xml:space="preserve">: </w:t>
      </w:r>
      <w:r w:rsidR="003C2855">
        <w:t>Projection par gaz en kt</w:t>
      </w:r>
      <w:r w:rsidR="007F09F7">
        <w:t>CO</w:t>
      </w:r>
      <w:r w:rsidR="007F09F7" w:rsidRPr="007F09F7">
        <w:rPr>
          <w:vertAlign w:val="subscript"/>
        </w:rPr>
        <w:t>2</w:t>
      </w:r>
      <w:r w:rsidR="003C2855">
        <w:t>-eq, hors LULUCF (avec UTCF), au format Kyoto, scénario AMS 2018</w:t>
      </w:r>
      <w:bookmarkEnd w:id="550"/>
      <w:r w:rsidR="003C2855">
        <w:t xml:space="preserve"> </w:t>
      </w:r>
    </w:p>
    <w:p w14:paraId="676565A0" w14:textId="37761D86" w:rsidR="001021CB" w:rsidRDefault="003C2855" w:rsidP="003C2855">
      <w:pPr>
        <w:pStyle w:val="Caption"/>
      </w:pPr>
      <w:r>
        <w:t xml:space="preserve">Source : Inventaire CCNUCC, Citepa/MTE, soumission </w:t>
      </w:r>
      <w:r w:rsidR="000046E5">
        <w:t xml:space="preserve">2022 </w:t>
      </w:r>
      <w:r>
        <w:t>et projections d’émissions MTE, 2018</w:t>
      </w:r>
    </w:p>
    <w:p w14:paraId="37F8966D" w14:textId="7E6D1889" w:rsidR="001021CB" w:rsidRDefault="001021CB" w:rsidP="003F57EA">
      <w:pPr>
        <w:pStyle w:val="Titre4niveau4"/>
        <w:numPr>
          <w:ilvl w:val="2"/>
          <w:numId w:val="78"/>
        </w:numPr>
      </w:pPr>
      <w:r>
        <w:t>Évolution croisée par secteur d’activités et par gaz</w:t>
      </w:r>
    </w:p>
    <w:p w14:paraId="3A5342AC" w14:textId="6557405F" w:rsidR="009947FF" w:rsidRDefault="009947FF" w:rsidP="003F57EA">
      <w:pPr>
        <w:pStyle w:val="titreencadre"/>
        <w:numPr>
          <w:ilvl w:val="3"/>
          <w:numId w:val="78"/>
        </w:numPr>
      </w:pPr>
      <w:r>
        <w:t>AME 2021</w:t>
      </w:r>
    </w:p>
    <w:p w14:paraId="5F4D694E" w14:textId="7A6F27CB" w:rsidR="009B2382" w:rsidRDefault="009B2382" w:rsidP="009B2382"/>
    <w:tbl>
      <w:tblPr>
        <w:tblStyle w:val="TableGrid0"/>
        <w:tblW w:w="9934" w:type="dxa"/>
        <w:tblInd w:w="10" w:type="dxa"/>
        <w:tblLayout w:type="fixed"/>
        <w:tblCellMar>
          <w:top w:w="39" w:type="dxa"/>
          <w:left w:w="28" w:type="dxa"/>
          <w:bottom w:w="2" w:type="dxa"/>
          <w:right w:w="31" w:type="dxa"/>
        </w:tblCellMar>
        <w:tblLook w:val="04A0" w:firstRow="1" w:lastRow="0" w:firstColumn="1" w:lastColumn="0" w:noHBand="0" w:noVBand="1"/>
      </w:tblPr>
      <w:tblGrid>
        <w:gridCol w:w="1121"/>
        <w:gridCol w:w="734"/>
        <w:gridCol w:w="734"/>
        <w:gridCol w:w="735"/>
        <w:gridCol w:w="734"/>
        <w:gridCol w:w="735"/>
        <w:gridCol w:w="734"/>
        <w:gridCol w:w="734"/>
        <w:gridCol w:w="735"/>
        <w:gridCol w:w="734"/>
        <w:gridCol w:w="735"/>
        <w:gridCol w:w="734"/>
        <w:gridCol w:w="735"/>
      </w:tblGrid>
      <w:tr w:rsidR="004A6A59" w14:paraId="7C5490F9" w14:textId="77777777" w:rsidTr="004A6A59">
        <w:trPr>
          <w:trHeight w:val="400"/>
        </w:trPr>
        <w:tc>
          <w:tcPr>
            <w:tcW w:w="1121" w:type="dxa"/>
            <w:tcBorders>
              <w:top w:val="single" w:sz="2" w:space="0" w:color="000000"/>
              <w:left w:val="single" w:sz="2" w:space="0" w:color="000000"/>
              <w:bottom w:val="single" w:sz="2" w:space="0" w:color="000000"/>
              <w:right w:val="single" w:sz="2" w:space="0" w:color="000000"/>
            </w:tcBorders>
            <w:shd w:val="clear" w:color="auto" w:fill="6D2A78"/>
          </w:tcPr>
          <w:p w14:paraId="3E4F801A" w14:textId="02F93543" w:rsidR="00647421" w:rsidRDefault="00647421" w:rsidP="00B052CA">
            <w:pPr>
              <w:spacing w:line="259" w:lineRule="auto"/>
              <w:jc w:val="left"/>
            </w:pPr>
            <w:r>
              <w:t>AME 21 – CO</w:t>
            </w:r>
            <w:r w:rsidRPr="007F09F7">
              <w:rPr>
                <w:vertAlign w:val="subscript"/>
              </w:rPr>
              <w:t>2</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AF22DD4" w14:textId="77777777" w:rsidR="00647421" w:rsidRDefault="00647421" w:rsidP="00B052CA">
            <w:pPr>
              <w:spacing w:line="259" w:lineRule="auto"/>
              <w:ind w:left="1"/>
              <w:jc w:val="center"/>
            </w:pPr>
            <w:r>
              <w:rPr>
                <w:b/>
                <w:color w:val="FFFFFF"/>
                <w:sz w:val="18"/>
              </w:rPr>
              <w:t>1990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DC4FE34" w14:textId="2C7D1CA9" w:rsidR="00647421" w:rsidRDefault="00647421" w:rsidP="00647421">
            <w:pPr>
              <w:spacing w:line="259" w:lineRule="auto"/>
              <w:ind w:left="4"/>
              <w:jc w:val="center"/>
              <w:rPr>
                <w:b/>
                <w:color w:val="FFFFFF"/>
                <w:sz w:val="18"/>
              </w:rPr>
            </w:pPr>
            <w:r>
              <w:rPr>
                <w:b/>
                <w:color w:val="FFFFFF"/>
                <w:sz w:val="18"/>
              </w:rPr>
              <w:t>1995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7D4E354" w14:textId="49D64FEC" w:rsidR="00647421" w:rsidRDefault="00647421" w:rsidP="00B052CA">
            <w:pPr>
              <w:spacing w:line="259" w:lineRule="auto"/>
              <w:ind w:left="4"/>
              <w:jc w:val="center"/>
            </w:pPr>
            <w:r>
              <w:rPr>
                <w:b/>
                <w:color w:val="FFFFFF"/>
                <w:sz w:val="18"/>
              </w:rPr>
              <w:t>2000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D21C1AB" w14:textId="77777777" w:rsidR="00647421" w:rsidRDefault="00647421" w:rsidP="00B052CA">
            <w:pPr>
              <w:spacing w:line="259" w:lineRule="auto"/>
              <w:ind w:left="1"/>
              <w:jc w:val="center"/>
            </w:pPr>
            <w:r>
              <w:rPr>
                <w:b/>
                <w:color w:val="FFFFFF"/>
                <w:sz w:val="18"/>
              </w:rPr>
              <w:t>2005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30F80C8" w14:textId="77777777" w:rsidR="00647421" w:rsidRDefault="00647421" w:rsidP="00B052CA">
            <w:pPr>
              <w:spacing w:line="259" w:lineRule="auto"/>
              <w:ind w:left="4"/>
              <w:jc w:val="center"/>
            </w:pPr>
            <w:r>
              <w:rPr>
                <w:b/>
                <w:color w:val="FFFFFF"/>
                <w:sz w:val="18"/>
              </w:rPr>
              <w:t>2010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4CC5351" w14:textId="77777777" w:rsidR="00647421" w:rsidRDefault="00647421" w:rsidP="00B052CA">
            <w:pPr>
              <w:spacing w:line="259" w:lineRule="auto"/>
              <w:ind w:left="1"/>
              <w:jc w:val="center"/>
            </w:pPr>
            <w:r>
              <w:rPr>
                <w:b/>
                <w:color w:val="FFFFFF"/>
                <w:sz w:val="18"/>
              </w:rPr>
              <w:t>2015</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DA54264" w14:textId="77777777" w:rsidR="00647421" w:rsidRDefault="00647421" w:rsidP="00B052CA">
            <w:pPr>
              <w:spacing w:line="259" w:lineRule="auto"/>
              <w:ind w:left="4"/>
              <w:jc w:val="center"/>
              <w:rPr>
                <w:b/>
                <w:color w:val="FFFFFF"/>
                <w:sz w:val="18"/>
              </w:rPr>
            </w:pPr>
            <w:r>
              <w:rPr>
                <w:b/>
                <w:color w:val="FFFFFF"/>
                <w:sz w:val="18"/>
              </w:rPr>
              <w:t>2019</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7F0A264" w14:textId="77777777" w:rsidR="00647421" w:rsidRDefault="00647421" w:rsidP="00B052CA">
            <w:pPr>
              <w:spacing w:line="259" w:lineRule="auto"/>
              <w:ind w:left="4"/>
              <w:jc w:val="center"/>
            </w:pPr>
            <w:r>
              <w:rPr>
                <w:b/>
                <w:color w:val="FFFFFF"/>
                <w:sz w:val="18"/>
              </w:rPr>
              <w:t>2020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5928251" w14:textId="77777777" w:rsidR="00647421" w:rsidRDefault="00647421" w:rsidP="00B052CA">
            <w:pPr>
              <w:spacing w:line="259" w:lineRule="auto"/>
              <w:ind w:left="1"/>
              <w:jc w:val="center"/>
            </w:pPr>
            <w:r>
              <w:rPr>
                <w:b/>
                <w:color w:val="FFFFFF"/>
                <w:sz w:val="18"/>
              </w:rPr>
              <w:t>2025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09E0270" w14:textId="77777777" w:rsidR="00647421" w:rsidRDefault="00647421" w:rsidP="00B052CA">
            <w:pPr>
              <w:spacing w:line="259" w:lineRule="auto"/>
              <w:ind w:left="4"/>
              <w:jc w:val="center"/>
            </w:pPr>
            <w:r>
              <w:rPr>
                <w:b/>
                <w:color w:val="FFFFFF"/>
                <w:sz w:val="18"/>
              </w:rPr>
              <w:t>2030</w:t>
            </w:r>
          </w:p>
        </w:tc>
        <w:tc>
          <w:tcPr>
            <w:tcW w:w="73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8D0788D" w14:textId="77777777" w:rsidR="00647421" w:rsidRDefault="00647421" w:rsidP="00B052CA">
            <w:pPr>
              <w:spacing w:line="259" w:lineRule="auto"/>
              <w:ind w:left="3"/>
              <w:jc w:val="center"/>
            </w:pPr>
            <w:r>
              <w:rPr>
                <w:b/>
                <w:color w:val="FFFFFF"/>
                <w:sz w:val="18"/>
              </w:rPr>
              <w:t>2035</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0AD8858" w14:textId="77777777" w:rsidR="00647421" w:rsidRDefault="00647421" w:rsidP="00B052CA">
            <w:pPr>
              <w:spacing w:line="259" w:lineRule="auto"/>
              <w:ind w:left="3"/>
              <w:jc w:val="center"/>
              <w:rPr>
                <w:b/>
                <w:color w:val="FFFFFF"/>
                <w:sz w:val="18"/>
              </w:rPr>
            </w:pPr>
            <w:r>
              <w:rPr>
                <w:b/>
                <w:color w:val="FFFFFF"/>
                <w:sz w:val="18"/>
              </w:rPr>
              <w:t>2050</w:t>
            </w:r>
          </w:p>
        </w:tc>
      </w:tr>
      <w:tr w:rsidR="000046E5" w14:paraId="59A034D0" w14:textId="77777777" w:rsidTr="004A6A59">
        <w:trPr>
          <w:trHeight w:val="347"/>
        </w:trPr>
        <w:tc>
          <w:tcPr>
            <w:tcW w:w="1121" w:type="dxa"/>
            <w:tcBorders>
              <w:top w:val="single" w:sz="2" w:space="0" w:color="000000"/>
              <w:left w:val="single" w:sz="2" w:space="0" w:color="000000"/>
              <w:bottom w:val="single" w:sz="2" w:space="0" w:color="000000"/>
              <w:right w:val="single" w:sz="2" w:space="0" w:color="000000"/>
            </w:tcBorders>
          </w:tcPr>
          <w:p w14:paraId="534AAE12" w14:textId="77777777" w:rsidR="000046E5" w:rsidRDefault="000046E5" w:rsidP="000046E5">
            <w:pPr>
              <w:spacing w:line="259" w:lineRule="auto"/>
            </w:pPr>
            <w:r>
              <w:rPr>
                <w:sz w:val="18"/>
              </w:rPr>
              <w:t xml:space="preserve">Energie </w:t>
            </w:r>
          </w:p>
        </w:tc>
        <w:tc>
          <w:tcPr>
            <w:tcW w:w="734" w:type="dxa"/>
            <w:tcBorders>
              <w:top w:val="single" w:sz="2" w:space="0" w:color="000000"/>
              <w:left w:val="single" w:sz="2" w:space="0" w:color="000000"/>
              <w:bottom w:val="single" w:sz="2" w:space="0" w:color="000000"/>
              <w:right w:val="single" w:sz="2" w:space="0" w:color="000000"/>
            </w:tcBorders>
            <w:vAlign w:val="center"/>
          </w:tcPr>
          <w:p w14:paraId="7304CE10" w14:textId="4957739F" w:rsidR="000046E5" w:rsidRDefault="000046E5" w:rsidP="000046E5">
            <w:pPr>
              <w:spacing w:line="259" w:lineRule="auto"/>
              <w:ind w:left="56"/>
              <w:jc w:val="center"/>
            </w:pPr>
            <w:r>
              <w:rPr>
                <w:sz w:val="18"/>
                <w:szCs w:val="18"/>
              </w:rPr>
              <w:t>351435</w:t>
            </w:r>
          </w:p>
        </w:tc>
        <w:tc>
          <w:tcPr>
            <w:tcW w:w="734" w:type="dxa"/>
            <w:tcBorders>
              <w:top w:val="single" w:sz="2" w:space="0" w:color="000000"/>
              <w:left w:val="single" w:sz="2" w:space="0" w:color="000000"/>
              <w:bottom w:val="single" w:sz="2" w:space="0" w:color="000000"/>
              <w:right w:val="single" w:sz="2" w:space="0" w:color="000000"/>
            </w:tcBorders>
            <w:vAlign w:val="center"/>
          </w:tcPr>
          <w:p w14:paraId="755CA0A5" w14:textId="2D612EA8" w:rsidR="000046E5" w:rsidRPr="004A6A59" w:rsidRDefault="000046E5" w:rsidP="000046E5">
            <w:pPr>
              <w:spacing w:line="259" w:lineRule="auto"/>
              <w:ind w:left="56"/>
              <w:jc w:val="center"/>
              <w:rPr>
                <w:sz w:val="18"/>
              </w:rPr>
            </w:pPr>
            <w:r>
              <w:rPr>
                <w:sz w:val="18"/>
                <w:szCs w:val="18"/>
              </w:rPr>
              <w:t>350115</w:t>
            </w:r>
          </w:p>
        </w:tc>
        <w:tc>
          <w:tcPr>
            <w:tcW w:w="735" w:type="dxa"/>
            <w:tcBorders>
              <w:top w:val="single" w:sz="2" w:space="0" w:color="000000"/>
              <w:left w:val="single" w:sz="2" w:space="0" w:color="000000"/>
              <w:bottom w:val="single" w:sz="2" w:space="0" w:color="000000"/>
              <w:right w:val="single" w:sz="2" w:space="0" w:color="000000"/>
            </w:tcBorders>
            <w:vAlign w:val="center"/>
          </w:tcPr>
          <w:p w14:paraId="1A6240BD" w14:textId="0447A619" w:rsidR="000046E5" w:rsidRPr="00F66E1F" w:rsidRDefault="000046E5" w:rsidP="000046E5">
            <w:pPr>
              <w:spacing w:line="259" w:lineRule="auto"/>
              <w:ind w:left="58"/>
              <w:jc w:val="center"/>
            </w:pPr>
            <w:r>
              <w:rPr>
                <w:sz w:val="18"/>
                <w:szCs w:val="18"/>
              </w:rPr>
              <w:t>370522</w:t>
            </w:r>
          </w:p>
        </w:tc>
        <w:tc>
          <w:tcPr>
            <w:tcW w:w="734" w:type="dxa"/>
            <w:tcBorders>
              <w:top w:val="single" w:sz="2" w:space="0" w:color="000000"/>
              <w:left w:val="single" w:sz="2" w:space="0" w:color="000000"/>
              <w:bottom w:val="single" w:sz="2" w:space="0" w:color="000000"/>
              <w:right w:val="single" w:sz="2" w:space="0" w:color="000000"/>
            </w:tcBorders>
            <w:vAlign w:val="center"/>
          </w:tcPr>
          <w:p w14:paraId="465A4F21" w14:textId="4BBBB000" w:rsidR="000046E5" w:rsidRPr="00F66E1F" w:rsidRDefault="000046E5" w:rsidP="000046E5">
            <w:pPr>
              <w:spacing w:line="259" w:lineRule="auto"/>
              <w:ind w:left="56"/>
              <w:jc w:val="center"/>
            </w:pPr>
            <w:r>
              <w:rPr>
                <w:sz w:val="18"/>
                <w:szCs w:val="18"/>
              </w:rPr>
              <w:t>381286</w:t>
            </w:r>
          </w:p>
        </w:tc>
        <w:tc>
          <w:tcPr>
            <w:tcW w:w="735" w:type="dxa"/>
            <w:tcBorders>
              <w:top w:val="single" w:sz="2" w:space="0" w:color="000000"/>
              <w:left w:val="single" w:sz="2" w:space="0" w:color="000000"/>
              <w:bottom w:val="single" w:sz="2" w:space="0" w:color="000000"/>
              <w:right w:val="single" w:sz="2" w:space="0" w:color="000000"/>
            </w:tcBorders>
            <w:vAlign w:val="center"/>
          </w:tcPr>
          <w:p w14:paraId="119A6EDF" w14:textId="7A5BBC33" w:rsidR="000046E5" w:rsidRPr="00F66E1F" w:rsidRDefault="000046E5" w:rsidP="000046E5">
            <w:pPr>
              <w:spacing w:line="259" w:lineRule="auto"/>
              <w:ind w:left="58"/>
              <w:jc w:val="center"/>
            </w:pPr>
            <w:r>
              <w:rPr>
                <w:sz w:val="18"/>
                <w:szCs w:val="18"/>
              </w:rPr>
              <w:t>350369</w:t>
            </w:r>
          </w:p>
        </w:tc>
        <w:tc>
          <w:tcPr>
            <w:tcW w:w="734" w:type="dxa"/>
            <w:tcBorders>
              <w:top w:val="single" w:sz="2" w:space="0" w:color="000000"/>
              <w:left w:val="single" w:sz="2" w:space="0" w:color="000000"/>
              <w:bottom w:val="single" w:sz="2" w:space="0" w:color="000000"/>
              <w:right w:val="single" w:sz="2" w:space="0" w:color="000000"/>
            </w:tcBorders>
            <w:vAlign w:val="center"/>
          </w:tcPr>
          <w:p w14:paraId="6C9C183B" w14:textId="2C4FE651" w:rsidR="000046E5" w:rsidRDefault="000046E5" w:rsidP="000046E5">
            <w:pPr>
              <w:spacing w:line="259" w:lineRule="auto"/>
              <w:ind w:left="56"/>
              <w:jc w:val="center"/>
            </w:pPr>
            <w:r>
              <w:rPr>
                <w:sz w:val="18"/>
                <w:szCs w:val="18"/>
              </w:rPr>
              <w:t>307160</w:t>
            </w:r>
          </w:p>
        </w:tc>
        <w:tc>
          <w:tcPr>
            <w:tcW w:w="734" w:type="dxa"/>
            <w:tcBorders>
              <w:top w:val="single" w:sz="2" w:space="0" w:color="000000"/>
              <w:left w:val="single" w:sz="2" w:space="0" w:color="000000"/>
              <w:bottom w:val="single" w:sz="2" w:space="0" w:color="000000"/>
              <w:right w:val="single" w:sz="2" w:space="0" w:color="000000"/>
            </w:tcBorders>
            <w:vAlign w:val="center"/>
          </w:tcPr>
          <w:p w14:paraId="3B5A8A9E" w14:textId="10437996" w:rsidR="000046E5" w:rsidRDefault="000046E5" w:rsidP="000046E5">
            <w:pPr>
              <w:spacing w:line="259" w:lineRule="auto"/>
              <w:ind w:left="58"/>
              <w:jc w:val="center"/>
              <w:rPr>
                <w:sz w:val="18"/>
              </w:rPr>
            </w:pPr>
            <w:r>
              <w:rPr>
                <w:sz w:val="18"/>
                <w:szCs w:val="18"/>
              </w:rPr>
              <w:t>291379</w:t>
            </w:r>
          </w:p>
        </w:tc>
        <w:tc>
          <w:tcPr>
            <w:tcW w:w="735" w:type="dxa"/>
            <w:tcBorders>
              <w:top w:val="single" w:sz="2" w:space="0" w:color="000000"/>
              <w:left w:val="single" w:sz="2" w:space="0" w:color="000000"/>
              <w:bottom w:val="single" w:sz="2" w:space="0" w:color="000000"/>
              <w:right w:val="single" w:sz="2" w:space="0" w:color="000000"/>
            </w:tcBorders>
            <w:vAlign w:val="center"/>
          </w:tcPr>
          <w:p w14:paraId="1B849A8E" w14:textId="079C1FE6" w:rsidR="000046E5" w:rsidRDefault="000046E5" w:rsidP="000046E5">
            <w:pPr>
              <w:spacing w:line="259" w:lineRule="auto"/>
              <w:ind w:left="58"/>
              <w:jc w:val="center"/>
            </w:pPr>
            <w:r w:rsidRPr="00364545">
              <w:rPr>
                <w:sz w:val="18"/>
              </w:rPr>
              <w:t>259004</w:t>
            </w:r>
          </w:p>
        </w:tc>
        <w:tc>
          <w:tcPr>
            <w:tcW w:w="734" w:type="dxa"/>
            <w:tcBorders>
              <w:top w:val="single" w:sz="2" w:space="0" w:color="000000"/>
              <w:left w:val="single" w:sz="2" w:space="0" w:color="000000"/>
              <w:bottom w:val="single" w:sz="2" w:space="0" w:color="000000"/>
              <w:right w:val="single" w:sz="2" w:space="0" w:color="000000"/>
            </w:tcBorders>
            <w:vAlign w:val="center"/>
          </w:tcPr>
          <w:p w14:paraId="4929F42E" w14:textId="0B807B12" w:rsidR="000046E5" w:rsidRDefault="000046E5" w:rsidP="000046E5">
            <w:pPr>
              <w:spacing w:line="259" w:lineRule="auto"/>
              <w:ind w:left="56"/>
              <w:jc w:val="center"/>
            </w:pPr>
            <w:r w:rsidRPr="00364545">
              <w:rPr>
                <w:sz w:val="18"/>
              </w:rPr>
              <w:t>256402</w:t>
            </w:r>
          </w:p>
        </w:tc>
        <w:tc>
          <w:tcPr>
            <w:tcW w:w="735" w:type="dxa"/>
            <w:tcBorders>
              <w:top w:val="single" w:sz="2" w:space="0" w:color="000000"/>
              <w:left w:val="single" w:sz="2" w:space="0" w:color="000000"/>
              <w:bottom w:val="single" w:sz="2" w:space="0" w:color="000000"/>
              <w:right w:val="single" w:sz="2" w:space="0" w:color="000000"/>
            </w:tcBorders>
            <w:vAlign w:val="center"/>
          </w:tcPr>
          <w:p w14:paraId="69896432" w14:textId="5AFE2413" w:rsidR="000046E5" w:rsidRDefault="000046E5" w:rsidP="000046E5">
            <w:pPr>
              <w:spacing w:line="259" w:lineRule="auto"/>
              <w:ind w:left="58"/>
              <w:jc w:val="center"/>
            </w:pPr>
            <w:r w:rsidRPr="00364545">
              <w:rPr>
                <w:sz w:val="18"/>
              </w:rPr>
              <w:t>235838</w:t>
            </w:r>
          </w:p>
        </w:tc>
        <w:tc>
          <w:tcPr>
            <w:tcW w:w="734" w:type="dxa"/>
            <w:tcBorders>
              <w:top w:val="single" w:sz="2" w:space="0" w:color="000000"/>
              <w:left w:val="single" w:sz="2" w:space="0" w:color="000000"/>
              <w:bottom w:val="single" w:sz="2" w:space="0" w:color="000000"/>
              <w:right w:val="single" w:sz="2" w:space="0" w:color="000000"/>
            </w:tcBorders>
            <w:vAlign w:val="center"/>
          </w:tcPr>
          <w:p w14:paraId="56D5CA0C" w14:textId="62BAD221" w:rsidR="000046E5" w:rsidRDefault="000046E5" w:rsidP="000046E5">
            <w:pPr>
              <w:spacing w:line="259" w:lineRule="auto"/>
              <w:ind w:left="56"/>
              <w:jc w:val="center"/>
            </w:pPr>
            <w:r w:rsidRPr="00364545">
              <w:rPr>
                <w:sz w:val="18"/>
              </w:rPr>
              <w:t>226591</w:t>
            </w:r>
          </w:p>
        </w:tc>
        <w:tc>
          <w:tcPr>
            <w:tcW w:w="735" w:type="dxa"/>
            <w:tcBorders>
              <w:top w:val="single" w:sz="2" w:space="0" w:color="000000"/>
              <w:left w:val="single" w:sz="2" w:space="0" w:color="000000"/>
              <w:bottom w:val="single" w:sz="2" w:space="0" w:color="000000"/>
              <w:right w:val="single" w:sz="2" w:space="0" w:color="000000"/>
            </w:tcBorders>
            <w:vAlign w:val="center"/>
          </w:tcPr>
          <w:p w14:paraId="62B5202C" w14:textId="341C250A" w:rsidR="000046E5" w:rsidRDefault="000046E5" w:rsidP="000046E5">
            <w:pPr>
              <w:spacing w:line="259" w:lineRule="auto"/>
              <w:ind w:left="56"/>
              <w:jc w:val="center"/>
              <w:rPr>
                <w:sz w:val="18"/>
              </w:rPr>
            </w:pPr>
            <w:r w:rsidRPr="00364545">
              <w:rPr>
                <w:sz w:val="18"/>
              </w:rPr>
              <w:t>206719</w:t>
            </w:r>
          </w:p>
        </w:tc>
      </w:tr>
      <w:tr w:rsidR="000046E5" w14:paraId="35D4FE29" w14:textId="77777777" w:rsidTr="004A6A59">
        <w:trPr>
          <w:trHeight w:val="419"/>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721700ED" w14:textId="77777777" w:rsidR="000046E5" w:rsidRDefault="000046E5" w:rsidP="000046E5">
            <w:pPr>
              <w:spacing w:line="259" w:lineRule="auto"/>
            </w:pPr>
            <w:r>
              <w:rPr>
                <w:sz w:val="18"/>
              </w:rPr>
              <w:t xml:space="preserve">Procédés industriels, solvants et autres produits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8B7D7A" w14:textId="36C5BD6F" w:rsidR="000046E5" w:rsidRDefault="000046E5" w:rsidP="000046E5">
            <w:pPr>
              <w:spacing w:line="259" w:lineRule="auto"/>
              <w:ind w:left="106"/>
              <w:jc w:val="center"/>
            </w:pPr>
            <w:r>
              <w:rPr>
                <w:sz w:val="18"/>
                <w:szCs w:val="18"/>
              </w:rPr>
              <w:t>42902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4F56089" w14:textId="3E1534AF" w:rsidR="000046E5" w:rsidRPr="004A6A59" w:rsidRDefault="000046E5" w:rsidP="000046E5">
            <w:pPr>
              <w:spacing w:line="259" w:lineRule="auto"/>
              <w:ind w:left="56"/>
              <w:jc w:val="center"/>
              <w:rPr>
                <w:sz w:val="18"/>
              </w:rPr>
            </w:pPr>
            <w:r>
              <w:rPr>
                <w:sz w:val="18"/>
                <w:szCs w:val="18"/>
              </w:rPr>
              <w:t>38604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59BB6A" w14:textId="4E92E847" w:rsidR="000046E5" w:rsidRPr="00F66E1F" w:rsidRDefault="000046E5" w:rsidP="000046E5">
            <w:pPr>
              <w:spacing w:line="259" w:lineRule="auto"/>
              <w:ind w:left="108"/>
              <w:jc w:val="center"/>
            </w:pPr>
            <w:r>
              <w:rPr>
                <w:sz w:val="18"/>
                <w:szCs w:val="18"/>
              </w:rPr>
              <w:t>40574</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77A25B" w14:textId="74E5C94D" w:rsidR="000046E5" w:rsidRPr="00F66E1F" w:rsidRDefault="000046E5" w:rsidP="000046E5">
            <w:pPr>
              <w:spacing w:line="259" w:lineRule="auto"/>
              <w:ind w:left="106"/>
              <w:jc w:val="center"/>
            </w:pPr>
            <w:r>
              <w:rPr>
                <w:sz w:val="18"/>
                <w:szCs w:val="18"/>
              </w:rPr>
              <w:t>40644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9C5686" w14:textId="2E688330" w:rsidR="000046E5" w:rsidRPr="00F66E1F" w:rsidRDefault="000046E5" w:rsidP="000046E5">
            <w:pPr>
              <w:spacing w:line="259" w:lineRule="auto"/>
              <w:ind w:left="108"/>
              <w:jc w:val="center"/>
            </w:pPr>
            <w:r>
              <w:rPr>
                <w:sz w:val="18"/>
                <w:szCs w:val="18"/>
              </w:rPr>
              <w:t>32910</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B027DF" w14:textId="7A7D97C9" w:rsidR="000046E5" w:rsidRDefault="000046E5" w:rsidP="000046E5">
            <w:pPr>
              <w:spacing w:line="259" w:lineRule="auto"/>
              <w:ind w:left="106"/>
              <w:jc w:val="center"/>
            </w:pPr>
            <w:r>
              <w:rPr>
                <w:sz w:val="18"/>
                <w:szCs w:val="18"/>
              </w:rPr>
              <w:t>30753</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F68402" w14:textId="3F34E192" w:rsidR="000046E5" w:rsidRDefault="000046E5" w:rsidP="000046E5">
            <w:pPr>
              <w:spacing w:line="259" w:lineRule="auto"/>
              <w:ind w:left="108"/>
              <w:jc w:val="center"/>
              <w:rPr>
                <w:sz w:val="18"/>
              </w:rPr>
            </w:pPr>
            <w:r>
              <w:rPr>
                <w:sz w:val="18"/>
                <w:szCs w:val="18"/>
              </w:rPr>
              <w:t>31576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330D15" w14:textId="6ABE7913" w:rsidR="000046E5" w:rsidRDefault="000046E5" w:rsidP="000046E5">
            <w:pPr>
              <w:spacing w:line="259" w:lineRule="auto"/>
              <w:ind w:left="108"/>
              <w:jc w:val="center"/>
            </w:pPr>
            <w:r w:rsidRPr="00364545">
              <w:rPr>
                <w:sz w:val="18"/>
              </w:rPr>
              <w:t>29085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8995A0" w14:textId="2837C258" w:rsidR="000046E5" w:rsidRDefault="000046E5" w:rsidP="000046E5">
            <w:pPr>
              <w:spacing w:line="259" w:lineRule="auto"/>
              <w:ind w:left="106"/>
              <w:jc w:val="center"/>
            </w:pPr>
            <w:r w:rsidRPr="00364545">
              <w:rPr>
                <w:sz w:val="18"/>
              </w:rPr>
              <w:t>32247</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3E0166" w14:textId="7E2767C8" w:rsidR="000046E5" w:rsidRDefault="000046E5" w:rsidP="000046E5">
            <w:pPr>
              <w:spacing w:line="259" w:lineRule="auto"/>
              <w:ind w:left="108"/>
              <w:jc w:val="center"/>
            </w:pPr>
            <w:r w:rsidRPr="00364545">
              <w:rPr>
                <w:sz w:val="18"/>
              </w:rPr>
              <w:t>32522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C8A3EE" w14:textId="48C55E3D" w:rsidR="000046E5" w:rsidRDefault="000046E5" w:rsidP="000046E5">
            <w:pPr>
              <w:spacing w:line="259" w:lineRule="auto"/>
              <w:ind w:left="106"/>
              <w:jc w:val="center"/>
            </w:pPr>
            <w:r w:rsidRPr="00364545">
              <w:rPr>
                <w:sz w:val="18"/>
              </w:rPr>
              <w:t>31943</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45E7A9" w14:textId="56BD2A4B" w:rsidR="000046E5" w:rsidRDefault="000046E5" w:rsidP="000046E5">
            <w:pPr>
              <w:spacing w:line="259" w:lineRule="auto"/>
              <w:ind w:left="106"/>
              <w:jc w:val="center"/>
              <w:rPr>
                <w:sz w:val="18"/>
              </w:rPr>
            </w:pPr>
            <w:r w:rsidRPr="00364545">
              <w:rPr>
                <w:sz w:val="18"/>
              </w:rPr>
              <w:t>30222</w:t>
            </w:r>
          </w:p>
        </w:tc>
      </w:tr>
      <w:tr w:rsidR="000046E5" w14:paraId="2A7D2A46" w14:textId="77777777" w:rsidTr="004A6A59">
        <w:trPr>
          <w:trHeight w:val="344"/>
        </w:trPr>
        <w:tc>
          <w:tcPr>
            <w:tcW w:w="1121" w:type="dxa"/>
            <w:tcBorders>
              <w:top w:val="single" w:sz="2" w:space="0" w:color="000000"/>
              <w:left w:val="single" w:sz="2" w:space="0" w:color="000000"/>
              <w:bottom w:val="single" w:sz="2" w:space="0" w:color="000000"/>
              <w:right w:val="single" w:sz="2" w:space="0" w:color="000000"/>
            </w:tcBorders>
          </w:tcPr>
          <w:p w14:paraId="47273479" w14:textId="77777777" w:rsidR="000046E5" w:rsidRDefault="000046E5" w:rsidP="000046E5">
            <w:pPr>
              <w:spacing w:line="259" w:lineRule="auto"/>
            </w:pPr>
            <w:r>
              <w:rPr>
                <w:sz w:val="18"/>
              </w:rPr>
              <w:t xml:space="preserve">Agriculture (hors énergie) </w:t>
            </w:r>
          </w:p>
        </w:tc>
        <w:tc>
          <w:tcPr>
            <w:tcW w:w="734" w:type="dxa"/>
            <w:tcBorders>
              <w:top w:val="single" w:sz="2" w:space="0" w:color="000000"/>
              <w:left w:val="single" w:sz="2" w:space="0" w:color="000000"/>
              <w:bottom w:val="single" w:sz="2" w:space="0" w:color="000000"/>
              <w:right w:val="single" w:sz="2" w:space="0" w:color="000000"/>
            </w:tcBorders>
            <w:vAlign w:val="center"/>
          </w:tcPr>
          <w:p w14:paraId="4614EE08" w14:textId="320C5ACF" w:rsidR="000046E5" w:rsidRDefault="000046E5" w:rsidP="000046E5">
            <w:pPr>
              <w:spacing w:line="259" w:lineRule="auto"/>
              <w:ind w:right="1"/>
              <w:jc w:val="center"/>
            </w:pPr>
            <w:r>
              <w:rPr>
                <w:sz w:val="18"/>
                <w:szCs w:val="18"/>
              </w:rPr>
              <w:t>1894</w:t>
            </w:r>
          </w:p>
        </w:tc>
        <w:tc>
          <w:tcPr>
            <w:tcW w:w="734" w:type="dxa"/>
            <w:tcBorders>
              <w:top w:val="single" w:sz="2" w:space="0" w:color="000000"/>
              <w:left w:val="single" w:sz="2" w:space="0" w:color="000000"/>
              <w:bottom w:val="single" w:sz="2" w:space="0" w:color="000000"/>
              <w:right w:val="single" w:sz="2" w:space="0" w:color="000000"/>
            </w:tcBorders>
            <w:vAlign w:val="center"/>
          </w:tcPr>
          <w:p w14:paraId="08D0BCCD" w14:textId="37015DB2" w:rsidR="000046E5" w:rsidRPr="004A6A59" w:rsidRDefault="000046E5" w:rsidP="000046E5">
            <w:pPr>
              <w:spacing w:line="259" w:lineRule="auto"/>
              <w:ind w:left="56"/>
              <w:jc w:val="center"/>
              <w:rPr>
                <w:sz w:val="18"/>
              </w:rPr>
            </w:pPr>
            <w:r>
              <w:rPr>
                <w:sz w:val="18"/>
                <w:szCs w:val="18"/>
              </w:rPr>
              <w:t>1973</w:t>
            </w:r>
          </w:p>
        </w:tc>
        <w:tc>
          <w:tcPr>
            <w:tcW w:w="735" w:type="dxa"/>
            <w:tcBorders>
              <w:top w:val="single" w:sz="2" w:space="0" w:color="000000"/>
              <w:left w:val="single" w:sz="2" w:space="0" w:color="000000"/>
              <w:bottom w:val="single" w:sz="2" w:space="0" w:color="000000"/>
              <w:right w:val="single" w:sz="2" w:space="0" w:color="000000"/>
            </w:tcBorders>
            <w:vAlign w:val="center"/>
          </w:tcPr>
          <w:p w14:paraId="2BFC8E36" w14:textId="4A743D25" w:rsidR="000046E5" w:rsidRPr="00F66E1F" w:rsidRDefault="000046E5" w:rsidP="000046E5">
            <w:pPr>
              <w:spacing w:line="259" w:lineRule="auto"/>
              <w:ind w:left="1"/>
              <w:jc w:val="center"/>
            </w:pPr>
            <w:r>
              <w:rPr>
                <w:sz w:val="18"/>
                <w:szCs w:val="18"/>
              </w:rPr>
              <w:t>1989</w:t>
            </w:r>
          </w:p>
        </w:tc>
        <w:tc>
          <w:tcPr>
            <w:tcW w:w="734" w:type="dxa"/>
            <w:tcBorders>
              <w:top w:val="single" w:sz="2" w:space="0" w:color="000000"/>
              <w:left w:val="single" w:sz="2" w:space="0" w:color="000000"/>
              <w:bottom w:val="single" w:sz="2" w:space="0" w:color="000000"/>
              <w:right w:val="single" w:sz="2" w:space="0" w:color="000000"/>
            </w:tcBorders>
            <w:vAlign w:val="center"/>
          </w:tcPr>
          <w:p w14:paraId="12E87746" w14:textId="685A9938" w:rsidR="000046E5" w:rsidRPr="00F66E1F" w:rsidRDefault="000046E5" w:rsidP="000046E5">
            <w:pPr>
              <w:spacing w:line="259" w:lineRule="auto"/>
              <w:ind w:right="1"/>
              <w:jc w:val="center"/>
            </w:pPr>
            <w:r>
              <w:rPr>
                <w:sz w:val="18"/>
                <w:szCs w:val="18"/>
              </w:rPr>
              <w:t>1965</w:t>
            </w:r>
          </w:p>
        </w:tc>
        <w:tc>
          <w:tcPr>
            <w:tcW w:w="735" w:type="dxa"/>
            <w:tcBorders>
              <w:top w:val="single" w:sz="2" w:space="0" w:color="000000"/>
              <w:left w:val="single" w:sz="2" w:space="0" w:color="000000"/>
              <w:bottom w:val="single" w:sz="2" w:space="0" w:color="000000"/>
              <w:right w:val="single" w:sz="2" w:space="0" w:color="000000"/>
            </w:tcBorders>
            <w:vAlign w:val="center"/>
          </w:tcPr>
          <w:p w14:paraId="7B34811B" w14:textId="76B4DEF2" w:rsidR="000046E5" w:rsidRPr="00F66E1F" w:rsidRDefault="000046E5" w:rsidP="000046E5">
            <w:pPr>
              <w:spacing w:line="259" w:lineRule="auto"/>
              <w:ind w:left="1"/>
              <w:jc w:val="center"/>
            </w:pPr>
            <w:r>
              <w:rPr>
                <w:sz w:val="18"/>
                <w:szCs w:val="18"/>
              </w:rPr>
              <w:t>1986</w:t>
            </w:r>
          </w:p>
        </w:tc>
        <w:tc>
          <w:tcPr>
            <w:tcW w:w="734" w:type="dxa"/>
            <w:tcBorders>
              <w:top w:val="single" w:sz="2" w:space="0" w:color="000000"/>
              <w:left w:val="single" w:sz="2" w:space="0" w:color="000000"/>
              <w:bottom w:val="single" w:sz="2" w:space="0" w:color="000000"/>
              <w:right w:val="single" w:sz="2" w:space="0" w:color="000000"/>
            </w:tcBorders>
            <w:vAlign w:val="center"/>
          </w:tcPr>
          <w:p w14:paraId="2849F05B" w14:textId="13D9CF72" w:rsidR="000046E5" w:rsidRDefault="000046E5" w:rsidP="000046E5">
            <w:pPr>
              <w:spacing w:line="259" w:lineRule="auto"/>
              <w:ind w:right="1"/>
              <w:jc w:val="center"/>
            </w:pPr>
            <w:r>
              <w:rPr>
                <w:sz w:val="18"/>
                <w:szCs w:val="18"/>
              </w:rPr>
              <w:t>2176</w:t>
            </w:r>
          </w:p>
        </w:tc>
        <w:tc>
          <w:tcPr>
            <w:tcW w:w="734" w:type="dxa"/>
            <w:tcBorders>
              <w:top w:val="single" w:sz="2" w:space="0" w:color="000000"/>
              <w:left w:val="single" w:sz="2" w:space="0" w:color="000000"/>
              <w:bottom w:val="single" w:sz="2" w:space="0" w:color="000000"/>
              <w:right w:val="single" w:sz="2" w:space="0" w:color="000000"/>
            </w:tcBorders>
            <w:vAlign w:val="center"/>
          </w:tcPr>
          <w:p w14:paraId="37969D2A" w14:textId="25F800B0" w:rsidR="000046E5" w:rsidRDefault="000046E5" w:rsidP="000046E5">
            <w:pPr>
              <w:spacing w:line="259" w:lineRule="auto"/>
              <w:ind w:left="1"/>
              <w:jc w:val="center"/>
              <w:rPr>
                <w:sz w:val="18"/>
              </w:rPr>
            </w:pPr>
            <w:r>
              <w:rPr>
                <w:sz w:val="18"/>
                <w:szCs w:val="18"/>
              </w:rPr>
              <w:t>2032</w:t>
            </w:r>
          </w:p>
        </w:tc>
        <w:tc>
          <w:tcPr>
            <w:tcW w:w="735" w:type="dxa"/>
            <w:tcBorders>
              <w:top w:val="single" w:sz="2" w:space="0" w:color="000000"/>
              <w:left w:val="single" w:sz="2" w:space="0" w:color="000000"/>
              <w:bottom w:val="single" w:sz="2" w:space="0" w:color="000000"/>
              <w:right w:val="single" w:sz="2" w:space="0" w:color="000000"/>
            </w:tcBorders>
            <w:vAlign w:val="center"/>
          </w:tcPr>
          <w:p w14:paraId="28182063" w14:textId="363F2339" w:rsidR="000046E5" w:rsidRDefault="000046E5" w:rsidP="000046E5">
            <w:pPr>
              <w:spacing w:line="259" w:lineRule="auto"/>
              <w:ind w:left="1"/>
              <w:jc w:val="center"/>
            </w:pPr>
            <w:r w:rsidRPr="00364545">
              <w:rPr>
                <w:sz w:val="18"/>
              </w:rPr>
              <w:t>2139</w:t>
            </w:r>
          </w:p>
        </w:tc>
        <w:tc>
          <w:tcPr>
            <w:tcW w:w="734" w:type="dxa"/>
            <w:tcBorders>
              <w:top w:val="single" w:sz="2" w:space="0" w:color="000000"/>
              <w:left w:val="single" w:sz="2" w:space="0" w:color="000000"/>
              <w:bottom w:val="single" w:sz="2" w:space="0" w:color="000000"/>
              <w:right w:val="single" w:sz="2" w:space="0" w:color="000000"/>
            </w:tcBorders>
            <w:vAlign w:val="center"/>
          </w:tcPr>
          <w:p w14:paraId="409F3E6C" w14:textId="2F371FE5" w:rsidR="000046E5" w:rsidRDefault="000046E5" w:rsidP="000046E5">
            <w:pPr>
              <w:spacing w:line="259" w:lineRule="auto"/>
              <w:ind w:right="1"/>
              <w:jc w:val="center"/>
            </w:pPr>
            <w:r w:rsidRPr="00364545">
              <w:rPr>
                <w:sz w:val="18"/>
              </w:rPr>
              <w:t>2205</w:t>
            </w:r>
          </w:p>
        </w:tc>
        <w:tc>
          <w:tcPr>
            <w:tcW w:w="735" w:type="dxa"/>
            <w:tcBorders>
              <w:top w:val="single" w:sz="2" w:space="0" w:color="000000"/>
              <w:left w:val="single" w:sz="2" w:space="0" w:color="000000"/>
              <w:bottom w:val="single" w:sz="2" w:space="0" w:color="000000"/>
              <w:right w:val="single" w:sz="2" w:space="0" w:color="000000"/>
            </w:tcBorders>
            <w:vAlign w:val="center"/>
          </w:tcPr>
          <w:p w14:paraId="382A8183" w14:textId="70CF5407" w:rsidR="000046E5" w:rsidRDefault="000046E5" w:rsidP="000046E5">
            <w:pPr>
              <w:spacing w:line="259" w:lineRule="auto"/>
              <w:ind w:left="1"/>
              <w:jc w:val="center"/>
            </w:pPr>
            <w:r w:rsidRPr="00364545">
              <w:rPr>
                <w:sz w:val="18"/>
              </w:rPr>
              <w:t>2273</w:t>
            </w:r>
          </w:p>
        </w:tc>
        <w:tc>
          <w:tcPr>
            <w:tcW w:w="734" w:type="dxa"/>
            <w:tcBorders>
              <w:top w:val="single" w:sz="2" w:space="0" w:color="000000"/>
              <w:left w:val="single" w:sz="2" w:space="0" w:color="000000"/>
              <w:bottom w:val="single" w:sz="2" w:space="0" w:color="000000"/>
              <w:right w:val="single" w:sz="2" w:space="0" w:color="000000"/>
            </w:tcBorders>
            <w:vAlign w:val="center"/>
          </w:tcPr>
          <w:p w14:paraId="51B754FB" w14:textId="5CD78774" w:rsidR="000046E5" w:rsidRDefault="000046E5" w:rsidP="000046E5">
            <w:pPr>
              <w:spacing w:line="259" w:lineRule="auto"/>
              <w:jc w:val="center"/>
            </w:pPr>
            <w:r w:rsidRPr="00364545">
              <w:rPr>
                <w:sz w:val="18"/>
              </w:rPr>
              <w:t>2342</w:t>
            </w:r>
          </w:p>
        </w:tc>
        <w:tc>
          <w:tcPr>
            <w:tcW w:w="735" w:type="dxa"/>
            <w:tcBorders>
              <w:top w:val="single" w:sz="2" w:space="0" w:color="000000"/>
              <w:left w:val="single" w:sz="2" w:space="0" w:color="000000"/>
              <w:bottom w:val="single" w:sz="2" w:space="0" w:color="000000"/>
              <w:right w:val="single" w:sz="2" w:space="0" w:color="000000"/>
            </w:tcBorders>
            <w:vAlign w:val="center"/>
          </w:tcPr>
          <w:p w14:paraId="01440B96" w14:textId="5374512B" w:rsidR="000046E5" w:rsidRDefault="000046E5" w:rsidP="000046E5">
            <w:pPr>
              <w:spacing w:line="259" w:lineRule="auto"/>
              <w:jc w:val="center"/>
              <w:rPr>
                <w:sz w:val="18"/>
              </w:rPr>
            </w:pPr>
            <w:r w:rsidRPr="00364545">
              <w:rPr>
                <w:sz w:val="18"/>
              </w:rPr>
              <w:t>2518</w:t>
            </w:r>
          </w:p>
        </w:tc>
      </w:tr>
      <w:tr w:rsidR="000046E5" w14:paraId="4E4DE8D1" w14:textId="77777777" w:rsidTr="004A6A59">
        <w:trPr>
          <w:trHeight w:val="344"/>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1ECB7C6D" w14:textId="77777777" w:rsidR="000046E5" w:rsidRDefault="000046E5" w:rsidP="000046E5">
            <w:pPr>
              <w:spacing w:line="259" w:lineRule="auto"/>
            </w:pPr>
            <w:r>
              <w:rPr>
                <w:sz w:val="18"/>
              </w:rPr>
              <w:t xml:space="preserve">UTCATF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711B07" w14:textId="305ACB45" w:rsidR="000046E5" w:rsidRDefault="000046E5" w:rsidP="000046E5">
            <w:pPr>
              <w:spacing w:line="259" w:lineRule="auto"/>
              <w:ind w:left="51"/>
              <w:jc w:val="center"/>
            </w:pPr>
            <w:r>
              <w:rPr>
                <w:sz w:val="18"/>
                <w:szCs w:val="18"/>
              </w:rPr>
              <w:t>-28145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D0EABD" w14:textId="7523A8CC" w:rsidR="000046E5" w:rsidRPr="004A6A59" w:rsidRDefault="000046E5" w:rsidP="000046E5">
            <w:pPr>
              <w:spacing w:line="259" w:lineRule="auto"/>
              <w:jc w:val="center"/>
              <w:rPr>
                <w:sz w:val="18"/>
              </w:rPr>
            </w:pPr>
            <w:r>
              <w:rPr>
                <w:sz w:val="18"/>
                <w:szCs w:val="18"/>
              </w:rPr>
              <w:t>-31795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26D14B" w14:textId="740F8AA6" w:rsidR="000046E5" w:rsidRPr="00F66E1F" w:rsidRDefault="000046E5" w:rsidP="000046E5">
            <w:pPr>
              <w:spacing w:line="259" w:lineRule="auto"/>
              <w:ind w:left="53"/>
              <w:jc w:val="center"/>
            </w:pPr>
            <w:r>
              <w:rPr>
                <w:sz w:val="18"/>
                <w:szCs w:val="18"/>
              </w:rPr>
              <w:t>-24595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380223" w14:textId="1346FBEB" w:rsidR="000046E5" w:rsidRPr="00F66E1F" w:rsidRDefault="000046E5" w:rsidP="000046E5">
            <w:pPr>
              <w:spacing w:line="259" w:lineRule="auto"/>
              <w:ind w:left="51"/>
              <w:jc w:val="center"/>
            </w:pPr>
            <w:r>
              <w:rPr>
                <w:sz w:val="18"/>
                <w:szCs w:val="18"/>
              </w:rPr>
              <w:t>-51471</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B6D507" w14:textId="253B125B" w:rsidR="000046E5" w:rsidRPr="00F66E1F" w:rsidRDefault="000046E5" w:rsidP="000046E5">
            <w:pPr>
              <w:spacing w:line="259" w:lineRule="auto"/>
              <w:ind w:left="53"/>
              <w:jc w:val="center"/>
            </w:pPr>
            <w:r>
              <w:rPr>
                <w:sz w:val="18"/>
                <w:szCs w:val="18"/>
              </w:rPr>
              <w:t>-42701</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173EFD" w14:textId="663BF86F" w:rsidR="000046E5" w:rsidRDefault="000046E5" w:rsidP="000046E5">
            <w:pPr>
              <w:spacing w:line="259" w:lineRule="auto"/>
              <w:ind w:left="51"/>
              <w:jc w:val="center"/>
            </w:pPr>
            <w:r>
              <w:rPr>
                <w:sz w:val="18"/>
                <w:szCs w:val="18"/>
              </w:rPr>
              <w:t>-38599</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D85AC2" w14:textId="25B6B030" w:rsidR="000046E5" w:rsidRDefault="000046E5" w:rsidP="000046E5">
            <w:pPr>
              <w:spacing w:line="259" w:lineRule="auto"/>
              <w:ind w:left="53"/>
              <w:jc w:val="center"/>
              <w:rPr>
                <w:sz w:val="18"/>
              </w:rPr>
            </w:pPr>
            <w:r>
              <w:rPr>
                <w:sz w:val="18"/>
                <w:szCs w:val="18"/>
              </w:rPr>
              <w:t>-16293</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21E9F10" w14:textId="6C91F08F" w:rsidR="000046E5" w:rsidRDefault="000046E5" w:rsidP="000046E5">
            <w:pPr>
              <w:spacing w:line="259" w:lineRule="auto"/>
              <w:ind w:left="53"/>
              <w:jc w:val="center"/>
            </w:pPr>
            <w:r w:rsidRPr="00364545">
              <w:rPr>
                <w:sz w:val="18"/>
              </w:rPr>
              <w:t>-37085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C919CD" w14:textId="35C696F6" w:rsidR="000046E5" w:rsidRDefault="000046E5" w:rsidP="000046E5">
            <w:pPr>
              <w:spacing w:line="259" w:lineRule="auto"/>
              <w:ind w:left="51"/>
              <w:jc w:val="center"/>
            </w:pPr>
            <w:r w:rsidRPr="00364545">
              <w:rPr>
                <w:sz w:val="18"/>
              </w:rPr>
              <w:t>- 32,992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EFCA60" w14:textId="1E9A1C55" w:rsidR="000046E5" w:rsidRDefault="000046E5" w:rsidP="000046E5">
            <w:pPr>
              <w:spacing w:line="259" w:lineRule="auto"/>
              <w:ind w:left="53"/>
              <w:jc w:val="center"/>
            </w:pPr>
            <w:r w:rsidRPr="00364545">
              <w:rPr>
                <w:sz w:val="18"/>
              </w:rPr>
              <w:t>- 30,678</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33BD49" w14:textId="193DAEDD" w:rsidR="000046E5" w:rsidRDefault="000046E5" w:rsidP="000046E5">
            <w:pPr>
              <w:spacing w:line="259" w:lineRule="auto"/>
              <w:ind w:left="51"/>
              <w:jc w:val="center"/>
            </w:pPr>
            <w:r w:rsidRPr="00364545">
              <w:rPr>
                <w:sz w:val="18"/>
              </w:rPr>
              <w:t>- 25,806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F16F76" w14:textId="6E6A20C9" w:rsidR="000046E5" w:rsidRDefault="000046E5" w:rsidP="000046E5">
            <w:pPr>
              <w:spacing w:line="259" w:lineRule="auto"/>
              <w:ind w:left="51"/>
              <w:jc w:val="center"/>
              <w:rPr>
                <w:sz w:val="18"/>
              </w:rPr>
            </w:pPr>
            <w:r w:rsidRPr="00364545">
              <w:rPr>
                <w:sz w:val="18"/>
              </w:rPr>
              <w:t>-16,873</w:t>
            </w:r>
          </w:p>
        </w:tc>
      </w:tr>
      <w:tr w:rsidR="000046E5" w14:paraId="00D5DB8C" w14:textId="77777777" w:rsidTr="004A6A59">
        <w:trPr>
          <w:trHeight w:val="347"/>
        </w:trPr>
        <w:tc>
          <w:tcPr>
            <w:tcW w:w="1121" w:type="dxa"/>
            <w:tcBorders>
              <w:top w:val="single" w:sz="2" w:space="0" w:color="000000"/>
              <w:left w:val="single" w:sz="2" w:space="0" w:color="000000"/>
              <w:bottom w:val="single" w:sz="2" w:space="0" w:color="000000"/>
              <w:right w:val="single" w:sz="2" w:space="0" w:color="000000"/>
            </w:tcBorders>
          </w:tcPr>
          <w:p w14:paraId="1DE989CC" w14:textId="77777777" w:rsidR="000046E5" w:rsidRDefault="000046E5" w:rsidP="000046E5">
            <w:pPr>
              <w:spacing w:line="259" w:lineRule="auto"/>
            </w:pPr>
            <w:r>
              <w:rPr>
                <w:sz w:val="18"/>
              </w:rPr>
              <w:t xml:space="preserve">Déchets </w:t>
            </w:r>
          </w:p>
        </w:tc>
        <w:tc>
          <w:tcPr>
            <w:tcW w:w="734" w:type="dxa"/>
            <w:tcBorders>
              <w:top w:val="single" w:sz="2" w:space="0" w:color="000000"/>
              <w:left w:val="single" w:sz="2" w:space="0" w:color="000000"/>
              <w:bottom w:val="single" w:sz="2" w:space="0" w:color="000000"/>
              <w:right w:val="single" w:sz="2" w:space="0" w:color="000000"/>
            </w:tcBorders>
            <w:vAlign w:val="center"/>
          </w:tcPr>
          <w:p w14:paraId="235811DB" w14:textId="7878AA50" w:rsidR="000046E5" w:rsidRDefault="000046E5" w:rsidP="000046E5">
            <w:pPr>
              <w:spacing w:line="259" w:lineRule="auto"/>
              <w:ind w:right="1"/>
              <w:jc w:val="center"/>
            </w:pPr>
            <w:r>
              <w:rPr>
                <w:sz w:val="18"/>
                <w:szCs w:val="18"/>
              </w:rPr>
              <w:t>2194</w:t>
            </w:r>
          </w:p>
        </w:tc>
        <w:tc>
          <w:tcPr>
            <w:tcW w:w="734" w:type="dxa"/>
            <w:tcBorders>
              <w:top w:val="single" w:sz="2" w:space="0" w:color="000000"/>
              <w:left w:val="single" w:sz="2" w:space="0" w:color="000000"/>
              <w:bottom w:val="single" w:sz="2" w:space="0" w:color="000000"/>
              <w:right w:val="single" w:sz="2" w:space="0" w:color="000000"/>
            </w:tcBorders>
            <w:vAlign w:val="center"/>
          </w:tcPr>
          <w:p w14:paraId="5D16BC52" w14:textId="35BFF703" w:rsidR="000046E5" w:rsidRPr="004A6A59" w:rsidRDefault="000046E5" w:rsidP="000046E5">
            <w:pPr>
              <w:spacing w:line="259" w:lineRule="auto"/>
              <w:ind w:left="56"/>
              <w:jc w:val="center"/>
              <w:rPr>
                <w:sz w:val="18"/>
              </w:rPr>
            </w:pPr>
            <w:r>
              <w:rPr>
                <w:sz w:val="18"/>
                <w:szCs w:val="18"/>
              </w:rPr>
              <w:t>2223</w:t>
            </w:r>
          </w:p>
        </w:tc>
        <w:tc>
          <w:tcPr>
            <w:tcW w:w="735" w:type="dxa"/>
            <w:tcBorders>
              <w:top w:val="single" w:sz="2" w:space="0" w:color="000000"/>
              <w:left w:val="single" w:sz="2" w:space="0" w:color="000000"/>
              <w:bottom w:val="single" w:sz="2" w:space="0" w:color="000000"/>
              <w:right w:val="single" w:sz="2" w:space="0" w:color="000000"/>
            </w:tcBorders>
            <w:vAlign w:val="center"/>
          </w:tcPr>
          <w:p w14:paraId="04B1C1A0" w14:textId="20740D2D" w:rsidR="000046E5" w:rsidRPr="00F66E1F" w:rsidRDefault="000046E5" w:rsidP="000046E5">
            <w:pPr>
              <w:spacing w:line="259" w:lineRule="auto"/>
              <w:ind w:left="1"/>
              <w:jc w:val="center"/>
            </w:pPr>
            <w:r>
              <w:rPr>
                <w:sz w:val="18"/>
                <w:szCs w:val="18"/>
              </w:rPr>
              <w:t>1704</w:t>
            </w:r>
          </w:p>
        </w:tc>
        <w:tc>
          <w:tcPr>
            <w:tcW w:w="734" w:type="dxa"/>
            <w:tcBorders>
              <w:top w:val="single" w:sz="2" w:space="0" w:color="000000"/>
              <w:left w:val="single" w:sz="2" w:space="0" w:color="000000"/>
              <w:bottom w:val="single" w:sz="2" w:space="0" w:color="000000"/>
              <w:right w:val="single" w:sz="2" w:space="0" w:color="000000"/>
            </w:tcBorders>
            <w:vAlign w:val="center"/>
          </w:tcPr>
          <w:p w14:paraId="325DBA0B" w14:textId="1F2A3E15" w:rsidR="000046E5" w:rsidRPr="00F66E1F" w:rsidRDefault="000046E5" w:rsidP="000046E5">
            <w:pPr>
              <w:spacing w:line="259" w:lineRule="auto"/>
              <w:ind w:right="1"/>
              <w:jc w:val="center"/>
            </w:pPr>
            <w:r>
              <w:rPr>
                <w:sz w:val="18"/>
                <w:szCs w:val="18"/>
              </w:rPr>
              <w:t>1549</w:t>
            </w:r>
          </w:p>
        </w:tc>
        <w:tc>
          <w:tcPr>
            <w:tcW w:w="735" w:type="dxa"/>
            <w:tcBorders>
              <w:top w:val="single" w:sz="2" w:space="0" w:color="000000"/>
              <w:left w:val="single" w:sz="2" w:space="0" w:color="000000"/>
              <w:bottom w:val="single" w:sz="2" w:space="0" w:color="000000"/>
              <w:right w:val="single" w:sz="2" w:space="0" w:color="000000"/>
            </w:tcBorders>
            <w:vAlign w:val="center"/>
          </w:tcPr>
          <w:p w14:paraId="50B70433" w14:textId="329C7117" w:rsidR="000046E5" w:rsidRPr="00F66E1F" w:rsidRDefault="000046E5" w:rsidP="000046E5">
            <w:pPr>
              <w:spacing w:line="259" w:lineRule="auto"/>
              <w:ind w:left="1"/>
              <w:jc w:val="center"/>
            </w:pPr>
            <w:r>
              <w:rPr>
                <w:sz w:val="18"/>
                <w:szCs w:val="18"/>
              </w:rPr>
              <w:t>1608</w:t>
            </w:r>
          </w:p>
        </w:tc>
        <w:tc>
          <w:tcPr>
            <w:tcW w:w="734" w:type="dxa"/>
            <w:tcBorders>
              <w:top w:val="single" w:sz="2" w:space="0" w:color="000000"/>
              <w:left w:val="single" w:sz="2" w:space="0" w:color="000000"/>
              <w:bottom w:val="single" w:sz="2" w:space="0" w:color="000000"/>
              <w:right w:val="single" w:sz="2" w:space="0" w:color="000000"/>
            </w:tcBorders>
            <w:vAlign w:val="center"/>
          </w:tcPr>
          <w:p w14:paraId="1828E7F4" w14:textId="36AB4171" w:rsidR="000046E5" w:rsidRDefault="000046E5" w:rsidP="000046E5">
            <w:pPr>
              <w:spacing w:line="259" w:lineRule="auto"/>
              <w:ind w:right="1"/>
              <w:jc w:val="center"/>
            </w:pPr>
            <w:r>
              <w:rPr>
                <w:sz w:val="18"/>
                <w:szCs w:val="18"/>
              </w:rPr>
              <w:t>1542</w:t>
            </w:r>
          </w:p>
        </w:tc>
        <w:tc>
          <w:tcPr>
            <w:tcW w:w="734" w:type="dxa"/>
            <w:tcBorders>
              <w:top w:val="single" w:sz="2" w:space="0" w:color="000000"/>
              <w:left w:val="single" w:sz="2" w:space="0" w:color="000000"/>
              <w:bottom w:val="single" w:sz="2" w:space="0" w:color="000000"/>
              <w:right w:val="single" w:sz="2" w:space="0" w:color="000000"/>
            </w:tcBorders>
            <w:vAlign w:val="center"/>
          </w:tcPr>
          <w:p w14:paraId="745743CB" w14:textId="62FA6DD5" w:rsidR="000046E5" w:rsidRDefault="000046E5" w:rsidP="000046E5">
            <w:pPr>
              <w:spacing w:line="259" w:lineRule="auto"/>
              <w:ind w:left="1"/>
              <w:jc w:val="center"/>
              <w:rPr>
                <w:sz w:val="18"/>
              </w:rPr>
            </w:pPr>
            <w:r>
              <w:rPr>
                <w:sz w:val="18"/>
                <w:szCs w:val="18"/>
              </w:rPr>
              <w:t>1738</w:t>
            </w:r>
          </w:p>
        </w:tc>
        <w:tc>
          <w:tcPr>
            <w:tcW w:w="735" w:type="dxa"/>
            <w:tcBorders>
              <w:top w:val="single" w:sz="2" w:space="0" w:color="000000"/>
              <w:left w:val="single" w:sz="2" w:space="0" w:color="000000"/>
              <w:bottom w:val="single" w:sz="2" w:space="0" w:color="000000"/>
              <w:right w:val="single" w:sz="2" w:space="0" w:color="000000"/>
            </w:tcBorders>
            <w:vAlign w:val="center"/>
          </w:tcPr>
          <w:p w14:paraId="52D0BFE0" w14:textId="3C545FCB" w:rsidR="000046E5" w:rsidRDefault="000046E5" w:rsidP="000046E5">
            <w:pPr>
              <w:spacing w:line="259" w:lineRule="auto"/>
              <w:ind w:left="1"/>
              <w:jc w:val="center"/>
            </w:pPr>
            <w:r w:rsidRPr="00364545">
              <w:rPr>
                <w:sz w:val="18"/>
              </w:rPr>
              <w:t>1259</w:t>
            </w:r>
          </w:p>
        </w:tc>
        <w:tc>
          <w:tcPr>
            <w:tcW w:w="734" w:type="dxa"/>
            <w:tcBorders>
              <w:top w:val="single" w:sz="2" w:space="0" w:color="000000"/>
              <w:left w:val="single" w:sz="2" w:space="0" w:color="000000"/>
              <w:bottom w:val="single" w:sz="2" w:space="0" w:color="000000"/>
              <w:right w:val="single" w:sz="2" w:space="0" w:color="000000"/>
            </w:tcBorders>
            <w:vAlign w:val="center"/>
          </w:tcPr>
          <w:p w14:paraId="2D5DDB67" w14:textId="0BEBB94E" w:rsidR="000046E5" w:rsidRDefault="000046E5" w:rsidP="000046E5">
            <w:pPr>
              <w:spacing w:line="259" w:lineRule="auto"/>
              <w:ind w:right="1"/>
              <w:jc w:val="center"/>
            </w:pPr>
            <w:r w:rsidRPr="00364545">
              <w:rPr>
                <w:sz w:val="18"/>
              </w:rPr>
              <w:t>1351</w:t>
            </w:r>
          </w:p>
        </w:tc>
        <w:tc>
          <w:tcPr>
            <w:tcW w:w="735" w:type="dxa"/>
            <w:tcBorders>
              <w:top w:val="single" w:sz="2" w:space="0" w:color="000000"/>
              <w:left w:val="single" w:sz="2" w:space="0" w:color="000000"/>
              <w:bottom w:val="single" w:sz="2" w:space="0" w:color="000000"/>
              <w:right w:val="single" w:sz="2" w:space="0" w:color="000000"/>
            </w:tcBorders>
            <w:vAlign w:val="center"/>
          </w:tcPr>
          <w:p w14:paraId="04B6CEE5" w14:textId="6D308E8B" w:rsidR="000046E5" w:rsidRDefault="000046E5" w:rsidP="000046E5">
            <w:pPr>
              <w:spacing w:line="259" w:lineRule="auto"/>
              <w:ind w:left="1"/>
              <w:jc w:val="center"/>
            </w:pPr>
            <w:r w:rsidRPr="00364545">
              <w:rPr>
                <w:sz w:val="18"/>
              </w:rPr>
              <w:t>1406</w:t>
            </w:r>
          </w:p>
        </w:tc>
        <w:tc>
          <w:tcPr>
            <w:tcW w:w="734" w:type="dxa"/>
            <w:tcBorders>
              <w:top w:val="single" w:sz="2" w:space="0" w:color="000000"/>
              <w:left w:val="single" w:sz="2" w:space="0" w:color="000000"/>
              <w:bottom w:val="single" w:sz="2" w:space="0" w:color="000000"/>
              <w:right w:val="single" w:sz="2" w:space="0" w:color="000000"/>
            </w:tcBorders>
            <w:vAlign w:val="center"/>
          </w:tcPr>
          <w:p w14:paraId="742BDDD0" w14:textId="7AD966F3" w:rsidR="000046E5" w:rsidRDefault="000046E5" w:rsidP="000046E5">
            <w:pPr>
              <w:spacing w:line="259" w:lineRule="auto"/>
              <w:jc w:val="center"/>
            </w:pPr>
            <w:r w:rsidRPr="00364545">
              <w:rPr>
                <w:sz w:val="18"/>
              </w:rPr>
              <w:t>1478</w:t>
            </w:r>
          </w:p>
        </w:tc>
        <w:tc>
          <w:tcPr>
            <w:tcW w:w="735" w:type="dxa"/>
            <w:tcBorders>
              <w:top w:val="single" w:sz="2" w:space="0" w:color="000000"/>
              <w:left w:val="single" w:sz="2" w:space="0" w:color="000000"/>
              <w:bottom w:val="single" w:sz="2" w:space="0" w:color="000000"/>
              <w:right w:val="single" w:sz="2" w:space="0" w:color="000000"/>
            </w:tcBorders>
            <w:vAlign w:val="center"/>
          </w:tcPr>
          <w:p w14:paraId="51E95E5C" w14:textId="014F6D3F" w:rsidR="000046E5" w:rsidRDefault="000046E5" w:rsidP="000046E5">
            <w:pPr>
              <w:spacing w:line="259" w:lineRule="auto"/>
              <w:jc w:val="center"/>
              <w:rPr>
                <w:sz w:val="18"/>
              </w:rPr>
            </w:pPr>
            <w:r w:rsidRPr="00364545">
              <w:rPr>
                <w:sz w:val="18"/>
              </w:rPr>
              <w:t>1805</w:t>
            </w:r>
          </w:p>
        </w:tc>
      </w:tr>
      <w:tr w:rsidR="000046E5" w14:paraId="5B3A0541" w14:textId="77777777" w:rsidTr="004A6A59">
        <w:trPr>
          <w:trHeight w:val="344"/>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27544175" w14:textId="77777777" w:rsidR="000046E5" w:rsidRDefault="000046E5" w:rsidP="000046E5">
            <w:pPr>
              <w:spacing w:line="259" w:lineRule="auto"/>
            </w:pPr>
            <w:r>
              <w:rPr>
                <w:b/>
                <w:sz w:val="18"/>
              </w:rPr>
              <w:t xml:space="preserve">Ensemble (hors UTCF) </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5FF6CD" w14:textId="5F1EABD4" w:rsidR="000046E5" w:rsidRPr="004A6A59" w:rsidRDefault="000046E5" w:rsidP="000046E5">
            <w:pPr>
              <w:spacing w:line="259" w:lineRule="auto"/>
              <w:ind w:left="56"/>
              <w:jc w:val="center"/>
              <w:rPr>
                <w:b/>
              </w:rPr>
            </w:pPr>
            <w:r w:rsidRPr="00944589">
              <w:rPr>
                <w:b/>
                <w:sz w:val="18"/>
                <w:szCs w:val="18"/>
              </w:rPr>
              <w:t>398425</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03B848" w14:textId="2355132F" w:rsidR="000046E5" w:rsidRPr="004A6A59" w:rsidRDefault="000046E5" w:rsidP="000046E5">
            <w:pPr>
              <w:spacing w:line="259" w:lineRule="auto"/>
              <w:jc w:val="center"/>
              <w:rPr>
                <w:b/>
                <w:sz w:val="18"/>
              </w:rPr>
            </w:pPr>
            <w:r w:rsidRPr="00944589">
              <w:rPr>
                <w:b/>
                <w:sz w:val="18"/>
                <w:szCs w:val="18"/>
              </w:rPr>
              <w:t>392916</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8BFEE4" w14:textId="11CDBF8E" w:rsidR="000046E5" w:rsidRPr="004A6A59" w:rsidRDefault="000046E5" w:rsidP="000046E5">
            <w:pPr>
              <w:spacing w:line="259" w:lineRule="auto"/>
              <w:ind w:left="58"/>
              <w:jc w:val="center"/>
              <w:rPr>
                <w:b/>
              </w:rPr>
            </w:pPr>
            <w:r w:rsidRPr="00944589">
              <w:rPr>
                <w:b/>
                <w:sz w:val="18"/>
                <w:szCs w:val="18"/>
              </w:rPr>
              <w:t>414788</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BE158B" w14:textId="1D3A5705" w:rsidR="000046E5" w:rsidRPr="004A6A59" w:rsidRDefault="000046E5" w:rsidP="000046E5">
            <w:pPr>
              <w:spacing w:line="259" w:lineRule="auto"/>
              <w:ind w:left="56"/>
              <w:jc w:val="center"/>
              <w:rPr>
                <w:b/>
              </w:rPr>
            </w:pPr>
            <w:r w:rsidRPr="00944589">
              <w:rPr>
                <w:b/>
                <w:sz w:val="18"/>
                <w:szCs w:val="18"/>
              </w:rPr>
              <w:t>425444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4D4F7D" w14:textId="622929A4" w:rsidR="000046E5" w:rsidRPr="004A6A59" w:rsidRDefault="000046E5" w:rsidP="000046E5">
            <w:pPr>
              <w:spacing w:line="259" w:lineRule="auto"/>
              <w:ind w:left="58"/>
              <w:jc w:val="center"/>
              <w:rPr>
                <w:b/>
              </w:rPr>
            </w:pPr>
            <w:r w:rsidRPr="00944589">
              <w:rPr>
                <w:b/>
                <w:sz w:val="18"/>
                <w:szCs w:val="18"/>
              </w:rPr>
              <w:t>386872</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EF27A8" w14:textId="12F81EDB" w:rsidR="000046E5" w:rsidRPr="004A6A59" w:rsidRDefault="000046E5" w:rsidP="000046E5">
            <w:pPr>
              <w:spacing w:line="259" w:lineRule="auto"/>
              <w:ind w:left="56"/>
              <w:jc w:val="center"/>
              <w:rPr>
                <w:b/>
              </w:rPr>
            </w:pPr>
            <w:r w:rsidRPr="00944589">
              <w:rPr>
                <w:b/>
                <w:sz w:val="18"/>
                <w:szCs w:val="18"/>
              </w:rPr>
              <w:t>341631</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D1292F" w14:textId="53C47513" w:rsidR="000046E5" w:rsidRPr="004A6A59" w:rsidRDefault="000046E5" w:rsidP="000046E5">
            <w:pPr>
              <w:spacing w:line="259" w:lineRule="auto"/>
              <w:ind w:left="62"/>
              <w:jc w:val="center"/>
              <w:rPr>
                <w:b/>
                <w:sz w:val="18"/>
              </w:rPr>
            </w:pPr>
            <w:r w:rsidRPr="00944589">
              <w:rPr>
                <w:b/>
                <w:sz w:val="18"/>
                <w:szCs w:val="18"/>
              </w:rPr>
              <w:t>326725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2598B0" w14:textId="32CC389D" w:rsidR="000046E5" w:rsidRPr="004A6A59" w:rsidRDefault="000046E5" w:rsidP="000046E5">
            <w:pPr>
              <w:spacing w:line="259" w:lineRule="auto"/>
              <w:ind w:left="62"/>
              <w:jc w:val="center"/>
              <w:rPr>
                <w:b/>
              </w:rPr>
            </w:pPr>
            <w:r w:rsidRPr="00364545">
              <w:rPr>
                <w:b/>
                <w:sz w:val="18"/>
              </w:rPr>
              <w:t>291487</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5F5CA5" w14:textId="5FA4A94A" w:rsidR="000046E5" w:rsidRPr="004A6A59" w:rsidRDefault="000046E5" w:rsidP="000046E5">
            <w:pPr>
              <w:spacing w:line="259" w:lineRule="auto"/>
              <w:ind w:left="56"/>
              <w:jc w:val="center"/>
              <w:rPr>
                <w:b/>
              </w:rPr>
            </w:pPr>
            <w:r w:rsidRPr="00364545">
              <w:rPr>
                <w:b/>
                <w:sz w:val="18"/>
              </w:rPr>
              <w:t>292205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72156F" w14:textId="4AFF55F2" w:rsidR="000046E5" w:rsidRPr="004A6A59" w:rsidRDefault="000046E5" w:rsidP="000046E5">
            <w:pPr>
              <w:spacing w:line="259" w:lineRule="auto"/>
              <w:ind w:left="58"/>
              <w:jc w:val="center"/>
              <w:rPr>
                <w:b/>
              </w:rPr>
            </w:pPr>
            <w:r w:rsidRPr="00364545">
              <w:rPr>
                <w:b/>
                <w:sz w:val="18"/>
              </w:rPr>
              <w:t>272039</w:t>
            </w:r>
          </w:p>
        </w:tc>
        <w:tc>
          <w:tcPr>
            <w:tcW w:w="73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AD27F3" w14:textId="40910B7E" w:rsidR="000046E5" w:rsidRPr="004A6A59" w:rsidRDefault="000046E5" w:rsidP="000046E5">
            <w:pPr>
              <w:spacing w:line="259" w:lineRule="auto"/>
              <w:ind w:left="56"/>
              <w:jc w:val="center"/>
              <w:rPr>
                <w:b/>
              </w:rPr>
            </w:pPr>
            <w:r w:rsidRPr="00364545">
              <w:rPr>
                <w:b/>
                <w:sz w:val="18"/>
              </w:rPr>
              <w:t>262355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E2934F" w14:textId="1772ADCD" w:rsidR="000046E5" w:rsidRPr="004A6A59" w:rsidRDefault="000046E5" w:rsidP="000046E5">
            <w:pPr>
              <w:spacing w:line="259" w:lineRule="auto"/>
              <w:ind w:left="56"/>
              <w:jc w:val="center"/>
              <w:rPr>
                <w:b/>
                <w:sz w:val="18"/>
              </w:rPr>
            </w:pPr>
            <w:r w:rsidRPr="00364545">
              <w:rPr>
                <w:b/>
                <w:sz w:val="18"/>
              </w:rPr>
              <w:t>241265</w:t>
            </w:r>
          </w:p>
        </w:tc>
      </w:tr>
      <w:tr w:rsidR="000046E5" w14:paraId="66C55C68" w14:textId="77777777" w:rsidTr="00261D3D">
        <w:trPr>
          <w:trHeight w:val="344"/>
        </w:trPr>
        <w:tc>
          <w:tcPr>
            <w:tcW w:w="1121" w:type="dxa"/>
            <w:tcBorders>
              <w:top w:val="single" w:sz="2" w:space="0" w:color="000000"/>
              <w:left w:val="single" w:sz="2" w:space="0" w:color="000000"/>
              <w:bottom w:val="single" w:sz="2" w:space="0" w:color="000000"/>
              <w:right w:val="single" w:sz="2" w:space="0" w:color="000000"/>
            </w:tcBorders>
          </w:tcPr>
          <w:p w14:paraId="5BE87A5C" w14:textId="77777777" w:rsidR="000046E5" w:rsidRDefault="000046E5" w:rsidP="000046E5">
            <w:pPr>
              <w:spacing w:line="259" w:lineRule="auto"/>
            </w:pPr>
            <w:r>
              <w:rPr>
                <w:b/>
                <w:sz w:val="18"/>
              </w:rPr>
              <w:t xml:space="preserve">Ensemble (avec UTCF) </w:t>
            </w:r>
          </w:p>
        </w:tc>
        <w:tc>
          <w:tcPr>
            <w:tcW w:w="734" w:type="dxa"/>
            <w:tcBorders>
              <w:top w:val="single" w:sz="2" w:space="0" w:color="000000"/>
              <w:left w:val="single" w:sz="2" w:space="0" w:color="000000"/>
              <w:bottom w:val="single" w:sz="2" w:space="0" w:color="000000"/>
              <w:right w:val="single" w:sz="2" w:space="0" w:color="000000"/>
            </w:tcBorders>
            <w:vAlign w:val="center"/>
          </w:tcPr>
          <w:p w14:paraId="00AAFCE8" w14:textId="258260D3" w:rsidR="000046E5" w:rsidRPr="004A6A59" w:rsidRDefault="000046E5" w:rsidP="000046E5">
            <w:pPr>
              <w:spacing w:line="259" w:lineRule="auto"/>
              <w:ind w:left="56"/>
              <w:jc w:val="center"/>
              <w:rPr>
                <w:b/>
              </w:rPr>
            </w:pPr>
            <w:r w:rsidRPr="00944589">
              <w:rPr>
                <w:b/>
                <w:sz w:val="18"/>
                <w:szCs w:val="18"/>
              </w:rPr>
              <w:t>370280</w:t>
            </w:r>
          </w:p>
        </w:tc>
        <w:tc>
          <w:tcPr>
            <w:tcW w:w="734" w:type="dxa"/>
            <w:tcBorders>
              <w:top w:val="single" w:sz="2" w:space="0" w:color="000000"/>
              <w:left w:val="single" w:sz="2" w:space="0" w:color="000000"/>
              <w:bottom w:val="single" w:sz="2" w:space="0" w:color="000000"/>
              <w:right w:val="single" w:sz="2" w:space="0" w:color="000000"/>
            </w:tcBorders>
            <w:vAlign w:val="center"/>
          </w:tcPr>
          <w:p w14:paraId="08D7E81C" w14:textId="5AC3F7C6" w:rsidR="000046E5" w:rsidRPr="004A6A59" w:rsidRDefault="000046E5" w:rsidP="000046E5">
            <w:pPr>
              <w:spacing w:line="259" w:lineRule="auto"/>
              <w:ind w:left="56"/>
              <w:jc w:val="center"/>
              <w:rPr>
                <w:b/>
                <w:sz w:val="18"/>
              </w:rPr>
            </w:pPr>
            <w:r w:rsidRPr="00944589">
              <w:rPr>
                <w:b/>
                <w:sz w:val="18"/>
                <w:szCs w:val="18"/>
              </w:rPr>
              <w:t>361121</w:t>
            </w:r>
          </w:p>
        </w:tc>
        <w:tc>
          <w:tcPr>
            <w:tcW w:w="735" w:type="dxa"/>
            <w:tcBorders>
              <w:top w:val="single" w:sz="2" w:space="0" w:color="000000"/>
              <w:left w:val="single" w:sz="2" w:space="0" w:color="000000"/>
              <w:bottom w:val="single" w:sz="2" w:space="0" w:color="000000"/>
              <w:right w:val="single" w:sz="2" w:space="0" w:color="000000"/>
            </w:tcBorders>
            <w:vAlign w:val="center"/>
          </w:tcPr>
          <w:p w14:paraId="3AB50FD2" w14:textId="2B05535A" w:rsidR="000046E5" w:rsidRPr="004A6A59" w:rsidRDefault="000046E5" w:rsidP="000046E5">
            <w:pPr>
              <w:spacing w:line="259" w:lineRule="auto"/>
              <w:ind w:left="58"/>
              <w:jc w:val="center"/>
              <w:rPr>
                <w:b/>
              </w:rPr>
            </w:pPr>
            <w:r w:rsidRPr="00944589">
              <w:rPr>
                <w:b/>
                <w:sz w:val="18"/>
                <w:szCs w:val="18"/>
              </w:rPr>
              <w:t>390194</w:t>
            </w:r>
          </w:p>
        </w:tc>
        <w:tc>
          <w:tcPr>
            <w:tcW w:w="734" w:type="dxa"/>
            <w:tcBorders>
              <w:top w:val="single" w:sz="2" w:space="0" w:color="000000"/>
              <w:left w:val="single" w:sz="2" w:space="0" w:color="000000"/>
              <w:bottom w:val="single" w:sz="2" w:space="0" w:color="000000"/>
              <w:right w:val="single" w:sz="2" w:space="0" w:color="000000"/>
            </w:tcBorders>
            <w:vAlign w:val="center"/>
          </w:tcPr>
          <w:p w14:paraId="4F2CC654" w14:textId="065B772B" w:rsidR="000046E5" w:rsidRPr="004A6A59" w:rsidRDefault="000046E5" w:rsidP="000046E5">
            <w:pPr>
              <w:spacing w:line="259" w:lineRule="auto"/>
              <w:ind w:left="56"/>
              <w:jc w:val="center"/>
              <w:rPr>
                <w:b/>
              </w:rPr>
            </w:pPr>
            <w:r w:rsidRPr="00944589">
              <w:rPr>
                <w:b/>
                <w:sz w:val="18"/>
                <w:szCs w:val="18"/>
              </w:rPr>
              <w:t>373972</w:t>
            </w:r>
          </w:p>
        </w:tc>
        <w:tc>
          <w:tcPr>
            <w:tcW w:w="735" w:type="dxa"/>
            <w:tcBorders>
              <w:top w:val="single" w:sz="2" w:space="0" w:color="000000"/>
              <w:left w:val="single" w:sz="2" w:space="0" w:color="000000"/>
              <w:bottom w:val="single" w:sz="2" w:space="0" w:color="000000"/>
              <w:right w:val="single" w:sz="2" w:space="0" w:color="000000"/>
            </w:tcBorders>
            <w:vAlign w:val="center"/>
          </w:tcPr>
          <w:p w14:paraId="03C15E0F" w14:textId="7DF76D6E" w:rsidR="000046E5" w:rsidRPr="004A6A59" w:rsidRDefault="000046E5" w:rsidP="000046E5">
            <w:pPr>
              <w:spacing w:line="259" w:lineRule="auto"/>
              <w:ind w:left="58"/>
              <w:jc w:val="center"/>
              <w:rPr>
                <w:b/>
              </w:rPr>
            </w:pPr>
            <w:r w:rsidRPr="00944589">
              <w:rPr>
                <w:b/>
                <w:sz w:val="18"/>
                <w:szCs w:val="18"/>
              </w:rPr>
              <w:t>344171</w:t>
            </w:r>
          </w:p>
        </w:tc>
        <w:tc>
          <w:tcPr>
            <w:tcW w:w="734" w:type="dxa"/>
            <w:tcBorders>
              <w:top w:val="single" w:sz="2" w:space="0" w:color="000000"/>
              <w:left w:val="single" w:sz="2" w:space="0" w:color="000000"/>
              <w:bottom w:val="single" w:sz="2" w:space="0" w:color="000000"/>
              <w:right w:val="single" w:sz="2" w:space="0" w:color="000000"/>
            </w:tcBorders>
            <w:vAlign w:val="center"/>
          </w:tcPr>
          <w:p w14:paraId="2C421B40" w14:textId="182E19BD" w:rsidR="000046E5" w:rsidRPr="004A6A59" w:rsidRDefault="000046E5" w:rsidP="000046E5">
            <w:pPr>
              <w:spacing w:line="259" w:lineRule="auto"/>
              <w:ind w:left="56"/>
              <w:jc w:val="center"/>
              <w:rPr>
                <w:b/>
              </w:rPr>
            </w:pPr>
            <w:r w:rsidRPr="00944589">
              <w:rPr>
                <w:b/>
                <w:sz w:val="18"/>
                <w:szCs w:val="18"/>
              </w:rPr>
              <w:t>303032</w:t>
            </w:r>
          </w:p>
        </w:tc>
        <w:tc>
          <w:tcPr>
            <w:tcW w:w="734" w:type="dxa"/>
            <w:tcBorders>
              <w:top w:val="single" w:sz="2" w:space="0" w:color="000000"/>
              <w:left w:val="single" w:sz="2" w:space="0" w:color="000000"/>
              <w:bottom w:val="single" w:sz="2" w:space="0" w:color="000000"/>
              <w:right w:val="single" w:sz="2" w:space="0" w:color="000000"/>
            </w:tcBorders>
            <w:vAlign w:val="center"/>
          </w:tcPr>
          <w:p w14:paraId="7F1C29C2" w14:textId="3B9E160B" w:rsidR="000046E5" w:rsidRPr="004A6A59" w:rsidRDefault="000046E5" w:rsidP="000046E5">
            <w:pPr>
              <w:spacing w:line="259" w:lineRule="auto"/>
              <w:ind w:left="58"/>
              <w:jc w:val="center"/>
              <w:rPr>
                <w:b/>
                <w:sz w:val="18"/>
              </w:rPr>
            </w:pPr>
            <w:r w:rsidRPr="00944589">
              <w:rPr>
                <w:b/>
                <w:sz w:val="18"/>
                <w:szCs w:val="18"/>
              </w:rPr>
              <w:t>310432</w:t>
            </w:r>
          </w:p>
        </w:tc>
        <w:tc>
          <w:tcPr>
            <w:tcW w:w="735" w:type="dxa"/>
            <w:tcBorders>
              <w:top w:val="single" w:sz="2" w:space="0" w:color="000000"/>
              <w:left w:val="single" w:sz="2" w:space="0" w:color="000000"/>
              <w:bottom w:val="single" w:sz="2" w:space="0" w:color="000000"/>
              <w:right w:val="single" w:sz="2" w:space="0" w:color="000000"/>
            </w:tcBorders>
            <w:vAlign w:val="center"/>
          </w:tcPr>
          <w:p w14:paraId="767AEA90" w14:textId="3AC0682E" w:rsidR="000046E5" w:rsidRPr="004A6A59" w:rsidRDefault="000046E5" w:rsidP="000046E5">
            <w:pPr>
              <w:spacing w:line="259" w:lineRule="auto"/>
              <w:ind w:left="58"/>
              <w:jc w:val="center"/>
              <w:rPr>
                <w:b/>
              </w:rPr>
            </w:pPr>
            <w:r w:rsidRPr="00364545">
              <w:rPr>
                <w:b/>
                <w:sz w:val="18"/>
              </w:rPr>
              <w:t>254402</w:t>
            </w:r>
          </w:p>
        </w:tc>
        <w:tc>
          <w:tcPr>
            <w:tcW w:w="734" w:type="dxa"/>
            <w:tcBorders>
              <w:top w:val="single" w:sz="2" w:space="0" w:color="000000"/>
              <w:left w:val="single" w:sz="2" w:space="0" w:color="000000"/>
              <w:bottom w:val="single" w:sz="2" w:space="0" w:color="000000"/>
              <w:right w:val="single" w:sz="2" w:space="0" w:color="000000"/>
            </w:tcBorders>
            <w:vAlign w:val="center"/>
          </w:tcPr>
          <w:p w14:paraId="64859683" w14:textId="026991CB" w:rsidR="000046E5" w:rsidRPr="004A6A59" w:rsidRDefault="000046E5" w:rsidP="000046E5">
            <w:pPr>
              <w:spacing w:line="259" w:lineRule="auto"/>
              <w:ind w:left="56"/>
              <w:jc w:val="center"/>
              <w:rPr>
                <w:b/>
              </w:rPr>
            </w:pPr>
            <w:r w:rsidRPr="00364545">
              <w:rPr>
                <w:b/>
                <w:sz w:val="18"/>
              </w:rPr>
              <w:t>259213</w:t>
            </w:r>
          </w:p>
        </w:tc>
        <w:tc>
          <w:tcPr>
            <w:tcW w:w="735" w:type="dxa"/>
            <w:tcBorders>
              <w:top w:val="single" w:sz="2" w:space="0" w:color="000000"/>
              <w:left w:val="single" w:sz="2" w:space="0" w:color="000000"/>
              <w:bottom w:val="single" w:sz="2" w:space="0" w:color="000000"/>
              <w:right w:val="single" w:sz="2" w:space="0" w:color="000000"/>
            </w:tcBorders>
            <w:vAlign w:val="center"/>
          </w:tcPr>
          <w:p w14:paraId="73EC17B2" w14:textId="270ACD7F" w:rsidR="000046E5" w:rsidRPr="004A6A59" w:rsidRDefault="000046E5" w:rsidP="000046E5">
            <w:pPr>
              <w:spacing w:line="259" w:lineRule="auto"/>
              <w:ind w:left="58"/>
              <w:jc w:val="center"/>
              <w:rPr>
                <w:b/>
              </w:rPr>
            </w:pPr>
            <w:r w:rsidRPr="00364545">
              <w:rPr>
                <w:b/>
                <w:sz w:val="18"/>
              </w:rPr>
              <w:t>241362</w:t>
            </w:r>
          </w:p>
        </w:tc>
        <w:tc>
          <w:tcPr>
            <w:tcW w:w="734" w:type="dxa"/>
            <w:tcBorders>
              <w:top w:val="single" w:sz="2" w:space="0" w:color="000000"/>
              <w:left w:val="single" w:sz="2" w:space="0" w:color="000000"/>
              <w:bottom w:val="single" w:sz="2" w:space="0" w:color="000000"/>
              <w:right w:val="single" w:sz="2" w:space="0" w:color="000000"/>
            </w:tcBorders>
            <w:vAlign w:val="center"/>
          </w:tcPr>
          <w:p w14:paraId="43560E63" w14:textId="647A562E" w:rsidR="000046E5" w:rsidRPr="004A6A59" w:rsidRDefault="000046E5" w:rsidP="000046E5">
            <w:pPr>
              <w:spacing w:line="259" w:lineRule="auto"/>
              <w:ind w:left="56"/>
              <w:jc w:val="center"/>
              <w:rPr>
                <w:b/>
              </w:rPr>
            </w:pPr>
            <w:r w:rsidRPr="00364545">
              <w:rPr>
                <w:b/>
                <w:sz w:val="18"/>
              </w:rPr>
              <w:t>236549</w:t>
            </w:r>
          </w:p>
        </w:tc>
        <w:tc>
          <w:tcPr>
            <w:tcW w:w="735" w:type="dxa"/>
            <w:tcBorders>
              <w:top w:val="single" w:sz="2" w:space="0" w:color="000000"/>
              <w:left w:val="single" w:sz="2" w:space="0" w:color="000000"/>
              <w:bottom w:val="single" w:sz="2" w:space="0" w:color="000000"/>
              <w:right w:val="single" w:sz="2" w:space="0" w:color="000000"/>
            </w:tcBorders>
            <w:vAlign w:val="center"/>
          </w:tcPr>
          <w:p w14:paraId="5772B638" w14:textId="444919C6" w:rsidR="000046E5" w:rsidRPr="004A6A59" w:rsidRDefault="000046E5" w:rsidP="000046E5">
            <w:pPr>
              <w:spacing w:line="259" w:lineRule="auto"/>
              <w:ind w:left="56"/>
              <w:jc w:val="center"/>
              <w:rPr>
                <w:b/>
                <w:sz w:val="18"/>
              </w:rPr>
            </w:pPr>
            <w:r w:rsidRPr="00364545">
              <w:rPr>
                <w:b/>
                <w:sz w:val="18"/>
              </w:rPr>
              <w:t>224391</w:t>
            </w:r>
          </w:p>
        </w:tc>
      </w:tr>
    </w:tbl>
    <w:p w14:paraId="5A1F9E00" w14:textId="6E5C1AEB" w:rsidR="009B2382" w:rsidRDefault="009B2382" w:rsidP="009B2382">
      <w:pPr>
        <w:pStyle w:val="Caption"/>
      </w:pPr>
      <w:bookmarkStart w:id="551" w:name="_Toc123916511"/>
      <w:r>
        <w:t xml:space="preserve">Tableau </w:t>
      </w:r>
      <w:fldSimple w:instr=" SEQ Tableau \* ARABIC ">
        <w:r w:rsidR="00AB51D9">
          <w:rPr>
            <w:noProof/>
          </w:rPr>
          <w:t>19</w:t>
        </w:r>
      </w:fldSimple>
      <w:r>
        <w:t xml:space="preserve"> : Projections d’émissions de </w:t>
      </w:r>
      <w:r w:rsidR="007F09F7">
        <w:t>CO</w:t>
      </w:r>
      <w:r w:rsidR="007F09F7" w:rsidRPr="007F09F7">
        <w:rPr>
          <w:vertAlign w:val="subscript"/>
        </w:rPr>
        <w:t>2</w:t>
      </w:r>
      <w:r>
        <w:t xml:space="preserve"> (en kt</w:t>
      </w:r>
      <w:r w:rsidR="007F09F7">
        <w:t>CO</w:t>
      </w:r>
      <w:r w:rsidR="007F09F7" w:rsidRPr="007F09F7">
        <w:rPr>
          <w:vertAlign w:val="subscript"/>
        </w:rPr>
        <w:t>2</w:t>
      </w:r>
      <w:r>
        <w:t>e) au périmètre Kyoto dans le scénario AME 2021 (avec mesures existantes)</w:t>
      </w:r>
      <w:bookmarkEnd w:id="551"/>
    </w:p>
    <w:p w14:paraId="1556989A" w14:textId="790C278C" w:rsidR="009B2382" w:rsidRDefault="009B2382" w:rsidP="009B2382">
      <w:pPr>
        <w:pStyle w:val="Caption"/>
      </w:pPr>
      <w:r>
        <w:t xml:space="preserve">Source : Inventaire CCNUCC, Citepa/MTES, soumission </w:t>
      </w:r>
      <w:r w:rsidR="000046E5">
        <w:t xml:space="preserve">2022 </w:t>
      </w:r>
      <w:r>
        <w:t>et projections d’émissions MTES, 2021</w:t>
      </w:r>
    </w:p>
    <w:p w14:paraId="62DF4EE7" w14:textId="77777777" w:rsidR="009B2382" w:rsidRPr="009B2382" w:rsidRDefault="009B2382" w:rsidP="009B2382"/>
    <w:p w14:paraId="2BF94223" w14:textId="77777777" w:rsidR="000046E5" w:rsidRDefault="000046E5" w:rsidP="009947FF">
      <w:pPr>
        <w:pStyle w:val="Caption"/>
      </w:pPr>
      <w:bookmarkStart w:id="552" w:name="_Toc123916473"/>
      <w:r>
        <w:rPr>
          <w:noProof/>
        </w:rPr>
        <w:drawing>
          <wp:inline distT="0" distB="0" distL="0" distR="0" wp14:anchorId="20F83A81" wp14:editId="13D660CB">
            <wp:extent cx="6318250" cy="3632200"/>
            <wp:effectExtent l="0" t="0" r="6350" b="6350"/>
            <wp:docPr id="28705" name="Graphique 287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72DD2DB" w14:textId="042648C8" w:rsidR="009947FF" w:rsidRDefault="009947FF" w:rsidP="009947FF">
      <w:pPr>
        <w:pStyle w:val="Caption"/>
      </w:pPr>
      <w:r>
        <w:t xml:space="preserve">Figure </w:t>
      </w:r>
      <w:fldSimple w:instr=" SEQ Figure \* ARABIC ">
        <w:r w:rsidR="00AB51D9">
          <w:rPr>
            <w:noProof/>
          </w:rPr>
          <w:t>62</w:t>
        </w:r>
      </w:fldSimple>
      <w:r>
        <w:t xml:space="preserve"> : </w:t>
      </w:r>
      <w:r w:rsidRPr="00BA4A6C">
        <w:t xml:space="preserve">Projection par </w:t>
      </w:r>
      <w:r>
        <w:t>gaz</w:t>
      </w:r>
      <w:r w:rsidRPr="00BA4A6C">
        <w:t xml:space="preserve"> </w:t>
      </w:r>
      <w:r>
        <w:t xml:space="preserve">hors UTCATF </w:t>
      </w:r>
      <w:r w:rsidRPr="00BA4A6C">
        <w:t>en kt</w:t>
      </w:r>
      <w:r w:rsidR="007F09F7">
        <w:t>CO</w:t>
      </w:r>
      <w:r w:rsidR="007F09F7" w:rsidRPr="007F09F7">
        <w:rPr>
          <w:vertAlign w:val="subscript"/>
        </w:rPr>
        <w:t>2</w:t>
      </w:r>
      <w:r w:rsidRPr="000425AE">
        <w:rPr>
          <w:vertAlign w:val="subscript"/>
        </w:rPr>
        <w:t>e</w:t>
      </w:r>
      <w:r w:rsidRPr="00BA4A6C">
        <w:t>, au format Kyoto, scénario AM</w:t>
      </w:r>
      <w:r>
        <w:t>E</w:t>
      </w:r>
      <w:r w:rsidRPr="00BA4A6C">
        <w:t xml:space="preserve"> </w:t>
      </w:r>
      <w:r>
        <w:t>2021</w:t>
      </w:r>
      <w:bookmarkEnd w:id="552"/>
    </w:p>
    <w:p w14:paraId="38B55A8D" w14:textId="4BCB2A3E" w:rsidR="009947FF" w:rsidRPr="001E34E8" w:rsidRDefault="009947FF" w:rsidP="009947FF">
      <w:pPr>
        <w:pStyle w:val="Caption"/>
      </w:pPr>
      <w:r w:rsidRPr="00BA4A6C">
        <w:t xml:space="preserve">Source : Inventaire CCNUCC, Citepa/MTES, soumission </w:t>
      </w:r>
      <w:r w:rsidR="000046E5">
        <w:t>2022</w:t>
      </w:r>
      <w:r w:rsidR="000046E5" w:rsidRPr="00BA4A6C">
        <w:t xml:space="preserve"> </w:t>
      </w:r>
      <w:r w:rsidRPr="00BA4A6C">
        <w:t>et projections d’émissions MTES, 20</w:t>
      </w:r>
      <w:r>
        <w:t>21</w:t>
      </w:r>
    </w:p>
    <w:p w14:paraId="247BE56C" w14:textId="77777777" w:rsidR="009947FF" w:rsidRDefault="009947FF" w:rsidP="001021CB"/>
    <w:tbl>
      <w:tblPr>
        <w:tblStyle w:val="TableGrid0"/>
        <w:tblW w:w="10193" w:type="dxa"/>
        <w:tblInd w:w="10" w:type="dxa"/>
        <w:tblLayout w:type="fixed"/>
        <w:tblCellMar>
          <w:top w:w="39" w:type="dxa"/>
          <w:left w:w="28" w:type="dxa"/>
          <w:bottom w:w="2" w:type="dxa"/>
          <w:right w:w="48" w:type="dxa"/>
        </w:tblCellMar>
        <w:tblLook w:val="04A0" w:firstRow="1" w:lastRow="0" w:firstColumn="1" w:lastColumn="0" w:noHBand="0" w:noVBand="1"/>
      </w:tblPr>
      <w:tblGrid>
        <w:gridCol w:w="1121"/>
        <w:gridCol w:w="851"/>
        <w:gridCol w:w="709"/>
        <w:gridCol w:w="708"/>
        <w:gridCol w:w="851"/>
        <w:gridCol w:w="850"/>
        <w:gridCol w:w="851"/>
        <w:gridCol w:w="709"/>
        <w:gridCol w:w="708"/>
        <w:gridCol w:w="709"/>
        <w:gridCol w:w="709"/>
        <w:gridCol w:w="709"/>
        <w:gridCol w:w="708"/>
      </w:tblGrid>
      <w:tr w:rsidR="00F442EA" w14:paraId="1F6D615A" w14:textId="77777777" w:rsidTr="00261D3D">
        <w:trPr>
          <w:trHeight w:val="321"/>
        </w:trPr>
        <w:tc>
          <w:tcPr>
            <w:tcW w:w="1121" w:type="dxa"/>
            <w:tcBorders>
              <w:top w:val="single" w:sz="2" w:space="0" w:color="000000"/>
              <w:left w:val="single" w:sz="2" w:space="0" w:color="000000"/>
              <w:bottom w:val="single" w:sz="2" w:space="0" w:color="000000"/>
              <w:right w:val="single" w:sz="2" w:space="0" w:color="000000"/>
            </w:tcBorders>
            <w:shd w:val="clear" w:color="auto" w:fill="6D2A78"/>
          </w:tcPr>
          <w:p w14:paraId="56CD8FE0" w14:textId="388E9149" w:rsidR="00CB5305" w:rsidRDefault="00CB5305" w:rsidP="00B052CA">
            <w:pPr>
              <w:spacing w:line="259" w:lineRule="auto"/>
              <w:ind w:left="67"/>
              <w:jc w:val="left"/>
            </w:pPr>
            <w:r>
              <w:t xml:space="preserve">AME 21 – </w:t>
            </w:r>
            <w:r w:rsidR="007F09F7" w:rsidRPr="00141043">
              <w:t>CH</w:t>
            </w:r>
            <w:r w:rsidR="007F09F7" w:rsidRPr="004F1EC8">
              <w:rPr>
                <w:vertAlign w:val="subscript"/>
              </w:rPr>
              <w:t>4</w:t>
            </w:r>
            <w:r w:rsidR="007F09F7" w:rsidRPr="00141043">
              <w:t xml:space="preserve"> </w:t>
            </w:r>
          </w:p>
        </w:tc>
        <w:tc>
          <w:tcPr>
            <w:tcW w:w="851" w:type="dxa"/>
            <w:tcBorders>
              <w:top w:val="single" w:sz="2" w:space="0" w:color="000000"/>
              <w:left w:val="single" w:sz="2" w:space="0" w:color="000000"/>
              <w:bottom w:val="single" w:sz="2" w:space="0" w:color="000000"/>
              <w:right w:val="single" w:sz="2" w:space="0" w:color="000000"/>
            </w:tcBorders>
            <w:shd w:val="clear" w:color="auto" w:fill="6D2A78"/>
          </w:tcPr>
          <w:p w14:paraId="27156722" w14:textId="77777777" w:rsidR="00CB5305" w:rsidRDefault="00CB5305" w:rsidP="00B052CA">
            <w:pPr>
              <w:spacing w:line="259" w:lineRule="auto"/>
              <w:ind w:left="19"/>
              <w:jc w:val="center"/>
            </w:pPr>
            <w:r>
              <w:rPr>
                <w:b/>
                <w:color w:val="FFFFFF"/>
                <w:sz w:val="18"/>
              </w:rPr>
              <w:t xml:space="preserve">1990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7B224642" w14:textId="77777777" w:rsidR="00CB5305" w:rsidRDefault="00CB5305" w:rsidP="00B052CA">
            <w:pPr>
              <w:spacing w:line="259" w:lineRule="auto"/>
              <w:ind w:left="21"/>
              <w:jc w:val="center"/>
              <w:rPr>
                <w:b/>
                <w:color w:val="FFFFFF"/>
                <w:sz w:val="18"/>
              </w:rPr>
            </w:pPr>
            <w:r>
              <w:rPr>
                <w:b/>
                <w:color w:val="FFFFFF"/>
                <w:sz w:val="18"/>
              </w:rPr>
              <w:t>1995</w:t>
            </w:r>
          </w:p>
        </w:tc>
        <w:tc>
          <w:tcPr>
            <w:tcW w:w="708" w:type="dxa"/>
            <w:tcBorders>
              <w:top w:val="single" w:sz="2" w:space="0" w:color="000000"/>
              <w:left w:val="single" w:sz="2" w:space="0" w:color="000000"/>
              <w:bottom w:val="single" w:sz="2" w:space="0" w:color="000000"/>
              <w:right w:val="single" w:sz="2" w:space="0" w:color="000000"/>
            </w:tcBorders>
            <w:shd w:val="clear" w:color="auto" w:fill="6D2A78"/>
          </w:tcPr>
          <w:p w14:paraId="6CEE5A0B" w14:textId="77777777" w:rsidR="00CB5305" w:rsidRDefault="00CB5305" w:rsidP="00B052CA">
            <w:pPr>
              <w:spacing w:line="259" w:lineRule="auto"/>
              <w:ind w:left="21"/>
              <w:jc w:val="center"/>
            </w:pPr>
            <w:r>
              <w:rPr>
                <w:b/>
                <w:color w:val="FFFFFF"/>
                <w:sz w:val="18"/>
              </w:rPr>
              <w:t xml:space="preserve">2000 </w:t>
            </w:r>
          </w:p>
        </w:tc>
        <w:tc>
          <w:tcPr>
            <w:tcW w:w="851" w:type="dxa"/>
            <w:tcBorders>
              <w:top w:val="single" w:sz="2" w:space="0" w:color="000000"/>
              <w:left w:val="single" w:sz="2" w:space="0" w:color="000000"/>
              <w:bottom w:val="single" w:sz="2" w:space="0" w:color="000000"/>
              <w:right w:val="single" w:sz="2" w:space="0" w:color="000000"/>
            </w:tcBorders>
            <w:shd w:val="clear" w:color="auto" w:fill="6D2A78"/>
          </w:tcPr>
          <w:p w14:paraId="0F0152CF" w14:textId="77777777" w:rsidR="00CB5305" w:rsidRDefault="00CB5305" w:rsidP="00B052CA">
            <w:pPr>
              <w:spacing w:line="259" w:lineRule="auto"/>
              <w:ind w:left="19"/>
              <w:jc w:val="center"/>
            </w:pPr>
            <w:r>
              <w:rPr>
                <w:b/>
                <w:color w:val="FFFFFF"/>
                <w:sz w:val="18"/>
              </w:rPr>
              <w:t xml:space="preserve">2005 </w:t>
            </w:r>
          </w:p>
        </w:tc>
        <w:tc>
          <w:tcPr>
            <w:tcW w:w="850" w:type="dxa"/>
            <w:tcBorders>
              <w:top w:val="single" w:sz="2" w:space="0" w:color="000000"/>
              <w:left w:val="single" w:sz="2" w:space="0" w:color="000000"/>
              <w:bottom w:val="single" w:sz="2" w:space="0" w:color="000000"/>
              <w:right w:val="single" w:sz="2" w:space="0" w:color="000000"/>
            </w:tcBorders>
            <w:shd w:val="clear" w:color="auto" w:fill="6D2A78"/>
          </w:tcPr>
          <w:p w14:paraId="40D27796" w14:textId="77777777" w:rsidR="00CB5305" w:rsidRDefault="00CB5305" w:rsidP="00B052CA">
            <w:pPr>
              <w:spacing w:line="259" w:lineRule="auto"/>
              <w:ind w:left="21"/>
              <w:jc w:val="center"/>
            </w:pPr>
            <w:r>
              <w:rPr>
                <w:b/>
                <w:color w:val="FFFFFF"/>
                <w:sz w:val="18"/>
              </w:rPr>
              <w:t xml:space="preserve">2010 </w:t>
            </w:r>
          </w:p>
        </w:tc>
        <w:tc>
          <w:tcPr>
            <w:tcW w:w="851" w:type="dxa"/>
            <w:tcBorders>
              <w:top w:val="single" w:sz="2" w:space="0" w:color="000000"/>
              <w:left w:val="single" w:sz="2" w:space="0" w:color="000000"/>
              <w:bottom w:val="single" w:sz="2" w:space="0" w:color="000000"/>
              <w:right w:val="single" w:sz="2" w:space="0" w:color="000000"/>
            </w:tcBorders>
            <w:shd w:val="clear" w:color="auto" w:fill="6D2A78"/>
          </w:tcPr>
          <w:p w14:paraId="65428BA8" w14:textId="77777777" w:rsidR="00CB5305" w:rsidRDefault="00CB5305" w:rsidP="00B052CA">
            <w:pPr>
              <w:spacing w:line="259" w:lineRule="auto"/>
              <w:ind w:left="19"/>
              <w:jc w:val="center"/>
            </w:pPr>
            <w:r>
              <w:rPr>
                <w:b/>
                <w:color w:val="FFFFFF"/>
                <w:sz w:val="18"/>
              </w:rPr>
              <w:t xml:space="preserve">2015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44F4A7E3" w14:textId="77777777" w:rsidR="00CB5305" w:rsidRDefault="00CB5305" w:rsidP="00B052CA">
            <w:pPr>
              <w:spacing w:line="259" w:lineRule="auto"/>
              <w:ind w:left="21"/>
              <w:jc w:val="center"/>
              <w:rPr>
                <w:b/>
                <w:color w:val="FFFFFF"/>
                <w:sz w:val="18"/>
              </w:rPr>
            </w:pPr>
            <w:r>
              <w:rPr>
                <w:b/>
                <w:color w:val="FFFFFF"/>
                <w:sz w:val="18"/>
              </w:rPr>
              <w:t>2019</w:t>
            </w:r>
          </w:p>
        </w:tc>
        <w:tc>
          <w:tcPr>
            <w:tcW w:w="708" w:type="dxa"/>
            <w:tcBorders>
              <w:top w:val="single" w:sz="2" w:space="0" w:color="000000"/>
              <w:left w:val="single" w:sz="2" w:space="0" w:color="000000"/>
              <w:bottom w:val="single" w:sz="2" w:space="0" w:color="000000"/>
              <w:right w:val="single" w:sz="2" w:space="0" w:color="000000"/>
            </w:tcBorders>
            <w:shd w:val="clear" w:color="auto" w:fill="6D2A78"/>
          </w:tcPr>
          <w:p w14:paraId="78D992F7" w14:textId="77777777" w:rsidR="00CB5305" w:rsidRDefault="00CB5305" w:rsidP="00B052CA">
            <w:pPr>
              <w:spacing w:line="259" w:lineRule="auto"/>
              <w:ind w:left="21"/>
              <w:jc w:val="center"/>
            </w:pPr>
            <w:r>
              <w:rPr>
                <w:b/>
                <w:color w:val="FFFFFF"/>
                <w:sz w:val="18"/>
              </w:rPr>
              <w:t xml:space="preserve">2020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4DE81653" w14:textId="77777777" w:rsidR="00CB5305" w:rsidRDefault="00CB5305" w:rsidP="00B052CA">
            <w:pPr>
              <w:spacing w:line="259" w:lineRule="auto"/>
              <w:ind w:left="19"/>
              <w:jc w:val="center"/>
            </w:pPr>
            <w:r>
              <w:rPr>
                <w:b/>
                <w:color w:val="FFFFFF"/>
                <w:sz w:val="18"/>
              </w:rPr>
              <w:t xml:space="preserve">2025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5BAD4D16" w14:textId="77777777" w:rsidR="00CB5305" w:rsidRDefault="00CB5305" w:rsidP="00B052CA">
            <w:pPr>
              <w:spacing w:line="259" w:lineRule="auto"/>
              <w:ind w:left="21"/>
              <w:jc w:val="center"/>
            </w:pPr>
            <w:r>
              <w:rPr>
                <w:b/>
                <w:color w:val="FFFFFF"/>
                <w:sz w:val="18"/>
              </w:rPr>
              <w:t xml:space="preserve">2030 </w:t>
            </w:r>
          </w:p>
        </w:tc>
        <w:tc>
          <w:tcPr>
            <w:tcW w:w="709" w:type="dxa"/>
            <w:tcBorders>
              <w:top w:val="single" w:sz="2" w:space="0" w:color="000000"/>
              <w:left w:val="single" w:sz="2" w:space="0" w:color="000000"/>
              <w:bottom w:val="single" w:sz="2" w:space="0" w:color="000000"/>
              <w:right w:val="single" w:sz="2" w:space="0" w:color="000000"/>
            </w:tcBorders>
            <w:shd w:val="clear" w:color="auto" w:fill="6D2A78"/>
          </w:tcPr>
          <w:p w14:paraId="22732427" w14:textId="77777777" w:rsidR="00CB5305" w:rsidRDefault="00CB5305" w:rsidP="00B052CA">
            <w:pPr>
              <w:spacing w:line="259" w:lineRule="auto"/>
              <w:ind w:left="20"/>
              <w:jc w:val="center"/>
            </w:pPr>
            <w:r>
              <w:rPr>
                <w:b/>
                <w:color w:val="FFFFFF"/>
                <w:sz w:val="18"/>
              </w:rPr>
              <w:t xml:space="preserve">2035 </w:t>
            </w:r>
          </w:p>
        </w:tc>
        <w:tc>
          <w:tcPr>
            <w:tcW w:w="708" w:type="dxa"/>
            <w:tcBorders>
              <w:top w:val="single" w:sz="2" w:space="0" w:color="000000"/>
              <w:left w:val="single" w:sz="2" w:space="0" w:color="000000"/>
              <w:bottom w:val="single" w:sz="2" w:space="0" w:color="000000"/>
              <w:right w:val="single" w:sz="2" w:space="0" w:color="000000"/>
            </w:tcBorders>
            <w:shd w:val="clear" w:color="auto" w:fill="6D2A78"/>
          </w:tcPr>
          <w:p w14:paraId="363EB9DF" w14:textId="77777777" w:rsidR="00CB5305" w:rsidRDefault="00CB5305" w:rsidP="00B052CA">
            <w:pPr>
              <w:spacing w:line="259" w:lineRule="auto"/>
              <w:ind w:left="20"/>
              <w:jc w:val="center"/>
              <w:rPr>
                <w:b/>
                <w:color w:val="FFFFFF"/>
                <w:sz w:val="18"/>
              </w:rPr>
            </w:pPr>
            <w:r>
              <w:rPr>
                <w:b/>
                <w:color w:val="FFFFFF"/>
                <w:sz w:val="18"/>
              </w:rPr>
              <w:t>2050</w:t>
            </w:r>
          </w:p>
        </w:tc>
      </w:tr>
      <w:tr w:rsidR="00F442EA" w14:paraId="3082438D" w14:textId="77777777" w:rsidTr="00261D3D">
        <w:trPr>
          <w:trHeight w:val="275"/>
        </w:trPr>
        <w:tc>
          <w:tcPr>
            <w:tcW w:w="1121" w:type="dxa"/>
            <w:tcBorders>
              <w:top w:val="single" w:sz="2" w:space="0" w:color="000000"/>
              <w:left w:val="single" w:sz="2" w:space="0" w:color="000000"/>
              <w:bottom w:val="single" w:sz="2" w:space="0" w:color="000000"/>
              <w:right w:val="single" w:sz="2" w:space="0" w:color="000000"/>
            </w:tcBorders>
          </w:tcPr>
          <w:p w14:paraId="423C7C28" w14:textId="77777777" w:rsidR="00F442EA" w:rsidRDefault="00F442EA" w:rsidP="00F442EA">
            <w:pPr>
              <w:spacing w:line="259" w:lineRule="auto"/>
            </w:pPr>
            <w:r>
              <w:rPr>
                <w:sz w:val="18"/>
              </w:rPr>
              <w:t xml:space="preserve">Energie </w:t>
            </w:r>
          </w:p>
        </w:tc>
        <w:tc>
          <w:tcPr>
            <w:tcW w:w="851" w:type="dxa"/>
            <w:tcBorders>
              <w:top w:val="single" w:sz="2" w:space="0" w:color="000000"/>
              <w:left w:val="single" w:sz="2" w:space="0" w:color="000000"/>
              <w:bottom w:val="single" w:sz="2" w:space="0" w:color="000000"/>
              <w:right w:val="single" w:sz="2" w:space="0" w:color="000000"/>
            </w:tcBorders>
            <w:vAlign w:val="bottom"/>
          </w:tcPr>
          <w:p w14:paraId="2573E8CB" w14:textId="4C2061F1" w:rsidR="00F442EA" w:rsidRPr="00637624" w:rsidRDefault="00F442EA" w:rsidP="00F442EA">
            <w:pPr>
              <w:spacing w:line="259" w:lineRule="auto"/>
              <w:ind w:left="106"/>
              <w:rPr>
                <w:sz w:val="18"/>
                <w:szCs w:val="18"/>
              </w:rPr>
            </w:pPr>
            <w:r w:rsidRPr="00944589">
              <w:rPr>
                <w:rFonts w:asciiTheme="majorHAnsi" w:hAnsiTheme="majorHAnsi"/>
                <w:sz w:val="16"/>
                <w:szCs w:val="16"/>
              </w:rPr>
              <w:t>12404</w:t>
            </w:r>
          </w:p>
        </w:tc>
        <w:tc>
          <w:tcPr>
            <w:tcW w:w="709" w:type="dxa"/>
            <w:tcBorders>
              <w:top w:val="single" w:sz="2" w:space="0" w:color="000000"/>
              <w:left w:val="single" w:sz="2" w:space="0" w:color="000000"/>
              <w:bottom w:val="single" w:sz="2" w:space="0" w:color="000000"/>
              <w:right w:val="single" w:sz="2" w:space="0" w:color="000000"/>
            </w:tcBorders>
            <w:vAlign w:val="bottom"/>
          </w:tcPr>
          <w:p w14:paraId="6AB67A8D" w14:textId="115A3717"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11918</w:t>
            </w:r>
          </w:p>
        </w:tc>
        <w:tc>
          <w:tcPr>
            <w:tcW w:w="708" w:type="dxa"/>
            <w:tcBorders>
              <w:top w:val="single" w:sz="2" w:space="0" w:color="000000"/>
              <w:left w:val="single" w:sz="2" w:space="0" w:color="000000"/>
              <w:bottom w:val="single" w:sz="2" w:space="0" w:color="000000"/>
              <w:right w:val="single" w:sz="2" w:space="0" w:color="000000"/>
            </w:tcBorders>
            <w:vAlign w:val="bottom"/>
          </w:tcPr>
          <w:p w14:paraId="75886603" w14:textId="4D002D58"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7568</w:t>
            </w:r>
          </w:p>
        </w:tc>
        <w:tc>
          <w:tcPr>
            <w:tcW w:w="851" w:type="dxa"/>
            <w:tcBorders>
              <w:top w:val="single" w:sz="2" w:space="0" w:color="000000"/>
              <w:left w:val="single" w:sz="2" w:space="0" w:color="000000"/>
              <w:bottom w:val="single" w:sz="2" w:space="0" w:color="000000"/>
              <w:right w:val="single" w:sz="2" w:space="0" w:color="000000"/>
            </w:tcBorders>
            <w:vAlign w:val="bottom"/>
          </w:tcPr>
          <w:p w14:paraId="0CBE656C" w14:textId="1AD86775"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4922</w:t>
            </w:r>
          </w:p>
        </w:tc>
        <w:tc>
          <w:tcPr>
            <w:tcW w:w="850" w:type="dxa"/>
            <w:tcBorders>
              <w:top w:val="single" w:sz="2" w:space="0" w:color="000000"/>
              <w:left w:val="single" w:sz="2" w:space="0" w:color="000000"/>
              <w:bottom w:val="single" w:sz="2" w:space="0" w:color="000000"/>
              <w:right w:val="single" w:sz="2" w:space="0" w:color="000000"/>
            </w:tcBorders>
            <w:vAlign w:val="bottom"/>
          </w:tcPr>
          <w:p w14:paraId="7F459C19" w14:textId="7B05A8D9"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3704</w:t>
            </w:r>
          </w:p>
        </w:tc>
        <w:tc>
          <w:tcPr>
            <w:tcW w:w="851" w:type="dxa"/>
            <w:tcBorders>
              <w:top w:val="single" w:sz="2" w:space="0" w:color="000000"/>
              <w:left w:val="single" w:sz="2" w:space="0" w:color="000000"/>
              <w:bottom w:val="single" w:sz="2" w:space="0" w:color="000000"/>
              <w:right w:val="single" w:sz="2" w:space="0" w:color="000000"/>
            </w:tcBorders>
            <w:vAlign w:val="bottom"/>
          </w:tcPr>
          <w:p w14:paraId="2C82704E" w14:textId="232B99A0"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2743</w:t>
            </w:r>
          </w:p>
        </w:tc>
        <w:tc>
          <w:tcPr>
            <w:tcW w:w="709" w:type="dxa"/>
            <w:tcBorders>
              <w:top w:val="single" w:sz="2" w:space="0" w:color="000000"/>
              <w:left w:val="single" w:sz="2" w:space="0" w:color="000000"/>
              <w:bottom w:val="single" w:sz="2" w:space="0" w:color="000000"/>
              <w:right w:val="single" w:sz="2" w:space="0" w:color="000000"/>
            </w:tcBorders>
            <w:vAlign w:val="bottom"/>
          </w:tcPr>
          <w:p w14:paraId="231B38AE" w14:textId="5AB14E4A"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2398</w:t>
            </w:r>
          </w:p>
        </w:tc>
        <w:tc>
          <w:tcPr>
            <w:tcW w:w="708" w:type="dxa"/>
            <w:tcBorders>
              <w:top w:val="single" w:sz="2" w:space="0" w:color="000000"/>
              <w:left w:val="single" w:sz="2" w:space="0" w:color="000000"/>
              <w:bottom w:val="single" w:sz="2" w:space="0" w:color="000000"/>
              <w:right w:val="single" w:sz="2" w:space="0" w:color="000000"/>
            </w:tcBorders>
            <w:vAlign w:val="bottom"/>
          </w:tcPr>
          <w:p w14:paraId="665A249B"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2 320</w:t>
            </w:r>
          </w:p>
        </w:tc>
        <w:tc>
          <w:tcPr>
            <w:tcW w:w="709" w:type="dxa"/>
            <w:tcBorders>
              <w:top w:val="single" w:sz="2" w:space="0" w:color="000000"/>
              <w:left w:val="single" w:sz="2" w:space="0" w:color="000000"/>
              <w:bottom w:val="single" w:sz="2" w:space="0" w:color="000000"/>
              <w:right w:val="single" w:sz="2" w:space="0" w:color="000000"/>
            </w:tcBorders>
            <w:vAlign w:val="bottom"/>
          </w:tcPr>
          <w:p w14:paraId="2B3B2D65"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2 262</w:t>
            </w:r>
          </w:p>
        </w:tc>
        <w:tc>
          <w:tcPr>
            <w:tcW w:w="709" w:type="dxa"/>
            <w:tcBorders>
              <w:top w:val="single" w:sz="2" w:space="0" w:color="000000"/>
              <w:left w:val="single" w:sz="2" w:space="0" w:color="000000"/>
              <w:bottom w:val="single" w:sz="2" w:space="0" w:color="000000"/>
              <w:right w:val="single" w:sz="2" w:space="0" w:color="000000"/>
            </w:tcBorders>
            <w:vAlign w:val="bottom"/>
          </w:tcPr>
          <w:p w14:paraId="1849426D"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2 191</w:t>
            </w:r>
          </w:p>
        </w:tc>
        <w:tc>
          <w:tcPr>
            <w:tcW w:w="709" w:type="dxa"/>
            <w:tcBorders>
              <w:top w:val="single" w:sz="2" w:space="0" w:color="000000"/>
              <w:left w:val="single" w:sz="2" w:space="0" w:color="000000"/>
              <w:bottom w:val="single" w:sz="2" w:space="0" w:color="000000"/>
              <w:right w:val="single" w:sz="2" w:space="0" w:color="000000"/>
            </w:tcBorders>
            <w:vAlign w:val="bottom"/>
          </w:tcPr>
          <w:p w14:paraId="4D86150E"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2 158</w:t>
            </w:r>
          </w:p>
        </w:tc>
        <w:tc>
          <w:tcPr>
            <w:tcW w:w="708" w:type="dxa"/>
            <w:tcBorders>
              <w:top w:val="single" w:sz="2" w:space="0" w:color="000000"/>
              <w:left w:val="single" w:sz="2" w:space="0" w:color="000000"/>
              <w:bottom w:val="single" w:sz="2" w:space="0" w:color="000000"/>
              <w:right w:val="single" w:sz="2" w:space="0" w:color="000000"/>
            </w:tcBorders>
            <w:vAlign w:val="bottom"/>
          </w:tcPr>
          <w:p w14:paraId="2BE2A28A"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2 199</w:t>
            </w:r>
          </w:p>
        </w:tc>
      </w:tr>
      <w:tr w:rsidR="00F442EA" w14:paraId="5B380F39" w14:textId="77777777" w:rsidTr="00261D3D">
        <w:trPr>
          <w:trHeight w:val="335"/>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106653A3" w14:textId="77777777" w:rsidR="00F442EA" w:rsidRDefault="00F442EA" w:rsidP="00F442EA">
            <w:pPr>
              <w:spacing w:line="259" w:lineRule="auto"/>
            </w:pPr>
            <w:r>
              <w:rPr>
                <w:sz w:val="18"/>
              </w:rPr>
              <w:t xml:space="preserve">Procédés industriels, solvants et autres produits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0A35EC5" w14:textId="5F154B71" w:rsidR="00F442EA" w:rsidRPr="00637624" w:rsidRDefault="00F442EA" w:rsidP="00F442EA">
            <w:pPr>
              <w:spacing w:line="259" w:lineRule="auto"/>
              <w:ind w:left="19"/>
              <w:jc w:val="center"/>
              <w:rPr>
                <w:sz w:val="18"/>
                <w:szCs w:val="18"/>
              </w:rPr>
            </w:pPr>
            <w:r w:rsidRPr="00634E4C">
              <w:rPr>
                <w:rFonts w:asciiTheme="majorHAnsi" w:hAnsiTheme="majorHAnsi"/>
                <w:sz w:val="16"/>
              </w:rPr>
              <w:t>220</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6777B24" w14:textId="4EFC10BB" w:rsidR="00F442EA" w:rsidRPr="00637624" w:rsidRDefault="00F442EA" w:rsidP="00F442EA">
            <w:pPr>
              <w:spacing w:line="259" w:lineRule="auto"/>
              <w:ind w:left="106"/>
              <w:rPr>
                <w:rFonts w:ascii="Calibri" w:hAnsi="Calibri" w:cs="Calibri"/>
                <w:b/>
                <w:bCs/>
                <w:color w:val="000000"/>
                <w:sz w:val="18"/>
                <w:szCs w:val="18"/>
              </w:rPr>
            </w:pPr>
            <w:r w:rsidRPr="00634E4C">
              <w:rPr>
                <w:rFonts w:asciiTheme="majorHAnsi" w:hAnsiTheme="majorHAnsi"/>
                <w:sz w:val="16"/>
              </w:rPr>
              <w:t>221</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0BBEA2C" w14:textId="371AB83E" w:rsidR="00F442EA" w:rsidRPr="00637624" w:rsidRDefault="00F442EA" w:rsidP="00F442EA">
            <w:pPr>
              <w:spacing w:line="259" w:lineRule="auto"/>
              <w:ind w:left="106"/>
              <w:rPr>
                <w:rFonts w:ascii="Calibri" w:hAnsi="Calibri" w:cs="Calibri"/>
                <w:b/>
                <w:bCs/>
                <w:color w:val="000000"/>
                <w:sz w:val="18"/>
                <w:szCs w:val="18"/>
              </w:rPr>
            </w:pPr>
            <w:r w:rsidRPr="00634E4C">
              <w:rPr>
                <w:rFonts w:asciiTheme="majorHAnsi" w:hAnsiTheme="majorHAnsi"/>
                <w:sz w:val="16"/>
              </w:rPr>
              <w:t>236</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4136883" w14:textId="171AE1F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207</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9D2AD9" w14:textId="7D5C7AFA" w:rsidR="00F442EA" w:rsidRPr="00637624" w:rsidRDefault="00F442EA" w:rsidP="00F442EA">
            <w:pPr>
              <w:spacing w:line="259" w:lineRule="auto"/>
              <w:ind w:left="106"/>
              <w:rPr>
                <w:rFonts w:ascii="Calibri" w:hAnsi="Calibri" w:cs="Calibri"/>
                <w:b/>
                <w:bCs/>
                <w:color w:val="000000"/>
                <w:sz w:val="18"/>
                <w:szCs w:val="18"/>
              </w:rPr>
            </w:pPr>
            <w:r w:rsidRPr="00634E4C">
              <w:rPr>
                <w:rFonts w:asciiTheme="majorHAnsi" w:hAnsiTheme="majorHAnsi"/>
                <w:sz w:val="16"/>
              </w:rPr>
              <w:t>147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381CF0D" w14:textId="5FE6C161"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85</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5F10842" w14:textId="32958A1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66</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AD679FC"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67</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128040"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75</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DCF10F0"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75</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BC97A11"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75</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5C9E76"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73</w:t>
            </w:r>
          </w:p>
        </w:tc>
      </w:tr>
      <w:tr w:rsidR="00F442EA" w14:paraId="45FFC2BC" w14:textId="77777777" w:rsidTr="00261D3D">
        <w:trPr>
          <w:trHeight w:val="277"/>
        </w:trPr>
        <w:tc>
          <w:tcPr>
            <w:tcW w:w="1121" w:type="dxa"/>
            <w:tcBorders>
              <w:top w:val="single" w:sz="2" w:space="0" w:color="000000"/>
              <w:left w:val="single" w:sz="2" w:space="0" w:color="000000"/>
              <w:bottom w:val="single" w:sz="2" w:space="0" w:color="000000"/>
              <w:right w:val="single" w:sz="2" w:space="0" w:color="000000"/>
            </w:tcBorders>
          </w:tcPr>
          <w:p w14:paraId="10ACEF60" w14:textId="77777777" w:rsidR="00F442EA" w:rsidRDefault="00F442EA" w:rsidP="00F442EA">
            <w:pPr>
              <w:spacing w:line="259" w:lineRule="auto"/>
            </w:pPr>
            <w:r>
              <w:rPr>
                <w:sz w:val="18"/>
              </w:rPr>
              <w:t xml:space="preserve">Agriculture (hors énergie) </w:t>
            </w:r>
          </w:p>
        </w:tc>
        <w:tc>
          <w:tcPr>
            <w:tcW w:w="851" w:type="dxa"/>
            <w:tcBorders>
              <w:top w:val="single" w:sz="2" w:space="0" w:color="000000"/>
              <w:left w:val="single" w:sz="2" w:space="0" w:color="000000"/>
              <w:bottom w:val="single" w:sz="2" w:space="0" w:color="000000"/>
              <w:right w:val="single" w:sz="2" w:space="0" w:color="000000"/>
            </w:tcBorders>
            <w:vAlign w:val="bottom"/>
          </w:tcPr>
          <w:p w14:paraId="5567FE68" w14:textId="2DE07F9C" w:rsidR="00F442EA" w:rsidRPr="00637624" w:rsidRDefault="00F442EA" w:rsidP="00F442EA">
            <w:pPr>
              <w:spacing w:line="259" w:lineRule="auto"/>
              <w:ind w:left="106"/>
              <w:rPr>
                <w:sz w:val="18"/>
                <w:szCs w:val="18"/>
              </w:rPr>
            </w:pPr>
            <w:r w:rsidRPr="00634E4C">
              <w:rPr>
                <w:rFonts w:asciiTheme="majorHAnsi" w:hAnsiTheme="majorHAnsi"/>
                <w:sz w:val="16"/>
              </w:rPr>
              <w:t>42218</w:t>
            </w:r>
          </w:p>
        </w:tc>
        <w:tc>
          <w:tcPr>
            <w:tcW w:w="709" w:type="dxa"/>
            <w:tcBorders>
              <w:top w:val="single" w:sz="2" w:space="0" w:color="000000"/>
              <w:left w:val="single" w:sz="2" w:space="0" w:color="000000"/>
              <w:bottom w:val="single" w:sz="2" w:space="0" w:color="000000"/>
              <w:right w:val="single" w:sz="2" w:space="0" w:color="000000"/>
            </w:tcBorders>
            <w:vAlign w:val="bottom"/>
          </w:tcPr>
          <w:p w14:paraId="1197AF08" w14:textId="188C4DE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41145</w:t>
            </w:r>
          </w:p>
        </w:tc>
        <w:tc>
          <w:tcPr>
            <w:tcW w:w="708" w:type="dxa"/>
            <w:tcBorders>
              <w:top w:val="single" w:sz="2" w:space="0" w:color="000000"/>
              <w:left w:val="single" w:sz="2" w:space="0" w:color="000000"/>
              <w:bottom w:val="single" w:sz="2" w:space="0" w:color="000000"/>
              <w:right w:val="single" w:sz="2" w:space="0" w:color="000000"/>
            </w:tcBorders>
            <w:vAlign w:val="bottom"/>
          </w:tcPr>
          <w:p w14:paraId="032271D1" w14:textId="59965729"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42197</w:t>
            </w:r>
          </w:p>
        </w:tc>
        <w:tc>
          <w:tcPr>
            <w:tcW w:w="851" w:type="dxa"/>
            <w:tcBorders>
              <w:top w:val="single" w:sz="2" w:space="0" w:color="000000"/>
              <w:left w:val="single" w:sz="2" w:space="0" w:color="000000"/>
              <w:bottom w:val="single" w:sz="2" w:space="0" w:color="000000"/>
              <w:right w:val="single" w:sz="2" w:space="0" w:color="000000"/>
            </w:tcBorders>
            <w:vAlign w:val="bottom"/>
          </w:tcPr>
          <w:p w14:paraId="5B752355" w14:textId="779AA678"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39373</w:t>
            </w:r>
          </w:p>
        </w:tc>
        <w:tc>
          <w:tcPr>
            <w:tcW w:w="850" w:type="dxa"/>
            <w:tcBorders>
              <w:top w:val="single" w:sz="2" w:space="0" w:color="000000"/>
              <w:left w:val="single" w:sz="2" w:space="0" w:color="000000"/>
              <w:bottom w:val="single" w:sz="2" w:space="0" w:color="000000"/>
              <w:right w:val="single" w:sz="2" w:space="0" w:color="000000"/>
            </w:tcBorders>
            <w:vAlign w:val="bottom"/>
          </w:tcPr>
          <w:p w14:paraId="37D96DDE" w14:textId="02F13CFD"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39325</w:t>
            </w:r>
          </w:p>
        </w:tc>
        <w:tc>
          <w:tcPr>
            <w:tcW w:w="851" w:type="dxa"/>
            <w:tcBorders>
              <w:top w:val="single" w:sz="2" w:space="0" w:color="000000"/>
              <w:left w:val="single" w:sz="2" w:space="0" w:color="000000"/>
              <w:bottom w:val="single" w:sz="2" w:space="0" w:color="000000"/>
              <w:right w:val="single" w:sz="2" w:space="0" w:color="000000"/>
            </w:tcBorders>
            <w:vAlign w:val="bottom"/>
          </w:tcPr>
          <w:p w14:paraId="2B589D0A" w14:textId="7BBD5EE5"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39281</w:t>
            </w:r>
          </w:p>
        </w:tc>
        <w:tc>
          <w:tcPr>
            <w:tcW w:w="709" w:type="dxa"/>
            <w:tcBorders>
              <w:top w:val="single" w:sz="2" w:space="0" w:color="000000"/>
              <w:left w:val="single" w:sz="2" w:space="0" w:color="000000"/>
              <w:bottom w:val="single" w:sz="2" w:space="0" w:color="000000"/>
              <w:right w:val="single" w:sz="2" w:space="0" w:color="000000"/>
            </w:tcBorders>
            <w:vAlign w:val="bottom"/>
          </w:tcPr>
          <w:p w14:paraId="018D55BD" w14:textId="2AEE5EBF"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37445</w:t>
            </w:r>
          </w:p>
        </w:tc>
        <w:tc>
          <w:tcPr>
            <w:tcW w:w="708" w:type="dxa"/>
            <w:tcBorders>
              <w:top w:val="single" w:sz="2" w:space="0" w:color="000000"/>
              <w:left w:val="single" w:sz="2" w:space="0" w:color="000000"/>
              <w:bottom w:val="single" w:sz="2" w:space="0" w:color="000000"/>
              <w:right w:val="single" w:sz="2" w:space="0" w:color="000000"/>
            </w:tcBorders>
            <w:vAlign w:val="bottom"/>
          </w:tcPr>
          <w:p w14:paraId="261EE39E"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37 180</w:t>
            </w:r>
          </w:p>
        </w:tc>
        <w:tc>
          <w:tcPr>
            <w:tcW w:w="709" w:type="dxa"/>
            <w:tcBorders>
              <w:top w:val="single" w:sz="2" w:space="0" w:color="000000"/>
              <w:left w:val="single" w:sz="2" w:space="0" w:color="000000"/>
              <w:bottom w:val="single" w:sz="2" w:space="0" w:color="000000"/>
              <w:right w:val="single" w:sz="2" w:space="0" w:color="000000"/>
            </w:tcBorders>
            <w:vAlign w:val="bottom"/>
          </w:tcPr>
          <w:p w14:paraId="0A0EE178"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36 538</w:t>
            </w:r>
          </w:p>
        </w:tc>
        <w:tc>
          <w:tcPr>
            <w:tcW w:w="709" w:type="dxa"/>
            <w:tcBorders>
              <w:top w:val="single" w:sz="2" w:space="0" w:color="000000"/>
              <w:left w:val="single" w:sz="2" w:space="0" w:color="000000"/>
              <w:bottom w:val="single" w:sz="2" w:space="0" w:color="000000"/>
              <w:right w:val="single" w:sz="2" w:space="0" w:color="000000"/>
            </w:tcBorders>
            <w:vAlign w:val="bottom"/>
          </w:tcPr>
          <w:p w14:paraId="77EC78FE"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35 950</w:t>
            </w:r>
          </w:p>
        </w:tc>
        <w:tc>
          <w:tcPr>
            <w:tcW w:w="709" w:type="dxa"/>
            <w:tcBorders>
              <w:top w:val="single" w:sz="2" w:space="0" w:color="000000"/>
              <w:left w:val="single" w:sz="2" w:space="0" w:color="000000"/>
              <w:bottom w:val="single" w:sz="2" w:space="0" w:color="000000"/>
              <w:right w:val="single" w:sz="2" w:space="0" w:color="000000"/>
            </w:tcBorders>
            <w:vAlign w:val="bottom"/>
          </w:tcPr>
          <w:p w14:paraId="45EA99E7"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35 340</w:t>
            </w:r>
          </w:p>
        </w:tc>
        <w:tc>
          <w:tcPr>
            <w:tcW w:w="708" w:type="dxa"/>
            <w:tcBorders>
              <w:top w:val="single" w:sz="2" w:space="0" w:color="000000"/>
              <w:left w:val="single" w:sz="2" w:space="0" w:color="000000"/>
              <w:bottom w:val="single" w:sz="2" w:space="0" w:color="000000"/>
              <w:right w:val="single" w:sz="2" w:space="0" w:color="000000"/>
            </w:tcBorders>
            <w:vAlign w:val="bottom"/>
          </w:tcPr>
          <w:p w14:paraId="541F0B42"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34 518</w:t>
            </w:r>
          </w:p>
        </w:tc>
      </w:tr>
      <w:tr w:rsidR="00F442EA" w14:paraId="0997DCFF" w14:textId="77777777" w:rsidTr="00261D3D">
        <w:trPr>
          <w:trHeight w:val="273"/>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7FDE8561" w14:textId="77777777" w:rsidR="00F442EA" w:rsidRDefault="00F442EA" w:rsidP="00F442EA">
            <w:pPr>
              <w:spacing w:line="259" w:lineRule="auto"/>
            </w:pPr>
            <w:r>
              <w:rPr>
                <w:sz w:val="18"/>
              </w:rPr>
              <w:t xml:space="preserve">UTCF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6AFC756" w14:textId="15B590FE" w:rsidR="00F442EA" w:rsidRPr="00637624" w:rsidRDefault="00F442EA" w:rsidP="00F442EA">
            <w:pPr>
              <w:spacing w:line="259" w:lineRule="auto"/>
              <w:ind w:left="19"/>
              <w:jc w:val="center"/>
              <w:rPr>
                <w:sz w:val="18"/>
                <w:szCs w:val="18"/>
              </w:rPr>
            </w:pPr>
            <w:r w:rsidRPr="00944589">
              <w:rPr>
                <w:rFonts w:asciiTheme="majorHAnsi" w:hAnsiTheme="majorHAnsi"/>
                <w:sz w:val="16"/>
                <w:szCs w:val="16"/>
              </w:rPr>
              <w:t>933</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07EF3B3" w14:textId="71881E50"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3670</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158027A" w14:textId="0DFFCC31"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1693</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863E441" w14:textId="29492149"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1189</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385499" w14:textId="758EAACF" w:rsidR="00F442EA" w:rsidRPr="00637624" w:rsidRDefault="00F442EA" w:rsidP="00F442EA">
            <w:pPr>
              <w:spacing w:line="259" w:lineRule="auto"/>
              <w:ind w:left="106"/>
              <w:rPr>
                <w:rFonts w:ascii="Calibri" w:hAnsi="Calibri" w:cs="Calibri"/>
                <w:b/>
                <w:bCs/>
                <w:color w:val="000000"/>
                <w:sz w:val="18"/>
                <w:szCs w:val="18"/>
              </w:rPr>
            </w:pPr>
            <w:r w:rsidRPr="00634E4C">
              <w:rPr>
                <w:rFonts w:asciiTheme="majorHAnsi" w:hAnsiTheme="majorHAnsi"/>
                <w:sz w:val="16"/>
              </w:rPr>
              <w:t>1130</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125A41" w14:textId="7D3BB75D"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1078</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A1D6660" w14:textId="76F667D6"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1138</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4ED46F8"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1 128</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DC8669E"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1 127</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C15A306"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1 127</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51BFF1D"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1 127</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E16BE86"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1 127</w:t>
            </w:r>
          </w:p>
        </w:tc>
      </w:tr>
      <w:tr w:rsidR="00F442EA" w14:paraId="0B8EABFB" w14:textId="77777777" w:rsidTr="00261D3D">
        <w:trPr>
          <w:trHeight w:val="277"/>
        </w:trPr>
        <w:tc>
          <w:tcPr>
            <w:tcW w:w="1121" w:type="dxa"/>
            <w:tcBorders>
              <w:top w:val="single" w:sz="2" w:space="0" w:color="000000"/>
              <w:left w:val="single" w:sz="2" w:space="0" w:color="000000"/>
              <w:bottom w:val="single" w:sz="2" w:space="0" w:color="000000"/>
              <w:right w:val="single" w:sz="2" w:space="0" w:color="000000"/>
            </w:tcBorders>
          </w:tcPr>
          <w:p w14:paraId="2205CC99" w14:textId="77777777" w:rsidR="00F442EA" w:rsidRDefault="00F442EA" w:rsidP="00F442EA">
            <w:pPr>
              <w:spacing w:line="259" w:lineRule="auto"/>
            </w:pPr>
            <w:r>
              <w:rPr>
                <w:sz w:val="18"/>
              </w:rPr>
              <w:t xml:space="preserve">Déchets </w:t>
            </w:r>
          </w:p>
        </w:tc>
        <w:tc>
          <w:tcPr>
            <w:tcW w:w="851" w:type="dxa"/>
            <w:tcBorders>
              <w:top w:val="single" w:sz="2" w:space="0" w:color="000000"/>
              <w:left w:val="single" w:sz="2" w:space="0" w:color="000000"/>
              <w:bottom w:val="single" w:sz="2" w:space="0" w:color="000000"/>
              <w:right w:val="single" w:sz="2" w:space="0" w:color="000000"/>
            </w:tcBorders>
            <w:vAlign w:val="bottom"/>
          </w:tcPr>
          <w:p w14:paraId="5386D8A1" w14:textId="65FA8316" w:rsidR="00F442EA" w:rsidRPr="00637624" w:rsidRDefault="00F442EA" w:rsidP="00F442EA">
            <w:pPr>
              <w:spacing w:line="259" w:lineRule="auto"/>
              <w:ind w:left="106"/>
              <w:rPr>
                <w:sz w:val="18"/>
                <w:szCs w:val="18"/>
              </w:rPr>
            </w:pPr>
            <w:r w:rsidRPr="00944589">
              <w:rPr>
                <w:rFonts w:asciiTheme="majorHAnsi" w:hAnsiTheme="majorHAnsi"/>
                <w:sz w:val="16"/>
                <w:szCs w:val="16"/>
              </w:rPr>
              <w:t>14318</w:t>
            </w:r>
          </w:p>
        </w:tc>
        <w:tc>
          <w:tcPr>
            <w:tcW w:w="709" w:type="dxa"/>
            <w:tcBorders>
              <w:top w:val="single" w:sz="2" w:space="0" w:color="000000"/>
              <w:left w:val="single" w:sz="2" w:space="0" w:color="000000"/>
              <w:bottom w:val="single" w:sz="2" w:space="0" w:color="000000"/>
              <w:right w:val="single" w:sz="2" w:space="0" w:color="000000"/>
            </w:tcBorders>
            <w:vAlign w:val="bottom"/>
          </w:tcPr>
          <w:p w14:paraId="77318A87" w14:textId="5683D70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17099</w:t>
            </w:r>
          </w:p>
        </w:tc>
        <w:tc>
          <w:tcPr>
            <w:tcW w:w="708" w:type="dxa"/>
            <w:tcBorders>
              <w:top w:val="single" w:sz="2" w:space="0" w:color="000000"/>
              <w:left w:val="single" w:sz="2" w:space="0" w:color="000000"/>
              <w:bottom w:val="single" w:sz="2" w:space="0" w:color="000000"/>
              <w:right w:val="single" w:sz="2" w:space="0" w:color="000000"/>
            </w:tcBorders>
            <w:vAlign w:val="bottom"/>
          </w:tcPr>
          <w:p w14:paraId="429C486A" w14:textId="1ADE1BCA" w:rsidR="00F442EA" w:rsidRPr="00637624" w:rsidRDefault="00F442EA" w:rsidP="00F442EA">
            <w:pPr>
              <w:spacing w:line="259" w:lineRule="auto"/>
              <w:ind w:left="106"/>
              <w:rPr>
                <w:rFonts w:ascii="Calibri" w:hAnsi="Calibri" w:cs="Calibri"/>
                <w:b/>
                <w:bCs/>
                <w:color w:val="000000"/>
                <w:sz w:val="18"/>
                <w:szCs w:val="18"/>
              </w:rPr>
            </w:pPr>
            <w:r w:rsidRPr="00634E4C">
              <w:rPr>
                <w:rFonts w:asciiTheme="majorHAnsi" w:hAnsiTheme="majorHAnsi"/>
                <w:sz w:val="16"/>
              </w:rPr>
              <w:t>18602</w:t>
            </w:r>
          </w:p>
        </w:tc>
        <w:tc>
          <w:tcPr>
            <w:tcW w:w="851" w:type="dxa"/>
            <w:tcBorders>
              <w:top w:val="single" w:sz="2" w:space="0" w:color="000000"/>
              <w:left w:val="single" w:sz="2" w:space="0" w:color="000000"/>
              <w:bottom w:val="single" w:sz="2" w:space="0" w:color="000000"/>
              <w:right w:val="single" w:sz="2" w:space="0" w:color="000000"/>
            </w:tcBorders>
            <w:vAlign w:val="bottom"/>
          </w:tcPr>
          <w:p w14:paraId="0092EF97" w14:textId="55DCD6D8"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19129</w:t>
            </w:r>
          </w:p>
        </w:tc>
        <w:tc>
          <w:tcPr>
            <w:tcW w:w="850" w:type="dxa"/>
            <w:tcBorders>
              <w:top w:val="single" w:sz="2" w:space="0" w:color="000000"/>
              <w:left w:val="single" w:sz="2" w:space="0" w:color="000000"/>
              <w:bottom w:val="single" w:sz="2" w:space="0" w:color="000000"/>
              <w:right w:val="single" w:sz="2" w:space="0" w:color="000000"/>
            </w:tcBorders>
            <w:vAlign w:val="bottom"/>
          </w:tcPr>
          <w:p w14:paraId="1FFE289B" w14:textId="142AFABB"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18487</w:t>
            </w:r>
          </w:p>
        </w:tc>
        <w:tc>
          <w:tcPr>
            <w:tcW w:w="851" w:type="dxa"/>
            <w:tcBorders>
              <w:top w:val="single" w:sz="2" w:space="0" w:color="000000"/>
              <w:left w:val="single" w:sz="2" w:space="0" w:color="000000"/>
              <w:bottom w:val="single" w:sz="2" w:space="0" w:color="000000"/>
              <w:right w:val="single" w:sz="2" w:space="0" w:color="000000"/>
            </w:tcBorders>
            <w:vAlign w:val="bottom"/>
          </w:tcPr>
          <w:p w14:paraId="7468975A" w14:textId="4FE19EBD"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15753</w:t>
            </w:r>
          </w:p>
        </w:tc>
        <w:tc>
          <w:tcPr>
            <w:tcW w:w="709" w:type="dxa"/>
            <w:tcBorders>
              <w:top w:val="single" w:sz="2" w:space="0" w:color="000000"/>
              <w:left w:val="single" w:sz="2" w:space="0" w:color="000000"/>
              <w:bottom w:val="single" w:sz="2" w:space="0" w:color="000000"/>
              <w:right w:val="single" w:sz="2" w:space="0" w:color="000000"/>
            </w:tcBorders>
            <w:vAlign w:val="bottom"/>
          </w:tcPr>
          <w:p w14:paraId="6B834341" w14:textId="1D93AB74"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15830</w:t>
            </w:r>
          </w:p>
        </w:tc>
        <w:tc>
          <w:tcPr>
            <w:tcW w:w="708" w:type="dxa"/>
            <w:tcBorders>
              <w:top w:val="single" w:sz="2" w:space="0" w:color="000000"/>
              <w:left w:val="single" w:sz="2" w:space="0" w:color="000000"/>
              <w:bottom w:val="single" w:sz="2" w:space="0" w:color="000000"/>
              <w:right w:val="single" w:sz="2" w:space="0" w:color="000000"/>
            </w:tcBorders>
            <w:vAlign w:val="bottom"/>
          </w:tcPr>
          <w:p w14:paraId="25B7F7E5"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15 594</w:t>
            </w:r>
          </w:p>
        </w:tc>
        <w:tc>
          <w:tcPr>
            <w:tcW w:w="709" w:type="dxa"/>
            <w:tcBorders>
              <w:top w:val="single" w:sz="2" w:space="0" w:color="000000"/>
              <w:left w:val="single" w:sz="2" w:space="0" w:color="000000"/>
              <w:bottom w:val="single" w:sz="2" w:space="0" w:color="000000"/>
              <w:right w:val="single" w:sz="2" w:space="0" w:color="000000"/>
            </w:tcBorders>
            <w:vAlign w:val="bottom"/>
          </w:tcPr>
          <w:p w14:paraId="1DADD998"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14 700</w:t>
            </w:r>
          </w:p>
        </w:tc>
        <w:tc>
          <w:tcPr>
            <w:tcW w:w="709" w:type="dxa"/>
            <w:tcBorders>
              <w:top w:val="single" w:sz="2" w:space="0" w:color="000000"/>
              <w:left w:val="single" w:sz="2" w:space="0" w:color="000000"/>
              <w:bottom w:val="single" w:sz="2" w:space="0" w:color="000000"/>
              <w:right w:val="single" w:sz="2" w:space="0" w:color="000000"/>
            </w:tcBorders>
            <w:vAlign w:val="bottom"/>
          </w:tcPr>
          <w:p w14:paraId="3181680C" w14:textId="77777777" w:rsidR="00F442EA" w:rsidRPr="00637624" w:rsidRDefault="00F442EA" w:rsidP="00F442EA">
            <w:pPr>
              <w:spacing w:line="259" w:lineRule="auto"/>
              <w:ind w:left="106"/>
              <w:jc w:val="center"/>
              <w:rPr>
                <w:rFonts w:ascii="Calibri" w:hAnsi="Calibri" w:cs="Calibri"/>
                <w:b/>
                <w:bCs/>
                <w:color w:val="000000"/>
                <w:sz w:val="18"/>
                <w:szCs w:val="18"/>
              </w:rPr>
            </w:pPr>
            <w:r w:rsidRPr="00637624">
              <w:rPr>
                <w:rFonts w:ascii="Calibri" w:hAnsi="Calibri" w:cs="Calibri"/>
                <w:b/>
                <w:bCs/>
                <w:color w:val="000000"/>
                <w:sz w:val="18"/>
                <w:szCs w:val="18"/>
              </w:rPr>
              <w:t>14 232</w:t>
            </w:r>
          </w:p>
        </w:tc>
        <w:tc>
          <w:tcPr>
            <w:tcW w:w="709" w:type="dxa"/>
            <w:tcBorders>
              <w:top w:val="single" w:sz="2" w:space="0" w:color="000000"/>
              <w:left w:val="single" w:sz="2" w:space="0" w:color="000000"/>
              <w:bottom w:val="single" w:sz="2" w:space="0" w:color="000000"/>
              <w:right w:val="single" w:sz="2" w:space="0" w:color="000000"/>
            </w:tcBorders>
            <w:vAlign w:val="bottom"/>
          </w:tcPr>
          <w:p w14:paraId="4C81674E" w14:textId="77777777" w:rsidR="00F442EA" w:rsidRPr="00637624" w:rsidRDefault="00F442EA" w:rsidP="00F442EA">
            <w:pPr>
              <w:spacing w:line="259" w:lineRule="auto"/>
              <w:ind w:left="106"/>
              <w:jc w:val="center"/>
              <w:rPr>
                <w:rFonts w:ascii="Calibri" w:hAnsi="Calibri" w:cs="Calibri"/>
                <w:b/>
                <w:bCs/>
                <w:color w:val="000000"/>
                <w:sz w:val="18"/>
                <w:szCs w:val="18"/>
              </w:rPr>
            </w:pPr>
            <w:r w:rsidRPr="00637624">
              <w:rPr>
                <w:rFonts w:ascii="Calibri" w:hAnsi="Calibri" w:cs="Calibri"/>
                <w:b/>
                <w:bCs/>
                <w:color w:val="000000"/>
                <w:sz w:val="18"/>
                <w:szCs w:val="18"/>
              </w:rPr>
              <w:t>14 146</w:t>
            </w:r>
          </w:p>
        </w:tc>
        <w:tc>
          <w:tcPr>
            <w:tcW w:w="708" w:type="dxa"/>
            <w:tcBorders>
              <w:top w:val="single" w:sz="2" w:space="0" w:color="000000"/>
              <w:left w:val="single" w:sz="2" w:space="0" w:color="000000"/>
              <w:bottom w:val="single" w:sz="2" w:space="0" w:color="000000"/>
              <w:right w:val="single" w:sz="2" w:space="0" w:color="000000"/>
            </w:tcBorders>
            <w:vAlign w:val="bottom"/>
          </w:tcPr>
          <w:p w14:paraId="1B64F81A" w14:textId="77777777" w:rsidR="00F442EA" w:rsidRPr="00637624" w:rsidRDefault="00F442EA" w:rsidP="00F442EA">
            <w:pPr>
              <w:spacing w:line="259" w:lineRule="auto"/>
              <w:ind w:left="106"/>
              <w:jc w:val="center"/>
              <w:rPr>
                <w:rFonts w:ascii="Calibri" w:hAnsi="Calibri" w:cs="Calibri"/>
                <w:b/>
                <w:bCs/>
                <w:color w:val="000000"/>
                <w:sz w:val="18"/>
                <w:szCs w:val="18"/>
              </w:rPr>
            </w:pPr>
            <w:r w:rsidRPr="00637624">
              <w:rPr>
                <w:rFonts w:ascii="Calibri" w:hAnsi="Calibri" w:cs="Calibri"/>
                <w:b/>
                <w:bCs/>
                <w:color w:val="000000"/>
                <w:sz w:val="18"/>
                <w:szCs w:val="18"/>
              </w:rPr>
              <w:t>14 260</w:t>
            </w:r>
          </w:p>
        </w:tc>
      </w:tr>
      <w:tr w:rsidR="00F442EA" w14:paraId="2F641533" w14:textId="77777777" w:rsidTr="00261D3D">
        <w:trPr>
          <w:trHeight w:val="275"/>
        </w:trPr>
        <w:tc>
          <w:tcPr>
            <w:tcW w:w="1121" w:type="dxa"/>
            <w:tcBorders>
              <w:top w:val="single" w:sz="2" w:space="0" w:color="000000"/>
              <w:left w:val="single" w:sz="2" w:space="0" w:color="000000"/>
              <w:bottom w:val="single" w:sz="2" w:space="0" w:color="000000"/>
              <w:right w:val="single" w:sz="2" w:space="0" w:color="000000"/>
            </w:tcBorders>
            <w:shd w:val="clear" w:color="auto" w:fill="ECE6E2"/>
          </w:tcPr>
          <w:p w14:paraId="7B6867F0" w14:textId="77777777" w:rsidR="00F442EA" w:rsidRDefault="00F442EA" w:rsidP="00F442EA">
            <w:pPr>
              <w:spacing w:line="259" w:lineRule="auto"/>
            </w:pPr>
            <w:r>
              <w:rPr>
                <w:b/>
                <w:sz w:val="18"/>
              </w:rPr>
              <w:t xml:space="preserve">Ensemble (hors UTCF)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F686562" w14:textId="45253F1B" w:rsidR="00F442EA" w:rsidRPr="00637624" w:rsidRDefault="00F442EA" w:rsidP="00F442EA">
            <w:pPr>
              <w:spacing w:line="259" w:lineRule="auto"/>
              <w:ind w:left="106"/>
              <w:rPr>
                <w:sz w:val="18"/>
                <w:szCs w:val="18"/>
              </w:rPr>
            </w:pPr>
            <w:r w:rsidRPr="00944589">
              <w:rPr>
                <w:rFonts w:asciiTheme="majorHAnsi" w:hAnsiTheme="majorHAnsi"/>
                <w:sz w:val="16"/>
                <w:szCs w:val="16"/>
              </w:rPr>
              <w:t>69161</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30662E8" w14:textId="40F2D0F7"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70383</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0D0CF5" w14:textId="3E476B9F"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68603</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B7196D" w14:textId="54F88F13"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63632</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D573F57" w14:textId="5E959D59"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61663</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725D727" w14:textId="2CC24A2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57862</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1BBD866" w14:textId="34A4A14D"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55740</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E6983BD"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55 161</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0EFDCD3"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53 575</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CF76B88"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52 448</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AE53B49"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51 719</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7205B86"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51 050</w:t>
            </w:r>
          </w:p>
        </w:tc>
      </w:tr>
      <w:tr w:rsidR="00F442EA" w14:paraId="15419E19" w14:textId="77777777" w:rsidTr="00261D3D">
        <w:trPr>
          <w:trHeight w:val="276"/>
        </w:trPr>
        <w:tc>
          <w:tcPr>
            <w:tcW w:w="1121" w:type="dxa"/>
            <w:tcBorders>
              <w:top w:val="single" w:sz="2" w:space="0" w:color="000000"/>
              <w:left w:val="single" w:sz="2" w:space="0" w:color="000000"/>
              <w:bottom w:val="single" w:sz="2" w:space="0" w:color="000000"/>
              <w:right w:val="single" w:sz="2" w:space="0" w:color="000000"/>
            </w:tcBorders>
          </w:tcPr>
          <w:p w14:paraId="2D8E0033" w14:textId="77777777" w:rsidR="00F442EA" w:rsidRDefault="00F442EA" w:rsidP="00F442EA">
            <w:pPr>
              <w:spacing w:line="259" w:lineRule="auto"/>
            </w:pPr>
            <w:r>
              <w:rPr>
                <w:b/>
                <w:sz w:val="18"/>
              </w:rPr>
              <w:t xml:space="preserve">Ensemble (avec UTCF) </w:t>
            </w:r>
          </w:p>
        </w:tc>
        <w:tc>
          <w:tcPr>
            <w:tcW w:w="851" w:type="dxa"/>
            <w:tcBorders>
              <w:top w:val="single" w:sz="2" w:space="0" w:color="000000"/>
              <w:left w:val="single" w:sz="2" w:space="0" w:color="000000"/>
              <w:bottom w:val="single" w:sz="2" w:space="0" w:color="000000"/>
              <w:right w:val="single" w:sz="2" w:space="0" w:color="000000"/>
            </w:tcBorders>
            <w:vAlign w:val="bottom"/>
          </w:tcPr>
          <w:p w14:paraId="3BAA609F" w14:textId="2ACCD19A" w:rsidR="00F442EA" w:rsidRPr="00637624" w:rsidRDefault="00F442EA" w:rsidP="00F442EA">
            <w:pPr>
              <w:spacing w:line="259" w:lineRule="auto"/>
              <w:ind w:left="106"/>
              <w:rPr>
                <w:sz w:val="18"/>
                <w:szCs w:val="18"/>
              </w:rPr>
            </w:pPr>
            <w:r w:rsidRPr="00944589">
              <w:rPr>
                <w:rFonts w:asciiTheme="majorHAnsi" w:hAnsiTheme="majorHAnsi"/>
                <w:sz w:val="16"/>
                <w:szCs w:val="16"/>
              </w:rPr>
              <w:t>70094</w:t>
            </w:r>
          </w:p>
        </w:tc>
        <w:tc>
          <w:tcPr>
            <w:tcW w:w="709" w:type="dxa"/>
            <w:tcBorders>
              <w:top w:val="single" w:sz="2" w:space="0" w:color="000000"/>
              <w:left w:val="single" w:sz="2" w:space="0" w:color="000000"/>
              <w:bottom w:val="single" w:sz="2" w:space="0" w:color="000000"/>
              <w:right w:val="single" w:sz="2" w:space="0" w:color="000000"/>
            </w:tcBorders>
            <w:vAlign w:val="bottom"/>
          </w:tcPr>
          <w:p w14:paraId="1249812A" w14:textId="0E91D77E"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74053</w:t>
            </w:r>
          </w:p>
        </w:tc>
        <w:tc>
          <w:tcPr>
            <w:tcW w:w="708" w:type="dxa"/>
            <w:tcBorders>
              <w:top w:val="single" w:sz="2" w:space="0" w:color="000000"/>
              <w:left w:val="single" w:sz="2" w:space="0" w:color="000000"/>
              <w:bottom w:val="single" w:sz="2" w:space="0" w:color="000000"/>
              <w:right w:val="single" w:sz="2" w:space="0" w:color="000000"/>
            </w:tcBorders>
            <w:vAlign w:val="bottom"/>
          </w:tcPr>
          <w:p w14:paraId="28ECF416" w14:textId="0C04A863"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70296</w:t>
            </w:r>
          </w:p>
        </w:tc>
        <w:tc>
          <w:tcPr>
            <w:tcW w:w="851" w:type="dxa"/>
            <w:tcBorders>
              <w:top w:val="single" w:sz="2" w:space="0" w:color="000000"/>
              <w:left w:val="single" w:sz="2" w:space="0" w:color="000000"/>
              <w:bottom w:val="single" w:sz="2" w:space="0" w:color="000000"/>
              <w:right w:val="single" w:sz="2" w:space="0" w:color="000000"/>
            </w:tcBorders>
            <w:vAlign w:val="bottom"/>
          </w:tcPr>
          <w:p w14:paraId="255CC2F1" w14:textId="29BC8681"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64820</w:t>
            </w:r>
          </w:p>
        </w:tc>
        <w:tc>
          <w:tcPr>
            <w:tcW w:w="850" w:type="dxa"/>
            <w:tcBorders>
              <w:top w:val="single" w:sz="2" w:space="0" w:color="000000"/>
              <w:left w:val="single" w:sz="2" w:space="0" w:color="000000"/>
              <w:bottom w:val="single" w:sz="2" w:space="0" w:color="000000"/>
              <w:right w:val="single" w:sz="2" w:space="0" w:color="000000"/>
            </w:tcBorders>
            <w:vAlign w:val="bottom"/>
          </w:tcPr>
          <w:p w14:paraId="72AF4DF2" w14:textId="4080C09B"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62793</w:t>
            </w:r>
          </w:p>
        </w:tc>
        <w:tc>
          <w:tcPr>
            <w:tcW w:w="851" w:type="dxa"/>
            <w:tcBorders>
              <w:top w:val="single" w:sz="2" w:space="0" w:color="000000"/>
              <w:left w:val="single" w:sz="2" w:space="0" w:color="000000"/>
              <w:bottom w:val="single" w:sz="2" w:space="0" w:color="000000"/>
              <w:right w:val="single" w:sz="2" w:space="0" w:color="000000"/>
            </w:tcBorders>
            <w:vAlign w:val="bottom"/>
          </w:tcPr>
          <w:p w14:paraId="4A4E382C" w14:textId="2669C790"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58940</w:t>
            </w:r>
          </w:p>
        </w:tc>
        <w:tc>
          <w:tcPr>
            <w:tcW w:w="709" w:type="dxa"/>
            <w:tcBorders>
              <w:top w:val="single" w:sz="2" w:space="0" w:color="000000"/>
              <w:left w:val="single" w:sz="2" w:space="0" w:color="000000"/>
              <w:bottom w:val="single" w:sz="2" w:space="0" w:color="000000"/>
              <w:right w:val="single" w:sz="2" w:space="0" w:color="000000"/>
            </w:tcBorders>
            <w:vAlign w:val="bottom"/>
          </w:tcPr>
          <w:p w14:paraId="35CDC22F" w14:textId="43199D34" w:rsidR="00F442EA" w:rsidRPr="00637624" w:rsidRDefault="00F442EA" w:rsidP="00F442EA">
            <w:pPr>
              <w:spacing w:line="259" w:lineRule="auto"/>
              <w:ind w:left="106"/>
              <w:rPr>
                <w:rFonts w:ascii="Calibri" w:hAnsi="Calibri" w:cs="Calibri"/>
                <w:b/>
                <w:bCs/>
                <w:color w:val="000000"/>
                <w:sz w:val="18"/>
                <w:szCs w:val="18"/>
              </w:rPr>
            </w:pPr>
            <w:r w:rsidRPr="00944589">
              <w:rPr>
                <w:rFonts w:asciiTheme="majorHAnsi" w:hAnsiTheme="majorHAnsi"/>
                <w:sz w:val="16"/>
                <w:szCs w:val="16"/>
              </w:rPr>
              <w:t>56877</w:t>
            </w:r>
          </w:p>
        </w:tc>
        <w:tc>
          <w:tcPr>
            <w:tcW w:w="708" w:type="dxa"/>
            <w:tcBorders>
              <w:top w:val="single" w:sz="2" w:space="0" w:color="000000"/>
              <w:left w:val="single" w:sz="2" w:space="0" w:color="000000"/>
              <w:bottom w:val="single" w:sz="2" w:space="0" w:color="000000"/>
              <w:right w:val="single" w:sz="2" w:space="0" w:color="000000"/>
            </w:tcBorders>
            <w:vAlign w:val="bottom"/>
          </w:tcPr>
          <w:p w14:paraId="319F4284"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56 289</w:t>
            </w:r>
          </w:p>
        </w:tc>
        <w:tc>
          <w:tcPr>
            <w:tcW w:w="709" w:type="dxa"/>
            <w:tcBorders>
              <w:top w:val="single" w:sz="2" w:space="0" w:color="000000"/>
              <w:left w:val="single" w:sz="2" w:space="0" w:color="000000"/>
              <w:bottom w:val="single" w:sz="2" w:space="0" w:color="000000"/>
              <w:right w:val="single" w:sz="2" w:space="0" w:color="000000"/>
            </w:tcBorders>
            <w:vAlign w:val="bottom"/>
          </w:tcPr>
          <w:p w14:paraId="45C799B2"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54 702</w:t>
            </w:r>
          </w:p>
        </w:tc>
        <w:tc>
          <w:tcPr>
            <w:tcW w:w="709" w:type="dxa"/>
            <w:tcBorders>
              <w:top w:val="single" w:sz="2" w:space="0" w:color="000000"/>
              <w:left w:val="single" w:sz="2" w:space="0" w:color="000000"/>
              <w:bottom w:val="single" w:sz="2" w:space="0" w:color="000000"/>
              <w:right w:val="single" w:sz="2" w:space="0" w:color="000000"/>
            </w:tcBorders>
            <w:vAlign w:val="bottom"/>
          </w:tcPr>
          <w:p w14:paraId="1560100B"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53 575</w:t>
            </w:r>
          </w:p>
        </w:tc>
        <w:tc>
          <w:tcPr>
            <w:tcW w:w="709" w:type="dxa"/>
            <w:tcBorders>
              <w:top w:val="single" w:sz="2" w:space="0" w:color="000000"/>
              <w:left w:val="single" w:sz="2" w:space="0" w:color="000000"/>
              <w:bottom w:val="single" w:sz="2" w:space="0" w:color="000000"/>
              <w:right w:val="single" w:sz="2" w:space="0" w:color="000000"/>
            </w:tcBorders>
            <w:vAlign w:val="bottom"/>
          </w:tcPr>
          <w:p w14:paraId="21542953"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52 846</w:t>
            </w:r>
          </w:p>
        </w:tc>
        <w:tc>
          <w:tcPr>
            <w:tcW w:w="708" w:type="dxa"/>
            <w:tcBorders>
              <w:top w:val="single" w:sz="2" w:space="0" w:color="000000"/>
              <w:left w:val="single" w:sz="2" w:space="0" w:color="000000"/>
              <w:bottom w:val="single" w:sz="2" w:space="0" w:color="000000"/>
              <w:right w:val="single" w:sz="2" w:space="0" w:color="000000"/>
            </w:tcBorders>
            <w:vAlign w:val="bottom"/>
          </w:tcPr>
          <w:p w14:paraId="34C218E3" w14:textId="77777777" w:rsidR="00F442EA" w:rsidRPr="00637624" w:rsidRDefault="00F442EA" w:rsidP="00F442EA">
            <w:pPr>
              <w:spacing w:line="259" w:lineRule="auto"/>
              <w:ind w:left="106"/>
              <w:rPr>
                <w:rFonts w:ascii="Calibri" w:hAnsi="Calibri" w:cs="Calibri"/>
                <w:b/>
                <w:bCs/>
                <w:color w:val="000000"/>
                <w:sz w:val="18"/>
                <w:szCs w:val="18"/>
              </w:rPr>
            </w:pPr>
            <w:r w:rsidRPr="00637624">
              <w:rPr>
                <w:rFonts w:ascii="Calibri" w:hAnsi="Calibri" w:cs="Calibri"/>
                <w:b/>
                <w:bCs/>
                <w:color w:val="000000"/>
                <w:sz w:val="18"/>
                <w:szCs w:val="18"/>
              </w:rPr>
              <w:t>52 177</w:t>
            </w:r>
          </w:p>
        </w:tc>
      </w:tr>
    </w:tbl>
    <w:p w14:paraId="7F911FB1" w14:textId="4619DBF6" w:rsidR="00CB5305" w:rsidRDefault="00CB5305" w:rsidP="00CB5305">
      <w:pPr>
        <w:pStyle w:val="Caption"/>
      </w:pPr>
      <w:bookmarkStart w:id="553" w:name="_Toc123916512"/>
      <w:r>
        <w:t xml:space="preserve">Tableau </w:t>
      </w:r>
      <w:fldSimple w:instr=" SEQ Tableau \* ARABIC ">
        <w:r w:rsidR="00AB51D9">
          <w:rPr>
            <w:noProof/>
          </w:rPr>
          <w:t>20</w:t>
        </w:r>
      </w:fldSimple>
      <w:r>
        <w:t xml:space="preserve"> </w:t>
      </w:r>
      <w:r w:rsidRPr="00F66E1F">
        <w:t xml:space="preserve">: Projections d’émissions de </w:t>
      </w:r>
      <w:r w:rsidR="007F09F7" w:rsidRPr="00141043">
        <w:t>CH</w:t>
      </w:r>
      <w:r w:rsidR="007F09F7" w:rsidRPr="004F1EC8">
        <w:rPr>
          <w:vertAlign w:val="subscript"/>
        </w:rPr>
        <w:t>4</w:t>
      </w:r>
      <w:r w:rsidR="00260E0B">
        <w:t xml:space="preserve"> </w:t>
      </w:r>
      <w:r w:rsidRPr="00F66E1F">
        <w:t xml:space="preserve">(en </w:t>
      </w:r>
      <w:r w:rsidRPr="00590551">
        <w:t>kt</w:t>
      </w:r>
      <w:r w:rsidR="007F09F7">
        <w:t>CO</w:t>
      </w:r>
      <w:r w:rsidR="007F09F7" w:rsidRPr="007F09F7">
        <w:rPr>
          <w:vertAlign w:val="subscript"/>
        </w:rPr>
        <w:t>2</w:t>
      </w:r>
      <w:r w:rsidRPr="00F66E1F">
        <w:rPr>
          <w:vertAlign w:val="subscript"/>
        </w:rPr>
        <w:t>e</w:t>
      </w:r>
      <w:r w:rsidRPr="00F66E1F">
        <w:t xml:space="preserve">) au périmètre Kyoto dans le scénario AME </w:t>
      </w:r>
      <w:r>
        <w:t xml:space="preserve">2021 </w:t>
      </w:r>
      <w:r w:rsidRPr="00F66E1F">
        <w:t>(avec mesures existantes)</w:t>
      </w:r>
      <w:bookmarkEnd w:id="553"/>
    </w:p>
    <w:p w14:paraId="69182ABE" w14:textId="12C5BE41" w:rsidR="00CB5305" w:rsidRPr="006E15FD" w:rsidRDefault="00CB5305" w:rsidP="00CB5305">
      <w:pPr>
        <w:pStyle w:val="Caption"/>
      </w:pPr>
      <w:r w:rsidRPr="006E15FD">
        <w:t>Source : Inventaire CCNUCC, Citepa/MTES, soumission 20</w:t>
      </w:r>
      <w:r>
        <w:t>2</w:t>
      </w:r>
      <w:r w:rsidR="00F442EA">
        <w:t>2</w:t>
      </w:r>
      <w:r w:rsidRPr="006E15FD">
        <w:t xml:space="preserve"> et projections d’émissions MTES, 20</w:t>
      </w:r>
      <w:r>
        <w:t>21</w:t>
      </w:r>
    </w:p>
    <w:p w14:paraId="5F2CB036" w14:textId="77777777" w:rsidR="00CB5305" w:rsidRDefault="00CB5305" w:rsidP="00CB5305"/>
    <w:p w14:paraId="5070E4C1" w14:textId="77777777" w:rsidR="00CB5305" w:rsidRDefault="00CB5305" w:rsidP="00CB5305"/>
    <w:tbl>
      <w:tblPr>
        <w:tblStyle w:val="TableGrid0"/>
        <w:tblW w:w="10477" w:type="dxa"/>
        <w:tblInd w:w="10" w:type="dxa"/>
        <w:tblLayout w:type="fixed"/>
        <w:tblCellMar>
          <w:top w:w="39" w:type="dxa"/>
          <w:left w:w="28" w:type="dxa"/>
          <w:bottom w:w="2" w:type="dxa"/>
        </w:tblCellMar>
        <w:tblLook w:val="04A0" w:firstRow="1" w:lastRow="0" w:firstColumn="1" w:lastColumn="0" w:noHBand="0" w:noVBand="1"/>
      </w:tblPr>
      <w:tblGrid>
        <w:gridCol w:w="1263"/>
        <w:gridCol w:w="851"/>
        <w:gridCol w:w="708"/>
        <w:gridCol w:w="851"/>
        <w:gridCol w:w="850"/>
        <w:gridCol w:w="851"/>
        <w:gridCol w:w="850"/>
        <w:gridCol w:w="851"/>
        <w:gridCol w:w="851"/>
        <w:gridCol w:w="708"/>
        <w:gridCol w:w="567"/>
        <w:gridCol w:w="567"/>
        <w:gridCol w:w="709"/>
      </w:tblGrid>
      <w:tr w:rsidR="00F442EA" w14:paraId="6B42C347" w14:textId="77777777" w:rsidTr="00261D3D">
        <w:trPr>
          <w:trHeight w:val="460"/>
        </w:trPr>
        <w:tc>
          <w:tcPr>
            <w:tcW w:w="126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604917D" w14:textId="5092AD30" w:rsidR="00CB5305" w:rsidRDefault="00CB5305" w:rsidP="00B052CA">
            <w:pPr>
              <w:spacing w:line="259" w:lineRule="auto"/>
            </w:pPr>
            <w:r>
              <w:t xml:space="preserve">AME 21 – </w:t>
            </w:r>
            <w:r w:rsidR="007F09F7" w:rsidRPr="00141043">
              <w:t>N</w:t>
            </w:r>
            <w:r w:rsidR="007F09F7" w:rsidRPr="004F1EC8">
              <w:rPr>
                <w:vertAlign w:val="subscript"/>
              </w:rPr>
              <w:t>2</w:t>
            </w:r>
            <w:r w:rsidR="007F09F7" w:rsidRPr="00141043">
              <w:t xml:space="preserve">O </w:t>
            </w:r>
          </w:p>
        </w:tc>
        <w:tc>
          <w:tcPr>
            <w:tcW w:w="85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84E25ED" w14:textId="77777777" w:rsidR="00CB5305" w:rsidRDefault="00CB5305" w:rsidP="00B052CA">
            <w:pPr>
              <w:spacing w:line="259" w:lineRule="auto"/>
              <w:ind w:right="30"/>
              <w:jc w:val="center"/>
            </w:pPr>
            <w:r>
              <w:rPr>
                <w:b/>
                <w:color w:val="FFFFFF"/>
                <w:sz w:val="18"/>
              </w:rPr>
              <w:t>1990</w:t>
            </w:r>
          </w:p>
        </w:tc>
        <w:tc>
          <w:tcPr>
            <w:tcW w:w="70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911D3CE" w14:textId="77777777" w:rsidR="00CB5305" w:rsidRDefault="00CB5305" w:rsidP="00B052CA">
            <w:pPr>
              <w:spacing w:line="259" w:lineRule="auto"/>
              <w:ind w:right="30"/>
              <w:jc w:val="center"/>
              <w:rPr>
                <w:b/>
                <w:color w:val="FFFFFF"/>
                <w:sz w:val="18"/>
              </w:rPr>
            </w:pPr>
            <w:r>
              <w:rPr>
                <w:b/>
                <w:color w:val="FFFFFF"/>
                <w:sz w:val="18"/>
              </w:rPr>
              <w:t>1995</w:t>
            </w:r>
          </w:p>
        </w:tc>
        <w:tc>
          <w:tcPr>
            <w:tcW w:w="85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BF77674" w14:textId="77777777" w:rsidR="00CB5305" w:rsidRPr="00637624" w:rsidRDefault="00CB5305" w:rsidP="00B052CA">
            <w:pPr>
              <w:spacing w:line="259" w:lineRule="auto"/>
              <w:ind w:right="30"/>
              <w:jc w:val="center"/>
              <w:rPr>
                <w:b/>
                <w:color w:val="FFFFFF"/>
                <w:sz w:val="18"/>
              </w:rPr>
            </w:pPr>
            <w:r>
              <w:rPr>
                <w:b/>
                <w:color w:val="FFFFFF"/>
                <w:sz w:val="18"/>
              </w:rPr>
              <w:t>2000</w:t>
            </w:r>
          </w:p>
        </w:tc>
        <w:tc>
          <w:tcPr>
            <w:tcW w:w="85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F881A48" w14:textId="77777777" w:rsidR="00CB5305" w:rsidRPr="00637624" w:rsidRDefault="00CB5305" w:rsidP="00B052CA">
            <w:pPr>
              <w:spacing w:line="259" w:lineRule="auto"/>
              <w:ind w:right="30"/>
              <w:jc w:val="center"/>
              <w:rPr>
                <w:b/>
                <w:color w:val="FFFFFF"/>
                <w:sz w:val="18"/>
              </w:rPr>
            </w:pPr>
            <w:r>
              <w:rPr>
                <w:b/>
                <w:color w:val="FFFFFF"/>
                <w:sz w:val="18"/>
              </w:rPr>
              <w:t>2005</w:t>
            </w:r>
          </w:p>
        </w:tc>
        <w:tc>
          <w:tcPr>
            <w:tcW w:w="85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3650357" w14:textId="77777777" w:rsidR="00CB5305" w:rsidRPr="00637624" w:rsidRDefault="00CB5305" w:rsidP="00B052CA">
            <w:pPr>
              <w:spacing w:line="259" w:lineRule="auto"/>
              <w:ind w:right="30"/>
              <w:jc w:val="center"/>
              <w:rPr>
                <w:b/>
                <w:color w:val="FFFFFF"/>
                <w:sz w:val="18"/>
              </w:rPr>
            </w:pPr>
            <w:r>
              <w:rPr>
                <w:b/>
                <w:color w:val="FFFFFF"/>
                <w:sz w:val="18"/>
              </w:rPr>
              <w:t>2010</w:t>
            </w:r>
          </w:p>
        </w:tc>
        <w:tc>
          <w:tcPr>
            <w:tcW w:w="85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53DE983" w14:textId="77777777" w:rsidR="00CB5305" w:rsidRPr="00637624" w:rsidRDefault="00CB5305" w:rsidP="00B052CA">
            <w:pPr>
              <w:spacing w:line="259" w:lineRule="auto"/>
              <w:ind w:right="30"/>
              <w:jc w:val="center"/>
              <w:rPr>
                <w:b/>
                <w:color w:val="FFFFFF"/>
                <w:sz w:val="18"/>
              </w:rPr>
            </w:pPr>
            <w:r>
              <w:rPr>
                <w:b/>
                <w:color w:val="FFFFFF"/>
                <w:sz w:val="18"/>
              </w:rPr>
              <w:t>2015</w:t>
            </w:r>
          </w:p>
        </w:tc>
        <w:tc>
          <w:tcPr>
            <w:tcW w:w="85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3341651" w14:textId="77777777" w:rsidR="00CB5305" w:rsidRDefault="00CB5305" w:rsidP="00B052CA">
            <w:pPr>
              <w:spacing w:line="259" w:lineRule="auto"/>
              <w:ind w:right="30"/>
              <w:jc w:val="center"/>
              <w:rPr>
                <w:b/>
                <w:color w:val="FFFFFF"/>
                <w:sz w:val="18"/>
              </w:rPr>
            </w:pPr>
            <w:r>
              <w:rPr>
                <w:b/>
                <w:color w:val="FFFFFF"/>
                <w:sz w:val="18"/>
              </w:rPr>
              <w:t>2019</w:t>
            </w:r>
          </w:p>
        </w:tc>
        <w:tc>
          <w:tcPr>
            <w:tcW w:w="85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048DF19" w14:textId="77777777" w:rsidR="00CB5305" w:rsidRPr="00637624" w:rsidRDefault="00CB5305" w:rsidP="00B052CA">
            <w:pPr>
              <w:spacing w:line="259" w:lineRule="auto"/>
              <w:ind w:right="30"/>
              <w:jc w:val="center"/>
              <w:rPr>
                <w:b/>
                <w:color w:val="FFFFFF"/>
                <w:sz w:val="18"/>
              </w:rPr>
            </w:pPr>
            <w:r>
              <w:rPr>
                <w:b/>
                <w:color w:val="FFFFFF"/>
                <w:sz w:val="18"/>
              </w:rPr>
              <w:t>2020</w:t>
            </w:r>
          </w:p>
        </w:tc>
        <w:tc>
          <w:tcPr>
            <w:tcW w:w="70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06A36202" w14:textId="77777777" w:rsidR="00CB5305" w:rsidRPr="00637624" w:rsidRDefault="00CB5305" w:rsidP="00B052CA">
            <w:pPr>
              <w:spacing w:line="259" w:lineRule="auto"/>
              <w:ind w:right="30"/>
              <w:jc w:val="center"/>
              <w:rPr>
                <w:b/>
                <w:color w:val="FFFFFF"/>
                <w:sz w:val="18"/>
              </w:rPr>
            </w:pPr>
            <w:r>
              <w:rPr>
                <w:b/>
                <w:color w:val="FFFFFF"/>
                <w:sz w:val="18"/>
              </w:rPr>
              <w:t>2025</w:t>
            </w:r>
          </w:p>
        </w:tc>
        <w:tc>
          <w:tcPr>
            <w:tcW w:w="56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4F3995F" w14:textId="77777777" w:rsidR="00CB5305" w:rsidRPr="00637624" w:rsidRDefault="00CB5305" w:rsidP="00B052CA">
            <w:pPr>
              <w:spacing w:line="259" w:lineRule="auto"/>
              <w:ind w:right="30"/>
              <w:jc w:val="center"/>
              <w:rPr>
                <w:b/>
                <w:color w:val="FFFFFF"/>
                <w:sz w:val="18"/>
              </w:rPr>
            </w:pPr>
            <w:r>
              <w:rPr>
                <w:b/>
                <w:color w:val="FFFFFF"/>
                <w:sz w:val="18"/>
              </w:rPr>
              <w:t>2030</w:t>
            </w:r>
          </w:p>
        </w:tc>
        <w:tc>
          <w:tcPr>
            <w:tcW w:w="567"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04FB95F" w14:textId="77777777" w:rsidR="00CB5305" w:rsidRPr="00637624" w:rsidRDefault="00CB5305" w:rsidP="00B052CA">
            <w:pPr>
              <w:spacing w:line="259" w:lineRule="auto"/>
              <w:ind w:right="30"/>
              <w:jc w:val="center"/>
              <w:rPr>
                <w:b/>
                <w:color w:val="FFFFFF"/>
                <w:sz w:val="18"/>
              </w:rPr>
            </w:pPr>
            <w:r>
              <w:rPr>
                <w:b/>
                <w:color w:val="FFFFFF"/>
                <w:sz w:val="18"/>
              </w:rPr>
              <w:t>2035</w:t>
            </w:r>
          </w:p>
        </w:tc>
        <w:tc>
          <w:tcPr>
            <w:tcW w:w="70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D875133" w14:textId="77777777" w:rsidR="00CB5305" w:rsidRDefault="00CB5305" w:rsidP="00B052CA">
            <w:pPr>
              <w:spacing w:line="259" w:lineRule="auto"/>
              <w:ind w:right="30"/>
              <w:jc w:val="center"/>
              <w:rPr>
                <w:b/>
                <w:color w:val="FFFFFF"/>
                <w:sz w:val="18"/>
              </w:rPr>
            </w:pPr>
            <w:r>
              <w:rPr>
                <w:b/>
                <w:color w:val="FFFFFF"/>
                <w:sz w:val="18"/>
              </w:rPr>
              <w:t>2050</w:t>
            </w:r>
          </w:p>
        </w:tc>
      </w:tr>
      <w:tr w:rsidR="00F442EA" w14:paraId="36168052" w14:textId="77777777" w:rsidTr="00261D3D">
        <w:trPr>
          <w:trHeight w:val="344"/>
        </w:trPr>
        <w:tc>
          <w:tcPr>
            <w:tcW w:w="1263" w:type="dxa"/>
            <w:tcBorders>
              <w:top w:val="single" w:sz="2" w:space="0" w:color="000000"/>
              <w:left w:val="single" w:sz="2" w:space="0" w:color="000000"/>
              <w:bottom w:val="single" w:sz="2" w:space="0" w:color="000000"/>
              <w:right w:val="single" w:sz="2" w:space="0" w:color="000000"/>
            </w:tcBorders>
          </w:tcPr>
          <w:p w14:paraId="7B4A6C02" w14:textId="77777777" w:rsidR="00F442EA" w:rsidRDefault="00F442EA" w:rsidP="00F442EA">
            <w:pPr>
              <w:spacing w:line="259" w:lineRule="auto"/>
            </w:pPr>
            <w:r>
              <w:rPr>
                <w:sz w:val="18"/>
              </w:rPr>
              <w:t xml:space="preserve">Energie </w:t>
            </w:r>
          </w:p>
        </w:tc>
        <w:tc>
          <w:tcPr>
            <w:tcW w:w="851" w:type="dxa"/>
            <w:tcBorders>
              <w:top w:val="single" w:sz="2" w:space="0" w:color="000000"/>
              <w:left w:val="single" w:sz="2" w:space="0" w:color="000000"/>
              <w:bottom w:val="single" w:sz="2" w:space="0" w:color="000000"/>
              <w:right w:val="single" w:sz="2" w:space="0" w:color="000000"/>
            </w:tcBorders>
            <w:vAlign w:val="center"/>
          </w:tcPr>
          <w:p w14:paraId="711E743F" w14:textId="47207AFC" w:rsidR="00F442EA" w:rsidRDefault="00F442EA" w:rsidP="00F442EA">
            <w:pPr>
              <w:spacing w:line="259" w:lineRule="auto"/>
              <w:ind w:right="28"/>
              <w:jc w:val="center"/>
            </w:pPr>
            <w:r w:rsidRPr="005D0955">
              <w:rPr>
                <w:rFonts w:asciiTheme="majorHAnsi" w:hAnsiTheme="majorHAnsi"/>
                <w:sz w:val="18"/>
                <w:szCs w:val="18"/>
              </w:rPr>
              <w:t>3433</w:t>
            </w:r>
          </w:p>
        </w:tc>
        <w:tc>
          <w:tcPr>
            <w:tcW w:w="708" w:type="dxa"/>
            <w:tcBorders>
              <w:top w:val="single" w:sz="2" w:space="0" w:color="000000"/>
              <w:left w:val="single" w:sz="2" w:space="0" w:color="000000"/>
              <w:bottom w:val="single" w:sz="2" w:space="0" w:color="000000"/>
              <w:right w:val="single" w:sz="2" w:space="0" w:color="000000"/>
            </w:tcBorders>
            <w:vAlign w:val="center"/>
          </w:tcPr>
          <w:p w14:paraId="385E87E7" w14:textId="441AF84D"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4046</w:t>
            </w:r>
          </w:p>
        </w:tc>
        <w:tc>
          <w:tcPr>
            <w:tcW w:w="851" w:type="dxa"/>
            <w:tcBorders>
              <w:top w:val="single" w:sz="2" w:space="0" w:color="000000"/>
              <w:left w:val="single" w:sz="2" w:space="0" w:color="000000"/>
              <w:bottom w:val="single" w:sz="2" w:space="0" w:color="000000"/>
              <w:right w:val="single" w:sz="2" w:space="0" w:color="000000"/>
            </w:tcBorders>
            <w:vAlign w:val="center"/>
          </w:tcPr>
          <w:p w14:paraId="1D907BDE" w14:textId="59B48B3F"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3900</w:t>
            </w:r>
          </w:p>
        </w:tc>
        <w:tc>
          <w:tcPr>
            <w:tcW w:w="850" w:type="dxa"/>
            <w:tcBorders>
              <w:top w:val="single" w:sz="2" w:space="0" w:color="000000"/>
              <w:left w:val="single" w:sz="2" w:space="0" w:color="000000"/>
              <w:bottom w:val="single" w:sz="2" w:space="0" w:color="000000"/>
              <w:right w:val="single" w:sz="2" w:space="0" w:color="000000"/>
            </w:tcBorders>
            <w:vAlign w:val="center"/>
          </w:tcPr>
          <w:p w14:paraId="4AECAA0C" w14:textId="7E4ED197"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4183</w:t>
            </w:r>
          </w:p>
        </w:tc>
        <w:tc>
          <w:tcPr>
            <w:tcW w:w="851" w:type="dxa"/>
            <w:tcBorders>
              <w:top w:val="single" w:sz="2" w:space="0" w:color="000000"/>
              <w:left w:val="single" w:sz="2" w:space="0" w:color="000000"/>
              <w:bottom w:val="single" w:sz="2" w:space="0" w:color="000000"/>
              <w:right w:val="single" w:sz="2" w:space="0" w:color="000000"/>
            </w:tcBorders>
            <w:vAlign w:val="center"/>
          </w:tcPr>
          <w:p w14:paraId="74446340" w14:textId="30CB88AA"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3638</w:t>
            </w:r>
          </w:p>
        </w:tc>
        <w:tc>
          <w:tcPr>
            <w:tcW w:w="850" w:type="dxa"/>
            <w:tcBorders>
              <w:top w:val="single" w:sz="2" w:space="0" w:color="000000"/>
              <w:left w:val="single" w:sz="2" w:space="0" w:color="000000"/>
              <w:bottom w:val="single" w:sz="2" w:space="0" w:color="000000"/>
              <w:right w:val="single" w:sz="2" w:space="0" w:color="000000"/>
            </w:tcBorders>
            <w:vAlign w:val="center"/>
          </w:tcPr>
          <w:p w14:paraId="7EA086BB" w14:textId="0B46B083"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3731</w:t>
            </w:r>
          </w:p>
        </w:tc>
        <w:tc>
          <w:tcPr>
            <w:tcW w:w="851" w:type="dxa"/>
            <w:tcBorders>
              <w:top w:val="single" w:sz="2" w:space="0" w:color="000000"/>
              <w:left w:val="single" w:sz="2" w:space="0" w:color="000000"/>
              <w:bottom w:val="single" w:sz="2" w:space="0" w:color="000000"/>
              <w:right w:val="single" w:sz="2" w:space="0" w:color="000000"/>
            </w:tcBorders>
            <w:vAlign w:val="center"/>
          </w:tcPr>
          <w:p w14:paraId="6F5DB721" w14:textId="31EE4165"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3537</w:t>
            </w:r>
          </w:p>
        </w:tc>
        <w:tc>
          <w:tcPr>
            <w:tcW w:w="851" w:type="dxa"/>
            <w:tcBorders>
              <w:top w:val="single" w:sz="2" w:space="0" w:color="000000"/>
              <w:left w:val="single" w:sz="2" w:space="0" w:color="000000"/>
              <w:bottom w:val="single" w:sz="2" w:space="0" w:color="000000"/>
              <w:right w:val="single" w:sz="2" w:space="0" w:color="000000"/>
            </w:tcBorders>
            <w:vAlign w:val="center"/>
          </w:tcPr>
          <w:p w14:paraId="79476F49"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3 072</w:t>
            </w:r>
          </w:p>
        </w:tc>
        <w:tc>
          <w:tcPr>
            <w:tcW w:w="708" w:type="dxa"/>
            <w:tcBorders>
              <w:top w:val="single" w:sz="2" w:space="0" w:color="000000"/>
              <w:left w:val="single" w:sz="2" w:space="0" w:color="000000"/>
              <w:bottom w:val="single" w:sz="2" w:space="0" w:color="000000"/>
              <w:right w:val="single" w:sz="2" w:space="0" w:color="000000"/>
            </w:tcBorders>
            <w:vAlign w:val="center"/>
          </w:tcPr>
          <w:p w14:paraId="44853EED"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2 933</w:t>
            </w:r>
          </w:p>
        </w:tc>
        <w:tc>
          <w:tcPr>
            <w:tcW w:w="567" w:type="dxa"/>
            <w:tcBorders>
              <w:top w:val="single" w:sz="2" w:space="0" w:color="000000"/>
              <w:left w:val="single" w:sz="2" w:space="0" w:color="000000"/>
              <w:bottom w:val="single" w:sz="2" w:space="0" w:color="000000"/>
              <w:right w:val="single" w:sz="2" w:space="0" w:color="000000"/>
            </w:tcBorders>
            <w:vAlign w:val="center"/>
          </w:tcPr>
          <w:p w14:paraId="46CBEA3B"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2 611</w:t>
            </w:r>
          </w:p>
        </w:tc>
        <w:tc>
          <w:tcPr>
            <w:tcW w:w="567" w:type="dxa"/>
            <w:tcBorders>
              <w:top w:val="single" w:sz="2" w:space="0" w:color="000000"/>
              <w:left w:val="single" w:sz="2" w:space="0" w:color="000000"/>
              <w:bottom w:val="single" w:sz="2" w:space="0" w:color="000000"/>
              <w:right w:val="single" w:sz="2" w:space="0" w:color="000000"/>
            </w:tcBorders>
            <w:vAlign w:val="center"/>
          </w:tcPr>
          <w:p w14:paraId="17E5B50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2 495</w:t>
            </w:r>
          </w:p>
        </w:tc>
        <w:tc>
          <w:tcPr>
            <w:tcW w:w="709" w:type="dxa"/>
            <w:tcBorders>
              <w:top w:val="single" w:sz="2" w:space="0" w:color="000000"/>
              <w:left w:val="single" w:sz="2" w:space="0" w:color="000000"/>
              <w:bottom w:val="single" w:sz="2" w:space="0" w:color="000000"/>
              <w:right w:val="single" w:sz="2" w:space="0" w:color="000000"/>
            </w:tcBorders>
            <w:vAlign w:val="center"/>
          </w:tcPr>
          <w:p w14:paraId="625D732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2 281</w:t>
            </w:r>
          </w:p>
        </w:tc>
      </w:tr>
      <w:tr w:rsidR="00F442EA" w14:paraId="199EF245" w14:textId="77777777" w:rsidTr="00261D3D">
        <w:trPr>
          <w:trHeight w:val="419"/>
        </w:trPr>
        <w:tc>
          <w:tcPr>
            <w:tcW w:w="1263" w:type="dxa"/>
            <w:tcBorders>
              <w:top w:val="single" w:sz="2" w:space="0" w:color="000000"/>
              <w:left w:val="single" w:sz="2" w:space="0" w:color="000000"/>
              <w:bottom w:val="single" w:sz="2" w:space="0" w:color="000000"/>
              <w:right w:val="single" w:sz="2" w:space="0" w:color="000000"/>
            </w:tcBorders>
            <w:shd w:val="clear" w:color="auto" w:fill="ECE6E2"/>
          </w:tcPr>
          <w:p w14:paraId="1845A0A2" w14:textId="77777777" w:rsidR="00F442EA" w:rsidRDefault="00F442EA" w:rsidP="00F442EA">
            <w:pPr>
              <w:spacing w:line="259" w:lineRule="auto"/>
            </w:pPr>
            <w:r>
              <w:rPr>
                <w:sz w:val="18"/>
              </w:rPr>
              <w:t xml:space="preserve">Procédés industriels, solvants et autres produits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302E55" w14:textId="1C4F9530" w:rsidR="00F442EA" w:rsidRDefault="00F442EA" w:rsidP="00F442EA">
            <w:pPr>
              <w:spacing w:line="259" w:lineRule="auto"/>
              <w:ind w:right="28"/>
              <w:jc w:val="center"/>
            </w:pPr>
            <w:r w:rsidRPr="005D0955">
              <w:rPr>
                <w:rFonts w:asciiTheme="majorHAnsi" w:hAnsiTheme="majorHAnsi"/>
                <w:sz w:val="18"/>
                <w:szCs w:val="18"/>
              </w:rPr>
              <w:t>23831</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6E57A8" w14:textId="341B0F94" w:rsidR="00F442EA" w:rsidRPr="00637624" w:rsidRDefault="00F442EA" w:rsidP="00F442EA">
            <w:pPr>
              <w:spacing w:line="259" w:lineRule="auto"/>
              <w:ind w:right="28"/>
              <w:jc w:val="center"/>
              <w:rPr>
                <w:rFonts w:ascii="Calibri" w:hAnsi="Calibri" w:cs="Calibri"/>
                <w:b/>
                <w:bCs/>
                <w:color w:val="000000"/>
                <w:sz w:val="20"/>
                <w:szCs w:val="20"/>
              </w:rPr>
            </w:pPr>
            <w:r w:rsidRPr="00634E4C">
              <w:rPr>
                <w:rFonts w:asciiTheme="majorHAnsi" w:hAnsiTheme="majorHAnsi"/>
                <w:sz w:val="18"/>
              </w:rPr>
              <w:t>25932</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25ADA3" w14:textId="0D318300" w:rsidR="00F442EA" w:rsidRPr="00637624" w:rsidRDefault="00F442EA" w:rsidP="00F442EA">
            <w:pPr>
              <w:spacing w:line="259" w:lineRule="auto"/>
              <w:ind w:right="28"/>
              <w:jc w:val="center"/>
              <w:rPr>
                <w:rFonts w:ascii="Calibri" w:hAnsi="Calibri" w:cs="Calibri"/>
                <w:b/>
                <w:bCs/>
                <w:color w:val="000000"/>
                <w:sz w:val="20"/>
                <w:szCs w:val="20"/>
              </w:rPr>
            </w:pPr>
            <w:r w:rsidRPr="00634E4C">
              <w:rPr>
                <w:rFonts w:asciiTheme="majorHAnsi" w:hAnsiTheme="majorHAnsi"/>
                <w:sz w:val="18"/>
              </w:rPr>
              <w:t>11924</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830561" w14:textId="3F7B4F7F" w:rsidR="00F442EA" w:rsidRPr="00637624" w:rsidRDefault="00F442EA" w:rsidP="00F442EA">
            <w:pPr>
              <w:spacing w:line="259" w:lineRule="auto"/>
              <w:ind w:right="28"/>
              <w:jc w:val="center"/>
              <w:rPr>
                <w:rFonts w:ascii="Calibri" w:hAnsi="Calibri" w:cs="Calibri"/>
                <w:b/>
                <w:bCs/>
                <w:color w:val="000000"/>
                <w:sz w:val="20"/>
                <w:szCs w:val="20"/>
              </w:rPr>
            </w:pPr>
            <w:r w:rsidRPr="00634E4C">
              <w:rPr>
                <w:rFonts w:asciiTheme="majorHAnsi" w:hAnsiTheme="majorHAnsi"/>
                <w:sz w:val="18"/>
              </w:rPr>
              <w:t>6760</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7238CC" w14:textId="78A59353" w:rsidR="00F442EA" w:rsidRPr="00637624" w:rsidRDefault="00F442EA" w:rsidP="00F442EA">
            <w:pPr>
              <w:spacing w:line="259" w:lineRule="auto"/>
              <w:ind w:right="28"/>
              <w:jc w:val="center"/>
              <w:rPr>
                <w:rFonts w:ascii="Calibri" w:hAnsi="Calibri" w:cs="Calibri"/>
                <w:b/>
                <w:bCs/>
                <w:color w:val="000000"/>
                <w:sz w:val="20"/>
                <w:szCs w:val="20"/>
              </w:rPr>
            </w:pPr>
            <w:r w:rsidRPr="00634E4C">
              <w:rPr>
                <w:rFonts w:asciiTheme="majorHAnsi" w:hAnsiTheme="majorHAnsi"/>
                <w:sz w:val="18"/>
              </w:rPr>
              <w:t>2287</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F9CCCB" w14:textId="0311CF57" w:rsidR="00F442EA" w:rsidRPr="00637624" w:rsidRDefault="00F442EA" w:rsidP="00F442EA">
            <w:pPr>
              <w:spacing w:line="259" w:lineRule="auto"/>
              <w:ind w:right="28"/>
              <w:jc w:val="center"/>
              <w:rPr>
                <w:rFonts w:ascii="Calibri" w:hAnsi="Calibri" w:cs="Calibri"/>
                <w:b/>
                <w:bCs/>
                <w:color w:val="000000"/>
                <w:sz w:val="20"/>
                <w:szCs w:val="20"/>
              </w:rPr>
            </w:pPr>
            <w:r w:rsidRPr="00634E4C">
              <w:rPr>
                <w:rFonts w:asciiTheme="majorHAnsi" w:hAnsiTheme="majorHAnsi"/>
                <w:sz w:val="18"/>
              </w:rPr>
              <w:t>1291</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3243B1" w14:textId="5D4BFD91"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918</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5B9CC5"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983</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99DF45"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903</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1752A1"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821</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BC9A7EE"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822</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3C2D34"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825</w:t>
            </w:r>
          </w:p>
        </w:tc>
      </w:tr>
      <w:tr w:rsidR="00F442EA" w14:paraId="3A743223" w14:textId="77777777" w:rsidTr="00261D3D">
        <w:trPr>
          <w:trHeight w:val="347"/>
        </w:trPr>
        <w:tc>
          <w:tcPr>
            <w:tcW w:w="1263" w:type="dxa"/>
            <w:tcBorders>
              <w:top w:val="single" w:sz="2" w:space="0" w:color="000000"/>
              <w:left w:val="single" w:sz="2" w:space="0" w:color="000000"/>
              <w:bottom w:val="single" w:sz="2" w:space="0" w:color="000000"/>
              <w:right w:val="single" w:sz="2" w:space="0" w:color="000000"/>
            </w:tcBorders>
          </w:tcPr>
          <w:p w14:paraId="01C0F465" w14:textId="77777777" w:rsidR="00F442EA" w:rsidRDefault="00F442EA" w:rsidP="00F442EA">
            <w:pPr>
              <w:spacing w:line="259" w:lineRule="auto"/>
            </w:pPr>
            <w:r>
              <w:rPr>
                <w:sz w:val="18"/>
              </w:rPr>
              <w:t xml:space="preserve">Agriculture (hors énergie) </w:t>
            </w:r>
          </w:p>
        </w:tc>
        <w:tc>
          <w:tcPr>
            <w:tcW w:w="851" w:type="dxa"/>
            <w:tcBorders>
              <w:top w:val="single" w:sz="2" w:space="0" w:color="000000"/>
              <w:left w:val="single" w:sz="2" w:space="0" w:color="000000"/>
              <w:bottom w:val="single" w:sz="2" w:space="0" w:color="000000"/>
              <w:right w:val="single" w:sz="2" w:space="0" w:color="000000"/>
            </w:tcBorders>
            <w:vAlign w:val="center"/>
          </w:tcPr>
          <w:p w14:paraId="626C8A6D" w14:textId="474B9006" w:rsidR="00F442EA" w:rsidRDefault="00F442EA" w:rsidP="00F442EA">
            <w:pPr>
              <w:spacing w:line="259" w:lineRule="auto"/>
              <w:ind w:right="28"/>
              <w:jc w:val="center"/>
            </w:pPr>
            <w:r w:rsidRPr="005D0955">
              <w:rPr>
                <w:rFonts w:asciiTheme="majorHAnsi" w:hAnsiTheme="majorHAnsi"/>
                <w:sz w:val="18"/>
                <w:szCs w:val="18"/>
              </w:rPr>
              <w:t>36691</w:t>
            </w:r>
          </w:p>
        </w:tc>
        <w:tc>
          <w:tcPr>
            <w:tcW w:w="708" w:type="dxa"/>
            <w:tcBorders>
              <w:top w:val="single" w:sz="2" w:space="0" w:color="000000"/>
              <w:left w:val="single" w:sz="2" w:space="0" w:color="000000"/>
              <w:bottom w:val="single" w:sz="2" w:space="0" w:color="000000"/>
              <w:right w:val="single" w:sz="2" w:space="0" w:color="000000"/>
            </w:tcBorders>
            <w:vAlign w:val="center"/>
          </w:tcPr>
          <w:p w14:paraId="7907593A" w14:textId="38E119AF"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35162</w:t>
            </w:r>
          </w:p>
        </w:tc>
        <w:tc>
          <w:tcPr>
            <w:tcW w:w="851" w:type="dxa"/>
            <w:tcBorders>
              <w:top w:val="single" w:sz="2" w:space="0" w:color="000000"/>
              <w:left w:val="single" w:sz="2" w:space="0" w:color="000000"/>
              <w:bottom w:val="single" w:sz="2" w:space="0" w:color="000000"/>
              <w:right w:val="single" w:sz="2" w:space="0" w:color="000000"/>
            </w:tcBorders>
            <w:vAlign w:val="center"/>
          </w:tcPr>
          <w:p w14:paraId="29F710EA" w14:textId="2EA330CE"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37106</w:t>
            </w:r>
          </w:p>
        </w:tc>
        <w:tc>
          <w:tcPr>
            <w:tcW w:w="850" w:type="dxa"/>
            <w:tcBorders>
              <w:top w:val="single" w:sz="2" w:space="0" w:color="000000"/>
              <w:left w:val="single" w:sz="2" w:space="0" w:color="000000"/>
              <w:bottom w:val="single" w:sz="2" w:space="0" w:color="000000"/>
              <w:right w:val="single" w:sz="2" w:space="0" w:color="000000"/>
            </w:tcBorders>
            <w:vAlign w:val="center"/>
          </w:tcPr>
          <w:p w14:paraId="0650AAD1" w14:textId="45942DB2"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34680</w:t>
            </w:r>
          </w:p>
        </w:tc>
        <w:tc>
          <w:tcPr>
            <w:tcW w:w="851" w:type="dxa"/>
            <w:tcBorders>
              <w:top w:val="single" w:sz="2" w:space="0" w:color="000000"/>
              <w:left w:val="single" w:sz="2" w:space="0" w:color="000000"/>
              <w:bottom w:val="single" w:sz="2" w:space="0" w:color="000000"/>
              <w:right w:val="single" w:sz="2" w:space="0" w:color="000000"/>
            </w:tcBorders>
            <w:vAlign w:val="center"/>
          </w:tcPr>
          <w:p w14:paraId="5FB5C42E" w14:textId="60A9DDDA"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33892</w:t>
            </w:r>
          </w:p>
        </w:tc>
        <w:tc>
          <w:tcPr>
            <w:tcW w:w="850" w:type="dxa"/>
            <w:tcBorders>
              <w:top w:val="single" w:sz="2" w:space="0" w:color="000000"/>
              <w:left w:val="single" w:sz="2" w:space="0" w:color="000000"/>
              <w:bottom w:val="single" w:sz="2" w:space="0" w:color="000000"/>
              <w:right w:val="single" w:sz="2" w:space="0" w:color="000000"/>
            </w:tcBorders>
            <w:vAlign w:val="center"/>
          </w:tcPr>
          <w:p w14:paraId="5B33F1A6" w14:textId="6FB0EC61"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34263</w:t>
            </w:r>
          </w:p>
        </w:tc>
        <w:tc>
          <w:tcPr>
            <w:tcW w:w="851" w:type="dxa"/>
            <w:tcBorders>
              <w:top w:val="single" w:sz="2" w:space="0" w:color="000000"/>
              <w:left w:val="single" w:sz="2" w:space="0" w:color="000000"/>
              <w:bottom w:val="single" w:sz="2" w:space="0" w:color="000000"/>
              <w:right w:val="single" w:sz="2" w:space="0" w:color="000000"/>
            </w:tcBorders>
            <w:vAlign w:val="center"/>
          </w:tcPr>
          <w:p w14:paraId="72CA5E72" w14:textId="71692C90"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33020</w:t>
            </w:r>
          </w:p>
        </w:tc>
        <w:tc>
          <w:tcPr>
            <w:tcW w:w="851" w:type="dxa"/>
            <w:tcBorders>
              <w:top w:val="single" w:sz="2" w:space="0" w:color="000000"/>
              <w:left w:val="single" w:sz="2" w:space="0" w:color="000000"/>
              <w:bottom w:val="single" w:sz="2" w:space="0" w:color="000000"/>
              <w:right w:val="single" w:sz="2" w:space="0" w:color="000000"/>
            </w:tcBorders>
            <w:vAlign w:val="center"/>
          </w:tcPr>
          <w:p w14:paraId="58961FE4"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33 731</w:t>
            </w:r>
          </w:p>
        </w:tc>
        <w:tc>
          <w:tcPr>
            <w:tcW w:w="708" w:type="dxa"/>
            <w:tcBorders>
              <w:top w:val="single" w:sz="2" w:space="0" w:color="000000"/>
              <w:left w:val="single" w:sz="2" w:space="0" w:color="000000"/>
              <w:bottom w:val="single" w:sz="2" w:space="0" w:color="000000"/>
              <w:right w:val="single" w:sz="2" w:space="0" w:color="000000"/>
            </w:tcBorders>
            <w:vAlign w:val="center"/>
          </w:tcPr>
          <w:p w14:paraId="12525E0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33 337</w:t>
            </w:r>
          </w:p>
        </w:tc>
        <w:tc>
          <w:tcPr>
            <w:tcW w:w="567" w:type="dxa"/>
            <w:tcBorders>
              <w:top w:val="single" w:sz="2" w:space="0" w:color="000000"/>
              <w:left w:val="single" w:sz="2" w:space="0" w:color="000000"/>
              <w:bottom w:val="single" w:sz="2" w:space="0" w:color="000000"/>
              <w:right w:val="single" w:sz="2" w:space="0" w:color="000000"/>
            </w:tcBorders>
            <w:vAlign w:val="center"/>
          </w:tcPr>
          <w:p w14:paraId="7CECD64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32 820</w:t>
            </w:r>
          </w:p>
        </w:tc>
        <w:tc>
          <w:tcPr>
            <w:tcW w:w="567" w:type="dxa"/>
            <w:tcBorders>
              <w:top w:val="single" w:sz="2" w:space="0" w:color="000000"/>
              <w:left w:val="single" w:sz="2" w:space="0" w:color="000000"/>
              <w:bottom w:val="single" w:sz="2" w:space="0" w:color="000000"/>
              <w:right w:val="single" w:sz="2" w:space="0" w:color="000000"/>
            </w:tcBorders>
            <w:vAlign w:val="center"/>
          </w:tcPr>
          <w:p w14:paraId="24E4548E"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32 410</w:t>
            </w:r>
          </w:p>
        </w:tc>
        <w:tc>
          <w:tcPr>
            <w:tcW w:w="709" w:type="dxa"/>
            <w:tcBorders>
              <w:top w:val="single" w:sz="2" w:space="0" w:color="000000"/>
              <w:left w:val="single" w:sz="2" w:space="0" w:color="000000"/>
              <w:bottom w:val="single" w:sz="2" w:space="0" w:color="000000"/>
              <w:right w:val="single" w:sz="2" w:space="0" w:color="000000"/>
            </w:tcBorders>
            <w:vAlign w:val="center"/>
          </w:tcPr>
          <w:p w14:paraId="668C967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31 217</w:t>
            </w:r>
          </w:p>
        </w:tc>
      </w:tr>
      <w:tr w:rsidR="00F442EA" w14:paraId="7FF172C2" w14:textId="77777777" w:rsidTr="00261D3D">
        <w:trPr>
          <w:trHeight w:val="342"/>
        </w:trPr>
        <w:tc>
          <w:tcPr>
            <w:tcW w:w="1263" w:type="dxa"/>
            <w:tcBorders>
              <w:top w:val="single" w:sz="2" w:space="0" w:color="000000"/>
              <w:left w:val="single" w:sz="2" w:space="0" w:color="000000"/>
              <w:bottom w:val="single" w:sz="2" w:space="0" w:color="000000"/>
              <w:right w:val="single" w:sz="2" w:space="0" w:color="000000"/>
            </w:tcBorders>
            <w:shd w:val="clear" w:color="auto" w:fill="ECE6E2"/>
          </w:tcPr>
          <w:p w14:paraId="16B42E53" w14:textId="77777777" w:rsidR="00F442EA" w:rsidRDefault="00F442EA" w:rsidP="00F442EA">
            <w:pPr>
              <w:spacing w:line="259" w:lineRule="auto"/>
            </w:pPr>
            <w:r>
              <w:rPr>
                <w:sz w:val="18"/>
              </w:rPr>
              <w:t xml:space="preserve">UTCF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61F62E" w14:textId="6ADF7CBB" w:rsidR="00F442EA" w:rsidRDefault="00F442EA" w:rsidP="00F442EA">
            <w:pPr>
              <w:spacing w:line="259" w:lineRule="auto"/>
              <w:ind w:right="28"/>
              <w:jc w:val="center"/>
            </w:pPr>
            <w:r w:rsidRPr="005D0955">
              <w:rPr>
                <w:rFonts w:asciiTheme="majorHAnsi" w:hAnsiTheme="majorHAnsi"/>
                <w:sz w:val="18"/>
                <w:szCs w:val="18"/>
              </w:rPr>
              <w:t>3226</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2DF5E3" w14:textId="1AC10BD8"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3246</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43EE1A1" w14:textId="7AF02552"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3193</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62A100" w14:textId="69D4C268"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2971</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C749BA" w14:textId="2233074B"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3216</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643E69" w14:textId="1AAB9739"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2944</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BB13D1" w14:textId="43D52A6B"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2867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F41250"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3 119</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6F7BA6"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3 119</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E7816B"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3 119</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5CD836"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3 119</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DF70A5"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3 119</w:t>
            </w:r>
          </w:p>
        </w:tc>
      </w:tr>
      <w:tr w:rsidR="00F442EA" w14:paraId="3BD96AE2" w14:textId="77777777" w:rsidTr="00261D3D">
        <w:trPr>
          <w:trHeight w:val="347"/>
        </w:trPr>
        <w:tc>
          <w:tcPr>
            <w:tcW w:w="1263" w:type="dxa"/>
            <w:tcBorders>
              <w:top w:val="single" w:sz="2" w:space="0" w:color="000000"/>
              <w:left w:val="single" w:sz="2" w:space="0" w:color="000000"/>
              <w:bottom w:val="single" w:sz="2" w:space="0" w:color="000000"/>
              <w:right w:val="single" w:sz="2" w:space="0" w:color="000000"/>
            </w:tcBorders>
          </w:tcPr>
          <w:p w14:paraId="6CCC7063" w14:textId="77777777" w:rsidR="00F442EA" w:rsidRDefault="00F442EA" w:rsidP="00F442EA">
            <w:pPr>
              <w:spacing w:line="259" w:lineRule="auto"/>
            </w:pPr>
            <w:r>
              <w:rPr>
                <w:sz w:val="18"/>
              </w:rPr>
              <w:t xml:space="preserve">Déchets </w:t>
            </w:r>
          </w:p>
        </w:tc>
        <w:tc>
          <w:tcPr>
            <w:tcW w:w="851" w:type="dxa"/>
            <w:tcBorders>
              <w:top w:val="single" w:sz="2" w:space="0" w:color="000000"/>
              <w:left w:val="single" w:sz="2" w:space="0" w:color="000000"/>
              <w:bottom w:val="single" w:sz="2" w:space="0" w:color="000000"/>
              <w:right w:val="single" w:sz="2" w:space="0" w:color="000000"/>
            </w:tcBorders>
            <w:vAlign w:val="center"/>
          </w:tcPr>
          <w:p w14:paraId="7A00862A" w14:textId="63C91400" w:rsidR="00F442EA" w:rsidRDefault="00F442EA" w:rsidP="00F442EA">
            <w:pPr>
              <w:spacing w:line="259" w:lineRule="auto"/>
              <w:ind w:right="28"/>
              <w:jc w:val="center"/>
            </w:pPr>
            <w:r w:rsidRPr="005D0955">
              <w:rPr>
                <w:rFonts w:asciiTheme="majorHAnsi" w:hAnsiTheme="majorHAnsi"/>
                <w:sz w:val="18"/>
                <w:szCs w:val="18"/>
              </w:rPr>
              <w:t>771</w:t>
            </w:r>
          </w:p>
        </w:tc>
        <w:tc>
          <w:tcPr>
            <w:tcW w:w="708" w:type="dxa"/>
            <w:tcBorders>
              <w:top w:val="single" w:sz="2" w:space="0" w:color="000000"/>
              <w:left w:val="single" w:sz="2" w:space="0" w:color="000000"/>
              <w:bottom w:val="single" w:sz="2" w:space="0" w:color="000000"/>
              <w:right w:val="single" w:sz="2" w:space="0" w:color="000000"/>
            </w:tcBorders>
            <w:vAlign w:val="center"/>
          </w:tcPr>
          <w:p w14:paraId="0127F15F" w14:textId="341128A1"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796</w:t>
            </w:r>
          </w:p>
        </w:tc>
        <w:tc>
          <w:tcPr>
            <w:tcW w:w="851" w:type="dxa"/>
            <w:tcBorders>
              <w:top w:val="single" w:sz="2" w:space="0" w:color="000000"/>
              <w:left w:val="single" w:sz="2" w:space="0" w:color="000000"/>
              <w:bottom w:val="single" w:sz="2" w:space="0" w:color="000000"/>
              <w:right w:val="single" w:sz="2" w:space="0" w:color="000000"/>
            </w:tcBorders>
            <w:vAlign w:val="center"/>
          </w:tcPr>
          <w:p w14:paraId="74638394" w14:textId="11508028"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750</w:t>
            </w:r>
          </w:p>
        </w:tc>
        <w:tc>
          <w:tcPr>
            <w:tcW w:w="850" w:type="dxa"/>
            <w:tcBorders>
              <w:top w:val="single" w:sz="2" w:space="0" w:color="000000"/>
              <w:left w:val="single" w:sz="2" w:space="0" w:color="000000"/>
              <w:bottom w:val="single" w:sz="2" w:space="0" w:color="000000"/>
              <w:right w:val="single" w:sz="2" w:space="0" w:color="000000"/>
            </w:tcBorders>
            <w:vAlign w:val="center"/>
          </w:tcPr>
          <w:p w14:paraId="28BBBC34" w14:textId="585145F0"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684</w:t>
            </w:r>
          </w:p>
        </w:tc>
        <w:tc>
          <w:tcPr>
            <w:tcW w:w="851" w:type="dxa"/>
            <w:tcBorders>
              <w:top w:val="single" w:sz="2" w:space="0" w:color="000000"/>
              <w:left w:val="single" w:sz="2" w:space="0" w:color="000000"/>
              <w:bottom w:val="single" w:sz="2" w:space="0" w:color="000000"/>
              <w:right w:val="single" w:sz="2" w:space="0" w:color="000000"/>
            </w:tcBorders>
            <w:vAlign w:val="center"/>
          </w:tcPr>
          <w:p w14:paraId="452FEA70" w14:textId="40F4E5FF"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661</w:t>
            </w:r>
          </w:p>
        </w:tc>
        <w:tc>
          <w:tcPr>
            <w:tcW w:w="850" w:type="dxa"/>
            <w:tcBorders>
              <w:top w:val="single" w:sz="2" w:space="0" w:color="000000"/>
              <w:left w:val="single" w:sz="2" w:space="0" w:color="000000"/>
              <w:bottom w:val="single" w:sz="2" w:space="0" w:color="000000"/>
              <w:right w:val="single" w:sz="2" w:space="0" w:color="000000"/>
            </w:tcBorders>
            <w:vAlign w:val="center"/>
          </w:tcPr>
          <w:p w14:paraId="5A419278" w14:textId="0E28515D"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610</w:t>
            </w:r>
          </w:p>
        </w:tc>
        <w:tc>
          <w:tcPr>
            <w:tcW w:w="851" w:type="dxa"/>
            <w:tcBorders>
              <w:top w:val="single" w:sz="2" w:space="0" w:color="000000"/>
              <w:left w:val="single" w:sz="2" w:space="0" w:color="000000"/>
              <w:bottom w:val="single" w:sz="2" w:space="0" w:color="000000"/>
              <w:right w:val="single" w:sz="2" w:space="0" w:color="000000"/>
            </w:tcBorders>
            <w:vAlign w:val="center"/>
          </w:tcPr>
          <w:p w14:paraId="209CDFE2" w14:textId="3BC61B93"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597</w:t>
            </w:r>
          </w:p>
        </w:tc>
        <w:tc>
          <w:tcPr>
            <w:tcW w:w="851" w:type="dxa"/>
            <w:tcBorders>
              <w:top w:val="single" w:sz="2" w:space="0" w:color="000000"/>
              <w:left w:val="single" w:sz="2" w:space="0" w:color="000000"/>
              <w:bottom w:val="single" w:sz="2" w:space="0" w:color="000000"/>
              <w:right w:val="single" w:sz="2" w:space="0" w:color="000000"/>
            </w:tcBorders>
            <w:vAlign w:val="center"/>
          </w:tcPr>
          <w:p w14:paraId="3D45B638"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662</w:t>
            </w:r>
          </w:p>
        </w:tc>
        <w:tc>
          <w:tcPr>
            <w:tcW w:w="708" w:type="dxa"/>
            <w:tcBorders>
              <w:top w:val="single" w:sz="2" w:space="0" w:color="000000"/>
              <w:left w:val="single" w:sz="2" w:space="0" w:color="000000"/>
              <w:bottom w:val="single" w:sz="2" w:space="0" w:color="000000"/>
              <w:right w:val="single" w:sz="2" w:space="0" w:color="000000"/>
            </w:tcBorders>
            <w:vAlign w:val="center"/>
          </w:tcPr>
          <w:p w14:paraId="366C695F"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666</w:t>
            </w:r>
          </w:p>
        </w:tc>
        <w:tc>
          <w:tcPr>
            <w:tcW w:w="567" w:type="dxa"/>
            <w:tcBorders>
              <w:top w:val="single" w:sz="2" w:space="0" w:color="000000"/>
              <w:left w:val="single" w:sz="2" w:space="0" w:color="000000"/>
              <w:bottom w:val="single" w:sz="2" w:space="0" w:color="000000"/>
              <w:right w:val="single" w:sz="2" w:space="0" w:color="000000"/>
            </w:tcBorders>
            <w:vAlign w:val="center"/>
          </w:tcPr>
          <w:p w14:paraId="781331FB"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670</w:t>
            </w:r>
          </w:p>
        </w:tc>
        <w:tc>
          <w:tcPr>
            <w:tcW w:w="567" w:type="dxa"/>
            <w:tcBorders>
              <w:top w:val="single" w:sz="2" w:space="0" w:color="000000"/>
              <w:left w:val="single" w:sz="2" w:space="0" w:color="000000"/>
              <w:bottom w:val="single" w:sz="2" w:space="0" w:color="000000"/>
              <w:right w:val="single" w:sz="2" w:space="0" w:color="000000"/>
            </w:tcBorders>
            <w:vAlign w:val="center"/>
          </w:tcPr>
          <w:p w14:paraId="13716D89"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690</w:t>
            </w:r>
          </w:p>
        </w:tc>
        <w:tc>
          <w:tcPr>
            <w:tcW w:w="709" w:type="dxa"/>
            <w:tcBorders>
              <w:top w:val="single" w:sz="2" w:space="0" w:color="000000"/>
              <w:left w:val="single" w:sz="2" w:space="0" w:color="000000"/>
              <w:bottom w:val="single" w:sz="2" w:space="0" w:color="000000"/>
              <w:right w:val="single" w:sz="2" w:space="0" w:color="000000"/>
            </w:tcBorders>
            <w:vAlign w:val="center"/>
          </w:tcPr>
          <w:p w14:paraId="0183E449"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681</w:t>
            </w:r>
          </w:p>
        </w:tc>
      </w:tr>
      <w:tr w:rsidR="00F442EA" w14:paraId="5FBA9633" w14:textId="77777777" w:rsidTr="00261D3D">
        <w:trPr>
          <w:trHeight w:val="344"/>
        </w:trPr>
        <w:tc>
          <w:tcPr>
            <w:tcW w:w="1263" w:type="dxa"/>
            <w:tcBorders>
              <w:top w:val="single" w:sz="2" w:space="0" w:color="000000"/>
              <w:left w:val="single" w:sz="2" w:space="0" w:color="000000"/>
              <w:bottom w:val="single" w:sz="2" w:space="0" w:color="000000"/>
              <w:right w:val="single" w:sz="2" w:space="0" w:color="000000"/>
            </w:tcBorders>
            <w:shd w:val="clear" w:color="auto" w:fill="ECE6E2"/>
          </w:tcPr>
          <w:p w14:paraId="1EE639F2" w14:textId="77777777" w:rsidR="00F442EA" w:rsidRDefault="00F442EA" w:rsidP="00F442EA">
            <w:pPr>
              <w:spacing w:line="259" w:lineRule="auto"/>
            </w:pPr>
            <w:r>
              <w:rPr>
                <w:b/>
                <w:sz w:val="18"/>
              </w:rPr>
              <w:t xml:space="preserve">Ensemble (hors UTCF) </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49AFB1" w14:textId="3A1CB87C" w:rsidR="00F442EA" w:rsidRDefault="00F442EA" w:rsidP="00F442EA">
            <w:pPr>
              <w:spacing w:line="259" w:lineRule="auto"/>
              <w:ind w:right="28"/>
              <w:jc w:val="center"/>
            </w:pPr>
            <w:r w:rsidRPr="005D0955">
              <w:rPr>
                <w:rFonts w:asciiTheme="majorHAnsi" w:hAnsiTheme="majorHAnsi"/>
                <w:sz w:val="18"/>
                <w:szCs w:val="18"/>
              </w:rPr>
              <w:t>64725</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E5C450" w14:textId="7ADE3DF7"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65937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A8EE94" w14:textId="3AFC3387"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53681</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D58DF9" w14:textId="78519330"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46307</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B471C3" w14:textId="6C888DC6"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40478</w:t>
            </w:r>
          </w:p>
        </w:tc>
        <w:tc>
          <w:tcPr>
            <w:tcW w:w="85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7CF352" w14:textId="4DB3D027"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39895</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8F7472" w14:textId="06453F50"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38071</w:t>
            </w:r>
          </w:p>
        </w:tc>
        <w:tc>
          <w:tcPr>
            <w:tcW w:w="85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730339"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38 447</w:t>
            </w:r>
          </w:p>
        </w:tc>
        <w:tc>
          <w:tcPr>
            <w:tcW w:w="70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4F51F7"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37 839</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08234E"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36 921</w:t>
            </w:r>
          </w:p>
        </w:tc>
        <w:tc>
          <w:tcPr>
            <w:tcW w:w="5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3F587A"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36 418</w:t>
            </w:r>
          </w:p>
        </w:tc>
        <w:tc>
          <w:tcPr>
            <w:tcW w:w="7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3224CD"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35 004</w:t>
            </w:r>
          </w:p>
        </w:tc>
      </w:tr>
      <w:tr w:rsidR="00F442EA" w14:paraId="4139F24B" w14:textId="77777777" w:rsidTr="00261D3D">
        <w:trPr>
          <w:trHeight w:val="346"/>
        </w:trPr>
        <w:tc>
          <w:tcPr>
            <w:tcW w:w="1263" w:type="dxa"/>
            <w:tcBorders>
              <w:top w:val="single" w:sz="2" w:space="0" w:color="000000"/>
              <w:left w:val="single" w:sz="2" w:space="0" w:color="000000"/>
              <w:bottom w:val="single" w:sz="2" w:space="0" w:color="000000"/>
              <w:right w:val="single" w:sz="2" w:space="0" w:color="000000"/>
            </w:tcBorders>
          </w:tcPr>
          <w:p w14:paraId="1421188B" w14:textId="77777777" w:rsidR="00F442EA" w:rsidRDefault="00F442EA" w:rsidP="00F442EA">
            <w:pPr>
              <w:spacing w:line="259" w:lineRule="auto"/>
            </w:pPr>
            <w:r>
              <w:rPr>
                <w:b/>
                <w:sz w:val="18"/>
              </w:rPr>
              <w:t xml:space="preserve">Ensemble (avec UTCF) </w:t>
            </w:r>
          </w:p>
        </w:tc>
        <w:tc>
          <w:tcPr>
            <w:tcW w:w="851" w:type="dxa"/>
            <w:tcBorders>
              <w:top w:val="single" w:sz="2" w:space="0" w:color="000000"/>
              <w:left w:val="single" w:sz="2" w:space="0" w:color="000000"/>
              <w:bottom w:val="single" w:sz="2" w:space="0" w:color="000000"/>
              <w:right w:val="single" w:sz="2" w:space="0" w:color="000000"/>
            </w:tcBorders>
            <w:vAlign w:val="center"/>
          </w:tcPr>
          <w:p w14:paraId="54B74331" w14:textId="299A9D0E" w:rsidR="00F442EA" w:rsidRDefault="00F442EA" w:rsidP="00F442EA">
            <w:pPr>
              <w:spacing w:line="259" w:lineRule="auto"/>
              <w:ind w:right="28"/>
              <w:jc w:val="center"/>
            </w:pPr>
            <w:r w:rsidRPr="005D0955">
              <w:rPr>
                <w:rFonts w:asciiTheme="majorHAnsi" w:hAnsiTheme="majorHAnsi"/>
                <w:sz w:val="18"/>
                <w:szCs w:val="18"/>
              </w:rPr>
              <w:t>67951</w:t>
            </w:r>
          </w:p>
        </w:tc>
        <w:tc>
          <w:tcPr>
            <w:tcW w:w="708" w:type="dxa"/>
            <w:tcBorders>
              <w:top w:val="single" w:sz="2" w:space="0" w:color="000000"/>
              <w:left w:val="single" w:sz="2" w:space="0" w:color="000000"/>
              <w:bottom w:val="single" w:sz="2" w:space="0" w:color="000000"/>
              <w:right w:val="single" w:sz="2" w:space="0" w:color="000000"/>
            </w:tcBorders>
            <w:vAlign w:val="center"/>
          </w:tcPr>
          <w:p w14:paraId="15999F92" w14:textId="2B87F662"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69183</w:t>
            </w:r>
          </w:p>
        </w:tc>
        <w:tc>
          <w:tcPr>
            <w:tcW w:w="851" w:type="dxa"/>
            <w:tcBorders>
              <w:top w:val="single" w:sz="2" w:space="0" w:color="000000"/>
              <w:left w:val="single" w:sz="2" w:space="0" w:color="000000"/>
              <w:bottom w:val="single" w:sz="2" w:space="0" w:color="000000"/>
              <w:right w:val="single" w:sz="2" w:space="0" w:color="000000"/>
            </w:tcBorders>
            <w:vAlign w:val="center"/>
          </w:tcPr>
          <w:p w14:paraId="418B65AD" w14:textId="1A03CE58"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56873</w:t>
            </w:r>
          </w:p>
        </w:tc>
        <w:tc>
          <w:tcPr>
            <w:tcW w:w="850" w:type="dxa"/>
            <w:tcBorders>
              <w:top w:val="single" w:sz="2" w:space="0" w:color="000000"/>
              <w:left w:val="single" w:sz="2" w:space="0" w:color="000000"/>
              <w:bottom w:val="single" w:sz="2" w:space="0" w:color="000000"/>
              <w:right w:val="single" w:sz="2" w:space="0" w:color="000000"/>
            </w:tcBorders>
            <w:vAlign w:val="center"/>
          </w:tcPr>
          <w:p w14:paraId="1BC87C2F" w14:textId="1F0FB70D"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49279</w:t>
            </w:r>
          </w:p>
        </w:tc>
        <w:tc>
          <w:tcPr>
            <w:tcW w:w="851" w:type="dxa"/>
            <w:tcBorders>
              <w:top w:val="single" w:sz="2" w:space="0" w:color="000000"/>
              <w:left w:val="single" w:sz="2" w:space="0" w:color="000000"/>
              <w:bottom w:val="single" w:sz="2" w:space="0" w:color="000000"/>
              <w:right w:val="single" w:sz="2" w:space="0" w:color="000000"/>
            </w:tcBorders>
            <w:vAlign w:val="center"/>
          </w:tcPr>
          <w:p w14:paraId="7550E4D9" w14:textId="38EE203A"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43694</w:t>
            </w:r>
          </w:p>
        </w:tc>
        <w:tc>
          <w:tcPr>
            <w:tcW w:w="850" w:type="dxa"/>
            <w:tcBorders>
              <w:top w:val="single" w:sz="2" w:space="0" w:color="000000"/>
              <w:left w:val="single" w:sz="2" w:space="0" w:color="000000"/>
              <w:bottom w:val="single" w:sz="2" w:space="0" w:color="000000"/>
              <w:right w:val="single" w:sz="2" w:space="0" w:color="000000"/>
            </w:tcBorders>
            <w:vAlign w:val="center"/>
          </w:tcPr>
          <w:p w14:paraId="3B684780" w14:textId="225714E2" w:rsidR="00F442EA" w:rsidRPr="00637624"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42840</w:t>
            </w:r>
          </w:p>
        </w:tc>
        <w:tc>
          <w:tcPr>
            <w:tcW w:w="851" w:type="dxa"/>
            <w:tcBorders>
              <w:top w:val="single" w:sz="2" w:space="0" w:color="000000"/>
              <w:left w:val="single" w:sz="2" w:space="0" w:color="000000"/>
              <w:bottom w:val="single" w:sz="2" w:space="0" w:color="000000"/>
              <w:right w:val="single" w:sz="2" w:space="0" w:color="000000"/>
            </w:tcBorders>
            <w:vAlign w:val="center"/>
          </w:tcPr>
          <w:p w14:paraId="2A8BDE48" w14:textId="01C8E458" w:rsidR="00F442EA" w:rsidRDefault="00F442EA" w:rsidP="00F442EA">
            <w:pPr>
              <w:spacing w:line="259" w:lineRule="auto"/>
              <w:ind w:right="28"/>
              <w:jc w:val="center"/>
              <w:rPr>
                <w:rFonts w:ascii="Calibri" w:hAnsi="Calibri" w:cs="Calibri"/>
                <w:b/>
                <w:bCs/>
                <w:color w:val="000000"/>
                <w:sz w:val="20"/>
                <w:szCs w:val="20"/>
              </w:rPr>
            </w:pPr>
            <w:r w:rsidRPr="005D0955">
              <w:rPr>
                <w:rFonts w:asciiTheme="majorHAnsi" w:hAnsiTheme="majorHAnsi"/>
                <w:sz w:val="18"/>
                <w:szCs w:val="18"/>
              </w:rPr>
              <w:t>40939</w:t>
            </w:r>
          </w:p>
        </w:tc>
        <w:tc>
          <w:tcPr>
            <w:tcW w:w="851" w:type="dxa"/>
            <w:tcBorders>
              <w:top w:val="single" w:sz="2" w:space="0" w:color="000000"/>
              <w:left w:val="single" w:sz="2" w:space="0" w:color="000000"/>
              <w:bottom w:val="single" w:sz="2" w:space="0" w:color="000000"/>
              <w:right w:val="single" w:sz="2" w:space="0" w:color="000000"/>
            </w:tcBorders>
            <w:vAlign w:val="center"/>
          </w:tcPr>
          <w:p w14:paraId="52DB2F65"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41 566</w:t>
            </w:r>
          </w:p>
        </w:tc>
        <w:tc>
          <w:tcPr>
            <w:tcW w:w="708" w:type="dxa"/>
            <w:tcBorders>
              <w:top w:val="single" w:sz="2" w:space="0" w:color="000000"/>
              <w:left w:val="single" w:sz="2" w:space="0" w:color="000000"/>
              <w:bottom w:val="single" w:sz="2" w:space="0" w:color="000000"/>
              <w:right w:val="single" w:sz="2" w:space="0" w:color="000000"/>
            </w:tcBorders>
            <w:vAlign w:val="center"/>
          </w:tcPr>
          <w:p w14:paraId="3DB61B38"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40 959</w:t>
            </w:r>
          </w:p>
        </w:tc>
        <w:tc>
          <w:tcPr>
            <w:tcW w:w="567" w:type="dxa"/>
            <w:tcBorders>
              <w:top w:val="single" w:sz="2" w:space="0" w:color="000000"/>
              <w:left w:val="single" w:sz="2" w:space="0" w:color="000000"/>
              <w:bottom w:val="single" w:sz="2" w:space="0" w:color="000000"/>
              <w:right w:val="single" w:sz="2" w:space="0" w:color="000000"/>
            </w:tcBorders>
            <w:vAlign w:val="center"/>
          </w:tcPr>
          <w:p w14:paraId="0E3F11E8"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40 041</w:t>
            </w:r>
          </w:p>
        </w:tc>
        <w:tc>
          <w:tcPr>
            <w:tcW w:w="567" w:type="dxa"/>
            <w:tcBorders>
              <w:top w:val="single" w:sz="2" w:space="0" w:color="000000"/>
              <w:left w:val="single" w:sz="2" w:space="0" w:color="000000"/>
              <w:bottom w:val="single" w:sz="2" w:space="0" w:color="000000"/>
              <w:right w:val="single" w:sz="2" w:space="0" w:color="000000"/>
            </w:tcBorders>
            <w:vAlign w:val="center"/>
          </w:tcPr>
          <w:p w14:paraId="249EAD9A"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39 537</w:t>
            </w:r>
          </w:p>
        </w:tc>
        <w:tc>
          <w:tcPr>
            <w:tcW w:w="709" w:type="dxa"/>
            <w:tcBorders>
              <w:top w:val="single" w:sz="2" w:space="0" w:color="000000"/>
              <w:left w:val="single" w:sz="2" w:space="0" w:color="000000"/>
              <w:bottom w:val="single" w:sz="2" w:space="0" w:color="000000"/>
              <w:right w:val="single" w:sz="2" w:space="0" w:color="000000"/>
            </w:tcBorders>
            <w:vAlign w:val="center"/>
          </w:tcPr>
          <w:p w14:paraId="7676A8E3" w14:textId="77777777" w:rsidR="00F442EA" w:rsidRPr="00637624" w:rsidRDefault="00F442EA" w:rsidP="00F442EA">
            <w:pPr>
              <w:spacing w:line="259" w:lineRule="auto"/>
              <w:ind w:right="28"/>
              <w:jc w:val="center"/>
              <w:rPr>
                <w:rFonts w:ascii="Calibri" w:hAnsi="Calibri" w:cs="Calibri"/>
                <w:b/>
                <w:bCs/>
                <w:color w:val="000000"/>
                <w:sz w:val="20"/>
                <w:szCs w:val="20"/>
              </w:rPr>
            </w:pPr>
            <w:r>
              <w:rPr>
                <w:rFonts w:ascii="Calibri" w:hAnsi="Calibri" w:cs="Calibri"/>
                <w:b/>
                <w:bCs/>
                <w:color w:val="000000"/>
                <w:sz w:val="20"/>
                <w:szCs w:val="20"/>
              </w:rPr>
              <w:t>38 123</w:t>
            </w:r>
          </w:p>
        </w:tc>
      </w:tr>
    </w:tbl>
    <w:p w14:paraId="735BFD92" w14:textId="7F464792" w:rsidR="00CB5305" w:rsidRDefault="00CB5305" w:rsidP="00CB5305">
      <w:pPr>
        <w:pStyle w:val="Caption"/>
      </w:pPr>
      <w:bookmarkStart w:id="554" w:name="_Toc123916513"/>
      <w:r>
        <w:t xml:space="preserve">Tableau </w:t>
      </w:r>
      <w:fldSimple w:instr=" SEQ Tableau \* ARABIC ">
        <w:r w:rsidR="00AB51D9">
          <w:rPr>
            <w:noProof/>
          </w:rPr>
          <w:t>21</w:t>
        </w:r>
      </w:fldSimple>
      <w:r>
        <w:t xml:space="preserve"> : </w:t>
      </w:r>
      <w:r w:rsidRPr="00637624">
        <w:t xml:space="preserve">Projections d’émissions de </w:t>
      </w:r>
      <w:r w:rsidR="00F80CAB" w:rsidRPr="00141043">
        <w:t>N</w:t>
      </w:r>
      <w:r w:rsidR="00F80CAB" w:rsidRPr="004F1EC8">
        <w:rPr>
          <w:vertAlign w:val="subscript"/>
        </w:rPr>
        <w:t>2</w:t>
      </w:r>
      <w:r w:rsidR="00F80CAB" w:rsidRPr="00141043">
        <w:t>O</w:t>
      </w:r>
      <w:r w:rsidR="00F80CAB">
        <w:t xml:space="preserve"> </w:t>
      </w:r>
      <w:r w:rsidRPr="00637624">
        <w:t xml:space="preserve">(en </w:t>
      </w:r>
      <w:r w:rsidRPr="00590551">
        <w:t>kt</w:t>
      </w:r>
      <w:r w:rsidR="007F09F7">
        <w:t>CO</w:t>
      </w:r>
      <w:r w:rsidR="007F09F7" w:rsidRPr="007F09F7">
        <w:rPr>
          <w:vertAlign w:val="subscript"/>
        </w:rPr>
        <w:t>2</w:t>
      </w:r>
      <w:r w:rsidRPr="00637624">
        <w:rPr>
          <w:vertAlign w:val="subscript"/>
        </w:rPr>
        <w:t>e</w:t>
      </w:r>
      <w:r w:rsidRPr="00637624">
        <w:t>) au périmètre Kyoto dans le scénario AME (avec mesures existantes)</w:t>
      </w:r>
      <w:bookmarkEnd w:id="554"/>
    </w:p>
    <w:p w14:paraId="146AFDA7" w14:textId="4782099F" w:rsidR="00CB5305" w:rsidRDefault="00CB5305" w:rsidP="00261D3D">
      <w:pPr>
        <w:pStyle w:val="Caption"/>
      </w:pPr>
      <w:r w:rsidRPr="006E15FD">
        <w:t>Source : Inventaire CCNUCC, Citepa/MTE, soumission 20</w:t>
      </w:r>
      <w:r>
        <w:t>2</w:t>
      </w:r>
      <w:r w:rsidR="00F442EA">
        <w:t>2</w:t>
      </w:r>
      <w:r w:rsidRPr="006E15FD">
        <w:t xml:space="preserve"> et projections d’émissions MTE, 20</w:t>
      </w:r>
      <w:r>
        <w:t>21</w:t>
      </w:r>
    </w:p>
    <w:p w14:paraId="731E4FEB" w14:textId="77777777" w:rsidR="00281D48" w:rsidRPr="00364545" w:rsidRDefault="00281D48" w:rsidP="00281D48">
      <w:bookmarkStart w:id="555" w:name="_Toc123916514"/>
    </w:p>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405"/>
        <w:gridCol w:w="710"/>
        <w:gridCol w:w="711"/>
        <w:gridCol w:w="711"/>
        <w:gridCol w:w="711"/>
        <w:gridCol w:w="710"/>
        <w:gridCol w:w="711"/>
        <w:gridCol w:w="711"/>
        <w:gridCol w:w="711"/>
        <w:gridCol w:w="710"/>
        <w:gridCol w:w="711"/>
        <w:gridCol w:w="711"/>
        <w:gridCol w:w="711"/>
      </w:tblGrid>
      <w:tr w:rsidR="00281D48" w:rsidRPr="00364545" w14:paraId="31B82791" w14:textId="77777777" w:rsidTr="009F2D1E">
        <w:trPr>
          <w:trHeight w:val="402"/>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2BDF58C0" w14:textId="77777777" w:rsidR="00281D48" w:rsidRPr="00364545" w:rsidRDefault="00281D48" w:rsidP="009F2D1E">
            <w:pPr>
              <w:spacing w:line="259" w:lineRule="auto"/>
            </w:pPr>
            <w:r w:rsidRPr="00364545">
              <w:t>AME 21 - HFC</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25C9617" w14:textId="77777777" w:rsidR="00281D48" w:rsidRPr="00364545" w:rsidRDefault="00281D48" w:rsidP="009F2D1E">
            <w:pPr>
              <w:spacing w:line="259" w:lineRule="auto"/>
              <w:ind w:right="30"/>
              <w:jc w:val="center"/>
            </w:pPr>
            <w:r w:rsidRPr="00364545">
              <w:rPr>
                <w:b/>
                <w:color w:val="FFFFFF"/>
                <w:sz w:val="18"/>
              </w:rPr>
              <w:t>1990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4F6D01E" w14:textId="77777777" w:rsidR="00281D48" w:rsidRPr="00364545" w:rsidRDefault="00281D48" w:rsidP="009F2D1E">
            <w:pPr>
              <w:spacing w:line="259" w:lineRule="auto"/>
              <w:ind w:right="27"/>
              <w:jc w:val="center"/>
              <w:rPr>
                <w:b/>
                <w:color w:val="FFFFFF"/>
                <w:sz w:val="18"/>
              </w:rPr>
            </w:pPr>
            <w:r w:rsidRPr="00364545">
              <w:rPr>
                <w:b/>
                <w:color w:val="FFFFFF"/>
                <w:sz w:val="18"/>
              </w:rPr>
              <w:t>1995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B9AC79F" w14:textId="77777777" w:rsidR="00281D48" w:rsidRPr="00364545" w:rsidRDefault="00281D48" w:rsidP="009F2D1E">
            <w:pPr>
              <w:spacing w:line="259" w:lineRule="auto"/>
              <w:ind w:right="27"/>
              <w:jc w:val="center"/>
            </w:pPr>
            <w:r w:rsidRPr="00364545">
              <w:rPr>
                <w:b/>
                <w:color w:val="FFFFFF"/>
                <w:sz w:val="18"/>
              </w:rPr>
              <w:t>2000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BE8E57E" w14:textId="77777777" w:rsidR="00281D48" w:rsidRPr="00364545" w:rsidRDefault="00281D48" w:rsidP="009F2D1E">
            <w:pPr>
              <w:spacing w:line="259" w:lineRule="auto"/>
              <w:ind w:right="30"/>
              <w:jc w:val="center"/>
            </w:pPr>
            <w:r w:rsidRPr="00364545">
              <w:rPr>
                <w:b/>
                <w:color w:val="FFFFFF"/>
                <w:sz w:val="18"/>
              </w:rPr>
              <w:t>2005</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0B8FE98" w14:textId="77777777" w:rsidR="00281D48" w:rsidRPr="00364545" w:rsidRDefault="00281D48" w:rsidP="009F2D1E">
            <w:pPr>
              <w:spacing w:line="259" w:lineRule="auto"/>
              <w:ind w:right="27"/>
              <w:jc w:val="center"/>
            </w:pPr>
            <w:r w:rsidRPr="00364545">
              <w:rPr>
                <w:b/>
                <w:color w:val="FFFFFF"/>
                <w:sz w:val="18"/>
              </w:rPr>
              <w:t>2010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40BF5BF" w14:textId="77777777" w:rsidR="00281D48" w:rsidRPr="00364545" w:rsidRDefault="00281D48" w:rsidP="009F2D1E">
            <w:pPr>
              <w:spacing w:line="259" w:lineRule="auto"/>
              <w:ind w:right="30"/>
              <w:jc w:val="center"/>
            </w:pPr>
            <w:r w:rsidRPr="00364545">
              <w:rPr>
                <w:b/>
                <w:color w:val="FFFFFF"/>
                <w:sz w:val="18"/>
              </w:rPr>
              <w:t>2015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9DF62C6" w14:textId="77777777" w:rsidR="00281D48" w:rsidRPr="00364545" w:rsidRDefault="00281D48" w:rsidP="009F2D1E">
            <w:pPr>
              <w:spacing w:line="259" w:lineRule="auto"/>
              <w:ind w:right="27"/>
              <w:jc w:val="center"/>
              <w:rPr>
                <w:b/>
                <w:color w:val="FFFFFF"/>
                <w:sz w:val="18"/>
              </w:rPr>
            </w:pPr>
            <w:r w:rsidRPr="00364545">
              <w:rPr>
                <w:b/>
                <w:color w:val="FFFFFF"/>
                <w:sz w:val="18"/>
              </w:rPr>
              <w:t>2019</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9DD1D39" w14:textId="77777777" w:rsidR="00281D48" w:rsidRPr="00364545" w:rsidRDefault="00281D48" w:rsidP="009F2D1E">
            <w:pPr>
              <w:spacing w:line="259" w:lineRule="auto"/>
              <w:ind w:right="27"/>
              <w:jc w:val="center"/>
            </w:pPr>
            <w:r w:rsidRPr="00364545">
              <w:rPr>
                <w:b/>
                <w:color w:val="FFFFFF"/>
                <w:sz w:val="18"/>
              </w:rPr>
              <w:t>2020</w:t>
            </w:r>
          </w:p>
        </w:tc>
        <w:tc>
          <w:tcPr>
            <w:tcW w:w="71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2B6DEA2" w14:textId="77777777" w:rsidR="00281D48" w:rsidRPr="00364545" w:rsidRDefault="00281D48" w:rsidP="009F2D1E">
            <w:pPr>
              <w:spacing w:line="259" w:lineRule="auto"/>
              <w:ind w:right="30"/>
              <w:jc w:val="center"/>
            </w:pPr>
            <w:r w:rsidRPr="00364545">
              <w:rPr>
                <w:b/>
                <w:color w:val="FFFFFF"/>
                <w:sz w:val="18"/>
              </w:rPr>
              <w:t>2025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C87DF44" w14:textId="77777777" w:rsidR="00281D48" w:rsidRPr="00364545" w:rsidRDefault="00281D48" w:rsidP="009F2D1E">
            <w:pPr>
              <w:spacing w:line="259" w:lineRule="auto"/>
              <w:ind w:right="27"/>
              <w:jc w:val="center"/>
            </w:pPr>
            <w:r w:rsidRPr="00364545">
              <w:rPr>
                <w:b/>
                <w:color w:val="FFFFFF"/>
                <w:sz w:val="18"/>
              </w:rPr>
              <w:t>2030</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38D1B8F" w14:textId="77777777" w:rsidR="00281D48" w:rsidRPr="00364545" w:rsidRDefault="00281D48" w:rsidP="009F2D1E">
            <w:pPr>
              <w:spacing w:line="259" w:lineRule="auto"/>
              <w:ind w:right="28"/>
              <w:jc w:val="center"/>
            </w:pPr>
            <w:r w:rsidRPr="00364545">
              <w:rPr>
                <w:b/>
                <w:color w:val="FFFFFF"/>
                <w:sz w:val="18"/>
              </w:rPr>
              <w:t>2035</w:t>
            </w:r>
          </w:p>
        </w:tc>
        <w:tc>
          <w:tcPr>
            <w:tcW w:w="71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766E6FC" w14:textId="77777777" w:rsidR="00281D48" w:rsidRPr="00364545" w:rsidRDefault="00281D48" w:rsidP="009F2D1E">
            <w:pPr>
              <w:spacing w:line="259" w:lineRule="auto"/>
              <w:ind w:right="28"/>
              <w:jc w:val="center"/>
              <w:rPr>
                <w:b/>
                <w:color w:val="FFFFFF"/>
                <w:sz w:val="18"/>
              </w:rPr>
            </w:pPr>
            <w:r w:rsidRPr="00364545">
              <w:rPr>
                <w:b/>
                <w:color w:val="FFFFFF"/>
                <w:sz w:val="18"/>
              </w:rPr>
              <w:t>2050</w:t>
            </w:r>
          </w:p>
        </w:tc>
      </w:tr>
      <w:tr w:rsidR="00281D48" w:rsidRPr="00364545" w14:paraId="55A38BC5" w14:textId="77777777" w:rsidTr="009F2D1E">
        <w:trPr>
          <w:trHeight w:val="344"/>
        </w:trPr>
        <w:tc>
          <w:tcPr>
            <w:tcW w:w="1405" w:type="dxa"/>
            <w:tcBorders>
              <w:top w:val="single" w:sz="2" w:space="0" w:color="000000"/>
              <w:left w:val="single" w:sz="2" w:space="0" w:color="000000"/>
              <w:bottom w:val="single" w:sz="2" w:space="0" w:color="000000"/>
              <w:right w:val="single" w:sz="2" w:space="0" w:color="000000"/>
            </w:tcBorders>
          </w:tcPr>
          <w:p w14:paraId="00D2AD3D" w14:textId="16186A0B" w:rsidR="00281D48" w:rsidRPr="00364545" w:rsidRDefault="00281D48" w:rsidP="00281D48">
            <w:pPr>
              <w:spacing w:line="259" w:lineRule="auto"/>
            </w:pPr>
            <w:r>
              <w:rPr>
                <w:sz w:val="18"/>
              </w:rPr>
              <w:t xml:space="preserve">Energie </w:t>
            </w:r>
          </w:p>
        </w:tc>
        <w:tc>
          <w:tcPr>
            <w:tcW w:w="710" w:type="dxa"/>
            <w:tcBorders>
              <w:top w:val="single" w:sz="2" w:space="0" w:color="000000"/>
              <w:left w:val="single" w:sz="2" w:space="0" w:color="000000"/>
              <w:bottom w:val="single" w:sz="2" w:space="0" w:color="000000"/>
              <w:right w:val="single" w:sz="2" w:space="0" w:color="000000"/>
            </w:tcBorders>
            <w:vAlign w:val="center"/>
          </w:tcPr>
          <w:p w14:paraId="2D4C9C2F"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F107231"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4F9B334"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A5CBB9D"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32965B31"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4D352285"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A7A193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9271999"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3C0DAD4B"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73BDDE40"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6042C71"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7929DA2B"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r>
      <w:tr w:rsidR="00281D48" w:rsidRPr="00364545" w14:paraId="0E5C4D81" w14:textId="77777777" w:rsidTr="009F2D1E">
        <w:trPr>
          <w:trHeight w:val="419"/>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7E35F0FC" w14:textId="058867AD" w:rsidR="00281D48" w:rsidRPr="00364545" w:rsidRDefault="00281D48" w:rsidP="00281D48">
            <w:pPr>
              <w:spacing w:line="259" w:lineRule="auto"/>
            </w:pPr>
            <w:r>
              <w:rPr>
                <w:sz w:val="18"/>
              </w:rPr>
              <w:t xml:space="preserve">Procédés industriels, solvants et autres produits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6AED61" w14:textId="77777777" w:rsidR="00281D48" w:rsidRPr="00634E4C" w:rsidRDefault="00281D48" w:rsidP="00281D48">
            <w:pPr>
              <w:spacing w:line="259" w:lineRule="auto"/>
              <w:ind w:right="28"/>
              <w:jc w:val="center"/>
              <w:rPr>
                <w:rFonts w:asciiTheme="majorHAnsi" w:hAnsiTheme="majorHAnsi"/>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218990"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A745BC"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2B10D7"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31F63F"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C0CF89"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E6B655" w14:textId="77777777" w:rsidR="00281D48" w:rsidRPr="00634E4C" w:rsidRDefault="00281D48" w:rsidP="00281D48">
            <w:pPr>
              <w:spacing w:line="259" w:lineRule="auto"/>
              <w:ind w:right="28"/>
              <w:jc w:val="center"/>
              <w:rPr>
                <w:rFonts w:asciiTheme="majorHAnsi" w:hAnsiTheme="majorHAnsi"/>
                <w:color w:val="000000"/>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ED7C27" w14:textId="77777777" w:rsidR="00281D48" w:rsidRPr="00634E4C" w:rsidRDefault="00281D48" w:rsidP="00281D48">
            <w:pPr>
              <w:spacing w:line="259" w:lineRule="auto"/>
              <w:ind w:right="28"/>
              <w:jc w:val="center"/>
              <w:rPr>
                <w:rFonts w:asciiTheme="majorHAnsi" w:hAnsiTheme="majorHAnsi"/>
                <w:color w:val="000000"/>
                <w:sz w:val="18"/>
              </w:rPr>
            </w:pPr>
            <w:r w:rsidRPr="00634E4C">
              <w:rPr>
                <w:rFonts w:asciiTheme="majorHAnsi" w:hAnsiTheme="majorHAnsi"/>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C08A28" w14:textId="77777777" w:rsidR="00281D48" w:rsidRPr="00634E4C" w:rsidRDefault="00281D48" w:rsidP="00281D48">
            <w:pPr>
              <w:spacing w:line="259" w:lineRule="auto"/>
              <w:ind w:right="28"/>
              <w:jc w:val="center"/>
              <w:rPr>
                <w:rFonts w:asciiTheme="majorHAnsi" w:hAnsiTheme="majorHAnsi"/>
                <w:color w:val="000000"/>
                <w:sz w:val="18"/>
              </w:rPr>
            </w:pPr>
            <w:r w:rsidRPr="00634E4C">
              <w:rPr>
                <w:rFonts w:asciiTheme="majorHAnsi" w:hAnsiTheme="majorHAnsi"/>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8114E3" w14:textId="77777777" w:rsidR="00281D48" w:rsidRPr="00634E4C" w:rsidRDefault="00281D48" w:rsidP="00281D48">
            <w:pPr>
              <w:spacing w:line="259" w:lineRule="auto"/>
              <w:ind w:right="28"/>
              <w:jc w:val="center"/>
              <w:rPr>
                <w:rFonts w:asciiTheme="majorHAnsi" w:hAnsiTheme="majorHAnsi"/>
                <w:color w:val="000000"/>
                <w:sz w:val="18"/>
              </w:rPr>
            </w:pPr>
            <w:r w:rsidRPr="00634E4C">
              <w:rPr>
                <w:rFonts w:asciiTheme="majorHAnsi" w:hAnsiTheme="majorHAnsi"/>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F0B1665" w14:textId="77777777" w:rsidR="00281D48" w:rsidRPr="00634E4C" w:rsidRDefault="00281D48" w:rsidP="00281D48">
            <w:pPr>
              <w:spacing w:line="259" w:lineRule="auto"/>
              <w:ind w:right="28"/>
              <w:jc w:val="center"/>
              <w:rPr>
                <w:rFonts w:asciiTheme="majorHAnsi" w:hAnsiTheme="majorHAnsi"/>
                <w:color w:val="000000"/>
                <w:sz w:val="18"/>
              </w:rPr>
            </w:pPr>
            <w:r w:rsidRPr="00634E4C">
              <w:rPr>
                <w:rFonts w:asciiTheme="majorHAnsi" w:hAnsiTheme="majorHAnsi"/>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66D093" w14:textId="77777777" w:rsidR="00281D48" w:rsidRPr="00634E4C" w:rsidRDefault="00281D48" w:rsidP="00281D48">
            <w:pPr>
              <w:spacing w:line="259" w:lineRule="auto"/>
              <w:ind w:right="28"/>
              <w:jc w:val="center"/>
              <w:rPr>
                <w:rFonts w:asciiTheme="majorHAnsi" w:hAnsiTheme="majorHAnsi"/>
                <w:color w:val="000000"/>
                <w:sz w:val="18"/>
              </w:rPr>
            </w:pPr>
            <w:r w:rsidRPr="00634E4C">
              <w:rPr>
                <w:rFonts w:asciiTheme="majorHAnsi" w:hAnsiTheme="majorHAnsi"/>
                <w:color w:val="000000"/>
                <w:sz w:val="18"/>
              </w:rPr>
              <w:t>1831</w:t>
            </w:r>
          </w:p>
        </w:tc>
      </w:tr>
      <w:tr w:rsidR="00281D48" w:rsidRPr="00364545" w14:paraId="67C9D72F" w14:textId="77777777" w:rsidTr="009F2D1E">
        <w:trPr>
          <w:trHeight w:val="347"/>
        </w:trPr>
        <w:tc>
          <w:tcPr>
            <w:tcW w:w="1405" w:type="dxa"/>
            <w:tcBorders>
              <w:top w:val="single" w:sz="2" w:space="0" w:color="000000"/>
              <w:left w:val="single" w:sz="2" w:space="0" w:color="000000"/>
              <w:bottom w:val="single" w:sz="2" w:space="0" w:color="000000"/>
              <w:right w:val="single" w:sz="2" w:space="0" w:color="000000"/>
            </w:tcBorders>
          </w:tcPr>
          <w:p w14:paraId="061606E3" w14:textId="1A0AD50F" w:rsidR="00281D48" w:rsidRPr="00364545" w:rsidRDefault="00281D48" w:rsidP="00281D48">
            <w:pPr>
              <w:spacing w:line="259" w:lineRule="auto"/>
            </w:pPr>
            <w:r>
              <w:rPr>
                <w:sz w:val="18"/>
              </w:rPr>
              <w:t xml:space="preserve">Agriculture (hors énergie) </w:t>
            </w:r>
          </w:p>
        </w:tc>
        <w:tc>
          <w:tcPr>
            <w:tcW w:w="710" w:type="dxa"/>
            <w:tcBorders>
              <w:top w:val="single" w:sz="2" w:space="0" w:color="000000"/>
              <w:left w:val="single" w:sz="2" w:space="0" w:color="000000"/>
              <w:bottom w:val="single" w:sz="2" w:space="0" w:color="000000"/>
              <w:right w:val="single" w:sz="2" w:space="0" w:color="000000"/>
            </w:tcBorders>
            <w:vAlign w:val="center"/>
          </w:tcPr>
          <w:p w14:paraId="1612EEB6"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F5C7117"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486B694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BB3A92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166E2D5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BCF38F5"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77C8BF41"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B5E1FEA"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14FB453A"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69B873C"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79FAF03"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409D1FE"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r>
      <w:tr w:rsidR="00281D48" w:rsidRPr="00364545" w14:paraId="5A68124E" w14:textId="77777777" w:rsidTr="009F2D1E">
        <w:trPr>
          <w:trHeight w:val="342"/>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45512514" w14:textId="0585CEAD" w:rsidR="00281D48" w:rsidRPr="00364545" w:rsidRDefault="00281D48" w:rsidP="00281D48">
            <w:pPr>
              <w:spacing w:line="259" w:lineRule="auto"/>
            </w:pPr>
            <w:r>
              <w:rPr>
                <w:sz w:val="18"/>
              </w:rPr>
              <w:t xml:space="preserve">UTCF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084588"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60675F"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6A6FB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4DA9C3"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765A3C"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7072B6"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ED6B75"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40624F"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0865BD"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33D2DC"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2D1B8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8639E7"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r>
      <w:tr w:rsidR="00281D48" w:rsidRPr="00364545" w14:paraId="54B2DA8F" w14:textId="77777777" w:rsidTr="009F2D1E">
        <w:trPr>
          <w:trHeight w:val="347"/>
        </w:trPr>
        <w:tc>
          <w:tcPr>
            <w:tcW w:w="1405" w:type="dxa"/>
            <w:tcBorders>
              <w:top w:val="single" w:sz="2" w:space="0" w:color="000000"/>
              <w:left w:val="single" w:sz="2" w:space="0" w:color="000000"/>
              <w:bottom w:val="single" w:sz="2" w:space="0" w:color="000000"/>
              <w:right w:val="single" w:sz="2" w:space="0" w:color="000000"/>
            </w:tcBorders>
          </w:tcPr>
          <w:p w14:paraId="65932DCC" w14:textId="06A12D56" w:rsidR="00281D48" w:rsidRPr="00364545" w:rsidRDefault="00281D48" w:rsidP="00281D48">
            <w:pPr>
              <w:spacing w:line="259" w:lineRule="auto"/>
            </w:pPr>
            <w:r>
              <w:rPr>
                <w:sz w:val="18"/>
              </w:rPr>
              <w:t xml:space="preserve">Déchets </w:t>
            </w:r>
          </w:p>
        </w:tc>
        <w:tc>
          <w:tcPr>
            <w:tcW w:w="710" w:type="dxa"/>
            <w:tcBorders>
              <w:top w:val="single" w:sz="2" w:space="0" w:color="000000"/>
              <w:left w:val="single" w:sz="2" w:space="0" w:color="000000"/>
              <w:bottom w:val="single" w:sz="2" w:space="0" w:color="000000"/>
              <w:right w:val="single" w:sz="2" w:space="0" w:color="000000"/>
            </w:tcBorders>
            <w:vAlign w:val="center"/>
          </w:tcPr>
          <w:p w14:paraId="5A50E7CA"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CD913CF"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5ED9EDD3"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69859AC8"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458FD069"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393B193F"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2B445C35"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78921A51"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1808970E"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1C97B0DB" w14:textId="77777777" w:rsidR="00281D48" w:rsidRPr="00634E4C" w:rsidRDefault="00281D48" w:rsidP="00281D48">
            <w:pPr>
              <w:spacing w:line="259" w:lineRule="auto"/>
              <w:ind w:right="30"/>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026880F4"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1" w:type="dxa"/>
            <w:tcBorders>
              <w:top w:val="single" w:sz="2" w:space="0" w:color="000000"/>
              <w:left w:val="single" w:sz="2" w:space="0" w:color="000000"/>
              <w:bottom w:val="single" w:sz="2" w:space="0" w:color="000000"/>
              <w:right w:val="single" w:sz="2" w:space="0" w:color="000000"/>
            </w:tcBorders>
            <w:vAlign w:val="center"/>
          </w:tcPr>
          <w:p w14:paraId="7E27B76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r>
      <w:tr w:rsidR="00281D48" w:rsidRPr="00364545" w14:paraId="461B6AA4" w14:textId="77777777" w:rsidTr="009F2D1E">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6C777417" w14:textId="035B1017" w:rsidR="00281D48" w:rsidRPr="00364545" w:rsidRDefault="00281D48" w:rsidP="00281D48">
            <w:pPr>
              <w:spacing w:line="259" w:lineRule="auto"/>
            </w:pPr>
            <w:r>
              <w:rPr>
                <w:b/>
                <w:sz w:val="18"/>
              </w:rPr>
              <w:t xml:space="preserve">Ensemble (hors UTCF) </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DAD95E2"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5BDEEF"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845CE1"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EBE65A"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F0D088"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7CAFF9"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77B0A3"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C01422"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D16207" w14:textId="77777777" w:rsidR="00281D48" w:rsidRPr="00634E4C" w:rsidRDefault="00281D48" w:rsidP="00281D48">
            <w:pPr>
              <w:spacing w:line="259" w:lineRule="auto"/>
              <w:ind w:right="28"/>
              <w:jc w:val="center"/>
              <w:rPr>
                <w:rFonts w:asciiTheme="majorHAnsi" w:hAnsiTheme="majorHAnsi"/>
                <w:b/>
                <w:sz w:val="18"/>
              </w:rPr>
            </w:pPr>
            <w:r w:rsidRPr="00634E4C">
              <w:rPr>
                <w:rFonts w:asciiTheme="majorHAnsi" w:hAnsiTheme="majorHAnsi"/>
                <w:b/>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AA5BD2"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914062"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5FD92D"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1831</w:t>
            </w:r>
          </w:p>
        </w:tc>
      </w:tr>
      <w:tr w:rsidR="00281D48" w:rsidRPr="00364545" w14:paraId="54BD4BB9" w14:textId="77777777" w:rsidTr="009F2D1E">
        <w:trPr>
          <w:trHeight w:val="346"/>
        </w:trPr>
        <w:tc>
          <w:tcPr>
            <w:tcW w:w="1405" w:type="dxa"/>
            <w:tcBorders>
              <w:top w:val="single" w:sz="2" w:space="0" w:color="000000"/>
              <w:left w:val="single" w:sz="2" w:space="0" w:color="000000"/>
              <w:bottom w:val="single" w:sz="2" w:space="0" w:color="000000"/>
              <w:right w:val="single" w:sz="2" w:space="0" w:color="000000"/>
            </w:tcBorders>
          </w:tcPr>
          <w:p w14:paraId="24D6E082" w14:textId="252223AC" w:rsidR="00281D48" w:rsidRPr="00364545" w:rsidRDefault="00281D48" w:rsidP="00281D48">
            <w:pPr>
              <w:spacing w:line="259" w:lineRule="auto"/>
            </w:pPr>
            <w:r>
              <w:rPr>
                <w:b/>
                <w:sz w:val="18"/>
              </w:rPr>
              <w:t xml:space="preserve">Ensemble (avec UTCF) </w:t>
            </w:r>
          </w:p>
        </w:tc>
        <w:tc>
          <w:tcPr>
            <w:tcW w:w="710" w:type="dxa"/>
            <w:tcBorders>
              <w:top w:val="single" w:sz="2" w:space="0" w:color="000000"/>
              <w:left w:val="single" w:sz="2" w:space="0" w:color="000000"/>
              <w:bottom w:val="single" w:sz="2" w:space="0" w:color="000000"/>
              <w:right w:val="single" w:sz="2" w:space="0" w:color="000000"/>
            </w:tcBorders>
            <w:vAlign w:val="center"/>
          </w:tcPr>
          <w:p w14:paraId="626FA747"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4402</w:t>
            </w:r>
          </w:p>
        </w:tc>
        <w:tc>
          <w:tcPr>
            <w:tcW w:w="711" w:type="dxa"/>
            <w:tcBorders>
              <w:top w:val="single" w:sz="2" w:space="0" w:color="000000"/>
              <w:left w:val="single" w:sz="2" w:space="0" w:color="000000"/>
              <w:bottom w:val="single" w:sz="2" w:space="0" w:color="000000"/>
              <w:right w:val="single" w:sz="2" w:space="0" w:color="000000"/>
            </w:tcBorders>
            <w:vAlign w:val="center"/>
          </w:tcPr>
          <w:p w14:paraId="707136A4"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1702</w:t>
            </w:r>
          </w:p>
        </w:tc>
        <w:tc>
          <w:tcPr>
            <w:tcW w:w="711" w:type="dxa"/>
            <w:tcBorders>
              <w:top w:val="single" w:sz="2" w:space="0" w:color="000000"/>
              <w:left w:val="single" w:sz="2" w:space="0" w:color="000000"/>
              <w:bottom w:val="single" w:sz="2" w:space="0" w:color="000000"/>
              <w:right w:val="single" w:sz="2" w:space="0" w:color="000000"/>
            </w:tcBorders>
            <w:vAlign w:val="center"/>
          </w:tcPr>
          <w:p w14:paraId="424A2857"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6736</w:t>
            </w:r>
          </w:p>
        </w:tc>
        <w:tc>
          <w:tcPr>
            <w:tcW w:w="711" w:type="dxa"/>
            <w:tcBorders>
              <w:top w:val="single" w:sz="2" w:space="0" w:color="000000"/>
              <w:left w:val="single" w:sz="2" w:space="0" w:color="000000"/>
              <w:bottom w:val="single" w:sz="2" w:space="0" w:color="000000"/>
              <w:right w:val="single" w:sz="2" w:space="0" w:color="000000"/>
            </w:tcBorders>
            <w:vAlign w:val="center"/>
          </w:tcPr>
          <w:p w14:paraId="31FA67B3"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12862</w:t>
            </w:r>
          </w:p>
        </w:tc>
        <w:tc>
          <w:tcPr>
            <w:tcW w:w="710" w:type="dxa"/>
            <w:tcBorders>
              <w:top w:val="single" w:sz="2" w:space="0" w:color="000000"/>
              <w:left w:val="single" w:sz="2" w:space="0" w:color="000000"/>
              <w:bottom w:val="single" w:sz="2" w:space="0" w:color="000000"/>
              <w:right w:val="single" w:sz="2" w:space="0" w:color="000000"/>
            </w:tcBorders>
            <w:vAlign w:val="center"/>
          </w:tcPr>
          <w:p w14:paraId="6E690C8D"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16930</w:t>
            </w:r>
          </w:p>
        </w:tc>
        <w:tc>
          <w:tcPr>
            <w:tcW w:w="711" w:type="dxa"/>
            <w:tcBorders>
              <w:top w:val="single" w:sz="2" w:space="0" w:color="000000"/>
              <w:left w:val="single" w:sz="2" w:space="0" w:color="000000"/>
              <w:bottom w:val="single" w:sz="2" w:space="0" w:color="000000"/>
              <w:right w:val="single" w:sz="2" w:space="0" w:color="000000"/>
            </w:tcBorders>
            <w:vAlign w:val="center"/>
          </w:tcPr>
          <w:p w14:paraId="4F1364D9" w14:textId="77777777" w:rsidR="00281D48" w:rsidRPr="00634E4C" w:rsidRDefault="00281D48" w:rsidP="00281D48">
            <w:pPr>
              <w:spacing w:line="259" w:lineRule="auto"/>
              <w:ind w:right="28"/>
              <w:jc w:val="center"/>
              <w:rPr>
                <w:rFonts w:asciiTheme="majorHAnsi" w:hAnsiTheme="majorHAnsi"/>
                <w:b/>
                <w:sz w:val="18"/>
              </w:rPr>
            </w:pPr>
            <w:r w:rsidRPr="005D0955">
              <w:rPr>
                <w:rFonts w:asciiTheme="majorHAnsi" w:hAnsiTheme="majorHAnsi"/>
                <w:sz w:val="18"/>
                <w:szCs w:val="18"/>
              </w:rPr>
              <w:t>17494</w:t>
            </w:r>
          </w:p>
        </w:tc>
        <w:tc>
          <w:tcPr>
            <w:tcW w:w="711" w:type="dxa"/>
            <w:tcBorders>
              <w:top w:val="single" w:sz="2" w:space="0" w:color="000000"/>
              <w:left w:val="single" w:sz="2" w:space="0" w:color="000000"/>
              <w:bottom w:val="single" w:sz="2" w:space="0" w:color="000000"/>
              <w:right w:val="single" w:sz="2" w:space="0" w:color="000000"/>
            </w:tcBorders>
            <w:vAlign w:val="center"/>
          </w:tcPr>
          <w:p w14:paraId="3610BAC4" w14:textId="77777777" w:rsidR="00281D48" w:rsidRPr="00634E4C" w:rsidRDefault="00281D48" w:rsidP="00281D48">
            <w:pPr>
              <w:spacing w:line="259" w:lineRule="auto"/>
              <w:ind w:right="27"/>
              <w:jc w:val="center"/>
              <w:rPr>
                <w:rFonts w:asciiTheme="majorHAnsi" w:hAnsiTheme="majorHAnsi"/>
                <w:b/>
                <w:sz w:val="18"/>
              </w:rPr>
            </w:pPr>
            <w:r w:rsidRPr="005D0955">
              <w:rPr>
                <w:rFonts w:asciiTheme="majorHAnsi" w:hAnsiTheme="majorHAnsi"/>
                <w:sz w:val="18"/>
                <w:szCs w:val="18"/>
              </w:rPr>
              <w:t>12992</w:t>
            </w:r>
          </w:p>
        </w:tc>
        <w:tc>
          <w:tcPr>
            <w:tcW w:w="711" w:type="dxa"/>
            <w:tcBorders>
              <w:top w:val="single" w:sz="2" w:space="0" w:color="000000"/>
              <w:left w:val="single" w:sz="2" w:space="0" w:color="000000"/>
              <w:bottom w:val="single" w:sz="2" w:space="0" w:color="000000"/>
              <w:right w:val="single" w:sz="2" w:space="0" w:color="000000"/>
            </w:tcBorders>
            <w:vAlign w:val="center"/>
          </w:tcPr>
          <w:p w14:paraId="3AD9B431"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12721</w:t>
            </w:r>
          </w:p>
        </w:tc>
        <w:tc>
          <w:tcPr>
            <w:tcW w:w="710" w:type="dxa"/>
            <w:tcBorders>
              <w:top w:val="single" w:sz="2" w:space="0" w:color="000000"/>
              <w:left w:val="single" w:sz="2" w:space="0" w:color="000000"/>
              <w:bottom w:val="single" w:sz="2" w:space="0" w:color="000000"/>
              <w:right w:val="single" w:sz="2" w:space="0" w:color="000000"/>
            </w:tcBorders>
            <w:vAlign w:val="center"/>
          </w:tcPr>
          <w:p w14:paraId="4CE27E1D" w14:textId="77777777" w:rsidR="00281D48" w:rsidRPr="00634E4C" w:rsidRDefault="00281D48" w:rsidP="00281D48">
            <w:pPr>
              <w:spacing w:line="259" w:lineRule="auto"/>
              <w:ind w:right="28"/>
              <w:jc w:val="center"/>
              <w:rPr>
                <w:rFonts w:asciiTheme="majorHAnsi" w:hAnsiTheme="majorHAnsi"/>
                <w:b/>
                <w:sz w:val="18"/>
              </w:rPr>
            </w:pPr>
            <w:r w:rsidRPr="00634E4C">
              <w:rPr>
                <w:rFonts w:asciiTheme="majorHAnsi" w:hAnsiTheme="majorHAnsi"/>
                <w:b/>
                <w:color w:val="000000"/>
                <w:sz w:val="18"/>
              </w:rPr>
              <w:t>7817</w:t>
            </w:r>
          </w:p>
        </w:tc>
        <w:tc>
          <w:tcPr>
            <w:tcW w:w="711" w:type="dxa"/>
            <w:tcBorders>
              <w:top w:val="single" w:sz="2" w:space="0" w:color="000000"/>
              <w:left w:val="single" w:sz="2" w:space="0" w:color="000000"/>
              <w:bottom w:val="single" w:sz="2" w:space="0" w:color="000000"/>
              <w:right w:val="single" w:sz="2" w:space="0" w:color="000000"/>
            </w:tcBorders>
            <w:vAlign w:val="center"/>
          </w:tcPr>
          <w:p w14:paraId="280CEEDC"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5053</w:t>
            </w:r>
          </w:p>
        </w:tc>
        <w:tc>
          <w:tcPr>
            <w:tcW w:w="711" w:type="dxa"/>
            <w:tcBorders>
              <w:top w:val="single" w:sz="2" w:space="0" w:color="000000"/>
              <w:left w:val="single" w:sz="2" w:space="0" w:color="000000"/>
              <w:bottom w:val="single" w:sz="2" w:space="0" w:color="000000"/>
              <w:right w:val="single" w:sz="2" w:space="0" w:color="000000"/>
            </w:tcBorders>
            <w:vAlign w:val="center"/>
          </w:tcPr>
          <w:p w14:paraId="13343CF9"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3427</w:t>
            </w:r>
          </w:p>
        </w:tc>
        <w:tc>
          <w:tcPr>
            <w:tcW w:w="711" w:type="dxa"/>
            <w:tcBorders>
              <w:top w:val="single" w:sz="2" w:space="0" w:color="000000"/>
              <w:left w:val="single" w:sz="2" w:space="0" w:color="000000"/>
              <w:bottom w:val="single" w:sz="2" w:space="0" w:color="000000"/>
              <w:right w:val="single" w:sz="2" w:space="0" w:color="000000"/>
            </w:tcBorders>
            <w:vAlign w:val="center"/>
          </w:tcPr>
          <w:p w14:paraId="5613E822" w14:textId="77777777" w:rsidR="00281D48" w:rsidRPr="00634E4C" w:rsidRDefault="00281D48" w:rsidP="00281D48">
            <w:pPr>
              <w:spacing w:line="259" w:lineRule="auto"/>
              <w:ind w:right="27"/>
              <w:jc w:val="center"/>
              <w:rPr>
                <w:rFonts w:asciiTheme="majorHAnsi" w:hAnsiTheme="majorHAnsi"/>
                <w:b/>
                <w:sz w:val="18"/>
              </w:rPr>
            </w:pPr>
            <w:r w:rsidRPr="00634E4C">
              <w:rPr>
                <w:rFonts w:asciiTheme="majorHAnsi" w:hAnsiTheme="majorHAnsi"/>
                <w:b/>
                <w:color w:val="000000"/>
                <w:sz w:val="18"/>
              </w:rPr>
              <w:t>1831</w:t>
            </w:r>
          </w:p>
        </w:tc>
      </w:tr>
    </w:tbl>
    <w:p w14:paraId="6822EF97" w14:textId="77777777" w:rsidR="00281D48" w:rsidRDefault="00281D48" w:rsidP="00CB5305">
      <w:pPr>
        <w:pStyle w:val="Caption"/>
      </w:pPr>
    </w:p>
    <w:p w14:paraId="62775574" w14:textId="4C29515B" w:rsidR="00CB5305" w:rsidRDefault="00CB5305" w:rsidP="00CB5305">
      <w:pPr>
        <w:pStyle w:val="Caption"/>
      </w:pPr>
      <w:r>
        <w:t xml:space="preserve">Tableau </w:t>
      </w:r>
      <w:fldSimple w:instr=" SEQ Tableau \* ARABIC ">
        <w:r w:rsidR="00AB51D9">
          <w:rPr>
            <w:noProof/>
          </w:rPr>
          <w:t>22</w:t>
        </w:r>
      </w:fldSimple>
      <w:r>
        <w:t xml:space="preserve"> </w:t>
      </w:r>
      <w:r w:rsidRPr="00160820">
        <w:t xml:space="preserve">: Projections d’émissions de HFC (en </w:t>
      </w:r>
      <w:r w:rsidRPr="00590551">
        <w:t>kt</w:t>
      </w:r>
      <w:r w:rsidR="007F09F7">
        <w:t>CO</w:t>
      </w:r>
      <w:r w:rsidR="007F09F7" w:rsidRPr="007F09F7">
        <w:rPr>
          <w:vertAlign w:val="subscript"/>
        </w:rPr>
        <w:t>2</w:t>
      </w:r>
      <w:r w:rsidRPr="00160820">
        <w:rPr>
          <w:vertAlign w:val="subscript"/>
        </w:rPr>
        <w:t>e</w:t>
      </w:r>
      <w:r w:rsidRPr="00160820">
        <w:t>) au périmètre Kyoto dans le scénario AME (avec mesures existantes)</w:t>
      </w:r>
      <w:bookmarkEnd w:id="555"/>
    </w:p>
    <w:p w14:paraId="3D116CFE" w14:textId="3AD19FB6" w:rsidR="00CB5305" w:rsidRPr="006E15FD" w:rsidRDefault="00CB5305" w:rsidP="00CB5305">
      <w:pPr>
        <w:pStyle w:val="Caption"/>
      </w:pPr>
      <w:r w:rsidRPr="006E15FD">
        <w:t>Source : Inventaire CCNUCC, Citepa/MTE, soumission 20</w:t>
      </w:r>
      <w:r>
        <w:t>2</w:t>
      </w:r>
      <w:r w:rsidR="00281D48">
        <w:t>2</w:t>
      </w:r>
      <w:r w:rsidRPr="006E15FD">
        <w:t xml:space="preserve"> et projections d’émissions MTE, 20</w:t>
      </w:r>
      <w:r>
        <w:t>21</w:t>
      </w:r>
    </w:p>
    <w:p w14:paraId="608F2044" w14:textId="77777777" w:rsidR="00CB5305" w:rsidRDefault="00CB5305" w:rsidP="00CB5305"/>
    <w:p w14:paraId="489A71DB" w14:textId="77777777" w:rsidR="00281D48" w:rsidRPr="00364545" w:rsidRDefault="00281D48" w:rsidP="00281D48">
      <w:bookmarkStart w:id="556" w:name="_Toc123916515"/>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10"/>
        <w:gridCol w:w="765"/>
        <w:gridCol w:w="792"/>
        <w:gridCol w:w="792"/>
        <w:gridCol w:w="762"/>
        <w:gridCol w:w="685"/>
        <w:gridCol w:w="683"/>
        <w:gridCol w:w="675"/>
        <w:gridCol w:w="691"/>
        <w:gridCol w:w="658"/>
        <w:gridCol w:w="660"/>
        <w:gridCol w:w="659"/>
        <w:gridCol w:w="602"/>
      </w:tblGrid>
      <w:tr w:rsidR="00281D48" w:rsidRPr="00364545" w14:paraId="63E52980" w14:textId="77777777" w:rsidTr="009F2D1E">
        <w:trPr>
          <w:trHeight w:val="402"/>
        </w:trPr>
        <w:tc>
          <w:tcPr>
            <w:tcW w:w="1510" w:type="dxa"/>
            <w:tcBorders>
              <w:top w:val="single" w:sz="2" w:space="0" w:color="000000"/>
              <w:left w:val="single" w:sz="2" w:space="0" w:color="000000"/>
              <w:bottom w:val="single" w:sz="2" w:space="0" w:color="000000"/>
              <w:right w:val="single" w:sz="2" w:space="0" w:color="000000"/>
            </w:tcBorders>
            <w:shd w:val="clear" w:color="auto" w:fill="6D2A78"/>
          </w:tcPr>
          <w:p w14:paraId="1C0EF99D" w14:textId="77777777" w:rsidR="00281D48" w:rsidRPr="00364545" w:rsidRDefault="00281D48" w:rsidP="009F2D1E">
            <w:pPr>
              <w:spacing w:line="259" w:lineRule="auto"/>
            </w:pPr>
            <w:r w:rsidRPr="00364545">
              <w:t>AME 21 - PFC</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058AB968" w14:textId="77777777" w:rsidR="00281D48" w:rsidRPr="00364545" w:rsidRDefault="00281D48" w:rsidP="009F2D1E">
            <w:pPr>
              <w:spacing w:line="259" w:lineRule="auto"/>
              <w:ind w:left="19"/>
              <w:jc w:val="center"/>
            </w:pPr>
            <w:r w:rsidRPr="00364545">
              <w:rPr>
                <w:b/>
                <w:color w:val="FFFFFF"/>
                <w:sz w:val="18"/>
              </w:rPr>
              <w:t xml:space="preserve">1990 </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35F77531"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7157AB4B" w14:textId="77777777" w:rsidR="00281D48" w:rsidRPr="00364545" w:rsidRDefault="00281D48" w:rsidP="009F2D1E">
            <w:pPr>
              <w:spacing w:line="259" w:lineRule="auto"/>
              <w:ind w:left="21"/>
              <w:jc w:val="center"/>
            </w:pPr>
            <w:r w:rsidRPr="00364545">
              <w:rPr>
                <w:b/>
                <w:color w:val="FFFFFF"/>
                <w:sz w:val="18"/>
              </w:rPr>
              <w:t xml:space="preserve">2000 </w:t>
            </w:r>
          </w:p>
        </w:tc>
        <w:tc>
          <w:tcPr>
            <w:tcW w:w="762" w:type="dxa"/>
            <w:tcBorders>
              <w:top w:val="single" w:sz="2" w:space="0" w:color="000000"/>
              <w:left w:val="single" w:sz="2" w:space="0" w:color="000000"/>
              <w:bottom w:val="single" w:sz="2" w:space="0" w:color="000000"/>
              <w:right w:val="single" w:sz="2" w:space="0" w:color="000000"/>
            </w:tcBorders>
            <w:shd w:val="clear" w:color="auto" w:fill="6D2A78"/>
          </w:tcPr>
          <w:p w14:paraId="4B535BEC" w14:textId="77777777" w:rsidR="00281D48" w:rsidRPr="00364545" w:rsidRDefault="00281D48" w:rsidP="009F2D1E">
            <w:pPr>
              <w:spacing w:line="259" w:lineRule="auto"/>
              <w:ind w:left="19"/>
              <w:jc w:val="center"/>
            </w:pPr>
            <w:r w:rsidRPr="00364545">
              <w:rPr>
                <w:b/>
                <w:color w:val="FFFFFF"/>
                <w:sz w:val="18"/>
              </w:rPr>
              <w:t xml:space="preserve">2005 </w:t>
            </w:r>
          </w:p>
        </w:tc>
        <w:tc>
          <w:tcPr>
            <w:tcW w:w="685" w:type="dxa"/>
            <w:tcBorders>
              <w:top w:val="single" w:sz="2" w:space="0" w:color="000000"/>
              <w:left w:val="single" w:sz="2" w:space="0" w:color="000000"/>
              <w:bottom w:val="single" w:sz="2" w:space="0" w:color="000000"/>
              <w:right w:val="single" w:sz="2" w:space="0" w:color="000000"/>
            </w:tcBorders>
            <w:shd w:val="clear" w:color="auto" w:fill="6D2A78"/>
          </w:tcPr>
          <w:p w14:paraId="57FA5A5A" w14:textId="77777777" w:rsidR="00281D48" w:rsidRPr="00364545" w:rsidRDefault="00281D48" w:rsidP="009F2D1E">
            <w:pPr>
              <w:spacing w:line="259" w:lineRule="auto"/>
              <w:ind w:left="21"/>
              <w:jc w:val="center"/>
            </w:pPr>
            <w:r w:rsidRPr="00364545">
              <w:rPr>
                <w:b/>
                <w:color w:val="FFFFFF"/>
                <w:sz w:val="18"/>
              </w:rPr>
              <w:t xml:space="preserve">2010 </w:t>
            </w:r>
          </w:p>
        </w:tc>
        <w:tc>
          <w:tcPr>
            <w:tcW w:w="683" w:type="dxa"/>
            <w:tcBorders>
              <w:top w:val="single" w:sz="2" w:space="0" w:color="000000"/>
              <w:left w:val="single" w:sz="2" w:space="0" w:color="000000"/>
              <w:bottom w:val="single" w:sz="2" w:space="0" w:color="000000"/>
              <w:right w:val="single" w:sz="2" w:space="0" w:color="000000"/>
            </w:tcBorders>
            <w:shd w:val="clear" w:color="auto" w:fill="6D2A78"/>
          </w:tcPr>
          <w:p w14:paraId="3A6924EF" w14:textId="77777777" w:rsidR="00281D48" w:rsidRPr="00364545" w:rsidRDefault="00281D48" w:rsidP="009F2D1E">
            <w:pPr>
              <w:spacing w:line="259" w:lineRule="auto"/>
              <w:ind w:left="19"/>
              <w:jc w:val="center"/>
            </w:pPr>
            <w:r w:rsidRPr="00364545">
              <w:rPr>
                <w:b/>
                <w:color w:val="FFFFFF"/>
                <w:sz w:val="18"/>
              </w:rPr>
              <w:t xml:space="preserve">2015 </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6EBAB06D" w14:textId="77777777" w:rsidR="00281D48" w:rsidRPr="00364545" w:rsidRDefault="00281D48" w:rsidP="009F2D1E">
            <w:pPr>
              <w:spacing w:line="259" w:lineRule="auto"/>
              <w:ind w:left="21"/>
              <w:jc w:val="center"/>
              <w:rPr>
                <w:b/>
                <w:color w:val="FFFFFF"/>
                <w:sz w:val="18"/>
              </w:rPr>
            </w:pPr>
            <w:r w:rsidRPr="00364545">
              <w:rPr>
                <w:b/>
                <w:color w:val="FFFFFF"/>
                <w:sz w:val="18"/>
              </w:rPr>
              <w:t>2019</w:t>
            </w:r>
          </w:p>
        </w:tc>
        <w:tc>
          <w:tcPr>
            <w:tcW w:w="691" w:type="dxa"/>
            <w:tcBorders>
              <w:top w:val="single" w:sz="2" w:space="0" w:color="000000"/>
              <w:left w:val="single" w:sz="2" w:space="0" w:color="000000"/>
              <w:bottom w:val="single" w:sz="2" w:space="0" w:color="000000"/>
              <w:right w:val="single" w:sz="2" w:space="0" w:color="000000"/>
            </w:tcBorders>
            <w:shd w:val="clear" w:color="auto" w:fill="6D2A78"/>
          </w:tcPr>
          <w:p w14:paraId="0B0F2A01" w14:textId="77777777" w:rsidR="00281D48" w:rsidRPr="00364545" w:rsidRDefault="00281D48" w:rsidP="009F2D1E">
            <w:pPr>
              <w:spacing w:line="259" w:lineRule="auto"/>
              <w:ind w:left="21"/>
              <w:jc w:val="center"/>
            </w:pPr>
            <w:r w:rsidRPr="00364545">
              <w:rPr>
                <w:b/>
                <w:color w:val="FFFFFF"/>
                <w:sz w:val="18"/>
              </w:rPr>
              <w:t xml:space="preserve">2020 </w:t>
            </w:r>
          </w:p>
        </w:tc>
        <w:tc>
          <w:tcPr>
            <w:tcW w:w="658" w:type="dxa"/>
            <w:tcBorders>
              <w:top w:val="single" w:sz="2" w:space="0" w:color="000000"/>
              <w:left w:val="single" w:sz="2" w:space="0" w:color="000000"/>
              <w:bottom w:val="single" w:sz="2" w:space="0" w:color="000000"/>
              <w:right w:val="single" w:sz="2" w:space="0" w:color="000000"/>
            </w:tcBorders>
            <w:shd w:val="clear" w:color="auto" w:fill="6D2A78"/>
          </w:tcPr>
          <w:p w14:paraId="5FCB2B1F" w14:textId="77777777" w:rsidR="00281D48" w:rsidRPr="00364545" w:rsidRDefault="00281D48" w:rsidP="009F2D1E">
            <w:pPr>
              <w:spacing w:line="259" w:lineRule="auto"/>
              <w:ind w:left="19"/>
              <w:jc w:val="center"/>
            </w:pPr>
            <w:r w:rsidRPr="00364545">
              <w:rPr>
                <w:b/>
                <w:color w:val="FFFFFF"/>
                <w:sz w:val="18"/>
              </w:rPr>
              <w:t xml:space="preserve">2025 </w:t>
            </w:r>
          </w:p>
        </w:tc>
        <w:tc>
          <w:tcPr>
            <w:tcW w:w="660" w:type="dxa"/>
            <w:tcBorders>
              <w:top w:val="single" w:sz="2" w:space="0" w:color="000000"/>
              <w:left w:val="single" w:sz="2" w:space="0" w:color="000000"/>
              <w:bottom w:val="single" w:sz="2" w:space="0" w:color="000000"/>
              <w:right w:val="single" w:sz="2" w:space="0" w:color="000000"/>
            </w:tcBorders>
            <w:shd w:val="clear" w:color="auto" w:fill="6D2A78"/>
          </w:tcPr>
          <w:p w14:paraId="10423E66" w14:textId="77777777" w:rsidR="00281D48" w:rsidRPr="00364545" w:rsidRDefault="00281D48" w:rsidP="009F2D1E">
            <w:pPr>
              <w:spacing w:line="259" w:lineRule="auto"/>
              <w:ind w:left="21"/>
              <w:jc w:val="center"/>
            </w:pPr>
            <w:r w:rsidRPr="00364545">
              <w:rPr>
                <w:b/>
                <w:color w:val="FFFFFF"/>
                <w:sz w:val="18"/>
              </w:rPr>
              <w:t xml:space="preserve">2030 </w:t>
            </w:r>
          </w:p>
        </w:tc>
        <w:tc>
          <w:tcPr>
            <w:tcW w:w="659" w:type="dxa"/>
            <w:tcBorders>
              <w:top w:val="single" w:sz="2" w:space="0" w:color="000000"/>
              <w:left w:val="single" w:sz="2" w:space="0" w:color="000000"/>
              <w:bottom w:val="single" w:sz="2" w:space="0" w:color="000000"/>
              <w:right w:val="single" w:sz="2" w:space="0" w:color="000000"/>
            </w:tcBorders>
            <w:shd w:val="clear" w:color="auto" w:fill="6D2A78"/>
          </w:tcPr>
          <w:p w14:paraId="58608560" w14:textId="77777777" w:rsidR="00281D48" w:rsidRPr="00364545" w:rsidRDefault="00281D48" w:rsidP="009F2D1E">
            <w:pPr>
              <w:spacing w:line="259" w:lineRule="auto"/>
              <w:ind w:left="20"/>
              <w:jc w:val="center"/>
            </w:pPr>
            <w:r w:rsidRPr="00364545">
              <w:rPr>
                <w:b/>
                <w:color w:val="FFFFFF"/>
                <w:sz w:val="18"/>
              </w:rPr>
              <w:t xml:space="preserve">2035 </w:t>
            </w:r>
          </w:p>
        </w:tc>
        <w:tc>
          <w:tcPr>
            <w:tcW w:w="602" w:type="dxa"/>
            <w:tcBorders>
              <w:top w:val="single" w:sz="2" w:space="0" w:color="000000"/>
              <w:left w:val="single" w:sz="2" w:space="0" w:color="000000"/>
              <w:bottom w:val="single" w:sz="2" w:space="0" w:color="000000"/>
              <w:right w:val="single" w:sz="2" w:space="0" w:color="000000"/>
            </w:tcBorders>
            <w:shd w:val="clear" w:color="auto" w:fill="6D2A78"/>
          </w:tcPr>
          <w:p w14:paraId="09E9A82B"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202F324D" w14:textId="77777777" w:rsidTr="009F2D1E">
        <w:trPr>
          <w:trHeight w:val="344"/>
        </w:trPr>
        <w:tc>
          <w:tcPr>
            <w:tcW w:w="1510" w:type="dxa"/>
            <w:tcBorders>
              <w:top w:val="single" w:sz="2" w:space="0" w:color="000000"/>
              <w:left w:val="single" w:sz="2" w:space="0" w:color="000000"/>
              <w:bottom w:val="single" w:sz="2" w:space="0" w:color="000000"/>
              <w:right w:val="single" w:sz="2" w:space="0" w:color="000000"/>
            </w:tcBorders>
          </w:tcPr>
          <w:p w14:paraId="6975EFF6" w14:textId="1A45119D" w:rsidR="00281D48" w:rsidRPr="00364545" w:rsidRDefault="00281D48" w:rsidP="00281D48">
            <w:pPr>
              <w:spacing w:line="259" w:lineRule="auto"/>
            </w:pPr>
            <w:r>
              <w:rPr>
                <w:sz w:val="18"/>
              </w:rPr>
              <w:t xml:space="preserve">Energie </w:t>
            </w:r>
          </w:p>
        </w:tc>
        <w:tc>
          <w:tcPr>
            <w:tcW w:w="765" w:type="dxa"/>
            <w:tcBorders>
              <w:top w:val="single" w:sz="2" w:space="0" w:color="000000"/>
              <w:left w:val="single" w:sz="2" w:space="0" w:color="000000"/>
              <w:bottom w:val="single" w:sz="2" w:space="0" w:color="000000"/>
              <w:right w:val="single" w:sz="2" w:space="0" w:color="000000"/>
            </w:tcBorders>
            <w:vAlign w:val="center"/>
          </w:tcPr>
          <w:p w14:paraId="6C838FC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0E2E9B5C"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2D0ACD66"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127685A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67F1B845"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3F372B2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427F22DA"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2268DB11"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2BA8D4C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06F863BD"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02170409"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48026D7D"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171D30AD" w14:textId="77777777" w:rsidTr="009F2D1E">
        <w:trPr>
          <w:trHeight w:val="419"/>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4DA96EF1" w14:textId="2564D5FD" w:rsidR="00281D48" w:rsidRPr="00364545" w:rsidRDefault="00281D48" w:rsidP="00281D48">
            <w:pPr>
              <w:spacing w:line="259" w:lineRule="auto"/>
            </w:pPr>
            <w:r>
              <w:rPr>
                <w:sz w:val="18"/>
              </w:rPr>
              <w:t xml:space="preserve">Procédés industriels, solvants et autres produits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811EB83"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2850A3B" w14:textId="77777777" w:rsidR="00281D48" w:rsidRPr="00634E4C" w:rsidRDefault="00281D48" w:rsidP="00281D48">
            <w:pPr>
              <w:spacing w:line="259" w:lineRule="auto"/>
              <w:ind w:left="16"/>
              <w:jc w:val="center"/>
              <w:rPr>
                <w:rFonts w:asciiTheme="majorHAnsi" w:hAnsiTheme="majorHAnsi"/>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4E66D33"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6F8095B"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48BBB01"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F91F21F" w14:textId="77777777" w:rsidR="00281D48" w:rsidRPr="00634E4C" w:rsidRDefault="00281D48" w:rsidP="00281D48">
            <w:pPr>
              <w:spacing w:line="259" w:lineRule="auto"/>
              <w:ind w:left="16"/>
              <w:jc w:val="center"/>
              <w:rPr>
                <w:rFonts w:asciiTheme="majorHAnsi" w:hAnsiTheme="majorHAnsi"/>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D028A84" w14:textId="77777777" w:rsidR="00281D48" w:rsidRPr="00634E4C" w:rsidRDefault="00281D48" w:rsidP="00281D48">
            <w:pPr>
              <w:spacing w:line="259" w:lineRule="auto"/>
              <w:ind w:left="16"/>
              <w:jc w:val="center"/>
              <w:rPr>
                <w:rFonts w:asciiTheme="majorHAnsi" w:hAnsiTheme="majorHAnsi"/>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588E270"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F63BF86"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0B7538B"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40CC97F"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99AEA5A" w14:textId="77777777" w:rsidR="00281D48" w:rsidRPr="00634E4C" w:rsidRDefault="00281D48" w:rsidP="00281D48">
            <w:pPr>
              <w:spacing w:line="259" w:lineRule="auto"/>
              <w:ind w:left="16"/>
              <w:jc w:val="center"/>
              <w:rPr>
                <w:rFonts w:asciiTheme="majorHAnsi" w:hAnsiTheme="majorHAnsi"/>
                <w:color w:val="000000"/>
                <w:sz w:val="18"/>
              </w:rPr>
            </w:pPr>
            <w:r w:rsidRPr="00634E4C">
              <w:rPr>
                <w:rFonts w:asciiTheme="majorHAnsi" w:hAnsiTheme="majorHAnsi"/>
                <w:color w:val="000000"/>
                <w:sz w:val="18"/>
              </w:rPr>
              <w:t>130.9</w:t>
            </w:r>
          </w:p>
        </w:tc>
      </w:tr>
      <w:tr w:rsidR="00281D48" w:rsidRPr="00364545" w14:paraId="7F78F71E" w14:textId="77777777" w:rsidTr="009F2D1E">
        <w:trPr>
          <w:trHeight w:val="347"/>
        </w:trPr>
        <w:tc>
          <w:tcPr>
            <w:tcW w:w="1510" w:type="dxa"/>
            <w:tcBorders>
              <w:top w:val="single" w:sz="2" w:space="0" w:color="000000"/>
              <w:left w:val="single" w:sz="2" w:space="0" w:color="000000"/>
              <w:bottom w:val="single" w:sz="2" w:space="0" w:color="000000"/>
              <w:right w:val="single" w:sz="2" w:space="0" w:color="000000"/>
            </w:tcBorders>
          </w:tcPr>
          <w:p w14:paraId="55E1163E" w14:textId="38DFA623" w:rsidR="00281D48" w:rsidRPr="00364545" w:rsidRDefault="00281D48" w:rsidP="00281D48">
            <w:pPr>
              <w:spacing w:line="259" w:lineRule="auto"/>
            </w:pPr>
            <w:r>
              <w:rPr>
                <w:sz w:val="18"/>
              </w:rPr>
              <w:t xml:space="preserve">Agriculture (hors énergie) </w:t>
            </w:r>
          </w:p>
        </w:tc>
        <w:tc>
          <w:tcPr>
            <w:tcW w:w="765" w:type="dxa"/>
            <w:tcBorders>
              <w:top w:val="single" w:sz="2" w:space="0" w:color="000000"/>
              <w:left w:val="single" w:sz="2" w:space="0" w:color="000000"/>
              <w:bottom w:val="single" w:sz="2" w:space="0" w:color="000000"/>
              <w:right w:val="single" w:sz="2" w:space="0" w:color="000000"/>
            </w:tcBorders>
            <w:vAlign w:val="center"/>
          </w:tcPr>
          <w:p w14:paraId="371F279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413F5268"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3549253E"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52267D9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29ADAB74"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06975C8F"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77C67E23"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14E1FAA8"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3C59AEE9"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5797FD1B"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7CD5D430"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323A3E68"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1149AC97" w14:textId="77777777" w:rsidTr="009F2D1E">
        <w:trPr>
          <w:trHeight w:val="342"/>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5EAD23D8" w14:textId="3E07B74B" w:rsidR="00281D48" w:rsidRPr="00364545" w:rsidRDefault="00281D48" w:rsidP="00281D48">
            <w:pPr>
              <w:spacing w:line="259" w:lineRule="auto"/>
            </w:pPr>
            <w:r>
              <w:rPr>
                <w:sz w:val="18"/>
              </w:rPr>
              <w:t xml:space="preserve">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450FA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B774380"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6575AB"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5FF7D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B2C678"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74D69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5A29E4"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05D609"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F0F8A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80E3C7"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AF4EE4"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725592"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0DBB904A" w14:textId="77777777" w:rsidTr="009F2D1E">
        <w:trPr>
          <w:trHeight w:val="347"/>
        </w:trPr>
        <w:tc>
          <w:tcPr>
            <w:tcW w:w="1510" w:type="dxa"/>
            <w:tcBorders>
              <w:top w:val="single" w:sz="2" w:space="0" w:color="000000"/>
              <w:left w:val="single" w:sz="2" w:space="0" w:color="000000"/>
              <w:bottom w:val="single" w:sz="2" w:space="0" w:color="000000"/>
              <w:right w:val="single" w:sz="2" w:space="0" w:color="000000"/>
            </w:tcBorders>
          </w:tcPr>
          <w:p w14:paraId="526EDB92" w14:textId="773012F8" w:rsidR="00281D48" w:rsidRPr="00364545" w:rsidRDefault="00281D48" w:rsidP="00281D48">
            <w:pPr>
              <w:spacing w:line="259" w:lineRule="auto"/>
            </w:pPr>
            <w:r>
              <w:rPr>
                <w:sz w:val="18"/>
              </w:rPr>
              <w:t xml:space="preserve">Déchets </w:t>
            </w:r>
          </w:p>
        </w:tc>
        <w:tc>
          <w:tcPr>
            <w:tcW w:w="765" w:type="dxa"/>
            <w:tcBorders>
              <w:top w:val="single" w:sz="2" w:space="0" w:color="000000"/>
              <w:left w:val="single" w:sz="2" w:space="0" w:color="000000"/>
              <w:bottom w:val="single" w:sz="2" w:space="0" w:color="000000"/>
              <w:right w:val="single" w:sz="2" w:space="0" w:color="000000"/>
            </w:tcBorders>
            <w:vAlign w:val="center"/>
          </w:tcPr>
          <w:p w14:paraId="01EA4B28"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1451EC37"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25DFB3AE"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11FCDF73"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5" w:type="dxa"/>
            <w:tcBorders>
              <w:top w:val="single" w:sz="2" w:space="0" w:color="000000"/>
              <w:left w:val="single" w:sz="2" w:space="0" w:color="000000"/>
              <w:bottom w:val="single" w:sz="2" w:space="0" w:color="000000"/>
              <w:right w:val="single" w:sz="2" w:space="0" w:color="000000"/>
            </w:tcBorders>
            <w:vAlign w:val="center"/>
          </w:tcPr>
          <w:p w14:paraId="2D14EBF6"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3" w:type="dxa"/>
            <w:tcBorders>
              <w:top w:val="single" w:sz="2" w:space="0" w:color="000000"/>
              <w:left w:val="single" w:sz="2" w:space="0" w:color="000000"/>
              <w:bottom w:val="single" w:sz="2" w:space="0" w:color="000000"/>
              <w:right w:val="single" w:sz="2" w:space="0" w:color="000000"/>
            </w:tcBorders>
            <w:vAlign w:val="center"/>
          </w:tcPr>
          <w:p w14:paraId="16AD0427"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06850019"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91" w:type="dxa"/>
            <w:tcBorders>
              <w:top w:val="single" w:sz="2" w:space="0" w:color="000000"/>
              <w:left w:val="single" w:sz="2" w:space="0" w:color="000000"/>
              <w:bottom w:val="single" w:sz="2" w:space="0" w:color="000000"/>
              <w:right w:val="single" w:sz="2" w:space="0" w:color="000000"/>
            </w:tcBorders>
            <w:vAlign w:val="center"/>
          </w:tcPr>
          <w:p w14:paraId="37616DD7"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8" w:type="dxa"/>
            <w:tcBorders>
              <w:top w:val="single" w:sz="2" w:space="0" w:color="000000"/>
              <w:left w:val="single" w:sz="2" w:space="0" w:color="000000"/>
              <w:bottom w:val="single" w:sz="2" w:space="0" w:color="000000"/>
              <w:right w:val="single" w:sz="2" w:space="0" w:color="000000"/>
            </w:tcBorders>
            <w:vAlign w:val="center"/>
          </w:tcPr>
          <w:p w14:paraId="2FBF91C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60" w:type="dxa"/>
            <w:tcBorders>
              <w:top w:val="single" w:sz="2" w:space="0" w:color="000000"/>
              <w:left w:val="single" w:sz="2" w:space="0" w:color="000000"/>
              <w:bottom w:val="single" w:sz="2" w:space="0" w:color="000000"/>
              <w:right w:val="single" w:sz="2" w:space="0" w:color="000000"/>
            </w:tcBorders>
            <w:vAlign w:val="center"/>
          </w:tcPr>
          <w:p w14:paraId="6348030A"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59" w:type="dxa"/>
            <w:tcBorders>
              <w:top w:val="single" w:sz="2" w:space="0" w:color="000000"/>
              <w:left w:val="single" w:sz="2" w:space="0" w:color="000000"/>
              <w:bottom w:val="single" w:sz="2" w:space="0" w:color="000000"/>
              <w:right w:val="single" w:sz="2" w:space="0" w:color="000000"/>
            </w:tcBorders>
            <w:vAlign w:val="center"/>
          </w:tcPr>
          <w:p w14:paraId="5CA9739E"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2" w:type="dxa"/>
            <w:tcBorders>
              <w:top w:val="single" w:sz="2" w:space="0" w:color="000000"/>
              <w:left w:val="single" w:sz="2" w:space="0" w:color="000000"/>
              <w:bottom w:val="single" w:sz="2" w:space="0" w:color="000000"/>
              <w:right w:val="single" w:sz="2" w:space="0" w:color="000000"/>
            </w:tcBorders>
            <w:vAlign w:val="center"/>
          </w:tcPr>
          <w:p w14:paraId="6BC55E32"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2CF673A5" w14:textId="77777777" w:rsidTr="009F2D1E">
        <w:trPr>
          <w:trHeight w:val="344"/>
        </w:trPr>
        <w:tc>
          <w:tcPr>
            <w:tcW w:w="1510" w:type="dxa"/>
            <w:tcBorders>
              <w:top w:val="single" w:sz="2" w:space="0" w:color="000000"/>
              <w:left w:val="single" w:sz="2" w:space="0" w:color="000000"/>
              <w:bottom w:val="single" w:sz="2" w:space="0" w:color="000000"/>
              <w:right w:val="single" w:sz="2" w:space="0" w:color="000000"/>
            </w:tcBorders>
            <w:shd w:val="clear" w:color="auto" w:fill="ECE6E2"/>
          </w:tcPr>
          <w:p w14:paraId="6F9B1E8D" w14:textId="6D70668C" w:rsidR="00281D48" w:rsidRPr="00364545" w:rsidRDefault="00281D48" w:rsidP="00281D48">
            <w:pPr>
              <w:spacing w:line="259" w:lineRule="auto"/>
            </w:pPr>
            <w:r>
              <w:rPr>
                <w:b/>
                <w:sz w:val="18"/>
              </w:rPr>
              <w:t xml:space="preserve">Ensemble (hors 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CF005DA"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F1D5523"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357EA7E"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ECBC841"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ACE2F6B"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2FDF27E"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34C7E5A" w14:textId="77777777" w:rsidR="00281D48" w:rsidRPr="00634E4C" w:rsidRDefault="00281D48" w:rsidP="00281D48">
            <w:pPr>
              <w:spacing w:line="259" w:lineRule="auto"/>
              <w:ind w:left="21"/>
              <w:jc w:val="center"/>
              <w:rPr>
                <w:rFonts w:asciiTheme="majorHAnsi" w:hAnsiTheme="majorHAnsi"/>
                <w:b/>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8980D7A"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C49BF70"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441F56B"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170D986"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55A060"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130.9</w:t>
            </w:r>
          </w:p>
        </w:tc>
      </w:tr>
      <w:tr w:rsidR="00281D48" w:rsidRPr="00364545" w14:paraId="332EB804" w14:textId="77777777" w:rsidTr="009F2D1E">
        <w:trPr>
          <w:trHeight w:val="346"/>
        </w:trPr>
        <w:tc>
          <w:tcPr>
            <w:tcW w:w="1510" w:type="dxa"/>
            <w:tcBorders>
              <w:top w:val="single" w:sz="2" w:space="0" w:color="000000"/>
              <w:left w:val="single" w:sz="2" w:space="0" w:color="000000"/>
              <w:bottom w:val="single" w:sz="2" w:space="0" w:color="000000"/>
              <w:right w:val="single" w:sz="2" w:space="0" w:color="000000"/>
            </w:tcBorders>
          </w:tcPr>
          <w:p w14:paraId="05BF4E0C" w14:textId="7F32964A" w:rsidR="00281D48" w:rsidRPr="00364545" w:rsidRDefault="00281D48" w:rsidP="00281D48">
            <w:pPr>
              <w:spacing w:line="259" w:lineRule="auto"/>
            </w:pPr>
            <w:r>
              <w:rPr>
                <w:b/>
                <w:sz w:val="18"/>
              </w:rPr>
              <w:t xml:space="preserve">Ensemble (avec UTCF) </w:t>
            </w:r>
          </w:p>
        </w:tc>
        <w:tc>
          <w:tcPr>
            <w:tcW w:w="765" w:type="dxa"/>
            <w:tcBorders>
              <w:top w:val="single" w:sz="2" w:space="0" w:color="000000"/>
              <w:left w:val="single" w:sz="2" w:space="0" w:color="000000"/>
              <w:bottom w:val="single" w:sz="2" w:space="0" w:color="000000"/>
              <w:right w:val="single" w:sz="2" w:space="0" w:color="000000"/>
            </w:tcBorders>
            <w:vAlign w:val="bottom"/>
          </w:tcPr>
          <w:p w14:paraId="1721D251"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5202</w:t>
            </w:r>
          </w:p>
        </w:tc>
        <w:tc>
          <w:tcPr>
            <w:tcW w:w="792" w:type="dxa"/>
            <w:tcBorders>
              <w:top w:val="single" w:sz="2" w:space="0" w:color="000000"/>
              <w:left w:val="single" w:sz="2" w:space="0" w:color="000000"/>
              <w:bottom w:val="single" w:sz="2" w:space="0" w:color="000000"/>
              <w:right w:val="single" w:sz="2" w:space="0" w:color="000000"/>
            </w:tcBorders>
            <w:vAlign w:val="bottom"/>
          </w:tcPr>
          <w:p w14:paraId="078E2A7F"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3065</w:t>
            </w:r>
          </w:p>
        </w:tc>
        <w:tc>
          <w:tcPr>
            <w:tcW w:w="792" w:type="dxa"/>
            <w:tcBorders>
              <w:top w:val="single" w:sz="2" w:space="0" w:color="000000"/>
              <w:left w:val="single" w:sz="2" w:space="0" w:color="000000"/>
              <w:bottom w:val="single" w:sz="2" w:space="0" w:color="000000"/>
              <w:right w:val="single" w:sz="2" w:space="0" w:color="000000"/>
            </w:tcBorders>
            <w:vAlign w:val="bottom"/>
          </w:tcPr>
          <w:p w14:paraId="7400FF0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2997</w:t>
            </w:r>
          </w:p>
        </w:tc>
        <w:tc>
          <w:tcPr>
            <w:tcW w:w="762" w:type="dxa"/>
            <w:tcBorders>
              <w:top w:val="single" w:sz="2" w:space="0" w:color="000000"/>
              <w:left w:val="single" w:sz="2" w:space="0" w:color="000000"/>
              <w:bottom w:val="single" w:sz="2" w:space="0" w:color="000000"/>
              <w:right w:val="single" w:sz="2" w:space="0" w:color="000000"/>
            </w:tcBorders>
            <w:vAlign w:val="bottom"/>
          </w:tcPr>
          <w:p w14:paraId="6544DF3F"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sz w:val="18"/>
              </w:rPr>
              <w:t>1760</w:t>
            </w:r>
          </w:p>
        </w:tc>
        <w:tc>
          <w:tcPr>
            <w:tcW w:w="685" w:type="dxa"/>
            <w:tcBorders>
              <w:top w:val="single" w:sz="2" w:space="0" w:color="000000"/>
              <w:left w:val="single" w:sz="2" w:space="0" w:color="000000"/>
              <w:bottom w:val="single" w:sz="2" w:space="0" w:color="000000"/>
              <w:right w:val="single" w:sz="2" w:space="0" w:color="000000"/>
            </w:tcBorders>
            <w:vAlign w:val="bottom"/>
          </w:tcPr>
          <w:p w14:paraId="1E357225"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sz w:val="18"/>
              </w:rPr>
              <w:t>617</w:t>
            </w:r>
          </w:p>
        </w:tc>
        <w:tc>
          <w:tcPr>
            <w:tcW w:w="683" w:type="dxa"/>
            <w:tcBorders>
              <w:top w:val="single" w:sz="2" w:space="0" w:color="000000"/>
              <w:left w:val="single" w:sz="2" w:space="0" w:color="000000"/>
              <w:bottom w:val="single" w:sz="2" w:space="0" w:color="000000"/>
              <w:right w:val="single" w:sz="2" w:space="0" w:color="000000"/>
            </w:tcBorders>
            <w:vAlign w:val="bottom"/>
          </w:tcPr>
          <w:p w14:paraId="0368AB65"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537</w:t>
            </w:r>
          </w:p>
        </w:tc>
        <w:tc>
          <w:tcPr>
            <w:tcW w:w="675" w:type="dxa"/>
            <w:tcBorders>
              <w:top w:val="single" w:sz="2" w:space="0" w:color="000000"/>
              <w:left w:val="single" w:sz="2" w:space="0" w:color="000000"/>
              <w:bottom w:val="single" w:sz="2" w:space="0" w:color="000000"/>
              <w:right w:val="single" w:sz="2" w:space="0" w:color="000000"/>
            </w:tcBorders>
            <w:vAlign w:val="bottom"/>
          </w:tcPr>
          <w:p w14:paraId="6183ECC6" w14:textId="77777777" w:rsidR="00281D48" w:rsidRPr="00634E4C" w:rsidRDefault="00281D48" w:rsidP="00281D48">
            <w:pPr>
              <w:spacing w:line="259" w:lineRule="auto"/>
              <w:ind w:left="21"/>
              <w:jc w:val="center"/>
              <w:rPr>
                <w:rFonts w:asciiTheme="majorHAnsi" w:hAnsiTheme="majorHAnsi"/>
                <w:b/>
                <w:color w:val="000000"/>
                <w:sz w:val="18"/>
              </w:rPr>
            </w:pPr>
            <w:r w:rsidRPr="005D0955">
              <w:rPr>
                <w:rFonts w:asciiTheme="majorHAnsi" w:hAnsiTheme="majorHAnsi"/>
                <w:sz w:val="18"/>
                <w:szCs w:val="18"/>
              </w:rPr>
              <w:t>615</w:t>
            </w:r>
          </w:p>
        </w:tc>
        <w:tc>
          <w:tcPr>
            <w:tcW w:w="691" w:type="dxa"/>
            <w:tcBorders>
              <w:top w:val="single" w:sz="2" w:space="0" w:color="000000"/>
              <w:left w:val="single" w:sz="2" w:space="0" w:color="000000"/>
              <w:bottom w:val="single" w:sz="2" w:space="0" w:color="000000"/>
              <w:right w:val="single" w:sz="2" w:space="0" w:color="000000"/>
            </w:tcBorders>
            <w:vAlign w:val="bottom"/>
          </w:tcPr>
          <w:p w14:paraId="1D1F52C8"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462.9</w:t>
            </w:r>
          </w:p>
        </w:tc>
        <w:tc>
          <w:tcPr>
            <w:tcW w:w="658" w:type="dxa"/>
            <w:tcBorders>
              <w:top w:val="single" w:sz="2" w:space="0" w:color="000000"/>
              <w:left w:val="single" w:sz="2" w:space="0" w:color="000000"/>
              <w:bottom w:val="single" w:sz="2" w:space="0" w:color="000000"/>
              <w:right w:val="single" w:sz="2" w:space="0" w:color="000000"/>
            </w:tcBorders>
            <w:vAlign w:val="bottom"/>
          </w:tcPr>
          <w:p w14:paraId="55B776E1"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290.7</w:t>
            </w:r>
          </w:p>
        </w:tc>
        <w:tc>
          <w:tcPr>
            <w:tcW w:w="660" w:type="dxa"/>
            <w:tcBorders>
              <w:top w:val="single" w:sz="2" w:space="0" w:color="000000"/>
              <w:left w:val="single" w:sz="2" w:space="0" w:color="000000"/>
              <w:bottom w:val="single" w:sz="2" w:space="0" w:color="000000"/>
              <w:right w:val="single" w:sz="2" w:space="0" w:color="000000"/>
            </w:tcBorders>
            <w:vAlign w:val="bottom"/>
          </w:tcPr>
          <w:p w14:paraId="7A5886BA"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217.7</w:t>
            </w:r>
          </w:p>
        </w:tc>
        <w:tc>
          <w:tcPr>
            <w:tcW w:w="659" w:type="dxa"/>
            <w:tcBorders>
              <w:top w:val="single" w:sz="2" w:space="0" w:color="000000"/>
              <w:left w:val="single" w:sz="2" w:space="0" w:color="000000"/>
              <w:bottom w:val="single" w:sz="2" w:space="0" w:color="000000"/>
              <w:right w:val="single" w:sz="2" w:space="0" w:color="000000"/>
            </w:tcBorders>
            <w:vAlign w:val="bottom"/>
          </w:tcPr>
          <w:p w14:paraId="31358A7A"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156.5</w:t>
            </w:r>
          </w:p>
        </w:tc>
        <w:tc>
          <w:tcPr>
            <w:tcW w:w="602" w:type="dxa"/>
            <w:tcBorders>
              <w:top w:val="single" w:sz="2" w:space="0" w:color="000000"/>
              <w:left w:val="single" w:sz="2" w:space="0" w:color="000000"/>
              <w:bottom w:val="single" w:sz="2" w:space="0" w:color="000000"/>
              <w:right w:val="single" w:sz="2" w:space="0" w:color="000000"/>
            </w:tcBorders>
            <w:vAlign w:val="bottom"/>
          </w:tcPr>
          <w:p w14:paraId="6E0E3C5D"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130.9</w:t>
            </w:r>
          </w:p>
        </w:tc>
      </w:tr>
    </w:tbl>
    <w:p w14:paraId="3F08EADB" w14:textId="77777777" w:rsidR="00281D48" w:rsidRDefault="00281D48" w:rsidP="00CB5305">
      <w:pPr>
        <w:pStyle w:val="Caption"/>
      </w:pPr>
    </w:p>
    <w:p w14:paraId="4B8226E4" w14:textId="240716F8" w:rsidR="00CB5305" w:rsidRDefault="00CB5305" w:rsidP="00CB5305">
      <w:pPr>
        <w:pStyle w:val="Caption"/>
      </w:pPr>
      <w:r>
        <w:t xml:space="preserve">Tableau </w:t>
      </w:r>
      <w:fldSimple w:instr=" SEQ Tableau \* ARABIC ">
        <w:r w:rsidR="00AB51D9">
          <w:rPr>
            <w:noProof/>
          </w:rPr>
          <w:t>23</w:t>
        </w:r>
      </w:fldSimple>
      <w:r>
        <w:t xml:space="preserve"> : </w:t>
      </w:r>
      <w:r w:rsidRPr="00160820">
        <w:t xml:space="preserve">Projections d’émissions de PFC (en </w:t>
      </w:r>
      <w:r w:rsidRPr="00590551">
        <w:t>kt</w:t>
      </w:r>
      <w:r w:rsidR="007F09F7">
        <w:t>CO</w:t>
      </w:r>
      <w:r w:rsidR="007F09F7" w:rsidRPr="007F09F7">
        <w:rPr>
          <w:vertAlign w:val="subscript"/>
        </w:rPr>
        <w:t>2</w:t>
      </w:r>
      <w:r w:rsidRPr="00160820">
        <w:rPr>
          <w:vertAlign w:val="subscript"/>
        </w:rPr>
        <w:t>e</w:t>
      </w:r>
      <w:r w:rsidRPr="00160820">
        <w:t xml:space="preserve">) au périmètre Kyoto dans le scénario AME </w:t>
      </w:r>
      <w:r>
        <w:t xml:space="preserve">2021 </w:t>
      </w:r>
      <w:r w:rsidRPr="00160820">
        <w:t>(avec mesures existantes)</w:t>
      </w:r>
      <w:bookmarkEnd w:id="556"/>
    </w:p>
    <w:p w14:paraId="7FBA720E" w14:textId="1EEEEF8A" w:rsidR="00CB5305" w:rsidRDefault="00CB5305" w:rsidP="00CB5305">
      <w:pPr>
        <w:pStyle w:val="Caption"/>
      </w:pPr>
      <w:r w:rsidRPr="006E15FD">
        <w:t>Source : Inventaire CCNUCC, Citepa/MTE, soumission 20</w:t>
      </w:r>
      <w:r>
        <w:t>2</w:t>
      </w:r>
      <w:r w:rsidR="00281D48">
        <w:t>2</w:t>
      </w:r>
      <w:r w:rsidRPr="006E15FD">
        <w:t xml:space="preserve"> et projections d’émissions MTE, 20</w:t>
      </w:r>
      <w:r>
        <w:t>21</w:t>
      </w:r>
    </w:p>
    <w:p w14:paraId="16C66BE8" w14:textId="77777777" w:rsidR="00281D48" w:rsidRPr="00364545" w:rsidRDefault="00281D48" w:rsidP="00281D48">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94"/>
        <w:gridCol w:w="765"/>
        <w:gridCol w:w="792"/>
        <w:gridCol w:w="765"/>
        <w:gridCol w:w="762"/>
        <w:gridCol w:w="667"/>
        <w:gridCol w:w="665"/>
        <w:gridCol w:w="621"/>
        <w:gridCol w:w="675"/>
        <w:gridCol w:w="673"/>
        <w:gridCol w:w="675"/>
        <w:gridCol w:w="674"/>
        <w:gridCol w:w="606"/>
      </w:tblGrid>
      <w:tr w:rsidR="00281D48" w:rsidRPr="00364545" w14:paraId="58CA714E" w14:textId="77777777" w:rsidTr="009F2D1E">
        <w:trPr>
          <w:trHeight w:val="402"/>
        </w:trPr>
        <w:tc>
          <w:tcPr>
            <w:tcW w:w="1594" w:type="dxa"/>
            <w:tcBorders>
              <w:top w:val="single" w:sz="2" w:space="0" w:color="000000"/>
              <w:left w:val="single" w:sz="2" w:space="0" w:color="000000"/>
              <w:bottom w:val="single" w:sz="2" w:space="0" w:color="000000"/>
              <w:right w:val="single" w:sz="2" w:space="0" w:color="000000"/>
            </w:tcBorders>
            <w:shd w:val="clear" w:color="auto" w:fill="6D2A78"/>
          </w:tcPr>
          <w:p w14:paraId="55265050" w14:textId="77777777" w:rsidR="00281D48" w:rsidRPr="00364545" w:rsidRDefault="00281D48" w:rsidP="009F2D1E">
            <w:pPr>
              <w:spacing w:line="259" w:lineRule="auto"/>
            </w:pPr>
            <w:r w:rsidRPr="00364545">
              <w:t>AME 21 – SF</w:t>
            </w:r>
            <w:r w:rsidRPr="00364545">
              <w:rPr>
                <w:vertAlign w:val="subscript"/>
              </w:rPr>
              <w:t>6</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39E3ED45" w14:textId="77777777" w:rsidR="00281D48" w:rsidRPr="00364545" w:rsidRDefault="00281D48" w:rsidP="009F2D1E">
            <w:pPr>
              <w:spacing w:line="259" w:lineRule="auto"/>
              <w:ind w:left="19"/>
              <w:jc w:val="center"/>
            </w:pPr>
            <w:r w:rsidRPr="00364545">
              <w:rPr>
                <w:b/>
                <w:color w:val="FFFFFF"/>
                <w:sz w:val="18"/>
              </w:rPr>
              <w:t xml:space="preserve">1990 </w:t>
            </w:r>
          </w:p>
        </w:tc>
        <w:tc>
          <w:tcPr>
            <w:tcW w:w="792" w:type="dxa"/>
            <w:tcBorders>
              <w:top w:val="single" w:sz="2" w:space="0" w:color="000000"/>
              <w:left w:val="single" w:sz="2" w:space="0" w:color="000000"/>
              <w:bottom w:val="single" w:sz="2" w:space="0" w:color="000000"/>
              <w:right w:val="single" w:sz="2" w:space="0" w:color="000000"/>
            </w:tcBorders>
            <w:shd w:val="clear" w:color="auto" w:fill="6D2A78"/>
          </w:tcPr>
          <w:p w14:paraId="78125298"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71F78BF3" w14:textId="77777777" w:rsidR="00281D48" w:rsidRPr="00364545" w:rsidRDefault="00281D48" w:rsidP="009F2D1E">
            <w:pPr>
              <w:spacing w:line="259" w:lineRule="auto"/>
              <w:ind w:left="21"/>
              <w:jc w:val="center"/>
            </w:pPr>
            <w:r w:rsidRPr="00364545">
              <w:rPr>
                <w:b/>
                <w:color w:val="FFFFFF"/>
                <w:sz w:val="18"/>
              </w:rPr>
              <w:t xml:space="preserve">2000 </w:t>
            </w:r>
          </w:p>
        </w:tc>
        <w:tc>
          <w:tcPr>
            <w:tcW w:w="762" w:type="dxa"/>
            <w:tcBorders>
              <w:top w:val="single" w:sz="2" w:space="0" w:color="000000"/>
              <w:left w:val="single" w:sz="2" w:space="0" w:color="000000"/>
              <w:bottom w:val="single" w:sz="2" w:space="0" w:color="000000"/>
              <w:right w:val="single" w:sz="2" w:space="0" w:color="000000"/>
            </w:tcBorders>
            <w:shd w:val="clear" w:color="auto" w:fill="6D2A78"/>
          </w:tcPr>
          <w:p w14:paraId="40C0D77F" w14:textId="77777777" w:rsidR="00281D48" w:rsidRPr="00364545" w:rsidRDefault="00281D48" w:rsidP="009F2D1E">
            <w:pPr>
              <w:spacing w:line="259" w:lineRule="auto"/>
              <w:ind w:left="19"/>
              <w:jc w:val="center"/>
            </w:pPr>
            <w:r w:rsidRPr="00364545">
              <w:rPr>
                <w:b/>
                <w:color w:val="FFFFFF"/>
                <w:sz w:val="18"/>
              </w:rPr>
              <w:t xml:space="preserve">2005 </w:t>
            </w:r>
          </w:p>
        </w:tc>
        <w:tc>
          <w:tcPr>
            <w:tcW w:w="667" w:type="dxa"/>
            <w:tcBorders>
              <w:top w:val="single" w:sz="2" w:space="0" w:color="000000"/>
              <w:left w:val="single" w:sz="2" w:space="0" w:color="000000"/>
              <w:bottom w:val="single" w:sz="2" w:space="0" w:color="000000"/>
              <w:right w:val="single" w:sz="2" w:space="0" w:color="000000"/>
            </w:tcBorders>
            <w:shd w:val="clear" w:color="auto" w:fill="6D2A78"/>
          </w:tcPr>
          <w:p w14:paraId="41180478" w14:textId="77777777" w:rsidR="00281D48" w:rsidRPr="00364545" w:rsidRDefault="00281D48" w:rsidP="009F2D1E">
            <w:pPr>
              <w:spacing w:line="259" w:lineRule="auto"/>
              <w:ind w:left="21"/>
              <w:jc w:val="center"/>
            </w:pPr>
            <w:r w:rsidRPr="00364545">
              <w:rPr>
                <w:b/>
                <w:color w:val="FFFFFF"/>
                <w:sz w:val="18"/>
              </w:rPr>
              <w:t xml:space="preserve">2010 </w:t>
            </w:r>
          </w:p>
        </w:tc>
        <w:tc>
          <w:tcPr>
            <w:tcW w:w="665" w:type="dxa"/>
            <w:tcBorders>
              <w:top w:val="single" w:sz="2" w:space="0" w:color="000000"/>
              <w:left w:val="single" w:sz="2" w:space="0" w:color="000000"/>
              <w:bottom w:val="single" w:sz="2" w:space="0" w:color="000000"/>
              <w:right w:val="single" w:sz="2" w:space="0" w:color="000000"/>
            </w:tcBorders>
            <w:shd w:val="clear" w:color="auto" w:fill="6D2A78"/>
          </w:tcPr>
          <w:p w14:paraId="5170478F" w14:textId="77777777" w:rsidR="00281D48" w:rsidRPr="00364545" w:rsidRDefault="00281D48" w:rsidP="009F2D1E">
            <w:pPr>
              <w:spacing w:line="259" w:lineRule="auto"/>
              <w:ind w:left="19"/>
              <w:jc w:val="center"/>
            </w:pPr>
            <w:r w:rsidRPr="00364545">
              <w:rPr>
                <w:b/>
                <w:color w:val="FFFFFF"/>
                <w:sz w:val="18"/>
              </w:rPr>
              <w:t xml:space="preserve">2015 </w:t>
            </w:r>
          </w:p>
        </w:tc>
        <w:tc>
          <w:tcPr>
            <w:tcW w:w="621" w:type="dxa"/>
            <w:tcBorders>
              <w:top w:val="single" w:sz="2" w:space="0" w:color="000000"/>
              <w:left w:val="single" w:sz="2" w:space="0" w:color="000000"/>
              <w:bottom w:val="single" w:sz="2" w:space="0" w:color="000000"/>
              <w:right w:val="single" w:sz="2" w:space="0" w:color="000000"/>
            </w:tcBorders>
            <w:shd w:val="clear" w:color="auto" w:fill="6D2A78"/>
          </w:tcPr>
          <w:p w14:paraId="5B761C3A" w14:textId="77777777" w:rsidR="00281D48" w:rsidRPr="00364545" w:rsidRDefault="00281D48" w:rsidP="009F2D1E">
            <w:pPr>
              <w:spacing w:line="259" w:lineRule="auto"/>
              <w:ind w:left="21"/>
              <w:jc w:val="center"/>
              <w:rPr>
                <w:b/>
                <w:color w:val="FFFFFF"/>
                <w:sz w:val="18"/>
              </w:rPr>
            </w:pPr>
            <w:r w:rsidRPr="00364545">
              <w:rPr>
                <w:b/>
                <w:color w:val="FFFFFF"/>
                <w:sz w:val="18"/>
              </w:rPr>
              <w:t>2019</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5D25D0C2" w14:textId="77777777" w:rsidR="00281D48" w:rsidRPr="00364545" w:rsidRDefault="00281D48" w:rsidP="009F2D1E">
            <w:pPr>
              <w:spacing w:line="259" w:lineRule="auto"/>
              <w:ind w:left="21"/>
              <w:jc w:val="center"/>
            </w:pPr>
            <w:r w:rsidRPr="00364545">
              <w:rPr>
                <w:b/>
                <w:color w:val="FFFFFF"/>
                <w:sz w:val="18"/>
              </w:rPr>
              <w:t xml:space="preserve">2020 </w:t>
            </w:r>
          </w:p>
        </w:tc>
        <w:tc>
          <w:tcPr>
            <w:tcW w:w="673" w:type="dxa"/>
            <w:tcBorders>
              <w:top w:val="single" w:sz="2" w:space="0" w:color="000000"/>
              <w:left w:val="single" w:sz="2" w:space="0" w:color="000000"/>
              <w:bottom w:val="single" w:sz="2" w:space="0" w:color="000000"/>
              <w:right w:val="single" w:sz="2" w:space="0" w:color="000000"/>
            </w:tcBorders>
            <w:shd w:val="clear" w:color="auto" w:fill="6D2A78"/>
          </w:tcPr>
          <w:p w14:paraId="0EC68DB4" w14:textId="77777777" w:rsidR="00281D48" w:rsidRPr="00364545" w:rsidRDefault="00281D48" w:rsidP="009F2D1E">
            <w:pPr>
              <w:spacing w:line="259" w:lineRule="auto"/>
              <w:ind w:left="19"/>
              <w:jc w:val="center"/>
            </w:pPr>
            <w:r w:rsidRPr="00364545">
              <w:rPr>
                <w:b/>
                <w:color w:val="FFFFFF"/>
                <w:sz w:val="18"/>
              </w:rPr>
              <w:t xml:space="preserve">2025 </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7236E317" w14:textId="77777777" w:rsidR="00281D48" w:rsidRPr="00364545" w:rsidRDefault="00281D48" w:rsidP="009F2D1E">
            <w:pPr>
              <w:spacing w:line="259" w:lineRule="auto"/>
              <w:ind w:left="21"/>
              <w:jc w:val="center"/>
            </w:pPr>
            <w:r w:rsidRPr="00364545">
              <w:rPr>
                <w:b/>
                <w:color w:val="FFFFFF"/>
                <w:sz w:val="18"/>
              </w:rPr>
              <w:t xml:space="preserve">2030 </w:t>
            </w:r>
          </w:p>
        </w:tc>
        <w:tc>
          <w:tcPr>
            <w:tcW w:w="674" w:type="dxa"/>
            <w:tcBorders>
              <w:top w:val="single" w:sz="2" w:space="0" w:color="000000"/>
              <w:left w:val="single" w:sz="2" w:space="0" w:color="000000"/>
              <w:bottom w:val="single" w:sz="2" w:space="0" w:color="000000"/>
              <w:right w:val="single" w:sz="2" w:space="0" w:color="000000"/>
            </w:tcBorders>
            <w:shd w:val="clear" w:color="auto" w:fill="6D2A78"/>
          </w:tcPr>
          <w:p w14:paraId="3EB2EC1B" w14:textId="77777777" w:rsidR="00281D48" w:rsidRPr="00364545" w:rsidRDefault="00281D48" w:rsidP="009F2D1E">
            <w:pPr>
              <w:spacing w:line="259" w:lineRule="auto"/>
              <w:ind w:left="20"/>
              <w:jc w:val="center"/>
            </w:pPr>
            <w:r w:rsidRPr="00364545">
              <w:rPr>
                <w:b/>
                <w:color w:val="FFFFFF"/>
                <w:sz w:val="18"/>
              </w:rPr>
              <w:t xml:space="preserve">2035 </w:t>
            </w:r>
          </w:p>
        </w:tc>
        <w:tc>
          <w:tcPr>
            <w:tcW w:w="606" w:type="dxa"/>
            <w:tcBorders>
              <w:top w:val="single" w:sz="2" w:space="0" w:color="000000"/>
              <w:left w:val="single" w:sz="2" w:space="0" w:color="000000"/>
              <w:bottom w:val="single" w:sz="2" w:space="0" w:color="000000"/>
              <w:right w:val="single" w:sz="2" w:space="0" w:color="000000"/>
            </w:tcBorders>
            <w:shd w:val="clear" w:color="auto" w:fill="6D2A78"/>
          </w:tcPr>
          <w:p w14:paraId="7118A04C"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4A773C60" w14:textId="77777777" w:rsidTr="009F2D1E">
        <w:trPr>
          <w:trHeight w:val="347"/>
        </w:trPr>
        <w:tc>
          <w:tcPr>
            <w:tcW w:w="1594" w:type="dxa"/>
            <w:tcBorders>
              <w:top w:val="single" w:sz="2" w:space="0" w:color="000000"/>
              <w:left w:val="single" w:sz="2" w:space="0" w:color="000000"/>
              <w:bottom w:val="single" w:sz="2" w:space="0" w:color="000000"/>
              <w:right w:val="single" w:sz="2" w:space="0" w:color="000000"/>
            </w:tcBorders>
          </w:tcPr>
          <w:p w14:paraId="6969942D" w14:textId="5D791229" w:rsidR="00281D48" w:rsidRPr="00364545" w:rsidRDefault="00281D48" w:rsidP="00281D48">
            <w:pPr>
              <w:spacing w:line="259" w:lineRule="auto"/>
            </w:pPr>
            <w:r>
              <w:rPr>
                <w:sz w:val="18"/>
              </w:rPr>
              <w:t xml:space="preserve">Energie </w:t>
            </w:r>
          </w:p>
        </w:tc>
        <w:tc>
          <w:tcPr>
            <w:tcW w:w="765" w:type="dxa"/>
            <w:tcBorders>
              <w:top w:val="single" w:sz="2" w:space="0" w:color="000000"/>
              <w:left w:val="single" w:sz="2" w:space="0" w:color="000000"/>
              <w:bottom w:val="single" w:sz="2" w:space="0" w:color="000000"/>
              <w:right w:val="single" w:sz="2" w:space="0" w:color="000000"/>
            </w:tcBorders>
            <w:vAlign w:val="center"/>
          </w:tcPr>
          <w:p w14:paraId="12667032"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7EEAEC93"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1582CF5F"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565A2EA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5CBD8168"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6D1A557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264D722D"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0421E7D1"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23C6EAA2"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21241B0D"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012E7F2B"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6FD145FF"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3B1FA156" w14:textId="77777777" w:rsidTr="009F2D1E">
        <w:trPr>
          <w:trHeight w:val="416"/>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5B54141A" w14:textId="78BA5358" w:rsidR="00281D48" w:rsidRPr="00364545" w:rsidRDefault="00281D48" w:rsidP="00281D48">
            <w:pPr>
              <w:spacing w:line="259" w:lineRule="auto"/>
            </w:pPr>
            <w:r>
              <w:rPr>
                <w:sz w:val="18"/>
              </w:rPr>
              <w:t xml:space="preserve">Procédés industriels, solvants et autres produits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394127F"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2965EF1" w14:textId="77777777" w:rsidR="00281D48" w:rsidRPr="00634E4C" w:rsidRDefault="00281D48" w:rsidP="00281D48">
            <w:pPr>
              <w:spacing w:line="259" w:lineRule="auto"/>
              <w:ind w:left="19"/>
              <w:jc w:val="center"/>
              <w:rPr>
                <w:rFonts w:asciiTheme="majorHAnsi" w:hAnsiTheme="majorHAnsi"/>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DC4FDFE"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950ED31" w14:textId="77777777" w:rsidR="00281D48" w:rsidRPr="00634E4C" w:rsidRDefault="00281D48" w:rsidP="00281D48">
            <w:pPr>
              <w:spacing w:line="259" w:lineRule="auto"/>
              <w:ind w:left="16"/>
              <w:jc w:val="center"/>
              <w:rPr>
                <w:rFonts w:asciiTheme="majorHAnsi" w:hAnsiTheme="majorHAnsi"/>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0A82448" w14:textId="77777777" w:rsidR="00281D48" w:rsidRPr="00634E4C" w:rsidRDefault="00281D48" w:rsidP="00281D48">
            <w:pPr>
              <w:spacing w:line="259" w:lineRule="auto"/>
              <w:ind w:left="21"/>
              <w:jc w:val="center"/>
              <w:rPr>
                <w:rFonts w:asciiTheme="majorHAnsi" w:hAnsiTheme="majorHAnsi"/>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D848977"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09A739E" w14:textId="77777777" w:rsidR="00281D48" w:rsidRPr="00634E4C" w:rsidRDefault="00281D48" w:rsidP="00281D48">
            <w:pPr>
              <w:spacing w:line="259" w:lineRule="auto"/>
              <w:ind w:left="21"/>
              <w:jc w:val="center"/>
              <w:rPr>
                <w:rFonts w:asciiTheme="majorHAnsi" w:hAnsiTheme="majorHAnsi"/>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0527473" w14:textId="77777777" w:rsidR="00281D48" w:rsidRPr="00634E4C" w:rsidRDefault="00281D48" w:rsidP="00281D48">
            <w:pPr>
              <w:spacing w:line="259" w:lineRule="auto"/>
              <w:ind w:left="21"/>
              <w:jc w:val="center"/>
              <w:rPr>
                <w:rFonts w:asciiTheme="majorHAnsi" w:hAnsiTheme="majorHAnsi"/>
                <w:color w:val="000000"/>
                <w:sz w:val="18"/>
              </w:rPr>
            </w:pPr>
            <w:r w:rsidRPr="00634E4C">
              <w:rPr>
                <w:rFonts w:asciiTheme="majorHAnsi" w:hAnsiTheme="majorHAnsi"/>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64A49F4"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B03D7F5" w14:textId="77777777" w:rsidR="00281D48" w:rsidRPr="00634E4C" w:rsidRDefault="00281D48" w:rsidP="00281D48">
            <w:pPr>
              <w:spacing w:line="259" w:lineRule="auto"/>
              <w:ind w:left="21"/>
              <w:jc w:val="center"/>
              <w:rPr>
                <w:rFonts w:asciiTheme="majorHAnsi" w:hAnsiTheme="majorHAnsi"/>
                <w:color w:val="000000"/>
                <w:sz w:val="18"/>
              </w:rPr>
            </w:pPr>
            <w:r w:rsidRPr="00634E4C">
              <w:rPr>
                <w:rFonts w:asciiTheme="majorHAnsi" w:hAnsiTheme="majorHAnsi"/>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D807BF7" w14:textId="77777777" w:rsidR="00281D48" w:rsidRPr="00634E4C" w:rsidRDefault="00281D48" w:rsidP="00281D48">
            <w:pPr>
              <w:spacing w:line="259" w:lineRule="auto"/>
              <w:ind w:left="20"/>
              <w:jc w:val="center"/>
              <w:rPr>
                <w:rFonts w:asciiTheme="majorHAnsi" w:hAnsiTheme="majorHAnsi"/>
                <w:color w:val="000000"/>
                <w:sz w:val="18"/>
              </w:rPr>
            </w:pPr>
            <w:r w:rsidRPr="00634E4C">
              <w:rPr>
                <w:rFonts w:asciiTheme="majorHAnsi" w:hAnsiTheme="majorHAnsi"/>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52081C8" w14:textId="77777777" w:rsidR="00281D48" w:rsidRPr="00634E4C" w:rsidRDefault="00281D48" w:rsidP="00281D48">
            <w:pPr>
              <w:spacing w:line="259" w:lineRule="auto"/>
              <w:ind w:left="20"/>
              <w:jc w:val="center"/>
              <w:rPr>
                <w:rFonts w:asciiTheme="majorHAnsi" w:hAnsiTheme="majorHAnsi"/>
                <w:color w:val="000000"/>
                <w:sz w:val="18"/>
              </w:rPr>
            </w:pPr>
            <w:r w:rsidRPr="00634E4C">
              <w:rPr>
                <w:rFonts w:asciiTheme="majorHAnsi" w:hAnsiTheme="majorHAnsi"/>
                <w:color w:val="000000"/>
                <w:sz w:val="18"/>
              </w:rPr>
              <w:t>363.0</w:t>
            </w:r>
          </w:p>
        </w:tc>
      </w:tr>
      <w:tr w:rsidR="00281D48" w:rsidRPr="00364545" w14:paraId="42384BBF" w14:textId="77777777" w:rsidTr="009F2D1E">
        <w:trPr>
          <w:trHeight w:val="347"/>
        </w:trPr>
        <w:tc>
          <w:tcPr>
            <w:tcW w:w="1594" w:type="dxa"/>
            <w:tcBorders>
              <w:top w:val="single" w:sz="2" w:space="0" w:color="000000"/>
              <w:left w:val="single" w:sz="2" w:space="0" w:color="000000"/>
              <w:bottom w:val="single" w:sz="2" w:space="0" w:color="000000"/>
              <w:right w:val="single" w:sz="2" w:space="0" w:color="000000"/>
            </w:tcBorders>
          </w:tcPr>
          <w:p w14:paraId="477D2540" w14:textId="1A85E48C" w:rsidR="00281D48" w:rsidRPr="00364545" w:rsidRDefault="00281D48" w:rsidP="00281D48">
            <w:pPr>
              <w:spacing w:line="259" w:lineRule="auto"/>
            </w:pPr>
            <w:r>
              <w:rPr>
                <w:sz w:val="18"/>
              </w:rPr>
              <w:t xml:space="preserve">Agriculture (hors énergie) </w:t>
            </w:r>
          </w:p>
        </w:tc>
        <w:tc>
          <w:tcPr>
            <w:tcW w:w="765" w:type="dxa"/>
            <w:tcBorders>
              <w:top w:val="single" w:sz="2" w:space="0" w:color="000000"/>
              <w:left w:val="single" w:sz="2" w:space="0" w:color="000000"/>
              <w:bottom w:val="single" w:sz="2" w:space="0" w:color="000000"/>
              <w:right w:val="single" w:sz="2" w:space="0" w:color="000000"/>
            </w:tcBorders>
            <w:vAlign w:val="center"/>
          </w:tcPr>
          <w:p w14:paraId="270AED41"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693CAAC1"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576FADA4"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72654C42"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332B7E75"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269F195C"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409CA382"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543977D6"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3BB71CC4"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7AD764BD"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3440A930"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2FA75A19"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7516162A" w14:textId="77777777" w:rsidTr="009F2D1E">
        <w:trPr>
          <w:trHeight w:val="344"/>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04BEAFFD" w14:textId="420AA778" w:rsidR="00281D48" w:rsidRPr="00364545" w:rsidRDefault="00281D48" w:rsidP="00281D48">
            <w:pPr>
              <w:spacing w:line="259" w:lineRule="auto"/>
            </w:pPr>
            <w:r>
              <w:rPr>
                <w:sz w:val="18"/>
              </w:rPr>
              <w:t xml:space="preserve">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7228F8"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9A8471"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D7AE6F"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4B8175"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B25AFE"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35994EC"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B2E29F"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ACD323"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2CDCB3"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1BA9F3"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53B0D6"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B3C83F"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7FCC5041" w14:textId="77777777" w:rsidTr="009F2D1E">
        <w:trPr>
          <w:trHeight w:val="346"/>
        </w:trPr>
        <w:tc>
          <w:tcPr>
            <w:tcW w:w="1594" w:type="dxa"/>
            <w:tcBorders>
              <w:top w:val="single" w:sz="2" w:space="0" w:color="000000"/>
              <w:left w:val="single" w:sz="2" w:space="0" w:color="000000"/>
              <w:bottom w:val="single" w:sz="2" w:space="0" w:color="000000"/>
              <w:right w:val="single" w:sz="2" w:space="0" w:color="000000"/>
            </w:tcBorders>
          </w:tcPr>
          <w:p w14:paraId="6B5D3E12" w14:textId="5AE1851F" w:rsidR="00281D48" w:rsidRPr="00364545" w:rsidRDefault="00281D48" w:rsidP="00281D48">
            <w:pPr>
              <w:spacing w:line="259" w:lineRule="auto"/>
            </w:pPr>
            <w:r>
              <w:rPr>
                <w:sz w:val="18"/>
              </w:rPr>
              <w:t xml:space="preserve">Déchets </w:t>
            </w:r>
          </w:p>
        </w:tc>
        <w:tc>
          <w:tcPr>
            <w:tcW w:w="765" w:type="dxa"/>
            <w:tcBorders>
              <w:top w:val="single" w:sz="2" w:space="0" w:color="000000"/>
              <w:left w:val="single" w:sz="2" w:space="0" w:color="000000"/>
              <w:bottom w:val="single" w:sz="2" w:space="0" w:color="000000"/>
              <w:right w:val="single" w:sz="2" w:space="0" w:color="000000"/>
            </w:tcBorders>
            <w:vAlign w:val="center"/>
          </w:tcPr>
          <w:p w14:paraId="7323194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92" w:type="dxa"/>
            <w:tcBorders>
              <w:top w:val="single" w:sz="2" w:space="0" w:color="000000"/>
              <w:left w:val="single" w:sz="2" w:space="0" w:color="000000"/>
              <w:bottom w:val="single" w:sz="2" w:space="0" w:color="000000"/>
              <w:right w:val="single" w:sz="2" w:space="0" w:color="000000"/>
            </w:tcBorders>
            <w:vAlign w:val="center"/>
          </w:tcPr>
          <w:p w14:paraId="248D5917"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5D9F85EB"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4BE17BE9"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67" w:type="dxa"/>
            <w:tcBorders>
              <w:top w:val="single" w:sz="2" w:space="0" w:color="000000"/>
              <w:left w:val="single" w:sz="2" w:space="0" w:color="000000"/>
              <w:bottom w:val="single" w:sz="2" w:space="0" w:color="000000"/>
              <w:right w:val="single" w:sz="2" w:space="0" w:color="000000"/>
            </w:tcBorders>
            <w:vAlign w:val="center"/>
          </w:tcPr>
          <w:p w14:paraId="245B76EF"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65" w:type="dxa"/>
            <w:tcBorders>
              <w:top w:val="single" w:sz="2" w:space="0" w:color="000000"/>
              <w:left w:val="single" w:sz="2" w:space="0" w:color="000000"/>
              <w:bottom w:val="single" w:sz="2" w:space="0" w:color="000000"/>
              <w:right w:val="single" w:sz="2" w:space="0" w:color="000000"/>
            </w:tcBorders>
            <w:vAlign w:val="center"/>
          </w:tcPr>
          <w:p w14:paraId="63EE67C5"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21" w:type="dxa"/>
            <w:tcBorders>
              <w:top w:val="single" w:sz="2" w:space="0" w:color="000000"/>
              <w:left w:val="single" w:sz="2" w:space="0" w:color="000000"/>
              <w:bottom w:val="single" w:sz="2" w:space="0" w:color="000000"/>
              <w:right w:val="single" w:sz="2" w:space="0" w:color="000000"/>
            </w:tcBorders>
            <w:vAlign w:val="center"/>
          </w:tcPr>
          <w:p w14:paraId="4C0FCC34"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1519C65A"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18DB2DE9" w14:textId="77777777" w:rsidR="00281D48" w:rsidRPr="00634E4C" w:rsidRDefault="00281D48" w:rsidP="00281D48">
            <w:pPr>
              <w:spacing w:line="259" w:lineRule="auto"/>
              <w:ind w:left="14"/>
              <w:jc w:val="center"/>
              <w:rPr>
                <w:rFonts w:asciiTheme="majorHAnsi" w:hAnsiTheme="majorHAnsi"/>
                <w:b/>
                <w:color w:val="000000"/>
                <w:sz w:val="18"/>
              </w:rP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2B7CF480" w14:textId="77777777" w:rsidR="00281D48" w:rsidRPr="00634E4C" w:rsidRDefault="00281D48" w:rsidP="00281D48">
            <w:pPr>
              <w:spacing w:line="259" w:lineRule="auto"/>
              <w:ind w:left="16"/>
              <w:jc w:val="center"/>
              <w:rPr>
                <w:rFonts w:asciiTheme="majorHAnsi" w:hAnsiTheme="majorHAnsi"/>
                <w:b/>
                <w:color w:val="000000"/>
                <w:sz w:val="18"/>
              </w:rPr>
            </w:pPr>
            <w:r w:rsidRPr="00634E4C">
              <w:rPr>
                <w:rFonts w:asciiTheme="majorHAnsi" w:hAnsiTheme="majorHAnsi"/>
                <w:b/>
                <w:color w:val="000000"/>
                <w:sz w:val="18"/>
              </w:rPr>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73BC9675"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c>
          <w:tcPr>
            <w:tcW w:w="606" w:type="dxa"/>
            <w:tcBorders>
              <w:top w:val="single" w:sz="2" w:space="0" w:color="000000"/>
              <w:left w:val="single" w:sz="2" w:space="0" w:color="000000"/>
              <w:bottom w:val="single" w:sz="2" w:space="0" w:color="000000"/>
              <w:right w:val="single" w:sz="2" w:space="0" w:color="000000"/>
            </w:tcBorders>
            <w:vAlign w:val="center"/>
          </w:tcPr>
          <w:p w14:paraId="24E4FD0B" w14:textId="77777777" w:rsidR="00281D48" w:rsidRPr="00634E4C" w:rsidRDefault="00281D48" w:rsidP="00281D48">
            <w:pPr>
              <w:spacing w:line="259" w:lineRule="auto"/>
              <w:ind w:left="15"/>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529137E9" w14:textId="77777777" w:rsidTr="009F2D1E">
        <w:trPr>
          <w:trHeight w:val="343"/>
        </w:trPr>
        <w:tc>
          <w:tcPr>
            <w:tcW w:w="1594" w:type="dxa"/>
            <w:tcBorders>
              <w:top w:val="single" w:sz="2" w:space="0" w:color="000000"/>
              <w:left w:val="single" w:sz="2" w:space="0" w:color="000000"/>
              <w:bottom w:val="single" w:sz="2" w:space="0" w:color="000000"/>
              <w:right w:val="single" w:sz="2" w:space="0" w:color="000000"/>
            </w:tcBorders>
            <w:shd w:val="clear" w:color="auto" w:fill="ECE6E2"/>
          </w:tcPr>
          <w:p w14:paraId="5C2FD5D5" w14:textId="222E7D17" w:rsidR="00281D48" w:rsidRPr="00364545" w:rsidRDefault="00281D48" w:rsidP="00281D48">
            <w:pPr>
              <w:spacing w:line="259" w:lineRule="auto"/>
            </w:pPr>
            <w:r>
              <w:rPr>
                <w:b/>
                <w:sz w:val="18"/>
              </w:rPr>
              <w:t xml:space="preserve">Ensemble (hors UTCF) </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22B2EE9"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DB37504"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89CE22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59D1237" w14:textId="77777777" w:rsidR="00281D48" w:rsidRPr="00634E4C" w:rsidRDefault="00281D48" w:rsidP="00281D48">
            <w:pPr>
              <w:spacing w:line="259" w:lineRule="auto"/>
              <w:ind w:left="16"/>
              <w:jc w:val="center"/>
              <w:rPr>
                <w:rFonts w:asciiTheme="majorHAnsi" w:hAnsiTheme="majorHAnsi"/>
                <w:b/>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5D0A139"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FC5C7FE"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9655A1" w14:textId="77777777" w:rsidR="00281D48" w:rsidRPr="00634E4C" w:rsidRDefault="00281D48" w:rsidP="00281D48">
            <w:pPr>
              <w:spacing w:line="259" w:lineRule="auto"/>
              <w:ind w:left="21"/>
              <w:jc w:val="center"/>
              <w:rPr>
                <w:rFonts w:asciiTheme="majorHAnsi" w:hAnsiTheme="majorHAnsi"/>
                <w:b/>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F5FF327"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7F000E0F"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0284F0F"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56DC4CB"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F23917D"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363.0</w:t>
            </w:r>
          </w:p>
        </w:tc>
      </w:tr>
      <w:tr w:rsidR="00281D48" w:rsidRPr="00364545" w14:paraId="06ACB00E" w14:textId="77777777" w:rsidTr="009F2D1E">
        <w:trPr>
          <w:trHeight w:val="346"/>
        </w:trPr>
        <w:tc>
          <w:tcPr>
            <w:tcW w:w="1594" w:type="dxa"/>
            <w:tcBorders>
              <w:top w:val="single" w:sz="2" w:space="0" w:color="000000"/>
              <w:left w:val="single" w:sz="2" w:space="0" w:color="000000"/>
              <w:bottom w:val="single" w:sz="2" w:space="0" w:color="000000"/>
              <w:right w:val="single" w:sz="2" w:space="0" w:color="000000"/>
            </w:tcBorders>
          </w:tcPr>
          <w:p w14:paraId="281AB4C5" w14:textId="41C16E02" w:rsidR="00281D48" w:rsidRPr="00364545" w:rsidRDefault="00281D48" w:rsidP="00281D48">
            <w:pPr>
              <w:spacing w:line="259" w:lineRule="auto"/>
            </w:pPr>
            <w:r>
              <w:rPr>
                <w:b/>
                <w:sz w:val="18"/>
              </w:rPr>
              <w:t xml:space="preserve">Ensemble (avec UTCF) </w:t>
            </w:r>
          </w:p>
        </w:tc>
        <w:tc>
          <w:tcPr>
            <w:tcW w:w="765" w:type="dxa"/>
            <w:tcBorders>
              <w:top w:val="single" w:sz="2" w:space="0" w:color="000000"/>
              <w:left w:val="single" w:sz="2" w:space="0" w:color="000000"/>
              <w:bottom w:val="single" w:sz="2" w:space="0" w:color="000000"/>
              <w:right w:val="single" w:sz="2" w:space="0" w:color="000000"/>
            </w:tcBorders>
            <w:vAlign w:val="bottom"/>
          </w:tcPr>
          <w:p w14:paraId="2395BC37" w14:textId="77777777" w:rsidR="00281D48" w:rsidRPr="00634E4C" w:rsidRDefault="00281D48" w:rsidP="00281D48">
            <w:pPr>
              <w:spacing w:line="259" w:lineRule="auto"/>
              <w:ind w:left="16"/>
              <w:jc w:val="center"/>
              <w:rPr>
                <w:rFonts w:asciiTheme="majorHAnsi" w:hAnsiTheme="majorHAnsi"/>
                <w:sz w:val="18"/>
              </w:rPr>
            </w:pPr>
            <w:r w:rsidRPr="005D0955">
              <w:rPr>
                <w:rFonts w:asciiTheme="majorHAnsi" w:hAnsiTheme="majorHAnsi"/>
                <w:sz w:val="18"/>
                <w:szCs w:val="18"/>
              </w:rPr>
              <w:t>2155</w:t>
            </w:r>
          </w:p>
        </w:tc>
        <w:tc>
          <w:tcPr>
            <w:tcW w:w="792" w:type="dxa"/>
            <w:tcBorders>
              <w:top w:val="single" w:sz="2" w:space="0" w:color="000000"/>
              <w:left w:val="single" w:sz="2" w:space="0" w:color="000000"/>
              <w:bottom w:val="single" w:sz="2" w:space="0" w:color="000000"/>
              <w:right w:val="single" w:sz="2" w:space="0" w:color="000000"/>
            </w:tcBorders>
            <w:vAlign w:val="bottom"/>
          </w:tcPr>
          <w:p w14:paraId="42624ADE"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vAlign w:val="bottom"/>
          </w:tcPr>
          <w:p w14:paraId="4FDF0C07"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2180</w:t>
            </w:r>
          </w:p>
        </w:tc>
        <w:tc>
          <w:tcPr>
            <w:tcW w:w="762" w:type="dxa"/>
            <w:tcBorders>
              <w:top w:val="single" w:sz="2" w:space="0" w:color="000000"/>
              <w:left w:val="single" w:sz="2" w:space="0" w:color="000000"/>
              <w:bottom w:val="single" w:sz="2" w:space="0" w:color="000000"/>
              <w:right w:val="single" w:sz="2" w:space="0" w:color="000000"/>
            </w:tcBorders>
            <w:vAlign w:val="bottom"/>
          </w:tcPr>
          <w:p w14:paraId="3ADD392B" w14:textId="77777777" w:rsidR="00281D48" w:rsidRPr="00634E4C" w:rsidRDefault="00281D48" w:rsidP="00281D48">
            <w:pPr>
              <w:spacing w:line="259" w:lineRule="auto"/>
              <w:ind w:left="16"/>
              <w:jc w:val="center"/>
              <w:rPr>
                <w:rFonts w:asciiTheme="majorHAnsi" w:hAnsiTheme="majorHAnsi"/>
                <w:b/>
                <w:color w:val="000000"/>
                <w:sz w:val="18"/>
              </w:rPr>
            </w:pPr>
            <w:r w:rsidRPr="005D0955">
              <w:rPr>
                <w:rFonts w:asciiTheme="majorHAnsi" w:hAnsiTheme="majorHAnsi"/>
                <w:sz w:val="18"/>
                <w:szCs w:val="18"/>
              </w:rPr>
              <w:t>1355</w:t>
            </w:r>
          </w:p>
        </w:tc>
        <w:tc>
          <w:tcPr>
            <w:tcW w:w="667" w:type="dxa"/>
            <w:tcBorders>
              <w:top w:val="single" w:sz="2" w:space="0" w:color="000000"/>
              <w:left w:val="single" w:sz="2" w:space="0" w:color="000000"/>
              <w:bottom w:val="single" w:sz="2" w:space="0" w:color="000000"/>
              <w:right w:val="single" w:sz="2" w:space="0" w:color="000000"/>
            </w:tcBorders>
            <w:vAlign w:val="bottom"/>
          </w:tcPr>
          <w:p w14:paraId="53E6EB2E"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sz w:val="18"/>
              </w:rPr>
              <w:t>875</w:t>
            </w:r>
          </w:p>
        </w:tc>
        <w:tc>
          <w:tcPr>
            <w:tcW w:w="665" w:type="dxa"/>
            <w:tcBorders>
              <w:top w:val="single" w:sz="2" w:space="0" w:color="000000"/>
              <w:left w:val="single" w:sz="2" w:space="0" w:color="000000"/>
              <w:bottom w:val="single" w:sz="2" w:space="0" w:color="000000"/>
              <w:right w:val="single" w:sz="2" w:space="0" w:color="000000"/>
            </w:tcBorders>
            <w:vAlign w:val="bottom"/>
          </w:tcPr>
          <w:p w14:paraId="5CD9254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498</w:t>
            </w:r>
          </w:p>
        </w:tc>
        <w:tc>
          <w:tcPr>
            <w:tcW w:w="621" w:type="dxa"/>
            <w:tcBorders>
              <w:top w:val="single" w:sz="2" w:space="0" w:color="000000"/>
              <w:left w:val="single" w:sz="2" w:space="0" w:color="000000"/>
              <w:bottom w:val="single" w:sz="2" w:space="0" w:color="000000"/>
              <w:right w:val="single" w:sz="2" w:space="0" w:color="000000"/>
            </w:tcBorders>
            <w:vAlign w:val="bottom"/>
          </w:tcPr>
          <w:p w14:paraId="11778E94" w14:textId="77777777" w:rsidR="00281D48" w:rsidRPr="00634E4C" w:rsidRDefault="00281D48" w:rsidP="00281D48">
            <w:pPr>
              <w:spacing w:line="259" w:lineRule="auto"/>
              <w:ind w:left="21"/>
              <w:jc w:val="center"/>
              <w:rPr>
                <w:rFonts w:asciiTheme="majorHAnsi" w:hAnsiTheme="majorHAnsi"/>
                <w:b/>
                <w:color w:val="000000"/>
                <w:sz w:val="18"/>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vAlign w:val="bottom"/>
          </w:tcPr>
          <w:p w14:paraId="32A57452"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387.4</w:t>
            </w:r>
          </w:p>
        </w:tc>
        <w:tc>
          <w:tcPr>
            <w:tcW w:w="673" w:type="dxa"/>
            <w:tcBorders>
              <w:top w:val="single" w:sz="2" w:space="0" w:color="000000"/>
              <w:left w:val="single" w:sz="2" w:space="0" w:color="000000"/>
              <w:bottom w:val="single" w:sz="2" w:space="0" w:color="000000"/>
              <w:right w:val="single" w:sz="2" w:space="0" w:color="000000"/>
            </w:tcBorders>
            <w:vAlign w:val="bottom"/>
          </w:tcPr>
          <w:p w14:paraId="106C3C3E"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358.1</w:t>
            </w:r>
          </w:p>
        </w:tc>
        <w:tc>
          <w:tcPr>
            <w:tcW w:w="675" w:type="dxa"/>
            <w:tcBorders>
              <w:top w:val="single" w:sz="2" w:space="0" w:color="000000"/>
              <w:left w:val="single" w:sz="2" w:space="0" w:color="000000"/>
              <w:bottom w:val="single" w:sz="2" w:space="0" w:color="000000"/>
              <w:right w:val="single" w:sz="2" w:space="0" w:color="000000"/>
            </w:tcBorders>
            <w:vAlign w:val="bottom"/>
          </w:tcPr>
          <w:p w14:paraId="234FD0D2" w14:textId="77777777" w:rsidR="00281D48" w:rsidRPr="00634E4C" w:rsidRDefault="00281D48" w:rsidP="00281D48">
            <w:pPr>
              <w:spacing w:line="259" w:lineRule="auto"/>
              <w:ind w:left="21"/>
              <w:jc w:val="center"/>
              <w:rPr>
                <w:rFonts w:asciiTheme="majorHAnsi" w:hAnsiTheme="majorHAnsi"/>
                <w:b/>
                <w:color w:val="000000"/>
                <w:sz w:val="18"/>
              </w:rPr>
            </w:pPr>
            <w:r w:rsidRPr="00634E4C">
              <w:rPr>
                <w:rFonts w:asciiTheme="majorHAnsi" w:hAnsiTheme="majorHAnsi"/>
                <w:b/>
                <w:color w:val="000000"/>
                <w:sz w:val="18"/>
              </w:rPr>
              <w:t>359.2</w:t>
            </w:r>
          </w:p>
        </w:tc>
        <w:tc>
          <w:tcPr>
            <w:tcW w:w="674" w:type="dxa"/>
            <w:tcBorders>
              <w:top w:val="single" w:sz="2" w:space="0" w:color="000000"/>
              <w:left w:val="single" w:sz="2" w:space="0" w:color="000000"/>
              <w:bottom w:val="single" w:sz="2" w:space="0" w:color="000000"/>
              <w:right w:val="single" w:sz="2" w:space="0" w:color="000000"/>
            </w:tcBorders>
            <w:vAlign w:val="bottom"/>
          </w:tcPr>
          <w:p w14:paraId="480AC7E7"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360.2</w:t>
            </w:r>
          </w:p>
        </w:tc>
        <w:tc>
          <w:tcPr>
            <w:tcW w:w="606" w:type="dxa"/>
            <w:tcBorders>
              <w:top w:val="single" w:sz="2" w:space="0" w:color="000000"/>
              <w:left w:val="single" w:sz="2" w:space="0" w:color="000000"/>
              <w:bottom w:val="single" w:sz="2" w:space="0" w:color="000000"/>
              <w:right w:val="single" w:sz="2" w:space="0" w:color="000000"/>
            </w:tcBorders>
            <w:vAlign w:val="bottom"/>
          </w:tcPr>
          <w:p w14:paraId="60A3CAEC" w14:textId="77777777" w:rsidR="00281D48" w:rsidRPr="00634E4C" w:rsidRDefault="00281D48" w:rsidP="00281D48">
            <w:pPr>
              <w:spacing w:line="259" w:lineRule="auto"/>
              <w:ind w:left="20"/>
              <w:jc w:val="center"/>
              <w:rPr>
                <w:rFonts w:asciiTheme="majorHAnsi" w:hAnsiTheme="majorHAnsi"/>
                <w:b/>
                <w:color w:val="000000"/>
                <w:sz w:val="18"/>
              </w:rPr>
            </w:pPr>
            <w:r w:rsidRPr="00634E4C">
              <w:rPr>
                <w:rFonts w:asciiTheme="majorHAnsi" w:hAnsiTheme="majorHAnsi"/>
                <w:b/>
                <w:color w:val="000000"/>
                <w:sz w:val="18"/>
              </w:rPr>
              <w:t>363.0</w:t>
            </w:r>
          </w:p>
        </w:tc>
      </w:tr>
    </w:tbl>
    <w:p w14:paraId="680EB972" w14:textId="77777777" w:rsidR="00CB5305" w:rsidRDefault="00CB5305" w:rsidP="00CB5305">
      <w:pPr>
        <w:rPr>
          <w:sz w:val="18"/>
          <w:szCs w:val="18"/>
        </w:rPr>
      </w:pPr>
    </w:p>
    <w:p w14:paraId="68E1B8BE" w14:textId="77777777" w:rsidR="008513BF" w:rsidRDefault="008513BF" w:rsidP="008513BF">
      <w:pPr>
        <w:pStyle w:val="Caption"/>
      </w:pPr>
      <w:bookmarkStart w:id="557" w:name="_Toc123916516"/>
      <w:r>
        <w:t xml:space="preserve">Tableau </w:t>
      </w:r>
      <w:fldSimple w:instr=" SEQ Tableau \* ARABIC ">
        <w:r w:rsidR="00AB51D9">
          <w:rPr>
            <w:noProof/>
          </w:rPr>
          <w:t>24</w:t>
        </w:r>
      </w:fldSimple>
      <w:r>
        <w:t xml:space="preserve"> : </w:t>
      </w:r>
      <w:r w:rsidR="00CB5305" w:rsidRPr="00160820">
        <w:t xml:space="preserve">Projections d’émissions de </w:t>
      </w:r>
      <w:r w:rsidR="007F09F7">
        <w:t>SF</w:t>
      </w:r>
      <w:r w:rsidR="007F09F7" w:rsidRPr="007F09F7">
        <w:rPr>
          <w:vertAlign w:val="subscript"/>
        </w:rPr>
        <w:t>6</w:t>
      </w:r>
      <w:r w:rsidR="00CB5305" w:rsidRPr="00160820">
        <w:t xml:space="preserve"> (en </w:t>
      </w:r>
      <w:r w:rsidR="00CB5305" w:rsidRPr="00590551">
        <w:t>kt</w:t>
      </w:r>
      <w:r w:rsidR="007F09F7">
        <w:t>CO</w:t>
      </w:r>
      <w:r w:rsidR="007F09F7" w:rsidRPr="007F09F7">
        <w:rPr>
          <w:vertAlign w:val="subscript"/>
        </w:rPr>
        <w:t>2</w:t>
      </w:r>
      <w:r w:rsidR="00CB5305" w:rsidRPr="00160820">
        <w:rPr>
          <w:vertAlign w:val="subscript"/>
        </w:rPr>
        <w:t>e</w:t>
      </w:r>
      <w:r w:rsidR="00CB5305" w:rsidRPr="00160820">
        <w:t>) au périmètre Kyoto dans le scénario AME</w:t>
      </w:r>
      <w:r w:rsidR="00CB5305">
        <w:t xml:space="preserve"> 2021</w:t>
      </w:r>
      <w:r w:rsidR="00CB5305" w:rsidRPr="00160820">
        <w:t xml:space="preserve"> (avec mesures existantes)</w:t>
      </w:r>
      <w:bookmarkEnd w:id="557"/>
    </w:p>
    <w:p w14:paraId="729E4AE5" w14:textId="7E6D22F9" w:rsidR="00CB5305" w:rsidRDefault="00CB5305" w:rsidP="008513BF">
      <w:pPr>
        <w:pStyle w:val="Caption"/>
      </w:pPr>
      <w:r w:rsidRPr="006E15FD">
        <w:t>Source : Inventaire CCNUCC, Citepa/MTE, soumission 20</w:t>
      </w:r>
      <w:r>
        <w:t>2</w:t>
      </w:r>
      <w:r w:rsidR="00281D48">
        <w:t>2</w:t>
      </w:r>
      <w:r>
        <w:t xml:space="preserve"> </w:t>
      </w:r>
      <w:r w:rsidRPr="006E15FD">
        <w:t>et projections d’émissions MTE, 20</w:t>
      </w:r>
      <w:r>
        <w:t>21</w:t>
      </w:r>
    </w:p>
    <w:p w14:paraId="669352A8" w14:textId="77777777" w:rsidR="00281D48" w:rsidRPr="00364545" w:rsidRDefault="00281D48" w:rsidP="00281D48">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672"/>
        <w:gridCol w:w="730"/>
        <w:gridCol w:w="731"/>
        <w:gridCol w:w="731"/>
        <w:gridCol w:w="729"/>
        <w:gridCol w:w="680"/>
        <w:gridCol w:w="677"/>
        <w:gridCol w:w="627"/>
        <w:gridCol w:w="688"/>
        <w:gridCol w:w="686"/>
        <w:gridCol w:w="688"/>
        <w:gridCol w:w="686"/>
        <w:gridCol w:w="609"/>
      </w:tblGrid>
      <w:tr w:rsidR="00281D48" w:rsidRPr="00364545" w14:paraId="52827905" w14:textId="77777777" w:rsidTr="009F2D1E">
        <w:trPr>
          <w:trHeight w:val="401"/>
        </w:trPr>
        <w:tc>
          <w:tcPr>
            <w:tcW w:w="1672" w:type="dxa"/>
            <w:tcBorders>
              <w:top w:val="single" w:sz="2" w:space="0" w:color="000000"/>
              <w:left w:val="single" w:sz="2" w:space="0" w:color="000000"/>
              <w:bottom w:val="single" w:sz="2" w:space="0" w:color="000000"/>
              <w:right w:val="single" w:sz="2" w:space="0" w:color="000000"/>
            </w:tcBorders>
            <w:shd w:val="clear" w:color="auto" w:fill="6D2A78"/>
          </w:tcPr>
          <w:p w14:paraId="3CD6E88C" w14:textId="77777777" w:rsidR="00281D48" w:rsidRPr="00364545" w:rsidRDefault="00281D48" w:rsidP="009F2D1E">
            <w:pPr>
              <w:spacing w:line="259" w:lineRule="auto"/>
            </w:pPr>
            <w:r>
              <w:t>AME</w:t>
            </w:r>
            <w:r w:rsidRPr="00364545">
              <w:t xml:space="preserve"> 21 </w:t>
            </w:r>
            <w:r w:rsidRPr="005D0955">
              <w:rPr>
                <w:szCs w:val="22"/>
              </w:rPr>
              <w:t xml:space="preserve">- </w:t>
            </w:r>
            <w:r w:rsidRPr="00634E4C">
              <w:t>NF3</w:t>
            </w:r>
          </w:p>
        </w:tc>
        <w:tc>
          <w:tcPr>
            <w:tcW w:w="730" w:type="dxa"/>
            <w:tcBorders>
              <w:top w:val="single" w:sz="2" w:space="0" w:color="000000"/>
              <w:left w:val="single" w:sz="2" w:space="0" w:color="000000"/>
              <w:bottom w:val="single" w:sz="2" w:space="0" w:color="000000"/>
              <w:right w:val="single" w:sz="2" w:space="0" w:color="000000"/>
            </w:tcBorders>
            <w:shd w:val="clear" w:color="auto" w:fill="6D2A78"/>
          </w:tcPr>
          <w:p w14:paraId="1BA423D2" w14:textId="77777777" w:rsidR="00281D48" w:rsidRPr="00364545" w:rsidRDefault="00281D48" w:rsidP="009F2D1E">
            <w:pPr>
              <w:spacing w:line="259" w:lineRule="auto"/>
              <w:ind w:left="19"/>
              <w:jc w:val="center"/>
            </w:pPr>
            <w:r w:rsidRPr="00364545">
              <w:rPr>
                <w:b/>
                <w:color w:val="FFFFFF"/>
                <w:sz w:val="18"/>
              </w:rPr>
              <w:t xml:space="preserve">1990 </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02FEE46B"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31" w:type="dxa"/>
            <w:tcBorders>
              <w:top w:val="single" w:sz="2" w:space="0" w:color="000000"/>
              <w:left w:val="single" w:sz="2" w:space="0" w:color="000000"/>
              <w:bottom w:val="single" w:sz="2" w:space="0" w:color="000000"/>
              <w:right w:val="single" w:sz="2" w:space="0" w:color="000000"/>
            </w:tcBorders>
            <w:shd w:val="clear" w:color="auto" w:fill="6D2A78"/>
          </w:tcPr>
          <w:p w14:paraId="078D8809" w14:textId="77777777" w:rsidR="00281D48" w:rsidRPr="00364545" w:rsidRDefault="00281D48" w:rsidP="009F2D1E">
            <w:pPr>
              <w:spacing w:line="259" w:lineRule="auto"/>
              <w:ind w:left="21"/>
              <w:jc w:val="center"/>
            </w:pPr>
            <w:r w:rsidRPr="00364545">
              <w:rPr>
                <w:b/>
                <w:color w:val="FFFFFF"/>
                <w:sz w:val="18"/>
              </w:rPr>
              <w:t xml:space="preserve">2000 </w:t>
            </w:r>
          </w:p>
        </w:tc>
        <w:tc>
          <w:tcPr>
            <w:tcW w:w="729" w:type="dxa"/>
            <w:tcBorders>
              <w:top w:val="single" w:sz="2" w:space="0" w:color="000000"/>
              <w:left w:val="single" w:sz="2" w:space="0" w:color="000000"/>
              <w:bottom w:val="single" w:sz="2" w:space="0" w:color="000000"/>
              <w:right w:val="single" w:sz="2" w:space="0" w:color="000000"/>
            </w:tcBorders>
            <w:shd w:val="clear" w:color="auto" w:fill="6D2A78"/>
          </w:tcPr>
          <w:p w14:paraId="5BA8665C" w14:textId="77777777" w:rsidR="00281D48" w:rsidRPr="00364545" w:rsidRDefault="00281D48" w:rsidP="009F2D1E">
            <w:pPr>
              <w:spacing w:line="259" w:lineRule="auto"/>
              <w:ind w:left="19"/>
              <w:jc w:val="center"/>
            </w:pPr>
            <w:r w:rsidRPr="00364545">
              <w:rPr>
                <w:b/>
                <w:color w:val="FFFFFF"/>
                <w:sz w:val="18"/>
              </w:rPr>
              <w:t xml:space="preserve">2005 </w:t>
            </w:r>
          </w:p>
        </w:tc>
        <w:tc>
          <w:tcPr>
            <w:tcW w:w="680" w:type="dxa"/>
            <w:tcBorders>
              <w:top w:val="single" w:sz="2" w:space="0" w:color="000000"/>
              <w:left w:val="single" w:sz="2" w:space="0" w:color="000000"/>
              <w:bottom w:val="single" w:sz="2" w:space="0" w:color="000000"/>
              <w:right w:val="single" w:sz="2" w:space="0" w:color="000000"/>
            </w:tcBorders>
            <w:shd w:val="clear" w:color="auto" w:fill="6D2A78"/>
          </w:tcPr>
          <w:p w14:paraId="666BC4E1" w14:textId="77777777" w:rsidR="00281D48" w:rsidRPr="00364545" w:rsidRDefault="00281D48" w:rsidP="009F2D1E">
            <w:pPr>
              <w:spacing w:line="259" w:lineRule="auto"/>
              <w:ind w:left="21"/>
              <w:jc w:val="center"/>
            </w:pPr>
            <w:r w:rsidRPr="00364545">
              <w:rPr>
                <w:b/>
                <w:color w:val="FFFFFF"/>
                <w:sz w:val="18"/>
              </w:rPr>
              <w:t xml:space="preserve">2010 </w:t>
            </w:r>
          </w:p>
        </w:tc>
        <w:tc>
          <w:tcPr>
            <w:tcW w:w="677" w:type="dxa"/>
            <w:tcBorders>
              <w:top w:val="single" w:sz="2" w:space="0" w:color="000000"/>
              <w:left w:val="single" w:sz="2" w:space="0" w:color="000000"/>
              <w:bottom w:val="single" w:sz="2" w:space="0" w:color="000000"/>
              <w:right w:val="single" w:sz="2" w:space="0" w:color="000000"/>
            </w:tcBorders>
            <w:shd w:val="clear" w:color="auto" w:fill="6D2A78"/>
          </w:tcPr>
          <w:p w14:paraId="4F6CEB1E" w14:textId="77777777" w:rsidR="00281D48" w:rsidRPr="00364545" w:rsidRDefault="00281D48" w:rsidP="009F2D1E">
            <w:pPr>
              <w:spacing w:line="259" w:lineRule="auto"/>
              <w:ind w:left="19"/>
              <w:jc w:val="center"/>
            </w:pPr>
            <w:r w:rsidRPr="00364545">
              <w:rPr>
                <w:b/>
                <w:color w:val="FFFFFF"/>
                <w:sz w:val="18"/>
              </w:rPr>
              <w:t xml:space="preserve">2015 </w:t>
            </w:r>
          </w:p>
        </w:tc>
        <w:tc>
          <w:tcPr>
            <w:tcW w:w="627" w:type="dxa"/>
            <w:tcBorders>
              <w:top w:val="single" w:sz="2" w:space="0" w:color="000000"/>
              <w:left w:val="single" w:sz="2" w:space="0" w:color="000000"/>
              <w:bottom w:val="single" w:sz="2" w:space="0" w:color="000000"/>
              <w:right w:val="single" w:sz="2" w:space="0" w:color="000000"/>
            </w:tcBorders>
            <w:shd w:val="clear" w:color="auto" w:fill="6D2A78"/>
          </w:tcPr>
          <w:p w14:paraId="2084AFA6" w14:textId="77777777" w:rsidR="00281D48" w:rsidRPr="00364545" w:rsidRDefault="00281D48" w:rsidP="009F2D1E">
            <w:pPr>
              <w:spacing w:line="259" w:lineRule="auto"/>
              <w:ind w:left="21"/>
              <w:jc w:val="center"/>
              <w:rPr>
                <w:b/>
                <w:color w:val="FFFFFF"/>
                <w:sz w:val="18"/>
              </w:rPr>
            </w:pPr>
            <w:r w:rsidRPr="00364545">
              <w:rPr>
                <w:b/>
                <w:color w:val="FFFFFF"/>
                <w:sz w:val="18"/>
              </w:rPr>
              <w:t>2019</w:t>
            </w:r>
          </w:p>
        </w:tc>
        <w:tc>
          <w:tcPr>
            <w:tcW w:w="688" w:type="dxa"/>
            <w:tcBorders>
              <w:top w:val="single" w:sz="2" w:space="0" w:color="000000"/>
              <w:left w:val="single" w:sz="2" w:space="0" w:color="000000"/>
              <w:bottom w:val="single" w:sz="2" w:space="0" w:color="000000"/>
              <w:right w:val="single" w:sz="2" w:space="0" w:color="000000"/>
            </w:tcBorders>
            <w:shd w:val="clear" w:color="auto" w:fill="6D2A78"/>
          </w:tcPr>
          <w:p w14:paraId="1D532D4D" w14:textId="77777777" w:rsidR="00281D48" w:rsidRPr="00364545" w:rsidRDefault="00281D48" w:rsidP="009F2D1E">
            <w:pPr>
              <w:spacing w:line="259" w:lineRule="auto"/>
              <w:ind w:left="21"/>
              <w:jc w:val="center"/>
            </w:pPr>
            <w:r w:rsidRPr="00364545">
              <w:rPr>
                <w:b/>
                <w:color w:val="FFFFFF"/>
                <w:sz w:val="18"/>
              </w:rPr>
              <w:t xml:space="preserve">2020 </w:t>
            </w:r>
          </w:p>
        </w:tc>
        <w:tc>
          <w:tcPr>
            <w:tcW w:w="686" w:type="dxa"/>
            <w:tcBorders>
              <w:top w:val="single" w:sz="2" w:space="0" w:color="000000"/>
              <w:left w:val="single" w:sz="2" w:space="0" w:color="000000"/>
              <w:bottom w:val="single" w:sz="2" w:space="0" w:color="000000"/>
              <w:right w:val="single" w:sz="2" w:space="0" w:color="000000"/>
            </w:tcBorders>
            <w:shd w:val="clear" w:color="auto" w:fill="6D2A78"/>
          </w:tcPr>
          <w:p w14:paraId="1AFDAD14" w14:textId="77777777" w:rsidR="00281D48" w:rsidRPr="00364545" w:rsidRDefault="00281D48" w:rsidP="009F2D1E">
            <w:pPr>
              <w:spacing w:line="259" w:lineRule="auto"/>
              <w:ind w:left="19"/>
              <w:jc w:val="center"/>
            </w:pPr>
            <w:r w:rsidRPr="00364545">
              <w:rPr>
                <w:b/>
                <w:color w:val="FFFFFF"/>
                <w:sz w:val="18"/>
              </w:rPr>
              <w:t xml:space="preserve">2025 </w:t>
            </w:r>
          </w:p>
        </w:tc>
        <w:tc>
          <w:tcPr>
            <w:tcW w:w="688" w:type="dxa"/>
            <w:tcBorders>
              <w:top w:val="single" w:sz="2" w:space="0" w:color="000000"/>
              <w:left w:val="single" w:sz="2" w:space="0" w:color="000000"/>
              <w:bottom w:val="single" w:sz="2" w:space="0" w:color="000000"/>
              <w:right w:val="single" w:sz="2" w:space="0" w:color="000000"/>
            </w:tcBorders>
            <w:shd w:val="clear" w:color="auto" w:fill="6D2A78"/>
          </w:tcPr>
          <w:p w14:paraId="10E5A465" w14:textId="77777777" w:rsidR="00281D48" w:rsidRPr="00364545" w:rsidRDefault="00281D48" w:rsidP="009F2D1E">
            <w:pPr>
              <w:spacing w:line="259" w:lineRule="auto"/>
              <w:ind w:left="21"/>
              <w:jc w:val="center"/>
            </w:pPr>
            <w:r w:rsidRPr="00364545">
              <w:rPr>
                <w:b/>
                <w:color w:val="FFFFFF"/>
                <w:sz w:val="18"/>
              </w:rPr>
              <w:t xml:space="preserve">2030 </w:t>
            </w:r>
          </w:p>
        </w:tc>
        <w:tc>
          <w:tcPr>
            <w:tcW w:w="686" w:type="dxa"/>
            <w:tcBorders>
              <w:top w:val="single" w:sz="2" w:space="0" w:color="000000"/>
              <w:left w:val="single" w:sz="2" w:space="0" w:color="000000"/>
              <w:bottom w:val="single" w:sz="2" w:space="0" w:color="000000"/>
              <w:right w:val="single" w:sz="2" w:space="0" w:color="000000"/>
            </w:tcBorders>
            <w:shd w:val="clear" w:color="auto" w:fill="6D2A78"/>
          </w:tcPr>
          <w:p w14:paraId="54E07F25" w14:textId="77777777" w:rsidR="00281D48" w:rsidRPr="00364545" w:rsidRDefault="00281D48" w:rsidP="009F2D1E">
            <w:pPr>
              <w:spacing w:line="259" w:lineRule="auto"/>
              <w:ind w:left="20"/>
              <w:jc w:val="center"/>
            </w:pPr>
            <w:r w:rsidRPr="00364545">
              <w:rPr>
                <w:b/>
                <w:color w:val="FFFFFF"/>
                <w:sz w:val="18"/>
              </w:rPr>
              <w:t xml:space="preserve">2035 </w:t>
            </w:r>
          </w:p>
        </w:tc>
        <w:tc>
          <w:tcPr>
            <w:tcW w:w="609" w:type="dxa"/>
            <w:tcBorders>
              <w:top w:val="single" w:sz="2" w:space="0" w:color="000000"/>
              <w:left w:val="single" w:sz="2" w:space="0" w:color="000000"/>
              <w:bottom w:val="single" w:sz="2" w:space="0" w:color="000000"/>
              <w:right w:val="single" w:sz="2" w:space="0" w:color="000000"/>
            </w:tcBorders>
            <w:shd w:val="clear" w:color="auto" w:fill="6D2A78"/>
          </w:tcPr>
          <w:p w14:paraId="437AA115"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37B994F6" w14:textId="77777777" w:rsidTr="009F2D1E">
        <w:trPr>
          <w:trHeight w:val="347"/>
        </w:trPr>
        <w:tc>
          <w:tcPr>
            <w:tcW w:w="1672" w:type="dxa"/>
            <w:tcBorders>
              <w:top w:val="single" w:sz="2" w:space="0" w:color="000000"/>
              <w:left w:val="single" w:sz="2" w:space="0" w:color="000000"/>
              <w:bottom w:val="single" w:sz="2" w:space="0" w:color="000000"/>
              <w:right w:val="single" w:sz="2" w:space="0" w:color="000000"/>
            </w:tcBorders>
          </w:tcPr>
          <w:p w14:paraId="72699F36" w14:textId="546E3E40" w:rsidR="00281D48" w:rsidRPr="00364545" w:rsidRDefault="00281D48" w:rsidP="00281D48">
            <w:pPr>
              <w:spacing w:line="259" w:lineRule="auto"/>
            </w:pPr>
            <w:r>
              <w:rPr>
                <w:sz w:val="18"/>
              </w:rPr>
              <w:t xml:space="preserve">Energie </w:t>
            </w:r>
          </w:p>
        </w:tc>
        <w:tc>
          <w:tcPr>
            <w:tcW w:w="730" w:type="dxa"/>
            <w:tcBorders>
              <w:top w:val="single" w:sz="2" w:space="0" w:color="000000"/>
              <w:left w:val="single" w:sz="2" w:space="0" w:color="000000"/>
              <w:bottom w:val="single" w:sz="2" w:space="0" w:color="000000"/>
              <w:right w:val="single" w:sz="2" w:space="0" w:color="000000"/>
            </w:tcBorders>
            <w:vAlign w:val="center"/>
          </w:tcPr>
          <w:p w14:paraId="590DD81F"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032900B2"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570C6190"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1107B44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6F9C9010"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644FA873"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5EFE40AE"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5B044B8B"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4ED308C2"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1103DE95" w14:textId="77777777" w:rsidR="00281D48" w:rsidRPr="00634E4C" w:rsidRDefault="00281D48" w:rsidP="00281D48">
            <w:pPr>
              <w:spacing w:line="259" w:lineRule="auto"/>
              <w:ind w:left="16"/>
              <w:jc w:val="center"/>
              <w:rPr>
                <w:rFonts w:asciiTheme="majorHAnsi" w:hAnsiTheme="majorHAnsi"/>
                <w:sz w:val="18"/>
              </w:rPr>
            </w:pPr>
            <w:r w:rsidRPr="00634E4C">
              <w:rPr>
                <w:rFonts w:asciiTheme="majorHAnsi" w:hAnsiTheme="majorHAnsi"/>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5C7EC761"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06B3B87F" w14:textId="77777777" w:rsidR="00281D48" w:rsidRPr="00634E4C" w:rsidRDefault="00281D48" w:rsidP="00281D48">
            <w:pPr>
              <w:spacing w:line="259" w:lineRule="auto"/>
              <w:ind w:left="15"/>
              <w:jc w:val="center"/>
              <w:rPr>
                <w:rFonts w:asciiTheme="majorHAnsi" w:hAnsiTheme="majorHAnsi"/>
                <w:sz w:val="18"/>
              </w:rPr>
            </w:pPr>
            <w:r w:rsidRPr="00634E4C">
              <w:rPr>
                <w:rFonts w:asciiTheme="majorHAnsi" w:hAnsiTheme="majorHAnsi"/>
                <w:sz w:val="18"/>
              </w:rPr>
              <w:t>0</w:t>
            </w:r>
          </w:p>
        </w:tc>
      </w:tr>
      <w:tr w:rsidR="00281D48" w:rsidRPr="00364545" w14:paraId="2E0579C9" w14:textId="77777777" w:rsidTr="009F2D1E">
        <w:trPr>
          <w:trHeight w:val="416"/>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65947D61" w14:textId="3AFDF4BD" w:rsidR="00281D48" w:rsidRPr="00364545" w:rsidRDefault="00281D48" w:rsidP="00281D48">
            <w:pPr>
              <w:spacing w:line="259" w:lineRule="auto"/>
            </w:pPr>
            <w:r>
              <w:rPr>
                <w:sz w:val="18"/>
              </w:rPr>
              <w:t xml:space="preserve">Procédés industriels, solvants et autres produits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C9ACE2E" w14:textId="77777777" w:rsidR="00281D48" w:rsidRPr="00634E4C" w:rsidRDefault="00281D48" w:rsidP="00281D48">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9E46951"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AA92184" w14:textId="77777777" w:rsidR="00281D48" w:rsidRPr="00634E4C" w:rsidRDefault="00281D48" w:rsidP="00281D48">
            <w:pPr>
              <w:spacing w:line="259" w:lineRule="auto"/>
              <w:ind w:left="19"/>
              <w:jc w:val="center"/>
              <w:rPr>
                <w:rFonts w:asciiTheme="majorHAnsi" w:hAnsiTheme="majorHAnsi"/>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5779DAC"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8E8855B"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50E4E6"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96A3A87"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B5400F9"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9.4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0B5FF37"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10CA1A4"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3CA2076B"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F0355F6" w14:textId="77777777" w:rsidR="00281D48" w:rsidRPr="00634E4C" w:rsidRDefault="00281D48" w:rsidP="00281D48">
            <w:pPr>
              <w:spacing w:line="259" w:lineRule="auto"/>
              <w:ind w:left="19"/>
              <w:jc w:val="center"/>
              <w:rPr>
                <w:rFonts w:asciiTheme="majorHAnsi" w:hAnsiTheme="majorHAnsi"/>
                <w:color w:val="000000"/>
                <w:sz w:val="18"/>
              </w:rPr>
            </w:pPr>
            <w:r w:rsidRPr="00634E4C">
              <w:rPr>
                <w:rFonts w:asciiTheme="majorHAnsi" w:hAnsiTheme="majorHAnsi"/>
                <w:color w:val="000000"/>
                <w:sz w:val="18"/>
              </w:rPr>
              <w:t>10.5</w:t>
            </w:r>
          </w:p>
        </w:tc>
      </w:tr>
      <w:tr w:rsidR="00281D48" w:rsidRPr="00364545" w14:paraId="6DC0A446" w14:textId="77777777" w:rsidTr="009F2D1E">
        <w:trPr>
          <w:trHeight w:val="347"/>
        </w:trPr>
        <w:tc>
          <w:tcPr>
            <w:tcW w:w="1672" w:type="dxa"/>
            <w:tcBorders>
              <w:top w:val="single" w:sz="2" w:space="0" w:color="000000"/>
              <w:left w:val="single" w:sz="2" w:space="0" w:color="000000"/>
              <w:bottom w:val="single" w:sz="2" w:space="0" w:color="000000"/>
              <w:right w:val="single" w:sz="2" w:space="0" w:color="000000"/>
            </w:tcBorders>
          </w:tcPr>
          <w:p w14:paraId="231DEF6F" w14:textId="6F59795A" w:rsidR="00281D48" w:rsidRPr="00364545" w:rsidRDefault="00281D48" w:rsidP="00281D48">
            <w:pPr>
              <w:spacing w:line="259" w:lineRule="auto"/>
            </w:pPr>
            <w:r>
              <w:rPr>
                <w:sz w:val="18"/>
              </w:rPr>
              <w:t xml:space="preserve">Agriculture (hors énergie) </w:t>
            </w:r>
          </w:p>
        </w:tc>
        <w:tc>
          <w:tcPr>
            <w:tcW w:w="730" w:type="dxa"/>
            <w:tcBorders>
              <w:top w:val="single" w:sz="2" w:space="0" w:color="000000"/>
              <w:left w:val="single" w:sz="2" w:space="0" w:color="000000"/>
              <w:bottom w:val="single" w:sz="2" w:space="0" w:color="000000"/>
              <w:right w:val="single" w:sz="2" w:space="0" w:color="000000"/>
            </w:tcBorders>
            <w:vAlign w:val="center"/>
          </w:tcPr>
          <w:p w14:paraId="4E773FE1"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4FDA6A50"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092D552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2B28AE0F"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52AA36B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6701C5F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4A14C3D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19A9D58A"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2371DF15"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6287FB33"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15BCB3D0"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034AF5B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7B1A7471" w14:textId="77777777" w:rsidTr="009F2D1E">
        <w:trPr>
          <w:trHeight w:val="344"/>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126AFFE1" w14:textId="22950FDB" w:rsidR="00281D48" w:rsidRPr="00364545" w:rsidRDefault="00281D48" w:rsidP="00281D48">
            <w:pPr>
              <w:spacing w:line="259" w:lineRule="auto"/>
            </w:pPr>
            <w:r>
              <w:rPr>
                <w:sz w:val="18"/>
              </w:rPr>
              <w:t xml:space="preserve">UTCF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E71B41"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60D4F27"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A24A0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7FEFDF5"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616CCF"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97FBA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9DB67E"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6ED98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9C4DD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62E841"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74D37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E14B81"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6179D38D" w14:textId="77777777" w:rsidTr="009F2D1E">
        <w:trPr>
          <w:trHeight w:val="346"/>
        </w:trPr>
        <w:tc>
          <w:tcPr>
            <w:tcW w:w="1672" w:type="dxa"/>
            <w:tcBorders>
              <w:top w:val="single" w:sz="2" w:space="0" w:color="000000"/>
              <w:left w:val="single" w:sz="2" w:space="0" w:color="000000"/>
              <w:bottom w:val="single" w:sz="2" w:space="0" w:color="000000"/>
              <w:right w:val="single" w:sz="2" w:space="0" w:color="000000"/>
            </w:tcBorders>
          </w:tcPr>
          <w:p w14:paraId="40F2186C" w14:textId="236540EE" w:rsidR="00281D48" w:rsidRPr="00364545" w:rsidRDefault="00281D48" w:rsidP="00281D48">
            <w:pPr>
              <w:spacing w:line="259" w:lineRule="auto"/>
            </w:pPr>
            <w:r>
              <w:rPr>
                <w:sz w:val="18"/>
              </w:rPr>
              <w:t xml:space="preserve">Déchets </w:t>
            </w:r>
          </w:p>
        </w:tc>
        <w:tc>
          <w:tcPr>
            <w:tcW w:w="730" w:type="dxa"/>
            <w:tcBorders>
              <w:top w:val="single" w:sz="2" w:space="0" w:color="000000"/>
              <w:left w:val="single" w:sz="2" w:space="0" w:color="000000"/>
              <w:bottom w:val="single" w:sz="2" w:space="0" w:color="000000"/>
              <w:right w:val="single" w:sz="2" w:space="0" w:color="000000"/>
            </w:tcBorders>
            <w:vAlign w:val="center"/>
          </w:tcPr>
          <w:p w14:paraId="229FCD5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6796325D"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31" w:type="dxa"/>
            <w:tcBorders>
              <w:top w:val="single" w:sz="2" w:space="0" w:color="000000"/>
              <w:left w:val="single" w:sz="2" w:space="0" w:color="000000"/>
              <w:bottom w:val="single" w:sz="2" w:space="0" w:color="000000"/>
              <w:right w:val="single" w:sz="2" w:space="0" w:color="000000"/>
            </w:tcBorders>
            <w:vAlign w:val="center"/>
          </w:tcPr>
          <w:p w14:paraId="081701DD"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729" w:type="dxa"/>
            <w:tcBorders>
              <w:top w:val="single" w:sz="2" w:space="0" w:color="000000"/>
              <w:left w:val="single" w:sz="2" w:space="0" w:color="000000"/>
              <w:bottom w:val="single" w:sz="2" w:space="0" w:color="000000"/>
              <w:right w:val="single" w:sz="2" w:space="0" w:color="000000"/>
            </w:tcBorders>
            <w:vAlign w:val="center"/>
          </w:tcPr>
          <w:p w14:paraId="75AF3A3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0" w:type="dxa"/>
            <w:tcBorders>
              <w:top w:val="single" w:sz="2" w:space="0" w:color="000000"/>
              <w:left w:val="single" w:sz="2" w:space="0" w:color="000000"/>
              <w:bottom w:val="single" w:sz="2" w:space="0" w:color="000000"/>
              <w:right w:val="single" w:sz="2" w:space="0" w:color="000000"/>
            </w:tcBorders>
            <w:vAlign w:val="center"/>
          </w:tcPr>
          <w:p w14:paraId="5E598CB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77" w:type="dxa"/>
            <w:tcBorders>
              <w:top w:val="single" w:sz="2" w:space="0" w:color="000000"/>
              <w:left w:val="single" w:sz="2" w:space="0" w:color="000000"/>
              <w:bottom w:val="single" w:sz="2" w:space="0" w:color="000000"/>
              <w:right w:val="single" w:sz="2" w:space="0" w:color="000000"/>
            </w:tcBorders>
            <w:vAlign w:val="center"/>
          </w:tcPr>
          <w:p w14:paraId="2C78845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27" w:type="dxa"/>
            <w:tcBorders>
              <w:top w:val="single" w:sz="2" w:space="0" w:color="000000"/>
              <w:left w:val="single" w:sz="2" w:space="0" w:color="000000"/>
              <w:bottom w:val="single" w:sz="2" w:space="0" w:color="000000"/>
              <w:right w:val="single" w:sz="2" w:space="0" w:color="000000"/>
            </w:tcBorders>
            <w:vAlign w:val="center"/>
          </w:tcPr>
          <w:p w14:paraId="26794C4E"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1671123F"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0AD5C06C"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8" w:type="dxa"/>
            <w:tcBorders>
              <w:top w:val="single" w:sz="2" w:space="0" w:color="000000"/>
              <w:left w:val="single" w:sz="2" w:space="0" w:color="000000"/>
              <w:bottom w:val="single" w:sz="2" w:space="0" w:color="000000"/>
              <w:right w:val="single" w:sz="2" w:space="0" w:color="000000"/>
            </w:tcBorders>
            <w:vAlign w:val="center"/>
          </w:tcPr>
          <w:p w14:paraId="4543B84A"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86" w:type="dxa"/>
            <w:tcBorders>
              <w:top w:val="single" w:sz="2" w:space="0" w:color="000000"/>
              <w:left w:val="single" w:sz="2" w:space="0" w:color="000000"/>
              <w:bottom w:val="single" w:sz="2" w:space="0" w:color="000000"/>
              <w:right w:val="single" w:sz="2" w:space="0" w:color="000000"/>
            </w:tcBorders>
            <w:vAlign w:val="center"/>
          </w:tcPr>
          <w:p w14:paraId="5201CC8B"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c>
          <w:tcPr>
            <w:tcW w:w="609" w:type="dxa"/>
            <w:tcBorders>
              <w:top w:val="single" w:sz="2" w:space="0" w:color="000000"/>
              <w:left w:val="single" w:sz="2" w:space="0" w:color="000000"/>
              <w:bottom w:val="single" w:sz="2" w:space="0" w:color="000000"/>
              <w:right w:val="single" w:sz="2" w:space="0" w:color="000000"/>
            </w:tcBorders>
            <w:vAlign w:val="center"/>
          </w:tcPr>
          <w:p w14:paraId="2A10CC4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0</w:t>
            </w:r>
          </w:p>
        </w:tc>
      </w:tr>
      <w:tr w:rsidR="00281D48" w:rsidRPr="00364545" w14:paraId="76BBEE01" w14:textId="77777777" w:rsidTr="009F2D1E">
        <w:trPr>
          <w:trHeight w:val="343"/>
        </w:trPr>
        <w:tc>
          <w:tcPr>
            <w:tcW w:w="1672" w:type="dxa"/>
            <w:tcBorders>
              <w:top w:val="single" w:sz="2" w:space="0" w:color="000000"/>
              <w:left w:val="single" w:sz="2" w:space="0" w:color="000000"/>
              <w:bottom w:val="single" w:sz="2" w:space="0" w:color="000000"/>
              <w:right w:val="single" w:sz="2" w:space="0" w:color="000000"/>
            </w:tcBorders>
            <w:shd w:val="clear" w:color="auto" w:fill="ECE6E2"/>
          </w:tcPr>
          <w:p w14:paraId="19B5A98F" w14:textId="788B811A" w:rsidR="00281D48" w:rsidRPr="00364545" w:rsidRDefault="00281D48" w:rsidP="00281D48">
            <w:pPr>
              <w:spacing w:line="259" w:lineRule="auto"/>
            </w:pPr>
            <w:r>
              <w:rPr>
                <w:b/>
                <w:sz w:val="18"/>
              </w:rPr>
              <w:t xml:space="preserve">Ensemble (hors UTCF) </w:t>
            </w:r>
          </w:p>
        </w:tc>
        <w:tc>
          <w:tcPr>
            <w:tcW w:w="73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936848D" w14:textId="77777777" w:rsidR="00281D48" w:rsidRPr="00634E4C" w:rsidRDefault="00281D48" w:rsidP="00281D48">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B87F880"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5A553A30"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2A62EAA"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0C58E077"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8A7EB41"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6CF8F507"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5DCF44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9.4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893D61B"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4A8997E2"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1B949D49"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shd w:val="clear" w:color="auto" w:fill="ECE6E2"/>
            <w:vAlign w:val="bottom"/>
          </w:tcPr>
          <w:p w14:paraId="2F62A761"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10.5</w:t>
            </w:r>
          </w:p>
        </w:tc>
      </w:tr>
      <w:tr w:rsidR="00281D48" w:rsidRPr="00364545" w14:paraId="45D6B537" w14:textId="77777777" w:rsidTr="009F2D1E">
        <w:trPr>
          <w:trHeight w:val="346"/>
        </w:trPr>
        <w:tc>
          <w:tcPr>
            <w:tcW w:w="1672" w:type="dxa"/>
            <w:tcBorders>
              <w:top w:val="single" w:sz="2" w:space="0" w:color="000000"/>
              <w:left w:val="single" w:sz="2" w:space="0" w:color="000000"/>
              <w:bottom w:val="single" w:sz="2" w:space="0" w:color="000000"/>
              <w:right w:val="single" w:sz="2" w:space="0" w:color="000000"/>
            </w:tcBorders>
          </w:tcPr>
          <w:p w14:paraId="22A69E4B" w14:textId="5220CDAD" w:rsidR="00281D48" w:rsidRPr="00364545" w:rsidRDefault="00281D48" w:rsidP="00281D48">
            <w:pPr>
              <w:spacing w:line="259" w:lineRule="auto"/>
            </w:pPr>
            <w:r>
              <w:rPr>
                <w:b/>
                <w:sz w:val="18"/>
              </w:rPr>
              <w:t xml:space="preserve">Ensemble (avec UTCF) </w:t>
            </w:r>
          </w:p>
        </w:tc>
        <w:tc>
          <w:tcPr>
            <w:tcW w:w="730" w:type="dxa"/>
            <w:tcBorders>
              <w:top w:val="single" w:sz="2" w:space="0" w:color="000000"/>
              <w:left w:val="single" w:sz="2" w:space="0" w:color="000000"/>
              <w:bottom w:val="single" w:sz="2" w:space="0" w:color="000000"/>
              <w:right w:val="single" w:sz="2" w:space="0" w:color="000000"/>
            </w:tcBorders>
            <w:vAlign w:val="bottom"/>
          </w:tcPr>
          <w:p w14:paraId="6D135585" w14:textId="77777777" w:rsidR="00281D48" w:rsidRPr="00634E4C" w:rsidRDefault="00281D48" w:rsidP="00281D48">
            <w:pPr>
              <w:spacing w:line="259" w:lineRule="auto"/>
              <w:ind w:left="19"/>
              <w:jc w:val="center"/>
              <w:rPr>
                <w:rFonts w:asciiTheme="majorHAnsi" w:hAnsiTheme="majorHAnsi"/>
                <w:sz w:val="18"/>
              </w:rPr>
            </w:pPr>
            <w:r w:rsidRPr="00634E4C">
              <w:rPr>
                <w:rFonts w:asciiTheme="majorHAnsi" w:hAnsiTheme="majorHAnsi"/>
                <w:sz w:val="18"/>
              </w:rPr>
              <w:t>16</w:t>
            </w:r>
          </w:p>
        </w:tc>
        <w:tc>
          <w:tcPr>
            <w:tcW w:w="731" w:type="dxa"/>
            <w:tcBorders>
              <w:top w:val="single" w:sz="2" w:space="0" w:color="000000"/>
              <w:left w:val="single" w:sz="2" w:space="0" w:color="000000"/>
              <w:bottom w:val="single" w:sz="2" w:space="0" w:color="000000"/>
              <w:right w:val="single" w:sz="2" w:space="0" w:color="000000"/>
            </w:tcBorders>
            <w:vAlign w:val="bottom"/>
          </w:tcPr>
          <w:p w14:paraId="19C4CAF3"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731" w:type="dxa"/>
            <w:tcBorders>
              <w:top w:val="single" w:sz="2" w:space="0" w:color="000000"/>
              <w:left w:val="single" w:sz="2" w:space="0" w:color="000000"/>
              <w:bottom w:val="single" w:sz="2" w:space="0" w:color="000000"/>
              <w:right w:val="single" w:sz="2" w:space="0" w:color="000000"/>
            </w:tcBorders>
            <w:vAlign w:val="bottom"/>
          </w:tcPr>
          <w:p w14:paraId="2DAA9B07" w14:textId="77777777" w:rsidR="00281D48" w:rsidRPr="00634E4C" w:rsidRDefault="00281D48" w:rsidP="00281D48">
            <w:pPr>
              <w:spacing w:line="259" w:lineRule="auto"/>
              <w:ind w:left="19"/>
              <w:jc w:val="center"/>
              <w:rPr>
                <w:rFonts w:asciiTheme="majorHAnsi" w:hAnsiTheme="majorHAnsi"/>
                <w:b/>
                <w:color w:val="000000"/>
                <w:sz w:val="18"/>
              </w:rPr>
            </w:pPr>
            <w:r w:rsidRPr="005D0955">
              <w:rPr>
                <w:rFonts w:asciiTheme="majorHAnsi" w:hAnsiTheme="majorHAnsi"/>
                <w:sz w:val="18"/>
                <w:szCs w:val="18"/>
              </w:rPr>
              <w:t>20</w:t>
            </w:r>
          </w:p>
        </w:tc>
        <w:tc>
          <w:tcPr>
            <w:tcW w:w="729" w:type="dxa"/>
            <w:tcBorders>
              <w:top w:val="single" w:sz="2" w:space="0" w:color="000000"/>
              <w:left w:val="single" w:sz="2" w:space="0" w:color="000000"/>
              <w:bottom w:val="single" w:sz="2" w:space="0" w:color="000000"/>
              <w:right w:val="single" w:sz="2" w:space="0" w:color="000000"/>
            </w:tcBorders>
            <w:vAlign w:val="bottom"/>
          </w:tcPr>
          <w:p w14:paraId="050A31B7"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31</w:t>
            </w:r>
          </w:p>
        </w:tc>
        <w:tc>
          <w:tcPr>
            <w:tcW w:w="680" w:type="dxa"/>
            <w:tcBorders>
              <w:top w:val="single" w:sz="2" w:space="0" w:color="000000"/>
              <w:left w:val="single" w:sz="2" w:space="0" w:color="000000"/>
              <w:bottom w:val="single" w:sz="2" w:space="0" w:color="000000"/>
              <w:right w:val="single" w:sz="2" w:space="0" w:color="000000"/>
            </w:tcBorders>
            <w:vAlign w:val="bottom"/>
          </w:tcPr>
          <w:p w14:paraId="7321E89C"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32</w:t>
            </w:r>
          </w:p>
        </w:tc>
        <w:tc>
          <w:tcPr>
            <w:tcW w:w="677" w:type="dxa"/>
            <w:tcBorders>
              <w:top w:val="single" w:sz="2" w:space="0" w:color="000000"/>
              <w:left w:val="single" w:sz="2" w:space="0" w:color="000000"/>
              <w:bottom w:val="single" w:sz="2" w:space="0" w:color="000000"/>
              <w:right w:val="single" w:sz="2" w:space="0" w:color="000000"/>
            </w:tcBorders>
            <w:vAlign w:val="bottom"/>
          </w:tcPr>
          <w:p w14:paraId="76E58C2C"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6</w:t>
            </w:r>
          </w:p>
        </w:tc>
        <w:tc>
          <w:tcPr>
            <w:tcW w:w="627" w:type="dxa"/>
            <w:tcBorders>
              <w:top w:val="single" w:sz="2" w:space="0" w:color="000000"/>
              <w:left w:val="single" w:sz="2" w:space="0" w:color="000000"/>
              <w:bottom w:val="single" w:sz="2" w:space="0" w:color="000000"/>
              <w:right w:val="single" w:sz="2" w:space="0" w:color="000000"/>
            </w:tcBorders>
            <w:vAlign w:val="bottom"/>
          </w:tcPr>
          <w:p w14:paraId="5F3F7C9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sz w:val="18"/>
              </w:rPr>
              <w:t>10</w:t>
            </w:r>
          </w:p>
        </w:tc>
        <w:tc>
          <w:tcPr>
            <w:tcW w:w="688" w:type="dxa"/>
            <w:tcBorders>
              <w:top w:val="single" w:sz="2" w:space="0" w:color="000000"/>
              <w:left w:val="single" w:sz="2" w:space="0" w:color="000000"/>
              <w:bottom w:val="single" w:sz="2" w:space="0" w:color="000000"/>
              <w:right w:val="single" w:sz="2" w:space="0" w:color="000000"/>
            </w:tcBorders>
            <w:vAlign w:val="bottom"/>
          </w:tcPr>
          <w:p w14:paraId="219B18B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9.4</w:t>
            </w:r>
          </w:p>
        </w:tc>
        <w:tc>
          <w:tcPr>
            <w:tcW w:w="686" w:type="dxa"/>
            <w:tcBorders>
              <w:top w:val="single" w:sz="2" w:space="0" w:color="000000"/>
              <w:left w:val="single" w:sz="2" w:space="0" w:color="000000"/>
              <w:bottom w:val="single" w:sz="2" w:space="0" w:color="000000"/>
              <w:right w:val="single" w:sz="2" w:space="0" w:color="000000"/>
            </w:tcBorders>
            <w:vAlign w:val="bottom"/>
          </w:tcPr>
          <w:p w14:paraId="560F6A2F"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8" w:type="dxa"/>
            <w:tcBorders>
              <w:top w:val="single" w:sz="2" w:space="0" w:color="000000"/>
              <w:left w:val="single" w:sz="2" w:space="0" w:color="000000"/>
              <w:bottom w:val="single" w:sz="2" w:space="0" w:color="000000"/>
              <w:right w:val="single" w:sz="2" w:space="0" w:color="000000"/>
            </w:tcBorders>
            <w:vAlign w:val="bottom"/>
          </w:tcPr>
          <w:p w14:paraId="28698124"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86" w:type="dxa"/>
            <w:tcBorders>
              <w:top w:val="single" w:sz="2" w:space="0" w:color="000000"/>
              <w:left w:val="single" w:sz="2" w:space="0" w:color="000000"/>
              <w:bottom w:val="single" w:sz="2" w:space="0" w:color="000000"/>
              <w:right w:val="single" w:sz="2" w:space="0" w:color="000000"/>
            </w:tcBorders>
            <w:vAlign w:val="bottom"/>
          </w:tcPr>
          <w:p w14:paraId="728C036A"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10.4</w:t>
            </w:r>
          </w:p>
        </w:tc>
        <w:tc>
          <w:tcPr>
            <w:tcW w:w="609" w:type="dxa"/>
            <w:tcBorders>
              <w:top w:val="single" w:sz="2" w:space="0" w:color="000000"/>
              <w:left w:val="single" w:sz="2" w:space="0" w:color="000000"/>
              <w:bottom w:val="single" w:sz="2" w:space="0" w:color="000000"/>
              <w:right w:val="single" w:sz="2" w:space="0" w:color="000000"/>
            </w:tcBorders>
            <w:vAlign w:val="bottom"/>
          </w:tcPr>
          <w:p w14:paraId="006BE256" w14:textId="77777777" w:rsidR="00281D48" w:rsidRPr="00634E4C" w:rsidRDefault="00281D48" w:rsidP="00281D48">
            <w:pPr>
              <w:spacing w:line="259" w:lineRule="auto"/>
              <w:ind w:left="19"/>
              <w:jc w:val="center"/>
              <w:rPr>
                <w:rFonts w:asciiTheme="majorHAnsi" w:hAnsiTheme="majorHAnsi"/>
                <w:b/>
                <w:color w:val="000000"/>
                <w:sz w:val="18"/>
              </w:rPr>
            </w:pPr>
            <w:r w:rsidRPr="00634E4C">
              <w:rPr>
                <w:rFonts w:asciiTheme="majorHAnsi" w:hAnsiTheme="majorHAnsi"/>
                <w:b/>
                <w:color w:val="000000"/>
                <w:sz w:val="18"/>
              </w:rPr>
              <w:t>10.5</w:t>
            </w:r>
          </w:p>
        </w:tc>
      </w:tr>
    </w:tbl>
    <w:p w14:paraId="36793CC5" w14:textId="77777777" w:rsidR="00CB5305" w:rsidRDefault="00CB5305" w:rsidP="00CB5305">
      <w:pPr>
        <w:rPr>
          <w:sz w:val="18"/>
          <w:szCs w:val="18"/>
        </w:rPr>
      </w:pPr>
    </w:p>
    <w:p w14:paraId="221FD9EC" w14:textId="77777777" w:rsidR="008513BF" w:rsidRDefault="008513BF" w:rsidP="008513BF">
      <w:pPr>
        <w:pStyle w:val="Caption"/>
      </w:pPr>
      <w:bookmarkStart w:id="558" w:name="_Toc123916517"/>
      <w:r>
        <w:t xml:space="preserve">Tableau </w:t>
      </w:r>
      <w:fldSimple w:instr=" SEQ Tableau \* ARABIC ">
        <w:r w:rsidR="00AB51D9">
          <w:rPr>
            <w:noProof/>
          </w:rPr>
          <w:t>25</w:t>
        </w:r>
      </w:fldSimple>
      <w:r>
        <w:t xml:space="preserve"> : </w:t>
      </w:r>
      <w:r w:rsidR="00CB5305" w:rsidRPr="00160820">
        <w:t xml:space="preserve">Projections d’émissions de </w:t>
      </w:r>
      <w:r w:rsidR="007F09F7">
        <w:t>NF</w:t>
      </w:r>
      <w:r w:rsidR="007F09F7" w:rsidRPr="007F09F7">
        <w:rPr>
          <w:vertAlign w:val="subscript"/>
        </w:rPr>
        <w:t>3</w:t>
      </w:r>
      <w:r w:rsidR="00CB5305" w:rsidRPr="00160820">
        <w:t xml:space="preserve"> (en </w:t>
      </w:r>
      <w:r w:rsidR="00CB5305" w:rsidRPr="00590551">
        <w:t>kt</w:t>
      </w:r>
      <w:r w:rsidR="007F09F7">
        <w:t>CO</w:t>
      </w:r>
      <w:r w:rsidR="007F09F7" w:rsidRPr="007F09F7">
        <w:rPr>
          <w:vertAlign w:val="subscript"/>
        </w:rPr>
        <w:t>2</w:t>
      </w:r>
      <w:r w:rsidR="00CB5305" w:rsidRPr="005C3C6E">
        <w:rPr>
          <w:vertAlign w:val="subscript"/>
        </w:rPr>
        <w:t>e</w:t>
      </w:r>
      <w:r w:rsidR="00CB5305" w:rsidRPr="005C3C6E">
        <w:t xml:space="preserve">) au périmètre Kyoto dans le scénario AME </w:t>
      </w:r>
      <w:r w:rsidR="00CB5305">
        <w:t xml:space="preserve">2021 </w:t>
      </w:r>
      <w:r w:rsidR="00CB5305" w:rsidRPr="005C3C6E">
        <w:t>(avec mesures existantes)</w:t>
      </w:r>
      <w:bookmarkEnd w:id="558"/>
    </w:p>
    <w:p w14:paraId="74DAB621" w14:textId="0CB9B2F8" w:rsidR="00CB5305" w:rsidRDefault="00CB5305" w:rsidP="008513BF">
      <w:pPr>
        <w:pStyle w:val="Caption"/>
      </w:pPr>
      <w:r w:rsidRPr="006E15FD">
        <w:t>Source : Inventaire CCNUCC, Citepa/MTE, soumission 20</w:t>
      </w:r>
      <w:r>
        <w:t>2</w:t>
      </w:r>
      <w:r w:rsidR="00281D48">
        <w:t>2</w:t>
      </w:r>
      <w:r w:rsidRPr="006E15FD">
        <w:t xml:space="preserve"> et projections d’émissions MTE, 20</w:t>
      </w:r>
      <w:r>
        <w:t>21</w:t>
      </w:r>
    </w:p>
    <w:p w14:paraId="0589F60B" w14:textId="77777777" w:rsidR="00CB5305" w:rsidRDefault="00CB5305" w:rsidP="00CB5305"/>
    <w:p w14:paraId="18B0C6C3" w14:textId="26708365" w:rsidR="00CB5305" w:rsidRDefault="00CB5305" w:rsidP="00CB5305">
      <w:pPr>
        <w:rPr>
          <w:b/>
        </w:rPr>
      </w:pPr>
      <w:r>
        <w:rPr>
          <w:b/>
        </w:rPr>
        <w:t>AMS 2018</w:t>
      </w:r>
    </w:p>
    <w:p w14:paraId="4C4E26FC" w14:textId="77777777" w:rsidR="00281D48" w:rsidRPr="00364545" w:rsidRDefault="00281D48" w:rsidP="00281D48"/>
    <w:tbl>
      <w:tblPr>
        <w:tblStyle w:val="TableGrid0"/>
        <w:tblW w:w="9934" w:type="dxa"/>
        <w:tblInd w:w="10" w:type="dxa"/>
        <w:tblCellMar>
          <w:top w:w="39" w:type="dxa"/>
          <w:left w:w="28" w:type="dxa"/>
          <w:bottom w:w="2" w:type="dxa"/>
          <w:right w:w="31" w:type="dxa"/>
        </w:tblCellMar>
        <w:tblLook w:val="04A0" w:firstRow="1" w:lastRow="0" w:firstColumn="1" w:lastColumn="0" w:noHBand="0" w:noVBand="1"/>
      </w:tblPr>
      <w:tblGrid>
        <w:gridCol w:w="1088"/>
        <w:gridCol w:w="743"/>
        <w:gridCol w:w="731"/>
        <w:gridCol w:w="743"/>
        <w:gridCol w:w="735"/>
        <w:gridCol w:w="743"/>
        <w:gridCol w:w="743"/>
        <w:gridCol w:w="721"/>
        <w:gridCol w:w="764"/>
        <w:gridCol w:w="764"/>
        <w:gridCol w:w="764"/>
        <w:gridCol w:w="743"/>
        <w:gridCol w:w="652"/>
      </w:tblGrid>
      <w:tr w:rsidR="00281D48" w:rsidRPr="00364545" w14:paraId="643E465A" w14:textId="77777777" w:rsidTr="00281D48">
        <w:trPr>
          <w:trHeight w:val="400"/>
        </w:trPr>
        <w:tc>
          <w:tcPr>
            <w:tcW w:w="1088" w:type="dxa"/>
            <w:tcBorders>
              <w:top w:val="single" w:sz="2" w:space="0" w:color="000000"/>
              <w:left w:val="single" w:sz="2" w:space="0" w:color="000000"/>
              <w:bottom w:val="single" w:sz="2" w:space="0" w:color="000000"/>
              <w:right w:val="single" w:sz="2" w:space="0" w:color="000000"/>
            </w:tcBorders>
            <w:shd w:val="clear" w:color="auto" w:fill="6D2A78"/>
          </w:tcPr>
          <w:p w14:paraId="6D3A5D72" w14:textId="77777777" w:rsidR="00281D48" w:rsidRPr="00364545" w:rsidRDefault="00281D48" w:rsidP="009F2D1E">
            <w:pPr>
              <w:spacing w:line="259" w:lineRule="auto"/>
              <w:jc w:val="left"/>
            </w:pPr>
            <w:r w:rsidRPr="00364545">
              <w:t>AMS 18 – CO</w:t>
            </w:r>
            <w:r w:rsidRPr="00364545">
              <w:rPr>
                <w:vertAlign w:val="subscript"/>
              </w:rPr>
              <w:t>2</w:t>
            </w:r>
          </w:p>
        </w:tc>
        <w:tc>
          <w:tcPr>
            <w:tcW w:w="74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31FDEB0" w14:textId="77777777" w:rsidR="00281D48" w:rsidRPr="00364545" w:rsidRDefault="00281D48" w:rsidP="009F2D1E">
            <w:pPr>
              <w:spacing w:line="259" w:lineRule="auto"/>
              <w:ind w:left="1"/>
              <w:jc w:val="center"/>
            </w:pPr>
            <w:r w:rsidRPr="00364545">
              <w:rPr>
                <w:b/>
                <w:color w:val="FFFFFF"/>
                <w:sz w:val="18"/>
              </w:rPr>
              <w:t>1990</w:t>
            </w:r>
          </w:p>
        </w:tc>
        <w:tc>
          <w:tcPr>
            <w:tcW w:w="73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8AF04F1" w14:textId="77777777" w:rsidR="00281D48" w:rsidRPr="00364545" w:rsidRDefault="00281D48" w:rsidP="009F2D1E">
            <w:pPr>
              <w:spacing w:line="259" w:lineRule="auto"/>
              <w:ind w:left="4"/>
              <w:jc w:val="center"/>
              <w:rPr>
                <w:b/>
                <w:color w:val="FFFFFF"/>
                <w:sz w:val="18"/>
              </w:rPr>
            </w:pPr>
            <w:r w:rsidRPr="00364545">
              <w:rPr>
                <w:b/>
                <w:color w:val="FFFFFF"/>
                <w:sz w:val="18"/>
              </w:rPr>
              <w:t>1995</w:t>
            </w:r>
          </w:p>
        </w:tc>
        <w:tc>
          <w:tcPr>
            <w:tcW w:w="74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D5D66E5" w14:textId="77777777" w:rsidR="00281D48" w:rsidRPr="00364545" w:rsidRDefault="00281D48" w:rsidP="009F2D1E">
            <w:pPr>
              <w:spacing w:line="259" w:lineRule="auto"/>
              <w:ind w:left="4"/>
              <w:jc w:val="center"/>
            </w:pPr>
            <w:r w:rsidRPr="00364545">
              <w:rPr>
                <w:b/>
                <w:color w:val="FFFFFF"/>
                <w:sz w:val="18"/>
              </w:rPr>
              <w:t>2000</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34134C2" w14:textId="77777777" w:rsidR="00281D48" w:rsidRPr="00364545" w:rsidRDefault="00281D48" w:rsidP="009F2D1E">
            <w:pPr>
              <w:spacing w:line="259" w:lineRule="auto"/>
              <w:ind w:left="1"/>
              <w:jc w:val="center"/>
            </w:pPr>
            <w:r w:rsidRPr="00364545">
              <w:rPr>
                <w:b/>
                <w:color w:val="FFFFFF"/>
                <w:sz w:val="18"/>
              </w:rPr>
              <w:t>2005</w:t>
            </w:r>
          </w:p>
        </w:tc>
        <w:tc>
          <w:tcPr>
            <w:tcW w:w="74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791E0F3" w14:textId="77777777" w:rsidR="00281D48" w:rsidRPr="00364545" w:rsidRDefault="00281D48" w:rsidP="009F2D1E">
            <w:pPr>
              <w:spacing w:line="259" w:lineRule="auto"/>
              <w:ind w:left="4"/>
              <w:jc w:val="center"/>
            </w:pPr>
            <w:r w:rsidRPr="00364545">
              <w:rPr>
                <w:b/>
                <w:color w:val="FFFFFF"/>
                <w:sz w:val="18"/>
              </w:rPr>
              <w:t>2010</w:t>
            </w:r>
          </w:p>
        </w:tc>
        <w:tc>
          <w:tcPr>
            <w:tcW w:w="74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26FA864" w14:textId="77777777" w:rsidR="00281D48" w:rsidRPr="00364545" w:rsidRDefault="00281D48" w:rsidP="009F2D1E">
            <w:pPr>
              <w:spacing w:line="259" w:lineRule="auto"/>
              <w:ind w:left="1"/>
              <w:jc w:val="center"/>
            </w:pPr>
            <w:r w:rsidRPr="00364545">
              <w:rPr>
                <w:b/>
                <w:color w:val="FFFFFF"/>
                <w:sz w:val="18"/>
              </w:rPr>
              <w:t>2015</w:t>
            </w:r>
          </w:p>
        </w:tc>
        <w:tc>
          <w:tcPr>
            <w:tcW w:w="721"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09BBD32" w14:textId="77777777" w:rsidR="00281D48" w:rsidRPr="00364545" w:rsidRDefault="00281D48" w:rsidP="009F2D1E">
            <w:pPr>
              <w:spacing w:line="259" w:lineRule="auto"/>
              <w:ind w:left="4"/>
              <w:jc w:val="center"/>
              <w:rPr>
                <w:b/>
                <w:color w:val="FFFFFF"/>
                <w:sz w:val="18"/>
              </w:rPr>
            </w:pPr>
            <w:r>
              <w:rPr>
                <w:b/>
                <w:color w:val="FFFFFF"/>
                <w:sz w:val="18"/>
              </w:rPr>
              <w:t>2019</w:t>
            </w:r>
          </w:p>
        </w:tc>
        <w:tc>
          <w:tcPr>
            <w:tcW w:w="76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1B62232" w14:textId="77777777" w:rsidR="00281D48" w:rsidRPr="00364545" w:rsidRDefault="00281D48" w:rsidP="009F2D1E">
            <w:pPr>
              <w:spacing w:line="259" w:lineRule="auto"/>
              <w:ind w:left="4"/>
              <w:jc w:val="center"/>
            </w:pPr>
            <w:r w:rsidRPr="00364545">
              <w:rPr>
                <w:b/>
                <w:color w:val="FFFFFF"/>
                <w:sz w:val="18"/>
              </w:rPr>
              <w:t>2020</w:t>
            </w:r>
          </w:p>
        </w:tc>
        <w:tc>
          <w:tcPr>
            <w:tcW w:w="76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34ABBBE" w14:textId="77777777" w:rsidR="00281D48" w:rsidRPr="00364545" w:rsidRDefault="00281D48" w:rsidP="009F2D1E">
            <w:pPr>
              <w:spacing w:line="259" w:lineRule="auto"/>
              <w:ind w:left="1"/>
              <w:jc w:val="center"/>
            </w:pPr>
            <w:r w:rsidRPr="00364545">
              <w:rPr>
                <w:b/>
                <w:color w:val="FFFFFF"/>
                <w:sz w:val="18"/>
              </w:rPr>
              <w:t>2025</w:t>
            </w:r>
          </w:p>
        </w:tc>
        <w:tc>
          <w:tcPr>
            <w:tcW w:w="76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5115138" w14:textId="77777777" w:rsidR="00281D48" w:rsidRPr="00364545" w:rsidRDefault="00281D48" w:rsidP="009F2D1E">
            <w:pPr>
              <w:spacing w:line="259" w:lineRule="auto"/>
              <w:ind w:left="4"/>
              <w:jc w:val="center"/>
            </w:pPr>
            <w:r w:rsidRPr="00364545">
              <w:rPr>
                <w:b/>
                <w:color w:val="FFFFFF"/>
                <w:sz w:val="18"/>
              </w:rPr>
              <w:t>2030</w:t>
            </w:r>
          </w:p>
        </w:tc>
        <w:tc>
          <w:tcPr>
            <w:tcW w:w="74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465D272" w14:textId="77777777" w:rsidR="00281D48" w:rsidRPr="00364545" w:rsidRDefault="00281D48" w:rsidP="009F2D1E">
            <w:pPr>
              <w:spacing w:line="259" w:lineRule="auto"/>
              <w:ind w:left="3"/>
              <w:jc w:val="center"/>
            </w:pPr>
            <w:r w:rsidRPr="00364545">
              <w:rPr>
                <w:b/>
                <w:color w:val="FFFFFF"/>
                <w:sz w:val="18"/>
              </w:rPr>
              <w:t>2035</w:t>
            </w:r>
          </w:p>
        </w:tc>
        <w:tc>
          <w:tcPr>
            <w:tcW w:w="65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147380E" w14:textId="77777777" w:rsidR="00281D48" w:rsidRPr="00364545" w:rsidRDefault="00281D48" w:rsidP="009F2D1E">
            <w:pPr>
              <w:spacing w:line="259" w:lineRule="auto"/>
              <w:ind w:left="3"/>
              <w:jc w:val="center"/>
              <w:rPr>
                <w:b/>
                <w:color w:val="FFFFFF"/>
                <w:sz w:val="18"/>
              </w:rPr>
            </w:pPr>
            <w:r w:rsidRPr="00364545">
              <w:rPr>
                <w:b/>
                <w:color w:val="FFFFFF"/>
                <w:sz w:val="18"/>
              </w:rPr>
              <w:t>2050</w:t>
            </w:r>
          </w:p>
        </w:tc>
      </w:tr>
      <w:tr w:rsidR="00281D48" w:rsidRPr="00364545" w14:paraId="62E90358" w14:textId="77777777" w:rsidTr="00281D48">
        <w:trPr>
          <w:trHeight w:val="347"/>
        </w:trPr>
        <w:tc>
          <w:tcPr>
            <w:tcW w:w="1088" w:type="dxa"/>
            <w:tcBorders>
              <w:top w:val="single" w:sz="2" w:space="0" w:color="000000"/>
              <w:left w:val="single" w:sz="2" w:space="0" w:color="000000"/>
              <w:bottom w:val="single" w:sz="2" w:space="0" w:color="000000"/>
              <w:right w:val="single" w:sz="2" w:space="0" w:color="000000"/>
            </w:tcBorders>
          </w:tcPr>
          <w:p w14:paraId="441DDFA9" w14:textId="2172C9D3" w:rsidR="00281D48" w:rsidRPr="00364545" w:rsidRDefault="00281D48" w:rsidP="00281D48">
            <w:pPr>
              <w:spacing w:line="259" w:lineRule="auto"/>
            </w:pPr>
            <w:r>
              <w:rPr>
                <w:sz w:val="18"/>
              </w:rPr>
              <w:t xml:space="preserve">Energie </w:t>
            </w:r>
          </w:p>
        </w:tc>
        <w:tc>
          <w:tcPr>
            <w:tcW w:w="743" w:type="dxa"/>
            <w:tcBorders>
              <w:top w:val="single" w:sz="2" w:space="0" w:color="000000"/>
              <w:left w:val="single" w:sz="2" w:space="0" w:color="000000"/>
              <w:bottom w:val="single" w:sz="2" w:space="0" w:color="000000"/>
              <w:right w:val="single" w:sz="2" w:space="0" w:color="000000"/>
            </w:tcBorders>
            <w:vAlign w:val="center"/>
          </w:tcPr>
          <w:p w14:paraId="491A1EA0" w14:textId="77777777" w:rsidR="00281D48" w:rsidRPr="00364545" w:rsidRDefault="00281D48" w:rsidP="00281D48">
            <w:pPr>
              <w:spacing w:line="259" w:lineRule="auto"/>
              <w:ind w:left="14"/>
              <w:jc w:val="center"/>
              <w:rPr>
                <w:sz w:val="18"/>
              </w:rPr>
            </w:pPr>
            <w:r>
              <w:rPr>
                <w:sz w:val="18"/>
                <w:szCs w:val="18"/>
              </w:rPr>
              <w:t>351435</w:t>
            </w:r>
          </w:p>
        </w:tc>
        <w:tc>
          <w:tcPr>
            <w:tcW w:w="731" w:type="dxa"/>
            <w:tcBorders>
              <w:top w:val="single" w:sz="2" w:space="0" w:color="000000"/>
              <w:left w:val="single" w:sz="2" w:space="0" w:color="000000"/>
              <w:bottom w:val="single" w:sz="2" w:space="0" w:color="000000"/>
              <w:right w:val="single" w:sz="2" w:space="0" w:color="000000"/>
            </w:tcBorders>
            <w:vAlign w:val="center"/>
          </w:tcPr>
          <w:p w14:paraId="0A15BDDD" w14:textId="77777777" w:rsidR="00281D48" w:rsidRPr="00364545" w:rsidRDefault="00281D48" w:rsidP="00281D48">
            <w:pPr>
              <w:spacing w:line="259" w:lineRule="auto"/>
              <w:ind w:left="14"/>
              <w:jc w:val="center"/>
              <w:rPr>
                <w:sz w:val="18"/>
              </w:rPr>
            </w:pPr>
            <w:r>
              <w:rPr>
                <w:sz w:val="18"/>
                <w:szCs w:val="18"/>
              </w:rPr>
              <w:t>350115</w:t>
            </w:r>
          </w:p>
        </w:tc>
        <w:tc>
          <w:tcPr>
            <w:tcW w:w="743" w:type="dxa"/>
            <w:tcBorders>
              <w:top w:val="single" w:sz="2" w:space="0" w:color="000000"/>
              <w:left w:val="single" w:sz="2" w:space="0" w:color="000000"/>
              <w:bottom w:val="single" w:sz="2" w:space="0" w:color="000000"/>
              <w:right w:val="single" w:sz="2" w:space="0" w:color="000000"/>
            </w:tcBorders>
            <w:vAlign w:val="center"/>
          </w:tcPr>
          <w:p w14:paraId="7F2183AD" w14:textId="77777777" w:rsidR="00281D48" w:rsidRPr="00364545" w:rsidRDefault="00281D48" w:rsidP="00281D48">
            <w:pPr>
              <w:spacing w:line="259" w:lineRule="auto"/>
              <w:ind w:left="14"/>
              <w:jc w:val="center"/>
              <w:rPr>
                <w:sz w:val="18"/>
              </w:rPr>
            </w:pPr>
            <w:r>
              <w:rPr>
                <w:sz w:val="18"/>
                <w:szCs w:val="18"/>
              </w:rPr>
              <w:t>370522</w:t>
            </w:r>
          </w:p>
        </w:tc>
        <w:tc>
          <w:tcPr>
            <w:tcW w:w="735" w:type="dxa"/>
            <w:tcBorders>
              <w:top w:val="single" w:sz="2" w:space="0" w:color="000000"/>
              <w:left w:val="single" w:sz="2" w:space="0" w:color="000000"/>
              <w:bottom w:val="single" w:sz="2" w:space="0" w:color="000000"/>
              <w:right w:val="single" w:sz="2" w:space="0" w:color="000000"/>
            </w:tcBorders>
            <w:vAlign w:val="center"/>
          </w:tcPr>
          <w:p w14:paraId="43C56D1F" w14:textId="77777777" w:rsidR="00281D48" w:rsidRPr="00364545" w:rsidRDefault="00281D48" w:rsidP="00281D48">
            <w:pPr>
              <w:spacing w:line="259" w:lineRule="auto"/>
              <w:ind w:left="14"/>
              <w:jc w:val="center"/>
              <w:rPr>
                <w:sz w:val="18"/>
              </w:rPr>
            </w:pPr>
            <w:r>
              <w:rPr>
                <w:sz w:val="18"/>
                <w:szCs w:val="18"/>
              </w:rPr>
              <w:t>381286</w:t>
            </w:r>
          </w:p>
        </w:tc>
        <w:tc>
          <w:tcPr>
            <w:tcW w:w="743" w:type="dxa"/>
            <w:tcBorders>
              <w:top w:val="single" w:sz="2" w:space="0" w:color="000000"/>
              <w:left w:val="single" w:sz="2" w:space="0" w:color="000000"/>
              <w:bottom w:val="single" w:sz="2" w:space="0" w:color="000000"/>
              <w:right w:val="single" w:sz="2" w:space="0" w:color="000000"/>
            </w:tcBorders>
            <w:vAlign w:val="center"/>
          </w:tcPr>
          <w:p w14:paraId="07F8200C" w14:textId="77777777" w:rsidR="00281D48" w:rsidRPr="00364545" w:rsidRDefault="00281D48" w:rsidP="00281D48">
            <w:pPr>
              <w:spacing w:line="259" w:lineRule="auto"/>
              <w:ind w:left="14"/>
              <w:jc w:val="center"/>
              <w:rPr>
                <w:sz w:val="18"/>
              </w:rPr>
            </w:pPr>
            <w:r>
              <w:rPr>
                <w:sz w:val="18"/>
                <w:szCs w:val="18"/>
              </w:rPr>
              <w:t>350369</w:t>
            </w:r>
          </w:p>
        </w:tc>
        <w:tc>
          <w:tcPr>
            <w:tcW w:w="743" w:type="dxa"/>
            <w:tcBorders>
              <w:top w:val="single" w:sz="2" w:space="0" w:color="000000"/>
              <w:left w:val="single" w:sz="2" w:space="0" w:color="000000"/>
              <w:bottom w:val="single" w:sz="2" w:space="0" w:color="000000"/>
              <w:right w:val="single" w:sz="2" w:space="0" w:color="000000"/>
            </w:tcBorders>
            <w:vAlign w:val="center"/>
          </w:tcPr>
          <w:p w14:paraId="54F22168" w14:textId="77777777" w:rsidR="00281D48" w:rsidRPr="00364545" w:rsidRDefault="00281D48" w:rsidP="00281D48">
            <w:pPr>
              <w:spacing w:line="259" w:lineRule="auto"/>
              <w:ind w:left="14"/>
              <w:jc w:val="center"/>
              <w:rPr>
                <w:sz w:val="18"/>
              </w:rPr>
            </w:pPr>
            <w:r>
              <w:rPr>
                <w:sz w:val="18"/>
                <w:szCs w:val="18"/>
              </w:rPr>
              <w:t>307160</w:t>
            </w:r>
          </w:p>
        </w:tc>
        <w:tc>
          <w:tcPr>
            <w:tcW w:w="721" w:type="dxa"/>
            <w:tcBorders>
              <w:top w:val="single" w:sz="2" w:space="0" w:color="000000"/>
              <w:left w:val="single" w:sz="2" w:space="0" w:color="000000"/>
              <w:bottom w:val="single" w:sz="2" w:space="0" w:color="000000"/>
              <w:right w:val="single" w:sz="2" w:space="0" w:color="000000"/>
            </w:tcBorders>
            <w:vAlign w:val="center"/>
          </w:tcPr>
          <w:p w14:paraId="67F883B2" w14:textId="77777777" w:rsidR="00281D48" w:rsidRPr="00364545" w:rsidRDefault="00281D48" w:rsidP="00281D48">
            <w:pPr>
              <w:spacing w:line="259" w:lineRule="auto"/>
              <w:ind w:left="14"/>
              <w:jc w:val="center"/>
              <w:rPr>
                <w:sz w:val="18"/>
              </w:rPr>
            </w:pPr>
            <w:r>
              <w:rPr>
                <w:sz w:val="18"/>
                <w:szCs w:val="18"/>
              </w:rPr>
              <w:t>291379</w:t>
            </w:r>
          </w:p>
        </w:tc>
        <w:tc>
          <w:tcPr>
            <w:tcW w:w="764" w:type="dxa"/>
            <w:tcBorders>
              <w:top w:val="single" w:sz="2" w:space="0" w:color="000000"/>
              <w:left w:val="single" w:sz="2" w:space="0" w:color="000000"/>
              <w:bottom w:val="single" w:sz="2" w:space="0" w:color="000000"/>
              <w:right w:val="single" w:sz="2" w:space="0" w:color="000000"/>
            </w:tcBorders>
            <w:vAlign w:val="center"/>
          </w:tcPr>
          <w:p w14:paraId="43E1399A" w14:textId="77777777" w:rsidR="00281D48" w:rsidRPr="00364545" w:rsidRDefault="00281D48" w:rsidP="00281D48">
            <w:pPr>
              <w:spacing w:line="259" w:lineRule="auto"/>
              <w:ind w:left="14"/>
              <w:jc w:val="center"/>
              <w:rPr>
                <w:sz w:val="18"/>
              </w:rPr>
            </w:pPr>
            <w:r w:rsidRPr="00364545">
              <w:rPr>
                <w:sz w:val="18"/>
              </w:rPr>
              <w:t>297</w:t>
            </w:r>
            <w:r w:rsidRPr="00364545">
              <w:rPr>
                <w:rFonts w:ascii="Calibri" w:hAnsi="Calibri"/>
                <w:sz w:val="18"/>
              </w:rPr>
              <w:t> </w:t>
            </w:r>
            <w:r w:rsidRPr="00364545">
              <w:rPr>
                <w:sz w:val="18"/>
              </w:rPr>
              <w:t>837</w:t>
            </w:r>
          </w:p>
        </w:tc>
        <w:tc>
          <w:tcPr>
            <w:tcW w:w="764" w:type="dxa"/>
            <w:tcBorders>
              <w:top w:val="single" w:sz="2" w:space="0" w:color="000000"/>
              <w:left w:val="single" w:sz="2" w:space="0" w:color="000000"/>
              <w:bottom w:val="single" w:sz="2" w:space="0" w:color="000000"/>
              <w:right w:val="single" w:sz="2" w:space="0" w:color="000000"/>
            </w:tcBorders>
            <w:vAlign w:val="center"/>
          </w:tcPr>
          <w:p w14:paraId="326B9F0A" w14:textId="77777777" w:rsidR="00281D48" w:rsidRPr="00364545" w:rsidRDefault="00281D48" w:rsidP="00281D48">
            <w:pPr>
              <w:spacing w:line="259" w:lineRule="auto"/>
              <w:ind w:left="14"/>
              <w:jc w:val="center"/>
              <w:rPr>
                <w:sz w:val="18"/>
              </w:rPr>
            </w:pPr>
            <w:r w:rsidRPr="00364545">
              <w:rPr>
                <w:sz w:val="18"/>
              </w:rPr>
              <w:t>246</w:t>
            </w:r>
            <w:r w:rsidRPr="00364545">
              <w:rPr>
                <w:rFonts w:ascii="Calibri" w:hAnsi="Calibri"/>
                <w:sz w:val="18"/>
              </w:rPr>
              <w:t> </w:t>
            </w:r>
            <w:r w:rsidRPr="00364545">
              <w:rPr>
                <w:sz w:val="18"/>
              </w:rPr>
              <w:t>729</w:t>
            </w:r>
          </w:p>
        </w:tc>
        <w:tc>
          <w:tcPr>
            <w:tcW w:w="764" w:type="dxa"/>
            <w:tcBorders>
              <w:top w:val="single" w:sz="2" w:space="0" w:color="000000"/>
              <w:left w:val="single" w:sz="2" w:space="0" w:color="000000"/>
              <w:bottom w:val="single" w:sz="2" w:space="0" w:color="000000"/>
              <w:right w:val="single" w:sz="2" w:space="0" w:color="000000"/>
            </w:tcBorders>
            <w:vAlign w:val="center"/>
          </w:tcPr>
          <w:p w14:paraId="65C11128" w14:textId="77777777" w:rsidR="00281D48" w:rsidRPr="00364545" w:rsidRDefault="00281D48" w:rsidP="00281D48">
            <w:pPr>
              <w:spacing w:line="259" w:lineRule="auto"/>
              <w:ind w:left="14"/>
              <w:jc w:val="center"/>
              <w:rPr>
                <w:sz w:val="18"/>
              </w:rPr>
            </w:pPr>
            <w:r w:rsidRPr="00364545">
              <w:rPr>
                <w:sz w:val="18"/>
              </w:rPr>
              <w:t>197</w:t>
            </w:r>
            <w:r w:rsidRPr="00364545">
              <w:rPr>
                <w:rFonts w:ascii="Calibri" w:hAnsi="Calibri"/>
                <w:sz w:val="18"/>
              </w:rPr>
              <w:t> </w:t>
            </w:r>
            <w:r w:rsidRPr="00364545">
              <w:rPr>
                <w:sz w:val="18"/>
              </w:rPr>
              <w:t>348</w:t>
            </w:r>
          </w:p>
        </w:tc>
        <w:tc>
          <w:tcPr>
            <w:tcW w:w="743" w:type="dxa"/>
            <w:tcBorders>
              <w:top w:val="single" w:sz="2" w:space="0" w:color="000000"/>
              <w:left w:val="single" w:sz="2" w:space="0" w:color="000000"/>
              <w:bottom w:val="single" w:sz="2" w:space="0" w:color="000000"/>
              <w:right w:val="single" w:sz="2" w:space="0" w:color="000000"/>
            </w:tcBorders>
            <w:vAlign w:val="center"/>
          </w:tcPr>
          <w:p w14:paraId="3ABC1328" w14:textId="77777777" w:rsidR="00281D48" w:rsidRPr="00364545" w:rsidRDefault="00281D48" w:rsidP="00281D48">
            <w:pPr>
              <w:spacing w:line="259" w:lineRule="auto"/>
              <w:ind w:left="14"/>
              <w:jc w:val="center"/>
              <w:rPr>
                <w:sz w:val="18"/>
              </w:rPr>
            </w:pPr>
            <w:r w:rsidRPr="00364545">
              <w:rPr>
                <w:sz w:val="18"/>
              </w:rPr>
              <w:t>145</w:t>
            </w:r>
            <w:r w:rsidRPr="00364545">
              <w:rPr>
                <w:rFonts w:ascii="Calibri" w:hAnsi="Calibri"/>
                <w:sz w:val="18"/>
              </w:rPr>
              <w:t> </w:t>
            </w:r>
            <w:r w:rsidRPr="00364545">
              <w:rPr>
                <w:sz w:val="18"/>
              </w:rPr>
              <w:t>879</w:t>
            </w:r>
          </w:p>
        </w:tc>
        <w:tc>
          <w:tcPr>
            <w:tcW w:w="652" w:type="dxa"/>
            <w:tcBorders>
              <w:top w:val="single" w:sz="2" w:space="0" w:color="000000"/>
              <w:left w:val="single" w:sz="2" w:space="0" w:color="000000"/>
              <w:bottom w:val="single" w:sz="2" w:space="0" w:color="000000"/>
              <w:right w:val="single" w:sz="2" w:space="0" w:color="000000"/>
            </w:tcBorders>
            <w:vAlign w:val="center"/>
          </w:tcPr>
          <w:p w14:paraId="5C37C763" w14:textId="77777777" w:rsidR="00281D48" w:rsidRPr="00364545" w:rsidRDefault="00281D48" w:rsidP="00281D48">
            <w:pPr>
              <w:spacing w:line="259" w:lineRule="auto"/>
              <w:ind w:left="14"/>
              <w:jc w:val="center"/>
              <w:rPr>
                <w:sz w:val="18"/>
              </w:rPr>
            </w:pPr>
            <w:r w:rsidRPr="00364545">
              <w:rPr>
                <w:sz w:val="18"/>
              </w:rPr>
              <w:t>-8</w:t>
            </w:r>
            <w:r w:rsidRPr="00364545">
              <w:rPr>
                <w:rFonts w:ascii="Calibri" w:hAnsi="Calibri"/>
                <w:sz w:val="18"/>
              </w:rPr>
              <w:t> </w:t>
            </w:r>
            <w:r w:rsidRPr="00364545">
              <w:rPr>
                <w:sz w:val="18"/>
              </w:rPr>
              <w:t>529</w:t>
            </w:r>
          </w:p>
        </w:tc>
      </w:tr>
      <w:tr w:rsidR="00281D48" w:rsidRPr="00364545" w14:paraId="3FA8D9DD" w14:textId="77777777" w:rsidTr="00281D48">
        <w:trPr>
          <w:trHeight w:val="419"/>
        </w:trPr>
        <w:tc>
          <w:tcPr>
            <w:tcW w:w="1088" w:type="dxa"/>
            <w:tcBorders>
              <w:top w:val="single" w:sz="2" w:space="0" w:color="000000"/>
              <w:left w:val="single" w:sz="2" w:space="0" w:color="000000"/>
              <w:bottom w:val="single" w:sz="2" w:space="0" w:color="000000"/>
              <w:right w:val="single" w:sz="2" w:space="0" w:color="000000"/>
            </w:tcBorders>
            <w:shd w:val="clear" w:color="auto" w:fill="ECE6E2"/>
          </w:tcPr>
          <w:p w14:paraId="203233C4" w14:textId="0826EFCB" w:rsidR="00281D48" w:rsidRPr="00364545" w:rsidRDefault="00281D48" w:rsidP="00281D48">
            <w:pPr>
              <w:spacing w:line="259" w:lineRule="auto"/>
            </w:pPr>
            <w:r>
              <w:rPr>
                <w:sz w:val="18"/>
              </w:rPr>
              <w:t xml:space="preserve">Procédés industriels, solvants et autres produits </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F8B627" w14:textId="77777777" w:rsidR="00281D48" w:rsidRPr="00364545" w:rsidRDefault="00281D48" w:rsidP="00281D48">
            <w:pPr>
              <w:spacing w:line="259" w:lineRule="auto"/>
              <w:ind w:left="14"/>
              <w:jc w:val="center"/>
              <w:rPr>
                <w:sz w:val="18"/>
              </w:rPr>
            </w:pPr>
            <w:r>
              <w:rPr>
                <w:sz w:val="18"/>
                <w:szCs w:val="18"/>
              </w:rPr>
              <w:t>42902</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70C8BE" w14:textId="77777777" w:rsidR="00281D48" w:rsidRPr="00364545" w:rsidRDefault="00281D48" w:rsidP="00281D48">
            <w:pPr>
              <w:spacing w:line="259" w:lineRule="auto"/>
              <w:ind w:left="14"/>
              <w:jc w:val="center"/>
              <w:rPr>
                <w:sz w:val="18"/>
              </w:rPr>
            </w:pPr>
            <w:r>
              <w:rPr>
                <w:sz w:val="18"/>
                <w:szCs w:val="18"/>
              </w:rPr>
              <w:t>38604</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D1DAF2" w14:textId="77777777" w:rsidR="00281D48" w:rsidRPr="00364545" w:rsidRDefault="00281D48" w:rsidP="00281D48">
            <w:pPr>
              <w:spacing w:line="259" w:lineRule="auto"/>
              <w:ind w:left="14"/>
              <w:jc w:val="center"/>
              <w:rPr>
                <w:sz w:val="18"/>
              </w:rPr>
            </w:pPr>
            <w:r>
              <w:rPr>
                <w:sz w:val="18"/>
                <w:szCs w:val="18"/>
              </w:rPr>
              <w:t>40574</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C9390E" w14:textId="77777777" w:rsidR="00281D48" w:rsidRPr="00364545" w:rsidRDefault="00281D48" w:rsidP="00281D48">
            <w:pPr>
              <w:spacing w:line="259" w:lineRule="auto"/>
              <w:ind w:left="14"/>
              <w:jc w:val="center"/>
              <w:rPr>
                <w:sz w:val="18"/>
              </w:rPr>
            </w:pPr>
            <w:r>
              <w:rPr>
                <w:sz w:val="18"/>
                <w:szCs w:val="18"/>
              </w:rPr>
              <w:t>40644</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49E77F8" w14:textId="77777777" w:rsidR="00281D48" w:rsidRPr="00364545" w:rsidRDefault="00281D48" w:rsidP="00281D48">
            <w:pPr>
              <w:spacing w:line="259" w:lineRule="auto"/>
              <w:ind w:left="14"/>
              <w:jc w:val="center"/>
              <w:rPr>
                <w:sz w:val="18"/>
              </w:rPr>
            </w:pPr>
            <w:r>
              <w:rPr>
                <w:sz w:val="18"/>
                <w:szCs w:val="18"/>
              </w:rPr>
              <w:t>32910</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6D538A" w14:textId="77777777" w:rsidR="00281D48" w:rsidRPr="00364545" w:rsidRDefault="00281D48" w:rsidP="00281D48">
            <w:pPr>
              <w:spacing w:line="259" w:lineRule="auto"/>
              <w:ind w:left="14"/>
              <w:jc w:val="center"/>
              <w:rPr>
                <w:sz w:val="18"/>
              </w:rPr>
            </w:pPr>
            <w:r>
              <w:rPr>
                <w:sz w:val="18"/>
                <w:szCs w:val="18"/>
              </w:rPr>
              <w:t>30753</w:t>
            </w:r>
          </w:p>
        </w:tc>
        <w:tc>
          <w:tcPr>
            <w:tcW w:w="72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32AA4EF" w14:textId="77777777" w:rsidR="00281D48" w:rsidRPr="00364545" w:rsidRDefault="00281D48" w:rsidP="00281D48">
            <w:pPr>
              <w:spacing w:line="259" w:lineRule="auto"/>
              <w:ind w:left="14"/>
              <w:jc w:val="center"/>
              <w:rPr>
                <w:sz w:val="18"/>
              </w:rPr>
            </w:pPr>
            <w:r>
              <w:rPr>
                <w:sz w:val="18"/>
                <w:szCs w:val="18"/>
              </w:rPr>
              <w:t>31576</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062976" w14:textId="77777777" w:rsidR="00281D48" w:rsidRPr="00364545" w:rsidRDefault="00281D48" w:rsidP="00281D48">
            <w:pPr>
              <w:spacing w:line="259" w:lineRule="auto"/>
              <w:ind w:left="14"/>
              <w:jc w:val="center"/>
              <w:rPr>
                <w:sz w:val="18"/>
              </w:rPr>
            </w:pPr>
            <w:r w:rsidRPr="00364545">
              <w:rPr>
                <w:sz w:val="18"/>
              </w:rPr>
              <w:t>24</w:t>
            </w:r>
            <w:r w:rsidRPr="00364545">
              <w:rPr>
                <w:rFonts w:ascii="Calibri" w:hAnsi="Calibri"/>
                <w:sz w:val="18"/>
              </w:rPr>
              <w:t> </w:t>
            </w:r>
            <w:r w:rsidRPr="00364545">
              <w:rPr>
                <w:sz w:val="18"/>
              </w:rPr>
              <w:t>658</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715608" w14:textId="77777777" w:rsidR="00281D48" w:rsidRPr="00364545" w:rsidRDefault="00281D48" w:rsidP="00281D48">
            <w:pPr>
              <w:spacing w:line="259" w:lineRule="auto"/>
              <w:ind w:left="14"/>
              <w:jc w:val="center"/>
              <w:rPr>
                <w:sz w:val="18"/>
              </w:rPr>
            </w:pPr>
            <w:r w:rsidRPr="00364545">
              <w:rPr>
                <w:sz w:val="18"/>
              </w:rPr>
              <w:t>23</w:t>
            </w:r>
            <w:r w:rsidRPr="00364545">
              <w:rPr>
                <w:rFonts w:ascii="Calibri" w:hAnsi="Calibri"/>
                <w:sz w:val="18"/>
              </w:rPr>
              <w:t> </w:t>
            </w:r>
            <w:r w:rsidRPr="00364545">
              <w:rPr>
                <w:sz w:val="18"/>
              </w:rPr>
              <w:t>181</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FE334B" w14:textId="77777777" w:rsidR="00281D48" w:rsidRPr="00364545" w:rsidRDefault="00281D48" w:rsidP="00281D48">
            <w:pPr>
              <w:spacing w:line="259" w:lineRule="auto"/>
              <w:ind w:left="14"/>
              <w:jc w:val="center"/>
              <w:rPr>
                <w:sz w:val="18"/>
              </w:rPr>
            </w:pPr>
            <w:r w:rsidRPr="00364545">
              <w:rPr>
                <w:sz w:val="18"/>
              </w:rPr>
              <w:t>20</w:t>
            </w:r>
            <w:r w:rsidRPr="00364545">
              <w:rPr>
                <w:rFonts w:ascii="Calibri" w:hAnsi="Calibri"/>
                <w:sz w:val="18"/>
              </w:rPr>
              <w:t> </w:t>
            </w:r>
            <w:r w:rsidRPr="00364545">
              <w:rPr>
                <w:sz w:val="18"/>
              </w:rPr>
              <w:t>509</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029B89" w14:textId="77777777" w:rsidR="00281D48" w:rsidRPr="00364545" w:rsidRDefault="00281D48" w:rsidP="00281D48">
            <w:pPr>
              <w:spacing w:line="259" w:lineRule="auto"/>
              <w:ind w:left="14"/>
              <w:jc w:val="center"/>
              <w:rPr>
                <w:sz w:val="18"/>
              </w:rPr>
            </w:pPr>
            <w:r w:rsidRPr="00364545">
              <w:rPr>
                <w:sz w:val="18"/>
              </w:rPr>
              <w:t>18</w:t>
            </w:r>
            <w:r w:rsidRPr="00364545">
              <w:rPr>
                <w:rFonts w:ascii="Calibri" w:hAnsi="Calibri"/>
                <w:sz w:val="18"/>
              </w:rPr>
              <w:t> </w:t>
            </w:r>
            <w:r w:rsidRPr="00364545">
              <w:rPr>
                <w:sz w:val="18"/>
              </w:rPr>
              <w:t>386</w:t>
            </w:r>
          </w:p>
        </w:tc>
        <w:tc>
          <w:tcPr>
            <w:tcW w:w="65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15C80F" w14:textId="77777777" w:rsidR="00281D48" w:rsidRPr="00364545" w:rsidRDefault="00281D48" w:rsidP="00281D48">
            <w:pPr>
              <w:spacing w:line="259" w:lineRule="auto"/>
              <w:ind w:left="14"/>
              <w:jc w:val="center"/>
              <w:rPr>
                <w:sz w:val="18"/>
              </w:rPr>
            </w:pPr>
            <w:r w:rsidRPr="00364545">
              <w:rPr>
                <w:sz w:val="18"/>
              </w:rPr>
              <w:t>12</w:t>
            </w:r>
            <w:r w:rsidRPr="00364545">
              <w:rPr>
                <w:rFonts w:ascii="Calibri" w:hAnsi="Calibri"/>
                <w:sz w:val="18"/>
              </w:rPr>
              <w:t> </w:t>
            </w:r>
            <w:r w:rsidRPr="00364545">
              <w:rPr>
                <w:sz w:val="18"/>
              </w:rPr>
              <w:t>017</w:t>
            </w:r>
          </w:p>
        </w:tc>
      </w:tr>
      <w:tr w:rsidR="00281D48" w:rsidRPr="00364545" w14:paraId="5EECD285" w14:textId="77777777" w:rsidTr="00281D48">
        <w:trPr>
          <w:trHeight w:val="344"/>
        </w:trPr>
        <w:tc>
          <w:tcPr>
            <w:tcW w:w="1088" w:type="dxa"/>
            <w:tcBorders>
              <w:top w:val="single" w:sz="2" w:space="0" w:color="000000"/>
              <w:left w:val="single" w:sz="2" w:space="0" w:color="000000"/>
              <w:bottom w:val="single" w:sz="2" w:space="0" w:color="000000"/>
              <w:right w:val="single" w:sz="2" w:space="0" w:color="000000"/>
            </w:tcBorders>
          </w:tcPr>
          <w:p w14:paraId="4BBADB23" w14:textId="5444BE90" w:rsidR="00281D48" w:rsidRPr="00364545" w:rsidRDefault="00281D48" w:rsidP="00281D48">
            <w:pPr>
              <w:spacing w:line="259" w:lineRule="auto"/>
            </w:pPr>
            <w:r>
              <w:rPr>
                <w:sz w:val="18"/>
              </w:rPr>
              <w:t xml:space="preserve">Agriculture (hors énergie) </w:t>
            </w:r>
          </w:p>
        </w:tc>
        <w:tc>
          <w:tcPr>
            <w:tcW w:w="743" w:type="dxa"/>
            <w:tcBorders>
              <w:top w:val="single" w:sz="2" w:space="0" w:color="000000"/>
              <w:left w:val="single" w:sz="2" w:space="0" w:color="000000"/>
              <w:bottom w:val="single" w:sz="2" w:space="0" w:color="000000"/>
              <w:right w:val="single" w:sz="2" w:space="0" w:color="000000"/>
            </w:tcBorders>
            <w:vAlign w:val="center"/>
          </w:tcPr>
          <w:p w14:paraId="5A759E1D" w14:textId="77777777" w:rsidR="00281D48" w:rsidRPr="00364545" w:rsidRDefault="00281D48" w:rsidP="00281D48">
            <w:pPr>
              <w:spacing w:line="259" w:lineRule="auto"/>
              <w:ind w:left="14"/>
              <w:jc w:val="center"/>
              <w:rPr>
                <w:sz w:val="18"/>
              </w:rPr>
            </w:pPr>
            <w:r>
              <w:rPr>
                <w:sz w:val="18"/>
                <w:szCs w:val="18"/>
              </w:rPr>
              <w:t>1894</w:t>
            </w:r>
          </w:p>
        </w:tc>
        <w:tc>
          <w:tcPr>
            <w:tcW w:w="731" w:type="dxa"/>
            <w:tcBorders>
              <w:top w:val="single" w:sz="2" w:space="0" w:color="000000"/>
              <w:left w:val="single" w:sz="2" w:space="0" w:color="000000"/>
              <w:bottom w:val="single" w:sz="2" w:space="0" w:color="000000"/>
              <w:right w:val="single" w:sz="2" w:space="0" w:color="000000"/>
            </w:tcBorders>
            <w:vAlign w:val="center"/>
          </w:tcPr>
          <w:p w14:paraId="6D3F948D" w14:textId="77777777" w:rsidR="00281D48" w:rsidRPr="00364545" w:rsidRDefault="00281D48" w:rsidP="00281D48">
            <w:pPr>
              <w:spacing w:line="259" w:lineRule="auto"/>
              <w:ind w:left="14"/>
              <w:jc w:val="center"/>
              <w:rPr>
                <w:sz w:val="18"/>
              </w:rPr>
            </w:pPr>
            <w:r>
              <w:rPr>
                <w:sz w:val="18"/>
                <w:szCs w:val="18"/>
              </w:rPr>
              <w:t>1973</w:t>
            </w:r>
          </w:p>
        </w:tc>
        <w:tc>
          <w:tcPr>
            <w:tcW w:w="743" w:type="dxa"/>
            <w:tcBorders>
              <w:top w:val="single" w:sz="2" w:space="0" w:color="000000"/>
              <w:left w:val="single" w:sz="2" w:space="0" w:color="000000"/>
              <w:bottom w:val="single" w:sz="2" w:space="0" w:color="000000"/>
              <w:right w:val="single" w:sz="2" w:space="0" w:color="000000"/>
            </w:tcBorders>
            <w:vAlign w:val="center"/>
          </w:tcPr>
          <w:p w14:paraId="3B32D325" w14:textId="77777777" w:rsidR="00281D48" w:rsidRPr="00364545" w:rsidRDefault="00281D48" w:rsidP="00281D48">
            <w:pPr>
              <w:spacing w:line="259" w:lineRule="auto"/>
              <w:ind w:left="14"/>
              <w:jc w:val="center"/>
              <w:rPr>
                <w:sz w:val="18"/>
              </w:rPr>
            </w:pPr>
            <w:r>
              <w:rPr>
                <w:sz w:val="18"/>
                <w:szCs w:val="18"/>
              </w:rPr>
              <w:t>1989</w:t>
            </w:r>
          </w:p>
        </w:tc>
        <w:tc>
          <w:tcPr>
            <w:tcW w:w="735" w:type="dxa"/>
            <w:tcBorders>
              <w:top w:val="single" w:sz="2" w:space="0" w:color="000000"/>
              <w:left w:val="single" w:sz="2" w:space="0" w:color="000000"/>
              <w:bottom w:val="single" w:sz="2" w:space="0" w:color="000000"/>
              <w:right w:val="single" w:sz="2" w:space="0" w:color="000000"/>
            </w:tcBorders>
            <w:vAlign w:val="center"/>
          </w:tcPr>
          <w:p w14:paraId="27DAF7E7" w14:textId="77777777" w:rsidR="00281D48" w:rsidRPr="00364545" w:rsidRDefault="00281D48" w:rsidP="00281D48">
            <w:pPr>
              <w:spacing w:line="259" w:lineRule="auto"/>
              <w:ind w:left="14"/>
              <w:jc w:val="center"/>
              <w:rPr>
                <w:sz w:val="18"/>
              </w:rPr>
            </w:pPr>
            <w:r>
              <w:rPr>
                <w:sz w:val="18"/>
                <w:szCs w:val="18"/>
              </w:rPr>
              <w:t>1965</w:t>
            </w:r>
          </w:p>
        </w:tc>
        <w:tc>
          <w:tcPr>
            <w:tcW w:w="743" w:type="dxa"/>
            <w:tcBorders>
              <w:top w:val="single" w:sz="2" w:space="0" w:color="000000"/>
              <w:left w:val="single" w:sz="2" w:space="0" w:color="000000"/>
              <w:bottom w:val="single" w:sz="2" w:space="0" w:color="000000"/>
              <w:right w:val="single" w:sz="2" w:space="0" w:color="000000"/>
            </w:tcBorders>
            <w:vAlign w:val="center"/>
          </w:tcPr>
          <w:p w14:paraId="16651B02" w14:textId="77777777" w:rsidR="00281D48" w:rsidRPr="00364545" w:rsidRDefault="00281D48" w:rsidP="00281D48">
            <w:pPr>
              <w:spacing w:line="259" w:lineRule="auto"/>
              <w:ind w:left="14"/>
              <w:jc w:val="center"/>
              <w:rPr>
                <w:sz w:val="18"/>
              </w:rPr>
            </w:pPr>
            <w:r>
              <w:rPr>
                <w:sz w:val="18"/>
                <w:szCs w:val="18"/>
              </w:rPr>
              <w:t>1986</w:t>
            </w:r>
          </w:p>
        </w:tc>
        <w:tc>
          <w:tcPr>
            <w:tcW w:w="743" w:type="dxa"/>
            <w:tcBorders>
              <w:top w:val="single" w:sz="2" w:space="0" w:color="000000"/>
              <w:left w:val="single" w:sz="2" w:space="0" w:color="000000"/>
              <w:bottom w:val="single" w:sz="2" w:space="0" w:color="000000"/>
              <w:right w:val="single" w:sz="2" w:space="0" w:color="000000"/>
            </w:tcBorders>
            <w:vAlign w:val="center"/>
          </w:tcPr>
          <w:p w14:paraId="3FC9D725" w14:textId="77777777" w:rsidR="00281D48" w:rsidRPr="00364545" w:rsidRDefault="00281D48" w:rsidP="00281D48">
            <w:pPr>
              <w:spacing w:line="259" w:lineRule="auto"/>
              <w:ind w:left="14"/>
              <w:jc w:val="center"/>
              <w:rPr>
                <w:sz w:val="18"/>
              </w:rPr>
            </w:pPr>
            <w:r>
              <w:rPr>
                <w:sz w:val="18"/>
                <w:szCs w:val="18"/>
              </w:rPr>
              <w:t>2176</w:t>
            </w:r>
          </w:p>
        </w:tc>
        <w:tc>
          <w:tcPr>
            <w:tcW w:w="721" w:type="dxa"/>
            <w:tcBorders>
              <w:top w:val="single" w:sz="2" w:space="0" w:color="000000"/>
              <w:left w:val="single" w:sz="2" w:space="0" w:color="000000"/>
              <w:bottom w:val="single" w:sz="2" w:space="0" w:color="000000"/>
              <w:right w:val="single" w:sz="2" w:space="0" w:color="000000"/>
            </w:tcBorders>
            <w:vAlign w:val="center"/>
          </w:tcPr>
          <w:p w14:paraId="3D4F81DB" w14:textId="77777777" w:rsidR="00281D48" w:rsidRPr="00364545" w:rsidRDefault="00281D48" w:rsidP="00281D48">
            <w:pPr>
              <w:spacing w:line="259" w:lineRule="auto"/>
              <w:ind w:left="14"/>
              <w:jc w:val="center"/>
              <w:rPr>
                <w:sz w:val="18"/>
              </w:rPr>
            </w:pPr>
            <w:r>
              <w:rPr>
                <w:sz w:val="18"/>
                <w:szCs w:val="18"/>
              </w:rPr>
              <w:t>2032</w:t>
            </w:r>
          </w:p>
        </w:tc>
        <w:tc>
          <w:tcPr>
            <w:tcW w:w="764" w:type="dxa"/>
            <w:tcBorders>
              <w:top w:val="single" w:sz="2" w:space="0" w:color="000000"/>
              <w:left w:val="single" w:sz="2" w:space="0" w:color="000000"/>
              <w:bottom w:val="single" w:sz="2" w:space="0" w:color="000000"/>
              <w:right w:val="single" w:sz="2" w:space="0" w:color="000000"/>
            </w:tcBorders>
            <w:vAlign w:val="center"/>
          </w:tcPr>
          <w:p w14:paraId="2E35791D"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894</w:t>
            </w:r>
          </w:p>
        </w:tc>
        <w:tc>
          <w:tcPr>
            <w:tcW w:w="764" w:type="dxa"/>
            <w:tcBorders>
              <w:top w:val="single" w:sz="2" w:space="0" w:color="000000"/>
              <w:left w:val="single" w:sz="2" w:space="0" w:color="000000"/>
              <w:bottom w:val="single" w:sz="2" w:space="0" w:color="000000"/>
              <w:right w:val="single" w:sz="2" w:space="0" w:color="000000"/>
            </w:tcBorders>
            <w:vAlign w:val="center"/>
          </w:tcPr>
          <w:p w14:paraId="54741D1C"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742</w:t>
            </w:r>
          </w:p>
        </w:tc>
        <w:tc>
          <w:tcPr>
            <w:tcW w:w="764" w:type="dxa"/>
            <w:tcBorders>
              <w:top w:val="single" w:sz="2" w:space="0" w:color="000000"/>
              <w:left w:val="single" w:sz="2" w:space="0" w:color="000000"/>
              <w:bottom w:val="single" w:sz="2" w:space="0" w:color="000000"/>
              <w:right w:val="single" w:sz="2" w:space="0" w:color="000000"/>
            </w:tcBorders>
            <w:vAlign w:val="center"/>
          </w:tcPr>
          <w:p w14:paraId="058D9145"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620</w:t>
            </w:r>
          </w:p>
        </w:tc>
        <w:tc>
          <w:tcPr>
            <w:tcW w:w="743" w:type="dxa"/>
            <w:tcBorders>
              <w:top w:val="single" w:sz="2" w:space="0" w:color="000000"/>
              <w:left w:val="single" w:sz="2" w:space="0" w:color="000000"/>
              <w:bottom w:val="single" w:sz="2" w:space="0" w:color="000000"/>
              <w:right w:val="single" w:sz="2" w:space="0" w:color="000000"/>
            </w:tcBorders>
            <w:vAlign w:val="center"/>
          </w:tcPr>
          <w:p w14:paraId="230AAC3B"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478</w:t>
            </w:r>
          </w:p>
        </w:tc>
        <w:tc>
          <w:tcPr>
            <w:tcW w:w="652" w:type="dxa"/>
            <w:tcBorders>
              <w:top w:val="single" w:sz="2" w:space="0" w:color="000000"/>
              <w:left w:val="single" w:sz="2" w:space="0" w:color="000000"/>
              <w:bottom w:val="single" w:sz="2" w:space="0" w:color="000000"/>
              <w:right w:val="single" w:sz="2" w:space="0" w:color="000000"/>
            </w:tcBorders>
            <w:vAlign w:val="center"/>
          </w:tcPr>
          <w:p w14:paraId="6B7E14B2"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445</w:t>
            </w:r>
          </w:p>
        </w:tc>
      </w:tr>
      <w:tr w:rsidR="00281D48" w:rsidRPr="00364545" w14:paraId="630A0F99" w14:textId="77777777" w:rsidTr="00281D48">
        <w:trPr>
          <w:trHeight w:val="344"/>
        </w:trPr>
        <w:tc>
          <w:tcPr>
            <w:tcW w:w="1088" w:type="dxa"/>
            <w:tcBorders>
              <w:top w:val="single" w:sz="2" w:space="0" w:color="000000"/>
              <w:left w:val="single" w:sz="2" w:space="0" w:color="000000"/>
              <w:bottom w:val="single" w:sz="2" w:space="0" w:color="000000"/>
              <w:right w:val="single" w:sz="2" w:space="0" w:color="000000"/>
            </w:tcBorders>
            <w:shd w:val="clear" w:color="auto" w:fill="ECE6E2"/>
          </w:tcPr>
          <w:p w14:paraId="3E551AD9" w14:textId="3F97E8CC" w:rsidR="00281D48" w:rsidRPr="00364545" w:rsidRDefault="00281D48" w:rsidP="00281D48">
            <w:pPr>
              <w:spacing w:line="259" w:lineRule="auto"/>
            </w:pPr>
            <w:r>
              <w:rPr>
                <w:sz w:val="18"/>
              </w:rPr>
              <w:t xml:space="preserve">UTCATF </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F3CB33" w14:textId="77777777" w:rsidR="00281D48" w:rsidRPr="00364545" w:rsidRDefault="00281D48" w:rsidP="00281D48">
            <w:pPr>
              <w:spacing w:line="259" w:lineRule="auto"/>
              <w:ind w:left="14"/>
              <w:jc w:val="center"/>
              <w:rPr>
                <w:sz w:val="18"/>
              </w:rPr>
            </w:pPr>
            <w:r>
              <w:rPr>
                <w:sz w:val="18"/>
                <w:szCs w:val="18"/>
              </w:rPr>
              <w:t>-28145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C75198" w14:textId="77777777" w:rsidR="00281D48" w:rsidRPr="00364545" w:rsidRDefault="00281D48" w:rsidP="00281D48">
            <w:pPr>
              <w:spacing w:line="259" w:lineRule="auto"/>
              <w:ind w:left="14"/>
              <w:jc w:val="center"/>
              <w:rPr>
                <w:sz w:val="18"/>
              </w:rPr>
            </w:pPr>
            <w:r>
              <w:rPr>
                <w:sz w:val="18"/>
                <w:szCs w:val="18"/>
              </w:rPr>
              <w:t>-31795</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9922DE7" w14:textId="77777777" w:rsidR="00281D48" w:rsidRPr="00364545" w:rsidRDefault="00281D48" w:rsidP="00281D48">
            <w:pPr>
              <w:spacing w:line="259" w:lineRule="auto"/>
              <w:ind w:left="14"/>
              <w:jc w:val="center"/>
              <w:rPr>
                <w:sz w:val="18"/>
              </w:rPr>
            </w:pPr>
            <w:r>
              <w:rPr>
                <w:sz w:val="18"/>
                <w:szCs w:val="18"/>
              </w:rPr>
              <w:t>-24595</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F7D028" w14:textId="77777777" w:rsidR="00281D48" w:rsidRPr="00364545" w:rsidRDefault="00281D48" w:rsidP="00281D48">
            <w:pPr>
              <w:spacing w:line="259" w:lineRule="auto"/>
              <w:ind w:left="14"/>
              <w:jc w:val="center"/>
              <w:rPr>
                <w:sz w:val="18"/>
              </w:rPr>
            </w:pPr>
            <w:r>
              <w:rPr>
                <w:sz w:val="18"/>
                <w:szCs w:val="18"/>
              </w:rPr>
              <w:t>-51471</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F9752F" w14:textId="77777777" w:rsidR="00281D48" w:rsidRPr="00364545" w:rsidRDefault="00281D48" w:rsidP="00281D48">
            <w:pPr>
              <w:spacing w:line="259" w:lineRule="auto"/>
              <w:ind w:left="14"/>
              <w:jc w:val="center"/>
              <w:rPr>
                <w:sz w:val="18"/>
              </w:rPr>
            </w:pPr>
            <w:r>
              <w:rPr>
                <w:sz w:val="18"/>
                <w:szCs w:val="18"/>
              </w:rPr>
              <w:t>-42701</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116011" w14:textId="77777777" w:rsidR="00281D48" w:rsidRPr="00364545" w:rsidRDefault="00281D48" w:rsidP="00281D48">
            <w:pPr>
              <w:spacing w:line="259" w:lineRule="auto"/>
              <w:ind w:left="14"/>
              <w:jc w:val="center"/>
              <w:rPr>
                <w:sz w:val="18"/>
              </w:rPr>
            </w:pPr>
            <w:r>
              <w:rPr>
                <w:sz w:val="18"/>
                <w:szCs w:val="18"/>
              </w:rPr>
              <w:t>-38599</w:t>
            </w:r>
          </w:p>
        </w:tc>
        <w:tc>
          <w:tcPr>
            <w:tcW w:w="72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9F5DC5" w14:textId="77777777" w:rsidR="00281D48" w:rsidRPr="00364545" w:rsidRDefault="00281D48" w:rsidP="00281D48">
            <w:pPr>
              <w:spacing w:line="259" w:lineRule="auto"/>
              <w:ind w:left="14"/>
              <w:jc w:val="center"/>
              <w:rPr>
                <w:sz w:val="18"/>
              </w:rPr>
            </w:pPr>
            <w:r>
              <w:rPr>
                <w:sz w:val="18"/>
                <w:szCs w:val="18"/>
              </w:rPr>
              <w:t>-16293</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DD1022" w14:textId="77777777" w:rsidR="00281D48" w:rsidRPr="00364545" w:rsidRDefault="00281D48" w:rsidP="00281D48">
            <w:pPr>
              <w:spacing w:line="259" w:lineRule="auto"/>
              <w:ind w:left="14"/>
              <w:jc w:val="center"/>
              <w:rPr>
                <w:sz w:val="18"/>
              </w:rPr>
            </w:pPr>
            <w:r w:rsidRPr="00364545">
              <w:rPr>
                <w:sz w:val="18"/>
              </w:rPr>
              <w:t>-43</w:t>
            </w:r>
            <w:r w:rsidRPr="00364545">
              <w:rPr>
                <w:rFonts w:ascii="Calibri" w:hAnsi="Calibri"/>
                <w:sz w:val="18"/>
              </w:rPr>
              <w:t> </w:t>
            </w:r>
            <w:r w:rsidRPr="00364545">
              <w:rPr>
                <w:sz w:val="18"/>
              </w:rPr>
              <w:t>218</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C0995B" w14:textId="77777777" w:rsidR="00281D48" w:rsidRPr="00364545" w:rsidRDefault="00281D48" w:rsidP="00281D48">
            <w:pPr>
              <w:spacing w:line="259" w:lineRule="auto"/>
              <w:ind w:left="14"/>
              <w:jc w:val="center"/>
              <w:rPr>
                <w:sz w:val="18"/>
              </w:rPr>
            </w:pPr>
            <w:r w:rsidRPr="00364545">
              <w:rPr>
                <w:sz w:val="18"/>
              </w:rPr>
              <w:t>-41</w:t>
            </w:r>
            <w:r w:rsidRPr="00364545">
              <w:rPr>
                <w:rFonts w:ascii="Calibri" w:hAnsi="Calibri"/>
                <w:sz w:val="18"/>
              </w:rPr>
              <w:t> </w:t>
            </w:r>
            <w:r w:rsidRPr="00364545">
              <w:rPr>
                <w:sz w:val="18"/>
              </w:rPr>
              <w:t>903</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C809F4" w14:textId="77777777" w:rsidR="00281D48" w:rsidRPr="00364545" w:rsidRDefault="00281D48" w:rsidP="00281D48">
            <w:pPr>
              <w:spacing w:line="259" w:lineRule="auto"/>
              <w:ind w:left="14"/>
              <w:jc w:val="center"/>
              <w:rPr>
                <w:sz w:val="18"/>
              </w:rPr>
            </w:pPr>
            <w:r w:rsidRPr="00364545">
              <w:rPr>
                <w:sz w:val="18"/>
              </w:rPr>
              <w:t>-44</w:t>
            </w:r>
            <w:r w:rsidRPr="00364545">
              <w:rPr>
                <w:rFonts w:ascii="Calibri" w:hAnsi="Calibri"/>
                <w:sz w:val="18"/>
              </w:rPr>
              <w:t> </w:t>
            </w:r>
            <w:r w:rsidRPr="00364545">
              <w:rPr>
                <w:sz w:val="18"/>
              </w:rPr>
              <w:t>376</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32C3F0" w14:textId="77777777" w:rsidR="00281D48" w:rsidRPr="00364545" w:rsidRDefault="00281D48" w:rsidP="00281D48">
            <w:pPr>
              <w:spacing w:line="259" w:lineRule="auto"/>
              <w:ind w:left="14"/>
              <w:jc w:val="center"/>
              <w:rPr>
                <w:sz w:val="18"/>
              </w:rPr>
            </w:pPr>
            <w:r w:rsidRPr="00364545">
              <w:rPr>
                <w:sz w:val="18"/>
              </w:rPr>
              <w:t>-49</w:t>
            </w:r>
            <w:r w:rsidRPr="00364545">
              <w:rPr>
                <w:rFonts w:ascii="Calibri" w:hAnsi="Calibri"/>
                <w:sz w:val="18"/>
              </w:rPr>
              <w:t> </w:t>
            </w:r>
            <w:r w:rsidRPr="00364545">
              <w:rPr>
                <w:sz w:val="18"/>
              </w:rPr>
              <w:t>395</w:t>
            </w:r>
          </w:p>
        </w:tc>
        <w:tc>
          <w:tcPr>
            <w:tcW w:w="65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793900D" w14:textId="77777777" w:rsidR="00281D48" w:rsidRPr="00364545" w:rsidRDefault="00281D48" w:rsidP="00281D48">
            <w:pPr>
              <w:spacing w:line="259" w:lineRule="auto"/>
              <w:ind w:left="14"/>
              <w:jc w:val="center"/>
              <w:rPr>
                <w:sz w:val="18"/>
              </w:rPr>
            </w:pPr>
            <w:r w:rsidRPr="00364545">
              <w:rPr>
                <w:sz w:val="18"/>
              </w:rPr>
              <w:t>-71</w:t>
            </w:r>
            <w:r w:rsidRPr="00364545">
              <w:rPr>
                <w:rFonts w:ascii="Calibri" w:hAnsi="Calibri"/>
                <w:sz w:val="18"/>
              </w:rPr>
              <w:t> </w:t>
            </w:r>
            <w:r w:rsidRPr="00364545">
              <w:rPr>
                <w:sz w:val="18"/>
              </w:rPr>
              <w:t>260</w:t>
            </w:r>
          </w:p>
        </w:tc>
      </w:tr>
      <w:tr w:rsidR="00281D48" w:rsidRPr="00364545" w14:paraId="3810E604" w14:textId="77777777" w:rsidTr="00281D48">
        <w:trPr>
          <w:trHeight w:val="347"/>
        </w:trPr>
        <w:tc>
          <w:tcPr>
            <w:tcW w:w="1088" w:type="dxa"/>
            <w:tcBorders>
              <w:top w:val="single" w:sz="2" w:space="0" w:color="000000"/>
              <w:left w:val="single" w:sz="2" w:space="0" w:color="000000"/>
              <w:bottom w:val="single" w:sz="2" w:space="0" w:color="000000"/>
              <w:right w:val="single" w:sz="2" w:space="0" w:color="000000"/>
            </w:tcBorders>
          </w:tcPr>
          <w:p w14:paraId="1405485C" w14:textId="17411025" w:rsidR="00281D48" w:rsidRPr="00364545" w:rsidRDefault="00281D48" w:rsidP="00281D48">
            <w:pPr>
              <w:spacing w:line="259" w:lineRule="auto"/>
            </w:pPr>
            <w:r>
              <w:rPr>
                <w:sz w:val="18"/>
              </w:rPr>
              <w:t xml:space="preserve">Déchets </w:t>
            </w:r>
          </w:p>
        </w:tc>
        <w:tc>
          <w:tcPr>
            <w:tcW w:w="743" w:type="dxa"/>
            <w:tcBorders>
              <w:top w:val="single" w:sz="2" w:space="0" w:color="000000"/>
              <w:left w:val="single" w:sz="2" w:space="0" w:color="000000"/>
              <w:bottom w:val="single" w:sz="2" w:space="0" w:color="000000"/>
              <w:right w:val="single" w:sz="2" w:space="0" w:color="000000"/>
            </w:tcBorders>
            <w:vAlign w:val="center"/>
          </w:tcPr>
          <w:p w14:paraId="29B5BADA" w14:textId="77777777" w:rsidR="00281D48" w:rsidRPr="00364545" w:rsidRDefault="00281D48" w:rsidP="00281D48">
            <w:pPr>
              <w:spacing w:line="259" w:lineRule="auto"/>
              <w:ind w:left="14"/>
              <w:jc w:val="center"/>
              <w:rPr>
                <w:sz w:val="18"/>
              </w:rPr>
            </w:pPr>
            <w:r>
              <w:rPr>
                <w:sz w:val="18"/>
                <w:szCs w:val="18"/>
              </w:rPr>
              <w:t>2194</w:t>
            </w:r>
          </w:p>
        </w:tc>
        <w:tc>
          <w:tcPr>
            <w:tcW w:w="731" w:type="dxa"/>
            <w:tcBorders>
              <w:top w:val="single" w:sz="2" w:space="0" w:color="000000"/>
              <w:left w:val="single" w:sz="2" w:space="0" w:color="000000"/>
              <w:bottom w:val="single" w:sz="2" w:space="0" w:color="000000"/>
              <w:right w:val="single" w:sz="2" w:space="0" w:color="000000"/>
            </w:tcBorders>
            <w:vAlign w:val="center"/>
          </w:tcPr>
          <w:p w14:paraId="3BCE1756" w14:textId="77777777" w:rsidR="00281D48" w:rsidRPr="00364545" w:rsidRDefault="00281D48" w:rsidP="00281D48">
            <w:pPr>
              <w:spacing w:line="259" w:lineRule="auto"/>
              <w:ind w:left="14"/>
              <w:jc w:val="center"/>
              <w:rPr>
                <w:sz w:val="18"/>
              </w:rPr>
            </w:pPr>
            <w:r>
              <w:rPr>
                <w:sz w:val="18"/>
                <w:szCs w:val="18"/>
              </w:rPr>
              <w:t>2223</w:t>
            </w:r>
          </w:p>
        </w:tc>
        <w:tc>
          <w:tcPr>
            <w:tcW w:w="743" w:type="dxa"/>
            <w:tcBorders>
              <w:top w:val="single" w:sz="2" w:space="0" w:color="000000"/>
              <w:left w:val="single" w:sz="2" w:space="0" w:color="000000"/>
              <w:bottom w:val="single" w:sz="2" w:space="0" w:color="000000"/>
              <w:right w:val="single" w:sz="2" w:space="0" w:color="000000"/>
            </w:tcBorders>
            <w:vAlign w:val="center"/>
          </w:tcPr>
          <w:p w14:paraId="6C62056C" w14:textId="77777777" w:rsidR="00281D48" w:rsidRPr="00364545" w:rsidRDefault="00281D48" w:rsidP="00281D48">
            <w:pPr>
              <w:spacing w:line="259" w:lineRule="auto"/>
              <w:ind w:left="14"/>
              <w:jc w:val="center"/>
              <w:rPr>
                <w:sz w:val="18"/>
              </w:rPr>
            </w:pPr>
            <w:r>
              <w:rPr>
                <w:sz w:val="18"/>
                <w:szCs w:val="18"/>
              </w:rPr>
              <w:t>1704</w:t>
            </w:r>
          </w:p>
        </w:tc>
        <w:tc>
          <w:tcPr>
            <w:tcW w:w="735" w:type="dxa"/>
            <w:tcBorders>
              <w:top w:val="single" w:sz="2" w:space="0" w:color="000000"/>
              <w:left w:val="single" w:sz="2" w:space="0" w:color="000000"/>
              <w:bottom w:val="single" w:sz="2" w:space="0" w:color="000000"/>
              <w:right w:val="single" w:sz="2" w:space="0" w:color="000000"/>
            </w:tcBorders>
            <w:vAlign w:val="center"/>
          </w:tcPr>
          <w:p w14:paraId="0776EF82" w14:textId="77777777" w:rsidR="00281D48" w:rsidRPr="00364545" w:rsidRDefault="00281D48" w:rsidP="00281D48">
            <w:pPr>
              <w:spacing w:line="259" w:lineRule="auto"/>
              <w:ind w:left="14"/>
              <w:jc w:val="center"/>
              <w:rPr>
                <w:sz w:val="18"/>
              </w:rPr>
            </w:pPr>
            <w:r>
              <w:rPr>
                <w:sz w:val="18"/>
                <w:szCs w:val="18"/>
              </w:rPr>
              <w:t>1549</w:t>
            </w:r>
          </w:p>
        </w:tc>
        <w:tc>
          <w:tcPr>
            <w:tcW w:w="743" w:type="dxa"/>
            <w:tcBorders>
              <w:top w:val="single" w:sz="2" w:space="0" w:color="000000"/>
              <w:left w:val="single" w:sz="2" w:space="0" w:color="000000"/>
              <w:bottom w:val="single" w:sz="2" w:space="0" w:color="000000"/>
              <w:right w:val="single" w:sz="2" w:space="0" w:color="000000"/>
            </w:tcBorders>
            <w:vAlign w:val="center"/>
          </w:tcPr>
          <w:p w14:paraId="78CEF7A9" w14:textId="77777777" w:rsidR="00281D48" w:rsidRPr="00364545" w:rsidRDefault="00281D48" w:rsidP="00281D48">
            <w:pPr>
              <w:spacing w:line="259" w:lineRule="auto"/>
              <w:ind w:left="14"/>
              <w:jc w:val="center"/>
              <w:rPr>
                <w:sz w:val="18"/>
              </w:rPr>
            </w:pPr>
            <w:r>
              <w:rPr>
                <w:sz w:val="18"/>
                <w:szCs w:val="18"/>
              </w:rPr>
              <w:t>1608</w:t>
            </w:r>
          </w:p>
        </w:tc>
        <w:tc>
          <w:tcPr>
            <w:tcW w:w="743" w:type="dxa"/>
            <w:tcBorders>
              <w:top w:val="single" w:sz="2" w:space="0" w:color="000000"/>
              <w:left w:val="single" w:sz="2" w:space="0" w:color="000000"/>
              <w:bottom w:val="single" w:sz="2" w:space="0" w:color="000000"/>
              <w:right w:val="single" w:sz="2" w:space="0" w:color="000000"/>
            </w:tcBorders>
            <w:vAlign w:val="center"/>
          </w:tcPr>
          <w:p w14:paraId="36FFF965" w14:textId="77777777" w:rsidR="00281D48" w:rsidRPr="00364545" w:rsidRDefault="00281D48" w:rsidP="00281D48">
            <w:pPr>
              <w:spacing w:line="259" w:lineRule="auto"/>
              <w:ind w:left="14"/>
              <w:jc w:val="center"/>
              <w:rPr>
                <w:sz w:val="18"/>
              </w:rPr>
            </w:pPr>
            <w:r>
              <w:rPr>
                <w:sz w:val="18"/>
                <w:szCs w:val="18"/>
              </w:rPr>
              <w:t>1542</w:t>
            </w:r>
          </w:p>
        </w:tc>
        <w:tc>
          <w:tcPr>
            <w:tcW w:w="721" w:type="dxa"/>
            <w:tcBorders>
              <w:top w:val="single" w:sz="2" w:space="0" w:color="000000"/>
              <w:left w:val="single" w:sz="2" w:space="0" w:color="000000"/>
              <w:bottom w:val="single" w:sz="2" w:space="0" w:color="000000"/>
              <w:right w:val="single" w:sz="2" w:space="0" w:color="000000"/>
            </w:tcBorders>
            <w:vAlign w:val="center"/>
          </w:tcPr>
          <w:p w14:paraId="150F59DB" w14:textId="77777777" w:rsidR="00281D48" w:rsidRPr="00364545" w:rsidRDefault="00281D48" w:rsidP="00281D48">
            <w:pPr>
              <w:spacing w:line="259" w:lineRule="auto"/>
              <w:ind w:left="14"/>
              <w:jc w:val="center"/>
              <w:rPr>
                <w:sz w:val="18"/>
              </w:rPr>
            </w:pPr>
            <w:r>
              <w:rPr>
                <w:sz w:val="18"/>
                <w:szCs w:val="18"/>
              </w:rPr>
              <w:t>1738</w:t>
            </w:r>
          </w:p>
        </w:tc>
        <w:tc>
          <w:tcPr>
            <w:tcW w:w="764" w:type="dxa"/>
            <w:tcBorders>
              <w:top w:val="single" w:sz="2" w:space="0" w:color="000000"/>
              <w:left w:val="single" w:sz="2" w:space="0" w:color="000000"/>
              <w:bottom w:val="single" w:sz="2" w:space="0" w:color="000000"/>
              <w:right w:val="single" w:sz="2" w:space="0" w:color="000000"/>
            </w:tcBorders>
            <w:vAlign w:val="center"/>
          </w:tcPr>
          <w:p w14:paraId="08F6E8F3"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64" w:type="dxa"/>
            <w:tcBorders>
              <w:top w:val="single" w:sz="2" w:space="0" w:color="000000"/>
              <w:left w:val="single" w:sz="2" w:space="0" w:color="000000"/>
              <w:bottom w:val="single" w:sz="2" w:space="0" w:color="000000"/>
              <w:right w:val="single" w:sz="2" w:space="0" w:color="000000"/>
            </w:tcBorders>
            <w:vAlign w:val="center"/>
          </w:tcPr>
          <w:p w14:paraId="03536336"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64" w:type="dxa"/>
            <w:tcBorders>
              <w:top w:val="single" w:sz="2" w:space="0" w:color="000000"/>
              <w:left w:val="single" w:sz="2" w:space="0" w:color="000000"/>
              <w:bottom w:val="single" w:sz="2" w:space="0" w:color="000000"/>
              <w:right w:val="single" w:sz="2" w:space="0" w:color="000000"/>
            </w:tcBorders>
            <w:vAlign w:val="center"/>
          </w:tcPr>
          <w:p w14:paraId="3111B32F"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743" w:type="dxa"/>
            <w:tcBorders>
              <w:top w:val="single" w:sz="2" w:space="0" w:color="000000"/>
              <w:left w:val="single" w:sz="2" w:space="0" w:color="000000"/>
              <w:bottom w:val="single" w:sz="2" w:space="0" w:color="000000"/>
              <w:right w:val="single" w:sz="2" w:space="0" w:color="000000"/>
            </w:tcBorders>
            <w:vAlign w:val="center"/>
          </w:tcPr>
          <w:p w14:paraId="0F13DE22"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c>
          <w:tcPr>
            <w:tcW w:w="652" w:type="dxa"/>
            <w:tcBorders>
              <w:top w:val="single" w:sz="2" w:space="0" w:color="000000"/>
              <w:left w:val="single" w:sz="2" w:space="0" w:color="000000"/>
              <w:bottom w:val="single" w:sz="2" w:space="0" w:color="000000"/>
              <w:right w:val="single" w:sz="2" w:space="0" w:color="000000"/>
            </w:tcBorders>
            <w:vAlign w:val="center"/>
          </w:tcPr>
          <w:p w14:paraId="083D707B" w14:textId="77777777" w:rsidR="00281D48" w:rsidRPr="00364545" w:rsidRDefault="00281D48" w:rsidP="00281D48">
            <w:pPr>
              <w:spacing w:line="259" w:lineRule="auto"/>
              <w:ind w:left="14"/>
              <w:jc w:val="center"/>
              <w:rPr>
                <w:sz w:val="18"/>
              </w:rPr>
            </w:pPr>
            <w:r w:rsidRPr="00364545">
              <w:rPr>
                <w:sz w:val="18"/>
              </w:rPr>
              <w:t>1</w:t>
            </w:r>
            <w:r w:rsidRPr="00364545">
              <w:rPr>
                <w:rFonts w:ascii="Calibri" w:hAnsi="Calibri"/>
                <w:sz w:val="18"/>
              </w:rPr>
              <w:t> </w:t>
            </w:r>
            <w:r w:rsidRPr="00364545">
              <w:rPr>
                <w:sz w:val="18"/>
              </w:rPr>
              <w:t>515</w:t>
            </w:r>
          </w:p>
        </w:tc>
      </w:tr>
      <w:tr w:rsidR="00281D48" w:rsidRPr="00364545" w14:paraId="44365088" w14:textId="77777777" w:rsidTr="00281D48">
        <w:trPr>
          <w:trHeight w:val="344"/>
        </w:trPr>
        <w:tc>
          <w:tcPr>
            <w:tcW w:w="1088" w:type="dxa"/>
            <w:tcBorders>
              <w:top w:val="single" w:sz="2" w:space="0" w:color="000000"/>
              <w:left w:val="single" w:sz="2" w:space="0" w:color="000000"/>
              <w:bottom w:val="single" w:sz="2" w:space="0" w:color="000000"/>
              <w:right w:val="single" w:sz="2" w:space="0" w:color="000000"/>
            </w:tcBorders>
            <w:shd w:val="clear" w:color="auto" w:fill="ECE6E2"/>
          </w:tcPr>
          <w:p w14:paraId="7B54FE4B" w14:textId="6099A2AA" w:rsidR="00281D48" w:rsidRPr="00364545" w:rsidRDefault="00281D48" w:rsidP="00281D48">
            <w:pPr>
              <w:spacing w:line="259" w:lineRule="auto"/>
            </w:pPr>
            <w:r>
              <w:rPr>
                <w:b/>
                <w:sz w:val="18"/>
              </w:rPr>
              <w:t xml:space="preserve">Ensemble (hors UTCF) </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AC7118" w14:textId="77777777" w:rsidR="00281D48" w:rsidRPr="00364545" w:rsidRDefault="00281D48" w:rsidP="00281D48">
            <w:pPr>
              <w:spacing w:line="259" w:lineRule="auto"/>
              <w:ind w:left="14"/>
              <w:jc w:val="center"/>
              <w:rPr>
                <w:b/>
                <w:sz w:val="18"/>
              </w:rPr>
            </w:pPr>
            <w:r w:rsidRPr="00944589">
              <w:rPr>
                <w:b/>
                <w:sz w:val="18"/>
                <w:szCs w:val="18"/>
              </w:rPr>
              <w:t>398425</w:t>
            </w:r>
          </w:p>
        </w:tc>
        <w:tc>
          <w:tcPr>
            <w:tcW w:w="73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07B6449" w14:textId="77777777" w:rsidR="00281D48" w:rsidRPr="00364545" w:rsidRDefault="00281D48" w:rsidP="00281D48">
            <w:pPr>
              <w:spacing w:line="259" w:lineRule="auto"/>
              <w:ind w:left="14"/>
              <w:jc w:val="center"/>
              <w:rPr>
                <w:b/>
                <w:sz w:val="18"/>
              </w:rPr>
            </w:pPr>
            <w:r w:rsidRPr="00944589">
              <w:rPr>
                <w:b/>
                <w:sz w:val="18"/>
                <w:szCs w:val="18"/>
              </w:rPr>
              <w:t>392916</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C311B2" w14:textId="77777777" w:rsidR="00281D48" w:rsidRPr="00364545" w:rsidRDefault="00281D48" w:rsidP="00281D48">
            <w:pPr>
              <w:spacing w:line="259" w:lineRule="auto"/>
              <w:ind w:left="14"/>
              <w:jc w:val="center"/>
              <w:rPr>
                <w:b/>
                <w:sz w:val="18"/>
              </w:rPr>
            </w:pPr>
            <w:r w:rsidRPr="00944589">
              <w:rPr>
                <w:b/>
                <w:sz w:val="18"/>
                <w:szCs w:val="18"/>
              </w:rPr>
              <w:t>414788</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8AB6F4" w14:textId="77777777" w:rsidR="00281D48" w:rsidRPr="00364545" w:rsidRDefault="00281D48" w:rsidP="00281D48">
            <w:pPr>
              <w:spacing w:line="259" w:lineRule="auto"/>
              <w:ind w:left="14"/>
              <w:jc w:val="center"/>
              <w:rPr>
                <w:b/>
                <w:sz w:val="18"/>
              </w:rPr>
            </w:pPr>
            <w:r w:rsidRPr="00944589">
              <w:rPr>
                <w:b/>
                <w:sz w:val="18"/>
                <w:szCs w:val="18"/>
              </w:rPr>
              <w:t>425444</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996797" w14:textId="77777777" w:rsidR="00281D48" w:rsidRPr="00364545" w:rsidRDefault="00281D48" w:rsidP="00281D48">
            <w:pPr>
              <w:spacing w:line="259" w:lineRule="auto"/>
              <w:ind w:left="14"/>
              <w:jc w:val="center"/>
              <w:rPr>
                <w:b/>
                <w:sz w:val="18"/>
              </w:rPr>
            </w:pPr>
            <w:r w:rsidRPr="00944589">
              <w:rPr>
                <w:b/>
                <w:sz w:val="18"/>
                <w:szCs w:val="18"/>
              </w:rPr>
              <w:t>386872</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27C122" w14:textId="77777777" w:rsidR="00281D48" w:rsidRPr="00364545" w:rsidRDefault="00281D48" w:rsidP="00281D48">
            <w:pPr>
              <w:spacing w:line="259" w:lineRule="auto"/>
              <w:ind w:left="14"/>
              <w:jc w:val="center"/>
              <w:rPr>
                <w:b/>
                <w:sz w:val="18"/>
              </w:rPr>
            </w:pPr>
            <w:r w:rsidRPr="00944589">
              <w:rPr>
                <w:b/>
                <w:sz w:val="18"/>
                <w:szCs w:val="18"/>
              </w:rPr>
              <w:t>341631</w:t>
            </w:r>
          </w:p>
        </w:tc>
        <w:tc>
          <w:tcPr>
            <w:tcW w:w="72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28EE73" w14:textId="77777777" w:rsidR="00281D48" w:rsidRPr="00364545" w:rsidRDefault="00281D48" w:rsidP="00281D48">
            <w:pPr>
              <w:spacing w:line="259" w:lineRule="auto"/>
              <w:ind w:left="14"/>
              <w:jc w:val="center"/>
              <w:rPr>
                <w:b/>
                <w:sz w:val="18"/>
              </w:rPr>
            </w:pPr>
            <w:r w:rsidRPr="00944589">
              <w:rPr>
                <w:b/>
                <w:sz w:val="18"/>
                <w:szCs w:val="18"/>
              </w:rPr>
              <w:t>326725</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75074FC" w14:textId="77777777" w:rsidR="00281D48" w:rsidRPr="00364545" w:rsidRDefault="00281D48" w:rsidP="00281D48">
            <w:pPr>
              <w:spacing w:line="259" w:lineRule="auto"/>
              <w:ind w:left="14"/>
              <w:jc w:val="center"/>
              <w:rPr>
                <w:b/>
                <w:sz w:val="18"/>
              </w:rPr>
            </w:pPr>
            <w:r w:rsidRPr="00364545">
              <w:rPr>
                <w:b/>
                <w:sz w:val="18"/>
              </w:rPr>
              <w:t>325</w:t>
            </w:r>
            <w:r w:rsidRPr="00364545">
              <w:rPr>
                <w:rFonts w:ascii="Calibri" w:hAnsi="Calibri"/>
                <w:b/>
                <w:sz w:val="18"/>
              </w:rPr>
              <w:t> </w:t>
            </w:r>
            <w:r w:rsidRPr="00364545">
              <w:rPr>
                <w:b/>
                <w:sz w:val="18"/>
              </w:rPr>
              <w:t>904</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A4E521" w14:textId="77777777" w:rsidR="00281D48" w:rsidRPr="00364545" w:rsidRDefault="00281D48" w:rsidP="00281D48">
            <w:pPr>
              <w:spacing w:line="259" w:lineRule="auto"/>
              <w:ind w:left="14"/>
              <w:jc w:val="center"/>
              <w:rPr>
                <w:b/>
                <w:sz w:val="18"/>
              </w:rPr>
            </w:pPr>
            <w:r w:rsidRPr="00364545">
              <w:rPr>
                <w:b/>
                <w:sz w:val="18"/>
              </w:rPr>
              <w:t>273</w:t>
            </w:r>
            <w:r w:rsidRPr="00364545">
              <w:rPr>
                <w:rFonts w:ascii="Calibri" w:hAnsi="Calibri"/>
                <w:b/>
                <w:sz w:val="18"/>
              </w:rPr>
              <w:t> </w:t>
            </w:r>
            <w:r w:rsidRPr="00364545">
              <w:rPr>
                <w:b/>
                <w:sz w:val="18"/>
              </w:rPr>
              <w:t>167</w:t>
            </w:r>
          </w:p>
        </w:tc>
        <w:tc>
          <w:tcPr>
            <w:tcW w:w="7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F6E6F4" w14:textId="77777777" w:rsidR="00281D48" w:rsidRPr="00364545" w:rsidRDefault="00281D48" w:rsidP="00281D48">
            <w:pPr>
              <w:spacing w:line="259" w:lineRule="auto"/>
              <w:ind w:left="14"/>
              <w:jc w:val="center"/>
              <w:rPr>
                <w:b/>
                <w:sz w:val="18"/>
              </w:rPr>
            </w:pPr>
            <w:r w:rsidRPr="00364545">
              <w:rPr>
                <w:b/>
                <w:sz w:val="18"/>
              </w:rPr>
              <w:t>220</w:t>
            </w:r>
            <w:r w:rsidRPr="00364545">
              <w:rPr>
                <w:rFonts w:ascii="Calibri" w:hAnsi="Calibri"/>
                <w:b/>
                <w:sz w:val="18"/>
              </w:rPr>
              <w:t> </w:t>
            </w:r>
            <w:r w:rsidRPr="00364545">
              <w:rPr>
                <w:b/>
                <w:sz w:val="18"/>
              </w:rPr>
              <w:t>992</w:t>
            </w:r>
          </w:p>
        </w:tc>
        <w:tc>
          <w:tcPr>
            <w:tcW w:w="74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F06C873" w14:textId="77777777" w:rsidR="00281D48" w:rsidRPr="00364545" w:rsidRDefault="00281D48" w:rsidP="00281D48">
            <w:pPr>
              <w:spacing w:line="259" w:lineRule="auto"/>
              <w:ind w:left="14"/>
              <w:jc w:val="center"/>
              <w:rPr>
                <w:b/>
                <w:sz w:val="18"/>
              </w:rPr>
            </w:pPr>
            <w:r w:rsidRPr="00364545">
              <w:rPr>
                <w:b/>
                <w:sz w:val="18"/>
              </w:rPr>
              <w:t>167</w:t>
            </w:r>
            <w:r w:rsidRPr="00364545">
              <w:rPr>
                <w:rFonts w:ascii="Calibri" w:hAnsi="Calibri"/>
                <w:b/>
                <w:sz w:val="18"/>
              </w:rPr>
              <w:t> </w:t>
            </w:r>
            <w:r w:rsidRPr="00364545">
              <w:rPr>
                <w:b/>
                <w:sz w:val="18"/>
              </w:rPr>
              <w:t>257</w:t>
            </w:r>
          </w:p>
        </w:tc>
        <w:tc>
          <w:tcPr>
            <w:tcW w:w="65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44CB41" w14:textId="77777777" w:rsidR="00281D48" w:rsidRPr="00364545" w:rsidRDefault="00281D48" w:rsidP="00281D48">
            <w:pPr>
              <w:spacing w:line="259" w:lineRule="auto"/>
              <w:ind w:left="14"/>
              <w:jc w:val="center"/>
              <w:rPr>
                <w:b/>
                <w:sz w:val="18"/>
              </w:rPr>
            </w:pPr>
            <w:r w:rsidRPr="00364545">
              <w:rPr>
                <w:b/>
                <w:sz w:val="18"/>
              </w:rPr>
              <w:t>6</w:t>
            </w:r>
            <w:r w:rsidRPr="00364545">
              <w:rPr>
                <w:rFonts w:ascii="Calibri" w:hAnsi="Calibri"/>
                <w:b/>
                <w:sz w:val="18"/>
              </w:rPr>
              <w:t> </w:t>
            </w:r>
            <w:r w:rsidRPr="00364545">
              <w:rPr>
                <w:b/>
                <w:sz w:val="18"/>
              </w:rPr>
              <w:t>447</w:t>
            </w:r>
          </w:p>
        </w:tc>
      </w:tr>
      <w:tr w:rsidR="00281D48" w:rsidRPr="00364545" w14:paraId="0E8E59A9" w14:textId="77777777" w:rsidTr="00281D48">
        <w:trPr>
          <w:trHeight w:val="344"/>
        </w:trPr>
        <w:tc>
          <w:tcPr>
            <w:tcW w:w="1088" w:type="dxa"/>
            <w:tcBorders>
              <w:top w:val="single" w:sz="2" w:space="0" w:color="000000"/>
              <w:left w:val="single" w:sz="2" w:space="0" w:color="000000"/>
              <w:bottom w:val="single" w:sz="2" w:space="0" w:color="000000"/>
              <w:right w:val="single" w:sz="2" w:space="0" w:color="000000"/>
            </w:tcBorders>
          </w:tcPr>
          <w:p w14:paraId="72BC5C07" w14:textId="4B965883" w:rsidR="00281D48" w:rsidRPr="00364545" w:rsidRDefault="00281D48" w:rsidP="00281D48">
            <w:pPr>
              <w:spacing w:line="259" w:lineRule="auto"/>
            </w:pPr>
            <w:r>
              <w:rPr>
                <w:b/>
                <w:sz w:val="18"/>
              </w:rPr>
              <w:t xml:space="preserve">Ensemble (avec UTCF) </w:t>
            </w:r>
          </w:p>
        </w:tc>
        <w:tc>
          <w:tcPr>
            <w:tcW w:w="743" w:type="dxa"/>
            <w:tcBorders>
              <w:top w:val="single" w:sz="2" w:space="0" w:color="000000"/>
              <w:left w:val="single" w:sz="2" w:space="0" w:color="000000"/>
              <w:bottom w:val="single" w:sz="2" w:space="0" w:color="000000"/>
              <w:right w:val="single" w:sz="2" w:space="0" w:color="000000"/>
            </w:tcBorders>
            <w:vAlign w:val="center"/>
          </w:tcPr>
          <w:p w14:paraId="3F236497" w14:textId="77777777" w:rsidR="00281D48" w:rsidRPr="00364545" w:rsidRDefault="00281D48" w:rsidP="00281D48">
            <w:pPr>
              <w:spacing w:line="259" w:lineRule="auto"/>
              <w:ind w:left="14"/>
              <w:jc w:val="center"/>
              <w:rPr>
                <w:b/>
                <w:sz w:val="18"/>
              </w:rPr>
            </w:pPr>
            <w:r w:rsidRPr="00944589">
              <w:rPr>
                <w:b/>
                <w:sz w:val="18"/>
                <w:szCs w:val="18"/>
              </w:rPr>
              <w:t>370280</w:t>
            </w:r>
          </w:p>
        </w:tc>
        <w:tc>
          <w:tcPr>
            <w:tcW w:w="731" w:type="dxa"/>
            <w:tcBorders>
              <w:top w:val="single" w:sz="2" w:space="0" w:color="000000"/>
              <w:left w:val="single" w:sz="2" w:space="0" w:color="000000"/>
              <w:bottom w:val="single" w:sz="2" w:space="0" w:color="000000"/>
              <w:right w:val="single" w:sz="2" w:space="0" w:color="000000"/>
            </w:tcBorders>
            <w:vAlign w:val="center"/>
          </w:tcPr>
          <w:p w14:paraId="4BD6CBFF" w14:textId="77777777" w:rsidR="00281D48" w:rsidRPr="00364545" w:rsidRDefault="00281D48" w:rsidP="00281D48">
            <w:pPr>
              <w:spacing w:line="259" w:lineRule="auto"/>
              <w:ind w:left="14"/>
              <w:jc w:val="center"/>
              <w:rPr>
                <w:b/>
                <w:sz w:val="18"/>
              </w:rPr>
            </w:pPr>
            <w:r w:rsidRPr="00944589">
              <w:rPr>
                <w:b/>
                <w:sz w:val="18"/>
                <w:szCs w:val="18"/>
              </w:rPr>
              <w:t>361121</w:t>
            </w:r>
          </w:p>
        </w:tc>
        <w:tc>
          <w:tcPr>
            <w:tcW w:w="743" w:type="dxa"/>
            <w:tcBorders>
              <w:top w:val="single" w:sz="2" w:space="0" w:color="000000"/>
              <w:left w:val="single" w:sz="2" w:space="0" w:color="000000"/>
              <w:bottom w:val="single" w:sz="2" w:space="0" w:color="000000"/>
              <w:right w:val="single" w:sz="2" w:space="0" w:color="000000"/>
            </w:tcBorders>
            <w:vAlign w:val="center"/>
          </w:tcPr>
          <w:p w14:paraId="0A5CD8FF" w14:textId="77777777" w:rsidR="00281D48" w:rsidRPr="00364545" w:rsidRDefault="00281D48" w:rsidP="00281D48">
            <w:pPr>
              <w:spacing w:line="259" w:lineRule="auto"/>
              <w:ind w:left="14"/>
              <w:jc w:val="center"/>
              <w:rPr>
                <w:b/>
                <w:sz w:val="18"/>
              </w:rPr>
            </w:pPr>
            <w:r w:rsidRPr="00944589">
              <w:rPr>
                <w:b/>
                <w:sz w:val="18"/>
                <w:szCs w:val="18"/>
              </w:rPr>
              <w:t>390194</w:t>
            </w:r>
          </w:p>
        </w:tc>
        <w:tc>
          <w:tcPr>
            <w:tcW w:w="735" w:type="dxa"/>
            <w:tcBorders>
              <w:top w:val="single" w:sz="2" w:space="0" w:color="000000"/>
              <w:left w:val="single" w:sz="2" w:space="0" w:color="000000"/>
              <w:bottom w:val="single" w:sz="2" w:space="0" w:color="000000"/>
              <w:right w:val="single" w:sz="2" w:space="0" w:color="000000"/>
            </w:tcBorders>
            <w:vAlign w:val="center"/>
          </w:tcPr>
          <w:p w14:paraId="26FD5C92" w14:textId="77777777" w:rsidR="00281D48" w:rsidRPr="00364545" w:rsidRDefault="00281D48" w:rsidP="00281D48">
            <w:pPr>
              <w:spacing w:line="259" w:lineRule="auto"/>
              <w:ind w:left="14"/>
              <w:jc w:val="center"/>
              <w:rPr>
                <w:b/>
                <w:sz w:val="18"/>
              </w:rPr>
            </w:pPr>
            <w:r w:rsidRPr="00944589">
              <w:rPr>
                <w:b/>
                <w:sz w:val="18"/>
                <w:szCs w:val="18"/>
              </w:rPr>
              <w:t>373972</w:t>
            </w:r>
          </w:p>
        </w:tc>
        <w:tc>
          <w:tcPr>
            <w:tcW w:w="743" w:type="dxa"/>
            <w:tcBorders>
              <w:top w:val="single" w:sz="2" w:space="0" w:color="000000"/>
              <w:left w:val="single" w:sz="2" w:space="0" w:color="000000"/>
              <w:bottom w:val="single" w:sz="2" w:space="0" w:color="000000"/>
              <w:right w:val="single" w:sz="2" w:space="0" w:color="000000"/>
            </w:tcBorders>
            <w:vAlign w:val="center"/>
          </w:tcPr>
          <w:p w14:paraId="60D50DC7" w14:textId="77777777" w:rsidR="00281D48" w:rsidRPr="00364545" w:rsidRDefault="00281D48" w:rsidP="00281D48">
            <w:pPr>
              <w:spacing w:line="259" w:lineRule="auto"/>
              <w:ind w:left="14"/>
              <w:jc w:val="center"/>
              <w:rPr>
                <w:b/>
                <w:sz w:val="18"/>
              </w:rPr>
            </w:pPr>
            <w:r w:rsidRPr="00944589">
              <w:rPr>
                <w:b/>
                <w:sz w:val="18"/>
                <w:szCs w:val="18"/>
              </w:rPr>
              <w:t>344171</w:t>
            </w:r>
          </w:p>
        </w:tc>
        <w:tc>
          <w:tcPr>
            <w:tcW w:w="743" w:type="dxa"/>
            <w:tcBorders>
              <w:top w:val="single" w:sz="2" w:space="0" w:color="000000"/>
              <w:left w:val="single" w:sz="2" w:space="0" w:color="000000"/>
              <w:bottom w:val="single" w:sz="2" w:space="0" w:color="000000"/>
              <w:right w:val="single" w:sz="2" w:space="0" w:color="000000"/>
            </w:tcBorders>
            <w:vAlign w:val="center"/>
          </w:tcPr>
          <w:p w14:paraId="687E62BB" w14:textId="77777777" w:rsidR="00281D48" w:rsidRPr="00364545" w:rsidRDefault="00281D48" w:rsidP="00281D48">
            <w:pPr>
              <w:spacing w:line="259" w:lineRule="auto"/>
              <w:ind w:left="14"/>
              <w:jc w:val="center"/>
              <w:rPr>
                <w:b/>
                <w:sz w:val="18"/>
              </w:rPr>
            </w:pPr>
            <w:r w:rsidRPr="00944589">
              <w:rPr>
                <w:b/>
                <w:sz w:val="18"/>
                <w:szCs w:val="18"/>
              </w:rPr>
              <w:t>303032</w:t>
            </w:r>
          </w:p>
        </w:tc>
        <w:tc>
          <w:tcPr>
            <w:tcW w:w="721" w:type="dxa"/>
            <w:tcBorders>
              <w:top w:val="single" w:sz="2" w:space="0" w:color="000000"/>
              <w:left w:val="single" w:sz="2" w:space="0" w:color="000000"/>
              <w:bottom w:val="single" w:sz="2" w:space="0" w:color="000000"/>
              <w:right w:val="single" w:sz="2" w:space="0" w:color="000000"/>
            </w:tcBorders>
            <w:vAlign w:val="center"/>
          </w:tcPr>
          <w:p w14:paraId="539E9F29" w14:textId="77777777" w:rsidR="00281D48" w:rsidRPr="00364545" w:rsidRDefault="00281D48" w:rsidP="00281D48">
            <w:pPr>
              <w:spacing w:line="259" w:lineRule="auto"/>
              <w:ind w:left="14"/>
              <w:jc w:val="center"/>
              <w:rPr>
                <w:b/>
                <w:sz w:val="18"/>
              </w:rPr>
            </w:pPr>
            <w:r w:rsidRPr="00944589">
              <w:rPr>
                <w:b/>
                <w:sz w:val="18"/>
                <w:szCs w:val="18"/>
              </w:rPr>
              <w:t>310432</w:t>
            </w:r>
          </w:p>
        </w:tc>
        <w:tc>
          <w:tcPr>
            <w:tcW w:w="764" w:type="dxa"/>
            <w:tcBorders>
              <w:top w:val="single" w:sz="2" w:space="0" w:color="000000"/>
              <w:left w:val="single" w:sz="2" w:space="0" w:color="000000"/>
              <w:bottom w:val="single" w:sz="2" w:space="0" w:color="000000"/>
              <w:right w:val="single" w:sz="2" w:space="0" w:color="000000"/>
            </w:tcBorders>
            <w:vAlign w:val="center"/>
          </w:tcPr>
          <w:p w14:paraId="074CD212" w14:textId="77777777" w:rsidR="00281D48" w:rsidRPr="00364545" w:rsidRDefault="00281D48" w:rsidP="00281D48">
            <w:pPr>
              <w:spacing w:line="259" w:lineRule="auto"/>
              <w:ind w:left="14"/>
              <w:jc w:val="center"/>
              <w:rPr>
                <w:b/>
                <w:sz w:val="18"/>
              </w:rPr>
            </w:pPr>
            <w:r w:rsidRPr="00364545">
              <w:rPr>
                <w:b/>
                <w:sz w:val="18"/>
              </w:rPr>
              <w:t>282</w:t>
            </w:r>
            <w:r w:rsidRPr="00364545">
              <w:rPr>
                <w:rFonts w:ascii="Calibri" w:hAnsi="Calibri"/>
                <w:b/>
                <w:sz w:val="18"/>
              </w:rPr>
              <w:t> </w:t>
            </w:r>
            <w:r w:rsidRPr="00364545">
              <w:rPr>
                <w:b/>
                <w:sz w:val="18"/>
              </w:rPr>
              <w:t>686</w:t>
            </w:r>
          </w:p>
        </w:tc>
        <w:tc>
          <w:tcPr>
            <w:tcW w:w="764" w:type="dxa"/>
            <w:tcBorders>
              <w:top w:val="single" w:sz="2" w:space="0" w:color="000000"/>
              <w:left w:val="single" w:sz="2" w:space="0" w:color="000000"/>
              <w:bottom w:val="single" w:sz="2" w:space="0" w:color="000000"/>
              <w:right w:val="single" w:sz="2" w:space="0" w:color="000000"/>
            </w:tcBorders>
            <w:vAlign w:val="center"/>
          </w:tcPr>
          <w:p w14:paraId="2923BEC7" w14:textId="77777777" w:rsidR="00281D48" w:rsidRPr="00364545" w:rsidRDefault="00281D48" w:rsidP="00281D48">
            <w:pPr>
              <w:spacing w:line="259" w:lineRule="auto"/>
              <w:ind w:left="14"/>
              <w:jc w:val="center"/>
              <w:rPr>
                <w:b/>
                <w:sz w:val="18"/>
              </w:rPr>
            </w:pPr>
            <w:r w:rsidRPr="00364545">
              <w:rPr>
                <w:b/>
                <w:sz w:val="18"/>
              </w:rPr>
              <w:t>231</w:t>
            </w:r>
            <w:r w:rsidRPr="00364545">
              <w:rPr>
                <w:rFonts w:ascii="Calibri" w:hAnsi="Calibri"/>
                <w:b/>
                <w:sz w:val="18"/>
              </w:rPr>
              <w:t> </w:t>
            </w:r>
            <w:r w:rsidRPr="00364545">
              <w:rPr>
                <w:b/>
                <w:sz w:val="18"/>
              </w:rPr>
              <w:t>264</w:t>
            </w:r>
          </w:p>
        </w:tc>
        <w:tc>
          <w:tcPr>
            <w:tcW w:w="764" w:type="dxa"/>
            <w:tcBorders>
              <w:top w:val="single" w:sz="2" w:space="0" w:color="000000"/>
              <w:left w:val="single" w:sz="2" w:space="0" w:color="000000"/>
              <w:bottom w:val="single" w:sz="2" w:space="0" w:color="000000"/>
              <w:right w:val="single" w:sz="2" w:space="0" w:color="000000"/>
            </w:tcBorders>
            <w:vAlign w:val="center"/>
          </w:tcPr>
          <w:p w14:paraId="5B5AA1A5" w14:textId="77777777" w:rsidR="00281D48" w:rsidRPr="00364545" w:rsidRDefault="00281D48" w:rsidP="00281D48">
            <w:pPr>
              <w:spacing w:line="259" w:lineRule="auto"/>
              <w:ind w:left="14"/>
              <w:jc w:val="center"/>
              <w:rPr>
                <w:b/>
                <w:sz w:val="18"/>
              </w:rPr>
            </w:pPr>
            <w:r w:rsidRPr="00364545">
              <w:rPr>
                <w:b/>
                <w:sz w:val="18"/>
              </w:rPr>
              <w:t>176</w:t>
            </w:r>
            <w:r w:rsidRPr="00364545">
              <w:rPr>
                <w:rFonts w:ascii="Calibri" w:hAnsi="Calibri"/>
                <w:b/>
                <w:sz w:val="18"/>
              </w:rPr>
              <w:t> </w:t>
            </w:r>
            <w:r w:rsidRPr="00364545">
              <w:rPr>
                <w:b/>
                <w:sz w:val="18"/>
              </w:rPr>
              <w:t>617</w:t>
            </w:r>
          </w:p>
        </w:tc>
        <w:tc>
          <w:tcPr>
            <w:tcW w:w="743" w:type="dxa"/>
            <w:tcBorders>
              <w:top w:val="single" w:sz="2" w:space="0" w:color="000000"/>
              <w:left w:val="single" w:sz="2" w:space="0" w:color="000000"/>
              <w:bottom w:val="single" w:sz="2" w:space="0" w:color="000000"/>
              <w:right w:val="single" w:sz="2" w:space="0" w:color="000000"/>
            </w:tcBorders>
            <w:vAlign w:val="center"/>
          </w:tcPr>
          <w:p w14:paraId="3EF8307A" w14:textId="77777777" w:rsidR="00281D48" w:rsidRPr="00364545" w:rsidRDefault="00281D48" w:rsidP="00281D48">
            <w:pPr>
              <w:spacing w:line="259" w:lineRule="auto"/>
              <w:ind w:left="14"/>
              <w:jc w:val="center"/>
              <w:rPr>
                <w:b/>
                <w:sz w:val="18"/>
              </w:rPr>
            </w:pPr>
            <w:r w:rsidRPr="00364545">
              <w:rPr>
                <w:b/>
                <w:sz w:val="18"/>
              </w:rPr>
              <w:t>117</w:t>
            </w:r>
            <w:r w:rsidRPr="00364545">
              <w:rPr>
                <w:rFonts w:ascii="Calibri" w:hAnsi="Calibri"/>
                <w:b/>
                <w:sz w:val="18"/>
              </w:rPr>
              <w:t> </w:t>
            </w:r>
            <w:r w:rsidRPr="00364545">
              <w:rPr>
                <w:b/>
                <w:sz w:val="18"/>
              </w:rPr>
              <w:t>863</w:t>
            </w:r>
          </w:p>
        </w:tc>
        <w:tc>
          <w:tcPr>
            <w:tcW w:w="652" w:type="dxa"/>
            <w:tcBorders>
              <w:top w:val="single" w:sz="2" w:space="0" w:color="000000"/>
              <w:left w:val="single" w:sz="2" w:space="0" w:color="000000"/>
              <w:bottom w:val="single" w:sz="2" w:space="0" w:color="000000"/>
              <w:right w:val="single" w:sz="2" w:space="0" w:color="000000"/>
            </w:tcBorders>
            <w:vAlign w:val="center"/>
          </w:tcPr>
          <w:p w14:paraId="5268839F" w14:textId="77777777" w:rsidR="00281D48" w:rsidRPr="00364545" w:rsidRDefault="00281D48" w:rsidP="00281D48">
            <w:pPr>
              <w:spacing w:line="259" w:lineRule="auto"/>
              <w:ind w:left="14"/>
              <w:jc w:val="center"/>
              <w:rPr>
                <w:b/>
                <w:sz w:val="18"/>
              </w:rPr>
            </w:pPr>
            <w:r w:rsidRPr="00364545">
              <w:rPr>
                <w:b/>
                <w:sz w:val="18"/>
              </w:rPr>
              <w:t>-64</w:t>
            </w:r>
            <w:r w:rsidRPr="00364545">
              <w:rPr>
                <w:rFonts w:ascii="Calibri" w:hAnsi="Calibri"/>
                <w:b/>
                <w:sz w:val="18"/>
              </w:rPr>
              <w:t> </w:t>
            </w:r>
            <w:r w:rsidRPr="00364545">
              <w:rPr>
                <w:b/>
                <w:sz w:val="18"/>
              </w:rPr>
              <w:t>813</w:t>
            </w:r>
          </w:p>
        </w:tc>
      </w:tr>
    </w:tbl>
    <w:p w14:paraId="3AF7E802" w14:textId="77777777" w:rsidR="00CB5305" w:rsidRDefault="00CB5305" w:rsidP="00CB5305"/>
    <w:p w14:paraId="7DE29722" w14:textId="77777777" w:rsidR="008513BF" w:rsidRDefault="008513BF" w:rsidP="008513BF">
      <w:pPr>
        <w:pStyle w:val="Caption"/>
      </w:pPr>
      <w:bookmarkStart w:id="559" w:name="_Toc123916518"/>
      <w:r>
        <w:t xml:space="preserve">Tableau </w:t>
      </w:r>
      <w:fldSimple w:instr=" SEQ Tableau \* ARABIC ">
        <w:r w:rsidR="00AB51D9">
          <w:rPr>
            <w:noProof/>
          </w:rPr>
          <w:t>26</w:t>
        </w:r>
      </w:fldSimple>
      <w:r>
        <w:t xml:space="preserve"> : </w:t>
      </w:r>
      <w:r w:rsidR="00CB5305" w:rsidRPr="0040503C">
        <w:t xml:space="preserve">Projections d’émissions de </w:t>
      </w:r>
      <w:r w:rsidR="007F09F7">
        <w:t>CO</w:t>
      </w:r>
      <w:r w:rsidR="007F09F7" w:rsidRPr="007F09F7">
        <w:rPr>
          <w:vertAlign w:val="subscript"/>
        </w:rPr>
        <w:t>2</w:t>
      </w:r>
      <w:r w:rsidR="00CB5305" w:rsidRPr="0040503C">
        <w:t xml:space="preserve"> (en </w:t>
      </w:r>
      <w:r w:rsidR="00CB5305" w:rsidRPr="00590551">
        <w:t>kt</w:t>
      </w:r>
      <w:r w:rsidR="007F09F7">
        <w:t>CO</w:t>
      </w:r>
      <w:r w:rsidR="007F09F7" w:rsidRPr="007F09F7">
        <w:rPr>
          <w:vertAlign w:val="subscript"/>
        </w:rPr>
        <w:t>2</w:t>
      </w:r>
      <w:r w:rsidR="00CB5305" w:rsidRPr="0040503C">
        <w:rPr>
          <w:vertAlign w:val="subscript"/>
        </w:rPr>
        <w:t>e</w:t>
      </w:r>
      <w:r w:rsidR="00CB5305" w:rsidRPr="0040503C">
        <w:t xml:space="preserve">) au périmètre Kyoto dans le scénario </w:t>
      </w:r>
      <w:r w:rsidR="00CB5305">
        <w:t>AMS 2018</w:t>
      </w:r>
      <w:r w:rsidR="00CB5305" w:rsidRPr="0040503C">
        <w:t xml:space="preserve"> (avec mesures </w:t>
      </w:r>
      <w:r w:rsidR="00CB5305">
        <w:t>supplémentaires</w:t>
      </w:r>
      <w:r w:rsidR="00CB5305" w:rsidRPr="0040503C">
        <w:t>)</w:t>
      </w:r>
      <w:bookmarkEnd w:id="559"/>
    </w:p>
    <w:p w14:paraId="39E89721" w14:textId="5F139B89" w:rsidR="00CB5305" w:rsidRPr="006E15FD" w:rsidRDefault="00CB5305" w:rsidP="008513BF">
      <w:pPr>
        <w:pStyle w:val="Caption"/>
      </w:pPr>
      <w:r w:rsidRPr="006E15FD">
        <w:t>Source : Inventaire CCNUCC, Citepa/MTE, soumission 20</w:t>
      </w:r>
      <w:r w:rsidR="00281D48">
        <w:t>22</w:t>
      </w:r>
      <w:r w:rsidRPr="006E15FD">
        <w:t xml:space="preserve"> et projections d’émissions MTE, 20</w:t>
      </w:r>
      <w:r>
        <w:t>18</w:t>
      </w:r>
    </w:p>
    <w:p w14:paraId="2AFA9B71" w14:textId="77777777" w:rsidR="00CB5305" w:rsidRDefault="00CB5305" w:rsidP="00CB5305"/>
    <w:p w14:paraId="6276CDE5" w14:textId="77777777" w:rsidR="00281D48" w:rsidRPr="00364545" w:rsidRDefault="00281D48" w:rsidP="00281D48"/>
    <w:tbl>
      <w:tblPr>
        <w:tblStyle w:val="TableGrid0"/>
        <w:tblW w:w="10683" w:type="dxa"/>
        <w:tblInd w:w="10" w:type="dxa"/>
        <w:tblLayout w:type="fixed"/>
        <w:tblCellMar>
          <w:top w:w="39" w:type="dxa"/>
          <w:left w:w="28" w:type="dxa"/>
          <w:bottom w:w="2" w:type="dxa"/>
          <w:right w:w="48" w:type="dxa"/>
        </w:tblCellMar>
        <w:tblLook w:val="04A0" w:firstRow="1" w:lastRow="0" w:firstColumn="1" w:lastColumn="0" w:noHBand="0" w:noVBand="1"/>
      </w:tblPr>
      <w:tblGrid>
        <w:gridCol w:w="1405"/>
        <w:gridCol w:w="773"/>
        <w:gridCol w:w="773"/>
        <w:gridCol w:w="773"/>
        <w:gridCol w:w="773"/>
        <w:gridCol w:w="773"/>
        <w:gridCol w:w="774"/>
        <w:gridCol w:w="773"/>
        <w:gridCol w:w="773"/>
        <w:gridCol w:w="773"/>
        <w:gridCol w:w="773"/>
        <w:gridCol w:w="773"/>
        <w:gridCol w:w="774"/>
      </w:tblGrid>
      <w:tr w:rsidR="00281D48" w:rsidRPr="00364545" w14:paraId="7CE0DD93" w14:textId="77777777" w:rsidTr="009F2D1E">
        <w:trPr>
          <w:trHeight w:val="402"/>
        </w:trPr>
        <w:tc>
          <w:tcPr>
            <w:tcW w:w="1405" w:type="dxa"/>
            <w:tcBorders>
              <w:top w:val="single" w:sz="2" w:space="0" w:color="000000"/>
              <w:left w:val="single" w:sz="2" w:space="0" w:color="000000"/>
              <w:bottom w:val="single" w:sz="2" w:space="0" w:color="000000"/>
              <w:right w:val="single" w:sz="2" w:space="0" w:color="000000"/>
            </w:tcBorders>
            <w:shd w:val="clear" w:color="auto" w:fill="6D2A78"/>
          </w:tcPr>
          <w:p w14:paraId="02C5B7AA" w14:textId="77777777" w:rsidR="00281D48" w:rsidRPr="00364545" w:rsidRDefault="00281D48" w:rsidP="009F2D1E">
            <w:pPr>
              <w:spacing w:line="259" w:lineRule="auto"/>
              <w:ind w:left="67"/>
              <w:jc w:val="left"/>
            </w:pPr>
            <w:r w:rsidRPr="00364545">
              <w:t>AMS 18 – CH</w:t>
            </w:r>
            <w:r w:rsidRPr="00364545">
              <w:rPr>
                <w:vertAlign w:val="subscript"/>
              </w:rPr>
              <w:t>4</w:t>
            </w:r>
            <w:r w:rsidRPr="00364545">
              <w:t xml:space="preserve">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7623B6B1" w14:textId="77777777" w:rsidR="00281D48" w:rsidRPr="00364545" w:rsidRDefault="00281D48" w:rsidP="009F2D1E">
            <w:pPr>
              <w:spacing w:line="259" w:lineRule="auto"/>
              <w:ind w:left="19"/>
              <w:jc w:val="center"/>
            </w:pPr>
            <w:r w:rsidRPr="00364545">
              <w:rPr>
                <w:b/>
                <w:color w:val="FFFFFF"/>
                <w:sz w:val="18"/>
              </w:rPr>
              <w:t xml:space="preserve">1990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53249E83"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3EE1DBE2" w14:textId="77777777" w:rsidR="00281D48" w:rsidRPr="00364545" w:rsidRDefault="00281D48" w:rsidP="009F2D1E">
            <w:pPr>
              <w:spacing w:line="259" w:lineRule="auto"/>
              <w:ind w:left="21"/>
              <w:jc w:val="center"/>
            </w:pPr>
            <w:r w:rsidRPr="00364545">
              <w:rPr>
                <w:b/>
                <w:color w:val="FFFFFF"/>
                <w:sz w:val="18"/>
              </w:rPr>
              <w:t xml:space="preserve">2000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79BD5433" w14:textId="77777777" w:rsidR="00281D48" w:rsidRPr="00364545" w:rsidRDefault="00281D48" w:rsidP="009F2D1E">
            <w:pPr>
              <w:spacing w:line="259" w:lineRule="auto"/>
              <w:ind w:left="19"/>
              <w:jc w:val="center"/>
            </w:pPr>
            <w:r w:rsidRPr="00364545">
              <w:rPr>
                <w:b/>
                <w:color w:val="FFFFFF"/>
                <w:sz w:val="18"/>
              </w:rPr>
              <w:t xml:space="preserve">2005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6F542654" w14:textId="77777777" w:rsidR="00281D48" w:rsidRPr="00364545" w:rsidRDefault="00281D48" w:rsidP="009F2D1E">
            <w:pPr>
              <w:spacing w:line="259" w:lineRule="auto"/>
              <w:ind w:left="21"/>
              <w:jc w:val="center"/>
            </w:pPr>
            <w:r w:rsidRPr="00364545">
              <w:rPr>
                <w:b/>
                <w:color w:val="FFFFFF"/>
                <w:sz w:val="18"/>
              </w:rPr>
              <w:t xml:space="preserve">2010 </w:t>
            </w:r>
          </w:p>
        </w:tc>
        <w:tc>
          <w:tcPr>
            <w:tcW w:w="774" w:type="dxa"/>
            <w:tcBorders>
              <w:top w:val="single" w:sz="2" w:space="0" w:color="000000"/>
              <w:left w:val="single" w:sz="2" w:space="0" w:color="000000"/>
              <w:bottom w:val="single" w:sz="2" w:space="0" w:color="000000"/>
              <w:right w:val="single" w:sz="2" w:space="0" w:color="000000"/>
            </w:tcBorders>
            <w:shd w:val="clear" w:color="auto" w:fill="6D2A78"/>
          </w:tcPr>
          <w:p w14:paraId="0A4F63D3" w14:textId="77777777" w:rsidR="00281D48" w:rsidRPr="00364545" w:rsidRDefault="00281D48" w:rsidP="009F2D1E">
            <w:pPr>
              <w:spacing w:line="259" w:lineRule="auto"/>
              <w:ind w:left="19"/>
              <w:jc w:val="center"/>
            </w:pPr>
            <w:r w:rsidRPr="00364545">
              <w:rPr>
                <w:b/>
                <w:color w:val="FFFFFF"/>
                <w:sz w:val="18"/>
              </w:rPr>
              <w:t xml:space="preserve">2015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22B53A25" w14:textId="77777777" w:rsidR="00281D48" w:rsidRPr="00364545" w:rsidRDefault="00281D48" w:rsidP="009F2D1E">
            <w:pPr>
              <w:spacing w:line="259" w:lineRule="auto"/>
              <w:ind w:left="21"/>
              <w:jc w:val="center"/>
              <w:rPr>
                <w:b/>
                <w:color w:val="FFFFFF"/>
                <w:sz w:val="18"/>
              </w:rPr>
            </w:pPr>
            <w:r>
              <w:rPr>
                <w:b/>
                <w:color w:val="FFFFFF"/>
                <w:sz w:val="18"/>
              </w:rPr>
              <w:t>2019</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1D846287" w14:textId="77777777" w:rsidR="00281D48" w:rsidRPr="00364545" w:rsidRDefault="00281D48" w:rsidP="009F2D1E">
            <w:pPr>
              <w:spacing w:line="259" w:lineRule="auto"/>
              <w:ind w:left="21"/>
              <w:jc w:val="center"/>
            </w:pPr>
            <w:r w:rsidRPr="00364545">
              <w:rPr>
                <w:b/>
                <w:color w:val="FFFFFF"/>
                <w:sz w:val="18"/>
              </w:rPr>
              <w:t xml:space="preserve">2020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7AC49AA6" w14:textId="77777777" w:rsidR="00281D48" w:rsidRPr="00364545" w:rsidRDefault="00281D48" w:rsidP="009F2D1E">
            <w:pPr>
              <w:spacing w:line="259" w:lineRule="auto"/>
              <w:ind w:left="19"/>
              <w:jc w:val="center"/>
            </w:pPr>
            <w:r w:rsidRPr="00364545">
              <w:rPr>
                <w:b/>
                <w:color w:val="FFFFFF"/>
                <w:sz w:val="18"/>
              </w:rPr>
              <w:t xml:space="preserve">2025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636DC8B1" w14:textId="77777777" w:rsidR="00281D48" w:rsidRPr="00364545" w:rsidRDefault="00281D48" w:rsidP="009F2D1E">
            <w:pPr>
              <w:spacing w:line="259" w:lineRule="auto"/>
              <w:ind w:left="21"/>
              <w:jc w:val="center"/>
            </w:pPr>
            <w:r w:rsidRPr="00364545">
              <w:rPr>
                <w:b/>
                <w:color w:val="FFFFFF"/>
                <w:sz w:val="18"/>
              </w:rPr>
              <w:t xml:space="preserve">2030 </w:t>
            </w:r>
          </w:p>
        </w:tc>
        <w:tc>
          <w:tcPr>
            <w:tcW w:w="773" w:type="dxa"/>
            <w:tcBorders>
              <w:top w:val="single" w:sz="2" w:space="0" w:color="000000"/>
              <w:left w:val="single" w:sz="2" w:space="0" w:color="000000"/>
              <w:bottom w:val="single" w:sz="2" w:space="0" w:color="000000"/>
              <w:right w:val="single" w:sz="2" w:space="0" w:color="000000"/>
            </w:tcBorders>
            <w:shd w:val="clear" w:color="auto" w:fill="6D2A78"/>
          </w:tcPr>
          <w:p w14:paraId="05B907D8" w14:textId="77777777" w:rsidR="00281D48" w:rsidRPr="00364545" w:rsidRDefault="00281D48" w:rsidP="009F2D1E">
            <w:pPr>
              <w:spacing w:line="259" w:lineRule="auto"/>
              <w:ind w:left="20"/>
              <w:jc w:val="center"/>
            </w:pPr>
            <w:r w:rsidRPr="00364545">
              <w:rPr>
                <w:b/>
                <w:color w:val="FFFFFF"/>
                <w:sz w:val="18"/>
              </w:rPr>
              <w:t xml:space="preserve">2035 </w:t>
            </w:r>
          </w:p>
        </w:tc>
        <w:tc>
          <w:tcPr>
            <w:tcW w:w="774" w:type="dxa"/>
            <w:tcBorders>
              <w:top w:val="single" w:sz="2" w:space="0" w:color="000000"/>
              <w:left w:val="single" w:sz="2" w:space="0" w:color="000000"/>
              <w:bottom w:val="single" w:sz="2" w:space="0" w:color="000000"/>
              <w:right w:val="single" w:sz="2" w:space="0" w:color="000000"/>
            </w:tcBorders>
            <w:shd w:val="clear" w:color="auto" w:fill="6D2A78"/>
          </w:tcPr>
          <w:p w14:paraId="266E9F45"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434E4290" w14:textId="77777777" w:rsidTr="009F2D1E">
        <w:trPr>
          <w:trHeight w:val="344"/>
        </w:trPr>
        <w:tc>
          <w:tcPr>
            <w:tcW w:w="1405" w:type="dxa"/>
            <w:tcBorders>
              <w:top w:val="single" w:sz="2" w:space="0" w:color="000000"/>
              <w:left w:val="single" w:sz="2" w:space="0" w:color="000000"/>
              <w:bottom w:val="single" w:sz="2" w:space="0" w:color="000000"/>
              <w:right w:val="single" w:sz="2" w:space="0" w:color="000000"/>
            </w:tcBorders>
          </w:tcPr>
          <w:p w14:paraId="59A1437E" w14:textId="4F110AE6" w:rsidR="00281D48" w:rsidRPr="00364545" w:rsidRDefault="00281D48" w:rsidP="00281D48">
            <w:pPr>
              <w:spacing w:line="259" w:lineRule="auto"/>
            </w:pPr>
            <w:r>
              <w:rPr>
                <w:sz w:val="18"/>
              </w:rPr>
              <w:t xml:space="preserve">Energie </w:t>
            </w:r>
          </w:p>
        </w:tc>
        <w:tc>
          <w:tcPr>
            <w:tcW w:w="773" w:type="dxa"/>
            <w:tcBorders>
              <w:top w:val="single" w:sz="2" w:space="0" w:color="000000"/>
              <w:left w:val="single" w:sz="2" w:space="0" w:color="000000"/>
              <w:bottom w:val="single" w:sz="2" w:space="0" w:color="000000"/>
              <w:right w:val="single" w:sz="2" w:space="0" w:color="000000"/>
            </w:tcBorders>
            <w:vAlign w:val="center"/>
          </w:tcPr>
          <w:p w14:paraId="1AA7129D"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12404</w:t>
            </w:r>
          </w:p>
        </w:tc>
        <w:tc>
          <w:tcPr>
            <w:tcW w:w="773" w:type="dxa"/>
            <w:tcBorders>
              <w:top w:val="single" w:sz="2" w:space="0" w:color="000000"/>
              <w:left w:val="single" w:sz="2" w:space="0" w:color="000000"/>
              <w:bottom w:val="single" w:sz="2" w:space="0" w:color="000000"/>
              <w:right w:val="single" w:sz="2" w:space="0" w:color="000000"/>
            </w:tcBorders>
            <w:vAlign w:val="center"/>
          </w:tcPr>
          <w:p w14:paraId="1681E2B6"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11918</w:t>
            </w:r>
          </w:p>
        </w:tc>
        <w:tc>
          <w:tcPr>
            <w:tcW w:w="773" w:type="dxa"/>
            <w:tcBorders>
              <w:top w:val="single" w:sz="2" w:space="0" w:color="000000"/>
              <w:left w:val="single" w:sz="2" w:space="0" w:color="000000"/>
              <w:bottom w:val="single" w:sz="2" w:space="0" w:color="000000"/>
              <w:right w:val="single" w:sz="2" w:space="0" w:color="000000"/>
            </w:tcBorders>
            <w:vAlign w:val="center"/>
          </w:tcPr>
          <w:p w14:paraId="0FE31326"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7568</w:t>
            </w:r>
          </w:p>
        </w:tc>
        <w:tc>
          <w:tcPr>
            <w:tcW w:w="773" w:type="dxa"/>
            <w:tcBorders>
              <w:top w:val="single" w:sz="2" w:space="0" w:color="000000"/>
              <w:left w:val="single" w:sz="2" w:space="0" w:color="000000"/>
              <w:bottom w:val="single" w:sz="2" w:space="0" w:color="000000"/>
              <w:right w:val="single" w:sz="2" w:space="0" w:color="000000"/>
            </w:tcBorders>
            <w:vAlign w:val="center"/>
          </w:tcPr>
          <w:p w14:paraId="156240AB"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4922</w:t>
            </w:r>
          </w:p>
        </w:tc>
        <w:tc>
          <w:tcPr>
            <w:tcW w:w="773" w:type="dxa"/>
            <w:tcBorders>
              <w:top w:val="single" w:sz="2" w:space="0" w:color="000000"/>
              <w:left w:val="single" w:sz="2" w:space="0" w:color="000000"/>
              <w:bottom w:val="single" w:sz="2" w:space="0" w:color="000000"/>
              <w:right w:val="single" w:sz="2" w:space="0" w:color="000000"/>
            </w:tcBorders>
            <w:vAlign w:val="center"/>
          </w:tcPr>
          <w:p w14:paraId="7557ABDF"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3704</w:t>
            </w:r>
          </w:p>
        </w:tc>
        <w:tc>
          <w:tcPr>
            <w:tcW w:w="774" w:type="dxa"/>
            <w:tcBorders>
              <w:top w:val="single" w:sz="2" w:space="0" w:color="000000"/>
              <w:left w:val="single" w:sz="2" w:space="0" w:color="000000"/>
              <w:bottom w:val="single" w:sz="2" w:space="0" w:color="000000"/>
              <w:right w:val="single" w:sz="2" w:space="0" w:color="000000"/>
            </w:tcBorders>
            <w:vAlign w:val="center"/>
          </w:tcPr>
          <w:p w14:paraId="3F697C5A"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2743</w:t>
            </w:r>
          </w:p>
        </w:tc>
        <w:tc>
          <w:tcPr>
            <w:tcW w:w="773" w:type="dxa"/>
            <w:tcBorders>
              <w:top w:val="single" w:sz="2" w:space="0" w:color="000000"/>
              <w:left w:val="single" w:sz="2" w:space="0" w:color="000000"/>
              <w:bottom w:val="single" w:sz="2" w:space="0" w:color="000000"/>
              <w:right w:val="single" w:sz="2" w:space="0" w:color="000000"/>
            </w:tcBorders>
            <w:vAlign w:val="center"/>
          </w:tcPr>
          <w:p w14:paraId="4CD469BA"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2398</w:t>
            </w:r>
          </w:p>
        </w:tc>
        <w:tc>
          <w:tcPr>
            <w:tcW w:w="773" w:type="dxa"/>
            <w:tcBorders>
              <w:top w:val="single" w:sz="2" w:space="0" w:color="000000"/>
              <w:left w:val="single" w:sz="2" w:space="0" w:color="000000"/>
              <w:bottom w:val="single" w:sz="2" w:space="0" w:color="000000"/>
              <w:right w:val="single" w:sz="2" w:space="0" w:color="000000"/>
            </w:tcBorders>
            <w:vAlign w:val="center"/>
          </w:tcPr>
          <w:p w14:paraId="0BE8E708"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247</w:t>
            </w:r>
          </w:p>
        </w:tc>
        <w:tc>
          <w:tcPr>
            <w:tcW w:w="773" w:type="dxa"/>
            <w:tcBorders>
              <w:top w:val="single" w:sz="2" w:space="0" w:color="000000"/>
              <w:left w:val="single" w:sz="2" w:space="0" w:color="000000"/>
              <w:bottom w:val="single" w:sz="2" w:space="0" w:color="000000"/>
              <w:right w:val="single" w:sz="2" w:space="0" w:color="000000"/>
            </w:tcBorders>
            <w:vAlign w:val="center"/>
          </w:tcPr>
          <w:p w14:paraId="00F3C4F3"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120</w:t>
            </w:r>
          </w:p>
        </w:tc>
        <w:tc>
          <w:tcPr>
            <w:tcW w:w="773" w:type="dxa"/>
            <w:tcBorders>
              <w:top w:val="single" w:sz="2" w:space="0" w:color="000000"/>
              <w:left w:val="single" w:sz="2" w:space="0" w:color="000000"/>
              <w:bottom w:val="single" w:sz="2" w:space="0" w:color="000000"/>
              <w:right w:val="single" w:sz="2" w:space="0" w:color="000000"/>
            </w:tcBorders>
            <w:vAlign w:val="center"/>
          </w:tcPr>
          <w:p w14:paraId="22D743B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049</w:t>
            </w:r>
          </w:p>
        </w:tc>
        <w:tc>
          <w:tcPr>
            <w:tcW w:w="773" w:type="dxa"/>
            <w:tcBorders>
              <w:top w:val="single" w:sz="2" w:space="0" w:color="000000"/>
              <w:left w:val="single" w:sz="2" w:space="0" w:color="000000"/>
              <w:bottom w:val="single" w:sz="2" w:space="0" w:color="000000"/>
              <w:right w:val="single" w:sz="2" w:space="0" w:color="000000"/>
            </w:tcBorders>
            <w:vAlign w:val="center"/>
          </w:tcPr>
          <w:p w14:paraId="374EA2F9"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893</w:t>
            </w:r>
          </w:p>
        </w:tc>
        <w:tc>
          <w:tcPr>
            <w:tcW w:w="774" w:type="dxa"/>
            <w:tcBorders>
              <w:top w:val="single" w:sz="2" w:space="0" w:color="000000"/>
              <w:left w:val="single" w:sz="2" w:space="0" w:color="000000"/>
              <w:bottom w:val="single" w:sz="2" w:space="0" w:color="000000"/>
              <w:right w:val="single" w:sz="2" w:space="0" w:color="000000"/>
            </w:tcBorders>
            <w:vAlign w:val="center"/>
          </w:tcPr>
          <w:p w14:paraId="5ECEEC5B"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422</w:t>
            </w:r>
          </w:p>
        </w:tc>
      </w:tr>
      <w:tr w:rsidR="00281D48" w:rsidRPr="00364545" w14:paraId="3D6E8116" w14:textId="77777777" w:rsidTr="009F2D1E">
        <w:trPr>
          <w:trHeight w:val="419"/>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2C5C708C" w14:textId="2231A30D" w:rsidR="00281D48" w:rsidRPr="00364545" w:rsidRDefault="00281D48" w:rsidP="00281D48">
            <w:pPr>
              <w:spacing w:line="259" w:lineRule="auto"/>
            </w:pPr>
            <w:r>
              <w:rPr>
                <w:sz w:val="18"/>
              </w:rPr>
              <w:t xml:space="preserve">Procédés industriels, solvants et autres produits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56635A"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220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2E7240"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221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E1D327"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236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6E20BD"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207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EAB487"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147</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1C5C90"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85</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17B8A9"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66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13F5A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54</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C3BB5F"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50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F7EBB9"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45</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1B0B98"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39</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98BBE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23</w:t>
            </w:r>
          </w:p>
        </w:tc>
      </w:tr>
      <w:tr w:rsidR="00281D48" w:rsidRPr="00364545" w14:paraId="795AAE87" w14:textId="77777777" w:rsidTr="009F2D1E">
        <w:trPr>
          <w:trHeight w:val="347"/>
        </w:trPr>
        <w:tc>
          <w:tcPr>
            <w:tcW w:w="1405" w:type="dxa"/>
            <w:tcBorders>
              <w:top w:val="single" w:sz="2" w:space="0" w:color="000000"/>
              <w:left w:val="single" w:sz="2" w:space="0" w:color="000000"/>
              <w:bottom w:val="single" w:sz="2" w:space="0" w:color="000000"/>
              <w:right w:val="single" w:sz="2" w:space="0" w:color="000000"/>
            </w:tcBorders>
          </w:tcPr>
          <w:p w14:paraId="535B0AD9" w14:textId="3BE9CAB2" w:rsidR="00281D48" w:rsidRPr="00364545" w:rsidRDefault="00281D48" w:rsidP="00281D48">
            <w:pPr>
              <w:spacing w:line="259" w:lineRule="auto"/>
            </w:pPr>
            <w:r>
              <w:rPr>
                <w:sz w:val="18"/>
              </w:rPr>
              <w:t xml:space="preserve">Agriculture (hors énergie) </w:t>
            </w:r>
          </w:p>
        </w:tc>
        <w:tc>
          <w:tcPr>
            <w:tcW w:w="773" w:type="dxa"/>
            <w:tcBorders>
              <w:top w:val="single" w:sz="2" w:space="0" w:color="000000"/>
              <w:left w:val="single" w:sz="2" w:space="0" w:color="000000"/>
              <w:bottom w:val="single" w:sz="2" w:space="0" w:color="000000"/>
              <w:right w:val="single" w:sz="2" w:space="0" w:color="000000"/>
            </w:tcBorders>
            <w:vAlign w:val="center"/>
          </w:tcPr>
          <w:p w14:paraId="66BC0936"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42218</w:t>
            </w:r>
          </w:p>
        </w:tc>
        <w:tc>
          <w:tcPr>
            <w:tcW w:w="773" w:type="dxa"/>
            <w:tcBorders>
              <w:top w:val="single" w:sz="2" w:space="0" w:color="000000"/>
              <w:left w:val="single" w:sz="2" w:space="0" w:color="000000"/>
              <w:bottom w:val="single" w:sz="2" w:space="0" w:color="000000"/>
              <w:right w:val="single" w:sz="2" w:space="0" w:color="000000"/>
            </w:tcBorders>
            <w:vAlign w:val="center"/>
          </w:tcPr>
          <w:p w14:paraId="56BA4969"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41145</w:t>
            </w:r>
          </w:p>
        </w:tc>
        <w:tc>
          <w:tcPr>
            <w:tcW w:w="773" w:type="dxa"/>
            <w:tcBorders>
              <w:top w:val="single" w:sz="2" w:space="0" w:color="000000"/>
              <w:left w:val="single" w:sz="2" w:space="0" w:color="000000"/>
              <w:bottom w:val="single" w:sz="2" w:space="0" w:color="000000"/>
              <w:right w:val="single" w:sz="2" w:space="0" w:color="000000"/>
            </w:tcBorders>
            <w:vAlign w:val="center"/>
          </w:tcPr>
          <w:p w14:paraId="439F3775"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42197</w:t>
            </w:r>
          </w:p>
        </w:tc>
        <w:tc>
          <w:tcPr>
            <w:tcW w:w="773" w:type="dxa"/>
            <w:tcBorders>
              <w:top w:val="single" w:sz="2" w:space="0" w:color="000000"/>
              <w:left w:val="single" w:sz="2" w:space="0" w:color="000000"/>
              <w:bottom w:val="single" w:sz="2" w:space="0" w:color="000000"/>
              <w:right w:val="single" w:sz="2" w:space="0" w:color="000000"/>
            </w:tcBorders>
            <w:vAlign w:val="center"/>
          </w:tcPr>
          <w:p w14:paraId="4E1F5613"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39373</w:t>
            </w:r>
          </w:p>
        </w:tc>
        <w:tc>
          <w:tcPr>
            <w:tcW w:w="773" w:type="dxa"/>
            <w:tcBorders>
              <w:top w:val="single" w:sz="2" w:space="0" w:color="000000"/>
              <w:left w:val="single" w:sz="2" w:space="0" w:color="000000"/>
              <w:bottom w:val="single" w:sz="2" w:space="0" w:color="000000"/>
              <w:right w:val="single" w:sz="2" w:space="0" w:color="000000"/>
            </w:tcBorders>
            <w:vAlign w:val="center"/>
          </w:tcPr>
          <w:p w14:paraId="2335F730"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39325</w:t>
            </w:r>
          </w:p>
        </w:tc>
        <w:tc>
          <w:tcPr>
            <w:tcW w:w="774" w:type="dxa"/>
            <w:tcBorders>
              <w:top w:val="single" w:sz="2" w:space="0" w:color="000000"/>
              <w:left w:val="single" w:sz="2" w:space="0" w:color="000000"/>
              <w:bottom w:val="single" w:sz="2" w:space="0" w:color="000000"/>
              <w:right w:val="single" w:sz="2" w:space="0" w:color="000000"/>
            </w:tcBorders>
            <w:vAlign w:val="center"/>
          </w:tcPr>
          <w:p w14:paraId="6858AF9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39281</w:t>
            </w:r>
          </w:p>
        </w:tc>
        <w:tc>
          <w:tcPr>
            <w:tcW w:w="773" w:type="dxa"/>
            <w:tcBorders>
              <w:top w:val="single" w:sz="2" w:space="0" w:color="000000"/>
              <w:left w:val="single" w:sz="2" w:space="0" w:color="000000"/>
              <w:bottom w:val="single" w:sz="2" w:space="0" w:color="000000"/>
              <w:right w:val="single" w:sz="2" w:space="0" w:color="000000"/>
            </w:tcBorders>
            <w:vAlign w:val="center"/>
          </w:tcPr>
          <w:p w14:paraId="2D546AA7"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37445</w:t>
            </w:r>
          </w:p>
        </w:tc>
        <w:tc>
          <w:tcPr>
            <w:tcW w:w="773" w:type="dxa"/>
            <w:tcBorders>
              <w:top w:val="single" w:sz="2" w:space="0" w:color="000000"/>
              <w:left w:val="single" w:sz="2" w:space="0" w:color="000000"/>
              <w:bottom w:val="single" w:sz="2" w:space="0" w:color="000000"/>
              <w:right w:val="single" w:sz="2" w:space="0" w:color="000000"/>
            </w:tcBorders>
            <w:vAlign w:val="center"/>
          </w:tcPr>
          <w:p w14:paraId="1A8C50C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37</w:t>
            </w:r>
            <w:r w:rsidRPr="005D0955">
              <w:rPr>
                <w:rFonts w:ascii="Calibri" w:hAnsi="Calibri" w:cs="Calibri"/>
                <w:sz w:val="18"/>
                <w:szCs w:val="18"/>
              </w:rPr>
              <w:t> </w:t>
            </w:r>
            <w:r w:rsidRPr="00634E4C">
              <w:rPr>
                <w:rFonts w:asciiTheme="majorHAnsi" w:hAnsiTheme="majorHAnsi"/>
                <w:sz w:val="18"/>
              </w:rPr>
              <w:t>174</w:t>
            </w:r>
          </w:p>
        </w:tc>
        <w:tc>
          <w:tcPr>
            <w:tcW w:w="773" w:type="dxa"/>
            <w:tcBorders>
              <w:top w:val="single" w:sz="2" w:space="0" w:color="000000"/>
              <w:left w:val="single" w:sz="2" w:space="0" w:color="000000"/>
              <w:bottom w:val="single" w:sz="2" w:space="0" w:color="000000"/>
              <w:right w:val="single" w:sz="2" w:space="0" w:color="000000"/>
            </w:tcBorders>
            <w:vAlign w:val="center"/>
          </w:tcPr>
          <w:p w14:paraId="1402A58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34</w:t>
            </w:r>
            <w:r w:rsidRPr="005D0955">
              <w:rPr>
                <w:rFonts w:ascii="Calibri" w:hAnsi="Calibri" w:cs="Calibri"/>
                <w:sz w:val="18"/>
                <w:szCs w:val="18"/>
              </w:rPr>
              <w:t> </w:t>
            </w:r>
            <w:r w:rsidRPr="00634E4C">
              <w:rPr>
                <w:rFonts w:asciiTheme="majorHAnsi" w:hAnsiTheme="majorHAnsi"/>
                <w:sz w:val="18"/>
              </w:rPr>
              <w:t>794</w:t>
            </w:r>
          </w:p>
        </w:tc>
        <w:tc>
          <w:tcPr>
            <w:tcW w:w="773" w:type="dxa"/>
            <w:tcBorders>
              <w:top w:val="single" w:sz="2" w:space="0" w:color="000000"/>
              <w:left w:val="single" w:sz="2" w:space="0" w:color="000000"/>
              <w:bottom w:val="single" w:sz="2" w:space="0" w:color="000000"/>
              <w:right w:val="single" w:sz="2" w:space="0" w:color="000000"/>
            </w:tcBorders>
            <w:vAlign w:val="center"/>
          </w:tcPr>
          <w:p w14:paraId="4495D6DB"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32</w:t>
            </w:r>
            <w:r w:rsidRPr="005D0955">
              <w:rPr>
                <w:rFonts w:ascii="Calibri" w:hAnsi="Calibri" w:cs="Calibri"/>
                <w:sz w:val="18"/>
                <w:szCs w:val="18"/>
              </w:rPr>
              <w:t> </w:t>
            </w:r>
            <w:r w:rsidRPr="00634E4C">
              <w:rPr>
                <w:rFonts w:asciiTheme="majorHAnsi" w:hAnsiTheme="majorHAnsi"/>
                <w:sz w:val="18"/>
              </w:rPr>
              <w:t>781</w:t>
            </w:r>
          </w:p>
        </w:tc>
        <w:tc>
          <w:tcPr>
            <w:tcW w:w="773" w:type="dxa"/>
            <w:tcBorders>
              <w:top w:val="single" w:sz="2" w:space="0" w:color="000000"/>
              <w:left w:val="single" w:sz="2" w:space="0" w:color="000000"/>
              <w:bottom w:val="single" w:sz="2" w:space="0" w:color="000000"/>
              <w:right w:val="single" w:sz="2" w:space="0" w:color="000000"/>
            </w:tcBorders>
            <w:vAlign w:val="center"/>
          </w:tcPr>
          <w:p w14:paraId="4360781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31</w:t>
            </w:r>
            <w:r w:rsidRPr="005D0955">
              <w:rPr>
                <w:rFonts w:ascii="Calibri" w:hAnsi="Calibri" w:cs="Calibri"/>
                <w:sz w:val="18"/>
                <w:szCs w:val="18"/>
              </w:rPr>
              <w:t> </w:t>
            </w:r>
            <w:r w:rsidRPr="00634E4C">
              <w:rPr>
                <w:rFonts w:asciiTheme="majorHAnsi" w:hAnsiTheme="majorHAnsi"/>
                <w:sz w:val="18"/>
              </w:rPr>
              <w:t>121</w:t>
            </w:r>
          </w:p>
        </w:tc>
        <w:tc>
          <w:tcPr>
            <w:tcW w:w="774" w:type="dxa"/>
            <w:tcBorders>
              <w:top w:val="single" w:sz="2" w:space="0" w:color="000000"/>
              <w:left w:val="single" w:sz="2" w:space="0" w:color="000000"/>
              <w:bottom w:val="single" w:sz="2" w:space="0" w:color="000000"/>
              <w:right w:val="single" w:sz="2" w:space="0" w:color="000000"/>
            </w:tcBorders>
            <w:vAlign w:val="center"/>
          </w:tcPr>
          <w:p w14:paraId="66EBA66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26</w:t>
            </w:r>
            <w:r w:rsidRPr="005D0955">
              <w:rPr>
                <w:rFonts w:ascii="Calibri" w:hAnsi="Calibri" w:cs="Calibri"/>
                <w:sz w:val="18"/>
                <w:szCs w:val="18"/>
              </w:rPr>
              <w:t> </w:t>
            </w:r>
            <w:r w:rsidRPr="00634E4C">
              <w:rPr>
                <w:rFonts w:asciiTheme="majorHAnsi" w:hAnsiTheme="majorHAnsi"/>
                <w:sz w:val="18"/>
              </w:rPr>
              <w:t>140</w:t>
            </w:r>
          </w:p>
        </w:tc>
      </w:tr>
      <w:tr w:rsidR="00281D48" w:rsidRPr="00364545" w14:paraId="72E810CD" w14:textId="77777777" w:rsidTr="009F2D1E">
        <w:trPr>
          <w:trHeight w:val="342"/>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26E66256" w14:textId="2D7997EC" w:rsidR="00281D48" w:rsidRPr="00364545" w:rsidRDefault="00281D48" w:rsidP="00281D48">
            <w:pPr>
              <w:spacing w:line="259" w:lineRule="auto"/>
            </w:pPr>
            <w:r>
              <w:rPr>
                <w:sz w:val="18"/>
              </w:rPr>
              <w:t xml:space="preserve">UTCF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57494B"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933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A3AA1A"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3670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C151A1"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1693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65717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1189</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BDF8BC"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1130</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FC015E"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1078</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CD280C"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1138</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986375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140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05DC6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146</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E5F094"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134</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4B335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114</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3FD2E5B"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054</w:t>
            </w:r>
          </w:p>
        </w:tc>
      </w:tr>
      <w:tr w:rsidR="00281D48" w:rsidRPr="00364545" w14:paraId="115A991F" w14:textId="77777777" w:rsidTr="009F2D1E">
        <w:trPr>
          <w:trHeight w:val="347"/>
        </w:trPr>
        <w:tc>
          <w:tcPr>
            <w:tcW w:w="1405" w:type="dxa"/>
            <w:tcBorders>
              <w:top w:val="single" w:sz="2" w:space="0" w:color="000000"/>
              <w:left w:val="single" w:sz="2" w:space="0" w:color="000000"/>
              <w:bottom w:val="single" w:sz="2" w:space="0" w:color="000000"/>
              <w:right w:val="single" w:sz="2" w:space="0" w:color="000000"/>
            </w:tcBorders>
          </w:tcPr>
          <w:p w14:paraId="4BD98E12" w14:textId="421A4D3C" w:rsidR="00281D48" w:rsidRPr="00364545" w:rsidRDefault="00281D48" w:rsidP="00281D48">
            <w:pPr>
              <w:spacing w:line="259" w:lineRule="auto"/>
            </w:pPr>
            <w:r>
              <w:rPr>
                <w:sz w:val="18"/>
              </w:rPr>
              <w:t xml:space="preserve">Déchets </w:t>
            </w:r>
          </w:p>
        </w:tc>
        <w:tc>
          <w:tcPr>
            <w:tcW w:w="773" w:type="dxa"/>
            <w:tcBorders>
              <w:top w:val="single" w:sz="2" w:space="0" w:color="000000"/>
              <w:left w:val="single" w:sz="2" w:space="0" w:color="000000"/>
              <w:bottom w:val="single" w:sz="2" w:space="0" w:color="000000"/>
              <w:right w:val="single" w:sz="2" w:space="0" w:color="000000"/>
            </w:tcBorders>
            <w:vAlign w:val="center"/>
          </w:tcPr>
          <w:p w14:paraId="742C1D48"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14318</w:t>
            </w:r>
          </w:p>
        </w:tc>
        <w:tc>
          <w:tcPr>
            <w:tcW w:w="773" w:type="dxa"/>
            <w:tcBorders>
              <w:top w:val="single" w:sz="2" w:space="0" w:color="000000"/>
              <w:left w:val="single" w:sz="2" w:space="0" w:color="000000"/>
              <w:bottom w:val="single" w:sz="2" w:space="0" w:color="000000"/>
              <w:right w:val="single" w:sz="2" w:space="0" w:color="000000"/>
            </w:tcBorders>
            <w:vAlign w:val="center"/>
          </w:tcPr>
          <w:p w14:paraId="5B6C3DB4"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17099</w:t>
            </w:r>
          </w:p>
        </w:tc>
        <w:tc>
          <w:tcPr>
            <w:tcW w:w="773" w:type="dxa"/>
            <w:tcBorders>
              <w:top w:val="single" w:sz="2" w:space="0" w:color="000000"/>
              <w:left w:val="single" w:sz="2" w:space="0" w:color="000000"/>
              <w:bottom w:val="single" w:sz="2" w:space="0" w:color="000000"/>
              <w:right w:val="single" w:sz="2" w:space="0" w:color="000000"/>
            </w:tcBorders>
            <w:vAlign w:val="center"/>
          </w:tcPr>
          <w:p w14:paraId="6288079E"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18602</w:t>
            </w:r>
          </w:p>
        </w:tc>
        <w:tc>
          <w:tcPr>
            <w:tcW w:w="773" w:type="dxa"/>
            <w:tcBorders>
              <w:top w:val="single" w:sz="2" w:space="0" w:color="000000"/>
              <w:left w:val="single" w:sz="2" w:space="0" w:color="000000"/>
              <w:bottom w:val="single" w:sz="2" w:space="0" w:color="000000"/>
              <w:right w:val="single" w:sz="2" w:space="0" w:color="000000"/>
            </w:tcBorders>
            <w:vAlign w:val="center"/>
          </w:tcPr>
          <w:p w14:paraId="17992173"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19129</w:t>
            </w:r>
          </w:p>
        </w:tc>
        <w:tc>
          <w:tcPr>
            <w:tcW w:w="773" w:type="dxa"/>
            <w:tcBorders>
              <w:top w:val="single" w:sz="2" w:space="0" w:color="000000"/>
              <w:left w:val="single" w:sz="2" w:space="0" w:color="000000"/>
              <w:bottom w:val="single" w:sz="2" w:space="0" w:color="000000"/>
              <w:right w:val="single" w:sz="2" w:space="0" w:color="000000"/>
            </w:tcBorders>
            <w:vAlign w:val="center"/>
          </w:tcPr>
          <w:p w14:paraId="68A50594"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18487</w:t>
            </w:r>
          </w:p>
        </w:tc>
        <w:tc>
          <w:tcPr>
            <w:tcW w:w="774" w:type="dxa"/>
            <w:tcBorders>
              <w:top w:val="single" w:sz="2" w:space="0" w:color="000000"/>
              <w:left w:val="single" w:sz="2" w:space="0" w:color="000000"/>
              <w:bottom w:val="single" w:sz="2" w:space="0" w:color="000000"/>
              <w:right w:val="single" w:sz="2" w:space="0" w:color="000000"/>
            </w:tcBorders>
            <w:vAlign w:val="center"/>
          </w:tcPr>
          <w:p w14:paraId="1DD3DF93"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15753</w:t>
            </w:r>
          </w:p>
        </w:tc>
        <w:tc>
          <w:tcPr>
            <w:tcW w:w="773" w:type="dxa"/>
            <w:tcBorders>
              <w:top w:val="single" w:sz="2" w:space="0" w:color="000000"/>
              <w:left w:val="single" w:sz="2" w:space="0" w:color="000000"/>
              <w:bottom w:val="single" w:sz="2" w:space="0" w:color="000000"/>
              <w:right w:val="single" w:sz="2" w:space="0" w:color="000000"/>
            </w:tcBorders>
            <w:vAlign w:val="center"/>
          </w:tcPr>
          <w:p w14:paraId="6434D7F4"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15830</w:t>
            </w:r>
          </w:p>
        </w:tc>
        <w:tc>
          <w:tcPr>
            <w:tcW w:w="773" w:type="dxa"/>
            <w:tcBorders>
              <w:top w:val="single" w:sz="2" w:space="0" w:color="000000"/>
              <w:left w:val="single" w:sz="2" w:space="0" w:color="000000"/>
              <w:bottom w:val="single" w:sz="2" w:space="0" w:color="000000"/>
              <w:right w:val="single" w:sz="2" w:space="0" w:color="000000"/>
            </w:tcBorders>
            <w:vAlign w:val="center"/>
          </w:tcPr>
          <w:p w14:paraId="5A4D8567"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12</w:t>
            </w:r>
            <w:r w:rsidRPr="005D0955">
              <w:rPr>
                <w:rFonts w:ascii="Calibri" w:hAnsi="Calibri" w:cs="Calibri"/>
                <w:sz w:val="18"/>
                <w:szCs w:val="18"/>
              </w:rPr>
              <w:t> </w:t>
            </w:r>
            <w:r w:rsidRPr="00634E4C">
              <w:rPr>
                <w:rFonts w:asciiTheme="majorHAnsi" w:hAnsiTheme="majorHAnsi"/>
                <w:sz w:val="18"/>
              </w:rPr>
              <w:t>056</w:t>
            </w:r>
          </w:p>
        </w:tc>
        <w:tc>
          <w:tcPr>
            <w:tcW w:w="773" w:type="dxa"/>
            <w:tcBorders>
              <w:top w:val="single" w:sz="2" w:space="0" w:color="000000"/>
              <w:left w:val="single" w:sz="2" w:space="0" w:color="000000"/>
              <w:bottom w:val="single" w:sz="2" w:space="0" w:color="000000"/>
              <w:right w:val="single" w:sz="2" w:space="0" w:color="000000"/>
            </w:tcBorders>
            <w:vAlign w:val="center"/>
          </w:tcPr>
          <w:p w14:paraId="6B03B17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9</w:t>
            </w:r>
            <w:r w:rsidRPr="005D0955">
              <w:rPr>
                <w:rFonts w:ascii="Calibri" w:hAnsi="Calibri" w:cs="Calibri"/>
                <w:sz w:val="18"/>
                <w:szCs w:val="18"/>
              </w:rPr>
              <w:t> </w:t>
            </w:r>
            <w:r w:rsidRPr="00634E4C">
              <w:rPr>
                <w:rFonts w:asciiTheme="majorHAnsi" w:hAnsiTheme="majorHAnsi"/>
                <w:sz w:val="18"/>
              </w:rPr>
              <w:t>982</w:t>
            </w:r>
          </w:p>
        </w:tc>
        <w:tc>
          <w:tcPr>
            <w:tcW w:w="773" w:type="dxa"/>
            <w:tcBorders>
              <w:top w:val="single" w:sz="2" w:space="0" w:color="000000"/>
              <w:left w:val="single" w:sz="2" w:space="0" w:color="000000"/>
              <w:bottom w:val="single" w:sz="2" w:space="0" w:color="000000"/>
              <w:right w:val="single" w:sz="2" w:space="0" w:color="000000"/>
            </w:tcBorders>
            <w:vAlign w:val="center"/>
          </w:tcPr>
          <w:p w14:paraId="07BCBF9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8</w:t>
            </w:r>
            <w:r w:rsidRPr="005D0955">
              <w:rPr>
                <w:rFonts w:ascii="Calibri" w:hAnsi="Calibri" w:cs="Calibri"/>
                <w:sz w:val="18"/>
                <w:szCs w:val="18"/>
              </w:rPr>
              <w:t> </w:t>
            </w:r>
            <w:r w:rsidRPr="00634E4C">
              <w:rPr>
                <w:rFonts w:asciiTheme="majorHAnsi" w:hAnsiTheme="majorHAnsi"/>
                <w:sz w:val="18"/>
              </w:rPr>
              <w:t>631</w:t>
            </w:r>
          </w:p>
        </w:tc>
        <w:tc>
          <w:tcPr>
            <w:tcW w:w="773" w:type="dxa"/>
            <w:tcBorders>
              <w:top w:val="single" w:sz="2" w:space="0" w:color="000000"/>
              <w:left w:val="single" w:sz="2" w:space="0" w:color="000000"/>
              <w:bottom w:val="single" w:sz="2" w:space="0" w:color="000000"/>
              <w:right w:val="single" w:sz="2" w:space="0" w:color="000000"/>
            </w:tcBorders>
            <w:vAlign w:val="center"/>
          </w:tcPr>
          <w:p w14:paraId="6F0D9EC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w:t>
            </w:r>
            <w:r w:rsidRPr="005D0955">
              <w:rPr>
                <w:rFonts w:ascii="Calibri" w:hAnsi="Calibri" w:cs="Calibri"/>
                <w:sz w:val="18"/>
                <w:szCs w:val="18"/>
              </w:rPr>
              <w:t> </w:t>
            </w:r>
            <w:r w:rsidRPr="00634E4C">
              <w:rPr>
                <w:rFonts w:asciiTheme="majorHAnsi" w:hAnsiTheme="majorHAnsi"/>
                <w:sz w:val="18"/>
              </w:rPr>
              <w:t>443</w:t>
            </w:r>
          </w:p>
        </w:tc>
        <w:tc>
          <w:tcPr>
            <w:tcW w:w="774" w:type="dxa"/>
            <w:tcBorders>
              <w:top w:val="single" w:sz="2" w:space="0" w:color="000000"/>
              <w:left w:val="single" w:sz="2" w:space="0" w:color="000000"/>
              <w:bottom w:val="single" w:sz="2" w:space="0" w:color="000000"/>
              <w:right w:val="single" w:sz="2" w:space="0" w:color="000000"/>
            </w:tcBorders>
            <w:vAlign w:val="center"/>
          </w:tcPr>
          <w:p w14:paraId="7891EDB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880</w:t>
            </w:r>
          </w:p>
        </w:tc>
      </w:tr>
      <w:tr w:rsidR="00281D48" w:rsidRPr="00364545" w14:paraId="4B52FE7B" w14:textId="77777777" w:rsidTr="009F2D1E">
        <w:trPr>
          <w:trHeight w:val="344"/>
        </w:trPr>
        <w:tc>
          <w:tcPr>
            <w:tcW w:w="1405" w:type="dxa"/>
            <w:tcBorders>
              <w:top w:val="single" w:sz="2" w:space="0" w:color="000000"/>
              <w:left w:val="single" w:sz="2" w:space="0" w:color="000000"/>
              <w:bottom w:val="single" w:sz="2" w:space="0" w:color="000000"/>
              <w:right w:val="single" w:sz="2" w:space="0" w:color="000000"/>
            </w:tcBorders>
            <w:shd w:val="clear" w:color="auto" w:fill="ECE6E2"/>
          </w:tcPr>
          <w:p w14:paraId="5BB100EB" w14:textId="74894E5E" w:rsidR="00281D48" w:rsidRPr="00364545" w:rsidRDefault="00281D48" w:rsidP="00281D48">
            <w:pPr>
              <w:spacing w:line="259" w:lineRule="auto"/>
            </w:pPr>
            <w:r>
              <w:rPr>
                <w:b/>
                <w:sz w:val="18"/>
              </w:rPr>
              <w:t xml:space="preserve">Ensemble (hors UTCF) </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7D1C3A"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69161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B0A347"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70383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74BC32"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68603</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64CF77"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63632</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77C11A"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61663</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537D71E"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57862</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A44571E" w14:textId="77777777" w:rsidR="00281D48" w:rsidRPr="005D0955" w:rsidRDefault="00281D48" w:rsidP="00281D48">
            <w:pPr>
              <w:spacing w:line="259" w:lineRule="auto"/>
              <w:ind w:left="14"/>
              <w:jc w:val="center"/>
              <w:rPr>
                <w:rFonts w:asciiTheme="majorHAnsi" w:hAnsiTheme="majorHAnsi"/>
                <w:b/>
                <w:sz w:val="18"/>
                <w:szCs w:val="18"/>
              </w:rPr>
            </w:pPr>
            <w:r w:rsidRPr="005D0955">
              <w:rPr>
                <w:rFonts w:asciiTheme="majorHAnsi" w:hAnsiTheme="majorHAnsi"/>
                <w:sz w:val="18"/>
                <w:szCs w:val="18"/>
              </w:rPr>
              <w:t>55740</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ACEDCBC"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52</w:t>
            </w:r>
            <w:r w:rsidRPr="005D0955">
              <w:rPr>
                <w:rFonts w:ascii="Calibri" w:hAnsi="Calibri" w:cs="Calibri"/>
                <w:b/>
                <w:sz w:val="18"/>
                <w:szCs w:val="18"/>
              </w:rPr>
              <w:t> </w:t>
            </w:r>
            <w:r w:rsidRPr="00634E4C">
              <w:rPr>
                <w:rFonts w:asciiTheme="majorHAnsi" w:hAnsiTheme="majorHAnsi"/>
                <w:b/>
                <w:sz w:val="18"/>
              </w:rPr>
              <w:t>531</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F6F308"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47</w:t>
            </w:r>
            <w:r w:rsidRPr="005D0955">
              <w:rPr>
                <w:rFonts w:ascii="Calibri" w:hAnsi="Calibri" w:cs="Calibri"/>
                <w:b/>
                <w:sz w:val="18"/>
                <w:szCs w:val="18"/>
              </w:rPr>
              <w:t> </w:t>
            </w:r>
            <w:r w:rsidRPr="00634E4C">
              <w:rPr>
                <w:rFonts w:asciiTheme="majorHAnsi" w:hAnsiTheme="majorHAnsi"/>
                <w:b/>
                <w:sz w:val="18"/>
              </w:rPr>
              <w:t>947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D678D6"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44</w:t>
            </w:r>
            <w:r w:rsidRPr="005D0955">
              <w:rPr>
                <w:rFonts w:ascii="Calibri" w:hAnsi="Calibri" w:cs="Calibri"/>
                <w:b/>
                <w:sz w:val="18"/>
                <w:szCs w:val="18"/>
              </w:rPr>
              <w:t> </w:t>
            </w:r>
            <w:r w:rsidRPr="00634E4C">
              <w:rPr>
                <w:rFonts w:asciiTheme="majorHAnsi" w:hAnsiTheme="majorHAnsi"/>
                <w:b/>
                <w:sz w:val="18"/>
              </w:rPr>
              <w:t>507</w:t>
            </w:r>
          </w:p>
        </w:tc>
        <w:tc>
          <w:tcPr>
            <w:tcW w:w="7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E67831"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41</w:t>
            </w:r>
            <w:r w:rsidRPr="005D0955">
              <w:rPr>
                <w:rFonts w:ascii="Calibri" w:hAnsi="Calibri" w:cs="Calibri"/>
                <w:b/>
                <w:sz w:val="18"/>
                <w:szCs w:val="18"/>
              </w:rPr>
              <w:t> </w:t>
            </w:r>
            <w:r w:rsidRPr="00634E4C">
              <w:rPr>
                <w:rFonts w:asciiTheme="majorHAnsi" w:hAnsiTheme="majorHAnsi"/>
                <w:b/>
                <w:sz w:val="18"/>
              </w:rPr>
              <w:t>496</w:t>
            </w:r>
          </w:p>
        </w:tc>
        <w:tc>
          <w:tcPr>
            <w:tcW w:w="7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9DD076"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32</w:t>
            </w:r>
            <w:r w:rsidRPr="005D0955">
              <w:rPr>
                <w:rFonts w:ascii="Calibri" w:hAnsi="Calibri" w:cs="Calibri"/>
                <w:b/>
                <w:sz w:val="18"/>
                <w:szCs w:val="18"/>
              </w:rPr>
              <w:t> </w:t>
            </w:r>
            <w:r w:rsidRPr="00634E4C">
              <w:rPr>
                <w:rFonts w:asciiTheme="majorHAnsi" w:hAnsiTheme="majorHAnsi"/>
                <w:b/>
                <w:sz w:val="18"/>
              </w:rPr>
              <w:t>465</w:t>
            </w:r>
          </w:p>
        </w:tc>
      </w:tr>
      <w:tr w:rsidR="00281D48" w:rsidRPr="00364545" w14:paraId="7F5E2D7B" w14:textId="77777777" w:rsidTr="009F2D1E">
        <w:trPr>
          <w:trHeight w:val="346"/>
        </w:trPr>
        <w:tc>
          <w:tcPr>
            <w:tcW w:w="1405" w:type="dxa"/>
            <w:tcBorders>
              <w:top w:val="single" w:sz="2" w:space="0" w:color="000000"/>
              <w:left w:val="single" w:sz="2" w:space="0" w:color="000000"/>
              <w:bottom w:val="single" w:sz="2" w:space="0" w:color="000000"/>
              <w:right w:val="single" w:sz="2" w:space="0" w:color="000000"/>
            </w:tcBorders>
          </w:tcPr>
          <w:p w14:paraId="49F996B1" w14:textId="070FE7AC" w:rsidR="00281D48" w:rsidRPr="00364545" w:rsidRDefault="00281D48" w:rsidP="00281D48">
            <w:pPr>
              <w:spacing w:line="259" w:lineRule="auto"/>
            </w:pPr>
            <w:r>
              <w:rPr>
                <w:b/>
                <w:sz w:val="18"/>
              </w:rPr>
              <w:t xml:space="preserve">Ensemble (avec UTCF) </w:t>
            </w:r>
          </w:p>
        </w:tc>
        <w:tc>
          <w:tcPr>
            <w:tcW w:w="773" w:type="dxa"/>
            <w:tcBorders>
              <w:top w:val="single" w:sz="2" w:space="0" w:color="000000"/>
              <w:left w:val="single" w:sz="2" w:space="0" w:color="000000"/>
              <w:bottom w:val="single" w:sz="2" w:space="0" w:color="000000"/>
              <w:right w:val="single" w:sz="2" w:space="0" w:color="000000"/>
            </w:tcBorders>
            <w:vAlign w:val="center"/>
          </w:tcPr>
          <w:p w14:paraId="0716CE42"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70094</w:t>
            </w:r>
          </w:p>
        </w:tc>
        <w:tc>
          <w:tcPr>
            <w:tcW w:w="773" w:type="dxa"/>
            <w:tcBorders>
              <w:top w:val="single" w:sz="2" w:space="0" w:color="000000"/>
              <w:left w:val="single" w:sz="2" w:space="0" w:color="000000"/>
              <w:bottom w:val="single" w:sz="2" w:space="0" w:color="000000"/>
              <w:right w:val="single" w:sz="2" w:space="0" w:color="000000"/>
            </w:tcBorders>
            <w:vAlign w:val="center"/>
          </w:tcPr>
          <w:p w14:paraId="10F3782C"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74053</w:t>
            </w:r>
          </w:p>
        </w:tc>
        <w:tc>
          <w:tcPr>
            <w:tcW w:w="773" w:type="dxa"/>
            <w:tcBorders>
              <w:top w:val="single" w:sz="2" w:space="0" w:color="000000"/>
              <w:left w:val="single" w:sz="2" w:space="0" w:color="000000"/>
              <w:bottom w:val="single" w:sz="2" w:space="0" w:color="000000"/>
              <w:right w:val="single" w:sz="2" w:space="0" w:color="000000"/>
            </w:tcBorders>
            <w:vAlign w:val="center"/>
          </w:tcPr>
          <w:p w14:paraId="6755DA51"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70296</w:t>
            </w:r>
          </w:p>
        </w:tc>
        <w:tc>
          <w:tcPr>
            <w:tcW w:w="773" w:type="dxa"/>
            <w:tcBorders>
              <w:top w:val="single" w:sz="2" w:space="0" w:color="000000"/>
              <w:left w:val="single" w:sz="2" w:space="0" w:color="000000"/>
              <w:bottom w:val="single" w:sz="2" w:space="0" w:color="000000"/>
              <w:right w:val="single" w:sz="2" w:space="0" w:color="000000"/>
            </w:tcBorders>
            <w:vAlign w:val="center"/>
          </w:tcPr>
          <w:p w14:paraId="63A54751"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64820</w:t>
            </w:r>
          </w:p>
        </w:tc>
        <w:tc>
          <w:tcPr>
            <w:tcW w:w="773" w:type="dxa"/>
            <w:tcBorders>
              <w:top w:val="single" w:sz="2" w:space="0" w:color="000000"/>
              <w:left w:val="single" w:sz="2" w:space="0" w:color="000000"/>
              <w:bottom w:val="single" w:sz="2" w:space="0" w:color="000000"/>
              <w:right w:val="single" w:sz="2" w:space="0" w:color="000000"/>
            </w:tcBorders>
            <w:vAlign w:val="center"/>
          </w:tcPr>
          <w:p w14:paraId="56ADCBDC"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62793</w:t>
            </w:r>
          </w:p>
        </w:tc>
        <w:tc>
          <w:tcPr>
            <w:tcW w:w="774" w:type="dxa"/>
            <w:tcBorders>
              <w:top w:val="single" w:sz="2" w:space="0" w:color="000000"/>
              <w:left w:val="single" w:sz="2" w:space="0" w:color="000000"/>
              <w:bottom w:val="single" w:sz="2" w:space="0" w:color="000000"/>
              <w:right w:val="single" w:sz="2" w:space="0" w:color="000000"/>
            </w:tcBorders>
            <w:vAlign w:val="center"/>
          </w:tcPr>
          <w:p w14:paraId="6472A42A"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58940</w:t>
            </w:r>
          </w:p>
        </w:tc>
        <w:tc>
          <w:tcPr>
            <w:tcW w:w="773" w:type="dxa"/>
            <w:tcBorders>
              <w:top w:val="single" w:sz="2" w:space="0" w:color="000000"/>
              <w:left w:val="single" w:sz="2" w:space="0" w:color="000000"/>
              <w:bottom w:val="single" w:sz="2" w:space="0" w:color="000000"/>
              <w:right w:val="single" w:sz="2" w:space="0" w:color="000000"/>
            </w:tcBorders>
            <w:vAlign w:val="center"/>
          </w:tcPr>
          <w:p w14:paraId="1D10D905" w14:textId="77777777" w:rsidR="00281D48" w:rsidRPr="005D0955" w:rsidRDefault="00281D48" w:rsidP="00281D48">
            <w:pPr>
              <w:spacing w:line="259" w:lineRule="auto"/>
              <w:ind w:left="14"/>
              <w:jc w:val="center"/>
              <w:rPr>
                <w:rFonts w:asciiTheme="majorHAnsi" w:hAnsiTheme="majorHAnsi"/>
                <w:b/>
                <w:sz w:val="18"/>
                <w:szCs w:val="18"/>
              </w:rPr>
            </w:pPr>
            <w:r w:rsidRPr="005D0955">
              <w:rPr>
                <w:rFonts w:asciiTheme="majorHAnsi" w:hAnsiTheme="majorHAnsi"/>
                <w:sz w:val="18"/>
                <w:szCs w:val="18"/>
              </w:rPr>
              <w:t>56877</w:t>
            </w:r>
          </w:p>
        </w:tc>
        <w:tc>
          <w:tcPr>
            <w:tcW w:w="773" w:type="dxa"/>
            <w:tcBorders>
              <w:top w:val="single" w:sz="2" w:space="0" w:color="000000"/>
              <w:left w:val="single" w:sz="2" w:space="0" w:color="000000"/>
              <w:bottom w:val="single" w:sz="2" w:space="0" w:color="000000"/>
              <w:right w:val="single" w:sz="2" w:space="0" w:color="000000"/>
            </w:tcBorders>
            <w:vAlign w:val="center"/>
          </w:tcPr>
          <w:p w14:paraId="2A624EAA"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53</w:t>
            </w:r>
            <w:r w:rsidRPr="005D0955">
              <w:rPr>
                <w:rFonts w:ascii="Calibri" w:hAnsi="Calibri" w:cs="Calibri"/>
                <w:b/>
                <w:sz w:val="18"/>
                <w:szCs w:val="18"/>
              </w:rPr>
              <w:t> </w:t>
            </w:r>
            <w:r w:rsidRPr="00634E4C">
              <w:rPr>
                <w:rFonts w:asciiTheme="majorHAnsi" w:hAnsiTheme="majorHAnsi"/>
                <w:b/>
                <w:sz w:val="18"/>
              </w:rPr>
              <w:t>671</w:t>
            </w:r>
          </w:p>
        </w:tc>
        <w:tc>
          <w:tcPr>
            <w:tcW w:w="773" w:type="dxa"/>
            <w:tcBorders>
              <w:top w:val="single" w:sz="2" w:space="0" w:color="000000"/>
              <w:left w:val="single" w:sz="2" w:space="0" w:color="000000"/>
              <w:bottom w:val="single" w:sz="2" w:space="0" w:color="000000"/>
              <w:right w:val="single" w:sz="2" w:space="0" w:color="000000"/>
            </w:tcBorders>
            <w:vAlign w:val="center"/>
          </w:tcPr>
          <w:p w14:paraId="18708BEE"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49</w:t>
            </w:r>
            <w:r w:rsidRPr="005D0955">
              <w:rPr>
                <w:rFonts w:ascii="Calibri" w:hAnsi="Calibri" w:cs="Calibri"/>
                <w:b/>
                <w:sz w:val="18"/>
                <w:szCs w:val="18"/>
              </w:rPr>
              <w:t> </w:t>
            </w:r>
            <w:r w:rsidRPr="00634E4C">
              <w:rPr>
                <w:rFonts w:asciiTheme="majorHAnsi" w:hAnsiTheme="majorHAnsi"/>
                <w:b/>
                <w:sz w:val="18"/>
              </w:rPr>
              <w:t>093</w:t>
            </w:r>
          </w:p>
        </w:tc>
        <w:tc>
          <w:tcPr>
            <w:tcW w:w="773" w:type="dxa"/>
            <w:tcBorders>
              <w:top w:val="single" w:sz="2" w:space="0" w:color="000000"/>
              <w:left w:val="single" w:sz="2" w:space="0" w:color="000000"/>
              <w:bottom w:val="single" w:sz="2" w:space="0" w:color="000000"/>
              <w:right w:val="single" w:sz="2" w:space="0" w:color="000000"/>
            </w:tcBorders>
            <w:vAlign w:val="center"/>
          </w:tcPr>
          <w:p w14:paraId="30B4D778"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45</w:t>
            </w:r>
            <w:r w:rsidRPr="005D0955">
              <w:rPr>
                <w:rFonts w:ascii="Calibri" w:hAnsi="Calibri" w:cs="Calibri"/>
                <w:b/>
                <w:sz w:val="18"/>
                <w:szCs w:val="18"/>
              </w:rPr>
              <w:t> </w:t>
            </w:r>
            <w:r w:rsidRPr="00634E4C">
              <w:rPr>
                <w:rFonts w:asciiTheme="majorHAnsi" w:hAnsiTheme="majorHAnsi"/>
                <w:b/>
                <w:sz w:val="18"/>
              </w:rPr>
              <w:t>641</w:t>
            </w:r>
          </w:p>
        </w:tc>
        <w:tc>
          <w:tcPr>
            <w:tcW w:w="773" w:type="dxa"/>
            <w:tcBorders>
              <w:top w:val="single" w:sz="2" w:space="0" w:color="000000"/>
              <w:left w:val="single" w:sz="2" w:space="0" w:color="000000"/>
              <w:bottom w:val="single" w:sz="2" w:space="0" w:color="000000"/>
              <w:right w:val="single" w:sz="2" w:space="0" w:color="000000"/>
            </w:tcBorders>
            <w:vAlign w:val="center"/>
          </w:tcPr>
          <w:p w14:paraId="24BADE4D"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42</w:t>
            </w:r>
            <w:r w:rsidRPr="005D0955">
              <w:rPr>
                <w:rFonts w:ascii="Calibri" w:hAnsi="Calibri" w:cs="Calibri"/>
                <w:b/>
                <w:sz w:val="18"/>
                <w:szCs w:val="18"/>
              </w:rPr>
              <w:t> </w:t>
            </w:r>
            <w:r w:rsidRPr="00634E4C">
              <w:rPr>
                <w:rFonts w:asciiTheme="majorHAnsi" w:hAnsiTheme="majorHAnsi"/>
                <w:b/>
                <w:sz w:val="18"/>
              </w:rPr>
              <w:t>610</w:t>
            </w:r>
          </w:p>
        </w:tc>
        <w:tc>
          <w:tcPr>
            <w:tcW w:w="774" w:type="dxa"/>
            <w:tcBorders>
              <w:top w:val="single" w:sz="2" w:space="0" w:color="000000"/>
              <w:left w:val="single" w:sz="2" w:space="0" w:color="000000"/>
              <w:bottom w:val="single" w:sz="2" w:space="0" w:color="000000"/>
              <w:right w:val="single" w:sz="2" w:space="0" w:color="000000"/>
            </w:tcBorders>
            <w:vAlign w:val="center"/>
          </w:tcPr>
          <w:p w14:paraId="2FEF034B"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33</w:t>
            </w:r>
            <w:r w:rsidRPr="005D0955">
              <w:rPr>
                <w:rFonts w:ascii="Calibri" w:hAnsi="Calibri" w:cs="Calibri"/>
                <w:b/>
                <w:sz w:val="18"/>
                <w:szCs w:val="18"/>
              </w:rPr>
              <w:t> </w:t>
            </w:r>
            <w:r w:rsidRPr="00634E4C">
              <w:rPr>
                <w:rFonts w:asciiTheme="majorHAnsi" w:hAnsiTheme="majorHAnsi"/>
                <w:b/>
                <w:sz w:val="18"/>
              </w:rPr>
              <w:t>519</w:t>
            </w:r>
          </w:p>
        </w:tc>
      </w:tr>
    </w:tbl>
    <w:p w14:paraId="7AD47EFE" w14:textId="77777777" w:rsidR="00CB5305" w:rsidRDefault="00CB5305" w:rsidP="00CB5305"/>
    <w:p w14:paraId="00448CDF" w14:textId="77777777" w:rsidR="008513BF" w:rsidRDefault="008513BF" w:rsidP="008513BF">
      <w:pPr>
        <w:pStyle w:val="Caption"/>
      </w:pPr>
      <w:bookmarkStart w:id="560" w:name="_Toc123916519"/>
      <w:r>
        <w:t xml:space="preserve">Tableau </w:t>
      </w:r>
      <w:fldSimple w:instr=" SEQ Tableau \* ARABIC ">
        <w:r w:rsidR="00AB51D9">
          <w:rPr>
            <w:noProof/>
          </w:rPr>
          <w:t>27</w:t>
        </w:r>
      </w:fldSimple>
      <w:r>
        <w:t xml:space="preserve"> : </w:t>
      </w:r>
      <w:r w:rsidR="00CB5305" w:rsidRPr="00F66E1F">
        <w:t xml:space="preserve">Projections d’émissions de </w:t>
      </w:r>
      <w:r w:rsidR="007F09F7" w:rsidRPr="00141043">
        <w:t>CH</w:t>
      </w:r>
      <w:r w:rsidR="007F09F7" w:rsidRPr="004F1EC8">
        <w:rPr>
          <w:vertAlign w:val="subscript"/>
        </w:rPr>
        <w:t>4</w:t>
      </w:r>
      <w:r w:rsidR="00260E0B">
        <w:t xml:space="preserve"> </w:t>
      </w:r>
      <w:r w:rsidR="00CB5305" w:rsidRPr="00F66E1F">
        <w:t xml:space="preserve">(en </w:t>
      </w:r>
      <w:r w:rsidR="00CB5305" w:rsidRPr="00590551">
        <w:t>kt</w:t>
      </w:r>
      <w:r w:rsidR="007F09F7">
        <w:t>CO</w:t>
      </w:r>
      <w:r w:rsidR="007F09F7" w:rsidRPr="007F09F7">
        <w:rPr>
          <w:vertAlign w:val="subscript"/>
        </w:rPr>
        <w:t>2</w:t>
      </w:r>
      <w:r w:rsidR="00CB5305" w:rsidRPr="00F66E1F">
        <w:rPr>
          <w:vertAlign w:val="subscript"/>
        </w:rPr>
        <w:t>e</w:t>
      </w:r>
      <w:r w:rsidR="00CB5305" w:rsidRPr="00F66E1F">
        <w:t xml:space="preserve">) au périmètre Kyoto dans le scénario </w:t>
      </w:r>
      <w:r w:rsidR="00CB5305">
        <w:t xml:space="preserve">AMS 2018 </w:t>
      </w:r>
      <w:r w:rsidR="00CB5305" w:rsidRPr="00F66E1F">
        <w:t xml:space="preserve">(avec mesures </w:t>
      </w:r>
      <w:r w:rsidR="00CB5305">
        <w:t>supplémentaires</w:t>
      </w:r>
      <w:r w:rsidR="00CB5305" w:rsidRPr="00F66E1F">
        <w:t>)</w:t>
      </w:r>
      <w:bookmarkEnd w:id="560"/>
    </w:p>
    <w:p w14:paraId="2FE92456" w14:textId="7C6AEF5E" w:rsidR="00CB5305" w:rsidRPr="006E15FD" w:rsidRDefault="00CB5305" w:rsidP="008513BF">
      <w:pPr>
        <w:pStyle w:val="Caption"/>
      </w:pPr>
      <w:r w:rsidRPr="006E15FD">
        <w:t>Source : Inventaire CCNUCC, Citepa/MTE, soumission 20</w:t>
      </w:r>
      <w:r w:rsidR="00281D48">
        <w:t>22</w:t>
      </w:r>
      <w:r w:rsidRPr="006E15FD">
        <w:t xml:space="preserve"> et projections d’émissions MTE, 20</w:t>
      </w:r>
      <w:r>
        <w:t>18</w:t>
      </w:r>
    </w:p>
    <w:p w14:paraId="7EFA55B0" w14:textId="77777777" w:rsidR="00281D48" w:rsidRPr="00364545" w:rsidRDefault="00281D48" w:rsidP="00281D48"/>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398"/>
        <w:gridCol w:w="722"/>
        <w:gridCol w:w="722"/>
        <w:gridCol w:w="723"/>
        <w:gridCol w:w="724"/>
        <w:gridCol w:w="723"/>
        <w:gridCol w:w="723"/>
        <w:gridCol w:w="582"/>
        <w:gridCol w:w="723"/>
        <w:gridCol w:w="724"/>
        <w:gridCol w:w="723"/>
        <w:gridCol w:w="723"/>
        <w:gridCol w:w="724"/>
      </w:tblGrid>
      <w:tr w:rsidR="00281D48" w:rsidRPr="00364545" w14:paraId="65B11ACA" w14:textId="77777777" w:rsidTr="00281D48">
        <w:trPr>
          <w:trHeight w:val="460"/>
        </w:trPr>
        <w:tc>
          <w:tcPr>
            <w:tcW w:w="139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4B645C9" w14:textId="77777777" w:rsidR="00281D48" w:rsidRPr="00364545" w:rsidRDefault="00281D48" w:rsidP="009F2D1E">
            <w:pPr>
              <w:spacing w:line="259" w:lineRule="auto"/>
            </w:pPr>
            <w:r w:rsidRPr="00364545">
              <w:t>AMS 18 – N</w:t>
            </w:r>
            <w:r w:rsidRPr="00364545">
              <w:rPr>
                <w:vertAlign w:val="subscript"/>
              </w:rPr>
              <w:t>2</w:t>
            </w:r>
            <w:r w:rsidRPr="00364545">
              <w:t xml:space="preserve">O </w:t>
            </w:r>
          </w:p>
        </w:tc>
        <w:tc>
          <w:tcPr>
            <w:tcW w:w="72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FA00BCF" w14:textId="77777777" w:rsidR="00281D48" w:rsidRPr="00364545" w:rsidRDefault="00281D48" w:rsidP="009F2D1E">
            <w:pPr>
              <w:spacing w:line="259" w:lineRule="auto"/>
              <w:ind w:right="30"/>
              <w:jc w:val="center"/>
            </w:pPr>
            <w:r w:rsidRPr="00364545">
              <w:rPr>
                <w:b/>
                <w:color w:val="FFFFFF"/>
                <w:sz w:val="18"/>
              </w:rPr>
              <w:t>1990</w:t>
            </w:r>
          </w:p>
        </w:tc>
        <w:tc>
          <w:tcPr>
            <w:tcW w:w="72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9F1CB3A" w14:textId="77777777" w:rsidR="00281D48" w:rsidRPr="00364545" w:rsidRDefault="00281D48" w:rsidP="009F2D1E">
            <w:pPr>
              <w:spacing w:line="259" w:lineRule="auto"/>
              <w:ind w:right="30"/>
              <w:jc w:val="center"/>
              <w:rPr>
                <w:b/>
                <w:color w:val="FFFFFF"/>
                <w:sz w:val="18"/>
              </w:rPr>
            </w:pPr>
            <w:r w:rsidRPr="00364545">
              <w:rPr>
                <w:b/>
                <w:color w:val="FFFFFF"/>
                <w:sz w:val="18"/>
              </w:rPr>
              <w:t>1995</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C0E77C4" w14:textId="77777777" w:rsidR="00281D48" w:rsidRPr="00364545" w:rsidRDefault="00281D48" w:rsidP="009F2D1E">
            <w:pPr>
              <w:spacing w:line="259" w:lineRule="auto"/>
              <w:ind w:right="30"/>
              <w:jc w:val="center"/>
              <w:rPr>
                <w:b/>
                <w:color w:val="FFFFFF"/>
                <w:sz w:val="18"/>
              </w:rPr>
            </w:pPr>
            <w:r w:rsidRPr="00364545">
              <w:rPr>
                <w:b/>
                <w:color w:val="FFFFFF"/>
                <w:sz w:val="18"/>
              </w:rPr>
              <w:t>2000</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215723E" w14:textId="77777777" w:rsidR="00281D48" w:rsidRPr="00364545" w:rsidRDefault="00281D48" w:rsidP="009F2D1E">
            <w:pPr>
              <w:spacing w:line="259" w:lineRule="auto"/>
              <w:ind w:right="30"/>
              <w:jc w:val="center"/>
              <w:rPr>
                <w:b/>
                <w:color w:val="FFFFFF"/>
                <w:sz w:val="18"/>
              </w:rPr>
            </w:pPr>
            <w:r w:rsidRPr="00364545">
              <w:rPr>
                <w:b/>
                <w:color w:val="FFFFFF"/>
                <w:sz w:val="18"/>
              </w:rPr>
              <w:t>2005</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BCC9EC5" w14:textId="77777777" w:rsidR="00281D48" w:rsidRPr="00364545" w:rsidRDefault="00281D48" w:rsidP="009F2D1E">
            <w:pPr>
              <w:spacing w:line="259" w:lineRule="auto"/>
              <w:ind w:right="30"/>
              <w:jc w:val="center"/>
              <w:rPr>
                <w:b/>
                <w:color w:val="FFFFFF"/>
                <w:sz w:val="18"/>
              </w:rPr>
            </w:pPr>
            <w:r w:rsidRPr="00364545">
              <w:rPr>
                <w:b/>
                <w:color w:val="FFFFFF"/>
                <w:sz w:val="18"/>
              </w:rPr>
              <w:t>2010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3F3DB23" w14:textId="77777777" w:rsidR="00281D48" w:rsidRPr="00364545" w:rsidRDefault="00281D48" w:rsidP="009F2D1E">
            <w:pPr>
              <w:spacing w:line="259" w:lineRule="auto"/>
              <w:ind w:right="30"/>
              <w:jc w:val="center"/>
              <w:rPr>
                <w:b/>
                <w:color w:val="FFFFFF"/>
                <w:sz w:val="18"/>
              </w:rPr>
            </w:pPr>
            <w:r w:rsidRPr="00364545">
              <w:rPr>
                <w:b/>
                <w:color w:val="FFFFFF"/>
                <w:sz w:val="18"/>
              </w:rPr>
              <w:t>2015</w:t>
            </w:r>
          </w:p>
        </w:tc>
        <w:tc>
          <w:tcPr>
            <w:tcW w:w="58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5D2A9306" w14:textId="77777777" w:rsidR="00281D48" w:rsidRPr="00364545" w:rsidRDefault="00281D48" w:rsidP="009F2D1E">
            <w:pPr>
              <w:spacing w:line="259" w:lineRule="auto"/>
              <w:ind w:right="30"/>
              <w:jc w:val="center"/>
              <w:rPr>
                <w:b/>
                <w:color w:val="FFFFFF"/>
                <w:sz w:val="18"/>
              </w:rPr>
            </w:pPr>
            <w:r>
              <w:rPr>
                <w:b/>
                <w:color w:val="FFFFFF"/>
                <w:sz w:val="18"/>
              </w:rPr>
              <w:t>2019</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55727B1" w14:textId="77777777" w:rsidR="00281D48" w:rsidRPr="00364545" w:rsidRDefault="00281D48" w:rsidP="009F2D1E">
            <w:pPr>
              <w:spacing w:line="259" w:lineRule="auto"/>
              <w:ind w:right="30"/>
              <w:jc w:val="center"/>
              <w:rPr>
                <w:b/>
                <w:color w:val="FFFFFF"/>
                <w:sz w:val="18"/>
              </w:rPr>
            </w:pPr>
            <w:r w:rsidRPr="00364545">
              <w:rPr>
                <w:b/>
                <w:color w:val="FFFFFF"/>
                <w:sz w:val="18"/>
              </w:rPr>
              <w:t>2020</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B9A9B53" w14:textId="77777777" w:rsidR="00281D48" w:rsidRPr="00364545" w:rsidRDefault="00281D48" w:rsidP="009F2D1E">
            <w:pPr>
              <w:spacing w:line="259" w:lineRule="auto"/>
              <w:ind w:right="30"/>
              <w:jc w:val="center"/>
              <w:rPr>
                <w:b/>
                <w:color w:val="FFFFFF"/>
                <w:sz w:val="18"/>
              </w:rPr>
            </w:pPr>
            <w:r w:rsidRPr="00364545">
              <w:rPr>
                <w:b/>
                <w:color w:val="FFFFFF"/>
                <w:sz w:val="18"/>
              </w:rPr>
              <w:t>2025</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54599D1" w14:textId="77777777" w:rsidR="00281D48" w:rsidRPr="00364545" w:rsidRDefault="00281D48" w:rsidP="009F2D1E">
            <w:pPr>
              <w:spacing w:line="259" w:lineRule="auto"/>
              <w:ind w:right="30"/>
              <w:jc w:val="center"/>
              <w:rPr>
                <w:b/>
                <w:color w:val="FFFFFF"/>
                <w:sz w:val="18"/>
              </w:rPr>
            </w:pPr>
            <w:r w:rsidRPr="00364545">
              <w:rPr>
                <w:b/>
                <w:color w:val="FFFFFF"/>
                <w:sz w:val="18"/>
              </w:rPr>
              <w:t>2030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A2AB886" w14:textId="77777777" w:rsidR="00281D48" w:rsidRPr="00364545" w:rsidRDefault="00281D48" w:rsidP="009F2D1E">
            <w:pPr>
              <w:spacing w:line="259" w:lineRule="auto"/>
              <w:ind w:right="30"/>
              <w:jc w:val="center"/>
              <w:rPr>
                <w:b/>
                <w:color w:val="FFFFFF"/>
                <w:sz w:val="18"/>
              </w:rPr>
            </w:pPr>
            <w:r w:rsidRPr="00364545">
              <w:rPr>
                <w:b/>
                <w:color w:val="FFFFFF"/>
                <w:sz w:val="18"/>
              </w:rPr>
              <w:t>2035</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63F5BF19" w14:textId="77777777" w:rsidR="00281D48" w:rsidRPr="00364545" w:rsidRDefault="00281D48" w:rsidP="009F2D1E">
            <w:pPr>
              <w:spacing w:line="259" w:lineRule="auto"/>
              <w:ind w:right="30"/>
              <w:jc w:val="center"/>
              <w:rPr>
                <w:b/>
                <w:color w:val="FFFFFF"/>
                <w:sz w:val="18"/>
              </w:rPr>
            </w:pPr>
            <w:r w:rsidRPr="00364545">
              <w:rPr>
                <w:b/>
                <w:color w:val="FFFFFF"/>
                <w:sz w:val="18"/>
              </w:rPr>
              <w:t>2050</w:t>
            </w:r>
          </w:p>
        </w:tc>
      </w:tr>
      <w:tr w:rsidR="00281D48" w:rsidRPr="00364545" w14:paraId="18D59039" w14:textId="77777777" w:rsidTr="00281D48">
        <w:trPr>
          <w:trHeight w:val="344"/>
        </w:trPr>
        <w:tc>
          <w:tcPr>
            <w:tcW w:w="1398" w:type="dxa"/>
            <w:tcBorders>
              <w:top w:val="single" w:sz="2" w:space="0" w:color="000000"/>
              <w:left w:val="single" w:sz="2" w:space="0" w:color="000000"/>
              <w:bottom w:val="single" w:sz="2" w:space="0" w:color="000000"/>
              <w:right w:val="single" w:sz="2" w:space="0" w:color="000000"/>
            </w:tcBorders>
          </w:tcPr>
          <w:p w14:paraId="565DA91F" w14:textId="76667CCE" w:rsidR="00281D48" w:rsidRPr="00364545" w:rsidRDefault="00281D48" w:rsidP="00281D48">
            <w:pPr>
              <w:spacing w:line="259" w:lineRule="auto"/>
            </w:pPr>
            <w:r>
              <w:rPr>
                <w:sz w:val="18"/>
              </w:rPr>
              <w:t xml:space="preserve">Energie </w:t>
            </w:r>
          </w:p>
        </w:tc>
        <w:tc>
          <w:tcPr>
            <w:tcW w:w="722" w:type="dxa"/>
            <w:tcBorders>
              <w:top w:val="single" w:sz="2" w:space="0" w:color="000000"/>
              <w:left w:val="single" w:sz="2" w:space="0" w:color="000000"/>
              <w:bottom w:val="single" w:sz="2" w:space="0" w:color="000000"/>
              <w:right w:val="single" w:sz="2" w:space="0" w:color="000000"/>
            </w:tcBorders>
            <w:vAlign w:val="center"/>
          </w:tcPr>
          <w:p w14:paraId="622E001F"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3433</w:t>
            </w:r>
          </w:p>
        </w:tc>
        <w:tc>
          <w:tcPr>
            <w:tcW w:w="722" w:type="dxa"/>
            <w:tcBorders>
              <w:top w:val="single" w:sz="2" w:space="0" w:color="000000"/>
              <w:left w:val="single" w:sz="2" w:space="0" w:color="000000"/>
              <w:bottom w:val="single" w:sz="2" w:space="0" w:color="000000"/>
              <w:right w:val="single" w:sz="2" w:space="0" w:color="000000"/>
            </w:tcBorders>
            <w:vAlign w:val="center"/>
          </w:tcPr>
          <w:p w14:paraId="19C79AC0"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4046</w:t>
            </w:r>
          </w:p>
        </w:tc>
        <w:tc>
          <w:tcPr>
            <w:tcW w:w="723" w:type="dxa"/>
            <w:tcBorders>
              <w:top w:val="single" w:sz="2" w:space="0" w:color="000000"/>
              <w:left w:val="single" w:sz="2" w:space="0" w:color="000000"/>
              <w:bottom w:val="single" w:sz="2" w:space="0" w:color="000000"/>
              <w:right w:val="single" w:sz="2" w:space="0" w:color="000000"/>
            </w:tcBorders>
            <w:vAlign w:val="center"/>
          </w:tcPr>
          <w:p w14:paraId="19888A66"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3900</w:t>
            </w:r>
          </w:p>
        </w:tc>
        <w:tc>
          <w:tcPr>
            <w:tcW w:w="724" w:type="dxa"/>
            <w:tcBorders>
              <w:top w:val="single" w:sz="2" w:space="0" w:color="000000"/>
              <w:left w:val="single" w:sz="2" w:space="0" w:color="000000"/>
              <w:bottom w:val="single" w:sz="2" w:space="0" w:color="000000"/>
              <w:right w:val="single" w:sz="2" w:space="0" w:color="000000"/>
            </w:tcBorders>
            <w:vAlign w:val="center"/>
          </w:tcPr>
          <w:p w14:paraId="26322BF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4183</w:t>
            </w:r>
          </w:p>
        </w:tc>
        <w:tc>
          <w:tcPr>
            <w:tcW w:w="723" w:type="dxa"/>
            <w:tcBorders>
              <w:top w:val="single" w:sz="2" w:space="0" w:color="000000"/>
              <w:left w:val="single" w:sz="2" w:space="0" w:color="000000"/>
              <w:bottom w:val="single" w:sz="2" w:space="0" w:color="000000"/>
              <w:right w:val="single" w:sz="2" w:space="0" w:color="000000"/>
            </w:tcBorders>
            <w:vAlign w:val="center"/>
          </w:tcPr>
          <w:p w14:paraId="6DCCA1ED"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3638</w:t>
            </w:r>
          </w:p>
        </w:tc>
        <w:tc>
          <w:tcPr>
            <w:tcW w:w="723" w:type="dxa"/>
            <w:tcBorders>
              <w:top w:val="single" w:sz="2" w:space="0" w:color="000000"/>
              <w:left w:val="single" w:sz="2" w:space="0" w:color="000000"/>
              <w:bottom w:val="single" w:sz="2" w:space="0" w:color="000000"/>
              <w:right w:val="single" w:sz="2" w:space="0" w:color="000000"/>
            </w:tcBorders>
            <w:vAlign w:val="center"/>
          </w:tcPr>
          <w:p w14:paraId="5E6CF815"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3731</w:t>
            </w:r>
          </w:p>
        </w:tc>
        <w:tc>
          <w:tcPr>
            <w:tcW w:w="582" w:type="dxa"/>
            <w:tcBorders>
              <w:top w:val="single" w:sz="2" w:space="0" w:color="000000"/>
              <w:left w:val="single" w:sz="2" w:space="0" w:color="000000"/>
              <w:bottom w:val="single" w:sz="2" w:space="0" w:color="000000"/>
              <w:right w:val="single" w:sz="2" w:space="0" w:color="000000"/>
            </w:tcBorders>
            <w:vAlign w:val="center"/>
          </w:tcPr>
          <w:p w14:paraId="1576288E"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3537</w:t>
            </w:r>
          </w:p>
        </w:tc>
        <w:tc>
          <w:tcPr>
            <w:tcW w:w="723" w:type="dxa"/>
            <w:tcBorders>
              <w:top w:val="single" w:sz="2" w:space="0" w:color="000000"/>
              <w:left w:val="single" w:sz="2" w:space="0" w:color="000000"/>
              <w:bottom w:val="single" w:sz="2" w:space="0" w:color="000000"/>
              <w:right w:val="single" w:sz="2" w:space="0" w:color="000000"/>
            </w:tcBorders>
            <w:vAlign w:val="center"/>
          </w:tcPr>
          <w:p w14:paraId="70FE8AC7"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932</w:t>
            </w:r>
          </w:p>
        </w:tc>
        <w:tc>
          <w:tcPr>
            <w:tcW w:w="724" w:type="dxa"/>
            <w:tcBorders>
              <w:top w:val="single" w:sz="2" w:space="0" w:color="000000"/>
              <w:left w:val="single" w:sz="2" w:space="0" w:color="000000"/>
              <w:bottom w:val="single" w:sz="2" w:space="0" w:color="000000"/>
              <w:right w:val="single" w:sz="2" w:space="0" w:color="000000"/>
            </w:tcBorders>
            <w:vAlign w:val="center"/>
          </w:tcPr>
          <w:p w14:paraId="701EE129"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501</w:t>
            </w:r>
          </w:p>
        </w:tc>
        <w:tc>
          <w:tcPr>
            <w:tcW w:w="723" w:type="dxa"/>
            <w:tcBorders>
              <w:top w:val="single" w:sz="2" w:space="0" w:color="000000"/>
              <w:left w:val="single" w:sz="2" w:space="0" w:color="000000"/>
              <w:bottom w:val="single" w:sz="2" w:space="0" w:color="000000"/>
              <w:right w:val="single" w:sz="2" w:space="0" w:color="000000"/>
            </w:tcBorders>
            <w:vAlign w:val="center"/>
          </w:tcPr>
          <w:p w14:paraId="6BB0DF3F"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118</w:t>
            </w:r>
          </w:p>
        </w:tc>
        <w:tc>
          <w:tcPr>
            <w:tcW w:w="723" w:type="dxa"/>
            <w:tcBorders>
              <w:top w:val="single" w:sz="2" w:space="0" w:color="000000"/>
              <w:left w:val="single" w:sz="2" w:space="0" w:color="000000"/>
              <w:bottom w:val="single" w:sz="2" w:space="0" w:color="000000"/>
              <w:right w:val="single" w:sz="2" w:space="0" w:color="000000"/>
            </w:tcBorders>
            <w:vAlign w:val="center"/>
          </w:tcPr>
          <w:p w14:paraId="7B716FB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613</w:t>
            </w:r>
          </w:p>
        </w:tc>
        <w:tc>
          <w:tcPr>
            <w:tcW w:w="724" w:type="dxa"/>
            <w:tcBorders>
              <w:top w:val="single" w:sz="2" w:space="0" w:color="000000"/>
              <w:left w:val="single" w:sz="2" w:space="0" w:color="000000"/>
              <w:bottom w:val="single" w:sz="2" w:space="0" w:color="000000"/>
              <w:right w:val="single" w:sz="2" w:space="0" w:color="000000"/>
            </w:tcBorders>
            <w:vAlign w:val="center"/>
          </w:tcPr>
          <w:p w14:paraId="49D8AF9A"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1</w:t>
            </w:r>
            <w:r w:rsidRPr="005D0955">
              <w:rPr>
                <w:rFonts w:ascii="Calibri" w:hAnsi="Calibri" w:cs="Calibri"/>
                <w:sz w:val="18"/>
                <w:szCs w:val="18"/>
              </w:rPr>
              <w:t> </w:t>
            </w:r>
            <w:r w:rsidRPr="00634E4C">
              <w:rPr>
                <w:rFonts w:asciiTheme="majorHAnsi" w:hAnsiTheme="majorHAnsi"/>
                <w:sz w:val="18"/>
              </w:rPr>
              <w:t>100</w:t>
            </w:r>
          </w:p>
        </w:tc>
      </w:tr>
      <w:tr w:rsidR="00281D48" w:rsidRPr="00364545" w14:paraId="61166ACC" w14:textId="77777777" w:rsidTr="00281D48">
        <w:trPr>
          <w:trHeight w:val="419"/>
        </w:trPr>
        <w:tc>
          <w:tcPr>
            <w:tcW w:w="1398" w:type="dxa"/>
            <w:tcBorders>
              <w:top w:val="single" w:sz="2" w:space="0" w:color="000000"/>
              <w:left w:val="single" w:sz="2" w:space="0" w:color="000000"/>
              <w:bottom w:val="single" w:sz="2" w:space="0" w:color="000000"/>
              <w:right w:val="single" w:sz="2" w:space="0" w:color="000000"/>
            </w:tcBorders>
            <w:shd w:val="clear" w:color="auto" w:fill="ECE6E2"/>
          </w:tcPr>
          <w:p w14:paraId="540A960D" w14:textId="1FD6DF12" w:rsidR="00281D48" w:rsidRPr="00364545" w:rsidRDefault="00281D48" w:rsidP="00281D48">
            <w:pPr>
              <w:spacing w:line="259" w:lineRule="auto"/>
            </w:pPr>
            <w:r>
              <w:rPr>
                <w:sz w:val="18"/>
              </w:rPr>
              <w:t xml:space="preserve">Procédés industriels, solvants et autres produits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2B452B"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23831</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809514B"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25932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809FCE"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11924</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7FA1CF"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6760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06F8BB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2287</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4EEB21"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1291</w:t>
            </w:r>
          </w:p>
        </w:tc>
        <w:tc>
          <w:tcPr>
            <w:tcW w:w="5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9F250E"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918</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5D82A5"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984</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69D7B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893</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86922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778</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A0CA5D"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761</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802BA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712</w:t>
            </w:r>
          </w:p>
        </w:tc>
      </w:tr>
      <w:tr w:rsidR="00281D48" w:rsidRPr="00364545" w14:paraId="08BC3F41" w14:textId="77777777" w:rsidTr="00281D48">
        <w:trPr>
          <w:trHeight w:val="347"/>
        </w:trPr>
        <w:tc>
          <w:tcPr>
            <w:tcW w:w="1398" w:type="dxa"/>
            <w:tcBorders>
              <w:top w:val="single" w:sz="2" w:space="0" w:color="000000"/>
              <w:left w:val="single" w:sz="2" w:space="0" w:color="000000"/>
              <w:bottom w:val="single" w:sz="2" w:space="0" w:color="000000"/>
              <w:right w:val="single" w:sz="2" w:space="0" w:color="000000"/>
            </w:tcBorders>
          </w:tcPr>
          <w:p w14:paraId="340BED80" w14:textId="3EF30FAA" w:rsidR="00281D48" w:rsidRPr="00364545" w:rsidRDefault="00281D48" w:rsidP="00281D48">
            <w:pPr>
              <w:spacing w:line="259" w:lineRule="auto"/>
            </w:pPr>
            <w:r>
              <w:rPr>
                <w:sz w:val="18"/>
              </w:rPr>
              <w:t xml:space="preserve">Agriculture (hors énergie) </w:t>
            </w:r>
          </w:p>
        </w:tc>
        <w:tc>
          <w:tcPr>
            <w:tcW w:w="722" w:type="dxa"/>
            <w:tcBorders>
              <w:top w:val="single" w:sz="2" w:space="0" w:color="000000"/>
              <w:left w:val="single" w:sz="2" w:space="0" w:color="000000"/>
              <w:bottom w:val="single" w:sz="2" w:space="0" w:color="000000"/>
              <w:right w:val="single" w:sz="2" w:space="0" w:color="000000"/>
            </w:tcBorders>
            <w:vAlign w:val="center"/>
          </w:tcPr>
          <w:p w14:paraId="48A315BA"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36691</w:t>
            </w:r>
          </w:p>
        </w:tc>
        <w:tc>
          <w:tcPr>
            <w:tcW w:w="722" w:type="dxa"/>
            <w:tcBorders>
              <w:top w:val="single" w:sz="2" w:space="0" w:color="000000"/>
              <w:left w:val="single" w:sz="2" w:space="0" w:color="000000"/>
              <w:bottom w:val="single" w:sz="2" w:space="0" w:color="000000"/>
              <w:right w:val="single" w:sz="2" w:space="0" w:color="000000"/>
            </w:tcBorders>
            <w:vAlign w:val="center"/>
          </w:tcPr>
          <w:p w14:paraId="33854C53"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35162</w:t>
            </w:r>
          </w:p>
        </w:tc>
        <w:tc>
          <w:tcPr>
            <w:tcW w:w="723" w:type="dxa"/>
            <w:tcBorders>
              <w:top w:val="single" w:sz="2" w:space="0" w:color="000000"/>
              <w:left w:val="single" w:sz="2" w:space="0" w:color="000000"/>
              <w:bottom w:val="single" w:sz="2" w:space="0" w:color="000000"/>
              <w:right w:val="single" w:sz="2" w:space="0" w:color="000000"/>
            </w:tcBorders>
            <w:vAlign w:val="center"/>
          </w:tcPr>
          <w:p w14:paraId="1BCDD82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37106</w:t>
            </w:r>
          </w:p>
        </w:tc>
        <w:tc>
          <w:tcPr>
            <w:tcW w:w="724" w:type="dxa"/>
            <w:tcBorders>
              <w:top w:val="single" w:sz="2" w:space="0" w:color="000000"/>
              <w:left w:val="single" w:sz="2" w:space="0" w:color="000000"/>
              <w:bottom w:val="single" w:sz="2" w:space="0" w:color="000000"/>
              <w:right w:val="single" w:sz="2" w:space="0" w:color="000000"/>
            </w:tcBorders>
            <w:vAlign w:val="center"/>
          </w:tcPr>
          <w:p w14:paraId="42E94ADF"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34680</w:t>
            </w:r>
          </w:p>
        </w:tc>
        <w:tc>
          <w:tcPr>
            <w:tcW w:w="723" w:type="dxa"/>
            <w:tcBorders>
              <w:top w:val="single" w:sz="2" w:space="0" w:color="000000"/>
              <w:left w:val="single" w:sz="2" w:space="0" w:color="000000"/>
              <w:bottom w:val="single" w:sz="2" w:space="0" w:color="000000"/>
              <w:right w:val="single" w:sz="2" w:space="0" w:color="000000"/>
            </w:tcBorders>
            <w:vAlign w:val="center"/>
          </w:tcPr>
          <w:p w14:paraId="0AEA2189"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33892</w:t>
            </w:r>
          </w:p>
        </w:tc>
        <w:tc>
          <w:tcPr>
            <w:tcW w:w="723" w:type="dxa"/>
            <w:tcBorders>
              <w:top w:val="single" w:sz="2" w:space="0" w:color="000000"/>
              <w:left w:val="single" w:sz="2" w:space="0" w:color="000000"/>
              <w:bottom w:val="single" w:sz="2" w:space="0" w:color="000000"/>
              <w:right w:val="single" w:sz="2" w:space="0" w:color="000000"/>
            </w:tcBorders>
            <w:vAlign w:val="center"/>
          </w:tcPr>
          <w:p w14:paraId="5315340C"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34263</w:t>
            </w:r>
          </w:p>
        </w:tc>
        <w:tc>
          <w:tcPr>
            <w:tcW w:w="582" w:type="dxa"/>
            <w:tcBorders>
              <w:top w:val="single" w:sz="2" w:space="0" w:color="000000"/>
              <w:left w:val="single" w:sz="2" w:space="0" w:color="000000"/>
              <w:bottom w:val="single" w:sz="2" w:space="0" w:color="000000"/>
              <w:right w:val="single" w:sz="2" w:space="0" w:color="000000"/>
            </w:tcBorders>
            <w:vAlign w:val="center"/>
          </w:tcPr>
          <w:p w14:paraId="6F7AA1CC"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33020</w:t>
            </w:r>
          </w:p>
        </w:tc>
        <w:tc>
          <w:tcPr>
            <w:tcW w:w="723" w:type="dxa"/>
            <w:tcBorders>
              <w:top w:val="single" w:sz="2" w:space="0" w:color="000000"/>
              <w:left w:val="single" w:sz="2" w:space="0" w:color="000000"/>
              <w:bottom w:val="single" w:sz="2" w:space="0" w:color="000000"/>
              <w:right w:val="single" w:sz="2" w:space="0" w:color="000000"/>
            </w:tcBorders>
            <w:vAlign w:val="center"/>
          </w:tcPr>
          <w:p w14:paraId="4E9E0F7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34</w:t>
            </w:r>
            <w:r w:rsidRPr="005D0955">
              <w:rPr>
                <w:rFonts w:ascii="Calibri" w:hAnsi="Calibri" w:cs="Calibri"/>
                <w:sz w:val="18"/>
                <w:szCs w:val="18"/>
              </w:rPr>
              <w:t> </w:t>
            </w:r>
            <w:r w:rsidRPr="00634E4C">
              <w:rPr>
                <w:rFonts w:asciiTheme="majorHAnsi" w:hAnsiTheme="majorHAnsi"/>
                <w:sz w:val="18"/>
              </w:rPr>
              <w:t>579</w:t>
            </w:r>
          </w:p>
        </w:tc>
        <w:tc>
          <w:tcPr>
            <w:tcW w:w="724" w:type="dxa"/>
            <w:tcBorders>
              <w:top w:val="single" w:sz="2" w:space="0" w:color="000000"/>
              <w:left w:val="single" w:sz="2" w:space="0" w:color="000000"/>
              <w:bottom w:val="single" w:sz="2" w:space="0" w:color="000000"/>
              <w:right w:val="single" w:sz="2" w:space="0" w:color="000000"/>
            </w:tcBorders>
            <w:vAlign w:val="center"/>
          </w:tcPr>
          <w:p w14:paraId="20C4018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32</w:t>
            </w:r>
            <w:r w:rsidRPr="005D0955">
              <w:rPr>
                <w:rFonts w:ascii="Calibri" w:hAnsi="Calibri" w:cs="Calibri"/>
                <w:sz w:val="18"/>
                <w:szCs w:val="18"/>
              </w:rPr>
              <w:t> </w:t>
            </w:r>
            <w:r w:rsidRPr="00634E4C">
              <w:rPr>
                <w:rFonts w:asciiTheme="majorHAnsi" w:hAnsiTheme="majorHAnsi"/>
                <w:sz w:val="18"/>
              </w:rPr>
              <w:t>471</w:t>
            </w:r>
          </w:p>
        </w:tc>
        <w:tc>
          <w:tcPr>
            <w:tcW w:w="723" w:type="dxa"/>
            <w:tcBorders>
              <w:top w:val="single" w:sz="2" w:space="0" w:color="000000"/>
              <w:left w:val="single" w:sz="2" w:space="0" w:color="000000"/>
              <w:bottom w:val="single" w:sz="2" w:space="0" w:color="000000"/>
              <w:right w:val="single" w:sz="2" w:space="0" w:color="000000"/>
            </w:tcBorders>
            <w:vAlign w:val="center"/>
          </w:tcPr>
          <w:p w14:paraId="1A7C5657"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30</w:t>
            </w:r>
            <w:r w:rsidRPr="005D0955">
              <w:rPr>
                <w:rFonts w:ascii="Calibri" w:hAnsi="Calibri" w:cs="Calibri"/>
                <w:sz w:val="18"/>
                <w:szCs w:val="18"/>
              </w:rPr>
              <w:t> </w:t>
            </w:r>
            <w:r w:rsidRPr="00634E4C">
              <w:rPr>
                <w:rFonts w:asciiTheme="majorHAnsi" w:hAnsiTheme="majorHAnsi"/>
                <w:sz w:val="18"/>
              </w:rPr>
              <w:t>826</w:t>
            </w:r>
          </w:p>
        </w:tc>
        <w:tc>
          <w:tcPr>
            <w:tcW w:w="723" w:type="dxa"/>
            <w:tcBorders>
              <w:top w:val="single" w:sz="2" w:space="0" w:color="000000"/>
              <w:left w:val="single" w:sz="2" w:space="0" w:color="000000"/>
              <w:bottom w:val="single" w:sz="2" w:space="0" w:color="000000"/>
              <w:right w:val="single" w:sz="2" w:space="0" w:color="000000"/>
            </w:tcBorders>
            <w:vAlign w:val="center"/>
          </w:tcPr>
          <w:p w14:paraId="2F09127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29</w:t>
            </w:r>
            <w:r w:rsidRPr="005D0955">
              <w:rPr>
                <w:rFonts w:ascii="Calibri" w:hAnsi="Calibri" w:cs="Calibri"/>
                <w:sz w:val="18"/>
                <w:szCs w:val="18"/>
              </w:rPr>
              <w:t> </w:t>
            </w:r>
            <w:r w:rsidRPr="00634E4C">
              <w:rPr>
                <w:rFonts w:asciiTheme="majorHAnsi" w:hAnsiTheme="majorHAnsi"/>
                <w:sz w:val="18"/>
              </w:rPr>
              <w:t>519</w:t>
            </w:r>
          </w:p>
        </w:tc>
        <w:tc>
          <w:tcPr>
            <w:tcW w:w="724" w:type="dxa"/>
            <w:tcBorders>
              <w:top w:val="single" w:sz="2" w:space="0" w:color="000000"/>
              <w:left w:val="single" w:sz="2" w:space="0" w:color="000000"/>
              <w:bottom w:val="single" w:sz="2" w:space="0" w:color="000000"/>
              <w:right w:val="single" w:sz="2" w:space="0" w:color="000000"/>
            </w:tcBorders>
            <w:vAlign w:val="center"/>
          </w:tcPr>
          <w:p w14:paraId="0A15FDF4"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20</w:t>
            </w:r>
            <w:r w:rsidRPr="005D0955">
              <w:rPr>
                <w:rFonts w:ascii="Calibri" w:hAnsi="Calibri" w:cs="Calibri"/>
                <w:sz w:val="18"/>
                <w:szCs w:val="18"/>
              </w:rPr>
              <w:t> </w:t>
            </w:r>
            <w:r w:rsidRPr="00634E4C">
              <w:rPr>
                <w:rFonts w:asciiTheme="majorHAnsi" w:hAnsiTheme="majorHAnsi"/>
                <w:sz w:val="18"/>
              </w:rPr>
              <w:t>246</w:t>
            </w:r>
          </w:p>
        </w:tc>
      </w:tr>
      <w:tr w:rsidR="00281D48" w:rsidRPr="00364545" w14:paraId="18B7DCA4" w14:textId="77777777" w:rsidTr="00281D48">
        <w:trPr>
          <w:trHeight w:val="342"/>
        </w:trPr>
        <w:tc>
          <w:tcPr>
            <w:tcW w:w="1398" w:type="dxa"/>
            <w:tcBorders>
              <w:top w:val="single" w:sz="2" w:space="0" w:color="000000"/>
              <w:left w:val="single" w:sz="2" w:space="0" w:color="000000"/>
              <w:bottom w:val="single" w:sz="2" w:space="0" w:color="000000"/>
              <w:right w:val="single" w:sz="2" w:space="0" w:color="000000"/>
            </w:tcBorders>
            <w:shd w:val="clear" w:color="auto" w:fill="ECE6E2"/>
          </w:tcPr>
          <w:p w14:paraId="38D34A46" w14:textId="38710B93" w:rsidR="00281D48" w:rsidRPr="00364545" w:rsidRDefault="00281D48" w:rsidP="00281D48">
            <w:pPr>
              <w:spacing w:line="259" w:lineRule="auto"/>
            </w:pPr>
            <w:r>
              <w:rPr>
                <w:sz w:val="18"/>
              </w:rPr>
              <w:t xml:space="preserve">UTCF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CD538F9"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3226</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AF75E42"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3246</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E7CD7D"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3193</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C30123"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2971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0F758E"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3216</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51D9A41"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2944</w:t>
            </w:r>
          </w:p>
        </w:tc>
        <w:tc>
          <w:tcPr>
            <w:tcW w:w="5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B3AF5F"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2867</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5B7774"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083</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02497F"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085</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1CA7B5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082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EB3351"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076</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1C7B6E"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3</w:t>
            </w:r>
            <w:r w:rsidRPr="005D0955">
              <w:rPr>
                <w:rFonts w:ascii="Calibri" w:hAnsi="Calibri" w:cs="Calibri"/>
                <w:sz w:val="18"/>
                <w:szCs w:val="18"/>
              </w:rPr>
              <w:t> </w:t>
            </w:r>
            <w:r w:rsidRPr="00634E4C">
              <w:rPr>
                <w:rFonts w:asciiTheme="majorHAnsi" w:hAnsiTheme="majorHAnsi"/>
                <w:sz w:val="18"/>
              </w:rPr>
              <w:t>059</w:t>
            </w:r>
          </w:p>
        </w:tc>
      </w:tr>
      <w:tr w:rsidR="00281D48" w:rsidRPr="00364545" w14:paraId="695BF09D" w14:textId="77777777" w:rsidTr="00281D48">
        <w:trPr>
          <w:trHeight w:val="347"/>
        </w:trPr>
        <w:tc>
          <w:tcPr>
            <w:tcW w:w="1398" w:type="dxa"/>
            <w:tcBorders>
              <w:top w:val="single" w:sz="2" w:space="0" w:color="000000"/>
              <w:left w:val="single" w:sz="2" w:space="0" w:color="000000"/>
              <w:bottom w:val="single" w:sz="2" w:space="0" w:color="000000"/>
              <w:right w:val="single" w:sz="2" w:space="0" w:color="000000"/>
            </w:tcBorders>
          </w:tcPr>
          <w:p w14:paraId="60984376" w14:textId="1CAFB73A" w:rsidR="00281D48" w:rsidRPr="00364545" w:rsidRDefault="00281D48" w:rsidP="00281D48">
            <w:pPr>
              <w:spacing w:line="259" w:lineRule="auto"/>
            </w:pPr>
            <w:r>
              <w:rPr>
                <w:sz w:val="18"/>
              </w:rPr>
              <w:t xml:space="preserve">Déchets </w:t>
            </w:r>
          </w:p>
        </w:tc>
        <w:tc>
          <w:tcPr>
            <w:tcW w:w="722" w:type="dxa"/>
            <w:tcBorders>
              <w:top w:val="single" w:sz="2" w:space="0" w:color="000000"/>
              <w:left w:val="single" w:sz="2" w:space="0" w:color="000000"/>
              <w:bottom w:val="single" w:sz="2" w:space="0" w:color="000000"/>
              <w:right w:val="single" w:sz="2" w:space="0" w:color="000000"/>
            </w:tcBorders>
            <w:vAlign w:val="center"/>
          </w:tcPr>
          <w:p w14:paraId="4C60F56F"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771</w:t>
            </w:r>
          </w:p>
        </w:tc>
        <w:tc>
          <w:tcPr>
            <w:tcW w:w="722" w:type="dxa"/>
            <w:tcBorders>
              <w:top w:val="single" w:sz="2" w:space="0" w:color="000000"/>
              <w:left w:val="single" w:sz="2" w:space="0" w:color="000000"/>
              <w:bottom w:val="single" w:sz="2" w:space="0" w:color="000000"/>
              <w:right w:val="single" w:sz="2" w:space="0" w:color="000000"/>
            </w:tcBorders>
            <w:vAlign w:val="center"/>
          </w:tcPr>
          <w:p w14:paraId="3EB48EEC"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796</w:t>
            </w:r>
          </w:p>
        </w:tc>
        <w:tc>
          <w:tcPr>
            <w:tcW w:w="723" w:type="dxa"/>
            <w:tcBorders>
              <w:top w:val="single" w:sz="2" w:space="0" w:color="000000"/>
              <w:left w:val="single" w:sz="2" w:space="0" w:color="000000"/>
              <w:bottom w:val="single" w:sz="2" w:space="0" w:color="000000"/>
              <w:right w:val="single" w:sz="2" w:space="0" w:color="000000"/>
            </w:tcBorders>
            <w:vAlign w:val="center"/>
          </w:tcPr>
          <w:p w14:paraId="2FDBC748"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750</w:t>
            </w:r>
          </w:p>
        </w:tc>
        <w:tc>
          <w:tcPr>
            <w:tcW w:w="724" w:type="dxa"/>
            <w:tcBorders>
              <w:top w:val="single" w:sz="2" w:space="0" w:color="000000"/>
              <w:left w:val="single" w:sz="2" w:space="0" w:color="000000"/>
              <w:bottom w:val="single" w:sz="2" w:space="0" w:color="000000"/>
              <w:right w:val="single" w:sz="2" w:space="0" w:color="000000"/>
            </w:tcBorders>
            <w:vAlign w:val="center"/>
          </w:tcPr>
          <w:p w14:paraId="1D78DCF1"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684</w:t>
            </w:r>
          </w:p>
        </w:tc>
        <w:tc>
          <w:tcPr>
            <w:tcW w:w="723" w:type="dxa"/>
            <w:tcBorders>
              <w:top w:val="single" w:sz="2" w:space="0" w:color="000000"/>
              <w:left w:val="single" w:sz="2" w:space="0" w:color="000000"/>
              <w:bottom w:val="single" w:sz="2" w:space="0" w:color="000000"/>
              <w:right w:val="single" w:sz="2" w:space="0" w:color="000000"/>
            </w:tcBorders>
            <w:vAlign w:val="center"/>
          </w:tcPr>
          <w:p w14:paraId="40C0BD7A"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661</w:t>
            </w:r>
          </w:p>
        </w:tc>
        <w:tc>
          <w:tcPr>
            <w:tcW w:w="723" w:type="dxa"/>
            <w:tcBorders>
              <w:top w:val="single" w:sz="2" w:space="0" w:color="000000"/>
              <w:left w:val="single" w:sz="2" w:space="0" w:color="000000"/>
              <w:bottom w:val="single" w:sz="2" w:space="0" w:color="000000"/>
              <w:right w:val="single" w:sz="2" w:space="0" w:color="000000"/>
            </w:tcBorders>
            <w:vAlign w:val="center"/>
          </w:tcPr>
          <w:p w14:paraId="3D31C670" w14:textId="77777777" w:rsidR="00281D48" w:rsidRPr="00634E4C" w:rsidRDefault="00281D48" w:rsidP="00281D48">
            <w:pPr>
              <w:spacing w:line="259" w:lineRule="auto"/>
              <w:ind w:left="14"/>
              <w:jc w:val="center"/>
              <w:rPr>
                <w:rFonts w:asciiTheme="majorHAnsi" w:hAnsiTheme="majorHAnsi"/>
                <w:sz w:val="18"/>
              </w:rPr>
            </w:pPr>
            <w:r w:rsidRPr="005D0955">
              <w:rPr>
                <w:rFonts w:asciiTheme="majorHAnsi" w:hAnsiTheme="majorHAnsi"/>
                <w:sz w:val="18"/>
                <w:szCs w:val="18"/>
              </w:rPr>
              <w:t>610</w:t>
            </w:r>
          </w:p>
        </w:tc>
        <w:tc>
          <w:tcPr>
            <w:tcW w:w="582" w:type="dxa"/>
            <w:tcBorders>
              <w:top w:val="single" w:sz="2" w:space="0" w:color="000000"/>
              <w:left w:val="single" w:sz="2" w:space="0" w:color="000000"/>
              <w:bottom w:val="single" w:sz="2" w:space="0" w:color="000000"/>
              <w:right w:val="single" w:sz="2" w:space="0" w:color="000000"/>
            </w:tcBorders>
            <w:vAlign w:val="center"/>
          </w:tcPr>
          <w:p w14:paraId="39969DB7" w14:textId="77777777" w:rsidR="00281D48" w:rsidRPr="005D0955" w:rsidRDefault="00281D48" w:rsidP="00281D48">
            <w:pPr>
              <w:spacing w:line="259" w:lineRule="auto"/>
              <w:ind w:left="14"/>
              <w:jc w:val="center"/>
              <w:rPr>
                <w:rFonts w:asciiTheme="majorHAnsi" w:hAnsiTheme="majorHAnsi"/>
                <w:sz w:val="18"/>
                <w:szCs w:val="18"/>
              </w:rPr>
            </w:pPr>
            <w:r w:rsidRPr="005D0955">
              <w:rPr>
                <w:rFonts w:asciiTheme="majorHAnsi" w:hAnsiTheme="majorHAnsi"/>
                <w:sz w:val="18"/>
                <w:szCs w:val="18"/>
              </w:rPr>
              <w:t>597</w:t>
            </w:r>
          </w:p>
        </w:tc>
        <w:tc>
          <w:tcPr>
            <w:tcW w:w="723" w:type="dxa"/>
            <w:tcBorders>
              <w:top w:val="single" w:sz="2" w:space="0" w:color="000000"/>
              <w:left w:val="single" w:sz="2" w:space="0" w:color="000000"/>
              <w:bottom w:val="single" w:sz="2" w:space="0" w:color="000000"/>
              <w:right w:val="single" w:sz="2" w:space="0" w:color="000000"/>
            </w:tcBorders>
            <w:vAlign w:val="center"/>
          </w:tcPr>
          <w:p w14:paraId="622D45F4"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773</w:t>
            </w:r>
          </w:p>
        </w:tc>
        <w:tc>
          <w:tcPr>
            <w:tcW w:w="724" w:type="dxa"/>
            <w:tcBorders>
              <w:top w:val="single" w:sz="2" w:space="0" w:color="000000"/>
              <w:left w:val="single" w:sz="2" w:space="0" w:color="000000"/>
              <w:bottom w:val="single" w:sz="2" w:space="0" w:color="000000"/>
              <w:right w:val="single" w:sz="2" w:space="0" w:color="000000"/>
            </w:tcBorders>
            <w:vAlign w:val="center"/>
          </w:tcPr>
          <w:p w14:paraId="7DE17EA0"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828</w:t>
            </w:r>
          </w:p>
        </w:tc>
        <w:tc>
          <w:tcPr>
            <w:tcW w:w="723" w:type="dxa"/>
            <w:tcBorders>
              <w:top w:val="single" w:sz="2" w:space="0" w:color="000000"/>
              <w:left w:val="single" w:sz="2" w:space="0" w:color="000000"/>
              <w:bottom w:val="single" w:sz="2" w:space="0" w:color="000000"/>
              <w:right w:val="single" w:sz="2" w:space="0" w:color="000000"/>
            </w:tcBorders>
            <w:vAlign w:val="center"/>
          </w:tcPr>
          <w:p w14:paraId="4EC3A9EC"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837</w:t>
            </w:r>
          </w:p>
        </w:tc>
        <w:tc>
          <w:tcPr>
            <w:tcW w:w="723" w:type="dxa"/>
            <w:tcBorders>
              <w:top w:val="single" w:sz="2" w:space="0" w:color="000000"/>
              <w:left w:val="single" w:sz="2" w:space="0" w:color="000000"/>
              <w:bottom w:val="single" w:sz="2" w:space="0" w:color="000000"/>
              <w:right w:val="single" w:sz="2" w:space="0" w:color="000000"/>
            </w:tcBorders>
            <w:vAlign w:val="center"/>
          </w:tcPr>
          <w:p w14:paraId="435AAEDB"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827</w:t>
            </w:r>
          </w:p>
        </w:tc>
        <w:tc>
          <w:tcPr>
            <w:tcW w:w="724" w:type="dxa"/>
            <w:tcBorders>
              <w:top w:val="single" w:sz="2" w:space="0" w:color="000000"/>
              <w:left w:val="single" w:sz="2" w:space="0" w:color="000000"/>
              <w:bottom w:val="single" w:sz="2" w:space="0" w:color="000000"/>
              <w:right w:val="single" w:sz="2" w:space="0" w:color="000000"/>
            </w:tcBorders>
            <w:vAlign w:val="center"/>
          </w:tcPr>
          <w:p w14:paraId="08F2E586" w14:textId="77777777" w:rsidR="00281D48" w:rsidRPr="00634E4C" w:rsidRDefault="00281D48" w:rsidP="00281D48">
            <w:pPr>
              <w:spacing w:line="259" w:lineRule="auto"/>
              <w:ind w:left="14"/>
              <w:jc w:val="center"/>
              <w:rPr>
                <w:rFonts w:asciiTheme="majorHAnsi" w:hAnsiTheme="majorHAnsi"/>
                <w:sz w:val="18"/>
              </w:rPr>
            </w:pPr>
            <w:r w:rsidRPr="00634E4C">
              <w:rPr>
                <w:rFonts w:asciiTheme="majorHAnsi" w:hAnsiTheme="majorHAnsi"/>
                <w:sz w:val="18"/>
              </w:rPr>
              <w:t>798</w:t>
            </w:r>
          </w:p>
        </w:tc>
      </w:tr>
      <w:tr w:rsidR="00281D48" w:rsidRPr="00364545" w14:paraId="55DE07F4" w14:textId="77777777" w:rsidTr="00281D48">
        <w:trPr>
          <w:trHeight w:val="344"/>
        </w:trPr>
        <w:tc>
          <w:tcPr>
            <w:tcW w:w="1398" w:type="dxa"/>
            <w:tcBorders>
              <w:top w:val="single" w:sz="2" w:space="0" w:color="000000"/>
              <w:left w:val="single" w:sz="2" w:space="0" w:color="000000"/>
              <w:bottom w:val="single" w:sz="2" w:space="0" w:color="000000"/>
              <w:right w:val="single" w:sz="2" w:space="0" w:color="000000"/>
            </w:tcBorders>
            <w:shd w:val="clear" w:color="auto" w:fill="ECE6E2"/>
          </w:tcPr>
          <w:p w14:paraId="072A93F3" w14:textId="6A57926E" w:rsidR="00281D48" w:rsidRPr="00364545" w:rsidRDefault="00281D48" w:rsidP="00281D48">
            <w:pPr>
              <w:spacing w:line="259" w:lineRule="auto"/>
            </w:pPr>
            <w:r>
              <w:rPr>
                <w:b/>
                <w:sz w:val="18"/>
              </w:rPr>
              <w:t xml:space="preserve">Ensemble (hors UTCF)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7A8DC0"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64725</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9CA245"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65937</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B09E84A"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53681</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62133B4"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46307</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C94B8B"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40478</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F63F473"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39895</w:t>
            </w:r>
          </w:p>
        </w:tc>
        <w:tc>
          <w:tcPr>
            <w:tcW w:w="58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A5E1A0" w14:textId="77777777" w:rsidR="00281D48" w:rsidRPr="005D0955" w:rsidRDefault="00281D48" w:rsidP="00281D48">
            <w:pPr>
              <w:spacing w:line="259" w:lineRule="auto"/>
              <w:ind w:left="14"/>
              <w:jc w:val="center"/>
              <w:rPr>
                <w:rFonts w:asciiTheme="majorHAnsi" w:hAnsiTheme="majorHAnsi"/>
                <w:b/>
                <w:sz w:val="18"/>
                <w:szCs w:val="18"/>
              </w:rPr>
            </w:pPr>
            <w:r w:rsidRPr="005D0955">
              <w:rPr>
                <w:rFonts w:asciiTheme="majorHAnsi" w:hAnsiTheme="majorHAnsi"/>
                <w:sz w:val="18"/>
                <w:szCs w:val="18"/>
              </w:rPr>
              <w:t>38071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CDAF16"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40</w:t>
            </w:r>
            <w:r w:rsidRPr="005D0955">
              <w:rPr>
                <w:rFonts w:ascii="Calibri" w:hAnsi="Calibri" w:cs="Calibri"/>
                <w:b/>
                <w:sz w:val="18"/>
                <w:szCs w:val="18"/>
              </w:rPr>
              <w:t> </w:t>
            </w:r>
            <w:r w:rsidRPr="00634E4C">
              <w:rPr>
                <w:rFonts w:asciiTheme="majorHAnsi" w:hAnsiTheme="majorHAnsi"/>
                <w:b/>
                <w:sz w:val="18"/>
              </w:rPr>
              <w:t>268</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C2B169"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37</w:t>
            </w:r>
            <w:r w:rsidRPr="005D0955">
              <w:rPr>
                <w:rFonts w:ascii="Calibri" w:hAnsi="Calibri" w:cs="Calibri"/>
                <w:b/>
                <w:sz w:val="18"/>
                <w:szCs w:val="18"/>
              </w:rPr>
              <w:t> </w:t>
            </w:r>
            <w:r w:rsidRPr="00634E4C">
              <w:rPr>
                <w:rFonts w:asciiTheme="majorHAnsi" w:hAnsiTheme="majorHAnsi"/>
                <w:b/>
                <w:sz w:val="18"/>
              </w:rPr>
              <w:t>693</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1D01DB"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35</w:t>
            </w:r>
            <w:r w:rsidRPr="005D0955">
              <w:rPr>
                <w:rFonts w:ascii="Calibri" w:hAnsi="Calibri" w:cs="Calibri"/>
                <w:b/>
                <w:sz w:val="18"/>
                <w:szCs w:val="18"/>
              </w:rPr>
              <w:t> </w:t>
            </w:r>
            <w:r w:rsidRPr="00634E4C">
              <w:rPr>
                <w:rFonts w:asciiTheme="majorHAnsi" w:hAnsiTheme="majorHAnsi"/>
                <w:b/>
                <w:sz w:val="18"/>
              </w:rPr>
              <w:t>559</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DCFA02"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33</w:t>
            </w:r>
            <w:r w:rsidRPr="005D0955">
              <w:rPr>
                <w:rFonts w:ascii="Calibri" w:hAnsi="Calibri" w:cs="Calibri"/>
                <w:b/>
                <w:sz w:val="18"/>
                <w:szCs w:val="18"/>
              </w:rPr>
              <w:t> </w:t>
            </w:r>
            <w:r w:rsidRPr="00634E4C">
              <w:rPr>
                <w:rFonts w:asciiTheme="majorHAnsi" w:hAnsiTheme="majorHAnsi"/>
                <w:b/>
                <w:sz w:val="18"/>
              </w:rPr>
              <w:t>721</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701B8F"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22</w:t>
            </w:r>
            <w:r w:rsidRPr="005D0955">
              <w:rPr>
                <w:rFonts w:ascii="Calibri" w:hAnsi="Calibri" w:cs="Calibri"/>
                <w:b/>
                <w:sz w:val="18"/>
                <w:szCs w:val="18"/>
              </w:rPr>
              <w:t> </w:t>
            </w:r>
            <w:r w:rsidRPr="00634E4C">
              <w:rPr>
                <w:rFonts w:asciiTheme="majorHAnsi" w:hAnsiTheme="majorHAnsi"/>
                <w:b/>
                <w:sz w:val="18"/>
              </w:rPr>
              <w:t>856</w:t>
            </w:r>
          </w:p>
        </w:tc>
      </w:tr>
      <w:tr w:rsidR="00281D48" w:rsidRPr="00364545" w14:paraId="06D2DE58" w14:textId="77777777" w:rsidTr="00281D48">
        <w:trPr>
          <w:trHeight w:val="346"/>
        </w:trPr>
        <w:tc>
          <w:tcPr>
            <w:tcW w:w="1398" w:type="dxa"/>
            <w:tcBorders>
              <w:top w:val="single" w:sz="2" w:space="0" w:color="000000"/>
              <w:left w:val="single" w:sz="2" w:space="0" w:color="000000"/>
              <w:bottom w:val="single" w:sz="2" w:space="0" w:color="000000"/>
              <w:right w:val="single" w:sz="2" w:space="0" w:color="000000"/>
            </w:tcBorders>
          </w:tcPr>
          <w:p w14:paraId="41E3EEA9" w14:textId="67B176F4" w:rsidR="00281D48" w:rsidRPr="00364545" w:rsidRDefault="00281D48" w:rsidP="00281D48">
            <w:pPr>
              <w:spacing w:line="259" w:lineRule="auto"/>
            </w:pPr>
            <w:r>
              <w:rPr>
                <w:b/>
                <w:sz w:val="18"/>
              </w:rPr>
              <w:t xml:space="preserve">Ensemble (avec UTCF) </w:t>
            </w:r>
          </w:p>
        </w:tc>
        <w:tc>
          <w:tcPr>
            <w:tcW w:w="722" w:type="dxa"/>
            <w:tcBorders>
              <w:top w:val="single" w:sz="2" w:space="0" w:color="000000"/>
              <w:left w:val="single" w:sz="2" w:space="0" w:color="000000"/>
              <w:bottom w:val="single" w:sz="2" w:space="0" w:color="000000"/>
              <w:right w:val="single" w:sz="2" w:space="0" w:color="000000"/>
            </w:tcBorders>
            <w:vAlign w:val="center"/>
          </w:tcPr>
          <w:p w14:paraId="6047AD1F"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67951</w:t>
            </w:r>
          </w:p>
        </w:tc>
        <w:tc>
          <w:tcPr>
            <w:tcW w:w="722" w:type="dxa"/>
            <w:tcBorders>
              <w:top w:val="single" w:sz="2" w:space="0" w:color="000000"/>
              <w:left w:val="single" w:sz="2" w:space="0" w:color="000000"/>
              <w:bottom w:val="single" w:sz="2" w:space="0" w:color="000000"/>
              <w:right w:val="single" w:sz="2" w:space="0" w:color="000000"/>
            </w:tcBorders>
            <w:vAlign w:val="center"/>
          </w:tcPr>
          <w:p w14:paraId="38C97566"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69183</w:t>
            </w:r>
          </w:p>
        </w:tc>
        <w:tc>
          <w:tcPr>
            <w:tcW w:w="723" w:type="dxa"/>
            <w:tcBorders>
              <w:top w:val="single" w:sz="2" w:space="0" w:color="000000"/>
              <w:left w:val="single" w:sz="2" w:space="0" w:color="000000"/>
              <w:bottom w:val="single" w:sz="2" w:space="0" w:color="000000"/>
              <w:right w:val="single" w:sz="2" w:space="0" w:color="000000"/>
            </w:tcBorders>
            <w:vAlign w:val="center"/>
          </w:tcPr>
          <w:p w14:paraId="23A99C8E"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56873</w:t>
            </w:r>
          </w:p>
        </w:tc>
        <w:tc>
          <w:tcPr>
            <w:tcW w:w="724" w:type="dxa"/>
            <w:tcBorders>
              <w:top w:val="single" w:sz="2" w:space="0" w:color="000000"/>
              <w:left w:val="single" w:sz="2" w:space="0" w:color="000000"/>
              <w:bottom w:val="single" w:sz="2" w:space="0" w:color="000000"/>
              <w:right w:val="single" w:sz="2" w:space="0" w:color="000000"/>
            </w:tcBorders>
            <w:vAlign w:val="center"/>
          </w:tcPr>
          <w:p w14:paraId="3CE7A68A"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49279</w:t>
            </w:r>
          </w:p>
        </w:tc>
        <w:tc>
          <w:tcPr>
            <w:tcW w:w="723" w:type="dxa"/>
            <w:tcBorders>
              <w:top w:val="single" w:sz="2" w:space="0" w:color="000000"/>
              <w:left w:val="single" w:sz="2" w:space="0" w:color="000000"/>
              <w:bottom w:val="single" w:sz="2" w:space="0" w:color="000000"/>
              <w:right w:val="single" w:sz="2" w:space="0" w:color="000000"/>
            </w:tcBorders>
            <w:vAlign w:val="center"/>
          </w:tcPr>
          <w:p w14:paraId="1DECC364"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43694</w:t>
            </w:r>
          </w:p>
        </w:tc>
        <w:tc>
          <w:tcPr>
            <w:tcW w:w="723" w:type="dxa"/>
            <w:tcBorders>
              <w:top w:val="single" w:sz="2" w:space="0" w:color="000000"/>
              <w:left w:val="single" w:sz="2" w:space="0" w:color="000000"/>
              <w:bottom w:val="single" w:sz="2" w:space="0" w:color="000000"/>
              <w:right w:val="single" w:sz="2" w:space="0" w:color="000000"/>
            </w:tcBorders>
            <w:vAlign w:val="center"/>
          </w:tcPr>
          <w:p w14:paraId="1F10A334" w14:textId="77777777" w:rsidR="00281D48" w:rsidRPr="00634E4C" w:rsidRDefault="00281D48" w:rsidP="00281D48">
            <w:pPr>
              <w:spacing w:line="259" w:lineRule="auto"/>
              <w:ind w:left="14"/>
              <w:jc w:val="center"/>
              <w:rPr>
                <w:rFonts w:asciiTheme="majorHAnsi" w:hAnsiTheme="majorHAnsi"/>
                <w:b/>
                <w:sz w:val="18"/>
              </w:rPr>
            </w:pPr>
            <w:r w:rsidRPr="005D0955">
              <w:rPr>
                <w:rFonts w:asciiTheme="majorHAnsi" w:hAnsiTheme="majorHAnsi"/>
                <w:sz w:val="18"/>
                <w:szCs w:val="18"/>
              </w:rPr>
              <w:t>42840</w:t>
            </w:r>
          </w:p>
        </w:tc>
        <w:tc>
          <w:tcPr>
            <w:tcW w:w="582" w:type="dxa"/>
            <w:tcBorders>
              <w:top w:val="single" w:sz="2" w:space="0" w:color="000000"/>
              <w:left w:val="single" w:sz="2" w:space="0" w:color="000000"/>
              <w:bottom w:val="single" w:sz="2" w:space="0" w:color="000000"/>
              <w:right w:val="single" w:sz="2" w:space="0" w:color="000000"/>
            </w:tcBorders>
            <w:vAlign w:val="center"/>
          </w:tcPr>
          <w:p w14:paraId="5C51CD7E" w14:textId="77777777" w:rsidR="00281D48" w:rsidRPr="005D0955" w:rsidRDefault="00281D48" w:rsidP="00281D48">
            <w:pPr>
              <w:spacing w:line="259" w:lineRule="auto"/>
              <w:ind w:left="14"/>
              <w:jc w:val="center"/>
              <w:rPr>
                <w:rFonts w:asciiTheme="majorHAnsi" w:hAnsiTheme="majorHAnsi"/>
                <w:b/>
                <w:sz w:val="18"/>
                <w:szCs w:val="18"/>
              </w:rPr>
            </w:pPr>
            <w:r w:rsidRPr="005D0955">
              <w:rPr>
                <w:rFonts w:asciiTheme="majorHAnsi" w:hAnsiTheme="majorHAnsi"/>
                <w:sz w:val="18"/>
                <w:szCs w:val="18"/>
              </w:rPr>
              <w:t>40939</w:t>
            </w:r>
          </w:p>
        </w:tc>
        <w:tc>
          <w:tcPr>
            <w:tcW w:w="723" w:type="dxa"/>
            <w:tcBorders>
              <w:top w:val="single" w:sz="2" w:space="0" w:color="000000"/>
              <w:left w:val="single" w:sz="2" w:space="0" w:color="000000"/>
              <w:bottom w:val="single" w:sz="2" w:space="0" w:color="000000"/>
              <w:right w:val="single" w:sz="2" w:space="0" w:color="000000"/>
            </w:tcBorders>
            <w:vAlign w:val="center"/>
          </w:tcPr>
          <w:p w14:paraId="49453F2D"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43</w:t>
            </w:r>
            <w:r w:rsidRPr="005D0955">
              <w:rPr>
                <w:rFonts w:ascii="Calibri" w:hAnsi="Calibri" w:cs="Calibri"/>
                <w:b/>
                <w:sz w:val="18"/>
                <w:szCs w:val="18"/>
              </w:rPr>
              <w:t> </w:t>
            </w:r>
            <w:r w:rsidRPr="00634E4C">
              <w:rPr>
                <w:rFonts w:asciiTheme="majorHAnsi" w:hAnsiTheme="majorHAnsi"/>
                <w:b/>
                <w:sz w:val="18"/>
              </w:rPr>
              <w:t>352</w:t>
            </w:r>
          </w:p>
        </w:tc>
        <w:tc>
          <w:tcPr>
            <w:tcW w:w="724" w:type="dxa"/>
            <w:tcBorders>
              <w:top w:val="single" w:sz="2" w:space="0" w:color="000000"/>
              <w:left w:val="single" w:sz="2" w:space="0" w:color="000000"/>
              <w:bottom w:val="single" w:sz="2" w:space="0" w:color="000000"/>
              <w:right w:val="single" w:sz="2" w:space="0" w:color="000000"/>
            </w:tcBorders>
            <w:vAlign w:val="center"/>
          </w:tcPr>
          <w:p w14:paraId="00958A7A"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40</w:t>
            </w:r>
            <w:r w:rsidRPr="005D0955">
              <w:rPr>
                <w:rFonts w:ascii="Calibri" w:hAnsi="Calibri" w:cs="Calibri"/>
                <w:b/>
                <w:sz w:val="18"/>
                <w:szCs w:val="18"/>
              </w:rPr>
              <w:t> </w:t>
            </w:r>
            <w:r w:rsidRPr="00634E4C">
              <w:rPr>
                <w:rFonts w:asciiTheme="majorHAnsi" w:hAnsiTheme="majorHAnsi"/>
                <w:b/>
                <w:sz w:val="18"/>
              </w:rPr>
              <w:t>778</w:t>
            </w:r>
          </w:p>
        </w:tc>
        <w:tc>
          <w:tcPr>
            <w:tcW w:w="723" w:type="dxa"/>
            <w:tcBorders>
              <w:top w:val="single" w:sz="2" w:space="0" w:color="000000"/>
              <w:left w:val="single" w:sz="2" w:space="0" w:color="000000"/>
              <w:bottom w:val="single" w:sz="2" w:space="0" w:color="000000"/>
              <w:right w:val="single" w:sz="2" w:space="0" w:color="000000"/>
            </w:tcBorders>
            <w:vAlign w:val="center"/>
          </w:tcPr>
          <w:p w14:paraId="03EE17BB"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38</w:t>
            </w:r>
            <w:r w:rsidRPr="005D0955">
              <w:rPr>
                <w:rFonts w:ascii="Calibri" w:hAnsi="Calibri" w:cs="Calibri"/>
                <w:b/>
                <w:sz w:val="18"/>
                <w:szCs w:val="18"/>
              </w:rPr>
              <w:t> </w:t>
            </w:r>
            <w:r w:rsidRPr="00634E4C">
              <w:rPr>
                <w:rFonts w:asciiTheme="majorHAnsi" w:hAnsiTheme="majorHAnsi"/>
                <w:b/>
                <w:sz w:val="18"/>
              </w:rPr>
              <w:t>641</w:t>
            </w:r>
          </w:p>
        </w:tc>
        <w:tc>
          <w:tcPr>
            <w:tcW w:w="723" w:type="dxa"/>
            <w:tcBorders>
              <w:top w:val="single" w:sz="2" w:space="0" w:color="000000"/>
              <w:left w:val="single" w:sz="2" w:space="0" w:color="000000"/>
              <w:bottom w:val="single" w:sz="2" w:space="0" w:color="000000"/>
              <w:right w:val="single" w:sz="2" w:space="0" w:color="000000"/>
            </w:tcBorders>
            <w:vAlign w:val="center"/>
          </w:tcPr>
          <w:p w14:paraId="60111742"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36</w:t>
            </w:r>
            <w:r w:rsidRPr="005D0955">
              <w:rPr>
                <w:rFonts w:ascii="Calibri" w:hAnsi="Calibri" w:cs="Calibri"/>
                <w:b/>
                <w:sz w:val="18"/>
                <w:szCs w:val="18"/>
              </w:rPr>
              <w:t> </w:t>
            </w:r>
            <w:r w:rsidRPr="00634E4C">
              <w:rPr>
                <w:rFonts w:asciiTheme="majorHAnsi" w:hAnsiTheme="majorHAnsi"/>
                <w:b/>
                <w:sz w:val="18"/>
              </w:rPr>
              <w:t>797</w:t>
            </w:r>
          </w:p>
        </w:tc>
        <w:tc>
          <w:tcPr>
            <w:tcW w:w="724" w:type="dxa"/>
            <w:tcBorders>
              <w:top w:val="single" w:sz="2" w:space="0" w:color="000000"/>
              <w:left w:val="single" w:sz="2" w:space="0" w:color="000000"/>
              <w:bottom w:val="single" w:sz="2" w:space="0" w:color="000000"/>
              <w:right w:val="single" w:sz="2" w:space="0" w:color="000000"/>
            </w:tcBorders>
            <w:vAlign w:val="center"/>
          </w:tcPr>
          <w:p w14:paraId="0AB61867" w14:textId="77777777" w:rsidR="00281D48" w:rsidRPr="00634E4C" w:rsidRDefault="00281D48" w:rsidP="00281D48">
            <w:pPr>
              <w:spacing w:line="259" w:lineRule="auto"/>
              <w:ind w:left="14"/>
              <w:jc w:val="center"/>
              <w:rPr>
                <w:rFonts w:asciiTheme="majorHAnsi" w:hAnsiTheme="majorHAnsi"/>
                <w:b/>
                <w:sz w:val="18"/>
              </w:rPr>
            </w:pPr>
            <w:r w:rsidRPr="00634E4C">
              <w:rPr>
                <w:rFonts w:asciiTheme="majorHAnsi" w:hAnsiTheme="majorHAnsi"/>
                <w:b/>
                <w:sz w:val="18"/>
              </w:rPr>
              <w:t>25</w:t>
            </w:r>
            <w:r w:rsidRPr="005D0955">
              <w:rPr>
                <w:rFonts w:ascii="Calibri" w:hAnsi="Calibri" w:cs="Calibri"/>
                <w:b/>
                <w:sz w:val="18"/>
                <w:szCs w:val="18"/>
              </w:rPr>
              <w:t> </w:t>
            </w:r>
            <w:r w:rsidRPr="00634E4C">
              <w:rPr>
                <w:rFonts w:asciiTheme="majorHAnsi" w:hAnsiTheme="majorHAnsi"/>
                <w:b/>
                <w:sz w:val="18"/>
              </w:rPr>
              <w:t>914</w:t>
            </w:r>
          </w:p>
        </w:tc>
      </w:tr>
    </w:tbl>
    <w:p w14:paraId="60DCF325" w14:textId="77777777" w:rsidR="00CB5305" w:rsidRDefault="00CB5305" w:rsidP="00CB5305"/>
    <w:p w14:paraId="13CCAB28" w14:textId="77777777" w:rsidR="008513BF" w:rsidRDefault="008513BF" w:rsidP="008513BF">
      <w:pPr>
        <w:pStyle w:val="Caption"/>
      </w:pPr>
      <w:bookmarkStart w:id="561" w:name="_Toc123916520"/>
      <w:r>
        <w:t xml:space="preserve">Tableau </w:t>
      </w:r>
      <w:fldSimple w:instr=" SEQ Tableau \* ARABIC ">
        <w:r w:rsidR="00AB51D9">
          <w:rPr>
            <w:noProof/>
          </w:rPr>
          <w:t>28</w:t>
        </w:r>
      </w:fldSimple>
      <w:r>
        <w:t xml:space="preserve"> : </w:t>
      </w:r>
      <w:r w:rsidR="00CB5305" w:rsidRPr="00637624">
        <w:t xml:space="preserve">Projections d’émissions de </w:t>
      </w:r>
      <w:r w:rsidR="00F80CAB" w:rsidRPr="00141043">
        <w:t>N</w:t>
      </w:r>
      <w:r w:rsidR="00F80CAB" w:rsidRPr="004F1EC8">
        <w:rPr>
          <w:vertAlign w:val="subscript"/>
        </w:rPr>
        <w:t>2</w:t>
      </w:r>
      <w:r w:rsidR="00F80CAB" w:rsidRPr="00141043">
        <w:t>O</w:t>
      </w:r>
      <w:r w:rsidR="00F80CAB">
        <w:t xml:space="preserve"> </w:t>
      </w:r>
      <w:r w:rsidR="00CB5305" w:rsidRPr="00637624">
        <w:t xml:space="preserve">(en </w:t>
      </w:r>
      <w:r w:rsidR="00CB5305" w:rsidRPr="00590551">
        <w:t>kt</w:t>
      </w:r>
      <w:r w:rsidR="007F09F7">
        <w:t>CO</w:t>
      </w:r>
      <w:r w:rsidR="007F09F7" w:rsidRPr="007F09F7">
        <w:rPr>
          <w:vertAlign w:val="subscript"/>
        </w:rPr>
        <w:t>2</w:t>
      </w:r>
      <w:r w:rsidR="00CB5305" w:rsidRPr="00637624">
        <w:rPr>
          <w:vertAlign w:val="subscript"/>
        </w:rPr>
        <w:t>e</w:t>
      </w:r>
      <w:r w:rsidR="00CB5305" w:rsidRPr="00637624">
        <w:t xml:space="preserve">) au périmètre Kyoto dans le scénario </w:t>
      </w:r>
      <w:r w:rsidR="00CB5305">
        <w:t xml:space="preserve">AMS 2018 </w:t>
      </w:r>
      <w:r w:rsidR="00CB5305" w:rsidRPr="00637624">
        <w:t xml:space="preserve">(avec mesures </w:t>
      </w:r>
      <w:r w:rsidR="00CB5305">
        <w:t>supplémentaires</w:t>
      </w:r>
      <w:r w:rsidR="00CB5305" w:rsidRPr="00637624">
        <w:t>)</w:t>
      </w:r>
      <w:bookmarkEnd w:id="561"/>
    </w:p>
    <w:p w14:paraId="3A835A96" w14:textId="129CBDA5" w:rsidR="00CB5305" w:rsidRPr="006E15FD" w:rsidRDefault="00CB5305" w:rsidP="008513BF">
      <w:pPr>
        <w:pStyle w:val="Caption"/>
      </w:pPr>
      <w:r w:rsidRPr="006E15FD">
        <w:t xml:space="preserve">Source : Inventaire CCNUCC, Citepa/MTE, soumission </w:t>
      </w:r>
      <w:r w:rsidR="00281D48">
        <w:t>2022</w:t>
      </w:r>
      <w:r w:rsidR="00281D48" w:rsidRPr="006E15FD">
        <w:t xml:space="preserve"> </w:t>
      </w:r>
      <w:r w:rsidRPr="006E15FD">
        <w:t>et projections d’émissions MTE, 20</w:t>
      </w:r>
      <w:r>
        <w:t>18</w:t>
      </w:r>
    </w:p>
    <w:p w14:paraId="44F0EDA0" w14:textId="77777777" w:rsidR="00281D48" w:rsidRPr="00364545" w:rsidRDefault="00281D48" w:rsidP="00281D48"/>
    <w:tbl>
      <w:tblPr>
        <w:tblStyle w:val="TableGrid0"/>
        <w:tblW w:w="9934" w:type="dxa"/>
        <w:tblInd w:w="10" w:type="dxa"/>
        <w:tblCellMar>
          <w:top w:w="39" w:type="dxa"/>
          <w:left w:w="28" w:type="dxa"/>
          <w:bottom w:w="2" w:type="dxa"/>
        </w:tblCellMar>
        <w:tblLook w:val="04A0" w:firstRow="1" w:lastRow="0" w:firstColumn="1" w:lastColumn="0" w:noHBand="0" w:noVBand="1"/>
      </w:tblPr>
      <w:tblGrid>
        <w:gridCol w:w="1323"/>
        <w:gridCol w:w="724"/>
        <w:gridCol w:w="713"/>
        <w:gridCol w:w="718"/>
        <w:gridCol w:w="740"/>
        <w:gridCol w:w="740"/>
        <w:gridCol w:w="736"/>
        <w:gridCol w:w="622"/>
        <w:gridCol w:w="735"/>
        <w:gridCol w:w="723"/>
        <w:gridCol w:w="718"/>
        <w:gridCol w:w="723"/>
        <w:gridCol w:w="719"/>
      </w:tblGrid>
      <w:tr w:rsidR="00281D48" w:rsidRPr="00364545" w14:paraId="77B6F80B" w14:textId="77777777" w:rsidTr="009F2D1E">
        <w:trPr>
          <w:trHeight w:val="402"/>
        </w:trPr>
        <w:tc>
          <w:tcPr>
            <w:tcW w:w="1323" w:type="dxa"/>
            <w:tcBorders>
              <w:top w:val="single" w:sz="2" w:space="0" w:color="000000"/>
              <w:left w:val="single" w:sz="2" w:space="0" w:color="000000"/>
              <w:bottom w:val="single" w:sz="2" w:space="0" w:color="000000"/>
              <w:right w:val="single" w:sz="2" w:space="0" w:color="000000"/>
            </w:tcBorders>
            <w:shd w:val="clear" w:color="auto" w:fill="6D2A78"/>
          </w:tcPr>
          <w:p w14:paraId="69D8EA01" w14:textId="77777777" w:rsidR="00281D48" w:rsidRPr="00364545" w:rsidRDefault="00281D48" w:rsidP="009F2D1E">
            <w:pPr>
              <w:spacing w:line="259" w:lineRule="auto"/>
            </w:pPr>
            <w:r w:rsidRPr="00364545">
              <w:t>AMS 18 - HFC</w:t>
            </w:r>
          </w:p>
        </w:tc>
        <w:tc>
          <w:tcPr>
            <w:tcW w:w="724"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1960679" w14:textId="77777777" w:rsidR="00281D48" w:rsidRPr="00364545" w:rsidRDefault="00281D48" w:rsidP="009F2D1E">
            <w:pPr>
              <w:spacing w:line="259" w:lineRule="auto"/>
              <w:ind w:right="30"/>
              <w:jc w:val="center"/>
            </w:pPr>
            <w:r w:rsidRPr="00364545">
              <w:rPr>
                <w:b/>
                <w:color w:val="FFFFFF"/>
                <w:sz w:val="18"/>
              </w:rPr>
              <w:t>1990</w:t>
            </w:r>
          </w:p>
        </w:tc>
        <w:tc>
          <w:tcPr>
            <w:tcW w:w="71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3832F31" w14:textId="77777777" w:rsidR="00281D48" w:rsidRPr="00364545" w:rsidRDefault="00281D48" w:rsidP="009F2D1E">
            <w:pPr>
              <w:spacing w:line="259" w:lineRule="auto"/>
              <w:ind w:right="27"/>
              <w:jc w:val="center"/>
              <w:rPr>
                <w:b/>
                <w:color w:val="FFFFFF"/>
                <w:sz w:val="18"/>
              </w:rPr>
            </w:pPr>
            <w:r w:rsidRPr="00364545">
              <w:rPr>
                <w:b/>
                <w:color w:val="FFFFFF"/>
                <w:sz w:val="18"/>
              </w:rPr>
              <w:t>1995</w:t>
            </w:r>
          </w:p>
        </w:tc>
        <w:tc>
          <w:tcPr>
            <w:tcW w:w="71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AB63F78" w14:textId="77777777" w:rsidR="00281D48" w:rsidRPr="00364545" w:rsidRDefault="00281D48" w:rsidP="009F2D1E">
            <w:pPr>
              <w:spacing w:line="259" w:lineRule="auto"/>
              <w:ind w:right="27"/>
              <w:jc w:val="center"/>
            </w:pPr>
            <w:r w:rsidRPr="00364545">
              <w:rPr>
                <w:b/>
                <w:color w:val="FFFFFF"/>
                <w:sz w:val="18"/>
              </w:rPr>
              <w:t>2000</w:t>
            </w:r>
          </w:p>
        </w:tc>
        <w:tc>
          <w:tcPr>
            <w:tcW w:w="74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CADC22C" w14:textId="77777777" w:rsidR="00281D48" w:rsidRPr="00364545" w:rsidRDefault="00281D48" w:rsidP="009F2D1E">
            <w:pPr>
              <w:spacing w:line="259" w:lineRule="auto"/>
              <w:ind w:right="30"/>
              <w:jc w:val="center"/>
            </w:pPr>
            <w:r w:rsidRPr="00364545">
              <w:rPr>
                <w:b/>
                <w:color w:val="FFFFFF"/>
                <w:sz w:val="18"/>
              </w:rPr>
              <w:t>2005</w:t>
            </w:r>
          </w:p>
        </w:tc>
        <w:tc>
          <w:tcPr>
            <w:tcW w:w="740"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0FEFB2F" w14:textId="77777777" w:rsidR="00281D48" w:rsidRPr="00364545" w:rsidRDefault="00281D48" w:rsidP="009F2D1E">
            <w:pPr>
              <w:spacing w:line="259" w:lineRule="auto"/>
              <w:ind w:right="27"/>
              <w:jc w:val="center"/>
            </w:pPr>
            <w:r w:rsidRPr="00364545">
              <w:rPr>
                <w:b/>
                <w:color w:val="FFFFFF"/>
                <w:sz w:val="18"/>
              </w:rPr>
              <w:t>2010</w:t>
            </w:r>
          </w:p>
        </w:tc>
        <w:tc>
          <w:tcPr>
            <w:tcW w:w="736"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0F714D1" w14:textId="77777777" w:rsidR="00281D48" w:rsidRPr="00364545" w:rsidRDefault="00281D48" w:rsidP="009F2D1E">
            <w:pPr>
              <w:spacing w:line="259" w:lineRule="auto"/>
              <w:ind w:right="30"/>
              <w:jc w:val="center"/>
            </w:pPr>
            <w:r w:rsidRPr="00364545">
              <w:rPr>
                <w:b/>
                <w:color w:val="FFFFFF"/>
                <w:sz w:val="18"/>
              </w:rPr>
              <w:t>2015</w:t>
            </w:r>
          </w:p>
        </w:tc>
        <w:tc>
          <w:tcPr>
            <w:tcW w:w="622"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71E64820" w14:textId="77777777" w:rsidR="00281D48" w:rsidRPr="00364545" w:rsidRDefault="00281D48" w:rsidP="009F2D1E">
            <w:pPr>
              <w:spacing w:line="259" w:lineRule="auto"/>
              <w:ind w:right="27"/>
              <w:jc w:val="center"/>
              <w:rPr>
                <w:b/>
                <w:color w:val="FFFFFF"/>
                <w:sz w:val="18"/>
              </w:rPr>
            </w:pPr>
            <w:r>
              <w:rPr>
                <w:b/>
                <w:color w:val="FFFFFF"/>
                <w:sz w:val="18"/>
              </w:rPr>
              <w:t>2019</w:t>
            </w:r>
          </w:p>
        </w:tc>
        <w:tc>
          <w:tcPr>
            <w:tcW w:w="735"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A69E84A" w14:textId="77777777" w:rsidR="00281D48" w:rsidRPr="00364545" w:rsidRDefault="00281D48" w:rsidP="009F2D1E">
            <w:pPr>
              <w:spacing w:line="259" w:lineRule="auto"/>
              <w:ind w:right="27"/>
              <w:jc w:val="center"/>
            </w:pPr>
            <w:r w:rsidRPr="00364545">
              <w:rPr>
                <w:b/>
                <w:color w:val="FFFFFF"/>
                <w:sz w:val="18"/>
              </w:rPr>
              <w:t>2020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3C0131AE" w14:textId="77777777" w:rsidR="00281D48" w:rsidRPr="00364545" w:rsidRDefault="00281D48" w:rsidP="009F2D1E">
            <w:pPr>
              <w:spacing w:line="259" w:lineRule="auto"/>
              <w:ind w:right="30"/>
              <w:jc w:val="center"/>
            </w:pPr>
            <w:r w:rsidRPr="00364545">
              <w:rPr>
                <w:b/>
                <w:color w:val="FFFFFF"/>
                <w:sz w:val="18"/>
              </w:rPr>
              <w:t>2025</w:t>
            </w:r>
          </w:p>
        </w:tc>
        <w:tc>
          <w:tcPr>
            <w:tcW w:w="718"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14DBAF0A" w14:textId="77777777" w:rsidR="00281D48" w:rsidRPr="00364545" w:rsidRDefault="00281D48" w:rsidP="009F2D1E">
            <w:pPr>
              <w:spacing w:line="259" w:lineRule="auto"/>
              <w:ind w:right="27"/>
              <w:jc w:val="center"/>
            </w:pPr>
            <w:r w:rsidRPr="00364545">
              <w:rPr>
                <w:b/>
                <w:color w:val="FFFFFF"/>
                <w:sz w:val="18"/>
              </w:rPr>
              <w:t>2030</w:t>
            </w:r>
          </w:p>
        </w:tc>
        <w:tc>
          <w:tcPr>
            <w:tcW w:w="723"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4AD6C968" w14:textId="77777777" w:rsidR="00281D48" w:rsidRPr="00364545" w:rsidRDefault="00281D48" w:rsidP="009F2D1E">
            <w:pPr>
              <w:spacing w:line="259" w:lineRule="auto"/>
              <w:ind w:right="28"/>
              <w:jc w:val="center"/>
            </w:pPr>
            <w:r w:rsidRPr="00364545">
              <w:rPr>
                <w:b/>
                <w:color w:val="FFFFFF"/>
                <w:sz w:val="18"/>
              </w:rPr>
              <w:t>2035</w:t>
            </w:r>
          </w:p>
        </w:tc>
        <w:tc>
          <w:tcPr>
            <w:tcW w:w="719" w:type="dxa"/>
            <w:tcBorders>
              <w:top w:val="single" w:sz="2" w:space="0" w:color="000000"/>
              <w:left w:val="single" w:sz="2" w:space="0" w:color="000000"/>
              <w:bottom w:val="single" w:sz="2" w:space="0" w:color="000000"/>
              <w:right w:val="single" w:sz="2" w:space="0" w:color="000000"/>
            </w:tcBorders>
            <w:shd w:val="clear" w:color="auto" w:fill="6D2A78"/>
            <w:vAlign w:val="center"/>
          </w:tcPr>
          <w:p w14:paraId="2CF96C28" w14:textId="77777777" w:rsidR="00281D48" w:rsidRPr="00364545" w:rsidRDefault="00281D48" w:rsidP="009F2D1E">
            <w:pPr>
              <w:spacing w:line="259" w:lineRule="auto"/>
              <w:ind w:right="28"/>
              <w:jc w:val="center"/>
              <w:rPr>
                <w:b/>
                <w:color w:val="FFFFFF"/>
                <w:sz w:val="18"/>
              </w:rPr>
            </w:pPr>
            <w:r w:rsidRPr="00364545">
              <w:rPr>
                <w:b/>
                <w:color w:val="FFFFFF"/>
                <w:sz w:val="18"/>
              </w:rPr>
              <w:t>2050</w:t>
            </w:r>
          </w:p>
        </w:tc>
      </w:tr>
      <w:tr w:rsidR="00281D48" w:rsidRPr="00364545" w14:paraId="2541FAFC" w14:textId="77777777" w:rsidTr="009F2D1E">
        <w:trPr>
          <w:trHeight w:val="344"/>
        </w:trPr>
        <w:tc>
          <w:tcPr>
            <w:tcW w:w="1323" w:type="dxa"/>
            <w:tcBorders>
              <w:top w:val="single" w:sz="2" w:space="0" w:color="000000"/>
              <w:left w:val="single" w:sz="2" w:space="0" w:color="000000"/>
              <w:bottom w:val="single" w:sz="2" w:space="0" w:color="000000"/>
              <w:right w:val="single" w:sz="2" w:space="0" w:color="000000"/>
            </w:tcBorders>
          </w:tcPr>
          <w:p w14:paraId="4156C312" w14:textId="13380F23" w:rsidR="00281D48" w:rsidRPr="00364545" w:rsidRDefault="00281D48" w:rsidP="00281D48">
            <w:pPr>
              <w:spacing w:line="259" w:lineRule="auto"/>
            </w:pPr>
            <w:r>
              <w:rPr>
                <w:sz w:val="18"/>
              </w:rPr>
              <w:t xml:space="preserve">Energie </w:t>
            </w:r>
          </w:p>
        </w:tc>
        <w:tc>
          <w:tcPr>
            <w:tcW w:w="724" w:type="dxa"/>
            <w:tcBorders>
              <w:top w:val="single" w:sz="2" w:space="0" w:color="000000"/>
              <w:left w:val="single" w:sz="2" w:space="0" w:color="000000"/>
              <w:bottom w:val="single" w:sz="2" w:space="0" w:color="000000"/>
              <w:right w:val="single" w:sz="2" w:space="0" w:color="000000"/>
            </w:tcBorders>
            <w:vAlign w:val="center"/>
          </w:tcPr>
          <w:p w14:paraId="388653CB"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14496CD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5FE027C6"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3562CA52"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29F87B24"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3C98D544"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4E3A6C97"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3264C35C"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5EA7667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57135027"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1AF6CF59"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097D4162" w14:textId="77777777" w:rsidR="00281D48" w:rsidRPr="005D0955" w:rsidRDefault="00281D48" w:rsidP="00281D48">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281D48" w:rsidRPr="00364545" w14:paraId="7057603F" w14:textId="77777777" w:rsidTr="009F2D1E">
        <w:trPr>
          <w:trHeight w:val="419"/>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6F4659BB" w14:textId="46930F5A" w:rsidR="00281D48" w:rsidRPr="00364545" w:rsidRDefault="00281D48" w:rsidP="00281D48">
            <w:pPr>
              <w:spacing w:line="259" w:lineRule="auto"/>
            </w:pPr>
            <w:r>
              <w:rPr>
                <w:sz w:val="18"/>
              </w:rPr>
              <w:t xml:space="preserve">Procédés industriels, solvants et autres produits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ED4002"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BD8E47"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30815E1"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3C3BA5"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C8F9CA"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E2393D9" w14:textId="77777777" w:rsidR="00281D48" w:rsidRPr="00634E4C" w:rsidRDefault="00281D48" w:rsidP="00281D48">
            <w:pPr>
              <w:spacing w:line="259" w:lineRule="auto"/>
              <w:ind w:right="29"/>
              <w:jc w:val="center"/>
              <w:rPr>
                <w:rFonts w:asciiTheme="majorHAnsi" w:hAnsiTheme="majorHAnsi"/>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EBC106" w14:textId="77777777" w:rsidR="00281D48" w:rsidRPr="005D0955" w:rsidRDefault="00281D48" w:rsidP="00281D48">
            <w:pPr>
              <w:spacing w:line="259" w:lineRule="auto"/>
              <w:ind w:right="29"/>
              <w:jc w:val="center"/>
              <w:rPr>
                <w:rFonts w:asciiTheme="majorHAnsi" w:hAnsiTheme="majorHAnsi"/>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058F12C"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14</w:t>
            </w:r>
            <w:r w:rsidRPr="005D0955">
              <w:rPr>
                <w:rFonts w:ascii="Calibri" w:hAnsi="Calibri" w:cs="Calibri"/>
                <w:sz w:val="18"/>
                <w:szCs w:val="18"/>
              </w:rPr>
              <w:t> </w:t>
            </w:r>
            <w:r w:rsidRPr="00634E4C">
              <w:rPr>
                <w:rFonts w:asciiTheme="majorHAnsi" w:hAnsiTheme="majorHAnsi"/>
                <w:sz w:val="18"/>
              </w:rPr>
              <w:t>731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F2917B2"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7</w:t>
            </w:r>
            <w:r w:rsidRPr="005D0955">
              <w:rPr>
                <w:rFonts w:ascii="Calibri" w:hAnsi="Calibri" w:cs="Calibri"/>
                <w:sz w:val="18"/>
                <w:szCs w:val="18"/>
              </w:rPr>
              <w:t> </w:t>
            </w:r>
            <w:r w:rsidRPr="00634E4C">
              <w:rPr>
                <w:rFonts w:asciiTheme="majorHAnsi" w:hAnsiTheme="majorHAnsi"/>
                <w:sz w:val="18"/>
              </w:rPr>
              <w:t>995</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7F0B63"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5</w:t>
            </w:r>
            <w:r w:rsidRPr="005D0955">
              <w:rPr>
                <w:rFonts w:ascii="Calibri" w:hAnsi="Calibri" w:cs="Calibri"/>
                <w:sz w:val="18"/>
                <w:szCs w:val="18"/>
              </w:rPr>
              <w:t> </w:t>
            </w:r>
            <w:r w:rsidRPr="00634E4C">
              <w:rPr>
                <w:rFonts w:asciiTheme="majorHAnsi" w:hAnsiTheme="majorHAnsi"/>
                <w:sz w:val="18"/>
              </w:rPr>
              <w:t>241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E4BB65"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4</w:t>
            </w:r>
            <w:r w:rsidRPr="005D0955">
              <w:rPr>
                <w:rFonts w:ascii="Calibri" w:hAnsi="Calibri" w:cs="Calibri"/>
                <w:sz w:val="18"/>
                <w:szCs w:val="18"/>
              </w:rPr>
              <w:t> </w:t>
            </w:r>
            <w:r w:rsidRPr="00634E4C">
              <w:rPr>
                <w:rFonts w:asciiTheme="majorHAnsi" w:hAnsiTheme="majorHAnsi"/>
                <w:sz w:val="18"/>
              </w:rPr>
              <w:t>458</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BF5D0C9"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2</w:t>
            </w:r>
            <w:r w:rsidRPr="005D0955">
              <w:rPr>
                <w:rFonts w:ascii="Calibri" w:hAnsi="Calibri" w:cs="Calibri"/>
                <w:sz w:val="18"/>
                <w:szCs w:val="18"/>
              </w:rPr>
              <w:t> </w:t>
            </w:r>
            <w:r w:rsidRPr="00634E4C">
              <w:rPr>
                <w:rFonts w:asciiTheme="majorHAnsi" w:hAnsiTheme="majorHAnsi"/>
                <w:sz w:val="18"/>
              </w:rPr>
              <w:t>109</w:t>
            </w:r>
          </w:p>
        </w:tc>
      </w:tr>
      <w:tr w:rsidR="00281D48" w:rsidRPr="00364545" w14:paraId="73418EF6" w14:textId="77777777" w:rsidTr="009F2D1E">
        <w:trPr>
          <w:trHeight w:val="347"/>
        </w:trPr>
        <w:tc>
          <w:tcPr>
            <w:tcW w:w="1323" w:type="dxa"/>
            <w:tcBorders>
              <w:top w:val="single" w:sz="2" w:space="0" w:color="000000"/>
              <w:left w:val="single" w:sz="2" w:space="0" w:color="000000"/>
              <w:bottom w:val="single" w:sz="2" w:space="0" w:color="000000"/>
              <w:right w:val="single" w:sz="2" w:space="0" w:color="000000"/>
            </w:tcBorders>
          </w:tcPr>
          <w:p w14:paraId="631437B0" w14:textId="07906F00" w:rsidR="00281D48" w:rsidRPr="00364545" w:rsidRDefault="00281D48" w:rsidP="00281D48">
            <w:pPr>
              <w:spacing w:line="259" w:lineRule="auto"/>
            </w:pPr>
            <w:r>
              <w:rPr>
                <w:sz w:val="18"/>
              </w:rPr>
              <w:t xml:space="preserve">Agriculture (hors énergie) </w:t>
            </w:r>
          </w:p>
        </w:tc>
        <w:tc>
          <w:tcPr>
            <w:tcW w:w="724" w:type="dxa"/>
            <w:tcBorders>
              <w:top w:val="single" w:sz="2" w:space="0" w:color="000000"/>
              <w:left w:val="single" w:sz="2" w:space="0" w:color="000000"/>
              <w:bottom w:val="single" w:sz="2" w:space="0" w:color="000000"/>
              <w:right w:val="single" w:sz="2" w:space="0" w:color="000000"/>
            </w:tcBorders>
            <w:vAlign w:val="center"/>
          </w:tcPr>
          <w:p w14:paraId="19A93CDF"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0C90FA0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30D3945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3FED9163"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17EF5204"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532A2F21"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145EF05D"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1937DE6E"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0F5CCFBF"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769A852F"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20F4622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5A651773" w14:textId="77777777" w:rsidR="00281D48" w:rsidRPr="005D0955" w:rsidRDefault="00281D48" w:rsidP="00281D48">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281D48" w:rsidRPr="00364545" w14:paraId="2631DC1F" w14:textId="77777777" w:rsidTr="009F2D1E">
        <w:trPr>
          <w:trHeight w:val="342"/>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35165AB2" w14:textId="33271953" w:rsidR="00281D48" w:rsidRPr="00364545" w:rsidRDefault="00281D48" w:rsidP="00281D48">
            <w:pPr>
              <w:spacing w:line="259" w:lineRule="auto"/>
            </w:pPr>
            <w:r>
              <w:rPr>
                <w:sz w:val="18"/>
              </w:rPr>
              <w:t xml:space="preserve">UTCF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5A224B9"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867A0AE"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8BF407"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61D6897"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423D9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5420122"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32341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1044B4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CC92AEE"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C80A628"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73212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CAA53D" w14:textId="77777777" w:rsidR="00281D48" w:rsidRPr="005D0955" w:rsidRDefault="00281D48" w:rsidP="00281D48">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281D48" w:rsidRPr="00364545" w14:paraId="6CDEA31F" w14:textId="77777777" w:rsidTr="009F2D1E">
        <w:trPr>
          <w:trHeight w:val="347"/>
        </w:trPr>
        <w:tc>
          <w:tcPr>
            <w:tcW w:w="1323" w:type="dxa"/>
            <w:tcBorders>
              <w:top w:val="single" w:sz="2" w:space="0" w:color="000000"/>
              <w:left w:val="single" w:sz="2" w:space="0" w:color="000000"/>
              <w:bottom w:val="single" w:sz="2" w:space="0" w:color="000000"/>
              <w:right w:val="single" w:sz="2" w:space="0" w:color="000000"/>
            </w:tcBorders>
          </w:tcPr>
          <w:p w14:paraId="61D64543" w14:textId="5ED3B0D0" w:rsidR="00281D48" w:rsidRPr="00364545" w:rsidRDefault="00281D48" w:rsidP="00281D48">
            <w:pPr>
              <w:spacing w:line="259" w:lineRule="auto"/>
            </w:pPr>
            <w:r>
              <w:rPr>
                <w:sz w:val="18"/>
              </w:rPr>
              <w:t xml:space="preserve">Déchets </w:t>
            </w:r>
          </w:p>
        </w:tc>
        <w:tc>
          <w:tcPr>
            <w:tcW w:w="724" w:type="dxa"/>
            <w:tcBorders>
              <w:top w:val="single" w:sz="2" w:space="0" w:color="000000"/>
              <w:left w:val="single" w:sz="2" w:space="0" w:color="000000"/>
              <w:bottom w:val="single" w:sz="2" w:space="0" w:color="000000"/>
              <w:right w:val="single" w:sz="2" w:space="0" w:color="000000"/>
            </w:tcBorders>
            <w:vAlign w:val="center"/>
          </w:tcPr>
          <w:p w14:paraId="742BF76D"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3" w:type="dxa"/>
            <w:tcBorders>
              <w:top w:val="single" w:sz="2" w:space="0" w:color="000000"/>
              <w:left w:val="single" w:sz="2" w:space="0" w:color="000000"/>
              <w:bottom w:val="single" w:sz="2" w:space="0" w:color="000000"/>
              <w:right w:val="single" w:sz="2" w:space="0" w:color="000000"/>
            </w:tcBorders>
            <w:vAlign w:val="center"/>
          </w:tcPr>
          <w:p w14:paraId="55BFF381"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3FED6CB6"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12705B96"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40" w:type="dxa"/>
            <w:tcBorders>
              <w:top w:val="single" w:sz="2" w:space="0" w:color="000000"/>
              <w:left w:val="single" w:sz="2" w:space="0" w:color="000000"/>
              <w:bottom w:val="single" w:sz="2" w:space="0" w:color="000000"/>
              <w:right w:val="single" w:sz="2" w:space="0" w:color="000000"/>
            </w:tcBorders>
            <w:vAlign w:val="center"/>
          </w:tcPr>
          <w:p w14:paraId="7B763852"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6" w:type="dxa"/>
            <w:tcBorders>
              <w:top w:val="single" w:sz="2" w:space="0" w:color="000000"/>
              <w:left w:val="single" w:sz="2" w:space="0" w:color="000000"/>
              <w:bottom w:val="single" w:sz="2" w:space="0" w:color="000000"/>
              <w:right w:val="single" w:sz="2" w:space="0" w:color="000000"/>
            </w:tcBorders>
            <w:vAlign w:val="center"/>
          </w:tcPr>
          <w:p w14:paraId="015B8FC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30A7DE5F"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35" w:type="dxa"/>
            <w:tcBorders>
              <w:top w:val="single" w:sz="2" w:space="0" w:color="000000"/>
              <w:left w:val="single" w:sz="2" w:space="0" w:color="000000"/>
              <w:bottom w:val="single" w:sz="2" w:space="0" w:color="000000"/>
              <w:right w:val="single" w:sz="2" w:space="0" w:color="000000"/>
            </w:tcBorders>
            <w:vAlign w:val="center"/>
          </w:tcPr>
          <w:p w14:paraId="330ABFE0"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E6FBFCA"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8" w:type="dxa"/>
            <w:tcBorders>
              <w:top w:val="single" w:sz="2" w:space="0" w:color="000000"/>
              <w:left w:val="single" w:sz="2" w:space="0" w:color="000000"/>
              <w:bottom w:val="single" w:sz="2" w:space="0" w:color="000000"/>
              <w:right w:val="single" w:sz="2" w:space="0" w:color="000000"/>
            </w:tcBorders>
            <w:vAlign w:val="center"/>
          </w:tcPr>
          <w:p w14:paraId="601D8E8C"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68F27111" w14:textId="77777777" w:rsidR="00281D48" w:rsidRPr="00634E4C" w:rsidRDefault="00281D48" w:rsidP="00281D48">
            <w:pPr>
              <w:spacing w:line="259" w:lineRule="auto"/>
              <w:ind w:right="29"/>
              <w:jc w:val="center"/>
              <w:rPr>
                <w:rFonts w:asciiTheme="majorHAnsi" w:hAnsiTheme="majorHAnsi"/>
                <w:sz w:val="18"/>
              </w:rPr>
            </w:pPr>
            <w:r w:rsidRPr="00634E4C">
              <w:rPr>
                <w:rFonts w:asciiTheme="majorHAnsi" w:hAnsiTheme="majorHAnsi"/>
                <w:sz w:val="18"/>
              </w:rPr>
              <w:t>0</w:t>
            </w:r>
          </w:p>
        </w:tc>
        <w:tc>
          <w:tcPr>
            <w:tcW w:w="719" w:type="dxa"/>
            <w:tcBorders>
              <w:top w:val="single" w:sz="2" w:space="0" w:color="000000"/>
              <w:left w:val="single" w:sz="2" w:space="0" w:color="000000"/>
              <w:bottom w:val="single" w:sz="2" w:space="0" w:color="000000"/>
              <w:right w:val="single" w:sz="2" w:space="0" w:color="000000"/>
            </w:tcBorders>
            <w:vAlign w:val="center"/>
          </w:tcPr>
          <w:p w14:paraId="37E87BB5" w14:textId="77777777" w:rsidR="00281D48" w:rsidRPr="005D0955" w:rsidRDefault="00281D48" w:rsidP="00281D48">
            <w:pPr>
              <w:spacing w:line="259" w:lineRule="auto"/>
              <w:ind w:right="29"/>
              <w:jc w:val="center"/>
              <w:rPr>
                <w:rFonts w:asciiTheme="majorHAnsi" w:hAnsiTheme="majorHAnsi"/>
                <w:sz w:val="18"/>
                <w:szCs w:val="18"/>
              </w:rPr>
            </w:pPr>
            <w:r w:rsidRPr="005D0955">
              <w:rPr>
                <w:rFonts w:asciiTheme="majorHAnsi" w:hAnsiTheme="majorHAnsi"/>
                <w:sz w:val="18"/>
                <w:szCs w:val="18"/>
              </w:rPr>
              <w:t>0</w:t>
            </w:r>
          </w:p>
        </w:tc>
      </w:tr>
      <w:tr w:rsidR="00281D48" w:rsidRPr="00364545" w14:paraId="27E2873E" w14:textId="77777777" w:rsidTr="009F2D1E">
        <w:trPr>
          <w:trHeight w:val="344"/>
        </w:trPr>
        <w:tc>
          <w:tcPr>
            <w:tcW w:w="1323" w:type="dxa"/>
            <w:tcBorders>
              <w:top w:val="single" w:sz="2" w:space="0" w:color="000000"/>
              <w:left w:val="single" w:sz="2" w:space="0" w:color="000000"/>
              <w:bottom w:val="single" w:sz="2" w:space="0" w:color="000000"/>
              <w:right w:val="single" w:sz="2" w:space="0" w:color="000000"/>
            </w:tcBorders>
            <w:shd w:val="clear" w:color="auto" w:fill="ECE6E2"/>
          </w:tcPr>
          <w:p w14:paraId="3424CA55" w14:textId="0FA1463B" w:rsidR="00281D48" w:rsidRPr="00364545" w:rsidRDefault="00281D48" w:rsidP="00281D48">
            <w:pPr>
              <w:spacing w:line="259" w:lineRule="auto"/>
            </w:pPr>
            <w:r>
              <w:rPr>
                <w:b/>
                <w:sz w:val="18"/>
              </w:rPr>
              <w:t xml:space="preserve">Ensemble (hors UTCF) </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272F247"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C547A4"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5A1AC0"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C0FCC2"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EAD837A"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199D9D4"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46732E" w14:textId="77777777" w:rsidR="00281D48" w:rsidRPr="005D0955" w:rsidRDefault="00281D48" w:rsidP="00281D48">
            <w:pPr>
              <w:spacing w:line="259" w:lineRule="auto"/>
              <w:ind w:right="29"/>
              <w:jc w:val="center"/>
              <w:rPr>
                <w:rFonts w:asciiTheme="majorHAnsi" w:hAnsiTheme="majorHAnsi"/>
                <w:b/>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BD8B66"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14</w:t>
            </w:r>
            <w:r w:rsidRPr="005D0955">
              <w:rPr>
                <w:rFonts w:ascii="Calibri" w:hAnsi="Calibri" w:cs="Calibri"/>
                <w:b/>
                <w:sz w:val="18"/>
                <w:szCs w:val="18"/>
              </w:rPr>
              <w:t> </w:t>
            </w:r>
            <w:r w:rsidRPr="00634E4C">
              <w:rPr>
                <w:rFonts w:asciiTheme="majorHAnsi" w:hAnsiTheme="majorHAnsi"/>
                <w:b/>
                <w:sz w:val="18"/>
              </w:rPr>
              <w:t>731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D9979CE"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7</w:t>
            </w:r>
            <w:r w:rsidRPr="005D0955">
              <w:rPr>
                <w:rFonts w:ascii="Calibri" w:hAnsi="Calibri" w:cs="Calibri"/>
                <w:b/>
                <w:sz w:val="18"/>
                <w:szCs w:val="18"/>
              </w:rPr>
              <w:t> </w:t>
            </w:r>
            <w:r w:rsidRPr="00634E4C">
              <w:rPr>
                <w:rFonts w:asciiTheme="majorHAnsi" w:hAnsiTheme="majorHAnsi"/>
                <w:b/>
                <w:sz w:val="18"/>
              </w:rPr>
              <w:t>995</w:t>
            </w:r>
          </w:p>
        </w:tc>
        <w:tc>
          <w:tcPr>
            <w:tcW w:w="71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E2C50D"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5</w:t>
            </w:r>
            <w:r w:rsidRPr="005D0955">
              <w:rPr>
                <w:rFonts w:ascii="Calibri" w:hAnsi="Calibri" w:cs="Calibri"/>
                <w:b/>
                <w:sz w:val="18"/>
                <w:szCs w:val="18"/>
              </w:rPr>
              <w:t> </w:t>
            </w:r>
            <w:r w:rsidRPr="00634E4C">
              <w:rPr>
                <w:rFonts w:asciiTheme="majorHAnsi" w:hAnsiTheme="majorHAnsi"/>
                <w:b/>
                <w:sz w:val="18"/>
              </w:rPr>
              <w:t>241</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DAE6F2C"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4</w:t>
            </w:r>
            <w:r w:rsidRPr="005D0955">
              <w:rPr>
                <w:rFonts w:ascii="Calibri" w:hAnsi="Calibri" w:cs="Calibri"/>
                <w:b/>
                <w:sz w:val="18"/>
                <w:szCs w:val="18"/>
              </w:rPr>
              <w:t> </w:t>
            </w:r>
            <w:r w:rsidRPr="00634E4C">
              <w:rPr>
                <w:rFonts w:asciiTheme="majorHAnsi" w:hAnsiTheme="majorHAnsi"/>
                <w:b/>
                <w:sz w:val="18"/>
              </w:rPr>
              <w:t>458</w:t>
            </w:r>
          </w:p>
        </w:tc>
        <w:tc>
          <w:tcPr>
            <w:tcW w:w="719"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EBB097"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2</w:t>
            </w:r>
            <w:r w:rsidRPr="005D0955">
              <w:rPr>
                <w:rFonts w:ascii="Calibri" w:hAnsi="Calibri" w:cs="Calibri"/>
                <w:b/>
                <w:sz w:val="18"/>
                <w:szCs w:val="18"/>
              </w:rPr>
              <w:t> </w:t>
            </w:r>
            <w:r w:rsidRPr="00634E4C">
              <w:rPr>
                <w:rFonts w:asciiTheme="majorHAnsi" w:hAnsiTheme="majorHAnsi"/>
                <w:b/>
                <w:sz w:val="18"/>
              </w:rPr>
              <w:t>109</w:t>
            </w:r>
          </w:p>
        </w:tc>
      </w:tr>
      <w:tr w:rsidR="00281D48" w:rsidRPr="00364545" w14:paraId="16159856" w14:textId="77777777" w:rsidTr="009F2D1E">
        <w:trPr>
          <w:trHeight w:val="346"/>
        </w:trPr>
        <w:tc>
          <w:tcPr>
            <w:tcW w:w="1323" w:type="dxa"/>
            <w:tcBorders>
              <w:top w:val="single" w:sz="2" w:space="0" w:color="000000"/>
              <w:left w:val="single" w:sz="2" w:space="0" w:color="000000"/>
              <w:bottom w:val="single" w:sz="2" w:space="0" w:color="000000"/>
              <w:right w:val="single" w:sz="2" w:space="0" w:color="000000"/>
            </w:tcBorders>
          </w:tcPr>
          <w:p w14:paraId="386B2F10" w14:textId="374537DE" w:rsidR="00281D48" w:rsidRPr="00364545" w:rsidRDefault="00281D48" w:rsidP="00281D48">
            <w:pPr>
              <w:spacing w:line="259" w:lineRule="auto"/>
            </w:pPr>
            <w:r>
              <w:rPr>
                <w:b/>
                <w:sz w:val="18"/>
              </w:rPr>
              <w:t xml:space="preserve">Ensemble (avec UTCF) </w:t>
            </w:r>
          </w:p>
        </w:tc>
        <w:tc>
          <w:tcPr>
            <w:tcW w:w="724" w:type="dxa"/>
            <w:tcBorders>
              <w:top w:val="single" w:sz="2" w:space="0" w:color="000000"/>
              <w:left w:val="single" w:sz="2" w:space="0" w:color="000000"/>
              <w:bottom w:val="single" w:sz="2" w:space="0" w:color="000000"/>
              <w:right w:val="single" w:sz="2" w:space="0" w:color="000000"/>
            </w:tcBorders>
            <w:vAlign w:val="center"/>
          </w:tcPr>
          <w:p w14:paraId="02F954FA"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4402</w:t>
            </w:r>
          </w:p>
        </w:tc>
        <w:tc>
          <w:tcPr>
            <w:tcW w:w="713" w:type="dxa"/>
            <w:tcBorders>
              <w:top w:val="single" w:sz="2" w:space="0" w:color="000000"/>
              <w:left w:val="single" w:sz="2" w:space="0" w:color="000000"/>
              <w:bottom w:val="single" w:sz="2" w:space="0" w:color="000000"/>
              <w:right w:val="single" w:sz="2" w:space="0" w:color="000000"/>
            </w:tcBorders>
            <w:vAlign w:val="center"/>
          </w:tcPr>
          <w:p w14:paraId="323DBE55"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1702</w:t>
            </w:r>
          </w:p>
        </w:tc>
        <w:tc>
          <w:tcPr>
            <w:tcW w:w="718" w:type="dxa"/>
            <w:tcBorders>
              <w:top w:val="single" w:sz="2" w:space="0" w:color="000000"/>
              <w:left w:val="single" w:sz="2" w:space="0" w:color="000000"/>
              <w:bottom w:val="single" w:sz="2" w:space="0" w:color="000000"/>
              <w:right w:val="single" w:sz="2" w:space="0" w:color="000000"/>
            </w:tcBorders>
            <w:vAlign w:val="center"/>
          </w:tcPr>
          <w:p w14:paraId="05BB8F9D"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6736</w:t>
            </w:r>
          </w:p>
        </w:tc>
        <w:tc>
          <w:tcPr>
            <w:tcW w:w="740" w:type="dxa"/>
            <w:tcBorders>
              <w:top w:val="single" w:sz="2" w:space="0" w:color="000000"/>
              <w:left w:val="single" w:sz="2" w:space="0" w:color="000000"/>
              <w:bottom w:val="single" w:sz="2" w:space="0" w:color="000000"/>
              <w:right w:val="single" w:sz="2" w:space="0" w:color="000000"/>
            </w:tcBorders>
            <w:vAlign w:val="center"/>
          </w:tcPr>
          <w:p w14:paraId="07811E28"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12862</w:t>
            </w:r>
          </w:p>
        </w:tc>
        <w:tc>
          <w:tcPr>
            <w:tcW w:w="740" w:type="dxa"/>
            <w:tcBorders>
              <w:top w:val="single" w:sz="2" w:space="0" w:color="000000"/>
              <w:left w:val="single" w:sz="2" w:space="0" w:color="000000"/>
              <w:bottom w:val="single" w:sz="2" w:space="0" w:color="000000"/>
              <w:right w:val="single" w:sz="2" w:space="0" w:color="000000"/>
            </w:tcBorders>
            <w:vAlign w:val="center"/>
          </w:tcPr>
          <w:p w14:paraId="7F6E86C5"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16930</w:t>
            </w:r>
          </w:p>
        </w:tc>
        <w:tc>
          <w:tcPr>
            <w:tcW w:w="736" w:type="dxa"/>
            <w:tcBorders>
              <w:top w:val="single" w:sz="2" w:space="0" w:color="000000"/>
              <w:left w:val="single" w:sz="2" w:space="0" w:color="000000"/>
              <w:bottom w:val="single" w:sz="2" w:space="0" w:color="000000"/>
              <w:right w:val="single" w:sz="2" w:space="0" w:color="000000"/>
            </w:tcBorders>
            <w:vAlign w:val="center"/>
          </w:tcPr>
          <w:p w14:paraId="4E353425" w14:textId="77777777" w:rsidR="00281D48" w:rsidRPr="00634E4C" w:rsidRDefault="00281D48" w:rsidP="00281D48">
            <w:pPr>
              <w:spacing w:line="259" w:lineRule="auto"/>
              <w:ind w:right="29"/>
              <w:jc w:val="center"/>
              <w:rPr>
                <w:rFonts w:asciiTheme="majorHAnsi" w:hAnsiTheme="majorHAnsi"/>
                <w:b/>
                <w:sz w:val="18"/>
              </w:rPr>
            </w:pPr>
            <w:r w:rsidRPr="005D0955">
              <w:rPr>
                <w:rFonts w:asciiTheme="majorHAnsi" w:hAnsiTheme="majorHAnsi"/>
                <w:sz w:val="18"/>
                <w:szCs w:val="18"/>
              </w:rPr>
              <w:t>17494</w:t>
            </w:r>
          </w:p>
        </w:tc>
        <w:tc>
          <w:tcPr>
            <w:tcW w:w="622" w:type="dxa"/>
            <w:tcBorders>
              <w:top w:val="single" w:sz="2" w:space="0" w:color="000000"/>
              <w:left w:val="single" w:sz="2" w:space="0" w:color="000000"/>
              <w:bottom w:val="single" w:sz="2" w:space="0" w:color="000000"/>
              <w:right w:val="single" w:sz="2" w:space="0" w:color="000000"/>
            </w:tcBorders>
            <w:vAlign w:val="center"/>
          </w:tcPr>
          <w:p w14:paraId="6A1E3D97" w14:textId="77777777" w:rsidR="00281D48" w:rsidRPr="005D0955" w:rsidRDefault="00281D48" w:rsidP="00281D48">
            <w:pPr>
              <w:spacing w:line="259" w:lineRule="auto"/>
              <w:ind w:right="29"/>
              <w:jc w:val="center"/>
              <w:rPr>
                <w:rFonts w:asciiTheme="majorHAnsi" w:hAnsiTheme="majorHAnsi"/>
                <w:b/>
                <w:sz w:val="18"/>
                <w:szCs w:val="18"/>
              </w:rPr>
            </w:pPr>
            <w:r w:rsidRPr="005D0955">
              <w:rPr>
                <w:rFonts w:asciiTheme="majorHAnsi" w:hAnsiTheme="majorHAnsi"/>
                <w:sz w:val="18"/>
                <w:szCs w:val="18"/>
              </w:rPr>
              <w:t>12992</w:t>
            </w:r>
          </w:p>
        </w:tc>
        <w:tc>
          <w:tcPr>
            <w:tcW w:w="735" w:type="dxa"/>
            <w:tcBorders>
              <w:top w:val="single" w:sz="2" w:space="0" w:color="000000"/>
              <w:left w:val="single" w:sz="2" w:space="0" w:color="000000"/>
              <w:bottom w:val="single" w:sz="2" w:space="0" w:color="000000"/>
              <w:right w:val="single" w:sz="2" w:space="0" w:color="000000"/>
            </w:tcBorders>
            <w:vAlign w:val="center"/>
          </w:tcPr>
          <w:p w14:paraId="252DB501"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14</w:t>
            </w:r>
            <w:r w:rsidRPr="005D0955">
              <w:rPr>
                <w:rFonts w:ascii="Calibri" w:hAnsi="Calibri" w:cs="Calibri"/>
                <w:b/>
                <w:sz w:val="18"/>
                <w:szCs w:val="18"/>
              </w:rPr>
              <w:t> </w:t>
            </w:r>
            <w:r w:rsidRPr="00634E4C">
              <w:rPr>
                <w:rFonts w:asciiTheme="majorHAnsi" w:hAnsiTheme="majorHAnsi"/>
                <w:b/>
                <w:sz w:val="18"/>
              </w:rPr>
              <w:t>731</w:t>
            </w:r>
          </w:p>
        </w:tc>
        <w:tc>
          <w:tcPr>
            <w:tcW w:w="723" w:type="dxa"/>
            <w:tcBorders>
              <w:top w:val="single" w:sz="2" w:space="0" w:color="000000"/>
              <w:left w:val="single" w:sz="2" w:space="0" w:color="000000"/>
              <w:bottom w:val="single" w:sz="2" w:space="0" w:color="000000"/>
              <w:right w:val="single" w:sz="2" w:space="0" w:color="000000"/>
            </w:tcBorders>
            <w:vAlign w:val="center"/>
          </w:tcPr>
          <w:p w14:paraId="6585B776"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7</w:t>
            </w:r>
            <w:r w:rsidRPr="005D0955">
              <w:rPr>
                <w:rFonts w:ascii="Calibri" w:hAnsi="Calibri" w:cs="Calibri"/>
                <w:b/>
                <w:sz w:val="18"/>
                <w:szCs w:val="18"/>
              </w:rPr>
              <w:t> </w:t>
            </w:r>
            <w:r w:rsidRPr="00634E4C">
              <w:rPr>
                <w:rFonts w:asciiTheme="majorHAnsi" w:hAnsiTheme="majorHAnsi"/>
                <w:b/>
                <w:sz w:val="18"/>
              </w:rPr>
              <w:t>995</w:t>
            </w:r>
          </w:p>
        </w:tc>
        <w:tc>
          <w:tcPr>
            <w:tcW w:w="718" w:type="dxa"/>
            <w:tcBorders>
              <w:top w:val="single" w:sz="2" w:space="0" w:color="000000"/>
              <w:left w:val="single" w:sz="2" w:space="0" w:color="000000"/>
              <w:bottom w:val="single" w:sz="2" w:space="0" w:color="000000"/>
              <w:right w:val="single" w:sz="2" w:space="0" w:color="000000"/>
            </w:tcBorders>
            <w:vAlign w:val="center"/>
          </w:tcPr>
          <w:p w14:paraId="55DC0A60"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5</w:t>
            </w:r>
            <w:r w:rsidRPr="005D0955">
              <w:rPr>
                <w:rFonts w:ascii="Calibri" w:hAnsi="Calibri" w:cs="Calibri"/>
                <w:b/>
                <w:sz w:val="18"/>
                <w:szCs w:val="18"/>
              </w:rPr>
              <w:t> </w:t>
            </w:r>
            <w:r w:rsidRPr="00634E4C">
              <w:rPr>
                <w:rFonts w:asciiTheme="majorHAnsi" w:hAnsiTheme="majorHAnsi"/>
                <w:b/>
                <w:sz w:val="18"/>
              </w:rPr>
              <w:t>241</w:t>
            </w:r>
          </w:p>
        </w:tc>
        <w:tc>
          <w:tcPr>
            <w:tcW w:w="723" w:type="dxa"/>
            <w:tcBorders>
              <w:top w:val="single" w:sz="2" w:space="0" w:color="000000"/>
              <w:left w:val="single" w:sz="2" w:space="0" w:color="000000"/>
              <w:bottom w:val="single" w:sz="2" w:space="0" w:color="000000"/>
              <w:right w:val="single" w:sz="2" w:space="0" w:color="000000"/>
            </w:tcBorders>
            <w:vAlign w:val="center"/>
          </w:tcPr>
          <w:p w14:paraId="7586DCEA"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4</w:t>
            </w:r>
            <w:r w:rsidRPr="005D0955">
              <w:rPr>
                <w:rFonts w:ascii="Calibri" w:hAnsi="Calibri" w:cs="Calibri"/>
                <w:b/>
                <w:sz w:val="18"/>
                <w:szCs w:val="18"/>
              </w:rPr>
              <w:t> </w:t>
            </w:r>
            <w:r w:rsidRPr="00634E4C">
              <w:rPr>
                <w:rFonts w:asciiTheme="majorHAnsi" w:hAnsiTheme="majorHAnsi"/>
                <w:b/>
                <w:sz w:val="18"/>
              </w:rPr>
              <w:t>458</w:t>
            </w:r>
          </w:p>
        </w:tc>
        <w:tc>
          <w:tcPr>
            <w:tcW w:w="719" w:type="dxa"/>
            <w:tcBorders>
              <w:top w:val="single" w:sz="2" w:space="0" w:color="000000"/>
              <w:left w:val="single" w:sz="2" w:space="0" w:color="000000"/>
              <w:bottom w:val="single" w:sz="2" w:space="0" w:color="000000"/>
              <w:right w:val="single" w:sz="2" w:space="0" w:color="000000"/>
            </w:tcBorders>
            <w:vAlign w:val="center"/>
          </w:tcPr>
          <w:p w14:paraId="51D5E741" w14:textId="77777777" w:rsidR="00281D48" w:rsidRPr="00634E4C" w:rsidRDefault="00281D48" w:rsidP="00281D48">
            <w:pPr>
              <w:spacing w:line="259" w:lineRule="auto"/>
              <w:ind w:right="29"/>
              <w:jc w:val="center"/>
              <w:rPr>
                <w:rFonts w:asciiTheme="majorHAnsi" w:hAnsiTheme="majorHAnsi"/>
                <w:b/>
                <w:sz w:val="18"/>
              </w:rPr>
            </w:pPr>
            <w:r w:rsidRPr="00634E4C">
              <w:rPr>
                <w:rFonts w:asciiTheme="majorHAnsi" w:hAnsiTheme="majorHAnsi"/>
                <w:b/>
                <w:sz w:val="18"/>
              </w:rPr>
              <w:t>2</w:t>
            </w:r>
            <w:r w:rsidRPr="005D0955">
              <w:rPr>
                <w:rFonts w:ascii="Calibri" w:hAnsi="Calibri" w:cs="Calibri"/>
                <w:b/>
                <w:sz w:val="18"/>
                <w:szCs w:val="18"/>
              </w:rPr>
              <w:t> </w:t>
            </w:r>
            <w:r w:rsidRPr="00634E4C">
              <w:rPr>
                <w:rFonts w:asciiTheme="majorHAnsi" w:hAnsiTheme="majorHAnsi"/>
                <w:b/>
                <w:sz w:val="18"/>
              </w:rPr>
              <w:t>109</w:t>
            </w:r>
          </w:p>
        </w:tc>
      </w:tr>
    </w:tbl>
    <w:p w14:paraId="2DCED2A8" w14:textId="77777777" w:rsidR="008513BF" w:rsidRDefault="008513BF" w:rsidP="00CB5305"/>
    <w:p w14:paraId="29669B1F" w14:textId="77777777" w:rsidR="004E5AF5" w:rsidRDefault="004E5AF5" w:rsidP="004E5AF5">
      <w:pPr>
        <w:pStyle w:val="Caption"/>
      </w:pPr>
      <w:bookmarkStart w:id="562" w:name="_Toc123916521"/>
      <w:r>
        <w:t xml:space="preserve">Tableau </w:t>
      </w:r>
      <w:fldSimple w:instr=" SEQ Tableau \* ARABIC ">
        <w:r w:rsidR="00AB51D9">
          <w:rPr>
            <w:noProof/>
          </w:rPr>
          <w:t>29</w:t>
        </w:r>
      </w:fldSimple>
      <w:r>
        <w:t xml:space="preserve"> : </w:t>
      </w:r>
      <w:r w:rsidR="00CB5305" w:rsidRPr="00160820">
        <w:t xml:space="preserve">Projections d’émissions de HFC (en </w:t>
      </w:r>
      <w:r w:rsidR="00CB5305" w:rsidRPr="00590551">
        <w:t>kt</w:t>
      </w:r>
      <w:r w:rsidR="007F09F7">
        <w:t>CO</w:t>
      </w:r>
      <w:r w:rsidR="007F09F7" w:rsidRPr="007F09F7">
        <w:rPr>
          <w:vertAlign w:val="subscript"/>
        </w:rPr>
        <w:t>2</w:t>
      </w:r>
      <w:r w:rsidR="00CB5305" w:rsidRPr="00160820">
        <w:rPr>
          <w:vertAlign w:val="subscript"/>
        </w:rPr>
        <w:t>e</w:t>
      </w:r>
      <w:r w:rsidR="00CB5305" w:rsidRPr="00160820">
        <w:t xml:space="preserve">) au périmètre Kyoto dans le scénario </w:t>
      </w:r>
      <w:r w:rsidR="00CB5305">
        <w:t xml:space="preserve">AMS 2018 </w:t>
      </w:r>
      <w:r w:rsidR="00CB5305" w:rsidRPr="00160820">
        <w:t xml:space="preserve">(avec mesures </w:t>
      </w:r>
      <w:r w:rsidR="00CB5305">
        <w:t>supplémentaires</w:t>
      </w:r>
      <w:r w:rsidR="00CB5305" w:rsidRPr="00160820">
        <w:t>)</w:t>
      </w:r>
      <w:bookmarkEnd w:id="562"/>
    </w:p>
    <w:p w14:paraId="317C4978" w14:textId="40F840A8" w:rsidR="00CB5305" w:rsidRPr="006E15FD" w:rsidRDefault="00CB5305" w:rsidP="004E5AF5">
      <w:pPr>
        <w:pStyle w:val="Caption"/>
      </w:pPr>
      <w:r w:rsidRPr="006E15FD">
        <w:t xml:space="preserve">Source : Inventaire CCNUCC, Citepa/MTES, soumission </w:t>
      </w:r>
      <w:r w:rsidR="00281D48">
        <w:t>2022</w:t>
      </w:r>
      <w:r w:rsidR="00281D48" w:rsidRPr="006E15FD">
        <w:t xml:space="preserve"> </w:t>
      </w:r>
      <w:r w:rsidRPr="006E15FD">
        <w:t>et projections d’émissions MTES, 20</w:t>
      </w:r>
      <w:r>
        <w:t>18</w:t>
      </w:r>
    </w:p>
    <w:p w14:paraId="081B5E2F" w14:textId="47F68150" w:rsidR="00CB5305" w:rsidRDefault="00CB5305" w:rsidP="00CB5305"/>
    <w:p w14:paraId="76E72FB5" w14:textId="77777777" w:rsidR="00281D48" w:rsidRPr="00364545" w:rsidRDefault="00281D48" w:rsidP="00281D48"/>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426"/>
        <w:gridCol w:w="722"/>
        <w:gridCol w:w="723"/>
        <w:gridCol w:w="724"/>
        <w:gridCol w:w="717"/>
        <w:gridCol w:w="710"/>
        <w:gridCol w:w="710"/>
        <w:gridCol w:w="625"/>
        <w:gridCol w:w="715"/>
        <w:gridCol w:w="715"/>
        <w:gridCol w:w="716"/>
        <w:gridCol w:w="715"/>
        <w:gridCol w:w="716"/>
      </w:tblGrid>
      <w:tr w:rsidR="00281D48" w:rsidRPr="00364545" w14:paraId="1AA302FA" w14:textId="77777777" w:rsidTr="009F2D1E">
        <w:trPr>
          <w:trHeight w:val="402"/>
        </w:trPr>
        <w:tc>
          <w:tcPr>
            <w:tcW w:w="1426" w:type="dxa"/>
            <w:tcBorders>
              <w:top w:val="single" w:sz="2" w:space="0" w:color="000000"/>
              <w:left w:val="single" w:sz="2" w:space="0" w:color="000000"/>
              <w:bottom w:val="single" w:sz="2" w:space="0" w:color="000000"/>
              <w:right w:val="single" w:sz="2" w:space="0" w:color="000000"/>
            </w:tcBorders>
            <w:shd w:val="clear" w:color="auto" w:fill="6D2A78"/>
          </w:tcPr>
          <w:p w14:paraId="1E1E319C" w14:textId="77777777" w:rsidR="00281D48" w:rsidRPr="00364545" w:rsidRDefault="00281D48" w:rsidP="009F2D1E">
            <w:pPr>
              <w:spacing w:line="259" w:lineRule="auto"/>
            </w:pPr>
            <w:r w:rsidRPr="00364545">
              <w:t>AMS 18 - PFC</w:t>
            </w:r>
          </w:p>
        </w:tc>
        <w:tc>
          <w:tcPr>
            <w:tcW w:w="722" w:type="dxa"/>
            <w:tcBorders>
              <w:top w:val="single" w:sz="2" w:space="0" w:color="000000"/>
              <w:left w:val="single" w:sz="2" w:space="0" w:color="000000"/>
              <w:bottom w:val="single" w:sz="2" w:space="0" w:color="000000"/>
              <w:right w:val="single" w:sz="2" w:space="0" w:color="000000"/>
            </w:tcBorders>
            <w:shd w:val="clear" w:color="auto" w:fill="6D2A78"/>
          </w:tcPr>
          <w:p w14:paraId="0761F515" w14:textId="77777777" w:rsidR="00281D48" w:rsidRPr="00364545" w:rsidRDefault="00281D48" w:rsidP="009F2D1E">
            <w:pPr>
              <w:spacing w:line="259" w:lineRule="auto"/>
              <w:ind w:left="19"/>
              <w:jc w:val="center"/>
            </w:pPr>
            <w:r w:rsidRPr="00364545">
              <w:rPr>
                <w:b/>
                <w:color w:val="FFFFFF"/>
                <w:sz w:val="18"/>
              </w:rPr>
              <w:t xml:space="preserve">1990 </w:t>
            </w:r>
          </w:p>
        </w:tc>
        <w:tc>
          <w:tcPr>
            <w:tcW w:w="723" w:type="dxa"/>
            <w:tcBorders>
              <w:top w:val="single" w:sz="2" w:space="0" w:color="000000"/>
              <w:left w:val="single" w:sz="2" w:space="0" w:color="000000"/>
              <w:bottom w:val="single" w:sz="2" w:space="0" w:color="000000"/>
              <w:right w:val="single" w:sz="2" w:space="0" w:color="000000"/>
            </w:tcBorders>
            <w:shd w:val="clear" w:color="auto" w:fill="6D2A78"/>
          </w:tcPr>
          <w:p w14:paraId="5403DE13"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336B68A1" w14:textId="77777777" w:rsidR="00281D48" w:rsidRPr="00364545" w:rsidRDefault="00281D48" w:rsidP="009F2D1E">
            <w:pPr>
              <w:spacing w:line="259" w:lineRule="auto"/>
              <w:ind w:left="21"/>
              <w:jc w:val="center"/>
            </w:pPr>
            <w:r w:rsidRPr="00364545">
              <w:rPr>
                <w:b/>
                <w:color w:val="FFFFFF"/>
                <w:sz w:val="18"/>
              </w:rPr>
              <w:t xml:space="preserve">2000 </w:t>
            </w:r>
          </w:p>
        </w:tc>
        <w:tc>
          <w:tcPr>
            <w:tcW w:w="717" w:type="dxa"/>
            <w:tcBorders>
              <w:top w:val="single" w:sz="2" w:space="0" w:color="000000"/>
              <w:left w:val="single" w:sz="2" w:space="0" w:color="000000"/>
              <w:bottom w:val="single" w:sz="2" w:space="0" w:color="000000"/>
              <w:right w:val="single" w:sz="2" w:space="0" w:color="000000"/>
            </w:tcBorders>
            <w:shd w:val="clear" w:color="auto" w:fill="6D2A78"/>
          </w:tcPr>
          <w:p w14:paraId="3A99A747" w14:textId="77777777" w:rsidR="00281D48" w:rsidRPr="00364545" w:rsidRDefault="00281D48" w:rsidP="009F2D1E">
            <w:pPr>
              <w:spacing w:line="259" w:lineRule="auto"/>
              <w:ind w:left="19"/>
              <w:jc w:val="center"/>
            </w:pPr>
            <w:r w:rsidRPr="00364545">
              <w:rPr>
                <w:b/>
                <w:color w:val="FFFFFF"/>
                <w:sz w:val="18"/>
              </w:rPr>
              <w:t xml:space="preserve">2005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33B330E0" w14:textId="77777777" w:rsidR="00281D48" w:rsidRPr="00364545" w:rsidRDefault="00281D48" w:rsidP="009F2D1E">
            <w:pPr>
              <w:spacing w:line="259" w:lineRule="auto"/>
              <w:ind w:left="21"/>
              <w:jc w:val="center"/>
            </w:pPr>
            <w:r w:rsidRPr="00364545">
              <w:rPr>
                <w:b/>
                <w:color w:val="FFFFFF"/>
                <w:sz w:val="18"/>
              </w:rPr>
              <w:t xml:space="preserve">2010 </w:t>
            </w:r>
          </w:p>
        </w:tc>
        <w:tc>
          <w:tcPr>
            <w:tcW w:w="710" w:type="dxa"/>
            <w:tcBorders>
              <w:top w:val="single" w:sz="2" w:space="0" w:color="000000"/>
              <w:left w:val="single" w:sz="2" w:space="0" w:color="000000"/>
              <w:bottom w:val="single" w:sz="2" w:space="0" w:color="000000"/>
              <w:right w:val="single" w:sz="2" w:space="0" w:color="000000"/>
            </w:tcBorders>
            <w:shd w:val="clear" w:color="auto" w:fill="6D2A78"/>
          </w:tcPr>
          <w:p w14:paraId="7C66D24B" w14:textId="77777777" w:rsidR="00281D48" w:rsidRPr="00364545" w:rsidRDefault="00281D48" w:rsidP="009F2D1E">
            <w:pPr>
              <w:spacing w:line="259" w:lineRule="auto"/>
              <w:ind w:left="19"/>
              <w:jc w:val="center"/>
            </w:pPr>
            <w:r w:rsidRPr="00364545">
              <w:rPr>
                <w:b/>
                <w:color w:val="FFFFFF"/>
                <w:sz w:val="18"/>
              </w:rPr>
              <w:t xml:space="preserve">2015 </w:t>
            </w:r>
          </w:p>
        </w:tc>
        <w:tc>
          <w:tcPr>
            <w:tcW w:w="625" w:type="dxa"/>
            <w:tcBorders>
              <w:top w:val="single" w:sz="2" w:space="0" w:color="000000"/>
              <w:left w:val="single" w:sz="2" w:space="0" w:color="000000"/>
              <w:bottom w:val="single" w:sz="2" w:space="0" w:color="000000"/>
              <w:right w:val="single" w:sz="2" w:space="0" w:color="000000"/>
            </w:tcBorders>
            <w:shd w:val="clear" w:color="auto" w:fill="6D2A78"/>
          </w:tcPr>
          <w:p w14:paraId="0F9E8E0C" w14:textId="77777777" w:rsidR="00281D48" w:rsidRPr="00364545" w:rsidRDefault="00281D48" w:rsidP="009F2D1E">
            <w:pPr>
              <w:spacing w:line="259" w:lineRule="auto"/>
              <w:ind w:left="21"/>
              <w:jc w:val="center"/>
              <w:rPr>
                <w:b/>
                <w:color w:val="FFFFFF"/>
                <w:sz w:val="18"/>
              </w:rPr>
            </w:pPr>
            <w:r>
              <w:rPr>
                <w:b/>
                <w:color w:val="FFFFFF"/>
                <w:sz w:val="18"/>
              </w:rPr>
              <w:t>2019</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50BC0D25" w14:textId="77777777" w:rsidR="00281D48" w:rsidRPr="00364545" w:rsidRDefault="00281D48" w:rsidP="009F2D1E">
            <w:pPr>
              <w:spacing w:line="259" w:lineRule="auto"/>
              <w:ind w:left="21"/>
              <w:jc w:val="center"/>
            </w:pPr>
            <w:r w:rsidRPr="00364545">
              <w:rPr>
                <w:b/>
                <w:color w:val="FFFFFF"/>
                <w:sz w:val="18"/>
              </w:rPr>
              <w:t xml:space="preserve">2020 </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5951136A" w14:textId="77777777" w:rsidR="00281D48" w:rsidRPr="00364545" w:rsidRDefault="00281D48" w:rsidP="009F2D1E">
            <w:pPr>
              <w:spacing w:line="259" w:lineRule="auto"/>
              <w:ind w:left="19"/>
              <w:jc w:val="center"/>
            </w:pPr>
            <w:r w:rsidRPr="00364545">
              <w:rPr>
                <w:b/>
                <w:color w:val="FFFFFF"/>
                <w:sz w:val="18"/>
              </w:rPr>
              <w:t xml:space="preserve">2025 </w:t>
            </w:r>
          </w:p>
        </w:tc>
        <w:tc>
          <w:tcPr>
            <w:tcW w:w="716" w:type="dxa"/>
            <w:tcBorders>
              <w:top w:val="single" w:sz="2" w:space="0" w:color="000000"/>
              <w:left w:val="single" w:sz="2" w:space="0" w:color="000000"/>
              <w:bottom w:val="single" w:sz="2" w:space="0" w:color="000000"/>
              <w:right w:val="single" w:sz="2" w:space="0" w:color="000000"/>
            </w:tcBorders>
            <w:shd w:val="clear" w:color="auto" w:fill="6D2A78"/>
          </w:tcPr>
          <w:p w14:paraId="1662B495" w14:textId="77777777" w:rsidR="00281D48" w:rsidRPr="00364545" w:rsidRDefault="00281D48" w:rsidP="009F2D1E">
            <w:pPr>
              <w:spacing w:line="259" w:lineRule="auto"/>
              <w:ind w:left="21"/>
              <w:jc w:val="center"/>
            </w:pPr>
            <w:r w:rsidRPr="00364545">
              <w:rPr>
                <w:b/>
                <w:color w:val="FFFFFF"/>
                <w:sz w:val="18"/>
              </w:rPr>
              <w:t xml:space="preserve">2030 </w:t>
            </w:r>
          </w:p>
        </w:tc>
        <w:tc>
          <w:tcPr>
            <w:tcW w:w="715" w:type="dxa"/>
            <w:tcBorders>
              <w:top w:val="single" w:sz="2" w:space="0" w:color="000000"/>
              <w:left w:val="single" w:sz="2" w:space="0" w:color="000000"/>
              <w:bottom w:val="single" w:sz="2" w:space="0" w:color="000000"/>
              <w:right w:val="single" w:sz="2" w:space="0" w:color="000000"/>
            </w:tcBorders>
            <w:shd w:val="clear" w:color="auto" w:fill="6D2A78"/>
          </w:tcPr>
          <w:p w14:paraId="63B68142" w14:textId="77777777" w:rsidR="00281D48" w:rsidRPr="00364545" w:rsidRDefault="00281D48" w:rsidP="009F2D1E">
            <w:pPr>
              <w:spacing w:line="259" w:lineRule="auto"/>
              <w:ind w:left="20"/>
              <w:jc w:val="center"/>
            </w:pPr>
            <w:r w:rsidRPr="00364545">
              <w:rPr>
                <w:b/>
                <w:color w:val="FFFFFF"/>
                <w:sz w:val="18"/>
              </w:rPr>
              <w:t xml:space="preserve">2035 </w:t>
            </w:r>
          </w:p>
        </w:tc>
        <w:tc>
          <w:tcPr>
            <w:tcW w:w="716" w:type="dxa"/>
            <w:tcBorders>
              <w:top w:val="single" w:sz="2" w:space="0" w:color="000000"/>
              <w:left w:val="single" w:sz="2" w:space="0" w:color="000000"/>
              <w:bottom w:val="single" w:sz="2" w:space="0" w:color="000000"/>
              <w:right w:val="single" w:sz="2" w:space="0" w:color="000000"/>
            </w:tcBorders>
            <w:shd w:val="clear" w:color="auto" w:fill="6D2A78"/>
          </w:tcPr>
          <w:p w14:paraId="6B89A59A"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524C8758" w14:textId="77777777" w:rsidTr="009F2D1E">
        <w:trPr>
          <w:trHeight w:val="344"/>
        </w:trPr>
        <w:tc>
          <w:tcPr>
            <w:tcW w:w="1426" w:type="dxa"/>
            <w:tcBorders>
              <w:top w:val="single" w:sz="2" w:space="0" w:color="000000"/>
              <w:left w:val="single" w:sz="2" w:space="0" w:color="000000"/>
              <w:bottom w:val="single" w:sz="2" w:space="0" w:color="000000"/>
              <w:right w:val="single" w:sz="2" w:space="0" w:color="000000"/>
            </w:tcBorders>
          </w:tcPr>
          <w:p w14:paraId="7AB5F860" w14:textId="791AAEEF" w:rsidR="00281D48" w:rsidRPr="00364545" w:rsidRDefault="00281D48" w:rsidP="00281D48">
            <w:pPr>
              <w:spacing w:line="259" w:lineRule="auto"/>
            </w:pPr>
            <w:r>
              <w:rPr>
                <w:sz w:val="18"/>
              </w:rPr>
              <w:t xml:space="preserve">Energie </w:t>
            </w:r>
          </w:p>
        </w:tc>
        <w:tc>
          <w:tcPr>
            <w:tcW w:w="722" w:type="dxa"/>
            <w:tcBorders>
              <w:top w:val="single" w:sz="2" w:space="0" w:color="000000"/>
              <w:left w:val="single" w:sz="2" w:space="0" w:color="000000"/>
              <w:bottom w:val="single" w:sz="2" w:space="0" w:color="000000"/>
              <w:right w:val="single" w:sz="2" w:space="0" w:color="000000"/>
            </w:tcBorders>
            <w:vAlign w:val="center"/>
          </w:tcPr>
          <w:p w14:paraId="320666A0"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A9BC365"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04A3C72C"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1A1C8F6B"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54B6CAB2"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038AEBCE"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0384E8D9"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1CE58A5A"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2CF9570B"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748D0B3F"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61F57050"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1FE293CB" w14:textId="77777777" w:rsidR="00281D48" w:rsidRPr="00364545" w:rsidRDefault="00281D48" w:rsidP="00281D48">
            <w:pPr>
              <w:spacing w:line="259" w:lineRule="auto"/>
              <w:ind w:left="16"/>
              <w:jc w:val="center"/>
              <w:rPr>
                <w:sz w:val="18"/>
              </w:rPr>
            </w:pPr>
            <w:r w:rsidRPr="00364545">
              <w:rPr>
                <w:sz w:val="18"/>
              </w:rPr>
              <w:t>0</w:t>
            </w:r>
          </w:p>
        </w:tc>
      </w:tr>
      <w:tr w:rsidR="00281D48" w:rsidRPr="00364545" w14:paraId="64C7169C" w14:textId="77777777" w:rsidTr="009F2D1E">
        <w:trPr>
          <w:trHeight w:val="419"/>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5CF12870" w14:textId="5418F639" w:rsidR="00281D48" w:rsidRPr="00364545" w:rsidRDefault="00281D48" w:rsidP="00281D48">
            <w:pPr>
              <w:spacing w:line="259" w:lineRule="auto"/>
            </w:pPr>
            <w:r>
              <w:rPr>
                <w:sz w:val="18"/>
              </w:rPr>
              <w:t xml:space="preserve">Procédés industriels, solvants et autres produits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AA938FD" w14:textId="77777777" w:rsidR="00281D48" w:rsidRPr="00364545" w:rsidRDefault="00281D48" w:rsidP="00281D48">
            <w:pPr>
              <w:spacing w:line="259" w:lineRule="auto"/>
              <w:ind w:left="16"/>
              <w:jc w:val="center"/>
              <w:rPr>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FC15C1" w14:textId="77777777" w:rsidR="00281D48" w:rsidRPr="00364545" w:rsidRDefault="00281D48" w:rsidP="00281D48">
            <w:pPr>
              <w:spacing w:line="259" w:lineRule="auto"/>
              <w:ind w:left="16"/>
              <w:jc w:val="center"/>
              <w:rPr>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DB70C5" w14:textId="77777777" w:rsidR="00281D48" w:rsidRPr="00364545" w:rsidRDefault="00281D48" w:rsidP="00281D48">
            <w:pPr>
              <w:spacing w:line="259" w:lineRule="auto"/>
              <w:ind w:left="16"/>
              <w:jc w:val="center"/>
              <w:rPr>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281FF5F" w14:textId="77777777" w:rsidR="00281D48" w:rsidRPr="00364545" w:rsidRDefault="00281D48" w:rsidP="00281D48">
            <w:pPr>
              <w:spacing w:line="259" w:lineRule="auto"/>
              <w:ind w:left="16"/>
              <w:jc w:val="center"/>
              <w:rPr>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2EB621" w14:textId="77777777" w:rsidR="00281D48" w:rsidRPr="00364545" w:rsidRDefault="00281D48" w:rsidP="00281D48">
            <w:pPr>
              <w:spacing w:line="259" w:lineRule="auto"/>
              <w:ind w:left="16"/>
              <w:jc w:val="center"/>
              <w:rPr>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0DE8ED" w14:textId="77777777" w:rsidR="00281D48" w:rsidRPr="00364545" w:rsidRDefault="00281D48" w:rsidP="00281D48">
            <w:pPr>
              <w:spacing w:line="259" w:lineRule="auto"/>
              <w:ind w:left="16"/>
              <w:jc w:val="center"/>
              <w:rPr>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ADBD3D" w14:textId="77777777" w:rsidR="00281D48" w:rsidRPr="00364545" w:rsidRDefault="00281D48" w:rsidP="00281D48">
            <w:pPr>
              <w:spacing w:line="259" w:lineRule="auto"/>
              <w:ind w:left="16"/>
              <w:jc w:val="center"/>
              <w:rPr>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41B1A5" w14:textId="77777777" w:rsidR="00281D48" w:rsidRPr="00364545" w:rsidRDefault="00281D48" w:rsidP="00281D48">
            <w:pPr>
              <w:spacing w:line="259" w:lineRule="auto"/>
              <w:ind w:left="16"/>
              <w:jc w:val="center"/>
              <w:rPr>
                <w:sz w:val="18"/>
              </w:rPr>
            </w:pPr>
            <w:r w:rsidRPr="00364545">
              <w:rPr>
                <w:sz w:val="18"/>
              </w:rPr>
              <w:t>479</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E48AA4E" w14:textId="77777777" w:rsidR="00281D48" w:rsidRPr="00364545" w:rsidRDefault="00281D48" w:rsidP="00281D48">
            <w:pPr>
              <w:spacing w:line="259" w:lineRule="auto"/>
              <w:ind w:left="16"/>
              <w:jc w:val="center"/>
              <w:rPr>
                <w:sz w:val="18"/>
              </w:rPr>
            </w:pPr>
            <w:r w:rsidRPr="00364545">
              <w:rPr>
                <w:sz w:val="18"/>
              </w:rPr>
              <w:t>395</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4BA6859" w14:textId="77777777" w:rsidR="00281D48" w:rsidRPr="00364545" w:rsidRDefault="00281D48" w:rsidP="00281D48">
            <w:pPr>
              <w:spacing w:line="259" w:lineRule="auto"/>
              <w:ind w:left="16"/>
              <w:jc w:val="center"/>
              <w:rPr>
                <w:sz w:val="18"/>
              </w:rPr>
            </w:pPr>
            <w:r w:rsidRPr="00364545">
              <w:rPr>
                <w:sz w:val="18"/>
              </w:rPr>
              <w:t>330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41FB78" w14:textId="77777777" w:rsidR="00281D48" w:rsidRPr="00364545" w:rsidRDefault="00281D48" w:rsidP="00281D48">
            <w:pPr>
              <w:spacing w:line="259" w:lineRule="auto"/>
              <w:ind w:left="16"/>
              <w:jc w:val="center"/>
              <w:rPr>
                <w:sz w:val="18"/>
              </w:rPr>
            </w:pPr>
            <w:r w:rsidRPr="00364545">
              <w:rPr>
                <w:sz w:val="18"/>
              </w:rPr>
              <w:t>299</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58FBF8" w14:textId="77777777" w:rsidR="00281D48" w:rsidRPr="00364545" w:rsidRDefault="00281D48" w:rsidP="00281D48">
            <w:pPr>
              <w:spacing w:line="259" w:lineRule="auto"/>
              <w:ind w:left="16"/>
              <w:jc w:val="center"/>
              <w:rPr>
                <w:sz w:val="18"/>
              </w:rPr>
            </w:pPr>
            <w:r w:rsidRPr="00364545">
              <w:rPr>
                <w:sz w:val="18"/>
              </w:rPr>
              <w:t>205</w:t>
            </w:r>
          </w:p>
        </w:tc>
      </w:tr>
      <w:tr w:rsidR="00281D48" w:rsidRPr="00364545" w14:paraId="15019DC3" w14:textId="77777777" w:rsidTr="009F2D1E">
        <w:trPr>
          <w:trHeight w:val="347"/>
        </w:trPr>
        <w:tc>
          <w:tcPr>
            <w:tcW w:w="1426" w:type="dxa"/>
            <w:tcBorders>
              <w:top w:val="single" w:sz="2" w:space="0" w:color="000000"/>
              <w:left w:val="single" w:sz="2" w:space="0" w:color="000000"/>
              <w:bottom w:val="single" w:sz="2" w:space="0" w:color="000000"/>
              <w:right w:val="single" w:sz="2" w:space="0" w:color="000000"/>
            </w:tcBorders>
          </w:tcPr>
          <w:p w14:paraId="44BB3D62" w14:textId="1D74EC5A" w:rsidR="00281D48" w:rsidRPr="00364545" w:rsidRDefault="00281D48" w:rsidP="00281D48">
            <w:pPr>
              <w:spacing w:line="259" w:lineRule="auto"/>
            </w:pPr>
            <w:r>
              <w:rPr>
                <w:sz w:val="18"/>
              </w:rPr>
              <w:t xml:space="preserve">Agriculture (hors énergie) </w:t>
            </w:r>
          </w:p>
        </w:tc>
        <w:tc>
          <w:tcPr>
            <w:tcW w:w="722" w:type="dxa"/>
            <w:tcBorders>
              <w:top w:val="single" w:sz="2" w:space="0" w:color="000000"/>
              <w:left w:val="single" w:sz="2" w:space="0" w:color="000000"/>
              <w:bottom w:val="single" w:sz="2" w:space="0" w:color="000000"/>
              <w:right w:val="single" w:sz="2" w:space="0" w:color="000000"/>
            </w:tcBorders>
            <w:vAlign w:val="center"/>
          </w:tcPr>
          <w:p w14:paraId="5E2EA2DB"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E2A859F"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00550B58"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59A0D5A1"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0A307735"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0059D578"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115F0C54"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06689AAF"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7602D4D7"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65AC2103"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177B6B80"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74D7C731" w14:textId="77777777" w:rsidR="00281D48" w:rsidRPr="00364545" w:rsidRDefault="00281D48" w:rsidP="00281D48">
            <w:pPr>
              <w:spacing w:line="259" w:lineRule="auto"/>
              <w:ind w:left="16"/>
              <w:jc w:val="center"/>
              <w:rPr>
                <w:sz w:val="18"/>
              </w:rPr>
            </w:pPr>
            <w:r w:rsidRPr="00364545">
              <w:rPr>
                <w:sz w:val="18"/>
              </w:rPr>
              <w:t>0</w:t>
            </w:r>
          </w:p>
        </w:tc>
      </w:tr>
      <w:tr w:rsidR="00281D48" w:rsidRPr="00364545" w14:paraId="6E389056" w14:textId="77777777" w:rsidTr="009F2D1E">
        <w:trPr>
          <w:trHeight w:val="342"/>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7A0DF829" w14:textId="627A4F35" w:rsidR="00281D48" w:rsidRPr="00364545" w:rsidRDefault="00281D48" w:rsidP="00281D48">
            <w:pPr>
              <w:spacing w:line="259" w:lineRule="auto"/>
            </w:pPr>
            <w:r>
              <w:rPr>
                <w:sz w:val="18"/>
              </w:rPr>
              <w:t xml:space="preserve">UTCF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F63130"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C9AE50"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3135E4"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9ED2500"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B13B2E"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F3826CF"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8359788"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B032F6C"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43F152F"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31C627A"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2FA90D9"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193CD52" w14:textId="77777777" w:rsidR="00281D48" w:rsidRPr="00364545" w:rsidRDefault="00281D48" w:rsidP="00281D48">
            <w:pPr>
              <w:spacing w:line="259" w:lineRule="auto"/>
              <w:ind w:left="16"/>
              <w:jc w:val="center"/>
              <w:rPr>
                <w:sz w:val="18"/>
              </w:rPr>
            </w:pPr>
            <w:r w:rsidRPr="00364545">
              <w:rPr>
                <w:sz w:val="18"/>
              </w:rPr>
              <w:t>0</w:t>
            </w:r>
          </w:p>
        </w:tc>
      </w:tr>
      <w:tr w:rsidR="00281D48" w:rsidRPr="00364545" w14:paraId="653587A9" w14:textId="77777777" w:rsidTr="009F2D1E">
        <w:trPr>
          <w:trHeight w:val="347"/>
        </w:trPr>
        <w:tc>
          <w:tcPr>
            <w:tcW w:w="1426" w:type="dxa"/>
            <w:tcBorders>
              <w:top w:val="single" w:sz="2" w:space="0" w:color="000000"/>
              <w:left w:val="single" w:sz="2" w:space="0" w:color="000000"/>
              <w:bottom w:val="single" w:sz="2" w:space="0" w:color="000000"/>
              <w:right w:val="single" w:sz="2" w:space="0" w:color="000000"/>
            </w:tcBorders>
          </w:tcPr>
          <w:p w14:paraId="0B063360" w14:textId="1B7F1DD4" w:rsidR="00281D48" w:rsidRPr="00364545" w:rsidRDefault="00281D48" w:rsidP="00281D48">
            <w:pPr>
              <w:spacing w:line="259" w:lineRule="auto"/>
            </w:pPr>
            <w:r>
              <w:rPr>
                <w:sz w:val="18"/>
              </w:rPr>
              <w:t xml:space="preserve">Déchets </w:t>
            </w:r>
          </w:p>
        </w:tc>
        <w:tc>
          <w:tcPr>
            <w:tcW w:w="722" w:type="dxa"/>
            <w:tcBorders>
              <w:top w:val="single" w:sz="2" w:space="0" w:color="000000"/>
              <w:left w:val="single" w:sz="2" w:space="0" w:color="000000"/>
              <w:bottom w:val="single" w:sz="2" w:space="0" w:color="000000"/>
              <w:right w:val="single" w:sz="2" w:space="0" w:color="000000"/>
            </w:tcBorders>
            <w:vAlign w:val="center"/>
          </w:tcPr>
          <w:p w14:paraId="07ED8E5E"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3" w:type="dxa"/>
            <w:tcBorders>
              <w:top w:val="single" w:sz="2" w:space="0" w:color="000000"/>
              <w:left w:val="single" w:sz="2" w:space="0" w:color="000000"/>
              <w:bottom w:val="single" w:sz="2" w:space="0" w:color="000000"/>
              <w:right w:val="single" w:sz="2" w:space="0" w:color="000000"/>
            </w:tcBorders>
            <w:vAlign w:val="center"/>
          </w:tcPr>
          <w:p w14:paraId="3F7B713C"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24" w:type="dxa"/>
            <w:tcBorders>
              <w:top w:val="single" w:sz="2" w:space="0" w:color="000000"/>
              <w:left w:val="single" w:sz="2" w:space="0" w:color="000000"/>
              <w:bottom w:val="single" w:sz="2" w:space="0" w:color="000000"/>
              <w:right w:val="single" w:sz="2" w:space="0" w:color="000000"/>
            </w:tcBorders>
            <w:vAlign w:val="center"/>
          </w:tcPr>
          <w:p w14:paraId="7DB3D067"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7" w:type="dxa"/>
            <w:tcBorders>
              <w:top w:val="single" w:sz="2" w:space="0" w:color="000000"/>
              <w:left w:val="single" w:sz="2" w:space="0" w:color="000000"/>
              <w:bottom w:val="single" w:sz="2" w:space="0" w:color="000000"/>
              <w:right w:val="single" w:sz="2" w:space="0" w:color="000000"/>
            </w:tcBorders>
            <w:vAlign w:val="center"/>
          </w:tcPr>
          <w:p w14:paraId="764EF5CD"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4E38B960"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0" w:type="dxa"/>
            <w:tcBorders>
              <w:top w:val="single" w:sz="2" w:space="0" w:color="000000"/>
              <w:left w:val="single" w:sz="2" w:space="0" w:color="000000"/>
              <w:bottom w:val="single" w:sz="2" w:space="0" w:color="000000"/>
              <w:right w:val="single" w:sz="2" w:space="0" w:color="000000"/>
            </w:tcBorders>
            <w:vAlign w:val="center"/>
          </w:tcPr>
          <w:p w14:paraId="712C741C"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625" w:type="dxa"/>
            <w:tcBorders>
              <w:top w:val="single" w:sz="2" w:space="0" w:color="000000"/>
              <w:left w:val="single" w:sz="2" w:space="0" w:color="000000"/>
              <w:bottom w:val="single" w:sz="2" w:space="0" w:color="000000"/>
              <w:right w:val="single" w:sz="2" w:space="0" w:color="000000"/>
            </w:tcBorders>
            <w:vAlign w:val="center"/>
          </w:tcPr>
          <w:p w14:paraId="516F4703" w14:textId="77777777" w:rsidR="00281D48" w:rsidRPr="00364545" w:rsidRDefault="00281D48" w:rsidP="00281D48">
            <w:pPr>
              <w:spacing w:line="259" w:lineRule="auto"/>
              <w:ind w:left="16"/>
              <w:jc w:val="center"/>
              <w:rPr>
                <w:sz w:val="18"/>
              </w:rPr>
            </w:pPr>
            <w:r w:rsidRPr="00634E4C">
              <w:rPr>
                <w:rFonts w:asciiTheme="majorHAnsi" w:hAnsiTheme="majorHAnsi"/>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35042D36"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7C473267"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526585B0" w14:textId="77777777" w:rsidR="00281D48" w:rsidRPr="00364545" w:rsidRDefault="00281D48" w:rsidP="00281D48">
            <w:pPr>
              <w:spacing w:line="259" w:lineRule="auto"/>
              <w:ind w:left="16"/>
              <w:jc w:val="center"/>
              <w:rPr>
                <w:sz w:val="18"/>
              </w:rPr>
            </w:pPr>
            <w:r w:rsidRPr="00364545">
              <w:rPr>
                <w:sz w:val="18"/>
              </w:rPr>
              <w:t>0</w:t>
            </w:r>
          </w:p>
        </w:tc>
        <w:tc>
          <w:tcPr>
            <w:tcW w:w="715" w:type="dxa"/>
            <w:tcBorders>
              <w:top w:val="single" w:sz="2" w:space="0" w:color="000000"/>
              <w:left w:val="single" w:sz="2" w:space="0" w:color="000000"/>
              <w:bottom w:val="single" w:sz="2" w:space="0" w:color="000000"/>
              <w:right w:val="single" w:sz="2" w:space="0" w:color="000000"/>
            </w:tcBorders>
            <w:vAlign w:val="center"/>
          </w:tcPr>
          <w:p w14:paraId="1BC69CE9" w14:textId="77777777" w:rsidR="00281D48" w:rsidRPr="00364545" w:rsidRDefault="00281D48" w:rsidP="00281D48">
            <w:pPr>
              <w:spacing w:line="259" w:lineRule="auto"/>
              <w:ind w:left="16"/>
              <w:jc w:val="center"/>
              <w:rPr>
                <w:sz w:val="18"/>
              </w:rPr>
            </w:pPr>
            <w:r w:rsidRPr="00364545">
              <w:rPr>
                <w:sz w:val="18"/>
              </w:rPr>
              <w:t>0</w:t>
            </w:r>
          </w:p>
        </w:tc>
        <w:tc>
          <w:tcPr>
            <w:tcW w:w="716" w:type="dxa"/>
            <w:tcBorders>
              <w:top w:val="single" w:sz="2" w:space="0" w:color="000000"/>
              <w:left w:val="single" w:sz="2" w:space="0" w:color="000000"/>
              <w:bottom w:val="single" w:sz="2" w:space="0" w:color="000000"/>
              <w:right w:val="single" w:sz="2" w:space="0" w:color="000000"/>
            </w:tcBorders>
            <w:vAlign w:val="center"/>
          </w:tcPr>
          <w:p w14:paraId="2D7E66AB" w14:textId="77777777" w:rsidR="00281D48" w:rsidRPr="00364545" w:rsidRDefault="00281D48" w:rsidP="00281D48">
            <w:pPr>
              <w:spacing w:line="259" w:lineRule="auto"/>
              <w:ind w:left="16"/>
              <w:jc w:val="center"/>
              <w:rPr>
                <w:sz w:val="18"/>
              </w:rPr>
            </w:pPr>
            <w:r w:rsidRPr="00364545">
              <w:rPr>
                <w:sz w:val="18"/>
              </w:rPr>
              <w:t>0</w:t>
            </w:r>
          </w:p>
        </w:tc>
      </w:tr>
      <w:tr w:rsidR="00281D48" w:rsidRPr="00364545" w14:paraId="42049FBA" w14:textId="77777777" w:rsidTr="009F2D1E">
        <w:trPr>
          <w:trHeight w:val="344"/>
        </w:trPr>
        <w:tc>
          <w:tcPr>
            <w:tcW w:w="1426" w:type="dxa"/>
            <w:tcBorders>
              <w:top w:val="single" w:sz="2" w:space="0" w:color="000000"/>
              <w:left w:val="single" w:sz="2" w:space="0" w:color="000000"/>
              <w:bottom w:val="single" w:sz="2" w:space="0" w:color="000000"/>
              <w:right w:val="single" w:sz="2" w:space="0" w:color="000000"/>
            </w:tcBorders>
            <w:shd w:val="clear" w:color="auto" w:fill="ECE6E2"/>
          </w:tcPr>
          <w:p w14:paraId="51A23A8E" w14:textId="2639F15A" w:rsidR="00281D48" w:rsidRPr="00364545" w:rsidRDefault="00281D48" w:rsidP="00281D48">
            <w:pPr>
              <w:spacing w:line="259" w:lineRule="auto"/>
            </w:pPr>
            <w:r>
              <w:rPr>
                <w:b/>
                <w:sz w:val="18"/>
              </w:rPr>
              <w:t xml:space="preserve">Ensemble (hors UTCF) </w:t>
            </w:r>
          </w:p>
        </w:tc>
        <w:tc>
          <w:tcPr>
            <w:tcW w:w="7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7AD4375" w14:textId="77777777" w:rsidR="00281D48" w:rsidRPr="00364545" w:rsidRDefault="00281D48" w:rsidP="00281D48">
            <w:pPr>
              <w:spacing w:line="259" w:lineRule="auto"/>
              <w:ind w:left="16"/>
              <w:jc w:val="center"/>
              <w:rPr>
                <w:b/>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01D298" w14:textId="77777777" w:rsidR="00281D48" w:rsidRPr="00364545" w:rsidRDefault="00281D48" w:rsidP="00281D48">
            <w:pPr>
              <w:spacing w:line="259" w:lineRule="auto"/>
              <w:ind w:left="19"/>
              <w:jc w:val="center"/>
              <w:rPr>
                <w:b/>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9F8EB0F" w14:textId="77777777" w:rsidR="00281D48" w:rsidRPr="00364545" w:rsidRDefault="00281D48" w:rsidP="00281D48">
            <w:pPr>
              <w:spacing w:line="259" w:lineRule="auto"/>
              <w:ind w:left="19"/>
              <w:jc w:val="center"/>
              <w:rPr>
                <w:b/>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D5E7020" w14:textId="77777777" w:rsidR="00281D48" w:rsidRPr="00364545" w:rsidRDefault="00281D48" w:rsidP="00281D48">
            <w:pPr>
              <w:spacing w:line="259" w:lineRule="auto"/>
              <w:ind w:left="16"/>
              <w:jc w:val="center"/>
              <w:rPr>
                <w:b/>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B002EA7" w14:textId="77777777" w:rsidR="00281D48" w:rsidRPr="00364545" w:rsidRDefault="00281D48" w:rsidP="00281D48">
            <w:pPr>
              <w:spacing w:line="259" w:lineRule="auto"/>
              <w:ind w:left="21"/>
              <w:jc w:val="center"/>
              <w:rPr>
                <w:b/>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0A8AE4" w14:textId="77777777" w:rsidR="00281D48" w:rsidRPr="00364545" w:rsidRDefault="00281D48" w:rsidP="00281D48">
            <w:pPr>
              <w:spacing w:line="259" w:lineRule="auto"/>
              <w:ind w:left="19"/>
              <w:jc w:val="center"/>
              <w:rPr>
                <w:b/>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C7F3EF1" w14:textId="77777777" w:rsidR="00281D48" w:rsidRPr="00364545" w:rsidRDefault="00281D48" w:rsidP="00281D48">
            <w:pPr>
              <w:spacing w:line="259" w:lineRule="auto"/>
              <w:ind w:left="21"/>
              <w:jc w:val="center"/>
              <w:rPr>
                <w:b/>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89E95E4" w14:textId="77777777" w:rsidR="00281D48" w:rsidRPr="00364545" w:rsidRDefault="00281D48" w:rsidP="00281D48">
            <w:pPr>
              <w:spacing w:line="259" w:lineRule="auto"/>
              <w:ind w:left="21"/>
              <w:jc w:val="center"/>
              <w:rPr>
                <w:b/>
                <w:sz w:val="18"/>
              </w:rPr>
            </w:pPr>
            <w:r w:rsidRPr="00364545">
              <w:rPr>
                <w:b/>
                <w:sz w:val="18"/>
              </w:rPr>
              <w:t>479</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6E92CDD" w14:textId="77777777" w:rsidR="00281D48" w:rsidRPr="00364545" w:rsidRDefault="00281D48" w:rsidP="00281D48">
            <w:pPr>
              <w:spacing w:line="259" w:lineRule="auto"/>
              <w:ind w:left="19"/>
              <w:jc w:val="center"/>
              <w:rPr>
                <w:b/>
                <w:sz w:val="18"/>
              </w:rPr>
            </w:pPr>
            <w:r w:rsidRPr="00364545">
              <w:rPr>
                <w:b/>
                <w:sz w:val="18"/>
              </w:rPr>
              <w:t>395</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A6AD660" w14:textId="77777777" w:rsidR="00281D48" w:rsidRPr="00364545" w:rsidRDefault="00281D48" w:rsidP="00281D48">
            <w:pPr>
              <w:spacing w:line="259" w:lineRule="auto"/>
              <w:ind w:left="21"/>
              <w:jc w:val="center"/>
              <w:rPr>
                <w:b/>
                <w:sz w:val="18"/>
              </w:rPr>
            </w:pPr>
            <w:r w:rsidRPr="00364545">
              <w:rPr>
                <w:b/>
                <w:sz w:val="18"/>
              </w:rPr>
              <w:t>330</w:t>
            </w:r>
          </w:p>
        </w:tc>
        <w:tc>
          <w:tcPr>
            <w:tcW w:w="71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AF14A3" w14:textId="77777777" w:rsidR="00281D48" w:rsidRPr="00364545" w:rsidRDefault="00281D48" w:rsidP="00281D48">
            <w:pPr>
              <w:spacing w:line="259" w:lineRule="auto"/>
              <w:ind w:left="20"/>
              <w:jc w:val="center"/>
              <w:rPr>
                <w:b/>
                <w:sz w:val="18"/>
              </w:rPr>
            </w:pPr>
            <w:r w:rsidRPr="00364545">
              <w:rPr>
                <w:b/>
                <w:sz w:val="18"/>
              </w:rPr>
              <w:t>299</w:t>
            </w:r>
          </w:p>
        </w:tc>
        <w:tc>
          <w:tcPr>
            <w:tcW w:w="71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B7A369" w14:textId="77777777" w:rsidR="00281D48" w:rsidRPr="00364545" w:rsidRDefault="00281D48" w:rsidP="00281D48">
            <w:pPr>
              <w:spacing w:line="259" w:lineRule="auto"/>
              <w:ind w:left="20"/>
              <w:jc w:val="center"/>
              <w:rPr>
                <w:b/>
                <w:sz w:val="18"/>
              </w:rPr>
            </w:pPr>
            <w:r w:rsidRPr="00364545">
              <w:rPr>
                <w:b/>
                <w:sz w:val="18"/>
              </w:rPr>
              <w:t>205</w:t>
            </w:r>
          </w:p>
        </w:tc>
      </w:tr>
      <w:tr w:rsidR="00281D48" w:rsidRPr="00364545" w14:paraId="722F4941" w14:textId="77777777" w:rsidTr="009F2D1E">
        <w:trPr>
          <w:trHeight w:val="346"/>
        </w:trPr>
        <w:tc>
          <w:tcPr>
            <w:tcW w:w="1426" w:type="dxa"/>
            <w:tcBorders>
              <w:top w:val="single" w:sz="2" w:space="0" w:color="000000"/>
              <w:left w:val="single" w:sz="2" w:space="0" w:color="000000"/>
              <w:bottom w:val="single" w:sz="2" w:space="0" w:color="000000"/>
              <w:right w:val="single" w:sz="2" w:space="0" w:color="000000"/>
            </w:tcBorders>
          </w:tcPr>
          <w:p w14:paraId="46707F55" w14:textId="74666182" w:rsidR="00281D48" w:rsidRPr="00364545" w:rsidRDefault="00281D48" w:rsidP="00281D48">
            <w:pPr>
              <w:spacing w:line="259" w:lineRule="auto"/>
            </w:pPr>
            <w:r>
              <w:rPr>
                <w:b/>
                <w:sz w:val="18"/>
              </w:rPr>
              <w:t xml:space="preserve">Ensemble (avec UTCF) </w:t>
            </w:r>
          </w:p>
        </w:tc>
        <w:tc>
          <w:tcPr>
            <w:tcW w:w="722" w:type="dxa"/>
            <w:tcBorders>
              <w:top w:val="single" w:sz="2" w:space="0" w:color="000000"/>
              <w:left w:val="single" w:sz="2" w:space="0" w:color="000000"/>
              <w:bottom w:val="single" w:sz="2" w:space="0" w:color="000000"/>
              <w:right w:val="single" w:sz="2" w:space="0" w:color="000000"/>
            </w:tcBorders>
            <w:vAlign w:val="center"/>
          </w:tcPr>
          <w:p w14:paraId="64D1B4C5" w14:textId="77777777" w:rsidR="00281D48" w:rsidRPr="00364545" w:rsidRDefault="00281D48" w:rsidP="00281D48">
            <w:pPr>
              <w:spacing w:line="259" w:lineRule="auto"/>
              <w:ind w:left="16"/>
              <w:jc w:val="center"/>
              <w:rPr>
                <w:b/>
                <w:sz w:val="18"/>
              </w:rPr>
            </w:pPr>
            <w:r w:rsidRPr="005D0955">
              <w:rPr>
                <w:rFonts w:asciiTheme="majorHAnsi" w:hAnsiTheme="majorHAnsi"/>
                <w:sz w:val="18"/>
                <w:szCs w:val="18"/>
              </w:rPr>
              <w:t>5202</w:t>
            </w:r>
          </w:p>
        </w:tc>
        <w:tc>
          <w:tcPr>
            <w:tcW w:w="723" w:type="dxa"/>
            <w:tcBorders>
              <w:top w:val="single" w:sz="2" w:space="0" w:color="000000"/>
              <w:left w:val="single" w:sz="2" w:space="0" w:color="000000"/>
              <w:bottom w:val="single" w:sz="2" w:space="0" w:color="000000"/>
              <w:right w:val="single" w:sz="2" w:space="0" w:color="000000"/>
            </w:tcBorders>
            <w:vAlign w:val="center"/>
          </w:tcPr>
          <w:p w14:paraId="5C10E20D" w14:textId="77777777" w:rsidR="00281D48" w:rsidRPr="00364545" w:rsidRDefault="00281D48" w:rsidP="00281D48">
            <w:pPr>
              <w:spacing w:line="259" w:lineRule="auto"/>
              <w:ind w:left="19"/>
              <w:jc w:val="center"/>
              <w:rPr>
                <w:b/>
                <w:sz w:val="18"/>
              </w:rPr>
            </w:pPr>
            <w:r w:rsidRPr="005D0955">
              <w:rPr>
                <w:rFonts w:asciiTheme="majorHAnsi" w:hAnsiTheme="majorHAnsi"/>
                <w:sz w:val="18"/>
                <w:szCs w:val="18"/>
              </w:rPr>
              <w:t>3065</w:t>
            </w:r>
          </w:p>
        </w:tc>
        <w:tc>
          <w:tcPr>
            <w:tcW w:w="724" w:type="dxa"/>
            <w:tcBorders>
              <w:top w:val="single" w:sz="2" w:space="0" w:color="000000"/>
              <w:left w:val="single" w:sz="2" w:space="0" w:color="000000"/>
              <w:bottom w:val="single" w:sz="2" w:space="0" w:color="000000"/>
              <w:right w:val="single" w:sz="2" w:space="0" w:color="000000"/>
            </w:tcBorders>
            <w:vAlign w:val="center"/>
          </w:tcPr>
          <w:p w14:paraId="0EBCE990" w14:textId="77777777" w:rsidR="00281D48" w:rsidRPr="00364545" w:rsidRDefault="00281D48" w:rsidP="00281D48">
            <w:pPr>
              <w:spacing w:line="259" w:lineRule="auto"/>
              <w:ind w:left="19"/>
              <w:jc w:val="center"/>
              <w:rPr>
                <w:b/>
                <w:sz w:val="18"/>
              </w:rPr>
            </w:pPr>
            <w:r w:rsidRPr="005D0955">
              <w:rPr>
                <w:rFonts w:asciiTheme="majorHAnsi" w:hAnsiTheme="majorHAnsi"/>
                <w:sz w:val="18"/>
                <w:szCs w:val="18"/>
              </w:rPr>
              <w:t>2997</w:t>
            </w:r>
          </w:p>
        </w:tc>
        <w:tc>
          <w:tcPr>
            <w:tcW w:w="717" w:type="dxa"/>
            <w:tcBorders>
              <w:top w:val="single" w:sz="2" w:space="0" w:color="000000"/>
              <w:left w:val="single" w:sz="2" w:space="0" w:color="000000"/>
              <w:bottom w:val="single" w:sz="2" w:space="0" w:color="000000"/>
              <w:right w:val="single" w:sz="2" w:space="0" w:color="000000"/>
            </w:tcBorders>
            <w:vAlign w:val="center"/>
          </w:tcPr>
          <w:p w14:paraId="0058EED1" w14:textId="77777777" w:rsidR="00281D48" w:rsidRPr="00364545" w:rsidRDefault="00281D48" w:rsidP="00281D48">
            <w:pPr>
              <w:spacing w:line="259" w:lineRule="auto"/>
              <w:ind w:left="16"/>
              <w:jc w:val="center"/>
              <w:rPr>
                <w:b/>
                <w:sz w:val="18"/>
              </w:rPr>
            </w:pPr>
            <w:r w:rsidRPr="005D0955">
              <w:rPr>
                <w:rFonts w:asciiTheme="majorHAnsi" w:hAnsiTheme="majorHAnsi"/>
                <w:sz w:val="18"/>
                <w:szCs w:val="18"/>
              </w:rPr>
              <w:t>1760</w:t>
            </w:r>
          </w:p>
        </w:tc>
        <w:tc>
          <w:tcPr>
            <w:tcW w:w="710" w:type="dxa"/>
            <w:tcBorders>
              <w:top w:val="single" w:sz="2" w:space="0" w:color="000000"/>
              <w:left w:val="single" w:sz="2" w:space="0" w:color="000000"/>
              <w:bottom w:val="single" w:sz="2" w:space="0" w:color="000000"/>
              <w:right w:val="single" w:sz="2" w:space="0" w:color="000000"/>
            </w:tcBorders>
            <w:vAlign w:val="center"/>
          </w:tcPr>
          <w:p w14:paraId="6ECE6F8F" w14:textId="77777777" w:rsidR="00281D48" w:rsidRPr="00364545" w:rsidRDefault="00281D48" w:rsidP="00281D48">
            <w:pPr>
              <w:spacing w:line="259" w:lineRule="auto"/>
              <w:ind w:left="21"/>
              <w:jc w:val="center"/>
              <w:rPr>
                <w:b/>
                <w:sz w:val="18"/>
              </w:rPr>
            </w:pPr>
            <w:r w:rsidRPr="00634E4C">
              <w:rPr>
                <w:rFonts w:asciiTheme="majorHAnsi" w:hAnsiTheme="majorHAnsi"/>
                <w:sz w:val="18"/>
              </w:rPr>
              <w:t>617</w:t>
            </w:r>
          </w:p>
        </w:tc>
        <w:tc>
          <w:tcPr>
            <w:tcW w:w="710" w:type="dxa"/>
            <w:tcBorders>
              <w:top w:val="single" w:sz="2" w:space="0" w:color="000000"/>
              <w:left w:val="single" w:sz="2" w:space="0" w:color="000000"/>
              <w:bottom w:val="single" w:sz="2" w:space="0" w:color="000000"/>
              <w:right w:val="single" w:sz="2" w:space="0" w:color="000000"/>
            </w:tcBorders>
            <w:vAlign w:val="center"/>
          </w:tcPr>
          <w:p w14:paraId="009AC487" w14:textId="77777777" w:rsidR="00281D48" w:rsidRPr="00364545" w:rsidRDefault="00281D48" w:rsidP="00281D48">
            <w:pPr>
              <w:spacing w:line="259" w:lineRule="auto"/>
              <w:ind w:left="19"/>
              <w:jc w:val="center"/>
              <w:rPr>
                <w:b/>
                <w:sz w:val="18"/>
              </w:rPr>
            </w:pPr>
            <w:r w:rsidRPr="00634E4C">
              <w:rPr>
                <w:rFonts w:asciiTheme="majorHAnsi" w:hAnsiTheme="majorHAnsi"/>
                <w:sz w:val="18"/>
              </w:rPr>
              <w:t>537</w:t>
            </w:r>
          </w:p>
        </w:tc>
        <w:tc>
          <w:tcPr>
            <w:tcW w:w="625" w:type="dxa"/>
            <w:tcBorders>
              <w:top w:val="single" w:sz="2" w:space="0" w:color="000000"/>
              <w:left w:val="single" w:sz="2" w:space="0" w:color="000000"/>
              <w:bottom w:val="single" w:sz="2" w:space="0" w:color="000000"/>
              <w:right w:val="single" w:sz="2" w:space="0" w:color="000000"/>
            </w:tcBorders>
            <w:vAlign w:val="center"/>
          </w:tcPr>
          <w:p w14:paraId="4C722F68" w14:textId="77777777" w:rsidR="00281D48" w:rsidRPr="00364545" w:rsidRDefault="00281D48" w:rsidP="00281D48">
            <w:pPr>
              <w:spacing w:line="259" w:lineRule="auto"/>
              <w:ind w:left="21"/>
              <w:jc w:val="center"/>
              <w:rPr>
                <w:b/>
                <w:sz w:val="18"/>
              </w:rPr>
            </w:pPr>
            <w:r w:rsidRPr="005D0955">
              <w:rPr>
                <w:rFonts w:asciiTheme="majorHAnsi" w:hAnsiTheme="majorHAnsi"/>
                <w:sz w:val="18"/>
                <w:szCs w:val="18"/>
              </w:rPr>
              <w:t>615</w:t>
            </w:r>
          </w:p>
        </w:tc>
        <w:tc>
          <w:tcPr>
            <w:tcW w:w="715" w:type="dxa"/>
            <w:tcBorders>
              <w:top w:val="single" w:sz="2" w:space="0" w:color="000000"/>
              <w:left w:val="single" w:sz="2" w:space="0" w:color="000000"/>
              <w:bottom w:val="single" w:sz="2" w:space="0" w:color="000000"/>
              <w:right w:val="single" w:sz="2" w:space="0" w:color="000000"/>
            </w:tcBorders>
            <w:vAlign w:val="center"/>
          </w:tcPr>
          <w:p w14:paraId="539183BF" w14:textId="77777777" w:rsidR="00281D48" w:rsidRPr="00364545" w:rsidRDefault="00281D48" w:rsidP="00281D48">
            <w:pPr>
              <w:spacing w:line="259" w:lineRule="auto"/>
              <w:ind w:left="21"/>
              <w:jc w:val="center"/>
              <w:rPr>
                <w:b/>
                <w:sz w:val="18"/>
              </w:rPr>
            </w:pPr>
            <w:r w:rsidRPr="00364545">
              <w:rPr>
                <w:b/>
                <w:sz w:val="18"/>
              </w:rPr>
              <w:t>479</w:t>
            </w:r>
          </w:p>
        </w:tc>
        <w:tc>
          <w:tcPr>
            <w:tcW w:w="715" w:type="dxa"/>
            <w:tcBorders>
              <w:top w:val="single" w:sz="2" w:space="0" w:color="000000"/>
              <w:left w:val="single" w:sz="2" w:space="0" w:color="000000"/>
              <w:bottom w:val="single" w:sz="2" w:space="0" w:color="000000"/>
              <w:right w:val="single" w:sz="2" w:space="0" w:color="000000"/>
            </w:tcBorders>
            <w:vAlign w:val="center"/>
          </w:tcPr>
          <w:p w14:paraId="107808F6" w14:textId="77777777" w:rsidR="00281D48" w:rsidRPr="00364545" w:rsidRDefault="00281D48" w:rsidP="00281D48">
            <w:pPr>
              <w:spacing w:line="259" w:lineRule="auto"/>
              <w:ind w:left="19"/>
              <w:jc w:val="center"/>
              <w:rPr>
                <w:b/>
                <w:sz w:val="18"/>
              </w:rPr>
            </w:pPr>
            <w:r w:rsidRPr="00364545">
              <w:rPr>
                <w:b/>
                <w:sz w:val="18"/>
              </w:rPr>
              <w:t>395</w:t>
            </w:r>
          </w:p>
        </w:tc>
        <w:tc>
          <w:tcPr>
            <w:tcW w:w="716" w:type="dxa"/>
            <w:tcBorders>
              <w:top w:val="single" w:sz="2" w:space="0" w:color="000000"/>
              <w:left w:val="single" w:sz="2" w:space="0" w:color="000000"/>
              <w:bottom w:val="single" w:sz="2" w:space="0" w:color="000000"/>
              <w:right w:val="single" w:sz="2" w:space="0" w:color="000000"/>
            </w:tcBorders>
            <w:vAlign w:val="center"/>
          </w:tcPr>
          <w:p w14:paraId="67FC7F49" w14:textId="77777777" w:rsidR="00281D48" w:rsidRPr="00364545" w:rsidRDefault="00281D48" w:rsidP="00281D48">
            <w:pPr>
              <w:spacing w:line="259" w:lineRule="auto"/>
              <w:ind w:left="21"/>
              <w:jc w:val="center"/>
              <w:rPr>
                <w:b/>
                <w:sz w:val="18"/>
              </w:rPr>
            </w:pPr>
            <w:r w:rsidRPr="00364545">
              <w:rPr>
                <w:b/>
                <w:sz w:val="18"/>
              </w:rPr>
              <w:t>330</w:t>
            </w:r>
          </w:p>
        </w:tc>
        <w:tc>
          <w:tcPr>
            <w:tcW w:w="715" w:type="dxa"/>
            <w:tcBorders>
              <w:top w:val="single" w:sz="2" w:space="0" w:color="000000"/>
              <w:left w:val="single" w:sz="2" w:space="0" w:color="000000"/>
              <w:bottom w:val="single" w:sz="2" w:space="0" w:color="000000"/>
              <w:right w:val="single" w:sz="2" w:space="0" w:color="000000"/>
            </w:tcBorders>
            <w:vAlign w:val="center"/>
          </w:tcPr>
          <w:p w14:paraId="5CABFD04" w14:textId="77777777" w:rsidR="00281D48" w:rsidRPr="00364545" w:rsidRDefault="00281D48" w:rsidP="00281D48">
            <w:pPr>
              <w:spacing w:line="259" w:lineRule="auto"/>
              <w:ind w:left="20"/>
              <w:jc w:val="center"/>
              <w:rPr>
                <w:b/>
                <w:sz w:val="18"/>
              </w:rPr>
            </w:pPr>
            <w:r w:rsidRPr="00364545">
              <w:rPr>
                <w:b/>
                <w:sz w:val="18"/>
              </w:rPr>
              <w:t>299</w:t>
            </w:r>
          </w:p>
        </w:tc>
        <w:tc>
          <w:tcPr>
            <w:tcW w:w="716" w:type="dxa"/>
            <w:tcBorders>
              <w:top w:val="single" w:sz="2" w:space="0" w:color="000000"/>
              <w:left w:val="single" w:sz="2" w:space="0" w:color="000000"/>
              <w:bottom w:val="single" w:sz="2" w:space="0" w:color="000000"/>
              <w:right w:val="single" w:sz="2" w:space="0" w:color="000000"/>
            </w:tcBorders>
            <w:vAlign w:val="center"/>
          </w:tcPr>
          <w:p w14:paraId="4D167910" w14:textId="77777777" w:rsidR="00281D48" w:rsidRPr="00364545" w:rsidRDefault="00281D48" w:rsidP="00281D48">
            <w:pPr>
              <w:spacing w:line="259" w:lineRule="auto"/>
              <w:ind w:left="20"/>
              <w:jc w:val="center"/>
              <w:rPr>
                <w:b/>
                <w:sz w:val="18"/>
              </w:rPr>
            </w:pPr>
            <w:r w:rsidRPr="00364545">
              <w:rPr>
                <w:b/>
                <w:sz w:val="18"/>
              </w:rPr>
              <w:t>205</w:t>
            </w:r>
          </w:p>
        </w:tc>
      </w:tr>
    </w:tbl>
    <w:p w14:paraId="56CBA896" w14:textId="77777777" w:rsidR="00281D48" w:rsidRDefault="00281D48" w:rsidP="00CB5305"/>
    <w:p w14:paraId="15B4E161" w14:textId="77777777" w:rsidR="004E5AF5" w:rsidRDefault="004E5AF5" w:rsidP="004E5AF5">
      <w:pPr>
        <w:pStyle w:val="Caption"/>
      </w:pPr>
      <w:bookmarkStart w:id="563" w:name="_Toc123916522"/>
      <w:r>
        <w:t xml:space="preserve">Tableau </w:t>
      </w:r>
      <w:fldSimple w:instr=" SEQ Tableau \* ARABIC ">
        <w:r w:rsidR="00AB51D9">
          <w:rPr>
            <w:noProof/>
          </w:rPr>
          <w:t>30</w:t>
        </w:r>
      </w:fldSimple>
      <w:r>
        <w:t xml:space="preserve"> : </w:t>
      </w:r>
      <w:r w:rsidR="00CB5305" w:rsidRPr="00160820">
        <w:t xml:space="preserve">Projections d’émissions de PFC (en </w:t>
      </w:r>
      <w:r w:rsidR="00CB5305" w:rsidRPr="00590551">
        <w:t>kt</w:t>
      </w:r>
      <w:r w:rsidR="007F09F7">
        <w:t>CO</w:t>
      </w:r>
      <w:r w:rsidR="007F09F7" w:rsidRPr="007F09F7">
        <w:rPr>
          <w:vertAlign w:val="subscript"/>
        </w:rPr>
        <w:t>2</w:t>
      </w:r>
      <w:r w:rsidR="00CB5305" w:rsidRPr="00160820">
        <w:rPr>
          <w:vertAlign w:val="subscript"/>
        </w:rPr>
        <w:t>e</w:t>
      </w:r>
      <w:r w:rsidR="00CB5305" w:rsidRPr="00160820">
        <w:t xml:space="preserve">) au périmètre Kyoto dans le scénario </w:t>
      </w:r>
      <w:r w:rsidR="00CB5305">
        <w:t>AMS 2018</w:t>
      </w:r>
      <w:r w:rsidR="00260E0B">
        <w:t xml:space="preserve"> </w:t>
      </w:r>
      <w:r w:rsidR="00CB5305" w:rsidRPr="00160820">
        <w:t xml:space="preserve">(avec mesures </w:t>
      </w:r>
      <w:r w:rsidR="00CB5305">
        <w:t>supplémentaires</w:t>
      </w:r>
      <w:r w:rsidR="00CB5305" w:rsidRPr="00160820">
        <w:t>)</w:t>
      </w:r>
      <w:bookmarkEnd w:id="563"/>
    </w:p>
    <w:p w14:paraId="30FD4AA5" w14:textId="5B49B8F8" w:rsidR="00CB5305" w:rsidRDefault="00CB5305" w:rsidP="004E5AF5">
      <w:pPr>
        <w:pStyle w:val="Caption"/>
      </w:pPr>
      <w:r w:rsidRPr="006E15FD">
        <w:t xml:space="preserve">Source : Inventaire CCNUCC, Citepa/MTES, soumission </w:t>
      </w:r>
      <w:r w:rsidR="00281D48">
        <w:t>2022</w:t>
      </w:r>
      <w:r w:rsidR="00281D48" w:rsidRPr="006E15FD">
        <w:t xml:space="preserve"> </w:t>
      </w:r>
      <w:r w:rsidRPr="006E15FD">
        <w:t>et projections d’émissions MTES, 20</w:t>
      </w:r>
      <w:r>
        <w:t>18</w:t>
      </w:r>
    </w:p>
    <w:p w14:paraId="43CDD39A" w14:textId="77777777" w:rsidR="00281D48" w:rsidRPr="00364545" w:rsidRDefault="00281D48" w:rsidP="00281D48">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602"/>
        <w:gridCol w:w="727"/>
        <w:gridCol w:w="793"/>
        <w:gridCol w:w="765"/>
        <w:gridCol w:w="762"/>
        <w:gridCol w:w="666"/>
        <w:gridCol w:w="664"/>
        <w:gridCol w:w="620"/>
        <w:gridCol w:w="675"/>
        <w:gridCol w:w="673"/>
        <w:gridCol w:w="675"/>
        <w:gridCol w:w="674"/>
        <w:gridCol w:w="638"/>
      </w:tblGrid>
      <w:tr w:rsidR="00281D48" w:rsidRPr="00364545" w14:paraId="535C03B7" w14:textId="77777777" w:rsidTr="009F2D1E">
        <w:trPr>
          <w:trHeight w:val="402"/>
        </w:trPr>
        <w:tc>
          <w:tcPr>
            <w:tcW w:w="1602" w:type="dxa"/>
            <w:tcBorders>
              <w:top w:val="single" w:sz="2" w:space="0" w:color="000000"/>
              <w:left w:val="single" w:sz="2" w:space="0" w:color="000000"/>
              <w:bottom w:val="single" w:sz="2" w:space="0" w:color="000000"/>
              <w:right w:val="single" w:sz="2" w:space="0" w:color="000000"/>
            </w:tcBorders>
            <w:shd w:val="clear" w:color="auto" w:fill="6D2A78"/>
          </w:tcPr>
          <w:p w14:paraId="4A3B8FD7" w14:textId="77777777" w:rsidR="00281D48" w:rsidRPr="00364545" w:rsidRDefault="00281D48" w:rsidP="009F2D1E">
            <w:pPr>
              <w:spacing w:line="259" w:lineRule="auto"/>
            </w:pPr>
            <w:r w:rsidRPr="00364545">
              <w:t>AMS 18 – SF</w:t>
            </w:r>
            <w:r w:rsidRPr="00364545">
              <w:rPr>
                <w:vertAlign w:val="subscript"/>
              </w:rPr>
              <w:t>6</w:t>
            </w:r>
          </w:p>
        </w:tc>
        <w:tc>
          <w:tcPr>
            <w:tcW w:w="727" w:type="dxa"/>
            <w:tcBorders>
              <w:top w:val="single" w:sz="2" w:space="0" w:color="000000"/>
              <w:left w:val="single" w:sz="2" w:space="0" w:color="000000"/>
              <w:bottom w:val="single" w:sz="2" w:space="0" w:color="000000"/>
              <w:right w:val="single" w:sz="2" w:space="0" w:color="000000"/>
            </w:tcBorders>
            <w:shd w:val="clear" w:color="auto" w:fill="6D2A78"/>
          </w:tcPr>
          <w:p w14:paraId="6A09FD3A" w14:textId="77777777" w:rsidR="00281D48" w:rsidRPr="00364545" w:rsidRDefault="00281D48" w:rsidP="009F2D1E">
            <w:pPr>
              <w:spacing w:line="259" w:lineRule="auto"/>
              <w:ind w:left="19"/>
              <w:jc w:val="center"/>
            </w:pPr>
            <w:r w:rsidRPr="00364545">
              <w:rPr>
                <w:b/>
                <w:color w:val="FFFFFF"/>
                <w:sz w:val="18"/>
              </w:rPr>
              <w:t xml:space="preserve">1990 </w:t>
            </w:r>
          </w:p>
        </w:tc>
        <w:tc>
          <w:tcPr>
            <w:tcW w:w="793" w:type="dxa"/>
            <w:tcBorders>
              <w:top w:val="single" w:sz="2" w:space="0" w:color="000000"/>
              <w:left w:val="single" w:sz="2" w:space="0" w:color="000000"/>
              <w:bottom w:val="single" w:sz="2" w:space="0" w:color="000000"/>
              <w:right w:val="single" w:sz="2" w:space="0" w:color="000000"/>
            </w:tcBorders>
            <w:shd w:val="clear" w:color="auto" w:fill="6D2A78"/>
          </w:tcPr>
          <w:p w14:paraId="1C4476E9"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65" w:type="dxa"/>
            <w:tcBorders>
              <w:top w:val="single" w:sz="2" w:space="0" w:color="000000"/>
              <w:left w:val="single" w:sz="2" w:space="0" w:color="000000"/>
              <w:bottom w:val="single" w:sz="2" w:space="0" w:color="000000"/>
              <w:right w:val="single" w:sz="2" w:space="0" w:color="000000"/>
            </w:tcBorders>
            <w:shd w:val="clear" w:color="auto" w:fill="6D2A78"/>
          </w:tcPr>
          <w:p w14:paraId="09927E26" w14:textId="77777777" w:rsidR="00281D48" w:rsidRPr="00364545" w:rsidRDefault="00281D48" w:rsidP="009F2D1E">
            <w:pPr>
              <w:spacing w:line="259" w:lineRule="auto"/>
              <w:ind w:left="21"/>
              <w:jc w:val="center"/>
            </w:pPr>
            <w:r w:rsidRPr="00364545">
              <w:rPr>
                <w:b/>
                <w:color w:val="FFFFFF"/>
                <w:sz w:val="18"/>
              </w:rPr>
              <w:t xml:space="preserve">2000 </w:t>
            </w:r>
          </w:p>
        </w:tc>
        <w:tc>
          <w:tcPr>
            <w:tcW w:w="762" w:type="dxa"/>
            <w:tcBorders>
              <w:top w:val="single" w:sz="2" w:space="0" w:color="000000"/>
              <w:left w:val="single" w:sz="2" w:space="0" w:color="000000"/>
              <w:bottom w:val="single" w:sz="2" w:space="0" w:color="000000"/>
              <w:right w:val="single" w:sz="2" w:space="0" w:color="000000"/>
            </w:tcBorders>
            <w:shd w:val="clear" w:color="auto" w:fill="6D2A78"/>
          </w:tcPr>
          <w:p w14:paraId="53FE1F71" w14:textId="77777777" w:rsidR="00281D48" w:rsidRPr="00364545" w:rsidRDefault="00281D48" w:rsidP="009F2D1E">
            <w:pPr>
              <w:spacing w:line="259" w:lineRule="auto"/>
              <w:ind w:left="19"/>
              <w:jc w:val="center"/>
            </w:pPr>
            <w:r w:rsidRPr="00364545">
              <w:rPr>
                <w:b/>
                <w:color w:val="FFFFFF"/>
                <w:sz w:val="18"/>
              </w:rPr>
              <w:t xml:space="preserve">2005 </w:t>
            </w:r>
          </w:p>
        </w:tc>
        <w:tc>
          <w:tcPr>
            <w:tcW w:w="666" w:type="dxa"/>
            <w:tcBorders>
              <w:top w:val="single" w:sz="2" w:space="0" w:color="000000"/>
              <w:left w:val="single" w:sz="2" w:space="0" w:color="000000"/>
              <w:bottom w:val="single" w:sz="2" w:space="0" w:color="000000"/>
              <w:right w:val="single" w:sz="2" w:space="0" w:color="000000"/>
            </w:tcBorders>
            <w:shd w:val="clear" w:color="auto" w:fill="6D2A78"/>
          </w:tcPr>
          <w:p w14:paraId="57090F43" w14:textId="77777777" w:rsidR="00281D48" w:rsidRPr="00364545" w:rsidRDefault="00281D48" w:rsidP="009F2D1E">
            <w:pPr>
              <w:spacing w:line="259" w:lineRule="auto"/>
              <w:ind w:left="21"/>
              <w:jc w:val="center"/>
            </w:pPr>
            <w:r w:rsidRPr="00364545">
              <w:rPr>
                <w:b/>
                <w:color w:val="FFFFFF"/>
                <w:sz w:val="18"/>
              </w:rPr>
              <w:t xml:space="preserve">2010 </w:t>
            </w:r>
          </w:p>
        </w:tc>
        <w:tc>
          <w:tcPr>
            <w:tcW w:w="664" w:type="dxa"/>
            <w:tcBorders>
              <w:top w:val="single" w:sz="2" w:space="0" w:color="000000"/>
              <w:left w:val="single" w:sz="2" w:space="0" w:color="000000"/>
              <w:bottom w:val="single" w:sz="2" w:space="0" w:color="000000"/>
              <w:right w:val="single" w:sz="2" w:space="0" w:color="000000"/>
            </w:tcBorders>
            <w:shd w:val="clear" w:color="auto" w:fill="6D2A78"/>
          </w:tcPr>
          <w:p w14:paraId="119B55AF" w14:textId="77777777" w:rsidR="00281D48" w:rsidRPr="00364545" w:rsidRDefault="00281D48" w:rsidP="009F2D1E">
            <w:pPr>
              <w:spacing w:line="259" w:lineRule="auto"/>
              <w:ind w:left="19"/>
              <w:jc w:val="center"/>
            </w:pPr>
            <w:r w:rsidRPr="00364545">
              <w:rPr>
                <w:b/>
                <w:color w:val="FFFFFF"/>
                <w:sz w:val="18"/>
              </w:rPr>
              <w:t xml:space="preserve">2015 </w:t>
            </w:r>
          </w:p>
        </w:tc>
        <w:tc>
          <w:tcPr>
            <w:tcW w:w="620" w:type="dxa"/>
            <w:tcBorders>
              <w:top w:val="single" w:sz="2" w:space="0" w:color="000000"/>
              <w:left w:val="single" w:sz="2" w:space="0" w:color="000000"/>
              <w:bottom w:val="single" w:sz="2" w:space="0" w:color="000000"/>
              <w:right w:val="single" w:sz="2" w:space="0" w:color="000000"/>
            </w:tcBorders>
            <w:shd w:val="clear" w:color="auto" w:fill="6D2A78"/>
          </w:tcPr>
          <w:p w14:paraId="0F32D3F9" w14:textId="77777777" w:rsidR="00281D48" w:rsidRPr="00364545" w:rsidRDefault="00281D48" w:rsidP="009F2D1E">
            <w:pPr>
              <w:spacing w:line="259" w:lineRule="auto"/>
              <w:ind w:left="21"/>
              <w:jc w:val="center"/>
              <w:rPr>
                <w:b/>
                <w:color w:val="FFFFFF"/>
                <w:sz w:val="18"/>
              </w:rPr>
            </w:pPr>
            <w:r w:rsidRPr="00364545">
              <w:rPr>
                <w:b/>
                <w:color w:val="FFFFFF"/>
                <w:sz w:val="18"/>
              </w:rPr>
              <w:t>2019</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2BFAB02E" w14:textId="77777777" w:rsidR="00281D48" w:rsidRPr="00364545" w:rsidRDefault="00281D48" w:rsidP="009F2D1E">
            <w:pPr>
              <w:spacing w:line="259" w:lineRule="auto"/>
              <w:ind w:left="21"/>
              <w:jc w:val="center"/>
            </w:pPr>
            <w:r w:rsidRPr="00364545">
              <w:rPr>
                <w:b/>
                <w:color w:val="FFFFFF"/>
                <w:sz w:val="18"/>
              </w:rPr>
              <w:t xml:space="preserve">2020 </w:t>
            </w:r>
          </w:p>
        </w:tc>
        <w:tc>
          <w:tcPr>
            <w:tcW w:w="673" w:type="dxa"/>
            <w:tcBorders>
              <w:top w:val="single" w:sz="2" w:space="0" w:color="000000"/>
              <w:left w:val="single" w:sz="2" w:space="0" w:color="000000"/>
              <w:bottom w:val="single" w:sz="2" w:space="0" w:color="000000"/>
              <w:right w:val="single" w:sz="2" w:space="0" w:color="000000"/>
            </w:tcBorders>
            <w:shd w:val="clear" w:color="auto" w:fill="6D2A78"/>
          </w:tcPr>
          <w:p w14:paraId="4B459B71" w14:textId="77777777" w:rsidR="00281D48" w:rsidRPr="00364545" w:rsidRDefault="00281D48" w:rsidP="009F2D1E">
            <w:pPr>
              <w:spacing w:line="259" w:lineRule="auto"/>
              <w:ind w:left="19"/>
              <w:jc w:val="center"/>
            </w:pPr>
            <w:r w:rsidRPr="00364545">
              <w:rPr>
                <w:b/>
                <w:color w:val="FFFFFF"/>
                <w:sz w:val="18"/>
              </w:rPr>
              <w:t xml:space="preserve">2025 </w:t>
            </w:r>
          </w:p>
        </w:tc>
        <w:tc>
          <w:tcPr>
            <w:tcW w:w="675" w:type="dxa"/>
            <w:tcBorders>
              <w:top w:val="single" w:sz="2" w:space="0" w:color="000000"/>
              <w:left w:val="single" w:sz="2" w:space="0" w:color="000000"/>
              <w:bottom w:val="single" w:sz="2" w:space="0" w:color="000000"/>
              <w:right w:val="single" w:sz="2" w:space="0" w:color="000000"/>
            </w:tcBorders>
            <w:shd w:val="clear" w:color="auto" w:fill="6D2A78"/>
          </w:tcPr>
          <w:p w14:paraId="486929DF" w14:textId="77777777" w:rsidR="00281D48" w:rsidRPr="00364545" w:rsidRDefault="00281D48" w:rsidP="009F2D1E">
            <w:pPr>
              <w:spacing w:line="259" w:lineRule="auto"/>
              <w:ind w:left="21"/>
              <w:jc w:val="center"/>
            </w:pPr>
            <w:r w:rsidRPr="00364545">
              <w:rPr>
                <w:b/>
                <w:color w:val="FFFFFF"/>
                <w:sz w:val="18"/>
              </w:rPr>
              <w:t xml:space="preserve">2030 </w:t>
            </w:r>
          </w:p>
        </w:tc>
        <w:tc>
          <w:tcPr>
            <w:tcW w:w="674" w:type="dxa"/>
            <w:tcBorders>
              <w:top w:val="single" w:sz="2" w:space="0" w:color="000000"/>
              <w:left w:val="single" w:sz="2" w:space="0" w:color="000000"/>
              <w:bottom w:val="single" w:sz="2" w:space="0" w:color="000000"/>
              <w:right w:val="single" w:sz="2" w:space="0" w:color="000000"/>
            </w:tcBorders>
            <w:shd w:val="clear" w:color="auto" w:fill="6D2A78"/>
          </w:tcPr>
          <w:p w14:paraId="05783877" w14:textId="77777777" w:rsidR="00281D48" w:rsidRPr="00364545" w:rsidRDefault="00281D48" w:rsidP="009F2D1E">
            <w:pPr>
              <w:spacing w:line="259" w:lineRule="auto"/>
              <w:ind w:left="20"/>
              <w:jc w:val="center"/>
            </w:pPr>
            <w:r w:rsidRPr="00364545">
              <w:rPr>
                <w:b/>
                <w:color w:val="FFFFFF"/>
                <w:sz w:val="18"/>
              </w:rPr>
              <w:t xml:space="preserve">2035 </w:t>
            </w:r>
          </w:p>
        </w:tc>
        <w:tc>
          <w:tcPr>
            <w:tcW w:w="638" w:type="dxa"/>
            <w:tcBorders>
              <w:top w:val="single" w:sz="2" w:space="0" w:color="000000"/>
              <w:left w:val="single" w:sz="2" w:space="0" w:color="000000"/>
              <w:bottom w:val="single" w:sz="2" w:space="0" w:color="000000"/>
              <w:right w:val="single" w:sz="2" w:space="0" w:color="000000"/>
            </w:tcBorders>
            <w:shd w:val="clear" w:color="auto" w:fill="6D2A78"/>
          </w:tcPr>
          <w:p w14:paraId="701AE8A5"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56EF17A0" w14:textId="77777777" w:rsidTr="009F2D1E">
        <w:trPr>
          <w:trHeight w:val="347"/>
        </w:trPr>
        <w:tc>
          <w:tcPr>
            <w:tcW w:w="1602" w:type="dxa"/>
            <w:tcBorders>
              <w:top w:val="single" w:sz="2" w:space="0" w:color="000000"/>
              <w:left w:val="single" w:sz="2" w:space="0" w:color="000000"/>
              <w:bottom w:val="single" w:sz="2" w:space="0" w:color="000000"/>
              <w:right w:val="single" w:sz="2" w:space="0" w:color="000000"/>
            </w:tcBorders>
          </w:tcPr>
          <w:p w14:paraId="0C077467" w14:textId="0212F2FE" w:rsidR="00281D48" w:rsidRPr="00364545" w:rsidRDefault="00281D48" w:rsidP="00281D48">
            <w:pPr>
              <w:spacing w:line="259" w:lineRule="auto"/>
            </w:pPr>
            <w:r>
              <w:rPr>
                <w:sz w:val="18"/>
              </w:rPr>
              <w:t xml:space="preserve">Energie </w:t>
            </w:r>
          </w:p>
        </w:tc>
        <w:tc>
          <w:tcPr>
            <w:tcW w:w="727" w:type="dxa"/>
            <w:tcBorders>
              <w:top w:val="single" w:sz="2" w:space="0" w:color="000000"/>
              <w:left w:val="single" w:sz="2" w:space="0" w:color="000000"/>
              <w:bottom w:val="single" w:sz="2" w:space="0" w:color="000000"/>
              <w:right w:val="single" w:sz="2" w:space="0" w:color="000000"/>
            </w:tcBorders>
            <w:vAlign w:val="center"/>
          </w:tcPr>
          <w:p w14:paraId="15093CA2" w14:textId="77777777" w:rsidR="00281D48" w:rsidRPr="00364545" w:rsidRDefault="00281D48" w:rsidP="00281D48">
            <w:pPr>
              <w:spacing w:line="259" w:lineRule="auto"/>
              <w:ind w:left="14"/>
              <w:jc w:val="center"/>
            </w:pPr>
            <w:r w:rsidRPr="00634E4C">
              <w:rPr>
                <w:rFonts w:asciiTheme="majorHAnsi" w:hAnsiTheme="majorHAnsi"/>
                <w:sz w:val="18"/>
              </w:rPr>
              <w:t>0</w:t>
            </w:r>
          </w:p>
        </w:tc>
        <w:tc>
          <w:tcPr>
            <w:tcW w:w="793" w:type="dxa"/>
            <w:tcBorders>
              <w:top w:val="single" w:sz="2" w:space="0" w:color="000000"/>
              <w:left w:val="single" w:sz="2" w:space="0" w:color="000000"/>
              <w:bottom w:val="single" w:sz="2" w:space="0" w:color="000000"/>
              <w:right w:val="single" w:sz="2" w:space="0" w:color="000000"/>
            </w:tcBorders>
            <w:vAlign w:val="center"/>
          </w:tcPr>
          <w:p w14:paraId="1E67C295" w14:textId="77777777" w:rsidR="00281D48" w:rsidRPr="00364545" w:rsidRDefault="00281D48" w:rsidP="00281D48">
            <w:pPr>
              <w:spacing w:line="259" w:lineRule="auto"/>
              <w:ind w:left="16"/>
              <w:jc w:val="center"/>
            </w:pPr>
            <w:r w:rsidRPr="00634E4C">
              <w:rPr>
                <w:rFonts w:asciiTheme="majorHAnsi" w:hAnsiTheme="majorHAnsi"/>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0DA09CA8" w14:textId="77777777" w:rsidR="00281D48" w:rsidRPr="00364545" w:rsidRDefault="00281D48" w:rsidP="00281D48">
            <w:pPr>
              <w:spacing w:line="259" w:lineRule="auto"/>
              <w:ind w:left="16"/>
              <w:jc w:val="center"/>
            </w:pPr>
            <w:r w:rsidRPr="00634E4C">
              <w:rPr>
                <w:rFonts w:asciiTheme="majorHAnsi" w:hAnsiTheme="majorHAnsi"/>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65A69A4B" w14:textId="77777777" w:rsidR="00281D48" w:rsidRPr="00364545" w:rsidRDefault="00281D48" w:rsidP="00281D48">
            <w:pPr>
              <w:spacing w:line="259" w:lineRule="auto"/>
              <w:ind w:left="14"/>
              <w:jc w:val="center"/>
            </w:pPr>
            <w:r w:rsidRPr="00634E4C">
              <w:rPr>
                <w:rFonts w:asciiTheme="majorHAnsi" w:hAnsiTheme="majorHAnsi"/>
                <w:sz w:val="18"/>
              </w:rPr>
              <w:t>0</w:t>
            </w:r>
          </w:p>
        </w:tc>
        <w:tc>
          <w:tcPr>
            <w:tcW w:w="666" w:type="dxa"/>
            <w:tcBorders>
              <w:top w:val="single" w:sz="2" w:space="0" w:color="000000"/>
              <w:left w:val="single" w:sz="2" w:space="0" w:color="000000"/>
              <w:bottom w:val="single" w:sz="2" w:space="0" w:color="000000"/>
              <w:right w:val="single" w:sz="2" w:space="0" w:color="000000"/>
            </w:tcBorders>
            <w:vAlign w:val="center"/>
          </w:tcPr>
          <w:p w14:paraId="437A111A" w14:textId="77777777" w:rsidR="00281D48" w:rsidRPr="00364545" w:rsidRDefault="00281D48" w:rsidP="00281D48">
            <w:pPr>
              <w:spacing w:line="259" w:lineRule="auto"/>
              <w:ind w:left="16"/>
              <w:jc w:val="center"/>
            </w:pPr>
            <w:r w:rsidRPr="00634E4C">
              <w:rPr>
                <w:rFonts w:asciiTheme="majorHAnsi" w:hAnsiTheme="majorHAnsi"/>
                <w:sz w:val="18"/>
              </w:rPr>
              <w:t>0</w:t>
            </w:r>
          </w:p>
        </w:tc>
        <w:tc>
          <w:tcPr>
            <w:tcW w:w="664" w:type="dxa"/>
            <w:tcBorders>
              <w:top w:val="single" w:sz="2" w:space="0" w:color="000000"/>
              <w:left w:val="single" w:sz="2" w:space="0" w:color="000000"/>
              <w:bottom w:val="single" w:sz="2" w:space="0" w:color="000000"/>
              <w:right w:val="single" w:sz="2" w:space="0" w:color="000000"/>
            </w:tcBorders>
            <w:vAlign w:val="center"/>
          </w:tcPr>
          <w:p w14:paraId="3CEEF4D4" w14:textId="77777777" w:rsidR="00281D48" w:rsidRPr="00364545" w:rsidRDefault="00281D48" w:rsidP="00281D48">
            <w:pPr>
              <w:spacing w:line="259" w:lineRule="auto"/>
              <w:ind w:left="14"/>
              <w:jc w:val="center"/>
            </w:pPr>
            <w:r w:rsidRPr="00634E4C">
              <w:rPr>
                <w:rFonts w:asciiTheme="majorHAnsi" w:hAnsiTheme="majorHAnsi"/>
                <w:sz w:val="18"/>
              </w:rPr>
              <w:t>0</w:t>
            </w:r>
          </w:p>
        </w:tc>
        <w:tc>
          <w:tcPr>
            <w:tcW w:w="620" w:type="dxa"/>
            <w:tcBorders>
              <w:top w:val="single" w:sz="2" w:space="0" w:color="000000"/>
              <w:left w:val="single" w:sz="2" w:space="0" w:color="000000"/>
              <w:bottom w:val="single" w:sz="2" w:space="0" w:color="000000"/>
              <w:right w:val="single" w:sz="2" w:space="0" w:color="000000"/>
            </w:tcBorders>
            <w:vAlign w:val="center"/>
          </w:tcPr>
          <w:p w14:paraId="36332F73" w14:textId="77777777" w:rsidR="00281D48" w:rsidRPr="00364545" w:rsidRDefault="00281D48" w:rsidP="00281D48">
            <w:pPr>
              <w:spacing w:line="259" w:lineRule="auto"/>
              <w:ind w:left="16"/>
              <w:jc w:val="center"/>
            </w:pPr>
            <w:r w:rsidRPr="00634E4C">
              <w:rPr>
                <w:rFonts w:asciiTheme="majorHAnsi" w:hAnsiTheme="majorHAnsi"/>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64B01EB9" w14:textId="77777777" w:rsidR="00281D48" w:rsidRPr="00364545" w:rsidRDefault="00281D48" w:rsidP="00281D48">
            <w:pPr>
              <w:spacing w:line="259" w:lineRule="auto"/>
              <w:ind w:left="16"/>
              <w:jc w:val="center"/>
            </w:pPr>
            <w:r w:rsidRPr="00364545">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53979824" w14:textId="77777777" w:rsidR="00281D48" w:rsidRPr="00364545" w:rsidRDefault="00281D48" w:rsidP="00281D48">
            <w:pPr>
              <w:spacing w:line="259" w:lineRule="auto"/>
              <w:ind w:left="14"/>
              <w:jc w:val="center"/>
            </w:pPr>
            <w:r w:rsidRPr="00364545">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79B47D5C" w14:textId="77777777" w:rsidR="00281D48" w:rsidRPr="00364545" w:rsidRDefault="00281D48" w:rsidP="00281D48">
            <w:pPr>
              <w:spacing w:line="259" w:lineRule="auto"/>
              <w:ind w:left="16"/>
              <w:jc w:val="center"/>
            </w:pPr>
            <w:r w:rsidRPr="00364545">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1C3A1BEC" w14:textId="77777777" w:rsidR="00281D48" w:rsidRPr="00364545" w:rsidRDefault="00281D48" w:rsidP="00281D48">
            <w:pPr>
              <w:spacing w:line="259" w:lineRule="auto"/>
              <w:ind w:left="15"/>
              <w:jc w:val="center"/>
            </w:pPr>
            <w:r w:rsidRPr="00364545">
              <w:t>0</w:t>
            </w:r>
          </w:p>
        </w:tc>
        <w:tc>
          <w:tcPr>
            <w:tcW w:w="638" w:type="dxa"/>
            <w:tcBorders>
              <w:top w:val="single" w:sz="2" w:space="0" w:color="000000"/>
              <w:left w:val="single" w:sz="2" w:space="0" w:color="000000"/>
              <w:bottom w:val="single" w:sz="2" w:space="0" w:color="000000"/>
              <w:right w:val="single" w:sz="2" w:space="0" w:color="000000"/>
            </w:tcBorders>
            <w:vAlign w:val="center"/>
          </w:tcPr>
          <w:p w14:paraId="7C4DFCFB" w14:textId="77777777" w:rsidR="00281D48" w:rsidRPr="00364545" w:rsidRDefault="00281D48" w:rsidP="00281D48">
            <w:pPr>
              <w:spacing w:line="259" w:lineRule="auto"/>
              <w:ind w:left="15"/>
              <w:jc w:val="center"/>
            </w:pPr>
            <w:r w:rsidRPr="00364545">
              <w:t>0</w:t>
            </w:r>
          </w:p>
        </w:tc>
      </w:tr>
      <w:tr w:rsidR="00DC213D" w:rsidRPr="00364545" w14:paraId="089590F2" w14:textId="77777777" w:rsidTr="009F2D1E">
        <w:trPr>
          <w:trHeight w:val="416"/>
        </w:trPr>
        <w:tc>
          <w:tcPr>
            <w:tcW w:w="1602" w:type="dxa"/>
            <w:tcBorders>
              <w:top w:val="single" w:sz="2" w:space="0" w:color="000000"/>
              <w:left w:val="single" w:sz="2" w:space="0" w:color="000000"/>
              <w:bottom w:val="single" w:sz="2" w:space="0" w:color="000000"/>
              <w:right w:val="single" w:sz="2" w:space="0" w:color="000000"/>
            </w:tcBorders>
            <w:shd w:val="clear" w:color="auto" w:fill="ECE6E2"/>
          </w:tcPr>
          <w:p w14:paraId="2D6A4B70" w14:textId="2E28322E" w:rsidR="00DC213D" w:rsidRPr="00364545" w:rsidRDefault="00DC213D" w:rsidP="00DC213D">
            <w:pPr>
              <w:spacing w:line="259" w:lineRule="auto"/>
            </w:pPr>
            <w:r>
              <w:rPr>
                <w:sz w:val="18"/>
              </w:rPr>
              <w:t xml:space="preserve">Procédés industriels, solvants et autres produits </w:t>
            </w:r>
          </w:p>
        </w:tc>
        <w:tc>
          <w:tcPr>
            <w:tcW w:w="72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1DCDA42" w14:textId="77777777" w:rsidR="00DC213D" w:rsidRPr="00364545" w:rsidRDefault="00DC213D" w:rsidP="00DC213D">
            <w:pPr>
              <w:spacing w:line="259" w:lineRule="auto"/>
              <w:ind w:left="14"/>
              <w:jc w:val="center"/>
            </w:pPr>
            <w:r w:rsidRPr="005D0955">
              <w:rPr>
                <w:rFonts w:asciiTheme="majorHAnsi" w:hAnsiTheme="majorHAnsi"/>
                <w:sz w:val="18"/>
                <w:szCs w:val="18"/>
              </w:rPr>
              <w:t>2155</w:t>
            </w:r>
          </w:p>
        </w:tc>
        <w:tc>
          <w:tcPr>
            <w:tcW w:w="79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ADF642" w14:textId="77777777" w:rsidR="00DC213D" w:rsidRPr="00364545" w:rsidRDefault="00DC213D" w:rsidP="00DC213D">
            <w:pPr>
              <w:spacing w:line="259" w:lineRule="auto"/>
              <w:ind w:left="14"/>
              <w:jc w:val="cente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CD2B79" w14:textId="77777777" w:rsidR="00DC213D" w:rsidRPr="00364545" w:rsidRDefault="00DC213D" w:rsidP="00DC213D">
            <w:pPr>
              <w:spacing w:line="259" w:lineRule="auto"/>
              <w:ind w:left="14"/>
              <w:jc w:val="center"/>
            </w:pPr>
            <w:r w:rsidRPr="005D0955">
              <w:rPr>
                <w:rFonts w:asciiTheme="majorHAnsi" w:hAnsiTheme="majorHAnsi"/>
                <w:sz w:val="18"/>
                <w:szCs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609B792" w14:textId="77777777" w:rsidR="00DC213D" w:rsidRPr="00364545" w:rsidRDefault="00DC213D" w:rsidP="00DC213D">
            <w:pPr>
              <w:spacing w:line="259" w:lineRule="auto"/>
              <w:ind w:left="14"/>
              <w:jc w:val="center"/>
            </w:pPr>
            <w:r w:rsidRPr="005D0955">
              <w:rPr>
                <w:rFonts w:asciiTheme="majorHAnsi" w:hAnsiTheme="majorHAnsi"/>
                <w:sz w:val="18"/>
                <w:szCs w:val="18"/>
              </w:rPr>
              <w:t>1355</w:t>
            </w:r>
          </w:p>
        </w:tc>
        <w:tc>
          <w:tcPr>
            <w:tcW w:w="6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DD4241E" w14:textId="77777777" w:rsidR="00DC213D" w:rsidRPr="00364545" w:rsidRDefault="00DC213D" w:rsidP="00DC213D">
            <w:pPr>
              <w:spacing w:line="259" w:lineRule="auto"/>
              <w:ind w:left="14"/>
              <w:jc w:val="center"/>
            </w:pPr>
            <w:r w:rsidRPr="005D0955">
              <w:rPr>
                <w:rFonts w:asciiTheme="majorHAnsi" w:hAnsiTheme="majorHAnsi"/>
                <w:sz w:val="18"/>
                <w:szCs w:val="18"/>
              </w:rPr>
              <w:t>875</w:t>
            </w:r>
          </w:p>
        </w:tc>
        <w:tc>
          <w:tcPr>
            <w:tcW w:w="6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E7A890F" w14:textId="77777777" w:rsidR="00DC213D" w:rsidRPr="00364545" w:rsidRDefault="00DC213D" w:rsidP="00DC213D">
            <w:pPr>
              <w:spacing w:line="259" w:lineRule="auto"/>
              <w:ind w:left="14"/>
              <w:jc w:val="center"/>
            </w:pPr>
            <w:r w:rsidRPr="005D0955">
              <w:rPr>
                <w:rFonts w:asciiTheme="majorHAnsi" w:hAnsiTheme="majorHAnsi"/>
                <w:sz w:val="18"/>
                <w:szCs w:val="18"/>
              </w:rPr>
              <w:t>498</w:t>
            </w:r>
          </w:p>
        </w:tc>
        <w:tc>
          <w:tcPr>
            <w:tcW w:w="62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DE8EF85" w14:textId="77777777" w:rsidR="00DC213D" w:rsidRPr="00364545" w:rsidRDefault="00DC213D" w:rsidP="00DC213D">
            <w:pPr>
              <w:spacing w:line="259" w:lineRule="auto"/>
              <w:ind w:left="14"/>
              <w:jc w:val="cente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39B0CE" w14:textId="51683906" w:rsidR="00DC213D" w:rsidRPr="00364545" w:rsidRDefault="00DC213D" w:rsidP="00DC213D">
            <w:pPr>
              <w:spacing w:line="259" w:lineRule="auto"/>
              <w:ind w:left="14"/>
              <w:jc w:val="center"/>
            </w:pPr>
            <w:r>
              <w:t>458</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40D9D4" w14:textId="5EFFE0C5" w:rsidR="00DC213D" w:rsidRPr="00364545" w:rsidRDefault="00DC213D" w:rsidP="00DC213D">
            <w:pPr>
              <w:spacing w:line="259" w:lineRule="auto"/>
              <w:ind w:left="14"/>
              <w:jc w:val="center"/>
            </w:pPr>
            <w:r w:rsidRPr="00364545">
              <w:t>460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F171C1" w14:textId="6471587A" w:rsidR="00DC213D" w:rsidRPr="00364545" w:rsidRDefault="00DC213D" w:rsidP="00DC213D">
            <w:pPr>
              <w:spacing w:line="259" w:lineRule="auto"/>
              <w:ind w:left="14"/>
              <w:jc w:val="center"/>
            </w:pPr>
            <w:r w:rsidRPr="00364545">
              <w:t>460</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FA5EDDA" w14:textId="47B7C4D1" w:rsidR="00DC213D" w:rsidRPr="00364545" w:rsidRDefault="00DC213D" w:rsidP="00DC213D">
            <w:pPr>
              <w:spacing w:line="259" w:lineRule="auto"/>
              <w:ind w:left="14"/>
              <w:jc w:val="center"/>
            </w:pPr>
            <w:r>
              <w:t>460</w:t>
            </w:r>
          </w:p>
        </w:tc>
        <w:tc>
          <w:tcPr>
            <w:tcW w:w="63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A29E08" w14:textId="4C9BED31" w:rsidR="00DC213D" w:rsidRPr="00364545" w:rsidRDefault="00DC213D" w:rsidP="00DC213D">
            <w:pPr>
              <w:spacing w:line="259" w:lineRule="auto"/>
              <w:ind w:left="14"/>
              <w:jc w:val="center"/>
            </w:pPr>
            <w:r>
              <w:t>463</w:t>
            </w:r>
          </w:p>
        </w:tc>
      </w:tr>
      <w:tr w:rsidR="00DC213D" w:rsidRPr="00364545" w14:paraId="75E680D8" w14:textId="77777777" w:rsidTr="009F2D1E">
        <w:trPr>
          <w:trHeight w:val="347"/>
        </w:trPr>
        <w:tc>
          <w:tcPr>
            <w:tcW w:w="1602" w:type="dxa"/>
            <w:tcBorders>
              <w:top w:val="single" w:sz="2" w:space="0" w:color="000000"/>
              <w:left w:val="single" w:sz="2" w:space="0" w:color="000000"/>
              <w:bottom w:val="single" w:sz="2" w:space="0" w:color="000000"/>
              <w:right w:val="single" w:sz="2" w:space="0" w:color="000000"/>
            </w:tcBorders>
          </w:tcPr>
          <w:p w14:paraId="6CE646F0" w14:textId="15D353BA" w:rsidR="00DC213D" w:rsidRPr="00364545" w:rsidRDefault="00DC213D" w:rsidP="00DC213D">
            <w:pPr>
              <w:spacing w:line="259" w:lineRule="auto"/>
            </w:pPr>
            <w:r>
              <w:rPr>
                <w:sz w:val="18"/>
              </w:rPr>
              <w:t xml:space="preserve">Agriculture (hors énergie) </w:t>
            </w:r>
          </w:p>
        </w:tc>
        <w:tc>
          <w:tcPr>
            <w:tcW w:w="727" w:type="dxa"/>
            <w:tcBorders>
              <w:top w:val="single" w:sz="2" w:space="0" w:color="000000"/>
              <w:left w:val="single" w:sz="2" w:space="0" w:color="000000"/>
              <w:bottom w:val="single" w:sz="2" w:space="0" w:color="000000"/>
              <w:right w:val="single" w:sz="2" w:space="0" w:color="000000"/>
            </w:tcBorders>
            <w:vAlign w:val="center"/>
          </w:tcPr>
          <w:p w14:paraId="593C59C6" w14:textId="77777777" w:rsidR="00DC213D" w:rsidRPr="00364545" w:rsidRDefault="00DC213D" w:rsidP="00DC213D">
            <w:pPr>
              <w:spacing w:line="259" w:lineRule="auto"/>
              <w:ind w:left="14"/>
              <w:jc w:val="center"/>
            </w:pPr>
            <w:r w:rsidRPr="00634E4C">
              <w:rPr>
                <w:rFonts w:asciiTheme="majorHAnsi" w:hAnsiTheme="majorHAnsi"/>
                <w:sz w:val="18"/>
              </w:rPr>
              <w:t>0</w:t>
            </w:r>
          </w:p>
        </w:tc>
        <w:tc>
          <w:tcPr>
            <w:tcW w:w="793" w:type="dxa"/>
            <w:tcBorders>
              <w:top w:val="single" w:sz="2" w:space="0" w:color="000000"/>
              <w:left w:val="single" w:sz="2" w:space="0" w:color="000000"/>
              <w:bottom w:val="single" w:sz="2" w:space="0" w:color="000000"/>
              <w:right w:val="single" w:sz="2" w:space="0" w:color="000000"/>
            </w:tcBorders>
            <w:vAlign w:val="center"/>
          </w:tcPr>
          <w:p w14:paraId="7B4CF30B"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5214DF56"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05C8C747"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66" w:type="dxa"/>
            <w:tcBorders>
              <w:top w:val="single" w:sz="2" w:space="0" w:color="000000"/>
              <w:left w:val="single" w:sz="2" w:space="0" w:color="000000"/>
              <w:bottom w:val="single" w:sz="2" w:space="0" w:color="000000"/>
              <w:right w:val="single" w:sz="2" w:space="0" w:color="000000"/>
            </w:tcBorders>
            <w:vAlign w:val="center"/>
          </w:tcPr>
          <w:p w14:paraId="0291AAE4"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64" w:type="dxa"/>
            <w:tcBorders>
              <w:top w:val="single" w:sz="2" w:space="0" w:color="000000"/>
              <w:left w:val="single" w:sz="2" w:space="0" w:color="000000"/>
              <w:bottom w:val="single" w:sz="2" w:space="0" w:color="000000"/>
              <w:right w:val="single" w:sz="2" w:space="0" w:color="000000"/>
            </w:tcBorders>
            <w:vAlign w:val="center"/>
          </w:tcPr>
          <w:p w14:paraId="295593DE"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20" w:type="dxa"/>
            <w:tcBorders>
              <w:top w:val="single" w:sz="2" w:space="0" w:color="000000"/>
              <w:left w:val="single" w:sz="2" w:space="0" w:color="000000"/>
              <w:bottom w:val="single" w:sz="2" w:space="0" w:color="000000"/>
              <w:right w:val="single" w:sz="2" w:space="0" w:color="000000"/>
            </w:tcBorders>
            <w:vAlign w:val="center"/>
          </w:tcPr>
          <w:p w14:paraId="5316777A"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1FF26D45" w14:textId="09D673DB" w:rsidR="00DC213D" w:rsidRPr="00364545" w:rsidRDefault="00DC213D" w:rsidP="00DC213D">
            <w:pPr>
              <w:spacing w:line="259" w:lineRule="auto"/>
              <w:ind w:left="16"/>
              <w:jc w:val="center"/>
            </w:pPr>
            <w:r w:rsidRPr="00364545">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3256C3C3" w14:textId="14E4CF39" w:rsidR="00DC213D" w:rsidRPr="00364545" w:rsidRDefault="00DC213D" w:rsidP="00DC213D">
            <w:pPr>
              <w:spacing w:line="259" w:lineRule="auto"/>
              <w:ind w:left="14"/>
              <w:jc w:val="center"/>
            </w:pPr>
            <w:r w:rsidRPr="00364545">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45A0E58F" w14:textId="5DAFC9CD" w:rsidR="00DC213D" w:rsidRPr="00364545" w:rsidRDefault="00DC213D" w:rsidP="00DC213D">
            <w:pPr>
              <w:spacing w:line="259" w:lineRule="auto"/>
              <w:ind w:left="16"/>
              <w:jc w:val="center"/>
            </w:pPr>
            <w:r w:rsidRPr="00364545">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489370FF" w14:textId="409237C2" w:rsidR="00DC213D" w:rsidRPr="00364545" w:rsidRDefault="00DC213D" w:rsidP="00DC213D">
            <w:pPr>
              <w:spacing w:line="259" w:lineRule="auto"/>
              <w:ind w:left="15"/>
              <w:jc w:val="center"/>
            </w:pPr>
            <w:r w:rsidRPr="00364545">
              <w:t>0</w:t>
            </w:r>
          </w:p>
        </w:tc>
        <w:tc>
          <w:tcPr>
            <w:tcW w:w="638" w:type="dxa"/>
            <w:tcBorders>
              <w:top w:val="single" w:sz="2" w:space="0" w:color="000000"/>
              <w:left w:val="single" w:sz="2" w:space="0" w:color="000000"/>
              <w:bottom w:val="single" w:sz="2" w:space="0" w:color="000000"/>
              <w:right w:val="single" w:sz="2" w:space="0" w:color="000000"/>
            </w:tcBorders>
            <w:vAlign w:val="center"/>
          </w:tcPr>
          <w:p w14:paraId="5B62BC81" w14:textId="61173C58" w:rsidR="00DC213D" w:rsidRPr="00364545" w:rsidRDefault="00DC213D" w:rsidP="00DC213D">
            <w:pPr>
              <w:spacing w:line="259" w:lineRule="auto"/>
              <w:ind w:left="15"/>
              <w:jc w:val="center"/>
            </w:pPr>
            <w:r w:rsidRPr="00364545">
              <w:t>0</w:t>
            </w:r>
          </w:p>
        </w:tc>
      </w:tr>
      <w:tr w:rsidR="00DC213D" w:rsidRPr="00364545" w14:paraId="463A5BD3" w14:textId="77777777" w:rsidTr="009F2D1E">
        <w:trPr>
          <w:trHeight w:val="344"/>
        </w:trPr>
        <w:tc>
          <w:tcPr>
            <w:tcW w:w="1602" w:type="dxa"/>
            <w:tcBorders>
              <w:top w:val="single" w:sz="2" w:space="0" w:color="000000"/>
              <w:left w:val="single" w:sz="2" w:space="0" w:color="000000"/>
              <w:bottom w:val="single" w:sz="2" w:space="0" w:color="000000"/>
              <w:right w:val="single" w:sz="2" w:space="0" w:color="000000"/>
            </w:tcBorders>
            <w:shd w:val="clear" w:color="auto" w:fill="ECE6E2"/>
          </w:tcPr>
          <w:p w14:paraId="26E9D276" w14:textId="1657C76D" w:rsidR="00DC213D" w:rsidRPr="00364545" w:rsidRDefault="00DC213D" w:rsidP="00DC213D">
            <w:pPr>
              <w:spacing w:line="259" w:lineRule="auto"/>
            </w:pPr>
            <w:r>
              <w:rPr>
                <w:sz w:val="18"/>
              </w:rPr>
              <w:t xml:space="preserve">UTCF </w:t>
            </w:r>
          </w:p>
        </w:tc>
        <w:tc>
          <w:tcPr>
            <w:tcW w:w="72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33BB33C" w14:textId="77777777" w:rsidR="00DC213D" w:rsidRPr="00364545" w:rsidRDefault="00DC213D" w:rsidP="00DC213D">
            <w:pPr>
              <w:spacing w:line="259" w:lineRule="auto"/>
              <w:ind w:left="14"/>
              <w:jc w:val="center"/>
            </w:pPr>
            <w:r w:rsidRPr="00634E4C">
              <w:rPr>
                <w:rFonts w:asciiTheme="majorHAnsi" w:hAnsiTheme="majorHAnsi"/>
                <w:sz w:val="18"/>
              </w:rPr>
              <w:t>0</w:t>
            </w:r>
          </w:p>
        </w:tc>
        <w:tc>
          <w:tcPr>
            <w:tcW w:w="79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57F1BE"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E1E40F"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0F6EBB8"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BDA445"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553CE45"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2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B1D19C9"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73235E" w14:textId="7C861E0F" w:rsidR="00DC213D" w:rsidRPr="00364545" w:rsidRDefault="00DC213D" w:rsidP="00DC213D">
            <w:pPr>
              <w:spacing w:line="259" w:lineRule="auto"/>
              <w:ind w:left="16"/>
              <w:jc w:val="center"/>
            </w:pPr>
            <w:r w:rsidRPr="00364545">
              <w:t>0</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A207D7B" w14:textId="5E522B47" w:rsidR="00DC213D" w:rsidRPr="00364545" w:rsidRDefault="00DC213D" w:rsidP="00DC213D">
            <w:pPr>
              <w:spacing w:line="259" w:lineRule="auto"/>
              <w:ind w:left="14"/>
              <w:jc w:val="center"/>
            </w:pPr>
            <w:r w:rsidRPr="00364545">
              <w:t>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7A913B" w14:textId="3FF0BCD2" w:rsidR="00DC213D" w:rsidRPr="00364545" w:rsidRDefault="00DC213D" w:rsidP="00DC213D">
            <w:pPr>
              <w:spacing w:line="259" w:lineRule="auto"/>
              <w:ind w:left="16"/>
              <w:jc w:val="center"/>
            </w:pPr>
            <w:r w:rsidRPr="00364545">
              <w:t>0</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8224B17" w14:textId="41358904" w:rsidR="00DC213D" w:rsidRPr="00364545" w:rsidRDefault="00DC213D" w:rsidP="00DC213D">
            <w:pPr>
              <w:spacing w:line="259" w:lineRule="auto"/>
              <w:ind w:left="15"/>
              <w:jc w:val="center"/>
            </w:pPr>
            <w:r w:rsidRPr="00364545">
              <w:t>0</w:t>
            </w:r>
          </w:p>
        </w:tc>
        <w:tc>
          <w:tcPr>
            <w:tcW w:w="63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6A79635" w14:textId="5B12AB42" w:rsidR="00DC213D" w:rsidRPr="00364545" w:rsidRDefault="00DC213D" w:rsidP="00DC213D">
            <w:pPr>
              <w:spacing w:line="259" w:lineRule="auto"/>
              <w:ind w:left="15"/>
              <w:jc w:val="center"/>
            </w:pPr>
            <w:r w:rsidRPr="00364545">
              <w:t>0</w:t>
            </w:r>
          </w:p>
        </w:tc>
      </w:tr>
      <w:tr w:rsidR="00DC213D" w:rsidRPr="00364545" w14:paraId="327AD236" w14:textId="77777777" w:rsidTr="009F2D1E">
        <w:trPr>
          <w:trHeight w:val="346"/>
        </w:trPr>
        <w:tc>
          <w:tcPr>
            <w:tcW w:w="1602" w:type="dxa"/>
            <w:tcBorders>
              <w:top w:val="single" w:sz="2" w:space="0" w:color="000000"/>
              <w:left w:val="single" w:sz="2" w:space="0" w:color="000000"/>
              <w:bottom w:val="single" w:sz="2" w:space="0" w:color="000000"/>
              <w:right w:val="single" w:sz="2" w:space="0" w:color="000000"/>
            </w:tcBorders>
          </w:tcPr>
          <w:p w14:paraId="47E18F0F" w14:textId="17439D82" w:rsidR="00DC213D" w:rsidRPr="00364545" w:rsidRDefault="00DC213D" w:rsidP="00DC213D">
            <w:pPr>
              <w:spacing w:line="259" w:lineRule="auto"/>
            </w:pPr>
            <w:r>
              <w:rPr>
                <w:sz w:val="18"/>
              </w:rPr>
              <w:t xml:space="preserve">Déchets </w:t>
            </w:r>
          </w:p>
        </w:tc>
        <w:tc>
          <w:tcPr>
            <w:tcW w:w="727" w:type="dxa"/>
            <w:tcBorders>
              <w:top w:val="single" w:sz="2" w:space="0" w:color="000000"/>
              <w:left w:val="single" w:sz="2" w:space="0" w:color="000000"/>
              <w:bottom w:val="single" w:sz="2" w:space="0" w:color="000000"/>
              <w:right w:val="single" w:sz="2" w:space="0" w:color="000000"/>
            </w:tcBorders>
            <w:vAlign w:val="center"/>
          </w:tcPr>
          <w:p w14:paraId="333A1162" w14:textId="77777777" w:rsidR="00DC213D" w:rsidRPr="00364545" w:rsidRDefault="00DC213D" w:rsidP="00DC213D">
            <w:pPr>
              <w:spacing w:line="259" w:lineRule="auto"/>
              <w:ind w:left="14"/>
              <w:jc w:val="center"/>
            </w:pPr>
            <w:r w:rsidRPr="00634E4C">
              <w:rPr>
                <w:rFonts w:asciiTheme="majorHAnsi" w:hAnsiTheme="majorHAnsi"/>
                <w:sz w:val="18"/>
              </w:rPr>
              <w:t>0</w:t>
            </w:r>
          </w:p>
        </w:tc>
        <w:tc>
          <w:tcPr>
            <w:tcW w:w="793" w:type="dxa"/>
            <w:tcBorders>
              <w:top w:val="single" w:sz="2" w:space="0" w:color="000000"/>
              <w:left w:val="single" w:sz="2" w:space="0" w:color="000000"/>
              <w:bottom w:val="single" w:sz="2" w:space="0" w:color="000000"/>
              <w:right w:val="single" w:sz="2" w:space="0" w:color="000000"/>
            </w:tcBorders>
            <w:vAlign w:val="center"/>
          </w:tcPr>
          <w:p w14:paraId="55B9BBC2"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5" w:type="dxa"/>
            <w:tcBorders>
              <w:top w:val="single" w:sz="2" w:space="0" w:color="000000"/>
              <w:left w:val="single" w:sz="2" w:space="0" w:color="000000"/>
              <w:bottom w:val="single" w:sz="2" w:space="0" w:color="000000"/>
              <w:right w:val="single" w:sz="2" w:space="0" w:color="000000"/>
            </w:tcBorders>
            <w:vAlign w:val="center"/>
          </w:tcPr>
          <w:p w14:paraId="5164F58A"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762" w:type="dxa"/>
            <w:tcBorders>
              <w:top w:val="single" w:sz="2" w:space="0" w:color="000000"/>
              <w:left w:val="single" w:sz="2" w:space="0" w:color="000000"/>
              <w:bottom w:val="single" w:sz="2" w:space="0" w:color="000000"/>
              <w:right w:val="single" w:sz="2" w:space="0" w:color="000000"/>
            </w:tcBorders>
            <w:vAlign w:val="center"/>
          </w:tcPr>
          <w:p w14:paraId="292C96D6"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66" w:type="dxa"/>
            <w:tcBorders>
              <w:top w:val="single" w:sz="2" w:space="0" w:color="000000"/>
              <w:left w:val="single" w:sz="2" w:space="0" w:color="000000"/>
              <w:bottom w:val="single" w:sz="2" w:space="0" w:color="000000"/>
              <w:right w:val="single" w:sz="2" w:space="0" w:color="000000"/>
            </w:tcBorders>
            <w:vAlign w:val="center"/>
          </w:tcPr>
          <w:p w14:paraId="2EA35234"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64" w:type="dxa"/>
            <w:tcBorders>
              <w:top w:val="single" w:sz="2" w:space="0" w:color="000000"/>
              <w:left w:val="single" w:sz="2" w:space="0" w:color="000000"/>
              <w:bottom w:val="single" w:sz="2" w:space="0" w:color="000000"/>
              <w:right w:val="single" w:sz="2" w:space="0" w:color="000000"/>
            </w:tcBorders>
            <w:vAlign w:val="center"/>
          </w:tcPr>
          <w:p w14:paraId="4A957326" w14:textId="77777777" w:rsidR="00DC213D" w:rsidRPr="00364545" w:rsidRDefault="00DC213D" w:rsidP="00DC213D">
            <w:pPr>
              <w:spacing w:line="259" w:lineRule="auto"/>
              <w:ind w:left="14"/>
              <w:jc w:val="center"/>
            </w:pPr>
            <w:r w:rsidRPr="00634E4C">
              <w:rPr>
                <w:rFonts w:asciiTheme="majorHAnsi" w:hAnsiTheme="majorHAnsi"/>
                <w:b/>
                <w:color w:val="000000"/>
                <w:sz w:val="18"/>
              </w:rPr>
              <w:t>0</w:t>
            </w:r>
          </w:p>
        </w:tc>
        <w:tc>
          <w:tcPr>
            <w:tcW w:w="620" w:type="dxa"/>
            <w:tcBorders>
              <w:top w:val="single" w:sz="2" w:space="0" w:color="000000"/>
              <w:left w:val="single" w:sz="2" w:space="0" w:color="000000"/>
              <w:bottom w:val="single" w:sz="2" w:space="0" w:color="000000"/>
              <w:right w:val="single" w:sz="2" w:space="0" w:color="000000"/>
            </w:tcBorders>
            <w:vAlign w:val="center"/>
          </w:tcPr>
          <w:p w14:paraId="626F65F9" w14:textId="77777777" w:rsidR="00DC213D" w:rsidRPr="00364545" w:rsidRDefault="00DC213D" w:rsidP="00DC213D">
            <w:pPr>
              <w:spacing w:line="259" w:lineRule="auto"/>
              <w:ind w:left="16"/>
              <w:jc w:val="center"/>
            </w:pPr>
            <w:r w:rsidRPr="00634E4C">
              <w:rPr>
                <w:rFonts w:asciiTheme="majorHAnsi" w:hAnsiTheme="majorHAnsi"/>
                <w:b/>
                <w:color w:val="000000"/>
                <w:sz w:val="18"/>
              </w:rPr>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66A7F43F" w14:textId="3263E417" w:rsidR="00DC213D" w:rsidRPr="00364545" w:rsidRDefault="00DC213D" w:rsidP="00DC213D">
            <w:pPr>
              <w:spacing w:line="259" w:lineRule="auto"/>
              <w:ind w:left="16"/>
              <w:jc w:val="center"/>
            </w:pPr>
            <w:r w:rsidRPr="00364545">
              <w:t>0</w:t>
            </w:r>
          </w:p>
        </w:tc>
        <w:tc>
          <w:tcPr>
            <w:tcW w:w="673" w:type="dxa"/>
            <w:tcBorders>
              <w:top w:val="single" w:sz="2" w:space="0" w:color="000000"/>
              <w:left w:val="single" w:sz="2" w:space="0" w:color="000000"/>
              <w:bottom w:val="single" w:sz="2" w:space="0" w:color="000000"/>
              <w:right w:val="single" w:sz="2" w:space="0" w:color="000000"/>
            </w:tcBorders>
            <w:vAlign w:val="center"/>
          </w:tcPr>
          <w:p w14:paraId="5451F937" w14:textId="43C29599" w:rsidR="00DC213D" w:rsidRPr="00364545" w:rsidRDefault="00DC213D" w:rsidP="00DC213D">
            <w:pPr>
              <w:spacing w:line="259" w:lineRule="auto"/>
              <w:ind w:left="14"/>
              <w:jc w:val="center"/>
            </w:pPr>
            <w:r w:rsidRPr="00364545">
              <w:t>0</w:t>
            </w:r>
          </w:p>
        </w:tc>
        <w:tc>
          <w:tcPr>
            <w:tcW w:w="675" w:type="dxa"/>
            <w:tcBorders>
              <w:top w:val="single" w:sz="2" w:space="0" w:color="000000"/>
              <w:left w:val="single" w:sz="2" w:space="0" w:color="000000"/>
              <w:bottom w:val="single" w:sz="2" w:space="0" w:color="000000"/>
              <w:right w:val="single" w:sz="2" w:space="0" w:color="000000"/>
            </w:tcBorders>
            <w:vAlign w:val="center"/>
          </w:tcPr>
          <w:p w14:paraId="67D29522" w14:textId="4F79715E" w:rsidR="00DC213D" w:rsidRPr="00364545" w:rsidRDefault="00DC213D" w:rsidP="00DC213D">
            <w:pPr>
              <w:spacing w:line="259" w:lineRule="auto"/>
              <w:ind w:left="16"/>
              <w:jc w:val="center"/>
            </w:pPr>
            <w:r w:rsidRPr="00364545">
              <w:t>0</w:t>
            </w:r>
          </w:p>
        </w:tc>
        <w:tc>
          <w:tcPr>
            <w:tcW w:w="674" w:type="dxa"/>
            <w:tcBorders>
              <w:top w:val="single" w:sz="2" w:space="0" w:color="000000"/>
              <w:left w:val="single" w:sz="2" w:space="0" w:color="000000"/>
              <w:bottom w:val="single" w:sz="2" w:space="0" w:color="000000"/>
              <w:right w:val="single" w:sz="2" w:space="0" w:color="000000"/>
            </w:tcBorders>
            <w:vAlign w:val="center"/>
          </w:tcPr>
          <w:p w14:paraId="14B0379C" w14:textId="53C02A9D" w:rsidR="00DC213D" w:rsidRPr="00364545" w:rsidRDefault="00DC213D" w:rsidP="00DC213D">
            <w:pPr>
              <w:spacing w:line="259" w:lineRule="auto"/>
              <w:ind w:left="15"/>
              <w:jc w:val="center"/>
            </w:pPr>
            <w:r w:rsidRPr="00364545">
              <w:t>0</w:t>
            </w:r>
          </w:p>
        </w:tc>
        <w:tc>
          <w:tcPr>
            <w:tcW w:w="638" w:type="dxa"/>
            <w:tcBorders>
              <w:top w:val="single" w:sz="2" w:space="0" w:color="000000"/>
              <w:left w:val="single" w:sz="2" w:space="0" w:color="000000"/>
              <w:bottom w:val="single" w:sz="2" w:space="0" w:color="000000"/>
              <w:right w:val="single" w:sz="2" w:space="0" w:color="000000"/>
            </w:tcBorders>
            <w:vAlign w:val="center"/>
          </w:tcPr>
          <w:p w14:paraId="4752119F" w14:textId="541B0D6D" w:rsidR="00DC213D" w:rsidRPr="00364545" w:rsidRDefault="00DC213D" w:rsidP="00DC213D">
            <w:pPr>
              <w:spacing w:line="259" w:lineRule="auto"/>
              <w:ind w:left="15"/>
              <w:jc w:val="center"/>
            </w:pPr>
            <w:r w:rsidRPr="00364545">
              <w:t>0</w:t>
            </w:r>
          </w:p>
        </w:tc>
      </w:tr>
      <w:tr w:rsidR="00DC213D" w:rsidRPr="00364545" w14:paraId="7C3D9C5E" w14:textId="77777777" w:rsidTr="009F2D1E">
        <w:trPr>
          <w:trHeight w:val="343"/>
        </w:trPr>
        <w:tc>
          <w:tcPr>
            <w:tcW w:w="1602" w:type="dxa"/>
            <w:tcBorders>
              <w:top w:val="single" w:sz="2" w:space="0" w:color="000000"/>
              <w:left w:val="single" w:sz="2" w:space="0" w:color="000000"/>
              <w:bottom w:val="single" w:sz="2" w:space="0" w:color="000000"/>
              <w:right w:val="single" w:sz="2" w:space="0" w:color="000000"/>
            </w:tcBorders>
            <w:shd w:val="clear" w:color="auto" w:fill="ECE6E2"/>
          </w:tcPr>
          <w:p w14:paraId="2CDF261A" w14:textId="0D9212BD" w:rsidR="00DC213D" w:rsidRPr="00364545" w:rsidRDefault="00DC213D" w:rsidP="00DC213D">
            <w:pPr>
              <w:spacing w:line="259" w:lineRule="auto"/>
            </w:pPr>
            <w:r>
              <w:rPr>
                <w:b/>
                <w:sz w:val="18"/>
              </w:rPr>
              <w:t xml:space="preserve">Ensemble (hors UTCF) </w:t>
            </w:r>
          </w:p>
        </w:tc>
        <w:tc>
          <w:tcPr>
            <w:tcW w:w="72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C58E0A"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2155</w:t>
            </w:r>
          </w:p>
        </w:tc>
        <w:tc>
          <w:tcPr>
            <w:tcW w:w="79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0E6B9E6"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E768318"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2180</w:t>
            </w:r>
          </w:p>
        </w:tc>
        <w:tc>
          <w:tcPr>
            <w:tcW w:w="76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390280D" w14:textId="77777777" w:rsidR="00DC213D" w:rsidRPr="00364545" w:rsidRDefault="00DC213D" w:rsidP="00DC213D">
            <w:pPr>
              <w:spacing w:line="259" w:lineRule="auto"/>
              <w:ind w:left="14"/>
              <w:jc w:val="center"/>
              <w:rPr>
                <w:b/>
              </w:rPr>
            </w:pPr>
            <w:r w:rsidRPr="005D0955">
              <w:rPr>
                <w:rFonts w:asciiTheme="majorHAnsi" w:hAnsiTheme="majorHAnsi"/>
                <w:sz w:val="18"/>
                <w:szCs w:val="18"/>
              </w:rPr>
              <w:t>1355</w:t>
            </w:r>
          </w:p>
        </w:tc>
        <w:tc>
          <w:tcPr>
            <w:tcW w:w="666"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C5D7022" w14:textId="77777777" w:rsidR="00DC213D" w:rsidRPr="00364545" w:rsidRDefault="00DC213D" w:rsidP="00DC213D">
            <w:pPr>
              <w:spacing w:line="259" w:lineRule="auto"/>
              <w:ind w:left="14"/>
              <w:jc w:val="center"/>
              <w:rPr>
                <w:b/>
              </w:rPr>
            </w:pPr>
            <w:r w:rsidRPr="005D0955">
              <w:rPr>
                <w:rFonts w:asciiTheme="majorHAnsi" w:hAnsiTheme="majorHAnsi"/>
                <w:sz w:val="18"/>
                <w:szCs w:val="18"/>
              </w:rPr>
              <w:t>875</w:t>
            </w:r>
          </w:p>
        </w:tc>
        <w:tc>
          <w:tcPr>
            <w:tcW w:w="66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7A3BA65" w14:textId="77777777" w:rsidR="00DC213D" w:rsidRPr="00364545" w:rsidRDefault="00DC213D" w:rsidP="00DC213D">
            <w:pPr>
              <w:spacing w:line="259" w:lineRule="auto"/>
              <w:ind w:left="14"/>
              <w:jc w:val="center"/>
              <w:rPr>
                <w:b/>
              </w:rPr>
            </w:pPr>
            <w:r w:rsidRPr="005D0955">
              <w:rPr>
                <w:rFonts w:asciiTheme="majorHAnsi" w:hAnsiTheme="majorHAnsi"/>
                <w:sz w:val="18"/>
                <w:szCs w:val="18"/>
              </w:rPr>
              <w:t>498</w:t>
            </w:r>
          </w:p>
        </w:tc>
        <w:tc>
          <w:tcPr>
            <w:tcW w:w="620"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F3279B4" w14:textId="77777777" w:rsidR="00DC213D" w:rsidRPr="00364545" w:rsidRDefault="00DC213D" w:rsidP="00DC213D">
            <w:pPr>
              <w:spacing w:line="259" w:lineRule="auto"/>
              <w:ind w:left="14"/>
              <w:jc w:val="center"/>
              <w:rPr>
                <w:b/>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E73AD08" w14:textId="7DBBCB8A" w:rsidR="00DC213D" w:rsidRPr="00364545" w:rsidRDefault="00DC213D" w:rsidP="00DC213D">
            <w:pPr>
              <w:spacing w:line="259" w:lineRule="auto"/>
              <w:ind w:left="14"/>
              <w:jc w:val="center"/>
              <w:rPr>
                <w:b/>
              </w:rPr>
            </w:pPr>
            <w:r>
              <w:rPr>
                <w:b/>
              </w:rPr>
              <w:t>458</w:t>
            </w:r>
          </w:p>
        </w:tc>
        <w:tc>
          <w:tcPr>
            <w:tcW w:w="67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6C1E00C" w14:textId="4645078B" w:rsidR="00DC213D" w:rsidRPr="00364545" w:rsidRDefault="00DC213D" w:rsidP="00DC213D">
            <w:pPr>
              <w:spacing w:line="259" w:lineRule="auto"/>
              <w:ind w:left="14"/>
              <w:jc w:val="center"/>
              <w:rPr>
                <w:b/>
              </w:rPr>
            </w:pPr>
            <w:r w:rsidRPr="00364545">
              <w:rPr>
                <w:b/>
              </w:rPr>
              <w:t>460</w:t>
            </w:r>
          </w:p>
        </w:tc>
        <w:tc>
          <w:tcPr>
            <w:tcW w:w="675"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6BD2BE4" w14:textId="4EBBAA1E" w:rsidR="00DC213D" w:rsidRPr="00364545" w:rsidRDefault="00DC213D" w:rsidP="00DC213D">
            <w:pPr>
              <w:spacing w:line="259" w:lineRule="auto"/>
              <w:ind w:left="14"/>
              <w:jc w:val="center"/>
              <w:rPr>
                <w:b/>
              </w:rPr>
            </w:pPr>
            <w:r w:rsidRPr="00364545">
              <w:rPr>
                <w:b/>
              </w:rPr>
              <w:t>460</w:t>
            </w:r>
          </w:p>
        </w:tc>
        <w:tc>
          <w:tcPr>
            <w:tcW w:w="674"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249834D" w14:textId="35DC87CB" w:rsidR="00DC213D" w:rsidRPr="00364545" w:rsidRDefault="00DC213D" w:rsidP="00DC213D">
            <w:pPr>
              <w:spacing w:line="259" w:lineRule="auto"/>
              <w:ind w:left="14"/>
              <w:jc w:val="center"/>
              <w:rPr>
                <w:b/>
              </w:rPr>
            </w:pPr>
            <w:r>
              <w:rPr>
                <w:b/>
              </w:rPr>
              <w:t>460</w:t>
            </w:r>
          </w:p>
        </w:tc>
        <w:tc>
          <w:tcPr>
            <w:tcW w:w="638"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93EE0A9" w14:textId="4592399C" w:rsidR="00DC213D" w:rsidRPr="00364545" w:rsidRDefault="00DC213D" w:rsidP="00DC213D">
            <w:pPr>
              <w:spacing w:line="259" w:lineRule="auto"/>
              <w:ind w:left="14"/>
              <w:jc w:val="center"/>
              <w:rPr>
                <w:b/>
              </w:rPr>
            </w:pPr>
            <w:r>
              <w:rPr>
                <w:b/>
              </w:rPr>
              <w:t>463</w:t>
            </w:r>
          </w:p>
        </w:tc>
      </w:tr>
      <w:tr w:rsidR="00DC213D" w:rsidRPr="00364545" w14:paraId="25887E49" w14:textId="77777777" w:rsidTr="009F2D1E">
        <w:trPr>
          <w:trHeight w:val="346"/>
        </w:trPr>
        <w:tc>
          <w:tcPr>
            <w:tcW w:w="1602" w:type="dxa"/>
            <w:tcBorders>
              <w:top w:val="single" w:sz="2" w:space="0" w:color="000000"/>
              <w:left w:val="single" w:sz="2" w:space="0" w:color="000000"/>
              <w:bottom w:val="single" w:sz="2" w:space="0" w:color="000000"/>
              <w:right w:val="single" w:sz="2" w:space="0" w:color="000000"/>
            </w:tcBorders>
          </w:tcPr>
          <w:p w14:paraId="62A4AE6B" w14:textId="7FCE3E3E" w:rsidR="00DC213D" w:rsidRPr="00364545" w:rsidRDefault="00DC213D" w:rsidP="00DC213D">
            <w:pPr>
              <w:spacing w:line="259" w:lineRule="auto"/>
            </w:pPr>
            <w:r>
              <w:rPr>
                <w:b/>
                <w:sz w:val="18"/>
              </w:rPr>
              <w:t xml:space="preserve">Ensemble (avec UTCF) </w:t>
            </w:r>
          </w:p>
        </w:tc>
        <w:tc>
          <w:tcPr>
            <w:tcW w:w="727" w:type="dxa"/>
            <w:tcBorders>
              <w:top w:val="single" w:sz="2" w:space="0" w:color="000000"/>
              <w:left w:val="single" w:sz="2" w:space="0" w:color="000000"/>
              <w:bottom w:val="single" w:sz="2" w:space="0" w:color="000000"/>
              <w:right w:val="single" w:sz="2" w:space="0" w:color="000000"/>
            </w:tcBorders>
            <w:vAlign w:val="center"/>
          </w:tcPr>
          <w:p w14:paraId="62C42AD7"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2155</w:t>
            </w:r>
          </w:p>
        </w:tc>
        <w:tc>
          <w:tcPr>
            <w:tcW w:w="793" w:type="dxa"/>
            <w:tcBorders>
              <w:top w:val="single" w:sz="2" w:space="0" w:color="000000"/>
              <w:left w:val="single" w:sz="2" w:space="0" w:color="000000"/>
              <w:bottom w:val="single" w:sz="2" w:space="0" w:color="000000"/>
              <w:right w:val="single" w:sz="2" w:space="0" w:color="000000"/>
            </w:tcBorders>
            <w:vAlign w:val="center"/>
          </w:tcPr>
          <w:p w14:paraId="1AAC707F"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2467</w:t>
            </w:r>
          </w:p>
        </w:tc>
        <w:tc>
          <w:tcPr>
            <w:tcW w:w="765" w:type="dxa"/>
            <w:tcBorders>
              <w:top w:val="single" w:sz="2" w:space="0" w:color="000000"/>
              <w:left w:val="single" w:sz="2" w:space="0" w:color="000000"/>
              <w:bottom w:val="single" w:sz="2" w:space="0" w:color="000000"/>
              <w:right w:val="single" w:sz="2" w:space="0" w:color="000000"/>
            </w:tcBorders>
            <w:vAlign w:val="center"/>
          </w:tcPr>
          <w:p w14:paraId="64646B50" w14:textId="77777777" w:rsidR="00DC213D" w:rsidRPr="00364545" w:rsidRDefault="00DC213D" w:rsidP="00DC213D">
            <w:pPr>
              <w:spacing w:line="259" w:lineRule="auto"/>
              <w:ind w:left="14"/>
              <w:jc w:val="center"/>
              <w:rPr>
                <w:b/>
              </w:rPr>
            </w:pPr>
            <w:r w:rsidRPr="005D0955">
              <w:rPr>
                <w:rFonts w:asciiTheme="majorHAnsi" w:hAnsiTheme="majorHAnsi"/>
                <w:sz w:val="18"/>
                <w:szCs w:val="18"/>
              </w:rPr>
              <w:t>2180</w:t>
            </w:r>
          </w:p>
        </w:tc>
        <w:tc>
          <w:tcPr>
            <w:tcW w:w="762" w:type="dxa"/>
            <w:tcBorders>
              <w:top w:val="single" w:sz="2" w:space="0" w:color="000000"/>
              <w:left w:val="single" w:sz="2" w:space="0" w:color="000000"/>
              <w:bottom w:val="single" w:sz="2" w:space="0" w:color="000000"/>
              <w:right w:val="single" w:sz="2" w:space="0" w:color="000000"/>
            </w:tcBorders>
            <w:vAlign w:val="center"/>
          </w:tcPr>
          <w:p w14:paraId="7B75B839" w14:textId="77777777" w:rsidR="00DC213D" w:rsidRPr="00364545" w:rsidRDefault="00DC213D" w:rsidP="00DC213D">
            <w:pPr>
              <w:spacing w:line="259" w:lineRule="auto"/>
              <w:ind w:left="14"/>
              <w:jc w:val="center"/>
              <w:rPr>
                <w:b/>
              </w:rPr>
            </w:pPr>
            <w:r w:rsidRPr="005D0955">
              <w:rPr>
                <w:rFonts w:asciiTheme="majorHAnsi" w:hAnsiTheme="majorHAnsi"/>
                <w:sz w:val="18"/>
                <w:szCs w:val="18"/>
              </w:rPr>
              <w:t>1355</w:t>
            </w:r>
          </w:p>
        </w:tc>
        <w:tc>
          <w:tcPr>
            <w:tcW w:w="666" w:type="dxa"/>
            <w:tcBorders>
              <w:top w:val="single" w:sz="2" w:space="0" w:color="000000"/>
              <w:left w:val="single" w:sz="2" w:space="0" w:color="000000"/>
              <w:bottom w:val="single" w:sz="2" w:space="0" w:color="000000"/>
              <w:right w:val="single" w:sz="2" w:space="0" w:color="000000"/>
            </w:tcBorders>
            <w:vAlign w:val="center"/>
          </w:tcPr>
          <w:p w14:paraId="6E294C94" w14:textId="77777777" w:rsidR="00DC213D" w:rsidRPr="00364545" w:rsidRDefault="00DC213D" w:rsidP="00DC213D">
            <w:pPr>
              <w:spacing w:line="259" w:lineRule="auto"/>
              <w:ind w:left="14"/>
              <w:jc w:val="center"/>
              <w:rPr>
                <w:b/>
              </w:rPr>
            </w:pPr>
            <w:r w:rsidRPr="005D0955">
              <w:rPr>
                <w:rFonts w:asciiTheme="majorHAnsi" w:hAnsiTheme="majorHAnsi"/>
                <w:sz w:val="18"/>
                <w:szCs w:val="18"/>
              </w:rPr>
              <w:t>875</w:t>
            </w:r>
          </w:p>
        </w:tc>
        <w:tc>
          <w:tcPr>
            <w:tcW w:w="664" w:type="dxa"/>
            <w:tcBorders>
              <w:top w:val="single" w:sz="2" w:space="0" w:color="000000"/>
              <w:left w:val="single" w:sz="2" w:space="0" w:color="000000"/>
              <w:bottom w:val="single" w:sz="2" w:space="0" w:color="000000"/>
              <w:right w:val="single" w:sz="2" w:space="0" w:color="000000"/>
            </w:tcBorders>
            <w:vAlign w:val="center"/>
          </w:tcPr>
          <w:p w14:paraId="416BBCEE" w14:textId="77777777" w:rsidR="00DC213D" w:rsidRPr="00364545" w:rsidRDefault="00DC213D" w:rsidP="00DC213D">
            <w:pPr>
              <w:spacing w:line="259" w:lineRule="auto"/>
              <w:ind w:left="14"/>
              <w:jc w:val="center"/>
              <w:rPr>
                <w:b/>
              </w:rPr>
            </w:pPr>
            <w:r w:rsidRPr="005D0955">
              <w:rPr>
                <w:rFonts w:asciiTheme="majorHAnsi" w:hAnsiTheme="majorHAnsi"/>
                <w:sz w:val="18"/>
                <w:szCs w:val="18"/>
              </w:rPr>
              <w:t>498</w:t>
            </w:r>
          </w:p>
        </w:tc>
        <w:tc>
          <w:tcPr>
            <w:tcW w:w="620" w:type="dxa"/>
            <w:tcBorders>
              <w:top w:val="single" w:sz="2" w:space="0" w:color="000000"/>
              <w:left w:val="single" w:sz="2" w:space="0" w:color="000000"/>
              <w:bottom w:val="single" w:sz="2" w:space="0" w:color="000000"/>
              <w:right w:val="single" w:sz="2" w:space="0" w:color="000000"/>
            </w:tcBorders>
            <w:vAlign w:val="center"/>
          </w:tcPr>
          <w:p w14:paraId="5D3BD757" w14:textId="77777777" w:rsidR="00DC213D" w:rsidRPr="00364545" w:rsidRDefault="00DC213D" w:rsidP="00DC213D">
            <w:pPr>
              <w:spacing w:line="259" w:lineRule="auto"/>
              <w:ind w:left="14"/>
              <w:jc w:val="center"/>
              <w:rPr>
                <w:b/>
              </w:rPr>
            </w:pPr>
            <w:r w:rsidRPr="005D0955">
              <w:rPr>
                <w:rFonts w:asciiTheme="majorHAnsi" w:hAnsiTheme="majorHAnsi"/>
                <w:sz w:val="18"/>
                <w:szCs w:val="18"/>
              </w:rPr>
              <w:t>385</w:t>
            </w:r>
          </w:p>
        </w:tc>
        <w:tc>
          <w:tcPr>
            <w:tcW w:w="675" w:type="dxa"/>
            <w:tcBorders>
              <w:top w:val="single" w:sz="2" w:space="0" w:color="000000"/>
              <w:left w:val="single" w:sz="2" w:space="0" w:color="000000"/>
              <w:bottom w:val="single" w:sz="2" w:space="0" w:color="000000"/>
              <w:right w:val="single" w:sz="2" w:space="0" w:color="000000"/>
            </w:tcBorders>
            <w:vAlign w:val="center"/>
          </w:tcPr>
          <w:p w14:paraId="5BC11F7D" w14:textId="7070814A" w:rsidR="00DC213D" w:rsidRPr="00364545" w:rsidRDefault="00DC213D" w:rsidP="00DC213D">
            <w:pPr>
              <w:spacing w:line="259" w:lineRule="auto"/>
              <w:ind w:left="14"/>
              <w:jc w:val="center"/>
              <w:rPr>
                <w:b/>
              </w:rPr>
            </w:pPr>
            <w:r>
              <w:rPr>
                <w:b/>
              </w:rPr>
              <w:t>458</w:t>
            </w:r>
          </w:p>
        </w:tc>
        <w:tc>
          <w:tcPr>
            <w:tcW w:w="673" w:type="dxa"/>
            <w:tcBorders>
              <w:top w:val="single" w:sz="2" w:space="0" w:color="000000"/>
              <w:left w:val="single" w:sz="2" w:space="0" w:color="000000"/>
              <w:bottom w:val="single" w:sz="2" w:space="0" w:color="000000"/>
              <w:right w:val="single" w:sz="2" w:space="0" w:color="000000"/>
            </w:tcBorders>
            <w:vAlign w:val="center"/>
          </w:tcPr>
          <w:p w14:paraId="1AE1D40E" w14:textId="1993C6C9" w:rsidR="00DC213D" w:rsidRPr="00364545" w:rsidRDefault="00DC213D" w:rsidP="00DC213D">
            <w:pPr>
              <w:spacing w:line="259" w:lineRule="auto"/>
              <w:ind w:left="14"/>
              <w:jc w:val="center"/>
              <w:rPr>
                <w:b/>
              </w:rPr>
            </w:pPr>
            <w:r w:rsidRPr="00364545">
              <w:rPr>
                <w:b/>
              </w:rPr>
              <w:t>460</w:t>
            </w:r>
          </w:p>
        </w:tc>
        <w:tc>
          <w:tcPr>
            <w:tcW w:w="675" w:type="dxa"/>
            <w:tcBorders>
              <w:top w:val="single" w:sz="2" w:space="0" w:color="000000"/>
              <w:left w:val="single" w:sz="2" w:space="0" w:color="000000"/>
              <w:bottom w:val="single" w:sz="2" w:space="0" w:color="000000"/>
              <w:right w:val="single" w:sz="2" w:space="0" w:color="000000"/>
            </w:tcBorders>
            <w:vAlign w:val="center"/>
          </w:tcPr>
          <w:p w14:paraId="6490E82A" w14:textId="3C0345D6" w:rsidR="00DC213D" w:rsidRPr="00364545" w:rsidRDefault="00DC213D" w:rsidP="00DC213D">
            <w:pPr>
              <w:spacing w:line="259" w:lineRule="auto"/>
              <w:ind w:left="14"/>
              <w:jc w:val="center"/>
              <w:rPr>
                <w:b/>
              </w:rPr>
            </w:pPr>
            <w:r w:rsidRPr="00364545">
              <w:rPr>
                <w:b/>
              </w:rPr>
              <w:t>460</w:t>
            </w:r>
          </w:p>
        </w:tc>
        <w:tc>
          <w:tcPr>
            <w:tcW w:w="674" w:type="dxa"/>
            <w:tcBorders>
              <w:top w:val="single" w:sz="2" w:space="0" w:color="000000"/>
              <w:left w:val="single" w:sz="2" w:space="0" w:color="000000"/>
              <w:bottom w:val="single" w:sz="2" w:space="0" w:color="000000"/>
              <w:right w:val="single" w:sz="2" w:space="0" w:color="000000"/>
            </w:tcBorders>
            <w:vAlign w:val="center"/>
          </w:tcPr>
          <w:p w14:paraId="26276D40" w14:textId="28B9133A" w:rsidR="00DC213D" w:rsidRPr="00364545" w:rsidRDefault="00DC213D" w:rsidP="00DC213D">
            <w:pPr>
              <w:spacing w:line="259" w:lineRule="auto"/>
              <w:ind w:left="14"/>
              <w:jc w:val="center"/>
              <w:rPr>
                <w:b/>
              </w:rPr>
            </w:pPr>
            <w:r>
              <w:rPr>
                <w:b/>
              </w:rPr>
              <w:t>460</w:t>
            </w:r>
          </w:p>
        </w:tc>
        <w:tc>
          <w:tcPr>
            <w:tcW w:w="638" w:type="dxa"/>
            <w:tcBorders>
              <w:top w:val="single" w:sz="2" w:space="0" w:color="000000"/>
              <w:left w:val="single" w:sz="2" w:space="0" w:color="000000"/>
              <w:bottom w:val="single" w:sz="2" w:space="0" w:color="000000"/>
              <w:right w:val="single" w:sz="2" w:space="0" w:color="000000"/>
            </w:tcBorders>
            <w:vAlign w:val="center"/>
          </w:tcPr>
          <w:p w14:paraId="5196E97F" w14:textId="383656FA" w:rsidR="00DC213D" w:rsidRPr="00364545" w:rsidRDefault="00DC213D" w:rsidP="00DC213D">
            <w:pPr>
              <w:spacing w:line="259" w:lineRule="auto"/>
              <w:ind w:left="14"/>
              <w:jc w:val="center"/>
              <w:rPr>
                <w:b/>
              </w:rPr>
            </w:pPr>
            <w:r>
              <w:rPr>
                <w:b/>
              </w:rPr>
              <w:t>463</w:t>
            </w:r>
          </w:p>
        </w:tc>
      </w:tr>
    </w:tbl>
    <w:p w14:paraId="5D3C3F84" w14:textId="77777777" w:rsidR="00281D48" w:rsidRPr="00905D7C" w:rsidRDefault="00281D48" w:rsidP="00261D3D"/>
    <w:p w14:paraId="002576AF" w14:textId="77777777" w:rsidR="00CB5305" w:rsidRDefault="00CB5305" w:rsidP="00CB5305">
      <w:pPr>
        <w:rPr>
          <w:sz w:val="18"/>
          <w:szCs w:val="18"/>
        </w:rPr>
      </w:pPr>
    </w:p>
    <w:p w14:paraId="6D374D6D" w14:textId="77777777" w:rsidR="004E5AF5" w:rsidRDefault="004E5AF5" w:rsidP="004E5AF5">
      <w:pPr>
        <w:pStyle w:val="Caption"/>
      </w:pPr>
      <w:bookmarkStart w:id="564" w:name="_Toc123916523"/>
      <w:r>
        <w:t xml:space="preserve">Tableau </w:t>
      </w:r>
      <w:fldSimple w:instr=" SEQ Tableau \* ARABIC ">
        <w:r w:rsidR="00AB51D9">
          <w:rPr>
            <w:noProof/>
          </w:rPr>
          <w:t>31</w:t>
        </w:r>
      </w:fldSimple>
      <w:r>
        <w:t xml:space="preserve"> : </w:t>
      </w:r>
      <w:r w:rsidR="00CB5305" w:rsidRPr="00160820">
        <w:t xml:space="preserve">Projections d’émissions de </w:t>
      </w:r>
      <w:r w:rsidR="007F09F7">
        <w:t>SF</w:t>
      </w:r>
      <w:r w:rsidR="007F09F7" w:rsidRPr="007F09F7">
        <w:rPr>
          <w:vertAlign w:val="subscript"/>
        </w:rPr>
        <w:t>6</w:t>
      </w:r>
      <w:r w:rsidR="00CB5305" w:rsidRPr="00160820">
        <w:t xml:space="preserve"> (en </w:t>
      </w:r>
      <w:r w:rsidR="00CB5305" w:rsidRPr="00590551">
        <w:t>kt</w:t>
      </w:r>
      <w:r w:rsidR="007F09F7">
        <w:t>CO</w:t>
      </w:r>
      <w:r w:rsidR="007F09F7" w:rsidRPr="007F09F7">
        <w:rPr>
          <w:vertAlign w:val="subscript"/>
        </w:rPr>
        <w:t>2</w:t>
      </w:r>
      <w:r w:rsidR="00CB5305" w:rsidRPr="00160820">
        <w:rPr>
          <w:vertAlign w:val="subscript"/>
        </w:rPr>
        <w:t>e</w:t>
      </w:r>
      <w:r w:rsidR="00CB5305" w:rsidRPr="00160820">
        <w:t xml:space="preserve">) au périmètre Kyoto dans le scénario </w:t>
      </w:r>
      <w:r w:rsidR="00CB5305">
        <w:t>AMS 2018</w:t>
      </w:r>
      <w:r w:rsidR="00CB5305" w:rsidRPr="00160820">
        <w:t xml:space="preserve"> (avec mesures </w:t>
      </w:r>
      <w:r w:rsidR="00CB5305">
        <w:t>supplémentaires</w:t>
      </w:r>
      <w:r w:rsidR="00CB5305" w:rsidRPr="00160820">
        <w:t>)</w:t>
      </w:r>
      <w:bookmarkEnd w:id="564"/>
    </w:p>
    <w:p w14:paraId="396D2316" w14:textId="415EAA89" w:rsidR="00CB5305" w:rsidRPr="006E15FD" w:rsidRDefault="00CB5305" w:rsidP="004E5AF5">
      <w:pPr>
        <w:pStyle w:val="Caption"/>
      </w:pPr>
      <w:r w:rsidRPr="006E15FD">
        <w:t xml:space="preserve">Source : Inventaire CCNUCC, Citepa/MTES, soumission </w:t>
      </w:r>
      <w:r w:rsidR="00281D48">
        <w:t xml:space="preserve">2022 </w:t>
      </w:r>
      <w:r w:rsidRPr="006E15FD">
        <w:t>et projections d’émissions MTES, 20</w:t>
      </w:r>
      <w:r>
        <w:t>18</w:t>
      </w:r>
    </w:p>
    <w:p w14:paraId="34EB734C" w14:textId="77777777" w:rsidR="00281D48" w:rsidRPr="00364545" w:rsidRDefault="00281D48" w:rsidP="00281D48">
      <w:pPr>
        <w:rPr>
          <w:sz w:val="18"/>
          <w:szCs w:val="18"/>
        </w:rPr>
      </w:pPr>
    </w:p>
    <w:tbl>
      <w:tblPr>
        <w:tblStyle w:val="TableGrid0"/>
        <w:tblW w:w="9934" w:type="dxa"/>
        <w:tblInd w:w="10" w:type="dxa"/>
        <w:tblCellMar>
          <w:top w:w="39" w:type="dxa"/>
          <w:left w:w="28" w:type="dxa"/>
          <w:bottom w:w="2" w:type="dxa"/>
          <w:right w:w="48" w:type="dxa"/>
        </w:tblCellMar>
        <w:tblLook w:val="04A0" w:firstRow="1" w:lastRow="0" w:firstColumn="1" w:lastColumn="0" w:noHBand="0" w:noVBand="1"/>
      </w:tblPr>
      <w:tblGrid>
        <w:gridCol w:w="1554"/>
        <w:gridCol w:w="701"/>
        <w:gridCol w:w="703"/>
        <w:gridCol w:w="707"/>
        <w:gridCol w:w="707"/>
        <w:gridCol w:w="703"/>
        <w:gridCol w:w="702"/>
        <w:gridCol w:w="622"/>
        <w:gridCol w:w="707"/>
        <w:gridCol w:w="707"/>
        <w:gridCol w:w="707"/>
        <w:gridCol w:w="707"/>
        <w:gridCol w:w="707"/>
      </w:tblGrid>
      <w:tr w:rsidR="00281D48" w:rsidRPr="00364545" w14:paraId="4D3C3495" w14:textId="77777777" w:rsidTr="009F2D1E">
        <w:trPr>
          <w:trHeight w:val="401"/>
        </w:trPr>
        <w:tc>
          <w:tcPr>
            <w:tcW w:w="1554" w:type="dxa"/>
            <w:tcBorders>
              <w:top w:val="single" w:sz="2" w:space="0" w:color="000000"/>
              <w:left w:val="single" w:sz="2" w:space="0" w:color="000000"/>
              <w:bottom w:val="single" w:sz="2" w:space="0" w:color="000000"/>
              <w:right w:val="single" w:sz="2" w:space="0" w:color="000000"/>
            </w:tcBorders>
            <w:shd w:val="clear" w:color="auto" w:fill="6D2A78"/>
          </w:tcPr>
          <w:p w14:paraId="47B2F084" w14:textId="77777777" w:rsidR="00281D48" w:rsidRPr="00364545" w:rsidRDefault="00281D48" w:rsidP="009F2D1E">
            <w:pPr>
              <w:spacing w:line="259" w:lineRule="auto"/>
            </w:pPr>
            <w:r>
              <w:t>AME</w:t>
            </w:r>
            <w:r w:rsidRPr="00364545">
              <w:t xml:space="preserve"> 18 </w:t>
            </w:r>
            <w:r w:rsidRPr="00C01073">
              <w:rPr>
                <w:szCs w:val="22"/>
              </w:rPr>
              <w:t xml:space="preserve">– </w:t>
            </w:r>
            <w:r w:rsidRPr="00634E4C">
              <w:t>NF3</w:t>
            </w:r>
          </w:p>
        </w:tc>
        <w:tc>
          <w:tcPr>
            <w:tcW w:w="701" w:type="dxa"/>
            <w:tcBorders>
              <w:top w:val="single" w:sz="2" w:space="0" w:color="000000"/>
              <w:left w:val="single" w:sz="2" w:space="0" w:color="000000"/>
              <w:bottom w:val="single" w:sz="2" w:space="0" w:color="000000"/>
              <w:right w:val="single" w:sz="2" w:space="0" w:color="000000"/>
            </w:tcBorders>
            <w:shd w:val="clear" w:color="auto" w:fill="6D2A78"/>
          </w:tcPr>
          <w:p w14:paraId="36C1E3DA" w14:textId="77777777" w:rsidR="00281D48" w:rsidRPr="00364545" w:rsidRDefault="00281D48" w:rsidP="009F2D1E">
            <w:pPr>
              <w:spacing w:line="259" w:lineRule="auto"/>
              <w:ind w:left="19"/>
              <w:jc w:val="center"/>
            </w:pPr>
            <w:r w:rsidRPr="00364545">
              <w:rPr>
                <w:b/>
                <w:color w:val="FFFFFF"/>
                <w:sz w:val="18"/>
              </w:rPr>
              <w:t xml:space="preserve">1990 </w:t>
            </w:r>
          </w:p>
        </w:tc>
        <w:tc>
          <w:tcPr>
            <w:tcW w:w="703" w:type="dxa"/>
            <w:tcBorders>
              <w:top w:val="single" w:sz="2" w:space="0" w:color="000000"/>
              <w:left w:val="single" w:sz="2" w:space="0" w:color="000000"/>
              <w:bottom w:val="single" w:sz="2" w:space="0" w:color="000000"/>
              <w:right w:val="single" w:sz="2" w:space="0" w:color="000000"/>
            </w:tcBorders>
            <w:shd w:val="clear" w:color="auto" w:fill="6D2A78"/>
          </w:tcPr>
          <w:p w14:paraId="474EEB40" w14:textId="77777777" w:rsidR="00281D48" w:rsidRPr="00364545" w:rsidRDefault="00281D48" w:rsidP="009F2D1E">
            <w:pPr>
              <w:spacing w:line="259" w:lineRule="auto"/>
              <w:ind w:left="21"/>
              <w:jc w:val="center"/>
              <w:rPr>
                <w:b/>
                <w:color w:val="FFFFFF"/>
                <w:sz w:val="18"/>
              </w:rPr>
            </w:pPr>
            <w:r w:rsidRPr="00364545">
              <w:rPr>
                <w:b/>
                <w:color w:val="FFFFFF"/>
                <w:sz w:val="18"/>
              </w:rPr>
              <w:t>1995</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39A3D3E9" w14:textId="77777777" w:rsidR="00281D48" w:rsidRPr="00364545" w:rsidRDefault="00281D48" w:rsidP="009F2D1E">
            <w:pPr>
              <w:spacing w:line="259" w:lineRule="auto"/>
              <w:ind w:left="21"/>
              <w:jc w:val="center"/>
            </w:pPr>
            <w:r w:rsidRPr="00364545">
              <w:rPr>
                <w:b/>
                <w:color w:val="FFFFFF"/>
                <w:sz w:val="18"/>
              </w:rPr>
              <w:t xml:space="preserve">2000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5D056D6E" w14:textId="77777777" w:rsidR="00281D48" w:rsidRPr="00364545" w:rsidRDefault="00281D48" w:rsidP="009F2D1E">
            <w:pPr>
              <w:spacing w:line="259" w:lineRule="auto"/>
              <w:ind w:left="19"/>
              <w:jc w:val="center"/>
            </w:pPr>
            <w:r w:rsidRPr="00364545">
              <w:rPr>
                <w:b/>
                <w:color w:val="FFFFFF"/>
                <w:sz w:val="18"/>
              </w:rPr>
              <w:t xml:space="preserve">2005 </w:t>
            </w:r>
          </w:p>
        </w:tc>
        <w:tc>
          <w:tcPr>
            <w:tcW w:w="703" w:type="dxa"/>
            <w:tcBorders>
              <w:top w:val="single" w:sz="2" w:space="0" w:color="000000"/>
              <w:left w:val="single" w:sz="2" w:space="0" w:color="000000"/>
              <w:bottom w:val="single" w:sz="2" w:space="0" w:color="000000"/>
              <w:right w:val="single" w:sz="2" w:space="0" w:color="000000"/>
            </w:tcBorders>
            <w:shd w:val="clear" w:color="auto" w:fill="6D2A78"/>
          </w:tcPr>
          <w:p w14:paraId="3444025B" w14:textId="77777777" w:rsidR="00281D48" w:rsidRPr="00364545" w:rsidRDefault="00281D48" w:rsidP="009F2D1E">
            <w:pPr>
              <w:spacing w:line="259" w:lineRule="auto"/>
              <w:ind w:left="21"/>
              <w:jc w:val="center"/>
            </w:pPr>
            <w:r w:rsidRPr="00364545">
              <w:rPr>
                <w:b/>
                <w:color w:val="FFFFFF"/>
                <w:sz w:val="18"/>
              </w:rPr>
              <w:t xml:space="preserve">2010 </w:t>
            </w:r>
          </w:p>
        </w:tc>
        <w:tc>
          <w:tcPr>
            <w:tcW w:w="702" w:type="dxa"/>
            <w:tcBorders>
              <w:top w:val="single" w:sz="2" w:space="0" w:color="000000"/>
              <w:left w:val="single" w:sz="2" w:space="0" w:color="000000"/>
              <w:bottom w:val="single" w:sz="2" w:space="0" w:color="000000"/>
              <w:right w:val="single" w:sz="2" w:space="0" w:color="000000"/>
            </w:tcBorders>
            <w:shd w:val="clear" w:color="auto" w:fill="6D2A78"/>
          </w:tcPr>
          <w:p w14:paraId="301B3E64" w14:textId="77777777" w:rsidR="00281D48" w:rsidRPr="00364545" w:rsidRDefault="00281D48" w:rsidP="009F2D1E">
            <w:pPr>
              <w:spacing w:line="259" w:lineRule="auto"/>
              <w:ind w:left="19"/>
              <w:jc w:val="center"/>
            </w:pPr>
            <w:r w:rsidRPr="00364545">
              <w:rPr>
                <w:b/>
                <w:color w:val="FFFFFF"/>
                <w:sz w:val="18"/>
              </w:rPr>
              <w:t xml:space="preserve">2015 </w:t>
            </w:r>
          </w:p>
        </w:tc>
        <w:tc>
          <w:tcPr>
            <w:tcW w:w="622" w:type="dxa"/>
            <w:tcBorders>
              <w:top w:val="single" w:sz="2" w:space="0" w:color="000000"/>
              <w:left w:val="single" w:sz="2" w:space="0" w:color="000000"/>
              <w:bottom w:val="single" w:sz="2" w:space="0" w:color="000000"/>
              <w:right w:val="single" w:sz="2" w:space="0" w:color="000000"/>
            </w:tcBorders>
            <w:shd w:val="clear" w:color="auto" w:fill="6D2A78"/>
          </w:tcPr>
          <w:p w14:paraId="20355A4C" w14:textId="77777777" w:rsidR="00281D48" w:rsidRPr="00364545" w:rsidRDefault="00281D48" w:rsidP="009F2D1E">
            <w:pPr>
              <w:spacing w:line="259" w:lineRule="auto"/>
              <w:ind w:left="21"/>
              <w:jc w:val="center"/>
              <w:rPr>
                <w:b/>
                <w:color w:val="FFFFFF"/>
                <w:sz w:val="18"/>
              </w:rPr>
            </w:pPr>
            <w:r>
              <w:rPr>
                <w:b/>
                <w:color w:val="FFFFFF"/>
                <w:sz w:val="18"/>
              </w:rPr>
              <w:t>2019</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39D5D287" w14:textId="77777777" w:rsidR="00281D48" w:rsidRPr="00364545" w:rsidRDefault="00281D48" w:rsidP="009F2D1E">
            <w:pPr>
              <w:spacing w:line="259" w:lineRule="auto"/>
              <w:ind w:left="21"/>
              <w:jc w:val="center"/>
            </w:pPr>
            <w:r w:rsidRPr="00364545">
              <w:rPr>
                <w:b/>
                <w:color w:val="FFFFFF"/>
                <w:sz w:val="18"/>
              </w:rPr>
              <w:t xml:space="preserve">2020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5AFA525E" w14:textId="77777777" w:rsidR="00281D48" w:rsidRPr="00364545" w:rsidRDefault="00281D48" w:rsidP="009F2D1E">
            <w:pPr>
              <w:spacing w:line="259" w:lineRule="auto"/>
              <w:ind w:left="19"/>
              <w:jc w:val="center"/>
            </w:pPr>
            <w:r w:rsidRPr="00364545">
              <w:rPr>
                <w:b/>
                <w:color w:val="FFFFFF"/>
                <w:sz w:val="18"/>
              </w:rPr>
              <w:t xml:space="preserve">2025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5036CB5F" w14:textId="77777777" w:rsidR="00281D48" w:rsidRPr="00364545" w:rsidRDefault="00281D48" w:rsidP="009F2D1E">
            <w:pPr>
              <w:spacing w:line="259" w:lineRule="auto"/>
              <w:ind w:left="21"/>
              <w:jc w:val="center"/>
            </w:pPr>
            <w:r w:rsidRPr="00364545">
              <w:rPr>
                <w:b/>
                <w:color w:val="FFFFFF"/>
                <w:sz w:val="18"/>
              </w:rPr>
              <w:t xml:space="preserve">2030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6124D294" w14:textId="77777777" w:rsidR="00281D48" w:rsidRPr="00364545" w:rsidRDefault="00281D48" w:rsidP="009F2D1E">
            <w:pPr>
              <w:spacing w:line="259" w:lineRule="auto"/>
              <w:ind w:left="20"/>
              <w:jc w:val="center"/>
            </w:pPr>
            <w:r w:rsidRPr="00364545">
              <w:rPr>
                <w:b/>
                <w:color w:val="FFFFFF"/>
                <w:sz w:val="18"/>
              </w:rPr>
              <w:t xml:space="preserve">2035 </w:t>
            </w:r>
          </w:p>
        </w:tc>
        <w:tc>
          <w:tcPr>
            <w:tcW w:w="707" w:type="dxa"/>
            <w:tcBorders>
              <w:top w:val="single" w:sz="2" w:space="0" w:color="000000"/>
              <w:left w:val="single" w:sz="2" w:space="0" w:color="000000"/>
              <w:bottom w:val="single" w:sz="2" w:space="0" w:color="000000"/>
              <w:right w:val="single" w:sz="2" w:space="0" w:color="000000"/>
            </w:tcBorders>
            <w:shd w:val="clear" w:color="auto" w:fill="6D2A78"/>
          </w:tcPr>
          <w:p w14:paraId="5CAF5427" w14:textId="77777777" w:rsidR="00281D48" w:rsidRPr="00364545" w:rsidRDefault="00281D48" w:rsidP="009F2D1E">
            <w:pPr>
              <w:spacing w:line="259" w:lineRule="auto"/>
              <w:ind w:left="20"/>
              <w:jc w:val="center"/>
              <w:rPr>
                <w:b/>
                <w:color w:val="FFFFFF"/>
                <w:sz w:val="18"/>
              </w:rPr>
            </w:pPr>
            <w:r w:rsidRPr="00364545">
              <w:rPr>
                <w:b/>
                <w:color w:val="FFFFFF"/>
                <w:sz w:val="18"/>
              </w:rPr>
              <w:t>2050</w:t>
            </w:r>
          </w:p>
        </w:tc>
      </w:tr>
      <w:tr w:rsidR="00281D48" w:rsidRPr="00364545" w14:paraId="7644BE19" w14:textId="77777777" w:rsidTr="009F2D1E">
        <w:trPr>
          <w:trHeight w:val="347"/>
        </w:trPr>
        <w:tc>
          <w:tcPr>
            <w:tcW w:w="1554" w:type="dxa"/>
            <w:tcBorders>
              <w:top w:val="single" w:sz="2" w:space="0" w:color="000000"/>
              <w:left w:val="single" w:sz="2" w:space="0" w:color="000000"/>
              <w:bottom w:val="single" w:sz="2" w:space="0" w:color="000000"/>
              <w:right w:val="single" w:sz="2" w:space="0" w:color="000000"/>
            </w:tcBorders>
          </w:tcPr>
          <w:p w14:paraId="19BA1EDC" w14:textId="6E8DF1F2" w:rsidR="00281D48" w:rsidRPr="00364545" w:rsidRDefault="00281D48" w:rsidP="00281D48">
            <w:pPr>
              <w:spacing w:line="259" w:lineRule="auto"/>
            </w:pPr>
            <w:r>
              <w:rPr>
                <w:sz w:val="18"/>
              </w:rPr>
              <w:t xml:space="preserve">Energie </w:t>
            </w:r>
          </w:p>
        </w:tc>
        <w:tc>
          <w:tcPr>
            <w:tcW w:w="701" w:type="dxa"/>
            <w:tcBorders>
              <w:top w:val="single" w:sz="2" w:space="0" w:color="000000"/>
              <w:left w:val="single" w:sz="2" w:space="0" w:color="000000"/>
              <w:bottom w:val="single" w:sz="2" w:space="0" w:color="000000"/>
              <w:right w:val="single" w:sz="2" w:space="0" w:color="000000"/>
            </w:tcBorders>
            <w:vAlign w:val="center"/>
          </w:tcPr>
          <w:p w14:paraId="143E9286"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3F87E5C9"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5B873851"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6D8875A2"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2715AB82"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0561642F"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044D1D45"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1D688A67"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E925CF2"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60048D59"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9AF7C94"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C4B0D29" w14:textId="77777777" w:rsidR="00281D48" w:rsidRPr="00364545" w:rsidRDefault="00281D48" w:rsidP="00281D48">
            <w:pPr>
              <w:spacing w:line="259" w:lineRule="auto"/>
              <w:ind w:left="19"/>
              <w:jc w:val="center"/>
            </w:pPr>
            <w:r w:rsidRPr="00364545">
              <w:t>0</w:t>
            </w:r>
          </w:p>
        </w:tc>
      </w:tr>
      <w:tr w:rsidR="00281D48" w:rsidRPr="00364545" w14:paraId="4BDBEBCC" w14:textId="77777777" w:rsidTr="009F2D1E">
        <w:trPr>
          <w:trHeight w:val="416"/>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463DCDFA" w14:textId="301E43B9" w:rsidR="00281D48" w:rsidRPr="00364545" w:rsidRDefault="00281D48" w:rsidP="00281D48">
            <w:pPr>
              <w:spacing w:line="259" w:lineRule="auto"/>
            </w:pPr>
            <w:r>
              <w:rPr>
                <w:sz w:val="18"/>
              </w:rPr>
              <w:t xml:space="preserve">Procédés industriels, solvants et autres produits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13C444" w14:textId="77777777" w:rsidR="00281D48" w:rsidRPr="00364545" w:rsidRDefault="00281D48" w:rsidP="00281D48">
            <w:pPr>
              <w:spacing w:line="259" w:lineRule="auto"/>
              <w:ind w:left="19"/>
              <w:jc w:val="cente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D5D3361" w14:textId="77777777" w:rsidR="00281D48" w:rsidRPr="00364545" w:rsidRDefault="00281D48" w:rsidP="00281D48">
            <w:pPr>
              <w:spacing w:line="259" w:lineRule="auto"/>
              <w:ind w:left="19"/>
              <w:jc w:val="cente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B88DF6F" w14:textId="77777777" w:rsidR="00281D48" w:rsidRPr="00364545" w:rsidRDefault="00281D48" w:rsidP="00281D48">
            <w:pPr>
              <w:spacing w:line="259" w:lineRule="auto"/>
              <w:ind w:left="19"/>
              <w:jc w:val="cente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CF0A54C" w14:textId="77777777" w:rsidR="00281D48" w:rsidRPr="00364545" w:rsidRDefault="00281D48" w:rsidP="00281D48">
            <w:pPr>
              <w:spacing w:line="259" w:lineRule="auto"/>
              <w:ind w:left="19"/>
              <w:jc w:val="cente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7025E1B" w14:textId="77777777" w:rsidR="00281D48" w:rsidRPr="00364545" w:rsidRDefault="00281D48" w:rsidP="00281D48">
            <w:pPr>
              <w:spacing w:line="259" w:lineRule="auto"/>
              <w:ind w:left="19"/>
              <w:jc w:val="cente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E0F145" w14:textId="77777777" w:rsidR="00281D48" w:rsidRPr="00364545" w:rsidRDefault="00281D48" w:rsidP="00281D48">
            <w:pPr>
              <w:spacing w:line="259" w:lineRule="auto"/>
              <w:ind w:left="19"/>
              <w:jc w:val="cente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094DE81" w14:textId="77777777" w:rsidR="00281D48" w:rsidRPr="00364545" w:rsidRDefault="00281D48" w:rsidP="00281D48">
            <w:pPr>
              <w:spacing w:line="259" w:lineRule="auto"/>
              <w:ind w:left="19"/>
              <w:jc w:val="cente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28A6D8" w14:textId="77777777" w:rsidR="00281D48" w:rsidRPr="00364545" w:rsidRDefault="00281D48" w:rsidP="00281D48">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4959E36" w14:textId="77777777" w:rsidR="00281D48" w:rsidRPr="00364545" w:rsidRDefault="00281D48" w:rsidP="00281D48">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AE35894" w14:textId="77777777" w:rsidR="00281D48" w:rsidRPr="00364545" w:rsidRDefault="00281D48" w:rsidP="00281D48">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ECA133D" w14:textId="77777777" w:rsidR="00281D48" w:rsidRPr="00364545" w:rsidRDefault="00281D48" w:rsidP="00281D48">
            <w:pPr>
              <w:spacing w:line="259" w:lineRule="auto"/>
              <w:ind w:left="19"/>
              <w:jc w:val="center"/>
            </w:pPr>
            <w:r w:rsidRPr="00364545">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950CD2D" w14:textId="77777777" w:rsidR="00281D48" w:rsidRPr="00364545" w:rsidRDefault="00281D48" w:rsidP="00281D48">
            <w:pPr>
              <w:spacing w:line="259" w:lineRule="auto"/>
              <w:ind w:left="19"/>
              <w:jc w:val="center"/>
            </w:pPr>
            <w:r w:rsidRPr="00364545">
              <w:t>6</w:t>
            </w:r>
          </w:p>
        </w:tc>
      </w:tr>
      <w:tr w:rsidR="00281D48" w:rsidRPr="00364545" w14:paraId="17965617" w14:textId="77777777" w:rsidTr="009F2D1E">
        <w:trPr>
          <w:trHeight w:val="347"/>
        </w:trPr>
        <w:tc>
          <w:tcPr>
            <w:tcW w:w="1554" w:type="dxa"/>
            <w:tcBorders>
              <w:top w:val="single" w:sz="2" w:space="0" w:color="000000"/>
              <w:left w:val="single" w:sz="2" w:space="0" w:color="000000"/>
              <w:bottom w:val="single" w:sz="2" w:space="0" w:color="000000"/>
              <w:right w:val="single" w:sz="2" w:space="0" w:color="000000"/>
            </w:tcBorders>
          </w:tcPr>
          <w:p w14:paraId="4EF1D0A4" w14:textId="18FD555F" w:rsidR="00281D48" w:rsidRPr="00364545" w:rsidRDefault="00281D48" w:rsidP="00281D48">
            <w:pPr>
              <w:spacing w:line="259" w:lineRule="auto"/>
            </w:pPr>
            <w:r>
              <w:rPr>
                <w:sz w:val="18"/>
              </w:rPr>
              <w:t xml:space="preserve">Agriculture (hors énergie) </w:t>
            </w:r>
          </w:p>
        </w:tc>
        <w:tc>
          <w:tcPr>
            <w:tcW w:w="701" w:type="dxa"/>
            <w:tcBorders>
              <w:top w:val="single" w:sz="2" w:space="0" w:color="000000"/>
              <w:left w:val="single" w:sz="2" w:space="0" w:color="000000"/>
              <w:bottom w:val="single" w:sz="2" w:space="0" w:color="000000"/>
              <w:right w:val="single" w:sz="2" w:space="0" w:color="000000"/>
            </w:tcBorders>
            <w:vAlign w:val="center"/>
          </w:tcPr>
          <w:p w14:paraId="2DDE141F"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3BB6BC5C"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6C64D9C1"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7402B420"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26C528F0"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74C035A8"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0CD77043"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3FFA6221"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039350C7"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58E8C07"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089EC90E"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E93CFC3" w14:textId="77777777" w:rsidR="00281D48" w:rsidRPr="00364545" w:rsidRDefault="00281D48" w:rsidP="00281D48">
            <w:pPr>
              <w:spacing w:line="259" w:lineRule="auto"/>
              <w:ind w:left="19"/>
              <w:jc w:val="center"/>
            </w:pPr>
            <w:r w:rsidRPr="00364545">
              <w:t>0</w:t>
            </w:r>
          </w:p>
        </w:tc>
      </w:tr>
      <w:tr w:rsidR="00281D48" w:rsidRPr="00364545" w14:paraId="2524D39D" w14:textId="77777777" w:rsidTr="009F2D1E">
        <w:trPr>
          <w:trHeight w:val="344"/>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7D71798F" w14:textId="09377C62" w:rsidR="00281D48" w:rsidRPr="00364545" w:rsidRDefault="00281D48" w:rsidP="00281D48">
            <w:pPr>
              <w:spacing w:line="259" w:lineRule="auto"/>
            </w:pPr>
            <w:r>
              <w:rPr>
                <w:sz w:val="18"/>
              </w:rPr>
              <w:t xml:space="preserve">UTCF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5514E8D"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B3F2468"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0647190"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8657B9B"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8439811"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42D84D8"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314DFC94"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DF96C1"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A72D8C"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638B3FFB"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0225E37"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185629B" w14:textId="77777777" w:rsidR="00281D48" w:rsidRPr="00364545" w:rsidRDefault="00281D48" w:rsidP="00281D48">
            <w:pPr>
              <w:spacing w:line="259" w:lineRule="auto"/>
              <w:ind w:left="19"/>
              <w:jc w:val="center"/>
            </w:pPr>
            <w:r w:rsidRPr="00364545">
              <w:t>0</w:t>
            </w:r>
          </w:p>
        </w:tc>
      </w:tr>
      <w:tr w:rsidR="00281D48" w:rsidRPr="00364545" w14:paraId="58F3230D" w14:textId="77777777" w:rsidTr="009F2D1E">
        <w:trPr>
          <w:trHeight w:val="346"/>
        </w:trPr>
        <w:tc>
          <w:tcPr>
            <w:tcW w:w="1554" w:type="dxa"/>
            <w:tcBorders>
              <w:top w:val="single" w:sz="2" w:space="0" w:color="000000"/>
              <w:left w:val="single" w:sz="2" w:space="0" w:color="000000"/>
              <w:bottom w:val="single" w:sz="2" w:space="0" w:color="000000"/>
              <w:right w:val="single" w:sz="2" w:space="0" w:color="000000"/>
            </w:tcBorders>
          </w:tcPr>
          <w:p w14:paraId="10D6F8E4" w14:textId="3A8C528D" w:rsidR="00281D48" w:rsidRPr="00364545" w:rsidRDefault="00281D48" w:rsidP="00281D48">
            <w:pPr>
              <w:spacing w:line="259" w:lineRule="auto"/>
            </w:pPr>
            <w:r>
              <w:rPr>
                <w:sz w:val="18"/>
              </w:rPr>
              <w:t xml:space="preserve">Déchets </w:t>
            </w:r>
          </w:p>
        </w:tc>
        <w:tc>
          <w:tcPr>
            <w:tcW w:w="701" w:type="dxa"/>
            <w:tcBorders>
              <w:top w:val="single" w:sz="2" w:space="0" w:color="000000"/>
              <w:left w:val="single" w:sz="2" w:space="0" w:color="000000"/>
              <w:bottom w:val="single" w:sz="2" w:space="0" w:color="000000"/>
              <w:right w:val="single" w:sz="2" w:space="0" w:color="000000"/>
            </w:tcBorders>
            <w:vAlign w:val="center"/>
          </w:tcPr>
          <w:p w14:paraId="221707EA" w14:textId="77777777" w:rsidR="00281D48" w:rsidRPr="00364545" w:rsidRDefault="00281D48" w:rsidP="00281D48">
            <w:pPr>
              <w:spacing w:line="259" w:lineRule="auto"/>
              <w:ind w:left="19"/>
              <w:jc w:val="center"/>
            </w:pPr>
            <w:r w:rsidRPr="00634E4C">
              <w:rPr>
                <w:rFonts w:asciiTheme="majorHAnsi" w:hAnsiTheme="majorHAnsi"/>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6897619D"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1288BA6D"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2649AC7"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3" w:type="dxa"/>
            <w:tcBorders>
              <w:top w:val="single" w:sz="2" w:space="0" w:color="000000"/>
              <w:left w:val="single" w:sz="2" w:space="0" w:color="000000"/>
              <w:bottom w:val="single" w:sz="2" w:space="0" w:color="000000"/>
              <w:right w:val="single" w:sz="2" w:space="0" w:color="000000"/>
            </w:tcBorders>
            <w:vAlign w:val="center"/>
          </w:tcPr>
          <w:p w14:paraId="08927A18"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2" w:type="dxa"/>
            <w:tcBorders>
              <w:top w:val="single" w:sz="2" w:space="0" w:color="000000"/>
              <w:left w:val="single" w:sz="2" w:space="0" w:color="000000"/>
              <w:bottom w:val="single" w:sz="2" w:space="0" w:color="000000"/>
              <w:right w:val="single" w:sz="2" w:space="0" w:color="000000"/>
            </w:tcBorders>
            <w:vAlign w:val="center"/>
          </w:tcPr>
          <w:p w14:paraId="7662AE3A"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622" w:type="dxa"/>
            <w:tcBorders>
              <w:top w:val="single" w:sz="2" w:space="0" w:color="000000"/>
              <w:left w:val="single" w:sz="2" w:space="0" w:color="000000"/>
              <w:bottom w:val="single" w:sz="2" w:space="0" w:color="000000"/>
              <w:right w:val="single" w:sz="2" w:space="0" w:color="000000"/>
            </w:tcBorders>
            <w:vAlign w:val="center"/>
          </w:tcPr>
          <w:p w14:paraId="42C2DA29" w14:textId="77777777" w:rsidR="00281D48" w:rsidRPr="00364545" w:rsidRDefault="00281D48" w:rsidP="00281D48">
            <w:pPr>
              <w:spacing w:line="259" w:lineRule="auto"/>
              <w:ind w:left="19"/>
              <w:jc w:val="center"/>
            </w:pPr>
            <w:r w:rsidRPr="00634E4C">
              <w:rPr>
                <w:rFonts w:asciiTheme="majorHAnsi" w:hAnsiTheme="majorHAnsi"/>
                <w:b/>
                <w:color w:val="000000"/>
                <w:sz w:val="18"/>
              </w:rPr>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83830BC"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EB26DF8"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0E319C7D"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204D0F46" w14:textId="77777777" w:rsidR="00281D48" w:rsidRPr="00364545" w:rsidRDefault="00281D48" w:rsidP="00281D48">
            <w:pPr>
              <w:spacing w:line="259" w:lineRule="auto"/>
              <w:ind w:left="19"/>
              <w:jc w:val="center"/>
            </w:pPr>
            <w:r w:rsidRPr="00364545">
              <w:t>0</w:t>
            </w:r>
          </w:p>
        </w:tc>
        <w:tc>
          <w:tcPr>
            <w:tcW w:w="707" w:type="dxa"/>
            <w:tcBorders>
              <w:top w:val="single" w:sz="2" w:space="0" w:color="000000"/>
              <w:left w:val="single" w:sz="2" w:space="0" w:color="000000"/>
              <w:bottom w:val="single" w:sz="2" w:space="0" w:color="000000"/>
              <w:right w:val="single" w:sz="2" w:space="0" w:color="000000"/>
            </w:tcBorders>
            <w:vAlign w:val="center"/>
          </w:tcPr>
          <w:p w14:paraId="474FBC2F" w14:textId="77777777" w:rsidR="00281D48" w:rsidRPr="00364545" w:rsidRDefault="00281D48" w:rsidP="00281D48">
            <w:pPr>
              <w:spacing w:line="259" w:lineRule="auto"/>
              <w:ind w:left="19"/>
              <w:jc w:val="center"/>
            </w:pPr>
            <w:r w:rsidRPr="00364545">
              <w:t>0</w:t>
            </w:r>
          </w:p>
        </w:tc>
      </w:tr>
      <w:tr w:rsidR="00281D48" w:rsidRPr="00364545" w14:paraId="52B34999" w14:textId="77777777" w:rsidTr="009F2D1E">
        <w:trPr>
          <w:trHeight w:val="343"/>
        </w:trPr>
        <w:tc>
          <w:tcPr>
            <w:tcW w:w="1554" w:type="dxa"/>
            <w:tcBorders>
              <w:top w:val="single" w:sz="2" w:space="0" w:color="000000"/>
              <w:left w:val="single" w:sz="2" w:space="0" w:color="000000"/>
              <w:bottom w:val="single" w:sz="2" w:space="0" w:color="000000"/>
              <w:right w:val="single" w:sz="2" w:space="0" w:color="000000"/>
            </w:tcBorders>
            <w:shd w:val="clear" w:color="auto" w:fill="ECE6E2"/>
          </w:tcPr>
          <w:p w14:paraId="02948A9C" w14:textId="411AA014" w:rsidR="00281D48" w:rsidRPr="00364545" w:rsidRDefault="00281D48" w:rsidP="00281D48">
            <w:pPr>
              <w:spacing w:line="259" w:lineRule="auto"/>
            </w:pPr>
            <w:r>
              <w:rPr>
                <w:b/>
                <w:sz w:val="18"/>
              </w:rPr>
              <w:t xml:space="preserve">Ensemble (hors UTCF) </w:t>
            </w:r>
          </w:p>
        </w:tc>
        <w:tc>
          <w:tcPr>
            <w:tcW w:w="701"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79630D5" w14:textId="77777777" w:rsidR="00281D48" w:rsidRPr="00364545" w:rsidRDefault="00281D48" w:rsidP="00281D48">
            <w:pPr>
              <w:spacing w:line="259" w:lineRule="auto"/>
              <w:ind w:left="19"/>
              <w:jc w:val="center"/>
              <w:rPr>
                <w:b/>
              </w:rP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77DC0AA8" w14:textId="77777777" w:rsidR="00281D48" w:rsidRPr="00364545" w:rsidRDefault="00281D48" w:rsidP="00281D48">
            <w:pPr>
              <w:spacing w:line="259" w:lineRule="auto"/>
              <w:ind w:left="19"/>
              <w:jc w:val="center"/>
              <w:rPr>
                <w:b/>
              </w:rP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F91D77A" w14:textId="77777777" w:rsidR="00281D48" w:rsidRPr="00364545" w:rsidRDefault="00281D48" w:rsidP="00281D48">
            <w:pPr>
              <w:spacing w:line="259" w:lineRule="auto"/>
              <w:ind w:left="19"/>
              <w:jc w:val="center"/>
              <w:rPr>
                <w:b/>
              </w:rP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9043452" w14:textId="77777777" w:rsidR="00281D48" w:rsidRPr="00364545" w:rsidRDefault="00281D48" w:rsidP="00281D48">
            <w:pPr>
              <w:spacing w:line="259" w:lineRule="auto"/>
              <w:ind w:left="19"/>
              <w:jc w:val="center"/>
              <w:rPr>
                <w:b/>
              </w:rP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2157EED4" w14:textId="77777777" w:rsidR="00281D48" w:rsidRPr="00364545" w:rsidRDefault="00281D48" w:rsidP="00281D48">
            <w:pPr>
              <w:spacing w:line="259" w:lineRule="auto"/>
              <w:ind w:left="19"/>
              <w:jc w:val="center"/>
              <w:rPr>
                <w:b/>
              </w:rP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57207F8" w14:textId="77777777" w:rsidR="00281D48" w:rsidRPr="00364545" w:rsidRDefault="00281D48" w:rsidP="00281D48">
            <w:pPr>
              <w:spacing w:line="259" w:lineRule="auto"/>
              <w:ind w:left="19"/>
              <w:jc w:val="center"/>
              <w:rPr>
                <w:b/>
              </w:rP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2A87D7A" w14:textId="77777777" w:rsidR="00281D48" w:rsidRPr="00364545" w:rsidRDefault="00281D48" w:rsidP="00281D48">
            <w:pPr>
              <w:spacing w:line="259" w:lineRule="auto"/>
              <w:ind w:left="19"/>
              <w:jc w:val="center"/>
              <w:rPr>
                <w:b/>
              </w:rP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4E276A1"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0EEDD901"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55AABF06"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126F23D9"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shd w:val="clear" w:color="auto" w:fill="ECE6E2"/>
            <w:vAlign w:val="center"/>
          </w:tcPr>
          <w:p w14:paraId="4CBEE711" w14:textId="77777777" w:rsidR="00281D48" w:rsidRPr="00364545" w:rsidRDefault="00281D48" w:rsidP="00281D48">
            <w:pPr>
              <w:spacing w:line="259" w:lineRule="auto"/>
              <w:ind w:left="19"/>
              <w:jc w:val="center"/>
              <w:rPr>
                <w:b/>
              </w:rPr>
            </w:pPr>
            <w:r w:rsidRPr="00364545">
              <w:rPr>
                <w:b/>
              </w:rPr>
              <w:t>6</w:t>
            </w:r>
          </w:p>
        </w:tc>
      </w:tr>
      <w:tr w:rsidR="00281D48" w:rsidRPr="00364545" w14:paraId="5ADCDBE9" w14:textId="77777777" w:rsidTr="009F2D1E">
        <w:trPr>
          <w:trHeight w:val="346"/>
        </w:trPr>
        <w:tc>
          <w:tcPr>
            <w:tcW w:w="1554" w:type="dxa"/>
            <w:tcBorders>
              <w:top w:val="single" w:sz="2" w:space="0" w:color="000000"/>
              <w:left w:val="single" w:sz="2" w:space="0" w:color="000000"/>
              <w:bottom w:val="single" w:sz="2" w:space="0" w:color="000000"/>
              <w:right w:val="single" w:sz="2" w:space="0" w:color="000000"/>
            </w:tcBorders>
          </w:tcPr>
          <w:p w14:paraId="431B44EE" w14:textId="7018F217" w:rsidR="00281D48" w:rsidRPr="00364545" w:rsidRDefault="00281D48" w:rsidP="00281D48">
            <w:pPr>
              <w:spacing w:line="259" w:lineRule="auto"/>
            </w:pPr>
            <w:r>
              <w:rPr>
                <w:b/>
                <w:sz w:val="18"/>
              </w:rPr>
              <w:t xml:space="preserve">Ensemble (avec UTCF) </w:t>
            </w:r>
          </w:p>
        </w:tc>
        <w:tc>
          <w:tcPr>
            <w:tcW w:w="701" w:type="dxa"/>
            <w:tcBorders>
              <w:top w:val="single" w:sz="2" w:space="0" w:color="000000"/>
              <w:left w:val="single" w:sz="2" w:space="0" w:color="000000"/>
              <w:bottom w:val="single" w:sz="2" w:space="0" w:color="000000"/>
              <w:right w:val="single" w:sz="2" w:space="0" w:color="000000"/>
            </w:tcBorders>
            <w:vAlign w:val="center"/>
          </w:tcPr>
          <w:p w14:paraId="083029D8" w14:textId="77777777" w:rsidR="00281D48" w:rsidRPr="00364545" w:rsidRDefault="00281D48" w:rsidP="00281D48">
            <w:pPr>
              <w:spacing w:line="259" w:lineRule="auto"/>
              <w:ind w:left="19"/>
              <w:jc w:val="center"/>
              <w:rPr>
                <w:b/>
              </w:rPr>
            </w:pPr>
            <w:r w:rsidRPr="00634E4C">
              <w:rPr>
                <w:rFonts w:asciiTheme="majorHAnsi" w:hAnsiTheme="majorHAnsi"/>
                <w:sz w:val="18"/>
              </w:rPr>
              <w:t>16</w:t>
            </w:r>
          </w:p>
        </w:tc>
        <w:tc>
          <w:tcPr>
            <w:tcW w:w="703" w:type="dxa"/>
            <w:tcBorders>
              <w:top w:val="single" w:sz="2" w:space="0" w:color="000000"/>
              <w:left w:val="single" w:sz="2" w:space="0" w:color="000000"/>
              <w:bottom w:val="single" w:sz="2" w:space="0" w:color="000000"/>
              <w:right w:val="single" w:sz="2" w:space="0" w:color="000000"/>
            </w:tcBorders>
            <w:vAlign w:val="center"/>
          </w:tcPr>
          <w:p w14:paraId="3AC1EC9B" w14:textId="77777777" w:rsidR="00281D48" w:rsidRPr="00364545" w:rsidRDefault="00281D48" w:rsidP="00281D48">
            <w:pPr>
              <w:spacing w:line="259" w:lineRule="auto"/>
              <w:ind w:left="19"/>
              <w:jc w:val="center"/>
              <w:rPr>
                <w:b/>
              </w:rPr>
            </w:pPr>
            <w:r w:rsidRPr="00634E4C">
              <w:rPr>
                <w:rFonts w:asciiTheme="majorHAnsi" w:hAnsiTheme="majorHAnsi"/>
                <w:sz w:val="18"/>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3C9EC56F" w14:textId="77777777" w:rsidR="00281D48" w:rsidRPr="00364545" w:rsidRDefault="00281D48" w:rsidP="00281D48">
            <w:pPr>
              <w:spacing w:line="259" w:lineRule="auto"/>
              <w:ind w:left="19"/>
              <w:jc w:val="center"/>
              <w:rPr>
                <w:b/>
              </w:rPr>
            </w:pPr>
            <w:r w:rsidRPr="00634E4C">
              <w:rPr>
                <w:rFonts w:asciiTheme="majorHAnsi" w:hAnsiTheme="majorHAnsi"/>
                <w:sz w:val="18"/>
              </w:rPr>
              <w:t>20</w:t>
            </w:r>
          </w:p>
        </w:tc>
        <w:tc>
          <w:tcPr>
            <w:tcW w:w="707" w:type="dxa"/>
            <w:tcBorders>
              <w:top w:val="single" w:sz="2" w:space="0" w:color="000000"/>
              <w:left w:val="single" w:sz="2" w:space="0" w:color="000000"/>
              <w:bottom w:val="single" w:sz="2" w:space="0" w:color="000000"/>
              <w:right w:val="single" w:sz="2" w:space="0" w:color="000000"/>
            </w:tcBorders>
            <w:vAlign w:val="center"/>
          </w:tcPr>
          <w:p w14:paraId="320905F9" w14:textId="77777777" w:rsidR="00281D48" w:rsidRPr="00364545" w:rsidRDefault="00281D48" w:rsidP="00281D48">
            <w:pPr>
              <w:spacing w:line="259" w:lineRule="auto"/>
              <w:ind w:left="19"/>
              <w:jc w:val="center"/>
              <w:rPr>
                <w:b/>
              </w:rPr>
            </w:pPr>
            <w:r w:rsidRPr="00634E4C">
              <w:rPr>
                <w:rFonts w:asciiTheme="majorHAnsi" w:hAnsiTheme="majorHAnsi"/>
                <w:sz w:val="18"/>
              </w:rPr>
              <w:t>31</w:t>
            </w:r>
          </w:p>
        </w:tc>
        <w:tc>
          <w:tcPr>
            <w:tcW w:w="703" w:type="dxa"/>
            <w:tcBorders>
              <w:top w:val="single" w:sz="2" w:space="0" w:color="000000"/>
              <w:left w:val="single" w:sz="2" w:space="0" w:color="000000"/>
              <w:bottom w:val="single" w:sz="2" w:space="0" w:color="000000"/>
              <w:right w:val="single" w:sz="2" w:space="0" w:color="000000"/>
            </w:tcBorders>
            <w:vAlign w:val="center"/>
          </w:tcPr>
          <w:p w14:paraId="1F36E259" w14:textId="77777777" w:rsidR="00281D48" w:rsidRPr="00364545" w:rsidRDefault="00281D48" w:rsidP="00281D48">
            <w:pPr>
              <w:spacing w:line="259" w:lineRule="auto"/>
              <w:ind w:left="19"/>
              <w:jc w:val="center"/>
              <w:rPr>
                <w:b/>
              </w:rPr>
            </w:pPr>
            <w:r w:rsidRPr="00634E4C">
              <w:rPr>
                <w:rFonts w:asciiTheme="majorHAnsi" w:hAnsiTheme="majorHAnsi"/>
                <w:sz w:val="18"/>
              </w:rPr>
              <w:t>32</w:t>
            </w:r>
          </w:p>
        </w:tc>
        <w:tc>
          <w:tcPr>
            <w:tcW w:w="702" w:type="dxa"/>
            <w:tcBorders>
              <w:top w:val="single" w:sz="2" w:space="0" w:color="000000"/>
              <w:left w:val="single" w:sz="2" w:space="0" w:color="000000"/>
              <w:bottom w:val="single" w:sz="2" w:space="0" w:color="000000"/>
              <w:right w:val="single" w:sz="2" w:space="0" w:color="000000"/>
            </w:tcBorders>
            <w:vAlign w:val="center"/>
          </w:tcPr>
          <w:p w14:paraId="17962F59" w14:textId="77777777" w:rsidR="00281D48" w:rsidRPr="00364545" w:rsidRDefault="00281D48" w:rsidP="00281D48">
            <w:pPr>
              <w:spacing w:line="259" w:lineRule="auto"/>
              <w:ind w:left="19"/>
              <w:jc w:val="center"/>
              <w:rPr>
                <w:b/>
              </w:rPr>
            </w:pPr>
            <w:r w:rsidRPr="00634E4C">
              <w:rPr>
                <w:rFonts w:asciiTheme="majorHAnsi" w:hAnsiTheme="majorHAnsi"/>
                <w:sz w:val="18"/>
              </w:rPr>
              <w:t>6</w:t>
            </w:r>
          </w:p>
        </w:tc>
        <w:tc>
          <w:tcPr>
            <w:tcW w:w="622" w:type="dxa"/>
            <w:tcBorders>
              <w:top w:val="single" w:sz="2" w:space="0" w:color="000000"/>
              <w:left w:val="single" w:sz="2" w:space="0" w:color="000000"/>
              <w:bottom w:val="single" w:sz="2" w:space="0" w:color="000000"/>
              <w:right w:val="single" w:sz="2" w:space="0" w:color="000000"/>
            </w:tcBorders>
            <w:vAlign w:val="center"/>
          </w:tcPr>
          <w:p w14:paraId="77A339F4" w14:textId="77777777" w:rsidR="00281D48" w:rsidRPr="00364545" w:rsidRDefault="00281D48" w:rsidP="00281D48">
            <w:pPr>
              <w:spacing w:line="259" w:lineRule="auto"/>
              <w:ind w:left="19"/>
              <w:jc w:val="center"/>
              <w:rPr>
                <w:b/>
              </w:rPr>
            </w:pPr>
            <w:r w:rsidRPr="005D0955">
              <w:rPr>
                <w:rFonts w:asciiTheme="majorHAnsi" w:hAnsiTheme="majorHAnsi"/>
                <w:sz w:val="18"/>
                <w:szCs w:val="18"/>
              </w:rPr>
              <w:t>10</w:t>
            </w:r>
          </w:p>
        </w:tc>
        <w:tc>
          <w:tcPr>
            <w:tcW w:w="707" w:type="dxa"/>
            <w:tcBorders>
              <w:top w:val="single" w:sz="2" w:space="0" w:color="000000"/>
              <w:left w:val="single" w:sz="2" w:space="0" w:color="000000"/>
              <w:bottom w:val="single" w:sz="2" w:space="0" w:color="000000"/>
              <w:right w:val="single" w:sz="2" w:space="0" w:color="000000"/>
            </w:tcBorders>
            <w:vAlign w:val="center"/>
          </w:tcPr>
          <w:p w14:paraId="4BF33090"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4B9AE5F2"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10744265"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5723C91F" w14:textId="77777777" w:rsidR="00281D48" w:rsidRPr="00364545" w:rsidRDefault="00281D48" w:rsidP="00281D48">
            <w:pPr>
              <w:spacing w:line="259" w:lineRule="auto"/>
              <w:ind w:left="19"/>
              <w:jc w:val="center"/>
              <w:rPr>
                <w:b/>
              </w:rPr>
            </w:pPr>
            <w:r w:rsidRPr="00364545">
              <w:rPr>
                <w:b/>
              </w:rPr>
              <w:t>6</w:t>
            </w:r>
          </w:p>
        </w:tc>
        <w:tc>
          <w:tcPr>
            <w:tcW w:w="707" w:type="dxa"/>
            <w:tcBorders>
              <w:top w:val="single" w:sz="2" w:space="0" w:color="000000"/>
              <w:left w:val="single" w:sz="2" w:space="0" w:color="000000"/>
              <w:bottom w:val="single" w:sz="2" w:space="0" w:color="000000"/>
              <w:right w:val="single" w:sz="2" w:space="0" w:color="000000"/>
            </w:tcBorders>
            <w:vAlign w:val="center"/>
          </w:tcPr>
          <w:p w14:paraId="12E79F74" w14:textId="77777777" w:rsidR="00281D48" w:rsidRPr="00364545" w:rsidRDefault="00281D48" w:rsidP="00281D48">
            <w:pPr>
              <w:spacing w:line="259" w:lineRule="auto"/>
              <w:ind w:left="19"/>
              <w:jc w:val="center"/>
              <w:rPr>
                <w:b/>
              </w:rPr>
            </w:pPr>
            <w:r w:rsidRPr="00364545">
              <w:rPr>
                <w:b/>
              </w:rPr>
              <w:t>6</w:t>
            </w:r>
          </w:p>
        </w:tc>
      </w:tr>
    </w:tbl>
    <w:p w14:paraId="2AE7E573" w14:textId="77777777" w:rsidR="00CB5305" w:rsidRDefault="00CB5305" w:rsidP="00CB5305">
      <w:pPr>
        <w:rPr>
          <w:sz w:val="18"/>
          <w:szCs w:val="18"/>
        </w:rPr>
      </w:pPr>
    </w:p>
    <w:p w14:paraId="1FD5A18E" w14:textId="77777777" w:rsidR="004E5AF5" w:rsidRDefault="004E5AF5" w:rsidP="004E5AF5">
      <w:pPr>
        <w:pStyle w:val="Caption"/>
      </w:pPr>
      <w:bookmarkStart w:id="565" w:name="_Toc123916524"/>
      <w:r>
        <w:t xml:space="preserve">Tableau </w:t>
      </w:r>
      <w:fldSimple w:instr=" SEQ Tableau \* ARABIC ">
        <w:r w:rsidR="00AB51D9">
          <w:rPr>
            <w:noProof/>
          </w:rPr>
          <w:t>32</w:t>
        </w:r>
      </w:fldSimple>
      <w:r>
        <w:t xml:space="preserve"> : </w:t>
      </w:r>
      <w:r w:rsidR="00CB5305" w:rsidRPr="00160820">
        <w:t xml:space="preserve">Projections d’émissions de </w:t>
      </w:r>
      <w:r w:rsidR="007F09F7">
        <w:t>NF</w:t>
      </w:r>
      <w:r w:rsidR="007F09F7" w:rsidRPr="007F09F7">
        <w:rPr>
          <w:vertAlign w:val="subscript"/>
        </w:rPr>
        <w:t>3</w:t>
      </w:r>
      <w:r w:rsidR="00CB5305" w:rsidRPr="00160820">
        <w:t xml:space="preserve"> (en </w:t>
      </w:r>
      <w:r w:rsidR="00CB5305" w:rsidRPr="00590551">
        <w:t>kt</w:t>
      </w:r>
      <w:r w:rsidR="007F09F7">
        <w:t>CO</w:t>
      </w:r>
      <w:r w:rsidR="007F09F7" w:rsidRPr="007F09F7">
        <w:rPr>
          <w:vertAlign w:val="subscript"/>
        </w:rPr>
        <w:t>2</w:t>
      </w:r>
      <w:r w:rsidR="00CB5305" w:rsidRPr="005C3C6E">
        <w:rPr>
          <w:vertAlign w:val="subscript"/>
        </w:rPr>
        <w:t>e</w:t>
      </w:r>
      <w:r w:rsidR="00CB5305" w:rsidRPr="005C3C6E">
        <w:t xml:space="preserve">) au périmètre Kyoto dans le scénario </w:t>
      </w:r>
      <w:r w:rsidR="00CB5305">
        <w:t xml:space="preserve">AMS 2018 </w:t>
      </w:r>
      <w:r w:rsidR="00CB5305" w:rsidRPr="005C3C6E">
        <w:t xml:space="preserve">(avec mesures </w:t>
      </w:r>
      <w:r w:rsidR="00CB5305">
        <w:t>supplémentaires</w:t>
      </w:r>
      <w:r w:rsidR="00CB5305" w:rsidRPr="005C3C6E">
        <w:t>)</w:t>
      </w:r>
      <w:bookmarkEnd w:id="565"/>
    </w:p>
    <w:p w14:paraId="7BFA6022" w14:textId="0FAE2737" w:rsidR="009947FF" w:rsidRPr="009947FF" w:rsidRDefault="00CB5305" w:rsidP="004E5AF5">
      <w:pPr>
        <w:pStyle w:val="Caption"/>
      </w:pPr>
      <w:r w:rsidRPr="006E15FD">
        <w:t xml:space="preserve">Source : Inventaire CCNUCC, Citepa/MTES, soumission </w:t>
      </w:r>
      <w:r w:rsidR="00281D48">
        <w:t>2022</w:t>
      </w:r>
      <w:r w:rsidR="00281D48" w:rsidRPr="006E15FD">
        <w:t xml:space="preserve"> </w:t>
      </w:r>
      <w:r w:rsidRPr="006E15FD">
        <w:t>et projections d’émissions MTES, 20</w:t>
      </w:r>
      <w:r>
        <w:t>18</w:t>
      </w:r>
    </w:p>
    <w:p w14:paraId="1C684F24" w14:textId="70F1FEC1" w:rsidR="001021CB" w:rsidRDefault="001021CB" w:rsidP="003F57EA">
      <w:pPr>
        <w:pStyle w:val="Titre2Niveau2"/>
        <w:numPr>
          <w:ilvl w:val="0"/>
          <w:numId w:val="78"/>
        </w:numPr>
      </w:pPr>
      <w:bookmarkStart w:id="566" w:name="_Toc121215535"/>
      <w:bookmarkStart w:id="567" w:name="_Toc138342023"/>
      <w:r w:rsidRPr="008136D9">
        <w:t>Évaluation de l'effet global des politiques et des mesures</w:t>
      </w:r>
      <w:bookmarkEnd w:id="566"/>
      <w:bookmarkEnd w:id="567"/>
    </w:p>
    <w:p w14:paraId="3CC3248A" w14:textId="6C9CD3A8" w:rsidR="00296D13" w:rsidRDefault="00296D13" w:rsidP="00296D13">
      <w:r>
        <w:t>En toute rigueur l’impact des différentes mesures adoptées par le gouvernement ne peut être apprécié en procédant à une simple addition mathématique des réductions d’émissions que ces mesures, prises isolément, pourraient en théorie permettre.</w:t>
      </w:r>
    </w:p>
    <w:p w14:paraId="65BD8EEB" w14:textId="4F1238EA" w:rsidR="00296D13" w:rsidRDefault="00296D13" w:rsidP="00296D13">
      <w:r>
        <w:t xml:space="preserve">La réduction des émissions de gaz à effet de serre étant </w:t>
      </w:r>
      <w:r w:rsidRPr="00296D13">
        <w:rPr>
          <w:b/>
        </w:rPr>
        <w:t>par nature transversale à toute l’économie</w:t>
      </w:r>
      <w:r>
        <w:t>, une telle addition risquerait d’entraîner des doubles comptes ou des omissions d’effets systémiques résultant des interactions entre les différents secteurs. Par exemple, les effets de nombreuses mesures destinés à inciter des particuliers à acquérir des véhicules propres interfèrent les uns avec les autres, rendant impossible une évaluation fiable de leur effet pris isolément (bonus-malus, prime à la conversion, zones à faible émissions, règlement européen portant sur les standards d’émissions, etc).</w:t>
      </w:r>
    </w:p>
    <w:p w14:paraId="30D2284A" w14:textId="3E24D4B2" w:rsidR="00296D13" w:rsidRDefault="00296D13" w:rsidP="00296D13">
      <w:r>
        <w:t>Une évaluation de l’impact de la politique menée doit donc reposer sur une étude systémique de son fonctionnement et non sur une quantification mesure par mesure.</w:t>
      </w:r>
    </w:p>
    <w:p w14:paraId="68B0DBD0" w14:textId="15964B8B" w:rsidR="001021CB" w:rsidRDefault="00296D13" w:rsidP="000C1A7E">
      <w:pPr>
        <w:spacing w:before="240" w:after="240"/>
      </w:pPr>
      <w:r>
        <w:t>Ici l</w:t>
      </w:r>
      <w:r w:rsidR="000C1A7E">
        <w:t>’estimation de l’effet total des politiques et mesures est effectué</w:t>
      </w:r>
      <w:r>
        <w:t>e</w:t>
      </w:r>
      <w:r w:rsidR="000C1A7E">
        <w:t xml:space="preserve"> par addition des mesures évaluées </w:t>
      </w:r>
      <w:r w:rsidR="000C1A7E" w:rsidRPr="007D2C43">
        <w:t>individuellement au chapitre 4. Le périmètre des mesures évaluées est plus réduit que l’ensemble des mesures effectivement mises en œuvre. Dans le secteur des transports, les mesures les plus fortes sont les règlements européens sur les véhicules (21,7 Mt</w:t>
      </w:r>
      <w:r w:rsidR="007F09F7">
        <w:t>CO</w:t>
      </w:r>
      <w:r w:rsidR="007F09F7" w:rsidRPr="007F09F7">
        <w:rPr>
          <w:vertAlign w:val="subscript"/>
        </w:rPr>
        <w:t>2</w:t>
      </w:r>
      <w:r w:rsidR="000C1A7E" w:rsidRPr="007D2C43">
        <w:t xml:space="preserve"> attendus en 2030 dont 15,7Mt</w:t>
      </w:r>
      <w:r w:rsidR="007F09F7">
        <w:t>CO</w:t>
      </w:r>
      <w:r w:rsidR="007F09F7" w:rsidRPr="007F09F7">
        <w:rPr>
          <w:vertAlign w:val="subscript"/>
        </w:rPr>
        <w:t>2</w:t>
      </w:r>
      <w:r w:rsidR="000C1A7E" w:rsidRPr="007D2C43">
        <w:t xml:space="preserve"> pour les règlements européens adoptés en 2019), les mesures nationales relatives aux obligations d’incorporation de véhicules à faibles émissions lors des renouvellements</w:t>
      </w:r>
      <w:r w:rsidR="000C1A7E">
        <w:t xml:space="preserve"> de flottes des personnes morales et des entreprises et les mesures d’aides à l’achat de véhicules à faibles émissions venant en soutien de l’atteinte de cet objectif. La taxe incitative en faveur de l’incorporation de biocarburants a un impact estimé à 6,1 Mt</w:t>
      </w:r>
      <w:r w:rsidR="007F09F7">
        <w:t>CO</w:t>
      </w:r>
      <w:r w:rsidR="007F09F7" w:rsidRPr="007F09F7">
        <w:rPr>
          <w:vertAlign w:val="subscript"/>
        </w:rPr>
        <w:t>2</w:t>
      </w:r>
      <w:r w:rsidR="000C1A7E">
        <w:t xml:space="preserve"> en 2030. Dans le secteur des bâtiments, les mesures règlementaires sur la construction neuve, l’obligation de réalisation de travaux d’isolation thermique en cas de travaux importants de façade et le décret tertiaire représentent les mesures les plus importantes </w:t>
      </w:r>
      <w:r w:rsidR="007D2C43">
        <w:t>2,3 Mt</w:t>
      </w:r>
      <w:r w:rsidR="007F09F7">
        <w:t>CO</w:t>
      </w:r>
      <w:r w:rsidR="007F09F7" w:rsidRPr="007F09F7">
        <w:rPr>
          <w:vertAlign w:val="subscript"/>
        </w:rPr>
        <w:t>2</w:t>
      </w:r>
      <w:r w:rsidR="007D2C43" w:rsidRPr="007D2C43">
        <w:rPr>
          <w:vertAlign w:val="subscript"/>
        </w:rPr>
        <w:t>e</w:t>
      </w:r>
      <w:r w:rsidR="000C1A7E">
        <w:t>. Les règlements relatifs aux gaz fluorés ont un impact estimé</w:t>
      </w:r>
      <w:r w:rsidR="0085310F">
        <w:t xml:space="preserve"> en 2030</w:t>
      </w:r>
      <w:r w:rsidR="000C1A7E">
        <w:t xml:space="preserve"> à</w:t>
      </w:r>
      <w:r w:rsidR="00260E0B">
        <w:t xml:space="preserve"> </w:t>
      </w:r>
      <w:r w:rsidR="000C1A7E">
        <w:t>: 8,5 Mt</w:t>
      </w:r>
      <w:r w:rsidR="007F09F7">
        <w:t>CO</w:t>
      </w:r>
      <w:r w:rsidR="007F09F7" w:rsidRPr="007F09F7">
        <w:rPr>
          <w:vertAlign w:val="subscript"/>
        </w:rPr>
        <w:t>2</w:t>
      </w:r>
      <w:r w:rsidR="000C1A7E">
        <w:t>e</w:t>
      </w:r>
      <w:r w:rsidR="001021CB">
        <w:t xml:space="preserve">. </w:t>
      </w:r>
    </w:p>
    <w:p w14:paraId="63D1ED50" w14:textId="2DA8E647" w:rsidR="002E35D7" w:rsidRDefault="0085310F" w:rsidP="000C1A7E">
      <w:pPr>
        <w:spacing w:before="240" w:after="240"/>
      </w:pPr>
      <w:r w:rsidRPr="007D2C43">
        <w:t>La somme des mesures ayant fait l’objet d’évaluations individuelles est estimée à</w:t>
      </w:r>
      <w:r w:rsidRPr="007D2C43">
        <w:rPr>
          <w:rFonts w:ascii="Calibri" w:hAnsi="Calibri" w:cs="Calibri"/>
        </w:rPr>
        <w:t> </w:t>
      </w:r>
      <w:r w:rsidR="007861CE">
        <w:t xml:space="preserve">59 </w:t>
      </w:r>
      <w:r w:rsidRPr="007D2C43">
        <w:t>Mt</w:t>
      </w:r>
      <w:r w:rsidR="007F09F7">
        <w:t>CO</w:t>
      </w:r>
      <w:r w:rsidR="007F09F7" w:rsidRPr="007F09F7">
        <w:rPr>
          <w:vertAlign w:val="subscript"/>
        </w:rPr>
        <w:t>2</w:t>
      </w:r>
      <w:r w:rsidRPr="007D2C43">
        <w:t>e</w:t>
      </w:r>
      <w:r>
        <w:t xml:space="preserve"> en 2030, </w:t>
      </w:r>
      <w:r w:rsidR="007861CE">
        <w:t>76</w:t>
      </w:r>
      <w:r>
        <w:t> Mt</w:t>
      </w:r>
      <w:r w:rsidR="007F09F7">
        <w:t>CO</w:t>
      </w:r>
      <w:r w:rsidR="007F09F7" w:rsidRPr="007F09F7">
        <w:rPr>
          <w:vertAlign w:val="subscript"/>
        </w:rPr>
        <w:t>2</w:t>
      </w:r>
      <w:r w:rsidRPr="0085310F">
        <w:rPr>
          <w:vertAlign w:val="subscript"/>
        </w:rPr>
        <w:t>e</w:t>
      </w:r>
      <w:r>
        <w:t xml:space="preserve"> en 2035 et </w:t>
      </w:r>
      <w:r w:rsidR="007861CE">
        <w:t>76</w:t>
      </w:r>
      <w:r>
        <w:t>Mt</w:t>
      </w:r>
      <w:r w:rsidR="007F09F7">
        <w:t>CO</w:t>
      </w:r>
      <w:r w:rsidR="007F09F7" w:rsidRPr="007F09F7">
        <w:rPr>
          <w:vertAlign w:val="subscript"/>
        </w:rPr>
        <w:t>2</w:t>
      </w:r>
      <w:r w:rsidRPr="0085310F">
        <w:rPr>
          <w:vertAlign w:val="subscript"/>
        </w:rPr>
        <w:t>e</w:t>
      </w:r>
      <w:r>
        <w:t xml:space="preserve"> en 2040.</w:t>
      </w:r>
    </w:p>
    <w:p w14:paraId="7C2DDD55" w14:textId="77777777" w:rsidR="002E35D7" w:rsidRDefault="002E35D7">
      <w:pPr>
        <w:spacing w:line="240" w:lineRule="atLeast"/>
        <w:jc w:val="left"/>
      </w:pPr>
      <w:r>
        <w:br w:type="page"/>
      </w:r>
    </w:p>
    <w:p w14:paraId="066974E9" w14:textId="77777777" w:rsidR="0085310F" w:rsidRDefault="0085310F" w:rsidP="000C1A7E">
      <w:pPr>
        <w:spacing w:before="240" w:after="240"/>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1"/>
        <w:gridCol w:w="1433"/>
        <w:gridCol w:w="1433"/>
        <w:gridCol w:w="1433"/>
        <w:gridCol w:w="1433"/>
      </w:tblGrid>
      <w:tr w:rsidR="002E35D7" w:rsidRPr="00833C38" w14:paraId="1DE738C2" w14:textId="77777777" w:rsidTr="002E35D7">
        <w:trPr>
          <w:trHeight w:val="893"/>
          <w:jc w:val="center"/>
        </w:trPr>
        <w:tc>
          <w:tcPr>
            <w:tcW w:w="4611" w:type="dxa"/>
            <w:shd w:val="clear" w:color="FFFFCC" w:fill="FFFFFF"/>
            <w:hideMark/>
          </w:tcPr>
          <w:p w14:paraId="179537E5" w14:textId="77777777" w:rsidR="002E35D7" w:rsidRPr="002E35D7" w:rsidRDefault="002E35D7" w:rsidP="002E35D7">
            <w:pPr>
              <w:jc w:val="left"/>
              <w:rPr>
                <w:rFonts w:ascii="Calibri" w:hAnsi="Calibri" w:cs="Calibri"/>
                <w:b/>
                <w:bCs/>
                <w:color w:val="44546A"/>
                <w:sz w:val="18"/>
                <w:szCs w:val="18"/>
              </w:rPr>
            </w:pPr>
            <w:r w:rsidRPr="002E35D7">
              <w:rPr>
                <w:rFonts w:ascii="Calibri" w:hAnsi="Calibri" w:cs="Calibri"/>
                <w:b/>
                <w:bCs/>
                <w:color w:val="44546A"/>
                <w:sz w:val="18"/>
                <w:szCs w:val="18"/>
              </w:rPr>
              <w:t>Name of mitigation action</w:t>
            </w:r>
          </w:p>
        </w:tc>
        <w:tc>
          <w:tcPr>
            <w:tcW w:w="1433" w:type="dxa"/>
            <w:shd w:val="clear" w:color="FFFFCC" w:fill="FFFFFF"/>
            <w:hideMark/>
          </w:tcPr>
          <w:p w14:paraId="528E116D" w14:textId="77777777" w:rsidR="002E35D7" w:rsidRPr="002E35D7" w:rsidRDefault="002E35D7" w:rsidP="002E35D7">
            <w:pPr>
              <w:jc w:val="left"/>
              <w:rPr>
                <w:rFonts w:ascii="Calibri" w:hAnsi="Calibri" w:cs="Calibri"/>
                <w:b/>
                <w:bCs/>
                <w:color w:val="44546A"/>
                <w:sz w:val="18"/>
                <w:szCs w:val="18"/>
                <w:lang w:val="en-GB"/>
              </w:rPr>
            </w:pPr>
            <w:r w:rsidRPr="002E35D7">
              <w:rPr>
                <w:rFonts w:ascii="Calibri" w:hAnsi="Calibri" w:cs="Calibri"/>
                <w:b/>
                <w:bCs/>
                <w:color w:val="44546A"/>
                <w:sz w:val="18"/>
                <w:szCs w:val="18"/>
                <w:lang w:val="en-GB"/>
              </w:rPr>
              <w:t>Estimate of mitigation impact (not cumulative, in kt CO2 eq) 2025</w:t>
            </w:r>
          </w:p>
        </w:tc>
        <w:tc>
          <w:tcPr>
            <w:tcW w:w="1433" w:type="dxa"/>
            <w:shd w:val="clear" w:color="auto" w:fill="auto"/>
            <w:hideMark/>
          </w:tcPr>
          <w:p w14:paraId="2F3F5625" w14:textId="77777777" w:rsidR="002E35D7" w:rsidRPr="002E35D7" w:rsidRDefault="002E35D7" w:rsidP="002E35D7">
            <w:pPr>
              <w:jc w:val="left"/>
              <w:rPr>
                <w:rFonts w:ascii="Calibri" w:hAnsi="Calibri" w:cs="Calibri"/>
                <w:b/>
                <w:bCs/>
                <w:color w:val="44546A"/>
                <w:sz w:val="18"/>
                <w:szCs w:val="18"/>
                <w:lang w:val="en-GB"/>
              </w:rPr>
            </w:pPr>
            <w:r w:rsidRPr="002E35D7">
              <w:rPr>
                <w:rFonts w:ascii="Calibri" w:hAnsi="Calibri" w:cs="Calibri"/>
                <w:b/>
                <w:bCs/>
                <w:color w:val="44546A"/>
                <w:sz w:val="18"/>
                <w:szCs w:val="18"/>
                <w:lang w:val="en-GB"/>
              </w:rPr>
              <w:t>Estimate of mitigation impact (not cumulative, in kt CO2 eq) 2030</w:t>
            </w:r>
          </w:p>
        </w:tc>
        <w:tc>
          <w:tcPr>
            <w:tcW w:w="1433" w:type="dxa"/>
            <w:shd w:val="clear" w:color="FFFFCC" w:fill="FFFFFF"/>
            <w:hideMark/>
          </w:tcPr>
          <w:p w14:paraId="2BD89139" w14:textId="77777777" w:rsidR="002E35D7" w:rsidRPr="002E35D7" w:rsidRDefault="002E35D7" w:rsidP="002E35D7">
            <w:pPr>
              <w:jc w:val="left"/>
              <w:rPr>
                <w:rFonts w:ascii="Calibri" w:hAnsi="Calibri" w:cs="Calibri"/>
                <w:b/>
                <w:bCs/>
                <w:color w:val="44546A"/>
                <w:sz w:val="18"/>
                <w:szCs w:val="18"/>
                <w:lang w:val="en-GB"/>
              </w:rPr>
            </w:pPr>
            <w:r w:rsidRPr="002E35D7">
              <w:rPr>
                <w:rFonts w:ascii="Calibri" w:hAnsi="Calibri" w:cs="Calibri"/>
                <w:b/>
                <w:bCs/>
                <w:color w:val="44546A"/>
                <w:sz w:val="18"/>
                <w:szCs w:val="18"/>
                <w:lang w:val="en-GB"/>
              </w:rPr>
              <w:t>Estimate of mitigation impact (not cumulative, in kt CO2 eq) 2035</w:t>
            </w:r>
          </w:p>
        </w:tc>
        <w:tc>
          <w:tcPr>
            <w:tcW w:w="1433" w:type="dxa"/>
            <w:shd w:val="clear" w:color="FFFFCC" w:fill="FFFFFF"/>
            <w:hideMark/>
          </w:tcPr>
          <w:p w14:paraId="2E4811FF" w14:textId="77777777" w:rsidR="002E35D7" w:rsidRPr="002E35D7" w:rsidRDefault="002E35D7" w:rsidP="002E35D7">
            <w:pPr>
              <w:jc w:val="left"/>
              <w:rPr>
                <w:rFonts w:ascii="Calibri" w:hAnsi="Calibri" w:cs="Calibri"/>
                <w:b/>
                <w:bCs/>
                <w:color w:val="44546A"/>
                <w:sz w:val="18"/>
                <w:szCs w:val="18"/>
                <w:lang w:val="en-GB"/>
              </w:rPr>
            </w:pPr>
            <w:r w:rsidRPr="002E35D7">
              <w:rPr>
                <w:rFonts w:ascii="Calibri" w:hAnsi="Calibri" w:cs="Calibri"/>
                <w:b/>
                <w:bCs/>
                <w:color w:val="44546A"/>
                <w:sz w:val="18"/>
                <w:szCs w:val="18"/>
                <w:lang w:val="en-GB"/>
              </w:rPr>
              <w:t>Estimate of mitigation impact (not cumulative, in kt CO2 eq) 2040</w:t>
            </w:r>
          </w:p>
        </w:tc>
      </w:tr>
      <w:tr w:rsidR="002E35D7" w:rsidRPr="002E35D7" w14:paraId="57A1DF6D" w14:textId="77777777" w:rsidTr="002E35D7">
        <w:trPr>
          <w:trHeight w:val="360"/>
          <w:jc w:val="center"/>
        </w:trPr>
        <w:tc>
          <w:tcPr>
            <w:tcW w:w="4611" w:type="dxa"/>
            <w:shd w:val="clear" w:color="auto" w:fill="auto"/>
            <w:hideMark/>
          </w:tcPr>
          <w:p w14:paraId="4A792B24"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Réglementation thermique 2012 (RT 2012) dans les bâtiments neufs</w:t>
            </w:r>
          </w:p>
        </w:tc>
        <w:tc>
          <w:tcPr>
            <w:tcW w:w="1433" w:type="dxa"/>
            <w:shd w:val="clear" w:color="auto" w:fill="auto"/>
            <w:noWrap/>
            <w:hideMark/>
          </w:tcPr>
          <w:p w14:paraId="2578D48E"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6300</w:t>
            </w:r>
          </w:p>
        </w:tc>
        <w:tc>
          <w:tcPr>
            <w:tcW w:w="1433" w:type="dxa"/>
            <w:shd w:val="clear" w:color="auto" w:fill="auto"/>
            <w:noWrap/>
            <w:hideMark/>
          </w:tcPr>
          <w:p w14:paraId="277F0236"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9000</w:t>
            </w:r>
          </w:p>
        </w:tc>
        <w:tc>
          <w:tcPr>
            <w:tcW w:w="1433" w:type="dxa"/>
            <w:shd w:val="clear" w:color="auto" w:fill="auto"/>
            <w:noWrap/>
            <w:hideMark/>
          </w:tcPr>
          <w:p w14:paraId="4E84950D"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11700</w:t>
            </w:r>
          </w:p>
        </w:tc>
        <w:tc>
          <w:tcPr>
            <w:tcW w:w="1433" w:type="dxa"/>
            <w:shd w:val="clear" w:color="auto" w:fill="auto"/>
            <w:noWrap/>
            <w:hideMark/>
          </w:tcPr>
          <w:p w14:paraId="4F56FFD8" w14:textId="77777777" w:rsidR="002E35D7" w:rsidRPr="002E35D7" w:rsidRDefault="002E35D7" w:rsidP="002E35D7">
            <w:pPr>
              <w:jc w:val="right"/>
              <w:rPr>
                <w:rFonts w:ascii="Calibri" w:hAnsi="Calibri" w:cs="Calibri"/>
                <w:sz w:val="18"/>
                <w:szCs w:val="18"/>
              </w:rPr>
            </w:pPr>
          </w:p>
        </w:tc>
      </w:tr>
      <w:tr w:rsidR="002E35D7" w:rsidRPr="002E35D7" w14:paraId="0098555A" w14:textId="77777777" w:rsidTr="002E35D7">
        <w:trPr>
          <w:trHeight w:val="360"/>
          <w:jc w:val="center"/>
        </w:trPr>
        <w:tc>
          <w:tcPr>
            <w:tcW w:w="4611" w:type="dxa"/>
            <w:shd w:val="clear" w:color="auto" w:fill="auto"/>
            <w:hideMark/>
          </w:tcPr>
          <w:p w14:paraId="78055041"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Obligation de réalisation de travaux d’isolation thermique en cas de travaux importants de façade, de réfection de toiture ou d’aménagement de pièces</w:t>
            </w:r>
          </w:p>
        </w:tc>
        <w:tc>
          <w:tcPr>
            <w:tcW w:w="1433" w:type="dxa"/>
            <w:shd w:val="clear" w:color="auto" w:fill="auto"/>
            <w:noWrap/>
            <w:hideMark/>
          </w:tcPr>
          <w:p w14:paraId="7EE4D0E2"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1500</w:t>
            </w:r>
          </w:p>
        </w:tc>
        <w:tc>
          <w:tcPr>
            <w:tcW w:w="1433" w:type="dxa"/>
            <w:shd w:val="clear" w:color="auto" w:fill="auto"/>
            <w:noWrap/>
            <w:hideMark/>
          </w:tcPr>
          <w:p w14:paraId="2B2E774C"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2300</w:t>
            </w:r>
          </w:p>
        </w:tc>
        <w:tc>
          <w:tcPr>
            <w:tcW w:w="1433" w:type="dxa"/>
            <w:shd w:val="clear" w:color="auto" w:fill="auto"/>
            <w:noWrap/>
            <w:hideMark/>
          </w:tcPr>
          <w:p w14:paraId="30A36891"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3100</w:t>
            </w:r>
          </w:p>
        </w:tc>
        <w:tc>
          <w:tcPr>
            <w:tcW w:w="1433" w:type="dxa"/>
            <w:shd w:val="clear" w:color="auto" w:fill="auto"/>
            <w:noWrap/>
            <w:hideMark/>
          </w:tcPr>
          <w:p w14:paraId="07EF40DF" w14:textId="77777777" w:rsidR="002E35D7" w:rsidRPr="002E35D7" w:rsidRDefault="002E35D7" w:rsidP="002E35D7">
            <w:pPr>
              <w:jc w:val="right"/>
              <w:rPr>
                <w:rFonts w:ascii="Calibri" w:hAnsi="Calibri" w:cs="Calibri"/>
                <w:sz w:val="18"/>
                <w:szCs w:val="18"/>
              </w:rPr>
            </w:pPr>
          </w:p>
        </w:tc>
      </w:tr>
      <w:tr w:rsidR="002E35D7" w:rsidRPr="002E35D7" w14:paraId="11BBCF0A" w14:textId="77777777" w:rsidTr="002E35D7">
        <w:trPr>
          <w:trHeight w:val="360"/>
          <w:jc w:val="center"/>
        </w:trPr>
        <w:tc>
          <w:tcPr>
            <w:tcW w:w="4611" w:type="dxa"/>
            <w:shd w:val="clear" w:color="auto" w:fill="auto"/>
            <w:hideMark/>
          </w:tcPr>
          <w:p w14:paraId="6F0F02DB"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Arrêt des dernières centrales à charbon</w:t>
            </w:r>
          </w:p>
        </w:tc>
        <w:tc>
          <w:tcPr>
            <w:tcW w:w="1433" w:type="dxa"/>
            <w:shd w:val="clear" w:color="auto" w:fill="auto"/>
            <w:noWrap/>
            <w:hideMark/>
          </w:tcPr>
          <w:p w14:paraId="2DED8F5C"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4000</w:t>
            </w:r>
          </w:p>
        </w:tc>
        <w:tc>
          <w:tcPr>
            <w:tcW w:w="1433" w:type="dxa"/>
            <w:shd w:val="clear" w:color="auto" w:fill="auto"/>
            <w:noWrap/>
            <w:hideMark/>
          </w:tcPr>
          <w:p w14:paraId="0DA18EEC"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4000</w:t>
            </w:r>
          </w:p>
        </w:tc>
        <w:tc>
          <w:tcPr>
            <w:tcW w:w="1433" w:type="dxa"/>
            <w:shd w:val="clear" w:color="auto" w:fill="auto"/>
            <w:noWrap/>
            <w:hideMark/>
          </w:tcPr>
          <w:p w14:paraId="09F4A6B0"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4000</w:t>
            </w:r>
          </w:p>
        </w:tc>
        <w:tc>
          <w:tcPr>
            <w:tcW w:w="1433" w:type="dxa"/>
            <w:shd w:val="clear" w:color="auto" w:fill="auto"/>
            <w:noWrap/>
            <w:hideMark/>
          </w:tcPr>
          <w:p w14:paraId="09AB7533"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4000</w:t>
            </w:r>
          </w:p>
        </w:tc>
      </w:tr>
      <w:tr w:rsidR="002E35D7" w:rsidRPr="002E35D7" w14:paraId="1F3934E1" w14:textId="77777777" w:rsidTr="002E35D7">
        <w:trPr>
          <w:trHeight w:val="360"/>
          <w:jc w:val="center"/>
        </w:trPr>
        <w:tc>
          <w:tcPr>
            <w:tcW w:w="4611" w:type="dxa"/>
            <w:shd w:val="clear" w:color="auto" w:fill="auto"/>
            <w:hideMark/>
          </w:tcPr>
          <w:p w14:paraId="6D027E3C"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Les certificats d'économies d'énergie</w:t>
            </w:r>
          </w:p>
        </w:tc>
        <w:tc>
          <w:tcPr>
            <w:tcW w:w="1433" w:type="dxa"/>
            <w:shd w:val="clear" w:color="auto" w:fill="auto"/>
            <w:noWrap/>
            <w:hideMark/>
          </w:tcPr>
          <w:p w14:paraId="13B1A834"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5900</w:t>
            </w:r>
          </w:p>
        </w:tc>
        <w:tc>
          <w:tcPr>
            <w:tcW w:w="1433" w:type="dxa"/>
            <w:shd w:val="clear" w:color="auto" w:fill="auto"/>
            <w:noWrap/>
            <w:hideMark/>
          </w:tcPr>
          <w:p w14:paraId="218E95A7"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3500</w:t>
            </w:r>
          </w:p>
        </w:tc>
        <w:tc>
          <w:tcPr>
            <w:tcW w:w="1433" w:type="dxa"/>
            <w:shd w:val="clear" w:color="auto" w:fill="auto"/>
            <w:noWrap/>
            <w:hideMark/>
          </w:tcPr>
          <w:p w14:paraId="760FFB6F"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1600</w:t>
            </w:r>
          </w:p>
        </w:tc>
        <w:tc>
          <w:tcPr>
            <w:tcW w:w="1433" w:type="dxa"/>
            <w:shd w:val="clear" w:color="auto" w:fill="auto"/>
            <w:noWrap/>
            <w:hideMark/>
          </w:tcPr>
          <w:p w14:paraId="5E2DD45F" w14:textId="77777777" w:rsidR="002E35D7" w:rsidRPr="002E35D7" w:rsidRDefault="002E35D7" w:rsidP="002E35D7">
            <w:pPr>
              <w:jc w:val="right"/>
              <w:rPr>
                <w:rFonts w:ascii="Calibri" w:hAnsi="Calibri" w:cs="Calibri"/>
                <w:sz w:val="18"/>
                <w:szCs w:val="18"/>
              </w:rPr>
            </w:pPr>
          </w:p>
        </w:tc>
      </w:tr>
      <w:tr w:rsidR="002E35D7" w:rsidRPr="002E35D7" w14:paraId="3C8FC1EA" w14:textId="77777777" w:rsidTr="002E35D7">
        <w:trPr>
          <w:trHeight w:val="360"/>
          <w:jc w:val="center"/>
        </w:trPr>
        <w:tc>
          <w:tcPr>
            <w:tcW w:w="4611" w:type="dxa"/>
            <w:shd w:val="clear" w:color="auto" w:fill="auto"/>
            <w:hideMark/>
          </w:tcPr>
          <w:p w14:paraId="70AE5295"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Le règlement n° 517/2014 (F-Gas II) pour la réduction des émissions de gaz à effet de serre fluorés</w:t>
            </w:r>
          </w:p>
        </w:tc>
        <w:tc>
          <w:tcPr>
            <w:tcW w:w="1433" w:type="dxa"/>
            <w:shd w:val="clear" w:color="auto" w:fill="auto"/>
            <w:noWrap/>
            <w:hideMark/>
          </w:tcPr>
          <w:p w14:paraId="6AA31CD5"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3890</w:t>
            </w:r>
          </w:p>
        </w:tc>
        <w:tc>
          <w:tcPr>
            <w:tcW w:w="1433" w:type="dxa"/>
            <w:shd w:val="clear" w:color="auto" w:fill="auto"/>
            <w:noWrap/>
            <w:hideMark/>
          </w:tcPr>
          <w:p w14:paraId="0E95F737"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5750</w:t>
            </w:r>
          </w:p>
        </w:tc>
        <w:tc>
          <w:tcPr>
            <w:tcW w:w="1433" w:type="dxa"/>
            <w:shd w:val="clear" w:color="auto" w:fill="auto"/>
            <w:noWrap/>
            <w:hideMark/>
          </w:tcPr>
          <w:p w14:paraId="2A39B8AC"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7300</w:t>
            </w:r>
          </w:p>
        </w:tc>
        <w:tc>
          <w:tcPr>
            <w:tcW w:w="1433" w:type="dxa"/>
            <w:shd w:val="clear" w:color="auto" w:fill="auto"/>
            <w:noWrap/>
            <w:hideMark/>
          </w:tcPr>
          <w:p w14:paraId="036E611A"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7300</w:t>
            </w:r>
          </w:p>
        </w:tc>
      </w:tr>
      <w:tr w:rsidR="002E35D7" w:rsidRPr="002E35D7" w14:paraId="4F3EE375" w14:textId="77777777" w:rsidTr="002E35D7">
        <w:trPr>
          <w:trHeight w:val="360"/>
          <w:jc w:val="center"/>
        </w:trPr>
        <w:tc>
          <w:tcPr>
            <w:tcW w:w="4611" w:type="dxa"/>
            <w:shd w:val="clear" w:color="auto" w:fill="auto"/>
            <w:hideMark/>
          </w:tcPr>
          <w:p w14:paraId="720F12EF"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Le renforcement de la réglementation relative au contrôle d’étanchéité des équipements frigorifiques, climatiques et thermodynamiques</w:t>
            </w:r>
          </w:p>
        </w:tc>
        <w:tc>
          <w:tcPr>
            <w:tcW w:w="1433" w:type="dxa"/>
            <w:shd w:val="clear" w:color="auto" w:fill="auto"/>
            <w:noWrap/>
            <w:hideMark/>
          </w:tcPr>
          <w:p w14:paraId="47564E5D"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70</w:t>
            </w:r>
          </w:p>
        </w:tc>
        <w:tc>
          <w:tcPr>
            <w:tcW w:w="1433" w:type="dxa"/>
            <w:shd w:val="clear" w:color="auto" w:fill="auto"/>
            <w:noWrap/>
            <w:hideMark/>
          </w:tcPr>
          <w:p w14:paraId="55092338"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w:t>
            </w:r>
          </w:p>
        </w:tc>
        <w:tc>
          <w:tcPr>
            <w:tcW w:w="1433" w:type="dxa"/>
            <w:shd w:val="clear" w:color="auto" w:fill="auto"/>
            <w:noWrap/>
            <w:hideMark/>
          </w:tcPr>
          <w:p w14:paraId="5A990897"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30</w:t>
            </w:r>
          </w:p>
        </w:tc>
        <w:tc>
          <w:tcPr>
            <w:tcW w:w="1433" w:type="dxa"/>
            <w:shd w:val="clear" w:color="auto" w:fill="auto"/>
            <w:noWrap/>
            <w:hideMark/>
          </w:tcPr>
          <w:p w14:paraId="3BEB5C40"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30</w:t>
            </w:r>
          </w:p>
        </w:tc>
      </w:tr>
      <w:tr w:rsidR="002E35D7" w:rsidRPr="002E35D7" w14:paraId="79B68682" w14:textId="77777777" w:rsidTr="002E35D7">
        <w:trPr>
          <w:trHeight w:val="360"/>
          <w:jc w:val="center"/>
        </w:trPr>
        <w:tc>
          <w:tcPr>
            <w:tcW w:w="4611" w:type="dxa"/>
            <w:shd w:val="clear" w:color="auto" w:fill="auto"/>
            <w:hideMark/>
          </w:tcPr>
          <w:p w14:paraId="3AA8E209"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Interdiction de certains gaz fluorés dans les systèmes de climatisation des véhicules à moteur</w:t>
            </w:r>
          </w:p>
        </w:tc>
        <w:tc>
          <w:tcPr>
            <w:tcW w:w="1433" w:type="dxa"/>
            <w:shd w:val="clear" w:color="auto" w:fill="auto"/>
            <w:noWrap/>
            <w:hideMark/>
          </w:tcPr>
          <w:p w14:paraId="7BF447A3"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2320</w:t>
            </w:r>
          </w:p>
        </w:tc>
        <w:tc>
          <w:tcPr>
            <w:tcW w:w="1433" w:type="dxa"/>
            <w:shd w:val="clear" w:color="auto" w:fill="auto"/>
            <w:noWrap/>
            <w:hideMark/>
          </w:tcPr>
          <w:p w14:paraId="656D2648"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2830</w:t>
            </w:r>
          </w:p>
        </w:tc>
        <w:tc>
          <w:tcPr>
            <w:tcW w:w="1433" w:type="dxa"/>
            <w:shd w:val="clear" w:color="auto" w:fill="auto"/>
            <w:noWrap/>
            <w:hideMark/>
          </w:tcPr>
          <w:p w14:paraId="276291EB"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2180</w:t>
            </w:r>
          </w:p>
        </w:tc>
        <w:tc>
          <w:tcPr>
            <w:tcW w:w="1433" w:type="dxa"/>
            <w:shd w:val="clear" w:color="auto" w:fill="auto"/>
            <w:noWrap/>
            <w:hideMark/>
          </w:tcPr>
          <w:p w14:paraId="0B849E38"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2100</w:t>
            </w:r>
          </w:p>
        </w:tc>
      </w:tr>
      <w:tr w:rsidR="002E35D7" w:rsidRPr="002E35D7" w14:paraId="5DA2B268" w14:textId="77777777" w:rsidTr="002E35D7">
        <w:trPr>
          <w:trHeight w:val="360"/>
          <w:jc w:val="center"/>
        </w:trPr>
        <w:tc>
          <w:tcPr>
            <w:tcW w:w="4611" w:type="dxa"/>
            <w:shd w:val="clear" w:color="auto" w:fill="auto"/>
            <w:hideMark/>
          </w:tcPr>
          <w:p w14:paraId="6A5323F5"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Règlements européens n°443/2009 et n°333/2014 fixant aux constructeurs automobiles des objectifs de réduction des émissions moyennes des voitures neuves à horizon 2020</w:t>
            </w:r>
          </w:p>
        </w:tc>
        <w:tc>
          <w:tcPr>
            <w:tcW w:w="1433" w:type="dxa"/>
            <w:shd w:val="clear" w:color="auto" w:fill="auto"/>
            <w:noWrap/>
            <w:hideMark/>
          </w:tcPr>
          <w:p w14:paraId="12975C3A"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4353</w:t>
            </w:r>
          </w:p>
        </w:tc>
        <w:tc>
          <w:tcPr>
            <w:tcW w:w="1433" w:type="dxa"/>
            <w:shd w:val="clear" w:color="auto" w:fill="auto"/>
            <w:noWrap/>
            <w:hideMark/>
          </w:tcPr>
          <w:p w14:paraId="53B9D7F7"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5409</w:t>
            </w:r>
          </w:p>
        </w:tc>
        <w:tc>
          <w:tcPr>
            <w:tcW w:w="1433" w:type="dxa"/>
            <w:shd w:val="clear" w:color="auto" w:fill="auto"/>
            <w:noWrap/>
            <w:hideMark/>
          </w:tcPr>
          <w:p w14:paraId="1B9EEFBB"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6130</w:t>
            </w:r>
          </w:p>
        </w:tc>
        <w:tc>
          <w:tcPr>
            <w:tcW w:w="1433" w:type="dxa"/>
            <w:shd w:val="clear" w:color="auto" w:fill="auto"/>
            <w:noWrap/>
            <w:hideMark/>
          </w:tcPr>
          <w:p w14:paraId="3B5F99F9"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6130</w:t>
            </w:r>
          </w:p>
        </w:tc>
      </w:tr>
      <w:tr w:rsidR="002E35D7" w:rsidRPr="002E35D7" w14:paraId="4CB05C1A" w14:textId="77777777" w:rsidTr="002E35D7">
        <w:trPr>
          <w:trHeight w:val="360"/>
          <w:jc w:val="center"/>
        </w:trPr>
        <w:tc>
          <w:tcPr>
            <w:tcW w:w="4611" w:type="dxa"/>
            <w:shd w:val="clear" w:color="auto" w:fill="auto"/>
            <w:hideMark/>
          </w:tcPr>
          <w:p w14:paraId="45A32E86"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Règlement européen n°510/2011 fixant des objectifs de réduction des émissions moyennes des véhicules utilitaires légers neufs à horizon 2020</w:t>
            </w:r>
          </w:p>
        </w:tc>
        <w:tc>
          <w:tcPr>
            <w:tcW w:w="1433" w:type="dxa"/>
            <w:shd w:val="clear" w:color="auto" w:fill="auto"/>
            <w:noWrap/>
            <w:hideMark/>
          </w:tcPr>
          <w:p w14:paraId="203CB65B"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418</w:t>
            </w:r>
          </w:p>
        </w:tc>
        <w:tc>
          <w:tcPr>
            <w:tcW w:w="1433" w:type="dxa"/>
            <w:shd w:val="clear" w:color="auto" w:fill="auto"/>
            <w:noWrap/>
            <w:hideMark/>
          </w:tcPr>
          <w:p w14:paraId="542C7535"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521</w:t>
            </w:r>
          </w:p>
        </w:tc>
        <w:tc>
          <w:tcPr>
            <w:tcW w:w="1433" w:type="dxa"/>
            <w:shd w:val="clear" w:color="auto" w:fill="auto"/>
            <w:noWrap/>
            <w:hideMark/>
          </w:tcPr>
          <w:p w14:paraId="48995C47"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539</w:t>
            </w:r>
          </w:p>
        </w:tc>
        <w:tc>
          <w:tcPr>
            <w:tcW w:w="1433" w:type="dxa"/>
            <w:shd w:val="clear" w:color="auto" w:fill="auto"/>
            <w:noWrap/>
            <w:hideMark/>
          </w:tcPr>
          <w:p w14:paraId="3E75EA75"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539</w:t>
            </w:r>
          </w:p>
        </w:tc>
      </w:tr>
      <w:tr w:rsidR="002E35D7" w:rsidRPr="002E35D7" w14:paraId="35EE97A2" w14:textId="77777777" w:rsidTr="002E35D7">
        <w:trPr>
          <w:trHeight w:val="360"/>
          <w:jc w:val="center"/>
        </w:trPr>
        <w:tc>
          <w:tcPr>
            <w:tcW w:w="4611" w:type="dxa"/>
            <w:shd w:val="clear" w:color="auto" w:fill="auto"/>
            <w:hideMark/>
          </w:tcPr>
          <w:p w14:paraId="24CA23DE"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Règlement européen n°2019/631 du 17 avril 2019 fixant des objectifs de réduction d’émissions à horizon 2025 et 2030 pour les voitures particulières et véhicules utilitaires légers neufs</w:t>
            </w:r>
          </w:p>
        </w:tc>
        <w:tc>
          <w:tcPr>
            <w:tcW w:w="1433" w:type="dxa"/>
            <w:shd w:val="clear" w:color="auto" w:fill="auto"/>
            <w:noWrap/>
            <w:hideMark/>
          </w:tcPr>
          <w:p w14:paraId="79CECDFE"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4650</w:t>
            </w:r>
          </w:p>
        </w:tc>
        <w:tc>
          <w:tcPr>
            <w:tcW w:w="1433" w:type="dxa"/>
            <w:shd w:val="clear" w:color="auto" w:fill="auto"/>
            <w:noWrap/>
            <w:hideMark/>
          </w:tcPr>
          <w:p w14:paraId="0DC17B05"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12560</w:t>
            </w:r>
          </w:p>
        </w:tc>
        <w:tc>
          <w:tcPr>
            <w:tcW w:w="1433" w:type="dxa"/>
            <w:shd w:val="clear" w:color="auto" w:fill="auto"/>
            <w:noWrap/>
            <w:hideMark/>
          </w:tcPr>
          <w:p w14:paraId="5299181A"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23730</w:t>
            </w:r>
          </w:p>
        </w:tc>
        <w:tc>
          <w:tcPr>
            <w:tcW w:w="1433" w:type="dxa"/>
            <w:shd w:val="clear" w:color="auto" w:fill="auto"/>
            <w:noWrap/>
            <w:hideMark/>
          </w:tcPr>
          <w:p w14:paraId="563E7A81"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34900</w:t>
            </w:r>
          </w:p>
        </w:tc>
      </w:tr>
      <w:tr w:rsidR="002E35D7" w:rsidRPr="002E35D7" w14:paraId="25018917" w14:textId="77777777" w:rsidTr="002E35D7">
        <w:trPr>
          <w:trHeight w:val="360"/>
          <w:jc w:val="center"/>
        </w:trPr>
        <w:tc>
          <w:tcPr>
            <w:tcW w:w="4611" w:type="dxa"/>
            <w:shd w:val="clear" w:color="auto" w:fill="auto"/>
            <w:hideMark/>
          </w:tcPr>
          <w:p w14:paraId="1D3BE37E"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Règlement européen n°2019/1242 du 20 juin 2019 fixant des objectifs de réduction d’émissions à horizon 2025 et 2030 pour les poids lourds</w:t>
            </w:r>
          </w:p>
        </w:tc>
        <w:tc>
          <w:tcPr>
            <w:tcW w:w="1433" w:type="dxa"/>
            <w:shd w:val="clear" w:color="auto" w:fill="auto"/>
            <w:noWrap/>
            <w:hideMark/>
          </w:tcPr>
          <w:p w14:paraId="1D9310BF"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1250</w:t>
            </w:r>
          </w:p>
        </w:tc>
        <w:tc>
          <w:tcPr>
            <w:tcW w:w="1433" w:type="dxa"/>
            <w:shd w:val="clear" w:color="auto" w:fill="auto"/>
            <w:noWrap/>
            <w:hideMark/>
          </w:tcPr>
          <w:p w14:paraId="2DF63D2A"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3125</w:t>
            </w:r>
          </w:p>
        </w:tc>
        <w:tc>
          <w:tcPr>
            <w:tcW w:w="1433" w:type="dxa"/>
            <w:shd w:val="clear" w:color="auto" w:fill="auto"/>
            <w:noWrap/>
            <w:hideMark/>
          </w:tcPr>
          <w:p w14:paraId="5A953C90"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5625</w:t>
            </w:r>
          </w:p>
        </w:tc>
        <w:tc>
          <w:tcPr>
            <w:tcW w:w="1433" w:type="dxa"/>
            <w:shd w:val="clear" w:color="auto" w:fill="auto"/>
            <w:noWrap/>
            <w:hideMark/>
          </w:tcPr>
          <w:p w14:paraId="2A414505"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8125</w:t>
            </w:r>
          </w:p>
        </w:tc>
      </w:tr>
      <w:tr w:rsidR="002E35D7" w:rsidRPr="002E35D7" w14:paraId="489CED74" w14:textId="77777777" w:rsidTr="002E35D7">
        <w:trPr>
          <w:trHeight w:val="360"/>
          <w:jc w:val="center"/>
        </w:trPr>
        <w:tc>
          <w:tcPr>
            <w:tcW w:w="4611" w:type="dxa"/>
            <w:shd w:val="clear" w:color="auto" w:fill="auto"/>
            <w:hideMark/>
          </w:tcPr>
          <w:p w14:paraId="46F4FAA4"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Taxe incitative relative à l’incorporation de biocarburants (TIRUERT) pour favoriser l'introduction des biocarburants</w:t>
            </w:r>
          </w:p>
        </w:tc>
        <w:tc>
          <w:tcPr>
            <w:tcW w:w="1433" w:type="dxa"/>
            <w:shd w:val="clear" w:color="auto" w:fill="auto"/>
            <w:noWrap/>
            <w:hideMark/>
          </w:tcPr>
          <w:p w14:paraId="3F4043C3"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7381</w:t>
            </w:r>
          </w:p>
        </w:tc>
        <w:tc>
          <w:tcPr>
            <w:tcW w:w="1433" w:type="dxa"/>
            <w:shd w:val="clear" w:color="auto" w:fill="auto"/>
            <w:noWrap/>
            <w:hideMark/>
          </w:tcPr>
          <w:p w14:paraId="1F74760B"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6112</w:t>
            </w:r>
          </w:p>
        </w:tc>
        <w:tc>
          <w:tcPr>
            <w:tcW w:w="1433" w:type="dxa"/>
            <w:shd w:val="clear" w:color="auto" w:fill="auto"/>
            <w:noWrap/>
            <w:hideMark/>
          </w:tcPr>
          <w:p w14:paraId="51E1548B"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5482</w:t>
            </w:r>
          </w:p>
        </w:tc>
        <w:tc>
          <w:tcPr>
            <w:tcW w:w="1433" w:type="dxa"/>
            <w:shd w:val="clear" w:color="auto" w:fill="auto"/>
            <w:noWrap/>
            <w:hideMark/>
          </w:tcPr>
          <w:p w14:paraId="4C753C73"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4774</w:t>
            </w:r>
          </w:p>
        </w:tc>
      </w:tr>
      <w:tr w:rsidR="002E35D7" w:rsidRPr="002E35D7" w14:paraId="505A0914" w14:textId="77777777" w:rsidTr="002E35D7">
        <w:trPr>
          <w:trHeight w:val="360"/>
          <w:jc w:val="center"/>
        </w:trPr>
        <w:tc>
          <w:tcPr>
            <w:tcW w:w="4611" w:type="dxa"/>
            <w:shd w:val="clear" w:color="auto" w:fill="auto"/>
            <w:hideMark/>
          </w:tcPr>
          <w:p w14:paraId="474E67A3"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Développement de lignes de train à grande vitesse</w:t>
            </w:r>
          </w:p>
        </w:tc>
        <w:tc>
          <w:tcPr>
            <w:tcW w:w="1433" w:type="dxa"/>
            <w:shd w:val="clear" w:color="auto" w:fill="auto"/>
            <w:noWrap/>
            <w:hideMark/>
          </w:tcPr>
          <w:p w14:paraId="25EAB2A8"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441</w:t>
            </w:r>
          </w:p>
        </w:tc>
        <w:tc>
          <w:tcPr>
            <w:tcW w:w="1433" w:type="dxa"/>
            <w:shd w:val="clear" w:color="auto" w:fill="auto"/>
            <w:noWrap/>
            <w:hideMark/>
          </w:tcPr>
          <w:p w14:paraId="37D493B9"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434</w:t>
            </w:r>
          </w:p>
        </w:tc>
        <w:tc>
          <w:tcPr>
            <w:tcW w:w="1433" w:type="dxa"/>
            <w:shd w:val="clear" w:color="auto" w:fill="auto"/>
            <w:noWrap/>
            <w:hideMark/>
          </w:tcPr>
          <w:p w14:paraId="7133FEFD"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425</w:t>
            </w:r>
          </w:p>
        </w:tc>
        <w:tc>
          <w:tcPr>
            <w:tcW w:w="1433" w:type="dxa"/>
            <w:shd w:val="clear" w:color="auto" w:fill="auto"/>
            <w:noWrap/>
            <w:hideMark/>
          </w:tcPr>
          <w:p w14:paraId="72CA277E"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425</w:t>
            </w:r>
          </w:p>
        </w:tc>
      </w:tr>
      <w:tr w:rsidR="002E35D7" w:rsidRPr="002E35D7" w14:paraId="6D3AA788" w14:textId="77777777" w:rsidTr="002E35D7">
        <w:trPr>
          <w:trHeight w:val="360"/>
          <w:jc w:val="center"/>
        </w:trPr>
        <w:tc>
          <w:tcPr>
            <w:tcW w:w="4611" w:type="dxa"/>
            <w:shd w:val="clear" w:color="auto" w:fill="auto"/>
            <w:hideMark/>
          </w:tcPr>
          <w:p w14:paraId="291B2B4B" w14:textId="77777777" w:rsidR="002E35D7" w:rsidRPr="002E35D7" w:rsidRDefault="002E35D7" w:rsidP="002E35D7">
            <w:pPr>
              <w:jc w:val="left"/>
              <w:rPr>
                <w:rFonts w:ascii="Calibri" w:hAnsi="Calibri" w:cs="Calibri"/>
                <w:sz w:val="18"/>
                <w:szCs w:val="18"/>
              </w:rPr>
            </w:pPr>
            <w:r w:rsidRPr="002E35D7">
              <w:rPr>
                <w:rFonts w:ascii="Calibri" w:hAnsi="Calibri" w:cs="Calibri"/>
                <w:sz w:val="18"/>
                <w:szCs w:val="18"/>
              </w:rPr>
              <w:t>Obligation de tri des déchets des activités économiques (pour les matériaux papier, carton, plastique, métaux, bois, verre)</w:t>
            </w:r>
          </w:p>
        </w:tc>
        <w:tc>
          <w:tcPr>
            <w:tcW w:w="1433" w:type="dxa"/>
            <w:shd w:val="clear" w:color="auto" w:fill="auto"/>
            <w:noWrap/>
            <w:hideMark/>
          </w:tcPr>
          <w:p w14:paraId="1258ACB9"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3600</w:t>
            </w:r>
          </w:p>
        </w:tc>
        <w:tc>
          <w:tcPr>
            <w:tcW w:w="1433" w:type="dxa"/>
            <w:shd w:val="clear" w:color="auto" w:fill="auto"/>
            <w:noWrap/>
            <w:hideMark/>
          </w:tcPr>
          <w:p w14:paraId="6EE6EBD4"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4000</w:t>
            </w:r>
          </w:p>
        </w:tc>
        <w:tc>
          <w:tcPr>
            <w:tcW w:w="1433" w:type="dxa"/>
            <w:shd w:val="clear" w:color="auto" w:fill="auto"/>
            <w:noWrap/>
            <w:hideMark/>
          </w:tcPr>
          <w:p w14:paraId="2BF20DD1"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4200</w:t>
            </w:r>
          </w:p>
        </w:tc>
        <w:tc>
          <w:tcPr>
            <w:tcW w:w="1433" w:type="dxa"/>
            <w:shd w:val="clear" w:color="auto" w:fill="auto"/>
            <w:noWrap/>
            <w:hideMark/>
          </w:tcPr>
          <w:p w14:paraId="0008D0B0" w14:textId="77777777" w:rsidR="002E35D7" w:rsidRPr="002E35D7" w:rsidRDefault="002E35D7" w:rsidP="002E35D7">
            <w:pPr>
              <w:jc w:val="right"/>
              <w:rPr>
                <w:rFonts w:ascii="Calibri" w:hAnsi="Calibri" w:cs="Calibri"/>
                <w:sz w:val="18"/>
                <w:szCs w:val="18"/>
              </w:rPr>
            </w:pPr>
            <w:r w:rsidRPr="002E35D7">
              <w:rPr>
                <w:rFonts w:ascii="Calibri" w:hAnsi="Calibri" w:cs="Calibri"/>
                <w:sz w:val="18"/>
                <w:szCs w:val="18"/>
              </w:rPr>
              <w:t>4200</w:t>
            </w:r>
          </w:p>
        </w:tc>
      </w:tr>
      <w:tr w:rsidR="002E35D7" w:rsidRPr="002E35D7" w14:paraId="621C0B3D" w14:textId="77777777" w:rsidTr="002E35D7">
        <w:trPr>
          <w:trHeight w:val="211"/>
          <w:jc w:val="center"/>
        </w:trPr>
        <w:tc>
          <w:tcPr>
            <w:tcW w:w="4611" w:type="dxa"/>
            <w:shd w:val="clear" w:color="auto" w:fill="auto"/>
          </w:tcPr>
          <w:p w14:paraId="48AD651C" w14:textId="13ED8E6A" w:rsidR="002E35D7" w:rsidRPr="002E35D7" w:rsidRDefault="002E35D7" w:rsidP="002E35D7">
            <w:pPr>
              <w:jc w:val="left"/>
              <w:rPr>
                <w:rFonts w:ascii="Calibri" w:hAnsi="Calibri" w:cs="Calibri"/>
                <w:b/>
                <w:sz w:val="18"/>
                <w:szCs w:val="18"/>
              </w:rPr>
            </w:pPr>
            <w:r w:rsidRPr="002E35D7">
              <w:rPr>
                <w:rFonts w:ascii="Calibri" w:hAnsi="Calibri" w:cs="Calibri"/>
                <w:b/>
                <w:sz w:val="18"/>
                <w:szCs w:val="18"/>
              </w:rPr>
              <w:t>TOTAL</w:t>
            </w:r>
          </w:p>
        </w:tc>
        <w:tc>
          <w:tcPr>
            <w:tcW w:w="1433" w:type="dxa"/>
            <w:shd w:val="clear" w:color="auto" w:fill="auto"/>
            <w:noWrap/>
            <w:vAlign w:val="bottom"/>
          </w:tcPr>
          <w:p w14:paraId="3F0CADCD" w14:textId="4396F5FA" w:rsidR="002E35D7" w:rsidRPr="002E35D7" w:rsidRDefault="00D4551D" w:rsidP="002E35D7">
            <w:pPr>
              <w:jc w:val="right"/>
              <w:rPr>
                <w:rFonts w:ascii="Calibri" w:hAnsi="Calibri" w:cs="Calibri"/>
                <w:b/>
                <w:sz w:val="18"/>
                <w:szCs w:val="18"/>
              </w:rPr>
            </w:pPr>
            <w:r>
              <w:rPr>
                <w:rFonts w:ascii="Calibri" w:hAnsi="Calibri" w:cs="Calibri"/>
                <w:b/>
                <w:color w:val="000000"/>
                <w:sz w:val="18"/>
                <w:szCs w:val="18"/>
              </w:rPr>
              <w:t>46073</w:t>
            </w:r>
          </w:p>
        </w:tc>
        <w:tc>
          <w:tcPr>
            <w:tcW w:w="1433" w:type="dxa"/>
            <w:shd w:val="clear" w:color="auto" w:fill="auto"/>
            <w:noWrap/>
            <w:vAlign w:val="bottom"/>
          </w:tcPr>
          <w:p w14:paraId="64746803" w14:textId="11675CE7" w:rsidR="002E35D7" w:rsidRPr="002E35D7" w:rsidRDefault="00D4551D" w:rsidP="002E35D7">
            <w:pPr>
              <w:jc w:val="right"/>
              <w:rPr>
                <w:rFonts w:ascii="Calibri" w:hAnsi="Calibri" w:cs="Calibri"/>
                <w:b/>
                <w:sz w:val="18"/>
                <w:szCs w:val="18"/>
              </w:rPr>
            </w:pPr>
            <w:r>
              <w:rPr>
                <w:rFonts w:ascii="Calibri" w:hAnsi="Calibri" w:cs="Calibri"/>
                <w:b/>
                <w:color w:val="000000"/>
                <w:sz w:val="18"/>
                <w:szCs w:val="18"/>
              </w:rPr>
              <w:t>59581</w:t>
            </w:r>
          </w:p>
        </w:tc>
        <w:tc>
          <w:tcPr>
            <w:tcW w:w="1433" w:type="dxa"/>
            <w:shd w:val="clear" w:color="auto" w:fill="auto"/>
            <w:noWrap/>
            <w:vAlign w:val="bottom"/>
          </w:tcPr>
          <w:p w14:paraId="60C7336C" w14:textId="4563BEAB" w:rsidR="002E35D7" w:rsidRPr="002E35D7" w:rsidRDefault="00D4551D" w:rsidP="002E35D7">
            <w:pPr>
              <w:jc w:val="right"/>
              <w:rPr>
                <w:rFonts w:ascii="Calibri" w:hAnsi="Calibri" w:cs="Calibri"/>
                <w:b/>
                <w:sz w:val="18"/>
                <w:szCs w:val="18"/>
              </w:rPr>
            </w:pPr>
            <w:r>
              <w:rPr>
                <w:rFonts w:ascii="Calibri" w:hAnsi="Calibri" w:cs="Calibri"/>
                <w:b/>
                <w:color w:val="000000"/>
                <w:sz w:val="18"/>
                <w:szCs w:val="18"/>
              </w:rPr>
              <w:t>76041</w:t>
            </w:r>
          </w:p>
        </w:tc>
        <w:tc>
          <w:tcPr>
            <w:tcW w:w="1433" w:type="dxa"/>
            <w:shd w:val="clear" w:color="auto" w:fill="auto"/>
            <w:noWrap/>
            <w:vAlign w:val="bottom"/>
          </w:tcPr>
          <w:p w14:paraId="550CAB7F" w14:textId="1E967B2B" w:rsidR="002E35D7" w:rsidRPr="002E35D7" w:rsidRDefault="00D4551D" w:rsidP="002E35D7">
            <w:pPr>
              <w:jc w:val="right"/>
              <w:rPr>
                <w:rFonts w:ascii="Calibri" w:hAnsi="Calibri" w:cs="Calibri"/>
                <w:b/>
                <w:sz w:val="18"/>
                <w:szCs w:val="18"/>
              </w:rPr>
            </w:pPr>
            <w:r>
              <w:rPr>
                <w:rFonts w:ascii="Calibri" w:hAnsi="Calibri" w:cs="Calibri"/>
                <w:b/>
                <w:color w:val="000000"/>
                <w:sz w:val="18"/>
                <w:szCs w:val="18"/>
              </w:rPr>
              <w:t>75623</w:t>
            </w:r>
          </w:p>
        </w:tc>
      </w:tr>
    </w:tbl>
    <w:p w14:paraId="7E3E021A" w14:textId="0D1D05C9" w:rsidR="002E35D7" w:rsidRDefault="002E35D7" w:rsidP="002E35D7">
      <w:pPr>
        <w:pStyle w:val="Caption"/>
      </w:pPr>
      <w:bookmarkStart w:id="568" w:name="_Toc123916525"/>
      <w:r>
        <w:t xml:space="preserve">Tableau </w:t>
      </w:r>
      <w:fldSimple w:instr=" SEQ Tableau \* ARABIC ">
        <w:r w:rsidR="00AB51D9">
          <w:rPr>
            <w:noProof/>
          </w:rPr>
          <w:t>33</w:t>
        </w:r>
      </w:fldSimple>
      <w:r>
        <w:t> : Effet des politiques et mesures sur les émissions de gaz à effet de serre au horizon 2025, 2030, 2035 et 2040</w:t>
      </w:r>
      <w:bookmarkEnd w:id="568"/>
    </w:p>
    <w:p w14:paraId="06E2870D" w14:textId="55B43ABB" w:rsidR="002E35D7" w:rsidRPr="002E35D7" w:rsidRDefault="002E35D7" w:rsidP="002E35D7">
      <w:pPr>
        <w:pStyle w:val="Caption"/>
      </w:pPr>
      <w:r>
        <w:t>Source : MTE-DGEC</w:t>
      </w:r>
    </w:p>
    <w:p w14:paraId="3749B050" w14:textId="5DA2C0C5" w:rsidR="00572599" w:rsidRPr="00962AB2" w:rsidRDefault="00572599" w:rsidP="00E22CF8">
      <w:pPr>
        <w:pStyle w:val="Titre2Niveau2"/>
      </w:pPr>
      <w:bookmarkStart w:id="569" w:name="_Toc138342024"/>
      <w:bookmarkStart w:id="570" w:name="_Toc121215536"/>
      <w:r w:rsidRPr="00962AB2">
        <w:t xml:space="preserve">Rôle des crédits issus des mécanismes créés par les articles 6, 12 et 17 du Protocole de Kyoto dans l’atteinte des objectifs quantitatifs assignés à la </w:t>
      </w:r>
      <w:r w:rsidR="009C793D" w:rsidRPr="00962AB2">
        <w:t>France</w:t>
      </w:r>
      <w:bookmarkEnd w:id="569"/>
    </w:p>
    <w:p w14:paraId="0F284F7D" w14:textId="21A7AF80" w:rsidR="009C793D" w:rsidRPr="00962AB2" w:rsidRDefault="009C793D" w:rsidP="009C793D">
      <w:r w:rsidRPr="00962AB2">
        <w:t>Les politiques publiques mises en œuvre par la France lui ont permis d’atteindre son objectif Kyoto sans avoir à acquérir de crédits internationaux.</w:t>
      </w:r>
    </w:p>
    <w:p w14:paraId="2E9CA7E6" w14:textId="41DCE372" w:rsidR="009C793D" w:rsidRPr="00962AB2" w:rsidRDefault="009C793D" w:rsidP="009C793D">
      <w:r w:rsidRPr="00962AB2">
        <w:t>Les entreprises françaises soumises au système communautaire d’échange de quotas d’émissions (SCEQE) peuvent, pour leur conformité, restituer des Unités de réductions des émissions (URE) et des Unités de réduction certifiée des émissions (URCE) dans la limite de 13,5</w:t>
      </w:r>
      <w:r w:rsidR="006518EF">
        <w:t>%</w:t>
      </w:r>
      <w:r w:rsidRPr="00962AB2">
        <w:t xml:space="preserve"> de leur allocation initiale de quotas (Plan national d’affectation des quotas pour la période 2008-2012) pour la période 2008-2020. Ce pourcentage est limité à 4,5% dans le cas des nouveaux secteurs ayant intégré l’EU ETS en 2013. Cette flexibilité n’a pas non plus été utilisée par la France pour l’atteinte de ses objectifs européens.</w:t>
      </w:r>
    </w:p>
    <w:p w14:paraId="3957A489" w14:textId="57140187" w:rsidR="009C793D" w:rsidRPr="00962AB2" w:rsidRDefault="009C793D" w:rsidP="009C793D">
      <w:r w:rsidRPr="00962AB2">
        <w:t>Les exploitants d’aéronefs sont autorisés à utiliser des crédits internationaux jusqu’à un maximum de 1,5% de leurs émissions vérifiées pendant la période 2013-2020</w:t>
      </w:r>
    </w:p>
    <w:p w14:paraId="55D9B732" w14:textId="4C176A59" w:rsidR="009C793D" w:rsidRPr="00962AB2" w:rsidRDefault="009C793D" w:rsidP="009C793D">
      <w:r w:rsidRPr="00962AB2">
        <w:t>.</w:t>
      </w:r>
    </w:p>
    <w:p w14:paraId="2BB7139F" w14:textId="075FCCEB" w:rsidR="009C793D" w:rsidRPr="009C793D" w:rsidRDefault="009C793D" w:rsidP="009C793D">
      <w:r w:rsidRPr="00962AB2">
        <w:t xml:space="preserve">Au-delà de 2020, d’autres mécanismes </w:t>
      </w:r>
      <w:r w:rsidR="00A97954">
        <w:t xml:space="preserve">de marché </w:t>
      </w:r>
      <w:r w:rsidR="00C71719">
        <w:t>seront mis en place</w:t>
      </w:r>
      <w:r w:rsidRPr="00962AB2">
        <w:t xml:space="preserve"> conformément à l’Article</w:t>
      </w:r>
      <w:r w:rsidR="00A97954">
        <w:t xml:space="preserve"> </w:t>
      </w:r>
      <w:r w:rsidRPr="00962AB2">
        <w:t>6 de l’Accord de Paris. L’Union Européenne et ses Etats Membres ne prévoient pas de recourir à ce type de mécanismes pour l’atteinte de l’objectif commun inscrit dans la Contribution Déterminée au niveau National de l’Union Européenne.</w:t>
      </w:r>
    </w:p>
    <w:p w14:paraId="63ED9C31" w14:textId="28E091F8" w:rsidR="001021CB" w:rsidRPr="00B46540" w:rsidRDefault="001021CB" w:rsidP="00E22CF8">
      <w:pPr>
        <w:pStyle w:val="Titre2Niveau2"/>
      </w:pPr>
      <w:bookmarkStart w:id="571" w:name="_Toc138342025"/>
      <w:r>
        <w:t>Méthodologie</w:t>
      </w:r>
      <w:bookmarkEnd w:id="570"/>
      <w:bookmarkEnd w:id="571"/>
    </w:p>
    <w:p w14:paraId="2D8DF7A4" w14:textId="77777777" w:rsidR="001021CB" w:rsidRDefault="001021CB" w:rsidP="003F57EA">
      <w:pPr>
        <w:pStyle w:val="Titre3Niveau3"/>
      </w:pPr>
      <w:bookmarkStart w:id="572" w:name="_Toc121215537"/>
      <w:bookmarkStart w:id="573" w:name="_Toc138342026"/>
      <w:r>
        <w:t xml:space="preserve">Modélisations </w:t>
      </w:r>
      <w:r w:rsidRPr="006B7515">
        <w:t>utilisées</w:t>
      </w:r>
      <w:bookmarkEnd w:id="572"/>
      <w:bookmarkEnd w:id="573"/>
    </w:p>
    <w:p w14:paraId="3A622160" w14:textId="77777777" w:rsidR="001021CB" w:rsidRDefault="001021CB" w:rsidP="001021CB">
      <w:pPr>
        <w:spacing w:before="240" w:after="240"/>
      </w:pPr>
      <w:r>
        <w:t xml:space="preserve">Le processus de modélisation pour le scénario AMS 2018 a été présenté dans la précédente communication nationale et le dernier rapport bisannuel. </w:t>
      </w:r>
    </w:p>
    <w:p w14:paraId="61A72EB3" w14:textId="77777777" w:rsidR="001021CB" w:rsidRDefault="001021CB" w:rsidP="001021CB">
      <w:pPr>
        <w:pStyle w:val="Textedesaisie"/>
        <w:ind w:left="0"/>
        <w:rPr>
          <w:sz w:val="21"/>
          <w:szCs w:val="21"/>
        </w:rPr>
      </w:pPr>
      <w:r>
        <w:rPr>
          <w:sz w:val="21"/>
          <w:szCs w:val="21"/>
        </w:rPr>
        <w:t>Le processus pour l’AME 2021 en a globalement repris les grandes lignes, avec quelques différences notables</w:t>
      </w:r>
      <w:r>
        <w:rPr>
          <w:rFonts w:ascii="Calibri" w:hAnsi="Calibri" w:cs="Calibri"/>
          <w:sz w:val="21"/>
          <w:szCs w:val="21"/>
        </w:rPr>
        <w:t> </w:t>
      </w:r>
      <w:r>
        <w:rPr>
          <w:sz w:val="21"/>
          <w:szCs w:val="21"/>
        </w:rPr>
        <w:t xml:space="preserve">: </w:t>
      </w:r>
    </w:p>
    <w:p w14:paraId="65B76629" w14:textId="77777777" w:rsidR="001021CB" w:rsidRPr="00721047" w:rsidRDefault="001021CB" w:rsidP="001021CB">
      <w:pPr>
        <w:pStyle w:val="Textedesaisie"/>
        <w:ind w:left="0"/>
        <w:rPr>
          <w:sz w:val="21"/>
          <w:szCs w:val="21"/>
        </w:rPr>
      </w:pPr>
      <w:r w:rsidRPr="00721047">
        <w:rPr>
          <w:sz w:val="21"/>
          <w:szCs w:val="21"/>
        </w:rPr>
        <w:t>Contrairement à l’exercice précédent qui était lié à l’actualisation des programmations nationales, les consultations ont cette fois été limitées aux administrations concernées (autres directions du MTE, MA</w:t>
      </w:r>
      <w:r>
        <w:rPr>
          <w:sz w:val="21"/>
          <w:szCs w:val="21"/>
        </w:rPr>
        <w:t>S</w:t>
      </w:r>
      <w:r w:rsidRPr="00721047">
        <w:rPr>
          <w:sz w:val="21"/>
          <w:szCs w:val="21"/>
        </w:rPr>
        <w:t>A/DGPE, MEFR/DGT, ADEME</w:t>
      </w:r>
      <w:r>
        <w:rPr>
          <w:sz w:val="21"/>
          <w:szCs w:val="21"/>
        </w:rPr>
        <w:t>) ainsi que les modélisateurs externes (Citepa et CSTB)</w:t>
      </w:r>
      <w:r w:rsidRPr="00721047">
        <w:rPr>
          <w:sz w:val="21"/>
          <w:szCs w:val="21"/>
        </w:rPr>
        <w:t xml:space="preserve">. Cinq groupes de travail ont été mis en place (agriculture-forêts-sols / bâtiments / transports / industrie / énergie-déchets), chacun ayant tenu entre 2 et 4 réunions selon les besoins entre septembre 2020 et février 2021. </w:t>
      </w:r>
    </w:p>
    <w:p w14:paraId="47D72AA1" w14:textId="77777777" w:rsidR="001021CB" w:rsidRDefault="001021CB" w:rsidP="001021CB">
      <w:pPr>
        <w:pStyle w:val="Textedesaisie"/>
        <w:keepNext/>
      </w:pPr>
      <w:r>
        <w:rPr>
          <w:noProof/>
        </w:rPr>
        <w:drawing>
          <wp:inline distT="0" distB="0" distL="0" distR="0" wp14:anchorId="6D496101" wp14:editId="331B53D5">
            <wp:extent cx="5762625" cy="3133725"/>
            <wp:effectExtent l="0" t="0" r="9525" b="9525"/>
            <wp:docPr id="28707" name="Image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62625" cy="3133725"/>
                    </a:xfrm>
                    <a:prstGeom prst="rect">
                      <a:avLst/>
                    </a:prstGeom>
                    <a:noFill/>
                    <a:ln>
                      <a:noFill/>
                    </a:ln>
                  </pic:spPr>
                </pic:pic>
              </a:graphicData>
            </a:graphic>
          </wp:inline>
        </w:drawing>
      </w:r>
    </w:p>
    <w:p w14:paraId="2A777F10" w14:textId="463DBEAA" w:rsidR="006B7515" w:rsidRDefault="006B7515" w:rsidP="0045532B">
      <w:pPr>
        <w:pStyle w:val="Caption"/>
      </w:pPr>
      <w:bookmarkStart w:id="574" w:name="_Toc123916474"/>
      <w:r>
        <w:t xml:space="preserve">Figure </w:t>
      </w:r>
      <w:fldSimple w:instr=" SEQ Figure \* ARABIC ">
        <w:r w:rsidR="00AB51D9">
          <w:rPr>
            <w:noProof/>
          </w:rPr>
          <w:t>63</w:t>
        </w:r>
      </w:fldSimple>
      <w:r>
        <w:t xml:space="preserve"> : </w:t>
      </w:r>
      <w:r w:rsidR="001021CB" w:rsidRPr="00874B79">
        <w:t>Processus de modélisation de l'AME 2021</w:t>
      </w:r>
      <w:bookmarkEnd w:id="574"/>
    </w:p>
    <w:p w14:paraId="0E1762DC" w14:textId="6EA426F5" w:rsidR="001021CB" w:rsidRDefault="001021CB" w:rsidP="0045532B">
      <w:pPr>
        <w:pStyle w:val="Caption"/>
      </w:pPr>
      <w:r>
        <w:t>Source : MTE/DGEC</w:t>
      </w:r>
    </w:p>
    <w:p w14:paraId="32385C2D" w14:textId="77777777" w:rsidR="001021CB" w:rsidRPr="00874B79" w:rsidRDefault="001021CB" w:rsidP="001021CB"/>
    <w:p w14:paraId="6F29E2E3" w14:textId="213BB707" w:rsidR="000F5EC0" w:rsidRDefault="001021CB" w:rsidP="001021CB">
      <w:r>
        <w:t>En termes de modélisation, le processus reprend assez largement celui utilisé en 2018</w:t>
      </w:r>
      <w:r w:rsidR="000F5EC0">
        <w:t>, à savoir l’utilisation de toute une série de modèles sectoriels technico-économiques, dont les consommations d’énergie sont agrégées au sein de bilans de l’énergie, et ensuite traduits en émissions de gaz à effet de serre conformément aux méthodologies d’inventaires en vigueur. Cette approche permet de fournir une vision fine des transformations sectorielles associées au scénario</w:t>
      </w:r>
      <w:r w:rsidR="00C216DF">
        <w:t>, et de fournir des données de sortie (énergie et GES) conformes à la statistique officielle. La principale faiblesse de cette approche, comparé à un modèle unique top-down, réside dans le besoin de porter une attention particulière aux liens entre secteurs, ainsi que dans la durée requise pour faire tourner l’ensemble des modèles (un run entier de modélisation pouvant prendre jusqu’à 6 mois). Tous les modèles utilisés ont été originellement produits en vue d’analyses sur les émissions de GES ou les consommations d’énergie. L’intégration de plusieurs politiques simultanément au sein de chaque secteur permet d’éviter les doubles comptes entre ces dernières.</w:t>
      </w:r>
    </w:p>
    <w:p w14:paraId="562C43E8" w14:textId="7A4FD350" w:rsidR="000F5EC0" w:rsidRDefault="000F5EC0" w:rsidP="001021CB"/>
    <w:p w14:paraId="3735046A" w14:textId="2B672A05" w:rsidR="001021CB" w:rsidRDefault="00C216DF" w:rsidP="001021CB">
      <w:r>
        <w:t>La principale différence avec l’architecture de modélisation utilisée en 2018 réside dans</w:t>
      </w:r>
      <w:r w:rsidR="001021CB">
        <w:t xml:space="preserve"> l’utilisation de GEStime, un outil interne développé par la DGEC, qui est venu remplacer l’utilisation de MedPro pour les aspects énergétiques et pour l’industrie. GEStime </w:t>
      </w:r>
      <w:r>
        <w:t xml:space="preserve">est un modèle comptable qui </w:t>
      </w:r>
      <w:r w:rsidR="001021CB">
        <w:t>permet de représenter de manière statique à un horizon donné les consommations d’énergie et les émissions de gaz à effet de serre en fonction d’une série de leviers physiques dans chacun des secteurs. Il est calé sur l’année 2015 à partir des données du bilan de l’énergie du SDES et de l’inventaire du Citepa. De nouveaux outils ont également été mobilisés pour modéliser l’artificialisation des sols et le transport aérien.</w:t>
      </w:r>
      <w:r w:rsidR="000F5EC0">
        <w:t xml:space="preserve"> </w:t>
      </w:r>
    </w:p>
    <w:p w14:paraId="07F716BA" w14:textId="77777777" w:rsidR="001021CB" w:rsidRDefault="001021CB" w:rsidP="001021CB"/>
    <w:tbl>
      <w:tblPr>
        <w:tblStyle w:val="GridTable4-Accent5"/>
        <w:tblW w:w="0" w:type="auto"/>
        <w:tblLook w:val="04A0" w:firstRow="1" w:lastRow="0" w:firstColumn="1" w:lastColumn="0" w:noHBand="0" w:noVBand="1"/>
      </w:tblPr>
      <w:tblGrid>
        <w:gridCol w:w="1982"/>
        <w:gridCol w:w="3400"/>
        <w:gridCol w:w="1559"/>
        <w:gridCol w:w="2999"/>
      </w:tblGrid>
      <w:tr w:rsidR="00C216DF" w14:paraId="4A56DE29" w14:textId="1E0A4800" w:rsidTr="00261D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2D2F843C" w14:textId="77777777" w:rsidR="00C216DF" w:rsidRPr="00BB130D" w:rsidRDefault="00C216DF" w:rsidP="00C44824">
            <w:pPr>
              <w:rPr>
                <w:b w:val="0"/>
              </w:rPr>
            </w:pPr>
            <w:r w:rsidRPr="00BB130D">
              <w:rPr>
                <w:b w:val="0"/>
              </w:rPr>
              <w:t>Secteur</w:t>
            </w:r>
          </w:p>
        </w:tc>
        <w:tc>
          <w:tcPr>
            <w:tcW w:w="3400" w:type="dxa"/>
          </w:tcPr>
          <w:p w14:paraId="12F0C126" w14:textId="5C9D6E7B" w:rsidR="00C216DF" w:rsidRPr="00BB130D" w:rsidRDefault="00C216DF" w:rsidP="00C44824">
            <w:pPr>
              <w:cnfStyle w:val="100000000000" w:firstRow="1" w:lastRow="0" w:firstColumn="0" w:lastColumn="0" w:oddVBand="0" w:evenVBand="0" w:oddHBand="0" w:evenHBand="0" w:firstRowFirstColumn="0" w:firstRowLastColumn="0" w:lastRowFirstColumn="0" w:lastRowLastColumn="0"/>
              <w:rPr>
                <w:b w:val="0"/>
              </w:rPr>
            </w:pPr>
            <w:r w:rsidRPr="00BB130D">
              <w:rPr>
                <w:b w:val="0"/>
              </w:rPr>
              <w:t>Outil</w:t>
            </w:r>
            <w:r>
              <w:rPr>
                <w:b w:val="0"/>
              </w:rPr>
              <w:t>s</w:t>
            </w:r>
            <w:r w:rsidRPr="00BB130D">
              <w:rPr>
                <w:b w:val="0"/>
              </w:rPr>
              <w:t xml:space="preserve"> utilisé</w:t>
            </w:r>
            <w:r>
              <w:rPr>
                <w:b w:val="0"/>
              </w:rPr>
              <w:t>s</w:t>
            </w:r>
          </w:p>
        </w:tc>
        <w:tc>
          <w:tcPr>
            <w:tcW w:w="1559" w:type="dxa"/>
          </w:tcPr>
          <w:p w14:paraId="392E8FFE" w14:textId="77777777" w:rsidR="00C216DF" w:rsidRPr="00BB130D" w:rsidRDefault="00C216DF" w:rsidP="00C44824">
            <w:pPr>
              <w:cnfStyle w:val="100000000000" w:firstRow="1" w:lastRow="0" w:firstColumn="0" w:lastColumn="0" w:oddVBand="0" w:evenVBand="0" w:oddHBand="0" w:evenHBand="0" w:firstRowFirstColumn="0" w:firstRowLastColumn="0" w:lastRowFirstColumn="0" w:lastRowLastColumn="0"/>
              <w:rPr>
                <w:b w:val="0"/>
              </w:rPr>
            </w:pPr>
            <w:r w:rsidRPr="00BB130D">
              <w:rPr>
                <w:b w:val="0"/>
              </w:rPr>
              <w:t>Opéré par</w:t>
            </w:r>
          </w:p>
        </w:tc>
        <w:tc>
          <w:tcPr>
            <w:tcW w:w="2999" w:type="dxa"/>
          </w:tcPr>
          <w:p w14:paraId="0B78FC4C" w14:textId="7548D03E" w:rsidR="00C216DF" w:rsidRPr="00BB130D" w:rsidRDefault="00C216DF" w:rsidP="00C44824">
            <w:pPr>
              <w:cnfStyle w:val="100000000000" w:firstRow="1" w:lastRow="0" w:firstColumn="0" w:lastColumn="0" w:oddVBand="0" w:evenVBand="0" w:oddHBand="0" w:evenHBand="0" w:firstRowFirstColumn="0" w:firstRowLastColumn="0" w:lastRowFirstColumn="0" w:lastRowLastColumn="0"/>
              <w:rPr>
                <w:b w:val="0"/>
              </w:rPr>
            </w:pPr>
            <w:r>
              <w:rPr>
                <w:b w:val="0"/>
              </w:rPr>
              <w:t>Type de modèle</w:t>
            </w:r>
          </w:p>
        </w:tc>
      </w:tr>
      <w:tr w:rsidR="00C216DF" w14:paraId="0B215102" w14:textId="3B73B059"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195B167" w14:textId="77777777" w:rsidR="00C216DF" w:rsidRDefault="00C216DF" w:rsidP="00C44824">
            <w:r>
              <w:t>Agriculture</w:t>
            </w:r>
          </w:p>
        </w:tc>
        <w:tc>
          <w:tcPr>
            <w:tcW w:w="3400" w:type="dxa"/>
          </w:tcPr>
          <w:p w14:paraId="66C35C1C"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Climagri et modules CITEPA</w:t>
            </w:r>
          </w:p>
        </w:tc>
        <w:tc>
          <w:tcPr>
            <w:tcW w:w="1559" w:type="dxa"/>
          </w:tcPr>
          <w:p w14:paraId="6FB19801"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CITEPA</w:t>
            </w:r>
          </w:p>
        </w:tc>
        <w:tc>
          <w:tcPr>
            <w:tcW w:w="2999" w:type="dxa"/>
          </w:tcPr>
          <w:p w14:paraId="60411DC6" w14:textId="6787AFEF"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Comptable</w:t>
            </w:r>
          </w:p>
        </w:tc>
      </w:tr>
      <w:tr w:rsidR="00C216DF" w14:paraId="2D1F34B2" w14:textId="3D200DCC" w:rsidTr="00261D3D">
        <w:tc>
          <w:tcPr>
            <w:cnfStyle w:val="001000000000" w:firstRow="0" w:lastRow="0" w:firstColumn="1" w:lastColumn="0" w:oddVBand="0" w:evenVBand="0" w:oddHBand="0" w:evenHBand="0" w:firstRowFirstColumn="0" w:firstRowLastColumn="0" w:lastRowFirstColumn="0" w:lastRowLastColumn="0"/>
            <w:tcW w:w="1982" w:type="dxa"/>
          </w:tcPr>
          <w:p w14:paraId="182D69E9" w14:textId="77777777" w:rsidR="00C216DF" w:rsidRDefault="00C216DF" w:rsidP="00C44824">
            <w:r>
              <w:t>Forêt</w:t>
            </w:r>
          </w:p>
        </w:tc>
        <w:tc>
          <w:tcPr>
            <w:tcW w:w="3400" w:type="dxa"/>
          </w:tcPr>
          <w:p w14:paraId="2144BB41"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Calculateur forêt bois et module CITEPA</w:t>
            </w:r>
          </w:p>
        </w:tc>
        <w:tc>
          <w:tcPr>
            <w:tcW w:w="1559" w:type="dxa"/>
          </w:tcPr>
          <w:p w14:paraId="64D07B83"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DGEC, CITEPA</w:t>
            </w:r>
          </w:p>
        </w:tc>
        <w:tc>
          <w:tcPr>
            <w:tcW w:w="2999" w:type="dxa"/>
          </w:tcPr>
          <w:p w14:paraId="11BE0EEC" w14:textId="0DD80011"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Comptable</w:t>
            </w:r>
          </w:p>
        </w:tc>
      </w:tr>
      <w:tr w:rsidR="00C216DF" w14:paraId="61AB760E" w14:textId="434F35F9"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21355DEB" w14:textId="77777777" w:rsidR="00C216DF" w:rsidRDefault="00C216DF" w:rsidP="00C44824">
            <w:r>
              <w:t>Sols (artificialisation)</w:t>
            </w:r>
          </w:p>
        </w:tc>
        <w:tc>
          <w:tcPr>
            <w:tcW w:w="3400" w:type="dxa"/>
          </w:tcPr>
          <w:p w14:paraId="1760BE44"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Calculateur artificialisation*, module CITEPA</w:t>
            </w:r>
          </w:p>
        </w:tc>
        <w:tc>
          <w:tcPr>
            <w:tcW w:w="1559" w:type="dxa"/>
          </w:tcPr>
          <w:p w14:paraId="756FEB86"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DGEC, CITEPA</w:t>
            </w:r>
          </w:p>
        </w:tc>
        <w:tc>
          <w:tcPr>
            <w:tcW w:w="2999" w:type="dxa"/>
          </w:tcPr>
          <w:p w14:paraId="50D65AD0" w14:textId="3D4FB3C7"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Comptable</w:t>
            </w:r>
          </w:p>
        </w:tc>
      </w:tr>
      <w:tr w:rsidR="00C216DF" w14:paraId="36663DFB" w14:textId="4A66B0BC" w:rsidTr="00261D3D">
        <w:tc>
          <w:tcPr>
            <w:cnfStyle w:val="001000000000" w:firstRow="0" w:lastRow="0" w:firstColumn="1" w:lastColumn="0" w:oddVBand="0" w:evenVBand="0" w:oddHBand="0" w:evenHBand="0" w:firstRowFirstColumn="0" w:firstRowLastColumn="0" w:lastRowFirstColumn="0" w:lastRowLastColumn="0"/>
            <w:tcW w:w="1982" w:type="dxa"/>
          </w:tcPr>
          <w:p w14:paraId="09DCD307" w14:textId="77777777" w:rsidR="00C216DF" w:rsidRDefault="00C216DF" w:rsidP="00C44824">
            <w:r>
              <w:t>Résidentiel</w:t>
            </w:r>
          </w:p>
        </w:tc>
        <w:tc>
          <w:tcPr>
            <w:tcW w:w="3400" w:type="dxa"/>
          </w:tcPr>
          <w:p w14:paraId="77986225"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Menfis</w:t>
            </w:r>
          </w:p>
        </w:tc>
        <w:tc>
          <w:tcPr>
            <w:tcW w:w="1559" w:type="dxa"/>
          </w:tcPr>
          <w:p w14:paraId="2BFA24E5"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CSTB</w:t>
            </w:r>
          </w:p>
        </w:tc>
        <w:tc>
          <w:tcPr>
            <w:tcW w:w="2999" w:type="dxa"/>
          </w:tcPr>
          <w:p w14:paraId="6096E799" w14:textId="3D54A68A"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Technico-économique (bottom-up)</w:t>
            </w:r>
          </w:p>
        </w:tc>
      </w:tr>
      <w:tr w:rsidR="00C216DF" w14:paraId="755E350F" w14:textId="183FC77B"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B64A964" w14:textId="77777777" w:rsidR="00C216DF" w:rsidRDefault="00C216DF" w:rsidP="00C44824">
            <w:r>
              <w:t>Tertiaire</w:t>
            </w:r>
          </w:p>
        </w:tc>
        <w:tc>
          <w:tcPr>
            <w:tcW w:w="3400" w:type="dxa"/>
          </w:tcPr>
          <w:p w14:paraId="2FC327B0"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Modèle tertiaire</w:t>
            </w:r>
          </w:p>
        </w:tc>
        <w:tc>
          <w:tcPr>
            <w:tcW w:w="1559" w:type="dxa"/>
          </w:tcPr>
          <w:p w14:paraId="6CD653EA"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CGDD</w:t>
            </w:r>
          </w:p>
        </w:tc>
        <w:tc>
          <w:tcPr>
            <w:tcW w:w="2999" w:type="dxa"/>
          </w:tcPr>
          <w:p w14:paraId="61D46690" w14:textId="0676C368"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Technico-économique (bottom-up)</w:t>
            </w:r>
          </w:p>
        </w:tc>
      </w:tr>
      <w:tr w:rsidR="00C216DF" w14:paraId="67CD5161" w14:textId="2C6F9AF3" w:rsidTr="00261D3D">
        <w:tc>
          <w:tcPr>
            <w:cnfStyle w:val="001000000000" w:firstRow="0" w:lastRow="0" w:firstColumn="1" w:lastColumn="0" w:oddVBand="0" w:evenVBand="0" w:oddHBand="0" w:evenHBand="0" w:firstRowFirstColumn="0" w:firstRowLastColumn="0" w:lastRowFirstColumn="0" w:lastRowLastColumn="0"/>
            <w:tcW w:w="1982" w:type="dxa"/>
          </w:tcPr>
          <w:p w14:paraId="3A2686CC" w14:textId="77777777" w:rsidR="00C216DF" w:rsidRDefault="00C216DF" w:rsidP="00C44824">
            <w:r>
              <w:t>Hors chauffage (résidentiel et tertiaire)</w:t>
            </w:r>
          </w:p>
        </w:tc>
        <w:tc>
          <w:tcPr>
            <w:tcW w:w="3400" w:type="dxa"/>
          </w:tcPr>
          <w:p w14:paraId="730E0DCF"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GEStime*</w:t>
            </w:r>
          </w:p>
        </w:tc>
        <w:tc>
          <w:tcPr>
            <w:tcW w:w="1559" w:type="dxa"/>
          </w:tcPr>
          <w:p w14:paraId="7D34A5E6"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DGEC</w:t>
            </w:r>
          </w:p>
        </w:tc>
        <w:tc>
          <w:tcPr>
            <w:tcW w:w="2999" w:type="dxa"/>
          </w:tcPr>
          <w:p w14:paraId="509820B0" w14:textId="28FE084E"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Comptable</w:t>
            </w:r>
          </w:p>
        </w:tc>
      </w:tr>
      <w:tr w:rsidR="00C216DF" w14:paraId="1CB2B829" w14:textId="772AD38E"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Merge w:val="restart"/>
          </w:tcPr>
          <w:p w14:paraId="4AB7D493" w14:textId="77777777" w:rsidR="00C216DF" w:rsidRDefault="00C216DF" w:rsidP="00C44824">
            <w:r>
              <w:t>Transports</w:t>
            </w:r>
          </w:p>
        </w:tc>
        <w:tc>
          <w:tcPr>
            <w:tcW w:w="3400" w:type="dxa"/>
          </w:tcPr>
          <w:p w14:paraId="0962D92E"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Modev (trafics)</w:t>
            </w:r>
          </w:p>
        </w:tc>
        <w:tc>
          <w:tcPr>
            <w:tcW w:w="1559" w:type="dxa"/>
          </w:tcPr>
          <w:p w14:paraId="30328205"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CGDD</w:t>
            </w:r>
          </w:p>
        </w:tc>
        <w:tc>
          <w:tcPr>
            <w:tcW w:w="2999" w:type="dxa"/>
            <w:vMerge w:val="restart"/>
          </w:tcPr>
          <w:p w14:paraId="4102E3B3" w14:textId="0D51669A"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Technico-économique (bottom-up)</w:t>
            </w:r>
          </w:p>
        </w:tc>
      </w:tr>
      <w:tr w:rsidR="00C216DF" w14:paraId="09E6F283" w14:textId="26E62046" w:rsidTr="00261D3D">
        <w:tc>
          <w:tcPr>
            <w:cnfStyle w:val="001000000000" w:firstRow="0" w:lastRow="0" w:firstColumn="1" w:lastColumn="0" w:oddVBand="0" w:evenVBand="0" w:oddHBand="0" w:evenHBand="0" w:firstRowFirstColumn="0" w:firstRowLastColumn="0" w:lastRowFirstColumn="0" w:lastRowLastColumn="0"/>
            <w:tcW w:w="1982" w:type="dxa"/>
            <w:vMerge/>
          </w:tcPr>
          <w:p w14:paraId="0F4FB52B" w14:textId="77777777" w:rsidR="00C216DF" w:rsidRDefault="00C216DF" w:rsidP="00C44824"/>
        </w:tc>
        <w:tc>
          <w:tcPr>
            <w:tcW w:w="3400" w:type="dxa"/>
          </w:tcPr>
          <w:p w14:paraId="7FE5F5E7"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 xml:space="preserve">Modèle de parc VP * </w:t>
            </w:r>
          </w:p>
        </w:tc>
        <w:tc>
          <w:tcPr>
            <w:tcW w:w="1559" w:type="dxa"/>
          </w:tcPr>
          <w:p w14:paraId="3417A378"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DGITM</w:t>
            </w:r>
          </w:p>
        </w:tc>
        <w:tc>
          <w:tcPr>
            <w:tcW w:w="2999" w:type="dxa"/>
            <w:vMerge/>
          </w:tcPr>
          <w:p w14:paraId="6570D387" w14:textId="77777777"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p>
        </w:tc>
      </w:tr>
      <w:tr w:rsidR="00C216DF" w14:paraId="63F5E884" w14:textId="346FC16D"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vMerge/>
          </w:tcPr>
          <w:p w14:paraId="7BF23CBD" w14:textId="77777777" w:rsidR="00C216DF" w:rsidRDefault="00C216DF" w:rsidP="00C44824"/>
        </w:tc>
        <w:tc>
          <w:tcPr>
            <w:tcW w:w="3400" w:type="dxa"/>
          </w:tcPr>
          <w:p w14:paraId="171124DC"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Aérien*</w:t>
            </w:r>
          </w:p>
        </w:tc>
        <w:tc>
          <w:tcPr>
            <w:tcW w:w="1559" w:type="dxa"/>
          </w:tcPr>
          <w:p w14:paraId="07BFCBB1"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DGAC</w:t>
            </w:r>
          </w:p>
        </w:tc>
        <w:tc>
          <w:tcPr>
            <w:tcW w:w="2999" w:type="dxa"/>
            <w:vMerge/>
          </w:tcPr>
          <w:p w14:paraId="3E5C5534" w14:textId="77777777"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p>
        </w:tc>
      </w:tr>
      <w:tr w:rsidR="00C216DF" w14:paraId="3945EB2B" w14:textId="773D873A" w:rsidTr="00261D3D">
        <w:tc>
          <w:tcPr>
            <w:cnfStyle w:val="001000000000" w:firstRow="0" w:lastRow="0" w:firstColumn="1" w:lastColumn="0" w:oddVBand="0" w:evenVBand="0" w:oddHBand="0" w:evenHBand="0" w:firstRowFirstColumn="0" w:firstRowLastColumn="0" w:lastRowFirstColumn="0" w:lastRowLastColumn="0"/>
            <w:tcW w:w="1982" w:type="dxa"/>
          </w:tcPr>
          <w:p w14:paraId="6BE5F807" w14:textId="77777777" w:rsidR="00C216DF" w:rsidRDefault="00C216DF" w:rsidP="00C44824">
            <w:r>
              <w:t>Industrie</w:t>
            </w:r>
          </w:p>
        </w:tc>
        <w:tc>
          <w:tcPr>
            <w:tcW w:w="3400" w:type="dxa"/>
          </w:tcPr>
          <w:p w14:paraId="706909D8"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GEStime*</w:t>
            </w:r>
          </w:p>
        </w:tc>
        <w:tc>
          <w:tcPr>
            <w:tcW w:w="1559" w:type="dxa"/>
          </w:tcPr>
          <w:p w14:paraId="08AB937E"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DGEC</w:t>
            </w:r>
          </w:p>
        </w:tc>
        <w:tc>
          <w:tcPr>
            <w:tcW w:w="2999" w:type="dxa"/>
          </w:tcPr>
          <w:p w14:paraId="0E79A606" w14:textId="02CA7502"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Comptable</w:t>
            </w:r>
          </w:p>
        </w:tc>
      </w:tr>
      <w:tr w:rsidR="00C216DF" w14:paraId="4BB52ED1" w14:textId="6BE2E1A9"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4A5B9268" w14:textId="77777777" w:rsidR="00C216DF" w:rsidRDefault="00C216DF" w:rsidP="00C44824">
            <w:r>
              <w:t>Production d’énergie</w:t>
            </w:r>
          </w:p>
        </w:tc>
        <w:tc>
          <w:tcPr>
            <w:tcW w:w="3400" w:type="dxa"/>
          </w:tcPr>
          <w:p w14:paraId="360C8C0E"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GEStime*</w:t>
            </w:r>
          </w:p>
        </w:tc>
        <w:tc>
          <w:tcPr>
            <w:tcW w:w="1559" w:type="dxa"/>
          </w:tcPr>
          <w:p w14:paraId="1A65BA9F"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DGEC</w:t>
            </w:r>
          </w:p>
        </w:tc>
        <w:tc>
          <w:tcPr>
            <w:tcW w:w="2999" w:type="dxa"/>
          </w:tcPr>
          <w:p w14:paraId="79F7F40C" w14:textId="50401157"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Comptable</w:t>
            </w:r>
          </w:p>
        </w:tc>
      </w:tr>
      <w:tr w:rsidR="00C216DF" w14:paraId="3F67CA45" w14:textId="385A60AD" w:rsidTr="00261D3D">
        <w:tc>
          <w:tcPr>
            <w:cnfStyle w:val="001000000000" w:firstRow="0" w:lastRow="0" w:firstColumn="1" w:lastColumn="0" w:oddVBand="0" w:evenVBand="0" w:oddHBand="0" w:evenHBand="0" w:firstRowFirstColumn="0" w:firstRowLastColumn="0" w:lastRowFirstColumn="0" w:lastRowLastColumn="0"/>
            <w:tcW w:w="1982" w:type="dxa"/>
          </w:tcPr>
          <w:p w14:paraId="00D1E597" w14:textId="77777777" w:rsidR="00C216DF" w:rsidRDefault="00C216DF" w:rsidP="00C44824">
            <w:r>
              <w:t>Déchets</w:t>
            </w:r>
          </w:p>
        </w:tc>
        <w:tc>
          <w:tcPr>
            <w:tcW w:w="3400" w:type="dxa"/>
          </w:tcPr>
          <w:p w14:paraId="0F618748"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Module CITEPA</w:t>
            </w:r>
          </w:p>
        </w:tc>
        <w:tc>
          <w:tcPr>
            <w:tcW w:w="1559" w:type="dxa"/>
          </w:tcPr>
          <w:p w14:paraId="2B8F9C31"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CITEPA</w:t>
            </w:r>
          </w:p>
        </w:tc>
        <w:tc>
          <w:tcPr>
            <w:tcW w:w="2999" w:type="dxa"/>
          </w:tcPr>
          <w:p w14:paraId="7E3BB179" w14:textId="0AA75231"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Comptable (module d’inventaire)</w:t>
            </w:r>
          </w:p>
        </w:tc>
      </w:tr>
      <w:tr w:rsidR="00C216DF" w14:paraId="2C408FC2" w14:textId="53146CFC" w:rsidTr="00261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Pr>
          <w:p w14:paraId="0BC79FAF" w14:textId="77777777" w:rsidR="00C216DF" w:rsidRDefault="00C216DF" w:rsidP="00C44824">
            <w:r>
              <w:t>F-gaz</w:t>
            </w:r>
          </w:p>
        </w:tc>
        <w:tc>
          <w:tcPr>
            <w:tcW w:w="3400" w:type="dxa"/>
          </w:tcPr>
          <w:p w14:paraId="0445B9DF"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Module CITEPA</w:t>
            </w:r>
          </w:p>
        </w:tc>
        <w:tc>
          <w:tcPr>
            <w:tcW w:w="1559" w:type="dxa"/>
          </w:tcPr>
          <w:p w14:paraId="01F84375" w14:textId="77777777" w:rsidR="00C216DF" w:rsidRDefault="00C216DF" w:rsidP="00C44824">
            <w:pPr>
              <w:cnfStyle w:val="000000100000" w:firstRow="0" w:lastRow="0" w:firstColumn="0" w:lastColumn="0" w:oddVBand="0" w:evenVBand="0" w:oddHBand="1" w:evenHBand="0" w:firstRowFirstColumn="0" w:firstRowLastColumn="0" w:lastRowFirstColumn="0" w:lastRowLastColumn="0"/>
            </w:pPr>
            <w:r>
              <w:t>CITEPA</w:t>
            </w:r>
          </w:p>
        </w:tc>
        <w:tc>
          <w:tcPr>
            <w:tcW w:w="2999" w:type="dxa"/>
          </w:tcPr>
          <w:p w14:paraId="51A5ED77" w14:textId="7B4CE131" w:rsidR="00C216DF" w:rsidRDefault="00C216DF" w:rsidP="00261D3D">
            <w:pPr>
              <w:jc w:val="left"/>
              <w:cnfStyle w:val="000000100000" w:firstRow="0" w:lastRow="0" w:firstColumn="0" w:lastColumn="0" w:oddVBand="0" w:evenVBand="0" w:oddHBand="1" w:evenHBand="0" w:firstRowFirstColumn="0" w:firstRowLastColumn="0" w:lastRowFirstColumn="0" w:lastRowLastColumn="0"/>
            </w:pPr>
            <w:r>
              <w:t>Comptable (module d’inventaire)</w:t>
            </w:r>
          </w:p>
        </w:tc>
      </w:tr>
      <w:tr w:rsidR="00C216DF" w14:paraId="427C1A2F" w14:textId="6593D9FA" w:rsidTr="00261D3D">
        <w:tc>
          <w:tcPr>
            <w:cnfStyle w:val="001000000000" w:firstRow="0" w:lastRow="0" w:firstColumn="1" w:lastColumn="0" w:oddVBand="0" w:evenVBand="0" w:oddHBand="0" w:evenHBand="0" w:firstRowFirstColumn="0" w:firstRowLastColumn="0" w:lastRowFirstColumn="0" w:lastRowLastColumn="0"/>
            <w:tcW w:w="1982" w:type="dxa"/>
          </w:tcPr>
          <w:p w14:paraId="43D7DE6B" w14:textId="77777777" w:rsidR="00C216DF" w:rsidRDefault="00C216DF" w:rsidP="00C44824">
            <w:r>
              <w:t>Agrégations GES</w:t>
            </w:r>
          </w:p>
        </w:tc>
        <w:tc>
          <w:tcPr>
            <w:tcW w:w="3400" w:type="dxa"/>
          </w:tcPr>
          <w:p w14:paraId="4B7C90A7"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Modules CITEPA</w:t>
            </w:r>
          </w:p>
        </w:tc>
        <w:tc>
          <w:tcPr>
            <w:tcW w:w="1559" w:type="dxa"/>
          </w:tcPr>
          <w:p w14:paraId="04C63216" w14:textId="77777777" w:rsidR="00C216DF" w:rsidRDefault="00C216DF" w:rsidP="00C44824">
            <w:pPr>
              <w:cnfStyle w:val="000000000000" w:firstRow="0" w:lastRow="0" w:firstColumn="0" w:lastColumn="0" w:oddVBand="0" w:evenVBand="0" w:oddHBand="0" w:evenHBand="0" w:firstRowFirstColumn="0" w:firstRowLastColumn="0" w:lastRowFirstColumn="0" w:lastRowLastColumn="0"/>
            </w:pPr>
            <w:r>
              <w:t>CITEPA</w:t>
            </w:r>
          </w:p>
        </w:tc>
        <w:tc>
          <w:tcPr>
            <w:tcW w:w="2999" w:type="dxa"/>
          </w:tcPr>
          <w:p w14:paraId="741E2D4D" w14:textId="6E1E8F6C" w:rsidR="00C216DF" w:rsidRDefault="00C216DF" w:rsidP="00261D3D">
            <w:pPr>
              <w:jc w:val="left"/>
              <w:cnfStyle w:val="000000000000" w:firstRow="0" w:lastRow="0" w:firstColumn="0" w:lastColumn="0" w:oddVBand="0" w:evenVBand="0" w:oddHBand="0" w:evenHBand="0" w:firstRowFirstColumn="0" w:firstRowLastColumn="0" w:lastRowFirstColumn="0" w:lastRowLastColumn="0"/>
            </w:pPr>
            <w:r>
              <w:t>Comptable (module d’inventaire)</w:t>
            </w:r>
          </w:p>
        </w:tc>
      </w:tr>
    </w:tbl>
    <w:p w14:paraId="2E054CA6" w14:textId="77777777" w:rsidR="001021CB" w:rsidRDefault="001021CB" w:rsidP="001021CB">
      <w:r>
        <w:t>* nouveauté AME 2021</w:t>
      </w:r>
    </w:p>
    <w:p w14:paraId="26A2881D" w14:textId="4B41DC1C" w:rsidR="006B7515" w:rsidRDefault="006B7515" w:rsidP="0045532B">
      <w:pPr>
        <w:pStyle w:val="Caption"/>
      </w:pPr>
      <w:bookmarkStart w:id="575" w:name="_Toc123916526"/>
      <w:r>
        <w:t xml:space="preserve">Tableau </w:t>
      </w:r>
      <w:fldSimple w:instr=" SEQ Tableau \* ARABIC ">
        <w:r w:rsidR="00AB51D9">
          <w:rPr>
            <w:noProof/>
          </w:rPr>
          <w:t>34</w:t>
        </w:r>
      </w:fldSimple>
      <w:r>
        <w:t xml:space="preserve"> : </w:t>
      </w:r>
      <w:r w:rsidR="001021CB" w:rsidRPr="00AE3434">
        <w:t>Détail des outils et modèles utilisés</w:t>
      </w:r>
      <w:bookmarkEnd w:id="575"/>
    </w:p>
    <w:p w14:paraId="0ED52830" w14:textId="32DBE19D" w:rsidR="001021CB" w:rsidRDefault="001021CB" w:rsidP="0045532B">
      <w:pPr>
        <w:pStyle w:val="Caption"/>
      </w:pPr>
      <w:r>
        <w:t>Source : MTE/DGEC</w:t>
      </w:r>
    </w:p>
    <w:p w14:paraId="22737575" w14:textId="77777777" w:rsidR="001021CB" w:rsidRPr="00E22CF8" w:rsidRDefault="001021CB" w:rsidP="00EF6DB6">
      <w:pPr>
        <w:pStyle w:val="Titre4niveau4"/>
        <w:rPr>
          <w:rFonts w:asciiTheme="minorHAnsi" w:hAnsiTheme="minorHAnsi"/>
          <w:sz w:val="19"/>
        </w:rPr>
      </w:pPr>
      <w:r>
        <w:t xml:space="preserve">Les modèles sectoriels </w:t>
      </w:r>
    </w:p>
    <w:p w14:paraId="426DCFF0" w14:textId="77777777" w:rsidR="001021CB" w:rsidRPr="00F307BA" w:rsidRDefault="001021CB" w:rsidP="00E22CF8">
      <w:pPr>
        <w:pStyle w:val="titreencadre"/>
      </w:pPr>
      <w:r w:rsidRPr="00F307BA">
        <w:t xml:space="preserve">La modélisation du secteur des transports </w:t>
      </w:r>
    </w:p>
    <w:p w14:paraId="09CEFA24" w14:textId="77777777" w:rsidR="001021CB" w:rsidRPr="00F307BA" w:rsidRDefault="001021CB" w:rsidP="001021CB">
      <w:pPr>
        <w:spacing w:before="240" w:after="240"/>
      </w:pPr>
      <w:r w:rsidRPr="00F307BA">
        <w:t>Les projections de trafic</w:t>
      </w:r>
      <w:r>
        <w:t>s</w:t>
      </w:r>
      <w:r w:rsidRPr="00F307BA">
        <w:t xml:space="preserve"> sont réalisées à partir du modèle Modev du Commissariat général au développement durable. Modev modélise l’évolution des trafics voyageurs et marchandises en fonction de variables de démographie et croissance économique (PIB, consommation finale des ménages, valeurs ajoutées sectorielles), d’évolution des infrastructures et services de transport et de prix des différents modes de transports. Modev modélise l’évolution de la demande globale de transport (voyageurs et marchandises) ainsi que l’évolution de la répartition modale entre les différents modes de transport et les trafics sur réseau. </w:t>
      </w:r>
    </w:p>
    <w:p w14:paraId="645EE349" w14:textId="77777777" w:rsidR="001021CB" w:rsidRDefault="001021CB" w:rsidP="001021CB">
      <w:pPr>
        <w:spacing w:before="240" w:after="240"/>
      </w:pPr>
      <w:r w:rsidRPr="00F307BA">
        <w:t xml:space="preserve">La modélisation des trafics est complétée par des modèles de parcs automobiles qui intègrent notamment une modélisation de la diffusion des véhicules électriques et de l’évolution de la répartition des motorisations gazole/essence, en fonction d’hypothèses sur l’évolution du coût des véhicules et des batteries et de l’évolution des consommations unitaires des différents types de véhicules. </w:t>
      </w:r>
    </w:p>
    <w:p w14:paraId="274247CE" w14:textId="77777777" w:rsidR="001021CB" w:rsidRPr="00F307BA" w:rsidRDefault="001021CB" w:rsidP="00E22CF8">
      <w:pPr>
        <w:pStyle w:val="titreencadre"/>
      </w:pPr>
      <w:r w:rsidRPr="00F307BA">
        <w:t xml:space="preserve">La modélisation du secteur bâtiment </w:t>
      </w:r>
    </w:p>
    <w:p w14:paraId="34C96CF9" w14:textId="77777777" w:rsidR="001021CB" w:rsidRPr="00F307BA" w:rsidRDefault="001021CB" w:rsidP="001021CB">
      <w:pPr>
        <w:spacing w:before="240" w:after="240"/>
      </w:pPr>
      <w:r w:rsidRPr="00F307BA">
        <w:t xml:space="preserve">Le secteur résidentiel est modélisé avec le modèle Menfis </w:t>
      </w:r>
      <w:r>
        <w:t>opéré par le Conseil Supérieur Technique du Bâtiment (CSTB)</w:t>
      </w:r>
      <w:r w:rsidRPr="00F307BA">
        <w:t>. Le modèle Menfis modélise l’évolution de la performance énergétique du stock de bâtiments résidentiels par pas de temps annuel de 2008 à 205</w:t>
      </w:r>
      <w:r>
        <w:t>0</w:t>
      </w:r>
      <w:r w:rsidRPr="00F307BA">
        <w:t xml:space="preserve">. Les dynamiques de performance énergétique sont obtenues par rénovation, destruction de bâtiments, et constructions nouvelles. Le processus de rénovation constitue la partie centrale de Menfis. Avec des calculs technico-économiques, Menfis détermine annuellement quelles parties du bâtiment peuvent être rénovées et à quel niveau de performance énergétique. En modélisant l’effet rebond il prévoit l’évolution de la consommation énergétique et des émissions de gaz à effet de serre. </w:t>
      </w:r>
    </w:p>
    <w:p w14:paraId="2E665CB5" w14:textId="77777777" w:rsidR="001021CB" w:rsidRPr="00F307BA" w:rsidRDefault="001021CB" w:rsidP="001021CB">
      <w:pPr>
        <w:spacing w:before="240" w:after="240"/>
      </w:pPr>
      <w:r w:rsidRPr="00F307BA">
        <w:t>Le secteur tertiaire a été modélisé</w:t>
      </w:r>
      <w:r>
        <w:t xml:space="preserve"> par le CGDD</w:t>
      </w:r>
      <w:r w:rsidRPr="00F307BA">
        <w:t xml:space="preserve"> à l’aide de l’outil d’Énergies Demain Enerter® Tertiaire dédié à l’évaluation des consommations énergétiques des bâtiments tertiaires et à l’estimation d’impact de gestes de réhabilitation sur ce parc. </w:t>
      </w:r>
    </w:p>
    <w:p w14:paraId="27FF53D6" w14:textId="77777777" w:rsidR="001021CB" w:rsidRPr="00F307BA" w:rsidRDefault="001021CB" w:rsidP="00E22CF8">
      <w:pPr>
        <w:pStyle w:val="titreencadre"/>
      </w:pPr>
      <w:r w:rsidRPr="00F307BA">
        <w:t xml:space="preserve">La modélisation du secteur de l’agriculture et de la forêt </w:t>
      </w:r>
    </w:p>
    <w:p w14:paraId="0940088B" w14:textId="77777777" w:rsidR="001021CB" w:rsidRPr="00F307BA" w:rsidRDefault="001021CB" w:rsidP="001021CB">
      <w:pPr>
        <w:spacing w:before="240" w:after="240"/>
      </w:pPr>
      <w:r w:rsidRPr="00F307BA">
        <w:t xml:space="preserve">Le secteur de l’agriculture et de la forêt a été modélisé par le </w:t>
      </w:r>
      <w:r>
        <w:t xml:space="preserve">Citepa à l’aide du </w:t>
      </w:r>
      <w:r w:rsidRPr="00F307BA">
        <w:t>modèle ClimAgri® initialement développé en 2009 par Solagro et Bio Intelligence Service pour le compte de l’A</w:t>
      </w:r>
      <w:r>
        <w:t>DEME</w:t>
      </w:r>
      <w:r w:rsidRPr="00F307BA">
        <w:t xml:space="preserve">. ClimAgri modélise les consommations énergétiques et les gaz à effet de serre du secteur agricole à partir d’hypothèses sur les caractéristiques des productions végétales (description des productions, des intrants, des pratiques et itinéraires techniques, des rendements) et des bioconversions c'est-à-dire les transformations des fourrages et concentrés en production d’oeufs, de lait et de viande, en décrivant les cheptels, les intrants et les pratiques d’élevage. </w:t>
      </w:r>
    </w:p>
    <w:p w14:paraId="78948121" w14:textId="77777777" w:rsidR="001021CB" w:rsidRPr="00F307BA" w:rsidRDefault="001021CB" w:rsidP="00E22CF8">
      <w:pPr>
        <w:pStyle w:val="titreencadre"/>
      </w:pPr>
      <w:r w:rsidRPr="00F307BA">
        <w:t xml:space="preserve">La modélisation du secteur industriel </w:t>
      </w:r>
    </w:p>
    <w:p w14:paraId="742AB783" w14:textId="77777777" w:rsidR="001021CB" w:rsidRPr="00F307BA" w:rsidRDefault="001021CB" w:rsidP="001021CB">
      <w:pPr>
        <w:spacing w:before="240" w:after="240"/>
      </w:pPr>
      <w:r w:rsidRPr="00F307BA">
        <w:t>Les évolutions des tonnages</w:t>
      </w:r>
      <w:r>
        <w:t xml:space="preserve">, </w:t>
      </w:r>
      <w:r w:rsidRPr="00F307BA">
        <w:t>de performances énergétiques</w:t>
      </w:r>
      <w:r>
        <w:t>, des taux de recyclage et de mix</w:t>
      </w:r>
      <w:r w:rsidRPr="00F307BA">
        <w:t xml:space="preserve"> élaborées lors </w:t>
      </w:r>
      <w:r>
        <w:t>des précédents scénarios</w:t>
      </w:r>
      <w:r w:rsidRPr="00F307BA">
        <w:t xml:space="preserve"> ont été actualisées dans le cadre d’un groupe d’experts en prenant en compte les évolutions récentes du secteur. </w:t>
      </w:r>
      <w:r>
        <w:t>Les consommations énergétiques associées ont été calculées à l’aide de l’outil GEStime.</w:t>
      </w:r>
    </w:p>
    <w:p w14:paraId="25CF056B" w14:textId="77777777" w:rsidR="001021CB" w:rsidRPr="00F307BA" w:rsidRDefault="001021CB" w:rsidP="00E22CF8">
      <w:pPr>
        <w:pStyle w:val="titreencadre"/>
      </w:pPr>
      <w:r w:rsidRPr="00F307BA">
        <w:t xml:space="preserve">La modélisation des gaz fluorés </w:t>
      </w:r>
    </w:p>
    <w:p w14:paraId="120F91D8" w14:textId="77777777" w:rsidR="001021CB" w:rsidRDefault="001021CB" w:rsidP="001021CB">
      <w:pPr>
        <w:spacing w:before="240" w:after="240"/>
      </w:pPr>
      <w:r w:rsidRPr="00F307BA">
        <w:t xml:space="preserve">Pour le secteur des gaz fluorés, l’évaluation des émissions de HFC a été réalisée à l’aide du logiciel RIEP développé par le Centre énergétique et procédés de MINES ParisTech. Dans le logiciel RIEP, les équipements contenant des gaz fluorés sont regroupés dans huit domaines d’application : le froid domestique, la réfrigération commerciale, le transport frigorifique, l’industrie, la climatisation à air, les groupes d’eau glacée, la climatisation embarquée (incluant la climatisation automobile) et les pompes à chaleur. Chaque base décrit, pour 41 sous-secteurs d’équipements, les marchés et productions nationales d’équipements, les caractéristiques techniques des équipements (liées à la charge, la puissance installée, la durée de vie, etc.) ainsi que les niveaux d’émissions et d’efficacité de récupération des filières de maintenance et de fin de vie. Les données marchés et productions sont issues de sources statistiques disponibles pour la métropole et référencées dans les études d’Inventaires Français mises à jour chaque année. Les autres hypothèses sont issues de résultats d’enquêtes de terrain, des communications de constructeurs d’équipements, des résultats de mesures expérimentales et des évaluations d’experts. </w:t>
      </w:r>
    </w:p>
    <w:p w14:paraId="7A5AD93E" w14:textId="77777777" w:rsidR="001021CB" w:rsidRPr="00F307BA" w:rsidRDefault="001021CB" w:rsidP="00EF6DB6">
      <w:pPr>
        <w:pStyle w:val="Titre4niveau4"/>
      </w:pPr>
      <w:r w:rsidRPr="00F307BA">
        <w:t xml:space="preserve">La modélisation des scénarios énergétiques </w:t>
      </w:r>
    </w:p>
    <w:p w14:paraId="0A4D0E32" w14:textId="77777777" w:rsidR="001021CB" w:rsidRDefault="001021CB" w:rsidP="001021CB">
      <w:pPr>
        <w:spacing w:before="240" w:after="240"/>
      </w:pPr>
      <w:r>
        <w:t xml:space="preserve">L’outil GEStime, développé en interne à la DGEC, a été utilisé pour agréger les consommations d’énergie, et modéliser les évolutions du secteur énergétique par pas de 5 ans. </w:t>
      </w:r>
    </w:p>
    <w:p w14:paraId="49265294" w14:textId="77777777" w:rsidR="001021CB" w:rsidRPr="00F307BA" w:rsidRDefault="001021CB" w:rsidP="00EF6DB6">
      <w:pPr>
        <w:pStyle w:val="Titre4niveau4"/>
      </w:pPr>
      <w:r w:rsidRPr="00F307BA">
        <w:t xml:space="preserve">La modélisation des émissions de gaz à effet de serre </w:t>
      </w:r>
    </w:p>
    <w:p w14:paraId="5E3ADD5E" w14:textId="77777777" w:rsidR="001021CB" w:rsidRDefault="001021CB" w:rsidP="001021CB">
      <w:pPr>
        <w:spacing w:before="240" w:after="240"/>
      </w:pPr>
      <w:r w:rsidRPr="00F307BA">
        <w:t xml:space="preserve">À partir des scénarios d’activités décrits ci-dessus, le </w:t>
      </w:r>
      <w:r>
        <w:t>Citepa</w:t>
      </w:r>
      <w:r w:rsidRPr="00F307BA">
        <w:t xml:space="preserve"> a élaboré les scénarios de projection d’émissions à l’horizon 20</w:t>
      </w:r>
      <w:r>
        <w:t>5</w:t>
      </w:r>
      <w:r w:rsidRPr="00F307BA">
        <w:t xml:space="preserve">0. Les projections d’émissions sont cohérentes avec l’inventaire national d’émissions de gaz à effet de serre soumis à la CCNUCC. Les méthodes appliquées pour convertir les données d’activité en émissions sont donc conformes au rapport d’inventaire. </w:t>
      </w:r>
    </w:p>
    <w:p w14:paraId="134B44AE" w14:textId="77777777" w:rsidR="001021CB" w:rsidRPr="00F307BA" w:rsidRDefault="001021CB" w:rsidP="003F57EA">
      <w:pPr>
        <w:pStyle w:val="Titre3Niveau3"/>
      </w:pPr>
      <w:bookmarkStart w:id="576" w:name="_Toc121215538"/>
      <w:bookmarkStart w:id="577" w:name="_Toc138342027"/>
      <w:r w:rsidRPr="00F307BA">
        <w:t xml:space="preserve">Hypothèses du </w:t>
      </w:r>
      <w:r w:rsidRPr="00C85872">
        <w:t>scénario</w:t>
      </w:r>
      <w:r w:rsidRPr="00F307BA">
        <w:t xml:space="preserve"> de référence</w:t>
      </w:r>
      <w:bookmarkEnd w:id="576"/>
      <w:bookmarkEnd w:id="577"/>
      <w:r w:rsidRPr="00F307BA">
        <w:t xml:space="preserve"> </w:t>
      </w:r>
    </w:p>
    <w:p w14:paraId="152CB143" w14:textId="2FC3DE6E" w:rsidR="00DA6890" w:rsidRPr="00364545" w:rsidRDefault="00DA6890" w:rsidP="00DA6890">
      <w:pPr>
        <w:spacing w:before="240" w:after="240"/>
      </w:pPr>
      <w:r w:rsidRPr="0098629B">
        <w:t>Le cadrage économique utilisé pour l’élaboration des scénarios est le suivant</w:t>
      </w:r>
      <w:r>
        <w:t>. Il est important de noter que les hypothèses sont différentes entre l’AME2021 et l’AMS2018 puisqu’ils n’ont pas été réalisés simultanément. De plus, les données disponibles dans la table CTF 5 sont les données relatives à l’AME 2021.</w:t>
      </w:r>
      <w:r w:rsidRPr="0098629B">
        <w:t xml:space="preserve"> </w:t>
      </w:r>
    </w:p>
    <w:p w14:paraId="49967F68" w14:textId="0838E8EC" w:rsidR="001021CB" w:rsidRPr="00F307BA" w:rsidRDefault="001021CB" w:rsidP="001021CB">
      <w:pPr>
        <w:spacing w:before="240" w:after="240"/>
      </w:pPr>
    </w:p>
    <w:p w14:paraId="2DA29B77" w14:textId="77777777" w:rsidR="001021CB" w:rsidRPr="00F307BA" w:rsidRDefault="001021CB" w:rsidP="00EF6DB6">
      <w:pPr>
        <w:pStyle w:val="Titre4niveau4"/>
      </w:pPr>
      <w:r w:rsidRPr="00F307BA">
        <w:t xml:space="preserve">Hypothèses sur </w:t>
      </w:r>
      <w:r w:rsidRPr="00AE5863">
        <w:t>l’évolution</w:t>
      </w:r>
      <w:r w:rsidRPr="00F307BA">
        <w:t xml:space="preserve"> des prix des énergies </w:t>
      </w:r>
    </w:p>
    <w:p w14:paraId="5232E02C" w14:textId="77777777" w:rsidR="001021CB" w:rsidRDefault="001021CB" w:rsidP="001021CB">
      <w:pPr>
        <w:spacing w:before="240" w:after="240"/>
      </w:pPr>
      <w:r w:rsidRPr="00F307BA">
        <w:t xml:space="preserve">Les hypothèses retenues pour le prix des énergies fossiles proviennent du cadrage économique proposé par la Commission européenne à l’ensemble des pays de l’Union. </w:t>
      </w:r>
    </w:p>
    <w:tbl>
      <w:tblPr>
        <w:tblStyle w:val="TableGrid0"/>
        <w:tblW w:w="9941" w:type="dxa"/>
        <w:tblInd w:w="3" w:type="dxa"/>
        <w:tblCellMar>
          <w:top w:w="131" w:type="dxa"/>
          <w:left w:w="28" w:type="dxa"/>
          <w:right w:w="115" w:type="dxa"/>
        </w:tblCellMar>
        <w:tblLook w:val="04A0" w:firstRow="1" w:lastRow="0" w:firstColumn="1" w:lastColumn="0" w:noHBand="0" w:noVBand="1"/>
      </w:tblPr>
      <w:tblGrid>
        <w:gridCol w:w="3791"/>
        <w:gridCol w:w="1046"/>
        <w:gridCol w:w="1047"/>
        <w:gridCol w:w="1047"/>
        <w:gridCol w:w="1048"/>
        <w:gridCol w:w="981"/>
        <w:gridCol w:w="981"/>
      </w:tblGrid>
      <w:tr w:rsidR="001021CB" w14:paraId="2FF3946A" w14:textId="77777777" w:rsidTr="00C44824">
        <w:trPr>
          <w:trHeight w:val="389"/>
        </w:trPr>
        <w:tc>
          <w:tcPr>
            <w:tcW w:w="3791" w:type="dxa"/>
            <w:tcBorders>
              <w:top w:val="single" w:sz="2" w:space="0" w:color="000000"/>
              <w:left w:val="single" w:sz="2" w:space="0" w:color="000000"/>
              <w:bottom w:val="single" w:sz="2" w:space="0" w:color="000000"/>
              <w:right w:val="single" w:sz="2" w:space="0" w:color="000000"/>
            </w:tcBorders>
            <w:shd w:val="clear" w:color="auto" w:fill="6D2A78"/>
          </w:tcPr>
          <w:p w14:paraId="04CEDDD1" w14:textId="77777777" w:rsidR="001021CB" w:rsidRDefault="001021CB" w:rsidP="00C44824">
            <w:pPr>
              <w:spacing w:line="259" w:lineRule="auto"/>
              <w:ind w:left="136"/>
              <w:jc w:val="center"/>
            </w:pPr>
            <w:r>
              <w:t>AME 2021</w:t>
            </w:r>
          </w:p>
        </w:tc>
        <w:tc>
          <w:tcPr>
            <w:tcW w:w="1046" w:type="dxa"/>
            <w:tcBorders>
              <w:top w:val="single" w:sz="2" w:space="0" w:color="000000"/>
              <w:left w:val="single" w:sz="2" w:space="0" w:color="000000"/>
              <w:bottom w:val="single" w:sz="2" w:space="0" w:color="000000"/>
              <w:right w:val="single" w:sz="2" w:space="0" w:color="000000"/>
            </w:tcBorders>
            <w:shd w:val="clear" w:color="auto" w:fill="6D2A78"/>
          </w:tcPr>
          <w:p w14:paraId="0F2048A3" w14:textId="77777777" w:rsidR="001021CB" w:rsidRDefault="001021CB" w:rsidP="00C44824">
            <w:pPr>
              <w:spacing w:line="259" w:lineRule="auto"/>
              <w:ind w:left="88"/>
              <w:jc w:val="center"/>
            </w:pPr>
            <w:r>
              <w:rPr>
                <w:b/>
                <w:color w:val="FFFFFF"/>
                <w:sz w:val="18"/>
              </w:rPr>
              <w:t xml:space="preserve">2020 </w:t>
            </w:r>
          </w:p>
        </w:tc>
        <w:tc>
          <w:tcPr>
            <w:tcW w:w="1047" w:type="dxa"/>
            <w:tcBorders>
              <w:top w:val="single" w:sz="2" w:space="0" w:color="000000"/>
              <w:left w:val="single" w:sz="2" w:space="0" w:color="000000"/>
              <w:bottom w:val="single" w:sz="2" w:space="0" w:color="000000"/>
              <w:right w:val="single" w:sz="2" w:space="0" w:color="000000"/>
            </w:tcBorders>
            <w:shd w:val="clear" w:color="auto" w:fill="6D2A78"/>
          </w:tcPr>
          <w:p w14:paraId="648F410C" w14:textId="77777777" w:rsidR="001021CB" w:rsidRDefault="001021CB" w:rsidP="00C44824">
            <w:pPr>
              <w:spacing w:line="259" w:lineRule="auto"/>
              <w:ind w:left="86"/>
              <w:jc w:val="center"/>
            </w:pPr>
            <w:r>
              <w:rPr>
                <w:b/>
                <w:color w:val="FFFFFF"/>
                <w:sz w:val="18"/>
              </w:rPr>
              <w:t xml:space="preserve">2025 </w:t>
            </w:r>
          </w:p>
        </w:tc>
        <w:tc>
          <w:tcPr>
            <w:tcW w:w="1047" w:type="dxa"/>
            <w:tcBorders>
              <w:top w:val="single" w:sz="2" w:space="0" w:color="000000"/>
              <w:left w:val="single" w:sz="2" w:space="0" w:color="000000"/>
              <w:bottom w:val="single" w:sz="2" w:space="0" w:color="000000"/>
              <w:right w:val="single" w:sz="2" w:space="0" w:color="000000"/>
            </w:tcBorders>
            <w:shd w:val="clear" w:color="auto" w:fill="6D2A78"/>
          </w:tcPr>
          <w:p w14:paraId="66BF4D29" w14:textId="77777777" w:rsidR="001021CB" w:rsidRDefault="001021CB" w:rsidP="00C44824">
            <w:pPr>
              <w:spacing w:line="259" w:lineRule="auto"/>
              <w:ind w:left="87"/>
              <w:jc w:val="center"/>
            </w:pPr>
            <w:r>
              <w:rPr>
                <w:b/>
                <w:color w:val="FFFFFF"/>
                <w:sz w:val="18"/>
              </w:rPr>
              <w:t xml:space="preserve">2030 </w:t>
            </w:r>
          </w:p>
        </w:tc>
        <w:tc>
          <w:tcPr>
            <w:tcW w:w="1048" w:type="dxa"/>
            <w:tcBorders>
              <w:top w:val="single" w:sz="2" w:space="0" w:color="000000"/>
              <w:left w:val="single" w:sz="2" w:space="0" w:color="000000"/>
              <w:bottom w:val="single" w:sz="2" w:space="0" w:color="000000"/>
              <w:right w:val="single" w:sz="2" w:space="0" w:color="000000"/>
            </w:tcBorders>
            <w:shd w:val="clear" w:color="auto" w:fill="6D2A78"/>
          </w:tcPr>
          <w:p w14:paraId="54001BFF" w14:textId="77777777" w:rsidR="001021CB" w:rsidRDefault="001021CB" w:rsidP="00C44824">
            <w:pPr>
              <w:spacing w:line="259" w:lineRule="auto"/>
              <w:ind w:left="86"/>
              <w:jc w:val="center"/>
            </w:pPr>
            <w:r>
              <w:rPr>
                <w:b/>
                <w:color w:val="FFFFFF"/>
                <w:sz w:val="18"/>
              </w:rPr>
              <w:t xml:space="preserve">2035 </w:t>
            </w:r>
          </w:p>
        </w:tc>
        <w:tc>
          <w:tcPr>
            <w:tcW w:w="981" w:type="dxa"/>
            <w:tcBorders>
              <w:top w:val="single" w:sz="2" w:space="0" w:color="000000"/>
              <w:left w:val="single" w:sz="2" w:space="0" w:color="000000"/>
              <w:bottom w:val="single" w:sz="2" w:space="0" w:color="000000"/>
              <w:right w:val="single" w:sz="2" w:space="0" w:color="000000"/>
            </w:tcBorders>
            <w:shd w:val="clear" w:color="auto" w:fill="6D2A78"/>
          </w:tcPr>
          <w:p w14:paraId="233EFA61" w14:textId="77777777" w:rsidR="001021CB" w:rsidRDefault="001021CB" w:rsidP="00C44824">
            <w:pPr>
              <w:spacing w:line="259" w:lineRule="auto"/>
              <w:ind w:left="86"/>
              <w:jc w:val="center"/>
              <w:rPr>
                <w:b/>
                <w:color w:val="FFFFFF"/>
                <w:sz w:val="18"/>
              </w:rPr>
            </w:pPr>
            <w:r>
              <w:rPr>
                <w:b/>
                <w:color w:val="FFFFFF"/>
                <w:sz w:val="18"/>
              </w:rPr>
              <w:t>2040</w:t>
            </w:r>
          </w:p>
        </w:tc>
        <w:tc>
          <w:tcPr>
            <w:tcW w:w="981" w:type="dxa"/>
            <w:tcBorders>
              <w:top w:val="single" w:sz="2" w:space="0" w:color="000000"/>
              <w:left w:val="single" w:sz="2" w:space="0" w:color="000000"/>
              <w:bottom w:val="single" w:sz="2" w:space="0" w:color="000000"/>
              <w:right w:val="single" w:sz="2" w:space="0" w:color="000000"/>
            </w:tcBorders>
            <w:shd w:val="clear" w:color="auto" w:fill="6D2A78"/>
          </w:tcPr>
          <w:p w14:paraId="42180E90" w14:textId="77777777" w:rsidR="001021CB" w:rsidRDefault="001021CB" w:rsidP="00C44824">
            <w:pPr>
              <w:spacing w:line="259" w:lineRule="auto"/>
              <w:ind w:left="86"/>
              <w:jc w:val="center"/>
              <w:rPr>
                <w:b/>
                <w:color w:val="FFFFFF"/>
                <w:sz w:val="18"/>
              </w:rPr>
            </w:pPr>
            <w:r>
              <w:rPr>
                <w:b/>
                <w:color w:val="FFFFFF"/>
                <w:sz w:val="18"/>
              </w:rPr>
              <w:t>2050</w:t>
            </w:r>
          </w:p>
        </w:tc>
      </w:tr>
      <w:tr w:rsidR="001021CB" w14:paraId="5EFF9314" w14:textId="77777777" w:rsidTr="00C44824">
        <w:trPr>
          <w:trHeight w:val="407"/>
        </w:trPr>
        <w:tc>
          <w:tcPr>
            <w:tcW w:w="3791" w:type="dxa"/>
            <w:tcBorders>
              <w:top w:val="single" w:sz="2" w:space="0" w:color="000000"/>
              <w:left w:val="single" w:sz="2" w:space="0" w:color="000000"/>
              <w:bottom w:val="single" w:sz="2" w:space="0" w:color="000000"/>
              <w:right w:val="single" w:sz="2" w:space="0" w:color="000000"/>
            </w:tcBorders>
          </w:tcPr>
          <w:p w14:paraId="2E9161C7" w14:textId="77777777" w:rsidR="001021CB" w:rsidRDefault="001021CB" w:rsidP="00C44824">
            <w:pPr>
              <w:spacing w:line="259" w:lineRule="auto"/>
            </w:pPr>
            <w:r>
              <w:rPr>
                <w:sz w:val="18"/>
              </w:rPr>
              <w:t xml:space="preserve">Pétrole (Brent crude oil) </w:t>
            </w:r>
          </w:p>
        </w:tc>
        <w:tc>
          <w:tcPr>
            <w:tcW w:w="1046" w:type="dxa"/>
            <w:tcBorders>
              <w:top w:val="single" w:sz="2" w:space="0" w:color="000000"/>
              <w:left w:val="single" w:sz="2" w:space="0" w:color="000000"/>
              <w:bottom w:val="single" w:sz="2" w:space="0" w:color="000000"/>
              <w:right w:val="single" w:sz="2" w:space="0" w:color="000000"/>
            </w:tcBorders>
          </w:tcPr>
          <w:p w14:paraId="1A60DCC5" w14:textId="77777777" w:rsidR="001021CB" w:rsidRDefault="001021CB" w:rsidP="00C44824">
            <w:pPr>
              <w:spacing w:line="259" w:lineRule="auto"/>
              <w:ind w:left="91"/>
              <w:jc w:val="center"/>
            </w:pPr>
            <w:r>
              <w:t>38</w:t>
            </w:r>
          </w:p>
        </w:tc>
        <w:tc>
          <w:tcPr>
            <w:tcW w:w="1047" w:type="dxa"/>
            <w:tcBorders>
              <w:top w:val="single" w:sz="2" w:space="0" w:color="000000"/>
              <w:left w:val="single" w:sz="2" w:space="0" w:color="000000"/>
              <w:bottom w:val="single" w:sz="2" w:space="0" w:color="000000"/>
              <w:right w:val="single" w:sz="2" w:space="0" w:color="000000"/>
            </w:tcBorders>
          </w:tcPr>
          <w:p w14:paraId="1102445E" w14:textId="77777777" w:rsidR="001021CB" w:rsidRDefault="001021CB" w:rsidP="00C44824">
            <w:pPr>
              <w:spacing w:line="259" w:lineRule="auto"/>
              <w:ind w:left="88"/>
              <w:jc w:val="center"/>
            </w:pPr>
            <w:r>
              <w:t>67,4</w:t>
            </w:r>
          </w:p>
        </w:tc>
        <w:tc>
          <w:tcPr>
            <w:tcW w:w="1047" w:type="dxa"/>
            <w:tcBorders>
              <w:top w:val="single" w:sz="2" w:space="0" w:color="000000"/>
              <w:left w:val="single" w:sz="2" w:space="0" w:color="000000"/>
              <w:bottom w:val="single" w:sz="2" w:space="0" w:color="000000"/>
              <w:right w:val="single" w:sz="2" w:space="0" w:color="000000"/>
            </w:tcBorders>
          </w:tcPr>
          <w:p w14:paraId="1F05729D" w14:textId="77777777" w:rsidR="001021CB" w:rsidRDefault="001021CB" w:rsidP="00C44824">
            <w:pPr>
              <w:spacing w:line="259" w:lineRule="auto"/>
              <w:ind w:left="90"/>
              <w:jc w:val="center"/>
            </w:pPr>
            <w:r>
              <w:t>80</w:t>
            </w:r>
          </w:p>
        </w:tc>
        <w:tc>
          <w:tcPr>
            <w:tcW w:w="1048" w:type="dxa"/>
            <w:tcBorders>
              <w:top w:val="single" w:sz="2" w:space="0" w:color="000000"/>
              <w:left w:val="single" w:sz="2" w:space="0" w:color="000000"/>
              <w:bottom w:val="single" w:sz="2" w:space="0" w:color="000000"/>
              <w:right w:val="single" w:sz="2" w:space="0" w:color="000000"/>
            </w:tcBorders>
          </w:tcPr>
          <w:p w14:paraId="2F0AA7CF" w14:textId="77777777" w:rsidR="001021CB" w:rsidRDefault="001021CB" w:rsidP="00C44824">
            <w:pPr>
              <w:spacing w:line="259" w:lineRule="auto"/>
              <w:ind w:left="89"/>
              <w:jc w:val="center"/>
            </w:pPr>
            <w:r>
              <w:t>86,4</w:t>
            </w:r>
          </w:p>
        </w:tc>
        <w:tc>
          <w:tcPr>
            <w:tcW w:w="981" w:type="dxa"/>
            <w:tcBorders>
              <w:top w:val="single" w:sz="2" w:space="0" w:color="000000"/>
              <w:left w:val="single" w:sz="2" w:space="0" w:color="000000"/>
              <w:bottom w:val="single" w:sz="2" w:space="0" w:color="000000"/>
              <w:right w:val="single" w:sz="2" w:space="0" w:color="000000"/>
            </w:tcBorders>
          </w:tcPr>
          <w:p w14:paraId="46D48192" w14:textId="77777777" w:rsidR="001021CB" w:rsidRDefault="001021CB" w:rsidP="00C44824">
            <w:pPr>
              <w:spacing w:line="259" w:lineRule="auto"/>
              <w:ind w:left="89"/>
              <w:jc w:val="center"/>
              <w:rPr>
                <w:sz w:val="18"/>
              </w:rPr>
            </w:pPr>
            <w:r>
              <w:rPr>
                <w:sz w:val="18"/>
              </w:rPr>
              <w:t>92,8</w:t>
            </w:r>
          </w:p>
        </w:tc>
        <w:tc>
          <w:tcPr>
            <w:tcW w:w="981" w:type="dxa"/>
            <w:tcBorders>
              <w:top w:val="single" w:sz="2" w:space="0" w:color="000000"/>
              <w:left w:val="single" w:sz="2" w:space="0" w:color="000000"/>
              <w:bottom w:val="single" w:sz="2" w:space="0" w:color="000000"/>
              <w:right w:val="single" w:sz="2" w:space="0" w:color="000000"/>
            </w:tcBorders>
          </w:tcPr>
          <w:p w14:paraId="617BA1EB" w14:textId="77777777" w:rsidR="001021CB" w:rsidRDefault="001021CB" w:rsidP="00C44824">
            <w:pPr>
              <w:spacing w:line="259" w:lineRule="auto"/>
              <w:ind w:left="89"/>
              <w:jc w:val="center"/>
              <w:rPr>
                <w:sz w:val="18"/>
              </w:rPr>
            </w:pPr>
            <w:r>
              <w:rPr>
                <w:sz w:val="18"/>
              </w:rPr>
              <w:t>113,2</w:t>
            </w:r>
          </w:p>
        </w:tc>
      </w:tr>
      <w:tr w:rsidR="001021CB" w14:paraId="771D1D3E" w14:textId="77777777" w:rsidTr="00C44824">
        <w:trPr>
          <w:trHeight w:val="385"/>
        </w:trPr>
        <w:tc>
          <w:tcPr>
            <w:tcW w:w="3791" w:type="dxa"/>
            <w:tcBorders>
              <w:top w:val="single" w:sz="2" w:space="0" w:color="000000"/>
              <w:left w:val="single" w:sz="2" w:space="0" w:color="000000"/>
              <w:bottom w:val="single" w:sz="2" w:space="0" w:color="000000"/>
              <w:right w:val="single" w:sz="2" w:space="0" w:color="000000"/>
            </w:tcBorders>
            <w:shd w:val="clear" w:color="auto" w:fill="ECE6E2"/>
          </w:tcPr>
          <w:p w14:paraId="0DBA56E3" w14:textId="77777777" w:rsidR="001021CB" w:rsidRDefault="001021CB" w:rsidP="00C44824">
            <w:pPr>
              <w:spacing w:line="259" w:lineRule="auto"/>
            </w:pPr>
            <w:r>
              <w:rPr>
                <w:sz w:val="18"/>
              </w:rPr>
              <w:t xml:space="preserve">Charbon (CIF ARA 6000) </w:t>
            </w:r>
          </w:p>
        </w:tc>
        <w:tc>
          <w:tcPr>
            <w:tcW w:w="1046" w:type="dxa"/>
            <w:tcBorders>
              <w:top w:val="single" w:sz="2" w:space="0" w:color="000000"/>
              <w:left w:val="single" w:sz="2" w:space="0" w:color="000000"/>
              <w:bottom w:val="single" w:sz="2" w:space="0" w:color="000000"/>
              <w:right w:val="single" w:sz="2" w:space="0" w:color="000000"/>
            </w:tcBorders>
            <w:shd w:val="clear" w:color="auto" w:fill="ECE6E2"/>
          </w:tcPr>
          <w:p w14:paraId="40A3F62A" w14:textId="77777777" w:rsidR="001021CB" w:rsidRDefault="001021CB" w:rsidP="00C44824">
            <w:pPr>
              <w:spacing w:line="259" w:lineRule="auto"/>
              <w:ind w:left="90"/>
              <w:jc w:val="center"/>
            </w:pPr>
            <w:r>
              <w:t>74,2</w:t>
            </w:r>
          </w:p>
        </w:tc>
        <w:tc>
          <w:tcPr>
            <w:tcW w:w="1047" w:type="dxa"/>
            <w:tcBorders>
              <w:top w:val="single" w:sz="2" w:space="0" w:color="000000"/>
              <w:left w:val="single" w:sz="2" w:space="0" w:color="000000"/>
              <w:bottom w:val="single" w:sz="2" w:space="0" w:color="000000"/>
              <w:right w:val="single" w:sz="2" w:space="0" w:color="000000"/>
            </w:tcBorders>
            <w:shd w:val="clear" w:color="auto" w:fill="ECE6E2"/>
          </w:tcPr>
          <w:p w14:paraId="6D278FD5" w14:textId="77777777" w:rsidR="001021CB" w:rsidRDefault="001021CB" w:rsidP="00C44824">
            <w:pPr>
              <w:spacing w:line="259" w:lineRule="auto"/>
              <w:ind w:left="88"/>
              <w:jc w:val="center"/>
            </w:pPr>
            <w:r>
              <w:t>111,7</w:t>
            </w:r>
          </w:p>
        </w:tc>
        <w:tc>
          <w:tcPr>
            <w:tcW w:w="1047" w:type="dxa"/>
            <w:tcBorders>
              <w:top w:val="single" w:sz="2" w:space="0" w:color="000000"/>
              <w:left w:val="single" w:sz="2" w:space="0" w:color="000000"/>
              <w:bottom w:val="single" w:sz="2" w:space="0" w:color="000000"/>
              <w:right w:val="single" w:sz="2" w:space="0" w:color="000000"/>
            </w:tcBorders>
            <w:shd w:val="clear" w:color="auto" w:fill="ECE6E2"/>
          </w:tcPr>
          <w:p w14:paraId="21C5D1C5" w14:textId="77777777" w:rsidR="001021CB" w:rsidRDefault="001021CB" w:rsidP="00C44824">
            <w:pPr>
              <w:spacing w:line="259" w:lineRule="auto"/>
              <w:ind w:left="90"/>
              <w:jc w:val="center"/>
            </w:pPr>
            <w:r>
              <w:t>121,9</w:t>
            </w:r>
          </w:p>
        </w:tc>
        <w:tc>
          <w:tcPr>
            <w:tcW w:w="1048" w:type="dxa"/>
            <w:tcBorders>
              <w:top w:val="single" w:sz="2" w:space="0" w:color="000000"/>
              <w:left w:val="single" w:sz="2" w:space="0" w:color="000000"/>
              <w:bottom w:val="single" w:sz="2" w:space="0" w:color="000000"/>
              <w:right w:val="single" w:sz="2" w:space="0" w:color="000000"/>
            </w:tcBorders>
            <w:shd w:val="clear" w:color="auto" w:fill="ECE6E2"/>
          </w:tcPr>
          <w:p w14:paraId="3D0D41EA" w14:textId="77777777" w:rsidR="001021CB" w:rsidRDefault="001021CB" w:rsidP="00C44824">
            <w:pPr>
              <w:spacing w:line="259" w:lineRule="auto"/>
              <w:ind w:left="89"/>
              <w:jc w:val="center"/>
            </w:pPr>
            <w:r>
              <w:t>131,3</w:t>
            </w:r>
          </w:p>
        </w:tc>
        <w:tc>
          <w:tcPr>
            <w:tcW w:w="981" w:type="dxa"/>
            <w:tcBorders>
              <w:top w:val="single" w:sz="2" w:space="0" w:color="000000"/>
              <w:left w:val="single" w:sz="2" w:space="0" w:color="000000"/>
              <w:bottom w:val="single" w:sz="2" w:space="0" w:color="000000"/>
              <w:right w:val="single" w:sz="2" w:space="0" w:color="000000"/>
            </w:tcBorders>
            <w:shd w:val="clear" w:color="auto" w:fill="ECE6E2"/>
          </w:tcPr>
          <w:p w14:paraId="40A6958F" w14:textId="77777777" w:rsidR="001021CB" w:rsidRDefault="001021CB" w:rsidP="00C44824">
            <w:pPr>
              <w:spacing w:line="259" w:lineRule="auto"/>
              <w:ind w:left="89"/>
              <w:jc w:val="center"/>
              <w:rPr>
                <w:sz w:val="18"/>
              </w:rPr>
            </w:pPr>
            <w:r>
              <w:rPr>
                <w:sz w:val="18"/>
              </w:rPr>
              <w:t>137,8</w:t>
            </w:r>
          </w:p>
        </w:tc>
        <w:tc>
          <w:tcPr>
            <w:tcW w:w="981" w:type="dxa"/>
            <w:tcBorders>
              <w:top w:val="single" w:sz="2" w:space="0" w:color="000000"/>
              <w:left w:val="single" w:sz="2" w:space="0" w:color="000000"/>
              <w:bottom w:val="single" w:sz="2" w:space="0" w:color="000000"/>
              <w:right w:val="single" w:sz="2" w:space="0" w:color="000000"/>
            </w:tcBorders>
            <w:shd w:val="clear" w:color="auto" w:fill="ECE6E2"/>
          </w:tcPr>
          <w:p w14:paraId="51C469D6" w14:textId="77777777" w:rsidR="001021CB" w:rsidRDefault="001021CB" w:rsidP="00C44824">
            <w:pPr>
              <w:spacing w:line="259" w:lineRule="auto"/>
              <w:ind w:left="89"/>
              <w:jc w:val="center"/>
              <w:rPr>
                <w:sz w:val="18"/>
              </w:rPr>
            </w:pPr>
            <w:r>
              <w:rPr>
                <w:sz w:val="18"/>
              </w:rPr>
              <w:t>147,3</w:t>
            </w:r>
          </w:p>
        </w:tc>
      </w:tr>
      <w:tr w:rsidR="001021CB" w14:paraId="3C855E1F" w14:textId="77777777" w:rsidTr="00C44824">
        <w:trPr>
          <w:trHeight w:val="407"/>
        </w:trPr>
        <w:tc>
          <w:tcPr>
            <w:tcW w:w="3791" w:type="dxa"/>
            <w:tcBorders>
              <w:top w:val="single" w:sz="2" w:space="0" w:color="000000"/>
              <w:left w:val="single" w:sz="2" w:space="0" w:color="000000"/>
              <w:bottom w:val="single" w:sz="2" w:space="0" w:color="000000"/>
              <w:right w:val="single" w:sz="2" w:space="0" w:color="000000"/>
            </w:tcBorders>
          </w:tcPr>
          <w:p w14:paraId="32F7BFF2" w14:textId="77777777" w:rsidR="001021CB" w:rsidRDefault="001021CB" w:rsidP="00C44824">
            <w:pPr>
              <w:spacing w:line="259" w:lineRule="auto"/>
            </w:pPr>
            <w:r>
              <w:rPr>
                <w:sz w:val="18"/>
              </w:rPr>
              <w:t xml:space="preserve">Gaz (GCG average EU import) </w:t>
            </w:r>
          </w:p>
        </w:tc>
        <w:tc>
          <w:tcPr>
            <w:tcW w:w="1046" w:type="dxa"/>
            <w:tcBorders>
              <w:top w:val="single" w:sz="2" w:space="0" w:color="000000"/>
              <w:left w:val="single" w:sz="2" w:space="0" w:color="000000"/>
              <w:bottom w:val="single" w:sz="2" w:space="0" w:color="000000"/>
              <w:right w:val="single" w:sz="2" w:space="0" w:color="000000"/>
            </w:tcBorders>
          </w:tcPr>
          <w:p w14:paraId="658B7A75" w14:textId="77777777" w:rsidR="001021CB" w:rsidRDefault="001021CB" w:rsidP="00C44824">
            <w:pPr>
              <w:spacing w:line="259" w:lineRule="auto"/>
              <w:ind w:left="90"/>
              <w:jc w:val="center"/>
            </w:pPr>
            <w:r>
              <w:t>146,9</w:t>
            </w:r>
          </w:p>
        </w:tc>
        <w:tc>
          <w:tcPr>
            <w:tcW w:w="1047" w:type="dxa"/>
            <w:tcBorders>
              <w:top w:val="single" w:sz="2" w:space="0" w:color="000000"/>
              <w:left w:val="single" w:sz="2" w:space="0" w:color="000000"/>
              <w:bottom w:val="single" w:sz="2" w:space="0" w:color="000000"/>
              <w:right w:val="single" w:sz="2" w:space="0" w:color="000000"/>
            </w:tcBorders>
          </w:tcPr>
          <w:p w14:paraId="32E5C8A6" w14:textId="77777777" w:rsidR="001021CB" w:rsidRDefault="001021CB" w:rsidP="00C44824">
            <w:pPr>
              <w:spacing w:line="259" w:lineRule="auto"/>
              <w:ind w:left="88"/>
              <w:jc w:val="center"/>
            </w:pPr>
            <w:r>
              <w:t>238,2</w:t>
            </w:r>
          </w:p>
        </w:tc>
        <w:tc>
          <w:tcPr>
            <w:tcW w:w="1047" w:type="dxa"/>
            <w:tcBorders>
              <w:top w:val="single" w:sz="2" w:space="0" w:color="000000"/>
              <w:left w:val="single" w:sz="2" w:space="0" w:color="000000"/>
              <w:bottom w:val="single" w:sz="2" w:space="0" w:color="000000"/>
              <w:right w:val="single" w:sz="2" w:space="0" w:color="000000"/>
            </w:tcBorders>
          </w:tcPr>
          <w:p w14:paraId="344F6298" w14:textId="77777777" w:rsidR="001021CB" w:rsidRDefault="001021CB" w:rsidP="00C44824">
            <w:pPr>
              <w:spacing w:line="259" w:lineRule="auto"/>
              <w:ind w:left="90"/>
              <w:jc w:val="center"/>
            </w:pPr>
            <w:r>
              <w:t>249,4</w:t>
            </w:r>
          </w:p>
        </w:tc>
        <w:tc>
          <w:tcPr>
            <w:tcW w:w="1048" w:type="dxa"/>
            <w:tcBorders>
              <w:top w:val="single" w:sz="2" w:space="0" w:color="000000"/>
              <w:left w:val="single" w:sz="2" w:space="0" w:color="000000"/>
              <w:bottom w:val="single" w:sz="2" w:space="0" w:color="000000"/>
              <w:right w:val="single" w:sz="2" w:space="0" w:color="000000"/>
            </w:tcBorders>
          </w:tcPr>
          <w:p w14:paraId="64863656" w14:textId="77777777" w:rsidR="001021CB" w:rsidRDefault="001021CB" w:rsidP="00C44824">
            <w:pPr>
              <w:spacing w:line="259" w:lineRule="auto"/>
              <w:ind w:left="89"/>
              <w:jc w:val="center"/>
            </w:pPr>
            <w:r>
              <w:t>285,8</w:t>
            </w:r>
          </w:p>
        </w:tc>
        <w:tc>
          <w:tcPr>
            <w:tcW w:w="981" w:type="dxa"/>
            <w:tcBorders>
              <w:top w:val="single" w:sz="2" w:space="0" w:color="000000"/>
              <w:left w:val="single" w:sz="2" w:space="0" w:color="000000"/>
              <w:bottom w:val="single" w:sz="2" w:space="0" w:color="000000"/>
              <w:right w:val="single" w:sz="2" w:space="0" w:color="000000"/>
            </w:tcBorders>
          </w:tcPr>
          <w:p w14:paraId="0BDF6846" w14:textId="77777777" w:rsidR="001021CB" w:rsidRDefault="001021CB" w:rsidP="00C44824">
            <w:pPr>
              <w:spacing w:line="259" w:lineRule="auto"/>
              <w:ind w:left="89"/>
              <w:jc w:val="center"/>
              <w:rPr>
                <w:sz w:val="18"/>
              </w:rPr>
            </w:pPr>
            <w:r>
              <w:rPr>
                <w:sz w:val="18"/>
              </w:rPr>
              <w:t>341,4</w:t>
            </w:r>
          </w:p>
        </w:tc>
        <w:tc>
          <w:tcPr>
            <w:tcW w:w="981" w:type="dxa"/>
            <w:tcBorders>
              <w:top w:val="single" w:sz="2" w:space="0" w:color="000000"/>
              <w:left w:val="single" w:sz="2" w:space="0" w:color="000000"/>
              <w:bottom w:val="single" w:sz="2" w:space="0" w:color="000000"/>
              <w:right w:val="single" w:sz="2" w:space="0" w:color="000000"/>
            </w:tcBorders>
          </w:tcPr>
          <w:p w14:paraId="14AFEF8B" w14:textId="77777777" w:rsidR="001021CB" w:rsidRDefault="001021CB" w:rsidP="00C44824">
            <w:pPr>
              <w:spacing w:line="259" w:lineRule="auto"/>
              <w:ind w:left="89"/>
              <w:jc w:val="center"/>
              <w:rPr>
                <w:sz w:val="18"/>
              </w:rPr>
            </w:pPr>
            <w:r>
              <w:rPr>
                <w:sz w:val="18"/>
              </w:rPr>
              <w:t>343,8</w:t>
            </w:r>
          </w:p>
        </w:tc>
      </w:tr>
    </w:tbl>
    <w:p w14:paraId="63788EB2" w14:textId="77777777" w:rsidR="001021CB" w:rsidRDefault="001021CB" w:rsidP="001021CB">
      <w:pPr>
        <w:spacing w:before="240" w:after="240"/>
      </w:pPr>
    </w:p>
    <w:tbl>
      <w:tblPr>
        <w:tblStyle w:val="TableGrid0"/>
        <w:tblW w:w="9917" w:type="dxa"/>
        <w:tblInd w:w="3" w:type="dxa"/>
        <w:tblCellMar>
          <w:top w:w="131" w:type="dxa"/>
          <w:left w:w="28" w:type="dxa"/>
          <w:right w:w="115" w:type="dxa"/>
        </w:tblCellMar>
        <w:tblLook w:val="04A0" w:firstRow="1" w:lastRow="0" w:firstColumn="1" w:lastColumn="0" w:noHBand="0" w:noVBand="1"/>
      </w:tblPr>
      <w:tblGrid>
        <w:gridCol w:w="4177"/>
        <w:gridCol w:w="1092"/>
        <w:gridCol w:w="1091"/>
        <w:gridCol w:w="1095"/>
        <w:gridCol w:w="1092"/>
        <w:gridCol w:w="1370"/>
      </w:tblGrid>
      <w:tr w:rsidR="001021CB" w14:paraId="4979C688" w14:textId="77777777" w:rsidTr="0072099A">
        <w:trPr>
          <w:trHeight w:val="389"/>
        </w:trPr>
        <w:tc>
          <w:tcPr>
            <w:tcW w:w="4177" w:type="dxa"/>
            <w:tcBorders>
              <w:top w:val="single" w:sz="2" w:space="0" w:color="000000"/>
              <w:left w:val="single" w:sz="2" w:space="0" w:color="000000"/>
              <w:bottom w:val="single" w:sz="2" w:space="0" w:color="000000"/>
              <w:right w:val="single" w:sz="2" w:space="0" w:color="000000"/>
            </w:tcBorders>
            <w:shd w:val="clear" w:color="auto" w:fill="6D2A78"/>
          </w:tcPr>
          <w:p w14:paraId="23072ECA" w14:textId="77777777" w:rsidR="001021CB" w:rsidRDefault="001021CB" w:rsidP="00C44824">
            <w:pPr>
              <w:spacing w:line="259" w:lineRule="auto"/>
              <w:ind w:left="136"/>
              <w:jc w:val="center"/>
            </w:pPr>
            <w:r>
              <w:t>AMS 2018</w:t>
            </w:r>
          </w:p>
        </w:tc>
        <w:tc>
          <w:tcPr>
            <w:tcW w:w="1092" w:type="dxa"/>
            <w:tcBorders>
              <w:top w:val="single" w:sz="2" w:space="0" w:color="000000"/>
              <w:left w:val="single" w:sz="2" w:space="0" w:color="000000"/>
              <w:bottom w:val="single" w:sz="2" w:space="0" w:color="000000"/>
              <w:right w:val="single" w:sz="2" w:space="0" w:color="000000"/>
            </w:tcBorders>
            <w:shd w:val="clear" w:color="auto" w:fill="6D2A78"/>
          </w:tcPr>
          <w:p w14:paraId="659AB2FA" w14:textId="77777777" w:rsidR="001021CB" w:rsidRDefault="001021CB" w:rsidP="00C44824">
            <w:pPr>
              <w:spacing w:line="259" w:lineRule="auto"/>
              <w:ind w:left="87"/>
              <w:jc w:val="center"/>
            </w:pPr>
            <w:r>
              <w:rPr>
                <w:b/>
                <w:color w:val="FFFFFF"/>
                <w:sz w:val="18"/>
              </w:rPr>
              <w:t xml:space="preserve">2015 </w:t>
            </w:r>
          </w:p>
        </w:tc>
        <w:tc>
          <w:tcPr>
            <w:tcW w:w="1091" w:type="dxa"/>
            <w:tcBorders>
              <w:top w:val="single" w:sz="2" w:space="0" w:color="000000"/>
              <w:left w:val="single" w:sz="2" w:space="0" w:color="000000"/>
              <w:bottom w:val="single" w:sz="2" w:space="0" w:color="000000"/>
              <w:right w:val="single" w:sz="2" w:space="0" w:color="000000"/>
            </w:tcBorders>
            <w:shd w:val="clear" w:color="auto" w:fill="6D2A78"/>
          </w:tcPr>
          <w:p w14:paraId="7AD1187A" w14:textId="77777777" w:rsidR="001021CB" w:rsidRDefault="001021CB" w:rsidP="00C44824">
            <w:pPr>
              <w:spacing w:line="259" w:lineRule="auto"/>
              <w:ind w:left="88"/>
              <w:jc w:val="center"/>
            </w:pPr>
            <w:r>
              <w:rPr>
                <w:b/>
                <w:color w:val="FFFFFF"/>
                <w:sz w:val="18"/>
              </w:rPr>
              <w:t xml:space="preserve">2020 </w:t>
            </w:r>
          </w:p>
        </w:tc>
        <w:tc>
          <w:tcPr>
            <w:tcW w:w="1095" w:type="dxa"/>
            <w:tcBorders>
              <w:top w:val="single" w:sz="2" w:space="0" w:color="000000"/>
              <w:left w:val="single" w:sz="2" w:space="0" w:color="000000"/>
              <w:bottom w:val="single" w:sz="2" w:space="0" w:color="000000"/>
              <w:right w:val="single" w:sz="2" w:space="0" w:color="000000"/>
            </w:tcBorders>
            <w:shd w:val="clear" w:color="auto" w:fill="6D2A78"/>
          </w:tcPr>
          <w:p w14:paraId="42A50398" w14:textId="77777777" w:rsidR="001021CB" w:rsidRDefault="001021CB" w:rsidP="00C44824">
            <w:pPr>
              <w:spacing w:line="259" w:lineRule="auto"/>
              <w:ind w:left="86"/>
              <w:jc w:val="center"/>
            </w:pPr>
            <w:r>
              <w:rPr>
                <w:b/>
                <w:color w:val="FFFFFF"/>
                <w:sz w:val="18"/>
              </w:rPr>
              <w:t xml:space="preserve">2025 </w:t>
            </w:r>
          </w:p>
        </w:tc>
        <w:tc>
          <w:tcPr>
            <w:tcW w:w="1092" w:type="dxa"/>
            <w:tcBorders>
              <w:top w:val="single" w:sz="2" w:space="0" w:color="000000"/>
              <w:left w:val="single" w:sz="2" w:space="0" w:color="000000"/>
              <w:bottom w:val="single" w:sz="2" w:space="0" w:color="000000"/>
              <w:right w:val="single" w:sz="2" w:space="0" w:color="000000"/>
            </w:tcBorders>
            <w:shd w:val="clear" w:color="auto" w:fill="6D2A78"/>
          </w:tcPr>
          <w:p w14:paraId="4F87C10C" w14:textId="77777777" w:rsidR="001021CB" w:rsidRDefault="001021CB" w:rsidP="00C44824">
            <w:pPr>
              <w:spacing w:line="259" w:lineRule="auto"/>
              <w:ind w:left="87"/>
              <w:jc w:val="center"/>
            </w:pPr>
            <w:r>
              <w:rPr>
                <w:b/>
                <w:color w:val="FFFFFF"/>
                <w:sz w:val="18"/>
              </w:rPr>
              <w:t xml:space="preserve">2030 </w:t>
            </w:r>
          </w:p>
        </w:tc>
        <w:tc>
          <w:tcPr>
            <w:tcW w:w="1370" w:type="dxa"/>
            <w:tcBorders>
              <w:top w:val="single" w:sz="2" w:space="0" w:color="000000"/>
              <w:left w:val="single" w:sz="2" w:space="0" w:color="000000"/>
              <w:bottom w:val="single" w:sz="2" w:space="0" w:color="000000"/>
              <w:right w:val="single" w:sz="2" w:space="0" w:color="000000"/>
            </w:tcBorders>
            <w:shd w:val="clear" w:color="auto" w:fill="6D2A78"/>
          </w:tcPr>
          <w:p w14:paraId="2605D99B" w14:textId="77777777" w:rsidR="001021CB" w:rsidRDefault="001021CB" w:rsidP="00C44824">
            <w:pPr>
              <w:spacing w:line="259" w:lineRule="auto"/>
              <w:ind w:left="86"/>
              <w:jc w:val="center"/>
            </w:pPr>
            <w:r>
              <w:rPr>
                <w:b/>
                <w:color w:val="FFFFFF"/>
                <w:sz w:val="18"/>
              </w:rPr>
              <w:t xml:space="preserve">2035 </w:t>
            </w:r>
          </w:p>
        </w:tc>
      </w:tr>
      <w:tr w:rsidR="001021CB" w14:paraId="360E4D38" w14:textId="77777777" w:rsidTr="0072099A">
        <w:trPr>
          <w:trHeight w:val="407"/>
        </w:trPr>
        <w:tc>
          <w:tcPr>
            <w:tcW w:w="4177" w:type="dxa"/>
            <w:tcBorders>
              <w:top w:val="single" w:sz="2" w:space="0" w:color="000000"/>
              <w:left w:val="single" w:sz="2" w:space="0" w:color="000000"/>
              <w:bottom w:val="single" w:sz="2" w:space="0" w:color="000000"/>
              <w:right w:val="single" w:sz="2" w:space="0" w:color="000000"/>
            </w:tcBorders>
          </w:tcPr>
          <w:p w14:paraId="5FC22439" w14:textId="77777777" w:rsidR="001021CB" w:rsidRDefault="001021CB" w:rsidP="00C44824">
            <w:pPr>
              <w:spacing w:line="259" w:lineRule="auto"/>
            </w:pPr>
            <w:r>
              <w:rPr>
                <w:sz w:val="18"/>
              </w:rPr>
              <w:t xml:space="preserve">Pétrole (Brent crude oil) </w:t>
            </w:r>
          </w:p>
        </w:tc>
        <w:tc>
          <w:tcPr>
            <w:tcW w:w="1092" w:type="dxa"/>
            <w:tcBorders>
              <w:top w:val="single" w:sz="2" w:space="0" w:color="000000"/>
              <w:left w:val="single" w:sz="2" w:space="0" w:color="000000"/>
              <w:bottom w:val="single" w:sz="2" w:space="0" w:color="000000"/>
              <w:right w:val="single" w:sz="2" w:space="0" w:color="000000"/>
            </w:tcBorders>
          </w:tcPr>
          <w:p w14:paraId="35F49039" w14:textId="77777777" w:rsidR="001021CB" w:rsidRDefault="001021CB" w:rsidP="00C44824">
            <w:pPr>
              <w:spacing w:line="259" w:lineRule="auto"/>
              <w:ind w:left="90"/>
              <w:jc w:val="center"/>
            </w:pPr>
            <w:r>
              <w:rPr>
                <w:sz w:val="18"/>
              </w:rPr>
              <w:t xml:space="preserve">48,19 </w:t>
            </w:r>
          </w:p>
        </w:tc>
        <w:tc>
          <w:tcPr>
            <w:tcW w:w="1091" w:type="dxa"/>
            <w:tcBorders>
              <w:top w:val="single" w:sz="2" w:space="0" w:color="000000"/>
              <w:left w:val="single" w:sz="2" w:space="0" w:color="000000"/>
              <w:bottom w:val="single" w:sz="2" w:space="0" w:color="000000"/>
              <w:right w:val="single" w:sz="2" w:space="0" w:color="000000"/>
            </w:tcBorders>
          </w:tcPr>
          <w:p w14:paraId="024DBBAB" w14:textId="77777777" w:rsidR="001021CB" w:rsidRDefault="001021CB" w:rsidP="00C44824">
            <w:pPr>
              <w:spacing w:line="259" w:lineRule="auto"/>
              <w:ind w:left="91"/>
              <w:jc w:val="center"/>
            </w:pPr>
            <w:r>
              <w:rPr>
                <w:sz w:val="18"/>
              </w:rPr>
              <w:t xml:space="preserve">75,01 </w:t>
            </w:r>
          </w:p>
        </w:tc>
        <w:tc>
          <w:tcPr>
            <w:tcW w:w="1095" w:type="dxa"/>
            <w:tcBorders>
              <w:top w:val="single" w:sz="2" w:space="0" w:color="000000"/>
              <w:left w:val="single" w:sz="2" w:space="0" w:color="000000"/>
              <w:bottom w:val="single" w:sz="2" w:space="0" w:color="000000"/>
              <w:right w:val="single" w:sz="2" w:space="0" w:color="000000"/>
            </w:tcBorders>
          </w:tcPr>
          <w:p w14:paraId="7B25443E" w14:textId="77777777" w:rsidR="001021CB" w:rsidRDefault="001021CB" w:rsidP="00C44824">
            <w:pPr>
              <w:spacing w:line="259" w:lineRule="auto"/>
              <w:ind w:left="88"/>
              <w:jc w:val="center"/>
            </w:pPr>
            <w:r>
              <w:rPr>
                <w:sz w:val="18"/>
              </w:rPr>
              <w:t xml:space="preserve">85,15 </w:t>
            </w:r>
          </w:p>
        </w:tc>
        <w:tc>
          <w:tcPr>
            <w:tcW w:w="1092" w:type="dxa"/>
            <w:tcBorders>
              <w:top w:val="single" w:sz="2" w:space="0" w:color="000000"/>
              <w:left w:val="single" w:sz="2" w:space="0" w:color="000000"/>
              <w:bottom w:val="single" w:sz="2" w:space="0" w:color="000000"/>
              <w:right w:val="single" w:sz="2" w:space="0" w:color="000000"/>
            </w:tcBorders>
          </w:tcPr>
          <w:p w14:paraId="5FB7F669" w14:textId="77777777" w:rsidR="001021CB" w:rsidRDefault="001021CB" w:rsidP="00C44824">
            <w:pPr>
              <w:spacing w:line="259" w:lineRule="auto"/>
              <w:ind w:left="90"/>
              <w:jc w:val="center"/>
            </w:pPr>
            <w:r>
              <w:rPr>
                <w:sz w:val="18"/>
              </w:rPr>
              <w:t xml:space="preserve">93,8 </w:t>
            </w:r>
          </w:p>
        </w:tc>
        <w:tc>
          <w:tcPr>
            <w:tcW w:w="1370" w:type="dxa"/>
            <w:tcBorders>
              <w:top w:val="single" w:sz="2" w:space="0" w:color="000000"/>
              <w:left w:val="single" w:sz="2" w:space="0" w:color="000000"/>
              <w:bottom w:val="single" w:sz="2" w:space="0" w:color="000000"/>
              <w:right w:val="single" w:sz="2" w:space="0" w:color="000000"/>
            </w:tcBorders>
          </w:tcPr>
          <w:p w14:paraId="2F74FCAD" w14:textId="77777777" w:rsidR="001021CB" w:rsidRDefault="001021CB" w:rsidP="00C44824">
            <w:pPr>
              <w:spacing w:line="259" w:lineRule="auto"/>
              <w:ind w:left="89"/>
              <w:jc w:val="center"/>
            </w:pPr>
            <w:r>
              <w:rPr>
                <w:sz w:val="18"/>
              </w:rPr>
              <w:t xml:space="preserve">97,85 </w:t>
            </w:r>
          </w:p>
        </w:tc>
      </w:tr>
      <w:tr w:rsidR="001021CB" w14:paraId="5528F675" w14:textId="77777777" w:rsidTr="0072099A">
        <w:trPr>
          <w:trHeight w:val="385"/>
        </w:trPr>
        <w:tc>
          <w:tcPr>
            <w:tcW w:w="4177" w:type="dxa"/>
            <w:tcBorders>
              <w:top w:val="single" w:sz="2" w:space="0" w:color="000000"/>
              <w:left w:val="single" w:sz="2" w:space="0" w:color="000000"/>
              <w:bottom w:val="single" w:sz="2" w:space="0" w:color="000000"/>
              <w:right w:val="single" w:sz="2" w:space="0" w:color="000000"/>
            </w:tcBorders>
            <w:shd w:val="clear" w:color="auto" w:fill="ECE6E2"/>
          </w:tcPr>
          <w:p w14:paraId="5DB5250C" w14:textId="77777777" w:rsidR="001021CB" w:rsidRDefault="001021CB" w:rsidP="00C44824">
            <w:pPr>
              <w:spacing w:line="259" w:lineRule="auto"/>
            </w:pPr>
            <w:r>
              <w:rPr>
                <w:sz w:val="18"/>
              </w:rPr>
              <w:t xml:space="preserve">Charbon (CIF ARA 6000) </w:t>
            </w:r>
          </w:p>
        </w:tc>
        <w:tc>
          <w:tcPr>
            <w:tcW w:w="1092" w:type="dxa"/>
            <w:tcBorders>
              <w:top w:val="single" w:sz="2" w:space="0" w:color="000000"/>
              <w:left w:val="single" w:sz="2" w:space="0" w:color="000000"/>
              <w:bottom w:val="single" w:sz="2" w:space="0" w:color="000000"/>
              <w:right w:val="single" w:sz="2" w:space="0" w:color="000000"/>
            </w:tcBorders>
            <w:shd w:val="clear" w:color="auto" w:fill="ECE6E2"/>
          </w:tcPr>
          <w:p w14:paraId="095B370C" w14:textId="77777777" w:rsidR="001021CB" w:rsidRDefault="001021CB" w:rsidP="00C44824">
            <w:pPr>
              <w:spacing w:line="259" w:lineRule="auto"/>
              <w:ind w:left="90"/>
              <w:jc w:val="center"/>
            </w:pPr>
            <w:r>
              <w:rPr>
                <w:sz w:val="18"/>
              </w:rPr>
              <w:t xml:space="preserve">11,47 </w:t>
            </w:r>
          </w:p>
        </w:tc>
        <w:tc>
          <w:tcPr>
            <w:tcW w:w="1091" w:type="dxa"/>
            <w:tcBorders>
              <w:top w:val="single" w:sz="2" w:space="0" w:color="000000"/>
              <w:left w:val="single" w:sz="2" w:space="0" w:color="000000"/>
              <w:bottom w:val="single" w:sz="2" w:space="0" w:color="000000"/>
              <w:right w:val="single" w:sz="2" w:space="0" w:color="000000"/>
            </w:tcBorders>
            <w:shd w:val="clear" w:color="auto" w:fill="ECE6E2"/>
          </w:tcPr>
          <w:p w14:paraId="0B5B7A3D" w14:textId="77777777" w:rsidR="001021CB" w:rsidRDefault="001021CB" w:rsidP="00C44824">
            <w:pPr>
              <w:spacing w:line="259" w:lineRule="auto"/>
              <w:ind w:left="90"/>
              <w:jc w:val="center"/>
            </w:pPr>
            <w:r>
              <w:rPr>
                <w:sz w:val="18"/>
              </w:rPr>
              <w:t xml:space="preserve">14,31 </w:t>
            </w:r>
          </w:p>
        </w:tc>
        <w:tc>
          <w:tcPr>
            <w:tcW w:w="1095" w:type="dxa"/>
            <w:tcBorders>
              <w:top w:val="single" w:sz="2" w:space="0" w:color="000000"/>
              <w:left w:val="single" w:sz="2" w:space="0" w:color="000000"/>
              <w:bottom w:val="single" w:sz="2" w:space="0" w:color="000000"/>
              <w:right w:val="single" w:sz="2" w:space="0" w:color="000000"/>
            </w:tcBorders>
            <w:shd w:val="clear" w:color="auto" w:fill="ECE6E2"/>
          </w:tcPr>
          <w:p w14:paraId="4F6D3673" w14:textId="77777777" w:rsidR="001021CB" w:rsidRDefault="001021CB" w:rsidP="00C44824">
            <w:pPr>
              <w:spacing w:line="259" w:lineRule="auto"/>
              <w:ind w:left="88"/>
              <w:jc w:val="center"/>
            </w:pPr>
            <w:r>
              <w:rPr>
                <w:sz w:val="18"/>
              </w:rPr>
              <w:t xml:space="preserve">17,09 </w:t>
            </w:r>
          </w:p>
        </w:tc>
        <w:tc>
          <w:tcPr>
            <w:tcW w:w="1092" w:type="dxa"/>
            <w:tcBorders>
              <w:top w:val="single" w:sz="2" w:space="0" w:color="000000"/>
              <w:left w:val="single" w:sz="2" w:space="0" w:color="000000"/>
              <w:bottom w:val="single" w:sz="2" w:space="0" w:color="000000"/>
              <w:right w:val="single" w:sz="2" w:space="0" w:color="000000"/>
            </w:tcBorders>
            <w:shd w:val="clear" w:color="auto" w:fill="ECE6E2"/>
          </w:tcPr>
          <w:p w14:paraId="2BCEADC6" w14:textId="77777777" w:rsidR="001021CB" w:rsidRDefault="001021CB" w:rsidP="00C44824">
            <w:pPr>
              <w:spacing w:line="259" w:lineRule="auto"/>
              <w:ind w:left="90"/>
              <w:jc w:val="center"/>
            </w:pPr>
            <w:r>
              <w:rPr>
                <w:sz w:val="18"/>
              </w:rPr>
              <w:t xml:space="preserve">20,51 </w:t>
            </w:r>
          </w:p>
        </w:tc>
        <w:tc>
          <w:tcPr>
            <w:tcW w:w="1370" w:type="dxa"/>
            <w:tcBorders>
              <w:top w:val="single" w:sz="2" w:space="0" w:color="000000"/>
              <w:left w:val="single" w:sz="2" w:space="0" w:color="000000"/>
              <w:bottom w:val="single" w:sz="2" w:space="0" w:color="000000"/>
              <w:right w:val="single" w:sz="2" w:space="0" w:color="000000"/>
            </w:tcBorders>
            <w:shd w:val="clear" w:color="auto" w:fill="ECE6E2"/>
          </w:tcPr>
          <w:p w14:paraId="32ED5029" w14:textId="77777777" w:rsidR="001021CB" w:rsidRDefault="001021CB" w:rsidP="00C44824">
            <w:pPr>
              <w:spacing w:line="259" w:lineRule="auto"/>
              <w:ind w:left="89"/>
              <w:jc w:val="center"/>
            </w:pPr>
            <w:r>
              <w:rPr>
                <w:sz w:val="18"/>
              </w:rPr>
              <w:t xml:space="preserve">21,72 </w:t>
            </w:r>
          </w:p>
        </w:tc>
      </w:tr>
      <w:tr w:rsidR="001021CB" w14:paraId="7C038BD0" w14:textId="77777777" w:rsidTr="0072099A">
        <w:trPr>
          <w:trHeight w:val="407"/>
        </w:trPr>
        <w:tc>
          <w:tcPr>
            <w:tcW w:w="4177" w:type="dxa"/>
            <w:tcBorders>
              <w:top w:val="single" w:sz="2" w:space="0" w:color="000000"/>
              <w:left w:val="single" w:sz="2" w:space="0" w:color="000000"/>
              <w:bottom w:val="single" w:sz="2" w:space="0" w:color="000000"/>
              <w:right w:val="single" w:sz="2" w:space="0" w:color="000000"/>
            </w:tcBorders>
          </w:tcPr>
          <w:p w14:paraId="1F83BDDF" w14:textId="77777777" w:rsidR="001021CB" w:rsidRDefault="001021CB" w:rsidP="00C44824">
            <w:pPr>
              <w:spacing w:line="259" w:lineRule="auto"/>
            </w:pPr>
            <w:r>
              <w:rPr>
                <w:sz w:val="18"/>
              </w:rPr>
              <w:t xml:space="preserve">Gaz (NCV, CIF average EU import) </w:t>
            </w:r>
          </w:p>
        </w:tc>
        <w:tc>
          <w:tcPr>
            <w:tcW w:w="1092" w:type="dxa"/>
            <w:tcBorders>
              <w:top w:val="single" w:sz="2" w:space="0" w:color="000000"/>
              <w:left w:val="single" w:sz="2" w:space="0" w:color="000000"/>
              <w:bottom w:val="single" w:sz="2" w:space="0" w:color="000000"/>
              <w:right w:val="single" w:sz="2" w:space="0" w:color="000000"/>
            </w:tcBorders>
          </w:tcPr>
          <w:p w14:paraId="1C17E5E9" w14:textId="77777777" w:rsidR="001021CB" w:rsidRDefault="001021CB" w:rsidP="00C44824">
            <w:pPr>
              <w:spacing w:line="259" w:lineRule="auto"/>
              <w:ind w:left="90"/>
              <w:jc w:val="center"/>
            </w:pPr>
            <w:r>
              <w:rPr>
                <w:sz w:val="18"/>
              </w:rPr>
              <w:t xml:space="preserve">38,8 </w:t>
            </w:r>
          </w:p>
        </w:tc>
        <w:tc>
          <w:tcPr>
            <w:tcW w:w="1091" w:type="dxa"/>
            <w:tcBorders>
              <w:top w:val="single" w:sz="2" w:space="0" w:color="000000"/>
              <w:left w:val="single" w:sz="2" w:space="0" w:color="000000"/>
              <w:bottom w:val="single" w:sz="2" w:space="0" w:color="000000"/>
              <w:right w:val="single" w:sz="2" w:space="0" w:color="000000"/>
            </w:tcBorders>
          </w:tcPr>
          <w:p w14:paraId="5BDBE393" w14:textId="77777777" w:rsidR="001021CB" w:rsidRDefault="001021CB" w:rsidP="00C44824">
            <w:pPr>
              <w:spacing w:line="259" w:lineRule="auto"/>
              <w:ind w:left="90"/>
              <w:jc w:val="center"/>
            </w:pPr>
            <w:r>
              <w:rPr>
                <w:sz w:val="18"/>
              </w:rPr>
              <w:t xml:space="preserve">48,25 </w:t>
            </w:r>
          </w:p>
        </w:tc>
        <w:tc>
          <w:tcPr>
            <w:tcW w:w="1095" w:type="dxa"/>
            <w:tcBorders>
              <w:top w:val="single" w:sz="2" w:space="0" w:color="000000"/>
              <w:left w:val="single" w:sz="2" w:space="0" w:color="000000"/>
              <w:bottom w:val="single" w:sz="2" w:space="0" w:color="000000"/>
              <w:right w:val="single" w:sz="2" w:space="0" w:color="000000"/>
            </w:tcBorders>
          </w:tcPr>
          <w:p w14:paraId="1DB666A1" w14:textId="77777777" w:rsidR="001021CB" w:rsidRDefault="001021CB" w:rsidP="00C44824">
            <w:pPr>
              <w:spacing w:line="259" w:lineRule="auto"/>
              <w:ind w:left="88"/>
              <w:jc w:val="center"/>
            </w:pPr>
            <w:r>
              <w:rPr>
                <w:sz w:val="18"/>
              </w:rPr>
              <w:t xml:space="preserve">52,21 </w:t>
            </w:r>
          </w:p>
        </w:tc>
        <w:tc>
          <w:tcPr>
            <w:tcW w:w="1092" w:type="dxa"/>
            <w:tcBorders>
              <w:top w:val="single" w:sz="2" w:space="0" w:color="000000"/>
              <w:left w:val="single" w:sz="2" w:space="0" w:color="000000"/>
              <w:bottom w:val="single" w:sz="2" w:space="0" w:color="000000"/>
              <w:right w:val="single" w:sz="2" w:space="0" w:color="000000"/>
            </w:tcBorders>
          </w:tcPr>
          <w:p w14:paraId="798BFB5D" w14:textId="77777777" w:rsidR="001021CB" w:rsidRDefault="001021CB" w:rsidP="00C44824">
            <w:pPr>
              <w:spacing w:line="259" w:lineRule="auto"/>
              <w:ind w:left="90"/>
              <w:jc w:val="center"/>
            </w:pPr>
            <w:r>
              <w:rPr>
                <w:sz w:val="18"/>
              </w:rPr>
              <w:t xml:space="preserve">56,77 </w:t>
            </w:r>
          </w:p>
        </w:tc>
        <w:tc>
          <w:tcPr>
            <w:tcW w:w="1370" w:type="dxa"/>
            <w:tcBorders>
              <w:top w:val="single" w:sz="2" w:space="0" w:color="000000"/>
              <w:left w:val="single" w:sz="2" w:space="0" w:color="000000"/>
              <w:bottom w:val="single" w:sz="2" w:space="0" w:color="000000"/>
              <w:right w:val="single" w:sz="2" w:space="0" w:color="000000"/>
            </w:tcBorders>
          </w:tcPr>
          <w:p w14:paraId="0A370691" w14:textId="77777777" w:rsidR="001021CB" w:rsidRDefault="001021CB" w:rsidP="00C44824">
            <w:pPr>
              <w:spacing w:line="259" w:lineRule="auto"/>
              <w:ind w:left="89"/>
              <w:jc w:val="center"/>
            </w:pPr>
            <w:r>
              <w:rPr>
                <w:sz w:val="18"/>
              </w:rPr>
              <w:t xml:space="preserve">60,63 </w:t>
            </w:r>
          </w:p>
        </w:tc>
      </w:tr>
    </w:tbl>
    <w:p w14:paraId="55C8A6F8" w14:textId="231C0EB1" w:rsidR="00B94B7E" w:rsidRDefault="00B94B7E" w:rsidP="0045532B">
      <w:pPr>
        <w:pStyle w:val="Caption"/>
      </w:pPr>
      <w:bookmarkStart w:id="578" w:name="_Toc123916527"/>
      <w:r>
        <w:t xml:space="preserve">Tableau </w:t>
      </w:r>
      <w:fldSimple w:instr=" SEQ Tableau \* ARABIC ">
        <w:r w:rsidR="00AB51D9">
          <w:rPr>
            <w:noProof/>
          </w:rPr>
          <w:t>35</w:t>
        </w:r>
      </w:fldSimple>
      <w:r>
        <w:t xml:space="preserve"> : </w:t>
      </w:r>
      <w:r w:rsidR="001021CB" w:rsidRPr="00AB325E">
        <w:rPr>
          <w:sz w:val="21"/>
          <w:szCs w:val="24"/>
        </w:rPr>
        <w:t>Hypothèses de prix des énergies importées (en € 2013/boe)</w:t>
      </w:r>
      <w:r>
        <w:t xml:space="preserve"> dans l’AME 21 et l’AMS 18</w:t>
      </w:r>
      <w:bookmarkEnd w:id="578"/>
    </w:p>
    <w:p w14:paraId="3B15C655" w14:textId="50EAABAB" w:rsidR="001021CB" w:rsidRDefault="001021CB" w:rsidP="0045532B">
      <w:pPr>
        <w:pStyle w:val="Caption"/>
      </w:pPr>
      <w:r w:rsidRPr="00C85872">
        <w:t>Source : Cadrage économique de l’UE</w:t>
      </w:r>
    </w:p>
    <w:p w14:paraId="4D667429" w14:textId="77777777" w:rsidR="001021CB" w:rsidRPr="00F307BA" w:rsidRDefault="001021CB" w:rsidP="00EF6DB6">
      <w:pPr>
        <w:pStyle w:val="Titre4niveau4"/>
      </w:pPr>
      <w:r w:rsidRPr="00F307BA">
        <w:t xml:space="preserve">Hypothèses sur l’évolution du prix du carbone sous l’ETS </w:t>
      </w:r>
    </w:p>
    <w:p w14:paraId="6E831518" w14:textId="77777777" w:rsidR="001021CB" w:rsidRDefault="001021CB" w:rsidP="001021CB">
      <w:pPr>
        <w:spacing w:before="240" w:after="240"/>
      </w:pPr>
      <w:r w:rsidRPr="00F307BA">
        <w:t xml:space="preserve">Les hypothèses d’évolution du prix du carbone pour les entreprises incluses dans l’ETS proviennent du cadrage économique proposé par la Commission européenne à l’ensemble des pays de l’Union. </w:t>
      </w:r>
    </w:p>
    <w:tbl>
      <w:tblPr>
        <w:tblStyle w:val="TableGrid0"/>
        <w:tblW w:w="9943" w:type="dxa"/>
        <w:tblInd w:w="1" w:type="dxa"/>
        <w:tblCellMar>
          <w:top w:w="124" w:type="dxa"/>
          <w:left w:w="28" w:type="dxa"/>
          <w:right w:w="115" w:type="dxa"/>
        </w:tblCellMar>
        <w:tblLook w:val="04A0" w:firstRow="1" w:lastRow="0" w:firstColumn="1" w:lastColumn="0" w:noHBand="0" w:noVBand="1"/>
      </w:tblPr>
      <w:tblGrid>
        <w:gridCol w:w="2987"/>
        <w:gridCol w:w="915"/>
        <w:gridCol w:w="924"/>
        <w:gridCol w:w="924"/>
        <w:gridCol w:w="924"/>
        <w:gridCol w:w="923"/>
        <w:gridCol w:w="811"/>
        <w:gridCol w:w="811"/>
        <w:gridCol w:w="724"/>
      </w:tblGrid>
      <w:tr w:rsidR="001021CB" w14:paraId="4F8696B3" w14:textId="77777777" w:rsidTr="00C44824">
        <w:trPr>
          <w:trHeight w:val="378"/>
        </w:trPr>
        <w:tc>
          <w:tcPr>
            <w:tcW w:w="2987" w:type="dxa"/>
            <w:tcBorders>
              <w:top w:val="single" w:sz="2" w:space="0" w:color="000000"/>
              <w:left w:val="single" w:sz="2" w:space="0" w:color="000000"/>
              <w:bottom w:val="single" w:sz="2" w:space="0" w:color="000000"/>
              <w:right w:val="single" w:sz="2" w:space="0" w:color="000000"/>
            </w:tcBorders>
            <w:shd w:val="clear" w:color="auto" w:fill="6D2A78"/>
          </w:tcPr>
          <w:p w14:paraId="35CD2F82" w14:textId="77777777" w:rsidR="001021CB" w:rsidRDefault="001021CB" w:rsidP="00C44824">
            <w:pPr>
              <w:spacing w:line="259" w:lineRule="auto"/>
              <w:ind w:left="133"/>
              <w:jc w:val="center"/>
            </w:pPr>
            <w:r>
              <w:rPr>
                <w:sz w:val="18"/>
              </w:rPr>
              <w:t>EU ETS carbon price</w:t>
            </w:r>
          </w:p>
        </w:tc>
        <w:tc>
          <w:tcPr>
            <w:tcW w:w="915" w:type="dxa"/>
            <w:tcBorders>
              <w:top w:val="single" w:sz="2" w:space="0" w:color="000000"/>
              <w:left w:val="single" w:sz="2" w:space="0" w:color="000000"/>
              <w:bottom w:val="single" w:sz="2" w:space="0" w:color="000000"/>
              <w:right w:val="single" w:sz="2" w:space="0" w:color="000000"/>
            </w:tcBorders>
            <w:shd w:val="clear" w:color="auto" w:fill="6D2A78"/>
          </w:tcPr>
          <w:p w14:paraId="1BA45663" w14:textId="77777777" w:rsidR="001021CB" w:rsidRDefault="001021CB" w:rsidP="00C44824">
            <w:pPr>
              <w:spacing w:line="259" w:lineRule="auto"/>
              <w:ind w:left="85"/>
              <w:jc w:val="center"/>
            </w:pPr>
            <w:r>
              <w:rPr>
                <w:b/>
                <w:color w:val="FFFFFF"/>
                <w:sz w:val="18"/>
              </w:rPr>
              <w:t xml:space="preserve">2015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0A92C45F" w14:textId="77777777" w:rsidR="001021CB" w:rsidRDefault="001021CB" w:rsidP="00C44824">
            <w:pPr>
              <w:spacing w:line="259" w:lineRule="auto"/>
              <w:ind w:left="85"/>
              <w:jc w:val="center"/>
            </w:pPr>
            <w:r>
              <w:rPr>
                <w:b/>
                <w:color w:val="FFFFFF"/>
                <w:sz w:val="18"/>
              </w:rPr>
              <w:t xml:space="preserve">2020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3B843107" w14:textId="77777777" w:rsidR="001021CB" w:rsidRDefault="001021CB" w:rsidP="00C44824">
            <w:pPr>
              <w:spacing w:line="259" w:lineRule="auto"/>
              <w:ind w:left="85"/>
              <w:jc w:val="center"/>
            </w:pPr>
            <w:r>
              <w:rPr>
                <w:b/>
                <w:color w:val="FFFFFF"/>
                <w:sz w:val="18"/>
              </w:rPr>
              <w:t xml:space="preserve">2025 </w:t>
            </w:r>
          </w:p>
        </w:tc>
        <w:tc>
          <w:tcPr>
            <w:tcW w:w="924" w:type="dxa"/>
            <w:tcBorders>
              <w:top w:val="single" w:sz="2" w:space="0" w:color="000000"/>
              <w:left w:val="single" w:sz="2" w:space="0" w:color="000000"/>
              <w:bottom w:val="single" w:sz="2" w:space="0" w:color="000000"/>
              <w:right w:val="single" w:sz="2" w:space="0" w:color="000000"/>
            </w:tcBorders>
            <w:shd w:val="clear" w:color="auto" w:fill="6D2A78"/>
          </w:tcPr>
          <w:p w14:paraId="59599C14" w14:textId="77777777" w:rsidR="001021CB" w:rsidRDefault="001021CB" w:rsidP="00C44824">
            <w:pPr>
              <w:spacing w:line="259" w:lineRule="auto"/>
              <w:ind w:left="86"/>
              <w:jc w:val="center"/>
            </w:pPr>
            <w:r>
              <w:rPr>
                <w:b/>
                <w:color w:val="FFFFFF"/>
                <w:sz w:val="18"/>
              </w:rPr>
              <w:t xml:space="preserve">2030 </w:t>
            </w:r>
          </w:p>
        </w:tc>
        <w:tc>
          <w:tcPr>
            <w:tcW w:w="923" w:type="dxa"/>
            <w:tcBorders>
              <w:top w:val="single" w:sz="2" w:space="0" w:color="000000"/>
              <w:left w:val="single" w:sz="2" w:space="0" w:color="000000"/>
              <w:bottom w:val="single" w:sz="2" w:space="0" w:color="000000"/>
              <w:right w:val="single" w:sz="2" w:space="0" w:color="000000"/>
            </w:tcBorders>
            <w:shd w:val="clear" w:color="auto" w:fill="6D2A78"/>
          </w:tcPr>
          <w:p w14:paraId="5DC5907E" w14:textId="77777777" w:rsidR="001021CB" w:rsidRDefault="001021CB" w:rsidP="00C44824">
            <w:pPr>
              <w:spacing w:line="259" w:lineRule="auto"/>
              <w:ind w:left="84"/>
              <w:jc w:val="center"/>
            </w:pPr>
            <w:r>
              <w:rPr>
                <w:b/>
                <w:color w:val="FFFFFF"/>
                <w:sz w:val="18"/>
              </w:rPr>
              <w:t xml:space="preserve">2035 </w:t>
            </w:r>
          </w:p>
        </w:tc>
        <w:tc>
          <w:tcPr>
            <w:tcW w:w="811" w:type="dxa"/>
            <w:tcBorders>
              <w:top w:val="single" w:sz="2" w:space="0" w:color="000000"/>
              <w:left w:val="single" w:sz="2" w:space="0" w:color="000000"/>
              <w:bottom w:val="single" w:sz="2" w:space="0" w:color="000000"/>
              <w:right w:val="single" w:sz="2" w:space="0" w:color="000000"/>
            </w:tcBorders>
            <w:shd w:val="clear" w:color="auto" w:fill="6D2A78"/>
          </w:tcPr>
          <w:p w14:paraId="7F451AD2" w14:textId="77777777" w:rsidR="001021CB" w:rsidRDefault="001021CB" w:rsidP="00C44824">
            <w:pPr>
              <w:spacing w:line="259" w:lineRule="auto"/>
              <w:ind w:left="84"/>
              <w:jc w:val="center"/>
              <w:rPr>
                <w:b/>
                <w:color w:val="FFFFFF"/>
                <w:sz w:val="18"/>
              </w:rPr>
            </w:pPr>
            <w:r>
              <w:rPr>
                <w:b/>
                <w:color w:val="FFFFFF"/>
                <w:sz w:val="18"/>
              </w:rPr>
              <w:t>2040</w:t>
            </w:r>
          </w:p>
        </w:tc>
        <w:tc>
          <w:tcPr>
            <w:tcW w:w="811" w:type="dxa"/>
            <w:tcBorders>
              <w:top w:val="single" w:sz="2" w:space="0" w:color="000000"/>
              <w:left w:val="single" w:sz="2" w:space="0" w:color="000000"/>
              <w:bottom w:val="single" w:sz="2" w:space="0" w:color="000000"/>
              <w:right w:val="single" w:sz="2" w:space="0" w:color="000000"/>
            </w:tcBorders>
            <w:shd w:val="clear" w:color="auto" w:fill="6D2A78"/>
          </w:tcPr>
          <w:p w14:paraId="1922DD75" w14:textId="77777777" w:rsidR="001021CB" w:rsidRDefault="001021CB" w:rsidP="00C44824">
            <w:pPr>
              <w:spacing w:line="259" w:lineRule="auto"/>
              <w:ind w:left="84"/>
              <w:jc w:val="center"/>
              <w:rPr>
                <w:b/>
                <w:color w:val="FFFFFF"/>
                <w:sz w:val="18"/>
              </w:rPr>
            </w:pPr>
            <w:r>
              <w:rPr>
                <w:b/>
                <w:color w:val="FFFFFF"/>
                <w:sz w:val="18"/>
              </w:rPr>
              <w:t>2045</w:t>
            </w:r>
          </w:p>
        </w:tc>
        <w:tc>
          <w:tcPr>
            <w:tcW w:w="724" w:type="dxa"/>
            <w:tcBorders>
              <w:top w:val="single" w:sz="2" w:space="0" w:color="000000"/>
              <w:left w:val="single" w:sz="2" w:space="0" w:color="000000"/>
              <w:bottom w:val="single" w:sz="2" w:space="0" w:color="000000"/>
              <w:right w:val="single" w:sz="2" w:space="0" w:color="000000"/>
            </w:tcBorders>
            <w:shd w:val="clear" w:color="auto" w:fill="6D2A78"/>
          </w:tcPr>
          <w:p w14:paraId="69968C05" w14:textId="77777777" w:rsidR="001021CB" w:rsidRDefault="001021CB" w:rsidP="00C44824">
            <w:pPr>
              <w:spacing w:line="259" w:lineRule="auto"/>
              <w:ind w:left="84"/>
              <w:jc w:val="center"/>
              <w:rPr>
                <w:b/>
                <w:color w:val="FFFFFF"/>
                <w:sz w:val="18"/>
              </w:rPr>
            </w:pPr>
            <w:r>
              <w:rPr>
                <w:b/>
                <w:color w:val="FFFFFF"/>
                <w:sz w:val="18"/>
              </w:rPr>
              <w:t>2050</w:t>
            </w:r>
          </w:p>
        </w:tc>
      </w:tr>
      <w:tr w:rsidR="001021CB" w14:paraId="4530D884" w14:textId="77777777" w:rsidTr="00C44824">
        <w:trPr>
          <w:trHeight w:val="407"/>
        </w:trPr>
        <w:tc>
          <w:tcPr>
            <w:tcW w:w="2987" w:type="dxa"/>
            <w:tcBorders>
              <w:top w:val="single" w:sz="2" w:space="0" w:color="000000"/>
              <w:left w:val="single" w:sz="2" w:space="0" w:color="000000"/>
              <w:bottom w:val="single" w:sz="2" w:space="0" w:color="000000"/>
              <w:right w:val="single" w:sz="2" w:space="0" w:color="000000"/>
            </w:tcBorders>
          </w:tcPr>
          <w:p w14:paraId="795026AB" w14:textId="2C354860" w:rsidR="001021CB" w:rsidRPr="00AB325E" w:rsidRDefault="001021CB" w:rsidP="00C44824">
            <w:pPr>
              <w:rPr>
                <w:i/>
                <w:iCs/>
                <w:sz w:val="16"/>
                <w:szCs w:val="16"/>
              </w:rPr>
            </w:pPr>
            <w:r>
              <w:rPr>
                <w:sz w:val="18"/>
              </w:rPr>
              <w:t>AMS 2018 (</w:t>
            </w:r>
            <w:r>
              <w:rPr>
                <w:sz w:val="18"/>
                <w:szCs w:val="18"/>
              </w:rPr>
              <w:t>€</w:t>
            </w:r>
            <w:r>
              <w:rPr>
                <w:sz w:val="12"/>
                <w:szCs w:val="12"/>
              </w:rPr>
              <w:t>2013</w:t>
            </w:r>
            <w:r>
              <w:rPr>
                <w:sz w:val="18"/>
                <w:szCs w:val="18"/>
              </w:rPr>
              <w:t>/t</w:t>
            </w:r>
            <w:r w:rsidR="007F09F7">
              <w:t>CO</w:t>
            </w:r>
            <w:r w:rsidR="007F09F7" w:rsidRPr="007F09F7">
              <w:rPr>
                <w:vertAlign w:val="subscript"/>
              </w:rPr>
              <w:t>2</w:t>
            </w:r>
            <w:r>
              <w:rPr>
                <w:sz w:val="18"/>
                <w:szCs w:val="18"/>
              </w:rPr>
              <w:t>)</w:t>
            </w:r>
          </w:p>
        </w:tc>
        <w:tc>
          <w:tcPr>
            <w:tcW w:w="915" w:type="dxa"/>
            <w:tcBorders>
              <w:top w:val="single" w:sz="2" w:space="0" w:color="000000"/>
              <w:left w:val="single" w:sz="2" w:space="0" w:color="000000"/>
              <w:bottom w:val="single" w:sz="2" w:space="0" w:color="000000"/>
              <w:right w:val="single" w:sz="2" w:space="0" w:color="000000"/>
            </w:tcBorders>
          </w:tcPr>
          <w:p w14:paraId="12E85F91" w14:textId="77777777" w:rsidR="001021CB" w:rsidRDefault="001021CB" w:rsidP="00C44824">
            <w:pPr>
              <w:spacing w:line="259" w:lineRule="auto"/>
              <w:ind w:left="88"/>
              <w:jc w:val="center"/>
            </w:pPr>
            <w:r>
              <w:rPr>
                <w:sz w:val="18"/>
              </w:rPr>
              <w:t xml:space="preserve">7,5 </w:t>
            </w:r>
          </w:p>
        </w:tc>
        <w:tc>
          <w:tcPr>
            <w:tcW w:w="924" w:type="dxa"/>
            <w:tcBorders>
              <w:top w:val="single" w:sz="2" w:space="0" w:color="000000"/>
              <w:left w:val="single" w:sz="2" w:space="0" w:color="000000"/>
              <w:bottom w:val="single" w:sz="2" w:space="0" w:color="000000"/>
              <w:right w:val="single" w:sz="2" w:space="0" w:color="000000"/>
            </w:tcBorders>
          </w:tcPr>
          <w:p w14:paraId="77A6F173" w14:textId="77777777" w:rsidR="001021CB" w:rsidRDefault="001021CB" w:rsidP="00C44824">
            <w:pPr>
              <w:spacing w:line="259" w:lineRule="auto"/>
              <w:ind w:left="86"/>
              <w:jc w:val="center"/>
            </w:pPr>
            <w:r>
              <w:rPr>
                <w:sz w:val="18"/>
              </w:rPr>
              <w:t xml:space="preserve">15 </w:t>
            </w:r>
          </w:p>
        </w:tc>
        <w:tc>
          <w:tcPr>
            <w:tcW w:w="924" w:type="dxa"/>
            <w:tcBorders>
              <w:top w:val="single" w:sz="2" w:space="0" w:color="000000"/>
              <w:left w:val="single" w:sz="2" w:space="0" w:color="000000"/>
              <w:bottom w:val="single" w:sz="2" w:space="0" w:color="000000"/>
              <w:right w:val="single" w:sz="2" w:space="0" w:color="000000"/>
            </w:tcBorders>
          </w:tcPr>
          <w:p w14:paraId="5A89B652" w14:textId="77777777" w:rsidR="001021CB" w:rsidRDefault="001021CB" w:rsidP="00C44824">
            <w:pPr>
              <w:spacing w:line="259" w:lineRule="auto"/>
              <w:ind w:left="88"/>
              <w:jc w:val="center"/>
            </w:pPr>
            <w:r>
              <w:rPr>
                <w:sz w:val="18"/>
              </w:rPr>
              <w:t xml:space="preserve">22,5 </w:t>
            </w:r>
          </w:p>
        </w:tc>
        <w:tc>
          <w:tcPr>
            <w:tcW w:w="924" w:type="dxa"/>
            <w:tcBorders>
              <w:top w:val="single" w:sz="2" w:space="0" w:color="000000"/>
              <w:left w:val="single" w:sz="2" w:space="0" w:color="000000"/>
              <w:bottom w:val="single" w:sz="2" w:space="0" w:color="000000"/>
              <w:right w:val="single" w:sz="2" w:space="0" w:color="000000"/>
            </w:tcBorders>
          </w:tcPr>
          <w:p w14:paraId="70245734" w14:textId="77777777" w:rsidR="001021CB" w:rsidRDefault="001021CB" w:rsidP="00C44824">
            <w:pPr>
              <w:spacing w:line="259" w:lineRule="auto"/>
              <w:ind w:left="89"/>
              <w:jc w:val="center"/>
            </w:pPr>
            <w:r>
              <w:rPr>
                <w:sz w:val="18"/>
              </w:rPr>
              <w:t xml:space="preserve">33,5 </w:t>
            </w:r>
          </w:p>
        </w:tc>
        <w:tc>
          <w:tcPr>
            <w:tcW w:w="923" w:type="dxa"/>
            <w:tcBorders>
              <w:top w:val="single" w:sz="2" w:space="0" w:color="000000"/>
              <w:left w:val="single" w:sz="2" w:space="0" w:color="000000"/>
              <w:bottom w:val="single" w:sz="2" w:space="0" w:color="000000"/>
              <w:right w:val="single" w:sz="2" w:space="0" w:color="000000"/>
            </w:tcBorders>
          </w:tcPr>
          <w:p w14:paraId="3D3269EA" w14:textId="77777777" w:rsidR="001021CB" w:rsidRPr="00AB325E" w:rsidRDefault="001021CB" w:rsidP="00C44824">
            <w:pPr>
              <w:spacing w:line="259" w:lineRule="auto"/>
              <w:ind w:left="85"/>
              <w:jc w:val="center"/>
              <w:rPr>
                <w:sz w:val="18"/>
              </w:rPr>
            </w:pPr>
            <w:r>
              <w:rPr>
                <w:sz w:val="18"/>
              </w:rPr>
              <w:t xml:space="preserve">42 </w:t>
            </w:r>
          </w:p>
        </w:tc>
        <w:tc>
          <w:tcPr>
            <w:tcW w:w="811" w:type="dxa"/>
            <w:tcBorders>
              <w:top w:val="single" w:sz="2" w:space="0" w:color="000000"/>
              <w:left w:val="single" w:sz="2" w:space="0" w:color="000000"/>
              <w:bottom w:val="single" w:sz="2" w:space="0" w:color="000000"/>
              <w:right w:val="single" w:sz="2" w:space="0" w:color="000000"/>
            </w:tcBorders>
          </w:tcPr>
          <w:p w14:paraId="521611F2" w14:textId="77777777" w:rsidR="001021CB" w:rsidRDefault="001021CB" w:rsidP="00C44824">
            <w:pPr>
              <w:spacing w:line="259" w:lineRule="auto"/>
              <w:ind w:left="85"/>
              <w:jc w:val="center"/>
              <w:rPr>
                <w:sz w:val="18"/>
              </w:rPr>
            </w:pPr>
          </w:p>
        </w:tc>
        <w:tc>
          <w:tcPr>
            <w:tcW w:w="811" w:type="dxa"/>
            <w:tcBorders>
              <w:top w:val="single" w:sz="2" w:space="0" w:color="000000"/>
              <w:left w:val="single" w:sz="2" w:space="0" w:color="000000"/>
              <w:bottom w:val="single" w:sz="2" w:space="0" w:color="000000"/>
              <w:right w:val="single" w:sz="2" w:space="0" w:color="000000"/>
            </w:tcBorders>
          </w:tcPr>
          <w:p w14:paraId="33BB45E2" w14:textId="77777777" w:rsidR="001021CB" w:rsidRDefault="001021CB" w:rsidP="00C44824">
            <w:pPr>
              <w:spacing w:line="259" w:lineRule="auto"/>
              <w:ind w:left="85"/>
              <w:jc w:val="center"/>
              <w:rPr>
                <w:sz w:val="18"/>
              </w:rPr>
            </w:pPr>
          </w:p>
        </w:tc>
        <w:tc>
          <w:tcPr>
            <w:tcW w:w="724" w:type="dxa"/>
            <w:tcBorders>
              <w:top w:val="single" w:sz="2" w:space="0" w:color="000000"/>
              <w:left w:val="single" w:sz="2" w:space="0" w:color="000000"/>
              <w:bottom w:val="single" w:sz="2" w:space="0" w:color="000000"/>
              <w:right w:val="single" w:sz="2" w:space="0" w:color="000000"/>
            </w:tcBorders>
          </w:tcPr>
          <w:p w14:paraId="3274C831" w14:textId="77777777" w:rsidR="001021CB" w:rsidRDefault="001021CB" w:rsidP="00C44824">
            <w:pPr>
              <w:spacing w:line="259" w:lineRule="auto"/>
              <w:ind w:left="85"/>
              <w:jc w:val="center"/>
              <w:rPr>
                <w:sz w:val="18"/>
              </w:rPr>
            </w:pPr>
          </w:p>
        </w:tc>
      </w:tr>
      <w:tr w:rsidR="001021CB" w14:paraId="5BC05DDB" w14:textId="77777777" w:rsidTr="00C44824">
        <w:trPr>
          <w:trHeight w:val="407"/>
        </w:trPr>
        <w:tc>
          <w:tcPr>
            <w:tcW w:w="2987" w:type="dxa"/>
            <w:tcBorders>
              <w:top w:val="single" w:sz="2" w:space="0" w:color="000000"/>
              <w:left w:val="single" w:sz="2" w:space="0" w:color="000000"/>
              <w:bottom w:val="single" w:sz="2" w:space="0" w:color="000000"/>
              <w:right w:val="single" w:sz="2" w:space="0" w:color="000000"/>
            </w:tcBorders>
          </w:tcPr>
          <w:p w14:paraId="7DEF1C30" w14:textId="3E918497" w:rsidR="001021CB" w:rsidDel="0084154F" w:rsidRDefault="001021CB" w:rsidP="00C44824">
            <w:pPr>
              <w:rPr>
                <w:sz w:val="18"/>
              </w:rPr>
            </w:pPr>
            <w:r>
              <w:rPr>
                <w:sz w:val="18"/>
              </w:rPr>
              <w:t>AME 2021 (€</w:t>
            </w:r>
            <w:r w:rsidRPr="00AB325E">
              <w:rPr>
                <w:sz w:val="18"/>
                <w:vertAlign w:val="subscript"/>
              </w:rPr>
              <w:t>2016</w:t>
            </w:r>
            <w:r>
              <w:rPr>
                <w:sz w:val="18"/>
              </w:rPr>
              <w:t>/t</w:t>
            </w:r>
            <w:r w:rsidR="007F09F7">
              <w:t>CO</w:t>
            </w:r>
            <w:r w:rsidR="007F09F7" w:rsidRPr="007F09F7">
              <w:rPr>
                <w:vertAlign w:val="subscript"/>
              </w:rPr>
              <w:t>2</w:t>
            </w:r>
            <w:r>
              <w:rPr>
                <w:sz w:val="18"/>
              </w:rPr>
              <w:t>)</w:t>
            </w:r>
          </w:p>
        </w:tc>
        <w:tc>
          <w:tcPr>
            <w:tcW w:w="915" w:type="dxa"/>
            <w:tcBorders>
              <w:top w:val="single" w:sz="2" w:space="0" w:color="000000"/>
              <w:left w:val="single" w:sz="2" w:space="0" w:color="000000"/>
              <w:bottom w:val="single" w:sz="2" w:space="0" w:color="000000"/>
              <w:right w:val="single" w:sz="2" w:space="0" w:color="000000"/>
            </w:tcBorders>
          </w:tcPr>
          <w:p w14:paraId="59194E47" w14:textId="77777777" w:rsidR="001021CB" w:rsidRDefault="001021CB" w:rsidP="00C44824">
            <w:pPr>
              <w:spacing w:line="259" w:lineRule="auto"/>
              <w:ind w:left="88"/>
              <w:jc w:val="center"/>
              <w:rPr>
                <w:sz w:val="18"/>
              </w:rPr>
            </w:pPr>
          </w:p>
        </w:tc>
        <w:tc>
          <w:tcPr>
            <w:tcW w:w="924" w:type="dxa"/>
            <w:tcBorders>
              <w:top w:val="single" w:sz="2" w:space="0" w:color="000000"/>
              <w:left w:val="single" w:sz="2" w:space="0" w:color="000000"/>
              <w:bottom w:val="single" w:sz="2" w:space="0" w:color="000000"/>
              <w:right w:val="single" w:sz="2" w:space="0" w:color="000000"/>
            </w:tcBorders>
          </w:tcPr>
          <w:p w14:paraId="3ADCE8EA" w14:textId="77777777" w:rsidR="001021CB" w:rsidRDefault="001021CB" w:rsidP="00C44824">
            <w:pPr>
              <w:spacing w:line="259" w:lineRule="auto"/>
              <w:ind w:left="86"/>
              <w:jc w:val="center"/>
              <w:rPr>
                <w:sz w:val="18"/>
              </w:rPr>
            </w:pPr>
            <w:r>
              <w:rPr>
                <w:sz w:val="18"/>
              </w:rPr>
              <w:t>25</w:t>
            </w:r>
          </w:p>
        </w:tc>
        <w:tc>
          <w:tcPr>
            <w:tcW w:w="924" w:type="dxa"/>
            <w:tcBorders>
              <w:top w:val="single" w:sz="2" w:space="0" w:color="000000"/>
              <w:left w:val="single" w:sz="2" w:space="0" w:color="000000"/>
              <w:bottom w:val="single" w:sz="2" w:space="0" w:color="000000"/>
              <w:right w:val="single" w:sz="2" w:space="0" w:color="000000"/>
            </w:tcBorders>
          </w:tcPr>
          <w:p w14:paraId="47E01ACB" w14:textId="77777777" w:rsidR="001021CB" w:rsidRDefault="001021CB" w:rsidP="00C44824">
            <w:pPr>
              <w:spacing w:line="259" w:lineRule="auto"/>
              <w:ind w:left="88"/>
              <w:jc w:val="center"/>
              <w:rPr>
                <w:sz w:val="18"/>
              </w:rPr>
            </w:pPr>
            <w:r>
              <w:rPr>
                <w:sz w:val="18"/>
              </w:rPr>
              <w:t>28</w:t>
            </w:r>
          </w:p>
        </w:tc>
        <w:tc>
          <w:tcPr>
            <w:tcW w:w="924" w:type="dxa"/>
            <w:tcBorders>
              <w:top w:val="single" w:sz="2" w:space="0" w:color="000000"/>
              <w:left w:val="single" w:sz="2" w:space="0" w:color="000000"/>
              <w:bottom w:val="single" w:sz="2" w:space="0" w:color="000000"/>
              <w:right w:val="single" w:sz="2" w:space="0" w:color="000000"/>
            </w:tcBorders>
          </w:tcPr>
          <w:p w14:paraId="7B70CA04" w14:textId="77777777" w:rsidR="001021CB" w:rsidRDefault="001021CB" w:rsidP="00C44824">
            <w:pPr>
              <w:spacing w:line="259" w:lineRule="auto"/>
              <w:ind w:left="89"/>
              <w:jc w:val="center"/>
              <w:rPr>
                <w:sz w:val="18"/>
              </w:rPr>
            </w:pPr>
            <w:r>
              <w:rPr>
                <w:sz w:val="18"/>
              </w:rPr>
              <w:t>30</w:t>
            </w:r>
          </w:p>
        </w:tc>
        <w:tc>
          <w:tcPr>
            <w:tcW w:w="923" w:type="dxa"/>
            <w:tcBorders>
              <w:top w:val="single" w:sz="2" w:space="0" w:color="000000"/>
              <w:left w:val="single" w:sz="2" w:space="0" w:color="000000"/>
              <w:bottom w:val="single" w:sz="2" w:space="0" w:color="000000"/>
              <w:right w:val="single" w:sz="2" w:space="0" w:color="000000"/>
            </w:tcBorders>
          </w:tcPr>
          <w:p w14:paraId="3102E75A" w14:textId="77777777" w:rsidR="001021CB" w:rsidRDefault="001021CB" w:rsidP="00C44824">
            <w:pPr>
              <w:spacing w:line="259" w:lineRule="auto"/>
              <w:ind w:left="85"/>
              <w:jc w:val="center"/>
              <w:rPr>
                <w:sz w:val="18"/>
              </w:rPr>
            </w:pPr>
            <w:r>
              <w:rPr>
                <w:sz w:val="18"/>
              </w:rPr>
              <w:t>40</w:t>
            </w:r>
          </w:p>
        </w:tc>
        <w:tc>
          <w:tcPr>
            <w:tcW w:w="811" w:type="dxa"/>
            <w:tcBorders>
              <w:top w:val="single" w:sz="2" w:space="0" w:color="000000"/>
              <w:left w:val="single" w:sz="2" w:space="0" w:color="000000"/>
              <w:bottom w:val="single" w:sz="2" w:space="0" w:color="000000"/>
              <w:right w:val="single" w:sz="2" w:space="0" w:color="000000"/>
            </w:tcBorders>
          </w:tcPr>
          <w:p w14:paraId="577230C0" w14:textId="77777777" w:rsidR="001021CB" w:rsidRDefault="001021CB" w:rsidP="00C44824">
            <w:pPr>
              <w:spacing w:line="259" w:lineRule="auto"/>
              <w:ind w:left="85"/>
              <w:jc w:val="center"/>
              <w:rPr>
                <w:sz w:val="18"/>
              </w:rPr>
            </w:pPr>
            <w:r>
              <w:rPr>
                <w:sz w:val="18"/>
              </w:rPr>
              <w:t>53</w:t>
            </w:r>
          </w:p>
        </w:tc>
        <w:tc>
          <w:tcPr>
            <w:tcW w:w="811" w:type="dxa"/>
            <w:tcBorders>
              <w:top w:val="single" w:sz="2" w:space="0" w:color="000000"/>
              <w:left w:val="single" w:sz="2" w:space="0" w:color="000000"/>
              <w:bottom w:val="single" w:sz="2" w:space="0" w:color="000000"/>
              <w:right w:val="single" w:sz="2" w:space="0" w:color="000000"/>
            </w:tcBorders>
          </w:tcPr>
          <w:p w14:paraId="52C51369" w14:textId="77777777" w:rsidR="001021CB" w:rsidRDefault="001021CB" w:rsidP="00C44824">
            <w:pPr>
              <w:spacing w:line="259" w:lineRule="auto"/>
              <w:ind w:left="85"/>
              <w:jc w:val="center"/>
              <w:rPr>
                <w:sz w:val="18"/>
              </w:rPr>
            </w:pPr>
            <w:r>
              <w:rPr>
                <w:sz w:val="18"/>
              </w:rPr>
              <w:t>70,1</w:t>
            </w:r>
          </w:p>
        </w:tc>
        <w:tc>
          <w:tcPr>
            <w:tcW w:w="724" w:type="dxa"/>
            <w:tcBorders>
              <w:top w:val="single" w:sz="2" w:space="0" w:color="000000"/>
              <w:left w:val="single" w:sz="2" w:space="0" w:color="000000"/>
              <w:bottom w:val="single" w:sz="2" w:space="0" w:color="000000"/>
              <w:right w:val="single" w:sz="2" w:space="0" w:color="000000"/>
            </w:tcBorders>
          </w:tcPr>
          <w:p w14:paraId="6D867EEE" w14:textId="77777777" w:rsidR="001021CB" w:rsidRDefault="001021CB" w:rsidP="00C44824">
            <w:pPr>
              <w:spacing w:line="259" w:lineRule="auto"/>
              <w:ind w:left="85"/>
              <w:jc w:val="center"/>
              <w:rPr>
                <w:sz w:val="18"/>
              </w:rPr>
            </w:pPr>
            <w:r>
              <w:rPr>
                <w:sz w:val="18"/>
              </w:rPr>
              <w:t>89,4</w:t>
            </w:r>
          </w:p>
        </w:tc>
      </w:tr>
    </w:tbl>
    <w:p w14:paraId="224E4DD2" w14:textId="2149F918" w:rsidR="00B94B7E" w:rsidRDefault="00B94B7E" w:rsidP="0045532B">
      <w:pPr>
        <w:pStyle w:val="Caption"/>
      </w:pPr>
      <w:bookmarkStart w:id="579" w:name="_Toc123916528"/>
      <w:r>
        <w:t xml:space="preserve">Tableau </w:t>
      </w:r>
      <w:fldSimple w:instr=" SEQ Tableau \* ARABIC ">
        <w:r w:rsidR="00AB51D9">
          <w:rPr>
            <w:noProof/>
          </w:rPr>
          <w:t>36</w:t>
        </w:r>
      </w:fldSimple>
      <w:r>
        <w:t xml:space="preserve"> : </w:t>
      </w:r>
      <w:r w:rsidR="001021CB" w:rsidRPr="00AB325E">
        <w:t>Hypothèses de prix du carbone sous l'ETS</w:t>
      </w:r>
      <w:bookmarkEnd w:id="579"/>
      <w:r w:rsidR="001021CB" w:rsidRPr="00AB325E">
        <w:t xml:space="preserve"> </w:t>
      </w:r>
    </w:p>
    <w:p w14:paraId="34E6B1CC" w14:textId="77CD8403" w:rsidR="001021CB" w:rsidRPr="00C85872" w:rsidRDefault="001021CB" w:rsidP="0045532B">
      <w:pPr>
        <w:pStyle w:val="Caption"/>
      </w:pPr>
      <w:r w:rsidRPr="00C85872">
        <w:t>Source : Cadrage économique de l’UE</w:t>
      </w:r>
    </w:p>
    <w:p w14:paraId="113F9C2E" w14:textId="77777777" w:rsidR="001021CB" w:rsidRDefault="001021CB" w:rsidP="00EF6DB6">
      <w:pPr>
        <w:pStyle w:val="Titre4niveau4"/>
      </w:pPr>
      <w:r w:rsidRPr="00F307BA">
        <w:t>Hypothèses démographiques</w:t>
      </w:r>
    </w:p>
    <w:p w14:paraId="5057459C" w14:textId="77777777" w:rsidR="001021CB" w:rsidRDefault="001021CB" w:rsidP="001021CB">
      <w:pPr>
        <w:spacing w:before="240" w:after="240"/>
      </w:pPr>
      <w:r w:rsidRPr="00F307BA">
        <w:t>Les hypothèses de croissance de la population</w:t>
      </w:r>
      <w:r>
        <w:t xml:space="preserve"> pour l’AMS 2018</w:t>
      </w:r>
      <w:r w:rsidRPr="00F307BA">
        <w:t xml:space="preserve"> proviennent </w:t>
      </w:r>
      <w:r>
        <w:t xml:space="preserve">du scénario central </w:t>
      </w:r>
      <w:r w:rsidRPr="00F307BA">
        <w:t xml:space="preserve">de l’Insee (Institut national de la statistique et des études économiques) qui produit les projections démographiques de référence pour la France. </w:t>
      </w:r>
    </w:p>
    <w:p w14:paraId="3F1654A7" w14:textId="77777777" w:rsidR="001021CB" w:rsidRDefault="001021CB" w:rsidP="001021CB">
      <w:pPr>
        <w:spacing w:before="240" w:after="240"/>
      </w:pPr>
      <w:r>
        <w:t>Pour l’AME 2021, c’est le scénario issu d’Eurostat, fourni dans le cadrage de la Commission européenne qui a été utilisé. En effet, les données observées jusqu’à 2019 divergeaient déjà de celles du scénario de 2016 de l’INSEE, ce qui a justifié ce changement de source, qui induit une baisse de la population d’environ 2 millions d’habitants en 2050. Eurostat ne fournissant pas de chiffre désagrégé entre métropole et DROM, les chiffres du scénario INSEE fécondité basse recalés sur les totaux de Eurostat ont été repris pour calculer la population des DROM.</w:t>
      </w:r>
    </w:p>
    <w:p w14:paraId="56BA627C" w14:textId="77777777" w:rsidR="001021CB" w:rsidRDefault="001021CB" w:rsidP="00E22CF8">
      <w:pPr>
        <w:pStyle w:val="titreencadre"/>
      </w:pPr>
      <w:r>
        <w:t>AME 2021</w:t>
      </w:r>
    </w:p>
    <w:tbl>
      <w:tblPr>
        <w:tblStyle w:val="TableGrid0"/>
        <w:tblW w:w="9943" w:type="dxa"/>
        <w:tblInd w:w="1" w:type="dxa"/>
        <w:tblCellMar>
          <w:top w:w="124" w:type="dxa"/>
          <w:left w:w="28" w:type="dxa"/>
          <w:bottom w:w="20" w:type="dxa"/>
          <w:right w:w="115" w:type="dxa"/>
        </w:tblCellMar>
        <w:tblLook w:val="04A0" w:firstRow="1" w:lastRow="0" w:firstColumn="1" w:lastColumn="0" w:noHBand="0" w:noVBand="1"/>
      </w:tblPr>
      <w:tblGrid>
        <w:gridCol w:w="1981"/>
        <w:gridCol w:w="995"/>
        <w:gridCol w:w="995"/>
        <w:gridCol w:w="995"/>
        <w:gridCol w:w="996"/>
        <w:gridCol w:w="995"/>
        <w:gridCol w:w="995"/>
        <w:gridCol w:w="995"/>
        <w:gridCol w:w="996"/>
      </w:tblGrid>
      <w:tr w:rsidR="001021CB" w14:paraId="50584725" w14:textId="77777777" w:rsidTr="00C44824">
        <w:trPr>
          <w:trHeight w:val="378"/>
        </w:trPr>
        <w:tc>
          <w:tcPr>
            <w:tcW w:w="1981" w:type="dxa"/>
            <w:tcBorders>
              <w:top w:val="single" w:sz="2" w:space="0" w:color="000000"/>
              <w:left w:val="single" w:sz="2" w:space="0" w:color="000000"/>
              <w:bottom w:val="single" w:sz="2" w:space="0" w:color="000000"/>
              <w:right w:val="single" w:sz="4" w:space="0" w:color="auto"/>
            </w:tcBorders>
            <w:shd w:val="clear" w:color="auto" w:fill="6D2A78"/>
          </w:tcPr>
          <w:p w14:paraId="47610464" w14:textId="77777777" w:rsidR="001021CB" w:rsidRDefault="001021CB" w:rsidP="00C44824">
            <w:pPr>
              <w:spacing w:line="259" w:lineRule="auto"/>
            </w:pPr>
            <w:r>
              <w:rPr>
                <w:color w:val="FFFFFF"/>
                <w:sz w:val="18"/>
              </w:rPr>
              <w:t xml:space="preserve">Population (en milliers d’habitants) </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FF245E5" w14:textId="77777777" w:rsidR="001021CB" w:rsidRDefault="001021CB" w:rsidP="00C44824">
            <w:pPr>
              <w:spacing w:line="259" w:lineRule="auto"/>
              <w:ind w:left="85"/>
              <w:jc w:val="center"/>
            </w:pPr>
            <w:r>
              <w:rPr>
                <w:b/>
                <w:color w:val="FFFFFF"/>
                <w:sz w:val="18"/>
              </w:rPr>
              <w:t>2019</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3C704CAA" w14:textId="77777777" w:rsidR="001021CB" w:rsidRDefault="001021CB" w:rsidP="00C44824">
            <w:pPr>
              <w:spacing w:line="259" w:lineRule="auto"/>
              <w:ind w:left="85"/>
              <w:jc w:val="center"/>
            </w:pPr>
            <w:r>
              <w:rPr>
                <w:b/>
                <w:color w:val="FFFFFF"/>
                <w:sz w:val="18"/>
              </w:rPr>
              <w:t>2020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3B39F3F1" w14:textId="77777777" w:rsidR="001021CB" w:rsidRDefault="001021CB" w:rsidP="00C44824">
            <w:pPr>
              <w:spacing w:line="259" w:lineRule="auto"/>
              <w:ind w:left="85"/>
              <w:jc w:val="center"/>
            </w:pPr>
            <w:r>
              <w:rPr>
                <w:b/>
                <w:color w:val="FFFFFF"/>
                <w:sz w:val="18"/>
              </w:rPr>
              <w:t>2025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39504AC1" w14:textId="77777777" w:rsidR="001021CB" w:rsidRDefault="001021CB" w:rsidP="00C44824">
            <w:pPr>
              <w:spacing w:line="259" w:lineRule="auto"/>
              <w:ind w:left="86"/>
              <w:jc w:val="center"/>
            </w:pPr>
            <w:r>
              <w:rPr>
                <w:b/>
                <w:color w:val="FFFFFF"/>
                <w:sz w:val="18"/>
              </w:rPr>
              <w:t>2030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58509EA9" w14:textId="77777777" w:rsidR="001021CB" w:rsidRDefault="001021CB" w:rsidP="00C44824">
            <w:pPr>
              <w:spacing w:line="259" w:lineRule="auto"/>
              <w:ind w:left="84"/>
              <w:jc w:val="center"/>
            </w:pPr>
            <w:r>
              <w:rPr>
                <w:b/>
                <w:color w:val="FFFFFF"/>
                <w:sz w:val="18"/>
              </w:rPr>
              <w:t>2035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27E39D5A" w14:textId="77777777" w:rsidR="001021CB" w:rsidRDefault="001021CB" w:rsidP="00C44824">
            <w:pPr>
              <w:spacing w:line="259" w:lineRule="auto"/>
              <w:ind w:left="84"/>
              <w:jc w:val="center"/>
              <w:rPr>
                <w:b/>
                <w:color w:val="FFFFFF"/>
                <w:sz w:val="18"/>
              </w:rPr>
            </w:pPr>
            <w:r>
              <w:rPr>
                <w:b/>
                <w:color w:val="FFFFFF"/>
                <w:sz w:val="18"/>
              </w:rPr>
              <w:t>2040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2184502" w14:textId="77777777" w:rsidR="001021CB" w:rsidRDefault="001021CB" w:rsidP="00C44824">
            <w:pPr>
              <w:spacing w:line="259" w:lineRule="auto"/>
              <w:ind w:left="84"/>
              <w:jc w:val="center"/>
              <w:rPr>
                <w:b/>
                <w:color w:val="FFFFFF"/>
                <w:sz w:val="18"/>
              </w:rPr>
            </w:pPr>
            <w:r>
              <w:rPr>
                <w:b/>
                <w:color w:val="FFFFFF"/>
                <w:sz w:val="18"/>
              </w:rPr>
              <w:t>2045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581C4A39" w14:textId="77777777" w:rsidR="001021CB" w:rsidRDefault="001021CB" w:rsidP="00C44824">
            <w:pPr>
              <w:spacing w:line="259" w:lineRule="auto"/>
              <w:ind w:left="84"/>
              <w:jc w:val="center"/>
              <w:rPr>
                <w:b/>
                <w:color w:val="FFFFFF"/>
                <w:sz w:val="18"/>
              </w:rPr>
            </w:pPr>
            <w:r>
              <w:rPr>
                <w:b/>
                <w:color w:val="FFFFFF"/>
                <w:sz w:val="18"/>
              </w:rPr>
              <w:t>2050</w:t>
            </w:r>
          </w:p>
        </w:tc>
      </w:tr>
      <w:tr w:rsidR="001021CB" w14:paraId="4C89E64F" w14:textId="77777777" w:rsidTr="00C44824">
        <w:trPr>
          <w:trHeight w:val="359"/>
        </w:trPr>
        <w:tc>
          <w:tcPr>
            <w:tcW w:w="1981" w:type="dxa"/>
            <w:tcBorders>
              <w:top w:val="single" w:sz="2" w:space="0" w:color="000000"/>
              <w:left w:val="single" w:sz="2" w:space="0" w:color="000000"/>
              <w:bottom w:val="single" w:sz="2" w:space="0" w:color="000000"/>
              <w:right w:val="single" w:sz="4" w:space="0" w:color="auto"/>
            </w:tcBorders>
            <w:vAlign w:val="bottom"/>
          </w:tcPr>
          <w:p w14:paraId="65AE397F" w14:textId="77777777" w:rsidR="001021CB" w:rsidRDefault="001021CB" w:rsidP="00C44824">
            <w:pPr>
              <w:spacing w:line="259" w:lineRule="auto"/>
            </w:pPr>
            <w:r>
              <w:rPr>
                <w:sz w:val="18"/>
              </w:rPr>
              <w:t xml:space="preserve">France </w:t>
            </w:r>
          </w:p>
        </w:tc>
        <w:tc>
          <w:tcPr>
            <w:tcW w:w="995" w:type="dxa"/>
            <w:tcBorders>
              <w:top w:val="single" w:sz="4" w:space="0" w:color="auto"/>
              <w:left w:val="single" w:sz="4" w:space="0" w:color="auto"/>
              <w:bottom w:val="single" w:sz="4" w:space="0" w:color="auto"/>
              <w:right w:val="single" w:sz="4" w:space="0" w:color="auto"/>
            </w:tcBorders>
            <w:vAlign w:val="center"/>
          </w:tcPr>
          <w:p w14:paraId="67E09BEB" w14:textId="77777777" w:rsidR="001021CB" w:rsidRPr="00AB325E" w:rsidRDefault="001021CB" w:rsidP="00C44824">
            <w:pPr>
              <w:spacing w:line="259" w:lineRule="auto"/>
              <w:jc w:val="center"/>
              <w:rPr>
                <w:sz w:val="18"/>
              </w:rPr>
            </w:pPr>
            <w:r w:rsidRPr="00AB325E">
              <w:rPr>
                <w:sz w:val="18"/>
              </w:rPr>
              <w:t>67,0</w:t>
            </w:r>
          </w:p>
        </w:tc>
        <w:tc>
          <w:tcPr>
            <w:tcW w:w="995" w:type="dxa"/>
            <w:tcBorders>
              <w:top w:val="single" w:sz="4" w:space="0" w:color="auto"/>
              <w:left w:val="single" w:sz="4" w:space="0" w:color="auto"/>
              <w:bottom w:val="single" w:sz="4" w:space="0" w:color="auto"/>
              <w:right w:val="single" w:sz="4" w:space="0" w:color="auto"/>
            </w:tcBorders>
            <w:vAlign w:val="center"/>
          </w:tcPr>
          <w:p w14:paraId="2ECA7DF5" w14:textId="77777777" w:rsidR="001021CB" w:rsidRPr="00AB325E" w:rsidRDefault="001021CB" w:rsidP="00C44824">
            <w:pPr>
              <w:spacing w:line="259" w:lineRule="auto"/>
              <w:jc w:val="center"/>
              <w:rPr>
                <w:sz w:val="18"/>
              </w:rPr>
            </w:pPr>
            <w:r w:rsidRPr="00AB325E">
              <w:rPr>
                <w:sz w:val="18"/>
              </w:rPr>
              <w:t>67,20</w:t>
            </w:r>
          </w:p>
        </w:tc>
        <w:tc>
          <w:tcPr>
            <w:tcW w:w="995" w:type="dxa"/>
            <w:tcBorders>
              <w:top w:val="single" w:sz="4" w:space="0" w:color="auto"/>
              <w:left w:val="single" w:sz="4" w:space="0" w:color="auto"/>
              <w:bottom w:val="single" w:sz="4" w:space="0" w:color="auto"/>
              <w:right w:val="single" w:sz="4" w:space="0" w:color="auto"/>
            </w:tcBorders>
            <w:vAlign w:val="center"/>
          </w:tcPr>
          <w:p w14:paraId="294EF5F3" w14:textId="77777777" w:rsidR="001021CB" w:rsidRPr="00AB325E" w:rsidRDefault="001021CB" w:rsidP="00C44824">
            <w:pPr>
              <w:spacing w:line="259" w:lineRule="auto"/>
              <w:jc w:val="center"/>
              <w:rPr>
                <w:sz w:val="18"/>
              </w:rPr>
            </w:pPr>
            <w:r w:rsidRPr="00AB325E">
              <w:rPr>
                <w:sz w:val="18"/>
              </w:rPr>
              <w:t>68,15</w:t>
            </w:r>
          </w:p>
        </w:tc>
        <w:tc>
          <w:tcPr>
            <w:tcW w:w="996" w:type="dxa"/>
            <w:tcBorders>
              <w:top w:val="single" w:sz="4" w:space="0" w:color="auto"/>
              <w:left w:val="single" w:sz="4" w:space="0" w:color="auto"/>
              <w:bottom w:val="single" w:sz="4" w:space="0" w:color="auto"/>
              <w:right w:val="single" w:sz="4" w:space="0" w:color="auto"/>
            </w:tcBorders>
            <w:vAlign w:val="center"/>
          </w:tcPr>
          <w:p w14:paraId="553E2BDD" w14:textId="77777777" w:rsidR="001021CB" w:rsidRPr="00AB325E" w:rsidRDefault="001021CB" w:rsidP="00C44824">
            <w:pPr>
              <w:spacing w:line="259" w:lineRule="auto"/>
              <w:jc w:val="center"/>
              <w:rPr>
                <w:sz w:val="18"/>
              </w:rPr>
            </w:pPr>
            <w:r w:rsidRPr="00AB325E">
              <w:rPr>
                <w:sz w:val="18"/>
              </w:rPr>
              <w:t>69,12</w:t>
            </w:r>
          </w:p>
        </w:tc>
        <w:tc>
          <w:tcPr>
            <w:tcW w:w="995" w:type="dxa"/>
            <w:tcBorders>
              <w:top w:val="single" w:sz="4" w:space="0" w:color="auto"/>
              <w:left w:val="single" w:sz="4" w:space="0" w:color="auto"/>
              <w:bottom w:val="single" w:sz="4" w:space="0" w:color="auto"/>
              <w:right w:val="single" w:sz="4" w:space="0" w:color="auto"/>
            </w:tcBorders>
            <w:vAlign w:val="center"/>
          </w:tcPr>
          <w:p w14:paraId="4D25AD27" w14:textId="77777777" w:rsidR="001021CB" w:rsidRPr="00AB325E" w:rsidRDefault="001021CB" w:rsidP="00C44824">
            <w:pPr>
              <w:spacing w:line="259" w:lineRule="auto"/>
              <w:jc w:val="center"/>
              <w:rPr>
                <w:sz w:val="18"/>
              </w:rPr>
            </w:pPr>
            <w:r w:rsidRPr="00AB325E">
              <w:rPr>
                <w:sz w:val="18"/>
              </w:rPr>
              <w:t>70,10</w:t>
            </w:r>
          </w:p>
        </w:tc>
        <w:tc>
          <w:tcPr>
            <w:tcW w:w="995" w:type="dxa"/>
            <w:tcBorders>
              <w:top w:val="single" w:sz="4" w:space="0" w:color="auto"/>
              <w:left w:val="single" w:sz="4" w:space="0" w:color="auto"/>
              <w:bottom w:val="single" w:sz="4" w:space="0" w:color="auto"/>
              <w:right w:val="single" w:sz="4" w:space="0" w:color="auto"/>
            </w:tcBorders>
            <w:vAlign w:val="center"/>
          </w:tcPr>
          <w:p w14:paraId="39709247" w14:textId="77777777" w:rsidR="001021CB" w:rsidRDefault="001021CB" w:rsidP="00C44824">
            <w:pPr>
              <w:spacing w:line="259" w:lineRule="auto"/>
              <w:jc w:val="center"/>
              <w:rPr>
                <w:sz w:val="18"/>
              </w:rPr>
            </w:pPr>
            <w:r w:rsidRPr="00AB325E">
              <w:rPr>
                <w:sz w:val="18"/>
              </w:rPr>
              <w:t>70,93</w:t>
            </w:r>
          </w:p>
        </w:tc>
        <w:tc>
          <w:tcPr>
            <w:tcW w:w="995" w:type="dxa"/>
            <w:tcBorders>
              <w:top w:val="single" w:sz="4" w:space="0" w:color="auto"/>
              <w:left w:val="single" w:sz="4" w:space="0" w:color="auto"/>
              <w:bottom w:val="single" w:sz="4" w:space="0" w:color="auto"/>
              <w:right w:val="single" w:sz="4" w:space="0" w:color="auto"/>
            </w:tcBorders>
            <w:vAlign w:val="center"/>
          </w:tcPr>
          <w:p w14:paraId="2EA870DB" w14:textId="77777777" w:rsidR="001021CB" w:rsidRDefault="001021CB" w:rsidP="00C44824">
            <w:pPr>
              <w:spacing w:line="259" w:lineRule="auto"/>
              <w:jc w:val="center"/>
              <w:rPr>
                <w:sz w:val="18"/>
              </w:rPr>
            </w:pPr>
            <w:r w:rsidRPr="00AB325E">
              <w:rPr>
                <w:sz w:val="18"/>
              </w:rPr>
              <w:t>71,46</w:t>
            </w:r>
          </w:p>
        </w:tc>
        <w:tc>
          <w:tcPr>
            <w:tcW w:w="996" w:type="dxa"/>
            <w:tcBorders>
              <w:top w:val="single" w:sz="4" w:space="0" w:color="auto"/>
              <w:left w:val="single" w:sz="4" w:space="0" w:color="auto"/>
              <w:bottom w:val="single" w:sz="4" w:space="0" w:color="auto"/>
              <w:right w:val="single" w:sz="4" w:space="0" w:color="auto"/>
            </w:tcBorders>
            <w:vAlign w:val="center"/>
          </w:tcPr>
          <w:p w14:paraId="0EFE4AD7" w14:textId="77777777" w:rsidR="001021CB" w:rsidRDefault="001021CB" w:rsidP="00C44824">
            <w:pPr>
              <w:spacing w:line="259" w:lineRule="auto"/>
              <w:jc w:val="center"/>
              <w:rPr>
                <w:sz w:val="18"/>
              </w:rPr>
            </w:pPr>
            <w:r w:rsidRPr="00AB325E">
              <w:rPr>
                <w:sz w:val="18"/>
              </w:rPr>
              <w:t>71,78</w:t>
            </w:r>
          </w:p>
        </w:tc>
      </w:tr>
      <w:tr w:rsidR="001021CB" w14:paraId="2AF5C7FA" w14:textId="77777777" w:rsidTr="00C44824">
        <w:trPr>
          <w:trHeight w:val="320"/>
        </w:trPr>
        <w:tc>
          <w:tcPr>
            <w:tcW w:w="1981" w:type="dxa"/>
            <w:tcBorders>
              <w:top w:val="single" w:sz="2" w:space="0" w:color="000000"/>
              <w:left w:val="single" w:sz="2" w:space="0" w:color="000000"/>
              <w:bottom w:val="single" w:sz="2" w:space="0" w:color="000000"/>
              <w:right w:val="single" w:sz="4" w:space="0" w:color="auto"/>
            </w:tcBorders>
            <w:shd w:val="clear" w:color="auto" w:fill="ECE6E2"/>
            <w:vAlign w:val="bottom"/>
          </w:tcPr>
          <w:p w14:paraId="6155341F" w14:textId="076143CC" w:rsidR="001021CB" w:rsidRDefault="00260E0B" w:rsidP="00C44824">
            <w:pPr>
              <w:spacing w:line="259" w:lineRule="auto"/>
            </w:pPr>
            <w:r>
              <w:rPr>
                <w:sz w:val="18"/>
              </w:rPr>
              <w:t xml:space="preserve"> </w:t>
            </w:r>
            <w:r w:rsidR="001021CB">
              <w:rPr>
                <w:sz w:val="18"/>
              </w:rPr>
              <w:t xml:space="preserve">dont métropole </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CBD77C9" w14:textId="77777777" w:rsidR="001021CB" w:rsidRPr="00AB325E" w:rsidRDefault="001021CB" w:rsidP="00C44824">
            <w:pPr>
              <w:spacing w:line="259" w:lineRule="auto"/>
              <w:jc w:val="center"/>
              <w:rPr>
                <w:sz w:val="18"/>
              </w:rPr>
            </w:pPr>
            <w:r w:rsidRPr="00AB325E">
              <w:rPr>
                <w:sz w:val="18"/>
              </w:rPr>
              <w:t>64,90</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BA90A6D" w14:textId="77777777" w:rsidR="001021CB" w:rsidRPr="00AB325E" w:rsidRDefault="001021CB" w:rsidP="00C44824">
            <w:pPr>
              <w:spacing w:line="259" w:lineRule="auto"/>
              <w:jc w:val="center"/>
              <w:rPr>
                <w:sz w:val="18"/>
              </w:rPr>
            </w:pPr>
            <w:r w:rsidRPr="00AB325E">
              <w:rPr>
                <w:sz w:val="18"/>
              </w:rPr>
              <w:t>65,09</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0F01B81D" w14:textId="77777777" w:rsidR="001021CB" w:rsidRPr="00AB325E" w:rsidRDefault="001021CB" w:rsidP="00C44824">
            <w:pPr>
              <w:spacing w:line="259" w:lineRule="auto"/>
              <w:jc w:val="center"/>
              <w:rPr>
                <w:sz w:val="18"/>
              </w:rPr>
            </w:pPr>
            <w:r w:rsidRPr="00AB325E">
              <w:rPr>
                <w:sz w:val="18"/>
              </w:rPr>
              <w:t>66,01</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5000F312" w14:textId="77777777" w:rsidR="001021CB" w:rsidRPr="00AB325E" w:rsidRDefault="001021CB" w:rsidP="00C44824">
            <w:pPr>
              <w:spacing w:line="259" w:lineRule="auto"/>
              <w:jc w:val="center"/>
              <w:rPr>
                <w:sz w:val="18"/>
              </w:rPr>
            </w:pPr>
            <w:r w:rsidRPr="00AB325E">
              <w:rPr>
                <w:sz w:val="18"/>
              </w:rPr>
              <w:t>66,95</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4F79DEC4" w14:textId="77777777" w:rsidR="001021CB" w:rsidRPr="00AB325E" w:rsidRDefault="001021CB" w:rsidP="00C44824">
            <w:pPr>
              <w:spacing w:line="259" w:lineRule="auto"/>
              <w:jc w:val="center"/>
              <w:rPr>
                <w:sz w:val="18"/>
              </w:rPr>
            </w:pPr>
            <w:r w:rsidRPr="00AB325E">
              <w:rPr>
                <w:sz w:val="18"/>
              </w:rPr>
              <w:t>67,91</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163EE41" w14:textId="77777777" w:rsidR="001021CB" w:rsidRDefault="001021CB" w:rsidP="00C44824">
            <w:pPr>
              <w:spacing w:line="259" w:lineRule="auto"/>
              <w:jc w:val="center"/>
              <w:rPr>
                <w:sz w:val="18"/>
              </w:rPr>
            </w:pPr>
            <w:r w:rsidRPr="00AB325E">
              <w:rPr>
                <w:sz w:val="18"/>
              </w:rPr>
              <w:t>68,69</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41B8006A" w14:textId="77777777" w:rsidR="001021CB" w:rsidRDefault="001021CB" w:rsidP="00C44824">
            <w:pPr>
              <w:spacing w:line="259" w:lineRule="auto"/>
              <w:jc w:val="center"/>
              <w:rPr>
                <w:sz w:val="18"/>
              </w:rPr>
            </w:pPr>
            <w:r w:rsidRPr="00AB325E">
              <w:rPr>
                <w:sz w:val="18"/>
              </w:rPr>
              <w:t>69,20</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4AF4C351" w14:textId="77777777" w:rsidR="001021CB" w:rsidRDefault="001021CB" w:rsidP="00C44824">
            <w:pPr>
              <w:spacing w:line="259" w:lineRule="auto"/>
              <w:jc w:val="center"/>
              <w:rPr>
                <w:sz w:val="18"/>
              </w:rPr>
            </w:pPr>
            <w:r w:rsidRPr="00AB325E">
              <w:rPr>
                <w:sz w:val="18"/>
              </w:rPr>
              <w:t>69,49</w:t>
            </w:r>
          </w:p>
        </w:tc>
      </w:tr>
      <w:tr w:rsidR="001021CB" w14:paraId="5B6EE1B8" w14:textId="77777777" w:rsidTr="00C44824">
        <w:trPr>
          <w:trHeight w:val="350"/>
        </w:trPr>
        <w:tc>
          <w:tcPr>
            <w:tcW w:w="1981" w:type="dxa"/>
            <w:tcBorders>
              <w:top w:val="single" w:sz="2" w:space="0" w:color="000000"/>
              <w:left w:val="single" w:sz="2" w:space="0" w:color="000000"/>
              <w:bottom w:val="single" w:sz="2" w:space="0" w:color="000000"/>
              <w:right w:val="single" w:sz="4" w:space="0" w:color="auto"/>
            </w:tcBorders>
            <w:vAlign w:val="bottom"/>
          </w:tcPr>
          <w:p w14:paraId="32059B96" w14:textId="39729EAF" w:rsidR="001021CB" w:rsidRDefault="00260E0B" w:rsidP="00C44824">
            <w:pPr>
              <w:spacing w:line="259" w:lineRule="auto"/>
            </w:pPr>
            <w:r>
              <w:rPr>
                <w:sz w:val="18"/>
              </w:rPr>
              <w:t xml:space="preserve"> </w:t>
            </w:r>
            <w:r w:rsidR="001021CB">
              <w:rPr>
                <w:sz w:val="18"/>
              </w:rPr>
              <w:t xml:space="preserve">dont Dom-Com </w:t>
            </w:r>
          </w:p>
        </w:tc>
        <w:tc>
          <w:tcPr>
            <w:tcW w:w="995" w:type="dxa"/>
            <w:tcBorders>
              <w:top w:val="single" w:sz="4" w:space="0" w:color="auto"/>
              <w:left w:val="single" w:sz="4" w:space="0" w:color="auto"/>
              <w:bottom w:val="single" w:sz="4" w:space="0" w:color="auto"/>
              <w:right w:val="single" w:sz="4" w:space="0" w:color="auto"/>
            </w:tcBorders>
            <w:vAlign w:val="center"/>
          </w:tcPr>
          <w:p w14:paraId="1C2E9433" w14:textId="77777777" w:rsidR="001021CB" w:rsidRPr="00AB325E" w:rsidRDefault="001021CB" w:rsidP="00C44824">
            <w:pPr>
              <w:spacing w:line="259" w:lineRule="auto"/>
              <w:jc w:val="center"/>
              <w:rPr>
                <w:sz w:val="18"/>
              </w:rPr>
            </w:pPr>
            <w:r w:rsidRPr="00AB325E">
              <w:rPr>
                <w:sz w:val="18"/>
              </w:rPr>
              <w:t>2,11</w:t>
            </w:r>
          </w:p>
        </w:tc>
        <w:tc>
          <w:tcPr>
            <w:tcW w:w="995" w:type="dxa"/>
            <w:tcBorders>
              <w:top w:val="single" w:sz="4" w:space="0" w:color="auto"/>
              <w:left w:val="single" w:sz="4" w:space="0" w:color="auto"/>
              <w:bottom w:val="single" w:sz="4" w:space="0" w:color="auto"/>
              <w:right w:val="single" w:sz="4" w:space="0" w:color="auto"/>
            </w:tcBorders>
            <w:vAlign w:val="center"/>
          </w:tcPr>
          <w:p w14:paraId="41F81FAD" w14:textId="77777777" w:rsidR="001021CB" w:rsidRPr="00AB325E" w:rsidRDefault="001021CB" w:rsidP="00C44824">
            <w:pPr>
              <w:spacing w:line="259" w:lineRule="auto"/>
              <w:jc w:val="center"/>
              <w:rPr>
                <w:sz w:val="18"/>
              </w:rPr>
            </w:pPr>
            <w:r w:rsidRPr="00AB325E">
              <w:rPr>
                <w:sz w:val="18"/>
              </w:rPr>
              <w:t>2,11</w:t>
            </w:r>
          </w:p>
        </w:tc>
        <w:tc>
          <w:tcPr>
            <w:tcW w:w="995" w:type="dxa"/>
            <w:tcBorders>
              <w:top w:val="single" w:sz="4" w:space="0" w:color="auto"/>
              <w:left w:val="single" w:sz="4" w:space="0" w:color="auto"/>
              <w:bottom w:val="single" w:sz="4" w:space="0" w:color="auto"/>
              <w:right w:val="single" w:sz="4" w:space="0" w:color="auto"/>
            </w:tcBorders>
            <w:vAlign w:val="center"/>
          </w:tcPr>
          <w:p w14:paraId="66E3FDB2" w14:textId="77777777" w:rsidR="001021CB" w:rsidRPr="00AB325E" w:rsidRDefault="001021CB" w:rsidP="00C44824">
            <w:pPr>
              <w:spacing w:line="259" w:lineRule="auto"/>
              <w:jc w:val="center"/>
              <w:rPr>
                <w:sz w:val="18"/>
              </w:rPr>
            </w:pPr>
            <w:r w:rsidRPr="00AB325E">
              <w:rPr>
                <w:sz w:val="18"/>
              </w:rPr>
              <w:t>2,14</w:t>
            </w:r>
          </w:p>
        </w:tc>
        <w:tc>
          <w:tcPr>
            <w:tcW w:w="996" w:type="dxa"/>
            <w:tcBorders>
              <w:top w:val="single" w:sz="4" w:space="0" w:color="auto"/>
              <w:left w:val="single" w:sz="4" w:space="0" w:color="auto"/>
              <w:bottom w:val="single" w:sz="4" w:space="0" w:color="auto"/>
              <w:right w:val="single" w:sz="4" w:space="0" w:color="auto"/>
            </w:tcBorders>
            <w:vAlign w:val="center"/>
          </w:tcPr>
          <w:p w14:paraId="53888B4D" w14:textId="77777777" w:rsidR="001021CB" w:rsidRPr="00AB325E" w:rsidRDefault="001021CB" w:rsidP="00C44824">
            <w:pPr>
              <w:spacing w:line="259" w:lineRule="auto"/>
              <w:jc w:val="center"/>
              <w:rPr>
                <w:sz w:val="18"/>
              </w:rPr>
            </w:pPr>
            <w:r w:rsidRPr="00AB325E">
              <w:rPr>
                <w:sz w:val="18"/>
              </w:rPr>
              <w:t>2,16</w:t>
            </w:r>
          </w:p>
        </w:tc>
        <w:tc>
          <w:tcPr>
            <w:tcW w:w="995" w:type="dxa"/>
            <w:tcBorders>
              <w:top w:val="single" w:sz="4" w:space="0" w:color="auto"/>
              <w:left w:val="single" w:sz="4" w:space="0" w:color="auto"/>
              <w:bottom w:val="single" w:sz="4" w:space="0" w:color="auto"/>
              <w:right w:val="single" w:sz="4" w:space="0" w:color="auto"/>
            </w:tcBorders>
            <w:vAlign w:val="center"/>
          </w:tcPr>
          <w:p w14:paraId="3854E98E" w14:textId="77777777" w:rsidR="001021CB" w:rsidRPr="00AB325E" w:rsidRDefault="001021CB" w:rsidP="00C44824">
            <w:pPr>
              <w:spacing w:line="259" w:lineRule="auto"/>
              <w:jc w:val="center"/>
              <w:rPr>
                <w:sz w:val="18"/>
              </w:rPr>
            </w:pPr>
            <w:r w:rsidRPr="00AB325E">
              <w:rPr>
                <w:sz w:val="18"/>
              </w:rPr>
              <w:t>2,20</w:t>
            </w:r>
          </w:p>
        </w:tc>
        <w:tc>
          <w:tcPr>
            <w:tcW w:w="995" w:type="dxa"/>
            <w:tcBorders>
              <w:top w:val="single" w:sz="4" w:space="0" w:color="auto"/>
              <w:left w:val="single" w:sz="4" w:space="0" w:color="auto"/>
              <w:bottom w:val="single" w:sz="4" w:space="0" w:color="auto"/>
              <w:right w:val="single" w:sz="4" w:space="0" w:color="auto"/>
            </w:tcBorders>
            <w:vAlign w:val="center"/>
          </w:tcPr>
          <w:p w14:paraId="2C90CB99" w14:textId="77777777" w:rsidR="001021CB" w:rsidRDefault="001021CB" w:rsidP="00C44824">
            <w:pPr>
              <w:spacing w:line="259" w:lineRule="auto"/>
              <w:jc w:val="center"/>
              <w:rPr>
                <w:sz w:val="18"/>
              </w:rPr>
            </w:pPr>
            <w:r w:rsidRPr="00AB325E">
              <w:rPr>
                <w:sz w:val="18"/>
              </w:rPr>
              <w:t>2,23</w:t>
            </w:r>
          </w:p>
        </w:tc>
        <w:tc>
          <w:tcPr>
            <w:tcW w:w="995" w:type="dxa"/>
            <w:tcBorders>
              <w:top w:val="single" w:sz="4" w:space="0" w:color="auto"/>
              <w:left w:val="single" w:sz="4" w:space="0" w:color="auto"/>
              <w:bottom w:val="single" w:sz="4" w:space="0" w:color="auto"/>
              <w:right w:val="single" w:sz="4" w:space="0" w:color="auto"/>
            </w:tcBorders>
            <w:vAlign w:val="center"/>
          </w:tcPr>
          <w:p w14:paraId="49DF6C59" w14:textId="77777777" w:rsidR="001021CB" w:rsidRDefault="001021CB" w:rsidP="00C44824">
            <w:pPr>
              <w:spacing w:line="259" w:lineRule="auto"/>
              <w:jc w:val="center"/>
              <w:rPr>
                <w:sz w:val="18"/>
              </w:rPr>
            </w:pPr>
            <w:r w:rsidRPr="00AB325E">
              <w:rPr>
                <w:sz w:val="18"/>
              </w:rPr>
              <w:t>2,26</w:t>
            </w:r>
          </w:p>
        </w:tc>
        <w:tc>
          <w:tcPr>
            <w:tcW w:w="996" w:type="dxa"/>
            <w:tcBorders>
              <w:top w:val="single" w:sz="4" w:space="0" w:color="auto"/>
              <w:left w:val="single" w:sz="4" w:space="0" w:color="auto"/>
              <w:bottom w:val="single" w:sz="4" w:space="0" w:color="auto"/>
              <w:right w:val="single" w:sz="4" w:space="0" w:color="auto"/>
            </w:tcBorders>
            <w:vAlign w:val="center"/>
          </w:tcPr>
          <w:p w14:paraId="1B4C5BEA" w14:textId="77777777" w:rsidR="001021CB" w:rsidRDefault="001021CB" w:rsidP="00C44824">
            <w:pPr>
              <w:spacing w:line="259" w:lineRule="auto"/>
              <w:jc w:val="center"/>
              <w:rPr>
                <w:sz w:val="18"/>
              </w:rPr>
            </w:pPr>
            <w:r w:rsidRPr="00AB325E">
              <w:rPr>
                <w:sz w:val="18"/>
              </w:rPr>
              <w:t>2,28</w:t>
            </w:r>
          </w:p>
        </w:tc>
      </w:tr>
    </w:tbl>
    <w:p w14:paraId="3FB24498" w14:textId="337FCBC8" w:rsidR="00B94B7E" w:rsidRPr="00B94B7E" w:rsidRDefault="00B94B7E" w:rsidP="0045532B">
      <w:pPr>
        <w:pStyle w:val="Caption"/>
      </w:pPr>
      <w:bookmarkStart w:id="580" w:name="_Toc123916529"/>
      <w:r w:rsidRPr="00B94B7E">
        <w:t xml:space="preserve">Tableau </w:t>
      </w:r>
      <w:fldSimple w:instr=" SEQ Tableau \* ARABIC ">
        <w:r w:rsidR="00AB51D9">
          <w:rPr>
            <w:noProof/>
          </w:rPr>
          <w:t>37</w:t>
        </w:r>
      </w:fldSimple>
      <w:r w:rsidRPr="00B94B7E">
        <w:t xml:space="preserve"> : </w:t>
      </w:r>
      <w:r w:rsidR="001021CB" w:rsidRPr="00B94B7E">
        <w:t>Hypothèses de croissance de la population pour l’AME 2021</w:t>
      </w:r>
      <w:bookmarkEnd w:id="580"/>
    </w:p>
    <w:p w14:paraId="7FC1BC75" w14:textId="4914D814" w:rsidR="001021CB" w:rsidRPr="00B94B7E" w:rsidRDefault="001021CB" w:rsidP="0045532B">
      <w:pPr>
        <w:pStyle w:val="Caption"/>
        <w:rPr>
          <w:b/>
          <w:bCs/>
        </w:rPr>
      </w:pPr>
      <w:r w:rsidRPr="00B94B7E">
        <w:t xml:space="preserve">Source : Cadrage économique de l’UE, Insee, 2016 </w:t>
      </w:r>
    </w:p>
    <w:p w14:paraId="4667C38C" w14:textId="77777777" w:rsidR="001021CB" w:rsidRPr="00AB325E" w:rsidRDefault="001021CB" w:rsidP="001021CB">
      <w:pPr>
        <w:spacing w:after="54" w:line="249" w:lineRule="auto"/>
        <w:ind w:left="-5" w:right="914" w:hanging="3"/>
        <w:jc w:val="left"/>
        <w:rPr>
          <w:b/>
          <w:bCs/>
          <w:sz w:val="18"/>
          <w:szCs w:val="18"/>
        </w:rPr>
      </w:pPr>
    </w:p>
    <w:p w14:paraId="15C5B332" w14:textId="77777777" w:rsidR="001021CB" w:rsidRDefault="001021CB" w:rsidP="00E22CF8">
      <w:pPr>
        <w:pStyle w:val="titreencadre"/>
      </w:pPr>
      <w:r>
        <w:t>AMS 2018</w:t>
      </w:r>
    </w:p>
    <w:tbl>
      <w:tblPr>
        <w:tblStyle w:val="TableGrid0"/>
        <w:tblW w:w="9943" w:type="dxa"/>
        <w:tblInd w:w="1" w:type="dxa"/>
        <w:tblCellMar>
          <w:top w:w="124" w:type="dxa"/>
          <w:left w:w="28" w:type="dxa"/>
          <w:bottom w:w="20" w:type="dxa"/>
          <w:right w:w="115" w:type="dxa"/>
        </w:tblCellMar>
        <w:tblLook w:val="04A0" w:firstRow="1" w:lastRow="0" w:firstColumn="1" w:lastColumn="0" w:noHBand="0" w:noVBand="1"/>
      </w:tblPr>
      <w:tblGrid>
        <w:gridCol w:w="1981"/>
        <w:gridCol w:w="995"/>
        <w:gridCol w:w="995"/>
        <w:gridCol w:w="995"/>
        <w:gridCol w:w="996"/>
        <w:gridCol w:w="995"/>
        <w:gridCol w:w="995"/>
        <w:gridCol w:w="995"/>
        <w:gridCol w:w="996"/>
      </w:tblGrid>
      <w:tr w:rsidR="001021CB" w14:paraId="240B44BE" w14:textId="77777777" w:rsidTr="00C44824">
        <w:trPr>
          <w:trHeight w:val="378"/>
        </w:trPr>
        <w:tc>
          <w:tcPr>
            <w:tcW w:w="1981" w:type="dxa"/>
            <w:tcBorders>
              <w:top w:val="single" w:sz="2" w:space="0" w:color="000000"/>
              <w:left w:val="single" w:sz="2" w:space="0" w:color="000000"/>
              <w:bottom w:val="single" w:sz="2" w:space="0" w:color="000000"/>
              <w:right w:val="single" w:sz="4" w:space="0" w:color="auto"/>
            </w:tcBorders>
            <w:shd w:val="clear" w:color="auto" w:fill="6D2A78"/>
          </w:tcPr>
          <w:p w14:paraId="5C7836C4" w14:textId="77777777" w:rsidR="001021CB" w:rsidRDefault="001021CB" w:rsidP="00C44824">
            <w:pPr>
              <w:spacing w:line="259" w:lineRule="auto"/>
            </w:pPr>
            <w:r>
              <w:rPr>
                <w:color w:val="FFFFFF"/>
                <w:sz w:val="18"/>
              </w:rPr>
              <w:t xml:space="preserve">Population (en milliers d’habitants) </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0AD9E07D" w14:textId="77777777" w:rsidR="001021CB" w:rsidRDefault="001021CB" w:rsidP="00C44824">
            <w:pPr>
              <w:spacing w:line="259" w:lineRule="auto"/>
              <w:ind w:left="85"/>
              <w:jc w:val="center"/>
            </w:pPr>
            <w:r>
              <w:rPr>
                <w:b/>
                <w:color w:val="FFFFFF"/>
                <w:sz w:val="18"/>
              </w:rPr>
              <w:t>2015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6385C25F" w14:textId="77777777" w:rsidR="001021CB" w:rsidRDefault="001021CB" w:rsidP="00C44824">
            <w:pPr>
              <w:spacing w:line="259" w:lineRule="auto"/>
              <w:ind w:left="85"/>
              <w:jc w:val="center"/>
            </w:pPr>
            <w:r>
              <w:rPr>
                <w:b/>
                <w:color w:val="FFFFFF"/>
                <w:sz w:val="18"/>
              </w:rPr>
              <w:t>2020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1D7EA1BD" w14:textId="77777777" w:rsidR="001021CB" w:rsidRDefault="001021CB" w:rsidP="00C44824">
            <w:pPr>
              <w:spacing w:line="259" w:lineRule="auto"/>
              <w:ind w:left="85"/>
              <w:jc w:val="center"/>
            </w:pPr>
            <w:r>
              <w:rPr>
                <w:b/>
                <w:color w:val="FFFFFF"/>
                <w:sz w:val="18"/>
              </w:rPr>
              <w:t>2025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1E0F805E" w14:textId="77777777" w:rsidR="001021CB" w:rsidRDefault="001021CB" w:rsidP="00C44824">
            <w:pPr>
              <w:spacing w:line="259" w:lineRule="auto"/>
              <w:ind w:left="86"/>
              <w:jc w:val="center"/>
            </w:pPr>
            <w:r>
              <w:rPr>
                <w:b/>
                <w:color w:val="FFFFFF"/>
                <w:sz w:val="18"/>
              </w:rPr>
              <w:t>2030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53BC4C2C" w14:textId="77777777" w:rsidR="001021CB" w:rsidRDefault="001021CB" w:rsidP="00C44824">
            <w:pPr>
              <w:spacing w:line="259" w:lineRule="auto"/>
              <w:ind w:left="84"/>
              <w:jc w:val="center"/>
            </w:pPr>
            <w:r>
              <w:rPr>
                <w:b/>
                <w:color w:val="FFFFFF"/>
                <w:sz w:val="18"/>
              </w:rPr>
              <w:t>2035</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79C30C66" w14:textId="77777777" w:rsidR="001021CB" w:rsidRDefault="001021CB" w:rsidP="00C44824">
            <w:pPr>
              <w:spacing w:line="259" w:lineRule="auto"/>
              <w:ind w:left="84"/>
              <w:jc w:val="center"/>
              <w:rPr>
                <w:b/>
                <w:color w:val="FFFFFF"/>
                <w:sz w:val="18"/>
              </w:rPr>
            </w:pPr>
            <w:r>
              <w:rPr>
                <w:b/>
                <w:color w:val="FFFFFF"/>
                <w:sz w:val="18"/>
              </w:rPr>
              <w:t>2040</w:t>
            </w:r>
          </w:p>
        </w:tc>
        <w:tc>
          <w:tcPr>
            <w:tcW w:w="995" w:type="dxa"/>
            <w:tcBorders>
              <w:top w:val="single" w:sz="4" w:space="0" w:color="auto"/>
              <w:left w:val="single" w:sz="4" w:space="0" w:color="auto"/>
              <w:bottom w:val="single" w:sz="4" w:space="0" w:color="auto"/>
              <w:right w:val="single" w:sz="4" w:space="0" w:color="auto"/>
            </w:tcBorders>
            <w:shd w:val="clear" w:color="auto" w:fill="6D2A78"/>
            <w:vAlign w:val="center"/>
          </w:tcPr>
          <w:p w14:paraId="4ABF8BC8" w14:textId="77777777" w:rsidR="001021CB" w:rsidRDefault="001021CB" w:rsidP="00C44824">
            <w:pPr>
              <w:spacing w:line="259" w:lineRule="auto"/>
              <w:ind w:left="84"/>
              <w:jc w:val="center"/>
              <w:rPr>
                <w:b/>
                <w:color w:val="FFFFFF"/>
                <w:sz w:val="18"/>
              </w:rPr>
            </w:pPr>
            <w:r>
              <w:rPr>
                <w:b/>
                <w:color w:val="FFFFFF"/>
                <w:sz w:val="18"/>
              </w:rPr>
              <w:t>2045</w:t>
            </w:r>
          </w:p>
        </w:tc>
        <w:tc>
          <w:tcPr>
            <w:tcW w:w="996" w:type="dxa"/>
            <w:tcBorders>
              <w:top w:val="single" w:sz="4" w:space="0" w:color="auto"/>
              <w:left w:val="single" w:sz="4" w:space="0" w:color="auto"/>
              <w:bottom w:val="single" w:sz="4" w:space="0" w:color="auto"/>
              <w:right w:val="single" w:sz="4" w:space="0" w:color="auto"/>
            </w:tcBorders>
            <w:shd w:val="clear" w:color="auto" w:fill="6D2A78"/>
            <w:vAlign w:val="center"/>
          </w:tcPr>
          <w:p w14:paraId="316252B2" w14:textId="77777777" w:rsidR="001021CB" w:rsidRDefault="001021CB" w:rsidP="00C44824">
            <w:pPr>
              <w:spacing w:line="259" w:lineRule="auto"/>
              <w:ind w:left="84"/>
              <w:jc w:val="center"/>
              <w:rPr>
                <w:b/>
                <w:color w:val="FFFFFF"/>
                <w:sz w:val="18"/>
              </w:rPr>
            </w:pPr>
            <w:r>
              <w:rPr>
                <w:b/>
                <w:color w:val="FFFFFF"/>
                <w:sz w:val="18"/>
              </w:rPr>
              <w:t>2050</w:t>
            </w:r>
          </w:p>
        </w:tc>
      </w:tr>
      <w:tr w:rsidR="001021CB" w14:paraId="40AF6F75" w14:textId="77777777" w:rsidTr="00C44824">
        <w:trPr>
          <w:trHeight w:val="359"/>
        </w:trPr>
        <w:tc>
          <w:tcPr>
            <w:tcW w:w="1981" w:type="dxa"/>
            <w:tcBorders>
              <w:top w:val="single" w:sz="2" w:space="0" w:color="000000"/>
              <w:left w:val="single" w:sz="2" w:space="0" w:color="000000"/>
              <w:bottom w:val="single" w:sz="2" w:space="0" w:color="000000"/>
              <w:right w:val="single" w:sz="4" w:space="0" w:color="auto"/>
            </w:tcBorders>
            <w:vAlign w:val="bottom"/>
          </w:tcPr>
          <w:p w14:paraId="5F58EAD6" w14:textId="77777777" w:rsidR="001021CB" w:rsidRDefault="001021CB" w:rsidP="00C44824">
            <w:pPr>
              <w:spacing w:line="259" w:lineRule="auto"/>
            </w:pPr>
            <w:r>
              <w:rPr>
                <w:sz w:val="18"/>
              </w:rPr>
              <w:t xml:space="preserve">France </w:t>
            </w:r>
          </w:p>
        </w:tc>
        <w:tc>
          <w:tcPr>
            <w:tcW w:w="995" w:type="dxa"/>
            <w:tcBorders>
              <w:top w:val="single" w:sz="4" w:space="0" w:color="auto"/>
              <w:left w:val="single" w:sz="4" w:space="0" w:color="auto"/>
              <w:bottom w:val="single" w:sz="4" w:space="0" w:color="auto"/>
              <w:right w:val="single" w:sz="4" w:space="0" w:color="auto"/>
            </w:tcBorders>
            <w:vAlign w:val="center"/>
          </w:tcPr>
          <w:p w14:paraId="71360E52" w14:textId="77777777" w:rsidR="001021CB" w:rsidRDefault="001021CB" w:rsidP="00C44824">
            <w:pPr>
              <w:spacing w:line="259" w:lineRule="auto"/>
              <w:ind w:left="85"/>
              <w:jc w:val="center"/>
            </w:pPr>
            <w:r>
              <w:rPr>
                <w:sz w:val="18"/>
              </w:rPr>
              <w:t>66 391</w:t>
            </w:r>
          </w:p>
        </w:tc>
        <w:tc>
          <w:tcPr>
            <w:tcW w:w="995" w:type="dxa"/>
            <w:tcBorders>
              <w:top w:val="single" w:sz="4" w:space="0" w:color="auto"/>
              <w:left w:val="single" w:sz="4" w:space="0" w:color="auto"/>
              <w:bottom w:val="single" w:sz="4" w:space="0" w:color="auto"/>
              <w:right w:val="single" w:sz="4" w:space="0" w:color="auto"/>
            </w:tcBorders>
            <w:vAlign w:val="center"/>
          </w:tcPr>
          <w:p w14:paraId="41D06649" w14:textId="77777777" w:rsidR="001021CB" w:rsidRDefault="001021CB" w:rsidP="00C44824">
            <w:pPr>
              <w:spacing w:line="259" w:lineRule="auto"/>
              <w:ind w:left="85"/>
              <w:jc w:val="center"/>
            </w:pPr>
            <w:r>
              <w:rPr>
                <w:sz w:val="18"/>
              </w:rPr>
              <w:t>67 820</w:t>
            </w:r>
          </w:p>
        </w:tc>
        <w:tc>
          <w:tcPr>
            <w:tcW w:w="995" w:type="dxa"/>
            <w:tcBorders>
              <w:top w:val="single" w:sz="4" w:space="0" w:color="auto"/>
              <w:left w:val="single" w:sz="4" w:space="0" w:color="auto"/>
              <w:bottom w:val="single" w:sz="4" w:space="0" w:color="auto"/>
              <w:right w:val="single" w:sz="4" w:space="0" w:color="auto"/>
            </w:tcBorders>
            <w:vAlign w:val="center"/>
          </w:tcPr>
          <w:p w14:paraId="72F0DA27" w14:textId="77777777" w:rsidR="001021CB" w:rsidRDefault="001021CB" w:rsidP="00C44824">
            <w:pPr>
              <w:spacing w:line="259" w:lineRule="auto"/>
              <w:ind w:left="85"/>
              <w:jc w:val="center"/>
            </w:pPr>
            <w:r>
              <w:rPr>
                <w:sz w:val="18"/>
              </w:rPr>
              <w:t>69 093</w:t>
            </w:r>
          </w:p>
        </w:tc>
        <w:tc>
          <w:tcPr>
            <w:tcW w:w="996" w:type="dxa"/>
            <w:tcBorders>
              <w:top w:val="single" w:sz="4" w:space="0" w:color="auto"/>
              <w:left w:val="single" w:sz="4" w:space="0" w:color="auto"/>
              <w:bottom w:val="single" w:sz="4" w:space="0" w:color="auto"/>
              <w:right w:val="single" w:sz="4" w:space="0" w:color="auto"/>
            </w:tcBorders>
            <w:vAlign w:val="center"/>
          </w:tcPr>
          <w:p w14:paraId="1CEE0FFE" w14:textId="77777777" w:rsidR="001021CB" w:rsidRDefault="001021CB" w:rsidP="00C44824">
            <w:pPr>
              <w:spacing w:line="259" w:lineRule="auto"/>
              <w:ind w:left="86"/>
              <w:jc w:val="center"/>
            </w:pPr>
            <w:r>
              <w:rPr>
                <w:sz w:val="18"/>
              </w:rPr>
              <w:t>70 281</w:t>
            </w:r>
          </w:p>
        </w:tc>
        <w:tc>
          <w:tcPr>
            <w:tcW w:w="995" w:type="dxa"/>
            <w:tcBorders>
              <w:top w:val="single" w:sz="4" w:space="0" w:color="auto"/>
              <w:left w:val="single" w:sz="4" w:space="0" w:color="auto"/>
              <w:bottom w:val="single" w:sz="4" w:space="0" w:color="auto"/>
              <w:right w:val="single" w:sz="4" w:space="0" w:color="auto"/>
            </w:tcBorders>
            <w:vAlign w:val="center"/>
          </w:tcPr>
          <w:p w14:paraId="73E846A2" w14:textId="77777777" w:rsidR="001021CB" w:rsidRDefault="001021CB" w:rsidP="00C44824">
            <w:pPr>
              <w:spacing w:line="259" w:lineRule="auto"/>
              <w:ind w:left="85"/>
              <w:jc w:val="center"/>
            </w:pPr>
            <w:r>
              <w:rPr>
                <w:sz w:val="18"/>
              </w:rPr>
              <w:t>71 417</w:t>
            </w:r>
          </w:p>
        </w:tc>
        <w:tc>
          <w:tcPr>
            <w:tcW w:w="995" w:type="dxa"/>
            <w:tcBorders>
              <w:top w:val="single" w:sz="4" w:space="0" w:color="auto"/>
              <w:left w:val="single" w:sz="4" w:space="0" w:color="auto"/>
              <w:bottom w:val="single" w:sz="4" w:space="0" w:color="auto"/>
              <w:right w:val="single" w:sz="4" w:space="0" w:color="auto"/>
            </w:tcBorders>
            <w:vAlign w:val="center"/>
          </w:tcPr>
          <w:p w14:paraId="30EA9A02" w14:textId="77777777" w:rsidR="001021CB" w:rsidRDefault="001021CB" w:rsidP="00C44824">
            <w:pPr>
              <w:spacing w:line="259" w:lineRule="auto"/>
              <w:ind w:left="85"/>
              <w:jc w:val="center"/>
              <w:rPr>
                <w:sz w:val="18"/>
              </w:rPr>
            </w:pPr>
            <w:r>
              <w:rPr>
                <w:sz w:val="18"/>
              </w:rPr>
              <w:t>72 449</w:t>
            </w:r>
          </w:p>
        </w:tc>
        <w:tc>
          <w:tcPr>
            <w:tcW w:w="995" w:type="dxa"/>
            <w:tcBorders>
              <w:top w:val="single" w:sz="4" w:space="0" w:color="auto"/>
              <w:left w:val="single" w:sz="4" w:space="0" w:color="auto"/>
              <w:bottom w:val="single" w:sz="4" w:space="0" w:color="auto"/>
              <w:right w:val="single" w:sz="4" w:space="0" w:color="auto"/>
            </w:tcBorders>
            <w:vAlign w:val="center"/>
          </w:tcPr>
          <w:p w14:paraId="3322FA98" w14:textId="77777777" w:rsidR="001021CB" w:rsidRDefault="001021CB" w:rsidP="00C44824">
            <w:pPr>
              <w:spacing w:line="259" w:lineRule="auto"/>
              <w:ind w:left="85"/>
              <w:jc w:val="center"/>
              <w:rPr>
                <w:sz w:val="18"/>
              </w:rPr>
            </w:pPr>
            <w:r>
              <w:rPr>
                <w:sz w:val="18"/>
              </w:rPr>
              <w:t>73 312</w:t>
            </w:r>
          </w:p>
        </w:tc>
        <w:tc>
          <w:tcPr>
            <w:tcW w:w="996" w:type="dxa"/>
            <w:tcBorders>
              <w:top w:val="single" w:sz="4" w:space="0" w:color="auto"/>
              <w:left w:val="single" w:sz="4" w:space="0" w:color="auto"/>
              <w:bottom w:val="single" w:sz="4" w:space="0" w:color="auto"/>
              <w:right w:val="single" w:sz="4" w:space="0" w:color="auto"/>
            </w:tcBorders>
            <w:vAlign w:val="center"/>
          </w:tcPr>
          <w:p w14:paraId="5FF47814" w14:textId="77777777" w:rsidR="001021CB" w:rsidRDefault="001021CB" w:rsidP="00C44824">
            <w:pPr>
              <w:spacing w:line="259" w:lineRule="auto"/>
              <w:ind w:left="85"/>
              <w:jc w:val="center"/>
              <w:rPr>
                <w:sz w:val="18"/>
              </w:rPr>
            </w:pPr>
            <w:r>
              <w:rPr>
                <w:sz w:val="18"/>
              </w:rPr>
              <w:t>74 025</w:t>
            </w:r>
          </w:p>
        </w:tc>
      </w:tr>
      <w:tr w:rsidR="001021CB" w14:paraId="0393A9C8" w14:textId="77777777" w:rsidTr="00C44824">
        <w:trPr>
          <w:trHeight w:val="320"/>
        </w:trPr>
        <w:tc>
          <w:tcPr>
            <w:tcW w:w="1981" w:type="dxa"/>
            <w:tcBorders>
              <w:top w:val="single" w:sz="2" w:space="0" w:color="000000"/>
              <w:left w:val="single" w:sz="2" w:space="0" w:color="000000"/>
              <w:bottom w:val="single" w:sz="2" w:space="0" w:color="000000"/>
              <w:right w:val="single" w:sz="4" w:space="0" w:color="auto"/>
            </w:tcBorders>
            <w:shd w:val="clear" w:color="auto" w:fill="ECE6E2"/>
            <w:vAlign w:val="bottom"/>
          </w:tcPr>
          <w:p w14:paraId="2553AD54" w14:textId="7D3E748A" w:rsidR="001021CB" w:rsidRDefault="00260E0B" w:rsidP="00C44824">
            <w:pPr>
              <w:spacing w:line="259" w:lineRule="auto"/>
            </w:pPr>
            <w:r>
              <w:rPr>
                <w:sz w:val="18"/>
              </w:rPr>
              <w:t xml:space="preserve"> </w:t>
            </w:r>
            <w:r w:rsidR="001021CB">
              <w:rPr>
                <w:sz w:val="18"/>
              </w:rPr>
              <w:t xml:space="preserve">dont métropole </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162D307B" w14:textId="77777777" w:rsidR="001021CB" w:rsidRDefault="001021CB" w:rsidP="00C44824">
            <w:pPr>
              <w:spacing w:line="259" w:lineRule="auto"/>
              <w:ind w:left="85"/>
              <w:jc w:val="center"/>
            </w:pPr>
            <w:r>
              <w:rPr>
                <w:sz w:val="18"/>
              </w:rPr>
              <w:t>64 293</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5EA9A4AA" w14:textId="77777777" w:rsidR="001021CB" w:rsidRDefault="001021CB" w:rsidP="00C44824">
            <w:pPr>
              <w:spacing w:line="259" w:lineRule="auto"/>
              <w:ind w:left="85"/>
              <w:jc w:val="center"/>
            </w:pPr>
            <w:r>
              <w:rPr>
                <w:sz w:val="18"/>
              </w:rPr>
              <w:t>65 684</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D1F00A0" w14:textId="77777777" w:rsidR="001021CB" w:rsidRDefault="001021CB" w:rsidP="00C44824">
            <w:pPr>
              <w:spacing w:line="259" w:lineRule="auto"/>
              <w:ind w:left="85"/>
              <w:jc w:val="center"/>
            </w:pPr>
            <w:r>
              <w:rPr>
                <w:sz w:val="18"/>
              </w:rPr>
              <w:t>66 918</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1967BF10" w14:textId="77777777" w:rsidR="001021CB" w:rsidRDefault="001021CB" w:rsidP="00C44824">
            <w:pPr>
              <w:spacing w:line="259" w:lineRule="auto"/>
              <w:ind w:left="86"/>
              <w:jc w:val="center"/>
            </w:pPr>
            <w:r>
              <w:rPr>
                <w:sz w:val="18"/>
              </w:rPr>
              <w:t>68 064</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3C19807C" w14:textId="77777777" w:rsidR="001021CB" w:rsidRDefault="001021CB" w:rsidP="00C44824">
            <w:pPr>
              <w:spacing w:line="259" w:lineRule="auto"/>
              <w:ind w:left="85"/>
              <w:jc w:val="center"/>
            </w:pPr>
            <w:r>
              <w:rPr>
                <w:sz w:val="18"/>
              </w:rPr>
              <w:t>69 157</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3962ED50" w14:textId="77777777" w:rsidR="001021CB" w:rsidRDefault="001021CB" w:rsidP="00C44824">
            <w:pPr>
              <w:spacing w:line="259" w:lineRule="auto"/>
              <w:ind w:left="85"/>
              <w:jc w:val="center"/>
              <w:rPr>
                <w:sz w:val="18"/>
              </w:rPr>
            </w:pPr>
            <w:r>
              <w:rPr>
                <w:sz w:val="18"/>
              </w:rPr>
              <w:t>70 143</w:t>
            </w:r>
          </w:p>
        </w:tc>
        <w:tc>
          <w:tcPr>
            <w:tcW w:w="995" w:type="dxa"/>
            <w:tcBorders>
              <w:top w:val="single" w:sz="4" w:space="0" w:color="auto"/>
              <w:left w:val="single" w:sz="4" w:space="0" w:color="auto"/>
              <w:bottom w:val="single" w:sz="4" w:space="0" w:color="auto"/>
              <w:right w:val="single" w:sz="4" w:space="0" w:color="auto"/>
            </w:tcBorders>
            <w:shd w:val="clear" w:color="auto" w:fill="ECE6E2"/>
            <w:vAlign w:val="center"/>
          </w:tcPr>
          <w:p w14:paraId="2336EEDB" w14:textId="77777777" w:rsidR="001021CB" w:rsidRDefault="001021CB" w:rsidP="00C44824">
            <w:pPr>
              <w:spacing w:line="259" w:lineRule="auto"/>
              <w:ind w:left="85"/>
              <w:jc w:val="center"/>
              <w:rPr>
                <w:sz w:val="18"/>
              </w:rPr>
            </w:pPr>
            <w:r>
              <w:rPr>
                <w:sz w:val="18"/>
              </w:rPr>
              <w:t>70 961</w:t>
            </w:r>
          </w:p>
        </w:tc>
        <w:tc>
          <w:tcPr>
            <w:tcW w:w="996" w:type="dxa"/>
            <w:tcBorders>
              <w:top w:val="single" w:sz="4" w:space="0" w:color="auto"/>
              <w:left w:val="single" w:sz="4" w:space="0" w:color="auto"/>
              <w:bottom w:val="single" w:sz="4" w:space="0" w:color="auto"/>
              <w:right w:val="single" w:sz="4" w:space="0" w:color="auto"/>
            </w:tcBorders>
            <w:shd w:val="clear" w:color="auto" w:fill="ECE6E2"/>
            <w:vAlign w:val="center"/>
          </w:tcPr>
          <w:p w14:paraId="0D760467" w14:textId="77777777" w:rsidR="001021CB" w:rsidRDefault="001021CB" w:rsidP="00C44824">
            <w:pPr>
              <w:spacing w:line="259" w:lineRule="auto"/>
              <w:ind w:left="85"/>
              <w:jc w:val="center"/>
              <w:rPr>
                <w:sz w:val="18"/>
              </w:rPr>
            </w:pPr>
            <w:r>
              <w:rPr>
                <w:sz w:val="18"/>
              </w:rPr>
              <w:t>71 628</w:t>
            </w:r>
          </w:p>
        </w:tc>
      </w:tr>
      <w:tr w:rsidR="001021CB" w14:paraId="4DEB2B4F" w14:textId="77777777" w:rsidTr="00C44824">
        <w:trPr>
          <w:trHeight w:val="350"/>
        </w:trPr>
        <w:tc>
          <w:tcPr>
            <w:tcW w:w="1981" w:type="dxa"/>
            <w:tcBorders>
              <w:top w:val="single" w:sz="2" w:space="0" w:color="000000"/>
              <w:left w:val="single" w:sz="2" w:space="0" w:color="000000"/>
              <w:bottom w:val="single" w:sz="2" w:space="0" w:color="000000"/>
              <w:right w:val="single" w:sz="4" w:space="0" w:color="auto"/>
            </w:tcBorders>
            <w:vAlign w:val="bottom"/>
          </w:tcPr>
          <w:p w14:paraId="52E50046" w14:textId="6009D196" w:rsidR="001021CB" w:rsidRDefault="00260E0B" w:rsidP="00C44824">
            <w:pPr>
              <w:spacing w:line="259" w:lineRule="auto"/>
            </w:pPr>
            <w:r>
              <w:rPr>
                <w:sz w:val="18"/>
              </w:rPr>
              <w:t xml:space="preserve"> </w:t>
            </w:r>
            <w:r w:rsidR="001021CB">
              <w:rPr>
                <w:sz w:val="18"/>
              </w:rPr>
              <w:t xml:space="preserve">dont Dom-Com </w:t>
            </w:r>
          </w:p>
        </w:tc>
        <w:tc>
          <w:tcPr>
            <w:tcW w:w="995" w:type="dxa"/>
            <w:tcBorders>
              <w:top w:val="single" w:sz="4" w:space="0" w:color="auto"/>
              <w:left w:val="single" w:sz="4" w:space="0" w:color="auto"/>
              <w:bottom w:val="single" w:sz="4" w:space="0" w:color="auto"/>
              <w:right w:val="single" w:sz="4" w:space="0" w:color="auto"/>
            </w:tcBorders>
            <w:vAlign w:val="center"/>
          </w:tcPr>
          <w:p w14:paraId="3648541F" w14:textId="77777777" w:rsidR="001021CB" w:rsidRDefault="001021CB" w:rsidP="00C44824">
            <w:pPr>
              <w:spacing w:line="259" w:lineRule="auto"/>
              <w:ind w:left="87"/>
              <w:jc w:val="center"/>
            </w:pPr>
            <w:r>
              <w:rPr>
                <w:sz w:val="18"/>
              </w:rPr>
              <w:t>2 098</w:t>
            </w:r>
          </w:p>
        </w:tc>
        <w:tc>
          <w:tcPr>
            <w:tcW w:w="995" w:type="dxa"/>
            <w:tcBorders>
              <w:top w:val="single" w:sz="4" w:space="0" w:color="auto"/>
              <w:left w:val="single" w:sz="4" w:space="0" w:color="auto"/>
              <w:bottom w:val="single" w:sz="4" w:space="0" w:color="auto"/>
              <w:right w:val="single" w:sz="4" w:space="0" w:color="auto"/>
            </w:tcBorders>
            <w:vAlign w:val="center"/>
          </w:tcPr>
          <w:p w14:paraId="0FD0092C" w14:textId="77777777" w:rsidR="001021CB" w:rsidRDefault="001021CB" w:rsidP="00C44824">
            <w:pPr>
              <w:spacing w:line="259" w:lineRule="auto"/>
              <w:ind w:left="87"/>
              <w:jc w:val="center"/>
            </w:pPr>
            <w:r>
              <w:rPr>
                <w:sz w:val="18"/>
              </w:rPr>
              <w:t>2 136</w:t>
            </w:r>
          </w:p>
        </w:tc>
        <w:tc>
          <w:tcPr>
            <w:tcW w:w="995" w:type="dxa"/>
            <w:tcBorders>
              <w:top w:val="single" w:sz="4" w:space="0" w:color="auto"/>
              <w:left w:val="single" w:sz="4" w:space="0" w:color="auto"/>
              <w:bottom w:val="single" w:sz="4" w:space="0" w:color="auto"/>
              <w:right w:val="single" w:sz="4" w:space="0" w:color="auto"/>
            </w:tcBorders>
            <w:vAlign w:val="center"/>
          </w:tcPr>
          <w:p w14:paraId="3AFCA3A4" w14:textId="77777777" w:rsidR="001021CB" w:rsidRDefault="001021CB" w:rsidP="00C44824">
            <w:pPr>
              <w:spacing w:line="259" w:lineRule="auto"/>
              <w:ind w:left="87"/>
              <w:jc w:val="center"/>
            </w:pPr>
            <w:r>
              <w:rPr>
                <w:sz w:val="18"/>
              </w:rPr>
              <w:t>2 175</w:t>
            </w:r>
          </w:p>
        </w:tc>
        <w:tc>
          <w:tcPr>
            <w:tcW w:w="996" w:type="dxa"/>
            <w:tcBorders>
              <w:top w:val="single" w:sz="4" w:space="0" w:color="auto"/>
              <w:left w:val="single" w:sz="4" w:space="0" w:color="auto"/>
              <w:bottom w:val="single" w:sz="4" w:space="0" w:color="auto"/>
              <w:right w:val="single" w:sz="4" w:space="0" w:color="auto"/>
            </w:tcBorders>
            <w:vAlign w:val="center"/>
          </w:tcPr>
          <w:p w14:paraId="091EAF6F" w14:textId="77777777" w:rsidR="001021CB" w:rsidRDefault="001021CB" w:rsidP="00C44824">
            <w:pPr>
              <w:spacing w:line="259" w:lineRule="auto"/>
              <w:ind w:left="89"/>
              <w:jc w:val="center"/>
            </w:pPr>
            <w:r>
              <w:rPr>
                <w:sz w:val="18"/>
              </w:rPr>
              <w:t>2 217</w:t>
            </w:r>
          </w:p>
        </w:tc>
        <w:tc>
          <w:tcPr>
            <w:tcW w:w="995" w:type="dxa"/>
            <w:tcBorders>
              <w:top w:val="single" w:sz="4" w:space="0" w:color="auto"/>
              <w:left w:val="single" w:sz="4" w:space="0" w:color="auto"/>
              <w:bottom w:val="single" w:sz="4" w:space="0" w:color="auto"/>
              <w:right w:val="single" w:sz="4" w:space="0" w:color="auto"/>
            </w:tcBorders>
            <w:vAlign w:val="center"/>
          </w:tcPr>
          <w:p w14:paraId="793CFB87" w14:textId="77777777" w:rsidR="001021CB" w:rsidRDefault="001021CB" w:rsidP="00C44824">
            <w:pPr>
              <w:spacing w:line="259" w:lineRule="auto"/>
              <w:ind w:left="87"/>
              <w:jc w:val="center"/>
            </w:pPr>
            <w:r>
              <w:rPr>
                <w:sz w:val="18"/>
              </w:rPr>
              <w:t>2 260</w:t>
            </w:r>
          </w:p>
        </w:tc>
        <w:tc>
          <w:tcPr>
            <w:tcW w:w="995" w:type="dxa"/>
            <w:tcBorders>
              <w:top w:val="single" w:sz="4" w:space="0" w:color="auto"/>
              <w:left w:val="single" w:sz="4" w:space="0" w:color="auto"/>
              <w:bottom w:val="single" w:sz="4" w:space="0" w:color="auto"/>
              <w:right w:val="single" w:sz="4" w:space="0" w:color="auto"/>
            </w:tcBorders>
            <w:vAlign w:val="center"/>
          </w:tcPr>
          <w:p w14:paraId="338A71D0" w14:textId="77777777" w:rsidR="001021CB" w:rsidRDefault="001021CB" w:rsidP="00C44824">
            <w:pPr>
              <w:spacing w:line="259" w:lineRule="auto"/>
              <w:ind w:left="87"/>
              <w:jc w:val="center"/>
              <w:rPr>
                <w:sz w:val="18"/>
              </w:rPr>
            </w:pPr>
            <w:r>
              <w:rPr>
                <w:sz w:val="18"/>
              </w:rPr>
              <w:t>2 306</w:t>
            </w:r>
          </w:p>
        </w:tc>
        <w:tc>
          <w:tcPr>
            <w:tcW w:w="995" w:type="dxa"/>
            <w:tcBorders>
              <w:top w:val="single" w:sz="4" w:space="0" w:color="auto"/>
              <w:left w:val="single" w:sz="4" w:space="0" w:color="auto"/>
              <w:bottom w:val="single" w:sz="4" w:space="0" w:color="auto"/>
              <w:right w:val="single" w:sz="4" w:space="0" w:color="auto"/>
            </w:tcBorders>
            <w:vAlign w:val="center"/>
          </w:tcPr>
          <w:p w14:paraId="613D177F" w14:textId="77777777" w:rsidR="001021CB" w:rsidRDefault="001021CB" w:rsidP="00C44824">
            <w:pPr>
              <w:spacing w:line="259" w:lineRule="auto"/>
              <w:ind w:left="87"/>
              <w:jc w:val="center"/>
              <w:rPr>
                <w:sz w:val="18"/>
              </w:rPr>
            </w:pPr>
            <w:r>
              <w:rPr>
                <w:sz w:val="18"/>
              </w:rPr>
              <w:t>2 351</w:t>
            </w:r>
          </w:p>
        </w:tc>
        <w:tc>
          <w:tcPr>
            <w:tcW w:w="996" w:type="dxa"/>
            <w:tcBorders>
              <w:top w:val="single" w:sz="4" w:space="0" w:color="auto"/>
              <w:left w:val="single" w:sz="4" w:space="0" w:color="auto"/>
              <w:bottom w:val="single" w:sz="4" w:space="0" w:color="auto"/>
              <w:right w:val="single" w:sz="4" w:space="0" w:color="auto"/>
            </w:tcBorders>
            <w:vAlign w:val="center"/>
          </w:tcPr>
          <w:p w14:paraId="7FBB424B" w14:textId="77777777" w:rsidR="001021CB" w:rsidRDefault="001021CB" w:rsidP="00C44824">
            <w:pPr>
              <w:spacing w:line="259" w:lineRule="auto"/>
              <w:ind w:left="87"/>
              <w:jc w:val="center"/>
              <w:rPr>
                <w:sz w:val="18"/>
              </w:rPr>
            </w:pPr>
            <w:r>
              <w:rPr>
                <w:sz w:val="18"/>
              </w:rPr>
              <w:t>2 397</w:t>
            </w:r>
          </w:p>
        </w:tc>
      </w:tr>
    </w:tbl>
    <w:p w14:paraId="5083215D" w14:textId="1C803FBD" w:rsidR="00B94B7E" w:rsidRPr="00B94B7E" w:rsidRDefault="00B94B7E" w:rsidP="0045532B">
      <w:pPr>
        <w:pStyle w:val="Caption"/>
      </w:pPr>
      <w:bookmarkStart w:id="581" w:name="_Toc123916530"/>
      <w:r w:rsidRPr="00B94B7E">
        <w:t xml:space="preserve">Tableau </w:t>
      </w:r>
      <w:fldSimple w:instr=" SEQ Tableau \* ARABIC ">
        <w:r w:rsidR="00AB51D9">
          <w:rPr>
            <w:noProof/>
          </w:rPr>
          <w:t>38</w:t>
        </w:r>
      </w:fldSimple>
      <w:r w:rsidRPr="00B94B7E">
        <w:t xml:space="preserve"> : </w:t>
      </w:r>
      <w:r w:rsidR="001021CB" w:rsidRPr="00B94B7E">
        <w:t>Hypothèses de croissance de la population pour l’AMS 2018</w:t>
      </w:r>
      <w:bookmarkEnd w:id="581"/>
    </w:p>
    <w:p w14:paraId="00B3DAC1" w14:textId="60D46DBF" w:rsidR="001021CB" w:rsidRPr="00B94B7E" w:rsidRDefault="001021CB" w:rsidP="0045532B">
      <w:pPr>
        <w:pStyle w:val="Caption"/>
      </w:pPr>
      <w:r w:rsidRPr="00B94B7E">
        <w:t xml:space="preserve">Source : Insee, 2016 </w:t>
      </w:r>
    </w:p>
    <w:p w14:paraId="0EDBD1E4" w14:textId="77777777" w:rsidR="001021CB" w:rsidRPr="00313B95" w:rsidRDefault="001021CB" w:rsidP="001021CB">
      <w:pPr>
        <w:spacing w:after="54" w:line="249" w:lineRule="auto"/>
        <w:ind w:left="-5" w:right="914" w:hanging="3"/>
        <w:rPr>
          <w:b/>
          <w:bCs/>
          <w:sz w:val="18"/>
          <w:szCs w:val="18"/>
        </w:rPr>
      </w:pPr>
    </w:p>
    <w:p w14:paraId="220FDF03" w14:textId="77777777" w:rsidR="001021CB" w:rsidRDefault="001021CB" w:rsidP="001021CB">
      <w:pPr>
        <w:spacing w:after="240"/>
        <w:jc w:val="center"/>
      </w:pPr>
      <w:r>
        <w:rPr>
          <w:noProof/>
        </w:rPr>
        <w:drawing>
          <wp:inline distT="0" distB="0" distL="0" distR="0" wp14:anchorId="3A6BDE95" wp14:editId="5746C98D">
            <wp:extent cx="5398770" cy="3575050"/>
            <wp:effectExtent l="0" t="0" r="11430" b="6350"/>
            <wp:docPr id="28708" name="Graphique 287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B74762E" w14:textId="32DCDCA1" w:rsidR="00B94B7E" w:rsidRDefault="00B94B7E" w:rsidP="0045532B">
      <w:pPr>
        <w:pStyle w:val="Caption"/>
      </w:pPr>
      <w:bookmarkStart w:id="582" w:name="_Toc123916475"/>
      <w:r>
        <w:t xml:space="preserve">Figure </w:t>
      </w:r>
      <w:fldSimple w:instr=" SEQ Figure \* ARABIC ">
        <w:r w:rsidR="00AB51D9">
          <w:rPr>
            <w:noProof/>
          </w:rPr>
          <w:t>64</w:t>
        </w:r>
      </w:fldSimple>
      <w:r>
        <w:t xml:space="preserve"> : </w:t>
      </w:r>
      <w:r w:rsidR="001021CB">
        <w:t>Hypothèse de croissance de la population dans l’AME 2021 et l’AMS 2018</w:t>
      </w:r>
      <w:bookmarkEnd w:id="582"/>
    </w:p>
    <w:p w14:paraId="3E95C882" w14:textId="6EE2BCDE" w:rsidR="001021CB" w:rsidRDefault="001021CB" w:rsidP="0045532B">
      <w:pPr>
        <w:pStyle w:val="Caption"/>
      </w:pPr>
      <w:r>
        <w:t>Source : MTE/DGEC, INSEE</w:t>
      </w:r>
    </w:p>
    <w:p w14:paraId="133A07A2" w14:textId="77777777" w:rsidR="001021CB" w:rsidRPr="00F307BA" w:rsidRDefault="001021CB" w:rsidP="003F57EA">
      <w:pPr>
        <w:pStyle w:val="Titre4niveau4"/>
        <w:numPr>
          <w:ilvl w:val="2"/>
          <w:numId w:val="79"/>
        </w:numPr>
      </w:pPr>
      <w:r w:rsidRPr="00F307BA">
        <w:t xml:space="preserve">Hypothèses sur la croissance économique </w:t>
      </w:r>
    </w:p>
    <w:p w14:paraId="2DB2656A" w14:textId="15135E22" w:rsidR="002F7DEA" w:rsidRDefault="001021CB" w:rsidP="001021CB">
      <w:pPr>
        <w:spacing w:before="240" w:after="240"/>
      </w:pPr>
      <w:r w:rsidRPr="00F307BA">
        <w:t xml:space="preserve">Les hypothèses sur la croissance économique sont celles recommandées pour la France par la Commission européenne. Ces hypothèses sont par ailleurs cohérentes avec les hypothèses retenues par le ministère de l’Économie français pour les cadrages économiques de long terme. </w:t>
      </w:r>
      <w:r>
        <w:t>La trajectoire de PIB pour l’AME 2021 inclut l’impact de la crise sanitaire liée au Covid-19, et fait l’hypothèse d’une reprise rapide de l’économie.</w:t>
      </w:r>
    </w:p>
    <w:tbl>
      <w:tblPr>
        <w:tblStyle w:val="TableGrid0"/>
        <w:tblW w:w="9943" w:type="dxa"/>
        <w:tblInd w:w="7" w:type="dxa"/>
        <w:tblLook w:val="04A0" w:firstRow="1" w:lastRow="0" w:firstColumn="1" w:lastColumn="0" w:noHBand="0" w:noVBand="1"/>
      </w:tblPr>
      <w:tblGrid>
        <w:gridCol w:w="5367"/>
        <w:gridCol w:w="651"/>
        <w:gridCol w:w="652"/>
        <w:gridCol w:w="653"/>
        <w:gridCol w:w="655"/>
        <w:gridCol w:w="655"/>
        <w:gridCol w:w="655"/>
        <w:gridCol w:w="655"/>
      </w:tblGrid>
      <w:tr w:rsidR="002402DC" w14:paraId="3FE529D8" w14:textId="77777777" w:rsidTr="002402DC">
        <w:trPr>
          <w:trHeight w:val="407"/>
        </w:trPr>
        <w:tc>
          <w:tcPr>
            <w:tcW w:w="5367" w:type="dxa"/>
          </w:tcPr>
          <w:p w14:paraId="1FA91ECF" w14:textId="0F72B7ED" w:rsidR="002F7DEA" w:rsidRDefault="001021CB" w:rsidP="00E22CF8">
            <w:pPr>
              <w:pStyle w:val="titreencadre"/>
            </w:pPr>
            <w:r>
              <w:t>AMS 2018</w:t>
            </w:r>
          </w:p>
        </w:tc>
        <w:tc>
          <w:tcPr>
            <w:tcW w:w="651" w:type="dxa"/>
          </w:tcPr>
          <w:p w14:paraId="360FA186" w14:textId="01947D18" w:rsidR="001021CB" w:rsidRDefault="001021CB" w:rsidP="00C44824">
            <w:pPr>
              <w:spacing w:line="259" w:lineRule="auto"/>
              <w:ind w:left="114"/>
              <w:jc w:val="center"/>
            </w:pPr>
          </w:p>
        </w:tc>
        <w:tc>
          <w:tcPr>
            <w:tcW w:w="652" w:type="dxa"/>
          </w:tcPr>
          <w:p w14:paraId="10B45F9C" w14:textId="3C075D56" w:rsidR="001021CB" w:rsidRDefault="001021CB" w:rsidP="00C44824">
            <w:pPr>
              <w:spacing w:line="259" w:lineRule="auto"/>
              <w:ind w:left="115"/>
              <w:jc w:val="center"/>
            </w:pPr>
          </w:p>
        </w:tc>
        <w:tc>
          <w:tcPr>
            <w:tcW w:w="653" w:type="dxa"/>
          </w:tcPr>
          <w:p w14:paraId="72C4938C" w14:textId="10162147" w:rsidR="001021CB" w:rsidRDefault="001021CB" w:rsidP="00C44824">
            <w:pPr>
              <w:spacing w:line="259" w:lineRule="auto"/>
              <w:ind w:left="116"/>
              <w:jc w:val="center"/>
            </w:pPr>
          </w:p>
        </w:tc>
        <w:tc>
          <w:tcPr>
            <w:tcW w:w="655" w:type="dxa"/>
          </w:tcPr>
          <w:p w14:paraId="7A5D64AE" w14:textId="61C9A6F0" w:rsidR="001021CB" w:rsidRDefault="001021CB" w:rsidP="00C44824">
            <w:pPr>
              <w:spacing w:line="259" w:lineRule="auto"/>
              <w:ind w:left="118"/>
              <w:jc w:val="center"/>
            </w:pPr>
          </w:p>
        </w:tc>
        <w:tc>
          <w:tcPr>
            <w:tcW w:w="655" w:type="dxa"/>
          </w:tcPr>
          <w:p w14:paraId="6BEC6D1B" w14:textId="257DAFB0" w:rsidR="001021CB" w:rsidRDefault="001021CB" w:rsidP="00C44824">
            <w:pPr>
              <w:spacing w:line="259" w:lineRule="auto"/>
              <w:ind w:left="118"/>
              <w:jc w:val="center"/>
              <w:rPr>
                <w:sz w:val="18"/>
              </w:rPr>
            </w:pPr>
          </w:p>
        </w:tc>
        <w:tc>
          <w:tcPr>
            <w:tcW w:w="655" w:type="dxa"/>
          </w:tcPr>
          <w:p w14:paraId="6822956C" w14:textId="50714C01" w:rsidR="001021CB" w:rsidRDefault="001021CB" w:rsidP="00C44824">
            <w:pPr>
              <w:spacing w:line="259" w:lineRule="auto"/>
              <w:ind w:left="118"/>
              <w:jc w:val="center"/>
              <w:rPr>
                <w:sz w:val="18"/>
              </w:rPr>
            </w:pPr>
          </w:p>
        </w:tc>
        <w:tc>
          <w:tcPr>
            <w:tcW w:w="655" w:type="dxa"/>
          </w:tcPr>
          <w:p w14:paraId="11CB50BD" w14:textId="740DCCA8" w:rsidR="001021CB" w:rsidRDefault="001021CB" w:rsidP="00C44824">
            <w:pPr>
              <w:spacing w:line="259" w:lineRule="auto"/>
              <w:ind w:left="118"/>
              <w:jc w:val="center"/>
              <w:rPr>
                <w:sz w:val="18"/>
              </w:rPr>
            </w:pPr>
          </w:p>
        </w:tc>
      </w:tr>
      <w:tr w:rsidR="001021CB" w14:paraId="15AEFCCD" w14:textId="77777777" w:rsidTr="002402DC">
        <w:tblPrEx>
          <w:tblCellMar>
            <w:top w:w="37" w:type="dxa"/>
            <w:right w:w="115" w:type="dxa"/>
          </w:tblCellMar>
        </w:tblPrEx>
        <w:trPr>
          <w:trHeight w:val="389"/>
        </w:trPr>
        <w:tc>
          <w:tcPr>
            <w:tcW w:w="5367" w:type="dxa"/>
            <w:tcBorders>
              <w:top w:val="single" w:sz="2" w:space="0" w:color="000000"/>
              <w:left w:val="single" w:sz="2" w:space="0" w:color="000000"/>
              <w:bottom w:val="single" w:sz="2" w:space="0" w:color="000000"/>
              <w:right w:val="single" w:sz="2" w:space="0" w:color="000000"/>
            </w:tcBorders>
            <w:shd w:val="clear" w:color="auto" w:fill="6D2A78"/>
          </w:tcPr>
          <w:p w14:paraId="55830C5F" w14:textId="77777777" w:rsidR="001021CB" w:rsidRDefault="001021CB" w:rsidP="00C44824">
            <w:pPr>
              <w:spacing w:line="259" w:lineRule="auto"/>
              <w:ind w:left="28"/>
            </w:pPr>
            <w:r>
              <w:rPr>
                <w:b/>
                <w:color w:val="FFFFFF"/>
                <w:sz w:val="18"/>
              </w:rPr>
              <w:t>Taux de croissance annuel moyen du PIB</w:t>
            </w:r>
          </w:p>
        </w:tc>
        <w:tc>
          <w:tcPr>
            <w:tcW w:w="651" w:type="dxa"/>
            <w:tcBorders>
              <w:top w:val="single" w:sz="2" w:space="0" w:color="000000"/>
              <w:left w:val="single" w:sz="2" w:space="0" w:color="000000"/>
              <w:bottom w:val="single" w:sz="2" w:space="0" w:color="000000"/>
              <w:right w:val="single" w:sz="2" w:space="0" w:color="000000"/>
            </w:tcBorders>
            <w:shd w:val="clear" w:color="auto" w:fill="6D2A78"/>
          </w:tcPr>
          <w:p w14:paraId="1F7E8E9A" w14:textId="77777777" w:rsidR="001021CB" w:rsidRDefault="001021CB" w:rsidP="00C44824">
            <w:pPr>
              <w:spacing w:line="259" w:lineRule="auto"/>
              <w:ind w:left="116"/>
              <w:jc w:val="center"/>
            </w:pPr>
            <w:r>
              <w:rPr>
                <w:b/>
                <w:color w:val="FFFFFF"/>
                <w:sz w:val="18"/>
              </w:rPr>
              <w:t xml:space="preserve">2015-2020 </w:t>
            </w:r>
          </w:p>
        </w:tc>
        <w:tc>
          <w:tcPr>
            <w:tcW w:w="652" w:type="dxa"/>
            <w:tcBorders>
              <w:top w:val="single" w:sz="2" w:space="0" w:color="000000"/>
              <w:left w:val="single" w:sz="2" w:space="0" w:color="000000"/>
              <w:bottom w:val="single" w:sz="2" w:space="0" w:color="000000"/>
              <w:right w:val="single" w:sz="2" w:space="0" w:color="000000"/>
            </w:tcBorders>
            <w:shd w:val="clear" w:color="auto" w:fill="6D2A78"/>
          </w:tcPr>
          <w:p w14:paraId="5531679C" w14:textId="77777777" w:rsidR="001021CB" w:rsidRDefault="001021CB" w:rsidP="00C44824">
            <w:pPr>
              <w:spacing w:line="259" w:lineRule="auto"/>
              <w:ind w:left="117"/>
              <w:jc w:val="center"/>
            </w:pPr>
            <w:r>
              <w:rPr>
                <w:b/>
                <w:color w:val="FFFFFF"/>
                <w:sz w:val="18"/>
              </w:rPr>
              <w:t xml:space="preserve">2020-2025 </w:t>
            </w:r>
          </w:p>
        </w:tc>
        <w:tc>
          <w:tcPr>
            <w:tcW w:w="653" w:type="dxa"/>
            <w:tcBorders>
              <w:top w:val="single" w:sz="2" w:space="0" w:color="000000"/>
              <w:left w:val="single" w:sz="2" w:space="0" w:color="000000"/>
              <w:bottom w:val="single" w:sz="2" w:space="0" w:color="000000"/>
              <w:right w:val="single" w:sz="2" w:space="0" w:color="000000"/>
            </w:tcBorders>
            <w:shd w:val="clear" w:color="auto" w:fill="6D2A78"/>
          </w:tcPr>
          <w:p w14:paraId="6360B851" w14:textId="77777777" w:rsidR="001021CB" w:rsidRDefault="001021CB" w:rsidP="00C44824">
            <w:pPr>
              <w:spacing w:line="259" w:lineRule="auto"/>
              <w:ind w:left="118"/>
              <w:jc w:val="center"/>
            </w:pPr>
            <w:r>
              <w:rPr>
                <w:b/>
                <w:color w:val="FFFFFF"/>
                <w:sz w:val="18"/>
              </w:rPr>
              <w:t xml:space="preserve">2025-2030 </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108BE3CE" w14:textId="77777777" w:rsidR="001021CB" w:rsidRDefault="001021CB" w:rsidP="00C44824">
            <w:pPr>
              <w:spacing w:line="259" w:lineRule="auto"/>
              <w:ind w:left="120"/>
              <w:jc w:val="center"/>
            </w:pPr>
            <w:r>
              <w:rPr>
                <w:b/>
                <w:color w:val="FFFFFF"/>
                <w:sz w:val="18"/>
              </w:rPr>
              <w:t xml:space="preserve">2030-2035 </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61AF0A49" w14:textId="77777777" w:rsidR="001021CB" w:rsidRDefault="001021CB" w:rsidP="00C44824">
            <w:pPr>
              <w:spacing w:line="259" w:lineRule="auto"/>
              <w:ind w:left="120"/>
              <w:jc w:val="center"/>
              <w:rPr>
                <w:b/>
                <w:color w:val="FFFFFF"/>
                <w:sz w:val="18"/>
              </w:rPr>
            </w:pPr>
            <w:r>
              <w:rPr>
                <w:b/>
                <w:color w:val="FFFFFF"/>
                <w:sz w:val="18"/>
              </w:rPr>
              <w:t>2035-2040</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132A720E" w14:textId="77777777" w:rsidR="001021CB" w:rsidRDefault="001021CB" w:rsidP="00C44824">
            <w:pPr>
              <w:spacing w:line="259" w:lineRule="auto"/>
              <w:ind w:left="120"/>
              <w:jc w:val="center"/>
              <w:rPr>
                <w:b/>
                <w:color w:val="FFFFFF"/>
                <w:sz w:val="18"/>
              </w:rPr>
            </w:pPr>
            <w:r>
              <w:rPr>
                <w:b/>
                <w:color w:val="FFFFFF"/>
                <w:sz w:val="18"/>
              </w:rPr>
              <w:t>2040-2045</w:t>
            </w:r>
          </w:p>
        </w:tc>
        <w:tc>
          <w:tcPr>
            <w:tcW w:w="655" w:type="dxa"/>
            <w:tcBorders>
              <w:top w:val="single" w:sz="2" w:space="0" w:color="000000"/>
              <w:left w:val="single" w:sz="2" w:space="0" w:color="000000"/>
              <w:bottom w:val="single" w:sz="2" w:space="0" w:color="000000"/>
              <w:right w:val="single" w:sz="2" w:space="0" w:color="000000"/>
            </w:tcBorders>
            <w:shd w:val="clear" w:color="auto" w:fill="6D2A78"/>
          </w:tcPr>
          <w:p w14:paraId="5E664D43" w14:textId="77777777" w:rsidR="001021CB" w:rsidRDefault="001021CB" w:rsidP="00C44824">
            <w:pPr>
              <w:spacing w:line="259" w:lineRule="auto"/>
              <w:ind w:left="120"/>
              <w:jc w:val="center"/>
              <w:rPr>
                <w:b/>
                <w:color w:val="FFFFFF"/>
                <w:sz w:val="18"/>
              </w:rPr>
            </w:pPr>
            <w:r>
              <w:rPr>
                <w:b/>
                <w:color w:val="FFFFFF"/>
                <w:sz w:val="18"/>
              </w:rPr>
              <w:t>2045-2050</w:t>
            </w:r>
          </w:p>
        </w:tc>
      </w:tr>
      <w:tr w:rsidR="002402DC" w14:paraId="50B574EA" w14:textId="77777777" w:rsidTr="002402DC">
        <w:tblPrEx>
          <w:tblCellMar>
            <w:top w:w="37" w:type="dxa"/>
            <w:right w:w="115" w:type="dxa"/>
          </w:tblCellMar>
        </w:tblPrEx>
        <w:trPr>
          <w:trHeight w:val="407"/>
        </w:trPr>
        <w:tc>
          <w:tcPr>
            <w:tcW w:w="5367" w:type="dxa"/>
            <w:tcBorders>
              <w:top w:val="single" w:sz="2" w:space="0" w:color="000000"/>
              <w:left w:val="single" w:sz="2" w:space="0" w:color="000000"/>
              <w:bottom w:val="single" w:sz="2" w:space="0" w:color="000000"/>
              <w:right w:val="single" w:sz="2" w:space="0" w:color="000000"/>
            </w:tcBorders>
          </w:tcPr>
          <w:p w14:paraId="752508CE" w14:textId="77777777" w:rsidR="001021CB" w:rsidRDefault="001021CB" w:rsidP="00C44824">
            <w:pPr>
              <w:spacing w:line="259" w:lineRule="auto"/>
              <w:ind w:left="28"/>
            </w:pPr>
            <w:r>
              <w:rPr>
                <w:sz w:val="18"/>
              </w:rPr>
              <w:t>AMS 2018</w:t>
            </w:r>
          </w:p>
        </w:tc>
        <w:tc>
          <w:tcPr>
            <w:tcW w:w="651" w:type="dxa"/>
            <w:tcBorders>
              <w:top w:val="single" w:sz="2" w:space="0" w:color="000000"/>
              <w:left w:val="single" w:sz="2" w:space="0" w:color="000000"/>
              <w:bottom w:val="single" w:sz="2" w:space="0" w:color="000000"/>
              <w:right w:val="single" w:sz="2" w:space="0" w:color="000000"/>
            </w:tcBorders>
          </w:tcPr>
          <w:p w14:paraId="28CFB9DA" w14:textId="77777777" w:rsidR="001021CB" w:rsidRDefault="001021CB" w:rsidP="00C44824">
            <w:pPr>
              <w:spacing w:line="259" w:lineRule="auto"/>
              <w:ind w:left="114"/>
              <w:jc w:val="center"/>
            </w:pPr>
            <w:r>
              <w:rPr>
                <w:sz w:val="18"/>
              </w:rPr>
              <w:t xml:space="preserve">1,6 </w:t>
            </w:r>
          </w:p>
        </w:tc>
        <w:tc>
          <w:tcPr>
            <w:tcW w:w="652" w:type="dxa"/>
            <w:tcBorders>
              <w:top w:val="single" w:sz="2" w:space="0" w:color="000000"/>
              <w:left w:val="single" w:sz="2" w:space="0" w:color="000000"/>
              <w:bottom w:val="single" w:sz="2" w:space="0" w:color="000000"/>
              <w:right w:val="single" w:sz="2" w:space="0" w:color="000000"/>
            </w:tcBorders>
          </w:tcPr>
          <w:p w14:paraId="4419B324" w14:textId="77777777" w:rsidR="001021CB" w:rsidRDefault="001021CB" w:rsidP="00C44824">
            <w:pPr>
              <w:spacing w:line="259" w:lineRule="auto"/>
              <w:ind w:left="115"/>
              <w:jc w:val="center"/>
            </w:pPr>
            <w:r>
              <w:rPr>
                <w:sz w:val="18"/>
              </w:rPr>
              <w:t xml:space="preserve">1,3 </w:t>
            </w:r>
          </w:p>
        </w:tc>
        <w:tc>
          <w:tcPr>
            <w:tcW w:w="653" w:type="dxa"/>
            <w:tcBorders>
              <w:top w:val="single" w:sz="2" w:space="0" w:color="000000"/>
              <w:left w:val="single" w:sz="2" w:space="0" w:color="000000"/>
              <w:bottom w:val="single" w:sz="2" w:space="0" w:color="000000"/>
              <w:right w:val="single" w:sz="2" w:space="0" w:color="000000"/>
            </w:tcBorders>
          </w:tcPr>
          <w:p w14:paraId="28FA48D7" w14:textId="77777777" w:rsidR="001021CB" w:rsidRDefault="001021CB" w:rsidP="00C44824">
            <w:pPr>
              <w:spacing w:line="259" w:lineRule="auto"/>
              <w:ind w:left="116"/>
              <w:jc w:val="center"/>
            </w:pPr>
            <w:r>
              <w:rPr>
                <w:sz w:val="18"/>
              </w:rPr>
              <w:t xml:space="preserve">1,4 </w:t>
            </w:r>
          </w:p>
        </w:tc>
        <w:tc>
          <w:tcPr>
            <w:tcW w:w="655" w:type="dxa"/>
            <w:tcBorders>
              <w:top w:val="single" w:sz="2" w:space="0" w:color="000000"/>
              <w:left w:val="single" w:sz="2" w:space="0" w:color="000000"/>
              <w:bottom w:val="single" w:sz="2" w:space="0" w:color="000000"/>
              <w:right w:val="single" w:sz="2" w:space="0" w:color="000000"/>
            </w:tcBorders>
          </w:tcPr>
          <w:p w14:paraId="24C93500" w14:textId="77777777" w:rsidR="001021CB" w:rsidRDefault="001021CB" w:rsidP="00C44824">
            <w:pPr>
              <w:spacing w:line="259" w:lineRule="auto"/>
              <w:ind w:left="118"/>
              <w:jc w:val="center"/>
            </w:pPr>
            <w:r>
              <w:rPr>
                <w:sz w:val="18"/>
              </w:rPr>
              <w:t xml:space="preserve">1,7 </w:t>
            </w:r>
          </w:p>
        </w:tc>
        <w:tc>
          <w:tcPr>
            <w:tcW w:w="655" w:type="dxa"/>
            <w:tcBorders>
              <w:top w:val="single" w:sz="2" w:space="0" w:color="000000"/>
              <w:left w:val="single" w:sz="2" w:space="0" w:color="000000"/>
              <w:bottom w:val="single" w:sz="2" w:space="0" w:color="000000"/>
              <w:right w:val="single" w:sz="2" w:space="0" w:color="000000"/>
            </w:tcBorders>
          </w:tcPr>
          <w:p w14:paraId="5603131F" w14:textId="77777777" w:rsidR="001021CB" w:rsidRDefault="001021CB" w:rsidP="00C44824">
            <w:pPr>
              <w:spacing w:line="259" w:lineRule="auto"/>
              <w:ind w:left="118"/>
              <w:jc w:val="center"/>
              <w:rPr>
                <w:sz w:val="18"/>
              </w:rPr>
            </w:pPr>
            <w:r>
              <w:rPr>
                <w:sz w:val="18"/>
              </w:rPr>
              <w:t>1,7</w:t>
            </w:r>
          </w:p>
        </w:tc>
        <w:tc>
          <w:tcPr>
            <w:tcW w:w="655" w:type="dxa"/>
            <w:tcBorders>
              <w:top w:val="single" w:sz="2" w:space="0" w:color="000000"/>
              <w:left w:val="single" w:sz="2" w:space="0" w:color="000000"/>
              <w:bottom w:val="single" w:sz="2" w:space="0" w:color="000000"/>
              <w:right w:val="single" w:sz="2" w:space="0" w:color="000000"/>
            </w:tcBorders>
          </w:tcPr>
          <w:p w14:paraId="4F016919" w14:textId="77777777" w:rsidR="001021CB" w:rsidRDefault="001021CB" w:rsidP="00C44824">
            <w:pPr>
              <w:spacing w:line="259" w:lineRule="auto"/>
              <w:ind w:left="118"/>
              <w:jc w:val="center"/>
              <w:rPr>
                <w:sz w:val="18"/>
              </w:rPr>
            </w:pPr>
            <w:r>
              <w:rPr>
                <w:sz w:val="18"/>
              </w:rPr>
              <w:t>1,7</w:t>
            </w:r>
          </w:p>
        </w:tc>
        <w:tc>
          <w:tcPr>
            <w:tcW w:w="655" w:type="dxa"/>
            <w:tcBorders>
              <w:top w:val="single" w:sz="2" w:space="0" w:color="000000"/>
              <w:left w:val="single" w:sz="2" w:space="0" w:color="000000"/>
              <w:bottom w:val="single" w:sz="2" w:space="0" w:color="000000"/>
              <w:right w:val="single" w:sz="2" w:space="0" w:color="000000"/>
            </w:tcBorders>
          </w:tcPr>
          <w:p w14:paraId="0429BFF3" w14:textId="77777777" w:rsidR="001021CB" w:rsidRDefault="001021CB" w:rsidP="00C44824">
            <w:pPr>
              <w:spacing w:line="259" w:lineRule="auto"/>
              <w:ind w:left="118"/>
              <w:jc w:val="center"/>
              <w:rPr>
                <w:sz w:val="18"/>
              </w:rPr>
            </w:pPr>
            <w:r>
              <w:rPr>
                <w:sz w:val="18"/>
              </w:rPr>
              <w:t>1,7</w:t>
            </w:r>
          </w:p>
        </w:tc>
      </w:tr>
      <w:tr w:rsidR="00F36447" w14:paraId="7B2FDF01" w14:textId="77777777" w:rsidTr="002402DC">
        <w:tblPrEx>
          <w:tblCellMar>
            <w:top w:w="37" w:type="dxa"/>
            <w:right w:w="115" w:type="dxa"/>
          </w:tblCellMar>
        </w:tblPrEx>
        <w:trPr>
          <w:trHeight w:val="407"/>
        </w:trPr>
        <w:tc>
          <w:tcPr>
            <w:tcW w:w="5367" w:type="dxa"/>
            <w:tcBorders>
              <w:top w:val="single" w:sz="2" w:space="0" w:color="000000"/>
              <w:left w:val="single" w:sz="2" w:space="0" w:color="000000"/>
              <w:bottom w:val="single" w:sz="2" w:space="0" w:color="000000"/>
              <w:right w:val="single" w:sz="2" w:space="0" w:color="000000"/>
            </w:tcBorders>
          </w:tcPr>
          <w:p w14:paraId="18C816EF" w14:textId="0685348C" w:rsidR="00F36447" w:rsidRDefault="00F36447" w:rsidP="00F36447">
            <w:pPr>
              <w:spacing w:line="259" w:lineRule="auto"/>
              <w:ind w:left="28"/>
              <w:rPr>
                <w:sz w:val="18"/>
              </w:rPr>
            </w:pPr>
            <w:r>
              <w:rPr>
                <w:sz w:val="18"/>
              </w:rPr>
              <w:t>AME 2021</w:t>
            </w:r>
          </w:p>
        </w:tc>
        <w:tc>
          <w:tcPr>
            <w:tcW w:w="651" w:type="dxa"/>
            <w:tcBorders>
              <w:top w:val="single" w:sz="2" w:space="0" w:color="000000"/>
              <w:left w:val="single" w:sz="2" w:space="0" w:color="000000"/>
              <w:bottom w:val="single" w:sz="2" w:space="0" w:color="000000"/>
              <w:right w:val="single" w:sz="2" w:space="0" w:color="000000"/>
            </w:tcBorders>
          </w:tcPr>
          <w:p w14:paraId="4F248752" w14:textId="3CA38B4A" w:rsidR="00F36447" w:rsidRDefault="00F36447" w:rsidP="00F36447">
            <w:pPr>
              <w:spacing w:line="259" w:lineRule="auto"/>
              <w:ind w:left="114"/>
              <w:jc w:val="center"/>
              <w:rPr>
                <w:sz w:val="18"/>
              </w:rPr>
            </w:pPr>
            <w:r>
              <w:rPr>
                <w:sz w:val="18"/>
              </w:rPr>
              <w:t xml:space="preserve">1,31 </w:t>
            </w:r>
          </w:p>
        </w:tc>
        <w:tc>
          <w:tcPr>
            <w:tcW w:w="652" w:type="dxa"/>
            <w:tcBorders>
              <w:top w:val="single" w:sz="2" w:space="0" w:color="000000"/>
              <w:left w:val="single" w:sz="2" w:space="0" w:color="000000"/>
              <w:bottom w:val="single" w:sz="2" w:space="0" w:color="000000"/>
              <w:right w:val="single" w:sz="2" w:space="0" w:color="000000"/>
            </w:tcBorders>
          </w:tcPr>
          <w:p w14:paraId="47682CFB" w14:textId="6923617C" w:rsidR="00F36447" w:rsidRDefault="00F36447" w:rsidP="00F36447">
            <w:pPr>
              <w:spacing w:line="259" w:lineRule="auto"/>
              <w:ind w:left="115"/>
              <w:jc w:val="center"/>
              <w:rPr>
                <w:sz w:val="18"/>
              </w:rPr>
            </w:pPr>
            <w:r>
              <w:rPr>
                <w:sz w:val="18"/>
              </w:rPr>
              <w:t xml:space="preserve">-8,25 </w:t>
            </w:r>
          </w:p>
        </w:tc>
        <w:tc>
          <w:tcPr>
            <w:tcW w:w="653" w:type="dxa"/>
            <w:tcBorders>
              <w:top w:val="single" w:sz="2" w:space="0" w:color="000000"/>
              <w:left w:val="single" w:sz="2" w:space="0" w:color="000000"/>
              <w:bottom w:val="single" w:sz="2" w:space="0" w:color="000000"/>
              <w:right w:val="single" w:sz="2" w:space="0" w:color="000000"/>
            </w:tcBorders>
          </w:tcPr>
          <w:p w14:paraId="02926B02" w14:textId="0D5FB674" w:rsidR="00F36447" w:rsidRDefault="00F36447" w:rsidP="00F36447">
            <w:pPr>
              <w:spacing w:line="259" w:lineRule="auto"/>
              <w:ind w:left="116"/>
              <w:jc w:val="center"/>
              <w:rPr>
                <w:sz w:val="18"/>
              </w:rPr>
            </w:pPr>
            <w:r>
              <w:rPr>
                <w:sz w:val="18"/>
              </w:rPr>
              <w:t xml:space="preserve">7,4 </w:t>
            </w:r>
          </w:p>
        </w:tc>
        <w:tc>
          <w:tcPr>
            <w:tcW w:w="655" w:type="dxa"/>
            <w:tcBorders>
              <w:top w:val="single" w:sz="2" w:space="0" w:color="000000"/>
              <w:left w:val="single" w:sz="2" w:space="0" w:color="000000"/>
              <w:bottom w:val="single" w:sz="2" w:space="0" w:color="000000"/>
              <w:right w:val="single" w:sz="2" w:space="0" w:color="000000"/>
            </w:tcBorders>
          </w:tcPr>
          <w:p w14:paraId="461FECB0" w14:textId="2BE742E7" w:rsidR="00F36447" w:rsidRDefault="00F36447" w:rsidP="00F36447">
            <w:pPr>
              <w:spacing w:line="259" w:lineRule="auto"/>
              <w:ind w:left="118"/>
              <w:jc w:val="center"/>
              <w:rPr>
                <w:sz w:val="18"/>
              </w:rPr>
            </w:pPr>
            <w:r>
              <w:rPr>
                <w:sz w:val="18"/>
              </w:rPr>
              <w:t>1,77</w:t>
            </w:r>
          </w:p>
        </w:tc>
        <w:tc>
          <w:tcPr>
            <w:tcW w:w="655" w:type="dxa"/>
            <w:tcBorders>
              <w:top w:val="single" w:sz="2" w:space="0" w:color="000000"/>
              <w:left w:val="single" w:sz="2" w:space="0" w:color="000000"/>
              <w:bottom w:val="single" w:sz="2" w:space="0" w:color="000000"/>
              <w:right w:val="single" w:sz="2" w:space="0" w:color="000000"/>
            </w:tcBorders>
          </w:tcPr>
          <w:p w14:paraId="51C80849" w14:textId="61FE6BB0" w:rsidR="00F36447" w:rsidRDefault="00F36447" w:rsidP="00F36447">
            <w:pPr>
              <w:spacing w:line="259" w:lineRule="auto"/>
              <w:ind w:left="118"/>
              <w:jc w:val="center"/>
              <w:rPr>
                <w:sz w:val="18"/>
              </w:rPr>
            </w:pPr>
            <w:r>
              <w:rPr>
                <w:sz w:val="18"/>
              </w:rPr>
              <w:t>0,87</w:t>
            </w:r>
          </w:p>
        </w:tc>
        <w:tc>
          <w:tcPr>
            <w:tcW w:w="655" w:type="dxa"/>
            <w:tcBorders>
              <w:top w:val="single" w:sz="2" w:space="0" w:color="000000"/>
              <w:left w:val="single" w:sz="2" w:space="0" w:color="000000"/>
              <w:bottom w:val="single" w:sz="2" w:space="0" w:color="000000"/>
              <w:right w:val="single" w:sz="2" w:space="0" w:color="000000"/>
            </w:tcBorders>
          </w:tcPr>
          <w:p w14:paraId="01F2BC07" w14:textId="78761B9F" w:rsidR="00F36447" w:rsidRDefault="00F36447" w:rsidP="00F36447">
            <w:pPr>
              <w:spacing w:line="259" w:lineRule="auto"/>
              <w:ind w:left="118"/>
              <w:jc w:val="center"/>
              <w:rPr>
                <w:sz w:val="18"/>
              </w:rPr>
            </w:pPr>
            <w:r>
              <w:rPr>
                <w:sz w:val="18"/>
              </w:rPr>
              <w:t>1,33</w:t>
            </w:r>
          </w:p>
        </w:tc>
        <w:tc>
          <w:tcPr>
            <w:tcW w:w="655" w:type="dxa"/>
            <w:tcBorders>
              <w:top w:val="single" w:sz="2" w:space="0" w:color="000000"/>
              <w:left w:val="single" w:sz="2" w:space="0" w:color="000000"/>
              <w:bottom w:val="single" w:sz="2" w:space="0" w:color="000000"/>
              <w:right w:val="single" w:sz="2" w:space="0" w:color="000000"/>
            </w:tcBorders>
          </w:tcPr>
          <w:p w14:paraId="58241469" w14:textId="660E970C" w:rsidR="00F36447" w:rsidRDefault="00F36447" w:rsidP="00F36447">
            <w:pPr>
              <w:spacing w:line="259" w:lineRule="auto"/>
              <w:ind w:left="118"/>
              <w:jc w:val="center"/>
              <w:rPr>
                <w:sz w:val="18"/>
              </w:rPr>
            </w:pPr>
            <w:r>
              <w:rPr>
                <w:sz w:val="18"/>
              </w:rPr>
              <w:t>1,63</w:t>
            </w:r>
          </w:p>
        </w:tc>
      </w:tr>
    </w:tbl>
    <w:p w14:paraId="642ADE1B" w14:textId="0435C9B6" w:rsidR="002402DC" w:rsidRDefault="002402DC" w:rsidP="0045532B">
      <w:pPr>
        <w:pStyle w:val="Caption"/>
      </w:pPr>
      <w:bookmarkStart w:id="583" w:name="_Toc123916531"/>
      <w:r>
        <w:t xml:space="preserve">Tableau </w:t>
      </w:r>
      <w:fldSimple w:instr=" SEQ Tableau \* ARABIC ">
        <w:r w:rsidR="00AB51D9">
          <w:rPr>
            <w:noProof/>
          </w:rPr>
          <w:t>39</w:t>
        </w:r>
      </w:fldSimple>
      <w:r>
        <w:t> : Hypothèses de croissance du PIB</w:t>
      </w:r>
      <w:bookmarkEnd w:id="583"/>
      <w:r>
        <w:t xml:space="preserve"> </w:t>
      </w:r>
    </w:p>
    <w:p w14:paraId="4DF51BD9" w14:textId="73BA4048" w:rsidR="002402DC" w:rsidRPr="00AE5863" w:rsidRDefault="002402DC" w:rsidP="00AE5863">
      <w:pPr>
        <w:pStyle w:val="Caption"/>
        <w:rPr>
          <w:color w:val="auto"/>
          <w:sz w:val="21"/>
        </w:rPr>
      </w:pPr>
      <w:r>
        <w:t>Source : Cadrage économique de l’UE pour la France</w:t>
      </w:r>
      <w:r w:rsidR="00260E0B">
        <w:t xml:space="preserve"> </w:t>
      </w:r>
    </w:p>
    <w:p w14:paraId="4797ACD7" w14:textId="77777777" w:rsidR="002402DC" w:rsidRDefault="002402DC" w:rsidP="00EF6DB6">
      <w:pPr>
        <w:pStyle w:val="Titre4niveau4"/>
      </w:pPr>
      <w:r>
        <w:t>Hypothèses sur la production industrielle</w:t>
      </w:r>
    </w:p>
    <w:p w14:paraId="20CE89C0" w14:textId="77777777" w:rsidR="002402DC" w:rsidRDefault="002402DC" w:rsidP="002402DC">
      <w:pPr>
        <w:spacing w:after="43" w:line="259" w:lineRule="auto"/>
        <w:ind w:left="-1"/>
      </w:pPr>
      <w:r>
        <w:t>La valeur ajoutée industrielle a été indexée sur le PIB jusqu’à 2025 de manière à refléter l’impact de la crise sanitaire, puis reprend la trajectoire de l’AMS 2018 ensuite (la trajectoire de l’AME 2018, avec une forte croissance jusqu’à 2030 puis un ralentissement marqué ayant été jugée obsolète). La trajectoire de l’AME 21 est par ailleurs globalement alignée avec celle incluse dans le scénario de référence de la Commission européenne («</w:t>
      </w:r>
      <w:r>
        <w:rPr>
          <w:rFonts w:ascii="Tahoma" w:hAnsi="Tahoma" w:cs="Tahoma"/>
        </w:rPr>
        <w:t> </w:t>
      </w:r>
      <w:r>
        <w:t>EC ref</w:t>
      </w:r>
      <w:r>
        <w:rPr>
          <w:rFonts w:ascii="Tahoma" w:hAnsi="Tahoma" w:cs="Tahoma"/>
        </w:rPr>
        <w:t> </w:t>
      </w:r>
      <w:r w:rsidRPr="00D8357F">
        <w:t>»), même si plus dynamique entre 2025 et 2040.</w:t>
      </w:r>
    </w:p>
    <w:p w14:paraId="791B13DB" w14:textId="77777777" w:rsidR="002402DC" w:rsidRDefault="002402DC" w:rsidP="001021CB"/>
    <w:p w14:paraId="406CE384" w14:textId="60D8F8B2" w:rsidR="002402DC" w:rsidRDefault="002402DC" w:rsidP="007E2D6F">
      <w:pPr>
        <w:jc w:val="center"/>
      </w:pPr>
      <w:r>
        <w:rPr>
          <w:noProof/>
        </w:rPr>
        <w:drawing>
          <wp:inline distT="0" distB="0" distL="0" distR="0" wp14:anchorId="54A76DDF" wp14:editId="362EDD1A">
            <wp:extent cx="4593981" cy="3143738"/>
            <wp:effectExtent l="0" t="0" r="16510" b="0"/>
            <wp:docPr id="28710" name="Graphique 287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769A13B" w14:textId="77777777" w:rsidR="002402DC" w:rsidRDefault="002402DC" w:rsidP="001021CB"/>
    <w:tbl>
      <w:tblPr>
        <w:tblStyle w:val="TableGrid0"/>
        <w:tblW w:w="9943" w:type="dxa"/>
        <w:tblInd w:w="7" w:type="dxa"/>
        <w:tblCellMar>
          <w:top w:w="37" w:type="dxa"/>
          <w:right w:w="115" w:type="dxa"/>
        </w:tblCellMar>
        <w:tblLook w:val="04A0" w:firstRow="1" w:lastRow="0" w:firstColumn="1" w:lastColumn="0" w:noHBand="0" w:noVBand="1"/>
      </w:tblPr>
      <w:tblGrid>
        <w:gridCol w:w="5358"/>
        <w:gridCol w:w="685"/>
        <w:gridCol w:w="652"/>
        <w:gridCol w:w="648"/>
        <w:gridCol w:w="650"/>
        <w:gridCol w:w="650"/>
        <w:gridCol w:w="650"/>
        <w:gridCol w:w="650"/>
      </w:tblGrid>
      <w:tr w:rsidR="002402DC" w14:paraId="664DC602" w14:textId="77777777" w:rsidTr="00C44824">
        <w:trPr>
          <w:trHeight w:val="378"/>
        </w:trPr>
        <w:tc>
          <w:tcPr>
            <w:tcW w:w="6163" w:type="dxa"/>
            <w:tcBorders>
              <w:top w:val="single" w:sz="2" w:space="0" w:color="000000"/>
              <w:left w:val="single" w:sz="2" w:space="0" w:color="000000"/>
              <w:bottom w:val="single" w:sz="2" w:space="0" w:color="000000"/>
              <w:right w:val="single" w:sz="2" w:space="0" w:color="000000"/>
            </w:tcBorders>
            <w:shd w:val="clear" w:color="auto" w:fill="6D2A78"/>
          </w:tcPr>
          <w:p w14:paraId="204E50FE" w14:textId="4B40ED5C" w:rsidR="002402DC" w:rsidRDefault="002402DC" w:rsidP="00C44824">
            <w:pPr>
              <w:spacing w:line="259" w:lineRule="auto"/>
              <w:ind w:left="28"/>
            </w:pPr>
            <w:r>
              <w:rPr>
                <w:b/>
                <w:color w:val="FFFFFF"/>
                <w:sz w:val="18"/>
              </w:rPr>
              <w:t>Taux de croissance annuel moyen</w:t>
            </w:r>
            <w:r w:rsidR="00260E0B">
              <w:rPr>
                <w:b/>
                <w:color w:val="FFFFFF"/>
                <w:sz w:val="18"/>
              </w:rPr>
              <w:t xml:space="preserve"> </w:t>
            </w:r>
            <w:r>
              <w:rPr>
                <w:b/>
                <w:color w:val="FFFFFF"/>
                <w:sz w:val="18"/>
              </w:rPr>
              <w:t>de la valeur ajoutée industrielle</w:t>
            </w:r>
          </w:p>
        </w:tc>
        <w:tc>
          <w:tcPr>
            <w:tcW w:w="557" w:type="dxa"/>
            <w:tcBorders>
              <w:top w:val="single" w:sz="2" w:space="0" w:color="000000"/>
              <w:left w:val="single" w:sz="2" w:space="0" w:color="000000"/>
              <w:bottom w:val="single" w:sz="2" w:space="0" w:color="000000"/>
              <w:right w:val="single" w:sz="2" w:space="0" w:color="000000"/>
            </w:tcBorders>
            <w:shd w:val="clear" w:color="auto" w:fill="6D2A78"/>
          </w:tcPr>
          <w:p w14:paraId="7785E761" w14:textId="77777777" w:rsidR="002402DC" w:rsidRDefault="002402DC" w:rsidP="00C44824">
            <w:pPr>
              <w:spacing w:line="259" w:lineRule="auto"/>
              <w:ind w:left="116"/>
              <w:jc w:val="center"/>
            </w:pPr>
            <w:r>
              <w:rPr>
                <w:b/>
                <w:color w:val="FFFFFF"/>
                <w:sz w:val="18"/>
              </w:rPr>
              <w:t xml:space="preserve">2015-2020 </w:t>
            </w:r>
          </w:p>
        </w:tc>
        <w:tc>
          <w:tcPr>
            <w:tcW w:w="532" w:type="dxa"/>
            <w:tcBorders>
              <w:top w:val="single" w:sz="2" w:space="0" w:color="000000"/>
              <w:left w:val="single" w:sz="2" w:space="0" w:color="000000"/>
              <w:bottom w:val="single" w:sz="2" w:space="0" w:color="000000"/>
              <w:right w:val="single" w:sz="2" w:space="0" w:color="000000"/>
            </w:tcBorders>
            <w:shd w:val="clear" w:color="auto" w:fill="6D2A78"/>
          </w:tcPr>
          <w:p w14:paraId="670A5C89" w14:textId="77777777" w:rsidR="002402DC" w:rsidRDefault="002402DC" w:rsidP="00C44824">
            <w:pPr>
              <w:spacing w:line="259" w:lineRule="auto"/>
              <w:ind w:left="117"/>
              <w:jc w:val="center"/>
            </w:pPr>
            <w:r>
              <w:rPr>
                <w:b/>
                <w:color w:val="FFFFFF"/>
                <w:sz w:val="18"/>
              </w:rPr>
              <w:t xml:space="preserve">2020-2025 </w:t>
            </w:r>
          </w:p>
        </w:tc>
        <w:tc>
          <w:tcPr>
            <w:tcW w:w="555" w:type="dxa"/>
            <w:tcBorders>
              <w:top w:val="single" w:sz="2" w:space="0" w:color="000000"/>
              <w:left w:val="single" w:sz="2" w:space="0" w:color="000000"/>
              <w:bottom w:val="single" w:sz="2" w:space="0" w:color="000000"/>
              <w:right w:val="single" w:sz="2" w:space="0" w:color="000000"/>
            </w:tcBorders>
            <w:shd w:val="clear" w:color="auto" w:fill="6D2A78"/>
          </w:tcPr>
          <w:p w14:paraId="138CEDFB" w14:textId="77777777" w:rsidR="002402DC" w:rsidRDefault="002402DC" w:rsidP="00C44824">
            <w:pPr>
              <w:spacing w:line="259" w:lineRule="auto"/>
              <w:ind w:left="113"/>
              <w:jc w:val="center"/>
            </w:pPr>
            <w:r>
              <w:rPr>
                <w:b/>
                <w:color w:val="FFFFFF"/>
                <w:sz w:val="18"/>
              </w:rPr>
              <w:t xml:space="preserve">2025-2030 </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2092737A" w14:textId="77777777" w:rsidR="002402DC" w:rsidRDefault="002402DC" w:rsidP="00C44824">
            <w:pPr>
              <w:spacing w:line="259" w:lineRule="auto"/>
              <w:ind w:left="115"/>
              <w:jc w:val="center"/>
            </w:pPr>
            <w:r>
              <w:rPr>
                <w:b/>
                <w:color w:val="FFFFFF"/>
                <w:sz w:val="18"/>
              </w:rPr>
              <w:t xml:space="preserve">2030-2035 </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2D64D920" w14:textId="77777777" w:rsidR="002402DC" w:rsidRDefault="002402DC" w:rsidP="00C44824">
            <w:pPr>
              <w:spacing w:line="259" w:lineRule="auto"/>
              <w:ind w:left="115"/>
              <w:jc w:val="center"/>
              <w:rPr>
                <w:b/>
                <w:color w:val="FFFFFF"/>
                <w:sz w:val="18"/>
              </w:rPr>
            </w:pPr>
            <w:r>
              <w:rPr>
                <w:b/>
                <w:color w:val="FFFFFF"/>
                <w:sz w:val="18"/>
              </w:rPr>
              <w:t>2036-2040</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10EA773F" w14:textId="77777777" w:rsidR="002402DC" w:rsidRDefault="002402DC" w:rsidP="00C44824">
            <w:pPr>
              <w:spacing w:line="259" w:lineRule="auto"/>
              <w:ind w:left="115"/>
              <w:jc w:val="center"/>
              <w:rPr>
                <w:b/>
                <w:color w:val="FFFFFF"/>
                <w:sz w:val="18"/>
              </w:rPr>
            </w:pPr>
            <w:r>
              <w:rPr>
                <w:b/>
                <w:color w:val="FFFFFF"/>
                <w:sz w:val="18"/>
              </w:rPr>
              <w:t>2041-2045</w:t>
            </w:r>
          </w:p>
        </w:tc>
        <w:tc>
          <w:tcPr>
            <w:tcW w:w="534" w:type="dxa"/>
            <w:tcBorders>
              <w:top w:val="single" w:sz="2" w:space="0" w:color="000000"/>
              <w:left w:val="single" w:sz="2" w:space="0" w:color="000000"/>
              <w:bottom w:val="single" w:sz="2" w:space="0" w:color="000000"/>
              <w:right w:val="single" w:sz="2" w:space="0" w:color="000000"/>
            </w:tcBorders>
            <w:shd w:val="clear" w:color="auto" w:fill="6D2A78"/>
          </w:tcPr>
          <w:p w14:paraId="0DED5E77" w14:textId="77777777" w:rsidR="002402DC" w:rsidRDefault="002402DC" w:rsidP="00C44824">
            <w:pPr>
              <w:spacing w:line="259" w:lineRule="auto"/>
              <w:ind w:left="115"/>
              <w:jc w:val="center"/>
              <w:rPr>
                <w:b/>
                <w:color w:val="FFFFFF"/>
                <w:sz w:val="18"/>
              </w:rPr>
            </w:pPr>
            <w:r>
              <w:rPr>
                <w:b/>
                <w:color w:val="FFFFFF"/>
                <w:sz w:val="18"/>
              </w:rPr>
              <w:t>2046-2050</w:t>
            </w:r>
          </w:p>
        </w:tc>
      </w:tr>
      <w:tr w:rsidR="002402DC" w14:paraId="6D68F875" w14:textId="77777777" w:rsidTr="00C44824">
        <w:trPr>
          <w:trHeight w:val="407"/>
        </w:trPr>
        <w:tc>
          <w:tcPr>
            <w:tcW w:w="6163" w:type="dxa"/>
            <w:tcBorders>
              <w:top w:val="single" w:sz="2" w:space="0" w:color="000000"/>
              <w:left w:val="single" w:sz="2" w:space="0" w:color="000000"/>
              <w:bottom w:val="single" w:sz="2" w:space="0" w:color="000000"/>
              <w:right w:val="single" w:sz="2" w:space="0" w:color="000000"/>
            </w:tcBorders>
          </w:tcPr>
          <w:p w14:paraId="50B21F34" w14:textId="77777777" w:rsidR="002402DC" w:rsidRDefault="002402DC" w:rsidP="00C44824">
            <w:pPr>
              <w:spacing w:line="259" w:lineRule="auto"/>
              <w:ind w:left="28"/>
            </w:pPr>
            <w:r>
              <w:rPr>
                <w:sz w:val="18"/>
              </w:rPr>
              <w:t xml:space="preserve">AME 2021 </w:t>
            </w:r>
          </w:p>
        </w:tc>
        <w:tc>
          <w:tcPr>
            <w:tcW w:w="557" w:type="dxa"/>
            <w:tcBorders>
              <w:top w:val="single" w:sz="2" w:space="0" w:color="000000"/>
              <w:left w:val="single" w:sz="2" w:space="0" w:color="000000"/>
              <w:bottom w:val="single" w:sz="2" w:space="0" w:color="000000"/>
              <w:right w:val="single" w:sz="2" w:space="0" w:color="000000"/>
            </w:tcBorders>
          </w:tcPr>
          <w:p w14:paraId="5C63FDFB" w14:textId="77777777" w:rsidR="002402DC" w:rsidRDefault="002402DC" w:rsidP="00C44824">
            <w:pPr>
              <w:spacing w:line="259" w:lineRule="auto"/>
              <w:ind w:left="119"/>
              <w:jc w:val="center"/>
              <w:rPr>
                <w:sz w:val="18"/>
              </w:rPr>
            </w:pPr>
          </w:p>
          <w:p w14:paraId="03137C33" w14:textId="77777777" w:rsidR="002402DC" w:rsidRDefault="002402DC" w:rsidP="00C44824">
            <w:pPr>
              <w:spacing w:line="259" w:lineRule="auto"/>
              <w:ind w:left="119"/>
              <w:jc w:val="center"/>
              <w:rPr>
                <w:sz w:val="18"/>
              </w:rPr>
            </w:pPr>
            <w:r>
              <w:rPr>
                <w:sz w:val="18"/>
              </w:rPr>
              <w:t>2019</w:t>
            </w:r>
            <w:r>
              <w:rPr>
                <w:rFonts w:ascii="Calibri" w:hAnsi="Calibri" w:cs="Calibri"/>
                <w:sz w:val="18"/>
              </w:rPr>
              <w:t> </w:t>
            </w:r>
            <w:r>
              <w:rPr>
                <w:sz w:val="18"/>
              </w:rPr>
              <w:t>: 1,4</w:t>
            </w:r>
          </w:p>
          <w:p w14:paraId="1D90673A" w14:textId="77777777" w:rsidR="002402DC" w:rsidRDefault="002402DC" w:rsidP="00C44824">
            <w:pPr>
              <w:spacing w:line="259" w:lineRule="auto"/>
              <w:ind w:left="119"/>
              <w:jc w:val="center"/>
            </w:pPr>
            <w:r>
              <w:rPr>
                <w:sz w:val="18"/>
              </w:rPr>
              <w:t>2020</w:t>
            </w:r>
            <w:r>
              <w:rPr>
                <w:rFonts w:ascii="Calibri" w:hAnsi="Calibri" w:cs="Calibri"/>
                <w:sz w:val="18"/>
              </w:rPr>
              <w:t> </w:t>
            </w:r>
            <w:r>
              <w:rPr>
                <w:sz w:val="18"/>
              </w:rPr>
              <w:t>: -8,3</w:t>
            </w:r>
          </w:p>
        </w:tc>
        <w:tc>
          <w:tcPr>
            <w:tcW w:w="532" w:type="dxa"/>
            <w:tcBorders>
              <w:top w:val="single" w:sz="2" w:space="0" w:color="000000"/>
              <w:left w:val="single" w:sz="2" w:space="0" w:color="000000"/>
              <w:bottom w:val="single" w:sz="2" w:space="0" w:color="000000"/>
              <w:right w:val="single" w:sz="2" w:space="0" w:color="000000"/>
            </w:tcBorders>
          </w:tcPr>
          <w:p w14:paraId="47D4E67A" w14:textId="77777777" w:rsidR="002402DC" w:rsidRDefault="002402DC" w:rsidP="00C44824">
            <w:pPr>
              <w:spacing w:line="259" w:lineRule="auto"/>
              <w:ind w:left="117"/>
              <w:jc w:val="center"/>
            </w:pPr>
            <w:bookmarkStart w:id="584" w:name="OLE_LINK53"/>
            <w:r>
              <w:rPr>
                <w:sz w:val="18"/>
              </w:rPr>
              <w:t>2,63</w:t>
            </w:r>
            <w:bookmarkEnd w:id="584"/>
          </w:p>
        </w:tc>
        <w:tc>
          <w:tcPr>
            <w:tcW w:w="555" w:type="dxa"/>
            <w:tcBorders>
              <w:top w:val="single" w:sz="2" w:space="0" w:color="000000"/>
              <w:left w:val="single" w:sz="2" w:space="0" w:color="000000"/>
              <w:bottom w:val="single" w:sz="2" w:space="0" w:color="000000"/>
              <w:right w:val="single" w:sz="2" w:space="0" w:color="000000"/>
            </w:tcBorders>
          </w:tcPr>
          <w:p w14:paraId="4D9AAEF6" w14:textId="77777777" w:rsidR="002402DC" w:rsidRDefault="002402DC" w:rsidP="00C44824">
            <w:pPr>
              <w:spacing w:line="259" w:lineRule="auto"/>
              <w:ind w:left="116"/>
              <w:jc w:val="center"/>
            </w:pPr>
            <w:r>
              <w:rPr>
                <w:sz w:val="18"/>
              </w:rPr>
              <w:t>0,9</w:t>
            </w:r>
          </w:p>
        </w:tc>
        <w:tc>
          <w:tcPr>
            <w:tcW w:w="534" w:type="dxa"/>
            <w:tcBorders>
              <w:top w:val="single" w:sz="2" w:space="0" w:color="000000"/>
              <w:left w:val="single" w:sz="2" w:space="0" w:color="000000"/>
              <w:bottom w:val="single" w:sz="2" w:space="0" w:color="000000"/>
              <w:right w:val="single" w:sz="2" w:space="0" w:color="000000"/>
            </w:tcBorders>
          </w:tcPr>
          <w:p w14:paraId="4236E8A3" w14:textId="77777777" w:rsidR="002402DC" w:rsidRDefault="002402DC" w:rsidP="00C44824">
            <w:pPr>
              <w:spacing w:line="259" w:lineRule="auto"/>
              <w:ind w:left="118"/>
              <w:jc w:val="center"/>
            </w:pPr>
            <w:r>
              <w:rPr>
                <w:sz w:val="18"/>
              </w:rPr>
              <w:t>1,</w:t>
            </w:r>
          </w:p>
        </w:tc>
        <w:tc>
          <w:tcPr>
            <w:tcW w:w="534" w:type="dxa"/>
            <w:tcBorders>
              <w:top w:val="single" w:sz="2" w:space="0" w:color="000000"/>
              <w:left w:val="single" w:sz="2" w:space="0" w:color="000000"/>
              <w:bottom w:val="single" w:sz="2" w:space="0" w:color="000000"/>
              <w:right w:val="single" w:sz="2" w:space="0" w:color="000000"/>
            </w:tcBorders>
          </w:tcPr>
          <w:p w14:paraId="4F8783D0" w14:textId="77777777" w:rsidR="002402DC" w:rsidRDefault="002402DC" w:rsidP="00C44824">
            <w:pPr>
              <w:spacing w:line="259" w:lineRule="auto"/>
              <w:ind w:left="118"/>
              <w:jc w:val="center"/>
              <w:rPr>
                <w:sz w:val="18"/>
              </w:rPr>
            </w:pPr>
            <w:r>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1CD8B129" w14:textId="77777777" w:rsidR="002402DC" w:rsidRDefault="002402DC" w:rsidP="00C44824">
            <w:pPr>
              <w:spacing w:line="259" w:lineRule="auto"/>
              <w:ind w:left="118"/>
              <w:jc w:val="center"/>
              <w:rPr>
                <w:sz w:val="18"/>
              </w:rPr>
            </w:pPr>
            <w:r>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40112944" w14:textId="77777777" w:rsidR="002402DC" w:rsidRDefault="002402DC" w:rsidP="00C44824">
            <w:pPr>
              <w:spacing w:line="259" w:lineRule="auto"/>
              <w:ind w:left="118"/>
              <w:jc w:val="center"/>
              <w:rPr>
                <w:sz w:val="18"/>
              </w:rPr>
            </w:pPr>
            <w:r>
              <w:rPr>
                <w:sz w:val="18"/>
              </w:rPr>
              <w:t>1,3</w:t>
            </w:r>
          </w:p>
        </w:tc>
      </w:tr>
      <w:tr w:rsidR="002402DC" w14:paraId="31B20771" w14:textId="77777777" w:rsidTr="00C44824">
        <w:trPr>
          <w:trHeight w:val="407"/>
        </w:trPr>
        <w:tc>
          <w:tcPr>
            <w:tcW w:w="6163" w:type="dxa"/>
            <w:tcBorders>
              <w:top w:val="single" w:sz="2" w:space="0" w:color="000000"/>
              <w:left w:val="single" w:sz="2" w:space="0" w:color="000000"/>
              <w:bottom w:val="single" w:sz="2" w:space="0" w:color="000000"/>
              <w:right w:val="single" w:sz="2" w:space="0" w:color="000000"/>
            </w:tcBorders>
          </w:tcPr>
          <w:p w14:paraId="6F1089C7" w14:textId="77777777" w:rsidR="002402DC" w:rsidRDefault="002402DC" w:rsidP="00C44824">
            <w:pPr>
              <w:spacing w:line="259" w:lineRule="auto"/>
              <w:ind w:left="28"/>
              <w:rPr>
                <w:sz w:val="18"/>
              </w:rPr>
            </w:pPr>
            <w:r>
              <w:rPr>
                <w:sz w:val="18"/>
              </w:rPr>
              <w:t>AMS 2018</w:t>
            </w:r>
          </w:p>
        </w:tc>
        <w:tc>
          <w:tcPr>
            <w:tcW w:w="557" w:type="dxa"/>
            <w:tcBorders>
              <w:top w:val="single" w:sz="2" w:space="0" w:color="000000"/>
              <w:left w:val="single" w:sz="2" w:space="0" w:color="000000"/>
              <w:bottom w:val="single" w:sz="2" w:space="0" w:color="000000"/>
              <w:right w:val="single" w:sz="2" w:space="0" w:color="000000"/>
            </w:tcBorders>
          </w:tcPr>
          <w:p w14:paraId="68827912" w14:textId="77777777" w:rsidR="002402DC" w:rsidRDefault="002402DC" w:rsidP="00C44824">
            <w:pPr>
              <w:spacing w:line="259" w:lineRule="auto"/>
              <w:ind w:left="119"/>
              <w:jc w:val="center"/>
              <w:rPr>
                <w:sz w:val="18"/>
              </w:rPr>
            </w:pPr>
            <w:r>
              <w:rPr>
                <w:sz w:val="18"/>
              </w:rPr>
              <w:t xml:space="preserve">1,4 </w:t>
            </w:r>
          </w:p>
        </w:tc>
        <w:tc>
          <w:tcPr>
            <w:tcW w:w="532" w:type="dxa"/>
            <w:tcBorders>
              <w:top w:val="single" w:sz="2" w:space="0" w:color="000000"/>
              <w:left w:val="single" w:sz="2" w:space="0" w:color="000000"/>
              <w:bottom w:val="single" w:sz="2" w:space="0" w:color="000000"/>
              <w:right w:val="single" w:sz="2" w:space="0" w:color="000000"/>
            </w:tcBorders>
          </w:tcPr>
          <w:p w14:paraId="706BA963" w14:textId="77777777" w:rsidR="002402DC" w:rsidRDefault="002402DC" w:rsidP="00C44824">
            <w:pPr>
              <w:spacing w:line="259" w:lineRule="auto"/>
              <w:ind w:left="117"/>
              <w:jc w:val="center"/>
              <w:rPr>
                <w:sz w:val="18"/>
              </w:rPr>
            </w:pPr>
            <w:r>
              <w:rPr>
                <w:sz w:val="18"/>
              </w:rPr>
              <w:t xml:space="preserve">1 </w:t>
            </w:r>
          </w:p>
        </w:tc>
        <w:tc>
          <w:tcPr>
            <w:tcW w:w="555" w:type="dxa"/>
            <w:tcBorders>
              <w:top w:val="single" w:sz="2" w:space="0" w:color="000000"/>
              <w:left w:val="single" w:sz="2" w:space="0" w:color="000000"/>
              <w:bottom w:val="single" w:sz="2" w:space="0" w:color="000000"/>
              <w:right w:val="single" w:sz="2" w:space="0" w:color="000000"/>
            </w:tcBorders>
          </w:tcPr>
          <w:p w14:paraId="6D4E32D9" w14:textId="77777777" w:rsidR="002402DC" w:rsidRDefault="002402DC" w:rsidP="00C44824">
            <w:pPr>
              <w:spacing w:line="259" w:lineRule="auto"/>
              <w:ind w:left="116"/>
              <w:jc w:val="center"/>
              <w:rPr>
                <w:sz w:val="18"/>
              </w:rPr>
            </w:pPr>
            <w:r>
              <w:rPr>
                <w:sz w:val="18"/>
              </w:rPr>
              <w:t xml:space="preserve">1,1 </w:t>
            </w:r>
          </w:p>
        </w:tc>
        <w:tc>
          <w:tcPr>
            <w:tcW w:w="534" w:type="dxa"/>
            <w:tcBorders>
              <w:top w:val="single" w:sz="2" w:space="0" w:color="000000"/>
              <w:left w:val="single" w:sz="2" w:space="0" w:color="000000"/>
              <w:bottom w:val="single" w:sz="2" w:space="0" w:color="000000"/>
              <w:right w:val="single" w:sz="2" w:space="0" w:color="000000"/>
            </w:tcBorders>
          </w:tcPr>
          <w:p w14:paraId="6C01A0A5" w14:textId="77777777" w:rsidR="002402DC" w:rsidRDefault="002402DC" w:rsidP="00C44824">
            <w:pPr>
              <w:spacing w:line="259" w:lineRule="auto"/>
              <w:ind w:left="118"/>
              <w:jc w:val="center"/>
              <w:rPr>
                <w:sz w:val="18"/>
              </w:rPr>
            </w:pPr>
            <w:r>
              <w:rPr>
                <w:sz w:val="18"/>
              </w:rPr>
              <w:t xml:space="preserve">1,3 </w:t>
            </w:r>
          </w:p>
        </w:tc>
        <w:tc>
          <w:tcPr>
            <w:tcW w:w="534" w:type="dxa"/>
            <w:tcBorders>
              <w:top w:val="single" w:sz="2" w:space="0" w:color="000000"/>
              <w:left w:val="single" w:sz="2" w:space="0" w:color="000000"/>
              <w:bottom w:val="single" w:sz="2" w:space="0" w:color="000000"/>
              <w:right w:val="single" w:sz="2" w:space="0" w:color="000000"/>
            </w:tcBorders>
          </w:tcPr>
          <w:p w14:paraId="157CD6DA" w14:textId="77777777" w:rsidR="002402DC" w:rsidRDefault="002402DC" w:rsidP="00C44824">
            <w:pPr>
              <w:spacing w:line="259" w:lineRule="auto"/>
              <w:ind w:left="118"/>
              <w:jc w:val="center"/>
              <w:rPr>
                <w:sz w:val="18"/>
              </w:rPr>
            </w:pPr>
            <w:r>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714B14E0" w14:textId="77777777" w:rsidR="002402DC" w:rsidRDefault="002402DC" w:rsidP="00C44824">
            <w:pPr>
              <w:spacing w:line="259" w:lineRule="auto"/>
              <w:ind w:left="118"/>
              <w:jc w:val="center"/>
              <w:rPr>
                <w:sz w:val="18"/>
              </w:rPr>
            </w:pPr>
            <w:r>
              <w:rPr>
                <w:sz w:val="18"/>
              </w:rPr>
              <w:t>1,3</w:t>
            </w:r>
          </w:p>
        </w:tc>
        <w:tc>
          <w:tcPr>
            <w:tcW w:w="534" w:type="dxa"/>
            <w:tcBorders>
              <w:top w:val="single" w:sz="2" w:space="0" w:color="000000"/>
              <w:left w:val="single" w:sz="2" w:space="0" w:color="000000"/>
              <w:bottom w:val="single" w:sz="2" w:space="0" w:color="000000"/>
              <w:right w:val="single" w:sz="2" w:space="0" w:color="000000"/>
            </w:tcBorders>
          </w:tcPr>
          <w:p w14:paraId="686CD19B" w14:textId="77777777" w:rsidR="002402DC" w:rsidRDefault="002402DC" w:rsidP="00C44824">
            <w:pPr>
              <w:spacing w:line="259" w:lineRule="auto"/>
              <w:ind w:left="118"/>
              <w:jc w:val="center"/>
              <w:rPr>
                <w:sz w:val="18"/>
              </w:rPr>
            </w:pPr>
            <w:r>
              <w:rPr>
                <w:sz w:val="18"/>
              </w:rPr>
              <w:t>1,3</w:t>
            </w:r>
          </w:p>
        </w:tc>
      </w:tr>
    </w:tbl>
    <w:p w14:paraId="1B41E37C" w14:textId="2C160D0C" w:rsidR="002402DC" w:rsidRDefault="002402DC" w:rsidP="0045532B">
      <w:pPr>
        <w:pStyle w:val="Caption"/>
      </w:pPr>
      <w:bookmarkStart w:id="585" w:name="_Toc123916532"/>
      <w:r>
        <w:t xml:space="preserve">Tableau </w:t>
      </w:r>
      <w:fldSimple w:instr=" SEQ Tableau \* ARABIC ">
        <w:r w:rsidR="00AB51D9">
          <w:rPr>
            <w:noProof/>
          </w:rPr>
          <w:t>40</w:t>
        </w:r>
      </w:fldSimple>
      <w:r>
        <w:t xml:space="preserve"> : </w:t>
      </w:r>
      <w:r w:rsidRPr="002402DC">
        <w:t>Hypothèses d’évolutions de la valeur ajoutée industrielle</w:t>
      </w:r>
      <w:bookmarkEnd w:id="585"/>
    </w:p>
    <w:p w14:paraId="77C612E7" w14:textId="43EDF7A2" w:rsidR="001021CB" w:rsidRPr="000775DC" w:rsidRDefault="001021CB" w:rsidP="0045532B">
      <w:pPr>
        <w:pStyle w:val="Caption"/>
      </w:pPr>
      <w:r w:rsidRPr="000775DC">
        <w:t xml:space="preserve">Source : Cadrage économique de l’UE pour la France </w:t>
      </w:r>
    </w:p>
    <w:p w14:paraId="2557DEB4" w14:textId="545F7605" w:rsidR="006D5177" w:rsidRPr="0005726D" w:rsidRDefault="006D5177" w:rsidP="0005726D">
      <w:pPr>
        <w:spacing w:before="240" w:after="240"/>
        <w:rPr>
          <w:rFonts w:asciiTheme="minorHAnsi" w:hAnsiTheme="minorHAnsi"/>
          <w:sz w:val="19"/>
        </w:rPr>
      </w:pPr>
    </w:p>
    <w:p w14:paraId="5268790E" w14:textId="77777777" w:rsidR="00D463FC" w:rsidRDefault="00D463FC">
      <w:pPr>
        <w:spacing w:line="240" w:lineRule="atLeast"/>
        <w:jc w:val="left"/>
        <w:rPr>
          <w:rFonts w:eastAsiaTheme="majorEastAsia" w:cstheme="majorBidi"/>
          <w:bCs/>
          <w:spacing w:val="-10"/>
          <w:kern w:val="28"/>
          <w:sz w:val="48"/>
          <w:szCs w:val="56"/>
        </w:rPr>
      </w:pPr>
      <w:r>
        <w:br w:type="page"/>
      </w:r>
    </w:p>
    <w:p w14:paraId="6BD520BD" w14:textId="1F4116F3" w:rsidR="00810BA9" w:rsidRDefault="0051771F" w:rsidP="008C79A1">
      <w:pPr>
        <w:pStyle w:val="Titre1Niveau1"/>
        <w:ind w:left="0" w:right="27"/>
      </w:pPr>
      <w:bookmarkStart w:id="586" w:name="_Toc138342028"/>
      <w:bookmarkStart w:id="587" w:name="ChapitreVI"/>
      <w:r w:rsidRPr="005D5AA6">
        <w:t xml:space="preserve">Chapitre </w:t>
      </w:r>
      <w:r>
        <w:t>V</w:t>
      </w:r>
      <w:r w:rsidRPr="005D5AA6">
        <w:t>I</w:t>
      </w:r>
      <w:r w:rsidR="00C654BE">
        <w:t xml:space="preserve"> – </w:t>
      </w:r>
      <w:r>
        <w:t>Impact, vulnérabilité et adaptatio</w:t>
      </w:r>
      <w:r w:rsidR="008C79A1">
        <w:t>n</w:t>
      </w:r>
      <w:bookmarkEnd w:id="586"/>
    </w:p>
    <w:bookmarkEnd w:id="587"/>
    <w:p w14:paraId="00419CC7" w14:textId="77777777" w:rsidR="006D5177" w:rsidRPr="000329C0" w:rsidRDefault="006D5177" w:rsidP="006D5177">
      <w:pPr>
        <w:spacing w:before="240" w:after="240"/>
      </w:pPr>
      <w:r w:rsidRPr="000329C0">
        <w:t xml:space="preserve">De tous temps, l’humanité a dû faire face à de nombreuses menaces naturelles : tempêtes, cyclones, tremblements de terre, inondations, mouvements de terrain, sécheresses. Les conséquences des catastrophes naturelles sont souvent dramatiques tant du point de vue du bilan humain qu’en termes de dommages économiques. Or, dans un contexte de changement climatique, la recrudescence attendue des événements extrêmes pour lesquels il y a le plus de certitudes et dont les impacts seront les plus forts notamment en termes de risques, de santé et de fragilisation des écosystèmes et des productions agricole et industrielle, sont ceux liés aux vagues de chaleur, aux sécheresses, aux précipitations intenses et à la hausse du niveau des mers. </w:t>
      </w:r>
      <w:r>
        <w:t>Les départements et territoires français ultramarins, à l’exception de Saint-Pierre et Miquelon, sont quant à eux exposés aux cyclones et tempêtes tropicales dont l’intensité des plus sévères devrait encore augmenter</w:t>
      </w:r>
      <w:r>
        <w:rPr>
          <w:rFonts w:ascii="Calibri" w:hAnsi="Calibri" w:cs="Calibri"/>
        </w:rPr>
        <w:t>.</w:t>
      </w:r>
    </w:p>
    <w:p w14:paraId="7028416D" w14:textId="77777777" w:rsidR="006D5177" w:rsidRPr="000329C0" w:rsidRDefault="006D5177" w:rsidP="006D5177">
      <w:pPr>
        <w:spacing w:before="240" w:after="240"/>
      </w:pPr>
      <w:r w:rsidRPr="000329C0">
        <w:t xml:space="preserve">Depuis 1993 la France conduit des programmes d’études et de recherches ayant pour objectif spécifique d'évaluer les incidences possibles des changements climatiques sur le territoire national (départements et territoires d'outre-mer compris) et les mesures d'adaptation susceptibles d'être mises en œuvre dans les zones géographiques et les secteurs d'activité les plus vulnérables. </w:t>
      </w:r>
      <w:r>
        <w:t xml:space="preserve">Un des projets les plus emblématique </w:t>
      </w:r>
      <w:r w:rsidRPr="000329C0">
        <w:t xml:space="preserve">est </w:t>
      </w:r>
      <w:r w:rsidRPr="000329C0">
        <w:rPr>
          <w:i/>
          <w:iCs/>
        </w:rPr>
        <w:t>Drias, les futurs du Climat</w:t>
      </w:r>
      <w:r w:rsidRPr="000329C0">
        <w:t xml:space="preserve">. Le portail </w:t>
      </w:r>
      <w:r w:rsidRPr="000329C0">
        <w:rPr>
          <w:i/>
          <w:iCs/>
        </w:rPr>
        <w:t>Drias, les futurs du climat</w:t>
      </w:r>
      <w:r w:rsidRPr="000329C0">
        <w:t>, qui en découle, répond à un important</w:t>
      </w:r>
      <w:r>
        <w:t xml:space="preserve"> </w:t>
      </w:r>
      <w:r w:rsidRPr="000329C0">
        <w:t xml:space="preserve">besoin exprimé par l'ensemble des acteurs concernés par le changement climatique, de disposer aisément d’informations et d’aide pour étudier les impacts et décider de mesures d'adaptation au changement climatique. Apportant une partie de ces éléments de façon simple pour les utilisateurs, il </w:t>
      </w:r>
      <w:r>
        <w:t xml:space="preserve">a </w:t>
      </w:r>
      <w:r w:rsidRPr="000329C0">
        <w:t>constitu</w:t>
      </w:r>
      <w:r>
        <w:t>é</w:t>
      </w:r>
      <w:r w:rsidRPr="000329C0">
        <w:t xml:space="preserve"> </w:t>
      </w:r>
      <w:r>
        <w:t xml:space="preserve">en juillet 2012 </w:t>
      </w:r>
      <w:r w:rsidRPr="000329C0">
        <w:t xml:space="preserve">une première étape essentielle du développement d’un socle de services climatiques français. </w:t>
      </w:r>
    </w:p>
    <w:p w14:paraId="5362E936" w14:textId="6B6BDDAE" w:rsidR="006D5177" w:rsidRDefault="006D5177" w:rsidP="006D5177">
      <w:pPr>
        <w:spacing w:before="240" w:after="240"/>
      </w:pPr>
      <w:r w:rsidRPr="000329C0">
        <w:t xml:space="preserve">Au plan institutionnel, l’Observatoire national sur les effets du réchauffement climatique (Onerc) a été créé par une loi en 2001. Il a pour mission de collecter et de diffuser les informations, de formuler des recommandations sur les mesures de prévention et d’adaptation susceptibles de limiter les risques liés au changement climatique. L’Onerc est également le point focal français du GIEC (Groupe d’experts Intergouvernemental sur l’évolution du climat). Au sein du ministère de la Transition écologique et </w:t>
      </w:r>
      <w:r>
        <w:t>de la Cohésion des territoires</w:t>
      </w:r>
      <w:r w:rsidRPr="000329C0">
        <w:t xml:space="preserve"> (</w:t>
      </w:r>
      <w:r w:rsidR="00652F25">
        <w:t>MTE</w:t>
      </w:r>
      <w:r w:rsidRPr="000329C0">
        <w:t xml:space="preserve">), l'Onerc est rattaché à la direction générale de l’énergie et du climat, afin que les questions relatives à l'adaptation soient traitées dans le même cadre que celles de l'atténuation. </w:t>
      </w:r>
    </w:p>
    <w:p w14:paraId="1499932A" w14:textId="77777777" w:rsidR="006D5177" w:rsidRDefault="006D5177" w:rsidP="006D5177">
      <w:pPr>
        <w:spacing w:before="240" w:after="240"/>
      </w:pPr>
      <w:r w:rsidRPr="000329C0">
        <w:t xml:space="preserve">Les rapports de l’Onerc sont remis au Premier ministre et au Parlement, ils présentent les principales conséquences du réchauffement climatique en France en incluant des recommandations en matière d’adaptation. Depuis la création de l’Onerc et à la fin de </w:t>
      </w:r>
      <w:r>
        <w:t>2001</w:t>
      </w:r>
      <w:r w:rsidRPr="000329C0">
        <w:t>,</w:t>
      </w:r>
      <w:r>
        <w:t>14</w:t>
      </w:r>
      <w:r w:rsidRPr="000329C0">
        <w:t xml:space="preserve"> rapports ont été publiés.</w:t>
      </w:r>
      <w:r>
        <w:t xml:space="preserve"> Le rapport de 2018 est thématique et s’intitule</w:t>
      </w:r>
      <w:r>
        <w:rPr>
          <w:rStyle w:val="FootnoteReference"/>
        </w:rPr>
        <w:footnoteReference w:id="56"/>
      </w:r>
      <w:r>
        <w:rPr>
          <w:rFonts w:ascii="Calibri" w:hAnsi="Calibri" w:cs="Calibri"/>
        </w:rPr>
        <w:t> </w:t>
      </w:r>
      <w:r>
        <w:t>: «</w:t>
      </w:r>
      <w:r>
        <w:rPr>
          <w:rFonts w:ascii="Calibri" w:hAnsi="Calibri" w:cs="Calibri"/>
        </w:rPr>
        <w:t> </w:t>
      </w:r>
      <w:r w:rsidRPr="00927317">
        <w:t>Les événements météorologiques extrêmes dans un contexte de changement climatique</w:t>
      </w:r>
      <w:r>
        <w:rPr>
          <w:rFonts w:ascii="Calibri" w:hAnsi="Calibri" w:cs="Calibri"/>
        </w:rPr>
        <w:t> </w:t>
      </w:r>
      <w:r>
        <w:rPr>
          <w:rFonts w:cs="Marianne"/>
        </w:rPr>
        <w:t>»</w:t>
      </w:r>
      <w:r>
        <w:t>. Tandis que les rapports publiés respectivement en 2019 et 2021 présentent quant à eux des solutions et outils d’adaptation au changement climatique. Celui de 2019</w:t>
      </w:r>
      <w:r>
        <w:rPr>
          <w:rStyle w:val="FootnoteReference"/>
        </w:rPr>
        <w:footnoteReference w:id="57"/>
      </w:r>
      <w:r>
        <w:t xml:space="preserve"> «</w:t>
      </w:r>
      <w:r>
        <w:rPr>
          <w:rFonts w:ascii="Calibri" w:hAnsi="Calibri" w:cs="Calibri"/>
        </w:rPr>
        <w:t> </w:t>
      </w:r>
      <w:r w:rsidRPr="00927317">
        <w:t>Des Solutions fondées sur la Nature pour s’adapter au changement climatique</w:t>
      </w:r>
      <w:r>
        <w:rPr>
          <w:rFonts w:ascii="Calibri" w:hAnsi="Calibri" w:cs="Calibri"/>
        </w:rPr>
        <w:t> </w:t>
      </w:r>
      <w:r>
        <w:rPr>
          <w:rFonts w:cs="Marianne"/>
        </w:rPr>
        <w:t>»</w:t>
      </w:r>
      <w:r>
        <w:t xml:space="preserve"> décrit des solutions de terrain alors que le rapport de 2021</w:t>
      </w:r>
      <w:r>
        <w:rPr>
          <w:rStyle w:val="FootnoteReference"/>
        </w:rPr>
        <w:footnoteReference w:id="58"/>
      </w:r>
      <w:r>
        <w:t xml:space="preserve"> «</w:t>
      </w:r>
      <w:r>
        <w:rPr>
          <w:rFonts w:ascii="Calibri" w:hAnsi="Calibri" w:cs="Calibri"/>
        </w:rPr>
        <w:t> </w:t>
      </w:r>
      <w:r w:rsidRPr="00690835">
        <w:t>La prospective au service de l'adaptation au changement climatique</w:t>
      </w:r>
      <w:r>
        <w:rPr>
          <w:rFonts w:ascii="Calibri" w:hAnsi="Calibri" w:cs="Calibri"/>
        </w:rPr>
        <w:t> </w:t>
      </w:r>
      <w:r>
        <w:rPr>
          <w:rFonts w:cs="Marianne"/>
        </w:rPr>
        <w:t>»</w:t>
      </w:r>
      <w:r>
        <w:t xml:space="preserve"> apporte des outils de décision.</w:t>
      </w:r>
      <w:r w:rsidRPr="000329C0">
        <w:t xml:space="preserve"> En complément</w:t>
      </w:r>
      <w:r>
        <w:t xml:space="preserve">, </w:t>
      </w:r>
      <w:r w:rsidRPr="000329C0">
        <w:t xml:space="preserve">l’Onerc organise et participe à des séminaires thématiques, diffuse une lettre de veille technique bimensuelle </w:t>
      </w:r>
      <w:r>
        <w:t xml:space="preserve">depuis 2009 </w:t>
      </w:r>
      <w:r w:rsidRPr="000329C0">
        <w:t>(</w:t>
      </w:r>
      <w:r>
        <w:t>76</w:t>
      </w:r>
      <w:r w:rsidRPr="000329C0">
        <w:t xml:space="preserve"> numéros déjà envoyés, environ </w:t>
      </w:r>
      <w:r>
        <w:t>900</w:t>
      </w:r>
      <w:r w:rsidRPr="000329C0">
        <w:t xml:space="preserve"> abonnés</w:t>
      </w:r>
      <w:r>
        <w:t xml:space="preserve"> volontaires</w:t>
      </w:r>
      <w:r w:rsidRPr="000329C0">
        <w:t xml:space="preserve">). Une publication spécifique destinée aux élus est </w:t>
      </w:r>
      <w:r>
        <w:t>diffusée</w:t>
      </w:r>
      <w:r w:rsidRPr="000329C0">
        <w:t xml:space="preserve"> à plus de 5 </w:t>
      </w:r>
      <w:r>
        <w:t>0</w:t>
      </w:r>
      <w:r w:rsidRPr="000329C0">
        <w:t>00 exemplaires</w:t>
      </w:r>
      <w:r>
        <w:t xml:space="preserve"> </w:t>
      </w:r>
      <w:r w:rsidRPr="000329C0">
        <w:t>(</w:t>
      </w:r>
      <w:r>
        <w:t>34</w:t>
      </w:r>
      <w:r w:rsidRPr="000329C0">
        <w:t xml:space="preserve"> numéros ont été édités</w:t>
      </w:r>
      <w:r>
        <w:t xml:space="preserve">). Cette lettre </w:t>
      </w:r>
      <w:r w:rsidRPr="00FE5F5F">
        <w:t>a pour objectif de sensibiliser les élus locaux sur la réalité du changement climatique, de promouvoir des moyens d’action et de partager des initiatives locales en matière d’adaptation et d’atténuation.</w:t>
      </w:r>
      <w:r>
        <w:t xml:space="preserve"> De plus, l</w:t>
      </w:r>
      <w:r w:rsidRPr="00003436">
        <w:t>’O</w:t>
      </w:r>
      <w:r>
        <w:t xml:space="preserve">nerc </w:t>
      </w:r>
      <w:r w:rsidRPr="00003436">
        <w:t>propose gracieusement aux collectivités locales, aux associations ou aux établissements scolaires, deux expositions pédagogiques itinérantes.</w:t>
      </w:r>
    </w:p>
    <w:p w14:paraId="07F4AC06" w14:textId="77777777" w:rsidR="00A845C2" w:rsidRPr="000329C0" w:rsidRDefault="00A845C2" w:rsidP="00A845C2">
      <w:pPr>
        <w:spacing w:before="240" w:after="240"/>
      </w:pPr>
      <w:r>
        <w:t>Hébergé sur le site web du m</w:t>
      </w:r>
      <w:r w:rsidRPr="00FE5F5F">
        <w:t>inistère de la Transition écologique et de l</w:t>
      </w:r>
      <w:r>
        <w:t>a Cohésion des territoires et du m</w:t>
      </w:r>
      <w:r w:rsidRPr="00FE5F5F">
        <w:t>inistère de la Transition énergétique</w:t>
      </w:r>
      <w:r>
        <w:t>, l</w:t>
      </w:r>
      <w:r w:rsidRPr="000329C0">
        <w:t>e site Internet de l'Onerc</w:t>
      </w:r>
      <w:r>
        <w:rPr>
          <w:rStyle w:val="FootnoteReference"/>
        </w:rPr>
        <w:footnoteReference w:id="59"/>
      </w:r>
      <w:r w:rsidRPr="000329C0">
        <w:t xml:space="preserve"> </w:t>
      </w:r>
      <w:r>
        <w:t>permet à tous les publics d’appréhender les enjeux liés au changement climatique au travers des pages sur les impacts, la connaissance, la démarche d’adaptation, les publications et des bases de données. Ainsi, aux informations concernant l’Observatoire s’ajoutent les pages dédiées aux indicateurs du changement climatique. De plus, la démarche d’adaptation au changement climatique, engagée au niveau national, européen et international est présentée selon ces trois axes. Enfin, l’information sur le GIEC permet de mieux comprendre son fonctionnement et de consulter et de suivre ses travaux. Le contenu des pages est régulièrement mis à jour ainsi que leur présentation afin de s’adapter aux nouveaux standards de communication et de faciliter l’accès à l’information.</w:t>
      </w:r>
    </w:p>
    <w:p w14:paraId="7CB0DC8B" w14:textId="77777777" w:rsidR="006D5177" w:rsidRPr="000329C0" w:rsidRDefault="006D5177" w:rsidP="006D5177">
      <w:pPr>
        <w:spacing w:before="240" w:after="240"/>
      </w:pPr>
      <w:r w:rsidRPr="000329C0">
        <w:t xml:space="preserve">Les analyses des vulnérabilités actuelles et futures permettent de mettre en place des recommandations et des mesures de prévention et d’adaptation pour diminuer les risques associés au changement climatique. Ces mesures concernent aussi bien l'aménagement du territoire, les ressources en eau, la santé publique, la protection des personnes et des biens, la biodiversité, le patrimoine culturel et sont à décliner dans les secteurs économiques. La prise en compte des résultats de l’ensemble des recherches et études dans les plans et les lois permet alors de consolider la mise en place de ces mesures d'adaptation, dépendantes d’une forte implication des acteurs locaux. </w:t>
      </w:r>
    </w:p>
    <w:p w14:paraId="2809CAF7" w14:textId="77777777" w:rsidR="006D5177" w:rsidRPr="000329C0" w:rsidRDefault="006D5177" w:rsidP="006D5177">
      <w:pPr>
        <w:spacing w:before="240" w:after="240"/>
      </w:pPr>
      <w:r w:rsidRPr="000329C0">
        <w:t>Les lois sur l'aménagement du territoire et sur la protection de l'environnement et le Plan climat de 2004 ont ouvert la voie à la mise en œuvre de l'adaptation au changement climatique, avec l'adoption du premier Plan national d'adaptation au changement climatique en 2011, puis du second fin 201</w:t>
      </w:r>
      <w:r>
        <w:t>8</w:t>
      </w:r>
      <w:r w:rsidRPr="000329C0">
        <w:t>. Le Grenelle de l'environnement a permis le renforcement des mesures liées aux systèmes de planification régionale et locale, notamment avec les SRCAE (Schémas régionaux climat air énergie) et les PCET (Plan climat énergie territoriaux). Promulguée en 2015, la loi portant sur la Nouvelle organisation territoriale de la République (NOTRe) renforce l’aspect territorial de l’adaptation en obligeant les intercommunalités de plus de 20 000 habitants à rédiger un PCAET</w:t>
      </w:r>
      <w:r>
        <w:t xml:space="preserve"> (Plan Climat Air Energie Territorial)</w:t>
      </w:r>
      <w:r w:rsidRPr="000329C0">
        <w:t>.</w:t>
      </w:r>
    </w:p>
    <w:p w14:paraId="1ABC32FC" w14:textId="34BB0964" w:rsidR="006D5177" w:rsidRPr="00C44824" w:rsidRDefault="006D5177" w:rsidP="00E524AF">
      <w:pPr>
        <w:pStyle w:val="Titre2Niveau2"/>
        <w:numPr>
          <w:ilvl w:val="0"/>
          <w:numId w:val="100"/>
        </w:numPr>
      </w:pPr>
      <w:bookmarkStart w:id="588" w:name="_Toc118276993"/>
      <w:bookmarkStart w:id="589" w:name="_Toc118384423"/>
      <w:bookmarkStart w:id="590" w:name="_Toc138342029"/>
      <w:r w:rsidRPr="00C44824">
        <w:t>Modélisation, projections et scénarios</w:t>
      </w:r>
      <w:bookmarkEnd w:id="588"/>
      <w:bookmarkEnd w:id="589"/>
      <w:bookmarkEnd w:id="590"/>
    </w:p>
    <w:p w14:paraId="40FCAB70" w14:textId="7C5C877D" w:rsidR="006D5177" w:rsidRPr="00C44824" w:rsidRDefault="006D5177" w:rsidP="003F57EA">
      <w:pPr>
        <w:pStyle w:val="Titre3Niveau3"/>
      </w:pPr>
      <w:bookmarkStart w:id="591" w:name="_Toc118276994"/>
      <w:bookmarkStart w:id="592" w:name="_Toc118384424"/>
      <w:bookmarkStart w:id="593" w:name="_Toc138342030"/>
      <w:r w:rsidRPr="00C44824">
        <w:t>Les évolutions observées et les tendances</w:t>
      </w:r>
      <w:bookmarkEnd w:id="591"/>
      <w:bookmarkEnd w:id="592"/>
      <w:bookmarkEnd w:id="593"/>
    </w:p>
    <w:p w14:paraId="2CEDC6A2" w14:textId="6C4C131D" w:rsidR="00A845C2" w:rsidRDefault="00A845C2" w:rsidP="006D5177">
      <w:pPr>
        <w:spacing w:after="240"/>
      </w:pPr>
      <w:r>
        <w:t>Annoncé dès fin novembre par Météo-France, et quelles que soient les températures qui seront observées en décembre, l’année 2022 sera la plus chaude que la France ait jamais mesurée</w:t>
      </w:r>
      <w:r w:rsidRPr="00AB2118">
        <w:t xml:space="preserve"> </w:t>
      </w:r>
      <w:r>
        <w:t>depuis le début des relevés en 1900. Sur l’ensemble de l’année, la température dépassera vraisemblablement les 14,2 °C en moyenne sur la France. 2022 se classera ainsi au premier rang des années les plus chaudes, devant 2020 qui détenait jusqu’à présent le record.</w:t>
      </w:r>
      <w:r w:rsidRPr="00AB2118">
        <w:t xml:space="preserve"> </w:t>
      </w:r>
      <w:r>
        <w:t>Ponctuée d’extrêmes climatiques, 2022 est un symptôme du changement climatique en France. Remarquable dans le climat actuel, elle pourrait devenir « normale » en 2050.</w:t>
      </w:r>
    </w:p>
    <w:p w14:paraId="00C5E764" w14:textId="08DC3BE9" w:rsidR="006D5177" w:rsidRDefault="004077DC" w:rsidP="006D5177">
      <w:pPr>
        <w:spacing w:after="240"/>
      </w:pPr>
      <w:r>
        <w:t>Les événements extrêmes, exacerbées par le changement climatique, sont la cause de préjudices économiques et humains très importants et ils ont un impact majeur sur la qualité de la vie de très nombreuses personnes</w:t>
      </w:r>
      <w:r w:rsidR="006D5177">
        <w:t>.</w:t>
      </w:r>
    </w:p>
    <w:p w14:paraId="434A9CE7" w14:textId="77777777" w:rsidR="006D5177" w:rsidRDefault="006D5177" w:rsidP="006D5177">
      <w:pPr>
        <w:spacing w:after="240"/>
      </w:pPr>
      <w:r w:rsidRPr="00210406">
        <w:rPr>
          <w:noProof/>
        </w:rPr>
        <w:drawing>
          <wp:inline distT="0" distB="0" distL="0" distR="0" wp14:anchorId="6B62A369" wp14:editId="4223DFDE">
            <wp:extent cx="5715000" cy="3221990"/>
            <wp:effectExtent l="0" t="0" r="0" b="0"/>
            <wp:docPr id="22" name="Image 22" descr="Pour la 5e décennie consécutive, les températures moyennes de la période 2011–2020 ont été en hausse par rapport à la décennie précéden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ur la 5e décennie consécutive, les températures moyennes de la période 2011–2020 ont été en hausse par rapport à la décennie précédente.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3221990"/>
                    </a:xfrm>
                    <a:prstGeom prst="rect">
                      <a:avLst/>
                    </a:prstGeom>
                    <a:noFill/>
                    <a:ln>
                      <a:noFill/>
                    </a:ln>
                  </pic:spPr>
                </pic:pic>
              </a:graphicData>
            </a:graphic>
          </wp:inline>
        </w:drawing>
      </w:r>
    </w:p>
    <w:p w14:paraId="663723CC" w14:textId="1663000D" w:rsidR="00C44824" w:rsidRDefault="00C44824" w:rsidP="0045532B">
      <w:pPr>
        <w:pStyle w:val="Caption"/>
      </w:pPr>
      <w:bookmarkStart w:id="594" w:name="_Toc123916476"/>
      <w:r>
        <w:t xml:space="preserve">Figure </w:t>
      </w:r>
      <w:fldSimple w:instr=" SEQ Figure \* ARABIC ">
        <w:r w:rsidR="00AB51D9">
          <w:rPr>
            <w:noProof/>
          </w:rPr>
          <w:t>65</w:t>
        </w:r>
      </w:fldSimple>
      <w:r>
        <w:t> : Evolution des températures décennales en France</w:t>
      </w:r>
      <w:bookmarkEnd w:id="594"/>
    </w:p>
    <w:p w14:paraId="20721EE4" w14:textId="02CADE69" w:rsidR="006D5177" w:rsidRDefault="006D5177" w:rsidP="0045532B">
      <w:pPr>
        <w:pStyle w:val="Caption"/>
      </w:pPr>
      <w:r>
        <w:t>Source</w:t>
      </w:r>
      <w:r>
        <w:rPr>
          <w:rFonts w:ascii="Calibri" w:hAnsi="Calibri" w:cs="Calibri"/>
        </w:rPr>
        <w:t> </w:t>
      </w:r>
      <w:r>
        <w:t xml:space="preserve">: </w:t>
      </w:r>
      <w:r w:rsidR="00C44824">
        <w:t>Méteo France</w:t>
      </w:r>
    </w:p>
    <w:p w14:paraId="1C12FD5A" w14:textId="77777777" w:rsidR="00C44824" w:rsidRDefault="00C44824" w:rsidP="006D5177">
      <w:pPr>
        <w:spacing w:after="240"/>
      </w:pPr>
    </w:p>
    <w:p w14:paraId="5517CF05" w14:textId="07A9E716" w:rsidR="006D5177" w:rsidRDefault="006D5177" w:rsidP="006D5177">
      <w:pPr>
        <w:spacing w:after="240"/>
      </w:pPr>
      <w:r>
        <w:t xml:space="preserve">Le réchauffement est comparable d’une région française à l’autre, mais son rythme n'est pas régulier. Il a notamment connu une accélération depuis les années 1980. Les températures décennales illustrent ce phénomène d’accélération. Depuis 1900, </w:t>
      </w:r>
      <w:hyperlink r:id="rId110" w:history="1">
        <w:r>
          <w:rPr>
            <w:rStyle w:val="Hyperlink"/>
          </w:rPr>
          <w:t>la température moyenne en France s’est réchauffée de 1,7 °C.</w:t>
        </w:r>
      </w:hyperlink>
      <w:r>
        <w:t xml:space="preserve"> Chaque décennie depuis 1970 est plus chaude que la précédente. Ces dix dernières années, durant la période 2011-2020, la hausse atteint +0,6 °C et marque la plus forte progression observée entre deux décennies en France depuis 1900.</w:t>
      </w:r>
    </w:p>
    <w:p w14:paraId="0D6DC385" w14:textId="77777777" w:rsidR="006D5177" w:rsidRDefault="006D5177" w:rsidP="006D5177">
      <w:pPr>
        <w:spacing w:after="240"/>
      </w:pPr>
      <w:r>
        <w:t xml:space="preserve">L’évolution du cumul de précipitations diffère selon les régions et les saisons. </w:t>
      </w:r>
      <w:r w:rsidRPr="00E90DA3">
        <w:rPr>
          <w:rFonts w:cs="Marianne"/>
        </w:rPr>
        <w:t>À</w:t>
      </w:r>
      <w:r w:rsidRPr="00E90DA3">
        <w:t xml:space="preserve"> l</w:t>
      </w:r>
      <w:r w:rsidRPr="00E90DA3">
        <w:rPr>
          <w:rFonts w:cs="Marianne"/>
        </w:rPr>
        <w:t>’é</w:t>
      </w:r>
      <w:r w:rsidRPr="00E90DA3">
        <w:t>chelle de la France, les pr</w:t>
      </w:r>
      <w:r w:rsidRPr="00E90DA3">
        <w:rPr>
          <w:rFonts w:cs="Marianne"/>
        </w:rPr>
        <w:t>é</w:t>
      </w:r>
      <w:r w:rsidRPr="00E90DA3">
        <w:t>cipitations annuelles ne pr</w:t>
      </w:r>
      <w:r w:rsidRPr="00E90DA3">
        <w:rPr>
          <w:rFonts w:cs="Marianne"/>
        </w:rPr>
        <w:t>é</w:t>
      </w:r>
      <w:r w:rsidRPr="00E90DA3">
        <w:t>sentent pas d</w:t>
      </w:r>
      <w:r w:rsidRPr="00E90DA3">
        <w:rPr>
          <w:rFonts w:cs="Marianne"/>
        </w:rPr>
        <w:t>’é</w:t>
      </w:r>
      <w:r w:rsidRPr="00E90DA3">
        <w:t>volution marqu</w:t>
      </w:r>
      <w:r w:rsidRPr="00E90DA3">
        <w:rPr>
          <w:rFonts w:cs="Marianne"/>
        </w:rPr>
        <w:t>é</w:t>
      </w:r>
      <w:r w:rsidRPr="00E90DA3">
        <w:t>e depuis 1961. Elles sont toutefois caract</w:t>
      </w:r>
      <w:r w:rsidRPr="00E90DA3">
        <w:rPr>
          <w:rFonts w:cs="Marianne"/>
        </w:rPr>
        <w:t>é</w:t>
      </w:r>
      <w:r w:rsidRPr="00E90DA3">
        <w:t>ris</w:t>
      </w:r>
      <w:r w:rsidRPr="00E90DA3">
        <w:rPr>
          <w:rFonts w:cs="Marianne"/>
        </w:rPr>
        <w:t>é</w:t>
      </w:r>
      <w:r w:rsidRPr="00E90DA3">
        <w:t>es par une nette disparit</w:t>
      </w:r>
      <w:r w:rsidRPr="00E90DA3">
        <w:rPr>
          <w:rFonts w:cs="Marianne"/>
        </w:rPr>
        <w:t>é</w:t>
      </w:r>
      <w:r w:rsidRPr="00E90DA3">
        <w:t xml:space="preserve"> avec une augmentation sur une grande moiti</w:t>
      </w:r>
      <w:r w:rsidRPr="00E90DA3">
        <w:rPr>
          <w:rFonts w:cs="Marianne"/>
        </w:rPr>
        <w:t>é</w:t>
      </w:r>
      <w:r w:rsidRPr="00E90DA3">
        <w:t xml:space="preserve"> Nord (surtout le quart Nord-Est) et une baisse au sud.</w:t>
      </w:r>
      <w:r>
        <w:t xml:space="preserve"> Au printemps et en automne les cumuls sont en hausse sur la majeure partie du territoire métropolitain. En hiver et en été, l'évolution des précipitations est plus contrastée d’une région à l’autre. On observe notamment une baisse des cumuls sur les régions méridionales. Cependant, à l’exception de quelques régions de l’Est de la France ou proches de la Méditerranée, les tendances des précipitations sont souvent peu marquées et peuvent varier selon la période d’étude couverte par l'analyse. </w:t>
      </w:r>
    </w:p>
    <w:p w14:paraId="46F26A7B" w14:textId="258653C5" w:rsidR="006D5177" w:rsidRDefault="006D5177" w:rsidP="006D5177">
      <w:pPr>
        <w:spacing w:after="240"/>
      </w:pPr>
      <w:r>
        <w:rPr>
          <w:noProof/>
        </w:rPr>
        <w:drawing>
          <wp:inline distT="0" distB="0" distL="0" distR="0" wp14:anchorId="755010B3" wp14:editId="1B9DA70E">
            <wp:extent cx="6000750" cy="385762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SSE_FRA_PRECI_RR_ANN_IMAGE.png"/>
                    <pic:cNvPicPr/>
                  </pic:nvPicPr>
                  <pic:blipFill>
                    <a:blip r:embed="rId111">
                      <a:extLst>
                        <a:ext uri="{28A0092B-C50C-407E-A947-70E740481C1C}">
                          <a14:useLocalDpi xmlns:a14="http://schemas.microsoft.com/office/drawing/2010/main" val="0"/>
                        </a:ext>
                      </a:extLst>
                    </a:blip>
                    <a:stretch>
                      <a:fillRect/>
                    </a:stretch>
                  </pic:blipFill>
                  <pic:spPr>
                    <a:xfrm>
                      <a:off x="0" y="0"/>
                      <a:ext cx="6000750" cy="3857625"/>
                    </a:xfrm>
                    <a:prstGeom prst="rect">
                      <a:avLst/>
                    </a:prstGeom>
                  </pic:spPr>
                </pic:pic>
              </a:graphicData>
            </a:graphic>
          </wp:inline>
        </w:drawing>
      </w:r>
    </w:p>
    <w:p w14:paraId="0135E763" w14:textId="3F96B6F0" w:rsidR="00C44824" w:rsidRDefault="00C44824" w:rsidP="0045532B">
      <w:pPr>
        <w:pStyle w:val="Caption"/>
      </w:pPr>
      <w:bookmarkStart w:id="595" w:name="_Toc123916477"/>
      <w:r>
        <w:t xml:space="preserve">Figure </w:t>
      </w:r>
      <w:fldSimple w:instr=" SEQ Figure \* ARABIC ">
        <w:r w:rsidR="00AB51D9">
          <w:rPr>
            <w:noProof/>
          </w:rPr>
          <w:t>66</w:t>
        </w:r>
      </w:fldSimple>
      <w:r>
        <w:t> : Evolution du cumul annuel des précipitations sur la période 1961-2012</w:t>
      </w:r>
      <w:bookmarkEnd w:id="595"/>
    </w:p>
    <w:p w14:paraId="01AAC693" w14:textId="57D2F0E3" w:rsidR="00C44824" w:rsidRDefault="00C44824" w:rsidP="0045532B">
      <w:pPr>
        <w:pStyle w:val="Caption"/>
      </w:pPr>
      <w:r>
        <w:t>Source : Météo France</w:t>
      </w:r>
    </w:p>
    <w:p w14:paraId="48404501" w14:textId="77777777" w:rsidR="00C44824" w:rsidRPr="00C44824" w:rsidRDefault="00C44824" w:rsidP="00C44824"/>
    <w:p w14:paraId="634F4744" w14:textId="03F30794" w:rsidR="004077DC" w:rsidRDefault="004077DC" w:rsidP="004077DC">
      <w:pPr>
        <w:spacing w:after="240"/>
      </w:pPr>
      <w:r>
        <w:t>Depuis le milieu du XX</w:t>
      </w:r>
      <w:r w:rsidRPr="00C44824">
        <w:rPr>
          <w:vertAlign w:val="superscript"/>
        </w:rPr>
        <w:t>e</w:t>
      </w:r>
      <w:r>
        <w:t xml:space="preserve"> siècle, on observe aussi des évolutions de la fréquence et de l’intensité des événements extrêmes : le nombre de journées chaudes (températures maximales supérieures à 25</w:t>
      </w:r>
      <w:r>
        <w:rPr>
          <w:rFonts w:ascii="Calibri" w:hAnsi="Calibri" w:cs="Calibri"/>
        </w:rPr>
        <w:t> </w:t>
      </w:r>
      <w:r>
        <w:t xml:space="preserve">°C) augmente, tandis que le nombre de jours de gel diminue. Les vagues de chaleur sont devenues plus fréquentes et plus intenses. </w:t>
      </w:r>
    </w:p>
    <w:p w14:paraId="736DDD42" w14:textId="77777777" w:rsidR="004077DC" w:rsidRDefault="004077DC" w:rsidP="004077DC">
      <w:pPr>
        <w:spacing w:after="240"/>
      </w:pPr>
      <w:r>
        <w:t xml:space="preserve">Le changement climatique s’observe à tous niveaux avec des impacts directs tels que l’augmentation de la température moyenne annuelle, mais aussi par des impacts plus spécifiques tels que la diminution de la durée de la période d’enneigement en moyenne montagne, l’augmentation de l’évaporation des sols s’accentue, induisant des sécheresses plus fréquentes et plus intenses. </w:t>
      </w:r>
    </w:p>
    <w:p w14:paraId="58CE19D9" w14:textId="1CAA8634" w:rsidR="004077DC" w:rsidRDefault="004077DC" w:rsidP="004077DC">
      <w:pPr>
        <w:spacing w:after="240"/>
      </w:pPr>
      <w:r>
        <w:t xml:space="preserve">Comme à l’échelle mondiale, l’évolution des températures moyennes annuelles en France métropolitaine montre un réchauffement net depuis 1900. Ce réchauffement a connu un rythme variable, avec une augmentation particulièrement marquée depuis les années 1980. </w:t>
      </w:r>
      <w:r w:rsidRPr="004D4F6F">
        <w:t>A l’exception de l’année 2021, les dernières années (2017, 2018, 2019 et 2020) ont été parmi les années les plus chaudes depuis 1900.</w:t>
      </w:r>
      <w:r>
        <w:t xml:space="preserve"> En 2020, deux vagues de chaleur se sont produites durant l'été, suivies d'un épisode de chaleur tardif exceptionnel mi-septembre. Cette année a aussi été marquée par une succession de tempêtes de la fin de l'hiver au début du printemps. On retiendra également de violents épisodes méditerranéens qui ont généré des crues et des inondations localement dévastatrices en janvier dans le Roussillon, en septembre dans les Cévennes et en octobre dans les Alpes-Maritimes. </w:t>
      </w:r>
    </w:p>
    <w:p w14:paraId="75C270D2" w14:textId="77777777" w:rsidR="004077DC" w:rsidRDefault="004077DC" w:rsidP="004077DC">
      <w:pPr>
        <w:spacing w:after="240"/>
      </w:pPr>
      <w:r>
        <w:t xml:space="preserve">La température annuelle moyennée sur le pays a atteint 14,1 °C, dépassant la normale (référence 1981-2010) de 1,5 °C. L'année 2020 s'est ainsi classée au </w:t>
      </w:r>
      <w:r w:rsidRPr="009F4180">
        <w:t>1</w:t>
      </w:r>
      <w:r w:rsidRPr="007F47EF">
        <w:rPr>
          <w:vertAlign w:val="superscript"/>
        </w:rPr>
        <w:t>er</w:t>
      </w:r>
      <w:r>
        <w:t xml:space="preserve"> rang des années les plus chaudes sur la période 1900-2020 devant 2018 (13,9 °C) et 2014 (13,8 °C). </w:t>
      </w:r>
      <w:r w:rsidRPr="004D4F6F">
        <w:t>Annoncé dès fin novembre par Météo-France, et quelles que soient les températures qui seront observées en décembre, l’année 2022 sera la plus chaude que la France ait jamais mesurée depuis le début des relevés en 1900.</w:t>
      </w:r>
    </w:p>
    <w:p w14:paraId="3F6F2412" w14:textId="77777777" w:rsidR="004077DC" w:rsidRDefault="004077DC" w:rsidP="004077DC">
      <w:pPr>
        <w:spacing w:after="240"/>
      </w:pPr>
      <w:r>
        <w:t xml:space="preserve">Les conséquences du changement de conditions climatiques se font sentir dans de nombreux domaines. Les glaciers des Alpes françaises ont connu une perte de leur bilan de masse et les glaciers des Pyrénées montrent la même tendance. Malgré des valeurs fluctuantes de l'accumulation et de l'ablation, le bilan est négatif chaque année depuis le cycle 2001-02. </w:t>
      </w:r>
      <w:r w:rsidRPr="008F1B83">
        <w:t>Le bilan moyen d'une sélection de glaciers français</w:t>
      </w:r>
      <w:r>
        <w:t xml:space="preserve"> (Alpes et Pyrénées) </w:t>
      </w:r>
      <w:r w:rsidRPr="008F1B83">
        <w:t xml:space="preserve">montre un </w:t>
      </w:r>
      <w:r>
        <w:t>bilan de masse négatif</w:t>
      </w:r>
      <w:r w:rsidRPr="008F1B83">
        <w:t xml:space="preserve"> de 27 mètres équivalent eau en 2021 par rapport à 2001.</w:t>
      </w:r>
    </w:p>
    <w:p w14:paraId="3D38F1CF" w14:textId="77777777" w:rsidR="006D5177" w:rsidRDefault="006D5177" w:rsidP="006D5177"/>
    <w:p w14:paraId="4CA16691" w14:textId="77777777" w:rsidR="006D5177" w:rsidRDefault="006D5177" w:rsidP="006D5177"/>
    <w:p w14:paraId="66E8B6BE" w14:textId="77777777" w:rsidR="006D5177" w:rsidRDefault="006D5177" w:rsidP="006D5177"/>
    <w:p w14:paraId="08B790B6" w14:textId="664E0D6B" w:rsidR="006D5177" w:rsidRDefault="006D5177" w:rsidP="006D5177">
      <w:r w:rsidRPr="008F1B83">
        <w:rPr>
          <w:noProof/>
        </w:rPr>
        <w:drawing>
          <wp:inline distT="0" distB="0" distL="0" distR="0" wp14:anchorId="0A1E79AA" wp14:editId="4E2E1D5D">
            <wp:extent cx="6318250" cy="4141479"/>
            <wp:effectExtent l="0" t="0" r="6350" b="0"/>
            <wp:docPr id="60" name="Image 60" descr="Bilan de masse d'une sélection de glaciers franç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an de masse d'une sélection de glaciers françai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18250" cy="4141479"/>
                    </a:xfrm>
                    <a:prstGeom prst="rect">
                      <a:avLst/>
                    </a:prstGeom>
                    <a:noFill/>
                    <a:ln>
                      <a:noFill/>
                    </a:ln>
                  </pic:spPr>
                </pic:pic>
              </a:graphicData>
            </a:graphic>
          </wp:inline>
        </w:drawing>
      </w:r>
    </w:p>
    <w:p w14:paraId="5A2DD277" w14:textId="5127E388" w:rsidR="00C44824" w:rsidRDefault="00C44824" w:rsidP="0045532B">
      <w:pPr>
        <w:pStyle w:val="Caption"/>
      </w:pPr>
      <w:bookmarkStart w:id="596" w:name="_Toc123916478"/>
      <w:r>
        <w:t xml:space="preserve">Figure </w:t>
      </w:r>
      <w:fldSimple w:instr=" SEQ Figure \* ARABIC ">
        <w:r w:rsidR="00AB51D9">
          <w:rPr>
            <w:noProof/>
          </w:rPr>
          <w:t>67</w:t>
        </w:r>
      </w:fldSimple>
      <w:r>
        <w:t xml:space="preserve"> : </w:t>
      </w:r>
      <w:r w:rsidRPr="00C44824">
        <w:t>Perte en eau des glac</w:t>
      </w:r>
      <w:r>
        <w:t>iers</w:t>
      </w:r>
      <w:bookmarkEnd w:id="596"/>
    </w:p>
    <w:p w14:paraId="053748FF" w14:textId="7955586A" w:rsidR="006D5177" w:rsidRDefault="00C44824" w:rsidP="0045532B">
      <w:pPr>
        <w:pStyle w:val="Caption"/>
      </w:pPr>
      <w:r w:rsidRPr="00C44824">
        <w:t>Sources : Association Moraine (Association pyrénéenne de glaciologie), LGEE (Gebroulaz, Argentière, Saint Sorlin, Mer de Glace)</w:t>
      </w:r>
    </w:p>
    <w:p w14:paraId="627BA8F3" w14:textId="77777777" w:rsidR="00C44824" w:rsidRDefault="00C44824" w:rsidP="006D5177"/>
    <w:p w14:paraId="34F81EED" w14:textId="77777777" w:rsidR="006D5177" w:rsidRDefault="006D5177" w:rsidP="006D5177">
      <w:r>
        <w:t>En outre-mer, les effets du changement climatique se font sentir de la même manière qu’en métropole, notamment sur la hausse des températures.</w:t>
      </w:r>
    </w:p>
    <w:p w14:paraId="2DC73E18" w14:textId="77777777" w:rsidR="006D5177" w:rsidRDefault="006D5177" w:rsidP="006D5177"/>
    <w:p w14:paraId="4FA5E9F2" w14:textId="77777777" w:rsidR="006D5177" w:rsidRDefault="006D5177" w:rsidP="006D5177">
      <w:r>
        <w:t>Aux Antilles, l’évolution du climat se traduit essentiellement par la hausse des températures moyennes de l’ordre de 0,3 °C par décennie sur la période 1971-2013, les années les plus chaudes se situant après les années 2000. Cette tendance est plus prononcée pour les températures minimales qui montrent une évolution de +0,4 °C par décennie que pour les températures maximales qui augmentent de +0,2 °C par décennie et est assez homogène suivant les saisons.</w:t>
      </w:r>
    </w:p>
    <w:p w14:paraId="2B0CD0D7" w14:textId="77777777" w:rsidR="006D5177" w:rsidRDefault="006D5177" w:rsidP="006D5177">
      <w:r>
        <w:t>Du côté du nombre de nuits chaudes (température minimale supérieure ou égale à 24 °C), une tendance à l’augmentation se dégage aux Antilles. Le nombre de journées chaudes (température maximale supérieure ou égale à 31 °C) montre également une augmentation notamment sur les stations à des altitudes faibles.</w:t>
      </w:r>
    </w:p>
    <w:p w14:paraId="25B49F79" w14:textId="77777777" w:rsidR="006D5177" w:rsidRDefault="006D5177" w:rsidP="006D5177">
      <w:r>
        <w:t>Les cumuls annuels de précipitation sont très variables d'une année à l'autre, notamment à cause de l’aléa cyclonique. Sur la période de 1971-2013, il n’est pas possible de dégager une tendance significative de précipitation.</w:t>
      </w:r>
    </w:p>
    <w:p w14:paraId="1D56B6DB" w14:textId="77777777" w:rsidR="006D5177" w:rsidRDefault="006D5177" w:rsidP="006D5177">
      <w:r>
        <w:t>De même, aucune tendance marquée ne se dégage sur l'évolution du nombre d’événements pluvieux qu'ils soient modérés ou intenses.</w:t>
      </w:r>
    </w:p>
    <w:p w14:paraId="22B1B77E" w14:textId="77777777" w:rsidR="006D5177" w:rsidRDefault="006D5177" w:rsidP="006D5177"/>
    <w:p w14:paraId="16D91EA3" w14:textId="77777777" w:rsidR="006D5177" w:rsidRDefault="006D5177" w:rsidP="006D5177">
      <w:r>
        <w:t>A La Réunion, les effets du changement climatique se traduisent principalement par la hausse des températures moyennes, surtout depuis les deux dernières décennies. Depuis 1970, on observe une augmentation des températures minimales et maximales annuelles comprise entre 0,1</w:t>
      </w:r>
      <w:r>
        <w:rPr>
          <w:rFonts w:ascii="Calibri" w:hAnsi="Calibri" w:cs="Calibri"/>
        </w:rPr>
        <w:t> </w:t>
      </w:r>
      <w:r>
        <w:t>°C et 0,2</w:t>
      </w:r>
      <w:r>
        <w:rPr>
          <w:rFonts w:ascii="Calibri" w:hAnsi="Calibri" w:cs="Calibri"/>
        </w:rPr>
        <w:t> </w:t>
      </w:r>
      <w:r>
        <w:t>°C par décennie. Ces valeurs sont plus faibles qu'en France métropolitaine, notamment en raison d'une variabilité des températures plus faible sous les Tropiques.</w:t>
      </w:r>
    </w:p>
    <w:p w14:paraId="22792018" w14:textId="77777777" w:rsidR="006D5177" w:rsidRDefault="006D5177" w:rsidP="006D5177"/>
    <w:p w14:paraId="1BD0FA22" w14:textId="77777777" w:rsidR="006D5177" w:rsidRDefault="006D5177" w:rsidP="006D5177">
      <w:r>
        <w:t>A l'échelle saisonnière, c'est l'été austral (ou saison des pluies) qui se réchauffe le plus. Et globalement, en toute saison, les températures maximales de la journée se réchauffent plus que les températures minimales de la nuit.</w:t>
      </w:r>
    </w:p>
    <w:p w14:paraId="3B18B3C8" w14:textId="77777777" w:rsidR="006D5177" w:rsidRDefault="006D5177" w:rsidP="006D5177">
      <w:r>
        <w:t>Les cumuls annuels de précipitations sont très variables d'une année à l'autre, notamment à cause de l'aléa cyclonique, et une analyse de leur évolution est sensible à la période d'étude. De ce fait, sur la période 1961-2016, les tendances des précipitations sont souvent peu marquées, sauf sur le Sud-Ouest de La Réunion où l'on observe une baisse sensible.</w:t>
      </w:r>
    </w:p>
    <w:p w14:paraId="3DB5D9CC" w14:textId="77777777" w:rsidR="006D5177" w:rsidRDefault="006D5177" w:rsidP="006D5177">
      <w:r>
        <w:t>Aucune tendance marquée ne se dégage pour l'évolution du nombre d'événements pluvieux intenses. Par contre, comme pour le cumul de précipitations, on observe une baisse du nombre de jours de pluies modérées à fortes sur le Sud-Ouest de La Réunion.</w:t>
      </w:r>
    </w:p>
    <w:p w14:paraId="04712E4C" w14:textId="2DB31781" w:rsidR="006D5177" w:rsidRDefault="006D5177" w:rsidP="003F57EA">
      <w:pPr>
        <w:pStyle w:val="Titre3Niveau3"/>
      </w:pPr>
      <w:bookmarkStart w:id="597" w:name="_Toc118276995"/>
      <w:bookmarkStart w:id="598" w:name="_Toc118384425"/>
      <w:bookmarkStart w:id="599" w:name="_Toc138342031"/>
      <w:r>
        <w:t>La caractérisation du climat futur</w:t>
      </w:r>
      <w:bookmarkEnd w:id="597"/>
      <w:bookmarkEnd w:id="598"/>
      <w:bookmarkEnd w:id="599"/>
    </w:p>
    <w:p w14:paraId="0509BC28" w14:textId="77777777" w:rsidR="006D5177" w:rsidRDefault="006D5177" w:rsidP="006D5177">
      <w:pPr>
        <w:spacing w:after="240"/>
      </w:pPr>
      <w:r>
        <w:t xml:space="preserve">Le ministère de la Transition énergétique et solidaire a sollicité, en 2010, l’expertise de la communauté française des sciences du climat composée de chercheurs CNRS/INSU/IPSL et LGGE, de Météo-France, du BRGM, du CEA, du CETMEF et du CNES afin de produire une évaluation scientifique des conditions climatiques de la France au XXIe siècle. La série « Le climat de la France au XXIe siècle » fournit les indices climatiques de référence pour servir de base à l’élaboration des politiques d’adaptation au changement climatique. </w:t>
      </w:r>
    </w:p>
    <w:p w14:paraId="6183F3E4" w14:textId="77777777" w:rsidR="006D5177" w:rsidRDefault="006D5177" w:rsidP="006D5177">
      <w:pPr>
        <w:spacing w:after="240"/>
      </w:pPr>
      <w:r>
        <w:t>Cet outil est indispensable aux nombreux acteurs de l’adaptation que sont, notamment, les collectivités locales, le secteur économique privé, les associations, les services de l’État. Pour cette raison, la production de ces données de référence figure comme une action phare dans le Plan national d’adaptation au changement climatique</w:t>
      </w:r>
      <w:r>
        <w:rPr>
          <w:rStyle w:val="FootnoteReference"/>
        </w:rPr>
        <w:footnoteReference w:id="60"/>
      </w:r>
      <w:r>
        <w:t xml:space="preserve"> entré en vigueur le 19 juillet 2011. L’Observatoire national sur les effets du réchauffement climatique (Onerc) organise et diffuse cette information scientifique sous le titre « Le climat de la France au XXIe siècle ». </w:t>
      </w:r>
    </w:p>
    <w:p w14:paraId="1E3055DC" w14:textId="77777777" w:rsidR="006D5177" w:rsidRDefault="006D5177" w:rsidP="006D5177">
      <w:pPr>
        <w:spacing w:after="240"/>
      </w:pPr>
      <w:r>
        <w:t xml:space="preserve">Les volumes 4 et 5 de cette collection fournissent une mise à jour des volumes 2 et 3 en s’appuyant sur les résultats disponibles au sein du service Drias, les futurs du climat. Ce premier service climatique est issu du projet Drias (Donner accès aux scénarios climatiques Régionalisés français pour l'Impact et l'Adaptation de nos Sociétés et environnement) financé par le programme Gestion et impact du changement climatique (GICC) du ministère de la Transition énergétique et solidaire (MTES). Il répond à un important besoin exprimé par l'ensemble des acteurs concernés par le changement climatique, de disposer aisément d’informations et d’aide pour étudier les impacts et décider de mesures d'adaptation au changement climatique. </w:t>
      </w:r>
    </w:p>
    <w:p w14:paraId="3F5A9F34" w14:textId="77777777" w:rsidR="006D5177" w:rsidRDefault="006D5177" w:rsidP="006D5177">
      <w:pPr>
        <w:spacing w:after="240"/>
      </w:pPr>
      <w:r>
        <w:t xml:space="preserve">Apportant une partie de ces éléments de façon simple pour les utilisateurs, il constitue une première étape essentielle du développement d’un service climatique français puisqu’il permet de faciliter et de simplifier l'accès et l'utilisation d'informations relatives aux projections climatiques régionalisées françaises. Il contribue également à valoriser le travail de recherche et harmoniser davantage les productions des groupes français de modélisation, désormais accessibles en un lieu unique. </w:t>
      </w:r>
    </w:p>
    <w:p w14:paraId="129A7645" w14:textId="77777777" w:rsidR="006D5177" w:rsidRDefault="006D5177" w:rsidP="006D5177">
      <w:pPr>
        <w:spacing w:after="240"/>
      </w:pPr>
      <w:r>
        <w:t xml:space="preserve">Le portail Drias, les futurs du climat est destiné à un large spectre d’utilisateurs, allant des experts (chercheurs, universitaires, …) aux non spécialistes (chargés de mission, décideurs, …), impliqués dans les études d’impact et d’adaptation au changement climatique. Ainsi, il s’adresse aux acteurs des territoires, qui agissent dans le cadre d'une mise en place de plan ou schéma lié au climat, ou d'un observatoire, aux acteurs du privé qui au sein de leur entreprise sont confrontés à la prospective climatique, aux professionnels du conseil en environnement et adaptation, aux chercheurs, qui sont impliqués dans des études d'impact ou des travaux sur l'adaptation, ainsi qu’aux enseignants désireux d'accéder à des informations issues de projections climatiques. L’accès à ces données est essentiel afin de permettre des études de vulnérabilité des territoires nécessaires pour la définition des politiques d’adaptation au changement climatique par les collectivités locales. </w:t>
      </w:r>
    </w:p>
    <w:p w14:paraId="4AB7E984" w14:textId="77777777" w:rsidR="006D5177" w:rsidRDefault="006D5177" w:rsidP="006D5177">
      <w:pPr>
        <w:spacing w:after="240"/>
      </w:pPr>
      <w:r>
        <w:t xml:space="preserve">Ce service a été complété pour le grand public par l’application web « Climat HD » : le climat d’hier et de demain qui propose une vision intégrée de l'évolution du climat passé et futur, aux plans national et régional. Climat HD synthétise les derniers travaux des climatologues : des messages clés et des graphiques pour mieux appréhender le changement climatique et ses impacts. </w:t>
      </w:r>
    </w:p>
    <w:p w14:paraId="0C864C7D" w14:textId="77777777" w:rsidR="006D5177" w:rsidRDefault="006D5177" w:rsidP="006D5177">
      <w:r>
        <w:t>A la fin de l’année 2020, le portail Drias les futurs du Climat a bénéficié d’une mise à jour importante avec le lancement de Drias 2020 qui fournit les principales informations nécessaires pour faciliter l'utilisation de cet ensemble de données dans le cadre de l'élaboration, la mise en œuvre ou l'évaluation des démarches d'adaptation et qui intègre désormais les nouvelles fonctionnalités suivantes :</w:t>
      </w:r>
    </w:p>
    <w:p w14:paraId="17312198" w14:textId="77777777" w:rsidR="006D5177" w:rsidRDefault="006D5177" w:rsidP="00BE086C">
      <w:pPr>
        <w:pStyle w:val="ListParagraph"/>
        <w:numPr>
          <w:ilvl w:val="1"/>
          <w:numId w:val="38"/>
        </w:numPr>
      </w:pPr>
      <w:r>
        <w:t>Un nouveau design sur l'ensemble du portail</w:t>
      </w:r>
    </w:p>
    <w:p w14:paraId="52E270F3" w14:textId="77777777" w:rsidR="006D5177" w:rsidRDefault="006D5177" w:rsidP="00BE086C">
      <w:pPr>
        <w:pStyle w:val="ListParagraph"/>
        <w:numPr>
          <w:ilvl w:val="1"/>
          <w:numId w:val="38"/>
        </w:numPr>
      </w:pPr>
      <w:r>
        <w:t xml:space="preserve">L'amélioration de l'ergonomie pour l'espace Découverte. </w:t>
      </w:r>
    </w:p>
    <w:p w14:paraId="541404F9" w14:textId="77777777" w:rsidR="006D5177" w:rsidRDefault="006D5177" w:rsidP="00BE086C">
      <w:pPr>
        <w:pStyle w:val="ListParagraph"/>
        <w:numPr>
          <w:ilvl w:val="1"/>
          <w:numId w:val="38"/>
        </w:numPr>
      </w:pPr>
      <w:r>
        <w:t>Un enrichissement des articles de l'espace Accompagnement.</w:t>
      </w:r>
    </w:p>
    <w:p w14:paraId="1F0FB779" w14:textId="77777777" w:rsidR="006D5177" w:rsidRDefault="006D5177" w:rsidP="00BE086C">
      <w:pPr>
        <w:pStyle w:val="ListParagraph"/>
        <w:numPr>
          <w:ilvl w:val="1"/>
          <w:numId w:val="38"/>
        </w:numPr>
      </w:pPr>
      <w:r>
        <w:t>Un nouveau jeu de données de référence : DRIAS-2020</w:t>
      </w:r>
    </w:p>
    <w:p w14:paraId="38FE6FD4" w14:textId="77777777" w:rsidR="006D5177" w:rsidRDefault="006D5177" w:rsidP="00BE086C">
      <w:pPr>
        <w:pStyle w:val="ListParagraph"/>
        <w:numPr>
          <w:ilvl w:val="1"/>
          <w:numId w:val="38"/>
        </w:numPr>
      </w:pPr>
      <w:r>
        <w:t>- De nouveaux indicateurs agro-climatiques.</w:t>
      </w:r>
    </w:p>
    <w:p w14:paraId="1414EDD0" w14:textId="77777777" w:rsidR="006D5177" w:rsidRDefault="006D5177" w:rsidP="006D5177">
      <w:r>
        <w:t>En 2021, dans le cadre du projet C3AF (Changement Climatique et Conséquences sur les Antilles françaises) piloté par Météo-France et ses partenaires scientifiques (Université des Antilles, BRGM et l’Université de Montpellier) de nouvelles projections climatiques régionalisées ont été réalisées et intégrées dans le portail pour plusieurs territoires ultramarins (Guadeloupe, Martinique, Saint-Martin, Saint-Barthélemy),</w:t>
      </w:r>
    </w:p>
    <w:p w14:paraId="075FCABB" w14:textId="2D1FAA59" w:rsidR="006D5177" w:rsidRPr="00C02C24" w:rsidRDefault="006D5177" w:rsidP="00C02C24">
      <w:pPr>
        <w:rPr>
          <w:sz w:val="23"/>
          <w:szCs w:val="23"/>
          <w:shd w:val="clear" w:color="auto" w:fill="FFFFFF"/>
        </w:rPr>
      </w:pPr>
      <w:r>
        <w:t xml:space="preserve">Puis La Réunion avec l’ajout en juillet 2021 des données issues </w:t>
      </w:r>
      <w:r w:rsidR="00C02C24">
        <w:rPr>
          <w:sz w:val="23"/>
          <w:szCs w:val="23"/>
          <w:shd w:val="clear" w:color="auto" w:fill="FFFFFF"/>
        </w:rPr>
        <w:t>du jeu BRIO-2021.</w:t>
      </w:r>
    </w:p>
    <w:p w14:paraId="00F121EF" w14:textId="1977A005" w:rsidR="006D5177" w:rsidRDefault="006D5177" w:rsidP="003F57EA">
      <w:pPr>
        <w:pStyle w:val="Titre3Niveau3"/>
      </w:pPr>
      <w:bookmarkStart w:id="600" w:name="_Toc118276996"/>
      <w:bookmarkStart w:id="601" w:name="_Toc118384426"/>
      <w:bookmarkStart w:id="602" w:name="_Toc138342032"/>
      <w:r>
        <w:t>Les incidences prévues du changement climatique</w:t>
      </w:r>
      <w:bookmarkEnd w:id="600"/>
      <w:bookmarkEnd w:id="601"/>
      <w:bookmarkEnd w:id="602"/>
    </w:p>
    <w:p w14:paraId="3DAF888F" w14:textId="77777777" w:rsidR="006D5177" w:rsidRDefault="006D5177" w:rsidP="006D5177">
      <w:pPr>
        <w:spacing w:after="240"/>
      </w:pPr>
      <w:r>
        <w:t xml:space="preserve">La hausse de 2 °C de la température moyenne de la planète d’ici la fin du siècle se déclinera de façon différenciée selon les régions du monde et elle s’accompagnera partout de changements importants dans le régime des précipitations et dans la fréquence et la sévérité des événements extrêmes. Ces changements auront de forts impacts dans tous les secteurs socio-économiques et sur l’environnement naturel mondial. </w:t>
      </w:r>
    </w:p>
    <w:p w14:paraId="1216B01F" w14:textId="77777777" w:rsidR="006D5177" w:rsidRDefault="006D5177" w:rsidP="006D5177">
      <w:pPr>
        <w:spacing w:after="240"/>
      </w:pPr>
      <w:r>
        <w:t>En France métropolitaine et outre-mer, la hausse moyenne de 2</w:t>
      </w:r>
      <w:r>
        <w:rPr>
          <w:rFonts w:ascii="Calibri" w:hAnsi="Calibri" w:cs="Calibri"/>
        </w:rPr>
        <w:t> </w:t>
      </w:r>
      <w:r>
        <w:t xml:space="preserve">°C correspond à des bouleversements importants de nombreuses caractéristiques des climats régionaux, notamment pour ce qui concerne les événements extrêmes. La meilleure connaissance possible de ces changements, de leurs impacts et des incertitudes associées est indispensable pour identifier les mesures d’adaptation les plus pertinentes. </w:t>
      </w:r>
    </w:p>
    <w:p w14:paraId="0B6F48F7" w14:textId="77777777" w:rsidR="006D5177" w:rsidRDefault="006D5177" w:rsidP="006D5177">
      <w:pPr>
        <w:spacing w:after="240"/>
      </w:pPr>
      <w:r>
        <w:t xml:space="preserve">Plusieurs projets initiés dans le cadre des deux plans nationaux d’adaptation au changement climatique (PNACC-1 et PNACC-2) ont permis de préciser les changements à attendre dans les différentes régions et de mettre à disposition de tous les acteurs de l’adaptation les données quantitatives correspondantes. D’un point de vue qualitatif, les principales caractéristiques attendues, cohérentes avec les changements en cours déjà détectés, sont les suivantes : </w:t>
      </w:r>
    </w:p>
    <w:p w14:paraId="474EEBF2" w14:textId="77777777" w:rsidR="006D5177" w:rsidRDefault="006D5177" w:rsidP="00BE086C">
      <w:pPr>
        <w:pStyle w:val="ListParagraph"/>
        <w:numPr>
          <w:ilvl w:val="0"/>
          <w:numId w:val="33"/>
        </w:numPr>
        <w:spacing w:after="240"/>
      </w:pPr>
      <w:r>
        <w:t xml:space="preserve">une hausse des températures plus forte que la moyenne mondiale de 2 °C, notamment dans les régions plus éloignées des côtes, avec des vagues de chaleur de plus en plus fréquentes, de plus en plus sévères et s’étendant au-delà des périodes estivales traditionnelles. Les vagues de froid seront moins sévères et moins fréquentes sans pour autant diminuer les risques de gelées printanières qu’un démarrage plus précoce de la végétation favorise ; </w:t>
      </w:r>
    </w:p>
    <w:p w14:paraId="39BE6FF1" w14:textId="77777777" w:rsidR="006D5177" w:rsidRDefault="006D5177" w:rsidP="00BE086C">
      <w:pPr>
        <w:pStyle w:val="ListParagraph"/>
        <w:numPr>
          <w:ilvl w:val="0"/>
          <w:numId w:val="33"/>
        </w:numPr>
        <w:spacing w:after="240"/>
      </w:pPr>
      <w:r>
        <w:t xml:space="preserve">des précipitations plus intenses, même dans les régions où la quantité annuelle de précipitation diminuera, augmentant le risque de crues et d’inondation. Dans le même temps, les épisodes de sécheresse seront plus fréquents et plus sévères avec des débits d’étiage des rivières et des fleuves en forte diminution, une pression accrue sur les ressources en eau nécessaires aux écosystèmes et aux activités humaines et une extension du risque de feux de forêts ; </w:t>
      </w:r>
    </w:p>
    <w:p w14:paraId="59D93FE6" w14:textId="77777777" w:rsidR="006D5177" w:rsidRDefault="006D5177" w:rsidP="00BE086C">
      <w:pPr>
        <w:pStyle w:val="ListParagraph"/>
        <w:numPr>
          <w:ilvl w:val="0"/>
          <w:numId w:val="33"/>
        </w:numPr>
        <w:spacing w:after="240"/>
      </w:pPr>
      <w:r>
        <w:t xml:space="preserve">une hausse du niveau des mers qui poursuivra son accélération et augmentera les risques de submersion ; </w:t>
      </w:r>
    </w:p>
    <w:p w14:paraId="7E75421A" w14:textId="77777777" w:rsidR="006D5177" w:rsidRDefault="006D5177" w:rsidP="00BE086C">
      <w:pPr>
        <w:pStyle w:val="ListParagraph"/>
        <w:numPr>
          <w:ilvl w:val="0"/>
          <w:numId w:val="33"/>
        </w:numPr>
        <w:spacing w:after="240"/>
      </w:pPr>
      <w:r>
        <w:t xml:space="preserve">les grandes tendances de l’évolution du climat sont mieux connues aujourd’hui dans les outre-mer. Au cours des quarante dernières années, la température a augmenté de + 0,65 °C à + 1,5 °C suivant les territoires. </w:t>
      </w:r>
      <w:r w:rsidRPr="00DC147B">
        <w:t>Dans les Antilles, le réc</w:t>
      </w:r>
      <w:r>
        <w:t>hauffement pourrait atteindre 2,</w:t>
      </w:r>
      <w:r w:rsidRPr="00DC147B">
        <w:t>5</w:t>
      </w:r>
      <w:r>
        <w:rPr>
          <w:rFonts w:ascii="Calibri" w:hAnsi="Calibri" w:cs="Calibri"/>
        </w:rPr>
        <w:t> </w:t>
      </w:r>
      <w:r w:rsidRPr="00DC147B">
        <w:t>°C à 3</w:t>
      </w:r>
      <w:r>
        <w:rPr>
          <w:rFonts w:ascii="Calibri" w:hAnsi="Calibri" w:cs="Calibri"/>
        </w:rPr>
        <w:t> </w:t>
      </w:r>
      <w:r w:rsidRPr="00DC147B">
        <w:t>°C à l'horizon 2056-2080 par rapport à la période 1981-2010. Pour la Réunion, le réchauffement au cours du XXIe siècle quel que soit le scénario et pourrait atteindre 3</w:t>
      </w:r>
      <w:r>
        <w:rPr>
          <w:rFonts w:ascii="Calibri" w:hAnsi="Calibri" w:cs="Calibri"/>
        </w:rPr>
        <w:t> </w:t>
      </w:r>
      <w:r w:rsidRPr="00DC147B">
        <w:t>°C à l'horizon 2071-2100 par rapport à la période 1976-2005, voire 4</w:t>
      </w:r>
      <w:r>
        <w:rPr>
          <w:rFonts w:ascii="Calibri" w:hAnsi="Calibri" w:cs="Calibri"/>
        </w:rPr>
        <w:t> </w:t>
      </w:r>
      <w:r w:rsidRPr="00DC147B">
        <w:t>°C selon les toutes dernières simulations.; Dans les outremers, les vagues de chaleur deviendraient aussi beaucoup plus fréquentes. Des températures exceptionnelles aujourd’hui deviendraient courantes dans le futur.</w:t>
      </w:r>
      <w:r>
        <w:t xml:space="preserve">; </w:t>
      </w:r>
    </w:p>
    <w:p w14:paraId="7375E0B2" w14:textId="77777777" w:rsidR="006D5177" w:rsidRDefault="006D5177" w:rsidP="00BE086C">
      <w:pPr>
        <w:pStyle w:val="ListParagraph"/>
        <w:numPr>
          <w:ilvl w:val="0"/>
          <w:numId w:val="33"/>
        </w:numPr>
        <w:spacing w:after="240"/>
      </w:pPr>
      <w:r>
        <w:t xml:space="preserve">une évolution incertaine de la fréquence et de la sévérité des tempêtes, sauf dans les régions outre-mer tropicales où la sévérité des cyclones devrait augmenter. </w:t>
      </w:r>
    </w:p>
    <w:p w14:paraId="0C39F33F" w14:textId="77777777" w:rsidR="006D5177" w:rsidRDefault="006D5177" w:rsidP="006D5177">
      <w:pPr>
        <w:spacing w:after="240"/>
      </w:pPr>
      <w:r>
        <w:t>Les impacts attendus sont synthétisés dans la carte ci-dessous.</w:t>
      </w:r>
    </w:p>
    <w:p w14:paraId="26355EA0" w14:textId="77777777" w:rsidR="006D5177" w:rsidRDefault="006D5177" w:rsidP="006D5177"/>
    <w:p w14:paraId="687BF671" w14:textId="77777777" w:rsidR="006D5177" w:rsidRDefault="006D5177" w:rsidP="006D5177">
      <w:pPr>
        <w:keepNext/>
      </w:pPr>
      <w:r>
        <w:rPr>
          <w:noProof/>
        </w:rPr>
        <w:drawing>
          <wp:inline distT="0" distB="0" distL="0" distR="0" wp14:anchorId="18E66998" wp14:editId="5A6DB6C5">
            <wp:extent cx="6297930" cy="5218430"/>
            <wp:effectExtent l="0" t="0" r="7620" b="127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97930" cy="5218430"/>
                    </a:xfrm>
                    <a:prstGeom prst="rect">
                      <a:avLst/>
                    </a:prstGeom>
                    <a:noFill/>
                  </pic:spPr>
                </pic:pic>
              </a:graphicData>
            </a:graphic>
          </wp:inline>
        </w:drawing>
      </w:r>
    </w:p>
    <w:p w14:paraId="7FF70F59" w14:textId="26FDBE23" w:rsidR="00C44824" w:rsidRDefault="00C44824" w:rsidP="0045532B">
      <w:pPr>
        <w:pStyle w:val="Caption"/>
      </w:pPr>
      <w:bookmarkStart w:id="603" w:name="_Toc123916479"/>
      <w:r>
        <w:t xml:space="preserve">Figure </w:t>
      </w:r>
      <w:fldSimple w:instr=" SEQ Figure \* ARABIC ">
        <w:r w:rsidR="00AB51D9">
          <w:rPr>
            <w:noProof/>
          </w:rPr>
          <w:t>68</w:t>
        </w:r>
      </w:fldSimple>
      <w:r>
        <w:t xml:space="preserve"> : </w:t>
      </w:r>
      <w:r w:rsidR="006D5177">
        <w:t>Impacts</w:t>
      </w:r>
      <w:r>
        <w:t xml:space="preserve"> potentiels à 2050 et au-delà</w:t>
      </w:r>
      <w:bookmarkEnd w:id="603"/>
    </w:p>
    <w:p w14:paraId="76AA307A" w14:textId="344CC38F" w:rsidR="006D5177" w:rsidRDefault="006D5177" w:rsidP="0045532B">
      <w:pPr>
        <w:pStyle w:val="Caption"/>
      </w:pPr>
      <w:r>
        <w:t>Source : Météo France</w:t>
      </w:r>
    </w:p>
    <w:p w14:paraId="7A12B9F1" w14:textId="77777777" w:rsidR="006D5177" w:rsidRDefault="006D5177" w:rsidP="006D5177"/>
    <w:p w14:paraId="3B745C0B" w14:textId="77777777" w:rsidR="006D5177" w:rsidRDefault="006D5177" w:rsidP="006D5177"/>
    <w:p w14:paraId="79FBF7D2" w14:textId="77777777" w:rsidR="006D5177" w:rsidRDefault="006D5177" w:rsidP="006D5177">
      <w:pPr>
        <w:spacing w:after="240"/>
      </w:pPr>
      <w:r>
        <w:rPr>
          <w:noProof/>
        </w:rPr>
        <w:drawing>
          <wp:inline distT="0" distB="0" distL="0" distR="0" wp14:anchorId="3E099981" wp14:editId="1152BFF6">
            <wp:extent cx="4785775" cy="4206605"/>
            <wp:effectExtent l="0" t="0" r="0" b="381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pacts.png"/>
                    <pic:cNvPicPr/>
                  </pic:nvPicPr>
                  <pic:blipFill>
                    <a:blip r:embed="rId114">
                      <a:extLst>
                        <a:ext uri="{28A0092B-C50C-407E-A947-70E740481C1C}">
                          <a14:useLocalDpi xmlns:a14="http://schemas.microsoft.com/office/drawing/2010/main" val="0"/>
                        </a:ext>
                      </a:extLst>
                    </a:blip>
                    <a:stretch>
                      <a:fillRect/>
                    </a:stretch>
                  </pic:blipFill>
                  <pic:spPr>
                    <a:xfrm>
                      <a:off x="0" y="0"/>
                      <a:ext cx="4785775" cy="4206605"/>
                    </a:xfrm>
                    <a:prstGeom prst="rect">
                      <a:avLst/>
                    </a:prstGeom>
                  </pic:spPr>
                </pic:pic>
              </a:graphicData>
            </a:graphic>
          </wp:inline>
        </w:drawing>
      </w:r>
    </w:p>
    <w:p w14:paraId="06291F80" w14:textId="53194087" w:rsidR="00C44824" w:rsidRDefault="00C44824" w:rsidP="0045532B">
      <w:pPr>
        <w:pStyle w:val="Caption"/>
      </w:pPr>
      <w:bookmarkStart w:id="604" w:name="_Ref123904101"/>
      <w:bookmarkStart w:id="605" w:name="_Toc123916480"/>
      <w:r>
        <w:t xml:space="preserve">Figure </w:t>
      </w:r>
      <w:fldSimple w:instr=" SEQ Figure \* ARABIC ">
        <w:r w:rsidR="00AB51D9">
          <w:rPr>
            <w:noProof/>
          </w:rPr>
          <w:t>69</w:t>
        </w:r>
      </w:fldSimple>
      <w:bookmarkEnd w:id="604"/>
      <w:r>
        <w:t> : Impacts possibles de l’élévation des températures selon différents scenarios</w:t>
      </w:r>
      <w:bookmarkEnd w:id="605"/>
    </w:p>
    <w:p w14:paraId="525F2DB9" w14:textId="450FB1E9" w:rsidR="006D5177" w:rsidRDefault="006D5177" w:rsidP="0045532B">
      <w:pPr>
        <w:pStyle w:val="Caption"/>
      </w:pPr>
      <w:r w:rsidRPr="00EF5DBD">
        <w:t>Source</w:t>
      </w:r>
      <w:r w:rsidRPr="00EF5DBD">
        <w:rPr>
          <w:rFonts w:ascii="Cambria Math" w:hAnsi="Cambria Math" w:cs="Cambria Math"/>
        </w:rPr>
        <w:t> </w:t>
      </w:r>
      <w:r w:rsidRPr="00EF5DBD">
        <w:t>: M</w:t>
      </w:r>
      <w:r w:rsidRPr="00EF5DBD">
        <w:rPr>
          <w:rFonts w:cs="Marianne"/>
        </w:rPr>
        <w:t>é</w:t>
      </w:r>
      <w:r w:rsidRPr="00EF5DBD">
        <w:t>t</w:t>
      </w:r>
      <w:r w:rsidRPr="00EF5DBD">
        <w:rPr>
          <w:rFonts w:cs="Marianne"/>
        </w:rPr>
        <w:t>é</w:t>
      </w:r>
      <w:r w:rsidRPr="00EF5DBD">
        <w:t>o-France d</w:t>
      </w:r>
      <w:r w:rsidRPr="00EF5DBD">
        <w:rPr>
          <w:rFonts w:cs="Marianne"/>
        </w:rPr>
        <w:t>’</w:t>
      </w:r>
      <w:r w:rsidRPr="00EF5DBD">
        <w:t>apr</w:t>
      </w:r>
      <w:r w:rsidRPr="00EF5DBD">
        <w:rPr>
          <w:rFonts w:cs="Marianne"/>
        </w:rPr>
        <w:t>è</w:t>
      </w:r>
      <w:r w:rsidRPr="00EF5DBD">
        <w:t>s le GIEC</w:t>
      </w:r>
    </w:p>
    <w:p w14:paraId="2869E48E" w14:textId="77777777" w:rsidR="006D5177" w:rsidRDefault="006D5177" w:rsidP="006D5177">
      <w:pPr>
        <w:spacing w:after="240"/>
      </w:pPr>
    </w:p>
    <w:p w14:paraId="0171E6F8" w14:textId="783D2DFD" w:rsidR="006D5177" w:rsidRDefault="006D5177" w:rsidP="006D5177">
      <w:pPr>
        <w:spacing w:after="240"/>
      </w:pPr>
      <w:r>
        <w:t xml:space="preserve">Selon l’évolution de la température moyenne mondiale, les impacts sur la France seront différents. Ils ont été déclinés pas Météo-France sur la </w:t>
      </w:r>
      <w:r w:rsidR="004077DC">
        <w:fldChar w:fldCharType="begin"/>
      </w:r>
      <w:r w:rsidR="004077DC">
        <w:instrText xml:space="preserve"> REF _Ref123904101 \h </w:instrText>
      </w:r>
      <w:r w:rsidR="004077DC">
        <w:fldChar w:fldCharType="separate"/>
      </w:r>
      <w:r w:rsidR="00AB51D9">
        <w:t xml:space="preserve">Figure </w:t>
      </w:r>
      <w:r w:rsidR="00AB51D9">
        <w:rPr>
          <w:noProof/>
        </w:rPr>
        <w:t>69</w:t>
      </w:r>
      <w:r w:rsidR="004077DC">
        <w:fldChar w:fldCharType="end"/>
      </w:r>
      <w:r>
        <w:t xml:space="preserve"> de manière à montrer de manière simple les impacts sur les extrêmes climatiques. Par exemple, une augmentation globale de 4</w:t>
      </w:r>
      <w:r>
        <w:rPr>
          <w:rFonts w:ascii="Calibri" w:hAnsi="Calibri" w:cs="Calibri"/>
        </w:rPr>
        <w:t> </w:t>
      </w:r>
      <w:r>
        <w:t>°C aura comme conséquence un enneigement diminu</w:t>
      </w:r>
      <w:r w:rsidR="004077DC">
        <w:t>é</w:t>
      </w:r>
      <w:r>
        <w:t xml:space="preserve"> de 25</w:t>
      </w:r>
      <w:r w:rsidR="006518EF">
        <w:rPr>
          <w:rFonts w:ascii="Calibri" w:hAnsi="Calibri" w:cs="Calibri"/>
        </w:rPr>
        <w:t>%</w:t>
      </w:r>
      <w:r>
        <w:t xml:space="preserve"> et une augmentation de la proportion des cyclones tropicaux intenses de 20</w:t>
      </w:r>
      <w:r w:rsidR="006518EF">
        <w:rPr>
          <w:rFonts w:ascii="Calibri" w:hAnsi="Calibri" w:cs="Calibri"/>
        </w:rPr>
        <w:t>%</w:t>
      </w:r>
      <w:r>
        <w:t>.</w:t>
      </w:r>
    </w:p>
    <w:p w14:paraId="09B6613C" w14:textId="77777777" w:rsidR="006D5177" w:rsidRDefault="006D5177" w:rsidP="006D5177"/>
    <w:p w14:paraId="34BCE38F" w14:textId="77777777" w:rsidR="006D5177" w:rsidRDefault="006D5177" w:rsidP="006D5177">
      <w:r w:rsidRPr="00967FE1">
        <w:t>Des conséquences importantes sur la biodiversité sont également attendues. Par exemple, la distribution géographique des zones bioclimatiques des essences d’arbres va être modifiée plus vite que leur capacité naturelle d’adaptation ne le permet.</w:t>
      </w:r>
    </w:p>
    <w:p w14:paraId="4D72C319" w14:textId="77777777" w:rsidR="006D5177" w:rsidRDefault="006D5177" w:rsidP="006D5177"/>
    <w:p w14:paraId="46B3659E" w14:textId="77777777" w:rsidR="006D5177" w:rsidRPr="00967FE1" w:rsidRDefault="006D5177" w:rsidP="006D5177"/>
    <w:p w14:paraId="6B4E4426" w14:textId="77777777" w:rsidR="006D5177" w:rsidRDefault="006D5177" w:rsidP="00C44824">
      <w:pPr>
        <w:jc w:val="center"/>
      </w:pPr>
      <w:r>
        <w:rPr>
          <w:noProof/>
        </w:rPr>
        <w:drawing>
          <wp:inline distT="0" distB="0" distL="0" distR="0" wp14:anchorId="2711BE29" wp14:editId="6EB8F37F">
            <wp:extent cx="5758288" cy="4008012"/>
            <wp:effectExtent l="0" t="0" r="0" b="0"/>
            <wp:docPr id="36420" name="Picture 36420"/>
            <wp:cNvGraphicFramePr/>
            <a:graphic xmlns:a="http://schemas.openxmlformats.org/drawingml/2006/main">
              <a:graphicData uri="http://schemas.openxmlformats.org/drawingml/2006/picture">
                <pic:pic xmlns:pic="http://schemas.openxmlformats.org/drawingml/2006/picture">
                  <pic:nvPicPr>
                    <pic:cNvPr id="36420" name="Picture 36420"/>
                    <pic:cNvPicPr/>
                  </pic:nvPicPr>
                  <pic:blipFill>
                    <a:blip r:embed="rId115">
                      <a:extLst>
                        <a:ext uri="{28A0092B-C50C-407E-A947-70E740481C1C}">
                          <a14:useLocalDpi xmlns:a14="http://schemas.microsoft.com/office/drawing/2010/main" val="0"/>
                        </a:ext>
                      </a:extLst>
                    </a:blip>
                    <a:stretch>
                      <a:fillRect/>
                    </a:stretch>
                  </pic:blipFill>
                  <pic:spPr>
                    <a:xfrm>
                      <a:off x="0" y="0"/>
                      <a:ext cx="5758288" cy="4008012"/>
                    </a:xfrm>
                    <a:prstGeom prst="rect">
                      <a:avLst/>
                    </a:prstGeom>
                  </pic:spPr>
                </pic:pic>
              </a:graphicData>
            </a:graphic>
          </wp:inline>
        </w:drawing>
      </w:r>
    </w:p>
    <w:p w14:paraId="2A49231F" w14:textId="7274B702" w:rsidR="00A845C2" w:rsidRDefault="00C44824" w:rsidP="0045532B">
      <w:pPr>
        <w:pStyle w:val="Caption"/>
      </w:pPr>
      <w:bookmarkStart w:id="606" w:name="_Toc123916481"/>
      <w:r>
        <w:t xml:space="preserve">Figure </w:t>
      </w:r>
      <w:fldSimple w:instr=" SEQ Figure \* ARABIC ">
        <w:r w:rsidR="00AB51D9">
          <w:rPr>
            <w:noProof/>
          </w:rPr>
          <w:t>70</w:t>
        </w:r>
      </w:fldSimple>
      <w:r>
        <w:t> : Evolution de la distributions de groupes de végétaux à l’horizon 2050 et 2100</w:t>
      </w:r>
      <w:bookmarkEnd w:id="606"/>
    </w:p>
    <w:p w14:paraId="5758AFCE" w14:textId="7FB3BE75" w:rsidR="006D5177" w:rsidRDefault="00A845C2" w:rsidP="0045532B">
      <w:pPr>
        <w:pStyle w:val="Caption"/>
      </w:pPr>
      <w:r>
        <w:t xml:space="preserve">Source : </w:t>
      </w:r>
      <w:r w:rsidRPr="00A845C2">
        <w:t>Rapport ONERC 2014 L’arbre et la forêt à l’épreuve d’un climat qui change d’après Badeau (2010)</w:t>
      </w:r>
    </w:p>
    <w:p w14:paraId="005D4622" w14:textId="77777777" w:rsidR="006D5177" w:rsidRDefault="006D5177" w:rsidP="006D5177"/>
    <w:p w14:paraId="15584718" w14:textId="77777777" w:rsidR="006D5177" w:rsidRDefault="006D5177" w:rsidP="00E22CF8">
      <w:pPr>
        <w:pStyle w:val="titreencadre"/>
      </w:pPr>
      <w:r>
        <w:t xml:space="preserve">Élévation du niveau de la mer </w:t>
      </w:r>
    </w:p>
    <w:p w14:paraId="76AC14CC" w14:textId="77777777" w:rsidR="006D5177" w:rsidRDefault="006D5177" w:rsidP="006D5177">
      <w:pPr>
        <w:spacing w:after="240"/>
      </w:pPr>
      <w:r>
        <w:t xml:space="preserve">En raison de la répartition des outre-mer français dans tous les océans du monde et de la quantité de population française vivant dans les zones littorales, la question de la montée du niveau marin est un sujet fondamental pour la France. </w:t>
      </w:r>
    </w:p>
    <w:p w14:paraId="42A6BD58" w14:textId="77777777" w:rsidR="006D5177" w:rsidRDefault="006D5177" w:rsidP="006D5177">
      <w:pPr>
        <w:spacing w:after="240"/>
      </w:pPr>
      <w:r>
        <w:t xml:space="preserve">Toutes les observations, satellitaires ou hydrographiques corroborent que l’élévation mondiale du niveau de la mer est inégale tant géographiquement que temporellement. Ainsi, dans certaines régions, les rythmes de l’élévation sont beaucoup plus rapides que la moyenne mondiale, tandis que dans d’autres régions, le niveau de la mer baisse. </w:t>
      </w:r>
    </w:p>
    <w:p w14:paraId="11BA9FEE" w14:textId="5F8487A0" w:rsidR="006D5177" w:rsidRDefault="004077DC" w:rsidP="006D5177">
      <w:pPr>
        <w:spacing w:after="240"/>
      </w:pPr>
      <w:r>
        <w:t>Globalement, le niveau de la mer s’élèvera encore plus rapidement au XXIe siècle. Les deux causes principales de l’élévation du niveau mondial de la mer sont la dilatation thermique des océans (l’eau se dilate avec la chaleur) et la disparition des glaciers continentaux due à une augmentation de la fonte des glaces. Le niveau marin a crû de moins de 3 mm/an à plus de 5 mm/an au cours des 20 dernières années</w:t>
      </w:r>
      <w:r>
        <w:rPr>
          <w:rFonts w:ascii="Calibri" w:hAnsi="Calibri" w:cs="Calibri"/>
        </w:rPr>
        <w:t> </w:t>
      </w:r>
      <w:r>
        <w:t xml:space="preserve">; soit une augmentation </w:t>
      </w:r>
      <w:r w:rsidRPr="008F6B48">
        <w:t xml:space="preserve">de +6 cm au cours des 20 dernières années </w:t>
      </w:r>
      <w:r>
        <w:t>et de</w:t>
      </w:r>
      <w:r w:rsidRPr="008F6B48">
        <w:t xml:space="preserve"> 17 cm sur le dernier siècle</w:t>
      </w:r>
      <w:r>
        <w:t xml:space="preserve"> ;  </w:t>
      </w:r>
      <w:r w:rsidRPr="004D4F6F">
        <w:t>Selon la trajectoire suivie, le niveau des mers augmentera encore de 44 cm (SSP1-2.6) à 77 cm (SSP5-8.5) d’ici la fin du siècle par rapport au niveau moyen de référence (1995-2014), avec des différences régionales parfois importantes allant même à plus d’1 m pour les cas extrêmes (jusqu’à 1,1 m projetés en Méditerranée)</w:t>
      </w:r>
      <w:r>
        <w:t>.</w:t>
      </w:r>
    </w:p>
    <w:p w14:paraId="3F962176" w14:textId="77777777" w:rsidR="006D5177" w:rsidRPr="00810BA9" w:rsidRDefault="006D5177" w:rsidP="006D5177">
      <w:pPr>
        <w:spacing w:after="240"/>
      </w:pPr>
      <w:r w:rsidRPr="00810BA9">
        <w:t xml:space="preserve">La plupart des territoires outre-mer possède une capacité d’amortissement des pressions et de redéploiement territorial inférieure à celle des espaces métropolitains. Cela réduit les marges de manœuvre des sociétés et des acteurs, publics comme privés, face aux contraintes. </w:t>
      </w:r>
    </w:p>
    <w:p w14:paraId="7D8E87F3" w14:textId="77777777" w:rsidR="006D5177" w:rsidRDefault="006D5177" w:rsidP="006D5177">
      <w:pPr>
        <w:spacing w:after="240"/>
      </w:pPr>
      <w:r w:rsidRPr="00810BA9">
        <w:t>Les conditions environnementales et de développement actuelles déterminent la capacité d’adaptation des territoires et donc leur aptitude à engager une démarche d’adaptation sur le long terme. Le changement climatique va essentiellement avoir pour effet, aux échelles locales, d’exacerber des pressions existantes, liées à des modes de développement non soutenables.</w:t>
      </w:r>
    </w:p>
    <w:p w14:paraId="60027E8B" w14:textId="77777777" w:rsidR="006D5177" w:rsidRDefault="006D5177" w:rsidP="006D5177">
      <w:pPr>
        <w:keepNext/>
      </w:pPr>
      <w:r w:rsidRPr="00506E61">
        <w:rPr>
          <w:noProof/>
        </w:rPr>
        <w:drawing>
          <wp:inline distT="0" distB="0" distL="0" distR="0" wp14:anchorId="6E2403FA" wp14:editId="76B97033">
            <wp:extent cx="6318250" cy="3455664"/>
            <wp:effectExtent l="0" t="0" r="635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18250" cy="3455664"/>
                    </a:xfrm>
                    <a:prstGeom prst="rect">
                      <a:avLst/>
                    </a:prstGeom>
                    <a:noFill/>
                    <a:ln>
                      <a:noFill/>
                    </a:ln>
                  </pic:spPr>
                </pic:pic>
              </a:graphicData>
            </a:graphic>
          </wp:inline>
        </w:drawing>
      </w:r>
    </w:p>
    <w:p w14:paraId="0B20D0B3" w14:textId="06B5ADEB" w:rsidR="00C44824" w:rsidRDefault="00C44824" w:rsidP="0045532B">
      <w:pPr>
        <w:pStyle w:val="Caption"/>
      </w:pPr>
      <w:bookmarkStart w:id="607" w:name="_Toc123916482"/>
      <w:r>
        <w:t xml:space="preserve">Figure </w:t>
      </w:r>
      <w:fldSimple w:instr=" SEQ Figure \* ARABIC ">
        <w:r w:rsidR="00AB51D9">
          <w:rPr>
            <w:noProof/>
          </w:rPr>
          <w:t>71</w:t>
        </w:r>
      </w:fldSimple>
      <w:r>
        <w:t xml:space="preserve"> : </w:t>
      </w:r>
      <w:r w:rsidR="006D5177" w:rsidRPr="00070E39">
        <w:t>Longueur des infrastructures en fonction de leur nature submergées en cas d’élévation de la mer de 1 mètre auquel se superpose un aléa de submersion d’une dur</w:t>
      </w:r>
      <w:r>
        <w:t>ée de retour de 100 ans</w:t>
      </w:r>
      <w:bookmarkEnd w:id="607"/>
    </w:p>
    <w:p w14:paraId="5ABD91B5" w14:textId="2AC2B830" w:rsidR="006D5177" w:rsidRDefault="006D5177" w:rsidP="0045532B">
      <w:pPr>
        <w:pStyle w:val="Caption"/>
      </w:pPr>
      <w:r w:rsidRPr="00070E39">
        <w:t>Source : Onerc</w:t>
      </w:r>
    </w:p>
    <w:p w14:paraId="358BA638" w14:textId="41E1882D" w:rsidR="006D5177" w:rsidRPr="00C44824" w:rsidRDefault="006D5177" w:rsidP="00E22CF8">
      <w:pPr>
        <w:pStyle w:val="Titre2Niveau2"/>
      </w:pPr>
      <w:bookmarkStart w:id="608" w:name="_Toc118276997"/>
      <w:bookmarkStart w:id="609" w:name="_Toc118384427"/>
      <w:bookmarkStart w:id="610" w:name="_Toc138342033"/>
      <w:r w:rsidRPr="00C44824">
        <w:t>Évaluation des risques et de la vulnérabilité au changement climatique</w:t>
      </w:r>
      <w:bookmarkEnd w:id="608"/>
      <w:bookmarkEnd w:id="609"/>
      <w:bookmarkEnd w:id="610"/>
    </w:p>
    <w:p w14:paraId="49748789" w14:textId="0C3C849A" w:rsidR="006D5177" w:rsidRDefault="006D5177" w:rsidP="006D5177">
      <w:pPr>
        <w:spacing w:after="240"/>
      </w:pPr>
      <w:r>
        <w:t>L’Homme et la Nature ont sans doute la capacité de s’adapter spontanément dans une certaine mesure aux bouleversements engendrés par le changement climatique, mais il est certain que, si l’on ne se prépare pas à ce changement, il induira des coûts et des dommages bien supérieurs à l’effort d’anticipation. Il faut donc dès aujourd’hui réduire notre vulnérabilité aux variations climatiques, afin d’éviter de forts dommages environnementaux, matériels, financiers mais aussi humains. Il convient de rappeler que le coût de l’inaction, évalué par l’économiste Nicholas Stern</w:t>
      </w:r>
      <w:r>
        <w:rPr>
          <w:rStyle w:val="FootnoteReference"/>
        </w:rPr>
        <w:footnoteReference w:id="61"/>
      </w:r>
      <w:r>
        <w:t>, se situe entre 5</w:t>
      </w:r>
      <w:r w:rsidR="006518EF">
        <w:t>%</w:t>
      </w:r>
      <w:r>
        <w:t xml:space="preserve"> et 20</w:t>
      </w:r>
      <w:r w:rsidR="006518EF">
        <w:t>%</w:t>
      </w:r>
      <w:r>
        <w:t xml:space="preserve"> du PIB mondial et celui de l’action de 1 à 2</w:t>
      </w:r>
      <w:r w:rsidR="006518EF">
        <w:t>%</w:t>
      </w:r>
      <w:r>
        <w:t xml:space="preserve"> du produit intérieur brut (PIB) mondial. </w:t>
      </w:r>
    </w:p>
    <w:p w14:paraId="168080C4" w14:textId="77777777" w:rsidR="006D5177" w:rsidRDefault="006D5177" w:rsidP="006D5177">
      <w:pPr>
        <w:spacing w:after="240"/>
      </w:pPr>
      <w:r>
        <w:t>Le rapport de l’Onerc publié en 2009 « impacts du changement climatique, coûts associés et pistes d’adaptation »</w:t>
      </w:r>
      <w:r>
        <w:rPr>
          <w:rStyle w:val="FootnoteReference"/>
        </w:rPr>
        <w:footnoteReference w:id="62"/>
      </w:r>
      <w:r>
        <w:t xml:space="preserve"> montre que les coûts annuels liés aux changements climatiques pourraient atteindre plusieurs milliards d’euros par an pour la France métropolitaine si aucune mesure d’adaptation ne venait à être prise.</w:t>
      </w:r>
    </w:p>
    <w:p w14:paraId="5AD8AB8E" w14:textId="77777777" w:rsidR="006D5177" w:rsidRDefault="006D5177" w:rsidP="006D5177">
      <w:pPr>
        <w:spacing w:after="240"/>
      </w:pPr>
      <w:r w:rsidRPr="00810BA9">
        <w:t>Afin de rendre les effets du changement climatique plus aisés à percevoir, plusieurs indicateurs sont publiés sur le site de l’Onerc. Certains sont des agrégations de données disponibles de manière à montrer l’influence du changement climatique.</w:t>
      </w:r>
    </w:p>
    <w:p w14:paraId="453A43F2" w14:textId="77777777" w:rsidR="006D5177" w:rsidRDefault="006D5177" w:rsidP="006D5177"/>
    <w:p w14:paraId="674D8130" w14:textId="77777777" w:rsidR="006D5177" w:rsidRDefault="006D5177" w:rsidP="006D5177"/>
    <w:p w14:paraId="23620C52" w14:textId="77777777" w:rsidR="006D5177" w:rsidRDefault="006D5177" w:rsidP="006D5177">
      <w:r w:rsidRPr="00505743">
        <w:rPr>
          <w:noProof/>
        </w:rPr>
        <w:drawing>
          <wp:inline distT="0" distB="0" distL="0" distR="0" wp14:anchorId="43124166" wp14:editId="2E63BD0C">
            <wp:extent cx="6318250" cy="7259669"/>
            <wp:effectExtent l="0" t="0" r="6350" b="0"/>
            <wp:docPr id="128" name="Image 128" descr="https://www.ecologie.gouv.fr/sites/default/files/styles/standard/public/ONERC_exposition_populations_risques_climatiques_2015.png?itok=r95vtY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ologie.gouv.fr/sites/default/files/styles/standard/public/ONERC_exposition_populations_risques_climatiques_2015.png?itok=r95vtYZb"/>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18250" cy="7259669"/>
                    </a:xfrm>
                    <a:prstGeom prst="rect">
                      <a:avLst/>
                    </a:prstGeom>
                    <a:noFill/>
                    <a:ln>
                      <a:noFill/>
                    </a:ln>
                  </pic:spPr>
                </pic:pic>
              </a:graphicData>
            </a:graphic>
          </wp:inline>
        </w:drawing>
      </w:r>
    </w:p>
    <w:p w14:paraId="1B5C72C3" w14:textId="3D7CC702" w:rsidR="00C44824" w:rsidRDefault="00C44824" w:rsidP="0045532B">
      <w:pPr>
        <w:pStyle w:val="Caption"/>
      </w:pPr>
      <w:bookmarkStart w:id="611" w:name="_Toc123916483"/>
      <w:r>
        <w:t xml:space="preserve">Figure </w:t>
      </w:r>
      <w:fldSimple w:instr=" SEQ Figure \* ARABIC ">
        <w:r w:rsidR="00AB51D9">
          <w:rPr>
            <w:noProof/>
          </w:rPr>
          <w:t>72</w:t>
        </w:r>
      </w:fldSimple>
      <w:r>
        <w:t> : Exposition des populations</w:t>
      </w:r>
      <w:bookmarkEnd w:id="611"/>
    </w:p>
    <w:p w14:paraId="037F5F43" w14:textId="6AD2282F" w:rsidR="006D5177" w:rsidRPr="00E25F16" w:rsidRDefault="006D5177" w:rsidP="0045532B">
      <w:pPr>
        <w:pStyle w:val="Caption"/>
        <w:rPr>
          <w:noProof/>
          <w:sz w:val="21"/>
          <w:szCs w:val="24"/>
        </w:rPr>
      </w:pPr>
      <w:r>
        <w:t>Source : Onerc SDES</w:t>
      </w:r>
    </w:p>
    <w:p w14:paraId="48764D07" w14:textId="77777777" w:rsidR="006D5177" w:rsidRDefault="006D5177" w:rsidP="006D5177"/>
    <w:p w14:paraId="7D75EE84" w14:textId="77777777" w:rsidR="006D5177" w:rsidRDefault="006D5177" w:rsidP="006D5177"/>
    <w:p w14:paraId="304C2A27" w14:textId="77777777" w:rsidR="006D5177" w:rsidRDefault="006D5177" w:rsidP="006D5177"/>
    <w:p w14:paraId="74F9D8BB" w14:textId="77777777" w:rsidR="006D5177" w:rsidRDefault="006D5177" w:rsidP="006D5177"/>
    <w:p w14:paraId="2FFC7179" w14:textId="77777777" w:rsidR="006D5177" w:rsidRDefault="006D5177" w:rsidP="006D5177"/>
    <w:p w14:paraId="029A0C66" w14:textId="77777777" w:rsidR="006D5177" w:rsidRDefault="006D5177" w:rsidP="006D5177"/>
    <w:p w14:paraId="6ADA4592" w14:textId="65052024" w:rsidR="006D5177" w:rsidRDefault="006D5177" w:rsidP="006D5177"/>
    <w:p w14:paraId="52ABEBCD" w14:textId="77777777" w:rsidR="006D5177" w:rsidRDefault="006D5177" w:rsidP="006D5177"/>
    <w:p w14:paraId="2881E852" w14:textId="7252FB74" w:rsidR="006D5177" w:rsidRDefault="006D5177" w:rsidP="00CC12D8">
      <w:r w:rsidRPr="00810BA9">
        <w:t xml:space="preserve">Ces cartes illustrent le niveau d'exposition de la population française aux risques naturels liés au climat. Plus la densité de population est forte et plus le nombre de risques climatique identifié par commune est élevé, plus l’indice de risque est fort. </w:t>
      </w:r>
    </w:p>
    <w:p w14:paraId="74857684" w14:textId="77777777" w:rsidR="00CC12D8" w:rsidRPr="00810BA9" w:rsidRDefault="00CC12D8" w:rsidP="00CC12D8"/>
    <w:p w14:paraId="1ABA6B42" w14:textId="577DE03A" w:rsidR="006D5177" w:rsidRDefault="006D5177" w:rsidP="00CC12D8">
      <w:r w:rsidRPr="00810BA9">
        <w:t xml:space="preserve">Ces risques sont susceptibles de s'accroître avec le changement climatique, dans la mesure où certains événements et extrêmes météorologiques pourraient devenir plus fréquents, plus répandus et/ou plus intenses. Aussi, il est nécessaire de mettre en place des actions d’adaptation dans les territoires exposés pour limiter leur vulnérabilité aux risques climatiques. </w:t>
      </w:r>
    </w:p>
    <w:p w14:paraId="130FF780" w14:textId="77777777" w:rsidR="00CC12D8" w:rsidRPr="00810BA9" w:rsidRDefault="00CC12D8" w:rsidP="00CC12D8"/>
    <w:p w14:paraId="7CB171CE" w14:textId="34CFDBED" w:rsidR="006D5177" w:rsidRDefault="006D5177" w:rsidP="00CC12D8">
      <w:r w:rsidRPr="00810BA9">
        <w:t>Une analyse des données statistiques montre que 18,5</w:t>
      </w:r>
      <w:r w:rsidR="006518EF">
        <w:t>%</w:t>
      </w:r>
      <w:r w:rsidRPr="00810BA9">
        <w:t xml:space="preserve"> des communes françaises métropolitaines sont fortement exposées aux risques climatiques, ce chiffre s’élevant à 50</w:t>
      </w:r>
      <w:r w:rsidR="006518EF">
        <w:t>%</w:t>
      </w:r>
      <w:r w:rsidRPr="00810BA9">
        <w:t xml:space="preserve"> si on y adjoint les communes moyennement exposées. À l’échelle régionale, les régions les plus concernées sont les territoires ultramarins avec une exposition forte pour plus de 90</w:t>
      </w:r>
      <w:r w:rsidR="006518EF">
        <w:t>%</w:t>
      </w:r>
      <w:r w:rsidRPr="00810BA9">
        <w:t xml:space="preserve"> de leurs communes. Pour la métropole, les régions les plus exposées sont la Bretagne (46</w:t>
      </w:r>
      <w:r w:rsidR="006518EF">
        <w:t>%</w:t>
      </w:r>
      <w:r w:rsidRPr="00810BA9">
        <w:t>), PACA (44</w:t>
      </w:r>
      <w:r w:rsidR="006518EF">
        <w:t>%</w:t>
      </w:r>
      <w:r w:rsidRPr="00810BA9">
        <w:t>) et l'Île-de-France (40</w:t>
      </w:r>
      <w:r w:rsidR="006518EF">
        <w:t>%</w:t>
      </w:r>
      <w:r w:rsidRPr="00810BA9">
        <w:t>). Si en Île-de</w:t>
      </w:r>
      <w:r>
        <w:t xml:space="preserve"> </w:t>
      </w:r>
      <w:r w:rsidRPr="00810BA9">
        <w:t xml:space="preserve">France c'est avant tout la densité de population qui prime, en revanche en PACA et en Bretagne la densité élevée de population est renforcée par un nombre élevé de communes pour lesquelles au moins 3 risques climatiques sont identifiés. </w:t>
      </w:r>
    </w:p>
    <w:p w14:paraId="73ADA9DC" w14:textId="77777777" w:rsidR="00CC12D8" w:rsidRPr="00810BA9" w:rsidRDefault="00CC12D8" w:rsidP="00CC12D8"/>
    <w:p w14:paraId="3E67D9D5" w14:textId="01E4D5A5" w:rsidR="006D5177" w:rsidRDefault="004077DC" w:rsidP="00181B96">
      <w:r w:rsidRPr="00810BA9">
        <w:t xml:space="preserve">En comparaison avec d’autres pays notamment dans l’hémisphère sud, la France – exception faite de l’outre-mer d’ores et déjà très exposée – est aujourd’hui </w:t>
      </w:r>
      <w:r>
        <w:t>encore moins lourdement frappée</w:t>
      </w:r>
      <w:r w:rsidRPr="00810BA9">
        <w:t xml:space="preserve"> par le changement climatique. Pourtant, la situation pourrait changer et largement s’aggraver à partir de 2060</w:t>
      </w:r>
      <w:r w:rsidR="006D5177" w:rsidRPr="00810BA9">
        <w:t xml:space="preserve">. </w:t>
      </w:r>
    </w:p>
    <w:p w14:paraId="5B2E7275" w14:textId="77777777" w:rsidR="00CC12D8" w:rsidRPr="00810BA9" w:rsidRDefault="00CC12D8" w:rsidP="00181B96"/>
    <w:p w14:paraId="311C8CBB" w14:textId="77777777" w:rsidR="006D5177" w:rsidRPr="00810BA9" w:rsidRDefault="006D5177" w:rsidP="00181B96">
      <w:r w:rsidRPr="00810BA9">
        <w:t xml:space="preserve">Publié en 2009, le rapport de l’Onerc intitulé « impacts du changement climatique, coûts associés et pistes d’adaptation » met en avant les impacts économiques attendus aux horizons proche et lointain. </w:t>
      </w:r>
    </w:p>
    <w:p w14:paraId="2F4FBF4C" w14:textId="0302E78F" w:rsidR="006D5177" w:rsidRDefault="006D5177" w:rsidP="00181B96">
      <w:r w:rsidRPr="00810BA9">
        <w:t xml:space="preserve">Plusieurs pistes d’adaptation ont été identifiées et permettraient de limiter les impacts négatifs du changement climatique. La plupart des mesures d’adaptation sont toutefois largement dépendantes des caractéristiques territoriales et devront donc être examinées </w:t>
      </w:r>
      <w:r w:rsidR="00181B96">
        <w:t>au cas par cas au niveau local.</w:t>
      </w:r>
    </w:p>
    <w:p w14:paraId="217A174B" w14:textId="77777777" w:rsidR="00181B96" w:rsidRPr="00810BA9" w:rsidRDefault="00181B96" w:rsidP="00181B96"/>
    <w:p w14:paraId="216A8687" w14:textId="260B6750" w:rsidR="006D5177" w:rsidRDefault="006D5177" w:rsidP="00181B96">
      <w:r w:rsidRPr="00810BA9">
        <w:t>Dans la continuité du rapport de 2009 de l’Onerc</w:t>
      </w:r>
      <w:r>
        <w:rPr>
          <w:rFonts w:ascii="Calibri" w:hAnsi="Calibri" w:cs="Calibri"/>
        </w:rPr>
        <w:t> </w:t>
      </w:r>
      <w:r>
        <w:t>:</w:t>
      </w:r>
      <w:r w:rsidRPr="00810BA9">
        <w:t xml:space="preserve"> Changement climatique, « Coûts des impacts et pistes d’adaptation », il est établi que la France sera confrontée à un accroissement des tensions sur la ressource en eau (ex. : déficit de 2 milliards de m</w:t>
      </w:r>
      <w:r w:rsidRPr="00810BA9">
        <w:rPr>
          <w:vertAlign w:val="superscript"/>
        </w:rPr>
        <w:t>3</w:t>
      </w:r>
      <w:r w:rsidRPr="00810BA9">
        <w:t xml:space="preserve"> par an), à une évolution marquée des risques naturels (ex. : dommages causés aux habitations par le retrait-gonflement des argiles pouvant dépasser 1 milliard d’euros par an), à des impacts marqués sur la production de biomasse (ex. : coûts supérieurs à 300 millions d’euros par an pour la seule culture du blé en cas de multiplication d’événements comparables à la canicule de 2003) pour ne citer que quelques exemples à horizon 2050-2100. Plusieurs des travaux présentés dans cette publication s’intéressent au coût du changement climatique dan</w:t>
      </w:r>
      <w:r w:rsidR="00181B96">
        <w:t>s les territoires.</w:t>
      </w:r>
    </w:p>
    <w:p w14:paraId="1E872AC0" w14:textId="77777777" w:rsidR="00181B96" w:rsidRPr="00810BA9" w:rsidRDefault="00181B96" w:rsidP="00181B96"/>
    <w:p w14:paraId="0EB79A33" w14:textId="77777777" w:rsidR="006D5177" w:rsidRDefault="006D5177" w:rsidP="00181B96">
      <w:r w:rsidRPr="00810BA9">
        <w:t>Le constat actuel ne doit donc pas inciter à l’inaction mais au contraire pousser au développement des expertises, savoir-faire et mobilisation collective indispensables à l’adaptation. Il apparaît cependant que la notion d’« adaptation » est diversement comprise par les acteurs. Cette confusion peut entraîner des contre-sens préjudiciables à l’action publique. La clarification du sens à donner à ce terme et son appropriation par l’ensemble des acteurs concernés est de ce point de vue un préalable fondamental.</w:t>
      </w:r>
    </w:p>
    <w:p w14:paraId="34A35000" w14:textId="77777777" w:rsidR="006D5177" w:rsidRDefault="006D5177" w:rsidP="00E22CF8">
      <w:pPr>
        <w:pStyle w:val="Titre2Niveau2"/>
      </w:pPr>
      <w:bookmarkStart w:id="612" w:name="_Toc118276998"/>
      <w:bookmarkStart w:id="613" w:name="_Toc118384428"/>
      <w:bookmarkStart w:id="614" w:name="_Toc138342034"/>
      <w:r>
        <w:t>Impacts du changement climatique</w:t>
      </w:r>
      <w:bookmarkEnd w:id="612"/>
      <w:bookmarkEnd w:id="613"/>
      <w:bookmarkEnd w:id="614"/>
    </w:p>
    <w:p w14:paraId="7840CFB0" w14:textId="77777777" w:rsidR="006D5177" w:rsidRPr="006B6C69" w:rsidRDefault="006D5177" w:rsidP="006D5177">
      <w:pPr>
        <w:spacing w:after="240"/>
      </w:pPr>
      <w:r w:rsidRPr="006B6C69">
        <w:t>Une hausse de 2 °C de la température moyenne de la planète d’ici la fin du siècle, hypothèse retenue pour le PNACC-2, se déclinera de façon différenciée selon les régions du monde et s’accompagnera partout de changements importants dans le régime des précipitations et dans la fréquence et la sévérité des évènements extrêmes. Ces changements auront de forts impacts dans tous les secteurs socio-économiques et sur l’environnement naturel mondial. La meilleure connaissance possible de ces changements, de leurs impacts et des incertitudes associées est indispensable pour identifier les mesures d’adaptation les plus pertinentes et les faire évoluer au fur et à mesure du progrès dans nos connaissances.</w:t>
      </w:r>
    </w:p>
    <w:p w14:paraId="696C7BE9" w14:textId="42E4C008" w:rsidR="006D5177" w:rsidRDefault="004077DC" w:rsidP="006D5177">
      <w:pPr>
        <w:spacing w:after="240"/>
      </w:pPr>
      <w:r>
        <w:t>Le groupe I du GIEC (Groupe d’experts intergouvernemental sur l’évolution du climat) a publié, en août 2021, son 6e rapport sur les bases scientifiques du changement climatique. Ce rapport réaffirme le fait que l’origine humaine des changements climatiques observés depuis la deuxième moitié du XIXe siècle est sans équivoque, qu’il s’agisse du réchauffement mondial (+ 1,1</w:t>
      </w:r>
      <w:r>
        <w:rPr>
          <w:rFonts w:ascii="Calibri" w:hAnsi="Calibri" w:cs="Calibri"/>
        </w:rPr>
        <w:t> </w:t>
      </w:r>
      <w:r>
        <w:t>°C), du recul des neiges et des glaces, de l’acidification des océans ou de la hausse du niveau marin. L’une des avancées majeures du rapport est de mettre en évidence l’influence humaine sur l’intensité et la fréquence de phénomènes extrêmes tels que les vagues de chaleur ou les fortes pluies. Les évolutions observées du climat vont se poursuivre et il est notamment acquis que la température du globe atteindra le seuil de 1,5</w:t>
      </w:r>
      <w:r>
        <w:rPr>
          <w:rFonts w:ascii="Calibri" w:hAnsi="Calibri" w:cs="Calibri"/>
        </w:rPr>
        <w:t> </w:t>
      </w:r>
      <w:r>
        <w:t>°C d’ici moins de vingt ans, mais elles peuvent encore être contenues sur le plus long terme si des actions fortes, rapides et durables de réduction des émissions de CO</w:t>
      </w:r>
      <w:r w:rsidRPr="007F09F7">
        <w:rPr>
          <w:vertAlign w:val="subscript"/>
        </w:rPr>
        <w:t>2</w:t>
      </w:r>
      <w:r>
        <w:t xml:space="preserve"> sont menées</w:t>
      </w:r>
      <w:r w:rsidR="006D5177">
        <w:t>.</w:t>
      </w:r>
      <w:r w:rsidR="006D5177" w:rsidRPr="006B6C69">
        <w:t xml:space="preserve"> </w:t>
      </w:r>
    </w:p>
    <w:p w14:paraId="01DA85EC" w14:textId="2534EEA9" w:rsidR="006D5177" w:rsidRDefault="006D5177" w:rsidP="006D5177">
      <w:pPr>
        <w:spacing w:after="240"/>
      </w:pPr>
      <w:r>
        <w:t>Avec un PIB nominal d’environ 3 000 milliards de dollars, la France est la 6e puissance économique mondiale. L'économie française a subi une récession massive en 2020 sous le coup de l'épidémie de Covid-19, avec une chute du produit intérieur brut (PIB) de 8,3</w:t>
      </w:r>
      <w:r w:rsidR="006518EF">
        <w:t>%</w:t>
      </w:r>
      <w:r>
        <w:t>.</w:t>
      </w:r>
    </w:p>
    <w:p w14:paraId="37504DE8" w14:textId="3EFC90F4" w:rsidR="006D5177" w:rsidRDefault="006D5177" w:rsidP="006D5177">
      <w:pPr>
        <w:spacing w:after="240"/>
      </w:pPr>
      <w:r>
        <w:t>L'économie française est principalement une économie de services : en 2015, le secteur tertiaire occupait 76,7</w:t>
      </w:r>
      <w:r w:rsidR="006518EF">
        <w:t>%</w:t>
      </w:r>
      <w:r>
        <w:t xml:space="preserve"> de la population active, tandis que le secteur primaire (agriculture, pêche, etc.) n'en représentait plus que 2,8</w:t>
      </w:r>
      <w:r w:rsidR="006518EF">
        <w:t>%</w:t>
      </w:r>
      <w:r>
        <w:t>, et le secteur secondaire (essentiellement l’industrie) 20,5</w:t>
      </w:r>
      <w:r w:rsidR="006518EF">
        <w:t>%</w:t>
      </w:r>
      <w:r>
        <w:t>.</w:t>
      </w:r>
    </w:p>
    <w:p w14:paraId="1EC98657" w14:textId="77777777" w:rsidR="006D5177" w:rsidRDefault="006D5177" w:rsidP="006D5177">
      <w:pPr>
        <w:spacing w:after="240"/>
      </w:pPr>
      <w:r>
        <w:t>En terme d’emploi, les grands secteurs économiques étant les plus impactés par le changement climatique sont :</w:t>
      </w:r>
    </w:p>
    <w:p w14:paraId="343385E8" w14:textId="763A178A" w:rsidR="006D5177" w:rsidRDefault="006D5177" w:rsidP="00BE086C">
      <w:pPr>
        <w:pStyle w:val="ListParagraph"/>
        <w:numPr>
          <w:ilvl w:val="0"/>
          <w:numId w:val="54"/>
        </w:numPr>
        <w:spacing w:after="240"/>
      </w:pPr>
      <w:r>
        <w:t xml:space="preserve">Le secteur du bâtiment (environ 2 millions d’emplois), avec la nécessité à la fois de trouver des solutions pour augmenter la résilience au changement climatique (confort thermique par exemple) tout en apportant des solutions d’atténuation (basse consommation…) </w:t>
      </w:r>
    </w:p>
    <w:p w14:paraId="37A4E801" w14:textId="0274A4DB" w:rsidR="006D5177" w:rsidRDefault="006D5177" w:rsidP="00BE086C">
      <w:pPr>
        <w:pStyle w:val="ListParagraph"/>
        <w:numPr>
          <w:ilvl w:val="0"/>
          <w:numId w:val="54"/>
        </w:numPr>
        <w:spacing w:after="240"/>
      </w:pPr>
      <w:r>
        <w:t>Le secteur des transports (environ 1,2 millions d’emplois), notamment en ce qui concerne les infrastructures qui peuvent être touchées à la fois par les événements météorologiques extrêmes (ex : vagues de chaleur, inondations) mais également pas le changement climatique et ses effets (ex : sécheresse, montée du niveau des mers, confort des voyageurs en cas de canicule).</w:t>
      </w:r>
    </w:p>
    <w:p w14:paraId="4C653638" w14:textId="37CC4A71" w:rsidR="006D5177" w:rsidRDefault="006D5177" w:rsidP="00BE086C">
      <w:pPr>
        <w:pStyle w:val="ListParagraph"/>
        <w:numPr>
          <w:ilvl w:val="0"/>
          <w:numId w:val="54"/>
        </w:numPr>
        <w:spacing w:after="240"/>
      </w:pPr>
      <w:r>
        <w:t>Le secteur du tourisme (1,5 millions d’emploi) avec 90 millions de touristes étrangers en 2018 est bien sûr très touché par le changement climatique avec une baisse attendue de la fréquentation selon les régions (devenues trop chaudes) et la saison (manque de neige).</w:t>
      </w:r>
    </w:p>
    <w:p w14:paraId="61DDE399" w14:textId="0718914F" w:rsidR="006D5177" w:rsidRDefault="006D5177" w:rsidP="00BE086C">
      <w:pPr>
        <w:pStyle w:val="ListParagraph"/>
        <w:numPr>
          <w:ilvl w:val="0"/>
          <w:numId w:val="54"/>
        </w:numPr>
        <w:spacing w:after="240"/>
      </w:pPr>
      <w:r>
        <w:t>Le secteur de l’agriculture de la pêche associé au secteur de l’agroalimentaire (1,6 millions d’emploi) qui doit répondre au défi du changement climatique local (comme la baisse de la ressource en eau) pour la production et aux impacts mondiaux pour la partie transformation, tout en répondant à la demande des consommateurs.</w:t>
      </w:r>
    </w:p>
    <w:p w14:paraId="18715BF2" w14:textId="77777777" w:rsidR="006D5177" w:rsidRDefault="006D5177" w:rsidP="006D5177">
      <w:pPr>
        <w:spacing w:after="240"/>
      </w:pPr>
      <w:r>
        <w:t xml:space="preserve">Le ministère en charge de l’écologie a constitué, en mars 2007, un groupe interministériel ayant pour but d’évaluer les dommages et les mesures permettant de limiter le coût des impacts. En l’absence d’une prospective socio-économique de long terme régionalisée et par secteur sur la France, il a été décidé de travailler en conservant la situation socio-économique française actuelle (scénario dit à « économie constante »). Ce choix a permis d’isoler l’impact du changement climatique de celui d’autres évolutions et de ne pas ajouter des incertitudes macro-économiques aux incertitudes relatives aux aspects climatiques. Ce choix reste néanmoins restrictif et limitant pour certains secteurs pour lesquels une évolution socio-économique est d’ores et déjà anticipée ou pour lesquels ces évolutions constituent un facteur déterminant de la vulnérabilité au changement climatique. Seul un nombre restreint de secteurs a été étudié et, au sein de ces secteurs, l’analyse n’a porté que sur une sélection d’impacts du changement climatique. Les coûts estimés doivent être considérés comme des ordres de grandeur en raison des limites des méthodologies utilisées et de la non-exhaustivité des évaluations réalisées. </w:t>
      </w:r>
    </w:p>
    <w:p w14:paraId="4FE113F4" w14:textId="77777777" w:rsidR="006D5177" w:rsidRDefault="006D5177" w:rsidP="006D5177">
      <w:pPr>
        <w:spacing w:after="240"/>
      </w:pPr>
      <w:r>
        <w:t>Les secteurs économiques sensibles à la ressource en eau comme l’industrie, l’agriculture mais également l’alimentation en eau potable seraient touchés par un déficit global de 2 milliards de m</w:t>
      </w:r>
      <w:r w:rsidRPr="00B96655">
        <w:rPr>
          <w:vertAlign w:val="superscript"/>
        </w:rPr>
        <w:t>3</w:t>
      </w:r>
      <w:r>
        <w:t xml:space="preserve"> d’eau par an. Les projections indiquent que les zones les plus touchées seraient les zones déjà concernées aujourd’hui par des déficits structurels.</w:t>
      </w:r>
    </w:p>
    <w:p w14:paraId="08C74498" w14:textId="77777777" w:rsidR="006D5177" w:rsidRDefault="006D5177" w:rsidP="006D5177">
      <w:pPr>
        <w:spacing w:after="240"/>
      </w:pPr>
      <w:r>
        <w:t xml:space="preserve">L’analyse a porté sur quatre types d’aléas spécifiques : les inondations, les risques côtiers, le retrait-gonflement des argiles et les aléas gravitaires (avalanches, coulées de boue, chutes de roches, etc.). À urbanisation constante, les dommages moyens annuels aux logements générés par le risque de retrait gonflement des argiles pourraient dépasser 1 milliard d’euros en 2100. En l’absence d’adaptation, les impacts des risques côtiers (érosion et submersion), devraient concerner in fine plusieurs centaines de milliers de personnes et la destruction des logements. </w:t>
      </w:r>
    </w:p>
    <w:p w14:paraId="5F9F4399" w14:textId="5CA7C960" w:rsidR="006D5177" w:rsidRDefault="004077DC" w:rsidP="006D5177">
      <w:pPr>
        <w:spacing w:after="240"/>
      </w:pPr>
      <w:r>
        <w:t>Le secteur agricole est clairement le plus touché et en cascade celui de l’agroalimentaire. Même si les modèles de croissance des grandes cultures utilisés projettent une hausse de rendement à un horizon proche due à la concentration accrue de CO</w:t>
      </w:r>
      <w:r w:rsidRPr="007F09F7">
        <w:rPr>
          <w:vertAlign w:val="subscript"/>
        </w:rPr>
        <w:t>2</w:t>
      </w:r>
      <w:r>
        <w:t>, l’augmentation de l’évapotranspiration associée à la baisse de disponibilité en eau sont autant de facteur venant nuancer la hausse de rendement escomptée. À titre d’exemple, la multiplication des événements de type canicule de 2003 pourrait représenter en 2100 un coût allant jusqu’à plus de 300 millions d’euros par an pour une culture comme le blé en l’absence de mesure d’adaptation. La viticulture est clairement affectée par le changement climatique, avec des disparités territoriales fortes et des effets sur la qualité des vins. Dans le cas des prairies, l’exercice réalisé pour la zone périméditerranéenne, amène à un coût de compensation des pertes de 200 millions d’euros par an sur la seconde moitié du XXI</w:t>
      </w:r>
      <w:r w:rsidRPr="004077DC">
        <w:rPr>
          <w:vertAlign w:val="superscript"/>
        </w:rPr>
        <w:t>e</w:t>
      </w:r>
      <w:r>
        <w:t xml:space="preserve"> siècle</w:t>
      </w:r>
      <w:r w:rsidR="006D5177">
        <w:t>.</w:t>
      </w:r>
    </w:p>
    <w:p w14:paraId="6AAF05E5" w14:textId="29AE71EA" w:rsidR="00C44824" w:rsidRDefault="00DC248F" w:rsidP="006D5177">
      <w:pPr>
        <w:spacing w:after="240"/>
      </w:pPr>
      <w:r>
        <w:t>En terme de production d’électricité, il faut s’attendre, en raison des contraintes liées à la ressource en eau, à une baisse de productible de l’ordre de 15</w:t>
      </w:r>
      <w:r w:rsidR="006518EF">
        <w:rPr>
          <w:rFonts w:ascii="Calibri" w:hAnsi="Calibri" w:cs="Calibri"/>
        </w:rPr>
        <w:t>%</w:t>
      </w:r>
      <w:r>
        <w:t xml:space="preserve"> des centrales hydro-électriques, pour lesquelles l’eau constitue la «</w:t>
      </w:r>
      <w:r>
        <w:rPr>
          <w:rFonts w:ascii="Calibri" w:hAnsi="Calibri" w:cs="Calibri"/>
        </w:rPr>
        <w:t> </w:t>
      </w:r>
      <w:r>
        <w:t>matière première</w:t>
      </w:r>
      <w:r>
        <w:rPr>
          <w:rFonts w:ascii="Calibri" w:hAnsi="Calibri" w:cs="Calibri"/>
        </w:rPr>
        <w:t> </w:t>
      </w:r>
      <w:r>
        <w:rPr>
          <w:rFonts w:cs="Marianne"/>
        </w:rPr>
        <w:t>»</w:t>
      </w:r>
      <w:r>
        <w:t>, et à des pertes de rendement des infrastructures de production et de transport de l’énergie. En ce qui concerne le parc de centrales nucléaires, le retour d’expérience de 2003 a permis la mise en place de mesures techniques et règlementaires qui ont démontré la résilience de l’ensemble du système électrique. Par exemple, les investissements, qui avaient été réalisés en particulier sur la production de froid avec le changement des échangeurs eau ou air, ont amélioré le rendement et ont prouvé la résilience lors des différentes vagues de chaleur de 2022</w:t>
      </w:r>
      <w:r w:rsidR="00C44824">
        <w:t>.</w:t>
      </w:r>
    </w:p>
    <w:p w14:paraId="7DA59DA5" w14:textId="77777777" w:rsidR="006D5177" w:rsidRDefault="006D5177" w:rsidP="006D5177">
      <w:pPr>
        <w:spacing w:after="240"/>
      </w:pPr>
      <w:r>
        <w:t>En 2100, un impact significatif sur le chiffre d’affaires estival est à attendre, en raison d’une évolution à la baisse de l’attractivité touristique sauf dans le nord de la France et de certains départements des Alpes. En revanche, une amélioration des conditions sera constatée aux intersaisons. Selon une étude de l’OCDE, dans les Alpes françaises, 143 domaines skiables bénéficiaient en 2006 d’un enneigement fiable. En cas d’un réchauffement planétaire de 1 °C, cela ne sera le cas que pour 123 stations ; pour 96 stations si le réchauffement atteint 2 °C et seulement pour 55 stations dans le cas d’un réchauffement de 4 °C. Des études menées en 2019 par Météo-France et l’IRSTEA confirment qu’avec un réchauffement planétaire trop important (supérieur à 2 °C), la neige de culture ne pourra plus compenser la perte de neige naturelle, que cela soit dans les Alpes ou dans les Pyrénées. De manière générale, ces travaux indiquent que dans toutes les zones géographiques de France métropolitaine, le secteur du tourisme devra s’adapter aux manifestations futures du changement climatique pour limiter les impacts négatifs et en saisir les opportunités potentielles.</w:t>
      </w:r>
    </w:p>
    <w:p w14:paraId="559DC40B" w14:textId="77777777" w:rsidR="006D5177" w:rsidRDefault="006D5177" w:rsidP="006D5177">
      <w:pPr>
        <w:spacing w:after="240"/>
      </w:pPr>
      <w:r>
        <w:t xml:space="preserve">Le changement climatique prévu pourrait rendre nécessaires des adaptations au niveau des infrastructures routières. Si la canicule de 2003 et celles de 2019 n’ont pas semblé engendrer de désordres généralisés mettant en cause la pérennité des structures de chaussées ni des ouvrages d’art, les effets dus aux périodes répétitives de canicule ne sont pas connus à ce jour. En ce qui concerne le risque de submersion marine permanente lié à une remontée d’ensemble du niveau de la mer d’un mètre, il représenterait un coût patrimonial, pour les routes nationales métropolitaines (hors autoroutes et hors autres voiries), hors pertes d’usage et hors effet « réseau» (par exemple la submersion d’un tronçon limité de route peut entraîner l’indisponibilité de toute une section mais seule la valeur patrimoniale du tronçon submergé a été calculée) situé dans une fourchette comprise entre 500 millions et 1,2 milliard d’euros. Il pourrait atteindre 2 milliards d’euros dans le cas où les protections actuelles se révéleraient insuffisantes. </w:t>
      </w:r>
    </w:p>
    <w:p w14:paraId="2076B2A3" w14:textId="77777777" w:rsidR="006D5177" w:rsidRPr="006B6C69" w:rsidRDefault="006D5177" w:rsidP="006D5177">
      <w:pPr>
        <w:spacing w:after="240"/>
      </w:pPr>
      <w:r w:rsidRPr="006B6C69">
        <w:t>Le réchauffement climatique accélère la perte de biodiversité alors qu’à l’inverse, les mesures de protection de la biodiversité pourraient atténuer les impacts du changement climatique. La perturbation des grands équilibres écologiques s’observe déjà : un milieu physique qui se modifie et des êtres vivants qui s’efforcent de s’adapter ou disparaissent sous les effets conjugués du changement climatique et de la pression de l’homme sur leur environnement. Le changement climatique est désormais la principale menace au Patrimoine mondial naturel.</w:t>
      </w:r>
    </w:p>
    <w:p w14:paraId="04AFEC7D" w14:textId="77777777" w:rsidR="006D5177" w:rsidRPr="006B6C69" w:rsidRDefault="006D5177" w:rsidP="006D5177">
      <w:pPr>
        <w:spacing w:after="240"/>
      </w:pPr>
      <w:r w:rsidRPr="006B6C69">
        <w:t>L’agriculture est un des premiers secteurs d’activité impactés par les conséquences du changement climatique du fait de la hausse des températures, de la diminution des ressources en eau, de l’augmentation de la fréquence et de l’intensité des sécheresses, de la prolifération des pathogènes et ravageurs qui en découlent, de l’accentuation de certains évènements extrêmes, notamment les pluies intenses, les canicules et les cyclones tropicaux avec des impacts immédiats sur les cultures et les élevages, et même des risques d’incendies de chaumes. À l’avenir, les vagues de froid en métropole seront moins sévères et moins fréquentes sans pour autant faire diminuer les risques associés aux gelées printanières, favorisés par un démarrage plus précoce de la végétation.</w:t>
      </w:r>
    </w:p>
    <w:p w14:paraId="6C101FA5" w14:textId="1C6219D1" w:rsidR="006D5177" w:rsidRPr="006B6C69" w:rsidRDefault="006D5177" w:rsidP="006D5177">
      <w:pPr>
        <w:spacing w:after="240"/>
      </w:pPr>
      <w:r w:rsidRPr="006B6C69">
        <w:t xml:space="preserve">Tous ces impacts sont déjà visibles et leur gravité augmentera d’autant plus que le réchauffement global s’accentuera. Ainsi, si la diminution des rendements de certaines cultures est pour l’instant compensée partiellement par l’effet fertilisant d’une concentration accrue en </w:t>
      </w:r>
      <w:r w:rsidR="007F09F7">
        <w:t>CO</w:t>
      </w:r>
      <w:r w:rsidR="007F09F7" w:rsidRPr="007F09F7">
        <w:rPr>
          <w:vertAlign w:val="subscript"/>
        </w:rPr>
        <w:t>2</w:t>
      </w:r>
      <w:r w:rsidRPr="006B6C69">
        <w:t xml:space="preserve"> dans l’atmosphère, une baisse des rendements est déjà visible sur certaines cultures et la baisse généralisée est attendue dans les prochaines décennies.</w:t>
      </w:r>
    </w:p>
    <w:p w14:paraId="419AEB89" w14:textId="5FBA2E6F" w:rsidR="006D5177" w:rsidRDefault="006D5177" w:rsidP="006D5177">
      <w:pPr>
        <w:spacing w:after="240"/>
      </w:pPr>
      <w:r w:rsidRPr="006B6C69">
        <w:t xml:space="preserve">Les forêts, feuillues et conifères, pourraient être impactées par le changement climatique dès le futur proche et de manière très significative, quel que soit le site en France dans le futur lointain. Les sécheresses édaphiques et atmosphériques sont les contraintes principales. Contrairement à tous les autres systèmes culturaux, il n’est pas envisageable de diminuer le stress hydrique par irrigation. Les effets thermiques sur la phénologie ne conduisent pas à des stratégies d’esquive suffisantes, contrairement aux cultures annuelles. La température joue négativement via une augmentation de la sécheresse atmosphérique. Le seul effet bénéfique est celui de l’augmentation de la teneur en </w:t>
      </w:r>
      <w:r w:rsidR="007F09F7">
        <w:t>CO</w:t>
      </w:r>
      <w:r w:rsidR="007F09F7" w:rsidRPr="007F09F7">
        <w:rPr>
          <w:vertAlign w:val="subscript"/>
        </w:rPr>
        <w:t>2</w:t>
      </w:r>
      <w:r w:rsidRPr="006B6C69">
        <w:t xml:space="preserve"> atmosphérique qui améliore la photosynthèse, mais sans compenser les effets négatifs de l’augmentation des contraintes hydriques</w:t>
      </w:r>
      <w:r>
        <w:t>.</w:t>
      </w:r>
      <w:r w:rsidRPr="006B6C69">
        <w:t xml:space="preserve"> </w:t>
      </w:r>
    </w:p>
    <w:p w14:paraId="6F4AC481" w14:textId="77777777" w:rsidR="006D5177" w:rsidRDefault="006D5177" w:rsidP="006D5177">
      <w:pPr>
        <w:spacing w:after="240"/>
      </w:pPr>
      <w:r>
        <w:t>Une forte hausse du risque d’incendie peut aussi être anticipée. Vers 2060, la majeure partie du pays devrait être soumise chaque année, pendant plusieurs semaines, à un risque d’incendie extrême qui, pour l’heure, était jusqu’à peu limité au pourtour méditerranéen mais qui commence à s’étendre à d’autres zones comme la gironde et même la Bretagne.</w:t>
      </w:r>
    </w:p>
    <w:p w14:paraId="22616B9F" w14:textId="3840B6C5" w:rsidR="006D5177" w:rsidRDefault="00DC248F" w:rsidP="00C44824">
      <w:pPr>
        <w:spacing w:after="240"/>
        <w:jc w:val="center"/>
      </w:pPr>
      <w:r w:rsidRPr="00EF61D3">
        <w:rPr>
          <w:noProof/>
        </w:rPr>
        <w:drawing>
          <wp:inline distT="0" distB="0" distL="0" distR="0" wp14:anchorId="25B065BB" wp14:editId="275A1684">
            <wp:extent cx="4640400" cy="3992400"/>
            <wp:effectExtent l="0" t="0" r="8255" b="8255"/>
            <wp:docPr id="28676" name="Imag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640400" cy="3992400"/>
                    </a:xfrm>
                    <a:prstGeom prst="rect">
                      <a:avLst/>
                    </a:prstGeom>
                  </pic:spPr>
                </pic:pic>
              </a:graphicData>
            </a:graphic>
          </wp:inline>
        </w:drawing>
      </w:r>
    </w:p>
    <w:p w14:paraId="4C332643" w14:textId="14C91349" w:rsidR="00F86AB7" w:rsidRDefault="00C44824" w:rsidP="0045532B">
      <w:pPr>
        <w:pStyle w:val="Caption"/>
      </w:pPr>
      <w:bookmarkStart w:id="615" w:name="_Toc123916484"/>
      <w:r>
        <w:t xml:space="preserve">Figure </w:t>
      </w:r>
      <w:fldSimple w:instr=" SEQ Figure \* ARABIC ">
        <w:r w:rsidR="00AB51D9">
          <w:rPr>
            <w:noProof/>
          </w:rPr>
          <w:t>73</w:t>
        </w:r>
      </w:fldSimple>
      <w:r>
        <w:t xml:space="preserve"> : </w:t>
      </w:r>
      <w:r w:rsidR="00DC248F" w:rsidRPr="00DC248F">
        <w:t>Incendies répertoriés en 2022 sur le territoire (MODIS/Sentinel 2</w:t>
      </w:r>
      <w:r w:rsidR="00DC248F">
        <w:t>)</w:t>
      </w:r>
      <w:bookmarkEnd w:id="615"/>
    </w:p>
    <w:p w14:paraId="6F2C4639" w14:textId="77777777" w:rsidR="00F86AB7" w:rsidRDefault="006D5177" w:rsidP="0045532B">
      <w:pPr>
        <w:pStyle w:val="Caption"/>
      </w:pPr>
      <w:r>
        <w:t>Source</w:t>
      </w:r>
      <w:r w:rsidR="00F86AB7">
        <w:t xml:space="preserve"> : </w:t>
      </w:r>
      <w:r>
        <w:t>EFFIS</w:t>
      </w:r>
    </w:p>
    <w:p w14:paraId="0E6A75D3" w14:textId="686B15B2" w:rsidR="006D5177" w:rsidRDefault="006D5177" w:rsidP="0045532B">
      <w:pPr>
        <w:pStyle w:val="Caption"/>
      </w:pPr>
      <w:r>
        <w:t xml:space="preserve"> </w:t>
      </w:r>
    </w:p>
    <w:p w14:paraId="2536E8EF" w14:textId="77777777" w:rsidR="006D5177" w:rsidRDefault="006D5177" w:rsidP="006D5177">
      <w:pPr>
        <w:spacing w:after="240"/>
      </w:pPr>
      <w:r>
        <w:t>Un autre phénomène alarmant auquel il faut se préparer est la survenue de vagues de chaleur plus fréquentes, plus longues et plus sévères.</w:t>
      </w:r>
    </w:p>
    <w:p w14:paraId="4DC0E388" w14:textId="77777777" w:rsidR="00DC248F" w:rsidRDefault="00DC248F" w:rsidP="00DC248F">
      <w:pPr>
        <w:spacing w:after="240"/>
      </w:pPr>
      <w:r>
        <w:t xml:space="preserve">Les vagues de chaleur sont à l’origine d’une surmortalité significative. Ainsi, la canicule de 2003 a causé 15 000 morts ; celle de 2015, plus de 1 700, celle de 2018, environ 1 600, et 1462 pour celles de 2019. Avec 3 vagues de chaleur recensées, 2022 devient l’année présentant le plus d’impact sanitaire après 2003 avec 2 816 décès en excès. La hausse des températures a également des effets sanitaires indirects, à travers la hausse des risques liés à la pollution de l’air, notamment à la pollution à l’ozone, la hausse des risques allergiques ou encore la prolifération de certaines algues (comme les cyanobactéries), avec des risques de contamination de l’eau potable, des eaux récréatives, des poissons et fruits de mer. </w:t>
      </w:r>
    </w:p>
    <w:p w14:paraId="0C690CF8" w14:textId="7BE5B191" w:rsidR="006D5177" w:rsidRDefault="00DC248F" w:rsidP="00DC248F">
      <w:pPr>
        <w:spacing w:after="240"/>
      </w:pPr>
      <w:r>
        <w:t>Enfin, le réchauffement climatique facilite la propagation des maladies vectorielles, notamment en raison de l’extension de l’aire de peuplement du moustique tigre, qui est le vecteur des virus du chikungunya, de la dengue et du zika. La situation française pourrait ressembler bientôt à celle de pays déjà plus fortement exposés, comme la Grèce et l’Italie, qui sont confrontés par exemple à des épidémies du virus West Nile</w:t>
      </w:r>
      <w:r w:rsidR="006D5177">
        <w:t>.</w:t>
      </w:r>
    </w:p>
    <w:p w14:paraId="35234E40" w14:textId="2454D947" w:rsidR="006D5177" w:rsidRDefault="006D5177" w:rsidP="006D5177">
      <w:pPr>
        <w:spacing w:after="240"/>
      </w:pPr>
      <w:r>
        <w:t>Le projet « Explore 70 » livre des chiffres concernant le niveau des cours d’eau et le taux de charge des nappes phréatiques attendus à l'horizon 2046-2065. On doit s’attendre à une baisse significative de la recharge des nappes, une baisse du débit moyen annuel des cours d’eau et à des débits d’étiages plus sévères, plus longs et plus précoces, avec des débits estivaux réduits de 30 à 60</w:t>
      </w:r>
      <w:r w:rsidR="006518EF">
        <w:t>%</w:t>
      </w:r>
      <w:r>
        <w:t>. Cette raréfaction des ressources hydriques se traduira par la détérioration des milieux aquatiques, des contraintes accrues sur l’approvisionnement en eau potable ou encore des perturbations sévères pour des secteurs comme l’agriculture, le tourisme ou l’énergie. Dans les territoires en situation de stress hydrique, les conflits d’usages pourraient se multiplier. Un nouveau projet (Explore 2) lancé en 2021 permettra prochainement d’améliorer la connaissance sur la disponibilité de la ressource en eau dans le futur.</w:t>
      </w:r>
    </w:p>
    <w:p w14:paraId="267DC405" w14:textId="77777777" w:rsidR="006D5177" w:rsidRPr="00DE3D5B" w:rsidRDefault="006D5177" w:rsidP="006D5177">
      <w:pPr>
        <w:spacing w:after="240"/>
      </w:pPr>
      <w:r>
        <w:t>Les secteurs économiques sont diversement affectés par les dérèglements climatiques. Le plus directement touché est l’agriculture. Le réchauffement est à l’origine d’une stagnation des rendements, d’une baisse de la qualité nutritive, d’une altération de la qualité des semences, d’une modification de la phénologie de cultures pérennes comme les arbres fruitiers et la vigne, de modifications dans la qualité organoleptique de certains produits ou encore d’effets sur la santé végétale et animale liés la modification du comportement et à la distribution géographique des bio-agresseurs et des pathogènes. Par ailleurs, les sécheresses agricoles, plus fréquentes et plus sévères, pourront fortement altérer le potentiel de production agricole et créeront un besoin accru d’irrigation alors même que les ressources hydriques seront plus rares</w:t>
      </w:r>
      <w:r>
        <w:rPr>
          <w:rFonts w:ascii="Calibri" w:hAnsi="Calibri" w:cs="Calibri"/>
        </w:rPr>
        <w:t xml:space="preserve">. </w:t>
      </w:r>
      <w:r>
        <w:t>Sur la période 2021-2050, la durée de sécheresse des sols en France devrait passer de 2 mois en moyenne actuellement (de la mi-juillet à la mi-septembre) à 4 mois (de la mi-juin à la mi-octobre), tout en devenant plus intense.</w:t>
      </w:r>
    </w:p>
    <w:p w14:paraId="41D5B454" w14:textId="696FA72E" w:rsidR="006D5177" w:rsidRPr="00F86AB7" w:rsidRDefault="006D5177" w:rsidP="00E22CF8">
      <w:pPr>
        <w:pStyle w:val="Titre2Niveau2"/>
      </w:pPr>
      <w:bookmarkStart w:id="616" w:name="_Toc118276999"/>
      <w:bookmarkStart w:id="617" w:name="_Toc118384429"/>
      <w:bookmarkStart w:id="618" w:name="_Toc138342035"/>
      <w:r w:rsidRPr="00F86AB7">
        <w:t>Politiques et stratégies nationales d'adaptation</w:t>
      </w:r>
      <w:bookmarkEnd w:id="616"/>
      <w:bookmarkEnd w:id="617"/>
      <w:bookmarkEnd w:id="618"/>
    </w:p>
    <w:p w14:paraId="3E73E36A" w14:textId="17822DE9" w:rsidR="006D5177" w:rsidRDefault="006D5177" w:rsidP="003F57EA">
      <w:pPr>
        <w:pStyle w:val="Titre3Niveau3"/>
      </w:pPr>
      <w:bookmarkStart w:id="619" w:name="_Toc121431048"/>
      <w:bookmarkStart w:id="620" w:name="_Toc121431385"/>
      <w:bookmarkStart w:id="621" w:name="_Toc121431546"/>
      <w:bookmarkStart w:id="622" w:name="_Toc121431708"/>
      <w:bookmarkStart w:id="623" w:name="_Toc121431871"/>
      <w:bookmarkStart w:id="624" w:name="_Toc121432033"/>
      <w:bookmarkStart w:id="625" w:name="_Toc118277000"/>
      <w:bookmarkStart w:id="626" w:name="_Toc118384430"/>
      <w:bookmarkStart w:id="627" w:name="_Toc138342036"/>
      <w:bookmarkEnd w:id="619"/>
      <w:bookmarkEnd w:id="620"/>
      <w:bookmarkEnd w:id="621"/>
      <w:bookmarkEnd w:id="622"/>
      <w:bookmarkEnd w:id="623"/>
      <w:bookmarkEnd w:id="624"/>
      <w:r>
        <w:t xml:space="preserve">La </w:t>
      </w:r>
      <w:bookmarkEnd w:id="625"/>
      <w:bookmarkEnd w:id="626"/>
      <w:r w:rsidRPr="00F86AB7">
        <w:t>loi</w:t>
      </w:r>
      <w:r>
        <w:t xml:space="preserve"> </w:t>
      </w:r>
      <w:r w:rsidRPr="00F86AB7">
        <w:t>climat</w:t>
      </w:r>
      <w:r>
        <w:t xml:space="preserve"> et Résilience</w:t>
      </w:r>
      <w:bookmarkEnd w:id="627"/>
    </w:p>
    <w:p w14:paraId="7EE83EBB" w14:textId="77777777" w:rsidR="006D5177" w:rsidRDefault="006D5177" w:rsidP="006D5177">
      <w:pPr>
        <w:spacing w:after="240"/>
      </w:pPr>
      <w:r w:rsidRPr="00DF28FA">
        <w:t xml:space="preserve">Issue des travaux de la Convention citoyenne pour le climat, la loi portant lutte contre le dérèglement climatique et le renforcement de la résilience face à ses effets a été promulguée et publiée au Journal officiel le 24 août 2021. Cette loi ancre l’écologie dans </w:t>
      </w:r>
      <w:r>
        <w:t>la</w:t>
      </w:r>
      <w:r w:rsidRPr="00DF28FA">
        <w:t xml:space="preserve"> société </w:t>
      </w:r>
      <w:r>
        <w:t>française</w:t>
      </w:r>
      <w:r w:rsidRPr="00DF28FA">
        <w:t xml:space="preserve">: dans </w:t>
      </w:r>
      <w:r>
        <w:t>les</w:t>
      </w:r>
      <w:r w:rsidRPr="00DF28FA">
        <w:t xml:space="preserve"> services publics, dans l’éducation de</w:t>
      </w:r>
      <w:r>
        <w:t>s</w:t>
      </w:r>
      <w:r w:rsidRPr="00DF28FA">
        <w:t xml:space="preserve"> enfants, dans </w:t>
      </w:r>
      <w:r>
        <w:t>son</w:t>
      </w:r>
      <w:r w:rsidRPr="00DF28FA">
        <w:t xml:space="preserve"> urbanisme, dans </w:t>
      </w:r>
      <w:r>
        <w:t>les</w:t>
      </w:r>
      <w:r w:rsidRPr="00DF28FA">
        <w:t xml:space="preserve"> déplacements, dans </w:t>
      </w:r>
      <w:r>
        <w:t>les</w:t>
      </w:r>
      <w:r w:rsidRPr="00DF28FA">
        <w:t xml:space="preserve"> modes de consommation, dans </w:t>
      </w:r>
      <w:r>
        <w:t>sa</w:t>
      </w:r>
      <w:r w:rsidRPr="00DF28FA">
        <w:t xml:space="preserve"> justice.</w:t>
      </w:r>
      <w:r>
        <w:t xml:space="preserve"> </w:t>
      </w:r>
    </w:p>
    <w:p w14:paraId="2EBB9B59" w14:textId="77777777" w:rsidR="006D5177" w:rsidRDefault="006D5177" w:rsidP="006D5177">
      <w:pPr>
        <w:spacing w:after="240"/>
      </w:pPr>
      <w:r>
        <w:t>En</w:t>
      </w:r>
      <w:r w:rsidRPr="00EF4025">
        <w:t xml:space="preserve"> cohérence avec l'accord de Paris adopté le 12 décembre 2015 et ratifié le 5 octobre 2016, et dans le cadre du Pacte vert pour l'Europe, </w:t>
      </w:r>
      <w:r>
        <w:t>la France</w:t>
      </w:r>
      <w:r w:rsidRPr="00EF4025">
        <w:t xml:space="preserve"> rappelle </w:t>
      </w:r>
      <w:r>
        <w:t xml:space="preserve">ainsi </w:t>
      </w:r>
      <w:r w:rsidRPr="00EF4025">
        <w:t xml:space="preserve">son engagement </w:t>
      </w:r>
      <w:r>
        <w:t>de lutte contre le dérèglement climatique et de renforcement de la résilience face à ses effets</w:t>
      </w:r>
      <w:r w:rsidRPr="008431F5">
        <w:t xml:space="preserve"> </w:t>
      </w:r>
      <w:r>
        <w:t>par la publication de sa Loi Climat et Résilience.</w:t>
      </w:r>
    </w:p>
    <w:p w14:paraId="6E437248" w14:textId="3E7163D2" w:rsidR="006D5177" w:rsidRDefault="006D5177" w:rsidP="003F57EA">
      <w:pPr>
        <w:pStyle w:val="Titre3Niveau3"/>
      </w:pPr>
      <w:bookmarkStart w:id="628" w:name="_Toc118277001"/>
      <w:bookmarkStart w:id="629" w:name="_Toc118384431"/>
      <w:bookmarkStart w:id="630" w:name="_Toc138342037"/>
      <w:r w:rsidRPr="00810BA9">
        <w:t xml:space="preserve">Le Plan climat de la </w:t>
      </w:r>
      <w:r>
        <w:t>France</w:t>
      </w:r>
      <w:bookmarkEnd w:id="628"/>
      <w:bookmarkEnd w:id="629"/>
      <w:bookmarkEnd w:id="630"/>
    </w:p>
    <w:p w14:paraId="2C8422E7" w14:textId="77777777" w:rsidR="006D5177" w:rsidRDefault="006D5177" w:rsidP="006D5177">
      <w:pPr>
        <w:spacing w:after="240"/>
      </w:pPr>
      <w:r>
        <w:t xml:space="preserve">La lutte contre le changement climatique est une priorité nationale et les mesures nécessaires pour limiter son ampleur, par la baisse de nos émissions de gaz à effet de serre (i.e. l’atténuation du changement climatique), font l’objet du Plan climat de la France, mis à jour régulièrement, la dernière version a été publié en juillet 2017. Préparé à la demande du Président de la République et du Premier ministre, le Plan climat vise à mobiliser l’ensemble du gouvernement sur les mois et années à venir pour faire de l’Accord de Paris une réalité pour les Français, pour l’Europe et pour l’action diplomatique de la France. Avec le Plan climat, la France accélère l’application opérationnelle de l’Accord de Paris et dépassera ses objectifs initiaux à travers six priorités déclinées en 23 axes dont : </w:t>
      </w:r>
    </w:p>
    <w:p w14:paraId="643BBD60" w14:textId="02DA59AC" w:rsidR="006D5177" w:rsidRDefault="00447DFE" w:rsidP="00BE086C">
      <w:pPr>
        <w:pStyle w:val="ListParagraph"/>
        <w:numPr>
          <w:ilvl w:val="0"/>
          <w:numId w:val="35"/>
        </w:numPr>
        <w:spacing w:after="240"/>
        <w:jc w:val="left"/>
      </w:pPr>
      <w:r>
        <w:t>R</w:t>
      </w:r>
      <w:r w:rsidR="006D5177">
        <w:t xml:space="preserve">endre irréversible la mise en œuvre de l’Accord de Paris ; </w:t>
      </w:r>
    </w:p>
    <w:p w14:paraId="62DCF453" w14:textId="478B4232" w:rsidR="006D5177" w:rsidRDefault="00447DFE" w:rsidP="00BE086C">
      <w:pPr>
        <w:pStyle w:val="ListParagraph"/>
        <w:numPr>
          <w:ilvl w:val="0"/>
          <w:numId w:val="35"/>
        </w:numPr>
        <w:spacing w:after="240"/>
        <w:jc w:val="left"/>
      </w:pPr>
      <w:r>
        <w:t>A</w:t>
      </w:r>
      <w:r w:rsidR="006D5177">
        <w:t xml:space="preserve">méliorer le quotidien de tous les Français ; </w:t>
      </w:r>
    </w:p>
    <w:p w14:paraId="5195F5EF" w14:textId="3C8CA14D" w:rsidR="006D5177" w:rsidRDefault="00447DFE" w:rsidP="00BE086C">
      <w:pPr>
        <w:pStyle w:val="ListParagraph"/>
        <w:numPr>
          <w:ilvl w:val="0"/>
          <w:numId w:val="35"/>
        </w:numPr>
        <w:spacing w:after="240"/>
        <w:jc w:val="left"/>
      </w:pPr>
      <w:r>
        <w:t>E</w:t>
      </w:r>
      <w:r w:rsidR="006D5177">
        <w:t xml:space="preserve">n finir avec les énergies fossiles et s’engager dans la neutralité carbone ; </w:t>
      </w:r>
    </w:p>
    <w:p w14:paraId="0108AD3E" w14:textId="1A00CF1E" w:rsidR="006D5177" w:rsidRDefault="00447DFE" w:rsidP="00BE086C">
      <w:pPr>
        <w:pStyle w:val="ListParagraph"/>
        <w:numPr>
          <w:ilvl w:val="0"/>
          <w:numId w:val="35"/>
        </w:numPr>
        <w:spacing w:after="240"/>
        <w:jc w:val="left"/>
      </w:pPr>
      <w:r>
        <w:t>L</w:t>
      </w:r>
      <w:r w:rsidR="006D5177">
        <w:t xml:space="preserve">a France n°1 de l’économie verte ; </w:t>
      </w:r>
    </w:p>
    <w:p w14:paraId="44EAC7B7" w14:textId="319A6509" w:rsidR="006D5177" w:rsidRDefault="00447DFE" w:rsidP="00BE086C">
      <w:pPr>
        <w:pStyle w:val="ListParagraph"/>
        <w:numPr>
          <w:ilvl w:val="0"/>
          <w:numId w:val="35"/>
        </w:numPr>
        <w:spacing w:after="240"/>
        <w:jc w:val="left"/>
      </w:pPr>
      <w:r>
        <w:t>E</w:t>
      </w:r>
      <w:r w:rsidR="006D5177">
        <w:t xml:space="preserve">ncourager le potentiel des écosystèmes et de l’agriculture ; </w:t>
      </w:r>
    </w:p>
    <w:p w14:paraId="7DFC870D" w14:textId="2B43DFE9" w:rsidR="006D5177" w:rsidRDefault="00447DFE" w:rsidP="00BE086C">
      <w:pPr>
        <w:pStyle w:val="ListParagraph"/>
        <w:numPr>
          <w:ilvl w:val="0"/>
          <w:numId w:val="35"/>
        </w:numPr>
        <w:spacing w:after="240"/>
        <w:jc w:val="left"/>
      </w:pPr>
      <w:r>
        <w:t>I</w:t>
      </w:r>
      <w:r w:rsidR="006D5177">
        <w:t>ntensifier la mobilisation internationale sur la diplomatie climatique.</w:t>
      </w:r>
    </w:p>
    <w:p w14:paraId="5BD605A4" w14:textId="66204644" w:rsidR="006D5177" w:rsidRPr="00810BA9" w:rsidRDefault="006D5177" w:rsidP="006D5177">
      <w:pPr>
        <w:spacing w:after="240"/>
      </w:pPr>
      <w:r w:rsidRPr="00810BA9">
        <w:rPr>
          <w:b/>
        </w:rPr>
        <w:t xml:space="preserve">Le Gouvernement </w:t>
      </w:r>
      <w:r>
        <w:rPr>
          <w:b/>
        </w:rPr>
        <w:t xml:space="preserve">a publié à </w:t>
      </w:r>
      <w:r w:rsidRPr="00810BA9">
        <w:rPr>
          <w:b/>
        </w:rPr>
        <w:t>la fin de l’année 20</w:t>
      </w:r>
      <w:r>
        <w:rPr>
          <w:b/>
        </w:rPr>
        <w:t>18</w:t>
      </w:r>
      <w:r w:rsidRPr="00810BA9">
        <w:rPr>
          <w:b/>
        </w:rPr>
        <w:t xml:space="preserve"> </w:t>
      </w:r>
      <w:r>
        <w:rPr>
          <w:b/>
        </w:rPr>
        <w:t>et</w:t>
      </w:r>
      <w:r w:rsidRPr="00810BA9">
        <w:rPr>
          <w:b/>
        </w:rPr>
        <w:t xml:space="preserve"> après une période de consultation – un nouveau Plan national d’adaptation au changement climatique</w:t>
      </w:r>
      <w:r w:rsidRPr="00810BA9">
        <w:t xml:space="preserve"> </w:t>
      </w:r>
      <w:r>
        <w:t>(PNACC-2</w:t>
      </w:r>
      <w:r>
        <w:rPr>
          <w:rStyle w:val="FootnoteReference"/>
        </w:rPr>
        <w:footnoteReference w:id="63"/>
      </w:r>
      <w:r>
        <w:t xml:space="preserve">) </w:t>
      </w:r>
      <w:r w:rsidRPr="00810BA9">
        <w:t xml:space="preserve">qui </w:t>
      </w:r>
      <w:r>
        <w:t>est</w:t>
      </w:r>
      <w:r w:rsidRPr="00810BA9">
        <w:t xml:space="preserve"> mis en œuvre </w:t>
      </w:r>
      <w:r>
        <w:t>dans les cinq années suivantes</w:t>
      </w:r>
      <w:r w:rsidRPr="00810BA9">
        <w:t xml:space="preserve">. Son objectif </w:t>
      </w:r>
      <w:r>
        <w:t>est</w:t>
      </w:r>
      <w:r w:rsidRPr="00810BA9">
        <w:t xml:space="preserve"> de mieux protéger les Français face aux événements climatiques extrêmes, mais aussi de construire la résilience des principaux secteurs de l’économie (agriculture, industrie, tourisme) face aux changements climatiques. </w:t>
      </w:r>
      <w:r>
        <w:t>Annoncé par le Plan Climat publié en juillet 2017, la</w:t>
      </w:r>
      <w:r w:rsidRPr="00810BA9">
        <w:rPr>
          <w:b/>
        </w:rPr>
        <w:t xml:space="preserve"> France </w:t>
      </w:r>
      <w:r>
        <w:rPr>
          <w:b/>
        </w:rPr>
        <w:t xml:space="preserve">a </w:t>
      </w:r>
      <w:r w:rsidRPr="00810BA9">
        <w:rPr>
          <w:b/>
        </w:rPr>
        <w:t>augment</w:t>
      </w:r>
      <w:r>
        <w:rPr>
          <w:b/>
        </w:rPr>
        <w:t>é</w:t>
      </w:r>
      <w:r w:rsidRPr="00810BA9">
        <w:rPr>
          <w:b/>
        </w:rPr>
        <w:t xml:space="preserve"> ses financements dédiés à l’adaptation de ses territoires et de son pour agir dans les territoires métropolitains et d’outre-mer</w:t>
      </w:r>
      <w:r w:rsidRPr="00810BA9">
        <w:t xml:space="preserve"> sur la prévention des impacts du changement climatique, la résilience et la mobilisation des solutions d’adaptation basées sur la nature. L’adaptation de notre territoire au changement climatique est également un enjeu majeur qui doit être envisagée comme un complément désormais indispensable aux actions d’atténuation déjà engagées.</w:t>
      </w:r>
      <w:r w:rsidR="00260E0B">
        <w:t xml:space="preserve"> </w:t>
      </w:r>
    </w:p>
    <w:p w14:paraId="607E3F6F" w14:textId="7A19E971" w:rsidR="006D5177" w:rsidRDefault="006D5177" w:rsidP="006F2069">
      <w:pPr>
        <w:spacing w:after="240"/>
      </w:pPr>
      <w:r w:rsidRPr="00810BA9">
        <w:t>Le début de l’action de l’État dans le domaine de l’adaptation au changement climatique a commencé en 2001 avec la création de l’Observatoire national sur les effets du réchauffement climatique (Onerc), qui possède une mission explicite sur l’adaptation au changement climatique, puis par l’adoption de la Stratégie nationale d’adaptation en 2006. En juillet 2011, le Plan national d’adaptation au changement climatique a été adopté. Au niveau régional et local, les politiques d’adaptation sont déclinées dans les Schémas régionaux climat air et énergie et dans les Plans climat énergie et territoire qui doivent égalemen</w:t>
      </w:r>
      <w:r w:rsidR="006F2069">
        <w:t>t posséder un volet adaptation.</w:t>
      </w:r>
    </w:p>
    <w:p w14:paraId="665471E5" w14:textId="17F7D1F3" w:rsidR="006D5177" w:rsidRDefault="006D5177" w:rsidP="003F57EA">
      <w:pPr>
        <w:pStyle w:val="Titre3Niveau3"/>
      </w:pPr>
      <w:bookmarkStart w:id="631" w:name="_Toc118277002"/>
      <w:bookmarkStart w:id="632" w:name="_Toc118384432"/>
      <w:bookmarkStart w:id="633" w:name="_Toc138342038"/>
      <w:r w:rsidRPr="00810BA9">
        <w:t xml:space="preserve">La stratégie nationale d'adaptation de la </w:t>
      </w:r>
      <w:r>
        <w:t>France</w:t>
      </w:r>
      <w:bookmarkEnd w:id="631"/>
      <w:bookmarkEnd w:id="632"/>
      <w:bookmarkEnd w:id="633"/>
    </w:p>
    <w:p w14:paraId="50A23F99" w14:textId="77777777" w:rsidR="006D5177" w:rsidRDefault="006D5177" w:rsidP="006D5177">
      <w:pPr>
        <w:spacing w:after="240"/>
      </w:pPr>
      <w:r>
        <w:t xml:space="preserve">Adoptés an 2006, les objectifs de la stratégie nationale d’adaptation sont de sous-tendre l'ensemble des démarches préconisées en matière d'adaptation au changement climatique, à savoir : </w:t>
      </w:r>
    </w:p>
    <w:p w14:paraId="7B6EAF83" w14:textId="77777777" w:rsidR="006D5177" w:rsidRDefault="006D5177" w:rsidP="00BE086C">
      <w:pPr>
        <w:pStyle w:val="ListParagraph"/>
        <w:numPr>
          <w:ilvl w:val="0"/>
          <w:numId w:val="36"/>
        </w:numPr>
        <w:spacing w:after="240"/>
        <w:jc w:val="left"/>
      </w:pPr>
      <w:r>
        <w:t xml:space="preserve">agir pour la sécurité et la santé publique ; </w:t>
      </w:r>
    </w:p>
    <w:p w14:paraId="60503A1C" w14:textId="77777777" w:rsidR="006D5177" w:rsidRDefault="006D5177" w:rsidP="00BE086C">
      <w:pPr>
        <w:pStyle w:val="ListParagraph"/>
        <w:numPr>
          <w:ilvl w:val="0"/>
          <w:numId w:val="36"/>
        </w:numPr>
        <w:spacing w:after="240"/>
        <w:jc w:val="left"/>
      </w:pPr>
      <w:r>
        <w:t xml:space="preserve">tenir compte des inégalités sociales ; </w:t>
      </w:r>
    </w:p>
    <w:p w14:paraId="00D23864" w14:textId="77777777" w:rsidR="006D5177" w:rsidRDefault="006D5177" w:rsidP="00BE086C">
      <w:pPr>
        <w:pStyle w:val="ListParagraph"/>
        <w:numPr>
          <w:ilvl w:val="0"/>
          <w:numId w:val="36"/>
        </w:numPr>
        <w:spacing w:after="240"/>
        <w:jc w:val="left"/>
      </w:pPr>
      <w:r>
        <w:t xml:space="preserve">limiter les coûts, tirer parti des avantages ; </w:t>
      </w:r>
    </w:p>
    <w:p w14:paraId="1BC9FD3E" w14:textId="77777777" w:rsidR="006D5177" w:rsidRDefault="006D5177" w:rsidP="00BE086C">
      <w:pPr>
        <w:pStyle w:val="ListParagraph"/>
        <w:numPr>
          <w:ilvl w:val="0"/>
          <w:numId w:val="36"/>
        </w:numPr>
        <w:spacing w:after="240"/>
        <w:jc w:val="left"/>
      </w:pPr>
      <w:r>
        <w:t>préserver le patrimoine naturel.</w:t>
      </w:r>
    </w:p>
    <w:p w14:paraId="2F04EDBF" w14:textId="77777777" w:rsidR="006D5177" w:rsidRDefault="006D5177" w:rsidP="006D5177">
      <w:pPr>
        <w:spacing w:after="240"/>
      </w:pPr>
      <w:r>
        <w:t xml:space="preserve">L'adaptation doit être prise en compte au sein de tous les métiers. En raison de leur nature transversale et des relations qu'elles entretiennent avec les secteurs économiques, sociaux et environnementaux, les approches transversales suivantes sont examinées en priorité : l'eau, les risques, la santé, la biodiversité. Des éclairages sont ensuite apportés sur les activités économiques suivantes : l'agriculture, l'énergie et l'industrie, les transports, le bâtiment et l'habitat, le tourisme. </w:t>
      </w:r>
    </w:p>
    <w:p w14:paraId="7EB3622E" w14:textId="205718DD" w:rsidR="006D5177" w:rsidRDefault="006D5177" w:rsidP="00931B2E">
      <w:pPr>
        <w:spacing w:after="240"/>
      </w:pPr>
      <w:r>
        <w:t>Enfin, l'adaptation doit aussi se penser de façon intégrée, en considérant cette fois-ci non plus des secteurs d'activité pris individuellement mais la combinaison la plus pertinente possible de politiques sectorielles au sein de « milieux » sélectionnés en raison de leur vulnérabilité particulière : la ville, le littoral et</w:t>
      </w:r>
      <w:r w:rsidR="00931B2E">
        <w:t xml:space="preserve"> la mer, la montagne, la forêt.</w:t>
      </w:r>
    </w:p>
    <w:p w14:paraId="42CA6F2E" w14:textId="487A6900" w:rsidR="006D5177" w:rsidRDefault="006D5177" w:rsidP="003F57EA">
      <w:pPr>
        <w:pStyle w:val="Titre3Niveau3"/>
      </w:pPr>
      <w:bookmarkStart w:id="634" w:name="_Toc118277003"/>
      <w:bookmarkStart w:id="635" w:name="_Toc118384433"/>
      <w:bookmarkStart w:id="636" w:name="_Toc138342039"/>
      <w:r>
        <w:t>Le Plan national d’adaptation au changement climatique</w:t>
      </w:r>
      <w:bookmarkEnd w:id="634"/>
      <w:bookmarkEnd w:id="635"/>
      <w:bookmarkEnd w:id="636"/>
    </w:p>
    <w:p w14:paraId="6B1803E9" w14:textId="77777777" w:rsidR="006D5177" w:rsidRDefault="006D5177" w:rsidP="006D5177">
      <w:pPr>
        <w:spacing w:after="240"/>
      </w:pPr>
      <w:r>
        <w:t>Depuis 1992 avec la création de la Convention-cadre des Nations unies sur les changements climatiques (CCNUCC), la communauté internationale s’efforce de limiter la forte croissance des émissions de gaz à effet de serre. Pourtant la concentration de gaz à effet de serre dans l’atmosphère globale ne cesse d'augmenter et du fait de l'inertie des systèmes atmosphérique et océanique, le climat continuera d'évoluer pendant encore au moins quelques décennies. Il faut donc s’adapter pour vivre dans un climat en cours de transition, celui d’aujourd’hui comme celui de demain.</w:t>
      </w:r>
    </w:p>
    <w:p w14:paraId="135AF76F" w14:textId="77777777" w:rsidR="006D5177" w:rsidRDefault="006D5177" w:rsidP="006D5177">
      <w:pPr>
        <w:spacing w:after="240"/>
      </w:pPr>
      <w:r>
        <w:t>Au vu des conclusions du 4e rapport de synthèse du GIEC publié en 2007, la loi de programmation relative à la mise en œuvre du Grenelle Environnement votée le 3 août 2009, avait prévu la préparation d’un Plan national d’adaptation pour les différents secteurs d'activité à l’horizon 2011.</w:t>
      </w:r>
    </w:p>
    <w:p w14:paraId="23D3257B" w14:textId="77777777" w:rsidR="006D5177" w:rsidRDefault="006D5177" w:rsidP="006D5177">
      <w:pPr>
        <w:spacing w:after="240"/>
      </w:pPr>
      <w:r>
        <w:t>L’adaptation de notre territoire au changement climatique est ainsi devenue un enjeu majeur qui a appelé une mobilisation nationale. L'adaptation est, à partir de ce moment, envisagée comme un complément désormais indispensable aux actions d’atténuation déjà engagées.</w:t>
      </w:r>
    </w:p>
    <w:p w14:paraId="7651B673" w14:textId="77777777" w:rsidR="006D5177" w:rsidRDefault="006D5177" w:rsidP="006D5177">
      <w:pPr>
        <w:spacing w:after="240"/>
      </w:pPr>
      <w:r>
        <w:t>Le rapport du groupe interministériel « impacts du changement climatique, coûts associés et pistes d’adaptation », publié par l'Onerc en septembre 2009, a fourni des éléments montrant l’importance des impacts du changement climatique et des coûts associés mais aussi des opportunités pour la France.</w:t>
      </w:r>
    </w:p>
    <w:p w14:paraId="37D140A8" w14:textId="77777777" w:rsidR="006D5177" w:rsidRDefault="006D5177" w:rsidP="006D5177">
      <w:pPr>
        <w:spacing w:after="240"/>
      </w:pPr>
      <w:r>
        <w:t>En 2010, une vaste concertation réunissant les collèges du Grenelle Environnement (État, Élus, Société civile, Syndicat employeurs et employés) a été à l'origine de l’élaboration du Plan national d’adaptation.</w:t>
      </w:r>
    </w:p>
    <w:p w14:paraId="71AA2FA4" w14:textId="77777777" w:rsidR="006D5177" w:rsidRDefault="006D5177" w:rsidP="006D5177">
      <w:pPr>
        <w:spacing w:after="240"/>
      </w:pPr>
      <w:r>
        <w:t>L'objectif de ce plan national était de présenter les mesures pour préparer, sur la période 2011 à 2015, la France à faire face et à tirer parti de nouvelles conditions climatiques.</w:t>
      </w:r>
    </w:p>
    <w:p w14:paraId="28F292C7" w14:textId="77777777" w:rsidR="006D5177" w:rsidRDefault="006D5177" w:rsidP="006D5177">
      <w:pPr>
        <w:spacing w:after="240"/>
      </w:pPr>
      <w:r>
        <w:t>Ce premier plan d'adaptation ne traitait que des mesures qui relevaient du niveau national. La territorialisation spécifique de l’adaptation au niveau local était du ressort des Schémas régionaux du climat, de l’air et de l’énergie (SRCAE) et des Plans climat-énergie territoriaux (PCET).</w:t>
      </w:r>
    </w:p>
    <w:p w14:paraId="7CF59ADB" w14:textId="77777777" w:rsidR="006D5177" w:rsidRDefault="006D5177" w:rsidP="006D5177">
      <w:pPr>
        <w:spacing w:after="240"/>
      </w:pPr>
      <w:r>
        <w:t>En juin 2015, une évaluation globale de ce premier plan d'adaptation a été confiée au Conseil général de l'environnement et du développement durable (CGEDD). Le rapport remis en octobre 2015 à Madame la Ministre Ségolène Royal contient une synthèse de l'évaluation et des recommandations pour un futur plan couvrant la période 2017-2021. Cette évaluation sert de base à l'élaboration d'un deuxième plan, qui a profité également des connaissances acquises en particulier grâce aux actions d’études et de recherche menées dans le cadre du premier plan et du cinquième rapport du Giec publié en 2013 et 2014.</w:t>
      </w:r>
    </w:p>
    <w:p w14:paraId="7542B718" w14:textId="77777777" w:rsidR="006D5177" w:rsidRDefault="006D5177" w:rsidP="006D5177">
      <w:pPr>
        <w:spacing w:after="240"/>
      </w:pPr>
      <w:r>
        <w:t>En s’appuyant sur les recommandations issues de l’évaluation du premier PNACC (2011-2015), le PNACC-2 a été élaboré selon un des grands principes qui régissent le Plan Climat, à savoir la mobilisation de l’intelligence collective d’une grande diversité de parties prenantes, ce qui a permis de co-construire les actions inscrites dans ce Plan d’adaptation. La concertation a été organisée selon 6 domaines d’action qui structurent ainsi les priorités du PNACC-2 : Gouvernance, Prévention et résilience, Filières économiques, Connaissance et informations, Nature et milieux, International.</w:t>
      </w:r>
    </w:p>
    <w:p w14:paraId="1B771785" w14:textId="77777777" w:rsidR="006D5177" w:rsidRDefault="006D5177" w:rsidP="006D5177">
      <w:pPr>
        <w:spacing w:after="240"/>
      </w:pPr>
      <w:r>
        <w:t>L’objectif général du Plan national d’adaptation au changement climatique 2018-2023 (PNACC-2) est de mettre en œuvre les actions nécessaires pour adapter les territoires de la France métropolitaine et outre-mer aux changements climatiques régionaux cohérents avec l’objectif de long terme de l’Accord de Paris.</w:t>
      </w:r>
    </w:p>
    <w:p w14:paraId="42CE1046" w14:textId="627B5CE2" w:rsidR="006D5177" w:rsidRPr="00810BA9" w:rsidRDefault="006D5177" w:rsidP="003F57EA">
      <w:pPr>
        <w:pStyle w:val="Titre3Niveau3"/>
      </w:pPr>
      <w:bookmarkStart w:id="637" w:name="_Toc118277004"/>
      <w:bookmarkStart w:id="638" w:name="_Toc118384434"/>
      <w:bookmarkStart w:id="639" w:name="_Toc138342040"/>
      <w:r>
        <w:t>L’action des collectivités territoriales</w:t>
      </w:r>
      <w:bookmarkEnd w:id="637"/>
      <w:bookmarkEnd w:id="638"/>
      <w:bookmarkEnd w:id="639"/>
    </w:p>
    <w:p w14:paraId="2F8F6FEB" w14:textId="0DF721FC" w:rsidR="00EA1889" w:rsidRDefault="00EA1889" w:rsidP="00EF6DB6">
      <w:pPr>
        <w:pStyle w:val="Titre4niveau4"/>
      </w:pPr>
      <w:r w:rsidRPr="0074073C">
        <w:t>Le</w:t>
      </w:r>
      <w:r>
        <w:t>s démarches régionales</w:t>
      </w:r>
    </w:p>
    <w:p w14:paraId="2CC558AC" w14:textId="77777777" w:rsidR="00EA1889" w:rsidRDefault="00EA1889" w:rsidP="00EA1889">
      <w:pPr>
        <w:spacing w:before="240" w:after="60"/>
      </w:pPr>
      <w:r w:rsidRPr="00E41DEF">
        <w:rPr>
          <w:b/>
        </w:rPr>
        <w:t>Le SRADDET</w:t>
      </w:r>
      <w:r>
        <w:t xml:space="preserve"> constitue aujourd’hui, pour 11 régions métropolitaines, le document de référence en région pour les objectifs de développement des énergies renouvelables, la stratégie d’atténuation et d’adaptation au changement climatique pour chacune des régions, dans un cadre global d’aménagement du territoire. Les SRADDET doivent prendre notamment en compte la stratégie nationale bas-carbone (SNBC) et les objectifs nationaux et les actions du plan national de réduction des émissions de polluants atmosphériques. </w:t>
      </w:r>
    </w:p>
    <w:p w14:paraId="4DCB49F5" w14:textId="46EA44E6" w:rsidR="00EA1889" w:rsidRDefault="00EA1889" w:rsidP="00EA1889">
      <w:pPr>
        <w:spacing w:before="240" w:after="60"/>
      </w:pPr>
      <w:r>
        <w:t>Comme prévu par la loi climat et résilience, à compter de la prochaine révision de la programmation pluriannuelle de l'énergie (PPE), des objectifs régionaux de développement des énergies renouvelables seront établis par décret pour le territoire métropolitain continental, après concertation avec les conseils régionaux concernés, pour contribuer aux objectifs nationaux. Une fois ces objectifs fixés, les régions devront engager la procédure de modification de leur SRADDET, qui devront être compatibles avec ces objectifs, dans les 6 mois suivant l’adoption du décret qui les fixe.</w:t>
      </w:r>
    </w:p>
    <w:p w14:paraId="0AE12369" w14:textId="77777777" w:rsidR="00EA1889" w:rsidRDefault="00EA1889" w:rsidP="00EA1889">
      <w:pPr>
        <w:spacing w:before="240" w:after="60"/>
      </w:pPr>
      <w:r>
        <w:t>L’élaboration du SRADDET procède d’une concertation importante avec l’État, les principales collectivités concernées, leurs groupements ainsi que les chambres consulaires. Les services de l’État interviennent donc en amont (« porter à connaissance ») et sont associés à son élaboration. Ils interviennent également en aval, avant son approbation par le préfet, pour vérifier qu’il n’existe aucun motif justifiant des demandes de modification.</w:t>
      </w:r>
    </w:p>
    <w:p w14:paraId="7A1819BB" w14:textId="77777777" w:rsidR="00EA1889" w:rsidRDefault="00EA1889" w:rsidP="00EA1889">
      <w:pPr>
        <w:spacing w:before="240" w:after="60"/>
      </w:pPr>
      <w:r w:rsidRPr="00C22D27">
        <w:t xml:space="preserve">Les 11 SRADDET métropolitains </w:t>
      </w:r>
      <w:r>
        <w:t>sont désormais</w:t>
      </w:r>
      <w:r w:rsidRPr="00C22D27">
        <w:t xml:space="preserve"> tous approuvés</w:t>
      </w:r>
      <w:r>
        <w:t>.</w:t>
      </w:r>
    </w:p>
    <w:p w14:paraId="09A009AE" w14:textId="77777777" w:rsidR="00EA1889" w:rsidRDefault="00EA1889" w:rsidP="00EA1889">
      <w:pPr>
        <w:spacing w:before="240" w:after="60"/>
      </w:pPr>
      <w:r w:rsidRPr="00E41DEF">
        <w:rPr>
          <w:b/>
        </w:rPr>
        <w:t>Le SRCAE</w:t>
      </w:r>
      <w:r>
        <w:t xml:space="preserve"> est en vigueur en Île-de-France, en Corse et dans plusieurs territoires d’outre-mer. Le SRCAE définit les orientations et les objectifs régionaux en matière de réduction des émissions de gaz à effet de serre, de lutte contre la pollution atmosphérique, de développement des filières d'énergies renouvelables et d'adaptation aux changements climatiques. Il contient également une annexe intitulée « schéma régional éolien » qui regroupe les parties du territoire régional où devront être situées les propositions de zone de développement de l'éolien. Le SRCAE doit faire l'objet d'une évaluation et d'une révision tous les 5 ans.</w:t>
      </w:r>
    </w:p>
    <w:p w14:paraId="5BA01DAB" w14:textId="77777777" w:rsidR="00EA1889" w:rsidRDefault="00EA1889" w:rsidP="00EA1889">
      <w:pPr>
        <w:spacing w:before="240" w:after="60"/>
      </w:pPr>
      <w:r w:rsidRPr="001F7084">
        <w:t>L’Ile-de-France dispose d’un SRCAE approuvé en 2013, la Corse d’un SRCAE approuvé en 2014.</w:t>
      </w:r>
    </w:p>
    <w:p w14:paraId="7971EFD1" w14:textId="7D30C4B5" w:rsidR="00EA1889" w:rsidRDefault="00EA1889" w:rsidP="00EA1889">
      <w:pPr>
        <w:spacing w:before="240" w:after="60"/>
      </w:pPr>
      <w:r w:rsidRPr="00E41DEF">
        <w:rPr>
          <w:b/>
        </w:rPr>
        <w:t>Le SAR</w:t>
      </w:r>
      <w:r>
        <w:t xml:space="preserve"> est l'outil principal de planification de l'aménagement du territoire dans les départements et régions d’Outre-mer. La nouvelle génération de SAR aura vocation à remplacer les SRCAE en vigueur pour ce qui relève de la planification bas-carbone.</w:t>
      </w:r>
    </w:p>
    <w:p w14:paraId="3A9AC07D" w14:textId="68C41EDF" w:rsidR="00EA1889" w:rsidRDefault="00EA1889" w:rsidP="00EF6DB6">
      <w:pPr>
        <w:pStyle w:val="Titre4niveau4"/>
      </w:pPr>
      <w:r>
        <w:t>Au niveau local, le Plan climat-air-énergie territorial (PCAET)</w:t>
      </w:r>
    </w:p>
    <w:p w14:paraId="5DD75180" w14:textId="7F3497DC" w:rsidR="00EA1889" w:rsidRDefault="00EA1889" w:rsidP="00EA1889">
      <w:pPr>
        <w:rPr>
          <w:highlight w:val="yellow"/>
        </w:rPr>
      </w:pPr>
      <w:r w:rsidRPr="001B1CF3">
        <w:rPr>
          <w:b/>
        </w:rPr>
        <w:t>Le PCAET</w:t>
      </w:r>
      <w:r>
        <w:t xml:space="preserve"> est l'outil opérationnel de coordination de la transition énergétique sur le territoire infra régional. Tous les établissements publics de coopération intercommunale (EPCI) à fiscalité propre de plus de 20 000 habitants existants au </w:t>
      </w:r>
      <w:r w:rsidR="006518EF" w:rsidRPr="009F4180">
        <w:t>1</w:t>
      </w:r>
      <w:r w:rsidR="006518EF" w:rsidRPr="007F47EF">
        <w:rPr>
          <w:vertAlign w:val="superscript"/>
        </w:rPr>
        <w:t>er</w:t>
      </w:r>
      <w:r>
        <w:t xml:space="preserve"> janvier 2017 (ou dans un délai de deux ans à compter de leur création ou de la date à laquelle ils dépassent le seuil de 20 000 habitants) doivent en élaborer. En dessous de 20 000 habitants, des PCAET volontaires peuvent être élaborés. Il porte une vision intégrée des enjeux d’atténuation et d’adaptation du changement climatique, de préservation et de renforcement des puits de carbone, de développement des énergies renouvelables, de maîtrise de la consommation énergétique et de lutte contre la pollution de l’air sur le territoire. Les objectifs et priorités doivent s’articuler explicitement avec le schéma régional existant (selon le cas, SRADDET, SRCAE, SAR) ou avec la stratégie nationale bas-carbone si le schéma régional existant ne prend pas encore celle-ci en compte. </w:t>
      </w:r>
    </w:p>
    <w:p w14:paraId="285E9064" w14:textId="77777777" w:rsidR="00EA1889" w:rsidRDefault="00EA1889" w:rsidP="00EA1889">
      <w:pPr>
        <w:rPr>
          <w:highlight w:val="yellow"/>
        </w:rPr>
      </w:pPr>
    </w:p>
    <w:p w14:paraId="4ED60D97" w14:textId="77777777" w:rsidR="00EA1889" w:rsidRDefault="00EA1889" w:rsidP="00EA1889"/>
    <w:p w14:paraId="04D43BB7" w14:textId="77777777" w:rsidR="00EA1889" w:rsidRDefault="00EA1889" w:rsidP="00EA1889">
      <w:r>
        <w:t>Les PCAET déjà adoptés couvrent actuellement environ 35% de la surface du territoire métropolitain pour 36 millions d’habitants. En août 2022, 840 collectivités ont lancé l’élaboration d’un PCAET mais seuls 386 PCAET ont été adoptés (+54% par rapport à août 2021).</w:t>
      </w:r>
    </w:p>
    <w:p w14:paraId="5D03977F" w14:textId="77777777" w:rsidR="00EA1889" w:rsidRDefault="00EA1889" w:rsidP="00EA1889"/>
    <w:p w14:paraId="6DD7CFEE" w14:textId="77777777" w:rsidR="00EA1889" w:rsidRDefault="00EA1889" w:rsidP="00EA1889">
      <w:r w:rsidRPr="000A11BB">
        <w:rPr>
          <w:noProof/>
        </w:rPr>
        <w:drawing>
          <wp:inline distT="0" distB="0" distL="0" distR="0" wp14:anchorId="21F96F0C" wp14:editId="7925EFFB">
            <wp:extent cx="5400675" cy="3815631"/>
            <wp:effectExtent l="0" t="0" r="0" b="0"/>
            <wp:docPr id="28686" name="Image 28686" descr="https://www.territoires-climat.ademe.fr/Uploads/media/default/0001/01/a45c5fc6d134a1e018349a127d9589bab4d1ed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erritoires-climat.ademe.fr/Uploads/media/default/0001/01/a45c5fc6d134a1e018349a127d9589bab4d1ede0.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29294" cy="3835851"/>
                    </a:xfrm>
                    <a:prstGeom prst="rect">
                      <a:avLst/>
                    </a:prstGeom>
                    <a:noFill/>
                    <a:ln>
                      <a:noFill/>
                    </a:ln>
                  </pic:spPr>
                </pic:pic>
              </a:graphicData>
            </a:graphic>
          </wp:inline>
        </w:drawing>
      </w:r>
      <w:r w:rsidRPr="00C636FD">
        <w:rPr>
          <w:noProof/>
        </w:rPr>
        <w:drawing>
          <wp:inline distT="0" distB="0" distL="0" distR="0" wp14:anchorId="3F745B1B" wp14:editId="60FE7D6A">
            <wp:extent cx="2848904" cy="2014623"/>
            <wp:effectExtent l="0" t="0" r="8890" b="5080"/>
            <wp:docPr id="2868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48904" cy="2014623"/>
                    </a:xfrm>
                    <a:prstGeom prst="rect">
                      <a:avLst/>
                    </a:prstGeom>
                  </pic:spPr>
                </pic:pic>
              </a:graphicData>
            </a:graphic>
          </wp:inline>
        </w:drawing>
      </w:r>
    </w:p>
    <w:p w14:paraId="01604E9E" w14:textId="0BF7AA9E" w:rsidR="00F86AB7" w:rsidRDefault="00F86AB7" w:rsidP="0045532B">
      <w:pPr>
        <w:pStyle w:val="Caption"/>
      </w:pPr>
      <w:bookmarkStart w:id="640" w:name="_Toc123916485"/>
      <w:r>
        <w:t xml:space="preserve">Figure </w:t>
      </w:r>
      <w:fldSimple w:instr=" SEQ Figure \* ARABIC ">
        <w:r w:rsidR="00AB51D9">
          <w:rPr>
            <w:noProof/>
          </w:rPr>
          <w:t>74</w:t>
        </w:r>
      </w:fldSimple>
      <w:r>
        <w:t> : C</w:t>
      </w:r>
      <w:r w:rsidR="00EA1889">
        <w:t>arte d’avancement des PCAET en aout 2022</w:t>
      </w:r>
      <w:bookmarkEnd w:id="640"/>
    </w:p>
    <w:p w14:paraId="0B50D3C7" w14:textId="38D34358" w:rsidR="00EA1889" w:rsidRDefault="00F86AB7" w:rsidP="0045532B">
      <w:pPr>
        <w:pStyle w:val="Caption"/>
      </w:pPr>
      <w:r>
        <w:t>S</w:t>
      </w:r>
      <w:r w:rsidR="00EA1889">
        <w:t>ource</w:t>
      </w:r>
      <w:r w:rsidR="00EA1889">
        <w:rPr>
          <w:rFonts w:ascii="Calibri" w:hAnsi="Calibri" w:cs="Calibri"/>
        </w:rPr>
        <w:t> </w:t>
      </w:r>
      <w:r>
        <w:t>: DGEC</w:t>
      </w:r>
    </w:p>
    <w:p w14:paraId="1BCB61EF" w14:textId="77777777" w:rsidR="00F86AB7" w:rsidRPr="00F86AB7" w:rsidRDefault="00F86AB7" w:rsidP="00F86AB7"/>
    <w:p w14:paraId="128BC6D3" w14:textId="32CB4E18" w:rsidR="00EA1889" w:rsidRDefault="00EA1889" w:rsidP="00F86AB7">
      <w:r w:rsidRPr="00F86AB7">
        <w:t>Les PCAET et les SRADDET s’insèrent dans le paysage normatif et les différents liens juridiques qu’ils entretiennent avec les autres documents de planification doivent notamment permettre de décliner sur le territoire les ambitions nationales en matière climatique, énergétique et de qualité de l’air, en prenant en compte les spécificités locales et en responsabilisant chacun des acteurs, au maillon territorial le plus fin.</w:t>
      </w:r>
    </w:p>
    <w:p w14:paraId="3C7FCFAD" w14:textId="77777777" w:rsidR="00F86AB7" w:rsidRPr="00F86AB7" w:rsidRDefault="00F86AB7" w:rsidP="00F86AB7"/>
    <w:p w14:paraId="17574740" w14:textId="77777777" w:rsidR="00EA1889" w:rsidRPr="00F86AB7" w:rsidRDefault="00EA1889" w:rsidP="00F86AB7">
      <w:r w:rsidRPr="00F86AB7">
        <w:t>Ces liens juridiques sont notamment les suivants :</w:t>
      </w:r>
    </w:p>
    <w:p w14:paraId="0A551761" w14:textId="472660EE" w:rsidR="00EA1889" w:rsidRPr="00E41DEF" w:rsidRDefault="00EA1889" w:rsidP="00BE086C">
      <w:pPr>
        <w:pStyle w:val="ListParagraph"/>
        <w:numPr>
          <w:ilvl w:val="0"/>
          <w:numId w:val="19"/>
        </w:numPr>
      </w:pPr>
      <w:r w:rsidRPr="00E41DEF">
        <w:t>Les SRADDET doivent prendre en compte la stratégie nationale bas carbone,</w:t>
      </w:r>
    </w:p>
    <w:p w14:paraId="7D6E8F65" w14:textId="78B56627" w:rsidR="00EA1889" w:rsidRPr="00E41DEF" w:rsidRDefault="00EA1889" w:rsidP="00BE086C">
      <w:pPr>
        <w:pStyle w:val="ListParagraph"/>
        <w:numPr>
          <w:ilvl w:val="0"/>
          <w:numId w:val="19"/>
        </w:numPr>
      </w:pPr>
      <w:r w:rsidRPr="00E41DEF">
        <w:t>Les PCAET et les schémas de cohérence territoriaux (SCoT) doivent prendre en compte les objectifs du SRADDET et doivent être compatibles avec les règles de celui-ci,</w:t>
      </w:r>
    </w:p>
    <w:p w14:paraId="15800783" w14:textId="1FB2C81D" w:rsidR="00EA1889" w:rsidRPr="00EA1889" w:rsidRDefault="00EA1889" w:rsidP="00BE086C">
      <w:pPr>
        <w:pStyle w:val="ListParagraph"/>
        <w:numPr>
          <w:ilvl w:val="0"/>
          <w:numId w:val="19"/>
        </w:numPr>
        <w:rPr>
          <w:b/>
          <w:bCs/>
          <w:iCs/>
        </w:rPr>
      </w:pPr>
      <w:r w:rsidRPr="00E41DEF">
        <w:t xml:space="preserve">Les plans locaux de l’urbanisme (PLU) doivent être compatibles avec les PCAET depuis le </w:t>
      </w:r>
      <w:r w:rsidR="006518EF" w:rsidRPr="009F4180">
        <w:t>1</w:t>
      </w:r>
      <w:r w:rsidR="006518EF" w:rsidRPr="007F47EF">
        <w:rPr>
          <w:vertAlign w:val="superscript"/>
        </w:rPr>
        <w:t>er</w:t>
      </w:r>
      <w:r w:rsidRPr="00E41DEF">
        <w:t xml:space="preserve"> avril 2021 (cf. article L.131-5 du code l’urbanisme introduit par l’ordonnance n° 2020-745 du 18 juin 2020).</w:t>
      </w:r>
    </w:p>
    <w:p w14:paraId="6BACDCC4" w14:textId="089C8038" w:rsidR="00EA1889" w:rsidRDefault="00EA1889" w:rsidP="00EA1889">
      <w:pPr>
        <w:jc w:val="center"/>
      </w:pPr>
      <w:r>
        <w:rPr>
          <w:noProof/>
        </w:rPr>
        <w:drawing>
          <wp:inline distT="0" distB="0" distL="0" distR="0" wp14:anchorId="1E1479A7" wp14:editId="1CA1DCB3">
            <wp:extent cx="6305550" cy="4733925"/>
            <wp:effectExtent l="0" t="0" r="0" b="9525"/>
            <wp:docPr id="28688" name="Image 28688" descr="2f0b54ddcc7ffe03e8d24099a9928320b62fa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f0b54ddcc7ffe03e8d24099a9928320b62fa4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05550" cy="4733925"/>
                    </a:xfrm>
                    <a:prstGeom prst="rect">
                      <a:avLst/>
                    </a:prstGeom>
                    <a:noFill/>
                    <a:ln>
                      <a:noFill/>
                    </a:ln>
                  </pic:spPr>
                </pic:pic>
              </a:graphicData>
            </a:graphic>
          </wp:inline>
        </w:drawing>
      </w:r>
    </w:p>
    <w:p w14:paraId="28829296" w14:textId="448D8465" w:rsidR="00F86AB7" w:rsidRDefault="00F86AB7" w:rsidP="0045532B">
      <w:pPr>
        <w:pStyle w:val="Caption"/>
      </w:pPr>
      <w:bookmarkStart w:id="641" w:name="_Toc123916486"/>
      <w:r>
        <w:t xml:space="preserve">Figure </w:t>
      </w:r>
      <w:fldSimple w:instr=" SEQ Figure \* ARABIC ">
        <w:r w:rsidR="00AB51D9">
          <w:rPr>
            <w:noProof/>
          </w:rPr>
          <w:t>75</w:t>
        </w:r>
      </w:fldSimple>
      <w:r>
        <w:t> : Articulation entre dispositifs réglementaires, outils de planification et documents d'urbanisme</w:t>
      </w:r>
      <w:bookmarkEnd w:id="641"/>
    </w:p>
    <w:p w14:paraId="6885DAC0" w14:textId="3636C10D" w:rsidR="00EA1889" w:rsidRDefault="00F86AB7" w:rsidP="0045532B">
      <w:pPr>
        <w:pStyle w:val="Caption"/>
      </w:pPr>
      <w:r>
        <w:t>Source : ADEME</w:t>
      </w:r>
    </w:p>
    <w:p w14:paraId="6D98F2B3" w14:textId="77777777" w:rsidR="00F86AB7" w:rsidRPr="00F86AB7" w:rsidRDefault="00F86AB7" w:rsidP="00F86AB7"/>
    <w:p w14:paraId="7225E31F" w14:textId="77777777" w:rsidR="00EA1889" w:rsidRPr="00F86AB7" w:rsidRDefault="00EA1889" w:rsidP="00F86AB7">
      <w:r w:rsidRPr="00F86AB7">
        <w:t>Au-delà de ces aspects juridiques, les PCAET, les SRADDET et les SRCAE constituent des démarches de planification qui doivent permettre de susciter un engagement opérationnel des acteurs locaux pour atténuer les effets du changement climatique, atteindre les normes de qualité de l'air et maîtriser les consommations d'énergie.</w:t>
      </w:r>
    </w:p>
    <w:p w14:paraId="6285A0EA" w14:textId="77777777" w:rsidR="00F86AB7" w:rsidRDefault="00F86AB7" w:rsidP="00F86AB7"/>
    <w:p w14:paraId="32870144" w14:textId="62EABDF1" w:rsidR="00EA1889" w:rsidRPr="00F86AB7" w:rsidRDefault="00EA1889" w:rsidP="00F86AB7">
      <w:r w:rsidRPr="00F86AB7">
        <w:t xml:space="preserve">Ces démarches constituent : </w:t>
      </w:r>
    </w:p>
    <w:p w14:paraId="004861DA" w14:textId="143FE186" w:rsidR="00EA1889" w:rsidRPr="00E41DEF" w:rsidRDefault="00EA1889" w:rsidP="00BE086C">
      <w:pPr>
        <w:pStyle w:val="ListParagraph"/>
        <w:numPr>
          <w:ilvl w:val="0"/>
          <w:numId w:val="55"/>
        </w:numPr>
      </w:pPr>
      <w:r w:rsidRPr="00E41DEF">
        <w:t>une opportunité pour les collectivités de donner plus de pérennité, de cohérence et de visibilité à l’intégration des sujets climat-air-énergie dans le projet de territoire et d’inscrire les actions du territoire dans la durée,</w:t>
      </w:r>
    </w:p>
    <w:p w14:paraId="23B51B58" w14:textId="7D9C4A11" w:rsidR="00EA1889" w:rsidRDefault="00EA1889" w:rsidP="00BE086C">
      <w:pPr>
        <w:pStyle w:val="ListParagraph"/>
        <w:numPr>
          <w:ilvl w:val="0"/>
          <w:numId w:val="55"/>
        </w:numPr>
      </w:pPr>
      <w:r w:rsidRPr="00E41DEF">
        <w:t>un outil essentiel pour l’appropriation et une montée en compétence des acteurs locaux sur ces sujets.</w:t>
      </w:r>
    </w:p>
    <w:p w14:paraId="64CB79FD" w14:textId="744D9FDE" w:rsidR="006D5177" w:rsidRDefault="006D5177" w:rsidP="00EF6DB6">
      <w:pPr>
        <w:pStyle w:val="Titre4niveau4"/>
      </w:pPr>
      <w:r>
        <w:t>La gouvernance territoriale</w:t>
      </w:r>
    </w:p>
    <w:p w14:paraId="6D13BA78" w14:textId="77777777" w:rsidR="006D5177" w:rsidRDefault="006D5177" w:rsidP="006D5177">
      <w:pPr>
        <w:spacing w:before="240" w:after="240"/>
      </w:pPr>
      <w:r w:rsidRPr="00A5105D">
        <w:t>La gouvernance des politiques d'adaptation nécessite l'établissement de pratiques caractéristiques de la « bonne gouvernance » vis-à-vis des populations locales. Ainsi la concertation territoriale et citoyenne nécessite au préalable la sensibilisation des acteurs et la diffusion des connaissances relatives au changement climatique. L'action publique locale en matière d'adaptation doit concerner toutes les parties prenantes à l'adaptation, si elle veut obtenir l'acceptation sociale des projets.</w:t>
      </w:r>
    </w:p>
    <w:p w14:paraId="28E58C73" w14:textId="62709B5B" w:rsidR="006D5177" w:rsidRDefault="006D5177" w:rsidP="00EF6DB6">
      <w:pPr>
        <w:pStyle w:val="Titre4niveau4"/>
      </w:pPr>
      <w:r>
        <w:t>La gouvernance inter-territoriale</w:t>
      </w:r>
    </w:p>
    <w:p w14:paraId="0949DF30" w14:textId="77777777" w:rsidR="006D5177" w:rsidRDefault="006D5177" w:rsidP="006D5177">
      <w:pPr>
        <w:spacing w:before="240" w:after="240"/>
      </w:pPr>
      <w:r w:rsidRPr="00A5105D">
        <w:t>Pour une thématique aussi récente et transversale que l'adaptation, il est important de créer des réseaux d'acteurs qui permettent l'échange de bonnes pratiques, ce qui peut conduire à l'amélioration des mesures recommandées par les collectivités. Ces réseaux peuvent également être des outils parmi d'autres afin de renforcer les coopérations inter-territoriales. En effet, les frontières administratives et le</w:t>
      </w:r>
      <w:r>
        <w:t xml:space="preserve"> </w:t>
      </w:r>
      <w:r w:rsidRPr="00A5105D">
        <w:t>périmètre d'action des documents stratégiques infranationaux ne peuvent se borner à eux-mêmes. Les vulnérabilités dépassent souvent le cadrage géo-administratif classique.</w:t>
      </w:r>
    </w:p>
    <w:p w14:paraId="7203EBE2" w14:textId="3B11B96C" w:rsidR="006D5177" w:rsidRDefault="006D5177" w:rsidP="00EF6DB6">
      <w:pPr>
        <w:pStyle w:val="Titre4niveau4"/>
      </w:pPr>
      <w:r w:rsidRPr="00A5105D">
        <w:t>La cohérence des politiques de l'adaptation avec les autres politiques de lutte contre le changement climatique</w:t>
      </w:r>
    </w:p>
    <w:p w14:paraId="1B7D26D4" w14:textId="3EBF10F4" w:rsidR="006D5177" w:rsidRDefault="006D5177" w:rsidP="006D5177">
      <w:pPr>
        <w:spacing w:before="240" w:after="240"/>
      </w:pPr>
      <w:r>
        <w:t>La majorité des documents d'orientation, type SRCAE ou PC</w:t>
      </w:r>
      <w:r w:rsidR="004077DC">
        <w:t>A</w:t>
      </w:r>
      <w:r>
        <w:t>ET, recherche le plus possible de synergies entre les politiques climat, air, énergie. Cela passe notamment par une intégration mutuelle afin de favoriser la mise en œuvre des mesures, et surtout que les différentes politiques ne se contredisent pas. Ce rôle intégrateur a été amplifié avec le SRADDET avec la fusion de schémas régionaux thématiques existants ou en projet. En effet, il tend vers une simplification des politiques menées en matière d’aménagement du territoire, au travers de la planification régionale.</w:t>
      </w:r>
    </w:p>
    <w:p w14:paraId="2B4751E2" w14:textId="77777777" w:rsidR="006D5177" w:rsidRDefault="006D5177" w:rsidP="006D5177">
      <w:pPr>
        <w:spacing w:before="240" w:after="240"/>
      </w:pPr>
      <w:r>
        <w:t>(SRCE : Schéma Régional de Cohérence Ecologique – SRCAE : Schéma Régional Climat Air Energie – SRIT : Schéma Régional des Infrastructures et des Transports – SRI : Schéma Régional d’Intermodalité – PRPGD : Plan Régional de Prévention et de Gestion des Déchets)</w:t>
      </w:r>
    </w:p>
    <w:p w14:paraId="6A1D0DC9" w14:textId="365A87A2" w:rsidR="006D5177" w:rsidRDefault="00F86AB7" w:rsidP="006D5177">
      <w:pPr>
        <w:spacing w:before="240" w:after="240"/>
      </w:pPr>
      <w:r>
        <w:rPr>
          <w:noProof/>
        </w:rPr>
        <mc:AlternateContent>
          <mc:Choice Requires="wps">
            <w:drawing>
              <wp:anchor distT="0" distB="0" distL="114300" distR="114300" simplePos="0" relativeHeight="251854336" behindDoc="0" locked="0" layoutInCell="1" allowOverlap="1" wp14:anchorId="63B9A580" wp14:editId="3216A7C9">
                <wp:simplePos x="0" y="0"/>
                <wp:positionH relativeFrom="page">
                  <wp:posOffset>5429250</wp:posOffset>
                </wp:positionH>
                <wp:positionV relativeFrom="paragraph">
                  <wp:posOffset>849630</wp:posOffset>
                </wp:positionV>
                <wp:extent cx="1638300" cy="3667125"/>
                <wp:effectExtent l="0" t="0" r="0" b="9525"/>
                <wp:wrapTopAndBottom/>
                <wp:docPr id="58" name="Zone de texte 58"/>
                <wp:cNvGraphicFramePr/>
                <a:graphic xmlns:a="http://schemas.openxmlformats.org/drawingml/2006/main">
                  <a:graphicData uri="http://schemas.microsoft.com/office/word/2010/wordprocessingShape">
                    <wps:wsp>
                      <wps:cNvSpPr txBox="1"/>
                      <wps:spPr>
                        <a:xfrm>
                          <a:off x="0" y="0"/>
                          <a:ext cx="1638300" cy="3667125"/>
                        </a:xfrm>
                        <a:prstGeom prst="rect">
                          <a:avLst/>
                        </a:prstGeom>
                        <a:solidFill>
                          <a:prstClr val="white"/>
                        </a:solidFill>
                        <a:ln>
                          <a:noFill/>
                        </a:ln>
                      </wps:spPr>
                      <wps:txbx>
                        <w:txbxContent>
                          <w:p w14:paraId="7B9748C3" w14:textId="77777777" w:rsidR="000046E5" w:rsidRDefault="000046E5" w:rsidP="0045532B">
                            <w:pPr>
                              <w:pStyle w:val="Caption"/>
                            </w:pPr>
                            <w:r>
                              <w:t>Légende</w:t>
                            </w:r>
                          </w:p>
                          <w:p w14:paraId="132C7F56" w14:textId="388FB173" w:rsidR="000046E5" w:rsidRPr="00F86AB7" w:rsidRDefault="000046E5" w:rsidP="0045532B">
                            <w:pPr>
                              <w:pStyle w:val="Caption"/>
                            </w:pPr>
                            <w:r w:rsidRPr="00F86AB7">
                              <w:t xml:space="preserve">SRADDET, Schéma régional d’aménagement, de développement durable et d’égalité des territoires </w:t>
                            </w:r>
                          </w:p>
                          <w:p w14:paraId="3269952F" w14:textId="77777777" w:rsidR="000046E5" w:rsidRDefault="000046E5" w:rsidP="0045532B">
                            <w:pPr>
                              <w:pStyle w:val="Caption"/>
                            </w:pPr>
                            <w:r w:rsidRPr="00F86AB7">
                              <w:t>PCAET : Plan C</w:t>
                            </w:r>
                            <w:r>
                              <w:t>limat Air Énergie Territorial</w:t>
                            </w:r>
                          </w:p>
                          <w:p w14:paraId="37B28FCD" w14:textId="7C423C92" w:rsidR="000046E5" w:rsidRDefault="000046E5" w:rsidP="0045532B">
                            <w:pPr>
                              <w:pStyle w:val="Caption"/>
                            </w:pPr>
                            <w:r w:rsidRPr="00F86AB7">
                              <w:t>SCoT : Sc</w:t>
                            </w:r>
                            <w:r>
                              <w:t>héma de Cohérence Territorial</w:t>
                            </w:r>
                          </w:p>
                          <w:p w14:paraId="2D1DAFD4" w14:textId="0785EBC5" w:rsidR="000046E5" w:rsidRPr="00F86AB7" w:rsidRDefault="000046E5" w:rsidP="0045532B">
                            <w:pPr>
                              <w:pStyle w:val="Caption"/>
                            </w:pPr>
                            <w:r w:rsidRPr="00F86AB7">
                              <w:t>PLUi : Plan Local Urbanisme Intercommunal</w:t>
                            </w:r>
                          </w:p>
                          <w:p w14:paraId="2922CC99" w14:textId="77777777" w:rsidR="000046E5" w:rsidRDefault="000046E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9A580" id="Zone de texte 58" o:spid="_x0000_s1027" type="#_x0000_t202" style="position:absolute;left:0;text-align:left;margin-left:427.5pt;margin-top:66.9pt;width:129pt;height:288.75pt;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" stroked="f">
                <v:textbox inset="0,0,0,0">
                  <w:txbxContent>
                    <w:p w14:paraId="7B9748C3" w14:textId="77777777" w:rsidR="000046E5" w:rsidRDefault="000046E5" w:rsidP="0045532B">
                      <w:pPr>
                        <w:pStyle w:val="Lgende"/>
                      </w:pPr>
                      <w:r>
                        <w:t>Légende</w:t>
                      </w:r>
                    </w:p>
                    <w:p w14:paraId="132C7F56" w14:textId="388FB173" w:rsidR="000046E5" w:rsidRPr="00F86AB7" w:rsidRDefault="000046E5" w:rsidP="0045532B">
                      <w:pPr>
                        <w:pStyle w:val="Lgende"/>
                      </w:pPr>
                      <w:r w:rsidRPr="00F86AB7">
                        <w:t xml:space="preserve">SRADDET, Schéma régional d’aménagement, de développement durable et d’égalité des territoires </w:t>
                      </w:r>
                    </w:p>
                    <w:p w14:paraId="3269952F" w14:textId="77777777" w:rsidR="000046E5" w:rsidRDefault="000046E5" w:rsidP="0045532B">
                      <w:pPr>
                        <w:pStyle w:val="Lgende"/>
                      </w:pPr>
                      <w:r w:rsidRPr="00F86AB7">
                        <w:t>PCAET : Plan C</w:t>
                      </w:r>
                      <w:r>
                        <w:t>limat Air Énergie Territorial</w:t>
                      </w:r>
                    </w:p>
                    <w:p w14:paraId="37B28FCD" w14:textId="7C423C92" w:rsidR="000046E5" w:rsidRDefault="000046E5" w:rsidP="0045532B">
                      <w:pPr>
                        <w:pStyle w:val="Lgende"/>
                      </w:pPr>
                      <w:r w:rsidRPr="00F86AB7">
                        <w:t>SCoT : Sc</w:t>
                      </w:r>
                      <w:r>
                        <w:t>héma de Cohérence Territorial</w:t>
                      </w:r>
                    </w:p>
                    <w:p w14:paraId="2D1DAFD4" w14:textId="0785EBC5" w:rsidR="000046E5" w:rsidRPr="00F86AB7" w:rsidRDefault="000046E5" w:rsidP="0045532B">
                      <w:pPr>
                        <w:pStyle w:val="Lgende"/>
                      </w:pPr>
                      <w:r w:rsidRPr="00F86AB7">
                        <w:t>PLUi : Plan Local Urbanisme Intercommunal</w:t>
                      </w:r>
                    </w:p>
                    <w:p w14:paraId="2922CC99" w14:textId="77777777" w:rsidR="000046E5" w:rsidRDefault="000046E5"/>
                  </w:txbxContent>
                </v:textbox>
                <w10:wrap type="topAndBottom" anchorx="page"/>
              </v:shape>
            </w:pict>
          </mc:Fallback>
        </mc:AlternateContent>
      </w:r>
      <w:r w:rsidRPr="00002707">
        <w:rPr>
          <w:noProof/>
        </w:rPr>
        <w:drawing>
          <wp:anchor distT="0" distB="0" distL="114300" distR="114300" simplePos="0" relativeHeight="251853312" behindDoc="0" locked="0" layoutInCell="1" allowOverlap="1" wp14:anchorId="2FC21649" wp14:editId="7A26ADD9">
            <wp:simplePos x="0" y="0"/>
            <wp:positionH relativeFrom="page">
              <wp:posOffset>589280</wp:posOffset>
            </wp:positionH>
            <wp:positionV relativeFrom="paragraph">
              <wp:posOffset>718185</wp:posOffset>
            </wp:positionV>
            <wp:extent cx="4646357" cy="3819525"/>
            <wp:effectExtent l="0" t="0" r="1905" b="0"/>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46357" cy="3819525"/>
                    </a:xfrm>
                    <a:prstGeom prst="rect">
                      <a:avLst/>
                    </a:prstGeom>
                    <a:noFill/>
                    <a:ln>
                      <a:noFill/>
                    </a:ln>
                  </pic:spPr>
                </pic:pic>
              </a:graphicData>
            </a:graphic>
          </wp:anchor>
        </w:drawing>
      </w:r>
      <w:r w:rsidR="006D5177">
        <w:t>Plus largement, c'est l'ensemble des politiques publiques traditionnelles qui doit intégrer les enjeux de l'adaptation en son sein. En outre, c'est une thématique encore trop récente, et les incertitudes sur les impacts du changement climatique sont encore trop grandes, pour que la mise en œuvre de politiques strictement « adaptation » soit réaliste.</w:t>
      </w:r>
    </w:p>
    <w:p w14:paraId="6CF6172D" w14:textId="329BBB80" w:rsidR="00F86AB7" w:rsidRDefault="00F86AB7" w:rsidP="0045532B">
      <w:pPr>
        <w:pStyle w:val="Caption"/>
      </w:pPr>
      <w:bookmarkStart w:id="642" w:name="_Toc123916487"/>
      <w:r>
        <w:t xml:space="preserve">Figure </w:t>
      </w:r>
      <w:fldSimple w:instr=" SEQ Figure \* ARABIC ">
        <w:r w:rsidR="00AB51D9">
          <w:rPr>
            <w:noProof/>
          </w:rPr>
          <w:t>76</w:t>
        </w:r>
      </w:fldSimple>
      <w:r>
        <w:t xml:space="preserve"> : </w:t>
      </w:r>
      <w:r w:rsidRPr="00F86AB7">
        <w:t>Schéma simplifié de l’articulation des politiques d’atténuation et d’adaptation à plusieurs échelles de l’international à l’intercommunal</w:t>
      </w:r>
      <w:bookmarkEnd w:id="642"/>
    </w:p>
    <w:p w14:paraId="64C3F658" w14:textId="61CC3497" w:rsidR="00F86AB7" w:rsidRPr="00F86AB7" w:rsidRDefault="00F86AB7" w:rsidP="0045532B">
      <w:pPr>
        <w:pStyle w:val="Caption"/>
      </w:pPr>
      <w:r>
        <w:t>Source : </w:t>
      </w:r>
      <w:r w:rsidR="00DC248F">
        <w:t>ONERC</w:t>
      </w:r>
    </w:p>
    <w:p w14:paraId="77A6CB2E" w14:textId="77777777" w:rsidR="006D5177" w:rsidRDefault="006D5177" w:rsidP="006D5177">
      <w:pPr>
        <w:spacing w:before="240" w:after="240"/>
      </w:pPr>
    </w:p>
    <w:p w14:paraId="54CDAAE1" w14:textId="77777777" w:rsidR="006D5177" w:rsidRDefault="006D5177" w:rsidP="00E22CF8">
      <w:pPr>
        <w:pStyle w:val="Titre2Niveau2"/>
        <w:spacing w:before="240" w:after="240"/>
      </w:pPr>
      <w:bookmarkStart w:id="643" w:name="_Toc118277005"/>
      <w:bookmarkStart w:id="644" w:name="_Toc118384435"/>
      <w:bookmarkStart w:id="645" w:name="_Toc138342041"/>
      <w:r>
        <w:t>Cadre de suivi et d’évaluation</w:t>
      </w:r>
      <w:bookmarkEnd w:id="643"/>
      <w:bookmarkEnd w:id="644"/>
      <w:bookmarkEnd w:id="645"/>
    </w:p>
    <w:p w14:paraId="604F0755" w14:textId="77777777" w:rsidR="00DC248F" w:rsidRDefault="00DC248F" w:rsidP="00DC248F">
      <w:pPr>
        <w:spacing w:before="240" w:after="240"/>
      </w:pPr>
      <w:r>
        <w:t xml:space="preserve">La France est pionnière dans l’élaboration et l’évaluation de la politique d'adaptation, car elle a engagé une démarche ouverte, transparente et collaborative depuis la stratégie d’adaptation au changement climatique publiée en 2006 jusqu’au PNACC-2 publié en 2018. </w:t>
      </w:r>
    </w:p>
    <w:p w14:paraId="05EACB08" w14:textId="118C2313" w:rsidR="00DC248F" w:rsidRDefault="00DC248F" w:rsidP="00DC248F">
      <w:pPr>
        <w:spacing w:before="240" w:after="240"/>
      </w:pPr>
      <w:r>
        <w:t>Le rapport d'évaluation final, publié en 2016 sous la forme d’un rapport de l’ONERC au Premier Ministre et au Parlement, notait que bien qu'il s'agisse du premier plan, son avancement global était très satisfaisant puisque 80</w:t>
      </w:r>
      <w:r w:rsidR="006518EF">
        <w:t>%</w:t>
      </w:r>
      <w:r>
        <w:t xml:space="preserve"> des actions et environ 75</w:t>
      </w:r>
      <w:r w:rsidR="006518EF">
        <w:t>%</w:t>
      </w:r>
      <w:r>
        <w:t xml:space="preserve"> des mesures initiées seraient achevées fin 2016. En revanche, la mission était incapable de commenter l'ampleur de l'engagement financier du plan pour lequel 171 M € avaient été envisagés, car le suivi des ressources financières allouées ne se faisait pas de manière globale. Ce premier plan a beaucoup mis l'accent sur le déploiement des leviers clés que l'État pourrait utiliser pour faire avancer l'ensemble du pays, tels que les lois, les dispositions statutaires, les outils de planification, les outils méthodologiques, l'amélioration des systèmes d'observation et le partage d'analyses et d'observations. Quelques résultats remarquables peuvent être mis en évidence, comme la publication du Rapport sur le climat en France au XXI</w:t>
      </w:r>
      <w:r w:rsidRPr="00FA4440">
        <w:rPr>
          <w:vertAlign w:val="superscript"/>
        </w:rPr>
        <w:t>e</w:t>
      </w:r>
      <w:r>
        <w:t xml:space="preserve"> siècle, les outils de planification qui ont été considérablement améliorés (par exemple, la première stratégie nationale sur le risque d'inondation, publiée en octobre 2014, et la stratégie nationale de gestion intégrée du littoral prennent en compte l'impact du changement climatique) et certaines mesures opérationnelles pour adapter des secteurs d'activité spécifiques qui ont été prises.</w:t>
      </w:r>
    </w:p>
    <w:p w14:paraId="60DBAEDE" w14:textId="77777777" w:rsidR="006D5177" w:rsidRPr="00353D84" w:rsidRDefault="006D5177" w:rsidP="006D5177">
      <w:pPr>
        <w:spacing w:before="240" w:after="240"/>
      </w:pPr>
      <w:r w:rsidRPr="00024520">
        <w:t>Le processus de révision du PNACC</w:t>
      </w:r>
      <w:r>
        <w:t>-1</w:t>
      </w:r>
      <w:r w:rsidRPr="00024520">
        <w:t xml:space="preserve"> a débuté en juin 2016. Annoncé dans le plan climat national (Plan Climat) publié en juillet 2017, le deuxième Plan National d'Adaptation au Changement Climatique (PNACC-2) a été présenté par le Ministre de la Transition Écologique et Solidaire le 20 décembre 2018. Avec son deuxième Plan d'Adapt</w:t>
      </w:r>
      <w:r w:rsidRPr="00D47325">
        <w:t>ation, la France vise une adaptation efficace dès le milieu du XXI</w:t>
      </w:r>
      <w:r w:rsidRPr="004553BC">
        <w:rPr>
          <w:vertAlign w:val="superscript"/>
        </w:rPr>
        <w:t>e</w:t>
      </w:r>
      <w:r w:rsidRPr="00D47325">
        <w:t xml:space="preserve"> siècle à un climat régional en France métropolitaine et dans les DOM-TOM cohérent avec une hausse de la température globale de 2 °C par rapport à la température préindustrielle. Son ob</w:t>
      </w:r>
      <w:r w:rsidRPr="00353D84">
        <w:t xml:space="preserve">jectif est de mieux préparer la société française au changement climatique en intégrant l’adaptation dans </w:t>
      </w:r>
      <w:r>
        <w:t xml:space="preserve">toutes </w:t>
      </w:r>
      <w:r w:rsidRPr="00353D84">
        <w:t>les politiques publiques, en impliquant les territoires et les principaux secteurs de l'économie (agriculture, industrie, tourisme...). Par rapport au premier PNACC (2011-2015), le PNACC-2 se distingue par les grandes orientations suivantes :</w:t>
      </w:r>
    </w:p>
    <w:p w14:paraId="66D0589B" w14:textId="3A3484FB" w:rsidR="006D5177" w:rsidRPr="00353D84" w:rsidRDefault="007B2BE1" w:rsidP="00BE086C">
      <w:pPr>
        <w:pStyle w:val="ListParagraph"/>
        <w:numPr>
          <w:ilvl w:val="1"/>
          <w:numId w:val="34"/>
        </w:numPr>
        <w:spacing w:before="240" w:after="240"/>
      </w:pPr>
      <w:r>
        <w:t>U</w:t>
      </w:r>
      <w:r w:rsidR="006D5177" w:rsidRPr="00353D84">
        <w:t>ne plus grande implication des acteurs territoriaux au sein d’une démarche nationale d’adaptation au changement climatique cohérente, coordonnée, partagée et suivie étroitement ;</w:t>
      </w:r>
    </w:p>
    <w:p w14:paraId="61E429F8" w14:textId="2D1A6467" w:rsidR="006D5177" w:rsidRPr="00353D84" w:rsidRDefault="007B2BE1" w:rsidP="00BE086C">
      <w:pPr>
        <w:pStyle w:val="ListParagraph"/>
        <w:numPr>
          <w:ilvl w:val="1"/>
          <w:numId w:val="34"/>
        </w:numPr>
        <w:spacing w:before="240" w:after="240"/>
      </w:pPr>
      <w:r>
        <w:t>L</w:t>
      </w:r>
      <w:r w:rsidR="006D5177" w:rsidRPr="00353D84">
        <w:t>a priorité donnée aux solutions fondées sur la nature partout où cela a du sens ;</w:t>
      </w:r>
    </w:p>
    <w:p w14:paraId="092AEC02" w14:textId="0FF956DF" w:rsidR="006D5177" w:rsidRPr="00353D84" w:rsidRDefault="007B2BE1" w:rsidP="00BE086C">
      <w:pPr>
        <w:pStyle w:val="ListParagraph"/>
        <w:numPr>
          <w:ilvl w:val="1"/>
          <w:numId w:val="34"/>
        </w:numPr>
        <w:spacing w:before="240" w:after="240"/>
      </w:pPr>
      <w:r>
        <w:t>U</w:t>
      </w:r>
      <w:r w:rsidR="006D5177" w:rsidRPr="00353D84">
        <w:t>ne attention forte portée à l’outre-mer qui se traduit par des mesures spécifiques à ces régions très vulnérables au changement climatique ;</w:t>
      </w:r>
    </w:p>
    <w:p w14:paraId="4EACC531" w14:textId="15234A8A" w:rsidR="006D5177" w:rsidRPr="00366EB1" w:rsidRDefault="007B2BE1" w:rsidP="00BE086C">
      <w:pPr>
        <w:pStyle w:val="ListParagraph"/>
        <w:numPr>
          <w:ilvl w:val="1"/>
          <w:numId w:val="34"/>
        </w:numPr>
        <w:spacing w:before="240" w:after="240"/>
      </w:pPr>
      <w:r>
        <w:t>L</w:t>
      </w:r>
      <w:r w:rsidR="006D5177" w:rsidRPr="00366EB1">
        <w:t>’implication des grandes filières économiques qui commence par des études prospectives systématiques ;</w:t>
      </w:r>
    </w:p>
    <w:p w14:paraId="5515D90B" w14:textId="4C725F88" w:rsidR="006D5177" w:rsidRPr="00366EB1" w:rsidRDefault="007B2BE1" w:rsidP="00BE086C">
      <w:pPr>
        <w:pStyle w:val="ListParagraph"/>
        <w:numPr>
          <w:ilvl w:val="1"/>
          <w:numId w:val="34"/>
        </w:numPr>
        <w:spacing w:before="240" w:after="240"/>
      </w:pPr>
      <w:r>
        <w:t>L</w:t>
      </w:r>
      <w:r w:rsidR="006D5177" w:rsidRPr="00366EB1">
        <w:t>a mise en œuvre d’un suivi étroit des mesures par une Commission spécialisée du Conseil national de la transition écologie (CNTE) représentative des parties prenantes et de la société et présidée par un sénateur. Le bilan annuel d’avancement du plan est ainsi présenté à la Commission spécialisée qui émet chaque année un avis soumis au CNTE ;</w:t>
      </w:r>
    </w:p>
    <w:p w14:paraId="42345895" w14:textId="77777777" w:rsidR="006D5177" w:rsidRPr="00366EB1" w:rsidRDefault="006D5177" w:rsidP="006D5177">
      <w:pPr>
        <w:spacing w:before="240" w:after="240"/>
      </w:pPr>
      <w:r w:rsidRPr="00366EB1">
        <w:t>Les 58 mesures inscrites dans le PNACC</w:t>
      </w:r>
      <w:r>
        <w:t>-</w:t>
      </w:r>
      <w:r w:rsidRPr="00366EB1">
        <w:t>2 se répartissent en 6 grands domaines d’action qui prennent en compte l’ensemble des problèmes posés par les impacts en cours et attendus du changement climatique :</w:t>
      </w:r>
    </w:p>
    <w:p w14:paraId="6D3720F2" w14:textId="06A35CA5" w:rsidR="006D5177" w:rsidRPr="00366EB1" w:rsidRDefault="007B2BE1" w:rsidP="00BE086C">
      <w:pPr>
        <w:pStyle w:val="ListParagraph"/>
        <w:numPr>
          <w:ilvl w:val="2"/>
          <w:numId w:val="34"/>
        </w:numPr>
        <w:spacing w:before="240" w:after="240"/>
        <w:ind w:left="2685" w:hanging="705"/>
      </w:pPr>
      <w:r>
        <w:t>G</w:t>
      </w:r>
      <w:r w:rsidR="006D5177" w:rsidRPr="00366EB1">
        <w:t>ouvernance : territorialisation du PNACC 2 et évolution des normes et réglementations pour tenir compte du climat futur ;</w:t>
      </w:r>
    </w:p>
    <w:p w14:paraId="76F7D56D" w14:textId="15DE15FB" w:rsidR="006D5177" w:rsidRPr="00366EB1" w:rsidRDefault="007B2BE1" w:rsidP="00BE086C">
      <w:pPr>
        <w:pStyle w:val="ListParagraph"/>
        <w:numPr>
          <w:ilvl w:val="2"/>
          <w:numId w:val="34"/>
        </w:numPr>
        <w:spacing w:before="240" w:after="240"/>
        <w:ind w:left="2685" w:hanging="705"/>
      </w:pPr>
      <w:r>
        <w:t>P</w:t>
      </w:r>
      <w:r w:rsidR="006D5177" w:rsidRPr="00366EB1">
        <w:t>révention et résilience : amélioration de la prévention et renforcement de la résilience face à la recrudescence attendue des évènements extrêmes ;</w:t>
      </w:r>
    </w:p>
    <w:p w14:paraId="1CC3BDFF" w14:textId="20728D66" w:rsidR="006D5177" w:rsidRPr="00366EB1" w:rsidRDefault="007B2BE1" w:rsidP="00BE086C">
      <w:pPr>
        <w:pStyle w:val="ListParagraph"/>
        <w:numPr>
          <w:ilvl w:val="2"/>
          <w:numId w:val="34"/>
        </w:numPr>
        <w:spacing w:before="240" w:after="240"/>
        <w:ind w:left="2685" w:hanging="705"/>
      </w:pPr>
      <w:r>
        <w:t>N</w:t>
      </w:r>
      <w:r w:rsidR="006D5177" w:rsidRPr="00366EB1">
        <w:t>ature et milieux : adaptation et préservation des milieux pour garantir l’évolution favorable de la biodiversité et de notre patrimoine environnemental ;</w:t>
      </w:r>
    </w:p>
    <w:p w14:paraId="1C5C9BCF" w14:textId="0C4BAAD1" w:rsidR="006D5177" w:rsidRPr="00366EB1" w:rsidRDefault="007B2BE1" w:rsidP="00BE086C">
      <w:pPr>
        <w:pStyle w:val="ListParagraph"/>
        <w:numPr>
          <w:ilvl w:val="2"/>
          <w:numId w:val="34"/>
        </w:numPr>
        <w:spacing w:before="240" w:after="240"/>
        <w:ind w:left="2685" w:hanging="705"/>
      </w:pPr>
      <w:r>
        <w:t>F</w:t>
      </w:r>
      <w:r w:rsidR="006D5177" w:rsidRPr="00366EB1">
        <w:t>ilières économiques : adaptation des grandes filières économiques impactées par le changement</w:t>
      </w:r>
      <w:r w:rsidR="006D5177">
        <w:t xml:space="preserve"> </w:t>
      </w:r>
      <w:r w:rsidR="006D5177" w:rsidRPr="00366EB1">
        <w:t>climatique, dont le tourisme, l’agriculture, la pêche et l’aquaculture, la forêt et sa filière bois, ainsi que le secteur de la finance et de l’assurance ;</w:t>
      </w:r>
    </w:p>
    <w:p w14:paraId="27D20235" w14:textId="24AF13AB" w:rsidR="006D5177" w:rsidRPr="00366EB1" w:rsidRDefault="007B2BE1" w:rsidP="00BE086C">
      <w:pPr>
        <w:pStyle w:val="ListParagraph"/>
        <w:numPr>
          <w:ilvl w:val="2"/>
          <w:numId w:val="34"/>
        </w:numPr>
        <w:spacing w:before="240" w:after="240"/>
        <w:ind w:left="2685" w:hanging="705"/>
      </w:pPr>
      <w:r>
        <w:t>C</w:t>
      </w:r>
      <w:r w:rsidR="006D5177" w:rsidRPr="00366EB1">
        <w:t>onnaissance et information : amélioration des connaissances et des moyens de formation et d’information des acteurs et du grand public pour accélérer l’adaptation de la France et consolider les bases sur lesquelles se prennent les décisions ;</w:t>
      </w:r>
    </w:p>
    <w:p w14:paraId="3EAB72F6" w14:textId="55D2F41D" w:rsidR="006D5177" w:rsidRDefault="007B2BE1" w:rsidP="00BE086C">
      <w:pPr>
        <w:pStyle w:val="ListParagraph"/>
        <w:numPr>
          <w:ilvl w:val="2"/>
          <w:numId w:val="34"/>
        </w:numPr>
        <w:spacing w:before="240" w:after="240"/>
        <w:ind w:left="2685" w:hanging="705"/>
      </w:pPr>
      <w:r>
        <w:t>D</w:t>
      </w:r>
      <w:r w:rsidR="006D5177" w:rsidRPr="00366EB1">
        <w:t>imension internationale : développement et export du savoir-faire français en la matière et influence de la diplomatie française dans les négociations climatiques.</w:t>
      </w:r>
    </w:p>
    <w:p w14:paraId="52661AB0" w14:textId="7A1EE131" w:rsidR="006D5177" w:rsidRDefault="006D5177" w:rsidP="006D5177">
      <w:pPr>
        <w:spacing w:before="240" w:after="240"/>
      </w:pPr>
      <w:r>
        <w:t>Le suivi de la mise en œuvre du deuxième plan national d’adaptation au changement climatique qui couvre quant à lui la période 2018 à 202</w:t>
      </w:r>
      <w:r w:rsidR="004077DC">
        <w:t>3</w:t>
      </w:r>
      <w:r>
        <w:t xml:space="preserve"> (PNACC-2) est décrit dans le volet « gouvernance » du PNACC-2.</w:t>
      </w:r>
      <w:r w:rsidRPr="00353D84">
        <w:t xml:space="preserve"> </w:t>
      </w:r>
      <w:r>
        <w:t>La mise en œuvre du PNACC-2 a nécessité la mise en place d’un mécanisme rigoureux de suivi des actions inscrites dans ce plan ambitieux et des moyens mobilisés. Ce mécanisme implique les différents échelons d’acteurs dans une démarche vertueuse qui a permis d’assurer, en toute transparence, le bon démarrage puis le bon avancement des 58 actions inscrites dans ce plan. Cela permet de mesurer les progrès accomplis en matière d’adaptation au fur et à mesure du déroulé et jusqu’à la fin de la période.</w:t>
      </w:r>
    </w:p>
    <w:p w14:paraId="321AAB2E" w14:textId="77777777" w:rsidR="006D5177" w:rsidRDefault="006D5177" w:rsidP="006D5177">
      <w:pPr>
        <w:spacing w:before="240" w:after="240"/>
      </w:pPr>
      <w:r>
        <w:t xml:space="preserve">Ce dispositif a été confié à la commission spécialisée du Conseil national de la transition écologique (CNTE) en charge de l’orientation de l’ONERC. Cette commission fait ainsi fonction de comité national de suivi de l’adaptation afin d’assurer un suivi annuel du plan, de choisir des indicateurs pertinents en matière d’adaptation et de proposer, s’il y a lieu, des évolutions dans la politique nationale d’adaptation notamment par des compléments au PNACC-2. Cette instance a vocation à faire du PNACC un instrument de politique publique évolutif tout en préparant son évaluation globale finale et qui conduira à l’élaboration du plan national d’adaptation suivant. La mise en œuvre du deuxième plan national d’adaptation au changement climatique (PNACC-2) s’organise autour d’un double mécanisme de suivi et d’un cycle annuel de réunions associant les services des ministères pilotes et les représentants de la société civile concernés. </w:t>
      </w:r>
    </w:p>
    <w:p w14:paraId="4425C400" w14:textId="77777777" w:rsidR="006D5177" w:rsidRDefault="006D5177" w:rsidP="006D5177">
      <w:pPr>
        <w:spacing w:before="240" w:after="240"/>
      </w:pPr>
      <w:r>
        <w:t>Au premier trimestre les pilotes des actions du PNACC-2 se réunissent pour présenter le programme de travail de l’année et les éléments budgétaires de l’année en cours et de la suivante. Au deuxième trimestre, les membres de la commission spécialisée du CNTE, chargées de l’orientation de l’action de l’Observatoire national sur les effets du réchauffement climatique (ONERC) et représentant l’ensemble des collèges de la société civile, sont réunis pour une présentation du programme de travail de l’année.</w:t>
      </w:r>
    </w:p>
    <w:p w14:paraId="77DD07FE" w14:textId="77777777" w:rsidR="006D5177" w:rsidRDefault="006D5177" w:rsidP="006D5177">
      <w:pPr>
        <w:spacing w:before="240" w:after="240"/>
      </w:pPr>
      <w:r>
        <w:t>Au troisième trimestre les pilotes des actions territoriales, les membres de la commission spécialisée intéressés, les collectivités territoriales et les services déconcentrés de l’État sont conviés à une réunion de coordination territoriale.</w:t>
      </w:r>
    </w:p>
    <w:p w14:paraId="75888CDD" w14:textId="77777777" w:rsidR="006D5177" w:rsidRDefault="006D5177" w:rsidP="006D5177">
      <w:pPr>
        <w:spacing w:before="240" w:after="240"/>
      </w:pPr>
      <w:r>
        <w:t>Au quatrième trimestre les pilotes du PNACC-2 et les membres de la commission spécialisée se réunissent pour préparer l’avis du CNTE sur le bilan annuel de la mise en œuvre du PNACC-2 qui est voté par la suite en séance plénière du CNTE. Chacun de ces avis est accessible à tous sur le site internet du ministère de la transition écologique.</w:t>
      </w:r>
    </w:p>
    <w:p w14:paraId="1290E237" w14:textId="77777777" w:rsidR="006D5177" w:rsidRDefault="006D5177" w:rsidP="006D5177">
      <w:pPr>
        <w:spacing w:before="240" w:after="240"/>
      </w:pPr>
      <w:r>
        <w:t>Le suivi de la mise en œuvre est effectué grâce à un outil de suivi spécifique développé par le service numérique du ministère de la transition écologique et de la cohésion des territoires. Grâce à cet outil, les pilotes des actions et sous-actions peuvent mettre à jour régulièrement l’avancée de la mise en œuvre des actions du PNACC-2. La commission spécialisée du CNTE a également validé une série d’indicateurs triés selon trois axes : contexte, action et résultat. Ces indicateurs alimentés régulièrement permettent une vision synthétique des impacts du changement climatique, des actions mises en œuvre et des résultats obtenus.</w:t>
      </w:r>
    </w:p>
    <w:p w14:paraId="5B43090F" w14:textId="77777777" w:rsidR="006D5177" w:rsidRPr="00215836" w:rsidRDefault="006D5177" w:rsidP="00E22CF8">
      <w:pPr>
        <w:pStyle w:val="Titre2Niveau2"/>
        <w:spacing w:before="240" w:after="240"/>
      </w:pPr>
      <w:bookmarkStart w:id="646" w:name="_Toc118277006"/>
      <w:bookmarkStart w:id="647" w:name="_Toc118384436"/>
      <w:bookmarkStart w:id="648" w:name="_Toc138342042"/>
      <w:r>
        <w:t>Progrès et résultats des mesures d’adaptation</w:t>
      </w:r>
      <w:bookmarkEnd w:id="646"/>
      <w:bookmarkEnd w:id="647"/>
      <w:bookmarkEnd w:id="648"/>
    </w:p>
    <w:p w14:paraId="35BF5D51" w14:textId="77777777" w:rsidR="006D5177" w:rsidRPr="00445995" w:rsidRDefault="006D5177" w:rsidP="003F57EA">
      <w:pPr>
        <w:pStyle w:val="Titre3Niveau3"/>
      </w:pPr>
      <w:bookmarkStart w:id="649" w:name="_Toc138342043"/>
      <w:r w:rsidRPr="00445995">
        <w:t>Principales conclusions tiré</w:t>
      </w:r>
      <w:r>
        <w:t>e</w:t>
      </w:r>
      <w:r w:rsidRPr="00445995">
        <w:t>s de l’évaluation à mi-parcours du deuxième plan national d’adaptation au changement climatique</w:t>
      </w:r>
      <w:bookmarkEnd w:id="649"/>
    </w:p>
    <w:p w14:paraId="096BB03D" w14:textId="77777777" w:rsidR="006D5177" w:rsidRPr="00E9337F" w:rsidRDefault="006D5177" w:rsidP="006D5177">
      <w:pPr>
        <w:spacing w:line="240" w:lineRule="atLeast"/>
        <w:rPr>
          <w:b/>
        </w:rPr>
      </w:pPr>
    </w:p>
    <w:p w14:paraId="0354D667" w14:textId="77777777" w:rsidR="006D5177" w:rsidRPr="00445995" w:rsidRDefault="006D5177" w:rsidP="006D5177">
      <w:pPr>
        <w:spacing w:line="240" w:lineRule="atLeast"/>
      </w:pPr>
      <w:r w:rsidRPr="00445995">
        <w:t>L’évaluation à mi-parcours du deuxième plan national d’adaptation au changement climatique (PNACC-2) a été présentée à la Commission spécialisée du Conseil national de la transition écologique en charge de son suivi, le 16 décembre 2021. Cette évaluation a été mise en ligne le 11 mars avec son texte intégral et sa synthèse. Elle dresse un premier bilan de la mise en œuvre de ce plan depuis son adoption en 2018.</w:t>
      </w:r>
    </w:p>
    <w:p w14:paraId="08951F52" w14:textId="77777777" w:rsidR="006D5177" w:rsidRPr="00445995" w:rsidRDefault="006D5177" w:rsidP="00EF6DB6">
      <w:pPr>
        <w:pStyle w:val="Titre4niveau4"/>
      </w:pPr>
      <w:r w:rsidRPr="00445995">
        <w:t>Budgets</w:t>
      </w:r>
    </w:p>
    <w:p w14:paraId="1FF613C3" w14:textId="77777777" w:rsidR="006D5177" w:rsidRDefault="006D5177" w:rsidP="006D5177">
      <w:pPr>
        <w:spacing w:after="160" w:line="259" w:lineRule="auto"/>
        <w:contextualSpacing/>
        <w:rPr>
          <w:rFonts w:asciiTheme="minorHAnsi" w:hAnsiTheme="minorHAnsi" w:cstheme="minorHAnsi"/>
          <w:szCs w:val="22"/>
        </w:rPr>
      </w:pPr>
      <w:r w:rsidRPr="00445995">
        <w:rPr>
          <w:rFonts w:asciiTheme="majorHAnsi" w:hAnsiTheme="majorHAnsi"/>
        </w:rPr>
        <w:t>Au fur et à mesure de la mise en œuvre du PNACC-2, de nouvelles sous-actions sont apparues nécessaires et le budget dédié a en conséquence augmenté.</w:t>
      </w:r>
      <w:r>
        <w:rPr>
          <w:rFonts w:asciiTheme="majorHAnsi" w:hAnsiTheme="majorHAnsi" w:cstheme="minorHAnsi"/>
          <w:szCs w:val="21"/>
        </w:rPr>
        <w:t xml:space="preserve"> </w:t>
      </w:r>
      <w:r>
        <w:rPr>
          <w:rFonts w:asciiTheme="minorHAnsi" w:hAnsiTheme="minorHAnsi" w:cstheme="minorHAnsi"/>
          <w:szCs w:val="22"/>
        </w:rPr>
        <w:t>Ainsi le budget global du PNACC-2 est passé de 299</w:t>
      </w:r>
      <w:r w:rsidRPr="00F54C4C">
        <w:rPr>
          <w:rFonts w:asciiTheme="minorHAnsi" w:hAnsiTheme="minorHAnsi" w:cstheme="minorHAnsi"/>
          <w:szCs w:val="22"/>
        </w:rPr>
        <w:t xml:space="preserve"> M€ </w:t>
      </w:r>
      <w:r>
        <w:rPr>
          <w:rFonts w:asciiTheme="minorHAnsi" w:hAnsiTheme="minorHAnsi" w:cstheme="minorHAnsi"/>
          <w:szCs w:val="22"/>
        </w:rPr>
        <w:t>fin</w:t>
      </w:r>
      <w:r w:rsidRPr="00F54C4C">
        <w:rPr>
          <w:rFonts w:asciiTheme="minorHAnsi" w:hAnsiTheme="minorHAnsi" w:cstheme="minorHAnsi"/>
          <w:szCs w:val="22"/>
        </w:rPr>
        <w:t xml:space="preserve"> 2019 à</w:t>
      </w:r>
      <w:r>
        <w:rPr>
          <w:rFonts w:asciiTheme="minorHAnsi" w:hAnsiTheme="minorHAnsi" w:cstheme="minorHAnsi"/>
          <w:szCs w:val="22"/>
        </w:rPr>
        <w:t xml:space="preserve"> 8,3</w:t>
      </w:r>
      <w:r w:rsidRPr="00F54C4C">
        <w:rPr>
          <w:rFonts w:asciiTheme="minorHAnsi" w:hAnsiTheme="minorHAnsi" w:cstheme="minorHAnsi"/>
          <w:szCs w:val="22"/>
        </w:rPr>
        <w:t xml:space="preserve"> Md€ </w:t>
      </w:r>
      <w:r>
        <w:rPr>
          <w:rFonts w:asciiTheme="minorHAnsi" w:hAnsiTheme="minorHAnsi" w:cstheme="minorHAnsi"/>
          <w:szCs w:val="22"/>
        </w:rPr>
        <w:t>fin</w:t>
      </w:r>
      <w:r w:rsidRPr="00F54C4C">
        <w:rPr>
          <w:rFonts w:asciiTheme="minorHAnsi" w:hAnsiTheme="minorHAnsi" w:cstheme="minorHAnsi"/>
          <w:szCs w:val="22"/>
        </w:rPr>
        <w:t xml:space="preserve"> 2021</w:t>
      </w:r>
      <w:r>
        <w:rPr>
          <w:rFonts w:asciiTheme="minorHAnsi" w:hAnsiTheme="minorHAnsi" w:cstheme="minorHAnsi"/>
          <w:szCs w:val="22"/>
        </w:rPr>
        <w:t xml:space="preserve">. </w:t>
      </w:r>
    </w:p>
    <w:p w14:paraId="3E60F3E9" w14:textId="77777777" w:rsidR="006D5177" w:rsidRDefault="006D5177" w:rsidP="006D5177">
      <w:pPr>
        <w:spacing w:after="160" w:line="259" w:lineRule="auto"/>
        <w:contextualSpacing/>
        <w:rPr>
          <w:rFonts w:asciiTheme="minorHAnsi" w:hAnsiTheme="minorHAnsi" w:cstheme="minorHAnsi"/>
          <w:szCs w:val="22"/>
        </w:rPr>
      </w:pPr>
    </w:p>
    <w:p w14:paraId="287A03D8" w14:textId="77777777" w:rsidR="006D5177" w:rsidRDefault="006D5177" w:rsidP="006D5177">
      <w:pPr>
        <w:spacing w:line="240" w:lineRule="atLeast"/>
      </w:pPr>
      <w:r>
        <w:t>Les budgets dépensés sur la période 2018-2021 pour mettre en œuvre les actions d’adaptation au changement climatique relevant du PNACC-2 sont les suivants :</w:t>
      </w:r>
    </w:p>
    <w:p w14:paraId="6BF232E8" w14:textId="77777777" w:rsidR="006D5177" w:rsidRDefault="006D5177" w:rsidP="00BE086C">
      <w:pPr>
        <w:pStyle w:val="ListParagraph"/>
        <w:numPr>
          <w:ilvl w:val="0"/>
          <w:numId w:val="39"/>
        </w:numPr>
        <w:spacing w:line="240" w:lineRule="atLeast"/>
      </w:pPr>
      <w:r>
        <w:t>100 000€ pour la gouvernance de la politique d’adaptation ;</w:t>
      </w:r>
    </w:p>
    <w:p w14:paraId="4597EC63" w14:textId="77777777" w:rsidR="006D5177" w:rsidRDefault="006D5177" w:rsidP="00BE086C">
      <w:pPr>
        <w:pStyle w:val="ListParagraph"/>
        <w:numPr>
          <w:ilvl w:val="0"/>
          <w:numId w:val="39"/>
        </w:numPr>
        <w:spacing w:line="240" w:lineRule="atLeast"/>
      </w:pPr>
      <w:r>
        <w:t>346 millions € pour la prévention et la gestion des risques et catastrophes naturels ;</w:t>
      </w:r>
    </w:p>
    <w:p w14:paraId="7054606A" w14:textId="77777777" w:rsidR="006D5177" w:rsidRDefault="006D5177" w:rsidP="00BE086C">
      <w:pPr>
        <w:pStyle w:val="ListParagraph"/>
        <w:numPr>
          <w:ilvl w:val="0"/>
          <w:numId w:val="39"/>
        </w:numPr>
        <w:spacing w:line="240" w:lineRule="atLeast"/>
      </w:pPr>
      <w:r>
        <w:t>1,6 milliards € pour la préservation et la gestion durable des ressources et milieux naturels</w:t>
      </w:r>
    </w:p>
    <w:p w14:paraId="7003A32A" w14:textId="77777777" w:rsidR="006D5177" w:rsidRDefault="006D5177" w:rsidP="00BE086C">
      <w:pPr>
        <w:pStyle w:val="ListParagraph"/>
        <w:numPr>
          <w:ilvl w:val="0"/>
          <w:numId w:val="39"/>
        </w:numPr>
        <w:spacing w:line="240" w:lineRule="atLeast"/>
      </w:pPr>
      <w:r>
        <w:t>43 millions € pour l’adaptation des filières économiques</w:t>
      </w:r>
    </w:p>
    <w:p w14:paraId="56976862" w14:textId="77777777" w:rsidR="006D5177" w:rsidRDefault="006D5177" w:rsidP="00BE086C">
      <w:pPr>
        <w:pStyle w:val="ListParagraph"/>
        <w:numPr>
          <w:ilvl w:val="0"/>
          <w:numId w:val="39"/>
        </w:numPr>
        <w:spacing w:line="240" w:lineRule="atLeast"/>
      </w:pPr>
      <w:r>
        <w:t>121 millions € pour le renforcement de la connaissance et de l’information sur le changement climatique</w:t>
      </w:r>
    </w:p>
    <w:p w14:paraId="098C679F" w14:textId="77777777" w:rsidR="006D5177" w:rsidRDefault="006D5177" w:rsidP="00BE086C">
      <w:pPr>
        <w:pStyle w:val="ListParagraph"/>
        <w:numPr>
          <w:ilvl w:val="0"/>
          <w:numId w:val="39"/>
        </w:numPr>
        <w:spacing w:line="240" w:lineRule="atLeast"/>
      </w:pPr>
      <w:r>
        <w:t>6,1 milliards € pour l’action internationale de la France sur le changement climatique</w:t>
      </w:r>
    </w:p>
    <w:p w14:paraId="6A700771" w14:textId="77777777" w:rsidR="006D5177" w:rsidRPr="00445995" w:rsidRDefault="006D5177" w:rsidP="006D5177">
      <w:pPr>
        <w:spacing w:after="160" w:line="259" w:lineRule="auto"/>
        <w:contextualSpacing/>
        <w:rPr>
          <w:rFonts w:asciiTheme="majorHAnsi" w:hAnsiTheme="majorHAnsi"/>
        </w:rPr>
      </w:pPr>
    </w:p>
    <w:p w14:paraId="66DA5B3B" w14:textId="77777777" w:rsidR="006D5177" w:rsidRPr="00445995" w:rsidRDefault="006D5177" w:rsidP="00EF6DB6">
      <w:pPr>
        <w:pStyle w:val="Titre4niveau4"/>
      </w:pPr>
      <w:bookmarkStart w:id="650" w:name="_Toc90285247"/>
      <w:r w:rsidRPr="00445995">
        <w:t>Mise en œuvre</w:t>
      </w:r>
      <w:bookmarkEnd w:id="650"/>
    </w:p>
    <w:p w14:paraId="61EAD6D3" w14:textId="482A4D6B" w:rsidR="006D5177" w:rsidRPr="00445995" w:rsidRDefault="006D5177" w:rsidP="006D5177">
      <w:pPr>
        <w:spacing w:before="240" w:after="160" w:line="259" w:lineRule="auto"/>
        <w:rPr>
          <w:rFonts w:asciiTheme="majorHAnsi" w:hAnsiTheme="majorHAnsi"/>
        </w:rPr>
      </w:pPr>
      <w:r w:rsidRPr="00445995">
        <w:rPr>
          <w:rFonts w:asciiTheme="majorHAnsi" w:hAnsiTheme="majorHAnsi"/>
        </w:rPr>
        <w:t>Au deuxième semestre 2021, 53 des 58 actions du PNACC-2 ont été lancées, c’est-à-dire la quasi-totalité des actions. Ces actions se déclinent de manière opérationnelle en 389 sous-actions (contre 319 en 2019 et 360 en 2020).</w:t>
      </w:r>
      <w:r w:rsidR="00260E0B">
        <w:rPr>
          <w:rFonts w:asciiTheme="majorHAnsi" w:hAnsiTheme="majorHAnsi"/>
        </w:rPr>
        <w:t xml:space="preserve"> </w:t>
      </w:r>
      <w:r w:rsidRPr="00445995">
        <w:rPr>
          <w:rFonts w:asciiTheme="majorHAnsi" w:hAnsiTheme="majorHAnsi"/>
        </w:rPr>
        <w:t>Sur ces 389 sous-actions, 106 sont déjà terminées, 225 sont en cours de mise en œuvre et 58 n’ont pas encore démarré.</w:t>
      </w:r>
    </w:p>
    <w:p w14:paraId="0940482E" w14:textId="77777777" w:rsidR="006D5177" w:rsidRDefault="006D5177" w:rsidP="00EF6DB6">
      <w:pPr>
        <w:pStyle w:val="Titre4niveau4"/>
      </w:pPr>
      <w:r>
        <w:t>Suivi</w:t>
      </w:r>
    </w:p>
    <w:p w14:paraId="4865FA00" w14:textId="77777777" w:rsidR="006D5177" w:rsidRPr="00445995" w:rsidRDefault="006D5177" w:rsidP="006D5177">
      <w:pPr>
        <w:contextualSpacing/>
        <w:rPr>
          <w:rFonts w:asciiTheme="majorHAnsi" w:hAnsiTheme="majorHAnsi"/>
        </w:rPr>
      </w:pPr>
      <w:r w:rsidRPr="00445995">
        <w:rPr>
          <w:rFonts w:asciiTheme="majorHAnsi" w:hAnsiTheme="majorHAnsi"/>
        </w:rPr>
        <w:t xml:space="preserve">Sur le plan du suivi de la politique nationale d’adaptation au changement climatique, le développement d’un outil de suivi numérique pour les pilotes du PNACC-2 et la mise en place d’une Commission spécialisée du Conseil national de la transition écologique (CNTE) dédiée au suivi du PNACC-2 ont permis de faciliter le travail de mise à jour et de suivi des actions en gagnant en efficacité et en transparence. </w:t>
      </w:r>
    </w:p>
    <w:p w14:paraId="0B34ABEB" w14:textId="77777777" w:rsidR="006D5177" w:rsidRPr="00445995" w:rsidRDefault="006D5177" w:rsidP="006D5177">
      <w:pPr>
        <w:contextualSpacing/>
        <w:rPr>
          <w:rFonts w:asciiTheme="majorHAnsi" w:hAnsiTheme="majorHAnsi"/>
        </w:rPr>
      </w:pPr>
    </w:p>
    <w:p w14:paraId="7EB41FA6" w14:textId="6070C4D0" w:rsidR="006D5177" w:rsidRPr="00445995" w:rsidRDefault="00DC248F" w:rsidP="006D5177">
      <w:pPr>
        <w:contextualSpacing/>
        <w:rPr>
          <w:rFonts w:asciiTheme="majorHAnsi" w:hAnsiTheme="majorHAnsi"/>
        </w:rPr>
      </w:pPr>
      <w:r w:rsidRPr="00C57D83">
        <w:rPr>
          <w:rFonts w:asciiTheme="majorHAnsi" w:hAnsiTheme="majorHAnsi"/>
        </w:rPr>
        <w:t>D’une part l’outil numérique de suivi</w:t>
      </w:r>
      <w:r>
        <w:rPr>
          <w:rStyle w:val="FootnoteReference"/>
          <w:rFonts w:asciiTheme="majorHAnsi" w:hAnsiTheme="majorHAnsi"/>
        </w:rPr>
        <w:footnoteReference w:id="64"/>
      </w:r>
      <w:r w:rsidRPr="00C57D83">
        <w:rPr>
          <w:rFonts w:asciiTheme="majorHAnsi" w:hAnsiTheme="majorHAnsi"/>
        </w:rPr>
        <w:t xml:space="preserve"> a permis aux ministères de renseigner et suivre en temps réel l’avancée des actions, sous-actions, budgets et indicateurs du PNACC-2 qu’ils pilotent. Les données ainsi renseignées ont pu être extraites pour rendre compte à la Commission spécialisée de la mise en œuvre effective des actions du PNACC-2 sur une base annuelle. Et c’est sur la base de ce bi</w:t>
      </w:r>
      <w:r w:rsidRPr="00FE0D44">
        <w:rPr>
          <w:rFonts w:asciiTheme="majorHAnsi" w:hAnsiTheme="majorHAnsi"/>
        </w:rPr>
        <w:t xml:space="preserve">lan que le CNTE a remis chaque année depuis 2019 son avis sur l’état d’avancement </w:t>
      </w:r>
      <w:r w:rsidRPr="00727FFC">
        <w:rPr>
          <w:rFonts w:asciiTheme="majorHAnsi" w:hAnsiTheme="majorHAnsi" w:cstheme="minorHAnsi"/>
          <w:szCs w:val="21"/>
        </w:rPr>
        <w:t>de la mise en œuvre du PNACC-2</w:t>
      </w:r>
      <w:r w:rsidR="006D5177" w:rsidRPr="00727FFC">
        <w:rPr>
          <w:rFonts w:asciiTheme="majorHAnsi" w:hAnsiTheme="majorHAnsi" w:cstheme="minorHAnsi"/>
          <w:szCs w:val="21"/>
        </w:rPr>
        <w:t>.</w:t>
      </w:r>
    </w:p>
    <w:p w14:paraId="5F2F15DE" w14:textId="77777777" w:rsidR="006D5177" w:rsidRPr="00445995" w:rsidRDefault="006D5177" w:rsidP="006D5177">
      <w:pPr>
        <w:contextualSpacing/>
        <w:rPr>
          <w:rFonts w:asciiTheme="majorHAnsi" w:hAnsiTheme="majorHAnsi"/>
        </w:rPr>
      </w:pPr>
    </w:p>
    <w:p w14:paraId="2C66DB83" w14:textId="77777777" w:rsidR="006D5177" w:rsidRPr="00445995" w:rsidRDefault="006D5177" w:rsidP="006D5177">
      <w:pPr>
        <w:contextualSpacing/>
        <w:rPr>
          <w:rFonts w:asciiTheme="majorHAnsi" w:hAnsiTheme="majorHAnsi"/>
        </w:rPr>
      </w:pPr>
      <w:r w:rsidRPr="00445995">
        <w:rPr>
          <w:rFonts w:asciiTheme="majorHAnsi" w:hAnsiTheme="majorHAnsi"/>
        </w:rPr>
        <w:t>D’autre part, des indicateurs ont été développés par les pilotes à la demande des membres et personnalités qualifiées de la Commission spécialisée afin d’évaluer les progrès effectués dans la mise en œuvre des actions du PNACC-2. Au deuxième semestre 2021, 69 des 104 indicateurs de suivi ont pu être ren</w:t>
      </w:r>
      <w:r w:rsidRPr="00727FFC">
        <w:rPr>
          <w:rFonts w:asciiTheme="majorHAnsi" w:hAnsiTheme="majorHAnsi" w:cstheme="minorHAnsi"/>
          <w:szCs w:val="21"/>
        </w:rPr>
        <w:t>seignés.</w:t>
      </w:r>
    </w:p>
    <w:p w14:paraId="7801E220" w14:textId="77777777" w:rsidR="006D5177" w:rsidRPr="00445995" w:rsidRDefault="006D5177" w:rsidP="00EF6DB6">
      <w:pPr>
        <w:pStyle w:val="Titre4niveau4"/>
      </w:pPr>
      <w:bookmarkStart w:id="651" w:name="_Toc90285249"/>
      <w:r w:rsidRPr="00445995">
        <w:t>Articulation entre atténuation et adaptation au changement climatique</w:t>
      </w:r>
      <w:bookmarkEnd w:id="651"/>
    </w:p>
    <w:p w14:paraId="183172E6" w14:textId="4CE62CCE" w:rsidR="006D5177" w:rsidRPr="00C57D83" w:rsidRDefault="006D5177" w:rsidP="006D5177">
      <w:pPr>
        <w:contextualSpacing/>
        <w:rPr>
          <w:rFonts w:asciiTheme="majorHAnsi" w:hAnsiTheme="majorHAnsi"/>
        </w:rPr>
      </w:pPr>
      <w:r w:rsidRPr="00FE0D44">
        <w:rPr>
          <w:rFonts w:asciiTheme="majorHAnsi" w:hAnsiTheme="majorHAnsi"/>
        </w:rPr>
        <w:t xml:space="preserve">Sur le plan </w:t>
      </w:r>
      <w:r w:rsidRPr="00462D13">
        <w:rPr>
          <w:rFonts w:asciiTheme="majorHAnsi" w:hAnsiTheme="majorHAnsi"/>
        </w:rPr>
        <w:t xml:space="preserve">de l’articulation entre les politiques d’atténuation et d’adaptation, un rapprochement s’est opéré à partir du PNACC-2 et de </w:t>
      </w:r>
      <w:r w:rsidRPr="00F77E1D">
        <w:rPr>
          <w:rFonts w:asciiTheme="majorHAnsi" w:hAnsiTheme="majorHAnsi" w:cstheme="minorHAnsi"/>
          <w:szCs w:val="21"/>
        </w:rPr>
        <w:t>la SNBC-2</w:t>
      </w:r>
      <w:r w:rsidRPr="00445995">
        <w:rPr>
          <w:rFonts w:asciiTheme="majorHAnsi" w:hAnsiTheme="majorHAnsi"/>
        </w:rPr>
        <w:t>. Tandis que le PNACC-2 consacre une action spécifique à l’articulation entre les politiques d’atténuation et d’adaptation, la SNBC-2 mentionne explicitement les impacts du changement climatique, les synergies et compromis potentiels avec la politique d'adaptation dans plusieurs orientations de points de vigilance. Les impacts ont été également modélisés dans le scénario prospectif qui sous-tend la stratégie, notamment sur les consommations de chauffage et de climatisation, sur l'agriculture et sur la forêt. Le lancement de la nouvelle Stratégie française énergie climat le 11 octobre 2021 offre également des perspectives pour renforcer cette articulation des politiques climatiques, notamment en explicitant davantage les impacts du changement climatique</w:t>
      </w:r>
      <w:r w:rsidR="00734FEB">
        <w:rPr>
          <w:rFonts w:asciiTheme="majorHAnsi" w:hAnsiTheme="majorHAnsi"/>
        </w:rPr>
        <w:t xml:space="preserve"> dans le scénario de la SNBC-3.</w:t>
      </w:r>
    </w:p>
    <w:p w14:paraId="3C119841" w14:textId="77777777" w:rsidR="006D5177" w:rsidRPr="00FE0D44" w:rsidRDefault="006D5177" w:rsidP="00EF6DB6">
      <w:pPr>
        <w:pStyle w:val="Titre4niveau4"/>
      </w:pPr>
      <w:bookmarkStart w:id="652" w:name="_Toc90285250"/>
      <w:r w:rsidRPr="00FE0D44">
        <w:t>Articulation territoriale de la politique d’adaptation en métropole et en outre-mer</w:t>
      </w:r>
      <w:bookmarkEnd w:id="652"/>
    </w:p>
    <w:p w14:paraId="59754174" w14:textId="77777777" w:rsidR="006D5177" w:rsidRPr="00FB5D51" w:rsidRDefault="006D5177" w:rsidP="006D5177">
      <w:pPr>
        <w:contextualSpacing/>
        <w:rPr>
          <w:rFonts w:asciiTheme="majorHAnsi" w:hAnsiTheme="majorHAnsi"/>
        </w:rPr>
      </w:pPr>
      <w:r w:rsidRPr="00462D13">
        <w:rPr>
          <w:rFonts w:asciiTheme="majorHAnsi" w:hAnsiTheme="majorHAnsi"/>
        </w:rPr>
        <w:t>Sur le plan de l’articulation territoriale, un des objectifs majeurs du PNACC-2 est de renforcer la prise en compte des enjeux de l’adaptation au changement climatique dans les documents stratégiques et de planification régionaux et territoriaux et en particulier le</w:t>
      </w:r>
      <w:r w:rsidRPr="00FB5D51">
        <w:rPr>
          <w:rFonts w:asciiTheme="majorHAnsi" w:hAnsiTheme="majorHAnsi"/>
        </w:rPr>
        <w:t xml:space="preserve">s schémas régionaux d’aménagement, de développement durable et d’égalité des territoires (SRADDET) et les plans climat-air-énergie territoriaux (PCAET). </w:t>
      </w:r>
    </w:p>
    <w:p w14:paraId="025CDD7B" w14:textId="77777777" w:rsidR="006D5177" w:rsidRPr="00445995" w:rsidRDefault="006D5177" w:rsidP="006D5177">
      <w:pPr>
        <w:contextualSpacing/>
        <w:rPr>
          <w:rFonts w:asciiTheme="majorHAnsi" w:hAnsiTheme="majorHAnsi"/>
        </w:rPr>
      </w:pPr>
      <w:r w:rsidRPr="00FB5D51">
        <w:rPr>
          <w:rFonts w:asciiTheme="majorHAnsi" w:hAnsiTheme="majorHAnsi"/>
        </w:rPr>
        <w:t xml:space="preserve">Deux études sur l’intégration des Solutions d’adaptation fondées sur la Nature (SafN) dans les </w:t>
      </w:r>
      <w:r w:rsidRPr="0018173A">
        <w:rPr>
          <w:rFonts w:asciiTheme="majorHAnsi" w:hAnsiTheme="majorHAnsi" w:cstheme="minorHAnsi"/>
          <w:szCs w:val="21"/>
        </w:rPr>
        <w:t>Schéma</w:t>
      </w:r>
      <w:r>
        <w:rPr>
          <w:rFonts w:asciiTheme="majorHAnsi" w:hAnsiTheme="majorHAnsi" w:cstheme="minorHAnsi"/>
          <w:szCs w:val="21"/>
        </w:rPr>
        <w:t>s régionaux</w:t>
      </w:r>
      <w:r w:rsidRPr="0018173A">
        <w:rPr>
          <w:rFonts w:asciiTheme="majorHAnsi" w:hAnsiTheme="majorHAnsi" w:cstheme="minorHAnsi"/>
          <w:szCs w:val="21"/>
        </w:rPr>
        <w:t xml:space="preserve"> d'aménagement, de développement durable et d'égalité des territoires</w:t>
      </w:r>
      <w:r>
        <w:rPr>
          <w:rFonts w:asciiTheme="majorHAnsi" w:hAnsiTheme="majorHAnsi" w:cstheme="minorHAnsi"/>
          <w:szCs w:val="21"/>
        </w:rPr>
        <w:t xml:space="preserve"> (</w:t>
      </w:r>
      <w:r w:rsidRPr="00445995">
        <w:rPr>
          <w:rFonts w:asciiTheme="majorHAnsi" w:hAnsiTheme="majorHAnsi"/>
        </w:rPr>
        <w:t>SRADDET</w:t>
      </w:r>
      <w:r>
        <w:rPr>
          <w:rFonts w:asciiTheme="majorHAnsi" w:hAnsiTheme="majorHAnsi" w:cstheme="minorHAnsi"/>
          <w:szCs w:val="21"/>
        </w:rPr>
        <w:t>)</w:t>
      </w:r>
      <w:r w:rsidRPr="00445995">
        <w:rPr>
          <w:rFonts w:asciiTheme="majorHAnsi" w:hAnsiTheme="majorHAnsi"/>
        </w:rPr>
        <w:t xml:space="preserve"> d’une part et dans les </w:t>
      </w:r>
      <w:r>
        <w:rPr>
          <w:rFonts w:asciiTheme="majorHAnsi" w:hAnsiTheme="majorHAnsi" w:cstheme="minorHAnsi"/>
          <w:szCs w:val="21"/>
        </w:rPr>
        <w:t>Plans climat air énergie territoriaux (</w:t>
      </w:r>
      <w:r w:rsidRPr="00445995">
        <w:rPr>
          <w:rFonts w:asciiTheme="majorHAnsi" w:hAnsiTheme="majorHAnsi"/>
        </w:rPr>
        <w:t>PCAET</w:t>
      </w:r>
      <w:r>
        <w:rPr>
          <w:rFonts w:asciiTheme="majorHAnsi" w:hAnsiTheme="majorHAnsi" w:cstheme="minorHAnsi"/>
          <w:szCs w:val="21"/>
        </w:rPr>
        <w:t>)</w:t>
      </w:r>
      <w:r w:rsidRPr="00445995">
        <w:rPr>
          <w:rFonts w:asciiTheme="majorHAnsi" w:hAnsiTheme="majorHAnsi"/>
        </w:rPr>
        <w:t xml:space="preserve"> d’autre part, conduites dans le cadre du PNACC-2 et du Projet LIFE ARTISAN respectivement par le Cerema et l’Ademe, apportent des éléments d’éclairage sur les actions d’adaptation menées aux échelles régionale et locale.</w:t>
      </w:r>
    </w:p>
    <w:p w14:paraId="3FA95F19" w14:textId="77777777" w:rsidR="006D5177" w:rsidRPr="00C57D83" w:rsidRDefault="006D5177" w:rsidP="006D5177">
      <w:pPr>
        <w:contextualSpacing/>
        <w:rPr>
          <w:rFonts w:asciiTheme="majorHAnsi" w:hAnsiTheme="majorHAnsi"/>
        </w:rPr>
      </w:pPr>
      <w:r w:rsidRPr="00445995">
        <w:rPr>
          <w:rFonts w:asciiTheme="majorHAnsi" w:hAnsiTheme="majorHAnsi"/>
        </w:rPr>
        <w:t>L’étude pilotée par le Cerema montre que si l’adaptation au changement climatique fait partie des enjeux présents dans les SRADDET elle est moins visible dans les règles générales des SRADDET qui sont découplées des objectifs et que dans de nombreux SRADDET le lien entre l’adaptation et les autres enjeux n’est pas considéré. Par ailleurs, dans la pl</w:t>
      </w:r>
      <w:r w:rsidRPr="00C57D83">
        <w:rPr>
          <w:rFonts w:asciiTheme="majorHAnsi" w:hAnsiTheme="majorHAnsi"/>
        </w:rPr>
        <w:t>upart des cas, la mise en œuvre des actions d’adaptation est laissée à la charge des collectivités territoriales infra-régionales.</w:t>
      </w:r>
    </w:p>
    <w:p w14:paraId="5FB20A63" w14:textId="77777777" w:rsidR="006D5177" w:rsidRPr="00462D13" w:rsidRDefault="006D5177" w:rsidP="006D5177">
      <w:pPr>
        <w:contextualSpacing/>
        <w:rPr>
          <w:rFonts w:asciiTheme="majorHAnsi" w:hAnsiTheme="majorHAnsi"/>
        </w:rPr>
      </w:pPr>
      <w:r w:rsidRPr="00FE0D44">
        <w:rPr>
          <w:rFonts w:asciiTheme="majorHAnsi" w:hAnsiTheme="majorHAnsi"/>
        </w:rPr>
        <w:t>L’étude pilotée par l’Ademe montre que les PCAET intègrent effectivement des actions d’adaptation et des SafN, mais que ces actions manquent d’éléments opérationn</w:t>
      </w:r>
      <w:r w:rsidRPr="00462D13">
        <w:rPr>
          <w:rFonts w:asciiTheme="majorHAnsi" w:hAnsiTheme="majorHAnsi"/>
        </w:rPr>
        <w:t xml:space="preserve">els pour être mises en œuvre. </w:t>
      </w:r>
    </w:p>
    <w:p w14:paraId="4C4573AC" w14:textId="77777777" w:rsidR="006D5177" w:rsidRPr="00462D13" w:rsidRDefault="006D5177" w:rsidP="006D5177">
      <w:pPr>
        <w:contextualSpacing/>
        <w:rPr>
          <w:rFonts w:asciiTheme="majorHAnsi" w:hAnsiTheme="majorHAnsi"/>
        </w:rPr>
      </w:pPr>
    </w:p>
    <w:p w14:paraId="1F73630E" w14:textId="77777777" w:rsidR="006D5177" w:rsidRPr="00074A42" w:rsidRDefault="006D5177" w:rsidP="006D5177">
      <w:pPr>
        <w:contextualSpacing/>
        <w:rPr>
          <w:rFonts w:asciiTheme="majorHAnsi" w:hAnsiTheme="majorHAnsi"/>
        </w:rPr>
      </w:pPr>
      <w:r w:rsidRPr="00462D13">
        <w:rPr>
          <w:rFonts w:asciiTheme="majorHAnsi" w:hAnsiTheme="majorHAnsi"/>
        </w:rPr>
        <w:t xml:space="preserve">Du côté des territoires d’outre-mer on note également des avancées dans la prise en compte de l’adaptation au changement climatique depuis le lancement du PNACC-2, notamment à travers les </w:t>
      </w:r>
      <w:r w:rsidRPr="00FB5D51">
        <w:rPr>
          <w:rStyle w:val="ml-2"/>
          <w:rFonts w:asciiTheme="majorHAnsi" w:hAnsiTheme="majorHAnsi"/>
        </w:rPr>
        <w:t>contrats de convergence et de transformation (CCT) qui</w:t>
      </w:r>
      <w:r w:rsidRPr="007910A0">
        <w:rPr>
          <w:rFonts w:asciiTheme="majorHAnsi" w:hAnsiTheme="majorHAnsi"/>
        </w:rPr>
        <w:t xml:space="preserve"> présentent la stratégie adaptée dans chaque territoire en vue de réduire les écarts de développement avec la métropole. Ainsi, sur les 8 CCT signés en 2019, 4 comportent des projets contribuant directement à l'adaptation au changement cl</w:t>
      </w:r>
      <w:r w:rsidRPr="00074A42">
        <w:rPr>
          <w:rFonts w:asciiTheme="majorHAnsi" w:hAnsiTheme="majorHAnsi"/>
        </w:rPr>
        <w:t xml:space="preserve">imatique (Guadeloupe, Mayotte, La Réunion et Wallis-et-Futuna). </w:t>
      </w:r>
    </w:p>
    <w:p w14:paraId="28ABD433" w14:textId="77777777" w:rsidR="006D5177" w:rsidRPr="00074A42" w:rsidRDefault="006D5177" w:rsidP="006D5177">
      <w:pPr>
        <w:contextualSpacing/>
        <w:rPr>
          <w:rFonts w:asciiTheme="majorHAnsi" w:hAnsiTheme="majorHAnsi"/>
        </w:rPr>
      </w:pPr>
    </w:p>
    <w:p w14:paraId="6D923CA9" w14:textId="56F148F5" w:rsidR="006D5177" w:rsidRPr="00074A42" w:rsidRDefault="006D5177" w:rsidP="006D5177">
      <w:pPr>
        <w:contextualSpacing/>
        <w:rPr>
          <w:rFonts w:asciiTheme="majorHAnsi" w:hAnsiTheme="majorHAnsi"/>
        </w:rPr>
      </w:pPr>
      <w:r w:rsidRPr="00074A42">
        <w:rPr>
          <w:rFonts w:asciiTheme="majorHAnsi" w:hAnsiTheme="majorHAnsi"/>
        </w:rPr>
        <w:t>De plus en plus d’acteurs œuvrant à l’échelle régionale ou locale, en particulier les collectivités territoriales, expriment le besoin de fonder leurs réflexions et leurs stratégies d’adaptation sur davantage de données et connaissances climatiques régionales ou locales. Pour répondre à cette demande grandissante, des observatoires et des groupes d’experts ont été créés. Ainsi le nombre de régions pourvues d’observatoire est passé de 3 à 6, tandis que le nombre d’observatoires ou de groupe d’expert est passé</w:t>
      </w:r>
      <w:r w:rsidR="00734FEB">
        <w:rPr>
          <w:rFonts w:asciiTheme="majorHAnsi" w:hAnsiTheme="majorHAnsi"/>
        </w:rPr>
        <w:t xml:space="preserve"> de 17 à 27 entre 2020 et 2021.</w:t>
      </w:r>
    </w:p>
    <w:p w14:paraId="1E2E1A6E" w14:textId="77777777" w:rsidR="006D5177" w:rsidRPr="00074A42" w:rsidRDefault="006D5177" w:rsidP="00EF6DB6">
      <w:pPr>
        <w:pStyle w:val="Titre4niveau4"/>
      </w:pPr>
      <w:bookmarkStart w:id="653" w:name="_Toc90285251"/>
      <w:r w:rsidRPr="00074A42">
        <w:t>Normes et réglementations</w:t>
      </w:r>
      <w:bookmarkEnd w:id="653"/>
    </w:p>
    <w:p w14:paraId="6C918649" w14:textId="77777777" w:rsidR="006D5177" w:rsidRPr="00C57D83" w:rsidRDefault="006D5177" w:rsidP="006D5177">
      <w:pPr>
        <w:contextualSpacing/>
        <w:rPr>
          <w:rFonts w:asciiTheme="majorHAnsi" w:hAnsiTheme="majorHAnsi"/>
        </w:rPr>
      </w:pPr>
      <w:r w:rsidRPr="00091833">
        <w:rPr>
          <w:rFonts w:asciiTheme="majorHAnsi" w:hAnsiTheme="majorHAnsi" w:cstheme="minorHAnsi"/>
          <w:szCs w:val="21"/>
        </w:rPr>
        <w:t xml:space="preserve">La </w:t>
      </w:r>
      <w:r>
        <w:rPr>
          <w:rFonts w:asciiTheme="majorHAnsi" w:hAnsiTheme="majorHAnsi" w:cstheme="minorHAnsi"/>
          <w:szCs w:val="21"/>
        </w:rPr>
        <w:t>France a participé activement aux travaux internationaux pour renforcer la place de l’</w:t>
      </w:r>
      <w:r w:rsidRPr="00445995">
        <w:rPr>
          <w:rFonts w:asciiTheme="majorHAnsi" w:hAnsiTheme="majorHAnsi"/>
        </w:rPr>
        <w:t xml:space="preserve">adaptation au changement climatique </w:t>
      </w:r>
      <w:r>
        <w:rPr>
          <w:rFonts w:asciiTheme="majorHAnsi" w:hAnsiTheme="majorHAnsi" w:cstheme="minorHAnsi"/>
          <w:szCs w:val="21"/>
        </w:rPr>
        <w:t>dans le</w:t>
      </w:r>
      <w:r w:rsidRPr="00091833">
        <w:rPr>
          <w:rFonts w:asciiTheme="majorHAnsi" w:hAnsiTheme="majorHAnsi" w:cstheme="minorHAnsi"/>
          <w:szCs w:val="21"/>
        </w:rPr>
        <w:t xml:space="preserve"> champ normatif</w:t>
      </w:r>
      <w:r>
        <w:rPr>
          <w:rFonts w:asciiTheme="majorHAnsi" w:hAnsiTheme="majorHAnsi" w:cstheme="minorHAnsi"/>
          <w:szCs w:val="21"/>
        </w:rPr>
        <w:t xml:space="preserve">. A présent </w:t>
      </w:r>
      <w:r w:rsidRPr="00445995">
        <w:rPr>
          <w:rFonts w:asciiTheme="majorHAnsi" w:hAnsiTheme="majorHAnsi"/>
        </w:rPr>
        <w:t xml:space="preserve">4 normes ISO portant sur le changement climatique dont 3 </w:t>
      </w:r>
      <w:r>
        <w:rPr>
          <w:rFonts w:asciiTheme="majorHAnsi" w:hAnsiTheme="majorHAnsi" w:cstheme="minorHAnsi"/>
          <w:szCs w:val="21"/>
        </w:rPr>
        <w:t>consacrées</w:t>
      </w:r>
      <w:r w:rsidRPr="00445995">
        <w:rPr>
          <w:rFonts w:asciiTheme="majorHAnsi" w:hAnsiTheme="majorHAnsi"/>
        </w:rPr>
        <w:t xml:space="preserve"> spécifiquement à l'adaptation. A destination des collectivités territoriales pour certaines, des entreprises pour d’autres, et proposant des lignes directrices, ces normes complètent le dispositif réglementaire sur le climat (ex</w:t>
      </w:r>
      <w:r w:rsidRPr="00445995">
        <w:rPr>
          <w:rFonts w:ascii="Calibri" w:hAnsi="Calibri"/>
        </w:rPr>
        <w:t> </w:t>
      </w:r>
      <w:r w:rsidRPr="00445995">
        <w:rPr>
          <w:rFonts w:asciiTheme="majorHAnsi" w:hAnsiTheme="majorHAnsi"/>
        </w:rPr>
        <w:t>: SRADDET, PCAET, etc.) et devraient permettre d</w:t>
      </w:r>
      <w:r w:rsidRPr="00445995">
        <w:t>’</w:t>
      </w:r>
      <w:r w:rsidRPr="00445995">
        <w:rPr>
          <w:rFonts w:asciiTheme="majorHAnsi" w:hAnsiTheme="majorHAnsi"/>
        </w:rPr>
        <w:t>inciter plus fortement les acteurs publics comme privés à prendre en compte les impacts du changement climatique dans leurs stratégies.</w:t>
      </w:r>
    </w:p>
    <w:p w14:paraId="27913DA1" w14:textId="77777777" w:rsidR="006D5177" w:rsidRPr="00462D13" w:rsidRDefault="006D5177" w:rsidP="00EF6DB6">
      <w:pPr>
        <w:pStyle w:val="Titre4niveau4"/>
      </w:pPr>
      <w:bookmarkStart w:id="654" w:name="_Toc90285252"/>
      <w:r w:rsidRPr="00462D13">
        <w:t>Prévention des risques naturels</w:t>
      </w:r>
      <w:bookmarkEnd w:id="654"/>
    </w:p>
    <w:p w14:paraId="40F8933C" w14:textId="77777777" w:rsidR="006D5177" w:rsidRPr="00FB5D51" w:rsidRDefault="006D5177" w:rsidP="006D5177">
      <w:pPr>
        <w:contextualSpacing/>
        <w:rPr>
          <w:rFonts w:asciiTheme="majorHAnsi" w:hAnsiTheme="majorHAnsi"/>
        </w:rPr>
      </w:pPr>
      <w:r w:rsidRPr="00462D13">
        <w:rPr>
          <w:rFonts w:asciiTheme="majorHAnsi" w:hAnsiTheme="majorHAnsi"/>
        </w:rPr>
        <w:t>Du côté de la prévention et de la gestion des risques, on constate un renforcement des moyens pour faire face à l’augmentation des risques d’incendie, de vagues de chaleur, de précipitations extrêmes et de retrait-gonfleme</w:t>
      </w:r>
      <w:r w:rsidRPr="00FB5D51">
        <w:rPr>
          <w:rFonts w:asciiTheme="majorHAnsi" w:hAnsiTheme="majorHAnsi"/>
        </w:rPr>
        <w:t>nt d’argile.</w:t>
      </w:r>
    </w:p>
    <w:p w14:paraId="1B3530C7" w14:textId="77777777" w:rsidR="006D5177" w:rsidRPr="00FB5D51" w:rsidRDefault="006D5177" w:rsidP="006D5177">
      <w:pPr>
        <w:contextualSpacing/>
        <w:rPr>
          <w:rFonts w:asciiTheme="majorHAnsi" w:hAnsiTheme="majorHAnsi"/>
        </w:rPr>
      </w:pPr>
    </w:p>
    <w:p w14:paraId="629CFCCF" w14:textId="77777777" w:rsidR="006D5177" w:rsidRPr="00074A42" w:rsidRDefault="006D5177" w:rsidP="006D5177">
      <w:pPr>
        <w:contextualSpacing/>
        <w:rPr>
          <w:rFonts w:asciiTheme="majorHAnsi" w:hAnsiTheme="majorHAnsi"/>
        </w:rPr>
      </w:pPr>
      <w:r w:rsidRPr="007910A0">
        <w:rPr>
          <w:rFonts w:asciiTheme="majorHAnsi" w:hAnsiTheme="majorHAnsi"/>
        </w:rPr>
        <w:t>Bien que les campagnes interministérielles annuelles de communication et de sensibilisation sur les bons comportements à adopter en cas de risque naturel soient menées depuis longtemps déjà, elles ont récemment évolué vers une meilleure prise</w:t>
      </w:r>
      <w:r w:rsidRPr="00074A42">
        <w:rPr>
          <w:rFonts w:asciiTheme="majorHAnsi" w:hAnsiTheme="majorHAnsi"/>
        </w:rPr>
        <w:t xml:space="preserve"> en compte des conséquences du changement climatique. Ainsi, la campagne de communication pour la prévention des feux de forêts, qui était menée uniquement dans les 32 départements du Sud de la France jusqu’en 2019, a été élargie à l’ensemble du territoire métropolitain et à tous les végétaux à partir de 2020 du fait de l’accroissement du territoire concerné par ce risque. </w:t>
      </w:r>
    </w:p>
    <w:p w14:paraId="3B9B8C15" w14:textId="77777777" w:rsidR="006D5177" w:rsidRPr="00074A42" w:rsidRDefault="006D5177" w:rsidP="006D5177">
      <w:pPr>
        <w:contextualSpacing/>
        <w:rPr>
          <w:rFonts w:asciiTheme="majorHAnsi" w:hAnsiTheme="majorHAnsi"/>
        </w:rPr>
      </w:pPr>
    </w:p>
    <w:p w14:paraId="5959D745" w14:textId="77777777" w:rsidR="006D5177" w:rsidRPr="00074A42" w:rsidRDefault="006D5177" w:rsidP="006D5177">
      <w:pPr>
        <w:contextualSpacing/>
        <w:rPr>
          <w:rFonts w:asciiTheme="majorHAnsi" w:hAnsiTheme="majorHAnsi"/>
        </w:rPr>
      </w:pPr>
      <w:r w:rsidRPr="00074A42">
        <w:rPr>
          <w:rFonts w:asciiTheme="majorHAnsi" w:hAnsiTheme="majorHAnsi"/>
        </w:rPr>
        <w:t>En ce qui concerne les risques liés à l’augmentation de la température, un retour d’expériences a été organisé suite aux deux épisodes de canicule de 2019. Il a permis d’acter la nécessité de mettre en place un plan national de gestion des vagues de chaleur pour mieux lutter contre l’impact des vagues de chaleur sur la vie quotidienne des Français, la continuité des services publics essentiels, la vie économique, les milieux et ressources naturels.</w:t>
      </w:r>
    </w:p>
    <w:p w14:paraId="66A46381" w14:textId="77777777" w:rsidR="006D5177" w:rsidRPr="00074A42" w:rsidRDefault="006D5177" w:rsidP="006D5177">
      <w:pPr>
        <w:contextualSpacing/>
        <w:rPr>
          <w:rFonts w:asciiTheme="majorHAnsi" w:hAnsiTheme="majorHAnsi"/>
        </w:rPr>
      </w:pPr>
    </w:p>
    <w:p w14:paraId="139AB998" w14:textId="15FC7E63" w:rsidR="006D5177" w:rsidRPr="00734FEB" w:rsidRDefault="006D5177" w:rsidP="006D5177">
      <w:pPr>
        <w:contextualSpacing/>
        <w:rPr>
          <w:rFonts w:asciiTheme="majorHAnsi" w:eastAsia="Liberation Sans;Arial" w:hAnsiTheme="majorHAnsi" w:cstheme="minorHAnsi"/>
          <w:color w:val="000000"/>
          <w:szCs w:val="21"/>
        </w:rPr>
      </w:pPr>
      <w:r w:rsidRPr="00074A42">
        <w:rPr>
          <w:rFonts w:asciiTheme="majorHAnsi" w:hAnsiTheme="majorHAnsi"/>
        </w:rPr>
        <w:t xml:space="preserve">En ce qui concerne le risque de retrait gonflement d’argile (RGA), des actions ont été menées pour renforcer les dispositions constructives et pour informer les futurs acquéreurs de terrain. En effet, un nouveau dispositif a été mis en place en 2018 dans le cadre de la loi ELAN visant </w:t>
      </w:r>
      <w:r w:rsidRPr="00074A42">
        <w:rPr>
          <w:rFonts w:asciiTheme="majorHAnsi" w:eastAsia="Liberation Sans;Arial" w:hAnsiTheme="majorHAnsi"/>
          <w:color w:val="000000"/>
        </w:rPr>
        <w:t xml:space="preserve">à garantir que les nouvelles maisons soient construites avec les techniques de construction (fondations notamment) adaptées pour éviter les dommages liés au retrait-gonflement des argiles. Depuis le </w:t>
      </w:r>
      <w:r w:rsidR="006518EF" w:rsidRPr="009F4180">
        <w:t>1</w:t>
      </w:r>
      <w:r w:rsidR="006518EF" w:rsidRPr="007F47EF">
        <w:rPr>
          <w:vertAlign w:val="superscript"/>
        </w:rPr>
        <w:t>er</w:t>
      </w:r>
      <w:r w:rsidRPr="00074A42">
        <w:rPr>
          <w:rFonts w:asciiTheme="majorHAnsi" w:eastAsia="Liberation Sans;Arial" w:hAnsiTheme="majorHAnsi"/>
          <w:color w:val="000000"/>
        </w:rPr>
        <w:t xml:space="preserve"> octobre 2020, en cas de vente d’un terrain constructible situé en zone argileuse d’exposition moyenne ou forte, une étude géotechnique préalable doit être fournie par le vendeur afin que l’acquéreur soit informé de la nature du terrain.</w:t>
      </w:r>
    </w:p>
    <w:p w14:paraId="31CEA701" w14:textId="77777777" w:rsidR="006D5177" w:rsidRPr="00FA4440" w:rsidRDefault="006D5177" w:rsidP="00EF6DB6">
      <w:pPr>
        <w:pStyle w:val="Titre4niveau4"/>
      </w:pPr>
      <w:bookmarkStart w:id="655" w:name="_Toc90285253"/>
      <w:r w:rsidRPr="00FA4440">
        <w:t>Protection des ressources et milieux naturels</w:t>
      </w:r>
      <w:bookmarkEnd w:id="655"/>
    </w:p>
    <w:p w14:paraId="20B8EE51"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Du côté de la préservation des ressources et milieux naturels, on constate que les acteurs de la protection de la biodiversité s’emparent de plus en plus des enjeux de l’adaptation au changement climatique. Des actions sont menées à tous les niveaux pour renforcer la résilience des écosystèmes</w:t>
      </w:r>
      <w:r w:rsidRPr="00FA4440">
        <w:rPr>
          <w:rFonts w:ascii="Calibri" w:hAnsi="Calibri" w:cs="Calibri"/>
          <w:szCs w:val="21"/>
        </w:rPr>
        <w:t> </w:t>
      </w:r>
      <w:r w:rsidRPr="00FA4440">
        <w:rPr>
          <w:rFonts w:asciiTheme="majorHAnsi" w:hAnsiTheme="majorHAnsi" w:cstheme="minorHAnsi"/>
          <w:szCs w:val="21"/>
        </w:rPr>
        <w:t>et limiter la rar</w:t>
      </w:r>
      <w:r w:rsidRPr="00FA4440">
        <w:rPr>
          <w:rFonts w:cs="Marianne"/>
          <w:szCs w:val="21"/>
        </w:rPr>
        <w:t>é</w:t>
      </w:r>
      <w:r w:rsidRPr="00FA4440">
        <w:rPr>
          <w:rFonts w:asciiTheme="majorHAnsi" w:hAnsiTheme="majorHAnsi" w:cstheme="minorHAnsi"/>
          <w:szCs w:val="21"/>
        </w:rPr>
        <w:t>faction des ressources naturelles</w:t>
      </w:r>
      <w:r w:rsidRPr="00FA4440">
        <w:rPr>
          <w:rFonts w:ascii="Calibri" w:hAnsi="Calibri" w:cs="Calibri"/>
          <w:szCs w:val="21"/>
        </w:rPr>
        <w:t> </w:t>
      </w:r>
      <w:r w:rsidRPr="00FA4440">
        <w:rPr>
          <w:rFonts w:asciiTheme="majorHAnsi" w:hAnsiTheme="majorHAnsi" w:cstheme="minorHAnsi"/>
          <w:szCs w:val="21"/>
        </w:rPr>
        <w:t xml:space="preserve">: </w:t>
      </w:r>
      <w:r w:rsidRPr="00FA4440">
        <w:rPr>
          <w:rFonts w:cs="Marianne"/>
          <w:szCs w:val="21"/>
        </w:rPr>
        <w:t>é</w:t>
      </w:r>
      <w:r w:rsidRPr="00FA4440">
        <w:rPr>
          <w:rFonts w:asciiTheme="majorHAnsi" w:hAnsiTheme="majorHAnsi" w:cstheme="minorHAnsi"/>
          <w:szCs w:val="21"/>
        </w:rPr>
        <w:t>tudes d</w:t>
      </w:r>
      <w:r w:rsidRPr="00FA4440">
        <w:rPr>
          <w:rFonts w:cs="Marianne"/>
          <w:szCs w:val="21"/>
        </w:rPr>
        <w:t>’</w:t>
      </w:r>
      <w:r w:rsidRPr="00FA4440">
        <w:rPr>
          <w:rFonts w:asciiTheme="majorHAnsi" w:hAnsiTheme="majorHAnsi" w:cstheme="minorHAnsi"/>
          <w:szCs w:val="21"/>
        </w:rPr>
        <w:t>impacts du changement climatique sur la quantit</w:t>
      </w:r>
      <w:r w:rsidRPr="00FA4440">
        <w:rPr>
          <w:rFonts w:cs="Marianne"/>
          <w:szCs w:val="21"/>
        </w:rPr>
        <w:t>é</w:t>
      </w:r>
      <w:r w:rsidRPr="00FA4440">
        <w:rPr>
          <w:rFonts w:asciiTheme="majorHAnsi" w:hAnsiTheme="majorHAnsi" w:cstheme="minorHAnsi"/>
          <w:szCs w:val="21"/>
        </w:rPr>
        <w:t xml:space="preserve"> et la qualit</w:t>
      </w:r>
      <w:r w:rsidRPr="00FA4440">
        <w:rPr>
          <w:rFonts w:cs="Marianne"/>
          <w:szCs w:val="21"/>
        </w:rPr>
        <w:t>é</w:t>
      </w:r>
      <w:r w:rsidRPr="00FA4440">
        <w:rPr>
          <w:rFonts w:asciiTheme="majorHAnsi" w:hAnsiTheme="majorHAnsi" w:cstheme="minorHAnsi"/>
          <w:szCs w:val="21"/>
        </w:rPr>
        <w:t xml:space="preserve"> des ressources en eau, plan d</w:t>
      </w:r>
      <w:r w:rsidRPr="00FA4440">
        <w:rPr>
          <w:rFonts w:cs="Marianne"/>
          <w:szCs w:val="21"/>
        </w:rPr>
        <w:t>’</w:t>
      </w:r>
      <w:r w:rsidRPr="00FA4440">
        <w:rPr>
          <w:rFonts w:asciiTheme="majorHAnsi" w:hAnsiTheme="majorHAnsi" w:cstheme="minorHAnsi"/>
          <w:szCs w:val="21"/>
        </w:rPr>
        <w:t>adaptation des comit</w:t>
      </w:r>
      <w:r w:rsidRPr="00FA4440">
        <w:rPr>
          <w:rFonts w:cs="Marianne"/>
          <w:szCs w:val="21"/>
        </w:rPr>
        <w:t>é</w:t>
      </w:r>
      <w:r w:rsidRPr="00FA4440">
        <w:rPr>
          <w:rFonts w:asciiTheme="majorHAnsi" w:hAnsiTheme="majorHAnsi" w:cstheme="minorHAnsi"/>
          <w:szCs w:val="21"/>
        </w:rPr>
        <w:t>s de bassins, diagnostic de vuln</w:t>
      </w:r>
      <w:r w:rsidRPr="00FA4440">
        <w:rPr>
          <w:rFonts w:cs="Marianne"/>
          <w:szCs w:val="21"/>
        </w:rPr>
        <w:t>é</w:t>
      </w:r>
      <w:r w:rsidRPr="00FA4440">
        <w:rPr>
          <w:rFonts w:asciiTheme="majorHAnsi" w:hAnsiTheme="majorHAnsi" w:cstheme="minorHAnsi"/>
          <w:szCs w:val="21"/>
        </w:rPr>
        <w:t xml:space="preserve">rabilité aux impacts du changement climatique dans les aires protégées, gestion souple du trait de côte, renouvellement et création de nouveaux vergers à graines pour améliorer la résilience des forêts, projets de restauration écologique, etc. </w:t>
      </w:r>
    </w:p>
    <w:p w14:paraId="7120C636" w14:textId="77777777" w:rsidR="006D5177" w:rsidRPr="00FA4440" w:rsidRDefault="006D5177" w:rsidP="00EF6DB6">
      <w:pPr>
        <w:pStyle w:val="Titre4niveau4"/>
      </w:pPr>
      <w:bookmarkStart w:id="656" w:name="_Toc90285254"/>
      <w:r w:rsidRPr="00FA4440">
        <w:t>Solutions d’adaptation au changement climatique fondées sur la Nature</w:t>
      </w:r>
      <w:bookmarkEnd w:id="656"/>
    </w:p>
    <w:p w14:paraId="51D89EA8"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Par ailleurs, au-delà des impacts du changement climatique perçus sur les écosystèmes, la nature est également de plus en plus considérée par les acteurs de la biodiversité et de l’adaptation comme source de solutions pour s’adapter au changement climatique. Ainsi, de nombreuses actions du PNACC-2 portent sur les solutions fondées sur la Nature pour l’adaptation au changement climatique (SafN)</w:t>
      </w:r>
      <w:r w:rsidRPr="00FA4440">
        <w:rPr>
          <w:rFonts w:ascii="Calibri" w:hAnsi="Calibri" w:cs="Calibri"/>
          <w:szCs w:val="21"/>
        </w:rPr>
        <w:t> </w:t>
      </w:r>
      <w:r w:rsidRPr="00FA4440">
        <w:rPr>
          <w:rFonts w:asciiTheme="majorHAnsi" w:hAnsiTheme="majorHAnsi" w:cstheme="minorHAnsi"/>
          <w:szCs w:val="21"/>
        </w:rPr>
        <w:t>: protection et restauration de mangroves en Martinique, restauration des milieux aquatiques, des habitats et des écosystèmes dans les 6 bassins versants métropolitains, production d’une brochure à destination des élus et porteurs de projets de territoire valorisant le rôle des espaces naturels dans la prévention des risques naturels (submersion marine, érosion côtière, inondation), lancement du projet LIFE ARTISAN, etc.</w:t>
      </w:r>
    </w:p>
    <w:p w14:paraId="2FA20CEB" w14:textId="77777777" w:rsidR="006D5177" w:rsidRPr="00FA4440" w:rsidRDefault="006D5177" w:rsidP="00EF6DB6">
      <w:pPr>
        <w:pStyle w:val="Titre4niveau4"/>
      </w:pPr>
      <w:bookmarkStart w:id="657" w:name="_Toc90285255"/>
      <w:r w:rsidRPr="00FA4440">
        <w:t>Adaptation des filières économiques au changement climatique</w:t>
      </w:r>
      <w:bookmarkEnd w:id="657"/>
    </w:p>
    <w:p w14:paraId="16A4F648" w14:textId="77777777" w:rsidR="006D5177" w:rsidRPr="00FA4440" w:rsidRDefault="006D5177" w:rsidP="006D5177">
      <w:pPr>
        <w:contextualSpacing/>
        <w:rPr>
          <w:rFonts w:asciiTheme="majorHAnsi" w:hAnsiTheme="majorHAnsi" w:cstheme="minorHAnsi"/>
          <w:szCs w:val="21"/>
        </w:rPr>
      </w:pPr>
      <w:r>
        <w:rPr>
          <w:rFonts w:asciiTheme="majorHAnsi" w:hAnsiTheme="majorHAnsi" w:cstheme="minorHAnsi"/>
          <w:szCs w:val="21"/>
        </w:rPr>
        <w:t xml:space="preserve">On constate des disparités d’avancement entre </w:t>
      </w:r>
      <w:r w:rsidRPr="00FA4440">
        <w:rPr>
          <w:rFonts w:asciiTheme="majorHAnsi" w:hAnsiTheme="majorHAnsi" w:cstheme="minorHAnsi"/>
          <w:szCs w:val="21"/>
        </w:rPr>
        <w:t>filières économiques</w:t>
      </w:r>
      <w:r>
        <w:rPr>
          <w:rFonts w:asciiTheme="majorHAnsi" w:hAnsiTheme="majorHAnsi" w:cstheme="minorHAnsi"/>
          <w:szCs w:val="21"/>
        </w:rPr>
        <w:t>.</w:t>
      </w:r>
    </w:p>
    <w:p w14:paraId="5188E23A" w14:textId="77777777" w:rsidR="006D5177" w:rsidRPr="00FA4440" w:rsidRDefault="006D5177" w:rsidP="006D5177">
      <w:pPr>
        <w:contextualSpacing/>
        <w:rPr>
          <w:rFonts w:asciiTheme="majorHAnsi" w:hAnsiTheme="majorHAnsi" w:cstheme="minorHAnsi"/>
          <w:szCs w:val="21"/>
        </w:rPr>
      </w:pPr>
    </w:p>
    <w:p w14:paraId="0B5B9C25"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Du côté de l’agriculture,</w:t>
      </w:r>
      <w:r w:rsidRPr="00E7414A">
        <w:rPr>
          <w:rFonts w:asciiTheme="majorHAnsi" w:hAnsiTheme="majorHAnsi" w:cstheme="minorHAnsi"/>
          <w:szCs w:val="21"/>
        </w:rPr>
        <w:t xml:space="preserve"> </w:t>
      </w:r>
      <w:r w:rsidRPr="00FA4440">
        <w:rPr>
          <w:rFonts w:asciiTheme="majorHAnsi" w:hAnsiTheme="majorHAnsi" w:cstheme="minorHAnsi"/>
          <w:szCs w:val="21"/>
        </w:rPr>
        <w:t>le plan de relance a permis de financer une mesure d’aide aux investissements dans le matériel permettant de faire face aux risques de gel et de grêle et la concertation nationale «</w:t>
      </w:r>
      <w:r w:rsidRPr="00FA4440">
        <w:rPr>
          <w:rFonts w:ascii="Calibri" w:hAnsi="Calibri" w:cs="Calibri"/>
          <w:szCs w:val="21"/>
        </w:rPr>
        <w:t> </w:t>
      </w:r>
      <w:r w:rsidRPr="00FA4440">
        <w:rPr>
          <w:rFonts w:asciiTheme="majorHAnsi" w:hAnsiTheme="majorHAnsi" w:cstheme="minorHAnsi"/>
          <w:szCs w:val="21"/>
        </w:rPr>
        <w:t>Varenne de l</w:t>
      </w:r>
      <w:r w:rsidRPr="00FA4440">
        <w:rPr>
          <w:rFonts w:cs="Marianne"/>
          <w:szCs w:val="21"/>
        </w:rPr>
        <w:t>’</w:t>
      </w:r>
      <w:r w:rsidRPr="00FA4440">
        <w:rPr>
          <w:rFonts w:asciiTheme="majorHAnsi" w:hAnsiTheme="majorHAnsi" w:cstheme="minorHAnsi"/>
          <w:szCs w:val="21"/>
        </w:rPr>
        <w:t xml:space="preserve">eau agricole et de l’adaptation au changement climatique » lancée le 28 mai 2021 </w:t>
      </w:r>
      <w:r>
        <w:rPr>
          <w:rFonts w:asciiTheme="majorHAnsi" w:hAnsiTheme="majorHAnsi" w:cstheme="minorHAnsi"/>
          <w:szCs w:val="21"/>
        </w:rPr>
        <w:t xml:space="preserve">a débouché sur l’obligation pour les </w:t>
      </w:r>
      <w:r>
        <w:t>toutes les filières de finaliser</w:t>
      </w:r>
      <w:r w:rsidRPr="002E7C46">
        <w:t xml:space="preserve"> une stratégie d’adaptation au c</w:t>
      </w:r>
      <w:r>
        <w:t>hangement climatique et de mettre</w:t>
      </w:r>
      <w:r w:rsidRPr="002E7C46">
        <w:t xml:space="preserve"> en place un plan d’actions d’ici à 2025</w:t>
      </w:r>
      <w:r>
        <w:rPr>
          <w:rFonts w:asciiTheme="majorHAnsi" w:hAnsiTheme="majorHAnsi" w:cstheme="minorHAnsi"/>
          <w:szCs w:val="21"/>
        </w:rPr>
        <w:t>.</w:t>
      </w:r>
    </w:p>
    <w:p w14:paraId="5481FF72" w14:textId="77777777" w:rsidR="006D5177" w:rsidRPr="00E764FD" w:rsidRDefault="006D5177" w:rsidP="006D5177">
      <w:pPr>
        <w:contextualSpacing/>
        <w:rPr>
          <w:rFonts w:asciiTheme="majorHAnsi" w:hAnsiTheme="majorHAnsi" w:cstheme="minorHAnsi"/>
          <w:szCs w:val="21"/>
        </w:rPr>
      </w:pPr>
    </w:p>
    <w:p w14:paraId="1A31A79C" w14:textId="77777777" w:rsidR="006D5177" w:rsidRDefault="006D5177" w:rsidP="006D5177">
      <w:pPr>
        <w:contextualSpacing/>
        <w:rPr>
          <w:rFonts w:asciiTheme="majorHAnsi" w:hAnsiTheme="majorHAnsi" w:cstheme="minorHAnsi"/>
          <w:szCs w:val="21"/>
        </w:rPr>
      </w:pPr>
      <w:r w:rsidRPr="00FA4440">
        <w:rPr>
          <w:rFonts w:asciiTheme="majorHAnsi" w:hAnsiTheme="majorHAnsi" w:cstheme="minorHAnsi"/>
          <w:szCs w:val="21"/>
        </w:rPr>
        <w:t>Du côté des filières de la forêt et du bois, l’adoption de la</w:t>
      </w:r>
      <w:r w:rsidRPr="00FA4440">
        <w:rPr>
          <w:rFonts w:ascii="Calibri" w:hAnsi="Calibri" w:cs="Calibri"/>
          <w:szCs w:val="21"/>
        </w:rPr>
        <w:t> </w:t>
      </w:r>
      <w:r w:rsidRPr="00FA4440">
        <w:rPr>
          <w:rFonts w:cs="Marianne"/>
          <w:szCs w:val="21"/>
        </w:rPr>
        <w:t>«</w:t>
      </w:r>
      <w:r w:rsidRPr="00FA4440">
        <w:rPr>
          <w:rFonts w:ascii="Calibri" w:hAnsi="Calibri" w:cs="Calibri"/>
          <w:szCs w:val="21"/>
        </w:rPr>
        <w:t> </w:t>
      </w:r>
      <w:r w:rsidRPr="00FA4440">
        <w:rPr>
          <w:rFonts w:asciiTheme="majorHAnsi" w:hAnsiTheme="majorHAnsi" w:cstheme="minorHAnsi"/>
          <w:szCs w:val="21"/>
        </w:rPr>
        <w:t>Feuille de route pour l</w:t>
      </w:r>
      <w:r w:rsidRPr="00FA4440">
        <w:rPr>
          <w:rFonts w:cs="Marianne"/>
          <w:szCs w:val="21"/>
        </w:rPr>
        <w:t>’</w:t>
      </w:r>
      <w:r w:rsidRPr="00FA4440">
        <w:rPr>
          <w:rFonts w:asciiTheme="majorHAnsi" w:hAnsiTheme="majorHAnsi" w:cstheme="minorHAnsi"/>
          <w:szCs w:val="21"/>
        </w:rPr>
        <w:t>adaptation des for</w:t>
      </w:r>
      <w:r w:rsidRPr="00FA4440">
        <w:rPr>
          <w:rFonts w:cs="Marianne"/>
          <w:szCs w:val="21"/>
        </w:rPr>
        <w:t>ê</w:t>
      </w:r>
      <w:r w:rsidRPr="00FA4440">
        <w:rPr>
          <w:rFonts w:asciiTheme="majorHAnsi" w:hAnsiTheme="majorHAnsi" w:cstheme="minorHAnsi"/>
          <w:szCs w:val="21"/>
        </w:rPr>
        <w:t>ts au changement climatique</w:t>
      </w:r>
      <w:r w:rsidRPr="00FA4440">
        <w:rPr>
          <w:rFonts w:ascii="Calibri" w:hAnsi="Calibri" w:cs="Calibri"/>
          <w:szCs w:val="21"/>
        </w:rPr>
        <w:t> </w:t>
      </w:r>
      <w:r w:rsidRPr="00FA4440">
        <w:rPr>
          <w:rFonts w:cs="Marianne"/>
          <w:szCs w:val="21"/>
        </w:rPr>
        <w:t>»</w:t>
      </w:r>
      <w:r w:rsidRPr="00FA4440">
        <w:rPr>
          <w:rFonts w:asciiTheme="majorHAnsi" w:hAnsiTheme="majorHAnsi" w:cstheme="minorHAnsi"/>
          <w:szCs w:val="21"/>
        </w:rPr>
        <w:t xml:space="preserve"> en d</w:t>
      </w:r>
      <w:r w:rsidRPr="00FA4440">
        <w:rPr>
          <w:rFonts w:cs="Marianne"/>
          <w:szCs w:val="21"/>
        </w:rPr>
        <w:t>é</w:t>
      </w:r>
      <w:r w:rsidRPr="00FA4440">
        <w:rPr>
          <w:rFonts w:asciiTheme="majorHAnsi" w:hAnsiTheme="majorHAnsi" w:cstheme="minorHAnsi"/>
          <w:szCs w:val="21"/>
        </w:rPr>
        <w:t>cembre 2020 a permis de lancer de nombreuses mesures en mati</w:t>
      </w:r>
      <w:r w:rsidRPr="00FA4440">
        <w:rPr>
          <w:rFonts w:cs="Marianne"/>
          <w:szCs w:val="21"/>
        </w:rPr>
        <w:t>è</w:t>
      </w:r>
      <w:r w:rsidRPr="00FA4440">
        <w:rPr>
          <w:rFonts w:asciiTheme="majorHAnsi" w:hAnsiTheme="majorHAnsi" w:cstheme="minorHAnsi"/>
          <w:szCs w:val="21"/>
        </w:rPr>
        <w:t>re de recherche et d’aide à l’investissement. Une des priorités de cette feuille de route concerne par exemple le renforcement de la recherche sur</w:t>
      </w:r>
      <w:r w:rsidRPr="00FA4440">
        <w:rPr>
          <w:rFonts w:ascii="Calibri" w:hAnsi="Calibri" w:cs="Calibri"/>
          <w:szCs w:val="21"/>
        </w:rPr>
        <w:t> </w:t>
      </w:r>
      <w:r w:rsidRPr="00FA4440">
        <w:rPr>
          <w:rFonts w:asciiTheme="majorHAnsi" w:hAnsiTheme="majorHAnsi" w:cstheme="minorHAnsi"/>
          <w:szCs w:val="21"/>
        </w:rPr>
        <w:t>les nouvelles essences et les ressources g</w:t>
      </w:r>
      <w:r w:rsidRPr="00FA4440">
        <w:rPr>
          <w:rFonts w:cs="Marianne"/>
          <w:szCs w:val="21"/>
        </w:rPr>
        <w:t>é</w:t>
      </w:r>
      <w:r w:rsidRPr="00FA4440">
        <w:rPr>
          <w:rFonts w:asciiTheme="majorHAnsi" w:hAnsiTheme="majorHAnsi" w:cstheme="minorHAnsi"/>
          <w:szCs w:val="21"/>
        </w:rPr>
        <w:t>n</w:t>
      </w:r>
      <w:r w:rsidRPr="00FA4440">
        <w:rPr>
          <w:rFonts w:cs="Marianne"/>
          <w:szCs w:val="21"/>
        </w:rPr>
        <w:t>é</w:t>
      </w:r>
      <w:r w:rsidRPr="00FA4440">
        <w:rPr>
          <w:rFonts w:asciiTheme="majorHAnsi" w:hAnsiTheme="majorHAnsi" w:cstheme="minorHAnsi"/>
          <w:szCs w:val="21"/>
        </w:rPr>
        <w:t>tiques foresti</w:t>
      </w:r>
      <w:r w:rsidRPr="00FA4440">
        <w:rPr>
          <w:rFonts w:cs="Marianne"/>
          <w:szCs w:val="21"/>
        </w:rPr>
        <w:t>è</w:t>
      </w:r>
      <w:r w:rsidRPr="00FA4440">
        <w:rPr>
          <w:rFonts w:asciiTheme="majorHAnsi" w:hAnsiTheme="majorHAnsi" w:cstheme="minorHAnsi"/>
          <w:szCs w:val="21"/>
        </w:rPr>
        <w:t>res, les nouveaux mod</w:t>
      </w:r>
      <w:r w:rsidRPr="00FA4440">
        <w:rPr>
          <w:rFonts w:cs="Marianne"/>
          <w:szCs w:val="21"/>
        </w:rPr>
        <w:t>è</w:t>
      </w:r>
      <w:r w:rsidRPr="00FA4440">
        <w:rPr>
          <w:rFonts w:asciiTheme="majorHAnsi" w:hAnsiTheme="majorHAnsi" w:cstheme="minorHAnsi"/>
          <w:szCs w:val="21"/>
        </w:rPr>
        <w:t>les sylvicoles, sur les m</w:t>
      </w:r>
      <w:r w:rsidRPr="00FA4440">
        <w:rPr>
          <w:rFonts w:cs="Marianne"/>
          <w:szCs w:val="21"/>
        </w:rPr>
        <w:t>é</w:t>
      </w:r>
      <w:r w:rsidRPr="00FA4440">
        <w:rPr>
          <w:rFonts w:asciiTheme="majorHAnsi" w:hAnsiTheme="majorHAnsi" w:cstheme="minorHAnsi"/>
          <w:szCs w:val="21"/>
        </w:rPr>
        <w:t>langes et le comportement des essences en interactions</w:t>
      </w:r>
      <w:r w:rsidRPr="00FA4440">
        <w:rPr>
          <w:rFonts w:ascii="Calibri" w:hAnsi="Calibri" w:cs="Calibri"/>
          <w:szCs w:val="21"/>
        </w:rPr>
        <w:t> </w:t>
      </w:r>
      <w:r w:rsidRPr="00FA4440">
        <w:rPr>
          <w:rFonts w:asciiTheme="majorHAnsi" w:hAnsiTheme="majorHAnsi" w:cstheme="minorHAnsi"/>
          <w:szCs w:val="21"/>
        </w:rPr>
        <w:t>; les diagnostics p</w:t>
      </w:r>
      <w:r w:rsidRPr="00FA4440">
        <w:rPr>
          <w:rFonts w:cs="Marianne"/>
          <w:szCs w:val="21"/>
        </w:rPr>
        <w:t>é</w:t>
      </w:r>
      <w:r w:rsidRPr="00FA4440">
        <w:rPr>
          <w:rFonts w:asciiTheme="majorHAnsi" w:hAnsiTheme="majorHAnsi" w:cstheme="minorHAnsi"/>
          <w:szCs w:val="21"/>
        </w:rPr>
        <w:t>doclimatiques, les nouveaux outils et leviers num</w:t>
      </w:r>
      <w:r w:rsidRPr="00FA4440">
        <w:rPr>
          <w:rFonts w:cs="Marianne"/>
          <w:szCs w:val="21"/>
        </w:rPr>
        <w:t>é</w:t>
      </w:r>
      <w:r w:rsidRPr="00FA4440">
        <w:rPr>
          <w:rFonts w:asciiTheme="majorHAnsi" w:hAnsiTheme="majorHAnsi" w:cstheme="minorHAnsi"/>
          <w:szCs w:val="21"/>
        </w:rPr>
        <w:t>riques (t</w:t>
      </w:r>
      <w:r w:rsidRPr="00FA4440">
        <w:rPr>
          <w:rFonts w:cs="Marianne"/>
          <w:szCs w:val="21"/>
        </w:rPr>
        <w:t>é</w:t>
      </w:r>
      <w:r w:rsidRPr="00FA4440">
        <w:rPr>
          <w:rFonts w:asciiTheme="majorHAnsi" w:hAnsiTheme="majorHAnsi" w:cstheme="minorHAnsi"/>
          <w:szCs w:val="21"/>
        </w:rPr>
        <w:t>l</w:t>
      </w:r>
      <w:r w:rsidRPr="00FA4440">
        <w:rPr>
          <w:rFonts w:cs="Marianne"/>
          <w:szCs w:val="21"/>
        </w:rPr>
        <w:t>é</w:t>
      </w:r>
      <w:r w:rsidRPr="00FA4440">
        <w:rPr>
          <w:rFonts w:asciiTheme="majorHAnsi" w:hAnsiTheme="majorHAnsi" w:cstheme="minorHAnsi"/>
          <w:szCs w:val="21"/>
        </w:rPr>
        <w:t>d</w:t>
      </w:r>
      <w:r w:rsidRPr="00FA4440">
        <w:rPr>
          <w:rFonts w:cs="Marianne"/>
          <w:szCs w:val="21"/>
        </w:rPr>
        <w:t>é</w:t>
      </w:r>
      <w:r w:rsidRPr="00FA4440">
        <w:rPr>
          <w:rFonts w:asciiTheme="majorHAnsi" w:hAnsiTheme="majorHAnsi" w:cstheme="minorHAnsi"/>
          <w:szCs w:val="21"/>
        </w:rPr>
        <w:t>tection, LiDAR, etc.)</w:t>
      </w:r>
      <w:r w:rsidRPr="00FA4440">
        <w:rPr>
          <w:rFonts w:ascii="Calibri" w:hAnsi="Calibri" w:cs="Calibri"/>
          <w:szCs w:val="21"/>
        </w:rPr>
        <w:t> </w:t>
      </w:r>
      <w:r w:rsidRPr="00FA4440">
        <w:rPr>
          <w:rFonts w:asciiTheme="majorHAnsi" w:hAnsiTheme="majorHAnsi" w:cstheme="minorHAnsi"/>
          <w:szCs w:val="21"/>
        </w:rPr>
        <w:t>; les impacts du changement climatique sur les for</w:t>
      </w:r>
      <w:r w:rsidRPr="00FA4440">
        <w:rPr>
          <w:rFonts w:cs="Marianne"/>
          <w:szCs w:val="21"/>
        </w:rPr>
        <w:t>ê</w:t>
      </w:r>
      <w:r w:rsidRPr="00FA4440">
        <w:rPr>
          <w:rFonts w:asciiTheme="majorHAnsi" w:hAnsiTheme="majorHAnsi" w:cstheme="minorHAnsi"/>
          <w:szCs w:val="21"/>
        </w:rPr>
        <w:t>ts et sur la biodiversit</w:t>
      </w:r>
      <w:r w:rsidRPr="00FA4440">
        <w:rPr>
          <w:rFonts w:cs="Marianne"/>
          <w:szCs w:val="21"/>
        </w:rPr>
        <w:t>é</w:t>
      </w:r>
      <w:r w:rsidRPr="00FA4440">
        <w:rPr>
          <w:rFonts w:asciiTheme="majorHAnsi" w:hAnsiTheme="majorHAnsi" w:cstheme="minorHAnsi"/>
          <w:szCs w:val="21"/>
        </w:rPr>
        <w:t>, et sur les cons</w:t>
      </w:r>
      <w:r w:rsidRPr="00FA4440">
        <w:rPr>
          <w:rFonts w:cs="Marianne"/>
          <w:szCs w:val="21"/>
        </w:rPr>
        <w:t>é</w:t>
      </w:r>
      <w:r w:rsidRPr="00FA4440">
        <w:rPr>
          <w:rFonts w:asciiTheme="majorHAnsi" w:hAnsiTheme="majorHAnsi" w:cstheme="minorHAnsi"/>
          <w:szCs w:val="21"/>
        </w:rPr>
        <w:t xml:space="preserve">quences </w:t>
      </w:r>
      <w:r w:rsidRPr="00FA4440">
        <w:rPr>
          <w:rFonts w:cs="Marianne"/>
          <w:szCs w:val="21"/>
        </w:rPr>
        <w:t>é</w:t>
      </w:r>
      <w:r w:rsidRPr="00FA4440">
        <w:rPr>
          <w:rFonts w:asciiTheme="majorHAnsi" w:hAnsiTheme="majorHAnsi" w:cstheme="minorHAnsi"/>
          <w:szCs w:val="21"/>
        </w:rPr>
        <w:t>ventuelles sur l'exploitation forestière et le bois destinés aux entreprises de transformation, ainsi que sur leurs besoins d'adaptation. Une autre priorité de la feuille de route concerne l’accompagnement des propriétaires forestiers dans l’adaptation et prévoit par exemple des dispositifs d’aide à l’amélioration des peuplements, d’encouragement fiscal à l’investissement en forêt (DEFI) et un Compte d'Investissement Forestier et d'Assurance (CIFA).</w:t>
      </w:r>
      <w:r>
        <w:rPr>
          <w:rFonts w:asciiTheme="majorHAnsi" w:hAnsiTheme="majorHAnsi" w:cstheme="minorHAnsi"/>
          <w:szCs w:val="21"/>
        </w:rPr>
        <w:t xml:space="preserve"> Les actions d’adaptation issues des Assises de la forêt et du bois, concertation nationale lancée en octobre 2021, sont également venues par la suite renforcer la dynamique lancée avec cette feuille de route</w:t>
      </w:r>
      <w:r>
        <w:rPr>
          <w:rFonts w:ascii="Calibri" w:hAnsi="Calibri" w:cs="Calibri"/>
          <w:szCs w:val="21"/>
        </w:rPr>
        <w:t> </w:t>
      </w:r>
      <w:r>
        <w:rPr>
          <w:rFonts w:asciiTheme="majorHAnsi" w:hAnsiTheme="majorHAnsi" w:cstheme="minorHAnsi"/>
          <w:szCs w:val="21"/>
        </w:rPr>
        <w:t>:</w:t>
      </w:r>
    </w:p>
    <w:p w14:paraId="7DF7D46C" w14:textId="77777777" w:rsidR="006D5177" w:rsidRDefault="006D5177" w:rsidP="00BE086C">
      <w:pPr>
        <w:pStyle w:val="ListParagraph"/>
        <w:numPr>
          <w:ilvl w:val="0"/>
          <w:numId w:val="39"/>
        </w:numPr>
      </w:pPr>
      <w:r>
        <w:t>amélioration de l’</w:t>
      </w:r>
      <w:r w:rsidRPr="0049303A">
        <w:t>observation et</w:t>
      </w:r>
      <w:r>
        <w:t xml:space="preserve"> de la surveillance de la forêt</w:t>
      </w:r>
      <w:r w:rsidRPr="0049303A">
        <w:t xml:space="preserve"> avec la création d’un observatoire de la forêt à l’IGN</w:t>
      </w:r>
    </w:p>
    <w:p w14:paraId="279D41C0" w14:textId="77777777" w:rsidR="006D5177" w:rsidRDefault="006D5177" w:rsidP="00BE086C">
      <w:pPr>
        <w:pStyle w:val="ListParagraph"/>
        <w:numPr>
          <w:ilvl w:val="0"/>
          <w:numId w:val="39"/>
        </w:numPr>
      </w:pPr>
      <w:r>
        <w:t>m</w:t>
      </w:r>
      <w:r w:rsidRPr="005C35CF">
        <w:t>ise en place d’une bonification des aides France 2030 en faveur du renouvellement et de l’adaptation des forêts au changement climatique et abaissement du seuil d’obligation de diversification</w:t>
      </w:r>
    </w:p>
    <w:p w14:paraId="56F028CF" w14:textId="77777777" w:rsidR="006D5177" w:rsidRDefault="006D5177" w:rsidP="00BE086C">
      <w:pPr>
        <w:pStyle w:val="ListParagraph"/>
        <w:numPr>
          <w:ilvl w:val="0"/>
          <w:numId w:val="39"/>
        </w:numPr>
      </w:pPr>
      <w:r w:rsidRPr="00884273">
        <w:t>lancement d’un appel à projets R&amp;D sur l’adaptation des forêts au changement climatique</w:t>
      </w:r>
      <w:r>
        <w:t>, a</w:t>
      </w:r>
      <w:r w:rsidRPr="009A7EF5">
        <w:t>ctualisation de la carte nationale des zones soumises au risque incendie de forêt et végétation ainsi que la caractérisation de l’évolution de la sensibilité des interfaces au feu (métropole)</w:t>
      </w:r>
    </w:p>
    <w:p w14:paraId="565A60AB" w14:textId="77777777" w:rsidR="006D5177" w:rsidRDefault="006D5177" w:rsidP="00BE086C">
      <w:pPr>
        <w:pStyle w:val="ListParagraph"/>
        <w:numPr>
          <w:ilvl w:val="0"/>
          <w:numId w:val="39"/>
        </w:numPr>
      </w:pPr>
      <w:r>
        <w:t>c</w:t>
      </w:r>
      <w:r w:rsidRPr="00085A27">
        <w:t>réation d'une commission scientifique sur les essences d'avenir</w:t>
      </w:r>
      <w:r>
        <w:t xml:space="preserve"> et a</w:t>
      </w:r>
      <w:r w:rsidRPr="001E272B">
        <w:t>ugmentation de la capacité de production des essences</w:t>
      </w:r>
      <w:r>
        <w:t xml:space="preserve"> d’avenir</w:t>
      </w:r>
    </w:p>
    <w:p w14:paraId="643B674C" w14:textId="77777777" w:rsidR="006D5177" w:rsidRDefault="006D5177" w:rsidP="00BE086C">
      <w:pPr>
        <w:pStyle w:val="ListParagraph"/>
        <w:numPr>
          <w:ilvl w:val="0"/>
          <w:numId w:val="39"/>
        </w:numPr>
        <w:rPr>
          <w:rStyle w:val="ml-2"/>
        </w:rPr>
      </w:pPr>
      <w:r>
        <w:t>s</w:t>
      </w:r>
      <w:r w:rsidRPr="008B36E4">
        <w:t>implification et améliorat</w:t>
      </w:r>
      <w:r>
        <w:t>ion des obligations légales de d</w:t>
      </w:r>
      <w:r w:rsidRPr="008B36E4">
        <w:t>ébroussaillement</w:t>
      </w:r>
      <w:r>
        <w:t>.</w:t>
      </w:r>
    </w:p>
    <w:p w14:paraId="55F6AD05" w14:textId="77777777" w:rsidR="006D5177" w:rsidRPr="00FA4440" w:rsidRDefault="006D5177" w:rsidP="006D5177">
      <w:pPr>
        <w:contextualSpacing/>
      </w:pPr>
    </w:p>
    <w:p w14:paraId="73586D8F"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Dans les secteurs de la pêche et de l’aquaculture, des besoins importants en termes de recherche et de sensibilisation sur les impacts du changement climatique ont été identifiés.</w:t>
      </w:r>
    </w:p>
    <w:p w14:paraId="226FF180" w14:textId="77777777" w:rsidR="006D5177" w:rsidRPr="00FA4440" w:rsidRDefault="006D5177" w:rsidP="006D5177">
      <w:pPr>
        <w:contextualSpacing/>
        <w:rPr>
          <w:rFonts w:asciiTheme="majorHAnsi" w:hAnsiTheme="majorHAnsi" w:cstheme="minorHAnsi"/>
          <w:szCs w:val="21"/>
        </w:rPr>
      </w:pPr>
    </w:p>
    <w:p w14:paraId="3B907A5E"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Du côté du secteur du tourisme, ce sont les acteurs du tourisme en montagne qui se sont le plus emparés des enjeux d’adaptation au changement climatique. En effet, de plus en plus de territoires de montagne commencent à réfléchir à la sortie d’une économie exclusivement tournée vers le ski pour se reconvertir dans un tourisme «</w:t>
      </w:r>
      <w:r w:rsidRPr="00FA4440">
        <w:rPr>
          <w:rFonts w:ascii="Calibri" w:hAnsi="Calibri" w:cs="Calibri"/>
          <w:szCs w:val="21"/>
        </w:rPr>
        <w:t> </w:t>
      </w:r>
      <w:r w:rsidRPr="00FA4440">
        <w:rPr>
          <w:rFonts w:asciiTheme="majorHAnsi" w:hAnsiTheme="majorHAnsi" w:cstheme="minorHAnsi"/>
          <w:szCs w:val="21"/>
        </w:rPr>
        <w:t>4 saisons</w:t>
      </w:r>
      <w:r w:rsidRPr="00FA4440">
        <w:rPr>
          <w:rFonts w:ascii="Calibri" w:hAnsi="Calibri" w:cs="Calibri"/>
          <w:szCs w:val="21"/>
        </w:rPr>
        <w:t> </w:t>
      </w:r>
      <w:r w:rsidRPr="00FA4440">
        <w:rPr>
          <w:rFonts w:cs="Marianne"/>
          <w:szCs w:val="21"/>
        </w:rPr>
        <w:t>»</w:t>
      </w:r>
      <w:r w:rsidRPr="00FA4440">
        <w:rPr>
          <w:rFonts w:asciiTheme="majorHAnsi" w:hAnsiTheme="majorHAnsi" w:cstheme="minorHAnsi"/>
          <w:szCs w:val="21"/>
        </w:rPr>
        <w:t xml:space="preserve"> permettant de limiter la d</w:t>
      </w:r>
      <w:r w:rsidRPr="00FA4440">
        <w:rPr>
          <w:rFonts w:cs="Marianne"/>
          <w:szCs w:val="21"/>
        </w:rPr>
        <w:t>é</w:t>
      </w:r>
      <w:r w:rsidRPr="00FA4440">
        <w:rPr>
          <w:rFonts w:asciiTheme="majorHAnsi" w:hAnsiTheme="majorHAnsi" w:cstheme="minorHAnsi"/>
          <w:szCs w:val="21"/>
        </w:rPr>
        <w:t xml:space="preserve">pendance </w:t>
      </w:r>
      <w:r w:rsidRPr="00FA4440">
        <w:rPr>
          <w:rFonts w:cs="Marianne"/>
          <w:szCs w:val="21"/>
        </w:rPr>
        <w:t>à</w:t>
      </w:r>
      <w:r w:rsidRPr="00FA4440">
        <w:rPr>
          <w:rFonts w:asciiTheme="majorHAnsi" w:hAnsiTheme="majorHAnsi" w:cstheme="minorHAnsi"/>
          <w:szCs w:val="21"/>
        </w:rPr>
        <w:t xml:space="preserve"> un enneigement qui diminue avec le changement climatique.</w:t>
      </w:r>
    </w:p>
    <w:p w14:paraId="30B32AD6"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Le secteur du tourisme en outre-mer n’a pas encore intégré l’adaptation au changement climatique comme l’une de ses priorités. Mais quelques pistes pourraient permettre d’ancrer l’adaptation dans les territoires ultramarins</w:t>
      </w:r>
      <w:r w:rsidRPr="00FA4440">
        <w:rPr>
          <w:rFonts w:ascii="Calibri" w:hAnsi="Calibri" w:cs="Calibri"/>
          <w:szCs w:val="21"/>
        </w:rPr>
        <w:t> </w:t>
      </w:r>
      <w:r w:rsidRPr="00FA4440">
        <w:rPr>
          <w:rFonts w:asciiTheme="majorHAnsi" w:hAnsiTheme="majorHAnsi" w:cstheme="minorHAnsi"/>
          <w:szCs w:val="21"/>
        </w:rPr>
        <w:t>: d</w:t>
      </w:r>
      <w:r w:rsidRPr="00FA4440">
        <w:rPr>
          <w:rFonts w:cs="Marianne"/>
          <w:szCs w:val="21"/>
        </w:rPr>
        <w:t>’</w:t>
      </w:r>
      <w:r w:rsidRPr="00FA4440">
        <w:rPr>
          <w:rFonts w:asciiTheme="majorHAnsi" w:hAnsiTheme="majorHAnsi" w:cstheme="minorHAnsi"/>
          <w:szCs w:val="21"/>
        </w:rPr>
        <w:t>une part l</w:t>
      </w:r>
      <w:r w:rsidRPr="00FA4440">
        <w:rPr>
          <w:rFonts w:cs="Marianne"/>
          <w:szCs w:val="21"/>
        </w:rPr>
        <w:t>’</w:t>
      </w:r>
      <w:r w:rsidRPr="00FA4440">
        <w:rPr>
          <w:rFonts w:asciiTheme="majorHAnsi" w:hAnsiTheme="majorHAnsi" w:cstheme="minorHAnsi"/>
          <w:szCs w:val="21"/>
        </w:rPr>
        <w:t>ancrage territorial de l</w:t>
      </w:r>
      <w:r w:rsidRPr="00FA4440">
        <w:rPr>
          <w:rFonts w:cs="Marianne"/>
          <w:szCs w:val="21"/>
        </w:rPr>
        <w:t>’</w:t>
      </w:r>
      <w:r w:rsidRPr="00FA4440">
        <w:rPr>
          <w:rFonts w:asciiTheme="majorHAnsi" w:hAnsiTheme="majorHAnsi" w:cstheme="minorHAnsi"/>
          <w:szCs w:val="21"/>
        </w:rPr>
        <w:t xml:space="preserve">adaptation </w:t>
      </w:r>
      <w:r w:rsidRPr="00FA4440">
        <w:rPr>
          <w:rFonts w:cs="Marianne"/>
          <w:szCs w:val="21"/>
        </w:rPr>
        <w:t>à</w:t>
      </w:r>
      <w:r w:rsidRPr="00FA4440">
        <w:rPr>
          <w:rFonts w:asciiTheme="majorHAnsi" w:hAnsiTheme="majorHAnsi" w:cstheme="minorHAnsi"/>
          <w:szCs w:val="21"/>
        </w:rPr>
        <w:t xml:space="preserve"> travers les contrats de convergence et de transformation des territoires ultramarins et de l</w:t>
      </w:r>
      <w:r w:rsidRPr="00FA4440">
        <w:rPr>
          <w:rFonts w:cs="Marianne"/>
          <w:szCs w:val="21"/>
        </w:rPr>
        <w:t>’</w:t>
      </w:r>
      <w:r w:rsidRPr="00FA4440">
        <w:rPr>
          <w:rFonts w:asciiTheme="majorHAnsi" w:hAnsiTheme="majorHAnsi" w:cstheme="minorHAnsi"/>
          <w:szCs w:val="21"/>
        </w:rPr>
        <w:t>autre la promotion par Atout France d’un tourisme axé sur la découverte de la nature, la protection de l’environnement et le développement durable.</w:t>
      </w:r>
    </w:p>
    <w:p w14:paraId="647F208B" w14:textId="77777777" w:rsidR="006D5177" w:rsidRPr="00FA4440" w:rsidRDefault="006D5177" w:rsidP="006D5177">
      <w:pPr>
        <w:contextualSpacing/>
        <w:rPr>
          <w:rFonts w:asciiTheme="majorHAnsi" w:hAnsiTheme="majorHAnsi" w:cstheme="minorHAnsi"/>
          <w:szCs w:val="21"/>
        </w:rPr>
      </w:pPr>
    </w:p>
    <w:p w14:paraId="7C10554D"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La difficulté d’accès aux acteurs des secteurs de la finance, de la banque et de l’assurance ne permet pas actuellement d’avoir une vision claire du niveau d’avancement de ces secteurs en matière d’adaptation au changement climatique. Les trois actions du PNACC-2 spécifiquement dédiées à l’adaptation des secteurs de la finance et de la banque ont par ailleurs été abandonnées.</w:t>
      </w:r>
    </w:p>
    <w:p w14:paraId="7836044D" w14:textId="77777777" w:rsidR="006D5177" w:rsidRPr="00FA4440" w:rsidRDefault="006D5177" w:rsidP="00EF6DB6">
      <w:pPr>
        <w:pStyle w:val="Titre4niveau4"/>
      </w:pPr>
      <w:bookmarkStart w:id="658" w:name="_Toc90285258"/>
      <w:r w:rsidRPr="00FA4440">
        <w:t>De nouvelles recherches sur le changement climatique, l’eau et les milieux aquatiques</w:t>
      </w:r>
      <w:bookmarkEnd w:id="658"/>
    </w:p>
    <w:p w14:paraId="559D8444" w14:textId="77777777" w:rsidR="006D5177" w:rsidRPr="00FA4440" w:rsidRDefault="006D5177" w:rsidP="006D5177">
      <w:pPr>
        <w:contextualSpacing/>
        <w:rPr>
          <w:rFonts w:asciiTheme="majorHAnsi" w:hAnsiTheme="majorHAnsi" w:cstheme="minorHAnsi"/>
          <w:szCs w:val="21"/>
        </w:rPr>
      </w:pPr>
      <w:r w:rsidRPr="00FA4440">
        <w:rPr>
          <w:rFonts w:asciiTheme="majorHAnsi" w:eastAsia="Liberation Sans;Arial" w:hAnsiTheme="majorHAnsi" w:cstheme="minorHAnsi"/>
          <w:color w:val="000000"/>
          <w:szCs w:val="21"/>
        </w:rPr>
        <w:t xml:space="preserve">Des avancées en matière de connaissances des impacts attendus en France sont attendues </w:t>
      </w:r>
      <w:r>
        <w:rPr>
          <w:rFonts w:asciiTheme="majorHAnsi" w:eastAsia="Liberation Sans;Arial" w:hAnsiTheme="majorHAnsi" w:cstheme="minorHAnsi"/>
          <w:color w:val="000000"/>
          <w:szCs w:val="21"/>
        </w:rPr>
        <w:t xml:space="preserve">en particulier </w:t>
      </w:r>
      <w:r w:rsidRPr="00FA4440">
        <w:rPr>
          <w:rFonts w:asciiTheme="majorHAnsi" w:eastAsia="Liberation Sans;Arial" w:hAnsiTheme="majorHAnsi" w:cstheme="minorHAnsi"/>
          <w:color w:val="000000"/>
          <w:szCs w:val="21"/>
        </w:rPr>
        <w:t>dans le domaine de l’eau avec le lancement du projet Explore 2</w:t>
      </w:r>
      <w:r>
        <w:rPr>
          <w:rFonts w:asciiTheme="majorHAnsi" w:eastAsia="Liberation Sans;Arial" w:hAnsiTheme="majorHAnsi" w:cstheme="minorHAnsi"/>
          <w:color w:val="000000"/>
          <w:szCs w:val="21"/>
        </w:rPr>
        <w:t xml:space="preserve"> lancé en juillet 2021</w:t>
      </w:r>
      <w:r w:rsidRPr="00FA4440">
        <w:rPr>
          <w:rFonts w:asciiTheme="majorHAnsi" w:eastAsia="Liberation Sans;Arial" w:hAnsiTheme="majorHAnsi" w:cstheme="minorHAnsi"/>
          <w:color w:val="000000"/>
          <w:szCs w:val="21"/>
        </w:rPr>
        <w:t xml:space="preserve">. </w:t>
      </w:r>
      <w:r w:rsidRPr="00FA4440">
        <w:rPr>
          <w:rFonts w:asciiTheme="majorHAnsi" w:hAnsiTheme="majorHAnsi" w:cstheme="minorHAnsi"/>
          <w:szCs w:val="21"/>
        </w:rPr>
        <w:t xml:space="preserve">En 2012, le premier projet Explore 2070 a fourni une évaluation des impacts du changement climatique sur les milieux aquatiques et la ressource en eau à l’horizon 2070. Dans la suite de ce projet, Explore 2 permettra à la fois une mise à jour des résultats et une plus forte concertation avec les utilisateurs. </w:t>
      </w:r>
    </w:p>
    <w:p w14:paraId="5D760828" w14:textId="77777777" w:rsidR="006D5177" w:rsidRPr="00FA4440" w:rsidRDefault="006D5177" w:rsidP="00EF6DB6">
      <w:pPr>
        <w:pStyle w:val="Titre4niveau4"/>
      </w:pPr>
      <w:bookmarkStart w:id="659" w:name="_Toc90285259"/>
      <w:r w:rsidRPr="00FA4440">
        <w:t>Le changement climatique dans tous les programmes scolaires</w:t>
      </w:r>
      <w:bookmarkEnd w:id="659"/>
    </w:p>
    <w:p w14:paraId="3E60829A" w14:textId="77777777" w:rsidR="006D5177" w:rsidRPr="00FA4440" w:rsidRDefault="006D5177" w:rsidP="006D5177">
      <w:pPr>
        <w:contextualSpacing/>
        <w:rPr>
          <w:rFonts w:asciiTheme="majorHAnsi" w:hAnsiTheme="majorHAnsi" w:cstheme="minorHAnsi"/>
          <w:szCs w:val="21"/>
        </w:rPr>
      </w:pPr>
      <w:r w:rsidRPr="00FA4440">
        <w:rPr>
          <w:rFonts w:asciiTheme="majorHAnsi" w:hAnsiTheme="majorHAnsi" w:cstheme="minorHAnsi"/>
          <w:szCs w:val="21"/>
        </w:rPr>
        <w:t>Dans le domaine de l’éducation, de réelles avancées ont vu le jour depuis le lancement du PNACC-2 avec l’intégration du changement climatique dans les programmes scolaires du primaire et du secondaire. Au lycée un thème « Enjeux contemporains de la planète » a été introduit dans l’enseignement de spécialité de sciences de la vie et de la Terre, comme le thème « science, climat et société » en classe de première. Par ailleurs au moins 2700 enseignants et formateurs ont pu être formés aux enjeux du changement climatique depuis 2020 grâce aux travaux de l’Office for Climate Education (OCE). L’OCE a également développé des ressources pédagogiques pour l’école primaire et le collège sur les trois thèmes des rapports spéciaux du groupe d’experts intergouvernemental sur l’évolution du climat (GIEC) : « réchauffement de 1.5°C », « océan et cryosphère », et « sols ». Ces ressources ont pour objectif de permettre aux enseignants de travailler sur le thème du changement climatique en intégrant des modalités d’actions concrètes sous la forme de projets qui po</w:t>
      </w:r>
      <w:r w:rsidRPr="00387B1E">
        <w:rPr>
          <w:rFonts w:asciiTheme="majorHAnsi" w:hAnsiTheme="majorHAnsi" w:cstheme="minorHAnsi"/>
          <w:szCs w:val="21"/>
        </w:rPr>
        <w:t>urront être réalisés en classe.</w:t>
      </w:r>
    </w:p>
    <w:p w14:paraId="02ECC9CB" w14:textId="77777777" w:rsidR="006D5177" w:rsidRPr="00FA4440" w:rsidRDefault="006D5177" w:rsidP="00EF6DB6">
      <w:pPr>
        <w:pStyle w:val="Titre4niveau4"/>
      </w:pPr>
      <w:bookmarkStart w:id="660" w:name="_Toc90285260"/>
      <w:r w:rsidRPr="00FA4440">
        <w:t>Lancement du premier centre de ressources dédié à l’adaptation au changement climatique</w:t>
      </w:r>
      <w:bookmarkEnd w:id="660"/>
    </w:p>
    <w:p w14:paraId="71EAE46D" w14:textId="77777777" w:rsidR="006D5177" w:rsidRPr="00FA4440" w:rsidRDefault="006D5177" w:rsidP="006D5177">
      <w:pPr>
        <w:contextualSpacing/>
        <w:rPr>
          <w:rFonts w:asciiTheme="majorHAnsi" w:hAnsiTheme="majorHAnsi" w:cstheme="minorHAnsi"/>
          <w:color w:val="000000"/>
          <w:szCs w:val="21"/>
          <w:shd w:val="clear" w:color="auto" w:fill="FFFFFF"/>
        </w:rPr>
      </w:pPr>
      <w:r w:rsidRPr="00FA4440">
        <w:rPr>
          <w:rFonts w:asciiTheme="majorHAnsi" w:eastAsia="Liberation Sans;Arial" w:hAnsiTheme="majorHAnsi" w:cstheme="minorHAnsi"/>
          <w:color w:val="000000"/>
          <w:szCs w:val="21"/>
        </w:rPr>
        <w:t>En termes de mise à disposition de l’information sur le changement climatique, le PNACC-2 a permis de développer un centre de ressources</w:t>
      </w:r>
      <w:r>
        <w:rPr>
          <w:rStyle w:val="FootnoteReference"/>
          <w:rFonts w:asciiTheme="majorHAnsi" w:eastAsia="Liberation Sans;Arial" w:hAnsiTheme="majorHAnsi" w:cstheme="minorHAnsi"/>
          <w:color w:val="000000"/>
          <w:szCs w:val="21"/>
        </w:rPr>
        <w:footnoteReference w:id="65"/>
      </w:r>
      <w:r w:rsidRPr="00FA4440">
        <w:rPr>
          <w:rFonts w:asciiTheme="majorHAnsi" w:eastAsia="Liberation Sans;Arial" w:hAnsiTheme="majorHAnsi" w:cstheme="minorHAnsi"/>
          <w:color w:val="000000"/>
          <w:szCs w:val="21"/>
        </w:rPr>
        <w:t xml:space="preserve"> spécialement dédié à l’adaptation au changement climatique. Ce centre de ressources, développé par le Cerema, à la demande du Ministère de la transition écologique, en partenariat avec l’Ademe et Météo-France a été mis en ligne en 2020. En 2021 il répertorie déjà 1 877 pages web et a reçu plus de 60</w:t>
      </w:r>
      <w:r w:rsidRPr="00FA4440">
        <w:rPr>
          <w:rFonts w:ascii="Calibri" w:eastAsia="Liberation Sans;Arial" w:hAnsi="Calibri" w:cs="Calibri"/>
          <w:color w:val="000000"/>
          <w:szCs w:val="21"/>
        </w:rPr>
        <w:t> </w:t>
      </w:r>
      <w:r w:rsidRPr="00FA4440">
        <w:rPr>
          <w:rFonts w:asciiTheme="majorHAnsi" w:eastAsia="Liberation Sans;Arial" w:hAnsiTheme="majorHAnsi" w:cstheme="minorHAnsi"/>
          <w:color w:val="000000"/>
          <w:szCs w:val="21"/>
        </w:rPr>
        <w:t>000 visites depuis sa mise en ligne. Il continue d</w:t>
      </w:r>
      <w:r w:rsidRPr="00FA4440">
        <w:rPr>
          <w:rFonts w:eastAsia="Liberation Sans;Arial" w:cs="Marianne"/>
          <w:color w:val="000000"/>
          <w:szCs w:val="21"/>
        </w:rPr>
        <w:t>’ê</w:t>
      </w:r>
      <w:r w:rsidRPr="00FA4440">
        <w:rPr>
          <w:rFonts w:asciiTheme="majorHAnsi" w:eastAsia="Liberation Sans;Arial" w:hAnsiTheme="majorHAnsi" w:cstheme="minorHAnsi"/>
          <w:color w:val="000000"/>
          <w:szCs w:val="21"/>
        </w:rPr>
        <w:t xml:space="preserve">tre mis </w:t>
      </w:r>
      <w:r w:rsidRPr="00FA4440">
        <w:rPr>
          <w:rFonts w:eastAsia="Liberation Sans;Arial" w:cs="Marianne"/>
          <w:color w:val="000000"/>
          <w:szCs w:val="21"/>
        </w:rPr>
        <w:t>à</w:t>
      </w:r>
      <w:r w:rsidRPr="00FA4440">
        <w:rPr>
          <w:rFonts w:asciiTheme="majorHAnsi" w:eastAsia="Liberation Sans;Arial" w:hAnsiTheme="majorHAnsi" w:cstheme="minorHAnsi"/>
          <w:color w:val="000000"/>
          <w:szCs w:val="21"/>
        </w:rPr>
        <w:t xml:space="preserve"> jour r</w:t>
      </w:r>
      <w:r w:rsidRPr="00FA4440">
        <w:rPr>
          <w:rFonts w:eastAsia="Liberation Sans;Arial" w:cs="Marianne"/>
          <w:color w:val="000000"/>
          <w:szCs w:val="21"/>
        </w:rPr>
        <w:t>é</w:t>
      </w:r>
      <w:r w:rsidRPr="00FA4440">
        <w:rPr>
          <w:rFonts w:asciiTheme="majorHAnsi" w:eastAsia="Liberation Sans;Arial" w:hAnsiTheme="majorHAnsi" w:cstheme="minorHAnsi"/>
          <w:color w:val="000000"/>
          <w:szCs w:val="21"/>
        </w:rPr>
        <w:t>guli</w:t>
      </w:r>
      <w:r w:rsidRPr="00FA4440">
        <w:rPr>
          <w:rFonts w:eastAsia="Liberation Sans;Arial" w:cs="Marianne"/>
          <w:color w:val="000000"/>
          <w:szCs w:val="21"/>
        </w:rPr>
        <w:t>è</w:t>
      </w:r>
      <w:r w:rsidRPr="00FA4440">
        <w:rPr>
          <w:rFonts w:asciiTheme="majorHAnsi" w:eastAsia="Liberation Sans;Arial" w:hAnsiTheme="majorHAnsi" w:cstheme="minorHAnsi"/>
          <w:color w:val="000000"/>
          <w:szCs w:val="21"/>
        </w:rPr>
        <w:t>rement avec de nouvelles ressources et exemples d</w:t>
      </w:r>
      <w:r w:rsidRPr="00445995">
        <w:rPr>
          <w:rFonts w:eastAsia="Liberation Sans;Arial"/>
          <w:color w:val="000000"/>
        </w:rPr>
        <w:t>’</w:t>
      </w:r>
      <w:r w:rsidRPr="00FA4440">
        <w:rPr>
          <w:rFonts w:asciiTheme="majorHAnsi" w:eastAsia="Liberation Sans;Arial" w:hAnsiTheme="majorHAnsi" w:cstheme="minorHAnsi"/>
          <w:color w:val="000000"/>
          <w:szCs w:val="21"/>
        </w:rPr>
        <w:t xml:space="preserve">initiatives locales notamment. </w:t>
      </w:r>
      <w:r w:rsidRPr="00FA4440">
        <w:rPr>
          <w:rFonts w:asciiTheme="majorHAnsi" w:hAnsiTheme="majorHAnsi" w:cstheme="minorHAnsi"/>
          <w:color w:val="000000"/>
          <w:szCs w:val="21"/>
          <w:shd w:val="clear" w:color="auto" w:fill="FFFFFF"/>
        </w:rPr>
        <w:t>En complément des 5 parcours utilisateurs existants (élu, technicien des collectivités, acteur économique, bureau d’études, particulier), un sixième parcours à destination des enseignants sera également développé.</w:t>
      </w:r>
    </w:p>
    <w:p w14:paraId="42D161A8" w14:textId="77777777" w:rsidR="006D5177" w:rsidRPr="00E22CF8" w:rsidRDefault="006D5177" w:rsidP="00EF6DB6">
      <w:pPr>
        <w:pStyle w:val="Titre4niveau4"/>
        <w:rPr>
          <w:shd w:val="clear" w:color="auto" w:fill="FFFFFF"/>
        </w:rPr>
      </w:pPr>
      <w:bookmarkStart w:id="661" w:name="_Toc90285261"/>
      <w:r w:rsidRPr="00E22CF8">
        <w:rPr>
          <w:shd w:val="clear" w:color="auto" w:fill="FFFFFF"/>
        </w:rPr>
        <w:t>Des services climatiques pour adapter les territoires et les entreprises</w:t>
      </w:r>
      <w:bookmarkEnd w:id="661"/>
    </w:p>
    <w:p w14:paraId="07436F6B" w14:textId="77777777" w:rsidR="006D5177" w:rsidRPr="00445995" w:rsidRDefault="006D5177" w:rsidP="006D5177">
      <w:pPr>
        <w:contextualSpacing/>
        <w:rPr>
          <w:rFonts w:asciiTheme="majorHAnsi" w:hAnsiTheme="majorHAnsi"/>
        </w:rPr>
      </w:pPr>
      <w:r w:rsidRPr="00445995">
        <w:rPr>
          <w:rFonts w:asciiTheme="majorHAnsi" w:hAnsiTheme="majorHAnsi"/>
        </w:rPr>
        <w:t>Dans le domaine des services climatiques, la convention entre le ministère de la transition écologique, Météo-France et de nombreux instituts de recherche a permis de réelles avancées dans la diffusion en accès libre de données, de méthodes et de supports de formation sur le changement climatique et les événements extrêmes. Elle a permis notamment un enrichissement conséqu</w:t>
      </w:r>
      <w:r w:rsidRPr="00C57D83">
        <w:rPr>
          <w:rFonts w:asciiTheme="majorHAnsi" w:hAnsiTheme="majorHAnsi"/>
        </w:rPr>
        <w:t>ent du portail DRIAS, la mise en place d’un nouveau service opérationnel sur les événements extrêmes et de cinq démonstrateurs de services. Le portail</w:t>
      </w:r>
      <w:r>
        <w:rPr>
          <w:rStyle w:val="FootnoteReference"/>
          <w:rFonts w:asciiTheme="majorHAnsi" w:hAnsiTheme="majorHAnsi"/>
        </w:rPr>
        <w:footnoteReference w:id="66"/>
      </w:r>
      <w:r w:rsidRPr="00C57D83">
        <w:rPr>
          <w:rFonts w:asciiTheme="majorHAnsi" w:hAnsiTheme="majorHAnsi"/>
        </w:rPr>
        <w:t xml:space="preserve"> « DRIAS – Les futurs du climat » est une des premières réalisations en matière de service climatique en France. Il permet un accès facilité et gratuit aux projections climatiques régiona</w:t>
      </w:r>
      <w:r w:rsidRPr="00FE0D44">
        <w:rPr>
          <w:rFonts w:asciiTheme="majorHAnsi" w:hAnsiTheme="majorHAnsi"/>
        </w:rPr>
        <w:t>lisées sur la métropole et les outre-mer (projections corrigées à partir des observations). En 2020, le portail a reçu près de 150 000 visites de 80 000 visiteurs différents pour plus de 5 millions de pages vues. En 2021 DRIAS a été mis à jour avec la mise</w:t>
      </w:r>
      <w:r w:rsidRPr="00462D13">
        <w:rPr>
          <w:rFonts w:asciiTheme="majorHAnsi" w:hAnsiTheme="majorHAnsi"/>
        </w:rPr>
        <w:t xml:space="preserve"> en ligne d’un nouveau jeu de projections climatiques régionalisées sur la métropole « DRIAS2020 ». Et d’autres évolutions du portail sont également prévues pour 2022 avec de nouvelles projections climatiqu</w:t>
      </w:r>
      <w:r>
        <w:rPr>
          <w:rFonts w:asciiTheme="majorHAnsi" w:hAnsiTheme="majorHAnsi" w:cstheme="minorHAnsi"/>
          <w:szCs w:val="21"/>
        </w:rPr>
        <w:t xml:space="preserve">es régionalisées pour </w:t>
      </w:r>
      <w:r w:rsidRPr="00387B1E">
        <w:rPr>
          <w:rFonts w:asciiTheme="majorHAnsi" w:hAnsiTheme="majorHAnsi" w:cstheme="minorHAnsi"/>
          <w:szCs w:val="21"/>
        </w:rPr>
        <w:t>La Réunion et</w:t>
      </w:r>
      <w:r w:rsidRPr="00445995">
        <w:rPr>
          <w:rFonts w:asciiTheme="majorHAnsi" w:hAnsiTheme="majorHAnsi"/>
        </w:rPr>
        <w:t xml:space="preserve"> </w:t>
      </w:r>
      <w:r>
        <w:rPr>
          <w:rFonts w:asciiTheme="majorHAnsi" w:hAnsiTheme="majorHAnsi" w:cstheme="minorHAnsi"/>
          <w:szCs w:val="21"/>
        </w:rPr>
        <w:t xml:space="preserve">à l’échelle communale, avec </w:t>
      </w:r>
      <w:r w:rsidRPr="00445995">
        <w:rPr>
          <w:rFonts w:asciiTheme="majorHAnsi" w:hAnsiTheme="majorHAnsi"/>
        </w:rPr>
        <w:t>la mise à jour des Indices Forêt Météo et une extension du portail sur l’eau.</w:t>
      </w:r>
    </w:p>
    <w:p w14:paraId="08E6FD85" w14:textId="77777777" w:rsidR="006D5177" w:rsidRPr="00445995" w:rsidRDefault="006D5177" w:rsidP="00EF6DB6">
      <w:pPr>
        <w:pStyle w:val="Titre4niveau4"/>
      </w:pPr>
      <w:bookmarkStart w:id="662" w:name="_Toc90285263"/>
      <w:r w:rsidRPr="00445995">
        <w:t>Un nouveau cadre réglementaire et stratégique pour l’adaptation dans l’Union européenne</w:t>
      </w:r>
      <w:bookmarkEnd w:id="662"/>
    </w:p>
    <w:p w14:paraId="19EB7E92" w14:textId="77777777" w:rsidR="006D5177" w:rsidRPr="00BC4A08" w:rsidRDefault="006D5177" w:rsidP="006D5177">
      <w:pPr>
        <w:contextualSpacing/>
        <w:rPr>
          <w:rFonts w:asciiTheme="majorHAnsi" w:hAnsiTheme="majorHAnsi"/>
        </w:rPr>
      </w:pPr>
      <w:r w:rsidRPr="00A87E7A">
        <w:rPr>
          <w:rFonts w:asciiTheme="majorHAnsi" w:hAnsiTheme="majorHAnsi" w:cstheme="minorHAnsi"/>
          <w:szCs w:val="21"/>
        </w:rPr>
        <w:t>L</w:t>
      </w:r>
      <w:r w:rsidRPr="00445995">
        <w:rPr>
          <w:rFonts w:asciiTheme="majorHAnsi" w:hAnsiTheme="majorHAnsi"/>
        </w:rPr>
        <w:t>a France a participé de manière très active aux travaux lancés par la Commission européenne en lien avec le climat, en particulier à partir du lancement du Pacte vert européen en décembre 2019. Le vote du règlement européen sur le climat, dit «</w:t>
      </w:r>
      <w:r w:rsidRPr="00445995">
        <w:rPr>
          <w:rFonts w:ascii="Calibri" w:hAnsi="Calibri"/>
        </w:rPr>
        <w:t> </w:t>
      </w:r>
      <w:r w:rsidRPr="00445995">
        <w:rPr>
          <w:rFonts w:asciiTheme="majorHAnsi" w:hAnsiTheme="majorHAnsi"/>
        </w:rPr>
        <w:t>loi climat</w:t>
      </w:r>
      <w:r w:rsidRPr="00445995">
        <w:rPr>
          <w:rFonts w:ascii="Calibri" w:hAnsi="Calibri"/>
        </w:rPr>
        <w:t> </w:t>
      </w:r>
      <w:r w:rsidRPr="00445995">
        <w:t>»</w:t>
      </w:r>
      <w:r w:rsidRPr="00445995">
        <w:rPr>
          <w:rFonts w:asciiTheme="majorHAnsi" w:hAnsiTheme="majorHAnsi"/>
        </w:rPr>
        <w:t>, et l</w:t>
      </w:r>
      <w:r w:rsidRPr="00445995">
        <w:t>’</w:t>
      </w:r>
      <w:r w:rsidRPr="00C57D83">
        <w:rPr>
          <w:rFonts w:asciiTheme="majorHAnsi" w:hAnsiTheme="majorHAnsi"/>
        </w:rPr>
        <w:t>adoption des strat</w:t>
      </w:r>
      <w:r w:rsidRPr="00C57D83">
        <w:t>é</w:t>
      </w:r>
      <w:r w:rsidRPr="00C57D83">
        <w:rPr>
          <w:rFonts w:asciiTheme="majorHAnsi" w:hAnsiTheme="majorHAnsi"/>
        </w:rPr>
        <w:t>gies pour l</w:t>
      </w:r>
      <w:r w:rsidRPr="00FE0D44">
        <w:t>’</w:t>
      </w:r>
      <w:r w:rsidRPr="00462D13">
        <w:rPr>
          <w:rFonts w:asciiTheme="majorHAnsi" w:hAnsiTheme="majorHAnsi"/>
        </w:rPr>
        <w:t>adaptation au changement climatique et pour les for</w:t>
      </w:r>
      <w:r w:rsidRPr="00462D13">
        <w:t>ê</w:t>
      </w:r>
      <w:r w:rsidRPr="00FB5D51">
        <w:rPr>
          <w:rFonts w:asciiTheme="majorHAnsi" w:hAnsiTheme="majorHAnsi"/>
        </w:rPr>
        <w:t>ts sont des opportunit</w:t>
      </w:r>
      <w:r w:rsidRPr="00FB5D51">
        <w:t>é</w:t>
      </w:r>
      <w:r w:rsidRPr="007910A0">
        <w:rPr>
          <w:rFonts w:asciiTheme="majorHAnsi" w:hAnsiTheme="majorHAnsi"/>
        </w:rPr>
        <w:t>s pour renforcer les engagements des Etats membres en faveur de l</w:t>
      </w:r>
      <w:r w:rsidRPr="00074A42">
        <w:t>’</w:t>
      </w:r>
      <w:r w:rsidRPr="00074A42">
        <w:rPr>
          <w:rFonts w:asciiTheme="majorHAnsi" w:hAnsiTheme="majorHAnsi"/>
        </w:rPr>
        <w:t>adaptation au changement climatique. Le r</w:t>
      </w:r>
      <w:r w:rsidRPr="00074A42">
        <w:t>è</w:t>
      </w:r>
      <w:r w:rsidRPr="00074A42">
        <w:rPr>
          <w:rFonts w:asciiTheme="majorHAnsi" w:hAnsiTheme="majorHAnsi"/>
        </w:rPr>
        <w:t xml:space="preserve">glement européen </w:t>
      </w:r>
      <w:r>
        <w:rPr>
          <w:rFonts w:asciiTheme="majorHAnsi" w:hAnsiTheme="majorHAnsi"/>
        </w:rPr>
        <w:t xml:space="preserve">n°2021/1119 </w:t>
      </w:r>
      <w:r w:rsidRPr="00074A42">
        <w:rPr>
          <w:rFonts w:asciiTheme="majorHAnsi" w:hAnsiTheme="majorHAnsi"/>
        </w:rPr>
        <w:t xml:space="preserve">sur le climat impose pour la première fois des obligations d’adaptation aux Etats-membres </w:t>
      </w:r>
      <w:r w:rsidRPr="00BC4A08">
        <w:rPr>
          <w:rFonts w:asciiTheme="majorHAnsi" w:hAnsiTheme="majorHAnsi"/>
        </w:rPr>
        <w:t>(analyse des vulnérabilités, stratégie et plan d’adaptation, évaluation des progrès), et demande que la Commission vérifie désormais la cohérence de toutes les politiques européennes et nationales avec les objectifs d’adaptation définis à l'article 4 du règlement. Ces objectifs reprennent ceux de l'article 7 de l'Accord de Paris, consistant notamment à renforcer les capacités d'adaptation, à accroître la résilience et à réduire la vulnérabilité face au changement climatique. La France a activement soutenu un renforcement des dispositions relatives à l'adaptation dans le règlement européen sur le climat qui est entré en vigueur le 29 juillet 2021. La nouvelle stratégie de l'Union Européenne pour l'adaptation au changement climatique a été publiée le 24 février 2021. La France a participé de manière très active aux travaux d’élaboration de cette stratégie. Cette nouvelle stratégie vise à concrétiser la vision d’une Union résiliente à l’horizon 2050 en rendant l’adaptation au changement climatique plus intelligente, plus systémique et plus rapide et en intensifiant l’action internationale.</w:t>
      </w:r>
    </w:p>
    <w:p w14:paraId="549F1D11" w14:textId="77777777" w:rsidR="006D5177" w:rsidRPr="00445995" w:rsidRDefault="006D5177" w:rsidP="00EF6DB6">
      <w:pPr>
        <w:pStyle w:val="Titre4niveau4"/>
      </w:pPr>
      <w:bookmarkStart w:id="663" w:name="_Toc90285264"/>
      <w:r w:rsidRPr="00E22CF8">
        <w:rPr>
          <w:szCs w:val="21"/>
        </w:rPr>
        <w:t>F</w:t>
      </w:r>
      <w:r w:rsidRPr="00445995">
        <w:t>onds européens mobilisés</w:t>
      </w:r>
      <w:bookmarkEnd w:id="663"/>
    </w:p>
    <w:p w14:paraId="46F7A8EA" w14:textId="086C9746" w:rsidR="006D5177" w:rsidRPr="00445995" w:rsidRDefault="006D5177" w:rsidP="006D5177">
      <w:pPr>
        <w:contextualSpacing/>
        <w:rPr>
          <w:rFonts w:asciiTheme="majorHAnsi" w:hAnsiTheme="majorHAnsi"/>
        </w:rPr>
      </w:pPr>
      <w:r>
        <w:rPr>
          <w:rFonts w:asciiTheme="majorHAnsi" w:hAnsiTheme="majorHAnsi" w:cstheme="minorHAnsi"/>
          <w:szCs w:val="21"/>
        </w:rPr>
        <w:t xml:space="preserve">Les Accords de Partenariats UE-Etat-Régions correspondant aux </w:t>
      </w:r>
      <w:r w:rsidRPr="009A73CD">
        <w:rPr>
          <w:rFonts w:asciiTheme="majorHAnsi" w:hAnsiTheme="majorHAnsi" w:cstheme="minorHAnsi"/>
          <w:szCs w:val="21"/>
        </w:rPr>
        <w:t>progra</w:t>
      </w:r>
      <w:r>
        <w:rPr>
          <w:rFonts w:asciiTheme="majorHAnsi" w:hAnsiTheme="majorHAnsi" w:cstheme="minorHAnsi"/>
          <w:szCs w:val="21"/>
        </w:rPr>
        <w:t>mmations 2014-2020 et 2021-2027 permettent aux</w:t>
      </w:r>
      <w:r w:rsidRPr="00445995">
        <w:rPr>
          <w:rFonts w:asciiTheme="majorHAnsi" w:hAnsiTheme="majorHAnsi"/>
        </w:rPr>
        <w:t xml:space="preserve"> Régions </w:t>
      </w:r>
      <w:r>
        <w:rPr>
          <w:rFonts w:asciiTheme="majorHAnsi" w:hAnsiTheme="majorHAnsi" w:cstheme="minorHAnsi"/>
          <w:szCs w:val="21"/>
        </w:rPr>
        <w:t xml:space="preserve">françaises </w:t>
      </w:r>
      <w:r w:rsidRPr="00445995">
        <w:rPr>
          <w:rFonts w:asciiTheme="majorHAnsi" w:hAnsiTheme="majorHAnsi"/>
        </w:rPr>
        <w:t>de mobiliser le Fonds européen de développement régional (FEDER)</w:t>
      </w:r>
      <w:r>
        <w:rPr>
          <w:rFonts w:asciiTheme="majorHAnsi" w:hAnsiTheme="majorHAnsi" w:cstheme="minorHAnsi"/>
          <w:szCs w:val="21"/>
        </w:rPr>
        <w:t xml:space="preserve"> pour financer des projets d</w:t>
      </w:r>
      <w:r w:rsidRPr="009A73CD">
        <w:rPr>
          <w:rFonts w:asciiTheme="majorHAnsi" w:hAnsiTheme="majorHAnsi" w:cstheme="minorHAnsi"/>
          <w:szCs w:val="21"/>
        </w:rPr>
        <w:t>’adaptation au changement climatiqu</w:t>
      </w:r>
      <w:r>
        <w:rPr>
          <w:rFonts w:asciiTheme="majorHAnsi" w:hAnsiTheme="majorHAnsi" w:cstheme="minorHAnsi"/>
          <w:szCs w:val="21"/>
        </w:rPr>
        <w:t>e.</w:t>
      </w:r>
      <w:r w:rsidRPr="00445995">
        <w:rPr>
          <w:rFonts w:asciiTheme="majorHAnsi" w:hAnsiTheme="majorHAnsi"/>
        </w:rPr>
        <w:t xml:space="preserve"> L’objectif thématique qui englobe l’adaptation et la prévention des risques représentait 4</w:t>
      </w:r>
      <w:r w:rsidR="006518EF">
        <w:rPr>
          <w:rFonts w:asciiTheme="majorHAnsi" w:hAnsiTheme="majorHAnsi"/>
        </w:rPr>
        <w:t>%</w:t>
      </w:r>
      <w:r w:rsidRPr="00445995">
        <w:rPr>
          <w:rFonts w:asciiTheme="majorHAnsi" w:hAnsiTheme="majorHAnsi"/>
        </w:rPr>
        <w:t xml:space="preserve"> du FEDER pour la période 2014-2020. Sur cette période, 4 Régions ont mobilisé 270 M€ de crédits FEDER pour financer 607 projets d’adaptation au changement climatique. L’Objectif stratégique 2 «</w:t>
      </w:r>
      <w:r w:rsidRPr="00445995">
        <w:rPr>
          <w:rFonts w:ascii="Calibri" w:hAnsi="Calibri"/>
        </w:rPr>
        <w:t> </w:t>
      </w:r>
      <w:r w:rsidRPr="00445995">
        <w:rPr>
          <w:rFonts w:asciiTheme="majorHAnsi" w:hAnsiTheme="majorHAnsi"/>
        </w:rPr>
        <w:t>Europe verte</w:t>
      </w:r>
      <w:r w:rsidRPr="00C57D83">
        <w:rPr>
          <w:rFonts w:ascii="Calibri" w:hAnsi="Calibri"/>
        </w:rPr>
        <w:t> </w:t>
      </w:r>
      <w:r w:rsidRPr="00C57D83">
        <w:t>»</w:t>
      </w:r>
      <w:r w:rsidRPr="00C57D83">
        <w:rPr>
          <w:rFonts w:asciiTheme="majorHAnsi" w:hAnsiTheme="majorHAnsi"/>
        </w:rPr>
        <w:t>, qui comporte un volet sur l</w:t>
      </w:r>
      <w:r w:rsidRPr="00FE0D44">
        <w:t>’</w:t>
      </w:r>
      <w:r w:rsidRPr="00FE0D44">
        <w:rPr>
          <w:rFonts w:asciiTheme="majorHAnsi" w:hAnsiTheme="majorHAnsi"/>
        </w:rPr>
        <w:t xml:space="preserve">adaptation, correspond </w:t>
      </w:r>
      <w:r w:rsidRPr="00FE0D44">
        <w:t>à</w:t>
      </w:r>
      <w:r w:rsidRPr="00FE0D44">
        <w:rPr>
          <w:rFonts w:asciiTheme="majorHAnsi" w:hAnsiTheme="majorHAnsi"/>
        </w:rPr>
        <w:t xml:space="preserve"> 21</w:t>
      </w:r>
      <w:r w:rsidR="006518EF">
        <w:rPr>
          <w:rFonts w:ascii="Calibri" w:hAnsi="Calibri" w:cs="Calibri"/>
        </w:rPr>
        <w:t>%</w:t>
      </w:r>
      <w:r w:rsidRPr="00FE0D44">
        <w:rPr>
          <w:rFonts w:asciiTheme="majorHAnsi" w:hAnsiTheme="majorHAnsi"/>
        </w:rPr>
        <w:t xml:space="preserve"> du budget du FEDER pour 2021-2027 </w:t>
      </w:r>
      <w:r w:rsidRPr="00FE0D44">
        <w:t>é</w:t>
      </w:r>
      <w:r w:rsidRPr="00462D13">
        <w:rPr>
          <w:rFonts w:asciiTheme="majorHAnsi" w:hAnsiTheme="majorHAnsi"/>
        </w:rPr>
        <w:t xml:space="preserve">quivalant </w:t>
      </w:r>
      <w:r w:rsidRPr="00462D13">
        <w:t>à</w:t>
      </w:r>
      <w:r w:rsidRPr="00FB5D51">
        <w:rPr>
          <w:rFonts w:asciiTheme="majorHAnsi" w:hAnsiTheme="majorHAnsi"/>
        </w:rPr>
        <w:t xml:space="preserve"> 3,3 Mds </w:t>
      </w:r>
      <w:r w:rsidRPr="00FB5D51">
        <w:t>€</w:t>
      </w:r>
      <w:r w:rsidRPr="00C14A70">
        <w:rPr>
          <w:rFonts w:asciiTheme="majorHAnsi" w:hAnsiTheme="majorHAnsi" w:cstheme="minorHAnsi"/>
          <w:szCs w:val="21"/>
        </w:rPr>
        <w:t xml:space="preserve"> sur 7 ans.</w:t>
      </w:r>
    </w:p>
    <w:p w14:paraId="01F427AD" w14:textId="77777777" w:rsidR="006D5177" w:rsidRPr="00445995" w:rsidRDefault="006D5177" w:rsidP="00EF6DB6">
      <w:pPr>
        <w:pStyle w:val="Titre4niveau4"/>
      </w:pPr>
      <w:bookmarkStart w:id="664" w:name="_Toc90285268"/>
      <w:r w:rsidRPr="00445995">
        <w:t>Renforcement de l’aide au développement</w:t>
      </w:r>
      <w:bookmarkEnd w:id="664"/>
    </w:p>
    <w:p w14:paraId="1875A8C6" w14:textId="1C3F2D7C" w:rsidR="006D5177" w:rsidRPr="00445995" w:rsidRDefault="006D5177" w:rsidP="006D5177">
      <w:pPr>
        <w:contextualSpacing/>
        <w:rPr>
          <w:rFonts w:asciiTheme="majorHAnsi" w:hAnsiTheme="majorHAnsi"/>
        </w:rPr>
      </w:pPr>
      <w:r>
        <w:rPr>
          <w:rFonts w:asciiTheme="majorHAnsi" w:hAnsiTheme="majorHAnsi" w:cstheme="minorHAnsi"/>
          <w:szCs w:val="21"/>
        </w:rPr>
        <w:t>L</w:t>
      </w:r>
      <w:r w:rsidRPr="00445995">
        <w:rPr>
          <w:rFonts w:asciiTheme="majorHAnsi" w:hAnsiTheme="majorHAnsi"/>
        </w:rPr>
        <w:t>a Fr</w:t>
      </w:r>
      <w:r w:rsidRPr="004B50D2">
        <w:rPr>
          <w:rFonts w:asciiTheme="majorHAnsi" w:hAnsiTheme="majorHAnsi" w:cstheme="minorHAnsi"/>
          <w:szCs w:val="21"/>
        </w:rPr>
        <w:t>ance s'était</w:t>
      </w:r>
      <w:r w:rsidRPr="00445995">
        <w:rPr>
          <w:rFonts w:asciiTheme="majorHAnsi" w:hAnsiTheme="majorHAnsi"/>
        </w:rPr>
        <w:t xml:space="preserve"> engagée à porter ses financements en faveur du climat dans les pays en développement de 3 Md€ en 2015 à 5 Md€ en 2020. </w:t>
      </w:r>
      <w:r>
        <w:rPr>
          <w:rFonts w:asciiTheme="majorHAnsi" w:hAnsiTheme="majorHAnsi" w:cstheme="minorHAnsi"/>
          <w:szCs w:val="21"/>
        </w:rPr>
        <w:t>L</w:t>
      </w:r>
      <w:r w:rsidRPr="00445995">
        <w:rPr>
          <w:rFonts w:asciiTheme="majorHAnsi" w:hAnsiTheme="majorHAnsi"/>
        </w:rPr>
        <w:t xml:space="preserve">ors du Sommet </w:t>
      </w:r>
      <w:r w:rsidRPr="00445995">
        <w:rPr>
          <w:rFonts w:asciiTheme="majorHAnsi" w:hAnsiTheme="majorHAnsi"/>
          <w:i/>
        </w:rPr>
        <w:t>One Planet</w:t>
      </w:r>
      <w:r w:rsidRPr="00C3152C">
        <w:rPr>
          <w:rFonts w:asciiTheme="majorHAnsi" w:hAnsiTheme="majorHAnsi" w:cstheme="minorHAnsi"/>
          <w:szCs w:val="21"/>
        </w:rPr>
        <w:t xml:space="preserve"> </w:t>
      </w:r>
      <w:r w:rsidR="00AE6339">
        <w:rPr>
          <w:rFonts w:asciiTheme="majorHAnsi" w:hAnsiTheme="majorHAnsi" w:cstheme="minorHAnsi"/>
          <w:szCs w:val="21"/>
        </w:rPr>
        <w:t xml:space="preserve">de 2017 </w:t>
      </w:r>
      <w:r>
        <w:rPr>
          <w:rFonts w:asciiTheme="majorHAnsi" w:hAnsiTheme="majorHAnsi" w:cstheme="minorHAnsi"/>
          <w:szCs w:val="21"/>
        </w:rPr>
        <w:t>u</w:t>
      </w:r>
      <w:r w:rsidRPr="00445995">
        <w:rPr>
          <w:rFonts w:asciiTheme="majorHAnsi" w:hAnsiTheme="majorHAnsi"/>
        </w:rPr>
        <w:t xml:space="preserve">n renforcement de la part des financements consacrés à l'adaptation </w:t>
      </w:r>
      <w:r>
        <w:rPr>
          <w:rFonts w:asciiTheme="majorHAnsi" w:hAnsiTheme="majorHAnsi" w:cstheme="minorHAnsi"/>
          <w:szCs w:val="21"/>
        </w:rPr>
        <w:t xml:space="preserve">avait été annoncé </w:t>
      </w:r>
      <w:r w:rsidRPr="00445995">
        <w:rPr>
          <w:rFonts w:asciiTheme="majorHAnsi" w:hAnsiTheme="majorHAnsi"/>
        </w:rPr>
        <w:t>pour</w:t>
      </w:r>
      <w:r w:rsidRPr="00C3152C">
        <w:rPr>
          <w:rFonts w:asciiTheme="majorHAnsi" w:hAnsiTheme="majorHAnsi" w:cstheme="minorHAnsi"/>
          <w:szCs w:val="21"/>
        </w:rPr>
        <w:t xml:space="preserve"> atteindre 1,5 Md€ par an jusqu</w:t>
      </w:r>
      <w:r>
        <w:rPr>
          <w:rFonts w:asciiTheme="majorHAnsi" w:hAnsiTheme="majorHAnsi" w:cstheme="minorHAnsi"/>
          <w:szCs w:val="21"/>
        </w:rPr>
        <w:t xml:space="preserve">’en </w:t>
      </w:r>
      <w:r w:rsidRPr="00445995">
        <w:rPr>
          <w:rFonts w:asciiTheme="majorHAnsi" w:hAnsiTheme="majorHAnsi"/>
        </w:rPr>
        <w:t>2020 (contre 1 Md€ précédemment).</w:t>
      </w:r>
      <w:r w:rsidR="00260E0B">
        <w:rPr>
          <w:rFonts w:asciiTheme="majorHAnsi" w:hAnsiTheme="majorHAnsi"/>
        </w:rPr>
        <w:t xml:space="preserve"> </w:t>
      </w:r>
      <w:r w:rsidRPr="00445995">
        <w:rPr>
          <w:rFonts w:asciiTheme="majorHAnsi" w:hAnsiTheme="majorHAnsi"/>
        </w:rPr>
        <w:t>La France a</w:t>
      </w:r>
      <w:r>
        <w:rPr>
          <w:rFonts w:asciiTheme="majorHAnsi" w:hAnsiTheme="majorHAnsi" w:cstheme="minorHAnsi"/>
          <w:szCs w:val="21"/>
        </w:rPr>
        <w:t>vait</w:t>
      </w:r>
      <w:r w:rsidRPr="00445995">
        <w:rPr>
          <w:rFonts w:asciiTheme="majorHAnsi" w:hAnsiTheme="majorHAnsi"/>
        </w:rPr>
        <w:t xml:space="preserve"> atteint dès 2019 son objectif 2020, tant en volume global qu'en volume dédié à l'adaptation.</w:t>
      </w:r>
      <w:r w:rsidR="00AE6339">
        <w:rPr>
          <w:rFonts w:asciiTheme="majorHAnsi" w:hAnsiTheme="majorHAnsi"/>
        </w:rPr>
        <w:t xml:space="preserve"> L</w:t>
      </w:r>
      <w:r w:rsidR="00AE6339" w:rsidRPr="00AE6339">
        <w:rPr>
          <w:rFonts w:asciiTheme="majorHAnsi" w:hAnsiTheme="majorHAnsi"/>
        </w:rPr>
        <w:t>e président de la République a annoncé en décembre 2020 que l’effort de la France pour l’adaptation dans les pays en développement serait porté à 2 milliards d’euros par an de 2021 à 2025, sur un total de 6 milliards par an de finance climat</w:t>
      </w:r>
      <w:r w:rsidR="00AE6339">
        <w:rPr>
          <w:rFonts w:asciiTheme="majorHAnsi" w:hAnsiTheme="majorHAnsi"/>
        </w:rPr>
        <w:t>.</w:t>
      </w:r>
    </w:p>
    <w:p w14:paraId="3081CA3C" w14:textId="77777777" w:rsidR="006D5177" w:rsidRPr="00445995" w:rsidRDefault="006D5177" w:rsidP="00EF6DB6">
      <w:pPr>
        <w:pStyle w:val="Titre4niveau4"/>
      </w:pPr>
      <w:bookmarkStart w:id="665" w:name="_Toc90285269"/>
      <w:r w:rsidRPr="00445995">
        <w:t>Soutien au GIEC</w:t>
      </w:r>
      <w:bookmarkEnd w:id="665"/>
    </w:p>
    <w:p w14:paraId="4BA0CF90" w14:textId="77777777" w:rsidR="006D5177" w:rsidRDefault="006D5177" w:rsidP="006D5177">
      <w:pPr>
        <w:contextualSpacing/>
        <w:rPr>
          <w:rFonts w:asciiTheme="minorHAnsi" w:hAnsiTheme="minorHAnsi" w:cstheme="minorHAnsi"/>
          <w:szCs w:val="22"/>
        </w:rPr>
      </w:pPr>
      <w:r w:rsidRPr="008C2C4F">
        <w:rPr>
          <w:rFonts w:asciiTheme="majorHAnsi" w:hAnsiTheme="majorHAnsi" w:cstheme="minorHAnsi"/>
          <w:szCs w:val="21"/>
        </w:rPr>
        <w:t xml:space="preserve">La </w:t>
      </w:r>
      <w:r>
        <w:rPr>
          <w:rFonts w:asciiTheme="majorHAnsi" w:hAnsiTheme="majorHAnsi" w:cstheme="minorHAnsi"/>
          <w:szCs w:val="21"/>
        </w:rPr>
        <w:t xml:space="preserve">France a </w:t>
      </w:r>
      <w:r w:rsidRPr="00445995">
        <w:rPr>
          <w:rFonts w:asciiTheme="majorHAnsi" w:hAnsiTheme="majorHAnsi"/>
        </w:rPr>
        <w:t>également participé très activement à l’ensemble des travaux du 6</w:t>
      </w:r>
      <w:r w:rsidRPr="00445995">
        <w:rPr>
          <w:rFonts w:asciiTheme="majorHAnsi" w:hAnsiTheme="majorHAnsi"/>
          <w:vertAlign w:val="superscript"/>
        </w:rPr>
        <w:t>e</w:t>
      </w:r>
      <w:r w:rsidRPr="008C2C4F">
        <w:rPr>
          <w:rFonts w:asciiTheme="majorHAnsi" w:hAnsiTheme="majorHAnsi" w:cstheme="minorHAnsi"/>
          <w:szCs w:val="21"/>
        </w:rPr>
        <w:t xml:space="preserve"> cycle d’évaluation du GIEC</w:t>
      </w:r>
      <w:r>
        <w:rPr>
          <w:rFonts w:asciiTheme="majorHAnsi" w:hAnsiTheme="majorHAnsi" w:cstheme="minorHAnsi"/>
          <w:szCs w:val="21"/>
        </w:rPr>
        <w:t xml:space="preserve">. </w:t>
      </w:r>
      <w:r w:rsidRPr="00445995">
        <w:rPr>
          <w:rFonts w:asciiTheme="majorHAnsi" w:hAnsiTheme="majorHAnsi"/>
        </w:rPr>
        <w:t>Dans le domaine financier, la France a considérablement augmenté sa contribution au budget volontaire du GIEC qui s’élève désormais à 1 M€ par an et qui a</w:t>
      </w:r>
      <w:r>
        <w:rPr>
          <w:rFonts w:asciiTheme="majorHAnsi" w:hAnsiTheme="majorHAnsi" w:cstheme="minorHAnsi"/>
          <w:szCs w:val="21"/>
        </w:rPr>
        <w:t>vait</w:t>
      </w:r>
      <w:r w:rsidRPr="00445995">
        <w:rPr>
          <w:rFonts w:asciiTheme="majorHAnsi" w:hAnsiTheme="majorHAnsi"/>
        </w:rPr>
        <w:t xml:space="preserve"> permis de compenser la baisse considérable de la subvention versée par</w:t>
      </w:r>
      <w:r w:rsidRPr="008C2C4F">
        <w:rPr>
          <w:rFonts w:asciiTheme="majorHAnsi" w:hAnsiTheme="majorHAnsi" w:cstheme="minorHAnsi"/>
          <w:szCs w:val="21"/>
        </w:rPr>
        <w:t xml:space="preserve"> les Etats-Unis. La France </w:t>
      </w:r>
      <w:r>
        <w:rPr>
          <w:rFonts w:asciiTheme="majorHAnsi" w:hAnsiTheme="majorHAnsi" w:cstheme="minorHAnsi"/>
          <w:szCs w:val="21"/>
        </w:rPr>
        <w:t>était</w:t>
      </w:r>
      <w:r w:rsidRPr="00445995">
        <w:rPr>
          <w:rFonts w:asciiTheme="majorHAnsi" w:hAnsiTheme="majorHAnsi"/>
        </w:rPr>
        <w:t xml:space="preserve"> devenue ainsi le premier pays contributeur entre 2018 et 2020, ce qui a créé une vraie dynamique auprès des autres pays et évité au GIEC d’être à court de financement. La France finance également l’équipe de support technique d’appui à la co-présidente du groupe de travail 1 du GIEC, la climatologue Valérie Masson-Delmotte, pour un montant </w:t>
      </w:r>
      <w:r>
        <w:rPr>
          <w:rFonts w:asciiTheme="majorHAnsi" w:hAnsiTheme="majorHAnsi" w:cstheme="minorHAnsi"/>
          <w:szCs w:val="21"/>
        </w:rPr>
        <w:t>total</w:t>
      </w:r>
      <w:r w:rsidRPr="00FA4440">
        <w:rPr>
          <w:rFonts w:asciiTheme="majorHAnsi" w:hAnsiTheme="majorHAnsi" w:cstheme="minorHAnsi"/>
          <w:szCs w:val="21"/>
        </w:rPr>
        <w:t xml:space="preserve"> </w:t>
      </w:r>
      <w:r>
        <w:rPr>
          <w:rFonts w:asciiTheme="majorHAnsi" w:hAnsiTheme="majorHAnsi" w:cstheme="minorHAnsi"/>
          <w:szCs w:val="21"/>
        </w:rPr>
        <w:t>sur le 6</w:t>
      </w:r>
      <w:r w:rsidRPr="00FA4440">
        <w:rPr>
          <w:rFonts w:asciiTheme="majorHAnsi" w:hAnsiTheme="majorHAnsi" w:cstheme="minorHAnsi"/>
          <w:szCs w:val="21"/>
          <w:vertAlign w:val="superscript"/>
        </w:rPr>
        <w:t>e</w:t>
      </w:r>
      <w:r>
        <w:rPr>
          <w:rFonts w:asciiTheme="majorHAnsi" w:hAnsiTheme="majorHAnsi" w:cstheme="minorHAnsi"/>
          <w:szCs w:val="21"/>
        </w:rPr>
        <w:t xml:space="preserve"> cycle</w:t>
      </w:r>
      <w:r w:rsidRPr="00445995">
        <w:rPr>
          <w:rFonts w:asciiTheme="majorHAnsi" w:hAnsiTheme="majorHAnsi"/>
        </w:rPr>
        <w:t xml:space="preserve"> s’élevant </w:t>
      </w:r>
      <w:r w:rsidRPr="00FA4440">
        <w:rPr>
          <w:rFonts w:asciiTheme="majorHAnsi" w:hAnsiTheme="majorHAnsi" w:cstheme="minorHAnsi"/>
          <w:szCs w:val="21"/>
        </w:rPr>
        <w:t xml:space="preserve">à </w:t>
      </w:r>
      <w:r>
        <w:rPr>
          <w:rFonts w:asciiTheme="majorHAnsi" w:hAnsiTheme="majorHAnsi" w:cstheme="minorHAnsi"/>
          <w:szCs w:val="21"/>
        </w:rPr>
        <w:t>environ 6,</w:t>
      </w:r>
      <w:r w:rsidRPr="00445995">
        <w:rPr>
          <w:rFonts w:asciiTheme="majorHAnsi" w:hAnsiTheme="majorHAnsi"/>
        </w:rPr>
        <w:t>5M</w:t>
      </w:r>
      <w:r w:rsidRPr="00BC4A08">
        <w:rPr>
          <w:rFonts w:asciiTheme="majorHAnsi" w:hAnsiTheme="majorHAnsi" w:cstheme="minorHAnsi"/>
          <w:szCs w:val="21"/>
        </w:rPr>
        <w:t>€</w:t>
      </w:r>
      <w:r>
        <w:rPr>
          <w:rFonts w:asciiTheme="majorHAnsi" w:hAnsiTheme="majorHAnsi" w:cstheme="minorHAnsi"/>
          <w:szCs w:val="21"/>
        </w:rPr>
        <w:t>.</w:t>
      </w:r>
    </w:p>
    <w:p w14:paraId="1DDBA865" w14:textId="77777777" w:rsidR="006D5177" w:rsidRPr="00445995" w:rsidRDefault="006D5177" w:rsidP="003F57EA">
      <w:pPr>
        <w:pStyle w:val="Titre3Niveau3"/>
      </w:pPr>
      <w:bookmarkStart w:id="666" w:name="_Toc138342044"/>
      <w:r w:rsidRPr="00445995">
        <w:t>Evaluation</w:t>
      </w:r>
      <w:r>
        <w:t xml:space="preserve"> économique</w:t>
      </w:r>
      <w:r w:rsidRPr="00445995">
        <w:t xml:space="preserve"> des coûts de l’adaptation au changement climatique</w:t>
      </w:r>
      <w:bookmarkEnd w:id="666"/>
    </w:p>
    <w:p w14:paraId="0C10D6AC" w14:textId="77777777" w:rsidR="006D5177" w:rsidRPr="00445995" w:rsidRDefault="006D5177" w:rsidP="006D5177">
      <w:pPr>
        <w:spacing w:line="240" w:lineRule="atLeast"/>
        <w:rPr>
          <w:rFonts w:ascii="Calibri" w:hAnsi="Calibri"/>
        </w:rPr>
      </w:pPr>
      <w:r>
        <w:t>Selon le rapport</w:t>
      </w:r>
      <w:r>
        <w:rPr>
          <w:rStyle w:val="FootnoteReference"/>
        </w:rPr>
        <w:footnoteReference w:id="67"/>
      </w:r>
      <w:r>
        <w:t xml:space="preserve"> d’I4CE </w:t>
      </w:r>
      <w:r w:rsidRPr="00445995">
        <w:rPr>
          <w:rFonts w:asciiTheme="minorHAnsi" w:hAnsiTheme="minorHAnsi"/>
        </w:rPr>
        <w:t>«</w:t>
      </w:r>
      <w:r w:rsidRPr="000D25B7">
        <w:rPr>
          <w:rFonts w:ascii="Calibri" w:hAnsi="Calibri" w:cs="Calibri"/>
        </w:rPr>
        <w:t> </w:t>
      </w:r>
      <w:r w:rsidRPr="00445995">
        <w:rPr>
          <w:rFonts w:asciiTheme="minorHAnsi" w:hAnsiTheme="minorHAnsi"/>
        </w:rPr>
        <w:t>Se donner les moyens de s’adapter aux conséquences du changement</w:t>
      </w:r>
      <w:r w:rsidRPr="00C57D83">
        <w:rPr>
          <w:rFonts w:asciiTheme="minorHAnsi" w:hAnsiTheme="minorHAnsi"/>
        </w:rPr>
        <w:t xml:space="preserve"> </w:t>
      </w:r>
      <w:r w:rsidRPr="00FE0D44">
        <w:rPr>
          <w:rFonts w:asciiTheme="minorHAnsi" w:hAnsiTheme="minorHAnsi"/>
        </w:rPr>
        <w:t>climatique en France :</w:t>
      </w:r>
      <w:r w:rsidRPr="00462D13">
        <w:rPr>
          <w:rFonts w:asciiTheme="minorHAnsi" w:hAnsiTheme="minorHAnsi"/>
        </w:rPr>
        <w:t xml:space="preserve"> De combien parle-t-on ?</w:t>
      </w:r>
      <w:r w:rsidRPr="000D25B7">
        <w:rPr>
          <w:rFonts w:ascii="Calibri" w:hAnsi="Calibri" w:cs="Calibri"/>
        </w:rPr>
        <w:t> </w:t>
      </w:r>
      <w:r w:rsidRPr="00445995">
        <w:t>»</w:t>
      </w:r>
      <w:r>
        <w:t xml:space="preserve"> publié en juin 2022, s’adapter au changement climatique est aussi un enjeu d’équité sociale et de solidarité territoriale auquel l’État se doit de répondre. Pour y parvenir il est nécessaire d’ouvrir un certain nombre de chantiers, tels que l’adaptation des bâtiments à des vagues de chaleur plus longues, le renforcement de la robustesse des infrastructures de transport ou d’énergie pour en assurer la résilience dans un contexte de plus grande variabilité climatique, la transformation des systèmes agricoles pour faire face à des sécheresses plus fréquentes, la diversification des économies de montagne pour répondre à la diminution de l’enneigement ou encore la recomposition des littoraux pour faire face à la hausse du niveau de la mer (I4CE et Ramboll 2020). Chacun de ces chantiers nécessitera des ressources, financières et humaines, pour mettre en œuvre des politiques d’adaptation à la hauteur des conséquences du changement climatique (I4CE 2021a). Des actions ont déjà été lancées par l’État, les collectivités et d’autres acteurs y compris privés, mais celles-ci ne sont pas toujours à la hauteur des enjeux et de nombreux angles morts subsistent (Haut Conseil pour le Climat 2021; Dantec et Roux 2019; IDDRI 2019). Cette étude présente ainsi deux types d’éléments complémentaires : </w:t>
      </w:r>
    </w:p>
    <w:p w14:paraId="7D084BE3" w14:textId="77777777" w:rsidR="006D5177" w:rsidRDefault="006D5177" w:rsidP="00BE086C">
      <w:pPr>
        <w:pStyle w:val="ListParagraph"/>
        <w:numPr>
          <w:ilvl w:val="0"/>
          <w:numId w:val="40"/>
        </w:numPr>
        <w:spacing w:line="240" w:lineRule="atLeast"/>
      </w:pPr>
      <w:r>
        <w:t>une sélection de décisions budgétaires nationales qui pourraient être prises dès maintenant en complément de ce qui existe déjà;</w:t>
      </w:r>
    </w:p>
    <w:p w14:paraId="425447A3" w14:textId="77777777" w:rsidR="006D5177" w:rsidRDefault="006D5177" w:rsidP="00BE086C">
      <w:pPr>
        <w:pStyle w:val="ListParagraph"/>
        <w:numPr>
          <w:ilvl w:val="0"/>
          <w:numId w:val="40"/>
        </w:numPr>
        <w:spacing w:line="240" w:lineRule="atLeast"/>
      </w:pPr>
      <w:r>
        <w:t>des éléments de coûts pour nourrir les discussions qui doivent encore être ouvertes.</w:t>
      </w:r>
    </w:p>
    <w:p w14:paraId="364D21F1" w14:textId="04F09367" w:rsidR="006D5177" w:rsidRDefault="006D5177" w:rsidP="006D5177">
      <w:pPr>
        <w:spacing w:line="240" w:lineRule="atLeast"/>
      </w:pPr>
      <w:r w:rsidRPr="00083460">
        <w:rPr>
          <w:noProof/>
        </w:rPr>
        <w:drawing>
          <wp:inline distT="0" distB="0" distL="0" distR="0" wp14:anchorId="2AE40B0F" wp14:editId="0988F8E6">
            <wp:extent cx="6318250" cy="5523865"/>
            <wp:effectExtent l="0" t="0" r="6350" b="63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318250" cy="5523865"/>
                    </a:xfrm>
                    <a:prstGeom prst="rect">
                      <a:avLst/>
                    </a:prstGeom>
                  </pic:spPr>
                </pic:pic>
              </a:graphicData>
            </a:graphic>
          </wp:inline>
        </w:drawing>
      </w:r>
    </w:p>
    <w:p w14:paraId="75975912" w14:textId="5EA988E1" w:rsidR="00734FEB" w:rsidRDefault="00734FEB" w:rsidP="0045532B">
      <w:pPr>
        <w:pStyle w:val="Caption"/>
      </w:pPr>
      <w:bookmarkStart w:id="667" w:name="_Toc123916488"/>
      <w:r>
        <w:t xml:space="preserve">Figure </w:t>
      </w:r>
      <w:fldSimple w:instr=" SEQ Figure \* ARABIC ">
        <w:r w:rsidR="00AB51D9">
          <w:rPr>
            <w:noProof/>
          </w:rPr>
          <w:t>77</w:t>
        </w:r>
      </w:fldSimple>
      <w:r>
        <w:t> : Besoins financiers pour les mesures d’adaptations aux effets du changement climatique en France</w:t>
      </w:r>
      <w:bookmarkEnd w:id="667"/>
    </w:p>
    <w:p w14:paraId="3F8E8FF2" w14:textId="6BC4BD19" w:rsidR="00734FEB" w:rsidRPr="00734FEB" w:rsidRDefault="00734FEB" w:rsidP="0045532B">
      <w:pPr>
        <w:pStyle w:val="Caption"/>
      </w:pPr>
      <w:r>
        <w:t>Source : I4CE</w:t>
      </w:r>
    </w:p>
    <w:p w14:paraId="481BD957" w14:textId="77777777" w:rsidR="006D5177" w:rsidRDefault="006D5177" w:rsidP="006D5177">
      <w:pPr>
        <w:spacing w:line="240" w:lineRule="atLeast"/>
      </w:pPr>
    </w:p>
    <w:p w14:paraId="6F6DC0AF" w14:textId="77777777" w:rsidR="006D5177" w:rsidRDefault="006D5177" w:rsidP="006D5177">
      <w:pPr>
        <w:spacing w:line="240" w:lineRule="atLeast"/>
      </w:pPr>
      <w:r>
        <w:t>Le rapport d’I4CE analyse qu’au moins 2,3 Mds€ additionnels peuvent être mobilisés chaque année dès le prochain projet de Loi de finances. Cette analyse est étayée par un premier ensemble de 18 mesures budgétaires nationales qui pourraient être prises dès à présent pour préparer, renforcer ou opérationnaliser des actions d’adaptation déjà prêtes.</w:t>
      </w:r>
    </w:p>
    <w:p w14:paraId="6085F0DC" w14:textId="77777777" w:rsidR="006D5177" w:rsidRDefault="006D5177" w:rsidP="006D5177">
      <w:pPr>
        <w:spacing w:line="240" w:lineRule="atLeast"/>
      </w:pPr>
    </w:p>
    <w:p w14:paraId="0D76085C" w14:textId="77777777" w:rsidR="006D5177" w:rsidRDefault="006D5177" w:rsidP="006D5177">
      <w:pPr>
        <w:spacing w:line="240" w:lineRule="atLeast"/>
      </w:pPr>
      <w:r>
        <w:t>Les 14 rapports de l’ONERC, publiés depuis 2005, présentent les principales conséquences du réchauffement climatique en France en incluant des recommandations en matière d’adaptation :</w:t>
      </w:r>
    </w:p>
    <w:p w14:paraId="042B5C23" w14:textId="77777777" w:rsidR="006D5177" w:rsidRDefault="006D5177" w:rsidP="006D5177">
      <w:pPr>
        <w:spacing w:line="240" w:lineRule="atLeast"/>
      </w:pPr>
      <w:r>
        <w:t>•</w:t>
      </w:r>
      <w:r>
        <w:tab/>
        <w:t>Les événements météorologiques extrêmes dans un contexte de changement climatique, décembre (2018).</w:t>
      </w:r>
    </w:p>
    <w:p w14:paraId="0E7A4C5C" w14:textId="77777777" w:rsidR="006D5177" w:rsidRDefault="006D5177" w:rsidP="006D5177">
      <w:pPr>
        <w:spacing w:line="240" w:lineRule="atLeast"/>
      </w:pPr>
      <w:r>
        <w:tab/>
        <w:t>Des solutions fondées sur la Nature pour s’adapter au changement climatique (2019),</w:t>
      </w:r>
    </w:p>
    <w:p w14:paraId="04D02E42" w14:textId="77777777" w:rsidR="006D5177" w:rsidRDefault="006D5177" w:rsidP="006D5177">
      <w:pPr>
        <w:spacing w:line="240" w:lineRule="atLeast"/>
      </w:pPr>
      <w:r>
        <w:tab/>
        <w:t>La prospective au service de l’adaptation au changement climatique (2022).</w:t>
      </w:r>
    </w:p>
    <w:p w14:paraId="1597CA4D" w14:textId="77777777" w:rsidR="006D5177" w:rsidRPr="00445995" w:rsidRDefault="006D5177" w:rsidP="003F57EA">
      <w:pPr>
        <w:pStyle w:val="Titre3Niveau3"/>
      </w:pPr>
      <w:bookmarkStart w:id="668" w:name="_Toc138342045"/>
      <w:r w:rsidRPr="00445995">
        <w:t>Lan</w:t>
      </w:r>
      <w:r w:rsidRPr="00BD16C3">
        <w:t>cement d</w:t>
      </w:r>
      <w:r>
        <w:t xml:space="preserve">’un </w:t>
      </w:r>
      <w:r w:rsidRPr="00445995">
        <w:t>centre de ressources pour l’adaptation au changement climatique</w:t>
      </w:r>
      <w:bookmarkEnd w:id="668"/>
    </w:p>
    <w:p w14:paraId="490CF0A3" w14:textId="77777777" w:rsidR="006D5177" w:rsidRDefault="006D5177" w:rsidP="006D5177">
      <w:pPr>
        <w:spacing w:line="240" w:lineRule="atLeast"/>
      </w:pPr>
      <w:r w:rsidRPr="0077397D">
        <w:t xml:space="preserve">Action phare du plan national d’adaptation au changement climatique, le Centre de ressources sur l’adaptation au changement climatique a été conçu pour accompagner tous les acteurs de l’adaptation au changement climatique. Ce nouveau centre de ressources donne accès à des informations personnalisées sur la réalité du changement climatique, ses enjeux et les solutions existantes. </w:t>
      </w:r>
      <w:r>
        <w:t>Il s’agit du premier centre de ressources français spécifiquement dédié à l’adaptation au changement climatique. Il donne accès à des informations sur la réalité du changement climatique, ses enjeux et les solutions existantes. Il permet d'outiller tous les acteurs et de les mettre en capacité d’agir au moyen de cinq parcours utilisateurs : élu, technicien de collectivités, acteur économique, bureau d’études, particulier. Tous les thèmes de l’adaptation au changement climatique y sont traités. Des pages spécifiques regroupent les informations régionales (cartographie des initiatives locales, répertoire des acteurs locaux, accès aux services climatiques, etc.). Un moteur de recherche offre des accès à différentes ressources : rapports, fiches, guides, synthèses, projets de recherche, etc.</w:t>
      </w:r>
    </w:p>
    <w:p w14:paraId="10786646" w14:textId="77777777" w:rsidR="006D5177" w:rsidRDefault="006D5177" w:rsidP="006D5177">
      <w:pPr>
        <w:spacing w:line="240" w:lineRule="atLeast"/>
      </w:pPr>
    </w:p>
    <w:p w14:paraId="75F842B9" w14:textId="77777777" w:rsidR="006D5177" w:rsidRDefault="006D5177" w:rsidP="006D5177">
      <w:pPr>
        <w:spacing w:line="240" w:lineRule="atLeast"/>
      </w:pPr>
      <w:r w:rsidRPr="007C5053">
        <w:rPr>
          <w:noProof/>
        </w:rPr>
        <w:drawing>
          <wp:inline distT="0" distB="0" distL="0" distR="0" wp14:anchorId="66C136BD" wp14:editId="1D5DF0CA">
            <wp:extent cx="6318250" cy="4693920"/>
            <wp:effectExtent l="0" t="0" r="635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18250" cy="4693920"/>
                    </a:xfrm>
                    <a:prstGeom prst="rect">
                      <a:avLst/>
                    </a:prstGeom>
                  </pic:spPr>
                </pic:pic>
              </a:graphicData>
            </a:graphic>
          </wp:inline>
        </w:drawing>
      </w:r>
    </w:p>
    <w:p w14:paraId="561581E2" w14:textId="71CB0D28" w:rsidR="00734FEB" w:rsidRDefault="00734FEB" w:rsidP="0045532B">
      <w:pPr>
        <w:pStyle w:val="Caption"/>
      </w:pPr>
      <w:bookmarkStart w:id="669" w:name="_Toc123916489"/>
      <w:r>
        <w:t xml:space="preserve">Figure </w:t>
      </w:r>
      <w:fldSimple w:instr=" SEQ Figure \* ARABIC ">
        <w:r w:rsidR="00AB51D9">
          <w:rPr>
            <w:noProof/>
          </w:rPr>
          <w:t>78</w:t>
        </w:r>
      </w:fldSimple>
      <w:r>
        <w:t xml:space="preserve"> : </w:t>
      </w:r>
      <w:r w:rsidR="006D5177">
        <w:t>Extrait de la page d’accueil du Centre de ressources pour l’adapt</w:t>
      </w:r>
      <w:r>
        <w:t>ation au changement climatique</w:t>
      </w:r>
      <w:bookmarkEnd w:id="669"/>
    </w:p>
    <w:p w14:paraId="0A120790" w14:textId="6E2D538E" w:rsidR="00734FEB" w:rsidRDefault="00734FEB" w:rsidP="0045532B">
      <w:pPr>
        <w:pStyle w:val="Caption"/>
      </w:pPr>
      <w:r>
        <w:t>Source : Centre de ressources pour l’adaptation au changement climatique</w:t>
      </w:r>
    </w:p>
    <w:p w14:paraId="769A9057" w14:textId="77777777" w:rsidR="006D5177" w:rsidRDefault="006D5177" w:rsidP="006D5177">
      <w:pPr>
        <w:spacing w:line="240" w:lineRule="atLeast"/>
      </w:pPr>
    </w:p>
    <w:p w14:paraId="22A053D1" w14:textId="77777777" w:rsidR="006D5177" w:rsidRDefault="006D5177" w:rsidP="006D5177">
      <w:pPr>
        <w:spacing w:line="240" w:lineRule="atLeast"/>
      </w:pPr>
      <w:r>
        <w:t>Publié en mars 2022 par France-Stratégie, cette note d’analyse</w:t>
      </w:r>
      <w:r>
        <w:rPr>
          <w:rStyle w:val="FootnoteReference"/>
        </w:rPr>
        <w:footnoteReference w:id="68"/>
      </w:r>
      <w:r>
        <w:t xml:space="preserve"> sur les effets du changement climatique sur les réseaux de transport fait état de trois axes majeurs pour faciliter l’adaptation des infrastructures de réseaux au changement climatique</w:t>
      </w:r>
      <w:r>
        <w:rPr>
          <w:rFonts w:ascii="Calibri" w:hAnsi="Calibri" w:cs="Calibri"/>
        </w:rPr>
        <w:t> </w:t>
      </w:r>
      <w:r>
        <w:t xml:space="preserve">: </w:t>
      </w:r>
    </w:p>
    <w:p w14:paraId="7BBC364A" w14:textId="1E4EE573" w:rsidR="006D5177" w:rsidRDefault="006D5177" w:rsidP="006D5177">
      <w:pPr>
        <w:spacing w:line="240" w:lineRule="atLeast"/>
      </w:pPr>
      <w:r w:rsidRPr="007E7DA8">
        <w:rPr>
          <w:noProof/>
        </w:rPr>
        <w:drawing>
          <wp:inline distT="0" distB="0" distL="0" distR="0" wp14:anchorId="37EB4016" wp14:editId="57066980">
            <wp:extent cx="6318250" cy="3441700"/>
            <wp:effectExtent l="0" t="0" r="6350" b="635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318250" cy="3441700"/>
                    </a:xfrm>
                    <a:prstGeom prst="rect">
                      <a:avLst/>
                    </a:prstGeom>
                  </pic:spPr>
                </pic:pic>
              </a:graphicData>
            </a:graphic>
          </wp:inline>
        </w:drawing>
      </w:r>
    </w:p>
    <w:p w14:paraId="3A773349" w14:textId="04169DC4" w:rsidR="00734FEB" w:rsidRDefault="00734FEB" w:rsidP="0045532B">
      <w:pPr>
        <w:pStyle w:val="Caption"/>
      </w:pPr>
      <w:bookmarkStart w:id="670" w:name="_Toc123916490"/>
      <w:r>
        <w:t xml:space="preserve">Figure </w:t>
      </w:r>
      <w:fldSimple w:instr=" SEQ Figure \* ARABIC ">
        <w:r w:rsidR="00AB51D9">
          <w:rPr>
            <w:noProof/>
          </w:rPr>
          <w:t>79</w:t>
        </w:r>
      </w:fldSimple>
      <w:r>
        <w:t> : Axes prioritaires pour l’adaptation des infrastructures de réseaux au changement climatique</w:t>
      </w:r>
      <w:bookmarkEnd w:id="670"/>
    </w:p>
    <w:p w14:paraId="53C52A5E" w14:textId="1F4B8AFC" w:rsidR="00734FEB" w:rsidRDefault="00734FEB" w:rsidP="0045532B">
      <w:pPr>
        <w:pStyle w:val="Caption"/>
      </w:pPr>
      <w:r>
        <w:t>Source : France Stratégie</w:t>
      </w:r>
    </w:p>
    <w:p w14:paraId="2967BBD5" w14:textId="77777777" w:rsidR="00734FEB" w:rsidRPr="00734FEB" w:rsidRDefault="00734FEB" w:rsidP="00734FEB"/>
    <w:p w14:paraId="7E7BAC04" w14:textId="25643FDC" w:rsidR="006D5177" w:rsidRDefault="006D5177" w:rsidP="006D5177">
      <w:pPr>
        <w:spacing w:line="240" w:lineRule="atLeast"/>
      </w:pPr>
      <w:r w:rsidRPr="00B641A7">
        <w:t>Ce travail mené sur les réseaux d’électricité, de transports routier et ferroviaire et de télécommunications rappelle la vulnérabilité des infrastructures qui les composent dans le contexte d’un climat en pleine évolution</w:t>
      </w:r>
      <w:r w:rsidR="00DC248F">
        <w:t>.</w:t>
      </w:r>
    </w:p>
    <w:p w14:paraId="69830E76" w14:textId="77777777" w:rsidR="006D5177" w:rsidRDefault="006D5177" w:rsidP="006D5177">
      <w:pPr>
        <w:spacing w:line="240" w:lineRule="atLeast"/>
      </w:pPr>
      <w:r>
        <w:t>Outre la vulnérabilité des réseaux étudiés aux effets du changement climatique, dès aujourd’hui et a fortiori face au climat futur, l’étude met en avant la forte hétérogénéité des capacités de prise en compte de ces risques par l’ensemble des parties prenantes. En particulier, les interdépendances entre ces réseaux restent peu traitées. Cela constitue un axe de travail pour la puissance publique, à la fois au niveau national, par exemple dans le cadre de la révision de la Stratégie française énergie-climat, et au niveau territorial pour favoriser, organiser et pérenniser les échanges entre parties prenantes, au premier chef desquels les gestionnaires de réseaux. Les pistes d’action présentées apparaissent de nature à pouvoir faire évoluer globalement les stratégies d’entretien et de maintenance des réseaux.</w:t>
      </w:r>
    </w:p>
    <w:p w14:paraId="63CEAC31" w14:textId="77777777" w:rsidR="006D5177" w:rsidRDefault="006D5177" w:rsidP="006D5177">
      <w:pPr>
        <w:spacing w:line="240" w:lineRule="atLeast"/>
      </w:pPr>
    </w:p>
    <w:p w14:paraId="0AB0C027" w14:textId="77777777" w:rsidR="006D5177" w:rsidRDefault="00697C78" w:rsidP="006D5177">
      <w:pPr>
        <w:spacing w:before="100" w:beforeAutospacing="1" w:after="100" w:afterAutospacing="1"/>
      </w:pPr>
      <w:hyperlink r:id="rId126" w:history="1">
        <w:r w:rsidR="006D5177" w:rsidRPr="00233B89">
          <w:rPr>
            <w:rStyle w:val="Hyperlink"/>
          </w:rPr>
          <w:t>Horizon Europe</w:t>
        </w:r>
      </w:hyperlink>
      <w:r w:rsidR="006D5177">
        <w:t xml:space="preserve"> est le programme-cadre de l'Union européenne pour la recherche et l'innovation pour la période allant de 2021 à 2027. </w:t>
      </w:r>
      <w:r w:rsidR="006D5177" w:rsidRPr="00233B89">
        <w:t>Officiellement lancée le</w:t>
      </w:r>
      <w:r w:rsidR="006D5177">
        <w:t xml:space="preserve"> 29 septembre 2021, la </w:t>
      </w:r>
      <w:hyperlink r:id="rId127" w:history="1">
        <w:r w:rsidR="006D5177" w:rsidRPr="00233B89">
          <w:rPr>
            <w:rStyle w:val="Hyperlink"/>
          </w:rPr>
          <w:t>Mission «</w:t>
        </w:r>
        <w:r w:rsidR="006D5177" w:rsidRPr="00233B89">
          <w:rPr>
            <w:rStyle w:val="Hyperlink"/>
            <w:rFonts w:ascii="Calibri" w:hAnsi="Calibri" w:cs="Calibri"/>
          </w:rPr>
          <w:t> </w:t>
        </w:r>
        <w:r w:rsidR="006D5177" w:rsidRPr="00233B89">
          <w:rPr>
            <w:rStyle w:val="Hyperlink"/>
          </w:rPr>
          <w:t>Adaptation au changement climatique et aux transformations soci</w:t>
        </w:r>
        <w:r w:rsidR="006D5177" w:rsidRPr="00233B89">
          <w:rPr>
            <w:rStyle w:val="Hyperlink"/>
            <w:rFonts w:cs="Marianne"/>
          </w:rPr>
          <w:t>é</w:t>
        </w:r>
        <w:r w:rsidR="006D5177" w:rsidRPr="00233B89">
          <w:rPr>
            <w:rStyle w:val="Hyperlink"/>
          </w:rPr>
          <w:t>tales</w:t>
        </w:r>
        <w:r w:rsidR="006D5177" w:rsidRPr="00233B89">
          <w:rPr>
            <w:rStyle w:val="Hyperlink"/>
            <w:rFonts w:ascii="Calibri" w:hAnsi="Calibri" w:cs="Calibri"/>
          </w:rPr>
          <w:t> </w:t>
        </w:r>
        <w:r w:rsidR="006D5177" w:rsidRPr="00233B89">
          <w:rPr>
            <w:rStyle w:val="Hyperlink"/>
            <w:rFonts w:cs="Marianne"/>
          </w:rPr>
          <w:t>»</w:t>
        </w:r>
      </w:hyperlink>
      <w:r w:rsidR="006D5177" w:rsidRPr="00233B89">
        <w:t xml:space="preserve"> est </w:t>
      </w:r>
      <w:r w:rsidR="006D5177">
        <w:t xml:space="preserve">un des </w:t>
      </w:r>
      <w:r w:rsidR="006D5177" w:rsidRPr="008267E6">
        <w:t xml:space="preserve">cinq </w:t>
      </w:r>
      <w:r w:rsidR="006D5177">
        <w:t>instruments</w:t>
      </w:r>
      <w:r w:rsidR="006D5177" w:rsidRPr="008267E6">
        <w:t xml:space="preserve"> </w:t>
      </w:r>
      <w:r w:rsidR="006D5177">
        <w:t xml:space="preserve">qui </w:t>
      </w:r>
      <w:r w:rsidR="006D5177" w:rsidRPr="008267E6">
        <w:t>ont été mis en place pour relever une série de grands défis</w:t>
      </w:r>
      <w:r w:rsidR="006D5177">
        <w:t>.</w:t>
      </w:r>
      <w:r w:rsidR="006D5177" w:rsidRPr="00233B89">
        <w:t>.</w:t>
      </w:r>
      <w:r w:rsidR="006D5177">
        <w:t xml:space="preserve"> </w:t>
      </w:r>
      <w:r w:rsidR="006D5177" w:rsidRPr="00233B89">
        <w:t>Décrits dans le plan de mise en œuvre publiée le 29/09/2021 par la Commission, la Mission a pour objectif d’aider au moins 150 régions et communautés européennes à devenir résilientes au climat d’ici à 2030.</w:t>
      </w:r>
      <w:r w:rsidR="006D5177">
        <w:t xml:space="preserve"> La Mission évolue selon trois phases différentes :</w:t>
      </w:r>
    </w:p>
    <w:p w14:paraId="39C83E4F" w14:textId="77777777" w:rsidR="006D5177" w:rsidRDefault="006D5177" w:rsidP="00BE086C">
      <w:pPr>
        <w:pStyle w:val="ListParagraph"/>
        <w:numPr>
          <w:ilvl w:val="0"/>
          <w:numId w:val="37"/>
        </w:numPr>
        <w:spacing w:before="100" w:beforeAutospacing="1" w:after="100" w:afterAutospacing="1"/>
      </w:pPr>
      <w:r>
        <w:t>la phase de construction actuelle (2021-2023), au cours de laquelle le système de soutien à la Mission est mis en place et quelque 60 à 100 régions et communautés commencent à s’engager pleinement dans celle-ci.</w:t>
      </w:r>
    </w:p>
    <w:p w14:paraId="520B21A2" w14:textId="77777777" w:rsidR="006D5177" w:rsidRDefault="006D5177" w:rsidP="00BE086C">
      <w:pPr>
        <w:pStyle w:val="ListParagraph"/>
        <w:numPr>
          <w:ilvl w:val="0"/>
          <w:numId w:val="37"/>
        </w:numPr>
        <w:spacing w:before="100" w:beforeAutospacing="1" w:after="100" w:afterAutospacing="1"/>
      </w:pPr>
      <w:r>
        <w:t xml:space="preserve">la phase de déploiement (2024-2027), au cours de laquelle la Mission apportera tous les ajustements résultant de l’évaluation, et activera toutes les autres actions pour déployer son plein potentiel, engageant 50 à 100 autres régions et communautés. </w:t>
      </w:r>
    </w:p>
    <w:p w14:paraId="101621E4" w14:textId="77777777" w:rsidR="006D5177" w:rsidRDefault="006D5177" w:rsidP="00BE086C">
      <w:pPr>
        <w:pStyle w:val="ListParagraph"/>
        <w:numPr>
          <w:ilvl w:val="0"/>
          <w:numId w:val="37"/>
        </w:numPr>
        <w:spacing w:before="100" w:beforeAutospacing="1" w:after="100" w:afterAutospacing="1"/>
      </w:pPr>
      <w:r>
        <w:t>la phase de consolidation (2028-2030), au cours de laquelle la Mission développera son héritage et cherchera à maintenir l'élan acquis dans la marche vers la résilience climatique.</w:t>
      </w:r>
    </w:p>
    <w:p w14:paraId="3C1ED9BB" w14:textId="77777777" w:rsidR="006D5177" w:rsidRDefault="006D5177" w:rsidP="006D5177">
      <w:pPr>
        <w:spacing w:before="100" w:beforeAutospacing="1" w:after="100" w:afterAutospacing="1"/>
      </w:pPr>
      <w:r>
        <w:t>Horizon Europe soutient la mission : les ressources potentielles directement disponibles à partir d’Horizon Europe pour la Mission sont estimées à env. 930 millions d’€ pour 2021-2027, dont env. 360 millions d’euros pour la phase de construction (2021-2023). En plus du budget de base d’Horizon Europe, la Mission se concentre sur la mobilisation et l’amélioration de l’articulation de financements provenant de diverses sources publiques et privées à différents niveaux (UE, national, régional et local).</w:t>
      </w:r>
    </w:p>
    <w:p w14:paraId="29C46AF7" w14:textId="25998B3B" w:rsidR="00977B34" w:rsidRPr="00977B34" w:rsidRDefault="006D5177" w:rsidP="006D5177">
      <w:pPr>
        <w:spacing w:before="100" w:beforeAutospacing="1" w:after="100" w:afterAutospacing="1"/>
      </w:pPr>
      <w:r>
        <w:t>A la fin septembre 2022, 20 projets impliquant la France ont été signés et il y en a autant qui sont en cours de validation.</w:t>
      </w:r>
    </w:p>
    <w:p w14:paraId="73CBF790" w14:textId="77777777" w:rsidR="006D5177" w:rsidRDefault="006D5177">
      <w:pPr>
        <w:spacing w:line="240" w:lineRule="atLeast"/>
        <w:jc w:val="left"/>
        <w:rPr>
          <w:rFonts w:eastAsiaTheme="majorEastAsia" w:cstheme="majorBidi"/>
          <w:bCs/>
          <w:spacing w:val="-10"/>
          <w:kern w:val="28"/>
          <w:sz w:val="48"/>
          <w:szCs w:val="56"/>
        </w:rPr>
      </w:pPr>
      <w:r>
        <w:br w:type="page"/>
      </w:r>
    </w:p>
    <w:p w14:paraId="06003EC4" w14:textId="4186906E" w:rsidR="0051771F" w:rsidRDefault="0051771F" w:rsidP="008C79A1">
      <w:pPr>
        <w:pStyle w:val="Titre1Niveau1"/>
        <w:ind w:left="0" w:right="27"/>
        <w:rPr>
          <w:rFonts w:asciiTheme="minorHAnsi" w:hAnsiTheme="minorHAnsi"/>
          <w:sz w:val="19"/>
        </w:rPr>
      </w:pPr>
      <w:bookmarkStart w:id="671" w:name="_Toc138342046"/>
      <w:bookmarkStart w:id="672" w:name="ChapitreVII"/>
      <w:r w:rsidRPr="005D5AA6">
        <w:t xml:space="preserve">Chapitre </w:t>
      </w:r>
      <w:r>
        <w:t>VI</w:t>
      </w:r>
      <w:r w:rsidRPr="005D5AA6">
        <w:t>I</w:t>
      </w:r>
      <w:r w:rsidR="00C654BE">
        <w:t xml:space="preserve"> – </w:t>
      </w:r>
      <w:r w:rsidRPr="0051771F">
        <w:t>Ressources</w:t>
      </w:r>
      <w:r w:rsidR="00C654BE">
        <w:t xml:space="preserve"> </w:t>
      </w:r>
      <w:r w:rsidRPr="0051771F">
        <w:t>financières et transferts de technologie</w:t>
      </w:r>
      <w:bookmarkEnd w:id="671"/>
    </w:p>
    <w:bookmarkEnd w:id="672"/>
    <w:p w14:paraId="75E2BE8A" w14:textId="53E7270F" w:rsidR="00880CF0" w:rsidRPr="00667E2D" w:rsidRDefault="00880CF0" w:rsidP="00880CF0">
      <w:pPr>
        <w:spacing w:before="240" w:after="240"/>
      </w:pPr>
      <w:r w:rsidRPr="00880CF0">
        <w:t>En 2021, la France a fourni plus de 6 milliards d’euros de financements publics</w:t>
      </w:r>
      <w:r w:rsidRPr="00880CF0">
        <w:rPr>
          <w:rFonts w:ascii="Times New Roman" w:hAnsi="Times New Roman" w:cs="Arial"/>
          <w:szCs w:val="20"/>
        </w:rPr>
        <w:t xml:space="preserve"> </w:t>
      </w:r>
      <w:r w:rsidRPr="00880CF0">
        <w:t>pour l’atténuation et l’adaptation aux changements climatiques dans les pays en développement, à travers des sources bilatérales et multilatérales. Ce niveau d’engagements a connu une nette progression par rapport à 2017 (+36</w:t>
      </w:r>
      <w:r w:rsidR="006518EF">
        <w:t>%</w:t>
      </w:r>
      <w:r w:rsidRPr="00880CF0">
        <w:t xml:space="preserve"> avec un niveau d’engagement de 4,4 Md€ en 2017) et porte à plus de 26,4 Md€ depuis 2017, principalement à travers l’activité du groupe Agence française de développement</w:t>
      </w:r>
      <w:r w:rsidRPr="00880CF0">
        <w:rPr>
          <w:rStyle w:val="FootnoteReference"/>
        </w:rPr>
        <w:footnoteReference w:id="69"/>
      </w:r>
      <w:r w:rsidRPr="00880CF0">
        <w:t xml:space="preserve">. L’intégralité du soutien financier présenté dans le présent rapport est considéré comme nouveau et additionnel, étant constitué d’autorisations de financement réalisées pour l’année considérée (pour les financements bilatéraux) et de décaissements réalisés pour l’année de rapportage considérée </w:t>
      </w:r>
      <w:r w:rsidRPr="00667E2D">
        <w:t>(pour les engagements multilatéraux). On ne reporte donc pas l’engagement total des financements multilatéraux mais uniquemen</w:t>
      </w:r>
      <w:r>
        <w:t>t la quote-part décaissée en 2020 et 2021</w:t>
      </w:r>
      <w:r w:rsidRPr="00667E2D">
        <w:t xml:space="preserve">. </w:t>
      </w:r>
    </w:p>
    <w:p w14:paraId="16B4ACB2" w14:textId="77777777" w:rsidR="00880CF0" w:rsidRPr="00667E2D" w:rsidRDefault="00880CF0" w:rsidP="00880CF0">
      <w:pPr>
        <w:spacing w:before="240" w:after="240"/>
      </w:pPr>
      <w:r w:rsidRPr="00667E2D">
        <w:t>En outre, la France fournit une coopération technologique et soutient le renforcement des capacités des pays en développement à travers de nombreux canaux, qui sont également présentés dans ce rapport.</w:t>
      </w:r>
    </w:p>
    <w:p w14:paraId="2C51E62F" w14:textId="77777777" w:rsidR="00880CF0" w:rsidRDefault="00880CF0" w:rsidP="00E524AF">
      <w:pPr>
        <w:pStyle w:val="Titre2Niveau2"/>
        <w:numPr>
          <w:ilvl w:val="0"/>
          <w:numId w:val="101"/>
        </w:numPr>
      </w:pPr>
      <w:bookmarkStart w:id="673" w:name="_Toc115454098"/>
      <w:bookmarkStart w:id="674" w:name="_Toc121390979"/>
      <w:bookmarkStart w:id="675" w:name="_Ref122366346"/>
      <w:bookmarkStart w:id="676" w:name="_Ref122366355"/>
      <w:bookmarkStart w:id="677" w:name="_Toc138342047"/>
      <w:r w:rsidRPr="00290785">
        <w:t>Mobilisation des ressources financières de sources bilatérales</w:t>
      </w:r>
      <w:bookmarkEnd w:id="673"/>
      <w:bookmarkEnd w:id="674"/>
      <w:bookmarkEnd w:id="675"/>
      <w:bookmarkEnd w:id="676"/>
      <w:bookmarkEnd w:id="677"/>
    </w:p>
    <w:p w14:paraId="5CF8516B" w14:textId="131F2980" w:rsidR="00880CF0" w:rsidRDefault="00880CF0" w:rsidP="00880CF0">
      <w:r>
        <w:rPr>
          <w:rFonts w:cs="Arial"/>
          <w:color w:val="000000"/>
        </w:rPr>
        <w:t>La France est un acteur majeur de l’aide bilatérale au développement dans le domaine du climat avec un champ d’intervention très vaste, un niveau d’expertise reconnu et un engagement financier substantiel. Elle s’appuie principalement sur le groupe Agence française de développement (AFD et sa filiale pour le secteur privé Proparco), ainsi que sur des instruments bilatéraux dédiés en partie aux enjeux climatiques dans les pays en développement</w:t>
      </w:r>
      <w:r>
        <w:rPr>
          <w:rFonts w:ascii="Calibri" w:hAnsi="Calibri" w:cs="Calibri"/>
          <w:color w:val="000000"/>
        </w:rPr>
        <w:t> </w:t>
      </w:r>
      <w:r>
        <w:rPr>
          <w:rFonts w:cs="Arial"/>
          <w:color w:val="000000"/>
        </w:rPr>
        <w:t>: le Fonds Fran</w:t>
      </w:r>
      <w:r>
        <w:rPr>
          <w:rFonts w:cs="Marianne"/>
          <w:color w:val="000000"/>
        </w:rPr>
        <w:t>ç</w:t>
      </w:r>
      <w:r>
        <w:rPr>
          <w:rFonts w:cs="Arial"/>
          <w:color w:val="000000"/>
        </w:rPr>
        <w:t>ais pour l</w:t>
      </w:r>
      <w:r>
        <w:rPr>
          <w:rFonts w:cs="Marianne"/>
          <w:color w:val="000000"/>
        </w:rPr>
        <w:t>’</w:t>
      </w:r>
      <w:r>
        <w:rPr>
          <w:rFonts w:cs="Arial"/>
          <w:color w:val="000000"/>
        </w:rPr>
        <w:t>Environnement mondial (FFEM)</w:t>
      </w:r>
      <w:r>
        <w:rPr>
          <w:rFonts w:ascii="Calibri" w:hAnsi="Calibri" w:cs="Calibri"/>
          <w:color w:val="000000"/>
        </w:rPr>
        <w:t> </w:t>
      </w:r>
      <w:r>
        <w:rPr>
          <w:rFonts w:cs="Arial"/>
          <w:color w:val="000000"/>
        </w:rPr>
        <w:t>; le Fonds d</w:t>
      </w:r>
      <w:r>
        <w:rPr>
          <w:rFonts w:cs="Marianne"/>
          <w:color w:val="000000"/>
        </w:rPr>
        <w:t>’é</w:t>
      </w:r>
      <w:r>
        <w:rPr>
          <w:rFonts w:cs="Arial"/>
          <w:color w:val="000000"/>
        </w:rPr>
        <w:t>tudes et d</w:t>
      </w:r>
      <w:r>
        <w:rPr>
          <w:rFonts w:cs="Marianne"/>
          <w:color w:val="000000"/>
        </w:rPr>
        <w:t>’</w:t>
      </w:r>
      <w:r>
        <w:rPr>
          <w:rFonts w:cs="Arial"/>
          <w:color w:val="000000"/>
        </w:rPr>
        <w:t>aide au secteur priv</w:t>
      </w:r>
      <w:r>
        <w:rPr>
          <w:rFonts w:cs="Marianne"/>
          <w:color w:val="000000"/>
        </w:rPr>
        <w:t>é</w:t>
      </w:r>
      <w:r>
        <w:rPr>
          <w:rFonts w:cs="Arial"/>
          <w:color w:val="000000"/>
        </w:rPr>
        <w:t xml:space="preserve"> (FASEP) et les pr</w:t>
      </w:r>
      <w:r>
        <w:rPr>
          <w:rFonts w:cs="Marianne"/>
          <w:color w:val="000000"/>
        </w:rPr>
        <w:t>ê</w:t>
      </w:r>
      <w:r>
        <w:rPr>
          <w:rFonts w:cs="Arial"/>
          <w:color w:val="000000"/>
        </w:rPr>
        <w:t>ts du Tr</w:t>
      </w:r>
      <w:r>
        <w:rPr>
          <w:rFonts w:cs="Marianne"/>
          <w:color w:val="000000"/>
        </w:rPr>
        <w:t>é</w:t>
      </w:r>
      <w:r>
        <w:rPr>
          <w:rFonts w:cs="Arial"/>
          <w:color w:val="000000"/>
        </w:rPr>
        <w:t>sor concessionnels et non concessionnels</w:t>
      </w:r>
      <w:r w:rsidR="00E73BD6">
        <w:rPr>
          <w:rFonts w:cs="Arial"/>
          <w:color w:val="000000"/>
        </w:rPr>
        <w:t>.</w:t>
      </w:r>
    </w:p>
    <w:p w14:paraId="3D58667D" w14:textId="77777777" w:rsidR="00880CF0" w:rsidRDefault="00880CF0" w:rsidP="00E524AF">
      <w:pPr>
        <w:pStyle w:val="Titre3Niveau3"/>
      </w:pPr>
      <w:bookmarkStart w:id="678" w:name="_Toc115454099"/>
      <w:bookmarkStart w:id="679" w:name="_Toc121390980"/>
      <w:bookmarkStart w:id="680" w:name="_Toc138342048"/>
      <w:r w:rsidRPr="00290785">
        <w:t>Soutien financier fourni par le groupe Agence française de développement</w:t>
      </w:r>
      <w:bookmarkEnd w:id="678"/>
      <w:bookmarkEnd w:id="679"/>
      <w:bookmarkEnd w:id="680"/>
    </w:p>
    <w:p w14:paraId="0360A37A" w14:textId="08743E92" w:rsidR="00880CF0" w:rsidRPr="00D15F28" w:rsidRDefault="00880CF0" w:rsidP="00880CF0">
      <w:pPr>
        <w:spacing w:before="240" w:after="240"/>
        <w:rPr>
          <w:rFonts w:cs="Arial"/>
        </w:rPr>
      </w:pPr>
      <w:r>
        <w:rPr>
          <w:rFonts w:cs="Arial"/>
          <w:color w:val="000000"/>
        </w:rPr>
        <w:t xml:space="preserve">L’AFD, opérateur principal de l'aide publique bilatérale au développement française, a développé une stratégie climat ambitieuse pour la période 2017-2022, avec un objectif phare, celui de rendre cohérents l’ensemble des financements du Groupe AFD avec un développement bas-carbone et résilient. </w:t>
      </w:r>
      <w:r w:rsidRPr="00796F31">
        <w:rPr>
          <w:rFonts w:cs="Arial"/>
          <w:color w:val="000000"/>
        </w:rPr>
        <w:t>Cet objectif « 100% Accord de Paris » est l’un des piliers du Plan d’orientation stratégique</w:t>
      </w:r>
      <w:r w:rsidRPr="00796F31">
        <w:rPr>
          <w:rStyle w:val="FootnoteReference"/>
          <w:rFonts w:cs="Arial"/>
          <w:color w:val="000000"/>
        </w:rPr>
        <w:footnoteReference w:id="70"/>
      </w:r>
      <w:r w:rsidRPr="00796F31">
        <w:rPr>
          <w:rFonts w:cs="Arial"/>
          <w:color w:val="000000"/>
        </w:rPr>
        <w:t xml:space="preserve"> adopté en 2018 pour le Groupe AFD.</w:t>
      </w:r>
      <w:r>
        <w:rPr>
          <w:rFonts w:cs="Arial"/>
          <w:color w:val="000000"/>
        </w:rPr>
        <w:t xml:space="preserve"> Ainsi, le groupe (y compris Proparco) s’est fixé comme objectif d’allouer 50% de ses engagements financiers dans les États étrangers à des projets ayant des co-bénéfices climat. Le plan implique également de s’assurer que les 50% des </w:t>
      </w:r>
      <w:r w:rsidRPr="00D15F28">
        <w:rPr>
          <w:rFonts w:cs="Arial"/>
        </w:rPr>
        <w:t xml:space="preserve">financements du Groupe AFD qui n’ont pas de co-bénéfices climat ne nuisent pas aux </w:t>
      </w:r>
      <w:r w:rsidR="0063459B">
        <w:rPr>
          <w:rFonts w:cs="Arial"/>
        </w:rPr>
        <w:t>objectifs de l’Accord de Paris.</w:t>
      </w:r>
    </w:p>
    <w:p w14:paraId="2D6C3F89" w14:textId="3514EDF2" w:rsidR="00880CF0" w:rsidRDefault="00880CF0" w:rsidP="00880CF0">
      <w:pPr>
        <w:spacing w:before="240" w:after="240"/>
        <w:rPr>
          <w:rFonts w:cs="Arial"/>
        </w:rPr>
      </w:pPr>
      <w:r w:rsidRPr="00D15F28">
        <w:rPr>
          <w:rFonts w:cs="Arial"/>
        </w:rPr>
        <w:t>Depuis 2017, le groupe AFD consacre chaque année au moins 50</w:t>
      </w:r>
      <w:r w:rsidR="006518EF">
        <w:rPr>
          <w:rFonts w:cs="Arial"/>
        </w:rPr>
        <w:t>%</w:t>
      </w:r>
      <w:r w:rsidRPr="00D15F28">
        <w:rPr>
          <w:rFonts w:cs="Arial"/>
        </w:rPr>
        <w:t xml:space="preserve"> de ses financements dans les pays en développement à des projets à co-bénéfices climat. En 2021, le Groupe AFD a engagé plus de 6 Md€ de financements ayant des co-bénéfices «</w:t>
      </w:r>
      <w:r w:rsidRPr="00D15F28">
        <w:rPr>
          <w:rFonts w:ascii="Calibri" w:hAnsi="Calibri" w:cs="Calibri"/>
        </w:rPr>
        <w:t> </w:t>
      </w:r>
      <w:r w:rsidRPr="00D15F28">
        <w:rPr>
          <w:rFonts w:cs="Arial"/>
        </w:rPr>
        <w:t>climat</w:t>
      </w:r>
      <w:r w:rsidRPr="00D15F28">
        <w:rPr>
          <w:rFonts w:ascii="Calibri" w:hAnsi="Calibri" w:cs="Calibri"/>
        </w:rPr>
        <w:t> </w:t>
      </w:r>
      <w:r w:rsidRPr="00D15F28">
        <w:rPr>
          <w:rFonts w:cs="Marianne"/>
        </w:rPr>
        <w:t>» (contre 4 Md€ en 2017)</w:t>
      </w:r>
      <w:r w:rsidRPr="00D15F28">
        <w:rPr>
          <w:rFonts w:cs="Arial"/>
        </w:rPr>
        <w:t>, dont 2 milliards d’euros pour l’adaptation en faveur des pays en développement, confirmant le rehaussement de son ambition afin de contribuer au nouvel objectif de la France.</w:t>
      </w:r>
      <w:r w:rsidR="00260E0B">
        <w:rPr>
          <w:rFonts w:cs="Arial"/>
        </w:rPr>
        <w:t xml:space="preserve"> </w:t>
      </w:r>
      <w:r w:rsidRPr="00D15F28">
        <w:rPr>
          <w:rFonts w:cs="Arial"/>
        </w:rPr>
        <w:t>Les engagements climat du Groupe AFD ont ainsi permis le financement de 330 projets dans les pays en développement sur l’année 2021. En ligne avec sa stratégie climat, l’AFD (hors Proparco) atteint 58</w:t>
      </w:r>
      <w:r w:rsidR="006518EF">
        <w:rPr>
          <w:rFonts w:cs="Arial"/>
        </w:rPr>
        <w:t>%</w:t>
      </w:r>
      <w:r w:rsidRPr="00D15F28">
        <w:rPr>
          <w:rFonts w:cs="Arial"/>
        </w:rPr>
        <w:t xml:space="preserve"> d’octrois ayant un co-bénéfice « climat » en 2021, Proparco atteignant 34</w:t>
      </w:r>
      <w:r w:rsidR="006518EF">
        <w:rPr>
          <w:rFonts w:cs="Arial"/>
        </w:rPr>
        <w:t>%</w:t>
      </w:r>
      <w:r w:rsidRPr="00D15F28">
        <w:rPr>
          <w:rFonts w:cs="Arial"/>
        </w:rPr>
        <w:t>. Les financements climat du Groupe AFD ont significativement augmenté entre 2017 et 2021 (+36</w:t>
      </w:r>
      <w:r w:rsidR="006518EF">
        <w:rPr>
          <w:rFonts w:cs="Arial"/>
        </w:rPr>
        <w:t>%</w:t>
      </w:r>
      <w:r w:rsidRPr="00D15F28">
        <w:rPr>
          <w:rFonts w:cs="Arial"/>
        </w:rPr>
        <w:t>).</w:t>
      </w:r>
      <w:r w:rsidR="00260E0B">
        <w:rPr>
          <w:rFonts w:cs="Arial"/>
        </w:rPr>
        <w:t xml:space="preserve"> </w:t>
      </w:r>
    </w:p>
    <w:p w14:paraId="44DE9980" w14:textId="16A82826" w:rsidR="0063459B" w:rsidRDefault="0063459B" w:rsidP="00880CF0">
      <w:pPr>
        <w:spacing w:before="240" w:after="240"/>
        <w:rPr>
          <w:rFonts w:cs="Arial"/>
        </w:rPr>
      </w:pPr>
    </w:p>
    <w:p w14:paraId="4C18F2D3" w14:textId="37B6B2CE" w:rsidR="0063459B" w:rsidRDefault="0063459B" w:rsidP="00880CF0">
      <w:pPr>
        <w:spacing w:before="240" w:after="240"/>
        <w:rPr>
          <w:rFonts w:cs="Arial"/>
        </w:rPr>
      </w:pPr>
      <w:r w:rsidRPr="0063459B">
        <w:rPr>
          <w:rFonts w:cs="Arial"/>
          <w:noProof/>
        </w:rPr>
        <w:drawing>
          <wp:inline distT="0" distB="0" distL="0" distR="0" wp14:anchorId="21166E68" wp14:editId="58D13E98">
            <wp:extent cx="2898000" cy="2336400"/>
            <wp:effectExtent l="0" t="0" r="0" b="69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98000" cy="2336400"/>
                    </a:xfrm>
                    <a:prstGeom prst="rect">
                      <a:avLst/>
                    </a:prstGeom>
                    <a:noFill/>
                    <a:ln>
                      <a:noFill/>
                    </a:ln>
                  </pic:spPr>
                </pic:pic>
              </a:graphicData>
            </a:graphic>
          </wp:inline>
        </w:drawing>
      </w:r>
      <w:r w:rsidR="00260E0B">
        <w:rPr>
          <w:rFonts w:cs="Arial"/>
        </w:rPr>
        <w:t xml:space="preserve"> </w:t>
      </w:r>
      <w:r w:rsidRPr="0063459B">
        <w:rPr>
          <w:rFonts w:cs="Arial"/>
          <w:noProof/>
        </w:rPr>
        <w:drawing>
          <wp:inline distT="0" distB="0" distL="0" distR="0" wp14:anchorId="71120FA6" wp14:editId="23FAE197">
            <wp:extent cx="2811600" cy="2631600"/>
            <wp:effectExtent l="0" t="0" r="8255" b="0"/>
            <wp:docPr id="28672" name="Image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11600" cy="2631600"/>
                    </a:xfrm>
                    <a:prstGeom prst="rect">
                      <a:avLst/>
                    </a:prstGeom>
                    <a:noFill/>
                    <a:ln>
                      <a:noFill/>
                    </a:ln>
                  </pic:spPr>
                </pic:pic>
              </a:graphicData>
            </a:graphic>
          </wp:inline>
        </w:drawing>
      </w:r>
    </w:p>
    <w:p w14:paraId="40B3ADD3" w14:textId="2EAE2533" w:rsidR="0063459B" w:rsidRDefault="0063459B" w:rsidP="0045532B">
      <w:pPr>
        <w:pStyle w:val="Caption"/>
      </w:pPr>
      <w:bookmarkStart w:id="681" w:name="_Toc123916491"/>
      <w:r>
        <w:t xml:space="preserve">Figure </w:t>
      </w:r>
      <w:fldSimple w:instr=" SEQ Figure \* ARABIC ">
        <w:r w:rsidR="00AB51D9">
          <w:rPr>
            <w:noProof/>
          </w:rPr>
          <w:t>80</w:t>
        </w:r>
      </w:fldSimple>
      <w:r>
        <w:t> : Evolution des financements climats totaux (figure de gauche) dont les financements adaptation (droite) du groupe AFD</w:t>
      </w:r>
      <w:bookmarkEnd w:id="681"/>
    </w:p>
    <w:p w14:paraId="466770E8" w14:textId="3AE32EC8" w:rsidR="0063459B" w:rsidRDefault="0063459B" w:rsidP="0045532B">
      <w:pPr>
        <w:pStyle w:val="Caption"/>
      </w:pPr>
      <w:r>
        <w:t>Source : AFD, bilan d’activité 2021</w:t>
      </w:r>
    </w:p>
    <w:p w14:paraId="38867F6E" w14:textId="77777777" w:rsidR="0063459B" w:rsidRPr="0063459B" w:rsidRDefault="0063459B" w:rsidP="0063459B"/>
    <w:p w14:paraId="0DCAC2E5" w14:textId="77777777" w:rsidR="00905D7C" w:rsidRPr="00905D7C" w:rsidRDefault="00880CF0" w:rsidP="00905D7C">
      <w:pPr>
        <w:rPr>
          <w:rFonts w:cs="Arial"/>
        </w:rPr>
      </w:pPr>
      <w:r w:rsidRPr="00D15F28">
        <w:rPr>
          <w:rFonts w:cs="Arial"/>
        </w:rPr>
        <w:t xml:space="preserve">Afin de s’assurer que les financements fournis répondent aux besoins des pays récipiendaires en matière d’atténuation et d’adaptation aux changements climatiques, les agences locales de l’AFD identifient les projets et besoins des pays récipiendaires en lien avec les partenaires et maîtrise d’ouvrage assurée par ces pays. Elle s’appuie également sur la signature de contrats de financement avec les autorités nationales et locales des pays d’intervention. </w:t>
      </w:r>
      <w:r w:rsidR="00905D7C" w:rsidRPr="00905D7C">
        <w:rPr>
          <w:rFonts w:cs="Arial"/>
        </w:rPr>
        <w:t>Les documents stratégiques préparés par l'AFD, qui déterminent ses domaines d'intervention dans les secteurs et sur les questions transversales, font l'objet d'une consultation des ministères de tutelle et d'une présentation aux parties prenantes avant d'être soumis au Conseil d'administration.</w:t>
      </w:r>
    </w:p>
    <w:p w14:paraId="7A2A0650" w14:textId="77777777" w:rsidR="00905D7C" w:rsidRPr="00905D7C" w:rsidRDefault="00905D7C" w:rsidP="00905D7C">
      <w:pPr>
        <w:rPr>
          <w:rFonts w:cs="Arial"/>
          <w:color w:val="000000"/>
        </w:rPr>
      </w:pPr>
      <w:r w:rsidRPr="00905D7C">
        <w:rPr>
          <w:rFonts w:cs="Arial"/>
        </w:rPr>
        <w:t xml:space="preserve">Dans le cas des </w:t>
      </w:r>
      <w:r>
        <w:rPr>
          <w:rFonts w:cs="Arial"/>
        </w:rPr>
        <w:t>«</w:t>
      </w:r>
      <w:r>
        <w:rPr>
          <w:rFonts w:ascii="Calibri" w:hAnsi="Calibri" w:cs="Calibri"/>
        </w:rPr>
        <w:t> </w:t>
      </w:r>
      <w:r>
        <w:t>Country Intervention Frameworks</w:t>
      </w:r>
      <w:r>
        <w:rPr>
          <w:rFonts w:ascii="Calibri" w:hAnsi="Calibri" w:cs="Calibri"/>
        </w:rPr>
        <w:t> </w:t>
      </w:r>
      <w:r>
        <w:rPr>
          <w:rFonts w:cs="Marianne"/>
        </w:rPr>
        <w:t>»</w:t>
      </w:r>
      <w:r w:rsidRPr="00905D7C">
        <w:rPr>
          <w:rFonts w:cs="Arial"/>
        </w:rPr>
        <w:t>, un dialogue avec les parties prenantes (autorités locales, bailleurs de fonds, secteur privé, OSC, etc.) est systématiquement mené avant la rédaction du document.</w:t>
      </w:r>
      <w:r w:rsidR="00880CF0" w:rsidRPr="00D15F28">
        <w:rPr>
          <w:rFonts w:cs="Arial"/>
        </w:rPr>
        <w:t xml:space="preserve">En outre, l’AFD a déployé, à la suite de la COP21, plusieurs </w:t>
      </w:r>
      <w:r w:rsidR="00880CF0">
        <w:rPr>
          <w:rFonts w:cs="Arial"/>
          <w:color w:val="000000"/>
        </w:rPr>
        <w:t>instruments spécifiques permettant d’accompagner la mise en œuvre des engagements climatiques des pays en développement</w:t>
      </w:r>
      <w:r>
        <w:rPr>
          <w:rFonts w:cs="Arial"/>
          <w:color w:val="000000"/>
        </w:rPr>
        <w:t xml:space="preserve">, comme par exemple </w:t>
      </w:r>
      <w:r w:rsidRPr="00905D7C">
        <w:rPr>
          <w:rFonts w:cs="Arial"/>
          <w:color w:val="000000"/>
        </w:rPr>
        <w:t>la Facilité AdaptAction, dotée de 30 millions d'euros dans sa première phase, et de la Facilité 2050, également dotée de 30 millions d'euros dans sa première phase. Enfin, pour chaque pays d'intervention, des "fiches pays climat" ont été élaborées pour alimenter les analyses de développement durable des projets, soutenir le dialogue sur les politiques publiques avec les autorités nationales et la rédaction de toutes les stratégies géographiques. Ces fiches, ainsi que les stratégies sectorielles, contribuent à l'identification de projets en amont répondant aux besoins du pays</w:t>
      </w:r>
    </w:p>
    <w:p w14:paraId="394124AC" w14:textId="77777777" w:rsidR="00905D7C" w:rsidRPr="00905D7C" w:rsidRDefault="00905D7C" w:rsidP="00905D7C">
      <w:pPr>
        <w:rPr>
          <w:rFonts w:cs="Arial"/>
          <w:color w:val="000000"/>
        </w:rPr>
      </w:pPr>
    </w:p>
    <w:p w14:paraId="1328ACD5" w14:textId="77777777" w:rsidR="00905D7C" w:rsidRPr="00905D7C" w:rsidRDefault="00905D7C" w:rsidP="00905D7C">
      <w:pPr>
        <w:rPr>
          <w:rFonts w:cs="Arial"/>
          <w:color w:val="000000"/>
        </w:rPr>
      </w:pPr>
      <w:r w:rsidRPr="00905D7C">
        <w:rPr>
          <w:rFonts w:cs="Arial"/>
          <w:color w:val="000000"/>
        </w:rPr>
        <w:t xml:space="preserve">L'AFD soutient les Parties hors Annexe I à travers des recherches visant à mieux évaluer les conséquences économiques et sociales des transitions bas carbone. Sur le moyen/long terme, ces recherches soutiennent le dialogue sur les politiques publiques en vue de concevoir des politiques et des investissements appropriés. </w:t>
      </w:r>
    </w:p>
    <w:p w14:paraId="1A7B32C2" w14:textId="77777777" w:rsidR="00905D7C" w:rsidRPr="00905D7C" w:rsidRDefault="00905D7C" w:rsidP="00905D7C">
      <w:pPr>
        <w:rPr>
          <w:rFonts w:cs="Arial"/>
          <w:color w:val="000000"/>
        </w:rPr>
      </w:pPr>
      <w:r w:rsidRPr="00905D7C">
        <w:rPr>
          <w:rFonts w:cs="Arial"/>
          <w:color w:val="000000"/>
        </w:rPr>
        <w:t>Grâce au développement de GEMMES, l'outil de modélisation des impacts macroéconomiques du climat, l'AFD a contribué à la production de connaissances sur les impacts macroéconomiques à long terme liés à une transition à faible émission de carbone. L'outil est déployé dans plusieurs pays (Brésil, Côte d'Ivoire, Colombie, Maroc, Tunisie, Vietnam, Algérie, Afrique du Sud) et ses résultats ont ouvert la voie à un dialogue avec les autorités sur leurs stratégies de long terme, en lien ou en complément du soutien de la Facilité 2050.</w:t>
      </w:r>
    </w:p>
    <w:p w14:paraId="03570BFB" w14:textId="77777777" w:rsidR="00905D7C" w:rsidRPr="00905D7C" w:rsidRDefault="00905D7C" w:rsidP="00905D7C">
      <w:pPr>
        <w:rPr>
          <w:rFonts w:cs="Arial"/>
          <w:color w:val="000000"/>
        </w:rPr>
      </w:pPr>
      <w:r w:rsidRPr="00905D7C">
        <w:rPr>
          <w:rFonts w:cs="Arial"/>
          <w:color w:val="000000"/>
        </w:rPr>
        <w:t>Par ailleurs, l'AFD a développé le modèle ESTEEM (Exposure to Structural Transition in an Ecological-Economic Model) qui identifie les risques de transition auxquels sont exposées les économies des pays en développement, ce qui permet de les anticiper et de définir une trajectoire de transition adaptée à la situation de chaque pays.</w:t>
      </w:r>
    </w:p>
    <w:p w14:paraId="3D7344F2" w14:textId="77777777" w:rsidR="00905D7C" w:rsidRPr="00905D7C" w:rsidRDefault="00905D7C" w:rsidP="00905D7C">
      <w:pPr>
        <w:rPr>
          <w:rFonts w:cs="Arial"/>
          <w:color w:val="000000"/>
        </w:rPr>
      </w:pPr>
    </w:p>
    <w:p w14:paraId="7E3F5C74" w14:textId="2E1B5D63" w:rsidR="00880CF0" w:rsidRPr="0063459B" w:rsidRDefault="00905D7C" w:rsidP="00905D7C">
      <w:pPr>
        <w:rPr>
          <w:rFonts w:ascii="Arial" w:hAnsi="Arial" w:cs="Arial"/>
          <w:color w:val="000000"/>
        </w:rPr>
      </w:pPr>
      <w:r w:rsidRPr="00905D7C">
        <w:rPr>
          <w:rFonts w:cs="Arial"/>
          <w:color w:val="000000"/>
        </w:rPr>
        <w:t>L'engagement moyen de l'AFD pour l'adaptation dans les pays en développement est de 1,9 Md€ par an sur la période 2019-2021. L'AFD a apporté 21% de ces financements d'adaptation aux PMA (0,4 Md€), particulièrement vulnérables au changement climatique.</w:t>
      </w:r>
    </w:p>
    <w:p w14:paraId="5FCADC0E" w14:textId="77777777" w:rsidR="00880CF0" w:rsidRDefault="00880CF0" w:rsidP="003F57EA">
      <w:pPr>
        <w:pStyle w:val="Titre3Niveau3"/>
      </w:pPr>
      <w:bookmarkStart w:id="682" w:name="_Toc115454100"/>
      <w:bookmarkStart w:id="683" w:name="_Toc121390981"/>
      <w:bookmarkStart w:id="684" w:name="_Toc138342049"/>
      <w:r w:rsidRPr="00D15F28">
        <w:t>Méthodologie</w:t>
      </w:r>
      <w:r w:rsidRPr="00290785">
        <w:t xml:space="preserve"> de comptabilisation des engagements « climat » du groupe AFD</w:t>
      </w:r>
      <w:bookmarkEnd w:id="682"/>
      <w:bookmarkEnd w:id="683"/>
      <w:bookmarkEnd w:id="684"/>
    </w:p>
    <w:p w14:paraId="0468E021" w14:textId="3CB024C8" w:rsidR="00880CF0" w:rsidRPr="00D15F28" w:rsidRDefault="0092053B" w:rsidP="00880CF0">
      <w:r w:rsidRPr="00D15F28">
        <w:t>Les méthodologies de comptabilisation des financements climat en faveur de l’atténuation</w:t>
      </w:r>
      <w:r w:rsidRPr="00D15F28">
        <w:rPr>
          <w:rStyle w:val="FootnoteReference"/>
        </w:rPr>
        <w:footnoteReference w:id="71"/>
      </w:r>
      <w:r w:rsidRPr="00D15F28">
        <w:t xml:space="preserve"> et de l’adaptation</w:t>
      </w:r>
      <w:r w:rsidRPr="00D15F28">
        <w:rPr>
          <w:rStyle w:val="FootnoteReference"/>
        </w:rPr>
        <w:footnoteReference w:id="72"/>
      </w:r>
      <w:r w:rsidRPr="00D15F28">
        <w:t xml:space="preserve"> sont bâties autour des principes communs agréés en 2015, et enrichis en 2021 pour la partie atténuation,</w:t>
      </w:r>
      <w:r>
        <w:t xml:space="preserve"> à l’initiative de l’AFD et partagées avec</w:t>
      </w:r>
      <w:r w:rsidRPr="00D15F28">
        <w:t xml:space="preserve"> les membres de l’International Development Finance Club (IDFC) et les banques multilatérales de développement</w:t>
      </w:r>
      <w:r w:rsidR="00880CF0" w:rsidRPr="00D15F28">
        <w:t>.</w:t>
      </w:r>
    </w:p>
    <w:p w14:paraId="466AF9B3" w14:textId="4354AB88" w:rsidR="00880CF0" w:rsidRDefault="00880CF0" w:rsidP="00EF6DB6">
      <w:pPr>
        <w:pStyle w:val="Titre4niveau4"/>
      </w:pPr>
      <w:bookmarkStart w:id="685" w:name="_Toc121431063"/>
      <w:bookmarkStart w:id="686" w:name="_Toc121431400"/>
      <w:bookmarkStart w:id="687" w:name="_Toc121431561"/>
      <w:bookmarkStart w:id="688" w:name="_Toc121431723"/>
      <w:bookmarkStart w:id="689" w:name="_Toc121431886"/>
      <w:bookmarkStart w:id="690" w:name="_Toc121432048"/>
      <w:bookmarkStart w:id="691" w:name="_Toc121431064"/>
      <w:bookmarkStart w:id="692" w:name="_Toc121431401"/>
      <w:bookmarkStart w:id="693" w:name="_Toc121431562"/>
      <w:bookmarkStart w:id="694" w:name="_Toc121431724"/>
      <w:bookmarkStart w:id="695" w:name="_Toc121431887"/>
      <w:bookmarkStart w:id="696" w:name="_Toc121432049"/>
      <w:bookmarkEnd w:id="685"/>
      <w:bookmarkEnd w:id="686"/>
      <w:bookmarkEnd w:id="687"/>
      <w:bookmarkEnd w:id="688"/>
      <w:bookmarkEnd w:id="689"/>
      <w:bookmarkEnd w:id="690"/>
      <w:bookmarkEnd w:id="691"/>
      <w:bookmarkEnd w:id="692"/>
      <w:bookmarkEnd w:id="693"/>
      <w:bookmarkEnd w:id="694"/>
      <w:bookmarkEnd w:id="695"/>
      <w:bookmarkEnd w:id="696"/>
      <w:r>
        <w:t>Atténuation des émissions de gaz à effet de serre (GES) ou s</w:t>
      </w:r>
      <w:r w:rsidRPr="00B63609">
        <w:t>équestration de carbone</w:t>
      </w:r>
    </w:p>
    <w:p w14:paraId="10FA2C36" w14:textId="77777777" w:rsidR="00880CF0" w:rsidRPr="0027680A" w:rsidRDefault="00880CF0" w:rsidP="00880CF0">
      <w:pPr>
        <w:spacing w:before="240" w:after="240"/>
      </w:pPr>
      <w:r w:rsidRPr="0027680A">
        <w:t>Un projet concourt à l’atténuation lorsqu’il permet de réduire les émissions de gaz à effet de serre (GES) par rapport à une situation de référence sans le projet, ou s’il est dédié à des actions concourant à l’atténuation (études, renforcement de capacités, etc.).</w:t>
      </w:r>
    </w:p>
    <w:p w14:paraId="687EC179" w14:textId="77777777" w:rsidR="00880CF0" w:rsidRDefault="00880CF0" w:rsidP="00EF6DB6">
      <w:pPr>
        <w:pStyle w:val="Titre4niveau4"/>
      </w:pPr>
      <w:r>
        <w:t>Adaptation au changement climatique</w:t>
      </w:r>
    </w:p>
    <w:p w14:paraId="61D11F17" w14:textId="77777777" w:rsidR="00880CF0" w:rsidRPr="0027680A" w:rsidRDefault="00880CF0" w:rsidP="00880CF0">
      <w:pPr>
        <w:spacing w:before="240" w:after="240"/>
      </w:pPr>
      <w:r w:rsidRPr="0027680A">
        <w:t>Un projet concourt à l’adaptation lorsqu’il permet de limiter ou réduire la vulnérabilité des biens, personnes et écosystèmes aux conséquences du changement climatique. Ce sur la base de l’analyse du contexte de vulnérabilité au changement climatique, la volonté du projet de traiter les risques et les vulnérabilités climatiques, et l’impact bénéfique des actions du projet sur les enjeux de vulnérabilité identifiés dans la zone.</w:t>
      </w:r>
    </w:p>
    <w:p w14:paraId="2EA290EB" w14:textId="77777777" w:rsidR="00880CF0" w:rsidRDefault="00880CF0" w:rsidP="00EF6DB6">
      <w:pPr>
        <w:pStyle w:val="Titre4niveau4"/>
      </w:pPr>
      <w:r>
        <w:t xml:space="preserve">Soutien à la mise en œuvre de politiques de </w:t>
      </w:r>
      <w:r w:rsidRPr="0027680A">
        <w:t>lutte</w:t>
      </w:r>
      <w:r>
        <w:t xml:space="preserve"> contre le changement climatique</w:t>
      </w:r>
    </w:p>
    <w:p w14:paraId="2D9E5FDD" w14:textId="77777777" w:rsidR="00880CF0" w:rsidRPr="0027680A" w:rsidRDefault="00880CF0" w:rsidP="00880CF0">
      <w:r w:rsidRPr="0027680A">
        <w:t>La comptabilisation des prêts de politique publique (PrPP) doit rendre compte du dialogue politique et sectoriel engagé avec la contrepartie, et des impacts attendus en matière de climat. Elle se fait :</w:t>
      </w:r>
    </w:p>
    <w:p w14:paraId="2FD0689E" w14:textId="77777777" w:rsidR="00880CF0" w:rsidRPr="0027680A" w:rsidRDefault="00880CF0" w:rsidP="00BE086C">
      <w:pPr>
        <w:pStyle w:val="ListParagraph"/>
        <w:numPr>
          <w:ilvl w:val="0"/>
          <w:numId w:val="47"/>
        </w:numPr>
      </w:pPr>
      <w:r w:rsidRPr="0027680A">
        <w:t xml:space="preserve">soit au prorata des indicateurs climat de la matrice de politique publique ou au prorata des volumes d’investissement liés au climat ; </w:t>
      </w:r>
    </w:p>
    <w:p w14:paraId="694A4C3D" w14:textId="76F666DE" w:rsidR="00880CF0" w:rsidRPr="0027680A" w:rsidRDefault="00880CF0" w:rsidP="00BE086C">
      <w:pPr>
        <w:pStyle w:val="ListParagraph"/>
        <w:numPr>
          <w:ilvl w:val="0"/>
          <w:numId w:val="47"/>
        </w:numPr>
      </w:pPr>
      <w:r w:rsidRPr="0027680A">
        <w:t>soit par un forfait de 40</w:t>
      </w:r>
      <w:r w:rsidR="006518EF">
        <w:t>%</w:t>
      </w:r>
      <w:r w:rsidRPr="0027680A">
        <w:t xml:space="preserve"> si le financement reçoit une note +2 ou +3 selon l’analyse développement durable sur le climat et si des objectifs climat sont formalisés et suivis.</w:t>
      </w:r>
    </w:p>
    <w:p w14:paraId="625BAE01" w14:textId="77777777" w:rsidR="00880CF0" w:rsidRDefault="00880CF0" w:rsidP="00E524AF">
      <w:pPr>
        <w:pStyle w:val="Titre3Niveau3"/>
      </w:pPr>
      <w:bookmarkStart w:id="697" w:name="_Toc115454101"/>
      <w:bookmarkStart w:id="698" w:name="_Toc121390982"/>
      <w:bookmarkStart w:id="699" w:name="_Toc138342050"/>
      <w:r w:rsidRPr="00290785">
        <w:t>Finance climat privée mobilisée par les financements du groupe AFD</w:t>
      </w:r>
      <w:bookmarkEnd w:id="697"/>
      <w:bookmarkEnd w:id="698"/>
      <w:bookmarkEnd w:id="699"/>
    </w:p>
    <w:p w14:paraId="722F4124" w14:textId="20E009D1" w:rsidR="00880CF0" w:rsidRDefault="0092053B" w:rsidP="00880CF0">
      <w:r w:rsidRPr="00A6320B">
        <w:t>1,7 Md€ de finance privée a été mobilisé par les projets climat du groupe AFD en 2021,</w:t>
      </w:r>
      <w:r>
        <w:t xml:space="preserve"> dont 690,4 M</w:t>
      </w:r>
      <w:r w:rsidRPr="00A6320B">
        <w:t>€ par Proparco. Les lignes de crédit accordées à des banques publiques</w:t>
      </w:r>
      <w:r>
        <w:t xml:space="preserve"> </w:t>
      </w:r>
      <w:r w:rsidRPr="00A6320B">
        <w:t>de développement et à des banques commerciales correspondent à 76</w:t>
      </w:r>
      <w:r>
        <w:t>%</w:t>
      </w:r>
      <w:r w:rsidRPr="00A6320B">
        <w:t xml:space="preserve"> de ce total.</w:t>
      </w:r>
      <w:r>
        <w:t xml:space="preserve"> Ces financements privés ne sont pas comptabilisés dans le cadre des 6 Md€ de financements dédiés au climat</w:t>
      </w:r>
      <w:r w:rsidR="00880CF0" w:rsidRPr="00A6320B">
        <w:t>.</w:t>
      </w:r>
    </w:p>
    <w:p w14:paraId="19E2E7AF" w14:textId="77777777" w:rsidR="00880CF0" w:rsidRDefault="00880CF0" w:rsidP="00E524AF">
      <w:pPr>
        <w:pStyle w:val="Titre3Niveau3"/>
      </w:pPr>
      <w:bookmarkStart w:id="700" w:name="_Toc115454102"/>
      <w:bookmarkStart w:id="701" w:name="_Toc121390983"/>
      <w:bookmarkStart w:id="702" w:name="_Toc138342051"/>
      <w:r w:rsidRPr="00290785">
        <w:t xml:space="preserve">Soutien financier fourni </w:t>
      </w:r>
      <w:r w:rsidRPr="0027680A">
        <w:t>par</w:t>
      </w:r>
      <w:r w:rsidRPr="00290785">
        <w:t xml:space="preserve"> le fonds français pour l’environnement mondial</w:t>
      </w:r>
      <w:bookmarkEnd w:id="700"/>
      <w:bookmarkEnd w:id="701"/>
      <w:bookmarkEnd w:id="702"/>
    </w:p>
    <w:p w14:paraId="30DEE3BD" w14:textId="77777777" w:rsidR="00880CF0" w:rsidRPr="0027680A" w:rsidRDefault="00880CF0" w:rsidP="00880CF0">
      <w:r w:rsidRPr="00B43054">
        <w:t>Le Fonds Français pour l’Environnement Mondial (FFEM) est un fonds public bilatéral créé en 1994 et constitue l’un des grands instruments au service de la politique française de coopération et de développement en matière d’environnement. Il contribue, sous forme de subventions, au financement de projets innovants, ayant une finalité de développement économique et social ainsi qu’un impact significatif et durable sur l’une ou l’autre des grandes composantes de l’environnement mondial (not</w:t>
      </w:r>
      <w:r w:rsidRPr="00721A6D">
        <w:t xml:space="preserve">amment la lutte contre le changement climatique, la protection de la </w:t>
      </w:r>
      <w:r w:rsidRPr="0027680A">
        <w:t>biodiversité, la lutte contre la dégradation des terres et la désertification ainsi que la lutte contre la dégradation des eaux terrestres et marines). Le Fonds a été reconstitué pour la période 2015-2018 à hauteur de 90 M€ puis à hauteur de 120</w:t>
      </w:r>
      <w:r w:rsidRPr="0027680A">
        <w:rPr>
          <w:rFonts w:ascii="Calibri" w:hAnsi="Calibri" w:cs="Calibri"/>
        </w:rPr>
        <w:t> </w:t>
      </w:r>
      <w:r w:rsidRPr="0027680A">
        <w:t>M</w:t>
      </w:r>
      <w:r w:rsidRPr="0027680A">
        <w:rPr>
          <w:rFonts w:cs="Marianne"/>
        </w:rPr>
        <w:t>€</w:t>
      </w:r>
      <w:r w:rsidRPr="0027680A">
        <w:t xml:space="preserve"> pour la p</w:t>
      </w:r>
      <w:r w:rsidRPr="0027680A">
        <w:rPr>
          <w:rFonts w:cs="Marianne"/>
        </w:rPr>
        <w:t>é</w:t>
      </w:r>
      <w:r w:rsidRPr="0027680A">
        <w:t>riode 2019-2022. Il a d</w:t>
      </w:r>
      <w:r w:rsidRPr="0027680A">
        <w:rPr>
          <w:rFonts w:cs="Marianne"/>
        </w:rPr>
        <w:t>é</w:t>
      </w:r>
      <w:r w:rsidRPr="0027680A">
        <w:t>jà soutenu plus de 400 projets dans plus de 120 pays, dont les deux tiers en Afrique.</w:t>
      </w:r>
    </w:p>
    <w:p w14:paraId="71D3A838" w14:textId="77777777" w:rsidR="00880CF0" w:rsidRDefault="00880CF0" w:rsidP="00880CF0">
      <w:pPr>
        <w:rPr>
          <w:color w:val="FF0000"/>
        </w:rPr>
      </w:pPr>
    </w:p>
    <w:p w14:paraId="5FE94F06" w14:textId="4F629C13" w:rsidR="00880CF0" w:rsidRPr="00E5757A" w:rsidRDefault="00880CF0" w:rsidP="00880CF0">
      <w:pPr>
        <w:jc w:val="left"/>
      </w:pPr>
      <w:r w:rsidRPr="00721A6D">
        <w:t>Entre 201</w:t>
      </w:r>
      <w:r>
        <w:t>9</w:t>
      </w:r>
      <w:r w:rsidRPr="00721A6D">
        <w:t xml:space="preserve"> et 20</w:t>
      </w:r>
      <w:r>
        <w:t>22</w:t>
      </w:r>
      <w:r w:rsidRPr="00721A6D">
        <w:t xml:space="preserve">, le FFEM a ainsi alloué un volume d’engagement total de </w:t>
      </w:r>
      <w:r>
        <w:t>103</w:t>
      </w:r>
      <w:r w:rsidRPr="00721A6D">
        <w:t xml:space="preserve"> M€</w:t>
      </w:r>
      <w:r>
        <w:t xml:space="preserve"> sur 60 projets</w:t>
      </w:r>
      <w:r w:rsidRPr="00721A6D">
        <w:t xml:space="preserve">, dont </w:t>
      </w:r>
      <w:r>
        <w:t>55</w:t>
      </w:r>
      <w:r w:rsidRPr="00721A6D">
        <w:t xml:space="preserve"> M€ </w:t>
      </w:r>
      <w:r>
        <w:t>avec des co-bénéfices pour</w:t>
      </w:r>
      <w:r w:rsidRPr="00721A6D">
        <w:t xml:space="preserve"> la lutte contre les changements climatiques (soit </w:t>
      </w:r>
      <w:r>
        <w:t>54</w:t>
      </w:r>
      <w:r w:rsidR="006518EF">
        <w:rPr>
          <w:rFonts w:ascii="Calibri" w:hAnsi="Calibri" w:cs="Calibri"/>
        </w:rPr>
        <w:t>%</w:t>
      </w:r>
      <w:r w:rsidRPr="00721A6D">
        <w:t xml:space="preserve"> de ses engagements financiers totaux). Sur cette période, </w:t>
      </w:r>
      <w:r>
        <w:t>plus de 70% des financements concernent des projets</w:t>
      </w:r>
      <w:r w:rsidRPr="00721A6D">
        <w:t xml:space="preserve"> en Afrique. </w:t>
      </w:r>
      <w:r>
        <w:t>La majorité</w:t>
      </w:r>
      <w:r w:rsidRPr="00721A6D">
        <w:t xml:space="preserve"> des projets de cette période ont été portés par des ONG ou des </w:t>
      </w:r>
      <w:r>
        <w:t>acteurs locaux</w:t>
      </w:r>
      <w:r w:rsidRPr="00721A6D">
        <w:t>.</w:t>
      </w:r>
    </w:p>
    <w:p w14:paraId="14897B90" w14:textId="77777777" w:rsidR="00880CF0" w:rsidRPr="0027680A" w:rsidRDefault="00880CF0" w:rsidP="00E524AF">
      <w:pPr>
        <w:pStyle w:val="Titre3Niveau3"/>
      </w:pPr>
      <w:bookmarkStart w:id="703" w:name="_Toc115454103"/>
      <w:bookmarkStart w:id="704" w:name="_Toc121390984"/>
      <w:bookmarkStart w:id="705" w:name="_Toc138342052"/>
      <w:r w:rsidRPr="0027680A">
        <w:t>Soutien financier fourni sous forme de dons (FASEP) et de prêts par le Trésor français</w:t>
      </w:r>
      <w:bookmarkEnd w:id="703"/>
      <w:bookmarkEnd w:id="704"/>
      <w:bookmarkEnd w:id="705"/>
    </w:p>
    <w:p w14:paraId="795609BE" w14:textId="150A6962" w:rsidR="00880CF0" w:rsidRPr="00F0051D" w:rsidRDefault="00880CF0" w:rsidP="00880CF0">
      <w:pPr>
        <w:spacing w:before="240" w:after="240"/>
        <w:rPr>
          <w:rFonts w:ascii="Arial" w:hAnsi="Arial" w:cs="Arial"/>
          <w:color w:val="000000"/>
        </w:rPr>
      </w:pPr>
      <w:r w:rsidRPr="0027680A">
        <w:rPr>
          <w:rFonts w:cs="Arial"/>
        </w:rPr>
        <w:t xml:space="preserve">Par ailleurs, le ministère de l’économie et des finances contribue, sous forme de dons ou d’avances remboursables, au financement d’études de faisabilité, d’assistance technique et de démonstrateurs de technologies innovantes dédiés à l’environnement et au développement durable, dans le cadre des fonds d’étude et d’aide </w:t>
      </w:r>
      <w:r w:rsidRPr="00B43054">
        <w:rPr>
          <w:rFonts w:cs="Arial"/>
          <w:color w:val="000000"/>
        </w:rPr>
        <w:t>au secteur privé (FASEP</w:t>
      </w:r>
      <w:r w:rsidRPr="00F0051D">
        <w:rPr>
          <w:rFonts w:cs="Arial"/>
          <w:color w:val="000000"/>
        </w:rPr>
        <w:t>). Cet instrument finance des prestations réalisées par des bureaux d’études français et bénéficie à des entités publiques dans les pays éligibles à l’Aide publique au développement et pour des projets de développement économique durable répondant aux besoins de ces pays (meilleur accès à l’eau, aux énergies renouvelables, amélioration de l</w:t>
      </w:r>
      <w:r>
        <w:rPr>
          <w:rFonts w:cs="Arial"/>
          <w:color w:val="000000"/>
        </w:rPr>
        <w:t>’offre de transports, etc.).</w:t>
      </w:r>
      <w:r w:rsidR="00260E0B">
        <w:rPr>
          <w:rFonts w:cs="Arial"/>
          <w:color w:val="000000"/>
        </w:rPr>
        <w:t xml:space="preserve"> </w:t>
      </w:r>
    </w:p>
    <w:p w14:paraId="74C0B455" w14:textId="77777777" w:rsidR="00880CF0" w:rsidRDefault="00880CF0" w:rsidP="00880CF0">
      <w:pPr>
        <w:spacing w:before="240" w:after="240"/>
        <w:rPr>
          <w:rFonts w:cs="Arial"/>
          <w:color w:val="000000"/>
        </w:rPr>
      </w:pPr>
      <w:r w:rsidRPr="00F0051D">
        <w:rPr>
          <w:rFonts w:cs="Arial"/>
          <w:color w:val="000000"/>
        </w:rPr>
        <w:t xml:space="preserve">Le </w:t>
      </w:r>
      <w:r>
        <w:rPr>
          <w:rFonts w:cs="Arial"/>
          <w:color w:val="000000"/>
        </w:rPr>
        <w:t>m</w:t>
      </w:r>
      <w:r w:rsidRPr="00F0051D">
        <w:rPr>
          <w:rFonts w:cs="Arial"/>
          <w:color w:val="000000"/>
        </w:rPr>
        <w:t>inistère de l’é</w:t>
      </w:r>
      <w:r>
        <w:rPr>
          <w:rFonts w:cs="Arial"/>
          <w:color w:val="000000"/>
        </w:rPr>
        <w:t>conomie et</w:t>
      </w:r>
      <w:r w:rsidRPr="00F0051D">
        <w:rPr>
          <w:rFonts w:cs="Arial"/>
          <w:color w:val="000000"/>
        </w:rPr>
        <w:t xml:space="preserve"> </w:t>
      </w:r>
      <w:r w:rsidRPr="00F2628A">
        <w:rPr>
          <w:rFonts w:cs="Arial"/>
          <w:color w:val="000000"/>
        </w:rPr>
        <w:t>des finances soutient également, par l’intermédiaire de prêts du Trésor, des projets d’infrastructures portés par des entités publiques dans des pays émergents éligibles à l’aide publique au développement</w:t>
      </w:r>
      <w:r w:rsidRPr="00F2628A">
        <w:rPr>
          <w:rStyle w:val="Ancredenotedebasdepage"/>
          <w:rFonts w:cs="Arial"/>
          <w:color w:val="000000"/>
        </w:rPr>
        <w:footnoteReference w:id="73"/>
      </w:r>
      <w:r w:rsidRPr="00F2628A">
        <w:rPr>
          <w:rFonts w:cs="Arial"/>
          <w:color w:val="000000"/>
        </w:rPr>
        <w:t>. Les secteurs concernés visent essentiellement le développement durable et la thématique du changement climatique (transports de masse, eau et environnement, énergies renouvelables, etc.).</w:t>
      </w:r>
    </w:p>
    <w:p w14:paraId="009500CC" w14:textId="77777777" w:rsidR="00880CF0" w:rsidRDefault="00880CF0" w:rsidP="00E524AF">
      <w:pPr>
        <w:pStyle w:val="Titre2Niveau2"/>
      </w:pPr>
      <w:bookmarkStart w:id="706" w:name="_Toc115454104"/>
      <w:bookmarkStart w:id="707" w:name="_Toc121390985"/>
      <w:bookmarkStart w:id="708" w:name="_Ref122366382"/>
      <w:bookmarkStart w:id="709" w:name="_Toc138342053"/>
      <w:r w:rsidRPr="0027680A">
        <w:t>Mobilisation</w:t>
      </w:r>
      <w:r w:rsidRPr="00290785">
        <w:t xml:space="preserve"> des ressources financières de sources multilatérales</w:t>
      </w:r>
      <w:bookmarkEnd w:id="706"/>
      <w:bookmarkEnd w:id="707"/>
      <w:bookmarkEnd w:id="708"/>
      <w:bookmarkEnd w:id="709"/>
    </w:p>
    <w:p w14:paraId="62435E0C" w14:textId="34396EA7" w:rsidR="0021256B" w:rsidRDefault="0021256B" w:rsidP="00880CF0">
      <w:pPr>
        <w:spacing w:before="240" w:after="240"/>
        <w:rPr>
          <w:szCs w:val="22"/>
        </w:rPr>
      </w:pPr>
      <w:r w:rsidRPr="0021256B">
        <w:rPr>
          <w:szCs w:val="22"/>
        </w:rPr>
        <w:t>En ce qui concerne les flux multilatéraux, la France ne communique que la part relative au climat des contributions à plusieurs instruments de financement concessionnels : AID, Fonds africain de développement, Fonds asiatique de développement et FIDA. La France considère sa contribution de base aux fonds ou aux instruments concessionnels des banques multilatérales de développement et la multiplie par les parts multilatérales moyennes imputées, sur la base des parts ajustées communiquées à l'OCDE (http://www.oecd.org/dac/financing-sustainable-development/development-finance-topics/climate-change.htm). La répartition entre atténuation et adaptation est tirée des données fournies par les banques multilatérales de développement et les fonds, à notre demande.</w:t>
      </w:r>
    </w:p>
    <w:p w14:paraId="6F4C31BA" w14:textId="06436341" w:rsidR="00880CF0" w:rsidRDefault="00880CF0" w:rsidP="00880CF0">
      <w:pPr>
        <w:spacing w:before="240" w:after="240"/>
        <w:rPr>
          <w:szCs w:val="22"/>
        </w:rPr>
      </w:pPr>
      <w:r w:rsidRPr="0027680A">
        <w:rPr>
          <w:szCs w:val="22"/>
        </w:rPr>
        <w:t xml:space="preserve">Avec une contribution de 13 Md€ (15,5 milliards de dollars) en 2021, la France se situe au cinquième rang des pays du G7 en termes de contribution d’aide publique au développement rapportée au revenu national brut. Elle considère que le système multilatéral se doit d’être exemplaire et moteur en matière de lutte contre les changements climatiques, avec notamment pour finalité d’appuyer la mise en œuvre des contributions déterminées au niveau national par les pays en développement signataires de l’accord de Paris. A ce titre, la France est l’un des principaux </w:t>
      </w:r>
      <w:r w:rsidRPr="000D15AF">
        <w:rPr>
          <w:szCs w:val="22"/>
        </w:rPr>
        <w:t>contributeurs aux institutions financières et fonds multilatéraux dédiés au climat.</w:t>
      </w:r>
    </w:p>
    <w:p w14:paraId="2666EB62" w14:textId="56FBBAB1" w:rsidR="0027680A" w:rsidRPr="008F3051" w:rsidRDefault="00880CF0" w:rsidP="008F3051">
      <w:pPr>
        <w:spacing w:before="240" w:after="240"/>
        <w:rPr>
          <w:rFonts w:eastAsiaTheme="minorHAnsi"/>
          <w:b/>
          <w:color w:val="000000"/>
          <w:highlight w:val="cyan"/>
        </w:rPr>
      </w:pPr>
      <w:r>
        <w:rPr>
          <w:rFonts w:eastAsiaTheme="minorHAnsi" w:cs="Arial"/>
          <w:color w:val="000000"/>
        </w:rPr>
        <w:t xml:space="preserve">Une part importante de l’action de la France est dédiée à sa participation aux banques de développement et aux fonds multilatéraux de développement, tels l’Association internationale de développement (AID), guichet concessionnel de la Banque </w:t>
      </w:r>
      <w:r w:rsidRPr="0027680A">
        <w:rPr>
          <w:rFonts w:eastAsiaTheme="minorHAnsi" w:cs="Arial"/>
          <w:color w:val="000000"/>
        </w:rPr>
        <w:t xml:space="preserve">mondiale, le Fonds africain de développement (FAD), le guichet concessionnel de la Banque africaine de développement et le fonds international de développement agricole (FIDA). Ces banques et fonds consacrent une partie de leurs ressources à la lutte contre les effets du changement climatique. La France comptabilise la part « climat » imputable à sa contribution dans ces fonds concessionnels. </w:t>
      </w:r>
      <w:r w:rsidRPr="0027680A">
        <w:rPr>
          <w:rFonts w:eastAsiaTheme="minorHAnsi"/>
          <w:b/>
          <w:color w:val="000000"/>
        </w:rPr>
        <w:t>En 2018, la part « climat » des décaissements réalisés dans ces institutions est estimée représenter 372 M€.</w:t>
      </w:r>
      <w:r w:rsidRPr="007B1AEB">
        <w:rPr>
          <w:rFonts w:eastAsiaTheme="minorHAnsi"/>
          <w:b/>
          <w:color w:val="000000"/>
        </w:rPr>
        <w:t xml:space="preserve"> </w:t>
      </w:r>
      <w:bookmarkStart w:id="710" w:name="_Toc121431069"/>
      <w:bookmarkStart w:id="711" w:name="_Toc121431406"/>
      <w:bookmarkStart w:id="712" w:name="_Toc121431567"/>
      <w:bookmarkStart w:id="713" w:name="_Toc121431729"/>
      <w:bookmarkStart w:id="714" w:name="_Toc121431892"/>
      <w:bookmarkStart w:id="715" w:name="_Toc121432054"/>
      <w:bookmarkStart w:id="716" w:name="_Toc115454105"/>
      <w:bookmarkStart w:id="717" w:name="_Toc121390986"/>
      <w:bookmarkEnd w:id="710"/>
      <w:bookmarkEnd w:id="711"/>
      <w:bookmarkEnd w:id="712"/>
      <w:bookmarkEnd w:id="713"/>
      <w:bookmarkEnd w:id="714"/>
      <w:bookmarkEnd w:id="715"/>
    </w:p>
    <w:p w14:paraId="3A1D5C3C" w14:textId="78E28DCD" w:rsidR="00880CF0" w:rsidRDefault="00880CF0" w:rsidP="00E524AF">
      <w:pPr>
        <w:pStyle w:val="Titre3Niveau3"/>
      </w:pPr>
      <w:bookmarkStart w:id="718" w:name="_Toc138342054"/>
      <w:r w:rsidRPr="00290785">
        <w:t xml:space="preserve">Contribution au Fonds </w:t>
      </w:r>
      <w:r w:rsidRPr="0027680A">
        <w:t>vert</w:t>
      </w:r>
      <w:r w:rsidRPr="00290785">
        <w:t xml:space="preserve"> pour le climat</w:t>
      </w:r>
      <w:bookmarkEnd w:id="716"/>
      <w:bookmarkEnd w:id="717"/>
      <w:bookmarkEnd w:id="718"/>
    </w:p>
    <w:p w14:paraId="5182014F" w14:textId="77777777" w:rsidR="0092053B" w:rsidRPr="0027680A" w:rsidRDefault="0092053B" w:rsidP="0092053B">
      <w:pPr>
        <w:spacing w:before="240" w:after="240"/>
      </w:pPr>
      <w:r w:rsidRPr="00674248">
        <w:t>Le Fonds vert pour le climat, décidé à la conférence climat de Copenhague en 2009, a vocation à devenir le principal fonds multilatéral consacré au financement de l’atténuation et l’adaptation des pays en développement vers des économies sobres en carbone et résilientes. Sa capitalisation initiale est de 10,3 Mds USD. Il vise une répartition équilibrée entre atténuation et adaptation et une allocation minimale de 50</w:t>
      </w:r>
      <w:r>
        <w:t>%</w:t>
      </w:r>
      <w:r w:rsidRPr="00674248">
        <w:t xml:space="preserve"> de ses ressources consacrées à l’adaptation </w:t>
      </w:r>
      <w:r w:rsidRPr="0027680A">
        <w:t xml:space="preserve">pour les pays les moins avancés, les États africains et les petits États insulaires en développement. </w:t>
      </w:r>
    </w:p>
    <w:p w14:paraId="037924B2" w14:textId="77777777" w:rsidR="0092053B" w:rsidRDefault="0092053B" w:rsidP="0092053B">
      <w:pPr>
        <w:spacing w:before="240" w:after="240"/>
      </w:pPr>
      <w:r w:rsidRPr="008B149C">
        <w:t>En août 2022, le FVC avait approuvé 200 projets dans 117 pays en développement pour un montant total d’engagements de 10,8 Mds USD  (hors cofinancements), par le biais d’une palette d’instruments financiers (dons, prêts, capital, garanties). Les cofinancements associés à ces projets représentaient environ 30,6 Mds USD. Ces projets auraient permis une réduction de plus de 2.1 Md de tonnes de CO2 et auraient un impact direct pour 637 millions de bénéficiaires.</w:t>
      </w:r>
    </w:p>
    <w:p w14:paraId="598170D7" w14:textId="77777777" w:rsidR="0092053B" w:rsidRPr="00674248" w:rsidRDefault="0092053B" w:rsidP="0092053B">
      <w:pPr>
        <w:spacing w:before="240" w:after="240"/>
      </w:pPr>
      <w:r w:rsidRPr="00657E69">
        <w:t>En termes de répartition géographique, l’Afrique représente 81 projets, l’Asie-Pacifique bénéficie de 83 projets et, l’Amérique latine et les Caraïbes, de 50 projets. En termes de cibles, 66 % des financements relatifs aux projets approuvés concernent des projets d’atténuation et 34 % des projets d’adaptation (en valeur nominale). Au 31 juillet 2022, le secteur public finance 65% des projets (7 Md USD) et le secteur privé 35% (3,7 Md USD).</w:t>
      </w:r>
    </w:p>
    <w:p w14:paraId="55D2E070" w14:textId="77777777" w:rsidR="0092053B" w:rsidRPr="00CC4C75" w:rsidRDefault="0092053B" w:rsidP="0092053B">
      <w:pPr>
        <w:spacing w:before="240" w:after="240"/>
      </w:pPr>
      <w:r w:rsidRPr="00CC4C75">
        <w:t>La France a contribué à hauteur de 1,5 Md€ (1,7 Md$) lors de la dernière reconstitution du Fonds vert pour le climat sur la période 2019-2023. Cet engagement fort, qui représente un effort budgétaire important, place la France au rang de troisième contributeur (en élément-don</w:t>
      </w:r>
      <w:r w:rsidRPr="0092053B">
        <w:rPr>
          <w:vertAlign w:val="superscript"/>
        </w:rPr>
        <w:footnoteReference w:id="74"/>
      </w:r>
      <w:r w:rsidRPr="00CC4C75">
        <w:t>) à la reconstitution derrière le Royaume-Uni et l’Allemagne, et quatrième contributeur historique derrière ces pays et le Japon. Cette contribution a été apportée essentiellement en don (80 %), les 20 % restants étant apportés sous forme d’un prêt très concessionnel (taux zéro, maturité 25 ans). Cette contribution s’ajoutait à la première contribution réalisée par la France lors de la mobilisation initiale des ressources, à hauteur de 774 M€, dont le versement a été achevé en 2018. Une période de négociation pour la prochaine reconstitution couvrant la période 2023-2025 s’est ouverte à l’été 2022 et s’achèvera en octobre 2023 où les contributions seront annoncées.</w:t>
      </w:r>
    </w:p>
    <w:p w14:paraId="70458F46" w14:textId="0C446175" w:rsidR="00880CF0" w:rsidRPr="0092053B" w:rsidRDefault="0092053B" w:rsidP="0092053B">
      <w:pPr>
        <w:rPr>
          <w:b/>
        </w:rPr>
      </w:pPr>
      <w:r w:rsidRPr="0092053B">
        <w:rPr>
          <w:b/>
        </w:rPr>
        <w:t>Le Fonds vert pour le climat vise un équilibre entre les financements dédiés à l’atténuation aux changements climatiques et ceux dédi</w:t>
      </w:r>
      <w:r>
        <w:rPr>
          <w:b/>
        </w:rPr>
        <w:t>és à l’adaptation. Fin 2022, 51</w:t>
      </w:r>
      <w:r w:rsidRPr="0092053B">
        <w:rPr>
          <w:b/>
        </w:rPr>
        <w:t>% des engagements du fonds visaient des projets d’atténuation, contre 49</w:t>
      </w:r>
      <w:r w:rsidRPr="0092053B">
        <w:rPr>
          <w:rFonts w:ascii="Calibri" w:hAnsi="Calibri" w:cs="Calibri"/>
          <w:b/>
        </w:rPr>
        <w:t> </w:t>
      </w:r>
      <w:r w:rsidRPr="0092053B">
        <w:rPr>
          <w:b/>
        </w:rPr>
        <w:t>% pour l’adaptation (en équivalent don)</w:t>
      </w:r>
      <w:r w:rsidR="00880CF0" w:rsidRPr="0092053B">
        <w:rPr>
          <w:b/>
        </w:rPr>
        <w:t>.</w:t>
      </w:r>
    </w:p>
    <w:p w14:paraId="37966817" w14:textId="77777777" w:rsidR="00880CF0" w:rsidRDefault="00880CF0" w:rsidP="00E524AF">
      <w:pPr>
        <w:pStyle w:val="Titre3Niveau3"/>
      </w:pPr>
      <w:bookmarkStart w:id="719" w:name="_Toc115454106"/>
      <w:bookmarkStart w:id="720" w:name="_Toc121390987"/>
      <w:bookmarkStart w:id="721" w:name="_Toc138342055"/>
      <w:r w:rsidRPr="00290785">
        <w:t xml:space="preserve">Contribution au Fonds pour </w:t>
      </w:r>
      <w:r w:rsidRPr="0027680A">
        <w:t>l’environnement</w:t>
      </w:r>
      <w:r w:rsidRPr="00290785">
        <w:t xml:space="preserve"> mondial</w:t>
      </w:r>
      <w:bookmarkEnd w:id="719"/>
      <w:bookmarkEnd w:id="720"/>
      <w:bookmarkEnd w:id="721"/>
    </w:p>
    <w:p w14:paraId="20241758" w14:textId="77777777" w:rsidR="00880CF0" w:rsidRPr="009B0026" w:rsidRDefault="00880CF0" w:rsidP="00880CF0">
      <w:pPr>
        <w:spacing w:before="240" w:after="240"/>
      </w:pPr>
      <w:r w:rsidRPr="009B0026">
        <w:t>Créé en 1991, le Fonds pour l’environnement mondial</w:t>
      </w:r>
      <w:r>
        <w:t xml:space="preserve"> (FEM)</w:t>
      </w:r>
      <w:r w:rsidRPr="009B0026">
        <w:t xml:space="preserve">, dont la France a été l’un des promoteurs principaux aux côtés de l’Allemagne, est l’un des principaux instruments multilatéraux en matière de préservation de l’environnement mondial. Ce fonds intervient, outre la réduction des émissions de gaz à effet de serre, dans les domaines de la protection de la biodiversité, de la protection des eaux internationales, des luttes contre l’appauvrissement de la couche d’ozone, contre la dégradation des sols et contre les polluants organiques persistants. </w:t>
      </w:r>
    </w:p>
    <w:p w14:paraId="23A04E68" w14:textId="77777777" w:rsidR="00880CF0" w:rsidRPr="009B0026" w:rsidRDefault="00880CF0" w:rsidP="00880CF0">
      <w:pPr>
        <w:spacing w:before="240" w:after="240"/>
      </w:pPr>
      <w:r w:rsidRPr="009B0026">
        <w:t xml:space="preserve">Le FEM est le mécanisme financier pour cinq conventions : </w:t>
      </w:r>
    </w:p>
    <w:p w14:paraId="57ECB18A" w14:textId="77777777" w:rsidR="00880CF0" w:rsidRPr="0027680A" w:rsidRDefault="00880CF0" w:rsidP="00BE086C">
      <w:pPr>
        <w:pStyle w:val="ListParagraph"/>
        <w:numPr>
          <w:ilvl w:val="0"/>
          <w:numId w:val="48"/>
        </w:numPr>
        <w:spacing w:before="240" w:after="240"/>
      </w:pPr>
      <w:r w:rsidRPr="0027680A">
        <w:t xml:space="preserve">Convention sur la diversité biologique (CDB) ; </w:t>
      </w:r>
    </w:p>
    <w:p w14:paraId="2E63D918" w14:textId="77777777" w:rsidR="00880CF0" w:rsidRPr="0027680A" w:rsidRDefault="00880CF0" w:rsidP="00BE086C">
      <w:pPr>
        <w:pStyle w:val="ListParagraph"/>
        <w:numPr>
          <w:ilvl w:val="0"/>
          <w:numId w:val="48"/>
        </w:numPr>
        <w:spacing w:before="240" w:after="240"/>
      </w:pPr>
      <w:r w:rsidRPr="0027680A">
        <w:t xml:space="preserve">Convention-cadre des Nations unies sur les changements climatiques (CCNUCC) ; </w:t>
      </w:r>
    </w:p>
    <w:p w14:paraId="478C3F04" w14:textId="77777777" w:rsidR="00880CF0" w:rsidRPr="0027680A" w:rsidRDefault="00880CF0" w:rsidP="00BE086C">
      <w:pPr>
        <w:pStyle w:val="ListParagraph"/>
        <w:numPr>
          <w:ilvl w:val="0"/>
          <w:numId w:val="48"/>
        </w:numPr>
        <w:spacing w:before="240" w:after="240"/>
      </w:pPr>
      <w:r w:rsidRPr="0027680A">
        <w:t xml:space="preserve">Convention de Stockholm sur les polluants organiques persistants (POP) ; </w:t>
      </w:r>
    </w:p>
    <w:p w14:paraId="6A5A595D" w14:textId="77777777" w:rsidR="00880CF0" w:rsidRPr="0027680A" w:rsidRDefault="00880CF0" w:rsidP="00BE086C">
      <w:pPr>
        <w:pStyle w:val="ListParagraph"/>
        <w:numPr>
          <w:ilvl w:val="0"/>
          <w:numId w:val="48"/>
        </w:numPr>
        <w:spacing w:before="240" w:after="240"/>
      </w:pPr>
      <w:r w:rsidRPr="0027680A">
        <w:t xml:space="preserve">Convention des Nations unies sur la lutte contre la désertification (CNULD) ; </w:t>
      </w:r>
    </w:p>
    <w:p w14:paraId="2723279E" w14:textId="77777777" w:rsidR="00880CF0" w:rsidRPr="0027680A" w:rsidRDefault="00880CF0" w:rsidP="00BE086C">
      <w:pPr>
        <w:pStyle w:val="ListParagraph"/>
        <w:numPr>
          <w:ilvl w:val="0"/>
          <w:numId w:val="48"/>
        </w:numPr>
        <w:spacing w:before="240" w:after="240"/>
      </w:pPr>
      <w:r w:rsidRPr="0027680A">
        <w:t xml:space="preserve">Convention de Minamata sur le Mercure. </w:t>
      </w:r>
    </w:p>
    <w:p w14:paraId="0AB3A248" w14:textId="77777777" w:rsidR="00880CF0" w:rsidRPr="0027680A" w:rsidRDefault="00880CF0" w:rsidP="00880CF0">
      <w:pPr>
        <w:spacing w:before="240" w:after="240"/>
      </w:pPr>
      <w:r w:rsidRPr="0027680A">
        <w:t>La 8</w:t>
      </w:r>
      <w:r w:rsidRPr="0027680A">
        <w:rPr>
          <w:vertAlign w:val="superscript"/>
        </w:rPr>
        <w:t>ème</w:t>
      </w:r>
      <w:r w:rsidRPr="0027680A">
        <w:t xml:space="preserve"> reconstitution des ressources du FEM s’est conclue le 8 avril 2022 par un accord de l’ensemble des contributeurs pour un montant total de </w:t>
      </w:r>
      <w:r w:rsidRPr="0027680A">
        <w:rPr>
          <w:bCs/>
        </w:rPr>
        <w:t>5,25</w:t>
      </w:r>
      <w:r w:rsidRPr="0027680A">
        <w:rPr>
          <w:rFonts w:ascii="Calibri" w:hAnsi="Calibri" w:cs="Calibri"/>
          <w:bCs/>
        </w:rPr>
        <w:t> </w:t>
      </w:r>
      <w:r w:rsidRPr="0027680A">
        <w:rPr>
          <w:bCs/>
        </w:rPr>
        <w:t>milliards de dollars de ressources mobilis</w:t>
      </w:r>
      <w:r w:rsidRPr="0027680A">
        <w:rPr>
          <w:rFonts w:cs="Marianne"/>
          <w:bCs/>
        </w:rPr>
        <w:t>é</w:t>
      </w:r>
      <w:r w:rsidRPr="0027680A">
        <w:rPr>
          <w:bCs/>
        </w:rPr>
        <w:t>es pour les quatre prochaines années</w:t>
      </w:r>
      <w:r w:rsidRPr="0027680A">
        <w:t xml:space="preserve">. Cette enveloppe financière représente un record historique pour le FEM, qui avait réuni </w:t>
      </w:r>
      <w:r w:rsidRPr="0027680A">
        <w:rPr>
          <w:bCs/>
        </w:rPr>
        <w:t>4,1</w:t>
      </w:r>
      <w:r w:rsidRPr="0027680A">
        <w:rPr>
          <w:rFonts w:ascii="Calibri" w:hAnsi="Calibri" w:cs="Calibri"/>
          <w:bCs/>
        </w:rPr>
        <w:t> </w:t>
      </w:r>
      <w:r w:rsidRPr="0027680A">
        <w:rPr>
          <w:bCs/>
        </w:rPr>
        <w:t>milliards de dollars</w:t>
      </w:r>
      <w:r w:rsidRPr="0027680A">
        <w:t xml:space="preserve"> lors de la précédente reconstitution de ses ressources, en 2018.</w:t>
      </w:r>
    </w:p>
    <w:p w14:paraId="28655B61" w14:textId="77777777" w:rsidR="00880CF0" w:rsidRPr="0027680A" w:rsidRDefault="00880CF0" w:rsidP="00880CF0">
      <w:pPr>
        <w:spacing w:before="240" w:after="240"/>
      </w:pPr>
      <w:r w:rsidRPr="0027680A">
        <w:t xml:space="preserve">Contributrice historique depuis plus de 30 ans, </w:t>
      </w:r>
      <w:r w:rsidRPr="0027680A">
        <w:rPr>
          <w:bCs/>
        </w:rPr>
        <w:t xml:space="preserve">la France a pris sa part pleine et entière dans cet effort </w:t>
      </w:r>
      <w:r w:rsidRPr="0027680A">
        <w:t xml:space="preserve">de la communauté internationale, en apportant une </w:t>
      </w:r>
      <w:r w:rsidRPr="0027680A">
        <w:rPr>
          <w:bCs/>
        </w:rPr>
        <w:t>contribution record de 360 millions</w:t>
      </w:r>
      <w:r w:rsidRPr="0027680A">
        <w:t xml:space="preserve"> </w:t>
      </w:r>
      <w:r w:rsidRPr="0027680A">
        <w:rPr>
          <w:bCs/>
        </w:rPr>
        <w:t>de dollars</w:t>
      </w:r>
      <w:r w:rsidRPr="0027680A">
        <w:t>, en hausse de près de 40% en euros par rapport à sa contribution à la précédente reconstitution.</w:t>
      </w:r>
    </w:p>
    <w:p w14:paraId="536F6D0E" w14:textId="77777777" w:rsidR="00880CF0" w:rsidRPr="0027680A" w:rsidRDefault="00880CF0" w:rsidP="00880CF0">
      <w:pPr>
        <w:spacing w:before="240" w:after="240"/>
      </w:pPr>
      <w:r w:rsidRPr="0027680A">
        <w:t xml:space="preserve">Les ressources mobilisées permettront de </w:t>
      </w:r>
      <w:r w:rsidRPr="0027680A">
        <w:rPr>
          <w:bCs/>
        </w:rPr>
        <w:t xml:space="preserve">financer des projets en faveur du climat et de l’environnement </w:t>
      </w:r>
      <w:r w:rsidRPr="0027680A">
        <w:t>dans les pays en développement, et notamment les pays les moins avancées et dans les petits états insulaires en développement.</w:t>
      </w:r>
    </w:p>
    <w:p w14:paraId="74B7A399" w14:textId="77777777" w:rsidR="00880CF0" w:rsidRPr="0027680A" w:rsidRDefault="00880CF0" w:rsidP="00E524AF">
      <w:pPr>
        <w:pStyle w:val="Titre3Niveau3"/>
      </w:pPr>
      <w:bookmarkStart w:id="722" w:name="_Toc115454107"/>
      <w:bookmarkStart w:id="723" w:name="_Toc121390988"/>
      <w:bookmarkStart w:id="724" w:name="_Toc138342056"/>
      <w:r w:rsidRPr="0027680A">
        <w:t>Contribution au Fonds pour les pays les moins avancés</w:t>
      </w:r>
      <w:bookmarkEnd w:id="722"/>
      <w:bookmarkEnd w:id="723"/>
      <w:bookmarkEnd w:id="724"/>
    </w:p>
    <w:p w14:paraId="440C2BE7" w14:textId="7AC61A8A" w:rsidR="00880CF0" w:rsidRDefault="00880CF0" w:rsidP="00880CF0">
      <w:pPr>
        <w:spacing w:before="240" w:after="240"/>
      </w:pPr>
      <w:r w:rsidRPr="0027680A">
        <w:t xml:space="preserve">Le fonds pour les pays les moins avancés (Least Developed Countries Fund – LDCF) est dédié à l’adaptation et aux transferts de technologies dans les pays en développement, hébergés et gérés par le FEM. La France y a apporté 15 M€ en dons en 2016, </w:t>
      </w:r>
      <w:r w:rsidRPr="0027680A">
        <w:rPr>
          <w:b/>
        </w:rPr>
        <w:t>10 M€ en 2017</w:t>
      </w:r>
      <w:r w:rsidR="00FA30E8">
        <w:rPr>
          <w:b/>
        </w:rPr>
        <w:t>,</w:t>
      </w:r>
      <w:r w:rsidRPr="0027680A">
        <w:rPr>
          <w:b/>
        </w:rPr>
        <w:t xml:space="preserve"> 7,5 M€ en 2018</w:t>
      </w:r>
      <w:r w:rsidR="00FA30E8">
        <w:rPr>
          <w:b/>
        </w:rPr>
        <w:t xml:space="preserve"> et 20 M€ en 2021 (annoncé à la COP26)</w:t>
      </w:r>
      <w:r w:rsidRPr="0027680A">
        <w:rPr>
          <w:b/>
        </w:rPr>
        <w:t>. La France a contribué à hauteur de 15</w:t>
      </w:r>
      <w:r w:rsidRPr="0027680A">
        <w:rPr>
          <w:rFonts w:ascii="Calibri" w:hAnsi="Calibri" w:cs="Calibri"/>
          <w:b/>
        </w:rPr>
        <w:t> </w:t>
      </w:r>
      <w:r w:rsidRPr="0027680A">
        <w:rPr>
          <w:b/>
        </w:rPr>
        <w:t>M</w:t>
      </w:r>
      <w:r w:rsidRPr="0027680A">
        <w:rPr>
          <w:rFonts w:cs="Marianne"/>
          <w:b/>
        </w:rPr>
        <w:t>€</w:t>
      </w:r>
      <w:r w:rsidRPr="0027680A">
        <w:rPr>
          <w:b/>
        </w:rPr>
        <w:t xml:space="preserve"> au fonds d</w:t>
      </w:r>
      <w:r w:rsidRPr="0027680A">
        <w:rPr>
          <w:rFonts w:cs="Marianne"/>
          <w:b/>
        </w:rPr>
        <w:t>’</w:t>
      </w:r>
      <w:r w:rsidRPr="0027680A">
        <w:rPr>
          <w:b/>
        </w:rPr>
        <w:t xml:space="preserve">adaptation en 2018 </w:t>
      </w:r>
      <w:r w:rsidR="00297AAA">
        <w:t xml:space="preserve">(annoncé lors de la COP24) et </w:t>
      </w:r>
      <w:r w:rsidR="00297AAA" w:rsidRPr="00297AAA">
        <w:t>a annoncé à la COP27 une nouvelle contribution au fonds d’adaptation de 10 M</w:t>
      </w:r>
      <w:r w:rsidR="00297AAA">
        <w:t>€.</w:t>
      </w:r>
    </w:p>
    <w:p w14:paraId="21FD188F" w14:textId="6E640D11" w:rsidR="00880CF0" w:rsidRDefault="00880CF0" w:rsidP="00880CF0">
      <w:pPr>
        <w:spacing w:before="240" w:after="240"/>
      </w:pPr>
      <w:r w:rsidRPr="00D22B79">
        <w:t>Les tableaux de financement relatifs aux sections 1 et 2 sont présentés en annexe</w:t>
      </w:r>
      <w:r w:rsidR="00217C7F">
        <w:t xml:space="preserve"> au Rapport Bisannuel</w:t>
      </w:r>
      <w:r w:rsidRPr="00D22B79">
        <w:t>.</w:t>
      </w:r>
      <w:r w:rsidR="00BF3A34">
        <w:t xml:space="preserve"> Le tableau ci-dessous résume les engagements de la France dans les différents fonds multilatéraux.</w:t>
      </w:r>
    </w:p>
    <w:tbl>
      <w:tblPr>
        <w:tblStyle w:val="GridTable4-Accent4"/>
        <w:tblW w:w="0" w:type="auto"/>
        <w:tblLook w:val="04A0" w:firstRow="1" w:lastRow="0" w:firstColumn="1" w:lastColumn="0" w:noHBand="0" w:noVBand="1"/>
      </w:tblPr>
      <w:tblGrid>
        <w:gridCol w:w="2627"/>
        <w:gridCol w:w="2288"/>
        <w:gridCol w:w="2239"/>
        <w:gridCol w:w="2219"/>
      </w:tblGrid>
      <w:tr w:rsidR="0092053B" w14:paraId="386BA676" w14:textId="77777777" w:rsidTr="00BF3A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3043A7B6" w14:textId="77777777" w:rsidR="0092053B" w:rsidRPr="008B149C" w:rsidRDefault="0092053B" w:rsidP="00EF6DB6">
            <w:pPr>
              <w:pStyle w:val="Textedesaisie"/>
              <w:ind w:left="0"/>
              <w:jc w:val="center"/>
              <w:rPr>
                <w:b w:val="0"/>
              </w:rPr>
            </w:pPr>
            <w:r w:rsidRPr="008B149C">
              <w:t>Fonds climat/Environnement</w:t>
            </w:r>
          </w:p>
        </w:tc>
        <w:tc>
          <w:tcPr>
            <w:tcW w:w="2288" w:type="dxa"/>
          </w:tcPr>
          <w:p w14:paraId="2E85B1DB" w14:textId="77777777" w:rsidR="0092053B" w:rsidRPr="008B149C"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8B149C">
              <w:t>Montant de la  dernière contribution française</w:t>
            </w:r>
          </w:p>
        </w:tc>
        <w:tc>
          <w:tcPr>
            <w:tcW w:w="2239" w:type="dxa"/>
          </w:tcPr>
          <w:p w14:paraId="5A04F600" w14:textId="77777777" w:rsidR="0092053B" w:rsidRPr="008B149C"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8B149C">
              <w:t>Période concernée</w:t>
            </w:r>
          </w:p>
        </w:tc>
        <w:tc>
          <w:tcPr>
            <w:tcW w:w="2219" w:type="dxa"/>
          </w:tcPr>
          <w:p w14:paraId="0B5E36DE" w14:textId="77777777" w:rsidR="0092053B" w:rsidRPr="008B149C" w:rsidRDefault="0092053B" w:rsidP="00EF6DB6">
            <w:pPr>
              <w:pStyle w:val="Textedesaisie"/>
              <w:ind w:left="0"/>
              <w:jc w:val="center"/>
              <w:cnfStyle w:val="100000000000" w:firstRow="1" w:lastRow="0" w:firstColumn="0" w:lastColumn="0" w:oddVBand="0" w:evenVBand="0" w:oddHBand="0" w:evenHBand="0" w:firstRowFirstColumn="0" w:firstRowLastColumn="0" w:lastRowFirstColumn="0" w:lastRowLastColumn="0"/>
              <w:rPr>
                <w:b w:val="0"/>
              </w:rPr>
            </w:pPr>
            <w:r w:rsidRPr="008B149C">
              <w:t>Date de l’annonce du pledge</w:t>
            </w:r>
          </w:p>
        </w:tc>
      </w:tr>
      <w:tr w:rsidR="0092053B" w14:paraId="6C0A6A3B" w14:textId="77777777" w:rsidTr="00BF3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14DDBF1B" w14:textId="77777777" w:rsidR="0092053B" w:rsidRPr="008B149C" w:rsidRDefault="0092053B" w:rsidP="00EF6DB6">
            <w:pPr>
              <w:pStyle w:val="Textedesaisie"/>
              <w:ind w:left="0"/>
              <w:rPr>
                <w:b w:val="0"/>
              </w:rPr>
            </w:pPr>
            <w:r w:rsidRPr="008B149C">
              <w:t>Fonds vert pour le climat</w:t>
            </w:r>
          </w:p>
        </w:tc>
        <w:tc>
          <w:tcPr>
            <w:tcW w:w="2288" w:type="dxa"/>
          </w:tcPr>
          <w:p w14:paraId="19F9382B"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 xml:space="preserve"> 1,5 Md EUR</w:t>
            </w:r>
          </w:p>
        </w:tc>
        <w:tc>
          <w:tcPr>
            <w:tcW w:w="2239" w:type="dxa"/>
          </w:tcPr>
          <w:p w14:paraId="08EC766F"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 xml:space="preserve"> 2019 – 2023</w:t>
            </w:r>
          </w:p>
        </w:tc>
        <w:tc>
          <w:tcPr>
            <w:tcW w:w="2219" w:type="dxa"/>
          </w:tcPr>
          <w:p w14:paraId="72882543"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Oct. 2019</w:t>
            </w:r>
          </w:p>
        </w:tc>
      </w:tr>
      <w:tr w:rsidR="0092053B" w14:paraId="084A5982" w14:textId="77777777" w:rsidTr="00BF3A34">
        <w:tc>
          <w:tcPr>
            <w:cnfStyle w:val="001000000000" w:firstRow="0" w:lastRow="0" w:firstColumn="1" w:lastColumn="0" w:oddVBand="0" w:evenVBand="0" w:oddHBand="0" w:evenHBand="0" w:firstRowFirstColumn="0" w:firstRowLastColumn="0" w:lastRowFirstColumn="0" w:lastRowLastColumn="0"/>
            <w:tcW w:w="2627" w:type="dxa"/>
          </w:tcPr>
          <w:p w14:paraId="669A530A" w14:textId="77777777" w:rsidR="0092053B" w:rsidRPr="008B149C" w:rsidRDefault="0092053B" w:rsidP="00EF6DB6">
            <w:pPr>
              <w:pStyle w:val="Textedesaisie"/>
              <w:ind w:left="0"/>
              <w:rPr>
                <w:b w:val="0"/>
              </w:rPr>
            </w:pPr>
            <w:r w:rsidRPr="008B149C">
              <w:t>Fonds pour l’environnement mondial</w:t>
            </w:r>
          </w:p>
        </w:tc>
        <w:tc>
          <w:tcPr>
            <w:tcW w:w="2288" w:type="dxa"/>
          </w:tcPr>
          <w:p w14:paraId="49709F58"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 xml:space="preserve"> 300 M EUR</w:t>
            </w:r>
          </w:p>
        </w:tc>
        <w:tc>
          <w:tcPr>
            <w:tcW w:w="2239" w:type="dxa"/>
          </w:tcPr>
          <w:p w14:paraId="009DBE5A"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 xml:space="preserve"> 2022 – 2025</w:t>
            </w:r>
          </w:p>
        </w:tc>
        <w:tc>
          <w:tcPr>
            <w:tcW w:w="2219" w:type="dxa"/>
          </w:tcPr>
          <w:p w14:paraId="3E9C2BD5"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Avril 2022</w:t>
            </w:r>
          </w:p>
        </w:tc>
      </w:tr>
      <w:tr w:rsidR="0092053B" w14:paraId="06E534B0" w14:textId="77777777" w:rsidTr="00BF3A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7" w:type="dxa"/>
          </w:tcPr>
          <w:p w14:paraId="275887FA" w14:textId="77777777" w:rsidR="0092053B" w:rsidRPr="008B149C" w:rsidRDefault="0092053B" w:rsidP="00EF6DB6">
            <w:pPr>
              <w:pStyle w:val="Textedesaisie"/>
              <w:ind w:left="0"/>
              <w:rPr>
                <w:b w:val="0"/>
              </w:rPr>
            </w:pPr>
            <w:r w:rsidRPr="008B149C">
              <w:t>Fonds pour les pays les moins avancés</w:t>
            </w:r>
          </w:p>
        </w:tc>
        <w:tc>
          <w:tcPr>
            <w:tcW w:w="2288" w:type="dxa"/>
          </w:tcPr>
          <w:p w14:paraId="0A653AB2"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20 M EUR</w:t>
            </w:r>
          </w:p>
        </w:tc>
        <w:tc>
          <w:tcPr>
            <w:tcW w:w="2239" w:type="dxa"/>
          </w:tcPr>
          <w:p w14:paraId="68896CF8"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2022 – 2023</w:t>
            </w:r>
          </w:p>
        </w:tc>
        <w:tc>
          <w:tcPr>
            <w:tcW w:w="2219" w:type="dxa"/>
          </w:tcPr>
          <w:p w14:paraId="7B2649AC" w14:textId="77777777" w:rsidR="0092053B" w:rsidRDefault="0092053B" w:rsidP="00EF6DB6">
            <w:pPr>
              <w:pStyle w:val="Textedesaisie"/>
              <w:ind w:left="0"/>
              <w:cnfStyle w:val="000000100000" w:firstRow="0" w:lastRow="0" w:firstColumn="0" w:lastColumn="0" w:oddVBand="0" w:evenVBand="0" w:oddHBand="1" w:evenHBand="0" w:firstRowFirstColumn="0" w:firstRowLastColumn="0" w:lastRowFirstColumn="0" w:lastRowLastColumn="0"/>
            </w:pPr>
            <w:r>
              <w:t>COP26</w:t>
            </w:r>
          </w:p>
        </w:tc>
      </w:tr>
      <w:tr w:rsidR="0092053B" w14:paraId="72360AA9" w14:textId="77777777" w:rsidTr="00BF3A34">
        <w:tc>
          <w:tcPr>
            <w:cnfStyle w:val="001000000000" w:firstRow="0" w:lastRow="0" w:firstColumn="1" w:lastColumn="0" w:oddVBand="0" w:evenVBand="0" w:oddHBand="0" w:evenHBand="0" w:firstRowFirstColumn="0" w:firstRowLastColumn="0" w:lastRowFirstColumn="0" w:lastRowLastColumn="0"/>
            <w:tcW w:w="2627" w:type="dxa"/>
          </w:tcPr>
          <w:p w14:paraId="2222F851" w14:textId="77777777" w:rsidR="0092053B" w:rsidRPr="008B149C" w:rsidRDefault="0092053B" w:rsidP="00EF6DB6">
            <w:pPr>
              <w:pStyle w:val="Textedesaisie"/>
              <w:ind w:left="0"/>
              <w:rPr>
                <w:b w:val="0"/>
              </w:rPr>
            </w:pPr>
            <w:r w:rsidRPr="008B149C">
              <w:t>Fonds d’adaptation</w:t>
            </w:r>
          </w:p>
        </w:tc>
        <w:tc>
          <w:tcPr>
            <w:tcW w:w="2288" w:type="dxa"/>
          </w:tcPr>
          <w:p w14:paraId="329CEDA1"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10 M EUR</w:t>
            </w:r>
          </w:p>
        </w:tc>
        <w:tc>
          <w:tcPr>
            <w:tcW w:w="2239" w:type="dxa"/>
          </w:tcPr>
          <w:p w14:paraId="495507CA"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2022 – 2023</w:t>
            </w:r>
          </w:p>
        </w:tc>
        <w:tc>
          <w:tcPr>
            <w:tcW w:w="2219" w:type="dxa"/>
          </w:tcPr>
          <w:p w14:paraId="5E18A31A" w14:textId="77777777" w:rsidR="0092053B" w:rsidRDefault="0092053B" w:rsidP="00EF6DB6">
            <w:pPr>
              <w:pStyle w:val="Textedesaisie"/>
              <w:ind w:left="0"/>
              <w:cnfStyle w:val="000000000000" w:firstRow="0" w:lastRow="0" w:firstColumn="0" w:lastColumn="0" w:oddVBand="0" w:evenVBand="0" w:oddHBand="0" w:evenHBand="0" w:firstRowFirstColumn="0" w:firstRowLastColumn="0" w:lastRowFirstColumn="0" w:lastRowLastColumn="0"/>
            </w:pPr>
            <w:r>
              <w:t>COP27</w:t>
            </w:r>
          </w:p>
        </w:tc>
      </w:tr>
    </w:tbl>
    <w:p w14:paraId="294F5F8B" w14:textId="77777777" w:rsidR="0092053B" w:rsidRDefault="0092053B" w:rsidP="00880CF0">
      <w:pPr>
        <w:spacing w:before="240" w:after="240"/>
      </w:pPr>
    </w:p>
    <w:p w14:paraId="05A3DF0C" w14:textId="77777777" w:rsidR="00880CF0" w:rsidRDefault="00880CF0" w:rsidP="00E524AF">
      <w:pPr>
        <w:pStyle w:val="Titre2Niveau2"/>
      </w:pPr>
      <w:bookmarkStart w:id="725" w:name="_Toc115454108"/>
      <w:bookmarkStart w:id="726" w:name="_Toc121390989"/>
      <w:bookmarkStart w:id="727" w:name="_Toc138342057"/>
      <w:r>
        <w:t>La coopération technologique</w:t>
      </w:r>
      <w:bookmarkEnd w:id="725"/>
      <w:bookmarkEnd w:id="726"/>
      <w:bookmarkEnd w:id="727"/>
    </w:p>
    <w:p w14:paraId="192D8D1F" w14:textId="30332DB6" w:rsidR="0027680A" w:rsidRPr="008F3051" w:rsidRDefault="00880CF0" w:rsidP="008F3051">
      <w:r>
        <w:rPr>
          <w:lang w:eastAsia="en-US"/>
        </w:rPr>
        <w:t>Les actions de la France en matière de coopération technologique sont déjà présentées dans le chapitre 15 : « Information sur la minimisation des effets adverses sur les pays en développement des politiques et mesures mises en œuvre par la France (article 3.14) » du rapport annuel d’inventaire GES français pour la CCNUCC (NIR). Des éléments complémentaires sont indiqués ci-après.</w:t>
      </w:r>
      <w:bookmarkStart w:id="728" w:name="_Toc121431074"/>
      <w:bookmarkStart w:id="729" w:name="_Toc121431411"/>
      <w:bookmarkStart w:id="730" w:name="_Toc121431572"/>
      <w:bookmarkStart w:id="731" w:name="_Toc121431734"/>
      <w:bookmarkStart w:id="732" w:name="_Toc121431897"/>
      <w:bookmarkStart w:id="733" w:name="_Toc121432059"/>
      <w:bookmarkEnd w:id="728"/>
      <w:bookmarkEnd w:id="729"/>
      <w:bookmarkEnd w:id="730"/>
      <w:bookmarkEnd w:id="731"/>
      <w:bookmarkEnd w:id="732"/>
      <w:bookmarkEnd w:id="733"/>
    </w:p>
    <w:p w14:paraId="62F3C241" w14:textId="0145A5BD" w:rsidR="00880CF0" w:rsidRDefault="00880CF0" w:rsidP="00E524AF">
      <w:pPr>
        <w:pStyle w:val="Titre3Niveau3"/>
      </w:pPr>
      <w:bookmarkStart w:id="734" w:name="_Toc138342058"/>
      <w:r w:rsidRPr="0027680A">
        <w:t>L</w:t>
      </w:r>
      <w:r w:rsidR="0027680A">
        <w:t>e rôle de l</w:t>
      </w:r>
      <w:r w:rsidRPr="0027680A">
        <w:t>’ADEME</w:t>
      </w:r>
      <w:bookmarkEnd w:id="734"/>
    </w:p>
    <w:p w14:paraId="3C7021F0" w14:textId="77777777" w:rsidR="00880CF0" w:rsidRDefault="00880CF0" w:rsidP="00880CF0">
      <w:r>
        <w:t>Au niveau national l’ADEME a accompagné le développement et déploiement de nouvelles technologies climatiques, grâce à sa dotation budgétaire annuelle, le Programme d’Investissements d’Avenir, et plus récemment le Plan de relance économique de la France (2020-2022).</w:t>
      </w:r>
    </w:p>
    <w:p w14:paraId="34D2C45D" w14:textId="77777777" w:rsidR="00880CF0" w:rsidRDefault="00880CF0" w:rsidP="00880CF0"/>
    <w:p w14:paraId="14C3E4E7" w14:textId="77777777" w:rsidR="00880CF0" w:rsidRDefault="00880CF0" w:rsidP="00880CF0">
      <w:r>
        <w:t>L’ADEME a contribué au déploiement international des technologies climatiques françaises dans le cadre de plusieurs programmes et partenariats.</w:t>
      </w:r>
    </w:p>
    <w:p w14:paraId="3A311F7A" w14:textId="77777777" w:rsidR="00880CF0" w:rsidRDefault="00880CF0" w:rsidP="00880CF0">
      <w:r>
        <w:t>A la demande du ministère de l’Écologie, suite de la COP 21, l’ADEME a géré un programme d’accompagnement des coalitions de l’Agenda de l’Action Climat. Ce programme concernait principalement l’Alliance mondiale pour les bâtiments et la construction (GlobalABC) et la Mission Innovation et comprenait un axe transversal « Femmes et climat ». Les activités soutenues par ce programme comprenaient des dimensions techniques et de développement de compétences.</w:t>
      </w:r>
    </w:p>
    <w:p w14:paraId="09914F95" w14:textId="2CD59987" w:rsidR="00880CF0" w:rsidRDefault="00A97954" w:rsidP="00880CF0">
      <w:r>
        <w:t xml:space="preserve">L’Alliance Mondiale pour les bâtiments et la construction (Global Alliance for Buildings and Construction, GlobalABC – voir aussi </w:t>
      </w:r>
      <w:r w:rsidRPr="00CE6C75">
        <w:t xml:space="preserve">partie </w:t>
      </w:r>
      <w:r>
        <w:fldChar w:fldCharType="begin"/>
      </w:r>
      <w:r>
        <w:instrText xml:space="preserve"> REF _Ref123207241 \r \h </w:instrText>
      </w:r>
      <w:r>
        <w:fldChar w:fldCharType="separate"/>
      </w:r>
      <w:r w:rsidR="00AB51D9">
        <w:t>D.1</w:t>
      </w:r>
      <w:r>
        <w:fldChar w:fldCharType="end"/>
      </w:r>
      <w:r>
        <w:t xml:space="preserve"> sur la c</w:t>
      </w:r>
      <w:r w:rsidRPr="00CE6C75">
        <w:t>oopération internationale</w:t>
      </w:r>
      <w:r>
        <w:t>) a été initiée à la COP21 par la France, avec le PNUE. Cette alliance, co-présidée par la France et réunissant désormais 36 pays et plus de 200 organisations, a pour mission de mobiliser l’ensemble de ces acteurs pour la transition vers un secteur immobilier à zéro émission, efficace en énergie et résilient aux changements climatiques, en vue d’atteindre les objectifs de l’Accord de Paris. L’ADEME a contribué à la mise en œuvre de la GlobalABC notamment par le financement d’opérations phares au Sénégal et au Vietnam pour des bâtiments bioclimatiques et bas carbone en climats chauds et tropicaux et la co-présidence d’un groupe de travail sur l’adaptation au changement climatique</w:t>
      </w:r>
      <w:r w:rsidR="00880CF0">
        <w:t>.</w:t>
      </w:r>
    </w:p>
    <w:p w14:paraId="386FB661" w14:textId="77777777" w:rsidR="00A97954" w:rsidRDefault="00A97954" w:rsidP="00880CF0"/>
    <w:p w14:paraId="26A6CCD0" w14:textId="77777777" w:rsidR="00880CF0" w:rsidRDefault="00880CF0" w:rsidP="00880CF0">
      <w:r>
        <w:t>La coalition « Mission Innovation » a pour objectif de renforcer le soutien public à la recherche et à l’innovation sur les technologies bas carbone. En 2015 la France et l’Inde, étaient pays leaders sur la thématique « accès à l’énergie renouvelable pour les populations hors réseau ». Dans ce cadre l’ADEME a lancé en 2017 un appel à projets sur l’accès à l’énergie renouvelable hors réseau.</w:t>
      </w:r>
    </w:p>
    <w:p w14:paraId="680C1E8D" w14:textId="77777777" w:rsidR="00880CF0" w:rsidRDefault="00880CF0" w:rsidP="00880CF0">
      <w:r>
        <w:t xml:space="preserve">L’on notera que cet appel à projets a posé le socle pour un partenariat avec l’Agence française de développement qui a permis de lancer en 2019 un deuxième appel à projets sur l’accès à l’énergie renouvelable hors réseau. </w:t>
      </w:r>
    </w:p>
    <w:p w14:paraId="33FD0301" w14:textId="77777777" w:rsidR="00880CF0" w:rsidRDefault="00880CF0" w:rsidP="00880CF0">
      <w:r>
        <w:t>L’axe « Femmes et Climat » du programme a été conduit en partenariat avec l’Association Internationale des Maires Francophones (AIMF). Un projet phare a été retenu avec le Réseau des Femmes Elues Locales d’Afrique REFELA-CAMEROUN pour la mise en œuvre d’actions pilotes pour l’éclairage public et la fourniture électrique de bâtiments publics ainsi que le renforcement des compétences des Femmes élues sur la production et gestion d’énergie durable.</w:t>
      </w:r>
    </w:p>
    <w:p w14:paraId="0C6919E7" w14:textId="77777777" w:rsidR="00880CF0" w:rsidRDefault="00880CF0" w:rsidP="00880CF0"/>
    <w:p w14:paraId="371372E8" w14:textId="508D5412" w:rsidR="00880CF0" w:rsidRDefault="00300845" w:rsidP="00880CF0">
      <w:r>
        <w:t>Depuis la 7</w:t>
      </w:r>
      <w:r w:rsidRPr="00300845">
        <w:rPr>
          <w:vertAlign w:val="superscript"/>
        </w:rPr>
        <w:t>e</w:t>
      </w:r>
      <w:r>
        <w:t xml:space="preserve"> </w:t>
      </w:r>
      <w:r w:rsidR="00880CF0">
        <w:t>communication nationale il y a une prise de conscience plus générale de la nécessité de renforcer l’adaptation au changement climatique tout en poursuivant les efforts d’atténuation. Dans la continuité de ses travaux nationaux sur l’adaptation au changement climatique, l’ADEME a lancé en 2022 un appel à projets visant le renforcement de cet enjeu dans les initiatives multilatérales de l’Agenda de l’Action.</w:t>
      </w:r>
    </w:p>
    <w:p w14:paraId="002C0CC5" w14:textId="77777777" w:rsidR="00880CF0" w:rsidRDefault="00880CF0" w:rsidP="00880CF0"/>
    <w:p w14:paraId="34F296EB" w14:textId="06319A73" w:rsidR="00880CF0" w:rsidRDefault="00880CF0" w:rsidP="00880CF0">
      <w:r>
        <w:t xml:space="preserve">L’ADEME contribue directement à la mise en œuvre du Mécanisme technologique de la Convention-cadre des </w:t>
      </w:r>
      <w:r w:rsidR="00A97954">
        <w:t>N</w:t>
      </w:r>
      <w:r>
        <w:t xml:space="preserve">ations </w:t>
      </w:r>
      <w:r w:rsidR="00A97954">
        <w:t>U</w:t>
      </w:r>
      <w:r>
        <w:t>nies sur le</w:t>
      </w:r>
      <w:r w:rsidR="00A97954">
        <w:t>s</w:t>
      </w:r>
      <w:r>
        <w:t xml:space="preserve"> </w:t>
      </w:r>
      <w:r w:rsidR="00A97954">
        <w:t>C</w:t>
      </w:r>
      <w:r>
        <w:t xml:space="preserve">hangement </w:t>
      </w:r>
      <w:r w:rsidR="00A97954">
        <w:t>C</w:t>
      </w:r>
      <w:r>
        <w:t>limatique</w:t>
      </w:r>
      <w:r w:rsidR="00A97954">
        <w:t>s</w:t>
      </w:r>
      <w:r>
        <w:t xml:space="preserve"> par son rôle d’Entité national</w:t>
      </w:r>
      <w:r w:rsidR="00A97954">
        <w:t>e</w:t>
      </w:r>
      <w:r>
        <w:t xml:space="preserve"> désigné</w:t>
      </w:r>
      <w:r w:rsidR="00A97954">
        <w:t>e</w:t>
      </w:r>
      <w:r>
        <w:t xml:space="preserve"> du Centre et réseau des technologies climatiques (Climate Technology Centre and Network, CTCN).</w:t>
      </w:r>
    </w:p>
    <w:p w14:paraId="5994756F" w14:textId="77777777" w:rsidR="00880CF0" w:rsidRDefault="00880CF0" w:rsidP="00880CF0">
      <w:pPr>
        <w:sectPr w:rsidR="00880CF0" w:rsidSect="00777BD5">
          <w:pgSz w:w="11906" w:h="16838" w:code="9"/>
          <w:pgMar w:top="1229" w:right="907" w:bottom="1648" w:left="1049" w:header="284" w:footer="284" w:gutter="0"/>
          <w:cols w:space="708"/>
          <w:titlePg/>
          <w:docGrid w:linePitch="360"/>
        </w:sectPr>
      </w:pPr>
    </w:p>
    <w:tbl>
      <w:tblPr>
        <w:tblStyle w:val="GridTable4-Accent4"/>
        <w:tblW w:w="15021" w:type="dxa"/>
        <w:jc w:val="center"/>
        <w:tblLook w:val="04A0" w:firstRow="1" w:lastRow="0" w:firstColumn="1" w:lastColumn="0" w:noHBand="0" w:noVBand="1"/>
      </w:tblPr>
      <w:tblGrid>
        <w:gridCol w:w="1213"/>
        <w:gridCol w:w="1199"/>
        <w:gridCol w:w="1847"/>
        <w:gridCol w:w="1134"/>
        <w:gridCol w:w="2266"/>
        <w:gridCol w:w="1558"/>
        <w:gridCol w:w="1699"/>
        <w:gridCol w:w="4105"/>
      </w:tblGrid>
      <w:tr w:rsidR="00880CF0" w:rsidRPr="00857108" w14:paraId="53779EEC" w14:textId="77777777" w:rsidTr="0093174E">
        <w:trPr>
          <w:cnfStyle w:val="100000000000" w:firstRow="1" w:lastRow="0" w:firstColumn="0" w:lastColumn="0" w:oddVBand="0" w:evenVBand="0" w:oddHBand="0"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F6A172A" w14:textId="77777777" w:rsidR="00880CF0" w:rsidRPr="00857108" w:rsidRDefault="00880CF0" w:rsidP="00880CF0">
            <w:pPr>
              <w:jc w:val="center"/>
              <w:rPr>
                <w:rFonts w:ascii="Arial" w:hAnsi="Arial" w:cs="Arial"/>
                <w:color w:val="000000"/>
                <w:sz w:val="16"/>
                <w:szCs w:val="16"/>
                <w:lang w:val="en-GB"/>
              </w:rPr>
            </w:pPr>
            <w:r>
              <w:rPr>
                <w:rFonts w:ascii="Arial" w:hAnsi="Arial" w:cs="Arial"/>
                <w:color w:val="000000"/>
                <w:sz w:val="16"/>
                <w:szCs w:val="16"/>
                <w:lang w:val="en-GB"/>
              </w:rPr>
              <w:t>Pays ou region récipiendaire</w:t>
            </w:r>
          </w:p>
        </w:tc>
        <w:tc>
          <w:tcPr>
            <w:tcW w:w="1200" w:type="dxa"/>
            <w:hideMark/>
          </w:tcPr>
          <w:p w14:paraId="1407790E"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Objectif</w:t>
            </w:r>
          </w:p>
        </w:tc>
        <w:tc>
          <w:tcPr>
            <w:tcW w:w="1848" w:type="dxa"/>
            <w:hideMark/>
          </w:tcPr>
          <w:p w14:paraId="7DBBDCE8"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Mesures et activités liées au transfert de technologie</w:t>
            </w:r>
          </w:p>
        </w:tc>
        <w:tc>
          <w:tcPr>
            <w:tcW w:w="1134" w:type="dxa"/>
            <w:hideMark/>
          </w:tcPr>
          <w:p w14:paraId="2B16B3C8"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Secteur</w:t>
            </w:r>
          </w:p>
        </w:tc>
        <w:tc>
          <w:tcPr>
            <w:tcW w:w="2268" w:type="dxa"/>
            <w:hideMark/>
          </w:tcPr>
          <w:p w14:paraId="20FBD11B"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lang w:val="en-GB"/>
              </w:rPr>
            </w:pPr>
            <w:r>
              <w:rPr>
                <w:rFonts w:ascii="Arial" w:hAnsi="Arial" w:cs="Arial"/>
                <w:color w:val="000000"/>
                <w:sz w:val="16"/>
                <w:szCs w:val="16"/>
                <w:lang w:val="en-GB"/>
              </w:rPr>
              <w:t>Provenance du financement</w:t>
            </w:r>
          </w:p>
        </w:tc>
        <w:tc>
          <w:tcPr>
            <w:tcW w:w="1559" w:type="dxa"/>
            <w:hideMark/>
          </w:tcPr>
          <w:p w14:paraId="7791BD4A"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Activités entreprises par :</w:t>
            </w:r>
          </w:p>
        </w:tc>
        <w:tc>
          <w:tcPr>
            <w:tcW w:w="1701" w:type="dxa"/>
            <w:hideMark/>
          </w:tcPr>
          <w:p w14:paraId="2D17C0D6"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Status</w:t>
            </w:r>
          </w:p>
        </w:tc>
        <w:tc>
          <w:tcPr>
            <w:tcW w:w="4111" w:type="dxa"/>
            <w:hideMark/>
          </w:tcPr>
          <w:p w14:paraId="034D9C73" w14:textId="77777777" w:rsidR="00880CF0" w:rsidRPr="00857108" w:rsidRDefault="00880CF0" w:rsidP="00880CF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Informations complémentaires</w:t>
            </w:r>
          </w:p>
        </w:tc>
      </w:tr>
      <w:tr w:rsidR="00880CF0" w:rsidRPr="00857108" w14:paraId="6A1D3E1A" w14:textId="77777777" w:rsidTr="0093174E">
        <w:trPr>
          <w:cnfStyle w:val="000000100000" w:firstRow="0" w:lastRow="0" w:firstColumn="0" w:lastColumn="0" w:oddVBand="0" w:evenVBand="0" w:oddHBand="1" w:evenHBand="0" w:firstRowFirstColumn="0" w:firstRowLastColumn="0" w:lastRowFirstColumn="0" w:lastRowLastColumn="0"/>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F18B7F4" w14:textId="77777777" w:rsidR="00880CF0" w:rsidRPr="00857108" w:rsidRDefault="00880CF0" w:rsidP="00880CF0">
            <w:pPr>
              <w:jc w:val="left"/>
              <w:rPr>
                <w:rFonts w:ascii="Arial" w:hAnsi="Arial" w:cs="Arial"/>
                <w:color w:val="000000"/>
                <w:sz w:val="16"/>
                <w:szCs w:val="16"/>
              </w:rPr>
            </w:pPr>
            <w:r w:rsidRPr="00857108">
              <w:rPr>
                <w:rFonts w:ascii="Arial" w:hAnsi="Arial" w:cs="Arial"/>
                <w:color w:val="000000"/>
                <w:sz w:val="16"/>
                <w:szCs w:val="16"/>
              </w:rPr>
              <w:t>Afrique</w:t>
            </w:r>
          </w:p>
        </w:tc>
        <w:tc>
          <w:tcPr>
            <w:tcW w:w="1200" w:type="dxa"/>
            <w:hideMark/>
          </w:tcPr>
          <w:p w14:paraId="6255CB8D"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Atténuation</w:t>
            </w:r>
          </w:p>
        </w:tc>
        <w:tc>
          <w:tcPr>
            <w:tcW w:w="1848" w:type="dxa"/>
            <w:hideMark/>
          </w:tcPr>
          <w:p w14:paraId="106EDE1B"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Appel à projets ADEME 2017 : Accès à l'énérgie renouvelable pour les populations hors réseau. Gestion ADEME.</w:t>
            </w:r>
          </w:p>
        </w:tc>
        <w:tc>
          <w:tcPr>
            <w:tcW w:w="1134" w:type="dxa"/>
            <w:hideMark/>
          </w:tcPr>
          <w:p w14:paraId="084B6B48"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Energie</w:t>
            </w:r>
          </w:p>
        </w:tc>
        <w:tc>
          <w:tcPr>
            <w:tcW w:w="2268" w:type="dxa"/>
            <w:hideMark/>
          </w:tcPr>
          <w:p w14:paraId="505F68D8"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Ministère de la transition écologique. Gestion ADEME.</w:t>
            </w:r>
          </w:p>
        </w:tc>
        <w:tc>
          <w:tcPr>
            <w:tcW w:w="1559" w:type="dxa"/>
            <w:hideMark/>
          </w:tcPr>
          <w:p w14:paraId="77460F71"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entreprises</w:t>
            </w:r>
          </w:p>
        </w:tc>
        <w:tc>
          <w:tcPr>
            <w:tcW w:w="1701" w:type="dxa"/>
            <w:hideMark/>
          </w:tcPr>
          <w:p w14:paraId="55CB4E3F"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 cours de finalisation</w:t>
            </w:r>
          </w:p>
        </w:tc>
        <w:tc>
          <w:tcPr>
            <w:tcW w:w="4111" w:type="dxa"/>
            <w:hideMark/>
          </w:tcPr>
          <w:p w14:paraId="7385ABD0"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Dans la cadre de la coalition multilatérale "Mission Innovation". Neuf projets au Togo, Burkina Faso, Mauritanie, Cap Vert, Madagascar, Bénin et Ouganda</w:t>
            </w:r>
          </w:p>
        </w:tc>
      </w:tr>
      <w:tr w:rsidR="00880CF0" w:rsidRPr="00857108" w14:paraId="4B0585F0" w14:textId="77777777" w:rsidTr="0093174E">
        <w:trPr>
          <w:trHeight w:val="675"/>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7EE448E1" w14:textId="77777777" w:rsidR="00880CF0" w:rsidRPr="00857108" w:rsidRDefault="00880CF0" w:rsidP="00880CF0">
            <w:pPr>
              <w:jc w:val="left"/>
              <w:rPr>
                <w:rFonts w:ascii="Arial" w:hAnsi="Arial" w:cs="Arial"/>
                <w:color w:val="000000"/>
                <w:sz w:val="16"/>
                <w:szCs w:val="16"/>
              </w:rPr>
            </w:pPr>
            <w:r w:rsidRPr="00857108">
              <w:rPr>
                <w:rFonts w:ascii="Arial" w:hAnsi="Arial" w:cs="Arial"/>
                <w:color w:val="000000"/>
                <w:sz w:val="16"/>
                <w:szCs w:val="16"/>
              </w:rPr>
              <w:t>Afrique</w:t>
            </w:r>
          </w:p>
        </w:tc>
        <w:tc>
          <w:tcPr>
            <w:tcW w:w="1200" w:type="dxa"/>
            <w:hideMark/>
          </w:tcPr>
          <w:p w14:paraId="16CCCCFD"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Atténuation</w:t>
            </w:r>
          </w:p>
        </w:tc>
        <w:tc>
          <w:tcPr>
            <w:tcW w:w="1848" w:type="dxa"/>
            <w:hideMark/>
          </w:tcPr>
          <w:p w14:paraId="49E0B317"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Appel à projets ADEME 2019 : Accès à l'énérgie renouvelable pour les populations hors réseau. Gestion ADEME.</w:t>
            </w:r>
          </w:p>
        </w:tc>
        <w:tc>
          <w:tcPr>
            <w:tcW w:w="1134" w:type="dxa"/>
            <w:hideMark/>
          </w:tcPr>
          <w:p w14:paraId="4C436780"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Energie</w:t>
            </w:r>
          </w:p>
        </w:tc>
        <w:tc>
          <w:tcPr>
            <w:tcW w:w="2268" w:type="dxa"/>
            <w:hideMark/>
          </w:tcPr>
          <w:p w14:paraId="50E673CA"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Agence française du développement. Gestion ADEME.</w:t>
            </w:r>
          </w:p>
        </w:tc>
        <w:tc>
          <w:tcPr>
            <w:tcW w:w="1559" w:type="dxa"/>
            <w:hideMark/>
          </w:tcPr>
          <w:p w14:paraId="33F4E181"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entreprises</w:t>
            </w:r>
          </w:p>
        </w:tc>
        <w:tc>
          <w:tcPr>
            <w:tcW w:w="1701" w:type="dxa"/>
            <w:hideMark/>
          </w:tcPr>
          <w:p w14:paraId="547BD287"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 cours</w:t>
            </w:r>
          </w:p>
        </w:tc>
        <w:tc>
          <w:tcPr>
            <w:tcW w:w="4111" w:type="dxa"/>
            <w:hideMark/>
          </w:tcPr>
          <w:p w14:paraId="2D485584"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Suite à l'appel à projets 2017.</w:t>
            </w:r>
          </w:p>
        </w:tc>
      </w:tr>
      <w:tr w:rsidR="00880CF0" w:rsidRPr="00857108" w14:paraId="7C39F325" w14:textId="77777777" w:rsidTr="0093174E">
        <w:trPr>
          <w:cnfStyle w:val="000000100000" w:firstRow="0" w:lastRow="0" w:firstColumn="0" w:lastColumn="0" w:oddVBand="0" w:evenVBand="0" w:oddHBand="1"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2DF031FD" w14:textId="77777777" w:rsidR="00880CF0" w:rsidRPr="00857108" w:rsidRDefault="00880CF0" w:rsidP="00880CF0">
            <w:pPr>
              <w:jc w:val="left"/>
              <w:rPr>
                <w:rFonts w:ascii="Arial" w:hAnsi="Arial" w:cs="Arial"/>
                <w:color w:val="000000"/>
                <w:sz w:val="16"/>
                <w:szCs w:val="16"/>
              </w:rPr>
            </w:pPr>
            <w:r w:rsidRPr="00857108">
              <w:rPr>
                <w:rFonts w:ascii="Arial" w:hAnsi="Arial" w:cs="Arial"/>
                <w:color w:val="000000"/>
                <w:sz w:val="16"/>
                <w:szCs w:val="16"/>
              </w:rPr>
              <w:t>Afrique</w:t>
            </w:r>
          </w:p>
        </w:tc>
        <w:tc>
          <w:tcPr>
            <w:tcW w:w="1200" w:type="dxa"/>
            <w:hideMark/>
          </w:tcPr>
          <w:p w14:paraId="72BA7CAA"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Atténuation</w:t>
            </w:r>
          </w:p>
        </w:tc>
        <w:tc>
          <w:tcPr>
            <w:tcW w:w="1848" w:type="dxa"/>
            <w:hideMark/>
          </w:tcPr>
          <w:p w14:paraId="774D8A14"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Accompagnement de plusieurs projets innovants d'accès à l'énérgie durable.</w:t>
            </w:r>
          </w:p>
        </w:tc>
        <w:tc>
          <w:tcPr>
            <w:tcW w:w="1134" w:type="dxa"/>
            <w:hideMark/>
          </w:tcPr>
          <w:p w14:paraId="74B71913"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Energie</w:t>
            </w:r>
          </w:p>
        </w:tc>
        <w:tc>
          <w:tcPr>
            <w:tcW w:w="2268" w:type="dxa"/>
            <w:hideMark/>
          </w:tcPr>
          <w:p w14:paraId="2F49D8D4"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Ministère de la transition écologique. Gestion ADEME.</w:t>
            </w:r>
          </w:p>
        </w:tc>
        <w:tc>
          <w:tcPr>
            <w:tcW w:w="1559" w:type="dxa"/>
            <w:hideMark/>
          </w:tcPr>
          <w:p w14:paraId="3F0FF849"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entreprises</w:t>
            </w:r>
          </w:p>
        </w:tc>
        <w:tc>
          <w:tcPr>
            <w:tcW w:w="1701" w:type="dxa"/>
            <w:hideMark/>
          </w:tcPr>
          <w:p w14:paraId="62B4D5FE"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 cours</w:t>
            </w:r>
          </w:p>
        </w:tc>
        <w:tc>
          <w:tcPr>
            <w:tcW w:w="4111" w:type="dxa"/>
            <w:hideMark/>
          </w:tcPr>
          <w:p w14:paraId="4E826A6F"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Dans la cadre de la coalition multilatérale "Mission Innovation". Financement de plusieurs projets innovants sur l'accès à lénergie durable. Exemple : mise en place d'un méthaniseur à Lusaka (Zambie) dans le quartier de Mtendere.</w:t>
            </w:r>
          </w:p>
        </w:tc>
      </w:tr>
      <w:tr w:rsidR="00880CF0" w:rsidRPr="00857108" w14:paraId="5E7FA24B" w14:textId="77777777" w:rsidTr="0093174E">
        <w:trPr>
          <w:trHeight w:val="135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5631D5F1" w14:textId="77777777" w:rsidR="00880CF0" w:rsidRPr="00857108" w:rsidRDefault="00880CF0" w:rsidP="00880CF0">
            <w:pPr>
              <w:jc w:val="left"/>
              <w:rPr>
                <w:rFonts w:ascii="Arial" w:hAnsi="Arial" w:cs="Arial"/>
                <w:color w:val="000000"/>
                <w:sz w:val="16"/>
                <w:szCs w:val="16"/>
              </w:rPr>
            </w:pPr>
            <w:r w:rsidRPr="00857108">
              <w:rPr>
                <w:rFonts w:ascii="Arial" w:hAnsi="Arial" w:cs="Arial"/>
                <w:color w:val="000000"/>
                <w:sz w:val="16"/>
                <w:szCs w:val="16"/>
              </w:rPr>
              <w:t>Monde</w:t>
            </w:r>
          </w:p>
        </w:tc>
        <w:tc>
          <w:tcPr>
            <w:tcW w:w="1200" w:type="dxa"/>
            <w:hideMark/>
          </w:tcPr>
          <w:p w14:paraId="50E94FFF"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Atténuation</w:t>
            </w:r>
            <w:r w:rsidRPr="00857108">
              <w:rPr>
                <w:rFonts w:ascii="Arial" w:hAnsi="Arial" w:cs="Arial"/>
                <w:color w:val="000000"/>
                <w:sz w:val="16"/>
                <w:szCs w:val="16"/>
              </w:rPr>
              <w:t xml:space="preserve"> et adaptation</w:t>
            </w:r>
          </w:p>
        </w:tc>
        <w:tc>
          <w:tcPr>
            <w:tcW w:w="1848" w:type="dxa"/>
            <w:hideMark/>
          </w:tcPr>
          <w:p w14:paraId="21AED47D"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Appui à l'Alliance Mondiale pour les Bâtiments et la Construction (GlobalABC)</w:t>
            </w:r>
          </w:p>
        </w:tc>
        <w:tc>
          <w:tcPr>
            <w:tcW w:w="1134" w:type="dxa"/>
            <w:hideMark/>
          </w:tcPr>
          <w:p w14:paraId="4B1A73A3"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Bâtiments et construction</w:t>
            </w:r>
          </w:p>
        </w:tc>
        <w:tc>
          <w:tcPr>
            <w:tcW w:w="2268" w:type="dxa"/>
            <w:hideMark/>
          </w:tcPr>
          <w:p w14:paraId="50D2FED8"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Ministère de la transition écologique. Gestion ADEME.</w:t>
            </w:r>
          </w:p>
        </w:tc>
        <w:tc>
          <w:tcPr>
            <w:tcW w:w="1559" w:type="dxa"/>
            <w:hideMark/>
          </w:tcPr>
          <w:p w14:paraId="49877B03"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entreprises</w:t>
            </w:r>
          </w:p>
        </w:tc>
        <w:tc>
          <w:tcPr>
            <w:tcW w:w="1701" w:type="dxa"/>
            <w:hideMark/>
          </w:tcPr>
          <w:p w14:paraId="6D86F40F"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En cours</w:t>
            </w:r>
          </w:p>
        </w:tc>
        <w:tc>
          <w:tcPr>
            <w:tcW w:w="4111" w:type="dxa"/>
            <w:hideMark/>
          </w:tcPr>
          <w:p w14:paraId="6D4DD8B6" w14:textId="77777777" w:rsidR="00880CF0" w:rsidRPr="00857108" w:rsidRDefault="00880CF0" w:rsidP="00880CF0">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Dans le cadre de l'Alliance Mondiale pour les Bâtiments et la Construction (GlobalABC). Co-présidence du groupe de travail sur l'adaptation au changement climatique. Financement d'opérations phares au Sénégal et au Vietnam pour des bâtiments bioclimatiques et bas-carbone en climats chauds et tropicaux.</w:t>
            </w:r>
          </w:p>
        </w:tc>
      </w:tr>
      <w:tr w:rsidR="00880CF0" w:rsidRPr="00857108" w14:paraId="0DC51EB6" w14:textId="77777777" w:rsidTr="0093174E">
        <w:trPr>
          <w:cnfStyle w:val="000000100000" w:firstRow="0" w:lastRow="0" w:firstColumn="0" w:lastColumn="0" w:oddVBand="0" w:evenVBand="0" w:oddHBand="1" w:evenHBand="0" w:firstRowFirstColumn="0" w:firstRowLastColumn="0" w:lastRowFirstColumn="0" w:lastRowLastColumn="0"/>
          <w:trHeight w:val="1800"/>
          <w:jc w:val="center"/>
        </w:trPr>
        <w:tc>
          <w:tcPr>
            <w:cnfStyle w:val="001000000000" w:firstRow="0" w:lastRow="0" w:firstColumn="1" w:lastColumn="0" w:oddVBand="0" w:evenVBand="0" w:oddHBand="0" w:evenHBand="0" w:firstRowFirstColumn="0" w:firstRowLastColumn="0" w:lastRowFirstColumn="0" w:lastRowLastColumn="0"/>
            <w:tcW w:w="1200" w:type="dxa"/>
            <w:hideMark/>
          </w:tcPr>
          <w:p w14:paraId="618211E7" w14:textId="77777777" w:rsidR="00880CF0" w:rsidRPr="00857108" w:rsidRDefault="00880CF0" w:rsidP="00880CF0">
            <w:pPr>
              <w:jc w:val="left"/>
              <w:rPr>
                <w:rFonts w:ascii="Arial" w:hAnsi="Arial" w:cs="Arial"/>
                <w:sz w:val="16"/>
                <w:szCs w:val="16"/>
              </w:rPr>
            </w:pPr>
            <w:r w:rsidRPr="00857108">
              <w:rPr>
                <w:rFonts w:ascii="Arial" w:hAnsi="Arial" w:cs="Arial"/>
                <w:sz w:val="16"/>
                <w:szCs w:val="16"/>
              </w:rPr>
              <w:t>Cameroun</w:t>
            </w:r>
          </w:p>
        </w:tc>
        <w:tc>
          <w:tcPr>
            <w:tcW w:w="1200" w:type="dxa"/>
            <w:hideMark/>
          </w:tcPr>
          <w:p w14:paraId="55F5B205"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Pr>
                <w:rFonts w:ascii="Arial" w:hAnsi="Arial" w:cs="Arial"/>
                <w:sz w:val="16"/>
                <w:szCs w:val="16"/>
              </w:rPr>
              <w:t>Atténuation</w:t>
            </w:r>
          </w:p>
        </w:tc>
        <w:tc>
          <w:tcPr>
            <w:tcW w:w="1848" w:type="dxa"/>
            <w:hideMark/>
          </w:tcPr>
          <w:p w14:paraId="4DBB4142"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857108">
              <w:rPr>
                <w:rFonts w:ascii="Arial" w:hAnsi="Arial" w:cs="Arial"/>
                <w:sz w:val="16"/>
                <w:szCs w:val="16"/>
              </w:rPr>
              <w:t>Femmes et Climat : actions pilotes</w:t>
            </w:r>
          </w:p>
        </w:tc>
        <w:tc>
          <w:tcPr>
            <w:tcW w:w="1134" w:type="dxa"/>
            <w:hideMark/>
          </w:tcPr>
          <w:p w14:paraId="23C359D8"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Pr>
                <w:rFonts w:ascii="Arial" w:hAnsi="Arial" w:cs="Arial"/>
                <w:sz w:val="16"/>
                <w:szCs w:val="16"/>
              </w:rPr>
              <w:t>Energie</w:t>
            </w:r>
          </w:p>
        </w:tc>
        <w:tc>
          <w:tcPr>
            <w:tcW w:w="2268" w:type="dxa"/>
            <w:hideMark/>
          </w:tcPr>
          <w:p w14:paraId="185A7748" w14:textId="279C3158"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857108">
              <w:rPr>
                <w:rFonts w:ascii="Arial" w:hAnsi="Arial" w:cs="Arial"/>
                <w:sz w:val="16"/>
                <w:szCs w:val="16"/>
              </w:rPr>
              <w:t>Ministère de la transition écologique. Gestion ADEME. Partenaires : AIMF, Fondation Veolia, FEICOM</w:t>
            </w:r>
            <w:r w:rsidR="00260E0B">
              <w:rPr>
                <w:rFonts w:ascii="Arial" w:hAnsi="Arial" w:cs="Arial"/>
                <w:sz w:val="16"/>
                <w:szCs w:val="16"/>
              </w:rPr>
              <w:t xml:space="preserve"> </w:t>
            </w:r>
            <w:r w:rsidRPr="00857108">
              <w:rPr>
                <w:rFonts w:ascii="Arial" w:hAnsi="Arial" w:cs="Arial"/>
                <w:sz w:val="16"/>
                <w:szCs w:val="16"/>
              </w:rPr>
              <w:t>ainsi que les communes visées au Cameroun</w:t>
            </w:r>
          </w:p>
        </w:tc>
        <w:tc>
          <w:tcPr>
            <w:tcW w:w="1559" w:type="dxa"/>
            <w:hideMark/>
          </w:tcPr>
          <w:p w14:paraId="619EC764"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857108">
              <w:rPr>
                <w:rFonts w:ascii="Arial" w:hAnsi="Arial" w:cs="Arial"/>
                <w:sz w:val="16"/>
                <w:szCs w:val="16"/>
              </w:rPr>
              <w:t>Secrétariat du Réseau des femmes élues locales du Cameroun</w:t>
            </w:r>
          </w:p>
        </w:tc>
        <w:tc>
          <w:tcPr>
            <w:tcW w:w="1701" w:type="dxa"/>
            <w:hideMark/>
          </w:tcPr>
          <w:p w14:paraId="2354370C" w14:textId="77777777"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857108">
              <w:rPr>
                <w:rFonts w:ascii="Arial" w:hAnsi="Arial" w:cs="Arial"/>
                <w:sz w:val="16"/>
                <w:szCs w:val="16"/>
              </w:rPr>
              <w:t>Terminé (2018-2020)</w:t>
            </w:r>
          </w:p>
        </w:tc>
        <w:tc>
          <w:tcPr>
            <w:tcW w:w="4111" w:type="dxa"/>
            <w:hideMark/>
          </w:tcPr>
          <w:p w14:paraId="70D09A87" w14:textId="2E1DB8B0" w:rsidR="00880CF0" w:rsidRPr="00857108" w:rsidRDefault="00880CF0" w:rsidP="00880CF0">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6"/>
                <w:szCs w:val="16"/>
              </w:rPr>
            </w:pPr>
            <w:r w:rsidRPr="00857108">
              <w:rPr>
                <w:rFonts w:ascii="Arial" w:hAnsi="Arial" w:cs="Arial"/>
                <w:color w:val="000000"/>
                <w:sz w:val="16"/>
                <w:szCs w:val="16"/>
              </w:rPr>
              <w:t>Appui au réseau des femmes maires du Cameroun. Le projet vise le renforcement du réseau des femmes élues locales du Cameroun et à la mise en œuvre d’actions pilotes pour l’éclairage public et la fourniture électrique de bâtiments publics. Partenariat : AIMF, Fondation Veolia, ADEME , FEICOM</w:t>
            </w:r>
            <w:r w:rsidR="00260E0B">
              <w:rPr>
                <w:rFonts w:ascii="Arial" w:hAnsi="Arial" w:cs="Arial"/>
                <w:color w:val="000000"/>
                <w:sz w:val="16"/>
                <w:szCs w:val="16"/>
              </w:rPr>
              <w:t xml:space="preserve"> </w:t>
            </w:r>
            <w:r w:rsidRPr="00857108">
              <w:rPr>
                <w:rFonts w:ascii="Arial" w:hAnsi="Arial" w:cs="Arial"/>
                <w:color w:val="000000"/>
                <w:sz w:val="16"/>
                <w:szCs w:val="16"/>
              </w:rPr>
              <w:t xml:space="preserve">ainsi que les communes visées. </w:t>
            </w:r>
          </w:p>
        </w:tc>
      </w:tr>
    </w:tbl>
    <w:p w14:paraId="5E37F4B9" w14:textId="77777777" w:rsidR="00880CF0" w:rsidRDefault="00880CF0" w:rsidP="00880CF0">
      <w:pPr>
        <w:sectPr w:rsidR="00880CF0" w:rsidSect="00880CF0">
          <w:pgSz w:w="16838" w:h="11906" w:orient="landscape" w:code="9"/>
          <w:pgMar w:top="1049" w:right="1229" w:bottom="907" w:left="1648" w:header="284" w:footer="284" w:gutter="0"/>
          <w:cols w:space="708"/>
          <w:titlePg/>
          <w:docGrid w:linePitch="360"/>
        </w:sectPr>
      </w:pPr>
    </w:p>
    <w:p w14:paraId="23B4376C" w14:textId="77777777" w:rsidR="00880CF0" w:rsidRDefault="00880CF0" w:rsidP="00880CF0"/>
    <w:p w14:paraId="53BEF862" w14:textId="77777777" w:rsidR="00880CF0" w:rsidRDefault="00880CF0" w:rsidP="00E524AF">
      <w:pPr>
        <w:pStyle w:val="Titre3Niveau3"/>
      </w:pPr>
      <w:bookmarkStart w:id="735" w:name="_Toc138342059"/>
      <w:bookmarkStart w:id="736" w:name="_Toc115454109"/>
      <w:bookmarkStart w:id="737" w:name="_Toc121390990"/>
      <w:r>
        <w:t>Le Citepa</w:t>
      </w:r>
      <w:bookmarkEnd w:id="735"/>
    </w:p>
    <w:p w14:paraId="604BB2BF" w14:textId="2AA849FD" w:rsidR="00880CF0" w:rsidRDefault="00880CF0" w:rsidP="00880CF0">
      <w:r w:rsidRPr="00AB325E">
        <w:t xml:space="preserve">Le </w:t>
      </w:r>
      <w:r>
        <w:t>Citepa</w:t>
      </w:r>
      <w:r w:rsidRPr="00AB325E">
        <w:t>, opérateur de la DGEC en ce qui concerne les inventaires d’émissions nationaux ainsi que le renforcement des capacités des pays tiers</w:t>
      </w:r>
      <w:r>
        <w:t xml:space="preserve"> (une ligne </w:t>
      </w:r>
      <w:r w:rsidRPr="66A364D6">
        <w:t>du programme d’activité</w:t>
      </w:r>
      <w:r>
        <w:t xml:space="preserve"> s’y réfère), </w:t>
      </w:r>
      <w:r w:rsidRPr="00AB325E">
        <w:t xml:space="preserve">est impliqué au niveau international </w:t>
      </w:r>
      <w:r>
        <w:t xml:space="preserve">par </w:t>
      </w:r>
      <w:r w:rsidRPr="66A364D6">
        <w:t xml:space="preserve">des actions de renforcements des capacités sur </w:t>
      </w:r>
      <w:r w:rsidRPr="00AB325E">
        <w:t xml:space="preserve">le thème du changement climatique et de la pollution atmosphérique, que ce soit via des jumelages, IPA ou des appels d’offres de bailleurs de fond internationaux, ou dans une moindre mesure, via une ligne de </w:t>
      </w:r>
      <w:r w:rsidRPr="66A364D6">
        <w:t xml:space="preserve">son programme avec </w:t>
      </w:r>
      <w:r w:rsidRPr="00AB325E">
        <w:t>la DGEC (40</w:t>
      </w:r>
      <w:r w:rsidR="0093174E">
        <w:t> </w:t>
      </w:r>
      <w:r w:rsidRPr="00AB325E">
        <w:t>k€/an environ)</w:t>
      </w:r>
      <w:r w:rsidRPr="66A364D6">
        <w:t>,</w:t>
      </w:r>
      <w:r w:rsidRPr="00AB325E">
        <w:t xml:space="preserve"> potentiellement dans tous les pays émergents et en développements (chaque année dans une vingtaine de pays au gré des AO). Les collaborations sont la plupart du temps bilatérales via les AO des agences techniques AFD/GIZ/Agence Européenne de l’Environnement, ainsi qu’onusiennes (PNUD) ou encore des banques de développement (AFD/BM /ADB, etc.).</w:t>
      </w:r>
    </w:p>
    <w:p w14:paraId="53153FD9" w14:textId="77777777" w:rsidR="00880CF0" w:rsidRPr="00AB325E" w:rsidRDefault="00880CF0" w:rsidP="00880CF0"/>
    <w:p w14:paraId="713F4856" w14:textId="77777777" w:rsidR="00880CF0" w:rsidRPr="00AB325E" w:rsidRDefault="00880CF0" w:rsidP="00880CF0">
      <w:r w:rsidRPr="00AB325E">
        <w:t>Mandaté par le Ministère (pour produire les inventaires des émissions atmosphériques en France et pour renforcer les capacités de pays tiers)</w:t>
      </w:r>
      <w:r w:rsidRPr="66A364D6">
        <w:t>, le Citepa</w:t>
      </w:r>
    </w:p>
    <w:p w14:paraId="23C709A6" w14:textId="77777777" w:rsidR="00880CF0" w:rsidRPr="00AB325E" w:rsidRDefault="00880CF0" w:rsidP="00BE086C">
      <w:pPr>
        <w:pStyle w:val="ListParagraph"/>
        <w:numPr>
          <w:ilvl w:val="0"/>
          <w:numId w:val="57"/>
        </w:numPr>
      </w:pPr>
      <w:r w:rsidRPr="00AB325E">
        <w:t xml:space="preserve">Dispose d’une bonne image à l’international </w:t>
      </w:r>
      <w:r w:rsidRPr="66A364D6">
        <w:t>au travers de ses travaux de renforcement / transfert de compétences</w:t>
      </w:r>
      <w:r w:rsidRPr="00AB325E">
        <w:t> dans les trois dernières années : Pakistan, Kazakhstan, Vietnam, Tchad, Nigeria, Niger, Zambie, Rwanda, Comores, Maroc, Tunisie, Algérie, Union pour la Méditerranée, Albanie, Serbie, Croatie, Colombie, etc.)</w:t>
      </w:r>
    </w:p>
    <w:p w14:paraId="25C9E944" w14:textId="2DB4F174" w:rsidR="00880CF0" w:rsidRDefault="00880CF0" w:rsidP="00BE086C">
      <w:pPr>
        <w:pStyle w:val="ListParagraph"/>
        <w:numPr>
          <w:ilvl w:val="0"/>
          <w:numId w:val="57"/>
        </w:numPr>
      </w:pPr>
      <w:r w:rsidRPr="00AB325E">
        <w:t>Les pays clés à l’avenir sont : Maroc, Tunisie, autres pays du SEMED</w:t>
      </w:r>
      <w:r w:rsidR="00A97954">
        <w:t xml:space="preserve"> (</w:t>
      </w:r>
      <w:r w:rsidR="00A97954" w:rsidRPr="00A97954">
        <w:t>Sud Est Méditerranéen</w:t>
      </w:r>
      <w:r w:rsidR="00A97954">
        <w:t>)</w:t>
      </w:r>
      <w:r w:rsidRPr="00AB325E">
        <w:t>, Sénégal, Cote d’Ivoire, Niger, Nigeria, Rwanda, Cameroun, Kenya, Serbie/Croatie, Kazakhstan, Pakistan, Inde, Colombie</w:t>
      </w:r>
      <w:r>
        <w:t>, Ouzbekistan</w:t>
      </w:r>
      <w:r w:rsidRPr="00AB325E">
        <w:t>.</w:t>
      </w:r>
    </w:p>
    <w:p w14:paraId="4E06A5E0" w14:textId="77777777" w:rsidR="00880CF0" w:rsidRPr="00AB325E" w:rsidRDefault="00880CF0" w:rsidP="00880CF0"/>
    <w:p w14:paraId="701669D9" w14:textId="47A0C91E" w:rsidR="00880CF0" w:rsidRPr="00AB325E" w:rsidRDefault="00880CF0" w:rsidP="00880CF0">
      <w:r w:rsidRPr="00AB325E">
        <w:t xml:space="preserve">Le </w:t>
      </w:r>
      <w:r>
        <w:t>Citepa</w:t>
      </w:r>
      <w:r w:rsidRPr="00AB325E">
        <w:t xml:space="preserve"> est parfois sollicité par l’AFD/EF, le MEAE, ainsi que par la DGEC sur l’animation de clusters d’experts : a. G</w:t>
      </w:r>
      <w:r w:rsidR="00A97954">
        <w:t>ES (cluster francophone) ; b. Polluants Atmosphériques (PA)</w:t>
      </w:r>
      <w:r w:rsidRPr="00AB325E">
        <w:t xml:space="preserve"> avec co</w:t>
      </w:r>
      <w:r w:rsidR="00A97954">
        <w:t>-</w:t>
      </w:r>
      <w:r w:rsidRPr="00AB325E">
        <w:t>bénéfices GES ; c. Chaine de la qualité de l’air avec Airparif.</w:t>
      </w:r>
    </w:p>
    <w:p w14:paraId="26E7A41E" w14:textId="77777777" w:rsidR="00880CF0" w:rsidRPr="00740A7C" w:rsidRDefault="00880CF0" w:rsidP="00880CF0">
      <w:r w:rsidRPr="00AB325E">
        <w:t>Il participe aux réunions du réseau des opérateurs de la DAEI.</w:t>
      </w:r>
    </w:p>
    <w:p w14:paraId="22246841" w14:textId="29D7FFE4" w:rsidR="0027680A" w:rsidRPr="0027680A" w:rsidRDefault="00880CF0" w:rsidP="00E524AF">
      <w:pPr>
        <w:pStyle w:val="Titre2Niveau2"/>
      </w:pPr>
      <w:bookmarkStart w:id="738" w:name="_Toc138342060"/>
      <w:r>
        <w:t xml:space="preserve">Le </w:t>
      </w:r>
      <w:r w:rsidRPr="0027680A">
        <w:t>renforcement</w:t>
      </w:r>
      <w:r>
        <w:t xml:space="preserve"> de capacité</w:t>
      </w:r>
      <w:bookmarkStart w:id="739" w:name="_Toc121431078"/>
      <w:bookmarkStart w:id="740" w:name="_Toc121431415"/>
      <w:bookmarkStart w:id="741" w:name="_Toc121431576"/>
      <w:bookmarkStart w:id="742" w:name="_Toc121431738"/>
      <w:bookmarkStart w:id="743" w:name="_Toc121431901"/>
      <w:bookmarkStart w:id="744" w:name="_Toc121432063"/>
      <w:bookmarkStart w:id="745" w:name="_Toc115454110"/>
      <w:bookmarkStart w:id="746" w:name="_Toc121390991"/>
      <w:bookmarkEnd w:id="736"/>
      <w:bookmarkEnd w:id="737"/>
      <w:bookmarkEnd w:id="739"/>
      <w:bookmarkEnd w:id="740"/>
      <w:bookmarkEnd w:id="741"/>
      <w:bookmarkEnd w:id="742"/>
      <w:bookmarkEnd w:id="743"/>
      <w:bookmarkEnd w:id="744"/>
      <w:bookmarkEnd w:id="738"/>
    </w:p>
    <w:p w14:paraId="6C3E0593" w14:textId="6F581B83" w:rsidR="00880CF0" w:rsidRDefault="00880CF0" w:rsidP="00E524AF">
      <w:pPr>
        <w:pStyle w:val="Titre3Niveau3"/>
      </w:pPr>
      <w:bookmarkStart w:id="747" w:name="_Toc138342061"/>
      <w:r w:rsidRPr="0027680A">
        <w:t>L’adaptation</w:t>
      </w:r>
      <w:r w:rsidRPr="00290785">
        <w:t xml:space="preserve"> au changement climatique</w:t>
      </w:r>
      <w:bookmarkEnd w:id="745"/>
      <w:bookmarkEnd w:id="746"/>
      <w:bookmarkEnd w:id="747"/>
    </w:p>
    <w:p w14:paraId="2268D5C2" w14:textId="77777777" w:rsidR="00880CF0" w:rsidRDefault="00880CF0" w:rsidP="00880CF0">
      <w:r>
        <w:t>La France est engagée dans des projets visant à partager avec les pays en développement, sa propre expérience dans la planification des politiques d’adaptation. La France s’est en effet dotée d’une stratégie d’adaptation dès 2006. En 2011, un premier plan national d’adaptation a été publié. L’évaluation de ce plan national a été effectuée en 2015. Et en 2018, a été lancé le second plan national d’adaptation au changement climatique (PNACC-2).</w:t>
      </w:r>
    </w:p>
    <w:p w14:paraId="2ADD48F9" w14:textId="77777777" w:rsidR="00880CF0" w:rsidRDefault="00880CF0" w:rsidP="00880CF0"/>
    <w:p w14:paraId="0645359A" w14:textId="0EDF0DA7" w:rsidR="00880CF0" w:rsidRDefault="00880CF0" w:rsidP="00880CF0">
      <w:r>
        <w:t>Dans le cadre de la convention Services Climatiques signée en 2017 entre le Ministère de la Transition Ecologique et Solidaire et les principaux organismes de recherche dans la science du climat, le deuxième volet du 4ème axe de travail (WP4) porte sur un démonstrateur de service climatique pour l’agriculture de l’Afrique de l’Ouest. Dans un continent particulièrement vulnérable à la variabilité et aux changements climatiques, il s’agit de disposer d’outils efficaces de gestion, du risque climatique pour apporter une réelle plus-value aux stratégies d’adaptation.</w:t>
      </w:r>
    </w:p>
    <w:p w14:paraId="1E1B72FF" w14:textId="7B91C2EA" w:rsidR="00905D7C" w:rsidRDefault="00905D7C" w:rsidP="00880CF0"/>
    <w:p w14:paraId="21EF842C" w14:textId="52262F7A" w:rsidR="00905D7C" w:rsidRDefault="00905D7C" w:rsidP="00880CF0">
      <w:r w:rsidRPr="00905D7C">
        <w:t>L'AFD fournit une assistance technique à travers des programmes spécifiques tels que l</w:t>
      </w:r>
      <w:r>
        <w:t>e programme</w:t>
      </w:r>
      <w:r w:rsidRPr="00905D7C">
        <w:t xml:space="preserve"> AdaptAction, et à travers des subventions d'assistance technique en plus des prêts souverains et non souverains. Le programme AdaptAction se concentre sur l'identification et la réponse aux besoins de renforcement des capacités des pays partenaires. L'implication d'Expertise France dans la mise en œuvre du programme confirme la forte implication du Groupe AFD dans le renforcement des capacités des pays.</w:t>
      </w:r>
    </w:p>
    <w:p w14:paraId="282610D1" w14:textId="0B9EEB0C" w:rsidR="00880CF0" w:rsidRDefault="00880CF0" w:rsidP="00E524AF">
      <w:pPr>
        <w:pStyle w:val="Titre3Niveau3"/>
      </w:pPr>
      <w:bookmarkStart w:id="748" w:name="_Toc115454111"/>
      <w:bookmarkStart w:id="749" w:name="_Toc121390992"/>
      <w:bookmarkStart w:id="750" w:name="_Toc138342062"/>
      <w:r w:rsidRPr="00290785">
        <w:t>Préparation et mise en œuvre des contributions prévues d</w:t>
      </w:r>
      <w:r w:rsidR="0027680A">
        <w:t>éterminées au niveau national (</w:t>
      </w:r>
      <w:r w:rsidRPr="00290785">
        <w:t>NDC)</w:t>
      </w:r>
      <w:bookmarkEnd w:id="748"/>
      <w:bookmarkEnd w:id="749"/>
      <w:bookmarkEnd w:id="750"/>
    </w:p>
    <w:p w14:paraId="575FDA6C" w14:textId="77777777" w:rsidR="00880CF0" w:rsidRDefault="00880CF0" w:rsidP="0027680A">
      <w:r>
        <w:t xml:space="preserve">Depuis 2017, le programme AdaptAction du groupe AFD soutient des pays vulnérables </w:t>
      </w:r>
      <w:r w:rsidRPr="004B5F64">
        <w:t>dans la mise en œuvre de</w:t>
      </w:r>
      <w:r>
        <w:t xml:space="preserve"> leurs stratégies d’adaptation, par </w:t>
      </w:r>
      <w:r w:rsidRPr="004B5F64">
        <w:t>une assistance technique et des activités de renforcement de capacités pour consolider leur gouvernance climat, mieux intégrer l’adaptation au changement climatique dans leurs politiques publiques et faire émerger des projets d’adaptation structurants.</w:t>
      </w:r>
    </w:p>
    <w:p w14:paraId="134B396E" w14:textId="77777777" w:rsidR="00880CF0" w:rsidRDefault="00880CF0" w:rsidP="00880CF0"/>
    <w:p w14:paraId="47E6DC6B" w14:textId="02864FCB" w:rsidR="00880CF0" w:rsidRDefault="00880CF0" w:rsidP="0027680A">
      <w:r>
        <w:t xml:space="preserve">La phase 1 du programme AdaptAction (30 millions € de 2017-2022) a déployé plus de 70 appuis dans 15 pays (Pays les Moins Avancés, Afrique, Petits Etats Insulaires). Le programme </w:t>
      </w:r>
      <w:r w:rsidRPr="004B5F64">
        <w:t xml:space="preserve">a dépassé en volume son objectif d’effet de levier sur le portefeuille de projets, permettant de </w:t>
      </w:r>
      <w:r>
        <w:t>catalyser le financement de 10</w:t>
      </w:r>
      <w:r w:rsidRPr="004B5F64">
        <w:t xml:space="preserve"> projets pour un tot</w:t>
      </w:r>
      <w:r>
        <w:t xml:space="preserve">al de 582 millions € financés ou co-financés par l’AFD, </w:t>
      </w:r>
      <w:r w:rsidRPr="005A434D">
        <w:t>le Fonds Vert ou l’Union Européenne</w:t>
      </w:r>
      <w:r>
        <w:t>.</w:t>
      </w:r>
    </w:p>
    <w:p w14:paraId="75AFC315" w14:textId="6D05FF5F" w:rsidR="00BA7429" w:rsidRDefault="00BA7429" w:rsidP="0027680A"/>
    <w:p w14:paraId="2C345851" w14:textId="77777777" w:rsidR="00BA7429" w:rsidRDefault="00BA7429" w:rsidP="00BA7429">
      <w:r>
        <w:t>Adapt'Action s'articule autour de trois axes d'intervention : 1/ Appui au renforcement des capacités " climat " et à la gouvernance pour la consolidation, la mise en œuvre et la supervision des CDN (mis en œuvre par Expertise France) ; 2/ Appui à une meilleure intégration des engagements pris dans les CDN dans les politiques publiques sectorielles, notamment dans le domaine de l'adaptation au changement climatique (mis en œuvre par l'AFD) ; 3/ Appui à la préparation de programmes structurants dans le domaine de l'adaptation au changement climatique (mis en œuvre par l'AFD).</w:t>
      </w:r>
    </w:p>
    <w:p w14:paraId="6F2CE48E" w14:textId="77777777" w:rsidR="00BA7429" w:rsidRDefault="00BA7429" w:rsidP="00BA7429"/>
    <w:p w14:paraId="28490037" w14:textId="21EE9941" w:rsidR="00BA7429" w:rsidRDefault="00BA7429" w:rsidP="00BA7429">
      <w:r>
        <w:t>Expertise France participe à la mise en œuvre d'Adapt'Action, en assurant la maîtrise d'œuvre sur l'axe 1 du programme, qui vise à appuyer le renforcement des processus institutionnels pour la mise en œuvre et le suivi des CDN, à développer les capacités techniques des acteurs et à les sensibiliser pour une meilleure appropriation de leur CDN.</w:t>
      </w:r>
    </w:p>
    <w:p w14:paraId="139A15B9" w14:textId="77777777" w:rsidR="00BA7429" w:rsidRDefault="00BA7429" w:rsidP="00BA7429"/>
    <w:p w14:paraId="19402896" w14:textId="77777777" w:rsidR="00BA7429" w:rsidRDefault="00BA7429" w:rsidP="00BA7429">
      <w:r>
        <w:t>Les types d'appui apportés par Expertise France sur cet axe concernent plus particulièrement : Le climat de gouvernance institutionnelle (renforcement des organes et cadres de consultation et de suivi des CDN), l'examen des CDN, les mécanismes et systèmes de suivi et d'évaluation des CDN, le renforcement ciblé des capacités techniques pour le suivi des CDN.</w:t>
      </w:r>
    </w:p>
    <w:p w14:paraId="4D61B5D1" w14:textId="77777777" w:rsidR="00BA7429" w:rsidRDefault="00BA7429" w:rsidP="00BA7429"/>
    <w:p w14:paraId="3888FD06" w14:textId="77777777" w:rsidR="00BA7429" w:rsidRDefault="00BA7429" w:rsidP="00BA7429">
      <w:r>
        <w:t>L'appui d'Expertise France à la mise en œuvre des contributions nationales s'inscrit dans une dynamique de long terme puisque l'agence avait accompagné, avant la COP 21, 26 pays africains et petits États insulaires en développement dans le processus d'élaboration des contributions nationales. Pour chaque pays, les missions d'identification ont permis de définir et d'analyser les besoins spécifiques des pays concernés par le projet. 11 MOU ont été signés à ce jour, le dernier avec la Côte d'Ivoire (mars 2019).  Les autres pays signataires sont : Comores, Congo Brazzaville, Guinée Conakry, Madagascar, Maurice, Niger, République dominicaine, Sénégal, Tunisie et l'OECO.</w:t>
      </w:r>
    </w:p>
    <w:p w14:paraId="7A5FB0CF" w14:textId="77777777" w:rsidR="00BA7429" w:rsidRDefault="00BA7429" w:rsidP="00BA7429"/>
    <w:p w14:paraId="440EE90A" w14:textId="77777777" w:rsidR="00BA7429" w:rsidRDefault="00BA7429" w:rsidP="00BA7429">
      <w:r>
        <w:t xml:space="preserve">Grâce à la Facilité AdaptAction, l'AFD a pu faire une rétrospective du programme, soulignant qu'une approche participative et inclusive fournit un cadre pour les processus d'adaptation. 3 succès clés ont été identifiés : </w:t>
      </w:r>
    </w:p>
    <w:p w14:paraId="0B0EF795" w14:textId="77777777" w:rsidR="00BA7429" w:rsidRDefault="00BA7429" w:rsidP="00BA7429">
      <w:r>
        <w:t xml:space="preserve">1/ La co-construction avec les pays partenaires est l'un des éléments structurants du programme AdaptAction qui vise à réduire les risques de maladaptation et à assurer l'adoption et la durabilité des projets dans le temps. Des ateliers multi-acteurs (ministères, chercheurs, ONG, partenaires techniques et financiers, secteur privé, etc.) permettent de mieux comprendre les besoins et d'identifier les stratégies d'adaptation. </w:t>
      </w:r>
    </w:p>
    <w:p w14:paraId="583CC587" w14:textId="77777777" w:rsidR="00BA7429" w:rsidRDefault="00BA7429" w:rsidP="00BA7429">
      <w:r>
        <w:t xml:space="preserve">2/ Les études participatives de vulnérabilité favorisent la prise en compte des savoirs locaux et des dynamiques d'acteurs, promouvant ainsi des projets incluant une diversité de points de vue et d'intérêts, parfois divergents. </w:t>
      </w:r>
    </w:p>
    <w:p w14:paraId="1A22E303" w14:textId="2E72A0F0" w:rsidR="00BA7429" w:rsidRDefault="00BA7429" w:rsidP="00BA7429">
      <w:r>
        <w:t>3/ Le climat n'est pas neutre du point de vue du genre. Une expertise, des données et des indicateurs spécifiques permettent de mieux comprendre les différences de vulnérabilité et le rôle positif joué par les femmes en tant qu'agents de changement.</w:t>
      </w:r>
    </w:p>
    <w:p w14:paraId="7EA2DC32" w14:textId="77777777" w:rsidR="00880CF0" w:rsidRDefault="00880CF0" w:rsidP="00880CF0"/>
    <w:p w14:paraId="48E65683" w14:textId="77777777" w:rsidR="00880CF0" w:rsidRPr="00DA5142" w:rsidRDefault="00880CF0" w:rsidP="0027680A">
      <w:r>
        <w:t>Pour la phase 2 (15 millions € de 2022 à 2025), l</w:t>
      </w:r>
      <w:r w:rsidRPr="00CD156C">
        <w:t xml:space="preserve">e périmètre du programme </w:t>
      </w:r>
      <w:r>
        <w:t>est</w:t>
      </w:r>
      <w:r w:rsidRPr="00CD156C">
        <w:t xml:space="preserve"> recentré sur l’Afrique avec </w:t>
      </w:r>
      <w:r>
        <w:t>12 pays partenaires. L</w:t>
      </w:r>
      <w:r w:rsidRPr="00DA5142">
        <w:t xml:space="preserve">a phase 2 </w:t>
      </w:r>
      <w:r>
        <w:t>a pour objectif de renforcer la résilience des populations et des écosystèmes au travers</w:t>
      </w:r>
      <w:r w:rsidRPr="00DA5142">
        <w:t xml:space="preserve"> </w:t>
      </w:r>
      <w:r>
        <w:t>d’un triptyque comprendre/planifier/investir</w:t>
      </w:r>
      <w:r w:rsidRPr="00DA5142">
        <w:t xml:space="preserve"> et </w:t>
      </w:r>
      <w:r>
        <w:t xml:space="preserve">de </w:t>
      </w:r>
      <w:r w:rsidRPr="00DA5142">
        <w:t>2 composantes transversales :</w:t>
      </w:r>
    </w:p>
    <w:p w14:paraId="4791AC3E" w14:textId="77777777" w:rsidR="00880CF0" w:rsidRPr="00DA5142" w:rsidRDefault="00880CF0" w:rsidP="00BE086C">
      <w:pPr>
        <w:pStyle w:val="ListParagraph"/>
        <w:numPr>
          <w:ilvl w:val="0"/>
          <w:numId w:val="56"/>
        </w:numPr>
      </w:pPr>
      <w:r w:rsidRPr="00DA5142">
        <w:t xml:space="preserve">L’axe 1 – « Comprendre » </w:t>
      </w:r>
      <w:r>
        <w:t>soutient</w:t>
      </w:r>
      <w:r w:rsidRPr="00DA5142">
        <w:t xml:space="preserve"> des travaux de recherche opérationnelle sur les dimensions humaines du climat, pour favoriser la traduction des sciences du climat en politiques publiques et en actions ;</w:t>
      </w:r>
    </w:p>
    <w:p w14:paraId="3A899965" w14:textId="77777777" w:rsidR="00880CF0" w:rsidRPr="00DA5142" w:rsidRDefault="00880CF0" w:rsidP="00BE086C">
      <w:pPr>
        <w:pStyle w:val="ListParagraph"/>
        <w:numPr>
          <w:ilvl w:val="0"/>
          <w:numId w:val="56"/>
        </w:numPr>
      </w:pPr>
      <w:r>
        <w:t>L’axe 2 – « Planifier » vise</w:t>
      </w:r>
      <w:r w:rsidRPr="00DA5142">
        <w:t xml:space="preserve"> à une meilleure intégration de l’adaptation dans les dispositifs de gouvernance et les stratégies sectorielles de politiques publiques ;</w:t>
      </w:r>
    </w:p>
    <w:p w14:paraId="4BCE8D7C" w14:textId="77777777" w:rsidR="00880CF0" w:rsidRPr="00DA5142" w:rsidRDefault="00880CF0" w:rsidP="00BE086C">
      <w:pPr>
        <w:pStyle w:val="ListParagraph"/>
        <w:numPr>
          <w:ilvl w:val="0"/>
          <w:numId w:val="56"/>
        </w:numPr>
      </w:pPr>
      <w:r>
        <w:t>L’axe 3 – « Investir » produit</w:t>
      </w:r>
      <w:r w:rsidRPr="00DA5142">
        <w:t xml:space="preserve"> des études de vulnérabilités et études de faisabilité de projets, pour contribuer à l’émergence de projets </w:t>
      </w:r>
      <w:r>
        <w:t>d’adaptation plus robustes</w:t>
      </w:r>
      <w:r w:rsidRPr="00DA5142">
        <w:t xml:space="preserve">. </w:t>
      </w:r>
    </w:p>
    <w:p w14:paraId="4E16A710" w14:textId="454308DC" w:rsidR="00880CF0" w:rsidRPr="00DA5142" w:rsidRDefault="00880CF0" w:rsidP="00BE086C">
      <w:pPr>
        <w:pStyle w:val="ListParagraph"/>
        <w:numPr>
          <w:ilvl w:val="0"/>
          <w:numId w:val="56"/>
        </w:numPr>
      </w:pPr>
      <w:r w:rsidRPr="00DA5142">
        <w:t>Une composante transversale dédiée à une meilleure appréhension du genre et de l’inclusion sociale dans l’ensemble des axes (mobilisation d’expertises dédiées, renforcement de capacités, déploiement d’activités spécifiques).</w:t>
      </w:r>
      <w:r w:rsidR="00260E0B">
        <w:t xml:space="preserve"> </w:t>
      </w:r>
    </w:p>
    <w:p w14:paraId="5613E28F" w14:textId="77777777" w:rsidR="00880CF0" w:rsidRPr="00DA5142" w:rsidRDefault="00880CF0" w:rsidP="00BE086C">
      <w:pPr>
        <w:pStyle w:val="ListParagraph"/>
        <w:numPr>
          <w:ilvl w:val="0"/>
          <w:numId w:val="56"/>
        </w:numPr>
      </w:pPr>
      <w:r w:rsidRPr="00DA5142">
        <w:t xml:space="preserve">Une composante transversale dédiée au </w:t>
      </w:r>
      <w:r w:rsidRPr="0027680A">
        <w:rPr>
          <w:i/>
        </w:rPr>
        <w:t>knowledge management</w:t>
      </w:r>
      <w:r w:rsidRPr="00DA5142">
        <w:t xml:space="preserve"> et à la valorisation des savoir</w:t>
      </w:r>
      <w:r>
        <w:t>s</w:t>
      </w:r>
      <w:r w:rsidRPr="00DA5142">
        <w:t xml:space="preserve"> ; elle contribuera à la capitalisation et aux échanges de savoirs et bonnes pratiques Nord-Sud, Sud-Sud mais aussi Sud-Nord (contributeur d’une communauté de savoirs et de pratiques). </w:t>
      </w:r>
    </w:p>
    <w:p w14:paraId="53E7684E" w14:textId="77777777" w:rsidR="00880CF0" w:rsidRDefault="00880CF0" w:rsidP="00880CF0"/>
    <w:p w14:paraId="6F9968CD" w14:textId="77777777" w:rsidR="00880CF0" w:rsidRDefault="00880CF0" w:rsidP="0027680A">
      <w:r w:rsidRPr="00DA5142">
        <w:t>La phase 2 d’AdaptAction vise ainsi à être un laboratoire ou système apprenant pour mieux formaliser et structurer les approches innovantes de l</w:t>
      </w:r>
      <w:r>
        <w:t>’adaptation, en particulier les liens entre</w:t>
      </w:r>
      <w:r w:rsidRPr="00F10EF0">
        <w:t xml:space="preserve"> </w:t>
      </w:r>
      <w:r>
        <w:t>climat, biodiversité, et société</w:t>
      </w:r>
      <w:r w:rsidRPr="00DA5142">
        <w:t>.</w:t>
      </w:r>
    </w:p>
    <w:p w14:paraId="6B5672F6" w14:textId="77777777" w:rsidR="00880CF0" w:rsidRDefault="00880CF0" w:rsidP="00880CF0"/>
    <w:p w14:paraId="6E85362F" w14:textId="77777777" w:rsidR="00880CF0" w:rsidRDefault="00880CF0" w:rsidP="00880CF0">
      <w:pPr>
        <w:rPr>
          <w:lang w:eastAsia="zh-CN"/>
        </w:rPr>
      </w:pPr>
      <w:r>
        <w:t>Une extension à 6 pays du bassin Méditerranéen (7,5 M€), en partenariat avec UNCDF-LoCAL, a été annoncée à la COP27, dont un financement de 6 M€ de l’Union Européenne. Ce partenariat</w:t>
      </w:r>
      <w:r w:rsidRPr="00DA5142">
        <w:t xml:space="preserve"> permettra de favoriser l’alignement des stratégies et investissement</w:t>
      </w:r>
      <w:r>
        <w:t>s</w:t>
      </w:r>
      <w:r w:rsidRPr="00DA5142">
        <w:t xml:space="preserve"> d’adaptation entre l’échelle nationale et l’échelle locale </w:t>
      </w:r>
      <w:r>
        <w:t xml:space="preserve">jusqu’aux populations les plus vulnérables </w:t>
      </w:r>
      <w:r w:rsidRPr="00DA5142">
        <w:t>(intégra</w:t>
      </w:r>
      <w:r>
        <w:t>tion verticale de l’adaptation).</w:t>
      </w:r>
    </w:p>
    <w:p w14:paraId="077C9BCB" w14:textId="77777777" w:rsidR="00880CF0" w:rsidRPr="0027680A" w:rsidRDefault="00880CF0" w:rsidP="00E524AF">
      <w:pPr>
        <w:pStyle w:val="Titre3Niveau3"/>
      </w:pPr>
      <w:bookmarkStart w:id="751" w:name="_Toc138342063"/>
      <w:bookmarkStart w:id="752" w:name="_Toc115454112"/>
      <w:bookmarkStart w:id="753" w:name="_Toc121390993"/>
      <w:r w:rsidRPr="0027680A">
        <w:t>Mise en place d’un système national de rapportage (inventaire de GES, projections, mesures d’atténuation, adaptation)</w:t>
      </w:r>
      <w:bookmarkEnd w:id="751"/>
      <w:r w:rsidRPr="0027680A">
        <w:t xml:space="preserve"> </w:t>
      </w:r>
      <w:bookmarkEnd w:id="752"/>
      <w:bookmarkEnd w:id="753"/>
    </w:p>
    <w:p w14:paraId="527171D1" w14:textId="77777777" w:rsidR="00880CF0" w:rsidRDefault="00880CF0" w:rsidP="00880CF0">
      <w:pPr>
        <w:spacing w:before="240" w:after="240"/>
      </w:pPr>
      <w:r w:rsidRPr="00733934">
        <w:t>La France participe depuis 2014, techniquement et financièrement, aux activités du « Cluster francophone » en cofinançant avec la Belgique, la Suisse et l’Allemagne des ateliers de renforcement de capacité à l’intention des pays en développement francophones. Le Cluster francophone est une initiative du Partenariat pour la transparence dans l’Accord de Paris. Il a été créé suite à l’atelier francophone pour l'Afrique sur les enjeux de Mesure, Rapportage et Vérification (MRV) tenu à Gammarth, Tunisie, les 17 et 18 décembre 2013. Il a pour but de permettre des échanges d'informations, d’expertises et d’expériences entre partenaires francophones, pays en voie de développement et pays développés, concernant les inventaires de GES, le développement de mesures d’atténuation, le processus MRV et la formulation des contributions déterminées au niveau national (CDN ou NDC en anglais pour Nationally Determined Contribution).</w:t>
      </w:r>
      <w:r>
        <w:t xml:space="preserve"> </w:t>
      </w:r>
    </w:p>
    <w:p w14:paraId="65284C2B" w14:textId="7EE3354A" w:rsidR="00880CF0" w:rsidRPr="0027680A" w:rsidRDefault="00880CF0" w:rsidP="00880CF0">
      <w:pPr>
        <w:spacing w:before="240" w:after="240"/>
      </w:pPr>
      <w:r w:rsidRPr="00733934">
        <w:t xml:space="preserve">Plusieurs ateliers ont été organisés depuis 2013 (voir http://mitigationpartnership.net/cluster-francophone). Un side event de présentation du retour d’expérience de ces ateliers a eu lieu lors de la COP21 de Paris. En 2015, deux ateliers ont eu lieu (Paris, Rabat) ; en 2016, deux ateliers se sont également déroulés à Abidjan ainsi qu’à Casablanca, et un atelier a été organisé à Rome en 2017 pendant une semaine. En 2018, l’atelier a été organisé au Cameroun sur la Mesure et l’Evaluation des mesures d’adaptation. En 2019, l’atelier de Saly au Sénégal a rassemblé 65 participants de 20 pays africains francophones en développement afin de comprendre comment réussir la mise en œuvre des lignes directrices 2006 du GIEC dans les secteurs de l’« Agriculture, foresterie et autres affections des terres » (AFAT) et du traitement des déchets dans le but de soumettre les rapports biennaux actualisés (Biennial Update Report ou BUR en Anglais) et les </w:t>
      </w:r>
      <w:r w:rsidRPr="0027680A">
        <w:t xml:space="preserve">futurs rapports de biennaux de transparence (BTR – Biennial Transparency Report) et de stimuler la mise en œuvre des CDN. Le CITEPA, opérateur public d'expertise reconnue au plan mondial, spécialiste des inventaires français depuis leur genèse, est un acteur majeur du cluster francophone et anime ces ateliers dont le prochain est en cours de préparation afin d’appuyer les pays dans la mise à jour et le rehaussement de leur CDN pour la COP26 qui </w:t>
      </w:r>
      <w:r w:rsidR="00A97954">
        <w:t>a eu</w:t>
      </w:r>
      <w:r w:rsidRPr="0027680A">
        <w:t xml:space="preserve"> lieu à Glasgow en 2020.</w:t>
      </w:r>
    </w:p>
    <w:p w14:paraId="55FF0761" w14:textId="77777777" w:rsidR="00880CF0" w:rsidRPr="0027680A" w:rsidRDefault="00880CF0" w:rsidP="00E524AF">
      <w:pPr>
        <w:pStyle w:val="Titre3Niveau3"/>
      </w:pPr>
      <w:bookmarkStart w:id="754" w:name="_Toc115454113"/>
      <w:bookmarkStart w:id="755" w:name="_Toc121390994"/>
      <w:bookmarkStart w:id="756" w:name="_Toc138342064"/>
      <w:r w:rsidRPr="0027680A">
        <w:t>Appui de la France à la mise en place d’un système national d’inventaire de GES en Algérie</w:t>
      </w:r>
      <w:bookmarkEnd w:id="754"/>
      <w:bookmarkEnd w:id="755"/>
      <w:bookmarkEnd w:id="756"/>
      <w:r w:rsidRPr="0027680A">
        <w:t xml:space="preserve"> </w:t>
      </w:r>
    </w:p>
    <w:p w14:paraId="33CAF473" w14:textId="77777777" w:rsidR="00880CF0" w:rsidRPr="0027680A" w:rsidRDefault="00880CF0" w:rsidP="00880CF0">
      <w:pPr>
        <w:spacing w:before="240" w:after="240"/>
      </w:pPr>
      <w:r w:rsidRPr="0027680A">
        <w:t>Le Ministère de l’Europe et des Affaires Etrangères français, représenté par l’Ambassade de France en Algérie, cofinance un appui des instances algériennes dont l’Agence Nationale du Changement Climatique (ANCC) et le Ministère de l’environnement. Cet appui qui a débuté en 2018 est réalisé par le CITEPA en tant qu’Opérateur d’Etat et porte sur l’institutionnalisation du système national d’inventaire de GES, la formation des experts algériens aux méthodes d’inventaire de GES sur la base des lignes directrices 2006 du GIEC, leur accompagnement dans la mise en œuvre des calculs d’émissions pour tous les secteurs sur des séries temporelles longues. Ces travaux pourront être utilisés dans les exercices en cours d’élaboration de la Communication Nationale et du RBA ainsi que dans la révision de la CDN.</w:t>
      </w:r>
    </w:p>
    <w:p w14:paraId="0C109BF3" w14:textId="77777777" w:rsidR="00880CF0" w:rsidRPr="0027680A" w:rsidRDefault="00880CF0" w:rsidP="00E524AF">
      <w:pPr>
        <w:pStyle w:val="Titre3Niveau3"/>
      </w:pPr>
      <w:bookmarkStart w:id="757" w:name="_Toc138342065"/>
      <w:bookmarkStart w:id="758" w:name="_Toc115454114"/>
      <w:bookmarkStart w:id="759" w:name="_Toc121390995"/>
      <w:r w:rsidRPr="0027680A">
        <w:t>Logiciel de MRV des émissions de polluants atmosphériques et de GES</w:t>
      </w:r>
      <w:r w:rsidRPr="003F57EA">
        <w:rPr>
          <w:rFonts w:ascii="Calibri" w:hAnsi="Calibri" w:cs="Calibri"/>
        </w:rPr>
        <w:t> </w:t>
      </w:r>
      <w:r w:rsidRPr="0027680A">
        <w:t>: RISQ</w:t>
      </w:r>
      <w:bookmarkEnd w:id="757"/>
      <w:r w:rsidRPr="0027680A">
        <w:t xml:space="preserve"> </w:t>
      </w:r>
      <w:bookmarkEnd w:id="758"/>
      <w:bookmarkEnd w:id="759"/>
    </w:p>
    <w:p w14:paraId="743B6748" w14:textId="77777777" w:rsidR="00880CF0" w:rsidRPr="0027680A" w:rsidRDefault="00880CF0" w:rsidP="00880CF0">
      <w:pPr>
        <w:spacing w:before="240" w:after="240"/>
      </w:pPr>
      <w:r w:rsidRPr="0027680A">
        <w:t>Développé par le CITEPA et personnalisé pour implémentation dans les pays émergents et en développement. Cet outil existe en trois versions Excel, Access et Web. Il contribue à la transparence, exactitude, fiabilité, couverture et cohérence des inventaires nationaux</w:t>
      </w:r>
      <w:r w:rsidRPr="0027680A">
        <w:rPr>
          <w:rFonts w:ascii="Calibri" w:hAnsi="Calibri" w:cs="Calibri"/>
        </w:rPr>
        <w:t> </w:t>
      </w:r>
      <w:r w:rsidRPr="0027680A">
        <w:t xml:space="preserve">; </w:t>
      </w:r>
      <w:r w:rsidRPr="0027680A">
        <w:rPr>
          <w:rFonts w:cs="Marianne"/>
        </w:rPr>
        <w:t>à</w:t>
      </w:r>
      <w:r w:rsidRPr="0027680A">
        <w:t xml:space="preserve"> la durabilité des actions de renforcement des capacités des pays du sud</w:t>
      </w:r>
      <w:r w:rsidRPr="0027680A">
        <w:rPr>
          <w:rFonts w:ascii="Calibri" w:hAnsi="Calibri" w:cs="Calibri"/>
        </w:rPr>
        <w:t> </w:t>
      </w:r>
      <w:r w:rsidRPr="0027680A">
        <w:t xml:space="preserve">; enfin </w:t>
      </w:r>
      <w:r w:rsidRPr="0027680A">
        <w:rPr>
          <w:rFonts w:cs="Marianne"/>
        </w:rPr>
        <w:t>à</w:t>
      </w:r>
      <w:r w:rsidRPr="0027680A">
        <w:t xml:space="preserve"> la scalabilit</w:t>
      </w:r>
      <w:r w:rsidRPr="0027680A">
        <w:rPr>
          <w:rFonts w:cs="Marianne"/>
        </w:rPr>
        <w:t>é</w:t>
      </w:r>
      <w:r w:rsidRPr="0027680A">
        <w:t xml:space="preserve"> de leur mesure, rapportage et de v</w:t>
      </w:r>
      <w:r w:rsidRPr="0027680A">
        <w:rPr>
          <w:rFonts w:cs="Marianne"/>
        </w:rPr>
        <w:t>é</w:t>
      </w:r>
      <w:r w:rsidRPr="0027680A">
        <w:t xml:space="preserve">rification (des nations aux villes, des nations </w:t>
      </w:r>
      <w:r w:rsidRPr="0027680A">
        <w:rPr>
          <w:rFonts w:cs="Marianne"/>
        </w:rPr>
        <w:t>à</w:t>
      </w:r>
      <w:r w:rsidRPr="0027680A">
        <w:t xml:space="preserve"> leurs voisines). RISQ a </w:t>
      </w:r>
      <w:r w:rsidRPr="0027680A">
        <w:rPr>
          <w:rFonts w:cs="Marianne"/>
        </w:rPr>
        <w:t>é</w:t>
      </w:r>
      <w:r w:rsidRPr="0027680A">
        <w:t>t</w:t>
      </w:r>
      <w:r w:rsidRPr="0027680A">
        <w:rPr>
          <w:rFonts w:cs="Marianne"/>
        </w:rPr>
        <w:t>é</w:t>
      </w:r>
      <w:r w:rsidRPr="0027680A">
        <w:t xml:space="preserve"> impl</w:t>
      </w:r>
      <w:r w:rsidRPr="0027680A">
        <w:rPr>
          <w:rFonts w:cs="Marianne"/>
        </w:rPr>
        <w:t>é</w:t>
      </w:r>
      <w:r w:rsidRPr="0027680A">
        <w:t>ment</w:t>
      </w:r>
      <w:r w:rsidRPr="0027680A">
        <w:rPr>
          <w:rFonts w:cs="Marianne"/>
        </w:rPr>
        <w:t>é</w:t>
      </w:r>
      <w:r w:rsidRPr="0027680A">
        <w:t xml:space="preserve"> ou le sera en France, Maroc, Nig</w:t>
      </w:r>
      <w:r w:rsidRPr="0027680A">
        <w:rPr>
          <w:rFonts w:cs="Marianne"/>
        </w:rPr>
        <w:t>é</w:t>
      </w:r>
      <w:r w:rsidRPr="0027680A">
        <w:t>ria, Niger, Rwanda, Tunisie, Algérie et Monaco. (Développement sur autofinancement du Citepa)</w:t>
      </w:r>
    </w:p>
    <w:p w14:paraId="25F6233A" w14:textId="77777777" w:rsidR="00880CF0" w:rsidRDefault="00880CF0" w:rsidP="00E524AF">
      <w:pPr>
        <w:pStyle w:val="Titre3Niveau3"/>
      </w:pPr>
      <w:bookmarkStart w:id="760" w:name="_Toc115454115"/>
      <w:bookmarkStart w:id="761" w:name="_Toc121390996"/>
      <w:bookmarkStart w:id="762" w:name="_Toc138342066"/>
      <w:r w:rsidRPr="0027680A">
        <w:t>Le centre franco-</w:t>
      </w:r>
      <w:r w:rsidRPr="00290785">
        <w:t>chinois</w:t>
      </w:r>
      <w:r>
        <w:t xml:space="preserve"> avec le CRAES</w:t>
      </w:r>
      <w:bookmarkEnd w:id="760"/>
      <w:bookmarkEnd w:id="761"/>
      <w:bookmarkEnd w:id="762"/>
    </w:p>
    <w:p w14:paraId="6EB23B77" w14:textId="08EBC45D" w:rsidR="00880CF0" w:rsidRPr="0027680A" w:rsidRDefault="00880CF0" w:rsidP="00880CF0">
      <w:pPr>
        <w:spacing w:before="240" w:after="240"/>
      </w:pPr>
      <w:r w:rsidRPr="0027680A">
        <w:t xml:space="preserve">Le CITEPA et son partenaire chinois le CRAES, qui dépend du ministère du contrôle des polluants, se sont rencontrés pour la première fois à Pékin en 2014. Ils ont signé le </w:t>
      </w:r>
      <w:r w:rsidR="006518EF" w:rsidRPr="009F4180">
        <w:t>1</w:t>
      </w:r>
      <w:r w:rsidR="006518EF" w:rsidRPr="007F47EF">
        <w:rPr>
          <w:vertAlign w:val="superscript"/>
        </w:rPr>
        <w:t>er</w:t>
      </w:r>
      <w:r w:rsidRPr="0027680A">
        <w:t xml:space="preserve"> août 2015 un accord-cadre sur 5 ans afin d’intégrer GES et polluants pour permettre une synergie entre qualité de l’air en ville et lutte contre le changement climatique. Cette collaboration fondée sur la connaissance, la quantification, le rapportage et les projections des émissions en Chine vise à une intégration progressive des problématiques air-climat-énergie. Un rapport a été publié en 2015 sur les fruits de ce travail commun, qui a abouti à la création du centre franco-chinois des polluants, des émissions de GES et de leur réduction. Le centre promeut les bonnes pratiques en matière d’inventaire d’émissions de GES, de mesure, de rapportage et de vérification, au service des politiques publiques. Ces actions ont été présentées lors d’un side-event spécifique lors de la 5ème conférence internationale franco-chinoise sur l’environnement atmosphérique, qui a eu lieu à Xi’an en octobre 2016. Un atelier a également eu lieu à Paris, en mai 2017. En 2019, ce partenariat a été complété par la venue du NTSC, division du MEE chinois, et responsable de la NDC de Chine. En 2019-2020, </w:t>
      </w:r>
      <w:r w:rsidR="00A97954">
        <w:t>a été faite une</w:t>
      </w:r>
      <w:r w:rsidRPr="0027680A">
        <w:t xml:space="preserve"> démonstration d’une approche intégrée des rapportages et politiques et mesures climat et pollution atmosphérique, dans deux provinces (dont la Mongolie intérieure). Ce pilote, mobilisant deux logiciels RISQ régionaux, a été présenté pour demande de financement, en mars 2019 à la Banque Asiatique du développement (AsDB – Asian Development B</w:t>
      </w:r>
      <w:r w:rsidR="00A97954">
        <w:t>ank)</w:t>
      </w:r>
      <w:r w:rsidRPr="0027680A">
        <w:t>.</w:t>
      </w:r>
      <w:r w:rsidR="00260E0B">
        <w:t xml:space="preserve"> </w:t>
      </w:r>
    </w:p>
    <w:p w14:paraId="46A02470" w14:textId="0AD3C64E" w:rsidR="00880CF0" w:rsidRDefault="00880CF0" w:rsidP="00880CF0">
      <w:pPr>
        <w:spacing w:before="240" w:after="240"/>
      </w:pPr>
      <w:r w:rsidRPr="0027680A">
        <w:t xml:space="preserve">Une nouvelle présentation du logiciel RISQ, pour application en différents pays d’Asie </w:t>
      </w:r>
      <w:r w:rsidR="00A97954">
        <w:t>a eu lieu</w:t>
      </w:r>
      <w:r w:rsidRPr="0027680A">
        <w:t xml:space="preserve"> au premier semestre 2020. Ce projet est mené sur autofinancement du CITEPA.</w:t>
      </w:r>
    </w:p>
    <w:p w14:paraId="08A2BF39" w14:textId="77777777" w:rsidR="00880CF0" w:rsidRPr="000C48B7" w:rsidRDefault="00880CF0" w:rsidP="00E524AF">
      <w:pPr>
        <w:pStyle w:val="Titre3Niveau3"/>
      </w:pPr>
      <w:bookmarkStart w:id="763" w:name="_Toc115454116"/>
      <w:bookmarkStart w:id="764" w:name="_Toc121390997"/>
      <w:bookmarkStart w:id="765" w:name="_Toc138342067"/>
      <w:r w:rsidRPr="000C48B7">
        <w:t xml:space="preserve">Le rôle de </w:t>
      </w:r>
      <w:r w:rsidRPr="0027680A">
        <w:t>l’ADEME</w:t>
      </w:r>
      <w:bookmarkEnd w:id="763"/>
      <w:bookmarkEnd w:id="764"/>
      <w:bookmarkEnd w:id="765"/>
    </w:p>
    <w:p w14:paraId="668E9BB6" w14:textId="6930EDFF" w:rsidR="00880CF0" w:rsidRDefault="00880CF0" w:rsidP="00880CF0">
      <w:pPr>
        <w:spacing w:before="240" w:after="240"/>
      </w:pPr>
      <w:r>
        <w:t>Au niveau national l’ADEME accompagne le renforcement de capacité des collectivités territoriales sur le changement climatique. Cette expertise a été partagé</w:t>
      </w:r>
      <w:r w:rsidR="00306681">
        <w:t>e</w:t>
      </w:r>
      <w:r>
        <w:t xml:space="preserve"> au niveau international dans des programmes de renforcement de capacité des collectivités de l’Afrique subsaharienne. En partenariat avec la Commission européenne l’ADEME a contribué aux travaux de la Convention des Maires pour l’Afrique subsaharienne (Com SSA). En partenariat avec l’Association Internationale des Maires Francophones (AIMF) elle accompagne le développement Réseau des Femmes Elues Locales d’Afrique (REFELA). Enfin, l’ADEME accompagne l’organisation panafricaine Cités et gouvernements locaux unis d’Afrique (CGLU – Afrique) et son Académie Africaine des Collectivités Territoriales (ALGA).</w:t>
      </w:r>
    </w:p>
    <w:p w14:paraId="07F88331" w14:textId="77777777" w:rsidR="00880CF0" w:rsidRDefault="00880CF0" w:rsidP="00880CF0">
      <w:pPr>
        <w:spacing w:before="240" w:after="240"/>
      </w:pPr>
      <w:r>
        <w:t>L’ADEME contribue aussi à l’initiative multilatérale Mobilise Your City qui vise la montée en compétences des collectivités territoriales sur la mobilité urbaine durable.</w:t>
      </w:r>
    </w:p>
    <w:p w14:paraId="63CD9BC2" w14:textId="77777777" w:rsidR="00880CF0" w:rsidRPr="00E4545B" w:rsidRDefault="00880CF0" w:rsidP="00880CF0">
      <w:pPr>
        <w:spacing w:before="240" w:after="240"/>
        <w:rPr>
          <w:highlight w:val="yellow"/>
        </w:rPr>
      </w:pPr>
      <w:r>
        <w:t>En parallèle aux appels à projets 2017 et 2019 sur l’accès à l’énergie renouvelable hors réseau, l’ADEME a animé avec le Syndicat des Energies Renouvelables, un groupe de travail des acteurs français de l’offre. Cette animation, de 2018 à 2022, a permis de développer une vision commune pour les acteurs français de l’accès à l’énergie, élaborer des propositions pour lever les verrous auxquels ces acteurs sont confrontés, et promouvoir le savoir-faire français à l’international. Leurs propositions pour accélérer l’accès universel à des services énergétiques durables hors réseau sont proposés dans un Livre Blanc publié en 2020.</w:t>
      </w:r>
    </w:p>
    <w:p w14:paraId="7EE08C29" w14:textId="15D4985A" w:rsidR="0027680A" w:rsidRDefault="00454093" w:rsidP="00714DEF">
      <w:pPr>
        <w:spacing w:before="240" w:after="240"/>
        <w:sectPr w:rsidR="0027680A" w:rsidSect="00A8610E">
          <w:pgSz w:w="11906" w:h="16838" w:code="9"/>
          <w:pgMar w:top="1230" w:right="907" w:bottom="1650" w:left="1049" w:header="284" w:footer="284" w:gutter="0"/>
          <w:cols w:space="708"/>
          <w:titlePg/>
          <w:docGrid w:linePitch="360"/>
        </w:sectPr>
      </w:pPr>
      <w:r w:rsidRPr="00A97954">
        <w:t>La table CTF9</w:t>
      </w:r>
      <w:r w:rsidR="00A97954">
        <w:t xml:space="preserve"> (soutien au renforcement de capacités)</w:t>
      </w:r>
      <w:r w:rsidRPr="00A97954">
        <w:t xml:space="preserve"> </w:t>
      </w:r>
      <w:r w:rsidR="007B49C8">
        <w:t>ci-dessous</w:t>
      </w:r>
      <w:r w:rsidR="00A97954">
        <w:t xml:space="preserve"> </w:t>
      </w:r>
      <w:r w:rsidRPr="00A97954">
        <w:t>présente quelques initiatives de renforcement de capacité</w:t>
      </w:r>
      <w:r w:rsidR="00714DEF" w:rsidRPr="00A97954">
        <w:t>.</w:t>
      </w:r>
    </w:p>
    <w:tbl>
      <w:tblPr>
        <w:tblStyle w:val="GridTable4-Accent4"/>
        <w:tblW w:w="15021" w:type="dxa"/>
        <w:jc w:val="center"/>
        <w:tblLook w:val="04A0" w:firstRow="1" w:lastRow="0" w:firstColumn="1" w:lastColumn="0" w:noHBand="0" w:noVBand="1"/>
      </w:tblPr>
      <w:tblGrid>
        <w:gridCol w:w="1557"/>
        <w:gridCol w:w="1692"/>
        <w:gridCol w:w="2674"/>
        <w:gridCol w:w="9098"/>
      </w:tblGrid>
      <w:tr w:rsidR="0027680A" w:rsidRPr="0027680A" w14:paraId="6A4189B3" w14:textId="77777777" w:rsidTr="005B7447">
        <w:trPr>
          <w:cnfStyle w:val="100000000000" w:firstRow="1" w:lastRow="0" w:firstColumn="0" w:lastColumn="0" w:oddVBand="0" w:evenVBand="0" w:oddHBand="0" w:evenHBand="0" w:firstRowFirstColumn="0" w:firstRowLastColumn="0" w:lastRowFirstColumn="0" w:lastRowLastColumn="0"/>
          <w:trHeight w:val="45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B7B7BE7" w14:textId="3A546A58" w:rsidR="0027680A" w:rsidRPr="0027680A" w:rsidRDefault="0027680A" w:rsidP="0027680A">
            <w:pPr>
              <w:jc w:val="center"/>
              <w:rPr>
                <w:rFonts w:ascii="Arial" w:hAnsi="Arial" w:cs="Arial"/>
                <w:color w:val="000000"/>
                <w:sz w:val="16"/>
                <w:szCs w:val="16"/>
              </w:rPr>
            </w:pPr>
            <w:r>
              <w:rPr>
                <w:rFonts w:ascii="Arial" w:hAnsi="Arial" w:cs="Arial"/>
                <w:color w:val="000000"/>
                <w:sz w:val="16"/>
                <w:szCs w:val="16"/>
              </w:rPr>
              <w:t>Pays ou région récipiendaire</w:t>
            </w:r>
          </w:p>
        </w:tc>
        <w:tc>
          <w:tcPr>
            <w:tcW w:w="1692" w:type="dxa"/>
            <w:hideMark/>
          </w:tcPr>
          <w:p w14:paraId="7B4D4300" w14:textId="69DA9DD9" w:rsidR="0027680A" w:rsidRPr="0027680A"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Objectif</w:t>
            </w:r>
          </w:p>
        </w:tc>
        <w:tc>
          <w:tcPr>
            <w:tcW w:w="2674" w:type="dxa"/>
            <w:hideMark/>
          </w:tcPr>
          <w:p w14:paraId="5E106164" w14:textId="7D3E299A" w:rsidR="0027680A" w:rsidRPr="0027680A"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Pr>
                <w:rFonts w:ascii="Arial" w:hAnsi="Arial" w:cs="Arial"/>
                <w:color w:val="000000"/>
                <w:sz w:val="16"/>
                <w:szCs w:val="16"/>
              </w:rPr>
              <w:t>Programme ou titre du projet</w:t>
            </w:r>
          </w:p>
        </w:tc>
        <w:tc>
          <w:tcPr>
            <w:tcW w:w="9098" w:type="dxa"/>
            <w:hideMark/>
          </w:tcPr>
          <w:p w14:paraId="3575260D" w14:textId="4070A279" w:rsidR="0027680A" w:rsidRPr="0027680A" w:rsidRDefault="0027680A" w:rsidP="0027680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6"/>
                <w:szCs w:val="16"/>
              </w:rPr>
            </w:pPr>
            <w:r w:rsidRPr="0027680A">
              <w:rPr>
                <w:rFonts w:ascii="Arial" w:hAnsi="Arial" w:cs="Arial"/>
                <w:color w:val="000000"/>
                <w:sz w:val="16"/>
                <w:szCs w:val="16"/>
              </w:rPr>
              <w:t>Description du programme ou du projet</w:t>
            </w:r>
          </w:p>
        </w:tc>
      </w:tr>
      <w:tr w:rsidR="0027680A" w:rsidRPr="0027680A" w14:paraId="6598FE5E" w14:textId="77777777" w:rsidTr="005B7447">
        <w:trPr>
          <w:cnfStyle w:val="000000100000" w:firstRow="0" w:lastRow="0" w:firstColumn="0" w:lastColumn="0" w:oddVBand="0" w:evenVBand="0" w:oddHBand="1" w:evenHBand="0" w:firstRowFirstColumn="0" w:firstRowLastColumn="0" w:lastRowFirstColumn="0" w:lastRowLastColumn="0"/>
          <w:trHeight w:val="19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F4C9515"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Multi-pays</w:t>
            </w:r>
          </w:p>
        </w:tc>
        <w:tc>
          <w:tcPr>
            <w:tcW w:w="1692" w:type="dxa"/>
            <w:hideMark/>
          </w:tcPr>
          <w:p w14:paraId="68002689" w14:textId="2D068DE5"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68D342CA"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Mobilise Your City</w:t>
            </w:r>
          </w:p>
        </w:tc>
        <w:tc>
          <w:tcPr>
            <w:tcW w:w="9098" w:type="dxa"/>
            <w:hideMark/>
          </w:tcPr>
          <w:p w14:paraId="0BB6243D"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Lancée à la COP 21, MobiliseYourCity est une initiative franco-allemande de l'Agenda mondial de l'action pour le climat mise en œuvre par la GIZ, l'AFD, le CEREMA, la CODATU et l'ADEME, avec l'appui du FFEM. Elle vise à déployer des plans des mobilité urbaine durable dans 100 villes de 20 pays en développement. Elle prend la forme d’un programme partenarial au sein duquel : (i) des villes et gouvernements s’engagent dans l’élaboration de plans de développement durable de la mobilité urbaine (SUMPs) et de politiques nationales de la mobilité urbaine (NUMPs) pour améliorer la mobilité et réduire les émissions de GES ; et (ii) des actions sont financées pour les appuyer dans cet objectif, leur fournir un cadre méthodologique robuste, et leur permettre d’échanger entre pairs.</w:t>
            </w:r>
          </w:p>
        </w:tc>
      </w:tr>
      <w:tr w:rsidR="0027680A" w:rsidRPr="0027680A" w14:paraId="78A12584" w14:textId="77777777" w:rsidTr="005B7447">
        <w:trPr>
          <w:trHeight w:val="120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39633D8E"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Cameroun</w:t>
            </w:r>
          </w:p>
        </w:tc>
        <w:tc>
          <w:tcPr>
            <w:tcW w:w="1692" w:type="dxa"/>
            <w:hideMark/>
          </w:tcPr>
          <w:p w14:paraId="2F3D4F85" w14:textId="1A94681E"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5E208079"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Femmes et Climat</w:t>
            </w:r>
          </w:p>
        </w:tc>
        <w:tc>
          <w:tcPr>
            <w:tcW w:w="9098" w:type="dxa"/>
            <w:hideMark/>
          </w:tcPr>
          <w:p w14:paraId="1FED9606" w14:textId="323A745F"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Appui au réseau des femmes maires du Cameroun. Le projet (2018 - 2020) visait le renforcement du réseau des femmes élues locales du Cameroun et à la mise en œuvre d’actions pilotes pour l’éclairage public et la fourniture électrique de bâtiments publics. Ce programme est financé par le Ministère de la transition écologique, et géré par l'ADEME. Partenaires : AIMF, Fondation Veolia, FEICOM</w:t>
            </w:r>
            <w:r w:rsidR="00260E0B">
              <w:rPr>
                <w:rFonts w:ascii="Arial" w:hAnsi="Arial" w:cs="Arial"/>
                <w:color w:val="000000"/>
                <w:sz w:val="18"/>
                <w:szCs w:val="18"/>
              </w:rPr>
              <w:t xml:space="preserve"> </w:t>
            </w:r>
            <w:r w:rsidRPr="0027680A">
              <w:rPr>
                <w:rFonts w:ascii="Arial" w:hAnsi="Arial" w:cs="Arial"/>
                <w:color w:val="000000"/>
                <w:sz w:val="18"/>
                <w:szCs w:val="18"/>
              </w:rPr>
              <w:t>ainsi que les communes visées au Cameroun. Partenariat : AIMF, Fondation Veolia, ADEME , FEICOM</w:t>
            </w:r>
            <w:r w:rsidR="00260E0B">
              <w:rPr>
                <w:rFonts w:ascii="Arial" w:hAnsi="Arial" w:cs="Arial"/>
                <w:color w:val="000000"/>
                <w:sz w:val="18"/>
                <w:szCs w:val="18"/>
              </w:rPr>
              <w:t xml:space="preserve"> </w:t>
            </w:r>
            <w:r w:rsidRPr="0027680A">
              <w:rPr>
                <w:rFonts w:ascii="Arial" w:hAnsi="Arial" w:cs="Arial"/>
                <w:color w:val="000000"/>
                <w:sz w:val="18"/>
                <w:szCs w:val="18"/>
              </w:rPr>
              <w:t xml:space="preserve">ainsi que les communes visées. </w:t>
            </w:r>
          </w:p>
        </w:tc>
      </w:tr>
      <w:tr w:rsidR="0027680A" w:rsidRPr="0027680A" w14:paraId="6940E56E" w14:textId="77777777" w:rsidTr="005B7447">
        <w:trPr>
          <w:cnfStyle w:val="000000100000" w:firstRow="0" w:lastRow="0" w:firstColumn="0" w:lastColumn="0" w:oddVBand="0" w:evenVBand="0" w:oddHBand="1" w:evenHBand="0" w:firstRowFirstColumn="0" w:firstRowLastColumn="0" w:lastRowFirstColumn="0" w:lastRowLastColumn="0"/>
          <w:trHeight w:val="264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592921C7"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Méditerranée, Asie, Afrique Subsaharienne, Amérique Latine</w:t>
            </w:r>
          </w:p>
        </w:tc>
        <w:tc>
          <w:tcPr>
            <w:tcW w:w="1692" w:type="dxa"/>
            <w:hideMark/>
          </w:tcPr>
          <w:p w14:paraId="1A01ADA1" w14:textId="7C0FF44E"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4D6EC743"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PEEB - Programme pour l'Efficacité Energétique des Bâtiments</w:t>
            </w:r>
          </w:p>
        </w:tc>
        <w:tc>
          <w:tcPr>
            <w:tcW w:w="9098" w:type="dxa"/>
            <w:hideMark/>
          </w:tcPr>
          <w:p w14:paraId="2DDF4403" w14:textId="588A59FC"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Lancé à la COP 22, le Programme pour l'Efficacité Energétique des Bâtiments contribue à l'Alliance mondiale pour le</w:t>
            </w:r>
            <w:r w:rsidR="005B7447">
              <w:rPr>
                <w:rFonts w:ascii="Arial" w:hAnsi="Arial" w:cs="Arial"/>
                <w:color w:val="000000"/>
                <w:sz w:val="18"/>
                <w:szCs w:val="18"/>
              </w:rPr>
              <w:t>s</w:t>
            </w:r>
            <w:r w:rsidRPr="0027680A">
              <w:rPr>
                <w:rFonts w:ascii="Arial" w:hAnsi="Arial" w:cs="Arial"/>
                <w:color w:val="000000"/>
                <w:sz w:val="18"/>
                <w:szCs w:val="18"/>
              </w:rPr>
              <w:t xml:space="preserve"> bâtiment</w:t>
            </w:r>
            <w:r w:rsidR="005B7447">
              <w:rPr>
                <w:rFonts w:ascii="Arial" w:hAnsi="Arial" w:cs="Arial"/>
                <w:color w:val="000000"/>
                <w:sz w:val="18"/>
                <w:szCs w:val="18"/>
              </w:rPr>
              <w:t>s</w:t>
            </w:r>
            <w:r w:rsidRPr="0027680A">
              <w:rPr>
                <w:rFonts w:ascii="Arial" w:hAnsi="Arial" w:cs="Arial"/>
                <w:color w:val="000000"/>
                <w:sz w:val="18"/>
                <w:szCs w:val="18"/>
              </w:rPr>
              <w:t xml:space="preserve"> et la construction (GABC) et est mis en œuvre par la GIZ, l'AFD et l'ADEME, avec l'appui du FFEM. Ce programme a pour objectif d'encourager et de financer des projets d’amélioration de la performance énergétique des bâtiments dans les pays en développement. Cinq pays pilotes sont visés dans la phase initiale du projet PEEB : Mexique, Maroc, Tunisie, Sénégal et Vietnam. La priorité est donnée aux bâtiments neufs dans la mesure où la majorité des bâtiments dans les pays en développement qui existeront en 2035 sont encore à construire. Le programme consiste en la mise en place d’une facilité de coopération technique, pour l’émergence au niveau international de solutions de financement innovantes, l’appui aux politiques publiques nationales et l’aide à la structuration et à l’accompagnement des projets. Cette facilité vise ainsi à promouvoir et accompagner le financement par des Institutions financières internationales et locales d’investissements dans des bâtiments efficaces en énergie.</w:t>
            </w:r>
          </w:p>
        </w:tc>
      </w:tr>
      <w:tr w:rsidR="0027680A" w:rsidRPr="0027680A" w14:paraId="2CEF8276" w14:textId="77777777" w:rsidTr="005B7447">
        <w:trPr>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79AE8B98"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Afrique</w:t>
            </w:r>
          </w:p>
        </w:tc>
        <w:tc>
          <w:tcPr>
            <w:tcW w:w="1692" w:type="dxa"/>
            <w:hideMark/>
          </w:tcPr>
          <w:p w14:paraId="382E2FDE" w14:textId="6F984563"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r w:rsidRPr="0027680A">
              <w:rPr>
                <w:rFonts w:ascii="Arial" w:hAnsi="Arial" w:cs="Arial"/>
                <w:color w:val="000000"/>
                <w:sz w:val="18"/>
                <w:szCs w:val="18"/>
              </w:rPr>
              <w:t xml:space="preserve"> &amp; Adaptation</w:t>
            </w:r>
          </w:p>
        </w:tc>
        <w:tc>
          <w:tcPr>
            <w:tcW w:w="2674" w:type="dxa"/>
            <w:hideMark/>
          </w:tcPr>
          <w:p w14:paraId="5EEF35FB"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Convention des Maires pour l’Afrique subsaharienne (Com SSA)</w:t>
            </w:r>
          </w:p>
        </w:tc>
        <w:tc>
          <w:tcPr>
            <w:tcW w:w="9098" w:type="dxa"/>
            <w:hideMark/>
          </w:tcPr>
          <w:p w14:paraId="19F6D253"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Renforcement de capacité des collectivités de l’Afrique subsaharienne. En partenariat avec la Commission européenne l’ADEME a contribué aux travaux de la Convention des Maires pour l’Afrique subsaharienne (Com SSA).</w:t>
            </w:r>
          </w:p>
        </w:tc>
      </w:tr>
      <w:tr w:rsidR="0027680A" w:rsidRPr="0027680A" w14:paraId="3D47C0F0" w14:textId="77777777" w:rsidTr="005B7447">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7B6CA734"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Afrique</w:t>
            </w:r>
          </w:p>
        </w:tc>
        <w:tc>
          <w:tcPr>
            <w:tcW w:w="1692" w:type="dxa"/>
            <w:hideMark/>
          </w:tcPr>
          <w:p w14:paraId="12577AE4" w14:textId="417AD76A"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41124030"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Réseau des Femmes Elues Locales d’Afrique (REFELA)</w:t>
            </w:r>
          </w:p>
        </w:tc>
        <w:tc>
          <w:tcPr>
            <w:tcW w:w="9098" w:type="dxa"/>
            <w:hideMark/>
          </w:tcPr>
          <w:p w14:paraId="74355696"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Renforcement de capacité des collectivités de l’Afrique subsaharienne. L'ADEME, en partenariat avec l’Association Internationale des Maires Francophones (AIMF), accompagnement du Réseau des Femmes Elues Locales d’Afrique (REFELA).</w:t>
            </w:r>
          </w:p>
        </w:tc>
      </w:tr>
      <w:tr w:rsidR="0027680A" w:rsidRPr="0027680A" w14:paraId="21F24106" w14:textId="77777777" w:rsidTr="005B7447">
        <w:trPr>
          <w:trHeight w:val="72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04C18830"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Afrique</w:t>
            </w:r>
          </w:p>
        </w:tc>
        <w:tc>
          <w:tcPr>
            <w:tcW w:w="1692" w:type="dxa"/>
            <w:hideMark/>
          </w:tcPr>
          <w:p w14:paraId="0F925A7B" w14:textId="32FD4EE8"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r w:rsidRPr="0027680A">
              <w:rPr>
                <w:rFonts w:ascii="Arial" w:hAnsi="Arial" w:cs="Arial"/>
                <w:color w:val="000000"/>
                <w:sz w:val="18"/>
                <w:szCs w:val="18"/>
              </w:rPr>
              <w:t xml:space="preserve"> &amp; Adaptation</w:t>
            </w:r>
          </w:p>
        </w:tc>
        <w:tc>
          <w:tcPr>
            <w:tcW w:w="2674" w:type="dxa"/>
            <w:hideMark/>
          </w:tcPr>
          <w:p w14:paraId="7CA5C745"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Cités et gouvernements locaux unis d’Afrique (CGLU – Afrique)</w:t>
            </w:r>
          </w:p>
        </w:tc>
        <w:tc>
          <w:tcPr>
            <w:tcW w:w="9098" w:type="dxa"/>
            <w:hideMark/>
          </w:tcPr>
          <w:p w14:paraId="7EDA90CF"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Renforcement de capacité des collectivités de l’Afrique subsaharienne. L’ADEME accompagne l’organisation panafricaine Cités et gouvernements locaux unis d’Afrique (CGLU – Afrique) et son Académie Africaine des Collectivités Territoriales (ALGA).</w:t>
            </w:r>
          </w:p>
        </w:tc>
      </w:tr>
      <w:tr w:rsidR="0027680A" w:rsidRPr="0027680A" w14:paraId="0E6B4A20" w14:textId="77777777" w:rsidTr="005B7447">
        <w:trPr>
          <w:cnfStyle w:val="000000100000" w:firstRow="0" w:lastRow="0" w:firstColumn="0" w:lastColumn="0" w:oddVBand="0" w:evenVBand="0" w:oddHBand="1" w:evenHBand="0" w:firstRowFirstColumn="0" w:firstRowLastColumn="0" w:lastRowFirstColumn="0" w:lastRowLastColumn="0"/>
          <w:trHeight w:val="144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65B54557"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Monde</w:t>
            </w:r>
          </w:p>
        </w:tc>
        <w:tc>
          <w:tcPr>
            <w:tcW w:w="1692" w:type="dxa"/>
            <w:hideMark/>
          </w:tcPr>
          <w:p w14:paraId="7632035A" w14:textId="1C2BFE71"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77B79159"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Groupe de travail national sur l'accès à l’énergie, animé par l’ADEME et le SER 2018 - 2020</w:t>
            </w:r>
          </w:p>
        </w:tc>
        <w:tc>
          <w:tcPr>
            <w:tcW w:w="9098" w:type="dxa"/>
            <w:hideMark/>
          </w:tcPr>
          <w:p w14:paraId="584FF4B3" w14:textId="77777777" w:rsidR="0027680A" w:rsidRPr="0027680A" w:rsidRDefault="0027680A" w:rsidP="0027680A">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En parallèle aux appels à projets 2017 et 2019 sur l’accès à l’énergie renouvelable hors réseau, l’ADEME a animé avec le Syndicat des Energies Renouvelables, un groupe de travail des acteurs français de l’offre. Cette animation, de 2018 à 2022, a permis de développer une vision commune pour les acteurs français de l’accès à l’énergie, élaborer des propositions pour lever les verrous auxquels ces acteurs sont confrontés, et promouvoir le savoir-faire français à l’international. Leurs propositions pour accélérer l’accès universel à des services énergétiques durables hors réseau sont proposés dans un Livre Blanc publié en 2020.</w:t>
            </w:r>
          </w:p>
        </w:tc>
      </w:tr>
      <w:tr w:rsidR="0027680A" w:rsidRPr="0027680A" w14:paraId="670954F2" w14:textId="77777777" w:rsidTr="005B7447">
        <w:trPr>
          <w:trHeight w:val="2880"/>
          <w:jc w:val="center"/>
        </w:trPr>
        <w:tc>
          <w:tcPr>
            <w:cnfStyle w:val="001000000000" w:firstRow="0" w:lastRow="0" w:firstColumn="1" w:lastColumn="0" w:oddVBand="0" w:evenVBand="0" w:oddHBand="0" w:evenHBand="0" w:firstRowFirstColumn="0" w:firstRowLastColumn="0" w:lastRowFirstColumn="0" w:lastRowLastColumn="0"/>
            <w:tcW w:w="1557" w:type="dxa"/>
            <w:hideMark/>
          </w:tcPr>
          <w:p w14:paraId="450771F6" w14:textId="77777777" w:rsidR="0027680A" w:rsidRPr="0027680A" w:rsidRDefault="0027680A" w:rsidP="0027680A">
            <w:pPr>
              <w:jc w:val="left"/>
              <w:rPr>
                <w:rFonts w:ascii="Arial" w:hAnsi="Arial" w:cs="Arial"/>
                <w:color w:val="000000"/>
                <w:sz w:val="18"/>
                <w:szCs w:val="18"/>
              </w:rPr>
            </w:pPr>
            <w:r w:rsidRPr="0027680A">
              <w:rPr>
                <w:rFonts w:ascii="Arial" w:hAnsi="Arial" w:cs="Arial"/>
                <w:color w:val="000000"/>
                <w:sz w:val="18"/>
                <w:szCs w:val="18"/>
              </w:rPr>
              <w:t>Amérique latine et Caraïbes, Maroc, Algérie, Tunisie, Liban, Inde</w:t>
            </w:r>
          </w:p>
        </w:tc>
        <w:tc>
          <w:tcPr>
            <w:tcW w:w="1692" w:type="dxa"/>
            <w:hideMark/>
          </w:tcPr>
          <w:p w14:paraId="49ABB705" w14:textId="47FC31E0"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Atténuation</w:t>
            </w:r>
          </w:p>
        </w:tc>
        <w:tc>
          <w:tcPr>
            <w:tcW w:w="2674" w:type="dxa"/>
            <w:hideMark/>
          </w:tcPr>
          <w:p w14:paraId="5B990DB0"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Appui à la mise en place d’un système de monitoring de l’efficacité énergétique (indicateurs d’efficacité énergétique et évaluation des politiques d’efficacité énergétique)</w:t>
            </w:r>
          </w:p>
        </w:tc>
        <w:tc>
          <w:tcPr>
            <w:tcW w:w="9098" w:type="dxa"/>
            <w:hideMark/>
          </w:tcPr>
          <w:p w14:paraId="19AEEEBC" w14:textId="77777777" w:rsidR="0027680A" w:rsidRPr="0027680A" w:rsidRDefault="0027680A" w:rsidP="0027680A">
            <w:pPr>
              <w:jc w:val="lef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27680A">
              <w:rPr>
                <w:rFonts w:ascii="Arial" w:hAnsi="Arial" w:cs="Arial"/>
                <w:color w:val="000000"/>
                <w:sz w:val="18"/>
                <w:szCs w:val="18"/>
              </w:rPr>
              <w:t>Dans la continuité du projet européen Odyssee Mure mené depuis plus de 20 ans et qui a permis le développement et la mise en œuvre dans l’Union européenne d’une méthodologie d’évaluation des économies d’énergie sur la base d’indicateurs d’efficacité énergétique, l’ADEME soutient la déclinaison de cette méthodologie :</w:t>
            </w:r>
            <w:r w:rsidRPr="0027680A">
              <w:rPr>
                <w:rFonts w:ascii="Arial" w:hAnsi="Arial" w:cs="Arial"/>
                <w:color w:val="000000"/>
                <w:sz w:val="18"/>
                <w:szCs w:val="18"/>
              </w:rPr>
              <w:br/>
              <w:t>Au Maroc, en Algérie, en Tunisie et au Liban de 2012 à 2014 dans le cadre de MEDENER (Association méditerranéenne des agences nationales de maîtrise de l'énergie) ;</w:t>
            </w:r>
            <w:r w:rsidRPr="0027680A">
              <w:rPr>
                <w:rFonts w:ascii="Arial" w:hAnsi="Arial" w:cs="Arial"/>
                <w:color w:val="000000"/>
                <w:sz w:val="18"/>
                <w:szCs w:val="18"/>
              </w:rPr>
              <w:br/>
              <w:t>Depuis 2014 dans une vingtaine de pays d’Amérique Latine et des Caraïbes avec le CEPAL-UN (Commission économique pour l’Amérique latine et les Caraïbes des Nations unies) dans le cadre de l’IPEEC (International Partnership for Energy Efficiency Cooperation) ;</w:t>
            </w:r>
            <w:r w:rsidRPr="0027680A">
              <w:rPr>
                <w:rFonts w:ascii="Arial" w:hAnsi="Arial" w:cs="Arial"/>
                <w:color w:val="000000"/>
                <w:sz w:val="18"/>
                <w:szCs w:val="18"/>
              </w:rPr>
              <w:br/>
              <w:t>Depuis 2016, un travail plus en détail est mené avec le Mexique dans le cadre d’une coopération avec le CONUEE (Comisión Nacional para el Uso Eficiente de la Energía) soutenue par l’AFD. Plus récemment en Inde.</w:t>
            </w:r>
          </w:p>
        </w:tc>
      </w:tr>
      <w:tr w:rsidR="005B7447" w:rsidRPr="0027680A" w14:paraId="2F6329C2" w14:textId="77777777" w:rsidTr="005B7447">
        <w:trPr>
          <w:cnfStyle w:val="000000100000" w:firstRow="0" w:lastRow="0" w:firstColumn="0" w:lastColumn="0" w:oddVBand="0" w:evenVBand="0" w:oddHBand="1" w:evenHBand="0" w:firstRowFirstColumn="0" w:firstRowLastColumn="0" w:lastRowFirstColumn="0" w:lastRowLastColumn="0"/>
          <w:trHeight w:val="1491"/>
          <w:jc w:val="center"/>
        </w:trPr>
        <w:tc>
          <w:tcPr>
            <w:cnfStyle w:val="001000000000" w:firstRow="0" w:lastRow="0" w:firstColumn="1" w:lastColumn="0" w:oddVBand="0" w:evenVBand="0" w:oddHBand="0" w:evenHBand="0" w:firstRowFirstColumn="0" w:firstRowLastColumn="0" w:lastRowFirstColumn="0" w:lastRowLastColumn="0"/>
            <w:tcW w:w="1557" w:type="dxa"/>
          </w:tcPr>
          <w:p w14:paraId="509B7173" w14:textId="3C60DA7F" w:rsidR="005B7447" w:rsidRPr="0027680A" w:rsidRDefault="005B7447" w:rsidP="005B7447">
            <w:pPr>
              <w:jc w:val="left"/>
              <w:rPr>
                <w:rFonts w:ascii="Arial" w:hAnsi="Arial" w:cs="Arial"/>
                <w:color w:val="000000"/>
                <w:sz w:val="18"/>
                <w:szCs w:val="18"/>
              </w:rPr>
            </w:pPr>
            <w:r w:rsidRPr="007F47EF">
              <w:rPr>
                <w:rFonts w:ascii="Arial" w:eastAsiaTheme="minorHAnsi" w:hAnsi="Arial" w:cs="Arial"/>
                <w:sz w:val="18"/>
                <w:szCs w:val="18"/>
                <w:lang w:eastAsia="en-US"/>
              </w:rPr>
              <w:t>Afrique francophone</w:t>
            </w:r>
          </w:p>
        </w:tc>
        <w:tc>
          <w:tcPr>
            <w:tcW w:w="1692" w:type="dxa"/>
          </w:tcPr>
          <w:p w14:paraId="765C34BF" w14:textId="6AAB1CBE" w:rsidR="005B7447"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F47EF">
              <w:rPr>
                <w:rFonts w:ascii="Arial" w:eastAsiaTheme="minorHAnsi" w:hAnsi="Arial" w:cs="Arial"/>
                <w:sz w:val="18"/>
                <w:szCs w:val="18"/>
                <w:lang w:eastAsia="en-US"/>
              </w:rPr>
              <w:t>Négociation</w:t>
            </w:r>
          </w:p>
        </w:tc>
        <w:tc>
          <w:tcPr>
            <w:tcW w:w="2674" w:type="dxa"/>
          </w:tcPr>
          <w:p w14:paraId="4A6079C6" w14:textId="417A8BD3" w:rsidR="005B7447" w:rsidRPr="0027680A"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F47EF">
              <w:rPr>
                <w:rFonts w:ascii="Arial" w:eastAsiaTheme="minorHAnsi" w:hAnsi="Arial" w:cs="Arial"/>
                <w:sz w:val="18"/>
                <w:szCs w:val="18"/>
                <w:lang w:eastAsia="en-US"/>
              </w:rPr>
              <w:t>Ateliers de renforcement de capacités pour les négociatrices africaines francophones</w:t>
            </w:r>
          </w:p>
        </w:tc>
        <w:tc>
          <w:tcPr>
            <w:tcW w:w="9098" w:type="dxa"/>
          </w:tcPr>
          <w:p w14:paraId="722C7A77" w14:textId="2C23E07B" w:rsidR="005B7447" w:rsidRPr="0027680A" w:rsidRDefault="005B7447" w:rsidP="005B7447">
            <w:pPr>
              <w:jc w:val="lef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7F47EF">
              <w:rPr>
                <w:rFonts w:ascii="Arial" w:eastAsiaTheme="minorHAnsi" w:hAnsi="Arial" w:cs="Arial"/>
                <w:sz w:val="18"/>
                <w:szCs w:val="18"/>
                <w:lang w:eastAsia="en-US"/>
              </w:rPr>
              <w:t xml:space="preserve">Depuis 2018, la France et le Canada financent des cycles d’ateliers de renforcement des capacités à destination de négociatrices africaines francophones, afin d’assurer leur contribution active lors des intersessions et des Conférences des Parties. En 2022, 200 négociatrices ont participé aux ateliers et plus de 50 d’entre elles ont bénéficié de soutien financier additionnel pour participer à la COP27. Ces ateliers, appuyés par un système de mentorat, visent notamment à acquérir des connaissances sur les processus et les acteurs des négociations ainsi qu’à développer des aptitudes de négociation lors de simulations. </w:t>
            </w:r>
          </w:p>
        </w:tc>
      </w:tr>
    </w:tbl>
    <w:p w14:paraId="13DFA900" w14:textId="5719181C" w:rsidR="007B49C8" w:rsidRDefault="007B49C8" w:rsidP="007B49C8">
      <w:pPr>
        <w:pStyle w:val="Caption"/>
      </w:pPr>
      <w:bookmarkStart w:id="766" w:name="_Toc123916533"/>
      <w:r>
        <w:t xml:space="preserve">Tableau </w:t>
      </w:r>
      <w:fldSimple w:instr=" SEQ Tableau \* ARABIC ">
        <w:r w:rsidR="00AB51D9">
          <w:rPr>
            <w:noProof/>
          </w:rPr>
          <w:t>41</w:t>
        </w:r>
      </w:fldSimple>
      <w:r>
        <w:t> : Table CTF9 – Soutien en matière de renforcement des capacités</w:t>
      </w:r>
      <w:bookmarkEnd w:id="766"/>
    </w:p>
    <w:p w14:paraId="229DA000" w14:textId="1508F65A" w:rsidR="007B49C8" w:rsidRPr="007B49C8" w:rsidRDefault="007B49C8" w:rsidP="007B49C8">
      <w:pPr>
        <w:pStyle w:val="Caption"/>
        <w:sectPr w:rsidR="007B49C8" w:rsidRPr="007B49C8" w:rsidSect="0027680A">
          <w:pgSz w:w="16838" w:h="11906" w:orient="landscape" w:code="9"/>
          <w:pgMar w:top="1049" w:right="1230" w:bottom="907" w:left="1650" w:header="284" w:footer="284" w:gutter="0"/>
          <w:cols w:space="708"/>
          <w:titlePg/>
          <w:docGrid w:linePitch="360"/>
        </w:sectPr>
      </w:pPr>
      <w:r>
        <w:t>Source : ADEME</w:t>
      </w:r>
    </w:p>
    <w:p w14:paraId="090F17A6" w14:textId="77777777" w:rsidR="00714DEF" w:rsidRDefault="00714DEF">
      <w:pPr>
        <w:spacing w:line="240" w:lineRule="atLeast"/>
        <w:jc w:val="left"/>
        <w:rPr>
          <w:rFonts w:eastAsiaTheme="majorEastAsia" w:cstheme="majorBidi"/>
          <w:bCs/>
          <w:spacing w:val="-10"/>
          <w:kern w:val="28"/>
          <w:sz w:val="48"/>
          <w:szCs w:val="56"/>
        </w:rPr>
      </w:pPr>
    </w:p>
    <w:p w14:paraId="1D18FEAA" w14:textId="0519F1CB" w:rsidR="007E76D2" w:rsidRPr="007E76D2" w:rsidRDefault="0051771F" w:rsidP="007E76D2">
      <w:pPr>
        <w:pStyle w:val="Titre1Niveau1"/>
        <w:ind w:left="0" w:right="27"/>
      </w:pPr>
      <w:bookmarkStart w:id="767" w:name="_Toc138342068"/>
      <w:bookmarkStart w:id="768" w:name="ChapitreVIII"/>
      <w:r w:rsidRPr="005D5AA6">
        <w:t xml:space="preserve">Chapitre </w:t>
      </w:r>
      <w:r>
        <w:t>VI</w:t>
      </w:r>
      <w:r w:rsidRPr="005D5AA6">
        <w:t>I</w:t>
      </w:r>
      <w:r>
        <w:t>I</w:t>
      </w:r>
      <w:r w:rsidR="00C654BE">
        <w:t xml:space="preserve"> – </w:t>
      </w:r>
      <w:r w:rsidRPr="0051771F">
        <w:t>R</w:t>
      </w:r>
      <w:r>
        <w:t>echerche</w:t>
      </w:r>
      <w:r w:rsidR="00C654BE">
        <w:t xml:space="preserve"> </w:t>
      </w:r>
      <w:r>
        <w:t>et observation systématique</w:t>
      </w:r>
      <w:bookmarkEnd w:id="767"/>
    </w:p>
    <w:p w14:paraId="62EE89DC" w14:textId="77777777" w:rsidR="007E76D2" w:rsidRPr="00E524AF" w:rsidRDefault="007E76D2" w:rsidP="00E524AF">
      <w:pPr>
        <w:pStyle w:val="Titre2Niveau2"/>
        <w:numPr>
          <w:ilvl w:val="0"/>
          <w:numId w:val="102"/>
        </w:numPr>
        <w:rPr>
          <w:rFonts w:ascii="Times New Roman" w:hAnsi="Times New Roman"/>
          <w:color w:val="000000"/>
        </w:rPr>
      </w:pPr>
      <w:bookmarkStart w:id="769" w:name="_Toc138342069"/>
      <w:r w:rsidRPr="009C1A8D">
        <w:t>Vision générale de la recherche et de l’observation en France sur le climat</w:t>
      </w:r>
      <w:bookmarkEnd w:id="769"/>
    </w:p>
    <w:p w14:paraId="742BAF69" w14:textId="77777777" w:rsidR="007E76D2" w:rsidRPr="009C1A8D" w:rsidRDefault="007E76D2" w:rsidP="00E524AF">
      <w:pPr>
        <w:pStyle w:val="Titre3Niveau3"/>
        <w:rPr>
          <w:lang w:eastAsia="ar-SA"/>
        </w:rPr>
      </w:pPr>
      <w:bookmarkStart w:id="770" w:name="_Toc138342070"/>
      <w:r w:rsidRPr="007E76D2">
        <w:t>L’action</w:t>
      </w:r>
      <w:r w:rsidRPr="009C1A8D">
        <w:t xml:space="preserve"> globale des pouvoirs publics dans la recherche</w:t>
      </w:r>
      <w:bookmarkEnd w:id="770"/>
    </w:p>
    <w:p w14:paraId="3D56F915" w14:textId="4A8C6994" w:rsidR="007E76D2" w:rsidRDefault="007E76D2" w:rsidP="000E2F47">
      <w:r>
        <w:t>La mise en évidence du changement climatique récent subi par la planète depuis plus d’un siècle résulte de travaux de recherche conduits par des scientifiques du monde entier depuis environ cinq décennies. Ces recherches, synthétisées dans les travaux du GIEC (Groupe d’experts Intergouvernemental sur l’</w:t>
      </w:r>
      <w:r w:rsidR="00AF3E7A">
        <w:t>E</w:t>
      </w:r>
      <w:r>
        <w:t xml:space="preserve">volution du </w:t>
      </w:r>
      <w:r w:rsidR="00AF3E7A">
        <w:t>C</w:t>
      </w:r>
      <w:r>
        <w:t xml:space="preserve">limat) depuis la fin des années 1980, ont attiré l’attention des décideurs sur les risques liés aux émissions anthropiques de gaz à effet de serre et sur les trajectoires probables du climat à venir. Le dérèglement climatique, par ses impacts avérés, ou probables, sur l’environnement incluant tous les domaines (l’eau, l’agriculture, la biodiversité, l’océan, l’atmosphère mais aussi la santé, le risque) menace les sociétés et le développement économique et social. </w:t>
      </w:r>
    </w:p>
    <w:p w14:paraId="4C9E77FD" w14:textId="77777777" w:rsidR="007E76D2" w:rsidRDefault="007E76D2" w:rsidP="000E2F47">
      <w:pPr>
        <w:rPr>
          <w:color w:val="000000"/>
          <w:szCs w:val="22"/>
        </w:rPr>
      </w:pPr>
    </w:p>
    <w:p w14:paraId="766E0B2F" w14:textId="77777777" w:rsidR="007E76D2" w:rsidRDefault="007E76D2" w:rsidP="000E2F47">
      <w:r>
        <w:t xml:space="preserve">Conscients que la hausse des températures mesurées est principalement d’origine anthropique, les dirigeants ont initié des politiques de lutte contre le réchauffement de la planète (atténuation des émissions de gaz à effet de serre et adaptation aux changements). L’engagement des pays dans cette lutte s’est formalisé lors de la conférence de Paris sur le climat (COP21) en décembre 2015, où 195 pays ont adopté le tout premier accord planétaire sur le climat. L’accord prévoit de contenir l’augmentation moyenne de la température de l’air nettement en dessous de 2°C par rapport aux niveaux préindustriels et à poursuivre l’action menée pour limiter l’élévation des températures à 1,5°C. </w:t>
      </w:r>
    </w:p>
    <w:p w14:paraId="76B007F3" w14:textId="77777777" w:rsidR="007E76D2" w:rsidRDefault="007E76D2" w:rsidP="000E2F47">
      <w:pPr>
        <w:rPr>
          <w:color w:val="000000"/>
          <w:szCs w:val="22"/>
        </w:rPr>
      </w:pPr>
    </w:p>
    <w:p w14:paraId="5A2DFB79" w14:textId="4702B961" w:rsidR="007E76D2" w:rsidRPr="00AF3E7A" w:rsidRDefault="007E76D2" w:rsidP="000E2F47">
      <w:pPr>
        <w:rPr>
          <w:lang w:eastAsia="ar-SA"/>
        </w:rPr>
      </w:pPr>
      <w:r w:rsidRPr="00AF3E7A">
        <w:t>L’action de la recherche scientifique mondiale a donc été capitale dans le diagnostic et la prise de conscience du dérèglement climatique. Ainsi la prévision du climat, qui requiert d’en comprendre les mécanismes fondamentaux, le rôle joué par les activités humaines, les impacts ainsi que l'atténuation et l'adaptation au changement climatique, sont devenus des priorités de la recherche française. S’agissant de phénomènes globaux, cela implique que la les efforts de recherche sur le climat, ses impacts et les mesures à prendre en conséquence soient mutualisés dans des programmes internationaux. Cette recherche nécessite également la mise en place ou le maintien de systèmes d'observations opérationnels permanents, au-delà de la durée classique des programmes de reche</w:t>
      </w:r>
      <w:r w:rsidR="00E22A6B" w:rsidRPr="00AF3E7A">
        <w:t>rche. La recherche accompagne d</w:t>
      </w:r>
      <w:r w:rsidR="001B49CB">
        <w:t>’</w:t>
      </w:r>
      <w:r w:rsidRPr="00AF3E7A">
        <w:t>avantage aujourd’hui les décideurs dans la définition des politiques publiques de lutte contre le dérèglement climatique, d’atténuation, d’adaptation tout en préservant l’environnement, en proposant des diagnostics ou des solutions innovantes. Dans cette optique, la France a mobilisé et mobilise des moyens significatifs pour soutenir la recherche climatique aux échelles nationale, européenne et internationale.</w:t>
      </w:r>
    </w:p>
    <w:p w14:paraId="31153716" w14:textId="77777777" w:rsidR="007E76D2" w:rsidRDefault="007E76D2" w:rsidP="007E76D2">
      <w:pPr>
        <w:rPr>
          <w:color w:val="000000"/>
          <w:szCs w:val="22"/>
          <w:lang w:eastAsia="ar-SA"/>
        </w:rPr>
      </w:pPr>
    </w:p>
    <w:p w14:paraId="15EF1093" w14:textId="4F144301" w:rsidR="007E76D2" w:rsidRDefault="007E76D2" w:rsidP="00E524AF">
      <w:pPr>
        <w:pStyle w:val="Titre4niveau4"/>
      </w:pPr>
      <w:r w:rsidRPr="00E22CF8">
        <w:rPr>
          <w:rStyle w:val="Strong"/>
          <w:rFonts w:ascii="Times New Roman" w:hAnsi="Times New Roman" w:cs="Times New Roman"/>
          <w:b/>
          <w:bCs/>
          <w:color w:val="000000"/>
          <w:szCs w:val="22"/>
        </w:rPr>
        <w:t>Présentation générale des acteurs de la recherche en France</w:t>
      </w:r>
    </w:p>
    <w:p w14:paraId="0F5B991E" w14:textId="77777777" w:rsidR="007E76D2" w:rsidRDefault="007E76D2" w:rsidP="007E76D2">
      <w:pPr>
        <w:rPr>
          <w:szCs w:val="22"/>
        </w:rPr>
      </w:pPr>
    </w:p>
    <w:p w14:paraId="555E4BC2" w14:textId="099D9420" w:rsidR="007E76D2" w:rsidRDefault="00BC3817" w:rsidP="007E76D2">
      <w:pPr>
        <w:rPr>
          <w:color w:val="000000"/>
          <w:szCs w:val="22"/>
        </w:rPr>
      </w:pPr>
      <w:r w:rsidRPr="00BC3817">
        <w:rPr>
          <w:color w:val="000000"/>
          <w:szCs w:val="22"/>
        </w:rPr>
        <w:t>La France finance des projets de recherche des laboratoires publics ou privés grâce au déploiement de différents dispositifs de soutien. La dépense intérieure de recherche et développement (R&amp;D) en France est de 53,4 Md€ (2019) au total et représente 2,19% du PIB. Au total, avec les chercheurs, enseignants-chercheurs et personnels de soutien, ce sont près de 619 000 personnes qui se consacrent en 2019 à la R&amp;D pour une part de leur activité (soit 441 500 en équivalent temps plein).</w:t>
      </w:r>
    </w:p>
    <w:p w14:paraId="1D8D4086" w14:textId="571A7B6B" w:rsidR="007E76D2" w:rsidRDefault="007E76D2" w:rsidP="00E524AF">
      <w:pPr>
        <w:pStyle w:val="titreencadre"/>
      </w:pPr>
      <w:r>
        <w:t xml:space="preserve">La recherche </w:t>
      </w:r>
      <w:r w:rsidR="00AF3E7A">
        <w:t>scientifique publique française</w:t>
      </w:r>
    </w:p>
    <w:p w14:paraId="40EE0B5C" w14:textId="12AD2BD7" w:rsidR="00AF3E7A" w:rsidRDefault="00BC3817" w:rsidP="00AF3E7A">
      <w:r w:rsidRPr="00BC3817">
        <w:t>La dépense de la recherche scientifique du secteur publique s’est élevé à 20,3 Md€ en 2019</w:t>
      </w:r>
      <w:r w:rsidR="007E76D2">
        <w:t>. Cette recherche publique française, centralisée autour du ministère en charge de la recherche, est principalement réalisée au sein des laboratoires des établissements d'enseignement supérieur (universités, Instituts nationaux polytechniques, écoles normales supérieures et des grands établissements) et des organismes de recherche. Le rapprochement des deux grands types d’établissement se réalise à travers la mise en place d’unités mixtes de recherche (ou unités associées) qui sont des laboratoires dont la tutelle est partagée par un ou plusieurs organismes de recherche ou universités.</w:t>
      </w:r>
    </w:p>
    <w:p w14:paraId="10EC6B88" w14:textId="60E7D602" w:rsidR="007E76D2" w:rsidRDefault="00260E0B" w:rsidP="007E76D2">
      <w:pPr>
        <w:rPr>
          <w:color w:val="000000"/>
          <w:szCs w:val="22"/>
        </w:rPr>
      </w:pPr>
      <w:r>
        <w:rPr>
          <w:color w:val="000000"/>
          <w:szCs w:val="22"/>
        </w:rPr>
        <w:t xml:space="preserve">          </w:t>
      </w:r>
      <w:r>
        <w:rPr>
          <w:szCs w:val="22"/>
        </w:rPr>
        <w:t xml:space="preserve">                                                  </w:t>
      </w:r>
      <w:r>
        <w:rPr>
          <w:color w:val="000000"/>
          <w:szCs w:val="22"/>
        </w:rPr>
        <w:t xml:space="preserve">           </w:t>
      </w:r>
    </w:p>
    <w:p w14:paraId="58E60590" w14:textId="74D1596D" w:rsidR="007E76D2" w:rsidRDefault="007E76D2" w:rsidP="00AF3E7A">
      <w:r>
        <w:t xml:space="preserve">Les principaux organismes de la recherche publique sont représentés par huit établissements publics à caractère scientifique et technologique (EPST) et douze établissements publics à caractère industriel et commercial (EPIC). Placés sous tutelle d’un ou plusieurs ministères, notamment ceux chargés de la recherche, l’environnement, la défense, la santé et l’agriculture, tous assurent une mission de service public et leur principal objectif est de mener des activités de recherche et des actions engagées lors des contrats pluriannuels d’objectifs et de performance signés avec l’État. En exécutant 54% de la recherche publique et près d’un cinquième de la recherche faite sur le territoire national (administrations et entreprises confondues), ce sont des acteurs majeurs de la recherche en France. </w:t>
      </w:r>
      <w:r w:rsidR="00BC3817" w:rsidRPr="00BC3817">
        <w:t>En 2019, la dépense intérieure de recherche et développement des principaux organismes publics de recherche s’est élevé</w:t>
      </w:r>
      <w:r w:rsidR="00BC3817">
        <w:t xml:space="preserve"> à 10,9 milliards d’euros (Md€)</w:t>
      </w:r>
      <w:r>
        <w:t xml:space="preserve">. </w:t>
      </w:r>
    </w:p>
    <w:p w14:paraId="0B705842" w14:textId="77777777" w:rsidR="007E76D2" w:rsidRDefault="007E76D2" w:rsidP="00AF3E7A">
      <w:r>
        <w:t>Les laboratoires de recherche publics sont en partie financés par les crédits budgétaires des universités, des organismes de recherche publics et des agences de financement, dont l'Agence nationale de la recherche (ANR). Ils bénéficient d'autres dotations provenant d’autres agences (par ex l’ADEME), du programme d’Investissement d’avenir (PIA), des régions françaises, des associations caritatives, de l'industrie via les pôles de compétitivité notamment et de l'Europe.</w:t>
      </w:r>
    </w:p>
    <w:p w14:paraId="6FF68183" w14:textId="77777777" w:rsidR="007E76D2" w:rsidRDefault="007E76D2" w:rsidP="007E76D2">
      <w:pPr>
        <w:rPr>
          <w:color w:val="000000"/>
          <w:szCs w:val="22"/>
        </w:rPr>
      </w:pPr>
    </w:p>
    <w:p w14:paraId="72B6E349" w14:textId="174B38CC" w:rsidR="007E76D2" w:rsidRPr="00AF3E7A" w:rsidRDefault="007E76D2" w:rsidP="00E524AF">
      <w:pPr>
        <w:pStyle w:val="titreencadre"/>
      </w:pPr>
      <w:r>
        <w:t xml:space="preserve">La recherche scientifique privée </w:t>
      </w:r>
    </w:p>
    <w:p w14:paraId="6D3A6326" w14:textId="4C3BF8B8" w:rsidR="007E76D2" w:rsidRPr="00AF3E7A" w:rsidRDefault="007E76D2" w:rsidP="00AF3E7A">
      <w:r w:rsidRPr="00AF3E7A">
        <w:t>Les entreprises exécutent 65% des travaux de R&amp;D réalisés sur le territoire national et financent 61% de la dépense nationale de R&amp;D. Les petites et moyennes entreprises (PME) apportent 13</w:t>
      </w:r>
      <w:r w:rsidR="006518EF">
        <w:t>%</w:t>
      </w:r>
      <w:r w:rsidRPr="00AF3E7A">
        <w:t xml:space="preserve"> des dépenses intérieures de R&amp;D, dont plus de la moitié en faveur des activités de services. Les grandes entreprises, à l'origine de 58</w:t>
      </w:r>
      <w:r w:rsidR="006518EF">
        <w:t>%</w:t>
      </w:r>
      <w:r w:rsidRPr="00AF3E7A">
        <w:t xml:space="preserve"> de la dépense intérieure R&amp;D, réalisent les trois-quarts de leur effort en haute et moyenne-haute technologie. </w:t>
      </w:r>
    </w:p>
    <w:p w14:paraId="7089169C" w14:textId="26F7D8F2" w:rsidR="007E76D2" w:rsidRPr="00AF3E7A" w:rsidRDefault="007E76D2" w:rsidP="00AF3E7A">
      <w:pPr>
        <w:rPr>
          <w:sz w:val="21"/>
        </w:rPr>
      </w:pPr>
      <w:r w:rsidRPr="00AF3E7A">
        <w:t>L’état, via l'établissement Bpifrance et le crédit d'impôt recherche, soutient des programmes d'innovation réalisés par les entreprises dont les PME. L'attractivité internationale de la France et l'accueil d'entreprises étrangères contribuent aussi au financement de la recherche industrielle.</w:t>
      </w:r>
    </w:p>
    <w:p w14:paraId="56356192" w14:textId="21856CBB" w:rsidR="007E76D2" w:rsidRDefault="007E76D2" w:rsidP="00E524AF">
      <w:pPr>
        <w:pStyle w:val="Titre4niveau4"/>
      </w:pPr>
      <w:r w:rsidRPr="00E22CF8">
        <w:rPr>
          <w:rStyle w:val="Strong"/>
          <w:rFonts w:ascii="Times New Roman" w:hAnsi="Times New Roman" w:cs="Times New Roman"/>
          <w:b/>
          <w:bCs/>
          <w:color w:val="000000"/>
          <w:szCs w:val="22"/>
        </w:rPr>
        <w:t>Une organisation en réseaux</w:t>
      </w:r>
    </w:p>
    <w:p w14:paraId="4EF8C72A" w14:textId="01FE3BC7" w:rsidR="007E76D2" w:rsidRDefault="007E76D2" w:rsidP="007E76D2">
      <w:pPr>
        <w:rPr>
          <w:rStyle w:val="Strong"/>
          <w:b w:val="0"/>
          <w:bCs w:val="0"/>
          <w:color w:val="000000"/>
          <w:szCs w:val="22"/>
        </w:rPr>
      </w:pPr>
      <w:r>
        <w:rPr>
          <w:rStyle w:val="Strong"/>
          <w:b w:val="0"/>
          <w:bCs w:val="0"/>
          <w:color w:val="000000"/>
          <w:szCs w:val="22"/>
        </w:rPr>
        <w:t>L’État encourage la participation de ses équipes de recherche et de ses dispositifs aux grands réseaux internationaux, européens et nationaux.</w:t>
      </w:r>
    </w:p>
    <w:p w14:paraId="11480555" w14:textId="77777777" w:rsidR="00AF3E15" w:rsidRDefault="00AF3E15" w:rsidP="007E76D2">
      <w:pPr>
        <w:rPr>
          <w:szCs w:val="22"/>
        </w:rPr>
      </w:pPr>
    </w:p>
    <w:p w14:paraId="6FB38A61" w14:textId="2342FED7" w:rsidR="007E76D2" w:rsidRPr="00AF3E7A" w:rsidRDefault="007E76D2" w:rsidP="00E524AF">
      <w:pPr>
        <w:pStyle w:val="titreencadre"/>
      </w:pPr>
      <w:r>
        <w:t xml:space="preserve">Niveau international </w:t>
      </w:r>
    </w:p>
    <w:p w14:paraId="55D09496" w14:textId="39AD524A" w:rsidR="007E76D2" w:rsidRDefault="007E76D2" w:rsidP="00AF3E15">
      <w:pPr>
        <w:rPr>
          <w:rStyle w:val="Strong"/>
          <w:b w:val="0"/>
          <w:bCs w:val="0"/>
          <w:color w:val="000000"/>
          <w:szCs w:val="22"/>
        </w:rPr>
      </w:pPr>
      <w:r>
        <w:rPr>
          <w:rStyle w:val="Strong"/>
          <w:b w:val="0"/>
          <w:bCs w:val="0"/>
          <w:color w:val="000000"/>
          <w:szCs w:val="22"/>
        </w:rPr>
        <w:t xml:space="preserve">A l’échelle internationale, les équipes françaises sont fortement impliquées dans les travaux du GIEC (Groupe d'experts intergouvernemental sur l'évolution du climat ou Intergovernmental Panel on Climate Change, IPCC) et de la Plateforme intergouvernementale sur la biodiversité et les services écosystémique (Intergovernmental Science-Policy Platform on Biodiversity and Ecosystem Services, IPBES). </w:t>
      </w:r>
      <w:r w:rsidR="004077DC">
        <w:rPr>
          <w:rStyle w:val="Strong"/>
          <w:b w:val="0"/>
          <w:bCs w:val="0"/>
          <w:color w:val="000000"/>
          <w:szCs w:val="22"/>
        </w:rPr>
        <w:t>D</w:t>
      </w:r>
      <w:r w:rsidR="004077DC" w:rsidRPr="004D4F6F">
        <w:rPr>
          <w:rStyle w:val="Strong"/>
          <w:b w:val="0"/>
          <w:bCs w:val="0"/>
          <w:color w:val="000000"/>
          <w:szCs w:val="22"/>
        </w:rPr>
        <w:t>epuis 2016</w:t>
      </w:r>
      <w:r w:rsidR="004077DC">
        <w:rPr>
          <w:rStyle w:val="Strong"/>
          <w:b w:val="0"/>
          <w:bCs w:val="0"/>
          <w:color w:val="000000"/>
          <w:szCs w:val="22"/>
        </w:rPr>
        <w:t>, grâce à un cofinancement de plusieurs ministères du gouvernement, la France accueille</w:t>
      </w:r>
      <w:r w:rsidR="004077DC" w:rsidRPr="004D4F6F">
        <w:rPr>
          <w:rStyle w:val="Strong"/>
          <w:b w:val="0"/>
          <w:bCs w:val="0"/>
          <w:color w:val="000000"/>
          <w:szCs w:val="22"/>
        </w:rPr>
        <w:t xml:space="preserve"> la Technical Support Unit (TSU) du Groupe de Travail 1.</w:t>
      </w:r>
    </w:p>
    <w:p w14:paraId="3DE12751" w14:textId="77777777" w:rsidR="007E76D2" w:rsidRDefault="007E76D2" w:rsidP="007E76D2">
      <w:pPr>
        <w:rPr>
          <w:szCs w:val="22"/>
        </w:rPr>
      </w:pPr>
      <w:r>
        <w:rPr>
          <w:rStyle w:val="Strong"/>
          <w:b w:val="0"/>
          <w:bCs w:val="0"/>
          <w:color w:val="000000"/>
          <w:szCs w:val="22"/>
        </w:rPr>
        <w:t xml:space="preserve">En plus de soutenir ces plateformes d’experts, le Ministère en charge de la recherche soutient les grands programmes internationaux comme Future Earth, lancé en 2015 et qui rassemble trois grands programmes internationaux (DIVERSITAS, the International Geosphere-Biosphere Programme (IGBP), the International Human Dimensions Programme (IHDP)) en partenariat avec le World Climate Research Programme (WCRP). </w:t>
      </w:r>
    </w:p>
    <w:p w14:paraId="01AE2CB1" w14:textId="77777777" w:rsidR="007E76D2" w:rsidRDefault="007E76D2" w:rsidP="007E76D2">
      <w:pPr>
        <w:rPr>
          <w:szCs w:val="22"/>
        </w:rPr>
      </w:pPr>
    </w:p>
    <w:p w14:paraId="11F522BF" w14:textId="77777777" w:rsidR="007E76D2" w:rsidRDefault="007E76D2" w:rsidP="00E524AF">
      <w:pPr>
        <w:pStyle w:val="titreencadre"/>
        <w:rPr>
          <w:rStyle w:val="Strong"/>
          <w:b/>
          <w:bCs w:val="0"/>
          <w:color w:val="000000"/>
          <w:sz w:val="22"/>
          <w:szCs w:val="22"/>
        </w:rPr>
      </w:pPr>
      <w:r>
        <w:rPr>
          <w:rStyle w:val="Strong"/>
          <w:b/>
          <w:color w:val="000000"/>
          <w:sz w:val="22"/>
          <w:szCs w:val="22"/>
        </w:rPr>
        <w:t>Niveau européen</w:t>
      </w:r>
    </w:p>
    <w:p w14:paraId="0442C5D2" w14:textId="77777777" w:rsidR="007E76D2" w:rsidRDefault="007E76D2" w:rsidP="007E76D2">
      <w:pPr>
        <w:rPr>
          <w:rStyle w:val="Strong"/>
          <w:b w:val="0"/>
          <w:bCs w:val="0"/>
          <w:color w:val="000000"/>
          <w:szCs w:val="22"/>
        </w:rPr>
      </w:pPr>
      <w:r>
        <w:rPr>
          <w:rStyle w:val="Strong"/>
          <w:b w:val="0"/>
          <w:bCs w:val="0"/>
          <w:color w:val="000000"/>
          <w:szCs w:val="22"/>
        </w:rPr>
        <w:t>A l’échelle européenne, le ministère en charge de la recherche soutient pleinement les dix Initiatives de Programmation Conjointes</w:t>
      </w:r>
      <w:r>
        <w:rPr>
          <w:rStyle w:val="Caractresdenotedebasdepage"/>
          <w:color w:val="000000"/>
          <w:szCs w:val="22"/>
        </w:rPr>
        <w:footnoteReference w:id="75"/>
      </w:r>
      <w:r>
        <w:rPr>
          <w:rStyle w:val="Strong"/>
          <w:b w:val="0"/>
          <w:bCs w:val="0"/>
          <w:color w:val="000000"/>
          <w:szCs w:val="22"/>
        </w:rPr>
        <w:t xml:space="preserve"> (IPC ou Joint programming Initiative (JPI)).</w:t>
      </w:r>
      <w:r>
        <w:rPr>
          <w:szCs w:val="22"/>
        </w:rPr>
        <w:t xml:space="preserve"> </w:t>
      </w:r>
      <w:r>
        <w:rPr>
          <w:rStyle w:val="Strong"/>
          <w:b w:val="0"/>
          <w:bCs w:val="0"/>
          <w:color w:val="000000"/>
          <w:szCs w:val="22"/>
        </w:rPr>
        <w:t>Chaque</w:t>
      </w:r>
      <w:r>
        <w:rPr>
          <w:rStyle w:val="Strong"/>
          <w:rFonts w:ascii="Arial" w:hAnsi="Arial" w:cs="Arial"/>
          <w:b w:val="0"/>
          <w:bCs w:val="0"/>
          <w:color w:val="000000"/>
          <w:szCs w:val="22"/>
        </w:rPr>
        <w:t xml:space="preserve"> IPC développe des </w:t>
      </w:r>
      <w:r>
        <w:rPr>
          <w:rStyle w:val="Strong"/>
          <w:b w:val="0"/>
          <w:bCs w:val="0"/>
          <w:color w:val="000000"/>
          <w:szCs w:val="22"/>
        </w:rPr>
        <w:t>activités communes dans le but de coordonner la recherche européenne et utilise en particulier les instruments européens de financements trans-nationaux, tels que des ERA-NET co-funds. Les Etats engagés dans les IPC sont appelés à développer une vision commune sur la manière dont la coopération et la coordination dans le domaine de la recherche, peuvent permettre de relever les défis communs et cartographier les travaux de recherche menés, les ressources, les domaines et activités qui pourraient profiter d'une coordination ou d'activités conjointes.</w:t>
      </w:r>
    </w:p>
    <w:p w14:paraId="56F0D4CD" w14:textId="77777777" w:rsidR="00BC3817" w:rsidRDefault="007E76D2" w:rsidP="007E76D2">
      <w:pPr>
        <w:rPr>
          <w:rStyle w:val="Strong"/>
          <w:b w:val="0"/>
          <w:bCs w:val="0"/>
          <w:color w:val="000000"/>
          <w:szCs w:val="22"/>
        </w:rPr>
      </w:pPr>
      <w:r>
        <w:rPr>
          <w:rStyle w:val="Strong"/>
          <w:b w:val="0"/>
          <w:bCs w:val="0"/>
          <w:color w:val="000000"/>
          <w:szCs w:val="22"/>
        </w:rPr>
        <w:t>Le ministère en charge de la recherche soutient aussi les initiatives du type Article 185 comme l’initiative PRIMA qui se met en place sur la Méditerranée.</w:t>
      </w:r>
    </w:p>
    <w:p w14:paraId="06DB4F93" w14:textId="77777777" w:rsidR="00BC3817" w:rsidRPr="00BC3817" w:rsidRDefault="00BC3817" w:rsidP="00BC3817">
      <w:pPr>
        <w:rPr>
          <w:rStyle w:val="Strong"/>
          <w:b w:val="0"/>
          <w:bCs w:val="0"/>
          <w:color w:val="000000"/>
          <w:szCs w:val="22"/>
        </w:rPr>
      </w:pPr>
      <w:r w:rsidRPr="00BC3817">
        <w:rPr>
          <w:rStyle w:val="Strong"/>
          <w:b w:val="0"/>
          <w:bCs w:val="0"/>
          <w:color w:val="000000"/>
          <w:szCs w:val="22"/>
        </w:rPr>
        <w:t>Avec Horizon Europe, la réponse aux grands défis globaux fait l’objet d’une nouvelle approche qui se concrétise par la définition de 5 missions :</w:t>
      </w:r>
    </w:p>
    <w:p w14:paraId="2688711A" w14:textId="319CFE40" w:rsidR="00BC3817" w:rsidRPr="00BC3817" w:rsidRDefault="00BC3817" w:rsidP="00BE086C">
      <w:pPr>
        <w:pStyle w:val="ListParagraph"/>
        <w:numPr>
          <w:ilvl w:val="0"/>
          <w:numId w:val="48"/>
        </w:numPr>
        <w:rPr>
          <w:rStyle w:val="Strong"/>
          <w:b w:val="0"/>
          <w:bCs w:val="0"/>
          <w:color w:val="000000"/>
          <w:szCs w:val="22"/>
        </w:rPr>
      </w:pPr>
      <w:r w:rsidRPr="00BC3817">
        <w:rPr>
          <w:rStyle w:val="Strong"/>
          <w:b w:val="0"/>
          <w:bCs w:val="0"/>
          <w:color w:val="000000"/>
          <w:szCs w:val="22"/>
        </w:rPr>
        <w:t>Adap</w:t>
      </w:r>
      <w:r w:rsidR="00306681">
        <w:rPr>
          <w:rStyle w:val="Strong"/>
          <w:b w:val="0"/>
          <w:bCs w:val="0"/>
          <w:color w:val="000000"/>
          <w:szCs w:val="22"/>
        </w:rPr>
        <w:t>ta</w:t>
      </w:r>
      <w:r w:rsidRPr="00BC3817">
        <w:rPr>
          <w:rStyle w:val="Strong"/>
          <w:b w:val="0"/>
          <w:bCs w:val="0"/>
          <w:color w:val="000000"/>
          <w:szCs w:val="22"/>
        </w:rPr>
        <w:t>tion au changement climatique</w:t>
      </w:r>
    </w:p>
    <w:p w14:paraId="5B67BCD9" w14:textId="49D45132" w:rsidR="00BC3817" w:rsidRPr="00BC3817" w:rsidRDefault="00BC3817" w:rsidP="00BE086C">
      <w:pPr>
        <w:pStyle w:val="ListParagraph"/>
        <w:numPr>
          <w:ilvl w:val="0"/>
          <w:numId w:val="48"/>
        </w:numPr>
        <w:rPr>
          <w:rStyle w:val="Strong"/>
          <w:b w:val="0"/>
          <w:bCs w:val="0"/>
          <w:color w:val="000000"/>
          <w:szCs w:val="22"/>
        </w:rPr>
      </w:pPr>
      <w:r w:rsidRPr="00BC3817">
        <w:rPr>
          <w:rStyle w:val="Strong"/>
          <w:b w:val="0"/>
          <w:bCs w:val="0"/>
          <w:color w:val="000000"/>
          <w:szCs w:val="22"/>
        </w:rPr>
        <w:t>Vaincre le cancer</w:t>
      </w:r>
    </w:p>
    <w:p w14:paraId="35C4B8D5" w14:textId="7320B04F" w:rsidR="00BC3817" w:rsidRPr="00BC3817" w:rsidRDefault="00BC3817" w:rsidP="00BE086C">
      <w:pPr>
        <w:pStyle w:val="ListParagraph"/>
        <w:numPr>
          <w:ilvl w:val="0"/>
          <w:numId w:val="48"/>
        </w:numPr>
        <w:rPr>
          <w:rStyle w:val="Strong"/>
          <w:b w:val="0"/>
          <w:bCs w:val="0"/>
          <w:color w:val="000000"/>
          <w:szCs w:val="22"/>
        </w:rPr>
      </w:pPr>
      <w:r w:rsidRPr="00BC3817">
        <w:rPr>
          <w:rStyle w:val="Strong"/>
          <w:b w:val="0"/>
          <w:bCs w:val="0"/>
          <w:color w:val="000000"/>
          <w:szCs w:val="22"/>
        </w:rPr>
        <w:t>Régénérer nos océans et nos eaux</w:t>
      </w:r>
    </w:p>
    <w:p w14:paraId="56F3A1B6" w14:textId="670C666A" w:rsidR="00BC3817" w:rsidRPr="00BC3817" w:rsidRDefault="00BC3817" w:rsidP="00BE086C">
      <w:pPr>
        <w:pStyle w:val="ListParagraph"/>
        <w:numPr>
          <w:ilvl w:val="0"/>
          <w:numId w:val="48"/>
        </w:numPr>
        <w:rPr>
          <w:rStyle w:val="Strong"/>
          <w:b w:val="0"/>
          <w:bCs w:val="0"/>
          <w:color w:val="000000"/>
          <w:szCs w:val="22"/>
        </w:rPr>
      </w:pPr>
      <w:r w:rsidRPr="00BC3817">
        <w:rPr>
          <w:rStyle w:val="Strong"/>
          <w:b w:val="0"/>
          <w:bCs w:val="0"/>
          <w:color w:val="000000"/>
          <w:szCs w:val="22"/>
        </w:rPr>
        <w:t>Villes intelligentes et neutres en carbone</w:t>
      </w:r>
    </w:p>
    <w:p w14:paraId="5B8FB741" w14:textId="436A46CE" w:rsidR="00BC3817" w:rsidRPr="00BC3817" w:rsidRDefault="00BC3817" w:rsidP="00BE086C">
      <w:pPr>
        <w:pStyle w:val="ListParagraph"/>
        <w:numPr>
          <w:ilvl w:val="0"/>
          <w:numId w:val="48"/>
        </w:numPr>
        <w:rPr>
          <w:rStyle w:val="Strong"/>
          <w:b w:val="0"/>
          <w:bCs w:val="0"/>
          <w:color w:val="000000"/>
          <w:szCs w:val="22"/>
        </w:rPr>
      </w:pPr>
      <w:r w:rsidRPr="00BC3817">
        <w:rPr>
          <w:rStyle w:val="Strong"/>
          <w:b w:val="0"/>
          <w:bCs w:val="0"/>
          <w:color w:val="000000"/>
          <w:szCs w:val="22"/>
        </w:rPr>
        <w:t>Santé des sols et alimentation</w:t>
      </w:r>
    </w:p>
    <w:p w14:paraId="10ABB7E6" w14:textId="33762749" w:rsidR="007E76D2" w:rsidRDefault="00BC3817" w:rsidP="00BC3817">
      <w:pPr>
        <w:rPr>
          <w:rStyle w:val="Strong"/>
          <w:b w:val="0"/>
          <w:bCs w:val="0"/>
          <w:color w:val="000000"/>
          <w:szCs w:val="22"/>
        </w:rPr>
      </w:pPr>
      <w:r w:rsidRPr="00BC3817">
        <w:rPr>
          <w:rStyle w:val="Strong"/>
          <w:b w:val="0"/>
          <w:bCs w:val="0"/>
          <w:color w:val="000000"/>
          <w:szCs w:val="22"/>
        </w:rPr>
        <w:t>La France soutient pleinement le déploiement de ses missions qui ont vocation à influer sur la programmation européenne</w:t>
      </w:r>
      <w:r w:rsidR="007E76D2">
        <w:rPr>
          <w:rStyle w:val="Strong"/>
          <w:b w:val="0"/>
          <w:bCs w:val="0"/>
          <w:color w:val="000000"/>
          <w:szCs w:val="22"/>
        </w:rPr>
        <w:t xml:space="preserve"> </w:t>
      </w:r>
    </w:p>
    <w:p w14:paraId="26BAA548" w14:textId="77777777" w:rsidR="007E76D2" w:rsidRDefault="007E76D2" w:rsidP="007E76D2">
      <w:pPr>
        <w:rPr>
          <w:szCs w:val="22"/>
        </w:rPr>
      </w:pPr>
      <w:r>
        <w:rPr>
          <w:rStyle w:val="Strong"/>
          <w:b w:val="0"/>
          <w:bCs w:val="0"/>
          <w:color w:val="000000"/>
          <w:szCs w:val="22"/>
        </w:rPr>
        <w:t xml:space="preserve">La France joue enfin un rôle moteur dans le développement du grand programme Copernicus qui a pour objectif de rassembler l'ensemble des données obtenues à partir de satellites environnementaux et d'instruments de mesure sur site, afin de produire une vue globale et complète de l'état de notre planète. </w:t>
      </w:r>
    </w:p>
    <w:p w14:paraId="616393DF" w14:textId="77777777" w:rsidR="007E76D2" w:rsidRDefault="007E76D2" w:rsidP="007E76D2">
      <w:pPr>
        <w:ind w:left="567"/>
        <w:rPr>
          <w:szCs w:val="22"/>
        </w:rPr>
      </w:pPr>
    </w:p>
    <w:p w14:paraId="012597BC" w14:textId="35DF3B97" w:rsidR="007E76D2" w:rsidRPr="00AF3E15" w:rsidRDefault="007E76D2" w:rsidP="00E524AF">
      <w:pPr>
        <w:pStyle w:val="titreencadre"/>
      </w:pPr>
      <w:r>
        <w:t>Alliances nationales de recherche en France</w:t>
      </w:r>
    </w:p>
    <w:p w14:paraId="1A3AA98B" w14:textId="77777777" w:rsidR="007E76D2" w:rsidRDefault="007E76D2" w:rsidP="007E76D2">
      <w:pPr>
        <w:rPr>
          <w:color w:val="000000"/>
          <w:szCs w:val="22"/>
        </w:rPr>
      </w:pPr>
      <w:r>
        <w:rPr>
          <w:color w:val="000000"/>
          <w:szCs w:val="22"/>
        </w:rPr>
        <w:t>Dans cinq domaines clés, les alliances nationales de recherche permettent de rapprocher les différents acteurs de la recherche pour décloisonner et renforcer la coordination des programmes scientifiques en France. Les alliances ne constituent pas une nouvelle organisation de la recherche, mais visent, au sein de l’organisation existante, à mieux coordonner les actions et les programmes des forces de recherche, en pavant les champs de recherche dont les enjeux sociétaux sont déterminants pour le siècle à venir.</w:t>
      </w:r>
    </w:p>
    <w:p w14:paraId="5786ED59" w14:textId="77777777" w:rsidR="007E76D2" w:rsidRDefault="007E76D2" w:rsidP="007E76D2">
      <w:pPr>
        <w:rPr>
          <w:color w:val="000000"/>
          <w:szCs w:val="22"/>
        </w:rPr>
      </w:pPr>
      <w:r>
        <w:rPr>
          <w:color w:val="000000"/>
          <w:szCs w:val="22"/>
        </w:rPr>
        <w:t>Ces alliances de recherche ont été créées en 2009 et 2010 :</w:t>
      </w:r>
    </w:p>
    <w:p w14:paraId="6E4C48FB" w14:textId="77777777" w:rsidR="007E76D2" w:rsidRDefault="007E76D2" w:rsidP="003F57EA">
      <w:pPr>
        <w:numPr>
          <w:ilvl w:val="1"/>
          <w:numId w:val="65"/>
        </w:numPr>
        <w:suppressAutoHyphens/>
        <w:rPr>
          <w:color w:val="000000"/>
          <w:szCs w:val="22"/>
        </w:rPr>
      </w:pPr>
      <w:r>
        <w:rPr>
          <w:color w:val="000000"/>
          <w:szCs w:val="22"/>
        </w:rPr>
        <w:t>Aviesan : Alliance pour la santé, créée en mai 2009</w:t>
      </w:r>
    </w:p>
    <w:p w14:paraId="7F98BF03" w14:textId="77777777" w:rsidR="007E76D2" w:rsidRDefault="007E76D2" w:rsidP="003F57EA">
      <w:pPr>
        <w:numPr>
          <w:ilvl w:val="1"/>
          <w:numId w:val="65"/>
        </w:numPr>
        <w:suppressAutoHyphens/>
        <w:rPr>
          <w:color w:val="000000"/>
          <w:szCs w:val="22"/>
        </w:rPr>
      </w:pPr>
      <w:r>
        <w:rPr>
          <w:color w:val="000000"/>
          <w:szCs w:val="22"/>
        </w:rPr>
        <w:t>Ancre : Alliance pour l’énergie, créée en septembre 2009</w:t>
      </w:r>
    </w:p>
    <w:p w14:paraId="21E4E3C8" w14:textId="77777777" w:rsidR="007E76D2" w:rsidRDefault="007E76D2" w:rsidP="003F57EA">
      <w:pPr>
        <w:numPr>
          <w:ilvl w:val="1"/>
          <w:numId w:val="65"/>
        </w:numPr>
        <w:suppressAutoHyphens/>
        <w:rPr>
          <w:color w:val="000000"/>
          <w:szCs w:val="22"/>
        </w:rPr>
      </w:pPr>
      <w:r>
        <w:rPr>
          <w:color w:val="000000"/>
          <w:szCs w:val="22"/>
        </w:rPr>
        <w:t>Allistène :Alliance pour les sciences du numérique, créée en décembre 2009</w:t>
      </w:r>
    </w:p>
    <w:p w14:paraId="650335B6" w14:textId="77777777" w:rsidR="007E76D2" w:rsidRDefault="007E76D2" w:rsidP="003F57EA">
      <w:pPr>
        <w:numPr>
          <w:ilvl w:val="1"/>
          <w:numId w:val="65"/>
        </w:numPr>
        <w:suppressAutoHyphens/>
        <w:rPr>
          <w:color w:val="000000"/>
          <w:szCs w:val="22"/>
        </w:rPr>
      </w:pPr>
      <w:r>
        <w:rPr>
          <w:color w:val="000000"/>
          <w:szCs w:val="22"/>
        </w:rPr>
        <w:t>AllEnvi : Alliance pour l’environnement, créée en février 2010</w:t>
      </w:r>
    </w:p>
    <w:p w14:paraId="473080F3" w14:textId="77777777" w:rsidR="007E76D2" w:rsidRDefault="007E76D2" w:rsidP="003F57EA">
      <w:pPr>
        <w:numPr>
          <w:ilvl w:val="1"/>
          <w:numId w:val="65"/>
        </w:numPr>
        <w:suppressAutoHyphens/>
        <w:rPr>
          <w:color w:val="000000"/>
          <w:szCs w:val="22"/>
        </w:rPr>
      </w:pPr>
      <w:r>
        <w:rPr>
          <w:color w:val="000000"/>
          <w:szCs w:val="22"/>
        </w:rPr>
        <w:t>Athéna : Alliance pour les sciences humaines et sociales, créée en juin 2010</w:t>
      </w:r>
    </w:p>
    <w:p w14:paraId="2ACFD175" w14:textId="77777777" w:rsidR="007E76D2" w:rsidRDefault="007E76D2" w:rsidP="007E76D2">
      <w:pPr>
        <w:rPr>
          <w:color w:val="000000"/>
          <w:szCs w:val="22"/>
        </w:rPr>
      </w:pPr>
    </w:p>
    <w:p w14:paraId="6C174EF7" w14:textId="1B9B2700" w:rsidR="007E76D2" w:rsidRPr="00AF3E15" w:rsidRDefault="007E76D2" w:rsidP="00E524AF">
      <w:pPr>
        <w:pStyle w:val="titreencadre"/>
      </w:pPr>
      <w:r>
        <w:t xml:space="preserve">Les Commissions Spécialisées inter-organismes </w:t>
      </w:r>
    </w:p>
    <w:p w14:paraId="553D4447" w14:textId="77777777" w:rsidR="007E76D2" w:rsidRDefault="007E76D2" w:rsidP="007E76D2">
      <w:pPr>
        <w:rPr>
          <w:color w:val="000000"/>
          <w:szCs w:val="22"/>
        </w:rPr>
      </w:pPr>
      <w:r>
        <w:rPr>
          <w:color w:val="000000"/>
          <w:szCs w:val="22"/>
        </w:rPr>
        <w:t>Dans le domaine des sciences du système-Terre, deux commissions spécialisées nationales entre organismes publiques de recherche existent sous la coordination de l’Institut national des Sciences de l’Univers (INSU) du Centre National de la recherche scientifique (CNRS) :</w:t>
      </w:r>
    </w:p>
    <w:p w14:paraId="2A714869" w14:textId="77777777" w:rsidR="007E76D2" w:rsidRDefault="007E76D2" w:rsidP="003F57EA">
      <w:pPr>
        <w:numPr>
          <w:ilvl w:val="1"/>
          <w:numId w:val="65"/>
        </w:numPr>
        <w:suppressAutoHyphens/>
        <w:rPr>
          <w:color w:val="000000"/>
          <w:szCs w:val="22"/>
        </w:rPr>
      </w:pPr>
      <w:r>
        <w:rPr>
          <w:color w:val="000000"/>
          <w:szCs w:val="22"/>
        </w:rPr>
        <w:t>CSOA pour le domaine Océan-Atmosphère,</w:t>
      </w:r>
    </w:p>
    <w:p w14:paraId="56F3BE35" w14:textId="77777777" w:rsidR="007E76D2" w:rsidRDefault="007E76D2" w:rsidP="003F57EA">
      <w:pPr>
        <w:numPr>
          <w:ilvl w:val="1"/>
          <w:numId w:val="65"/>
        </w:numPr>
        <w:suppressAutoHyphens/>
        <w:rPr>
          <w:rFonts w:ascii="Arial" w:hAnsi="Arial" w:cs="Arial"/>
          <w:color w:val="000000"/>
          <w:szCs w:val="22"/>
        </w:rPr>
      </w:pPr>
      <w:r>
        <w:rPr>
          <w:color w:val="000000"/>
          <w:szCs w:val="22"/>
        </w:rPr>
        <w:t>CSSIC pour le domaine Surfaces et Interfaces Continentales.</w:t>
      </w:r>
    </w:p>
    <w:p w14:paraId="5FD4DDD4" w14:textId="77777777" w:rsidR="007E76D2" w:rsidRDefault="007E76D2" w:rsidP="007E76D2">
      <w:pPr>
        <w:ind w:left="1440"/>
        <w:rPr>
          <w:rFonts w:ascii="Arial" w:hAnsi="Arial" w:cs="Arial"/>
          <w:color w:val="000000"/>
          <w:szCs w:val="22"/>
        </w:rPr>
      </w:pPr>
    </w:p>
    <w:p w14:paraId="044F0169" w14:textId="77777777" w:rsidR="007E76D2" w:rsidRDefault="007E76D2" w:rsidP="007E76D2">
      <w:pPr>
        <w:ind w:left="1440"/>
        <w:rPr>
          <w:rFonts w:ascii="Arial" w:hAnsi="Arial" w:cs="Arial"/>
          <w:color w:val="000000"/>
          <w:szCs w:val="22"/>
        </w:rPr>
      </w:pPr>
    </w:p>
    <w:p w14:paraId="2025538B" w14:textId="53C149AF" w:rsidR="007E76D2" w:rsidRPr="00AF3E15" w:rsidRDefault="007E76D2" w:rsidP="00E524AF">
      <w:pPr>
        <w:pStyle w:val="Titre4niveau4"/>
      </w:pPr>
      <w:bookmarkStart w:id="771" w:name="_Ref121997625"/>
      <w:r w:rsidRPr="00E22CF8">
        <w:rPr>
          <w:rStyle w:val="Strong"/>
          <w:rFonts w:ascii="Times New Roman" w:hAnsi="Times New Roman" w:cs="Times New Roman"/>
          <w:b/>
          <w:bCs/>
          <w:color w:val="000000"/>
          <w:szCs w:val="22"/>
        </w:rPr>
        <w:t>La Stratégie Nationale de Recherche 2015-2020 (SNR)</w:t>
      </w:r>
      <w:r>
        <w:rPr>
          <w:rStyle w:val="Caractresdenotedebasdepage"/>
          <w:rFonts w:ascii="Times New Roman" w:hAnsi="Times New Roman" w:cs="Times New Roman"/>
          <w:color w:val="000000"/>
          <w:szCs w:val="22"/>
        </w:rPr>
        <w:footnoteReference w:id="76"/>
      </w:r>
      <w:bookmarkEnd w:id="771"/>
    </w:p>
    <w:p w14:paraId="5302B005" w14:textId="77777777" w:rsidR="007E76D2" w:rsidRDefault="007E76D2" w:rsidP="007E76D2">
      <w:pPr>
        <w:rPr>
          <w:color w:val="000000"/>
          <w:szCs w:val="22"/>
        </w:rPr>
      </w:pPr>
      <w:r>
        <w:rPr>
          <w:color w:val="000000"/>
          <w:szCs w:val="22"/>
        </w:rPr>
        <w:t>Décidée par la loi pour l’enseignement supérieur et la recherche du 22 juillet 2013, une stratégie nationale de recherche (SNR), comportant une programmation pluriannuelle des moyens, a été élaborée sous la coordination du ministre chargé de la recherche en concertation avec la société civile. Cette stratégie vise à répondre aux défis scientifiques, technologiques, environnementaux et sociétaux en maintenant une recherche fondamentale de haut niveau. La SNR comprend la valorisation des résultats de la recherche au service de la société. A cet effet, elle veille au développement de l'innovation, du transfert de technologie, de la capacité d'expertise et d'appui aux politiques publiques et aux associations et fondations, reconnues d'utilité publique. La culture scientifique, technique et industrielle fait partie de la stratégie nationale de recherche et est prise en compte dans sa mise en œuvre.</w:t>
      </w:r>
    </w:p>
    <w:p w14:paraId="29279652" w14:textId="77777777" w:rsidR="007E76D2" w:rsidRDefault="007E76D2" w:rsidP="007E76D2">
      <w:pPr>
        <w:rPr>
          <w:color w:val="000000"/>
          <w:szCs w:val="22"/>
        </w:rPr>
      </w:pPr>
    </w:p>
    <w:p w14:paraId="6EBE8DD8" w14:textId="77777777" w:rsidR="007E76D2" w:rsidRDefault="007E76D2" w:rsidP="007E76D2">
      <w:pPr>
        <w:rPr>
          <w:rFonts w:ascii="Arial" w:hAnsi="Arial" w:cs="Arial"/>
          <w:color w:val="000000"/>
          <w:szCs w:val="22"/>
        </w:rPr>
      </w:pPr>
      <w:r>
        <w:rPr>
          <w:color w:val="000000"/>
          <w:szCs w:val="22"/>
        </w:rPr>
        <w:t>La SNR qui a vocation à être révisée tous les 5 ans se décline et est mise en œuvre par l’intermédiaire de contrats pluriannuels conclus avec les organismes de recherche et les établissements d’enseignement supérieur, la programmation de l’ANR et les autres financements publics de la recherche.</w:t>
      </w:r>
    </w:p>
    <w:p w14:paraId="1F54914E" w14:textId="77777777" w:rsidR="007E76D2" w:rsidRDefault="007E76D2" w:rsidP="007E76D2">
      <w:pPr>
        <w:rPr>
          <w:rFonts w:ascii="Arial" w:hAnsi="Arial" w:cs="Arial"/>
          <w:color w:val="000000"/>
          <w:szCs w:val="22"/>
        </w:rPr>
      </w:pPr>
    </w:p>
    <w:p w14:paraId="4B3235F5" w14:textId="74B5AFF3" w:rsidR="007E76D2" w:rsidRPr="00AF3E15" w:rsidRDefault="007E76D2" w:rsidP="00E524AF">
      <w:pPr>
        <w:pStyle w:val="titreencadre"/>
      </w:pPr>
      <w:r>
        <w:t>Défis sociétaux de la SNR</w:t>
      </w:r>
    </w:p>
    <w:p w14:paraId="604CC481" w14:textId="232BAE09" w:rsidR="007E76D2" w:rsidRDefault="007E76D2" w:rsidP="007E76D2">
      <w:pPr>
        <w:rPr>
          <w:color w:val="000000"/>
          <w:szCs w:val="22"/>
        </w:rPr>
      </w:pPr>
      <w:r>
        <w:rPr>
          <w:color w:val="000000"/>
          <w:szCs w:val="22"/>
        </w:rPr>
        <w:t>En phase avec l’Agenda stratégique de la recherche et de l’innovation France Europe 2020, la SNR définit les grandes priorités de la</w:t>
      </w:r>
      <w:r w:rsidR="00AF3E15">
        <w:rPr>
          <w:color w:val="000000"/>
          <w:szCs w:val="22"/>
        </w:rPr>
        <w:t xml:space="preserve"> recherche française autour de </w:t>
      </w:r>
      <w:r>
        <w:rPr>
          <w:color w:val="000000"/>
          <w:szCs w:val="22"/>
        </w:rPr>
        <w:t>dix grands défis :</w:t>
      </w:r>
    </w:p>
    <w:p w14:paraId="7C1B7428" w14:textId="77777777" w:rsidR="007E76D2" w:rsidRDefault="007E76D2" w:rsidP="003F57EA">
      <w:pPr>
        <w:numPr>
          <w:ilvl w:val="1"/>
          <w:numId w:val="65"/>
        </w:numPr>
        <w:suppressAutoHyphens/>
        <w:rPr>
          <w:color w:val="000000"/>
          <w:szCs w:val="22"/>
        </w:rPr>
      </w:pPr>
      <w:r>
        <w:rPr>
          <w:color w:val="000000"/>
          <w:szCs w:val="22"/>
        </w:rPr>
        <w:t xml:space="preserve">Défi 1 : Gestion sobre des ressources et adaptation au changement climatique </w:t>
      </w:r>
    </w:p>
    <w:p w14:paraId="444426EE" w14:textId="77777777" w:rsidR="007E76D2" w:rsidRDefault="007E76D2" w:rsidP="003F57EA">
      <w:pPr>
        <w:numPr>
          <w:ilvl w:val="1"/>
          <w:numId w:val="65"/>
        </w:numPr>
        <w:suppressAutoHyphens/>
        <w:rPr>
          <w:color w:val="000000"/>
          <w:szCs w:val="22"/>
        </w:rPr>
      </w:pPr>
      <w:r>
        <w:rPr>
          <w:color w:val="000000"/>
          <w:szCs w:val="22"/>
        </w:rPr>
        <w:t xml:space="preserve">Défi 2 : Une énergie propre, sûre et efficace </w:t>
      </w:r>
    </w:p>
    <w:p w14:paraId="059650CE" w14:textId="77777777" w:rsidR="007E76D2" w:rsidRDefault="007E76D2" w:rsidP="003F57EA">
      <w:pPr>
        <w:numPr>
          <w:ilvl w:val="1"/>
          <w:numId w:val="65"/>
        </w:numPr>
        <w:suppressAutoHyphens/>
        <w:rPr>
          <w:color w:val="000000"/>
          <w:szCs w:val="22"/>
        </w:rPr>
      </w:pPr>
      <w:r>
        <w:rPr>
          <w:color w:val="000000"/>
          <w:szCs w:val="22"/>
        </w:rPr>
        <w:t xml:space="preserve">Défi 3 : Stimuler le renouveau industriel </w:t>
      </w:r>
    </w:p>
    <w:p w14:paraId="72A6A83A" w14:textId="77777777" w:rsidR="007E76D2" w:rsidRDefault="007E76D2" w:rsidP="003F57EA">
      <w:pPr>
        <w:numPr>
          <w:ilvl w:val="1"/>
          <w:numId w:val="65"/>
        </w:numPr>
        <w:suppressAutoHyphens/>
        <w:rPr>
          <w:color w:val="000000"/>
          <w:szCs w:val="22"/>
        </w:rPr>
      </w:pPr>
      <w:r>
        <w:rPr>
          <w:color w:val="000000"/>
          <w:szCs w:val="22"/>
        </w:rPr>
        <w:t>Défi 4 : Santé et bien-être</w:t>
      </w:r>
    </w:p>
    <w:p w14:paraId="7E90BE84" w14:textId="77777777" w:rsidR="007E76D2" w:rsidRDefault="007E76D2" w:rsidP="003F57EA">
      <w:pPr>
        <w:numPr>
          <w:ilvl w:val="1"/>
          <w:numId w:val="65"/>
        </w:numPr>
        <w:suppressAutoHyphens/>
        <w:rPr>
          <w:color w:val="000000"/>
          <w:szCs w:val="22"/>
        </w:rPr>
      </w:pPr>
      <w:r>
        <w:rPr>
          <w:color w:val="000000"/>
          <w:szCs w:val="22"/>
        </w:rPr>
        <w:t>Défi 5 : Sécurité alimentaire et défi démographique</w:t>
      </w:r>
    </w:p>
    <w:p w14:paraId="11E9BB20" w14:textId="77777777" w:rsidR="007E76D2" w:rsidRDefault="007E76D2" w:rsidP="003F57EA">
      <w:pPr>
        <w:numPr>
          <w:ilvl w:val="1"/>
          <w:numId w:val="65"/>
        </w:numPr>
        <w:suppressAutoHyphens/>
        <w:rPr>
          <w:color w:val="000000"/>
          <w:szCs w:val="22"/>
        </w:rPr>
      </w:pPr>
      <w:r>
        <w:rPr>
          <w:color w:val="000000"/>
          <w:szCs w:val="22"/>
        </w:rPr>
        <w:t>Défi 6 : Transports et systèmes urbains durables</w:t>
      </w:r>
    </w:p>
    <w:p w14:paraId="4EBC8720" w14:textId="77777777" w:rsidR="007E76D2" w:rsidRDefault="007E76D2" w:rsidP="003F57EA">
      <w:pPr>
        <w:numPr>
          <w:ilvl w:val="1"/>
          <w:numId w:val="65"/>
        </w:numPr>
        <w:suppressAutoHyphens/>
        <w:rPr>
          <w:color w:val="000000"/>
          <w:szCs w:val="22"/>
        </w:rPr>
      </w:pPr>
      <w:r>
        <w:rPr>
          <w:color w:val="000000"/>
          <w:szCs w:val="22"/>
        </w:rPr>
        <w:t>Défi 7 : Société de l’information et de la communication</w:t>
      </w:r>
    </w:p>
    <w:p w14:paraId="3198C1EC" w14:textId="77777777" w:rsidR="007E76D2" w:rsidRDefault="007E76D2" w:rsidP="003F57EA">
      <w:pPr>
        <w:numPr>
          <w:ilvl w:val="1"/>
          <w:numId w:val="65"/>
        </w:numPr>
        <w:suppressAutoHyphens/>
        <w:rPr>
          <w:color w:val="000000"/>
          <w:szCs w:val="22"/>
        </w:rPr>
      </w:pPr>
      <w:r>
        <w:rPr>
          <w:color w:val="000000"/>
          <w:szCs w:val="22"/>
        </w:rPr>
        <w:t>Défi 8 : Sociétés innovantes, intégratives et adaptatives</w:t>
      </w:r>
    </w:p>
    <w:p w14:paraId="4C5458C5" w14:textId="77777777" w:rsidR="007E76D2" w:rsidRDefault="007E76D2" w:rsidP="003F57EA">
      <w:pPr>
        <w:numPr>
          <w:ilvl w:val="1"/>
          <w:numId w:val="65"/>
        </w:numPr>
        <w:suppressAutoHyphens/>
        <w:rPr>
          <w:color w:val="000000"/>
          <w:szCs w:val="22"/>
        </w:rPr>
      </w:pPr>
      <w:r>
        <w:rPr>
          <w:color w:val="000000"/>
          <w:szCs w:val="22"/>
        </w:rPr>
        <w:t>Défi 9 : Une ambition spatiale pour l’Europe</w:t>
      </w:r>
    </w:p>
    <w:p w14:paraId="5ADE55D5" w14:textId="77777777" w:rsidR="007E76D2" w:rsidRDefault="007E76D2" w:rsidP="003F57EA">
      <w:pPr>
        <w:numPr>
          <w:ilvl w:val="1"/>
          <w:numId w:val="65"/>
        </w:numPr>
        <w:suppressAutoHyphens/>
        <w:rPr>
          <w:color w:val="000000"/>
          <w:szCs w:val="22"/>
        </w:rPr>
      </w:pPr>
      <w:r>
        <w:rPr>
          <w:color w:val="000000"/>
          <w:szCs w:val="22"/>
        </w:rPr>
        <w:t>Défi 10 : Liberté et sécurité de l’Europe, de ses citoyens et de ses résidents</w:t>
      </w:r>
    </w:p>
    <w:p w14:paraId="1E8FA52C" w14:textId="77777777" w:rsidR="007E76D2" w:rsidRDefault="007E76D2" w:rsidP="007E76D2">
      <w:pPr>
        <w:rPr>
          <w:color w:val="000000"/>
          <w:szCs w:val="22"/>
        </w:rPr>
      </w:pPr>
    </w:p>
    <w:p w14:paraId="76439C5F" w14:textId="0BF8DEF2" w:rsidR="007E76D2" w:rsidRPr="00AF3E15" w:rsidRDefault="007E76D2" w:rsidP="00E524AF">
      <w:pPr>
        <w:pStyle w:val="titreencadre"/>
      </w:pPr>
      <w:r>
        <w:t>Programmes d’actions prioritaires </w:t>
      </w:r>
    </w:p>
    <w:p w14:paraId="1AD2D7DC" w14:textId="77777777" w:rsidR="007E76D2" w:rsidRDefault="007E76D2" w:rsidP="007E76D2">
      <w:pPr>
        <w:rPr>
          <w:color w:val="000000"/>
          <w:szCs w:val="22"/>
        </w:rPr>
      </w:pPr>
      <w:r>
        <w:rPr>
          <w:color w:val="000000"/>
          <w:szCs w:val="22"/>
        </w:rPr>
        <w:t xml:space="preserve">Dans la SNR, cinq enjeux ont été considérés comme devant être traités avec une urgence particulière, compte tenu de la diversité de leurs impacts économiques et sociaux, des dynamiques internationales en cours, et de la maturité des actions envisagées. </w:t>
      </w:r>
    </w:p>
    <w:p w14:paraId="25AFC367" w14:textId="77777777" w:rsidR="007E76D2" w:rsidRDefault="007E76D2" w:rsidP="003F57EA">
      <w:pPr>
        <w:numPr>
          <w:ilvl w:val="1"/>
          <w:numId w:val="65"/>
        </w:numPr>
        <w:suppressAutoHyphens/>
        <w:rPr>
          <w:color w:val="000000"/>
          <w:szCs w:val="22"/>
        </w:rPr>
      </w:pPr>
      <w:r>
        <w:rPr>
          <w:color w:val="000000"/>
          <w:szCs w:val="22"/>
        </w:rPr>
        <w:t>Big data</w:t>
      </w:r>
    </w:p>
    <w:p w14:paraId="62E80DE6" w14:textId="77777777" w:rsidR="007E76D2" w:rsidRDefault="007E76D2" w:rsidP="003F57EA">
      <w:pPr>
        <w:numPr>
          <w:ilvl w:val="1"/>
          <w:numId w:val="65"/>
        </w:numPr>
        <w:suppressAutoHyphens/>
        <w:rPr>
          <w:color w:val="000000"/>
          <w:szCs w:val="22"/>
        </w:rPr>
      </w:pPr>
      <w:r>
        <w:rPr>
          <w:color w:val="000000"/>
          <w:szCs w:val="22"/>
        </w:rPr>
        <w:t>Système Terre : observation, prévision, adaptation</w:t>
      </w:r>
    </w:p>
    <w:p w14:paraId="7B6A1554" w14:textId="77777777" w:rsidR="007E76D2" w:rsidRDefault="007E76D2" w:rsidP="003F57EA">
      <w:pPr>
        <w:numPr>
          <w:ilvl w:val="1"/>
          <w:numId w:val="65"/>
        </w:numPr>
        <w:suppressAutoHyphens/>
        <w:rPr>
          <w:color w:val="000000"/>
          <w:szCs w:val="22"/>
        </w:rPr>
      </w:pPr>
      <w:r>
        <w:rPr>
          <w:color w:val="000000"/>
          <w:szCs w:val="22"/>
        </w:rPr>
        <w:t>Biologie des systèmes et applications</w:t>
      </w:r>
    </w:p>
    <w:p w14:paraId="2FC1437C" w14:textId="77777777" w:rsidR="007E76D2" w:rsidRDefault="007E76D2" w:rsidP="003F57EA">
      <w:pPr>
        <w:numPr>
          <w:ilvl w:val="1"/>
          <w:numId w:val="65"/>
        </w:numPr>
        <w:suppressAutoHyphens/>
        <w:rPr>
          <w:color w:val="000000"/>
          <w:szCs w:val="22"/>
        </w:rPr>
      </w:pPr>
      <w:r>
        <w:rPr>
          <w:color w:val="000000"/>
          <w:szCs w:val="22"/>
        </w:rPr>
        <w:t>Du laboratoire au patient</w:t>
      </w:r>
    </w:p>
    <w:p w14:paraId="2446AB37" w14:textId="77777777" w:rsidR="007E76D2" w:rsidRDefault="007E76D2" w:rsidP="003F57EA">
      <w:pPr>
        <w:numPr>
          <w:ilvl w:val="1"/>
          <w:numId w:val="65"/>
        </w:numPr>
        <w:suppressAutoHyphens/>
        <w:rPr>
          <w:rFonts w:ascii="Arial" w:hAnsi="Arial" w:cs="Arial"/>
          <w:color w:val="000000"/>
          <w:szCs w:val="22"/>
        </w:rPr>
      </w:pPr>
      <w:r>
        <w:rPr>
          <w:color w:val="000000"/>
          <w:szCs w:val="22"/>
        </w:rPr>
        <w:t>Homme et cultures</w:t>
      </w:r>
    </w:p>
    <w:p w14:paraId="4623152D" w14:textId="77777777" w:rsidR="007E76D2" w:rsidRDefault="007E76D2" w:rsidP="00AF3E15">
      <w:pPr>
        <w:rPr>
          <w:rFonts w:ascii="Arial" w:hAnsi="Arial" w:cs="Arial"/>
          <w:color w:val="000000"/>
          <w:szCs w:val="22"/>
        </w:rPr>
      </w:pPr>
    </w:p>
    <w:p w14:paraId="7E21E8D8" w14:textId="3D870B29" w:rsidR="007E76D2" w:rsidRPr="00AF3E15" w:rsidRDefault="007E76D2" w:rsidP="00E524AF">
      <w:pPr>
        <w:pStyle w:val="Titre4niveau4"/>
      </w:pPr>
      <w:r w:rsidRPr="00E22CF8">
        <w:rPr>
          <w:rStyle w:val="Strong"/>
          <w:rFonts w:ascii="Times New Roman" w:hAnsi="Times New Roman" w:cs="Times New Roman"/>
          <w:b/>
          <w:color w:val="000000"/>
          <w:szCs w:val="22"/>
        </w:rPr>
        <w:t>Stratégie nationale des infrastructures de recherche</w:t>
      </w:r>
      <w:r>
        <w:rPr>
          <w:rStyle w:val="Caractresdenotedebasdepage"/>
          <w:rFonts w:ascii="Times New Roman" w:hAnsi="Times New Roman" w:cs="Times New Roman"/>
          <w:bCs w:val="0"/>
          <w:color w:val="000000"/>
          <w:szCs w:val="22"/>
        </w:rPr>
        <w:footnoteReference w:id="77"/>
      </w:r>
      <w:r w:rsidRPr="00E22CF8">
        <w:rPr>
          <w:rStyle w:val="Strong"/>
          <w:rFonts w:ascii="Times New Roman" w:hAnsi="Times New Roman" w:cs="Times New Roman"/>
          <w:b/>
          <w:color w:val="000000"/>
          <w:szCs w:val="22"/>
        </w:rPr>
        <w:t xml:space="preserve"> </w:t>
      </w:r>
    </w:p>
    <w:p w14:paraId="75EEB2A8" w14:textId="77777777" w:rsidR="007E76D2" w:rsidRDefault="007E76D2" w:rsidP="007E76D2">
      <w:pPr>
        <w:shd w:val="clear" w:color="auto" w:fill="FFFFFF"/>
        <w:spacing w:before="57" w:after="57"/>
        <w:rPr>
          <w:color w:val="000000"/>
          <w:szCs w:val="22"/>
        </w:rPr>
      </w:pPr>
      <w:r>
        <w:rPr>
          <w:color w:val="000000"/>
          <w:szCs w:val="22"/>
        </w:rPr>
        <w:t>L'observation, la mesure, l'expérimentation, le calcul intensif, le stockage et le partage de données supposent de grands instruments portant les capacités techniques au-delà de l'existant et intégrant la porosité interdisciplinaire source d'innovation. Ces outils sont les conditions des futures découvertes tout autant que le produit des dernières avancées scientifiques et technologiques. De grands équipements ont été ainsi créés, pilotés par des organisations nationales, européennes ou internationales, nécessitant une instrumentation de premier plan mais aussi des ressources humaines et financières conséquentes, grâce au soutien de la puissance publique. Parallèlement à ces grands instruments, s’est développée ces dernières années une quantité d'instruments partagés entre de nombreux acteurs sur des sites divers. En France, le soutien du PIA (cf. infra) a été essentiel à ce succès.</w:t>
      </w:r>
    </w:p>
    <w:p w14:paraId="419B745F" w14:textId="426E3095" w:rsidR="007E76D2" w:rsidRDefault="007E76D2" w:rsidP="00AF3E15">
      <w:pPr>
        <w:shd w:val="clear" w:color="auto" w:fill="FFFFFF"/>
        <w:spacing w:before="57" w:after="57"/>
        <w:rPr>
          <w:color w:val="000000"/>
          <w:szCs w:val="22"/>
        </w:rPr>
      </w:pPr>
      <w:r>
        <w:rPr>
          <w:color w:val="000000"/>
          <w:szCs w:val="22"/>
        </w:rPr>
        <w:t>Dans ce contexte, une stratégie nationale des infrastructures s’est mise en place qui a conduit à la publication d’une première feuille de route française en 2008 avec des mises à jour en 2012 et en 2016. La feuille de route 2016 comprend 95 instruments de recherche et prend en compte les nouveaux apports de la technologie, l'évolution des pratiques scientifiques, mais aussi l'articulation dans des réseaux européens (feuille de route des infrastructures européennes de l’ESFRI) ou internationaux, les investissements humains et financiers, les retombées pour l'innovation tout comme les reconfigurations du paysage français de la recherche. La stratégie nationale des infrastructures de recherche présente des dispositifs</w:t>
      </w:r>
      <w:r>
        <w:rPr>
          <w:rFonts w:ascii="Arial" w:hAnsi="Arial" w:cs="Arial"/>
          <w:color w:val="000000"/>
          <w:szCs w:val="22"/>
        </w:rPr>
        <w:t xml:space="preserve"> </w:t>
      </w:r>
      <w:r>
        <w:rPr>
          <w:color w:val="000000"/>
          <w:szCs w:val="22"/>
        </w:rPr>
        <w:t>existants qui constituent une réelle "force de frappe" au cœur de la stratégie nationale de recherche, ainsi que des projets formant une base pour la construction du futur.</w:t>
      </w:r>
    </w:p>
    <w:p w14:paraId="184AA457" w14:textId="77777777" w:rsidR="00AF3E15" w:rsidRPr="00AF3E15" w:rsidRDefault="00AF3E15" w:rsidP="00AF3E15">
      <w:pPr>
        <w:shd w:val="clear" w:color="auto" w:fill="FFFFFF"/>
        <w:spacing w:before="57" w:after="57"/>
        <w:rPr>
          <w:rFonts w:cs="Arial"/>
          <w:color w:val="000000"/>
          <w:szCs w:val="22"/>
        </w:rPr>
      </w:pPr>
    </w:p>
    <w:p w14:paraId="4ED2EA40" w14:textId="4FE23CEA" w:rsidR="007E76D2" w:rsidRPr="00AF3E15" w:rsidRDefault="007E76D2" w:rsidP="00E524AF">
      <w:pPr>
        <w:pStyle w:val="Titre4niveau4"/>
      </w:pPr>
      <w:r>
        <w:t>Le programme des investissements d'avenir</w:t>
      </w:r>
      <w:r>
        <w:rPr>
          <w:rStyle w:val="Caractresdenotedebasdepage"/>
          <w:rFonts w:ascii="Times New Roman" w:hAnsi="Times New Roman" w:cs="Times New Roman"/>
          <w:color w:val="000000"/>
          <w:szCs w:val="22"/>
        </w:rPr>
        <w:footnoteReference w:id="78"/>
      </w:r>
    </w:p>
    <w:p w14:paraId="0C718AD8" w14:textId="77777777" w:rsidR="007E76D2" w:rsidRPr="005B7447" w:rsidRDefault="007E76D2" w:rsidP="007E76D2">
      <w:pPr>
        <w:rPr>
          <w:color w:val="000000"/>
          <w:szCs w:val="22"/>
        </w:rPr>
      </w:pPr>
      <w:r>
        <w:rPr>
          <w:color w:val="000000"/>
          <w:szCs w:val="22"/>
        </w:rPr>
        <w:t xml:space="preserve">Le programme des investissements d'avenir (PIA) a été prévu dans la loi de finances rectificative du 9 mars 2010. L'objectif du programme est de renforcer la productivité, d'innover, d'accroître la compétitivité des entreprises mais aussi de favoriser l'emploi et de promouvoir l'égalité des chances en favorisant l'investissement et l'innovation dans 5 secteurs </w:t>
      </w:r>
      <w:r w:rsidRPr="005B7447">
        <w:rPr>
          <w:color w:val="000000"/>
          <w:szCs w:val="22"/>
        </w:rPr>
        <w:t>prioritaires dont l’enseignement supérieur, la formation, la recherche, le développement durable et le numérique. Le programme est doté d’un budget de 35 milliards d’euros dont 22 pour l’enseignement supérieur et la recherche Il a fait l’objet de 3 programmes : le premier en 2010, le second en 2013, le troisième en 2016 et le dernier en 2021. Le PIA a été l’occasion de soutenir la recherche et l'innovation dans le domaine de la recherche environnementale et du changement climatique et de structurer les communautés impliquées au travers de différents appels d’offre.</w:t>
      </w:r>
    </w:p>
    <w:p w14:paraId="7AE84207" w14:textId="77777777" w:rsidR="007E76D2" w:rsidRPr="005B7447" w:rsidRDefault="007E76D2" w:rsidP="007E76D2">
      <w:pPr>
        <w:rPr>
          <w:color w:val="000000"/>
          <w:szCs w:val="22"/>
        </w:rPr>
      </w:pPr>
      <w:r w:rsidRPr="005B7447">
        <w:rPr>
          <w:color w:val="000000"/>
          <w:szCs w:val="22"/>
        </w:rPr>
        <w:t xml:space="preserve">En conséquence des laboratoires ou des groupes de laboratoires et d’équipes d'excellence disposent de financements, utiles notamment pour le maintien en France de scientifiques de très haut niveau ou à fort potentiel. </w:t>
      </w:r>
    </w:p>
    <w:p w14:paraId="3B3A0446" w14:textId="77777777" w:rsidR="007E76D2" w:rsidRPr="005B7447" w:rsidRDefault="007E76D2" w:rsidP="007E76D2">
      <w:pPr>
        <w:rPr>
          <w:color w:val="000000"/>
          <w:szCs w:val="22"/>
        </w:rPr>
      </w:pPr>
      <w:r w:rsidRPr="005B7447">
        <w:rPr>
          <w:color w:val="000000"/>
          <w:szCs w:val="22"/>
        </w:rPr>
        <w:t xml:space="preserve">A ce jour, il a été consacré : </w:t>
      </w:r>
    </w:p>
    <w:p w14:paraId="3BC2C37A" w14:textId="77777777" w:rsidR="007E76D2" w:rsidRPr="005B7447" w:rsidRDefault="007E76D2" w:rsidP="003F57EA">
      <w:pPr>
        <w:numPr>
          <w:ilvl w:val="1"/>
          <w:numId w:val="65"/>
        </w:numPr>
        <w:suppressAutoHyphens/>
        <w:rPr>
          <w:color w:val="000000"/>
          <w:szCs w:val="22"/>
        </w:rPr>
      </w:pPr>
      <w:r w:rsidRPr="005B7447">
        <w:rPr>
          <w:color w:val="000000"/>
          <w:szCs w:val="22"/>
        </w:rPr>
        <w:t xml:space="preserve">1 Md€ pour les laboratoires d’excellence (LabEx) pour une période de 10 ans (2010-2019): 171 laboratoires ont été lauréats dont 17% dans le domaine des sciences de l’environnement et de l’univers et 10% dans le domaine de l’énergie. Au-delà de 2019, l’Etat a annoncé que certains laboratoires seront reconduits pour 5 ans. </w:t>
      </w:r>
    </w:p>
    <w:p w14:paraId="39D1F530" w14:textId="77777777" w:rsidR="007E76D2" w:rsidRPr="005B7447" w:rsidRDefault="007E76D2" w:rsidP="003F57EA">
      <w:pPr>
        <w:numPr>
          <w:ilvl w:val="1"/>
          <w:numId w:val="65"/>
        </w:numPr>
        <w:suppressAutoHyphens/>
        <w:rPr>
          <w:color w:val="000000"/>
          <w:szCs w:val="22"/>
        </w:rPr>
      </w:pPr>
      <w:r w:rsidRPr="005B7447">
        <w:rPr>
          <w:color w:val="000000"/>
          <w:szCs w:val="22"/>
        </w:rPr>
        <w:t>1 Md€ pour les équipements d’excellence (EquipEx) pour une période de 10 ans (2010-2019): 93 projets lauréats.</w:t>
      </w:r>
    </w:p>
    <w:p w14:paraId="46B8126C" w14:textId="77777777" w:rsidR="007E76D2" w:rsidRPr="005B7447" w:rsidRDefault="007E76D2" w:rsidP="003F57EA">
      <w:pPr>
        <w:numPr>
          <w:ilvl w:val="1"/>
          <w:numId w:val="65"/>
        </w:numPr>
        <w:suppressAutoHyphens/>
        <w:rPr>
          <w:color w:val="000000"/>
          <w:szCs w:val="22"/>
        </w:rPr>
      </w:pPr>
      <w:r w:rsidRPr="005B7447">
        <w:rPr>
          <w:color w:val="000000"/>
          <w:szCs w:val="22"/>
        </w:rPr>
        <w:t xml:space="preserve">30M€ pour des Instituts de convergence : 10 projets lauréats. </w:t>
      </w:r>
    </w:p>
    <w:p w14:paraId="1EA786DD" w14:textId="77777777" w:rsidR="007E76D2" w:rsidRDefault="007E76D2" w:rsidP="007E76D2">
      <w:pPr>
        <w:rPr>
          <w:color w:val="000000"/>
          <w:szCs w:val="22"/>
        </w:rPr>
      </w:pPr>
    </w:p>
    <w:p w14:paraId="0253A19E" w14:textId="32F9E6B9" w:rsidR="007E76D2" w:rsidRPr="00AF3E15" w:rsidRDefault="007E76D2" w:rsidP="00E524AF">
      <w:pPr>
        <w:pStyle w:val="Titre4niveau4"/>
      </w:pPr>
      <w:r w:rsidRPr="00E22CF8">
        <w:rPr>
          <w:rStyle w:val="Strong"/>
          <w:rFonts w:ascii="Times New Roman" w:hAnsi="Times New Roman" w:cs="Times New Roman"/>
          <w:b/>
          <w:color w:val="000000"/>
          <w:szCs w:val="22"/>
        </w:rPr>
        <w:t>Les pôles de compétitivité</w:t>
      </w:r>
    </w:p>
    <w:p w14:paraId="5D6BE1EB" w14:textId="77777777" w:rsidR="007E76D2" w:rsidRDefault="007E76D2" w:rsidP="007E76D2">
      <w:pPr>
        <w:rPr>
          <w:color w:val="000000"/>
          <w:szCs w:val="22"/>
        </w:rPr>
      </w:pPr>
      <w:r>
        <w:rPr>
          <w:color w:val="000000"/>
          <w:szCs w:val="22"/>
        </w:rPr>
        <w:t xml:space="preserve">Lancés en 2004, les pôles de compétitivité ont vocation à soutenir l'innovation en favorisant le développement de projets innovants et collaboratifs de recherche et développement (R&amp;D). Les pôles reposent sur un ancrage territorial fort tout en s’appuyant sur les structures existantes (entreprises, organismes de recherche, établissements d’enseignement supérieur et de recherche, infrastructures collectives, etc.). Ces pôles ont permis de renforcer les liens entre les entreprises et les organismes de recherche. En particulier l’une de leurs missions est d’accompagner le développement et la croissance des entreprises grâce notamment à la mise sur le marché de nouveaux produits, services ou procédés issus des résultats des projets de recherche. </w:t>
      </w:r>
    </w:p>
    <w:p w14:paraId="0EC6E512" w14:textId="77777777" w:rsidR="007E76D2" w:rsidRDefault="007E76D2" w:rsidP="007E76D2">
      <w:pPr>
        <w:rPr>
          <w:color w:val="000000"/>
          <w:szCs w:val="22"/>
        </w:rPr>
      </w:pPr>
    </w:p>
    <w:p w14:paraId="7F4E8ED8" w14:textId="77777777" w:rsidR="007E76D2" w:rsidRDefault="007E76D2" w:rsidP="007E76D2">
      <w:pPr>
        <w:rPr>
          <w:color w:val="000000"/>
          <w:szCs w:val="22"/>
        </w:rPr>
      </w:pPr>
      <w:r>
        <w:rPr>
          <w:color w:val="000000"/>
          <w:szCs w:val="22"/>
        </w:rPr>
        <w:t>L'État s'attache à promouvoir un environnement global favorable aux entreprises et à l'innovation notamment en soutenant l'effort de recherche et de développement déployé au sein des pôles. Aux niveaux national ou régional, il accompagne leurs développements avec les collectivités territoriales en octroyant, via le fonds unique interministériel (FUI), des aides financières aux meilleurs projets de R&amp;D et de plates-formes d'innovation, en aidant financièrement des actions collectives thématiques et en impliquant divers partenaires (Bpifrance, Caisse des Dépôts,…).</w:t>
      </w:r>
    </w:p>
    <w:p w14:paraId="03CAF43A" w14:textId="77777777" w:rsidR="007E76D2" w:rsidRDefault="007E76D2" w:rsidP="007E76D2">
      <w:pPr>
        <w:rPr>
          <w:color w:val="000000"/>
          <w:szCs w:val="22"/>
        </w:rPr>
      </w:pPr>
    </w:p>
    <w:p w14:paraId="1C07FD02" w14:textId="200EF1D7" w:rsidR="007E76D2" w:rsidRDefault="007E76D2" w:rsidP="00E524AF">
      <w:pPr>
        <w:pStyle w:val="Titre4niveau4"/>
      </w:pPr>
      <w:r>
        <w:t xml:space="preserve">Les </w:t>
      </w:r>
      <w:r w:rsidRPr="00E22CF8">
        <w:rPr>
          <w:rStyle w:val="Strong"/>
          <w:rFonts w:ascii="Times New Roman" w:hAnsi="Times New Roman" w:cs="Times New Roman"/>
          <w:b/>
          <w:color w:val="000000"/>
          <w:szCs w:val="22"/>
        </w:rPr>
        <w:t>agences de financement de la recherche</w:t>
      </w:r>
    </w:p>
    <w:p w14:paraId="79820872" w14:textId="77777777" w:rsidR="007E76D2" w:rsidRDefault="007E76D2" w:rsidP="007E76D2">
      <w:pPr>
        <w:rPr>
          <w:szCs w:val="22"/>
        </w:rPr>
      </w:pPr>
    </w:p>
    <w:p w14:paraId="0C8AEBA3" w14:textId="77777777" w:rsidR="007E76D2" w:rsidRDefault="007E76D2" w:rsidP="007E76D2">
      <w:pPr>
        <w:rPr>
          <w:rFonts w:ascii="Arial" w:hAnsi="Arial" w:cs="Arial"/>
          <w:color w:val="000000"/>
          <w:szCs w:val="22"/>
        </w:rPr>
      </w:pPr>
      <w:r>
        <w:rPr>
          <w:color w:val="000000"/>
          <w:szCs w:val="22"/>
        </w:rPr>
        <w:t>En soutien aux projets de recherche et d'innovation, il existe deux principales agences de financement françaises : l'Agence Nationale de la Recherche (ANR) et l'Agence de l'environnement et de la maîtrise de l'énergie (ADEME).</w:t>
      </w:r>
    </w:p>
    <w:p w14:paraId="487E872F" w14:textId="77777777" w:rsidR="007E76D2" w:rsidRDefault="007E76D2" w:rsidP="007E76D2">
      <w:pPr>
        <w:rPr>
          <w:rFonts w:ascii="Arial" w:hAnsi="Arial" w:cs="Arial"/>
          <w:color w:val="000000"/>
          <w:szCs w:val="22"/>
        </w:rPr>
      </w:pPr>
    </w:p>
    <w:p w14:paraId="3914EE0A" w14:textId="77777777" w:rsidR="007E76D2" w:rsidRDefault="007E76D2" w:rsidP="00E524AF">
      <w:pPr>
        <w:pStyle w:val="titreencadre"/>
        <w:rPr>
          <w:rFonts w:ascii="Arial" w:hAnsi="Arial" w:cs="Arial"/>
        </w:rPr>
      </w:pPr>
      <w:r>
        <w:t>L'Agence Nationale de la Recherche (ANR)</w:t>
      </w:r>
    </w:p>
    <w:p w14:paraId="72FCD8E9" w14:textId="77777777" w:rsidR="007E76D2" w:rsidRDefault="007E76D2" w:rsidP="007E76D2">
      <w:pPr>
        <w:rPr>
          <w:rFonts w:ascii="Arial" w:hAnsi="Arial" w:cs="Arial"/>
          <w:color w:val="000000"/>
          <w:szCs w:val="22"/>
        </w:rPr>
      </w:pPr>
    </w:p>
    <w:p w14:paraId="691A5655" w14:textId="408D9917" w:rsidR="007E76D2" w:rsidRDefault="00BC3817" w:rsidP="007E76D2">
      <w:pPr>
        <w:rPr>
          <w:color w:val="000000"/>
          <w:szCs w:val="22"/>
        </w:rPr>
      </w:pPr>
      <w:r w:rsidRPr="00BC3817">
        <w:rPr>
          <w:color w:val="000000"/>
          <w:szCs w:val="22"/>
        </w:rPr>
        <w:t>L’ANR a pour mission la mise en œuvre du financement de la recherche sur projets en France. Elle disposait en 2021 d’un budget d’intervention de 1 190 M€ dont 286 M</w:t>
      </w:r>
      <w:r>
        <w:rPr>
          <w:color w:val="000000"/>
          <w:szCs w:val="22"/>
        </w:rPr>
        <w:t xml:space="preserve">€ </w:t>
      </w:r>
      <w:r w:rsidRPr="00BC3817">
        <w:rPr>
          <w:color w:val="000000"/>
          <w:szCs w:val="22"/>
        </w:rPr>
        <w:t>du plan de relance. L’ANR a conçu et déployé une palette d'instruments de financement pour répondre à la fois au rôle qui lui est attribué dans la politique publique de recherche et d'innovation de la France et aux besoins de financement sur projets des communautés de recherche. Les grands défis dans lesquels se situe l'action de l'ANR sont en cohérence avec les agendas stratégiques national et européen. L’ANR a aussi pour mission de gérer de grands programmes d’investissements de l’Etat dans le champ de l’enseignement supérieur et de la recherche, et de suivre leur mise en œuvre. C’est à ce titre que l’ANR a été désignée en 2010 comme opérateur de l’Etat pour les actions du programme d’investissements d’avenir et prend en charge l’organisation de la sélection, de la contractualisation, du financement, du suivi, de l’évaluation et de l’impact des projets et des actions du programme sur ce champ d’action. Depuis sa création,, l’ANR a soutenu près de 25 000 projets dont 2291 en 2021</w:t>
      </w:r>
      <w:r w:rsidR="007E76D2">
        <w:rPr>
          <w:color w:val="000000"/>
          <w:szCs w:val="22"/>
        </w:rPr>
        <w:t xml:space="preserve">. </w:t>
      </w:r>
    </w:p>
    <w:p w14:paraId="326EE61A" w14:textId="77777777" w:rsidR="007E76D2" w:rsidRDefault="007E76D2" w:rsidP="007E76D2">
      <w:pPr>
        <w:ind w:left="567"/>
        <w:rPr>
          <w:color w:val="000000"/>
          <w:szCs w:val="22"/>
        </w:rPr>
      </w:pPr>
    </w:p>
    <w:p w14:paraId="7EFD5FF9" w14:textId="13A2E270" w:rsidR="007E76D2" w:rsidRPr="00AF3E15" w:rsidRDefault="00AF3E15" w:rsidP="00E524AF">
      <w:pPr>
        <w:pStyle w:val="titreencadre"/>
      </w:pPr>
      <w:r>
        <w:t>L’Agence de la transition énergétique</w:t>
      </w:r>
      <w:r w:rsidR="007E76D2">
        <w:t xml:space="preserve"> (ADEME)</w:t>
      </w:r>
    </w:p>
    <w:p w14:paraId="5957D23C" w14:textId="77777777" w:rsidR="007E76D2" w:rsidRDefault="007E76D2" w:rsidP="007E76D2">
      <w:pPr>
        <w:rPr>
          <w:color w:val="000000"/>
          <w:szCs w:val="22"/>
        </w:rPr>
      </w:pPr>
      <w:r>
        <w:rPr>
          <w:color w:val="000000"/>
          <w:szCs w:val="22"/>
        </w:rPr>
        <w:t>L’ADEME est un établissement public sous la tutelle conjointe du ministère de la Transition Ecologique et Solidaire et du ministère de l’Enseignement supérieur, de la Recherche et de l’Innovation. Elle participe à la mise en œuvre des politiques publiques dans les domaines de l’environnement, de l’énergie et du développement durable. Elle met ses capacités d’expertise et de conseil à disposition des entreprises, des collectivités locales, des pouvoirs publics et du grand public, afin de leur permettre de progresser dans leur démarche environnementale. L’Agence aide en outre au financement de projets, de la recherche à la mise en œuvre et ce, dans les domaines suivants : la gestion des déchets, la préservation des sols, l’efficacité énergétique et les énergies renouvelables, les économies de matières premières, la qualité de l’air, la lutte contre le bruit, la transition vers l’économie circulaire et la lutte contre le gaspillage alimentaire.</w:t>
      </w:r>
    </w:p>
    <w:p w14:paraId="148F0814" w14:textId="77777777" w:rsidR="00AF3E15" w:rsidRDefault="007E76D2" w:rsidP="00AF3E15">
      <w:pPr>
        <w:rPr>
          <w:color w:val="000000"/>
          <w:szCs w:val="22"/>
        </w:rPr>
      </w:pPr>
      <w:r>
        <w:rPr>
          <w:color w:val="000000"/>
          <w:szCs w:val="22"/>
        </w:rPr>
        <w:t>En 2022, son budget est de 836 M€ en dotations de l’État (dont 218 M€ au titre du plan de relance) et 45 M€ sur ressources propres.</w:t>
      </w:r>
    </w:p>
    <w:p w14:paraId="0DDB0E6E" w14:textId="77777777" w:rsidR="00AF3E15" w:rsidRDefault="00AF3E15" w:rsidP="00AF3E15">
      <w:pPr>
        <w:rPr>
          <w:color w:val="000000"/>
          <w:szCs w:val="22"/>
        </w:rPr>
      </w:pPr>
    </w:p>
    <w:p w14:paraId="5BEAA5A4" w14:textId="2174833A" w:rsidR="007E76D2" w:rsidRPr="00AF3E15" w:rsidRDefault="007E76D2" w:rsidP="00AF3E15">
      <w:r>
        <w:t>Ses dépenses, dont le montant total est de 793 M€, comprend les grands programmes suivants :</w:t>
      </w:r>
    </w:p>
    <w:p w14:paraId="53E1720C" w14:textId="77777777" w:rsidR="007E76D2" w:rsidRDefault="007E76D2" w:rsidP="003F57EA">
      <w:pPr>
        <w:numPr>
          <w:ilvl w:val="1"/>
          <w:numId w:val="65"/>
        </w:numPr>
        <w:suppressAutoHyphens/>
        <w:rPr>
          <w:color w:val="000000"/>
          <w:szCs w:val="22"/>
        </w:rPr>
      </w:pPr>
      <w:r>
        <w:rPr>
          <w:color w:val="000000"/>
          <w:szCs w:val="22"/>
        </w:rPr>
        <w:t>370 M€ pour le programme « Chaleur renouvelable »,</w:t>
      </w:r>
    </w:p>
    <w:p w14:paraId="0AE11EAA" w14:textId="77777777" w:rsidR="007E76D2" w:rsidRDefault="007E76D2" w:rsidP="003F57EA">
      <w:pPr>
        <w:numPr>
          <w:ilvl w:val="1"/>
          <w:numId w:val="65"/>
        </w:numPr>
        <w:suppressAutoHyphens/>
        <w:rPr>
          <w:color w:val="000000"/>
          <w:szCs w:val="22"/>
        </w:rPr>
      </w:pPr>
      <w:r>
        <w:rPr>
          <w:color w:val="000000"/>
          <w:szCs w:val="22"/>
        </w:rPr>
        <w:t>164 M€ pour le programme « Déchets et économie circulaire »,</w:t>
      </w:r>
    </w:p>
    <w:p w14:paraId="79620D3C" w14:textId="77777777" w:rsidR="007E76D2" w:rsidRDefault="007E76D2" w:rsidP="003F57EA">
      <w:pPr>
        <w:numPr>
          <w:ilvl w:val="1"/>
          <w:numId w:val="65"/>
        </w:numPr>
        <w:suppressAutoHyphens/>
        <w:rPr>
          <w:color w:val="000000"/>
          <w:szCs w:val="22"/>
        </w:rPr>
      </w:pPr>
      <w:r>
        <w:rPr>
          <w:color w:val="000000"/>
          <w:szCs w:val="22"/>
        </w:rPr>
        <w:t>75 M€ pour le programme « Hydrogène »,</w:t>
      </w:r>
    </w:p>
    <w:p w14:paraId="41A2C0D1" w14:textId="77777777" w:rsidR="007E76D2" w:rsidRDefault="007E76D2" w:rsidP="003F57EA">
      <w:pPr>
        <w:numPr>
          <w:ilvl w:val="1"/>
          <w:numId w:val="65"/>
        </w:numPr>
        <w:suppressAutoHyphens/>
        <w:rPr>
          <w:color w:val="000000"/>
          <w:szCs w:val="22"/>
        </w:rPr>
      </w:pPr>
      <w:r>
        <w:rPr>
          <w:color w:val="000000"/>
          <w:szCs w:val="22"/>
        </w:rPr>
        <w:t>35 M€ pour le programme « Démarches territoriales Énergie/Climat »,</w:t>
      </w:r>
    </w:p>
    <w:p w14:paraId="1BCBDBE2" w14:textId="77777777" w:rsidR="007E76D2" w:rsidRDefault="007E76D2" w:rsidP="003F57EA">
      <w:pPr>
        <w:numPr>
          <w:ilvl w:val="1"/>
          <w:numId w:val="65"/>
        </w:numPr>
        <w:suppressAutoHyphens/>
        <w:rPr>
          <w:color w:val="000000"/>
          <w:szCs w:val="22"/>
        </w:rPr>
      </w:pPr>
      <w:r>
        <w:rPr>
          <w:color w:val="000000"/>
          <w:szCs w:val="22"/>
        </w:rPr>
        <w:t>34 M€ pour le programme « Recherche »,</w:t>
      </w:r>
    </w:p>
    <w:p w14:paraId="76BF2B4A" w14:textId="77777777" w:rsidR="007E76D2" w:rsidRDefault="007E76D2" w:rsidP="003F57EA">
      <w:pPr>
        <w:numPr>
          <w:ilvl w:val="1"/>
          <w:numId w:val="65"/>
        </w:numPr>
        <w:suppressAutoHyphens/>
        <w:rPr>
          <w:color w:val="000000"/>
          <w:szCs w:val="22"/>
        </w:rPr>
      </w:pPr>
      <w:r>
        <w:rPr>
          <w:color w:val="000000"/>
          <w:szCs w:val="22"/>
        </w:rPr>
        <w:t>28 M€ pour le programme « Air mobilité »,</w:t>
      </w:r>
    </w:p>
    <w:p w14:paraId="1EECACF2" w14:textId="77777777" w:rsidR="007E76D2" w:rsidRDefault="007E76D2" w:rsidP="003F57EA">
      <w:pPr>
        <w:numPr>
          <w:ilvl w:val="1"/>
          <w:numId w:val="65"/>
        </w:numPr>
        <w:suppressAutoHyphens/>
        <w:rPr>
          <w:color w:val="000000"/>
          <w:szCs w:val="22"/>
        </w:rPr>
      </w:pPr>
      <w:r>
        <w:rPr>
          <w:color w:val="000000"/>
          <w:szCs w:val="22"/>
        </w:rPr>
        <w:t>22 M€ pour le programme « Sites pollués et friches urbaines »,</w:t>
      </w:r>
    </w:p>
    <w:p w14:paraId="78B38B83" w14:textId="77777777" w:rsidR="007E76D2" w:rsidRDefault="007E76D2" w:rsidP="003F57EA">
      <w:pPr>
        <w:numPr>
          <w:ilvl w:val="1"/>
          <w:numId w:val="65"/>
        </w:numPr>
        <w:suppressAutoHyphens/>
        <w:rPr>
          <w:color w:val="000000"/>
          <w:szCs w:val="22"/>
        </w:rPr>
      </w:pPr>
      <w:r>
        <w:rPr>
          <w:color w:val="000000"/>
          <w:szCs w:val="22"/>
        </w:rPr>
        <w:t>18 M€ pour le programme « Bâtiments »,</w:t>
      </w:r>
    </w:p>
    <w:p w14:paraId="1AFC2B5C" w14:textId="77777777" w:rsidR="007E76D2" w:rsidRDefault="007E76D2" w:rsidP="003F57EA">
      <w:pPr>
        <w:numPr>
          <w:ilvl w:val="1"/>
          <w:numId w:val="65"/>
        </w:numPr>
        <w:suppressAutoHyphens/>
        <w:rPr>
          <w:color w:val="000000"/>
          <w:szCs w:val="22"/>
        </w:rPr>
      </w:pPr>
      <w:r>
        <w:rPr>
          <w:color w:val="000000"/>
          <w:szCs w:val="22"/>
        </w:rPr>
        <w:t>12 M€ pour le programme « Communication/formation »,</w:t>
      </w:r>
    </w:p>
    <w:p w14:paraId="57182B2F" w14:textId="77777777" w:rsidR="007E76D2" w:rsidRDefault="007E76D2" w:rsidP="003F57EA">
      <w:pPr>
        <w:numPr>
          <w:ilvl w:val="1"/>
          <w:numId w:val="65"/>
        </w:numPr>
        <w:suppressAutoHyphens/>
        <w:rPr>
          <w:rFonts w:ascii="Arial" w:hAnsi="Arial" w:cs="Arial"/>
          <w:color w:val="000000"/>
          <w:szCs w:val="22"/>
        </w:rPr>
      </w:pPr>
      <w:r>
        <w:rPr>
          <w:color w:val="000000"/>
          <w:szCs w:val="22"/>
        </w:rPr>
        <w:t>35 M€ pour les autres programmes.</w:t>
      </w:r>
    </w:p>
    <w:p w14:paraId="553D7DD8" w14:textId="77777777" w:rsidR="007E76D2" w:rsidRDefault="007E76D2" w:rsidP="007E76D2">
      <w:pPr>
        <w:ind w:left="1440"/>
        <w:rPr>
          <w:rFonts w:ascii="Arial" w:hAnsi="Arial" w:cs="Arial"/>
          <w:color w:val="000000"/>
          <w:szCs w:val="22"/>
        </w:rPr>
      </w:pPr>
    </w:p>
    <w:p w14:paraId="46D36075" w14:textId="7960B057" w:rsidR="007E76D2" w:rsidRPr="00AF3E15" w:rsidRDefault="007E76D2" w:rsidP="00E524AF">
      <w:pPr>
        <w:pStyle w:val="Titre3Niveau3"/>
      </w:pPr>
      <w:bookmarkStart w:id="772" w:name="_Toc138342071"/>
      <w:r>
        <w:t>L’action des pouvoirs publics dans la recherche sur le changement climatique</w:t>
      </w:r>
      <w:bookmarkEnd w:id="772"/>
    </w:p>
    <w:p w14:paraId="36283EBF" w14:textId="6E9A7FAF" w:rsidR="007E76D2" w:rsidRDefault="007E76D2" w:rsidP="00E524AF">
      <w:pPr>
        <w:pStyle w:val="Titre4niveau4"/>
      </w:pPr>
      <w:r>
        <w:t>Les grands organismes de recherche et l’alliance nationale de recherche AllEnvi</w:t>
      </w:r>
    </w:p>
    <w:p w14:paraId="1EDFC138" w14:textId="77777777" w:rsidR="007E76D2" w:rsidRDefault="007E76D2" w:rsidP="007E76D2">
      <w:pPr>
        <w:rPr>
          <w:color w:val="000000"/>
          <w:szCs w:val="22"/>
        </w:rPr>
      </w:pPr>
      <w:r>
        <w:rPr>
          <w:color w:val="000000"/>
          <w:szCs w:val="22"/>
        </w:rPr>
        <w:t xml:space="preserve">La recherche publique française conduite sur le climat au sens large est réalisée dans des établissements d’enseignement supérieur représentés dans l’alliance AllEnvi par la conférence des présidents d’université (CPU qui rassemble les dirigeants des Universités, des Instituts nationaux Polytechniques, des Écoles normales supérieures et des grands établissements) et dans douze organismes de recherche qui consacrent une part variable de leurs activités à ce domaine. Il s’agit du : </w:t>
      </w:r>
    </w:p>
    <w:p w14:paraId="09043D97" w14:textId="77777777" w:rsidR="007E76D2" w:rsidRDefault="007E76D2" w:rsidP="003F57EA">
      <w:pPr>
        <w:numPr>
          <w:ilvl w:val="1"/>
          <w:numId w:val="65"/>
        </w:numPr>
        <w:suppressAutoHyphens/>
        <w:rPr>
          <w:color w:val="000000"/>
          <w:szCs w:val="22"/>
        </w:rPr>
      </w:pPr>
      <w:r>
        <w:rPr>
          <w:color w:val="000000"/>
          <w:szCs w:val="22"/>
        </w:rPr>
        <w:t>CNRS - Centre national de la recherche scientifique</w:t>
      </w:r>
    </w:p>
    <w:p w14:paraId="02BB7ED5" w14:textId="77777777" w:rsidR="007E76D2" w:rsidRDefault="007E76D2" w:rsidP="003F57EA">
      <w:pPr>
        <w:numPr>
          <w:ilvl w:val="1"/>
          <w:numId w:val="65"/>
        </w:numPr>
        <w:suppressAutoHyphens/>
        <w:rPr>
          <w:color w:val="000000"/>
          <w:szCs w:val="22"/>
        </w:rPr>
      </w:pPr>
      <w:r>
        <w:rPr>
          <w:color w:val="000000"/>
          <w:szCs w:val="22"/>
        </w:rPr>
        <w:t>CEA - Commissariat à l'énergie atomique et aux énergies alternatives</w:t>
      </w:r>
    </w:p>
    <w:p w14:paraId="6DFD74F6" w14:textId="022D462A" w:rsidR="007E76D2" w:rsidRDefault="00BC3817" w:rsidP="003F57EA">
      <w:pPr>
        <w:numPr>
          <w:ilvl w:val="1"/>
          <w:numId w:val="65"/>
        </w:numPr>
        <w:suppressAutoHyphens/>
        <w:rPr>
          <w:color w:val="000000"/>
          <w:szCs w:val="22"/>
        </w:rPr>
      </w:pPr>
      <w:r>
        <w:rPr>
          <w:color w:val="000000"/>
          <w:szCs w:val="22"/>
        </w:rPr>
        <w:t>INRA</w:t>
      </w:r>
      <w:r w:rsidR="007E76D2">
        <w:rPr>
          <w:color w:val="000000"/>
          <w:szCs w:val="22"/>
        </w:rPr>
        <w:t>E- Institut national de la recherche agronomique et de l’environnement</w:t>
      </w:r>
    </w:p>
    <w:p w14:paraId="2F7CFB6E" w14:textId="77777777" w:rsidR="007E76D2" w:rsidRDefault="007E76D2" w:rsidP="003F57EA">
      <w:pPr>
        <w:numPr>
          <w:ilvl w:val="1"/>
          <w:numId w:val="65"/>
        </w:numPr>
        <w:suppressAutoHyphens/>
        <w:rPr>
          <w:color w:val="000000"/>
          <w:szCs w:val="22"/>
        </w:rPr>
      </w:pPr>
      <w:r>
        <w:rPr>
          <w:color w:val="000000"/>
          <w:szCs w:val="22"/>
        </w:rPr>
        <w:t>Météo-France</w:t>
      </w:r>
    </w:p>
    <w:p w14:paraId="68C67151" w14:textId="77777777" w:rsidR="007E76D2" w:rsidRDefault="007E76D2" w:rsidP="003F57EA">
      <w:pPr>
        <w:numPr>
          <w:ilvl w:val="1"/>
          <w:numId w:val="65"/>
        </w:numPr>
        <w:suppressAutoHyphens/>
        <w:rPr>
          <w:color w:val="000000"/>
          <w:szCs w:val="22"/>
        </w:rPr>
      </w:pPr>
      <w:r w:rsidRPr="00B37978">
        <w:rPr>
          <w:color w:val="000000"/>
          <w:szCs w:val="22"/>
        </w:rPr>
        <w:t xml:space="preserve">CNES – Centre nationale d’études spatiales </w:t>
      </w:r>
    </w:p>
    <w:p w14:paraId="1FF61FC6" w14:textId="77777777" w:rsidR="007E76D2" w:rsidRPr="00B37978" w:rsidRDefault="007E76D2" w:rsidP="003F57EA">
      <w:pPr>
        <w:numPr>
          <w:ilvl w:val="1"/>
          <w:numId w:val="65"/>
        </w:numPr>
        <w:suppressAutoHyphens/>
        <w:rPr>
          <w:color w:val="000000"/>
          <w:szCs w:val="22"/>
        </w:rPr>
      </w:pPr>
      <w:r w:rsidRPr="00B37978">
        <w:rPr>
          <w:color w:val="000000"/>
          <w:szCs w:val="22"/>
        </w:rPr>
        <w:t xml:space="preserve">Cirad - Centre de coopération internationale en recherche agronomique pour le développement </w:t>
      </w:r>
    </w:p>
    <w:p w14:paraId="402D9F42" w14:textId="77777777" w:rsidR="007E76D2" w:rsidRDefault="007E76D2" w:rsidP="003F57EA">
      <w:pPr>
        <w:numPr>
          <w:ilvl w:val="1"/>
          <w:numId w:val="65"/>
        </w:numPr>
        <w:suppressAutoHyphens/>
        <w:rPr>
          <w:color w:val="000000"/>
          <w:szCs w:val="22"/>
        </w:rPr>
      </w:pPr>
      <w:r>
        <w:rPr>
          <w:color w:val="000000"/>
          <w:szCs w:val="22"/>
        </w:rPr>
        <w:t>IRD - Institut de recherche pour le développement</w:t>
      </w:r>
    </w:p>
    <w:p w14:paraId="314386E3" w14:textId="77777777" w:rsidR="007E76D2" w:rsidRDefault="007E76D2" w:rsidP="003F57EA">
      <w:pPr>
        <w:numPr>
          <w:ilvl w:val="1"/>
          <w:numId w:val="65"/>
        </w:numPr>
        <w:suppressAutoHyphens/>
        <w:rPr>
          <w:color w:val="000000"/>
          <w:szCs w:val="22"/>
        </w:rPr>
      </w:pPr>
      <w:r>
        <w:rPr>
          <w:color w:val="000000"/>
          <w:szCs w:val="22"/>
        </w:rPr>
        <w:t>MNHN - Muséum national d’histoire naturelle</w:t>
      </w:r>
    </w:p>
    <w:p w14:paraId="069A7920" w14:textId="77777777" w:rsidR="007E76D2" w:rsidRDefault="007E76D2" w:rsidP="003F57EA">
      <w:pPr>
        <w:numPr>
          <w:ilvl w:val="1"/>
          <w:numId w:val="65"/>
        </w:numPr>
        <w:suppressAutoHyphens/>
        <w:rPr>
          <w:color w:val="000000"/>
          <w:szCs w:val="22"/>
        </w:rPr>
      </w:pPr>
      <w:r>
        <w:rPr>
          <w:color w:val="000000"/>
          <w:szCs w:val="22"/>
        </w:rPr>
        <w:t>Ifremer - Institut français de recherche pour l'exploitation de la mer</w:t>
      </w:r>
    </w:p>
    <w:p w14:paraId="6F257F1D" w14:textId="77777777" w:rsidR="007E76D2" w:rsidRDefault="007E76D2" w:rsidP="003F57EA">
      <w:pPr>
        <w:numPr>
          <w:ilvl w:val="1"/>
          <w:numId w:val="65"/>
        </w:numPr>
        <w:suppressAutoHyphens/>
        <w:rPr>
          <w:color w:val="000000"/>
          <w:szCs w:val="22"/>
        </w:rPr>
      </w:pPr>
      <w:r>
        <w:rPr>
          <w:color w:val="000000"/>
          <w:szCs w:val="22"/>
        </w:rPr>
        <w:t xml:space="preserve">Ifsttar - Institut français des sciences et technologies des transports, de l'aménagement et des réseaux, devenu Université Gustave Eiffel </w:t>
      </w:r>
    </w:p>
    <w:p w14:paraId="0C8A681C" w14:textId="77777777" w:rsidR="007E76D2" w:rsidRDefault="007E76D2" w:rsidP="003F57EA">
      <w:pPr>
        <w:numPr>
          <w:ilvl w:val="1"/>
          <w:numId w:val="65"/>
        </w:numPr>
        <w:suppressAutoHyphens/>
        <w:rPr>
          <w:color w:val="000000"/>
          <w:szCs w:val="22"/>
        </w:rPr>
      </w:pPr>
      <w:r>
        <w:rPr>
          <w:color w:val="000000"/>
          <w:szCs w:val="22"/>
        </w:rPr>
        <w:t>BRGM - Bureau de recherches géologiques et minières</w:t>
      </w:r>
    </w:p>
    <w:p w14:paraId="34C8B54B" w14:textId="77777777" w:rsidR="007E76D2" w:rsidRDefault="007E76D2" w:rsidP="007E76D2">
      <w:pPr>
        <w:ind w:left="1440"/>
        <w:rPr>
          <w:color w:val="000000"/>
          <w:szCs w:val="22"/>
        </w:rPr>
      </w:pPr>
    </w:p>
    <w:p w14:paraId="12DFBDCA" w14:textId="77777777" w:rsidR="007E76D2" w:rsidRDefault="007E76D2" w:rsidP="007E76D2">
      <w:pPr>
        <w:rPr>
          <w:color w:val="000000"/>
          <w:szCs w:val="22"/>
        </w:rPr>
      </w:pPr>
      <w:r>
        <w:rPr>
          <w:color w:val="000000"/>
          <w:szCs w:val="22"/>
        </w:rPr>
        <w:t xml:space="preserve">Ces organismes sont membres fondateurs ou associés de l'alliance qui vise à coordonner les recherches françaises pour réussir la transition écologique et relever les grands défis sociétaux. L’alliance AllEnvi s’est construite autour de 4 enjeux dont le climat : </w:t>
      </w:r>
    </w:p>
    <w:p w14:paraId="2C80A30F" w14:textId="77777777" w:rsidR="007E76D2" w:rsidRDefault="007E76D2" w:rsidP="003F57EA">
      <w:pPr>
        <w:numPr>
          <w:ilvl w:val="1"/>
          <w:numId w:val="65"/>
        </w:numPr>
        <w:suppressAutoHyphens/>
        <w:rPr>
          <w:color w:val="000000"/>
          <w:szCs w:val="22"/>
        </w:rPr>
      </w:pPr>
      <w:r>
        <w:rPr>
          <w:color w:val="000000"/>
          <w:szCs w:val="22"/>
        </w:rPr>
        <w:t>Alimentation : nourrir neuf milliards d'êtres humains à l'horizon 2050</w:t>
      </w:r>
    </w:p>
    <w:p w14:paraId="5DFC4486" w14:textId="77777777" w:rsidR="007E76D2" w:rsidRDefault="007E76D2" w:rsidP="003F57EA">
      <w:pPr>
        <w:numPr>
          <w:ilvl w:val="1"/>
          <w:numId w:val="65"/>
        </w:numPr>
        <w:suppressAutoHyphens/>
        <w:rPr>
          <w:color w:val="000000"/>
          <w:szCs w:val="22"/>
        </w:rPr>
      </w:pPr>
      <w:r>
        <w:rPr>
          <w:color w:val="000000"/>
          <w:szCs w:val="22"/>
        </w:rPr>
        <w:t>Eau : garantir l'accès à l'eau et aux ressources naturelles, en quantité comme en qualité, au plan mondial</w:t>
      </w:r>
    </w:p>
    <w:p w14:paraId="31DDACDC" w14:textId="77777777" w:rsidR="007E76D2" w:rsidRDefault="007E76D2" w:rsidP="003F57EA">
      <w:pPr>
        <w:numPr>
          <w:ilvl w:val="1"/>
          <w:numId w:val="65"/>
        </w:numPr>
        <w:suppressAutoHyphens/>
        <w:rPr>
          <w:color w:val="000000"/>
          <w:szCs w:val="22"/>
        </w:rPr>
      </w:pPr>
      <w:r>
        <w:rPr>
          <w:color w:val="000000"/>
          <w:szCs w:val="22"/>
        </w:rPr>
        <w:t>Climat : faire face aux changements climatiques et à l'érosion de la biodiversité</w:t>
      </w:r>
    </w:p>
    <w:p w14:paraId="203D4825" w14:textId="77777777" w:rsidR="007E76D2" w:rsidRDefault="007E76D2" w:rsidP="003F57EA">
      <w:pPr>
        <w:numPr>
          <w:ilvl w:val="1"/>
          <w:numId w:val="65"/>
        </w:numPr>
        <w:suppressAutoHyphens/>
        <w:rPr>
          <w:color w:val="000000"/>
          <w:szCs w:val="22"/>
        </w:rPr>
      </w:pPr>
      <w:r>
        <w:rPr>
          <w:color w:val="000000"/>
          <w:szCs w:val="22"/>
        </w:rPr>
        <w:t>Territoires : respecter l'impératif de qualité environnementale de nos territoires</w:t>
      </w:r>
    </w:p>
    <w:p w14:paraId="6A056D35" w14:textId="77777777" w:rsidR="007E76D2" w:rsidRDefault="007E76D2" w:rsidP="007E76D2">
      <w:pPr>
        <w:rPr>
          <w:color w:val="000000"/>
          <w:szCs w:val="22"/>
        </w:rPr>
      </w:pPr>
    </w:p>
    <w:p w14:paraId="6D3B8C2D" w14:textId="77777777" w:rsidR="007E76D2" w:rsidRDefault="007E76D2" w:rsidP="007E76D2">
      <w:pPr>
        <w:rPr>
          <w:color w:val="000000"/>
          <w:szCs w:val="22"/>
        </w:rPr>
      </w:pPr>
      <w:r>
        <w:rPr>
          <w:color w:val="000000"/>
          <w:szCs w:val="22"/>
        </w:rPr>
        <w:t>AllEnvi coordonne 12 groupes thématiques qui réunissant plus de 300 experts scientifiques nationaux : Agroécologie et sol, Aliments et alimentation, Animaux, Biodiversité, Biologie des plantes, Climat, Eau, Evaluation environnementale, Ecotechnologie, Mer, Risques, Territoires.</w:t>
      </w:r>
    </w:p>
    <w:p w14:paraId="207D9934" w14:textId="77777777" w:rsidR="007E76D2" w:rsidRDefault="007E76D2" w:rsidP="007E76D2">
      <w:pPr>
        <w:rPr>
          <w:color w:val="000000"/>
          <w:szCs w:val="22"/>
        </w:rPr>
      </w:pPr>
    </w:p>
    <w:p w14:paraId="62CF6C6B" w14:textId="4D403F8C" w:rsidR="007E76D2" w:rsidRPr="001745B3" w:rsidRDefault="007E76D2" w:rsidP="00E524AF">
      <w:pPr>
        <w:pStyle w:val="Titre4niveau4"/>
      </w:pPr>
      <w:r>
        <w:t>Les centres nationaux de modélisation du climat</w:t>
      </w:r>
    </w:p>
    <w:p w14:paraId="4A7F2E98" w14:textId="77777777" w:rsidR="007E76D2" w:rsidRDefault="007E76D2" w:rsidP="007E76D2">
      <w:pPr>
        <w:rPr>
          <w:color w:val="000000"/>
          <w:szCs w:val="22"/>
        </w:rPr>
      </w:pPr>
      <w:r>
        <w:rPr>
          <w:color w:val="000000"/>
          <w:szCs w:val="22"/>
        </w:rPr>
        <w:t xml:space="preserve">Plusieurs centres de modélisation du climat existent en France qui ont conduit au développement de deux grands modèles climatiques, l'un développé par l'Institut Pierre-Simon-Laplace (IPSL) et l’autre par Météo-France. Ces modèles sont développés en partenariat avec de nombreuses unités de recherche en France. </w:t>
      </w:r>
    </w:p>
    <w:p w14:paraId="0C2B6260" w14:textId="77777777" w:rsidR="007E76D2" w:rsidRDefault="007E76D2" w:rsidP="007E76D2">
      <w:pPr>
        <w:rPr>
          <w:color w:val="000000"/>
          <w:szCs w:val="22"/>
        </w:rPr>
      </w:pPr>
    </w:p>
    <w:p w14:paraId="7769B897" w14:textId="5ACEAFA1" w:rsidR="007E76D2" w:rsidRDefault="007E76D2" w:rsidP="003F57EA">
      <w:pPr>
        <w:numPr>
          <w:ilvl w:val="0"/>
          <w:numId w:val="64"/>
        </w:numPr>
        <w:suppressAutoHyphens/>
        <w:ind w:left="567" w:hanging="283"/>
        <w:rPr>
          <w:color w:val="000000"/>
          <w:szCs w:val="22"/>
        </w:rPr>
      </w:pPr>
      <w:r>
        <w:rPr>
          <w:color w:val="000000"/>
          <w:szCs w:val="22"/>
        </w:rPr>
        <w:t>L'Institut Pierre et Simon Laplace (IPSL), créé en 1995, regroupe 9 laboratoires</w:t>
      </w:r>
      <w:r>
        <w:rPr>
          <w:rStyle w:val="Caractresdenotedebasdepage"/>
          <w:color w:val="000000"/>
          <w:szCs w:val="22"/>
        </w:rPr>
        <w:footnoteReference w:id="79"/>
      </w:r>
      <w:r w:rsidR="001745B3">
        <w:rPr>
          <w:color w:val="000000"/>
          <w:szCs w:val="22"/>
        </w:rPr>
        <w:t xml:space="preserve"> de Paris et sa région</w:t>
      </w:r>
      <w:r>
        <w:rPr>
          <w:color w:val="000000"/>
          <w:szCs w:val="22"/>
        </w:rPr>
        <w:t xml:space="preserve"> dont les thématiques de recherche concernent l’environnement global. Les tutelles de l’institut sont le CNRS, le CNES, le CEA, l’IRD, l’ENS, l’Ecole Polytechnique, Sorbonne Université, l’Université Paris Cité, l’Université Paris-Est Créteil et l’Université Paris-Saclay. Les laboratoires partenaires de l’institut ont élaboré une stratégie commune pour l’étude du « Système Terre » dans sa globalité (système climatique</w:t>
      </w:r>
      <w:r>
        <w:rPr>
          <w:rFonts w:ascii="Arial" w:hAnsi="Arial" w:cs="Arial"/>
          <w:color w:val="000000"/>
          <w:szCs w:val="22"/>
        </w:rPr>
        <w:t xml:space="preserve"> </w:t>
      </w:r>
      <w:r>
        <w:rPr>
          <w:color w:val="000000"/>
          <w:szCs w:val="22"/>
        </w:rPr>
        <w:t>de la</w:t>
      </w:r>
      <w:r>
        <w:rPr>
          <w:rFonts w:ascii="Arial" w:hAnsi="Arial" w:cs="Arial"/>
          <w:color w:val="000000"/>
          <w:szCs w:val="22"/>
        </w:rPr>
        <w:t xml:space="preserve"> </w:t>
      </w:r>
      <w:r>
        <w:rPr>
          <w:color w:val="000000"/>
          <w:szCs w:val="22"/>
        </w:rPr>
        <w:t xml:space="preserve">Terre, variabilité et changement climatique, chimie atmosphérique et qualité de l’air, environnement et société) ainsi que pour l’étude d’autres objets du Système solaire. </w:t>
      </w:r>
    </w:p>
    <w:p w14:paraId="2DDB7025" w14:textId="77777777" w:rsidR="007E76D2" w:rsidRDefault="007E76D2" w:rsidP="007E76D2">
      <w:pPr>
        <w:ind w:left="567"/>
        <w:rPr>
          <w:color w:val="000000"/>
          <w:szCs w:val="22"/>
        </w:rPr>
      </w:pPr>
      <w:r>
        <w:rPr>
          <w:color w:val="000000"/>
          <w:szCs w:val="22"/>
        </w:rPr>
        <w:t xml:space="preserve">Les laboratoires de l’IPSL ont mis en place des services communs et de grands projets scientifiques pour servir sa stratégie scientifique autour du climat. </w:t>
      </w:r>
    </w:p>
    <w:p w14:paraId="5669F583" w14:textId="77777777" w:rsidR="007E76D2" w:rsidRDefault="007E76D2" w:rsidP="003F57EA">
      <w:pPr>
        <w:numPr>
          <w:ilvl w:val="1"/>
          <w:numId w:val="65"/>
        </w:numPr>
        <w:suppressAutoHyphens/>
        <w:rPr>
          <w:color w:val="000000"/>
          <w:szCs w:val="22"/>
        </w:rPr>
      </w:pPr>
      <w:r>
        <w:rPr>
          <w:color w:val="000000"/>
          <w:szCs w:val="22"/>
        </w:rPr>
        <w:t xml:space="preserve">Le Pôle de modélisation du climat étudie la variabilité naturelle et anthropique du système climatique de la Terre et développe un outil numérique qui résulte du couplage des modèles d’atmosphère, d’océan, des surfaces continentales et de la chimie atmosphérique développés dans les laboratoires de l’IPSL. </w:t>
      </w:r>
    </w:p>
    <w:p w14:paraId="39FC73AA" w14:textId="77777777" w:rsidR="007E76D2" w:rsidRDefault="007E76D2" w:rsidP="003F57EA">
      <w:pPr>
        <w:numPr>
          <w:ilvl w:val="1"/>
          <w:numId w:val="65"/>
        </w:numPr>
        <w:suppressAutoHyphens/>
        <w:rPr>
          <w:color w:val="000000"/>
          <w:szCs w:val="22"/>
        </w:rPr>
      </w:pPr>
      <w:r>
        <w:rPr>
          <w:color w:val="000000"/>
          <w:szCs w:val="22"/>
        </w:rPr>
        <w:t xml:space="preserve">Le Centre de données gère les données et les met à disposition des équipes de l’IPSL. Au plan national, il est responsable des données du pôle thématique ETHER sur la chimie atmosphérique et participe au centre d’expertise ICARE spécialisé dans l’étude des aérosols et des nuages, regroupés dans l’infrastructure AERIS. </w:t>
      </w:r>
    </w:p>
    <w:p w14:paraId="24EE08C4" w14:textId="77777777" w:rsidR="007E76D2" w:rsidRDefault="007E76D2" w:rsidP="003F57EA">
      <w:pPr>
        <w:numPr>
          <w:ilvl w:val="1"/>
          <w:numId w:val="65"/>
        </w:numPr>
        <w:suppressAutoHyphens/>
        <w:rPr>
          <w:color w:val="000000"/>
          <w:szCs w:val="22"/>
        </w:rPr>
      </w:pPr>
      <w:r>
        <w:rPr>
          <w:color w:val="000000"/>
          <w:szCs w:val="22"/>
        </w:rPr>
        <w:t xml:space="preserve">L’IPSL a la charge de plusieurs services d’observation (suivi de l’ozone stratosphérique, des gaz à effet de serre et des flux de carbone dans l’océan et l’atmosphère) et de modélisation (océan et pollution atmosphérique) ainsi que d’un site instrumental tous labellisés par le CNRS-INSU. </w:t>
      </w:r>
    </w:p>
    <w:p w14:paraId="6E1AF206" w14:textId="77777777" w:rsidR="007E76D2" w:rsidRDefault="007E76D2" w:rsidP="003F57EA">
      <w:pPr>
        <w:numPr>
          <w:ilvl w:val="1"/>
          <w:numId w:val="65"/>
        </w:numPr>
        <w:suppressAutoHyphens/>
        <w:rPr>
          <w:color w:val="000000"/>
          <w:szCs w:val="22"/>
        </w:rPr>
      </w:pPr>
      <w:r>
        <w:rPr>
          <w:color w:val="000000"/>
          <w:szCs w:val="22"/>
        </w:rPr>
        <w:t>Le Pôle "Climats et environnements régionaux" s’intéresse au cycle de l’eau et aux processus de moyenne échelle qui interviennent dans ce cycle.</w:t>
      </w:r>
    </w:p>
    <w:p w14:paraId="1AC3B855" w14:textId="77777777" w:rsidR="007E76D2" w:rsidRDefault="007E76D2" w:rsidP="007E76D2">
      <w:pPr>
        <w:rPr>
          <w:color w:val="000000"/>
          <w:szCs w:val="22"/>
        </w:rPr>
      </w:pPr>
    </w:p>
    <w:p w14:paraId="61835AEF" w14:textId="29139B6D" w:rsidR="007E76D2" w:rsidRDefault="007E76D2" w:rsidP="003F57EA">
      <w:pPr>
        <w:numPr>
          <w:ilvl w:val="0"/>
          <w:numId w:val="64"/>
        </w:numPr>
        <w:suppressAutoHyphens/>
        <w:ind w:left="567" w:hanging="283"/>
        <w:rPr>
          <w:color w:val="000000"/>
          <w:szCs w:val="22"/>
        </w:rPr>
      </w:pPr>
      <w:r>
        <w:rPr>
          <w:color w:val="000000"/>
          <w:szCs w:val="22"/>
        </w:rPr>
        <w:t>Météo-France est le service météorologique et climatologique national. Son budget annuel est de 362 M€ (2020)</w:t>
      </w:r>
      <w:r w:rsidR="00115021">
        <w:rPr>
          <w:color w:val="000000"/>
          <w:szCs w:val="22"/>
        </w:rPr>
        <w:t xml:space="preserve">. </w:t>
      </w:r>
      <w:r>
        <w:rPr>
          <w:color w:val="000000"/>
          <w:szCs w:val="22"/>
        </w:rPr>
        <w:t>Sa mission première consiste à assurer la sécurité météorologique des personnes et des biens en effectuant des observations sur tout le territoire national (métropole et territoires outre-mer) et des prévisions météorologiques. Météo-France joue un rôle significatif au sein des principaux organismes de coopération météorologique : l'Organisation météorologique mondiale (OMM), le Centre européen pour les prévisions météorologiques à moyen terme (CEPMMT), Eumetsat, l'opérateur des satellites météorologiques européens, et Eumetnet.</w:t>
      </w:r>
    </w:p>
    <w:p w14:paraId="07447CA9" w14:textId="77777777" w:rsidR="007E76D2" w:rsidRDefault="007E76D2" w:rsidP="007E76D2">
      <w:pPr>
        <w:ind w:left="567"/>
        <w:rPr>
          <w:color w:val="000000"/>
          <w:szCs w:val="22"/>
        </w:rPr>
      </w:pPr>
      <w:r>
        <w:rPr>
          <w:color w:val="000000"/>
          <w:szCs w:val="22"/>
        </w:rPr>
        <w:t xml:space="preserve">Les activités de recherche de Météo-France, représentent une contribution importante aux efforts de la communauté scientifique française, européenne et internationale dans les domaines de la météorologie et de la climatologie. </w:t>
      </w:r>
    </w:p>
    <w:p w14:paraId="1FA5AA16" w14:textId="2BE549E2" w:rsidR="002B29B0" w:rsidRDefault="007E76D2" w:rsidP="002B29B0">
      <w:pPr>
        <w:rPr>
          <w:rFonts w:asciiTheme="minorHAnsi" w:hAnsiTheme="minorHAnsi"/>
          <w:color w:val="000000"/>
          <w:szCs w:val="22"/>
        </w:rPr>
      </w:pPr>
      <w:r>
        <w:rPr>
          <w:color w:val="000000"/>
          <w:szCs w:val="22"/>
        </w:rPr>
        <w:t>Le centre national de recherches météorologiques (CNRM) est une unité mixte de recherche entre le CNRS et Météo-France. Il regroupe environ 80 chercheurs, 150 ingénieurs, techniciens et administratifs. Il assure l'essentiel de ses activités et coordonne l'ensemble des actions de R&amp;D de Météo-France. Il est constitué de six unités de recherche et d'un ensemble de services communs répartis sur plusieurs sites en France : principalement la Météopole à Toulouse (environ 80</w:t>
      </w:r>
      <w:r w:rsidR="006518EF">
        <w:rPr>
          <w:color w:val="000000"/>
          <w:szCs w:val="22"/>
        </w:rPr>
        <w:t>%</w:t>
      </w:r>
      <w:r>
        <w:rPr>
          <w:color w:val="000000"/>
          <w:szCs w:val="22"/>
        </w:rPr>
        <w:t xml:space="preserve">) et Grenoble, avec le Centre d'études de la neige. Pour assurer ses missions et réaliser les expérimentations indispensables à l'acquisition de nouvelles connaissances, le CNRM s'appuie sur des moyens de haute technologie : supercalculateurs, satellites, avions instrumentés, drones, stations de mesure fixes ou mobiles, sites instrumentés en montagne, radars profileurs de vent, bouées ancrées et dérivantes, chambre froide. </w:t>
      </w:r>
      <w:r w:rsidR="002B29B0">
        <w:rPr>
          <w:color w:val="000000"/>
        </w:rPr>
        <w:t>En 2021, de manière à renforcer les services rendus à la collectivité, la puissance des calculateurs de Météo-France a été accrue d'un facteur 5,5 par rapport à la précédente configuration, mettant à disposition une puissance de calcul de 21,48 pétaflops répartie sur deux sites.</w:t>
      </w:r>
    </w:p>
    <w:p w14:paraId="696F2035" w14:textId="16502D0F" w:rsidR="007E76D2" w:rsidRDefault="007E76D2" w:rsidP="002B29B0">
      <w:pPr>
        <w:ind w:left="567"/>
        <w:rPr>
          <w:color w:val="000000"/>
          <w:szCs w:val="22"/>
        </w:rPr>
      </w:pPr>
    </w:p>
    <w:p w14:paraId="67336FA9" w14:textId="77777777" w:rsidR="007E76D2" w:rsidRDefault="007E76D2" w:rsidP="007E76D2">
      <w:pPr>
        <w:rPr>
          <w:color w:val="000000"/>
          <w:szCs w:val="22"/>
        </w:rPr>
      </w:pPr>
    </w:p>
    <w:p w14:paraId="78F3960B" w14:textId="481BD458" w:rsidR="007E76D2" w:rsidRPr="00115021" w:rsidRDefault="007E76D2" w:rsidP="00E524AF">
      <w:pPr>
        <w:pStyle w:val="titreencadre"/>
      </w:pPr>
      <w:r>
        <w:t>Infrastructure nationale de modélisation du climat (ClimERI-France)</w:t>
      </w:r>
    </w:p>
    <w:p w14:paraId="33D02F70" w14:textId="2B43AA27" w:rsidR="007E76D2" w:rsidRDefault="007E76D2" w:rsidP="00115021">
      <w:pPr>
        <w:rPr>
          <w:rFonts w:ascii="Arial" w:eastAsia="Symbol" w:hAnsi="Arial" w:cs="Arial"/>
          <w:color w:val="000000"/>
          <w:szCs w:val="22"/>
        </w:rPr>
      </w:pPr>
      <w:r>
        <w:rPr>
          <w:color w:val="000000"/>
          <w:szCs w:val="22"/>
        </w:rPr>
        <w:t xml:space="preserve">ClimERI-France, </w:t>
      </w:r>
      <w:r>
        <w:rPr>
          <w:rFonts w:eastAsia="Symbol"/>
          <w:color w:val="000000"/>
          <w:szCs w:val="22"/>
        </w:rPr>
        <w:t>associant le CNRS, le CEA, Météo-France, Sorbonne Université, l’IRD, le Cerfacs et le GENCI, a pour mission la réalisation des simulations numériques internationales du Programme mondial de recherches sur le climat et la mise à disposition de leurs résultats pour divers utilisateurs. Ces expériences coordonnées visent à comprendre le fonctionnement du système climatique, à évaluer les capacités des modèles de climat par la définition d’expériences standard, à soutenir des études de mécanismes et de processus et à produire des projections de l’évolution future du climat. Ces expériences contribuent à l’élaboration des rapports du GIEC. ClimERI-France inclut les ressources</w:t>
      </w:r>
      <w:r>
        <w:rPr>
          <w:rFonts w:ascii="Arial" w:eastAsia="Symbol" w:hAnsi="Arial" w:cs="Arial"/>
          <w:color w:val="000000"/>
          <w:szCs w:val="22"/>
        </w:rPr>
        <w:t xml:space="preserve"> </w:t>
      </w:r>
      <w:r>
        <w:rPr>
          <w:rFonts w:eastAsia="Symbol"/>
          <w:color w:val="000000"/>
          <w:szCs w:val="22"/>
        </w:rPr>
        <w:t>humaines assurant</w:t>
      </w:r>
      <w:r>
        <w:rPr>
          <w:rFonts w:ascii="Arial" w:eastAsia="Symbol" w:hAnsi="Arial" w:cs="Arial"/>
          <w:color w:val="000000"/>
          <w:szCs w:val="22"/>
        </w:rPr>
        <w:t xml:space="preserve"> </w:t>
      </w:r>
      <w:r>
        <w:rPr>
          <w:rFonts w:eastAsia="Symbol"/>
          <w:color w:val="000000"/>
          <w:szCs w:val="22"/>
        </w:rPr>
        <w:t>la</w:t>
      </w:r>
      <w:r>
        <w:rPr>
          <w:rFonts w:ascii="Arial" w:eastAsia="Symbol" w:hAnsi="Arial" w:cs="Arial"/>
          <w:color w:val="000000"/>
          <w:szCs w:val="22"/>
        </w:rPr>
        <w:t xml:space="preserve"> </w:t>
      </w:r>
      <w:r>
        <w:rPr>
          <w:rFonts w:eastAsia="Symbol"/>
          <w:color w:val="000000"/>
          <w:szCs w:val="22"/>
        </w:rPr>
        <w:t>mise au point et la maintenance des codes et des outils nécessaires à leur utilisation, la préparation des versions de référence des codes, l’exploitation des données produites par les simulations, les ressources de calcul permettant la réalisation des expériences internationales ainsi que les capacités de stockage des données et l’infrastructure logicielle permettant la gestion et le contrôle du flux de données et de métadonnées. L’infrastructure offre un service d’accès aux données et d’analyse des résultats des modèles climatiques globaux, régionaux ainsi qu’aux simulations sur la France, dans le cadre du développement des services climatiques coordonné au niveau national par l’alliance nationale de recherche en environnement, AllEnvi.</w:t>
      </w:r>
      <w:r w:rsidR="009F4720">
        <w:rPr>
          <w:rFonts w:ascii="Arial" w:eastAsia="Symbol" w:hAnsi="Arial" w:cs="Arial"/>
          <w:color w:val="000000"/>
          <w:szCs w:val="22"/>
        </w:rPr>
        <w:t xml:space="preserve"> </w:t>
      </w:r>
    </w:p>
    <w:p w14:paraId="54B8B6E0" w14:textId="77777777" w:rsidR="007E76D2" w:rsidRDefault="007E76D2" w:rsidP="007E76D2">
      <w:pPr>
        <w:rPr>
          <w:rFonts w:ascii="Arial" w:eastAsia="Symbol" w:hAnsi="Arial" w:cs="Arial"/>
          <w:color w:val="000000"/>
          <w:szCs w:val="22"/>
        </w:rPr>
      </w:pPr>
    </w:p>
    <w:p w14:paraId="0C8C30E8" w14:textId="10D9F830" w:rsidR="007E76D2" w:rsidRPr="00115021" w:rsidRDefault="007E76D2" w:rsidP="00E524AF">
      <w:pPr>
        <w:pStyle w:val="Titre4niveau4"/>
      </w:pPr>
      <w:r>
        <w:t>La Stratégie Nationale de Recherche (SNR)</w:t>
      </w:r>
    </w:p>
    <w:p w14:paraId="793CE2E2" w14:textId="5633F2D6" w:rsidR="007E76D2" w:rsidRDefault="007E76D2" w:rsidP="007E76D2">
      <w:pPr>
        <w:rPr>
          <w:rFonts w:eastAsia="Symbol"/>
          <w:color w:val="000000"/>
          <w:szCs w:val="22"/>
        </w:rPr>
      </w:pPr>
      <w:r>
        <w:rPr>
          <w:rFonts w:eastAsia="Symbol"/>
          <w:color w:val="000000"/>
          <w:szCs w:val="22"/>
        </w:rPr>
        <w:t xml:space="preserve">Parmi les dix grands défis scientifiques énoncés dans la SNR (cf. </w:t>
      </w:r>
      <w:r w:rsidR="00115021">
        <w:rPr>
          <w:rFonts w:eastAsia="Symbol"/>
          <w:color w:val="000000"/>
          <w:szCs w:val="22"/>
        </w:rPr>
        <w:t>VIII.</w:t>
      </w:r>
      <w:r w:rsidR="00115021">
        <w:rPr>
          <w:rFonts w:eastAsia="Symbol"/>
          <w:color w:val="000000"/>
          <w:szCs w:val="22"/>
        </w:rPr>
        <w:fldChar w:fldCharType="begin"/>
      </w:r>
      <w:r w:rsidR="00115021">
        <w:rPr>
          <w:rFonts w:eastAsia="Symbol"/>
          <w:color w:val="000000"/>
          <w:szCs w:val="22"/>
        </w:rPr>
        <w:instrText xml:space="preserve"> REF _Ref121997625 \r \h </w:instrText>
      </w:r>
      <w:r w:rsidR="00115021">
        <w:rPr>
          <w:rFonts w:eastAsia="Symbol"/>
          <w:color w:val="000000"/>
          <w:szCs w:val="22"/>
        </w:rPr>
      </w:r>
      <w:r w:rsidR="00115021">
        <w:rPr>
          <w:rFonts w:eastAsia="Symbol"/>
          <w:color w:val="000000"/>
          <w:szCs w:val="22"/>
        </w:rPr>
        <w:fldChar w:fldCharType="separate"/>
      </w:r>
      <w:r w:rsidR="00AB51D9">
        <w:rPr>
          <w:rFonts w:eastAsia="Symbol"/>
          <w:color w:val="000000"/>
          <w:szCs w:val="22"/>
        </w:rPr>
        <w:t>A.1.3</w:t>
      </w:r>
      <w:r w:rsidR="00115021">
        <w:rPr>
          <w:rFonts w:eastAsia="Symbol"/>
          <w:color w:val="000000"/>
          <w:szCs w:val="22"/>
        </w:rPr>
        <w:fldChar w:fldCharType="end"/>
      </w:r>
      <w:r>
        <w:rPr>
          <w:rFonts w:eastAsia="Symbol"/>
          <w:color w:val="000000"/>
          <w:szCs w:val="22"/>
        </w:rPr>
        <w:t>) la moitié concerne la recherche climatique mais aussi les impacts du changement climatique notamment sur les grandes enveloppes terrestres dont les océans, l’atmosphère et la zone critique</w:t>
      </w:r>
      <w:r>
        <w:rPr>
          <w:rStyle w:val="Caractresdenotedebasdepage"/>
          <w:rFonts w:eastAsia="Symbol"/>
          <w:color w:val="000000"/>
          <w:szCs w:val="22"/>
        </w:rPr>
        <w:footnoteReference w:id="80"/>
      </w:r>
      <w:r>
        <w:rPr>
          <w:rFonts w:eastAsia="Symbol"/>
          <w:color w:val="000000"/>
          <w:szCs w:val="22"/>
        </w:rPr>
        <w:t>. Cette recherche s’intéresse aussi aux vulnérabilités et aux adaptations nécessaires.</w:t>
      </w:r>
    </w:p>
    <w:p w14:paraId="2FD8F78E" w14:textId="77777777" w:rsidR="007E76D2" w:rsidRDefault="007E76D2" w:rsidP="007E76D2">
      <w:pPr>
        <w:rPr>
          <w:rFonts w:eastAsia="Symbol"/>
          <w:color w:val="000000"/>
          <w:szCs w:val="22"/>
        </w:rPr>
      </w:pPr>
      <w:r>
        <w:rPr>
          <w:rFonts w:eastAsia="Symbol"/>
          <w:color w:val="000000"/>
          <w:szCs w:val="22"/>
        </w:rPr>
        <w:t>Le défi « Gestion sobre des ressources et adaptation au changement climatique » (ou défi 1) concentre la recherche sur le climat. En 2017, ce défi se déclinait en 6 axes de recherche :</w:t>
      </w:r>
    </w:p>
    <w:p w14:paraId="319DDB61"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Axe 1 : Connaissances fondamentales en relation avec le défi (milieux et biodiversité).</w:t>
      </w:r>
    </w:p>
    <w:p w14:paraId="0FF5D515"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Axe 2 : Dynamiques des écosystèmes et de leurs composants en vue de leur gestion durable</w:t>
      </w:r>
    </w:p>
    <w:p w14:paraId="64FC4CFC"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Axe 3 : Environnement-Santé - « One Health »</w:t>
      </w:r>
    </w:p>
    <w:p w14:paraId="3E224EE4"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 xml:space="preserve">Axe 4 : Innovations scientifiques et technologiques pour accompagner la transition écologique </w:t>
      </w:r>
    </w:p>
    <w:p w14:paraId="45395785"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Axe 5 : Les sociétés face aux changements environnementaux</w:t>
      </w:r>
    </w:p>
    <w:p w14:paraId="43DF693A"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Axe 6 : Approches intégrées pour un développement durable des territoires</w:t>
      </w:r>
    </w:p>
    <w:p w14:paraId="6CD49CBA" w14:textId="77777777" w:rsidR="007E76D2" w:rsidRDefault="007E76D2" w:rsidP="007E76D2">
      <w:pPr>
        <w:rPr>
          <w:rFonts w:eastAsia="Symbol"/>
          <w:color w:val="000000"/>
          <w:szCs w:val="22"/>
        </w:rPr>
      </w:pPr>
    </w:p>
    <w:p w14:paraId="338D706D" w14:textId="77777777" w:rsidR="007E76D2" w:rsidRDefault="007E76D2" w:rsidP="007E76D2">
      <w:pPr>
        <w:rPr>
          <w:rFonts w:eastAsia="Symbol"/>
          <w:color w:val="000000"/>
          <w:szCs w:val="22"/>
        </w:rPr>
      </w:pPr>
      <w:r>
        <w:rPr>
          <w:rFonts w:eastAsia="Symbol"/>
          <w:color w:val="000000"/>
          <w:szCs w:val="22"/>
        </w:rPr>
        <w:t xml:space="preserve">Les trois autres grands défis ciblant aussi, directement ou indirectement, des questions de recherche sur le climat et de ses impacts sont les suivants : </w:t>
      </w:r>
    </w:p>
    <w:p w14:paraId="541ECBF4"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 xml:space="preserve">Défi 2 : Une énergie propre, sûre et efficace </w:t>
      </w:r>
    </w:p>
    <w:p w14:paraId="3C833EFC"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Défi 5 : Sécurité alimentaire et défi démographique</w:t>
      </w:r>
    </w:p>
    <w:p w14:paraId="1214203E"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Défi 6 : Transports et systèmes urbains durables</w:t>
      </w:r>
    </w:p>
    <w:p w14:paraId="2925A412" w14:textId="77777777" w:rsidR="007E76D2" w:rsidRDefault="007E76D2" w:rsidP="007E76D2">
      <w:pPr>
        <w:rPr>
          <w:rFonts w:eastAsia="Symbol"/>
          <w:color w:val="000000"/>
          <w:szCs w:val="22"/>
        </w:rPr>
      </w:pPr>
    </w:p>
    <w:p w14:paraId="24140D33" w14:textId="77777777" w:rsidR="007E76D2" w:rsidRDefault="007E76D2" w:rsidP="007E76D2">
      <w:pPr>
        <w:rPr>
          <w:rFonts w:eastAsia="Symbol"/>
          <w:color w:val="000000"/>
          <w:szCs w:val="22"/>
        </w:rPr>
      </w:pPr>
      <w:r>
        <w:rPr>
          <w:rFonts w:eastAsia="Symbol"/>
          <w:color w:val="000000"/>
          <w:szCs w:val="22"/>
        </w:rPr>
        <w:t xml:space="preserve">De l’ensemble des orientations de recherche des défis sociétaux se dégagent plusieurs enjeux à fort impact potentiel, qui nécessitent des actions coordonnées allant au-delà de la programmation habituelle de la recherche et des objectifs établis avec les organismes de recherche. Parmi les cinq enjeux considérés par la France comme devant être traités avec une urgence particulière, compte tenu de la diversité de leurs impacts économiques et sociaux, des dynamiques internationales en cours, et de la maturité des actions envisagées, deux concernent la recherche climatique : </w:t>
      </w:r>
    </w:p>
    <w:p w14:paraId="304B1C05"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Big data avec l’explosion du volume de données numériques notamment pour le domaine environnement-climatologie qui représentent un gisement exceptionnel de connaissances nouvelles ;</w:t>
      </w:r>
    </w:p>
    <w:p w14:paraId="4C7EB206" w14:textId="77777777" w:rsidR="007E76D2" w:rsidRDefault="007E76D2" w:rsidP="003F57EA">
      <w:pPr>
        <w:numPr>
          <w:ilvl w:val="0"/>
          <w:numId w:val="64"/>
        </w:numPr>
        <w:suppressAutoHyphens/>
        <w:ind w:left="567" w:hanging="283"/>
        <w:rPr>
          <w:rFonts w:eastAsia="Symbol"/>
          <w:color w:val="000000"/>
          <w:szCs w:val="22"/>
        </w:rPr>
      </w:pPr>
      <w:r>
        <w:rPr>
          <w:rFonts w:eastAsia="Symbol"/>
          <w:color w:val="000000"/>
          <w:szCs w:val="22"/>
        </w:rPr>
        <w:t>Système Terre : observation, prévision et adaptation. La compréhension et l’observation du système Terre, ainsi que les prévisions sur son évolution impliquent l’organisation, l’acquisition et l’exploitation des données d’observation de la Terre. Ce domaine constitue clairement un enjeu sociétal et économique majeur dans un contexte marqué par le dérèglement climatique, la raréfaction et la dégradation de certaines ressources naturelles.</w:t>
      </w:r>
    </w:p>
    <w:p w14:paraId="33807196" w14:textId="77777777" w:rsidR="007E76D2" w:rsidRDefault="007E76D2" w:rsidP="007E76D2">
      <w:pPr>
        <w:rPr>
          <w:rFonts w:eastAsia="Symbol"/>
          <w:color w:val="000000"/>
          <w:szCs w:val="22"/>
        </w:rPr>
      </w:pPr>
    </w:p>
    <w:p w14:paraId="487042C2" w14:textId="679CC05A" w:rsidR="007E76D2" w:rsidRPr="00E22CF8" w:rsidRDefault="007E76D2" w:rsidP="00E524AF">
      <w:pPr>
        <w:pStyle w:val="Titre4niveau4"/>
        <w:rPr>
          <w:u w:val="single"/>
        </w:rPr>
      </w:pPr>
      <w:r>
        <w:t>Le programme des investissements d'avenir</w:t>
      </w:r>
    </w:p>
    <w:p w14:paraId="15BDDA2E" w14:textId="77777777" w:rsidR="007E76D2" w:rsidRDefault="007E76D2" w:rsidP="007E76D2">
      <w:pPr>
        <w:pStyle w:val="NormalWeb"/>
        <w:spacing w:before="0" w:after="0"/>
        <w:rPr>
          <w:color w:val="000000"/>
          <w:szCs w:val="22"/>
        </w:rPr>
      </w:pPr>
      <w:r>
        <w:rPr>
          <w:color w:val="000000"/>
          <w:szCs w:val="22"/>
        </w:rPr>
        <w:t>La France dispose d’une expertise scientifique reconnue dans le domaine de la modélisation climatique et sur les systèmes d’observation ciblant les grandes enveloppes fluides de la planète (atmosphère, océans, hydrosphère continentale) et la biosphère, Le programme des investissements d’avenir a</w:t>
      </w:r>
      <w:r>
        <w:rPr>
          <w:rFonts w:ascii="Arial" w:hAnsi="Arial" w:cs="Arial"/>
          <w:color w:val="000000"/>
          <w:szCs w:val="22"/>
        </w:rPr>
        <w:t xml:space="preserve"> </w:t>
      </w:r>
      <w:r>
        <w:rPr>
          <w:color w:val="000000"/>
          <w:szCs w:val="22"/>
        </w:rPr>
        <w:t>permis</w:t>
      </w:r>
      <w:r>
        <w:rPr>
          <w:rFonts w:ascii="Arial" w:hAnsi="Arial" w:cs="Arial"/>
          <w:color w:val="000000"/>
          <w:szCs w:val="22"/>
        </w:rPr>
        <w:t xml:space="preserve"> </w:t>
      </w:r>
      <w:r>
        <w:rPr>
          <w:color w:val="000000"/>
          <w:szCs w:val="22"/>
        </w:rPr>
        <w:t>le renforcement des moyens nationaux de recherche par la création de laboratoires d’excellence et d’équipements d’excellence.</w:t>
      </w:r>
    </w:p>
    <w:p w14:paraId="2F67D80D" w14:textId="77777777" w:rsidR="007E76D2" w:rsidRDefault="007E76D2" w:rsidP="007E76D2">
      <w:pPr>
        <w:pStyle w:val="NormalWeb"/>
        <w:rPr>
          <w:color w:val="000000"/>
          <w:szCs w:val="22"/>
        </w:rPr>
      </w:pPr>
      <w:r>
        <w:rPr>
          <w:color w:val="000000"/>
          <w:szCs w:val="22"/>
        </w:rPr>
        <w:t>Ainsi, la capacité de la recherche française sur le climat et l’environnement a été renforcée par la création de quatorze laboratoires d’excellence (labEx) soutenus par 133 M€ sur 10 ans.</w:t>
      </w:r>
    </w:p>
    <w:p w14:paraId="3DD82D2F"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AGRO (Montpellier) :</w:t>
      </w:r>
      <w:r w:rsidRPr="00115021">
        <w:rPr>
          <w:color w:val="000000"/>
          <w:szCs w:val="22"/>
          <w:shd w:val="clear" w:color="auto" w:fill="FFFFFF"/>
        </w:rPr>
        <w:t xml:space="preserve"> </w:t>
      </w:r>
      <w:r w:rsidRPr="00115021">
        <w:rPr>
          <w:color w:val="000000"/>
          <w:szCs w:val="22"/>
        </w:rPr>
        <w:t>Le LabEx Agro est centré sur les plantes d'intérêt agronomique. Il rassemble plus de 1200 scientifiques constituant un continuum de compétences pluridisciplinaires (sciences biologiques, sciences de l'ingénieur, sciences humaines et sociales) allant de l'étude des gènes jusqu'à l'utilisation finale des plantes, et bénéficiant d'une expertise reconnue sur un grand nombre d'espèces végétales tempérées, méditerranéennes et tropicales.</w:t>
      </w:r>
    </w:p>
    <w:p w14:paraId="294A4256"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ARBRE (Recherches Avancées sur la Biologie de l’Arbre et les Ecosystèmes Forestiers ; Lorraine). L’objectif général du labEx ARBRE est de comprendre les mécanismes qui régissent l’évolution des écosystèmes forestiers, pour prévoir leurs réponses à moyen et long terme aux changements globaux et mettre au point des méthodes de gestion adaptées permettant d’assurer leur durabilité ou leur mutation.</w:t>
      </w:r>
    </w:p>
    <w:p w14:paraId="1C472408" w14:textId="77777777" w:rsidR="00115021" w:rsidRDefault="007E76D2" w:rsidP="003F57EA">
      <w:pPr>
        <w:pStyle w:val="ListParagraph"/>
        <w:numPr>
          <w:ilvl w:val="0"/>
          <w:numId w:val="67"/>
        </w:numPr>
        <w:suppressAutoHyphens/>
        <w:rPr>
          <w:color w:val="000000"/>
          <w:szCs w:val="22"/>
        </w:rPr>
      </w:pPr>
      <w:r w:rsidRPr="00115021">
        <w:rPr>
          <w:color w:val="000000"/>
          <w:szCs w:val="22"/>
        </w:rPr>
        <w:t>BASC (Biodiversité, Agroécosystèmes, Société, Climat ; Paris-Saclay) se propose d'explorer comment les activités humaines interagissent avec les écosystèmes, et par quels moyens il est possible de remédier à la dégradation de la biodiversité et de l’environnement que celles-ci induisent.</w:t>
      </w:r>
    </w:p>
    <w:p w14:paraId="3EA55326" w14:textId="3377F6E3" w:rsidR="007E76D2" w:rsidRPr="00115021" w:rsidRDefault="007E76D2" w:rsidP="003F57EA">
      <w:pPr>
        <w:pStyle w:val="ListParagraph"/>
        <w:numPr>
          <w:ilvl w:val="0"/>
          <w:numId w:val="67"/>
        </w:numPr>
        <w:suppressAutoHyphens/>
        <w:rPr>
          <w:color w:val="000000"/>
          <w:szCs w:val="22"/>
        </w:rPr>
      </w:pPr>
      <w:r w:rsidRPr="00115021">
        <w:rPr>
          <w:color w:val="000000"/>
          <w:szCs w:val="22"/>
        </w:rPr>
        <w:t xml:space="preserve">CAPPA (Physique et Chimie de l’environnement atmosphérique ; Lille) : Le laboratoire d’excellence CaPPA -– s’intéresse d’une part au système « aérosols » et précurseurs pour mieux appréhender leur rôle sur le forçage climatique et le cycle hydrologique, et d’autre part à l’évolution de la qualité de l’air aux échelles globale, régionale et locale, avec des études spécifiques consacrées aux radionucléides. </w:t>
      </w:r>
    </w:p>
    <w:p w14:paraId="6773BD22"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CEBA (Centre d’étude de la biodiversité amazonienne) : Basé en Guyane française, le Laboratoire d’excellence CEBA favorise l’innovation dans la recherche sur la biodiversité tropicale. Il fédère un réseau d’équipes de recherche françaises de haut niveau, contribue à la formation universitaire et encourage les collaborations scientifiques avec les pays d’Amérique du Sud.</w:t>
      </w:r>
    </w:p>
    <w:p w14:paraId="5E2BA382"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CeMEB (Centre Méditerranéen de l’Environnement et de la Biodiversité ; Montpellier). Les recherches conduites dans CeMEB s’intéressent à la dynamique et au fonctionnement de la biodiversité et des écosystèmes dans un contexte de changements environnementaux marqués, induits en particulier par les activités humaines. Un objectif important est de prévoir les conséquences biologiques des changements planétaires à l'aide de scénarios, et d’anticiper l'évolution des services écosystémiques et des sociétés humaines.</w:t>
      </w:r>
    </w:p>
    <w:p w14:paraId="4B2C8A1E" w14:textId="17A95884" w:rsidR="007E76D2" w:rsidRPr="00115021" w:rsidRDefault="007E76D2" w:rsidP="003F57EA">
      <w:pPr>
        <w:pStyle w:val="ListParagraph"/>
        <w:numPr>
          <w:ilvl w:val="0"/>
          <w:numId w:val="67"/>
        </w:numPr>
        <w:suppressAutoHyphens/>
        <w:rPr>
          <w:color w:val="000000"/>
          <w:szCs w:val="22"/>
        </w:rPr>
      </w:pPr>
      <w:r w:rsidRPr="00115021">
        <w:rPr>
          <w:color w:val="000000"/>
          <w:szCs w:val="22"/>
        </w:rPr>
        <w:t>CORAIL (Perpignan) : Ce labEx a pour objectif de fournir une véritable plateforme de connaissance sur les écosystèmes coralliens, utilisée pour un meilleur management de ceux-ci.</w:t>
      </w:r>
    </w:p>
    <w:p w14:paraId="06BB7D37"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COTE (Bordeaux) : COTE réunit des chercheurs en biologie, physique, chimie et sciences socio-économiques, pour comprendre et prévoir les réponses des écosystèmes, continentaux et côtiers, aux changements environnementaux induits par l’Homme et pour fournir des outils et des méthodes de régulation ou de conduite de leur évolution.</w:t>
      </w:r>
    </w:p>
    <w:p w14:paraId="61BF5210"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 xml:space="preserve">ITEM (Innovation et Territoires de Montagne ; Grenoble): Ce labEx constitue un pôle de référence des recherches en sciences humaines et sociales sur la montagne, qui a pour objectif d’apporter aux territoires de montagne la capacité d’analyse et d’expertise qu’appelle les différentes formes de changements auxquelles ils sont confrontés dont le climat. </w:t>
      </w:r>
    </w:p>
    <w:p w14:paraId="03BC1AAA"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 xml:space="preserve">L-IPSL (Paris). Le labEx Pierre Simon Laplace a pour objectif de comprendre le climat et d’aider à anticiper les changements futurs. </w:t>
      </w:r>
    </w:p>
    <w:p w14:paraId="62579FFB"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 xml:space="preserve">LabexMER (Brest): Dans le contexte du changement climatique et d'une raréfaction des ressources, le LabexMER vise à renforcer les connaissances et la compréhension du fonctionnement de l'océan. </w:t>
      </w:r>
    </w:p>
    <w:p w14:paraId="56A1512D" w14:textId="77777777" w:rsidR="007E76D2" w:rsidRPr="00115021" w:rsidRDefault="007E76D2" w:rsidP="003F57EA">
      <w:pPr>
        <w:pStyle w:val="ListParagraph"/>
        <w:numPr>
          <w:ilvl w:val="0"/>
          <w:numId w:val="67"/>
        </w:numPr>
        <w:suppressAutoHyphens/>
        <w:rPr>
          <w:color w:val="000000"/>
          <w:szCs w:val="22"/>
        </w:rPr>
      </w:pPr>
      <w:r w:rsidRPr="00115021">
        <w:rPr>
          <w:color w:val="000000"/>
          <w:szCs w:val="22"/>
        </w:rPr>
        <w:t>OT-MED (Objectif Terre : Bassin Méditerranéen ; Aix en Provence) : l’objectif d’OT-Med est de créer un « Earth Institute » interdisciplinaire focalisant sur l’environnement dans le bassin Méditerranéen et les régions semi-arides du sud, en établissant des liens entre les sciences physico-biologiques des aléas naturels, en particulier liés au changement climatique, et les sciences de la société.</w:t>
      </w:r>
    </w:p>
    <w:p w14:paraId="05B401E5" w14:textId="1FC143DF" w:rsidR="007E76D2" w:rsidRPr="00115021" w:rsidRDefault="007E76D2" w:rsidP="003F57EA">
      <w:pPr>
        <w:pStyle w:val="ListParagraph"/>
        <w:numPr>
          <w:ilvl w:val="0"/>
          <w:numId w:val="67"/>
        </w:numPr>
        <w:suppressAutoHyphens/>
        <w:rPr>
          <w:color w:val="000000"/>
          <w:szCs w:val="22"/>
        </w:rPr>
      </w:pPr>
      <w:r w:rsidRPr="00115021">
        <w:rPr>
          <w:color w:val="000000"/>
          <w:szCs w:val="22"/>
        </w:rPr>
        <w:t>OSUG@2020 (Grenoble) :</w:t>
      </w:r>
      <w:r w:rsidR="00115021">
        <w:rPr>
          <w:color w:val="000000"/>
          <w:szCs w:val="22"/>
        </w:rPr>
        <w:t xml:space="preserve"> </w:t>
      </w:r>
      <w:r w:rsidRPr="00115021">
        <w:rPr>
          <w:color w:val="000000"/>
          <w:szCs w:val="22"/>
        </w:rPr>
        <w:t>Ce labex développe des stratégies innovantes pour l’observation et la modélisation des systèmes naturels.</w:t>
      </w:r>
    </w:p>
    <w:p w14:paraId="65B959CC" w14:textId="450D3EA7" w:rsidR="007E76D2" w:rsidRPr="00115021" w:rsidRDefault="007E76D2" w:rsidP="003F57EA">
      <w:pPr>
        <w:pStyle w:val="ListParagraph"/>
        <w:numPr>
          <w:ilvl w:val="0"/>
          <w:numId w:val="67"/>
        </w:numPr>
        <w:suppressAutoHyphens/>
        <w:rPr>
          <w:color w:val="000000"/>
          <w:szCs w:val="22"/>
        </w:rPr>
      </w:pPr>
      <w:r w:rsidRPr="00115021">
        <w:rPr>
          <w:color w:val="000000"/>
          <w:szCs w:val="22"/>
        </w:rPr>
        <w:t xml:space="preserve">VOLTAIRE (VOLatils – Terre, Atmosphère et Interactions - Ressources et Environnement) ; Orléans) : VOLTAIRE étudie les fluides naturels complexes de notre planète pour des applications aux ressources naturelles, au stockage du </w:t>
      </w:r>
      <w:r w:rsidR="007F09F7">
        <w:t>CO</w:t>
      </w:r>
      <w:r w:rsidR="007F09F7" w:rsidRPr="007F09F7">
        <w:rPr>
          <w:vertAlign w:val="subscript"/>
        </w:rPr>
        <w:t>2</w:t>
      </w:r>
      <w:r w:rsidRPr="00115021">
        <w:rPr>
          <w:color w:val="000000"/>
          <w:szCs w:val="22"/>
        </w:rPr>
        <w:t> et de l’énergie, à la géothermie, à la qualité de l’eau et la préservation des milieux, des sols et à la qualité de l’air et de la couche d’ozone. </w:t>
      </w:r>
    </w:p>
    <w:p w14:paraId="12B6DC60" w14:textId="77777777" w:rsidR="007E76D2" w:rsidRDefault="007E76D2" w:rsidP="007E76D2">
      <w:pPr>
        <w:pStyle w:val="NormalWeb"/>
        <w:spacing w:before="0" w:after="0"/>
        <w:rPr>
          <w:color w:val="000000"/>
          <w:szCs w:val="22"/>
        </w:rPr>
      </w:pPr>
    </w:p>
    <w:p w14:paraId="0C310C9F" w14:textId="0AF7BB90" w:rsidR="007E76D2" w:rsidRDefault="007E76D2" w:rsidP="007E76D2">
      <w:pPr>
        <w:pStyle w:val="NormalWeb"/>
        <w:spacing w:before="0" w:after="0"/>
        <w:rPr>
          <w:color w:val="000000"/>
          <w:szCs w:val="22"/>
        </w:rPr>
      </w:pPr>
      <w:r>
        <w:rPr>
          <w:color w:val="000000"/>
          <w:szCs w:val="22"/>
        </w:rPr>
        <w:t>Plusieurs équipements d’’excellence (EquipEx) ont été financés sur la période 20</w:t>
      </w:r>
      <w:r w:rsidR="00115021">
        <w:rPr>
          <w:color w:val="000000"/>
          <w:szCs w:val="22"/>
        </w:rPr>
        <w:t>10-2019 pour un total de 61 M€ :</w:t>
      </w:r>
      <w:r>
        <w:rPr>
          <w:color w:val="000000"/>
          <w:szCs w:val="22"/>
        </w:rPr>
        <w:t xml:space="preserve"> </w:t>
      </w:r>
    </w:p>
    <w:p w14:paraId="50BDD6A6"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ASTER-CEREGE : plateforme de géochimie isotopique pour l’analyse des éléments chimiques traceurs des variations du climat et de l’impact des activités humaines.</w:t>
      </w:r>
    </w:p>
    <w:p w14:paraId="1DE08290"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CRITEX : parc innovant d’instruments pour étudier la zone critique.</w:t>
      </w:r>
    </w:p>
    <w:p w14:paraId="48FD8323"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 xml:space="preserve">IAOSS : réseau de 15 plate-formes flottantes dans l’océan arctique visant à mesurer des paramètres climatiques. </w:t>
      </w:r>
    </w:p>
    <w:p w14:paraId="409CB1BA"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 xml:space="preserve">NAOS (contribution française au réseau international ARGO) : mesures de température et de salinité jusqu’à 2000 m de profondeur dans l’océan sur l’ensemble du globe sur une période de 20 ans. </w:t>
      </w:r>
    </w:p>
    <w:p w14:paraId="565B0882"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Climcor : carottiers innovants pour l’analyse à haute résolution des archives climatiques contenues dans les sédiments marins, continentaux ou glaciaires pour la recherche en paléoclimatologie.</w:t>
      </w:r>
    </w:p>
    <w:p w14:paraId="7D623831" w14:textId="77777777" w:rsidR="007E76D2" w:rsidRPr="00115021" w:rsidRDefault="007E76D2" w:rsidP="003F57EA">
      <w:pPr>
        <w:pStyle w:val="ListParagraph"/>
        <w:numPr>
          <w:ilvl w:val="0"/>
          <w:numId w:val="68"/>
        </w:numPr>
        <w:suppressAutoHyphens/>
        <w:rPr>
          <w:color w:val="000000"/>
          <w:szCs w:val="22"/>
        </w:rPr>
      </w:pPr>
      <w:r w:rsidRPr="00115021">
        <w:rPr>
          <w:color w:val="000000"/>
          <w:szCs w:val="22"/>
        </w:rPr>
        <w:t>Sense City : chambre climatique pouvant recouvrir deux espaces de 400m². Sur chacun de ces espaces, est construit une portion de territoire, appelée Mini-Ville, équipée d’une multitude de capteurs.</w:t>
      </w:r>
    </w:p>
    <w:p w14:paraId="5373379F" w14:textId="671553E5" w:rsidR="007E76D2" w:rsidRPr="00115021" w:rsidRDefault="007E76D2" w:rsidP="003F57EA">
      <w:pPr>
        <w:pStyle w:val="ListParagraph"/>
        <w:numPr>
          <w:ilvl w:val="0"/>
          <w:numId w:val="68"/>
        </w:numPr>
        <w:suppressAutoHyphens/>
        <w:rPr>
          <w:rFonts w:ascii="Arial" w:hAnsi="Arial" w:cs="Arial"/>
          <w:color w:val="000000"/>
          <w:szCs w:val="22"/>
        </w:rPr>
      </w:pPr>
      <w:r w:rsidRPr="00115021">
        <w:rPr>
          <w:color w:val="000000"/>
          <w:szCs w:val="22"/>
        </w:rPr>
        <w:t>Xyloforest ; plateforme de recherche, d’innovation et de services pour les systèmes forestiers cultivées – produits et matériaux bois</w:t>
      </w:r>
    </w:p>
    <w:p w14:paraId="0A0A4D08" w14:textId="0639C8A9" w:rsidR="007E76D2" w:rsidRPr="00115021" w:rsidRDefault="007E76D2" w:rsidP="00E524AF">
      <w:pPr>
        <w:pStyle w:val="Titre4niveau4"/>
      </w:pPr>
      <w:r>
        <w:t xml:space="preserve">Feuille de route nationale arctique </w:t>
      </w:r>
    </w:p>
    <w:p w14:paraId="4839DC3C" w14:textId="77777777" w:rsidR="007E76D2" w:rsidRDefault="007E76D2" w:rsidP="007E76D2">
      <w:pPr>
        <w:pStyle w:val="NormalWeb"/>
        <w:spacing w:before="0" w:after="0"/>
        <w:rPr>
          <w:color w:val="000000"/>
        </w:rPr>
      </w:pPr>
      <w:r>
        <w:rPr>
          <w:color w:val="000000"/>
        </w:rPr>
        <w:t>Au vu des enjeux et des défis qui s’annoncent dans la zone arctique, le ministère des Affaires étrangères français a décidé la mise en place d’un réseau interservices adossé à plusieurs ministères et agences publiques, sous la présidence de M. Michel Rocard, ancien premier ministre et ambassadeur chargé des zones polaires, en vue de préparer une « feuille de route nationale sur l’Arctique » pour identifier, hiérarchiser et coordonner les priorités françaises relatives à la zone Arctique. Au terme de deux années de travail, un document à dimension interministérielle a été adopté et présenté en juin 2016. Ce document fournit un cadre de travail, des orientations et des priorités, qui permettront pour les années qui viennent, de mettre en cohérence et de prioriser les démarches en lien avec les enjeux et les défis arctiques qui intéressent la France dans une logique d’intérêt durable et général bien compris. Dans la politique étrangère de la France sur l’Arctique, l’excellence de la recherche scientifique en milieu polaire et son intégration dans le tissu de la recherche internationale, constitue un atout majeur pour notre pays.</w:t>
      </w:r>
    </w:p>
    <w:p w14:paraId="41C0EB69" w14:textId="4322A33D" w:rsidR="007E76D2" w:rsidRDefault="007E76D2" w:rsidP="007E76D2">
      <w:pPr>
        <w:pStyle w:val="NormalWeb"/>
        <w:spacing w:before="0" w:after="0"/>
        <w:rPr>
          <w:rFonts w:ascii="Arial" w:hAnsi="Arial" w:cs="Arial"/>
          <w:color w:val="000000"/>
          <w:szCs w:val="22"/>
        </w:rPr>
      </w:pPr>
      <w:r>
        <w:rPr>
          <w:color w:val="000000"/>
        </w:rPr>
        <w:t>L’intérêt accru de la France et de la communauté internationale pour les nouveaux enjeux scientifiques, environnementaux et économiques dans la zone arctique a été, suite à la « feuille de route nationale sur l’Arctique » à l’origine de la mise en place d’une initiative de coordination de la recherche scientifique en milieu arctique, le « chantier arctique », piloté par</w:t>
      </w:r>
      <w:r>
        <w:rPr>
          <w:rFonts w:ascii="Arial" w:hAnsi="Arial" w:cs="Arial"/>
          <w:color w:val="000000"/>
        </w:rPr>
        <w:t xml:space="preserve"> </w:t>
      </w:r>
      <w:r>
        <w:rPr>
          <w:color w:val="000000"/>
        </w:rPr>
        <w:t>le centre national de la recherche scientifique (CNRS) et venant en complément des actions engagées par le groupement d’intérêt public Institut Paul-Emile Victor (GIP IPEV). Un exercice de prospective étendue à l’ensemble de la communauté scientifique nationale intéressée par les enjeux scientifiques en Arctique</w:t>
      </w:r>
      <w:r w:rsidR="00115021">
        <w:rPr>
          <w:color w:val="000000"/>
        </w:rPr>
        <w:t>, a eu lieu entre 2010 et 2015.</w:t>
      </w:r>
    </w:p>
    <w:p w14:paraId="1753A615" w14:textId="497C00BF" w:rsidR="007E76D2" w:rsidRPr="00115021" w:rsidRDefault="007E76D2" w:rsidP="00E524AF">
      <w:pPr>
        <w:pStyle w:val="Titre4niveau4"/>
      </w:pPr>
      <w:r>
        <w:t>La recherche vers le développement des pays du Sud</w:t>
      </w:r>
    </w:p>
    <w:p w14:paraId="7F172A8C" w14:textId="77777777" w:rsidR="007E76D2" w:rsidRDefault="007E76D2" w:rsidP="007E76D2">
      <w:pPr>
        <w:rPr>
          <w:color w:val="000000"/>
          <w:sz w:val="18"/>
          <w:szCs w:val="18"/>
        </w:rPr>
      </w:pPr>
      <w:r>
        <w:rPr>
          <w:color w:val="000000"/>
        </w:rPr>
        <w:t xml:space="preserve">Deux organismes nationaux de recherche (IRD, Cirad), sous la double tutelle du ministère de chargé de la recherche et du ministère chargé des affaires étrangères, mènent des activités de recherche et de développement avec et pour les pays du Sud. </w:t>
      </w:r>
    </w:p>
    <w:p w14:paraId="36C84288" w14:textId="77777777" w:rsidR="007E76D2" w:rsidRDefault="007E76D2" w:rsidP="007E76D2">
      <w:pPr>
        <w:jc w:val="right"/>
        <w:rPr>
          <w:color w:val="000000"/>
          <w:szCs w:val="22"/>
        </w:rPr>
      </w:pPr>
      <w:r>
        <w:rPr>
          <w:color w:val="000000"/>
          <w:sz w:val="18"/>
          <w:szCs w:val="18"/>
        </w:rPr>
        <w:t>197</w:t>
      </w:r>
    </w:p>
    <w:p w14:paraId="3BAD370B" w14:textId="77777777" w:rsidR="007E76D2" w:rsidRPr="00115021" w:rsidRDefault="007E76D2" w:rsidP="003F57EA">
      <w:pPr>
        <w:pStyle w:val="ListParagraph"/>
        <w:numPr>
          <w:ilvl w:val="0"/>
          <w:numId w:val="69"/>
        </w:numPr>
        <w:suppressAutoHyphens/>
        <w:rPr>
          <w:color w:val="000000"/>
          <w:szCs w:val="22"/>
        </w:rPr>
      </w:pPr>
      <w:r w:rsidRPr="00115021">
        <w:rPr>
          <w:color w:val="000000"/>
          <w:szCs w:val="22"/>
        </w:rPr>
        <w:t xml:space="preserve">L'Institut de recherche pour le développement (IRD, 2000 agents dont 800 chercheurs et un budget annuel de 230 M€) a pour mission de contribuer au développement des capacités de recherche des partenaires du Sud. Sa stratégie de recherche est développée dans plus de 90 pays sous forme de centres ou de missions temporaires. L'objectif de l'IRD est de mieux comprendre les processus à l’origine de la variabilité climatique et d’améliorer les capacités de prédiction, dans les milieux tropicaux, pour permettre d’affiner les scénarios du changement climatique aux échelles décennales et centennales. </w:t>
      </w:r>
    </w:p>
    <w:p w14:paraId="7F258074" w14:textId="40F95B27" w:rsidR="007E76D2" w:rsidRPr="00115021" w:rsidRDefault="007E76D2" w:rsidP="003F57EA">
      <w:pPr>
        <w:pStyle w:val="ListParagraph"/>
        <w:numPr>
          <w:ilvl w:val="0"/>
          <w:numId w:val="69"/>
        </w:numPr>
        <w:suppressAutoHyphens/>
        <w:rPr>
          <w:color w:val="000000"/>
          <w:szCs w:val="22"/>
        </w:rPr>
      </w:pPr>
      <w:r w:rsidRPr="00115021">
        <w:rPr>
          <w:color w:val="000000"/>
          <w:szCs w:val="22"/>
        </w:rPr>
        <w:t xml:space="preserve">Le centre de coopération internationale en recherche agronomique pour le développement (Cirad) est un établissement de recherche de </w:t>
      </w:r>
      <w:r w:rsidRPr="00115021">
        <w:rPr>
          <w:color w:val="000000"/>
        </w:rPr>
        <w:t xml:space="preserve">1800 agents dont 800 scientifiques (200 M€ de budget annuel), </w:t>
      </w:r>
      <w:r w:rsidRPr="00115021">
        <w:rPr>
          <w:color w:val="000000"/>
          <w:szCs w:val="22"/>
        </w:rPr>
        <w:t xml:space="preserve">qui répond, avec les pays du Sud, aux enjeux internationaux de l’agriculture pour le développement. Ses activités relèvent des sciences du vivant, des sciences sociales et des sciences de l’ingénieur appliquées à l’agriculture, à l’alimentation et aux territoires ruraux. </w:t>
      </w:r>
      <w:r w:rsidRPr="00115021">
        <w:rPr>
          <w:color w:val="000000"/>
        </w:rPr>
        <w:t>En partenariat avec les pays du Sud, le Cirad produit et transmet de nouvelles connaissances, pour accompagner leur développement agricole et contribuer au débat sur les grands enjeux mondiaux de l’agronomie.</w:t>
      </w:r>
      <w:r w:rsidRPr="00115021">
        <w:rPr>
          <w:color w:val="000000"/>
          <w:szCs w:val="22"/>
        </w:rPr>
        <w:t xml:space="preserve"> </w:t>
      </w:r>
      <w:r w:rsidRPr="00115021">
        <w:rPr>
          <w:color w:val="000000"/>
        </w:rPr>
        <w:t>Le Cirad qui défini</w:t>
      </w:r>
      <w:r w:rsidR="00306681">
        <w:rPr>
          <w:color w:val="000000"/>
        </w:rPr>
        <w:t>t</w:t>
      </w:r>
      <w:r w:rsidRPr="00115021">
        <w:rPr>
          <w:color w:val="000000"/>
        </w:rPr>
        <w:t xml:space="preserve"> 6 axes de recherche prioritaires : intensification écologique ; biomasse énergie ; alimentation ; santé animale, maladies émergentes ; politiques publiques ; espaces ruraux</w:t>
      </w:r>
      <w:r w:rsidRPr="00115021">
        <w:rPr>
          <w:color w:val="000000"/>
          <w:szCs w:val="22"/>
        </w:rPr>
        <w:t xml:space="preserve"> a </w:t>
      </w:r>
      <w:r w:rsidRPr="00115021">
        <w:rPr>
          <w:color w:val="000000"/>
        </w:rPr>
        <w:t xml:space="preserve">des activités de coopération avec plus de 90 pays en Afrique, dans l’océan indien, en Asie et en Amérique du Sud. </w:t>
      </w:r>
    </w:p>
    <w:p w14:paraId="783D02C5" w14:textId="0C273E63" w:rsidR="007E76D2" w:rsidRPr="003F51CF" w:rsidRDefault="007E76D2" w:rsidP="00E524AF">
      <w:pPr>
        <w:pStyle w:val="Titre3Niveau3"/>
        <w:rPr>
          <w:lang w:eastAsia="ar-SA"/>
        </w:rPr>
      </w:pPr>
      <w:bookmarkStart w:id="773" w:name="_Toc138342072"/>
      <w:r>
        <w:t>La recherche face aux enjeux du changement climatique</w:t>
      </w:r>
      <w:bookmarkEnd w:id="773"/>
    </w:p>
    <w:p w14:paraId="57A030DB" w14:textId="77777777" w:rsidR="007E76D2" w:rsidRDefault="007E76D2" w:rsidP="007E76D2">
      <w:pPr>
        <w:rPr>
          <w:rFonts w:ascii="Arial" w:hAnsi="Arial" w:cs="Arial"/>
          <w:color w:val="000000"/>
        </w:rPr>
      </w:pPr>
      <w:r>
        <w:rPr>
          <w:color w:val="000000"/>
          <w:szCs w:val="22"/>
        </w:rPr>
        <w:t>La Stratégie Nationale de Recherche a identifié, en 2015, plusieurs défis de recherche à relever ainsi que les orientations de recherche à développer sur la période 2015-2020. Les enjeux du changement climatique se retrouvent dans quatre défis concernant la connaissance du climat en lui-même et toutes ses interactions avec les ressources naturelles, l’énergie, l’agriculture, la santé et les systèmes urbains. Ces défis se déclinent en orientations de recherche.</w:t>
      </w:r>
    </w:p>
    <w:p w14:paraId="377F33FA" w14:textId="77777777" w:rsidR="007E76D2" w:rsidRDefault="007E76D2" w:rsidP="007E76D2">
      <w:pPr>
        <w:rPr>
          <w:rFonts w:ascii="Arial" w:hAnsi="Arial" w:cs="Arial"/>
          <w:color w:val="000000"/>
        </w:rPr>
      </w:pPr>
    </w:p>
    <w:p w14:paraId="792D0A18" w14:textId="7CC0AD93" w:rsidR="007E76D2" w:rsidRPr="003F51CF" w:rsidRDefault="007E76D2" w:rsidP="00E524AF">
      <w:pPr>
        <w:pStyle w:val="Titre4niveau4"/>
      </w:pPr>
      <w:r>
        <w:t>Gestion sobre des ressources et adaptation au changement climatique (défi 1)</w:t>
      </w:r>
    </w:p>
    <w:p w14:paraId="40F3A801" w14:textId="54CE4C2B" w:rsidR="007E76D2" w:rsidRDefault="007E76D2" w:rsidP="007E76D2">
      <w:pPr>
        <w:autoSpaceDE w:val="0"/>
        <w:rPr>
          <w:color w:val="000000"/>
        </w:rPr>
      </w:pPr>
      <w:r>
        <w:rPr>
          <w:color w:val="000000"/>
        </w:rPr>
        <w:t>Dans le contexte de dérèglement climatique et de dégradation, voire parfois d’épuisement des ressources naturelles, la gestion sobre des ressources au centre du défi 1 de la SNR concerne toutes les ressources utilisées ou impactées par l’Homme pour son alimentation, son énergie et son activité industrielle. Outre les connaissances sur les ressources, la question de l’adaptation au dérèglement climatique suppose de mieux comprendre le fonctionnement du climat ce qui demande une double approche de surveillance et de modélisation, afin d’améliorer les outils de prévision et de projection à long terme, pour ensuite évaluer les impacts potentiels du changement climatique et construire des stratégies d’adaptation des sociétés et des économies aux changements locaux et globaux en cours. Ce défi conduit à 5 grandes orientations d</w:t>
      </w:r>
      <w:r w:rsidR="003F51CF">
        <w:rPr>
          <w:color w:val="000000"/>
        </w:rPr>
        <w:t>e recherche :</w:t>
      </w:r>
    </w:p>
    <w:p w14:paraId="5E80F3BF" w14:textId="77777777" w:rsidR="007E76D2" w:rsidRDefault="007E76D2" w:rsidP="003F57EA">
      <w:pPr>
        <w:pStyle w:val="ListParagraph"/>
        <w:numPr>
          <w:ilvl w:val="0"/>
          <w:numId w:val="70"/>
        </w:numPr>
      </w:pPr>
      <w:r>
        <w:t xml:space="preserve">Suivi intelligent du système-Terre </w:t>
      </w:r>
    </w:p>
    <w:p w14:paraId="1413C7DF" w14:textId="77777777" w:rsidR="007E76D2" w:rsidRDefault="007E76D2" w:rsidP="003F57EA">
      <w:pPr>
        <w:pStyle w:val="ListParagraph"/>
        <w:numPr>
          <w:ilvl w:val="0"/>
          <w:numId w:val="70"/>
        </w:numPr>
      </w:pPr>
      <w:r>
        <w:t>Gestion durable des ressources naturelles</w:t>
      </w:r>
    </w:p>
    <w:p w14:paraId="55E7758D" w14:textId="77777777" w:rsidR="007E76D2" w:rsidRDefault="007E76D2" w:rsidP="003F57EA">
      <w:pPr>
        <w:pStyle w:val="ListParagraph"/>
        <w:numPr>
          <w:ilvl w:val="0"/>
          <w:numId w:val="70"/>
        </w:numPr>
      </w:pPr>
      <w:r>
        <w:t>Evaluation et maitrise du risque climatique et environnemental</w:t>
      </w:r>
    </w:p>
    <w:p w14:paraId="2B957D43" w14:textId="77777777" w:rsidR="007E76D2" w:rsidRDefault="007E76D2" w:rsidP="003F57EA">
      <w:pPr>
        <w:pStyle w:val="ListParagraph"/>
        <w:numPr>
          <w:ilvl w:val="0"/>
          <w:numId w:val="70"/>
        </w:numPr>
      </w:pPr>
      <w:r>
        <w:t>Eco- et bio-technologies pour accompagner la transition écologique</w:t>
      </w:r>
    </w:p>
    <w:p w14:paraId="2F2163B0" w14:textId="096C74D0" w:rsidR="007E76D2" w:rsidRPr="003F51CF" w:rsidRDefault="007E76D2" w:rsidP="003F57EA">
      <w:pPr>
        <w:pStyle w:val="ListParagraph"/>
        <w:numPr>
          <w:ilvl w:val="0"/>
          <w:numId w:val="70"/>
        </w:numPr>
        <w:rPr>
          <w:rFonts w:ascii="Arial" w:hAnsi="Arial" w:cs="Arial"/>
        </w:rPr>
      </w:pPr>
      <w:r>
        <w:t>Le littoral, un « laboratoire » pour étudier l’ensemble des préoccupations associées aux ressources et au changement climatique.</w:t>
      </w:r>
    </w:p>
    <w:p w14:paraId="4E567DAA" w14:textId="12CC6E35" w:rsidR="007E76D2" w:rsidRPr="003F51CF" w:rsidRDefault="007E76D2" w:rsidP="00E524AF">
      <w:pPr>
        <w:pStyle w:val="Titre4niveau4"/>
      </w:pPr>
      <w:r>
        <w:t>Une énergie propre, sûre et efficace (défi 2)</w:t>
      </w:r>
    </w:p>
    <w:p w14:paraId="47D52847" w14:textId="61FA0369" w:rsidR="007E76D2" w:rsidRDefault="007E76D2" w:rsidP="003F51CF">
      <w:r>
        <w:t>Face à l’accroissement des besoins énergétiques au niveau mondial et aux contraintes fortes imposées par la lutte contre le dérèglement climatique, la France, comme d’autres pays, ont pris conscience de l’urgence de penser un nouveau modèle fondé sur une plus grande sobriété énergétique, une meilleure efficacité et l’utilisation croissante des énergies renouvelables. Les trajectoires de transition reposent sur une combinaison complexe de progrès à faire dans les concepts scientifiques fondamentaux, d’innovations technologiques et de changements des comportements. Ainsi, les efforts de recherche, de développement et d’innovation sont essentiels pour consolider la compétitivité des filières existantes (énergies fossiles, nucléaires et renouvelables, réserve de richesse et d’emplois, mais aussi pour faire émerger les nouveaux systèmes énergétiques et les filières industrielles qui en découleront. Sont concernées toutes les filières : biomasse, éolien, solaire, géothermie, énergie nucléaire et énergies fossiles y compris hydrocarbures non conventionnels avec capture et recyclage du carbone. La recherche dans ce défi s’organise autour de 5 orientations majeures :</w:t>
      </w:r>
    </w:p>
    <w:p w14:paraId="5777197D" w14:textId="77777777" w:rsidR="007E76D2" w:rsidRPr="003F51CF" w:rsidRDefault="007E76D2" w:rsidP="003F57EA">
      <w:pPr>
        <w:pStyle w:val="ListParagraph"/>
        <w:numPr>
          <w:ilvl w:val="0"/>
          <w:numId w:val="71"/>
        </w:numPr>
        <w:rPr>
          <w:szCs w:val="22"/>
        </w:rPr>
      </w:pPr>
      <w:r w:rsidRPr="003F51CF">
        <w:rPr>
          <w:szCs w:val="22"/>
        </w:rPr>
        <w:t>Gestion dynamique des systèmes énergétiques</w:t>
      </w:r>
    </w:p>
    <w:p w14:paraId="0F19A741" w14:textId="77777777" w:rsidR="007E76D2" w:rsidRPr="003F51CF" w:rsidRDefault="007E76D2" w:rsidP="003F57EA">
      <w:pPr>
        <w:pStyle w:val="ListParagraph"/>
        <w:numPr>
          <w:ilvl w:val="0"/>
          <w:numId w:val="71"/>
        </w:numPr>
        <w:rPr>
          <w:szCs w:val="22"/>
        </w:rPr>
      </w:pPr>
      <w:r w:rsidRPr="003F51CF">
        <w:rPr>
          <w:szCs w:val="22"/>
        </w:rPr>
        <w:t>Gouvernance multi-échelles des nouveaux systèmes énergétiques</w:t>
      </w:r>
    </w:p>
    <w:p w14:paraId="66323018" w14:textId="77777777" w:rsidR="007E76D2" w:rsidRPr="003F51CF" w:rsidRDefault="007E76D2" w:rsidP="003F57EA">
      <w:pPr>
        <w:pStyle w:val="ListParagraph"/>
        <w:numPr>
          <w:ilvl w:val="0"/>
          <w:numId w:val="71"/>
        </w:numPr>
        <w:rPr>
          <w:szCs w:val="22"/>
        </w:rPr>
      </w:pPr>
      <w:r w:rsidRPr="003F51CF">
        <w:rPr>
          <w:szCs w:val="22"/>
        </w:rPr>
        <w:t>Efficacité énergétique</w:t>
      </w:r>
    </w:p>
    <w:p w14:paraId="2E6BED80" w14:textId="77777777" w:rsidR="007E76D2" w:rsidRPr="003F51CF" w:rsidRDefault="007E76D2" w:rsidP="003F57EA">
      <w:pPr>
        <w:pStyle w:val="ListParagraph"/>
        <w:numPr>
          <w:ilvl w:val="0"/>
          <w:numId w:val="71"/>
        </w:numPr>
        <w:rPr>
          <w:szCs w:val="22"/>
        </w:rPr>
      </w:pPr>
      <w:r w:rsidRPr="003F51CF">
        <w:rPr>
          <w:szCs w:val="22"/>
        </w:rPr>
        <w:t>Réduction du besoin en matériaux stratégiques</w:t>
      </w:r>
    </w:p>
    <w:p w14:paraId="58AB1E12" w14:textId="606E0B5B" w:rsidR="007E76D2" w:rsidRPr="003F51CF" w:rsidRDefault="007E76D2" w:rsidP="003F57EA">
      <w:pPr>
        <w:pStyle w:val="ListParagraph"/>
        <w:numPr>
          <w:ilvl w:val="0"/>
          <w:numId w:val="71"/>
        </w:numPr>
        <w:rPr>
          <w:szCs w:val="22"/>
        </w:rPr>
      </w:pPr>
      <w:r w:rsidRPr="003F51CF">
        <w:rPr>
          <w:szCs w:val="22"/>
        </w:rPr>
        <w:t>Substituts au carbone fossile pour l’énergie et la chimie</w:t>
      </w:r>
    </w:p>
    <w:p w14:paraId="166849A0" w14:textId="72247CFF" w:rsidR="007E76D2" w:rsidRPr="003F51CF" w:rsidRDefault="007E76D2" w:rsidP="00E524AF">
      <w:pPr>
        <w:pStyle w:val="Titre4niveau4"/>
      </w:pPr>
      <w:r>
        <w:t>Sécurité alimentaire et défi démographique (défi 5)</w:t>
      </w:r>
    </w:p>
    <w:p w14:paraId="39DD3EF7" w14:textId="77777777" w:rsidR="007E76D2" w:rsidRDefault="007E76D2" w:rsidP="007E76D2">
      <w:pPr>
        <w:autoSpaceDE w:val="0"/>
        <w:rPr>
          <w:color w:val="000000"/>
        </w:rPr>
      </w:pPr>
      <w:r>
        <w:rPr>
          <w:color w:val="000000"/>
        </w:rPr>
        <w:t>La sécurité alimentaire est menacée aujourd’hui par l’impact conjugué du changement climatique, de l’augmentation de la population mondiale et de l’évolution des pratiques alimentaires. Ces facteurs exercent des pressions de plus en plus importantes sur les systèmes productifs : émissions de gaz à effet de serre, dommages pour les sols et les eaux souterraines, concurrence pour les usages. Ils ont des répercussions sur la santé. Ils engendrent des niveaux de pertes et de gaspillages élevés. En France, les recherches conduites sur la sécurité alimentaire couvrent de larges domaines qui s’étendent des systèmes de production à la santé des populations en considérant tous les niveaux d’organisation et d’échelles: du gène à l’individu, de l’individu à la population puis à l’écosystème, de nouvelles espèces, races ou variétés à de nouvelles organisations sociales et de nouveaux marchés. Ces domaines sont complexes et imbriqués. Dans ce défi de recherche, deux orientations de recherche intègrent indirectement l’aléa climatique :</w:t>
      </w:r>
    </w:p>
    <w:p w14:paraId="692539BF" w14:textId="77777777" w:rsidR="007E76D2" w:rsidRPr="003F51CF" w:rsidRDefault="007E76D2" w:rsidP="003F57EA">
      <w:pPr>
        <w:pStyle w:val="ListParagraph"/>
        <w:numPr>
          <w:ilvl w:val="0"/>
          <w:numId w:val="72"/>
        </w:numPr>
        <w:rPr>
          <w:szCs w:val="22"/>
        </w:rPr>
      </w:pPr>
      <w:r w:rsidRPr="003F51CF">
        <w:rPr>
          <w:szCs w:val="22"/>
        </w:rPr>
        <w:t>Approche intégrée des systèmes productifs</w:t>
      </w:r>
    </w:p>
    <w:p w14:paraId="3337240D" w14:textId="2657FB2D" w:rsidR="007E76D2" w:rsidRPr="003F51CF" w:rsidRDefault="007E76D2" w:rsidP="003F57EA">
      <w:pPr>
        <w:pStyle w:val="ListParagraph"/>
        <w:numPr>
          <w:ilvl w:val="0"/>
          <w:numId w:val="72"/>
        </w:numPr>
        <w:rPr>
          <w:rFonts w:ascii="Arial" w:hAnsi="Arial" w:cs="Arial"/>
          <w:szCs w:val="22"/>
        </w:rPr>
      </w:pPr>
      <w:r w:rsidRPr="003F51CF">
        <w:rPr>
          <w:szCs w:val="22"/>
        </w:rPr>
        <w:t xml:space="preserve">De la production aux usages diversifiés de la biomasse. </w:t>
      </w:r>
    </w:p>
    <w:p w14:paraId="656ED8EB" w14:textId="6321B748" w:rsidR="007E76D2" w:rsidRDefault="003F51CF" w:rsidP="00E524AF">
      <w:pPr>
        <w:pStyle w:val="Titre4niveau4"/>
      </w:pPr>
      <w:r>
        <w:t>T</w:t>
      </w:r>
      <w:r w:rsidR="007E76D2">
        <w:t>ransports et systèmes urbains durables (défi 6)</w:t>
      </w:r>
    </w:p>
    <w:p w14:paraId="410EFD17" w14:textId="77777777" w:rsidR="007E76D2" w:rsidRDefault="007E76D2" w:rsidP="003F51CF">
      <w:pPr>
        <w:rPr>
          <w:szCs w:val="22"/>
        </w:rPr>
      </w:pPr>
      <w:r>
        <w:t>Les villes et leurs infrastructures de transport sont des systèmes complexes, à la fois physiques, écologiques, techniques et sociétaux. Ainsi la recherche de solutions équilibrées et durables doit être pluridisciplinaire et intégrée notamment l’aléa climatique. Quatre grandes orientations de recherche en lien avec le climat sont considérées :</w:t>
      </w:r>
    </w:p>
    <w:p w14:paraId="771029BA" w14:textId="77777777" w:rsidR="007E76D2" w:rsidRPr="003F51CF" w:rsidRDefault="007E76D2" w:rsidP="003F57EA">
      <w:pPr>
        <w:pStyle w:val="ListParagraph"/>
        <w:numPr>
          <w:ilvl w:val="0"/>
          <w:numId w:val="73"/>
        </w:numPr>
        <w:rPr>
          <w:szCs w:val="22"/>
        </w:rPr>
      </w:pPr>
      <w:r w:rsidRPr="003F51CF">
        <w:rPr>
          <w:szCs w:val="22"/>
        </w:rPr>
        <w:t>Observatoire de la ville</w:t>
      </w:r>
    </w:p>
    <w:p w14:paraId="421DC49F" w14:textId="77777777" w:rsidR="007E76D2" w:rsidRPr="003F51CF" w:rsidRDefault="007E76D2" w:rsidP="003F57EA">
      <w:pPr>
        <w:pStyle w:val="ListParagraph"/>
        <w:numPr>
          <w:ilvl w:val="0"/>
          <w:numId w:val="73"/>
        </w:numPr>
        <w:rPr>
          <w:szCs w:val="22"/>
        </w:rPr>
      </w:pPr>
      <w:r w:rsidRPr="003F51CF">
        <w:rPr>
          <w:szCs w:val="22"/>
        </w:rPr>
        <w:t>Nouvelle conception de la mobilité</w:t>
      </w:r>
    </w:p>
    <w:p w14:paraId="0B0CF1F0" w14:textId="77777777" w:rsidR="007E76D2" w:rsidRPr="003F51CF" w:rsidRDefault="007E76D2" w:rsidP="003F57EA">
      <w:pPr>
        <w:pStyle w:val="ListParagraph"/>
        <w:numPr>
          <w:ilvl w:val="0"/>
          <w:numId w:val="73"/>
        </w:numPr>
        <w:rPr>
          <w:szCs w:val="22"/>
        </w:rPr>
      </w:pPr>
      <w:r w:rsidRPr="003F51CF">
        <w:rPr>
          <w:szCs w:val="22"/>
        </w:rPr>
        <w:t>Outils et technologies au service de la ville durable</w:t>
      </w:r>
    </w:p>
    <w:p w14:paraId="415C8CF4" w14:textId="64822E9A" w:rsidR="007E76D2" w:rsidRPr="003F51CF" w:rsidRDefault="007E76D2" w:rsidP="003F57EA">
      <w:pPr>
        <w:pStyle w:val="ListParagraph"/>
        <w:numPr>
          <w:ilvl w:val="0"/>
          <w:numId w:val="73"/>
        </w:numPr>
        <w:rPr>
          <w:rFonts w:ascii="Arial" w:hAnsi="Arial" w:cs="Arial"/>
          <w:szCs w:val="22"/>
        </w:rPr>
      </w:pPr>
      <w:r w:rsidRPr="003F51CF">
        <w:rPr>
          <w:szCs w:val="22"/>
        </w:rPr>
        <w:t>Optimisation et intégration des infrastructures et des réseaux urbains</w:t>
      </w:r>
    </w:p>
    <w:p w14:paraId="69D4D9DD" w14:textId="5135F4D6" w:rsidR="007E76D2" w:rsidRPr="003F51CF" w:rsidRDefault="007E76D2" w:rsidP="00E524AF">
      <w:pPr>
        <w:pStyle w:val="Titre3Niveau3"/>
        <w:rPr>
          <w:lang w:eastAsia="ar-SA"/>
        </w:rPr>
      </w:pPr>
      <w:bookmarkStart w:id="774" w:name="_Toc138342073"/>
      <w:r>
        <w:t>L’influence de la France dans la recherche climatique</w:t>
      </w:r>
      <w:bookmarkEnd w:id="774"/>
    </w:p>
    <w:p w14:paraId="740FD1F4" w14:textId="6DB31FF4" w:rsidR="007E76D2" w:rsidRPr="003F51CF" w:rsidRDefault="007E76D2" w:rsidP="003F51CF">
      <w:pPr>
        <w:pStyle w:val="Contenuducadre"/>
        <w:widowControl/>
        <w:suppressAutoHyphens w:val="0"/>
        <w:spacing w:before="0"/>
        <w:rPr>
          <w:rFonts w:cs="Times New Roman"/>
          <w:color w:val="000000"/>
          <w:szCs w:val="24"/>
          <w:lang w:eastAsia="fr-FR"/>
        </w:rPr>
      </w:pPr>
      <w:r>
        <w:rPr>
          <w:rFonts w:ascii="Times New Roman" w:hAnsi="Times New Roman" w:cs="Times New Roman"/>
          <w:color w:val="000000"/>
          <w:lang w:eastAsia="fr-FR"/>
        </w:rPr>
        <w:t>Face aux enjeux du changement climatique, la recherche française place ses priorités en cohérence avec les grands programmes européens et internationaux. En témoignent la participation française aux instances internationales comme le GIEC (Groupe intergouvernemental sur l’évolution du climat), le programme Future Earth, le consortium de financeurs Belmont Forum. Sa participation active aux initiatives de programmation conjointe européennes (JPI du programme Horizon-Europe), aux articles-185 (le programme PRIMA) ainsi que l’alignement de sa stratégie de recherche en cohérence avec les défis de la stratégie européenne de recherche du programme horizon Europe démontrent cette cohérence. A l’échelle nationale, la France mobilise des moyens pour l’étud</w:t>
      </w:r>
      <w:r w:rsidR="000E2F47">
        <w:rPr>
          <w:rFonts w:ascii="Times New Roman" w:hAnsi="Times New Roman" w:cs="Times New Roman"/>
          <w:color w:val="000000"/>
          <w:lang w:eastAsia="fr-FR"/>
        </w:rPr>
        <w:t>e</w:t>
      </w:r>
      <w:r>
        <w:rPr>
          <w:rFonts w:ascii="Times New Roman" w:hAnsi="Times New Roman" w:cs="Times New Roman"/>
          <w:color w:val="000000"/>
          <w:lang w:eastAsia="fr-FR"/>
        </w:rPr>
        <w:t xml:space="preserve"> du changement climatique notamment autour de grands chantiers de recherche. </w:t>
      </w:r>
    </w:p>
    <w:p w14:paraId="1324465B" w14:textId="5EEDAE22" w:rsidR="007E76D2" w:rsidRPr="003F51CF" w:rsidRDefault="007E76D2" w:rsidP="00E524AF">
      <w:pPr>
        <w:pStyle w:val="Titre4niveau4"/>
      </w:pPr>
      <w:r>
        <w:t>La recherche climatique française en cohérence avec les grands programmes internationaux (hors Europe)</w:t>
      </w:r>
    </w:p>
    <w:p w14:paraId="66C7A01E" w14:textId="073FF33C" w:rsidR="007E76D2" w:rsidRPr="003F51CF" w:rsidRDefault="003F51CF" w:rsidP="00E524AF">
      <w:pPr>
        <w:pStyle w:val="titreencadre"/>
      </w:pPr>
      <w:r>
        <w:t>Future Earth</w:t>
      </w:r>
    </w:p>
    <w:p w14:paraId="13569C42" w14:textId="77777777" w:rsidR="007E76D2" w:rsidRDefault="007E76D2" w:rsidP="007E76D2">
      <w:pPr>
        <w:rPr>
          <w:color w:val="000000"/>
          <w:szCs w:val="22"/>
        </w:rPr>
      </w:pPr>
      <w:r>
        <w:rPr>
          <w:color w:val="000000"/>
          <w:szCs w:val="22"/>
        </w:rPr>
        <w:t xml:space="preserve">La France, avec 4 autres pays (Etats-Unis, le Japon, Canada et la Suède), coordonne le secrétariat du programme mondial Future Earth lancé en 2015. Ce programme résulte de la fusion de trois grands programmes de recherche existants dans le domaine des changements environnementaux globaux (IGBP, IHDP, Diversitas). WCRP, le programme de recherche mondial sur le climat, est partenaire de Future Earth. </w:t>
      </w:r>
    </w:p>
    <w:p w14:paraId="7CB53F07" w14:textId="77777777" w:rsidR="007E76D2" w:rsidRDefault="007E76D2" w:rsidP="007E76D2">
      <w:pPr>
        <w:rPr>
          <w:color w:val="000000"/>
          <w:szCs w:val="22"/>
        </w:rPr>
      </w:pPr>
    </w:p>
    <w:p w14:paraId="503FF271" w14:textId="77777777" w:rsidR="007E76D2" w:rsidRDefault="007E76D2" w:rsidP="007E76D2">
      <w:pPr>
        <w:rPr>
          <w:color w:val="000000"/>
          <w:szCs w:val="22"/>
        </w:rPr>
      </w:pPr>
      <w:r>
        <w:rPr>
          <w:color w:val="000000"/>
          <w:szCs w:val="22"/>
        </w:rPr>
        <w:t>Future Earth a pour ambition de fournir aux sociétés les connaissances requises pour faire face aux changements environnementaux globaux et favoriser la transition écologique. Le secrétariat est distribué en cinq plateformes (« hubs ») basées en France (Paris), aux Etats-Unis (Boulder), au Japon (Tokyo), au Canada (Montréal) et en Suède (Stockholm). Le « hub » français a été localisé au siège du CNRS puis il est à présent basé à l’Université Pierre et Marie Curie. Il est géré sous la forme d’une Unité de Service et de Recherche CNRS-multi-organismes associant les organismes d’AllEnvi pertinents sur les questions environnementales.</w:t>
      </w:r>
    </w:p>
    <w:p w14:paraId="4044BF7A" w14:textId="77777777" w:rsidR="007E76D2" w:rsidRDefault="007E76D2" w:rsidP="007E76D2">
      <w:pPr>
        <w:rPr>
          <w:color w:val="000000"/>
          <w:szCs w:val="22"/>
        </w:rPr>
      </w:pPr>
    </w:p>
    <w:p w14:paraId="287290C6" w14:textId="77777777" w:rsidR="007E76D2" w:rsidRDefault="007E76D2" w:rsidP="007E76D2">
      <w:pPr>
        <w:rPr>
          <w:color w:val="000000"/>
          <w:szCs w:val="22"/>
        </w:rPr>
      </w:pPr>
      <w:r>
        <w:rPr>
          <w:color w:val="000000"/>
          <w:szCs w:val="22"/>
        </w:rPr>
        <w:t>Au travers du ministère chargé de la recherche (MESR), coordinateur du programme pour la France avec les appuis de l’alliance AllEnvi, du CNRS, de l’INRAE et de l’ANR, c’est l’ensemble des acteurs français en sciences de l’environnement qui est impliqué. Par cette implication, la France ambitionne de jouer un rôle significatif dans le développement mondial de solutions aux grands défis environnementaux et de créer des synergies entre les acteurs.</w:t>
      </w:r>
    </w:p>
    <w:p w14:paraId="4E28D385" w14:textId="77777777" w:rsidR="007E76D2" w:rsidRDefault="007E76D2" w:rsidP="007E76D2">
      <w:pPr>
        <w:rPr>
          <w:color w:val="000000"/>
          <w:szCs w:val="22"/>
        </w:rPr>
      </w:pPr>
    </w:p>
    <w:p w14:paraId="44716CD4" w14:textId="179B38DB" w:rsidR="007E76D2" w:rsidRPr="003F51CF" w:rsidRDefault="007E76D2" w:rsidP="00E524AF">
      <w:pPr>
        <w:pStyle w:val="titreencadre"/>
        <w:rPr>
          <w:lang w:val="en-US"/>
        </w:rPr>
      </w:pPr>
      <w:r>
        <w:rPr>
          <w:lang w:val="en-US"/>
        </w:rPr>
        <w:t>World Climate Research Programme (WCRP)</w:t>
      </w:r>
    </w:p>
    <w:p w14:paraId="4E68EA5D" w14:textId="77777777" w:rsidR="007E76D2" w:rsidRDefault="007E76D2" w:rsidP="007E76D2">
      <w:pPr>
        <w:rPr>
          <w:rFonts w:ascii="Arial" w:hAnsi="Arial" w:cs="Arial"/>
          <w:color w:val="000000"/>
        </w:rPr>
      </w:pPr>
      <w:r>
        <w:rPr>
          <w:color w:val="000000"/>
        </w:rPr>
        <w:t xml:space="preserve">Le programme mondial de recherches sur le climat ou PMRC (World Climate Research Programme, WCRP) est un programme international de recherche sur le climat mondial, mis en place en 1980. L’IPSL (France) assure le Support Unit du programme. </w:t>
      </w:r>
    </w:p>
    <w:p w14:paraId="29F3DA76" w14:textId="77777777" w:rsidR="007E76D2" w:rsidRDefault="007E76D2" w:rsidP="007E76D2">
      <w:pPr>
        <w:rPr>
          <w:rFonts w:ascii="Arial" w:hAnsi="Arial" w:cs="Arial"/>
          <w:color w:val="000000"/>
        </w:rPr>
      </w:pPr>
    </w:p>
    <w:p w14:paraId="1A6A73DA" w14:textId="68B3B10A" w:rsidR="007E76D2" w:rsidRPr="003F51CF" w:rsidRDefault="007E76D2" w:rsidP="00E524AF">
      <w:pPr>
        <w:pStyle w:val="titreencadre"/>
      </w:pPr>
      <w:r>
        <w:t>Belmont Forum</w:t>
      </w:r>
    </w:p>
    <w:p w14:paraId="4370B79B" w14:textId="0BA775BA" w:rsidR="007E76D2" w:rsidRDefault="007E76D2" w:rsidP="007E76D2">
      <w:pPr>
        <w:rPr>
          <w:color w:val="000000"/>
        </w:rPr>
      </w:pPr>
      <w:r>
        <w:rPr>
          <w:color w:val="000000"/>
        </w:rPr>
        <w:t>L’ANR, en partenariat avec le ministère chargé de la recherche (MESR) et l’alliance allEnvi, pour la France, est membre du Belmont Forum, consortium rassemblant les représentants des principales agences de financement des pays du G7 et des pays émergents. Ses actions ont pour objectif de "délivrer les connaissances nécessaires à l'action pour atténuer et s'adapter aux changements environnementaux néfastes et aux évènements extrêmes dangereux". L'ANR a assuré la vice-présidence du Belmont Forum de 2012 à 2015 e</w:t>
      </w:r>
      <w:r w:rsidR="003F51CF">
        <w:rPr>
          <w:color w:val="000000"/>
        </w:rPr>
        <w:t xml:space="preserve">t a accueilli son secrétariat. </w:t>
      </w:r>
    </w:p>
    <w:p w14:paraId="564094EB" w14:textId="77777777" w:rsidR="007E76D2" w:rsidRDefault="007E76D2" w:rsidP="007E76D2">
      <w:pPr>
        <w:rPr>
          <w:rFonts w:ascii="Arial" w:hAnsi="Arial" w:cs="Arial"/>
          <w:color w:val="000000"/>
        </w:rPr>
      </w:pPr>
    </w:p>
    <w:p w14:paraId="6EBBD94A" w14:textId="38792C44" w:rsidR="007E76D2" w:rsidRPr="003F51CF" w:rsidRDefault="007E76D2" w:rsidP="00E524AF">
      <w:pPr>
        <w:pStyle w:val="titreencadre"/>
      </w:pPr>
      <w:r>
        <w:t>Cadre mondial pour les services climatiques (CMSC)</w:t>
      </w:r>
    </w:p>
    <w:p w14:paraId="58D962DA" w14:textId="7EBBD36E" w:rsidR="007E76D2" w:rsidRDefault="007E76D2" w:rsidP="007E76D2">
      <w:pPr>
        <w:rPr>
          <w:rFonts w:ascii="Arial" w:hAnsi="Arial" w:cs="Arial"/>
          <w:color w:val="000000"/>
        </w:rPr>
      </w:pPr>
      <w:r>
        <w:rPr>
          <w:color w:val="000000"/>
        </w:rPr>
        <w:t>La France est partenaire du Cadre mondial pour les services climatiques (Global Framework for Climate Services - GFCS), une initiative de l’ONU dirigée par l’OMM qui vise à coordonner les efforts déployés à l’échelle du globe pour assurer la fourniture de services climatiques axés sur les besoins des utilisateurs et tirer ainsi le meilleur parti des connaissances sur le climat.</w:t>
      </w:r>
    </w:p>
    <w:p w14:paraId="196BF8CF" w14:textId="165EF768" w:rsidR="007E76D2" w:rsidRPr="003F51CF" w:rsidRDefault="007E76D2" w:rsidP="00E524AF">
      <w:pPr>
        <w:pStyle w:val="Titre4niveau4"/>
      </w:pPr>
      <w:r>
        <w:t>La recherche climatique française en cohérence avec les grands programmes européens</w:t>
      </w:r>
    </w:p>
    <w:p w14:paraId="2B478DBF" w14:textId="01BF09FE" w:rsidR="007E76D2" w:rsidRPr="003F51CF" w:rsidRDefault="007E76D2" w:rsidP="00E524AF">
      <w:pPr>
        <w:pStyle w:val="titreencadre"/>
      </w:pPr>
      <w:r>
        <w:t>Le programme-cadre Horizon Europe</w:t>
      </w:r>
    </w:p>
    <w:p w14:paraId="7315990C" w14:textId="77777777" w:rsidR="007E76D2" w:rsidRDefault="007E76D2" w:rsidP="007E76D2">
      <w:pPr>
        <w:shd w:val="clear" w:color="auto" w:fill="FFFFFF"/>
        <w:rPr>
          <w:rFonts w:ascii="Arial" w:hAnsi="Arial" w:cs="Arial"/>
          <w:color w:val="000000"/>
          <w:szCs w:val="14"/>
        </w:rPr>
      </w:pPr>
      <w:r>
        <w:rPr>
          <w:color w:val="000000"/>
        </w:rPr>
        <w:t>En 2014, la France a publié sa stratégie nationale de la recherche à 5 ans en cohérence avec le programme-cadre de financement de la recherche et de l'innovation de l'Union européen (Horizon 2020) pour la période 2014-2020. Le défi sociétal de la SNR intitulé « Sécurité alimentaire et défi démographique » (défi 5) était le miroir du défi 2 du programme Horizon 2020 « Sécurité alimentaire, agriculture durable, recherche marine et maritime et bioéconomie ». Le défi de la SNR portant sur la « gestion sobre des ressources et adaptation au changement climatique » (Défi 1) correspondait au défi 5 du programme Horizon 2020 « Lutte contre le changement climatique, utilisation efficace des ressources et des matières premières ». Le défi de l’énergie intitulé « énergie propre, sure et efficace » (défi 2) était calé sur le défi d’H2020 « Energies sûres, propres et efficaces » (défi 3). Le défi 6 de la SNR « mobilité et systèmes urbains durables » correspondait en partie au défi 4 d’Horizon 2020 portant sur les « Transports intelligents, verts et intégrés »</w:t>
      </w:r>
      <w:r>
        <w:rPr>
          <w:rFonts w:ascii="Arial" w:hAnsi="Arial" w:cs="Arial"/>
          <w:color w:val="000000"/>
          <w:szCs w:val="14"/>
        </w:rPr>
        <w:t xml:space="preserve">. </w:t>
      </w:r>
    </w:p>
    <w:p w14:paraId="38016CCA" w14:textId="77777777" w:rsidR="000E2F47" w:rsidRDefault="000E2F47" w:rsidP="000E2F47">
      <w:pPr>
        <w:rPr>
          <w:rFonts w:ascii="Times New Roman" w:hAnsi="Times New Roman"/>
          <w:color w:val="000000"/>
        </w:rPr>
      </w:pPr>
    </w:p>
    <w:p w14:paraId="1E9D5833" w14:textId="20097666" w:rsidR="007E76D2" w:rsidRDefault="007E76D2" w:rsidP="000E2F47">
      <w:pPr>
        <w:rPr>
          <w:rFonts w:ascii="Arial" w:hAnsi="Arial" w:cs="Arial"/>
          <w:color w:val="000000"/>
          <w:szCs w:val="14"/>
        </w:rPr>
      </w:pPr>
      <w:r w:rsidRPr="009C1A8D">
        <w:rPr>
          <w:rFonts w:ascii="Times New Roman" w:hAnsi="Times New Roman"/>
          <w:color w:val="000000"/>
        </w:rPr>
        <w:t xml:space="preserve">Le cadre européen a évolué avec Horizon Europe, qui maintient le choix d’orienter la recherche en réponse aux problématiques mondiales et notamment les objectifs de développement durable. Ainsi le </w:t>
      </w:r>
      <w:r w:rsidRPr="000E0CCC">
        <w:rPr>
          <w:color w:val="000000"/>
        </w:rPr>
        <w:t xml:space="preserve">pilier </w:t>
      </w:r>
      <w:r w:rsidRPr="009C1A8D">
        <w:rPr>
          <w:rFonts w:ascii="Times New Roman" w:hAnsi="Times New Roman"/>
          <w:color w:val="000000"/>
        </w:rPr>
        <w:t>2 du programme, qui concentre plus de 55</w:t>
      </w:r>
      <w:r w:rsidR="006518EF">
        <w:rPr>
          <w:rFonts w:ascii="Times New Roman" w:hAnsi="Times New Roman"/>
          <w:color w:val="000000"/>
        </w:rPr>
        <w:t>%</w:t>
      </w:r>
      <w:r w:rsidRPr="009C1A8D">
        <w:rPr>
          <w:rFonts w:ascii="Times New Roman" w:hAnsi="Times New Roman"/>
          <w:color w:val="000000"/>
        </w:rPr>
        <w:t xml:space="preserve"> du budget total se décline</w:t>
      </w:r>
      <w:r>
        <w:rPr>
          <w:color w:val="000000"/>
        </w:rPr>
        <w:t xml:space="preserve"> en</w:t>
      </w:r>
      <w:r w:rsidRPr="009C1A8D">
        <w:rPr>
          <w:rFonts w:ascii="Times New Roman" w:hAnsi="Times New Roman"/>
          <w:color w:val="000000"/>
        </w:rPr>
        <w:t xml:space="preserve"> 5 missions pour répondre aux défis de société : climat, cancer, océans, villes et sols</w:t>
      </w:r>
      <w:r>
        <w:rPr>
          <w:rFonts w:ascii="Arial" w:hAnsi="Arial" w:cs="Arial"/>
          <w:color w:val="000000"/>
          <w:szCs w:val="14"/>
        </w:rPr>
        <w:t>.</w:t>
      </w:r>
    </w:p>
    <w:p w14:paraId="0CBA51F2" w14:textId="77777777" w:rsidR="003F51CF" w:rsidRDefault="003F51CF" w:rsidP="007E76D2">
      <w:pPr>
        <w:ind w:left="567"/>
        <w:rPr>
          <w:rFonts w:ascii="Arial" w:hAnsi="Arial" w:cs="Arial"/>
          <w:color w:val="000000"/>
          <w:szCs w:val="14"/>
        </w:rPr>
      </w:pPr>
    </w:p>
    <w:p w14:paraId="52818258" w14:textId="2C58004C" w:rsidR="007E76D2" w:rsidRPr="003F51CF" w:rsidRDefault="007E76D2" w:rsidP="00E524AF">
      <w:pPr>
        <w:pStyle w:val="titreencadre"/>
      </w:pPr>
      <w:r>
        <w:t>Les initiatives de programmation conjointe (JPI)</w:t>
      </w:r>
    </w:p>
    <w:p w14:paraId="35215C8B" w14:textId="77662921" w:rsidR="007E76D2" w:rsidRDefault="007E76D2" w:rsidP="003F51CF">
      <w:pPr>
        <w:rPr>
          <w:rFonts w:ascii="Arial" w:hAnsi="Arial" w:cs="Arial"/>
        </w:rPr>
      </w:pPr>
      <w:r>
        <w:t>Les initiatives de programmation conjointe instaurent un nouveau mode de coopération entre États-membres pour relever une série de défis sociétaux essentiels pour l’Europe. Elles amènent les États-membres à définir une vision commune et un agenda stratégique de recherche sur ces enjeux sociétaux auxquels les programmes nationaux pris isolément ne peuvent répondre. Elle consiste à définir et mettre en œuvre de manière coordonnée au niveau européen, des programmes de recherche sur des enjeux majeurs pour la société européenne, la science et la technologie. La France participe aux 10 initiatives de programmation conjointe approuvées à ce jour, dont cinq d'entre elles entrent dans le cadre de la recherche climatique :</w:t>
      </w:r>
    </w:p>
    <w:p w14:paraId="6FF141D0" w14:textId="4411C1A0" w:rsidR="007E76D2" w:rsidRPr="008E7350" w:rsidRDefault="007E76D2" w:rsidP="003F57EA">
      <w:pPr>
        <w:pStyle w:val="ListParagraph"/>
        <w:numPr>
          <w:ilvl w:val="0"/>
          <w:numId w:val="75"/>
        </w:numPr>
        <w:rPr>
          <w:rFonts w:eastAsia="Symbol"/>
        </w:rPr>
      </w:pPr>
      <w:r>
        <w:t>JPI Climate (Développement coordonné des connaissances sur le climat au bénéfice de l’Europe) :</w:t>
      </w:r>
      <w:r w:rsidRPr="008E7350">
        <w:rPr>
          <w:rFonts w:eastAsia="Symbol"/>
        </w:rPr>
        <w:t xml:space="preserve"> Lancée en avril 2010, la JPI Climate, associant 17 pays, est une initiative européenne permettant un financement coordonné de la recherche climatique (au sens large). Elle permet de contribuer à un développement des connaissances pour améliorer l’expertise scientifique sur des risques du au changement climatique et des options d’adaptation.LA France à travers l’ANR en a assuré la présidence jusqu’en 2017.</w:t>
      </w:r>
    </w:p>
    <w:p w14:paraId="0529C52F" w14:textId="0CD2D588" w:rsidR="007E76D2" w:rsidRPr="009729F7" w:rsidRDefault="007E76D2" w:rsidP="003F57EA">
      <w:pPr>
        <w:pStyle w:val="ListParagraph"/>
        <w:numPr>
          <w:ilvl w:val="0"/>
          <w:numId w:val="74"/>
        </w:numPr>
        <w:rPr>
          <w:rFonts w:eastAsia="Symbol"/>
        </w:rPr>
      </w:pPr>
      <w:r w:rsidRPr="003F51CF">
        <w:rPr>
          <w:rFonts w:eastAsia="Symbol"/>
        </w:rPr>
        <w:t>JPI Oceans (Des mers et des océans sains et productifs) : L’ambition de cette initiative lancée en 2010, associant 22 pays, est de créer un socle de connaissances qui permettra la mise en place d'une politique intégrée sur l'utilisation durable des ressources marines, tout en limitant l'impact du changement climatique sur le monde marin et les régions côtières.</w:t>
      </w:r>
    </w:p>
    <w:p w14:paraId="3E378BF9" w14:textId="0D1D2E29" w:rsidR="007E76D2" w:rsidRPr="009729F7" w:rsidRDefault="007E76D2" w:rsidP="003F57EA">
      <w:pPr>
        <w:pStyle w:val="ListParagraph"/>
        <w:numPr>
          <w:ilvl w:val="0"/>
          <w:numId w:val="74"/>
        </w:numPr>
        <w:rPr>
          <w:rFonts w:ascii="Arial" w:eastAsia="Symbol" w:hAnsi="Arial" w:cs="Arial"/>
          <w:b/>
        </w:rPr>
      </w:pPr>
      <w:r w:rsidRPr="003F51CF">
        <w:rPr>
          <w:rFonts w:eastAsia="Symbol"/>
        </w:rPr>
        <w:t>JPI Urban Europe</w:t>
      </w:r>
      <w:r w:rsidRPr="003F51CF">
        <w:rPr>
          <w:rFonts w:eastAsia="Symbol"/>
          <w:b/>
        </w:rPr>
        <w:t xml:space="preserve"> </w:t>
      </w:r>
      <w:r w:rsidRPr="003F51CF">
        <w:rPr>
          <w:rFonts w:eastAsia="Symbol"/>
        </w:rPr>
        <w:t xml:space="preserve">:La JPI Urban Europe, a été créé en 2010 et associe 14 pays européens pour aider les villes européennes à relever les nombreux défis auxquels elles sont confrontées: changements climatiques, congestion des réseaux de transport, gestion de l’énergie, parc immobilier vieillissant, flux migratoires, changements sociaux et économiques. </w:t>
      </w:r>
    </w:p>
    <w:p w14:paraId="7401AAB8" w14:textId="77777777" w:rsidR="007E76D2" w:rsidRPr="003F51CF" w:rsidRDefault="007E76D2" w:rsidP="003F57EA">
      <w:pPr>
        <w:pStyle w:val="ListParagraph"/>
        <w:numPr>
          <w:ilvl w:val="0"/>
          <w:numId w:val="74"/>
        </w:numPr>
        <w:rPr>
          <w:rFonts w:eastAsia="Symbol"/>
          <w:sz w:val="18"/>
          <w:szCs w:val="18"/>
        </w:rPr>
      </w:pPr>
      <w:r w:rsidRPr="003F51CF">
        <w:rPr>
          <w:rFonts w:eastAsia="Symbol"/>
        </w:rPr>
        <w:t>JPI Water (Défis liés à l’eau dans un monde en mutation) </w:t>
      </w:r>
      <w:r w:rsidRPr="003F51CF">
        <w:rPr>
          <w:rFonts w:eastAsia="Symbol"/>
          <w:b/>
        </w:rPr>
        <w:t xml:space="preserve">: </w:t>
      </w:r>
      <w:r w:rsidRPr="003F51CF">
        <w:rPr>
          <w:rFonts w:eastAsia="Symbol"/>
        </w:rPr>
        <w:t>Cette</w:t>
      </w:r>
      <w:r w:rsidRPr="003F51CF">
        <w:rPr>
          <w:rFonts w:eastAsia="Symbol"/>
          <w:b/>
        </w:rPr>
        <w:t xml:space="preserve"> </w:t>
      </w:r>
      <w:r w:rsidRPr="003F51CF">
        <w:rPr>
          <w:rFonts w:eastAsia="Symbol"/>
        </w:rPr>
        <w:t xml:space="preserve">initiative de programmation conjointe vise à renforcer le leadership et la compétitivité de l'Europe dans le domaine de la recherche et l'innovation sur l’eau, tout en permettant de préserver la ressource. La France à travers l’ANR en assure la présidence et la coordination depuis novembre 2014. Cette JPI rassemble 24 pays et l’Union Européenne. </w:t>
      </w:r>
    </w:p>
    <w:p w14:paraId="7EFF37D2" w14:textId="77777777" w:rsidR="007E76D2" w:rsidRPr="003F51CF" w:rsidRDefault="007E76D2" w:rsidP="003F57EA">
      <w:pPr>
        <w:pStyle w:val="ListParagraph"/>
        <w:numPr>
          <w:ilvl w:val="0"/>
          <w:numId w:val="74"/>
        </w:numPr>
        <w:rPr>
          <w:rFonts w:eastAsia="Symbol"/>
        </w:rPr>
      </w:pPr>
      <w:r w:rsidRPr="003F51CF">
        <w:rPr>
          <w:rFonts w:eastAsia="Symbol"/>
          <w:sz w:val="18"/>
          <w:szCs w:val="18"/>
        </w:rPr>
        <w:t>201</w:t>
      </w:r>
    </w:p>
    <w:p w14:paraId="200D718C" w14:textId="77777777" w:rsidR="007E76D2" w:rsidRPr="003F51CF" w:rsidRDefault="007E76D2" w:rsidP="003F57EA">
      <w:pPr>
        <w:pStyle w:val="ListParagraph"/>
        <w:numPr>
          <w:ilvl w:val="0"/>
          <w:numId w:val="74"/>
        </w:numPr>
        <w:rPr>
          <w:rFonts w:eastAsia="Symbol"/>
        </w:rPr>
      </w:pPr>
      <w:r w:rsidRPr="003F51CF">
        <w:rPr>
          <w:rFonts w:eastAsia="Symbol"/>
        </w:rPr>
        <w:t>JPI FACCE (Agriculture, sécurité alimentaire et changement climatique) </w:t>
      </w:r>
      <w:r w:rsidRPr="003F51CF">
        <w:rPr>
          <w:rFonts w:eastAsia="Symbol"/>
          <w:b/>
        </w:rPr>
        <w:t xml:space="preserve">: </w:t>
      </w:r>
      <w:r w:rsidRPr="003F51CF">
        <w:rPr>
          <w:rFonts w:eastAsia="Symbol"/>
        </w:rPr>
        <w:t xml:space="preserve">C’est une initiative lancée en 2010 qui a été coordonnée par l’Institut National de la Recherche Agronomique (INRA) jusqu’en 2014. Le secrétariat de FACCE est assurée par l’INRA. Cette initiative de programmation conjointe rassemble 22 pays qui se sont engagés à construire un espace de recherche européen intégré afin de relever les défis liés à l'agriculture durable, la sécurité alimentaire et les impacts du changement climatique. Elle fournit la recherche visant à soutenir une production agricole durable et la croissance économique, et contribuer à une bio-économie européenne, tout en maintenant et restaurant les services écosystémiques face aux changements climatiques actuels et futurs. </w:t>
      </w:r>
    </w:p>
    <w:p w14:paraId="3EC9BDE2" w14:textId="77777777" w:rsidR="007E76D2" w:rsidRDefault="007E76D2" w:rsidP="007E76D2">
      <w:pPr>
        <w:rPr>
          <w:rFonts w:eastAsia="Symbol"/>
          <w:color w:val="000000"/>
        </w:rPr>
      </w:pPr>
    </w:p>
    <w:p w14:paraId="2A0B31AE" w14:textId="06D3E055" w:rsidR="007E76D2" w:rsidRPr="008E7350" w:rsidRDefault="007E76D2" w:rsidP="00E524AF">
      <w:pPr>
        <w:pStyle w:val="titreencadre"/>
        <w:rPr>
          <w:rFonts w:eastAsia="Symbol"/>
          <w:lang w:val="en-US"/>
        </w:rPr>
      </w:pPr>
      <w:r>
        <w:rPr>
          <w:rFonts w:eastAsia="Symbol"/>
          <w:lang w:val="en-US"/>
        </w:rPr>
        <w:t xml:space="preserve">Partnership for Research and Innovation in the Mediterranean Area (PRIMA) </w:t>
      </w:r>
    </w:p>
    <w:p w14:paraId="0A7DBB2D" w14:textId="77777777" w:rsidR="007E76D2" w:rsidRDefault="007E76D2" w:rsidP="007E76D2">
      <w:pPr>
        <w:rPr>
          <w:rFonts w:eastAsia="Symbol"/>
          <w:color w:val="000000"/>
        </w:rPr>
      </w:pPr>
      <w:r>
        <w:rPr>
          <w:rFonts w:eastAsia="Symbol"/>
          <w:color w:val="000000"/>
        </w:rPr>
        <w:t xml:space="preserve">PRIMA (Partnership for Research and Innovation in the Mediterranean Area) a pour objectif de renforcer la coopération en recherche et innovation dans les pays méditerranéens pour permettre de relever les défis de la production alimentaire durable et la gestion des ressources en eau en Méditerranée. L’initiative PRIMA est un programme de recherche et d’innovation de type Article 185 qui sera conduit sur une période de 10 ans à partir de 2018. </w:t>
      </w:r>
    </w:p>
    <w:p w14:paraId="14827475" w14:textId="77777777" w:rsidR="007E76D2" w:rsidRDefault="007E76D2" w:rsidP="007E76D2">
      <w:pPr>
        <w:ind w:left="567"/>
        <w:rPr>
          <w:rFonts w:eastAsia="Symbol"/>
          <w:color w:val="000000"/>
        </w:rPr>
      </w:pPr>
    </w:p>
    <w:p w14:paraId="6A2BB8E5" w14:textId="37CC7B7F" w:rsidR="007E76D2" w:rsidRPr="008E7350" w:rsidRDefault="007E76D2" w:rsidP="00E524AF">
      <w:pPr>
        <w:pStyle w:val="titreencadre"/>
        <w:rPr>
          <w:rFonts w:eastAsia="Symbol"/>
        </w:rPr>
      </w:pPr>
      <w:r>
        <w:rPr>
          <w:rFonts w:eastAsia="Symbol"/>
        </w:rPr>
        <w:t>Infrastructures européennes de recherche (European Strategy Forum on Research Infrastructures, ESFRI)</w:t>
      </w:r>
    </w:p>
    <w:p w14:paraId="68398A81" w14:textId="3F2B622D" w:rsidR="007E76D2" w:rsidRPr="008E7350" w:rsidRDefault="007E76D2" w:rsidP="008E7350">
      <w:pPr>
        <w:rPr>
          <w:rFonts w:ascii="Arial" w:eastAsia="Symbol" w:hAnsi="Arial" w:cs="Arial"/>
          <w:color w:val="000000"/>
        </w:rPr>
      </w:pPr>
      <w:r>
        <w:rPr>
          <w:rFonts w:eastAsia="Symbol"/>
          <w:color w:val="000000"/>
        </w:rPr>
        <w:t xml:space="preserve">La France a participé activement, dans le cadre du Forum européen de stratégie sur les infrastructures de recherche (ESFRI), à la mise à jour de la feuille de route des infrastructures de recherche pan-européennes et officiellement publiée en 2021. En parallèle, elle a également revisité la feuille de route de ses installations nationales initialement publiée en 2008 puis mise à jour en 2012 et en 2016. Le forum ESFRI, qui joue un rôle clé dans l'élaboration des politiques sur les infrastructures de recherche en Europe, identifie les infrastructures de recherches européennes essentielles pour les 10 à 20 prochaines années. La France a construit sa feuille de route des infrastructures de recherche en cohérence avec cette feuille de route de l’ESFRI. </w:t>
      </w:r>
    </w:p>
    <w:p w14:paraId="0761E586" w14:textId="24F79287" w:rsidR="007E76D2" w:rsidRPr="008E7350" w:rsidRDefault="007E76D2" w:rsidP="00E524AF">
      <w:pPr>
        <w:pStyle w:val="Titre4niveau4"/>
      </w:pPr>
      <w:r>
        <w:t>La participation française dans le Groupe d'experts intergouvernemental sur l'évolution du climat (GIEC)</w:t>
      </w:r>
    </w:p>
    <w:p w14:paraId="51AF0CF0" w14:textId="79DF2EDD" w:rsidR="007E76D2" w:rsidRDefault="007E76D2" w:rsidP="007E76D2">
      <w:pPr>
        <w:rPr>
          <w:rFonts w:eastAsia="Symbol"/>
          <w:color w:val="000000"/>
          <w:szCs w:val="22"/>
        </w:rPr>
      </w:pPr>
      <w:r>
        <w:rPr>
          <w:rFonts w:eastAsia="Symbol"/>
          <w:color w:val="000000"/>
          <w:szCs w:val="22"/>
        </w:rPr>
        <w:t>Les équipes de recherche françaises ont largement contribué au 6</w:t>
      </w:r>
      <w:r>
        <w:rPr>
          <w:rFonts w:eastAsia="Symbol"/>
          <w:color w:val="000000"/>
          <w:szCs w:val="22"/>
          <w:vertAlign w:val="superscript"/>
        </w:rPr>
        <w:t>ème</w:t>
      </w:r>
      <w:r>
        <w:rPr>
          <w:rFonts w:eastAsia="Symbol"/>
          <w:color w:val="000000"/>
          <w:szCs w:val="22"/>
        </w:rPr>
        <w:t xml:space="preserve"> rapport d’évaluation publié par le GIEC, notamment le rapport du Groupe de Travail 1 (« </w:t>
      </w:r>
      <w:r w:rsidR="008E7350">
        <w:rPr>
          <w:rFonts w:eastAsia="Symbol"/>
          <w:color w:val="000000"/>
          <w:szCs w:val="22"/>
        </w:rPr>
        <w:t>The Physical Science Basis », dont la vice-</w:t>
      </w:r>
      <w:r>
        <w:rPr>
          <w:rFonts w:eastAsia="Symbol"/>
          <w:color w:val="000000"/>
          <w:szCs w:val="22"/>
        </w:rPr>
        <w:t>présidence est assurée par Valérie Masson-Delmotte, chercheure à l’IPSL). Q</w:t>
      </w:r>
      <w:r w:rsidR="008E7350">
        <w:rPr>
          <w:rFonts w:eastAsia="Symbol"/>
          <w:color w:val="000000"/>
          <w:szCs w:val="22"/>
        </w:rPr>
        <w:t>uarante-</w:t>
      </w:r>
      <w:r>
        <w:rPr>
          <w:rFonts w:eastAsia="Symbol"/>
          <w:color w:val="000000"/>
          <w:szCs w:val="22"/>
        </w:rPr>
        <w:t>deux scientifiques français ont contribué au rapport du GT1 publié en 2013. Des scientifiques français ont aussi contribué aux rapports 2 et 3 publiés en 2014, dédiés respectivement aux « Impacts, Adaptation, and Vulnerability » (57 auteurs et relecteurs français) et à la « Mitigation of Climate Change » (7 auteurs français).</w:t>
      </w:r>
    </w:p>
    <w:p w14:paraId="0F1004B4" w14:textId="52F75D31" w:rsidR="007E76D2" w:rsidRDefault="007E76D2" w:rsidP="008E7350">
      <w:r>
        <w:rPr>
          <w:rFonts w:eastAsia="Symbol"/>
          <w:color w:val="000000"/>
          <w:szCs w:val="22"/>
        </w:rPr>
        <w:t>Le Ministère chargé de la recherche scientifique (MESR) conjointement avec le Ministère chargé de l’environnement (</w:t>
      </w:r>
      <w:r w:rsidR="00652F25">
        <w:rPr>
          <w:rFonts w:eastAsia="Symbol"/>
          <w:color w:val="000000"/>
          <w:szCs w:val="22"/>
        </w:rPr>
        <w:t>MTE</w:t>
      </w:r>
      <w:r>
        <w:rPr>
          <w:rFonts w:eastAsia="Symbol"/>
          <w:color w:val="000000"/>
          <w:szCs w:val="22"/>
        </w:rPr>
        <w:t>) à travers l’ADEME et le Ministère chargé des affaires étrangères (MEAE) assurent depuis 2016 le support de la Technical Support Unit (TSU) du</w:t>
      </w:r>
      <w:r>
        <w:rPr>
          <w:rFonts w:ascii="Arial" w:eastAsia="Symbol" w:hAnsi="Arial" w:cs="Arial"/>
          <w:color w:val="000000"/>
        </w:rPr>
        <w:t xml:space="preserve"> </w:t>
      </w:r>
      <w:r>
        <w:rPr>
          <w:rFonts w:eastAsia="Symbol"/>
          <w:color w:val="000000"/>
          <w:szCs w:val="22"/>
        </w:rPr>
        <w:t>Groupe de Travail 1. Ce groupe de travail évalue les aspects scientifiques de la physique du système climatique et du</w:t>
      </w:r>
      <w:r>
        <w:rPr>
          <w:rFonts w:ascii="Arial" w:eastAsia="Symbol" w:hAnsi="Arial" w:cs="Arial"/>
          <w:color w:val="000000"/>
        </w:rPr>
        <w:t xml:space="preserve"> </w:t>
      </w:r>
      <w:r>
        <w:rPr>
          <w:rFonts w:eastAsia="Symbol"/>
          <w:color w:val="000000"/>
        </w:rPr>
        <w:t>changement climatique. La TSU est basée à l'Université Paris Saclay en France avec une antenne avec le Centre international Abdus Salam pour la physique théorique en Italie. La TSU bénéficie également d'un soutien pour l’informatique du Laboratoire pour Sciences du climat et de l'environnement (LSCE) de l'Institut Pierre Simon Laplace (IPSL). Actuellement, la France cotise pour 1,5 M€/an au GIEC.</w:t>
      </w:r>
    </w:p>
    <w:p w14:paraId="000B264A" w14:textId="229144EC" w:rsidR="007E76D2" w:rsidRDefault="007E76D2" w:rsidP="00E524AF">
      <w:pPr>
        <w:pStyle w:val="Titre2Niveau2"/>
      </w:pPr>
      <w:bookmarkStart w:id="775" w:name="_Toc138342074"/>
      <w:r>
        <w:t>L’observation systématique</w:t>
      </w:r>
      <w:bookmarkEnd w:id="775"/>
    </w:p>
    <w:p w14:paraId="16A6E8D3" w14:textId="1426B84B" w:rsidR="007E76D2" w:rsidRPr="008E7350" w:rsidRDefault="007E76D2" w:rsidP="008E7350">
      <w:r>
        <w:t xml:space="preserve">La France participe au Système </w:t>
      </w:r>
      <w:r w:rsidRPr="008E7350">
        <w:t>Mondial d’Observation du Climat (SMOC), un système d'observation composite comprenant quatre domaines d'observation avec des réseaux spécifiques : l'atmosphère, l'océan, les réseaux terrestres (glaciers et flux de carbone), le domaine spatial. Ce programme d’observation du climat se fait sous l’égide de l’Organisation Météorologique Mondiale (OMM), du Conseil International de la Science (ICSU), de la Commission Océanographique Internationale (COI) et du Programme des Nations Unies pour l’Environnement (PNUE). L'objet de la Communication Nationale SMOC est de vérifier que le système français permet la surveillance du climat (résolution spatiale, fréquence temporelle, état de fonctionnement) et respecte des aspects spécifiques liés à la Convention Climat (Rio, 1992) e</w:t>
      </w:r>
      <w:r w:rsidR="008E7350" w:rsidRPr="008E7350">
        <w:t>t au Protocole de Kyoto (1997).</w:t>
      </w:r>
    </w:p>
    <w:p w14:paraId="2AEA9BCC" w14:textId="4FF3580E" w:rsidR="007E76D2" w:rsidRPr="008E7350" w:rsidRDefault="007E76D2" w:rsidP="008E7350">
      <w:r w:rsidRPr="008E7350">
        <w:t>Deux types de réseaux de mesures sont à considérer selon les finalités : les réseaux de mesures pour la recherche et les réseaux pour des missions de service public. Les deux types de réseaux ont nécessairem</w:t>
      </w:r>
      <w:r w:rsidR="008E7350" w:rsidRPr="008E7350">
        <w:t>ent développé des interactions.</w:t>
      </w:r>
    </w:p>
    <w:p w14:paraId="0567A7EC" w14:textId="77777777" w:rsidR="007E76D2" w:rsidRPr="008E7350" w:rsidRDefault="007E76D2" w:rsidP="008E7350">
      <w:r w:rsidRPr="008E7350">
        <w:t xml:space="preserve">En France, la recherche climatique s’appuie sur des services d’observations labellisés par la commission spécialisée Océan Atmosphère (CSOA) et qui sont gérés localement par des Observatoires des Sciences de l’Univers (OSU). Ces services constituent des briques de bases d’infrastructures de recherche nationales inscrites dans une feuille de route nationale (établissement en 2008 et mise à jour en 2012, 2016 et 2021). Depuis une dizaine d’années, la structuration du paysage des infrastructures nationales témoigne d’une démarche de la France de pérenniser les systèmes d’observation existants, nécessaires notamment à la recherche climatique en cohérence avec les infrastructures de recherches européennes ou internationales. </w:t>
      </w:r>
    </w:p>
    <w:p w14:paraId="74A1AECC" w14:textId="77777777" w:rsidR="007E76D2" w:rsidRPr="008E7350" w:rsidRDefault="007E76D2" w:rsidP="008E7350"/>
    <w:p w14:paraId="5288E44E" w14:textId="08E27D84" w:rsidR="007E76D2" w:rsidRPr="008E7350" w:rsidRDefault="007E76D2" w:rsidP="007E76D2">
      <w:r w:rsidRPr="008E7350">
        <w:t>Météo-France, en tant que service météorologique et climatologique national exerçant au nom de l’État la sécurité météorologique des personnes et des biens, a aussi vocation à être à la pointe de la recherche et des dernières avancées scientifiques en matière d’observation, de prévision et de modélisation climat. Il occupe une place centrale dans le dispositif d’observation systématique de par son histoire, ses liens avec l’OMM et</w:t>
      </w:r>
      <w:r w:rsidR="008E7350">
        <w:t xml:space="preserve"> son implantation territoriale.</w:t>
      </w:r>
    </w:p>
    <w:p w14:paraId="68AB637E" w14:textId="00D13373" w:rsidR="007E76D2" w:rsidRDefault="007E76D2" w:rsidP="00E524AF">
      <w:pPr>
        <w:pStyle w:val="Titre3Niveau3"/>
      </w:pPr>
      <w:bookmarkStart w:id="776" w:name="_Toc138342075"/>
      <w:r>
        <w:t>Ser</w:t>
      </w:r>
      <w:r w:rsidR="008E7350">
        <w:t>v</w:t>
      </w:r>
      <w:r>
        <w:t>ices nationaux d’observation dans le domaine atmosphérique</w:t>
      </w:r>
      <w:bookmarkEnd w:id="776"/>
      <w:r>
        <w:t xml:space="preserve"> </w:t>
      </w:r>
    </w:p>
    <w:p w14:paraId="43031571" w14:textId="053F623F" w:rsidR="007E76D2" w:rsidRPr="008E7350" w:rsidRDefault="007E76D2" w:rsidP="008E7350">
      <w:pPr>
        <w:rPr>
          <w:color w:val="000000"/>
          <w:szCs w:val="22"/>
        </w:rPr>
      </w:pPr>
      <w:r w:rsidRPr="007C7405">
        <w:rPr>
          <w:szCs w:val="22"/>
        </w:rPr>
        <w:t>Onze services nationaux d’observation (SNO) labélisés par la Commission spécialisée Océan Atmosphère permettent l’observation du climat. Certains représentent la contribution française d’infrastructures européennes</w:t>
      </w:r>
      <w:r>
        <w:rPr>
          <w:szCs w:val="22"/>
        </w:rPr>
        <w:t xml:space="preserve"> ou de réseaux internationaux</w:t>
      </w:r>
      <w:r w:rsidRPr="007C7405">
        <w:rPr>
          <w:szCs w:val="22"/>
        </w:rPr>
        <w:t>.</w:t>
      </w:r>
    </w:p>
    <w:p w14:paraId="71DC07A2" w14:textId="6B0E0150" w:rsidR="007E76D2" w:rsidRPr="008E7350" w:rsidRDefault="007E76D2" w:rsidP="00E524AF">
      <w:pPr>
        <w:pStyle w:val="Titre4niveau4"/>
      </w:pPr>
      <w:r>
        <w:t>Le système intégré d’observation du carbone (ICOS)</w:t>
      </w:r>
    </w:p>
    <w:p w14:paraId="211DBF06" w14:textId="4A7E76B9" w:rsidR="007E76D2" w:rsidRDefault="007E76D2" w:rsidP="007E76D2">
      <w:pPr>
        <w:rPr>
          <w:b/>
          <w:color w:val="000000"/>
          <w:szCs w:val="22"/>
        </w:rPr>
      </w:pPr>
      <w:r>
        <w:rPr>
          <w:color w:val="000000"/>
          <w:szCs w:val="22"/>
        </w:rPr>
        <w:t>ICOS-RAMCES est la contribution française au réseau ICOS</w:t>
      </w:r>
      <w:r w:rsidR="00260E0B">
        <w:rPr>
          <w:color w:val="000000"/>
          <w:szCs w:val="22"/>
        </w:rPr>
        <w:t xml:space="preserve"> </w:t>
      </w:r>
      <w:r>
        <w:rPr>
          <w:color w:val="000000"/>
          <w:szCs w:val="22"/>
        </w:rPr>
        <w:t>(Integrated Carbon Observation System labélisé landmark par l’ESFRI)</w:t>
      </w:r>
      <w:r w:rsidR="00260E0B">
        <w:rPr>
          <w:color w:val="000000"/>
          <w:szCs w:val="22"/>
        </w:rPr>
        <w:t xml:space="preserve"> </w:t>
      </w:r>
      <w:r>
        <w:rPr>
          <w:color w:val="000000"/>
          <w:szCs w:val="22"/>
        </w:rPr>
        <w:t>qui est une infrastructure de recherche distribuée fournissant des mesures harmonisées à l’échelle européenne sur le cycle du carbone, les émissions et les concentrations atmosphériques des gaz à effet de serre (GES). ICOS intègre des réseaux de mesures dans l’atmosphère, au niveau des écosystèmes terrestres et de l’océan. L’infrastructure est coordonnée par la Finlande.</w:t>
      </w:r>
    </w:p>
    <w:p w14:paraId="0D3615AF" w14:textId="77777777" w:rsidR="007E76D2" w:rsidRDefault="007E76D2" w:rsidP="007E76D2">
      <w:pPr>
        <w:rPr>
          <w:b/>
          <w:color w:val="000000"/>
          <w:szCs w:val="22"/>
        </w:rPr>
      </w:pPr>
    </w:p>
    <w:p w14:paraId="39F61C43" w14:textId="5C91E75E" w:rsidR="007E76D2" w:rsidRPr="008E7350" w:rsidRDefault="007E76D2" w:rsidP="00E524AF">
      <w:pPr>
        <w:pStyle w:val="Titre4niveau4"/>
      </w:pPr>
      <w:r>
        <w:t>Instruments de mesure embarqués sur avions pour l’observation (IAGOS)</w:t>
      </w:r>
    </w:p>
    <w:p w14:paraId="31A70EAE" w14:textId="7E2692CC" w:rsidR="007E76D2" w:rsidRDefault="007E76D2" w:rsidP="007E76D2">
      <w:pPr>
        <w:rPr>
          <w:color w:val="000000"/>
          <w:szCs w:val="22"/>
        </w:rPr>
      </w:pPr>
      <w:r>
        <w:rPr>
          <w:color w:val="000000"/>
          <w:szCs w:val="22"/>
        </w:rPr>
        <w:t xml:space="preserve">IAGOS (In-service Aircraft for Global Observing System labélisé landmark par l’ESFRI) est une infrastructure de recherche européenne qui a pour but d’établir, d’opérer et d’exploiter un réseau global d’observation à long terme de la composition de l’atmosphère : gaz trace réactifs (ozone, monoxyde de carbone, oxydes d’azote), gaz à effet de serre (vapeur d’eau, dioxyde de carbone, méthane, ozone), aérosols et particules nuageuses (gouttes d’eau et cristaux de glace). Ces données sont exploitées par les réseaux scientifiques internationaux, les centres internationaux de prévisions météorologiques, les centres de prévision de la qualité de l’air, le Service Atmosphérique du programme Copernicus et plus largement par la sphère de GEOSS (Global Earth </w:t>
      </w:r>
      <w:r w:rsidR="008E7350">
        <w:rPr>
          <w:color w:val="000000"/>
          <w:szCs w:val="22"/>
        </w:rPr>
        <w:t>Observation System of Systems).</w:t>
      </w:r>
    </w:p>
    <w:p w14:paraId="70EB08F7" w14:textId="77777777" w:rsidR="007E76D2" w:rsidRDefault="007E76D2" w:rsidP="007E76D2">
      <w:pPr>
        <w:rPr>
          <w:color w:val="000000"/>
          <w:szCs w:val="22"/>
        </w:rPr>
      </w:pPr>
    </w:p>
    <w:p w14:paraId="0F083886" w14:textId="3441D4C1" w:rsidR="007E76D2" w:rsidRPr="00E22CF8" w:rsidRDefault="007E76D2" w:rsidP="00E524AF">
      <w:pPr>
        <w:pStyle w:val="Titre4niveau4"/>
        <w:rPr>
          <w:lang w:val="en-US"/>
        </w:rPr>
      </w:pPr>
      <w:r w:rsidRPr="00E22CF8">
        <w:rPr>
          <w:lang w:val="en-US"/>
        </w:rPr>
        <w:t>International Network for the Detection of Atmospheric Composition Change (NDACC)</w:t>
      </w:r>
    </w:p>
    <w:p w14:paraId="496D12BE" w14:textId="77777777" w:rsidR="007E76D2" w:rsidRPr="007C7405" w:rsidRDefault="007E76D2" w:rsidP="007E76D2">
      <w:pPr>
        <w:rPr>
          <w:bCs/>
          <w:szCs w:val="22"/>
        </w:rPr>
      </w:pPr>
      <w:r w:rsidRPr="007C7405">
        <w:rPr>
          <w:bCs/>
          <w:szCs w:val="22"/>
        </w:rPr>
        <w:t xml:space="preserve">NDACC </w:t>
      </w:r>
      <w:r w:rsidRPr="007C7405">
        <w:rPr>
          <w:szCs w:val="22"/>
        </w:rPr>
        <w:t>est un réseau international de surveillance sur le long terme de la stratosphère et de la haute troposphère crée en 1991. Il a pour objectif la détection des changements de composition chimique et de température d’origine naturelle ou anthropique ainsi que les interactions entre chimie et climat, et une validation sur le long terme des observations des mêmes paramètres par les nombreuses séries de satellites mis en orbite depuis lors.</w:t>
      </w:r>
    </w:p>
    <w:p w14:paraId="7874E759" w14:textId="77777777" w:rsidR="007E76D2" w:rsidRPr="007C7405" w:rsidRDefault="007E76D2" w:rsidP="007E76D2">
      <w:pPr>
        <w:rPr>
          <w:bCs/>
          <w:szCs w:val="22"/>
        </w:rPr>
      </w:pPr>
    </w:p>
    <w:p w14:paraId="37DC49DA" w14:textId="77777777" w:rsidR="007E76D2" w:rsidRDefault="007E76D2" w:rsidP="00E524AF">
      <w:pPr>
        <w:pStyle w:val="Titre4niveau4"/>
      </w:pPr>
      <w:r>
        <w:t>Infrastructure de recherche sur les aérosols, nuages, gaz-traces (ACTRIS)</w:t>
      </w:r>
    </w:p>
    <w:p w14:paraId="190A083D" w14:textId="77777777" w:rsidR="007E76D2" w:rsidRDefault="007E76D2" w:rsidP="007E76D2">
      <w:pPr>
        <w:rPr>
          <w:color w:val="000000"/>
          <w:szCs w:val="22"/>
        </w:rPr>
      </w:pPr>
    </w:p>
    <w:p w14:paraId="30EAD00C" w14:textId="1278BEFD" w:rsidR="007E76D2" w:rsidRDefault="007E76D2" w:rsidP="007E76D2">
      <w:pPr>
        <w:rPr>
          <w:color w:val="000000"/>
          <w:szCs w:val="22"/>
        </w:rPr>
      </w:pPr>
      <w:r>
        <w:rPr>
          <w:color w:val="000000"/>
          <w:szCs w:val="22"/>
        </w:rPr>
        <w:t>ACTRIS-FR, (Aerosols, Clouds, and Trace gases Research Infrastructure Network) est la composante française d’ACTRIS, l’initiative Européenne pour l’observation et l’exploration des aérosols, des nuages et des gaz réactifs et de leurs interactions.</w:t>
      </w:r>
      <w:r w:rsidR="002B29B0">
        <w:rPr>
          <w:color w:val="000000"/>
          <w:szCs w:val="22"/>
        </w:rPr>
        <w:t xml:space="preserve"> </w:t>
      </w:r>
      <w:r>
        <w:rPr>
          <w:color w:val="000000"/>
          <w:szCs w:val="22"/>
        </w:rPr>
        <w:t>Elle regroupe quatre SNO labélisés.</w:t>
      </w:r>
    </w:p>
    <w:p w14:paraId="3B3C2591" w14:textId="77777777" w:rsidR="007E76D2" w:rsidRDefault="007E76D2" w:rsidP="007E76D2">
      <w:pPr>
        <w:rPr>
          <w:color w:val="000000"/>
          <w:szCs w:val="22"/>
        </w:rPr>
      </w:pPr>
    </w:p>
    <w:p w14:paraId="1A1BEE31" w14:textId="290DE973" w:rsidR="007E76D2" w:rsidRPr="008E7350" w:rsidRDefault="007E76D2" w:rsidP="00E524AF">
      <w:pPr>
        <w:pStyle w:val="Titre4niveau4"/>
      </w:pPr>
      <w:r>
        <w:t xml:space="preserve">Le réseau AMMA-CATCH </w:t>
      </w:r>
    </w:p>
    <w:p w14:paraId="3C8D9595" w14:textId="77777777" w:rsidR="007E76D2" w:rsidRPr="00774DCA" w:rsidRDefault="007E76D2" w:rsidP="007E76D2">
      <w:pPr>
        <w:rPr>
          <w:szCs w:val="22"/>
        </w:rPr>
      </w:pPr>
      <w:r w:rsidRPr="003530CB">
        <w:rPr>
          <w:szCs w:val="22"/>
        </w:rPr>
        <w:t>L’observatoire AMMA-CATCH a pour objectif de surveiller les impacts des changements globaux sur le cycle de l’eau continental et le fonctionnement de la zone critique en Afrique de l’Ouest sur le long terme.</w:t>
      </w:r>
      <w:r>
        <w:rPr>
          <w:szCs w:val="22"/>
        </w:rPr>
        <w:t xml:space="preserve"> Il fait partie</w:t>
      </w:r>
      <w:r w:rsidRPr="003530CB">
        <w:rPr>
          <w:szCs w:val="22"/>
        </w:rPr>
        <w:t xml:space="preserve"> de l’</w:t>
      </w:r>
      <w:hyperlink r:id="rId130" w:history="1">
        <w:r>
          <w:rPr>
            <w:rStyle w:val="Hyperlink"/>
            <w:szCs w:val="22"/>
          </w:rPr>
          <w:t>infrastructure de recherche</w:t>
        </w:r>
        <w:r w:rsidRPr="003530CB">
          <w:rPr>
            <w:rStyle w:val="Hyperlink"/>
            <w:szCs w:val="22"/>
          </w:rPr>
          <w:t xml:space="preserve"> </w:t>
        </w:r>
        <w:r>
          <w:rPr>
            <w:rStyle w:val="Hyperlink"/>
            <w:szCs w:val="22"/>
          </w:rPr>
          <w:t xml:space="preserve">nationale </w:t>
        </w:r>
        <w:r w:rsidRPr="003530CB">
          <w:rPr>
            <w:rStyle w:val="Hyperlink"/>
            <w:szCs w:val="22"/>
          </w:rPr>
          <w:t>OZCAR</w:t>
        </w:r>
      </w:hyperlink>
      <w:r w:rsidRPr="003530CB">
        <w:rPr>
          <w:szCs w:val="22"/>
        </w:rPr>
        <w:t> </w:t>
      </w:r>
      <w:r>
        <w:rPr>
          <w:szCs w:val="22"/>
        </w:rPr>
        <w:t>(</w:t>
      </w:r>
      <w:r w:rsidRPr="003530CB">
        <w:rPr>
          <w:szCs w:val="22"/>
        </w:rPr>
        <w:t>Observatoires de la Zone Criti</w:t>
      </w:r>
      <w:r>
        <w:rPr>
          <w:szCs w:val="22"/>
        </w:rPr>
        <w:t xml:space="preserve">que : Applications et Recherche), </w:t>
      </w:r>
      <w:r w:rsidRPr="003530CB">
        <w:rPr>
          <w:szCs w:val="22"/>
        </w:rPr>
        <w:t xml:space="preserve">dédiée à l’observation et à l’étude du fonctionnement des surfaces </w:t>
      </w:r>
      <w:r w:rsidRPr="00774DCA">
        <w:rPr>
          <w:szCs w:val="22"/>
        </w:rPr>
        <w:t xml:space="preserve">terrestres, des sous-sols à la basse atmosphère, depuis les hauts reliefs jusqu’aux régions côtières. Ce réseau regroupe </w:t>
      </w:r>
      <w:hyperlink r:id="rId131" w:history="1">
        <w:r w:rsidRPr="00774DCA">
          <w:rPr>
            <w:rStyle w:val="Hyperlink"/>
            <w:szCs w:val="22"/>
          </w:rPr>
          <w:t>21 observatoires labellisés</w:t>
        </w:r>
      </w:hyperlink>
      <w:r w:rsidRPr="00774DCA">
        <w:rPr>
          <w:szCs w:val="22"/>
        </w:rPr>
        <w:t xml:space="preserve">, situés aussi bien sur le territoire français que dans les pays du Sud. L’IR OZCAR représente la contribution française de l’IR européenne "Long-Term Ecosystem Research in Europe" </w:t>
      </w:r>
      <w:hyperlink r:id="rId132" w:history="1">
        <w:r w:rsidRPr="00774DCA">
          <w:rPr>
            <w:rStyle w:val="Hyperlink"/>
            <w:szCs w:val="22"/>
          </w:rPr>
          <w:t>eLTER</w:t>
        </w:r>
      </w:hyperlink>
      <w:r w:rsidRPr="00774DCA">
        <w:rPr>
          <w:szCs w:val="22"/>
        </w:rPr>
        <w:t>.</w:t>
      </w:r>
    </w:p>
    <w:p w14:paraId="6CE390FD" w14:textId="3389C44B" w:rsidR="007E76D2" w:rsidRPr="008E7350" w:rsidRDefault="007E76D2" w:rsidP="007E76D2">
      <w:pPr>
        <w:rPr>
          <w:szCs w:val="22"/>
        </w:rPr>
      </w:pPr>
      <w:r w:rsidRPr="00774DCA">
        <w:rPr>
          <w:rStyle w:val="Strong"/>
          <w:szCs w:val="22"/>
        </w:rPr>
        <w:t>Par ailleurs, AMMA-CATCH</w:t>
      </w:r>
      <w:r w:rsidRPr="00774DCA">
        <w:rPr>
          <w:szCs w:val="22"/>
        </w:rPr>
        <w:t xml:space="preserve"> est membre du réseau mondial "Critical Zone Exploration Network" </w:t>
      </w:r>
      <w:hyperlink r:id="rId133" w:history="1">
        <w:r w:rsidRPr="00774DCA">
          <w:rPr>
            <w:rStyle w:val="Hyperlink"/>
            <w:szCs w:val="22"/>
          </w:rPr>
          <w:t>CZEN</w:t>
        </w:r>
      </w:hyperlink>
      <w:r w:rsidRPr="00774DCA">
        <w:rPr>
          <w:szCs w:val="22"/>
        </w:rPr>
        <w:t xml:space="preserve">. L’objectif principal de CZEN est de créer un réseau d’observatoires pour étudier les </w:t>
      </w:r>
      <w:r w:rsidR="008E7350">
        <w:rPr>
          <w:szCs w:val="22"/>
        </w:rPr>
        <w:t xml:space="preserve">processus de la zone critique. </w:t>
      </w:r>
    </w:p>
    <w:p w14:paraId="713E20EF" w14:textId="77777777" w:rsidR="007E76D2" w:rsidRDefault="007E76D2" w:rsidP="007E76D2">
      <w:pPr>
        <w:rPr>
          <w:color w:val="000000"/>
          <w:szCs w:val="22"/>
        </w:rPr>
      </w:pPr>
    </w:p>
    <w:p w14:paraId="60D27B53" w14:textId="286BB20F" w:rsidR="007E76D2" w:rsidRPr="008E7350" w:rsidRDefault="007E76D2" w:rsidP="00E524AF">
      <w:pPr>
        <w:pStyle w:val="Titre3Niveau3"/>
      </w:pPr>
      <w:bookmarkStart w:id="777" w:name="_Toc138342076"/>
      <w:r w:rsidRPr="008E7350">
        <w:t>Participation aux réseaux internationaux de me</w:t>
      </w:r>
      <w:r w:rsidR="008E7350" w:rsidRPr="008E7350">
        <w:t>sures physico-chimiques (GAW, E</w:t>
      </w:r>
      <w:r w:rsidRPr="008E7350">
        <w:t>MEP)</w:t>
      </w:r>
      <w:bookmarkEnd w:id="777"/>
    </w:p>
    <w:p w14:paraId="05D20BE1" w14:textId="77777777" w:rsidR="007E76D2" w:rsidRDefault="007E76D2" w:rsidP="007E76D2">
      <w:pPr>
        <w:rPr>
          <w:color w:val="000000"/>
          <w:szCs w:val="22"/>
        </w:rPr>
      </w:pPr>
      <w:r>
        <w:rPr>
          <w:i/>
          <w:iCs/>
          <w:color w:val="000000"/>
          <w:szCs w:val="22"/>
        </w:rPr>
        <w:t xml:space="preserve">Plusieurs stations d’observation françaises particient au réseau VAG </w:t>
      </w:r>
      <w:r>
        <w:rPr>
          <w:color w:val="000000"/>
          <w:szCs w:val="22"/>
        </w:rPr>
        <w:t>(Veille de l’Atmosphère Globale) ou GAW en anglais (Global Atmosphere Watch) concerne les mesures physico-chimiques de l'atmosphère et a été établi il y a plus de vingt-cinq ans dans le but d</w:t>
      </w:r>
      <w:r>
        <w:rPr>
          <w:rFonts w:hint="eastAsia"/>
          <w:color w:val="000000"/>
          <w:szCs w:val="22"/>
        </w:rPr>
        <w:t>’</w:t>
      </w:r>
      <w:r>
        <w:rPr>
          <w:color w:val="000000"/>
          <w:szCs w:val="22"/>
        </w:rPr>
        <w:t xml:space="preserve">améliorer les connaissances scientifiques sur l'influence croissante des activités humaines sur la composition atmosphérique. Les mesures concernent les aérosols, les gaz à effet de serre, certains gaz réactifs, l'ozone, les rayonnements UV et la chimie des précipitations (dépôts atmosphériques). </w:t>
      </w:r>
    </w:p>
    <w:p w14:paraId="661E595A" w14:textId="77777777" w:rsidR="007E76D2" w:rsidRDefault="007E76D2" w:rsidP="007E76D2">
      <w:pPr>
        <w:rPr>
          <w:szCs w:val="22"/>
        </w:rPr>
      </w:pPr>
    </w:p>
    <w:p w14:paraId="306E34F1" w14:textId="4191159D" w:rsidR="007E76D2" w:rsidRPr="009F4720" w:rsidRDefault="007E76D2" w:rsidP="007E76D2">
      <w:pPr>
        <w:rPr>
          <w:i/>
          <w:color w:val="000000"/>
          <w:szCs w:val="22"/>
        </w:rPr>
      </w:pPr>
      <w:r>
        <w:rPr>
          <w:i/>
          <w:iCs/>
          <w:color w:val="000000"/>
          <w:szCs w:val="22"/>
        </w:rPr>
        <w:t>Le réseau MERA</w:t>
      </w:r>
      <w:r>
        <w:rPr>
          <w:color w:val="000000"/>
          <w:szCs w:val="22"/>
        </w:rPr>
        <w:t xml:space="preserve"> (Mesure des Retombées Atmosphériques) est la composante française du dispositif européen </w:t>
      </w:r>
      <w:hyperlink r:id="rId134" w:anchor="_blank" w:history="1">
        <w:r>
          <w:rPr>
            <w:rStyle w:val="Hyperlink"/>
            <w:color w:val="000000"/>
            <w:szCs w:val="22"/>
          </w:rPr>
          <w:t>EMEP</w:t>
        </w:r>
      </w:hyperlink>
      <w:r>
        <w:rPr>
          <w:color w:val="000000"/>
          <w:szCs w:val="22"/>
        </w:rPr>
        <w:t xml:space="preserve"> (European Monitoring and Evaluation Programme) de suivi sur le long terme de la pollution atmosphérique longue distance dans le cadre de la Convention de Genève sur la pollution transfrontalière à longue distance (CLRTAP). </w:t>
      </w:r>
    </w:p>
    <w:p w14:paraId="5B3D9B7E" w14:textId="7251A246" w:rsidR="002B29B0" w:rsidRPr="00E22CF8" w:rsidRDefault="002B29B0" w:rsidP="003F57EA">
      <w:pPr>
        <w:pStyle w:val="Titre3Niveau3"/>
        <w:rPr>
          <w:i/>
        </w:rPr>
      </w:pPr>
      <w:bookmarkStart w:id="778" w:name="_Toc138342077"/>
      <w:r>
        <w:t>Systèmes d’observation Météo France</w:t>
      </w:r>
      <w:bookmarkEnd w:id="778"/>
    </w:p>
    <w:p w14:paraId="6583078A" w14:textId="51C8AC39" w:rsidR="002B29B0" w:rsidRDefault="002B29B0" w:rsidP="002B29B0">
      <w:pPr>
        <w:rPr>
          <w:rFonts w:eastAsia="Symbol"/>
          <w:color w:val="000000"/>
          <w:szCs w:val="22"/>
        </w:rPr>
      </w:pPr>
      <w:r>
        <w:rPr>
          <w:rFonts w:eastAsia="Symbol"/>
          <w:i/>
          <w:iCs/>
          <w:color w:val="000000"/>
          <w:szCs w:val="22"/>
        </w:rPr>
        <w:t>Radiosondages</w:t>
      </w:r>
      <w:r>
        <w:rPr>
          <w:rFonts w:eastAsia="Symbol"/>
          <w:color w:val="000000"/>
          <w:szCs w:val="22"/>
        </w:rPr>
        <w:t xml:space="preserve"> : </w:t>
      </w:r>
      <w:r w:rsidRPr="00C61965">
        <w:rPr>
          <w:rFonts w:eastAsia="Symbol"/>
          <w:color w:val="000000"/>
          <w:szCs w:val="22"/>
        </w:rPr>
        <w:t>Météo-France dispose d'un réseau de radiosondage constitué, au 31 décembre 2022, de 5 stations en France métropolitaine, de 9 stations en Outre-Mer et une station en Terre Adélie. Dans le cadre de la participation française au programme E-ASAP de l'Eumetnet, Météo-France a également équipé des navires marchands qui naviguent entre Le Havre et les Antilles de systèmes de radiosondages. Deux lâchers de ballons sont réalisés chaque jour.</w:t>
      </w:r>
    </w:p>
    <w:p w14:paraId="6EC52002" w14:textId="77777777" w:rsidR="002B29B0" w:rsidRDefault="002B29B0" w:rsidP="002B29B0">
      <w:pPr>
        <w:rPr>
          <w:color w:val="000000"/>
          <w:szCs w:val="22"/>
        </w:rPr>
      </w:pPr>
    </w:p>
    <w:p w14:paraId="1B69D5A1" w14:textId="77777777" w:rsidR="002B29B0" w:rsidRDefault="002B29B0" w:rsidP="002B29B0">
      <w:pPr>
        <w:rPr>
          <w:color w:val="000000"/>
          <w:szCs w:val="22"/>
        </w:rPr>
      </w:pPr>
      <w:r w:rsidRPr="00834E49">
        <w:rPr>
          <w:i/>
          <w:color w:val="000000"/>
          <w:szCs w:val="22"/>
        </w:rPr>
        <w:t>Mesure en haute montagne</w:t>
      </w:r>
      <w:r>
        <w:rPr>
          <w:color w:val="000000"/>
          <w:szCs w:val="22"/>
        </w:rPr>
        <w:t> : NIVOSE est le nom du réseau de stations météo automatiques de haute montagne, de Météo-France. Les stations de ce réseau ont été créées afin de permettre aux météorologues et plus largement au public d'accéder aux données météorologiques en temps réel concernant des lieux montagneux difficiles d'accès. Le réseau comporte 22 stations et couvre plusieurs grands massifs montagneux en France : Alpes (15 stations), Pyrénées (5 stations) et Corse (2 stations).</w:t>
      </w:r>
    </w:p>
    <w:p w14:paraId="4635405A" w14:textId="77777777" w:rsidR="002B29B0" w:rsidRDefault="002B29B0" w:rsidP="002B29B0">
      <w:pPr>
        <w:ind w:left="1276" w:hanging="283"/>
        <w:rPr>
          <w:rFonts w:eastAsia="Symbol"/>
          <w:color w:val="000000"/>
          <w:szCs w:val="22"/>
        </w:rPr>
      </w:pPr>
    </w:p>
    <w:p w14:paraId="03F2A5C0" w14:textId="77777777" w:rsidR="002B29B0" w:rsidRDefault="002B29B0" w:rsidP="002B29B0">
      <w:pPr>
        <w:rPr>
          <w:rFonts w:eastAsia="Symbol"/>
          <w:color w:val="000000"/>
          <w:szCs w:val="22"/>
        </w:rPr>
      </w:pPr>
      <w:r>
        <w:rPr>
          <w:rFonts w:eastAsia="Symbol"/>
          <w:i/>
          <w:iCs/>
          <w:color w:val="000000"/>
          <w:szCs w:val="22"/>
        </w:rPr>
        <w:t>Mesures aéroportées</w:t>
      </w:r>
      <w:r>
        <w:rPr>
          <w:rFonts w:eastAsia="Symbol"/>
          <w:color w:val="000000"/>
          <w:szCs w:val="22"/>
        </w:rPr>
        <w:t> : AMDAR (Aircraft Meteorological Data Relay)</w:t>
      </w:r>
      <w:r>
        <w:rPr>
          <w:rFonts w:eastAsia="Symbol"/>
          <w:i/>
          <w:color w:val="000000"/>
          <w:szCs w:val="22"/>
        </w:rPr>
        <w:t xml:space="preserve"> </w:t>
      </w:r>
      <w:r>
        <w:rPr>
          <w:rFonts w:eastAsia="Symbol"/>
          <w:color w:val="000000"/>
          <w:szCs w:val="22"/>
        </w:rPr>
        <w:t>Pour enrichir leurs données sur l'état de l'atmosphère en altitude, depuis 2001, l'association des services météorologiques européens (Eumetnet) assure pour l'Europe, au sein du projet Amdar lancé en 1995 par l'OMM, la collecte et le contrôle des données des compagnies volontaires. </w:t>
      </w:r>
    </w:p>
    <w:p w14:paraId="0ECD5D31" w14:textId="77777777" w:rsidR="002B29B0" w:rsidRDefault="002B29B0" w:rsidP="002B29B0">
      <w:pPr>
        <w:ind w:left="1276" w:hanging="283"/>
        <w:rPr>
          <w:rFonts w:eastAsia="Symbol"/>
          <w:color w:val="000000"/>
          <w:szCs w:val="22"/>
        </w:rPr>
      </w:pPr>
    </w:p>
    <w:p w14:paraId="1C91F9F2" w14:textId="5332AB09" w:rsidR="007E76D2" w:rsidRDefault="007E76D2" w:rsidP="002B29B0">
      <w:pPr>
        <w:rPr>
          <w:rFonts w:eastAsia="Symbol"/>
          <w:i/>
          <w:color w:val="000000"/>
          <w:szCs w:val="22"/>
        </w:rPr>
      </w:pPr>
      <w:r>
        <w:rPr>
          <w:rFonts w:eastAsia="Symbol"/>
          <w:color w:val="000000"/>
          <w:szCs w:val="22"/>
        </w:rPr>
        <w:t xml:space="preserve">. </w:t>
      </w:r>
    </w:p>
    <w:p w14:paraId="3E7C21E9" w14:textId="5D979B0D" w:rsidR="007E76D2" w:rsidRPr="008E7350" w:rsidRDefault="007E76D2" w:rsidP="00E524AF">
      <w:pPr>
        <w:pStyle w:val="Titre3Niveau3"/>
        <w:rPr>
          <w:lang w:eastAsia="ar-SA"/>
        </w:rPr>
      </w:pPr>
      <w:bookmarkStart w:id="779" w:name="_Toc138342078"/>
      <w:r>
        <w:t>Services nationaux d’observation dans le domaine océanique</w:t>
      </w:r>
      <w:bookmarkEnd w:id="779"/>
    </w:p>
    <w:p w14:paraId="3B2DB57F" w14:textId="77777777" w:rsidR="007E76D2" w:rsidRDefault="007E76D2" w:rsidP="007E76D2">
      <w:pPr>
        <w:rPr>
          <w:rFonts w:eastAsia="Symbol"/>
          <w:color w:val="000000"/>
          <w:szCs w:val="22"/>
        </w:rPr>
      </w:pPr>
      <w:r>
        <w:rPr>
          <w:rFonts w:eastAsia="Symbol"/>
          <w:color w:val="000000"/>
          <w:szCs w:val="22"/>
        </w:rPr>
        <w:t>La France contribue au système GOOS (Système Mondial d’Observation des Océans), dont la mise en œuvre est coordonnée par la Commission mixte OMM-COI pour la Météorologie maritime et l’Océanographie (JCOMM). Cette contribution comprend les éléments suivants : une flotte océanographique, des navires d’observation volontaires (VOS) et occasionnels (SOOP), marégraphes, bouées météorologiques dérivantes et ancrées, des flotteurs de sub-surface (ARGO) et une infrastructure littorale et côtière.</w:t>
      </w:r>
    </w:p>
    <w:p w14:paraId="701BD4B9" w14:textId="33950BFF" w:rsidR="007E76D2" w:rsidRDefault="007E76D2" w:rsidP="008E7350">
      <w:pPr>
        <w:rPr>
          <w:szCs w:val="22"/>
        </w:rPr>
      </w:pPr>
      <w:r>
        <w:rPr>
          <w:szCs w:val="22"/>
        </w:rPr>
        <w:t xml:space="preserve">Quinze </w:t>
      </w:r>
      <w:r w:rsidRPr="007C7405">
        <w:rPr>
          <w:szCs w:val="22"/>
        </w:rPr>
        <w:t xml:space="preserve">services nationaux d’observation (SNO) labélisés par la Commission spécialisée Océan Atmosphère permettent l’observation </w:t>
      </w:r>
      <w:r>
        <w:rPr>
          <w:szCs w:val="22"/>
        </w:rPr>
        <w:t>de l’océan</w:t>
      </w:r>
      <w:r w:rsidRPr="007C7405">
        <w:rPr>
          <w:szCs w:val="22"/>
        </w:rPr>
        <w:t>. Certains représentent la contribution française d’infrastructures européennes</w:t>
      </w:r>
      <w:r>
        <w:rPr>
          <w:szCs w:val="22"/>
        </w:rPr>
        <w:t xml:space="preserve"> ou de réseaux internationaux</w:t>
      </w:r>
      <w:r w:rsidRPr="007C7405">
        <w:rPr>
          <w:szCs w:val="22"/>
        </w:rPr>
        <w:t>.</w:t>
      </w:r>
    </w:p>
    <w:p w14:paraId="76BCC294" w14:textId="77777777" w:rsidR="007E76D2" w:rsidRDefault="007E76D2" w:rsidP="007E76D2">
      <w:pPr>
        <w:rPr>
          <w:rFonts w:eastAsia="Symbol"/>
          <w:color w:val="000000"/>
          <w:szCs w:val="22"/>
        </w:rPr>
      </w:pPr>
    </w:p>
    <w:p w14:paraId="7F2D53D8" w14:textId="797A4D00" w:rsidR="007E76D2" w:rsidRPr="008E7350" w:rsidRDefault="007E76D2" w:rsidP="00E524AF">
      <w:pPr>
        <w:pStyle w:val="titreencadre"/>
        <w:rPr>
          <w:rFonts w:eastAsia="Symbol"/>
        </w:rPr>
      </w:pPr>
      <w:r>
        <w:rPr>
          <w:rFonts w:eastAsia="Symbol"/>
        </w:rPr>
        <w:t>Réseau in-situ global d'observation des océans (ARGO, Euro-ARGO)</w:t>
      </w:r>
    </w:p>
    <w:p w14:paraId="527083B3" w14:textId="4586A445" w:rsidR="007E76D2" w:rsidRPr="008E7350" w:rsidRDefault="007E76D2" w:rsidP="007E76D2">
      <w:pPr>
        <w:rPr>
          <w:rFonts w:eastAsia="Symbol"/>
          <w:color w:val="000000"/>
          <w:szCs w:val="22"/>
        </w:rPr>
      </w:pPr>
      <w:r w:rsidRPr="003530CB">
        <w:rPr>
          <w:rFonts w:eastAsia="Symbol"/>
          <w:color w:val="000000"/>
          <w:szCs w:val="22"/>
        </w:rPr>
        <w:t xml:space="preserve">ARGO-FR est la contribution française au réseau mondial ARGO qui </w:t>
      </w:r>
      <w:r w:rsidRPr="003530CB">
        <w:rPr>
          <w:b/>
          <w:bCs/>
          <w:szCs w:val="22"/>
        </w:rPr>
        <w:t xml:space="preserve">vise à construire et à maintenir un réseau mondial d'observation de l'océan en temps réel de mesures in situ intégré à d'autres systèmes d'observation de la Terre. </w:t>
      </w:r>
      <w:r w:rsidRPr="003530CB">
        <w:rPr>
          <w:szCs w:val="22"/>
        </w:rPr>
        <w:t>Le programme Argo a vocation à maintenir en opération 4700 flotteurs autonomes. Sur ces 4700 flotteurs, 1000 flotteurs seront équipés de capteurs biogéochimiques (flotteurs BGC) et 1200 seront capables d’aller au-delà de 2000 m de profondeur (flotteurs profonds). ARGO-FR est également la contribution française à l’infrastructure euroépenne de recherche Euro-Argo.</w:t>
      </w:r>
    </w:p>
    <w:p w14:paraId="41794D75" w14:textId="77777777" w:rsidR="007E76D2" w:rsidRDefault="007E76D2" w:rsidP="007E76D2">
      <w:pPr>
        <w:ind w:left="567"/>
        <w:rPr>
          <w:rFonts w:eastAsia="Symbol"/>
          <w:color w:val="000000"/>
          <w:szCs w:val="22"/>
        </w:rPr>
      </w:pPr>
    </w:p>
    <w:p w14:paraId="659D5CC4" w14:textId="77777777" w:rsidR="007E76D2" w:rsidRDefault="007E76D2" w:rsidP="00E524AF">
      <w:pPr>
        <w:pStyle w:val="titreencadre"/>
      </w:pPr>
      <w:r>
        <w:t xml:space="preserve">OISO (Océan Indien Service d'Observation) </w:t>
      </w:r>
    </w:p>
    <w:p w14:paraId="58B318E4" w14:textId="08843BAD" w:rsidR="007E76D2" w:rsidRPr="007C7405" w:rsidRDefault="007E76D2" w:rsidP="008E7350">
      <w:pPr>
        <w:rPr>
          <w:color w:val="000000"/>
          <w:szCs w:val="22"/>
        </w:rPr>
      </w:pPr>
      <w:r>
        <w:rPr>
          <w:color w:val="000000"/>
          <w:szCs w:val="22"/>
        </w:rPr>
        <w:t xml:space="preserve">Pour densifier le réseau dans des régions-clés, un réseau français a été développé dans l’Océan Indien. Il est associé depuis 2003 aux campagnes MINERVE (Mesures à l'INterface Eau-aiR de la Variabilité des Echanges de </w:t>
      </w:r>
      <w:r w:rsidR="007F09F7">
        <w:t>CO</w:t>
      </w:r>
      <w:r w:rsidR="007F09F7" w:rsidRPr="007F09F7">
        <w:rPr>
          <w:vertAlign w:val="subscript"/>
        </w:rPr>
        <w:t>2</w:t>
      </w:r>
      <w:r>
        <w:rPr>
          <w:color w:val="000000"/>
          <w:szCs w:val="22"/>
        </w:rPr>
        <w:t xml:space="preserve">), complétant ainsi le réseau international de mesures de </w:t>
      </w:r>
      <w:r w:rsidR="007F09F7">
        <w:t>CO</w:t>
      </w:r>
      <w:r w:rsidR="007F09F7" w:rsidRPr="007F09F7">
        <w:rPr>
          <w:vertAlign w:val="subscript"/>
        </w:rPr>
        <w:t>2</w:t>
      </w:r>
      <w:r>
        <w:rPr>
          <w:color w:val="000000"/>
          <w:szCs w:val="22"/>
        </w:rPr>
        <w:t xml:space="preserve"> océanique dans un secteur peu documenté. Le programme MINERVE s'appuie sur des campagnes de valorisation de transit à bord du navire l'Astrolabe. Il permet d'observer et de comprendre les variabilités saisonnières de la pression partielle de </w:t>
      </w:r>
      <w:r w:rsidR="007F09F7">
        <w:t>CO</w:t>
      </w:r>
      <w:r w:rsidR="007F09F7" w:rsidRPr="007F09F7">
        <w:rPr>
          <w:vertAlign w:val="subscript"/>
        </w:rPr>
        <w:t>2</w:t>
      </w:r>
      <w:r>
        <w:rPr>
          <w:color w:val="000000"/>
          <w:szCs w:val="22"/>
        </w:rPr>
        <w:t xml:space="preserve"> et du Carbone Inorganique Total dans les eaux de surface en association avec les mesures hydrologiques et biogéochimiques in-situ et avec l'aide de données satellitaires (te</w:t>
      </w:r>
      <w:r w:rsidR="008E7350">
        <w:rPr>
          <w:color w:val="000000"/>
          <w:szCs w:val="22"/>
        </w:rPr>
        <w:t xml:space="preserve">mpérature, couleur de la mer). </w:t>
      </w:r>
    </w:p>
    <w:p w14:paraId="69CEB82B" w14:textId="77777777" w:rsidR="007E76D2" w:rsidRDefault="007E76D2" w:rsidP="007E76D2">
      <w:pPr>
        <w:rPr>
          <w:rFonts w:eastAsia="Symbol"/>
          <w:bCs/>
          <w:i/>
          <w:iCs/>
          <w:color w:val="000000"/>
          <w:szCs w:val="22"/>
        </w:rPr>
      </w:pPr>
    </w:p>
    <w:p w14:paraId="4C851CB2" w14:textId="416020D6" w:rsidR="007E76D2" w:rsidRPr="008E7350" w:rsidRDefault="007E76D2" w:rsidP="00E524AF">
      <w:pPr>
        <w:pStyle w:val="titreencadre"/>
        <w:rPr>
          <w:rFonts w:eastAsia="Symbol"/>
        </w:rPr>
      </w:pPr>
      <w:r>
        <w:rPr>
          <w:rFonts w:eastAsia="Symbol"/>
        </w:rPr>
        <w:t>Infrastructure littorale et côtière (ILICO)</w:t>
      </w:r>
    </w:p>
    <w:p w14:paraId="29AAB6C7" w14:textId="77777777" w:rsidR="007E76D2" w:rsidRPr="00774DCA" w:rsidRDefault="007E76D2" w:rsidP="007E76D2">
      <w:pPr>
        <w:rPr>
          <w:rFonts w:eastAsia="Symbol"/>
          <w:color w:val="000000"/>
          <w:szCs w:val="22"/>
        </w:rPr>
      </w:pPr>
      <w:r w:rsidRPr="00774DCA">
        <w:rPr>
          <w:rFonts w:eastAsia="Symbol"/>
          <w:color w:val="000000"/>
          <w:szCs w:val="22"/>
        </w:rPr>
        <w:t>L’infrastru</w:t>
      </w:r>
      <w:r w:rsidRPr="00834E49">
        <w:rPr>
          <w:rFonts w:eastAsia="Symbol"/>
          <w:color w:val="000000"/>
          <w:szCs w:val="22"/>
        </w:rPr>
        <w:t xml:space="preserve">cture de recherche nationale ILICO, </w:t>
      </w:r>
      <w:r w:rsidRPr="00834E49">
        <w:rPr>
          <w:bCs/>
          <w:szCs w:val="22"/>
        </w:rPr>
        <w:t>a pour objectif d'observer et de comprendre les milieux et les écosystèmes littoraux et côtiers dans leur globalité. ILICO fédère des moyens d’observations permettant sur le long terme, de mesurer les paramètres essentiels d’évolution des systèmes littoraux et côtiers, de collecter des échantillons et d’assurer la mise à disposition de ces données. ILICO assure une animation scientifique pour la communauté scientifique impliquée par l’étude de ces milieux.</w:t>
      </w:r>
      <w:r>
        <w:rPr>
          <w:bCs/>
          <w:szCs w:val="22"/>
        </w:rPr>
        <w:t xml:space="preserve"> Cette infrastructure regroupe 9 services nationaux d’observation.</w:t>
      </w:r>
    </w:p>
    <w:p w14:paraId="1532A92B" w14:textId="77777777" w:rsidR="007E76D2" w:rsidRDefault="007E76D2" w:rsidP="007E76D2">
      <w:pPr>
        <w:rPr>
          <w:rFonts w:eastAsia="Symbol"/>
          <w:color w:val="000000"/>
          <w:szCs w:val="22"/>
        </w:rPr>
      </w:pPr>
    </w:p>
    <w:p w14:paraId="6A485BAD" w14:textId="6E09ACAC" w:rsidR="007E76D2" w:rsidRPr="008E7350" w:rsidRDefault="007E76D2" w:rsidP="00E524AF">
      <w:pPr>
        <w:pStyle w:val="titreencadre"/>
        <w:rPr>
          <w:rFonts w:eastAsia="Symbol"/>
        </w:rPr>
      </w:pPr>
      <w:r>
        <w:rPr>
          <w:rFonts w:eastAsia="Symbol"/>
        </w:rPr>
        <w:t>Infrastructure de recherche Flotte océanographique française (FOF)</w:t>
      </w:r>
    </w:p>
    <w:p w14:paraId="7EECD818" w14:textId="3312078F" w:rsidR="007E76D2" w:rsidRDefault="007E76D2" w:rsidP="007E76D2">
      <w:pPr>
        <w:rPr>
          <w:rFonts w:eastAsia="Symbol"/>
          <w:color w:val="000000"/>
          <w:szCs w:val="22"/>
        </w:rPr>
      </w:pPr>
      <w:r>
        <w:rPr>
          <w:rFonts w:eastAsia="Symbol"/>
          <w:color w:val="000000"/>
          <w:szCs w:val="22"/>
        </w:rPr>
        <w:t>La flotte océanographique française, opérée par l’IFREMER,fédère les navires de recherche nationaux qui permettent de mener en milieu marin côtier et hauturier des recherches en sciences de l'univers et de l'environnement dans de nombreux domaines : géosciences, océanographie physique et biologique, biogéochimie des océans, p</w:t>
      </w:r>
      <w:r w:rsidR="0065274A">
        <w:rPr>
          <w:rFonts w:eastAsia="Symbol"/>
          <w:color w:val="000000"/>
          <w:szCs w:val="22"/>
        </w:rPr>
        <w:t>aléoclimatologie, biodiversité.</w:t>
      </w:r>
    </w:p>
    <w:p w14:paraId="31D353CB" w14:textId="54080084" w:rsidR="007E76D2" w:rsidRPr="0065274A" w:rsidRDefault="007E76D2" w:rsidP="00E524AF">
      <w:pPr>
        <w:pStyle w:val="Titre3Niveau3"/>
        <w:rPr>
          <w:lang w:eastAsia="ar-SA"/>
        </w:rPr>
      </w:pPr>
      <w:bookmarkStart w:id="780" w:name="_Toc138342079"/>
      <w:r>
        <w:t>L’observation du climat dans le domaine spatial</w:t>
      </w:r>
      <w:bookmarkEnd w:id="780"/>
    </w:p>
    <w:p w14:paraId="134256DC" w14:textId="77777777" w:rsidR="007E76D2" w:rsidRPr="00151EA3" w:rsidRDefault="007E76D2" w:rsidP="007E76D2">
      <w:pPr>
        <w:rPr>
          <w:rFonts w:eastAsia="Symbol"/>
          <w:color w:val="000000"/>
          <w:szCs w:val="22"/>
        </w:rPr>
      </w:pPr>
      <w:r w:rsidRPr="00151EA3">
        <w:rPr>
          <w:rFonts w:eastAsia="Symbol"/>
          <w:color w:val="000000"/>
          <w:szCs w:val="22"/>
        </w:rPr>
        <w:t xml:space="preserve">Le climat est un des quatre objectifs principaux de la politique spatiale française. </w:t>
      </w:r>
    </w:p>
    <w:p w14:paraId="730AEDAA" w14:textId="77777777" w:rsidR="007E76D2" w:rsidRPr="00151EA3" w:rsidRDefault="007E76D2" w:rsidP="007E76D2">
      <w:pPr>
        <w:rPr>
          <w:rFonts w:eastAsia="Symbol"/>
          <w:color w:val="000000"/>
          <w:szCs w:val="22"/>
        </w:rPr>
      </w:pPr>
      <w:r w:rsidRPr="00151EA3">
        <w:rPr>
          <w:rFonts w:eastAsia="Symbol"/>
          <w:color w:val="000000"/>
          <w:szCs w:val="22"/>
        </w:rPr>
        <w:t>La France finance</w:t>
      </w:r>
      <w:r>
        <w:rPr>
          <w:rFonts w:eastAsia="Symbol"/>
          <w:color w:val="000000"/>
          <w:szCs w:val="22"/>
        </w:rPr>
        <w:t xml:space="preserve"> (</w:t>
      </w:r>
      <w:r w:rsidRPr="00151EA3">
        <w:rPr>
          <w:rFonts w:eastAsia="Symbol"/>
          <w:color w:val="000000"/>
          <w:szCs w:val="22"/>
        </w:rPr>
        <w:t>notamment via le PIA</w:t>
      </w:r>
      <w:r>
        <w:rPr>
          <w:rFonts w:eastAsia="Symbol"/>
          <w:color w:val="000000"/>
          <w:szCs w:val="22"/>
        </w:rPr>
        <w:t>)</w:t>
      </w:r>
      <w:r w:rsidRPr="00151EA3">
        <w:rPr>
          <w:rFonts w:eastAsia="Symbol"/>
          <w:color w:val="000000"/>
          <w:szCs w:val="22"/>
        </w:rPr>
        <w:t xml:space="preserve"> et développe plusieurs missions scientifiques destinées à l'observation du climat. MicroCarb est une mission initiée par le CNES en partenariat avec l'agence spatiale du Royaume-Uni (UKSA), ayant pour objectif de cartographie à l’échelle planétaire les sources et les puits de dioxyde de carbone.</w:t>
      </w:r>
      <w:r>
        <w:rPr>
          <w:rFonts w:eastAsia="Symbol"/>
          <w:color w:val="000000"/>
          <w:szCs w:val="22"/>
        </w:rPr>
        <w:t xml:space="preserve"> </w:t>
      </w:r>
      <w:r w:rsidRPr="00151EA3">
        <w:rPr>
          <w:rFonts w:eastAsia="Symbol"/>
          <w:color w:val="000000"/>
          <w:szCs w:val="22"/>
        </w:rPr>
        <w:t>SWOT</w:t>
      </w:r>
      <w:r>
        <w:rPr>
          <w:rFonts w:eastAsia="Symbol"/>
          <w:color w:val="000000"/>
          <w:szCs w:val="22"/>
        </w:rPr>
        <w:t xml:space="preserve"> est une </w:t>
      </w:r>
      <w:r w:rsidRPr="00151EA3">
        <w:rPr>
          <w:rFonts w:eastAsia="Symbol"/>
          <w:color w:val="000000"/>
          <w:szCs w:val="22"/>
        </w:rPr>
        <w:t>mission conjointe du CNES et de la NASA en collaboration avec les agences spatiales canadienne (CSA) et britannique (UKSA)</w:t>
      </w:r>
      <w:r>
        <w:rPr>
          <w:rFonts w:eastAsia="Symbol"/>
          <w:color w:val="000000"/>
          <w:szCs w:val="22"/>
        </w:rPr>
        <w:t xml:space="preserve">. Elle </w:t>
      </w:r>
      <w:r w:rsidRPr="00151EA3">
        <w:rPr>
          <w:rFonts w:eastAsia="Symbol"/>
          <w:color w:val="000000"/>
          <w:szCs w:val="22"/>
        </w:rPr>
        <w:t>est dédiée à la mesure du niveau des eaux de surface des lacs et des cours d’eau, du débit des rivières et à la détermination très fine de la dynamique océanique</w:t>
      </w:r>
      <w:r>
        <w:rPr>
          <w:rFonts w:eastAsia="Symbol"/>
          <w:color w:val="000000"/>
          <w:szCs w:val="22"/>
        </w:rPr>
        <w:t xml:space="preserve"> (lancement en 2022)</w:t>
      </w:r>
      <w:r w:rsidRPr="00151EA3">
        <w:rPr>
          <w:rFonts w:eastAsia="Symbol"/>
          <w:color w:val="000000"/>
          <w:szCs w:val="22"/>
        </w:rPr>
        <w:t xml:space="preserve">. CFOSAT est une mission développée par le CNES et l'agence spatiale chinoise CNSA, dédiée à l'étude </w:t>
      </w:r>
      <w:r>
        <w:rPr>
          <w:rFonts w:eastAsia="Symbol"/>
          <w:color w:val="000000"/>
          <w:szCs w:val="22"/>
        </w:rPr>
        <w:t xml:space="preserve">des </w:t>
      </w:r>
      <w:r w:rsidRPr="00151EA3">
        <w:rPr>
          <w:rFonts w:eastAsia="Symbol"/>
          <w:color w:val="000000"/>
          <w:szCs w:val="22"/>
        </w:rPr>
        <w:t xml:space="preserve">caractéristiques du vent et </w:t>
      </w:r>
      <w:r>
        <w:rPr>
          <w:rFonts w:eastAsia="Symbol"/>
          <w:color w:val="000000"/>
          <w:szCs w:val="22"/>
        </w:rPr>
        <w:t>d</w:t>
      </w:r>
      <w:r w:rsidRPr="00151EA3">
        <w:rPr>
          <w:rFonts w:eastAsia="Symbol"/>
          <w:color w:val="000000"/>
          <w:szCs w:val="22"/>
        </w:rPr>
        <w:t>es vagues à la surface des océans. Elle a été lancée en 2018.</w:t>
      </w:r>
    </w:p>
    <w:p w14:paraId="054C985C" w14:textId="071D8205" w:rsidR="007E76D2" w:rsidRPr="00151EA3" w:rsidRDefault="007E76D2" w:rsidP="007E76D2">
      <w:pPr>
        <w:rPr>
          <w:rFonts w:eastAsia="Symbol"/>
          <w:color w:val="000000"/>
          <w:szCs w:val="22"/>
        </w:rPr>
      </w:pPr>
      <w:r w:rsidRPr="00151EA3">
        <w:rPr>
          <w:rFonts w:eastAsia="Symbol"/>
          <w:color w:val="000000"/>
          <w:szCs w:val="22"/>
        </w:rPr>
        <w:t xml:space="preserve">La France participe fortement aux programmes spatiaux opérationnels de l'EUMETSAT et de l'Union Européenne, dont le programme </w:t>
      </w:r>
      <w:r>
        <w:rPr>
          <w:rFonts w:eastAsia="Symbol"/>
          <w:color w:val="000000"/>
          <w:szCs w:val="22"/>
        </w:rPr>
        <w:t xml:space="preserve">d’observation de la Terre </w:t>
      </w:r>
      <w:r w:rsidRPr="00151EA3">
        <w:rPr>
          <w:rFonts w:eastAsia="Symbol"/>
          <w:color w:val="000000"/>
          <w:szCs w:val="22"/>
        </w:rPr>
        <w:t xml:space="preserve">Copernicus. </w:t>
      </w:r>
      <w:r>
        <w:rPr>
          <w:rFonts w:eastAsia="Symbol"/>
          <w:color w:val="000000"/>
          <w:szCs w:val="22"/>
        </w:rPr>
        <w:t>Ce programme</w:t>
      </w:r>
      <w:r w:rsidRPr="00151EA3">
        <w:rPr>
          <w:rFonts w:eastAsia="Symbol"/>
          <w:color w:val="000000"/>
          <w:szCs w:val="22"/>
        </w:rPr>
        <w:t xml:space="preserve"> assure une observation systématique et une surveillance opérationnelle du climat, grâce aux missions telles que Sentinel 6 (mission d'altimétrie de référence des océans opérationnelle depuis 2021) ou </w:t>
      </w:r>
      <w:r w:rsidR="007F09F7">
        <w:t>CO</w:t>
      </w:r>
      <w:r w:rsidR="007F09F7" w:rsidRPr="007F09F7">
        <w:rPr>
          <w:vertAlign w:val="subscript"/>
        </w:rPr>
        <w:t>2</w:t>
      </w:r>
      <w:r w:rsidRPr="00151EA3">
        <w:rPr>
          <w:rFonts w:eastAsia="Symbol"/>
          <w:color w:val="000000"/>
          <w:szCs w:val="22"/>
        </w:rPr>
        <w:t>M (future mission dédiée à la surveillance des émissions de GES d'origine anthropique</w:t>
      </w:r>
      <w:r>
        <w:rPr>
          <w:rFonts w:eastAsia="Symbol"/>
          <w:color w:val="000000"/>
          <w:szCs w:val="22"/>
        </w:rPr>
        <w:t xml:space="preserve"> qui sera lancée début 2026</w:t>
      </w:r>
      <w:r w:rsidRPr="00151EA3">
        <w:rPr>
          <w:rFonts w:eastAsia="Symbol"/>
          <w:color w:val="000000"/>
          <w:szCs w:val="22"/>
        </w:rPr>
        <w:t xml:space="preserve">). Les acteurs français, en particulier Météo-France, contribuent fortement à </w:t>
      </w:r>
      <w:r>
        <w:rPr>
          <w:rFonts w:eastAsia="Symbol"/>
          <w:color w:val="000000"/>
          <w:szCs w:val="22"/>
        </w:rPr>
        <w:t>fournir</w:t>
      </w:r>
      <w:r w:rsidRPr="00151EA3">
        <w:rPr>
          <w:rFonts w:eastAsia="Symbol"/>
          <w:color w:val="000000"/>
          <w:szCs w:val="22"/>
        </w:rPr>
        <w:t xml:space="preserve"> des services climatiques </w:t>
      </w:r>
      <w:r>
        <w:rPr>
          <w:rFonts w:eastAsia="Symbol"/>
          <w:color w:val="000000"/>
          <w:szCs w:val="22"/>
        </w:rPr>
        <w:t>associés à ce programme, dont ceux du</w:t>
      </w:r>
      <w:r w:rsidRPr="00151EA3">
        <w:rPr>
          <w:rFonts w:eastAsia="Symbol"/>
          <w:color w:val="000000"/>
          <w:szCs w:val="22"/>
        </w:rPr>
        <w:t xml:space="preserve"> Copernicus Climate Change Service opérationnel depuis 2018. </w:t>
      </w:r>
    </w:p>
    <w:p w14:paraId="667DAFCD" w14:textId="683F3C06" w:rsidR="007E76D2" w:rsidRDefault="007E76D2" w:rsidP="007E76D2">
      <w:pPr>
        <w:rPr>
          <w:rFonts w:eastAsia="Symbol"/>
          <w:color w:val="000000"/>
          <w:szCs w:val="22"/>
        </w:rPr>
      </w:pPr>
      <w:r w:rsidRPr="00151EA3">
        <w:rPr>
          <w:rFonts w:eastAsia="Symbol"/>
          <w:color w:val="000000"/>
          <w:szCs w:val="22"/>
        </w:rPr>
        <w:t xml:space="preserve">La France contribue par ailleurs </w:t>
      </w:r>
      <w:r>
        <w:rPr>
          <w:rFonts w:eastAsia="Symbol"/>
          <w:color w:val="000000"/>
          <w:szCs w:val="22"/>
        </w:rPr>
        <w:t>de manière importante</w:t>
      </w:r>
      <w:r w:rsidRPr="00151EA3">
        <w:rPr>
          <w:rFonts w:eastAsia="Symbol"/>
          <w:color w:val="000000"/>
          <w:szCs w:val="22"/>
        </w:rPr>
        <w:t xml:space="preserve"> aux programmes de l'Agence Spatiale Européenne</w:t>
      </w:r>
      <w:r>
        <w:rPr>
          <w:rFonts w:eastAsia="Symbol"/>
          <w:color w:val="000000"/>
          <w:szCs w:val="22"/>
        </w:rPr>
        <w:t xml:space="preserve"> (ESA)</w:t>
      </w:r>
      <w:r w:rsidRPr="00151EA3">
        <w:rPr>
          <w:rFonts w:eastAsia="Symbol"/>
          <w:color w:val="000000"/>
          <w:szCs w:val="22"/>
        </w:rPr>
        <w:t xml:space="preserve"> dans le domaine de l'observations de la Terre et du climat</w:t>
      </w:r>
      <w:r>
        <w:rPr>
          <w:rFonts w:eastAsia="Symbol"/>
          <w:color w:val="000000"/>
          <w:szCs w:val="22"/>
        </w:rPr>
        <w:t>,</w:t>
      </w:r>
      <w:r w:rsidRPr="00151EA3">
        <w:rPr>
          <w:rFonts w:eastAsia="Symbol"/>
          <w:color w:val="000000"/>
          <w:szCs w:val="22"/>
        </w:rPr>
        <w:t xml:space="preserve"> parmi lesquels Future EO (préparation et développement de futures missions de recherche)</w:t>
      </w:r>
      <w:r w:rsidR="009F4720">
        <w:rPr>
          <w:rFonts w:eastAsia="Symbol"/>
          <w:color w:val="000000"/>
          <w:szCs w:val="22"/>
        </w:rPr>
        <w:t> ;</w:t>
      </w:r>
      <w:r w:rsidRPr="00151EA3">
        <w:rPr>
          <w:rFonts w:eastAsia="Symbol"/>
          <w:color w:val="000000"/>
          <w:szCs w:val="22"/>
        </w:rPr>
        <w:t xml:space="preserve"> CopernicusSC (développement de missions opérationnelles</w:t>
      </w:r>
      <w:r>
        <w:rPr>
          <w:rFonts w:eastAsia="Symbol"/>
          <w:color w:val="000000"/>
          <w:szCs w:val="22"/>
        </w:rPr>
        <w:t xml:space="preserve"> pour Copernicus</w:t>
      </w:r>
      <w:r w:rsidR="009F4720">
        <w:rPr>
          <w:rFonts w:eastAsia="Symbol"/>
          <w:color w:val="000000"/>
          <w:szCs w:val="22"/>
        </w:rPr>
        <w:t>) ;</w:t>
      </w:r>
      <w:r w:rsidRPr="00151EA3">
        <w:rPr>
          <w:rFonts w:eastAsia="Symbol"/>
          <w:color w:val="000000"/>
          <w:szCs w:val="22"/>
        </w:rPr>
        <w:t xml:space="preserve"> AEOLUS-2 (mission</w:t>
      </w:r>
      <w:r>
        <w:rPr>
          <w:rFonts w:eastAsia="Symbol"/>
          <w:color w:val="000000"/>
          <w:szCs w:val="22"/>
        </w:rPr>
        <w:t xml:space="preserve"> de mesure de profils de vent) ou</w:t>
      </w:r>
      <w:r w:rsidRPr="00151EA3">
        <w:rPr>
          <w:rFonts w:eastAsia="Symbol"/>
          <w:color w:val="000000"/>
          <w:szCs w:val="22"/>
        </w:rPr>
        <w:t xml:space="preserve"> Climate Space (développements pour la production des Variables Climatiques Essentielles).</w:t>
      </w:r>
    </w:p>
    <w:p w14:paraId="7ECE3604" w14:textId="77777777" w:rsidR="007E76D2" w:rsidRDefault="007E76D2" w:rsidP="007E76D2">
      <w:pPr>
        <w:rPr>
          <w:rFonts w:eastAsia="Symbol"/>
          <w:color w:val="000000"/>
          <w:szCs w:val="22"/>
          <w:lang w:eastAsia="ar-SA"/>
        </w:rPr>
      </w:pPr>
    </w:p>
    <w:p w14:paraId="47FB42E5" w14:textId="77777777" w:rsidR="007E76D2" w:rsidRDefault="007E76D2" w:rsidP="007E76D2">
      <w:pPr>
        <w:rPr>
          <w:rFonts w:eastAsia="Symbol"/>
          <w:color w:val="008000"/>
          <w:szCs w:val="22"/>
        </w:rPr>
      </w:pPr>
    </w:p>
    <w:p w14:paraId="0D422662" w14:textId="77777777" w:rsidR="007E76D2" w:rsidRDefault="007E76D2" w:rsidP="007E76D2">
      <w:pPr>
        <w:jc w:val="right"/>
      </w:pPr>
    </w:p>
    <w:p w14:paraId="4A9E2ACE" w14:textId="77777777" w:rsidR="0014208C" w:rsidRPr="0014208C" w:rsidRDefault="0014208C" w:rsidP="0014208C"/>
    <w:bookmarkEnd w:id="768"/>
    <w:p w14:paraId="09077D01" w14:textId="77777777" w:rsidR="006D5177" w:rsidRDefault="006D5177">
      <w:pPr>
        <w:spacing w:line="240" w:lineRule="atLeast"/>
        <w:jc w:val="left"/>
        <w:rPr>
          <w:rFonts w:eastAsiaTheme="majorEastAsia" w:cstheme="majorBidi"/>
          <w:bCs/>
          <w:spacing w:val="-10"/>
          <w:kern w:val="28"/>
          <w:sz w:val="48"/>
          <w:szCs w:val="56"/>
        </w:rPr>
      </w:pPr>
      <w:r>
        <w:br w:type="page"/>
      </w:r>
    </w:p>
    <w:p w14:paraId="4019C0FD" w14:textId="475CD522" w:rsidR="00E4163C" w:rsidRDefault="0051771F" w:rsidP="00E4163C">
      <w:pPr>
        <w:pStyle w:val="Titre1Niveau1"/>
        <w:ind w:left="0" w:right="27"/>
      </w:pPr>
      <w:bookmarkStart w:id="781" w:name="_Toc138342080"/>
      <w:bookmarkStart w:id="782" w:name="ChapitreIX"/>
      <w:r w:rsidRPr="005D5AA6">
        <w:t xml:space="preserve">Chapitre </w:t>
      </w:r>
      <w:r>
        <w:t>IX</w:t>
      </w:r>
      <w:r w:rsidR="00C654BE">
        <w:t xml:space="preserve"> – </w:t>
      </w:r>
      <w:r>
        <w:t>Éducation, formation et sensibilisation du public</w:t>
      </w:r>
      <w:bookmarkEnd w:id="781"/>
    </w:p>
    <w:p w14:paraId="4EF8272E" w14:textId="77777777" w:rsidR="001E2B1E" w:rsidRDefault="001E2B1E" w:rsidP="003F57EA">
      <w:pPr>
        <w:pStyle w:val="Titre2Niveau2"/>
        <w:numPr>
          <w:ilvl w:val="0"/>
          <w:numId w:val="87"/>
        </w:numPr>
      </w:pPr>
      <w:bookmarkStart w:id="783" w:name="_Toc138342081"/>
      <w:bookmarkEnd w:id="782"/>
      <w:r w:rsidRPr="00724D8F">
        <w:t>État</w:t>
      </w:r>
      <w:r>
        <w:t xml:space="preserve"> de l’opinion</w:t>
      </w:r>
      <w:bookmarkEnd w:id="783"/>
    </w:p>
    <w:p w14:paraId="2FD8A999" w14:textId="77777777" w:rsidR="001E2B1E" w:rsidRDefault="001E2B1E" w:rsidP="003F57EA">
      <w:pPr>
        <w:pStyle w:val="Titre3Niveau3"/>
      </w:pPr>
      <w:bookmarkStart w:id="784" w:name="_Toc138342082"/>
      <w:r>
        <w:t>L’importante prise de conscience des Français sur le changement climatique</w:t>
      </w:r>
      <w:bookmarkEnd w:id="784"/>
    </w:p>
    <w:p w14:paraId="29A66275" w14:textId="7EAD9513" w:rsidR="00865D8C" w:rsidRDefault="00865D8C" w:rsidP="00774E19">
      <w:r w:rsidRPr="00865D8C">
        <w:t xml:space="preserve">Le niveau de conscience de la population française à propos du changement climatique continue à être en hausse, dans la continuité des niveaux constatés depuis 2008. </w:t>
      </w:r>
    </w:p>
    <w:p w14:paraId="6F1BF3F3" w14:textId="77777777" w:rsidR="00865D8C" w:rsidRPr="00C54B56" w:rsidRDefault="00865D8C" w:rsidP="00774E19">
      <w:pPr>
        <w:rPr>
          <w:rFonts w:cstheme="minorHAnsi"/>
        </w:rPr>
      </w:pPr>
      <w:r>
        <w:rPr>
          <w:rFonts w:cstheme="minorHAnsi"/>
        </w:rPr>
        <w:t>Ainsi, e</w:t>
      </w:r>
      <w:r w:rsidRPr="00C54B56">
        <w:rPr>
          <w:rFonts w:cstheme="minorHAnsi"/>
        </w:rPr>
        <w:t>ntre 2010 et 2021, le réchauffement de la planète s’est largement imposé comme la principale préoccupation environnementale des Français (+ 22 points). Ce sujet devance désormais nettement les catastrophes naturelles et la pollution de l’air. Alors que les inquiétudes liées à la pollution des milieux aquatiques et à l’augmentation des déchets ménagers ont eu tendance à décliner au cours de la décennie écoulée, les préoccupations en matière de biodiversité ont plutôt progressé entre 2016 et 2018.</w:t>
      </w:r>
    </w:p>
    <w:p w14:paraId="7AF4525C" w14:textId="124961C8" w:rsidR="00865D8C" w:rsidRPr="00C54B56" w:rsidRDefault="00865D8C" w:rsidP="00865D8C">
      <w:pPr>
        <w:jc w:val="center"/>
        <w:rPr>
          <w:rFonts w:ascii="Times New Roman" w:hAnsi="Times New Roman"/>
          <w:sz w:val="24"/>
        </w:rPr>
      </w:pPr>
      <w:r w:rsidRPr="00C54B56">
        <w:rPr>
          <w:rFonts w:ascii="Times New Roman" w:hAnsi="Times New Roman"/>
          <w:noProof/>
          <w:sz w:val="24"/>
        </w:rPr>
        <w:drawing>
          <wp:inline distT="0" distB="0" distL="0" distR="0" wp14:anchorId="0FBF81FF" wp14:editId="40EAD81F">
            <wp:extent cx="5438775" cy="3227007"/>
            <wp:effectExtent l="0" t="0" r="0" b="0"/>
            <wp:docPr id="28714" name="Image 28714" descr="https://www.statistiques.developpement-durable.gouv.fr/sites/default/files/2022-12/preoccupation_environnemental_2022_001-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tatistiques.developpement-durable.gouv.fr/sites/default/files/2022-12/preoccupation_environnemental_2022_001-min.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61621" cy="3240562"/>
                    </a:xfrm>
                    <a:prstGeom prst="rect">
                      <a:avLst/>
                    </a:prstGeom>
                    <a:noFill/>
                    <a:ln>
                      <a:noFill/>
                    </a:ln>
                  </pic:spPr>
                </pic:pic>
              </a:graphicData>
            </a:graphic>
          </wp:inline>
        </w:drawing>
      </w:r>
    </w:p>
    <w:p w14:paraId="15C8FBED" w14:textId="77777777" w:rsidR="00865D8C" w:rsidRDefault="00865D8C" w:rsidP="00865D8C">
      <w:pPr>
        <w:autoSpaceDE w:val="0"/>
        <w:autoSpaceDN w:val="0"/>
        <w:adjustRightInd w:val="0"/>
        <w:rPr>
          <w:rFonts w:ascii="Times New Roman" w:hAnsi="Times New Roman"/>
          <w:i/>
          <w:iCs/>
          <w:sz w:val="18"/>
          <w:szCs w:val="18"/>
        </w:rPr>
      </w:pPr>
      <w:r w:rsidRPr="00C54B56">
        <w:rPr>
          <w:rFonts w:ascii="Times New Roman" w:hAnsi="Times New Roman"/>
          <w:b/>
          <w:bCs/>
          <w:i/>
          <w:iCs/>
          <w:sz w:val="18"/>
          <w:szCs w:val="18"/>
        </w:rPr>
        <w:t xml:space="preserve">Note </w:t>
      </w:r>
      <w:r w:rsidRPr="00C54B56">
        <w:rPr>
          <w:rFonts w:ascii="Times New Roman" w:hAnsi="Times New Roman"/>
          <w:i/>
          <w:iCs/>
          <w:sz w:val="18"/>
          <w:szCs w:val="18"/>
        </w:rPr>
        <w:t>: la question posée était : « Parmi les problèmes suivants liés à la dégradation de l'environnement, quels sont les deux qui vous paraissent les plus préoccupants ». Le graphique présente exclusivement le premier choix des enquêtés.</w:t>
      </w:r>
      <w:r w:rsidRPr="00C54B56">
        <w:rPr>
          <w:rFonts w:ascii="Times New Roman" w:hAnsi="Times New Roman"/>
          <w:i/>
          <w:iCs/>
          <w:sz w:val="18"/>
          <w:szCs w:val="18"/>
        </w:rPr>
        <w:br/>
      </w:r>
      <w:r>
        <w:rPr>
          <w:rFonts w:ascii="Times New Roman" w:hAnsi="Times New Roman"/>
          <w:b/>
          <w:bCs/>
          <w:i/>
          <w:iCs/>
          <w:sz w:val="18"/>
          <w:szCs w:val="18"/>
        </w:rPr>
        <w:t xml:space="preserve">Champ : </w:t>
      </w:r>
      <w:r>
        <w:rPr>
          <w:rFonts w:ascii="Times New Roman" w:hAnsi="Times New Roman"/>
          <w:i/>
          <w:iCs/>
          <w:sz w:val="18"/>
          <w:szCs w:val="18"/>
        </w:rPr>
        <w:t xml:space="preserve">France </w:t>
      </w:r>
      <w:r w:rsidRPr="00C54B56">
        <w:rPr>
          <w:rFonts w:ascii="Times New Roman" w:hAnsi="Times New Roman"/>
          <w:i/>
          <w:iCs/>
          <w:sz w:val="18"/>
          <w:szCs w:val="18"/>
        </w:rPr>
        <w:t>métropolitaine.</w:t>
      </w:r>
    </w:p>
    <w:p w14:paraId="63BA21E6" w14:textId="2459F169" w:rsidR="00865D8C" w:rsidRDefault="00865D8C" w:rsidP="00865D8C">
      <w:pPr>
        <w:pStyle w:val="Caption"/>
      </w:pPr>
      <w:bookmarkStart w:id="785" w:name="_Toc123916492"/>
      <w:r>
        <w:t xml:space="preserve">Figure </w:t>
      </w:r>
      <w:fldSimple w:instr=" SEQ Figure \* ARABIC ">
        <w:r w:rsidR="00AB51D9">
          <w:rPr>
            <w:noProof/>
          </w:rPr>
          <w:t>81</w:t>
        </w:r>
      </w:fldSimple>
      <w:r>
        <w:t> : Évolution des préoccupations environnementales des Français (En</w:t>
      </w:r>
      <w:r w:rsidR="006518EF">
        <w:t>%</w:t>
      </w:r>
      <w:r>
        <w:t>)</w:t>
      </w:r>
      <w:bookmarkEnd w:id="785"/>
    </w:p>
    <w:p w14:paraId="3B530DE8" w14:textId="38618BA0" w:rsidR="00865D8C" w:rsidRDefault="00865D8C" w:rsidP="00865D8C">
      <w:pPr>
        <w:pStyle w:val="Caption"/>
        <w:rPr>
          <w:rFonts w:ascii="Times New Roman" w:hAnsi="Times New Roman"/>
        </w:rPr>
      </w:pPr>
      <w:r w:rsidRPr="00C54B56">
        <w:rPr>
          <w:rFonts w:ascii="Times New Roman" w:hAnsi="Times New Roman"/>
          <w:b/>
          <w:bCs/>
        </w:rPr>
        <w:t xml:space="preserve">Source </w:t>
      </w:r>
      <w:r w:rsidRPr="00C54B56">
        <w:rPr>
          <w:rFonts w:ascii="Times New Roman" w:hAnsi="Times New Roman"/>
        </w:rPr>
        <w:t>: SDES, plateforme Environnement de l'enquête « Camme » réalisée par l'Insee en novembre 2021</w:t>
      </w:r>
    </w:p>
    <w:p w14:paraId="11364D46" w14:textId="77777777" w:rsidR="00865D8C" w:rsidRPr="00865D8C" w:rsidRDefault="00865D8C" w:rsidP="00865D8C"/>
    <w:p w14:paraId="05E35526" w14:textId="1AB429A1" w:rsidR="00865D8C" w:rsidRPr="00DA5501" w:rsidRDefault="00865D8C" w:rsidP="00865D8C">
      <w:r w:rsidRPr="00DA5501">
        <w:t>Depuis 2007, le service statistique du ministère en charge de l’environnement questionne régulièrement les Français pour suivre leur perception des risques environnementaux</w:t>
      </w:r>
      <w:r>
        <w:t xml:space="preserve"> </w:t>
      </w:r>
      <w:r w:rsidRPr="00DA5501">
        <w:t>sur le long terme. Concrètement, ces enquêtes interrogent la conscience du risque, le vécu des enquêtés, la façon dont ils s’informent, leur manière d’envisager l’avenir, leurs opinions sur les mesures de prévention des risques, etc… Les deux premières enquêtes ont été réalisées en 2007 et en 2013 (</w:t>
      </w:r>
      <w:r>
        <w:t>«</w:t>
      </w:r>
      <w:r>
        <w:rPr>
          <w:rFonts w:ascii="Calibri" w:hAnsi="Calibri"/>
        </w:rPr>
        <w:t> </w:t>
      </w:r>
      <w:hyperlink r:id="rId136" w:history="1">
        <w:r w:rsidRPr="00DA5501">
          <w:rPr>
            <w:rStyle w:val="Hyperlink"/>
            <w:rFonts w:asciiTheme="minorHAnsi" w:hAnsiTheme="minorHAnsi" w:cs="Calibri"/>
          </w:rPr>
          <w:t>L</w:t>
        </w:r>
        <w:r w:rsidRPr="00DA5501">
          <w:rPr>
            <w:rStyle w:val="Hyperlink"/>
            <w:rFonts w:asciiTheme="minorHAnsi" w:hAnsiTheme="minorHAnsi"/>
          </w:rPr>
          <w:t>e sentiment d’exposition aux risques environnementaux</w:t>
        </w:r>
      </w:hyperlink>
      <w:r>
        <w:rPr>
          <w:rFonts w:ascii="Calibri" w:hAnsi="Calibri"/>
        </w:rPr>
        <w:t> </w:t>
      </w:r>
      <w:r>
        <w:rPr>
          <w:rFonts w:cs="Marianne"/>
        </w:rPr>
        <w:t>»</w:t>
      </w:r>
      <w:r w:rsidRPr="00DA5501">
        <w:rPr>
          <w:rStyle w:val="field-content"/>
          <w:rFonts w:asciiTheme="minorHAnsi" w:hAnsiTheme="minorHAnsi"/>
        </w:rPr>
        <w:t>, octobre 2014</w:t>
      </w:r>
      <w:r>
        <w:rPr>
          <w:rStyle w:val="field-content"/>
          <w:rFonts w:ascii="Calibri" w:hAnsi="Calibri" w:cs="Calibri"/>
        </w:rPr>
        <w:t> </w:t>
      </w:r>
      <w:r>
        <w:rPr>
          <w:rStyle w:val="field-content"/>
          <w:rFonts w:asciiTheme="minorHAnsi" w:hAnsiTheme="minorHAnsi"/>
        </w:rPr>
        <w:t>;</w:t>
      </w:r>
      <w:r w:rsidR="00260E0B">
        <w:rPr>
          <w:rStyle w:val="field-content"/>
          <w:rFonts w:asciiTheme="minorHAnsi" w:hAnsiTheme="minorHAnsi" w:cs="Calibri"/>
        </w:rPr>
        <w:t xml:space="preserve"> </w:t>
      </w:r>
      <w:r>
        <w:rPr>
          <w:rStyle w:val="field-content"/>
          <w:rFonts w:asciiTheme="minorHAnsi" w:hAnsiTheme="minorHAnsi" w:cs="Calibri"/>
        </w:rPr>
        <w:t>«</w:t>
      </w:r>
      <w:r>
        <w:rPr>
          <w:rStyle w:val="field-content"/>
          <w:rFonts w:ascii="Calibri" w:hAnsi="Calibri" w:cs="Calibri"/>
        </w:rPr>
        <w:t> </w:t>
      </w:r>
      <w:hyperlink r:id="rId137" w:history="1">
        <w:r w:rsidRPr="00DA5501">
          <w:rPr>
            <w:rStyle w:val="Hyperlink"/>
            <w:rFonts w:asciiTheme="minorHAnsi" w:hAnsiTheme="minorHAnsi"/>
          </w:rPr>
          <w:t>Effets du changement climatique : des risques encore abstraits pour les Français</w:t>
        </w:r>
      </w:hyperlink>
      <w:r>
        <w:rPr>
          <w:rStyle w:val="field-content"/>
          <w:rFonts w:ascii="Calibri" w:hAnsi="Calibri" w:cs="Calibri"/>
        </w:rPr>
        <w:t> </w:t>
      </w:r>
      <w:r>
        <w:rPr>
          <w:rStyle w:val="field-content"/>
          <w:rFonts w:cs="Marianne"/>
        </w:rPr>
        <w:t>»</w:t>
      </w:r>
      <w:r w:rsidRPr="00DA5501">
        <w:rPr>
          <w:rStyle w:val="field-content"/>
          <w:rFonts w:asciiTheme="minorHAnsi" w:hAnsiTheme="minorHAnsi"/>
        </w:rPr>
        <w:t>, octobre 2015)</w:t>
      </w:r>
      <w:r>
        <w:t xml:space="preserve">. En mai 2022, </w:t>
      </w:r>
      <w:r w:rsidRPr="00DA5501">
        <w:t xml:space="preserve">un nouveau millésime a été produit en consultant un panel représentatif de 4 688 enquêtés résidant en métropole et dans les départements et régions d’Outre-mer. </w:t>
      </w:r>
    </w:p>
    <w:p w14:paraId="7D464D18" w14:textId="77777777" w:rsidR="00865D8C" w:rsidRPr="00DA5501" w:rsidRDefault="00865D8C" w:rsidP="00865D8C">
      <w:pPr>
        <w:autoSpaceDE w:val="0"/>
        <w:autoSpaceDN w:val="0"/>
        <w:adjustRightInd w:val="0"/>
        <w:rPr>
          <w:rFonts w:asciiTheme="minorHAnsi" w:hAnsiTheme="minorHAnsi" w:cs="Calibri"/>
        </w:rPr>
      </w:pPr>
    </w:p>
    <w:p w14:paraId="0D089E10" w14:textId="0055A521" w:rsidR="00865D8C" w:rsidRPr="00DA5501" w:rsidRDefault="00865D8C" w:rsidP="00865D8C">
      <w:pPr>
        <w:autoSpaceDE w:val="0"/>
        <w:autoSpaceDN w:val="0"/>
        <w:adjustRightInd w:val="0"/>
        <w:rPr>
          <w:rFonts w:asciiTheme="minorHAnsi" w:hAnsiTheme="minorHAnsi" w:cs="Calibri"/>
        </w:rPr>
      </w:pPr>
      <w:r w:rsidRPr="00DA5501">
        <w:rPr>
          <w:rFonts w:asciiTheme="minorHAnsi" w:hAnsiTheme="minorHAnsi" w:cs="Calibri"/>
        </w:rPr>
        <w:t>Le questionnaire de cette enquête comprend chaque fois un volet «</w:t>
      </w:r>
      <w:r w:rsidRPr="00DA5501">
        <w:rPr>
          <w:rFonts w:ascii="Calibri" w:hAnsi="Calibri" w:cs="Calibri"/>
        </w:rPr>
        <w:t> </w:t>
      </w:r>
      <w:r w:rsidRPr="00DA5501">
        <w:rPr>
          <w:rFonts w:asciiTheme="minorHAnsi" w:hAnsiTheme="minorHAnsi" w:cs="Calibri"/>
        </w:rPr>
        <w:t>changement climatique</w:t>
      </w:r>
      <w:r w:rsidRPr="00DA5501">
        <w:rPr>
          <w:rFonts w:ascii="Calibri" w:hAnsi="Calibri" w:cs="Calibri"/>
        </w:rPr>
        <w:t> </w:t>
      </w:r>
      <w:r w:rsidRPr="00DA5501">
        <w:rPr>
          <w:rFonts w:asciiTheme="minorHAnsi" w:hAnsiTheme="minorHAnsi" w:cs="Marianne"/>
        </w:rPr>
        <w:t>»</w:t>
      </w:r>
      <w:r w:rsidRPr="00DA5501">
        <w:rPr>
          <w:rFonts w:asciiTheme="minorHAnsi" w:hAnsiTheme="minorHAnsi" w:cs="Calibri"/>
        </w:rPr>
        <w:t xml:space="preserve">. En 2013 et en 2022, une </w:t>
      </w:r>
      <w:r w:rsidRPr="00DA5501">
        <w:rPr>
          <w:rFonts w:asciiTheme="minorHAnsi" w:hAnsiTheme="minorHAnsi" w:cs="Calibri"/>
          <w:b/>
          <w:bCs/>
        </w:rPr>
        <w:t>question ouverte</w:t>
      </w:r>
      <w:r w:rsidRPr="00DA5501">
        <w:rPr>
          <w:rFonts w:asciiTheme="minorHAnsi" w:hAnsiTheme="minorHAnsi" w:cs="Calibri"/>
        </w:rPr>
        <w:t xml:space="preserve"> a été posée aux personnes interrogées : </w:t>
      </w:r>
      <w:r w:rsidRPr="00DA5501">
        <w:rPr>
          <w:rFonts w:asciiTheme="minorHAnsi" w:hAnsiTheme="minorHAnsi" w:cs="Calibri"/>
          <w:b/>
          <w:bCs/>
          <w:i/>
          <w:iCs/>
        </w:rPr>
        <w:t>Quelles conséquences le changement climatique pourrait-il avoir à l'avenir pour vous, personnellement ?</w:t>
      </w:r>
      <w:r w:rsidR="00260E0B">
        <w:rPr>
          <w:rFonts w:asciiTheme="minorHAnsi" w:hAnsiTheme="minorHAnsi" w:cs="Calibri"/>
          <w:b/>
          <w:bCs/>
          <w:i/>
          <w:iCs/>
        </w:rPr>
        <w:t xml:space="preserve"> </w:t>
      </w:r>
      <w:r w:rsidRPr="00DA5501">
        <w:rPr>
          <w:rFonts w:asciiTheme="minorHAnsi" w:hAnsiTheme="minorHAnsi" w:cs="Calibri"/>
        </w:rPr>
        <w:t>Aucune proposition n’était suggérée. Les enquêtés répondaient de manière spontanée.</w:t>
      </w:r>
    </w:p>
    <w:p w14:paraId="1EA48788" w14:textId="77777777" w:rsidR="00865D8C" w:rsidRPr="00DA5501" w:rsidRDefault="00865D8C" w:rsidP="00865D8C">
      <w:pPr>
        <w:autoSpaceDE w:val="0"/>
        <w:autoSpaceDN w:val="0"/>
        <w:adjustRightInd w:val="0"/>
        <w:rPr>
          <w:rFonts w:asciiTheme="minorHAnsi" w:hAnsiTheme="minorHAnsi" w:cs="Calibri"/>
        </w:rPr>
      </w:pPr>
      <w:r w:rsidRPr="00DA5501">
        <w:rPr>
          <w:rFonts w:asciiTheme="minorHAnsi" w:hAnsiTheme="minorHAnsi" w:cs="Calibri"/>
        </w:rPr>
        <w:t>Il ressort des premières analyses de cette enquête (</w:t>
      </w:r>
      <w:r>
        <w:rPr>
          <w:rFonts w:asciiTheme="minorHAnsi" w:hAnsiTheme="minorHAnsi" w:cs="Calibri"/>
        </w:rPr>
        <w:t>«</w:t>
      </w:r>
      <w:r>
        <w:rPr>
          <w:rFonts w:ascii="Calibri" w:hAnsi="Calibri" w:cs="Calibri"/>
        </w:rPr>
        <w:t> </w:t>
      </w:r>
      <w:hyperlink r:id="rId138" w:history="1">
        <w:r w:rsidRPr="00DA5501">
          <w:rPr>
            <w:rStyle w:val="Hyperlink"/>
            <w:rFonts w:asciiTheme="minorHAnsi" w:hAnsiTheme="minorHAnsi"/>
          </w:rPr>
          <w:t>Les Français face aux risques environnementaux : quelle prise de conscience en 2022 ?</w:t>
        </w:r>
      </w:hyperlink>
      <w:r>
        <w:rPr>
          <w:rStyle w:val="field-content"/>
          <w:rFonts w:ascii="Calibri" w:hAnsi="Calibri" w:cs="Calibri"/>
        </w:rPr>
        <w:t> </w:t>
      </w:r>
      <w:r>
        <w:rPr>
          <w:rStyle w:val="field-content"/>
          <w:rFonts w:cs="Marianne"/>
        </w:rPr>
        <w:t>»</w:t>
      </w:r>
      <w:r w:rsidRPr="00DA5501">
        <w:rPr>
          <w:rStyle w:val="field-content"/>
          <w:rFonts w:asciiTheme="minorHAnsi" w:hAnsiTheme="minorHAnsi"/>
        </w:rPr>
        <w:t xml:space="preserve">, octobre 2022) </w:t>
      </w:r>
      <w:r w:rsidRPr="00DA5501">
        <w:rPr>
          <w:rFonts w:asciiTheme="minorHAnsi" w:hAnsiTheme="minorHAnsi" w:cs="Calibri"/>
        </w:rPr>
        <w:t>que</w:t>
      </w:r>
      <w:r w:rsidRPr="00DA5501">
        <w:rPr>
          <w:rFonts w:ascii="Calibri" w:hAnsi="Calibri" w:cs="Calibri"/>
        </w:rPr>
        <w:t> </w:t>
      </w:r>
      <w:r w:rsidRPr="00DA5501">
        <w:rPr>
          <w:rFonts w:asciiTheme="minorHAnsi" w:hAnsiTheme="minorHAnsi" w:cs="Calibri"/>
        </w:rPr>
        <w:t>:</w:t>
      </w:r>
    </w:p>
    <w:p w14:paraId="28F03D55" w14:textId="28BBDD68" w:rsidR="00865D8C" w:rsidRPr="00DA5501" w:rsidRDefault="00865D8C" w:rsidP="003F57EA">
      <w:pPr>
        <w:pStyle w:val="ListParagraph"/>
        <w:numPr>
          <w:ilvl w:val="0"/>
          <w:numId w:val="84"/>
        </w:numPr>
        <w:autoSpaceDE w:val="0"/>
        <w:autoSpaceDN w:val="0"/>
        <w:adjustRightInd w:val="0"/>
        <w:rPr>
          <w:rFonts w:asciiTheme="minorHAnsi" w:hAnsiTheme="minorHAnsi" w:cstheme="minorHAnsi"/>
        </w:rPr>
      </w:pPr>
      <w:r>
        <w:rPr>
          <w:rFonts w:asciiTheme="minorHAnsi" w:hAnsiTheme="minorHAnsi" w:cs="Calibri"/>
        </w:rPr>
        <w:t>L</w:t>
      </w:r>
      <w:r w:rsidRPr="00DA5501">
        <w:rPr>
          <w:rFonts w:asciiTheme="minorHAnsi" w:hAnsiTheme="minorHAnsi" w:cstheme="minorHAnsi"/>
        </w:rPr>
        <w:t>es inquiétudes des Français face aux risques naturels rencontrent souvent celles liées au changement climatique. Ainsi, les plus inquiets face aux conséquences possibles d’une catastrophe naturelle ou technologique considèrent pour près de la moitié (47</w:t>
      </w:r>
      <w:r w:rsidR="006518EF">
        <w:rPr>
          <w:rFonts w:asciiTheme="minorHAnsi" w:hAnsiTheme="minorHAnsi" w:cstheme="minorHAnsi"/>
        </w:rPr>
        <w:t>%</w:t>
      </w:r>
      <w:r w:rsidRPr="00DA5501">
        <w:rPr>
          <w:rFonts w:asciiTheme="minorHAnsi" w:hAnsiTheme="minorHAnsi" w:cstheme="minorHAnsi"/>
        </w:rPr>
        <w:t>) que le changement climatique a d’ores et déjà des conséquences sur leur vie quotidienne, contre 30</w:t>
      </w:r>
      <w:r w:rsidR="006518EF">
        <w:rPr>
          <w:rFonts w:asciiTheme="minorHAnsi" w:hAnsiTheme="minorHAnsi" w:cstheme="minorHAnsi"/>
        </w:rPr>
        <w:t>%</w:t>
      </w:r>
      <w:r w:rsidRPr="00DA5501">
        <w:rPr>
          <w:rFonts w:asciiTheme="minorHAnsi" w:hAnsiTheme="minorHAnsi" w:cstheme="minorHAnsi"/>
        </w:rPr>
        <w:t xml:space="preserve"> de l’ensemble des Français. Inversement, les personnes les moins inquiètes sont également celles qui semblent considérer que le changement climatique ne sera pas un problème à l’avenir</w:t>
      </w:r>
      <w:r w:rsidRPr="00DA5501">
        <w:rPr>
          <w:rFonts w:ascii="Calibri" w:hAnsi="Calibri" w:cs="Calibri"/>
        </w:rPr>
        <w:t> </w:t>
      </w:r>
      <w:r w:rsidRPr="00DA5501">
        <w:rPr>
          <w:rFonts w:asciiTheme="minorHAnsi" w:hAnsiTheme="minorHAnsi" w:cstheme="minorHAnsi"/>
        </w:rPr>
        <w:t xml:space="preserve">; </w:t>
      </w:r>
    </w:p>
    <w:p w14:paraId="236D9FF3" w14:textId="7684FB31" w:rsidR="00865D8C" w:rsidRPr="00DA5501" w:rsidRDefault="00865D8C" w:rsidP="003F57EA">
      <w:pPr>
        <w:pStyle w:val="ListParagraph"/>
        <w:numPr>
          <w:ilvl w:val="0"/>
          <w:numId w:val="84"/>
        </w:numPr>
        <w:autoSpaceDE w:val="0"/>
        <w:autoSpaceDN w:val="0"/>
        <w:adjustRightInd w:val="0"/>
        <w:rPr>
          <w:rFonts w:asciiTheme="minorHAnsi" w:hAnsiTheme="minorHAnsi" w:cstheme="minorHAnsi"/>
        </w:rPr>
      </w:pPr>
      <w:r w:rsidRPr="00DA5501">
        <w:rPr>
          <w:rFonts w:asciiTheme="minorHAnsi" w:hAnsiTheme="minorHAnsi" w:cstheme="minorHAnsi"/>
        </w:rPr>
        <w:t>27</w:t>
      </w:r>
      <w:r w:rsidR="006518EF">
        <w:rPr>
          <w:rFonts w:asciiTheme="minorHAnsi" w:hAnsiTheme="minorHAnsi" w:cstheme="minorHAnsi"/>
        </w:rPr>
        <w:t>%</w:t>
      </w:r>
      <w:r w:rsidRPr="00DA5501">
        <w:rPr>
          <w:rFonts w:asciiTheme="minorHAnsi" w:hAnsiTheme="minorHAnsi" w:cstheme="minorHAnsi"/>
        </w:rPr>
        <w:t xml:space="preserve"> des Français (population r</w:t>
      </w:r>
      <w:r w:rsidRPr="00DA5501">
        <w:rPr>
          <w:rFonts w:asciiTheme="minorHAnsi" w:hAnsiTheme="minorHAnsi" w:cs="Marianne"/>
        </w:rPr>
        <w:t>é</w:t>
      </w:r>
      <w:r w:rsidRPr="00DA5501">
        <w:rPr>
          <w:rFonts w:asciiTheme="minorHAnsi" w:hAnsiTheme="minorHAnsi" w:cstheme="minorHAnsi"/>
        </w:rPr>
        <w:t>sidant en France m</w:t>
      </w:r>
      <w:r w:rsidRPr="00DA5501">
        <w:rPr>
          <w:rFonts w:asciiTheme="minorHAnsi" w:hAnsiTheme="minorHAnsi" w:cs="Marianne"/>
        </w:rPr>
        <w:t>é</w:t>
      </w:r>
      <w:r w:rsidRPr="00DA5501">
        <w:rPr>
          <w:rFonts w:asciiTheme="minorHAnsi" w:hAnsiTheme="minorHAnsi" w:cstheme="minorHAnsi"/>
        </w:rPr>
        <w:t>tropolitaine et dans les d</w:t>
      </w:r>
      <w:r w:rsidRPr="00DA5501">
        <w:rPr>
          <w:rFonts w:asciiTheme="minorHAnsi" w:hAnsiTheme="minorHAnsi" w:cs="Marianne"/>
        </w:rPr>
        <w:t>é</w:t>
      </w:r>
      <w:r w:rsidRPr="00DA5501">
        <w:rPr>
          <w:rFonts w:asciiTheme="minorHAnsi" w:hAnsiTheme="minorHAnsi" w:cstheme="minorHAnsi"/>
        </w:rPr>
        <w:t>partements d’outre-mer, hors Mayotte) considèrent que</w:t>
      </w:r>
      <w:r w:rsidRPr="00DA5501">
        <w:rPr>
          <w:rFonts w:asciiTheme="minorHAnsi" w:hAnsiTheme="minorHAnsi" w:cstheme="minorHAnsi"/>
          <w:i/>
          <w:iCs/>
        </w:rPr>
        <w:t xml:space="preserve"> le changement climatique a déjà des conséquences sur leur vie quotidienne, 42</w:t>
      </w:r>
      <w:r w:rsidR="006518EF">
        <w:rPr>
          <w:rFonts w:ascii="Calibri" w:hAnsi="Calibri" w:cs="Calibri"/>
          <w:i/>
          <w:iCs/>
        </w:rPr>
        <w:t>%</w:t>
      </w:r>
      <w:r w:rsidRPr="00DA5501">
        <w:rPr>
          <w:rFonts w:asciiTheme="minorHAnsi" w:hAnsiTheme="minorHAnsi" w:cstheme="minorHAnsi"/>
          <w:i/>
          <w:iCs/>
        </w:rPr>
        <w:t xml:space="preserve"> estiment qu’il en aura dans les 10 prochaines années et 22</w:t>
      </w:r>
      <w:r w:rsidR="006518EF">
        <w:rPr>
          <w:rFonts w:ascii="Calibri" w:hAnsi="Calibri" w:cs="Calibri"/>
          <w:i/>
          <w:iCs/>
        </w:rPr>
        <w:t>%</w:t>
      </w:r>
      <w:r w:rsidRPr="00DA5501">
        <w:rPr>
          <w:rFonts w:asciiTheme="minorHAnsi" w:hAnsiTheme="minorHAnsi" w:cstheme="minorHAnsi"/>
          <w:i/>
          <w:iCs/>
        </w:rPr>
        <w:t xml:space="preserve"> seulement pour les générations suivantes</w:t>
      </w:r>
      <w:r w:rsidRPr="00DA5501">
        <w:rPr>
          <w:rFonts w:asciiTheme="minorHAnsi" w:hAnsiTheme="minorHAnsi" w:cstheme="minorHAnsi"/>
        </w:rPr>
        <w:t>. Seuls 8</w:t>
      </w:r>
      <w:r w:rsidR="006518EF">
        <w:rPr>
          <w:rFonts w:ascii="Calibri" w:hAnsi="Calibri" w:cs="Calibri"/>
        </w:rPr>
        <w:t>%</w:t>
      </w:r>
      <w:r w:rsidRPr="00DA5501">
        <w:rPr>
          <w:rFonts w:asciiTheme="minorHAnsi" w:hAnsiTheme="minorHAnsi" w:cstheme="minorHAnsi"/>
        </w:rPr>
        <w:t xml:space="preserve"> des Fran</w:t>
      </w:r>
      <w:r w:rsidRPr="00DA5501">
        <w:rPr>
          <w:rFonts w:asciiTheme="minorHAnsi" w:hAnsiTheme="minorHAnsi" w:cs="Marianne"/>
        </w:rPr>
        <w:t>ç</w:t>
      </w:r>
      <w:r w:rsidRPr="00DA5501">
        <w:rPr>
          <w:rFonts w:asciiTheme="minorHAnsi" w:hAnsiTheme="minorHAnsi" w:cstheme="minorHAnsi"/>
        </w:rPr>
        <w:t>ais pensent que le changement climatique n’aura aucune incidence</w:t>
      </w:r>
      <w:r w:rsidRPr="00DA5501">
        <w:rPr>
          <w:rFonts w:ascii="Calibri" w:hAnsi="Calibri" w:cs="Calibri"/>
        </w:rPr>
        <w:t> </w:t>
      </w:r>
      <w:r w:rsidRPr="00DA5501">
        <w:rPr>
          <w:rFonts w:asciiTheme="minorHAnsi" w:hAnsiTheme="minorHAnsi" w:cstheme="minorHAnsi"/>
        </w:rPr>
        <w:t>;</w:t>
      </w:r>
    </w:p>
    <w:p w14:paraId="3F9DFE5A" w14:textId="75395A21" w:rsidR="00865D8C" w:rsidRPr="00DA5501" w:rsidRDefault="00865D8C" w:rsidP="003F57EA">
      <w:pPr>
        <w:pStyle w:val="ListParagraph"/>
        <w:numPr>
          <w:ilvl w:val="0"/>
          <w:numId w:val="84"/>
        </w:numPr>
        <w:autoSpaceDE w:val="0"/>
        <w:autoSpaceDN w:val="0"/>
        <w:adjustRightInd w:val="0"/>
        <w:rPr>
          <w:rFonts w:asciiTheme="minorHAnsi" w:hAnsiTheme="minorHAnsi" w:cstheme="minorHAnsi"/>
        </w:rPr>
      </w:pPr>
      <w:r w:rsidRPr="00DA5501">
        <w:rPr>
          <w:rFonts w:asciiTheme="minorHAnsi" w:hAnsiTheme="minorHAnsi" w:cstheme="minorHAnsi"/>
        </w:rPr>
        <w:t>27</w:t>
      </w:r>
      <w:r w:rsidR="006518EF">
        <w:rPr>
          <w:rFonts w:asciiTheme="minorHAnsi" w:hAnsiTheme="minorHAnsi" w:cstheme="minorHAnsi"/>
        </w:rPr>
        <w:t>%</w:t>
      </w:r>
      <w:r w:rsidRPr="00DA5501">
        <w:rPr>
          <w:rFonts w:asciiTheme="minorHAnsi" w:hAnsiTheme="minorHAnsi" w:cstheme="minorHAnsi"/>
        </w:rPr>
        <w:t xml:space="preserve"> des enquêtés ont évoqué le </w:t>
      </w:r>
      <w:r w:rsidRPr="00DA5501">
        <w:rPr>
          <w:rFonts w:asciiTheme="minorHAnsi" w:hAnsiTheme="minorHAnsi" w:cstheme="minorHAnsi"/>
          <w:b/>
          <w:bCs/>
        </w:rPr>
        <w:t xml:space="preserve">manque d’eau et les sécheresses </w:t>
      </w:r>
      <w:r w:rsidRPr="00DA5501">
        <w:rPr>
          <w:rFonts w:asciiTheme="minorHAnsi" w:hAnsiTheme="minorHAnsi" w:cstheme="minorHAnsi"/>
        </w:rPr>
        <w:t xml:space="preserve">dans les 16 départements concernés par des arrêtés préfectoraux de restriction des usages en eau en mai 2022. </w:t>
      </w:r>
      <w:r w:rsidRPr="00DA5501">
        <w:rPr>
          <w:rFonts w:asciiTheme="minorHAnsi" w:hAnsiTheme="minorHAnsi" w:cstheme="minorHAnsi"/>
          <w:u w:val="single"/>
        </w:rPr>
        <w:t>Rappel</w:t>
      </w:r>
      <w:r w:rsidRPr="00DA5501">
        <w:rPr>
          <w:rFonts w:asciiTheme="minorHAnsi" w:hAnsiTheme="minorHAnsi" w:cstheme="minorHAnsi"/>
        </w:rPr>
        <w:t xml:space="preserve"> : Le mois de mai 2022 a été le plus chaud et le plus </w:t>
      </w:r>
      <w:r>
        <w:rPr>
          <w:rFonts w:asciiTheme="minorHAnsi" w:hAnsiTheme="minorHAnsi" w:cstheme="minorHAnsi"/>
        </w:rPr>
        <w:t>sec jamais observé en France : m</w:t>
      </w:r>
      <w:r w:rsidRPr="00DA5501">
        <w:rPr>
          <w:rFonts w:asciiTheme="minorHAnsi" w:hAnsiTheme="minorHAnsi" w:cstheme="minorHAnsi"/>
        </w:rPr>
        <w:t>oyenne mensuelle de 17,8 °C sur l'ensem</w:t>
      </w:r>
      <w:r>
        <w:rPr>
          <w:rFonts w:asciiTheme="minorHAnsi" w:hAnsiTheme="minorHAnsi" w:cstheme="minorHAnsi"/>
        </w:rPr>
        <w:t>ble du territoire métropolitain</w:t>
      </w:r>
      <w:r w:rsidRPr="00DA5501">
        <w:rPr>
          <w:rFonts w:asciiTheme="minorHAnsi" w:hAnsiTheme="minorHAnsi" w:cstheme="minorHAnsi"/>
        </w:rPr>
        <w:t xml:space="preserve"> et déficit de précipitations de 65</w:t>
      </w:r>
      <w:r w:rsidR="006518EF">
        <w:rPr>
          <w:rFonts w:asciiTheme="minorHAnsi" w:hAnsiTheme="minorHAnsi" w:cstheme="minorHAnsi"/>
        </w:rPr>
        <w:t>%</w:t>
      </w:r>
      <w:r w:rsidRPr="00DA5501">
        <w:rPr>
          <w:rFonts w:asciiTheme="minorHAnsi" w:hAnsiTheme="minorHAnsi" w:cstheme="minorHAnsi"/>
        </w:rPr>
        <w:t xml:space="preserve">. Cet effet de contexte explique également la progression notable de la référence aux </w:t>
      </w:r>
      <w:r w:rsidRPr="00DA5501">
        <w:rPr>
          <w:rFonts w:asciiTheme="minorHAnsi" w:hAnsiTheme="minorHAnsi" w:cstheme="minorHAnsi"/>
          <w:b/>
          <w:bCs/>
        </w:rPr>
        <w:t>canicules</w:t>
      </w:r>
      <w:r w:rsidRPr="00DA5501">
        <w:rPr>
          <w:rFonts w:asciiTheme="minorHAnsi" w:hAnsiTheme="minorHAnsi" w:cstheme="minorHAnsi"/>
        </w:rPr>
        <w:t>.</w:t>
      </w:r>
    </w:p>
    <w:p w14:paraId="2B338AB4" w14:textId="77777777" w:rsidR="00865D8C" w:rsidRPr="00DA5501" w:rsidRDefault="00865D8C" w:rsidP="003F57EA">
      <w:pPr>
        <w:pStyle w:val="ListParagraph"/>
        <w:numPr>
          <w:ilvl w:val="0"/>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Concernant les effets du changement climatique sur la santé, la situation est plus complexe : de manière globale, la thématique </w:t>
      </w:r>
      <w:r w:rsidRPr="00DA5501">
        <w:rPr>
          <w:rFonts w:asciiTheme="minorHAnsi" w:hAnsiTheme="minorHAnsi" w:cstheme="minorHAnsi"/>
          <w:b/>
          <w:bCs/>
        </w:rPr>
        <w:t>Conséquences sanitaires</w:t>
      </w:r>
      <w:r w:rsidRPr="00DA5501">
        <w:rPr>
          <w:rFonts w:asciiTheme="minorHAnsi" w:hAnsiTheme="minorHAnsi" w:cstheme="minorHAnsi"/>
        </w:rPr>
        <w:t xml:space="preserve"> a connu une baisse importante. En revanche, la catégorie «</w:t>
      </w:r>
      <w:r w:rsidRPr="00DA5501">
        <w:rPr>
          <w:rFonts w:ascii="Calibri" w:hAnsi="Calibri" w:cs="Calibri"/>
        </w:rPr>
        <w:t> </w:t>
      </w:r>
      <w:r w:rsidRPr="00DA5501">
        <w:rPr>
          <w:rFonts w:asciiTheme="minorHAnsi" w:hAnsiTheme="minorHAnsi" w:cstheme="minorHAnsi"/>
          <w:i/>
          <w:iCs/>
        </w:rPr>
        <w:t>Santé</w:t>
      </w:r>
      <w:r w:rsidRPr="00DA5501">
        <w:rPr>
          <w:rFonts w:ascii="Calibri" w:hAnsi="Calibri" w:cs="Calibri"/>
        </w:rPr>
        <w:t> </w:t>
      </w:r>
      <w:r w:rsidRPr="00DA5501">
        <w:rPr>
          <w:rFonts w:asciiTheme="minorHAnsi" w:hAnsiTheme="minorHAnsi" w:cs="Marianne"/>
        </w:rPr>
        <w:t>»</w:t>
      </w:r>
      <w:r w:rsidRPr="00DA5501">
        <w:rPr>
          <w:rFonts w:asciiTheme="minorHAnsi" w:hAnsiTheme="minorHAnsi" w:cstheme="minorHAnsi"/>
        </w:rPr>
        <w:t xml:space="preserve"> (regroupant les notions de </w:t>
      </w:r>
      <w:r w:rsidRPr="00DA5501">
        <w:rPr>
          <w:rFonts w:asciiTheme="minorHAnsi" w:hAnsiTheme="minorHAnsi" w:cstheme="minorHAnsi"/>
          <w:b/>
          <w:bCs/>
        </w:rPr>
        <w:t>maladies</w:t>
      </w:r>
      <w:r w:rsidRPr="00DA5501">
        <w:rPr>
          <w:rFonts w:asciiTheme="minorHAnsi" w:hAnsiTheme="minorHAnsi" w:cstheme="minorHAnsi"/>
        </w:rPr>
        <w:t xml:space="preserve"> et de </w:t>
      </w:r>
      <w:r w:rsidRPr="00DA5501">
        <w:rPr>
          <w:rFonts w:asciiTheme="minorHAnsi" w:hAnsiTheme="minorHAnsi" w:cstheme="minorHAnsi"/>
          <w:b/>
          <w:bCs/>
        </w:rPr>
        <w:t>mal-être</w:t>
      </w:r>
      <w:r w:rsidRPr="00DA5501">
        <w:rPr>
          <w:rFonts w:asciiTheme="minorHAnsi" w:hAnsiTheme="minorHAnsi" w:cstheme="minorHAnsi"/>
        </w:rPr>
        <w:t>) a progressé significativement. Les enquêtés évoquent ainsi fréquemment l’inconfort généré par les vagues de chaleur («</w:t>
      </w:r>
      <w:r w:rsidRPr="00DA5501">
        <w:rPr>
          <w:rFonts w:ascii="Calibri" w:hAnsi="Calibri" w:cs="Calibri"/>
        </w:rPr>
        <w:t> </w:t>
      </w:r>
      <w:r w:rsidRPr="00DA5501">
        <w:rPr>
          <w:rFonts w:asciiTheme="minorHAnsi" w:hAnsiTheme="minorHAnsi" w:cstheme="minorHAnsi"/>
          <w:i/>
          <w:iCs/>
        </w:rPr>
        <w:t>canicules insupportables</w:t>
      </w:r>
      <w:r w:rsidRPr="00DA5501">
        <w:rPr>
          <w:rFonts w:ascii="Calibri" w:hAnsi="Calibri" w:cs="Calibri"/>
        </w:rPr>
        <w:t> </w:t>
      </w:r>
      <w:r w:rsidRPr="00DA5501">
        <w:rPr>
          <w:rFonts w:asciiTheme="minorHAnsi" w:hAnsiTheme="minorHAnsi" w:cs="Marianne"/>
        </w:rPr>
        <w:t>»</w:t>
      </w:r>
      <w:r w:rsidRPr="00DA5501">
        <w:rPr>
          <w:rFonts w:asciiTheme="minorHAnsi" w:hAnsiTheme="minorHAnsi" w:cstheme="minorHAnsi"/>
        </w:rPr>
        <w:t>).</w:t>
      </w:r>
    </w:p>
    <w:p w14:paraId="735CE438" w14:textId="77777777" w:rsidR="00865D8C" w:rsidRPr="00DA5501" w:rsidRDefault="00865D8C" w:rsidP="003F57EA">
      <w:pPr>
        <w:pStyle w:val="ListParagraph"/>
        <w:numPr>
          <w:ilvl w:val="0"/>
          <w:numId w:val="84"/>
        </w:numPr>
        <w:autoSpaceDE w:val="0"/>
        <w:autoSpaceDN w:val="0"/>
        <w:adjustRightInd w:val="0"/>
        <w:rPr>
          <w:rFonts w:asciiTheme="minorHAnsi" w:hAnsiTheme="minorHAnsi" w:cstheme="minorHAnsi"/>
        </w:rPr>
      </w:pPr>
      <w:r w:rsidRPr="00DA5501">
        <w:rPr>
          <w:rFonts w:asciiTheme="minorHAnsi" w:hAnsiTheme="minorHAnsi" w:cstheme="minorHAnsi"/>
        </w:rPr>
        <w:t>Rendus tangibles par la sécheresse précoce du printemps 2022, les risques climatiques qui paraissent désormais redoutés par les Français sont ceux qui résonnent avec cette actualité. Il est ainsi question :</w:t>
      </w:r>
    </w:p>
    <w:p w14:paraId="4DAC2776" w14:textId="77777777" w:rsidR="00865D8C" w:rsidRPr="00DA5501" w:rsidRDefault="00865D8C" w:rsidP="003F57EA">
      <w:pPr>
        <w:pStyle w:val="ListParagraph"/>
        <w:numPr>
          <w:ilvl w:val="1"/>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de </w:t>
      </w:r>
      <w:r w:rsidRPr="00DA5501">
        <w:rPr>
          <w:rFonts w:asciiTheme="minorHAnsi" w:hAnsiTheme="minorHAnsi" w:cstheme="minorHAnsi"/>
          <w:b/>
          <w:bCs/>
        </w:rPr>
        <w:t>difficultés agricoles</w:t>
      </w:r>
      <w:r w:rsidRPr="00DA5501">
        <w:rPr>
          <w:rFonts w:asciiTheme="minorHAnsi" w:hAnsiTheme="minorHAnsi" w:cstheme="minorHAnsi"/>
        </w:rPr>
        <w:t xml:space="preserve"> et de pénuries alimentaires, </w:t>
      </w:r>
    </w:p>
    <w:p w14:paraId="6072C217" w14:textId="77777777" w:rsidR="00865D8C" w:rsidRPr="00DA5501" w:rsidRDefault="00865D8C" w:rsidP="003F57EA">
      <w:pPr>
        <w:pStyle w:val="ListParagraph"/>
        <w:numPr>
          <w:ilvl w:val="1"/>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de fragilisation des </w:t>
      </w:r>
      <w:r w:rsidRPr="00DA5501">
        <w:rPr>
          <w:rFonts w:asciiTheme="minorHAnsi" w:hAnsiTheme="minorHAnsi" w:cstheme="minorHAnsi"/>
          <w:b/>
          <w:bCs/>
        </w:rPr>
        <w:t>habitations</w:t>
      </w:r>
      <w:r w:rsidRPr="00DA5501">
        <w:rPr>
          <w:rFonts w:asciiTheme="minorHAnsi" w:hAnsiTheme="minorHAnsi" w:cstheme="minorHAnsi"/>
        </w:rPr>
        <w:t xml:space="preserve"> (retraits gonflements d’argile), </w:t>
      </w:r>
    </w:p>
    <w:p w14:paraId="2D8CDF99" w14:textId="77777777" w:rsidR="00865D8C" w:rsidRPr="00DA5501" w:rsidRDefault="00865D8C" w:rsidP="003F57EA">
      <w:pPr>
        <w:pStyle w:val="ListParagraph"/>
        <w:numPr>
          <w:ilvl w:val="1"/>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de hausse des </w:t>
      </w:r>
      <w:r w:rsidRPr="00DA5501">
        <w:rPr>
          <w:rFonts w:asciiTheme="minorHAnsi" w:hAnsiTheme="minorHAnsi" w:cstheme="minorHAnsi"/>
          <w:b/>
          <w:bCs/>
        </w:rPr>
        <w:t>dépenses</w:t>
      </w:r>
      <w:r w:rsidRPr="00DA5501">
        <w:rPr>
          <w:rFonts w:asciiTheme="minorHAnsi" w:hAnsiTheme="minorHAnsi" w:cstheme="minorHAnsi"/>
        </w:rPr>
        <w:t xml:space="preserve">, </w:t>
      </w:r>
    </w:p>
    <w:p w14:paraId="106AB1FF" w14:textId="77777777" w:rsidR="00865D8C" w:rsidRPr="00DA5501" w:rsidRDefault="00865D8C" w:rsidP="003F57EA">
      <w:pPr>
        <w:pStyle w:val="ListParagraph"/>
        <w:numPr>
          <w:ilvl w:val="1"/>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de dégradation des </w:t>
      </w:r>
      <w:r w:rsidRPr="00DA5501">
        <w:rPr>
          <w:rFonts w:asciiTheme="minorHAnsi" w:hAnsiTheme="minorHAnsi" w:cstheme="minorHAnsi"/>
          <w:b/>
          <w:bCs/>
        </w:rPr>
        <w:t>conditions de vie</w:t>
      </w:r>
      <w:r w:rsidRPr="00DA5501">
        <w:rPr>
          <w:rFonts w:asciiTheme="minorHAnsi" w:hAnsiTheme="minorHAnsi" w:cstheme="minorHAnsi"/>
        </w:rPr>
        <w:t xml:space="preserve">, </w:t>
      </w:r>
    </w:p>
    <w:p w14:paraId="683B4D10" w14:textId="77777777" w:rsidR="00865D8C" w:rsidRPr="00DA5501" w:rsidRDefault="00865D8C" w:rsidP="003F57EA">
      <w:pPr>
        <w:pStyle w:val="ListParagraph"/>
        <w:numPr>
          <w:ilvl w:val="1"/>
          <w:numId w:val="84"/>
        </w:numPr>
        <w:autoSpaceDE w:val="0"/>
        <w:autoSpaceDN w:val="0"/>
        <w:adjustRightInd w:val="0"/>
        <w:rPr>
          <w:rFonts w:asciiTheme="minorHAnsi" w:hAnsiTheme="minorHAnsi" w:cstheme="minorHAnsi"/>
        </w:rPr>
      </w:pPr>
      <w:r w:rsidRPr="00DA5501">
        <w:rPr>
          <w:rFonts w:asciiTheme="minorHAnsi" w:hAnsiTheme="minorHAnsi" w:cstheme="minorHAnsi"/>
        </w:rPr>
        <w:t xml:space="preserve">voire de la nécessité de </w:t>
      </w:r>
      <w:r w:rsidRPr="00DA5501">
        <w:rPr>
          <w:rFonts w:asciiTheme="minorHAnsi" w:hAnsiTheme="minorHAnsi" w:cstheme="minorHAnsi"/>
          <w:b/>
          <w:bCs/>
        </w:rPr>
        <w:t>déménager</w:t>
      </w:r>
      <w:r w:rsidRPr="00DA5501">
        <w:rPr>
          <w:rFonts w:asciiTheme="minorHAnsi" w:hAnsiTheme="minorHAnsi" w:cstheme="minorHAnsi"/>
        </w:rPr>
        <w:t xml:space="preserve"> à terme.</w:t>
      </w:r>
    </w:p>
    <w:p w14:paraId="46085F51" w14:textId="77777777" w:rsidR="00865D8C" w:rsidRDefault="00865D8C" w:rsidP="00865D8C">
      <w:pPr>
        <w:autoSpaceDE w:val="0"/>
        <w:autoSpaceDN w:val="0"/>
        <w:adjustRightInd w:val="0"/>
        <w:rPr>
          <w:rFonts w:cstheme="minorHAnsi"/>
        </w:rPr>
      </w:pPr>
    </w:p>
    <w:p w14:paraId="4A3D6D9B" w14:textId="77777777" w:rsidR="00865D8C" w:rsidRDefault="00865D8C" w:rsidP="00865D8C">
      <w:pPr>
        <w:autoSpaceDE w:val="0"/>
        <w:autoSpaceDN w:val="0"/>
        <w:adjustRightInd w:val="0"/>
        <w:jc w:val="center"/>
        <w:rPr>
          <w:rFonts w:cstheme="minorHAnsi"/>
        </w:rPr>
      </w:pPr>
      <w:r>
        <w:rPr>
          <w:rFonts w:cstheme="minorHAnsi"/>
          <w:noProof/>
        </w:rPr>
        <w:drawing>
          <wp:inline distT="0" distB="0" distL="0" distR="0" wp14:anchorId="0C72035B" wp14:editId="0CF76D03">
            <wp:extent cx="5177155" cy="2004695"/>
            <wp:effectExtent l="0" t="0" r="4445" b="0"/>
            <wp:docPr id="28715" name="Image 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77155" cy="2004695"/>
                    </a:xfrm>
                    <a:prstGeom prst="rect">
                      <a:avLst/>
                    </a:prstGeom>
                    <a:noFill/>
                    <a:ln>
                      <a:noFill/>
                    </a:ln>
                  </pic:spPr>
                </pic:pic>
              </a:graphicData>
            </a:graphic>
          </wp:inline>
        </w:drawing>
      </w:r>
    </w:p>
    <w:p w14:paraId="31A2C294" w14:textId="77777777" w:rsidR="00865D8C" w:rsidRDefault="00865D8C" w:rsidP="00865D8C">
      <w:pPr>
        <w:autoSpaceDE w:val="0"/>
        <w:autoSpaceDN w:val="0"/>
        <w:adjustRightInd w:val="0"/>
        <w:rPr>
          <w:rFonts w:cstheme="minorHAnsi"/>
        </w:rPr>
      </w:pPr>
    </w:p>
    <w:p w14:paraId="4C0F777D" w14:textId="77777777" w:rsidR="00865D8C" w:rsidRDefault="00865D8C" w:rsidP="00865D8C">
      <w:pPr>
        <w:autoSpaceDE w:val="0"/>
        <w:autoSpaceDN w:val="0"/>
        <w:adjustRightInd w:val="0"/>
        <w:jc w:val="center"/>
        <w:rPr>
          <w:rFonts w:cstheme="minorHAnsi"/>
        </w:rPr>
      </w:pPr>
      <w:r>
        <w:rPr>
          <w:rFonts w:cstheme="minorHAnsi"/>
          <w:noProof/>
        </w:rPr>
        <w:drawing>
          <wp:inline distT="0" distB="0" distL="0" distR="0" wp14:anchorId="0B1DD35A" wp14:editId="1241CD35">
            <wp:extent cx="4149725" cy="2251075"/>
            <wp:effectExtent l="0" t="0" r="3175" b="0"/>
            <wp:docPr id="28716" name="Image 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49725" cy="2251075"/>
                    </a:xfrm>
                    <a:prstGeom prst="rect">
                      <a:avLst/>
                    </a:prstGeom>
                    <a:noFill/>
                    <a:ln>
                      <a:noFill/>
                    </a:ln>
                  </pic:spPr>
                </pic:pic>
              </a:graphicData>
            </a:graphic>
          </wp:inline>
        </w:drawing>
      </w:r>
    </w:p>
    <w:p w14:paraId="0867DA71" w14:textId="77777777" w:rsidR="00865D8C" w:rsidRDefault="00865D8C" w:rsidP="00865D8C">
      <w:pPr>
        <w:autoSpaceDE w:val="0"/>
        <w:autoSpaceDN w:val="0"/>
        <w:adjustRightInd w:val="0"/>
        <w:jc w:val="center"/>
        <w:rPr>
          <w:rFonts w:cstheme="minorHAnsi"/>
        </w:rPr>
      </w:pPr>
      <w:r>
        <w:rPr>
          <w:rFonts w:cstheme="minorHAnsi"/>
          <w:noProof/>
        </w:rPr>
        <w:drawing>
          <wp:inline distT="0" distB="0" distL="0" distR="0" wp14:anchorId="016A35DC" wp14:editId="62A0F6F6">
            <wp:extent cx="5845175" cy="3242310"/>
            <wp:effectExtent l="0" t="0" r="3175" b="0"/>
            <wp:docPr id="28717" name="Image 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45175" cy="3242310"/>
                    </a:xfrm>
                    <a:prstGeom prst="rect">
                      <a:avLst/>
                    </a:prstGeom>
                    <a:noFill/>
                    <a:ln>
                      <a:noFill/>
                    </a:ln>
                  </pic:spPr>
                </pic:pic>
              </a:graphicData>
            </a:graphic>
          </wp:inline>
        </w:drawing>
      </w:r>
    </w:p>
    <w:p w14:paraId="1333E756" w14:textId="77777777" w:rsidR="00865D8C" w:rsidRDefault="00865D8C" w:rsidP="00865D8C">
      <w:pPr>
        <w:autoSpaceDE w:val="0"/>
        <w:autoSpaceDN w:val="0"/>
        <w:adjustRightInd w:val="0"/>
        <w:rPr>
          <w:rFonts w:cstheme="minorHAnsi"/>
        </w:rPr>
      </w:pPr>
    </w:p>
    <w:p w14:paraId="493E9041" w14:textId="77777777" w:rsidR="00865D8C" w:rsidRDefault="00865D8C" w:rsidP="00865D8C">
      <w:pPr>
        <w:autoSpaceDE w:val="0"/>
        <w:autoSpaceDN w:val="0"/>
        <w:adjustRightInd w:val="0"/>
        <w:rPr>
          <w:rFonts w:cstheme="minorHAnsi"/>
        </w:rPr>
      </w:pPr>
      <w:r>
        <w:rPr>
          <w:rFonts w:cstheme="minorHAnsi"/>
          <w:noProof/>
        </w:rPr>
        <w:drawing>
          <wp:inline distT="0" distB="0" distL="0" distR="0" wp14:anchorId="542F247E" wp14:editId="2F97D502">
            <wp:extent cx="5612765" cy="3115945"/>
            <wp:effectExtent l="0" t="0" r="6985" b="8255"/>
            <wp:docPr id="28718" name="Image 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2765" cy="3115945"/>
                    </a:xfrm>
                    <a:prstGeom prst="rect">
                      <a:avLst/>
                    </a:prstGeom>
                    <a:noFill/>
                    <a:ln>
                      <a:noFill/>
                    </a:ln>
                  </pic:spPr>
                </pic:pic>
              </a:graphicData>
            </a:graphic>
          </wp:inline>
        </w:drawing>
      </w:r>
    </w:p>
    <w:p w14:paraId="0030E86E" w14:textId="77777777" w:rsidR="00865D8C" w:rsidRDefault="00865D8C" w:rsidP="00865D8C">
      <w:pPr>
        <w:autoSpaceDE w:val="0"/>
        <w:autoSpaceDN w:val="0"/>
        <w:adjustRightInd w:val="0"/>
        <w:rPr>
          <w:rFonts w:cstheme="minorHAnsi"/>
        </w:rPr>
      </w:pPr>
    </w:p>
    <w:p w14:paraId="6F517D21" w14:textId="77777777" w:rsidR="00865D8C" w:rsidRDefault="00865D8C" w:rsidP="00865D8C">
      <w:pPr>
        <w:autoSpaceDE w:val="0"/>
        <w:autoSpaceDN w:val="0"/>
        <w:adjustRightInd w:val="0"/>
        <w:rPr>
          <w:rFonts w:cstheme="minorHAnsi"/>
        </w:rPr>
      </w:pPr>
      <w:r>
        <w:rPr>
          <w:rFonts w:cstheme="minorHAnsi"/>
          <w:b/>
          <w:bCs/>
        </w:rPr>
        <w:t>Thématiques en hausse</w:t>
      </w:r>
      <w:r>
        <w:rPr>
          <w:rFonts w:ascii="Calibri" w:hAnsi="Calibri" w:cs="Calibri"/>
          <w:b/>
          <w:bCs/>
        </w:rPr>
        <w:t> </w:t>
      </w:r>
      <w:r>
        <w:rPr>
          <w:rFonts w:cstheme="minorHAnsi"/>
          <w:b/>
          <w:bCs/>
        </w:rPr>
        <w:t>:</w:t>
      </w:r>
    </w:p>
    <w:p w14:paraId="243A4B89"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Épisodes météorologiques extrêmes (+ 11 points)</w:t>
      </w:r>
    </w:p>
    <w:p w14:paraId="6B7081E3"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Altération de la qualité de vie (+ 8 points)</w:t>
      </w:r>
    </w:p>
    <w:p w14:paraId="5633C75E" w14:textId="77777777" w:rsidR="00865D8C" w:rsidRDefault="00865D8C" w:rsidP="00865D8C">
      <w:pPr>
        <w:autoSpaceDE w:val="0"/>
        <w:autoSpaceDN w:val="0"/>
        <w:adjustRightInd w:val="0"/>
        <w:rPr>
          <w:rFonts w:cstheme="minorHAnsi"/>
          <w:b/>
          <w:bCs/>
        </w:rPr>
      </w:pPr>
    </w:p>
    <w:p w14:paraId="1B743C30" w14:textId="77777777" w:rsidR="00865D8C" w:rsidRDefault="00865D8C" w:rsidP="00865D8C">
      <w:pPr>
        <w:autoSpaceDE w:val="0"/>
        <w:autoSpaceDN w:val="0"/>
        <w:adjustRightInd w:val="0"/>
        <w:rPr>
          <w:rFonts w:cstheme="minorHAnsi"/>
        </w:rPr>
      </w:pPr>
      <w:r>
        <w:rPr>
          <w:rFonts w:cstheme="minorHAnsi"/>
          <w:b/>
          <w:bCs/>
        </w:rPr>
        <w:t>Catégories en hausse</w:t>
      </w:r>
      <w:r>
        <w:rPr>
          <w:rFonts w:ascii="Calibri" w:hAnsi="Calibri" w:cs="Calibri"/>
          <w:b/>
          <w:bCs/>
        </w:rPr>
        <w:t> </w:t>
      </w:r>
      <w:r>
        <w:rPr>
          <w:rFonts w:cstheme="minorHAnsi"/>
          <w:b/>
          <w:bCs/>
        </w:rPr>
        <w:t>:</w:t>
      </w:r>
    </w:p>
    <w:p w14:paraId="5535CB83" w14:textId="344388FE" w:rsidR="00865D8C" w:rsidRDefault="00865D8C" w:rsidP="003F57EA">
      <w:pPr>
        <w:pStyle w:val="ListParagraph"/>
        <w:numPr>
          <w:ilvl w:val="0"/>
          <w:numId w:val="84"/>
        </w:numPr>
        <w:autoSpaceDE w:val="0"/>
        <w:autoSpaceDN w:val="0"/>
        <w:adjustRightInd w:val="0"/>
        <w:rPr>
          <w:rFonts w:cstheme="minorHAnsi"/>
        </w:rPr>
      </w:pPr>
      <w:r>
        <w:rPr>
          <w:rFonts w:cstheme="minorHAnsi"/>
        </w:rPr>
        <w:t>Sécheresse / Manque d’eau (5% en 2013 → 16</w:t>
      </w:r>
      <w:r w:rsidR="006518EF">
        <w:rPr>
          <w:rFonts w:cstheme="minorHAnsi"/>
        </w:rPr>
        <w:t>%</w:t>
      </w:r>
      <w:r>
        <w:rPr>
          <w:rFonts w:cstheme="minorHAnsi"/>
        </w:rPr>
        <w:t xml:space="preserve"> en 2022)</w:t>
      </w:r>
    </w:p>
    <w:p w14:paraId="0BCD44C6"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Vagues de chaleur / Canicules (x3)</w:t>
      </w:r>
    </w:p>
    <w:p w14:paraId="5CD40DC9"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Santé (maladies, stress, mal être, dépression…) et hygiène (x2)</w:t>
      </w:r>
    </w:p>
    <w:p w14:paraId="4E21B827"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Difficultés agricoles / Pénuries alimentaires (x2)</w:t>
      </w:r>
    </w:p>
    <w:p w14:paraId="7EA28BBA"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Dégâts matériels (biens et habitat) (x5)</w:t>
      </w:r>
    </w:p>
    <w:p w14:paraId="3CD75D6D"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Hausse des dépenses (eau, énergie, etc.) et des taxes</w:t>
      </w:r>
    </w:p>
    <w:p w14:paraId="2D27E601"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Dégradation de la nature / Biodiversité</w:t>
      </w:r>
    </w:p>
    <w:p w14:paraId="6EAF922C" w14:textId="77777777" w:rsidR="00865D8C" w:rsidRDefault="00865D8C" w:rsidP="00865D8C">
      <w:pPr>
        <w:autoSpaceDE w:val="0"/>
        <w:autoSpaceDN w:val="0"/>
        <w:adjustRightInd w:val="0"/>
        <w:rPr>
          <w:rFonts w:cstheme="minorHAnsi"/>
        </w:rPr>
      </w:pPr>
    </w:p>
    <w:p w14:paraId="60878BB5" w14:textId="77777777" w:rsidR="00865D8C" w:rsidRDefault="00865D8C" w:rsidP="00865D8C">
      <w:pPr>
        <w:autoSpaceDE w:val="0"/>
        <w:autoSpaceDN w:val="0"/>
        <w:adjustRightInd w:val="0"/>
        <w:rPr>
          <w:rFonts w:cstheme="minorHAnsi"/>
        </w:rPr>
      </w:pPr>
      <w:r>
        <w:rPr>
          <w:rFonts w:cstheme="minorHAnsi"/>
          <w:b/>
          <w:bCs/>
        </w:rPr>
        <w:t>Thématiques en baisse</w:t>
      </w:r>
      <w:r>
        <w:rPr>
          <w:rFonts w:ascii="Calibri" w:hAnsi="Calibri" w:cs="Calibri"/>
          <w:b/>
          <w:bCs/>
        </w:rPr>
        <w:t> </w:t>
      </w:r>
      <w:r>
        <w:rPr>
          <w:rFonts w:cstheme="minorHAnsi"/>
          <w:b/>
          <w:bCs/>
        </w:rPr>
        <w:t>:</w:t>
      </w:r>
    </w:p>
    <w:p w14:paraId="4B0783FB"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Conséquences impersonnelles et impacts globaux (- 10 points)</w:t>
      </w:r>
    </w:p>
    <w:p w14:paraId="7A5F1D3B"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Conséquences sanitaires (- 7 points)</w:t>
      </w:r>
    </w:p>
    <w:p w14:paraId="2DF1539A"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Impacts territoriaux (-5 points)</w:t>
      </w:r>
    </w:p>
    <w:p w14:paraId="1E20F577" w14:textId="77777777" w:rsidR="00865D8C" w:rsidRDefault="00865D8C" w:rsidP="00865D8C">
      <w:pPr>
        <w:autoSpaceDE w:val="0"/>
        <w:autoSpaceDN w:val="0"/>
        <w:adjustRightInd w:val="0"/>
        <w:rPr>
          <w:rFonts w:cstheme="minorHAnsi"/>
        </w:rPr>
      </w:pPr>
    </w:p>
    <w:p w14:paraId="7175AABF" w14:textId="77777777" w:rsidR="00865D8C" w:rsidRDefault="00865D8C" w:rsidP="00865D8C">
      <w:pPr>
        <w:autoSpaceDE w:val="0"/>
        <w:autoSpaceDN w:val="0"/>
        <w:adjustRightInd w:val="0"/>
        <w:rPr>
          <w:rFonts w:cstheme="minorHAnsi"/>
        </w:rPr>
      </w:pPr>
      <w:r>
        <w:rPr>
          <w:rFonts w:cstheme="minorHAnsi"/>
          <w:b/>
          <w:bCs/>
        </w:rPr>
        <w:t>Catégories en baisse</w:t>
      </w:r>
      <w:r>
        <w:rPr>
          <w:rFonts w:ascii="Calibri" w:hAnsi="Calibri" w:cs="Calibri"/>
          <w:b/>
          <w:bCs/>
        </w:rPr>
        <w:t> </w:t>
      </w:r>
      <w:r>
        <w:rPr>
          <w:rFonts w:cstheme="minorHAnsi"/>
          <w:b/>
          <w:bCs/>
        </w:rPr>
        <w:t>:</w:t>
      </w:r>
    </w:p>
    <w:p w14:paraId="4A245D65" w14:textId="66DF7E09" w:rsidR="00865D8C" w:rsidRDefault="00865D8C" w:rsidP="003F57EA">
      <w:pPr>
        <w:pStyle w:val="ListParagraph"/>
        <w:numPr>
          <w:ilvl w:val="0"/>
          <w:numId w:val="84"/>
        </w:numPr>
        <w:autoSpaceDE w:val="0"/>
        <w:autoSpaceDN w:val="0"/>
        <w:adjustRightInd w:val="0"/>
        <w:rPr>
          <w:rFonts w:cstheme="minorHAnsi"/>
        </w:rPr>
      </w:pPr>
      <w:r>
        <w:rPr>
          <w:rFonts w:cstheme="minorHAnsi"/>
        </w:rPr>
        <w:t>Dérèglement des saisons/du climat (10</w:t>
      </w:r>
      <w:r w:rsidR="006518EF">
        <w:rPr>
          <w:rFonts w:cstheme="minorHAnsi"/>
        </w:rPr>
        <w:t>%</w:t>
      </w:r>
      <w:r>
        <w:rPr>
          <w:rFonts w:cstheme="minorHAnsi"/>
        </w:rPr>
        <w:t xml:space="preserve"> en 2013 → 4</w:t>
      </w:r>
      <w:r w:rsidR="006518EF">
        <w:rPr>
          <w:rFonts w:cstheme="minorHAnsi"/>
        </w:rPr>
        <w:t>%</w:t>
      </w:r>
      <w:r>
        <w:rPr>
          <w:rFonts w:cstheme="minorHAnsi"/>
        </w:rPr>
        <w:t xml:space="preserve"> en 2022)</w:t>
      </w:r>
    </w:p>
    <w:p w14:paraId="701FB6D8"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Rafraichissement des températures (÷ 5)</w:t>
      </w:r>
    </w:p>
    <w:p w14:paraId="0BB65D6E"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 xml:space="preserve">Montée progressive des eaux / Érosion côtière </w:t>
      </w:r>
    </w:p>
    <w:p w14:paraId="6E2AFA3C" w14:textId="77777777" w:rsidR="00865D8C" w:rsidRDefault="00865D8C" w:rsidP="003F57EA">
      <w:pPr>
        <w:pStyle w:val="ListParagraph"/>
        <w:numPr>
          <w:ilvl w:val="0"/>
          <w:numId w:val="84"/>
        </w:numPr>
        <w:autoSpaceDE w:val="0"/>
        <w:autoSpaceDN w:val="0"/>
        <w:adjustRightInd w:val="0"/>
        <w:rPr>
          <w:rFonts w:cstheme="minorHAnsi"/>
        </w:rPr>
      </w:pPr>
      <w:r>
        <w:rPr>
          <w:rFonts w:cstheme="minorHAnsi"/>
        </w:rPr>
        <w:t xml:space="preserve">Qualité de l’air / maladies respiratoires </w:t>
      </w:r>
    </w:p>
    <w:p w14:paraId="6298DA65" w14:textId="6CD1B702" w:rsidR="00865D8C" w:rsidRPr="00865D8C" w:rsidRDefault="00865D8C" w:rsidP="003F57EA">
      <w:pPr>
        <w:pStyle w:val="ListParagraph"/>
        <w:numPr>
          <w:ilvl w:val="0"/>
          <w:numId w:val="84"/>
        </w:numPr>
        <w:autoSpaceDE w:val="0"/>
        <w:autoSpaceDN w:val="0"/>
        <w:adjustRightInd w:val="0"/>
        <w:rPr>
          <w:rFonts w:cstheme="minorHAnsi"/>
        </w:rPr>
      </w:pPr>
      <w:r>
        <w:rPr>
          <w:rFonts w:cstheme="minorHAnsi"/>
        </w:rPr>
        <w:t>Qualité des produits agricoles / intoxications alimentaires</w:t>
      </w:r>
    </w:p>
    <w:p w14:paraId="1CFF4DDA" w14:textId="346127AE" w:rsidR="00865D8C" w:rsidRDefault="00865D8C" w:rsidP="003F57EA">
      <w:pPr>
        <w:pStyle w:val="Titre3Niveau3"/>
      </w:pPr>
      <w:bookmarkStart w:id="786" w:name="_Toc122084416"/>
      <w:bookmarkStart w:id="787" w:name="_Toc138342083"/>
      <w:r>
        <w:t>Une prise de conscience qui génère une forte attente vis-à-vis des pouvoirs publics</w:t>
      </w:r>
      <w:bookmarkEnd w:id="786"/>
      <w:bookmarkEnd w:id="787"/>
    </w:p>
    <w:p w14:paraId="095A7306" w14:textId="0EDE68F7" w:rsidR="00865D8C" w:rsidRDefault="00865D8C" w:rsidP="00865D8C">
      <w:pPr>
        <w:pStyle w:val="ListParagraph"/>
        <w:ind w:left="0"/>
      </w:pPr>
      <w:r>
        <w:t>Cette prise de conscience se traduit dans les attentes des français vis-à-vis des pouvoirs publics. Fin 2022, 33</w:t>
      </w:r>
      <w:r w:rsidR="006518EF">
        <w:rPr>
          <w:rFonts w:ascii="Calibri" w:hAnsi="Calibri" w:cs="Calibri"/>
        </w:rPr>
        <w:t>%</w:t>
      </w:r>
      <w:r>
        <w:t xml:space="preserve"> des Français considèrent que l’environnement et la transition écologique est un enjeu important pour la France. Le sujet se place ainsi en troisième position, après la hausse des prix (68%) et la santé publique (36</w:t>
      </w:r>
      <w:r w:rsidR="006518EF">
        <w:rPr>
          <w:rFonts w:ascii="Calibri" w:hAnsi="Calibri" w:cs="Calibri"/>
        </w:rPr>
        <w:t>%</w:t>
      </w:r>
      <w:r>
        <w:t xml:space="preserve">). </w:t>
      </w:r>
    </w:p>
    <w:p w14:paraId="74058E0E" w14:textId="28D6E482" w:rsidR="00865D8C" w:rsidRPr="00865D8C" w:rsidRDefault="00865D8C" w:rsidP="00865D8C">
      <w:pPr>
        <w:pStyle w:val="ListParagraph"/>
        <w:ind w:left="0"/>
        <w:rPr>
          <w:highlight w:val="yellow"/>
        </w:rPr>
      </w:pPr>
      <w:r>
        <w:t>Sur les mesures destinées à réduire les émissions de gaz à effet de serre, 74</w:t>
      </w:r>
      <w:r w:rsidR="006518EF">
        <w:rPr>
          <w:rFonts w:ascii="Calibri" w:hAnsi="Calibri" w:cs="Calibri"/>
        </w:rPr>
        <w:t>%</w:t>
      </w:r>
      <w:r>
        <w:t xml:space="preserve"> des Français trouvent souhaitable ou très souhaitable d’obliger les propriétaires à rénover et à isoler les logements lors d’une vente ou d’une location. 67</w:t>
      </w:r>
      <w:r w:rsidR="006518EF">
        <w:rPr>
          <w:rFonts w:ascii="Calibri" w:hAnsi="Calibri" w:cs="Calibri"/>
        </w:rPr>
        <w:t>%</w:t>
      </w:r>
      <w:r>
        <w:t xml:space="preserve"> sont favorables à une taxation plus importante des véhicules les plus émetteurs de gaz à effet de serre et 51</w:t>
      </w:r>
      <w:r w:rsidR="006518EF">
        <w:rPr>
          <w:rFonts w:ascii="Calibri" w:hAnsi="Calibri" w:cs="Calibri"/>
        </w:rPr>
        <w:t>%</w:t>
      </w:r>
      <w:r>
        <w:t xml:space="preserve"> à une augmentation de la taxe carbone.</w:t>
      </w:r>
    </w:p>
    <w:p w14:paraId="14279B83" w14:textId="77777777" w:rsidR="00865D8C" w:rsidRDefault="00865D8C" w:rsidP="003F57EA">
      <w:pPr>
        <w:pStyle w:val="Titre3Niveau3"/>
      </w:pPr>
      <w:bookmarkStart w:id="788" w:name="_Toc122084417"/>
      <w:bookmarkStart w:id="789" w:name="_Toc138342084"/>
      <w:r>
        <w:t>Le développement des énergies renouvelables, grande priorité pour les Français</w:t>
      </w:r>
      <w:bookmarkEnd w:id="788"/>
      <w:bookmarkEnd w:id="789"/>
    </w:p>
    <w:p w14:paraId="764E4C73" w14:textId="570909AB" w:rsidR="00865D8C" w:rsidRDefault="00865D8C" w:rsidP="00865D8C">
      <w:pPr>
        <w:spacing w:before="240" w:after="240"/>
      </w:pPr>
      <w:r>
        <w:t>Mesurer le degré de conscientisation des Français sur l’importance de lutter contre le changement climatique à travers leur opinion sur les énergies renouvelables devient fondamental dans le contexte actuel. Fin 2022, 73</w:t>
      </w:r>
      <w:r w:rsidR="006518EF">
        <w:t>%</w:t>
      </w:r>
      <w:r>
        <w:t xml:space="preserve"> des Français souhaitent que le gouvernement traite le développement des énergies renouvelables en priorité pour assurer l’indépendance énergétique de la France.</w:t>
      </w:r>
    </w:p>
    <w:p w14:paraId="34D7CA7E" w14:textId="532F0530" w:rsidR="00865D8C" w:rsidRDefault="00865D8C" w:rsidP="00865D8C">
      <w:pPr>
        <w:spacing w:before="240" w:after="240"/>
      </w:pPr>
      <w:r>
        <w:t>Les Français sont favorables (90</w:t>
      </w:r>
      <w:r w:rsidR="006518EF">
        <w:t>%</w:t>
      </w:r>
      <w:r>
        <w:t>) et même très favorables (57</w:t>
      </w:r>
      <w:r w:rsidR="006518EF">
        <w:t>%</w:t>
      </w:r>
      <w:r>
        <w:t>) au développement des énergies renouvelables. C’est avant tout le solaire (37</w:t>
      </w:r>
      <w:r w:rsidR="006518EF">
        <w:t>%</w:t>
      </w:r>
      <w:r>
        <w:t>) que les Français veulent voir se développer en priorité, devant l’énergie des mers (25</w:t>
      </w:r>
      <w:r w:rsidR="006518EF">
        <w:t>%</w:t>
      </w:r>
      <w:r>
        <w:t>), l’éolien (16</w:t>
      </w:r>
      <w:r w:rsidR="006518EF">
        <w:t>%</w:t>
      </w:r>
      <w:r>
        <w:t>), la géothermie (16</w:t>
      </w:r>
      <w:r w:rsidR="006518EF">
        <w:t>%</w:t>
      </w:r>
      <w:r>
        <w:t>), l’hydraulique (15</w:t>
      </w:r>
      <w:r w:rsidR="006518EF">
        <w:t>%</w:t>
      </w:r>
      <w:r>
        <w:t>) et la biomasse pour carburants (13</w:t>
      </w:r>
      <w:r w:rsidR="006518EF">
        <w:t>%</w:t>
      </w:r>
      <w:r>
        <w:t>). Par ailleurs, 32</w:t>
      </w:r>
      <w:r w:rsidR="006518EF">
        <w:rPr>
          <w:rFonts w:ascii="Calibri" w:hAnsi="Calibri" w:cs="Calibri"/>
        </w:rPr>
        <w:t>%</w:t>
      </w:r>
      <w:r>
        <w:t xml:space="preserve"> des Français souhaitent que le parc nucléaire soit développé grâce à une nouvelle génération de réacteurs. Les avantages évoqués par les Français pour le développement des énergies renouvelables sont avant tout écologiques (ils contribuent à réduire la pollution de l’air, des sols et de l’eau et à lutter contre le changement climatique, en plus d’être des sources renouvelables qui seront toujours disponibles).</w:t>
      </w:r>
    </w:p>
    <w:p w14:paraId="55802135" w14:textId="77777777" w:rsidR="00865D8C" w:rsidRDefault="00865D8C" w:rsidP="003F57EA">
      <w:pPr>
        <w:pStyle w:val="Titre3Niveau3"/>
      </w:pPr>
      <w:bookmarkStart w:id="790" w:name="_Toc138342085"/>
      <w:r>
        <w:t>Une information objective et documentée à la base de la sensibilisation</w:t>
      </w:r>
      <w:bookmarkEnd w:id="790"/>
    </w:p>
    <w:p w14:paraId="2F86DB80" w14:textId="2903F8DD" w:rsidR="00865D8C" w:rsidRDefault="00865D8C" w:rsidP="00865D8C">
      <w:pPr>
        <w:spacing w:before="240" w:after="240"/>
        <w:rPr>
          <w:rFonts w:cstheme="minorHAnsi"/>
        </w:rPr>
      </w:pPr>
      <w:r w:rsidRPr="00D62700">
        <w:rPr>
          <w:rFonts w:cstheme="minorHAnsi"/>
        </w:rPr>
        <w:t>La prise de conscience par les citoyens des enjeux du changement climatique passe par une infor</w:t>
      </w:r>
      <w:r>
        <w:rPr>
          <w:rFonts w:cstheme="minorHAnsi"/>
        </w:rPr>
        <w:t xml:space="preserve">mation objective et documentée. </w:t>
      </w:r>
      <w:r w:rsidRPr="00D62700">
        <w:rPr>
          <w:rFonts w:cstheme="minorHAnsi"/>
        </w:rPr>
        <w:t>C'est en ce sens que le Commissariat général au développement durable (CGDD)</w:t>
      </w:r>
      <w:r>
        <w:rPr>
          <w:rFonts w:cstheme="minorHAnsi"/>
        </w:rPr>
        <w:t xml:space="preserve"> du Ministère en charge de l’environnement</w:t>
      </w:r>
      <w:r w:rsidRPr="00D62700">
        <w:rPr>
          <w:rFonts w:cstheme="minorHAnsi"/>
        </w:rPr>
        <w:t>, conformément à sa mission d'analyse et de diffusion de données et de connaissances, s'emploie à publier régulièrement - en les analysant</w:t>
      </w:r>
      <w:r>
        <w:rPr>
          <w:rFonts w:cstheme="minorHAnsi"/>
        </w:rPr>
        <w:t xml:space="preserve"> </w:t>
      </w:r>
      <w:r w:rsidRPr="00D62700">
        <w:rPr>
          <w:rFonts w:cstheme="minorHAnsi"/>
        </w:rPr>
        <w:t>-</w:t>
      </w:r>
      <w:r w:rsidR="00260E0B">
        <w:rPr>
          <w:rFonts w:ascii="Calibri" w:hAnsi="Calibri" w:cs="Calibri"/>
        </w:rPr>
        <w:t xml:space="preserve"> </w:t>
      </w:r>
      <w:r w:rsidRPr="00D62700">
        <w:rPr>
          <w:rFonts w:cstheme="minorHAnsi"/>
        </w:rPr>
        <w:t>les principales</w:t>
      </w:r>
      <w:r w:rsidRPr="00D62700">
        <w:rPr>
          <w:rFonts w:ascii="Calibri" w:hAnsi="Calibri" w:cs="Calibri"/>
        </w:rPr>
        <w:t> </w:t>
      </w:r>
      <w:r w:rsidRPr="00D62700">
        <w:rPr>
          <w:rFonts w:cstheme="minorHAnsi"/>
        </w:rPr>
        <w:t>données disponibles liées</w:t>
      </w:r>
      <w:r>
        <w:rPr>
          <w:rFonts w:cstheme="minorHAnsi"/>
        </w:rPr>
        <w:t xml:space="preserve"> à ces enjeux. </w:t>
      </w:r>
      <w:r w:rsidRPr="00D62700">
        <w:rPr>
          <w:rFonts w:cstheme="minorHAnsi"/>
        </w:rPr>
        <w:t>Il met à disposition chaque année les "Chiffres</w:t>
      </w:r>
      <w:r>
        <w:rPr>
          <w:rFonts w:cstheme="minorHAnsi"/>
        </w:rPr>
        <w:t xml:space="preserve"> clés du climat", établis par son</w:t>
      </w:r>
      <w:r w:rsidRPr="00D62700">
        <w:rPr>
          <w:rFonts w:cstheme="minorHAnsi"/>
        </w:rPr>
        <w:t xml:space="preserve"> Service des données et études statistiques (en collaboration avec la Direction générale d</w:t>
      </w:r>
      <w:r>
        <w:rPr>
          <w:rFonts w:cstheme="minorHAnsi"/>
        </w:rPr>
        <w:t xml:space="preserve">e l'énergie et du climat </w:t>
      </w:r>
      <w:r w:rsidRPr="00D62700">
        <w:rPr>
          <w:rFonts w:cstheme="minorHAnsi"/>
        </w:rPr>
        <w:t>et l'</w:t>
      </w:r>
      <w:r w:rsidRPr="00865D8C">
        <w:rPr>
          <w:rFonts w:cstheme="minorHAnsi"/>
          <w:i/>
        </w:rPr>
        <w:t>Institute for Climate Economics</w:t>
      </w:r>
      <w:r w:rsidRPr="00D62700">
        <w:rPr>
          <w:rFonts w:cstheme="minorHAnsi"/>
        </w:rPr>
        <w:t>),</w:t>
      </w:r>
      <w:r w:rsidR="00260E0B">
        <w:rPr>
          <w:rFonts w:ascii="Calibri" w:hAnsi="Calibri" w:cs="Calibri"/>
        </w:rPr>
        <w:t xml:space="preserve"> </w:t>
      </w:r>
      <w:r w:rsidRPr="00D62700">
        <w:rPr>
          <w:rFonts w:cstheme="minorHAnsi"/>
        </w:rPr>
        <w:t>qui</w:t>
      </w:r>
      <w:r w:rsidR="00260E0B">
        <w:rPr>
          <w:rFonts w:ascii="Calibri" w:hAnsi="Calibri" w:cs="Calibri"/>
        </w:rPr>
        <w:t xml:space="preserve"> </w:t>
      </w:r>
      <w:r w:rsidRPr="00D62700">
        <w:rPr>
          <w:rFonts w:cstheme="minorHAnsi"/>
        </w:rPr>
        <w:t>offrent</w:t>
      </w:r>
      <w:r w:rsidR="00260E0B">
        <w:rPr>
          <w:rFonts w:ascii="Calibri" w:hAnsi="Calibri" w:cs="Calibri"/>
        </w:rPr>
        <w:t xml:space="preserve"> </w:t>
      </w:r>
      <w:r w:rsidRPr="00D62700">
        <w:rPr>
          <w:rFonts w:cstheme="minorHAnsi"/>
        </w:rPr>
        <w:t>un panorama des principales données liées au changement climatique : la réalité de celui-ci et ses impacts, les émissions de gaz à effet de serre</w:t>
      </w:r>
      <w:r>
        <w:rPr>
          <w:rFonts w:cstheme="minorHAnsi"/>
        </w:rPr>
        <w:t xml:space="preserve"> (GES)</w:t>
      </w:r>
      <w:r w:rsidRPr="00D62700">
        <w:rPr>
          <w:rFonts w:cstheme="minorHAnsi"/>
        </w:rPr>
        <w:t xml:space="preserve"> à l’échelon mondial, européen et national, ainsi que la répartition sectorielle de ces émissions et leurs évolutions, une estimation de l’empreinte carbone de la France et un point sur les principales politiques climatiques men</w:t>
      </w:r>
      <w:r>
        <w:rPr>
          <w:rFonts w:cstheme="minorHAnsi"/>
        </w:rPr>
        <w:t>ées pour répondre à ces enjeux.</w:t>
      </w:r>
    </w:p>
    <w:p w14:paraId="639F90E5" w14:textId="6FBA2D9C" w:rsidR="00865D8C" w:rsidRDefault="00865D8C" w:rsidP="00865D8C">
      <w:pPr>
        <w:spacing w:before="240" w:after="240"/>
        <w:rPr>
          <w:rFonts w:ascii="Calibri" w:hAnsi="Calibri" w:cs="Calibri"/>
        </w:rPr>
      </w:pPr>
      <w:r w:rsidRPr="00D62700">
        <w:rPr>
          <w:rFonts w:cstheme="minorHAnsi"/>
        </w:rPr>
        <w:t xml:space="preserve">Le CGDD publie également des études plus détaillées et plus approfondies sur les évolutions des émissions de GES et de l'empreinte carbone. Ainsi, par exemple, en 2022, il a publié une étude sur les facteurs d'évolutions des émissions de </w:t>
      </w:r>
      <w:r w:rsidR="007F09F7">
        <w:t>CO</w:t>
      </w:r>
      <w:r w:rsidR="007F09F7" w:rsidRPr="007F09F7">
        <w:rPr>
          <w:vertAlign w:val="subscript"/>
        </w:rPr>
        <w:t>2</w:t>
      </w:r>
      <w:r w:rsidRPr="00D62700">
        <w:rPr>
          <w:rFonts w:cstheme="minorHAnsi"/>
        </w:rPr>
        <w:t xml:space="preserve"> liées à l'énergie de 1990 à 2020 (Datalab, septembre 2022), et un rapport de l'Observatoire national de la rénovation énergétique (ONRE) sur les réductions des émissions de </w:t>
      </w:r>
      <w:r>
        <w:rPr>
          <w:rFonts w:cstheme="minorHAnsi"/>
        </w:rPr>
        <w:t>GES</w:t>
      </w:r>
      <w:r w:rsidRPr="00D62700">
        <w:rPr>
          <w:rFonts w:cstheme="minorHAnsi"/>
        </w:rPr>
        <w:t xml:space="preserve"> liées aux rénovations (résultats de l'enquête TREMI) (septembre 2022). Les estimations de l'empreinte carbone de la France font également l'objet de publications étayées (dernière en date, en novembre 2022, sur l'évolution de l'empreinte de 1995 à 2021).</w:t>
      </w:r>
    </w:p>
    <w:p w14:paraId="7B868165" w14:textId="77777777" w:rsidR="00865D8C" w:rsidRDefault="00865D8C" w:rsidP="00865D8C">
      <w:pPr>
        <w:spacing w:before="240" w:after="240"/>
        <w:rPr>
          <w:rFonts w:ascii="Calibri" w:hAnsi="Calibri" w:cs="Calibri"/>
        </w:rPr>
      </w:pPr>
      <w:r>
        <w:rPr>
          <w:rFonts w:cstheme="minorHAnsi"/>
        </w:rPr>
        <w:t xml:space="preserve">Le </w:t>
      </w:r>
      <w:hyperlink r:id="rId143" w:history="1">
        <w:r>
          <w:rPr>
            <w:rStyle w:val="Hyperlink"/>
            <w:rFonts w:cstheme="minorHAnsi"/>
          </w:rPr>
          <w:t>rapport quadriennal sur l’état de l’environnement en France</w:t>
        </w:r>
      </w:hyperlink>
      <w:r>
        <w:rPr>
          <w:rFonts w:cstheme="minorHAnsi"/>
        </w:rPr>
        <w:t xml:space="preserve"> et le </w:t>
      </w:r>
      <w:hyperlink r:id="rId144" w:history="1">
        <w:r>
          <w:rPr>
            <w:rStyle w:val="Hyperlink"/>
            <w:rFonts w:cstheme="minorHAnsi"/>
          </w:rPr>
          <w:t>bilan annuel environnemental de la France</w:t>
        </w:r>
      </w:hyperlink>
      <w:r>
        <w:rPr>
          <w:rFonts w:cstheme="minorHAnsi"/>
        </w:rPr>
        <w:t xml:space="preserve"> abordent également les questions liées au changement climatique et participent à la diffusion de l’information auprès du plus grand nombre.</w:t>
      </w:r>
    </w:p>
    <w:p w14:paraId="721F0895" w14:textId="7654BE1B" w:rsidR="00865D8C" w:rsidRDefault="00865D8C" w:rsidP="00865D8C">
      <w:pPr>
        <w:spacing w:before="240" w:after="240"/>
        <w:rPr>
          <w:rFonts w:cstheme="minorHAnsi"/>
        </w:rPr>
      </w:pPr>
      <w:r w:rsidRPr="00D62700">
        <w:rPr>
          <w:rFonts w:cstheme="minorHAnsi"/>
        </w:rPr>
        <w:t>L'ensemble des publications sur la thématique du changement climatique est</w:t>
      </w:r>
      <w:r w:rsidR="00260E0B">
        <w:rPr>
          <w:rFonts w:ascii="Calibri" w:hAnsi="Calibri" w:cs="Calibri"/>
        </w:rPr>
        <w:t xml:space="preserve"> </w:t>
      </w:r>
      <w:r w:rsidRPr="00D62700">
        <w:rPr>
          <w:rFonts w:cstheme="minorHAnsi"/>
        </w:rPr>
        <w:t xml:space="preserve">mis en ligne sur le site du service des données et études statistiques : </w:t>
      </w:r>
      <w:hyperlink r:id="rId145" w:history="1">
        <w:r w:rsidRPr="00D62700">
          <w:rPr>
            <w:rFonts w:cstheme="minorHAnsi"/>
          </w:rPr>
          <w:t>https://www.statistiques.developpement-durable.gouv.fr/changement-climatique</w:t>
        </w:r>
      </w:hyperlink>
      <w:r w:rsidRPr="00D62700">
        <w:rPr>
          <w:rFonts w:cstheme="minorHAnsi"/>
        </w:rPr>
        <w:t xml:space="preserve">. Les médias notamment s'y réfèrent très souvent. Elles font par ailleurs l'objet d'une valorisation sous différents formats accessibles au grand public : infographies et vidéos notamment. </w:t>
      </w:r>
    </w:p>
    <w:p w14:paraId="2B9936F0" w14:textId="4C1DD2AF" w:rsidR="00865D8C" w:rsidRDefault="00865D8C" w:rsidP="00865D8C">
      <w:pPr>
        <w:spacing w:before="240" w:after="240"/>
        <w:rPr>
          <w:rFonts w:cstheme="minorHAnsi"/>
        </w:rPr>
      </w:pPr>
      <w:r w:rsidRPr="00D62700">
        <w:rPr>
          <w:rFonts w:cstheme="minorHAnsi"/>
        </w:rPr>
        <w:t>De plus, le site d'information environnementale</w:t>
      </w:r>
      <w:r w:rsidR="00260E0B">
        <w:rPr>
          <w:rFonts w:ascii="Calibri" w:hAnsi="Calibri" w:cs="Calibri"/>
        </w:rPr>
        <w:t xml:space="preserve"> </w:t>
      </w:r>
      <w:r w:rsidRPr="00D62700">
        <w:rPr>
          <w:rFonts w:cstheme="minorHAnsi"/>
        </w:rPr>
        <w:t>notre-environnement [</w:t>
      </w:r>
      <w:hyperlink r:id="rId146" w:history="1">
        <w:r w:rsidRPr="00D62700">
          <w:rPr>
            <w:rFonts w:cstheme="minorHAnsi"/>
          </w:rPr>
          <w:t>https://www.notre-environnement.gouv.fr/</w:t>
        </w:r>
      </w:hyperlink>
      <w:r w:rsidRPr="00D62700">
        <w:rPr>
          <w:rFonts w:cstheme="minorHAnsi"/>
        </w:rPr>
        <w:t xml:space="preserve"> ]</w:t>
      </w:r>
      <w:r w:rsidR="00260E0B">
        <w:rPr>
          <w:rFonts w:ascii="Calibri" w:hAnsi="Calibri" w:cs="Calibri"/>
        </w:rPr>
        <w:t xml:space="preserve"> </w:t>
      </w:r>
      <w:r w:rsidRPr="00D62700">
        <w:rPr>
          <w:rFonts w:cstheme="minorHAnsi"/>
        </w:rPr>
        <w:t>lanc</w:t>
      </w:r>
      <w:r w:rsidRPr="00D62700">
        <w:rPr>
          <w:rFonts w:cs="Marianne"/>
        </w:rPr>
        <w:t>é</w:t>
      </w:r>
      <w:r w:rsidRPr="00D62700">
        <w:rPr>
          <w:rFonts w:cstheme="minorHAnsi"/>
        </w:rPr>
        <w:t xml:space="preserve"> par le CGDD en 2021, donne au changement climatique une place de premier plan parmi ses th</w:t>
      </w:r>
      <w:r w:rsidRPr="00D62700">
        <w:rPr>
          <w:rFonts w:cs="Marianne"/>
        </w:rPr>
        <w:t>é</w:t>
      </w:r>
      <w:r w:rsidRPr="00D62700">
        <w:rPr>
          <w:rFonts w:cstheme="minorHAnsi"/>
        </w:rPr>
        <w:t>matiques en informant le citoyen sur les causes et les cons</w:t>
      </w:r>
      <w:r w:rsidRPr="00D62700">
        <w:rPr>
          <w:rFonts w:cs="Marianne"/>
        </w:rPr>
        <w:t>é</w:t>
      </w:r>
      <w:r w:rsidRPr="00D62700">
        <w:rPr>
          <w:rFonts w:cstheme="minorHAnsi"/>
        </w:rPr>
        <w:t>quences du changement climatique et en pr</w:t>
      </w:r>
      <w:r w:rsidRPr="00D62700">
        <w:rPr>
          <w:rFonts w:cs="Marianne"/>
        </w:rPr>
        <w:t>é</w:t>
      </w:r>
      <w:r w:rsidRPr="00D62700">
        <w:rPr>
          <w:rFonts w:cstheme="minorHAnsi"/>
        </w:rPr>
        <w:t>sentant les politiques d'att</w:t>
      </w:r>
      <w:r w:rsidRPr="00D62700">
        <w:rPr>
          <w:rFonts w:cs="Marianne"/>
        </w:rPr>
        <w:t>é</w:t>
      </w:r>
      <w:r w:rsidRPr="00D62700">
        <w:rPr>
          <w:rFonts w:cstheme="minorHAnsi"/>
        </w:rPr>
        <w:t>nuation et d'adaptation. Fiches thématiques, brèves d'actualités et ressources documentaires sont autant de formats qui permettent d'éclairer les citoyens.</w:t>
      </w:r>
    </w:p>
    <w:p w14:paraId="2FDD63F0" w14:textId="77777777" w:rsidR="00865D8C" w:rsidRDefault="00865D8C" w:rsidP="00865D8C">
      <w:pPr>
        <w:spacing w:before="240" w:after="240"/>
        <w:rPr>
          <w:rFonts w:cstheme="minorHAnsi"/>
        </w:rPr>
      </w:pPr>
      <w:r>
        <w:rPr>
          <w:rFonts w:cstheme="minorHAnsi"/>
        </w:rPr>
        <w:t xml:space="preserve">Le </w:t>
      </w:r>
      <w:hyperlink r:id="rId147" w:history="1">
        <w:r>
          <w:rPr>
            <w:rStyle w:val="Hyperlink"/>
            <w:rFonts w:cstheme="minorHAnsi"/>
          </w:rPr>
          <w:t>centre de ressources pour l’adaptation au changement climatique</w:t>
        </w:r>
      </w:hyperlink>
      <w:r>
        <w:rPr>
          <w:rFonts w:cstheme="minorHAnsi"/>
        </w:rPr>
        <w:t xml:space="preserve"> et les travaux de </w:t>
      </w:r>
      <w:hyperlink r:id="rId148" w:history="1">
        <w:r>
          <w:rPr>
            <w:rStyle w:val="Hyperlink"/>
            <w:rFonts w:cstheme="minorHAnsi"/>
          </w:rPr>
          <w:t>l’observatoire national sur les effets du changement climatique</w:t>
        </w:r>
      </w:hyperlink>
      <w:r>
        <w:rPr>
          <w:rFonts w:cstheme="minorHAnsi"/>
        </w:rPr>
        <w:t xml:space="preserve"> visent les mêmes objectifs.</w:t>
      </w:r>
    </w:p>
    <w:p w14:paraId="5B4FC45B" w14:textId="77777777" w:rsidR="00865D8C" w:rsidRDefault="00865D8C" w:rsidP="003F57EA">
      <w:pPr>
        <w:pStyle w:val="Titre3Niveau3"/>
      </w:pPr>
      <w:bookmarkStart w:id="791" w:name="_Toc138342086"/>
      <w:r w:rsidRPr="00FE09E7">
        <w:t>La publicité et les communication commerciales</w:t>
      </w:r>
      <w:r w:rsidRPr="00E22CF8">
        <w:rPr>
          <w:rFonts w:ascii="Calibri" w:hAnsi="Calibri" w:cs="Calibri"/>
        </w:rPr>
        <w:t> </w:t>
      </w:r>
      <w:r w:rsidRPr="00FE09E7">
        <w:t>: outil majeur de la transition</w:t>
      </w:r>
      <w:r>
        <w:t xml:space="preserve"> écologique</w:t>
      </w:r>
      <w:bookmarkEnd w:id="791"/>
    </w:p>
    <w:p w14:paraId="1E2CAC8E" w14:textId="77777777" w:rsidR="00865D8C" w:rsidRDefault="00865D8C" w:rsidP="00865D8C">
      <w:r>
        <w:t>Depuis 2021, date de promulgation de la loi n°2021-1104 du 22 août 2021 portant lutte contre le dérèglement climatique et renforcement de la résilience face à ses effets, dite loi «</w:t>
      </w:r>
      <w:r>
        <w:rPr>
          <w:rFonts w:ascii="Calibri" w:hAnsi="Calibri" w:cs="Calibri"/>
        </w:rPr>
        <w:t> </w:t>
      </w:r>
      <w:r>
        <w:t>Climat et Résilience</w:t>
      </w:r>
      <w:r>
        <w:rPr>
          <w:rFonts w:ascii="Calibri" w:hAnsi="Calibri" w:cs="Calibri"/>
        </w:rPr>
        <w:t> </w:t>
      </w:r>
      <w:r>
        <w:rPr>
          <w:rFonts w:cs="Marianne"/>
        </w:rPr>
        <w:t>»</w:t>
      </w:r>
      <w:r>
        <w:t>, l’importance de la publicité et de sa meilleure participation aux changements nécessaires de consommation est inscrite dans différents outils de politique publique.</w:t>
      </w:r>
    </w:p>
    <w:p w14:paraId="32E480BB" w14:textId="77777777" w:rsidR="00865D8C" w:rsidRDefault="00865D8C" w:rsidP="00865D8C"/>
    <w:p w14:paraId="032B41CE" w14:textId="77777777" w:rsidR="00865D8C" w:rsidRDefault="00865D8C" w:rsidP="00865D8C">
      <w:r>
        <w:t>En matière d'information et de sensibilisation du public, plusieurs dispositifs ont été mis en place, notamment dans le domaine de la publicité, suite à l'adoption de cette loi. L’un des objectifs de la loi est d’encadrer les communications commerciales des produits ayant un impact excessif sur le climat, tout en permettant une meilleure information des consommateurs et en incitant l’ensemble des acteurs (annonceurs, agences de communication, régies, médias…) à faire évoluer leurs pratiques.</w:t>
      </w:r>
    </w:p>
    <w:p w14:paraId="2D883455" w14:textId="77777777" w:rsidR="00865D8C" w:rsidRDefault="00865D8C" w:rsidP="00865D8C">
      <w:r>
        <w:br/>
        <w:t xml:space="preserve">La loi interdit : </w:t>
      </w:r>
    </w:p>
    <w:p w14:paraId="5D4C7912" w14:textId="77777777" w:rsidR="00865D8C" w:rsidRDefault="00865D8C" w:rsidP="003F57EA">
      <w:pPr>
        <w:pStyle w:val="ListParagraph"/>
        <w:numPr>
          <w:ilvl w:val="0"/>
          <w:numId w:val="84"/>
        </w:numPr>
        <w:spacing w:before="120"/>
        <w:ind w:left="425" w:hanging="357"/>
        <w:contextualSpacing w:val="0"/>
      </w:pPr>
      <w:r>
        <w:t>La publicité sur la commercialisation et la promotion des énergies fossiles en raison de leur lien direct avec les émissions de gaz à effet de serre, à compter d’août 2022 ;</w:t>
      </w:r>
    </w:p>
    <w:p w14:paraId="59CD905D" w14:textId="1A70B621" w:rsidR="00865D8C" w:rsidRDefault="00865D8C" w:rsidP="003F57EA">
      <w:pPr>
        <w:pStyle w:val="ListParagraph"/>
        <w:numPr>
          <w:ilvl w:val="0"/>
          <w:numId w:val="84"/>
        </w:numPr>
        <w:spacing w:before="120"/>
        <w:ind w:left="425" w:hanging="357"/>
        <w:contextualSpacing w:val="0"/>
      </w:pPr>
      <w:r>
        <w:t xml:space="preserve">À compter de 2028, la publicité relative à la vente ou faisant la promotion de l’achat des voitures particulières neuves fortement émettrices de </w:t>
      </w:r>
      <w:r w:rsidR="007F09F7">
        <w:t>CO</w:t>
      </w:r>
      <w:r w:rsidR="007F09F7" w:rsidRPr="007F09F7">
        <w:rPr>
          <w:vertAlign w:val="subscript"/>
        </w:rPr>
        <w:t>2</w:t>
      </w:r>
      <w:r>
        <w:t xml:space="preserve"> ;</w:t>
      </w:r>
    </w:p>
    <w:p w14:paraId="3E281E0C" w14:textId="77777777" w:rsidR="00865D8C" w:rsidRDefault="00865D8C" w:rsidP="003F57EA">
      <w:pPr>
        <w:pStyle w:val="ListParagraph"/>
        <w:numPr>
          <w:ilvl w:val="0"/>
          <w:numId w:val="84"/>
        </w:numPr>
        <w:spacing w:before="120"/>
        <w:ind w:left="425" w:hanging="357"/>
        <w:contextualSpacing w:val="0"/>
      </w:pPr>
      <w:r>
        <w:t>D’affirmer dans une publicité qu’un produit ou un service est neutre en carbone ou d’employer toute formulation de signification ou de portée équivalente, à moins que l’annonceur ne rende aisément disponible au public un bilan des émissions de gaz à effet de serre directes et indirectes du produit ou service et la démarche mise en place pour éviter, réduire et enfin compenser les émissions du produit ou service ;</w:t>
      </w:r>
    </w:p>
    <w:p w14:paraId="2415792B" w14:textId="77777777" w:rsidR="00865D8C" w:rsidRDefault="00865D8C" w:rsidP="003F57EA">
      <w:pPr>
        <w:pStyle w:val="ListParagraph"/>
        <w:numPr>
          <w:ilvl w:val="0"/>
          <w:numId w:val="84"/>
        </w:numPr>
        <w:spacing w:before="120"/>
        <w:ind w:left="425" w:hanging="357"/>
        <w:contextualSpacing w:val="0"/>
      </w:pPr>
      <w:r>
        <w:t>Les allégations dites « globalisantes », soit le fait d’affirmer qu’un produit ou service a un effet positif ou n’a pas d’incidence sur l’environnement ou qu’il est moins néfaste pour l’environnement.</w:t>
      </w:r>
    </w:p>
    <w:p w14:paraId="66D6330C" w14:textId="77777777" w:rsidR="00865D8C" w:rsidRDefault="00865D8C" w:rsidP="00865D8C"/>
    <w:p w14:paraId="427137B0" w14:textId="77777777" w:rsidR="00865D8C" w:rsidRDefault="00865D8C" w:rsidP="00865D8C">
      <w:r>
        <w:t xml:space="preserve">Ces aspects obligatoires sont également combinés à plusieurs démarches d'autorégulation des professionnels dans le domaine : </w:t>
      </w:r>
    </w:p>
    <w:p w14:paraId="0C723D19" w14:textId="77777777" w:rsidR="00865D8C" w:rsidRDefault="00865D8C" w:rsidP="00865D8C"/>
    <w:p w14:paraId="159E999D" w14:textId="526997D3" w:rsidR="00865D8C" w:rsidRDefault="00865D8C" w:rsidP="00865D8C">
      <w:r>
        <w:t xml:space="preserve">- </w:t>
      </w:r>
      <w:r w:rsidRPr="00EA6098">
        <w:rPr>
          <w:u w:val="single"/>
        </w:rPr>
        <w:t>Les contrats climat</w:t>
      </w:r>
      <w:r>
        <w:t xml:space="preserve"> : L’un des objectifs de la loi Climat et Résilience est de réduire significativement les communications commerciales des produits ayant un impact excessif sur le climat, tout en améliorant l’information des consommateurs et en incitant l’ensemble des acteurs à faire évoluer leurs pratiques (annonceurs, agences de communication, régies publicitaires, médias, etc). L’article 7 de la loi concerne l’obligation de déclaration sur une plateforme numérique par les entreprises commercialisant des produits ou services soumis à l’affichage environnemental obligatoire, à l’étiquette de classe énergétique ou de classe d’émissions de </w:t>
      </w:r>
      <w:r w:rsidR="007F09F7">
        <w:t>CO</w:t>
      </w:r>
      <w:r w:rsidR="007F09F7" w:rsidRPr="007F09F7">
        <w:rPr>
          <w:vertAlign w:val="subscript"/>
        </w:rPr>
        <w:t>2</w:t>
      </w:r>
      <w:r>
        <w:t xml:space="preserve"> et dont les dépenses publicitaires nettes enregistrées lors de leur dernier exercice comptable sont supérieures ou égales à 100 000 euros. Le Commissariat général au développement durable a mis en place cette plateforme dédiée à la déclaration des entreprises concernées et à la souscription volontaire d'un contrat climat. Cette plateforme est consultable sur publicite-responsable.ecologie.gouv.fr.</w:t>
      </w:r>
    </w:p>
    <w:p w14:paraId="0077D1FD" w14:textId="77777777" w:rsidR="00865D8C" w:rsidRDefault="00865D8C" w:rsidP="00865D8C">
      <w:r>
        <w:br/>
      </w:r>
      <w:r>
        <w:rPr>
          <w:rFonts w:ascii="Calibri" w:hAnsi="Calibri" w:cs="Calibri"/>
        </w:rPr>
        <w:t> </w:t>
      </w:r>
      <w:r>
        <w:t>- Le guide du Conseil National de la Consommation (CNC) relatif aux all</w:t>
      </w:r>
      <w:r>
        <w:rPr>
          <w:rFonts w:cs="Marianne"/>
        </w:rPr>
        <w:t>é</w:t>
      </w:r>
      <w:r>
        <w:t>gations environnementales : L'objectif de ce guide, r</w:t>
      </w:r>
      <w:r>
        <w:rPr>
          <w:rFonts w:cs="Marianne"/>
        </w:rPr>
        <w:t>é</w:t>
      </w:r>
      <w:r>
        <w:t>alis</w:t>
      </w:r>
      <w:r>
        <w:rPr>
          <w:rFonts w:cs="Marianne"/>
        </w:rPr>
        <w:t>é</w:t>
      </w:r>
      <w:r>
        <w:t xml:space="preserve"> </w:t>
      </w:r>
      <w:r>
        <w:rPr>
          <w:rFonts w:cs="Marianne"/>
        </w:rPr>
        <w:t>à</w:t>
      </w:r>
      <w:r>
        <w:t xml:space="preserve"> la fois par les professionnels et les consommateurs sous le pilotage de la DGCCRF et du CGDD est de lutter contre le greenwashing et d'encadrer l'usage des allégations environnementales non réglementées. Ce guide sera publié en début d'année 2023. Destiné aux consommateurs, ce guide entend donner des clés de compréhension des différentes allégations utilisées. Conçu également comme un outil de référence pour les professionnels, il doit leur permettre de communiquer de façon précise et fiable ainsi que de délivrer au consommateur des informations considérées comme pertinentes.</w:t>
      </w:r>
    </w:p>
    <w:p w14:paraId="7236356E" w14:textId="77777777" w:rsidR="001E2B1E" w:rsidRDefault="001E2B1E" w:rsidP="003F57EA">
      <w:pPr>
        <w:pStyle w:val="Titre2Niveau2"/>
        <w:numPr>
          <w:ilvl w:val="0"/>
          <w:numId w:val="87"/>
        </w:numPr>
      </w:pPr>
      <w:bookmarkStart w:id="792" w:name="_Toc138342087"/>
      <w:r>
        <w:t xml:space="preserve">Éducation et </w:t>
      </w:r>
      <w:r w:rsidRPr="00724D8F">
        <w:t>formation</w:t>
      </w:r>
      <w:bookmarkEnd w:id="792"/>
    </w:p>
    <w:p w14:paraId="24ACC123" w14:textId="77777777" w:rsidR="001E2B1E" w:rsidRPr="00395CAD" w:rsidRDefault="001E2B1E" w:rsidP="003F57EA">
      <w:pPr>
        <w:pStyle w:val="Titre3Niveau3"/>
      </w:pPr>
      <w:bookmarkStart w:id="793" w:name="_Toc138342088"/>
      <w:r w:rsidRPr="00395CAD">
        <w:t>L’éducation au développement durable en milieu scolaire, déployée par le ministère de l’Education nationale dans l’ensemble des écoles, collèges et lycées de France</w:t>
      </w:r>
      <w:bookmarkEnd w:id="793"/>
    </w:p>
    <w:p w14:paraId="127A1F14" w14:textId="77777777" w:rsidR="001E2B1E" w:rsidRPr="00324FFD" w:rsidRDefault="001E2B1E" w:rsidP="001E2B1E">
      <w:r>
        <w:t>Les évolutions sont importantes</w:t>
      </w:r>
      <w:r w:rsidRPr="00324FFD">
        <w:t xml:space="preserve"> depuis le dernier rapport de 2017. </w:t>
      </w:r>
    </w:p>
    <w:p w14:paraId="7207010E" w14:textId="77777777" w:rsidR="001E2B1E" w:rsidRPr="00395CAD" w:rsidRDefault="001E2B1E" w:rsidP="00EF6DB6">
      <w:pPr>
        <w:pStyle w:val="Titre4niveau4"/>
      </w:pPr>
      <w:r w:rsidRPr="00395CAD">
        <w:t>Une éducation transversale et interdisciplinaire</w:t>
      </w:r>
    </w:p>
    <w:p w14:paraId="11C0582C" w14:textId="77777777" w:rsidR="001E2B1E" w:rsidRPr="00324FFD" w:rsidRDefault="001E2B1E" w:rsidP="001E2B1E">
      <w:r w:rsidRPr="00324FFD">
        <w:t xml:space="preserve">En France, l’éducation aux enjeux du changement climatique </w:t>
      </w:r>
      <w:r>
        <w:t>fait partie de l’éducation au</w:t>
      </w:r>
      <w:r w:rsidRPr="00324FFD">
        <w:t xml:space="preserve"> développement durable</w:t>
      </w:r>
      <w:r>
        <w:t>, dans une approche globale, traitant l’ensemble des sujets environnementaux, ainsi que les dimensions économiques et sociales du développement durable</w:t>
      </w:r>
      <w:r w:rsidRPr="00324FFD">
        <w:t xml:space="preserve">. </w:t>
      </w:r>
    </w:p>
    <w:p w14:paraId="1B033A9F" w14:textId="77777777" w:rsidR="001E2B1E" w:rsidRDefault="001E2B1E" w:rsidP="001E2B1E">
      <w:pPr>
        <w:rPr>
          <w:rFonts w:cstheme="minorHAnsi"/>
        </w:rPr>
      </w:pPr>
      <w:r w:rsidRPr="00324FFD">
        <w:rPr>
          <w:rFonts w:cstheme="minorHAnsi"/>
        </w:rPr>
        <w:t xml:space="preserve">L’éducation au développement durable est une éducation transversale qui s’appuie sur les programmes scolaires de toutes les disciplines. Elle repose aussi sur des projets pédagogiques concrets impliquant les élèves. </w:t>
      </w:r>
    </w:p>
    <w:p w14:paraId="65ECA6CC" w14:textId="77777777" w:rsidR="001E2B1E" w:rsidRPr="00324FFD" w:rsidRDefault="001E2B1E" w:rsidP="001E2B1E">
      <w:pPr>
        <w:rPr>
          <w:rFonts w:cstheme="minorHAnsi"/>
        </w:rPr>
      </w:pPr>
      <w:r>
        <w:rPr>
          <w:rFonts w:cstheme="minorHAnsi"/>
        </w:rPr>
        <w:t>Elle concerne tous les élèves dan</w:t>
      </w:r>
      <w:r w:rsidRPr="00324FFD">
        <w:rPr>
          <w:rFonts w:cstheme="minorHAnsi"/>
        </w:rPr>
        <w:t xml:space="preserve">s l’ensemble des filières </w:t>
      </w:r>
      <w:r>
        <w:rPr>
          <w:rFonts w:cstheme="minorHAnsi"/>
        </w:rPr>
        <w:t xml:space="preserve">relevant de l’Education nationale </w:t>
      </w:r>
      <w:r w:rsidRPr="00324FFD">
        <w:rPr>
          <w:rFonts w:cstheme="minorHAnsi"/>
        </w:rPr>
        <w:t xml:space="preserve">(générale, technologique et professionnelle), tout au long de la scolarité, depuis la maternelle jusqu’à la fin du lycée. L’objectif est de permettre aux jeunes générations d’acquérir des clés de compréhension, des </w:t>
      </w:r>
      <w:r w:rsidRPr="00324FFD">
        <w:rPr>
          <w:rFonts w:cstheme="minorHAnsi"/>
          <w:bCs/>
        </w:rPr>
        <w:t xml:space="preserve">connaissances et des compétences pour mieux comprendre la complexité du monde contemporain, et mieux agir en faveur du respect d’autrui et de notre environnement. </w:t>
      </w:r>
    </w:p>
    <w:p w14:paraId="42C7D36D" w14:textId="77777777" w:rsidR="001E2B1E" w:rsidRPr="00324FFD" w:rsidRDefault="00697C78" w:rsidP="001E2B1E">
      <w:hyperlink r:id="rId149" w:history="1">
        <w:r w:rsidR="001E2B1E" w:rsidRPr="00324FFD">
          <w:rPr>
            <w:rStyle w:val="Hyperlink"/>
            <w:rFonts w:ascii="Calibri" w:hAnsi="Calibri"/>
          </w:rPr>
          <w:t>https://eduscol.education.fr/1117/education-au-developpement-durable</w:t>
        </w:r>
      </w:hyperlink>
    </w:p>
    <w:p w14:paraId="0706C4FB" w14:textId="77777777" w:rsidR="001E2B1E" w:rsidRPr="00324FFD" w:rsidRDefault="001E2B1E" w:rsidP="001E2B1E"/>
    <w:p w14:paraId="29BF967E" w14:textId="77777777" w:rsidR="001E2B1E" w:rsidRPr="00324FFD" w:rsidRDefault="001E2B1E" w:rsidP="00EF6DB6">
      <w:pPr>
        <w:pStyle w:val="Titre4niveau4"/>
      </w:pPr>
      <w:r w:rsidRPr="00324FFD">
        <w:t>Un renforcement législatif en 2019 puis en 2021</w:t>
      </w:r>
    </w:p>
    <w:p w14:paraId="35FD3A4A" w14:textId="77777777" w:rsidR="001E2B1E" w:rsidRDefault="001E2B1E" w:rsidP="001E2B1E">
      <w:pPr>
        <w:rPr>
          <w:rFonts w:cs="Calibri"/>
        </w:rPr>
      </w:pPr>
      <w:r w:rsidRPr="00324FFD">
        <w:t xml:space="preserve">En 2013, l’éducation au développement durable </w:t>
      </w:r>
      <w:r>
        <w:t>avait fait</w:t>
      </w:r>
      <w:r w:rsidRPr="00324FFD">
        <w:t xml:space="preserve"> son entrée dans les missions de l’Ecole codifiées dans le code de l’éducation, par la loi </w:t>
      </w:r>
      <w:r w:rsidRPr="00324FFD">
        <w:rPr>
          <w:rFonts w:cs="Calibri"/>
        </w:rPr>
        <w:t>d’orientation et de refondation de l’Ecole</w:t>
      </w:r>
      <w:r w:rsidRPr="00324FFD">
        <w:rPr>
          <w:rFonts w:cs="Calibri"/>
          <w:b/>
        </w:rPr>
        <w:t xml:space="preserve"> </w:t>
      </w:r>
      <w:r w:rsidRPr="00324FFD">
        <w:rPr>
          <w:rFonts w:cs="Calibri"/>
        </w:rPr>
        <w:t>du 8 juillet,</w:t>
      </w:r>
      <w:r>
        <w:rPr>
          <w:rFonts w:cs="Calibri"/>
        </w:rPr>
        <w:t xml:space="preserve"> qui a introduit </w:t>
      </w:r>
      <w:r w:rsidRPr="00324FFD">
        <w:rPr>
          <w:rFonts w:cs="Calibri"/>
        </w:rPr>
        <w:t xml:space="preserve">un article </w:t>
      </w:r>
      <w:hyperlink r:id="rId150" w:history="1">
        <w:r w:rsidRPr="00324FFD">
          <w:rPr>
            <w:rStyle w:val="Hyperlink"/>
            <w:rFonts w:ascii="Calibri" w:hAnsi="Calibri" w:cs="Calibri"/>
          </w:rPr>
          <w:t>L. 312-19</w:t>
        </w:r>
      </w:hyperlink>
      <w:r>
        <w:rPr>
          <w:rFonts w:cs="Calibri"/>
        </w:rPr>
        <w:t xml:space="preserve"> dédié. </w:t>
      </w:r>
    </w:p>
    <w:p w14:paraId="4EB1EC8B" w14:textId="77777777" w:rsidR="001E2B1E" w:rsidRPr="00324FFD" w:rsidRDefault="001E2B1E" w:rsidP="001E2B1E">
      <w:r>
        <w:rPr>
          <w:rFonts w:cs="Calibri"/>
        </w:rPr>
        <w:t>En 2019, la</w:t>
      </w:r>
      <w:r w:rsidRPr="00324FFD">
        <w:rPr>
          <w:rFonts w:cs="Calibri"/>
        </w:rPr>
        <w:t xml:space="preserve"> </w:t>
      </w:r>
      <w:r w:rsidRPr="00324FFD">
        <w:t xml:space="preserve">loi du 26 juillet </w:t>
      </w:r>
      <w:r w:rsidRPr="00324FFD">
        <w:rPr>
          <w:rFonts w:cs="Calibri"/>
        </w:rPr>
        <w:t xml:space="preserve">pour une école de la confiance a </w:t>
      </w:r>
      <w:r>
        <w:rPr>
          <w:rFonts w:cs="Calibri"/>
        </w:rPr>
        <w:t xml:space="preserve">ensuite </w:t>
      </w:r>
      <w:r w:rsidRPr="00324FFD">
        <w:rPr>
          <w:rFonts w:cs="Calibri"/>
        </w:rPr>
        <w:t xml:space="preserve">complété </w:t>
      </w:r>
      <w:r>
        <w:rPr>
          <w:rFonts w:cs="Calibri"/>
        </w:rPr>
        <w:t xml:space="preserve">cet </w:t>
      </w:r>
      <w:r w:rsidRPr="00324FFD">
        <w:rPr>
          <w:rFonts w:cs="Calibri"/>
        </w:rPr>
        <w:t>article</w:t>
      </w:r>
      <w:r w:rsidRPr="00324FFD">
        <w:t xml:space="preserve">. </w:t>
      </w:r>
    </w:p>
    <w:p w14:paraId="1ACC6B29" w14:textId="77777777" w:rsidR="001E2B1E" w:rsidRPr="001D4435" w:rsidRDefault="001E2B1E" w:rsidP="001E2B1E">
      <w:pPr>
        <w:rPr>
          <w:rFonts w:cs="Calibri"/>
        </w:rPr>
      </w:pPr>
      <w:r>
        <w:t>En 2021, s</w:t>
      </w:r>
      <w:r w:rsidRPr="00324FFD">
        <w:t xml:space="preserve">ur la base des propositions de la Convention citoyenne pour le climat, la loi Climat et Résilience du 22 août est venue renforcer le socle législatif de l’éducation au développement durable (nouvel article dédié </w:t>
      </w:r>
      <w:hyperlink r:id="rId151" w:history="1">
        <w:r w:rsidRPr="00324FFD">
          <w:rPr>
            <w:rStyle w:val="Hyperlink"/>
            <w:rFonts w:ascii="Calibri" w:hAnsi="Calibri"/>
          </w:rPr>
          <w:t>L. 121-8</w:t>
        </w:r>
      </w:hyperlink>
      <w:r w:rsidRPr="00324FFD">
        <w:t xml:space="preserve"> du code de l’éducation). Elle a aussi </w:t>
      </w:r>
      <w:r w:rsidRPr="00324FFD">
        <w:rPr>
          <w:rFonts w:cs="Calibri"/>
        </w:rPr>
        <w:t xml:space="preserve">élargi les missions des comités d’éducation à la santé et à la citoyenneté, instances partenariales présentes dans les collèges et les lycées, qui </w:t>
      </w:r>
      <w:r>
        <w:rPr>
          <w:rFonts w:cs="Calibri"/>
        </w:rPr>
        <w:t>sont devenues des</w:t>
      </w:r>
      <w:r w:rsidRPr="00324FFD">
        <w:rPr>
          <w:rFonts w:cs="Calibri"/>
        </w:rPr>
        <w:t xml:space="preserve"> CESCE, comités d’éducation à la santé, à la citoyenneté et à </w:t>
      </w:r>
      <w:r w:rsidRPr="001D4435">
        <w:rPr>
          <w:rFonts w:cs="Calibri"/>
        </w:rPr>
        <w:t xml:space="preserve">l’environnement (article </w:t>
      </w:r>
      <w:hyperlink r:id="rId152" w:history="1">
        <w:r w:rsidRPr="001D4435">
          <w:rPr>
            <w:rStyle w:val="Hyperlink"/>
            <w:rFonts w:ascii="Calibri" w:hAnsi="Calibri" w:cs="Calibri"/>
          </w:rPr>
          <w:t>L. 421-8</w:t>
        </w:r>
      </w:hyperlink>
      <w:r w:rsidRPr="001D4435">
        <w:rPr>
          <w:rFonts w:cs="Calibri"/>
        </w:rPr>
        <w:t xml:space="preserve"> du code de l’éducation).</w:t>
      </w:r>
    </w:p>
    <w:p w14:paraId="2F37D57E" w14:textId="2F285792" w:rsidR="001E2B1E" w:rsidRDefault="001E2B1E" w:rsidP="001E2B1E">
      <w:pPr>
        <w:rPr>
          <w:rFonts w:cstheme="minorHAnsi"/>
        </w:rPr>
      </w:pPr>
      <w:r w:rsidRPr="001D4435">
        <w:rPr>
          <w:rFonts w:cstheme="minorHAnsi"/>
        </w:rPr>
        <w:t>La loi Climat et Résilience du 22 août 2021 réaffirme également la responsabilité du ministère de l’Education nationale en matière de contenus, de mise en pratique de ces contenus et de déploiement de l’éducation au développement durable dans l’enseignement scolaire.</w:t>
      </w:r>
      <w:r w:rsidR="00260E0B">
        <w:rPr>
          <w:rFonts w:cstheme="minorHAnsi"/>
        </w:rPr>
        <w:t xml:space="preserve"> </w:t>
      </w:r>
    </w:p>
    <w:p w14:paraId="0C061533" w14:textId="77777777" w:rsidR="001E2B1E" w:rsidRPr="00324FFD" w:rsidRDefault="001E2B1E" w:rsidP="00EF6DB6">
      <w:pPr>
        <w:pStyle w:val="Titre4niveau4"/>
      </w:pPr>
      <w:r w:rsidRPr="00324FFD">
        <w:t xml:space="preserve">Deux circulaires structurantes en 2019 et 2020 </w:t>
      </w:r>
      <w:r>
        <w:t xml:space="preserve">s’inscrivant </w:t>
      </w:r>
      <w:r w:rsidRPr="00324FFD">
        <w:t xml:space="preserve">dans le cadre de l’Agenda 2030 </w:t>
      </w:r>
    </w:p>
    <w:p w14:paraId="6067F182" w14:textId="77777777" w:rsidR="001E2B1E" w:rsidRPr="00324FFD" w:rsidRDefault="001E2B1E" w:rsidP="001E2B1E">
      <w:r>
        <w:t xml:space="preserve">Les </w:t>
      </w:r>
      <w:r w:rsidRPr="00324FFD">
        <w:t xml:space="preserve">deux dernières circulaires ministérielles de référence en matière d’éducation au développement durable, datées du </w:t>
      </w:r>
      <w:hyperlink r:id="rId153" w:history="1">
        <w:r w:rsidRPr="00324FFD">
          <w:rPr>
            <w:rStyle w:val="Hyperlink"/>
            <w:rFonts w:ascii="Calibri" w:hAnsi="Calibri"/>
          </w:rPr>
          <w:t>27 août 2019</w:t>
        </w:r>
      </w:hyperlink>
      <w:r w:rsidRPr="00324FFD">
        <w:t xml:space="preserve"> et du </w:t>
      </w:r>
      <w:hyperlink r:id="rId154" w:history="1">
        <w:r w:rsidRPr="00324FFD">
          <w:rPr>
            <w:rStyle w:val="Hyperlink"/>
            <w:rFonts w:ascii="Calibri" w:hAnsi="Calibri"/>
          </w:rPr>
          <w:t>24 septembre 2020</w:t>
        </w:r>
      </w:hyperlink>
      <w:r w:rsidRPr="00324FFD">
        <w:rPr>
          <w:rStyle w:val="Hyperlink"/>
          <w:rFonts w:ascii="Calibri" w:hAnsi="Calibri"/>
        </w:rPr>
        <w:t>,</w:t>
      </w:r>
      <w:r w:rsidRPr="00324FFD">
        <w:t xml:space="preserve"> ont défini les grands principes de l’EDD et invité les lieux d’éducation à être eux-mêmes exemplaires</w:t>
      </w:r>
      <w:r>
        <w:t xml:space="preserve">. </w:t>
      </w:r>
      <w:r w:rsidRPr="00324FFD">
        <w:rPr>
          <w:bCs/>
        </w:rPr>
        <w:t xml:space="preserve">En </w:t>
      </w:r>
      <w:r>
        <w:rPr>
          <w:bCs/>
        </w:rPr>
        <w:t>lien avec</w:t>
      </w:r>
      <w:r w:rsidRPr="00324FFD">
        <w:rPr>
          <w:bCs/>
        </w:rPr>
        <w:t xml:space="preserve"> </w:t>
      </w:r>
      <w:r w:rsidRPr="00324FFD">
        <w:t>l’adoption en septembre 2019 de la feuille de route de la France pour l’Agenda 2030</w:t>
      </w:r>
      <w:r>
        <w:t xml:space="preserve">, elles </w:t>
      </w:r>
      <w:r w:rsidRPr="00324FFD">
        <w:t xml:space="preserve">ont </w:t>
      </w:r>
      <w:r w:rsidRPr="00324FFD">
        <w:rPr>
          <w:rFonts w:cs="Calibri"/>
        </w:rPr>
        <w:t xml:space="preserve">inscrit l’EDD dans </w:t>
      </w:r>
      <w:r w:rsidRPr="00324FFD">
        <w:rPr>
          <w:rFonts w:cs="Calibri"/>
          <w:noProof/>
        </w:rPr>
        <w:t xml:space="preserve">le cadre des engagements internationaux de la France à travers </w:t>
      </w:r>
      <w:r w:rsidRPr="00324FFD">
        <w:rPr>
          <w:rFonts w:cs="Calibri"/>
        </w:rPr>
        <w:t xml:space="preserve">l’Agenda 2030 et les 17 objectifs de développement durable (ODD) adoptés par les Nations </w:t>
      </w:r>
      <w:r>
        <w:rPr>
          <w:rFonts w:cs="Calibri"/>
        </w:rPr>
        <w:t>u</w:t>
      </w:r>
      <w:r w:rsidRPr="00324FFD">
        <w:rPr>
          <w:rFonts w:cs="Calibri"/>
        </w:rPr>
        <w:t xml:space="preserve">nies. </w:t>
      </w:r>
    </w:p>
    <w:p w14:paraId="0EA8F9F9" w14:textId="77777777" w:rsidR="001E2B1E" w:rsidRPr="00324FFD" w:rsidRDefault="001E2B1E" w:rsidP="001E2B1E">
      <w:r w:rsidRPr="00324FFD">
        <w:rPr>
          <w:rFonts w:cs="Calibri"/>
        </w:rPr>
        <w:t xml:space="preserve">Pour accompagner les enseignants et les partenaires de l’Education nationale, le ministère de l’Education nationale et de la </w:t>
      </w:r>
      <w:r>
        <w:rPr>
          <w:rFonts w:cs="Calibri"/>
        </w:rPr>
        <w:t>J</w:t>
      </w:r>
      <w:r w:rsidRPr="00324FFD">
        <w:rPr>
          <w:rFonts w:cs="Calibri"/>
        </w:rPr>
        <w:t>eunesse a publié un ouvrage de référence en janvier 2021 :</w:t>
      </w:r>
      <w:r w:rsidRPr="00324FFD">
        <w:rPr>
          <w:rFonts w:cs="Calibri"/>
          <w:b/>
        </w:rPr>
        <w:t xml:space="preserve"> </w:t>
      </w:r>
      <w:r w:rsidRPr="00324FFD">
        <w:rPr>
          <w:rFonts w:cs="Calibri"/>
        </w:rPr>
        <w:t xml:space="preserve">le </w:t>
      </w:r>
      <w:hyperlink r:id="rId155" w:history="1">
        <w:r w:rsidRPr="00324FFD">
          <w:rPr>
            <w:rStyle w:val="Hyperlink"/>
            <w:rFonts w:ascii="Calibri" w:hAnsi="Calibri" w:cs="Calibri"/>
          </w:rPr>
          <w:t xml:space="preserve">vademecum </w:t>
        </w:r>
        <w:r w:rsidRPr="00324FFD">
          <w:rPr>
            <w:rStyle w:val="Hyperlink"/>
            <w:rFonts w:ascii="Calibri" w:hAnsi="Calibri" w:cs="Calibri"/>
            <w:i/>
            <w:noProof/>
          </w:rPr>
          <w:t>« Eduquer au développement durable à l’horizon 2030 »</w:t>
        </w:r>
      </w:hyperlink>
      <w:r w:rsidRPr="00324FFD">
        <w:rPr>
          <w:rFonts w:cs="Calibri"/>
          <w:noProof/>
        </w:rPr>
        <w:t xml:space="preserve"> qui explicite les enjeux, les con</w:t>
      </w:r>
      <w:r>
        <w:rPr>
          <w:rFonts w:cs="Calibri"/>
          <w:noProof/>
        </w:rPr>
        <w:t>cepts et présente des exemples.</w:t>
      </w:r>
    </w:p>
    <w:p w14:paraId="038A6E99" w14:textId="77777777" w:rsidR="001E2B1E" w:rsidRPr="00324FFD" w:rsidRDefault="001E2B1E" w:rsidP="00EF6DB6">
      <w:pPr>
        <w:pStyle w:val="Titre4niveau4"/>
      </w:pPr>
      <w:r w:rsidRPr="00324FFD">
        <w:t>Des programmes scolaires enrichis en 2019</w:t>
      </w:r>
      <w:r>
        <w:t xml:space="preserve"> et </w:t>
      </w:r>
      <w:r w:rsidRPr="00324FFD">
        <w:t>2020</w:t>
      </w:r>
    </w:p>
    <w:p w14:paraId="70C18C57" w14:textId="77777777" w:rsidR="001E2B1E" w:rsidRDefault="001E2B1E" w:rsidP="001E2B1E">
      <w:r w:rsidRPr="00324FFD">
        <w:rPr>
          <w:rFonts w:eastAsia="Calibri" w:cs="Calibri"/>
        </w:rPr>
        <w:t xml:space="preserve">Suite à une saisine du Conseil supérieur des programmes </w:t>
      </w:r>
      <w:r>
        <w:rPr>
          <w:rFonts w:eastAsia="Calibri" w:cs="Calibri"/>
        </w:rPr>
        <w:t xml:space="preserve">par le ministre </w:t>
      </w:r>
      <w:r w:rsidRPr="00324FFD">
        <w:rPr>
          <w:rFonts w:eastAsia="Calibri" w:cs="Calibri"/>
        </w:rPr>
        <w:t>en 2019, les programmes scolaires ont été enrichis dans le domaine de la biodiversité et du climat, et plus globalement dans le d</w:t>
      </w:r>
      <w:r>
        <w:rPr>
          <w:rFonts w:eastAsia="Calibri" w:cs="Calibri"/>
        </w:rPr>
        <w:t>omaine du développement durable</w:t>
      </w:r>
      <w:r w:rsidRPr="00324FFD">
        <w:rPr>
          <w:rFonts w:eastAsia="Calibri" w:cs="Calibri"/>
        </w:rPr>
        <w:t xml:space="preserve">. Les programmes des lycées ont été renforcés à la rentrée scolaire 2019, les programmes des écoles et collèges ont été renforcés à la rentrée scolaire 2020. </w:t>
      </w:r>
      <w:r w:rsidRPr="00324FFD">
        <w:t xml:space="preserve">Les diplômes de la voie professionnelle sont également progressivement révisés secteur par secteur pour développer des compétences et gestes professionnels plus favorables à la transition écologique et pour renforcer les référentiels des métiers de la transition </w:t>
      </w:r>
      <w:r>
        <w:t xml:space="preserve">énergétique et </w:t>
      </w:r>
      <w:r w:rsidRPr="00324FFD">
        <w:t xml:space="preserve">écologique. </w:t>
      </w:r>
    </w:p>
    <w:p w14:paraId="4C31DE9D" w14:textId="77777777" w:rsidR="001E2B1E" w:rsidRPr="00324FFD" w:rsidRDefault="001E2B1E" w:rsidP="001E2B1E">
      <w:r>
        <w:t>En septembre 2022, le ministre a saisi le Conseil supérieur des programmes pour formuler des propositions afin de renforcer la dynamique de projet et établir un référentiel des compétences dans les domaines de la biodiversité et du climat, et plus largement dans les différents domaines du développement durable.</w:t>
      </w:r>
    </w:p>
    <w:p w14:paraId="3036145D" w14:textId="77777777" w:rsidR="001E2B1E" w:rsidRPr="00324FFD" w:rsidRDefault="001E2B1E" w:rsidP="001E2B1E"/>
    <w:p w14:paraId="25B7F9C5" w14:textId="77777777" w:rsidR="001E2B1E" w:rsidRPr="00324FFD" w:rsidRDefault="001E2B1E" w:rsidP="00EF6DB6">
      <w:pPr>
        <w:pStyle w:val="Titre4niveau4"/>
      </w:pPr>
      <w:r w:rsidRPr="00324FFD">
        <w:t>Des élèves éco-délégués mobilisés dans toutes les classes depuis la rentrée 2020</w:t>
      </w:r>
    </w:p>
    <w:p w14:paraId="1DF5C712" w14:textId="77777777" w:rsidR="001E2B1E" w:rsidRPr="00324FFD" w:rsidRDefault="001E2B1E" w:rsidP="001E2B1E">
      <w:pPr>
        <w:rPr>
          <w:rFonts w:cs="Calibri"/>
        </w:rPr>
      </w:pPr>
      <w:r w:rsidRPr="00324FFD">
        <w:t>Depuis la rentrée 2020, des élèves éco-délégués de classe sont élus dans chaque classe de collège et de lycée</w:t>
      </w:r>
      <w:r>
        <w:t xml:space="preserve"> en application de la</w:t>
      </w:r>
      <w:r w:rsidRPr="00324FFD">
        <w:rPr>
          <w:rFonts w:cs="Calibri"/>
        </w:rPr>
        <w:t xml:space="preserve"> circulaire </w:t>
      </w:r>
      <w:r>
        <w:rPr>
          <w:rFonts w:cs="Calibri"/>
        </w:rPr>
        <w:t>de</w:t>
      </w:r>
      <w:r w:rsidRPr="00324FFD">
        <w:rPr>
          <w:rFonts w:cs="Calibri"/>
        </w:rPr>
        <w:t xml:space="preserve"> septembre 2020 </w:t>
      </w:r>
      <w:r>
        <w:rPr>
          <w:rFonts w:cs="Calibri"/>
        </w:rPr>
        <w:t xml:space="preserve">qui </w:t>
      </w:r>
      <w:r w:rsidRPr="00324FFD">
        <w:rPr>
          <w:rFonts w:cs="Calibri"/>
        </w:rPr>
        <w:t xml:space="preserve">le recommande </w:t>
      </w:r>
      <w:r>
        <w:rPr>
          <w:rFonts w:cs="Calibri"/>
        </w:rPr>
        <w:t xml:space="preserve">aussi </w:t>
      </w:r>
      <w:r w:rsidRPr="00324FFD">
        <w:rPr>
          <w:rFonts w:cs="Calibri"/>
        </w:rPr>
        <w:t>dès le CM1</w:t>
      </w:r>
      <w:r>
        <w:rPr>
          <w:rFonts w:cs="Calibri"/>
        </w:rPr>
        <w:t>-</w:t>
      </w:r>
      <w:r w:rsidRPr="00324FFD">
        <w:rPr>
          <w:rFonts w:cs="Calibri"/>
        </w:rPr>
        <w:t xml:space="preserve">CM2. </w:t>
      </w:r>
    </w:p>
    <w:p w14:paraId="78E2C278" w14:textId="77777777" w:rsidR="001E2B1E" w:rsidRPr="00324FFD" w:rsidRDefault="001E2B1E" w:rsidP="001E2B1E">
      <w:r w:rsidRPr="00324FFD">
        <w:t xml:space="preserve">Les éco-délégués de classe jouent un rôle d’entraînement </w:t>
      </w:r>
      <w:r>
        <w:t>et c</w:t>
      </w:r>
      <w:r w:rsidRPr="00324FFD">
        <w:t xml:space="preserve">ontribuent à la sensibilisation de tous les élèves. Ils </w:t>
      </w:r>
      <w:r>
        <w:t>réalisent</w:t>
      </w:r>
      <w:r w:rsidRPr="00324FFD">
        <w:t xml:space="preserve"> des actions et mènent des projets en faveur de l’environnement et du développement durable, notamment en faveur du climat. Ils sont accompagnés par la communauté éducative (enseignants, équipe de direction, gestionnaires, responsable de la cantine, personnels techniques, etc.) et par des partenaires extérieurs (associations, collectivités, experts scientifiques…). </w:t>
      </w:r>
    </w:p>
    <w:p w14:paraId="2E4B79FE" w14:textId="77777777" w:rsidR="001E2B1E" w:rsidRPr="00324FFD" w:rsidRDefault="001E2B1E" w:rsidP="001E2B1E">
      <w:pPr>
        <w:rPr>
          <w:color w:val="1F497D"/>
        </w:rPr>
      </w:pPr>
      <w:r>
        <w:t>M</w:t>
      </w:r>
      <w:r w:rsidRPr="00324FFD">
        <w:t xml:space="preserve">algré la crise sanitaire qui a compliqué </w:t>
      </w:r>
      <w:r>
        <w:t>l</w:t>
      </w:r>
      <w:r w:rsidRPr="00324FFD">
        <w:t>e travail collectif pe</w:t>
      </w:r>
      <w:r>
        <w:t>ndant ces deux dernières années scolaires</w:t>
      </w:r>
      <w:r w:rsidRPr="00324FFD">
        <w:t xml:space="preserve">, le dispositif des éco-délégués s’est </w:t>
      </w:r>
      <w:r>
        <w:t>largement</w:t>
      </w:r>
      <w:r w:rsidRPr="00324FFD">
        <w:t xml:space="preserve"> déployé. Les réalisations sont nombreuses et diversifiées : lutte contre le gaspillage alimentaire, réduction de la consommation énergétique, protection de la biodiversité, végétalisation et réaménagement de cour, réemploi des objets, solidarité intergénérationnelle ou envers des personnes démunies, réduction et tri des déchets...</w:t>
      </w:r>
      <w:r w:rsidRPr="00324FFD">
        <w:rPr>
          <w:color w:val="1F497D"/>
        </w:rPr>
        <w:t xml:space="preserve"> </w:t>
      </w:r>
    </w:p>
    <w:p w14:paraId="2093DD9E" w14:textId="77777777" w:rsidR="001E2B1E" w:rsidRPr="00324FFD" w:rsidRDefault="001E2B1E" w:rsidP="001E2B1E">
      <w:r w:rsidRPr="00324FFD">
        <w:t xml:space="preserve">En 2020, le ministère de l’Education nationale </w:t>
      </w:r>
      <w:r>
        <w:t xml:space="preserve">et de la jeunesse </w:t>
      </w:r>
      <w:r w:rsidRPr="00324FFD">
        <w:t xml:space="preserve">a créé le </w:t>
      </w:r>
      <w:hyperlink r:id="rId156" w:history="1">
        <w:r w:rsidRPr="00324FFD">
          <w:rPr>
            <w:rStyle w:val="Hyperlink"/>
            <w:rFonts w:ascii="Calibri" w:hAnsi="Calibri"/>
          </w:rPr>
          <w:t>Prix de l’action éco-déléguée de l’année</w:t>
        </w:r>
      </w:hyperlink>
      <w:r w:rsidRPr="00324FFD">
        <w:rPr>
          <w:rStyle w:val="Hyperlink"/>
          <w:rFonts w:ascii="Calibri" w:hAnsi="Calibri"/>
        </w:rPr>
        <w:t xml:space="preserve"> </w:t>
      </w:r>
      <w:r w:rsidRPr="00324FFD">
        <w:t xml:space="preserve">pour encourager et valoriser les actions des éco-délégués, ce qui donne lieu à la désignation de lauréats académiques et nationaux dans chacune des trois catégories école, collège et lycée. </w:t>
      </w:r>
    </w:p>
    <w:p w14:paraId="63A9AFCB" w14:textId="77777777" w:rsidR="001E2B1E" w:rsidRPr="00324FFD" w:rsidRDefault="001E2B1E" w:rsidP="001E2B1E">
      <w:r w:rsidRPr="00324FFD">
        <w:t xml:space="preserve">Les projets lauréats nationaux et académiques : </w:t>
      </w:r>
      <w:hyperlink r:id="rId157" w:history="1">
        <w:r w:rsidRPr="00324FFD">
          <w:rPr>
            <w:rStyle w:val="Hyperlink"/>
            <w:rFonts w:ascii="Calibri" w:hAnsi="Calibri"/>
          </w:rPr>
          <w:t>https://eduscol.education.fr/1121/les-eco-delegues</w:t>
        </w:r>
      </w:hyperlink>
    </w:p>
    <w:p w14:paraId="7FC9DDD4" w14:textId="77777777" w:rsidR="001E2B1E" w:rsidRPr="00324FFD" w:rsidRDefault="001E2B1E" w:rsidP="001E2B1E">
      <w:r w:rsidRPr="00324FFD">
        <w:t xml:space="preserve">Le palmarès national 2022 : </w:t>
      </w:r>
      <w:hyperlink r:id="rId158" w:history="1">
        <w:r w:rsidRPr="00324FFD">
          <w:rPr>
            <w:rStyle w:val="Hyperlink"/>
            <w:rFonts w:ascii="Calibri" w:hAnsi="Calibri"/>
          </w:rPr>
          <w:t>https://eduscol.education.fr/document/42448/download</w:t>
        </w:r>
      </w:hyperlink>
    </w:p>
    <w:p w14:paraId="7E4FFB1C" w14:textId="77777777" w:rsidR="001E2B1E" w:rsidRPr="00324FFD" w:rsidRDefault="001E2B1E" w:rsidP="001E2B1E"/>
    <w:p w14:paraId="5D614CFE" w14:textId="77777777" w:rsidR="001E2B1E" w:rsidRPr="00324FFD" w:rsidRDefault="001E2B1E" w:rsidP="00EF6DB6">
      <w:pPr>
        <w:pStyle w:val="Titre4niveau4"/>
      </w:pPr>
      <w:r w:rsidRPr="00324FFD">
        <w:t xml:space="preserve">10 000 écoles et établissements scolaires désormais labellisés </w:t>
      </w:r>
    </w:p>
    <w:p w14:paraId="78D394CC" w14:textId="77777777" w:rsidR="001E2B1E" w:rsidRPr="00324FFD" w:rsidRDefault="001E2B1E" w:rsidP="001E2B1E">
      <w:r w:rsidRPr="00324FFD">
        <w:rPr>
          <w:rFonts w:cs="Calibri"/>
        </w:rPr>
        <w:t xml:space="preserve">Afin de mettre en cohérence les actions pédagogiques et une gestion de l’établissement en faveur de l’environnement et du développement durable, la labellisation E3D a été développée pour reconnaître et encourager les écoles et établissements engagés dans une démarche globale de développement durable. </w:t>
      </w:r>
      <w:r w:rsidRPr="00324FFD">
        <w:t>En articulation avec les actions de gestion, maintenance ou rénovation de l’établissement, des projets éducatifs sont développés avec les élèves qui sont alors au cœur de la démarche.</w:t>
      </w:r>
    </w:p>
    <w:p w14:paraId="68003EDB" w14:textId="77777777" w:rsidR="001E2B1E" w:rsidRDefault="001E2B1E" w:rsidP="001E2B1E">
      <w:r w:rsidRPr="00324FFD">
        <w:t>Aujourd’hui, près de 10 000 écoles et établissements sont labellisés E3D selon le dernier bilan national annuel</w:t>
      </w:r>
      <w:r>
        <w:t xml:space="preserve"> (</w:t>
      </w:r>
      <w:r w:rsidRPr="00324FFD">
        <w:t>octobre 2022</w:t>
      </w:r>
      <w:r>
        <w:t>) soit 17% des écoles, collèges et lycées de France</w:t>
      </w:r>
      <w:r w:rsidRPr="00324FFD">
        <w:t xml:space="preserve">. </w:t>
      </w:r>
    </w:p>
    <w:p w14:paraId="6C78555C" w14:textId="77777777" w:rsidR="001E2B1E" w:rsidRPr="00324FFD" w:rsidRDefault="00697C78" w:rsidP="001E2B1E">
      <w:pPr>
        <w:rPr>
          <w:rStyle w:val="Hyperlink"/>
          <w:rFonts w:ascii="Calibri" w:hAnsi="Calibri"/>
        </w:rPr>
      </w:pPr>
      <w:hyperlink r:id="rId159" w:history="1">
        <w:r w:rsidR="001E2B1E" w:rsidRPr="00324FFD">
          <w:rPr>
            <w:rStyle w:val="Hyperlink"/>
            <w:rFonts w:ascii="Calibri" w:hAnsi="Calibri"/>
          </w:rPr>
          <w:t>https://eduscol.education.fr/1118/la-labellisation-e3d</w:t>
        </w:r>
      </w:hyperlink>
    </w:p>
    <w:p w14:paraId="5F6FA9A6" w14:textId="77777777" w:rsidR="001E2B1E" w:rsidRPr="00324FFD" w:rsidRDefault="001E2B1E" w:rsidP="001E2B1E">
      <w:pPr>
        <w:rPr>
          <w:rFonts w:cs="Calibri"/>
        </w:rPr>
      </w:pPr>
    </w:p>
    <w:p w14:paraId="59CC2FA0" w14:textId="77777777" w:rsidR="001E2B1E" w:rsidRPr="00324FFD" w:rsidRDefault="001E2B1E" w:rsidP="00EF6DB6">
      <w:pPr>
        <w:pStyle w:val="Titre4niveau4"/>
      </w:pPr>
      <w:r w:rsidRPr="00324FFD">
        <w:t>Un pilotage renforcé à toutes les échelles depuis 2020</w:t>
      </w:r>
    </w:p>
    <w:p w14:paraId="094C03AA" w14:textId="77777777" w:rsidR="001E2B1E" w:rsidRDefault="001E2B1E" w:rsidP="001E2B1E">
      <w:r w:rsidRPr="00324FFD">
        <w:t>Au niveau des collèges et des lycées, le chef d’établissement est invité par la circulaire de septembre 2020 à désigner un référent EDD d’établissement, le plus souvent un enseignant. Au niveau académique, les chefs de mission académique EDD sont chargés par le recteur de piloter l'EDD.</w:t>
      </w:r>
      <w:r>
        <w:t xml:space="preserve"> </w:t>
      </w:r>
      <w:r w:rsidRPr="00324FFD">
        <w:t xml:space="preserve">Au </w:t>
      </w:r>
      <w:r>
        <w:t>plan</w:t>
      </w:r>
      <w:r w:rsidRPr="00324FFD">
        <w:t xml:space="preserve"> national, le pilotage est assuré par la direction générale de l’enseignement scolaire (DGESCO), au niveau de la haute fonctionnaire au développement durable (HFDD) du ministère</w:t>
      </w:r>
      <w:r>
        <w:t xml:space="preserve"> qui anime notamment le réseau des missions académiques EDD.</w:t>
      </w:r>
    </w:p>
    <w:p w14:paraId="443551DF" w14:textId="77777777" w:rsidR="001E2B1E" w:rsidRPr="00324FFD" w:rsidRDefault="001E2B1E" w:rsidP="001E2B1E"/>
    <w:p w14:paraId="4C92ABEE" w14:textId="77777777" w:rsidR="001E2B1E" w:rsidRPr="00324FFD" w:rsidRDefault="001E2B1E" w:rsidP="00EF6DB6">
      <w:pPr>
        <w:pStyle w:val="Titre4niveau4"/>
      </w:pPr>
      <w:r w:rsidRPr="00324FFD">
        <w:t>Une articulation renforcée avec l’évolution du bâti scolaire</w:t>
      </w:r>
    </w:p>
    <w:p w14:paraId="31DAB416" w14:textId="77777777" w:rsidR="001E2B1E" w:rsidRDefault="001E2B1E" w:rsidP="001E2B1E">
      <w:pPr>
        <w:rPr>
          <w:rStyle w:val="Hyperlink"/>
          <w:rFonts w:ascii="Calibri" w:hAnsi="Calibri"/>
        </w:rPr>
      </w:pPr>
      <w:r w:rsidRPr="00324FFD">
        <w:t>Pour accompagner la communauté éducative et les collectivités territoriales dans leurs choix, le ministère de l’Education nationale a diffusé en juin 2022 un ensemble de guides « Bâtir l’école » coordonnés par le secrétariat général du ministère, pour un bâti scolaire plus adapté aux enjeux contemporains, dont celui de la transition écologique.</w:t>
      </w:r>
      <w:r w:rsidRPr="00324FFD">
        <w:rPr>
          <w:color w:val="1F497D"/>
        </w:rPr>
        <w:t xml:space="preserve"> </w:t>
      </w:r>
      <w:r w:rsidRPr="00324FFD">
        <w:t>Un réseau de référents académiques bâti scolaire a été mis en place.</w:t>
      </w:r>
      <w:r>
        <w:t xml:space="preserve"> En complément, des préconisations pratiques relatives à la sobriété énergétique ont été publiées fin 2022 et des préconisations relatives à la végétalisation des cours d’école sont prévues en 2023. </w:t>
      </w:r>
      <w:hyperlink r:id="rId160" w:history="1">
        <w:r w:rsidRPr="00324FFD">
          <w:rPr>
            <w:rStyle w:val="Hyperlink"/>
            <w:rFonts w:ascii="Calibri" w:hAnsi="Calibri"/>
          </w:rPr>
          <w:t>https://batiscolaire.education.gouv.fr/</w:t>
        </w:r>
      </w:hyperlink>
    </w:p>
    <w:p w14:paraId="2E3B75AD" w14:textId="39B44745" w:rsidR="001E2B1E" w:rsidRPr="008E0BB8" w:rsidRDefault="001E2B1E" w:rsidP="001E2B1E">
      <w:r w:rsidRPr="001510CA">
        <w:t xml:space="preserve">Sous le patronage des ministères et à l'initiative de l'Institut français pour la performance du bâtiment (IFPEB) et du centre d'études des ministères en charge de l'écologie, le </w:t>
      </w:r>
      <w:r>
        <w:t>Cerema</w:t>
      </w:r>
      <w:r w:rsidRPr="001510CA">
        <w:t>, un dispositif d'appui aux établissements scolaires a été mis en place, le challenge Cube.S, dont les résultats sont marquants : 23 à 25</w:t>
      </w:r>
      <w:r w:rsidR="006518EF">
        <w:t>%</w:t>
      </w:r>
      <w:r w:rsidRPr="001510CA">
        <w:t xml:space="preserve"> en moyenne de réduction des consommation énergétique pour les 700 collèges et lycées impliqués (</w:t>
      </w:r>
      <w:hyperlink r:id="rId161" w:history="1">
        <w:r w:rsidRPr="008E0BB8">
          <w:rPr>
            <w:rFonts w:ascii="Calibri" w:hAnsi="Calibri" w:cs="Calibri"/>
            <w:u w:val="single"/>
          </w:rPr>
          <w:t>https://www.cube-s.org/</w:t>
        </w:r>
      </w:hyperlink>
      <w:r w:rsidRPr="001510CA">
        <w:t xml:space="preserve"> et </w:t>
      </w:r>
      <w:hyperlink r:id="rId162" w:history="1">
        <w:r w:rsidRPr="008E0BB8">
          <w:rPr>
            <w:rFonts w:ascii="Calibri" w:hAnsi="Calibri" w:cs="Calibri"/>
            <w:u w:val="single"/>
          </w:rPr>
          <w:t>https://www.cube-s.org/retours-dexperience-du-challenge-cube-s/</w:t>
        </w:r>
      </w:hyperlink>
      <w:r w:rsidRPr="001510CA">
        <w:t>)</w:t>
      </w:r>
      <w:r>
        <w:t>.</w:t>
      </w:r>
    </w:p>
    <w:p w14:paraId="3A1E44D7" w14:textId="77777777" w:rsidR="001E2B1E" w:rsidRPr="00324FFD" w:rsidRDefault="001E2B1E" w:rsidP="001E2B1E"/>
    <w:p w14:paraId="3643C186" w14:textId="77777777" w:rsidR="001E2B1E" w:rsidRPr="00324FFD" w:rsidRDefault="001E2B1E" w:rsidP="003F57EA">
      <w:pPr>
        <w:pStyle w:val="Titre3Niveau3"/>
      </w:pPr>
      <w:bookmarkStart w:id="794" w:name="_Toc138342089"/>
      <w:r w:rsidRPr="00324FFD">
        <w:t xml:space="preserve">Le renforcement de la formation </w:t>
      </w:r>
      <w:r>
        <w:t>des enseignants et des ressources pédagogiques</w:t>
      </w:r>
      <w:bookmarkEnd w:id="794"/>
      <w:r>
        <w:t xml:space="preserve"> </w:t>
      </w:r>
    </w:p>
    <w:p w14:paraId="60640E37" w14:textId="541EE3A1" w:rsidR="001E2B1E" w:rsidRPr="00324FFD" w:rsidRDefault="001E2B1E" w:rsidP="001E2B1E">
      <w:pPr>
        <w:rPr>
          <w:rFonts w:cstheme="minorHAnsi"/>
          <w:noProof/>
        </w:rPr>
      </w:pPr>
      <w:r w:rsidRPr="00324FFD">
        <w:rPr>
          <w:rFonts w:cstheme="minorHAnsi"/>
          <w:noProof/>
        </w:rPr>
        <w:t xml:space="preserve">Pour la formation continue, les enjeux liés à l’éducation au développement durable sont intégrés dans le </w:t>
      </w:r>
      <w:r>
        <w:rPr>
          <w:rFonts w:cstheme="minorHAnsi"/>
          <w:noProof/>
        </w:rPr>
        <w:t>p</w:t>
      </w:r>
      <w:r w:rsidRPr="00324FFD">
        <w:rPr>
          <w:rFonts w:cstheme="minorHAnsi"/>
          <w:noProof/>
        </w:rPr>
        <w:t xml:space="preserve">lan national de formation (PNF) </w:t>
      </w:r>
      <w:r>
        <w:rPr>
          <w:rFonts w:cstheme="minorHAnsi"/>
          <w:noProof/>
        </w:rPr>
        <w:t xml:space="preserve">du ministère de l’Education nationale, avec l’organisation du </w:t>
      </w:r>
      <w:r w:rsidRPr="00324FFD">
        <w:rPr>
          <w:rFonts w:cstheme="minorHAnsi"/>
          <w:noProof/>
        </w:rPr>
        <w:t xml:space="preserve">Forum </w:t>
      </w:r>
      <w:r>
        <w:rPr>
          <w:rFonts w:cstheme="minorHAnsi"/>
          <w:noProof/>
        </w:rPr>
        <w:t xml:space="preserve">annuel </w:t>
      </w:r>
      <w:r w:rsidRPr="00324FFD">
        <w:rPr>
          <w:rFonts w:cstheme="minorHAnsi"/>
          <w:noProof/>
        </w:rPr>
        <w:t>des ressources pour l’éducation au développement durable (FOREDD)</w:t>
      </w:r>
      <w:r>
        <w:rPr>
          <w:rFonts w:cstheme="minorHAnsi"/>
          <w:noProof/>
        </w:rPr>
        <w:t>,</w:t>
      </w:r>
      <w:r w:rsidRPr="00324FFD">
        <w:rPr>
          <w:rFonts w:cstheme="minorHAnsi"/>
          <w:noProof/>
        </w:rPr>
        <w:t xml:space="preserve"> qui existe depuis 15 ans. </w:t>
      </w:r>
      <w:r w:rsidRPr="00324FFD">
        <w:t xml:space="preserve">D’autres formations du PNF abordent ces thématiques dans les différentes disciplines, particulièrement en histoire-géographie, en sciences de la vie et de la Terre, en sciences économiques et sociales, mais aussi en sciences du numérique ou en philosophie. </w:t>
      </w:r>
      <w:r w:rsidRPr="00324FFD">
        <w:rPr>
          <w:rFonts w:cstheme="minorHAnsi"/>
          <w:noProof/>
        </w:rPr>
        <w:t xml:space="preserve">Au niveau académique, les </w:t>
      </w:r>
      <w:r>
        <w:rPr>
          <w:rFonts w:cstheme="minorHAnsi"/>
          <w:noProof/>
        </w:rPr>
        <w:t>programmes</w:t>
      </w:r>
      <w:r w:rsidRPr="00324FFD">
        <w:rPr>
          <w:rFonts w:cstheme="minorHAnsi"/>
          <w:noProof/>
        </w:rPr>
        <w:t xml:space="preserve"> académiques de formation comportent des modules dédiés à l’éducation au développement durable, plus particulièrement pour les professeurs d’histoire-géographie et de sciences de la vie et de la Terre.</w:t>
      </w:r>
      <w:r w:rsidR="00260E0B">
        <w:rPr>
          <w:rFonts w:cstheme="minorHAnsi"/>
          <w:noProof/>
        </w:rPr>
        <w:t xml:space="preserve"> </w:t>
      </w:r>
    </w:p>
    <w:p w14:paraId="79823A54" w14:textId="77777777" w:rsidR="001E2B1E" w:rsidRPr="00D42AF4" w:rsidRDefault="001E2B1E" w:rsidP="001E2B1E">
      <w:pPr>
        <w:rPr>
          <w:rFonts w:cstheme="minorHAnsi"/>
        </w:rPr>
      </w:pPr>
      <w:r>
        <w:rPr>
          <w:rFonts w:cstheme="minorHAnsi"/>
        </w:rPr>
        <w:t xml:space="preserve">Depuis deux années consécutives, le ministère renforce le PNF par de nouvelles formations nationales qui s’ajoutent au FOREDD, avec l’objectif </w:t>
      </w:r>
      <w:r w:rsidRPr="00324FFD">
        <w:rPr>
          <w:rFonts w:cstheme="minorHAnsi"/>
        </w:rPr>
        <w:t xml:space="preserve">de former </w:t>
      </w:r>
      <w:r>
        <w:rPr>
          <w:rFonts w:cstheme="minorHAnsi"/>
        </w:rPr>
        <w:t xml:space="preserve">à la fois personnels </w:t>
      </w:r>
      <w:r w:rsidRPr="00324FFD">
        <w:rPr>
          <w:rFonts w:cstheme="minorHAnsi"/>
        </w:rPr>
        <w:t>enseignants</w:t>
      </w:r>
      <w:r>
        <w:rPr>
          <w:rFonts w:cstheme="minorHAnsi"/>
        </w:rPr>
        <w:t xml:space="preserve"> et cadres de direction</w:t>
      </w:r>
      <w:r w:rsidRPr="00324FFD">
        <w:rPr>
          <w:rFonts w:cstheme="minorHAnsi"/>
        </w:rPr>
        <w:t xml:space="preserve"> pour forger une culture commune sur l’éducation au développement durable.</w:t>
      </w:r>
      <w:r>
        <w:rPr>
          <w:rFonts w:cstheme="minorHAnsi"/>
        </w:rPr>
        <w:t xml:space="preserve"> </w:t>
      </w:r>
      <w:r w:rsidRPr="00073236">
        <w:t xml:space="preserve">Les enjeux climatiques sont </w:t>
      </w:r>
      <w:r>
        <w:t>intégrés dans c</w:t>
      </w:r>
      <w:r w:rsidRPr="00073236">
        <w:t xml:space="preserve">es formations. </w:t>
      </w:r>
    </w:p>
    <w:p w14:paraId="1404AD5E" w14:textId="77777777" w:rsidR="001E2B1E" w:rsidRDefault="001E2B1E" w:rsidP="001E2B1E">
      <w:r>
        <w:rPr>
          <w:rFonts w:cstheme="minorHAnsi"/>
        </w:rPr>
        <w:t xml:space="preserve">Le ministère de l’Education nationale soutient la production et la structuration de ressources pédagogiques. </w:t>
      </w:r>
      <w:r w:rsidRPr="00324FFD">
        <w:rPr>
          <w:rFonts w:cstheme="minorHAnsi"/>
        </w:rPr>
        <w:t>Plus de vingt partenariats nationaux ont été signés ou renforcés en 2021-2022, en particulier dans le domaine du climat, avec des organismes d’expertise et de recherche et des associations et fondations reconnues dans leur domaine</w:t>
      </w:r>
      <w:r>
        <w:rPr>
          <w:rFonts w:cstheme="minorHAnsi"/>
        </w:rPr>
        <w:t>. D</w:t>
      </w:r>
      <w:r w:rsidRPr="00324FFD">
        <w:rPr>
          <w:rFonts w:cstheme="minorHAnsi"/>
        </w:rPr>
        <w:t xml:space="preserve">es ressources pédagogiques </w:t>
      </w:r>
      <w:r>
        <w:rPr>
          <w:rFonts w:cstheme="minorHAnsi"/>
        </w:rPr>
        <w:t>sont</w:t>
      </w:r>
      <w:r w:rsidRPr="00324FFD">
        <w:rPr>
          <w:rFonts w:cstheme="minorHAnsi"/>
        </w:rPr>
        <w:t xml:space="preserve"> produites </w:t>
      </w:r>
      <w:r>
        <w:rPr>
          <w:rFonts w:cstheme="minorHAnsi"/>
        </w:rPr>
        <w:t xml:space="preserve">par l’Office for Climate Education (OCE) dont le </w:t>
      </w:r>
      <w:r w:rsidRPr="00324FFD">
        <w:rPr>
          <w:rFonts w:cstheme="minorHAnsi"/>
        </w:rPr>
        <w:t xml:space="preserve">ministère </w:t>
      </w:r>
      <w:r>
        <w:rPr>
          <w:rFonts w:cstheme="minorHAnsi"/>
        </w:rPr>
        <w:t xml:space="preserve">de l’Education nationale </w:t>
      </w:r>
      <w:r w:rsidRPr="00324FFD">
        <w:rPr>
          <w:rFonts w:cstheme="minorHAnsi"/>
        </w:rPr>
        <w:t xml:space="preserve">a </w:t>
      </w:r>
      <w:r>
        <w:rPr>
          <w:rFonts w:cstheme="minorHAnsi"/>
        </w:rPr>
        <w:t>soutenu</w:t>
      </w:r>
      <w:r w:rsidRPr="00324FFD">
        <w:rPr>
          <w:rFonts w:cstheme="minorHAnsi"/>
        </w:rPr>
        <w:t xml:space="preserve"> la reconnaissance officielle en 2020 par l’UNESCO comme centre de catégorie 2. </w:t>
      </w:r>
      <w:r>
        <w:rPr>
          <w:rFonts w:cstheme="minorHAnsi"/>
        </w:rPr>
        <w:t>P</w:t>
      </w:r>
      <w:r w:rsidRPr="00324FFD">
        <w:rPr>
          <w:rFonts w:cstheme="minorHAnsi"/>
        </w:rPr>
        <w:t>ar le détachement d’une enseignante</w:t>
      </w:r>
      <w:r>
        <w:rPr>
          <w:rFonts w:cstheme="minorHAnsi"/>
        </w:rPr>
        <w:t xml:space="preserve"> à l’OCE, le ministère</w:t>
      </w:r>
      <w:r w:rsidRPr="00324FFD">
        <w:rPr>
          <w:rFonts w:cstheme="minorHAnsi"/>
        </w:rPr>
        <w:t xml:space="preserve"> soutient financièrement </w:t>
      </w:r>
      <w:r>
        <w:rPr>
          <w:rFonts w:cstheme="minorHAnsi"/>
        </w:rPr>
        <w:t>la production de</w:t>
      </w:r>
      <w:r w:rsidRPr="00324FFD">
        <w:rPr>
          <w:rFonts w:cstheme="minorHAnsi"/>
        </w:rPr>
        <w:t xml:space="preserve"> ressources pédagogiques permett</w:t>
      </w:r>
      <w:r>
        <w:rPr>
          <w:rFonts w:cstheme="minorHAnsi"/>
        </w:rPr>
        <w:t>a</w:t>
      </w:r>
      <w:r w:rsidRPr="00324FFD">
        <w:rPr>
          <w:rFonts w:cstheme="minorHAnsi"/>
        </w:rPr>
        <w:t xml:space="preserve">nt aux enseignants </w:t>
      </w:r>
      <w:r>
        <w:rPr>
          <w:rFonts w:cstheme="minorHAnsi"/>
        </w:rPr>
        <w:t>de se saisir</w:t>
      </w:r>
      <w:r w:rsidRPr="00324FFD">
        <w:rPr>
          <w:rFonts w:cstheme="minorHAnsi"/>
        </w:rPr>
        <w:t xml:space="preserve"> des rapports du GIEC. </w:t>
      </w:r>
      <w:r>
        <w:rPr>
          <w:rFonts w:cstheme="minorHAnsi"/>
        </w:rPr>
        <w:t>La Fondation Tara Océan, partenaire du ministère depuis 15 ans, produit des ressources pédagogiques sur les liens étroits entre océan et climat. Citons également u</w:t>
      </w:r>
      <w:r w:rsidRPr="00324FFD">
        <w:t>n jeu de rôles pour les élèves, outil de simulation de</w:t>
      </w:r>
      <w:r>
        <w:t xml:space="preserve"> négociations de</w:t>
      </w:r>
      <w:r w:rsidRPr="00324FFD">
        <w:t xml:space="preserve"> COP Climat,</w:t>
      </w:r>
      <w:r>
        <w:t xml:space="preserve"> qui</w:t>
      </w:r>
      <w:r w:rsidRPr="00324FFD">
        <w:t xml:space="preserve"> </w:t>
      </w:r>
      <w:r>
        <w:t>est en cours d’élaboration par</w:t>
      </w:r>
      <w:r w:rsidRPr="00324FFD">
        <w:t xml:space="preserve"> l’A</w:t>
      </w:r>
      <w:r>
        <w:t>gence française de développement (AFD) dans le cadre d’un partenariat avec le ministère, avec l’expertise de l’OCE</w:t>
      </w:r>
      <w:r w:rsidRPr="00324FFD">
        <w:t>.</w:t>
      </w:r>
    </w:p>
    <w:p w14:paraId="127BA493" w14:textId="77777777" w:rsidR="001E2B1E" w:rsidRDefault="001E2B1E" w:rsidP="001E2B1E">
      <w:pPr>
        <w:spacing w:after="120"/>
        <w:ind w:left="6"/>
        <w:rPr>
          <w:rFonts w:ascii="Calibri" w:hAnsi="Calibri" w:cstheme="minorHAnsi"/>
          <w:szCs w:val="22"/>
        </w:rPr>
      </w:pPr>
    </w:p>
    <w:p w14:paraId="2C656270" w14:textId="77777777" w:rsidR="001E2B1E" w:rsidRPr="00170EEB" w:rsidRDefault="001E2B1E" w:rsidP="00170EEB">
      <w:pPr>
        <w:rPr>
          <w:rFonts w:asciiTheme="minorHAnsi" w:hAnsiTheme="minorHAnsi"/>
        </w:rPr>
      </w:pPr>
      <w:r w:rsidRPr="00170EEB">
        <w:rPr>
          <w:rFonts w:asciiTheme="minorHAnsi" w:hAnsiTheme="minorHAnsi"/>
        </w:rPr>
        <w:t xml:space="preserve">Outre le Cerema cité plus haut, les établissements publics spécialisés proposent de nombreux outils pédagogiques aux enseignants ou directement aux élèves, comme les sites de l'Ademe (respectivement pour les scolaires </w:t>
      </w:r>
      <w:hyperlink r:id="rId163" w:history="1">
        <w:r w:rsidRPr="00170EEB">
          <w:rPr>
            <w:rFonts w:asciiTheme="minorHAnsi" w:hAnsiTheme="minorHAnsi" w:cs="Calibri"/>
            <w:u w:val="single"/>
          </w:rPr>
          <w:t>https://www.mtaterre.fr/</w:t>
        </w:r>
      </w:hyperlink>
      <w:r w:rsidRPr="00170EEB">
        <w:rPr>
          <w:rFonts w:asciiTheme="minorHAnsi" w:hAnsiTheme="minorHAnsi"/>
        </w:rPr>
        <w:t xml:space="preserve"> et pour les enseignants : </w:t>
      </w:r>
      <w:hyperlink r:id="rId164" w:history="1">
        <w:r w:rsidRPr="00170EEB">
          <w:rPr>
            <w:rFonts w:asciiTheme="minorHAnsi" w:hAnsiTheme="minorHAnsi" w:cs="Calibri"/>
            <w:u w:val="single"/>
          </w:rPr>
          <w:t>www.agirpourlatransition.ademe.fr/acteurs-education</w:t>
        </w:r>
      </w:hyperlink>
      <w:r w:rsidRPr="00170EEB">
        <w:rPr>
          <w:rFonts w:asciiTheme="minorHAnsi" w:hAnsiTheme="minorHAnsi"/>
        </w:rPr>
        <w:t xml:space="preserve">) ou du Muséum d'histoire naturelle </w:t>
      </w:r>
      <w:hyperlink r:id="rId165" w:history="1">
        <w:r w:rsidRPr="00170EEB">
          <w:rPr>
            <w:rFonts w:asciiTheme="minorHAnsi" w:hAnsiTheme="minorHAnsi" w:cs="Calibri"/>
            <w:u w:val="single"/>
          </w:rPr>
          <w:t>https://www.mnhn.fr/fr/enseignants</w:t>
        </w:r>
      </w:hyperlink>
      <w:r w:rsidRPr="00170EEB">
        <w:rPr>
          <w:rFonts w:asciiTheme="minorHAnsi" w:hAnsiTheme="minorHAnsi"/>
        </w:rPr>
        <w:t xml:space="preserve">. </w:t>
      </w:r>
    </w:p>
    <w:p w14:paraId="487E1DA8" w14:textId="77777777" w:rsidR="001E2B1E" w:rsidRPr="00170EEB" w:rsidRDefault="001E2B1E" w:rsidP="00170EEB">
      <w:pPr>
        <w:rPr>
          <w:rFonts w:asciiTheme="minorHAnsi" w:hAnsiTheme="minorHAnsi"/>
        </w:rPr>
      </w:pPr>
      <w:r w:rsidRPr="00170EEB">
        <w:rPr>
          <w:rFonts w:asciiTheme="minorHAnsi" w:hAnsiTheme="minorHAnsi"/>
        </w:rPr>
        <w:t>Le dispositif des « aires éducatives », coordonné par l'Office français de la biodiversité, rencontre un succès croissant auprès des établissements et enseignants (</w:t>
      </w:r>
      <w:hyperlink r:id="rId166" w:history="1">
        <w:r w:rsidRPr="00170EEB">
          <w:rPr>
            <w:rFonts w:asciiTheme="minorHAnsi" w:hAnsiTheme="minorHAnsi" w:cs="Calibri"/>
            <w:u w:val="single"/>
          </w:rPr>
          <w:t>https://www.ofb.gouv.fr/aires-educatives</w:t>
        </w:r>
      </w:hyperlink>
      <w:r w:rsidRPr="00170EEB">
        <w:rPr>
          <w:rFonts w:asciiTheme="minorHAnsi" w:hAnsiTheme="minorHAnsi"/>
        </w:rPr>
        <w:t>). Chaque aire est un petit territoire naturel géré de manière participative par les élèves d’une école ou d'un collège. Encadrés par leurs enseignants et une structure de l’éducation à l’environnement, les élèves se réunissent sous la forme d’un « conseil des enfants » et prennent toutes les décisions concernant leur aire éducative.</w:t>
      </w:r>
    </w:p>
    <w:p w14:paraId="29448E00" w14:textId="77777777" w:rsidR="001E2B1E" w:rsidRPr="00170EEB" w:rsidRDefault="001E2B1E" w:rsidP="00170EEB">
      <w:pPr>
        <w:rPr>
          <w:rFonts w:asciiTheme="minorHAnsi" w:hAnsiTheme="minorHAnsi"/>
        </w:rPr>
      </w:pPr>
      <w:r w:rsidRPr="00170EEB">
        <w:rPr>
          <w:rFonts w:asciiTheme="minorHAnsi" w:hAnsiTheme="minorHAnsi"/>
        </w:rPr>
        <w:t>Les Agences de l’eau (agences organisées par bassin, comprenant l’ensemble des producteurs, gestionnaires et usagers de l’eau) proposent aux enseignants les « classes d’eau », durant plusieurs jours consécutifs, donnant lieu à la réception de professionnels, des sorties scolaires, ateliers, et se concrétisant par une production par la classe, comme une exposition, une vidéo, un journal,….</w:t>
      </w:r>
    </w:p>
    <w:p w14:paraId="460852EB" w14:textId="77777777" w:rsidR="001E2B1E" w:rsidRPr="00170EEB" w:rsidRDefault="001E2B1E" w:rsidP="00170EEB">
      <w:pPr>
        <w:rPr>
          <w:rFonts w:asciiTheme="minorHAnsi" w:hAnsiTheme="minorHAnsi"/>
        </w:rPr>
      </w:pPr>
      <w:r w:rsidRPr="00170EEB">
        <w:rPr>
          <w:rFonts w:asciiTheme="minorHAnsi" w:hAnsiTheme="minorHAnsi"/>
        </w:rPr>
        <w:t xml:space="preserve">L’établissement MétéoFrance propose en milieu scolaire le projet « Météo à l’école », se traduisant par la mise à disposition de stations météo auprès des établissements scolaires, ainsi que de nombreuses fiches scientifiques et fiches pédagogiques : </w:t>
      </w:r>
      <w:hyperlink r:id="rId167" w:history="1">
        <w:r w:rsidRPr="00170EEB">
          <w:rPr>
            <w:rStyle w:val="Hyperlink"/>
            <w:rFonts w:asciiTheme="minorHAnsi" w:hAnsiTheme="minorHAnsi" w:cstheme="minorHAnsi"/>
          </w:rPr>
          <w:t>https://www.sciencealecole.org/plan-meteo-a-lecole-presentation</w:t>
        </w:r>
      </w:hyperlink>
      <w:r w:rsidRPr="00170EEB">
        <w:rPr>
          <w:rFonts w:asciiTheme="minorHAnsi" w:hAnsiTheme="minorHAnsi"/>
        </w:rPr>
        <w:t>.</w:t>
      </w:r>
    </w:p>
    <w:p w14:paraId="4861CEB2" w14:textId="77777777" w:rsidR="001E2B1E" w:rsidRPr="001D4435" w:rsidRDefault="001E2B1E" w:rsidP="00EF6DB6">
      <w:pPr>
        <w:pStyle w:val="Titre4niveau4"/>
      </w:pPr>
      <w:r w:rsidRPr="001D4435">
        <w:t>De nouvelles mesures en préparation</w:t>
      </w:r>
    </w:p>
    <w:p w14:paraId="6B436DE2" w14:textId="77777777" w:rsidR="001E2B1E" w:rsidRPr="001D4435" w:rsidRDefault="001E2B1E" w:rsidP="001E2B1E">
      <w:r w:rsidRPr="001D4435">
        <w:t xml:space="preserve">La circulaire de rentrée 2022 place la transition écologique parmi les priorités ministérielles. </w:t>
      </w:r>
    </w:p>
    <w:p w14:paraId="14DB7489" w14:textId="77777777" w:rsidR="001E2B1E" w:rsidRPr="001D4435" w:rsidRDefault="001E2B1E" w:rsidP="001E2B1E">
      <w:r w:rsidRPr="001D4435">
        <w:t xml:space="preserve">Les </w:t>
      </w:r>
      <w:r w:rsidRPr="001D4435">
        <w:rPr>
          <w:color w:val="000000"/>
        </w:rPr>
        <w:t xml:space="preserve">écoles, collèges et lycées sont invités à poursuivre leur action. Ceci implique la pérennisation de projets pédagogiques déjà nombreux, portés notamment par les éco-délégués, mais aussi que les écoles et établissements placent la transition écologique et énergétique au cœur de leur projet, notamment au travers de la labellisation E3D. </w:t>
      </w:r>
    </w:p>
    <w:p w14:paraId="421261F1" w14:textId="77777777" w:rsidR="001E2B1E" w:rsidRPr="001D4435" w:rsidRDefault="001E2B1E" w:rsidP="001E2B1E">
      <w:r w:rsidRPr="001D4435">
        <w:t>U</w:t>
      </w:r>
      <w:r w:rsidRPr="001D4435">
        <w:rPr>
          <w:color w:val="000000"/>
        </w:rPr>
        <w:t>n guide pour la transition écologique des écoles et établissements scolaires sera publié début 2023</w:t>
      </w:r>
      <w:r w:rsidRPr="001D4435">
        <w:t xml:space="preserve">. </w:t>
      </w:r>
    </w:p>
    <w:p w14:paraId="564440E7" w14:textId="77777777" w:rsidR="001E2B1E" w:rsidRPr="001D4435" w:rsidRDefault="001E2B1E" w:rsidP="001E2B1E">
      <w:r w:rsidRPr="001D4435">
        <w:t xml:space="preserve">Le ministre de l’Education nationale a saisi le Conseil supérieur des programmes (CSP) fin septembre 2022, afin de formuler des propositions pour renforcer les apprentissages liés au développement durable, notamment dans le domaine de la biodiversité et du climat, et d’établir un référentiel de compétences. Sur cette base, le Centre national d’enseignement à distance (CNED) mettra au point un outil numérique de certification du niveau de compétences acquis par les élèves. </w:t>
      </w:r>
    </w:p>
    <w:p w14:paraId="4259A7E1" w14:textId="3085B981" w:rsidR="00774E19" w:rsidRDefault="001E2B1E" w:rsidP="001E2B1E">
      <w:r w:rsidRPr="001D4435">
        <w:t>L’ensemble de ces travaux permettra de préciser de nouvelles mesures pour aller encore plus loin dans l’éducation au développement durable</w:t>
      </w:r>
      <w:r>
        <w:t xml:space="preserve"> en milieu scolaire</w:t>
      </w:r>
      <w:r w:rsidRPr="001D4435">
        <w:t>, ce qui contribuera notamment à la mise en œuvre de l’article 5 de la loi Climat et Résilience (art. L. 121-8 du code de l’éducation).</w:t>
      </w:r>
    </w:p>
    <w:p w14:paraId="152A4C1A" w14:textId="77777777" w:rsidR="00774E19" w:rsidRDefault="00774E19" w:rsidP="001E2B1E"/>
    <w:p w14:paraId="69DD033E" w14:textId="3D7FDCCD" w:rsidR="00774E19" w:rsidRDefault="00774E19" w:rsidP="003F57EA">
      <w:pPr>
        <w:pStyle w:val="titreencadre"/>
        <w:numPr>
          <w:ilvl w:val="3"/>
          <w:numId w:val="87"/>
        </w:numPr>
      </w:pPr>
      <w:r>
        <w:t>La formation des jeunes par le Service national universel (SNU)</w:t>
      </w:r>
    </w:p>
    <w:p w14:paraId="5ED24F5E" w14:textId="77777777" w:rsidR="00774E19" w:rsidRDefault="00774E19" w:rsidP="00774E19">
      <w:r>
        <w:t>Le séjour de cohésion présente l’opportunité de positionner les enjeux de développement durable en réponse à la fois aux attentes des jeunes en termes d’engagement citoyen et au besoin d’identifier un fil rouge commun à l’ensemble des activités du séjour.</w:t>
      </w:r>
    </w:p>
    <w:p w14:paraId="453BADED" w14:textId="77777777" w:rsidR="00774E19" w:rsidRDefault="00774E19" w:rsidP="00774E19">
      <w:r>
        <w:t>Dès 2019, le ministère avait proposé que le SNU s’appuie sur l’Agenda 2030 et ses 17 objectifs de développement durable (ODD) interdépendants, auxquels participent les politiques publiques portées par les ministères, à la base du programme du séjour de cohésion.</w:t>
      </w:r>
    </w:p>
    <w:p w14:paraId="1D8C42B4" w14:textId="77777777" w:rsidR="00774E19" w:rsidRDefault="00774E19" w:rsidP="00774E19">
      <w:r>
        <w:t>Le ministère de la transition écologique et de la cohésion des territoires a produit des fiches sur dix thématiques, en identifiant les messages prioritaires : qualité de l’eau, biodiversité, énergie et changement climatique, économie circulaire, mobilités, qualité de l’air, risques, économie sociale et solidaire, santé-environnement, alimentation. Une fiche sur l’exemplarité des sites a également été produite. Ces 10 thématiques ont vocation à être traitées de manière transversale, au même titre que les sujets portés par les autres ministères : à partir d’activités très concrètes (activité sportive, chantier nature, échange avec des acteurs socioéconomiques…), il s’agit de présenter la transition écologique et solidaire comme une transformation vers un nouveau modèle économique et social qui renouvelle les façons de vivre ensemble, de travailler, de produire, de consommer pour répondre aux enjeux du changement climatique, de la raréfaction des ressources, de la perte accélérée de la biodiversité et de la multiplication des risques sanitaires environnementaux.</w:t>
      </w:r>
    </w:p>
    <w:p w14:paraId="28E7B28F" w14:textId="77777777" w:rsidR="00774E19" w:rsidRDefault="00774E19" w:rsidP="00774E19">
      <w:r>
        <w:t>Depuis cette année, le cahier des charges national des contenus des séjours de cohésion intègre l’obligation d’une « Journée biodiversité ». Le contenu de cette journée est cadré, et précisé/adapté par chaque centre, en association avec les acteurs locaux de la biodiversité (parcs naturels, associations…). Un bilan est prévu pour mesurer la bonne mise en œuvre de cette obligation et en tirer de premiers enseignements, dans une démarche d’amélioration continue.</w:t>
      </w:r>
    </w:p>
    <w:p w14:paraId="5BB9D025" w14:textId="77777777" w:rsidR="00774E19" w:rsidRDefault="00774E19" w:rsidP="00774E19"/>
    <w:p w14:paraId="0272FE20" w14:textId="77777777" w:rsidR="00774E19" w:rsidRDefault="00774E19" w:rsidP="00774E19">
      <w:r>
        <w:t>Chiffres sur les séjours de cohésion :</w:t>
      </w:r>
    </w:p>
    <w:p w14:paraId="108BCD92" w14:textId="47C843EC" w:rsidR="00774E19" w:rsidRDefault="00774E19" w:rsidP="00BE086C">
      <w:pPr>
        <w:pStyle w:val="ListParagraph"/>
        <w:numPr>
          <w:ilvl w:val="0"/>
          <w:numId w:val="48"/>
        </w:numPr>
      </w:pPr>
      <w:r>
        <w:t>2021 : a minima un centre par département, 15 000 jeunes effectivement accueillis ;</w:t>
      </w:r>
    </w:p>
    <w:p w14:paraId="5E5A1981" w14:textId="5761C384" w:rsidR="00774E19" w:rsidRDefault="00774E19" w:rsidP="00BE086C">
      <w:pPr>
        <w:pStyle w:val="ListParagraph"/>
        <w:numPr>
          <w:ilvl w:val="0"/>
          <w:numId w:val="48"/>
        </w:numPr>
      </w:pPr>
      <w:r>
        <w:t>2022 : objectif 50 000 jeunes. A l’été, trois sessions avaient été organisées, permettant d’accueillir au total près de 32 000 jeunes.</w:t>
      </w:r>
    </w:p>
    <w:p w14:paraId="0BEBF4F1" w14:textId="6E36339F" w:rsidR="00774E19" w:rsidRDefault="00774E19" w:rsidP="00BE086C">
      <w:pPr>
        <w:pStyle w:val="ListParagraph"/>
        <w:numPr>
          <w:ilvl w:val="0"/>
          <w:numId w:val="48"/>
        </w:numPr>
      </w:pPr>
      <w:r>
        <w:t>2023 : cinq sessions de séjours de cohésion, objectif croissant dans une perspective de généralisation à tous les jeunes de 15 à 20 ans.</w:t>
      </w:r>
    </w:p>
    <w:p w14:paraId="4290FE4D" w14:textId="7C713FC5" w:rsidR="00774E19" w:rsidRDefault="00774E19" w:rsidP="003F57EA">
      <w:pPr>
        <w:pStyle w:val="Titre2Niveau2"/>
        <w:numPr>
          <w:ilvl w:val="0"/>
          <w:numId w:val="87"/>
        </w:numPr>
      </w:pPr>
      <w:bookmarkStart w:id="795" w:name="_Toc138342090"/>
      <w:r>
        <w:t>Sensibilisation</w:t>
      </w:r>
      <w:r w:rsidRPr="00B81CA4">
        <w:t xml:space="preserve"> </w:t>
      </w:r>
      <w:r>
        <w:t>et participation du public</w:t>
      </w:r>
      <w:bookmarkEnd w:id="795"/>
    </w:p>
    <w:p w14:paraId="4F789F65" w14:textId="77777777" w:rsidR="00774E19" w:rsidRPr="00774E19" w:rsidRDefault="00774E19" w:rsidP="00774E19">
      <w:pPr>
        <w:spacing w:before="240" w:after="240"/>
      </w:pPr>
      <w:r w:rsidRPr="00774E19">
        <w:t xml:space="preserve">Les campagnes d’information organisées par la France entre 2014 et 2017 sur l’importance de lutte contre le changement climatique ont été, de manière directe ou indirecte, motivées par </w:t>
      </w:r>
    </w:p>
    <w:p w14:paraId="6187D435" w14:textId="77777777" w:rsidR="00774E19" w:rsidRPr="00774E19" w:rsidRDefault="00774E19" w:rsidP="003F57EA">
      <w:pPr>
        <w:pStyle w:val="Titre3Niveau3"/>
      </w:pPr>
      <w:bookmarkStart w:id="796" w:name="_Toc122084425"/>
      <w:bookmarkStart w:id="797" w:name="_Toc138342091"/>
      <w:r w:rsidRPr="00774E19">
        <w:t xml:space="preserve">Participation </w:t>
      </w:r>
      <w:bookmarkEnd w:id="796"/>
      <w:r w:rsidRPr="00774E19">
        <w:t>citoyenne</w:t>
      </w:r>
      <w:bookmarkEnd w:id="797"/>
    </w:p>
    <w:p w14:paraId="32E4F263" w14:textId="77777777" w:rsidR="00774E19" w:rsidRPr="00774E19" w:rsidRDefault="00774E19" w:rsidP="00774E19">
      <w:r w:rsidRPr="00774E19">
        <w:t xml:space="preserve">La participation du public dans l’élaboration des politiques nationales d’atténuation et d’adaptation a toujours été une préoccupation majeure de la France compte tenu de la complexité et des enjeux sociétaux de ces sujets. </w:t>
      </w:r>
    </w:p>
    <w:p w14:paraId="1433807B" w14:textId="77777777" w:rsidR="00774E19" w:rsidRDefault="00774E19" w:rsidP="00774E19">
      <w:r w:rsidRPr="00774E19">
        <w:t>L'ordonnance de 2016 rappelle les objectifs poursuivis par la participation du public :</w:t>
      </w:r>
      <w:r>
        <w:t xml:space="preserve"> </w:t>
      </w:r>
    </w:p>
    <w:p w14:paraId="16D4B139" w14:textId="77777777" w:rsidR="00774E19" w:rsidRDefault="00774E19" w:rsidP="003F57EA">
      <w:pPr>
        <w:pStyle w:val="ListParagraph"/>
        <w:numPr>
          <w:ilvl w:val="0"/>
          <w:numId w:val="85"/>
        </w:numPr>
      </w:pPr>
      <w:r>
        <w:t xml:space="preserve">Améliorer la qualité de la décision publique et contribuer à sa plus grande légitimité démocratique ; </w:t>
      </w:r>
    </w:p>
    <w:p w14:paraId="789F9692" w14:textId="77777777" w:rsidR="00774E19" w:rsidRDefault="00774E19" w:rsidP="003F57EA">
      <w:pPr>
        <w:pStyle w:val="ListParagraph"/>
        <w:numPr>
          <w:ilvl w:val="0"/>
          <w:numId w:val="85"/>
        </w:numPr>
      </w:pPr>
      <w:r>
        <w:t xml:space="preserve">Assurer la préservation d’un environnement sain ; </w:t>
      </w:r>
    </w:p>
    <w:p w14:paraId="1D604817" w14:textId="77777777" w:rsidR="00774E19" w:rsidRDefault="00774E19" w:rsidP="003F57EA">
      <w:pPr>
        <w:pStyle w:val="ListParagraph"/>
        <w:numPr>
          <w:ilvl w:val="0"/>
          <w:numId w:val="85"/>
        </w:numPr>
      </w:pPr>
      <w:r>
        <w:t>Sensibiliser et éduquer le public à la protection de l’environnement ;</w:t>
      </w:r>
    </w:p>
    <w:p w14:paraId="11BA674F" w14:textId="2B1C9975" w:rsidR="00774E19" w:rsidRDefault="00774E19" w:rsidP="003F57EA">
      <w:pPr>
        <w:pStyle w:val="ListParagraph"/>
        <w:numPr>
          <w:ilvl w:val="0"/>
          <w:numId w:val="85"/>
        </w:numPr>
      </w:pPr>
      <w:r>
        <w:t>Améliorer et diversifier l’information environnementale.</w:t>
      </w:r>
      <w:r w:rsidR="00260E0B">
        <w:rPr>
          <w:rFonts w:ascii="Calibri" w:hAnsi="Calibri" w:cs="Calibri"/>
        </w:rPr>
        <w:t xml:space="preserve"> </w:t>
      </w:r>
    </w:p>
    <w:p w14:paraId="371A0A15" w14:textId="77777777" w:rsidR="00774E19" w:rsidRDefault="00774E19" w:rsidP="00774E19"/>
    <w:p w14:paraId="7D018CEF" w14:textId="1269BB8D" w:rsidR="00774E19" w:rsidRDefault="00774E19" w:rsidP="00774E19">
      <w:r>
        <w:t>L</w:t>
      </w:r>
      <w:r w:rsidRPr="00C54B56">
        <w:t>’</w:t>
      </w:r>
      <w:r>
        <w:t>implication des citoyens est d</w:t>
      </w:r>
      <w:r w:rsidRPr="00C54B56">
        <w:t>é</w:t>
      </w:r>
      <w:r>
        <w:t>cisive pour la r</w:t>
      </w:r>
      <w:r w:rsidRPr="00C54B56">
        <w:t>é</w:t>
      </w:r>
      <w:r>
        <w:t xml:space="preserve">ussite de la transition </w:t>
      </w:r>
      <w:r w:rsidRPr="00C54B56">
        <w:t>é</w:t>
      </w:r>
      <w:r>
        <w:t xml:space="preserve">cologique et </w:t>
      </w:r>
      <w:r w:rsidRPr="00C54B56">
        <w:t>é</w:t>
      </w:r>
      <w:r>
        <w:t>nerg</w:t>
      </w:r>
      <w:r w:rsidRPr="00C54B56">
        <w:t>é</w:t>
      </w:r>
      <w:r>
        <w:t>tique, sous diff</w:t>
      </w:r>
      <w:r w:rsidRPr="00C54B56">
        <w:t>é</w:t>
      </w:r>
      <w:r>
        <w:t>rentes formes qui permettent de prendre l’avis des citoyens et de les associer à la construction de leur cadre de vie</w:t>
      </w:r>
      <w:r w:rsidR="00260E0B">
        <w:rPr>
          <w:rFonts w:ascii="Calibri" w:hAnsi="Calibri" w:cs="Calibri"/>
        </w:rPr>
        <w:t xml:space="preserve"> </w:t>
      </w:r>
      <w:r>
        <w:t>:</w:t>
      </w:r>
    </w:p>
    <w:p w14:paraId="3F88ADB4" w14:textId="77777777" w:rsidR="00774E19" w:rsidRDefault="00774E19" w:rsidP="003F57EA">
      <w:pPr>
        <w:pStyle w:val="ListParagraph"/>
        <w:numPr>
          <w:ilvl w:val="0"/>
          <w:numId w:val="86"/>
        </w:numPr>
      </w:pPr>
      <w:r>
        <w:t xml:space="preserve">Le conseil national de la transition </w:t>
      </w:r>
      <w:r w:rsidRPr="00C54B56">
        <w:t>é</w:t>
      </w:r>
      <w:r>
        <w:t xml:space="preserve">cologique (CNTE), qui rend des avis structurants pour la politique de la transition </w:t>
      </w:r>
      <w:r w:rsidRPr="00C54B56">
        <w:t>é</w:t>
      </w:r>
      <w:r>
        <w:t>cologique ;</w:t>
      </w:r>
    </w:p>
    <w:p w14:paraId="797C960C" w14:textId="77777777" w:rsidR="00774E19" w:rsidRDefault="00774E19" w:rsidP="003F57EA">
      <w:pPr>
        <w:pStyle w:val="ListParagraph"/>
        <w:numPr>
          <w:ilvl w:val="0"/>
          <w:numId w:val="86"/>
        </w:numPr>
      </w:pPr>
      <w:r>
        <w:t>Des concertations grand public (CCC, mix énergétique...) ;</w:t>
      </w:r>
    </w:p>
    <w:p w14:paraId="3B954B63" w14:textId="77777777" w:rsidR="00774E19" w:rsidRDefault="00774E19" w:rsidP="003F57EA">
      <w:pPr>
        <w:pStyle w:val="ListParagraph"/>
        <w:numPr>
          <w:ilvl w:val="0"/>
          <w:numId w:val="86"/>
        </w:numPr>
      </w:pPr>
      <w:r>
        <w:t>Des expérimentations telles que celles menées avec Bruno Latour</w:t>
      </w:r>
      <w:r w:rsidRPr="00774E19">
        <w:rPr>
          <w:rFonts w:ascii="Calibri" w:hAnsi="Calibri" w:cs="Calibri"/>
        </w:rPr>
        <w:t> </w:t>
      </w:r>
      <w:r>
        <w:t>: «</w:t>
      </w:r>
      <w:r w:rsidRPr="00774E19">
        <w:rPr>
          <w:rFonts w:ascii="Calibri" w:hAnsi="Calibri" w:cs="Calibri"/>
        </w:rPr>
        <w:t> </w:t>
      </w:r>
      <w:r>
        <w:t>Où atterrir ?</w:t>
      </w:r>
      <w:r w:rsidRPr="00774E19">
        <w:rPr>
          <w:rFonts w:ascii="Calibri" w:hAnsi="Calibri" w:cs="Calibri"/>
        </w:rPr>
        <w:t> </w:t>
      </w:r>
      <w:r w:rsidRPr="00B81CA4">
        <w:t>»</w:t>
      </w:r>
    </w:p>
    <w:p w14:paraId="6979E6B6" w14:textId="77777777" w:rsidR="00774E19" w:rsidRDefault="00774E19" w:rsidP="003F57EA">
      <w:pPr>
        <w:pStyle w:val="ListParagraph"/>
        <w:numPr>
          <w:ilvl w:val="0"/>
          <w:numId w:val="86"/>
        </w:numPr>
      </w:pPr>
      <w:r>
        <w:t>Des réflexions et des retours d’expérience tels que la 21</w:t>
      </w:r>
      <w:r w:rsidRPr="00B81CA4">
        <w:t>ème</w:t>
      </w:r>
      <w:r>
        <w:t xml:space="preserve"> Conférence de l'OIDP, le sommet mondial de la démocratie participative, à Grenoble (France) du 7 au 10 décembre 2021, dont le thème était " Passer à l'action ! Vers un renouveau démocratique face à la crise écologique, sanitaire et sociale"</w:t>
      </w:r>
      <w:r w:rsidRPr="00774E19">
        <w:rPr>
          <w:rFonts w:ascii="Calibri" w:hAnsi="Calibri" w:cs="Calibri"/>
        </w:rPr>
        <w:t> </w:t>
      </w:r>
      <w:r>
        <w:t>;</w:t>
      </w:r>
    </w:p>
    <w:p w14:paraId="0494B47B" w14:textId="7D4CDD19" w:rsidR="00774E19" w:rsidRDefault="00465F43" w:rsidP="003F57EA">
      <w:pPr>
        <w:pStyle w:val="ListParagraph"/>
        <w:numPr>
          <w:ilvl w:val="0"/>
          <w:numId w:val="86"/>
        </w:numPr>
      </w:pPr>
      <w:r>
        <w:t xml:space="preserve">Des </w:t>
      </w:r>
      <w:r w:rsidR="00774E19">
        <w:t>productions du CGDD telles que le Théma «</w:t>
      </w:r>
      <w:r w:rsidR="00774E19" w:rsidRPr="00774E19">
        <w:rPr>
          <w:rFonts w:ascii="Calibri" w:hAnsi="Calibri" w:cs="Calibri"/>
        </w:rPr>
        <w:t> </w:t>
      </w:r>
      <w:r w:rsidR="00774E19">
        <w:t>Initiatives citoyennes et transition écologique : quels enjeux pour l'action publique ?</w:t>
      </w:r>
      <w:r w:rsidR="00774E19" w:rsidRPr="00774E19">
        <w:rPr>
          <w:rFonts w:ascii="Calibri" w:hAnsi="Calibri" w:cs="Calibri"/>
        </w:rPr>
        <w:t> </w:t>
      </w:r>
      <w:r w:rsidR="00774E19" w:rsidRPr="00B81CA4">
        <w:t>»</w:t>
      </w:r>
      <w:r w:rsidR="00774E19">
        <w:t xml:space="preserve"> (</w:t>
      </w:r>
      <w:hyperlink r:id="rId168" w:history="1">
        <w:r w:rsidR="00774E19" w:rsidRPr="00774E19">
          <w:rPr>
            <w:sz w:val="18"/>
            <w:szCs w:val="18"/>
          </w:rPr>
          <w:t>https://www.ecologie.gouv.fr/sites/default/files/Thema%20-%20Initiatives%20citoyennes%20et%20transition%20%C3%A9cologique.pdf</w:t>
        </w:r>
      </w:hyperlink>
      <w:r w:rsidR="00774E19">
        <w:t>)</w:t>
      </w:r>
      <w:r w:rsidR="00774E19">
        <w:br/>
      </w:r>
      <w:r w:rsidR="00774E19">
        <w:br/>
        <w:t xml:space="preserve">Voir aussi : </w:t>
      </w:r>
      <w:hyperlink r:id="rId169" w:history="1">
        <w:r w:rsidR="00774E19" w:rsidRPr="00C54B56">
          <w:t>https://www.ecologie.gouv.fr/dialogue-environnemental</w:t>
        </w:r>
      </w:hyperlink>
    </w:p>
    <w:p w14:paraId="35B64E50" w14:textId="77777777" w:rsidR="00774E19" w:rsidRDefault="00774E19" w:rsidP="00774E19"/>
    <w:p w14:paraId="0381FD1B" w14:textId="335DFA1C" w:rsidR="001E2B1E" w:rsidRPr="00774E19" w:rsidRDefault="00774E19" w:rsidP="003F57EA">
      <w:pPr>
        <w:pStyle w:val="Titre3Niveau3"/>
      </w:pPr>
      <w:bookmarkStart w:id="798" w:name="_Toc138342092"/>
      <w:r w:rsidRPr="00774E19">
        <w:t>Les Jeunes délégués : les représentants de la jeunesse dans l'équipe de négociations climatiques et les vecteurs d'avenir de la participation du public en France</w:t>
      </w:r>
      <w:bookmarkEnd w:id="798"/>
    </w:p>
    <w:p w14:paraId="3D2620A1" w14:textId="77777777" w:rsidR="00B26AC0" w:rsidRDefault="00B26AC0" w:rsidP="001E2B1E">
      <w:r w:rsidRPr="00B26AC0">
        <w:t>Dans l’objectif d’encourager la participation de la jeunesse à l’action climatique et de renforcer la transparence du processus de négociation au sein de la Convention-cadre des Nations Unies sur les changements climatiques, la France a mis en place en 2009 le programme « Jeunes délégués pour le climat ». Ce programme permet à deux jeunes citoyens français d’accompagner pendant deux ans l’équipe interministérielle française de négociations climatiques lors des sessions des organes subsidiaires et de la conférence des Parties à la CCNUCC.</w:t>
      </w:r>
    </w:p>
    <w:p w14:paraId="2CD79B40" w14:textId="64C6E403" w:rsidR="001E2B1E" w:rsidRDefault="00B26AC0" w:rsidP="001E2B1E">
      <w:r w:rsidRPr="00B26AC0">
        <w:t>Les Jeunes délégués ont la possibilité de choisir les sujets de négociation qu’ils souhaitent suivre, en lien avec l’expert en charge du sujet et, s’ils ne prennent pas la parole au nom de la France lors des négociations, ils contribuent au travail de la délégation française en partageant leur avis, en amont et lors des négociations. L’expérience et les connaissances acquises lors de ces négociations sont ensuite partagées par les Jeunes délégués dans des conférences et des débats, ainsi que lors d’interventions dans des collèges, lycées et établissements du supérieur, afin d’informer et de sensibiliser les jeunes rencontrés aux enjeux de la lutte contre le changement climatique. Lors des négociations, les Jeunes délégués font aussi le lien avec les jeunes français présents sur place, afin que ces derniers puissent échanger avec des négociateurs français.</w:t>
      </w:r>
    </w:p>
    <w:p w14:paraId="0869326E" w14:textId="77777777" w:rsidR="00774E19" w:rsidRDefault="00774E19" w:rsidP="003F57EA">
      <w:pPr>
        <w:pStyle w:val="Titre3Niveau3"/>
      </w:pPr>
      <w:bookmarkStart w:id="799" w:name="_Toc138342093"/>
      <w:r>
        <w:t>Informer les consommateurs sur l’impact des produits sur le climat et l’environnement</w:t>
      </w:r>
      <w:bookmarkEnd w:id="799"/>
      <w:r w:rsidRPr="00E22CF8">
        <w:rPr>
          <w:highlight w:val="yellow"/>
        </w:rPr>
        <w:t xml:space="preserve"> </w:t>
      </w:r>
    </w:p>
    <w:p w14:paraId="46C06A4C" w14:textId="77777777" w:rsidR="00774E19" w:rsidRDefault="00774E19" w:rsidP="00774E19">
      <w:pPr>
        <w:spacing w:before="240" w:after="240"/>
      </w:pPr>
      <w:r>
        <w:t xml:space="preserve">La loi Climat et résilience de 2021, inspirée par les propositions de la Convention citoyenne pour le climat, prévoit la mise en place d'un </w:t>
      </w:r>
      <w:r w:rsidRPr="00C50ABC">
        <w:rPr>
          <w:b/>
        </w:rPr>
        <w:t>affichage environnemental obligatoire</w:t>
      </w:r>
      <w:r>
        <w:t xml:space="preserve"> sur les produits de consommation. Cette information sur l’empreinte carbone et environnementale des produits vise à orienter les achats des consommateurs vers des produits plus vertueux tout en poussant les fabricants à mieux éco-concevoir leurs produits. </w:t>
      </w:r>
    </w:p>
    <w:p w14:paraId="5EBAB242" w14:textId="6E81FAC7" w:rsidR="00774E19" w:rsidRDefault="00774E19" w:rsidP="00774E19">
      <w:pPr>
        <w:spacing w:before="240" w:after="240"/>
        <w:rPr>
          <w:rFonts w:ascii="Calibri" w:hAnsi="Calibri" w:cs="Calibri"/>
          <w:b/>
        </w:rPr>
      </w:pPr>
      <w:r>
        <w:t xml:space="preserve">Des travaux sont en cours dans les secteurs alimentaire et textile, avec la participation de très nombreuses entreprises, dont les résultats seront pris en compte pour l’élaboration des mesures d’application prévues </w:t>
      </w:r>
      <w:r w:rsidRPr="00C50ABC">
        <w:rPr>
          <w:b/>
        </w:rPr>
        <w:t>à partir de 2023.</w:t>
      </w:r>
    </w:p>
    <w:p w14:paraId="591F65F3" w14:textId="77777777" w:rsidR="0014226E" w:rsidRDefault="0014226E" w:rsidP="003F57EA">
      <w:pPr>
        <w:pStyle w:val="Titre3Niveau3"/>
      </w:pPr>
      <w:bookmarkStart w:id="800" w:name="_Toc138342094"/>
      <w:r>
        <w:t>Faire des rédactions et des services météo des relais d’information</w:t>
      </w:r>
      <w:bookmarkEnd w:id="800"/>
      <w:r>
        <w:t xml:space="preserve"> </w:t>
      </w:r>
    </w:p>
    <w:p w14:paraId="249701EE" w14:textId="77777777" w:rsidR="0014226E" w:rsidRDefault="0014226E" w:rsidP="0014226E">
      <w:r>
        <w:t xml:space="preserve">Dans le cadre des nouveaux engagements pris par le groupe France Télévisions dans le traitement de l'actualité sur les sujets liés à l'environnement, la direction de la communication du ministère a organisé plusieurs rencontres entre le directeur des rédactions nationales du groupe, le service « Planète » de la rédaction et les services ministériels. En amont de la COP27, le ministère a engagé dès la rentrée médiatique 2022 des discussions avec le groupe France Télévisions. Le projet s’est poursuivi pour la COP15, ce qui a permis de faire le lien entre les deux COP et expliquer en quoi ces deux sujets sont inter-liés. </w:t>
      </w:r>
    </w:p>
    <w:p w14:paraId="5031DB74" w14:textId="77777777" w:rsidR="0014226E" w:rsidRDefault="0014226E" w:rsidP="0014226E"/>
    <w:p w14:paraId="23BCE2BC" w14:textId="77777777" w:rsidR="0014226E" w:rsidRDefault="0014226E" w:rsidP="0014226E">
      <w:r>
        <w:t>Le groupe du service public a en effet effectué une refonte de la cellule environnement au sein de sa rédaction, ainsi qu'un renouvellement de la manière dont est traitée la météo à l'antenne, afin de davantage faire le lien avec le changement climatique, dans le but d'avoir une nouvelle formule d'ici à janvier 2023.</w:t>
      </w:r>
    </w:p>
    <w:p w14:paraId="205307DD" w14:textId="77777777" w:rsidR="0014226E" w:rsidRDefault="0014226E" w:rsidP="0014226E"/>
    <w:p w14:paraId="2C615A4A" w14:textId="77777777" w:rsidR="0014226E" w:rsidRDefault="0014226E" w:rsidP="0014226E">
      <w:r>
        <w:t>Le ministère a pu ainsi présenter à la rédaction des éléments scientifiques sur les impacts du changement climatique sur la base de données scientifiques éprouvées pour faire évoluer les programmes du groupe. Les discussions engagées se sont ensuite poursuivies pour avoir une couverture médiatique optimale de la COP15 sur la biodiversité.</w:t>
      </w:r>
    </w:p>
    <w:p w14:paraId="2DD19AC8" w14:textId="77777777" w:rsidR="0014226E" w:rsidRDefault="0014226E" w:rsidP="0014226E"/>
    <w:p w14:paraId="5D2BB296" w14:textId="77777777" w:rsidR="0014226E" w:rsidRDefault="0014226E" w:rsidP="0014226E">
      <w:r>
        <w:t xml:space="preserve">Au-delà de cette action spécifique sur les COP, qui sera amenée à se poursuivre, le ministère avait auparavant également formé plusieurs rédactions (Ouest France, services météo de TF1 et de BFM TV…) sur les enjeux liés aux changements climatiques. Le ministère a également noué un partenariat avec « Médias en Seine », le festival de références dans le monde des médias et de la communication. </w:t>
      </w:r>
    </w:p>
    <w:p w14:paraId="706F0CB7" w14:textId="77777777" w:rsidR="0014226E" w:rsidRDefault="0014226E" w:rsidP="0014226E"/>
    <w:p w14:paraId="0B7E845B" w14:textId="6F47BBB8" w:rsidR="0014226E" w:rsidRPr="0014226E" w:rsidRDefault="0014226E" w:rsidP="0014226E">
      <w:pPr>
        <w:spacing w:before="240" w:after="240"/>
      </w:pPr>
      <w:r>
        <w:t>Ces actions de sensibilisation des médias sont amenées à se développer à l’avenir, la demande étant très forte de la part des journalistes.</w:t>
      </w:r>
    </w:p>
    <w:p w14:paraId="70A53506" w14:textId="77777777" w:rsidR="001E2B1E" w:rsidRPr="00724D8F" w:rsidRDefault="001E2B1E" w:rsidP="003F57EA">
      <w:pPr>
        <w:pStyle w:val="Titre2Niveau2"/>
        <w:numPr>
          <w:ilvl w:val="0"/>
          <w:numId w:val="87"/>
        </w:numPr>
      </w:pPr>
      <w:bookmarkStart w:id="801" w:name="_Toc138342095"/>
      <w:r>
        <w:t>Coopération</w:t>
      </w:r>
      <w:bookmarkEnd w:id="801"/>
    </w:p>
    <w:p w14:paraId="208CC6EA" w14:textId="77777777" w:rsidR="001E2B1E" w:rsidRPr="00E22CF8" w:rsidRDefault="001E2B1E" w:rsidP="003F57EA">
      <w:pPr>
        <w:pStyle w:val="Titre3Niveau3"/>
        <w:rPr>
          <w:rFonts w:asciiTheme="minorHAnsi" w:hAnsiTheme="minorHAnsi"/>
          <w:sz w:val="19"/>
        </w:rPr>
      </w:pPr>
      <w:bookmarkStart w:id="802" w:name="_Ref123207241"/>
      <w:bookmarkStart w:id="803" w:name="_Toc138342096"/>
      <w:r>
        <w:t>Coopération internationale</w:t>
      </w:r>
      <w:bookmarkEnd w:id="802"/>
      <w:bookmarkEnd w:id="803"/>
    </w:p>
    <w:p w14:paraId="741915AD" w14:textId="5A1C188B" w:rsidR="00ED2A5C" w:rsidRDefault="00ED2A5C" w:rsidP="00ED2A5C">
      <w:r w:rsidRPr="00E46157">
        <w:t>Les effets des changements climatiques s’accélèrent, s’intensifient et sont généralisés à toutes les régions du globe.</w:t>
      </w:r>
      <w:r>
        <w:t xml:space="preserve"> Aussi, c</w:t>
      </w:r>
      <w:r w:rsidRPr="00E46157">
        <w:t>et enjeu doit être traité au niveau mondial</w:t>
      </w:r>
      <w:r w:rsidRPr="00E46157">
        <w:rPr>
          <w:rFonts w:ascii="Calibri" w:hAnsi="Calibri" w:cs="Calibri"/>
        </w:rPr>
        <w:t> </w:t>
      </w:r>
      <w:r w:rsidRPr="00E46157">
        <w:t>: chaque pays doit s’engager à réduire ses é</w:t>
      </w:r>
      <w:r w:rsidRPr="00AB32A0">
        <w:t xml:space="preserve">missions directes comme </w:t>
      </w:r>
      <w:r w:rsidRPr="00E46157">
        <w:t>importé</w:t>
      </w:r>
      <w:r>
        <w:t>e</w:t>
      </w:r>
      <w:r w:rsidRPr="00E46157">
        <w:t>s.</w:t>
      </w:r>
    </w:p>
    <w:p w14:paraId="02E66E35" w14:textId="77777777" w:rsidR="001B6866" w:rsidRPr="00E46157" w:rsidRDefault="001B6866" w:rsidP="00ED2A5C"/>
    <w:p w14:paraId="016184EA" w14:textId="557C4E09" w:rsidR="00ED2A5C" w:rsidRDefault="00ED2A5C" w:rsidP="00ED2A5C">
      <w:r>
        <w:t xml:space="preserve">La coopération internationale commence par l’action européenne. </w:t>
      </w:r>
      <w:r w:rsidRPr="00E46157">
        <w:t xml:space="preserve">Dans le contexte de la mise en œuvre de l’Accord de Paris qui encadre l’action de tous les pays, l’Union européenne (UE) et la France se sont engagées </w:t>
      </w:r>
      <w:r>
        <w:t xml:space="preserve">à réduire leurs émissions d’au moins 55% par rapport à 1990 et </w:t>
      </w:r>
      <w:r w:rsidRPr="00E46157">
        <w:t>à atteindre la neutralité climatique d’ici 2050 par une démarche volontariste et exemplaire. Pour soutenir l’atteinte de ces objectifs, une série d’instruments législatifs et de stratégies sectorielles</w:t>
      </w:r>
      <w:r>
        <w:t xml:space="preserve"> européens</w:t>
      </w:r>
      <w:r w:rsidRPr="00E46157">
        <w:t xml:space="preserve"> </w:t>
      </w:r>
      <w:r>
        <w:t>sont</w:t>
      </w:r>
      <w:r w:rsidRPr="00E46157">
        <w:t xml:space="preserve"> adoptés pour les placer sur une trajectoire de décarbonation en ligne avec ces objectifs. </w:t>
      </w:r>
    </w:p>
    <w:p w14:paraId="1CCA86A3" w14:textId="77777777" w:rsidR="001B6866" w:rsidRPr="00E46157" w:rsidRDefault="001B6866" w:rsidP="00ED2A5C"/>
    <w:p w14:paraId="1534AA40" w14:textId="77777777" w:rsidR="00ED2A5C" w:rsidRDefault="00ED2A5C" w:rsidP="00ED2A5C">
      <w:r>
        <w:t>Par ailleurs</w:t>
      </w:r>
      <w:r w:rsidRPr="00E46157">
        <w:t xml:space="preserve">, </w:t>
      </w:r>
      <w:r>
        <w:t>la France</w:t>
      </w:r>
      <w:r w:rsidRPr="00E46157">
        <w:t xml:space="preserve"> soutient une mise en œuvre ambitieuse de l’Accord de Paris</w:t>
      </w:r>
      <w:r>
        <w:t xml:space="preserve"> dans l’ensemble des </w:t>
      </w:r>
      <w:r w:rsidRPr="00E46157">
        <w:t xml:space="preserve">enceintes </w:t>
      </w:r>
      <w:r>
        <w:t xml:space="preserve">internationales </w:t>
      </w:r>
      <w:r w:rsidRPr="00E46157">
        <w:t xml:space="preserve">pertinentes et par l’action collective rassemblant toutes les parties prenantes. </w:t>
      </w:r>
      <w:r>
        <w:t>La lutte contre le changement climatique nécessite</w:t>
      </w:r>
      <w:r w:rsidRPr="00E46157">
        <w:t xml:space="preserve"> la décarbonation profonde des économies et des sociétés, requiert des investissements massifs, une modification des comportements, la préservation, la restauration et la valorisation des écosystèmes terrestres, aquatiques et marins mais aussi des innovations technologiques de rupture.</w:t>
      </w:r>
      <w:r>
        <w:t xml:space="preserve"> C’est pourquoi la France porte son ambition climatique dans les enceintes relatives non seulement au climat, mais aussi aux finances et à l’économie, aux modes de vie, à la protection de l’environnement et de la biodiversité.</w:t>
      </w:r>
    </w:p>
    <w:p w14:paraId="2074174B" w14:textId="20546EFA" w:rsidR="00ED2A5C" w:rsidRDefault="00ED2A5C" w:rsidP="00ED2A5C">
      <w:r>
        <w:t>La coopération bilatérale est également un espace privilégié où la France travaille à étendre l’action climatique. Pour cela, elle met en place des échanges de bonnes pratiques et des espaces de dialogue pour coordonner et faire se complémenter les actions des pays.</w:t>
      </w:r>
    </w:p>
    <w:p w14:paraId="62322996" w14:textId="77777777" w:rsidR="001B6866" w:rsidRDefault="001B6866" w:rsidP="00ED2A5C"/>
    <w:p w14:paraId="20AE6683" w14:textId="45BA8441" w:rsidR="00ED2A5C" w:rsidRDefault="00ED2A5C" w:rsidP="00ED2A5C">
      <w:r>
        <w:t>La France accompagne</w:t>
      </w:r>
      <w:r w:rsidRPr="00E46157">
        <w:t xml:space="preserve"> les populations, notamment les plus vulnérables, dans </w:t>
      </w:r>
      <w:r>
        <w:t>la</w:t>
      </w:r>
      <w:r w:rsidRPr="00CA3D0D">
        <w:t xml:space="preserve"> transition écologique</w:t>
      </w:r>
      <w:r w:rsidRPr="00E46157">
        <w:t>.</w:t>
      </w:r>
      <w:r>
        <w:t xml:space="preserve"> La France agit pour cela régulièrement via L’Agence Française de développement, qui met en œuvre les projets de coopération, en termes d’atténuation ou d’adaptation.</w:t>
      </w:r>
    </w:p>
    <w:p w14:paraId="1F709ABD" w14:textId="77777777" w:rsidR="001B6866" w:rsidRDefault="001B6866" w:rsidP="00ED2A5C"/>
    <w:p w14:paraId="5D9F6BA5" w14:textId="0D52F62D" w:rsidR="00ED2A5C" w:rsidRDefault="00ED2A5C" w:rsidP="00ED2A5C">
      <w:r w:rsidRPr="00471E62">
        <w:t>Les acteurs non étatiques, collectivités territoriales, organisations professionnelles, communautés scientifiques et techniques, ONG disposent de relais d’influence importants dans les enceintes européennes et internationa</w:t>
      </w:r>
      <w:r>
        <w:t xml:space="preserve">les, favorisant </w:t>
      </w:r>
      <w:r w:rsidRPr="00471E62">
        <w:t xml:space="preserve">le partage d’expériences. </w:t>
      </w:r>
      <w:r>
        <w:t xml:space="preserve">La France travaille particulièrement à </w:t>
      </w:r>
      <w:r w:rsidRPr="00471E62">
        <w:t>accroître les échanges avec ces acteurs</w:t>
      </w:r>
      <w:r>
        <w:t xml:space="preserve"> nationaux et internationaux</w:t>
      </w:r>
      <w:r w:rsidRPr="00471E62">
        <w:t xml:space="preserve"> par une concertation accrue, pour partager les priorités et identifier des opportunités pour des initiatives communes et coordonnées à l’international.</w:t>
      </w:r>
    </w:p>
    <w:p w14:paraId="42BADB36" w14:textId="77777777" w:rsidR="001B6866" w:rsidRPr="00471E62" w:rsidRDefault="001B6866" w:rsidP="00ED2A5C"/>
    <w:p w14:paraId="5BFEAF4D" w14:textId="77777777" w:rsidR="005B7447" w:rsidRDefault="00ED2A5C" w:rsidP="00ED2A5C">
      <w:r>
        <w:t>La France met en place des</w:t>
      </w:r>
      <w:r w:rsidRPr="00471E62">
        <w:t xml:space="preserve"> coalitions multi-acteurs (par exemple, celles </w:t>
      </w:r>
      <w:r w:rsidR="005B7447" w:rsidRPr="007F47EF">
        <w:t>lancées à l’occasion de la COP21, puis des COP suivantes, lors de la présidence française du G7 en 2019 ou</w:t>
      </w:r>
      <w:r w:rsidR="005B7447" w:rsidRPr="00CE6C75">
        <w:t xml:space="preserve"> </w:t>
      </w:r>
      <w:r w:rsidRPr="00471E62">
        <w:t xml:space="preserve">issues </w:t>
      </w:r>
      <w:r>
        <w:t>du One Planet Summit), favorise</w:t>
      </w:r>
      <w:r w:rsidRPr="00471E62">
        <w:t xml:space="preserve"> l’implication des acteurs non étatiques dans les grands événements multilatéraux (par ex</w:t>
      </w:r>
      <w:r>
        <w:t>emple, les COP climat), suscite</w:t>
      </w:r>
      <w:r w:rsidRPr="00471E62">
        <w:t xml:space="preserve"> des engagements communs ambitieux, voire le lanc</w:t>
      </w:r>
      <w:r>
        <w:t>ement d’initiatives partagées.</w:t>
      </w:r>
    </w:p>
    <w:p w14:paraId="7FDD02F2" w14:textId="77777777" w:rsidR="005B7447" w:rsidRDefault="005B7447" w:rsidP="00ED2A5C"/>
    <w:p w14:paraId="47F1760A" w14:textId="72DB8036" w:rsidR="00ED2A5C" w:rsidRDefault="005B7447" w:rsidP="00ED2A5C">
      <w:r>
        <w:t>En guise d’illustration, pourrait être citée</w:t>
      </w:r>
      <w:r w:rsidRPr="007F47EF">
        <w:rPr>
          <w:b/>
        </w:rPr>
        <w:t xml:space="preserve"> l’implication française au niveau international pour</w:t>
      </w:r>
      <w:r w:rsidRPr="005B1E56">
        <w:rPr>
          <w:b/>
        </w:rPr>
        <w:t xml:space="preserve"> accé</w:t>
      </w:r>
      <w:r w:rsidRPr="007F47EF">
        <w:rPr>
          <w:b/>
        </w:rPr>
        <w:t>lérer la transition vers un secteur immobilier à zéro émission, efficace en énergie et résilient</w:t>
      </w:r>
      <w:r>
        <w:t xml:space="preserve"> aux changements climatiques. Lors de la COP21, la France a ainsi lancé, avec le PNUE, l’alliance mondiale pour les bâtiments et la construction (</w:t>
      </w:r>
      <w:hyperlink r:id="rId170" w:history="1">
        <w:r w:rsidRPr="00F90DBA">
          <w:rPr>
            <w:rStyle w:val="Hyperlink"/>
          </w:rPr>
          <w:t>www.globalABC.com</w:t>
        </w:r>
      </w:hyperlink>
      <w:r>
        <w:t>). Cette alliance, co-présidée par la France, réunit aujourd’hui 36 pays et plus de 200 organisations. Plus récemment, à la COP27, la France, avec l’appui de 15 autres pays, a lancé une coopération renforcée entre gouvernements, avec un «</w:t>
      </w:r>
      <w:r w:rsidRPr="00B12D09">
        <w:rPr>
          <w:rFonts w:ascii="Calibri" w:hAnsi="Calibri" w:cs="Calibri"/>
        </w:rPr>
        <w:t> </w:t>
      </w:r>
      <w:r>
        <w:t>Breakthrough</w:t>
      </w:r>
      <w:r>
        <w:rPr>
          <w:rFonts w:ascii="Calibri" w:hAnsi="Calibri" w:cs="Calibri"/>
        </w:rPr>
        <w:t> </w:t>
      </w:r>
      <w:r>
        <w:rPr>
          <w:rFonts w:cs="Marianne"/>
        </w:rPr>
        <w:t>»</w:t>
      </w:r>
      <w:r>
        <w:t xml:space="preserve"> sur les bâtiments, pour faire que les bâtiments proches de zero émission et résilients soient la nouvelle normalité d’ici 2030.</w:t>
      </w:r>
      <w:r w:rsidR="00ED2A5C">
        <w:t xml:space="preserve"> </w:t>
      </w:r>
    </w:p>
    <w:p w14:paraId="1630D84B" w14:textId="77777777" w:rsidR="001B6866" w:rsidRPr="00471E62" w:rsidRDefault="001B6866" w:rsidP="00ED2A5C"/>
    <w:p w14:paraId="154A3EBE" w14:textId="6248062B" w:rsidR="00ED2A5C" w:rsidRDefault="00ED2A5C" w:rsidP="00ED2A5C">
      <w:r>
        <w:t>La France appuie</w:t>
      </w:r>
      <w:r w:rsidRPr="00471E62">
        <w:t xml:space="preserve"> les plateformes </w:t>
      </w:r>
      <w:r>
        <w:t xml:space="preserve">internationales </w:t>
      </w:r>
      <w:r w:rsidRPr="00471E62">
        <w:t xml:space="preserve">d’interface science – politique, réunissant des experts de tous les pays (par exemple, </w:t>
      </w:r>
      <w:r>
        <w:t>Groupe interministériel d’experts sur le changement climatique (</w:t>
      </w:r>
      <w:r w:rsidRPr="00471E62">
        <w:t>GIEC</w:t>
      </w:r>
      <w:r>
        <w:t>)</w:t>
      </w:r>
      <w:r w:rsidRPr="00471E62">
        <w:t xml:space="preserve">, Plateforme intergouvernementale scientifique et politique sur la biodiversité et les services écosystémiques </w:t>
      </w:r>
      <w:r>
        <w:t>(</w:t>
      </w:r>
      <w:r w:rsidRPr="00471E62">
        <w:t>IPBES</w:t>
      </w:r>
      <w:r>
        <w:t xml:space="preserve">), </w:t>
      </w:r>
      <w:r w:rsidRPr="00471E62">
        <w:t xml:space="preserve">Groupe international d'experts sur les ressources </w:t>
      </w:r>
      <w:r>
        <w:t>(</w:t>
      </w:r>
      <w:r w:rsidRPr="00471E62">
        <w:t>GIER</w:t>
      </w:r>
      <w:r>
        <w:t>)</w:t>
      </w:r>
      <w:r w:rsidRPr="00471E62">
        <w:t xml:space="preserve">, </w:t>
      </w:r>
      <w:r>
        <w:t xml:space="preserve">ou encore le </w:t>
      </w:r>
      <w:r w:rsidRPr="00471E62">
        <w:t xml:space="preserve">One Health High-Level Expert Panel </w:t>
      </w:r>
      <w:r>
        <w:t>(</w:t>
      </w:r>
      <w:r w:rsidRPr="00471E62">
        <w:t>OHHLEP</w:t>
      </w:r>
      <w:r>
        <w:t>)</w:t>
      </w:r>
      <w:r w:rsidRPr="00471E62">
        <w:t>), pour accroître l’effectivité des politiques publiques à partir des données scientifiquement établies, favoriser leur intégration dans les enceintes multilatérales et leur prise en compte dans les politiques nationales.</w:t>
      </w:r>
    </w:p>
    <w:p w14:paraId="0021872D" w14:textId="77777777" w:rsidR="001B6866" w:rsidRPr="00E46157" w:rsidRDefault="001B6866" w:rsidP="00ED2A5C"/>
    <w:p w14:paraId="05C194FD" w14:textId="04763656" w:rsidR="0051771F" w:rsidRDefault="00ED2A5C" w:rsidP="00ED2A5C">
      <w:r w:rsidRPr="00E46157">
        <w:t>La France au titre de la francophonie assume une part importante de mise en œuvre de cette obligation et soutient également les travaux menés par l’Institut de la francophonie pour le développement durable et tout particulièrement la rédaction et l’édition de guides et notes de décryptages sur les négociations climat. Un bon nombre de publications en français sur le changement climatique rédigées par la France est largement diffusé au sein de la communa</w:t>
      </w:r>
      <w:r>
        <w:t>uté internationale francophone.</w:t>
      </w:r>
      <w:r w:rsidR="0051771F">
        <w:br w:type="page"/>
      </w:r>
    </w:p>
    <w:p w14:paraId="43C4829F" w14:textId="77777777" w:rsidR="00E4163C" w:rsidRPr="00E4163C" w:rsidRDefault="00E4163C" w:rsidP="00E4163C">
      <w:pPr>
        <w:pStyle w:val="Textedesaisie"/>
        <w:ind w:left="0"/>
      </w:pPr>
    </w:p>
    <w:p w14:paraId="51FCDCEC" w14:textId="77777777" w:rsidR="00B56301" w:rsidRPr="00C654BE" w:rsidRDefault="00B56301" w:rsidP="00B56301">
      <w:pPr>
        <w:pStyle w:val="Titre1Niveau1"/>
      </w:pPr>
      <w:bookmarkStart w:id="804" w:name="_Toc122099540"/>
      <w:bookmarkStart w:id="805" w:name="_Toc138342097"/>
      <w:r>
        <w:t>Annexe I – Contributions à la huitième communication nationale de la France au titre de la CCNUCC</w:t>
      </w:r>
      <w:bookmarkEnd w:id="804"/>
      <w:bookmarkEnd w:id="805"/>
    </w:p>
    <w:p w14:paraId="6CB4200D" w14:textId="77777777" w:rsidR="00B56301" w:rsidRDefault="00B56301" w:rsidP="00B56301">
      <w:r>
        <w:t>Ce document a été élaboré par le Département de lutte contre l’effet de serre de la Direction générale de l’énergie et du climat avec les contributions suivantes :</w:t>
      </w:r>
    </w:p>
    <w:p w14:paraId="553E7627" w14:textId="77777777" w:rsidR="00B56301" w:rsidRDefault="00B56301" w:rsidP="00B56301">
      <w:pPr>
        <w:rPr>
          <w:b/>
        </w:rPr>
      </w:pPr>
    </w:p>
    <w:p w14:paraId="03B0DFB3" w14:textId="77777777" w:rsidR="00B56301" w:rsidRPr="00C654BE" w:rsidRDefault="00B56301" w:rsidP="00B56301">
      <w:pPr>
        <w:rPr>
          <w:b/>
        </w:rPr>
      </w:pPr>
      <w:r w:rsidRPr="00C654BE">
        <w:rPr>
          <w:b/>
        </w:rPr>
        <w:t>Chapitre II</w:t>
      </w:r>
    </w:p>
    <w:p w14:paraId="338281B6" w14:textId="2E30F877" w:rsidR="00B56301" w:rsidRDefault="00B56301" w:rsidP="00B56301">
      <w:r>
        <w:t>Contributions de : Jérôme Duvernoy (</w:t>
      </w:r>
      <w:r w:rsidR="00652F25">
        <w:t>MTE</w:t>
      </w:r>
      <w:r>
        <w:t>/ONERC) ; Jonathan Hess (</w:t>
      </w:r>
      <w:r w:rsidR="00652F25">
        <w:t>MTE</w:t>
      </w:r>
      <w:r>
        <w:t>/DGEC)</w:t>
      </w:r>
      <w:r w:rsidR="00FD6AE4">
        <w:t> ; Martin Laurenceau (MASA) ; Valérie Dermaux (MASA) ; Camille Leboeuf (MINEFI/DG Trésor)</w:t>
      </w:r>
    </w:p>
    <w:p w14:paraId="30B6F8FC" w14:textId="77777777" w:rsidR="00B56301" w:rsidRDefault="00B56301" w:rsidP="00B56301">
      <w:pPr>
        <w:rPr>
          <w:b/>
        </w:rPr>
      </w:pPr>
    </w:p>
    <w:p w14:paraId="767ABB87" w14:textId="77777777" w:rsidR="00B56301" w:rsidRPr="00C654BE" w:rsidRDefault="00B56301" w:rsidP="00B56301">
      <w:pPr>
        <w:rPr>
          <w:b/>
        </w:rPr>
      </w:pPr>
      <w:r w:rsidRPr="00C654BE">
        <w:rPr>
          <w:b/>
        </w:rPr>
        <w:t>Chapitre III</w:t>
      </w:r>
    </w:p>
    <w:p w14:paraId="5D791E08" w14:textId="35BA2550" w:rsidR="00B56301" w:rsidRDefault="00B56301" w:rsidP="00B56301">
      <w:r>
        <w:t>Contributions de : Jonathan Hess (</w:t>
      </w:r>
      <w:r w:rsidR="00652F25">
        <w:t>MTE</w:t>
      </w:r>
      <w:r>
        <w:t>/DGEC) et Jean-Pierre Chang (CITEPA)</w:t>
      </w:r>
    </w:p>
    <w:p w14:paraId="0A81F9A4" w14:textId="77777777" w:rsidR="00B56301" w:rsidRDefault="00B56301" w:rsidP="00B56301">
      <w:pPr>
        <w:rPr>
          <w:b/>
        </w:rPr>
      </w:pPr>
    </w:p>
    <w:p w14:paraId="3752CF29" w14:textId="77777777" w:rsidR="00B56301" w:rsidRPr="00C654BE" w:rsidRDefault="00B56301" w:rsidP="00B56301">
      <w:pPr>
        <w:rPr>
          <w:b/>
        </w:rPr>
      </w:pPr>
      <w:r w:rsidRPr="00C654BE">
        <w:rPr>
          <w:b/>
        </w:rPr>
        <w:t>Chapitre IV</w:t>
      </w:r>
    </w:p>
    <w:p w14:paraId="7EE235C7" w14:textId="34F716A4" w:rsidR="00B56301" w:rsidRDefault="00B56301" w:rsidP="00B56301">
      <w:pPr>
        <w:jc w:val="left"/>
      </w:pPr>
      <w:r>
        <w:t>Contribution de Anthony Dicanot (</w:t>
      </w:r>
      <w:r w:rsidR="00652F25">
        <w:t>MTE</w:t>
      </w:r>
      <w:r>
        <w:t>/CGDD) ; Isabelle Caban</w:t>
      </w:r>
      <w:r w:rsidR="00661F2F">
        <w:t>n</w:t>
      </w:r>
      <w:r>
        <w:t>e (</w:t>
      </w:r>
      <w:r w:rsidR="00652F25">
        <w:t>MTE</w:t>
      </w:r>
      <w:r>
        <w:t>/DGEC/SCEE/DLCES/BEPM) ; Florian Tirana (</w:t>
      </w:r>
      <w:r w:rsidR="00652F25">
        <w:t>MTE</w:t>
      </w:r>
      <w:r>
        <w:t>/DGEC/SCEE/DLCES/BEPM) ; Marjorie Doudnikoff (</w:t>
      </w:r>
      <w:r w:rsidR="00652F25">
        <w:t>MTE</w:t>
      </w:r>
      <w:r>
        <w:t>/DGEC/SCEE/DLCES/BMC) ; Michel Duhalde (</w:t>
      </w:r>
      <w:r w:rsidR="00652F25">
        <w:t>MTE</w:t>
      </w:r>
      <w:r>
        <w:t>/DGEC/SCEE/DLCES/BPCA) ; Elisabeth Pagnac-Farbiaz (</w:t>
      </w:r>
      <w:r w:rsidR="00652F25">
        <w:t>MTE</w:t>
      </w:r>
      <w:r>
        <w:t>/DGEC/SCEE/DLCES/BPCA)</w:t>
      </w:r>
    </w:p>
    <w:p w14:paraId="473603FC" w14:textId="77777777" w:rsidR="00B56301" w:rsidRDefault="00B56301" w:rsidP="00B56301">
      <w:pPr>
        <w:rPr>
          <w:b/>
        </w:rPr>
      </w:pPr>
    </w:p>
    <w:p w14:paraId="7E43BB93" w14:textId="77777777" w:rsidR="00B56301" w:rsidRPr="00C654BE" w:rsidRDefault="00B56301" w:rsidP="00B56301">
      <w:pPr>
        <w:rPr>
          <w:b/>
        </w:rPr>
      </w:pPr>
      <w:r w:rsidRPr="00C654BE">
        <w:rPr>
          <w:b/>
        </w:rPr>
        <w:t>Chapitre V</w:t>
      </w:r>
    </w:p>
    <w:p w14:paraId="077FFF3A" w14:textId="31123CE1" w:rsidR="00B56301" w:rsidRDefault="00B56301" w:rsidP="00B56301">
      <w:r>
        <w:t>Contributions de : Gwenaël Podesta (</w:t>
      </w:r>
      <w:r w:rsidR="00652F25">
        <w:t>MTE</w:t>
      </w:r>
      <w:r>
        <w:t>/DGEC/SCEE/DLCES/BEPM)</w:t>
      </w:r>
    </w:p>
    <w:p w14:paraId="546EFB42" w14:textId="77777777" w:rsidR="00B56301" w:rsidRDefault="00B56301" w:rsidP="00B56301">
      <w:pPr>
        <w:rPr>
          <w:b/>
        </w:rPr>
      </w:pPr>
    </w:p>
    <w:p w14:paraId="40A9ECBE" w14:textId="77777777" w:rsidR="00B56301" w:rsidRPr="00C654BE" w:rsidRDefault="00B56301" w:rsidP="00B56301">
      <w:pPr>
        <w:rPr>
          <w:b/>
        </w:rPr>
      </w:pPr>
      <w:r w:rsidRPr="00C654BE">
        <w:rPr>
          <w:b/>
        </w:rPr>
        <w:t>Chapitre VI</w:t>
      </w:r>
    </w:p>
    <w:p w14:paraId="51EBFFBA" w14:textId="23FD61CA" w:rsidR="00B56301" w:rsidRDefault="00B56301" w:rsidP="00B56301">
      <w:r>
        <w:t>Contributions de Jérôme Duvernoy (</w:t>
      </w:r>
      <w:r w:rsidR="00652F25">
        <w:t>MTE</w:t>
      </w:r>
      <w:r>
        <w:t>/ONERC) ; Fabien Doisne (</w:t>
      </w:r>
      <w:r w:rsidR="00652F25">
        <w:t>MTE</w:t>
      </w:r>
      <w:r>
        <w:t>/DGEC/SCEE/DLCES/BPCA)</w:t>
      </w:r>
    </w:p>
    <w:p w14:paraId="65BE6014" w14:textId="77777777" w:rsidR="00B56301" w:rsidRDefault="00B56301" w:rsidP="00B56301">
      <w:pPr>
        <w:rPr>
          <w:b/>
        </w:rPr>
      </w:pPr>
    </w:p>
    <w:p w14:paraId="5378D37B" w14:textId="77777777" w:rsidR="00B56301" w:rsidRPr="00C654BE" w:rsidRDefault="00B56301" w:rsidP="00B56301">
      <w:pPr>
        <w:rPr>
          <w:b/>
        </w:rPr>
      </w:pPr>
      <w:r w:rsidRPr="00C654BE">
        <w:rPr>
          <w:b/>
        </w:rPr>
        <w:t>Chapitre VII</w:t>
      </w:r>
    </w:p>
    <w:p w14:paraId="5D55E4F5" w14:textId="77777777" w:rsidR="00B56301" w:rsidRDefault="00B56301" w:rsidP="00B56301">
      <w:r>
        <w:t xml:space="preserve">Contributions de : Marine Lannoy (MINEFI/DG Trésor) ; Charlotte-Fleur Cristofari (AFD) ; </w:t>
      </w:r>
      <w:r w:rsidRPr="00FA2B37">
        <w:t>Stéphanie B</w:t>
      </w:r>
      <w:r>
        <w:t>ouzigues</w:t>
      </w:r>
      <w:r w:rsidRPr="00FA2B37">
        <w:t>-E</w:t>
      </w:r>
      <w:r>
        <w:t>schmann</w:t>
      </w:r>
      <w:r w:rsidRPr="00FA2B37">
        <w:t xml:space="preserve"> </w:t>
      </w:r>
      <w:r>
        <w:t>(AFD) ; Céline Philips (ADEME) ; Jérôme Boutang (Citepa)</w:t>
      </w:r>
    </w:p>
    <w:p w14:paraId="433D6B96" w14:textId="77777777" w:rsidR="00B56301" w:rsidRDefault="00B56301" w:rsidP="00B56301">
      <w:pPr>
        <w:rPr>
          <w:b/>
        </w:rPr>
      </w:pPr>
    </w:p>
    <w:p w14:paraId="26553881" w14:textId="77777777" w:rsidR="00B56301" w:rsidRPr="00C654BE" w:rsidRDefault="00B56301" w:rsidP="00B56301">
      <w:pPr>
        <w:rPr>
          <w:b/>
        </w:rPr>
      </w:pPr>
      <w:r w:rsidRPr="00C654BE">
        <w:rPr>
          <w:b/>
        </w:rPr>
        <w:t>Chapitre VIII</w:t>
      </w:r>
    </w:p>
    <w:p w14:paraId="2E656CA1" w14:textId="71385C33" w:rsidR="00B56301" w:rsidRDefault="00B56301" w:rsidP="00B56301">
      <w:r>
        <w:t>Contributions de : Marc Moroni (</w:t>
      </w:r>
      <w:r w:rsidR="00652F25">
        <w:t>MTE</w:t>
      </w:r>
      <w:r>
        <w:t>/CGDD), Pascale Ebner (</w:t>
      </w:r>
      <w:r w:rsidR="00652F25">
        <w:t>MTE</w:t>
      </w:r>
      <w:r>
        <w:t>/CGDD), Magali Domergue (</w:t>
      </w:r>
      <w:r w:rsidR="00652F25">
        <w:t>MTE</w:t>
      </w:r>
      <w:r>
        <w:t xml:space="preserve">/CGDD), </w:t>
      </w:r>
    </w:p>
    <w:p w14:paraId="04052612" w14:textId="77777777" w:rsidR="00B56301" w:rsidRDefault="00B56301" w:rsidP="00B56301">
      <w:pPr>
        <w:rPr>
          <w:b/>
        </w:rPr>
      </w:pPr>
    </w:p>
    <w:p w14:paraId="54924240" w14:textId="77777777" w:rsidR="00B56301" w:rsidRPr="00C654BE" w:rsidRDefault="00B56301" w:rsidP="00B56301">
      <w:pPr>
        <w:rPr>
          <w:b/>
        </w:rPr>
      </w:pPr>
      <w:r w:rsidRPr="00C654BE">
        <w:rPr>
          <w:b/>
        </w:rPr>
        <w:t>Chapitre IX</w:t>
      </w:r>
    </w:p>
    <w:p w14:paraId="0A04768F" w14:textId="13B945C7" w:rsidR="00B56301" w:rsidRDefault="00B56301" w:rsidP="00B56301">
      <w:pPr>
        <w:jc w:val="left"/>
      </w:pPr>
      <w:r>
        <w:t>Contributions de : Coralie Noël (Ministère de l’éducation national et de la jeunesse) ; Martin Bortzmeyer (</w:t>
      </w:r>
      <w:r w:rsidR="00652F25">
        <w:t>MTE</w:t>
      </w:r>
      <w:r>
        <w:t>/CGDD)</w:t>
      </w:r>
    </w:p>
    <w:p w14:paraId="6844EF3D" w14:textId="77777777" w:rsidR="00B56301" w:rsidRDefault="00B56301" w:rsidP="00B56301"/>
    <w:p w14:paraId="379AE634" w14:textId="77777777" w:rsidR="00B56301" w:rsidRPr="0085310F" w:rsidRDefault="00B56301" w:rsidP="00B56301">
      <w:pPr>
        <w:rPr>
          <w:b/>
        </w:rPr>
      </w:pPr>
      <w:r w:rsidRPr="0085310F">
        <w:rPr>
          <w:b/>
        </w:rPr>
        <w:t>Pilotage et coordination</w:t>
      </w:r>
    </w:p>
    <w:p w14:paraId="4C7E3A12" w14:textId="26AB4D94" w:rsidR="00B56301" w:rsidRPr="00664ED0" w:rsidRDefault="00B56301" w:rsidP="00B56301">
      <w:r w:rsidRPr="00664ED0">
        <w:t>Jonathan Hess (</w:t>
      </w:r>
      <w:r w:rsidR="00652F25" w:rsidRPr="00664ED0">
        <w:t>MTE</w:t>
      </w:r>
      <w:r w:rsidRPr="00664ED0">
        <w:t>/DGEC/SCEE/DLCES/BEPM)</w:t>
      </w:r>
    </w:p>
    <w:p w14:paraId="2186B4EF" w14:textId="77777777" w:rsidR="00B56301" w:rsidRPr="00664ED0" w:rsidRDefault="00B56301" w:rsidP="00B56301"/>
    <w:p w14:paraId="47D7F9FC" w14:textId="77777777" w:rsidR="00B56301" w:rsidRPr="0085310F" w:rsidRDefault="00B56301" w:rsidP="00B56301">
      <w:r w:rsidRPr="0085310F">
        <w:rPr>
          <w:b/>
        </w:rPr>
        <w:t>Relecture</w:t>
      </w:r>
    </w:p>
    <w:p w14:paraId="439E0520" w14:textId="736ECD1F" w:rsidR="00B56301" w:rsidRPr="0085310F" w:rsidRDefault="007F0E33" w:rsidP="00B56301">
      <w:r>
        <w:t xml:space="preserve">Jonathan Hess, (MTE/DGEC/SCEE/DLCES/BEPM) ; </w:t>
      </w:r>
      <w:r w:rsidR="00B56301" w:rsidRPr="0085310F">
        <w:t>Mickaël Thiery (</w:t>
      </w:r>
      <w:r w:rsidR="00652F25" w:rsidRPr="0085310F">
        <w:t>MTE</w:t>
      </w:r>
      <w:r w:rsidR="00B56301" w:rsidRPr="0085310F">
        <w:t>/DGEC/DLCES) ;</w:t>
      </w:r>
      <w:r w:rsidR="0034391E">
        <w:t xml:space="preserve"> Gwenaël Podesta </w:t>
      </w:r>
      <w:r w:rsidR="0034391E" w:rsidRPr="0085310F">
        <w:t>(MTE/DGEC/SCEE/DLCES/BEPM</w:t>
      </w:r>
      <w:r w:rsidR="0034391E">
        <w:t>)</w:t>
      </w:r>
      <w:r w:rsidR="0034391E">
        <w:rPr>
          <w:rFonts w:ascii="Calibri" w:hAnsi="Calibri" w:cs="Calibri"/>
        </w:rPr>
        <w:t> </w:t>
      </w:r>
      <w:r w:rsidR="0034391E">
        <w:t>;</w:t>
      </w:r>
      <w:r w:rsidR="00B56301" w:rsidRPr="0085310F">
        <w:t> </w:t>
      </w:r>
      <w:r w:rsidR="0003718E">
        <w:t>Stéphane Crouzat</w:t>
      </w:r>
      <w:r w:rsidR="00B56301" w:rsidRPr="0085310F">
        <w:t xml:space="preserve"> (M</w:t>
      </w:r>
      <w:r w:rsidR="0003718E">
        <w:t>EAE</w:t>
      </w:r>
      <w:r w:rsidR="00B56301" w:rsidRPr="0085310F">
        <w:t>)</w:t>
      </w:r>
    </w:p>
    <w:p w14:paraId="20376888" w14:textId="75714528" w:rsidR="00B56301" w:rsidRDefault="00B56301" w:rsidP="00B56301">
      <w:pPr>
        <w:pStyle w:val="Titre1Niveau1"/>
      </w:pPr>
      <w:r w:rsidRPr="0085310F">
        <w:br w:type="page"/>
      </w:r>
      <w:bookmarkStart w:id="806" w:name="_Toc122099541"/>
      <w:bookmarkStart w:id="807" w:name="_Toc138342098"/>
      <w:r>
        <w:t xml:space="preserve">Annexe II – </w:t>
      </w:r>
      <w:r w:rsidRPr="00995116">
        <w:t>Inventaires</w:t>
      </w:r>
      <w:r>
        <w:t xml:space="preserve"> </w:t>
      </w:r>
      <w:r w:rsidRPr="00995116">
        <w:t>d’émission de gaz à effet de serre, format CRF et format SECTEN</w:t>
      </w:r>
      <w:bookmarkEnd w:id="806"/>
      <w:bookmarkEnd w:id="807"/>
    </w:p>
    <w:p w14:paraId="77CEB352" w14:textId="6B600313" w:rsidR="001D4AFA" w:rsidRPr="00364545" w:rsidRDefault="00B56301" w:rsidP="001D4AFA">
      <w:pPr>
        <w:pStyle w:val="Titre2Niveau2"/>
        <w:numPr>
          <w:ilvl w:val="0"/>
          <w:numId w:val="62"/>
        </w:numPr>
        <w:spacing w:before="0" w:after="160"/>
        <w:ind w:right="28"/>
      </w:pPr>
      <w:bookmarkStart w:id="808" w:name="_Toc122099542"/>
      <w:bookmarkStart w:id="809" w:name="_Toc138342099"/>
      <w:r>
        <w:t xml:space="preserve">Tendance </w:t>
      </w:r>
      <w:r w:rsidRPr="0060465D">
        <w:t>pour</w:t>
      </w:r>
      <w:r>
        <w:t xml:space="preserve"> le </w:t>
      </w:r>
      <w:r w:rsidR="007F09F7">
        <w:t>CO</w:t>
      </w:r>
      <w:r w:rsidR="007F09F7" w:rsidRPr="007F09F7">
        <w:rPr>
          <w:vertAlign w:val="subscript"/>
        </w:rPr>
        <w:t>2</w:t>
      </w:r>
      <w:r>
        <w:t xml:space="preserve"> (périmètre « Kyoto » - kt</w:t>
      </w:r>
      <w:r w:rsidR="007F09F7">
        <w:t>CO</w:t>
      </w:r>
      <w:r w:rsidR="007F09F7" w:rsidRPr="007F09F7">
        <w:rPr>
          <w:vertAlign w:val="subscript"/>
        </w:rPr>
        <w:t>2</w:t>
      </w:r>
      <w:r>
        <w:t>)</w:t>
      </w:r>
      <w:bookmarkEnd w:id="808"/>
      <w:bookmarkEnd w:id="809"/>
      <w:r w:rsidR="001D4AFA" w:rsidRPr="001D4AFA">
        <w:t xml:space="preserve"> </w:t>
      </w:r>
    </w:p>
    <w:tbl>
      <w:tblPr>
        <w:tblW w:w="9940" w:type="dxa"/>
        <w:tblCellMar>
          <w:left w:w="70" w:type="dxa"/>
          <w:right w:w="70" w:type="dxa"/>
        </w:tblCellMar>
        <w:tblLook w:val="04A0" w:firstRow="1" w:lastRow="0" w:firstColumn="1" w:lastColumn="0" w:noHBand="0" w:noVBand="1"/>
      </w:tblPr>
      <w:tblGrid>
        <w:gridCol w:w="2785"/>
        <w:gridCol w:w="1198"/>
        <w:gridCol w:w="1197"/>
        <w:gridCol w:w="1197"/>
        <w:gridCol w:w="1183"/>
        <w:gridCol w:w="1183"/>
        <w:gridCol w:w="1197"/>
      </w:tblGrid>
      <w:tr w:rsidR="001D4AFA" w:rsidRPr="00364545" w14:paraId="5AD2B4D4" w14:textId="77777777" w:rsidTr="009F2D1E">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FC257F6"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GREENHOUSE GAS SOURCE AND SINK CATEGORIES</w:t>
            </w:r>
          </w:p>
        </w:tc>
        <w:tc>
          <w:tcPr>
            <w:tcW w:w="1198"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DB545EA" w14:textId="77777777" w:rsidR="001D4AFA" w:rsidRPr="00364545" w:rsidRDefault="001D4AFA" w:rsidP="009F2D1E">
            <w:pPr>
              <w:jc w:val="center"/>
              <w:rPr>
                <w:rFonts w:ascii="Times New Roman" w:hAnsi="Times New Roman"/>
                <w:b/>
                <w:bCs/>
                <w:sz w:val="14"/>
                <w:szCs w:val="16"/>
              </w:rPr>
            </w:pPr>
            <w:r w:rsidRPr="00364545">
              <w:rPr>
                <w:rFonts w:ascii="Times New Roman" w:hAnsi="Times New Roman"/>
                <w:b/>
                <w:sz w:val="14"/>
              </w:rPr>
              <w:t>Base year</w:t>
            </w:r>
            <w:r w:rsidRPr="00364545">
              <w:rPr>
                <w:rFonts w:ascii="Times New Roman" w:hAnsi="Times New Roman"/>
                <w:b/>
                <w:sz w:val="14"/>
                <w:vertAlign w:val="superscript"/>
              </w:rPr>
              <w:t>(1)</w:t>
            </w:r>
          </w:p>
        </w:tc>
        <w:tc>
          <w:tcPr>
            <w:tcW w:w="1197" w:type="dxa"/>
            <w:tcBorders>
              <w:top w:val="single" w:sz="4" w:space="0" w:color="auto"/>
              <w:left w:val="nil"/>
              <w:bottom w:val="single" w:sz="4" w:space="0" w:color="auto"/>
              <w:right w:val="single" w:sz="4" w:space="0" w:color="auto"/>
            </w:tcBorders>
            <w:shd w:val="clear" w:color="000000" w:fill="CCFFFF"/>
            <w:noWrap/>
            <w:vAlign w:val="center"/>
            <w:hideMark/>
          </w:tcPr>
          <w:p w14:paraId="5E482222" w14:textId="77777777" w:rsidR="001D4AFA" w:rsidRPr="00364545" w:rsidRDefault="001D4AFA" w:rsidP="009F2D1E">
            <w:pPr>
              <w:jc w:val="center"/>
              <w:rPr>
                <w:rFonts w:ascii="Times New Roman" w:hAnsi="Times New Roman"/>
                <w:b/>
                <w:bCs/>
                <w:sz w:val="14"/>
                <w:szCs w:val="16"/>
              </w:rPr>
            </w:pPr>
            <w:r w:rsidRPr="00364545">
              <w:rPr>
                <w:rFonts w:ascii="Times New Roman" w:hAnsi="Times New Roman"/>
                <w:b/>
                <w:sz w:val="14"/>
              </w:rPr>
              <w:t>1990</w:t>
            </w:r>
          </w:p>
        </w:tc>
        <w:tc>
          <w:tcPr>
            <w:tcW w:w="1197" w:type="dxa"/>
            <w:tcBorders>
              <w:top w:val="single" w:sz="4" w:space="0" w:color="auto"/>
              <w:left w:val="nil"/>
              <w:bottom w:val="single" w:sz="4" w:space="0" w:color="auto"/>
              <w:right w:val="single" w:sz="4" w:space="0" w:color="auto"/>
            </w:tcBorders>
            <w:shd w:val="clear" w:color="000000" w:fill="CCFFFF"/>
            <w:noWrap/>
            <w:vAlign w:val="center"/>
            <w:hideMark/>
          </w:tcPr>
          <w:p w14:paraId="10526392" w14:textId="77777777" w:rsidR="001D4AFA" w:rsidRPr="00364545" w:rsidRDefault="001D4AFA" w:rsidP="009F2D1E">
            <w:pPr>
              <w:jc w:val="center"/>
              <w:rPr>
                <w:rFonts w:ascii="Times New Roman" w:hAnsi="Times New Roman"/>
                <w:b/>
                <w:bCs/>
                <w:sz w:val="14"/>
                <w:szCs w:val="16"/>
              </w:rPr>
            </w:pPr>
            <w:r w:rsidRPr="00364545">
              <w:rPr>
                <w:rFonts w:ascii="Times New Roman" w:hAnsi="Times New Roman"/>
                <w:b/>
                <w:sz w:val="14"/>
              </w:rPr>
              <w:t>1991</w:t>
            </w:r>
          </w:p>
        </w:tc>
        <w:tc>
          <w:tcPr>
            <w:tcW w:w="1183" w:type="dxa"/>
            <w:tcBorders>
              <w:top w:val="single" w:sz="4" w:space="0" w:color="auto"/>
              <w:left w:val="nil"/>
              <w:bottom w:val="single" w:sz="4" w:space="0" w:color="auto"/>
              <w:right w:val="single" w:sz="4" w:space="0" w:color="auto"/>
            </w:tcBorders>
            <w:shd w:val="clear" w:color="000000" w:fill="CCFFFF"/>
            <w:noWrap/>
            <w:vAlign w:val="center"/>
            <w:hideMark/>
          </w:tcPr>
          <w:p w14:paraId="43C29D1F" w14:textId="77777777" w:rsidR="001D4AFA" w:rsidRPr="00364545" w:rsidRDefault="001D4AFA" w:rsidP="009F2D1E">
            <w:pPr>
              <w:jc w:val="center"/>
              <w:rPr>
                <w:rFonts w:ascii="Times New Roman" w:hAnsi="Times New Roman"/>
                <w:b/>
                <w:bCs/>
                <w:sz w:val="14"/>
                <w:szCs w:val="16"/>
              </w:rPr>
            </w:pPr>
            <w:r w:rsidRPr="00364545">
              <w:rPr>
                <w:rFonts w:ascii="Times New Roman" w:hAnsi="Times New Roman"/>
                <w:b/>
                <w:sz w:val="14"/>
              </w:rPr>
              <w:t>1992</w:t>
            </w:r>
          </w:p>
        </w:tc>
        <w:tc>
          <w:tcPr>
            <w:tcW w:w="1183" w:type="dxa"/>
            <w:tcBorders>
              <w:top w:val="single" w:sz="4" w:space="0" w:color="auto"/>
              <w:left w:val="nil"/>
              <w:bottom w:val="single" w:sz="4" w:space="0" w:color="auto"/>
              <w:right w:val="single" w:sz="4" w:space="0" w:color="auto"/>
            </w:tcBorders>
            <w:shd w:val="clear" w:color="000000" w:fill="CCFFFF"/>
            <w:noWrap/>
            <w:vAlign w:val="center"/>
            <w:hideMark/>
          </w:tcPr>
          <w:p w14:paraId="1C129A3C" w14:textId="77777777" w:rsidR="001D4AFA" w:rsidRPr="00364545" w:rsidRDefault="001D4AFA" w:rsidP="009F2D1E">
            <w:pPr>
              <w:jc w:val="center"/>
              <w:rPr>
                <w:rFonts w:ascii="Times New Roman" w:hAnsi="Times New Roman"/>
                <w:b/>
                <w:bCs/>
                <w:sz w:val="14"/>
                <w:szCs w:val="16"/>
              </w:rPr>
            </w:pPr>
            <w:r w:rsidRPr="00364545">
              <w:rPr>
                <w:rFonts w:ascii="Times New Roman" w:hAnsi="Times New Roman"/>
                <w:b/>
                <w:sz w:val="14"/>
              </w:rPr>
              <w:t>1993</w:t>
            </w:r>
          </w:p>
        </w:tc>
        <w:tc>
          <w:tcPr>
            <w:tcW w:w="1197" w:type="dxa"/>
            <w:tcBorders>
              <w:top w:val="single" w:sz="4" w:space="0" w:color="auto"/>
              <w:left w:val="nil"/>
              <w:bottom w:val="single" w:sz="4" w:space="0" w:color="auto"/>
              <w:right w:val="single" w:sz="4" w:space="0" w:color="auto"/>
            </w:tcBorders>
            <w:shd w:val="clear" w:color="000000" w:fill="CCFFFF"/>
            <w:vAlign w:val="center"/>
          </w:tcPr>
          <w:p w14:paraId="10B3BFD3" w14:textId="77777777" w:rsidR="001D4AFA" w:rsidRPr="00364545" w:rsidRDefault="001D4AFA" w:rsidP="009F2D1E">
            <w:pPr>
              <w:jc w:val="center"/>
              <w:rPr>
                <w:rFonts w:ascii="Times New Roman" w:hAnsi="Times New Roman"/>
                <w:b/>
                <w:bCs/>
                <w:sz w:val="14"/>
                <w:szCs w:val="16"/>
              </w:rPr>
            </w:pPr>
            <w:r w:rsidRPr="00364545">
              <w:rPr>
                <w:b/>
                <w:sz w:val="14"/>
              </w:rPr>
              <w:t>1994</w:t>
            </w:r>
          </w:p>
        </w:tc>
      </w:tr>
      <w:tr w:rsidR="001D4AFA" w:rsidRPr="00364545" w14:paraId="29D8EB6C" w14:textId="77777777" w:rsidTr="009F2D1E">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070052D"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Total (net emissions)</w:t>
            </w:r>
            <w:r w:rsidRPr="00364545">
              <w:rPr>
                <w:rFonts w:asciiTheme="majorHAnsi" w:hAnsiTheme="majorHAnsi"/>
                <w:b/>
                <w:sz w:val="14"/>
                <w:vertAlign w:val="superscript"/>
              </w:rPr>
              <w:t>(2)</w:t>
            </w:r>
          </w:p>
        </w:tc>
        <w:tc>
          <w:tcPr>
            <w:tcW w:w="1198"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4837939" w14:textId="77777777" w:rsidR="001D4AFA" w:rsidRPr="009F2D1E" w:rsidRDefault="001D4AFA" w:rsidP="009F2D1E">
            <w:pPr>
              <w:jc w:val="right"/>
              <w:rPr>
                <w:rFonts w:ascii="Times New Roman" w:hAnsi="Times New Roman"/>
                <w:sz w:val="14"/>
                <w:szCs w:val="14"/>
              </w:rPr>
            </w:pPr>
            <w:r w:rsidRPr="00CB4B9F">
              <w:rPr>
                <w:sz w:val="14"/>
                <w:szCs w:val="14"/>
              </w:rPr>
              <w:t>370279,74</w:t>
            </w:r>
          </w:p>
        </w:tc>
        <w:tc>
          <w:tcPr>
            <w:tcW w:w="1197" w:type="dxa"/>
            <w:tcBorders>
              <w:top w:val="single" w:sz="4" w:space="0" w:color="auto"/>
              <w:left w:val="nil"/>
              <w:bottom w:val="single" w:sz="4" w:space="0" w:color="auto"/>
              <w:right w:val="single" w:sz="4" w:space="0" w:color="auto"/>
            </w:tcBorders>
            <w:shd w:val="clear" w:color="000000" w:fill="CCFFFF"/>
            <w:noWrap/>
            <w:vAlign w:val="bottom"/>
            <w:hideMark/>
          </w:tcPr>
          <w:p w14:paraId="02CE4C70" w14:textId="77777777" w:rsidR="001D4AFA" w:rsidRPr="00364545" w:rsidRDefault="001D4AFA" w:rsidP="009F2D1E">
            <w:pPr>
              <w:jc w:val="right"/>
              <w:rPr>
                <w:rFonts w:ascii="Times New Roman" w:hAnsi="Times New Roman"/>
                <w:sz w:val="14"/>
                <w:szCs w:val="16"/>
              </w:rPr>
            </w:pPr>
            <w:r w:rsidRPr="00CB4B9F">
              <w:rPr>
                <w:sz w:val="14"/>
                <w:szCs w:val="14"/>
              </w:rPr>
              <w:t>370279,74</w:t>
            </w:r>
          </w:p>
        </w:tc>
        <w:tc>
          <w:tcPr>
            <w:tcW w:w="1197" w:type="dxa"/>
            <w:tcBorders>
              <w:top w:val="single" w:sz="4" w:space="0" w:color="auto"/>
              <w:left w:val="nil"/>
              <w:bottom w:val="single" w:sz="4" w:space="0" w:color="auto"/>
              <w:right w:val="single" w:sz="4" w:space="0" w:color="auto"/>
            </w:tcBorders>
            <w:shd w:val="clear" w:color="000000" w:fill="CCFFFF"/>
            <w:noWrap/>
            <w:vAlign w:val="bottom"/>
            <w:hideMark/>
          </w:tcPr>
          <w:p w14:paraId="3F57182A" w14:textId="77777777" w:rsidR="001D4AFA" w:rsidRPr="00364545" w:rsidRDefault="001D4AFA" w:rsidP="009F2D1E">
            <w:pPr>
              <w:jc w:val="right"/>
              <w:rPr>
                <w:rFonts w:ascii="Times New Roman" w:hAnsi="Times New Roman"/>
                <w:sz w:val="14"/>
                <w:szCs w:val="16"/>
              </w:rPr>
            </w:pPr>
            <w:r w:rsidRPr="00CB4B9F">
              <w:rPr>
                <w:sz w:val="14"/>
                <w:szCs w:val="14"/>
              </w:rPr>
              <w:t>395564,35</w:t>
            </w:r>
          </w:p>
        </w:tc>
        <w:tc>
          <w:tcPr>
            <w:tcW w:w="1183" w:type="dxa"/>
            <w:tcBorders>
              <w:top w:val="single" w:sz="4" w:space="0" w:color="auto"/>
              <w:left w:val="nil"/>
              <w:bottom w:val="single" w:sz="4" w:space="0" w:color="auto"/>
              <w:right w:val="single" w:sz="4" w:space="0" w:color="auto"/>
            </w:tcBorders>
            <w:shd w:val="clear" w:color="000000" w:fill="CCFFFF"/>
            <w:noWrap/>
            <w:vAlign w:val="bottom"/>
            <w:hideMark/>
          </w:tcPr>
          <w:p w14:paraId="0B46D4EF" w14:textId="77777777" w:rsidR="001D4AFA" w:rsidRPr="00364545" w:rsidRDefault="001D4AFA" w:rsidP="009F2D1E">
            <w:pPr>
              <w:jc w:val="right"/>
              <w:rPr>
                <w:rFonts w:ascii="Times New Roman" w:hAnsi="Times New Roman"/>
                <w:sz w:val="14"/>
                <w:szCs w:val="16"/>
              </w:rPr>
            </w:pPr>
            <w:r w:rsidRPr="00CB4B9F">
              <w:rPr>
                <w:sz w:val="14"/>
                <w:szCs w:val="14"/>
              </w:rPr>
              <w:t>386207,36</w:t>
            </w:r>
          </w:p>
        </w:tc>
        <w:tc>
          <w:tcPr>
            <w:tcW w:w="1183" w:type="dxa"/>
            <w:tcBorders>
              <w:top w:val="single" w:sz="4" w:space="0" w:color="auto"/>
              <w:left w:val="nil"/>
              <w:bottom w:val="single" w:sz="4" w:space="0" w:color="auto"/>
              <w:right w:val="single" w:sz="4" w:space="0" w:color="auto"/>
            </w:tcBorders>
            <w:shd w:val="clear" w:color="000000" w:fill="CCFFFF"/>
            <w:noWrap/>
            <w:vAlign w:val="bottom"/>
            <w:hideMark/>
          </w:tcPr>
          <w:p w14:paraId="37639EDB" w14:textId="77777777" w:rsidR="001D4AFA" w:rsidRPr="00364545" w:rsidRDefault="001D4AFA" w:rsidP="009F2D1E">
            <w:pPr>
              <w:jc w:val="right"/>
              <w:rPr>
                <w:rFonts w:ascii="Times New Roman" w:hAnsi="Times New Roman"/>
                <w:sz w:val="14"/>
                <w:szCs w:val="16"/>
              </w:rPr>
            </w:pPr>
            <w:r w:rsidRPr="00CB4B9F">
              <w:rPr>
                <w:sz w:val="14"/>
                <w:szCs w:val="14"/>
              </w:rPr>
              <w:t>364902,59</w:t>
            </w:r>
          </w:p>
        </w:tc>
        <w:tc>
          <w:tcPr>
            <w:tcW w:w="1197" w:type="dxa"/>
            <w:tcBorders>
              <w:top w:val="single" w:sz="4" w:space="0" w:color="auto"/>
              <w:left w:val="nil"/>
              <w:bottom w:val="single" w:sz="4" w:space="0" w:color="auto"/>
              <w:right w:val="single" w:sz="4" w:space="0" w:color="auto"/>
            </w:tcBorders>
            <w:shd w:val="clear" w:color="000000" w:fill="CCFFFF"/>
            <w:vAlign w:val="bottom"/>
          </w:tcPr>
          <w:p w14:paraId="03D1FCB9" w14:textId="77777777" w:rsidR="001D4AFA" w:rsidRPr="00364545" w:rsidRDefault="001D4AFA" w:rsidP="009F2D1E">
            <w:pPr>
              <w:jc w:val="right"/>
              <w:rPr>
                <w:rFonts w:ascii="Times New Roman" w:hAnsi="Times New Roman"/>
                <w:sz w:val="14"/>
                <w:szCs w:val="16"/>
              </w:rPr>
            </w:pPr>
            <w:r w:rsidRPr="00CB4B9F">
              <w:rPr>
                <w:sz w:val="14"/>
                <w:szCs w:val="14"/>
              </w:rPr>
              <w:t>359027,48</w:t>
            </w:r>
          </w:p>
        </w:tc>
      </w:tr>
      <w:tr w:rsidR="001D4AFA" w:rsidRPr="00364545" w14:paraId="11D1368D" w14:textId="77777777" w:rsidTr="009F2D1E">
        <w:trPr>
          <w:trHeight w:val="68"/>
        </w:trPr>
        <w:tc>
          <w:tcPr>
            <w:tcW w:w="278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1CC5A24"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1. Energy</w:t>
            </w:r>
          </w:p>
        </w:tc>
        <w:tc>
          <w:tcPr>
            <w:tcW w:w="1198" w:type="dxa"/>
            <w:tcBorders>
              <w:top w:val="nil"/>
              <w:left w:val="nil"/>
              <w:bottom w:val="single" w:sz="4" w:space="0" w:color="auto"/>
              <w:right w:val="single" w:sz="4" w:space="0" w:color="auto"/>
            </w:tcBorders>
            <w:shd w:val="clear" w:color="000000" w:fill="CCFFFF"/>
            <w:noWrap/>
            <w:vAlign w:val="bottom"/>
            <w:hideMark/>
          </w:tcPr>
          <w:p w14:paraId="17AACAA2" w14:textId="77777777" w:rsidR="001D4AFA" w:rsidRPr="009F2D1E" w:rsidRDefault="001D4AFA" w:rsidP="009F2D1E">
            <w:pPr>
              <w:jc w:val="right"/>
              <w:rPr>
                <w:rFonts w:ascii="Times New Roman" w:hAnsi="Times New Roman"/>
                <w:sz w:val="14"/>
                <w:szCs w:val="14"/>
              </w:rPr>
            </w:pPr>
            <w:r w:rsidRPr="009F2D1E">
              <w:rPr>
                <w:sz w:val="14"/>
                <w:szCs w:val="14"/>
              </w:rPr>
              <w:t>351435,06</w:t>
            </w:r>
          </w:p>
        </w:tc>
        <w:tc>
          <w:tcPr>
            <w:tcW w:w="1197" w:type="dxa"/>
            <w:tcBorders>
              <w:top w:val="nil"/>
              <w:left w:val="nil"/>
              <w:bottom w:val="single" w:sz="4" w:space="0" w:color="auto"/>
              <w:right w:val="single" w:sz="4" w:space="0" w:color="auto"/>
            </w:tcBorders>
            <w:shd w:val="clear" w:color="000000" w:fill="CCFFFF"/>
            <w:noWrap/>
            <w:vAlign w:val="bottom"/>
            <w:hideMark/>
          </w:tcPr>
          <w:p w14:paraId="0E2C5B22" w14:textId="77777777" w:rsidR="001D4AFA" w:rsidRPr="009F2D1E" w:rsidRDefault="001D4AFA" w:rsidP="009F2D1E">
            <w:pPr>
              <w:jc w:val="right"/>
              <w:rPr>
                <w:rFonts w:ascii="Times New Roman" w:hAnsi="Times New Roman"/>
                <w:sz w:val="14"/>
                <w:szCs w:val="14"/>
              </w:rPr>
            </w:pPr>
            <w:r w:rsidRPr="009F2D1E">
              <w:rPr>
                <w:sz w:val="14"/>
                <w:szCs w:val="14"/>
              </w:rPr>
              <w:t>351435,06</w:t>
            </w:r>
          </w:p>
        </w:tc>
        <w:tc>
          <w:tcPr>
            <w:tcW w:w="1197" w:type="dxa"/>
            <w:tcBorders>
              <w:top w:val="nil"/>
              <w:left w:val="nil"/>
              <w:bottom w:val="single" w:sz="4" w:space="0" w:color="auto"/>
              <w:right w:val="single" w:sz="4" w:space="0" w:color="auto"/>
            </w:tcBorders>
            <w:shd w:val="clear" w:color="000000" w:fill="CCFFFF"/>
            <w:noWrap/>
            <w:vAlign w:val="bottom"/>
            <w:hideMark/>
          </w:tcPr>
          <w:p w14:paraId="56B0ED42" w14:textId="77777777" w:rsidR="001D4AFA" w:rsidRPr="009F2D1E" w:rsidRDefault="001D4AFA" w:rsidP="009F2D1E">
            <w:pPr>
              <w:jc w:val="right"/>
              <w:rPr>
                <w:rFonts w:ascii="Times New Roman" w:hAnsi="Times New Roman"/>
                <w:sz w:val="14"/>
                <w:szCs w:val="14"/>
              </w:rPr>
            </w:pPr>
            <w:r w:rsidRPr="009F2D1E">
              <w:rPr>
                <w:sz w:val="14"/>
                <w:szCs w:val="14"/>
              </w:rPr>
              <w:t>378015,55</w:t>
            </w:r>
          </w:p>
        </w:tc>
        <w:tc>
          <w:tcPr>
            <w:tcW w:w="1183" w:type="dxa"/>
            <w:tcBorders>
              <w:top w:val="nil"/>
              <w:left w:val="nil"/>
              <w:bottom w:val="single" w:sz="4" w:space="0" w:color="auto"/>
              <w:right w:val="single" w:sz="4" w:space="0" w:color="auto"/>
            </w:tcBorders>
            <w:shd w:val="clear" w:color="000000" w:fill="CCFFFF"/>
            <w:noWrap/>
            <w:vAlign w:val="bottom"/>
            <w:hideMark/>
          </w:tcPr>
          <w:p w14:paraId="5C8AE8DF" w14:textId="77777777" w:rsidR="001D4AFA" w:rsidRPr="009F2D1E" w:rsidRDefault="001D4AFA" w:rsidP="009F2D1E">
            <w:pPr>
              <w:jc w:val="right"/>
              <w:rPr>
                <w:rFonts w:ascii="Times New Roman" w:hAnsi="Times New Roman"/>
                <w:sz w:val="14"/>
                <w:szCs w:val="14"/>
              </w:rPr>
            </w:pPr>
            <w:r w:rsidRPr="009F2D1E">
              <w:rPr>
                <w:sz w:val="14"/>
                <w:szCs w:val="14"/>
              </w:rPr>
              <w:t>368795,10</w:t>
            </w:r>
          </w:p>
        </w:tc>
        <w:tc>
          <w:tcPr>
            <w:tcW w:w="1183" w:type="dxa"/>
            <w:tcBorders>
              <w:top w:val="nil"/>
              <w:left w:val="nil"/>
              <w:bottom w:val="single" w:sz="4" w:space="0" w:color="auto"/>
              <w:right w:val="single" w:sz="4" w:space="0" w:color="auto"/>
            </w:tcBorders>
            <w:shd w:val="clear" w:color="000000" w:fill="CCFFFF"/>
            <w:noWrap/>
            <w:vAlign w:val="bottom"/>
            <w:hideMark/>
          </w:tcPr>
          <w:p w14:paraId="5814A26E" w14:textId="77777777" w:rsidR="001D4AFA" w:rsidRPr="009F2D1E" w:rsidRDefault="001D4AFA" w:rsidP="009F2D1E">
            <w:pPr>
              <w:jc w:val="right"/>
              <w:rPr>
                <w:rFonts w:ascii="Times New Roman" w:hAnsi="Times New Roman"/>
                <w:sz w:val="14"/>
                <w:szCs w:val="14"/>
              </w:rPr>
            </w:pPr>
            <w:r w:rsidRPr="009F2D1E">
              <w:rPr>
                <w:sz w:val="14"/>
                <w:szCs w:val="14"/>
              </w:rPr>
              <w:t>351410,42</w:t>
            </w:r>
          </w:p>
        </w:tc>
        <w:tc>
          <w:tcPr>
            <w:tcW w:w="1197" w:type="dxa"/>
            <w:tcBorders>
              <w:top w:val="nil"/>
              <w:left w:val="nil"/>
              <w:bottom w:val="single" w:sz="4" w:space="0" w:color="auto"/>
              <w:right w:val="single" w:sz="4" w:space="0" w:color="auto"/>
            </w:tcBorders>
            <w:shd w:val="clear" w:color="000000" w:fill="CCFFFF"/>
            <w:vAlign w:val="bottom"/>
          </w:tcPr>
          <w:p w14:paraId="2AA8339F" w14:textId="77777777" w:rsidR="001D4AFA" w:rsidRPr="009F2D1E" w:rsidRDefault="001D4AFA" w:rsidP="009F2D1E">
            <w:pPr>
              <w:jc w:val="right"/>
              <w:rPr>
                <w:rFonts w:ascii="Times New Roman" w:hAnsi="Times New Roman"/>
                <w:sz w:val="14"/>
                <w:szCs w:val="14"/>
              </w:rPr>
            </w:pPr>
            <w:r w:rsidRPr="009F2D1E">
              <w:rPr>
                <w:sz w:val="14"/>
                <w:szCs w:val="14"/>
              </w:rPr>
              <w:t>344765,64</w:t>
            </w:r>
          </w:p>
        </w:tc>
      </w:tr>
      <w:tr w:rsidR="001D4AFA" w:rsidRPr="00364545" w14:paraId="0FF8202C"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2268642"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A. Fuel combustion (sectoral approach)</w:t>
            </w:r>
          </w:p>
        </w:tc>
        <w:tc>
          <w:tcPr>
            <w:tcW w:w="1198" w:type="dxa"/>
            <w:tcBorders>
              <w:top w:val="nil"/>
              <w:left w:val="nil"/>
              <w:bottom w:val="single" w:sz="4" w:space="0" w:color="auto"/>
              <w:right w:val="single" w:sz="4" w:space="0" w:color="auto"/>
            </w:tcBorders>
            <w:shd w:val="clear" w:color="000000" w:fill="CCFFFF"/>
            <w:noWrap/>
            <w:vAlign w:val="bottom"/>
            <w:hideMark/>
          </w:tcPr>
          <w:p w14:paraId="3AF94CF2" w14:textId="77777777" w:rsidR="001D4AFA" w:rsidRPr="009F2D1E" w:rsidRDefault="001D4AFA" w:rsidP="009F2D1E">
            <w:pPr>
              <w:jc w:val="right"/>
              <w:rPr>
                <w:rFonts w:ascii="Times New Roman" w:hAnsi="Times New Roman"/>
                <w:sz w:val="14"/>
                <w:szCs w:val="14"/>
              </w:rPr>
            </w:pPr>
            <w:r w:rsidRPr="009F2D1E">
              <w:rPr>
                <w:sz w:val="14"/>
                <w:szCs w:val="14"/>
              </w:rPr>
              <w:t>347073,53</w:t>
            </w:r>
          </w:p>
        </w:tc>
        <w:tc>
          <w:tcPr>
            <w:tcW w:w="1197" w:type="dxa"/>
            <w:tcBorders>
              <w:top w:val="nil"/>
              <w:left w:val="nil"/>
              <w:bottom w:val="single" w:sz="4" w:space="0" w:color="auto"/>
              <w:right w:val="single" w:sz="4" w:space="0" w:color="auto"/>
            </w:tcBorders>
            <w:shd w:val="clear" w:color="000000" w:fill="CCFFFF"/>
            <w:noWrap/>
            <w:vAlign w:val="bottom"/>
            <w:hideMark/>
          </w:tcPr>
          <w:p w14:paraId="0909B7E2" w14:textId="77777777" w:rsidR="001D4AFA" w:rsidRPr="009F2D1E" w:rsidRDefault="001D4AFA" w:rsidP="009F2D1E">
            <w:pPr>
              <w:jc w:val="right"/>
              <w:rPr>
                <w:rFonts w:ascii="Times New Roman" w:hAnsi="Times New Roman"/>
                <w:sz w:val="14"/>
                <w:szCs w:val="14"/>
              </w:rPr>
            </w:pPr>
            <w:r w:rsidRPr="009F2D1E">
              <w:rPr>
                <w:sz w:val="14"/>
                <w:szCs w:val="14"/>
              </w:rPr>
              <w:t>347073,53</w:t>
            </w:r>
          </w:p>
        </w:tc>
        <w:tc>
          <w:tcPr>
            <w:tcW w:w="1197" w:type="dxa"/>
            <w:tcBorders>
              <w:top w:val="nil"/>
              <w:left w:val="nil"/>
              <w:bottom w:val="single" w:sz="4" w:space="0" w:color="auto"/>
              <w:right w:val="single" w:sz="4" w:space="0" w:color="auto"/>
            </w:tcBorders>
            <w:shd w:val="clear" w:color="000000" w:fill="CCFFFF"/>
            <w:noWrap/>
            <w:vAlign w:val="bottom"/>
            <w:hideMark/>
          </w:tcPr>
          <w:p w14:paraId="54E01604" w14:textId="77777777" w:rsidR="001D4AFA" w:rsidRPr="009F2D1E" w:rsidRDefault="001D4AFA" w:rsidP="009F2D1E">
            <w:pPr>
              <w:jc w:val="right"/>
              <w:rPr>
                <w:rFonts w:ascii="Times New Roman" w:hAnsi="Times New Roman"/>
                <w:sz w:val="14"/>
                <w:szCs w:val="14"/>
              </w:rPr>
            </w:pPr>
            <w:r w:rsidRPr="009F2D1E">
              <w:rPr>
                <w:sz w:val="14"/>
                <w:szCs w:val="14"/>
              </w:rPr>
              <w:t>373550,75</w:t>
            </w:r>
          </w:p>
        </w:tc>
        <w:tc>
          <w:tcPr>
            <w:tcW w:w="1183" w:type="dxa"/>
            <w:tcBorders>
              <w:top w:val="nil"/>
              <w:left w:val="nil"/>
              <w:bottom w:val="single" w:sz="4" w:space="0" w:color="auto"/>
              <w:right w:val="single" w:sz="4" w:space="0" w:color="auto"/>
            </w:tcBorders>
            <w:shd w:val="clear" w:color="000000" w:fill="CCFFFF"/>
            <w:noWrap/>
            <w:vAlign w:val="bottom"/>
            <w:hideMark/>
          </w:tcPr>
          <w:p w14:paraId="33B98B25" w14:textId="77777777" w:rsidR="001D4AFA" w:rsidRPr="009F2D1E" w:rsidRDefault="001D4AFA" w:rsidP="009F2D1E">
            <w:pPr>
              <w:jc w:val="right"/>
              <w:rPr>
                <w:rFonts w:ascii="Times New Roman" w:hAnsi="Times New Roman"/>
                <w:sz w:val="14"/>
                <w:szCs w:val="14"/>
              </w:rPr>
            </w:pPr>
            <w:r w:rsidRPr="009F2D1E">
              <w:rPr>
                <w:sz w:val="14"/>
                <w:szCs w:val="14"/>
              </w:rPr>
              <w:t>364327,22</w:t>
            </w:r>
          </w:p>
        </w:tc>
        <w:tc>
          <w:tcPr>
            <w:tcW w:w="1183" w:type="dxa"/>
            <w:tcBorders>
              <w:top w:val="nil"/>
              <w:left w:val="nil"/>
              <w:bottom w:val="single" w:sz="4" w:space="0" w:color="auto"/>
              <w:right w:val="single" w:sz="4" w:space="0" w:color="auto"/>
            </w:tcBorders>
            <w:shd w:val="clear" w:color="000000" w:fill="CCFFFF"/>
            <w:noWrap/>
            <w:vAlign w:val="bottom"/>
            <w:hideMark/>
          </w:tcPr>
          <w:p w14:paraId="701BCF4C" w14:textId="77777777" w:rsidR="001D4AFA" w:rsidRPr="009F2D1E" w:rsidRDefault="001D4AFA" w:rsidP="009F2D1E">
            <w:pPr>
              <w:jc w:val="right"/>
              <w:rPr>
                <w:rFonts w:ascii="Times New Roman" w:hAnsi="Times New Roman"/>
                <w:sz w:val="14"/>
                <w:szCs w:val="14"/>
              </w:rPr>
            </w:pPr>
            <w:r w:rsidRPr="009F2D1E">
              <w:rPr>
                <w:sz w:val="14"/>
                <w:szCs w:val="14"/>
              </w:rPr>
              <w:t>347140,08</w:t>
            </w:r>
          </w:p>
        </w:tc>
        <w:tc>
          <w:tcPr>
            <w:tcW w:w="1197" w:type="dxa"/>
            <w:tcBorders>
              <w:top w:val="nil"/>
              <w:left w:val="nil"/>
              <w:bottom w:val="single" w:sz="4" w:space="0" w:color="auto"/>
              <w:right w:val="single" w:sz="4" w:space="0" w:color="auto"/>
            </w:tcBorders>
            <w:shd w:val="clear" w:color="000000" w:fill="CCFFFF"/>
            <w:vAlign w:val="bottom"/>
          </w:tcPr>
          <w:p w14:paraId="75EC9409" w14:textId="77777777" w:rsidR="001D4AFA" w:rsidRPr="009F2D1E" w:rsidRDefault="001D4AFA" w:rsidP="009F2D1E">
            <w:pPr>
              <w:jc w:val="right"/>
              <w:rPr>
                <w:rFonts w:ascii="Times New Roman" w:hAnsi="Times New Roman"/>
                <w:sz w:val="14"/>
                <w:szCs w:val="14"/>
              </w:rPr>
            </w:pPr>
            <w:r w:rsidRPr="009F2D1E">
              <w:rPr>
                <w:sz w:val="14"/>
                <w:szCs w:val="14"/>
              </w:rPr>
              <w:t>340225,72</w:t>
            </w:r>
          </w:p>
        </w:tc>
      </w:tr>
      <w:tr w:rsidR="001D4AFA" w:rsidRPr="00364545" w14:paraId="7024632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CF6F80C"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1. Energy industries</w:t>
            </w:r>
          </w:p>
        </w:tc>
        <w:tc>
          <w:tcPr>
            <w:tcW w:w="1198" w:type="dxa"/>
            <w:tcBorders>
              <w:top w:val="nil"/>
              <w:left w:val="nil"/>
              <w:bottom w:val="single" w:sz="4" w:space="0" w:color="auto"/>
              <w:right w:val="single" w:sz="4" w:space="0" w:color="auto"/>
            </w:tcBorders>
            <w:shd w:val="clear" w:color="000000" w:fill="FFFFFF"/>
            <w:noWrap/>
            <w:vAlign w:val="bottom"/>
            <w:hideMark/>
          </w:tcPr>
          <w:p w14:paraId="6996C9CF" w14:textId="77777777" w:rsidR="001D4AFA" w:rsidRPr="009F2D1E" w:rsidRDefault="001D4AFA" w:rsidP="009F2D1E">
            <w:pPr>
              <w:jc w:val="right"/>
              <w:rPr>
                <w:rFonts w:ascii="Times New Roman" w:hAnsi="Times New Roman"/>
                <w:sz w:val="14"/>
                <w:szCs w:val="14"/>
              </w:rPr>
            </w:pPr>
            <w:r w:rsidRPr="009F2D1E">
              <w:rPr>
                <w:sz w:val="14"/>
                <w:szCs w:val="14"/>
              </w:rPr>
              <w:t>65823,14</w:t>
            </w:r>
          </w:p>
        </w:tc>
        <w:tc>
          <w:tcPr>
            <w:tcW w:w="1197" w:type="dxa"/>
            <w:tcBorders>
              <w:top w:val="nil"/>
              <w:left w:val="nil"/>
              <w:bottom w:val="single" w:sz="4" w:space="0" w:color="auto"/>
              <w:right w:val="single" w:sz="4" w:space="0" w:color="auto"/>
            </w:tcBorders>
            <w:shd w:val="clear" w:color="000000" w:fill="FFFFFF"/>
            <w:noWrap/>
            <w:vAlign w:val="bottom"/>
            <w:hideMark/>
          </w:tcPr>
          <w:p w14:paraId="58C90827" w14:textId="77777777" w:rsidR="001D4AFA" w:rsidRPr="009F2D1E" w:rsidRDefault="001D4AFA" w:rsidP="009F2D1E">
            <w:pPr>
              <w:jc w:val="right"/>
              <w:rPr>
                <w:rFonts w:ascii="Times New Roman" w:hAnsi="Times New Roman"/>
                <w:sz w:val="14"/>
                <w:szCs w:val="14"/>
              </w:rPr>
            </w:pPr>
            <w:r w:rsidRPr="009F2D1E">
              <w:rPr>
                <w:sz w:val="14"/>
                <w:szCs w:val="14"/>
              </w:rPr>
              <w:t>65823,14</w:t>
            </w:r>
          </w:p>
        </w:tc>
        <w:tc>
          <w:tcPr>
            <w:tcW w:w="1197" w:type="dxa"/>
            <w:tcBorders>
              <w:top w:val="nil"/>
              <w:left w:val="nil"/>
              <w:bottom w:val="single" w:sz="4" w:space="0" w:color="auto"/>
              <w:right w:val="single" w:sz="4" w:space="0" w:color="auto"/>
            </w:tcBorders>
            <w:shd w:val="clear" w:color="000000" w:fill="FFFFFF"/>
            <w:noWrap/>
            <w:vAlign w:val="bottom"/>
            <w:hideMark/>
          </w:tcPr>
          <w:p w14:paraId="334AA6F8" w14:textId="77777777" w:rsidR="001D4AFA" w:rsidRPr="009F2D1E" w:rsidRDefault="001D4AFA" w:rsidP="009F2D1E">
            <w:pPr>
              <w:jc w:val="right"/>
              <w:rPr>
                <w:rFonts w:ascii="Times New Roman" w:hAnsi="Times New Roman"/>
                <w:sz w:val="14"/>
                <w:szCs w:val="14"/>
              </w:rPr>
            </w:pPr>
            <w:r w:rsidRPr="009F2D1E">
              <w:rPr>
                <w:sz w:val="14"/>
                <w:szCs w:val="14"/>
              </w:rPr>
              <w:t>67272,52</w:t>
            </w:r>
          </w:p>
        </w:tc>
        <w:tc>
          <w:tcPr>
            <w:tcW w:w="1183" w:type="dxa"/>
            <w:tcBorders>
              <w:top w:val="nil"/>
              <w:left w:val="nil"/>
              <w:bottom w:val="single" w:sz="4" w:space="0" w:color="auto"/>
              <w:right w:val="single" w:sz="4" w:space="0" w:color="auto"/>
            </w:tcBorders>
            <w:shd w:val="clear" w:color="000000" w:fill="FFFFFF"/>
            <w:noWrap/>
            <w:vAlign w:val="bottom"/>
            <w:hideMark/>
          </w:tcPr>
          <w:p w14:paraId="51F45A06" w14:textId="77777777" w:rsidR="001D4AFA" w:rsidRPr="009F2D1E" w:rsidRDefault="001D4AFA" w:rsidP="009F2D1E">
            <w:pPr>
              <w:jc w:val="right"/>
              <w:rPr>
                <w:rFonts w:ascii="Times New Roman" w:hAnsi="Times New Roman"/>
                <w:sz w:val="14"/>
                <w:szCs w:val="14"/>
              </w:rPr>
            </w:pPr>
            <w:r w:rsidRPr="009F2D1E">
              <w:rPr>
                <w:sz w:val="14"/>
                <w:szCs w:val="14"/>
              </w:rPr>
              <w:t>68346,08</w:t>
            </w:r>
          </w:p>
        </w:tc>
        <w:tc>
          <w:tcPr>
            <w:tcW w:w="1183" w:type="dxa"/>
            <w:tcBorders>
              <w:top w:val="nil"/>
              <w:left w:val="nil"/>
              <w:bottom w:val="single" w:sz="4" w:space="0" w:color="auto"/>
              <w:right w:val="single" w:sz="4" w:space="0" w:color="auto"/>
            </w:tcBorders>
            <w:shd w:val="clear" w:color="000000" w:fill="FFFFFF"/>
            <w:noWrap/>
            <w:vAlign w:val="bottom"/>
            <w:hideMark/>
          </w:tcPr>
          <w:p w14:paraId="262E8188" w14:textId="77777777" w:rsidR="001D4AFA" w:rsidRPr="009F2D1E" w:rsidRDefault="001D4AFA" w:rsidP="009F2D1E">
            <w:pPr>
              <w:jc w:val="right"/>
              <w:rPr>
                <w:rFonts w:ascii="Times New Roman" w:hAnsi="Times New Roman"/>
                <w:sz w:val="14"/>
                <w:szCs w:val="14"/>
              </w:rPr>
            </w:pPr>
            <w:r w:rsidRPr="009F2D1E">
              <w:rPr>
                <w:sz w:val="14"/>
                <w:szCs w:val="14"/>
              </w:rPr>
              <w:t>56106,30</w:t>
            </w:r>
          </w:p>
        </w:tc>
        <w:tc>
          <w:tcPr>
            <w:tcW w:w="1197" w:type="dxa"/>
            <w:tcBorders>
              <w:top w:val="nil"/>
              <w:left w:val="nil"/>
              <w:bottom w:val="single" w:sz="4" w:space="0" w:color="auto"/>
              <w:right w:val="single" w:sz="4" w:space="0" w:color="auto"/>
            </w:tcBorders>
            <w:shd w:val="clear" w:color="000000" w:fill="FFFFFF"/>
            <w:vAlign w:val="bottom"/>
          </w:tcPr>
          <w:p w14:paraId="612C00B7" w14:textId="77777777" w:rsidR="001D4AFA" w:rsidRPr="009F2D1E" w:rsidRDefault="001D4AFA" w:rsidP="009F2D1E">
            <w:pPr>
              <w:jc w:val="right"/>
              <w:rPr>
                <w:rFonts w:ascii="Times New Roman" w:hAnsi="Times New Roman"/>
                <w:sz w:val="14"/>
                <w:szCs w:val="14"/>
              </w:rPr>
            </w:pPr>
            <w:r w:rsidRPr="009F2D1E">
              <w:rPr>
                <w:sz w:val="14"/>
                <w:szCs w:val="14"/>
              </w:rPr>
              <w:t>52582,36</w:t>
            </w:r>
          </w:p>
        </w:tc>
      </w:tr>
      <w:tr w:rsidR="001D4AFA" w:rsidRPr="00364545" w14:paraId="0F7C8651"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EFD37AC"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2. Manufacturing industries and construction</w:t>
            </w:r>
          </w:p>
        </w:tc>
        <w:tc>
          <w:tcPr>
            <w:tcW w:w="1198" w:type="dxa"/>
            <w:tcBorders>
              <w:top w:val="nil"/>
              <w:left w:val="nil"/>
              <w:bottom w:val="single" w:sz="4" w:space="0" w:color="auto"/>
              <w:right w:val="single" w:sz="4" w:space="0" w:color="auto"/>
            </w:tcBorders>
            <w:shd w:val="clear" w:color="000000" w:fill="FFFFFF"/>
            <w:noWrap/>
            <w:vAlign w:val="bottom"/>
            <w:hideMark/>
          </w:tcPr>
          <w:p w14:paraId="134D8D3D" w14:textId="77777777" w:rsidR="001D4AFA" w:rsidRPr="009F2D1E" w:rsidRDefault="001D4AFA" w:rsidP="009F2D1E">
            <w:pPr>
              <w:jc w:val="right"/>
              <w:rPr>
                <w:rFonts w:ascii="Times New Roman" w:hAnsi="Times New Roman"/>
                <w:sz w:val="14"/>
                <w:szCs w:val="14"/>
              </w:rPr>
            </w:pPr>
            <w:r w:rsidRPr="009F2D1E">
              <w:rPr>
                <w:sz w:val="14"/>
                <w:szCs w:val="14"/>
              </w:rPr>
              <w:t>64590,71</w:t>
            </w:r>
          </w:p>
        </w:tc>
        <w:tc>
          <w:tcPr>
            <w:tcW w:w="1197" w:type="dxa"/>
            <w:tcBorders>
              <w:top w:val="nil"/>
              <w:left w:val="nil"/>
              <w:bottom w:val="single" w:sz="4" w:space="0" w:color="auto"/>
              <w:right w:val="single" w:sz="4" w:space="0" w:color="auto"/>
            </w:tcBorders>
            <w:shd w:val="clear" w:color="000000" w:fill="FFFFFF"/>
            <w:noWrap/>
            <w:vAlign w:val="bottom"/>
            <w:hideMark/>
          </w:tcPr>
          <w:p w14:paraId="21302924" w14:textId="77777777" w:rsidR="001D4AFA" w:rsidRPr="009F2D1E" w:rsidRDefault="001D4AFA" w:rsidP="009F2D1E">
            <w:pPr>
              <w:jc w:val="right"/>
              <w:rPr>
                <w:rFonts w:ascii="Times New Roman" w:hAnsi="Times New Roman"/>
                <w:sz w:val="14"/>
                <w:szCs w:val="14"/>
              </w:rPr>
            </w:pPr>
            <w:r w:rsidRPr="009F2D1E">
              <w:rPr>
                <w:sz w:val="14"/>
                <w:szCs w:val="14"/>
              </w:rPr>
              <w:t>64590,71</w:t>
            </w:r>
          </w:p>
        </w:tc>
        <w:tc>
          <w:tcPr>
            <w:tcW w:w="1197" w:type="dxa"/>
            <w:tcBorders>
              <w:top w:val="nil"/>
              <w:left w:val="nil"/>
              <w:bottom w:val="single" w:sz="4" w:space="0" w:color="auto"/>
              <w:right w:val="single" w:sz="4" w:space="0" w:color="auto"/>
            </w:tcBorders>
            <w:shd w:val="clear" w:color="000000" w:fill="FFFFFF"/>
            <w:noWrap/>
            <w:vAlign w:val="bottom"/>
            <w:hideMark/>
          </w:tcPr>
          <w:p w14:paraId="4FA70499" w14:textId="77777777" w:rsidR="001D4AFA" w:rsidRPr="009F2D1E" w:rsidRDefault="001D4AFA" w:rsidP="009F2D1E">
            <w:pPr>
              <w:jc w:val="right"/>
              <w:rPr>
                <w:rFonts w:ascii="Times New Roman" w:hAnsi="Times New Roman"/>
                <w:sz w:val="14"/>
                <w:szCs w:val="14"/>
              </w:rPr>
            </w:pPr>
            <w:r w:rsidRPr="009F2D1E">
              <w:rPr>
                <w:sz w:val="14"/>
                <w:szCs w:val="14"/>
              </w:rPr>
              <w:t>77696,01</w:t>
            </w:r>
          </w:p>
        </w:tc>
        <w:tc>
          <w:tcPr>
            <w:tcW w:w="1183" w:type="dxa"/>
            <w:tcBorders>
              <w:top w:val="nil"/>
              <w:left w:val="nil"/>
              <w:bottom w:val="single" w:sz="4" w:space="0" w:color="auto"/>
              <w:right w:val="single" w:sz="4" w:space="0" w:color="auto"/>
            </w:tcBorders>
            <w:shd w:val="clear" w:color="000000" w:fill="FFFFFF"/>
            <w:noWrap/>
            <w:vAlign w:val="bottom"/>
            <w:hideMark/>
          </w:tcPr>
          <w:p w14:paraId="5568361A" w14:textId="77777777" w:rsidR="001D4AFA" w:rsidRPr="009F2D1E" w:rsidRDefault="001D4AFA" w:rsidP="009F2D1E">
            <w:pPr>
              <w:jc w:val="right"/>
              <w:rPr>
                <w:rFonts w:ascii="Times New Roman" w:hAnsi="Times New Roman"/>
                <w:sz w:val="14"/>
                <w:szCs w:val="14"/>
              </w:rPr>
            </w:pPr>
            <w:r w:rsidRPr="009F2D1E">
              <w:rPr>
                <w:sz w:val="14"/>
                <w:szCs w:val="14"/>
              </w:rPr>
              <w:t>68012,68</w:t>
            </w:r>
          </w:p>
        </w:tc>
        <w:tc>
          <w:tcPr>
            <w:tcW w:w="1183" w:type="dxa"/>
            <w:tcBorders>
              <w:top w:val="nil"/>
              <w:left w:val="nil"/>
              <w:bottom w:val="single" w:sz="4" w:space="0" w:color="auto"/>
              <w:right w:val="single" w:sz="4" w:space="0" w:color="auto"/>
            </w:tcBorders>
            <w:shd w:val="clear" w:color="000000" w:fill="FFFFFF"/>
            <w:noWrap/>
            <w:vAlign w:val="bottom"/>
            <w:hideMark/>
          </w:tcPr>
          <w:p w14:paraId="19F05917" w14:textId="77777777" w:rsidR="001D4AFA" w:rsidRPr="009F2D1E" w:rsidRDefault="001D4AFA" w:rsidP="009F2D1E">
            <w:pPr>
              <w:jc w:val="right"/>
              <w:rPr>
                <w:rFonts w:ascii="Times New Roman" w:hAnsi="Times New Roman"/>
                <w:sz w:val="14"/>
                <w:szCs w:val="14"/>
              </w:rPr>
            </w:pPr>
            <w:r w:rsidRPr="009F2D1E">
              <w:rPr>
                <w:sz w:val="14"/>
                <w:szCs w:val="14"/>
              </w:rPr>
              <w:t>65543,26</w:t>
            </w:r>
          </w:p>
        </w:tc>
        <w:tc>
          <w:tcPr>
            <w:tcW w:w="1197" w:type="dxa"/>
            <w:tcBorders>
              <w:top w:val="nil"/>
              <w:left w:val="nil"/>
              <w:bottom w:val="single" w:sz="4" w:space="0" w:color="auto"/>
              <w:right w:val="single" w:sz="4" w:space="0" w:color="auto"/>
            </w:tcBorders>
            <w:shd w:val="clear" w:color="000000" w:fill="FFFFFF"/>
            <w:vAlign w:val="bottom"/>
          </w:tcPr>
          <w:p w14:paraId="3496926F" w14:textId="77777777" w:rsidR="001D4AFA" w:rsidRPr="009F2D1E" w:rsidRDefault="001D4AFA" w:rsidP="009F2D1E">
            <w:pPr>
              <w:jc w:val="right"/>
              <w:rPr>
                <w:rFonts w:ascii="Times New Roman" w:hAnsi="Times New Roman"/>
                <w:sz w:val="14"/>
                <w:szCs w:val="14"/>
              </w:rPr>
            </w:pPr>
            <w:r w:rsidRPr="009F2D1E">
              <w:rPr>
                <w:sz w:val="14"/>
                <w:szCs w:val="14"/>
              </w:rPr>
              <w:t>66699,35</w:t>
            </w:r>
          </w:p>
        </w:tc>
      </w:tr>
      <w:tr w:rsidR="001D4AFA" w:rsidRPr="00364545" w14:paraId="2B2EB0B7"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7398AAC"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3. Transport</w:t>
            </w:r>
          </w:p>
        </w:tc>
        <w:tc>
          <w:tcPr>
            <w:tcW w:w="1198" w:type="dxa"/>
            <w:tcBorders>
              <w:top w:val="nil"/>
              <w:left w:val="nil"/>
              <w:bottom w:val="single" w:sz="4" w:space="0" w:color="auto"/>
              <w:right w:val="single" w:sz="4" w:space="0" w:color="auto"/>
            </w:tcBorders>
            <w:shd w:val="clear" w:color="000000" w:fill="FFFFFF"/>
            <w:noWrap/>
            <w:vAlign w:val="bottom"/>
            <w:hideMark/>
          </w:tcPr>
          <w:p w14:paraId="3589B9A2" w14:textId="77777777" w:rsidR="001D4AFA" w:rsidRPr="009F2D1E" w:rsidRDefault="001D4AFA" w:rsidP="009F2D1E">
            <w:pPr>
              <w:jc w:val="right"/>
              <w:rPr>
                <w:rFonts w:ascii="Times New Roman" w:hAnsi="Times New Roman"/>
                <w:sz w:val="14"/>
                <w:szCs w:val="14"/>
              </w:rPr>
            </w:pPr>
            <w:r w:rsidRPr="009F2D1E">
              <w:rPr>
                <w:sz w:val="14"/>
                <w:szCs w:val="14"/>
              </w:rPr>
              <w:t>120340,58</w:t>
            </w:r>
          </w:p>
        </w:tc>
        <w:tc>
          <w:tcPr>
            <w:tcW w:w="1197" w:type="dxa"/>
            <w:tcBorders>
              <w:top w:val="nil"/>
              <w:left w:val="nil"/>
              <w:bottom w:val="single" w:sz="4" w:space="0" w:color="auto"/>
              <w:right w:val="single" w:sz="4" w:space="0" w:color="auto"/>
            </w:tcBorders>
            <w:shd w:val="clear" w:color="000000" w:fill="FFFFFF"/>
            <w:noWrap/>
            <w:vAlign w:val="bottom"/>
            <w:hideMark/>
          </w:tcPr>
          <w:p w14:paraId="7FA34AD3" w14:textId="77777777" w:rsidR="001D4AFA" w:rsidRPr="009F2D1E" w:rsidRDefault="001D4AFA" w:rsidP="009F2D1E">
            <w:pPr>
              <w:jc w:val="right"/>
              <w:rPr>
                <w:rFonts w:ascii="Times New Roman" w:hAnsi="Times New Roman"/>
                <w:sz w:val="14"/>
                <w:szCs w:val="14"/>
              </w:rPr>
            </w:pPr>
            <w:r w:rsidRPr="009F2D1E">
              <w:rPr>
                <w:sz w:val="14"/>
                <w:szCs w:val="14"/>
              </w:rPr>
              <w:t>120340,58</w:t>
            </w:r>
          </w:p>
        </w:tc>
        <w:tc>
          <w:tcPr>
            <w:tcW w:w="1197" w:type="dxa"/>
            <w:tcBorders>
              <w:top w:val="nil"/>
              <w:left w:val="nil"/>
              <w:bottom w:val="single" w:sz="4" w:space="0" w:color="auto"/>
              <w:right w:val="single" w:sz="4" w:space="0" w:color="auto"/>
            </w:tcBorders>
            <w:shd w:val="clear" w:color="000000" w:fill="FFFFFF"/>
            <w:noWrap/>
            <w:vAlign w:val="bottom"/>
            <w:hideMark/>
          </w:tcPr>
          <w:p w14:paraId="367A6BBA" w14:textId="77777777" w:rsidR="001D4AFA" w:rsidRPr="009F2D1E" w:rsidRDefault="001D4AFA" w:rsidP="009F2D1E">
            <w:pPr>
              <w:jc w:val="right"/>
              <w:rPr>
                <w:rFonts w:ascii="Times New Roman" w:hAnsi="Times New Roman"/>
                <w:sz w:val="14"/>
                <w:szCs w:val="14"/>
              </w:rPr>
            </w:pPr>
            <w:r w:rsidRPr="009F2D1E">
              <w:rPr>
                <w:sz w:val="14"/>
                <w:szCs w:val="14"/>
              </w:rPr>
              <w:t>123519,01</w:t>
            </w:r>
          </w:p>
        </w:tc>
        <w:tc>
          <w:tcPr>
            <w:tcW w:w="1183" w:type="dxa"/>
            <w:tcBorders>
              <w:top w:val="nil"/>
              <w:left w:val="nil"/>
              <w:bottom w:val="single" w:sz="4" w:space="0" w:color="auto"/>
              <w:right w:val="single" w:sz="4" w:space="0" w:color="auto"/>
            </w:tcBorders>
            <w:shd w:val="clear" w:color="000000" w:fill="FFFFFF"/>
            <w:noWrap/>
            <w:vAlign w:val="bottom"/>
            <w:hideMark/>
          </w:tcPr>
          <w:p w14:paraId="118387C7" w14:textId="77777777" w:rsidR="001D4AFA" w:rsidRPr="009F2D1E" w:rsidRDefault="001D4AFA" w:rsidP="009F2D1E">
            <w:pPr>
              <w:jc w:val="right"/>
              <w:rPr>
                <w:rFonts w:ascii="Times New Roman" w:hAnsi="Times New Roman"/>
                <w:sz w:val="14"/>
                <w:szCs w:val="14"/>
              </w:rPr>
            </w:pPr>
            <w:r w:rsidRPr="009F2D1E">
              <w:rPr>
                <w:sz w:val="14"/>
                <w:szCs w:val="14"/>
              </w:rPr>
              <w:t>126346,18</w:t>
            </w:r>
          </w:p>
        </w:tc>
        <w:tc>
          <w:tcPr>
            <w:tcW w:w="1183" w:type="dxa"/>
            <w:tcBorders>
              <w:top w:val="nil"/>
              <w:left w:val="nil"/>
              <w:bottom w:val="single" w:sz="4" w:space="0" w:color="auto"/>
              <w:right w:val="single" w:sz="4" w:space="0" w:color="auto"/>
            </w:tcBorders>
            <w:shd w:val="clear" w:color="000000" w:fill="FFFFFF"/>
            <w:noWrap/>
            <w:vAlign w:val="bottom"/>
            <w:hideMark/>
          </w:tcPr>
          <w:p w14:paraId="7DFCA286" w14:textId="77777777" w:rsidR="001D4AFA" w:rsidRPr="009F2D1E" w:rsidRDefault="001D4AFA" w:rsidP="009F2D1E">
            <w:pPr>
              <w:jc w:val="right"/>
              <w:rPr>
                <w:rFonts w:ascii="Times New Roman" w:hAnsi="Times New Roman"/>
                <w:sz w:val="14"/>
                <w:szCs w:val="14"/>
              </w:rPr>
            </w:pPr>
            <w:r w:rsidRPr="009F2D1E">
              <w:rPr>
                <w:sz w:val="14"/>
                <w:szCs w:val="14"/>
              </w:rPr>
              <w:t>127007,24</w:t>
            </w:r>
          </w:p>
        </w:tc>
        <w:tc>
          <w:tcPr>
            <w:tcW w:w="1197" w:type="dxa"/>
            <w:tcBorders>
              <w:top w:val="nil"/>
              <w:left w:val="nil"/>
              <w:bottom w:val="single" w:sz="4" w:space="0" w:color="auto"/>
              <w:right w:val="single" w:sz="4" w:space="0" w:color="auto"/>
            </w:tcBorders>
            <w:shd w:val="clear" w:color="000000" w:fill="FFFFFF"/>
            <w:vAlign w:val="bottom"/>
          </w:tcPr>
          <w:p w14:paraId="5FF3E896" w14:textId="77777777" w:rsidR="001D4AFA" w:rsidRPr="009F2D1E" w:rsidRDefault="001D4AFA" w:rsidP="009F2D1E">
            <w:pPr>
              <w:jc w:val="right"/>
              <w:rPr>
                <w:rFonts w:ascii="Times New Roman" w:hAnsi="Times New Roman"/>
                <w:sz w:val="14"/>
                <w:szCs w:val="14"/>
              </w:rPr>
            </w:pPr>
            <w:r w:rsidRPr="009F2D1E">
              <w:rPr>
                <w:sz w:val="14"/>
                <w:szCs w:val="14"/>
              </w:rPr>
              <w:t>128627,69</w:t>
            </w:r>
          </w:p>
        </w:tc>
      </w:tr>
      <w:tr w:rsidR="001D4AFA" w:rsidRPr="00364545" w14:paraId="74D0472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93E1760"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4. Other sectors</w:t>
            </w:r>
          </w:p>
        </w:tc>
        <w:tc>
          <w:tcPr>
            <w:tcW w:w="1198" w:type="dxa"/>
            <w:tcBorders>
              <w:top w:val="nil"/>
              <w:left w:val="nil"/>
              <w:bottom w:val="single" w:sz="4" w:space="0" w:color="auto"/>
              <w:right w:val="single" w:sz="4" w:space="0" w:color="auto"/>
            </w:tcBorders>
            <w:shd w:val="clear" w:color="000000" w:fill="FFFFFF"/>
            <w:noWrap/>
            <w:vAlign w:val="bottom"/>
            <w:hideMark/>
          </w:tcPr>
          <w:p w14:paraId="1E138EE0" w14:textId="77777777" w:rsidR="001D4AFA" w:rsidRPr="009F2D1E" w:rsidRDefault="001D4AFA" w:rsidP="009F2D1E">
            <w:pPr>
              <w:jc w:val="right"/>
              <w:rPr>
                <w:rFonts w:ascii="Times New Roman" w:hAnsi="Times New Roman"/>
                <w:sz w:val="14"/>
                <w:szCs w:val="14"/>
              </w:rPr>
            </w:pPr>
            <w:r w:rsidRPr="009F2D1E">
              <w:rPr>
                <w:sz w:val="14"/>
                <w:szCs w:val="14"/>
              </w:rPr>
              <w:t>91854,84</w:t>
            </w:r>
          </w:p>
        </w:tc>
        <w:tc>
          <w:tcPr>
            <w:tcW w:w="1197" w:type="dxa"/>
            <w:tcBorders>
              <w:top w:val="nil"/>
              <w:left w:val="nil"/>
              <w:bottom w:val="single" w:sz="4" w:space="0" w:color="auto"/>
              <w:right w:val="single" w:sz="4" w:space="0" w:color="auto"/>
            </w:tcBorders>
            <w:shd w:val="clear" w:color="000000" w:fill="FFFFFF"/>
            <w:noWrap/>
            <w:vAlign w:val="bottom"/>
            <w:hideMark/>
          </w:tcPr>
          <w:p w14:paraId="6F5CE869" w14:textId="77777777" w:rsidR="001D4AFA" w:rsidRPr="009F2D1E" w:rsidRDefault="001D4AFA" w:rsidP="009F2D1E">
            <w:pPr>
              <w:jc w:val="right"/>
              <w:rPr>
                <w:rFonts w:ascii="Times New Roman" w:hAnsi="Times New Roman"/>
                <w:sz w:val="14"/>
                <w:szCs w:val="14"/>
              </w:rPr>
            </w:pPr>
            <w:r w:rsidRPr="009F2D1E">
              <w:rPr>
                <w:sz w:val="14"/>
                <w:szCs w:val="14"/>
              </w:rPr>
              <w:t>91854,84</w:t>
            </w:r>
          </w:p>
        </w:tc>
        <w:tc>
          <w:tcPr>
            <w:tcW w:w="1197" w:type="dxa"/>
            <w:tcBorders>
              <w:top w:val="nil"/>
              <w:left w:val="nil"/>
              <w:bottom w:val="single" w:sz="4" w:space="0" w:color="auto"/>
              <w:right w:val="single" w:sz="4" w:space="0" w:color="auto"/>
            </w:tcBorders>
            <w:shd w:val="clear" w:color="000000" w:fill="FFFFFF"/>
            <w:noWrap/>
            <w:vAlign w:val="bottom"/>
            <w:hideMark/>
          </w:tcPr>
          <w:p w14:paraId="5A4CF775" w14:textId="77777777" w:rsidR="001D4AFA" w:rsidRPr="009F2D1E" w:rsidRDefault="001D4AFA" w:rsidP="009F2D1E">
            <w:pPr>
              <w:jc w:val="right"/>
              <w:rPr>
                <w:rFonts w:ascii="Times New Roman" w:hAnsi="Times New Roman"/>
                <w:sz w:val="14"/>
                <w:szCs w:val="14"/>
              </w:rPr>
            </w:pPr>
            <w:r w:rsidRPr="009F2D1E">
              <w:rPr>
                <w:sz w:val="14"/>
                <w:szCs w:val="14"/>
              </w:rPr>
              <w:t>100953,23</w:t>
            </w:r>
          </w:p>
        </w:tc>
        <w:tc>
          <w:tcPr>
            <w:tcW w:w="1183" w:type="dxa"/>
            <w:tcBorders>
              <w:top w:val="nil"/>
              <w:left w:val="nil"/>
              <w:bottom w:val="single" w:sz="4" w:space="0" w:color="auto"/>
              <w:right w:val="single" w:sz="4" w:space="0" w:color="auto"/>
            </w:tcBorders>
            <w:shd w:val="clear" w:color="000000" w:fill="FFFFFF"/>
            <w:noWrap/>
            <w:vAlign w:val="bottom"/>
            <w:hideMark/>
          </w:tcPr>
          <w:p w14:paraId="55BE3252" w14:textId="77777777" w:rsidR="001D4AFA" w:rsidRPr="009F2D1E" w:rsidRDefault="001D4AFA" w:rsidP="009F2D1E">
            <w:pPr>
              <w:jc w:val="right"/>
              <w:rPr>
                <w:rFonts w:ascii="Times New Roman" w:hAnsi="Times New Roman"/>
                <w:sz w:val="14"/>
                <w:szCs w:val="14"/>
              </w:rPr>
            </w:pPr>
            <w:r w:rsidRPr="009F2D1E">
              <w:rPr>
                <w:sz w:val="14"/>
                <w:szCs w:val="14"/>
              </w:rPr>
              <w:t>98818,30</w:t>
            </w:r>
          </w:p>
        </w:tc>
        <w:tc>
          <w:tcPr>
            <w:tcW w:w="1183" w:type="dxa"/>
            <w:tcBorders>
              <w:top w:val="nil"/>
              <w:left w:val="nil"/>
              <w:bottom w:val="single" w:sz="4" w:space="0" w:color="auto"/>
              <w:right w:val="single" w:sz="4" w:space="0" w:color="auto"/>
            </w:tcBorders>
            <w:shd w:val="clear" w:color="000000" w:fill="FFFFFF"/>
            <w:noWrap/>
            <w:vAlign w:val="bottom"/>
            <w:hideMark/>
          </w:tcPr>
          <w:p w14:paraId="7C9D666D" w14:textId="77777777" w:rsidR="001D4AFA" w:rsidRPr="009F2D1E" w:rsidRDefault="001D4AFA" w:rsidP="009F2D1E">
            <w:pPr>
              <w:jc w:val="right"/>
              <w:rPr>
                <w:rFonts w:ascii="Times New Roman" w:hAnsi="Times New Roman"/>
                <w:sz w:val="14"/>
                <w:szCs w:val="14"/>
              </w:rPr>
            </w:pPr>
            <w:r w:rsidRPr="009F2D1E">
              <w:rPr>
                <w:sz w:val="14"/>
                <w:szCs w:val="14"/>
              </w:rPr>
              <w:t>96141,86</w:t>
            </w:r>
          </w:p>
        </w:tc>
        <w:tc>
          <w:tcPr>
            <w:tcW w:w="1197" w:type="dxa"/>
            <w:tcBorders>
              <w:top w:val="nil"/>
              <w:left w:val="nil"/>
              <w:bottom w:val="single" w:sz="4" w:space="0" w:color="auto"/>
              <w:right w:val="single" w:sz="4" w:space="0" w:color="auto"/>
            </w:tcBorders>
            <w:shd w:val="clear" w:color="000000" w:fill="FFFFFF"/>
            <w:vAlign w:val="bottom"/>
          </w:tcPr>
          <w:p w14:paraId="3D6F605B" w14:textId="77777777" w:rsidR="001D4AFA" w:rsidRPr="009F2D1E" w:rsidRDefault="001D4AFA" w:rsidP="009F2D1E">
            <w:pPr>
              <w:jc w:val="right"/>
              <w:rPr>
                <w:rFonts w:ascii="Times New Roman" w:hAnsi="Times New Roman"/>
                <w:sz w:val="14"/>
                <w:szCs w:val="14"/>
              </w:rPr>
            </w:pPr>
            <w:r w:rsidRPr="009F2D1E">
              <w:rPr>
                <w:sz w:val="14"/>
                <w:szCs w:val="14"/>
              </w:rPr>
              <w:t>91239,03</w:t>
            </w:r>
          </w:p>
        </w:tc>
      </w:tr>
      <w:tr w:rsidR="001D4AFA" w:rsidRPr="00364545" w14:paraId="76E07C5E"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5471ABA"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5. Other</w:t>
            </w:r>
          </w:p>
        </w:tc>
        <w:tc>
          <w:tcPr>
            <w:tcW w:w="1198" w:type="dxa"/>
            <w:tcBorders>
              <w:top w:val="nil"/>
              <w:left w:val="nil"/>
              <w:bottom w:val="single" w:sz="4" w:space="0" w:color="auto"/>
              <w:right w:val="single" w:sz="4" w:space="0" w:color="auto"/>
            </w:tcBorders>
            <w:shd w:val="clear" w:color="000000" w:fill="FFFFFF"/>
            <w:noWrap/>
            <w:vAlign w:val="bottom"/>
            <w:hideMark/>
          </w:tcPr>
          <w:p w14:paraId="43D9572B" w14:textId="77777777" w:rsidR="001D4AFA" w:rsidRPr="009F2D1E" w:rsidRDefault="001D4AFA" w:rsidP="009F2D1E">
            <w:pPr>
              <w:jc w:val="right"/>
              <w:rPr>
                <w:rFonts w:ascii="Times New Roman" w:hAnsi="Times New Roman"/>
                <w:sz w:val="14"/>
                <w:szCs w:val="14"/>
              </w:rPr>
            </w:pPr>
            <w:r w:rsidRPr="009F2D1E">
              <w:rPr>
                <w:sz w:val="14"/>
                <w:szCs w:val="14"/>
              </w:rPr>
              <w:t>4464,25</w:t>
            </w:r>
          </w:p>
        </w:tc>
        <w:tc>
          <w:tcPr>
            <w:tcW w:w="1197" w:type="dxa"/>
            <w:tcBorders>
              <w:top w:val="nil"/>
              <w:left w:val="nil"/>
              <w:bottom w:val="single" w:sz="4" w:space="0" w:color="auto"/>
              <w:right w:val="single" w:sz="4" w:space="0" w:color="auto"/>
            </w:tcBorders>
            <w:shd w:val="clear" w:color="000000" w:fill="FFFFFF"/>
            <w:noWrap/>
            <w:vAlign w:val="bottom"/>
            <w:hideMark/>
          </w:tcPr>
          <w:p w14:paraId="03F1E15E" w14:textId="77777777" w:rsidR="001D4AFA" w:rsidRPr="009F2D1E" w:rsidRDefault="001D4AFA" w:rsidP="009F2D1E">
            <w:pPr>
              <w:jc w:val="right"/>
              <w:rPr>
                <w:rFonts w:ascii="Times New Roman" w:hAnsi="Times New Roman"/>
                <w:sz w:val="14"/>
                <w:szCs w:val="14"/>
              </w:rPr>
            </w:pPr>
            <w:r w:rsidRPr="009F2D1E">
              <w:rPr>
                <w:sz w:val="14"/>
                <w:szCs w:val="14"/>
              </w:rPr>
              <w:t>4464,25</w:t>
            </w:r>
          </w:p>
        </w:tc>
        <w:tc>
          <w:tcPr>
            <w:tcW w:w="1197" w:type="dxa"/>
            <w:tcBorders>
              <w:top w:val="nil"/>
              <w:left w:val="nil"/>
              <w:bottom w:val="single" w:sz="4" w:space="0" w:color="auto"/>
              <w:right w:val="single" w:sz="4" w:space="0" w:color="auto"/>
            </w:tcBorders>
            <w:shd w:val="clear" w:color="000000" w:fill="FFFFFF"/>
            <w:noWrap/>
            <w:vAlign w:val="bottom"/>
            <w:hideMark/>
          </w:tcPr>
          <w:p w14:paraId="715F9755" w14:textId="77777777" w:rsidR="001D4AFA" w:rsidRPr="009F2D1E" w:rsidRDefault="001D4AFA" w:rsidP="009F2D1E">
            <w:pPr>
              <w:jc w:val="right"/>
              <w:rPr>
                <w:rFonts w:ascii="Times New Roman" w:hAnsi="Times New Roman"/>
                <w:sz w:val="14"/>
                <w:szCs w:val="14"/>
              </w:rPr>
            </w:pPr>
            <w:r w:rsidRPr="009F2D1E">
              <w:rPr>
                <w:sz w:val="14"/>
                <w:szCs w:val="14"/>
              </w:rPr>
              <w:t>4109,98</w:t>
            </w:r>
          </w:p>
        </w:tc>
        <w:tc>
          <w:tcPr>
            <w:tcW w:w="1183" w:type="dxa"/>
            <w:tcBorders>
              <w:top w:val="nil"/>
              <w:left w:val="nil"/>
              <w:bottom w:val="single" w:sz="4" w:space="0" w:color="auto"/>
              <w:right w:val="single" w:sz="4" w:space="0" w:color="auto"/>
            </w:tcBorders>
            <w:shd w:val="clear" w:color="000000" w:fill="FFFFFF"/>
            <w:noWrap/>
            <w:vAlign w:val="bottom"/>
            <w:hideMark/>
          </w:tcPr>
          <w:p w14:paraId="7B3D7CF4" w14:textId="77777777" w:rsidR="001D4AFA" w:rsidRPr="009F2D1E" w:rsidRDefault="001D4AFA" w:rsidP="009F2D1E">
            <w:pPr>
              <w:jc w:val="right"/>
              <w:rPr>
                <w:rFonts w:ascii="Times New Roman" w:hAnsi="Times New Roman"/>
                <w:sz w:val="14"/>
                <w:szCs w:val="14"/>
              </w:rPr>
            </w:pPr>
            <w:r w:rsidRPr="009F2D1E">
              <w:rPr>
                <w:sz w:val="14"/>
                <w:szCs w:val="14"/>
              </w:rPr>
              <w:t>2803,98</w:t>
            </w:r>
          </w:p>
        </w:tc>
        <w:tc>
          <w:tcPr>
            <w:tcW w:w="1183" w:type="dxa"/>
            <w:tcBorders>
              <w:top w:val="nil"/>
              <w:left w:val="nil"/>
              <w:bottom w:val="single" w:sz="4" w:space="0" w:color="auto"/>
              <w:right w:val="single" w:sz="4" w:space="0" w:color="auto"/>
            </w:tcBorders>
            <w:shd w:val="clear" w:color="000000" w:fill="FFFFFF"/>
            <w:noWrap/>
            <w:vAlign w:val="bottom"/>
            <w:hideMark/>
          </w:tcPr>
          <w:p w14:paraId="00EF9E32" w14:textId="77777777" w:rsidR="001D4AFA" w:rsidRPr="009F2D1E" w:rsidRDefault="001D4AFA" w:rsidP="009F2D1E">
            <w:pPr>
              <w:jc w:val="right"/>
              <w:rPr>
                <w:rFonts w:ascii="Times New Roman" w:hAnsi="Times New Roman"/>
                <w:sz w:val="14"/>
                <w:szCs w:val="14"/>
              </w:rPr>
            </w:pPr>
            <w:r w:rsidRPr="009F2D1E">
              <w:rPr>
                <w:sz w:val="14"/>
                <w:szCs w:val="14"/>
              </w:rPr>
              <w:t>2341,42</w:t>
            </w:r>
          </w:p>
        </w:tc>
        <w:tc>
          <w:tcPr>
            <w:tcW w:w="1197" w:type="dxa"/>
            <w:tcBorders>
              <w:top w:val="nil"/>
              <w:left w:val="nil"/>
              <w:bottom w:val="single" w:sz="4" w:space="0" w:color="auto"/>
              <w:right w:val="single" w:sz="4" w:space="0" w:color="auto"/>
            </w:tcBorders>
            <w:shd w:val="clear" w:color="000000" w:fill="FFFFFF"/>
            <w:vAlign w:val="bottom"/>
          </w:tcPr>
          <w:p w14:paraId="039499E4" w14:textId="77777777" w:rsidR="001D4AFA" w:rsidRPr="009F2D1E" w:rsidRDefault="001D4AFA" w:rsidP="009F2D1E">
            <w:pPr>
              <w:jc w:val="right"/>
              <w:rPr>
                <w:rFonts w:ascii="Times New Roman" w:hAnsi="Times New Roman"/>
                <w:sz w:val="14"/>
                <w:szCs w:val="14"/>
              </w:rPr>
            </w:pPr>
            <w:r w:rsidRPr="009F2D1E">
              <w:rPr>
                <w:sz w:val="14"/>
                <w:szCs w:val="14"/>
              </w:rPr>
              <w:t>1077,28</w:t>
            </w:r>
          </w:p>
        </w:tc>
      </w:tr>
      <w:tr w:rsidR="001D4AFA" w:rsidRPr="00364545" w14:paraId="6547070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D1024DC"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B. Fugitive emissions from fuels</w:t>
            </w:r>
          </w:p>
        </w:tc>
        <w:tc>
          <w:tcPr>
            <w:tcW w:w="1198" w:type="dxa"/>
            <w:tcBorders>
              <w:top w:val="nil"/>
              <w:left w:val="nil"/>
              <w:bottom w:val="single" w:sz="4" w:space="0" w:color="auto"/>
              <w:right w:val="single" w:sz="4" w:space="0" w:color="auto"/>
            </w:tcBorders>
            <w:shd w:val="clear" w:color="000000" w:fill="CCFFFF"/>
            <w:noWrap/>
            <w:vAlign w:val="bottom"/>
            <w:hideMark/>
          </w:tcPr>
          <w:p w14:paraId="0F62C625" w14:textId="77777777" w:rsidR="001D4AFA" w:rsidRPr="009F2D1E" w:rsidRDefault="001D4AFA" w:rsidP="009F2D1E">
            <w:pPr>
              <w:jc w:val="right"/>
              <w:rPr>
                <w:rFonts w:ascii="Times New Roman" w:hAnsi="Times New Roman"/>
                <w:sz w:val="14"/>
                <w:szCs w:val="14"/>
              </w:rPr>
            </w:pPr>
            <w:r w:rsidRPr="009F2D1E">
              <w:rPr>
                <w:sz w:val="14"/>
                <w:szCs w:val="14"/>
              </w:rPr>
              <w:t>4361,54</w:t>
            </w:r>
          </w:p>
        </w:tc>
        <w:tc>
          <w:tcPr>
            <w:tcW w:w="1197" w:type="dxa"/>
            <w:tcBorders>
              <w:top w:val="nil"/>
              <w:left w:val="nil"/>
              <w:bottom w:val="single" w:sz="4" w:space="0" w:color="auto"/>
              <w:right w:val="single" w:sz="4" w:space="0" w:color="auto"/>
            </w:tcBorders>
            <w:shd w:val="clear" w:color="000000" w:fill="CCFFFF"/>
            <w:noWrap/>
            <w:vAlign w:val="bottom"/>
            <w:hideMark/>
          </w:tcPr>
          <w:p w14:paraId="5B583216" w14:textId="77777777" w:rsidR="001D4AFA" w:rsidRPr="009F2D1E" w:rsidRDefault="001D4AFA" w:rsidP="009F2D1E">
            <w:pPr>
              <w:jc w:val="right"/>
              <w:rPr>
                <w:rFonts w:ascii="Times New Roman" w:hAnsi="Times New Roman"/>
                <w:sz w:val="14"/>
                <w:szCs w:val="14"/>
              </w:rPr>
            </w:pPr>
            <w:r w:rsidRPr="009F2D1E">
              <w:rPr>
                <w:sz w:val="14"/>
                <w:szCs w:val="14"/>
              </w:rPr>
              <w:t>4361,54</w:t>
            </w:r>
          </w:p>
        </w:tc>
        <w:tc>
          <w:tcPr>
            <w:tcW w:w="1197" w:type="dxa"/>
            <w:tcBorders>
              <w:top w:val="nil"/>
              <w:left w:val="nil"/>
              <w:bottom w:val="single" w:sz="4" w:space="0" w:color="auto"/>
              <w:right w:val="single" w:sz="4" w:space="0" w:color="auto"/>
            </w:tcBorders>
            <w:shd w:val="clear" w:color="000000" w:fill="CCFFFF"/>
            <w:noWrap/>
            <w:vAlign w:val="bottom"/>
            <w:hideMark/>
          </w:tcPr>
          <w:p w14:paraId="61865C1E" w14:textId="77777777" w:rsidR="001D4AFA" w:rsidRPr="009F2D1E" w:rsidRDefault="001D4AFA" w:rsidP="009F2D1E">
            <w:pPr>
              <w:jc w:val="right"/>
              <w:rPr>
                <w:rFonts w:ascii="Times New Roman" w:hAnsi="Times New Roman"/>
                <w:sz w:val="14"/>
                <w:szCs w:val="14"/>
              </w:rPr>
            </w:pPr>
            <w:r w:rsidRPr="009F2D1E">
              <w:rPr>
                <w:sz w:val="14"/>
                <w:szCs w:val="14"/>
              </w:rPr>
              <w:t>4464,80</w:t>
            </w:r>
          </w:p>
        </w:tc>
        <w:tc>
          <w:tcPr>
            <w:tcW w:w="1183" w:type="dxa"/>
            <w:tcBorders>
              <w:top w:val="nil"/>
              <w:left w:val="nil"/>
              <w:bottom w:val="single" w:sz="4" w:space="0" w:color="auto"/>
              <w:right w:val="single" w:sz="4" w:space="0" w:color="auto"/>
            </w:tcBorders>
            <w:shd w:val="clear" w:color="000000" w:fill="CCFFFF"/>
            <w:noWrap/>
            <w:vAlign w:val="bottom"/>
            <w:hideMark/>
          </w:tcPr>
          <w:p w14:paraId="7A88DAD7" w14:textId="77777777" w:rsidR="001D4AFA" w:rsidRPr="009F2D1E" w:rsidRDefault="001D4AFA" w:rsidP="009F2D1E">
            <w:pPr>
              <w:jc w:val="right"/>
              <w:rPr>
                <w:rFonts w:ascii="Times New Roman" w:hAnsi="Times New Roman"/>
                <w:sz w:val="14"/>
                <w:szCs w:val="14"/>
              </w:rPr>
            </w:pPr>
            <w:r w:rsidRPr="009F2D1E">
              <w:rPr>
                <w:sz w:val="14"/>
                <w:szCs w:val="14"/>
              </w:rPr>
              <w:t>4467,87</w:t>
            </w:r>
          </w:p>
        </w:tc>
        <w:tc>
          <w:tcPr>
            <w:tcW w:w="1183" w:type="dxa"/>
            <w:tcBorders>
              <w:top w:val="nil"/>
              <w:left w:val="nil"/>
              <w:bottom w:val="single" w:sz="4" w:space="0" w:color="auto"/>
              <w:right w:val="single" w:sz="4" w:space="0" w:color="auto"/>
            </w:tcBorders>
            <w:shd w:val="clear" w:color="000000" w:fill="CCFFFF"/>
            <w:noWrap/>
            <w:vAlign w:val="bottom"/>
            <w:hideMark/>
          </w:tcPr>
          <w:p w14:paraId="6F40522E" w14:textId="77777777" w:rsidR="001D4AFA" w:rsidRPr="009F2D1E" w:rsidRDefault="001D4AFA" w:rsidP="009F2D1E">
            <w:pPr>
              <w:jc w:val="right"/>
              <w:rPr>
                <w:rFonts w:ascii="Times New Roman" w:hAnsi="Times New Roman"/>
                <w:sz w:val="14"/>
                <w:szCs w:val="14"/>
              </w:rPr>
            </w:pPr>
            <w:r w:rsidRPr="009F2D1E">
              <w:rPr>
                <w:sz w:val="14"/>
                <w:szCs w:val="14"/>
              </w:rPr>
              <w:t>4270,34</w:t>
            </w:r>
          </w:p>
        </w:tc>
        <w:tc>
          <w:tcPr>
            <w:tcW w:w="1197" w:type="dxa"/>
            <w:tcBorders>
              <w:top w:val="nil"/>
              <w:left w:val="nil"/>
              <w:bottom w:val="single" w:sz="4" w:space="0" w:color="auto"/>
              <w:right w:val="single" w:sz="4" w:space="0" w:color="auto"/>
            </w:tcBorders>
            <w:shd w:val="clear" w:color="000000" w:fill="CCFFFF"/>
            <w:vAlign w:val="bottom"/>
          </w:tcPr>
          <w:p w14:paraId="119D9418" w14:textId="77777777" w:rsidR="001D4AFA" w:rsidRPr="009F2D1E" w:rsidRDefault="001D4AFA" w:rsidP="009F2D1E">
            <w:pPr>
              <w:jc w:val="right"/>
              <w:rPr>
                <w:rFonts w:ascii="Times New Roman" w:hAnsi="Times New Roman"/>
                <w:sz w:val="14"/>
                <w:szCs w:val="14"/>
              </w:rPr>
            </w:pPr>
            <w:r w:rsidRPr="009F2D1E">
              <w:rPr>
                <w:sz w:val="14"/>
                <w:szCs w:val="14"/>
              </w:rPr>
              <w:t>4539,92</w:t>
            </w:r>
          </w:p>
        </w:tc>
      </w:tr>
      <w:tr w:rsidR="001D4AFA" w:rsidRPr="00364545" w14:paraId="77874396"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0E66F9C"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1. Solid fuels</w:t>
            </w:r>
          </w:p>
        </w:tc>
        <w:tc>
          <w:tcPr>
            <w:tcW w:w="1198" w:type="dxa"/>
            <w:tcBorders>
              <w:top w:val="nil"/>
              <w:left w:val="nil"/>
              <w:bottom w:val="single" w:sz="4" w:space="0" w:color="auto"/>
              <w:right w:val="single" w:sz="4" w:space="0" w:color="auto"/>
            </w:tcBorders>
            <w:shd w:val="clear" w:color="000000" w:fill="FFFFFF"/>
            <w:noWrap/>
            <w:vAlign w:val="bottom"/>
            <w:hideMark/>
          </w:tcPr>
          <w:p w14:paraId="5354B778"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740F63E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0D78E26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719132BF"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6A54BA3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4F793230"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4C7614C7"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B38BDC4" w14:textId="77777777" w:rsidR="001D4AFA" w:rsidRPr="00364545" w:rsidRDefault="001D4AFA" w:rsidP="009F2D1E">
            <w:pPr>
              <w:ind w:firstLineChars="500" w:firstLine="700"/>
              <w:jc w:val="left"/>
              <w:rPr>
                <w:rFonts w:asciiTheme="majorHAnsi" w:hAnsiTheme="majorHAnsi"/>
                <w:sz w:val="14"/>
                <w:szCs w:val="16"/>
              </w:rPr>
            </w:pPr>
            <w:r w:rsidRPr="00364545">
              <w:rPr>
                <w:rFonts w:asciiTheme="majorHAnsi" w:hAnsiTheme="majorHAnsi"/>
                <w:sz w:val="14"/>
              </w:rPr>
              <w:t>2. Oil and natural gas and other emissions from energy production</w:t>
            </w:r>
          </w:p>
        </w:tc>
        <w:tc>
          <w:tcPr>
            <w:tcW w:w="1198" w:type="dxa"/>
            <w:tcBorders>
              <w:top w:val="nil"/>
              <w:left w:val="nil"/>
              <w:bottom w:val="single" w:sz="4" w:space="0" w:color="auto"/>
              <w:right w:val="single" w:sz="4" w:space="0" w:color="auto"/>
            </w:tcBorders>
            <w:shd w:val="clear" w:color="000000" w:fill="FFFFFF"/>
            <w:noWrap/>
            <w:vAlign w:val="bottom"/>
            <w:hideMark/>
          </w:tcPr>
          <w:p w14:paraId="6AD4CDCF" w14:textId="77777777" w:rsidR="001D4AFA" w:rsidRPr="009F2D1E" w:rsidRDefault="001D4AFA" w:rsidP="009F2D1E">
            <w:pPr>
              <w:jc w:val="right"/>
              <w:rPr>
                <w:rFonts w:ascii="Times New Roman" w:hAnsi="Times New Roman"/>
                <w:sz w:val="14"/>
                <w:szCs w:val="14"/>
              </w:rPr>
            </w:pPr>
            <w:r w:rsidRPr="009F2D1E">
              <w:rPr>
                <w:sz w:val="14"/>
                <w:szCs w:val="14"/>
              </w:rPr>
              <w:t>4361,54</w:t>
            </w:r>
          </w:p>
        </w:tc>
        <w:tc>
          <w:tcPr>
            <w:tcW w:w="1197" w:type="dxa"/>
            <w:tcBorders>
              <w:top w:val="nil"/>
              <w:left w:val="nil"/>
              <w:bottom w:val="single" w:sz="4" w:space="0" w:color="auto"/>
              <w:right w:val="single" w:sz="4" w:space="0" w:color="auto"/>
            </w:tcBorders>
            <w:shd w:val="clear" w:color="000000" w:fill="FFFFFF"/>
            <w:noWrap/>
            <w:vAlign w:val="bottom"/>
            <w:hideMark/>
          </w:tcPr>
          <w:p w14:paraId="00E87497" w14:textId="77777777" w:rsidR="001D4AFA" w:rsidRPr="009F2D1E" w:rsidRDefault="001D4AFA" w:rsidP="009F2D1E">
            <w:pPr>
              <w:jc w:val="right"/>
              <w:rPr>
                <w:rFonts w:ascii="Times New Roman" w:hAnsi="Times New Roman"/>
                <w:sz w:val="14"/>
                <w:szCs w:val="14"/>
              </w:rPr>
            </w:pPr>
            <w:r w:rsidRPr="009F2D1E">
              <w:rPr>
                <w:sz w:val="14"/>
                <w:szCs w:val="14"/>
              </w:rPr>
              <w:t>4361,54</w:t>
            </w:r>
          </w:p>
        </w:tc>
        <w:tc>
          <w:tcPr>
            <w:tcW w:w="1197" w:type="dxa"/>
            <w:tcBorders>
              <w:top w:val="nil"/>
              <w:left w:val="nil"/>
              <w:bottom w:val="single" w:sz="4" w:space="0" w:color="auto"/>
              <w:right w:val="single" w:sz="4" w:space="0" w:color="auto"/>
            </w:tcBorders>
            <w:shd w:val="clear" w:color="000000" w:fill="FFFFFF"/>
            <w:noWrap/>
            <w:vAlign w:val="bottom"/>
            <w:hideMark/>
          </w:tcPr>
          <w:p w14:paraId="70CD7807" w14:textId="77777777" w:rsidR="001D4AFA" w:rsidRPr="009F2D1E" w:rsidRDefault="001D4AFA" w:rsidP="009F2D1E">
            <w:pPr>
              <w:jc w:val="right"/>
              <w:rPr>
                <w:rFonts w:ascii="Times New Roman" w:hAnsi="Times New Roman"/>
                <w:sz w:val="14"/>
                <w:szCs w:val="14"/>
              </w:rPr>
            </w:pPr>
            <w:r w:rsidRPr="009F2D1E">
              <w:rPr>
                <w:sz w:val="14"/>
                <w:szCs w:val="14"/>
              </w:rPr>
              <w:t>4464,80</w:t>
            </w:r>
          </w:p>
        </w:tc>
        <w:tc>
          <w:tcPr>
            <w:tcW w:w="1183" w:type="dxa"/>
            <w:tcBorders>
              <w:top w:val="nil"/>
              <w:left w:val="nil"/>
              <w:bottom w:val="single" w:sz="4" w:space="0" w:color="auto"/>
              <w:right w:val="single" w:sz="4" w:space="0" w:color="auto"/>
            </w:tcBorders>
            <w:shd w:val="clear" w:color="000000" w:fill="FFFFFF"/>
            <w:noWrap/>
            <w:vAlign w:val="bottom"/>
            <w:hideMark/>
          </w:tcPr>
          <w:p w14:paraId="1582A712" w14:textId="77777777" w:rsidR="001D4AFA" w:rsidRPr="009F2D1E" w:rsidRDefault="001D4AFA" w:rsidP="009F2D1E">
            <w:pPr>
              <w:jc w:val="right"/>
              <w:rPr>
                <w:rFonts w:ascii="Times New Roman" w:hAnsi="Times New Roman"/>
                <w:sz w:val="14"/>
                <w:szCs w:val="14"/>
              </w:rPr>
            </w:pPr>
            <w:r w:rsidRPr="009F2D1E">
              <w:rPr>
                <w:sz w:val="14"/>
                <w:szCs w:val="14"/>
              </w:rPr>
              <w:t>4467,87</w:t>
            </w:r>
          </w:p>
        </w:tc>
        <w:tc>
          <w:tcPr>
            <w:tcW w:w="1183" w:type="dxa"/>
            <w:tcBorders>
              <w:top w:val="nil"/>
              <w:left w:val="nil"/>
              <w:bottom w:val="single" w:sz="4" w:space="0" w:color="auto"/>
              <w:right w:val="single" w:sz="4" w:space="0" w:color="auto"/>
            </w:tcBorders>
            <w:shd w:val="clear" w:color="000000" w:fill="FFFFFF"/>
            <w:noWrap/>
            <w:vAlign w:val="bottom"/>
            <w:hideMark/>
          </w:tcPr>
          <w:p w14:paraId="50502C96" w14:textId="77777777" w:rsidR="001D4AFA" w:rsidRPr="009F2D1E" w:rsidRDefault="001D4AFA" w:rsidP="009F2D1E">
            <w:pPr>
              <w:jc w:val="right"/>
              <w:rPr>
                <w:rFonts w:ascii="Times New Roman" w:hAnsi="Times New Roman"/>
                <w:sz w:val="14"/>
                <w:szCs w:val="14"/>
              </w:rPr>
            </w:pPr>
            <w:r w:rsidRPr="009F2D1E">
              <w:rPr>
                <w:sz w:val="14"/>
                <w:szCs w:val="14"/>
              </w:rPr>
              <w:t>4270,34</w:t>
            </w:r>
          </w:p>
        </w:tc>
        <w:tc>
          <w:tcPr>
            <w:tcW w:w="1197" w:type="dxa"/>
            <w:tcBorders>
              <w:top w:val="nil"/>
              <w:left w:val="nil"/>
              <w:bottom w:val="single" w:sz="4" w:space="0" w:color="auto"/>
              <w:right w:val="single" w:sz="4" w:space="0" w:color="auto"/>
            </w:tcBorders>
            <w:shd w:val="clear" w:color="000000" w:fill="FFFFFF"/>
            <w:vAlign w:val="bottom"/>
          </w:tcPr>
          <w:p w14:paraId="2ECB6889" w14:textId="77777777" w:rsidR="001D4AFA" w:rsidRPr="009F2D1E" w:rsidRDefault="001D4AFA" w:rsidP="009F2D1E">
            <w:pPr>
              <w:jc w:val="right"/>
              <w:rPr>
                <w:rFonts w:ascii="Times New Roman" w:hAnsi="Times New Roman"/>
                <w:sz w:val="14"/>
                <w:szCs w:val="14"/>
              </w:rPr>
            </w:pPr>
            <w:r w:rsidRPr="009F2D1E">
              <w:rPr>
                <w:sz w:val="14"/>
                <w:szCs w:val="14"/>
              </w:rPr>
              <w:t>4539,92</w:t>
            </w:r>
          </w:p>
        </w:tc>
      </w:tr>
      <w:tr w:rsidR="001D4AFA" w:rsidRPr="00364545" w14:paraId="2B12B27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907FB4B"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 xml:space="preserve">C. </w:t>
            </w:r>
            <w:r w:rsidRPr="00364545">
              <w:t>CO</w:t>
            </w:r>
            <w:r w:rsidRPr="00364545">
              <w:rPr>
                <w:vertAlign w:val="subscript"/>
              </w:rPr>
              <w:t>2</w:t>
            </w:r>
            <w:r w:rsidRPr="00364545">
              <w:rPr>
                <w:rFonts w:asciiTheme="majorHAnsi" w:hAnsiTheme="majorHAnsi"/>
                <w:sz w:val="14"/>
              </w:rPr>
              <w:t xml:space="preserve"> transport and storage</w:t>
            </w:r>
          </w:p>
        </w:tc>
        <w:tc>
          <w:tcPr>
            <w:tcW w:w="1198" w:type="dxa"/>
            <w:tcBorders>
              <w:top w:val="nil"/>
              <w:left w:val="nil"/>
              <w:bottom w:val="single" w:sz="4" w:space="0" w:color="auto"/>
              <w:right w:val="single" w:sz="4" w:space="0" w:color="auto"/>
            </w:tcBorders>
            <w:shd w:val="clear" w:color="000000" w:fill="FFFFFF"/>
            <w:noWrap/>
            <w:vAlign w:val="bottom"/>
            <w:hideMark/>
          </w:tcPr>
          <w:p w14:paraId="724066C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2BB2D348"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06602AA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3250222E"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473C015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640B92FC"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06216BC5"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755BF80"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2. Industrial Processes</w:t>
            </w:r>
          </w:p>
        </w:tc>
        <w:tc>
          <w:tcPr>
            <w:tcW w:w="1198" w:type="dxa"/>
            <w:tcBorders>
              <w:top w:val="nil"/>
              <w:left w:val="nil"/>
              <w:bottom w:val="single" w:sz="4" w:space="0" w:color="auto"/>
              <w:right w:val="single" w:sz="4" w:space="0" w:color="auto"/>
            </w:tcBorders>
            <w:shd w:val="clear" w:color="000000" w:fill="CCFFFF"/>
            <w:noWrap/>
            <w:vAlign w:val="bottom"/>
            <w:hideMark/>
          </w:tcPr>
          <w:p w14:paraId="7FA0486B" w14:textId="77777777" w:rsidR="001D4AFA" w:rsidRPr="009F2D1E" w:rsidRDefault="001D4AFA" w:rsidP="009F2D1E">
            <w:pPr>
              <w:jc w:val="right"/>
              <w:rPr>
                <w:rFonts w:ascii="Times New Roman" w:hAnsi="Times New Roman"/>
                <w:sz w:val="14"/>
                <w:szCs w:val="14"/>
              </w:rPr>
            </w:pPr>
            <w:r w:rsidRPr="009F2D1E">
              <w:rPr>
                <w:sz w:val="14"/>
                <w:szCs w:val="14"/>
              </w:rPr>
              <w:t>42901,86</w:t>
            </w:r>
          </w:p>
        </w:tc>
        <w:tc>
          <w:tcPr>
            <w:tcW w:w="1197" w:type="dxa"/>
            <w:tcBorders>
              <w:top w:val="nil"/>
              <w:left w:val="nil"/>
              <w:bottom w:val="single" w:sz="4" w:space="0" w:color="auto"/>
              <w:right w:val="single" w:sz="4" w:space="0" w:color="auto"/>
            </w:tcBorders>
            <w:shd w:val="clear" w:color="000000" w:fill="CCFFFF"/>
            <w:noWrap/>
            <w:vAlign w:val="bottom"/>
            <w:hideMark/>
          </w:tcPr>
          <w:p w14:paraId="4307368B" w14:textId="77777777" w:rsidR="001D4AFA" w:rsidRPr="009F2D1E" w:rsidRDefault="001D4AFA" w:rsidP="009F2D1E">
            <w:pPr>
              <w:jc w:val="right"/>
              <w:rPr>
                <w:rFonts w:ascii="Times New Roman" w:hAnsi="Times New Roman"/>
                <w:sz w:val="14"/>
                <w:szCs w:val="14"/>
              </w:rPr>
            </w:pPr>
            <w:r w:rsidRPr="009F2D1E">
              <w:rPr>
                <w:sz w:val="14"/>
                <w:szCs w:val="14"/>
              </w:rPr>
              <w:t>42901,86</w:t>
            </w:r>
          </w:p>
        </w:tc>
        <w:tc>
          <w:tcPr>
            <w:tcW w:w="1197" w:type="dxa"/>
            <w:tcBorders>
              <w:top w:val="nil"/>
              <w:left w:val="nil"/>
              <w:bottom w:val="single" w:sz="4" w:space="0" w:color="auto"/>
              <w:right w:val="single" w:sz="4" w:space="0" w:color="auto"/>
            </w:tcBorders>
            <w:shd w:val="clear" w:color="000000" w:fill="CCFFFF"/>
            <w:noWrap/>
            <w:vAlign w:val="bottom"/>
            <w:hideMark/>
          </w:tcPr>
          <w:p w14:paraId="06C44E23" w14:textId="77777777" w:rsidR="001D4AFA" w:rsidRPr="009F2D1E" w:rsidRDefault="001D4AFA" w:rsidP="009F2D1E">
            <w:pPr>
              <w:jc w:val="right"/>
              <w:rPr>
                <w:rFonts w:ascii="Times New Roman" w:hAnsi="Times New Roman"/>
                <w:sz w:val="14"/>
                <w:szCs w:val="14"/>
              </w:rPr>
            </w:pPr>
            <w:r w:rsidRPr="009F2D1E">
              <w:rPr>
                <w:sz w:val="14"/>
                <w:szCs w:val="14"/>
              </w:rPr>
              <w:t>41712,31</w:t>
            </w:r>
          </w:p>
        </w:tc>
        <w:tc>
          <w:tcPr>
            <w:tcW w:w="1183" w:type="dxa"/>
            <w:tcBorders>
              <w:top w:val="nil"/>
              <w:left w:val="nil"/>
              <w:bottom w:val="single" w:sz="4" w:space="0" w:color="auto"/>
              <w:right w:val="single" w:sz="4" w:space="0" w:color="auto"/>
            </w:tcBorders>
            <w:shd w:val="clear" w:color="000000" w:fill="CCFFFF"/>
            <w:noWrap/>
            <w:vAlign w:val="bottom"/>
            <w:hideMark/>
          </w:tcPr>
          <w:p w14:paraId="33F64DD0" w14:textId="77777777" w:rsidR="001D4AFA" w:rsidRPr="009F2D1E" w:rsidRDefault="001D4AFA" w:rsidP="009F2D1E">
            <w:pPr>
              <w:jc w:val="right"/>
              <w:rPr>
                <w:rFonts w:ascii="Times New Roman" w:hAnsi="Times New Roman"/>
                <w:sz w:val="14"/>
                <w:szCs w:val="14"/>
              </w:rPr>
            </w:pPr>
            <w:r w:rsidRPr="009F2D1E">
              <w:rPr>
                <w:sz w:val="14"/>
                <w:szCs w:val="14"/>
              </w:rPr>
              <w:t>39643,91</w:t>
            </w:r>
          </w:p>
        </w:tc>
        <w:tc>
          <w:tcPr>
            <w:tcW w:w="1183" w:type="dxa"/>
            <w:tcBorders>
              <w:top w:val="nil"/>
              <w:left w:val="nil"/>
              <w:bottom w:val="single" w:sz="4" w:space="0" w:color="auto"/>
              <w:right w:val="single" w:sz="4" w:space="0" w:color="auto"/>
            </w:tcBorders>
            <w:shd w:val="clear" w:color="000000" w:fill="CCFFFF"/>
            <w:noWrap/>
            <w:vAlign w:val="bottom"/>
            <w:hideMark/>
          </w:tcPr>
          <w:p w14:paraId="0B13E7C7" w14:textId="77777777" w:rsidR="001D4AFA" w:rsidRPr="009F2D1E" w:rsidRDefault="001D4AFA" w:rsidP="009F2D1E">
            <w:pPr>
              <w:jc w:val="right"/>
              <w:rPr>
                <w:rFonts w:ascii="Times New Roman" w:hAnsi="Times New Roman"/>
                <w:sz w:val="14"/>
                <w:szCs w:val="14"/>
              </w:rPr>
            </w:pPr>
            <w:r w:rsidRPr="009F2D1E">
              <w:rPr>
                <w:sz w:val="14"/>
                <w:szCs w:val="14"/>
              </w:rPr>
              <w:t>38685,73</w:t>
            </w:r>
          </w:p>
        </w:tc>
        <w:tc>
          <w:tcPr>
            <w:tcW w:w="1197" w:type="dxa"/>
            <w:tcBorders>
              <w:top w:val="nil"/>
              <w:left w:val="nil"/>
              <w:bottom w:val="single" w:sz="4" w:space="0" w:color="auto"/>
              <w:right w:val="single" w:sz="4" w:space="0" w:color="auto"/>
            </w:tcBorders>
            <w:shd w:val="clear" w:color="000000" w:fill="CCFFFF"/>
            <w:vAlign w:val="bottom"/>
          </w:tcPr>
          <w:p w14:paraId="15AF6E26" w14:textId="77777777" w:rsidR="001D4AFA" w:rsidRPr="009F2D1E" w:rsidRDefault="001D4AFA" w:rsidP="009F2D1E">
            <w:pPr>
              <w:jc w:val="right"/>
              <w:rPr>
                <w:rFonts w:ascii="Times New Roman" w:hAnsi="Times New Roman"/>
                <w:sz w:val="14"/>
                <w:szCs w:val="14"/>
              </w:rPr>
            </w:pPr>
            <w:r w:rsidRPr="009F2D1E">
              <w:rPr>
                <w:sz w:val="14"/>
                <w:szCs w:val="14"/>
              </w:rPr>
              <w:t>39399,78</w:t>
            </w:r>
          </w:p>
        </w:tc>
      </w:tr>
      <w:tr w:rsidR="001D4AFA" w:rsidRPr="00364545" w14:paraId="5533B881"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B300E60"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A. Mineral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0DA4605B" w14:textId="77777777" w:rsidR="001D4AFA" w:rsidRPr="009F2D1E" w:rsidRDefault="001D4AFA" w:rsidP="009F2D1E">
            <w:pPr>
              <w:jc w:val="right"/>
              <w:rPr>
                <w:rFonts w:ascii="Times New Roman" w:hAnsi="Times New Roman"/>
                <w:sz w:val="14"/>
                <w:szCs w:val="14"/>
              </w:rPr>
            </w:pPr>
            <w:r w:rsidRPr="009F2D1E">
              <w:rPr>
                <w:sz w:val="14"/>
                <w:szCs w:val="14"/>
              </w:rPr>
              <w:t>14977,20</w:t>
            </w:r>
          </w:p>
        </w:tc>
        <w:tc>
          <w:tcPr>
            <w:tcW w:w="1197" w:type="dxa"/>
            <w:tcBorders>
              <w:top w:val="nil"/>
              <w:left w:val="nil"/>
              <w:bottom w:val="single" w:sz="4" w:space="0" w:color="auto"/>
              <w:right w:val="single" w:sz="4" w:space="0" w:color="auto"/>
            </w:tcBorders>
            <w:shd w:val="clear" w:color="000000" w:fill="FFFFFF"/>
            <w:noWrap/>
            <w:vAlign w:val="bottom"/>
            <w:hideMark/>
          </w:tcPr>
          <w:p w14:paraId="7611309D" w14:textId="77777777" w:rsidR="001D4AFA" w:rsidRPr="009F2D1E" w:rsidRDefault="001D4AFA" w:rsidP="009F2D1E">
            <w:pPr>
              <w:jc w:val="right"/>
              <w:rPr>
                <w:rFonts w:ascii="Times New Roman" w:hAnsi="Times New Roman"/>
                <w:sz w:val="14"/>
                <w:szCs w:val="14"/>
              </w:rPr>
            </w:pPr>
            <w:r w:rsidRPr="009F2D1E">
              <w:rPr>
                <w:sz w:val="14"/>
                <w:szCs w:val="14"/>
              </w:rPr>
              <w:t>14977,20</w:t>
            </w:r>
          </w:p>
        </w:tc>
        <w:tc>
          <w:tcPr>
            <w:tcW w:w="1197" w:type="dxa"/>
            <w:tcBorders>
              <w:top w:val="nil"/>
              <w:left w:val="nil"/>
              <w:bottom w:val="single" w:sz="4" w:space="0" w:color="auto"/>
              <w:right w:val="single" w:sz="4" w:space="0" w:color="auto"/>
            </w:tcBorders>
            <w:shd w:val="clear" w:color="000000" w:fill="FFFFFF"/>
            <w:noWrap/>
            <w:vAlign w:val="bottom"/>
            <w:hideMark/>
          </w:tcPr>
          <w:p w14:paraId="0C82E1A9" w14:textId="77777777" w:rsidR="001D4AFA" w:rsidRPr="009F2D1E" w:rsidRDefault="001D4AFA" w:rsidP="009F2D1E">
            <w:pPr>
              <w:jc w:val="right"/>
              <w:rPr>
                <w:rFonts w:ascii="Times New Roman" w:hAnsi="Times New Roman"/>
                <w:sz w:val="14"/>
                <w:szCs w:val="14"/>
              </w:rPr>
            </w:pPr>
            <w:r w:rsidRPr="009F2D1E">
              <w:rPr>
                <w:sz w:val="14"/>
                <w:szCs w:val="14"/>
              </w:rPr>
              <w:t>14322,08</w:t>
            </w:r>
          </w:p>
        </w:tc>
        <w:tc>
          <w:tcPr>
            <w:tcW w:w="1183" w:type="dxa"/>
            <w:tcBorders>
              <w:top w:val="nil"/>
              <w:left w:val="nil"/>
              <w:bottom w:val="single" w:sz="4" w:space="0" w:color="auto"/>
              <w:right w:val="single" w:sz="4" w:space="0" w:color="auto"/>
            </w:tcBorders>
            <w:shd w:val="clear" w:color="000000" w:fill="FFFFFF"/>
            <w:noWrap/>
            <w:vAlign w:val="bottom"/>
            <w:hideMark/>
          </w:tcPr>
          <w:p w14:paraId="1417D628" w14:textId="77777777" w:rsidR="001D4AFA" w:rsidRPr="009F2D1E" w:rsidRDefault="001D4AFA" w:rsidP="009F2D1E">
            <w:pPr>
              <w:jc w:val="right"/>
              <w:rPr>
                <w:rFonts w:ascii="Times New Roman" w:hAnsi="Times New Roman"/>
                <w:sz w:val="14"/>
                <w:szCs w:val="14"/>
              </w:rPr>
            </w:pPr>
            <w:r w:rsidRPr="009F2D1E">
              <w:rPr>
                <w:sz w:val="14"/>
                <w:szCs w:val="14"/>
              </w:rPr>
              <w:t>12934,12</w:t>
            </w:r>
          </w:p>
        </w:tc>
        <w:tc>
          <w:tcPr>
            <w:tcW w:w="1183" w:type="dxa"/>
            <w:tcBorders>
              <w:top w:val="nil"/>
              <w:left w:val="nil"/>
              <w:bottom w:val="single" w:sz="4" w:space="0" w:color="auto"/>
              <w:right w:val="single" w:sz="4" w:space="0" w:color="auto"/>
            </w:tcBorders>
            <w:shd w:val="clear" w:color="000000" w:fill="FFFFFF"/>
            <w:noWrap/>
            <w:vAlign w:val="bottom"/>
            <w:hideMark/>
          </w:tcPr>
          <w:p w14:paraId="717F7420" w14:textId="77777777" w:rsidR="001D4AFA" w:rsidRPr="009F2D1E" w:rsidRDefault="001D4AFA" w:rsidP="009F2D1E">
            <w:pPr>
              <w:jc w:val="right"/>
              <w:rPr>
                <w:rFonts w:ascii="Times New Roman" w:hAnsi="Times New Roman"/>
                <w:sz w:val="14"/>
                <w:szCs w:val="14"/>
              </w:rPr>
            </w:pPr>
            <w:r w:rsidRPr="009F2D1E">
              <w:rPr>
                <w:sz w:val="14"/>
                <w:szCs w:val="14"/>
              </w:rPr>
              <w:t>12142,18</w:t>
            </w:r>
          </w:p>
        </w:tc>
        <w:tc>
          <w:tcPr>
            <w:tcW w:w="1197" w:type="dxa"/>
            <w:tcBorders>
              <w:top w:val="nil"/>
              <w:left w:val="nil"/>
              <w:bottom w:val="single" w:sz="4" w:space="0" w:color="auto"/>
              <w:right w:val="single" w:sz="4" w:space="0" w:color="auto"/>
            </w:tcBorders>
            <w:shd w:val="clear" w:color="000000" w:fill="FFFFFF"/>
            <w:vAlign w:val="bottom"/>
          </w:tcPr>
          <w:p w14:paraId="4196E749" w14:textId="77777777" w:rsidR="001D4AFA" w:rsidRPr="009F2D1E" w:rsidRDefault="001D4AFA" w:rsidP="009F2D1E">
            <w:pPr>
              <w:jc w:val="right"/>
              <w:rPr>
                <w:rFonts w:ascii="Times New Roman" w:hAnsi="Times New Roman"/>
                <w:sz w:val="14"/>
                <w:szCs w:val="14"/>
              </w:rPr>
            </w:pPr>
            <w:r w:rsidRPr="009F2D1E">
              <w:rPr>
                <w:sz w:val="14"/>
                <w:szCs w:val="14"/>
              </w:rPr>
              <w:t>12577,58</w:t>
            </w:r>
          </w:p>
        </w:tc>
      </w:tr>
      <w:tr w:rsidR="001D4AFA" w:rsidRPr="00364545" w14:paraId="54CF26CB"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C3A16AA"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B. Chemical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1B843D85" w14:textId="77777777" w:rsidR="001D4AFA" w:rsidRPr="009F2D1E" w:rsidRDefault="001D4AFA" w:rsidP="009F2D1E">
            <w:pPr>
              <w:jc w:val="right"/>
              <w:rPr>
                <w:rFonts w:ascii="Times New Roman" w:hAnsi="Times New Roman"/>
                <w:sz w:val="14"/>
                <w:szCs w:val="14"/>
              </w:rPr>
            </w:pPr>
            <w:r w:rsidRPr="009F2D1E">
              <w:rPr>
                <w:sz w:val="14"/>
                <w:szCs w:val="14"/>
              </w:rPr>
              <w:t>7539,92</w:t>
            </w:r>
          </w:p>
        </w:tc>
        <w:tc>
          <w:tcPr>
            <w:tcW w:w="1197" w:type="dxa"/>
            <w:tcBorders>
              <w:top w:val="nil"/>
              <w:left w:val="nil"/>
              <w:bottom w:val="single" w:sz="4" w:space="0" w:color="auto"/>
              <w:right w:val="single" w:sz="4" w:space="0" w:color="auto"/>
            </w:tcBorders>
            <w:shd w:val="clear" w:color="000000" w:fill="FFFFFF"/>
            <w:noWrap/>
            <w:vAlign w:val="bottom"/>
            <w:hideMark/>
          </w:tcPr>
          <w:p w14:paraId="3B38CEEA" w14:textId="77777777" w:rsidR="001D4AFA" w:rsidRPr="009F2D1E" w:rsidRDefault="001D4AFA" w:rsidP="009F2D1E">
            <w:pPr>
              <w:jc w:val="right"/>
              <w:rPr>
                <w:rFonts w:ascii="Times New Roman" w:hAnsi="Times New Roman"/>
                <w:sz w:val="14"/>
                <w:szCs w:val="14"/>
              </w:rPr>
            </w:pPr>
            <w:r w:rsidRPr="009F2D1E">
              <w:rPr>
                <w:sz w:val="14"/>
                <w:szCs w:val="14"/>
              </w:rPr>
              <w:t>7539,92</w:t>
            </w:r>
          </w:p>
        </w:tc>
        <w:tc>
          <w:tcPr>
            <w:tcW w:w="1197" w:type="dxa"/>
            <w:tcBorders>
              <w:top w:val="nil"/>
              <w:left w:val="nil"/>
              <w:bottom w:val="single" w:sz="4" w:space="0" w:color="auto"/>
              <w:right w:val="single" w:sz="4" w:space="0" w:color="auto"/>
            </w:tcBorders>
            <w:shd w:val="clear" w:color="000000" w:fill="FFFFFF"/>
            <w:noWrap/>
            <w:vAlign w:val="bottom"/>
            <w:hideMark/>
          </w:tcPr>
          <w:p w14:paraId="0D66B84F" w14:textId="77777777" w:rsidR="001D4AFA" w:rsidRPr="009F2D1E" w:rsidRDefault="001D4AFA" w:rsidP="009F2D1E">
            <w:pPr>
              <w:jc w:val="right"/>
              <w:rPr>
                <w:rFonts w:ascii="Times New Roman" w:hAnsi="Times New Roman"/>
                <w:sz w:val="14"/>
                <w:szCs w:val="14"/>
              </w:rPr>
            </w:pPr>
            <w:r w:rsidRPr="009F2D1E">
              <w:rPr>
                <w:sz w:val="14"/>
                <w:szCs w:val="14"/>
              </w:rPr>
              <w:t>7769,12</w:t>
            </w:r>
          </w:p>
        </w:tc>
        <w:tc>
          <w:tcPr>
            <w:tcW w:w="1183" w:type="dxa"/>
            <w:tcBorders>
              <w:top w:val="nil"/>
              <w:left w:val="nil"/>
              <w:bottom w:val="single" w:sz="4" w:space="0" w:color="auto"/>
              <w:right w:val="single" w:sz="4" w:space="0" w:color="auto"/>
            </w:tcBorders>
            <w:shd w:val="clear" w:color="000000" w:fill="FFFFFF"/>
            <w:noWrap/>
            <w:vAlign w:val="bottom"/>
            <w:hideMark/>
          </w:tcPr>
          <w:p w14:paraId="38B9653F" w14:textId="77777777" w:rsidR="001D4AFA" w:rsidRPr="009F2D1E" w:rsidRDefault="001D4AFA" w:rsidP="009F2D1E">
            <w:pPr>
              <w:jc w:val="right"/>
              <w:rPr>
                <w:rFonts w:ascii="Times New Roman" w:hAnsi="Times New Roman"/>
                <w:sz w:val="14"/>
                <w:szCs w:val="14"/>
              </w:rPr>
            </w:pPr>
            <w:r w:rsidRPr="009F2D1E">
              <w:rPr>
                <w:sz w:val="14"/>
                <w:szCs w:val="14"/>
              </w:rPr>
              <w:t>7706,01</w:t>
            </w:r>
          </w:p>
        </w:tc>
        <w:tc>
          <w:tcPr>
            <w:tcW w:w="1183" w:type="dxa"/>
            <w:tcBorders>
              <w:top w:val="nil"/>
              <w:left w:val="nil"/>
              <w:bottom w:val="single" w:sz="4" w:space="0" w:color="auto"/>
              <w:right w:val="single" w:sz="4" w:space="0" w:color="auto"/>
            </w:tcBorders>
            <w:shd w:val="clear" w:color="000000" w:fill="FFFFFF"/>
            <w:noWrap/>
            <w:vAlign w:val="bottom"/>
            <w:hideMark/>
          </w:tcPr>
          <w:p w14:paraId="3B6E04B8" w14:textId="77777777" w:rsidR="001D4AFA" w:rsidRPr="009F2D1E" w:rsidRDefault="001D4AFA" w:rsidP="009F2D1E">
            <w:pPr>
              <w:jc w:val="right"/>
              <w:rPr>
                <w:rFonts w:ascii="Times New Roman" w:hAnsi="Times New Roman"/>
                <w:sz w:val="14"/>
                <w:szCs w:val="14"/>
              </w:rPr>
            </w:pPr>
            <w:r w:rsidRPr="009F2D1E">
              <w:rPr>
                <w:sz w:val="14"/>
                <w:szCs w:val="14"/>
              </w:rPr>
              <w:t>7566,49</w:t>
            </w:r>
          </w:p>
        </w:tc>
        <w:tc>
          <w:tcPr>
            <w:tcW w:w="1197" w:type="dxa"/>
            <w:tcBorders>
              <w:top w:val="nil"/>
              <w:left w:val="nil"/>
              <w:bottom w:val="single" w:sz="4" w:space="0" w:color="auto"/>
              <w:right w:val="single" w:sz="4" w:space="0" w:color="auto"/>
            </w:tcBorders>
            <w:shd w:val="clear" w:color="000000" w:fill="FFFFFF"/>
            <w:vAlign w:val="bottom"/>
          </w:tcPr>
          <w:p w14:paraId="06B7D0BA" w14:textId="77777777" w:rsidR="001D4AFA" w:rsidRPr="009F2D1E" w:rsidRDefault="001D4AFA" w:rsidP="009F2D1E">
            <w:pPr>
              <w:jc w:val="right"/>
              <w:rPr>
                <w:rFonts w:ascii="Times New Roman" w:hAnsi="Times New Roman"/>
                <w:sz w:val="14"/>
                <w:szCs w:val="14"/>
              </w:rPr>
            </w:pPr>
            <w:r w:rsidRPr="009F2D1E">
              <w:rPr>
                <w:sz w:val="14"/>
                <w:szCs w:val="14"/>
              </w:rPr>
              <w:t>8109,28</w:t>
            </w:r>
          </w:p>
        </w:tc>
      </w:tr>
      <w:tr w:rsidR="001D4AFA" w:rsidRPr="00364545" w14:paraId="6F32DC5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A100E91"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C. Metal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450B9BD4" w14:textId="77777777" w:rsidR="001D4AFA" w:rsidRPr="009F2D1E" w:rsidRDefault="001D4AFA" w:rsidP="009F2D1E">
            <w:pPr>
              <w:jc w:val="right"/>
              <w:rPr>
                <w:rFonts w:ascii="Times New Roman" w:hAnsi="Times New Roman"/>
                <w:sz w:val="14"/>
                <w:szCs w:val="14"/>
              </w:rPr>
            </w:pPr>
            <w:r w:rsidRPr="009F2D1E">
              <w:rPr>
                <w:sz w:val="14"/>
                <w:szCs w:val="14"/>
              </w:rPr>
              <w:t>17677,88</w:t>
            </w:r>
          </w:p>
        </w:tc>
        <w:tc>
          <w:tcPr>
            <w:tcW w:w="1197" w:type="dxa"/>
            <w:tcBorders>
              <w:top w:val="nil"/>
              <w:left w:val="nil"/>
              <w:bottom w:val="single" w:sz="4" w:space="0" w:color="auto"/>
              <w:right w:val="single" w:sz="4" w:space="0" w:color="auto"/>
            </w:tcBorders>
            <w:shd w:val="clear" w:color="000000" w:fill="FFFFFF"/>
            <w:noWrap/>
            <w:vAlign w:val="bottom"/>
            <w:hideMark/>
          </w:tcPr>
          <w:p w14:paraId="6965F4F8" w14:textId="77777777" w:rsidR="001D4AFA" w:rsidRPr="009F2D1E" w:rsidRDefault="001D4AFA" w:rsidP="009F2D1E">
            <w:pPr>
              <w:jc w:val="right"/>
              <w:rPr>
                <w:rFonts w:ascii="Times New Roman" w:hAnsi="Times New Roman"/>
                <w:sz w:val="14"/>
                <w:szCs w:val="14"/>
              </w:rPr>
            </w:pPr>
            <w:r w:rsidRPr="009F2D1E">
              <w:rPr>
                <w:sz w:val="14"/>
                <w:szCs w:val="14"/>
              </w:rPr>
              <w:t>17677,88</w:t>
            </w:r>
          </w:p>
        </w:tc>
        <w:tc>
          <w:tcPr>
            <w:tcW w:w="1197" w:type="dxa"/>
            <w:tcBorders>
              <w:top w:val="nil"/>
              <w:left w:val="nil"/>
              <w:bottom w:val="single" w:sz="4" w:space="0" w:color="auto"/>
              <w:right w:val="single" w:sz="4" w:space="0" w:color="auto"/>
            </w:tcBorders>
            <w:shd w:val="clear" w:color="000000" w:fill="FFFFFF"/>
            <w:noWrap/>
            <w:vAlign w:val="bottom"/>
            <w:hideMark/>
          </w:tcPr>
          <w:p w14:paraId="0773CFF3" w14:textId="77777777" w:rsidR="001D4AFA" w:rsidRPr="009F2D1E" w:rsidRDefault="001D4AFA" w:rsidP="009F2D1E">
            <w:pPr>
              <w:jc w:val="right"/>
              <w:rPr>
                <w:rFonts w:ascii="Times New Roman" w:hAnsi="Times New Roman"/>
                <w:sz w:val="14"/>
                <w:szCs w:val="14"/>
              </w:rPr>
            </w:pPr>
            <w:r w:rsidRPr="009F2D1E">
              <w:rPr>
                <w:sz w:val="14"/>
                <w:szCs w:val="14"/>
              </w:rPr>
              <w:t>16940,07</w:t>
            </w:r>
          </w:p>
        </w:tc>
        <w:tc>
          <w:tcPr>
            <w:tcW w:w="1183" w:type="dxa"/>
            <w:tcBorders>
              <w:top w:val="nil"/>
              <w:left w:val="nil"/>
              <w:bottom w:val="single" w:sz="4" w:space="0" w:color="auto"/>
              <w:right w:val="single" w:sz="4" w:space="0" w:color="auto"/>
            </w:tcBorders>
            <w:shd w:val="clear" w:color="000000" w:fill="FFFFFF"/>
            <w:noWrap/>
            <w:vAlign w:val="bottom"/>
            <w:hideMark/>
          </w:tcPr>
          <w:p w14:paraId="00FD4871" w14:textId="77777777" w:rsidR="001D4AFA" w:rsidRPr="009F2D1E" w:rsidRDefault="001D4AFA" w:rsidP="009F2D1E">
            <w:pPr>
              <w:jc w:val="right"/>
              <w:rPr>
                <w:rFonts w:ascii="Times New Roman" w:hAnsi="Times New Roman"/>
                <w:sz w:val="14"/>
                <w:szCs w:val="14"/>
              </w:rPr>
            </w:pPr>
            <w:r w:rsidRPr="009F2D1E">
              <w:rPr>
                <w:sz w:val="14"/>
                <w:szCs w:val="14"/>
              </w:rPr>
              <w:t>16425,32</w:t>
            </w:r>
          </w:p>
        </w:tc>
        <w:tc>
          <w:tcPr>
            <w:tcW w:w="1183" w:type="dxa"/>
            <w:tcBorders>
              <w:top w:val="nil"/>
              <w:left w:val="nil"/>
              <w:bottom w:val="single" w:sz="4" w:space="0" w:color="auto"/>
              <w:right w:val="single" w:sz="4" w:space="0" w:color="auto"/>
            </w:tcBorders>
            <w:shd w:val="clear" w:color="000000" w:fill="FFFFFF"/>
            <w:noWrap/>
            <w:vAlign w:val="bottom"/>
            <w:hideMark/>
          </w:tcPr>
          <w:p w14:paraId="0FD0BC25" w14:textId="77777777" w:rsidR="001D4AFA" w:rsidRPr="009F2D1E" w:rsidRDefault="001D4AFA" w:rsidP="009F2D1E">
            <w:pPr>
              <w:jc w:val="right"/>
              <w:rPr>
                <w:rFonts w:ascii="Times New Roman" w:hAnsi="Times New Roman"/>
                <w:sz w:val="14"/>
                <w:szCs w:val="14"/>
              </w:rPr>
            </w:pPr>
            <w:r w:rsidRPr="009F2D1E">
              <w:rPr>
                <w:sz w:val="14"/>
                <w:szCs w:val="14"/>
              </w:rPr>
              <w:t>16401,39</w:t>
            </w:r>
          </w:p>
        </w:tc>
        <w:tc>
          <w:tcPr>
            <w:tcW w:w="1197" w:type="dxa"/>
            <w:tcBorders>
              <w:top w:val="nil"/>
              <w:left w:val="nil"/>
              <w:bottom w:val="single" w:sz="4" w:space="0" w:color="auto"/>
              <w:right w:val="single" w:sz="4" w:space="0" w:color="auto"/>
            </w:tcBorders>
            <w:shd w:val="clear" w:color="000000" w:fill="FFFFFF"/>
            <w:vAlign w:val="bottom"/>
          </w:tcPr>
          <w:p w14:paraId="55CE878C" w14:textId="77777777" w:rsidR="001D4AFA" w:rsidRPr="009F2D1E" w:rsidRDefault="001D4AFA" w:rsidP="009F2D1E">
            <w:pPr>
              <w:jc w:val="right"/>
              <w:rPr>
                <w:rFonts w:ascii="Times New Roman" w:hAnsi="Times New Roman"/>
                <w:sz w:val="14"/>
                <w:szCs w:val="14"/>
              </w:rPr>
            </w:pPr>
            <w:r w:rsidRPr="009F2D1E">
              <w:rPr>
                <w:sz w:val="14"/>
                <w:szCs w:val="14"/>
              </w:rPr>
              <w:t>16174,49</w:t>
            </w:r>
          </w:p>
        </w:tc>
      </w:tr>
      <w:tr w:rsidR="001D4AFA" w:rsidRPr="00364545" w14:paraId="72A70F31"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0D3CBD7F"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D. Non-energy products from fuels and solvent use</w:t>
            </w:r>
          </w:p>
        </w:tc>
        <w:tc>
          <w:tcPr>
            <w:tcW w:w="1198" w:type="dxa"/>
            <w:tcBorders>
              <w:top w:val="nil"/>
              <w:left w:val="nil"/>
              <w:bottom w:val="single" w:sz="4" w:space="0" w:color="auto"/>
              <w:right w:val="single" w:sz="4" w:space="0" w:color="auto"/>
            </w:tcBorders>
            <w:shd w:val="clear" w:color="000000" w:fill="FFFFFF"/>
            <w:noWrap/>
            <w:vAlign w:val="bottom"/>
            <w:hideMark/>
          </w:tcPr>
          <w:p w14:paraId="6E3E5F37" w14:textId="77777777" w:rsidR="001D4AFA" w:rsidRPr="009F2D1E" w:rsidRDefault="001D4AFA" w:rsidP="009F2D1E">
            <w:pPr>
              <w:jc w:val="right"/>
              <w:rPr>
                <w:rFonts w:ascii="Times New Roman" w:hAnsi="Times New Roman"/>
                <w:sz w:val="14"/>
                <w:szCs w:val="14"/>
              </w:rPr>
            </w:pPr>
            <w:r w:rsidRPr="009F2D1E">
              <w:rPr>
                <w:sz w:val="14"/>
                <w:szCs w:val="14"/>
              </w:rPr>
              <w:t>2047,82</w:t>
            </w:r>
          </w:p>
        </w:tc>
        <w:tc>
          <w:tcPr>
            <w:tcW w:w="1197" w:type="dxa"/>
            <w:tcBorders>
              <w:top w:val="nil"/>
              <w:left w:val="nil"/>
              <w:bottom w:val="single" w:sz="4" w:space="0" w:color="auto"/>
              <w:right w:val="single" w:sz="4" w:space="0" w:color="auto"/>
            </w:tcBorders>
            <w:shd w:val="clear" w:color="000000" w:fill="FFFFFF"/>
            <w:noWrap/>
            <w:vAlign w:val="bottom"/>
            <w:hideMark/>
          </w:tcPr>
          <w:p w14:paraId="69D7B604" w14:textId="77777777" w:rsidR="001D4AFA" w:rsidRPr="009F2D1E" w:rsidRDefault="001D4AFA" w:rsidP="009F2D1E">
            <w:pPr>
              <w:jc w:val="right"/>
              <w:rPr>
                <w:rFonts w:ascii="Times New Roman" w:hAnsi="Times New Roman"/>
                <w:sz w:val="14"/>
                <w:szCs w:val="14"/>
              </w:rPr>
            </w:pPr>
            <w:r w:rsidRPr="009F2D1E">
              <w:rPr>
                <w:sz w:val="14"/>
                <w:szCs w:val="14"/>
              </w:rPr>
              <w:t>2047,82</w:t>
            </w:r>
          </w:p>
        </w:tc>
        <w:tc>
          <w:tcPr>
            <w:tcW w:w="1197" w:type="dxa"/>
            <w:tcBorders>
              <w:top w:val="nil"/>
              <w:left w:val="nil"/>
              <w:bottom w:val="single" w:sz="4" w:space="0" w:color="auto"/>
              <w:right w:val="single" w:sz="4" w:space="0" w:color="auto"/>
            </w:tcBorders>
            <w:shd w:val="clear" w:color="000000" w:fill="FFFFFF"/>
            <w:noWrap/>
            <w:vAlign w:val="bottom"/>
            <w:hideMark/>
          </w:tcPr>
          <w:p w14:paraId="136EAD2B" w14:textId="77777777" w:rsidR="001D4AFA" w:rsidRPr="009F2D1E" w:rsidRDefault="001D4AFA" w:rsidP="009F2D1E">
            <w:pPr>
              <w:jc w:val="right"/>
              <w:rPr>
                <w:rFonts w:ascii="Times New Roman" w:hAnsi="Times New Roman"/>
                <w:sz w:val="14"/>
                <w:szCs w:val="14"/>
              </w:rPr>
            </w:pPr>
            <w:r w:rsidRPr="009F2D1E">
              <w:rPr>
                <w:sz w:val="14"/>
                <w:szCs w:val="14"/>
              </w:rPr>
              <w:t>2002,97</w:t>
            </w:r>
          </w:p>
        </w:tc>
        <w:tc>
          <w:tcPr>
            <w:tcW w:w="1183" w:type="dxa"/>
            <w:tcBorders>
              <w:top w:val="nil"/>
              <w:left w:val="nil"/>
              <w:bottom w:val="single" w:sz="4" w:space="0" w:color="auto"/>
              <w:right w:val="single" w:sz="4" w:space="0" w:color="auto"/>
            </w:tcBorders>
            <w:shd w:val="clear" w:color="000000" w:fill="FFFFFF"/>
            <w:noWrap/>
            <w:vAlign w:val="bottom"/>
            <w:hideMark/>
          </w:tcPr>
          <w:p w14:paraId="17F60BD0" w14:textId="77777777" w:rsidR="001D4AFA" w:rsidRPr="009F2D1E" w:rsidRDefault="001D4AFA" w:rsidP="009F2D1E">
            <w:pPr>
              <w:jc w:val="right"/>
              <w:rPr>
                <w:rFonts w:ascii="Times New Roman" w:hAnsi="Times New Roman"/>
                <w:sz w:val="14"/>
                <w:szCs w:val="14"/>
              </w:rPr>
            </w:pPr>
            <w:r w:rsidRPr="009F2D1E">
              <w:rPr>
                <w:sz w:val="14"/>
                <w:szCs w:val="14"/>
              </w:rPr>
              <w:t>1899,71</w:t>
            </w:r>
          </w:p>
        </w:tc>
        <w:tc>
          <w:tcPr>
            <w:tcW w:w="1183" w:type="dxa"/>
            <w:tcBorders>
              <w:top w:val="nil"/>
              <w:left w:val="nil"/>
              <w:bottom w:val="single" w:sz="4" w:space="0" w:color="auto"/>
              <w:right w:val="single" w:sz="4" w:space="0" w:color="auto"/>
            </w:tcBorders>
            <w:shd w:val="clear" w:color="000000" w:fill="FFFFFF"/>
            <w:noWrap/>
            <w:vAlign w:val="bottom"/>
            <w:hideMark/>
          </w:tcPr>
          <w:p w14:paraId="552FDF16" w14:textId="77777777" w:rsidR="001D4AFA" w:rsidRPr="009F2D1E" w:rsidRDefault="001D4AFA" w:rsidP="009F2D1E">
            <w:pPr>
              <w:jc w:val="right"/>
              <w:rPr>
                <w:rFonts w:ascii="Times New Roman" w:hAnsi="Times New Roman"/>
                <w:sz w:val="14"/>
                <w:szCs w:val="14"/>
              </w:rPr>
            </w:pPr>
            <w:r w:rsidRPr="009F2D1E">
              <w:rPr>
                <w:sz w:val="14"/>
                <w:szCs w:val="14"/>
              </w:rPr>
              <w:t>1932,14</w:t>
            </w:r>
          </w:p>
        </w:tc>
        <w:tc>
          <w:tcPr>
            <w:tcW w:w="1197" w:type="dxa"/>
            <w:tcBorders>
              <w:top w:val="nil"/>
              <w:left w:val="nil"/>
              <w:bottom w:val="single" w:sz="4" w:space="0" w:color="auto"/>
              <w:right w:val="single" w:sz="4" w:space="0" w:color="auto"/>
            </w:tcBorders>
            <w:shd w:val="clear" w:color="000000" w:fill="FFFFFF"/>
            <w:vAlign w:val="bottom"/>
          </w:tcPr>
          <w:p w14:paraId="288E357F" w14:textId="77777777" w:rsidR="001D4AFA" w:rsidRPr="009F2D1E" w:rsidRDefault="001D4AFA" w:rsidP="009F2D1E">
            <w:pPr>
              <w:jc w:val="right"/>
              <w:rPr>
                <w:rFonts w:ascii="Times New Roman" w:hAnsi="Times New Roman"/>
                <w:sz w:val="14"/>
                <w:szCs w:val="14"/>
              </w:rPr>
            </w:pPr>
            <w:r w:rsidRPr="009F2D1E">
              <w:rPr>
                <w:sz w:val="14"/>
                <w:szCs w:val="14"/>
              </w:rPr>
              <w:t>1893,96</w:t>
            </w:r>
          </w:p>
        </w:tc>
      </w:tr>
      <w:tr w:rsidR="001D4AFA" w:rsidRPr="00364545" w14:paraId="48756795"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DFEC4A3"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E. Electronic industry</w:t>
            </w:r>
          </w:p>
        </w:tc>
        <w:tc>
          <w:tcPr>
            <w:tcW w:w="1198" w:type="dxa"/>
            <w:tcBorders>
              <w:top w:val="nil"/>
              <w:left w:val="nil"/>
              <w:bottom w:val="single" w:sz="4" w:space="0" w:color="auto"/>
              <w:right w:val="single" w:sz="4" w:space="0" w:color="auto"/>
            </w:tcBorders>
            <w:shd w:val="clear" w:color="000000" w:fill="FFFFFF"/>
            <w:noWrap/>
            <w:vAlign w:val="bottom"/>
            <w:hideMark/>
          </w:tcPr>
          <w:p w14:paraId="01CA622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C2544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CC92D2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CD6A68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1C090E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4384607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4B5DF49"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5B139B5D"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F. Product uses as ODS substitutes</w:t>
            </w:r>
          </w:p>
        </w:tc>
        <w:tc>
          <w:tcPr>
            <w:tcW w:w="1198" w:type="dxa"/>
            <w:tcBorders>
              <w:top w:val="nil"/>
              <w:left w:val="nil"/>
              <w:bottom w:val="single" w:sz="4" w:space="0" w:color="auto"/>
              <w:right w:val="single" w:sz="4" w:space="0" w:color="auto"/>
            </w:tcBorders>
            <w:shd w:val="clear" w:color="000000" w:fill="FFFFFF"/>
            <w:noWrap/>
            <w:vAlign w:val="bottom"/>
            <w:hideMark/>
          </w:tcPr>
          <w:p w14:paraId="1A3C2FA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11FBFC1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B02FEF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CFAE4F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02F0F9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8767D6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F77536E"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vAlign w:val="center"/>
            <w:hideMark/>
          </w:tcPr>
          <w:p w14:paraId="0043F1EE"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 xml:space="preserve">G. Other product manufacture and use </w:t>
            </w:r>
          </w:p>
        </w:tc>
        <w:tc>
          <w:tcPr>
            <w:tcW w:w="1198" w:type="dxa"/>
            <w:tcBorders>
              <w:top w:val="nil"/>
              <w:left w:val="nil"/>
              <w:bottom w:val="single" w:sz="4" w:space="0" w:color="auto"/>
              <w:right w:val="single" w:sz="4" w:space="0" w:color="auto"/>
            </w:tcBorders>
            <w:shd w:val="clear" w:color="000000" w:fill="FFFFFF"/>
            <w:noWrap/>
            <w:vAlign w:val="bottom"/>
            <w:hideMark/>
          </w:tcPr>
          <w:p w14:paraId="49A4D50F" w14:textId="77777777" w:rsidR="001D4AFA" w:rsidRPr="009F2D1E" w:rsidRDefault="001D4AFA" w:rsidP="009F2D1E">
            <w:pPr>
              <w:jc w:val="right"/>
              <w:rPr>
                <w:rFonts w:ascii="Times New Roman" w:hAnsi="Times New Roman"/>
                <w:sz w:val="14"/>
                <w:szCs w:val="14"/>
              </w:rPr>
            </w:pPr>
            <w:r w:rsidRPr="009F2D1E">
              <w:rPr>
                <w:sz w:val="14"/>
                <w:szCs w:val="14"/>
              </w:rPr>
              <w:t>659,00</w:t>
            </w:r>
          </w:p>
        </w:tc>
        <w:tc>
          <w:tcPr>
            <w:tcW w:w="1197" w:type="dxa"/>
            <w:tcBorders>
              <w:top w:val="nil"/>
              <w:left w:val="nil"/>
              <w:bottom w:val="single" w:sz="4" w:space="0" w:color="auto"/>
              <w:right w:val="single" w:sz="4" w:space="0" w:color="auto"/>
            </w:tcBorders>
            <w:shd w:val="clear" w:color="000000" w:fill="FFFFFF"/>
            <w:noWrap/>
            <w:vAlign w:val="bottom"/>
            <w:hideMark/>
          </w:tcPr>
          <w:p w14:paraId="538E70A0" w14:textId="77777777" w:rsidR="001D4AFA" w:rsidRPr="009F2D1E" w:rsidRDefault="001D4AFA" w:rsidP="009F2D1E">
            <w:pPr>
              <w:jc w:val="right"/>
              <w:rPr>
                <w:rFonts w:ascii="Times New Roman" w:hAnsi="Times New Roman"/>
                <w:sz w:val="14"/>
                <w:szCs w:val="14"/>
              </w:rPr>
            </w:pPr>
            <w:r w:rsidRPr="009F2D1E">
              <w:rPr>
                <w:sz w:val="14"/>
                <w:szCs w:val="14"/>
              </w:rPr>
              <w:t>659,00</w:t>
            </w:r>
          </w:p>
        </w:tc>
        <w:tc>
          <w:tcPr>
            <w:tcW w:w="1197" w:type="dxa"/>
            <w:tcBorders>
              <w:top w:val="nil"/>
              <w:left w:val="nil"/>
              <w:bottom w:val="single" w:sz="4" w:space="0" w:color="auto"/>
              <w:right w:val="single" w:sz="4" w:space="0" w:color="auto"/>
            </w:tcBorders>
            <w:shd w:val="clear" w:color="000000" w:fill="FFFFFF"/>
            <w:noWrap/>
            <w:vAlign w:val="bottom"/>
            <w:hideMark/>
          </w:tcPr>
          <w:p w14:paraId="1A8379A0" w14:textId="77777777" w:rsidR="001D4AFA" w:rsidRPr="009F2D1E" w:rsidRDefault="001D4AFA" w:rsidP="009F2D1E">
            <w:pPr>
              <w:jc w:val="right"/>
              <w:rPr>
                <w:rFonts w:ascii="Times New Roman" w:hAnsi="Times New Roman"/>
                <w:sz w:val="14"/>
                <w:szCs w:val="14"/>
              </w:rPr>
            </w:pPr>
            <w:r w:rsidRPr="009F2D1E">
              <w:rPr>
                <w:sz w:val="14"/>
                <w:szCs w:val="14"/>
              </w:rPr>
              <w:t>678,03</w:t>
            </w:r>
          </w:p>
        </w:tc>
        <w:tc>
          <w:tcPr>
            <w:tcW w:w="1183" w:type="dxa"/>
            <w:tcBorders>
              <w:top w:val="nil"/>
              <w:left w:val="nil"/>
              <w:bottom w:val="single" w:sz="4" w:space="0" w:color="auto"/>
              <w:right w:val="single" w:sz="4" w:space="0" w:color="auto"/>
            </w:tcBorders>
            <w:shd w:val="clear" w:color="000000" w:fill="FFFFFF"/>
            <w:noWrap/>
            <w:vAlign w:val="bottom"/>
            <w:hideMark/>
          </w:tcPr>
          <w:p w14:paraId="40DDBE40" w14:textId="77777777" w:rsidR="001D4AFA" w:rsidRPr="009F2D1E" w:rsidRDefault="001D4AFA" w:rsidP="009F2D1E">
            <w:pPr>
              <w:jc w:val="right"/>
              <w:rPr>
                <w:rFonts w:ascii="Times New Roman" w:hAnsi="Times New Roman"/>
                <w:sz w:val="14"/>
                <w:szCs w:val="14"/>
              </w:rPr>
            </w:pPr>
            <w:r w:rsidRPr="009F2D1E">
              <w:rPr>
                <w:sz w:val="14"/>
                <w:szCs w:val="14"/>
              </w:rPr>
              <w:t>678,72</w:t>
            </w:r>
          </w:p>
        </w:tc>
        <w:tc>
          <w:tcPr>
            <w:tcW w:w="1183" w:type="dxa"/>
            <w:tcBorders>
              <w:top w:val="nil"/>
              <w:left w:val="nil"/>
              <w:bottom w:val="single" w:sz="4" w:space="0" w:color="auto"/>
              <w:right w:val="single" w:sz="4" w:space="0" w:color="auto"/>
            </w:tcBorders>
            <w:shd w:val="clear" w:color="000000" w:fill="FFFFFF"/>
            <w:noWrap/>
            <w:vAlign w:val="bottom"/>
            <w:hideMark/>
          </w:tcPr>
          <w:p w14:paraId="15D86FE6" w14:textId="77777777" w:rsidR="001D4AFA" w:rsidRPr="009F2D1E" w:rsidRDefault="001D4AFA" w:rsidP="009F2D1E">
            <w:pPr>
              <w:jc w:val="right"/>
              <w:rPr>
                <w:rFonts w:ascii="Times New Roman" w:hAnsi="Times New Roman"/>
                <w:sz w:val="14"/>
                <w:szCs w:val="14"/>
              </w:rPr>
            </w:pPr>
            <w:r w:rsidRPr="009F2D1E">
              <w:rPr>
                <w:sz w:val="14"/>
                <w:szCs w:val="14"/>
              </w:rPr>
              <w:t>643,49</w:t>
            </w:r>
          </w:p>
        </w:tc>
        <w:tc>
          <w:tcPr>
            <w:tcW w:w="1197" w:type="dxa"/>
            <w:tcBorders>
              <w:top w:val="nil"/>
              <w:left w:val="nil"/>
              <w:bottom w:val="single" w:sz="4" w:space="0" w:color="auto"/>
              <w:right w:val="single" w:sz="4" w:space="0" w:color="auto"/>
            </w:tcBorders>
            <w:shd w:val="clear" w:color="000000" w:fill="FFFFFF"/>
            <w:vAlign w:val="bottom"/>
          </w:tcPr>
          <w:p w14:paraId="2B498B72" w14:textId="77777777" w:rsidR="001D4AFA" w:rsidRPr="009F2D1E" w:rsidRDefault="001D4AFA" w:rsidP="009F2D1E">
            <w:pPr>
              <w:jc w:val="right"/>
              <w:rPr>
                <w:rFonts w:ascii="Times New Roman" w:hAnsi="Times New Roman"/>
                <w:sz w:val="14"/>
                <w:szCs w:val="14"/>
              </w:rPr>
            </w:pPr>
            <w:r w:rsidRPr="009F2D1E">
              <w:rPr>
                <w:sz w:val="14"/>
                <w:szCs w:val="14"/>
              </w:rPr>
              <w:t>644,42</w:t>
            </w:r>
          </w:p>
        </w:tc>
      </w:tr>
      <w:tr w:rsidR="001D4AFA" w:rsidRPr="00364545" w14:paraId="3EDD97AE"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FC87395"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 xml:space="preserve">H. Other </w:t>
            </w:r>
          </w:p>
        </w:tc>
        <w:tc>
          <w:tcPr>
            <w:tcW w:w="1198" w:type="dxa"/>
            <w:tcBorders>
              <w:top w:val="nil"/>
              <w:left w:val="nil"/>
              <w:bottom w:val="single" w:sz="4" w:space="0" w:color="auto"/>
              <w:right w:val="single" w:sz="4" w:space="0" w:color="auto"/>
            </w:tcBorders>
            <w:shd w:val="clear" w:color="000000" w:fill="FFFFFF"/>
            <w:noWrap/>
            <w:vAlign w:val="bottom"/>
            <w:hideMark/>
          </w:tcPr>
          <w:p w14:paraId="2807060E"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7" w:type="dxa"/>
            <w:tcBorders>
              <w:top w:val="nil"/>
              <w:left w:val="nil"/>
              <w:bottom w:val="single" w:sz="4" w:space="0" w:color="auto"/>
              <w:right w:val="single" w:sz="4" w:space="0" w:color="auto"/>
            </w:tcBorders>
            <w:shd w:val="clear" w:color="000000" w:fill="FFFFFF"/>
            <w:noWrap/>
            <w:vAlign w:val="bottom"/>
            <w:hideMark/>
          </w:tcPr>
          <w:p w14:paraId="30800248"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7" w:type="dxa"/>
            <w:tcBorders>
              <w:top w:val="nil"/>
              <w:left w:val="nil"/>
              <w:bottom w:val="single" w:sz="4" w:space="0" w:color="auto"/>
              <w:right w:val="single" w:sz="4" w:space="0" w:color="auto"/>
            </w:tcBorders>
            <w:shd w:val="clear" w:color="000000" w:fill="FFFFFF"/>
            <w:noWrap/>
            <w:vAlign w:val="bottom"/>
            <w:hideMark/>
          </w:tcPr>
          <w:p w14:paraId="39E44AAA"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83" w:type="dxa"/>
            <w:tcBorders>
              <w:top w:val="nil"/>
              <w:left w:val="nil"/>
              <w:bottom w:val="single" w:sz="4" w:space="0" w:color="auto"/>
              <w:right w:val="single" w:sz="4" w:space="0" w:color="auto"/>
            </w:tcBorders>
            <w:shd w:val="clear" w:color="000000" w:fill="FFFFFF"/>
            <w:noWrap/>
            <w:vAlign w:val="bottom"/>
            <w:hideMark/>
          </w:tcPr>
          <w:p w14:paraId="061132AE"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83" w:type="dxa"/>
            <w:tcBorders>
              <w:top w:val="nil"/>
              <w:left w:val="nil"/>
              <w:bottom w:val="single" w:sz="4" w:space="0" w:color="auto"/>
              <w:right w:val="single" w:sz="4" w:space="0" w:color="auto"/>
            </w:tcBorders>
            <w:shd w:val="clear" w:color="000000" w:fill="FFFFFF"/>
            <w:noWrap/>
            <w:vAlign w:val="bottom"/>
            <w:hideMark/>
          </w:tcPr>
          <w:p w14:paraId="5CD1E54C"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7" w:type="dxa"/>
            <w:tcBorders>
              <w:top w:val="nil"/>
              <w:left w:val="nil"/>
              <w:bottom w:val="single" w:sz="4" w:space="0" w:color="auto"/>
              <w:right w:val="single" w:sz="4" w:space="0" w:color="auto"/>
            </w:tcBorders>
            <w:shd w:val="clear" w:color="000000" w:fill="FFFFFF"/>
            <w:vAlign w:val="bottom"/>
          </w:tcPr>
          <w:p w14:paraId="7B567543" w14:textId="77777777" w:rsidR="001D4AFA" w:rsidRPr="009F2D1E" w:rsidRDefault="001D4AFA" w:rsidP="009F2D1E">
            <w:pPr>
              <w:jc w:val="right"/>
              <w:rPr>
                <w:rFonts w:ascii="Times New Roman" w:hAnsi="Times New Roman"/>
                <w:sz w:val="14"/>
                <w:szCs w:val="14"/>
              </w:rPr>
            </w:pPr>
            <w:r w:rsidRPr="009F2D1E">
              <w:rPr>
                <w:sz w:val="14"/>
                <w:szCs w:val="14"/>
              </w:rPr>
              <w:t>0,04</w:t>
            </w:r>
          </w:p>
        </w:tc>
      </w:tr>
      <w:tr w:rsidR="001D4AFA" w:rsidRPr="00364545" w14:paraId="7348E703"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bottom"/>
            <w:hideMark/>
          </w:tcPr>
          <w:p w14:paraId="5610D04B"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3. Agriculture</w:t>
            </w:r>
          </w:p>
        </w:tc>
        <w:tc>
          <w:tcPr>
            <w:tcW w:w="1198" w:type="dxa"/>
            <w:tcBorders>
              <w:top w:val="nil"/>
              <w:left w:val="nil"/>
              <w:bottom w:val="single" w:sz="4" w:space="0" w:color="auto"/>
              <w:right w:val="single" w:sz="4" w:space="0" w:color="auto"/>
            </w:tcBorders>
            <w:shd w:val="clear" w:color="000000" w:fill="CCFFFF"/>
            <w:noWrap/>
            <w:vAlign w:val="bottom"/>
            <w:hideMark/>
          </w:tcPr>
          <w:p w14:paraId="5E139E2B" w14:textId="77777777" w:rsidR="001D4AFA" w:rsidRPr="009F2D1E" w:rsidRDefault="001D4AFA" w:rsidP="009F2D1E">
            <w:pPr>
              <w:jc w:val="right"/>
              <w:rPr>
                <w:rFonts w:ascii="Times New Roman" w:hAnsi="Times New Roman"/>
                <w:sz w:val="14"/>
                <w:szCs w:val="14"/>
              </w:rPr>
            </w:pPr>
            <w:r w:rsidRPr="009F2D1E">
              <w:rPr>
                <w:sz w:val="14"/>
                <w:szCs w:val="14"/>
              </w:rPr>
              <w:t>1893,65</w:t>
            </w:r>
          </w:p>
        </w:tc>
        <w:tc>
          <w:tcPr>
            <w:tcW w:w="1197" w:type="dxa"/>
            <w:tcBorders>
              <w:top w:val="nil"/>
              <w:left w:val="nil"/>
              <w:bottom w:val="single" w:sz="4" w:space="0" w:color="auto"/>
              <w:right w:val="single" w:sz="4" w:space="0" w:color="auto"/>
            </w:tcBorders>
            <w:shd w:val="clear" w:color="000000" w:fill="CCFFFF"/>
            <w:noWrap/>
            <w:vAlign w:val="bottom"/>
            <w:hideMark/>
          </w:tcPr>
          <w:p w14:paraId="31A7B80E" w14:textId="77777777" w:rsidR="001D4AFA" w:rsidRPr="009F2D1E" w:rsidRDefault="001D4AFA" w:rsidP="009F2D1E">
            <w:pPr>
              <w:jc w:val="right"/>
              <w:rPr>
                <w:rFonts w:ascii="Times New Roman" w:hAnsi="Times New Roman"/>
                <w:sz w:val="14"/>
                <w:szCs w:val="14"/>
              </w:rPr>
            </w:pPr>
            <w:r w:rsidRPr="009F2D1E">
              <w:rPr>
                <w:sz w:val="14"/>
                <w:szCs w:val="14"/>
              </w:rPr>
              <w:t>1893,65</w:t>
            </w:r>
          </w:p>
        </w:tc>
        <w:tc>
          <w:tcPr>
            <w:tcW w:w="1197" w:type="dxa"/>
            <w:tcBorders>
              <w:top w:val="nil"/>
              <w:left w:val="nil"/>
              <w:bottom w:val="single" w:sz="4" w:space="0" w:color="auto"/>
              <w:right w:val="single" w:sz="4" w:space="0" w:color="auto"/>
            </w:tcBorders>
            <w:shd w:val="clear" w:color="000000" w:fill="CCFFFF"/>
            <w:noWrap/>
            <w:vAlign w:val="bottom"/>
            <w:hideMark/>
          </w:tcPr>
          <w:p w14:paraId="0A4CC229" w14:textId="77777777" w:rsidR="001D4AFA" w:rsidRPr="009F2D1E" w:rsidRDefault="001D4AFA" w:rsidP="009F2D1E">
            <w:pPr>
              <w:jc w:val="right"/>
              <w:rPr>
                <w:rFonts w:ascii="Times New Roman" w:hAnsi="Times New Roman"/>
                <w:sz w:val="14"/>
                <w:szCs w:val="14"/>
              </w:rPr>
            </w:pPr>
            <w:r w:rsidRPr="009F2D1E">
              <w:rPr>
                <w:sz w:val="14"/>
                <w:szCs w:val="14"/>
              </w:rPr>
              <w:t>1908,22</w:t>
            </w:r>
          </w:p>
        </w:tc>
        <w:tc>
          <w:tcPr>
            <w:tcW w:w="1183" w:type="dxa"/>
            <w:tcBorders>
              <w:top w:val="nil"/>
              <w:left w:val="nil"/>
              <w:bottom w:val="single" w:sz="4" w:space="0" w:color="auto"/>
              <w:right w:val="single" w:sz="4" w:space="0" w:color="auto"/>
            </w:tcBorders>
            <w:shd w:val="clear" w:color="000000" w:fill="CCFFFF"/>
            <w:noWrap/>
            <w:vAlign w:val="bottom"/>
            <w:hideMark/>
          </w:tcPr>
          <w:p w14:paraId="3DC166E7" w14:textId="77777777" w:rsidR="001D4AFA" w:rsidRPr="009F2D1E" w:rsidRDefault="001D4AFA" w:rsidP="009F2D1E">
            <w:pPr>
              <w:jc w:val="right"/>
              <w:rPr>
                <w:rFonts w:ascii="Times New Roman" w:hAnsi="Times New Roman"/>
                <w:sz w:val="14"/>
                <w:szCs w:val="14"/>
              </w:rPr>
            </w:pPr>
            <w:r w:rsidRPr="009F2D1E">
              <w:rPr>
                <w:sz w:val="14"/>
                <w:szCs w:val="14"/>
              </w:rPr>
              <w:t>1742,93</w:t>
            </w:r>
          </w:p>
        </w:tc>
        <w:tc>
          <w:tcPr>
            <w:tcW w:w="1183" w:type="dxa"/>
            <w:tcBorders>
              <w:top w:val="nil"/>
              <w:left w:val="nil"/>
              <w:bottom w:val="single" w:sz="4" w:space="0" w:color="auto"/>
              <w:right w:val="single" w:sz="4" w:space="0" w:color="auto"/>
            </w:tcBorders>
            <w:shd w:val="clear" w:color="000000" w:fill="CCFFFF"/>
            <w:noWrap/>
            <w:vAlign w:val="bottom"/>
            <w:hideMark/>
          </w:tcPr>
          <w:p w14:paraId="3F9574C0" w14:textId="77777777" w:rsidR="001D4AFA" w:rsidRPr="009F2D1E" w:rsidRDefault="001D4AFA" w:rsidP="009F2D1E">
            <w:pPr>
              <w:jc w:val="right"/>
              <w:rPr>
                <w:rFonts w:ascii="Times New Roman" w:hAnsi="Times New Roman"/>
                <w:sz w:val="14"/>
                <w:szCs w:val="14"/>
              </w:rPr>
            </w:pPr>
            <w:r w:rsidRPr="009F2D1E">
              <w:rPr>
                <w:sz w:val="14"/>
                <w:szCs w:val="14"/>
              </w:rPr>
              <w:t>1867,90</w:t>
            </w:r>
          </w:p>
        </w:tc>
        <w:tc>
          <w:tcPr>
            <w:tcW w:w="1197" w:type="dxa"/>
            <w:tcBorders>
              <w:top w:val="nil"/>
              <w:left w:val="nil"/>
              <w:bottom w:val="single" w:sz="4" w:space="0" w:color="auto"/>
              <w:right w:val="single" w:sz="4" w:space="0" w:color="auto"/>
            </w:tcBorders>
            <w:shd w:val="clear" w:color="000000" w:fill="CCFFFF"/>
            <w:vAlign w:val="bottom"/>
          </w:tcPr>
          <w:p w14:paraId="63ACB281" w14:textId="77777777" w:rsidR="001D4AFA" w:rsidRPr="009F2D1E" w:rsidRDefault="001D4AFA" w:rsidP="009F2D1E">
            <w:pPr>
              <w:jc w:val="right"/>
              <w:rPr>
                <w:rFonts w:ascii="Times New Roman" w:hAnsi="Times New Roman"/>
                <w:sz w:val="14"/>
                <w:szCs w:val="14"/>
              </w:rPr>
            </w:pPr>
            <w:r w:rsidRPr="009F2D1E">
              <w:rPr>
                <w:sz w:val="14"/>
                <w:szCs w:val="14"/>
              </w:rPr>
              <w:t>1847,47</w:t>
            </w:r>
          </w:p>
        </w:tc>
      </w:tr>
      <w:tr w:rsidR="001D4AFA" w:rsidRPr="00364545" w14:paraId="6F1C1DAC"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ED34A5C"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A. Enteric fermentation</w:t>
            </w:r>
          </w:p>
        </w:tc>
        <w:tc>
          <w:tcPr>
            <w:tcW w:w="1198" w:type="dxa"/>
            <w:tcBorders>
              <w:top w:val="nil"/>
              <w:left w:val="nil"/>
              <w:bottom w:val="single" w:sz="4" w:space="0" w:color="auto"/>
              <w:right w:val="single" w:sz="4" w:space="0" w:color="auto"/>
            </w:tcBorders>
            <w:shd w:val="clear" w:color="000000" w:fill="FFFFFF"/>
            <w:noWrap/>
            <w:vAlign w:val="bottom"/>
            <w:hideMark/>
          </w:tcPr>
          <w:p w14:paraId="1AD8976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234CDB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EC4BF0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CE0FEF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7EA2BD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44543FB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BB40B76"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4AB4E6A"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B. Manure management</w:t>
            </w:r>
          </w:p>
        </w:tc>
        <w:tc>
          <w:tcPr>
            <w:tcW w:w="1198" w:type="dxa"/>
            <w:tcBorders>
              <w:top w:val="nil"/>
              <w:left w:val="nil"/>
              <w:bottom w:val="single" w:sz="4" w:space="0" w:color="auto"/>
              <w:right w:val="single" w:sz="4" w:space="0" w:color="auto"/>
            </w:tcBorders>
            <w:shd w:val="clear" w:color="000000" w:fill="FFFFFF"/>
            <w:noWrap/>
            <w:vAlign w:val="bottom"/>
            <w:hideMark/>
          </w:tcPr>
          <w:p w14:paraId="5AEC06F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BD3C5A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7652CA5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612A808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3691384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C28939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D2F9504"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5287979"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C. Rice cultivation</w:t>
            </w:r>
          </w:p>
        </w:tc>
        <w:tc>
          <w:tcPr>
            <w:tcW w:w="1198" w:type="dxa"/>
            <w:tcBorders>
              <w:top w:val="nil"/>
              <w:left w:val="nil"/>
              <w:bottom w:val="single" w:sz="4" w:space="0" w:color="auto"/>
              <w:right w:val="single" w:sz="4" w:space="0" w:color="auto"/>
            </w:tcBorders>
            <w:shd w:val="clear" w:color="000000" w:fill="FFFFFF"/>
            <w:noWrap/>
            <w:vAlign w:val="bottom"/>
            <w:hideMark/>
          </w:tcPr>
          <w:p w14:paraId="7CC8D4F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FA023C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7D88C3A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2C7F43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BF1456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01FFCB8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CE5049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574A348"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D. Agricultural soils</w:t>
            </w:r>
          </w:p>
        </w:tc>
        <w:tc>
          <w:tcPr>
            <w:tcW w:w="1198" w:type="dxa"/>
            <w:tcBorders>
              <w:top w:val="nil"/>
              <w:left w:val="nil"/>
              <w:bottom w:val="single" w:sz="4" w:space="0" w:color="auto"/>
              <w:right w:val="single" w:sz="4" w:space="0" w:color="auto"/>
            </w:tcBorders>
            <w:shd w:val="clear" w:color="000000" w:fill="FFFFFF"/>
            <w:noWrap/>
            <w:vAlign w:val="bottom"/>
            <w:hideMark/>
          </w:tcPr>
          <w:p w14:paraId="56A8D00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5428D3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052F5E0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537FCF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FF0DE0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6681CEB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CD67943"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8EE368E"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E. Prescribed burning of savannas</w:t>
            </w:r>
          </w:p>
        </w:tc>
        <w:tc>
          <w:tcPr>
            <w:tcW w:w="1198" w:type="dxa"/>
            <w:tcBorders>
              <w:top w:val="nil"/>
              <w:left w:val="nil"/>
              <w:bottom w:val="single" w:sz="4" w:space="0" w:color="auto"/>
              <w:right w:val="single" w:sz="4" w:space="0" w:color="auto"/>
            </w:tcBorders>
            <w:shd w:val="clear" w:color="000000" w:fill="FFFFFF"/>
            <w:noWrap/>
            <w:vAlign w:val="bottom"/>
            <w:hideMark/>
          </w:tcPr>
          <w:p w14:paraId="05AF985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C730DC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4E4678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696496E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52FD4B1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5A35CBC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D5A396B"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AF6EA7D"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F. Field burning of agricultural residues</w:t>
            </w:r>
          </w:p>
        </w:tc>
        <w:tc>
          <w:tcPr>
            <w:tcW w:w="1198" w:type="dxa"/>
            <w:tcBorders>
              <w:top w:val="nil"/>
              <w:left w:val="nil"/>
              <w:bottom w:val="single" w:sz="4" w:space="0" w:color="auto"/>
              <w:right w:val="single" w:sz="4" w:space="0" w:color="auto"/>
            </w:tcBorders>
            <w:shd w:val="clear" w:color="000000" w:fill="FFFFFF"/>
            <w:noWrap/>
            <w:vAlign w:val="bottom"/>
            <w:hideMark/>
          </w:tcPr>
          <w:p w14:paraId="5D8E8D8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0D794B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971C85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D1F757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0AEB2BF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7B03016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668ABCB"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95985BA"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G. Liming</w:t>
            </w:r>
          </w:p>
        </w:tc>
        <w:tc>
          <w:tcPr>
            <w:tcW w:w="1198" w:type="dxa"/>
            <w:tcBorders>
              <w:top w:val="nil"/>
              <w:left w:val="nil"/>
              <w:bottom w:val="single" w:sz="4" w:space="0" w:color="auto"/>
              <w:right w:val="single" w:sz="4" w:space="0" w:color="auto"/>
            </w:tcBorders>
            <w:shd w:val="clear" w:color="000000" w:fill="FFFFFF"/>
            <w:noWrap/>
            <w:vAlign w:val="bottom"/>
            <w:hideMark/>
          </w:tcPr>
          <w:p w14:paraId="0A6C11D5" w14:textId="77777777" w:rsidR="001D4AFA" w:rsidRPr="009F2D1E" w:rsidRDefault="001D4AFA" w:rsidP="009F2D1E">
            <w:pPr>
              <w:jc w:val="right"/>
              <w:rPr>
                <w:rFonts w:ascii="Times New Roman" w:hAnsi="Times New Roman"/>
                <w:sz w:val="14"/>
                <w:szCs w:val="14"/>
              </w:rPr>
            </w:pPr>
            <w:r w:rsidRPr="009F2D1E">
              <w:rPr>
                <w:sz w:val="14"/>
                <w:szCs w:val="14"/>
              </w:rPr>
              <w:t>915,32</w:t>
            </w:r>
          </w:p>
        </w:tc>
        <w:tc>
          <w:tcPr>
            <w:tcW w:w="1197" w:type="dxa"/>
            <w:tcBorders>
              <w:top w:val="nil"/>
              <w:left w:val="nil"/>
              <w:bottom w:val="single" w:sz="4" w:space="0" w:color="auto"/>
              <w:right w:val="single" w:sz="4" w:space="0" w:color="auto"/>
            </w:tcBorders>
            <w:shd w:val="clear" w:color="000000" w:fill="FFFFFF"/>
            <w:noWrap/>
            <w:vAlign w:val="bottom"/>
            <w:hideMark/>
          </w:tcPr>
          <w:p w14:paraId="6EF4C303" w14:textId="77777777" w:rsidR="001D4AFA" w:rsidRPr="009F2D1E" w:rsidRDefault="001D4AFA" w:rsidP="009F2D1E">
            <w:pPr>
              <w:jc w:val="right"/>
              <w:rPr>
                <w:rFonts w:ascii="Times New Roman" w:hAnsi="Times New Roman"/>
                <w:sz w:val="14"/>
                <w:szCs w:val="14"/>
              </w:rPr>
            </w:pPr>
            <w:r w:rsidRPr="009F2D1E">
              <w:rPr>
                <w:sz w:val="14"/>
                <w:szCs w:val="14"/>
              </w:rPr>
              <w:t>915,32</w:t>
            </w:r>
          </w:p>
        </w:tc>
        <w:tc>
          <w:tcPr>
            <w:tcW w:w="1197" w:type="dxa"/>
            <w:tcBorders>
              <w:top w:val="nil"/>
              <w:left w:val="nil"/>
              <w:bottom w:val="single" w:sz="4" w:space="0" w:color="auto"/>
              <w:right w:val="single" w:sz="4" w:space="0" w:color="auto"/>
            </w:tcBorders>
            <w:shd w:val="clear" w:color="000000" w:fill="FFFFFF"/>
            <w:noWrap/>
            <w:vAlign w:val="bottom"/>
            <w:hideMark/>
          </w:tcPr>
          <w:p w14:paraId="3EEA317E" w14:textId="77777777" w:rsidR="001D4AFA" w:rsidRPr="009F2D1E" w:rsidRDefault="001D4AFA" w:rsidP="009F2D1E">
            <w:pPr>
              <w:jc w:val="right"/>
              <w:rPr>
                <w:rFonts w:ascii="Times New Roman" w:hAnsi="Times New Roman"/>
                <w:sz w:val="14"/>
                <w:szCs w:val="14"/>
              </w:rPr>
            </w:pPr>
            <w:r w:rsidRPr="009F2D1E">
              <w:rPr>
                <w:sz w:val="14"/>
                <w:szCs w:val="14"/>
              </w:rPr>
              <w:t>891,07</w:t>
            </w:r>
          </w:p>
        </w:tc>
        <w:tc>
          <w:tcPr>
            <w:tcW w:w="1183" w:type="dxa"/>
            <w:tcBorders>
              <w:top w:val="nil"/>
              <w:left w:val="nil"/>
              <w:bottom w:val="single" w:sz="4" w:space="0" w:color="auto"/>
              <w:right w:val="single" w:sz="4" w:space="0" w:color="auto"/>
            </w:tcBorders>
            <w:shd w:val="clear" w:color="000000" w:fill="FFFFFF"/>
            <w:noWrap/>
            <w:vAlign w:val="bottom"/>
            <w:hideMark/>
          </w:tcPr>
          <w:p w14:paraId="39797BBA" w14:textId="77777777" w:rsidR="001D4AFA" w:rsidRPr="009F2D1E" w:rsidRDefault="001D4AFA" w:rsidP="009F2D1E">
            <w:pPr>
              <w:jc w:val="right"/>
              <w:rPr>
                <w:rFonts w:ascii="Times New Roman" w:hAnsi="Times New Roman"/>
                <w:sz w:val="14"/>
                <w:szCs w:val="14"/>
              </w:rPr>
            </w:pPr>
            <w:r w:rsidRPr="009F2D1E">
              <w:rPr>
                <w:sz w:val="14"/>
                <w:szCs w:val="14"/>
              </w:rPr>
              <w:t>757,66</w:t>
            </w:r>
          </w:p>
        </w:tc>
        <w:tc>
          <w:tcPr>
            <w:tcW w:w="1183" w:type="dxa"/>
            <w:tcBorders>
              <w:top w:val="nil"/>
              <w:left w:val="nil"/>
              <w:bottom w:val="single" w:sz="4" w:space="0" w:color="auto"/>
              <w:right w:val="single" w:sz="4" w:space="0" w:color="auto"/>
            </w:tcBorders>
            <w:shd w:val="clear" w:color="000000" w:fill="FFFFFF"/>
            <w:noWrap/>
            <w:vAlign w:val="bottom"/>
            <w:hideMark/>
          </w:tcPr>
          <w:p w14:paraId="048C56F4" w14:textId="77777777" w:rsidR="001D4AFA" w:rsidRPr="009F2D1E" w:rsidRDefault="001D4AFA" w:rsidP="009F2D1E">
            <w:pPr>
              <w:jc w:val="right"/>
              <w:rPr>
                <w:rFonts w:ascii="Times New Roman" w:hAnsi="Times New Roman"/>
                <w:sz w:val="14"/>
                <w:szCs w:val="14"/>
              </w:rPr>
            </w:pPr>
            <w:r w:rsidRPr="009F2D1E">
              <w:rPr>
                <w:sz w:val="14"/>
                <w:szCs w:val="14"/>
              </w:rPr>
              <w:t>902,28</w:t>
            </w:r>
          </w:p>
        </w:tc>
        <w:tc>
          <w:tcPr>
            <w:tcW w:w="1197" w:type="dxa"/>
            <w:tcBorders>
              <w:top w:val="nil"/>
              <w:left w:val="nil"/>
              <w:bottom w:val="single" w:sz="4" w:space="0" w:color="auto"/>
              <w:right w:val="single" w:sz="4" w:space="0" w:color="auto"/>
            </w:tcBorders>
            <w:shd w:val="clear" w:color="000000" w:fill="FFFFFF"/>
            <w:vAlign w:val="bottom"/>
          </w:tcPr>
          <w:p w14:paraId="16F093F4" w14:textId="77777777" w:rsidR="001D4AFA" w:rsidRPr="009F2D1E" w:rsidRDefault="001D4AFA" w:rsidP="009F2D1E">
            <w:pPr>
              <w:jc w:val="right"/>
              <w:rPr>
                <w:rFonts w:ascii="Times New Roman" w:hAnsi="Times New Roman"/>
                <w:sz w:val="14"/>
                <w:szCs w:val="14"/>
              </w:rPr>
            </w:pPr>
            <w:r w:rsidRPr="009F2D1E">
              <w:rPr>
                <w:sz w:val="14"/>
                <w:szCs w:val="14"/>
              </w:rPr>
              <w:t>919,50</w:t>
            </w:r>
          </w:p>
        </w:tc>
      </w:tr>
      <w:tr w:rsidR="001D4AFA" w:rsidRPr="00364545" w14:paraId="60F1C678"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8934E69"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H. Urea application</w:t>
            </w:r>
          </w:p>
        </w:tc>
        <w:tc>
          <w:tcPr>
            <w:tcW w:w="1198" w:type="dxa"/>
            <w:tcBorders>
              <w:top w:val="nil"/>
              <w:left w:val="nil"/>
              <w:bottom w:val="single" w:sz="4" w:space="0" w:color="auto"/>
              <w:right w:val="single" w:sz="4" w:space="0" w:color="auto"/>
            </w:tcBorders>
            <w:shd w:val="clear" w:color="000000" w:fill="FFFFFF"/>
            <w:noWrap/>
            <w:vAlign w:val="bottom"/>
            <w:hideMark/>
          </w:tcPr>
          <w:p w14:paraId="6633C671" w14:textId="77777777" w:rsidR="001D4AFA" w:rsidRPr="009F2D1E" w:rsidRDefault="001D4AFA" w:rsidP="009F2D1E">
            <w:pPr>
              <w:jc w:val="right"/>
              <w:rPr>
                <w:rFonts w:ascii="Times New Roman" w:hAnsi="Times New Roman"/>
                <w:sz w:val="14"/>
                <w:szCs w:val="14"/>
              </w:rPr>
            </w:pPr>
            <w:r w:rsidRPr="009F2D1E">
              <w:rPr>
                <w:sz w:val="14"/>
                <w:szCs w:val="14"/>
              </w:rPr>
              <w:t>850,17</w:t>
            </w:r>
          </w:p>
        </w:tc>
        <w:tc>
          <w:tcPr>
            <w:tcW w:w="1197" w:type="dxa"/>
            <w:tcBorders>
              <w:top w:val="nil"/>
              <w:left w:val="nil"/>
              <w:bottom w:val="single" w:sz="4" w:space="0" w:color="auto"/>
              <w:right w:val="single" w:sz="4" w:space="0" w:color="auto"/>
            </w:tcBorders>
            <w:shd w:val="clear" w:color="000000" w:fill="FFFFFF"/>
            <w:noWrap/>
            <w:vAlign w:val="bottom"/>
            <w:hideMark/>
          </w:tcPr>
          <w:p w14:paraId="6B50D502" w14:textId="77777777" w:rsidR="001D4AFA" w:rsidRPr="009F2D1E" w:rsidRDefault="001D4AFA" w:rsidP="009F2D1E">
            <w:pPr>
              <w:jc w:val="right"/>
              <w:rPr>
                <w:rFonts w:ascii="Times New Roman" w:hAnsi="Times New Roman"/>
                <w:sz w:val="14"/>
                <w:szCs w:val="14"/>
              </w:rPr>
            </w:pPr>
            <w:r w:rsidRPr="009F2D1E">
              <w:rPr>
                <w:sz w:val="14"/>
                <w:szCs w:val="14"/>
              </w:rPr>
              <w:t>850,17</w:t>
            </w:r>
          </w:p>
        </w:tc>
        <w:tc>
          <w:tcPr>
            <w:tcW w:w="1197" w:type="dxa"/>
            <w:tcBorders>
              <w:top w:val="nil"/>
              <w:left w:val="nil"/>
              <w:bottom w:val="single" w:sz="4" w:space="0" w:color="auto"/>
              <w:right w:val="single" w:sz="4" w:space="0" w:color="auto"/>
            </w:tcBorders>
            <w:shd w:val="clear" w:color="000000" w:fill="FFFFFF"/>
            <w:noWrap/>
            <w:vAlign w:val="bottom"/>
            <w:hideMark/>
          </w:tcPr>
          <w:p w14:paraId="1708A684" w14:textId="77777777" w:rsidR="001D4AFA" w:rsidRPr="009F2D1E" w:rsidRDefault="001D4AFA" w:rsidP="009F2D1E">
            <w:pPr>
              <w:jc w:val="right"/>
              <w:rPr>
                <w:rFonts w:ascii="Times New Roman" w:hAnsi="Times New Roman"/>
                <w:sz w:val="14"/>
                <w:szCs w:val="14"/>
              </w:rPr>
            </w:pPr>
            <w:r w:rsidRPr="009F2D1E">
              <w:rPr>
                <w:sz w:val="14"/>
                <w:szCs w:val="14"/>
              </w:rPr>
              <w:t>874,72</w:t>
            </w:r>
          </w:p>
        </w:tc>
        <w:tc>
          <w:tcPr>
            <w:tcW w:w="1183" w:type="dxa"/>
            <w:tcBorders>
              <w:top w:val="nil"/>
              <w:left w:val="nil"/>
              <w:bottom w:val="single" w:sz="4" w:space="0" w:color="auto"/>
              <w:right w:val="single" w:sz="4" w:space="0" w:color="auto"/>
            </w:tcBorders>
            <w:shd w:val="clear" w:color="000000" w:fill="FFFFFF"/>
            <w:noWrap/>
            <w:vAlign w:val="bottom"/>
            <w:hideMark/>
          </w:tcPr>
          <w:p w14:paraId="41E8C1F0" w14:textId="77777777" w:rsidR="001D4AFA" w:rsidRPr="009F2D1E" w:rsidRDefault="001D4AFA" w:rsidP="009F2D1E">
            <w:pPr>
              <w:jc w:val="right"/>
              <w:rPr>
                <w:rFonts w:ascii="Times New Roman" w:hAnsi="Times New Roman"/>
                <w:sz w:val="14"/>
                <w:szCs w:val="14"/>
              </w:rPr>
            </w:pPr>
            <w:r w:rsidRPr="009F2D1E">
              <w:rPr>
                <w:sz w:val="14"/>
                <w:szCs w:val="14"/>
              </w:rPr>
              <w:t>847,65</w:t>
            </w:r>
          </w:p>
        </w:tc>
        <w:tc>
          <w:tcPr>
            <w:tcW w:w="1183" w:type="dxa"/>
            <w:tcBorders>
              <w:top w:val="nil"/>
              <w:left w:val="nil"/>
              <w:bottom w:val="single" w:sz="4" w:space="0" w:color="auto"/>
              <w:right w:val="single" w:sz="4" w:space="0" w:color="auto"/>
            </w:tcBorders>
            <w:shd w:val="clear" w:color="000000" w:fill="FFFFFF"/>
            <w:noWrap/>
            <w:vAlign w:val="bottom"/>
            <w:hideMark/>
          </w:tcPr>
          <w:p w14:paraId="1964DF91" w14:textId="77777777" w:rsidR="001D4AFA" w:rsidRPr="009F2D1E" w:rsidRDefault="001D4AFA" w:rsidP="009F2D1E">
            <w:pPr>
              <w:jc w:val="right"/>
              <w:rPr>
                <w:rFonts w:ascii="Times New Roman" w:hAnsi="Times New Roman"/>
                <w:sz w:val="14"/>
                <w:szCs w:val="14"/>
              </w:rPr>
            </w:pPr>
            <w:r w:rsidRPr="009F2D1E">
              <w:rPr>
                <w:sz w:val="14"/>
                <w:szCs w:val="14"/>
              </w:rPr>
              <w:t>854,09</w:t>
            </w:r>
          </w:p>
        </w:tc>
        <w:tc>
          <w:tcPr>
            <w:tcW w:w="1197" w:type="dxa"/>
            <w:tcBorders>
              <w:top w:val="nil"/>
              <w:left w:val="nil"/>
              <w:bottom w:val="single" w:sz="4" w:space="0" w:color="auto"/>
              <w:right w:val="single" w:sz="4" w:space="0" w:color="auto"/>
            </w:tcBorders>
            <w:shd w:val="clear" w:color="000000" w:fill="FFFFFF"/>
            <w:vAlign w:val="bottom"/>
          </w:tcPr>
          <w:p w14:paraId="4DE18D2D" w14:textId="77777777" w:rsidR="001D4AFA" w:rsidRPr="009F2D1E" w:rsidRDefault="001D4AFA" w:rsidP="009F2D1E">
            <w:pPr>
              <w:jc w:val="right"/>
              <w:rPr>
                <w:rFonts w:ascii="Times New Roman" w:hAnsi="Times New Roman"/>
                <w:sz w:val="14"/>
                <w:szCs w:val="14"/>
              </w:rPr>
            </w:pPr>
            <w:r w:rsidRPr="009F2D1E">
              <w:rPr>
                <w:sz w:val="14"/>
                <w:szCs w:val="14"/>
              </w:rPr>
              <w:t>819,95</w:t>
            </w:r>
          </w:p>
        </w:tc>
      </w:tr>
      <w:tr w:rsidR="001D4AFA" w:rsidRPr="00364545" w14:paraId="5C6B7685"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657E29B"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I. Other carbon-containing fertilizers</w:t>
            </w:r>
          </w:p>
        </w:tc>
        <w:tc>
          <w:tcPr>
            <w:tcW w:w="1198" w:type="dxa"/>
            <w:tcBorders>
              <w:top w:val="nil"/>
              <w:left w:val="nil"/>
              <w:bottom w:val="single" w:sz="4" w:space="0" w:color="auto"/>
              <w:right w:val="single" w:sz="4" w:space="0" w:color="auto"/>
            </w:tcBorders>
            <w:shd w:val="clear" w:color="000000" w:fill="FFFFFF"/>
            <w:noWrap/>
            <w:vAlign w:val="bottom"/>
            <w:hideMark/>
          </w:tcPr>
          <w:p w14:paraId="649D1532" w14:textId="77777777" w:rsidR="001D4AFA" w:rsidRPr="009F2D1E" w:rsidRDefault="001D4AFA" w:rsidP="009F2D1E">
            <w:pPr>
              <w:jc w:val="right"/>
              <w:rPr>
                <w:rFonts w:ascii="Times New Roman" w:hAnsi="Times New Roman"/>
                <w:sz w:val="14"/>
                <w:szCs w:val="14"/>
              </w:rPr>
            </w:pPr>
            <w:r w:rsidRPr="009F2D1E">
              <w:rPr>
                <w:sz w:val="14"/>
                <w:szCs w:val="14"/>
              </w:rPr>
              <w:t>128,16</w:t>
            </w:r>
          </w:p>
        </w:tc>
        <w:tc>
          <w:tcPr>
            <w:tcW w:w="1197" w:type="dxa"/>
            <w:tcBorders>
              <w:top w:val="nil"/>
              <w:left w:val="nil"/>
              <w:bottom w:val="single" w:sz="4" w:space="0" w:color="auto"/>
              <w:right w:val="single" w:sz="4" w:space="0" w:color="auto"/>
            </w:tcBorders>
            <w:shd w:val="clear" w:color="000000" w:fill="FFFFFF"/>
            <w:noWrap/>
            <w:vAlign w:val="bottom"/>
            <w:hideMark/>
          </w:tcPr>
          <w:p w14:paraId="7943048A" w14:textId="77777777" w:rsidR="001D4AFA" w:rsidRPr="009F2D1E" w:rsidRDefault="001D4AFA" w:rsidP="009F2D1E">
            <w:pPr>
              <w:jc w:val="right"/>
              <w:rPr>
                <w:rFonts w:ascii="Times New Roman" w:hAnsi="Times New Roman"/>
                <w:sz w:val="14"/>
                <w:szCs w:val="14"/>
              </w:rPr>
            </w:pPr>
            <w:r w:rsidRPr="009F2D1E">
              <w:rPr>
                <w:sz w:val="14"/>
                <w:szCs w:val="14"/>
              </w:rPr>
              <w:t>128,16</w:t>
            </w:r>
          </w:p>
        </w:tc>
        <w:tc>
          <w:tcPr>
            <w:tcW w:w="1197" w:type="dxa"/>
            <w:tcBorders>
              <w:top w:val="nil"/>
              <w:left w:val="nil"/>
              <w:bottom w:val="single" w:sz="4" w:space="0" w:color="auto"/>
              <w:right w:val="single" w:sz="4" w:space="0" w:color="auto"/>
            </w:tcBorders>
            <w:shd w:val="clear" w:color="000000" w:fill="FFFFFF"/>
            <w:noWrap/>
            <w:vAlign w:val="bottom"/>
            <w:hideMark/>
          </w:tcPr>
          <w:p w14:paraId="1B12191F" w14:textId="77777777" w:rsidR="001D4AFA" w:rsidRPr="009F2D1E" w:rsidRDefault="001D4AFA" w:rsidP="009F2D1E">
            <w:pPr>
              <w:jc w:val="right"/>
              <w:rPr>
                <w:rFonts w:ascii="Times New Roman" w:hAnsi="Times New Roman"/>
                <w:sz w:val="14"/>
                <w:szCs w:val="14"/>
              </w:rPr>
            </w:pPr>
            <w:r w:rsidRPr="009F2D1E">
              <w:rPr>
                <w:sz w:val="14"/>
                <w:szCs w:val="14"/>
              </w:rPr>
              <w:t>142,43</w:t>
            </w:r>
          </w:p>
        </w:tc>
        <w:tc>
          <w:tcPr>
            <w:tcW w:w="1183" w:type="dxa"/>
            <w:tcBorders>
              <w:top w:val="nil"/>
              <w:left w:val="nil"/>
              <w:bottom w:val="single" w:sz="4" w:space="0" w:color="auto"/>
              <w:right w:val="single" w:sz="4" w:space="0" w:color="auto"/>
            </w:tcBorders>
            <w:shd w:val="clear" w:color="000000" w:fill="FFFFFF"/>
            <w:noWrap/>
            <w:vAlign w:val="bottom"/>
            <w:hideMark/>
          </w:tcPr>
          <w:p w14:paraId="205A7ED3" w14:textId="77777777" w:rsidR="001D4AFA" w:rsidRPr="009F2D1E" w:rsidRDefault="001D4AFA" w:rsidP="009F2D1E">
            <w:pPr>
              <w:jc w:val="right"/>
              <w:rPr>
                <w:rFonts w:ascii="Times New Roman" w:hAnsi="Times New Roman"/>
                <w:sz w:val="14"/>
                <w:szCs w:val="14"/>
              </w:rPr>
            </w:pPr>
            <w:r w:rsidRPr="009F2D1E">
              <w:rPr>
                <w:sz w:val="14"/>
                <w:szCs w:val="14"/>
              </w:rPr>
              <w:t>137,62</w:t>
            </w:r>
          </w:p>
        </w:tc>
        <w:tc>
          <w:tcPr>
            <w:tcW w:w="1183" w:type="dxa"/>
            <w:tcBorders>
              <w:top w:val="nil"/>
              <w:left w:val="nil"/>
              <w:bottom w:val="single" w:sz="4" w:space="0" w:color="auto"/>
              <w:right w:val="single" w:sz="4" w:space="0" w:color="auto"/>
            </w:tcBorders>
            <w:shd w:val="clear" w:color="000000" w:fill="FFFFFF"/>
            <w:noWrap/>
            <w:vAlign w:val="bottom"/>
            <w:hideMark/>
          </w:tcPr>
          <w:p w14:paraId="4AC01FD8" w14:textId="77777777" w:rsidR="001D4AFA" w:rsidRPr="009F2D1E" w:rsidRDefault="001D4AFA" w:rsidP="009F2D1E">
            <w:pPr>
              <w:jc w:val="right"/>
              <w:rPr>
                <w:rFonts w:ascii="Times New Roman" w:hAnsi="Times New Roman"/>
                <w:sz w:val="14"/>
                <w:szCs w:val="14"/>
              </w:rPr>
            </w:pPr>
            <w:r w:rsidRPr="009F2D1E">
              <w:rPr>
                <w:sz w:val="14"/>
                <w:szCs w:val="14"/>
              </w:rPr>
              <w:t>111,53</w:t>
            </w:r>
          </w:p>
        </w:tc>
        <w:tc>
          <w:tcPr>
            <w:tcW w:w="1197" w:type="dxa"/>
            <w:tcBorders>
              <w:top w:val="nil"/>
              <w:left w:val="nil"/>
              <w:bottom w:val="single" w:sz="4" w:space="0" w:color="auto"/>
              <w:right w:val="single" w:sz="4" w:space="0" w:color="auto"/>
            </w:tcBorders>
            <w:shd w:val="clear" w:color="000000" w:fill="FFFFFF"/>
            <w:vAlign w:val="bottom"/>
          </w:tcPr>
          <w:p w14:paraId="47928E57" w14:textId="77777777" w:rsidR="001D4AFA" w:rsidRPr="009F2D1E" w:rsidRDefault="001D4AFA" w:rsidP="009F2D1E">
            <w:pPr>
              <w:jc w:val="right"/>
              <w:rPr>
                <w:rFonts w:ascii="Times New Roman" w:hAnsi="Times New Roman"/>
                <w:sz w:val="14"/>
                <w:szCs w:val="14"/>
              </w:rPr>
            </w:pPr>
            <w:r w:rsidRPr="009F2D1E">
              <w:rPr>
                <w:sz w:val="14"/>
                <w:szCs w:val="14"/>
              </w:rPr>
              <w:t>108,01</w:t>
            </w:r>
          </w:p>
        </w:tc>
      </w:tr>
      <w:tr w:rsidR="001D4AFA" w:rsidRPr="00364545" w14:paraId="0C955302"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1AEC122"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 xml:space="preserve">J. Other </w:t>
            </w:r>
          </w:p>
        </w:tc>
        <w:tc>
          <w:tcPr>
            <w:tcW w:w="1198" w:type="dxa"/>
            <w:tcBorders>
              <w:top w:val="nil"/>
              <w:left w:val="nil"/>
              <w:bottom w:val="single" w:sz="4" w:space="0" w:color="auto"/>
              <w:right w:val="single" w:sz="4" w:space="0" w:color="auto"/>
            </w:tcBorders>
            <w:shd w:val="clear" w:color="000000" w:fill="FFFFFF"/>
            <w:noWrap/>
            <w:vAlign w:val="bottom"/>
            <w:hideMark/>
          </w:tcPr>
          <w:p w14:paraId="4833EFA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0B7D72EC"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66AE836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4FF2EA3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350F3E5B"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24D7F9C2"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473946DF"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bottom"/>
            <w:hideMark/>
          </w:tcPr>
          <w:p w14:paraId="579E2ACC"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4. Land use, land-use change and forestry</w:t>
            </w:r>
            <w:r w:rsidRPr="00364545">
              <w:rPr>
                <w:rFonts w:asciiTheme="majorHAnsi" w:hAnsiTheme="majorHAnsi"/>
                <w:b/>
                <w:sz w:val="14"/>
                <w:vertAlign w:val="superscript"/>
              </w:rPr>
              <w:t>(2)</w:t>
            </w:r>
          </w:p>
        </w:tc>
        <w:tc>
          <w:tcPr>
            <w:tcW w:w="1198" w:type="dxa"/>
            <w:tcBorders>
              <w:top w:val="nil"/>
              <w:left w:val="nil"/>
              <w:bottom w:val="single" w:sz="4" w:space="0" w:color="auto"/>
              <w:right w:val="single" w:sz="4" w:space="0" w:color="auto"/>
            </w:tcBorders>
            <w:shd w:val="clear" w:color="000000" w:fill="CCFFFF"/>
            <w:noWrap/>
            <w:vAlign w:val="bottom"/>
            <w:hideMark/>
          </w:tcPr>
          <w:p w14:paraId="69DCC15A" w14:textId="77777777" w:rsidR="001D4AFA" w:rsidRPr="009F2D1E" w:rsidRDefault="001D4AFA" w:rsidP="009F2D1E">
            <w:pPr>
              <w:jc w:val="right"/>
              <w:rPr>
                <w:rFonts w:ascii="Times New Roman" w:hAnsi="Times New Roman"/>
                <w:sz w:val="14"/>
                <w:szCs w:val="14"/>
              </w:rPr>
            </w:pPr>
            <w:r w:rsidRPr="009F2D1E">
              <w:rPr>
                <w:sz w:val="14"/>
                <w:szCs w:val="14"/>
              </w:rPr>
              <w:t>-28145,04</w:t>
            </w:r>
          </w:p>
        </w:tc>
        <w:tc>
          <w:tcPr>
            <w:tcW w:w="1197" w:type="dxa"/>
            <w:tcBorders>
              <w:top w:val="nil"/>
              <w:left w:val="nil"/>
              <w:bottom w:val="single" w:sz="4" w:space="0" w:color="auto"/>
              <w:right w:val="single" w:sz="4" w:space="0" w:color="auto"/>
            </w:tcBorders>
            <w:shd w:val="clear" w:color="000000" w:fill="CCFFFF"/>
            <w:noWrap/>
            <w:vAlign w:val="bottom"/>
            <w:hideMark/>
          </w:tcPr>
          <w:p w14:paraId="54F29374" w14:textId="77777777" w:rsidR="001D4AFA" w:rsidRPr="009F2D1E" w:rsidRDefault="001D4AFA" w:rsidP="009F2D1E">
            <w:pPr>
              <w:jc w:val="right"/>
              <w:rPr>
                <w:rFonts w:ascii="Times New Roman" w:hAnsi="Times New Roman"/>
                <w:sz w:val="14"/>
                <w:szCs w:val="14"/>
              </w:rPr>
            </w:pPr>
            <w:r w:rsidRPr="009F2D1E">
              <w:rPr>
                <w:sz w:val="14"/>
                <w:szCs w:val="14"/>
              </w:rPr>
              <w:t>-28145,04</w:t>
            </w:r>
          </w:p>
        </w:tc>
        <w:tc>
          <w:tcPr>
            <w:tcW w:w="1197" w:type="dxa"/>
            <w:tcBorders>
              <w:top w:val="nil"/>
              <w:left w:val="nil"/>
              <w:bottom w:val="single" w:sz="4" w:space="0" w:color="auto"/>
              <w:right w:val="single" w:sz="4" w:space="0" w:color="auto"/>
            </w:tcBorders>
            <w:shd w:val="clear" w:color="000000" w:fill="CCFFFF"/>
            <w:noWrap/>
            <w:vAlign w:val="bottom"/>
            <w:hideMark/>
          </w:tcPr>
          <w:p w14:paraId="790FA958" w14:textId="77777777" w:rsidR="001D4AFA" w:rsidRPr="009F2D1E" w:rsidRDefault="001D4AFA" w:rsidP="009F2D1E">
            <w:pPr>
              <w:jc w:val="right"/>
              <w:rPr>
                <w:rFonts w:ascii="Times New Roman" w:hAnsi="Times New Roman"/>
                <w:sz w:val="14"/>
                <w:szCs w:val="14"/>
              </w:rPr>
            </w:pPr>
            <w:r w:rsidRPr="009F2D1E">
              <w:rPr>
                <w:sz w:val="14"/>
                <w:szCs w:val="14"/>
              </w:rPr>
              <w:t>-28265,56</w:t>
            </w:r>
          </w:p>
        </w:tc>
        <w:tc>
          <w:tcPr>
            <w:tcW w:w="1183" w:type="dxa"/>
            <w:tcBorders>
              <w:top w:val="nil"/>
              <w:left w:val="nil"/>
              <w:bottom w:val="single" w:sz="4" w:space="0" w:color="auto"/>
              <w:right w:val="single" w:sz="4" w:space="0" w:color="auto"/>
            </w:tcBorders>
            <w:shd w:val="clear" w:color="000000" w:fill="CCFFFF"/>
            <w:noWrap/>
            <w:vAlign w:val="bottom"/>
            <w:hideMark/>
          </w:tcPr>
          <w:p w14:paraId="68E09DDC" w14:textId="77777777" w:rsidR="001D4AFA" w:rsidRPr="009F2D1E" w:rsidRDefault="001D4AFA" w:rsidP="009F2D1E">
            <w:pPr>
              <w:jc w:val="right"/>
              <w:rPr>
                <w:rFonts w:ascii="Times New Roman" w:hAnsi="Times New Roman"/>
                <w:sz w:val="14"/>
                <w:szCs w:val="14"/>
              </w:rPr>
            </w:pPr>
            <w:r w:rsidRPr="009F2D1E">
              <w:rPr>
                <w:sz w:val="14"/>
                <w:szCs w:val="14"/>
              </w:rPr>
              <w:t>-26209,43</w:t>
            </w:r>
          </w:p>
        </w:tc>
        <w:tc>
          <w:tcPr>
            <w:tcW w:w="1183" w:type="dxa"/>
            <w:tcBorders>
              <w:top w:val="nil"/>
              <w:left w:val="nil"/>
              <w:bottom w:val="single" w:sz="4" w:space="0" w:color="auto"/>
              <w:right w:val="single" w:sz="4" w:space="0" w:color="auto"/>
            </w:tcBorders>
            <w:shd w:val="clear" w:color="000000" w:fill="CCFFFF"/>
            <w:noWrap/>
            <w:vAlign w:val="bottom"/>
            <w:hideMark/>
          </w:tcPr>
          <w:p w14:paraId="0C14FBBC" w14:textId="77777777" w:rsidR="001D4AFA" w:rsidRPr="009F2D1E" w:rsidRDefault="001D4AFA" w:rsidP="009F2D1E">
            <w:pPr>
              <w:jc w:val="right"/>
              <w:rPr>
                <w:rFonts w:ascii="Times New Roman" w:hAnsi="Times New Roman"/>
                <w:sz w:val="14"/>
                <w:szCs w:val="14"/>
              </w:rPr>
            </w:pPr>
            <w:r w:rsidRPr="009F2D1E">
              <w:rPr>
                <w:sz w:val="14"/>
                <w:szCs w:val="14"/>
              </w:rPr>
              <w:t>-29282,65</w:t>
            </w:r>
          </w:p>
        </w:tc>
        <w:tc>
          <w:tcPr>
            <w:tcW w:w="1197" w:type="dxa"/>
            <w:tcBorders>
              <w:top w:val="nil"/>
              <w:left w:val="nil"/>
              <w:bottom w:val="single" w:sz="4" w:space="0" w:color="auto"/>
              <w:right w:val="single" w:sz="4" w:space="0" w:color="auto"/>
            </w:tcBorders>
            <w:shd w:val="clear" w:color="000000" w:fill="CCFFFF"/>
            <w:vAlign w:val="bottom"/>
          </w:tcPr>
          <w:p w14:paraId="1C0A039C" w14:textId="77777777" w:rsidR="001D4AFA" w:rsidRPr="009F2D1E" w:rsidRDefault="001D4AFA" w:rsidP="009F2D1E">
            <w:pPr>
              <w:jc w:val="right"/>
              <w:rPr>
                <w:rFonts w:ascii="Times New Roman" w:hAnsi="Times New Roman"/>
                <w:sz w:val="14"/>
                <w:szCs w:val="14"/>
              </w:rPr>
            </w:pPr>
            <w:r w:rsidRPr="009F2D1E">
              <w:rPr>
                <w:sz w:val="14"/>
                <w:szCs w:val="14"/>
              </w:rPr>
              <w:t>-29258,16</w:t>
            </w:r>
          </w:p>
        </w:tc>
      </w:tr>
      <w:tr w:rsidR="001D4AFA" w:rsidRPr="00364545" w14:paraId="765CA4B2"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B60B29F"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A. Forest land</w:t>
            </w:r>
          </w:p>
        </w:tc>
        <w:tc>
          <w:tcPr>
            <w:tcW w:w="1198" w:type="dxa"/>
            <w:tcBorders>
              <w:top w:val="nil"/>
              <w:left w:val="nil"/>
              <w:bottom w:val="single" w:sz="4" w:space="0" w:color="auto"/>
              <w:right w:val="single" w:sz="4" w:space="0" w:color="auto"/>
            </w:tcBorders>
            <w:shd w:val="clear" w:color="000000" w:fill="FFFFFF"/>
            <w:noWrap/>
            <w:vAlign w:val="bottom"/>
            <w:hideMark/>
          </w:tcPr>
          <w:p w14:paraId="47B18741" w14:textId="77777777" w:rsidR="001D4AFA" w:rsidRPr="009F2D1E" w:rsidRDefault="001D4AFA" w:rsidP="009F2D1E">
            <w:pPr>
              <w:jc w:val="right"/>
              <w:rPr>
                <w:rFonts w:ascii="Times New Roman" w:hAnsi="Times New Roman"/>
                <w:sz w:val="14"/>
                <w:szCs w:val="14"/>
              </w:rPr>
            </w:pPr>
            <w:r w:rsidRPr="009F2D1E">
              <w:rPr>
                <w:sz w:val="14"/>
                <w:szCs w:val="14"/>
              </w:rPr>
              <w:t>-39612,80</w:t>
            </w:r>
          </w:p>
        </w:tc>
        <w:tc>
          <w:tcPr>
            <w:tcW w:w="1197" w:type="dxa"/>
            <w:tcBorders>
              <w:top w:val="nil"/>
              <w:left w:val="nil"/>
              <w:bottom w:val="single" w:sz="4" w:space="0" w:color="auto"/>
              <w:right w:val="single" w:sz="4" w:space="0" w:color="auto"/>
            </w:tcBorders>
            <w:shd w:val="clear" w:color="000000" w:fill="FFFFFF"/>
            <w:noWrap/>
            <w:vAlign w:val="bottom"/>
            <w:hideMark/>
          </w:tcPr>
          <w:p w14:paraId="009EAE72" w14:textId="77777777" w:rsidR="001D4AFA" w:rsidRPr="009F2D1E" w:rsidRDefault="001D4AFA" w:rsidP="009F2D1E">
            <w:pPr>
              <w:jc w:val="right"/>
              <w:rPr>
                <w:rFonts w:ascii="Times New Roman" w:hAnsi="Times New Roman"/>
                <w:sz w:val="14"/>
                <w:szCs w:val="14"/>
              </w:rPr>
            </w:pPr>
            <w:r w:rsidRPr="009F2D1E">
              <w:rPr>
                <w:sz w:val="14"/>
                <w:szCs w:val="14"/>
              </w:rPr>
              <w:t>-39612,80</w:t>
            </w:r>
          </w:p>
        </w:tc>
        <w:tc>
          <w:tcPr>
            <w:tcW w:w="1197" w:type="dxa"/>
            <w:tcBorders>
              <w:top w:val="nil"/>
              <w:left w:val="nil"/>
              <w:bottom w:val="single" w:sz="4" w:space="0" w:color="auto"/>
              <w:right w:val="single" w:sz="4" w:space="0" w:color="auto"/>
            </w:tcBorders>
            <w:shd w:val="clear" w:color="000000" w:fill="FFFFFF"/>
            <w:noWrap/>
            <w:vAlign w:val="bottom"/>
            <w:hideMark/>
          </w:tcPr>
          <w:p w14:paraId="6296F91E" w14:textId="77777777" w:rsidR="001D4AFA" w:rsidRPr="009F2D1E" w:rsidRDefault="001D4AFA" w:rsidP="009F2D1E">
            <w:pPr>
              <w:jc w:val="right"/>
              <w:rPr>
                <w:rFonts w:ascii="Times New Roman" w:hAnsi="Times New Roman"/>
                <w:sz w:val="14"/>
                <w:szCs w:val="14"/>
              </w:rPr>
            </w:pPr>
            <w:r w:rsidRPr="009F2D1E">
              <w:rPr>
                <w:sz w:val="14"/>
                <w:szCs w:val="14"/>
              </w:rPr>
              <w:t>-39539,41</w:t>
            </w:r>
          </w:p>
        </w:tc>
        <w:tc>
          <w:tcPr>
            <w:tcW w:w="1183" w:type="dxa"/>
            <w:tcBorders>
              <w:top w:val="nil"/>
              <w:left w:val="nil"/>
              <w:bottom w:val="single" w:sz="4" w:space="0" w:color="auto"/>
              <w:right w:val="single" w:sz="4" w:space="0" w:color="auto"/>
            </w:tcBorders>
            <w:shd w:val="clear" w:color="000000" w:fill="FFFFFF"/>
            <w:noWrap/>
            <w:vAlign w:val="bottom"/>
            <w:hideMark/>
          </w:tcPr>
          <w:p w14:paraId="54DFEC75" w14:textId="77777777" w:rsidR="001D4AFA" w:rsidRPr="009F2D1E" w:rsidRDefault="001D4AFA" w:rsidP="009F2D1E">
            <w:pPr>
              <w:jc w:val="right"/>
              <w:rPr>
                <w:rFonts w:ascii="Times New Roman" w:hAnsi="Times New Roman"/>
                <w:sz w:val="14"/>
                <w:szCs w:val="14"/>
              </w:rPr>
            </w:pPr>
            <w:r w:rsidRPr="009F2D1E">
              <w:rPr>
                <w:sz w:val="14"/>
                <w:szCs w:val="14"/>
              </w:rPr>
              <w:t>-39130,91</w:t>
            </w:r>
          </w:p>
        </w:tc>
        <w:tc>
          <w:tcPr>
            <w:tcW w:w="1183" w:type="dxa"/>
            <w:tcBorders>
              <w:top w:val="nil"/>
              <w:left w:val="nil"/>
              <w:bottom w:val="single" w:sz="4" w:space="0" w:color="auto"/>
              <w:right w:val="single" w:sz="4" w:space="0" w:color="auto"/>
            </w:tcBorders>
            <w:shd w:val="clear" w:color="000000" w:fill="FFFFFF"/>
            <w:noWrap/>
            <w:vAlign w:val="bottom"/>
            <w:hideMark/>
          </w:tcPr>
          <w:p w14:paraId="2D7F33C6" w14:textId="77777777" w:rsidR="001D4AFA" w:rsidRPr="009F2D1E" w:rsidRDefault="001D4AFA" w:rsidP="009F2D1E">
            <w:pPr>
              <w:jc w:val="right"/>
              <w:rPr>
                <w:rFonts w:ascii="Times New Roman" w:hAnsi="Times New Roman"/>
                <w:sz w:val="14"/>
                <w:szCs w:val="14"/>
              </w:rPr>
            </w:pPr>
            <w:r w:rsidRPr="009F2D1E">
              <w:rPr>
                <w:sz w:val="14"/>
                <w:szCs w:val="14"/>
              </w:rPr>
              <w:t>-43156,84</w:t>
            </w:r>
          </w:p>
        </w:tc>
        <w:tc>
          <w:tcPr>
            <w:tcW w:w="1197" w:type="dxa"/>
            <w:tcBorders>
              <w:top w:val="nil"/>
              <w:left w:val="nil"/>
              <w:bottom w:val="single" w:sz="4" w:space="0" w:color="auto"/>
              <w:right w:val="single" w:sz="4" w:space="0" w:color="auto"/>
            </w:tcBorders>
            <w:shd w:val="clear" w:color="000000" w:fill="FFFFFF"/>
            <w:vAlign w:val="bottom"/>
          </w:tcPr>
          <w:p w14:paraId="03F202A8" w14:textId="77777777" w:rsidR="001D4AFA" w:rsidRPr="009F2D1E" w:rsidRDefault="001D4AFA" w:rsidP="009F2D1E">
            <w:pPr>
              <w:jc w:val="right"/>
              <w:rPr>
                <w:rFonts w:ascii="Times New Roman" w:hAnsi="Times New Roman"/>
                <w:sz w:val="14"/>
                <w:szCs w:val="14"/>
              </w:rPr>
            </w:pPr>
            <w:r w:rsidRPr="009F2D1E">
              <w:rPr>
                <w:sz w:val="14"/>
                <w:szCs w:val="14"/>
              </w:rPr>
              <w:t>-44185,44</w:t>
            </w:r>
          </w:p>
        </w:tc>
      </w:tr>
      <w:tr w:rsidR="001D4AFA" w:rsidRPr="00364545" w14:paraId="5D5E14D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B272D4F"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B. Cropland</w:t>
            </w:r>
          </w:p>
        </w:tc>
        <w:tc>
          <w:tcPr>
            <w:tcW w:w="1198" w:type="dxa"/>
            <w:tcBorders>
              <w:top w:val="nil"/>
              <w:left w:val="nil"/>
              <w:bottom w:val="single" w:sz="4" w:space="0" w:color="auto"/>
              <w:right w:val="single" w:sz="4" w:space="0" w:color="auto"/>
            </w:tcBorders>
            <w:shd w:val="clear" w:color="000000" w:fill="FFFFFF"/>
            <w:noWrap/>
            <w:vAlign w:val="bottom"/>
            <w:hideMark/>
          </w:tcPr>
          <w:p w14:paraId="0902183A" w14:textId="77777777" w:rsidR="001D4AFA" w:rsidRPr="009F2D1E" w:rsidRDefault="001D4AFA" w:rsidP="009F2D1E">
            <w:pPr>
              <w:jc w:val="right"/>
              <w:rPr>
                <w:rFonts w:ascii="Times New Roman" w:hAnsi="Times New Roman"/>
                <w:sz w:val="14"/>
                <w:szCs w:val="14"/>
              </w:rPr>
            </w:pPr>
            <w:r w:rsidRPr="009F2D1E">
              <w:rPr>
                <w:sz w:val="14"/>
                <w:szCs w:val="14"/>
              </w:rPr>
              <w:t>21140,66</w:t>
            </w:r>
          </w:p>
        </w:tc>
        <w:tc>
          <w:tcPr>
            <w:tcW w:w="1197" w:type="dxa"/>
            <w:tcBorders>
              <w:top w:val="nil"/>
              <w:left w:val="nil"/>
              <w:bottom w:val="single" w:sz="4" w:space="0" w:color="auto"/>
              <w:right w:val="single" w:sz="4" w:space="0" w:color="auto"/>
            </w:tcBorders>
            <w:shd w:val="clear" w:color="000000" w:fill="FFFFFF"/>
            <w:noWrap/>
            <w:vAlign w:val="bottom"/>
            <w:hideMark/>
          </w:tcPr>
          <w:p w14:paraId="30682B75" w14:textId="77777777" w:rsidR="001D4AFA" w:rsidRPr="009F2D1E" w:rsidRDefault="001D4AFA" w:rsidP="009F2D1E">
            <w:pPr>
              <w:jc w:val="right"/>
              <w:rPr>
                <w:rFonts w:ascii="Times New Roman" w:hAnsi="Times New Roman"/>
                <w:sz w:val="14"/>
                <w:szCs w:val="14"/>
              </w:rPr>
            </w:pPr>
            <w:r w:rsidRPr="009F2D1E">
              <w:rPr>
                <w:sz w:val="14"/>
                <w:szCs w:val="14"/>
              </w:rPr>
              <w:t>21140,66</w:t>
            </w:r>
          </w:p>
        </w:tc>
        <w:tc>
          <w:tcPr>
            <w:tcW w:w="1197" w:type="dxa"/>
            <w:tcBorders>
              <w:top w:val="nil"/>
              <w:left w:val="nil"/>
              <w:bottom w:val="single" w:sz="4" w:space="0" w:color="auto"/>
              <w:right w:val="single" w:sz="4" w:space="0" w:color="auto"/>
            </w:tcBorders>
            <w:shd w:val="clear" w:color="000000" w:fill="FFFFFF"/>
            <w:noWrap/>
            <w:vAlign w:val="bottom"/>
            <w:hideMark/>
          </w:tcPr>
          <w:p w14:paraId="2757FECC" w14:textId="77777777" w:rsidR="001D4AFA" w:rsidRPr="009F2D1E" w:rsidRDefault="001D4AFA" w:rsidP="009F2D1E">
            <w:pPr>
              <w:jc w:val="right"/>
              <w:rPr>
                <w:rFonts w:ascii="Times New Roman" w:hAnsi="Times New Roman"/>
                <w:sz w:val="14"/>
                <w:szCs w:val="14"/>
              </w:rPr>
            </w:pPr>
            <w:r w:rsidRPr="009F2D1E">
              <w:rPr>
                <w:sz w:val="14"/>
                <w:szCs w:val="14"/>
              </w:rPr>
              <w:t>21059,07</w:t>
            </w:r>
          </w:p>
        </w:tc>
        <w:tc>
          <w:tcPr>
            <w:tcW w:w="1183" w:type="dxa"/>
            <w:tcBorders>
              <w:top w:val="nil"/>
              <w:left w:val="nil"/>
              <w:bottom w:val="single" w:sz="4" w:space="0" w:color="auto"/>
              <w:right w:val="single" w:sz="4" w:space="0" w:color="auto"/>
            </w:tcBorders>
            <w:shd w:val="clear" w:color="000000" w:fill="FFFFFF"/>
            <w:noWrap/>
            <w:vAlign w:val="bottom"/>
            <w:hideMark/>
          </w:tcPr>
          <w:p w14:paraId="75D6A309" w14:textId="77777777" w:rsidR="001D4AFA" w:rsidRPr="009F2D1E" w:rsidRDefault="001D4AFA" w:rsidP="009F2D1E">
            <w:pPr>
              <w:jc w:val="right"/>
              <w:rPr>
                <w:rFonts w:ascii="Times New Roman" w:hAnsi="Times New Roman"/>
                <w:sz w:val="14"/>
                <w:szCs w:val="14"/>
              </w:rPr>
            </w:pPr>
            <w:r w:rsidRPr="009F2D1E">
              <w:rPr>
                <w:sz w:val="14"/>
                <w:szCs w:val="14"/>
              </w:rPr>
              <w:t>21090,64</w:t>
            </w:r>
          </w:p>
        </w:tc>
        <w:tc>
          <w:tcPr>
            <w:tcW w:w="1183" w:type="dxa"/>
            <w:tcBorders>
              <w:top w:val="nil"/>
              <w:left w:val="nil"/>
              <w:bottom w:val="single" w:sz="4" w:space="0" w:color="auto"/>
              <w:right w:val="single" w:sz="4" w:space="0" w:color="auto"/>
            </w:tcBorders>
            <w:shd w:val="clear" w:color="000000" w:fill="FFFFFF"/>
            <w:noWrap/>
            <w:vAlign w:val="bottom"/>
            <w:hideMark/>
          </w:tcPr>
          <w:p w14:paraId="463982AF" w14:textId="77777777" w:rsidR="001D4AFA" w:rsidRPr="009F2D1E" w:rsidRDefault="001D4AFA" w:rsidP="009F2D1E">
            <w:pPr>
              <w:jc w:val="right"/>
              <w:rPr>
                <w:rFonts w:ascii="Times New Roman" w:hAnsi="Times New Roman"/>
                <w:sz w:val="14"/>
                <w:szCs w:val="14"/>
              </w:rPr>
            </w:pPr>
            <w:r w:rsidRPr="009F2D1E">
              <w:rPr>
                <w:sz w:val="14"/>
                <w:szCs w:val="14"/>
              </w:rPr>
              <w:t>21144,44</w:t>
            </w:r>
          </w:p>
        </w:tc>
        <w:tc>
          <w:tcPr>
            <w:tcW w:w="1197" w:type="dxa"/>
            <w:tcBorders>
              <w:top w:val="nil"/>
              <w:left w:val="nil"/>
              <w:bottom w:val="single" w:sz="4" w:space="0" w:color="auto"/>
              <w:right w:val="single" w:sz="4" w:space="0" w:color="auto"/>
            </w:tcBorders>
            <w:shd w:val="clear" w:color="000000" w:fill="FFFFFF"/>
            <w:vAlign w:val="bottom"/>
          </w:tcPr>
          <w:p w14:paraId="27575B80" w14:textId="77777777" w:rsidR="001D4AFA" w:rsidRPr="009F2D1E" w:rsidRDefault="001D4AFA" w:rsidP="009F2D1E">
            <w:pPr>
              <w:jc w:val="right"/>
              <w:rPr>
                <w:rFonts w:ascii="Times New Roman" w:hAnsi="Times New Roman"/>
                <w:sz w:val="14"/>
                <w:szCs w:val="14"/>
              </w:rPr>
            </w:pPr>
            <w:r w:rsidRPr="009F2D1E">
              <w:rPr>
                <w:sz w:val="14"/>
                <w:szCs w:val="14"/>
              </w:rPr>
              <w:t>21061,67</w:t>
            </w:r>
          </w:p>
        </w:tc>
      </w:tr>
      <w:tr w:rsidR="001D4AFA" w:rsidRPr="00364545" w14:paraId="00B26910"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D535A8B"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C. Grassland</w:t>
            </w:r>
          </w:p>
        </w:tc>
        <w:tc>
          <w:tcPr>
            <w:tcW w:w="1198" w:type="dxa"/>
            <w:tcBorders>
              <w:top w:val="nil"/>
              <w:left w:val="nil"/>
              <w:bottom w:val="single" w:sz="4" w:space="0" w:color="auto"/>
              <w:right w:val="single" w:sz="4" w:space="0" w:color="auto"/>
            </w:tcBorders>
            <w:shd w:val="clear" w:color="000000" w:fill="FFFFFF"/>
            <w:noWrap/>
            <w:vAlign w:val="bottom"/>
            <w:hideMark/>
          </w:tcPr>
          <w:p w14:paraId="01C574CB" w14:textId="77777777" w:rsidR="001D4AFA" w:rsidRPr="009F2D1E" w:rsidRDefault="001D4AFA" w:rsidP="009F2D1E">
            <w:pPr>
              <w:jc w:val="right"/>
              <w:rPr>
                <w:rFonts w:ascii="Times New Roman" w:hAnsi="Times New Roman"/>
                <w:sz w:val="14"/>
                <w:szCs w:val="14"/>
              </w:rPr>
            </w:pPr>
            <w:r w:rsidRPr="009F2D1E">
              <w:rPr>
                <w:sz w:val="14"/>
                <w:szCs w:val="14"/>
              </w:rPr>
              <w:t>-14022,40</w:t>
            </w:r>
          </w:p>
        </w:tc>
        <w:tc>
          <w:tcPr>
            <w:tcW w:w="1197" w:type="dxa"/>
            <w:tcBorders>
              <w:top w:val="nil"/>
              <w:left w:val="nil"/>
              <w:bottom w:val="single" w:sz="4" w:space="0" w:color="auto"/>
              <w:right w:val="single" w:sz="4" w:space="0" w:color="auto"/>
            </w:tcBorders>
            <w:shd w:val="clear" w:color="000000" w:fill="FFFFFF"/>
            <w:noWrap/>
            <w:vAlign w:val="bottom"/>
            <w:hideMark/>
          </w:tcPr>
          <w:p w14:paraId="0F1E519D" w14:textId="77777777" w:rsidR="001D4AFA" w:rsidRPr="009F2D1E" w:rsidRDefault="001D4AFA" w:rsidP="009F2D1E">
            <w:pPr>
              <w:jc w:val="right"/>
              <w:rPr>
                <w:rFonts w:ascii="Times New Roman" w:hAnsi="Times New Roman"/>
                <w:sz w:val="14"/>
                <w:szCs w:val="14"/>
              </w:rPr>
            </w:pPr>
            <w:r w:rsidRPr="009F2D1E">
              <w:rPr>
                <w:sz w:val="14"/>
                <w:szCs w:val="14"/>
              </w:rPr>
              <w:t>-14022,40</w:t>
            </w:r>
          </w:p>
        </w:tc>
        <w:tc>
          <w:tcPr>
            <w:tcW w:w="1197" w:type="dxa"/>
            <w:tcBorders>
              <w:top w:val="nil"/>
              <w:left w:val="nil"/>
              <w:bottom w:val="single" w:sz="4" w:space="0" w:color="auto"/>
              <w:right w:val="single" w:sz="4" w:space="0" w:color="auto"/>
            </w:tcBorders>
            <w:shd w:val="clear" w:color="000000" w:fill="FFFFFF"/>
            <w:noWrap/>
            <w:vAlign w:val="bottom"/>
            <w:hideMark/>
          </w:tcPr>
          <w:p w14:paraId="192D9A8E" w14:textId="77777777" w:rsidR="001D4AFA" w:rsidRPr="009F2D1E" w:rsidRDefault="001D4AFA" w:rsidP="009F2D1E">
            <w:pPr>
              <w:jc w:val="right"/>
              <w:rPr>
                <w:rFonts w:ascii="Times New Roman" w:hAnsi="Times New Roman"/>
                <w:sz w:val="14"/>
                <w:szCs w:val="14"/>
              </w:rPr>
            </w:pPr>
            <w:r w:rsidRPr="009F2D1E">
              <w:rPr>
                <w:sz w:val="14"/>
                <w:szCs w:val="14"/>
              </w:rPr>
              <w:t>-14298,24</w:t>
            </w:r>
          </w:p>
        </w:tc>
        <w:tc>
          <w:tcPr>
            <w:tcW w:w="1183" w:type="dxa"/>
            <w:tcBorders>
              <w:top w:val="nil"/>
              <w:left w:val="nil"/>
              <w:bottom w:val="single" w:sz="4" w:space="0" w:color="auto"/>
              <w:right w:val="single" w:sz="4" w:space="0" w:color="auto"/>
            </w:tcBorders>
            <w:shd w:val="clear" w:color="000000" w:fill="FFFFFF"/>
            <w:noWrap/>
            <w:vAlign w:val="bottom"/>
            <w:hideMark/>
          </w:tcPr>
          <w:p w14:paraId="058EEBA4" w14:textId="77777777" w:rsidR="001D4AFA" w:rsidRPr="009F2D1E" w:rsidRDefault="001D4AFA" w:rsidP="009F2D1E">
            <w:pPr>
              <w:jc w:val="right"/>
              <w:rPr>
                <w:rFonts w:ascii="Times New Roman" w:hAnsi="Times New Roman"/>
                <w:sz w:val="14"/>
                <w:szCs w:val="14"/>
              </w:rPr>
            </w:pPr>
            <w:r w:rsidRPr="009F2D1E">
              <w:rPr>
                <w:sz w:val="14"/>
                <w:szCs w:val="14"/>
              </w:rPr>
              <w:t>-14531,88</w:t>
            </w:r>
          </w:p>
        </w:tc>
        <w:tc>
          <w:tcPr>
            <w:tcW w:w="1183" w:type="dxa"/>
            <w:tcBorders>
              <w:top w:val="nil"/>
              <w:left w:val="nil"/>
              <w:bottom w:val="single" w:sz="4" w:space="0" w:color="auto"/>
              <w:right w:val="single" w:sz="4" w:space="0" w:color="auto"/>
            </w:tcBorders>
            <w:shd w:val="clear" w:color="000000" w:fill="FFFFFF"/>
            <w:noWrap/>
            <w:vAlign w:val="bottom"/>
            <w:hideMark/>
          </w:tcPr>
          <w:p w14:paraId="56F2B2F1" w14:textId="77777777" w:rsidR="001D4AFA" w:rsidRPr="009F2D1E" w:rsidRDefault="001D4AFA" w:rsidP="009F2D1E">
            <w:pPr>
              <w:jc w:val="right"/>
              <w:rPr>
                <w:rFonts w:ascii="Times New Roman" w:hAnsi="Times New Roman"/>
                <w:sz w:val="14"/>
                <w:szCs w:val="14"/>
              </w:rPr>
            </w:pPr>
            <w:r w:rsidRPr="009F2D1E">
              <w:rPr>
                <w:sz w:val="14"/>
                <w:szCs w:val="14"/>
              </w:rPr>
              <w:t>-14723,04</w:t>
            </w:r>
          </w:p>
        </w:tc>
        <w:tc>
          <w:tcPr>
            <w:tcW w:w="1197" w:type="dxa"/>
            <w:tcBorders>
              <w:top w:val="nil"/>
              <w:left w:val="nil"/>
              <w:bottom w:val="single" w:sz="4" w:space="0" w:color="auto"/>
              <w:right w:val="single" w:sz="4" w:space="0" w:color="auto"/>
            </w:tcBorders>
            <w:shd w:val="clear" w:color="000000" w:fill="FFFFFF"/>
            <w:vAlign w:val="bottom"/>
          </w:tcPr>
          <w:p w14:paraId="37C7A284" w14:textId="77777777" w:rsidR="001D4AFA" w:rsidRPr="009F2D1E" w:rsidRDefault="001D4AFA" w:rsidP="009F2D1E">
            <w:pPr>
              <w:jc w:val="right"/>
              <w:rPr>
                <w:rFonts w:ascii="Times New Roman" w:hAnsi="Times New Roman"/>
                <w:sz w:val="14"/>
                <w:szCs w:val="14"/>
              </w:rPr>
            </w:pPr>
            <w:r w:rsidRPr="009F2D1E">
              <w:rPr>
                <w:sz w:val="14"/>
                <w:szCs w:val="14"/>
              </w:rPr>
              <w:t>-14297,54</w:t>
            </w:r>
          </w:p>
        </w:tc>
      </w:tr>
      <w:tr w:rsidR="001D4AFA" w:rsidRPr="00364545" w14:paraId="7DFFC414"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7754CC0"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D. Wetlands</w:t>
            </w:r>
          </w:p>
        </w:tc>
        <w:tc>
          <w:tcPr>
            <w:tcW w:w="1198" w:type="dxa"/>
            <w:tcBorders>
              <w:top w:val="nil"/>
              <w:left w:val="nil"/>
              <w:bottom w:val="single" w:sz="4" w:space="0" w:color="auto"/>
              <w:right w:val="single" w:sz="4" w:space="0" w:color="auto"/>
            </w:tcBorders>
            <w:shd w:val="clear" w:color="000000" w:fill="FFFFFF"/>
            <w:noWrap/>
            <w:vAlign w:val="bottom"/>
            <w:hideMark/>
          </w:tcPr>
          <w:p w14:paraId="4A0E3598" w14:textId="77777777" w:rsidR="001D4AFA" w:rsidRPr="009F2D1E" w:rsidRDefault="001D4AFA" w:rsidP="009F2D1E">
            <w:pPr>
              <w:jc w:val="right"/>
              <w:rPr>
                <w:rFonts w:ascii="Times New Roman" w:hAnsi="Times New Roman"/>
                <w:sz w:val="14"/>
                <w:szCs w:val="14"/>
              </w:rPr>
            </w:pPr>
            <w:r w:rsidRPr="009F2D1E">
              <w:rPr>
                <w:sz w:val="14"/>
                <w:szCs w:val="14"/>
              </w:rPr>
              <w:t>358,14</w:t>
            </w:r>
          </w:p>
        </w:tc>
        <w:tc>
          <w:tcPr>
            <w:tcW w:w="1197" w:type="dxa"/>
            <w:tcBorders>
              <w:top w:val="nil"/>
              <w:left w:val="nil"/>
              <w:bottom w:val="single" w:sz="4" w:space="0" w:color="auto"/>
              <w:right w:val="single" w:sz="4" w:space="0" w:color="auto"/>
            </w:tcBorders>
            <w:shd w:val="clear" w:color="000000" w:fill="FFFFFF"/>
            <w:noWrap/>
            <w:vAlign w:val="bottom"/>
            <w:hideMark/>
          </w:tcPr>
          <w:p w14:paraId="1E2AF757" w14:textId="77777777" w:rsidR="001D4AFA" w:rsidRPr="009F2D1E" w:rsidRDefault="001D4AFA" w:rsidP="009F2D1E">
            <w:pPr>
              <w:jc w:val="right"/>
              <w:rPr>
                <w:rFonts w:ascii="Times New Roman" w:hAnsi="Times New Roman"/>
                <w:sz w:val="14"/>
                <w:szCs w:val="14"/>
              </w:rPr>
            </w:pPr>
            <w:r w:rsidRPr="009F2D1E">
              <w:rPr>
                <w:sz w:val="14"/>
                <w:szCs w:val="14"/>
              </w:rPr>
              <w:t>358,14</w:t>
            </w:r>
          </w:p>
        </w:tc>
        <w:tc>
          <w:tcPr>
            <w:tcW w:w="1197" w:type="dxa"/>
            <w:tcBorders>
              <w:top w:val="nil"/>
              <w:left w:val="nil"/>
              <w:bottom w:val="single" w:sz="4" w:space="0" w:color="auto"/>
              <w:right w:val="single" w:sz="4" w:space="0" w:color="auto"/>
            </w:tcBorders>
            <w:shd w:val="clear" w:color="000000" w:fill="FFFFFF"/>
            <w:noWrap/>
            <w:vAlign w:val="bottom"/>
            <w:hideMark/>
          </w:tcPr>
          <w:p w14:paraId="715F8664" w14:textId="77777777" w:rsidR="001D4AFA" w:rsidRPr="009F2D1E" w:rsidRDefault="001D4AFA" w:rsidP="009F2D1E">
            <w:pPr>
              <w:jc w:val="right"/>
              <w:rPr>
                <w:rFonts w:ascii="Times New Roman" w:hAnsi="Times New Roman"/>
                <w:sz w:val="14"/>
                <w:szCs w:val="14"/>
              </w:rPr>
            </w:pPr>
            <w:r w:rsidRPr="009F2D1E">
              <w:rPr>
                <w:sz w:val="14"/>
                <w:szCs w:val="14"/>
              </w:rPr>
              <w:t>340,32</w:t>
            </w:r>
          </w:p>
        </w:tc>
        <w:tc>
          <w:tcPr>
            <w:tcW w:w="1183" w:type="dxa"/>
            <w:tcBorders>
              <w:top w:val="nil"/>
              <w:left w:val="nil"/>
              <w:bottom w:val="single" w:sz="4" w:space="0" w:color="auto"/>
              <w:right w:val="single" w:sz="4" w:space="0" w:color="auto"/>
            </w:tcBorders>
            <w:shd w:val="clear" w:color="000000" w:fill="FFFFFF"/>
            <w:noWrap/>
            <w:vAlign w:val="bottom"/>
            <w:hideMark/>
          </w:tcPr>
          <w:p w14:paraId="78B39699" w14:textId="77777777" w:rsidR="001D4AFA" w:rsidRPr="009F2D1E" w:rsidRDefault="001D4AFA" w:rsidP="009F2D1E">
            <w:pPr>
              <w:jc w:val="right"/>
              <w:rPr>
                <w:rFonts w:ascii="Times New Roman" w:hAnsi="Times New Roman"/>
                <w:sz w:val="14"/>
                <w:szCs w:val="14"/>
              </w:rPr>
            </w:pPr>
            <w:r w:rsidRPr="009F2D1E">
              <w:rPr>
                <w:sz w:val="14"/>
                <w:szCs w:val="14"/>
              </w:rPr>
              <w:t>322,14</w:t>
            </w:r>
          </w:p>
        </w:tc>
        <w:tc>
          <w:tcPr>
            <w:tcW w:w="1183" w:type="dxa"/>
            <w:tcBorders>
              <w:top w:val="nil"/>
              <w:left w:val="nil"/>
              <w:bottom w:val="single" w:sz="4" w:space="0" w:color="auto"/>
              <w:right w:val="single" w:sz="4" w:space="0" w:color="auto"/>
            </w:tcBorders>
            <w:shd w:val="clear" w:color="000000" w:fill="FFFFFF"/>
            <w:noWrap/>
            <w:vAlign w:val="bottom"/>
            <w:hideMark/>
          </w:tcPr>
          <w:p w14:paraId="1CA5578E" w14:textId="77777777" w:rsidR="001D4AFA" w:rsidRPr="009F2D1E" w:rsidRDefault="001D4AFA" w:rsidP="009F2D1E">
            <w:pPr>
              <w:jc w:val="right"/>
              <w:rPr>
                <w:rFonts w:ascii="Times New Roman" w:hAnsi="Times New Roman"/>
                <w:sz w:val="14"/>
                <w:szCs w:val="14"/>
              </w:rPr>
            </w:pPr>
            <w:r w:rsidRPr="009F2D1E">
              <w:rPr>
                <w:sz w:val="14"/>
                <w:szCs w:val="14"/>
              </w:rPr>
              <w:t>303,60</w:t>
            </w:r>
          </w:p>
        </w:tc>
        <w:tc>
          <w:tcPr>
            <w:tcW w:w="1197" w:type="dxa"/>
            <w:tcBorders>
              <w:top w:val="nil"/>
              <w:left w:val="nil"/>
              <w:bottom w:val="single" w:sz="4" w:space="0" w:color="auto"/>
              <w:right w:val="single" w:sz="4" w:space="0" w:color="auto"/>
            </w:tcBorders>
            <w:shd w:val="clear" w:color="000000" w:fill="FFFFFF"/>
            <w:vAlign w:val="bottom"/>
          </w:tcPr>
          <w:p w14:paraId="0E1CB2B0" w14:textId="77777777" w:rsidR="001D4AFA" w:rsidRPr="009F2D1E" w:rsidRDefault="001D4AFA" w:rsidP="009F2D1E">
            <w:pPr>
              <w:jc w:val="right"/>
              <w:rPr>
                <w:rFonts w:ascii="Times New Roman" w:hAnsi="Times New Roman"/>
                <w:sz w:val="14"/>
                <w:szCs w:val="14"/>
              </w:rPr>
            </w:pPr>
            <w:r w:rsidRPr="009F2D1E">
              <w:rPr>
                <w:sz w:val="14"/>
                <w:szCs w:val="14"/>
              </w:rPr>
              <w:t>379,00</w:t>
            </w:r>
          </w:p>
        </w:tc>
      </w:tr>
      <w:tr w:rsidR="001D4AFA" w:rsidRPr="00364545" w14:paraId="16ECF867"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81231AB"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 xml:space="preserve">E. Settlements </w:t>
            </w:r>
          </w:p>
        </w:tc>
        <w:tc>
          <w:tcPr>
            <w:tcW w:w="1198" w:type="dxa"/>
            <w:tcBorders>
              <w:top w:val="nil"/>
              <w:left w:val="nil"/>
              <w:bottom w:val="single" w:sz="4" w:space="0" w:color="auto"/>
              <w:right w:val="single" w:sz="4" w:space="0" w:color="auto"/>
            </w:tcBorders>
            <w:shd w:val="clear" w:color="000000" w:fill="FFFFFF"/>
            <w:noWrap/>
            <w:vAlign w:val="bottom"/>
            <w:hideMark/>
          </w:tcPr>
          <w:p w14:paraId="4D085772" w14:textId="77777777" w:rsidR="001D4AFA" w:rsidRPr="009F2D1E" w:rsidRDefault="001D4AFA" w:rsidP="009F2D1E">
            <w:pPr>
              <w:jc w:val="right"/>
              <w:rPr>
                <w:rFonts w:ascii="Times New Roman" w:hAnsi="Times New Roman"/>
                <w:sz w:val="14"/>
                <w:szCs w:val="14"/>
              </w:rPr>
            </w:pPr>
            <w:r w:rsidRPr="009F2D1E">
              <w:rPr>
                <w:sz w:val="14"/>
                <w:szCs w:val="14"/>
              </w:rPr>
              <w:t>9091,58</w:t>
            </w:r>
          </w:p>
        </w:tc>
        <w:tc>
          <w:tcPr>
            <w:tcW w:w="1197" w:type="dxa"/>
            <w:tcBorders>
              <w:top w:val="nil"/>
              <w:left w:val="nil"/>
              <w:bottom w:val="single" w:sz="4" w:space="0" w:color="auto"/>
              <w:right w:val="single" w:sz="4" w:space="0" w:color="auto"/>
            </w:tcBorders>
            <w:shd w:val="clear" w:color="000000" w:fill="FFFFFF"/>
            <w:noWrap/>
            <w:vAlign w:val="bottom"/>
            <w:hideMark/>
          </w:tcPr>
          <w:p w14:paraId="540F8096" w14:textId="77777777" w:rsidR="001D4AFA" w:rsidRPr="009F2D1E" w:rsidRDefault="001D4AFA" w:rsidP="009F2D1E">
            <w:pPr>
              <w:jc w:val="right"/>
              <w:rPr>
                <w:rFonts w:ascii="Times New Roman" w:hAnsi="Times New Roman"/>
                <w:sz w:val="14"/>
                <w:szCs w:val="14"/>
              </w:rPr>
            </w:pPr>
            <w:r w:rsidRPr="009F2D1E">
              <w:rPr>
                <w:sz w:val="14"/>
                <w:szCs w:val="14"/>
              </w:rPr>
              <w:t>9091,58</w:t>
            </w:r>
          </w:p>
        </w:tc>
        <w:tc>
          <w:tcPr>
            <w:tcW w:w="1197" w:type="dxa"/>
            <w:tcBorders>
              <w:top w:val="nil"/>
              <w:left w:val="nil"/>
              <w:bottom w:val="single" w:sz="4" w:space="0" w:color="auto"/>
              <w:right w:val="single" w:sz="4" w:space="0" w:color="auto"/>
            </w:tcBorders>
            <w:shd w:val="clear" w:color="000000" w:fill="FFFFFF"/>
            <w:noWrap/>
            <w:vAlign w:val="bottom"/>
            <w:hideMark/>
          </w:tcPr>
          <w:p w14:paraId="71C4E1F7" w14:textId="77777777" w:rsidR="001D4AFA" w:rsidRPr="009F2D1E" w:rsidRDefault="001D4AFA" w:rsidP="009F2D1E">
            <w:pPr>
              <w:jc w:val="right"/>
              <w:rPr>
                <w:rFonts w:ascii="Times New Roman" w:hAnsi="Times New Roman"/>
                <w:sz w:val="14"/>
                <w:szCs w:val="14"/>
              </w:rPr>
            </w:pPr>
            <w:r w:rsidRPr="009F2D1E">
              <w:rPr>
                <w:sz w:val="14"/>
                <w:szCs w:val="14"/>
              </w:rPr>
              <w:t>9019,09</w:t>
            </w:r>
          </w:p>
        </w:tc>
        <w:tc>
          <w:tcPr>
            <w:tcW w:w="1183" w:type="dxa"/>
            <w:tcBorders>
              <w:top w:val="nil"/>
              <w:left w:val="nil"/>
              <w:bottom w:val="single" w:sz="4" w:space="0" w:color="auto"/>
              <w:right w:val="single" w:sz="4" w:space="0" w:color="auto"/>
            </w:tcBorders>
            <w:shd w:val="clear" w:color="000000" w:fill="FFFFFF"/>
            <w:noWrap/>
            <w:vAlign w:val="bottom"/>
            <w:hideMark/>
          </w:tcPr>
          <w:p w14:paraId="291DBB04" w14:textId="77777777" w:rsidR="001D4AFA" w:rsidRPr="009F2D1E" w:rsidRDefault="001D4AFA" w:rsidP="009F2D1E">
            <w:pPr>
              <w:jc w:val="right"/>
              <w:rPr>
                <w:rFonts w:ascii="Times New Roman" w:hAnsi="Times New Roman"/>
                <w:sz w:val="14"/>
                <w:szCs w:val="14"/>
              </w:rPr>
            </w:pPr>
            <w:r w:rsidRPr="009F2D1E">
              <w:rPr>
                <w:sz w:val="14"/>
                <w:szCs w:val="14"/>
              </w:rPr>
              <w:t>8961,74</w:t>
            </w:r>
          </w:p>
        </w:tc>
        <w:tc>
          <w:tcPr>
            <w:tcW w:w="1183" w:type="dxa"/>
            <w:tcBorders>
              <w:top w:val="nil"/>
              <w:left w:val="nil"/>
              <w:bottom w:val="single" w:sz="4" w:space="0" w:color="auto"/>
              <w:right w:val="single" w:sz="4" w:space="0" w:color="auto"/>
            </w:tcBorders>
            <w:shd w:val="clear" w:color="000000" w:fill="FFFFFF"/>
            <w:noWrap/>
            <w:vAlign w:val="bottom"/>
            <w:hideMark/>
          </w:tcPr>
          <w:p w14:paraId="749C4CB6" w14:textId="77777777" w:rsidR="001D4AFA" w:rsidRPr="009F2D1E" w:rsidRDefault="001D4AFA" w:rsidP="009F2D1E">
            <w:pPr>
              <w:jc w:val="right"/>
              <w:rPr>
                <w:rFonts w:ascii="Times New Roman" w:hAnsi="Times New Roman"/>
                <w:sz w:val="14"/>
                <w:szCs w:val="14"/>
              </w:rPr>
            </w:pPr>
            <w:r w:rsidRPr="009F2D1E">
              <w:rPr>
                <w:sz w:val="14"/>
                <w:szCs w:val="14"/>
              </w:rPr>
              <w:t>8924,17</w:t>
            </w:r>
          </w:p>
        </w:tc>
        <w:tc>
          <w:tcPr>
            <w:tcW w:w="1197" w:type="dxa"/>
            <w:tcBorders>
              <w:top w:val="nil"/>
              <w:left w:val="nil"/>
              <w:bottom w:val="single" w:sz="4" w:space="0" w:color="auto"/>
              <w:right w:val="single" w:sz="4" w:space="0" w:color="auto"/>
            </w:tcBorders>
            <w:shd w:val="clear" w:color="000000" w:fill="FFFFFF"/>
            <w:vAlign w:val="bottom"/>
          </w:tcPr>
          <w:p w14:paraId="2B37CE2A" w14:textId="77777777" w:rsidR="001D4AFA" w:rsidRPr="009F2D1E" w:rsidRDefault="001D4AFA" w:rsidP="009F2D1E">
            <w:pPr>
              <w:jc w:val="right"/>
              <w:rPr>
                <w:rFonts w:ascii="Times New Roman" w:hAnsi="Times New Roman"/>
                <w:sz w:val="14"/>
                <w:szCs w:val="14"/>
              </w:rPr>
            </w:pPr>
            <w:r w:rsidRPr="009F2D1E">
              <w:rPr>
                <w:sz w:val="14"/>
                <w:szCs w:val="14"/>
              </w:rPr>
              <w:t>9416,36</w:t>
            </w:r>
          </w:p>
        </w:tc>
      </w:tr>
      <w:tr w:rsidR="001D4AFA" w:rsidRPr="00364545" w14:paraId="3295564C"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C02446A"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F. Other land</w:t>
            </w:r>
          </w:p>
        </w:tc>
        <w:tc>
          <w:tcPr>
            <w:tcW w:w="1198" w:type="dxa"/>
            <w:tcBorders>
              <w:top w:val="nil"/>
              <w:left w:val="nil"/>
              <w:bottom w:val="single" w:sz="4" w:space="0" w:color="auto"/>
              <w:right w:val="single" w:sz="4" w:space="0" w:color="auto"/>
            </w:tcBorders>
            <w:shd w:val="clear" w:color="000000" w:fill="FFFFFF"/>
            <w:noWrap/>
            <w:vAlign w:val="bottom"/>
            <w:hideMark/>
          </w:tcPr>
          <w:p w14:paraId="1E07447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17D963CB"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09D613D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74C35E8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060DD82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5C292C4C"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300D85F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61C70A9"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G. Harvested wood products</w:t>
            </w:r>
          </w:p>
        </w:tc>
        <w:tc>
          <w:tcPr>
            <w:tcW w:w="1198" w:type="dxa"/>
            <w:tcBorders>
              <w:top w:val="nil"/>
              <w:left w:val="nil"/>
              <w:bottom w:val="single" w:sz="4" w:space="0" w:color="auto"/>
              <w:right w:val="single" w:sz="4" w:space="0" w:color="auto"/>
            </w:tcBorders>
            <w:shd w:val="clear" w:color="000000" w:fill="FFFFFF"/>
            <w:noWrap/>
            <w:vAlign w:val="bottom"/>
            <w:hideMark/>
          </w:tcPr>
          <w:p w14:paraId="2C1ACF13" w14:textId="77777777" w:rsidR="001D4AFA" w:rsidRPr="009F2D1E" w:rsidRDefault="001D4AFA" w:rsidP="009F2D1E">
            <w:pPr>
              <w:jc w:val="right"/>
              <w:rPr>
                <w:rFonts w:ascii="Times New Roman" w:hAnsi="Times New Roman"/>
                <w:sz w:val="14"/>
                <w:szCs w:val="14"/>
              </w:rPr>
            </w:pPr>
            <w:r w:rsidRPr="009F2D1E">
              <w:rPr>
                <w:sz w:val="14"/>
                <w:szCs w:val="14"/>
              </w:rPr>
              <w:t>-5100,21</w:t>
            </w:r>
          </w:p>
        </w:tc>
        <w:tc>
          <w:tcPr>
            <w:tcW w:w="1197" w:type="dxa"/>
            <w:tcBorders>
              <w:top w:val="nil"/>
              <w:left w:val="nil"/>
              <w:bottom w:val="single" w:sz="4" w:space="0" w:color="auto"/>
              <w:right w:val="single" w:sz="4" w:space="0" w:color="auto"/>
            </w:tcBorders>
            <w:shd w:val="clear" w:color="000000" w:fill="FFFFFF"/>
            <w:noWrap/>
            <w:vAlign w:val="bottom"/>
            <w:hideMark/>
          </w:tcPr>
          <w:p w14:paraId="1B86D0EA" w14:textId="77777777" w:rsidR="001D4AFA" w:rsidRPr="009F2D1E" w:rsidRDefault="001D4AFA" w:rsidP="009F2D1E">
            <w:pPr>
              <w:jc w:val="right"/>
              <w:rPr>
                <w:rFonts w:ascii="Times New Roman" w:hAnsi="Times New Roman"/>
                <w:sz w:val="14"/>
                <w:szCs w:val="14"/>
              </w:rPr>
            </w:pPr>
            <w:r w:rsidRPr="009F2D1E">
              <w:rPr>
                <w:sz w:val="14"/>
                <w:szCs w:val="14"/>
              </w:rPr>
              <w:t>-5100,21</w:t>
            </w:r>
          </w:p>
        </w:tc>
        <w:tc>
          <w:tcPr>
            <w:tcW w:w="1197" w:type="dxa"/>
            <w:tcBorders>
              <w:top w:val="nil"/>
              <w:left w:val="nil"/>
              <w:bottom w:val="single" w:sz="4" w:space="0" w:color="auto"/>
              <w:right w:val="single" w:sz="4" w:space="0" w:color="auto"/>
            </w:tcBorders>
            <w:shd w:val="clear" w:color="000000" w:fill="FFFFFF"/>
            <w:noWrap/>
            <w:vAlign w:val="bottom"/>
            <w:hideMark/>
          </w:tcPr>
          <w:p w14:paraId="1E095FA6" w14:textId="77777777" w:rsidR="001D4AFA" w:rsidRPr="009F2D1E" w:rsidRDefault="001D4AFA" w:rsidP="009F2D1E">
            <w:pPr>
              <w:jc w:val="right"/>
              <w:rPr>
                <w:rFonts w:ascii="Times New Roman" w:hAnsi="Times New Roman"/>
                <w:sz w:val="14"/>
                <w:szCs w:val="14"/>
              </w:rPr>
            </w:pPr>
            <w:r w:rsidRPr="009F2D1E">
              <w:rPr>
                <w:sz w:val="14"/>
                <w:szCs w:val="14"/>
              </w:rPr>
              <w:t>-4846,39</w:t>
            </w:r>
          </w:p>
        </w:tc>
        <w:tc>
          <w:tcPr>
            <w:tcW w:w="1183" w:type="dxa"/>
            <w:tcBorders>
              <w:top w:val="nil"/>
              <w:left w:val="nil"/>
              <w:bottom w:val="single" w:sz="4" w:space="0" w:color="auto"/>
              <w:right w:val="single" w:sz="4" w:space="0" w:color="auto"/>
            </w:tcBorders>
            <w:shd w:val="clear" w:color="000000" w:fill="FFFFFF"/>
            <w:noWrap/>
            <w:vAlign w:val="bottom"/>
            <w:hideMark/>
          </w:tcPr>
          <w:p w14:paraId="68A73772" w14:textId="77777777" w:rsidR="001D4AFA" w:rsidRPr="009F2D1E" w:rsidRDefault="001D4AFA" w:rsidP="009F2D1E">
            <w:pPr>
              <w:jc w:val="right"/>
              <w:rPr>
                <w:rFonts w:ascii="Times New Roman" w:hAnsi="Times New Roman"/>
                <w:sz w:val="14"/>
                <w:szCs w:val="14"/>
              </w:rPr>
            </w:pPr>
            <w:r w:rsidRPr="009F2D1E">
              <w:rPr>
                <w:sz w:val="14"/>
                <w:szCs w:val="14"/>
              </w:rPr>
              <w:t>-2921,17</w:t>
            </w:r>
          </w:p>
        </w:tc>
        <w:tc>
          <w:tcPr>
            <w:tcW w:w="1183" w:type="dxa"/>
            <w:tcBorders>
              <w:top w:val="nil"/>
              <w:left w:val="nil"/>
              <w:bottom w:val="single" w:sz="4" w:space="0" w:color="auto"/>
              <w:right w:val="single" w:sz="4" w:space="0" w:color="auto"/>
            </w:tcBorders>
            <w:shd w:val="clear" w:color="000000" w:fill="FFFFFF"/>
            <w:noWrap/>
            <w:vAlign w:val="bottom"/>
            <w:hideMark/>
          </w:tcPr>
          <w:p w14:paraId="72070FF0" w14:textId="77777777" w:rsidR="001D4AFA" w:rsidRPr="009F2D1E" w:rsidRDefault="001D4AFA" w:rsidP="009F2D1E">
            <w:pPr>
              <w:jc w:val="right"/>
              <w:rPr>
                <w:rFonts w:ascii="Times New Roman" w:hAnsi="Times New Roman"/>
                <w:sz w:val="14"/>
                <w:szCs w:val="14"/>
              </w:rPr>
            </w:pPr>
            <w:r w:rsidRPr="009F2D1E">
              <w:rPr>
                <w:sz w:val="14"/>
                <w:szCs w:val="14"/>
              </w:rPr>
              <w:t>-1774,98</w:t>
            </w:r>
          </w:p>
        </w:tc>
        <w:tc>
          <w:tcPr>
            <w:tcW w:w="1197" w:type="dxa"/>
            <w:tcBorders>
              <w:top w:val="nil"/>
              <w:left w:val="nil"/>
              <w:bottom w:val="single" w:sz="4" w:space="0" w:color="auto"/>
              <w:right w:val="single" w:sz="4" w:space="0" w:color="auto"/>
            </w:tcBorders>
            <w:shd w:val="clear" w:color="000000" w:fill="FFFFFF"/>
            <w:vAlign w:val="bottom"/>
          </w:tcPr>
          <w:p w14:paraId="13FB703D" w14:textId="77777777" w:rsidR="001D4AFA" w:rsidRPr="009F2D1E" w:rsidRDefault="001D4AFA" w:rsidP="009F2D1E">
            <w:pPr>
              <w:jc w:val="right"/>
              <w:rPr>
                <w:rFonts w:ascii="Times New Roman" w:hAnsi="Times New Roman"/>
                <w:sz w:val="14"/>
                <w:szCs w:val="14"/>
              </w:rPr>
            </w:pPr>
            <w:r w:rsidRPr="009F2D1E">
              <w:rPr>
                <w:sz w:val="14"/>
                <w:szCs w:val="14"/>
              </w:rPr>
              <w:t>-2666,21</w:t>
            </w:r>
          </w:p>
        </w:tc>
      </w:tr>
      <w:tr w:rsidR="001D4AFA" w:rsidRPr="00364545" w14:paraId="6E3BD966"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1DA0CBC"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H. Other</w:t>
            </w:r>
            <w:r w:rsidRPr="00364545">
              <w:rPr>
                <w:rFonts w:asciiTheme="majorHAnsi" w:hAnsiTheme="majorHAnsi"/>
                <w:i/>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75274942"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7F325552"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49001DC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24843AC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7FCFE76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65EDC8C3" w14:textId="77777777" w:rsidR="001D4AFA" w:rsidRPr="009F2D1E" w:rsidRDefault="001D4AFA" w:rsidP="009F2D1E">
            <w:pPr>
              <w:jc w:val="right"/>
              <w:rPr>
                <w:rFonts w:ascii="Times New Roman" w:hAnsi="Times New Roman"/>
                <w:sz w:val="14"/>
                <w:szCs w:val="14"/>
              </w:rPr>
            </w:pPr>
            <w:r w:rsidRPr="009F2D1E">
              <w:rPr>
                <w:sz w:val="14"/>
                <w:szCs w:val="14"/>
              </w:rPr>
              <w:t>1034,00</w:t>
            </w:r>
          </w:p>
        </w:tc>
      </w:tr>
      <w:tr w:rsidR="001D4AFA" w:rsidRPr="00364545" w14:paraId="27B0552B"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91001DD"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5. Waste</w:t>
            </w:r>
          </w:p>
        </w:tc>
        <w:tc>
          <w:tcPr>
            <w:tcW w:w="1198" w:type="dxa"/>
            <w:tcBorders>
              <w:top w:val="nil"/>
              <w:left w:val="nil"/>
              <w:bottom w:val="single" w:sz="4" w:space="0" w:color="auto"/>
              <w:right w:val="single" w:sz="4" w:space="0" w:color="auto"/>
            </w:tcBorders>
            <w:shd w:val="clear" w:color="000000" w:fill="CCFFFF"/>
            <w:noWrap/>
            <w:vAlign w:val="bottom"/>
            <w:hideMark/>
          </w:tcPr>
          <w:p w14:paraId="46242CAA" w14:textId="77777777" w:rsidR="001D4AFA" w:rsidRPr="009F2D1E" w:rsidRDefault="001D4AFA" w:rsidP="009F2D1E">
            <w:pPr>
              <w:jc w:val="right"/>
              <w:rPr>
                <w:rFonts w:ascii="Times New Roman" w:hAnsi="Times New Roman"/>
                <w:sz w:val="14"/>
                <w:szCs w:val="14"/>
              </w:rPr>
            </w:pPr>
            <w:r w:rsidRPr="009F2D1E">
              <w:rPr>
                <w:sz w:val="14"/>
                <w:szCs w:val="14"/>
              </w:rPr>
              <w:t>2194,21</w:t>
            </w:r>
          </w:p>
        </w:tc>
        <w:tc>
          <w:tcPr>
            <w:tcW w:w="1197" w:type="dxa"/>
            <w:tcBorders>
              <w:top w:val="nil"/>
              <w:left w:val="nil"/>
              <w:bottom w:val="single" w:sz="4" w:space="0" w:color="auto"/>
              <w:right w:val="single" w:sz="4" w:space="0" w:color="auto"/>
            </w:tcBorders>
            <w:shd w:val="clear" w:color="000000" w:fill="CCFFFF"/>
            <w:noWrap/>
            <w:vAlign w:val="bottom"/>
            <w:hideMark/>
          </w:tcPr>
          <w:p w14:paraId="74D24421" w14:textId="77777777" w:rsidR="001D4AFA" w:rsidRPr="009F2D1E" w:rsidRDefault="001D4AFA" w:rsidP="009F2D1E">
            <w:pPr>
              <w:jc w:val="right"/>
              <w:rPr>
                <w:rFonts w:ascii="Times New Roman" w:hAnsi="Times New Roman"/>
                <w:sz w:val="14"/>
                <w:szCs w:val="14"/>
              </w:rPr>
            </w:pPr>
            <w:r w:rsidRPr="009F2D1E">
              <w:rPr>
                <w:sz w:val="14"/>
                <w:szCs w:val="14"/>
              </w:rPr>
              <w:t>2194,21</w:t>
            </w:r>
          </w:p>
        </w:tc>
        <w:tc>
          <w:tcPr>
            <w:tcW w:w="1197" w:type="dxa"/>
            <w:tcBorders>
              <w:top w:val="nil"/>
              <w:left w:val="nil"/>
              <w:bottom w:val="single" w:sz="4" w:space="0" w:color="auto"/>
              <w:right w:val="single" w:sz="4" w:space="0" w:color="auto"/>
            </w:tcBorders>
            <w:shd w:val="clear" w:color="000000" w:fill="CCFFFF"/>
            <w:noWrap/>
            <w:vAlign w:val="bottom"/>
            <w:hideMark/>
          </w:tcPr>
          <w:p w14:paraId="418CA60A" w14:textId="77777777" w:rsidR="001D4AFA" w:rsidRPr="009F2D1E" w:rsidRDefault="001D4AFA" w:rsidP="009F2D1E">
            <w:pPr>
              <w:jc w:val="right"/>
              <w:rPr>
                <w:rFonts w:ascii="Times New Roman" w:hAnsi="Times New Roman"/>
                <w:sz w:val="14"/>
                <w:szCs w:val="14"/>
              </w:rPr>
            </w:pPr>
            <w:r w:rsidRPr="009F2D1E">
              <w:rPr>
                <w:sz w:val="14"/>
                <w:szCs w:val="14"/>
              </w:rPr>
              <w:t>2193,82</w:t>
            </w:r>
          </w:p>
        </w:tc>
        <w:tc>
          <w:tcPr>
            <w:tcW w:w="1183" w:type="dxa"/>
            <w:tcBorders>
              <w:top w:val="nil"/>
              <w:left w:val="nil"/>
              <w:bottom w:val="single" w:sz="4" w:space="0" w:color="auto"/>
              <w:right w:val="single" w:sz="4" w:space="0" w:color="auto"/>
            </w:tcBorders>
            <w:shd w:val="clear" w:color="000000" w:fill="CCFFFF"/>
            <w:noWrap/>
            <w:vAlign w:val="bottom"/>
            <w:hideMark/>
          </w:tcPr>
          <w:p w14:paraId="4BCAB7CE" w14:textId="77777777" w:rsidR="001D4AFA" w:rsidRPr="009F2D1E" w:rsidRDefault="001D4AFA" w:rsidP="009F2D1E">
            <w:pPr>
              <w:jc w:val="right"/>
              <w:rPr>
                <w:rFonts w:ascii="Times New Roman" w:hAnsi="Times New Roman"/>
                <w:sz w:val="14"/>
                <w:szCs w:val="14"/>
              </w:rPr>
            </w:pPr>
            <w:r w:rsidRPr="009F2D1E">
              <w:rPr>
                <w:sz w:val="14"/>
                <w:szCs w:val="14"/>
              </w:rPr>
              <w:t>2234,86</w:t>
            </w:r>
          </w:p>
        </w:tc>
        <w:tc>
          <w:tcPr>
            <w:tcW w:w="1183" w:type="dxa"/>
            <w:tcBorders>
              <w:top w:val="nil"/>
              <w:left w:val="nil"/>
              <w:bottom w:val="single" w:sz="4" w:space="0" w:color="auto"/>
              <w:right w:val="single" w:sz="4" w:space="0" w:color="auto"/>
            </w:tcBorders>
            <w:shd w:val="clear" w:color="000000" w:fill="CCFFFF"/>
            <w:noWrap/>
            <w:vAlign w:val="bottom"/>
            <w:hideMark/>
          </w:tcPr>
          <w:p w14:paraId="3AFA4270" w14:textId="77777777" w:rsidR="001D4AFA" w:rsidRPr="009F2D1E" w:rsidRDefault="001D4AFA" w:rsidP="009F2D1E">
            <w:pPr>
              <w:jc w:val="right"/>
              <w:rPr>
                <w:rFonts w:ascii="Times New Roman" w:hAnsi="Times New Roman"/>
                <w:sz w:val="14"/>
                <w:szCs w:val="14"/>
              </w:rPr>
            </w:pPr>
            <w:r w:rsidRPr="009F2D1E">
              <w:rPr>
                <w:sz w:val="14"/>
                <w:szCs w:val="14"/>
              </w:rPr>
              <w:t>2221,20</w:t>
            </w:r>
          </w:p>
        </w:tc>
        <w:tc>
          <w:tcPr>
            <w:tcW w:w="1197" w:type="dxa"/>
            <w:tcBorders>
              <w:top w:val="nil"/>
              <w:left w:val="nil"/>
              <w:bottom w:val="single" w:sz="4" w:space="0" w:color="auto"/>
              <w:right w:val="single" w:sz="4" w:space="0" w:color="auto"/>
            </w:tcBorders>
            <w:shd w:val="clear" w:color="000000" w:fill="CCFFFF"/>
            <w:vAlign w:val="bottom"/>
          </w:tcPr>
          <w:p w14:paraId="2DD38C0B" w14:textId="77777777" w:rsidR="001D4AFA" w:rsidRPr="009F2D1E" w:rsidRDefault="001D4AFA" w:rsidP="009F2D1E">
            <w:pPr>
              <w:jc w:val="right"/>
              <w:rPr>
                <w:rFonts w:ascii="Times New Roman" w:hAnsi="Times New Roman"/>
                <w:sz w:val="14"/>
                <w:szCs w:val="14"/>
              </w:rPr>
            </w:pPr>
            <w:r w:rsidRPr="009F2D1E">
              <w:rPr>
                <w:sz w:val="14"/>
                <w:szCs w:val="14"/>
              </w:rPr>
              <w:t>2272,76</w:t>
            </w:r>
          </w:p>
        </w:tc>
      </w:tr>
      <w:tr w:rsidR="001D4AFA" w:rsidRPr="00364545" w14:paraId="1723D269"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2C01DED"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A. Solid waste disposal</w:t>
            </w:r>
            <w:r w:rsidRPr="00364545">
              <w:rPr>
                <w:rFonts w:asciiTheme="majorHAnsi" w:hAnsiTheme="majorHAnsi"/>
                <w:b/>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0F48D5A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FFFFFF"/>
            <w:noWrap/>
            <w:vAlign w:val="bottom"/>
            <w:hideMark/>
          </w:tcPr>
          <w:p w14:paraId="783854BB"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FFFFFF"/>
            <w:noWrap/>
            <w:vAlign w:val="bottom"/>
            <w:hideMark/>
          </w:tcPr>
          <w:p w14:paraId="2417829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FFFFFF"/>
            <w:noWrap/>
            <w:vAlign w:val="bottom"/>
            <w:hideMark/>
          </w:tcPr>
          <w:p w14:paraId="34F8DF9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FFFFFF"/>
            <w:noWrap/>
            <w:vAlign w:val="bottom"/>
            <w:hideMark/>
          </w:tcPr>
          <w:p w14:paraId="4AA6D223"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FFFFFF"/>
            <w:vAlign w:val="bottom"/>
          </w:tcPr>
          <w:p w14:paraId="7CD87595"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7D9A7C22"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544BD498"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B. Biological treatment of solid waste</w:t>
            </w:r>
          </w:p>
        </w:tc>
        <w:tc>
          <w:tcPr>
            <w:tcW w:w="1198" w:type="dxa"/>
            <w:tcBorders>
              <w:top w:val="nil"/>
              <w:left w:val="nil"/>
              <w:bottom w:val="single" w:sz="4" w:space="0" w:color="auto"/>
              <w:right w:val="single" w:sz="4" w:space="0" w:color="auto"/>
            </w:tcBorders>
            <w:shd w:val="clear" w:color="000000" w:fill="FFFFFF"/>
            <w:noWrap/>
            <w:vAlign w:val="bottom"/>
            <w:hideMark/>
          </w:tcPr>
          <w:p w14:paraId="7C27ABD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18F9965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3A09DCC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27678F3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AEE116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2A1EE09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0E1A9A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A99138C"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C. Incineration and open burning of waste</w:t>
            </w:r>
          </w:p>
        </w:tc>
        <w:tc>
          <w:tcPr>
            <w:tcW w:w="1198" w:type="dxa"/>
            <w:tcBorders>
              <w:top w:val="nil"/>
              <w:left w:val="nil"/>
              <w:bottom w:val="single" w:sz="4" w:space="0" w:color="auto"/>
              <w:right w:val="single" w:sz="4" w:space="0" w:color="auto"/>
            </w:tcBorders>
            <w:shd w:val="clear" w:color="000000" w:fill="FFFFFF"/>
            <w:noWrap/>
            <w:vAlign w:val="bottom"/>
            <w:hideMark/>
          </w:tcPr>
          <w:p w14:paraId="4D8FAA9D" w14:textId="77777777" w:rsidR="001D4AFA" w:rsidRPr="009F2D1E" w:rsidRDefault="001D4AFA" w:rsidP="009F2D1E">
            <w:pPr>
              <w:jc w:val="right"/>
              <w:rPr>
                <w:rFonts w:ascii="Times New Roman" w:hAnsi="Times New Roman"/>
                <w:sz w:val="14"/>
                <w:szCs w:val="14"/>
              </w:rPr>
            </w:pPr>
            <w:r w:rsidRPr="009F2D1E">
              <w:rPr>
                <w:sz w:val="14"/>
                <w:szCs w:val="14"/>
              </w:rPr>
              <w:t>2194,21</w:t>
            </w:r>
          </w:p>
        </w:tc>
        <w:tc>
          <w:tcPr>
            <w:tcW w:w="1197" w:type="dxa"/>
            <w:tcBorders>
              <w:top w:val="nil"/>
              <w:left w:val="nil"/>
              <w:bottom w:val="single" w:sz="4" w:space="0" w:color="auto"/>
              <w:right w:val="single" w:sz="4" w:space="0" w:color="auto"/>
            </w:tcBorders>
            <w:shd w:val="clear" w:color="000000" w:fill="FFFFFF"/>
            <w:noWrap/>
            <w:vAlign w:val="bottom"/>
            <w:hideMark/>
          </w:tcPr>
          <w:p w14:paraId="1B913130" w14:textId="77777777" w:rsidR="001D4AFA" w:rsidRPr="009F2D1E" w:rsidRDefault="001D4AFA" w:rsidP="009F2D1E">
            <w:pPr>
              <w:jc w:val="right"/>
              <w:rPr>
                <w:rFonts w:ascii="Times New Roman" w:hAnsi="Times New Roman"/>
                <w:sz w:val="14"/>
                <w:szCs w:val="14"/>
              </w:rPr>
            </w:pPr>
            <w:r w:rsidRPr="009F2D1E">
              <w:rPr>
                <w:sz w:val="14"/>
                <w:szCs w:val="14"/>
              </w:rPr>
              <w:t>2194,21</w:t>
            </w:r>
          </w:p>
        </w:tc>
        <w:tc>
          <w:tcPr>
            <w:tcW w:w="1197" w:type="dxa"/>
            <w:tcBorders>
              <w:top w:val="nil"/>
              <w:left w:val="nil"/>
              <w:bottom w:val="single" w:sz="4" w:space="0" w:color="auto"/>
              <w:right w:val="single" w:sz="4" w:space="0" w:color="auto"/>
            </w:tcBorders>
            <w:shd w:val="clear" w:color="000000" w:fill="FFFFFF"/>
            <w:noWrap/>
            <w:vAlign w:val="bottom"/>
            <w:hideMark/>
          </w:tcPr>
          <w:p w14:paraId="2C18C459" w14:textId="77777777" w:rsidR="001D4AFA" w:rsidRPr="009F2D1E" w:rsidRDefault="001D4AFA" w:rsidP="009F2D1E">
            <w:pPr>
              <w:jc w:val="right"/>
              <w:rPr>
                <w:rFonts w:ascii="Times New Roman" w:hAnsi="Times New Roman"/>
                <w:sz w:val="14"/>
                <w:szCs w:val="14"/>
              </w:rPr>
            </w:pPr>
            <w:r w:rsidRPr="009F2D1E">
              <w:rPr>
                <w:sz w:val="14"/>
                <w:szCs w:val="14"/>
              </w:rPr>
              <w:t>2193,82</w:t>
            </w:r>
          </w:p>
        </w:tc>
        <w:tc>
          <w:tcPr>
            <w:tcW w:w="1183" w:type="dxa"/>
            <w:tcBorders>
              <w:top w:val="nil"/>
              <w:left w:val="nil"/>
              <w:bottom w:val="single" w:sz="4" w:space="0" w:color="auto"/>
              <w:right w:val="single" w:sz="4" w:space="0" w:color="auto"/>
            </w:tcBorders>
            <w:shd w:val="clear" w:color="000000" w:fill="FFFFFF"/>
            <w:noWrap/>
            <w:vAlign w:val="bottom"/>
            <w:hideMark/>
          </w:tcPr>
          <w:p w14:paraId="4D314FDD" w14:textId="77777777" w:rsidR="001D4AFA" w:rsidRPr="009F2D1E" w:rsidRDefault="001D4AFA" w:rsidP="009F2D1E">
            <w:pPr>
              <w:jc w:val="right"/>
              <w:rPr>
                <w:rFonts w:ascii="Times New Roman" w:hAnsi="Times New Roman"/>
                <w:sz w:val="14"/>
                <w:szCs w:val="14"/>
              </w:rPr>
            </w:pPr>
            <w:r w:rsidRPr="009F2D1E">
              <w:rPr>
                <w:sz w:val="14"/>
                <w:szCs w:val="14"/>
              </w:rPr>
              <w:t>2234,86</w:t>
            </w:r>
          </w:p>
        </w:tc>
        <w:tc>
          <w:tcPr>
            <w:tcW w:w="1183" w:type="dxa"/>
            <w:tcBorders>
              <w:top w:val="nil"/>
              <w:left w:val="nil"/>
              <w:bottom w:val="single" w:sz="4" w:space="0" w:color="auto"/>
              <w:right w:val="single" w:sz="4" w:space="0" w:color="auto"/>
            </w:tcBorders>
            <w:shd w:val="clear" w:color="000000" w:fill="FFFFFF"/>
            <w:noWrap/>
            <w:vAlign w:val="bottom"/>
            <w:hideMark/>
          </w:tcPr>
          <w:p w14:paraId="77D1C0B3" w14:textId="77777777" w:rsidR="001D4AFA" w:rsidRPr="009F2D1E" w:rsidRDefault="001D4AFA" w:rsidP="009F2D1E">
            <w:pPr>
              <w:jc w:val="right"/>
              <w:rPr>
                <w:rFonts w:ascii="Times New Roman" w:hAnsi="Times New Roman"/>
                <w:sz w:val="14"/>
                <w:szCs w:val="14"/>
              </w:rPr>
            </w:pPr>
            <w:r w:rsidRPr="009F2D1E">
              <w:rPr>
                <w:sz w:val="14"/>
                <w:szCs w:val="14"/>
              </w:rPr>
              <w:t>2221,20</w:t>
            </w:r>
          </w:p>
        </w:tc>
        <w:tc>
          <w:tcPr>
            <w:tcW w:w="1197" w:type="dxa"/>
            <w:tcBorders>
              <w:top w:val="nil"/>
              <w:left w:val="nil"/>
              <w:bottom w:val="single" w:sz="4" w:space="0" w:color="auto"/>
              <w:right w:val="single" w:sz="4" w:space="0" w:color="auto"/>
            </w:tcBorders>
            <w:shd w:val="clear" w:color="000000" w:fill="FFFFFF"/>
            <w:vAlign w:val="bottom"/>
          </w:tcPr>
          <w:p w14:paraId="44DA970D" w14:textId="77777777" w:rsidR="001D4AFA" w:rsidRPr="009F2D1E" w:rsidRDefault="001D4AFA" w:rsidP="009F2D1E">
            <w:pPr>
              <w:jc w:val="right"/>
              <w:rPr>
                <w:rFonts w:ascii="Times New Roman" w:hAnsi="Times New Roman"/>
                <w:sz w:val="14"/>
                <w:szCs w:val="14"/>
              </w:rPr>
            </w:pPr>
            <w:r w:rsidRPr="009F2D1E">
              <w:rPr>
                <w:sz w:val="14"/>
                <w:szCs w:val="14"/>
              </w:rPr>
              <w:t>2272,76</w:t>
            </w:r>
          </w:p>
        </w:tc>
      </w:tr>
      <w:tr w:rsidR="001D4AFA" w:rsidRPr="00364545" w14:paraId="4C8FC853"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C368D5D"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D. Waste water treatment and discharge</w:t>
            </w:r>
          </w:p>
        </w:tc>
        <w:tc>
          <w:tcPr>
            <w:tcW w:w="1198" w:type="dxa"/>
            <w:tcBorders>
              <w:top w:val="nil"/>
              <w:left w:val="nil"/>
              <w:bottom w:val="single" w:sz="4" w:space="0" w:color="auto"/>
              <w:right w:val="single" w:sz="4" w:space="0" w:color="auto"/>
            </w:tcBorders>
            <w:shd w:val="clear" w:color="000000" w:fill="FFFFFF"/>
            <w:noWrap/>
            <w:vAlign w:val="bottom"/>
            <w:hideMark/>
          </w:tcPr>
          <w:p w14:paraId="13DA01E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D86C71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2690999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146126B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6E1669A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6CDF461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33A1F68"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3050360" w14:textId="77777777" w:rsidR="001D4AFA" w:rsidRPr="00364545" w:rsidRDefault="001D4AFA" w:rsidP="009F2D1E">
            <w:pPr>
              <w:ind w:firstLineChars="200" w:firstLine="280"/>
              <w:jc w:val="left"/>
              <w:rPr>
                <w:rFonts w:asciiTheme="majorHAnsi" w:hAnsiTheme="majorHAnsi"/>
                <w:sz w:val="14"/>
                <w:szCs w:val="16"/>
              </w:rPr>
            </w:pPr>
            <w:r w:rsidRPr="00364545">
              <w:rPr>
                <w:rFonts w:asciiTheme="majorHAnsi" w:hAnsiTheme="majorHAnsi"/>
                <w:sz w:val="14"/>
              </w:rPr>
              <w:t>E. Other</w:t>
            </w:r>
            <w:r w:rsidRPr="00364545">
              <w:rPr>
                <w:rFonts w:asciiTheme="majorHAnsi" w:hAnsiTheme="majorHAnsi"/>
                <w:b/>
                <w:i/>
                <w:sz w:val="14"/>
              </w:rPr>
              <w:t xml:space="preserve"> </w:t>
            </w:r>
          </w:p>
        </w:tc>
        <w:tc>
          <w:tcPr>
            <w:tcW w:w="1198" w:type="dxa"/>
            <w:tcBorders>
              <w:top w:val="nil"/>
              <w:left w:val="nil"/>
              <w:bottom w:val="single" w:sz="4" w:space="0" w:color="auto"/>
              <w:right w:val="single" w:sz="4" w:space="0" w:color="auto"/>
            </w:tcBorders>
            <w:shd w:val="clear" w:color="000000" w:fill="FFFFFF"/>
            <w:noWrap/>
            <w:vAlign w:val="bottom"/>
            <w:hideMark/>
          </w:tcPr>
          <w:p w14:paraId="325F50F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0DB109F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noWrap/>
            <w:vAlign w:val="bottom"/>
            <w:hideMark/>
          </w:tcPr>
          <w:p w14:paraId="5BD7149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653E3EAC"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FFFFFF"/>
            <w:noWrap/>
            <w:vAlign w:val="bottom"/>
            <w:hideMark/>
          </w:tcPr>
          <w:p w14:paraId="1FF7277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FFFFFF"/>
            <w:vAlign w:val="bottom"/>
          </w:tcPr>
          <w:p w14:paraId="67B12DE2"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74AD02F8"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7D38643"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6. Other </w:t>
            </w:r>
            <w:r w:rsidRPr="00364545">
              <w:rPr>
                <w:rFonts w:asciiTheme="majorHAnsi" w:hAnsiTheme="majorHAnsi"/>
                <w:b/>
                <w:i/>
                <w:sz w:val="14"/>
              </w:rPr>
              <w:t>(as specified in summary 1.A)</w:t>
            </w:r>
          </w:p>
        </w:tc>
        <w:tc>
          <w:tcPr>
            <w:tcW w:w="1198" w:type="dxa"/>
            <w:tcBorders>
              <w:top w:val="nil"/>
              <w:left w:val="nil"/>
              <w:bottom w:val="single" w:sz="4" w:space="0" w:color="auto"/>
              <w:right w:val="single" w:sz="4" w:space="0" w:color="auto"/>
            </w:tcBorders>
            <w:shd w:val="clear" w:color="000000" w:fill="CCFFFF"/>
            <w:noWrap/>
            <w:vAlign w:val="bottom"/>
            <w:hideMark/>
          </w:tcPr>
          <w:p w14:paraId="48D29BFF"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CCFFFF"/>
            <w:noWrap/>
            <w:vAlign w:val="bottom"/>
            <w:hideMark/>
          </w:tcPr>
          <w:p w14:paraId="52B74F7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CCFFFF"/>
            <w:noWrap/>
            <w:vAlign w:val="bottom"/>
            <w:hideMark/>
          </w:tcPr>
          <w:p w14:paraId="5D6F78AB"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CCFFFF"/>
            <w:noWrap/>
            <w:vAlign w:val="bottom"/>
            <w:hideMark/>
          </w:tcPr>
          <w:p w14:paraId="1875111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3" w:type="dxa"/>
            <w:tcBorders>
              <w:top w:val="nil"/>
              <w:left w:val="nil"/>
              <w:bottom w:val="single" w:sz="4" w:space="0" w:color="auto"/>
              <w:right w:val="single" w:sz="4" w:space="0" w:color="auto"/>
            </w:tcBorders>
            <w:shd w:val="clear" w:color="000000" w:fill="CCFFFF"/>
            <w:noWrap/>
            <w:vAlign w:val="bottom"/>
            <w:hideMark/>
          </w:tcPr>
          <w:p w14:paraId="5E1C5D97"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7" w:type="dxa"/>
            <w:tcBorders>
              <w:top w:val="nil"/>
              <w:left w:val="nil"/>
              <w:bottom w:val="single" w:sz="4" w:space="0" w:color="auto"/>
              <w:right w:val="single" w:sz="4" w:space="0" w:color="auto"/>
            </w:tcBorders>
            <w:shd w:val="clear" w:color="000000" w:fill="CCFFFF"/>
            <w:vAlign w:val="bottom"/>
          </w:tcPr>
          <w:p w14:paraId="013F4E57"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13D8B5F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2C57DA1C"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Memo items:</w:t>
            </w:r>
          </w:p>
        </w:tc>
        <w:tc>
          <w:tcPr>
            <w:tcW w:w="1198" w:type="dxa"/>
            <w:tcBorders>
              <w:top w:val="nil"/>
              <w:left w:val="nil"/>
              <w:bottom w:val="single" w:sz="4" w:space="0" w:color="auto"/>
              <w:right w:val="single" w:sz="4" w:space="0" w:color="auto"/>
            </w:tcBorders>
            <w:shd w:val="clear" w:color="000000" w:fill="969696"/>
            <w:noWrap/>
            <w:vAlign w:val="bottom"/>
            <w:hideMark/>
          </w:tcPr>
          <w:p w14:paraId="4157267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noWrap/>
            <w:vAlign w:val="bottom"/>
            <w:hideMark/>
          </w:tcPr>
          <w:p w14:paraId="476C335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noWrap/>
            <w:vAlign w:val="bottom"/>
            <w:hideMark/>
          </w:tcPr>
          <w:p w14:paraId="1CFB929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969696"/>
            <w:noWrap/>
            <w:vAlign w:val="bottom"/>
            <w:hideMark/>
          </w:tcPr>
          <w:p w14:paraId="7A3269F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969696"/>
            <w:noWrap/>
            <w:vAlign w:val="bottom"/>
            <w:hideMark/>
          </w:tcPr>
          <w:p w14:paraId="7B18FA4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969696"/>
            <w:vAlign w:val="bottom"/>
          </w:tcPr>
          <w:p w14:paraId="0846813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A575234"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BCA608E"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International bunkers</w:t>
            </w:r>
          </w:p>
        </w:tc>
        <w:tc>
          <w:tcPr>
            <w:tcW w:w="1198" w:type="dxa"/>
            <w:tcBorders>
              <w:top w:val="nil"/>
              <w:left w:val="nil"/>
              <w:bottom w:val="single" w:sz="4" w:space="0" w:color="auto"/>
              <w:right w:val="single" w:sz="4" w:space="0" w:color="auto"/>
            </w:tcBorders>
            <w:shd w:val="clear" w:color="000000" w:fill="CCFFFF"/>
            <w:noWrap/>
            <w:vAlign w:val="bottom"/>
            <w:hideMark/>
          </w:tcPr>
          <w:p w14:paraId="1DE729E3" w14:textId="77777777" w:rsidR="001D4AFA" w:rsidRPr="009F2D1E" w:rsidRDefault="001D4AFA" w:rsidP="009F2D1E">
            <w:pPr>
              <w:jc w:val="right"/>
              <w:rPr>
                <w:rFonts w:ascii="Times New Roman" w:hAnsi="Times New Roman"/>
                <w:sz w:val="14"/>
                <w:szCs w:val="14"/>
              </w:rPr>
            </w:pPr>
            <w:r w:rsidRPr="009F2D1E">
              <w:rPr>
                <w:sz w:val="14"/>
                <w:szCs w:val="14"/>
              </w:rPr>
              <w:t>16765,94</w:t>
            </w:r>
          </w:p>
        </w:tc>
        <w:tc>
          <w:tcPr>
            <w:tcW w:w="1197" w:type="dxa"/>
            <w:tcBorders>
              <w:top w:val="nil"/>
              <w:left w:val="nil"/>
              <w:bottom w:val="single" w:sz="4" w:space="0" w:color="auto"/>
              <w:right w:val="single" w:sz="4" w:space="0" w:color="auto"/>
            </w:tcBorders>
            <w:shd w:val="clear" w:color="000000" w:fill="CCFFFF"/>
            <w:noWrap/>
            <w:vAlign w:val="bottom"/>
            <w:hideMark/>
          </w:tcPr>
          <w:p w14:paraId="483EBE82" w14:textId="77777777" w:rsidR="001D4AFA" w:rsidRPr="009F2D1E" w:rsidRDefault="001D4AFA" w:rsidP="009F2D1E">
            <w:pPr>
              <w:jc w:val="right"/>
              <w:rPr>
                <w:rFonts w:ascii="Times New Roman" w:hAnsi="Times New Roman"/>
                <w:sz w:val="14"/>
                <w:szCs w:val="14"/>
              </w:rPr>
            </w:pPr>
            <w:r w:rsidRPr="009F2D1E">
              <w:rPr>
                <w:sz w:val="14"/>
                <w:szCs w:val="14"/>
              </w:rPr>
              <w:t>16765,94</w:t>
            </w:r>
          </w:p>
        </w:tc>
        <w:tc>
          <w:tcPr>
            <w:tcW w:w="1197" w:type="dxa"/>
            <w:tcBorders>
              <w:top w:val="nil"/>
              <w:left w:val="nil"/>
              <w:bottom w:val="single" w:sz="4" w:space="0" w:color="auto"/>
              <w:right w:val="single" w:sz="4" w:space="0" w:color="auto"/>
            </w:tcBorders>
            <w:shd w:val="clear" w:color="000000" w:fill="CCFFFF"/>
            <w:noWrap/>
            <w:vAlign w:val="bottom"/>
            <w:hideMark/>
          </w:tcPr>
          <w:p w14:paraId="2A1F6149" w14:textId="77777777" w:rsidR="001D4AFA" w:rsidRPr="009F2D1E" w:rsidRDefault="001D4AFA" w:rsidP="009F2D1E">
            <w:pPr>
              <w:jc w:val="right"/>
              <w:rPr>
                <w:rFonts w:ascii="Times New Roman" w:hAnsi="Times New Roman"/>
                <w:sz w:val="14"/>
                <w:szCs w:val="14"/>
              </w:rPr>
            </w:pPr>
            <w:r w:rsidRPr="009F2D1E">
              <w:rPr>
                <w:sz w:val="14"/>
                <w:szCs w:val="14"/>
              </w:rPr>
              <w:t>16718,20</w:t>
            </w:r>
          </w:p>
        </w:tc>
        <w:tc>
          <w:tcPr>
            <w:tcW w:w="1183" w:type="dxa"/>
            <w:tcBorders>
              <w:top w:val="nil"/>
              <w:left w:val="nil"/>
              <w:bottom w:val="single" w:sz="4" w:space="0" w:color="auto"/>
              <w:right w:val="single" w:sz="4" w:space="0" w:color="auto"/>
            </w:tcBorders>
            <w:shd w:val="clear" w:color="000000" w:fill="CCFFFF"/>
            <w:noWrap/>
            <w:vAlign w:val="bottom"/>
            <w:hideMark/>
          </w:tcPr>
          <w:p w14:paraId="10E4021E" w14:textId="77777777" w:rsidR="001D4AFA" w:rsidRPr="009F2D1E" w:rsidRDefault="001D4AFA" w:rsidP="009F2D1E">
            <w:pPr>
              <w:jc w:val="right"/>
              <w:rPr>
                <w:rFonts w:ascii="Times New Roman" w:hAnsi="Times New Roman"/>
                <w:sz w:val="14"/>
                <w:szCs w:val="14"/>
              </w:rPr>
            </w:pPr>
            <w:r w:rsidRPr="009F2D1E">
              <w:rPr>
                <w:sz w:val="14"/>
                <w:szCs w:val="14"/>
              </w:rPr>
              <w:t>17906,70</w:t>
            </w:r>
          </w:p>
        </w:tc>
        <w:tc>
          <w:tcPr>
            <w:tcW w:w="1183" w:type="dxa"/>
            <w:tcBorders>
              <w:top w:val="nil"/>
              <w:left w:val="nil"/>
              <w:bottom w:val="single" w:sz="4" w:space="0" w:color="auto"/>
              <w:right w:val="single" w:sz="4" w:space="0" w:color="auto"/>
            </w:tcBorders>
            <w:shd w:val="clear" w:color="000000" w:fill="CCFFFF"/>
            <w:noWrap/>
            <w:vAlign w:val="bottom"/>
            <w:hideMark/>
          </w:tcPr>
          <w:p w14:paraId="1631EF26" w14:textId="77777777" w:rsidR="001D4AFA" w:rsidRPr="009F2D1E" w:rsidRDefault="001D4AFA" w:rsidP="009F2D1E">
            <w:pPr>
              <w:jc w:val="right"/>
              <w:rPr>
                <w:rFonts w:ascii="Times New Roman" w:hAnsi="Times New Roman"/>
                <w:sz w:val="14"/>
                <w:szCs w:val="14"/>
              </w:rPr>
            </w:pPr>
            <w:r w:rsidRPr="009F2D1E">
              <w:rPr>
                <w:sz w:val="14"/>
                <w:szCs w:val="14"/>
              </w:rPr>
              <w:t>17964,24</w:t>
            </w:r>
          </w:p>
        </w:tc>
        <w:tc>
          <w:tcPr>
            <w:tcW w:w="1197" w:type="dxa"/>
            <w:tcBorders>
              <w:top w:val="nil"/>
              <w:left w:val="nil"/>
              <w:bottom w:val="single" w:sz="4" w:space="0" w:color="auto"/>
              <w:right w:val="single" w:sz="4" w:space="0" w:color="auto"/>
            </w:tcBorders>
            <w:shd w:val="clear" w:color="000000" w:fill="CCFFFF"/>
            <w:vAlign w:val="bottom"/>
          </w:tcPr>
          <w:p w14:paraId="14B04BC4" w14:textId="77777777" w:rsidR="001D4AFA" w:rsidRPr="009F2D1E" w:rsidRDefault="001D4AFA" w:rsidP="009F2D1E">
            <w:pPr>
              <w:jc w:val="right"/>
              <w:rPr>
                <w:rFonts w:ascii="Times New Roman" w:hAnsi="Times New Roman"/>
                <w:sz w:val="14"/>
                <w:szCs w:val="14"/>
              </w:rPr>
            </w:pPr>
            <w:r w:rsidRPr="009F2D1E">
              <w:rPr>
                <w:sz w:val="14"/>
                <w:szCs w:val="14"/>
              </w:rPr>
              <w:t>17515,63</w:t>
            </w:r>
          </w:p>
        </w:tc>
      </w:tr>
      <w:tr w:rsidR="001D4AFA" w:rsidRPr="00364545" w14:paraId="6C318533"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2F970FB" w14:textId="77777777" w:rsidR="001D4AFA" w:rsidRPr="00364545" w:rsidRDefault="001D4AFA" w:rsidP="009F2D1E">
            <w:pPr>
              <w:jc w:val="left"/>
              <w:rPr>
                <w:rFonts w:asciiTheme="majorHAnsi" w:hAnsiTheme="majorHAnsi"/>
                <w:sz w:val="14"/>
                <w:szCs w:val="16"/>
              </w:rPr>
            </w:pPr>
            <w:r w:rsidRPr="00364545">
              <w:rPr>
                <w:rFonts w:asciiTheme="majorHAnsi" w:hAnsiTheme="majorHAnsi"/>
                <w:sz w:val="14"/>
              </w:rPr>
              <w:t>Aviation</w:t>
            </w:r>
          </w:p>
        </w:tc>
        <w:tc>
          <w:tcPr>
            <w:tcW w:w="1198" w:type="dxa"/>
            <w:tcBorders>
              <w:top w:val="nil"/>
              <w:left w:val="nil"/>
              <w:bottom w:val="single" w:sz="4" w:space="0" w:color="auto"/>
              <w:right w:val="single" w:sz="4" w:space="0" w:color="auto"/>
            </w:tcBorders>
            <w:shd w:val="clear" w:color="000000" w:fill="FFFFFF"/>
            <w:noWrap/>
            <w:vAlign w:val="bottom"/>
            <w:hideMark/>
          </w:tcPr>
          <w:p w14:paraId="067009BB" w14:textId="77777777" w:rsidR="001D4AFA" w:rsidRPr="009F2D1E" w:rsidRDefault="001D4AFA" w:rsidP="009F2D1E">
            <w:pPr>
              <w:jc w:val="right"/>
              <w:rPr>
                <w:rFonts w:ascii="Times New Roman" w:hAnsi="Times New Roman"/>
                <w:sz w:val="14"/>
                <w:szCs w:val="14"/>
              </w:rPr>
            </w:pPr>
            <w:r w:rsidRPr="009F2D1E">
              <w:rPr>
                <w:sz w:val="14"/>
                <w:szCs w:val="14"/>
              </w:rPr>
              <w:t>8804,73</w:t>
            </w:r>
          </w:p>
        </w:tc>
        <w:tc>
          <w:tcPr>
            <w:tcW w:w="1197" w:type="dxa"/>
            <w:tcBorders>
              <w:top w:val="nil"/>
              <w:left w:val="nil"/>
              <w:bottom w:val="single" w:sz="4" w:space="0" w:color="auto"/>
              <w:right w:val="single" w:sz="4" w:space="0" w:color="auto"/>
            </w:tcBorders>
            <w:shd w:val="clear" w:color="000000" w:fill="FFFFFF"/>
            <w:noWrap/>
            <w:vAlign w:val="bottom"/>
            <w:hideMark/>
          </w:tcPr>
          <w:p w14:paraId="1331F56C" w14:textId="77777777" w:rsidR="001D4AFA" w:rsidRPr="009F2D1E" w:rsidRDefault="001D4AFA" w:rsidP="009F2D1E">
            <w:pPr>
              <w:jc w:val="right"/>
              <w:rPr>
                <w:rFonts w:ascii="Times New Roman" w:hAnsi="Times New Roman"/>
                <w:sz w:val="14"/>
                <w:szCs w:val="14"/>
              </w:rPr>
            </w:pPr>
            <w:r w:rsidRPr="009F2D1E">
              <w:rPr>
                <w:sz w:val="14"/>
                <w:szCs w:val="14"/>
              </w:rPr>
              <w:t>8804,73</w:t>
            </w:r>
          </w:p>
        </w:tc>
        <w:tc>
          <w:tcPr>
            <w:tcW w:w="1197" w:type="dxa"/>
            <w:tcBorders>
              <w:top w:val="nil"/>
              <w:left w:val="nil"/>
              <w:bottom w:val="single" w:sz="4" w:space="0" w:color="auto"/>
              <w:right w:val="single" w:sz="4" w:space="0" w:color="auto"/>
            </w:tcBorders>
            <w:shd w:val="clear" w:color="000000" w:fill="FFFFFF"/>
            <w:noWrap/>
            <w:vAlign w:val="bottom"/>
            <w:hideMark/>
          </w:tcPr>
          <w:p w14:paraId="7EA0E355" w14:textId="77777777" w:rsidR="001D4AFA" w:rsidRPr="009F2D1E" w:rsidRDefault="001D4AFA" w:rsidP="009F2D1E">
            <w:pPr>
              <w:jc w:val="right"/>
              <w:rPr>
                <w:rFonts w:ascii="Times New Roman" w:hAnsi="Times New Roman"/>
                <w:sz w:val="14"/>
                <w:szCs w:val="14"/>
              </w:rPr>
            </w:pPr>
            <w:r w:rsidRPr="009F2D1E">
              <w:rPr>
                <w:sz w:val="14"/>
                <w:szCs w:val="14"/>
              </w:rPr>
              <w:t>8461,99</w:t>
            </w:r>
          </w:p>
        </w:tc>
        <w:tc>
          <w:tcPr>
            <w:tcW w:w="1183" w:type="dxa"/>
            <w:tcBorders>
              <w:top w:val="nil"/>
              <w:left w:val="nil"/>
              <w:bottom w:val="single" w:sz="4" w:space="0" w:color="auto"/>
              <w:right w:val="single" w:sz="4" w:space="0" w:color="auto"/>
            </w:tcBorders>
            <w:shd w:val="clear" w:color="000000" w:fill="FFFFFF"/>
            <w:noWrap/>
            <w:vAlign w:val="bottom"/>
            <w:hideMark/>
          </w:tcPr>
          <w:p w14:paraId="7D3E2F6F" w14:textId="77777777" w:rsidR="001D4AFA" w:rsidRPr="009F2D1E" w:rsidRDefault="001D4AFA" w:rsidP="009F2D1E">
            <w:pPr>
              <w:jc w:val="right"/>
              <w:rPr>
                <w:rFonts w:ascii="Times New Roman" w:hAnsi="Times New Roman"/>
                <w:sz w:val="14"/>
                <w:szCs w:val="14"/>
              </w:rPr>
            </w:pPr>
            <w:r w:rsidRPr="009F2D1E">
              <w:rPr>
                <w:sz w:val="14"/>
                <w:szCs w:val="14"/>
              </w:rPr>
              <w:t>9901,36</w:t>
            </w:r>
          </w:p>
        </w:tc>
        <w:tc>
          <w:tcPr>
            <w:tcW w:w="1183" w:type="dxa"/>
            <w:tcBorders>
              <w:top w:val="nil"/>
              <w:left w:val="nil"/>
              <w:bottom w:val="single" w:sz="4" w:space="0" w:color="auto"/>
              <w:right w:val="single" w:sz="4" w:space="0" w:color="auto"/>
            </w:tcBorders>
            <w:shd w:val="clear" w:color="000000" w:fill="FFFFFF"/>
            <w:noWrap/>
            <w:vAlign w:val="bottom"/>
            <w:hideMark/>
          </w:tcPr>
          <w:p w14:paraId="55AEA365" w14:textId="77777777" w:rsidR="001D4AFA" w:rsidRPr="009F2D1E" w:rsidRDefault="001D4AFA" w:rsidP="009F2D1E">
            <w:pPr>
              <w:jc w:val="right"/>
              <w:rPr>
                <w:rFonts w:ascii="Times New Roman" w:hAnsi="Times New Roman"/>
                <w:sz w:val="14"/>
                <w:szCs w:val="14"/>
              </w:rPr>
            </w:pPr>
            <w:r w:rsidRPr="009F2D1E">
              <w:rPr>
                <w:sz w:val="14"/>
                <w:szCs w:val="14"/>
              </w:rPr>
              <w:t>10218,70</w:t>
            </w:r>
          </w:p>
        </w:tc>
        <w:tc>
          <w:tcPr>
            <w:tcW w:w="1197" w:type="dxa"/>
            <w:tcBorders>
              <w:top w:val="nil"/>
              <w:left w:val="nil"/>
              <w:bottom w:val="single" w:sz="4" w:space="0" w:color="auto"/>
              <w:right w:val="single" w:sz="4" w:space="0" w:color="auto"/>
            </w:tcBorders>
            <w:shd w:val="clear" w:color="000000" w:fill="FFFFFF"/>
            <w:vAlign w:val="bottom"/>
          </w:tcPr>
          <w:p w14:paraId="27BF2D17" w14:textId="77777777" w:rsidR="001D4AFA" w:rsidRPr="009F2D1E" w:rsidRDefault="001D4AFA" w:rsidP="009F2D1E">
            <w:pPr>
              <w:jc w:val="right"/>
              <w:rPr>
                <w:rFonts w:ascii="Times New Roman" w:hAnsi="Times New Roman"/>
                <w:sz w:val="14"/>
                <w:szCs w:val="14"/>
              </w:rPr>
            </w:pPr>
            <w:r w:rsidRPr="009F2D1E">
              <w:rPr>
                <w:sz w:val="14"/>
                <w:szCs w:val="14"/>
              </w:rPr>
              <w:t>10605,47</w:t>
            </w:r>
          </w:p>
        </w:tc>
      </w:tr>
      <w:tr w:rsidR="001D4AFA" w:rsidRPr="00364545" w14:paraId="31294D81"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2CFD80F" w14:textId="77777777" w:rsidR="001D4AFA" w:rsidRPr="00364545" w:rsidRDefault="001D4AFA" w:rsidP="009F2D1E">
            <w:pPr>
              <w:jc w:val="left"/>
              <w:rPr>
                <w:rFonts w:asciiTheme="majorHAnsi" w:hAnsiTheme="majorHAnsi"/>
                <w:sz w:val="14"/>
                <w:szCs w:val="16"/>
              </w:rPr>
            </w:pPr>
            <w:r w:rsidRPr="00364545">
              <w:rPr>
                <w:rFonts w:asciiTheme="majorHAnsi" w:hAnsiTheme="majorHAnsi"/>
                <w:sz w:val="14"/>
              </w:rPr>
              <w:t>Navigation</w:t>
            </w:r>
          </w:p>
        </w:tc>
        <w:tc>
          <w:tcPr>
            <w:tcW w:w="1198" w:type="dxa"/>
            <w:tcBorders>
              <w:top w:val="nil"/>
              <w:left w:val="nil"/>
              <w:bottom w:val="single" w:sz="4" w:space="0" w:color="auto"/>
              <w:right w:val="single" w:sz="4" w:space="0" w:color="auto"/>
            </w:tcBorders>
            <w:shd w:val="clear" w:color="000000" w:fill="FFFFFF"/>
            <w:noWrap/>
            <w:vAlign w:val="bottom"/>
            <w:hideMark/>
          </w:tcPr>
          <w:p w14:paraId="3AA08BE5" w14:textId="77777777" w:rsidR="001D4AFA" w:rsidRPr="009F2D1E" w:rsidRDefault="001D4AFA" w:rsidP="009F2D1E">
            <w:pPr>
              <w:jc w:val="right"/>
              <w:rPr>
                <w:rFonts w:ascii="Times New Roman" w:hAnsi="Times New Roman"/>
                <w:sz w:val="14"/>
                <w:szCs w:val="14"/>
              </w:rPr>
            </w:pPr>
            <w:r w:rsidRPr="009F2D1E">
              <w:rPr>
                <w:sz w:val="14"/>
                <w:szCs w:val="14"/>
              </w:rPr>
              <w:t>7961,21</w:t>
            </w:r>
          </w:p>
        </w:tc>
        <w:tc>
          <w:tcPr>
            <w:tcW w:w="1197" w:type="dxa"/>
            <w:tcBorders>
              <w:top w:val="nil"/>
              <w:left w:val="nil"/>
              <w:bottom w:val="single" w:sz="4" w:space="0" w:color="auto"/>
              <w:right w:val="single" w:sz="4" w:space="0" w:color="auto"/>
            </w:tcBorders>
            <w:shd w:val="clear" w:color="000000" w:fill="FFFFFF"/>
            <w:noWrap/>
            <w:vAlign w:val="bottom"/>
            <w:hideMark/>
          </w:tcPr>
          <w:p w14:paraId="3C239EDE" w14:textId="77777777" w:rsidR="001D4AFA" w:rsidRPr="009F2D1E" w:rsidRDefault="001D4AFA" w:rsidP="009F2D1E">
            <w:pPr>
              <w:jc w:val="right"/>
              <w:rPr>
                <w:rFonts w:ascii="Times New Roman" w:hAnsi="Times New Roman"/>
                <w:sz w:val="14"/>
                <w:szCs w:val="14"/>
              </w:rPr>
            </w:pPr>
            <w:r w:rsidRPr="009F2D1E">
              <w:rPr>
                <w:sz w:val="14"/>
                <w:szCs w:val="14"/>
              </w:rPr>
              <w:t>7961,21</w:t>
            </w:r>
          </w:p>
        </w:tc>
        <w:tc>
          <w:tcPr>
            <w:tcW w:w="1197" w:type="dxa"/>
            <w:tcBorders>
              <w:top w:val="nil"/>
              <w:left w:val="nil"/>
              <w:bottom w:val="single" w:sz="4" w:space="0" w:color="auto"/>
              <w:right w:val="single" w:sz="4" w:space="0" w:color="auto"/>
            </w:tcBorders>
            <w:shd w:val="clear" w:color="000000" w:fill="FFFFFF"/>
            <w:noWrap/>
            <w:vAlign w:val="bottom"/>
            <w:hideMark/>
          </w:tcPr>
          <w:p w14:paraId="3D9279D9" w14:textId="77777777" w:rsidR="001D4AFA" w:rsidRPr="009F2D1E" w:rsidRDefault="001D4AFA" w:rsidP="009F2D1E">
            <w:pPr>
              <w:jc w:val="right"/>
              <w:rPr>
                <w:rFonts w:ascii="Times New Roman" w:hAnsi="Times New Roman"/>
                <w:sz w:val="14"/>
                <w:szCs w:val="14"/>
              </w:rPr>
            </w:pPr>
            <w:r w:rsidRPr="009F2D1E">
              <w:rPr>
                <w:sz w:val="14"/>
                <w:szCs w:val="14"/>
              </w:rPr>
              <w:t>8256,21</w:t>
            </w:r>
          </w:p>
        </w:tc>
        <w:tc>
          <w:tcPr>
            <w:tcW w:w="1183" w:type="dxa"/>
            <w:tcBorders>
              <w:top w:val="nil"/>
              <w:left w:val="nil"/>
              <w:bottom w:val="single" w:sz="4" w:space="0" w:color="auto"/>
              <w:right w:val="single" w:sz="4" w:space="0" w:color="auto"/>
            </w:tcBorders>
            <w:shd w:val="clear" w:color="000000" w:fill="FFFFFF"/>
            <w:noWrap/>
            <w:vAlign w:val="bottom"/>
            <w:hideMark/>
          </w:tcPr>
          <w:p w14:paraId="37595372" w14:textId="77777777" w:rsidR="001D4AFA" w:rsidRPr="009F2D1E" w:rsidRDefault="001D4AFA" w:rsidP="009F2D1E">
            <w:pPr>
              <w:jc w:val="right"/>
              <w:rPr>
                <w:rFonts w:ascii="Times New Roman" w:hAnsi="Times New Roman"/>
                <w:sz w:val="14"/>
                <w:szCs w:val="14"/>
              </w:rPr>
            </w:pPr>
            <w:r w:rsidRPr="009F2D1E">
              <w:rPr>
                <w:sz w:val="14"/>
                <w:szCs w:val="14"/>
              </w:rPr>
              <w:t>8005,34</w:t>
            </w:r>
          </w:p>
        </w:tc>
        <w:tc>
          <w:tcPr>
            <w:tcW w:w="1183" w:type="dxa"/>
            <w:tcBorders>
              <w:top w:val="nil"/>
              <w:left w:val="nil"/>
              <w:bottom w:val="single" w:sz="4" w:space="0" w:color="auto"/>
              <w:right w:val="single" w:sz="4" w:space="0" w:color="auto"/>
            </w:tcBorders>
            <w:shd w:val="clear" w:color="000000" w:fill="FFFFFF"/>
            <w:noWrap/>
            <w:vAlign w:val="bottom"/>
            <w:hideMark/>
          </w:tcPr>
          <w:p w14:paraId="78E31F8B" w14:textId="77777777" w:rsidR="001D4AFA" w:rsidRPr="009F2D1E" w:rsidRDefault="001D4AFA" w:rsidP="009F2D1E">
            <w:pPr>
              <w:jc w:val="right"/>
              <w:rPr>
                <w:rFonts w:ascii="Times New Roman" w:hAnsi="Times New Roman"/>
                <w:sz w:val="14"/>
                <w:szCs w:val="14"/>
              </w:rPr>
            </w:pPr>
            <w:r w:rsidRPr="009F2D1E">
              <w:rPr>
                <w:sz w:val="14"/>
                <w:szCs w:val="14"/>
              </w:rPr>
              <w:t>7745,54</w:t>
            </w:r>
          </w:p>
        </w:tc>
        <w:tc>
          <w:tcPr>
            <w:tcW w:w="1197" w:type="dxa"/>
            <w:tcBorders>
              <w:top w:val="nil"/>
              <w:left w:val="nil"/>
              <w:bottom w:val="single" w:sz="4" w:space="0" w:color="auto"/>
              <w:right w:val="single" w:sz="4" w:space="0" w:color="auto"/>
            </w:tcBorders>
            <w:shd w:val="clear" w:color="000000" w:fill="FFFFFF"/>
            <w:vAlign w:val="bottom"/>
          </w:tcPr>
          <w:p w14:paraId="3C3DFD40" w14:textId="77777777" w:rsidR="001D4AFA" w:rsidRPr="009F2D1E" w:rsidRDefault="001D4AFA" w:rsidP="009F2D1E">
            <w:pPr>
              <w:jc w:val="right"/>
              <w:rPr>
                <w:rFonts w:ascii="Times New Roman" w:hAnsi="Times New Roman"/>
                <w:sz w:val="14"/>
                <w:szCs w:val="14"/>
              </w:rPr>
            </w:pPr>
            <w:r w:rsidRPr="009F2D1E">
              <w:rPr>
                <w:sz w:val="14"/>
                <w:szCs w:val="14"/>
              </w:rPr>
              <w:t>6910,15</w:t>
            </w:r>
          </w:p>
        </w:tc>
      </w:tr>
      <w:tr w:rsidR="001D4AFA" w:rsidRPr="00364545" w14:paraId="5E8A7F39"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188F0BC2"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Multilateral operations</w:t>
            </w:r>
          </w:p>
        </w:tc>
        <w:tc>
          <w:tcPr>
            <w:tcW w:w="1198" w:type="dxa"/>
            <w:tcBorders>
              <w:top w:val="nil"/>
              <w:left w:val="nil"/>
              <w:bottom w:val="single" w:sz="4" w:space="0" w:color="auto"/>
              <w:right w:val="single" w:sz="4" w:space="0" w:color="auto"/>
            </w:tcBorders>
            <w:shd w:val="clear" w:color="000000" w:fill="FFFFFF"/>
            <w:noWrap/>
            <w:vAlign w:val="bottom"/>
            <w:hideMark/>
          </w:tcPr>
          <w:p w14:paraId="42C2C64D" w14:textId="77777777" w:rsidR="001D4AFA" w:rsidRPr="009F2D1E" w:rsidRDefault="001D4AFA" w:rsidP="009F2D1E">
            <w:pPr>
              <w:jc w:val="right"/>
              <w:rPr>
                <w:rFonts w:ascii="Times New Roman" w:hAnsi="Times New Roman"/>
                <w:sz w:val="14"/>
                <w:szCs w:val="14"/>
              </w:rPr>
            </w:pPr>
            <w:r w:rsidRPr="009F2D1E">
              <w:rPr>
                <w:sz w:val="14"/>
                <w:szCs w:val="14"/>
              </w:rPr>
              <w:t>0,67</w:t>
            </w:r>
          </w:p>
        </w:tc>
        <w:tc>
          <w:tcPr>
            <w:tcW w:w="1197" w:type="dxa"/>
            <w:tcBorders>
              <w:top w:val="nil"/>
              <w:left w:val="nil"/>
              <w:bottom w:val="single" w:sz="4" w:space="0" w:color="auto"/>
              <w:right w:val="single" w:sz="4" w:space="0" w:color="auto"/>
            </w:tcBorders>
            <w:shd w:val="clear" w:color="000000" w:fill="FFFFFF"/>
            <w:noWrap/>
            <w:vAlign w:val="bottom"/>
            <w:hideMark/>
          </w:tcPr>
          <w:p w14:paraId="453E53FC" w14:textId="77777777" w:rsidR="001D4AFA" w:rsidRPr="009F2D1E" w:rsidRDefault="001D4AFA" w:rsidP="009F2D1E">
            <w:pPr>
              <w:jc w:val="right"/>
              <w:rPr>
                <w:rFonts w:ascii="Times New Roman" w:hAnsi="Times New Roman"/>
                <w:sz w:val="14"/>
                <w:szCs w:val="14"/>
              </w:rPr>
            </w:pPr>
            <w:r w:rsidRPr="009F2D1E">
              <w:rPr>
                <w:sz w:val="14"/>
                <w:szCs w:val="14"/>
              </w:rPr>
              <w:t>0,67</w:t>
            </w:r>
          </w:p>
        </w:tc>
        <w:tc>
          <w:tcPr>
            <w:tcW w:w="1197" w:type="dxa"/>
            <w:tcBorders>
              <w:top w:val="nil"/>
              <w:left w:val="nil"/>
              <w:bottom w:val="single" w:sz="4" w:space="0" w:color="auto"/>
              <w:right w:val="single" w:sz="4" w:space="0" w:color="auto"/>
            </w:tcBorders>
            <w:shd w:val="clear" w:color="000000" w:fill="FFFFFF"/>
            <w:noWrap/>
            <w:vAlign w:val="bottom"/>
            <w:hideMark/>
          </w:tcPr>
          <w:p w14:paraId="0328C67D" w14:textId="77777777" w:rsidR="001D4AFA" w:rsidRPr="009F2D1E" w:rsidRDefault="001D4AFA" w:rsidP="009F2D1E">
            <w:pPr>
              <w:jc w:val="right"/>
              <w:rPr>
                <w:rFonts w:ascii="Times New Roman" w:hAnsi="Times New Roman"/>
                <w:sz w:val="14"/>
                <w:szCs w:val="14"/>
              </w:rPr>
            </w:pPr>
            <w:r w:rsidRPr="009F2D1E">
              <w:rPr>
                <w:sz w:val="14"/>
                <w:szCs w:val="14"/>
              </w:rPr>
              <w:t>1,14</w:t>
            </w:r>
          </w:p>
        </w:tc>
        <w:tc>
          <w:tcPr>
            <w:tcW w:w="1183" w:type="dxa"/>
            <w:tcBorders>
              <w:top w:val="nil"/>
              <w:left w:val="nil"/>
              <w:bottom w:val="single" w:sz="4" w:space="0" w:color="auto"/>
              <w:right w:val="single" w:sz="4" w:space="0" w:color="auto"/>
            </w:tcBorders>
            <w:shd w:val="clear" w:color="000000" w:fill="FFFFFF"/>
            <w:noWrap/>
            <w:vAlign w:val="bottom"/>
            <w:hideMark/>
          </w:tcPr>
          <w:p w14:paraId="4E535804" w14:textId="77777777" w:rsidR="001D4AFA" w:rsidRPr="009F2D1E" w:rsidRDefault="001D4AFA" w:rsidP="009F2D1E">
            <w:pPr>
              <w:jc w:val="right"/>
              <w:rPr>
                <w:rFonts w:ascii="Times New Roman" w:hAnsi="Times New Roman"/>
                <w:sz w:val="14"/>
                <w:szCs w:val="14"/>
              </w:rPr>
            </w:pPr>
            <w:r w:rsidRPr="009F2D1E">
              <w:rPr>
                <w:sz w:val="14"/>
                <w:szCs w:val="14"/>
              </w:rPr>
              <w:t>0,98</w:t>
            </w:r>
          </w:p>
        </w:tc>
        <w:tc>
          <w:tcPr>
            <w:tcW w:w="1183" w:type="dxa"/>
            <w:tcBorders>
              <w:top w:val="nil"/>
              <w:left w:val="nil"/>
              <w:bottom w:val="single" w:sz="4" w:space="0" w:color="auto"/>
              <w:right w:val="single" w:sz="4" w:space="0" w:color="auto"/>
            </w:tcBorders>
            <w:shd w:val="clear" w:color="000000" w:fill="FFFFFF"/>
            <w:noWrap/>
            <w:vAlign w:val="bottom"/>
            <w:hideMark/>
          </w:tcPr>
          <w:p w14:paraId="6E646A8B" w14:textId="77777777" w:rsidR="001D4AFA" w:rsidRPr="009F2D1E" w:rsidRDefault="001D4AFA" w:rsidP="009F2D1E">
            <w:pPr>
              <w:jc w:val="right"/>
              <w:rPr>
                <w:rFonts w:ascii="Times New Roman" w:hAnsi="Times New Roman"/>
                <w:sz w:val="14"/>
                <w:szCs w:val="14"/>
              </w:rPr>
            </w:pPr>
            <w:r w:rsidRPr="009F2D1E">
              <w:rPr>
                <w:sz w:val="14"/>
                <w:szCs w:val="14"/>
              </w:rPr>
              <w:t>0,94</w:t>
            </w:r>
          </w:p>
        </w:tc>
        <w:tc>
          <w:tcPr>
            <w:tcW w:w="1197" w:type="dxa"/>
            <w:tcBorders>
              <w:top w:val="nil"/>
              <w:left w:val="nil"/>
              <w:bottom w:val="single" w:sz="4" w:space="0" w:color="auto"/>
              <w:right w:val="single" w:sz="4" w:space="0" w:color="auto"/>
            </w:tcBorders>
            <w:shd w:val="clear" w:color="000000" w:fill="FFFFFF"/>
            <w:vAlign w:val="bottom"/>
          </w:tcPr>
          <w:p w14:paraId="1D584637" w14:textId="77777777" w:rsidR="001D4AFA" w:rsidRPr="009F2D1E" w:rsidRDefault="001D4AFA" w:rsidP="009F2D1E">
            <w:pPr>
              <w:jc w:val="right"/>
              <w:rPr>
                <w:rFonts w:ascii="Times New Roman" w:hAnsi="Times New Roman"/>
                <w:sz w:val="14"/>
                <w:szCs w:val="14"/>
              </w:rPr>
            </w:pPr>
            <w:r w:rsidRPr="009F2D1E">
              <w:rPr>
                <w:sz w:val="14"/>
                <w:szCs w:val="14"/>
              </w:rPr>
              <w:t>0,86</w:t>
            </w:r>
          </w:p>
        </w:tc>
      </w:tr>
      <w:tr w:rsidR="001D4AFA" w:rsidRPr="00364545" w14:paraId="4B076591"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23FA658" w14:textId="77777777" w:rsidR="001D4AFA" w:rsidRPr="00364545" w:rsidRDefault="001D4AFA" w:rsidP="009F2D1E">
            <w:pPr>
              <w:jc w:val="left"/>
              <w:rPr>
                <w:rFonts w:asciiTheme="majorHAnsi" w:hAnsiTheme="majorHAnsi"/>
                <w:b/>
                <w:bCs/>
                <w:sz w:val="14"/>
                <w:szCs w:val="16"/>
              </w:rPr>
            </w:pPr>
            <w:r w:rsidRPr="00364545">
              <w:t>CO</w:t>
            </w:r>
            <w:r w:rsidRPr="00364545">
              <w:rPr>
                <w:vertAlign w:val="subscript"/>
              </w:rPr>
              <w:t>2</w:t>
            </w:r>
            <w:r w:rsidRPr="00364545">
              <w:rPr>
                <w:rFonts w:asciiTheme="majorHAnsi" w:hAnsiTheme="majorHAnsi"/>
                <w:b/>
                <w:sz w:val="14"/>
              </w:rPr>
              <w:t xml:space="preserve"> emissions from biomass</w:t>
            </w:r>
          </w:p>
        </w:tc>
        <w:tc>
          <w:tcPr>
            <w:tcW w:w="1198" w:type="dxa"/>
            <w:tcBorders>
              <w:top w:val="nil"/>
              <w:left w:val="nil"/>
              <w:bottom w:val="single" w:sz="4" w:space="0" w:color="auto"/>
              <w:right w:val="single" w:sz="4" w:space="0" w:color="auto"/>
            </w:tcBorders>
            <w:shd w:val="clear" w:color="000000" w:fill="FFFFFF"/>
            <w:noWrap/>
            <w:vAlign w:val="bottom"/>
            <w:hideMark/>
          </w:tcPr>
          <w:p w14:paraId="5EDD4260" w14:textId="77777777" w:rsidR="001D4AFA" w:rsidRPr="009F2D1E" w:rsidRDefault="001D4AFA" w:rsidP="009F2D1E">
            <w:pPr>
              <w:jc w:val="right"/>
              <w:rPr>
                <w:rFonts w:ascii="Times New Roman" w:hAnsi="Times New Roman"/>
                <w:sz w:val="14"/>
                <w:szCs w:val="14"/>
              </w:rPr>
            </w:pPr>
            <w:r w:rsidRPr="009F2D1E">
              <w:rPr>
                <w:sz w:val="14"/>
                <w:szCs w:val="14"/>
              </w:rPr>
              <w:t>43980,02</w:t>
            </w:r>
          </w:p>
        </w:tc>
        <w:tc>
          <w:tcPr>
            <w:tcW w:w="1197" w:type="dxa"/>
            <w:tcBorders>
              <w:top w:val="nil"/>
              <w:left w:val="nil"/>
              <w:bottom w:val="single" w:sz="4" w:space="0" w:color="auto"/>
              <w:right w:val="single" w:sz="4" w:space="0" w:color="auto"/>
            </w:tcBorders>
            <w:shd w:val="clear" w:color="000000" w:fill="FFFFFF"/>
            <w:noWrap/>
            <w:vAlign w:val="bottom"/>
            <w:hideMark/>
          </w:tcPr>
          <w:p w14:paraId="694856DC" w14:textId="77777777" w:rsidR="001D4AFA" w:rsidRPr="009F2D1E" w:rsidRDefault="001D4AFA" w:rsidP="009F2D1E">
            <w:pPr>
              <w:jc w:val="right"/>
              <w:rPr>
                <w:rFonts w:ascii="Times New Roman" w:hAnsi="Times New Roman"/>
                <w:sz w:val="14"/>
                <w:szCs w:val="14"/>
              </w:rPr>
            </w:pPr>
            <w:r w:rsidRPr="009F2D1E">
              <w:rPr>
                <w:sz w:val="14"/>
                <w:szCs w:val="14"/>
              </w:rPr>
              <w:t>43980,02</w:t>
            </w:r>
          </w:p>
        </w:tc>
        <w:tc>
          <w:tcPr>
            <w:tcW w:w="1197" w:type="dxa"/>
            <w:tcBorders>
              <w:top w:val="nil"/>
              <w:left w:val="nil"/>
              <w:bottom w:val="single" w:sz="4" w:space="0" w:color="auto"/>
              <w:right w:val="single" w:sz="4" w:space="0" w:color="auto"/>
            </w:tcBorders>
            <w:shd w:val="clear" w:color="000000" w:fill="FFFFFF"/>
            <w:noWrap/>
            <w:vAlign w:val="bottom"/>
            <w:hideMark/>
          </w:tcPr>
          <w:p w14:paraId="17391BAD" w14:textId="77777777" w:rsidR="001D4AFA" w:rsidRPr="009F2D1E" w:rsidRDefault="001D4AFA" w:rsidP="009F2D1E">
            <w:pPr>
              <w:jc w:val="right"/>
              <w:rPr>
                <w:rFonts w:ascii="Times New Roman" w:hAnsi="Times New Roman"/>
                <w:sz w:val="14"/>
                <w:szCs w:val="14"/>
              </w:rPr>
            </w:pPr>
            <w:r w:rsidRPr="009F2D1E">
              <w:rPr>
                <w:sz w:val="14"/>
                <w:szCs w:val="14"/>
              </w:rPr>
              <w:t>50612,34</w:t>
            </w:r>
          </w:p>
        </w:tc>
        <w:tc>
          <w:tcPr>
            <w:tcW w:w="1183" w:type="dxa"/>
            <w:tcBorders>
              <w:top w:val="nil"/>
              <w:left w:val="nil"/>
              <w:bottom w:val="single" w:sz="4" w:space="0" w:color="auto"/>
              <w:right w:val="single" w:sz="4" w:space="0" w:color="auto"/>
            </w:tcBorders>
            <w:shd w:val="clear" w:color="000000" w:fill="FFFFFF"/>
            <w:noWrap/>
            <w:vAlign w:val="bottom"/>
            <w:hideMark/>
          </w:tcPr>
          <w:p w14:paraId="04E788F4" w14:textId="77777777" w:rsidR="001D4AFA" w:rsidRPr="009F2D1E" w:rsidRDefault="001D4AFA" w:rsidP="009F2D1E">
            <w:pPr>
              <w:jc w:val="right"/>
              <w:rPr>
                <w:rFonts w:ascii="Times New Roman" w:hAnsi="Times New Roman"/>
                <w:sz w:val="14"/>
                <w:szCs w:val="14"/>
              </w:rPr>
            </w:pPr>
            <w:r w:rsidRPr="009F2D1E">
              <w:rPr>
                <w:sz w:val="14"/>
                <w:szCs w:val="14"/>
              </w:rPr>
              <w:t>49602,93</w:t>
            </w:r>
          </w:p>
        </w:tc>
        <w:tc>
          <w:tcPr>
            <w:tcW w:w="1183" w:type="dxa"/>
            <w:tcBorders>
              <w:top w:val="nil"/>
              <w:left w:val="nil"/>
              <w:bottom w:val="single" w:sz="4" w:space="0" w:color="auto"/>
              <w:right w:val="single" w:sz="4" w:space="0" w:color="auto"/>
            </w:tcBorders>
            <w:shd w:val="clear" w:color="000000" w:fill="FFFFFF"/>
            <w:noWrap/>
            <w:vAlign w:val="bottom"/>
            <w:hideMark/>
          </w:tcPr>
          <w:p w14:paraId="417DA898" w14:textId="77777777" w:rsidR="001D4AFA" w:rsidRPr="009F2D1E" w:rsidRDefault="001D4AFA" w:rsidP="009F2D1E">
            <w:pPr>
              <w:jc w:val="right"/>
              <w:rPr>
                <w:rFonts w:ascii="Times New Roman" w:hAnsi="Times New Roman"/>
                <w:sz w:val="14"/>
                <w:szCs w:val="14"/>
              </w:rPr>
            </w:pPr>
            <w:r w:rsidRPr="009F2D1E">
              <w:rPr>
                <w:sz w:val="14"/>
                <w:szCs w:val="14"/>
              </w:rPr>
              <w:t>48638,03</w:t>
            </w:r>
          </w:p>
        </w:tc>
        <w:tc>
          <w:tcPr>
            <w:tcW w:w="1197" w:type="dxa"/>
            <w:tcBorders>
              <w:top w:val="nil"/>
              <w:left w:val="nil"/>
              <w:bottom w:val="single" w:sz="4" w:space="0" w:color="auto"/>
              <w:right w:val="single" w:sz="4" w:space="0" w:color="auto"/>
            </w:tcBorders>
            <w:shd w:val="clear" w:color="000000" w:fill="FFFFFF"/>
            <w:vAlign w:val="bottom"/>
          </w:tcPr>
          <w:p w14:paraId="0CB9B2A7" w14:textId="77777777" w:rsidR="001D4AFA" w:rsidRPr="009F2D1E" w:rsidRDefault="001D4AFA" w:rsidP="009F2D1E">
            <w:pPr>
              <w:jc w:val="right"/>
              <w:rPr>
                <w:rFonts w:ascii="Times New Roman" w:hAnsi="Times New Roman"/>
                <w:sz w:val="14"/>
                <w:szCs w:val="14"/>
              </w:rPr>
            </w:pPr>
            <w:r w:rsidRPr="009F2D1E">
              <w:rPr>
                <w:sz w:val="14"/>
                <w:szCs w:val="14"/>
              </w:rPr>
              <w:t>44425,38</w:t>
            </w:r>
          </w:p>
        </w:tc>
      </w:tr>
      <w:tr w:rsidR="001D4AFA" w:rsidRPr="00364545" w14:paraId="74F205D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75D04EA7" w14:textId="77777777" w:rsidR="001D4AFA" w:rsidRPr="00364545" w:rsidRDefault="001D4AFA" w:rsidP="009F2D1E">
            <w:pPr>
              <w:jc w:val="left"/>
              <w:rPr>
                <w:rFonts w:asciiTheme="majorHAnsi" w:hAnsiTheme="majorHAnsi"/>
                <w:b/>
                <w:bCs/>
                <w:sz w:val="14"/>
                <w:szCs w:val="16"/>
              </w:rPr>
            </w:pPr>
            <w:r w:rsidRPr="00364545">
              <w:t>CO</w:t>
            </w:r>
            <w:r w:rsidRPr="00364545">
              <w:rPr>
                <w:vertAlign w:val="subscript"/>
              </w:rPr>
              <w:t>2</w:t>
            </w:r>
            <w:r w:rsidRPr="00364545">
              <w:rPr>
                <w:rFonts w:asciiTheme="majorHAnsi" w:hAnsiTheme="majorHAnsi"/>
                <w:b/>
                <w:sz w:val="14"/>
              </w:rPr>
              <w:t xml:space="preserve"> captured</w:t>
            </w:r>
          </w:p>
        </w:tc>
        <w:tc>
          <w:tcPr>
            <w:tcW w:w="1198" w:type="dxa"/>
            <w:tcBorders>
              <w:top w:val="nil"/>
              <w:left w:val="nil"/>
              <w:bottom w:val="single" w:sz="4" w:space="0" w:color="auto"/>
              <w:right w:val="single" w:sz="4" w:space="0" w:color="auto"/>
            </w:tcBorders>
            <w:shd w:val="clear" w:color="000000" w:fill="FFFFFF"/>
            <w:noWrap/>
            <w:vAlign w:val="bottom"/>
            <w:hideMark/>
          </w:tcPr>
          <w:p w14:paraId="53665AD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18B80C2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noWrap/>
            <w:vAlign w:val="bottom"/>
            <w:hideMark/>
          </w:tcPr>
          <w:p w14:paraId="67B7EFE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167BCE7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3" w:type="dxa"/>
            <w:tcBorders>
              <w:top w:val="nil"/>
              <w:left w:val="nil"/>
              <w:bottom w:val="single" w:sz="4" w:space="0" w:color="auto"/>
              <w:right w:val="single" w:sz="4" w:space="0" w:color="auto"/>
            </w:tcBorders>
            <w:shd w:val="clear" w:color="000000" w:fill="FFFFFF"/>
            <w:noWrap/>
            <w:vAlign w:val="bottom"/>
            <w:hideMark/>
          </w:tcPr>
          <w:p w14:paraId="26AD22C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7" w:type="dxa"/>
            <w:tcBorders>
              <w:top w:val="nil"/>
              <w:left w:val="nil"/>
              <w:bottom w:val="single" w:sz="4" w:space="0" w:color="auto"/>
              <w:right w:val="single" w:sz="4" w:space="0" w:color="auto"/>
            </w:tcBorders>
            <w:shd w:val="clear" w:color="000000" w:fill="FFFFFF"/>
            <w:vAlign w:val="bottom"/>
          </w:tcPr>
          <w:p w14:paraId="5B1CA4FB"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2CB1934E"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03D75FC7"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Long-term storage of C in waste disposal sites</w:t>
            </w:r>
          </w:p>
        </w:tc>
        <w:tc>
          <w:tcPr>
            <w:tcW w:w="1198" w:type="dxa"/>
            <w:tcBorders>
              <w:top w:val="nil"/>
              <w:left w:val="nil"/>
              <w:bottom w:val="single" w:sz="4" w:space="0" w:color="auto"/>
              <w:right w:val="single" w:sz="4" w:space="0" w:color="auto"/>
            </w:tcBorders>
            <w:shd w:val="clear" w:color="000000" w:fill="FFFFFF"/>
            <w:noWrap/>
            <w:vAlign w:val="bottom"/>
            <w:hideMark/>
          </w:tcPr>
          <w:p w14:paraId="78821833"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7" w:type="dxa"/>
            <w:tcBorders>
              <w:top w:val="nil"/>
              <w:left w:val="nil"/>
              <w:bottom w:val="single" w:sz="4" w:space="0" w:color="auto"/>
              <w:right w:val="single" w:sz="4" w:space="0" w:color="auto"/>
            </w:tcBorders>
            <w:shd w:val="clear" w:color="000000" w:fill="FFFFFF"/>
            <w:noWrap/>
            <w:vAlign w:val="bottom"/>
            <w:hideMark/>
          </w:tcPr>
          <w:p w14:paraId="31E76499"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7" w:type="dxa"/>
            <w:tcBorders>
              <w:top w:val="nil"/>
              <w:left w:val="nil"/>
              <w:bottom w:val="single" w:sz="4" w:space="0" w:color="auto"/>
              <w:right w:val="single" w:sz="4" w:space="0" w:color="auto"/>
            </w:tcBorders>
            <w:shd w:val="clear" w:color="000000" w:fill="FFFFFF"/>
            <w:noWrap/>
            <w:vAlign w:val="bottom"/>
            <w:hideMark/>
          </w:tcPr>
          <w:p w14:paraId="150B1607"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83" w:type="dxa"/>
            <w:tcBorders>
              <w:top w:val="nil"/>
              <w:left w:val="nil"/>
              <w:bottom w:val="single" w:sz="4" w:space="0" w:color="auto"/>
              <w:right w:val="single" w:sz="4" w:space="0" w:color="auto"/>
            </w:tcBorders>
            <w:shd w:val="clear" w:color="000000" w:fill="FFFFFF"/>
            <w:noWrap/>
            <w:vAlign w:val="bottom"/>
            <w:hideMark/>
          </w:tcPr>
          <w:p w14:paraId="6558D937"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83" w:type="dxa"/>
            <w:tcBorders>
              <w:top w:val="nil"/>
              <w:left w:val="nil"/>
              <w:bottom w:val="single" w:sz="4" w:space="0" w:color="auto"/>
              <w:right w:val="single" w:sz="4" w:space="0" w:color="auto"/>
            </w:tcBorders>
            <w:shd w:val="clear" w:color="000000" w:fill="FFFFFF"/>
            <w:noWrap/>
            <w:vAlign w:val="bottom"/>
            <w:hideMark/>
          </w:tcPr>
          <w:p w14:paraId="1C92088C"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7" w:type="dxa"/>
            <w:tcBorders>
              <w:top w:val="nil"/>
              <w:left w:val="nil"/>
              <w:bottom w:val="single" w:sz="4" w:space="0" w:color="auto"/>
              <w:right w:val="single" w:sz="4" w:space="0" w:color="auto"/>
            </w:tcBorders>
            <w:shd w:val="clear" w:color="000000" w:fill="FFFFFF"/>
            <w:vAlign w:val="bottom"/>
          </w:tcPr>
          <w:p w14:paraId="295E961D" w14:textId="77777777" w:rsidR="001D4AFA" w:rsidRPr="009F2D1E" w:rsidRDefault="001D4AFA" w:rsidP="009F2D1E">
            <w:pPr>
              <w:jc w:val="right"/>
              <w:rPr>
                <w:rFonts w:ascii="Times New Roman" w:hAnsi="Times New Roman"/>
                <w:sz w:val="14"/>
                <w:szCs w:val="14"/>
              </w:rPr>
            </w:pPr>
            <w:r w:rsidRPr="009F2D1E">
              <w:rPr>
                <w:sz w:val="14"/>
                <w:szCs w:val="14"/>
              </w:rPr>
              <w:t>NE</w:t>
            </w:r>
          </w:p>
        </w:tc>
      </w:tr>
      <w:tr w:rsidR="001D4AFA" w:rsidRPr="00364545" w14:paraId="7B2F673D"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36CD6BA"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Indirect </w:t>
            </w:r>
            <w:r w:rsidRPr="00364545">
              <w:t>N</w:t>
            </w:r>
            <w:r w:rsidRPr="00364545">
              <w:rPr>
                <w:vertAlign w:val="subscript"/>
              </w:rPr>
              <w:t>2</w:t>
            </w:r>
            <w:r w:rsidRPr="00364545">
              <w:t xml:space="preserve">O </w:t>
            </w:r>
          </w:p>
        </w:tc>
        <w:tc>
          <w:tcPr>
            <w:tcW w:w="1198" w:type="dxa"/>
            <w:tcBorders>
              <w:top w:val="nil"/>
              <w:left w:val="nil"/>
              <w:bottom w:val="single" w:sz="4" w:space="0" w:color="auto"/>
              <w:right w:val="single" w:sz="4" w:space="0" w:color="auto"/>
            </w:tcBorders>
            <w:shd w:val="clear" w:color="000000" w:fill="FFFFFF"/>
            <w:noWrap/>
            <w:vAlign w:val="bottom"/>
            <w:hideMark/>
          </w:tcPr>
          <w:p w14:paraId="71766AA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66E71EC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noWrap/>
            <w:vAlign w:val="bottom"/>
            <w:hideMark/>
          </w:tcPr>
          <w:p w14:paraId="4B9581E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41A5562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3" w:type="dxa"/>
            <w:tcBorders>
              <w:top w:val="nil"/>
              <w:left w:val="nil"/>
              <w:bottom w:val="single" w:sz="4" w:space="0" w:color="auto"/>
              <w:right w:val="single" w:sz="4" w:space="0" w:color="auto"/>
            </w:tcBorders>
            <w:shd w:val="clear" w:color="000000" w:fill="FFFFFF"/>
            <w:noWrap/>
            <w:vAlign w:val="bottom"/>
            <w:hideMark/>
          </w:tcPr>
          <w:p w14:paraId="7EE805B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7" w:type="dxa"/>
            <w:tcBorders>
              <w:top w:val="nil"/>
              <w:left w:val="nil"/>
              <w:bottom w:val="single" w:sz="4" w:space="0" w:color="auto"/>
              <w:right w:val="single" w:sz="4" w:space="0" w:color="auto"/>
            </w:tcBorders>
            <w:shd w:val="clear" w:color="000000" w:fill="FFFFFF"/>
            <w:vAlign w:val="bottom"/>
          </w:tcPr>
          <w:p w14:paraId="262F2F1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1DDAE3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64988B17"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Indirect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vertAlign w:val="superscript"/>
              </w:rPr>
              <w:t>(3)</w:t>
            </w:r>
          </w:p>
        </w:tc>
        <w:tc>
          <w:tcPr>
            <w:tcW w:w="1198" w:type="dxa"/>
            <w:tcBorders>
              <w:top w:val="nil"/>
              <w:left w:val="nil"/>
              <w:bottom w:val="single" w:sz="4" w:space="0" w:color="auto"/>
              <w:right w:val="single" w:sz="4" w:space="0" w:color="auto"/>
            </w:tcBorders>
            <w:shd w:val="clear" w:color="000000" w:fill="FFFFFF"/>
            <w:noWrap/>
            <w:vAlign w:val="bottom"/>
            <w:hideMark/>
          </w:tcPr>
          <w:p w14:paraId="4B1CDBFA"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7" w:type="dxa"/>
            <w:tcBorders>
              <w:top w:val="nil"/>
              <w:left w:val="nil"/>
              <w:bottom w:val="single" w:sz="4" w:space="0" w:color="auto"/>
              <w:right w:val="single" w:sz="4" w:space="0" w:color="auto"/>
            </w:tcBorders>
            <w:shd w:val="clear" w:color="000000" w:fill="FFFFFF"/>
            <w:noWrap/>
            <w:vAlign w:val="bottom"/>
            <w:hideMark/>
          </w:tcPr>
          <w:p w14:paraId="2D2FF1DE"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7" w:type="dxa"/>
            <w:tcBorders>
              <w:top w:val="nil"/>
              <w:left w:val="nil"/>
              <w:bottom w:val="single" w:sz="4" w:space="0" w:color="auto"/>
              <w:right w:val="single" w:sz="4" w:space="0" w:color="auto"/>
            </w:tcBorders>
            <w:shd w:val="clear" w:color="000000" w:fill="FFFFFF"/>
            <w:noWrap/>
            <w:vAlign w:val="bottom"/>
            <w:hideMark/>
          </w:tcPr>
          <w:p w14:paraId="235EA8A4"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83" w:type="dxa"/>
            <w:tcBorders>
              <w:top w:val="nil"/>
              <w:left w:val="nil"/>
              <w:bottom w:val="single" w:sz="4" w:space="0" w:color="auto"/>
              <w:right w:val="single" w:sz="4" w:space="0" w:color="auto"/>
            </w:tcBorders>
            <w:shd w:val="clear" w:color="000000" w:fill="FFFFFF"/>
            <w:noWrap/>
            <w:vAlign w:val="bottom"/>
            <w:hideMark/>
          </w:tcPr>
          <w:p w14:paraId="01787100"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83" w:type="dxa"/>
            <w:tcBorders>
              <w:top w:val="nil"/>
              <w:left w:val="nil"/>
              <w:bottom w:val="single" w:sz="4" w:space="0" w:color="auto"/>
              <w:right w:val="single" w:sz="4" w:space="0" w:color="auto"/>
            </w:tcBorders>
            <w:shd w:val="clear" w:color="000000" w:fill="FFFFFF"/>
            <w:noWrap/>
            <w:vAlign w:val="bottom"/>
            <w:hideMark/>
          </w:tcPr>
          <w:p w14:paraId="0493C32D"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7" w:type="dxa"/>
            <w:tcBorders>
              <w:top w:val="nil"/>
              <w:left w:val="nil"/>
              <w:bottom w:val="single" w:sz="4" w:space="0" w:color="auto"/>
              <w:right w:val="single" w:sz="4" w:space="0" w:color="auto"/>
            </w:tcBorders>
            <w:shd w:val="clear" w:color="000000" w:fill="FFFFFF"/>
            <w:vAlign w:val="bottom"/>
          </w:tcPr>
          <w:p w14:paraId="33B35557" w14:textId="77777777" w:rsidR="001D4AFA" w:rsidRPr="009F2D1E" w:rsidRDefault="001D4AFA" w:rsidP="009F2D1E">
            <w:pPr>
              <w:jc w:val="right"/>
              <w:rPr>
                <w:rFonts w:ascii="Times New Roman" w:hAnsi="Times New Roman"/>
                <w:sz w:val="14"/>
                <w:szCs w:val="14"/>
              </w:rPr>
            </w:pPr>
            <w:r w:rsidRPr="009F2D1E">
              <w:rPr>
                <w:sz w:val="14"/>
                <w:szCs w:val="14"/>
              </w:rPr>
              <w:t>NO,IE,NA</w:t>
            </w:r>
          </w:p>
        </w:tc>
      </w:tr>
      <w:tr w:rsidR="001D4AFA" w:rsidRPr="00364545" w14:paraId="23B0AE75"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071A36D"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rPr>
              <w:t xml:space="preserve"> equivalent emissions without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12975F36" w14:textId="77777777" w:rsidR="001D4AFA" w:rsidRPr="009F2D1E" w:rsidRDefault="001D4AFA" w:rsidP="009F2D1E">
            <w:pPr>
              <w:jc w:val="right"/>
              <w:rPr>
                <w:rFonts w:ascii="Times New Roman" w:hAnsi="Times New Roman"/>
                <w:sz w:val="14"/>
                <w:szCs w:val="14"/>
              </w:rPr>
            </w:pPr>
            <w:r w:rsidRPr="009F2D1E">
              <w:rPr>
                <w:sz w:val="14"/>
                <w:szCs w:val="14"/>
              </w:rPr>
              <w:t>398424,79</w:t>
            </w:r>
          </w:p>
        </w:tc>
        <w:tc>
          <w:tcPr>
            <w:tcW w:w="1197" w:type="dxa"/>
            <w:tcBorders>
              <w:top w:val="nil"/>
              <w:left w:val="nil"/>
              <w:bottom w:val="single" w:sz="4" w:space="0" w:color="auto"/>
              <w:right w:val="single" w:sz="4" w:space="0" w:color="auto"/>
            </w:tcBorders>
            <w:shd w:val="clear" w:color="000000" w:fill="CCFFFF"/>
            <w:noWrap/>
            <w:vAlign w:val="bottom"/>
            <w:hideMark/>
          </w:tcPr>
          <w:p w14:paraId="542C5BD7" w14:textId="77777777" w:rsidR="001D4AFA" w:rsidRPr="009F2D1E" w:rsidRDefault="001D4AFA" w:rsidP="009F2D1E">
            <w:pPr>
              <w:jc w:val="right"/>
              <w:rPr>
                <w:rFonts w:ascii="Times New Roman" w:hAnsi="Times New Roman"/>
                <w:sz w:val="14"/>
                <w:szCs w:val="14"/>
              </w:rPr>
            </w:pPr>
            <w:r w:rsidRPr="009F2D1E">
              <w:rPr>
                <w:sz w:val="14"/>
                <w:szCs w:val="14"/>
              </w:rPr>
              <w:t>398424,79</w:t>
            </w:r>
          </w:p>
        </w:tc>
        <w:tc>
          <w:tcPr>
            <w:tcW w:w="1197" w:type="dxa"/>
            <w:tcBorders>
              <w:top w:val="nil"/>
              <w:left w:val="nil"/>
              <w:bottom w:val="single" w:sz="4" w:space="0" w:color="auto"/>
              <w:right w:val="single" w:sz="4" w:space="0" w:color="auto"/>
            </w:tcBorders>
            <w:shd w:val="clear" w:color="000000" w:fill="CCFFFF"/>
            <w:noWrap/>
            <w:vAlign w:val="bottom"/>
            <w:hideMark/>
          </w:tcPr>
          <w:p w14:paraId="44CC38A9" w14:textId="77777777" w:rsidR="001D4AFA" w:rsidRPr="009F2D1E" w:rsidRDefault="001D4AFA" w:rsidP="009F2D1E">
            <w:pPr>
              <w:jc w:val="right"/>
              <w:rPr>
                <w:rFonts w:ascii="Times New Roman" w:hAnsi="Times New Roman"/>
                <w:sz w:val="14"/>
                <w:szCs w:val="14"/>
              </w:rPr>
            </w:pPr>
            <w:r w:rsidRPr="009F2D1E">
              <w:rPr>
                <w:sz w:val="14"/>
                <w:szCs w:val="14"/>
              </w:rPr>
              <w:t>423829,90</w:t>
            </w:r>
          </w:p>
        </w:tc>
        <w:tc>
          <w:tcPr>
            <w:tcW w:w="1183" w:type="dxa"/>
            <w:tcBorders>
              <w:top w:val="nil"/>
              <w:left w:val="nil"/>
              <w:bottom w:val="single" w:sz="4" w:space="0" w:color="auto"/>
              <w:right w:val="single" w:sz="4" w:space="0" w:color="auto"/>
            </w:tcBorders>
            <w:shd w:val="clear" w:color="000000" w:fill="CCFFFF"/>
            <w:noWrap/>
            <w:vAlign w:val="bottom"/>
            <w:hideMark/>
          </w:tcPr>
          <w:p w14:paraId="69A67C9D" w14:textId="77777777" w:rsidR="001D4AFA" w:rsidRPr="009F2D1E" w:rsidRDefault="001D4AFA" w:rsidP="009F2D1E">
            <w:pPr>
              <w:jc w:val="right"/>
              <w:rPr>
                <w:rFonts w:ascii="Times New Roman" w:hAnsi="Times New Roman"/>
                <w:sz w:val="14"/>
                <w:szCs w:val="14"/>
              </w:rPr>
            </w:pPr>
            <w:r w:rsidRPr="009F2D1E">
              <w:rPr>
                <w:sz w:val="14"/>
                <w:szCs w:val="14"/>
              </w:rPr>
              <w:t>412416,79</w:t>
            </w:r>
          </w:p>
        </w:tc>
        <w:tc>
          <w:tcPr>
            <w:tcW w:w="1183" w:type="dxa"/>
            <w:tcBorders>
              <w:top w:val="nil"/>
              <w:left w:val="nil"/>
              <w:bottom w:val="single" w:sz="4" w:space="0" w:color="auto"/>
              <w:right w:val="single" w:sz="4" w:space="0" w:color="auto"/>
            </w:tcBorders>
            <w:shd w:val="clear" w:color="000000" w:fill="CCFFFF"/>
            <w:noWrap/>
            <w:vAlign w:val="bottom"/>
            <w:hideMark/>
          </w:tcPr>
          <w:p w14:paraId="33078F58" w14:textId="77777777" w:rsidR="001D4AFA" w:rsidRPr="009F2D1E" w:rsidRDefault="001D4AFA" w:rsidP="009F2D1E">
            <w:pPr>
              <w:jc w:val="right"/>
              <w:rPr>
                <w:rFonts w:ascii="Times New Roman" w:hAnsi="Times New Roman"/>
                <w:sz w:val="14"/>
                <w:szCs w:val="14"/>
              </w:rPr>
            </w:pPr>
            <w:r w:rsidRPr="009F2D1E">
              <w:rPr>
                <w:sz w:val="14"/>
                <w:szCs w:val="14"/>
              </w:rPr>
              <w:t>394185,24</w:t>
            </w:r>
          </w:p>
        </w:tc>
        <w:tc>
          <w:tcPr>
            <w:tcW w:w="1197" w:type="dxa"/>
            <w:tcBorders>
              <w:top w:val="nil"/>
              <w:left w:val="nil"/>
              <w:bottom w:val="single" w:sz="4" w:space="0" w:color="auto"/>
              <w:right w:val="single" w:sz="4" w:space="0" w:color="auto"/>
            </w:tcBorders>
            <w:shd w:val="clear" w:color="000000" w:fill="CCFFFF"/>
            <w:vAlign w:val="bottom"/>
          </w:tcPr>
          <w:p w14:paraId="4412E38F" w14:textId="77777777" w:rsidR="001D4AFA" w:rsidRPr="009F2D1E" w:rsidRDefault="001D4AFA" w:rsidP="009F2D1E">
            <w:pPr>
              <w:jc w:val="right"/>
              <w:rPr>
                <w:rFonts w:ascii="Times New Roman" w:hAnsi="Times New Roman"/>
                <w:sz w:val="14"/>
                <w:szCs w:val="14"/>
              </w:rPr>
            </w:pPr>
            <w:r w:rsidRPr="009F2D1E">
              <w:rPr>
                <w:sz w:val="14"/>
                <w:szCs w:val="14"/>
              </w:rPr>
              <w:t>388285,64</w:t>
            </w:r>
          </w:p>
        </w:tc>
      </w:tr>
      <w:tr w:rsidR="001D4AFA" w:rsidRPr="00364545" w14:paraId="0C4B818A"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C21793F"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rPr>
              <w:t>equivalent emissions with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3B354F50" w14:textId="77777777" w:rsidR="001D4AFA" w:rsidRPr="009F2D1E" w:rsidRDefault="001D4AFA" w:rsidP="009F2D1E">
            <w:pPr>
              <w:jc w:val="right"/>
              <w:rPr>
                <w:rFonts w:ascii="Times New Roman" w:hAnsi="Times New Roman"/>
                <w:sz w:val="14"/>
                <w:szCs w:val="14"/>
              </w:rPr>
            </w:pPr>
            <w:r w:rsidRPr="009F2D1E">
              <w:rPr>
                <w:sz w:val="14"/>
                <w:szCs w:val="14"/>
              </w:rPr>
              <w:t>370279,74</w:t>
            </w:r>
          </w:p>
        </w:tc>
        <w:tc>
          <w:tcPr>
            <w:tcW w:w="1197" w:type="dxa"/>
            <w:tcBorders>
              <w:top w:val="nil"/>
              <w:left w:val="nil"/>
              <w:bottom w:val="single" w:sz="4" w:space="0" w:color="auto"/>
              <w:right w:val="single" w:sz="4" w:space="0" w:color="auto"/>
            </w:tcBorders>
            <w:shd w:val="clear" w:color="000000" w:fill="CCFFFF"/>
            <w:noWrap/>
            <w:vAlign w:val="bottom"/>
            <w:hideMark/>
          </w:tcPr>
          <w:p w14:paraId="07307959" w14:textId="77777777" w:rsidR="001D4AFA" w:rsidRPr="009F2D1E" w:rsidRDefault="001D4AFA" w:rsidP="009F2D1E">
            <w:pPr>
              <w:jc w:val="right"/>
              <w:rPr>
                <w:rFonts w:ascii="Times New Roman" w:hAnsi="Times New Roman"/>
                <w:sz w:val="14"/>
                <w:szCs w:val="14"/>
              </w:rPr>
            </w:pPr>
            <w:r w:rsidRPr="009F2D1E">
              <w:rPr>
                <w:sz w:val="14"/>
                <w:szCs w:val="14"/>
              </w:rPr>
              <w:t>370279,74</w:t>
            </w:r>
          </w:p>
        </w:tc>
        <w:tc>
          <w:tcPr>
            <w:tcW w:w="1197" w:type="dxa"/>
            <w:tcBorders>
              <w:top w:val="nil"/>
              <w:left w:val="nil"/>
              <w:bottom w:val="single" w:sz="4" w:space="0" w:color="auto"/>
              <w:right w:val="single" w:sz="4" w:space="0" w:color="auto"/>
            </w:tcBorders>
            <w:shd w:val="clear" w:color="000000" w:fill="CCFFFF"/>
            <w:noWrap/>
            <w:vAlign w:val="bottom"/>
            <w:hideMark/>
          </w:tcPr>
          <w:p w14:paraId="69ABF12B" w14:textId="77777777" w:rsidR="001D4AFA" w:rsidRPr="009F2D1E" w:rsidRDefault="001D4AFA" w:rsidP="009F2D1E">
            <w:pPr>
              <w:jc w:val="right"/>
              <w:rPr>
                <w:rFonts w:ascii="Times New Roman" w:hAnsi="Times New Roman"/>
                <w:sz w:val="14"/>
                <w:szCs w:val="14"/>
              </w:rPr>
            </w:pPr>
            <w:r w:rsidRPr="009F2D1E">
              <w:rPr>
                <w:sz w:val="14"/>
                <w:szCs w:val="14"/>
              </w:rPr>
              <w:t>395564,35</w:t>
            </w:r>
          </w:p>
        </w:tc>
        <w:tc>
          <w:tcPr>
            <w:tcW w:w="1183" w:type="dxa"/>
            <w:tcBorders>
              <w:top w:val="nil"/>
              <w:left w:val="nil"/>
              <w:bottom w:val="single" w:sz="4" w:space="0" w:color="auto"/>
              <w:right w:val="single" w:sz="4" w:space="0" w:color="auto"/>
            </w:tcBorders>
            <w:shd w:val="clear" w:color="000000" w:fill="CCFFFF"/>
            <w:noWrap/>
            <w:vAlign w:val="bottom"/>
            <w:hideMark/>
          </w:tcPr>
          <w:p w14:paraId="044FF46A" w14:textId="77777777" w:rsidR="001D4AFA" w:rsidRPr="009F2D1E" w:rsidRDefault="001D4AFA" w:rsidP="009F2D1E">
            <w:pPr>
              <w:jc w:val="right"/>
              <w:rPr>
                <w:rFonts w:ascii="Times New Roman" w:hAnsi="Times New Roman"/>
                <w:sz w:val="14"/>
                <w:szCs w:val="14"/>
              </w:rPr>
            </w:pPr>
            <w:r w:rsidRPr="009F2D1E">
              <w:rPr>
                <w:sz w:val="14"/>
                <w:szCs w:val="14"/>
              </w:rPr>
              <w:t>386207,36</w:t>
            </w:r>
          </w:p>
        </w:tc>
        <w:tc>
          <w:tcPr>
            <w:tcW w:w="1183" w:type="dxa"/>
            <w:tcBorders>
              <w:top w:val="nil"/>
              <w:left w:val="nil"/>
              <w:bottom w:val="single" w:sz="4" w:space="0" w:color="auto"/>
              <w:right w:val="single" w:sz="4" w:space="0" w:color="auto"/>
            </w:tcBorders>
            <w:shd w:val="clear" w:color="000000" w:fill="CCFFFF"/>
            <w:noWrap/>
            <w:vAlign w:val="bottom"/>
            <w:hideMark/>
          </w:tcPr>
          <w:p w14:paraId="0A60284E" w14:textId="77777777" w:rsidR="001D4AFA" w:rsidRPr="009F2D1E" w:rsidRDefault="001D4AFA" w:rsidP="009F2D1E">
            <w:pPr>
              <w:jc w:val="right"/>
              <w:rPr>
                <w:rFonts w:ascii="Times New Roman" w:hAnsi="Times New Roman"/>
                <w:sz w:val="14"/>
                <w:szCs w:val="14"/>
              </w:rPr>
            </w:pPr>
            <w:r w:rsidRPr="009F2D1E">
              <w:rPr>
                <w:sz w:val="14"/>
                <w:szCs w:val="14"/>
              </w:rPr>
              <w:t>364902,59</w:t>
            </w:r>
          </w:p>
        </w:tc>
        <w:tc>
          <w:tcPr>
            <w:tcW w:w="1197" w:type="dxa"/>
            <w:tcBorders>
              <w:top w:val="nil"/>
              <w:left w:val="nil"/>
              <w:bottom w:val="single" w:sz="4" w:space="0" w:color="auto"/>
              <w:right w:val="single" w:sz="4" w:space="0" w:color="auto"/>
            </w:tcBorders>
            <w:shd w:val="clear" w:color="000000" w:fill="CCFFFF"/>
            <w:vAlign w:val="bottom"/>
          </w:tcPr>
          <w:p w14:paraId="25F6E8BE" w14:textId="77777777" w:rsidR="001D4AFA" w:rsidRPr="009F2D1E" w:rsidRDefault="001D4AFA" w:rsidP="009F2D1E">
            <w:pPr>
              <w:jc w:val="right"/>
              <w:rPr>
                <w:rFonts w:ascii="Times New Roman" w:hAnsi="Times New Roman"/>
                <w:sz w:val="14"/>
                <w:szCs w:val="14"/>
              </w:rPr>
            </w:pPr>
            <w:r w:rsidRPr="009F2D1E">
              <w:rPr>
                <w:sz w:val="14"/>
                <w:szCs w:val="14"/>
              </w:rPr>
              <w:t>359027,48</w:t>
            </w:r>
          </w:p>
        </w:tc>
      </w:tr>
      <w:tr w:rsidR="001D4AFA" w:rsidRPr="00364545" w14:paraId="636F39BF"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47B54DAB"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rPr>
              <w:t xml:space="preserve"> equivalent emissions, including indirect </w:t>
            </w:r>
            <w:r w:rsidRPr="00364545">
              <w:t>CO</w:t>
            </w:r>
            <w:r w:rsidRPr="00364545">
              <w:rPr>
                <w:vertAlign w:val="subscript"/>
              </w:rPr>
              <w:t>2</w:t>
            </w:r>
            <w:r w:rsidRPr="00364545">
              <w:rPr>
                <w:rFonts w:asciiTheme="majorHAnsi" w:hAnsiTheme="majorHAnsi"/>
                <w:b/>
                <w:sz w:val="14"/>
              </w:rPr>
              <w:t>, without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11717E5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4A09056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57204D6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0D46493B"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5C74039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vAlign w:val="bottom"/>
          </w:tcPr>
          <w:p w14:paraId="69BBC486"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57CDD744" w14:textId="77777777" w:rsidTr="009F2D1E">
        <w:trPr>
          <w:trHeight w:val="68"/>
        </w:trPr>
        <w:tc>
          <w:tcPr>
            <w:tcW w:w="2785" w:type="dxa"/>
            <w:tcBorders>
              <w:top w:val="nil"/>
              <w:left w:val="single" w:sz="4" w:space="0" w:color="auto"/>
              <w:bottom w:val="single" w:sz="4" w:space="0" w:color="auto"/>
              <w:right w:val="single" w:sz="4" w:space="0" w:color="auto"/>
            </w:tcBorders>
            <w:shd w:val="clear" w:color="000000" w:fill="CCFFFF"/>
            <w:noWrap/>
            <w:vAlign w:val="center"/>
            <w:hideMark/>
          </w:tcPr>
          <w:p w14:paraId="3D0731E6" w14:textId="77777777" w:rsidR="001D4AFA" w:rsidRPr="00364545" w:rsidRDefault="001D4AFA" w:rsidP="009F2D1E">
            <w:pPr>
              <w:jc w:val="left"/>
              <w:rPr>
                <w:rFonts w:asciiTheme="majorHAnsi" w:hAnsiTheme="majorHAnsi"/>
                <w:b/>
                <w:bCs/>
                <w:sz w:val="14"/>
                <w:szCs w:val="16"/>
              </w:rPr>
            </w:pPr>
            <w:r w:rsidRPr="00364545">
              <w:rPr>
                <w:rFonts w:asciiTheme="majorHAnsi" w:hAnsiTheme="majorHAnsi"/>
                <w:b/>
                <w:sz w:val="14"/>
              </w:rPr>
              <w:t xml:space="preserve">Total </w:t>
            </w:r>
            <w:r w:rsidRPr="00364545">
              <w:t>CO</w:t>
            </w:r>
            <w:r w:rsidRPr="00364545">
              <w:rPr>
                <w:vertAlign w:val="subscript"/>
              </w:rPr>
              <w:t>2</w:t>
            </w:r>
            <w:r w:rsidRPr="00364545">
              <w:rPr>
                <w:rFonts w:asciiTheme="majorHAnsi" w:hAnsiTheme="majorHAnsi"/>
                <w:b/>
                <w:sz w:val="14"/>
                <w:vertAlign w:val="subscript"/>
              </w:rPr>
              <w:t xml:space="preserve"> </w:t>
            </w:r>
            <w:r w:rsidRPr="00364545">
              <w:rPr>
                <w:rFonts w:asciiTheme="majorHAnsi" w:hAnsiTheme="majorHAnsi"/>
                <w:b/>
                <w:sz w:val="14"/>
              </w:rPr>
              <w:t xml:space="preserve">equivalent emissions, including indirect </w:t>
            </w:r>
            <w:r w:rsidRPr="00364545">
              <w:t>CO</w:t>
            </w:r>
            <w:r w:rsidRPr="00364545">
              <w:rPr>
                <w:vertAlign w:val="subscript"/>
              </w:rPr>
              <w:t>2</w:t>
            </w:r>
            <w:r w:rsidRPr="00364545">
              <w:rPr>
                <w:rFonts w:asciiTheme="majorHAnsi" w:hAnsiTheme="majorHAnsi"/>
                <w:b/>
                <w:sz w:val="14"/>
              </w:rPr>
              <w:t>, with land use, land-use change and forestry</w:t>
            </w:r>
          </w:p>
        </w:tc>
        <w:tc>
          <w:tcPr>
            <w:tcW w:w="1198" w:type="dxa"/>
            <w:tcBorders>
              <w:top w:val="nil"/>
              <w:left w:val="nil"/>
              <w:bottom w:val="single" w:sz="4" w:space="0" w:color="auto"/>
              <w:right w:val="single" w:sz="4" w:space="0" w:color="auto"/>
            </w:tcBorders>
            <w:shd w:val="clear" w:color="000000" w:fill="CCFFFF"/>
            <w:noWrap/>
            <w:vAlign w:val="bottom"/>
            <w:hideMark/>
          </w:tcPr>
          <w:p w14:paraId="5812126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4858EF0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noWrap/>
            <w:vAlign w:val="bottom"/>
            <w:hideMark/>
          </w:tcPr>
          <w:p w14:paraId="16D7CCAC"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6FD39B2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3" w:type="dxa"/>
            <w:tcBorders>
              <w:top w:val="nil"/>
              <w:left w:val="nil"/>
              <w:bottom w:val="single" w:sz="4" w:space="0" w:color="auto"/>
              <w:right w:val="single" w:sz="4" w:space="0" w:color="auto"/>
            </w:tcBorders>
            <w:shd w:val="clear" w:color="000000" w:fill="CCFFFF"/>
            <w:noWrap/>
            <w:vAlign w:val="bottom"/>
            <w:hideMark/>
          </w:tcPr>
          <w:p w14:paraId="23F3271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7" w:type="dxa"/>
            <w:tcBorders>
              <w:top w:val="nil"/>
              <w:left w:val="nil"/>
              <w:bottom w:val="single" w:sz="4" w:space="0" w:color="auto"/>
              <w:right w:val="single" w:sz="4" w:space="0" w:color="auto"/>
            </w:tcBorders>
            <w:shd w:val="clear" w:color="000000" w:fill="CCFFFF"/>
            <w:vAlign w:val="bottom"/>
          </w:tcPr>
          <w:p w14:paraId="4230738E" w14:textId="77777777" w:rsidR="001D4AFA" w:rsidRPr="009F2D1E" w:rsidRDefault="001D4AFA" w:rsidP="009F2D1E">
            <w:pPr>
              <w:jc w:val="right"/>
              <w:rPr>
                <w:rFonts w:ascii="Times New Roman" w:hAnsi="Times New Roman"/>
                <w:sz w:val="14"/>
                <w:szCs w:val="14"/>
              </w:rPr>
            </w:pPr>
            <w:r w:rsidRPr="009F2D1E">
              <w:rPr>
                <w:sz w:val="14"/>
                <w:szCs w:val="14"/>
              </w:rPr>
              <w:t>NA</w:t>
            </w:r>
          </w:p>
        </w:tc>
      </w:tr>
    </w:tbl>
    <w:p w14:paraId="0EC82CE3" w14:textId="77777777" w:rsidR="001D4AFA" w:rsidRPr="00364545" w:rsidRDefault="001D4AFA" w:rsidP="001D4AFA">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866"/>
        <w:gridCol w:w="1167"/>
        <w:gridCol w:w="1167"/>
        <w:gridCol w:w="1196"/>
        <w:gridCol w:w="1182"/>
        <w:gridCol w:w="1181"/>
        <w:gridCol w:w="1181"/>
      </w:tblGrid>
      <w:tr w:rsidR="001D4AFA" w:rsidRPr="00364545" w14:paraId="4F7AA107" w14:textId="77777777" w:rsidTr="009F2D1E">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06ECA7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6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5B2F4C"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1995</w:t>
            </w:r>
          </w:p>
        </w:tc>
        <w:tc>
          <w:tcPr>
            <w:tcW w:w="1167" w:type="dxa"/>
            <w:tcBorders>
              <w:top w:val="single" w:sz="4" w:space="0" w:color="auto"/>
              <w:left w:val="nil"/>
              <w:bottom w:val="single" w:sz="4" w:space="0" w:color="auto"/>
              <w:right w:val="single" w:sz="4" w:space="0" w:color="auto"/>
            </w:tcBorders>
            <w:shd w:val="clear" w:color="000000" w:fill="CCFFFF"/>
            <w:noWrap/>
            <w:vAlign w:val="center"/>
            <w:hideMark/>
          </w:tcPr>
          <w:p w14:paraId="36324330"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1996</w:t>
            </w:r>
          </w:p>
        </w:tc>
        <w:tc>
          <w:tcPr>
            <w:tcW w:w="1196" w:type="dxa"/>
            <w:tcBorders>
              <w:top w:val="single" w:sz="4" w:space="0" w:color="auto"/>
              <w:left w:val="nil"/>
              <w:bottom w:val="single" w:sz="4" w:space="0" w:color="auto"/>
              <w:right w:val="single" w:sz="4" w:space="0" w:color="auto"/>
            </w:tcBorders>
            <w:shd w:val="clear" w:color="000000" w:fill="CCFFFF"/>
            <w:noWrap/>
            <w:vAlign w:val="center"/>
            <w:hideMark/>
          </w:tcPr>
          <w:p w14:paraId="41485457"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1997</w:t>
            </w:r>
          </w:p>
        </w:tc>
        <w:tc>
          <w:tcPr>
            <w:tcW w:w="1182" w:type="dxa"/>
            <w:tcBorders>
              <w:top w:val="single" w:sz="4" w:space="0" w:color="auto"/>
              <w:left w:val="nil"/>
              <w:bottom w:val="single" w:sz="4" w:space="0" w:color="auto"/>
              <w:right w:val="single" w:sz="4" w:space="0" w:color="auto"/>
            </w:tcBorders>
            <w:shd w:val="clear" w:color="000000" w:fill="CCFFFF"/>
            <w:noWrap/>
            <w:vAlign w:val="center"/>
            <w:hideMark/>
          </w:tcPr>
          <w:p w14:paraId="0ED86786"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1998</w:t>
            </w:r>
          </w:p>
        </w:tc>
        <w:tc>
          <w:tcPr>
            <w:tcW w:w="1181" w:type="dxa"/>
            <w:tcBorders>
              <w:top w:val="single" w:sz="4" w:space="0" w:color="auto"/>
              <w:left w:val="nil"/>
              <w:bottom w:val="single" w:sz="4" w:space="0" w:color="auto"/>
              <w:right w:val="single" w:sz="4" w:space="0" w:color="auto"/>
            </w:tcBorders>
            <w:shd w:val="clear" w:color="000000" w:fill="CCFFFF"/>
            <w:noWrap/>
            <w:vAlign w:val="center"/>
            <w:hideMark/>
          </w:tcPr>
          <w:p w14:paraId="1F0831F5"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1999</w:t>
            </w:r>
          </w:p>
        </w:tc>
        <w:tc>
          <w:tcPr>
            <w:tcW w:w="1181" w:type="dxa"/>
            <w:tcBorders>
              <w:top w:val="single" w:sz="4" w:space="0" w:color="auto"/>
              <w:left w:val="nil"/>
              <w:bottom w:val="single" w:sz="4" w:space="0" w:color="auto"/>
              <w:right w:val="single" w:sz="4" w:space="0" w:color="auto"/>
            </w:tcBorders>
            <w:shd w:val="clear" w:color="000000" w:fill="CCFFFF"/>
            <w:vAlign w:val="center"/>
          </w:tcPr>
          <w:p w14:paraId="18715946" w14:textId="77777777" w:rsidR="001D4AFA" w:rsidRPr="00364545" w:rsidRDefault="001D4AFA" w:rsidP="009F2D1E">
            <w:pPr>
              <w:jc w:val="center"/>
              <w:rPr>
                <w:rFonts w:ascii="Times New Roman" w:hAnsi="Times New Roman"/>
                <w:b/>
                <w:bCs/>
                <w:sz w:val="16"/>
                <w:szCs w:val="16"/>
              </w:rPr>
            </w:pPr>
            <w:r w:rsidRPr="00364545">
              <w:rPr>
                <w:b/>
                <w:sz w:val="16"/>
              </w:rPr>
              <w:t>2000</w:t>
            </w:r>
          </w:p>
        </w:tc>
      </w:tr>
      <w:tr w:rsidR="001D4AFA" w:rsidRPr="00364545" w14:paraId="6419AE4B" w14:textId="77777777" w:rsidTr="009F2D1E">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E807823"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67"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18DB474" w14:textId="77777777" w:rsidR="001D4AFA" w:rsidRPr="00364545" w:rsidRDefault="001D4AFA" w:rsidP="009F2D1E">
            <w:pPr>
              <w:jc w:val="right"/>
              <w:rPr>
                <w:rFonts w:ascii="Times New Roman" w:hAnsi="Times New Roman"/>
                <w:sz w:val="16"/>
                <w:szCs w:val="16"/>
              </w:rPr>
            </w:pPr>
            <w:r w:rsidRPr="00CB4B9F">
              <w:rPr>
                <w:sz w:val="14"/>
                <w:szCs w:val="14"/>
              </w:rPr>
              <w:t>361120,67</w:t>
            </w:r>
          </w:p>
        </w:tc>
        <w:tc>
          <w:tcPr>
            <w:tcW w:w="1167" w:type="dxa"/>
            <w:tcBorders>
              <w:top w:val="single" w:sz="4" w:space="0" w:color="auto"/>
              <w:left w:val="nil"/>
              <w:bottom w:val="single" w:sz="4" w:space="0" w:color="auto"/>
              <w:right w:val="single" w:sz="4" w:space="0" w:color="auto"/>
            </w:tcBorders>
            <w:shd w:val="clear" w:color="000000" w:fill="CCFFFF"/>
            <w:noWrap/>
            <w:vAlign w:val="bottom"/>
            <w:hideMark/>
          </w:tcPr>
          <w:p w14:paraId="04508289" w14:textId="77777777" w:rsidR="001D4AFA" w:rsidRPr="00364545" w:rsidRDefault="001D4AFA" w:rsidP="009F2D1E">
            <w:pPr>
              <w:jc w:val="right"/>
              <w:rPr>
                <w:rFonts w:ascii="Times New Roman" w:hAnsi="Times New Roman"/>
                <w:sz w:val="16"/>
                <w:szCs w:val="16"/>
              </w:rPr>
            </w:pPr>
            <w:r w:rsidRPr="00CB4B9F">
              <w:rPr>
                <w:sz w:val="14"/>
                <w:szCs w:val="14"/>
              </w:rPr>
              <w:t>370782,17</w:t>
            </w:r>
          </w:p>
        </w:tc>
        <w:tc>
          <w:tcPr>
            <w:tcW w:w="1196" w:type="dxa"/>
            <w:tcBorders>
              <w:top w:val="single" w:sz="4" w:space="0" w:color="auto"/>
              <w:left w:val="nil"/>
              <w:bottom w:val="single" w:sz="4" w:space="0" w:color="auto"/>
              <w:right w:val="single" w:sz="4" w:space="0" w:color="auto"/>
            </w:tcBorders>
            <w:shd w:val="clear" w:color="000000" w:fill="CCFFFF"/>
            <w:noWrap/>
            <w:vAlign w:val="bottom"/>
            <w:hideMark/>
          </w:tcPr>
          <w:p w14:paraId="1FAC84AF" w14:textId="77777777" w:rsidR="001D4AFA" w:rsidRPr="00364545" w:rsidRDefault="001D4AFA" w:rsidP="009F2D1E">
            <w:pPr>
              <w:jc w:val="right"/>
              <w:rPr>
                <w:rFonts w:ascii="Times New Roman" w:hAnsi="Times New Roman"/>
                <w:sz w:val="16"/>
                <w:szCs w:val="16"/>
              </w:rPr>
            </w:pPr>
            <w:r w:rsidRPr="00CB4B9F">
              <w:rPr>
                <w:sz w:val="14"/>
                <w:szCs w:val="14"/>
              </w:rPr>
              <w:t>363788,94</w:t>
            </w:r>
          </w:p>
        </w:tc>
        <w:tc>
          <w:tcPr>
            <w:tcW w:w="1182" w:type="dxa"/>
            <w:tcBorders>
              <w:top w:val="single" w:sz="4" w:space="0" w:color="auto"/>
              <w:left w:val="nil"/>
              <w:bottom w:val="single" w:sz="4" w:space="0" w:color="auto"/>
              <w:right w:val="single" w:sz="4" w:space="0" w:color="auto"/>
            </w:tcBorders>
            <w:shd w:val="clear" w:color="000000" w:fill="CCFFFF"/>
            <w:noWrap/>
            <w:vAlign w:val="bottom"/>
            <w:hideMark/>
          </w:tcPr>
          <w:p w14:paraId="386AE8EB" w14:textId="77777777" w:rsidR="001D4AFA" w:rsidRPr="00364545" w:rsidRDefault="001D4AFA" w:rsidP="009F2D1E">
            <w:pPr>
              <w:jc w:val="right"/>
              <w:rPr>
                <w:rFonts w:ascii="Times New Roman" w:hAnsi="Times New Roman"/>
                <w:sz w:val="16"/>
                <w:szCs w:val="16"/>
              </w:rPr>
            </w:pPr>
            <w:r w:rsidRPr="00CB4B9F">
              <w:rPr>
                <w:sz w:val="14"/>
                <w:szCs w:val="14"/>
              </w:rPr>
              <w:t>382286,23</w:t>
            </w:r>
          </w:p>
        </w:tc>
        <w:tc>
          <w:tcPr>
            <w:tcW w:w="1181" w:type="dxa"/>
            <w:tcBorders>
              <w:top w:val="single" w:sz="4" w:space="0" w:color="auto"/>
              <w:left w:val="nil"/>
              <w:bottom w:val="single" w:sz="4" w:space="0" w:color="auto"/>
              <w:right w:val="single" w:sz="4" w:space="0" w:color="auto"/>
            </w:tcBorders>
            <w:shd w:val="clear" w:color="000000" w:fill="CCFFFF"/>
            <w:noWrap/>
            <w:vAlign w:val="bottom"/>
            <w:hideMark/>
          </w:tcPr>
          <w:p w14:paraId="787653D0" w14:textId="77777777" w:rsidR="001D4AFA" w:rsidRPr="00364545" w:rsidRDefault="001D4AFA" w:rsidP="009F2D1E">
            <w:pPr>
              <w:jc w:val="right"/>
              <w:rPr>
                <w:rFonts w:ascii="Times New Roman" w:hAnsi="Times New Roman"/>
                <w:sz w:val="16"/>
                <w:szCs w:val="16"/>
              </w:rPr>
            </w:pPr>
            <w:r w:rsidRPr="00CB4B9F">
              <w:rPr>
                <w:sz w:val="14"/>
                <w:szCs w:val="14"/>
              </w:rPr>
              <w:t>378132,88</w:t>
            </w:r>
          </w:p>
        </w:tc>
        <w:tc>
          <w:tcPr>
            <w:tcW w:w="1181" w:type="dxa"/>
            <w:tcBorders>
              <w:top w:val="single" w:sz="4" w:space="0" w:color="auto"/>
              <w:left w:val="nil"/>
              <w:bottom w:val="single" w:sz="4" w:space="0" w:color="auto"/>
              <w:right w:val="single" w:sz="4" w:space="0" w:color="auto"/>
            </w:tcBorders>
            <w:shd w:val="clear" w:color="000000" w:fill="CCFFFF"/>
            <w:vAlign w:val="bottom"/>
          </w:tcPr>
          <w:p w14:paraId="6E7A4799" w14:textId="77777777" w:rsidR="001D4AFA" w:rsidRPr="00364545" w:rsidRDefault="001D4AFA" w:rsidP="009F2D1E">
            <w:pPr>
              <w:jc w:val="right"/>
              <w:rPr>
                <w:rFonts w:ascii="Times New Roman" w:hAnsi="Times New Roman"/>
                <w:sz w:val="16"/>
                <w:szCs w:val="16"/>
              </w:rPr>
            </w:pPr>
            <w:r w:rsidRPr="00CB4B9F">
              <w:rPr>
                <w:sz w:val="14"/>
                <w:szCs w:val="14"/>
              </w:rPr>
              <w:t>390193,77</w:t>
            </w:r>
          </w:p>
        </w:tc>
      </w:tr>
      <w:tr w:rsidR="001D4AFA" w:rsidRPr="00364545" w14:paraId="118DDDE7" w14:textId="77777777" w:rsidTr="009F2D1E">
        <w:trPr>
          <w:trHeight w:val="68"/>
          <w:jc w:val="center"/>
        </w:trPr>
        <w:tc>
          <w:tcPr>
            <w:tcW w:w="286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405AD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1. Energy</w:t>
            </w:r>
          </w:p>
        </w:tc>
        <w:tc>
          <w:tcPr>
            <w:tcW w:w="1167" w:type="dxa"/>
            <w:tcBorders>
              <w:top w:val="nil"/>
              <w:left w:val="nil"/>
              <w:bottom w:val="single" w:sz="4" w:space="0" w:color="auto"/>
              <w:right w:val="single" w:sz="4" w:space="0" w:color="auto"/>
            </w:tcBorders>
            <w:shd w:val="clear" w:color="000000" w:fill="CCFFFF"/>
            <w:noWrap/>
            <w:vAlign w:val="bottom"/>
            <w:hideMark/>
          </w:tcPr>
          <w:p w14:paraId="67EAFEDE" w14:textId="77777777" w:rsidR="001D4AFA" w:rsidRPr="009F2D1E" w:rsidRDefault="001D4AFA" w:rsidP="009F2D1E">
            <w:pPr>
              <w:jc w:val="right"/>
              <w:rPr>
                <w:rFonts w:ascii="Times New Roman" w:hAnsi="Times New Roman"/>
                <w:sz w:val="14"/>
                <w:szCs w:val="14"/>
              </w:rPr>
            </w:pPr>
            <w:r w:rsidRPr="009F2D1E">
              <w:rPr>
                <w:sz w:val="14"/>
                <w:szCs w:val="14"/>
              </w:rPr>
              <w:t>350114,94</w:t>
            </w:r>
          </w:p>
        </w:tc>
        <w:tc>
          <w:tcPr>
            <w:tcW w:w="1167" w:type="dxa"/>
            <w:tcBorders>
              <w:top w:val="nil"/>
              <w:left w:val="nil"/>
              <w:bottom w:val="single" w:sz="4" w:space="0" w:color="auto"/>
              <w:right w:val="single" w:sz="4" w:space="0" w:color="auto"/>
            </w:tcBorders>
            <w:shd w:val="clear" w:color="000000" w:fill="CCFFFF"/>
            <w:noWrap/>
            <w:vAlign w:val="bottom"/>
            <w:hideMark/>
          </w:tcPr>
          <w:p w14:paraId="3D406D08" w14:textId="77777777" w:rsidR="001D4AFA" w:rsidRPr="009F2D1E" w:rsidRDefault="001D4AFA" w:rsidP="009F2D1E">
            <w:pPr>
              <w:jc w:val="right"/>
              <w:rPr>
                <w:rFonts w:ascii="Times New Roman" w:hAnsi="Times New Roman"/>
                <w:sz w:val="14"/>
                <w:szCs w:val="14"/>
              </w:rPr>
            </w:pPr>
            <w:r w:rsidRPr="009F2D1E">
              <w:rPr>
                <w:sz w:val="14"/>
                <w:szCs w:val="14"/>
              </w:rPr>
              <w:t>366152,54</w:t>
            </w:r>
          </w:p>
        </w:tc>
        <w:tc>
          <w:tcPr>
            <w:tcW w:w="1196" w:type="dxa"/>
            <w:tcBorders>
              <w:top w:val="nil"/>
              <w:left w:val="nil"/>
              <w:bottom w:val="single" w:sz="4" w:space="0" w:color="auto"/>
              <w:right w:val="single" w:sz="4" w:space="0" w:color="auto"/>
            </w:tcBorders>
            <w:shd w:val="clear" w:color="000000" w:fill="CCFFFF"/>
            <w:noWrap/>
            <w:vAlign w:val="bottom"/>
            <w:hideMark/>
          </w:tcPr>
          <w:p w14:paraId="6BA39256" w14:textId="77777777" w:rsidR="001D4AFA" w:rsidRPr="009F2D1E" w:rsidRDefault="001D4AFA" w:rsidP="009F2D1E">
            <w:pPr>
              <w:jc w:val="right"/>
              <w:rPr>
                <w:rFonts w:ascii="Times New Roman" w:hAnsi="Times New Roman"/>
                <w:sz w:val="14"/>
                <w:szCs w:val="14"/>
              </w:rPr>
            </w:pPr>
            <w:r w:rsidRPr="009F2D1E">
              <w:rPr>
                <w:sz w:val="14"/>
                <w:szCs w:val="14"/>
              </w:rPr>
              <w:t>358000,63</w:t>
            </w:r>
          </w:p>
        </w:tc>
        <w:tc>
          <w:tcPr>
            <w:tcW w:w="1182" w:type="dxa"/>
            <w:tcBorders>
              <w:top w:val="nil"/>
              <w:left w:val="nil"/>
              <w:bottom w:val="single" w:sz="4" w:space="0" w:color="auto"/>
              <w:right w:val="single" w:sz="4" w:space="0" w:color="auto"/>
            </w:tcBorders>
            <w:shd w:val="clear" w:color="000000" w:fill="CCFFFF"/>
            <w:noWrap/>
            <w:vAlign w:val="bottom"/>
            <w:hideMark/>
          </w:tcPr>
          <w:p w14:paraId="7D31E38D" w14:textId="77777777" w:rsidR="001D4AFA" w:rsidRPr="009F2D1E" w:rsidRDefault="001D4AFA" w:rsidP="009F2D1E">
            <w:pPr>
              <w:jc w:val="right"/>
              <w:rPr>
                <w:rFonts w:ascii="Times New Roman" w:hAnsi="Times New Roman"/>
                <w:sz w:val="14"/>
                <w:szCs w:val="14"/>
              </w:rPr>
            </w:pPr>
            <w:r w:rsidRPr="009F2D1E">
              <w:rPr>
                <w:sz w:val="14"/>
                <w:szCs w:val="14"/>
              </w:rPr>
              <w:t>377369,92</w:t>
            </w:r>
          </w:p>
        </w:tc>
        <w:tc>
          <w:tcPr>
            <w:tcW w:w="1181" w:type="dxa"/>
            <w:tcBorders>
              <w:top w:val="nil"/>
              <w:left w:val="nil"/>
              <w:bottom w:val="single" w:sz="4" w:space="0" w:color="auto"/>
              <w:right w:val="single" w:sz="4" w:space="0" w:color="auto"/>
            </w:tcBorders>
            <w:shd w:val="clear" w:color="000000" w:fill="CCFFFF"/>
            <w:noWrap/>
            <w:vAlign w:val="bottom"/>
            <w:hideMark/>
          </w:tcPr>
          <w:p w14:paraId="7DF3913A" w14:textId="77777777" w:rsidR="001D4AFA" w:rsidRPr="009F2D1E" w:rsidRDefault="001D4AFA" w:rsidP="009F2D1E">
            <w:pPr>
              <w:jc w:val="right"/>
              <w:rPr>
                <w:rFonts w:ascii="Times New Roman" w:hAnsi="Times New Roman"/>
                <w:sz w:val="14"/>
                <w:szCs w:val="14"/>
              </w:rPr>
            </w:pPr>
            <w:r w:rsidRPr="009F2D1E">
              <w:rPr>
                <w:sz w:val="14"/>
                <w:szCs w:val="14"/>
              </w:rPr>
              <w:t>376234,10</w:t>
            </w:r>
          </w:p>
        </w:tc>
        <w:tc>
          <w:tcPr>
            <w:tcW w:w="1181" w:type="dxa"/>
            <w:tcBorders>
              <w:top w:val="nil"/>
              <w:left w:val="nil"/>
              <w:bottom w:val="single" w:sz="4" w:space="0" w:color="auto"/>
              <w:right w:val="single" w:sz="4" w:space="0" w:color="auto"/>
            </w:tcBorders>
            <w:shd w:val="clear" w:color="000000" w:fill="CCFFFF"/>
            <w:vAlign w:val="bottom"/>
          </w:tcPr>
          <w:p w14:paraId="04176BC4" w14:textId="77777777" w:rsidR="001D4AFA" w:rsidRPr="009F2D1E" w:rsidRDefault="001D4AFA" w:rsidP="009F2D1E">
            <w:pPr>
              <w:jc w:val="right"/>
              <w:rPr>
                <w:rFonts w:ascii="Times New Roman" w:hAnsi="Times New Roman"/>
                <w:sz w:val="14"/>
                <w:szCs w:val="14"/>
              </w:rPr>
            </w:pPr>
            <w:r w:rsidRPr="009F2D1E">
              <w:rPr>
                <w:sz w:val="14"/>
                <w:szCs w:val="14"/>
              </w:rPr>
              <w:t>370521,77</w:t>
            </w:r>
          </w:p>
        </w:tc>
      </w:tr>
      <w:tr w:rsidR="001D4AFA" w:rsidRPr="00364545" w14:paraId="33EB983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A86940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67" w:type="dxa"/>
            <w:tcBorders>
              <w:top w:val="nil"/>
              <w:left w:val="nil"/>
              <w:bottom w:val="single" w:sz="4" w:space="0" w:color="auto"/>
              <w:right w:val="single" w:sz="4" w:space="0" w:color="auto"/>
            </w:tcBorders>
            <w:shd w:val="clear" w:color="000000" w:fill="CCFFFF"/>
            <w:noWrap/>
            <w:vAlign w:val="bottom"/>
            <w:hideMark/>
          </w:tcPr>
          <w:p w14:paraId="67E9915B" w14:textId="77777777" w:rsidR="001D4AFA" w:rsidRPr="009F2D1E" w:rsidRDefault="001D4AFA" w:rsidP="009F2D1E">
            <w:pPr>
              <w:jc w:val="right"/>
              <w:rPr>
                <w:rFonts w:ascii="Times New Roman" w:hAnsi="Times New Roman"/>
                <w:sz w:val="14"/>
                <w:szCs w:val="14"/>
              </w:rPr>
            </w:pPr>
            <w:r w:rsidRPr="009F2D1E">
              <w:rPr>
                <w:sz w:val="14"/>
                <w:szCs w:val="14"/>
              </w:rPr>
              <w:t>345693,77</w:t>
            </w:r>
          </w:p>
        </w:tc>
        <w:tc>
          <w:tcPr>
            <w:tcW w:w="1167" w:type="dxa"/>
            <w:tcBorders>
              <w:top w:val="nil"/>
              <w:left w:val="nil"/>
              <w:bottom w:val="single" w:sz="4" w:space="0" w:color="auto"/>
              <w:right w:val="single" w:sz="4" w:space="0" w:color="auto"/>
            </w:tcBorders>
            <w:shd w:val="clear" w:color="000000" w:fill="CCFFFF"/>
            <w:noWrap/>
            <w:vAlign w:val="bottom"/>
            <w:hideMark/>
          </w:tcPr>
          <w:p w14:paraId="067A2E79" w14:textId="77777777" w:rsidR="001D4AFA" w:rsidRPr="009F2D1E" w:rsidRDefault="001D4AFA" w:rsidP="009F2D1E">
            <w:pPr>
              <w:jc w:val="right"/>
              <w:rPr>
                <w:rFonts w:ascii="Times New Roman" w:hAnsi="Times New Roman"/>
                <w:sz w:val="14"/>
                <w:szCs w:val="14"/>
              </w:rPr>
            </w:pPr>
            <w:r w:rsidRPr="009F2D1E">
              <w:rPr>
                <w:sz w:val="14"/>
                <w:szCs w:val="14"/>
              </w:rPr>
              <w:t>361559,70</w:t>
            </w:r>
          </w:p>
        </w:tc>
        <w:tc>
          <w:tcPr>
            <w:tcW w:w="1196" w:type="dxa"/>
            <w:tcBorders>
              <w:top w:val="nil"/>
              <w:left w:val="nil"/>
              <w:bottom w:val="single" w:sz="4" w:space="0" w:color="auto"/>
              <w:right w:val="single" w:sz="4" w:space="0" w:color="auto"/>
            </w:tcBorders>
            <w:shd w:val="clear" w:color="000000" w:fill="CCFFFF"/>
            <w:noWrap/>
            <w:vAlign w:val="bottom"/>
            <w:hideMark/>
          </w:tcPr>
          <w:p w14:paraId="18558657" w14:textId="77777777" w:rsidR="001D4AFA" w:rsidRPr="009F2D1E" w:rsidRDefault="001D4AFA" w:rsidP="009F2D1E">
            <w:pPr>
              <w:jc w:val="right"/>
              <w:rPr>
                <w:rFonts w:ascii="Times New Roman" w:hAnsi="Times New Roman"/>
                <w:sz w:val="14"/>
                <w:szCs w:val="14"/>
              </w:rPr>
            </w:pPr>
            <w:r w:rsidRPr="009F2D1E">
              <w:rPr>
                <w:sz w:val="14"/>
                <w:szCs w:val="14"/>
              </w:rPr>
              <w:t>353459,73</w:t>
            </w:r>
          </w:p>
        </w:tc>
        <w:tc>
          <w:tcPr>
            <w:tcW w:w="1182" w:type="dxa"/>
            <w:tcBorders>
              <w:top w:val="nil"/>
              <w:left w:val="nil"/>
              <w:bottom w:val="single" w:sz="4" w:space="0" w:color="auto"/>
              <w:right w:val="single" w:sz="4" w:space="0" w:color="auto"/>
            </w:tcBorders>
            <w:shd w:val="clear" w:color="000000" w:fill="CCFFFF"/>
            <w:noWrap/>
            <w:vAlign w:val="bottom"/>
            <w:hideMark/>
          </w:tcPr>
          <w:p w14:paraId="240F7BCB" w14:textId="77777777" w:rsidR="001D4AFA" w:rsidRPr="009F2D1E" w:rsidRDefault="001D4AFA" w:rsidP="009F2D1E">
            <w:pPr>
              <w:jc w:val="right"/>
              <w:rPr>
                <w:rFonts w:ascii="Times New Roman" w:hAnsi="Times New Roman"/>
                <w:sz w:val="14"/>
                <w:szCs w:val="14"/>
              </w:rPr>
            </w:pPr>
            <w:r w:rsidRPr="009F2D1E">
              <w:rPr>
                <w:sz w:val="14"/>
                <w:szCs w:val="14"/>
              </w:rPr>
              <w:t>372912,75</w:t>
            </w:r>
          </w:p>
        </w:tc>
        <w:tc>
          <w:tcPr>
            <w:tcW w:w="1181" w:type="dxa"/>
            <w:tcBorders>
              <w:top w:val="nil"/>
              <w:left w:val="nil"/>
              <w:bottom w:val="single" w:sz="4" w:space="0" w:color="auto"/>
              <w:right w:val="single" w:sz="4" w:space="0" w:color="auto"/>
            </w:tcBorders>
            <w:shd w:val="clear" w:color="000000" w:fill="CCFFFF"/>
            <w:noWrap/>
            <w:vAlign w:val="bottom"/>
            <w:hideMark/>
          </w:tcPr>
          <w:p w14:paraId="010CD977" w14:textId="77777777" w:rsidR="001D4AFA" w:rsidRPr="009F2D1E" w:rsidRDefault="001D4AFA" w:rsidP="009F2D1E">
            <w:pPr>
              <w:jc w:val="right"/>
              <w:rPr>
                <w:rFonts w:ascii="Times New Roman" w:hAnsi="Times New Roman"/>
                <w:sz w:val="14"/>
                <w:szCs w:val="14"/>
              </w:rPr>
            </w:pPr>
            <w:r w:rsidRPr="009F2D1E">
              <w:rPr>
                <w:sz w:val="14"/>
                <w:szCs w:val="14"/>
              </w:rPr>
              <w:t>372086,72</w:t>
            </w:r>
          </w:p>
        </w:tc>
        <w:tc>
          <w:tcPr>
            <w:tcW w:w="1181" w:type="dxa"/>
            <w:tcBorders>
              <w:top w:val="nil"/>
              <w:left w:val="nil"/>
              <w:bottom w:val="single" w:sz="4" w:space="0" w:color="auto"/>
              <w:right w:val="single" w:sz="4" w:space="0" w:color="auto"/>
            </w:tcBorders>
            <w:shd w:val="clear" w:color="000000" w:fill="CCFFFF"/>
            <w:vAlign w:val="bottom"/>
          </w:tcPr>
          <w:p w14:paraId="64FF5EFA" w14:textId="77777777" w:rsidR="001D4AFA" w:rsidRPr="009F2D1E" w:rsidRDefault="001D4AFA" w:rsidP="009F2D1E">
            <w:pPr>
              <w:jc w:val="right"/>
              <w:rPr>
                <w:rFonts w:ascii="Times New Roman" w:hAnsi="Times New Roman"/>
                <w:sz w:val="14"/>
                <w:szCs w:val="14"/>
              </w:rPr>
            </w:pPr>
            <w:r w:rsidRPr="009F2D1E">
              <w:rPr>
                <w:sz w:val="14"/>
                <w:szCs w:val="14"/>
              </w:rPr>
              <w:t>366225,36</w:t>
            </w:r>
          </w:p>
        </w:tc>
      </w:tr>
      <w:tr w:rsidR="001D4AFA" w:rsidRPr="00364545" w14:paraId="08BD0130"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03BD497"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67" w:type="dxa"/>
            <w:tcBorders>
              <w:top w:val="nil"/>
              <w:left w:val="nil"/>
              <w:bottom w:val="single" w:sz="4" w:space="0" w:color="auto"/>
              <w:right w:val="single" w:sz="4" w:space="0" w:color="auto"/>
            </w:tcBorders>
            <w:shd w:val="clear" w:color="000000" w:fill="FFFFFF"/>
            <w:noWrap/>
            <w:vAlign w:val="bottom"/>
            <w:hideMark/>
          </w:tcPr>
          <w:p w14:paraId="425797CC" w14:textId="77777777" w:rsidR="001D4AFA" w:rsidRPr="009F2D1E" w:rsidRDefault="001D4AFA" w:rsidP="009F2D1E">
            <w:pPr>
              <w:jc w:val="right"/>
              <w:rPr>
                <w:rFonts w:ascii="Times New Roman" w:hAnsi="Times New Roman"/>
                <w:sz w:val="14"/>
                <w:szCs w:val="14"/>
              </w:rPr>
            </w:pPr>
            <w:r w:rsidRPr="009F2D1E">
              <w:rPr>
                <w:sz w:val="14"/>
                <w:szCs w:val="14"/>
              </w:rPr>
              <w:t>55329,47</w:t>
            </w:r>
          </w:p>
        </w:tc>
        <w:tc>
          <w:tcPr>
            <w:tcW w:w="1167" w:type="dxa"/>
            <w:tcBorders>
              <w:top w:val="nil"/>
              <w:left w:val="nil"/>
              <w:bottom w:val="single" w:sz="4" w:space="0" w:color="auto"/>
              <w:right w:val="single" w:sz="4" w:space="0" w:color="auto"/>
            </w:tcBorders>
            <w:shd w:val="clear" w:color="000000" w:fill="FFFFFF"/>
            <w:noWrap/>
            <w:vAlign w:val="bottom"/>
            <w:hideMark/>
          </w:tcPr>
          <w:p w14:paraId="3567392A" w14:textId="77777777" w:rsidR="001D4AFA" w:rsidRPr="009F2D1E" w:rsidRDefault="001D4AFA" w:rsidP="009F2D1E">
            <w:pPr>
              <w:jc w:val="right"/>
              <w:rPr>
                <w:rFonts w:ascii="Times New Roman" w:hAnsi="Times New Roman"/>
                <w:sz w:val="14"/>
                <w:szCs w:val="14"/>
              </w:rPr>
            </w:pPr>
            <w:r w:rsidRPr="009F2D1E">
              <w:rPr>
                <w:sz w:val="14"/>
                <w:szCs w:val="14"/>
              </w:rPr>
              <w:t>59998,95</w:t>
            </w:r>
          </w:p>
        </w:tc>
        <w:tc>
          <w:tcPr>
            <w:tcW w:w="1196" w:type="dxa"/>
            <w:tcBorders>
              <w:top w:val="nil"/>
              <w:left w:val="nil"/>
              <w:bottom w:val="single" w:sz="4" w:space="0" w:color="auto"/>
              <w:right w:val="single" w:sz="4" w:space="0" w:color="auto"/>
            </w:tcBorders>
            <w:shd w:val="clear" w:color="000000" w:fill="FFFFFF"/>
            <w:noWrap/>
            <w:vAlign w:val="bottom"/>
            <w:hideMark/>
          </w:tcPr>
          <w:p w14:paraId="5408C1BF" w14:textId="77777777" w:rsidR="001D4AFA" w:rsidRPr="009F2D1E" w:rsidRDefault="001D4AFA" w:rsidP="009F2D1E">
            <w:pPr>
              <w:jc w:val="right"/>
              <w:rPr>
                <w:rFonts w:ascii="Times New Roman" w:hAnsi="Times New Roman"/>
                <w:sz w:val="14"/>
                <w:szCs w:val="14"/>
              </w:rPr>
            </w:pPr>
            <w:r w:rsidRPr="009F2D1E">
              <w:rPr>
                <w:sz w:val="14"/>
                <w:szCs w:val="14"/>
              </w:rPr>
              <w:t>56427,99</w:t>
            </w:r>
          </w:p>
        </w:tc>
        <w:tc>
          <w:tcPr>
            <w:tcW w:w="1182" w:type="dxa"/>
            <w:tcBorders>
              <w:top w:val="nil"/>
              <w:left w:val="nil"/>
              <w:bottom w:val="single" w:sz="4" w:space="0" w:color="auto"/>
              <w:right w:val="single" w:sz="4" w:space="0" w:color="auto"/>
            </w:tcBorders>
            <w:shd w:val="clear" w:color="000000" w:fill="FFFFFF"/>
            <w:noWrap/>
            <w:vAlign w:val="bottom"/>
            <w:hideMark/>
          </w:tcPr>
          <w:p w14:paraId="6EFD8CC8" w14:textId="77777777" w:rsidR="001D4AFA" w:rsidRPr="009F2D1E" w:rsidRDefault="001D4AFA" w:rsidP="009F2D1E">
            <w:pPr>
              <w:jc w:val="right"/>
              <w:rPr>
                <w:rFonts w:ascii="Times New Roman" w:hAnsi="Times New Roman"/>
                <w:sz w:val="14"/>
                <w:szCs w:val="14"/>
              </w:rPr>
            </w:pPr>
            <w:r w:rsidRPr="009F2D1E">
              <w:rPr>
                <w:sz w:val="14"/>
                <w:szCs w:val="14"/>
              </w:rPr>
              <w:t>68949,74</w:t>
            </w:r>
          </w:p>
        </w:tc>
        <w:tc>
          <w:tcPr>
            <w:tcW w:w="1181" w:type="dxa"/>
            <w:tcBorders>
              <w:top w:val="nil"/>
              <w:left w:val="nil"/>
              <w:bottom w:val="single" w:sz="4" w:space="0" w:color="auto"/>
              <w:right w:val="single" w:sz="4" w:space="0" w:color="auto"/>
            </w:tcBorders>
            <w:shd w:val="clear" w:color="000000" w:fill="FFFFFF"/>
            <w:noWrap/>
            <w:vAlign w:val="bottom"/>
            <w:hideMark/>
          </w:tcPr>
          <w:p w14:paraId="100ED10A" w14:textId="77777777" w:rsidR="001D4AFA" w:rsidRPr="009F2D1E" w:rsidRDefault="001D4AFA" w:rsidP="009F2D1E">
            <w:pPr>
              <w:jc w:val="right"/>
              <w:rPr>
                <w:rFonts w:ascii="Times New Roman" w:hAnsi="Times New Roman"/>
                <w:sz w:val="14"/>
                <w:szCs w:val="14"/>
              </w:rPr>
            </w:pPr>
            <w:r w:rsidRPr="009F2D1E">
              <w:rPr>
                <w:sz w:val="14"/>
                <w:szCs w:val="14"/>
              </w:rPr>
              <w:t>62422,56</w:t>
            </w:r>
          </w:p>
        </w:tc>
        <w:tc>
          <w:tcPr>
            <w:tcW w:w="1181" w:type="dxa"/>
            <w:tcBorders>
              <w:top w:val="nil"/>
              <w:left w:val="nil"/>
              <w:bottom w:val="single" w:sz="4" w:space="0" w:color="auto"/>
              <w:right w:val="single" w:sz="4" w:space="0" w:color="auto"/>
            </w:tcBorders>
            <w:shd w:val="clear" w:color="000000" w:fill="FFFFFF"/>
            <w:vAlign w:val="bottom"/>
          </w:tcPr>
          <w:p w14:paraId="23763431" w14:textId="77777777" w:rsidR="001D4AFA" w:rsidRPr="009F2D1E" w:rsidRDefault="001D4AFA" w:rsidP="009F2D1E">
            <w:pPr>
              <w:jc w:val="right"/>
              <w:rPr>
                <w:rFonts w:ascii="Times New Roman" w:hAnsi="Times New Roman"/>
                <w:sz w:val="14"/>
                <w:szCs w:val="14"/>
              </w:rPr>
            </w:pPr>
            <w:r w:rsidRPr="009F2D1E">
              <w:rPr>
                <w:sz w:val="14"/>
                <w:szCs w:val="14"/>
              </w:rPr>
              <w:t>61956,30</w:t>
            </w:r>
          </w:p>
        </w:tc>
      </w:tr>
      <w:tr w:rsidR="001D4AFA" w:rsidRPr="00364545" w14:paraId="5E2AB1C2"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5E3498E"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67" w:type="dxa"/>
            <w:tcBorders>
              <w:top w:val="nil"/>
              <w:left w:val="nil"/>
              <w:bottom w:val="single" w:sz="4" w:space="0" w:color="auto"/>
              <w:right w:val="single" w:sz="4" w:space="0" w:color="auto"/>
            </w:tcBorders>
            <w:shd w:val="clear" w:color="000000" w:fill="FFFFFF"/>
            <w:noWrap/>
            <w:vAlign w:val="bottom"/>
            <w:hideMark/>
          </w:tcPr>
          <w:p w14:paraId="0B89B27E" w14:textId="77777777" w:rsidR="001D4AFA" w:rsidRPr="009F2D1E" w:rsidRDefault="001D4AFA" w:rsidP="009F2D1E">
            <w:pPr>
              <w:jc w:val="right"/>
              <w:rPr>
                <w:rFonts w:ascii="Times New Roman" w:hAnsi="Times New Roman"/>
                <w:sz w:val="14"/>
                <w:szCs w:val="14"/>
              </w:rPr>
            </w:pPr>
            <w:r w:rsidRPr="009F2D1E">
              <w:rPr>
                <w:sz w:val="14"/>
                <w:szCs w:val="14"/>
              </w:rPr>
              <w:t>68882,99</w:t>
            </w:r>
          </w:p>
        </w:tc>
        <w:tc>
          <w:tcPr>
            <w:tcW w:w="1167" w:type="dxa"/>
            <w:tcBorders>
              <w:top w:val="nil"/>
              <w:left w:val="nil"/>
              <w:bottom w:val="single" w:sz="4" w:space="0" w:color="auto"/>
              <w:right w:val="single" w:sz="4" w:space="0" w:color="auto"/>
            </w:tcBorders>
            <w:shd w:val="clear" w:color="000000" w:fill="FFFFFF"/>
            <w:noWrap/>
            <w:vAlign w:val="bottom"/>
            <w:hideMark/>
          </w:tcPr>
          <w:p w14:paraId="3C914073" w14:textId="77777777" w:rsidR="001D4AFA" w:rsidRPr="009F2D1E" w:rsidRDefault="001D4AFA" w:rsidP="009F2D1E">
            <w:pPr>
              <w:jc w:val="right"/>
              <w:rPr>
                <w:rFonts w:ascii="Times New Roman" w:hAnsi="Times New Roman"/>
                <w:sz w:val="14"/>
                <w:szCs w:val="14"/>
              </w:rPr>
            </w:pPr>
            <w:r w:rsidRPr="009F2D1E">
              <w:rPr>
                <w:sz w:val="14"/>
                <w:szCs w:val="14"/>
              </w:rPr>
              <w:t>71016,82</w:t>
            </w:r>
          </w:p>
        </w:tc>
        <w:tc>
          <w:tcPr>
            <w:tcW w:w="1196" w:type="dxa"/>
            <w:tcBorders>
              <w:top w:val="nil"/>
              <w:left w:val="nil"/>
              <w:bottom w:val="single" w:sz="4" w:space="0" w:color="auto"/>
              <w:right w:val="single" w:sz="4" w:space="0" w:color="auto"/>
            </w:tcBorders>
            <w:shd w:val="clear" w:color="000000" w:fill="FFFFFF"/>
            <w:noWrap/>
            <w:vAlign w:val="bottom"/>
            <w:hideMark/>
          </w:tcPr>
          <w:p w14:paraId="2B6249DB" w14:textId="77777777" w:rsidR="001D4AFA" w:rsidRPr="009F2D1E" w:rsidRDefault="001D4AFA" w:rsidP="009F2D1E">
            <w:pPr>
              <w:jc w:val="right"/>
              <w:rPr>
                <w:rFonts w:ascii="Times New Roman" w:hAnsi="Times New Roman"/>
                <w:sz w:val="14"/>
                <w:szCs w:val="14"/>
              </w:rPr>
            </w:pPr>
            <w:r w:rsidRPr="009F2D1E">
              <w:rPr>
                <w:sz w:val="14"/>
                <w:szCs w:val="14"/>
              </w:rPr>
              <w:t>69043,20</w:t>
            </w:r>
          </w:p>
        </w:tc>
        <w:tc>
          <w:tcPr>
            <w:tcW w:w="1182" w:type="dxa"/>
            <w:tcBorders>
              <w:top w:val="nil"/>
              <w:left w:val="nil"/>
              <w:bottom w:val="single" w:sz="4" w:space="0" w:color="auto"/>
              <w:right w:val="single" w:sz="4" w:space="0" w:color="auto"/>
            </w:tcBorders>
            <w:shd w:val="clear" w:color="000000" w:fill="FFFFFF"/>
            <w:noWrap/>
            <w:vAlign w:val="bottom"/>
            <w:hideMark/>
          </w:tcPr>
          <w:p w14:paraId="74B8145F" w14:textId="77777777" w:rsidR="001D4AFA" w:rsidRPr="009F2D1E" w:rsidRDefault="001D4AFA" w:rsidP="009F2D1E">
            <w:pPr>
              <w:jc w:val="right"/>
              <w:rPr>
                <w:rFonts w:ascii="Times New Roman" w:hAnsi="Times New Roman"/>
                <w:sz w:val="14"/>
                <w:szCs w:val="14"/>
              </w:rPr>
            </w:pPr>
            <w:r w:rsidRPr="009F2D1E">
              <w:rPr>
                <w:sz w:val="14"/>
                <w:szCs w:val="14"/>
              </w:rPr>
              <w:t>68059,36</w:t>
            </w:r>
          </w:p>
        </w:tc>
        <w:tc>
          <w:tcPr>
            <w:tcW w:w="1181" w:type="dxa"/>
            <w:tcBorders>
              <w:top w:val="nil"/>
              <w:left w:val="nil"/>
              <w:bottom w:val="single" w:sz="4" w:space="0" w:color="auto"/>
              <w:right w:val="single" w:sz="4" w:space="0" w:color="auto"/>
            </w:tcBorders>
            <w:shd w:val="clear" w:color="000000" w:fill="FFFFFF"/>
            <w:noWrap/>
            <w:vAlign w:val="bottom"/>
            <w:hideMark/>
          </w:tcPr>
          <w:p w14:paraId="54F27B18" w14:textId="77777777" w:rsidR="001D4AFA" w:rsidRPr="009F2D1E" w:rsidRDefault="001D4AFA" w:rsidP="009F2D1E">
            <w:pPr>
              <w:jc w:val="right"/>
              <w:rPr>
                <w:rFonts w:ascii="Times New Roman" w:hAnsi="Times New Roman"/>
                <w:sz w:val="14"/>
                <w:szCs w:val="14"/>
              </w:rPr>
            </w:pPr>
            <w:r w:rsidRPr="009F2D1E">
              <w:rPr>
                <w:sz w:val="14"/>
                <w:szCs w:val="14"/>
              </w:rPr>
              <w:t>68646,38</w:t>
            </w:r>
          </w:p>
        </w:tc>
        <w:tc>
          <w:tcPr>
            <w:tcW w:w="1181" w:type="dxa"/>
            <w:tcBorders>
              <w:top w:val="nil"/>
              <w:left w:val="nil"/>
              <w:bottom w:val="single" w:sz="4" w:space="0" w:color="auto"/>
              <w:right w:val="single" w:sz="4" w:space="0" w:color="auto"/>
            </w:tcBorders>
            <w:shd w:val="clear" w:color="000000" w:fill="FFFFFF"/>
            <w:vAlign w:val="bottom"/>
          </w:tcPr>
          <w:p w14:paraId="756927D9" w14:textId="77777777" w:rsidR="001D4AFA" w:rsidRPr="009F2D1E" w:rsidRDefault="001D4AFA" w:rsidP="009F2D1E">
            <w:pPr>
              <w:jc w:val="right"/>
              <w:rPr>
                <w:rFonts w:ascii="Times New Roman" w:hAnsi="Times New Roman"/>
                <w:sz w:val="14"/>
                <w:szCs w:val="14"/>
              </w:rPr>
            </w:pPr>
            <w:r w:rsidRPr="009F2D1E">
              <w:rPr>
                <w:sz w:val="14"/>
                <w:szCs w:val="14"/>
              </w:rPr>
              <w:t>67107,91</w:t>
            </w:r>
          </w:p>
        </w:tc>
      </w:tr>
      <w:tr w:rsidR="001D4AFA" w:rsidRPr="00364545" w14:paraId="3C041148"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6F2381E"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67" w:type="dxa"/>
            <w:tcBorders>
              <w:top w:val="nil"/>
              <w:left w:val="nil"/>
              <w:bottom w:val="single" w:sz="4" w:space="0" w:color="auto"/>
              <w:right w:val="single" w:sz="4" w:space="0" w:color="auto"/>
            </w:tcBorders>
            <w:shd w:val="clear" w:color="000000" w:fill="FFFFFF"/>
            <w:noWrap/>
            <w:vAlign w:val="bottom"/>
            <w:hideMark/>
          </w:tcPr>
          <w:p w14:paraId="355FAC2B" w14:textId="77777777" w:rsidR="001D4AFA" w:rsidRPr="009F2D1E" w:rsidRDefault="001D4AFA" w:rsidP="009F2D1E">
            <w:pPr>
              <w:jc w:val="right"/>
              <w:rPr>
                <w:rFonts w:ascii="Times New Roman" w:hAnsi="Times New Roman"/>
                <w:sz w:val="14"/>
                <w:szCs w:val="14"/>
              </w:rPr>
            </w:pPr>
            <w:r w:rsidRPr="009F2D1E">
              <w:rPr>
                <w:sz w:val="14"/>
                <w:szCs w:val="14"/>
              </w:rPr>
              <w:t>129860,95</w:t>
            </w:r>
          </w:p>
        </w:tc>
        <w:tc>
          <w:tcPr>
            <w:tcW w:w="1167" w:type="dxa"/>
            <w:tcBorders>
              <w:top w:val="nil"/>
              <w:left w:val="nil"/>
              <w:bottom w:val="single" w:sz="4" w:space="0" w:color="auto"/>
              <w:right w:val="single" w:sz="4" w:space="0" w:color="auto"/>
            </w:tcBorders>
            <w:shd w:val="clear" w:color="000000" w:fill="FFFFFF"/>
            <w:noWrap/>
            <w:vAlign w:val="bottom"/>
            <w:hideMark/>
          </w:tcPr>
          <w:p w14:paraId="325CBC39" w14:textId="77777777" w:rsidR="001D4AFA" w:rsidRPr="009F2D1E" w:rsidRDefault="001D4AFA" w:rsidP="009F2D1E">
            <w:pPr>
              <w:jc w:val="right"/>
              <w:rPr>
                <w:rFonts w:ascii="Times New Roman" w:hAnsi="Times New Roman"/>
                <w:sz w:val="14"/>
                <w:szCs w:val="14"/>
              </w:rPr>
            </w:pPr>
            <w:r w:rsidRPr="009F2D1E">
              <w:rPr>
                <w:sz w:val="14"/>
                <w:szCs w:val="14"/>
              </w:rPr>
              <w:t>130011,12</w:t>
            </w:r>
          </w:p>
        </w:tc>
        <w:tc>
          <w:tcPr>
            <w:tcW w:w="1196" w:type="dxa"/>
            <w:tcBorders>
              <w:top w:val="nil"/>
              <w:left w:val="nil"/>
              <w:bottom w:val="single" w:sz="4" w:space="0" w:color="auto"/>
              <w:right w:val="single" w:sz="4" w:space="0" w:color="auto"/>
            </w:tcBorders>
            <w:shd w:val="clear" w:color="000000" w:fill="FFFFFF"/>
            <w:noWrap/>
            <w:vAlign w:val="bottom"/>
            <w:hideMark/>
          </w:tcPr>
          <w:p w14:paraId="2AAD9EF1" w14:textId="77777777" w:rsidR="001D4AFA" w:rsidRPr="009F2D1E" w:rsidRDefault="001D4AFA" w:rsidP="009F2D1E">
            <w:pPr>
              <w:jc w:val="right"/>
              <w:rPr>
                <w:rFonts w:ascii="Times New Roman" w:hAnsi="Times New Roman"/>
                <w:sz w:val="14"/>
                <w:szCs w:val="14"/>
              </w:rPr>
            </w:pPr>
            <w:r w:rsidRPr="009F2D1E">
              <w:rPr>
                <w:sz w:val="14"/>
                <w:szCs w:val="14"/>
              </w:rPr>
              <w:t>132254,66</w:t>
            </w:r>
          </w:p>
        </w:tc>
        <w:tc>
          <w:tcPr>
            <w:tcW w:w="1182" w:type="dxa"/>
            <w:tcBorders>
              <w:top w:val="nil"/>
              <w:left w:val="nil"/>
              <w:bottom w:val="single" w:sz="4" w:space="0" w:color="auto"/>
              <w:right w:val="single" w:sz="4" w:space="0" w:color="auto"/>
            </w:tcBorders>
            <w:shd w:val="clear" w:color="000000" w:fill="FFFFFF"/>
            <w:noWrap/>
            <w:vAlign w:val="bottom"/>
            <w:hideMark/>
          </w:tcPr>
          <w:p w14:paraId="61B73AEC" w14:textId="77777777" w:rsidR="001D4AFA" w:rsidRPr="009F2D1E" w:rsidRDefault="001D4AFA" w:rsidP="009F2D1E">
            <w:pPr>
              <w:jc w:val="right"/>
              <w:rPr>
                <w:rFonts w:ascii="Times New Roman" w:hAnsi="Times New Roman"/>
                <w:sz w:val="14"/>
                <w:szCs w:val="14"/>
              </w:rPr>
            </w:pPr>
            <w:r w:rsidRPr="009F2D1E">
              <w:rPr>
                <w:sz w:val="14"/>
                <w:szCs w:val="14"/>
              </w:rPr>
              <w:t>135636,18</w:t>
            </w:r>
          </w:p>
        </w:tc>
        <w:tc>
          <w:tcPr>
            <w:tcW w:w="1181" w:type="dxa"/>
            <w:tcBorders>
              <w:top w:val="nil"/>
              <w:left w:val="nil"/>
              <w:bottom w:val="single" w:sz="4" w:space="0" w:color="auto"/>
              <w:right w:val="single" w:sz="4" w:space="0" w:color="auto"/>
            </w:tcBorders>
            <w:shd w:val="clear" w:color="000000" w:fill="FFFFFF"/>
            <w:noWrap/>
            <w:vAlign w:val="bottom"/>
            <w:hideMark/>
          </w:tcPr>
          <w:p w14:paraId="4D5C527D" w14:textId="77777777" w:rsidR="001D4AFA" w:rsidRPr="009F2D1E" w:rsidRDefault="001D4AFA" w:rsidP="009F2D1E">
            <w:pPr>
              <w:jc w:val="right"/>
              <w:rPr>
                <w:rFonts w:ascii="Times New Roman" w:hAnsi="Times New Roman"/>
                <w:sz w:val="14"/>
                <w:szCs w:val="14"/>
              </w:rPr>
            </w:pPr>
            <w:r w:rsidRPr="009F2D1E">
              <w:rPr>
                <w:sz w:val="14"/>
                <w:szCs w:val="14"/>
              </w:rPr>
              <w:t>138973,97</w:t>
            </w:r>
          </w:p>
        </w:tc>
        <w:tc>
          <w:tcPr>
            <w:tcW w:w="1181" w:type="dxa"/>
            <w:tcBorders>
              <w:top w:val="nil"/>
              <w:left w:val="nil"/>
              <w:bottom w:val="single" w:sz="4" w:space="0" w:color="auto"/>
              <w:right w:val="single" w:sz="4" w:space="0" w:color="auto"/>
            </w:tcBorders>
            <w:shd w:val="clear" w:color="000000" w:fill="FFFFFF"/>
            <w:vAlign w:val="bottom"/>
          </w:tcPr>
          <w:p w14:paraId="69D56EAF" w14:textId="77777777" w:rsidR="001D4AFA" w:rsidRPr="009F2D1E" w:rsidRDefault="001D4AFA" w:rsidP="009F2D1E">
            <w:pPr>
              <w:jc w:val="right"/>
              <w:rPr>
                <w:rFonts w:ascii="Times New Roman" w:hAnsi="Times New Roman"/>
                <w:sz w:val="14"/>
                <w:szCs w:val="14"/>
              </w:rPr>
            </w:pPr>
            <w:r w:rsidRPr="009F2D1E">
              <w:rPr>
                <w:sz w:val="14"/>
                <w:szCs w:val="14"/>
              </w:rPr>
              <w:t>139062,05</w:t>
            </w:r>
          </w:p>
        </w:tc>
      </w:tr>
      <w:tr w:rsidR="001D4AFA" w:rsidRPr="00364545" w14:paraId="215CA725"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317CB9B"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67" w:type="dxa"/>
            <w:tcBorders>
              <w:top w:val="nil"/>
              <w:left w:val="nil"/>
              <w:bottom w:val="single" w:sz="4" w:space="0" w:color="auto"/>
              <w:right w:val="single" w:sz="4" w:space="0" w:color="auto"/>
            </w:tcBorders>
            <w:shd w:val="clear" w:color="000000" w:fill="FFFFFF"/>
            <w:noWrap/>
            <w:vAlign w:val="bottom"/>
            <w:hideMark/>
          </w:tcPr>
          <w:p w14:paraId="42EAA19F" w14:textId="77777777" w:rsidR="001D4AFA" w:rsidRPr="009F2D1E" w:rsidRDefault="001D4AFA" w:rsidP="009F2D1E">
            <w:pPr>
              <w:jc w:val="right"/>
              <w:rPr>
                <w:rFonts w:ascii="Times New Roman" w:hAnsi="Times New Roman"/>
                <w:sz w:val="14"/>
                <w:szCs w:val="14"/>
              </w:rPr>
            </w:pPr>
            <w:r w:rsidRPr="009F2D1E">
              <w:rPr>
                <w:sz w:val="14"/>
                <w:szCs w:val="14"/>
              </w:rPr>
              <w:t>91026,79</w:t>
            </w:r>
          </w:p>
        </w:tc>
        <w:tc>
          <w:tcPr>
            <w:tcW w:w="1167" w:type="dxa"/>
            <w:tcBorders>
              <w:top w:val="nil"/>
              <w:left w:val="nil"/>
              <w:bottom w:val="single" w:sz="4" w:space="0" w:color="auto"/>
              <w:right w:val="single" w:sz="4" w:space="0" w:color="auto"/>
            </w:tcBorders>
            <w:shd w:val="clear" w:color="000000" w:fill="FFFFFF"/>
            <w:noWrap/>
            <w:vAlign w:val="bottom"/>
            <w:hideMark/>
          </w:tcPr>
          <w:p w14:paraId="3E471FF7" w14:textId="77777777" w:rsidR="001D4AFA" w:rsidRPr="009F2D1E" w:rsidRDefault="001D4AFA" w:rsidP="009F2D1E">
            <w:pPr>
              <w:jc w:val="right"/>
              <w:rPr>
                <w:rFonts w:ascii="Times New Roman" w:hAnsi="Times New Roman"/>
                <w:sz w:val="14"/>
                <w:szCs w:val="14"/>
              </w:rPr>
            </w:pPr>
            <w:r w:rsidRPr="009F2D1E">
              <w:rPr>
                <w:sz w:val="14"/>
                <w:szCs w:val="14"/>
              </w:rPr>
              <w:t>99550,95</w:t>
            </w:r>
          </w:p>
        </w:tc>
        <w:tc>
          <w:tcPr>
            <w:tcW w:w="1196" w:type="dxa"/>
            <w:tcBorders>
              <w:top w:val="nil"/>
              <w:left w:val="nil"/>
              <w:bottom w:val="single" w:sz="4" w:space="0" w:color="auto"/>
              <w:right w:val="single" w:sz="4" w:space="0" w:color="auto"/>
            </w:tcBorders>
            <w:shd w:val="clear" w:color="000000" w:fill="FFFFFF"/>
            <w:noWrap/>
            <w:vAlign w:val="bottom"/>
            <w:hideMark/>
          </w:tcPr>
          <w:p w14:paraId="49A210FC" w14:textId="77777777" w:rsidR="001D4AFA" w:rsidRPr="009F2D1E" w:rsidRDefault="001D4AFA" w:rsidP="009F2D1E">
            <w:pPr>
              <w:jc w:val="right"/>
              <w:rPr>
                <w:rFonts w:ascii="Times New Roman" w:hAnsi="Times New Roman"/>
                <w:sz w:val="14"/>
                <w:szCs w:val="14"/>
              </w:rPr>
            </w:pPr>
            <w:r w:rsidRPr="009F2D1E">
              <w:rPr>
                <w:sz w:val="14"/>
                <w:szCs w:val="14"/>
              </w:rPr>
              <w:t>94309,73</w:t>
            </w:r>
          </w:p>
        </w:tc>
        <w:tc>
          <w:tcPr>
            <w:tcW w:w="1182" w:type="dxa"/>
            <w:tcBorders>
              <w:top w:val="nil"/>
              <w:left w:val="nil"/>
              <w:bottom w:val="single" w:sz="4" w:space="0" w:color="auto"/>
              <w:right w:val="single" w:sz="4" w:space="0" w:color="auto"/>
            </w:tcBorders>
            <w:shd w:val="clear" w:color="000000" w:fill="FFFFFF"/>
            <w:noWrap/>
            <w:vAlign w:val="bottom"/>
            <w:hideMark/>
          </w:tcPr>
          <w:p w14:paraId="69726D9C" w14:textId="77777777" w:rsidR="001D4AFA" w:rsidRPr="009F2D1E" w:rsidRDefault="001D4AFA" w:rsidP="009F2D1E">
            <w:pPr>
              <w:jc w:val="right"/>
              <w:rPr>
                <w:rFonts w:ascii="Times New Roman" w:hAnsi="Times New Roman"/>
                <w:sz w:val="14"/>
                <w:szCs w:val="14"/>
              </w:rPr>
            </w:pPr>
            <w:r w:rsidRPr="009F2D1E">
              <w:rPr>
                <w:sz w:val="14"/>
                <w:szCs w:val="14"/>
              </w:rPr>
              <w:t>98214,74</w:t>
            </w:r>
          </w:p>
        </w:tc>
        <w:tc>
          <w:tcPr>
            <w:tcW w:w="1181" w:type="dxa"/>
            <w:tcBorders>
              <w:top w:val="nil"/>
              <w:left w:val="nil"/>
              <w:bottom w:val="single" w:sz="4" w:space="0" w:color="auto"/>
              <w:right w:val="single" w:sz="4" w:space="0" w:color="auto"/>
            </w:tcBorders>
            <w:shd w:val="clear" w:color="000000" w:fill="FFFFFF"/>
            <w:noWrap/>
            <w:vAlign w:val="bottom"/>
            <w:hideMark/>
          </w:tcPr>
          <w:p w14:paraId="65E3E03F" w14:textId="77777777" w:rsidR="001D4AFA" w:rsidRPr="009F2D1E" w:rsidRDefault="001D4AFA" w:rsidP="009F2D1E">
            <w:pPr>
              <w:jc w:val="right"/>
              <w:rPr>
                <w:rFonts w:ascii="Times New Roman" w:hAnsi="Times New Roman"/>
                <w:sz w:val="14"/>
                <w:szCs w:val="14"/>
              </w:rPr>
            </w:pPr>
            <w:r w:rsidRPr="009F2D1E">
              <w:rPr>
                <w:sz w:val="14"/>
                <w:szCs w:val="14"/>
              </w:rPr>
              <w:t>100041,77</w:t>
            </w:r>
          </w:p>
        </w:tc>
        <w:tc>
          <w:tcPr>
            <w:tcW w:w="1181" w:type="dxa"/>
            <w:tcBorders>
              <w:top w:val="nil"/>
              <w:left w:val="nil"/>
              <w:bottom w:val="single" w:sz="4" w:space="0" w:color="auto"/>
              <w:right w:val="single" w:sz="4" w:space="0" w:color="auto"/>
            </w:tcBorders>
            <w:shd w:val="clear" w:color="000000" w:fill="FFFFFF"/>
            <w:vAlign w:val="bottom"/>
          </w:tcPr>
          <w:p w14:paraId="721EC446" w14:textId="77777777" w:rsidR="001D4AFA" w:rsidRPr="009F2D1E" w:rsidRDefault="001D4AFA" w:rsidP="009F2D1E">
            <w:pPr>
              <w:jc w:val="right"/>
              <w:rPr>
                <w:rFonts w:ascii="Times New Roman" w:hAnsi="Times New Roman"/>
                <w:sz w:val="14"/>
                <w:szCs w:val="14"/>
              </w:rPr>
            </w:pPr>
            <w:r w:rsidRPr="009F2D1E">
              <w:rPr>
                <w:sz w:val="14"/>
                <w:szCs w:val="14"/>
              </w:rPr>
              <w:t>96141,42</w:t>
            </w:r>
          </w:p>
        </w:tc>
      </w:tr>
      <w:tr w:rsidR="001D4AFA" w:rsidRPr="00364545" w14:paraId="0797B25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A84F7B3"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67" w:type="dxa"/>
            <w:tcBorders>
              <w:top w:val="nil"/>
              <w:left w:val="nil"/>
              <w:bottom w:val="single" w:sz="4" w:space="0" w:color="auto"/>
              <w:right w:val="single" w:sz="4" w:space="0" w:color="auto"/>
            </w:tcBorders>
            <w:shd w:val="clear" w:color="000000" w:fill="FFFFFF"/>
            <w:noWrap/>
            <w:vAlign w:val="bottom"/>
            <w:hideMark/>
          </w:tcPr>
          <w:p w14:paraId="5A1F963F" w14:textId="77777777" w:rsidR="001D4AFA" w:rsidRPr="009F2D1E" w:rsidRDefault="001D4AFA" w:rsidP="009F2D1E">
            <w:pPr>
              <w:jc w:val="right"/>
              <w:rPr>
                <w:rFonts w:ascii="Times New Roman" w:hAnsi="Times New Roman"/>
                <w:sz w:val="14"/>
                <w:szCs w:val="14"/>
              </w:rPr>
            </w:pPr>
            <w:r w:rsidRPr="009F2D1E">
              <w:rPr>
                <w:sz w:val="14"/>
                <w:szCs w:val="14"/>
              </w:rPr>
              <w:t>593,57</w:t>
            </w:r>
          </w:p>
        </w:tc>
        <w:tc>
          <w:tcPr>
            <w:tcW w:w="1167" w:type="dxa"/>
            <w:tcBorders>
              <w:top w:val="nil"/>
              <w:left w:val="nil"/>
              <w:bottom w:val="single" w:sz="4" w:space="0" w:color="auto"/>
              <w:right w:val="single" w:sz="4" w:space="0" w:color="auto"/>
            </w:tcBorders>
            <w:shd w:val="clear" w:color="000000" w:fill="FFFFFF"/>
            <w:noWrap/>
            <w:vAlign w:val="bottom"/>
            <w:hideMark/>
          </w:tcPr>
          <w:p w14:paraId="08D3D16C" w14:textId="77777777" w:rsidR="001D4AFA" w:rsidRPr="009F2D1E" w:rsidRDefault="001D4AFA" w:rsidP="009F2D1E">
            <w:pPr>
              <w:jc w:val="right"/>
              <w:rPr>
                <w:rFonts w:ascii="Times New Roman" w:hAnsi="Times New Roman"/>
                <w:sz w:val="14"/>
                <w:szCs w:val="14"/>
              </w:rPr>
            </w:pPr>
            <w:r w:rsidRPr="009F2D1E">
              <w:rPr>
                <w:sz w:val="14"/>
                <w:szCs w:val="14"/>
              </w:rPr>
              <w:t>981,86</w:t>
            </w:r>
          </w:p>
        </w:tc>
        <w:tc>
          <w:tcPr>
            <w:tcW w:w="1196" w:type="dxa"/>
            <w:tcBorders>
              <w:top w:val="nil"/>
              <w:left w:val="nil"/>
              <w:bottom w:val="single" w:sz="4" w:space="0" w:color="auto"/>
              <w:right w:val="single" w:sz="4" w:space="0" w:color="auto"/>
            </w:tcBorders>
            <w:shd w:val="clear" w:color="000000" w:fill="FFFFFF"/>
            <w:noWrap/>
            <w:vAlign w:val="bottom"/>
            <w:hideMark/>
          </w:tcPr>
          <w:p w14:paraId="4115CA3E" w14:textId="77777777" w:rsidR="001D4AFA" w:rsidRPr="009F2D1E" w:rsidRDefault="001D4AFA" w:rsidP="009F2D1E">
            <w:pPr>
              <w:jc w:val="right"/>
              <w:rPr>
                <w:rFonts w:ascii="Times New Roman" w:hAnsi="Times New Roman"/>
                <w:sz w:val="14"/>
                <w:szCs w:val="14"/>
              </w:rPr>
            </w:pPr>
            <w:r w:rsidRPr="009F2D1E">
              <w:rPr>
                <w:sz w:val="14"/>
                <w:szCs w:val="14"/>
              </w:rPr>
              <w:t>1424,16</w:t>
            </w:r>
          </w:p>
        </w:tc>
        <w:tc>
          <w:tcPr>
            <w:tcW w:w="1182" w:type="dxa"/>
            <w:tcBorders>
              <w:top w:val="nil"/>
              <w:left w:val="nil"/>
              <w:bottom w:val="single" w:sz="4" w:space="0" w:color="auto"/>
              <w:right w:val="single" w:sz="4" w:space="0" w:color="auto"/>
            </w:tcBorders>
            <w:shd w:val="clear" w:color="000000" w:fill="FFFFFF"/>
            <w:noWrap/>
            <w:vAlign w:val="bottom"/>
            <w:hideMark/>
          </w:tcPr>
          <w:p w14:paraId="7BFC743A" w14:textId="77777777" w:rsidR="001D4AFA" w:rsidRPr="009F2D1E" w:rsidRDefault="001D4AFA" w:rsidP="009F2D1E">
            <w:pPr>
              <w:jc w:val="right"/>
              <w:rPr>
                <w:rFonts w:ascii="Times New Roman" w:hAnsi="Times New Roman"/>
                <w:sz w:val="14"/>
                <w:szCs w:val="14"/>
              </w:rPr>
            </w:pPr>
            <w:r w:rsidRPr="009F2D1E">
              <w:rPr>
                <w:sz w:val="14"/>
                <w:szCs w:val="14"/>
              </w:rPr>
              <w:t>2052,72</w:t>
            </w:r>
          </w:p>
        </w:tc>
        <w:tc>
          <w:tcPr>
            <w:tcW w:w="1181" w:type="dxa"/>
            <w:tcBorders>
              <w:top w:val="nil"/>
              <w:left w:val="nil"/>
              <w:bottom w:val="single" w:sz="4" w:space="0" w:color="auto"/>
              <w:right w:val="single" w:sz="4" w:space="0" w:color="auto"/>
            </w:tcBorders>
            <w:shd w:val="clear" w:color="000000" w:fill="FFFFFF"/>
            <w:noWrap/>
            <w:vAlign w:val="bottom"/>
            <w:hideMark/>
          </w:tcPr>
          <w:p w14:paraId="1F03CEC2" w14:textId="77777777" w:rsidR="001D4AFA" w:rsidRPr="009F2D1E" w:rsidRDefault="001D4AFA" w:rsidP="009F2D1E">
            <w:pPr>
              <w:jc w:val="right"/>
              <w:rPr>
                <w:rFonts w:ascii="Times New Roman" w:hAnsi="Times New Roman"/>
                <w:sz w:val="14"/>
                <w:szCs w:val="14"/>
              </w:rPr>
            </w:pPr>
            <w:r w:rsidRPr="009F2D1E">
              <w:rPr>
                <w:sz w:val="14"/>
                <w:szCs w:val="14"/>
              </w:rPr>
              <w:t>2002,04</w:t>
            </w:r>
          </w:p>
        </w:tc>
        <w:tc>
          <w:tcPr>
            <w:tcW w:w="1181" w:type="dxa"/>
            <w:tcBorders>
              <w:top w:val="nil"/>
              <w:left w:val="nil"/>
              <w:bottom w:val="single" w:sz="4" w:space="0" w:color="auto"/>
              <w:right w:val="single" w:sz="4" w:space="0" w:color="auto"/>
            </w:tcBorders>
            <w:shd w:val="clear" w:color="000000" w:fill="FFFFFF"/>
            <w:vAlign w:val="bottom"/>
          </w:tcPr>
          <w:p w14:paraId="701F9B5A" w14:textId="77777777" w:rsidR="001D4AFA" w:rsidRPr="009F2D1E" w:rsidRDefault="001D4AFA" w:rsidP="009F2D1E">
            <w:pPr>
              <w:jc w:val="right"/>
              <w:rPr>
                <w:rFonts w:ascii="Times New Roman" w:hAnsi="Times New Roman"/>
                <w:sz w:val="14"/>
                <w:szCs w:val="14"/>
              </w:rPr>
            </w:pPr>
            <w:r w:rsidRPr="009F2D1E">
              <w:rPr>
                <w:sz w:val="14"/>
                <w:szCs w:val="14"/>
              </w:rPr>
              <w:t>1957,66</w:t>
            </w:r>
          </w:p>
        </w:tc>
      </w:tr>
      <w:tr w:rsidR="001D4AFA" w:rsidRPr="00364545" w14:paraId="27E9109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1A1D47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67" w:type="dxa"/>
            <w:tcBorders>
              <w:top w:val="nil"/>
              <w:left w:val="nil"/>
              <w:bottom w:val="single" w:sz="4" w:space="0" w:color="auto"/>
              <w:right w:val="single" w:sz="4" w:space="0" w:color="auto"/>
            </w:tcBorders>
            <w:shd w:val="clear" w:color="000000" w:fill="CCFFFF"/>
            <w:noWrap/>
            <w:vAlign w:val="bottom"/>
            <w:hideMark/>
          </w:tcPr>
          <w:p w14:paraId="1861257D" w14:textId="77777777" w:rsidR="001D4AFA" w:rsidRPr="009F2D1E" w:rsidRDefault="001D4AFA" w:rsidP="009F2D1E">
            <w:pPr>
              <w:jc w:val="right"/>
              <w:rPr>
                <w:rFonts w:ascii="Times New Roman" w:hAnsi="Times New Roman"/>
                <w:sz w:val="14"/>
                <w:szCs w:val="14"/>
              </w:rPr>
            </w:pPr>
            <w:r w:rsidRPr="009F2D1E">
              <w:rPr>
                <w:sz w:val="14"/>
                <w:szCs w:val="14"/>
              </w:rPr>
              <w:t>4421,17</w:t>
            </w:r>
          </w:p>
        </w:tc>
        <w:tc>
          <w:tcPr>
            <w:tcW w:w="1167" w:type="dxa"/>
            <w:tcBorders>
              <w:top w:val="nil"/>
              <w:left w:val="nil"/>
              <w:bottom w:val="single" w:sz="4" w:space="0" w:color="auto"/>
              <w:right w:val="single" w:sz="4" w:space="0" w:color="auto"/>
            </w:tcBorders>
            <w:shd w:val="clear" w:color="000000" w:fill="CCFFFF"/>
            <w:noWrap/>
            <w:vAlign w:val="bottom"/>
            <w:hideMark/>
          </w:tcPr>
          <w:p w14:paraId="61E7E5BB" w14:textId="77777777" w:rsidR="001D4AFA" w:rsidRPr="009F2D1E" w:rsidRDefault="001D4AFA" w:rsidP="009F2D1E">
            <w:pPr>
              <w:jc w:val="right"/>
              <w:rPr>
                <w:rFonts w:ascii="Times New Roman" w:hAnsi="Times New Roman"/>
                <w:sz w:val="14"/>
                <w:szCs w:val="14"/>
              </w:rPr>
            </w:pPr>
            <w:r w:rsidRPr="009F2D1E">
              <w:rPr>
                <w:sz w:val="14"/>
                <w:szCs w:val="14"/>
              </w:rPr>
              <w:t>4592,85</w:t>
            </w:r>
          </w:p>
        </w:tc>
        <w:tc>
          <w:tcPr>
            <w:tcW w:w="1196" w:type="dxa"/>
            <w:tcBorders>
              <w:top w:val="nil"/>
              <w:left w:val="nil"/>
              <w:bottom w:val="single" w:sz="4" w:space="0" w:color="auto"/>
              <w:right w:val="single" w:sz="4" w:space="0" w:color="auto"/>
            </w:tcBorders>
            <w:shd w:val="clear" w:color="000000" w:fill="CCFFFF"/>
            <w:noWrap/>
            <w:vAlign w:val="bottom"/>
            <w:hideMark/>
          </w:tcPr>
          <w:p w14:paraId="18650F0D" w14:textId="77777777" w:rsidR="001D4AFA" w:rsidRPr="009F2D1E" w:rsidRDefault="001D4AFA" w:rsidP="009F2D1E">
            <w:pPr>
              <w:jc w:val="right"/>
              <w:rPr>
                <w:rFonts w:ascii="Times New Roman" w:hAnsi="Times New Roman"/>
                <w:sz w:val="14"/>
                <w:szCs w:val="14"/>
              </w:rPr>
            </w:pPr>
            <w:r w:rsidRPr="009F2D1E">
              <w:rPr>
                <w:sz w:val="14"/>
                <w:szCs w:val="14"/>
              </w:rPr>
              <w:t>4540,89</w:t>
            </w:r>
          </w:p>
        </w:tc>
        <w:tc>
          <w:tcPr>
            <w:tcW w:w="1182" w:type="dxa"/>
            <w:tcBorders>
              <w:top w:val="nil"/>
              <w:left w:val="nil"/>
              <w:bottom w:val="single" w:sz="4" w:space="0" w:color="auto"/>
              <w:right w:val="single" w:sz="4" w:space="0" w:color="auto"/>
            </w:tcBorders>
            <w:shd w:val="clear" w:color="000000" w:fill="CCFFFF"/>
            <w:noWrap/>
            <w:vAlign w:val="bottom"/>
            <w:hideMark/>
          </w:tcPr>
          <w:p w14:paraId="77FF3093" w14:textId="77777777" w:rsidR="001D4AFA" w:rsidRPr="009F2D1E" w:rsidRDefault="001D4AFA" w:rsidP="009F2D1E">
            <w:pPr>
              <w:jc w:val="right"/>
              <w:rPr>
                <w:rFonts w:ascii="Times New Roman" w:hAnsi="Times New Roman"/>
                <w:sz w:val="14"/>
                <w:szCs w:val="14"/>
              </w:rPr>
            </w:pPr>
            <w:r w:rsidRPr="009F2D1E">
              <w:rPr>
                <w:sz w:val="14"/>
                <w:szCs w:val="14"/>
              </w:rPr>
              <w:t>4457,18</w:t>
            </w:r>
          </w:p>
        </w:tc>
        <w:tc>
          <w:tcPr>
            <w:tcW w:w="1181" w:type="dxa"/>
            <w:tcBorders>
              <w:top w:val="nil"/>
              <w:left w:val="nil"/>
              <w:bottom w:val="single" w:sz="4" w:space="0" w:color="auto"/>
              <w:right w:val="single" w:sz="4" w:space="0" w:color="auto"/>
            </w:tcBorders>
            <w:shd w:val="clear" w:color="000000" w:fill="CCFFFF"/>
            <w:noWrap/>
            <w:vAlign w:val="bottom"/>
            <w:hideMark/>
          </w:tcPr>
          <w:p w14:paraId="13F762DA" w14:textId="77777777" w:rsidR="001D4AFA" w:rsidRPr="009F2D1E" w:rsidRDefault="001D4AFA" w:rsidP="009F2D1E">
            <w:pPr>
              <w:jc w:val="right"/>
              <w:rPr>
                <w:rFonts w:ascii="Times New Roman" w:hAnsi="Times New Roman"/>
                <w:sz w:val="14"/>
                <w:szCs w:val="14"/>
              </w:rPr>
            </w:pPr>
            <w:r w:rsidRPr="009F2D1E">
              <w:rPr>
                <w:sz w:val="14"/>
                <w:szCs w:val="14"/>
              </w:rPr>
              <w:t>4147,38</w:t>
            </w:r>
          </w:p>
        </w:tc>
        <w:tc>
          <w:tcPr>
            <w:tcW w:w="1181" w:type="dxa"/>
            <w:tcBorders>
              <w:top w:val="nil"/>
              <w:left w:val="nil"/>
              <w:bottom w:val="single" w:sz="4" w:space="0" w:color="auto"/>
              <w:right w:val="single" w:sz="4" w:space="0" w:color="auto"/>
            </w:tcBorders>
            <w:shd w:val="clear" w:color="000000" w:fill="CCFFFF"/>
            <w:vAlign w:val="bottom"/>
          </w:tcPr>
          <w:p w14:paraId="14980AF5" w14:textId="77777777" w:rsidR="001D4AFA" w:rsidRPr="009F2D1E" w:rsidRDefault="001D4AFA" w:rsidP="009F2D1E">
            <w:pPr>
              <w:jc w:val="right"/>
              <w:rPr>
                <w:rFonts w:ascii="Times New Roman" w:hAnsi="Times New Roman"/>
                <w:sz w:val="14"/>
                <w:szCs w:val="14"/>
              </w:rPr>
            </w:pPr>
            <w:r w:rsidRPr="009F2D1E">
              <w:rPr>
                <w:sz w:val="14"/>
                <w:szCs w:val="14"/>
              </w:rPr>
              <w:t>4296,41</w:t>
            </w:r>
          </w:p>
        </w:tc>
      </w:tr>
      <w:tr w:rsidR="001D4AFA" w:rsidRPr="00364545" w14:paraId="2874651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32EB53E"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67" w:type="dxa"/>
            <w:tcBorders>
              <w:top w:val="nil"/>
              <w:left w:val="nil"/>
              <w:bottom w:val="single" w:sz="4" w:space="0" w:color="auto"/>
              <w:right w:val="single" w:sz="4" w:space="0" w:color="auto"/>
            </w:tcBorders>
            <w:shd w:val="clear" w:color="000000" w:fill="FFFFFF"/>
            <w:noWrap/>
            <w:vAlign w:val="bottom"/>
            <w:hideMark/>
          </w:tcPr>
          <w:p w14:paraId="21EBE87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7240CD27"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3B0B416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39D936E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5D1B387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7853230B"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1FB1AA46"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456119F"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67" w:type="dxa"/>
            <w:tcBorders>
              <w:top w:val="nil"/>
              <w:left w:val="nil"/>
              <w:bottom w:val="single" w:sz="4" w:space="0" w:color="auto"/>
              <w:right w:val="single" w:sz="4" w:space="0" w:color="auto"/>
            </w:tcBorders>
            <w:shd w:val="clear" w:color="000000" w:fill="FFFFFF"/>
            <w:noWrap/>
            <w:vAlign w:val="bottom"/>
            <w:hideMark/>
          </w:tcPr>
          <w:p w14:paraId="44EECF70" w14:textId="77777777" w:rsidR="001D4AFA" w:rsidRPr="009F2D1E" w:rsidRDefault="001D4AFA" w:rsidP="009F2D1E">
            <w:pPr>
              <w:jc w:val="right"/>
              <w:rPr>
                <w:rFonts w:ascii="Times New Roman" w:hAnsi="Times New Roman"/>
                <w:sz w:val="14"/>
                <w:szCs w:val="14"/>
              </w:rPr>
            </w:pPr>
            <w:r w:rsidRPr="009F2D1E">
              <w:rPr>
                <w:sz w:val="14"/>
                <w:szCs w:val="14"/>
              </w:rPr>
              <w:t>4421,17</w:t>
            </w:r>
          </w:p>
        </w:tc>
        <w:tc>
          <w:tcPr>
            <w:tcW w:w="1167" w:type="dxa"/>
            <w:tcBorders>
              <w:top w:val="nil"/>
              <w:left w:val="nil"/>
              <w:bottom w:val="single" w:sz="4" w:space="0" w:color="auto"/>
              <w:right w:val="single" w:sz="4" w:space="0" w:color="auto"/>
            </w:tcBorders>
            <w:shd w:val="clear" w:color="000000" w:fill="FFFFFF"/>
            <w:noWrap/>
            <w:vAlign w:val="bottom"/>
            <w:hideMark/>
          </w:tcPr>
          <w:p w14:paraId="1898CAE4" w14:textId="77777777" w:rsidR="001D4AFA" w:rsidRPr="009F2D1E" w:rsidRDefault="001D4AFA" w:rsidP="009F2D1E">
            <w:pPr>
              <w:jc w:val="right"/>
              <w:rPr>
                <w:rFonts w:ascii="Times New Roman" w:hAnsi="Times New Roman"/>
                <w:sz w:val="14"/>
                <w:szCs w:val="14"/>
              </w:rPr>
            </w:pPr>
            <w:r w:rsidRPr="009F2D1E">
              <w:rPr>
                <w:sz w:val="14"/>
                <w:szCs w:val="14"/>
              </w:rPr>
              <w:t>4592,85</w:t>
            </w:r>
          </w:p>
        </w:tc>
        <w:tc>
          <w:tcPr>
            <w:tcW w:w="1196" w:type="dxa"/>
            <w:tcBorders>
              <w:top w:val="nil"/>
              <w:left w:val="nil"/>
              <w:bottom w:val="single" w:sz="4" w:space="0" w:color="auto"/>
              <w:right w:val="single" w:sz="4" w:space="0" w:color="auto"/>
            </w:tcBorders>
            <w:shd w:val="clear" w:color="000000" w:fill="FFFFFF"/>
            <w:noWrap/>
            <w:vAlign w:val="bottom"/>
            <w:hideMark/>
          </w:tcPr>
          <w:p w14:paraId="38AC4014" w14:textId="77777777" w:rsidR="001D4AFA" w:rsidRPr="009F2D1E" w:rsidRDefault="001D4AFA" w:rsidP="009F2D1E">
            <w:pPr>
              <w:jc w:val="right"/>
              <w:rPr>
                <w:rFonts w:ascii="Times New Roman" w:hAnsi="Times New Roman"/>
                <w:sz w:val="14"/>
                <w:szCs w:val="14"/>
              </w:rPr>
            </w:pPr>
            <w:r w:rsidRPr="009F2D1E">
              <w:rPr>
                <w:sz w:val="14"/>
                <w:szCs w:val="14"/>
              </w:rPr>
              <w:t>4540,89</w:t>
            </w:r>
          </w:p>
        </w:tc>
        <w:tc>
          <w:tcPr>
            <w:tcW w:w="1182" w:type="dxa"/>
            <w:tcBorders>
              <w:top w:val="nil"/>
              <w:left w:val="nil"/>
              <w:bottom w:val="single" w:sz="4" w:space="0" w:color="auto"/>
              <w:right w:val="single" w:sz="4" w:space="0" w:color="auto"/>
            </w:tcBorders>
            <w:shd w:val="clear" w:color="000000" w:fill="FFFFFF"/>
            <w:noWrap/>
            <w:vAlign w:val="bottom"/>
            <w:hideMark/>
          </w:tcPr>
          <w:p w14:paraId="43232265" w14:textId="77777777" w:rsidR="001D4AFA" w:rsidRPr="009F2D1E" w:rsidRDefault="001D4AFA" w:rsidP="009F2D1E">
            <w:pPr>
              <w:jc w:val="right"/>
              <w:rPr>
                <w:rFonts w:ascii="Times New Roman" w:hAnsi="Times New Roman"/>
                <w:sz w:val="14"/>
                <w:szCs w:val="14"/>
              </w:rPr>
            </w:pPr>
            <w:r w:rsidRPr="009F2D1E">
              <w:rPr>
                <w:sz w:val="14"/>
                <w:szCs w:val="14"/>
              </w:rPr>
              <w:t>4457,18</w:t>
            </w:r>
          </w:p>
        </w:tc>
        <w:tc>
          <w:tcPr>
            <w:tcW w:w="1181" w:type="dxa"/>
            <w:tcBorders>
              <w:top w:val="nil"/>
              <w:left w:val="nil"/>
              <w:bottom w:val="single" w:sz="4" w:space="0" w:color="auto"/>
              <w:right w:val="single" w:sz="4" w:space="0" w:color="auto"/>
            </w:tcBorders>
            <w:shd w:val="clear" w:color="000000" w:fill="FFFFFF"/>
            <w:noWrap/>
            <w:vAlign w:val="bottom"/>
            <w:hideMark/>
          </w:tcPr>
          <w:p w14:paraId="35EB6272" w14:textId="77777777" w:rsidR="001D4AFA" w:rsidRPr="009F2D1E" w:rsidRDefault="001D4AFA" w:rsidP="009F2D1E">
            <w:pPr>
              <w:jc w:val="right"/>
              <w:rPr>
                <w:rFonts w:ascii="Times New Roman" w:hAnsi="Times New Roman"/>
                <w:sz w:val="14"/>
                <w:szCs w:val="14"/>
              </w:rPr>
            </w:pPr>
            <w:r w:rsidRPr="009F2D1E">
              <w:rPr>
                <w:sz w:val="14"/>
                <w:szCs w:val="14"/>
              </w:rPr>
              <w:t>4147,38</w:t>
            </w:r>
          </w:p>
        </w:tc>
        <w:tc>
          <w:tcPr>
            <w:tcW w:w="1181" w:type="dxa"/>
            <w:tcBorders>
              <w:top w:val="nil"/>
              <w:left w:val="nil"/>
              <w:bottom w:val="single" w:sz="4" w:space="0" w:color="auto"/>
              <w:right w:val="single" w:sz="4" w:space="0" w:color="auto"/>
            </w:tcBorders>
            <w:shd w:val="clear" w:color="000000" w:fill="FFFFFF"/>
            <w:vAlign w:val="bottom"/>
          </w:tcPr>
          <w:p w14:paraId="222C7C84" w14:textId="77777777" w:rsidR="001D4AFA" w:rsidRPr="009F2D1E" w:rsidRDefault="001D4AFA" w:rsidP="009F2D1E">
            <w:pPr>
              <w:jc w:val="right"/>
              <w:rPr>
                <w:rFonts w:ascii="Times New Roman" w:hAnsi="Times New Roman"/>
                <w:sz w:val="14"/>
                <w:szCs w:val="14"/>
              </w:rPr>
            </w:pPr>
            <w:r w:rsidRPr="009F2D1E">
              <w:rPr>
                <w:sz w:val="14"/>
                <w:szCs w:val="14"/>
              </w:rPr>
              <w:t>4296,41</w:t>
            </w:r>
          </w:p>
        </w:tc>
      </w:tr>
      <w:tr w:rsidR="001D4AFA" w:rsidRPr="00364545" w14:paraId="549F9893"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DDDFC7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67" w:type="dxa"/>
            <w:tcBorders>
              <w:top w:val="nil"/>
              <w:left w:val="nil"/>
              <w:bottom w:val="single" w:sz="4" w:space="0" w:color="auto"/>
              <w:right w:val="single" w:sz="4" w:space="0" w:color="auto"/>
            </w:tcBorders>
            <w:shd w:val="clear" w:color="000000" w:fill="FFFFFF"/>
            <w:noWrap/>
            <w:vAlign w:val="bottom"/>
            <w:hideMark/>
          </w:tcPr>
          <w:p w14:paraId="482C6F6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6BBA7F2F"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6CAE13D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6D3B794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1DA80A09"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5295B723"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2994852F"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9AD1799"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2. Industrial Processes</w:t>
            </w:r>
          </w:p>
        </w:tc>
        <w:tc>
          <w:tcPr>
            <w:tcW w:w="1167" w:type="dxa"/>
            <w:tcBorders>
              <w:top w:val="nil"/>
              <w:left w:val="nil"/>
              <w:bottom w:val="single" w:sz="4" w:space="0" w:color="auto"/>
              <w:right w:val="single" w:sz="4" w:space="0" w:color="auto"/>
            </w:tcBorders>
            <w:shd w:val="clear" w:color="000000" w:fill="CCFFFF"/>
            <w:noWrap/>
            <w:vAlign w:val="bottom"/>
            <w:hideMark/>
          </w:tcPr>
          <w:p w14:paraId="506EF40A" w14:textId="77777777" w:rsidR="001D4AFA" w:rsidRPr="009F2D1E" w:rsidRDefault="001D4AFA" w:rsidP="009F2D1E">
            <w:pPr>
              <w:jc w:val="right"/>
              <w:rPr>
                <w:rFonts w:ascii="Times New Roman" w:hAnsi="Times New Roman"/>
                <w:sz w:val="14"/>
                <w:szCs w:val="14"/>
              </w:rPr>
            </w:pPr>
            <w:r w:rsidRPr="009F2D1E">
              <w:rPr>
                <w:sz w:val="14"/>
                <w:szCs w:val="14"/>
              </w:rPr>
              <w:t>38604,26</w:t>
            </w:r>
          </w:p>
        </w:tc>
        <w:tc>
          <w:tcPr>
            <w:tcW w:w="1167" w:type="dxa"/>
            <w:tcBorders>
              <w:top w:val="nil"/>
              <w:left w:val="nil"/>
              <w:bottom w:val="single" w:sz="4" w:space="0" w:color="auto"/>
              <w:right w:val="single" w:sz="4" w:space="0" w:color="auto"/>
            </w:tcBorders>
            <w:shd w:val="clear" w:color="000000" w:fill="CCFFFF"/>
            <w:noWrap/>
            <w:vAlign w:val="bottom"/>
            <w:hideMark/>
          </w:tcPr>
          <w:p w14:paraId="4B950AF5" w14:textId="77777777" w:rsidR="001D4AFA" w:rsidRPr="009F2D1E" w:rsidRDefault="001D4AFA" w:rsidP="009F2D1E">
            <w:pPr>
              <w:jc w:val="right"/>
              <w:rPr>
                <w:rFonts w:ascii="Times New Roman" w:hAnsi="Times New Roman"/>
                <w:sz w:val="14"/>
                <w:szCs w:val="14"/>
              </w:rPr>
            </w:pPr>
            <w:r w:rsidRPr="009F2D1E">
              <w:rPr>
                <w:sz w:val="14"/>
                <w:szCs w:val="14"/>
              </w:rPr>
              <w:t>38028,80</w:t>
            </w:r>
          </w:p>
        </w:tc>
        <w:tc>
          <w:tcPr>
            <w:tcW w:w="1196" w:type="dxa"/>
            <w:tcBorders>
              <w:top w:val="nil"/>
              <w:left w:val="nil"/>
              <w:bottom w:val="single" w:sz="4" w:space="0" w:color="auto"/>
              <w:right w:val="single" w:sz="4" w:space="0" w:color="auto"/>
            </w:tcBorders>
            <w:shd w:val="clear" w:color="000000" w:fill="CCFFFF"/>
            <w:noWrap/>
            <w:vAlign w:val="bottom"/>
            <w:hideMark/>
          </w:tcPr>
          <w:p w14:paraId="2FD2455A" w14:textId="77777777" w:rsidR="001D4AFA" w:rsidRPr="009F2D1E" w:rsidRDefault="001D4AFA" w:rsidP="009F2D1E">
            <w:pPr>
              <w:jc w:val="right"/>
              <w:rPr>
                <w:rFonts w:ascii="Times New Roman" w:hAnsi="Times New Roman"/>
                <w:sz w:val="14"/>
                <w:szCs w:val="14"/>
              </w:rPr>
            </w:pPr>
            <w:r w:rsidRPr="009F2D1E">
              <w:rPr>
                <w:sz w:val="14"/>
                <w:szCs w:val="14"/>
              </w:rPr>
              <w:t>39022,24</w:t>
            </w:r>
          </w:p>
        </w:tc>
        <w:tc>
          <w:tcPr>
            <w:tcW w:w="1182" w:type="dxa"/>
            <w:tcBorders>
              <w:top w:val="nil"/>
              <w:left w:val="nil"/>
              <w:bottom w:val="single" w:sz="4" w:space="0" w:color="auto"/>
              <w:right w:val="single" w:sz="4" w:space="0" w:color="auto"/>
            </w:tcBorders>
            <w:shd w:val="clear" w:color="000000" w:fill="CCFFFF"/>
            <w:noWrap/>
            <w:vAlign w:val="bottom"/>
            <w:hideMark/>
          </w:tcPr>
          <w:p w14:paraId="30BB5A33" w14:textId="77777777" w:rsidR="001D4AFA" w:rsidRPr="009F2D1E" w:rsidRDefault="001D4AFA" w:rsidP="009F2D1E">
            <w:pPr>
              <w:jc w:val="right"/>
              <w:rPr>
                <w:rFonts w:ascii="Times New Roman" w:hAnsi="Times New Roman"/>
                <w:sz w:val="14"/>
                <w:szCs w:val="14"/>
              </w:rPr>
            </w:pPr>
            <w:r w:rsidRPr="009F2D1E">
              <w:rPr>
                <w:sz w:val="14"/>
                <w:szCs w:val="14"/>
              </w:rPr>
              <w:t>39820,59</w:t>
            </w:r>
          </w:p>
        </w:tc>
        <w:tc>
          <w:tcPr>
            <w:tcW w:w="1181" w:type="dxa"/>
            <w:tcBorders>
              <w:top w:val="nil"/>
              <w:left w:val="nil"/>
              <w:bottom w:val="single" w:sz="4" w:space="0" w:color="auto"/>
              <w:right w:val="single" w:sz="4" w:space="0" w:color="auto"/>
            </w:tcBorders>
            <w:shd w:val="clear" w:color="000000" w:fill="CCFFFF"/>
            <w:noWrap/>
            <w:vAlign w:val="bottom"/>
            <w:hideMark/>
          </w:tcPr>
          <w:p w14:paraId="1E801B77" w14:textId="77777777" w:rsidR="001D4AFA" w:rsidRPr="009F2D1E" w:rsidRDefault="001D4AFA" w:rsidP="009F2D1E">
            <w:pPr>
              <w:jc w:val="right"/>
              <w:rPr>
                <w:rFonts w:ascii="Times New Roman" w:hAnsi="Times New Roman"/>
                <w:sz w:val="14"/>
                <w:szCs w:val="14"/>
              </w:rPr>
            </w:pPr>
            <w:r w:rsidRPr="009F2D1E">
              <w:rPr>
                <w:sz w:val="14"/>
                <w:szCs w:val="14"/>
              </w:rPr>
              <w:t>39905,34</w:t>
            </w:r>
          </w:p>
        </w:tc>
        <w:tc>
          <w:tcPr>
            <w:tcW w:w="1181" w:type="dxa"/>
            <w:tcBorders>
              <w:top w:val="nil"/>
              <w:left w:val="nil"/>
              <w:bottom w:val="single" w:sz="4" w:space="0" w:color="auto"/>
              <w:right w:val="single" w:sz="4" w:space="0" w:color="auto"/>
            </w:tcBorders>
            <w:shd w:val="clear" w:color="000000" w:fill="CCFFFF"/>
            <w:vAlign w:val="bottom"/>
          </w:tcPr>
          <w:p w14:paraId="33AA5BE7" w14:textId="77777777" w:rsidR="001D4AFA" w:rsidRPr="009F2D1E" w:rsidRDefault="001D4AFA" w:rsidP="009F2D1E">
            <w:pPr>
              <w:jc w:val="right"/>
              <w:rPr>
                <w:rFonts w:ascii="Times New Roman" w:hAnsi="Times New Roman"/>
                <w:sz w:val="14"/>
                <w:szCs w:val="14"/>
              </w:rPr>
            </w:pPr>
            <w:r w:rsidRPr="009F2D1E">
              <w:rPr>
                <w:sz w:val="14"/>
                <w:szCs w:val="14"/>
              </w:rPr>
              <w:t>40574,12</w:t>
            </w:r>
          </w:p>
        </w:tc>
      </w:tr>
      <w:tr w:rsidR="001D4AFA" w:rsidRPr="00364545" w14:paraId="449B320C"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1C634D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6BE6E57D" w14:textId="77777777" w:rsidR="001D4AFA" w:rsidRPr="009F2D1E" w:rsidRDefault="001D4AFA" w:rsidP="009F2D1E">
            <w:pPr>
              <w:jc w:val="right"/>
              <w:rPr>
                <w:rFonts w:ascii="Times New Roman" w:hAnsi="Times New Roman"/>
                <w:sz w:val="14"/>
                <w:szCs w:val="14"/>
              </w:rPr>
            </w:pPr>
            <w:r w:rsidRPr="009F2D1E">
              <w:rPr>
                <w:sz w:val="14"/>
                <w:szCs w:val="14"/>
              </w:rPr>
              <w:t>12467,46</w:t>
            </w:r>
          </w:p>
        </w:tc>
        <w:tc>
          <w:tcPr>
            <w:tcW w:w="1167" w:type="dxa"/>
            <w:tcBorders>
              <w:top w:val="nil"/>
              <w:left w:val="nil"/>
              <w:bottom w:val="single" w:sz="4" w:space="0" w:color="auto"/>
              <w:right w:val="single" w:sz="4" w:space="0" w:color="auto"/>
            </w:tcBorders>
            <w:shd w:val="clear" w:color="000000" w:fill="FFFFFF"/>
            <w:noWrap/>
            <w:vAlign w:val="bottom"/>
            <w:hideMark/>
          </w:tcPr>
          <w:p w14:paraId="13FED922" w14:textId="77777777" w:rsidR="001D4AFA" w:rsidRPr="009F2D1E" w:rsidRDefault="001D4AFA" w:rsidP="009F2D1E">
            <w:pPr>
              <w:jc w:val="right"/>
              <w:rPr>
                <w:rFonts w:ascii="Times New Roman" w:hAnsi="Times New Roman"/>
                <w:sz w:val="14"/>
                <w:szCs w:val="14"/>
              </w:rPr>
            </w:pPr>
            <w:r w:rsidRPr="009F2D1E">
              <w:rPr>
                <w:sz w:val="14"/>
                <w:szCs w:val="14"/>
              </w:rPr>
              <w:t>12204,24</w:t>
            </w:r>
          </w:p>
        </w:tc>
        <w:tc>
          <w:tcPr>
            <w:tcW w:w="1196" w:type="dxa"/>
            <w:tcBorders>
              <w:top w:val="nil"/>
              <w:left w:val="nil"/>
              <w:bottom w:val="single" w:sz="4" w:space="0" w:color="auto"/>
              <w:right w:val="single" w:sz="4" w:space="0" w:color="auto"/>
            </w:tcBorders>
            <w:shd w:val="clear" w:color="000000" w:fill="FFFFFF"/>
            <w:noWrap/>
            <w:vAlign w:val="bottom"/>
            <w:hideMark/>
          </w:tcPr>
          <w:p w14:paraId="32DCB668" w14:textId="77777777" w:rsidR="001D4AFA" w:rsidRPr="009F2D1E" w:rsidRDefault="001D4AFA" w:rsidP="009F2D1E">
            <w:pPr>
              <w:jc w:val="right"/>
              <w:rPr>
                <w:rFonts w:ascii="Times New Roman" w:hAnsi="Times New Roman"/>
                <w:sz w:val="14"/>
                <w:szCs w:val="14"/>
              </w:rPr>
            </w:pPr>
            <w:r w:rsidRPr="009F2D1E">
              <w:rPr>
                <w:sz w:val="14"/>
                <w:szCs w:val="14"/>
              </w:rPr>
              <w:t>11921,03</w:t>
            </w:r>
          </w:p>
        </w:tc>
        <w:tc>
          <w:tcPr>
            <w:tcW w:w="1182" w:type="dxa"/>
            <w:tcBorders>
              <w:top w:val="nil"/>
              <w:left w:val="nil"/>
              <w:bottom w:val="single" w:sz="4" w:space="0" w:color="auto"/>
              <w:right w:val="single" w:sz="4" w:space="0" w:color="auto"/>
            </w:tcBorders>
            <w:shd w:val="clear" w:color="000000" w:fill="FFFFFF"/>
            <w:noWrap/>
            <w:vAlign w:val="bottom"/>
            <w:hideMark/>
          </w:tcPr>
          <w:p w14:paraId="584E9171" w14:textId="77777777" w:rsidR="001D4AFA" w:rsidRPr="009F2D1E" w:rsidRDefault="001D4AFA" w:rsidP="009F2D1E">
            <w:pPr>
              <w:jc w:val="right"/>
              <w:rPr>
                <w:rFonts w:ascii="Times New Roman" w:hAnsi="Times New Roman"/>
                <w:sz w:val="14"/>
                <w:szCs w:val="14"/>
              </w:rPr>
            </w:pPr>
            <w:r w:rsidRPr="009F2D1E">
              <w:rPr>
                <w:sz w:val="14"/>
                <w:szCs w:val="14"/>
              </w:rPr>
              <w:t>12581,59</w:t>
            </w:r>
          </w:p>
        </w:tc>
        <w:tc>
          <w:tcPr>
            <w:tcW w:w="1181" w:type="dxa"/>
            <w:tcBorders>
              <w:top w:val="nil"/>
              <w:left w:val="nil"/>
              <w:bottom w:val="single" w:sz="4" w:space="0" w:color="auto"/>
              <w:right w:val="single" w:sz="4" w:space="0" w:color="auto"/>
            </w:tcBorders>
            <w:shd w:val="clear" w:color="000000" w:fill="FFFFFF"/>
            <w:noWrap/>
            <w:vAlign w:val="bottom"/>
            <w:hideMark/>
          </w:tcPr>
          <w:p w14:paraId="592E77D6" w14:textId="77777777" w:rsidR="001D4AFA" w:rsidRPr="009F2D1E" w:rsidRDefault="001D4AFA" w:rsidP="009F2D1E">
            <w:pPr>
              <w:jc w:val="right"/>
              <w:rPr>
                <w:rFonts w:ascii="Times New Roman" w:hAnsi="Times New Roman"/>
                <w:sz w:val="14"/>
                <w:szCs w:val="14"/>
              </w:rPr>
            </w:pPr>
            <w:r w:rsidRPr="009F2D1E">
              <w:rPr>
                <w:sz w:val="14"/>
                <w:szCs w:val="14"/>
              </w:rPr>
              <w:t>12177,95</w:t>
            </w:r>
          </w:p>
        </w:tc>
        <w:tc>
          <w:tcPr>
            <w:tcW w:w="1181" w:type="dxa"/>
            <w:tcBorders>
              <w:top w:val="nil"/>
              <w:left w:val="nil"/>
              <w:bottom w:val="single" w:sz="4" w:space="0" w:color="auto"/>
              <w:right w:val="single" w:sz="4" w:space="0" w:color="auto"/>
            </w:tcBorders>
            <w:shd w:val="clear" w:color="000000" w:fill="FFFFFF"/>
            <w:vAlign w:val="bottom"/>
          </w:tcPr>
          <w:p w14:paraId="66B83A23" w14:textId="77777777" w:rsidR="001D4AFA" w:rsidRPr="009F2D1E" w:rsidRDefault="001D4AFA" w:rsidP="009F2D1E">
            <w:pPr>
              <w:jc w:val="right"/>
              <w:rPr>
                <w:rFonts w:ascii="Times New Roman" w:hAnsi="Times New Roman"/>
                <w:sz w:val="14"/>
                <w:szCs w:val="14"/>
              </w:rPr>
            </w:pPr>
            <w:r w:rsidRPr="009F2D1E">
              <w:rPr>
                <w:sz w:val="14"/>
                <w:szCs w:val="14"/>
              </w:rPr>
              <w:t>12376,26</w:t>
            </w:r>
          </w:p>
        </w:tc>
      </w:tr>
      <w:tr w:rsidR="001D4AFA" w:rsidRPr="00364545" w14:paraId="047C6BB8"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0DBCE5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5B87296E" w14:textId="77777777" w:rsidR="001D4AFA" w:rsidRPr="009F2D1E" w:rsidRDefault="001D4AFA" w:rsidP="009F2D1E">
            <w:pPr>
              <w:jc w:val="right"/>
              <w:rPr>
                <w:rFonts w:ascii="Times New Roman" w:hAnsi="Times New Roman"/>
                <w:sz w:val="14"/>
                <w:szCs w:val="14"/>
              </w:rPr>
            </w:pPr>
            <w:r w:rsidRPr="009F2D1E">
              <w:rPr>
                <w:sz w:val="14"/>
                <w:szCs w:val="14"/>
              </w:rPr>
              <w:t>7864,59</w:t>
            </w:r>
          </w:p>
        </w:tc>
        <w:tc>
          <w:tcPr>
            <w:tcW w:w="1167" w:type="dxa"/>
            <w:tcBorders>
              <w:top w:val="nil"/>
              <w:left w:val="nil"/>
              <w:bottom w:val="single" w:sz="4" w:space="0" w:color="auto"/>
              <w:right w:val="single" w:sz="4" w:space="0" w:color="auto"/>
            </w:tcBorders>
            <w:shd w:val="clear" w:color="000000" w:fill="FFFFFF"/>
            <w:noWrap/>
            <w:vAlign w:val="bottom"/>
            <w:hideMark/>
          </w:tcPr>
          <w:p w14:paraId="6B4D54A6" w14:textId="77777777" w:rsidR="001D4AFA" w:rsidRPr="009F2D1E" w:rsidRDefault="001D4AFA" w:rsidP="009F2D1E">
            <w:pPr>
              <w:jc w:val="right"/>
              <w:rPr>
                <w:rFonts w:ascii="Times New Roman" w:hAnsi="Times New Roman"/>
                <w:sz w:val="14"/>
                <w:szCs w:val="14"/>
              </w:rPr>
            </w:pPr>
            <w:r w:rsidRPr="009F2D1E">
              <w:rPr>
                <w:sz w:val="14"/>
                <w:szCs w:val="14"/>
              </w:rPr>
              <w:t>8311,87</w:t>
            </w:r>
          </w:p>
        </w:tc>
        <w:tc>
          <w:tcPr>
            <w:tcW w:w="1196" w:type="dxa"/>
            <w:tcBorders>
              <w:top w:val="nil"/>
              <w:left w:val="nil"/>
              <w:bottom w:val="single" w:sz="4" w:space="0" w:color="auto"/>
              <w:right w:val="single" w:sz="4" w:space="0" w:color="auto"/>
            </w:tcBorders>
            <w:shd w:val="clear" w:color="000000" w:fill="FFFFFF"/>
            <w:noWrap/>
            <w:vAlign w:val="bottom"/>
            <w:hideMark/>
          </w:tcPr>
          <w:p w14:paraId="10B54F88" w14:textId="77777777" w:rsidR="001D4AFA" w:rsidRPr="009F2D1E" w:rsidRDefault="001D4AFA" w:rsidP="009F2D1E">
            <w:pPr>
              <w:jc w:val="right"/>
              <w:rPr>
                <w:rFonts w:ascii="Times New Roman" w:hAnsi="Times New Roman"/>
                <w:sz w:val="14"/>
                <w:szCs w:val="14"/>
              </w:rPr>
            </w:pPr>
            <w:r w:rsidRPr="009F2D1E">
              <w:rPr>
                <w:sz w:val="14"/>
                <w:szCs w:val="14"/>
              </w:rPr>
              <w:t>8466,43</w:t>
            </w:r>
          </w:p>
        </w:tc>
        <w:tc>
          <w:tcPr>
            <w:tcW w:w="1182" w:type="dxa"/>
            <w:tcBorders>
              <w:top w:val="nil"/>
              <w:left w:val="nil"/>
              <w:bottom w:val="single" w:sz="4" w:space="0" w:color="auto"/>
              <w:right w:val="single" w:sz="4" w:space="0" w:color="auto"/>
            </w:tcBorders>
            <w:shd w:val="clear" w:color="000000" w:fill="FFFFFF"/>
            <w:noWrap/>
            <w:vAlign w:val="bottom"/>
            <w:hideMark/>
          </w:tcPr>
          <w:p w14:paraId="16B8C530" w14:textId="77777777" w:rsidR="001D4AFA" w:rsidRPr="009F2D1E" w:rsidRDefault="001D4AFA" w:rsidP="009F2D1E">
            <w:pPr>
              <w:jc w:val="right"/>
              <w:rPr>
                <w:rFonts w:ascii="Times New Roman" w:hAnsi="Times New Roman"/>
                <w:sz w:val="14"/>
                <w:szCs w:val="14"/>
              </w:rPr>
            </w:pPr>
            <w:r w:rsidRPr="009F2D1E">
              <w:rPr>
                <w:sz w:val="14"/>
                <w:szCs w:val="14"/>
              </w:rPr>
              <w:t>8504,68</w:t>
            </w:r>
          </w:p>
        </w:tc>
        <w:tc>
          <w:tcPr>
            <w:tcW w:w="1181" w:type="dxa"/>
            <w:tcBorders>
              <w:top w:val="nil"/>
              <w:left w:val="nil"/>
              <w:bottom w:val="single" w:sz="4" w:space="0" w:color="auto"/>
              <w:right w:val="single" w:sz="4" w:space="0" w:color="auto"/>
            </w:tcBorders>
            <w:shd w:val="clear" w:color="000000" w:fill="FFFFFF"/>
            <w:noWrap/>
            <w:vAlign w:val="bottom"/>
            <w:hideMark/>
          </w:tcPr>
          <w:p w14:paraId="49717F6E" w14:textId="77777777" w:rsidR="001D4AFA" w:rsidRPr="009F2D1E" w:rsidRDefault="001D4AFA" w:rsidP="009F2D1E">
            <w:pPr>
              <w:jc w:val="right"/>
              <w:rPr>
                <w:rFonts w:ascii="Times New Roman" w:hAnsi="Times New Roman"/>
                <w:sz w:val="14"/>
                <w:szCs w:val="14"/>
              </w:rPr>
            </w:pPr>
            <w:r w:rsidRPr="009F2D1E">
              <w:rPr>
                <w:sz w:val="14"/>
                <w:szCs w:val="14"/>
              </w:rPr>
              <w:t>8401,48</w:t>
            </w:r>
          </w:p>
        </w:tc>
        <w:tc>
          <w:tcPr>
            <w:tcW w:w="1181" w:type="dxa"/>
            <w:tcBorders>
              <w:top w:val="nil"/>
              <w:left w:val="nil"/>
              <w:bottom w:val="single" w:sz="4" w:space="0" w:color="auto"/>
              <w:right w:val="single" w:sz="4" w:space="0" w:color="auto"/>
            </w:tcBorders>
            <w:shd w:val="clear" w:color="000000" w:fill="FFFFFF"/>
            <w:vAlign w:val="bottom"/>
          </w:tcPr>
          <w:p w14:paraId="22327342" w14:textId="77777777" w:rsidR="001D4AFA" w:rsidRPr="009F2D1E" w:rsidRDefault="001D4AFA" w:rsidP="009F2D1E">
            <w:pPr>
              <w:jc w:val="right"/>
              <w:rPr>
                <w:rFonts w:ascii="Times New Roman" w:hAnsi="Times New Roman"/>
                <w:sz w:val="14"/>
                <w:szCs w:val="14"/>
              </w:rPr>
            </w:pPr>
            <w:r w:rsidRPr="009F2D1E">
              <w:rPr>
                <w:sz w:val="14"/>
                <w:szCs w:val="14"/>
              </w:rPr>
              <w:t>8528,22</w:t>
            </w:r>
          </w:p>
        </w:tc>
      </w:tr>
      <w:tr w:rsidR="001D4AFA" w:rsidRPr="00364545" w14:paraId="6A82ED97"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43D22E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2871909A" w14:textId="77777777" w:rsidR="001D4AFA" w:rsidRPr="009F2D1E" w:rsidRDefault="001D4AFA" w:rsidP="009F2D1E">
            <w:pPr>
              <w:jc w:val="right"/>
              <w:rPr>
                <w:rFonts w:ascii="Times New Roman" w:hAnsi="Times New Roman"/>
                <w:sz w:val="14"/>
                <w:szCs w:val="14"/>
              </w:rPr>
            </w:pPr>
            <w:r w:rsidRPr="009F2D1E">
              <w:rPr>
                <w:sz w:val="14"/>
                <w:szCs w:val="14"/>
              </w:rPr>
              <w:t>15705,00</w:t>
            </w:r>
          </w:p>
        </w:tc>
        <w:tc>
          <w:tcPr>
            <w:tcW w:w="1167" w:type="dxa"/>
            <w:tcBorders>
              <w:top w:val="nil"/>
              <w:left w:val="nil"/>
              <w:bottom w:val="single" w:sz="4" w:space="0" w:color="auto"/>
              <w:right w:val="single" w:sz="4" w:space="0" w:color="auto"/>
            </w:tcBorders>
            <w:shd w:val="clear" w:color="000000" w:fill="FFFFFF"/>
            <w:noWrap/>
            <w:vAlign w:val="bottom"/>
            <w:hideMark/>
          </w:tcPr>
          <w:p w14:paraId="27C527C2" w14:textId="77777777" w:rsidR="001D4AFA" w:rsidRPr="009F2D1E" w:rsidRDefault="001D4AFA" w:rsidP="009F2D1E">
            <w:pPr>
              <w:jc w:val="right"/>
              <w:rPr>
                <w:rFonts w:ascii="Times New Roman" w:hAnsi="Times New Roman"/>
                <w:sz w:val="14"/>
                <w:szCs w:val="14"/>
              </w:rPr>
            </w:pPr>
            <w:r w:rsidRPr="009F2D1E">
              <w:rPr>
                <w:sz w:val="14"/>
                <w:szCs w:val="14"/>
              </w:rPr>
              <w:t>14935,83</w:t>
            </w:r>
          </w:p>
        </w:tc>
        <w:tc>
          <w:tcPr>
            <w:tcW w:w="1196" w:type="dxa"/>
            <w:tcBorders>
              <w:top w:val="nil"/>
              <w:left w:val="nil"/>
              <w:bottom w:val="single" w:sz="4" w:space="0" w:color="auto"/>
              <w:right w:val="single" w:sz="4" w:space="0" w:color="auto"/>
            </w:tcBorders>
            <w:shd w:val="clear" w:color="000000" w:fill="FFFFFF"/>
            <w:noWrap/>
            <w:vAlign w:val="bottom"/>
            <w:hideMark/>
          </w:tcPr>
          <w:p w14:paraId="5192FFB6" w14:textId="77777777" w:rsidR="001D4AFA" w:rsidRPr="009F2D1E" w:rsidRDefault="001D4AFA" w:rsidP="009F2D1E">
            <w:pPr>
              <w:jc w:val="right"/>
              <w:rPr>
                <w:rFonts w:ascii="Times New Roman" w:hAnsi="Times New Roman"/>
                <w:sz w:val="14"/>
                <w:szCs w:val="14"/>
              </w:rPr>
            </w:pPr>
            <w:r w:rsidRPr="009F2D1E">
              <w:rPr>
                <w:sz w:val="14"/>
                <w:szCs w:val="14"/>
              </w:rPr>
              <w:t>16109,87</w:t>
            </w:r>
          </w:p>
        </w:tc>
        <w:tc>
          <w:tcPr>
            <w:tcW w:w="1182" w:type="dxa"/>
            <w:tcBorders>
              <w:top w:val="nil"/>
              <w:left w:val="nil"/>
              <w:bottom w:val="single" w:sz="4" w:space="0" w:color="auto"/>
              <w:right w:val="single" w:sz="4" w:space="0" w:color="auto"/>
            </w:tcBorders>
            <w:shd w:val="clear" w:color="000000" w:fill="FFFFFF"/>
            <w:noWrap/>
            <w:vAlign w:val="bottom"/>
            <w:hideMark/>
          </w:tcPr>
          <w:p w14:paraId="0F68D8D7" w14:textId="77777777" w:rsidR="001D4AFA" w:rsidRPr="009F2D1E" w:rsidRDefault="001D4AFA" w:rsidP="009F2D1E">
            <w:pPr>
              <w:jc w:val="right"/>
              <w:rPr>
                <w:rFonts w:ascii="Times New Roman" w:hAnsi="Times New Roman"/>
                <w:sz w:val="14"/>
                <w:szCs w:val="14"/>
              </w:rPr>
            </w:pPr>
            <w:r w:rsidRPr="009F2D1E">
              <w:rPr>
                <w:sz w:val="14"/>
                <w:szCs w:val="14"/>
              </w:rPr>
              <w:t>16034,92</w:t>
            </w:r>
          </w:p>
        </w:tc>
        <w:tc>
          <w:tcPr>
            <w:tcW w:w="1181" w:type="dxa"/>
            <w:tcBorders>
              <w:top w:val="nil"/>
              <w:left w:val="nil"/>
              <w:bottom w:val="single" w:sz="4" w:space="0" w:color="auto"/>
              <w:right w:val="single" w:sz="4" w:space="0" w:color="auto"/>
            </w:tcBorders>
            <w:shd w:val="clear" w:color="000000" w:fill="FFFFFF"/>
            <w:noWrap/>
            <w:vAlign w:val="bottom"/>
            <w:hideMark/>
          </w:tcPr>
          <w:p w14:paraId="44535CEA" w14:textId="77777777" w:rsidR="001D4AFA" w:rsidRPr="009F2D1E" w:rsidRDefault="001D4AFA" w:rsidP="009F2D1E">
            <w:pPr>
              <w:jc w:val="right"/>
              <w:rPr>
                <w:rFonts w:ascii="Times New Roman" w:hAnsi="Times New Roman"/>
                <w:sz w:val="14"/>
                <w:szCs w:val="14"/>
              </w:rPr>
            </w:pPr>
            <w:r w:rsidRPr="009F2D1E">
              <w:rPr>
                <w:sz w:val="14"/>
                <w:szCs w:val="14"/>
              </w:rPr>
              <w:t>16735,64</w:t>
            </w:r>
          </w:p>
        </w:tc>
        <w:tc>
          <w:tcPr>
            <w:tcW w:w="1181" w:type="dxa"/>
            <w:tcBorders>
              <w:top w:val="nil"/>
              <w:left w:val="nil"/>
              <w:bottom w:val="single" w:sz="4" w:space="0" w:color="auto"/>
              <w:right w:val="single" w:sz="4" w:space="0" w:color="auto"/>
            </w:tcBorders>
            <w:shd w:val="clear" w:color="000000" w:fill="FFFFFF"/>
            <w:vAlign w:val="bottom"/>
          </w:tcPr>
          <w:p w14:paraId="4D20484F" w14:textId="77777777" w:rsidR="001D4AFA" w:rsidRPr="009F2D1E" w:rsidRDefault="001D4AFA" w:rsidP="009F2D1E">
            <w:pPr>
              <w:jc w:val="right"/>
              <w:rPr>
                <w:rFonts w:ascii="Times New Roman" w:hAnsi="Times New Roman"/>
                <w:sz w:val="14"/>
                <w:szCs w:val="14"/>
              </w:rPr>
            </w:pPr>
            <w:r w:rsidRPr="009F2D1E">
              <w:rPr>
                <w:sz w:val="14"/>
                <w:szCs w:val="14"/>
              </w:rPr>
              <w:t>17034,44</w:t>
            </w:r>
          </w:p>
        </w:tc>
      </w:tr>
      <w:tr w:rsidR="001D4AFA" w:rsidRPr="00364545" w14:paraId="0CFBA07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3BE1B37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67" w:type="dxa"/>
            <w:tcBorders>
              <w:top w:val="nil"/>
              <w:left w:val="nil"/>
              <w:bottom w:val="single" w:sz="4" w:space="0" w:color="auto"/>
              <w:right w:val="single" w:sz="4" w:space="0" w:color="auto"/>
            </w:tcBorders>
            <w:shd w:val="clear" w:color="000000" w:fill="FFFFFF"/>
            <w:noWrap/>
            <w:vAlign w:val="bottom"/>
            <w:hideMark/>
          </w:tcPr>
          <w:p w14:paraId="5CAEAE80" w14:textId="77777777" w:rsidR="001D4AFA" w:rsidRPr="009F2D1E" w:rsidRDefault="001D4AFA" w:rsidP="009F2D1E">
            <w:pPr>
              <w:jc w:val="right"/>
              <w:rPr>
                <w:rFonts w:ascii="Times New Roman" w:hAnsi="Times New Roman"/>
                <w:sz w:val="14"/>
                <w:szCs w:val="14"/>
              </w:rPr>
            </w:pPr>
            <w:r w:rsidRPr="009F2D1E">
              <w:rPr>
                <w:sz w:val="14"/>
                <w:szCs w:val="14"/>
              </w:rPr>
              <w:t>1916,33</w:t>
            </w:r>
          </w:p>
        </w:tc>
        <w:tc>
          <w:tcPr>
            <w:tcW w:w="1167" w:type="dxa"/>
            <w:tcBorders>
              <w:top w:val="nil"/>
              <w:left w:val="nil"/>
              <w:bottom w:val="single" w:sz="4" w:space="0" w:color="auto"/>
              <w:right w:val="single" w:sz="4" w:space="0" w:color="auto"/>
            </w:tcBorders>
            <w:shd w:val="clear" w:color="000000" w:fill="FFFFFF"/>
            <w:noWrap/>
            <w:vAlign w:val="bottom"/>
            <w:hideMark/>
          </w:tcPr>
          <w:p w14:paraId="34694F46" w14:textId="77777777" w:rsidR="001D4AFA" w:rsidRPr="009F2D1E" w:rsidRDefault="001D4AFA" w:rsidP="009F2D1E">
            <w:pPr>
              <w:jc w:val="right"/>
              <w:rPr>
                <w:rFonts w:ascii="Times New Roman" w:hAnsi="Times New Roman"/>
                <w:sz w:val="14"/>
                <w:szCs w:val="14"/>
              </w:rPr>
            </w:pPr>
            <w:r w:rsidRPr="009F2D1E">
              <w:rPr>
                <w:sz w:val="14"/>
                <w:szCs w:val="14"/>
              </w:rPr>
              <w:t>1910,26</w:t>
            </w:r>
          </w:p>
        </w:tc>
        <w:tc>
          <w:tcPr>
            <w:tcW w:w="1196" w:type="dxa"/>
            <w:tcBorders>
              <w:top w:val="nil"/>
              <w:left w:val="nil"/>
              <w:bottom w:val="single" w:sz="4" w:space="0" w:color="auto"/>
              <w:right w:val="single" w:sz="4" w:space="0" w:color="auto"/>
            </w:tcBorders>
            <w:shd w:val="clear" w:color="000000" w:fill="FFFFFF"/>
            <w:noWrap/>
            <w:vAlign w:val="bottom"/>
            <w:hideMark/>
          </w:tcPr>
          <w:p w14:paraId="4713040D" w14:textId="77777777" w:rsidR="001D4AFA" w:rsidRPr="009F2D1E" w:rsidRDefault="001D4AFA" w:rsidP="009F2D1E">
            <w:pPr>
              <w:jc w:val="right"/>
              <w:rPr>
                <w:rFonts w:ascii="Times New Roman" w:hAnsi="Times New Roman"/>
                <w:sz w:val="14"/>
                <w:szCs w:val="14"/>
              </w:rPr>
            </w:pPr>
            <w:r w:rsidRPr="009F2D1E">
              <w:rPr>
                <w:sz w:val="14"/>
                <w:szCs w:val="14"/>
              </w:rPr>
              <w:t>1863,85</w:t>
            </w:r>
          </w:p>
        </w:tc>
        <w:tc>
          <w:tcPr>
            <w:tcW w:w="1182" w:type="dxa"/>
            <w:tcBorders>
              <w:top w:val="nil"/>
              <w:left w:val="nil"/>
              <w:bottom w:val="single" w:sz="4" w:space="0" w:color="auto"/>
              <w:right w:val="single" w:sz="4" w:space="0" w:color="auto"/>
            </w:tcBorders>
            <w:shd w:val="clear" w:color="000000" w:fill="FFFFFF"/>
            <w:noWrap/>
            <w:vAlign w:val="bottom"/>
            <w:hideMark/>
          </w:tcPr>
          <w:p w14:paraId="3F8F3579" w14:textId="77777777" w:rsidR="001D4AFA" w:rsidRPr="009F2D1E" w:rsidRDefault="001D4AFA" w:rsidP="009F2D1E">
            <w:pPr>
              <w:jc w:val="right"/>
              <w:rPr>
                <w:rFonts w:ascii="Times New Roman" w:hAnsi="Times New Roman"/>
                <w:sz w:val="14"/>
                <w:szCs w:val="14"/>
              </w:rPr>
            </w:pPr>
            <w:r w:rsidRPr="009F2D1E">
              <w:rPr>
                <w:sz w:val="14"/>
                <w:szCs w:val="14"/>
              </w:rPr>
              <w:t>2029,49</w:t>
            </w:r>
          </w:p>
        </w:tc>
        <w:tc>
          <w:tcPr>
            <w:tcW w:w="1181" w:type="dxa"/>
            <w:tcBorders>
              <w:top w:val="nil"/>
              <w:left w:val="nil"/>
              <w:bottom w:val="single" w:sz="4" w:space="0" w:color="auto"/>
              <w:right w:val="single" w:sz="4" w:space="0" w:color="auto"/>
            </w:tcBorders>
            <w:shd w:val="clear" w:color="000000" w:fill="FFFFFF"/>
            <w:noWrap/>
            <w:vAlign w:val="bottom"/>
            <w:hideMark/>
          </w:tcPr>
          <w:p w14:paraId="7403391F" w14:textId="77777777" w:rsidR="001D4AFA" w:rsidRPr="009F2D1E" w:rsidRDefault="001D4AFA" w:rsidP="009F2D1E">
            <w:pPr>
              <w:jc w:val="right"/>
              <w:rPr>
                <w:rFonts w:ascii="Times New Roman" w:hAnsi="Times New Roman"/>
                <w:sz w:val="14"/>
                <w:szCs w:val="14"/>
              </w:rPr>
            </w:pPr>
            <w:r w:rsidRPr="009F2D1E">
              <w:rPr>
                <w:sz w:val="14"/>
                <w:szCs w:val="14"/>
              </w:rPr>
              <w:t>1933,33</w:t>
            </w:r>
          </w:p>
        </w:tc>
        <w:tc>
          <w:tcPr>
            <w:tcW w:w="1181" w:type="dxa"/>
            <w:tcBorders>
              <w:top w:val="nil"/>
              <w:left w:val="nil"/>
              <w:bottom w:val="single" w:sz="4" w:space="0" w:color="auto"/>
              <w:right w:val="single" w:sz="4" w:space="0" w:color="auto"/>
            </w:tcBorders>
            <w:shd w:val="clear" w:color="000000" w:fill="FFFFFF"/>
            <w:vAlign w:val="bottom"/>
          </w:tcPr>
          <w:p w14:paraId="3AB3561E" w14:textId="77777777" w:rsidR="001D4AFA" w:rsidRPr="009F2D1E" w:rsidRDefault="001D4AFA" w:rsidP="009F2D1E">
            <w:pPr>
              <w:jc w:val="right"/>
              <w:rPr>
                <w:rFonts w:ascii="Times New Roman" w:hAnsi="Times New Roman"/>
                <w:sz w:val="14"/>
                <w:szCs w:val="14"/>
              </w:rPr>
            </w:pPr>
            <w:r w:rsidRPr="009F2D1E">
              <w:rPr>
                <w:sz w:val="14"/>
                <w:szCs w:val="14"/>
              </w:rPr>
              <w:t>1959,76</w:t>
            </w:r>
          </w:p>
        </w:tc>
      </w:tr>
      <w:tr w:rsidR="001D4AFA" w:rsidRPr="00364545" w14:paraId="19E3B9F3"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C48518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67" w:type="dxa"/>
            <w:tcBorders>
              <w:top w:val="nil"/>
              <w:left w:val="nil"/>
              <w:bottom w:val="single" w:sz="4" w:space="0" w:color="auto"/>
              <w:right w:val="single" w:sz="4" w:space="0" w:color="auto"/>
            </w:tcBorders>
            <w:shd w:val="clear" w:color="000000" w:fill="FFFFFF"/>
            <w:noWrap/>
            <w:vAlign w:val="bottom"/>
            <w:hideMark/>
          </w:tcPr>
          <w:p w14:paraId="6D6C360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6B628FA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3F2DC81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5A6307A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2428987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446CB83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81CC8BF"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506159F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67" w:type="dxa"/>
            <w:tcBorders>
              <w:top w:val="nil"/>
              <w:left w:val="nil"/>
              <w:bottom w:val="single" w:sz="4" w:space="0" w:color="auto"/>
              <w:right w:val="single" w:sz="4" w:space="0" w:color="auto"/>
            </w:tcBorders>
            <w:shd w:val="clear" w:color="000000" w:fill="FFFFFF"/>
            <w:noWrap/>
            <w:vAlign w:val="bottom"/>
            <w:hideMark/>
          </w:tcPr>
          <w:p w14:paraId="41C47B5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29BDB8E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6E6BB4D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350548B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26C264C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0AA0DBC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45B3E2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vAlign w:val="center"/>
            <w:hideMark/>
          </w:tcPr>
          <w:p w14:paraId="634E249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67" w:type="dxa"/>
            <w:tcBorders>
              <w:top w:val="nil"/>
              <w:left w:val="nil"/>
              <w:bottom w:val="single" w:sz="4" w:space="0" w:color="auto"/>
              <w:right w:val="single" w:sz="4" w:space="0" w:color="auto"/>
            </w:tcBorders>
            <w:shd w:val="clear" w:color="000000" w:fill="FFFFFF"/>
            <w:noWrap/>
            <w:vAlign w:val="bottom"/>
            <w:hideMark/>
          </w:tcPr>
          <w:p w14:paraId="47DED9EC" w14:textId="77777777" w:rsidR="001D4AFA" w:rsidRPr="009F2D1E" w:rsidRDefault="001D4AFA" w:rsidP="009F2D1E">
            <w:pPr>
              <w:jc w:val="right"/>
              <w:rPr>
                <w:rFonts w:ascii="Times New Roman" w:hAnsi="Times New Roman"/>
                <w:sz w:val="14"/>
                <w:szCs w:val="14"/>
              </w:rPr>
            </w:pPr>
            <w:r w:rsidRPr="009F2D1E">
              <w:rPr>
                <w:sz w:val="14"/>
                <w:szCs w:val="14"/>
              </w:rPr>
              <w:t>650,83</w:t>
            </w:r>
          </w:p>
        </w:tc>
        <w:tc>
          <w:tcPr>
            <w:tcW w:w="1167" w:type="dxa"/>
            <w:tcBorders>
              <w:top w:val="nil"/>
              <w:left w:val="nil"/>
              <w:bottom w:val="single" w:sz="4" w:space="0" w:color="auto"/>
              <w:right w:val="single" w:sz="4" w:space="0" w:color="auto"/>
            </w:tcBorders>
            <w:shd w:val="clear" w:color="000000" w:fill="FFFFFF"/>
            <w:noWrap/>
            <w:vAlign w:val="bottom"/>
            <w:hideMark/>
          </w:tcPr>
          <w:p w14:paraId="4B5B127E" w14:textId="77777777" w:rsidR="001D4AFA" w:rsidRPr="009F2D1E" w:rsidRDefault="001D4AFA" w:rsidP="009F2D1E">
            <w:pPr>
              <w:jc w:val="right"/>
              <w:rPr>
                <w:rFonts w:ascii="Times New Roman" w:hAnsi="Times New Roman"/>
                <w:sz w:val="14"/>
                <w:szCs w:val="14"/>
              </w:rPr>
            </w:pPr>
            <w:r w:rsidRPr="009F2D1E">
              <w:rPr>
                <w:sz w:val="14"/>
                <w:szCs w:val="14"/>
              </w:rPr>
              <w:t>666,56</w:t>
            </w:r>
          </w:p>
        </w:tc>
        <w:tc>
          <w:tcPr>
            <w:tcW w:w="1196" w:type="dxa"/>
            <w:tcBorders>
              <w:top w:val="nil"/>
              <w:left w:val="nil"/>
              <w:bottom w:val="single" w:sz="4" w:space="0" w:color="auto"/>
              <w:right w:val="single" w:sz="4" w:space="0" w:color="auto"/>
            </w:tcBorders>
            <w:shd w:val="clear" w:color="000000" w:fill="FFFFFF"/>
            <w:noWrap/>
            <w:vAlign w:val="bottom"/>
            <w:hideMark/>
          </w:tcPr>
          <w:p w14:paraId="7FE14ADB" w14:textId="77777777" w:rsidR="001D4AFA" w:rsidRPr="009F2D1E" w:rsidRDefault="001D4AFA" w:rsidP="009F2D1E">
            <w:pPr>
              <w:jc w:val="right"/>
              <w:rPr>
                <w:rFonts w:ascii="Times New Roman" w:hAnsi="Times New Roman"/>
                <w:sz w:val="14"/>
                <w:szCs w:val="14"/>
              </w:rPr>
            </w:pPr>
            <w:r w:rsidRPr="009F2D1E">
              <w:rPr>
                <w:sz w:val="14"/>
                <w:szCs w:val="14"/>
              </w:rPr>
              <w:t>661,01</w:t>
            </w:r>
          </w:p>
        </w:tc>
        <w:tc>
          <w:tcPr>
            <w:tcW w:w="1182" w:type="dxa"/>
            <w:tcBorders>
              <w:top w:val="nil"/>
              <w:left w:val="nil"/>
              <w:bottom w:val="single" w:sz="4" w:space="0" w:color="auto"/>
              <w:right w:val="single" w:sz="4" w:space="0" w:color="auto"/>
            </w:tcBorders>
            <w:shd w:val="clear" w:color="000000" w:fill="FFFFFF"/>
            <w:noWrap/>
            <w:vAlign w:val="bottom"/>
            <w:hideMark/>
          </w:tcPr>
          <w:p w14:paraId="0101A0A9" w14:textId="77777777" w:rsidR="001D4AFA" w:rsidRPr="009F2D1E" w:rsidRDefault="001D4AFA" w:rsidP="009F2D1E">
            <w:pPr>
              <w:jc w:val="right"/>
              <w:rPr>
                <w:rFonts w:ascii="Times New Roman" w:hAnsi="Times New Roman"/>
                <w:sz w:val="14"/>
                <w:szCs w:val="14"/>
              </w:rPr>
            </w:pPr>
            <w:r w:rsidRPr="009F2D1E">
              <w:rPr>
                <w:sz w:val="14"/>
                <w:szCs w:val="14"/>
              </w:rPr>
              <w:t>669,87</w:t>
            </w:r>
          </w:p>
        </w:tc>
        <w:tc>
          <w:tcPr>
            <w:tcW w:w="1181" w:type="dxa"/>
            <w:tcBorders>
              <w:top w:val="nil"/>
              <w:left w:val="nil"/>
              <w:bottom w:val="single" w:sz="4" w:space="0" w:color="auto"/>
              <w:right w:val="single" w:sz="4" w:space="0" w:color="auto"/>
            </w:tcBorders>
            <w:shd w:val="clear" w:color="000000" w:fill="FFFFFF"/>
            <w:noWrap/>
            <w:vAlign w:val="bottom"/>
            <w:hideMark/>
          </w:tcPr>
          <w:p w14:paraId="367D127E" w14:textId="77777777" w:rsidR="001D4AFA" w:rsidRPr="009F2D1E" w:rsidRDefault="001D4AFA" w:rsidP="009F2D1E">
            <w:pPr>
              <w:jc w:val="right"/>
              <w:rPr>
                <w:rFonts w:ascii="Times New Roman" w:hAnsi="Times New Roman"/>
                <w:sz w:val="14"/>
                <w:szCs w:val="14"/>
              </w:rPr>
            </w:pPr>
            <w:r w:rsidRPr="009F2D1E">
              <w:rPr>
                <w:sz w:val="14"/>
                <w:szCs w:val="14"/>
              </w:rPr>
              <w:t>656,90</w:t>
            </w:r>
          </w:p>
        </w:tc>
        <w:tc>
          <w:tcPr>
            <w:tcW w:w="1181" w:type="dxa"/>
            <w:tcBorders>
              <w:top w:val="nil"/>
              <w:left w:val="nil"/>
              <w:bottom w:val="single" w:sz="4" w:space="0" w:color="auto"/>
              <w:right w:val="single" w:sz="4" w:space="0" w:color="auto"/>
            </w:tcBorders>
            <w:shd w:val="clear" w:color="000000" w:fill="FFFFFF"/>
            <w:vAlign w:val="bottom"/>
          </w:tcPr>
          <w:p w14:paraId="773B2DDC" w14:textId="77777777" w:rsidR="001D4AFA" w:rsidRPr="009F2D1E" w:rsidRDefault="001D4AFA" w:rsidP="009F2D1E">
            <w:pPr>
              <w:jc w:val="right"/>
              <w:rPr>
                <w:rFonts w:ascii="Times New Roman" w:hAnsi="Times New Roman"/>
                <w:sz w:val="14"/>
                <w:szCs w:val="14"/>
              </w:rPr>
            </w:pPr>
            <w:r w:rsidRPr="009F2D1E">
              <w:rPr>
                <w:sz w:val="14"/>
                <w:szCs w:val="14"/>
              </w:rPr>
              <w:t>675,39</w:t>
            </w:r>
          </w:p>
        </w:tc>
      </w:tr>
      <w:tr w:rsidR="001D4AFA" w:rsidRPr="00364545" w14:paraId="7E5C088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B6CCB2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67" w:type="dxa"/>
            <w:tcBorders>
              <w:top w:val="nil"/>
              <w:left w:val="nil"/>
              <w:bottom w:val="single" w:sz="4" w:space="0" w:color="auto"/>
              <w:right w:val="single" w:sz="4" w:space="0" w:color="auto"/>
            </w:tcBorders>
            <w:shd w:val="clear" w:color="000000" w:fill="FFFFFF"/>
            <w:noWrap/>
            <w:vAlign w:val="bottom"/>
            <w:hideMark/>
          </w:tcPr>
          <w:p w14:paraId="07BAF868"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67" w:type="dxa"/>
            <w:tcBorders>
              <w:top w:val="nil"/>
              <w:left w:val="nil"/>
              <w:bottom w:val="single" w:sz="4" w:space="0" w:color="auto"/>
              <w:right w:val="single" w:sz="4" w:space="0" w:color="auto"/>
            </w:tcBorders>
            <w:shd w:val="clear" w:color="000000" w:fill="FFFFFF"/>
            <w:noWrap/>
            <w:vAlign w:val="bottom"/>
            <w:hideMark/>
          </w:tcPr>
          <w:p w14:paraId="2AD861B5"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6" w:type="dxa"/>
            <w:tcBorders>
              <w:top w:val="nil"/>
              <w:left w:val="nil"/>
              <w:bottom w:val="single" w:sz="4" w:space="0" w:color="auto"/>
              <w:right w:val="single" w:sz="4" w:space="0" w:color="auto"/>
            </w:tcBorders>
            <w:shd w:val="clear" w:color="000000" w:fill="FFFFFF"/>
            <w:noWrap/>
            <w:vAlign w:val="bottom"/>
            <w:hideMark/>
          </w:tcPr>
          <w:p w14:paraId="4A2931DF"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82" w:type="dxa"/>
            <w:tcBorders>
              <w:top w:val="nil"/>
              <w:left w:val="nil"/>
              <w:bottom w:val="single" w:sz="4" w:space="0" w:color="auto"/>
              <w:right w:val="single" w:sz="4" w:space="0" w:color="auto"/>
            </w:tcBorders>
            <w:shd w:val="clear" w:color="000000" w:fill="FFFFFF"/>
            <w:noWrap/>
            <w:vAlign w:val="bottom"/>
            <w:hideMark/>
          </w:tcPr>
          <w:p w14:paraId="296B1F0A"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81" w:type="dxa"/>
            <w:tcBorders>
              <w:top w:val="nil"/>
              <w:left w:val="nil"/>
              <w:bottom w:val="single" w:sz="4" w:space="0" w:color="auto"/>
              <w:right w:val="single" w:sz="4" w:space="0" w:color="auto"/>
            </w:tcBorders>
            <w:shd w:val="clear" w:color="000000" w:fill="FFFFFF"/>
            <w:noWrap/>
            <w:vAlign w:val="bottom"/>
            <w:hideMark/>
          </w:tcPr>
          <w:p w14:paraId="0D92931C"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81" w:type="dxa"/>
            <w:tcBorders>
              <w:top w:val="nil"/>
              <w:left w:val="nil"/>
              <w:bottom w:val="single" w:sz="4" w:space="0" w:color="auto"/>
              <w:right w:val="single" w:sz="4" w:space="0" w:color="auto"/>
            </w:tcBorders>
            <w:shd w:val="clear" w:color="000000" w:fill="FFFFFF"/>
            <w:vAlign w:val="bottom"/>
          </w:tcPr>
          <w:p w14:paraId="4B224FCB" w14:textId="77777777" w:rsidR="001D4AFA" w:rsidRPr="009F2D1E" w:rsidRDefault="001D4AFA" w:rsidP="009F2D1E">
            <w:pPr>
              <w:jc w:val="right"/>
              <w:rPr>
                <w:rFonts w:ascii="Times New Roman" w:hAnsi="Times New Roman"/>
                <w:sz w:val="14"/>
                <w:szCs w:val="14"/>
              </w:rPr>
            </w:pPr>
            <w:r w:rsidRPr="009F2D1E">
              <w:rPr>
                <w:sz w:val="14"/>
                <w:szCs w:val="14"/>
              </w:rPr>
              <w:t>0,04</w:t>
            </w:r>
          </w:p>
        </w:tc>
      </w:tr>
      <w:tr w:rsidR="001D4AFA" w:rsidRPr="00364545" w14:paraId="56269DD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bottom"/>
            <w:hideMark/>
          </w:tcPr>
          <w:p w14:paraId="2BC0A89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3. Agriculture</w:t>
            </w:r>
          </w:p>
        </w:tc>
        <w:tc>
          <w:tcPr>
            <w:tcW w:w="1167" w:type="dxa"/>
            <w:tcBorders>
              <w:top w:val="nil"/>
              <w:left w:val="nil"/>
              <w:bottom w:val="single" w:sz="4" w:space="0" w:color="auto"/>
              <w:right w:val="single" w:sz="4" w:space="0" w:color="auto"/>
            </w:tcBorders>
            <w:shd w:val="clear" w:color="000000" w:fill="CCFFFF"/>
            <w:noWrap/>
            <w:vAlign w:val="bottom"/>
            <w:hideMark/>
          </w:tcPr>
          <w:p w14:paraId="19119370" w14:textId="77777777" w:rsidR="001D4AFA" w:rsidRPr="009F2D1E" w:rsidRDefault="001D4AFA" w:rsidP="009F2D1E">
            <w:pPr>
              <w:jc w:val="right"/>
              <w:rPr>
                <w:rFonts w:ascii="Times New Roman" w:hAnsi="Times New Roman"/>
                <w:sz w:val="14"/>
                <w:szCs w:val="14"/>
              </w:rPr>
            </w:pPr>
            <w:r w:rsidRPr="009F2D1E">
              <w:rPr>
                <w:sz w:val="14"/>
                <w:szCs w:val="14"/>
              </w:rPr>
              <w:t>1973,35</w:t>
            </w:r>
          </w:p>
        </w:tc>
        <w:tc>
          <w:tcPr>
            <w:tcW w:w="1167" w:type="dxa"/>
            <w:tcBorders>
              <w:top w:val="nil"/>
              <w:left w:val="nil"/>
              <w:bottom w:val="single" w:sz="4" w:space="0" w:color="auto"/>
              <w:right w:val="single" w:sz="4" w:space="0" w:color="auto"/>
            </w:tcBorders>
            <w:shd w:val="clear" w:color="000000" w:fill="CCFFFF"/>
            <w:noWrap/>
            <w:vAlign w:val="bottom"/>
            <w:hideMark/>
          </w:tcPr>
          <w:p w14:paraId="5251E197" w14:textId="77777777" w:rsidR="001D4AFA" w:rsidRPr="009F2D1E" w:rsidRDefault="001D4AFA" w:rsidP="009F2D1E">
            <w:pPr>
              <w:jc w:val="right"/>
              <w:rPr>
                <w:rFonts w:ascii="Times New Roman" w:hAnsi="Times New Roman"/>
                <w:sz w:val="14"/>
                <w:szCs w:val="14"/>
              </w:rPr>
            </w:pPr>
            <w:r w:rsidRPr="009F2D1E">
              <w:rPr>
                <w:sz w:val="14"/>
                <w:szCs w:val="14"/>
              </w:rPr>
              <w:t>1916,08</w:t>
            </w:r>
          </w:p>
        </w:tc>
        <w:tc>
          <w:tcPr>
            <w:tcW w:w="1196" w:type="dxa"/>
            <w:tcBorders>
              <w:top w:val="nil"/>
              <w:left w:val="nil"/>
              <w:bottom w:val="single" w:sz="4" w:space="0" w:color="auto"/>
              <w:right w:val="single" w:sz="4" w:space="0" w:color="auto"/>
            </w:tcBorders>
            <w:shd w:val="clear" w:color="000000" w:fill="CCFFFF"/>
            <w:noWrap/>
            <w:vAlign w:val="bottom"/>
            <w:hideMark/>
          </w:tcPr>
          <w:p w14:paraId="2A4836A6" w14:textId="77777777" w:rsidR="001D4AFA" w:rsidRPr="009F2D1E" w:rsidRDefault="001D4AFA" w:rsidP="009F2D1E">
            <w:pPr>
              <w:jc w:val="right"/>
              <w:rPr>
                <w:rFonts w:ascii="Times New Roman" w:hAnsi="Times New Roman"/>
                <w:sz w:val="14"/>
                <w:szCs w:val="14"/>
              </w:rPr>
            </w:pPr>
            <w:r w:rsidRPr="009F2D1E">
              <w:rPr>
                <w:sz w:val="14"/>
                <w:szCs w:val="14"/>
              </w:rPr>
              <w:t>2082,81</w:t>
            </w:r>
          </w:p>
        </w:tc>
        <w:tc>
          <w:tcPr>
            <w:tcW w:w="1182" w:type="dxa"/>
            <w:tcBorders>
              <w:top w:val="nil"/>
              <w:left w:val="nil"/>
              <w:bottom w:val="single" w:sz="4" w:space="0" w:color="auto"/>
              <w:right w:val="single" w:sz="4" w:space="0" w:color="auto"/>
            </w:tcBorders>
            <w:shd w:val="clear" w:color="000000" w:fill="CCFFFF"/>
            <w:noWrap/>
            <w:vAlign w:val="bottom"/>
            <w:hideMark/>
          </w:tcPr>
          <w:p w14:paraId="2F653B26" w14:textId="77777777" w:rsidR="001D4AFA" w:rsidRPr="009F2D1E" w:rsidRDefault="001D4AFA" w:rsidP="009F2D1E">
            <w:pPr>
              <w:jc w:val="right"/>
              <w:rPr>
                <w:rFonts w:ascii="Times New Roman" w:hAnsi="Times New Roman"/>
                <w:sz w:val="14"/>
                <w:szCs w:val="14"/>
              </w:rPr>
            </w:pPr>
            <w:r w:rsidRPr="009F2D1E">
              <w:rPr>
                <w:sz w:val="14"/>
                <w:szCs w:val="14"/>
              </w:rPr>
              <w:t>2080,56</w:t>
            </w:r>
          </w:p>
        </w:tc>
        <w:tc>
          <w:tcPr>
            <w:tcW w:w="1181" w:type="dxa"/>
            <w:tcBorders>
              <w:top w:val="nil"/>
              <w:left w:val="nil"/>
              <w:bottom w:val="single" w:sz="4" w:space="0" w:color="auto"/>
              <w:right w:val="single" w:sz="4" w:space="0" w:color="auto"/>
            </w:tcBorders>
            <w:shd w:val="clear" w:color="000000" w:fill="CCFFFF"/>
            <w:noWrap/>
            <w:vAlign w:val="bottom"/>
            <w:hideMark/>
          </w:tcPr>
          <w:p w14:paraId="599AE729" w14:textId="77777777" w:rsidR="001D4AFA" w:rsidRPr="009F2D1E" w:rsidRDefault="001D4AFA" w:rsidP="009F2D1E">
            <w:pPr>
              <w:jc w:val="right"/>
              <w:rPr>
                <w:rFonts w:ascii="Times New Roman" w:hAnsi="Times New Roman"/>
                <w:sz w:val="14"/>
                <w:szCs w:val="14"/>
              </w:rPr>
            </w:pPr>
            <w:r w:rsidRPr="009F2D1E">
              <w:rPr>
                <w:sz w:val="14"/>
                <w:szCs w:val="14"/>
              </w:rPr>
              <w:t>2069,75</w:t>
            </w:r>
          </w:p>
        </w:tc>
        <w:tc>
          <w:tcPr>
            <w:tcW w:w="1181" w:type="dxa"/>
            <w:tcBorders>
              <w:top w:val="nil"/>
              <w:left w:val="nil"/>
              <w:bottom w:val="single" w:sz="4" w:space="0" w:color="auto"/>
              <w:right w:val="single" w:sz="4" w:space="0" w:color="auto"/>
            </w:tcBorders>
            <w:shd w:val="clear" w:color="000000" w:fill="CCFFFF"/>
            <w:vAlign w:val="bottom"/>
          </w:tcPr>
          <w:p w14:paraId="26A2FF3D" w14:textId="77777777" w:rsidR="001D4AFA" w:rsidRPr="009F2D1E" w:rsidRDefault="001D4AFA" w:rsidP="009F2D1E">
            <w:pPr>
              <w:jc w:val="right"/>
              <w:rPr>
                <w:rFonts w:ascii="Times New Roman" w:hAnsi="Times New Roman"/>
                <w:sz w:val="14"/>
                <w:szCs w:val="14"/>
              </w:rPr>
            </w:pPr>
            <w:r w:rsidRPr="009F2D1E">
              <w:rPr>
                <w:sz w:val="14"/>
                <w:szCs w:val="14"/>
              </w:rPr>
              <w:t>1988,53</w:t>
            </w:r>
          </w:p>
        </w:tc>
      </w:tr>
      <w:tr w:rsidR="001D4AFA" w:rsidRPr="00364545" w14:paraId="2DF0521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282941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0678967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5B31381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0A416A3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0A9407F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6C013AC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063803A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4C65E7C"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789257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636E8D5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2331E18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4BA4FEF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13D5E8D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1051CF1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2D82FA3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8A0233D"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923859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02C9348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7BF0A86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5A7992A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04FCA8D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6BE5866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5F62493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80E460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274CDF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260DC79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79AF677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5921181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65A739A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5B5B6DB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5D8D129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AFCEFEC"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6A05B7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70E1F2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auto" w:fill="A6A6A6" w:themeFill="background1" w:themeFillShade="A6"/>
            <w:noWrap/>
            <w:vAlign w:val="bottom"/>
            <w:hideMark/>
          </w:tcPr>
          <w:p w14:paraId="27300F0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auto" w:fill="A6A6A6" w:themeFill="background1" w:themeFillShade="A6"/>
            <w:noWrap/>
            <w:vAlign w:val="bottom"/>
            <w:hideMark/>
          </w:tcPr>
          <w:p w14:paraId="79BDAFF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auto" w:fill="A6A6A6" w:themeFill="background1" w:themeFillShade="A6"/>
            <w:noWrap/>
            <w:vAlign w:val="bottom"/>
            <w:hideMark/>
          </w:tcPr>
          <w:p w14:paraId="7D15C0C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noWrap/>
            <w:vAlign w:val="bottom"/>
            <w:hideMark/>
          </w:tcPr>
          <w:p w14:paraId="46913E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auto" w:fill="A6A6A6" w:themeFill="background1" w:themeFillShade="A6"/>
            <w:vAlign w:val="bottom"/>
          </w:tcPr>
          <w:p w14:paraId="4D1A74B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24BBD6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48CD6E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67" w:type="dxa"/>
            <w:tcBorders>
              <w:top w:val="nil"/>
              <w:left w:val="nil"/>
              <w:bottom w:val="single" w:sz="4" w:space="0" w:color="auto"/>
              <w:right w:val="single" w:sz="4" w:space="0" w:color="auto"/>
            </w:tcBorders>
            <w:shd w:val="clear" w:color="000000" w:fill="FFFFFF"/>
            <w:noWrap/>
            <w:vAlign w:val="bottom"/>
            <w:hideMark/>
          </w:tcPr>
          <w:p w14:paraId="4A1C144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3243F8B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74AA1C8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3D16991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26FC5DB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3AA475E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3C0F68D"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EAE6293"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67" w:type="dxa"/>
            <w:tcBorders>
              <w:top w:val="nil"/>
              <w:left w:val="nil"/>
              <w:bottom w:val="single" w:sz="4" w:space="0" w:color="auto"/>
              <w:right w:val="single" w:sz="4" w:space="0" w:color="auto"/>
            </w:tcBorders>
            <w:shd w:val="clear" w:color="000000" w:fill="FFFFFF"/>
            <w:noWrap/>
            <w:vAlign w:val="bottom"/>
            <w:hideMark/>
          </w:tcPr>
          <w:p w14:paraId="43087DCA" w14:textId="77777777" w:rsidR="001D4AFA" w:rsidRPr="009F2D1E" w:rsidRDefault="001D4AFA" w:rsidP="009F2D1E">
            <w:pPr>
              <w:jc w:val="right"/>
              <w:rPr>
                <w:rFonts w:ascii="Times New Roman" w:hAnsi="Times New Roman"/>
                <w:sz w:val="14"/>
                <w:szCs w:val="14"/>
              </w:rPr>
            </w:pPr>
            <w:r w:rsidRPr="009F2D1E">
              <w:rPr>
                <w:sz w:val="14"/>
                <w:szCs w:val="14"/>
              </w:rPr>
              <w:t>1048,78</w:t>
            </w:r>
          </w:p>
        </w:tc>
        <w:tc>
          <w:tcPr>
            <w:tcW w:w="1167" w:type="dxa"/>
            <w:tcBorders>
              <w:top w:val="nil"/>
              <w:left w:val="nil"/>
              <w:bottom w:val="single" w:sz="4" w:space="0" w:color="auto"/>
              <w:right w:val="single" w:sz="4" w:space="0" w:color="auto"/>
            </w:tcBorders>
            <w:shd w:val="clear" w:color="000000" w:fill="FFFFFF"/>
            <w:noWrap/>
            <w:vAlign w:val="bottom"/>
            <w:hideMark/>
          </w:tcPr>
          <w:p w14:paraId="37CE86CD" w14:textId="77777777" w:rsidR="001D4AFA" w:rsidRPr="009F2D1E" w:rsidRDefault="001D4AFA" w:rsidP="009F2D1E">
            <w:pPr>
              <w:jc w:val="right"/>
              <w:rPr>
                <w:rFonts w:ascii="Times New Roman" w:hAnsi="Times New Roman"/>
                <w:sz w:val="14"/>
                <w:szCs w:val="14"/>
              </w:rPr>
            </w:pPr>
            <w:r w:rsidRPr="009F2D1E">
              <w:rPr>
                <w:sz w:val="14"/>
                <w:szCs w:val="14"/>
              </w:rPr>
              <w:t>994,62</w:t>
            </w:r>
          </w:p>
        </w:tc>
        <w:tc>
          <w:tcPr>
            <w:tcW w:w="1196" w:type="dxa"/>
            <w:tcBorders>
              <w:top w:val="nil"/>
              <w:left w:val="nil"/>
              <w:bottom w:val="single" w:sz="4" w:space="0" w:color="auto"/>
              <w:right w:val="single" w:sz="4" w:space="0" w:color="auto"/>
            </w:tcBorders>
            <w:shd w:val="clear" w:color="000000" w:fill="FFFFFF"/>
            <w:noWrap/>
            <w:vAlign w:val="bottom"/>
            <w:hideMark/>
          </w:tcPr>
          <w:p w14:paraId="091626D7" w14:textId="77777777" w:rsidR="001D4AFA" w:rsidRPr="009F2D1E" w:rsidRDefault="001D4AFA" w:rsidP="009F2D1E">
            <w:pPr>
              <w:jc w:val="right"/>
              <w:rPr>
                <w:rFonts w:ascii="Times New Roman" w:hAnsi="Times New Roman"/>
                <w:sz w:val="14"/>
                <w:szCs w:val="14"/>
              </w:rPr>
            </w:pPr>
            <w:r w:rsidRPr="009F2D1E">
              <w:rPr>
                <w:sz w:val="14"/>
                <w:szCs w:val="14"/>
              </w:rPr>
              <w:t>1170,85</w:t>
            </w:r>
          </w:p>
        </w:tc>
        <w:tc>
          <w:tcPr>
            <w:tcW w:w="1182" w:type="dxa"/>
            <w:tcBorders>
              <w:top w:val="nil"/>
              <w:left w:val="nil"/>
              <w:bottom w:val="single" w:sz="4" w:space="0" w:color="auto"/>
              <w:right w:val="single" w:sz="4" w:space="0" w:color="auto"/>
            </w:tcBorders>
            <w:shd w:val="clear" w:color="000000" w:fill="FFFFFF"/>
            <w:noWrap/>
            <w:vAlign w:val="bottom"/>
            <w:hideMark/>
          </w:tcPr>
          <w:p w14:paraId="31DCBAB5" w14:textId="77777777" w:rsidR="001D4AFA" w:rsidRPr="009F2D1E" w:rsidRDefault="001D4AFA" w:rsidP="009F2D1E">
            <w:pPr>
              <w:jc w:val="right"/>
              <w:rPr>
                <w:rFonts w:ascii="Times New Roman" w:hAnsi="Times New Roman"/>
                <w:sz w:val="14"/>
                <w:szCs w:val="14"/>
              </w:rPr>
            </w:pPr>
            <w:r w:rsidRPr="009F2D1E">
              <w:rPr>
                <w:sz w:val="14"/>
                <w:szCs w:val="14"/>
              </w:rPr>
              <w:t>1117,15</w:t>
            </w:r>
          </w:p>
        </w:tc>
        <w:tc>
          <w:tcPr>
            <w:tcW w:w="1181" w:type="dxa"/>
            <w:tcBorders>
              <w:top w:val="nil"/>
              <w:left w:val="nil"/>
              <w:bottom w:val="single" w:sz="4" w:space="0" w:color="auto"/>
              <w:right w:val="single" w:sz="4" w:space="0" w:color="auto"/>
            </w:tcBorders>
            <w:shd w:val="clear" w:color="000000" w:fill="FFFFFF"/>
            <w:noWrap/>
            <w:vAlign w:val="bottom"/>
            <w:hideMark/>
          </w:tcPr>
          <w:p w14:paraId="7BF378DC" w14:textId="77777777" w:rsidR="001D4AFA" w:rsidRPr="009F2D1E" w:rsidRDefault="001D4AFA" w:rsidP="009F2D1E">
            <w:pPr>
              <w:jc w:val="right"/>
              <w:rPr>
                <w:rFonts w:ascii="Times New Roman" w:hAnsi="Times New Roman"/>
                <w:sz w:val="14"/>
                <w:szCs w:val="14"/>
              </w:rPr>
            </w:pPr>
            <w:r w:rsidRPr="009F2D1E">
              <w:rPr>
                <w:sz w:val="14"/>
                <w:szCs w:val="14"/>
              </w:rPr>
              <w:t>1081,34</w:t>
            </w:r>
          </w:p>
        </w:tc>
        <w:tc>
          <w:tcPr>
            <w:tcW w:w="1181" w:type="dxa"/>
            <w:tcBorders>
              <w:top w:val="nil"/>
              <w:left w:val="nil"/>
              <w:bottom w:val="single" w:sz="4" w:space="0" w:color="auto"/>
              <w:right w:val="single" w:sz="4" w:space="0" w:color="auto"/>
            </w:tcBorders>
            <w:shd w:val="clear" w:color="000000" w:fill="FFFFFF"/>
            <w:vAlign w:val="bottom"/>
          </w:tcPr>
          <w:p w14:paraId="46707839" w14:textId="77777777" w:rsidR="001D4AFA" w:rsidRPr="009F2D1E" w:rsidRDefault="001D4AFA" w:rsidP="009F2D1E">
            <w:pPr>
              <w:jc w:val="right"/>
              <w:rPr>
                <w:rFonts w:ascii="Times New Roman" w:hAnsi="Times New Roman"/>
                <w:sz w:val="14"/>
                <w:szCs w:val="14"/>
              </w:rPr>
            </w:pPr>
            <w:r w:rsidRPr="009F2D1E">
              <w:rPr>
                <w:sz w:val="14"/>
                <w:szCs w:val="14"/>
              </w:rPr>
              <w:t>955,34</w:t>
            </w:r>
          </w:p>
        </w:tc>
      </w:tr>
      <w:tr w:rsidR="001D4AFA" w:rsidRPr="00364545" w14:paraId="6B8FEB4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CBF62E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67" w:type="dxa"/>
            <w:tcBorders>
              <w:top w:val="nil"/>
              <w:left w:val="nil"/>
              <w:bottom w:val="single" w:sz="4" w:space="0" w:color="auto"/>
              <w:right w:val="single" w:sz="4" w:space="0" w:color="auto"/>
            </w:tcBorders>
            <w:shd w:val="clear" w:color="000000" w:fill="FFFFFF"/>
            <w:noWrap/>
            <w:vAlign w:val="bottom"/>
            <w:hideMark/>
          </w:tcPr>
          <w:p w14:paraId="55411B8B" w14:textId="77777777" w:rsidR="001D4AFA" w:rsidRPr="009F2D1E" w:rsidRDefault="001D4AFA" w:rsidP="009F2D1E">
            <w:pPr>
              <w:jc w:val="right"/>
              <w:rPr>
                <w:rFonts w:ascii="Times New Roman" w:hAnsi="Times New Roman"/>
                <w:sz w:val="14"/>
                <w:szCs w:val="14"/>
              </w:rPr>
            </w:pPr>
            <w:r w:rsidRPr="009F2D1E">
              <w:rPr>
                <w:sz w:val="14"/>
                <w:szCs w:val="14"/>
              </w:rPr>
              <w:t>803,07</w:t>
            </w:r>
          </w:p>
        </w:tc>
        <w:tc>
          <w:tcPr>
            <w:tcW w:w="1167" w:type="dxa"/>
            <w:tcBorders>
              <w:top w:val="nil"/>
              <w:left w:val="nil"/>
              <w:bottom w:val="single" w:sz="4" w:space="0" w:color="auto"/>
              <w:right w:val="single" w:sz="4" w:space="0" w:color="auto"/>
            </w:tcBorders>
            <w:shd w:val="clear" w:color="000000" w:fill="FFFFFF"/>
            <w:noWrap/>
            <w:vAlign w:val="bottom"/>
            <w:hideMark/>
          </w:tcPr>
          <w:p w14:paraId="3DCA7A30" w14:textId="77777777" w:rsidR="001D4AFA" w:rsidRPr="009F2D1E" w:rsidRDefault="001D4AFA" w:rsidP="009F2D1E">
            <w:pPr>
              <w:jc w:val="right"/>
              <w:rPr>
                <w:rFonts w:ascii="Times New Roman" w:hAnsi="Times New Roman"/>
                <w:sz w:val="14"/>
                <w:szCs w:val="14"/>
              </w:rPr>
            </w:pPr>
            <w:r w:rsidRPr="009F2D1E">
              <w:rPr>
                <w:sz w:val="14"/>
                <w:szCs w:val="14"/>
              </w:rPr>
              <w:t>791,79</w:t>
            </w:r>
          </w:p>
        </w:tc>
        <w:tc>
          <w:tcPr>
            <w:tcW w:w="1196" w:type="dxa"/>
            <w:tcBorders>
              <w:top w:val="nil"/>
              <w:left w:val="nil"/>
              <w:bottom w:val="single" w:sz="4" w:space="0" w:color="auto"/>
              <w:right w:val="single" w:sz="4" w:space="0" w:color="auto"/>
            </w:tcBorders>
            <w:shd w:val="clear" w:color="000000" w:fill="FFFFFF"/>
            <w:noWrap/>
            <w:vAlign w:val="bottom"/>
            <w:hideMark/>
          </w:tcPr>
          <w:p w14:paraId="1BBE6359" w14:textId="77777777" w:rsidR="001D4AFA" w:rsidRPr="009F2D1E" w:rsidRDefault="001D4AFA" w:rsidP="009F2D1E">
            <w:pPr>
              <w:jc w:val="right"/>
              <w:rPr>
                <w:rFonts w:ascii="Times New Roman" w:hAnsi="Times New Roman"/>
                <w:sz w:val="14"/>
                <w:szCs w:val="14"/>
              </w:rPr>
            </w:pPr>
            <w:r w:rsidRPr="009F2D1E">
              <w:rPr>
                <w:sz w:val="14"/>
                <w:szCs w:val="14"/>
              </w:rPr>
              <w:t>783,65</w:t>
            </w:r>
          </w:p>
        </w:tc>
        <w:tc>
          <w:tcPr>
            <w:tcW w:w="1182" w:type="dxa"/>
            <w:tcBorders>
              <w:top w:val="nil"/>
              <w:left w:val="nil"/>
              <w:bottom w:val="single" w:sz="4" w:space="0" w:color="auto"/>
              <w:right w:val="single" w:sz="4" w:space="0" w:color="auto"/>
            </w:tcBorders>
            <w:shd w:val="clear" w:color="000000" w:fill="FFFFFF"/>
            <w:noWrap/>
            <w:vAlign w:val="bottom"/>
            <w:hideMark/>
          </w:tcPr>
          <w:p w14:paraId="71F613FD" w14:textId="77777777" w:rsidR="001D4AFA" w:rsidRPr="009F2D1E" w:rsidRDefault="001D4AFA" w:rsidP="009F2D1E">
            <w:pPr>
              <w:jc w:val="right"/>
              <w:rPr>
                <w:rFonts w:ascii="Times New Roman" w:hAnsi="Times New Roman"/>
                <w:sz w:val="14"/>
                <w:szCs w:val="14"/>
              </w:rPr>
            </w:pPr>
            <w:r w:rsidRPr="009F2D1E">
              <w:rPr>
                <w:sz w:val="14"/>
                <w:szCs w:val="14"/>
              </w:rPr>
              <w:t>819,36</w:t>
            </w:r>
          </w:p>
        </w:tc>
        <w:tc>
          <w:tcPr>
            <w:tcW w:w="1181" w:type="dxa"/>
            <w:tcBorders>
              <w:top w:val="nil"/>
              <w:left w:val="nil"/>
              <w:bottom w:val="single" w:sz="4" w:space="0" w:color="auto"/>
              <w:right w:val="single" w:sz="4" w:space="0" w:color="auto"/>
            </w:tcBorders>
            <w:shd w:val="clear" w:color="000000" w:fill="FFFFFF"/>
            <w:noWrap/>
            <w:vAlign w:val="bottom"/>
            <w:hideMark/>
          </w:tcPr>
          <w:p w14:paraId="0869B5C4" w14:textId="77777777" w:rsidR="001D4AFA" w:rsidRPr="009F2D1E" w:rsidRDefault="001D4AFA" w:rsidP="009F2D1E">
            <w:pPr>
              <w:jc w:val="right"/>
              <w:rPr>
                <w:rFonts w:ascii="Times New Roman" w:hAnsi="Times New Roman"/>
                <w:sz w:val="14"/>
                <w:szCs w:val="14"/>
              </w:rPr>
            </w:pPr>
            <w:r w:rsidRPr="009F2D1E">
              <w:rPr>
                <w:sz w:val="14"/>
                <w:szCs w:val="14"/>
              </w:rPr>
              <w:t>841,69</w:t>
            </w:r>
          </w:p>
        </w:tc>
        <w:tc>
          <w:tcPr>
            <w:tcW w:w="1181" w:type="dxa"/>
            <w:tcBorders>
              <w:top w:val="nil"/>
              <w:left w:val="nil"/>
              <w:bottom w:val="single" w:sz="4" w:space="0" w:color="auto"/>
              <w:right w:val="single" w:sz="4" w:space="0" w:color="auto"/>
            </w:tcBorders>
            <w:shd w:val="clear" w:color="000000" w:fill="FFFFFF"/>
            <w:vAlign w:val="bottom"/>
          </w:tcPr>
          <w:p w14:paraId="5A6EE68F" w14:textId="77777777" w:rsidR="001D4AFA" w:rsidRPr="009F2D1E" w:rsidRDefault="001D4AFA" w:rsidP="009F2D1E">
            <w:pPr>
              <w:jc w:val="right"/>
              <w:rPr>
                <w:rFonts w:ascii="Times New Roman" w:hAnsi="Times New Roman"/>
                <w:sz w:val="14"/>
                <w:szCs w:val="14"/>
              </w:rPr>
            </w:pPr>
            <w:r w:rsidRPr="009F2D1E">
              <w:rPr>
                <w:sz w:val="14"/>
                <w:szCs w:val="14"/>
              </w:rPr>
              <w:t>870,76</w:t>
            </w:r>
          </w:p>
        </w:tc>
      </w:tr>
      <w:tr w:rsidR="001D4AFA" w:rsidRPr="00364545" w14:paraId="04570899"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B4272F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67" w:type="dxa"/>
            <w:tcBorders>
              <w:top w:val="nil"/>
              <w:left w:val="nil"/>
              <w:bottom w:val="single" w:sz="4" w:space="0" w:color="auto"/>
              <w:right w:val="single" w:sz="4" w:space="0" w:color="auto"/>
            </w:tcBorders>
            <w:shd w:val="clear" w:color="000000" w:fill="FFFFFF"/>
            <w:noWrap/>
            <w:vAlign w:val="bottom"/>
            <w:hideMark/>
          </w:tcPr>
          <w:p w14:paraId="0F40412D" w14:textId="77777777" w:rsidR="001D4AFA" w:rsidRPr="009F2D1E" w:rsidRDefault="001D4AFA" w:rsidP="009F2D1E">
            <w:pPr>
              <w:jc w:val="right"/>
              <w:rPr>
                <w:rFonts w:ascii="Times New Roman" w:hAnsi="Times New Roman"/>
                <w:sz w:val="14"/>
                <w:szCs w:val="14"/>
              </w:rPr>
            </w:pPr>
            <w:r w:rsidRPr="009F2D1E">
              <w:rPr>
                <w:sz w:val="14"/>
                <w:szCs w:val="14"/>
              </w:rPr>
              <w:t>121,49</w:t>
            </w:r>
          </w:p>
        </w:tc>
        <w:tc>
          <w:tcPr>
            <w:tcW w:w="1167" w:type="dxa"/>
            <w:tcBorders>
              <w:top w:val="nil"/>
              <w:left w:val="nil"/>
              <w:bottom w:val="single" w:sz="4" w:space="0" w:color="auto"/>
              <w:right w:val="single" w:sz="4" w:space="0" w:color="auto"/>
            </w:tcBorders>
            <w:shd w:val="clear" w:color="000000" w:fill="FFFFFF"/>
            <w:noWrap/>
            <w:vAlign w:val="bottom"/>
            <w:hideMark/>
          </w:tcPr>
          <w:p w14:paraId="2F11029D" w14:textId="77777777" w:rsidR="001D4AFA" w:rsidRPr="009F2D1E" w:rsidRDefault="001D4AFA" w:rsidP="009F2D1E">
            <w:pPr>
              <w:jc w:val="right"/>
              <w:rPr>
                <w:rFonts w:ascii="Times New Roman" w:hAnsi="Times New Roman"/>
                <w:sz w:val="14"/>
                <w:szCs w:val="14"/>
              </w:rPr>
            </w:pPr>
            <w:r w:rsidRPr="009F2D1E">
              <w:rPr>
                <w:sz w:val="14"/>
                <w:szCs w:val="14"/>
              </w:rPr>
              <w:t>129,68</w:t>
            </w:r>
          </w:p>
        </w:tc>
        <w:tc>
          <w:tcPr>
            <w:tcW w:w="1196" w:type="dxa"/>
            <w:tcBorders>
              <w:top w:val="nil"/>
              <w:left w:val="nil"/>
              <w:bottom w:val="single" w:sz="4" w:space="0" w:color="auto"/>
              <w:right w:val="single" w:sz="4" w:space="0" w:color="auto"/>
            </w:tcBorders>
            <w:shd w:val="clear" w:color="000000" w:fill="FFFFFF"/>
            <w:noWrap/>
            <w:vAlign w:val="bottom"/>
            <w:hideMark/>
          </w:tcPr>
          <w:p w14:paraId="3A9DFB68" w14:textId="77777777" w:rsidR="001D4AFA" w:rsidRPr="009F2D1E" w:rsidRDefault="001D4AFA" w:rsidP="009F2D1E">
            <w:pPr>
              <w:jc w:val="right"/>
              <w:rPr>
                <w:rFonts w:ascii="Times New Roman" w:hAnsi="Times New Roman"/>
                <w:sz w:val="14"/>
                <w:szCs w:val="14"/>
              </w:rPr>
            </w:pPr>
            <w:r w:rsidRPr="009F2D1E">
              <w:rPr>
                <w:sz w:val="14"/>
                <w:szCs w:val="14"/>
              </w:rPr>
              <w:t>128,31</w:t>
            </w:r>
          </w:p>
        </w:tc>
        <w:tc>
          <w:tcPr>
            <w:tcW w:w="1182" w:type="dxa"/>
            <w:tcBorders>
              <w:top w:val="nil"/>
              <w:left w:val="nil"/>
              <w:bottom w:val="single" w:sz="4" w:space="0" w:color="auto"/>
              <w:right w:val="single" w:sz="4" w:space="0" w:color="auto"/>
            </w:tcBorders>
            <w:shd w:val="clear" w:color="000000" w:fill="FFFFFF"/>
            <w:noWrap/>
            <w:vAlign w:val="bottom"/>
            <w:hideMark/>
          </w:tcPr>
          <w:p w14:paraId="59C28B5D" w14:textId="77777777" w:rsidR="001D4AFA" w:rsidRPr="009F2D1E" w:rsidRDefault="001D4AFA" w:rsidP="009F2D1E">
            <w:pPr>
              <w:jc w:val="right"/>
              <w:rPr>
                <w:rFonts w:ascii="Times New Roman" w:hAnsi="Times New Roman"/>
                <w:sz w:val="14"/>
                <w:szCs w:val="14"/>
              </w:rPr>
            </w:pPr>
            <w:r w:rsidRPr="009F2D1E">
              <w:rPr>
                <w:sz w:val="14"/>
                <w:szCs w:val="14"/>
              </w:rPr>
              <w:t>144,06</w:t>
            </w:r>
          </w:p>
        </w:tc>
        <w:tc>
          <w:tcPr>
            <w:tcW w:w="1181" w:type="dxa"/>
            <w:tcBorders>
              <w:top w:val="nil"/>
              <w:left w:val="nil"/>
              <w:bottom w:val="single" w:sz="4" w:space="0" w:color="auto"/>
              <w:right w:val="single" w:sz="4" w:space="0" w:color="auto"/>
            </w:tcBorders>
            <w:shd w:val="clear" w:color="000000" w:fill="FFFFFF"/>
            <w:noWrap/>
            <w:vAlign w:val="bottom"/>
            <w:hideMark/>
          </w:tcPr>
          <w:p w14:paraId="17694CAC" w14:textId="77777777" w:rsidR="001D4AFA" w:rsidRPr="009F2D1E" w:rsidRDefault="001D4AFA" w:rsidP="009F2D1E">
            <w:pPr>
              <w:jc w:val="right"/>
              <w:rPr>
                <w:rFonts w:ascii="Times New Roman" w:hAnsi="Times New Roman"/>
                <w:sz w:val="14"/>
                <w:szCs w:val="14"/>
              </w:rPr>
            </w:pPr>
            <w:r w:rsidRPr="009F2D1E">
              <w:rPr>
                <w:sz w:val="14"/>
                <w:szCs w:val="14"/>
              </w:rPr>
              <w:t>146,72</w:t>
            </w:r>
          </w:p>
        </w:tc>
        <w:tc>
          <w:tcPr>
            <w:tcW w:w="1181" w:type="dxa"/>
            <w:tcBorders>
              <w:top w:val="nil"/>
              <w:left w:val="nil"/>
              <w:bottom w:val="single" w:sz="4" w:space="0" w:color="auto"/>
              <w:right w:val="single" w:sz="4" w:space="0" w:color="auto"/>
            </w:tcBorders>
            <w:shd w:val="clear" w:color="000000" w:fill="FFFFFF"/>
            <w:vAlign w:val="bottom"/>
          </w:tcPr>
          <w:p w14:paraId="3DAF2CD0" w14:textId="77777777" w:rsidR="001D4AFA" w:rsidRPr="009F2D1E" w:rsidRDefault="001D4AFA" w:rsidP="009F2D1E">
            <w:pPr>
              <w:jc w:val="right"/>
              <w:rPr>
                <w:rFonts w:ascii="Times New Roman" w:hAnsi="Times New Roman"/>
                <w:sz w:val="14"/>
                <w:szCs w:val="14"/>
              </w:rPr>
            </w:pPr>
            <w:r w:rsidRPr="009F2D1E">
              <w:rPr>
                <w:sz w:val="14"/>
                <w:szCs w:val="14"/>
              </w:rPr>
              <w:t>162,43</w:t>
            </w:r>
          </w:p>
        </w:tc>
      </w:tr>
      <w:tr w:rsidR="001D4AFA" w:rsidRPr="00364545" w14:paraId="2A96BAC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9F191A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67" w:type="dxa"/>
            <w:tcBorders>
              <w:top w:val="nil"/>
              <w:left w:val="nil"/>
              <w:bottom w:val="single" w:sz="4" w:space="0" w:color="auto"/>
              <w:right w:val="single" w:sz="4" w:space="0" w:color="auto"/>
            </w:tcBorders>
            <w:shd w:val="clear" w:color="000000" w:fill="FFFFFF"/>
            <w:noWrap/>
            <w:vAlign w:val="bottom"/>
            <w:hideMark/>
          </w:tcPr>
          <w:p w14:paraId="636E673F"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1D7BCE1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319DA83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084AFC6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3FC0EA2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66E2EC79"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12C46649"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bottom"/>
            <w:hideMark/>
          </w:tcPr>
          <w:p w14:paraId="7388D99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67" w:type="dxa"/>
            <w:tcBorders>
              <w:top w:val="nil"/>
              <w:left w:val="nil"/>
              <w:bottom w:val="single" w:sz="4" w:space="0" w:color="auto"/>
              <w:right w:val="single" w:sz="4" w:space="0" w:color="auto"/>
            </w:tcBorders>
            <w:shd w:val="clear" w:color="000000" w:fill="CCFFFF"/>
            <w:noWrap/>
            <w:vAlign w:val="bottom"/>
            <w:hideMark/>
          </w:tcPr>
          <w:p w14:paraId="641103AC" w14:textId="77777777" w:rsidR="001D4AFA" w:rsidRPr="009F2D1E" w:rsidRDefault="001D4AFA" w:rsidP="009F2D1E">
            <w:pPr>
              <w:jc w:val="right"/>
              <w:rPr>
                <w:rFonts w:ascii="Times New Roman" w:hAnsi="Times New Roman"/>
                <w:sz w:val="14"/>
                <w:szCs w:val="14"/>
              </w:rPr>
            </w:pPr>
            <w:r w:rsidRPr="009F2D1E">
              <w:rPr>
                <w:sz w:val="14"/>
                <w:szCs w:val="14"/>
              </w:rPr>
              <w:t>-31795,10</w:t>
            </w:r>
          </w:p>
        </w:tc>
        <w:tc>
          <w:tcPr>
            <w:tcW w:w="1167" w:type="dxa"/>
            <w:tcBorders>
              <w:top w:val="nil"/>
              <w:left w:val="nil"/>
              <w:bottom w:val="single" w:sz="4" w:space="0" w:color="auto"/>
              <w:right w:val="single" w:sz="4" w:space="0" w:color="auto"/>
            </w:tcBorders>
            <w:shd w:val="clear" w:color="000000" w:fill="CCFFFF"/>
            <w:noWrap/>
            <w:vAlign w:val="bottom"/>
            <w:hideMark/>
          </w:tcPr>
          <w:p w14:paraId="7BC6BAC4" w14:textId="77777777" w:rsidR="001D4AFA" w:rsidRPr="009F2D1E" w:rsidRDefault="001D4AFA" w:rsidP="009F2D1E">
            <w:pPr>
              <w:jc w:val="right"/>
              <w:rPr>
                <w:rFonts w:ascii="Times New Roman" w:hAnsi="Times New Roman"/>
                <w:sz w:val="14"/>
                <w:szCs w:val="14"/>
              </w:rPr>
            </w:pPr>
            <w:r w:rsidRPr="009F2D1E">
              <w:rPr>
                <w:sz w:val="14"/>
                <w:szCs w:val="14"/>
              </w:rPr>
              <w:t>-37410,52</w:t>
            </w:r>
          </w:p>
        </w:tc>
        <w:tc>
          <w:tcPr>
            <w:tcW w:w="1196" w:type="dxa"/>
            <w:tcBorders>
              <w:top w:val="nil"/>
              <w:left w:val="nil"/>
              <w:bottom w:val="single" w:sz="4" w:space="0" w:color="auto"/>
              <w:right w:val="single" w:sz="4" w:space="0" w:color="auto"/>
            </w:tcBorders>
            <w:shd w:val="clear" w:color="000000" w:fill="CCFFFF"/>
            <w:noWrap/>
            <w:vAlign w:val="bottom"/>
            <w:hideMark/>
          </w:tcPr>
          <w:p w14:paraId="11F7F6E1" w14:textId="77777777" w:rsidR="001D4AFA" w:rsidRPr="009F2D1E" w:rsidRDefault="001D4AFA" w:rsidP="009F2D1E">
            <w:pPr>
              <w:jc w:val="right"/>
              <w:rPr>
                <w:rFonts w:ascii="Times New Roman" w:hAnsi="Times New Roman"/>
                <w:sz w:val="14"/>
                <w:szCs w:val="14"/>
              </w:rPr>
            </w:pPr>
            <w:r w:rsidRPr="009F2D1E">
              <w:rPr>
                <w:sz w:val="14"/>
                <w:szCs w:val="14"/>
              </w:rPr>
              <w:t>-37208,07</w:t>
            </w:r>
          </w:p>
        </w:tc>
        <w:tc>
          <w:tcPr>
            <w:tcW w:w="1182" w:type="dxa"/>
            <w:tcBorders>
              <w:top w:val="nil"/>
              <w:left w:val="nil"/>
              <w:bottom w:val="single" w:sz="4" w:space="0" w:color="auto"/>
              <w:right w:val="single" w:sz="4" w:space="0" w:color="auto"/>
            </w:tcBorders>
            <w:shd w:val="clear" w:color="000000" w:fill="CCFFFF"/>
            <w:noWrap/>
            <w:vAlign w:val="bottom"/>
            <w:hideMark/>
          </w:tcPr>
          <w:p w14:paraId="70C6CB02" w14:textId="77777777" w:rsidR="001D4AFA" w:rsidRPr="009F2D1E" w:rsidRDefault="001D4AFA" w:rsidP="009F2D1E">
            <w:pPr>
              <w:jc w:val="right"/>
              <w:rPr>
                <w:rFonts w:ascii="Times New Roman" w:hAnsi="Times New Roman"/>
                <w:sz w:val="14"/>
                <w:szCs w:val="14"/>
              </w:rPr>
            </w:pPr>
            <w:r w:rsidRPr="009F2D1E">
              <w:rPr>
                <w:sz w:val="14"/>
                <w:szCs w:val="14"/>
              </w:rPr>
              <w:t>-38742,45</w:t>
            </w:r>
          </w:p>
        </w:tc>
        <w:tc>
          <w:tcPr>
            <w:tcW w:w="1181" w:type="dxa"/>
            <w:tcBorders>
              <w:top w:val="nil"/>
              <w:left w:val="nil"/>
              <w:bottom w:val="single" w:sz="4" w:space="0" w:color="auto"/>
              <w:right w:val="single" w:sz="4" w:space="0" w:color="auto"/>
            </w:tcBorders>
            <w:shd w:val="clear" w:color="000000" w:fill="CCFFFF"/>
            <w:noWrap/>
            <w:vAlign w:val="bottom"/>
            <w:hideMark/>
          </w:tcPr>
          <w:p w14:paraId="1567118D" w14:textId="77777777" w:rsidR="001D4AFA" w:rsidRPr="009F2D1E" w:rsidRDefault="001D4AFA" w:rsidP="009F2D1E">
            <w:pPr>
              <w:jc w:val="right"/>
              <w:rPr>
                <w:rFonts w:ascii="Times New Roman" w:hAnsi="Times New Roman"/>
                <w:sz w:val="14"/>
                <w:szCs w:val="14"/>
              </w:rPr>
            </w:pPr>
            <w:r w:rsidRPr="009F2D1E">
              <w:rPr>
                <w:sz w:val="14"/>
                <w:szCs w:val="14"/>
              </w:rPr>
              <w:t>-41713,32</w:t>
            </w:r>
          </w:p>
        </w:tc>
        <w:tc>
          <w:tcPr>
            <w:tcW w:w="1181" w:type="dxa"/>
            <w:tcBorders>
              <w:top w:val="nil"/>
              <w:left w:val="nil"/>
              <w:bottom w:val="single" w:sz="4" w:space="0" w:color="auto"/>
              <w:right w:val="single" w:sz="4" w:space="0" w:color="auto"/>
            </w:tcBorders>
            <w:shd w:val="clear" w:color="000000" w:fill="CCFFFF"/>
            <w:vAlign w:val="bottom"/>
          </w:tcPr>
          <w:p w14:paraId="2E191196" w14:textId="77777777" w:rsidR="001D4AFA" w:rsidRPr="009F2D1E" w:rsidRDefault="001D4AFA" w:rsidP="009F2D1E">
            <w:pPr>
              <w:jc w:val="right"/>
              <w:rPr>
                <w:rFonts w:ascii="Times New Roman" w:hAnsi="Times New Roman"/>
                <w:sz w:val="14"/>
                <w:szCs w:val="14"/>
              </w:rPr>
            </w:pPr>
            <w:r w:rsidRPr="009F2D1E">
              <w:rPr>
                <w:sz w:val="14"/>
                <w:szCs w:val="14"/>
              </w:rPr>
              <w:t>-24594,70</w:t>
            </w:r>
          </w:p>
        </w:tc>
      </w:tr>
      <w:tr w:rsidR="001D4AFA" w:rsidRPr="00364545" w14:paraId="5D960FA0"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394BA3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67" w:type="dxa"/>
            <w:tcBorders>
              <w:top w:val="nil"/>
              <w:left w:val="nil"/>
              <w:bottom w:val="single" w:sz="4" w:space="0" w:color="auto"/>
              <w:right w:val="single" w:sz="4" w:space="0" w:color="auto"/>
            </w:tcBorders>
            <w:shd w:val="clear" w:color="000000" w:fill="FFFFFF"/>
            <w:noWrap/>
            <w:vAlign w:val="bottom"/>
            <w:hideMark/>
          </w:tcPr>
          <w:p w14:paraId="4BB98715" w14:textId="77777777" w:rsidR="001D4AFA" w:rsidRPr="009F2D1E" w:rsidRDefault="001D4AFA" w:rsidP="009F2D1E">
            <w:pPr>
              <w:jc w:val="right"/>
              <w:rPr>
                <w:rFonts w:ascii="Times New Roman" w:hAnsi="Times New Roman"/>
                <w:sz w:val="14"/>
                <w:szCs w:val="14"/>
              </w:rPr>
            </w:pPr>
            <w:r w:rsidRPr="009F2D1E">
              <w:rPr>
                <w:sz w:val="14"/>
                <w:szCs w:val="14"/>
              </w:rPr>
              <w:t>-44901,06</w:t>
            </w:r>
          </w:p>
        </w:tc>
        <w:tc>
          <w:tcPr>
            <w:tcW w:w="1167" w:type="dxa"/>
            <w:tcBorders>
              <w:top w:val="nil"/>
              <w:left w:val="nil"/>
              <w:bottom w:val="single" w:sz="4" w:space="0" w:color="auto"/>
              <w:right w:val="single" w:sz="4" w:space="0" w:color="auto"/>
            </w:tcBorders>
            <w:shd w:val="clear" w:color="000000" w:fill="FFFFFF"/>
            <w:noWrap/>
            <w:vAlign w:val="bottom"/>
            <w:hideMark/>
          </w:tcPr>
          <w:p w14:paraId="27801110" w14:textId="77777777" w:rsidR="001D4AFA" w:rsidRPr="009F2D1E" w:rsidRDefault="001D4AFA" w:rsidP="009F2D1E">
            <w:pPr>
              <w:jc w:val="right"/>
              <w:rPr>
                <w:rFonts w:ascii="Times New Roman" w:hAnsi="Times New Roman"/>
                <w:sz w:val="14"/>
                <w:szCs w:val="14"/>
              </w:rPr>
            </w:pPr>
            <w:r w:rsidRPr="009F2D1E">
              <w:rPr>
                <w:sz w:val="14"/>
                <w:szCs w:val="14"/>
              </w:rPr>
              <w:t>-51534,19</w:t>
            </w:r>
          </w:p>
        </w:tc>
        <w:tc>
          <w:tcPr>
            <w:tcW w:w="1196" w:type="dxa"/>
            <w:tcBorders>
              <w:top w:val="nil"/>
              <w:left w:val="nil"/>
              <w:bottom w:val="single" w:sz="4" w:space="0" w:color="auto"/>
              <w:right w:val="single" w:sz="4" w:space="0" w:color="auto"/>
            </w:tcBorders>
            <w:shd w:val="clear" w:color="000000" w:fill="FFFFFF"/>
            <w:noWrap/>
            <w:vAlign w:val="bottom"/>
            <w:hideMark/>
          </w:tcPr>
          <w:p w14:paraId="771B63E2" w14:textId="77777777" w:rsidR="001D4AFA" w:rsidRPr="009F2D1E" w:rsidRDefault="001D4AFA" w:rsidP="009F2D1E">
            <w:pPr>
              <w:jc w:val="right"/>
              <w:rPr>
                <w:rFonts w:ascii="Times New Roman" w:hAnsi="Times New Roman"/>
                <w:sz w:val="14"/>
                <w:szCs w:val="14"/>
              </w:rPr>
            </w:pPr>
            <w:r w:rsidRPr="009F2D1E">
              <w:rPr>
                <w:sz w:val="14"/>
                <w:szCs w:val="14"/>
              </w:rPr>
              <w:t>-50969,79</w:t>
            </w:r>
          </w:p>
        </w:tc>
        <w:tc>
          <w:tcPr>
            <w:tcW w:w="1182" w:type="dxa"/>
            <w:tcBorders>
              <w:top w:val="nil"/>
              <w:left w:val="nil"/>
              <w:bottom w:val="single" w:sz="4" w:space="0" w:color="auto"/>
              <w:right w:val="single" w:sz="4" w:space="0" w:color="auto"/>
            </w:tcBorders>
            <w:shd w:val="clear" w:color="000000" w:fill="FFFFFF"/>
            <w:noWrap/>
            <w:vAlign w:val="bottom"/>
            <w:hideMark/>
          </w:tcPr>
          <w:p w14:paraId="70D3C378" w14:textId="77777777" w:rsidR="001D4AFA" w:rsidRPr="009F2D1E" w:rsidRDefault="001D4AFA" w:rsidP="009F2D1E">
            <w:pPr>
              <w:jc w:val="right"/>
              <w:rPr>
                <w:rFonts w:ascii="Times New Roman" w:hAnsi="Times New Roman"/>
                <w:sz w:val="14"/>
                <w:szCs w:val="14"/>
              </w:rPr>
            </w:pPr>
            <w:r w:rsidRPr="009F2D1E">
              <w:rPr>
                <w:sz w:val="14"/>
                <w:szCs w:val="14"/>
              </w:rPr>
              <w:t>-51308,48</w:t>
            </w:r>
          </w:p>
        </w:tc>
        <w:tc>
          <w:tcPr>
            <w:tcW w:w="1181" w:type="dxa"/>
            <w:tcBorders>
              <w:top w:val="nil"/>
              <w:left w:val="nil"/>
              <w:bottom w:val="single" w:sz="4" w:space="0" w:color="auto"/>
              <w:right w:val="single" w:sz="4" w:space="0" w:color="auto"/>
            </w:tcBorders>
            <w:shd w:val="clear" w:color="000000" w:fill="FFFFFF"/>
            <w:noWrap/>
            <w:vAlign w:val="bottom"/>
            <w:hideMark/>
          </w:tcPr>
          <w:p w14:paraId="06FEC1DE" w14:textId="77777777" w:rsidR="001D4AFA" w:rsidRPr="009F2D1E" w:rsidRDefault="001D4AFA" w:rsidP="009F2D1E">
            <w:pPr>
              <w:jc w:val="right"/>
              <w:rPr>
                <w:rFonts w:ascii="Times New Roman" w:hAnsi="Times New Roman"/>
                <w:sz w:val="14"/>
                <w:szCs w:val="14"/>
              </w:rPr>
            </w:pPr>
            <w:r w:rsidRPr="009F2D1E">
              <w:rPr>
                <w:sz w:val="14"/>
                <w:szCs w:val="14"/>
              </w:rPr>
              <w:t>-56405,53</w:t>
            </w:r>
          </w:p>
        </w:tc>
        <w:tc>
          <w:tcPr>
            <w:tcW w:w="1181" w:type="dxa"/>
            <w:tcBorders>
              <w:top w:val="nil"/>
              <w:left w:val="nil"/>
              <w:bottom w:val="single" w:sz="4" w:space="0" w:color="auto"/>
              <w:right w:val="single" w:sz="4" w:space="0" w:color="auto"/>
            </w:tcBorders>
            <w:shd w:val="clear" w:color="000000" w:fill="FFFFFF"/>
            <w:vAlign w:val="bottom"/>
          </w:tcPr>
          <w:p w14:paraId="76600B15" w14:textId="77777777" w:rsidR="001D4AFA" w:rsidRPr="009F2D1E" w:rsidRDefault="001D4AFA" w:rsidP="009F2D1E">
            <w:pPr>
              <w:jc w:val="right"/>
              <w:rPr>
                <w:rFonts w:ascii="Times New Roman" w:hAnsi="Times New Roman"/>
                <w:sz w:val="14"/>
                <w:szCs w:val="14"/>
              </w:rPr>
            </w:pPr>
            <w:r w:rsidRPr="009F2D1E">
              <w:rPr>
                <w:sz w:val="14"/>
                <w:szCs w:val="14"/>
              </w:rPr>
              <w:t>-33978,03</w:t>
            </w:r>
          </w:p>
        </w:tc>
      </w:tr>
      <w:tr w:rsidR="001D4AFA" w:rsidRPr="00364545" w14:paraId="22E69D99"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0E255A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67" w:type="dxa"/>
            <w:tcBorders>
              <w:top w:val="nil"/>
              <w:left w:val="nil"/>
              <w:bottom w:val="single" w:sz="4" w:space="0" w:color="auto"/>
              <w:right w:val="single" w:sz="4" w:space="0" w:color="auto"/>
            </w:tcBorders>
            <w:shd w:val="clear" w:color="000000" w:fill="FFFFFF"/>
            <w:noWrap/>
            <w:vAlign w:val="bottom"/>
            <w:hideMark/>
          </w:tcPr>
          <w:p w14:paraId="65FCAA0D" w14:textId="77777777" w:rsidR="001D4AFA" w:rsidRPr="009F2D1E" w:rsidRDefault="001D4AFA" w:rsidP="009F2D1E">
            <w:pPr>
              <w:jc w:val="right"/>
              <w:rPr>
                <w:rFonts w:ascii="Times New Roman" w:hAnsi="Times New Roman"/>
                <w:sz w:val="14"/>
                <w:szCs w:val="14"/>
              </w:rPr>
            </w:pPr>
            <w:r w:rsidRPr="009F2D1E">
              <w:rPr>
                <w:sz w:val="14"/>
                <w:szCs w:val="14"/>
              </w:rPr>
              <w:t>20560,62</w:t>
            </w:r>
          </w:p>
        </w:tc>
        <w:tc>
          <w:tcPr>
            <w:tcW w:w="1167" w:type="dxa"/>
            <w:tcBorders>
              <w:top w:val="nil"/>
              <w:left w:val="nil"/>
              <w:bottom w:val="single" w:sz="4" w:space="0" w:color="auto"/>
              <w:right w:val="single" w:sz="4" w:space="0" w:color="auto"/>
            </w:tcBorders>
            <w:shd w:val="clear" w:color="000000" w:fill="FFFFFF"/>
            <w:noWrap/>
            <w:vAlign w:val="bottom"/>
            <w:hideMark/>
          </w:tcPr>
          <w:p w14:paraId="2914B261" w14:textId="77777777" w:rsidR="001D4AFA" w:rsidRPr="009F2D1E" w:rsidRDefault="001D4AFA" w:rsidP="009F2D1E">
            <w:pPr>
              <w:jc w:val="right"/>
              <w:rPr>
                <w:rFonts w:ascii="Times New Roman" w:hAnsi="Times New Roman"/>
                <w:sz w:val="14"/>
                <w:szCs w:val="14"/>
              </w:rPr>
            </w:pPr>
            <w:r w:rsidRPr="009F2D1E">
              <w:rPr>
                <w:sz w:val="14"/>
                <w:szCs w:val="14"/>
              </w:rPr>
              <w:t>20846,60</w:t>
            </w:r>
          </w:p>
        </w:tc>
        <w:tc>
          <w:tcPr>
            <w:tcW w:w="1196" w:type="dxa"/>
            <w:tcBorders>
              <w:top w:val="nil"/>
              <w:left w:val="nil"/>
              <w:bottom w:val="single" w:sz="4" w:space="0" w:color="auto"/>
              <w:right w:val="single" w:sz="4" w:space="0" w:color="auto"/>
            </w:tcBorders>
            <w:shd w:val="clear" w:color="000000" w:fill="FFFFFF"/>
            <w:noWrap/>
            <w:vAlign w:val="bottom"/>
            <w:hideMark/>
          </w:tcPr>
          <w:p w14:paraId="1A0BFE2B" w14:textId="77777777" w:rsidR="001D4AFA" w:rsidRPr="009F2D1E" w:rsidRDefault="001D4AFA" w:rsidP="009F2D1E">
            <w:pPr>
              <w:jc w:val="right"/>
              <w:rPr>
                <w:rFonts w:ascii="Times New Roman" w:hAnsi="Times New Roman"/>
                <w:sz w:val="14"/>
                <w:szCs w:val="14"/>
              </w:rPr>
            </w:pPr>
            <w:r w:rsidRPr="009F2D1E">
              <w:rPr>
                <w:sz w:val="14"/>
                <w:szCs w:val="14"/>
              </w:rPr>
              <w:t>20377,88</w:t>
            </w:r>
          </w:p>
        </w:tc>
        <w:tc>
          <w:tcPr>
            <w:tcW w:w="1182" w:type="dxa"/>
            <w:tcBorders>
              <w:top w:val="nil"/>
              <w:left w:val="nil"/>
              <w:bottom w:val="single" w:sz="4" w:space="0" w:color="auto"/>
              <w:right w:val="single" w:sz="4" w:space="0" w:color="auto"/>
            </w:tcBorders>
            <w:shd w:val="clear" w:color="000000" w:fill="FFFFFF"/>
            <w:noWrap/>
            <w:vAlign w:val="bottom"/>
            <w:hideMark/>
          </w:tcPr>
          <w:p w14:paraId="592283AC" w14:textId="77777777" w:rsidR="001D4AFA" w:rsidRPr="009F2D1E" w:rsidRDefault="001D4AFA" w:rsidP="009F2D1E">
            <w:pPr>
              <w:jc w:val="right"/>
              <w:rPr>
                <w:rFonts w:ascii="Times New Roman" w:hAnsi="Times New Roman"/>
                <w:sz w:val="14"/>
                <w:szCs w:val="14"/>
              </w:rPr>
            </w:pPr>
            <w:r w:rsidRPr="009F2D1E">
              <w:rPr>
                <w:sz w:val="14"/>
                <w:szCs w:val="14"/>
              </w:rPr>
              <w:t>20414,07</w:t>
            </w:r>
          </w:p>
        </w:tc>
        <w:tc>
          <w:tcPr>
            <w:tcW w:w="1181" w:type="dxa"/>
            <w:tcBorders>
              <w:top w:val="nil"/>
              <w:left w:val="nil"/>
              <w:bottom w:val="single" w:sz="4" w:space="0" w:color="auto"/>
              <w:right w:val="single" w:sz="4" w:space="0" w:color="auto"/>
            </w:tcBorders>
            <w:shd w:val="clear" w:color="000000" w:fill="FFFFFF"/>
            <w:noWrap/>
            <w:vAlign w:val="bottom"/>
            <w:hideMark/>
          </w:tcPr>
          <w:p w14:paraId="1C224556" w14:textId="77777777" w:rsidR="001D4AFA" w:rsidRPr="009F2D1E" w:rsidRDefault="001D4AFA" w:rsidP="009F2D1E">
            <w:pPr>
              <w:jc w:val="right"/>
              <w:rPr>
                <w:rFonts w:ascii="Times New Roman" w:hAnsi="Times New Roman"/>
                <w:sz w:val="14"/>
                <w:szCs w:val="14"/>
              </w:rPr>
            </w:pPr>
            <w:r w:rsidRPr="009F2D1E">
              <w:rPr>
                <w:sz w:val="14"/>
                <w:szCs w:val="14"/>
              </w:rPr>
              <w:t>20368,77</w:t>
            </w:r>
          </w:p>
        </w:tc>
        <w:tc>
          <w:tcPr>
            <w:tcW w:w="1181" w:type="dxa"/>
            <w:tcBorders>
              <w:top w:val="nil"/>
              <w:left w:val="nil"/>
              <w:bottom w:val="single" w:sz="4" w:space="0" w:color="auto"/>
              <w:right w:val="single" w:sz="4" w:space="0" w:color="auto"/>
            </w:tcBorders>
            <w:shd w:val="clear" w:color="000000" w:fill="FFFFFF"/>
            <w:vAlign w:val="bottom"/>
          </w:tcPr>
          <w:p w14:paraId="69CAC4A3" w14:textId="77777777" w:rsidR="001D4AFA" w:rsidRPr="009F2D1E" w:rsidRDefault="001D4AFA" w:rsidP="009F2D1E">
            <w:pPr>
              <w:jc w:val="right"/>
              <w:rPr>
                <w:rFonts w:ascii="Times New Roman" w:hAnsi="Times New Roman"/>
                <w:sz w:val="14"/>
                <w:szCs w:val="14"/>
              </w:rPr>
            </w:pPr>
            <w:r w:rsidRPr="009F2D1E">
              <w:rPr>
                <w:sz w:val="14"/>
                <w:szCs w:val="14"/>
              </w:rPr>
              <w:t>19077,11</w:t>
            </w:r>
          </w:p>
        </w:tc>
      </w:tr>
      <w:tr w:rsidR="001D4AFA" w:rsidRPr="00364545" w14:paraId="356C07D6"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438BE2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67" w:type="dxa"/>
            <w:tcBorders>
              <w:top w:val="nil"/>
              <w:left w:val="nil"/>
              <w:bottom w:val="single" w:sz="4" w:space="0" w:color="auto"/>
              <w:right w:val="single" w:sz="4" w:space="0" w:color="auto"/>
            </w:tcBorders>
            <w:shd w:val="clear" w:color="000000" w:fill="FFFFFF"/>
            <w:noWrap/>
            <w:vAlign w:val="bottom"/>
            <w:hideMark/>
          </w:tcPr>
          <w:p w14:paraId="0FE33077" w14:textId="77777777" w:rsidR="001D4AFA" w:rsidRPr="009F2D1E" w:rsidRDefault="001D4AFA" w:rsidP="009F2D1E">
            <w:pPr>
              <w:jc w:val="right"/>
              <w:rPr>
                <w:rFonts w:ascii="Times New Roman" w:hAnsi="Times New Roman"/>
                <w:sz w:val="14"/>
                <w:szCs w:val="14"/>
              </w:rPr>
            </w:pPr>
            <w:r w:rsidRPr="009F2D1E">
              <w:rPr>
                <w:sz w:val="14"/>
                <w:szCs w:val="14"/>
              </w:rPr>
              <w:t>-15120,99</w:t>
            </w:r>
          </w:p>
        </w:tc>
        <w:tc>
          <w:tcPr>
            <w:tcW w:w="1167" w:type="dxa"/>
            <w:tcBorders>
              <w:top w:val="nil"/>
              <w:left w:val="nil"/>
              <w:bottom w:val="single" w:sz="4" w:space="0" w:color="auto"/>
              <w:right w:val="single" w:sz="4" w:space="0" w:color="auto"/>
            </w:tcBorders>
            <w:shd w:val="clear" w:color="000000" w:fill="FFFFFF"/>
            <w:noWrap/>
            <w:vAlign w:val="bottom"/>
            <w:hideMark/>
          </w:tcPr>
          <w:p w14:paraId="19C7005A" w14:textId="77777777" w:rsidR="001D4AFA" w:rsidRPr="009F2D1E" w:rsidRDefault="001D4AFA" w:rsidP="009F2D1E">
            <w:pPr>
              <w:jc w:val="right"/>
              <w:rPr>
                <w:rFonts w:ascii="Times New Roman" w:hAnsi="Times New Roman"/>
                <w:sz w:val="14"/>
                <w:szCs w:val="14"/>
              </w:rPr>
            </w:pPr>
            <w:r w:rsidRPr="009F2D1E">
              <w:rPr>
                <w:sz w:val="14"/>
                <w:szCs w:val="14"/>
              </w:rPr>
              <w:t>-14654,54</w:t>
            </w:r>
          </w:p>
        </w:tc>
        <w:tc>
          <w:tcPr>
            <w:tcW w:w="1196" w:type="dxa"/>
            <w:tcBorders>
              <w:top w:val="nil"/>
              <w:left w:val="nil"/>
              <w:bottom w:val="single" w:sz="4" w:space="0" w:color="auto"/>
              <w:right w:val="single" w:sz="4" w:space="0" w:color="auto"/>
            </w:tcBorders>
            <w:shd w:val="clear" w:color="000000" w:fill="FFFFFF"/>
            <w:noWrap/>
            <w:vAlign w:val="bottom"/>
            <w:hideMark/>
          </w:tcPr>
          <w:p w14:paraId="02653C3D" w14:textId="77777777" w:rsidR="001D4AFA" w:rsidRPr="009F2D1E" w:rsidRDefault="001D4AFA" w:rsidP="009F2D1E">
            <w:pPr>
              <w:jc w:val="right"/>
              <w:rPr>
                <w:rFonts w:ascii="Times New Roman" w:hAnsi="Times New Roman"/>
                <w:sz w:val="14"/>
                <w:szCs w:val="14"/>
              </w:rPr>
            </w:pPr>
            <w:r w:rsidRPr="009F2D1E">
              <w:rPr>
                <w:sz w:val="14"/>
                <w:szCs w:val="14"/>
              </w:rPr>
              <w:t>-14498,16</w:t>
            </w:r>
          </w:p>
        </w:tc>
        <w:tc>
          <w:tcPr>
            <w:tcW w:w="1182" w:type="dxa"/>
            <w:tcBorders>
              <w:top w:val="nil"/>
              <w:left w:val="nil"/>
              <w:bottom w:val="single" w:sz="4" w:space="0" w:color="auto"/>
              <w:right w:val="single" w:sz="4" w:space="0" w:color="auto"/>
            </w:tcBorders>
            <w:shd w:val="clear" w:color="000000" w:fill="FFFFFF"/>
            <w:noWrap/>
            <w:vAlign w:val="bottom"/>
            <w:hideMark/>
          </w:tcPr>
          <w:p w14:paraId="00C4A4D7" w14:textId="77777777" w:rsidR="001D4AFA" w:rsidRPr="009F2D1E" w:rsidRDefault="001D4AFA" w:rsidP="009F2D1E">
            <w:pPr>
              <w:jc w:val="right"/>
              <w:rPr>
                <w:rFonts w:ascii="Times New Roman" w:hAnsi="Times New Roman"/>
                <w:sz w:val="14"/>
                <w:szCs w:val="14"/>
              </w:rPr>
            </w:pPr>
            <w:r w:rsidRPr="009F2D1E">
              <w:rPr>
                <w:sz w:val="14"/>
                <w:szCs w:val="14"/>
              </w:rPr>
              <w:t>-14662,10</w:t>
            </w:r>
          </w:p>
        </w:tc>
        <w:tc>
          <w:tcPr>
            <w:tcW w:w="1181" w:type="dxa"/>
            <w:tcBorders>
              <w:top w:val="nil"/>
              <w:left w:val="nil"/>
              <w:bottom w:val="single" w:sz="4" w:space="0" w:color="auto"/>
              <w:right w:val="single" w:sz="4" w:space="0" w:color="auto"/>
            </w:tcBorders>
            <w:shd w:val="clear" w:color="000000" w:fill="FFFFFF"/>
            <w:noWrap/>
            <w:vAlign w:val="bottom"/>
            <w:hideMark/>
          </w:tcPr>
          <w:p w14:paraId="12F473D3" w14:textId="77777777" w:rsidR="001D4AFA" w:rsidRPr="009F2D1E" w:rsidRDefault="001D4AFA" w:rsidP="009F2D1E">
            <w:pPr>
              <w:jc w:val="right"/>
              <w:rPr>
                <w:rFonts w:ascii="Times New Roman" w:hAnsi="Times New Roman"/>
                <w:sz w:val="14"/>
                <w:szCs w:val="14"/>
              </w:rPr>
            </w:pPr>
            <w:r w:rsidRPr="009F2D1E">
              <w:rPr>
                <w:sz w:val="14"/>
                <w:szCs w:val="14"/>
              </w:rPr>
              <w:t>-13410,42</w:t>
            </w:r>
          </w:p>
        </w:tc>
        <w:tc>
          <w:tcPr>
            <w:tcW w:w="1181" w:type="dxa"/>
            <w:tcBorders>
              <w:top w:val="nil"/>
              <w:left w:val="nil"/>
              <w:bottom w:val="single" w:sz="4" w:space="0" w:color="auto"/>
              <w:right w:val="single" w:sz="4" w:space="0" w:color="auto"/>
            </w:tcBorders>
            <w:shd w:val="clear" w:color="000000" w:fill="FFFFFF"/>
            <w:vAlign w:val="bottom"/>
          </w:tcPr>
          <w:p w14:paraId="470C141A" w14:textId="77777777" w:rsidR="001D4AFA" w:rsidRPr="009F2D1E" w:rsidRDefault="001D4AFA" w:rsidP="009F2D1E">
            <w:pPr>
              <w:jc w:val="right"/>
              <w:rPr>
                <w:rFonts w:ascii="Times New Roman" w:hAnsi="Times New Roman"/>
                <w:sz w:val="14"/>
                <w:szCs w:val="14"/>
              </w:rPr>
            </w:pPr>
            <w:r w:rsidRPr="009F2D1E">
              <w:rPr>
                <w:sz w:val="14"/>
                <w:szCs w:val="14"/>
              </w:rPr>
              <w:t>-14512,29</w:t>
            </w:r>
          </w:p>
        </w:tc>
      </w:tr>
      <w:tr w:rsidR="001D4AFA" w:rsidRPr="00364545" w14:paraId="1FEEE0C9"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C75795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67" w:type="dxa"/>
            <w:tcBorders>
              <w:top w:val="nil"/>
              <w:left w:val="nil"/>
              <w:bottom w:val="single" w:sz="4" w:space="0" w:color="auto"/>
              <w:right w:val="single" w:sz="4" w:space="0" w:color="auto"/>
            </w:tcBorders>
            <w:shd w:val="clear" w:color="000000" w:fill="FFFFFF"/>
            <w:noWrap/>
            <w:vAlign w:val="bottom"/>
            <w:hideMark/>
          </w:tcPr>
          <w:p w14:paraId="11BD5F05" w14:textId="77777777" w:rsidR="001D4AFA" w:rsidRPr="009F2D1E" w:rsidRDefault="001D4AFA" w:rsidP="009F2D1E">
            <w:pPr>
              <w:jc w:val="right"/>
              <w:rPr>
                <w:rFonts w:ascii="Times New Roman" w:hAnsi="Times New Roman"/>
                <w:sz w:val="14"/>
                <w:szCs w:val="14"/>
              </w:rPr>
            </w:pPr>
            <w:r w:rsidRPr="009F2D1E">
              <w:rPr>
                <w:sz w:val="14"/>
                <w:szCs w:val="14"/>
              </w:rPr>
              <w:t>225,57</w:t>
            </w:r>
          </w:p>
        </w:tc>
        <w:tc>
          <w:tcPr>
            <w:tcW w:w="1167" w:type="dxa"/>
            <w:tcBorders>
              <w:top w:val="nil"/>
              <w:left w:val="nil"/>
              <w:bottom w:val="single" w:sz="4" w:space="0" w:color="auto"/>
              <w:right w:val="single" w:sz="4" w:space="0" w:color="auto"/>
            </w:tcBorders>
            <w:shd w:val="clear" w:color="000000" w:fill="FFFFFF"/>
            <w:noWrap/>
            <w:vAlign w:val="bottom"/>
            <w:hideMark/>
          </w:tcPr>
          <w:p w14:paraId="28F2F6D2" w14:textId="77777777" w:rsidR="001D4AFA" w:rsidRPr="009F2D1E" w:rsidRDefault="001D4AFA" w:rsidP="009F2D1E">
            <w:pPr>
              <w:jc w:val="right"/>
              <w:rPr>
                <w:rFonts w:ascii="Times New Roman" w:hAnsi="Times New Roman"/>
                <w:sz w:val="14"/>
                <w:szCs w:val="14"/>
              </w:rPr>
            </w:pPr>
            <w:r w:rsidRPr="009F2D1E">
              <w:rPr>
                <w:sz w:val="14"/>
                <w:szCs w:val="14"/>
              </w:rPr>
              <w:t>376,64</w:t>
            </w:r>
          </w:p>
        </w:tc>
        <w:tc>
          <w:tcPr>
            <w:tcW w:w="1196" w:type="dxa"/>
            <w:tcBorders>
              <w:top w:val="nil"/>
              <w:left w:val="nil"/>
              <w:bottom w:val="single" w:sz="4" w:space="0" w:color="auto"/>
              <w:right w:val="single" w:sz="4" w:space="0" w:color="auto"/>
            </w:tcBorders>
            <w:shd w:val="clear" w:color="000000" w:fill="FFFFFF"/>
            <w:noWrap/>
            <w:vAlign w:val="bottom"/>
            <w:hideMark/>
          </w:tcPr>
          <w:p w14:paraId="0BF38C04" w14:textId="77777777" w:rsidR="001D4AFA" w:rsidRPr="009F2D1E" w:rsidRDefault="001D4AFA" w:rsidP="009F2D1E">
            <w:pPr>
              <w:jc w:val="right"/>
              <w:rPr>
                <w:rFonts w:ascii="Times New Roman" w:hAnsi="Times New Roman"/>
                <w:sz w:val="14"/>
                <w:szCs w:val="14"/>
              </w:rPr>
            </w:pPr>
            <w:r w:rsidRPr="009F2D1E">
              <w:rPr>
                <w:sz w:val="14"/>
                <w:szCs w:val="14"/>
              </w:rPr>
              <w:t>418,20</w:t>
            </w:r>
          </w:p>
        </w:tc>
        <w:tc>
          <w:tcPr>
            <w:tcW w:w="1182" w:type="dxa"/>
            <w:tcBorders>
              <w:top w:val="nil"/>
              <w:left w:val="nil"/>
              <w:bottom w:val="single" w:sz="4" w:space="0" w:color="auto"/>
              <w:right w:val="single" w:sz="4" w:space="0" w:color="auto"/>
            </w:tcBorders>
            <w:shd w:val="clear" w:color="000000" w:fill="FFFFFF"/>
            <w:noWrap/>
            <w:vAlign w:val="bottom"/>
            <w:hideMark/>
          </w:tcPr>
          <w:p w14:paraId="194F31FF" w14:textId="77777777" w:rsidR="001D4AFA" w:rsidRPr="009F2D1E" w:rsidRDefault="001D4AFA" w:rsidP="009F2D1E">
            <w:pPr>
              <w:jc w:val="right"/>
              <w:rPr>
                <w:rFonts w:ascii="Times New Roman" w:hAnsi="Times New Roman"/>
                <w:sz w:val="14"/>
                <w:szCs w:val="14"/>
              </w:rPr>
            </w:pPr>
            <w:r w:rsidRPr="009F2D1E">
              <w:rPr>
                <w:sz w:val="14"/>
                <w:szCs w:val="14"/>
              </w:rPr>
              <w:t>256,91</w:t>
            </w:r>
          </w:p>
        </w:tc>
        <w:tc>
          <w:tcPr>
            <w:tcW w:w="1181" w:type="dxa"/>
            <w:tcBorders>
              <w:top w:val="nil"/>
              <w:left w:val="nil"/>
              <w:bottom w:val="single" w:sz="4" w:space="0" w:color="auto"/>
              <w:right w:val="single" w:sz="4" w:space="0" w:color="auto"/>
            </w:tcBorders>
            <w:shd w:val="clear" w:color="000000" w:fill="FFFFFF"/>
            <w:noWrap/>
            <w:vAlign w:val="bottom"/>
            <w:hideMark/>
          </w:tcPr>
          <w:p w14:paraId="0E3DD47D" w14:textId="77777777" w:rsidR="001D4AFA" w:rsidRPr="009F2D1E" w:rsidRDefault="001D4AFA" w:rsidP="009F2D1E">
            <w:pPr>
              <w:jc w:val="right"/>
              <w:rPr>
                <w:rFonts w:ascii="Times New Roman" w:hAnsi="Times New Roman"/>
                <w:sz w:val="14"/>
                <w:szCs w:val="14"/>
              </w:rPr>
            </w:pPr>
            <w:r w:rsidRPr="009F2D1E">
              <w:rPr>
                <w:sz w:val="14"/>
                <w:szCs w:val="14"/>
              </w:rPr>
              <w:t>320,73</w:t>
            </w:r>
          </w:p>
        </w:tc>
        <w:tc>
          <w:tcPr>
            <w:tcW w:w="1181" w:type="dxa"/>
            <w:tcBorders>
              <w:top w:val="nil"/>
              <w:left w:val="nil"/>
              <w:bottom w:val="single" w:sz="4" w:space="0" w:color="auto"/>
              <w:right w:val="single" w:sz="4" w:space="0" w:color="auto"/>
            </w:tcBorders>
            <w:shd w:val="clear" w:color="000000" w:fill="FFFFFF"/>
            <w:vAlign w:val="bottom"/>
          </w:tcPr>
          <w:p w14:paraId="750D7282" w14:textId="77777777" w:rsidR="001D4AFA" w:rsidRPr="009F2D1E" w:rsidRDefault="001D4AFA" w:rsidP="009F2D1E">
            <w:pPr>
              <w:jc w:val="right"/>
              <w:rPr>
                <w:rFonts w:ascii="Times New Roman" w:hAnsi="Times New Roman"/>
                <w:sz w:val="14"/>
                <w:szCs w:val="14"/>
              </w:rPr>
            </w:pPr>
            <w:r w:rsidRPr="009F2D1E">
              <w:rPr>
                <w:sz w:val="14"/>
                <w:szCs w:val="14"/>
              </w:rPr>
              <w:t>233,99</w:t>
            </w:r>
          </w:p>
        </w:tc>
      </w:tr>
      <w:tr w:rsidR="001D4AFA" w:rsidRPr="00364545" w14:paraId="038AEE5D"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A3246B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67" w:type="dxa"/>
            <w:tcBorders>
              <w:top w:val="nil"/>
              <w:left w:val="nil"/>
              <w:bottom w:val="single" w:sz="4" w:space="0" w:color="auto"/>
              <w:right w:val="single" w:sz="4" w:space="0" w:color="auto"/>
            </w:tcBorders>
            <w:shd w:val="clear" w:color="000000" w:fill="FFFFFF"/>
            <w:noWrap/>
            <w:vAlign w:val="bottom"/>
            <w:hideMark/>
          </w:tcPr>
          <w:p w14:paraId="65D020E3" w14:textId="77777777" w:rsidR="001D4AFA" w:rsidRPr="009F2D1E" w:rsidRDefault="001D4AFA" w:rsidP="009F2D1E">
            <w:pPr>
              <w:jc w:val="right"/>
              <w:rPr>
                <w:rFonts w:ascii="Times New Roman" w:hAnsi="Times New Roman"/>
                <w:sz w:val="14"/>
                <w:szCs w:val="14"/>
              </w:rPr>
            </w:pPr>
            <w:r w:rsidRPr="009F2D1E">
              <w:rPr>
                <w:sz w:val="14"/>
                <w:szCs w:val="14"/>
              </w:rPr>
              <w:t>9265,81</w:t>
            </w:r>
          </w:p>
        </w:tc>
        <w:tc>
          <w:tcPr>
            <w:tcW w:w="1167" w:type="dxa"/>
            <w:tcBorders>
              <w:top w:val="nil"/>
              <w:left w:val="nil"/>
              <w:bottom w:val="single" w:sz="4" w:space="0" w:color="auto"/>
              <w:right w:val="single" w:sz="4" w:space="0" w:color="auto"/>
            </w:tcBorders>
            <w:shd w:val="clear" w:color="000000" w:fill="FFFFFF"/>
            <w:noWrap/>
            <w:vAlign w:val="bottom"/>
            <w:hideMark/>
          </w:tcPr>
          <w:p w14:paraId="7C8AA410" w14:textId="77777777" w:rsidR="001D4AFA" w:rsidRPr="009F2D1E" w:rsidRDefault="001D4AFA" w:rsidP="009F2D1E">
            <w:pPr>
              <w:jc w:val="right"/>
              <w:rPr>
                <w:rFonts w:ascii="Times New Roman" w:hAnsi="Times New Roman"/>
                <w:sz w:val="14"/>
                <w:szCs w:val="14"/>
              </w:rPr>
            </w:pPr>
            <w:r w:rsidRPr="009F2D1E">
              <w:rPr>
                <w:sz w:val="14"/>
                <w:szCs w:val="14"/>
              </w:rPr>
              <w:t>9031,68</w:t>
            </w:r>
          </w:p>
        </w:tc>
        <w:tc>
          <w:tcPr>
            <w:tcW w:w="1196" w:type="dxa"/>
            <w:tcBorders>
              <w:top w:val="nil"/>
              <w:left w:val="nil"/>
              <w:bottom w:val="single" w:sz="4" w:space="0" w:color="auto"/>
              <w:right w:val="single" w:sz="4" w:space="0" w:color="auto"/>
            </w:tcBorders>
            <w:shd w:val="clear" w:color="000000" w:fill="FFFFFF"/>
            <w:noWrap/>
            <w:vAlign w:val="bottom"/>
            <w:hideMark/>
          </w:tcPr>
          <w:p w14:paraId="6DC506D3" w14:textId="77777777" w:rsidR="001D4AFA" w:rsidRPr="009F2D1E" w:rsidRDefault="001D4AFA" w:rsidP="009F2D1E">
            <w:pPr>
              <w:jc w:val="right"/>
              <w:rPr>
                <w:rFonts w:ascii="Times New Roman" w:hAnsi="Times New Roman"/>
                <w:sz w:val="14"/>
                <w:szCs w:val="14"/>
              </w:rPr>
            </w:pPr>
            <w:r w:rsidRPr="009F2D1E">
              <w:rPr>
                <w:sz w:val="14"/>
                <w:szCs w:val="14"/>
              </w:rPr>
              <w:t>9693,42</w:t>
            </w:r>
          </w:p>
        </w:tc>
        <w:tc>
          <w:tcPr>
            <w:tcW w:w="1182" w:type="dxa"/>
            <w:tcBorders>
              <w:top w:val="nil"/>
              <w:left w:val="nil"/>
              <w:bottom w:val="single" w:sz="4" w:space="0" w:color="auto"/>
              <w:right w:val="single" w:sz="4" w:space="0" w:color="auto"/>
            </w:tcBorders>
            <w:shd w:val="clear" w:color="000000" w:fill="FFFFFF"/>
            <w:noWrap/>
            <w:vAlign w:val="bottom"/>
            <w:hideMark/>
          </w:tcPr>
          <w:p w14:paraId="3AA3C729" w14:textId="77777777" w:rsidR="001D4AFA" w:rsidRPr="009F2D1E" w:rsidRDefault="001D4AFA" w:rsidP="009F2D1E">
            <w:pPr>
              <w:jc w:val="right"/>
              <w:rPr>
                <w:rFonts w:ascii="Times New Roman" w:hAnsi="Times New Roman"/>
                <w:sz w:val="14"/>
                <w:szCs w:val="14"/>
              </w:rPr>
            </w:pPr>
            <w:r w:rsidRPr="009F2D1E">
              <w:rPr>
                <w:sz w:val="14"/>
                <w:szCs w:val="14"/>
              </w:rPr>
              <w:t>9470,58</w:t>
            </w:r>
          </w:p>
        </w:tc>
        <w:tc>
          <w:tcPr>
            <w:tcW w:w="1181" w:type="dxa"/>
            <w:tcBorders>
              <w:top w:val="nil"/>
              <w:left w:val="nil"/>
              <w:bottom w:val="single" w:sz="4" w:space="0" w:color="auto"/>
              <w:right w:val="single" w:sz="4" w:space="0" w:color="auto"/>
            </w:tcBorders>
            <w:shd w:val="clear" w:color="000000" w:fill="FFFFFF"/>
            <w:noWrap/>
            <w:vAlign w:val="bottom"/>
            <w:hideMark/>
          </w:tcPr>
          <w:p w14:paraId="381C4923" w14:textId="77777777" w:rsidR="001D4AFA" w:rsidRPr="009F2D1E" w:rsidRDefault="001D4AFA" w:rsidP="009F2D1E">
            <w:pPr>
              <w:jc w:val="right"/>
              <w:rPr>
                <w:rFonts w:ascii="Times New Roman" w:hAnsi="Times New Roman"/>
                <w:sz w:val="14"/>
                <w:szCs w:val="14"/>
              </w:rPr>
            </w:pPr>
            <w:r w:rsidRPr="009F2D1E">
              <w:rPr>
                <w:sz w:val="14"/>
                <w:szCs w:val="14"/>
              </w:rPr>
              <w:t>10578,67</w:t>
            </w:r>
          </w:p>
        </w:tc>
        <w:tc>
          <w:tcPr>
            <w:tcW w:w="1181" w:type="dxa"/>
            <w:tcBorders>
              <w:top w:val="nil"/>
              <w:left w:val="nil"/>
              <w:bottom w:val="single" w:sz="4" w:space="0" w:color="auto"/>
              <w:right w:val="single" w:sz="4" w:space="0" w:color="auto"/>
            </w:tcBorders>
            <w:shd w:val="clear" w:color="000000" w:fill="FFFFFF"/>
            <w:vAlign w:val="bottom"/>
          </w:tcPr>
          <w:p w14:paraId="302E8401" w14:textId="77777777" w:rsidR="001D4AFA" w:rsidRPr="009F2D1E" w:rsidRDefault="001D4AFA" w:rsidP="009F2D1E">
            <w:pPr>
              <w:jc w:val="right"/>
              <w:rPr>
                <w:rFonts w:ascii="Times New Roman" w:hAnsi="Times New Roman"/>
                <w:sz w:val="14"/>
                <w:szCs w:val="14"/>
              </w:rPr>
            </w:pPr>
            <w:r w:rsidRPr="009F2D1E">
              <w:rPr>
                <w:sz w:val="14"/>
                <w:szCs w:val="14"/>
              </w:rPr>
              <w:t>9111,40</w:t>
            </w:r>
          </w:p>
        </w:tc>
      </w:tr>
      <w:tr w:rsidR="001D4AFA" w:rsidRPr="00364545" w14:paraId="2C4034E6"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3E70AA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67" w:type="dxa"/>
            <w:tcBorders>
              <w:top w:val="nil"/>
              <w:left w:val="nil"/>
              <w:bottom w:val="single" w:sz="4" w:space="0" w:color="auto"/>
              <w:right w:val="single" w:sz="4" w:space="0" w:color="auto"/>
            </w:tcBorders>
            <w:shd w:val="clear" w:color="000000" w:fill="FFFFFF"/>
            <w:noWrap/>
            <w:vAlign w:val="bottom"/>
            <w:hideMark/>
          </w:tcPr>
          <w:p w14:paraId="51906A3B"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2C4830CD"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6884FA5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5085D67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39809547"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14EB91AC"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798C5A23"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63A24F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67" w:type="dxa"/>
            <w:tcBorders>
              <w:top w:val="nil"/>
              <w:left w:val="nil"/>
              <w:bottom w:val="single" w:sz="4" w:space="0" w:color="auto"/>
              <w:right w:val="single" w:sz="4" w:space="0" w:color="auto"/>
            </w:tcBorders>
            <w:shd w:val="clear" w:color="000000" w:fill="FFFFFF"/>
            <w:noWrap/>
            <w:vAlign w:val="bottom"/>
            <w:hideMark/>
          </w:tcPr>
          <w:p w14:paraId="6FA9B1AF" w14:textId="77777777" w:rsidR="001D4AFA" w:rsidRPr="009F2D1E" w:rsidRDefault="001D4AFA" w:rsidP="009F2D1E">
            <w:pPr>
              <w:jc w:val="right"/>
              <w:rPr>
                <w:rFonts w:ascii="Times New Roman" w:hAnsi="Times New Roman"/>
                <w:sz w:val="14"/>
                <w:szCs w:val="14"/>
              </w:rPr>
            </w:pPr>
            <w:r w:rsidRPr="009F2D1E">
              <w:rPr>
                <w:sz w:val="14"/>
                <w:szCs w:val="14"/>
              </w:rPr>
              <w:t>-3042,48</w:t>
            </w:r>
          </w:p>
        </w:tc>
        <w:tc>
          <w:tcPr>
            <w:tcW w:w="1167" w:type="dxa"/>
            <w:tcBorders>
              <w:top w:val="nil"/>
              <w:left w:val="nil"/>
              <w:bottom w:val="single" w:sz="4" w:space="0" w:color="auto"/>
              <w:right w:val="single" w:sz="4" w:space="0" w:color="auto"/>
            </w:tcBorders>
            <w:shd w:val="clear" w:color="000000" w:fill="FFFFFF"/>
            <w:noWrap/>
            <w:vAlign w:val="bottom"/>
            <w:hideMark/>
          </w:tcPr>
          <w:p w14:paraId="5C12741E" w14:textId="77777777" w:rsidR="001D4AFA" w:rsidRPr="009F2D1E" w:rsidRDefault="001D4AFA" w:rsidP="009F2D1E">
            <w:pPr>
              <w:jc w:val="right"/>
              <w:rPr>
                <w:rFonts w:ascii="Times New Roman" w:hAnsi="Times New Roman"/>
                <w:sz w:val="14"/>
                <w:szCs w:val="14"/>
              </w:rPr>
            </w:pPr>
            <w:r w:rsidRPr="009F2D1E">
              <w:rPr>
                <w:sz w:val="14"/>
                <w:szCs w:val="14"/>
              </w:rPr>
              <w:t>-2538,48</w:t>
            </w:r>
          </w:p>
        </w:tc>
        <w:tc>
          <w:tcPr>
            <w:tcW w:w="1196" w:type="dxa"/>
            <w:tcBorders>
              <w:top w:val="nil"/>
              <w:left w:val="nil"/>
              <w:bottom w:val="single" w:sz="4" w:space="0" w:color="auto"/>
              <w:right w:val="single" w:sz="4" w:space="0" w:color="auto"/>
            </w:tcBorders>
            <w:shd w:val="clear" w:color="000000" w:fill="FFFFFF"/>
            <w:noWrap/>
            <w:vAlign w:val="bottom"/>
            <w:hideMark/>
          </w:tcPr>
          <w:p w14:paraId="4AFD9251" w14:textId="77777777" w:rsidR="001D4AFA" w:rsidRPr="009F2D1E" w:rsidRDefault="001D4AFA" w:rsidP="009F2D1E">
            <w:pPr>
              <w:jc w:val="right"/>
              <w:rPr>
                <w:rFonts w:ascii="Times New Roman" w:hAnsi="Times New Roman"/>
                <w:sz w:val="14"/>
                <w:szCs w:val="14"/>
              </w:rPr>
            </w:pPr>
            <w:r w:rsidRPr="009F2D1E">
              <w:rPr>
                <w:sz w:val="14"/>
                <w:szCs w:val="14"/>
              </w:rPr>
              <w:t>-3155,63</w:t>
            </w:r>
          </w:p>
        </w:tc>
        <w:tc>
          <w:tcPr>
            <w:tcW w:w="1182" w:type="dxa"/>
            <w:tcBorders>
              <w:top w:val="nil"/>
              <w:left w:val="nil"/>
              <w:bottom w:val="single" w:sz="4" w:space="0" w:color="auto"/>
              <w:right w:val="single" w:sz="4" w:space="0" w:color="auto"/>
            </w:tcBorders>
            <w:shd w:val="clear" w:color="000000" w:fill="FFFFFF"/>
            <w:noWrap/>
            <w:vAlign w:val="bottom"/>
            <w:hideMark/>
          </w:tcPr>
          <w:p w14:paraId="7CE30B15" w14:textId="77777777" w:rsidR="001D4AFA" w:rsidRPr="009F2D1E" w:rsidRDefault="001D4AFA" w:rsidP="009F2D1E">
            <w:pPr>
              <w:jc w:val="right"/>
              <w:rPr>
                <w:rFonts w:ascii="Times New Roman" w:hAnsi="Times New Roman"/>
                <w:sz w:val="14"/>
                <w:szCs w:val="14"/>
              </w:rPr>
            </w:pPr>
            <w:r w:rsidRPr="009F2D1E">
              <w:rPr>
                <w:sz w:val="14"/>
                <w:szCs w:val="14"/>
              </w:rPr>
              <w:t>-3721,04</w:t>
            </w:r>
          </w:p>
        </w:tc>
        <w:tc>
          <w:tcPr>
            <w:tcW w:w="1181" w:type="dxa"/>
            <w:tcBorders>
              <w:top w:val="nil"/>
              <w:left w:val="nil"/>
              <w:bottom w:val="single" w:sz="4" w:space="0" w:color="auto"/>
              <w:right w:val="single" w:sz="4" w:space="0" w:color="auto"/>
            </w:tcBorders>
            <w:shd w:val="clear" w:color="000000" w:fill="FFFFFF"/>
            <w:noWrap/>
            <w:vAlign w:val="bottom"/>
            <w:hideMark/>
          </w:tcPr>
          <w:p w14:paraId="2D2D26C8" w14:textId="77777777" w:rsidR="001D4AFA" w:rsidRPr="009F2D1E" w:rsidRDefault="001D4AFA" w:rsidP="009F2D1E">
            <w:pPr>
              <w:jc w:val="right"/>
              <w:rPr>
                <w:rFonts w:ascii="Times New Roman" w:hAnsi="Times New Roman"/>
                <w:sz w:val="14"/>
                <w:szCs w:val="14"/>
              </w:rPr>
            </w:pPr>
            <w:r w:rsidRPr="009F2D1E">
              <w:rPr>
                <w:sz w:val="14"/>
                <w:szCs w:val="14"/>
              </w:rPr>
              <w:t>-3869,90</w:t>
            </w:r>
          </w:p>
        </w:tc>
        <w:tc>
          <w:tcPr>
            <w:tcW w:w="1181" w:type="dxa"/>
            <w:tcBorders>
              <w:top w:val="nil"/>
              <w:left w:val="nil"/>
              <w:bottom w:val="single" w:sz="4" w:space="0" w:color="auto"/>
              <w:right w:val="single" w:sz="4" w:space="0" w:color="auto"/>
            </w:tcBorders>
            <w:shd w:val="clear" w:color="000000" w:fill="FFFFFF"/>
            <w:vAlign w:val="bottom"/>
          </w:tcPr>
          <w:p w14:paraId="38358DC4" w14:textId="77777777" w:rsidR="001D4AFA" w:rsidRPr="009F2D1E" w:rsidRDefault="001D4AFA" w:rsidP="009F2D1E">
            <w:pPr>
              <w:jc w:val="right"/>
              <w:rPr>
                <w:rFonts w:ascii="Times New Roman" w:hAnsi="Times New Roman"/>
                <w:sz w:val="14"/>
                <w:szCs w:val="14"/>
              </w:rPr>
            </w:pPr>
            <w:r w:rsidRPr="009F2D1E">
              <w:rPr>
                <w:sz w:val="14"/>
                <w:szCs w:val="14"/>
              </w:rPr>
              <w:t>-5141,18</w:t>
            </w:r>
          </w:p>
        </w:tc>
      </w:tr>
      <w:tr w:rsidR="001D4AFA" w:rsidRPr="00364545" w14:paraId="79BD2BFC"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86AEAE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58C34376" w14:textId="77777777" w:rsidR="001D4AFA" w:rsidRPr="009F2D1E" w:rsidRDefault="001D4AFA" w:rsidP="009F2D1E">
            <w:pPr>
              <w:jc w:val="right"/>
              <w:rPr>
                <w:rFonts w:ascii="Times New Roman" w:hAnsi="Times New Roman"/>
                <w:sz w:val="14"/>
                <w:szCs w:val="14"/>
              </w:rPr>
            </w:pPr>
            <w:r w:rsidRPr="009F2D1E">
              <w:rPr>
                <w:sz w:val="14"/>
                <w:szCs w:val="14"/>
              </w:rPr>
              <w:t>1217,43</w:t>
            </w:r>
          </w:p>
        </w:tc>
        <w:tc>
          <w:tcPr>
            <w:tcW w:w="1167" w:type="dxa"/>
            <w:tcBorders>
              <w:top w:val="nil"/>
              <w:left w:val="nil"/>
              <w:bottom w:val="single" w:sz="4" w:space="0" w:color="auto"/>
              <w:right w:val="single" w:sz="4" w:space="0" w:color="auto"/>
            </w:tcBorders>
            <w:shd w:val="clear" w:color="000000" w:fill="FFFFFF"/>
            <w:noWrap/>
            <w:vAlign w:val="bottom"/>
            <w:hideMark/>
          </w:tcPr>
          <w:p w14:paraId="55FFFD01" w14:textId="77777777" w:rsidR="001D4AFA" w:rsidRPr="009F2D1E" w:rsidRDefault="001D4AFA" w:rsidP="009F2D1E">
            <w:pPr>
              <w:jc w:val="right"/>
              <w:rPr>
                <w:rFonts w:ascii="Times New Roman" w:hAnsi="Times New Roman"/>
                <w:sz w:val="14"/>
                <w:szCs w:val="14"/>
              </w:rPr>
            </w:pPr>
            <w:r w:rsidRPr="009F2D1E">
              <w:rPr>
                <w:sz w:val="14"/>
                <w:szCs w:val="14"/>
              </w:rPr>
              <w:t>1061,77</w:t>
            </w:r>
          </w:p>
        </w:tc>
        <w:tc>
          <w:tcPr>
            <w:tcW w:w="1196" w:type="dxa"/>
            <w:tcBorders>
              <w:top w:val="nil"/>
              <w:left w:val="nil"/>
              <w:bottom w:val="single" w:sz="4" w:space="0" w:color="auto"/>
              <w:right w:val="single" w:sz="4" w:space="0" w:color="auto"/>
            </w:tcBorders>
            <w:shd w:val="clear" w:color="000000" w:fill="FFFFFF"/>
            <w:noWrap/>
            <w:vAlign w:val="bottom"/>
            <w:hideMark/>
          </w:tcPr>
          <w:p w14:paraId="5899E1DC" w14:textId="77777777" w:rsidR="001D4AFA" w:rsidRPr="009F2D1E" w:rsidRDefault="001D4AFA" w:rsidP="009F2D1E">
            <w:pPr>
              <w:jc w:val="right"/>
              <w:rPr>
                <w:rFonts w:ascii="Times New Roman" w:hAnsi="Times New Roman"/>
                <w:sz w:val="14"/>
                <w:szCs w:val="14"/>
              </w:rPr>
            </w:pPr>
            <w:r w:rsidRPr="009F2D1E">
              <w:rPr>
                <w:sz w:val="14"/>
                <w:szCs w:val="14"/>
              </w:rPr>
              <w:t>926,02</w:t>
            </w:r>
          </w:p>
        </w:tc>
        <w:tc>
          <w:tcPr>
            <w:tcW w:w="1182" w:type="dxa"/>
            <w:tcBorders>
              <w:top w:val="nil"/>
              <w:left w:val="nil"/>
              <w:bottom w:val="single" w:sz="4" w:space="0" w:color="auto"/>
              <w:right w:val="single" w:sz="4" w:space="0" w:color="auto"/>
            </w:tcBorders>
            <w:shd w:val="clear" w:color="000000" w:fill="FFFFFF"/>
            <w:noWrap/>
            <w:vAlign w:val="bottom"/>
            <w:hideMark/>
          </w:tcPr>
          <w:p w14:paraId="227A8E3D" w14:textId="77777777" w:rsidR="001D4AFA" w:rsidRPr="009F2D1E" w:rsidRDefault="001D4AFA" w:rsidP="009F2D1E">
            <w:pPr>
              <w:jc w:val="right"/>
              <w:rPr>
                <w:rFonts w:ascii="Times New Roman" w:hAnsi="Times New Roman"/>
                <w:sz w:val="14"/>
                <w:szCs w:val="14"/>
              </w:rPr>
            </w:pPr>
            <w:r w:rsidRPr="009F2D1E">
              <w:rPr>
                <w:sz w:val="14"/>
                <w:szCs w:val="14"/>
              </w:rPr>
              <w:t>807,62</w:t>
            </w:r>
          </w:p>
        </w:tc>
        <w:tc>
          <w:tcPr>
            <w:tcW w:w="1181" w:type="dxa"/>
            <w:tcBorders>
              <w:top w:val="nil"/>
              <w:left w:val="nil"/>
              <w:bottom w:val="single" w:sz="4" w:space="0" w:color="auto"/>
              <w:right w:val="single" w:sz="4" w:space="0" w:color="auto"/>
            </w:tcBorders>
            <w:shd w:val="clear" w:color="000000" w:fill="FFFFFF"/>
            <w:noWrap/>
            <w:vAlign w:val="bottom"/>
            <w:hideMark/>
          </w:tcPr>
          <w:p w14:paraId="52AF816B" w14:textId="77777777" w:rsidR="001D4AFA" w:rsidRPr="009F2D1E" w:rsidRDefault="001D4AFA" w:rsidP="009F2D1E">
            <w:pPr>
              <w:jc w:val="right"/>
              <w:rPr>
                <w:rFonts w:ascii="Times New Roman" w:hAnsi="Times New Roman"/>
                <w:sz w:val="14"/>
                <w:szCs w:val="14"/>
              </w:rPr>
            </w:pPr>
            <w:r w:rsidRPr="009F2D1E">
              <w:rPr>
                <w:sz w:val="14"/>
                <w:szCs w:val="14"/>
              </w:rPr>
              <w:t>704,36</w:t>
            </w:r>
          </w:p>
        </w:tc>
        <w:tc>
          <w:tcPr>
            <w:tcW w:w="1181" w:type="dxa"/>
            <w:tcBorders>
              <w:top w:val="nil"/>
              <w:left w:val="nil"/>
              <w:bottom w:val="single" w:sz="4" w:space="0" w:color="auto"/>
              <w:right w:val="single" w:sz="4" w:space="0" w:color="auto"/>
            </w:tcBorders>
            <w:shd w:val="clear" w:color="000000" w:fill="FFFFFF"/>
            <w:vAlign w:val="bottom"/>
          </w:tcPr>
          <w:p w14:paraId="3204B5BF" w14:textId="77777777" w:rsidR="001D4AFA" w:rsidRPr="009F2D1E" w:rsidRDefault="001D4AFA" w:rsidP="009F2D1E">
            <w:pPr>
              <w:jc w:val="right"/>
              <w:rPr>
                <w:rFonts w:ascii="Times New Roman" w:hAnsi="Times New Roman"/>
                <w:sz w:val="14"/>
                <w:szCs w:val="14"/>
              </w:rPr>
            </w:pPr>
            <w:r w:rsidRPr="009F2D1E">
              <w:rPr>
                <w:sz w:val="14"/>
                <w:szCs w:val="14"/>
              </w:rPr>
              <w:t>614,31</w:t>
            </w:r>
          </w:p>
        </w:tc>
      </w:tr>
      <w:tr w:rsidR="001D4AFA" w:rsidRPr="00364545" w14:paraId="5664C576"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94D6D5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5. Waste</w:t>
            </w:r>
          </w:p>
        </w:tc>
        <w:tc>
          <w:tcPr>
            <w:tcW w:w="1167" w:type="dxa"/>
            <w:tcBorders>
              <w:top w:val="nil"/>
              <w:left w:val="nil"/>
              <w:bottom w:val="single" w:sz="4" w:space="0" w:color="auto"/>
              <w:right w:val="single" w:sz="4" w:space="0" w:color="auto"/>
            </w:tcBorders>
            <w:shd w:val="clear" w:color="000000" w:fill="CCFFFF"/>
            <w:noWrap/>
            <w:vAlign w:val="bottom"/>
            <w:hideMark/>
          </w:tcPr>
          <w:p w14:paraId="5A677F30" w14:textId="77777777" w:rsidR="001D4AFA" w:rsidRPr="009F2D1E" w:rsidRDefault="001D4AFA" w:rsidP="009F2D1E">
            <w:pPr>
              <w:jc w:val="right"/>
              <w:rPr>
                <w:rFonts w:ascii="Times New Roman" w:hAnsi="Times New Roman"/>
                <w:sz w:val="14"/>
                <w:szCs w:val="14"/>
              </w:rPr>
            </w:pPr>
            <w:r w:rsidRPr="009F2D1E">
              <w:rPr>
                <w:sz w:val="14"/>
                <w:szCs w:val="14"/>
              </w:rPr>
              <w:t>2223,22</w:t>
            </w:r>
          </w:p>
        </w:tc>
        <w:tc>
          <w:tcPr>
            <w:tcW w:w="1167" w:type="dxa"/>
            <w:tcBorders>
              <w:top w:val="nil"/>
              <w:left w:val="nil"/>
              <w:bottom w:val="single" w:sz="4" w:space="0" w:color="auto"/>
              <w:right w:val="single" w:sz="4" w:space="0" w:color="auto"/>
            </w:tcBorders>
            <w:shd w:val="clear" w:color="000000" w:fill="CCFFFF"/>
            <w:noWrap/>
            <w:vAlign w:val="bottom"/>
            <w:hideMark/>
          </w:tcPr>
          <w:p w14:paraId="4F872835" w14:textId="77777777" w:rsidR="001D4AFA" w:rsidRPr="009F2D1E" w:rsidRDefault="001D4AFA" w:rsidP="009F2D1E">
            <w:pPr>
              <w:jc w:val="right"/>
              <w:rPr>
                <w:rFonts w:ascii="Times New Roman" w:hAnsi="Times New Roman"/>
                <w:sz w:val="14"/>
                <w:szCs w:val="14"/>
              </w:rPr>
            </w:pPr>
            <w:r w:rsidRPr="009F2D1E">
              <w:rPr>
                <w:sz w:val="14"/>
                <w:szCs w:val="14"/>
              </w:rPr>
              <w:t>2095,27</w:t>
            </w:r>
          </w:p>
        </w:tc>
        <w:tc>
          <w:tcPr>
            <w:tcW w:w="1196" w:type="dxa"/>
            <w:tcBorders>
              <w:top w:val="nil"/>
              <w:left w:val="nil"/>
              <w:bottom w:val="single" w:sz="4" w:space="0" w:color="auto"/>
              <w:right w:val="single" w:sz="4" w:space="0" w:color="auto"/>
            </w:tcBorders>
            <w:shd w:val="clear" w:color="000000" w:fill="CCFFFF"/>
            <w:noWrap/>
            <w:vAlign w:val="bottom"/>
            <w:hideMark/>
          </w:tcPr>
          <w:p w14:paraId="0F1E55F2" w14:textId="77777777" w:rsidR="001D4AFA" w:rsidRPr="009F2D1E" w:rsidRDefault="001D4AFA" w:rsidP="009F2D1E">
            <w:pPr>
              <w:jc w:val="right"/>
              <w:rPr>
                <w:rFonts w:ascii="Times New Roman" w:hAnsi="Times New Roman"/>
                <w:sz w:val="14"/>
                <w:szCs w:val="14"/>
              </w:rPr>
            </w:pPr>
            <w:r w:rsidRPr="009F2D1E">
              <w:rPr>
                <w:sz w:val="14"/>
                <w:szCs w:val="14"/>
              </w:rPr>
              <w:t>1891,33</w:t>
            </w:r>
          </w:p>
        </w:tc>
        <w:tc>
          <w:tcPr>
            <w:tcW w:w="1182" w:type="dxa"/>
            <w:tcBorders>
              <w:top w:val="nil"/>
              <w:left w:val="nil"/>
              <w:bottom w:val="single" w:sz="4" w:space="0" w:color="auto"/>
              <w:right w:val="single" w:sz="4" w:space="0" w:color="auto"/>
            </w:tcBorders>
            <w:shd w:val="clear" w:color="000000" w:fill="CCFFFF"/>
            <w:noWrap/>
            <w:vAlign w:val="bottom"/>
            <w:hideMark/>
          </w:tcPr>
          <w:p w14:paraId="19D3CC7B" w14:textId="77777777" w:rsidR="001D4AFA" w:rsidRPr="009F2D1E" w:rsidRDefault="001D4AFA" w:rsidP="009F2D1E">
            <w:pPr>
              <w:jc w:val="right"/>
              <w:rPr>
                <w:rFonts w:ascii="Times New Roman" w:hAnsi="Times New Roman"/>
                <w:sz w:val="14"/>
                <w:szCs w:val="14"/>
              </w:rPr>
            </w:pPr>
            <w:r w:rsidRPr="009F2D1E">
              <w:rPr>
                <w:sz w:val="14"/>
                <w:szCs w:val="14"/>
              </w:rPr>
              <w:t>1757,61</w:t>
            </w:r>
          </w:p>
        </w:tc>
        <w:tc>
          <w:tcPr>
            <w:tcW w:w="1181" w:type="dxa"/>
            <w:tcBorders>
              <w:top w:val="nil"/>
              <w:left w:val="nil"/>
              <w:bottom w:val="single" w:sz="4" w:space="0" w:color="auto"/>
              <w:right w:val="single" w:sz="4" w:space="0" w:color="auto"/>
            </w:tcBorders>
            <w:shd w:val="clear" w:color="000000" w:fill="CCFFFF"/>
            <w:noWrap/>
            <w:vAlign w:val="bottom"/>
            <w:hideMark/>
          </w:tcPr>
          <w:p w14:paraId="6D583A8F" w14:textId="77777777" w:rsidR="001D4AFA" w:rsidRPr="009F2D1E" w:rsidRDefault="001D4AFA" w:rsidP="009F2D1E">
            <w:pPr>
              <w:jc w:val="right"/>
              <w:rPr>
                <w:rFonts w:ascii="Times New Roman" w:hAnsi="Times New Roman"/>
                <w:sz w:val="14"/>
                <w:szCs w:val="14"/>
              </w:rPr>
            </w:pPr>
            <w:r w:rsidRPr="009F2D1E">
              <w:rPr>
                <w:sz w:val="14"/>
                <w:szCs w:val="14"/>
              </w:rPr>
              <w:t>1637,01</w:t>
            </w:r>
          </w:p>
        </w:tc>
        <w:tc>
          <w:tcPr>
            <w:tcW w:w="1181" w:type="dxa"/>
            <w:tcBorders>
              <w:top w:val="nil"/>
              <w:left w:val="nil"/>
              <w:bottom w:val="single" w:sz="4" w:space="0" w:color="auto"/>
              <w:right w:val="single" w:sz="4" w:space="0" w:color="auto"/>
            </w:tcBorders>
            <w:shd w:val="clear" w:color="000000" w:fill="CCFFFF"/>
            <w:vAlign w:val="bottom"/>
          </w:tcPr>
          <w:p w14:paraId="6CCB82C6" w14:textId="77777777" w:rsidR="001D4AFA" w:rsidRPr="009F2D1E" w:rsidRDefault="001D4AFA" w:rsidP="009F2D1E">
            <w:pPr>
              <w:jc w:val="right"/>
              <w:rPr>
                <w:rFonts w:ascii="Times New Roman" w:hAnsi="Times New Roman"/>
                <w:sz w:val="14"/>
                <w:szCs w:val="14"/>
              </w:rPr>
            </w:pPr>
            <w:r w:rsidRPr="009F2D1E">
              <w:rPr>
                <w:sz w:val="14"/>
                <w:szCs w:val="14"/>
              </w:rPr>
              <w:t>1704,04</w:t>
            </w:r>
          </w:p>
        </w:tc>
      </w:tr>
      <w:tr w:rsidR="001D4AFA" w:rsidRPr="00364545" w14:paraId="58020D22"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2F8307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3668DF1D"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7" w:type="dxa"/>
            <w:tcBorders>
              <w:top w:val="nil"/>
              <w:left w:val="nil"/>
              <w:bottom w:val="single" w:sz="4" w:space="0" w:color="auto"/>
              <w:right w:val="single" w:sz="4" w:space="0" w:color="auto"/>
            </w:tcBorders>
            <w:shd w:val="clear" w:color="000000" w:fill="FFFFFF"/>
            <w:noWrap/>
            <w:vAlign w:val="bottom"/>
            <w:hideMark/>
          </w:tcPr>
          <w:p w14:paraId="70441BE5"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6" w:type="dxa"/>
            <w:tcBorders>
              <w:top w:val="nil"/>
              <w:left w:val="nil"/>
              <w:bottom w:val="single" w:sz="4" w:space="0" w:color="auto"/>
              <w:right w:val="single" w:sz="4" w:space="0" w:color="auto"/>
            </w:tcBorders>
            <w:shd w:val="clear" w:color="000000" w:fill="FFFFFF"/>
            <w:noWrap/>
            <w:vAlign w:val="bottom"/>
            <w:hideMark/>
          </w:tcPr>
          <w:p w14:paraId="7FEF2184"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2" w:type="dxa"/>
            <w:tcBorders>
              <w:top w:val="nil"/>
              <w:left w:val="nil"/>
              <w:bottom w:val="single" w:sz="4" w:space="0" w:color="auto"/>
              <w:right w:val="single" w:sz="4" w:space="0" w:color="auto"/>
            </w:tcBorders>
            <w:shd w:val="clear" w:color="000000" w:fill="FFFFFF"/>
            <w:noWrap/>
            <w:vAlign w:val="bottom"/>
            <w:hideMark/>
          </w:tcPr>
          <w:p w14:paraId="13E5B294"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FFFFFF"/>
            <w:noWrap/>
            <w:vAlign w:val="bottom"/>
            <w:hideMark/>
          </w:tcPr>
          <w:p w14:paraId="6E00815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FFFFFF"/>
            <w:vAlign w:val="bottom"/>
          </w:tcPr>
          <w:p w14:paraId="246F2C45"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781B07EB"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1BEC8C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67" w:type="dxa"/>
            <w:tcBorders>
              <w:top w:val="nil"/>
              <w:left w:val="nil"/>
              <w:bottom w:val="single" w:sz="4" w:space="0" w:color="auto"/>
              <w:right w:val="single" w:sz="4" w:space="0" w:color="auto"/>
            </w:tcBorders>
            <w:shd w:val="clear" w:color="000000" w:fill="FFFFFF"/>
            <w:noWrap/>
            <w:vAlign w:val="bottom"/>
            <w:hideMark/>
          </w:tcPr>
          <w:p w14:paraId="6F29B56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2E20862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30C79BA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74AB177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62AFA96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08030D1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F4B6CCC"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00BC24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67" w:type="dxa"/>
            <w:tcBorders>
              <w:top w:val="nil"/>
              <w:left w:val="nil"/>
              <w:bottom w:val="single" w:sz="4" w:space="0" w:color="auto"/>
              <w:right w:val="single" w:sz="4" w:space="0" w:color="auto"/>
            </w:tcBorders>
            <w:shd w:val="clear" w:color="000000" w:fill="FFFFFF"/>
            <w:noWrap/>
            <w:vAlign w:val="bottom"/>
            <w:hideMark/>
          </w:tcPr>
          <w:p w14:paraId="1E28D3AB" w14:textId="77777777" w:rsidR="001D4AFA" w:rsidRPr="009F2D1E" w:rsidRDefault="001D4AFA" w:rsidP="009F2D1E">
            <w:pPr>
              <w:jc w:val="right"/>
              <w:rPr>
                <w:rFonts w:ascii="Times New Roman" w:hAnsi="Times New Roman"/>
                <w:sz w:val="14"/>
                <w:szCs w:val="14"/>
              </w:rPr>
            </w:pPr>
            <w:r w:rsidRPr="009F2D1E">
              <w:rPr>
                <w:sz w:val="14"/>
                <w:szCs w:val="14"/>
              </w:rPr>
              <w:t>2223,22</w:t>
            </w:r>
          </w:p>
        </w:tc>
        <w:tc>
          <w:tcPr>
            <w:tcW w:w="1167" w:type="dxa"/>
            <w:tcBorders>
              <w:top w:val="nil"/>
              <w:left w:val="nil"/>
              <w:bottom w:val="single" w:sz="4" w:space="0" w:color="auto"/>
              <w:right w:val="single" w:sz="4" w:space="0" w:color="auto"/>
            </w:tcBorders>
            <w:shd w:val="clear" w:color="000000" w:fill="FFFFFF"/>
            <w:noWrap/>
            <w:vAlign w:val="bottom"/>
            <w:hideMark/>
          </w:tcPr>
          <w:p w14:paraId="1F4D119A" w14:textId="77777777" w:rsidR="001D4AFA" w:rsidRPr="009F2D1E" w:rsidRDefault="001D4AFA" w:rsidP="009F2D1E">
            <w:pPr>
              <w:jc w:val="right"/>
              <w:rPr>
                <w:rFonts w:ascii="Times New Roman" w:hAnsi="Times New Roman"/>
                <w:sz w:val="14"/>
                <w:szCs w:val="14"/>
              </w:rPr>
            </w:pPr>
            <w:r w:rsidRPr="009F2D1E">
              <w:rPr>
                <w:sz w:val="14"/>
                <w:szCs w:val="14"/>
              </w:rPr>
              <w:t>2095,27</w:t>
            </w:r>
          </w:p>
        </w:tc>
        <w:tc>
          <w:tcPr>
            <w:tcW w:w="1196" w:type="dxa"/>
            <w:tcBorders>
              <w:top w:val="nil"/>
              <w:left w:val="nil"/>
              <w:bottom w:val="single" w:sz="4" w:space="0" w:color="auto"/>
              <w:right w:val="single" w:sz="4" w:space="0" w:color="auto"/>
            </w:tcBorders>
            <w:shd w:val="clear" w:color="000000" w:fill="FFFFFF"/>
            <w:noWrap/>
            <w:vAlign w:val="bottom"/>
            <w:hideMark/>
          </w:tcPr>
          <w:p w14:paraId="6AA9098C" w14:textId="77777777" w:rsidR="001D4AFA" w:rsidRPr="009F2D1E" w:rsidRDefault="001D4AFA" w:rsidP="009F2D1E">
            <w:pPr>
              <w:jc w:val="right"/>
              <w:rPr>
                <w:rFonts w:ascii="Times New Roman" w:hAnsi="Times New Roman"/>
                <w:sz w:val="14"/>
                <w:szCs w:val="14"/>
              </w:rPr>
            </w:pPr>
            <w:r w:rsidRPr="009F2D1E">
              <w:rPr>
                <w:sz w:val="14"/>
                <w:szCs w:val="14"/>
              </w:rPr>
              <w:t>1891,33</w:t>
            </w:r>
          </w:p>
        </w:tc>
        <w:tc>
          <w:tcPr>
            <w:tcW w:w="1182" w:type="dxa"/>
            <w:tcBorders>
              <w:top w:val="nil"/>
              <w:left w:val="nil"/>
              <w:bottom w:val="single" w:sz="4" w:space="0" w:color="auto"/>
              <w:right w:val="single" w:sz="4" w:space="0" w:color="auto"/>
            </w:tcBorders>
            <w:shd w:val="clear" w:color="000000" w:fill="FFFFFF"/>
            <w:noWrap/>
            <w:vAlign w:val="bottom"/>
            <w:hideMark/>
          </w:tcPr>
          <w:p w14:paraId="71E0406F" w14:textId="77777777" w:rsidR="001D4AFA" w:rsidRPr="009F2D1E" w:rsidRDefault="001D4AFA" w:rsidP="009F2D1E">
            <w:pPr>
              <w:jc w:val="right"/>
              <w:rPr>
                <w:rFonts w:ascii="Times New Roman" w:hAnsi="Times New Roman"/>
                <w:sz w:val="14"/>
                <w:szCs w:val="14"/>
              </w:rPr>
            </w:pPr>
            <w:r w:rsidRPr="009F2D1E">
              <w:rPr>
                <w:sz w:val="14"/>
                <w:szCs w:val="14"/>
              </w:rPr>
              <w:t>1757,61</w:t>
            </w:r>
          </w:p>
        </w:tc>
        <w:tc>
          <w:tcPr>
            <w:tcW w:w="1181" w:type="dxa"/>
            <w:tcBorders>
              <w:top w:val="nil"/>
              <w:left w:val="nil"/>
              <w:bottom w:val="single" w:sz="4" w:space="0" w:color="auto"/>
              <w:right w:val="single" w:sz="4" w:space="0" w:color="auto"/>
            </w:tcBorders>
            <w:shd w:val="clear" w:color="000000" w:fill="FFFFFF"/>
            <w:noWrap/>
            <w:vAlign w:val="bottom"/>
            <w:hideMark/>
          </w:tcPr>
          <w:p w14:paraId="4314D6D6" w14:textId="77777777" w:rsidR="001D4AFA" w:rsidRPr="009F2D1E" w:rsidRDefault="001D4AFA" w:rsidP="009F2D1E">
            <w:pPr>
              <w:jc w:val="right"/>
              <w:rPr>
                <w:rFonts w:ascii="Times New Roman" w:hAnsi="Times New Roman"/>
                <w:sz w:val="14"/>
                <w:szCs w:val="14"/>
              </w:rPr>
            </w:pPr>
            <w:r w:rsidRPr="009F2D1E">
              <w:rPr>
                <w:sz w:val="14"/>
                <w:szCs w:val="14"/>
              </w:rPr>
              <w:t>1637,01</w:t>
            </w:r>
          </w:p>
        </w:tc>
        <w:tc>
          <w:tcPr>
            <w:tcW w:w="1181" w:type="dxa"/>
            <w:tcBorders>
              <w:top w:val="nil"/>
              <w:left w:val="nil"/>
              <w:bottom w:val="single" w:sz="4" w:space="0" w:color="auto"/>
              <w:right w:val="single" w:sz="4" w:space="0" w:color="auto"/>
            </w:tcBorders>
            <w:shd w:val="clear" w:color="000000" w:fill="FFFFFF"/>
            <w:vAlign w:val="bottom"/>
          </w:tcPr>
          <w:p w14:paraId="1182BAF8" w14:textId="77777777" w:rsidR="001D4AFA" w:rsidRPr="009F2D1E" w:rsidRDefault="001D4AFA" w:rsidP="009F2D1E">
            <w:pPr>
              <w:jc w:val="right"/>
              <w:rPr>
                <w:rFonts w:ascii="Times New Roman" w:hAnsi="Times New Roman"/>
                <w:sz w:val="14"/>
                <w:szCs w:val="14"/>
              </w:rPr>
            </w:pPr>
            <w:r w:rsidRPr="009F2D1E">
              <w:rPr>
                <w:sz w:val="14"/>
                <w:szCs w:val="14"/>
              </w:rPr>
              <w:t>1704,04</w:t>
            </w:r>
          </w:p>
        </w:tc>
      </w:tr>
      <w:tr w:rsidR="001D4AFA" w:rsidRPr="00364545" w14:paraId="70E1E7B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B99AA7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67" w:type="dxa"/>
            <w:tcBorders>
              <w:top w:val="nil"/>
              <w:left w:val="nil"/>
              <w:bottom w:val="single" w:sz="4" w:space="0" w:color="auto"/>
              <w:right w:val="single" w:sz="4" w:space="0" w:color="auto"/>
            </w:tcBorders>
            <w:shd w:val="clear" w:color="000000" w:fill="FFFFFF"/>
            <w:noWrap/>
            <w:vAlign w:val="bottom"/>
            <w:hideMark/>
          </w:tcPr>
          <w:p w14:paraId="012EA28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751EE1F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3CCF023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6C95D72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4B6C73D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1AA6178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9ABBC38"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58253F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67" w:type="dxa"/>
            <w:tcBorders>
              <w:top w:val="nil"/>
              <w:left w:val="nil"/>
              <w:bottom w:val="single" w:sz="4" w:space="0" w:color="auto"/>
              <w:right w:val="single" w:sz="4" w:space="0" w:color="auto"/>
            </w:tcBorders>
            <w:shd w:val="clear" w:color="000000" w:fill="FFFFFF"/>
            <w:noWrap/>
            <w:vAlign w:val="bottom"/>
            <w:hideMark/>
          </w:tcPr>
          <w:p w14:paraId="13DCA69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7" w:type="dxa"/>
            <w:tcBorders>
              <w:top w:val="nil"/>
              <w:left w:val="nil"/>
              <w:bottom w:val="single" w:sz="4" w:space="0" w:color="auto"/>
              <w:right w:val="single" w:sz="4" w:space="0" w:color="auto"/>
            </w:tcBorders>
            <w:shd w:val="clear" w:color="000000" w:fill="FFFFFF"/>
            <w:noWrap/>
            <w:vAlign w:val="bottom"/>
            <w:hideMark/>
          </w:tcPr>
          <w:p w14:paraId="12EECF1D"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6" w:type="dxa"/>
            <w:tcBorders>
              <w:top w:val="nil"/>
              <w:left w:val="nil"/>
              <w:bottom w:val="single" w:sz="4" w:space="0" w:color="auto"/>
              <w:right w:val="single" w:sz="4" w:space="0" w:color="auto"/>
            </w:tcBorders>
            <w:shd w:val="clear" w:color="000000" w:fill="FFFFFF"/>
            <w:noWrap/>
            <w:vAlign w:val="bottom"/>
            <w:hideMark/>
          </w:tcPr>
          <w:p w14:paraId="6E8C351E"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2" w:type="dxa"/>
            <w:tcBorders>
              <w:top w:val="nil"/>
              <w:left w:val="nil"/>
              <w:bottom w:val="single" w:sz="4" w:space="0" w:color="auto"/>
              <w:right w:val="single" w:sz="4" w:space="0" w:color="auto"/>
            </w:tcBorders>
            <w:shd w:val="clear" w:color="000000" w:fill="FFFFFF"/>
            <w:noWrap/>
            <w:vAlign w:val="bottom"/>
            <w:hideMark/>
          </w:tcPr>
          <w:p w14:paraId="13DEB8D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noWrap/>
            <w:vAlign w:val="bottom"/>
            <w:hideMark/>
          </w:tcPr>
          <w:p w14:paraId="6265A3CF"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FFFFFF"/>
            <w:vAlign w:val="bottom"/>
          </w:tcPr>
          <w:p w14:paraId="704A33A2"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47623E9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C609F9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67" w:type="dxa"/>
            <w:tcBorders>
              <w:top w:val="nil"/>
              <w:left w:val="nil"/>
              <w:bottom w:val="single" w:sz="4" w:space="0" w:color="auto"/>
              <w:right w:val="single" w:sz="4" w:space="0" w:color="auto"/>
            </w:tcBorders>
            <w:shd w:val="clear" w:color="000000" w:fill="CCFFFF"/>
            <w:noWrap/>
            <w:vAlign w:val="bottom"/>
            <w:hideMark/>
          </w:tcPr>
          <w:p w14:paraId="21D819C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7" w:type="dxa"/>
            <w:tcBorders>
              <w:top w:val="nil"/>
              <w:left w:val="nil"/>
              <w:bottom w:val="single" w:sz="4" w:space="0" w:color="auto"/>
              <w:right w:val="single" w:sz="4" w:space="0" w:color="auto"/>
            </w:tcBorders>
            <w:shd w:val="clear" w:color="000000" w:fill="CCFFFF"/>
            <w:noWrap/>
            <w:vAlign w:val="bottom"/>
            <w:hideMark/>
          </w:tcPr>
          <w:p w14:paraId="7A610B8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6" w:type="dxa"/>
            <w:tcBorders>
              <w:top w:val="nil"/>
              <w:left w:val="nil"/>
              <w:bottom w:val="single" w:sz="4" w:space="0" w:color="auto"/>
              <w:right w:val="single" w:sz="4" w:space="0" w:color="auto"/>
            </w:tcBorders>
            <w:shd w:val="clear" w:color="000000" w:fill="CCFFFF"/>
            <w:noWrap/>
            <w:vAlign w:val="bottom"/>
            <w:hideMark/>
          </w:tcPr>
          <w:p w14:paraId="7803408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2" w:type="dxa"/>
            <w:tcBorders>
              <w:top w:val="nil"/>
              <w:left w:val="nil"/>
              <w:bottom w:val="single" w:sz="4" w:space="0" w:color="auto"/>
              <w:right w:val="single" w:sz="4" w:space="0" w:color="auto"/>
            </w:tcBorders>
            <w:shd w:val="clear" w:color="000000" w:fill="CCFFFF"/>
            <w:noWrap/>
            <w:vAlign w:val="bottom"/>
            <w:hideMark/>
          </w:tcPr>
          <w:p w14:paraId="2FCEA3C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CCFFFF"/>
            <w:noWrap/>
            <w:vAlign w:val="bottom"/>
            <w:hideMark/>
          </w:tcPr>
          <w:p w14:paraId="256CE59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81" w:type="dxa"/>
            <w:tcBorders>
              <w:top w:val="nil"/>
              <w:left w:val="nil"/>
              <w:bottom w:val="single" w:sz="4" w:space="0" w:color="auto"/>
              <w:right w:val="single" w:sz="4" w:space="0" w:color="auto"/>
            </w:tcBorders>
            <w:shd w:val="clear" w:color="000000" w:fill="CCFFFF"/>
            <w:vAlign w:val="bottom"/>
          </w:tcPr>
          <w:p w14:paraId="5DB016A9"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0DFFDBBD"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F070D1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Memo items:</w:t>
            </w:r>
          </w:p>
        </w:tc>
        <w:tc>
          <w:tcPr>
            <w:tcW w:w="1167" w:type="dxa"/>
            <w:tcBorders>
              <w:top w:val="nil"/>
              <w:left w:val="nil"/>
              <w:bottom w:val="single" w:sz="4" w:space="0" w:color="auto"/>
              <w:right w:val="single" w:sz="4" w:space="0" w:color="auto"/>
            </w:tcBorders>
            <w:shd w:val="clear" w:color="000000" w:fill="969696"/>
            <w:noWrap/>
            <w:vAlign w:val="bottom"/>
            <w:hideMark/>
          </w:tcPr>
          <w:p w14:paraId="6C8E82C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969696"/>
            <w:noWrap/>
            <w:vAlign w:val="bottom"/>
            <w:hideMark/>
          </w:tcPr>
          <w:p w14:paraId="323BC81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969696"/>
            <w:noWrap/>
            <w:vAlign w:val="bottom"/>
            <w:hideMark/>
          </w:tcPr>
          <w:p w14:paraId="3A77CC0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969696"/>
            <w:noWrap/>
            <w:vAlign w:val="bottom"/>
            <w:hideMark/>
          </w:tcPr>
          <w:p w14:paraId="20DB392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969696"/>
            <w:noWrap/>
            <w:vAlign w:val="bottom"/>
            <w:hideMark/>
          </w:tcPr>
          <w:p w14:paraId="152C7CB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969696"/>
            <w:vAlign w:val="bottom"/>
          </w:tcPr>
          <w:p w14:paraId="66BA23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0FB4470"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2B9DA971"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International bunkers</w:t>
            </w:r>
          </w:p>
        </w:tc>
        <w:tc>
          <w:tcPr>
            <w:tcW w:w="1167" w:type="dxa"/>
            <w:tcBorders>
              <w:top w:val="nil"/>
              <w:left w:val="nil"/>
              <w:bottom w:val="single" w:sz="4" w:space="0" w:color="auto"/>
              <w:right w:val="single" w:sz="4" w:space="0" w:color="auto"/>
            </w:tcBorders>
            <w:shd w:val="clear" w:color="000000" w:fill="CCFFFF"/>
            <w:noWrap/>
            <w:vAlign w:val="bottom"/>
            <w:hideMark/>
          </w:tcPr>
          <w:p w14:paraId="5A7A2E57" w14:textId="77777777" w:rsidR="001D4AFA" w:rsidRPr="009F2D1E" w:rsidRDefault="001D4AFA" w:rsidP="009F2D1E">
            <w:pPr>
              <w:jc w:val="right"/>
              <w:rPr>
                <w:rFonts w:ascii="Times New Roman" w:hAnsi="Times New Roman"/>
                <w:sz w:val="14"/>
                <w:szCs w:val="14"/>
              </w:rPr>
            </w:pPr>
            <w:r w:rsidRPr="009F2D1E">
              <w:rPr>
                <w:sz w:val="14"/>
                <w:szCs w:val="14"/>
              </w:rPr>
              <w:t>17748,03</w:t>
            </w:r>
          </w:p>
        </w:tc>
        <w:tc>
          <w:tcPr>
            <w:tcW w:w="1167" w:type="dxa"/>
            <w:tcBorders>
              <w:top w:val="nil"/>
              <w:left w:val="nil"/>
              <w:bottom w:val="single" w:sz="4" w:space="0" w:color="auto"/>
              <w:right w:val="single" w:sz="4" w:space="0" w:color="auto"/>
            </w:tcBorders>
            <w:shd w:val="clear" w:color="000000" w:fill="CCFFFF"/>
            <w:noWrap/>
            <w:vAlign w:val="bottom"/>
            <w:hideMark/>
          </w:tcPr>
          <w:p w14:paraId="1C5094BA" w14:textId="77777777" w:rsidR="001D4AFA" w:rsidRPr="009F2D1E" w:rsidRDefault="001D4AFA" w:rsidP="009F2D1E">
            <w:pPr>
              <w:jc w:val="right"/>
              <w:rPr>
                <w:rFonts w:ascii="Times New Roman" w:hAnsi="Times New Roman"/>
                <w:sz w:val="14"/>
                <w:szCs w:val="14"/>
              </w:rPr>
            </w:pPr>
            <w:r w:rsidRPr="009F2D1E">
              <w:rPr>
                <w:sz w:val="14"/>
                <w:szCs w:val="14"/>
              </w:rPr>
              <w:t>18750,00</w:t>
            </w:r>
          </w:p>
        </w:tc>
        <w:tc>
          <w:tcPr>
            <w:tcW w:w="1196" w:type="dxa"/>
            <w:tcBorders>
              <w:top w:val="nil"/>
              <w:left w:val="nil"/>
              <w:bottom w:val="single" w:sz="4" w:space="0" w:color="auto"/>
              <w:right w:val="single" w:sz="4" w:space="0" w:color="auto"/>
            </w:tcBorders>
            <w:shd w:val="clear" w:color="000000" w:fill="CCFFFF"/>
            <w:noWrap/>
            <w:vAlign w:val="bottom"/>
            <w:hideMark/>
          </w:tcPr>
          <w:p w14:paraId="5A66643B" w14:textId="77777777" w:rsidR="001D4AFA" w:rsidRPr="009F2D1E" w:rsidRDefault="001D4AFA" w:rsidP="009F2D1E">
            <w:pPr>
              <w:jc w:val="right"/>
              <w:rPr>
                <w:rFonts w:ascii="Times New Roman" w:hAnsi="Times New Roman"/>
                <w:sz w:val="14"/>
                <w:szCs w:val="14"/>
              </w:rPr>
            </w:pPr>
            <w:r w:rsidRPr="009F2D1E">
              <w:rPr>
                <w:sz w:val="14"/>
                <w:szCs w:val="14"/>
              </w:rPr>
              <w:t>19788,81</w:t>
            </w:r>
          </w:p>
        </w:tc>
        <w:tc>
          <w:tcPr>
            <w:tcW w:w="1182" w:type="dxa"/>
            <w:tcBorders>
              <w:top w:val="nil"/>
              <w:left w:val="nil"/>
              <w:bottom w:val="single" w:sz="4" w:space="0" w:color="auto"/>
              <w:right w:val="single" w:sz="4" w:space="0" w:color="auto"/>
            </w:tcBorders>
            <w:shd w:val="clear" w:color="000000" w:fill="CCFFFF"/>
            <w:noWrap/>
            <w:vAlign w:val="bottom"/>
            <w:hideMark/>
          </w:tcPr>
          <w:p w14:paraId="25202246" w14:textId="77777777" w:rsidR="001D4AFA" w:rsidRPr="009F2D1E" w:rsidRDefault="001D4AFA" w:rsidP="009F2D1E">
            <w:pPr>
              <w:jc w:val="right"/>
              <w:rPr>
                <w:rFonts w:ascii="Times New Roman" w:hAnsi="Times New Roman"/>
                <w:sz w:val="14"/>
                <w:szCs w:val="14"/>
              </w:rPr>
            </w:pPr>
            <w:r w:rsidRPr="009F2D1E">
              <w:rPr>
                <w:sz w:val="14"/>
                <w:szCs w:val="14"/>
              </w:rPr>
              <w:t>21371,55</w:t>
            </w:r>
          </w:p>
        </w:tc>
        <w:tc>
          <w:tcPr>
            <w:tcW w:w="1181" w:type="dxa"/>
            <w:tcBorders>
              <w:top w:val="nil"/>
              <w:left w:val="nil"/>
              <w:bottom w:val="single" w:sz="4" w:space="0" w:color="auto"/>
              <w:right w:val="single" w:sz="4" w:space="0" w:color="auto"/>
            </w:tcBorders>
            <w:shd w:val="clear" w:color="000000" w:fill="CCFFFF"/>
            <w:noWrap/>
            <w:vAlign w:val="bottom"/>
            <w:hideMark/>
          </w:tcPr>
          <w:p w14:paraId="5CCF8E0D" w14:textId="77777777" w:rsidR="001D4AFA" w:rsidRPr="009F2D1E" w:rsidRDefault="001D4AFA" w:rsidP="009F2D1E">
            <w:pPr>
              <w:jc w:val="right"/>
              <w:rPr>
                <w:rFonts w:ascii="Times New Roman" w:hAnsi="Times New Roman"/>
                <w:sz w:val="14"/>
                <w:szCs w:val="14"/>
              </w:rPr>
            </w:pPr>
            <w:r w:rsidRPr="009F2D1E">
              <w:rPr>
                <w:sz w:val="14"/>
                <w:szCs w:val="14"/>
              </w:rPr>
              <w:t>22795,37</w:t>
            </w:r>
          </w:p>
        </w:tc>
        <w:tc>
          <w:tcPr>
            <w:tcW w:w="1181" w:type="dxa"/>
            <w:tcBorders>
              <w:top w:val="nil"/>
              <w:left w:val="nil"/>
              <w:bottom w:val="single" w:sz="4" w:space="0" w:color="auto"/>
              <w:right w:val="single" w:sz="4" w:space="0" w:color="auto"/>
            </w:tcBorders>
            <w:shd w:val="clear" w:color="000000" w:fill="CCFFFF"/>
            <w:vAlign w:val="bottom"/>
          </w:tcPr>
          <w:p w14:paraId="21897286" w14:textId="77777777" w:rsidR="001D4AFA" w:rsidRPr="009F2D1E" w:rsidRDefault="001D4AFA" w:rsidP="009F2D1E">
            <w:pPr>
              <w:jc w:val="right"/>
              <w:rPr>
                <w:rFonts w:ascii="Times New Roman" w:hAnsi="Times New Roman"/>
                <w:sz w:val="14"/>
                <w:szCs w:val="14"/>
              </w:rPr>
            </w:pPr>
            <w:r w:rsidRPr="009F2D1E">
              <w:rPr>
                <w:sz w:val="14"/>
                <w:szCs w:val="14"/>
              </w:rPr>
              <w:t>23595,82</w:t>
            </w:r>
          </w:p>
        </w:tc>
      </w:tr>
      <w:tr w:rsidR="001D4AFA" w:rsidRPr="00364545" w14:paraId="2ECCF61F"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327D5AA6"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Aviation</w:t>
            </w:r>
          </w:p>
        </w:tc>
        <w:tc>
          <w:tcPr>
            <w:tcW w:w="1167" w:type="dxa"/>
            <w:tcBorders>
              <w:top w:val="nil"/>
              <w:left w:val="nil"/>
              <w:bottom w:val="single" w:sz="4" w:space="0" w:color="auto"/>
              <w:right w:val="single" w:sz="4" w:space="0" w:color="auto"/>
            </w:tcBorders>
            <w:shd w:val="clear" w:color="000000" w:fill="FFFFFF"/>
            <w:noWrap/>
            <w:vAlign w:val="bottom"/>
            <w:hideMark/>
          </w:tcPr>
          <w:p w14:paraId="0E0B639B" w14:textId="77777777" w:rsidR="001D4AFA" w:rsidRPr="009F2D1E" w:rsidRDefault="001D4AFA" w:rsidP="009F2D1E">
            <w:pPr>
              <w:jc w:val="right"/>
              <w:rPr>
                <w:rFonts w:ascii="Times New Roman" w:hAnsi="Times New Roman"/>
                <w:sz w:val="14"/>
                <w:szCs w:val="14"/>
              </w:rPr>
            </w:pPr>
            <w:r w:rsidRPr="009F2D1E">
              <w:rPr>
                <w:sz w:val="14"/>
                <w:szCs w:val="14"/>
              </w:rPr>
              <w:t>10620,90</w:t>
            </w:r>
          </w:p>
        </w:tc>
        <w:tc>
          <w:tcPr>
            <w:tcW w:w="1167" w:type="dxa"/>
            <w:tcBorders>
              <w:top w:val="nil"/>
              <w:left w:val="nil"/>
              <w:bottom w:val="single" w:sz="4" w:space="0" w:color="auto"/>
              <w:right w:val="single" w:sz="4" w:space="0" w:color="auto"/>
            </w:tcBorders>
            <w:shd w:val="clear" w:color="000000" w:fill="FFFFFF"/>
            <w:noWrap/>
            <w:vAlign w:val="bottom"/>
            <w:hideMark/>
          </w:tcPr>
          <w:p w14:paraId="65F8E7DB" w14:textId="77777777" w:rsidR="001D4AFA" w:rsidRPr="009F2D1E" w:rsidRDefault="001D4AFA" w:rsidP="009F2D1E">
            <w:pPr>
              <w:jc w:val="right"/>
              <w:rPr>
                <w:rFonts w:ascii="Times New Roman" w:hAnsi="Times New Roman"/>
                <w:sz w:val="14"/>
                <w:szCs w:val="14"/>
              </w:rPr>
            </w:pPr>
            <w:r w:rsidRPr="009F2D1E">
              <w:rPr>
                <w:sz w:val="14"/>
                <w:szCs w:val="14"/>
              </w:rPr>
              <w:t>11265,45</w:t>
            </w:r>
          </w:p>
        </w:tc>
        <w:tc>
          <w:tcPr>
            <w:tcW w:w="1196" w:type="dxa"/>
            <w:tcBorders>
              <w:top w:val="nil"/>
              <w:left w:val="nil"/>
              <w:bottom w:val="single" w:sz="4" w:space="0" w:color="auto"/>
              <w:right w:val="single" w:sz="4" w:space="0" w:color="auto"/>
            </w:tcBorders>
            <w:shd w:val="clear" w:color="000000" w:fill="FFFFFF"/>
            <w:noWrap/>
            <w:vAlign w:val="bottom"/>
            <w:hideMark/>
          </w:tcPr>
          <w:p w14:paraId="18E39F64" w14:textId="77777777" w:rsidR="001D4AFA" w:rsidRPr="009F2D1E" w:rsidRDefault="001D4AFA" w:rsidP="009F2D1E">
            <w:pPr>
              <w:jc w:val="right"/>
              <w:rPr>
                <w:rFonts w:ascii="Times New Roman" w:hAnsi="Times New Roman"/>
                <w:sz w:val="14"/>
                <w:szCs w:val="14"/>
              </w:rPr>
            </w:pPr>
            <w:r w:rsidRPr="009F2D1E">
              <w:rPr>
                <w:sz w:val="14"/>
                <w:szCs w:val="14"/>
              </w:rPr>
              <w:t>11577,46</w:t>
            </w:r>
          </w:p>
        </w:tc>
        <w:tc>
          <w:tcPr>
            <w:tcW w:w="1182" w:type="dxa"/>
            <w:tcBorders>
              <w:top w:val="nil"/>
              <w:left w:val="nil"/>
              <w:bottom w:val="single" w:sz="4" w:space="0" w:color="auto"/>
              <w:right w:val="single" w:sz="4" w:space="0" w:color="auto"/>
            </w:tcBorders>
            <w:shd w:val="clear" w:color="000000" w:fill="FFFFFF"/>
            <w:noWrap/>
            <w:vAlign w:val="bottom"/>
            <w:hideMark/>
          </w:tcPr>
          <w:p w14:paraId="6F668934" w14:textId="77777777" w:rsidR="001D4AFA" w:rsidRPr="009F2D1E" w:rsidRDefault="001D4AFA" w:rsidP="009F2D1E">
            <w:pPr>
              <w:jc w:val="right"/>
              <w:rPr>
                <w:rFonts w:ascii="Times New Roman" w:hAnsi="Times New Roman"/>
                <w:sz w:val="14"/>
                <w:szCs w:val="14"/>
              </w:rPr>
            </w:pPr>
            <w:r w:rsidRPr="009F2D1E">
              <w:rPr>
                <w:sz w:val="14"/>
                <w:szCs w:val="14"/>
              </w:rPr>
              <w:t>12311,63</w:t>
            </w:r>
          </w:p>
        </w:tc>
        <w:tc>
          <w:tcPr>
            <w:tcW w:w="1181" w:type="dxa"/>
            <w:tcBorders>
              <w:top w:val="nil"/>
              <w:left w:val="nil"/>
              <w:bottom w:val="single" w:sz="4" w:space="0" w:color="auto"/>
              <w:right w:val="single" w:sz="4" w:space="0" w:color="auto"/>
            </w:tcBorders>
            <w:shd w:val="clear" w:color="000000" w:fill="FFFFFF"/>
            <w:noWrap/>
            <w:vAlign w:val="bottom"/>
            <w:hideMark/>
          </w:tcPr>
          <w:p w14:paraId="4BAA93D7" w14:textId="77777777" w:rsidR="001D4AFA" w:rsidRPr="009F2D1E" w:rsidRDefault="001D4AFA" w:rsidP="009F2D1E">
            <w:pPr>
              <w:jc w:val="right"/>
              <w:rPr>
                <w:rFonts w:ascii="Times New Roman" w:hAnsi="Times New Roman"/>
                <w:sz w:val="14"/>
                <w:szCs w:val="14"/>
              </w:rPr>
            </w:pPr>
            <w:r w:rsidRPr="009F2D1E">
              <w:rPr>
                <w:sz w:val="14"/>
                <w:szCs w:val="14"/>
              </w:rPr>
              <w:t>13634,20</w:t>
            </w:r>
          </w:p>
        </w:tc>
        <w:tc>
          <w:tcPr>
            <w:tcW w:w="1181" w:type="dxa"/>
            <w:tcBorders>
              <w:top w:val="nil"/>
              <w:left w:val="nil"/>
              <w:bottom w:val="single" w:sz="4" w:space="0" w:color="auto"/>
              <w:right w:val="single" w:sz="4" w:space="0" w:color="auto"/>
            </w:tcBorders>
            <w:shd w:val="clear" w:color="000000" w:fill="FFFFFF"/>
            <w:vAlign w:val="bottom"/>
          </w:tcPr>
          <w:p w14:paraId="69F673FF" w14:textId="77777777" w:rsidR="001D4AFA" w:rsidRPr="009F2D1E" w:rsidRDefault="001D4AFA" w:rsidP="009F2D1E">
            <w:pPr>
              <w:jc w:val="right"/>
              <w:rPr>
                <w:rFonts w:ascii="Times New Roman" w:hAnsi="Times New Roman"/>
                <w:sz w:val="14"/>
                <w:szCs w:val="14"/>
              </w:rPr>
            </w:pPr>
            <w:r w:rsidRPr="009F2D1E">
              <w:rPr>
                <w:sz w:val="14"/>
                <w:szCs w:val="14"/>
              </w:rPr>
              <w:t>14126,81</w:t>
            </w:r>
          </w:p>
        </w:tc>
      </w:tr>
      <w:tr w:rsidR="001D4AFA" w:rsidRPr="00364545" w14:paraId="3CC8C58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080AE01A"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Navigation</w:t>
            </w:r>
          </w:p>
        </w:tc>
        <w:tc>
          <w:tcPr>
            <w:tcW w:w="1167" w:type="dxa"/>
            <w:tcBorders>
              <w:top w:val="nil"/>
              <w:left w:val="nil"/>
              <w:bottom w:val="single" w:sz="4" w:space="0" w:color="auto"/>
              <w:right w:val="single" w:sz="4" w:space="0" w:color="auto"/>
            </w:tcBorders>
            <w:shd w:val="clear" w:color="000000" w:fill="FFFFFF"/>
            <w:noWrap/>
            <w:vAlign w:val="bottom"/>
            <w:hideMark/>
          </w:tcPr>
          <w:p w14:paraId="2443FAF2" w14:textId="77777777" w:rsidR="001D4AFA" w:rsidRPr="009F2D1E" w:rsidRDefault="001D4AFA" w:rsidP="009F2D1E">
            <w:pPr>
              <w:jc w:val="right"/>
              <w:rPr>
                <w:rFonts w:ascii="Times New Roman" w:hAnsi="Times New Roman"/>
                <w:sz w:val="14"/>
                <w:szCs w:val="14"/>
              </w:rPr>
            </w:pPr>
            <w:r w:rsidRPr="009F2D1E">
              <w:rPr>
                <w:sz w:val="14"/>
                <w:szCs w:val="14"/>
              </w:rPr>
              <w:t>7127,13</w:t>
            </w:r>
          </w:p>
        </w:tc>
        <w:tc>
          <w:tcPr>
            <w:tcW w:w="1167" w:type="dxa"/>
            <w:tcBorders>
              <w:top w:val="nil"/>
              <w:left w:val="nil"/>
              <w:bottom w:val="single" w:sz="4" w:space="0" w:color="auto"/>
              <w:right w:val="single" w:sz="4" w:space="0" w:color="auto"/>
            </w:tcBorders>
            <w:shd w:val="clear" w:color="000000" w:fill="FFFFFF"/>
            <w:noWrap/>
            <w:vAlign w:val="bottom"/>
            <w:hideMark/>
          </w:tcPr>
          <w:p w14:paraId="5EFEE3EA" w14:textId="77777777" w:rsidR="001D4AFA" w:rsidRPr="009F2D1E" w:rsidRDefault="001D4AFA" w:rsidP="009F2D1E">
            <w:pPr>
              <w:jc w:val="right"/>
              <w:rPr>
                <w:rFonts w:ascii="Times New Roman" w:hAnsi="Times New Roman"/>
                <w:sz w:val="14"/>
                <w:szCs w:val="14"/>
              </w:rPr>
            </w:pPr>
            <w:r w:rsidRPr="009F2D1E">
              <w:rPr>
                <w:sz w:val="14"/>
                <w:szCs w:val="14"/>
              </w:rPr>
              <w:t>7484,55</w:t>
            </w:r>
          </w:p>
        </w:tc>
        <w:tc>
          <w:tcPr>
            <w:tcW w:w="1196" w:type="dxa"/>
            <w:tcBorders>
              <w:top w:val="nil"/>
              <w:left w:val="nil"/>
              <w:bottom w:val="single" w:sz="4" w:space="0" w:color="auto"/>
              <w:right w:val="single" w:sz="4" w:space="0" w:color="auto"/>
            </w:tcBorders>
            <w:shd w:val="clear" w:color="000000" w:fill="FFFFFF"/>
            <w:noWrap/>
            <w:vAlign w:val="bottom"/>
            <w:hideMark/>
          </w:tcPr>
          <w:p w14:paraId="737A6537" w14:textId="77777777" w:rsidR="001D4AFA" w:rsidRPr="009F2D1E" w:rsidRDefault="001D4AFA" w:rsidP="009F2D1E">
            <w:pPr>
              <w:jc w:val="right"/>
              <w:rPr>
                <w:rFonts w:ascii="Times New Roman" w:hAnsi="Times New Roman"/>
                <w:sz w:val="14"/>
                <w:szCs w:val="14"/>
              </w:rPr>
            </w:pPr>
            <w:r w:rsidRPr="009F2D1E">
              <w:rPr>
                <w:sz w:val="14"/>
                <w:szCs w:val="14"/>
              </w:rPr>
              <w:t>8211,35</w:t>
            </w:r>
          </w:p>
        </w:tc>
        <w:tc>
          <w:tcPr>
            <w:tcW w:w="1182" w:type="dxa"/>
            <w:tcBorders>
              <w:top w:val="nil"/>
              <w:left w:val="nil"/>
              <w:bottom w:val="single" w:sz="4" w:space="0" w:color="auto"/>
              <w:right w:val="single" w:sz="4" w:space="0" w:color="auto"/>
            </w:tcBorders>
            <w:shd w:val="clear" w:color="000000" w:fill="FFFFFF"/>
            <w:noWrap/>
            <w:vAlign w:val="bottom"/>
            <w:hideMark/>
          </w:tcPr>
          <w:p w14:paraId="3989EDAF" w14:textId="77777777" w:rsidR="001D4AFA" w:rsidRPr="009F2D1E" w:rsidRDefault="001D4AFA" w:rsidP="009F2D1E">
            <w:pPr>
              <w:jc w:val="right"/>
              <w:rPr>
                <w:rFonts w:ascii="Times New Roman" w:hAnsi="Times New Roman"/>
                <w:sz w:val="14"/>
                <w:szCs w:val="14"/>
              </w:rPr>
            </w:pPr>
            <w:r w:rsidRPr="009F2D1E">
              <w:rPr>
                <w:sz w:val="14"/>
                <w:szCs w:val="14"/>
              </w:rPr>
              <w:t>9059,92</w:t>
            </w:r>
          </w:p>
        </w:tc>
        <w:tc>
          <w:tcPr>
            <w:tcW w:w="1181" w:type="dxa"/>
            <w:tcBorders>
              <w:top w:val="nil"/>
              <w:left w:val="nil"/>
              <w:bottom w:val="single" w:sz="4" w:space="0" w:color="auto"/>
              <w:right w:val="single" w:sz="4" w:space="0" w:color="auto"/>
            </w:tcBorders>
            <w:shd w:val="clear" w:color="000000" w:fill="FFFFFF"/>
            <w:noWrap/>
            <w:vAlign w:val="bottom"/>
            <w:hideMark/>
          </w:tcPr>
          <w:p w14:paraId="7B703267" w14:textId="77777777" w:rsidR="001D4AFA" w:rsidRPr="009F2D1E" w:rsidRDefault="001D4AFA" w:rsidP="009F2D1E">
            <w:pPr>
              <w:jc w:val="right"/>
              <w:rPr>
                <w:rFonts w:ascii="Times New Roman" w:hAnsi="Times New Roman"/>
                <w:sz w:val="14"/>
                <w:szCs w:val="14"/>
              </w:rPr>
            </w:pPr>
            <w:r w:rsidRPr="009F2D1E">
              <w:rPr>
                <w:sz w:val="14"/>
                <w:szCs w:val="14"/>
              </w:rPr>
              <w:t>9161,17</w:t>
            </w:r>
          </w:p>
        </w:tc>
        <w:tc>
          <w:tcPr>
            <w:tcW w:w="1181" w:type="dxa"/>
            <w:tcBorders>
              <w:top w:val="nil"/>
              <w:left w:val="nil"/>
              <w:bottom w:val="single" w:sz="4" w:space="0" w:color="auto"/>
              <w:right w:val="single" w:sz="4" w:space="0" w:color="auto"/>
            </w:tcBorders>
            <w:shd w:val="clear" w:color="000000" w:fill="FFFFFF"/>
            <w:vAlign w:val="bottom"/>
          </w:tcPr>
          <w:p w14:paraId="1A4AA5D6" w14:textId="77777777" w:rsidR="001D4AFA" w:rsidRPr="009F2D1E" w:rsidRDefault="001D4AFA" w:rsidP="009F2D1E">
            <w:pPr>
              <w:jc w:val="right"/>
              <w:rPr>
                <w:rFonts w:ascii="Times New Roman" w:hAnsi="Times New Roman"/>
                <w:sz w:val="14"/>
                <w:szCs w:val="14"/>
              </w:rPr>
            </w:pPr>
            <w:r w:rsidRPr="009F2D1E">
              <w:rPr>
                <w:sz w:val="14"/>
                <w:szCs w:val="14"/>
              </w:rPr>
              <w:t>9469,01</w:t>
            </w:r>
          </w:p>
        </w:tc>
      </w:tr>
      <w:tr w:rsidR="001D4AFA" w:rsidRPr="00364545" w14:paraId="44306932"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D4DB9A1"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Multilateral operations</w:t>
            </w:r>
          </w:p>
        </w:tc>
        <w:tc>
          <w:tcPr>
            <w:tcW w:w="1167" w:type="dxa"/>
            <w:tcBorders>
              <w:top w:val="nil"/>
              <w:left w:val="nil"/>
              <w:bottom w:val="single" w:sz="4" w:space="0" w:color="auto"/>
              <w:right w:val="single" w:sz="4" w:space="0" w:color="auto"/>
            </w:tcBorders>
            <w:shd w:val="clear" w:color="000000" w:fill="FFFFFF"/>
            <w:noWrap/>
            <w:vAlign w:val="bottom"/>
            <w:hideMark/>
          </w:tcPr>
          <w:p w14:paraId="29D7588A" w14:textId="77777777" w:rsidR="001D4AFA" w:rsidRPr="009F2D1E" w:rsidRDefault="001D4AFA" w:rsidP="009F2D1E">
            <w:pPr>
              <w:jc w:val="right"/>
              <w:rPr>
                <w:rFonts w:ascii="Times New Roman" w:hAnsi="Times New Roman"/>
                <w:sz w:val="14"/>
                <w:szCs w:val="14"/>
              </w:rPr>
            </w:pPr>
            <w:r w:rsidRPr="009F2D1E">
              <w:rPr>
                <w:sz w:val="14"/>
                <w:szCs w:val="14"/>
              </w:rPr>
              <w:t>1,33</w:t>
            </w:r>
          </w:p>
        </w:tc>
        <w:tc>
          <w:tcPr>
            <w:tcW w:w="1167" w:type="dxa"/>
            <w:tcBorders>
              <w:top w:val="nil"/>
              <w:left w:val="nil"/>
              <w:bottom w:val="single" w:sz="4" w:space="0" w:color="auto"/>
              <w:right w:val="single" w:sz="4" w:space="0" w:color="auto"/>
            </w:tcBorders>
            <w:shd w:val="clear" w:color="000000" w:fill="FFFFFF"/>
            <w:noWrap/>
            <w:vAlign w:val="bottom"/>
            <w:hideMark/>
          </w:tcPr>
          <w:p w14:paraId="456C7422" w14:textId="77777777" w:rsidR="001D4AFA" w:rsidRPr="009F2D1E" w:rsidRDefault="001D4AFA" w:rsidP="009F2D1E">
            <w:pPr>
              <w:jc w:val="right"/>
              <w:rPr>
                <w:rFonts w:ascii="Times New Roman" w:hAnsi="Times New Roman"/>
                <w:sz w:val="14"/>
                <w:szCs w:val="14"/>
              </w:rPr>
            </w:pPr>
            <w:r w:rsidRPr="009F2D1E">
              <w:rPr>
                <w:sz w:val="14"/>
                <w:szCs w:val="14"/>
              </w:rPr>
              <w:t>1,45</w:t>
            </w:r>
          </w:p>
        </w:tc>
        <w:tc>
          <w:tcPr>
            <w:tcW w:w="1196" w:type="dxa"/>
            <w:tcBorders>
              <w:top w:val="nil"/>
              <w:left w:val="nil"/>
              <w:bottom w:val="single" w:sz="4" w:space="0" w:color="auto"/>
              <w:right w:val="single" w:sz="4" w:space="0" w:color="auto"/>
            </w:tcBorders>
            <w:shd w:val="clear" w:color="000000" w:fill="FFFFFF"/>
            <w:noWrap/>
            <w:vAlign w:val="bottom"/>
            <w:hideMark/>
          </w:tcPr>
          <w:p w14:paraId="6CB0198F" w14:textId="77777777" w:rsidR="001D4AFA" w:rsidRPr="009F2D1E" w:rsidRDefault="001D4AFA" w:rsidP="009F2D1E">
            <w:pPr>
              <w:jc w:val="right"/>
              <w:rPr>
                <w:rFonts w:ascii="Times New Roman" w:hAnsi="Times New Roman"/>
                <w:sz w:val="14"/>
                <w:szCs w:val="14"/>
              </w:rPr>
            </w:pPr>
            <w:r w:rsidRPr="009F2D1E">
              <w:rPr>
                <w:sz w:val="14"/>
                <w:szCs w:val="14"/>
              </w:rPr>
              <w:t>1,77</w:t>
            </w:r>
          </w:p>
        </w:tc>
        <w:tc>
          <w:tcPr>
            <w:tcW w:w="1182" w:type="dxa"/>
            <w:tcBorders>
              <w:top w:val="nil"/>
              <w:left w:val="nil"/>
              <w:bottom w:val="single" w:sz="4" w:space="0" w:color="auto"/>
              <w:right w:val="single" w:sz="4" w:space="0" w:color="auto"/>
            </w:tcBorders>
            <w:shd w:val="clear" w:color="000000" w:fill="FFFFFF"/>
            <w:noWrap/>
            <w:vAlign w:val="bottom"/>
            <w:hideMark/>
          </w:tcPr>
          <w:p w14:paraId="3AD181A7" w14:textId="77777777" w:rsidR="001D4AFA" w:rsidRPr="009F2D1E" w:rsidRDefault="001D4AFA" w:rsidP="009F2D1E">
            <w:pPr>
              <w:jc w:val="right"/>
              <w:rPr>
                <w:rFonts w:ascii="Times New Roman" w:hAnsi="Times New Roman"/>
                <w:sz w:val="14"/>
                <w:szCs w:val="14"/>
              </w:rPr>
            </w:pPr>
            <w:r w:rsidRPr="009F2D1E">
              <w:rPr>
                <w:sz w:val="14"/>
                <w:szCs w:val="14"/>
              </w:rPr>
              <w:t>1,51</w:t>
            </w:r>
          </w:p>
        </w:tc>
        <w:tc>
          <w:tcPr>
            <w:tcW w:w="1181" w:type="dxa"/>
            <w:tcBorders>
              <w:top w:val="nil"/>
              <w:left w:val="nil"/>
              <w:bottom w:val="single" w:sz="4" w:space="0" w:color="auto"/>
              <w:right w:val="single" w:sz="4" w:space="0" w:color="auto"/>
            </w:tcBorders>
            <w:shd w:val="clear" w:color="000000" w:fill="FFFFFF"/>
            <w:noWrap/>
            <w:vAlign w:val="bottom"/>
            <w:hideMark/>
          </w:tcPr>
          <w:p w14:paraId="1267C381" w14:textId="77777777" w:rsidR="001D4AFA" w:rsidRPr="009F2D1E" w:rsidRDefault="001D4AFA" w:rsidP="009F2D1E">
            <w:pPr>
              <w:jc w:val="right"/>
              <w:rPr>
                <w:rFonts w:ascii="Times New Roman" w:hAnsi="Times New Roman"/>
                <w:sz w:val="14"/>
                <w:szCs w:val="14"/>
              </w:rPr>
            </w:pPr>
            <w:r w:rsidRPr="009F2D1E">
              <w:rPr>
                <w:sz w:val="14"/>
                <w:szCs w:val="14"/>
              </w:rPr>
              <w:t>1,38</w:t>
            </w:r>
          </w:p>
        </w:tc>
        <w:tc>
          <w:tcPr>
            <w:tcW w:w="1181" w:type="dxa"/>
            <w:tcBorders>
              <w:top w:val="nil"/>
              <w:left w:val="nil"/>
              <w:bottom w:val="single" w:sz="4" w:space="0" w:color="auto"/>
              <w:right w:val="single" w:sz="4" w:space="0" w:color="auto"/>
            </w:tcBorders>
            <w:shd w:val="clear" w:color="000000" w:fill="FFFFFF"/>
            <w:vAlign w:val="bottom"/>
          </w:tcPr>
          <w:p w14:paraId="31C3EB8E" w14:textId="77777777" w:rsidR="001D4AFA" w:rsidRPr="009F2D1E" w:rsidRDefault="001D4AFA" w:rsidP="009F2D1E">
            <w:pPr>
              <w:jc w:val="right"/>
              <w:rPr>
                <w:rFonts w:ascii="Times New Roman" w:hAnsi="Times New Roman"/>
                <w:sz w:val="14"/>
                <w:szCs w:val="14"/>
              </w:rPr>
            </w:pPr>
            <w:r w:rsidRPr="009F2D1E">
              <w:rPr>
                <w:sz w:val="14"/>
                <w:szCs w:val="14"/>
              </w:rPr>
              <w:t>1,95</w:t>
            </w:r>
          </w:p>
        </w:tc>
      </w:tr>
      <w:tr w:rsidR="001D4AFA" w:rsidRPr="00364545" w14:paraId="154E3BA7"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0408F5D"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67" w:type="dxa"/>
            <w:tcBorders>
              <w:top w:val="nil"/>
              <w:left w:val="nil"/>
              <w:bottom w:val="single" w:sz="4" w:space="0" w:color="auto"/>
              <w:right w:val="single" w:sz="4" w:space="0" w:color="auto"/>
            </w:tcBorders>
            <w:shd w:val="clear" w:color="000000" w:fill="FFFFFF"/>
            <w:noWrap/>
            <w:vAlign w:val="bottom"/>
            <w:hideMark/>
          </w:tcPr>
          <w:p w14:paraId="17C8A15A" w14:textId="77777777" w:rsidR="001D4AFA" w:rsidRPr="009F2D1E" w:rsidRDefault="001D4AFA" w:rsidP="009F2D1E">
            <w:pPr>
              <w:jc w:val="right"/>
              <w:rPr>
                <w:rFonts w:ascii="Times New Roman" w:hAnsi="Times New Roman"/>
                <w:sz w:val="14"/>
                <w:szCs w:val="14"/>
              </w:rPr>
            </w:pPr>
            <w:r w:rsidRPr="009F2D1E">
              <w:rPr>
                <w:sz w:val="14"/>
                <w:szCs w:val="14"/>
              </w:rPr>
              <w:t>45286,30</w:t>
            </w:r>
          </w:p>
        </w:tc>
        <w:tc>
          <w:tcPr>
            <w:tcW w:w="1167" w:type="dxa"/>
            <w:tcBorders>
              <w:top w:val="nil"/>
              <w:left w:val="nil"/>
              <w:bottom w:val="single" w:sz="4" w:space="0" w:color="auto"/>
              <w:right w:val="single" w:sz="4" w:space="0" w:color="auto"/>
            </w:tcBorders>
            <w:shd w:val="clear" w:color="000000" w:fill="FFFFFF"/>
            <w:noWrap/>
            <w:vAlign w:val="bottom"/>
            <w:hideMark/>
          </w:tcPr>
          <w:p w14:paraId="06E2C6E0" w14:textId="77777777" w:rsidR="001D4AFA" w:rsidRPr="009F2D1E" w:rsidRDefault="001D4AFA" w:rsidP="009F2D1E">
            <w:pPr>
              <w:jc w:val="right"/>
              <w:rPr>
                <w:rFonts w:ascii="Times New Roman" w:hAnsi="Times New Roman"/>
                <w:sz w:val="14"/>
                <w:szCs w:val="14"/>
              </w:rPr>
            </w:pPr>
            <w:r w:rsidRPr="009F2D1E">
              <w:rPr>
                <w:sz w:val="14"/>
                <w:szCs w:val="14"/>
              </w:rPr>
              <w:t>48603,33</w:t>
            </w:r>
          </w:p>
        </w:tc>
        <w:tc>
          <w:tcPr>
            <w:tcW w:w="1196" w:type="dxa"/>
            <w:tcBorders>
              <w:top w:val="nil"/>
              <w:left w:val="nil"/>
              <w:bottom w:val="single" w:sz="4" w:space="0" w:color="auto"/>
              <w:right w:val="single" w:sz="4" w:space="0" w:color="auto"/>
            </w:tcBorders>
            <w:shd w:val="clear" w:color="000000" w:fill="FFFFFF"/>
            <w:noWrap/>
            <w:vAlign w:val="bottom"/>
            <w:hideMark/>
          </w:tcPr>
          <w:p w14:paraId="44F4364C" w14:textId="77777777" w:rsidR="001D4AFA" w:rsidRPr="009F2D1E" w:rsidRDefault="001D4AFA" w:rsidP="009F2D1E">
            <w:pPr>
              <w:jc w:val="right"/>
              <w:rPr>
                <w:rFonts w:ascii="Times New Roman" w:hAnsi="Times New Roman"/>
                <w:sz w:val="14"/>
                <w:szCs w:val="14"/>
              </w:rPr>
            </w:pPr>
            <w:r w:rsidRPr="009F2D1E">
              <w:rPr>
                <w:sz w:val="14"/>
                <w:szCs w:val="14"/>
              </w:rPr>
              <w:t>45213,16</w:t>
            </w:r>
          </w:p>
        </w:tc>
        <w:tc>
          <w:tcPr>
            <w:tcW w:w="1182" w:type="dxa"/>
            <w:tcBorders>
              <w:top w:val="nil"/>
              <w:left w:val="nil"/>
              <w:bottom w:val="single" w:sz="4" w:space="0" w:color="auto"/>
              <w:right w:val="single" w:sz="4" w:space="0" w:color="auto"/>
            </w:tcBorders>
            <w:shd w:val="clear" w:color="000000" w:fill="FFFFFF"/>
            <w:noWrap/>
            <w:vAlign w:val="bottom"/>
            <w:hideMark/>
          </w:tcPr>
          <w:p w14:paraId="67D3E0EB" w14:textId="77777777" w:rsidR="001D4AFA" w:rsidRPr="009F2D1E" w:rsidRDefault="001D4AFA" w:rsidP="009F2D1E">
            <w:pPr>
              <w:jc w:val="right"/>
              <w:rPr>
                <w:rFonts w:ascii="Times New Roman" w:hAnsi="Times New Roman"/>
                <w:sz w:val="14"/>
                <w:szCs w:val="14"/>
              </w:rPr>
            </w:pPr>
            <w:r w:rsidRPr="009F2D1E">
              <w:rPr>
                <w:sz w:val="14"/>
                <w:szCs w:val="14"/>
              </w:rPr>
              <w:t>45099,32</w:t>
            </w:r>
          </w:p>
        </w:tc>
        <w:tc>
          <w:tcPr>
            <w:tcW w:w="1181" w:type="dxa"/>
            <w:tcBorders>
              <w:top w:val="nil"/>
              <w:left w:val="nil"/>
              <w:bottom w:val="single" w:sz="4" w:space="0" w:color="auto"/>
              <w:right w:val="single" w:sz="4" w:space="0" w:color="auto"/>
            </w:tcBorders>
            <w:shd w:val="clear" w:color="000000" w:fill="FFFFFF"/>
            <w:noWrap/>
            <w:vAlign w:val="bottom"/>
            <w:hideMark/>
          </w:tcPr>
          <w:p w14:paraId="46687302" w14:textId="77777777" w:rsidR="001D4AFA" w:rsidRPr="009F2D1E" w:rsidRDefault="001D4AFA" w:rsidP="009F2D1E">
            <w:pPr>
              <w:jc w:val="right"/>
              <w:rPr>
                <w:rFonts w:ascii="Times New Roman" w:hAnsi="Times New Roman"/>
                <w:sz w:val="14"/>
                <w:szCs w:val="14"/>
              </w:rPr>
            </w:pPr>
            <w:r w:rsidRPr="009F2D1E">
              <w:rPr>
                <w:sz w:val="14"/>
                <w:szCs w:val="14"/>
              </w:rPr>
              <w:t>43874,35</w:t>
            </w:r>
          </w:p>
        </w:tc>
        <w:tc>
          <w:tcPr>
            <w:tcW w:w="1181" w:type="dxa"/>
            <w:tcBorders>
              <w:top w:val="nil"/>
              <w:left w:val="nil"/>
              <w:bottom w:val="single" w:sz="4" w:space="0" w:color="auto"/>
              <w:right w:val="single" w:sz="4" w:space="0" w:color="auto"/>
            </w:tcBorders>
            <w:shd w:val="clear" w:color="000000" w:fill="FFFFFF"/>
            <w:vAlign w:val="bottom"/>
          </w:tcPr>
          <w:p w14:paraId="3010F330" w14:textId="77777777" w:rsidR="001D4AFA" w:rsidRPr="009F2D1E" w:rsidRDefault="001D4AFA" w:rsidP="009F2D1E">
            <w:pPr>
              <w:jc w:val="right"/>
              <w:rPr>
                <w:rFonts w:ascii="Times New Roman" w:hAnsi="Times New Roman"/>
                <w:sz w:val="14"/>
                <w:szCs w:val="14"/>
              </w:rPr>
            </w:pPr>
            <w:r w:rsidRPr="009F2D1E">
              <w:rPr>
                <w:sz w:val="14"/>
                <w:szCs w:val="14"/>
              </w:rPr>
              <w:t>42850,91</w:t>
            </w:r>
          </w:p>
        </w:tc>
      </w:tr>
      <w:tr w:rsidR="001D4AFA" w:rsidRPr="00364545" w14:paraId="2836970A"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5532685"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67" w:type="dxa"/>
            <w:tcBorders>
              <w:top w:val="nil"/>
              <w:left w:val="nil"/>
              <w:bottom w:val="single" w:sz="4" w:space="0" w:color="auto"/>
              <w:right w:val="single" w:sz="4" w:space="0" w:color="auto"/>
            </w:tcBorders>
            <w:shd w:val="clear" w:color="000000" w:fill="FFFFFF"/>
            <w:noWrap/>
            <w:vAlign w:val="bottom"/>
            <w:hideMark/>
          </w:tcPr>
          <w:p w14:paraId="11F9A6A5"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7" w:type="dxa"/>
            <w:tcBorders>
              <w:top w:val="nil"/>
              <w:left w:val="nil"/>
              <w:bottom w:val="single" w:sz="4" w:space="0" w:color="auto"/>
              <w:right w:val="single" w:sz="4" w:space="0" w:color="auto"/>
            </w:tcBorders>
            <w:shd w:val="clear" w:color="000000" w:fill="FFFFFF"/>
            <w:noWrap/>
            <w:vAlign w:val="bottom"/>
            <w:hideMark/>
          </w:tcPr>
          <w:p w14:paraId="317AB1D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6" w:type="dxa"/>
            <w:tcBorders>
              <w:top w:val="nil"/>
              <w:left w:val="nil"/>
              <w:bottom w:val="single" w:sz="4" w:space="0" w:color="auto"/>
              <w:right w:val="single" w:sz="4" w:space="0" w:color="auto"/>
            </w:tcBorders>
            <w:shd w:val="clear" w:color="000000" w:fill="FFFFFF"/>
            <w:noWrap/>
            <w:vAlign w:val="bottom"/>
            <w:hideMark/>
          </w:tcPr>
          <w:p w14:paraId="4B04DA1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2" w:type="dxa"/>
            <w:tcBorders>
              <w:top w:val="nil"/>
              <w:left w:val="nil"/>
              <w:bottom w:val="single" w:sz="4" w:space="0" w:color="auto"/>
              <w:right w:val="single" w:sz="4" w:space="0" w:color="auto"/>
            </w:tcBorders>
            <w:shd w:val="clear" w:color="000000" w:fill="FFFFFF"/>
            <w:noWrap/>
            <w:vAlign w:val="bottom"/>
            <w:hideMark/>
          </w:tcPr>
          <w:p w14:paraId="142FC0E2"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noWrap/>
            <w:vAlign w:val="bottom"/>
            <w:hideMark/>
          </w:tcPr>
          <w:p w14:paraId="070762BD"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81" w:type="dxa"/>
            <w:tcBorders>
              <w:top w:val="nil"/>
              <w:left w:val="nil"/>
              <w:bottom w:val="single" w:sz="4" w:space="0" w:color="auto"/>
              <w:right w:val="single" w:sz="4" w:space="0" w:color="auto"/>
            </w:tcBorders>
            <w:shd w:val="clear" w:color="000000" w:fill="FFFFFF"/>
            <w:vAlign w:val="bottom"/>
          </w:tcPr>
          <w:p w14:paraId="4163AED2"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7DE1DAF1"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14D31E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67" w:type="dxa"/>
            <w:tcBorders>
              <w:top w:val="nil"/>
              <w:left w:val="nil"/>
              <w:bottom w:val="single" w:sz="4" w:space="0" w:color="auto"/>
              <w:right w:val="single" w:sz="4" w:space="0" w:color="auto"/>
            </w:tcBorders>
            <w:shd w:val="clear" w:color="000000" w:fill="FFFFFF"/>
            <w:noWrap/>
            <w:vAlign w:val="bottom"/>
            <w:hideMark/>
          </w:tcPr>
          <w:p w14:paraId="19811C07"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67" w:type="dxa"/>
            <w:tcBorders>
              <w:top w:val="nil"/>
              <w:left w:val="nil"/>
              <w:bottom w:val="single" w:sz="4" w:space="0" w:color="auto"/>
              <w:right w:val="single" w:sz="4" w:space="0" w:color="auto"/>
            </w:tcBorders>
            <w:shd w:val="clear" w:color="000000" w:fill="FFFFFF"/>
            <w:noWrap/>
            <w:vAlign w:val="bottom"/>
            <w:hideMark/>
          </w:tcPr>
          <w:p w14:paraId="091D0499"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6" w:type="dxa"/>
            <w:tcBorders>
              <w:top w:val="nil"/>
              <w:left w:val="nil"/>
              <w:bottom w:val="single" w:sz="4" w:space="0" w:color="auto"/>
              <w:right w:val="single" w:sz="4" w:space="0" w:color="auto"/>
            </w:tcBorders>
            <w:shd w:val="clear" w:color="000000" w:fill="FFFFFF"/>
            <w:noWrap/>
            <w:vAlign w:val="bottom"/>
            <w:hideMark/>
          </w:tcPr>
          <w:p w14:paraId="39462312"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82" w:type="dxa"/>
            <w:tcBorders>
              <w:top w:val="nil"/>
              <w:left w:val="nil"/>
              <w:bottom w:val="single" w:sz="4" w:space="0" w:color="auto"/>
              <w:right w:val="single" w:sz="4" w:space="0" w:color="auto"/>
            </w:tcBorders>
            <w:shd w:val="clear" w:color="000000" w:fill="FFFFFF"/>
            <w:noWrap/>
            <w:vAlign w:val="bottom"/>
            <w:hideMark/>
          </w:tcPr>
          <w:p w14:paraId="52BC39F0"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81" w:type="dxa"/>
            <w:tcBorders>
              <w:top w:val="nil"/>
              <w:left w:val="nil"/>
              <w:bottom w:val="single" w:sz="4" w:space="0" w:color="auto"/>
              <w:right w:val="single" w:sz="4" w:space="0" w:color="auto"/>
            </w:tcBorders>
            <w:shd w:val="clear" w:color="000000" w:fill="FFFFFF"/>
            <w:noWrap/>
            <w:vAlign w:val="bottom"/>
            <w:hideMark/>
          </w:tcPr>
          <w:p w14:paraId="1A078235"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81" w:type="dxa"/>
            <w:tcBorders>
              <w:top w:val="nil"/>
              <w:left w:val="nil"/>
              <w:bottom w:val="single" w:sz="4" w:space="0" w:color="auto"/>
              <w:right w:val="single" w:sz="4" w:space="0" w:color="auto"/>
            </w:tcBorders>
            <w:shd w:val="clear" w:color="000000" w:fill="FFFFFF"/>
            <w:vAlign w:val="bottom"/>
          </w:tcPr>
          <w:p w14:paraId="2D1AF2D0" w14:textId="77777777" w:rsidR="001D4AFA" w:rsidRPr="009F2D1E" w:rsidRDefault="001D4AFA" w:rsidP="009F2D1E">
            <w:pPr>
              <w:jc w:val="right"/>
              <w:rPr>
                <w:rFonts w:ascii="Times New Roman" w:hAnsi="Times New Roman"/>
                <w:sz w:val="14"/>
                <w:szCs w:val="14"/>
              </w:rPr>
            </w:pPr>
            <w:r w:rsidRPr="009F2D1E">
              <w:rPr>
                <w:sz w:val="14"/>
                <w:szCs w:val="14"/>
              </w:rPr>
              <w:t>NE</w:t>
            </w:r>
          </w:p>
        </w:tc>
      </w:tr>
      <w:tr w:rsidR="001D4AFA" w:rsidRPr="00364545" w14:paraId="51BE9127"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5C99576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67" w:type="dxa"/>
            <w:tcBorders>
              <w:top w:val="nil"/>
              <w:left w:val="nil"/>
              <w:bottom w:val="single" w:sz="4" w:space="0" w:color="auto"/>
              <w:right w:val="single" w:sz="4" w:space="0" w:color="auto"/>
            </w:tcBorders>
            <w:shd w:val="clear" w:color="000000" w:fill="FFFFFF"/>
            <w:noWrap/>
            <w:vAlign w:val="bottom"/>
            <w:hideMark/>
          </w:tcPr>
          <w:p w14:paraId="01BAA3A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7" w:type="dxa"/>
            <w:tcBorders>
              <w:top w:val="nil"/>
              <w:left w:val="nil"/>
              <w:bottom w:val="single" w:sz="4" w:space="0" w:color="auto"/>
              <w:right w:val="single" w:sz="4" w:space="0" w:color="auto"/>
            </w:tcBorders>
            <w:shd w:val="clear" w:color="000000" w:fill="FFFFFF"/>
            <w:noWrap/>
            <w:vAlign w:val="bottom"/>
            <w:hideMark/>
          </w:tcPr>
          <w:p w14:paraId="7025B92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6" w:type="dxa"/>
            <w:tcBorders>
              <w:top w:val="nil"/>
              <w:left w:val="nil"/>
              <w:bottom w:val="single" w:sz="4" w:space="0" w:color="auto"/>
              <w:right w:val="single" w:sz="4" w:space="0" w:color="auto"/>
            </w:tcBorders>
            <w:shd w:val="clear" w:color="000000" w:fill="FFFFFF"/>
            <w:noWrap/>
            <w:vAlign w:val="bottom"/>
            <w:hideMark/>
          </w:tcPr>
          <w:p w14:paraId="723BF0F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2" w:type="dxa"/>
            <w:tcBorders>
              <w:top w:val="nil"/>
              <w:left w:val="nil"/>
              <w:bottom w:val="single" w:sz="4" w:space="0" w:color="auto"/>
              <w:right w:val="single" w:sz="4" w:space="0" w:color="auto"/>
            </w:tcBorders>
            <w:shd w:val="clear" w:color="000000" w:fill="FFFFFF"/>
            <w:noWrap/>
            <w:vAlign w:val="bottom"/>
            <w:hideMark/>
          </w:tcPr>
          <w:p w14:paraId="0097491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noWrap/>
            <w:vAlign w:val="bottom"/>
            <w:hideMark/>
          </w:tcPr>
          <w:p w14:paraId="46DC7EE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81" w:type="dxa"/>
            <w:tcBorders>
              <w:top w:val="nil"/>
              <w:left w:val="nil"/>
              <w:bottom w:val="single" w:sz="4" w:space="0" w:color="auto"/>
              <w:right w:val="single" w:sz="4" w:space="0" w:color="auto"/>
            </w:tcBorders>
            <w:shd w:val="clear" w:color="000000" w:fill="FFFFFF"/>
            <w:vAlign w:val="bottom"/>
          </w:tcPr>
          <w:p w14:paraId="13FC511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A83D1A7"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16D363C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67" w:type="dxa"/>
            <w:tcBorders>
              <w:top w:val="nil"/>
              <w:left w:val="nil"/>
              <w:bottom w:val="single" w:sz="4" w:space="0" w:color="auto"/>
              <w:right w:val="single" w:sz="4" w:space="0" w:color="auto"/>
            </w:tcBorders>
            <w:shd w:val="clear" w:color="000000" w:fill="FFFFFF"/>
            <w:noWrap/>
            <w:vAlign w:val="bottom"/>
            <w:hideMark/>
          </w:tcPr>
          <w:p w14:paraId="46A8991F"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67" w:type="dxa"/>
            <w:tcBorders>
              <w:top w:val="nil"/>
              <w:left w:val="nil"/>
              <w:bottom w:val="single" w:sz="4" w:space="0" w:color="auto"/>
              <w:right w:val="single" w:sz="4" w:space="0" w:color="auto"/>
            </w:tcBorders>
            <w:shd w:val="clear" w:color="000000" w:fill="FFFFFF"/>
            <w:noWrap/>
            <w:vAlign w:val="bottom"/>
            <w:hideMark/>
          </w:tcPr>
          <w:p w14:paraId="4D071872"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6" w:type="dxa"/>
            <w:tcBorders>
              <w:top w:val="nil"/>
              <w:left w:val="nil"/>
              <w:bottom w:val="single" w:sz="4" w:space="0" w:color="auto"/>
              <w:right w:val="single" w:sz="4" w:space="0" w:color="auto"/>
            </w:tcBorders>
            <w:shd w:val="clear" w:color="000000" w:fill="FFFFFF"/>
            <w:noWrap/>
            <w:vAlign w:val="bottom"/>
            <w:hideMark/>
          </w:tcPr>
          <w:p w14:paraId="2441B39E"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82" w:type="dxa"/>
            <w:tcBorders>
              <w:top w:val="nil"/>
              <w:left w:val="nil"/>
              <w:bottom w:val="single" w:sz="4" w:space="0" w:color="auto"/>
              <w:right w:val="single" w:sz="4" w:space="0" w:color="auto"/>
            </w:tcBorders>
            <w:shd w:val="clear" w:color="000000" w:fill="FFFFFF"/>
            <w:noWrap/>
            <w:vAlign w:val="bottom"/>
            <w:hideMark/>
          </w:tcPr>
          <w:p w14:paraId="079484F3"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81" w:type="dxa"/>
            <w:tcBorders>
              <w:top w:val="nil"/>
              <w:left w:val="nil"/>
              <w:bottom w:val="single" w:sz="4" w:space="0" w:color="auto"/>
              <w:right w:val="single" w:sz="4" w:space="0" w:color="auto"/>
            </w:tcBorders>
            <w:shd w:val="clear" w:color="000000" w:fill="FFFFFF"/>
            <w:noWrap/>
            <w:vAlign w:val="bottom"/>
            <w:hideMark/>
          </w:tcPr>
          <w:p w14:paraId="67BD1BDE"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81" w:type="dxa"/>
            <w:tcBorders>
              <w:top w:val="nil"/>
              <w:left w:val="nil"/>
              <w:bottom w:val="single" w:sz="4" w:space="0" w:color="auto"/>
              <w:right w:val="single" w:sz="4" w:space="0" w:color="auto"/>
            </w:tcBorders>
            <w:shd w:val="clear" w:color="000000" w:fill="FFFFFF"/>
            <w:vAlign w:val="bottom"/>
          </w:tcPr>
          <w:p w14:paraId="5CE2F953" w14:textId="77777777" w:rsidR="001D4AFA" w:rsidRPr="009F2D1E" w:rsidRDefault="001D4AFA" w:rsidP="009F2D1E">
            <w:pPr>
              <w:jc w:val="right"/>
              <w:rPr>
                <w:rFonts w:ascii="Times New Roman" w:hAnsi="Times New Roman"/>
                <w:sz w:val="14"/>
                <w:szCs w:val="14"/>
              </w:rPr>
            </w:pPr>
            <w:r w:rsidRPr="009F2D1E">
              <w:rPr>
                <w:sz w:val="14"/>
                <w:szCs w:val="14"/>
              </w:rPr>
              <w:t>NO,IE,NA</w:t>
            </w:r>
          </w:p>
        </w:tc>
      </w:tr>
      <w:tr w:rsidR="001D4AFA" w:rsidRPr="00364545" w14:paraId="079A64C9"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7E0EA7B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13460715" w14:textId="77777777" w:rsidR="001D4AFA" w:rsidRPr="009F2D1E" w:rsidRDefault="001D4AFA" w:rsidP="009F2D1E">
            <w:pPr>
              <w:jc w:val="right"/>
              <w:rPr>
                <w:rFonts w:ascii="Times New Roman" w:hAnsi="Times New Roman"/>
                <w:sz w:val="14"/>
                <w:szCs w:val="14"/>
              </w:rPr>
            </w:pPr>
            <w:r w:rsidRPr="009F2D1E">
              <w:rPr>
                <w:sz w:val="14"/>
                <w:szCs w:val="14"/>
              </w:rPr>
              <w:t>392915,77</w:t>
            </w:r>
          </w:p>
        </w:tc>
        <w:tc>
          <w:tcPr>
            <w:tcW w:w="1167" w:type="dxa"/>
            <w:tcBorders>
              <w:top w:val="nil"/>
              <w:left w:val="nil"/>
              <w:bottom w:val="single" w:sz="4" w:space="0" w:color="auto"/>
              <w:right w:val="single" w:sz="4" w:space="0" w:color="auto"/>
            </w:tcBorders>
            <w:shd w:val="clear" w:color="000000" w:fill="CCFFFF"/>
            <w:noWrap/>
            <w:vAlign w:val="bottom"/>
            <w:hideMark/>
          </w:tcPr>
          <w:p w14:paraId="008A6934" w14:textId="77777777" w:rsidR="001D4AFA" w:rsidRPr="009F2D1E" w:rsidRDefault="001D4AFA" w:rsidP="009F2D1E">
            <w:pPr>
              <w:jc w:val="right"/>
              <w:rPr>
                <w:rFonts w:ascii="Times New Roman" w:hAnsi="Times New Roman"/>
                <w:sz w:val="14"/>
                <w:szCs w:val="14"/>
              </w:rPr>
            </w:pPr>
            <w:r w:rsidRPr="009F2D1E">
              <w:rPr>
                <w:sz w:val="14"/>
                <w:szCs w:val="14"/>
              </w:rPr>
              <w:t>408192,69</w:t>
            </w:r>
          </w:p>
        </w:tc>
        <w:tc>
          <w:tcPr>
            <w:tcW w:w="1196" w:type="dxa"/>
            <w:tcBorders>
              <w:top w:val="nil"/>
              <w:left w:val="nil"/>
              <w:bottom w:val="single" w:sz="4" w:space="0" w:color="auto"/>
              <w:right w:val="single" w:sz="4" w:space="0" w:color="auto"/>
            </w:tcBorders>
            <w:shd w:val="clear" w:color="000000" w:fill="CCFFFF"/>
            <w:noWrap/>
            <w:vAlign w:val="bottom"/>
            <w:hideMark/>
          </w:tcPr>
          <w:p w14:paraId="58F2A8AF" w14:textId="77777777" w:rsidR="001D4AFA" w:rsidRPr="009F2D1E" w:rsidRDefault="001D4AFA" w:rsidP="009F2D1E">
            <w:pPr>
              <w:jc w:val="right"/>
              <w:rPr>
                <w:rFonts w:ascii="Times New Roman" w:hAnsi="Times New Roman"/>
                <w:sz w:val="14"/>
                <w:szCs w:val="14"/>
              </w:rPr>
            </w:pPr>
            <w:r w:rsidRPr="009F2D1E">
              <w:rPr>
                <w:sz w:val="14"/>
                <w:szCs w:val="14"/>
              </w:rPr>
              <w:t>400997,00</w:t>
            </w:r>
          </w:p>
        </w:tc>
        <w:tc>
          <w:tcPr>
            <w:tcW w:w="1182" w:type="dxa"/>
            <w:tcBorders>
              <w:top w:val="nil"/>
              <w:left w:val="nil"/>
              <w:bottom w:val="single" w:sz="4" w:space="0" w:color="auto"/>
              <w:right w:val="single" w:sz="4" w:space="0" w:color="auto"/>
            </w:tcBorders>
            <w:shd w:val="clear" w:color="000000" w:fill="CCFFFF"/>
            <w:noWrap/>
            <w:vAlign w:val="bottom"/>
            <w:hideMark/>
          </w:tcPr>
          <w:p w14:paraId="703E35A3" w14:textId="77777777" w:rsidR="001D4AFA" w:rsidRPr="009F2D1E" w:rsidRDefault="001D4AFA" w:rsidP="009F2D1E">
            <w:pPr>
              <w:jc w:val="right"/>
              <w:rPr>
                <w:rFonts w:ascii="Times New Roman" w:hAnsi="Times New Roman"/>
                <w:sz w:val="14"/>
                <w:szCs w:val="14"/>
              </w:rPr>
            </w:pPr>
            <w:r w:rsidRPr="009F2D1E">
              <w:rPr>
                <w:sz w:val="14"/>
                <w:szCs w:val="14"/>
              </w:rPr>
              <w:t>421028,68</w:t>
            </w:r>
          </w:p>
        </w:tc>
        <w:tc>
          <w:tcPr>
            <w:tcW w:w="1181" w:type="dxa"/>
            <w:tcBorders>
              <w:top w:val="nil"/>
              <w:left w:val="nil"/>
              <w:bottom w:val="single" w:sz="4" w:space="0" w:color="auto"/>
              <w:right w:val="single" w:sz="4" w:space="0" w:color="auto"/>
            </w:tcBorders>
            <w:shd w:val="clear" w:color="000000" w:fill="CCFFFF"/>
            <w:noWrap/>
            <w:vAlign w:val="bottom"/>
            <w:hideMark/>
          </w:tcPr>
          <w:p w14:paraId="1D9CA162" w14:textId="77777777" w:rsidR="001D4AFA" w:rsidRPr="009F2D1E" w:rsidRDefault="001D4AFA" w:rsidP="009F2D1E">
            <w:pPr>
              <w:jc w:val="right"/>
              <w:rPr>
                <w:rFonts w:ascii="Times New Roman" w:hAnsi="Times New Roman"/>
                <w:sz w:val="14"/>
                <w:szCs w:val="14"/>
              </w:rPr>
            </w:pPr>
            <w:r w:rsidRPr="009F2D1E">
              <w:rPr>
                <w:sz w:val="14"/>
                <w:szCs w:val="14"/>
              </w:rPr>
              <w:t>419846,19</w:t>
            </w:r>
          </w:p>
        </w:tc>
        <w:tc>
          <w:tcPr>
            <w:tcW w:w="1181" w:type="dxa"/>
            <w:tcBorders>
              <w:top w:val="nil"/>
              <w:left w:val="nil"/>
              <w:bottom w:val="single" w:sz="4" w:space="0" w:color="auto"/>
              <w:right w:val="single" w:sz="4" w:space="0" w:color="auto"/>
            </w:tcBorders>
            <w:shd w:val="clear" w:color="000000" w:fill="CCFFFF"/>
            <w:vAlign w:val="bottom"/>
          </w:tcPr>
          <w:p w14:paraId="1CE7E71F" w14:textId="77777777" w:rsidR="001D4AFA" w:rsidRPr="009F2D1E" w:rsidRDefault="001D4AFA" w:rsidP="009F2D1E">
            <w:pPr>
              <w:jc w:val="right"/>
              <w:rPr>
                <w:rFonts w:ascii="Times New Roman" w:hAnsi="Times New Roman"/>
                <w:sz w:val="14"/>
                <w:szCs w:val="14"/>
              </w:rPr>
            </w:pPr>
            <w:r w:rsidRPr="009F2D1E">
              <w:rPr>
                <w:sz w:val="14"/>
                <w:szCs w:val="14"/>
              </w:rPr>
              <w:t>414788,47</w:t>
            </w:r>
          </w:p>
        </w:tc>
      </w:tr>
      <w:tr w:rsidR="001D4AFA" w:rsidRPr="00364545" w14:paraId="46F972DF"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919224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6445AF0D" w14:textId="77777777" w:rsidR="001D4AFA" w:rsidRPr="009F2D1E" w:rsidRDefault="001D4AFA" w:rsidP="009F2D1E">
            <w:pPr>
              <w:jc w:val="right"/>
              <w:rPr>
                <w:rFonts w:ascii="Times New Roman" w:hAnsi="Times New Roman"/>
                <w:sz w:val="14"/>
                <w:szCs w:val="14"/>
              </w:rPr>
            </w:pPr>
            <w:r w:rsidRPr="009F2D1E">
              <w:rPr>
                <w:sz w:val="14"/>
                <w:szCs w:val="14"/>
              </w:rPr>
              <w:t>361120,67</w:t>
            </w:r>
          </w:p>
        </w:tc>
        <w:tc>
          <w:tcPr>
            <w:tcW w:w="1167" w:type="dxa"/>
            <w:tcBorders>
              <w:top w:val="nil"/>
              <w:left w:val="nil"/>
              <w:bottom w:val="single" w:sz="4" w:space="0" w:color="auto"/>
              <w:right w:val="single" w:sz="4" w:space="0" w:color="auto"/>
            </w:tcBorders>
            <w:shd w:val="clear" w:color="000000" w:fill="CCFFFF"/>
            <w:noWrap/>
            <w:vAlign w:val="bottom"/>
            <w:hideMark/>
          </w:tcPr>
          <w:p w14:paraId="60595FB6" w14:textId="77777777" w:rsidR="001D4AFA" w:rsidRPr="009F2D1E" w:rsidRDefault="001D4AFA" w:rsidP="009F2D1E">
            <w:pPr>
              <w:jc w:val="right"/>
              <w:rPr>
                <w:rFonts w:ascii="Times New Roman" w:hAnsi="Times New Roman"/>
                <w:sz w:val="14"/>
                <w:szCs w:val="14"/>
              </w:rPr>
            </w:pPr>
            <w:r w:rsidRPr="009F2D1E">
              <w:rPr>
                <w:sz w:val="14"/>
                <w:szCs w:val="14"/>
              </w:rPr>
              <w:t>370782,17</w:t>
            </w:r>
          </w:p>
        </w:tc>
        <w:tc>
          <w:tcPr>
            <w:tcW w:w="1196" w:type="dxa"/>
            <w:tcBorders>
              <w:top w:val="nil"/>
              <w:left w:val="nil"/>
              <w:bottom w:val="single" w:sz="4" w:space="0" w:color="auto"/>
              <w:right w:val="single" w:sz="4" w:space="0" w:color="auto"/>
            </w:tcBorders>
            <w:shd w:val="clear" w:color="000000" w:fill="CCFFFF"/>
            <w:noWrap/>
            <w:vAlign w:val="bottom"/>
            <w:hideMark/>
          </w:tcPr>
          <w:p w14:paraId="5FB9A8B9" w14:textId="77777777" w:rsidR="001D4AFA" w:rsidRPr="009F2D1E" w:rsidRDefault="001D4AFA" w:rsidP="009F2D1E">
            <w:pPr>
              <w:jc w:val="right"/>
              <w:rPr>
                <w:rFonts w:ascii="Times New Roman" w:hAnsi="Times New Roman"/>
                <w:sz w:val="14"/>
                <w:szCs w:val="14"/>
              </w:rPr>
            </w:pPr>
            <w:r w:rsidRPr="009F2D1E">
              <w:rPr>
                <w:sz w:val="14"/>
                <w:szCs w:val="14"/>
              </w:rPr>
              <w:t>363788,94</w:t>
            </w:r>
          </w:p>
        </w:tc>
        <w:tc>
          <w:tcPr>
            <w:tcW w:w="1182" w:type="dxa"/>
            <w:tcBorders>
              <w:top w:val="nil"/>
              <w:left w:val="nil"/>
              <w:bottom w:val="single" w:sz="4" w:space="0" w:color="auto"/>
              <w:right w:val="single" w:sz="4" w:space="0" w:color="auto"/>
            </w:tcBorders>
            <w:shd w:val="clear" w:color="000000" w:fill="CCFFFF"/>
            <w:noWrap/>
            <w:vAlign w:val="bottom"/>
            <w:hideMark/>
          </w:tcPr>
          <w:p w14:paraId="708AB8B7" w14:textId="77777777" w:rsidR="001D4AFA" w:rsidRPr="009F2D1E" w:rsidRDefault="001D4AFA" w:rsidP="009F2D1E">
            <w:pPr>
              <w:jc w:val="right"/>
              <w:rPr>
                <w:rFonts w:ascii="Times New Roman" w:hAnsi="Times New Roman"/>
                <w:sz w:val="14"/>
                <w:szCs w:val="14"/>
              </w:rPr>
            </w:pPr>
            <w:r w:rsidRPr="009F2D1E">
              <w:rPr>
                <w:sz w:val="14"/>
                <w:szCs w:val="14"/>
              </w:rPr>
              <w:t>382286,23</w:t>
            </w:r>
          </w:p>
        </w:tc>
        <w:tc>
          <w:tcPr>
            <w:tcW w:w="1181" w:type="dxa"/>
            <w:tcBorders>
              <w:top w:val="nil"/>
              <w:left w:val="nil"/>
              <w:bottom w:val="single" w:sz="4" w:space="0" w:color="auto"/>
              <w:right w:val="single" w:sz="4" w:space="0" w:color="auto"/>
            </w:tcBorders>
            <w:shd w:val="clear" w:color="000000" w:fill="CCFFFF"/>
            <w:noWrap/>
            <w:vAlign w:val="bottom"/>
            <w:hideMark/>
          </w:tcPr>
          <w:p w14:paraId="14DD39D2" w14:textId="77777777" w:rsidR="001D4AFA" w:rsidRPr="009F2D1E" w:rsidRDefault="001D4AFA" w:rsidP="009F2D1E">
            <w:pPr>
              <w:jc w:val="right"/>
              <w:rPr>
                <w:rFonts w:ascii="Times New Roman" w:hAnsi="Times New Roman"/>
                <w:sz w:val="14"/>
                <w:szCs w:val="14"/>
              </w:rPr>
            </w:pPr>
            <w:r w:rsidRPr="009F2D1E">
              <w:rPr>
                <w:sz w:val="14"/>
                <w:szCs w:val="14"/>
              </w:rPr>
              <w:t>378132,88</w:t>
            </w:r>
          </w:p>
        </w:tc>
        <w:tc>
          <w:tcPr>
            <w:tcW w:w="1181" w:type="dxa"/>
            <w:tcBorders>
              <w:top w:val="nil"/>
              <w:left w:val="nil"/>
              <w:bottom w:val="single" w:sz="4" w:space="0" w:color="auto"/>
              <w:right w:val="single" w:sz="4" w:space="0" w:color="auto"/>
            </w:tcBorders>
            <w:shd w:val="clear" w:color="000000" w:fill="CCFFFF"/>
            <w:vAlign w:val="bottom"/>
          </w:tcPr>
          <w:p w14:paraId="05FFF227" w14:textId="77777777" w:rsidR="001D4AFA" w:rsidRPr="009F2D1E" w:rsidRDefault="001D4AFA" w:rsidP="009F2D1E">
            <w:pPr>
              <w:jc w:val="right"/>
              <w:rPr>
                <w:rFonts w:ascii="Times New Roman" w:hAnsi="Times New Roman"/>
                <w:sz w:val="14"/>
                <w:szCs w:val="14"/>
              </w:rPr>
            </w:pPr>
            <w:r w:rsidRPr="009F2D1E">
              <w:rPr>
                <w:sz w:val="14"/>
                <w:szCs w:val="14"/>
              </w:rPr>
              <w:t>390193,77</w:t>
            </w:r>
          </w:p>
        </w:tc>
      </w:tr>
      <w:tr w:rsidR="001D4AFA" w:rsidRPr="00364545" w14:paraId="56672C90"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6AB8B16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4A7A6E7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7" w:type="dxa"/>
            <w:tcBorders>
              <w:top w:val="nil"/>
              <w:left w:val="nil"/>
              <w:bottom w:val="single" w:sz="4" w:space="0" w:color="auto"/>
              <w:right w:val="single" w:sz="4" w:space="0" w:color="auto"/>
            </w:tcBorders>
            <w:shd w:val="clear" w:color="000000" w:fill="CCFFFF"/>
            <w:noWrap/>
            <w:vAlign w:val="bottom"/>
            <w:hideMark/>
          </w:tcPr>
          <w:p w14:paraId="55ECD85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6" w:type="dxa"/>
            <w:tcBorders>
              <w:top w:val="nil"/>
              <w:left w:val="nil"/>
              <w:bottom w:val="single" w:sz="4" w:space="0" w:color="auto"/>
              <w:right w:val="single" w:sz="4" w:space="0" w:color="auto"/>
            </w:tcBorders>
            <w:shd w:val="clear" w:color="000000" w:fill="CCFFFF"/>
            <w:noWrap/>
            <w:vAlign w:val="bottom"/>
            <w:hideMark/>
          </w:tcPr>
          <w:p w14:paraId="7A339CC0"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2" w:type="dxa"/>
            <w:tcBorders>
              <w:top w:val="nil"/>
              <w:left w:val="nil"/>
              <w:bottom w:val="single" w:sz="4" w:space="0" w:color="auto"/>
              <w:right w:val="single" w:sz="4" w:space="0" w:color="auto"/>
            </w:tcBorders>
            <w:shd w:val="clear" w:color="000000" w:fill="CCFFFF"/>
            <w:noWrap/>
            <w:vAlign w:val="bottom"/>
            <w:hideMark/>
          </w:tcPr>
          <w:p w14:paraId="29115F3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CCFFFF"/>
            <w:noWrap/>
            <w:vAlign w:val="bottom"/>
            <w:hideMark/>
          </w:tcPr>
          <w:p w14:paraId="1A7ECFB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CCFFFF"/>
            <w:vAlign w:val="bottom"/>
          </w:tcPr>
          <w:p w14:paraId="0DF3A0A9"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0DD1974F" w14:textId="77777777" w:rsidTr="009F2D1E">
        <w:trPr>
          <w:trHeight w:val="68"/>
          <w:jc w:val="center"/>
        </w:trPr>
        <w:tc>
          <w:tcPr>
            <w:tcW w:w="2866" w:type="dxa"/>
            <w:tcBorders>
              <w:top w:val="nil"/>
              <w:left w:val="single" w:sz="4" w:space="0" w:color="auto"/>
              <w:bottom w:val="single" w:sz="4" w:space="0" w:color="auto"/>
              <w:right w:val="single" w:sz="4" w:space="0" w:color="auto"/>
            </w:tcBorders>
            <w:shd w:val="clear" w:color="000000" w:fill="CCFFFF"/>
            <w:noWrap/>
            <w:vAlign w:val="center"/>
            <w:hideMark/>
          </w:tcPr>
          <w:p w14:paraId="4F2580D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67" w:type="dxa"/>
            <w:tcBorders>
              <w:top w:val="nil"/>
              <w:left w:val="nil"/>
              <w:bottom w:val="single" w:sz="4" w:space="0" w:color="auto"/>
              <w:right w:val="single" w:sz="4" w:space="0" w:color="auto"/>
            </w:tcBorders>
            <w:shd w:val="clear" w:color="000000" w:fill="CCFFFF"/>
            <w:noWrap/>
            <w:vAlign w:val="bottom"/>
            <w:hideMark/>
          </w:tcPr>
          <w:p w14:paraId="6CCD24A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7" w:type="dxa"/>
            <w:tcBorders>
              <w:top w:val="nil"/>
              <w:left w:val="nil"/>
              <w:bottom w:val="single" w:sz="4" w:space="0" w:color="auto"/>
              <w:right w:val="single" w:sz="4" w:space="0" w:color="auto"/>
            </w:tcBorders>
            <w:shd w:val="clear" w:color="000000" w:fill="CCFFFF"/>
            <w:noWrap/>
            <w:vAlign w:val="bottom"/>
            <w:hideMark/>
          </w:tcPr>
          <w:p w14:paraId="1504055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6" w:type="dxa"/>
            <w:tcBorders>
              <w:top w:val="nil"/>
              <w:left w:val="nil"/>
              <w:bottom w:val="single" w:sz="4" w:space="0" w:color="auto"/>
              <w:right w:val="single" w:sz="4" w:space="0" w:color="auto"/>
            </w:tcBorders>
            <w:shd w:val="clear" w:color="000000" w:fill="CCFFFF"/>
            <w:noWrap/>
            <w:vAlign w:val="bottom"/>
            <w:hideMark/>
          </w:tcPr>
          <w:p w14:paraId="564EB3CD"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2" w:type="dxa"/>
            <w:tcBorders>
              <w:top w:val="nil"/>
              <w:left w:val="nil"/>
              <w:bottom w:val="single" w:sz="4" w:space="0" w:color="auto"/>
              <w:right w:val="single" w:sz="4" w:space="0" w:color="auto"/>
            </w:tcBorders>
            <w:shd w:val="clear" w:color="000000" w:fill="CCFFFF"/>
            <w:noWrap/>
            <w:vAlign w:val="bottom"/>
            <w:hideMark/>
          </w:tcPr>
          <w:p w14:paraId="2454925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CCFFFF"/>
            <w:noWrap/>
            <w:vAlign w:val="bottom"/>
            <w:hideMark/>
          </w:tcPr>
          <w:p w14:paraId="5B7F0FC3"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81" w:type="dxa"/>
            <w:tcBorders>
              <w:top w:val="nil"/>
              <w:left w:val="nil"/>
              <w:bottom w:val="single" w:sz="4" w:space="0" w:color="auto"/>
              <w:right w:val="single" w:sz="4" w:space="0" w:color="auto"/>
            </w:tcBorders>
            <w:shd w:val="clear" w:color="000000" w:fill="CCFFFF"/>
            <w:vAlign w:val="bottom"/>
          </w:tcPr>
          <w:p w14:paraId="348C84DB" w14:textId="77777777" w:rsidR="001D4AFA" w:rsidRPr="009F2D1E" w:rsidRDefault="001D4AFA" w:rsidP="009F2D1E">
            <w:pPr>
              <w:jc w:val="right"/>
              <w:rPr>
                <w:rFonts w:ascii="Times New Roman" w:hAnsi="Times New Roman"/>
                <w:sz w:val="14"/>
                <w:szCs w:val="14"/>
              </w:rPr>
            </w:pPr>
            <w:r w:rsidRPr="009F2D1E">
              <w:rPr>
                <w:sz w:val="14"/>
                <w:szCs w:val="14"/>
              </w:rPr>
              <w:t>NA</w:t>
            </w:r>
          </w:p>
        </w:tc>
      </w:tr>
    </w:tbl>
    <w:p w14:paraId="3CA66BB2" w14:textId="77777777" w:rsidR="001D4AFA" w:rsidRPr="00364545" w:rsidRDefault="001D4AFA" w:rsidP="001D4AFA">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856"/>
        <w:gridCol w:w="1178"/>
        <w:gridCol w:w="1192"/>
        <w:gridCol w:w="1178"/>
        <w:gridCol w:w="1164"/>
        <w:gridCol w:w="1193"/>
        <w:gridCol w:w="1179"/>
      </w:tblGrid>
      <w:tr w:rsidR="001D4AFA" w:rsidRPr="00364545" w14:paraId="5F458D21" w14:textId="77777777" w:rsidTr="009F2D1E">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77E55C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78"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4AD32B2"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2001</w:t>
            </w:r>
          </w:p>
        </w:tc>
        <w:tc>
          <w:tcPr>
            <w:tcW w:w="1192" w:type="dxa"/>
            <w:tcBorders>
              <w:top w:val="single" w:sz="4" w:space="0" w:color="auto"/>
              <w:left w:val="nil"/>
              <w:bottom w:val="single" w:sz="4" w:space="0" w:color="auto"/>
              <w:right w:val="single" w:sz="4" w:space="0" w:color="auto"/>
            </w:tcBorders>
            <w:shd w:val="clear" w:color="000000" w:fill="CCFFFF"/>
            <w:noWrap/>
            <w:vAlign w:val="center"/>
            <w:hideMark/>
          </w:tcPr>
          <w:p w14:paraId="237E9F1F"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2002</w:t>
            </w:r>
          </w:p>
        </w:tc>
        <w:tc>
          <w:tcPr>
            <w:tcW w:w="1178" w:type="dxa"/>
            <w:tcBorders>
              <w:top w:val="single" w:sz="4" w:space="0" w:color="auto"/>
              <w:left w:val="nil"/>
              <w:bottom w:val="single" w:sz="4" w:space="0" w:color="auto"/>
              <w:right w:val="single" w:sz="4" w:space="0" w:color="auto"/>
            </w:tcBorders>
            <w:shd w:val="clear" w:color="000000" w:fill="CCFFFF"/>
            <w:noWrap/>
            <w:vAlign w:val="center"/>
            <w:hideMark/>
          </w:tcPr>
          <w:p w14:paraId="4BAB348A"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2003</w:t>
            </w:r>
          </w:p>
        </w:tc>
        <w:tc>
          <w:tcPr>
            <w:tcW w:w="1164" w:type="dxa"/>
            <w:tcBorders>
              <w:top w:val="single" w:sz="4" w:space="0" w:color="auto"/>
              <w:left w:val="nil"/>
              <w:bottom w:val="single" w:sz="4" w:space="0" w:color="auto"/>
              <w:right w:val="single" w:sz="4" w:space="0" w:color="auto"/>
            </w:tcBorders>
            <w:shd w:val="clear" w:color="000000" w:fill="CCFFFF"/>
            <w:noWrap/>
            <w:vAlign w:val="center"/>
            <w:hideMark/>
          </w:tcPr>
          <w:p w14:paraId="020B6887"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2004</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0AB5C715"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2005</w:t>
            </w:r>
          </w:p>
        </w:tc>
        <w:tc>
          <w:tcPr>
            <w:tcW w:w="1179" w:type="dxa"/>
            <w:tcBorders>
              <w:top w:val="single" w:sz="4" w:space="0" w:color="auto"/>
              <w:left w:val="nil"/>
              <w:bottom w:val="single" w:sz="4" w:space="0" w:color="auto"/>
              <w:right w:val="single" w:sz="4" w:space="0" w:color="auto"/>
            </w:tcBorders>
            <w:shd w:val="clear" w:color="000000" w:fill="CCFFFF"/>
            <w:vAlign w:val="center"/>
          </w:tcPr>
          <w:p w14:paraId="7AA32168" w14:textId="77777777" w:rsidR="001D4AFA" w:rsidRPr="00364545" w:rsidRDefault="001D4AFA" w:rsidP="009F2D1E">
            <w:pPr>
              <w:jc w:val="center"/>
              <w:rPr>
                <w:rFonts w:ascii="Times New Roman" w:hAnsi="Times New Roman"/>
                <w:b/>
                <w:bCs/>
                <w:sz w:val="16"/>
                <w:szCs w:val="16"/>
              </w:rPr>
            </w:pPr>
            <w:r w:rsidRPr="00364545">
              <w:rPr>
                <w:b/>
                <w:sz w:val="16"/>
              </w:rPr>
              <w:t>2006</w:t>
            </w:r>
          </w:p>
        </w:tc>
      </w:tr>
      <w:tr w:rsidR="001D4AFA" w:rsidRPr="00364545" w14:paraId="03EA279B" w14:textId="77777777" w:rsidTr="009F2D1E">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A440D5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78"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FC1BBF1" w14:textId="77777777" w:rsidR="001D4AFA" w:rsidRPr="00364545" w:rsidRDefault="001D4AFA" w:rsidP="009F2D1E">
            <w:pPr>
              <w:jc w:val="right"/>
              <w:rPr>
                <w:rFonts w:ascii="Times New Roman" w:hAnsi="Times New Roman"/>
                <w:sz w:val="16"/>
                <w:szCs w:val="16"/>
              </w:rPr>
            </w:pPr>
            <w:r w:rsidRPr="00CB4B9F">
              <w:rPr>
                <w:sz w:val="14"/>
                <w:szCs w:val="14"/>
              </w:rPr>
              <w:t>383657,73</w:t>
            </w:r>
          </w:p>
        </w:tc>
        <w:tc>
          <w:tcPr>
            <w:tcW w:w="1192" w:type="dxa"/>
            <w:tcBorders>
              <w:top w:val="single" w:sz="4" w:space="0" w:color="auto"/>
              <w:left w:val="nil"/>
              <w:bottom w:val="single" w:sz="4" w:space="0" w:color="auto"/>
              <w:right w:val="single" w:sz="4" w:space="0" w:color="auto"/>
            </w:tcBorders>
            <w:shd w:val="clear" w:color="000000" w:fill="CCFFFF"/>
            <w:noWrap/>
            <w:vAlign w:val="bottom"/>
            <w:hideMark/>
          </w:tcPr>
          <w:p w14:paraId="765402DC" w14:textId="77777777" w:rsidR="001D4AFA" w:rsidRPr="00364545" w:rsidRDefault="001D4AFA" w:rsidP="009F2D1E">
            <w:pPr>
              <w:jc w:val="right"/>
              <w:rPr>
                <w:rFonts w:ascii="Times New Roman" w:hAnsi="Times New Roman"/>
                <w:sz w:val="16"/>
                <w:szCs w:val="16"/>
              </w:rPr>
            </w:pPr>
            <w:r w:rsidRPr="00CB4B9F">
              <w:rPr>
                <w:sz w:val="14"/>
                <w:szCs w:val="14"/>
              </w:rPr>
              <w:t>371250,08</w:t>
            </w:r>
          </w:p>
        </w:tc>
        <w:tc>
          <w:tcPr>
            <w:tcW w:w="1178" w:type="dxa"/>
            <w:tcBorders>
              <w:top w:val="single" w:sz="4" w:space="0" w:color="auto"/>
              <w:left w:val="nil"/>
              <w:bottom w:val="single" w:sz="4" w:space="0" w:color="auto"/>
              <w:right w:val="single" w:sz="4" w:space="0" w:color="auto"/>
            </w:tcBorders>
            <w:shd w:val="clear" w:color="000000" w:fill="CCFFFF"/>
            <w:noWrap/>
            <w:vAlign w:val="bottom"/>
            <w:hideMark/>
          </w:tcPr>
          <w:p w14:paraId="0FFEAAEF" w14:textId="77777777" w:rsidR="001D4AFA" w:rsidRPr="00364545" w:rsidRDefault="001D4AFA" w:rsidP="009F2D1E">
            <w:pPr>
              <w:jc w:val="right"/>
              <w:rPr>
                <w:rFonts w:ascii="Times New Roman" w:hAnsi="Times New Roman"/>
                <w:sz w:val="16"/>
                <w:szCs w:val="16"/>
              </w:rPr>
            </w:pPr>
            <w:r w:rsidRPr="00CB4B9F">
              <w:rPr>
                <w:sz w:val="14"/>
                <w:szCs w:val="14"/>
              </w:rPr>
              <w:t>373223,76</w:t>
            </w:r>
          </w:p>
        </w:tc>
        <w:tc>
          <w:tcPr>
            <w:tcW w:w="1164" w:type="dxa"/>
            <w:tcBorders>
              <w:top w:val="single" w:sz="4" w:space="0" w:color="auto"/>
              <w:left w:val="nil"/>
              <w:bottom w:val="single" w:sz="4" w:space="0" w:color="auto"/>
              <w:right w:val="single" w:sz="4" w:space="0" w:color="auto"/>
            </w:tcBorders>
            <w:shd w:val="clear" w:color="000000" w:fill="CCFFFF"/>
            <w:noWrap/>
            <w:vAlign w:val="bottom"/>
            <w:hideMark/>
          </w:tcPr>
          <w:p w14:paraId="37F053CA" w14:textId="77777777" w:rsidR="001D4AFA" w:rsidRPr="00364545" w:rsidRDefault="001D4AFA" w:rsidP="009F2D1E">
            <w:pPr>
              <w:jc w:val="right"/>
              <w:rPr>
                <w:rFonts w:ascii="Times New Roman" w:hAnsi="Times New Roman"/>
                <w:sz w:val="16"/>
                <w:szCs w:val="16"/>
              </w:rPr>
            </w:pPr>
            <w:r w:rsidRPr="00CB4B9F">
              <w:rPr>
                <w:sz w:val="14"/>
                <w:szCs w:val="14"/>
              </w:rPr>
              <w:t>371943,09</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19CB325E" w14:textId="77777777" w:rsidR="001D4AFA" w:rsidRPr="00364545" w:rsidRDefault="001D4AFA" w:rsidP="009F2D1E">
            <w:pPr>
              <w:jc w:val="right"/>
              <w:rPr>
                <w:rFonts w:ascii="Times New Roman" w:hAnsi="Times New Roman"/>
                <w:sz w:val="16"/>
                <w:szCs w:val="16"/>
              </w:rPr>
            </w:pPr>
            <w:r w:rsidRPr="00CB4B9F">
              <w:rPr>
                <w:sz w:val="14"/>
                <w:szCs w:val="14"/>
              </w:rPr>
              <w:t>373972,04</w:t>
            </w:r>
          </w:p>
        </w:tc>
        <w:tc>
          <w:tcPr>
            <w:tcW w:w="1179" w:type="dxa"/>
            <w:tcBorders>
              <w:top w:val="single" w:sz="4" w:space="0" w:color="auto"/>
              <w:left w:val="nil"/>
              <w:bottom w:val="single" w:sz="4" w:space="0" w:color="auto"/>
              <w:right w:val="single" w:sz="4" w:space="0" w:color="auto"/>
            </w:tcBorders>
            <w:shd w:val="clear" w:color="000000" w:fill="CCFFFF"/>
            <w:vAlign w:val="bottom"/>
          </w:tcPr>
          <w:p w14:paraId="23580CA7" w14:textId="77777777" w:rsidR="001D4AFA" w:rsidRPr="00364545" w:rsidRDefault="001D4AFA" w:rsidP="009F2D1E">
            <w:pPr>
              <w:jc w:val="right"/>
              <w:rPr>
                <w:rFonts w:ascii="Times New Roman" w:hAnsi="Times New Roman"/>
                <w:sz w:val="16"/>
                <w:szCs w:val="16"/>
              </w:rPr>
            </w:pPr>
            <w:r w:rsidRPr="00CB4B9F">
              <w:rPr>
                <w:sz w:val="14"/>
                <w:szCs w:val="14"/>
              </w:rPr>
              <w:t>362637,76</w:t>
            </w:r>
          </w:p>
        </w:tc>
      </w:tr>
      <w:tr w:rsidR="001D4AFA" w:rsidRPr="00364545" w14:paraId="415C1097" w14:textId="77777777" w:rsidTr="009F2D1E">
        <w:trPr>
          <w:trHeight w:val="68"/>
          <w:jc w:val="center"/>
        </w:trPr>
        <w:tc>
          <w:tcPr>
            <w:tcW w:w="2856"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FE1CF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1. Energy</w:t>
            </w:r>
          </w:p>
        </w:tc>
        <w:tc>
          <w:tcPr>
            <w:tcW w:w="1178" w:type="dxa"/>
            <w:tcBorders>
              <w:top w:val="nil"/>
              <w:left w:val="nil"/>
              <w:bottom w:val="single" w:sz="4" w:space="0" w:color="auto"/>
              <w:right w:val="single" w:sz="4" w:space="0" w:color="auto"/>
            </w:tcBorders>
            <w:shd w:val="clear" w:color="000000" w:fill="CCFFFF"/>
            <w:noWrap/>
            <w:vAlign w:val="bottom"/>
            <w:hideMark/>
          </w:tcPr>
          <w:p w14:paraId="57AAA173" w14:textId="77777777" w:rsidR="001D4AFA" w:rsidRPr="009F2D1E" w:rsidRDefault="001D4AFA" w:rsidP="009F2D1E">
            <w:pPr>
              <w:jc w:val="right"/>
              <w:rPr>
                <w:rFonts w:ascii="Times New Roman" w:hAnsi="Times New Roman"/>
                <w:sz w:val="14"/>
                <w:szCs w:val="14"/>
              </w:rPr>
            </w:pPr>
            <w:r w:rsidRPr="009F2D1E">
              <w:rPr>
                <w:sz w:val="14"/>
                <w:szCs w:val="14"/>
              </w:rPr>
              <w:t>377152,11</w:t>
            </w:r>
          </w:p>
        </w:tc>
        <w:tc>
          <w:tcPr>
            <w:tcW w:w="1192" w:type="dxa"/>
            <w:tcBorders>
              <w:top w:val="nil"/>
              <w:left w:val="nil"/>
              <w:bottom w:val="single" w:sz="4" w:space="0" w:color="auto"/>
              <w:right w:val="single" w:sz="4" w:space="0" w:color="auto"/>
            </w:tcBorders>
            <w:shd w:val="clear" w:color="000000" w:fill="CCFFFF"/>
            <w:noWrap/>
            <w:vAlign w:val="bottom"/>
            <w:hideMark/>
          </w:tcPr>
          <w:p w14:paraId="48009191" w14:textId="77777777" w:rsidR="001D4AFA" w:rsidRPr="009F2D1E" w:rsidRDefault="001D4AFA" w:rsidP="009F2D1E">
            <w:pPr>
              <w:jc w:val="right"/>
              <w:rPr>
                <w:rFonts w:ascii="Times New Roman" w:hAnsi="Times New Roman"/>
                <w:sz w:val="14"/>
                <w:szCs w:val="14"/>
              </w:rPr>
            </w:pPr>
            <w:r w:rsidRPr="009F2D1E">
              <w:rPr>
                <w:sz w:val="14"/>
                <w:szCs w:val="14"/>
              </w:rPr>
              <w:t>372809,76</w:t>
            </w:r>
          </w:p>
        </w:tc>
        <w:tc>
          <w:tcPr>
            <w:tcW w:w="1178" w:type="dxa"/>
            <w:tcBorders>
              <w:top w:val="nil"/>
              <w:left w:val="nil"/>
              <w:bottom w:val="single" w:sz="4" w:space="0" w:color="auto"/>
              <w:right w:val="single" w:sz="4" w:space="0" w:color="auto"/>
            </w:tcBorders>
            <w:shd w:val="clear" w:color="000000" w:fill="CCFFFF"/>
            <w:noWrap/>
            <w:vAlign w:val="bottom"/>
            <w:hideMark/>
          </w:tcPr>
          <w:p w14:paraId="58DD4AE1" w14:textId="77777777" w:rsidR="001D4AFA" w:rsidRPr="009F2D1E" w:rsidRDefault="001D4AFA" w:rsidP="009F2D1E">
            <w:pPr>
              <w:jc w:val="right"/>
              <w:rPr>
                <w:rFonts w:ascii="Times New Roman" w:hAnsi="Times New Roman"/>
                <w:sz w:val="14"/>
                <w:szCs w:val="14"/>
              </w:rPr>
            </w:pPr>
            <w:r w:rsidRPr="009F2D1E">
              <w:rPr>
                <w:sz w:val="14"/>
                <w:szCs w:val="14"/>
              </w:rPr>
              <w:t>378767,12</w:t>
            </w:r>
          </w:p>
        </w:tc>
        <w:tc>
          <w:tcPr>
            <w:tcW w:w="1164" w:type="dxa"/>
            <w:tcBorders>
              <w:top w:val="nil"/>
              <w:left w:val="nil"/>
              <w:bottom w:val="single" w:sz="4" w:space="0" w:color="auto"/>
              <w:right w:val="single" w:sz="4" w:space="0" w:color="auto"/>
            </w:tcBorders>
            <w:shd w:val="clear" w:color="000000" w:fill="CCFFFF"/>
            <w:noWrap/>
            <w:vAlign w:val="bottom"/>
            <w:hideMark/>
          </w:tcPr>
          <w:p w14:paraId="3C8E8676" w14:textId="77777777" w:rsidR="001D4AFA" w:rsidRPr="009F2D1E" w:rsidRDefault="001D4AFA" w:rsidP="009F2D1E">
            <w:pPr>
              <w:jc w:val="right"/>
              <w:rPr>
                <w:rFonts w:ascii="Times New Roman" w:hAnsi="Times New Roman"/>
                <w:sz w:val="14"/>
                <w:szCs w:val="14"/>
              </w:rPr>
            </w:pPr>
            <w:r w:rsidRPr="009F2D1E">
              <w:rPr>
                <w:sz w:val="14"/>
                <w:szCs w:val="14"/>
              </w:rPr>
              <w:t>378645,13</w:t>
            </w:r>
          </w:p>
        </w:tc>
        <w:tc>
          <w:tcPr>
            <w:tcW w:w="1193" w:type="dxa"/>
            <w:tcBorders>
              <w:top w:val="nil"/>
              <w:left w:val="nil"/>
              <w:bottom w:val="single" w:sz="4" w:space="0" w:color="auto"/>
              <w:right w:val="single" w:sz="4" w:space="0" w:color="auto"/>
            </w:tcBorders>
            <w:shd w:val="clear" w:color="000000" w:fill="CCFFFF"/>
            <w:noWrap/>
            <w:vAlign w:val="bottom"/>
            <w:hideMark/>
          </w:tcPr>
          <w:p w14:paraId="42C925D9" w14:textId="77777777" w:rsidR="001D4AFA" w:rsidRPr="009F2D1E" w:rsidRDefault="001D4AFA" w:rsidP="009F2D1E">
            <w:pPr>
              <w:jc w:val="right"/>
              <w:rPr>
                <w:rFonts w:ascii="Times New Roman" w:hAnsi="Times New Roman"/>
                <w:sz w:val="14"/>
                <w:szCs w:val="14"/>
              </w:rPr>
            </w:pPr>
            <w:r w:rsidRPr="009F2D1E">
              <w:rPr>
                <w:sz w:val="14"/>
                <w:szCs w:val="14"/>
              </w:rPr>
              <w:t>381285,58</w:t>
            </w:r>
          </w:p>
        </w:tc>
        <w:tc>
          <w:tcPr>
            <w:tcW w:w="1179" w:type="dxa"/>
            <w:tcBorders>
              <w:top w:val="nil"/>
              <w:left w:val="nil"/>
              <w:bottom w:val="single" w:sz="4" w:space="0" w:color="auto"/>
              <w:right w:val="single" w:sz="4" w:space="0" w:color="auto"/>
            </w:tcBorders>
            <w:shd w:val="clear" w:color="000000" w:fill="CCFFFF"/>
            <w:vAlign w:val="bottom"/>
          </w:tcPr>
          <w:p w14:paraId="39BDCC86" w14:textId="77777777" w:rsidR="001D4AFA" w:rsidRPr="009F2D1E" w:rsidRDefault="001D4AFA" w:rsidP="009F2D1E">
            <w:pPr>
              <w:jc w:val="right"/>
              <w:rPr>
                <w:rFonts w:ascii="Times New Roman" w:hAnsi="Times New Roman"/>
                <w:sz w:val="14"/>
                <w:szCs w:val="14"/>
              </w:rPr>
            </w:pPr>
            <w:r w:rsidRPr="009F2D1E">
              <w:rPr>
                <w:sz w:val="14"/>
                <w:szCs w:val="14"/>
              </w:rPr>
              <w:t>370328,06</w:t>
            </w:r>
          </w:p>
        </w:tc>
      </w:tr>
      <w:tr w:rsidR="001D4AFA" w:rsidRPr="00364545" w14:paraId="345C7744"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3F5378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78" w:type="dxa"/>
            <w:tcBorders>
              <w:top w:val="nil"/>
              <w:left w:val="nil"/>
              <w:bottom w:val="single" w:sz="4" w:space="0" w:color="auto"/>
              <w:right w:val="single" w:sz="4" w:space="0" w:color="auto"/>
            </w:tcBorders>
            <w:shd w:val="clear" w:color="000000" w:fill="CCFFFF"/>
            <w:noWrap/>
            <w:vAlign w:val="bottom"/>
            <w:hideMark/>
          </w:tcPr>
          <w:p w14:paraId="715F8171" w14:textId="77777777" w:rsidR="001D4AFA" w:rsidRPr="009F2D1E" w:rsidRDefault="001D4AFA" w:rsidP="009F2D1E">
            <w:pPr>
              <w:jc w:val="right"/>
              <w:rPr>
                <w:rFonts w:ascii="Times New Roman" w:hAnsi="Times New Roman"/>
                <w:sz w:val="14"/>
                <w:szCs w:val="14"/>
              </w:rPr>
            </w:pPr>
            <w:r w:rsidRPr="009F2D1E">
              <w:rPr>
                <w:sz w:val="14"/>
                <w:szCs w:val="14"/>
              </w:rPr>
              <w:t>372892,09</w:t>
            </w:r>
          </w:p>
        </w:tc>
        <w:tc>
          <w:tcPr>
            <w:tcW w:w="1192" w:type="dxa"/>
            <w:tcBorders>
              <w:top w:val="nil"/>
              <w:left w:val="nil"/>
              <w:bottom w:val="single" w:sz="4" w:space="0" w:color="auto"/>
              <w:right w:val="single" w:sz="4" w:space="0" w:color="auto"/>
            </w:tcBorders>
            <w:shd w:val="clear" w:color="000000" w:fill="CCFFFF"/>
            <w:noWrap/>
            <w:vAlign w:val="bottom"/>
            <w:hideMark/>
          </w:tcPr>
          <w:p w14:paraId="77F5B89E" w14:textId="77777777" w:rsidR="001D4AFA" w:rsidRPr="009F2D1E" w:rsidRDefault="001D4AFA" w:rsidP="009F2D1E">
            <w:pPr>
              <w:jc w:val="right"/>
              <w:rPr>
                <w:rFonts w:ascii="Times New Roman" w:hAnsi="Times New Roman"/>
                <w:sz w:val="14"/>
                <w:szCs w:val="14"/>
              </w:rPr>
            </w:pPr>
            <w:r w:rsidRPr="009F2D1E">
              <w:rPr>
                <w:sz w:val="14"/>
                <w:szCs w:val="14"/>
              </w:rPr>
              <w:t>368797,70</w:t>
            </w:r>
          </w:p>
        </w:tc>
        <w:tc>
          <w:tcPr>
            <w:tcW w:w="1178" w:type="dxa"/>
            <w:tcBorders>
              <w:top w:val="nil"/>
              <w:left w:val="nil"/>
              <w:bottom w:val="single" w:sz="4" w:space="0" w:color="auto"/>
              <w:right w:val="single" w:sz="4" w:space="0" w:color="auto"/>
            </w:tcBorders>
            <w:shd w:val="clear" w:color="000000" w:fill="CCFFFF"/>
            <w:noWrap/>
            <w:vAlign w:val="bottom"/>
            <w:hideMark/>
          </w:tcPr>
          <w:p w14:paraId="28B88D3F" w14:textId="77777777" w:rsidR="001D4AFA" w:rsidRPr="009F2D1E" w:rsidRDefault="001D4AFA" w:rsidP="009F2D1E">
            <w:pPr>
              <w:jc w:val="right"/>
              <w:rPr>
                <w:rFonts w:ascii="Times New Roman" w:hAnsi="Times New Roman"/>
                <w:sz w:val="14"/>
                <w:szCs w:val="14"/>
              </w:rPr>
            </w:pPr>
            <w:r w:rsidRPr="009F2D1E">
              <w:rPr>
                <w:sz w:val="14"/>
                <w:szCs w:val="14"/>
              </w:rPr>
              <w:t>374794,06</w:t>
            </w:r>
          </w:p>
        </w:tc>
        <w:tc>
          <w:tcPr>
            <w:tcW w:w="1164" w:type="dxa"/>
            <w:tcBorders>
              <w:top w:val="nil"/>
              <w:left w:val="nil"/>
              <w:bottom w:val="single" w:sz="4" w:space="0" w:color="auto"/>
              <w:right w:val="single" w:sz="4" w:space="0" w:color="auto"/>
            </w:tcBorders>
            <w:shd w:val="clear" w:color="000000" w:fill="CCFFFF"/>
            <w:noWrap/>
            <w:vAlign w:val="bottom"/>
            <w:hideMark/>
          </w:tcPr>
          <w:p w14:paraId="4B0F6980" w14:textId="77777777" w:rsidR="001D4AFA" w:rsidRPr="009F2D1E" w:rsidRDefault="001D4AFA" w:rsidP="009F2D1E">
            <w:pPr>
              <w:jc w:val="right"/>
              <w:rPr>
                <w:rFonts w:ascii="Times New Roman" w:hAnsi="Times New Roman"/>
                <w:sz w:val="14"/>
                <w:szCs w:val="14"/>
              </w:rPr>
            </w:pPr>
            <w:r w:rsidRPr="009F2D1E">
              <w:rPr>
                <w:sz w:val="14"/>
                <w:szCs w:val="14"/>
              </w:rPr>
              <w:t>374641,27</w:t>
            </w:r>
          </w:p>
        </w:tc>
        <w:tc>
          <w:tcPr>
            <w:tcW w:w="1193" w:type="dxa"/>
            <w:tcBorders>
              <w:top w:val="nil"/>
              <w:left w:val="nil"/>
              <w:bottom w:val="single" w:sz="4" w:space="0" w:color="auto"/>
              <w:right w:val="single" w:sz="4" w:space="0" w:color="auto"/>
            </w:tcBorders>
            <w:shd w:val="clear" w:color="000000" w:fill="CCFFFF"/>
            <w:noWrap/>
            <w:vAlign w:val="bottom"/>
            <w:hideMark/>
          </w:tcPr>
          <w:p w14:paraId="294F3582" w14:textId="77777777" w:rsidR="001D4AFA" w:rsidRPr="009F2D1E" w:rsidRDefault="001D4AFA" w:rsidP="009F2D1E">
            <w:pPr>
              <w:jc w:val="right"/>
              <w:rPr>
                <w:rFonts w:ascii="Times New Roman" w:hAnsi="Times New Roman"/>
                <w:sz w:val="14"/>
                <w:szCs w:val="14"/>
              </w:rPr>
            </w:pPr>
            <w:r w:rsidRPr="009F2D1E">
              <w:rPr>
                <w:sz w:val="14"/>
                <w:szCs w:val="14"/>
              </w:rPr>
              <w:t>377276,34</w:t>
            </w:r>
          </w:p>
        </w:tc>
        <w:tc>
          <w:tcPr>
            <w:tcW w:w="1179" w:type="dxa"/>
            <w:tcBorders>
              <w:top w:val="nil"/>
              <w:left w:val="nil"/>
              <w:bottom w:val="single" w:sz="4" w:space="0" w:color="auto"/>
              <w:right w:val="single" w:sz="4" w:space="0" w:color="auto"/>
            </w:tcBorders>
            <w:shd w:val="clear" w:color="000000" w:fill="CCFFFF"/>
            <w:vAlign w:val="bottom"/>
          </w:tcPr>
          <w:p w14:paraId="5EC4862E" w14:textId="77777777" w:rsidR="001D4AFA" w:rsidRPr="009F2D1E" w:rsidRDefault="001D4AFA" w:rsidP="009F2D1E">
            <w:pPr>
              <w:jc w:val="right"/>
              <w:rPr>
                <w:rFonts w:ascii="Times New Roman" w:hAnsi="Times New Roman"/>
                <w:sz w:val="14"/>
                <w:szCs w:val="14"/>
              </w:rPr>
            </w:pPr>
            <w:r w:rsidRPr="009F2D1E">
              <w:rPr>
                <w:sz w:val="14"/>
                <w:szCs w:val="14"/>
              </w:rPr>
              <w:t>366010,88</w:t>
            </w:r>
          </w:p>
        </w:tc>
      </w:tr>
      <w:tr w:rsidR="001D4AFA" w:rsidRPr="00364545" w14:paraId="4A43FE98"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A583C66"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78" w:type="dxa"/>
            <w:tcBorders>
              <w:top w:val="nil"/>
              <w:left w:val="nil"/>
              <w:bottom w:val="single" w:sz="4" w:space="0" w:color="auto"/>
              <w:right w:val="single" w:sz="4" w:space="0" w:color="auto"/>
            </w:tcBorders>
            <w:shd w:val="clear" w:color="000000" w:fill="FFFFFF"/>
            <w:noWrap/>
            <w:vAlign w:val="bottom"/>
            <w:hideMark/>
          </w:tcPr>
          <w:p w14:paraId="061206F3" w14:textId="77777777" w:rsidR="001D4AFA" w:rsidRPr="009F2D1E" w:rsidRDefault="001D4AFA" w:rsidP="009F2D1E">
            <w:pPr>
              <w:jc w:val="right"/>
              <w:rPr>
                <w:rFonts w:ascii="Times New Roman" w:hAnsi="Times New Roman"/>
                <w:sz w:val="14"/>
                <w:szCs w:val="14"/>
              </w:rPr>
            </w:pPr>
            <w:r w:rsidRPr="009F2D1E">
              <w:rPr>
                <w:sz w:val="14"/>
                <w:szCs w:val="14"/>
              </w:rPr>
              <w:t>55419,72</w:t>
            </w:r>
          </w:p>
        </w:tc>
        <w:tc>
          <w:tcPr>
            <w:tcW w:w="1192" w:type="dxa"/>
            <w:tcBorders>
              <w:top w:val="nil"/>
              <w:left w:val="nil"/>
              <w:bottom w:val="single" w:sz="4" w:space="0" w:color="auto"/>
              <w:right w:val="single" w:sz="4" w:space="0" w:color="auto"/>
            </w:tcBorders>
            <w:shd w:val="clear" w:color="000000" w:fill="FFFFFF"/>
            <w:noWrap/>
            <w:vAlign w:val="bottom"/>
            <w:hideMark/>
          </w:tcPr>
          <w:p w14:paraId="7CA14F59" w14:textId="77777777" w:rsidR="001D4AFA" w:rsidRPr="009F2D1E" w:rsidRDefault="001D4AFA" w:rsidP="009F2D1E">
            <w:pPr>
              <w:jc w:val="right"/>
              <w:rPr>
                <w:rFonts w:ascii="Times New Roman" w:hAnsi="Times New Roman"/>
                <w:sz w:val="14"/>
                <w:szCs w:val="14"/>
              </w:rPr>
            </w:pPr>
            <w:r w:rsidRPr="009F2D1E">
              <w:rPr>
                <w:sz w:val="14"/>
                <w:szCs w:val="14"/>
              </w:rPr>
              <w:t>58686,54</w:t>
            </w:r>
          </w:p>
        </w:tc>
        <w:tc>
          <w:tcPr>
            <w:tcW w:w="1178" w:type="dxa"/>
            <w:tcBorders>
              <w:top w:val="nil"/>
              <w:left w:val="nil"/>
              <w:bottom w:val="single" w:sz="4" w:space="0" w:color="auto"/>
              <w:right w:val="single" w:sz="4" w:space="0" w:color="auto"/>
            </w:tcBorders>
            <w:shd w:val="clear" w:color="000000" w:fill="FFFFFF"/>
            <w:noWrap/>
            <w:vAlign w:val="bottom"/>
            <w:hideMark/>
          </w:tcPr>
          <w:p w14:paraId="536DF694" w14:textId="77777777" w:rsidR="001D4AFA" w:rsidRPr="009F2D1E" w:rsidRDefault="001D4AFA" w:rsidP="009F2D1E">
            <w:pPr>
              <w:jc w:val="right"/>
              <w:rPr>
                <w:rFonts w:ascii="Times New Roman" w:hAnsi="Times New Roman"/>
                <w:sz w:val="14"/>
                <w:szCs w:val="14"/>
              </w:rPr>
            </w:pPr>
            <w:r w:rsidRPr="009F2D1E">
              <w:rPr>
                <w:sz w:val="14"/>
                <w:szCs w:val="14"/>
              </w:rPr>
              <w:t>62092,97</w:t>
            </w:r>
          </w:p>
        </w:tc>
        <w:tc>
          <w:tcPr>
            <w:tcW w:w="1164" w:type="dxa"/>
            <w:tcBorders>
              <w:top w:val="nil"/>
              <w:left w:val="nil"/>
              <w:bottom w:val="single" w:sz="4" w:space="0" w:color="auto"/>
              <w:right w:val="single" w:sz="4" w:space="0" w:color="auto"/>
            </w:tcBorders>
            <w:shd w:val="clear" w:color="000000" w:fill="FFFFFF"/>
            <w:noWrap/>
            <w:vAlign w:val="bottom"/>
            <w:hideMark/>
          </w:tcPr>
          <w:p w14:paraId="3C995F50" w14:textId="77777777" w:rsidR="001D4AFA" w:rsidRPr="009F2D1E" w:rsidRDefault="001D4AFA" w:rsidP="009F2D1E">
            <w:pPr>
              <w:jc w:val="right"/>
              <w:rPr>
                <w:rFonts w:ascii="Times New Roman" w:hAnsi="Times New Roman"/>
                <w:sz w:val="14"/>
                <w:szCs w:val="14"/>
              </w:rPr>
            </w:pPr>
            <w:r w:rsidRPr="009F2D1E">
              <w:rPr>
                <w:sz w:val="14"/>
                <w:szCs w:val="14"/>
              </w:rPr>
              <w:t>60971,42</w:t>
            </w:r>
          </w:p>
        </w:tc>
        <w:tc>
          <w:tcPr>
            <w:tcW w:w="1193" w:type="dxa"/>
            <w:tcBorders>
              <w:top w:val="nil"/>
              <w:left w:val="nil"/>
              <w:bottom w:val="single" w:sz="4" w:space="0" w:color="auto"/>
              <w:right w:val="single" w:sz="4" w:space="0" w:color="auto"/>
            </w:tcBorders>
            <w:shd w:val="clear" w:color="000000" w:fill="FFFFFF"/>
            <w:noWrap/>
            <w:vAlign w:val="bottom"/>
            <w:hideMark/>
          </w:tcPr>
          <w:p w14:paraId="62EA47D8" w14:textId="77777777" w:rsidR="001D4AFA" w:rsidRPr="009F2D1E" w:rsidRDefault="001D4AFA" w:rsidP="009F2D1E">
            <w:pPr>
              <w:jc w:val="right"/>
              <w:rPr>
                <w:rFonts w:ascii="Times New Roman" w:hAnsi="Times New Roman"/>
                <w:sz w:val="14"/>
                <w:szCs w:val="14"/>
              </w:rPr>
            </w:pPr>
            <w:r w:rsidRPr="009F2D1E">
              <w:rPr>
                <w:sz w:val="14"/>
                <w:szCs w:val="14"/>
              </w:rPr>
              <w:t>66346,82</w:t>
            </w:r>
          </w:p>
        </w:tc>
        <w:tc>
          <w:tcPr>
            <w:tcW w:w="1179" w:type="dxa"/>
            <w:tcBorders>
              <w:top w:val="nil"/>
              <w:left w:val="nil"/>
              <w:bottom w:val="single" w:sz="4" w:space="0" w:color="auto"/>
              <w:right w:val="single" w:sz="4" w:space="0" w:color="auto"/>
            </w:tcBorders>
            <w:shd w:val="clear" w:color="000000" w:fill="FFFFFF"/>
            <w:vAlign w:val="bottom"/>
          </w:tcPr>
          <w:p w14:paraId="50D303C2" w14:textId="77777777" w:rsidR="001D4AFA" w:rsidRPr="009F2D1E" w:rsidRDefault="001D4AFA" w:rsidP="009F2D1E">
            <w:pPr>
              <w:jc w:val="right"/>
              <w:rPr>
                <w:rFonts w:ascii="Times New Roman" w:hAnsi="Times New Roman"/>
                <w:sz w:val="14"/>
                <w:szCs w:val="14"/>
              </w:rPr>
            </w:pPr>
            <w:r w:rsidRPr="009F2D1E">
              <w:rPr>
                <w:sz w:val="14"/>
                <w:szCs w:val="14"/>
              </w:rPr>
              <w:t>62310,64</w:t>
            </w:r>
          </w:p>
        </w:tc>
      </w:tr>
      <w:tr w:rsidR="001D4AFA" w:rsidRPr="00364545" w14:paraId="7CE9A519"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D8AF43F"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78" w:type="dxa"/>
            <w:tcBorders>
              <w:top w:val="nil"/>
              <w:left w:val="nil"/>
              <w:bottom w:val="single" w:sz="4" w:space="0" w:color="auto"/>
              <w:right w:val="single" w:sz="4" w:space="0" w:color="auto"/>
            </w:tcBorders>
            <w:shd w:val="clear" w:color="000000" w:fill="FFFFFF"/>
            <w:noWrap/>
            <w:vAlign w:val="bottom"/>
            <w:hideMark/>
          </w:tcPr>
          <w:p w14:paraId="46C8E55C" w14:textId="77777777" w:rsidR="001D4AFA" w:rsidRPr="009F2D1E" w:rsidRDefault="001D4AFA" w:rsidP="009F2D1E">
            <w:pPr>
              <w:jc w:val="right"/>
              <w:rPr>
                <w:rFonts w:ascii="Times New Roman" w:hAnsi="Times New Roman"/>
                <w:sz w:val="14"/>
                <w:szCs w:val="14"/>
              </w:rPr>
            </w:pPr>
            <w:r w:rsidRPr="009F2D1E">
              <w:rPr>
                <w:sz w:val="14"/>
                <w:szCs w:val="14"/>
              </w:rPr>
              <w:t>72053,53</w:t>
            </w:r>
          </w:p>
        </w:tc>
        <w:tc>
          <w:tcPr>
            <w:tcW w:w="1192" w:type="dxa"/>
            <w:tcBorders>
              <w:top w:val="nil"/>
              <w:left w:val="nil"/>
              <w:bottom w:val="single" w:sz="4" w:space="0" w:color="auto"/>
              <w:right w:val="single" w:sz="4" w:space="0" w:color="auto"/>
            </w:tcBorders>
            <w:shd w:val="clear" w:color="000000" w:fill="FFFFFF"/>
            <w:noWrap/>
            <w:vAlign w:val="bottom"/>
            <w:hideMark/>
          </w:tcPr>
          <w:p w14:paraId="2413D769" w14:textId="77777777" w:rsidR="001D4AFA" w:rsidRPr="009F2D1E" w:rsidRDefault="001D4AFA" w:rsidP="009F2D1E">
            <w:pPr>
              <w:jc w:val="right"/>
              <w:rPr>
                <w:rFonts w:ascii="Times New Roman" w:hAnsi="Times New Roman"/>
                <w:sz w:val="14"/>
                <w:szCs w:val="14"/>
              </w:rPr>
            </w:pPr>
            <w:r w:rsidRPr="009F2D1E">
              <w:rPr>
                <w:sz w:val="14"/>
                <w:szCs w:val="14"/>
              </w:rPr>
              <w:t>68001,80</w:t>
            </w:r>
          </w:p>
        </w:tc>
        <w:tc>
          <w:tcPr>
            <w:tcW w:w="1178" w:type="dxa"/>
            <w:tcBorders>
              <w:top w:val="nil"/>
              <w:left w:val="nil"/>
              <w:bottom w:val="single" w:sz="4" w:space="0" w:color="auto"/>
              <w:right w:val="single" w:sz="4" w:space="0" w:color="auto"/>
            </w:tcBorders>
            <w:shd w:val="clear" w:color="000000" w:fill="FFFFFF"/>
            <w:noWrap/>
            <w:vAlign w:val="bottom"/>
            <w:hideMark/>
          </w:tcPr>
          <w:p w14:paraId="283B9A95" w14:textId="77777777" w:rsidR="001D4AFA" w:rsidRPr="009F2D1E" w:rsidRDefault="001D4AFA" w:rsidP="009F2D1E">
            <w:pPr>
              <w:jc w:val="right"/>
              <w:rPr>
                <w:rFonts w:ascii="Times New Roman" w:hAnsi="Times New Roman"/>
                <w:sz w:val="14"/>
                <w:szCs w:val="14"/>
              </w:rPr>
            </w:pPr>
            <w:r w:rsidRPr="009F2D1E">
              <w:rPr>
                <w:sz w:val="14"/>
                <w:szCs w:val="14"/>
              </w:rPr>
              <w:t>68030,91</w:t>
            </w:r>
          </w:p>
        </w:tc>
        <w:tc>
          <w:tcPr>
            <w:tcW w:w="1164" w:type="dxa"/>
            <w:tcBorders>
              <w:top w:val="nil"/>
              <w:left w:val="nil"/>
              <w:bottom w:val="single" w:sz="4" w:space="0" w:color="auto"/>
              <w:right w:val="single" w:sz="4" w:space="0" w:color="auto"/>
            </w:tcBorders>
            <w:shd w:val="clear" w:color="000000" w:fill="FFFFFF"/>
            <w:noWrap/>
            <w:vAlign w:val="bottom"/>
            <w:hideMark/>
          </w:tcPr>
          <w:p w14:paraId="11A60BE4" w14:textId="77777777" w:rsidR="001D4AFA" w:rsidRPr="009F2D1E" w:rsidRDefault="001D4AFA" w:rsidP="009F2D1E">
            <w:pPr>
              <w:jc w:val="right"/>
              <w:rPr>
                <w:rFonts w:ascii="Times New Roman" w:hAnsi="Times New Roman"/>
                <w:sz w:val="14"/>
                <w:szCs w:val="14"/>
              </w:rPr>
            </w:pPr>
            <w:r w:rsidRPr="009F2D1E">
              <w:rPr>
                <w:sz w:val="14"/>
                <w:szCs w:val="14"/>
              </w:rPr>
              <w:t>63911,78</w:t>
            </w:r>
          </w:p>
        </w:tc>
        <w:tc>
          <w:tcPr>
            <w:tcW w:w="1193" w:type="dxa"/>
            <w:tcBorders>
              <w:top w:val="nil"/>
              <w:left w:val="nil"/>
              <w:bottom w:val="single" w:sz="4" w:space="0" w:color="auto"/>
              <w:right w:val="single" w:sz="4" w:space="0" w:color="auto"/>
            </w:tcBorders>
            <w:shd w:val="clear" w:color="000000" w:fill="FFFFFF"/>
            <w:noWrap/>
            <w:vAlign w:val="bottom"/>
            <w:hideMark/>
          </w:tcPr>
          <w:p w14:paraId="2A22E16D" w14:textId="77777777" w:rsidR="001D4AFA" w:rsidRPr="009F2D1E" w:rsidRDefault="001D4AFA" w:rsidP="009F2D1E">
            <w:pPr>
              <w:jc w:val="right"/>
              <w:rPr>
                <w:rFonts w:ascii="Times New Roman" w:hAnsi="Times New Roman"/>
                <w:sz w:val="14"/>
                <w:szCs w:val="14"/>
              </w:rPr>
            </w:pPr>
            <w:r w:rsidRPr="009F2D1E">
              <w:rPr>
                <w:sz w:val="14"/>
                <w:szCs w:val="14"/>
              </w:rPr>
              <w:t>65392,98</w:t>
            </w:r>
          </w:p>
        </w:tc>
        <w:tc>
          <w:tcPr>
            <w:tcW w:w="1179" w:type="dxa"/>
            <w:tcBorders>
              <w:top w:val="nil"/>
              <w:left w:val="nil"/>
              <w:bottom w:val="single" w:sz="4" w:space="0" w:color="auto"/>
              <w:right w:val="single" w:sz="4" w:space="0" w:color="auto"/>
            </w:tcBorders>
            <w:shd w:val="clear" w:color="000000" w:fill="FFFFFF"/>
            <w:vAlign w:val="bottom"/>
          </w:tcPr>
          <w:p w14:paraId="172EE3E6" w14:textId="77777777" w:rsidR="001D4AFA" w:rsidRPr="009F2D1E" w:rsidRDefault="001D4AFA" w:rsidP="009F2D1E">
            <w:pPr>
              <w:jc w:val="right"/>
              <w:rPr>
                <w:rFonts w:ascii="Times New Roman" w:hAnsi="Times New Roman"/>
                <w:sz w:val="14"/>
                <w:szCs w:val="14"/>
              </w:rPr>
            </w:pPr>
            <w:r w:rsidRPr="009F2D1E">
              <w:rPr>
                <w:sz w:val="14"/>
                <w:szCs w:val="14"/>
              </w:rPr>
              <w:t>63958,81</w:t>
            </w:r>
          </w:p>
        </w:tc>
      </w:tr>
      <w:tr w:rsidR="001D4AFA" w:rsidRPr="00364545" w14:paraId="4C6DF978"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A6FB947"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78" w:type="dxa"/>
            <w:tcBorders>
              <w:top w:val="nil"/>
              <w:left w:val="nil"/>
              <w:bottom w:val="single" w:sz="4" w:space="0" w:color="auto"/>
              <w:right w:val="single" w:sz="4" w:space="0" w:color="auto"/>
            </w:tcBorders>
            <w:shd w:val="clear" w:color="000000" w:fill="FFFFFF"/>
            <w:noWrap/>
            <w:vAlign w:val="bottom"/>
            <w:hideMark/>
          </w:tcPr>
          <w:p w14:paraId="1B23A2C0" w14:textId="77777777" w:rsidR="001D4AFA" w:rsidRPr="009F2D1E" w:rsidRDefault="001D4AFA" w:rsidP="009F2D1E">
            <w:pPr>
              <w:jc w:val="right"/>
              <w:rPr>
                <w:rFonts w:ascii="Times New Roman" w:hAnsi="Times New Roman"/>
                <w:sz w:val="14"/>
                <w:szCs w:val="14"/>
              </w:rPr>
            </w:pPr>
            <w:r w:rsidRPr="009F2D1E">
              <w:rPr>
                <w:sz w:val="14"/>
                <w:szCs w:val="14"/>
              </w:rPr>
              <w:t>142116,92</w:t>
            </w:r>
          </w:p>
        </w:tc>
        <w:tc>
          <w:tcPr>
            <w:tcW w:w="1192" w:type="dxa"/>
            <w:tcBorders>
              <w:top w:val="nil"/>
              <w:left w:val="nil"/>
              <w:bottom w:val="single" w:sz="4" w:space="0" w:color="auto"/>
              <w:right w:val="single" w:sz="4" w:space="0" w:color="auto"/>
            </w:tcBorders>
            <w:shd w:val="clear" w:color="000000" w:fill="FFFFFF"/>
            <w:noWrap/>
            <w:vAlign w:val="bottom"/>
            <w:hideMark/>
          </w:tcPr>
          <w:p w14:paraId="41275DF1" w14:textId="77777777" w:rsidR="001D4AFA" w:rsidRPr="009F2D1E" w:rsidRDefault="001D4AFA" w:rsidP="009F2D1E">
            <w:pPr>
              <w:jc w:val="right"/>
              <w:rPr>
                <w:rFonts w:ascii="Times New Roman" w:hAnsi="Times New Roman"/>
                <w:sz w:val="14"/>
                <w:szCs w:val="14"/>
              </w:rPr>
            </w:pPr>
            <w:r w:rsidRPr="009F2D1E">
              <w:rPr>
                <w:sz w:val="14"/>
                <w:szCs w:val="14"/>
              </w:rPr>
              <w:t>143759,42</w:t>
            </w:r>
          </w:p>
        </w:tc>
        <w:tc>
          <w:tcPr>
            <w:tcW w:w="1178" w:type="dxa"/>
            <w:tcBorders>
              <w:top w:val="nil"/>
              <w:left w:val="nil"/>
              <w:bottom w:val="single" w:sz="4" w:space="0" w:color="auto"/>
              <w:right w:val="single" w:sz="4" w:space="0" w:color="auto"/>
            </w:tcBorders>
            <w:shd w:val="clear" w:color="000000" w:fill="FFFFFF"/>
            <w:noWrap/>
            <w:vAlign w:val="bottom"/>
            <w:hideMark/>
          </w:tcPr>
          <w:p w14:paraId="1E4BB740" w14:textId="77777777" w:rsidR="001D4AFA" w:rsidRPr="009F2D1E" w:rsidRDefault="001D4AFA" w:rsidP="009F2D1E">
            <w:pPr>
              <w:jc w:val="right"/>
              <w:rPr>
                <w:rFonts w:ascii="Times New Roman" w:hAnsi="Times New Roman"/>
                <w:sz w:val="14"/>
                <w:szCs w:val="14"/>
              </w:rPr>
            </w:pPr>
            <w:r w:rsidRPr="009F2D1E">
              <w:rPr>
                <w:sz w:val="14"/>
                <w:szCs w:val="14"/>
              </w:rPr>
              <w:t>141965,80</w:t>
            </w:r>
          </w:p>
        </w:tc>
        <w:tc>
          <w:tcPr>
            <w:tcW w:w="1164" w:type="dxa"/>
            <w:tcBorders>
              <w:top w:val="nil"/>
              <w:left w:val="nil"/>
              <w:bottom w:val="single" w:sz="4" w:space="0" w:color="auto"/>
              <w:right w:val="single" w:sz="4" w:space="0" w:color="auto"/>
            </w:tcBorders>
            <w:shd w:val="clear" w:color="000000" w:fill="FFFFFF"/>
            <w:noWrap/>
            <w:vAlign w:val="bottom"/>
            <w:hideMark/>
          </w:tcPr>
          <w:p w14:paraId="59C1DDC7" w14:textId="77777777" w:rsidR="001D4AFA" w:rsidRPr="009F2D1E" w:rsidRDefault="001D4AFA" w:rsidP="009F2D1E">
            <w:pPr>
              <w:jc w:val="right"/>
              <w:rPr>
                <w:rFonts w:ascii="Times New Roman" w:hAnsi="Times New Roman"/>
                <w:sz w:val="14"/>
                <w:szCs w:val="14"/>
              </w:rPr>
            </w:pPr>
            <w:r w:rsidRPr="009F2D1E">
              <w:rPr>
                <w:sz w:val="14"/>
                <w:szCs w:val="14"/>
              </w:rPr>
              <w:t>142534,91</w:t>
            </w:r>
          </w:p>
        </w:tc>
        <w:tc>
          <w:tcPr>
            <w:tcW w:w="1193" w:type="dxa"/>
            <w:tcBorders>
              <w:top w:val="nil"/>
              <w:left w:val="nil"/>
              <w:bottom w:val="single" w:sz="4" w:space="0" w:color="auto"/>
              <w:right w:val="single" w:sz="4" w:space="0" w:color="auto"/>
            </w:tcBorders>
            <w:shd w:val="clear" w:color="000000" w:fill="FFFFFF"/>
            <w:noWrap/>
            <w:vAlign w:val="bottom"/>
            <w:hideMark/>
          </w:tcPr>
          <w:p w14:paraId="7D65F8BA" w14:textId="77777777" w:rsidR="001D4AFA" w:rsidRPr="009F2D1E" w:rsidRDefault="001D4AFA" w:rsidP="009F2D1E">
            <w:pPr>
              <w:jc w:val="right"/>
              <w:rPr>
                <w:rFonts w:ascii="Times New Roman" w:hAnsi="Times New Roman"/>
                <w:sz w:val="14"/>
                <w:szCs w:val="14"/>
              </w:rPr>
            </w:pPr>
            <w:r w:rsidRPr="009F2D1E">
              <w:rPr>
                <w:sz w:val="14"/>
                <w:szCs w:val="14"/>
              </w:rPr>
              <w:t>140204,35</w:t>
            </w:r>
          </w:p>
        </w:tc>
        <w:tc>
          <w:tcPr>
            <w:tcW w:w="1179" w:type="dxa"/>
            <w:tcBorders>
              <w:top w:val="nil"/>
              <w:left w:val="nil"/>
              <w:bottom w:val="single" w:sz="4" w:space="0" w:color="auto"/>
              <w:right w:val="single" w:sz="4" w:space="0" w:color="auto"/>
            </w:tcBorders>
            <w:shd w:val="clear" w:color="000000" w:fill="FFFFFF"/>
            <w:vAlign w:val="bottom"/>
          </w:tcPr>
          <w:p w14:paraId="4C03E4D1" w14:textId="77777777" w:rsidR="001D4AFA" w:rsidRPr="009F2D1E" w:rsidRDefault="001D4AFA" w:rsidP="009F2D1E">
            <w:pPr>
              <w:jc w:val="right"/>
              <w:rPr>
                <w:rFonts w:ascii="Times New Roman" w:hAnsi="Times New Roman"/>
                <w:sz w:val="14"/>
                <w:szCs w:val="14"/>
              </w:rPr>
            </w:pPr>
            <w:r w:rsidRPr="009F2D1E">
              <w:rPr>
                <w:sz w:val="14"/>
                <w:szCs w:val="14"/>
              </w:rPr>
              <w:t>139754,48</w:t>
            </w:r>
          </w:p>
        </w:tc>
      </w:tr>
      <w:tr w:rsidR="001D4AFA" w:rsidRPr="00364545" w14:paraId="77AE97A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2085EBD"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78" w:type="dxa"/>
            <w:tcBorders>
              <w:top w:val="nil"/>
              <w:left w:val="nil"/>
              <w:bottom w:val="single" w:sz="4" w:space="0" w:color="auto"/>
              <w:right w:val="single" w:sz="4" w:space="0" w:color="auto"/>
            </w:tcBorders>
            <w:shd w:val="clear" w:color="000000" w:fill="FFFFFF"/>
            <w:noWrap/>
            <w:vAlign w:val="bottom"/>
            <w:hideMark/>
          </w:tcPr>
          <w:p w14:paraId="062752F4" w14:textId="77777777" w:rsidR="001D4AFA" w:rsidRPr="009F2D1E" w:rsidRDefault="001D4AFA" w:rsidP="009F2D1E">
            <w:pPr>
              <w:jc w:val="right"/>
              <w:rPr>
                <w:rFonts w:ascii="Times New Roman" w:hAnsi="Times New Roman"/>
                <w:sz w:val="14"/>
                <w:szCs w:val="14"/>
              </w:rPr>
            </w:pPr>
            <w:r w:rsidRPr="009F2D1E">
              <w:rPr>
                <w:sz w:val="14"/>
                <w:szCs w:val="14"/>
              </w:rPr>
              <w:t>101204,93</w:t>
            </w:r>
          </w:p>
        </w:tc>
        <w:tc>
          <w:tcPr>
            <w:tcW w:w="1192" w:type="dxa"/>
            <w:tcBorders>
              <w:top w:val="nil"/>
              <w:left w:val="nil"/>
              <w:bottom w:val="single" w:sz="4" w:space="0" w:color="auto"/>
              <w:right w:val="single" w:sz="4" w:space="0" w:color="auto"/>
            </w:tcBorders>
            <w:shd w:val="clear" w:color="000000" w:fill="FFFFFF"/>
            <w:noWrap/>
            <w:vAlign w:val="bottom"/>
            <w:hideMark/>
          </w:tcPr>
          <w:p w14:paraId="2DA60966" w14:textId="77777777" w:rsidR="001D4AFA" w:rsidRPr="009F2D1E" w:rsidRDefault="001D4AFA" w:rsidP="009F2D1E">
            <w:pPr>
              <w:jc w:val="right"/>
              <w:rPr>
                <w:rFonts w:ascii="Times New Roman" w:hAnsi="Times New Roman"/>
                <w:sz w:val="14"/>
                <w:szCs w:val="14"/>
              </w:rPr>
            </w:pPr>
            <w:r w:rsidRPr="009F2D1E">
              <w:rPr>
                <w:sz w:val="14"/>
                <w:szCs w:val="14"/>
              </w:rPr>
              <w:t>95684,19</w:t>
            </w:r>
          </w:p>
        </w:tc>
        <w:tc>
          <w:tcPr>
            <w:tcW w:w="1178" w:type="dxa"/>
            <w:tcBorders>
              <w:top w:val="nil"/>
              <w:left w:val="nil"/>
              <w:bottom w:val="single" w:sz="4" w:space="0" w:color="auto"/>
              <w:right w:val="single" w:sz="4" w:space="0" w:color="auto"/>
            </w:tcBorders>
            <w:shd w:val="clear" w:color="000000" w:fill="FFFFFF"/>
            <w:noWrap/>
            <w:vAlign w:val="bottom"/>
            <w:hideMark/>
          </w:tcPr>
          <w:p w14:paraId="55C34EB8" w14:textId="77777777" w:rsidR="001D4AFA" w:rsidRPr="009F2D1E" w:rsidRDefault="001D4AFA" w:rsidP="009F2D1E">
            <w:pPr>
              <w:jc w:val="right"/>
              <w:rPr>
                <w:rFonts w:ascii="Times New Roman" w:hAnsi="Times New Roman"/>
                <w:sz w:val="14"/>
                <w:szCs w:val="14"/>
              </w:rPr>
            </w:pPr>
            <w:r w:rsidRPr="009F2D1E">
              <w:rPr>
                <w:sz w:val="14"/>
                <w:szCs w:val="14"/>
              </w:rPr>
              <w:t>99829,22</w:t>
            </w:r>
          </w:p>
        </w:tc>
        <w:tc>
          <w:tcPr>
            <w:tcW w:w="1164" w:type="dxa"/>
            <w:tcBorders>
              <w:top w:val="nil"/>
              <w:left w:val="nil"/>
              <w:bottom w:val="single" w:sz="4" w:space="0" w:color="auto"/>
              <w:right w:val="single" w:sz="4" w:space="0" w:color="auto"/>
            </w:tcBorders>
            <w:shd w:val="clear" w:color="000000" w:fill="FFFFFF"/>
            <w:noWrap/>
            <w:vAlign w:val="bottom"/>
            <w:hideMark/>
          </w:tcPr>
          <w:p w14:paraId="40AFB951" w14:textId="77777777" w:rsidR="001D4AFA" w:rsidRPr="009F2D1E" w:rsidRDefault="001D4AFA" w:rsidP="009F2D1E">
            <w:pPr>
              <w:jc w:val="right"/>
              <w:rPr>
                <w:rFonts w:ascii="Times New Roman" w:hAnsi="Times New Roman"/>
                <w:sz w:val="14"/>
                <w:szCs w:val="14"/>
              </w:rPr>
            </w:pPr>
            <w:r w:rsidRPr="009F2D1E">
              <w:rPr>
                <w:sz w:val="14"/>
                <w:szCs w:val="14"/>
              </w:rPr>
              <w:t>104347,99</w:t>
            </w:r>
          </w:p>
        </w:tc>
        <w:tc>
          <w:tcPr>
            <w:tcW w:w="1193" w:type="dxa"/>
            <w:tcBorders>
              <w:top w:val="nil"/>
              <w:left w:val="nil"/>
              <w:bottom w:val="single" w:sz="4" w:space="0" w:color="auto"/>
              <w:right w:val="single" w:sz="4" w:space="0" w:color="auto"/>
            </w:tcBorders>
            <w:shd w:val="clear" w:color="000000" w:fill="FFFFFF"/>
            <w:noWrap/>
            <w:vAlign w:val="bottom"/>
            <w:hideMark/>
          </w:tcPr>
          <w:p w14:paraId="3065356A" w14:textId="77777777" w:rsidR="001D4AFA" w:rsidRPr="009F2D1E" w:rsidRDefault="001D4AFA" w:rsidP="009F2D1E">
            <w:pPr>
              <w:jc w:val="right"/>
              <w:rPr>
                <w:rFonts w:ascii="Times New Roman" w:hAnsi="Times New Roman"/>
                <w:sz w:val="14"/>
                <w:szCs w:val="14"/>
              </w:rPr>
            </w:pPr>
            <w:r w:rsidRPr="009F2D1E">
              <w:rPr>
                <w:sz w:val="14"/>
                <w:szCs w:val="14"/>
              </w:rPr>
              <w:t>102706,24</w:t>
            </w:r>
          </w:p>
        </w:tc>
        <w:tc>
          <w:tcPr>
            <w:tcW w:w="1179" w:type="dxa"/>
            <w:tcBorders>
              <w:top w:val="nil"/>
              <w:left w:val="nil"/>
              <w:bottom w:val="single" w:sz="4" w:space="0" w:color="auto"/>
              <w:right w:val="single" w:sz="4" w:space="0" w:color="auto"/>
            </w:tcBorders>
            <w:shd w:val="clear" w:color="000000" w:fill="FFFFFF"/>
            <w:vAlign w:val="bottom"/>
          </w:tcPr>
          <w:p w14:paraId="35BEE6F2" w14:textId="77777777" w:rsidR="001D4AFA" w:rsidRPr="009F2D1E" w:rsidRDefault="001D4AFA" w:rsidP="009F2D1E">
            <w:pPr>
              <w:jc w:val="right"/>
              <w:rPr>
                <w:rFonts w:ascii="Times New Roman" w:hAnsi="Times New Roman"/>
                <w:sz w:val="14"/>
                <w:szCs w:val="14"/>
              </w:rPr>
            </w:pPr>
            <w:r w:rsidRPr="009F2D1E">
              <w:rPr>
                <w:sz w:val="14"/>
                <w:szCs w:val="14"/>
              </w:rPr>
              <w:t>97338,79</w:t>
            </w:r>
          </w:p>
        </w:tc>
      </w:tr>
      <w:tr w:rsidR="001D4AFA" w:rsidRPr="00364545" w14:paraId="547E3C17"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FFD7F71"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78" w:type="dxa"/>
            <w:tcBorders>
              <w:top w:val="nil"/>
              <w:left w:val="nil"/>
              <w:bottom w:val="single" w:sz="4" w:space="0" w:color="auto"/>
              <w:right w:val="single" w:sz="4" w:space="0" w:color="auto"/>
            </w:tcBorders>
            <w:shd w:val="clear" w:color="000000" w:fill="FFFFFF"/>
            <w:noWrap/>
            <w:vAlign w:val="bottom"/>
            <w:hideMark/>
          </w:tcPr>
          <w:p w14:paraId="3B0F09DD" w14:textId="77777777" w:rsidR="001D4AFA" w:rsidRPr="009F2D1E" w:rsidRDefault="001D4AFA" w:rsidP="009F2D1E">
            <w:pPr>
              <w:jc w:val="right"/>
              <w:rPr>
                <w:rFonts w:ascii="Times New Roman" w:hAnsi="Times New Roman"/>
                <w:sz w:val="14"/>
                <w:szCs w:val="14"/>
              </w:rPr>
            </w:pPr>
            <w:r w:rsidRPr="009F2D1E">
              <w:rPr>
                <w:sz w:val="14"/>
                <w:szCs w:val="14"/>
              </w:rPr>
              <w:t>2096,99</w:t>
            </w:r>
          </w:p>
        </w:tc>
        <w:tc>
          <w:tcPr>
            <w:tcW w:w="1192" w:type="dxa"/>
            <w:tcBorders>
              <w:top w:val="nil"/>
              <w:left w:val="nil"/>
              <w:bottom w:val="single" w:sz="4" w:space="0" w:color="auto"/>
              <w:right w:val="single" w:sz="4" w:space="0" w:color="auto"/>
            </w:tcBorders>
            <w:shd w:val="clear" w:color="000000" w:fill="FFFFFF"/>
            <w:noWrap/>
            <w:vAlign w:val="bottom"/>
            <w:hideMark/>
          </w:tcPr>
          <w:p w14:paraId="4AFA27D8" w14:textId="77777777" w:rsidR="001D4AFA" w:rsidRPr="009F2D1E" w:rsidRDefault="001D4AFA" w:rsidP="009F2D1E">
            <w:pPr>
              <w:jc w:val="right"/>
              <w:rPr>
                <w:rFonts w:ascii="Times New Roman" w:hAnsi="Times New Roman"/>
                <w:sz w:val="14"/>
                <w:szCs w:val="14"/>
              </w:rPr>
            </w:pPr>
            <w:r w:rsidRPr="009F2D1E">
              <w:rPr>
                <w:sz w:val="14"/>
                <w:szCs w:val="14"/>
              </w:rPr>
              <w:t>2665,75</w:t>
            </w:r>
          </w:p>
        </w:tc>
        <w:tc>
          <w:tcPr>
            <w:tcW w:w="1178" w:type="dxa"/>
            <w:tcBorders>
              <w:top w:val="nil"/>
              <w:left w:val="nil"/>
              <w:bottom w:val="single" w:sz="4" w:space="0" w:color="auto"/>
              <w:right w:val="single" w:sz="4" w:space="0" w:color="auto"/>
            </w:tcBorders>
            <w:shd w:val="clear" w:color="000000" w:fill="FFFFFF"/>
            <w:noWrap/>
            <w:vAlign w:val="bottom"/>
            <w:hideMark/>
          </w:tcPr>
          <w:p w14:paraId="79D76B06" w14:textId="77777777" w:rsidR="001D4AFA" w:rsidRPr="009F2D1E" w:rsidRDefault="001D4AFA" w:rsidP="009F2D1E">
            <w:pPr>
              <w:jc w:val="right"/>
              <w:rPr>
                <w:rFonts w:ascii="Times New Roman" w:hAnsi="Times New Roman"/>
                <w:sz w:val="14"/>
                <w:szCs w:val="14"/>
              </w:rPr>
            </w:pPr>
            <w:r w:rsidRPr="009F2D1E">
              <w:rPr>
                <w:sz w:val="14"/>
                <w:szCs w:val="14"/>
              </w:rPr>
              <w:t>2875,16</w:t>
            </w:r>
          </w:p>
        </w:tc>
        <w:tc>
          <w:tcPr>
            <w:tcW w:w="1164" w:type="dxa"/>
            <w:tcBorders>
              <w:top w:val="nil"/>
              <w:left w:val="nil"/>
              <w:bottom w:val="single" w:sz="4" w:space="0" w:color="auto"/>
              <w:right w:val="single" w:sz="4" w:space="0" w:color="auto"/>
            </w:tcBorders>
            <w:shd w:val="clear" w:color="000000" w:fill="FFFFFF"/>
            <w:noWrap/>
            <w:vAlign w:val="bottom"/>
            <w:hideMark/>
          </w:tcPr>
          <w:p w14:paraId="5831B20D" w14:textId="77777777" w:rsidR="001D4AFA" w:rsidRPr="009F2D1E" w:rsidRDefault="001D4AFA" w:rsidP="009F2D1E">
            <w:pPr>
              <w:jc w:val="right"/>
              <w:rPr>
                <w:rFonts w:ascii="Times New Roman" w:hAnsi="Times New Roman"/>
                <w:sz w:val="14"/>
                <w:szCs w:val="14"/>
              </w:rPr>
            </w:pPr>
            <w:r w:rsidRPr="009F2D1E">
              <w:rPr>
                <w:sz w:val="14"/>
                <w:szCs w:val="14"/>
              </w:rPr>
              <w:t>2875,18</w:t>
            </w:r>
          </w:p>
        </w:tc>
        <w:tc>
          <w:tcPr>
            <w:tcW w:w="1193" w:type="dxa"/>
            <w:tcBorders>
              <w:top w:val="nil"/>
              <w:left w:val="nil"/>
              <w:bottom w:val="single" w:sz="4" w:space="0" w:color="auto"/>
              <w:right w:val="single" w:sz="4" w:space="0" w:color="auto"/>
            </w:tcBorders>
            <w:shd w:val="clear" w:color="000000" w:fill="FFFFFF"/>
            <w:noWrap/>
            <w:vAlign w:val="bottom"/>
            <w:hideMark/>
          </w:tcPr>
          <w:p w14:paraId="058873B8" w14:textId="77777777" w:rsidR="001D4AFA" w:rsidRPr="009F2D1E" w:rsidRDefault="001D4AFA" w:rsidP="009F2D1E">
            <w:pPr>
              <w:jc w:val="right"/>
              <w:rPr>
                <w:rFonts w:ascii="Times New Roman" w:hAnsi="Times New Roman"/>
                <w:sz w:val="14"/>
                <w:szCs w:val="14"/>
              </w:rPr>
            </w:pPr>
            <w:r w:rsidRPr="009F2D1E">
              <w:rPr>
                <w:sz w:val="14"/>
                <w:szCs w:val="14"/>
              </w:rPr>
              <w:t>2625,95</w:t>
            </w:r>
          </w:p>
        </w:tc>
        <w:tc>
          <w:tcPr>
            <w:tcW w:w="1179" w:type="dxa"/>
            <w:tcBorders>
              <w:top w:val="nil"/>
              <w:left w:val="nil"/>
              <w:bottom w:val="single" w:sz="4" w:space="0" w:color="auto"/>
              <w:right w:val="single" w:sz="4" w:space="0" w:color="auto"/>
            </w:tcBorders>
            <w:shd w:val="clear" w:color="000000" w:fill="FFFFFF"/>
            <w:vAlign w:val="bottom"/>
          </w:tcPr>
          <w:p w14:paraId="5ECC08E6" w14:textId="77777777" w:rsidR="001D4AFA" w:rsidRPr="009F2D1E" w:rsidRDefault="001D4AFA" w:rsidP="009F2D1E">
            <w:pPr>
              <w:jc w:val="right"/>
              <w:rPr>
                <w:rFonts w:ascii="Times New Roman" w:hAnsi="Times New Roman"/>
                <w:sz w:val="14"/>
                <w:szCs w:val="14"/>
              </w:rPr>
            </w:pPr>
            <w:r w:rsidRPr="009F2D1E">
              <w:rPr>
                <w:sz w:val="14"/>
                <w:szCs w:val="14"/>
              </w:rPr>
              <w:t>2648,17</w:t>
            </w:r>
          </w:p>
        </w:tc>
      </w:tr>
      <w:tr w:rsidR="001D4AFA" w:rsidRPr="00364545" w14:paraId="2E0765A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9D424B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78" w:type="dxa"/>
            <w:tcBorders>
              <w:top w:val="nil"/>
              <w:left w:val="nil"/>
              <w:bottom w:val="single" w:sz="4" w:space="0" w:color="auto"/>
              <w:right w:val="single" w:sz="4" w:space="0" w:color="auto"/>
            </w:tcBorders>
            <w:shd w:val="clear" w:color="000000" w:fill="CCFFFF"/>
            <w:noWrap/>
            <w:vAlign w:val="bottom"/>
            <w:hideMark/>
          </w:tcPr>
          <w:p w14:paraId="2A91123D" w14:textId="77777777" w:rsidR="001D4AFA" w:rsidRPr="009F2D1E" w:rsidRDefault="001D4AFA" w:rsidP="009F2D1E">
            <w:pPr>
              <w:jc w:val="right"/>
              <w:rPr>
                <w:rFonts w:ascii="Times New Roman" w:hAnsi="Times New Roman"/>
                <w:sz w:val="14"/>
                <w:szCs w:val="14"/>
              </w:rPr>
            </w:pPr>
            <w:r w:rsidRPr="009F2D1E">
              <w:rPr>
                <w:sz w:val="14"/>
                <w:szCs w:val="14"/>
              </w:rPr>
              <w:t>4260,02</w:t>
            </w:r>
          </w:p>
        </w:tc>
        <w:tc>
          <w:tcPr>
            <w:tcW w:w="1192" w:type="dxa"/>
            <w:tcBorders>
              <w:top w:val="nil"/>
              <w:left w:val="nil"/>
              <w:bottom w:val="single" w:sz="4" w:space="0" w:color="auto"/>
              <w:right w:val="single" w:sz="4" w:space="0" w:color="auto"/>
            </w:tcBorders>
            <w:shd w:val="clear" w:color="000000" w:fill="CCFFFF"/>
            <w:noWrap/>
            <w:vAlign w:val="bottom"/>
            <w:hideMark/>
          </w:tcPr>
          <w:p w14:paraId="1A7589E0" w14:textId="77777777" w:rsidR="001D4AFA" w:rsidRPr="009F2D1E" w:rsidRDefault="001D4AFA" w:rsidP="009F2D1E">
            <w:pPr>
              <w:jc w:val="right"/>
              <w:rPr>
                <w:rFonts w:ascii="Times New Roman" w:hAnsi="Times New Roman"/>
                <w:sz w:val="14"/>
                <w:szCs w:val="14"/>
              </w:rPr>
            </w:pPr>
            <w:r w:rsidRPr="009F2D1E">
              <w:rPr>
                <w:sz w:val="14"/>
                <w:szCs w:val="14"/>
              </w:rPr>
              <w:t>4012,06</w:t>
            </w:r>
          </w:p>
        </w:tc>
        <w:tc>
          <w:tcPr>
            <w:tcW w:w="1178" w:type="dxa"/>
            <w:tcBorders>
              <w:top w:val="nil"/>
              <w:left w:val="nil"/>
              <w:bottom w:val="single" w:sz="4" w:space="0" w:color="auto"/>
              <w:right w:val="single" w:sz="4" w:space="0" w:color="auto"/>
            </w:tcBorders>
            <w:shd w:val="clear" w:color="000000" w:fill="CCFFFF"/>
            <w:noWrap/>
            <w:vAlign w:val="bottom"/>
            <w:hideMark/>
          </w:tcPr>
          <w:p w14:paraId="2A371671" w14:textId="77777777" w:rsidR="001D4AFA" w:rsidRPr="009F2D1E" w:rsidRDefault="001D4AFA" w:rsidP="009F2D1E">
            <w:pPr>
              <w:jc w:val="right"/>
              <w:rPr>
                <w:rFonts w:ascii="Times New Roman" w:hAnsi="Times New Roman"/>
                <w:sz w:val="14"/>
                <w:szCs w:val="14"/>
              </w:rPr>
            </w:pPr>
            <w:r w:rsidRPr="009F2D1E">
              <w:rPr>
                <w:sz w:val="14"/>
                <w:szCs w:val="14"/>
              </w:rPr>
              <w:t>3973,05</w:t>
            </w:r>
          </w:p>
        </w:tc>
        <w:tc>
          <w:tcPr>
            <w:tcW w:w="1164" w:type="dxa"/>
            <w:tcBorders>
              <w:top w:val="nil"/>
              <w:left w:val="nil"/>
              <w:bottom w:val="single" w:sz="4" w:space="0" w:color="auto"/>
              <w:right w:val="single" w:sz="4" w:space="0" w:color="auto"/>
            </w:tcBorders>
            <w:shd w:val="clear" w:color="000000" w:fill="CCFFFF"/>
            <w:noWrap/>
            <w:vAlign w:val="bottom"/>
            <w:hideMark/>
          </w:tcPr>
          <w:p w14:paraId="1E64AC25" w14:textId="77777777" w:rsidR="001D4AFA" w:rsidRPr="009F2D1E" w:rsidRDefault="001D4AFA" w:rsidP="009F2D1E">
            <w:pPr>
              <w:jc w:val="right"/>
              <w:rPr>
                <w:rFonts w:ascii="Times New Roman" w:hAnsi="Times New Roman"/>
                <w:sz w:val="14"/>
                <w:szCs w:val="14"/>
              </w:rPr>
            </w:pPr>
            <w:r w:rsidRPr="009F2D1E">
              <w:rPr>
                <w:sz w:val="14"/>
                <w:szCs w:val="14"/>
              </w:rPr>
              <w:t>4003,86</w:t>
            </w:r>
          </w:p>
        </w:tc>
        <w:tc>
          <w:tcPr>
            <w:tcW w:w="1193" w:type="dxa"/>
            <w:tcBorders>
              <w:top w:val="nil"/>
              <w:left w:val="nil"/>
              <w:bottom w:val="single" w:sz="4" w:space="0" w:color="auto"/>
              <w:right w:val="single" w:sz="4" w:space="0" w:color="auto"/>
            </w:tcBorders>
            <w:shd w:val="clear" w:color="000000" w:fill="CCFFFF"/>
            <w:noWrap/>
            <w:vAlign w:val="bottom"/>
            <w:hideMark/>
          </w:tcPr>
          <w:p w14:paraId="172CB8AC" w14:textId="77777777" w:rsidR="001D4AFA" w:rsidRPr="009F2D1E" w:rsidRDefault="001D4AFA" w:rsidP="009F2D1E">
            <w:pPr>
              <w:jc w:val="right"/>
              <w:rPr>
                <w:rFonts w:ascii="Times New Roman" w:hAnsi="Times New Roman"/>
                <w:sz w:val="14"/>
                <w:szCs w:val="14"/>
              </w:rPr>
            </w:pPr>
            <w:r w:rsidRPr="009F2D1E">
              <w:rPr>
                <w:sz w:val="14"/>
                <w:szCs w:val="14"/>
              </w:rPr>
              <w:t>4009,24</w:t>
            </w:r>
          </w:p>
        </w:tc>
        <w:tc>
          <w:tcPr>
            <w:tcW w:w="1179" w:type="dxa"/>
            <w:tcBorders>
              <w:top w:val="nil"/>
              <w:left w:val="nil"/>
              <w:bottom w:val="single" w:sz="4" w:space="0" w:color="auto"/>
              <w:right w:val="single" w:sz="4" w:space="0" w:color="auto"/>
            </w:tcBorders>
            <w:shd w:val="clear" w:color="000000" w:fill="CCFFFF"/>
            <w:vAlign w:val="bottom"/>
          </w:tcPr>
          <w:p w14:paraId="29B55EED" w14:textId="77777777" w:rsidR="001D4AFA" w:rsidRPr="009F2D1E" w:rsidRDefault="001D4AFA" w:rsidP="009F2D1E">
            <w:pPr>
              <w:jc w:val="right"/>
              <w:rPr>
                <w:rFonts w:ascii="Times New Roman" w:hAnsi="Times New Roman"/>
                <w:sz w:val="14"/>
                <w:szCs w:val="14"/>
              </w:rPr>
            </w:pPr>
            <w:r w:rsidRPr="009F2D1E">
              <w:rPr>
                <w:sz w:val="14"/>
                <w:szCs w:val="14"/>
              </w:rPr>
              <w:t>4317,18</w:t>
            </w:r>
          </w:p>
        </w:tc>
      </w:tr>
      <w:tr w:rsidR="001D4AFA" w:rsidRPr="00364545" w14:paraId="7C52DAF1"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CD4141B"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78" w:type="dxa"/>
            <w:tcBorders>
              <w:top w:val="nil"/>
              <w:left w:val="nil"/>
              <w:bottom w:val="single" w:sz="4" w:space="0" w:color="auto"/>
              <w:right w:val="single" w:sz="4" w:space="0" w:color="auto"/>
            </w:tcBorders>
            <w:shd w:val="clear" w:color="000000" w:fill="FFFFFF"/>
            <w:noWrap/>
            <w:vAlign w:val="bottom"/>
            <w:hideMark/>
          </w:tcPr>
          <w:p w14:paraId="1F14387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65C7BD7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3ABB946F"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493A2DE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57FEFC7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79" w:type="dxa"/>
            <w:tcBorders>
              <w:top w:val="nil"/>
              <w:left w:val="nil"/>
              <w:bottom w:val="single" w:sz="4" w:space="0" w:color="auto"/>
              <w:right w:val="single" w:sz="4" w:space="0" w:color="auto"/>
            </w:tcBorders>
            <w:shd w:val="clear" w:color="000000" w:fill="FFFFFF"/>
            <w:vAlign w:val="bottom"/>
          </w:tcPr>
          <w:p w14:paraId="6C290287"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14C0D62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1A650F5"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78" w:type="dxa"/>
            <w:tcBorders>
              <w:top w:val="nil"/>
              <w:left w:val="nil"/>
              <w:bottom w:val="single" w:sz="4" w:space="0" w:color="auto"/>
              <w:right w:val="single" w:sz="4" w:space="0" w:color="auto"/>
            </w:tcBorders>
            <w:shd w:val="clear" w:color="000000" w:fill="FFFFFF"/>
            <w:noWrap/>
            <w:vAlign w:val="bottom"/>
            <w:hideMark/>
          </w:tcPr>
          <w:p w14:paraId="347C6ECB" w14:textId="77777777" w:rsidR="001D4AFA" w:rsidRPr="009F2D1E" w:rsidRDefault="001D4AFA" w:rsidP="009F2D1E">
            <w:pPr>
              <w:jc w:val="right"/>
              <w:rPr>
                <w:rFonts w:ascii="Times New Roman" w:hAnsi="Times New Roman"/>
                <w:sz w:val="14"/>
                <w:szCs w:val="14"/>
              </w:rPr>
            </w:pPr>
            <w:r w:rsidRPr="009F2D1E">
              <w:rPr>
                <w:sz w:val="14"/>
                <w:szCs w:val="14"/>
              </w:rPr>
              <w:t>4260,02</w:t>
            </w:r>
          </w:p>
        </w:tc>
        <w:tc>
          <w:tcPr>
            <w:tcW w:w="1192" w:type="dxa"/>
            <w:tcBorders>
              <w:top w:val="nil"/>
              <w:left w:val="nil"/>
              <w:bottom w:val="single" w:sz="4" w:space="0" w:color="auto"/>
              <w:right w:val="single" w:sz="4" w:space="0" w:color="auto"/>
            </w:tcBorders>
            <w:shd w:val="clear" w:color="000000" w:fill="FFFFFF"/>
            <w:noWrap/>
            <w:vAlign w:val="bottom"/>
            <w:hideMark/>
          </w:tcPr>
          <w:p w14:paraId="24B32688" w14:textId="77777777" w:rsidR="001D4AFA" w:rsidRPr="009F2D1E" w:rsidRDefault="001D4AFA" w:rsidP="009F2D1E">
            <w:pPr>
              <w:jc w:val="right"/>
              <w:rPr>
                <w:rFonts w:ascii="Times New Roman" w:hAnsi="Times New Roman"/>
                <w:sz w:val="14"/>
                <w:szCs w:val="14"/>
              </w:rPr>
            </w:pPr>
            <w:r w:rsidRPr="009F2D1E">
              <w:rPr>
                <w:sz w:val="14"/>
                <w:szCs w:val="14"/>
              </w:rPr>
              <w:t>4012,06</w:t>
            </w:r>
          </w:p>
        </w:tc>
        <w:tc>
          <w:tcPr>
            <w:tcW w:w="1178" w:type="dxa"/>
            <w:tcBorders>
              <w:top w:val="nil"/>
              <w:left w:val="nil"/>
              <w:bottom w:val="single" w:sz="4" w:space="0" w:color="auto"/>
              <w:right w:val="single" w:sz="4" w:space="0" w:color="auto"/>
            </w:tcBorders>
            <w:shd w:val="clear" w:color="000000" w:fill="FFFFFF"/>
            <w:noWrap/>
            <w:vAlign w:val="bottom"/>
            <w:hideMark/>
          </w:tcPr>
          <w:p w14:paraId="07D9FF82" w14:textId="77777777" w:rsidR="001D4AFA" w:rsidRPr="009F2D1E" w:rsidRDefault="001D4AFA" w:rsidP="009F2D1E">
            <w:pPr>
              <w:jc w:val="right"/>
              <w:rPr>
                <w:rFonts w:ascii="Times New Roman" w:hAnsi="Times New Roman"/>
                <w:sz w:val="14"/>
                <w:szCs w:val="14"/>
              </w:rPr>
            </w:pPr>
            <w:r w:rsidRPr="009F2D1E">
              <w:rPr>
                <w:sz w:val="14"/>
                <w:szCs w:val="14"/>
              </w:rPr>
              <w:t>3973,05</w:t>
            </w:r>
          </w:p>
        </w:tc>
        <w:tc>
          <w:tcPr>
            <w:tcW w:w="1164" w:type="dxa"/>
            <w:tcBorders>
              <w:top w:val="nil"/>
              <w:left w:val="nil"/>
              <w:bottom w:val="single" w:sz="4" w:space="0" w:color="auto"/>
              <w:right w:val="single" w:sz="4" w:space="0" w:color="auto"/>
            </w:tcBorders>
            <w:shd w:val="clear" w:color="000000" w:fill="FFFFFF"/>
            <w:noWrap/>
            <w:vAlign w:val="bottom"/>
            <w:hideMark/>
          </w:tcPr>
          <w:p w14:paraId="512BD85F" w14:textId="77777777" w:rsidR="001D4AFA" w:rsidRPr="009F2D1E" w:rsidRDefault="001D4AFA" w:rsidP="009F2D1E">
            <w:pPr>
              <w:jc w:val="right"/>
              <w:rPr>
                <w:rFonts w:ascii="Times New Roman" w:hAnsi="Times New Roman"/>
                <w:sz w:val="14"/>
                <w:szCs w:val="14"/>
              </w:rPr>
            </w:pPr>
            <w:r w:rsidRPr="009F2D1E">
              <w:rPr>
                <w:sz w:val="14"/>
                <w:szCs w:val="14"/>
              </w:rPr>
              <w:t>4003,86</w:t>
            </w:r>
          </w:p>
        </w:tc>
        <w:tc>
          <w:tcPr>
            <w:tcW w:w="1193" w:type="dxa"/>
            <w:tcBorders>
              <w:top w:val="nil"/>
              <w:left w:val="nil"/>
              <w:bottom w:val="single" w:sz="4" w:space="0" w:color="auto"/>
              <w:right w:val="single" w:sz="4" w:space="0" w:color="auto"/>
            </w:tcBorders>
            <w:shd w:val="clear" w:color="000000" w:fill="FFFFFF"/>
            <w:noWrap/>
            <w:vAlign w:val="bottom"/>
            <w:hideMark/>
          </w:tcPr>
          <w:p w14:paraId="1A188C8E" w14:textId="77777777" w:rsidR="001D4AFA" w:rsidRPr="009F2D1E" w:rsidRDefault="001D4AFA" w:rsidP="009F2D1E">
            <w:pPr>
              <w:jc w:val="right"/>
              <w:rPr>
                <w:rFonts w:ascii="Times New Roman" w:hAnsi="Times New Roman"/>
                <w:sz w:val="14"/>
                <w:szCs w:val="14"/>
              </w:rPr>
            </w:pPr>
            <w:r w:rsidRPr="009F2D1E">
              <w:rPr>
                <w:sz w:val="14"/>
                <w:szCs w:val="14"/>
              </w:rPr>
              <w:t>4009,24</w:t>
            </w:r>
          </w:p>
        </w:tc>
        <w:tc>
          <w:tcPr>
            <w:tcW w:w="1179" w:type="dxa"/>
            <w:tcBorders>
              <w:top w:val="nil"/>
              <w:left w:val="nil"/>
              <w:bottom w:val="single" w:sz="4" w:space="0" w:color="auto"/>
              <w:right w:val="single" w:sz="4" w:space="0" w:color="auto"/>
            </w:tcBorders>
            <w:shd w:val="clear" w:color="000000" w:fill="FFFFFF"/>
            <w:vAlign w:val="bottom"/>
          </w:tcPr>
          <w:p w14:paraId="3AD4E779" w14:textId="77777777" w:rsidR="001D4AFA" w:rsidRPr="009F2D1E" w:rsidRDefault="001D4AFA" w:rsidP="009F2D1E">
            <w:pPr>
              <w:jc w:val="right"/>
              <w:rPr>
                <w:rFonts w:ascii="Times New Roman" w:hAnsi="Times New Roman"/>
                <w:sz w:val="14"/>
                <w:szCs w:val="14"/>
              </w:rPr>
            </w:pPr>
            <w:r w:rsidRPr="009F2D1E">
              <w:rPr>
                <w:sz w:val="14"/>
                <w:szCs w:val="14"/>
              </w:rPr>
              <w:t>4317,18</w:t>
            </w:r>
          </w:p>
        </w:tc>
      </w:tr>
      <w:tr w:rsidR="001D4AFA" w:rsidRPr="00364545" w14:paraId="0E74C39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4E4CE7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78" w:type="dxa"/>
            <w:tcBorders>
              <w:top w:val="nil"/>
              <w:left w:val="nil"/>
              <w:bottom w:val="single" w:sz="4" w:space="0" w:color="auto"/>
              <w:right w:val="single" w:sz="4" w:space="0" w:color="auto"/>
            </w:tcBorders>
            <w:shd w:val="clear" w:color="000000" w:fill="FFFFFF"/>
            <w:noWrap/>
            <w:vAlign w:val="bottom"/>
            <w:hideMark/>
          </w:tcPr>
          <w:p w14:paraId="18D28B5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6037909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4EB20B5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1F696AA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2A2CAFE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0F641B37"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1E1189B8"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080D4B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2. Industrial Processes</w:t>
            </w:r>
          </w:p>
        </w:tc>
        <w:tc>
          <w:tcPr>
            <w:tcW w:w="1178" w:type="dxa"/>
            <w:tcBorders>
              <w:top w:val="nil"/>
              <w:left w:val="nil"/>
              <w:bottom w:val="single" w:sz="4" w:space="0" w:color="auto"/>
              <w:right w:val="single" w:sz="4" w:space="0" w:color="auto"/>
            </w:tcBorders>
            <w:shd w:val="clear" w:color="000000" w:fill="CCFFFF"/>
            <w:noWrap/>
            <w:vAlign w:val="bottom"/>
            <w:hideMark/>
          </w:tcPr>
          <w:p w14:paraId="596E6925" w14:textId="77777777" w:rsidR="001D4AFA" w:rsidRPr="009F2D1E" w:rsidRDefault="001D4AFA" w:rsidP="009F2D1E">
            <w:pPr>
              <w:jc w:val="right"/>
              <w:rPr>
                <w:rFonts w:ascii="Times New Roman" w:hAnsi="Times New Roman"/>
                <w:sz w:val="14"/>
                <w:szCs w:val="14"/>
              </w:rPr>
            </w:pPr>
            <w:r w:rsidRPr="009F2D1E">
              <w:rPr>
                <w:sz w:val="14"/>
                <w:szCs w:val="14"/>
              </w:rPr>
              <w:t>39133,64</w:t>
            </w:r>
          </w:p>
        </w:tc>
        <w:tc>
          <w:tcPr>
            <w:tcW w:w="1192" w:type="dxa"/>
            <w:tcBorders>
              <w:top w:val="nil"/>
              <w:left w:val="nil"/>
              <w:bottom w:val="single" w:sz="4" w:space="0" w:color="auto"/>
              <w:right w:val="single" w:sz="4" w:space="0" w:color="auto"/>
            </w:tcBorders>
            <w:shd w:val="clear" w:color="000000" w:fill="CCFFFF"/>
            <w:noWrap/>
            <w:vAlign w:val="bottom"/>
            <w:hideMark/>
          </w:tcPr>
          <w:p w14:paraId="7BC48E66" w14:textId="77777777" w:rsidR="001D4AFA" w:rsidRPr="009F2D1E" w:rsidRDefault="001D4AFA" w:rsidP="009F2D1E">
            <w:pPr>
              <w:jc w:val="right"/>
              <w:rPr>
                <w:rFonts w:ascii="Times New Roman" w:hAnsi="Times New Roman"/>
                <w:sz w:val="14"/>
                <w:szCs w:val="14"/>
              </w:rPr>
            </w:pPr>
            <w:r w:rsidRPr="009F2D1E">
              <w:rPr>
                <w:sz w:val="14"/>
                <w:szCs w:val="14"/>
              </w:rPr>
              <w:t>39773,19</w:t>
            </w:r>
          </w:p>
        </w:tc>
        <w:tc>
          <w:tcPr>
            <w:tcW w:w="1178" w:type="dxa"/>
            <w:tcBorders>
              <w:top w:val="nil"/>
              <w:left w:val="nil"/>
              <w:bottom w:val="single" w:sz="4" w:space="0" w:color="auto"/>
              <w:right w:val="single" w:sz="4" w:space="0" w:color="auto"/>
            </w:tcBorders>
            <w:shd w:val="clear" w:color="000000" w:fill="CCFFFF"/>
            <w:noWrap/>
            <w:vAlign w:val="bottom"/>
            <w:hideMark/>
          </w:tcPr>
          <w:p w14:paraId="3E97D6B7" w14:textId="77777777" w:rsidR="001D4AFA" w:rsidRPr="009F2D1E" w:rsidRDefault="001D4AFA" w:rsidP="009F2D1E">
            <w:pPr>
              <w:jc w:val="right"/>
              <w:rPr>
                <w:rFonts w:ascii="Times New Roman" w:hAnsi="Times New Roman"/>
                <w:sz w:val="14"/>
                <w:szCs w:val="14"/>
              </w:rPr>
            </w:pPr>
            <w:r w:rsidRPr="009F2D1E">
              <w:rPr>
                <w:sz w:val="14"/>
                <w:szCs w:val="14"/>
              </w:rPr>
              <w:t>38640,41</w:t>
            </w:r>
          </w:p>
        </w:tc>
        <w:tc>
          <w:tcPr>
            <w:tcW w:w="1164" w:type="dxa"/>
            <w:tcBorders>
              <w:top w:val="nil"/>
              <w:left w:val="nil"/>
              <w:bottom w:val="single" w:sz="4" w:space="0" w:color="auto"/>
              <w:right w:val="single" w:sz="4" w:space="0" w:color="auto"/>
            </w:tcBorders>
            <w:shd w:val="clear" w:color="000000" w:fill="CCFFFF"/>
            <w:noWrap/>
            <w:vAlign w:val="bottom"/>
            <w:hideMark/>
          </w:tcPr>
          <w:p w14:paraId="62150777" w14:textId="77777777" w:rsidR="001D4AFA" w:rsidRPr="009F2D1E" w:rsidRDefault="001D4AFA" w:rsidP="009F2D1E">
            <w:pPr>
              <w:jc w:val="right"/>
              <w:rPr>
                <w:rFonts w:ascii="Times New Roman" w:hAnsi="Times New Roman"/>
                <w:sz w:val="14"/>
                <w:szCs w:val="14"/>
              </w:rPr>
            </w:pPr>
            <w:r w:rsidRPr="009F2D1E">
              <w:rPr>
                <w:sz w:val="14"/>
                <w:szCs w:val="14"/>
              </w:rPr>
              <w:t>40597,36</w:t>
            </w:r>
          </w:p>
        </w:tc>
        <w:tc>
          <w:tcPr>
            <w:tcW w:w="1193" w:type="dxa"/>
            <w:tcBorders>
              <w:top w:val="nil"/>
              <w:left w:val="nil"/>
              <w:bottom w:val="single" w:sz="4" w:space="0" w:color="auto"/>
              <w:right w:val="single" w:sz="4" w:space="0" w:color="auto"/>
            </w:tcBorders>
            <w:shd w:val="clear" w:color="000000" w:fill="CCFFFF"/>
            <w:noWrap/>
            <w:vAlign w:val="bottom"/>
            <w:hideMark/>
          </w:tcPr>
          <w:p w14:paraId="5BCC4A07" w14:textId="77777777" w:rsidR="001D4AFA" w:rsidRPr="009F2D1E" w:rsidRDefault="001D4AFA" w:rsidP="009F2D1E">
            <w:pPr>
              <w:jc w:val="right"/>
              <w:rPr>
                <w:rFonts w:ascii="Times New Roman" w:hAnsi="Times New Roman"/>
                <w:sz w:val="14"/>
                <w:szCs w:val="14"/>
              </w:rPr>
            </w:pPr>
            <w:r w:rsidRPr="009F2D1E">
              <w:rPr>
                <w:sz w:val="14"/>
                <w:szCs w:val="14"/>
              </w:rPr>
              <w:t>40643,84</w:t>
            </w:r>
          </w:p>
        </w:tc>
        <w:tc>
          <w:tcPr>
            <w:tcW w:w="1179" w:type="dxa"/>
            <w:tcBorders>
              <w:top w:val="nil"/>
              <w:left w:val="nil"/>
              <w:bottom w:val="single" w:sz="4" w:space="0" w:color="auto"/>
              <w:right w:val="single" w:sz="4" w:space="0" w:color="auto"/>
            </w:tcBorders>
            <w:shd w:val="clear" w:color="000000" w:fill="CCFFFF"/>
            <w:vAlign w:val="bottom"/>
          </w:tcPr>
          <w:p w14:paraId="4740DAAA" w14:textId="77777777" w:rsidR="001D4AFA" w:rsidRPr="009F2D1E" w:rsidRDefault="001D4AFA" w:rsidP="009F2D1E">
            <w:pPr>
              <w:jc w:val="right"/>
              <w:rPr>
                <w:rFonts w:ascii="Times New Roman" w:hAnsi="Times New Roman"/>
                <w:sz w:val="14"/>
                <w:szCs w:val="14"/>
              </w:rPr>
            </w:pPr>
            <w:r w:rsidRPr="009F2D1E">
              <w:rPr>
                <w:sz w:val="14"/>
                <w:szCs w:val="14"/>
              </w:rPr>
              <w:t>41947,51</w:t>
            </w:r>
          </w:p>
        </w:tc>
      </w:tr>
      <w:tr w:rsidR="001D4AFA" w:rsidRPr="00364545" w14:paraId="4335AA6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1DD292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3C8026FD" w14:textId="77777777" w:rsidR="001D4AFA" w:rsidRPr="009F2D1E" w:rsidRDefault="001D4AFA" w:rsidP="009F2D1E">
            <w:pPr>
              <w:jc w:val="right"/>
              <w:rPr>
                <w:rFonts w:ascii="Times New Roman" w:hAnsi="Times New Roman"/>
                <w:sz w:val="14"/>
                <w:szCs w:val="14"/>
              </w:rPr>
            </w:pPr>
            <w:r w:rsidRPr="009F2D1E">
              <w:rPr>
                <w:sz w:val="14"/>
                <w:szCs w:val="14"/>
              </w:rPr>
              <w:t>12311,25</w:t>
            </w:r>
          </w:p>
        </w:tc>
        <w:tc>
          <w:tcPr>
            <w:tcW w:w="1192" w:type="dxa"/>
            <w:tcBorders>
              <w:top w:val="nil"/>
              <w:left w:val="nil"/>
              <w:bottom w:val="single" w:sz="4" w:space="0" w:color="auto"/>
              <w:right w:val="single" w:sz="4" w:space="0" w:color="auto"/>
            </w:tcBorders>
            <w:shd w:val="clear" w:color="000000" w:fill="FFFFFF"/>
            <w:noWrap/>
            <w:vAlign w:val="bottom"/>
            <w:hideMark/>
          </w:tcPr>
          <w:p w14:paraId="1B649ABE" w14:textId="77777777" w:rsidR="001D4AFA" w:rsidRPr="009F2D1E" w:rsidRDefault="001D4AFA" w:rsidP="009F2D1E">
            <w:pPr>
              <w:jc w:val="right"/>
              <w:rPr>
                <w:rFonts w:ascii="Times New Roman" w:hAnsi="Times New Roman"/>
                <w:sz w:val="14"/>
                <w:szCs w:val="14"/>
              </w:rPr>
            </w:pPr>
            <w:r w:rsidRPr="009F2D1E">
              <w:rPr>
                <w:sz w:val="14"/>
                <w:szCs w:val="14"/>
              </w:rPr>
              <w:t>12313,97</w:t>
            </w:r>
          </w:p>
        </w:tc>
        <w:tc>
          <w:tcPr>
            <w:tcW w:w="1178" w:type="dxa"/>
            <w:tcBorders>
              <w:top w:val="nil"/>
              <w:left w:val="nil"/>
              <w:bottom w:val="single" w:sz="4" w:space="0" w:color="auto"/>
              <w:right w:val="single" w:sz="4" w:space="0" w:color="auto"/>
            </w:tcBorders>
            <w:shd w:val="clear" w:color="000000" w:fill="FFFFFF"/>
            <w:noWrap/>
            <w:vAlign w:val="bottom"/>
            <w:hideMark/>
          </w:tcPr>
          <w:p w14:paraId="7D9134E6" w14:textId="77777777" w:rsidR="001D4AFA" w:rsidRPr="009F2D1E" w:rsidRDefault="001D4AFA" w:rsidP="009F2D1E">
            <w:pPr>
              <w:jc w:val="right"/>
              <w:rPr>
                <w:rFonts w:ascii="Times New Roman" w:hAnsi="Times New Roman"/>
                <w:sz w:val="14"/>
                <w:szCs w:val="14"/>
              </w:rPr>
            </w:pPr>
            <w:r w:rsidRPr="009F2D1E">
              <w:rPr>
                <w:sz w:val="14"/>
                <w:szCs w:val="14"/>
              </w:rPr>
              <w:t>12172,73</w:t>
            </w:r>
          </w:p>
        </w:tc>
        <w:tc>
          <w:tcPr>
            <w:tcW w:w="1164" w:type="dxa"/>
            <w:tcBorders>
              <w:top w:val="nil"/>
              <w:left w:val="nil"/>
              <w:bottom w:val="single" w:sz="4" w:space="0" w:color="auto"/>
              <w:right w:val="single" w:sz="4" w:space="0" w:color="auto"/>
            </w:tcBorders>
            <w:shd w:val="clear" w:color="000000" w:fill="FFFFFF"/>
            <w:noWrap/>
            <w:vAlign w:val="bottom"/>
            <w:hideMark/>
          </w:tcPr>
          <w:p w14:paraId="46A75F81" w14:textId="77777777" w:rsidR="001D4AFA" w:rsidRPr="009F2D1E" w:rsidRDefault="001D4AFA" w:rsidP="009F2D1E">
            <w:pPr>
              <w:jc w:val="right"/>
              <w:rPr>
                <w:rFonts w:ascii="Times New Roman" w:hAnsi="Times New Roman"/>
                <w:sz w:val="14"/>
                <w:szCs w:val="14"/>
              </w:rPr>
            </w:pPr>
            <w:r w:rsidRPr="009F2D1E">
              <w:rPr>
                <w:sz w:val="14"/>
                <w:szCs w:val="14"/>
              </w:rPr>
              <w:t>12815,19</w:t>
            </w:r>
          </w:p>
        </w:tc>
        <w:tc>
          <w:tcPr>
            <w:tcW w:w="1193" w:type="dxa"/>
            <w:tcBorders>
              <w:top w:val="nil"/>
              <w:left w:val="nil"/>
              <w:bottom w:val="single" w:sz="4" w:space="0" w:color="auto"/>
              <w:right w:val="single" w:sz="4" w:space="0" w:color="auto"/>
            </w:tcBorders>
            <w:shd w:val="clear" w:color="000000" w:fill="FFFFFF"/>
            <w:noWrap/>
            <w:vAlign w:val="bottom"/>
            <w:hideMark/>
          </w:tcPr>
          <w:p w14:paraId="1E07ACC2" w14:textId="77777777" w:rsidR="001D4AFA" w:rsidRPr="009F2D1E" w:rsidRDefault="001D4AFA" w:rsidP="009F2D1E">
            <w:pPr>
              <w:jc w:val="right"/>
              <w:rPr>
                <w:rFonts w:ascii="Times New Roman" w:hAnsi="Times New Roman"/>
                <w:sz w:val="14"/>
                <w:szCs w:val="14"/>
              </w:rPr>
            </w:pPr>
            <w:r w:rsidRPr="009F2D1E">
              <w:rPr>
                <w:sz w:val="14"/>
                <w:szCs w:val="14"/>
              </w:rPr>
              <w:t>12653,87</w:t>
            </w:r>
          </w:p>
        </w:tc>
        <w:tc>
          <w:tcPr>
            <w:tcW w:w="1179" w:type="dxa"/>
            <w:tcBorders>
              <w:top w:val="nil"/>
              <w:left w:val="nil"/>
              <w:bottom w:val="single" w:sz="4" w:space="0" w:color="auto"/>
              <w:right w:val="single" w:sz="4" w:space="0" w:color="auto"/>
            </w:tcBorders>
            <w:shd w:val="clear" w:color="000000" w:fill="FFFFFF"/>
            <w:vAlign w:val="bottom"/>
          </w:tcPr>
          <w:p w14:paraId="277B609A" w14:textId="77777777" w:rsidR="001D4AFA" w:rsidRPr="009F2D1E" w:rsidRDefault="001D4AFA" w:rsidP="009F2D1E">
            <w:pPr>
              <w:jc w:val="right"/>
              <w:rPr>
                <w:rFonts w:ascii="Times New Roman" w:hAnsi="Times New Roman"/>
                <w:sz w:val="14"/>
                <w:szCs w:val="14"/>
              </w:rPr>
            </w:pPr>
            <w:r w:rsidRPr="009F2D1E">
              <w:rPr>
                <w:sz w:val="14"/>
                <w:szCs w:val="14"/>
              </w:rPr>
              <w:t>13015,05</w:t>
            </w:r>
          </w:p>
        </w:tc>
      </w:tr>
      <w:tr w:rsidR="001D4AFA" w:rsidRPr="00364545" w14:paraId="5E261167"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CD7A6B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7824484B" w14:textId="77777777" w:rsidR="001D4AFA" w:rsidRPr="009F2D1E" w:rsidRDefault="001D4AFA" w:rsidP="009F2D1E">
            <w:pPr>
              <w:jc w:val="right"/>
              <w:rPr>
                <w:rFonts w:ascii="Times New Roman" w:hAnsi="Times New Roman"/>
                <w:sz w:val="14"/>
                <w:szCs w:val="14"/>
              </w:rPr>
            </w:pPr>
            <w:r w:rsidRPr="009F2D1E">
              <w:rPr>
                <w:sz w:val="14"/>
                <w:szCs w:val="14"/>
              </w:rPr>
              <w:t>8565,73</w:t>
            </w:r>
          </w:p>
        </w:tc>
        <w:tc>
          <w:tcPr>
            <w:tcW w:w="1192" w:type="dxa"/>
            <w:tcBorders>
              <w:top w:val="nil"/>
              <w:left w:val="nil"/>
              <w:bottom w:val="single" w:sz="4" w:space="0" w:color="auto"/>
              <w:right w:val="single" w:sz="4" w:space="0" w:color="auto"/>
            </w:tcBorders>
            <w:shd w:val="clear" w:color="000000" w:fill="FFFFFF"/>
            <w:noWrap/>
            <w:vAlign w:val="bottom"/>
            <w:hideMark/>
          </w:tcPr>
          <w:p w14:paraId="22F668E6" w14:textId="77777777" w:rsidR="001D4AFA" w:rsidRPr="009F2D1E" w:rsidRDefault="001D4AFA" w:rsidP="009F2D1E">
            <w:pPr>
              <w:jc w:val="right"/>
              <w:rPr>
                <w:rFonts w:ascii="Times New Roman" w:hAnsi="Times New Roman"/>
                <w:sz w:val="14"/>
                <w:szCs w:val="14"/>
              </w:rPr>
            </w:pPr>
            <w:r w:rsidRPr="009F2D1E">
              <w:rPr>
                <w:sz w:val="14"/>
                <w:szCs w:val="14"/>
              </w:rPr>
              <w:t>7925,63</w:t>
            </w:r>
          </w:p>
        </w:tc>
        <w:tc>
          <w:tcPr>
            <w:tcW w:w="1178" w:type="dxa"/>
            <w:tcBorders>
              <w:top w:val="nil"/>
              <w:left w:val="nil"/>
              <w:bottom w:val="single" w:sz="4" w:space="0" w:color="auto"/>
              <w:right w:val="single" w:sz="4" w:space="0" w:color="auto"/>
            </w:tcBorders>
            <w:shd w:val="clear" w:color="000000" w:fill="FFFFFF"/>
            <w:noWrap/>
            <w:vAlign w:val="bottom"/>
            <w:hideMark/>
          </w:tcPr>
          <w:p w14:paraId="6222F893" w14:textId="77777777" w:rsidR="001D4AFA" w:rsidRPr="009F2D1E" w:rsidRDefault="001D4AFA" w:rsidP="009F2D1E">
            <w:pPr>
              <w:jc w:val="right"/>
              <w:rPr>
                <w:rFonts w:ascii="Times New Roman" w:hAnsi="Times New Roman"/>
                <w:sz w:val="14"/>
                <w:szCs w:val="14"/>
              </w:rPr>
            </w:pPr>
            <w:r w:rsidRPr="009F2D1E">
              <w:rPr>
                <w:sz w:val="14"/>
                <w:szCs w:val="14"/>
              </w:rPr>
              <w:t>7709,31</w:t>
            </w:r>
          </w:p>
        </w:tc>
        <w:tc>
          <w:tcPr>
            <w:tcW w:w="1164" w:type="dxa"/>
            <w:tcBorders>
              <w:top w:val="nil"/>
              <w:left w:val="nil"/>
              <w:bottom w:val="single" w:sz="4" w:space="0" w:color="auto"/>
              <w:right w:val="single" w:sz="4" w:space="0" w:color="auto"/>
            </w:tcBorders>
            <w:shd w:val="clear" w:color="000000" w:fill="FFFFFF"/>
            <w:noWrap/>
            <w:vAlign w:val="bottom"/>
            <w:hideMark/>
          </w:tcPr>
          <w:p w14:paraId="72A70201" w14:textId="77777777" w:rsidR="001D4AFA" w:rsidRPr="009F2D1E" w:rsidRDefault="001D4AFA" w:rsidP="009F2D1E">
            <w:pPr>
              <w:jc w:val="right"/>
              <w:rPr>
                <w:rFonts w:ascii="Times New Roman" w:hAnsi="Times New Roman"/>
                <w:sz w:val="14"/>
                <w:szCs w:val="14"/>
              </w:rPr>
            </w:pPr>
            <w:r w:rsidRPr="009F2D1E">
              <w:rPr>
                <w:sz w:val="14"/>
                <w:szCs w:val="14"/>
              </w:rPr>
              <w:t>8012,39</w:t>
            </w:r>
          </w:p>
        </w:tc>
        <w:tc>
          <w:tcPr>
            <w:tcW w:w="1193" w:type="dxa"/>
            <w:tcBorders>
              <w:top w:val="nil"/>
              <w:left w:val="nil"/>
              <w:bottom w:val="single" w:sz="4" w:space="0" w:color="auto"/>
              <w:right w:val="single" w:sz="4" w:space="0" w:color="auto"/>
            </w:tcBorders>
            <w:shd w:val="clear" w:color="000000" w:fill="FFFFFF"/>
            <w:noWrap/>
            <w:vAlign w:val="bottom"/>
            <w:hideMark/>
          </w:tcPr>
          <w:p w14:paraId="0C04E211" w14:textId="77777777" w:rsidR="001D4AFA" w:rsidRPr="009F2D1E" w:rsidRDefault="001D4AFA" w:rsidP="009F2D1E">
            <w:pPr>
              <w:jc w:val="right"/>
              <w:rPr>
                <w:rFonts w:ascii="Times New Roman" w:hAnsi="Times New Roman"/>
                <w:sz w:val="14"/>
                <w:szCs w:val="14"/>
              </w:rPr>
            </w:pPr>
            <w:r w:rsidRPr="009F2D1E">
              <w:rPr>
                <w:sz w:val="14"/>
                <w:szCs w:val="14"/>
              </w:rPr>
              <w:t>8188,98</w:t>
            </w:r>
          </w:p>
        </w:tc>
        <w:tc>
          <w:tcPr>
            <w:tcW w:w="1179" w:type="dxa"/>
            <w:tcBorders>
              <w:top w:val="nil"/>
              <w:left w:val="nil"/>
              <w:bottom w:val="single" w:sz="4" w:space="0" w:color="auto"/>
              <w:right w:val="single" w:sz="4" w:space="0" w:color="auto"/>
            </w:tcBorders>
            <w:shd w:val="clear" w:color="000000" w:fill="FFFFFF"/>
            <w:vAlign w:val="bottom"/>
          </w:tcPr>
          <w:p w14:paraId="326169D6" w14:textId="77777777" w:rsidR="001D4AFA" w:rsidRPr="009F2D1E" w:rsidRDefault="001D4AFA" w:rsidP="009F2D1E">
            <w:pPr>
              <w:jc w:val="right"/>
              <w:rPr>
                <w:rFonts w:ascii="Times New Roman" w:hAnsi="Times New Roman"/>
                <w:sz w:val="14"/>
                <w:szCs w:val="14"/>
              </w:rPr>
            </w:pPr>
            <w:r w:rsidRPr="009F2D1E">
              <w:rPr>
                <w:sz w:val="14"/>
                <w:szCs w:val="14"/>
              </w:rPr>
              <w:t>7583,17</w:t>
            </w:r>
          </w:p>
        </w:tc>
      </w:tr>
      <w:tr w:rsidR="001D4AFA" w:rsidRPr="00364545" w14:paraId="0B0A33CD"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576946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61271FA8" w14:textId="77777777" w:rsidR="001D4AFA" w:rsidRPr="009F2D1E" w:rsidRDefault="001D4AFA" w:rsidP="009F2D1E">
            <w:pPr>
              <w:jc w:val="right"/>
              <w:rPr>
                <w:rFonts w:ascii="Times New Roman" w:hAnsi="Times New Roman"/>
                <w:sz w:val="14"/>
                <w:szCs w:val="14"/>
              </w:rPr>
            </w:pPr>
            <w:r w:rsidRPr="009F2D1E">
              <w:rPr>
                <w:sz w:val="14"/>
                <w:szCs w:val="14"/>
              </w:rPr>
              <w:t>15692,52</w:t>
            </w:r>
          </w:p>
        </w:tc>
        <w:tc>
          <w:tcPr>
            <w:tcW w:w="1192" w:type="dxa"/>
            <w:tcBorders>
              <w:top w:val="nil"/>
              <w:left w:val="nil"/>
              <w:bottom w:val="single" w:sz="4" w:space="0" w:color="auto"/>
              <w:right w:val="single" w:sz="4" w:space="0" w:color="auto"/>
            </w:tcBorders>
            <w:shd w:val="clear" w:color="000000" w:fill="FFFFFF"/>
            <w:noWrap/>
            <w:vAlign w:val="bottom"/>
            <w:hideMark/>
          </w:tcPr>
          <w:p w14:paraId="34F668BE" w14:textId="77777777" w:rsidR="001D4AFA" w:rsidRPr="009F2D1E" w:rsidRDefault="001D4AFA" w:rsidP="009F2D1E">
            <w:pPr>
              <w:jc w:val="right"/>
              <w:rPr>
                <w:rFonts w:ascii="Times New Roman" w:hAnsi="Times New Roman"/>
                <w:sz w:val="14"/>
                <w:szCs w:val="14"/>
              </w:rPr>
            </w:pPr>
            <w:r w:rsidRPr="009F2D1E">
              <w:rPr>
                <w:sz w:val="14"/>
                <w:szCs w:val="14"/>
              </w:rPr>
              <w:t>17175,33</w:t>
            </w:r>
          </w:p>
        </w:tc>
        <w:tc>
          <w:tcPr>
            <w:tcW w:w="1178" w:type="dxa"/>
            <w:tcBorders>
              <w:top w:val="nil"/>
              <w:left w:val="nil"/>
              <w:bottom w:val="single" w:sz="4" w:space="0" w:color="auto"/>
              <w:right w:val="single" w:sz="4" w:space="0" w:color="auto"/>
            </w:tcBorders>
            <w:shd w:val="clear" w:color="000000" w:fill="FFFFFF"/>
            <w:noWrap/>
            <w:vAlign w:val="bottom"/>
            <w:hideMark/>
          </w:tcPr>
          <w:p w14:paraId="6C1D0C66" w14:textId="77777777" w:rsidR="001D4AFA" w:rsidRPr="009F2D1E" w:rsidRDefault="001D4AFA" w:rsidP="009F2D1E">
            <w:pPr>
              <w:jc w:val="right"/>
              <w:rPr>
                <w:rFonts w:ascii="Times New Roman" w:hAnsi="Times New Roman"/>
                <w:sz w:val="14"/>
                <w:szCs w:val="14"/>
              </w:rPr>
            </w:pPr>
            <w:r w:rsidRPr="009F2D1E">
              <w:rPr>
                <w:sz w:val="14"/>
                <w:szCs w:val="14"/>
              </w:rPr>
              <w:t>16495,39</w:t>
            </w:r>
          </w:p>
        </w:tc>
        <w:tc>
          <w:tcPr>
            <w:tcW w:w="1164" w:type="dxa"/>
            <w:tcBorders>
              <w:top w:val="nil"/>
              <w:left w:val="nil"/>
              <w:bottom w:val="single" w:sz="4" w:space="0" w:color="auto"/>
              <w:right w:val="single" w:sz="4" w:space="0" w:color="auto"/>
            </w:tcBorders>
            <w:shd w:val="clear" w:color="000000" w:fill="FFFFFF"/>
            <w:noWrap/>
            <w:vAlign w:val="bottom"/>
            <w:hideMark/>
          </w:tcPr>
          <w:p w14:paraId="31719AEB" w14:textId="77777777" w:rsidR="001D4AFA" w:rsidRPr="009F2D1E" w:rsidRDefault="001D4AFA" w:rsidP="009F2D1E">
            <w:pPr>
              <w:jc w:val="right"/>
              <w:rPr>
                <w:rFonts w:ascii="Times New Roman" w:hAnsi="Times New Roman"/>
                <w:sz w:val="14"/>
                <w:szCs w:val="14"/>
              </w:rPr>
            </w:pPr>
            <w:r w:rsidRPr="009F2D1E">
              <w:rPr>
                <w:sz w:val="14"/>
                <w:szCs w:val="14"/>
              </w:rPr>
              <w:t>17431,60</w:t>
            </w:r>
          </w:p>
        </w:tc>
        <w:tc>
          <w:tcPr>
            <w:tcW w:w="1193" w:type="dxa"/>
            <w:tcBorders>
              <w:top w:val="nil"/>
              <w:left w:val="nil"/>
              <w:bottom w:val="single" w:sz="4" w:space="0" w:color="auto"/>
              <w:right w:val="single" w:sz="4" w:space="0" w:color="auto"/>
            </w:tcBorders>
            <w:shd w:val="clear" w:color="000000" w:fill="FFFFFF"/>
            <w:noWrap/>
            <w:vAlign w:val="bottom"/>
            <w:hideMark/>
          </w:tcPr>
          <w:p w14:paraId="6E50F891" w14:textId="77777777" w:rsidR="001D4AFA" w:rsidRPr="009F2D1E" w:rsidRDefault="001D4AFA" w:rsidP="009F2D1E">
            <w:pPr>
              <w:jc w:val="right"/>
              <w:rPr>
                <w:rFonts w:ascii="Times New Roman" w:hAnsi="Times New Roman"/>
                <w:sz w:val="14"/>
                <w:szCs w:val="14"/>
              </w:rPr>
            </w:pPr>
            <w:r w:rsidRPr="009F2D1E">
              <w:rPr>
                <w:sz w:val="14"/>
                <w:szCs w:val="14"/>
              </w:rPr>
              <w:t>17435,85</w:t>
            </w:r>
          </w:p>
        </w:tc>
        <w:tc>
          <w:tcPr>
            <w:tcW w:w="1179" w:type="dxa"/>
            <w:tcBorders>
              <w:top w:val="nil"/>
              <w:left w:val="nil"/>
              <w:bottom w:val="single" w:sz="4" w:space="0" w:color="auto"/>
              <w:right w:val="single" w:sz="4" w:space="0" w:color="auto"/>
            </w:tcBorders>
            <w:shd w:val="clear" w:color="000000" w:fill="FFFFFF"/>
            <w:vAlign w:val="bottom"/>
          </w:tcPr>
          <w:p w14:paraId="335CD2A8" w14:textId="77777777" w:rsidR="001D4AFA" w:rsidRPr="009F2D1E" w:rsidRDefault="001D4AFA" w:rsidP="009F2D1E">
            <w:pPr>
              <w:jc w:val="right"/>
              <w:rPr>
                <w:rFonts w:ascii="Times New Roman" w:hAnsi="Times New Roman"/>
                <w:sz w:val="14"/>
                <w:szCs w:val="14"/>
              </w:rPr>
            </w:pPr>
            <w:r w:rsidRPr="009F2D1E">
              <w:rPr>
                <w:sz w:val="14"/>
                <w:szCs w:val="14"/>
              </w:rPr>
              <w:t>19185,00</w:t>
            </w:r>
          </w:p>
        </w:tc>
      </w:tr>
      <w:tr w:rsidR="001D4AFA" w:rsidRPr="00364545" w14:paraId="457E7F1D"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2171FED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78" w:type="dxa"/>
            <w:tcBorders>
              <w:top w:val="nil"/>
              <w:left w:val="nil"/>
              <w:bottom w:val="single" w:sz="4" w:space="0" w:color="auto"/>
              <w:right w:val="single" w:sz="4" w:space="0" w:color="auto"/>
            </w:tcBorders>
            <w:shd w:val="clear" w:color="000000" w:fill="FFFFFF"/>
            <w:noWrap/>
            <w:vAlign w:val="bottom"/>
            <w:hideMark/>
          </w:tcPr>
          <w:p w14:paraId="2D4B3163" w14:textId="77777777" w:rsidR="001D4AFA" w:rsidRPr="009F2D1E" w:rsidRDefault="001D4AFA" w:rsidP="009F2D1E">
            <w:pPr>
              <w:jc w:val="right"/>
              <w:rPr>
                <w:rFonts w:ascii="Times New Roman" w:hAnsi="Times New Roman"/>
                <w:sz w:val="14"/>
                <w:szCs w:val="14"/>
              </w:rPr>
            </w:pPr>
            <w:r w:rsidRPr="009F2D1E">
              <w:rPr>
                <w:sz w:val="14"/>
                <w:szCs w:val="14"/>
              </w:rPr>
              <w:t>1905,68</w:t>
            </w:r>
          </w:p>
        </w:tc>
        <w:tc>
          <w:tcPr>
            <w:tcW w:w="1192" w:type="dxa"/>
            <w:tcBorders>
              <w:top w:val="nil"/>
              <w:left w:val="nil"/>
              <w:bottom w:val="single" w:sz="4" w:space="0" w:color="auto"/>
              <w:right w:val="single" w:sz="4" w:space="0" w:color="auto"/>
            </w:tcBorders>
            <w:shd w:val="clear" w:color="000000" w:fill="FFFFFF"/>
            <w:noWrap/>
            <w:vAlign w:val="bottom"/>
            <w:hideMark/>
          </w:tcPr>
          <w:p w14:paraId="38B27948" w14:textId="77777777" w:rsidR="001D4AFA" w:rsidRPr="009F2D1E" w:rsidRDefault="001D4AFA" w:rsidP="009F2D1E">
            <w:pPr>
              <w:jc w:val="right"/>
              <w:rPr>
                <w:rFonts w:ascii="Times New Roman" w:hAnsi="Times New Roman"/>
                <w:sz w:val="14"/>
                <w:szCs w:val="14"/>
              </w:rPr>
            </w:pPr>
            <w:r w:rsidRPr="009F2D1E">
              <w:rPr>
                <w:sz w:val="14"/>
                <w:szCs w:val="14"/>
              </w:rPr>
              <w:t>1719,89</w:t>
            </w:r>
          </w:p>
        </w:tc>
        <w:tc>
          <w:tcPr>
            <w:tcW w:w="1178" w:type="dxa"/>
            <w:tcBorders>
              <w:top w:val="nil"/>
              <w:left w:val="nil"/>
              <w:bottom w:val="single" w:sz="4" w:space="0" w:color="auto"/>
              <w:right w:val="single" w:sz="4" w:space="0" w:color="auto"/>
            </w:tcBorders>
            <w:shd w:val="clear" w:color="000000" w:fill="FFFFFF"/>
            <w:noWrap/>
            <w:vAlign w:val="bottom"/>
            <w:hideMark/>
          </w:tcPr>
          <w:p w14:paraId="31E3A296" w14:textId="77777777" w:rsidR="001D4AFA" w:rsidRPr="009F2D1E" w:rsidRDefault="001D4AFA" w:rsidP="009F2D1E">
            <w:pPr>
              <w:jc w:val="right"/>
              <w:rPr>
                <w:rFonts w:ascii="Times New Roman" w:hAnsi="Times New Roman"/>
                <w:sz w:val="14"/>
                <w:szCs w:val="14"/>
              </w:rPr>
            </w:pPr>
            <w:r w:rsidRPr="009F2D1E">
              <w:rPr>
                <w:sz w:val="14"/>
                <w:szCs w:val="14"/>
              </w:rPr>
              <w:t>1661,07</w:t>
            </w:r>
          </w:p>
        </w:tc>
        <w:tc>
          <w:tcPr>
            <w:tcW w:w="1164" w:type="dxa"/>
            <w:tcBorders>
              <w:top w:val="nil"/>
              <w:left w:val="nil"/>
              <w:bottom w:val="single" w:sz="4" w:space="0" w:color="auto"/>
              <w:right w:val="single" w:sz="4" w:space="0" w:color="auto"/>
            </w:tcBorders>
            <w:shd w:val="clear" w:color="000000" w:fill="FFFFFF"/>
            <w:noWrap/>
            <w:vAlign w:val="bottom"/>
            <w:hideMark/>
          </w:tcPr>
          <w:p w14:paraId="04E12FC2" w14:textId="77777777" w:rsidR="001D4AFA" w:rsidRPr="009F2D1E" w:rsidRDefault="001D4AFA" w:rsidP="009F2D1E">
            <w:pPr>
              <w:jc w:val="right"/>
              <w:rPr>
                <w:rFonts w:ascii="Times New Roman" w:hAnsi="Times New Roman"/>
                <w:sz w:val="14"/>
                <w:szCs w:val="14"/>
              </w:rPr>
            </w:pPr>
            <w:r w:rsidRPr="009F2D1E">
              <w:rPr>
                <w:sz w:val="14"/>
                <w:szCs w:val="14"/>
              </w:rPr>
              <w:t>1784,10</w:t>
            </w:r>
          </w:p>
        </w:tc>
        <w:tc>
          <w:tcPr>
            <w:tcW w:w="1193" w:type="dxa"/>
            <w:tcBorders>
              <w:top w:val="nil"/>
              <w:left w:val="nil"/>
              <w:bottom w:val="single" w:sz="4" w:space="0" w:color="auto"/>
              <w:right w:val="single" w:sz="4" w:space="0" w:color="auto"/>
            </w:tcBorders>
            <w:shd w:val="clear" w:color="000000" w:fill="FFFFFF"/>
            <w:noWrap/>
            <w:vAlign w:val="bottom"/>
            <w:hideMark/>
          </w:tcPr>
          <w:p w14:paraId="4DF1E218" w14:textId="77777777" w:rsidR="001D4AFA" w:rsidRPr="009F2D1E" w:rsidRDefault="001D4AFA" w:rsidP="009F2D1E">
            <w:pPr>
              <w:jc w:val="right"/>
              <w:rPr>
                <w:rFonts w:ascii="Times New Roman" w:hAnsi="Times New Roman"/>
                <w:sz w:val="14"/>
                <w:szCs w:val="14"/>
              </w:rPr>
            </w:pPr>
            <w:r w:rsidRPr="009F2D1E">
              <w:rPr>
                <w:sz w:val="14"/>
                <w:szCs w:val="14"/>
              </w:rPr>
              <w:t>1810,15</w:t>
            </w:r>
          </w:p>
        </w:tc>
        <w:tc>
          <w:tcPr>
            <w:tcW w:w="1179" w:type="dxa"/>
            <w:tcBorders>
              <w:top w:val="nil"/>
              <w:left w:val="nil"/>
              <w:bottom w:val="single" w:sz="4" w:space="0" w:color="auto"/>
              <w:right w:val="single" w:sz="4" w:space="0" w:color="auto"/>
            </w:tcBorders>
            <w:shd w:val="clear" w:color="000000" w:fill="FFFFFF"/>
            <w:vAlign w:val="bottom"/>
          </w:tcPr>
          <w:p w14:paraId="537B8A89" w14:textId="77777777" w:rsidR="001D4AFA" w:rsidRPr="009F2D1E" w:rsidRDefault="001D4AFA" w:rsidP="009F2D1E">
            <w:pPr>
              <w:jc w:val="right"/>
              <w:rPr>
                <w:rFonts w:ascii="Times New Roman" w:hAnsi="Times New Roman"/>
                <w:sz w:val="14"/>
                <w:szCs w:val="14"/>
              </w:rPr>
            </w:pPr>
            <w:r w:rsidRPr="009F2D1E">
              <w:rPr>
                <w:sz w:val="14"/>
                <w:szCs w:val="14"/>
              </w:rPr>
              <w:t>1602,28</w:t>
            </w:r>
          </w:p>
        </w:tc>
      </w:tr>
      <w:tr w:rsidR="001D4AFA" w:rsidRPr="00364545" w14:paraId="511D4DA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0DF511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78" w:type="dxa"/>
            <w:tcBorders>
              <w:top w:val="nil"/>
              <w:left w:val="nil"/>
              <w:bottom w:val="single" w:sz="4" w:space="0" w:color="auto"/>
              <w:right w:val="single" w:sz="4" w:space="0" w:color="auto"/>
            </w:tcBorders>
            <w:shd w:val="clear" w:color="000000" w:fill="FFFFFF"/>
            <w:noWrap/>
            <w:vAlign w:val="bottom"/>
            <w:hideMark/>
          </w:tcPr>
          <w:p w14:paraId="32373CE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0C28E17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175F0AE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3432AE0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174B993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4A4195D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D0F9BBF"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6C394B5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78" w:type="dxa"/>
            <w:tcBorders>
              <w:top w:val="nil"/>
              <w:left w:val="nil"/>
              <w:bottom w:val="single" w:sz="4" w:space="0" w:color="auto"/>
              <w:right w:val="single" w:sz="4" w:space="0" w:color="auto"/>
            </w:tcBorders>
            <w:shd w:val="clear" w:color="000000" w:fill="FFFFFF"/>
            <w:noWrap/>
            <w:vAlign w:val="bottom"/>
            <w:hideMark/>
          </w:tcPr>
          <w:p w14:paraId="6D0B7D7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6CD89DE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4D2FCF1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3E28632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2E71633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4EF7A20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5E47EEC"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vAlign w:val="center"/>
            <w:hideMark/>
          </w:tcPr>
          <w:p w14:paraId="2AD6A08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78" w:type="dxa"/>
            <w:tcBorders>
              <w:top w:val="nil"/>
              <w:left w:val="nil"/>
              <w:bottom w:val="single" w:sz="4" w:space="0" w:color="auto"/>
              <w:right w:val="single" w:sz="4" w:space="0" w:color="auto"/>
            </w:tcBorders>
            <w:shd w:val="clear" w:color="000000" w:fill="FFFFFF"/>
            <w:noWrap/>
            <w:vAlign w:val="bottom"/>
            <w:hideMark/>
          </w:tcPr>
          <w:p w14:paraId="06D8AF4A" w14:textId="77777777" w:rsidR="001D4AFA" w:rsidRPr="009F2D1E" w:rsidRDefault="001D4AFA" w:rsidP="009F2D1E">
            <w:pPr>
              <w:jc w:val="right"/>
              <w:rPr>
                <w:rFonts w:ascii="Times New Roman" w:hAnsi="Times New Roman"/>
                <w:sz w:val="14"/>
                <w:szCs w:val="14"/>
              </w:rPr>
            </w:pPr>
            <w:r w:rsidRPr="009F2D1E">
              <w:rPr>
                <w:sz w:val="14"/>
                <w:szCs w:val="14"/>
              </w:rPr>
              <w:t>658,42</w:t>
            </w:r>
          </w:p>
        </w:tc>
        <w:tc>
          <w:tcPr>
            <w:tcW w:w="1192" w:type="dxa"/>
            <w:tcBorders>
              <w:top w:val="nil"/>
              <w:left w:val="nil"/>
              <w:bottom w:val="single" w:sz="4" w:space="0" w:color="auto"/>
              <w:right w:val="single" w:sz="4" w:space="0" w:color="auto"/>
            </w:tcBorders>
            <w:shd w:val="clear" w:color="000000" w:fill="FFFFFF"/>
            <w:noWrap/>
            <w:vAlign w:val="bottom"/>
            <w:hideMark/>
          </w:tcPr>
          <w:p w14:paraId="41C95A5D" w14:textId="77777777" w:rsidR="001D4AFA" w:rsidRPr="009F2D1E" w:rsidRDefault="001D4AFA" w:rsidP="009F2D1E">
            <w:pPr>
              <w:jc w:val="right"/>
              <w:rPr>
                <w:rFonts w:ascii="Times New Roman" w:hAnsi="Times New Roman"/>
                <w:sz w:val="14"/>
                <w:szCs w:val="14"/>
              </w:rPr>
            </w:pPr>
            <w:r w:rsidRPr="009F2D1E">
              <w:rPr>
                <w:sz w:val="14"/>
                <w:szCs w:val="14"/>
              </w:rPr>
              <w:t>638,34</w:t>
            </w:r>
          </w:p>
        </w:tc>
        <w:tc>
          <w:tcPr>
            <w:tcW w:w="1178" w:type="dxa"/>
            <w:tcBorders>
              <w:top w:val="nil"/>
              <w:left w:val="nil"/>
              <w:bottom w:val="single" w:sz="4" w:space="0" w:color="auto"/>
              <w:right w:val="single" w:sz="4" w:space="0" w:color="auto"/>
            </w:tcBorders>
            <w:shd w:val="clear" w:color="000000" w:fill="FFFFFF"/>
            <w:noWrap/>
            <w:vAlign w:val="bottom"/>
            <w:hideMark/>
          </w:tcPr>
          <w:p w14:paraId="649C6944" w14:textId="77777777" w:rsidR="001D4AFA" w:rsidRPr="009F2D1E" w:rsidRDefault="001D4AFA" w:rsidP="009F2D1E">
            <w:pPr>
              <w:jc w:val="right"/>
              <w:rPr>
                <w:rFonts w:ascii="Times New Roman" w:hAnsi="Times New Roman"/>
                <w:sz w:val="14"/>
                <w:szCs w:val="14"/>
              </w:rPr>
            </w:pPr>
            <w:r w:rsidRPr="009F2D1E">
              <w:rPr>
                <w:sz w:val="14"/>
                <w:szCs w:val="14"/>
              </w:rPr>
              <w:t>601,85</w:t>
            </w:r>
          </w:p>
        </w:tc>
        <w:tc>
          <w:tcPr>
            <w:tcW w:w="1164" w:type="dxa"/>
            <w:tcBorders>
              <w:top w:val="nil"/>
              <w:left w:val="nil"/>
              <w:bottom w:val="single" w:sz="4" w:space="0" w:color="auto"/>
              <w:right w:val="single" w:sz="4" w:space="0" w:color="auto"/>
            </w:tcBorders>
            <w:shd w:val="clear" w:color="000000" w:fill="FFFFFF"/>
            <w:noWrap/>
            <w:vAlign w:val="bottom"/>
            <w:hideMark/>
          </w:tcPr>
          <w:p w14:paraId="5F7F3A7B" w14:textId="77777777" w:rsidR="001D4AFA" w:rsidRPr="009F2D1E" w:rsidRDefault="001D4AFA" w:rsidP="009F2D1E">
            <w:pPr>
              <w:jc w:val="right"/>
              <w:rPr>
                <w:rFonts w:ascii="Times New Roman" w:hAnsi="Times New Roman"/>
                <w:sz w:val="14"/>
                <w:szCs w:val="14"/>
              </w:rPr>
            </w:pPr>
            <w:r w:rsidRPr="009F2D1E">
              <w:rPr>
                <w:sz w:val="14"/>
                <w:szCs w:val="14"/>
              </w:rPr>
              <w:t>554,03</w:t>
            </w:r>
          </w:p>
        </w:tc>
        <w:tc>
          <w:tcPr>
            <w:tcW w:w="1193" w:type="dxa"/>
            <w:tcBorders>
              <w:top w:val="nil"/>
              <w:left w:val="nil"/>
              <w:bottom w:val="single" w:sz="4" w:space="0" w:color="auto"/>
              <w:right w:val="single" w:sz="4" w:space="0" w:color="auto"/>
            </w:tcBorders>
            <w:shd w:val="clear" w:color="000000" w:fill="FFFFFF"/>
            <w:noWrap/>
            <w:vAlign w:val="bottom"/>
            <w:hideMark/>
          </w:tcPr>
          <w:p w14:paraId="2EF3664A" w14:textId="77777777" w:rsidR="001D4AFA" w:rsidRPr="009F2D1E" w:rsidRDefault="001D4AFA" w:rsidP="009F2D1E">
            <w:pPr>
              <w:jc w:val="right"/>
              <w:rPr>
                <w:rFonts w:ascii="Times New Roman" w:hAnsi="Times New Roman"/>
                <w:sz w:val="14"/>
                <w:szCs w:val="14"/>
              </w:rPr>
            </w:pPr>
            <w:r w:rsidRPr="009F2D1E">
              <w:rPr>
                <w:sz w:val="14"/>
                <w:szCs w:val="14"/>
              </w:rPr>
              <w:t>554,96</w:t>
            </w:r>
          </w:p>
        </w:tc>
        <w:tc>
          <w:tcPr>
            <w:tcW w:w="1179" w:type="dxa"/>
            <w:tcBorders>
              <w:top w:val="nil"/>
              <w:left w:val="nil"/>
              <w:bottom w:val="single" w:sz="4" w:space="0" w:color="auto"/>
              <w:right w:val="single" w:sz="4" w:space="0" w:color="auto"/>
            </w:tcBorders>
            <w:shd w:val="clear" w:color="000000" w:fill="FFFFFF"/>
            <w:vAlign w:val="bottom"/>
          </w:tcPr>
          <w:p w14:paraId="4AA7E40C" w14:textId="77777777" w:rsidR="001D4AFA" w:rsidRPr="009F2D1E" w:rsidRDefault="001D4AFA" w:rsidP="009F2D1E">
            <w:pPr>
              <w:jc w:val="right"/>
              <w:rPr>
                <w:rFonts w:ascii="Times New Roman" w:hAnsi="Times New Roman"/>
                <w:sz w:val="14"/>
                <w:szCs w:val="14"/>
              </w:rPr>
            </w:pPr>
            <w:r w:rsidRPr="009F2D1E">
              <w:rPr>
                <w:sz w:val="14"/>
                <w:szCs w:val="14"/>
              </w:rPr>
              <w:t>561,96</w:t>
            </w:r>
          </w:p>
        </w:tc>
      </w:tr>
      <w:tr w:rsidR="001D4AFA" w:rsidRPr="00364545" w14:paraId="3806D43E"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9E5E00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78" w:type="dxa"/>
            <w:tcBorders>
              <w:top w:val="nil"/>
              <w:left w:val="nil"/>
              <w:bottom w:val="single" w:sz="4" w:space="0" w:color="auto"/>
              <w:right w:val="single" w:sz="4" w:space="0" w:color="auto"/>
            </w:tcBorders>
            <w:shd w:val="clear" w:color="000000" w:fill="FFFFFF"/>
            <w:noWrap/>
            <w:vAlign w:val="bottom"/>
            <w:hideMark/>
          </w:tcPr>
          <w:p w14:paraId="12D13508"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2" w:type="dxa"/>
            <w:tcBorders>
              <w:top w:val="nil"/>
              <w:left w:val="nil"/>
              <w:bottom w:val="single" w:sz="4" w:space="0" w:color="auto"/>
              <w:right w:val="single" w:sz="4" w:space="0" w:color="auto"/>
            </w:tcBorders>
            <w:shd w:val="clear" w:color="000000" w:fill="FFFFFF"/>
            <w:noWrap/>
            <w:vAlign w:val="bottom"/>
            <w:hideMark/>
          </w:tcPr>
          <w:p w14:paraId="7EEC335E"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78" w:type="dxa"/>
            <w:tcBorders>
              <w:top w:val="nil"/>
              <w:left w:val="nil"/>
              <w:bottom w:val="single" w:sz="4" w:space="0" w:color="auto"/>
              <w:right w:val="single" w:sz="4" w:space="0" w:color="auto"/>
            </w:tcBorders>
            <w:shd w:val="clear" w:color="000000" w:fill="FFFFFF"/>
            <w:noWrap/>
            <w:vAlign w:val="bottom"/>
            <w:hideMark/>
          </w:tcPr>
          <w:p w14:paraId="467B9795"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64" w:type="dxa"/>
            <w:tcBorders>
              <w:top w:val="nil"/>
              <w:left w:val="nil"/>
              <w:bottom w:val="single" w:sz="4" w:space="0" w:color="auto"/>
              <w:right w:val="single" w:sz="4" w:space="0" w:color="auto"/>
            </w:tcBorders>
            <w:shd w:val="clear" w:color="000000" w:fill="FFFFFF"/>
            <w:noWrap/>
            <w:vAlign w:val="bottom"/>
            <w:hideMark/>
          </w:tcPr>
          <w:p w14:paraId="0E73017A"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3" w:type="dxa"/>
            <w:tcBorders>
              <w:top w:val="nil"/>
              <w:left w:val="nil"/>
              <w:bottom w:val="single" w:sz="4" w:space="0" w:color="auto"/>
              <w:right w:val="single" w:sz="4" w:space="0" w:color="auto"/>
            </w:tcBorders>
            <w:shd w:val="clear" w:color="000000" w:fill="FFFFFF"/>
            <w:noWrap/>
            <w:vAlign w:val="bottom"/>
            <w:hideMark/>
          </w:tcPr>
          <w:p w14:paraId="6D0C70B2"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79" w:type="dxa"/>
            <w:tcBorders>
              <w:top w:val="nil"/>
              <w:left w:val="nil"/>
              <w:bottom w:val="single" w:sz="4" w:space="0" w:color="auto"/>
              <w:right w:val="single" w:sz="4" w:space="0" w:color="auto"/>
            </w:tcBorders>
            <w:shd w:val="clear" w:color="000000" w:fill="FFFFFF"/>
            <w:vAlign w:val="bottom"/>
          </w:tcPr>
          <w:p w14:paraId="114C5288" w14:textId="77777777" w:rsidR="001D4AFA" w:rsidRPr="009F2D1E" w:rsidRDefault="001D4AFA" w:rsidP="009F2D1E">
            <w:pPr>
              <w:jc w:val="right"/>
              <w:rPr>
                <w:rFonts w:ascii="Times New Roman" w:hAnsi="Times New Roman"/>
                <w:sz w:val="14"/>
                <w:szCs w:val="14"/>
              </w:rPr>
            </w:pPr>
            <w:r w:rsidRPr="009F2D1E">
              <w:rPr>
                <w:sz w:val="14"/>
                <w:szCs w:val="14"/>
              </w:rPr>
              <w:t>0,04</w:t>
            </w:r>
          </w:p>
        </w:tc>
      </w:tr>
      <w:tr w:rsidR="001D4AFA" w:rsidRPr="00364545" w14:paraId="790CF731"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bottom"/>
            <w:hideMark/>
          </w:tcPr>
          <w:p w14:paraId="7909282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3. Agriculture</w:t>
            </w:r>
          </w:p>
        </w:tc>
        <w:tc>
          <w:tcPr>
            <w:tcW w:w="1178" w:type="dxa"/>
            <w:tcBorders>
              <w:top w:val="nil"/>
              <w:left w:val="nil"/>
              <w:bottom w:val="single" w:sz="4" w:space="0" w:color="auto"/>
              <w:right w:val="single" w:sz="4" w:space="0" w:color="auto"/>
            </w:tcBorders>
            <w:shd w:val="clear" w:color="000000" w:fill="CCFFFF"/>
            <w:noWrap/>
            <w:vAlign w:val="bottom"/>
            <w:hideMark/>
          </w:tcPr>
          <w:p w14:paraId="6F55A9D8" w14:textId="77777777" w:rsidR="001D4AFA" w:rsidRPr="009F2D1E" w:rsidRDefault="001D4AFA" w:rsidP="009F2D1E">
            <w:pPr>
              <w:jc w:val="right"/>
              <w:rPr>
                <w:rFonts w:ascii="Times New Roman" w:hAnsi="Times New Roman"/>
                <w:sz w:val="14"/>
                <w:szCs w:val="14"/>
              </w:rPr>
            </w:pPr>
            <w:r w:rsidRPr="009F2D1E">
              <w:rPr>
                <w:sz w:val="14"/>
                <w:szCs w:val="14"/>
              </w:rPr>
              <w:t>1959,20</w:t>
            </w:r>
          </w:p>
        </w:tc>
        <w:tc>
          <w:tcPr>
            <w:tcW w:w="1192" w:type="dxa"/>
            <w:tcBorders>
              <w:top w:val="nil"/>
              <w:left w:val="nil"/>
              <w:bottom w:val="single" w:sz="4" w:space="0" w:color="auto"/>
              <w:right w:val="single" w:sz="4" w:space="0" w:color="auto"/>
            </w:tcBorders>
            <w:shd w:val="clear" w:color="000000" w:fill="CCFFFF"/>
            <w:noWrap/>
            <w:vAlign w:val="bottom"/>
            <w:hideMark/>
          </w:tcPr>
          <w:p w14:paraId="4461A94C" w14:textId="77777777" w:rsidR="001D4AFA" w:rsidRPr="009F2D1E" w:rsidRDefault="001D4AFA" w:rsidP="009F2D1E">
            <w:pPr>
              <w:jc w:val="right"/>
              <w:rPr>
                <w:rFonts w:ascii="Times New Roman" w:hAnsi="Times New Roman"/>
                <w:sz w:val="14"/>
                <w:szCs w:val="14"/>
              </w:rPr>
            </w:pPr>
            <w:r w:rsidRPr="009F2D1E">
              <w:rPr>
                <w:sz w:val="14"/>
                <w:szCs w:val="14"/>
              </w:rPr>
              <w:t>1955,80</w:t>
            </w:r>
          </w:p>
        </w:tc>
        <w:tc>
          <w:tcPr>
            <w:tcW w:w="1178" w:type="dxa"/>
            <w:tcBorders>
              <w:top w:val="nil"/>
              <w:left w:val="nil"/>
              <w:bottom w:val="single" w:sz="4" w:space="0" w:color="auto"/>
              <w:right w:val="single" w:sz="4" w:space="0" w:color="auto"/>
            </w:tcBorders>
            <w:shd w:val="clear" w:color="000000" w:fill="CCFFFF"/>
            <w:noWrap/>
            <w:vAlign w:val="bottom"/>
            <w:hideMark/>
          </w:tcPr>
          <w:p w14:paraId="71A89CC0" w14:textId="77777777" w:rsidR="001D4AFA" w:rsidRPr="009F2D1E" w:rsidRDefault="001D4AFA" w:rsidP="009F2D1E">
            <w:pPr>
              <w:jc w:val="right"/>
              <w:rPr>
                <w:rFonts w:ascii="Times New Roman" w:hAnsi="Times New Roman"/>
                <w:sz w:val="14"/>
                <w:szCs w:val="14"/>
              </w:rPr>
            </w:pPr>
            <w:r w:rsidRPr="009F2D1E">
              <w:rPr>
                <w:sz w:val="14"/>
                <w:szCs w:val="14"/>
              </w:rPr>
              <w:t>1998,27</w:t>
            </w:r>
          </w:p>
        </w:tc>
        <w:tc>
          <w:tcPr>
            <w:tcW w:w="1164" w:type="dxa"/>
            <w:tcBorders>
              <w:top w:val="nil"/>
              <w:left w:val="nil"/>
              <w:bottom w:val="single" w:sz="4" w:space="0" w:color="auto"/>
              <w:right w:val="single" w:sz="4" w:space="0" w:color="auto"/>
            </w:tcBorders>
            <w:shd w:val="clear" w:color="000000" w:fill="CCFFFF"/>
            <w:noWrap/>
            <w:vAlign w:val="bottom"/>
            <w:hideMark/>
          </w:tcPr>
          <w:p w14:paraId="6C927147" w14:textId="77777777" w:rsidR="001D4AFA" w:rsidRPr="009F2D1E" w:rsidRDefault="001D4AFA" w:rsidP="009F2D1E">
            <w:pPr>
              <w:jc w:val="right"/>
              <w:rPr>
                <w:rFonts w:ascii="Times New Roman" w:hAnsi="Times New Roman"/>
                <w:sz w:val="14"/>
                <w:szCs w:val="14"/>
              </w:rPr>
            </w:pPr>
            <w:r w:rsidRPr="009F2D1E">
              <w:rPr>
                <w:sz w:val="14"/>
                <w:szCs w:val="14"/>
              </w:rPr>
              <w:t>1986,81</w:t>
            </w:r>
          </w:p>
        </w:tc>
        <w:tc>
          <w:tcPr>
            <w:tcW w:w="1193" w:type="dxa"/>
            <w:tcBorders>
              <w:top w:val="nil"/>
              <w:left w:val="nil"/>
              <w:bottom w:val="single" w:sz="4" w:space="0" w:color="auto"/>
              <w:right w:val="single" w:sz="4" w:space="0" w:color="auto"/>
            </w:tcBorders>
            <w:shd w:val="clear" w:color="000000" w:fill="CCFFFF"/>
            <w:noWrap/>
            <w:vAlign w:val="bottom"/>
            <w:hideMark/>
          </w:tcPr>
          <w:p w14:paraId="491090A0" w14:textId="77777777" w:rsidR="001D4AFA" w:rsidRPr="009F2D1E" w:rsidRDefault="001D4AFA" w:rsidP="009F2D1E">
            <w:pPr>
              <w:jc w:val="right"/>
              <w:rPr>
                <w:rFonts w:ascii="Times New Roman" w:hAnsi="Times New Roman"/>
                <w:sz w:val="14"/>
                <w:szCs w:val="14"/>
              </w:rPr>
            </w:pPr>
            <w:r w:rsidRPr="009F2D1E">
              <w:rPr>
                <w:sz w:val="14"/>
                <w:szCs w:val="14"/>
              </w:rPr>
              <w:t>1965,04</w:t>
            </w:r>
          </w:p>
        </w:tc>
        <w:tc>
          <w:tcPr>
            <w:tcW w:w="1179" w:type="dxa"/>
            <w:tcBorders>
              <w:top w:val="nil"/>
              <w:left w:val="nil"/>
              <w:bottom w:val="single" w:sz="4" w:space="0" w:color="auto"/>
              <w:right w:val="single" w:sz="4" w:space="0" w:color="auto"/>
            </w:tcBorders>
            <w:shd w:val="clear" w:color="000000" w:fill="CCFFFF"/>
            <w:vAlign w:val="bottom"/>
          </w:tcPr>
          <w:p w14:paraId="1B893041" w14:textId="77777777" w:rsidR="001D4AFA" w:rsidRPr="009F2D1E" w:rsidRDefault="001D4AFA" w:rsidP="009F2D1E">
            <w:pPr>
              <w:jc w:val="right"/>
              <w:rPr>
                <w:rFonts w:ascii="Times New Roman" w:hAnsi="Times New Roman"/>
                <w:sz w:val="14"/>
                <w:szCs w:val="14"/>
              </w:rPr>
            </w:pPr>
            <w:r w:rsidRPr="009F2D1E">
              <w:rPr>
                <w:sz w:val="14"/>
                <w:szCs w:val="14"/>
              </w:rPr>
              <w:t>1887,79</w:t>
            </w:r>
          </w:p>
        </w:tc>
      </w:tr>
      <w:tr w:rsidR="001D4AFA" w:rsidRPr="00364545" w14:paraId="7B5101EE"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173FAE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596C48C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2A2FE4B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A66F6B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2B12711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7D8A41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3C07338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57A591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DC40EA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5722A6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57D18B4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CD834A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2D689D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217683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5AAE8D9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A18903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1B941B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B19F7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5E47E8E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7BDCDB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178AA8E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3D7D4B5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0AC09B7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FD9E670"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B61C7C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13AEF4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3CFAF8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323A67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09B53ED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93815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47A0689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D698EB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56A51B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2ACDE3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37A04F2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C0A43D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0D98EC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5477C4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auto" w:fill="A6A6A6" w:themeFill="background1" w:themeFillShade="A6"/>
            <w:vAlign w:val="bottom"/>
          </w:tcPr>
          <w:p w14:paraId="62777FA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F8377B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595339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78" w:type="dxa"/>
            <w:tcBorders>
              <w:top w:val="nil"/>
              <w:left w:val="nil"/>
              <w:bottom w:val="single" w:sz="4" w:space="0" w:color="auto"/>
              <w:right w:val="single" w:sz="4" w:space="0" w:color="auto"/>
            </w:tcBorders>
            <w:shd w:val="clear" w:color="000000" w:fill="FFFFFF"/>
            <w:noWrap/>
            <w:vAlign w:val="bottom"/>
            <w:hideMark/>
          </w:tcPr>
          <w:p w14:paraId="77E9D0C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5FFBF5F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6017755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7EFE8E4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6A5590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1054C7D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DC2DE7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193B36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78" w:type="dxa"/>
            <w:tcBorders>
              <w:top w:val="nil"/>
              <w:left w:val="nil"/>
              <w:bottom w:val="single" w:sz="4" w:space="0" w:color="auto"/>
              <w:right w:val="single" w:sz="4" w:space="0" w:color="auto"/>
            </w:tcBorders>
            <w:shd w:val="clear" w:color="000000" w:fill="FFFFFF"/>
            <w:noWrap/>
            <w:vAlign w:val="bottom"/>
            <w:hideMark/>
          </w:tcPr>
          <w:p w14:paraId="6A56DBD9" w14:textId="77777777" w:rsidR="001D4AFA" w:rsidRPr="009F2D1E" w:rsidRDefault="001D4AFA" w:rsidP="009F2D1E">
            <w:pPr>
              <w:jc w:val="right"/>
              <w:rPr>
                <w:rFonts w:ascii="Times New Roman" w:hAnsi="Times New Roman"/>
                <w:sz w:val="14"/>
                <w:szCs w:val="14"/>
              </w:rPr>
            </w:pPr>
            <w:r w:rsidRPr="009F2D1E">
              <w:rPr>
                <w:sz w:val="14"/>
                <w:szCs w:val="14"/>
              </w:rPr>
              <w:t>928,97</w:t>
            </w:r>
          </w:p>
        </w:tc>
        <w:tc>
          <w:tcPr>
            <w:tcW w:w="1192" w:type="dxa"/>
            <w:tcBorders>
              <w:top w:val="nil"/>
              <w:left w:val="nil"/>
              <w:bottom w:val="single" w:sz="4" w:space="0" w:color="auto"/>
              <w:right w:val="single" w:sz="4" w:space="0" w:color="auto"/>
            </w:tcBorders>
            <w:shd w:val="clear" w:color="000000" w:fill="FFFFFF"/>
            <w:noWrap/>
            <w:vAlign w:val="bottom"/>
            <w:hideMark/>
          </w:tcPr>
          <w:p w14:paraId="213CF4B7" w14:textId="77777777" w:rsidR="001D4AFA" w:rsidRPr="009F2D1E" w:rsidRDefault="001D4AFA" w:rsidP="009F2D1E">
            <w:pPr>
              <w:jc w:val="right"/>
              <w:rPr>
                <w:rFonts w:ascii="Times New Roman" w:hAnsi="Times New Roman"/>
                <w:sz w:val="14"/>
                <w:szCs w:val="14"/>
              </w:rPr>
            </w:pPr>
            <w:r w:rsidRPr="009F2D1E">
              <w:rPr>
                <w:sz w:val="14"/>
                <w:szCs w:val="14"/>
              </w:rPr>
              <w:t>950,70</w:t>
            </w:r>
          </w:p>
        </w:tc>
        <w:tc>
          <w:tcPr>
            <w:tcW w:w="1178" w:type="dxa"/>
            <w:tcBorders>
              <w:top w:val="nil"/>
              <w:left w:val="nil"/>
              <w:bottom w:val="single" w:sz="4" w:space="0" w:color="auto"/>
              <w:right w:val="single" w:sz="4" w:space="0" w:color="auto"/>
            </w:tcBorders>
            <w:shd w:val="clear" w:color="000000" w:fill="FFFFFF"/>
            <w:noWrap/>
            <w:vAlign w:val="bottom"/>
            <w:hideMark/>
          </w:tcPr>
          <w:p w14:paraId="3A84E500" w14:textId="77777777" w:rsidR="001D4AFA" w:rsidRPr="009F2D1E" w:rsidRDefault="001D4AFA" w:rsidP="009F2D1E">
            <w:pPr>
              <w:jc w:val="right"/>
              <w:rPr>
                <w:rFonts w:ascii="Times New Roman" w:hAnsi="Times New Roman"/>
                <w:sz w:val="14"/>
                <w:szCs w:val="14"/>
              </w:rPr>
            </w:pPr>
            <w:r w:rsidRPr="009F2D1E">
              <w:rPr>
                <w:sz w:val="14"/>
                <w:szCs w:val="14"/>
              </w:rPr>
              <w:t>987,29</w:t>
            </w:r>
          </w:p>
        </w:tc>
        <w:tc>
          <w:tcPr>
            <w:tcW w:w="1164" w:type="dxa"/>
            <w:tcBorders>
              <w:top w:val="nil"/>
              <w:left w:val="nil"/>
              <w:bottom w:val="single" w:sz="4" w:space="0" w:color="auto"/>
              <w:right w:val="single" w:sz="4" w:space="0" w:color="auto"/>
            </w:tcBorders>
            <w:shd w:val="clear" w:color="000000" w:fill="FFFFFF"/>
            <w:noWrap/>
            <w:vAlign w:val="bottom"/>
            <w:hideMark/>
          </w:tcPr>
          <w:p w14:paraId="175206A5" w14:textId="77777777" w:rsidR="001D4AFA" w:rsidRPr="009F2D1E" w:rsidRDefault="001D4AFA" w:rsidP="009F2D1E">
            <w:pPr>
              <w:jc w:val="right"/>
              <w:rPr>
                <w:rFonts w:ascii="Times New Roman" w:hAnsi="Times New Roman"/>
                <w:sz w:val="14"/>
                <w:szCs w:val="14"/>
              </w:rPr>
            </w:pPr>
            <w:r w:rsidRPr="009F2D1E">
              <w:rPr>
                <w:sz w:val="14"/>
                <w:szCs w:val="14"/>
              </w:rPr>
              <w:t>960,86</w:t>
            </w:r>
          </w:p>
        </w:tc>
        <w:tc>
          <w:tcPr>
            <w:tcW w:w="1193" w:type="dxa"/>
            <w:tcBorders>
              <w:top w:val="nil"/>
              <w:left w:val="nil"/>
              <w:bottom w:val="single" w:sz="4" w:space="0" w:color="auto"/>
              <w:right w:val="single" w:sz="4" w:space="0" w:color="auto"/>
            </w:tcBorders>
            <w:shd w:val="clear" w:color="000000" w:fill="FFFFFF"/>
            <w:noWrap/>
            <w:vAlign w:val="bottom"/>
            <w:hideMark/>
          </w:tcPr>
          <w:p w14:paraId="40D5B305" w14:textId="77777777" w:rsidR="001D4AFA" w:rsidRPr="009F2D1E" w:rsidRDefault="001D4AFA" w:rsidP="009F2D1E">
            <w:pPr>
              <w:jc w:val="right"/>
              <w:rPr>
                <w:rFonts w:ascii="Times New Roman" w:hAnsi="Times New Roman"/>
                <w:sz w:val="14"/>
                <w:szCs w:val="14"/>
              </w:rPr>
            </w:pPr>
            <w:r w:rsidRPr="009F2D1E">
              <w:rPr>
                <w:sz w:val="14"/>
                <w:szCs w:val="14"/>
              </w:rPr>
              <w:t>913,99</w:t>
            </w:r>
          </w:p>
        </w:tc>
        <w:tc>
          <w:tcPr>
            <w:tcW w:w="1179" w:type="dxa"/>
            <w:tcBorders>
              <w:top w:val="nil"/>
              <w:left w:val="nil"/>
              <w:bottom w:val="single" w:sz="4" w:space="0" w:color="auto"/>
              <w:right w:val="single" w:sz="4" w:space="0" w:color="auto"/>
            </w:tcBorders>
            <w:shd w:val="clear" w:color="000000" w:fill="FFFFFF"/>
            <w:vAlign w:val="bottom"/>
          </w:tcPr>
          <w:p w14:paraId="6141A0CE" w14:textId="77777777" w:rsidR="001D4AFA" w:rsidRPr="009F2D1E" w:rsidRDefault="001D4AFA" w:rsidP="009F2D1E">
            <w:pPr>
              <w:jc w:val="right"/>
              <w:rPr>
                <w:rFonts w:ascii="Times New Roman" w:hAnsi="Times New Roman"/>
                <w:sz w:val="14"/>
                <w:szCs w:val="14"/>
              </w:rPr>
            </w:pPr>
            <w:r w:rsidRPr="009F2D1E">
              <w:rPr>
                <w:sz w:val="14"/>
                <w:szCs w:val="14"/>
              </w:rPr>
              <w:t>859,65</w:t>
            </w:r>
          </w:p>
        </w:tc>
      </w:tr>
      <w:tr w:rsidR="001D4AFA" w:rsidRPr="00364545" w14:paraId="377D1FA9"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7DC8C9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78" w:type="dxa"/>
            <w:tcBorders>
              <w:top w:val="nil"/>
              <w:left w:val="nil"/>
              <w:bottom w:val="single" w:sz="4" w:space="0" w:color="auto"/>
              <w:right w:val="single" w:sz="4" w:space="0" w:color="auto"/>
            </w:tcBorders>
            <w:shd w:val="clear" w:color="000000" w:fill="FFFFFF"/>
            <w:noWrap/>
            <w:vAlign w:val="bottom"/>
            <w:hideMark/>
          </w:tcPr>
          <w:p w14:paraId="53093F49" w14:textId="77777777" w:rsidR="001D4AFA" w:rsidRPr="009F2D1E" w:rsidRDefault="001D4AFA" w:rsidP="009F2D1E">
            <w:pPr>
              <w:jc w:val="right"/>
              <w:rPr>
                <w:rFonts w:ascii="Times New Roman" w:hAnsi="Times New Roman"/>
                <w:sz w:val="14"/>
                <w:szCs w:val="14"/>
              </w:rPr>
            </w:pPr>
            <w:r w:rsidRPr="009F2D1E">
              <w:rPr>
                <w:sz w:val="14"/>
                <w:szCs w:val="14"/>
              </w:rPr>
              <w:t>868,58</w:t>
            </w:r>
          </w:p>
        </w:tc>
        <w:tc>
          <w:tcPr>
            <w:tcW w:w="1192" w:type="dxa"/>
            <w:tcBorders>
              <w:top w:val="nil"/>
              <w:left w:val="nil"/>
              <w:bottom w:val="single" w:sz="4" w:space="0" w:color="auto"/>
              <w:right w:val="single" w:sz="4" w:space="0" w:color="auto"/>
            </w:tcBorders>
            <w:shd w:val="clear" w:color="000000" w:fill="FFFFFF"/>
            <w:noWrap/>
            <w:vAlign w:val="bottom"/>
            <w:hideMark/>
          </w:tcPr>
          <w:p w14:paraId="24CDBE98" w14:textId="77777777" w:rsidR="001D4AFA" w:rsidRPr="009F2D1E" w:rsidRDefault="001D4AFA" w:rsidP="009F2D1E">
            <w:pPr>
              <w:jc w:val="right"/>
              <w:rPr>
                <w:rFonts w:ascii="Times New Roman" w:hAnsi="Times New Roman"/>
                <w:sz w:val="14"/>
                <w:szCs w:val="14"/>
              </w:rPr>
            </w:pPr>
            <w:r w:rsidRPr="009F2D1E">
              <w:rPr>
                <w:sz w:val="14"/>
                <w:szCs w:val="14"/>
              </w:rPr>
              <w:t>849,82</w:t>
            </w:r>
          </w:p>
        </w:tc>
        <w:tc>
          <w:tcPr>
            <w:tcW w:w="1178" w:type="dxa"/>
            <w:tcBorders>
              <w:top w:val="nil"/>
              <w:left w:val="nil"/>
              <w:bottom w:val="single" w:sz="4" w:space="0" w:color="auto"/>
              <w:right w:val="single" w:sz="4" w:space="0" w:color="auto"/>
            </w:tcBorders>
            <w:shd w:val="clear" w:color="000000" w:fill="FFFFFF"/>
            <w:noWrap/>
            <w:vAlign w:val="bottom"/>
            <w:hideMark/>
          </w:tcPr>
          <w:p w14:paraId="0415965A" w14:textId="77777777" w:rsidR="001D4AFA" w:rsidRPr="009F2D1E" w:rsidRDefault="001D4AFA" w:rsidP="009F2D1E">
            <w:pPr>
              <w:jc w:val="right"/>
              <w:rPr>
                <w:rFonts w:ascii="Times New Roman" w:hAnsi="Times New Roman"/>
                <w:sz w:val="14"/>
                <w:szCs w:val="14"/>
              </w:rPr>
            </w:pPr>
            <w:r w:rsidRPr="009F2D1E">
              <w:rPr>
                <w:sz w:val="14"/>
                <w:szCs w:val="14"/>
              </w:rPr>
              <w:t>864,33</w:t>
            </w:r>
          </w:p>
        </w:tc>
        <w:tc>
          <w:tcPr>
            <w:tcW w:w="1164" w:type="dxa"/>
            <w:tcBorders>
              <w:top w:val="nil"/>
              <w:left w:val="nil"/>
              <w:bottom w:val="single" w:sz="4" w:space="0" w:color="auto"/>
              <w:right w:val="single" w:sz="4" w:space="0" w:color="auto"/>
            </w:tcBorders>
            <w:shd w:val="clear" w:color="000000" w:fill="FFFFFF"/>
            <w:noWrap/>
            <w:vAlign w:val="bottom"/>
            <w:hideMark/>
          </w:tcPr>
          <w:p w14:paraId="4B35B8F6" w14:textId="77777777" w:rsidR="001D4AFA" w:rsidRPr="009F2D1E" w:rsidRDefault="001D4AFA" w:rsidP="009F2D1E">
            <w:pPr>
              <w:jc w:val="right"/>
              <w:rPr>
                <w:rFonts w:ascii="Times New Roman" w:hAnsi="Times New Roman"/>
                <w:sz w:val="14"/>
                <w:szCs w:val="14"/>
              </w:rPr>
            </w:pPr>
            <w:r w:rsidRPr="009F2D1E">
              <w:rPr>
                <w:sz w:val="14"/>
                <w:szCs w:val="14"/>
              </w:rPr>
              <w:t>867,16</w:t>
            </w:r>
          </w:p>
        </w:tc>
        <w:tc>
          <w:tcPr>
            <w:tcW w:w="1193" w:type="dxa"/>
            <w:tcBorders>
              <w:top w:val="nil"/>
              <w:left w:val="nil"/>
              <w:bottom w:val="single" w:sz="4" w:space="0" w:color="auto"/>
              <w:right w:val="single" w:sz="4" w:space="0" w:color="auto"/>
            </w:tcBorders>
            <w:shd w:val="clear" w:color="000000" w:fill="FFFFFF"/>
            <w:noWrap/>
            <w:vAlign w:val="bottom"/>
            <w:hideMark/>
          </w:tcPr>
          <w:p w14:paraId="67058D08" w14:textId="77777777" w:rsidR="001D4AFA" w:rsidRPr="009F2D1E" w:rsidRDefault="001D4AFA" w:rsidP="009F2D1E">
            <w:pPr>
              <w:jc w:val="right"/>
              <w:rPr>
                <w:rFonts w:ascii="Times New Roman" w:hAnsi="Times New Roman"/>
                <w:sz w:val="14"/>
                <w:szCs w:val="14"/>
              </w:rPr>
            </w:pPr>
            <w:r w:rsidRPr="009F2D1E">
              <w:rPr>
                <w:sz w:val="14"/>
                <w:szCs w:val="14"/>
              </w:rPr>
              <w:t>885,62</w:t>
            </w:r>
          </w:p>
        </w:tc>
        <w:tc>
          <w:tcPr>
            <w:tcW w:w="1179" w:type="dxa"/>
            <w:tcBorders>
              <w:top w:val="nil"/>
              <w:left w:val="nil"/>
              <w:bottom w:val="single" w:sz="4" w:space="0" w:color="auto"/>
              <w:right w:val="single" w:sz="4" w:space="0" w:color="auto"/>
            </w:tcBorders>
            <w:shd w:val="clear" w:color="000000" w:fill="FFFFFF"/>
            <w:vAlign w:val="bottom"/>
          </w:tcPr>
          <w:p w14:paraId="5B0059AD" w14:textId="77777777" w:rsidR="001D4AFA" w:rsidRPr="009F2D1E" w:rsidRDefault="001D4AFA" w:rsidP="009F2D1E">
            <w:pPr>
              <w:jc w:val="right"/>
              <w:rPr>
                <w:rFonts w:ascii="Times New Roman" w:hAnsi="Times New Roman"/>
                <w:sz w:val="14"/>
                <w:szCs w:val="14"/>
              </w:rPr>
            </w:pPr>
            <w:r w:rsidRPr="009F2D1E">
              <w:rPr>
                <w:sz w:val="14"/>
                <w:szCs w:val="14"/>
              </w:rPr>
              <w:t>872,19</w:t>
            </w:r>
          </w:p>
        </w:tc>
      </w:tr>
      <w:tr w:rsidR="001D4AFA" w:rsidRPr="00364545" w14:paraId="4CC7AB49"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63459C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78" w:type="dxa"/>
            <w:tcBorders>
              <w:top w:val="nil"/>
              <w:left w:val="nil"/>
              <w:bottom w:val="single" w:sz="4" w:space="0" w:color="auto"/>
              <w:right w:val="single" w:sz="4" w:space="0" w:color="auto"/>
            </w:tcBorders>
            <w:shd w:val="clear" w:color="000000" w:fill="FFFFFF"/>
            <w:noWrap/>
            <w:vAlign w:val="bottom"/>
            <w:hideMark/>
          </w:tcPr>
          <w:p w14:paraId="31642645" w14:textId="77777777" w:rsidR="001D4AFA" w:rsidRPr="009F2D1E" w:rsidRDefault="001D4AFA" w:rsidP="009F2D1E">
            <w:pPr>
              <w:jc w:val="right"/>
              <w:rPr>
                <w:rFonts w:ascii="Times New Roman" w:hAnsi="Times New Roman"/>
                <w:sz w:val="14"/>
                <w:szCs w:val="14"/>
              </w:rPr>
            </w:pPr>
            <w:r w:rsidRPr="009F2D1E">
              <w:rPr>
                <w:sz w:val="14"/>
                <w:szCs w:val="14"/>
              </w:rPr>
              <w:t>161,66</w:t>
            </w:r>
          </w:p>
        </w:tc>
        <w:tc>
          <w:tcPr>
            <w:tcW w:w="1192" w:type="dxa"/>
            <w:tcBorders>
              <w:top w:val="nil"/>
              <w:left w:val="nil"/>
              <w:bottom w:val="single" w:sz="4" w:space="0" w:color="auto"/>
              <w:right w:val="single" w:sz="4" w:space="0" w:color="auto"/>
            </w:tcBorders>
            <w:shd w:val="clear" w:color="000000" w:fill="FFFFFF"/>
            <w:noWrap/>
            <w:vAlign w:val="bottom"/>
            <w:hideMark/>
          </w:tcPr>
          <w:p w14:paraId="6A1CE0C8" w14:textId="77777777" w:rsidR="001D4AFA" w:rsidRPr="009F2D1E" w:rsidRDefault="001D4AFA" w:rsidP="009F2D1E">
            <w:pPr>
              <w:jc w:val="right"/>
              <w:rPr>
                <w:rFonts w:ascii="Times New Roman" w:hAnsi="Times New Roman"/>
                <w:sz w:val="14"/>
                <w:szCs w:val="14"/>
              </w:rPr>
            </w:pPr>
            <w:r w:rsidRPr="009F2D1E">
              <w:rPr>
                <w:sz w:val="14"/>
                <w:szCs w:val="14"/>
              </w:rPr>
              <w:t>155,28</w:t>
            </w:r>
          </w:p>
        </w:tc>
        <w:tc>
          <w:tcPr>
            <w:tcW w:w="1178" w:type="dxa"/>
            <w:tcBorders>
              <w:top w:val="nil"/>
              <w:left w:val="nil"/>
              <w:bottom w:val="single" w:sz="4" w:space="0" w:color="auto"/>
              <w:right w:val="single" w:sz="4" w:space="0" w:color="auto"/>
            </w:tcBorders>
            <w:shd w:val="clear" w:color="000000" w:fill="FFFFFF"/>
            <w:noWrap/>
            <w:vAlign w:val="bottom"/>
            <w:hideMark/>
          </w:tcPr>
          <w:p w14:paraId="70E84FF0" w14:textId="77777777" w:rsidR="001D4AFA" w:rsidRPr="009F2D1E" w:rsidRDefault="001D4AFA" w:rsidP="009F2D1E">
            <w:pPr>
              <w:jc w:val="right"/>
              <w:rPr>
                <w:rFonts w:ascii="Times New Roman" w:hAnsi="Times New Roman"/>
                <w:sz w:val="14"/>
                <w:szCs w:val="14"/>
              </w:rPr>
            </w:pPr>
            <w:r w:rsidRPr="009F2D1E">
              <w:rPr>
                <w:sz w:val="14"/>
                <w:szCs w:val="14"/>
              </w:rPr>
              <w:t>146,65</w:t>
            </w:r>
          </w:p>
        </w:tc>
        <w:tc>
          <w:tcPr>
            <w:tcW w:w="1164" w:type="dxa"/>
            <w:tcBorders>
              <w:top w:val="nil"/>
              <w:left w:val="nil"/>
              <w:bottom w:val="single" w:sz="4" w:space="0" w:color="auto"/>
              <w:right w:val="single" w:sz="4" w:space="0" w:color="auto"/>
            </w:tcBorders>
            <w:shd w:val="clear" w:color="000000" w:fill="FFFFFF"/>
            <w:noWrap/>
            <w:vAlign w:val="bottom"/>
            <w:hideMark/>
          </w:tcPr>
          <w:p w14:paraId="1B4FB0FC" w14:textId="77777777" w:rsidR="001D4AFA" w:rsidRPr="009F2D1E" w:rsidRDefault="001D4AFA" w:rsidP="009F2D1E">
            <w:pPr>
              <w:jc w:val="right"/>
              <w:rPr>
                <w:rFonts w:ascii="Times New Roman" w:hAnsi="Times New Roman"/>
                <w:sz w:val="14"/>
                <w:szCs w:val="14"/>
              </w:rPr>
            </w:pPr>
            <w:r w:rsidRPr="009F2D1E">
              <w:rPr>
                <w:sz w:val="14"/>
                <w:szCs w:val="14"/>
              </w:rPr>
              <w:t>158,78</w:t>
            </w:r>
          </w:p>
        </w:tc>
        <w:tc>
          <w:tcPr>
            <w:tcW w:w="1193" w:type="dxa"/>
            <w:tcBorders>
              <w:top w:val="nil"/>
              <w:left w:val="nil"/>
              <w:bottom w:val="single" w:sz="4" w:space="0" w:color="auto"/>
              <w:right w:val="single" w:sz="4" w:space="0" w:color="auto"/>
            </w:tcBorders>
            <w:shd w:val="clear" w:color="000000" w:fill="FFFFFF"/>
            <w:noWrap/>
            <w:vAlign w:val="bottom"/>
            <w:hideMark/>
          </w:tcPr>
          <w:p w14:paraId="5B4584B1" w14:textId="77777777" w:rsidR="001D4AFA" w:rsidRPr="009F2D1E" w:rsidRDefault="001D4AFA" w:rsidP="009F2D1E">
            <w:pPr>
              <w:jc w:val="right"/>
              <w:rPr>
                <w:rFonts w:ascii="Times New Roman" w:hAnsi="Times New Roman"/>
                <w:sz w:val="14"/>
                <w:szCs w:val="14"/>
              </w:rPr>
            </w:pPr>
            <w:r w:rsidRPr="009F2D1E">
              <w:rPr>
                <w:sz w:val="14"/>
                <w:szCs w:val="14"/>
              </w:rPr>
              <w:t>165,43</w:t>
            </w:r>
          </w:p>
        </w:tc>
        <w:tc>
          <w:tcPr>
            <w:tcW w:w="1179" w:type="dxa"/>
            <w:tcBorders>
              <w:top w:val="nil"/>
              <w:left w:val="nil"/>
              <w:bottom w:val="single" w:sz="4" w:space="0" w:color="auto"/>
              <w:right w:val="single" w:sz="4" w:space="0" w:color="auto"/>
            </w:tcBorders>
            <w:shd w:val="clear" w:color="000000" w:fill="FFFFFF"/>
            <w:vAlign w:val="bottom"/>
          </w:tcPr>
          <w:p w14:paraId="15006FA4" w14:textId="77777777" w:rsidR="001D4AFA" w:rsidRPr="009F2D1E" w:rsidRDefault="001D4AFA" w:rsidP="009F2D1E">
            <w:pPr>
              <w:jc w:val="right"/>
              <w:rPr>
                <w:rFonts w:ascii="Times New Roman" w:hAnsi="Times New Roman"/>
                <w:sz w:val="14"/>
                <w:szCs w:val="14"/>
              </w:rPr>
            </w:pPr>
            <w:r w:rsidRPr="009F2D1E">
              <w:rPr>
                <w:sz w:val="14"/>
                <w:szCs w:val="14"/>
              </w:rPr>
              <w:t>155,95</w:t>
            </w:r>
          </w:p>
        </w:tc>
      </w:tr>
      <w:tr w:rsidR="001D4AFA" w:rsidRPr="00364545" w14:paraId="45E2ECB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302FF0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78" w:type="dxa"/>
            <w:tcBorders>
              <w:top w:val="nil"/>
              <w:left w:val="nil"/>
              <w:bottom w:val="single" w:sz="4" w:space="0" w:color="auto"/>
              <w:right w:val="single" w:sz="4" w:space="0" w:color="auto"/>
            </w:tcBorders>
            <w:shd w:val="clear" w:color="000000" w:fill="FFFFFF"/>
            <w:noWrap/>
            <w:vAlign w:val="bottom"/>
            <w:hideMark/>
          </w:tcPr>
          <w:p w14:paraId="44FDFAB8"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5E883C8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2B86350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56ABF87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1E67172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73EF7EDD"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2E8DFA21"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bottom"/>
            <w:hideMark/>
          </w:tcPr>
          <w:p w14:paraId="2DA092E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78" w:type="dxa"/>
            <w:tcBorders>
              <w:top w:val="nil"/>
              <w:left w:val="nil"/>
              <w:bottom w:val="single" w:sz="4" w:space="0" w:color="auto"/>
              <w:right w:val="single" w:sz="4" w:space="0" w:color="auto"/>
            </w:tcBorders>
            <w:shd w:val="clear" w:color="000000" w:fill="CCFFFF"/>
            <w:noWrap/>
            <w:vAlign w:val="bottom"/>
            <w:hideMark/>
          </w:tcPr>
          <w:p w14:paraId="04319BDE" w14:textId="77777777" w:rsidR="001D4AFA" w:rsidRPr="009F2D1E" w:rsidRDefault="001D4AFA" w:rsidP="009F2D1E">
            <w:pPr>
              <w:jc w:val="right"/>
              <w:rPr>
                <w:rFonts w:ascii="Times New Roman" w:hAnsi="Times New Roman"/>
                <w:sz w:val="14"/>
                <w:szCs w:val="14"/>
              </w:rPr>
            </w:pPr>
            <w:r w:rsidRPr="009F2D1E">
              <w:rPr>
                <w:sz w:val="14"/>
                <w:szCs w:val="14"/>
              </w:rPr>
              <w:t>-36227,75</w:t>
            </w:r>
          </w:p>
        </w:tc>
        <w:tc>
          <w:tcPr>
            <w:tcW w:w="1192" w:type="dxa"/>
            <w:tcBorders>
              <w:top w:val="nil"/>
              <w:left w:val="nil"/>
              <w:bottom w:val="single" w:sz="4" w:space="0" w:color="auto"/>
              <w:right w:val="single" w:sz="4" w:space="0" w:color="auto"/>
            </w:tcBorders>
            <w:shd w:val="clear" w:color="000000" w:fill="CCFFFF"/>
            <w:noWrap/>
            <w:vAlign w:val="bottom"/>
            <w:hideMark/>
          </w:tcPr>
          <w:p w14:paraId="7E353A3C" w14:textId="77777777" w:rsidR="001D4AFA" w:rsidRPr="009F2D1E" w:rsidRDefault="001D4AFA" w:rsidP="009F2D1E">
            <w:pPr>
              <w:jc w:val="right"/>
              <w:rPr>
                <w:rFonts w:ascii="Times New Roman" w:hAnsi="Times New Roman"/>
                <w:sz w:val="14"/>
                <w:szCs w:val="14"/>
              </w:rPr>
            </w:pPr>
            <w:r w:rsidRPr="009F2D1E">
              <w:rPr>
                <w:sz w:val="14"/>
                <w:szCs w:val="14"/>
              </w:rPr>
              <w:t>-44903,18</w:t>
            </w:r>
          </w:p>
        </w:tc>
        <w:tc>
          <w:tcPr>
            <w:tcW w:w="1178" w:type="dxa"/>
            <w:tcBorders>
              <w:top w:val="nil"/>
              <w:left w:val="nil"/>
              <w:bottom w:val="single" w:sz="4" w:space="0" w:color="auto"/>
              <w:right w:val="single" w:sz="4" w:space="0" w:color="auto"/>
            </w:tcBorders>
            <w:shd w:val="clear" w:color="000000" w:fill="CCFFFF"/>
            <w:noWrap/>
            <w:vAlign w:val="bottom"/>
            <w:hideMark/>
          </w:tcPr>
          <w:p w14:paraId="5B07FE8A" w14:textId="77777777" w:rsidR="001D4AFA" w:rsidRPr="009F2D1E" w:rsidRDefault="001D4AFA" w:rsidP="009F2D1E">
            <w:pPr>
              <w:jc w:val="right"/>
              <w:rPr>
                <w:rFonts w:ascii="Times New Roman" w:hAnsi="Times New Roman"/>
                <w:sz w:val="14"/>
                <w:szCs w:val="14"/>
              </w:rPr>
            </w:pPr>
            <w:r w:rsidRPr="009F2D1E">
              <w:rPr>
                <w:sz w:val="14"/>
                <w:szCs w:val="14"/>
              </w:rPr>
              <w:t>-47798,99</w:t>
            </w:r>
          </w:p>
        </w:tc>
        <w:tc>
          <w:tcPr>
            <w:tcW w:w="1164" w:type="dxa"/>
            <w:tcBorders>
              <w:top w:val="nil"/>
              <w:left w:val="nil"/>
              <w:bottom w:val="single" w:sz="4" w:space="0" w:color="auto"/>
              <w:right w:val="single" w:sz="4" w:space="0" w:color="auto"/>
            </w:tcBorders>
            <w:shd w:val="clear" w:color="000000" w:fill="CCFFFF"/>
            <w:noWrap/>
            <w:vAlign w:val="bottom"/>
            <w:hideMark/>
          </w:tcPr>
          <w:p w14:paraId="5CBCDFF4" w14:textId="77777777" w:rsidR="001D4AFA" w:rsidRPr="009F2D1E" w:rsidRDefault="001D4AFA" w:rsidP="009F2D1E">
            <w:pPr>
              <w:jc w:val="right"/>
              <w:rPr>
                <w:rFonts w:ascii="Times New Roman" w:hAnsi="Times New Roman"/>
                <w:sz w:val="14"/>
                <w:szCs w:val="14"/>
              </w:rPr>
            </w:pPr>
            <w:r w:rsidRPr="009F2D1E">
              <w:rPr>
                <w:sz w:val="14"/>
                <w:szCs w:val="14"/>
              </w:rPr>
              <w:t>-50775,43</w:t>
            </w:r>
          </w:p>
        </w:tc>
        <w:tc>
          <w:tcPr>
            <w:tcW w:w="1193" w:type="dxa"/>
            <w:tcBorders>
              <w:top w:val="nil"/>
              <w:left w:val="nil"/>
              <w:bottom w:val="single" w:sz="4" w:space="0" w:color="auto"/>
              <w:right w:val="single" w:sz="4" w:space="0" w:color="auto"/>
            </w:tcBorders>
            <w:shd w:val="clear" w:color="000000" w:fill="CCFFFF"/>
            <w:noWrap/>
            <w:vAlign w:val="bottom"/>
            <w:hideMark/>
          </w:tcPr>
          <w:p w14:paraId="54E87C17" w14:textId="77777777" w:rsidR="001D4AFA" w:rsidRPr="009F2D1E" w:rsidRDefault="001D4AFA" w:rsidP="009F2D1E">
            <w:pPr>
              <w:jc w:val="right"/>
              <w:rPr>
                <w:rFonts w:ascii="Times New Roman" w:hAnsi="Times New Roman"/>
                <w:sz w:val="14"/>
                <w:szCs w:val="14"/>
              </w:rPr>
            </w:pPr>
            <w:r w:rsidRPr="009F2D1E">
              <w:rPr>
                <w:sz w:val="14"/>
                <w:szCs w:val="14"/>
              </w:rPr>
              <w:t>-51471,48</w:t>
            </w:r>
          </w:p>
        </w:tc>
        <w:tc>
          <w:tcPr>
            <w:tcW w:w="1179" w:type="dxa"/>
            <w:tcBorders>
              <w:top w:val="nil"/>
              <w:left w:val="nil"/>
              <w:bottom w:val="single" w:sz="4" w:space="0" w:color="auto"/>
              <w:right w:val="single" w:sz="4" w:space="0" w:color="auto"/>
            </w:tcBorders>
            <w:shd w:val="clear" w:color="000000" w:fill="CCFFFF"/>
            <w:vAlign w:val="bottom"/>
          </w:tcPr>
          <w:p w14:paraId="75ED6022" w14:textId="77777777" w:rsidR="001D4AFA" w:rsidRPr="009F2D1E" w:rsidRDefault="001D4AFA" w:rsidP="009F2D1E">
            <w:pPr>
              <w:jc w:val="right"/>
              <w:rPr>
                <w:rFonts w:ascii="Times New Roman" w:hAnsi="Times New Roman"/>
                <w:sz w:val="14"/>
                <w:szCs w:val="14"/>
              </w:rPr>
            </w:pPr>
            <w:r w:rsidRPr="009F2D1E">
              <w:rPr>
                <w:sz w:val="14"/>
                <w:szCs w:val="14"/>
              </w:rPr>
              <w:t>-53137,94</w:t>
            </w:r>
          </w:p>
        </w:tc>
      </w:tr>
      <w:tr w:rsidR="001D4AFA" w:rsidRPr="00364545" w14:paraId="123C50F3"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7C18E8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78" w:type="dxa"/>
            <w:tcBorders>
              <w:top w:val="nil"/>
              <w:left w:val="nil"/>
              <w:bottom w:val="single" w:sz="4" w:space="0" w:color="auto"/>
              <w:right w:val="single" w:sz="4" w:space="0" w:color="auto"/>
            </w:tcBorders>
            <w:shd w:val="clear" w:color="000000" w:fill="FFFFFF"/>
            <w:noWrap/>
            <w:vAlign w:val="bottom"/>
            <w:hideMark/>
          </w:tcPr>
          <w:p w14:paraId="77863A11" w14:textId="77777777" w:rsidR="001D4AFA" w:rsidRPr="009F2D1E" w:rsidRDefault="001D4AFA" w:rsidP="009F2D1E">
            <w:pPr>
              <w:jc w:val="right"/>
              <w:rPr>
                <w:rFonts w:ascii="Times New Roman" w:hAnsi="Times New Roman"/>
                <w:sz w:val="14"/>
                <w:szCs w:val="14"/>
              </w:rPr>
            </w:pPr>
            <w:r w:rsidRPr="009F2D1E">
              <w:rPr>
                <w:sz w:val="14"/>
                <w:szCs w:val="14"/>
              </w:rPr>
              <w:t>-47189,61</w:t>
            </w:r>
          </w:p>
        </w:tc>
        <w:tc>
          <w:tcPr>
            <w:tcW w:w="1192" w:type="dxa"/>
            <w:tcBorders>
              <w:top w:val="nil"/>
              <w:left w:val="nil"/>
              <w:bottom w:val="single" w:sz="4" w:space="0" w:color="auto"/>
              <w:right w:val="single" w:sz="4" w:space="0" w:color="auto"/>
            </w:tcBorders>
            <w:shd w:val="clear" w:color="000000" w:fill="FFFFFF"/>
            <w:noWrap/>
            <w:vAlign w:val="bottom"/>
            <w:hideMark/>
          </w:tcPr>
          <w:p w14:paraId="736E9AA1" w14:textId="77777777" w:rsidR="001D4AFA" w:rsidRPr="009F2D1E" w:rsidRDefault="001D4AFA" w:rsidP="009F2D1E">
            <w:pPr>
              <w:jc w:val="right"/>
              <w:rPr>
                <w:rFonts w:ascii="Times New Roman" w:hAnsi="Times New Roman"/>
                <w:sz w:val="14"/>
                <w:szCs w:val="14"/>
              </w:rPr>
            </w:pPr>
            <w:r w:rsidRPr="009F2D1E">
              <w:rPr>
                <w:sz w:val="14"/>
                <w:szCs w:val="14"/>
              </w:rPr>
              <w:t>-56777,26</w:t>
            </w:r>
          </w:p>
        </w:tc>
        <w:tc>
          <w:tcPr>
            <w:tcW w:w="1178" w:type="dxa"/>
            <w:tcBorders>
              <w:top w:val="nil"/>
              <w:left w:val="nil"/>
              <w:bottom w:val="single" w:sz="4" w:space="0" w:color="auto"/>
              <w:right w:val="single" w:sz="4" w:space="0" w:color="auto"/>
            </w:tcBorders>
            <w:shd w:val="clear" w:color="000000" w:fill="FFFFFF"/>
            <w:noWrap/>
            <w:vAlign w:val="bottom"/>
            <w:hideMark/>
          </w:tcPr>
          <w:p w14:paraId="752F0773" w14:textId="77777777" w:rsidR="001D4AFA" w:rsidRPr="009F2D1E" w:rsidRDefault="001D4AFA" w:rsidP="009F2D1E">
            <w:pPr>
              <w:jc w:val="right"/>
              <w:rPr>
                <w:rFonts w:ascii="Times New Roman" w:hAnsi="Times New Roman"/>
                <w:sz w:val="14"/>
                <w:szCs w:val="14"/>
              </w:rPr>
            </w:pPr>
            <w:r w:rsidRPr="009F2D1E">
              <w:rPr>
                <w:sz w:val="14"/>
                <w:szCs w:val="14"/>
              </w:rPr>
              <w:t>-59057,35</w:t>
            </w:r>
          </w:p>
        </w:tc>
        <w:tc>
          <w:tcPr>
            <w:tcW w:w="1164" w:type="dxa"/>
            <w:tcBorders>
              <w:top w:val="nil"/>
              <w:left w:val="nil"/>
              <w:bottom w:val="single" w:sz="4" w:space="0" w:color="auto"/>
              <w:right w:val="single" w:sz="4" w:space="0" w:color="auto"/>
            </w:tcBorders>
            <w:shd w:val="clear" w:color="000000" w:fill="FFFFFF"/>
            <w:noWrap/>
            <w:vAlign w:val="bottom"/>
            <w:hideMark/>
          </w:tcPr>
          <w:p w14:paraId="283DB573" w14:textId="77777777" w:rsidR="001D4AFA" w:rsidRPr="009F2D1E" w:rsidRDefault="001D4AFA" w:rsidP="009F2D1E">
            <w:pPr>
              <w:jc w:val="right"/>
              <w:rPr>
                <w:rFonts w:ascii="Times New Roman" w:hAnsi="Times New Roman"/>
                <w:sz w:val="14"/>
                <w:szCs w:val="14"/>
              </w:rPr>
            </w:pPr>
            <w:r w:rsidRPr="009F2D1E">
              <w:rPr>
                <w:sz w:val="14"/>
                <w:szCs w:val="14"/>
              </w:rPr>
              <w:t>-63107,62</w:t>
            </w:r>
          </w:p>
        </w:tc>
        <w:tc>
          <w:tcPr>
            <w:tcW w:w="1193" w:type="dxa"/>
            <w:tcBorders>
              <w:top w:val="nil"/>
              <w:left w:val="nil"/>
              <w:bottom w:val="single" w:sz="4" w:space="0" w:color="auto"/>
              <w:right w:val="single" w:sz="4" w:space="0" w:color="auto"/>
            </w:tcBorders>
            <w:shd w:val="clear" w:color="000000" w:fill="FFFFFF"/>
            <w:noWrap/>
            <w:vAlign w:val="bottom"/>
            <w:hideMark/>
          </w:tcPr>
          <w:p w14:paraId="6266BB31" w14:textId="77777777" w:rsidR="001D4AFA" w:rsidRPr="009F2D1E" w:rsidRDefault="001D4AFA" w:rsidP="009F2D1E">
            <w:pPr>
              <w:jc w:val="right"/>
              <w:rPr>
                <w:rFonts w:ascii="Times New Roman" w:hAnsi="Times New Roman"/>
                <w:sz w:val="14"/>
                <w:szCs w:val="14"/>
              </w:rPr>
            </w:pPr>
            <w:r w:rsidRPr="009F2D1E">
              <w:rPr>
                <w:sz w:val="14"/>
                <w:szCs w:val="14"/>
              </w:rPr>
              <w:t>-65562,42</w:t>
            </w:r>
          </w:p>
        </w:tc>
        <w:tc>
          <w:tcPr>
            <w:tcW w:w="1179" w:type="dxa"/>
            <w:tcBorders>
              <w:top w:val="nil"/>
              <w:left w:val="nil"/>
              <w:bottom w:val="single" w:sz="4" w:space="0" w:color="auto"/>
              <w:right w:val="single" w:sz="4" w:space="0" w:color="auto"/>
            </w:tcBorders>
            <w:shd w:val="clear" w:color="000000" w:fill="FFFFFF"/>
            <w:vAlign w:val="bottom"/>
          </w:tcPr>
          <w:p w14:paraId="1A282C68" w14:textId="77777777" w:rsidR="001D4AFA" w:rsidRPr="009F2D1E" w:rsidRDefault="001D4AFA" w:rsidP="009F2D1E">
            <w:pPr>
              <w:jc w:val="right"/>
              <w:rPr>
                <w:rFonts w:ascii="Times New Roman" w:hAnsi="Times New Roman"/>
                <w:sz w:val="14"/>
                <w:szCs w:val="14"/>
              </w:rPr>
            </w:pPr>
            <w:r w:rsidRPr="009F2D1E">
              <w:rPr>
                <w:sz w:val="14"/>
                <w:szCs w:val="14"/>
              </w:rPr>
              <w:t>-69118,87</w:t>
            </w:r>
          </w:p>
        </w:tc>
      </w:tr>
      <w:tr w:rsidR="001D4AFA" w:rsidRPr="00364545" w14:paraId="2E421B6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EFA327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78" w:type="dxa"/>
            <w:tcBorders>
              <w:top w:val="nil"/>
              <w:left w:val="nil"/>
              <w:bottom w:val="single" w:sz="4" w:space="0" w:color="auto"/>
              <w:right w:val="single" w:sz="4" w:space="0" w:color="auto"/>
            </w:tcBorders>
            <w:shd w:val="clear" w:color="000000" w:fill="FFFFFF"/>
            <w:noWrap/>
            <w:vAlign w:val="bottom"/>
            <w:hideMark/>
          </w:tcPr>
          <w:p w14:paraId="4F6F2EA3" w14:textId="77777777" w:rsidR="001D4AFA" w:rsidRPr="009F2D1E" w:rsidRDefault="001D4AFA" w:rsidP="009F2D1E">
            <w:pPr>
              <w:jc w:val="right"/>
              <w:rPr>
                <w:rFonts w:ascii="Times New Roman" w:hAnsi="Times New Roman"/>
                <w:sz w:val="14"/>
                <w:szCs w:val="14"/>
              </w:rPr>
            </w:pPr>
            <w:r w:rsidRPr="009F2D1E">
              <w:rPr>
                <w:sz w:val="14"/>
                <w:szCs w:val="14"/>
              </w:rPr>
              <w:t>18835,02</w:t>
            </w:r>
          </w:p>
        </w:tc>
        <w:tc>
          <w:tcPr>
            <w:tcW w:w="1192" w:type="dxa"/>
            <w:tcBorders>
              <w:top w:val="nil"/>
              <w:left w:val="nil"/>
              <w:bottom w:val="single" w:sz="4" w:space="0" w:color="auto"/>
              <w:right w:val="single" w:sz="4" w:space="0" w:color="auto"/>
            </w:tcBorders>
            <w:shd w:val="clear" w:color="000000" w:fill="FFFFFF"/>
            <w:noWrap/>
            <w:vAlign w:val="bottom"/>
            <w:hideMark/>
          </w:tcPr>
          <w:p w14:paraId="775D0585" w14:textId="77777777" w:rsidR="001D4AFA" w:rsidRPr="009F2D1E" w:rsidRDefault="001D4AFA" w:rsidP="009F2D1E">
            <w:pPr>
              <w:jc w:val="right"/>
              <w:rPr>
                <w:rFonts w:ascii="Times New Roman" w:hAnsi="Times New Roman"/>
                <w:sz w:val="14"/>
                <w:szCs w:val="14"/>
              </w:rPr>
            </w:pPr>
            <w:r w:rsidRPr="009F2D1E">
              <w:rPr>
                <w:sz w:val="14"/>
                <w:szCs w:val="14"/>
              </w:rPr>
              <w:t>17908,84</w:t>
            </w:r>
          </w:p>
        </w:tc>
        <w:tc>
          <w:tcPr>
            <w:tcW w:w="1178" w:type="dxa"/>
            <w:tcBorders>
              <w:top w:val="nil"/>
              <w:left w:val="nil"/>
              <w:bottom w:val="single" w:sz="4" w:space="0" w:color="auto"/>
              <w:right w:val="single" w:sz="4" w:space="0" w:color="auto"/>
            </w:tcBorders>
            <w:shd w:val="clear" w:color="000000" w:fill="FFFFFF"/>
            <w:noWrap/>
            <w:vAlign w:val="bottom"/>
            <w:hideMark/>
          </w:tcPr>
          <w:p w14:paraId="46A9A525" w14:textId="77777777" w:rsidR="001D4AFA" w:rsidRPr="009F2D1E" w:rsidRDefault="001D4AFA" w:rsidP="009F2D1E">
            <w:pPr>
              <w:jc w:val="right"/>
              <w:rPr>
                <w:rFonts w:ascii="Times New Roman" w:hAnsi="Times New Roman"/>
                <w:sz w:val="14"/>
                <w:szCs w:val="14"/>
              </w:rPr>
            </w:pPr>
            <w:r w:rsidRPr="009F2D1E">
              <w:rPr>
                <w:sz w:val="14"/>
                <w:szCs w:val="14"/>
              </w:rPr>
              <w:t>17065,53</w:t>
            </w:r>
          </w:p>
        </w:tc>
        <w:tc>
          <w:tcPr>
            <w:tcW w:w="1164" w:type="dxa"/>
            <w:tcBorders>
              <w:top w:val="nil"/>
              <w:left w:val="nil"/>
              <w:bottom w:val="single" w:sz="4" w:space="0" w:color="auto"/>
              <w:right w:val="single" w:sz="4" w:space="0" w:color="auto"/>
            </w:tcBorders>
            <w:shd w:val="clear" w:color="000000" w:fill="FFFFFF"/>
            <w:noWrap/>
            <w:vAlign w:val="bottom"/>
            <w:hideMark/>
          </w:tcPr>
          <w:p w14:paraId="75315095" w14:textId="77777777" w:rsidR="001D4AFA" w:rsidRPr="009F2D1E" w:rsidRDefault="001D4AFA" w:rsidP="009F2D1E">
            <w:pPr>
              <w:jc w:val="right"/>
              <w:rPr>
                <w:rFonts w:ascii="Times New Roman" w:hAnsi="Times New Roman"/>
                <w:sz w:val="14"/>
                <w:szCs w:val="14"/>
              </w:rPr>
            </w:pPr>
            <w:r w:rsidRPr="009F2D1E">
              <w:rPr>
                <w:sz w:val="14"/>
                <w:szCs w:val="14"/>
              </w:rPr>
              <w:t>16625,73</w:t>
            </w:r>
          </w:p>
        </w:tc>
        <w:tc>
          <w:tcPr>
            <w:tcW w:w="1193" w:type="dxa"/>
            <w:tcBorders>
              <w:top w:val="nil"/>
              <w:left w:val="nil"/>
              <w:bottom w:val="single" w:sz="4" w:space="0" w:color="auto"/>
              <w:right w:val="single" w:sz="4" w:space="0" w:color="auto"/>
            </w:tcBorders>
            <w:shd w:val="clear" w:color="000000" w:fill="FFFFFF"/>
            <w:noWrap/>
            <w:vAlign w:val="bottom"/>
            <w:hideMark/>
          </w:tcPr>
          <w:p w14:paraId="7FED63A7" w14:textId="77777777" w:rsidR="001D4AFA" w:rsidRPr="009F2D1E" w:rsidRDefault="001D4AFA" w:rsidP="009F2D1E">
            <w:pPr>
              <w:jc w:val="right"/>
              <w:rPr>
                <w:rFonts w:ascii="Times New Roman" w:hAnsi="Times New Roman"/>
                <w:sz w:val="14"/>
                <w:szCs w:val="14"/>
              </w:rPr>
            </w:pPr>
            <w:r w:rsidRPr="009F2D1E">
              <w:rPr>
                <w:sz w:val="14"/>
                <w:szCs w:val="14"/>
              </w:rPr>
              <w:t>16537,88</w:t>
            </w:r>
          </w:p>
        </w:tc>
        <w:tc>
          <w:tcPr>
            <w:tcW w:w="1179" w:type="dxa"/>
            <w:tcBorders>
              <w:top w:val="nil"/>
              <w:left w:val="nil"/>
              <w:bottom w:val="single" w:sz="4" w:space="0" w:color="auto"/>
              <w:right w:val="single" w:sz="4" w:space="0" w:color="auto"/>
            </w:tcBorders>
            <w:shd w:val="clear" w:color="000000" w:fill="FFFFFF"/>
            <w:vAlign w:val="bottom"/>
          </w:tcPr>
          <w:p w14:paraId="511503DD" w14:textId="77777777" w:rsidR="001D4AFA" w:rsidRPr="009F2D1E" w:rsidRDefault="001D4AFA" w:rsidP="009F2D1E">
            <w:pPr>
              <w:jc w:val="right"/>
              <w:rPr>
                <w:rFonts w:ascii="Times New Roman" w:hAnsi="Times New Roman"/>
                <w:sz w:val="14"/>
                <w:szCs w:val="14"/>
              </w:rPr>
            </w:pPr>
            <w:r w:rsidRPr="009F2D1E">
              <w:rPr>
                <w:sz w:val="14"/>
                <w:szCs w:val="14"/>
              </w:rPr>
              <w:t>16812,21</w:t>
            </w:r>
          </w:p>
        </w:tc>
      </w:tr>
      <w:tr w:rsidR="001D4AFA" w:rsidRPr="00364545" w14:paraId="034E8E57"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9227B1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78" w:type="dxa"/>
            <w:tcBorders>
              <w:top w:val="nil"/>
              <w:left w:val="nil"/>
              <w:bottom w:val="single" w:sz="4" w:space="0" w:color="auto"/>
              <w:right w:val="single" w:sz="4" w:space="0" w:color="auto"/>
            </w:tcBorders>
            <w:shd w:val="clear" w:color="000000" w:fill="FFFFFF"/>
            <w:noWrap/>
            <w:vAlign w:val="bottom"/>
            <w:hideMark/>
          </w:tcPr>
          <w:p w14:paraId="7AD8E310" w14:textId="77777777" w:rsidR="001D4AFA" w:rsidRPr="009F2D1E" w:rsidRDefault="001D4AFA" w:rsidP="009F2D1E">
            <w:pPr>
              <w:jc w:val="right"/>
              <w:rPr>
                <w:rFonts w:ascii="Times New Roman" w:hAnsi="Times New Roman"/>
                <w:sz w:val="14"/>
                <w:szCs w:val="14"/>
              </w:rPr>
            </w:pPr>
            <w:r w:rsidRPr="009F2D1E">
              <w:rPr>
                <w:sz w:val="14"/>
                <w:szCs w:val="14"/>
              </w:rPr>
              <w:t>-13504,80</w:t>
            </w:r>
          </w:p>
        </w:tc>
        <w:tc>
          <w:tcPr>
            <w:tcW w:w="1192" w:type="dxa"/>
            <w:tcBorders>
              <w:top w:val="nil"/>
              <w:left w:val="nil"/>
              <w:bottom w:val="single" w:sz="4" w:space="0" w:color="auto"/>
              <w:right w:val="single" w:sz="4" w:space="0" w:color="auto"/>
            </w:tcBorders>
            <w:shd w:val="clear" w:color="000000" w:fill="FFFFFF"/>
            <w:noWrap/>
            <w:vAlign w:val="bottom"/>
            <w:hideMark/>
          </w:tcPr>
          <w:p w14:paraId="6D8BE87A" w14:textId="77777777" w:rsidR="001D4AFA" w:rsidRPr="009F2D1E" w:rsidRDefault="001D4AFA" w:rsidP="009F2D1E">
            <w:pPr>
              <w:jc w:val="right"/>
              <w:rPr>
                <w:rFonts w:ascii="Times New Roman" w:hAnsi="Times New Roman"/>
                <w:sz w:val="14"/>
                <w:szCs w:val="14"/>
              </w:rPr>
            </w:pPr>
            <w:r w:rsidRPr="009F2D1E">
              <w:rPr>
                <w:sz w:val="14"/>
                <w:szCs w:val="14"/>
              </w:rPr>
              <w:t>-12890,27</w:t>
            </w:r>
          </w:p>
        </w:tc>
        <w:tc>
          <w:tcPr>
            <w:tcW w:w="1178" w:type="dxa"/>
            <w:tcBorders>
              <w:top w:val="nil"/>
              <w:left w:val="nil"/>
              <w:bottom w:val="single" w:sz="4" w:space="0" w:color="auto"/>
              <w:right w:val="single" w:sz="4" w:space="0" w:color="auto"/>
            </w:tcBorders>
            <w:shd w:val="clear" w:color="000000" w:fill="FFFFFF"/>
            <w:noWrap/>
            <w:vAlign w:val="bottom"/>
            <w:hideMark/>
          </w:tcPr>
          <w:p w14:paraId="2B628057" w14:textId="77777777" w:rsidR="001D4AFA" w:rsidRPr="009F2D1E" w:rsidRDefault="001D4AFA" w:rsidP="009F2D1E">
            <w:pPr>
              <w:jc w:val="right"/>
              <w:rPr>
                <w:rFonts w:ascii="Times New Roman" w:hAnsi="Times New Roman"/>
                <w:sz w:val="14"/>
                <w:szCs w:val="14"/>
              </w:rPr>
            </w:pPr>
            <w:r w:rsidRPr="009F2D1E">
              <w:rPr>
                <w:sz w:val="14"/>
                <w:szCs w:val="14"/>
              </w:rPr>
              <w:t>-12260,96</w:t>
            </w:r>
          </w:p>
        </w:tc>
        <w:tc>
          <w:tcPr>
            <w:tcW w:w="1164" w:type="dxa"/>
            <w:tcBorders>
              <w:top w:val="nil"/>
              <w:left w:val="nil"/>
              <w:bottom w:val="single" w:sz="4" w:space="0" w:color="auto"/>
              <w:right w:val="single" w:sz="4" w:space="0" w:color="auto"/>
            </w:tcBorders>
            <w:shd w:val="clear" w:color="000000" w:fill="FFFFFF"/>
            <w:noWrap/>
            <w:vAlign w:val="bottom"/>
            <w:hideMark/>
          </w:tcPr>
          <w:p w14:paraId="7CE2525C" w14:textId="77777777" w:rsidR="001D4AFA" w:rsidRPr="009F2D1E" w:rsidRDefault="001D4AFA" w:rsidP="009F2D1E">
            <w:pPr>
              <w:jc w:val="right"/>
              <w:rPr>
                <w:rFonts w:ascii="Times New Roman" w:hAnsi="Times New Roman"/>
                <w:sz w:val="14"/>
                <w:szCs w:val="14"/>
              </w:rPr>
            </w:pPr>
            <w:r w:rsidRPr="009F2D1E">
              <w:rPr>
                <w:sz w:val="14"/>
                <w:szCs w:val="14"/>
              </w:rPr>
              <w:t>-10792,56</w:t>
            </w:r>
          </w:p>
        </w:tc>
        <w:tc>
          <w:tcPr>
            <w:tcW w:w="1193" w:type="dxa"/>
            <w:tcBorders>
              <w:top w:val="nil"/>
              <w:left w:val="nil"/>
              <w:bottom w:val="single" w:sz="4" w:space="0" w:color="auto"/>
              <w:right w:val="single" w:sz="4" w:space="0" w:color="auto"/>
            </w:tcBorders>
            <w:shd w:val="clear" w:color="000000" w:fill="FFFFFF"/>
            <w:noWrap/>
            <w:vAlign w:val="bottom"/>
            <w:hideMark/>
          </w:tcPr>
          <w:p w14:paraId="117E7B93" w14:textId="77777777" w:rsidR="001D4AFA" w:rsidRPr="009F2D1E" w:rsidRDefault="001D4AFA" w:rsidP="009F2D1E">
            <w:pPr>
              <w:jc w:val="right"/>
              <w:rPr>
                <w:rFonts w:ascii="Times New Roman" w:hAnsi="Times New Roman"/>
                <w:sz w:val="14"/>
                <w:szCs w:val="14"/>
              </w:rPr>
            </w:pPr>
            <w:r w:rsidRPr="009F2D1E">
              <w:rPr>
                <w:sz w:val="14"/>
                <w:szCs w:val="14"/>
              </w:rPr>
              <w:t>-9735,05</w:t>
            </w:r>
          </w:p>
        </w:tc>
        <w:tc>
          <w:tcPr>
            <w:tcW w:w="1179" w:type="dxa"/>
            <w:tcBorders>
              <w:top w:val="nil"/>
              <w:left w:val="nil"/>
              <w:bottom w:val="single" w:sz="4" w:space="0" w:color="auto"/>
              <w:right w:val="single" w:sz="4" w:space="0" w:color="auto"/>
            </w:tcBorders>
            <w:shd w:val="clear" w:color="000000" w:fill="FFFFFF"/>
            <w:vAlign w:val="bottom"/>
          </w:tcPr>
          <w:p w14:paraId="3C577C76" w14:textId="77777777" w:rsidR="001D4AFA" w:rsidRPr="009F2D1E" w:rsidRDefault="001D4AFA" w:rsidP="009F2D1E">
            <w:pPr>
              <w:jc w:val="right"/>
              <w:rPr>
                <w:rFonts w:ascii="Times New Roman" w:hAnsi="Times New Roman"/>
                <w:sz w:val="14"/>
                <w:szCs w:val="14"/>
              </w:rPr>
            </w:pPr>
            <w:r w:rsidRPr="009F2D1E">
              <w:rPr>
                <w:sz w:val="14"/>
                <w:szCs w:val="14"/>
              </w:rPr>
              <w:t>-8838,25</w:t>
            </w:r>
          </w:p>
        </w:tc>
      </w:tr>
      <w:tr w:rsidR="001D4AFA" w:rsidRPr="00364545" w14:paraId="720C34B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7B7606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78" w:type="dxa"/>
            <w:tcBorders>
              <w:top w:val="nil"/>
              <w:left w:val="nil"/>
              <w:bottom w:val="single" w:sz="4" w:space="0" w:color="auto"/>
              <w:right w:val="single" w:sz="4" w:space="0" w:color="auto"/>
            </w:tcBorders>
            <w:shd w:val="clear" w:color="000000" w:fill="FFFFFF"/>
            <w:noWrap/>
            <w:vAlign w:val="bottom"/>
            <w:hideMark/>
          </w:tcPr>
          <w:p w14:paraId="50FAC748" w14:textId="77777777" w:rsidR="001D4AFA" w:rsidRPr="009F2D1E" w:rsidRDefault="001D4AFA" w:rsidP="009F2D1E">
            <w:pPr>
              <w:jc w:val="right"/>
              <w:rPr>
                <w:rFonts w:ascii="Times New Roman" w:hAnsi="Times New Roman"/>
                <w:sz w:val="14"/>
                <w:szCs w:val="14"/>
              </w:rPr>
            </w:pPr>
            <w:r w:rsidRPr="009F2D1E">
              <w:rPr>
                <w:sz w:val="14"/>
                <w:szCs w:val="14"/>
              </w:rPr>
              <w:t>436,08</w:t>
            </w:r>
          </w:p>
        </w:tc>
        <w:tc>
          <w:tcPr>
            <w:tcW w:w="1192" w:type="dxa"/>
            <w:tcBorders>
              <w:top w:val="nil"/>
              <w:left w:val="nil"/>
              <w:bottom w:val="single" w:sz="4" w:space="0" w:color="auto"/>
              <w:right w:val="single" w:sz="4" w:space="0" w:color="auto"/>
            </w:tcBorders>
            <w:shd w:val="clear" w:color="000000" w:fill="FFFFFF"/>
            <w:noWrap/>
            <w:vAlign w:val="bottom"/>
            <w:hideMark/>
          </w:tcPr>
          <w:p w14:paraId="3FBC00FA" w14:textId="77777777" w:rsidR="001D4AFA" w:rsidRPr="009F2D1E" w:rsidRDefault="001D4AFA" w:rsidP="009F2D1E">
            <w:pPr>
              <w:jc w:val="right"/>
              <w:rPr>
                <w:rFonts w:ascii="Times New Roman" w:hAnsi="Times New Roman"/>
                <w:sz w:val="14"/>
                <w:szCs w:val="14"/>
              </w:rPr>
            </w:pPr>
            <w:r w:rsidRPr="009F2D1E">
              <w:rPr>
                <w:sz w:val="14"/>
                <w:szCs w:val="14"/>
              </w:rPr>
              <w:t>220,42</w:t>
            </w:r>
          </w:p>
        </w:tc>
        <w:tc>
          <w:tcPr>
            <w:tcW w:w="1178" w:type="dxa"/>
            <w:tcBorders>
              <w:top w:val="nil"/>
              <w:left w:val="nil"/>
              <w:bottom w:val="single" w:sz="4" w:space="0" w:color="auto"/>
              <w:right w:val="single" w:sz="4" w:space="0" w:color="auto"/>
            </w:tcBorders>
            <w:shd w:val="clear" w:color="000000" w:fill="FFFFFF"/>
            <w:noWrap/>
            <w:vAlign w:val="bottom"/>
            <w:hideMark/>
          </w:tcPr>
          <w:p w14:paraId="2A7E5F46" w14:textId="77777777" w:rsidR="001D4AFA" w:rsidRPr="009F2D1E" w:rsidRDefault="001D4AFA" w:rsidP="009F2D1E">
            <w:pPr>
              <w:jc w:val="right"/>
              <w:rPr>
                <w:rFonts w:ascii="Times New Roman" w:hAnsi="Times New Roman"/>
                <w:sz w:val="14"/>
                <w:szCs w:val="14"/>
              </w:rPr>
            </w:pPr>
            <w:r w:rsidRPr="009F2D1E">
              <w:rPr>
                <w:sz w:val="14"/>
                <w:szCs w:val="14"/>
              </w:rPr>
              <w:t>185,19</w:t>
            </w:r>
          </w:p>
        </w:tc>
        <w:tc>
          <w:tcPr>
            <w:tcW w:w="1164" w:type="dxa"/>
            <w:tcBorders>
              <w:top w:val="nil"/>
              <w:left w:val="nil"/>
              <w:bottom w:val="single" w:sz="4" w:space="0" w:color="auto"/>
              <w:right w:val="single" w:sz="4" w:space="0" w:color="auto"/>
            </w:tcBorders>
            <w:shd w:val="clear" w:color="000000" w:fill="FFFFFF"/>
            <w:noWrap/>
            <w:vAlign w:val="bottom"/>
            <w:hideMark/>
          </w:tcPr>
          <w:p w14:paraId="4D19BBD9" w14:textId="77777777" w:rsidR="001D4AFA" w:rsidRPr="009F2D1E" w:rsidRDefault="001D4AFA" w:rsidP="009F2D1E">
            <w:pPr>
              <w:jc w:val="right"/>
              <w:rPr>
                <w:rFonts w:ascii="Times New Roman" w:hAnsi="Times New Roman"/>
                <w:sz w:val="14"/>
                <w:szCs w:val="14"/>
              </w:rPr>
            </w:pPr>
            <w:r w:rsidRPr="009F2D1E">
              <w:rPr>
                <w:sz w:val="14"/>
                <w:szCs w:val="14"/>
              </w:rPr>
              <w:t>354,31</w:t>
            </w:r>
          </w:p>
        </w:tc>
        <w:tc>
          <w:tcPr>
            <w:tcW w:w="1193" w:type="dxa"/>
            <w:tcBorders>
              <w:top w:val="nil"/>
              <w:left w:val="nil"/>
              <w:bottom w:val="single" w:sz="4" w:space="0" w:color="auto"/>
              <w:right w:val="single" w:sz="4" w:space="0" w:color="auto"/>
            </w:tcBorders>
            <w:shd w:val="clear" w:color="000000" w:fill="FFFFFF"/>
            <w:noWrap/>
            <w:vAlign w:val="bottom"/>
            <w:hideMark/>
          </w:tcPr>
          <w:p w14:paraId="6F484F3E" w14:textId="77777777" w:rsidR="001D4AFA" w:rsidRPr="009F2D1E" w:rsidRDefault="001D4AFA" w:rsidP="009F2D1E">
            <w:pPr>
              <w:jc w:val="right"/>
              <w:rPr>
                <w:rFonts w:ascii="Times New Roman" w:hAnsi="Times New Roman"/>
                <w:sz w:val="14"/>
                <w:szCs w:val="14"/>
              </w:rPr>
            </w:pPr>
            <w:r w:rsidRPr="009F2D1E">
              <w:rPr>
                <w:sz w:val="14"/>
                <w:szCs w:val="14"/>
              </w:rPr>
              <w:t>525,72</w:t>
            </w:r>
          </w:p>
        </w:tc>
        <w:tc>
          <w:tcPr>
            <w:tcW w:w="1179" w:type="dxa"/>
            <w:tcBorders>
              <w:top w:val="nil"/>
              <w:left w:val="nil"/>
              <w:bottom w:val="single" w:sz="4" w:space="0" w:color="auto"/>
              <w:right w:val="single" w:sz="4" w:space="0" w:color="auto"/>
            </w:tcBorders>
            <w:shd w:val="clear" w:color="000000" w:fill="FFFFFF"/>
            <w:vAlign w:val="bottom"/>
          </w:tcPr>
          <w:p w14:paraId="4414EE71" w14:textId="77777777" w:rsidR="001D4AFA" w:rsidRPr="009F2D1E" w:rsidRDefault="001D4AFA" w:rsidP="009F2D1E">
            <w:pPr>
              <w:jc w:val="right"/>
              <w:rPr>
                <w:rFonts w:ascii="Times New Roman" w:hAnsi="Times New Roman"/>
                <w:sz w:val="14"/>
                <w:szCs w:val="14"/>
              </w:rPr>
            </w:pPr>
            <w:r w:rsidRPr="009F2D1E">
              <w:rPr>
                <w:sz w:val="14"/>
                <w:szCs w:val="14"/>
              </w:rPr>
              <w:t>696,92</w:t>
            </w:r>
          </w:p>
        </w:tc>
      </w:tr>
      <w:tr w:rsidR="001D4AFA" w:rsidRPr="00364545" w14:paraId="7AE21D9E"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94E941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78" w:type="dxa"/>
            <w:tcBorders>
              <w:top w:val="nil"/>
              <w:left w:val="nil"/>
              <w:bottom w:val="single" w:sz="4" w:space="0" w:color="auto"/>
              <w:right w:val="single" w:sz="4" w:space="0" w:color="auto"/>
            </w:tcBorders>
            <w:shd w:val="clear" w:color="000000" w:fill="FFFFFF"/>
            <w:noWrap/>
            <w:vAlign w:val="bottom"/>
            <w:hideMark/>
          </w:tcPr>
          <w:p w14:paraId="369400E9" w14:textId="77777777" w:rsidR="001D4AFA" w:rsidRPr="009F2D1E" w:rsidRDefault="001D4AFA" w:rsidP="009F2D1E">
            <w:pPr>
              <w:jc w:val="right"/>
              <w:rPr>
                <w:rFonts w:ascii="Times New Roman" w:hAnsi="Times New Roman"/>
                <w:sz w:val="14"/>
                <w:szCs w:val="14"/>
              </w:rPr>
            </w:pPr>
            <w:r w:rsidRPr="009F2D1E">
              <w:rPr>
                <w:sz w:val="14"/>
                <w:szCs w:val="14"/>
              </w:rPr>
              <w:t>9421,31</w:t>
            </w:r>
          </w:p>
        </w:tc>
        <w:tc>
          <w:tcPr>
            <w:tcW w:w="1192" w:type="dxa"/>
            <w:tcBorders>
              <w:top w:val="nil"/>
              <w:left w:val="nil"/>
              <w:bottom w:val="single" w:sz="4" w:space="0" w:color="auto"/>
              <w:right w:val="single" w:sz="4" w:space="0" w:color="auto"/>
            </w:tcBorders>
            <w:shd w:val="clear" w:color="000000" w:fill="FFFFFF"/>
            <w:noWrap/>
            <w:vAlign w:val="bottom"/>
            <w:hideMark/>
          </w:tcPr>
          <w:p w14:paraId="66F3BA37" w14:textId="77777777" w:rsidR="001D4AFA" w:rsidRPr="009F2D1E" w:rsidRDefault="001D4AFA" w:rsidP="009F2D1E">
            <w:pPr>
              <w:jc w:val="right"/>
              <w:rPr>
                <w:rFonts w:ascii="Times New Roman" w:hAnsi="Times New Roman"/>
                <w:sz w:val="14"/>
                <w:szCs w:val="14"/>
              </w:rPr>
            </w:pPr>
            <w:r w:rsidRPr="009F2D1E">
              <w:rPr>
                <w:sz w:val="14"/>
                <w:szCs w:val="14"/>
              </w:rPr>
              <w:t>9767,01</w:t>
            </w:r>
          </w:p>
        </w:tc>
        <w:tc>
          <w:tcPr>
            <w:tcW w:w="1178" w:type="dxa"/>
            <w:tcBorders>
              <w:top w:val="nil"/>
              <w:left w:val="nil"/>
              <w:bottom w:val="single" w:sz="4" w:space="0" w:color="auto"/>
              <w:right w:val="single" w:sz="4" w:space="0" w:color="auto"/>
            </w:tcBorders>
            <w:shd w:val="clear" w:color="000000" w:fill="FFFFFF"/>
            <w:noWrap/>
            <w:vAlign w:val="bottom"/>
            <w:hideMark/>
          </w:tcPr>
          <w:p w14:paraId="2F3BCC70" w14:textId="77777777" w:rsidR="001D4AFA" w:rsidRPr="009F2D1E" w:rsidRDefault="001D4AFA" w:rsidP="009F2D1E">
            <w:pPr>
              <w:jc w:val="right"/>
              <w:rPr>
                <w:rFonts w:ascii="Times New Roman" w:hAnsi="Times New Roman"/>
                <w:sz w:val="14"/>
                <w:szCs w:val="14"/>
              </w:rPr>
            </w:pPr>
            <w:r w:rsidRPr="009F2D1E">
              <w:rPr>
                <w:sz w:val="14"/>
                <w:szCs w:val="14"/>
              </w:rPr>
              <w:t>9303,97</w:t>
            </w:r>
          </w:p>
        </w:tc>
        <w:tc>
          <w:tcPr>
            <w:tcW w:w="1164" w:type="dxa"/>
            <w:tcBorders>
              <w:top w:val="nil"/>
              <w:left w:val="nil"/>
              <w:bottom w:val="single" w:sz="4" w:space="0" w:color="auto"/>
              <w:right w:val="single" w:sz="4" w:space="0" w:color="auto"/>
            </w:tcBorders>
            <w:shd w:val="clear" w:color="000000" w:fill="FFFFFF"/>
            <w:noWrap/>
            <w:vAlign w:val="bottom"/>
            <w:hideMark/>
          </w:tcPr>
          <w:p w14:paraId="241EB337" w14:textId="77777777" w:rsidR="001D4AFA" w:rsidRPr="009F2D1E" w:rsidRDefault="001D4AFA" w:rsidP="009F2D1E">
            <w:pPr>
              <w:jc w:val="right"/>
              <w:rPr>
                <w:rFonts w:ascii="Times New Roman" w:hAnsi="Times New Roman"/>
                <w:sz w:val="14"/>
                <w:szCs w:val="14"/>
              </w:rPr>
            </w:pPr>
            <w:r w:rsidRPr="009F2D1E">
              <w:rPr>
                <w:sz w:val="14"/>
                <w:szCs w:val="14"/>
              </w:rPr>
              <w:t>9882,79</w:t>
            </w:r>
          </w:p>
        </w:tc>
        <w:tc>
          <w:tcPr>
            <w:tcW w:w="1193" w:type="dxa"/>
            <w:tcBorders>
              <w:top w:val="nil"/>
              <w:left w:val="nil"/>
              <w:bottom w:val="single" w:sz="4" w:space="0" w:color="auto"/>
              <w:right w:val="single" w:sz="4" w:space="0" w:color="auto"/>
            </w:tcBorders>
            <w:shd w:val="clear" w:color="000000" w:fill="FFFFFF"/>
            <w:noWrap/>
            <w:vAlign w:val="bottom"/>
            <w:hideMark/>
          </w:tcPr>
          <w:p w14:paraId="48CE063E" w14:textId="77777777" w:rsidR="001D4AFA" w:rsidRPr="009F2D1E" w:rsidRDefault="001D4AFA" w:rsidP="009F2D1E">
            <w:pPr>
              <w:jc w:val="right"/>
              <w:rPr>
                <w:rFonts w:ascii="Times New Roman" w:hAnsi="Times New Roman"/>
                <w:sz w:val="14"/>
                <w:szCs w:val="14"/>
              </w:rPr>
            </w:pPr>
            <w:r w:rsidRPr="009F2D1E">
              <w:rPr>
                <w:sz w:val="14"/>
                <w:szCs w:val="14"/>
              </w:rPr>
              <w:t>10564,04</w:t>
            </w:r>
          </w:p>
        </w:tc>
        <w:tc>
          <w:tcPr>
            <w:tcW w:w="1179" w:type="dxa"/>
            <w:tcBorders>
              <w:top w:val="nil"/>
              <w:left w:val="nil"/>
              <w:bottom w:val="single" w:sz="4" w:space="0" w:color="auto"/>
              <w:right w:val="single" w:sz="4" w:space="0" w:color="auto"/>
            </w:tcBorders>
            <w:shd w:val="clear" w:color="000000" w:fill="FFFFFF"/>
            <w:vAlign w:val="bottom"/>
          </w:tcPr>
          <w:p w14:paraId="22D25A62" w14:textId="77777777" w:rsidR="001D4AFA" w:rsidRPr="009F2D1E" w:rsidRDefault="001D4AFA" w:rsidP="009F2D1E">
            <w:pPr>
              <w:jc w:val="right"/>
              <w:rPr>
                <w:rFonts w:ascii="Times New Roman" w:hAnsi="Times New Roman"/>
                <w:sz w:val="14"/>
                <w:szCs w:val="14"/>
              </w:rPr>
            </w:pPr>
            <w:r w:rsidRPr="009F2D1E">
              <w:rPr>
                <w:sz w:val="14"/>
                <w:szCs w:val="14"/>
              </w:rPr>
              <w:t>11313,17</w:t>
            </w:r>
          </w:p>
        </w:tc>
      </w:tr>
      <w:tr w:rsidR="001D4AFA" w:rsidRPr="00364545" w14:paraId="1E96E9B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F97233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78" w:type="dxa"/>
            <w:tcBorders>
              <w:top w:val="nil"/>
              <w:left w:val="nil"/>
              <w:bottom w:val="single" w:sz="4" w:space="0" w:color="auto"/>
              <w:right w:val="single" w:sz="4" w:space="0" w:color="auto"/>
            </w:tcBorders>
            <w:shd w:val="clear" w:color="000000" w:fill="FFFFFF"/>
            <w:noWrap/>
            <w:vAlign w:val="bottom"/>
            <w:hideMark/>
          </w:tcPr>
          <w:p w14:paraId="742E051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2486FC1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6982783D"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4D4BB398"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6C35BC96"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79" w:type="dxa"/>
            <w:tcBorders>
              <w:top w:val="nil"/>
              <w:left w:val="nil"/>
              <w:bottom w:val="single" w:sz="4" w:space="0" w:color="auto"/>
              <w:right w:val="single" w:sz="4" w:space="0" w:color="auto"/>
            </w:tcBorders>
            <w:shd w:val="clear" w:color="000000" w:fill="FFFFFF"/>
            <w:vAlign w:val="bottom"/>
          </w:tcPr>
          <w:p w14:paraId="6490B5AF"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275509E0"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E90137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78" w:type="dxa"/>
            <w:tcBorders>
              <w:top w:val="nil"/>
              <w:left w:val="nil"/>
              <w:bottom w:val="single" w:sz="4" w:space="0" w:color="auto"/>
              <w:right w:val="single" w:sz="4" w:space="0" w:color="auto"/>
            </w:tcBorders>
            <w:shd w:val="clear" w:color="000000" w:fill="FFFFFF"/>
            <w:noWrap/>
            <w:vAlign w:val="bottom"/>
            <w:hideMark/>
          </w:tcPr>
          <w:p w14:paraId="18470F0D" w14:textId="77777777" w:rsidR="001D4AFA" w:rsidRPr="009F2D1E" w:rsidRDefault="001D4AFA" w:rsidP="009F2D1E">
            <w:pPr>
              <w:jc w:val="right"/>
              <w:rPr>
                <w:rFonts w:ascii="Times New Roman" w:hAnsi="Times New Roman"/>
                <w:sz w:val="14"/>
                <w:szCs w:val="14"/>
              </w:rPr>
            </w:pPr>
            <w:r w:rsidRPr="009F2D1E">
              <w:rPr>
                <w:sz w:val="14"/>
                <w:szCs w:val="14"/>
              </w:rPr>
              <w:t>-4761,52</w:t>
            </w:r>
          </w:p>
        </w:tc>
        <w:tc>
          <w:tcPr>
            <w:tcW w:w="1192" w:type="dxa"/>
            <w:tcBorders>
              <w:top w:val="nil"/>
              <w:left w:val="nil"/>
              <w:bottom w:val="single" w:sz="4" w:space="0" w:color="auto"/>
              <w:right w:val="single" w:sz="4" w:space="0" w:color="auto"/>
            </w:tcBorders>
            <w:shd w:val="clear" w:color="000000" w:fill="FFFFFF"/>
            <w:noWrap/>
            <w:vAlign w:val="bottom"/>
            <w:hideMark/>
          </w:tcPr>
          <w:p w14:paraId="79192B41" w14:textId="77777777" w:rsidR="001D4AFA" w:rsidRPr="009F2D1E" w:rsidRDefault="001D4AFA" w:rsidP="009F2D1E">
            <w:pPr>
              <w:jc w:val="right"/>
              <w:rPr>
                <w:rFonts w:ascii="Times New Roman" w:hAnsi="Times New Roman"/>
                <w:sz w:val="14"/>
                <w:szCs w:val="14"/>
              </w:rPr>
            </w:pPr>
            <w:r w:rsidRPr="009F2D1E">
              <w:rPr>
                <w:sz w:val="14"/>
                <w:szCs w:val="14"/>
              </w:rPr>
              <w:t>-3599,19</w:t>
            </w:r>
          </w:p>
        </w:tc>
        <w:tc>
          <w:tcPr>
            <w:tcW w:w="1178" w:type="dxa"/>
            <w:tcBorders>
              <w:top w:val="nil"/>
              <w:left w:val="nil"/>
              <w:bottom w:val="single" w:sz="4" w:space="0" w:color="auto"/>
              <w:right w:val="single" w:sz="4" w:space="0" w:color="auto"/>
            </w:tcBorders>
            <w:shd w:val="clear" w:color="000000" w:fill="FFFFFF"/>
            <w:noWrap/>
            <w:vAlign w:val="bottom"/>
            <w:hideMark/>
          </w:tcPr>
          <w:p w14:paraId="559D4C08" w14:textId="77777777" w:rsidR="001D4AFA" w:rsidRPr="009F2D1E" w:rsidRDefault="001D4AFA" w:rsidP="009F2D1E">
            <w:pPr>
              <w:jc w:val="right"/>
              <w:rPr>
                <w:rFonts w:ascii="Times New Roman" w:hAnsi="Times New Roman"/>
                <w:sz w:val="14"/>
                <w:szCs w:val="14"/>
              </w:rPr>
            </w:pPr>
            <w:r w:rsidRPr="009F2D1E">
              <w:rPr>
                <w:sz w:val="14"/>
                <w:szCs w:val="14"/>
              </w:rPr>
              <w:t>-3442,90</w:t>
            </w:r>
          </w:p>
        </w:tc>
        <w:tc>
          <w:tcPr>
            <w:tcW w:w="1164" w:type="dxa"/>
            <w:tcBorders>
              <w:top w:val="nil"/>
              <w:left w:val="nil"/>
              <w:bottom w:val="single" w:sz="4" w:space="0" w:color="auto"/>
              <w:right w:val="single" w:sz="4" w:space="0" w:color="auto"/>
            </w:tcBorders>
            <w:shd w:val="clear" w:color="000000" w:fill="FFFFFF"/>
            <w:noWrap/>
            <w:vAlign w:val="bottom"/>
            <w:hideMark/>
          </w:tcPr>
          <w:p w14:paraId="0E7AACA5" w14:textId="77777777" w:rsidR="001D4AFA" w:rsidRPr="009F2D1E" w:rsidRDefault="001D4AFA" w:rsidP="009F2D1E">
            <w:pPr>
              <w:jc w:val="right"/>
              <w:rPr>
                <w:rFonts w:ascii="Times New Roman" w:hAnsi="Times New Roman"/>
                <w:sz w:val="14"/>
                <w:szCs w:val="14"/>
              </w:rPr>
            </w:pPr>
            <w:r w:rsidRPr="009F2D1E">
              <w:rPr>
                <w:sz w:val="14"/>
                <w:szCs w:val="14"/>
              </w:rPr>
              <w:t>-4093,50</w:t>
            </w:r>
          </w:p>
        </w:tc>
        <w:tc>
          <w:tcPr>
            <w:tcW w:w="1193" w:type="dxa"/>
            <w:tcBorders>
              <w:top w:val="nil"/>
              <w:left w:val="nil"/>
              <w:bottom w:val="single" w:sz="4" w:space="0" w:color="auto"/>
              <w:right w:val="single" w:sz="4" w:space="0" w:color="auto"/>
            </w:tcBorders>
            <w:shd w:val="clear" w:color="000000" w:fill="FFFFFF"/>
            <w:noWrap/>
            <w:vAlign w:val="bottom"/>
            <w:hideMark/>
          </w:tcPr>
          <w:p w14:paraId="133DF256" w14:textId="77777777" w:rsidR="001D4AFA" w:rsidRPr="009F2D1E" w:rsidRDefault="001D4AFA" w:rsidP="009F2D1E">
            <w:pPr>
              <w:jc w:val="right"/>
              <w:rPr>
                <w:rFonts w:ascii="Times New Roman" w:hAnsi="Times New Roman"/>
                <w:sz w:val="14"/>
                <w:szCs w:val="14"/>
              </w:rPr>
            </w:pPr>
            <w:r w:rsidRPr="009F2D1E">
              <w:rPr>
                <w:sz w:val="14"/>
                <w:szCs w:val="14"/>
              </w:rPr>
              <w:t>-4111,64</w:t>
            </w:r>
          </w:p>
        </w:tc>
        <w:tc>
          <w:tcPr>
            <w:tcW w:w="1179" w:type="dxa"/>
            <w:tcBorders>
              <w:top w:val="nil"/>
              <w:left w:val="nil"/>
              <w:bottom w:val="single" w:sz="4" w:space="0" w:color="auto"/>
              <w:right w:val="single" w:sz="4" w:space="0" w:color="auto"/>
            </w:tcBorders>
            <w:shd w:val="clear" w:color="000000" w:fill="FFFFFF"/>
            <w:vAlign w:val="bottom"/>
          </w:tcPr>
          <w:p w14:paraId="4A869027" w14:textId="77777777" w:rsidR="001D4AFA" w:rsidRPr="009F2D1E" w:rsidRDefault="001D4AFA" w:rsidP="009F2D1E">
            <w:pPr>
              <w:jc w:val="right"/>
              <w:rPr>
                <w:rFonts w:ascii="Times New Roman" w:hAnsi="Times New Roman"/>
                <w:sz w:val="14"/>
                <w:szCs w:val="14"/>
              </w:rPr>
            </w:pPr>
            <w:r w:rsidRPr="009F2D1E">
              <w:rPr>
                <w:sz w:val="14"/>
                <w:szCs w:val="14"/>
              </w:rPr>
              <w:t>-4273,46</w:t>
            </w:r>
          </w:p>
        </w:tc>
      </w:tr>
      <w:tr w:rsidR="001D4AFA" w:rsidRPr="00364545" w14:paraId="52FEF874"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468AAD3"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3E6E08F7" w14:textId="77777777" w:rsidR="001D4AFA" w:rsidRPr="009F2D1E" w:rsidRDefault="001D4AFA" w:rsidP="009F2D1E">
            <w:pPr>
              <w:jc w:val="right"/>
              <w:rPr>
                <w:rFonts w:ascii="Times New Roman" w:hAnsi="Times New Roman"/>
                <w:sz w:val="14"/>
                <w:szCs w:val="14"/>
              </w:rPr>
            </w:pPr>
            <w:r w:rsidRPr="009F2D1E">
              <w:rPr>
                <w:sz w:val="14"/>
                <w:szCs w:val="14"/>
              </w:rPr>
              <w:t>535,77</w:t>
            </w:r>
          </w:p>
        </w:tc>
        <w:tc>
          <w:tcPr>
            <w:tcW w:w="1192" w:type="dxa"/>
            <w:tcBorders>
              <w:top w:val="nil"/>
              <w:left w:val="nil"/>
              <w:bottom w:val="single" w:sz="4" w:space="0" w:color="auto"/>
              <w:right w:val="single" w:sz="4" w:space="0" w:color="auto"/>
            </w:tcBorders>
            <w:shd w:val="clear" w:color="000000" w:fill="FFFFFF"/>
            <w:noWrap/>
            <w:vAlign w:val="bottom"/>
            <w:hideMark/>
          </w:tcPr>
          <w:p w14:paraId="1E5ABAEF" w14:textId="77777777" w:rsidR="001D4AFA" w:rsidRPr="009F2D1E" w:rsidRDefault="001D4AFA" w:rsidP="009F2D1E">
            <w:pPr>
              <w:jc w:val="right"/>
              <w:rPr>
                <w:rFonts w:ascii="Times New Roman" w:hAnsi="Times New Roman"/>
                <w:sz w:val="14"/>
                <w:szCs w:val="14"/>
              </w:rPr>
            </w:pPr>
            <w:r w:rsidRPr="009F2D1E">
              <w:rPr>
                <w:sz w:val="14"/>
                <w:szCs w:val="14"/>
              </w:rPr>
              <w:t>467,27</w:t>
            </w:r>
          </w:p>
        </w:tc>
        <w:tc>
          <w:tcPr>
            <w:tcW w:w="1178" w:type="dxa"/>
            <w:tcBorders>
              <w:top w:val="nil"/>
              <w:left w:val="nil"/>
              <w:bottom w:val="single" w:sz="4" w:space="0" w:color="auto"/>
              <w:right w:val="single" w:sz="4" w:space="0" w:color="auto"/>
            </w:tcBorders>
            <w:shd w:val="clear" w:color="000000" w:fill="FFFFFF"/>
            <w:noWrap/>
            <w:vAlign w:val="bottom"/>
            <w:hideMark/>
          </w:tcPr>
          <w:p w14:paraId="19C21614" w14:textId="77777777" w:rsidR="001D4AFA" w:rsidRPr="009F2D1E" w:rsidRDefault="001D4AFA" w:rsidP="009F2D1E">
            <w:pPr>
              <w:jc w:val="right"/>
              <w:rPr>
                <w:rFonts w:ascii="Times New Roman" w:hAnsi="Times New Roman"/>
                <w:sz w:val="14"/>
                <w:szCs w:val="14"/>
              </w:rPr>
            </w:pPr>
            <w:r w:rsidRPr="009F2D1E">
              <w:rPr>
                <w:sz w:val="14"/>
                <w:szCs w:val="14"/>
              </w:rPr>
              <w:t>407,52</w:t>
            </w:r>
          </w:p>
        </w:tc>
        <w:tc>
          <w:tcPr>
            <w:tcW w:w="1164" w:type="dxa"/>
            <w:tcBorders>
              <w:top w:val="nil"/>
              <w:left w:val="nil"/>
              <w:bottom w:val="single" w:sz="4" w:space="0" w:color="auto"/>
              <w:right w:val="single" w:sz="4" w:space="0" w:color="auto"/>
            </w:tcBorders>
            <w:shd w:val="clear" w:color="000000" w:fill="FFFFFF"/>
            <w:noWrap/>
            <w:vAlign w:val="bottom"/>
            <w:hideMark/>
          </w:tcPr>
          <w:p w14:paraId="45D5BA08" w14:textId="77777777" w:rsidR="001D4AFA" w:rsidRPr="009F2D1E" w:rsidRDefault="001D4AFA" w:rsidP="009F2D1E">
            <w:pPr>
              <w:jc w:val="right"/>
              <w:rPr>
                <w:rFonts w:ascii="Times New Roman" w:hAnsi="Times New Roman"/>
                <w:sz w:val="14"/>
                <w:szCs w:val="14"/>
              </w:rPr>
            </w:pPr>
            <w:r w:rsidRPr="009F2D1E">
              <w:rPr>
                <w:sz w:val="14"/>
                <w:szCs w:val="14"/>
              </w:rPr>
              <w:t>355,42</w:t>
            </w:r>
          </w:p>
        </w:tc>
        <w:tc>
          <w:tcPr>
            <w:tcW w:w="1193" w:type="dxa"/>
            <w:tcBorders>
              <w:top w:val="nil"/>
              <w:left w:val="nil"/>
              <w:bottom w:val="single" w:sz="4" w:space="0" w:color="auto"/>
              <w:right w:val="single" w:sz="4" w:space="0" w:color="auto"/>
            </w:tcBorders>
            <w:shd w:val="clear" w:color="000000" w:fill="FFFFFF"/>
            <w:noWrap/>
            <w:vAlign w:val="bottom"/>
            <w:hideMark/>
          </w:tcPr>
          <w:p w14:paraId="334EAAA9" w14:textId="77777777" w:rsidR="001D4AFA" w:rsidRPr="009F2D1E" w:rsidRDefault="001D4AFA" w:rsidP="009F2D1E">
            <w:pPr>
              <w:jc w:val="right"/>
              <w:rPr>
                <w:rFonts w:ascii="Times New Roman" w:hAnsi="Times New Roman"/>
                <w:sz w:val="14"/>
                <w:szCs w:val="14"/>
              </w:rPr>
            </w:pPr>
            <w:r w:rsidRPr="009F2D1E">
              <w:rPr>
                <w:sz w:val="14"/>
                <w:szCs w:val="14"/>
              </w:rPr>
              <w:t>309,98</w:t>
            </w:r>
          </w:p>
        </w:tc>
        <w:tc>
          <w:tcPr>
            <w:tcW w:w="1179" w:type="dxa"/>
            <w:tcBorders>
              <w:top w:val="nil"/>
              <w:left w:val="nil"/>
              <w:bottom w:val="single" w:sz="4" w:space="0" w:color="auto"/>
              <w:right w:val="single" w:sz="4" w:space="0" w:color="auto"/>
            </w:tcBorders>
            <w:shd w:val="clear" w:color="000000" w:fill="FFFFFF"/>
            <w:vAlign w:val="bottom"/>
          </w:tcPr>
          <w:p w14:paraId="6BF5E27E" w14:textId="77777777" w:rsidR="001D4AFA" w:rsidRPr="009F2D1E" w:rsidRDefault="001D4AFA" w:rsidP="009F2D1E">
            <w:pPr>
              <w:jc w:val="right"/>
              <w:rPr>
                <w:rFonts w:ascii="Times New Roman" w:hAnsi="Times New Roman"/>
                <w:sz w:val="14"/>
                <w:szCs w:val="14"/>
              </w:rPr>
            </w:pPr>
            <w:r w:rsidRPr="009F2D1E">
              <w:rPr>
                <w:sz w:val="14"/>
                <w:szCs w:val="14"/>
              </w:rPr>
              <w:t>270,34</w:t>
            </w:r>
          </w:p>
        </w:tc>
      </w:tr>
      <w:tr w:rsidR="001D4AFA" w:rsidRPr="00364545" w14:paraId="2BDDFC3B"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1A8E5D93"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5. Waste</w:t>
            </w:r>
          </w:p>
        </w:tc>
        <w:tc>
          <w:tcPr>
            <w:tcW w:w="1178" w:type="dxa"/>
            <w:tcBorders>
              <w:top w:val="nil"/>
              <w:left w:val="nil"/>
              <w:bottom w:val="single" w:sz="4" w:space="0" w:color="auto"/>
              <w:right w:val="single" w:sz="4" w:space="0" w:color="auto"/>
            </w:tcBorders>
            <w:shd w:val="clear" w:color="000000" w:fill="CCFFFF"/>
            <w:noWrap/>
            <w:vAlign w:val="bottom"/>
            <w:hideMark/>
          </w:tcPr>
          <w:p w14:paraId="62A8854D" w14:textId="77777777" w:rsidR="001D4AFA" w:rsidRPr="009F2D1E" w:rsidRDefault="001D4AFA" w:rsidP="009F2D1E">
            <w:pPr>
              <w:jc w:val="right"/>
              <w:rPr>
                <w:rFonts w:ascii="Times New Roman" w:hAnsi="Times New Roman"/>
                <w:sz w:val="14"/>
                <w:szCs w:val="14"/>
              </w:rPr>
            </w:pPr>
            <w:r w:rsidRPr="009F2D1E">
              <w:rPr>
                <w:sz w:val="14"/>
                <w:szCs w:val="14"/>
              </w:rPr>
              <w:t>1640,52</w:t>
            </w:r>
          </w:p>
        </w:tc>
        <w:tc>
          <w:tcPr>
            <w:tcW w:w="1192" w:type="dxa"/>
            <w:tcBorders>
              <w:top w:val="nil"/>
              <w:left w:val="nil"/>
              <w:bottom w:val="single" w:sz="4" w:space="0" w:color="auto"/>
              <w:right w:val="single" w:sz="4" w:space="0" w:color="auto"/>
            </w:tcBorders>
            <w:shd w:val="clear" w:color="000000" w:fill="CCFFFF"/>
            <w:noWrap/>
            <w:vAlign w:val="bottom"/>
            <w:hideMark/>
          </w:tcPr>
          <w:p w14:paraId="760EBDF3" w14:textId="77777777" w:rsidR="001D4AFA" w:rsidRPr="009F2D1E" w:rsidRDefault="001D4AFA" w:rsidP="009F2D1E">
            <w:pPr>
              <w:jc w:val="right"/>
              <w:rPr>
                <w:rFonts w:ascii="Times New Roman" w:hAnsi="Times New Roman"/>
                <w:sz w:val="14"/>
                <w:szCs w:val="14"/>
              </w:rPr>
            </w:pPr>
            <w:r w:rsidRPr="009F2D1E">
              <w:rPr>
                <w:sz w:val="14"/>
                <w:szCs w:val="14"/>
              </w:rPr>
              <w:t>1614,52</w:t>
            </w:r>
          </w:p>
        </w:tc>
        <w:tc>
          <w:tcPr>
            <w:tcW w:w="1178" w:type="dxa"/>
            <w:tcBorders>
              <w:top w:val="nil"/>
              <w:left w:val="nil"/>
              <w:bottom w:val="single" w:sz="4" w:space="0" w:color="auto"/>
              <w:right w:val="single" w:sz="4" w:space="0" w:color="auto"/>
            </w:tcBorders>
            <w:shd w:val="clear" w:color="000000" w:fill="CCFFFF"/>
            <w:noWrap/>
            <w:vAlign w:val="bottom"/>
            <w:hideMark/>
          </w:tcPr>
          <w:p w14:paraId="2E9A1175" w14:textId="77777777" w:rsidR="001D4AFA" w:rsidRPr="009F2D1E" w:rsidRDefault="001D4AFA" w:rsidP="009F2D1E">
            <w:pPr>
              <w:jc w:val="right"/>
              <w:rPr>
                <w:rFonts w:ascii="Times New Roman" w:hAnsi="Times New Roman"/>
                <w:sz w:val="14"/>
                <w:szCs w:val="14"/>
              </w:rPr>
            </w:pPr>
            <w:r w:rsidRPr="009F2D1E">
              <w:rPr>
                <w:sz w:val="14"/>
                <w:szCs w:val="14"/>
              </w:rPr>
              <w:t>1616,95</w:t>
            </w:r>
          </w:p>
        </w:tc>
        <w:tc>
          <w:tcPr>
            <w:tcW w:w="1164" w:type="dxa"/>
            <w:tcBorders>
              <w:top w:val="nil"/>
              <w:left w:val="nil"/>
              <w:bottom w:val="single" w:sz="4" w:space="0" w:color="auto"/>
              <w:right w:val="single" w:sz="4" w:space="0" w:color="auto"/>
            </w:tcBorders>
            <w:shd w:val="clear" w:color="000000" w:fill="CCFFFF"/>
            <w:noWrap/>
            <w:vAlign w:val="bottom"/>
            <w:hideMark/>
          </w:tcPr>
          <w:p w14:paraId="679C8AD8" w14:textId="77777777" w:rsidR="001D4AFA" w:rsidRPr="009F2D1E" w:rsidRDefault="001D4AFA" w:rsidP="009F2D1E">
            <w:pPr>
              <w:jc w:val="right"/>
              <w:rPr>
                <w:rFonts w:ascii="Times New Roman" w:hAnsi="Times New Roman"/>
                <w:sz w:val="14"/>
                <w:szCs w:val="14"/>
              </w:rPr>
            </w:pPr>
            <w:r w:rsidRPr="009F2D1E">
              <w:rPr>
                <w:sz w:val="14"/>
                <w:szCs w:val="14"/>
              </w:rPr>
              <w:t>1489,23</w:t>
            </w:r>
          </w:p>
        </w:tc>
        <w:tc>
          <w:tcPr>
            <w:tcW w:w="1193" w:type="dxa"/>
            <w:tcBorders>
              <w:top w:val="nil"/>
              <w:left w:val="nil"/>
              <w:bottom w:val="single" w:sz="4" w:space="0" w:color="auto"/>
              <w:right w:val="single" w:sz="4" w:space="0" w:color="auto"/>
            </w:tcBorders>
            <w:shd w:val="clear" w:color="000000" w:fill="CCFFFF"/>
            <w:noWrap/>
            <w:vAlign w:val="bottom"/>
            <w:hideMark/>
          </w:tcPr>
          <w:p w14:paraId="7B877C66" w14:textId="77777777" w:rsidR="001D4AFA" w:rsidRPr="009F2D1E" w:rsidRDefault="001D4AFA" w:rsidP="009F2D1E">
            <w:pPr>
              <w:jc w:val="right"/>
              <w:rPr>
                <w:rFonts w:ascii="Times New Roman" w:hAnsi="Times New Roman"/>
                <w:sz w:val="14"/>
                <w:szCs w:val="14"/>
              </w:rPr>
            </w:pPr>
            <w:r w:rsidRPr="009F2D1E">
              <w:rPr>
                <w:sz w:val="14"/>
                <w:szCs w:val="14"/>
              </w:rPr>
              <w:t>1549,07</w:t>
            </w:r>
          </w:p>
        </w:tc>
        <w:tc>
          <w:tcPr>
            <w:tcW w:w="1179" w:type="dxa"/>
            <w:tcBorders>
              <w:top w:val="nil"/>
              <w:left w:val="nil"/>
              <w:bottom w:val="single" w:sz="4" w:space="0" w:color="auto"/>
              <w:right w:val="single" w:sz="4" w:space="0" w:color="auto"/>
            </w:tcBorders>
            <w:shd w:val="clear" w:color="000000" w:fill="CCFFFF"/>
            <w:vAlign w:val="bottom"/>
          </w:tcPr>
          <w:p w14:paraId="17BC3F88" w14:textId="77777777" w:rsidR="001D4AFA" w:rsidRPr="009F2D1E" w:rsidRDefault="001D4AFA" w:rsidP="009F2D1E">
            <w:pPr>
              <w:jc w:val="right"/>
              <w:rPr>
                <w:rFonts w:ascii="Times New Roman" w:hAnsi="Times New Roman"/>
                <w:sz w:val="14"/>
                <w:szCs w:val="14"/>
              </w:rPr>
            </w:pPr>
            <w:r w:rsidRPr="009F2D1E">
              <w:rPr>
                <w:sz w:val="14"/>
                <w:szCs w:val="14"/>
              </w:rPr>
              <w:t>1612,34</w:t>
            </w:r>
          </w:p>
        </w:tc>
      </w:tr>
      <w:tr w:rsidR="001D4AFA" w:rsidRPr="00364545" w14:paraId="2D6F841C"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E22234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7EB004F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2" w:type="dxa"/>
            <w:tcBorders>
              <w:top w:val="nil"/>
              <w:left w:val="nil"/>
              <w:bottom w:val="single" w:sz="4" w:space="0" w:color="auto"/>
              <w:right w:val="single" w:sz="4" w:space="0" w:color="auto"/>
            </w:tcBorders>
            <w:shd w:val="clear" w:color="000000" w:fill="FFFFFF"/>
            <w:noWrap/>
            <w:vAlign w:val="bottom"/>
            <w:hideMark/>
          </w:tcPr>
          <w:p w14:paraId="41BBCED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8" w:type="dxa"/>
            <w:tcBorders>
              <w:top w:val="nil"/>
              <w:left w:val="nil"/>
              <w:bottom w:val="single" w:sz="4" w:space="0" w:color="auto"/>
              <w:right w:val="single" w:sz="4" w:space="0" w:color="auto"/>
            </w:tcBorders>
            <w:shd w:val="clear" w:color="000000" w:fill="FFFFFF"/>
            <w:noWrap/>
            <w:vAlign w:val="bottom"/>
            <w:hideMark/>
          </w:tcPr>
          <w:p w14:paraId="5CFB478D"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FFFFFF"/>
            <w:noWrap/>
            <w:vAlign w:val="bottom"/>
            <w:hideMark/>
          </w:tcPr>
          <w:p w14:paraId="2EF4DB9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0298205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9" w:type="dxa"/>
            <w:tcBorders>
              <w:top w:val="nil"/>
              <w:left w:val="nil"/>
              <w:bottom w:val="single" w:sz="4" w:space="0" w:color="auto"/>
              <w:right w:val="single" w:sz="4" w:space="0" w:color="auto"/>
            </w:tcBorders>
            <w:shd w:val="clear" w:color="000000" w:fill="FFFFFF"/>
            <w:vAlign w:val="bottom"/>
          </w:tcPr>
          <w:p w14:paraId="211E960F"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41AD9843"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A2BFBA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78" w:type="dxa"/>
            <w:tcBorders>
              <w:top w:val="nil"/>
              <w:left w:val="nil"/>
              <w:bottom w:val="single" w:sz="4" w:space="0" w:color="auto"/>
              <w:right w:val="single" w:sz="4" w:space="0" w:color="auto"/>
            </w:tcBorders>
            <w:shd w:val="clear" w:color="000000" w:fill="FFFFFF"/>
            <w:noWrap/>
            <w:vAlign w:val="bottom"/>
            <w:hideMark/>
          </w:tcPr>
          <w:p w14:paraId="74628C4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03ABC8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703A67F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0BB39A9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43F6D4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104EFF8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F22F99C"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BB7215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78" w:type="dxa"/>
            <w:tcBorders>
              <w:top w:val="nil"/>
              <w:left w:val="nil"/>
              <w:bottom w:val="single" w:sz="4" w:space="0" w:color="auto"/>
              <w:right w:val="single" w:sz="4" w:space="0" w:color="auto"/>
            </w:tcBorders>
            <w:shd w:val="clear" w:color="000000" w:fill="FFFFFF"/>
            <w:noWrap/>
            <w:vAlign w:val="bottom"/>
            <w:hideMark/>
          </w:tcPr>
          <w:p w14:paraId="7B873975" w14:textId="77777777" w:rsidR="001D4AFA" w:rsidRPr="009F2D1E" w:rsidRDefault="001D4AFA" w:rsidP="009F2D1E">
            <w:pPr>
              <w:jc w:val="right"/>
              <w:rPr>
                <w:rFonts w:ascii="Times New Roman" w:hAnsi="Times New Roman"/>
                <w:sz w:val="14"/>
                <w:szCs w:val="14"/>
              </w:rPr>
            </w:pPr>
            <w:r w:rsidRPr="009F2D1E">
              <w:rPr>
                <w:sz w:val="14"/>
                <w:szCs w:val="14"/>
              </w:rPr>
              <w:t>1640,52</w:t>
            </w:r>
          </w:p>
        </w:tc>
        <w:tc>
          <w:tcPr>
            <w:tcW w:w="1192" w:type="dxa"/>
            <w:tcBorders>
              <w:top w:val="nil"/>
              <w:left w:val="nil"/>
              <w:bottom w:val="single" w:sz="4" w:space="0" w:color="auto"/>
              <w:right w:val="single" w:sz="4" w:space="0" w:color="auto"/>
            </w:tcBorders>
            <w:shd w:val="clear" w:color="000000" w:fill="FFFFFF"/>
            <w:noWrap/>
            <w:vAlign w:val="bottom"/>
            <w:hideMark/>
          </w:tcPr>
          <w:p w14:paraId="0DB42D73" w14:textId="77777777" w:rsidR="001D4AFA" w:rsidRPr="009F2D1E" w:rsidRDefault="001D4AFA" w:rsidP="009F2D1E">
            <w:pPr>
              <w:jc w:val="right"/>
              <w:rPr>
                <w:rFonts w:ascii="Times New Roman" w:hAnsi="Times New Roman"/>
                <w:sz w:val="14"/>
                <w:szCs w:val="14"/>
              </w:rPr>
            </w:pPr>
            <w:r w:rsidRPr="009F2D1E">
              <w:rPr>
                <w:sz w:val="14"/>
                <w:szCs w:val="14"/>
              </w:rPr>
              <w:t>1614,52</w:t>
            </w:r>
          </w:p>
        </w:tc>
        <w:tc>
          <w:tcPr>
            <w:tcW w:w="1178" w:type="dxa"/>
            <w:tcBorders>
              <w:top w:val="nil"/>
              <w:left w:val="nil"/>
              <w:bottom w:val="single" w:sz="4" w:space="0" w:color="auto"/>
              <w:right w:val="single" w:sz="4" w:space="0" w:color="auto"/>
            </w:tcBorders>
            <w:shd w:val="clear" w:color="000000" w:fill="FFFFFF"/>
            <w:noWrap/>
            <w:vAlign w:val="bottom"/>
            <w:hideMark/>
          </w:tcPr>
          <w:p w14:paraId="544056A3" w14:textId="77777777" w:rsidR="001D4AFA" w:rsidRPr="009F2D1E" w:rsidRDefault="001D4AFA" w:rsidP="009F2D1E">
            <w:pPr>
              <w:jc w:val="right"/>
              <w:rPr>
                <w:rFonts w:ascii="Times New Roman" w:hAnsi="Times New Roman"/>
                <w:sz w:val="14"/>
                <w:szCs w:val="14"/>
              </w:rPr>
            </w:pPr>
            <w:r w:rsidRPr="009F2D1E">
              <w:rPr>
                <w:sz w:val="14"/>
                <w:szCs w:val="14"/>
              </w:rPr>
              <w:t>1616,95</w:t>
            </w:r>
          </w:p>
        </w:tc>
        <w:tc>
          <w:tcPr>
            <w:tcW w:w="1164" w:type="dxa"/>
            <w:tcBorders>
              <w:top w:val="nil"/>
              <w:left w:val="nil"/>
              <w:bottom w:val="single" w:sz="4" w:space="0" w:color="auto"/>
              <w:right w:val="single" w:sz="4" w:space="0" w:color="auto"/>
            </w:tcBorders>
            <w:shd w:val="clear" w:color="000000" w:fill="FFFFFF"/>
            <w:noWrap/>
            <w:vAlign w:val="bottom"/>
            <w:hideMark/>
          </w:tcPr>
          <w:p w14:paraId="43489E74" w14:textId="77777777" w:rsidR="001D4AFA" w:rsidRPr="009F2D1E" w:rsidRDefault="001D4AFA" w:rsidP="009F2D1E">
            <w:pPr>
              <w:jc w:val="right"/>
              <w:rPr>
                <w:rFonts w:ascii="Times New Roman" w:hAnsi="Times New Roman"/>
                <w:sz w:val="14"/>
                <w:szCs w:val="14"/>
              </w:rPr>
            </w:pPr>
            <w:r w:rsidRPr="009F2D1E">
              <w:rPr>
                <w:sz w:val="14"/>
                <w:szCs w:val="14"/>
              </w:rPr>
              <w:t>1489,23</w:t>
            </w:r>
          </w:p>
        </w:tc>
        <w:tc>
          <w:tcPr>
            <w:tcW w:w="1193" w:type="dxa"/>
            <w:tcBorders>
              <w:top w:val="nil"/>
              <w:left w:val="nil"/>
              <w:bottom w:val="single" w:sz="4" w:space="0" w:color="auto"/>
              <w:right w:val="single" w:sz="4" w:space="0" w:color="auto"/>
            </w:tcBorders>
            <w:shd w:val="clear" w:color="000000" w:fill="FFFFFF"/>
            <w:noWrap/>
            <w:vAlign w:val="bottom"/>
            <w:hideMark/>
          </w:tcPr>
          <w:p w14:paraId="53F3AFEA" w14:textId="77777777" w:rsidR="001D4AFA" w:rsidRPr="009F2D1E" w:rsidRDefault="001D4AFA" w:rsidP="009F2D1E">
            <w:pPr>
              <w:jc w:val="right"/>
              <w:rPr>
                <w:rFonts w:ascii="Times New Roman" w:hAnsi="Times New Roman"/>
                <w:sz w:val="14"/>
                <w:szCs w:val="14"/>
              </w:rPr>
            </w:pPr>
            <w:r w:rsidRPr="009F2D1E">
              <w:rPr>
                <w:sz w:val="14"/>
                <w:szCs w:val="14"/>
              </w:rPr>
              <w:t>1549,07</w:t>
            </w:r>
          </w:p>
        </w:tc>
        <w:tc>
          <w:tcPr>
            <w:tcW w:w="1179" w:type="dxa"/>
            <w:tcBorders>
              <w:top w:val="nil"/>
              <w:left w:val="nil"/>
              <w:bottom w:val="single" w:sz="4" w:space="0" w:color="auto"/>
              <w:right w:val="single" w:sz="4" w:space="0" w:color="auto"/>
            </w:tcBorders>
            <w:shd w:val="clear" w:color="000000" w:fill="FFFFFF"/>
            <w:vAlign w:val="bottom"/>
          </w:tcPr>
          <w:p w14:paraId="46B093CD" w14:textId="77777777" w:rsidR="001D4AFA" w:rsidRPr="009F2D1E" w:rsidRDefault="001D4AFA" w:rsidP="009F2D1E">
            <w:pPr>
              <w:jc w:val="right"/>
              <w:rPr>
                <w:rFonts w:ascii="Times New Roman" w:hAnsi="Times New Roman"/>
                <w:sz w:val="14"/>
                <w:szCs w:val="14"/>
              </w:rPr>
            </w:pPr>
            <w:r w:rsidRPr="009F2D1E">
              <w:rPr>
                <w:sz w:val="14"/>
                <w:szCs w:val="14"/>
              </w:rPr>
              <w:t>1612,34</w:t>
            </w:r>
          </w:p>
        </w:tc>
      </w:tr>
      <w:tr w:rsidR="001D4AFA" w:rsidRPr="00364545" w14:paraId="68D10A8C"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BCEC33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78" w:type="dxa"/>
            <w:tcBorders>
              <w:top w:val="nil"/>
              <w:left w:val="nil"/>
              <w:bottom w:val="single" w:sz="4" w:space="0" w:color="auto"/>
              <w:right w:val="single" w:sz="4" w:space="0" w:color="auto"/>
            </w:tcBorders>
            <w:shd w:val="clear" w:color="000000" w:fill="FFFFFF"/>
            <w:noWrap/>
            <w:vAlign w:val="bottom"/>
            <w:hideMark/>
          </w:tcPr>
          <w:p w14:paraId="4624046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6EC99AC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47441A2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1AAB9A2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445205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2AF735A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9EDFFC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368E8B6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78" w:type="dxa"/>
            <w:tcBorders>
              <w:top w:val="nil"/>
              <w:left w:val="nil"/>
              <w:bottom w:val="single" w:sz="4" w:space="0" w:color="auto"/>
              <w:right w:val="single" w:sz="4" w:space="0" w:color="auto"/>
            </w:tcBorders>
            <w:shd w:val="clear" w:color="000000" w:fill="FFFFFF"/>
            <w:noWrap/>
            <w:vAlign w:val="bottom"/>
            <w:hideMark/>
          </w:tcPr>
          <w:p w14:paraId="1585DF0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2" w:type="dxa"/>
            <w:tcBorders>
              <w:top w:val="nil"/>
              <w:left w:val="nil"/>
              <w:bottom w:val="single" w:sz="4" w:space="0" w:color="auto"/>
              <w:right w:val="single" w:sz="4" w:space="0" w:color="auto"/>
            </w:tcBorders>
            <w:shd w:val="clear" w:color="000000" w:fill="FFFFFF"/>
            <w:noWrap/>
            <w:vAlign w:val="bottom"/>
            <w:hideMark/>
          </w:tcPr>
          <w:p w14:paraId="4BC9103D"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8" w:type="dxa"/>
            <w:tcBorders>
              <w:top w:val="nil"/>
              <w:left w:val="nil"/>
              <w:bottom w:val="single" w:sz="4" w:space="0" w:color="auto"/>
              <w:right w:val="single" w:sz="4" w:space="0" w:color="auto"/>
            </w:tcBorders>
            <w:shd w:val="clear" w:color="000000" w:fill="FFFFFF"/>
            <w:noWrap/>
            <w:vAlign w:val="bottom"/>
            <w:hideMark/>
          </w:tcPr>
          <w:p w14:paraId="7B80DD0E"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19AD6DAE"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2D556EF9"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9" w:type="dxa"/>
            <w:tcBorders>
              <w:top w:val="nil"/>
              <w:left w:val="nil"/>
              <w:bottom w:val="single" w:sz="4" w:space="0" w:color="auto"/>
              <w:right w:val="single" w:sz="4" w:space="0" w:color="auto"/>
            </w:tcBorders>
            <w:shd w:val="clear" w:color="000000" w:fill="FFFFFF"/>
            <w:vAlign w:val="bottom"/>
          </w:tcPr>
          <w:p w14:paraId="418F1A3A"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62A54FED"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A79836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78" w:type="dxa"/>
            <w:tcBorders>
              <w:top w:val="nil"/>
              <w:left w:val="nil"/>
              <w:bottom w:val="single" w:sz="4" w:space="0" w:color="auto"/>
              <w:right w:val="single" w:sz="4" w:space="0" w:color="auto"/>
            </w:tcBorders>
            <w:shd w:val="clear" w:color="000000" w:fill="CCFFFF"/>
            <w:noWrap/>
            <w:vAlign w:val="bottom"/>
            <w:hideMark/>
          </w:tcPr>
          <w:p w14:paraId="12B2DCA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2" w:type="dxa"/>
            <w:tcBorders>
              <w:top w:val="nil"/>
              <w:left w:val="nil"/>
              <w:bottom w:val="single" w:sz="4" w:space="0" w:color="auto"/>
              <w:right w:val="single" w:sz="4" w:space="0" w:color="auto"/>
            </w:tcBorders>
            <w:shd w:val="clear" w:color="000000" w:fill="CCFFFF"/>
            <w:noWrap/>
            <w:vAlign w:val="bottom"/>
            <w:hideMark/>
          </w:tcPr>
          <w:p w14:paraId="72C81BD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8" w:type="dxa"/>
            <w:tcBorders>
              <w:top w:val="nil"/>
              <w:left w:val="nil"/>
              <w:bottom w:val="single" w:sz="4" w:space="0" w:color="auto"/>
              <w:right w:val="single" w:sz="4" w:space="0" w:color="auto"/>
            </w:tcBorders>
            <w:shd w:val="clear" w:color="000000" w:fill="CCFFFF"/>
            <w:noWrap/>
            <w:vAlign w:val="bottom"/>
            <w:hideMark/>
          </w:tcPr>
          <w:p w14:paraId="01E17FF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CCFFFF"/>
            <w:noWrap/>
            <w:vAlign w:val="bottom"/>
            <w:hideMark/>
          </w:tcPr>
          <w:p w14:paraId="42F6233B"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77B270BD"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79" w:type="dxa"/>
            <w:tcBorders>
              <w:top w:val="nil"/>
              <w:left w:val="nil"/>
              <w:bottom w:val="single" w:sz="4" w:space="0" w:color="auto"/>
              <w:right w:val="single" w:sz="4" w:space="0" w:color="auto"/>
            </w:tcBorders>
            <w:shd w:val="clear" w:color="000000" w:fill="CCFFFF"/>
            <w:vAlign w:val="bottom"/>
          </w:tcPr>
          <w:p w14:paraId="139BFF7E"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77017995"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AF8180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Memo items:</w:t>
            </w:r>
          </w:p>
        </w:tc>
        <w:tc>
          <w:tcPr>
            <w:tcW w:w="1178" w:type="dxa"/>
            <w:tcBorders>
              <w:top w:val="nil"/>
              <w:left w:val="nil"/>
              <w:bottom w:val="single" w:sz="4" w:space="0" w:color="auto"/>
              <w:right w:val="single" w:sz="4" w:space="0" w:color="auto"/>
            </w:tcBorders>
            <w:shd w:val="clear" w:color="000000" w:fill="969696"/>
            <w:noWrap/>
            <w:vAlign w:val="bottom"/>
            <w:hideMark/>
          </w:tcPr>
          <w:p w14:paraId="1ABFAC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969696"/>
            <w:noWrap/>
            <w:vAlign w:val="bottom"/>
            <w:hideMark/>
          </w:tcPr>
          <w:p w14:paraId="464C550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969696"/>
            <w:noWrap/>
            <w:vAlign w:val="bottom"/>
            <w:hideMark/>
          </w:tcPr>
          <w:p w14:paraId="7965B36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969696"/>
            <w:noWrap/>
            <w:vAlign w:val="bottom"/>
            <w:hideMark/>
          </w:tcPr>
          <w:p w14:paraId="4DA1089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35D3079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969696"/>
            <w:vAlign w:val="bottom"/>
          </w:tcPr>
          <w:p w14:paraId="7BD6B59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5778FB3"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EA2429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International bunkers</w:t>
            </w:r>
          </w:p>
        </w:tc>
        <w:tc>
          <w:tcPr>
            <w:tcW w:w="1178" w:type="dxa"/>
            <w:tcBorders>
              <w:top w:val="nil"/>
              <w:left w:val="nil"/>
              <w:bottom w:val="single" w:sz="4" w:space="0" w:color="auto"/>
              <w:right w:val="single" w:sz="4" w:space="0" w:color="auto"/>
            </w:tcBorders>
            <w:shd w:val="clear" w:color="000000" w:fill="CCFFFF"/>
            <w:noWrap/>
            <w:vAlign w:val="bottom"/>
            <w:hideMark/>
          </w:tcPr>
          <w:p w14:paraId="01E15F45" w14:textId="77777777" w:rsidR="001D4AFA" w:rsidRPr="009F2D1E" w:rsidRDefault="001D4AFA" w:rsidP="009F2D1E">
            <w:pPr>
              <w:jc w:val="right"/>
              <w:rPr>
                <w:rFonts w:ascii="Times New Roman" w:hAnsi="Times New Roman"/>
                <w:sz w:val="14"/>
                <w:szCs w:val="14"/>
              </w:rPr>
            </w:pPr>
            <w:r w:rsidRPr="009F2D1E">
              <w:rPr>
                <w:sz w:val="14"/>
                <w:szCs w:val="14"/>
              </w:rPr>
              <w:t>22259,19</w:t>
            </w:r>
          </w:p>
        </w:tc>
        <w:tc>
          <w:tcPr>
            <w:tcW w:w="1192" w:type="dxa"/>
            <w:tcBorders>
              <w:top w:val="nil"/>
              <w:left w:val="nil"/>
              <w:bottom w:val="single" w:sz="4" w:space="0" w:color="auto"/>
              <w:right w:val="single" w:sz="4" w:space="0" w:color="auto"/>
            </w:tcBorders>
            <w:shd w:val="clear" w:color="000000" w:fill="CCFFFF"/>
            <w:noWrap/>
            <w:vAlign w:val="bottom"/>
            <w:hideMark/>
          </w:tcPr>
          <w:p w14:paraId="3E108753" w14:textId="77777777" w:rsidR="001D4AFA" w:rsidRPr="009F2D1E" w:rsidRDefault="001D4AFA" w:rsidP="009F2D1E">
            <w:pPr>
              <w:jc w:val="right"/>
              <w:rPr>
                <w:rFonts w:ascii="Times New Roman" w:hAnsi="Times New Roman"/>
                <w:sz w:val="14"/>
                <w:szCs w:val="14"/>
              </w:rPr>
            </w:pPr>
            <w:r w:rsidRPr="009F2D1E">
              <w:rPr>
                <w:sz w:val="14"/>
                <w:szCs w:val="14"/>
              </w:rPr>
              <w:t>22108,29</w:t>
            </w:r>
          </w:p>
        </w:tc>
        <w:tc>
          <w:tcPr>
            <w:tcW w:w="1178" w:type="dxa"/>
            <w:tcBorders>
              <w:top w:val="nil"/>
              <w:left w:val="nil"/>
              <w:bottom w:val="single" w:sz="4" w:space="0" w:color="auto"/>
              <w:right w:val="single" w:sz="4" w:space="0" w:color="auto"/>
            </w:tcBorders>
            <w:shd w:val="clear" w:color="000000" w:fill="CCFFFF"/>
            <w:noWrap/>
            <w:vAlign w:val="bottom"/>
            <w:hideMark/>
          </w:tcPr>
          <w:p w14:paraId="1B2449E8" w14:textId="77777777" w:rsidR="001D4AFA" w:rsidRPr="009F2D1E" w:rsidRDefault="001D4AFA" w:rsidP="009F2D1E">
            <w:pPr>
              <w:jc w:val="right"/>
              <w:rPr>
                <w:rFonts w:ascii="Times New Roman" w:hAnsi="Times New Roman"/>
                <w:sz w:val="14"/>
                <w:szCs w:val="14"/>
              </w:rPr>
            </w:pPr>
            <w:r w:rsidRPr="009F2D1E">
              <w:rPr>
                <w:sz w:val="14"/>
                <w:szCs w:val="14"/>
              </w:rPr>
              <w:t>22910,27</w:t>
            </w:r>
          </w:p>
        </w:tc>
        <w:tc>
          <w:tcPr>
            <w:tcW w:w="1164" w:type="dxa"/>
            <w:tcBorders>
              <w:top w:val="nil"/>
              <w:left w:val="nil"/>
              <w:bottom w:val="single" w:sz="4" w:space="0" w:color="auto"/>
              <w:right w:val="single" w:sz="4" w:space="0" w:color="auto"/>
            </w:tcBorders>
            <w:shd w:val="clear" w:color="000000" w:fill="CCFFFF"/>
            <w:noWrap/>
            <w:vAlign w:val="bottom"/>
            <w:hideMark/>
          </w:tcPr>
          <w:p w14:paraId="5A341016" w14:textId="77777777" w:rsidR="001D4AFA" w:rsidRPr="009F2D1E" w:rsidRDefault="001D4AFA" w:rsidP="009F2D1E">
            <w:pPr>
              <w:jc w:val="right"/>
              <w:rPr>
                <w:rFonts w:ascii="Times New Roman" w:hAnsi="Times New Roman"/>
                <w:sz w:val="14"/>
                <w:szCs w:val="14"/>
              </w:rPr>
            </w:pPr>
            <w:r w:rsidRPr="009F2D1E">
              <w:rPr>
                <w:sz w:val="14"/>
                <w:szCs w:val="14"/>
              </w:rPr>
              <w:t>25098,53</w:t>
            </w:r>
          </w:p>
        </w:tc>
        <w:tc>
          <w:tcPr>
            <w:tcW w:w="1193" w:type="dxa"/>
            <w:tcBorders>
              <w:top w:val="nil"/>
              <w:left w:val="nil"/>
              <w:bottom w:val="single" w:sz="4" w:space="0" w:color="auto"/>
              <w:right w:val="single" w:sz="4" w:space="0" w:color="auto"/>
            </w:tcBorders>
            <w:shd w:val="clear" w:color="000000" w:fill="CCFFFF"/>
            <w:noWrap/>
            <w:vAlign w:val="bottom"/>
            <w:hideMark/>
          </w:tcPr>
          <w:p w14:paraId="1A5A0EC9" w14:textId="77777777" w:rsidR="001D4AFA" w:rsidRPr="009F2D1E" w:rsidRDefault="001D4AFA" w:rsidP="009F2D1E">
            <w:pPr>
              <w:jc w:val="right"/>
              <w:rPr>
                <w:rFonts w:ascii="Times New Roman" w:hAnsi="Times New Roman"/>
                <w:sz w:val="14"/>
                <w:szCs w:val="14"/>
              </w:rPr>
            </w:pPr>
            <w:r w:rsidRPr="009F2D1E">
              <w:rPr>
                <w:sz w:val="14"/>
                <w:szCs w:val="14"/>
              </w:rPr>
              <w:t>24515,56</w:t>
            </w:r>
          </w:p>
        </w:tc>
        <w:tc>
          <w:tcPr>
            <w:tcW w:w="1179" w:type="dxa"/>
            <w:tcBorders>
              <w:top w:val="nil"/>
              <w:left w:val="nil"/>
              <w:bottom w:val="single" w:sz="4" w:space="0" w:color="auto"/>
              <w:right w:val="single" w:sz="4" w:space="0" w:color="auto"/>
            </w:tcBorders>
            <w:shd w:val="clear" w:color="000000" w:fill="CCFFFF"/>
            <w:vAlign w:val="bottom"/>
          </w:tcPr>
          <w:p w14:paraId="0BF5F2FD" w14:textId="77777777" w:rsidR="001D4AFA" w:rsidRPr="009F2D1E" w:rsidRDefault="001D4AFA" w:rsidP="009F2D1E">
            <w:pPr>
              <w:jc w:val="right"/>
              <w:rPr>
                <w:rFonts w:ascii="Times New Roman" w:hAnsi="Times New Roman"/>
                <w:sz w:val="14"/>
                <w:szCs w:val="14"/>
              </w:rPr>
            </w:pPr>
            <w:r w:rsidRPr="009F2D1E">
              <w:rPr>
                <w:sz w:val="14"/>
                <w:szCs w:val="14"/>
              </w:rPr>
              <w:t>25729,51</w:t>
            </w:r>
          </w:p>
        </w:tc>
      </w:tr>
      <w:tr w:rsidR="001D4AFA" w:rsidRPr="00364545" w14:paraId="423CB545"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6D0C449"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Aviation</w:t>
            </w:r>
          </w:p>
        </w:tc>
        <w:tc>
          <w:tcPr>
            <w:tcW w:w="1178" w:type="dxa"/>
            <w:tcBorders>
              <w:top w:val="nil"/>
              <w:left w:val="nil"/>
              <w:bottom w:val="single" w:sz="4" w:space="0" w:color="auto"/>
              <w:right w:val="single" w:sz="4" w:space="0" w:color="auto"/>
            </w:tcBorders>
            <w:shd w:val="clear" w:color="000000" w:fill="FFFFFF"/>
            <w:noWrap/>
            <w:vAlign w:val="bottom"/>
            <w:hideMark/>
          </w:tcPr>
          <w:p w14:paraId="1206DA8C" w14:textId="77777777" w:rsidR="001D4AFA" w:rsidRPr="009F2D1E" w:rsidRDefault="001D4AFA" w:rsidP="009F2D1E">
            <w:pPr>
              <w:jc w:val="right"/>
              <w:rPr>
                <w:rFonts w:ascii="Times New Roman" w:hAnsi="Times New Roman"/>
                <w:sz w:val="14"/>
                <w:szCs w:val="14"/>
              </w:rPr>
            </w:pPr>
            <w:r w:rsidRPr="009F2D1E">
              <w:rPr>
                <w:sz w:val="14"/>
                <w:szCs w:val="14"/>
              </w:rPr>
              <w:t>14234,37</w:t>
            </w:r>
          </w:p>
        </w:tc>
        <w:tc>
          <w:tcPr>
            <w:tcW w:w="1192" w:type="dxa"/>
            <w:tcBorders>
              <w:top w:val="nil"/>
              <w:left w:val="nil"/>
              <w:bottom w:val="single" w:sz="4" w:space="0" w:color="auto"/>
              <w:right w:val="single" w:sz="4" w:space="0" w:color="auto"/>
            </w:tcBorders>
            <w:shd w:val="clear" w:color="000000" w:fill="FFFFFF"/>
            <w:noWrap/>
            <w:vAlign w:val="bottom"/>
            <w:hideMark/>
          </w:tcPr>
          <w:p w14:paraId="2BFADEEA" w14:textId="77777777" w:rsidR="001D4AFA" w:rsidRPr="009F2D1E" w:rsidRDefault="001D4AFA" w:rsidP="009F2D1E">
            <w:pPr>
              <w:jc w:val="right"/>
              <w:rPr>
                <w:rFonts w:ascii="Times New Roman" w:hAnsi="Times New Roman"/>
                <w:sz w:val="14"/>
                <w:szCs w:val="14"/>
              </w:rPr>
            </w:pPr>
            <w:r w:rsidRPr="009F2D1E">
              <w:rPr>
                <w:sz w:val="14"/>
                <w:szCs w:val="14"/>
              </w:rPr>
              <w:t>14336,28</w:t>
            </w:r>
          </w:p>
        </w:tc>
        <w:tc>
          <w:tcPr>
            <w:tcW w:w="1178" w:type="dxa"/>
            <w:tcBorders>
              <w:top w:val="nil"/>
              <w:left w:val="nil"/>
              <w:bottom w:val="single" w:sz="4" w:space="0" w:color="auto"/>
              <w:right w:val="single" w:sz="4" w:space="0" w:color="auto"/>
            </w:tcBorders>
            <w:shd w:val="clear" w:color="000000" w:fill="FFFFFF"/>
            <w:noWrap/>
            <w:vAlign w:val="bottom"/>
            <w:hideMark/>
          </w:tcPr>
          <w:p w14:paraId="5246775F" w14:textId="77777777" w:rsidR="001D4AFA" w:rsidRPr="009F2D1E" w:rsidRDefault="001D4AFA" w:rsidP="009F2D1E">
            <w:pPr>
              <w:jc w:val="right"/>
              <w:rPr>
                <w:rFonts w:ascii="Times New Roman" w:hAnsi="Times New Roman"/>
                <w:sz w:val="14"/>
                <w:szCs w:val="14"/>
              </w:rPr>
            </w:pPr>
            <w:r w:rsidRPr="009F2D1E">
              <w:rPr>
                <w:sz w:val="14"/>
                <w:szCs w:val="14"/>
              </w:rPr>
              <w:t>14491,92</w:t>
            </w:r>
          </w:p>
        </w:tc>
        <w:tc>
          <w:tcPr>
            <w:tcW w:w="1164" w:type="dxa"/>
            <w:tcBorders>
              <w:top w:val="nil"/>
              <w:left w:val="nil"/>
              <w:bottom w:val="single" w:sz="4" w:space="0" w:color="auto"/>
              <w:right w:val="single" w:sz="4" w:space="0" w:color="auto"/>
            </w:tcBorders>
            <w:shd w:val="clear" w:color="000000" w:fill="FFFFFF"/>
            <w:noWrap/>
            <w:vAlign w:val="bottom"/>
            <w:hideMark/>
          </w:tcPr>
          <w:p w14:paraId="745E5279" w14:textId="77777777" w:rsidR="001D4AFA" w:rsidRPr="009F2D1E" w:rsidRDefault="001D4AFA" w:rsidP="009F2D1E">
            <w:pPr>
              <w:jc w:val="right"/>
              <w:rPr>
                <w:rFonts w:ascii="Times New Roman" w:hAnsi="Times New Roman"/>
                <w:sz w:val="14"/>
                <w:szCs w:val="14"/>
              </w:rPr>
            </w:pPr>
            <w:r w:rsidRPr="009F2D1E">
              <w:rPr>
                <w:sz w:val="14"/>
                <w:szCs w:val="14"/>
              </w:rPr>
              <w:t>15493,77</w:t>
            </w:r>
          </w:p>
        </w:tc>
        <w:tc>
          <w:tcPr>
            <w:tcW w:w="1193" w:type="dxa"/>
            <w:tcBorders>
              <w:top w:val="nil"/>
              <w:left w:val="nil"/>
              <w:bottom w:val="single" w:sz="4" w:space="0" w:color="auto"/>
              <w:right w:val="single" w:sz="4" w:space="0" w:color="auto"/>
            </w:tcBorders>
            <w:shd w:val="clear" w:color="000000" w:fill="FFFFFF"/>
            <w:noWrap/>
            <w:vAlign w:val="bottom"/>
            <w:hideMark/>
          </w:tcPr>
          <w:p w14:paraId="618ED96D" w14:textId="77777777" w:rsidR="001D4AFA" w:rsidRPr="009F2D1E" w:rsidRDefault="001D4AFA" w:rsidP="009F2D1E">
            <w:pPr>
              <w:jc w:val="right"/>
              <w:rPr>
                <w:rFonts w:ascii="Times New Roman" w:hAnsi="Times New Roman"/>
                <w:sz w:val="14"/>
                <w:szCs w:val="14"/>
              </w:rPr>
            </w:pPr>
            <w:r w:rsidRPr="009F2D1E">
              <w:rPr>
                <w:sz w:val="14"/>
                <w:szCs w:val="14"/>
              </w:rPr>
              <w:t>15732,39</w:t>
            </w:r>
          </w:p>
        </w:tc>
        <w:tc>
          <w:tcPr>
            <w:tcW w:w="1179" w:type="dxa"/>
            <w:tcBorders>
              <w:top w:val="nil"/>
              <w:left w:val="nil"/>
              <w:bottom w:val="single" w:sz="4" w:space="0" w:color="auto"/>
              <w:right w:val="single" w:sz="4" w:space="0" w:color="auto"/>
            </w:tcBorders>
            <w:shd w:val="clear" w:color="000000" w:fill="FFFFFF"/>
            <w:vAlign w:val="bottom"/>
          </w:tcPr>
          <w:p w14:paraId="403812F9" w14:textId="77777777" w:rsidR="001D4AFA" w:rsidRPr="009F2D1E" w:rsidRDefault="001D4AFA" w:rsidP="009F2D1E">
            <w:pPr>
              <w:jc w:val="right"/>
              <w:rPr>
                <w:rFonts w:ascii="Times New Roman" w:hAnsi="Times New Roman"/>
                <w:sz w:val="14"/>
                <w:szCs w:val="14"/>
              </w:rPr>
            </w:pPr>
            <w:r w:rsidRPr="009F2D1E">
              <w:rPr>
                <w:sz w:val="14"/>
                <w:szCs w:val="14"/>
              </w:rPr>
              <w:t>16596,22</w:t>
            </w:r>
          </w:p>
        </w:tc>
      </w:tr>
      <w:tr w:rsidR="001D4AFA" w:rsidRPr="00364545" w14:paraId="6D7BF3A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E02F79A"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Navigation</w:t>
            </w:r>
          </w:p>
        </w:tc>
        <w:tc>
          <w:tcPr>
            <w:tcW w:w="1178" w:type="dxa"/>
            <w:tcBorders>
              <w:top w:val="nil"/>
              <w:left w:val="nil"/>
              <w:bottom w:val="single" w:sz="4" w:space="0" w:color="auto"/>
              <w:right w:val="single" w:sz="4" w:space="0" w:color="auto"/>
            </w:tcBorders>
            <w:shd w:val="clear" w:color="000000" w:fill="FFFFFF"/>
            <w:noWrap/>
            <w:vAlign w:val="bottom"/>
            <w:hideMark/>
          </w:tcPr>
          <w:p w14:paraId="42E19920" w14:textId="77777777" w:rsidR="001D4AFA" w:rsidRPr="009F2D1E" w:rsidRDefault="001D4AFA" w:rsidP="009F2D1E">
            <w:pPr>
              <w:jc w:val="right"/>
              <w:rPr>
                <w:rFonts w:ascii="Times New Roman" w:hAnsi="Times New Roman"/>
                <w:sz w:val="14"/>
                <w:szCs w:val="14"/>
              </w:rPr>
            </w:pPr>
            <w:r w:rsidRPr="009F2D1E">
              <w:rPr>
                <w:sz w:val="14"/>
                <w:szCs w:val="14"/>
              </w:rPr>
              <w:t>8024,81</w:t>
            </w:r>
          </w:p>
        </w:tc>
        <w:tc>
          <w:tcPr>
            <w:tcW w:w="1192" w:type="dxa"/>
            <w:tcBorders>
              <w:top w:val="nil"/>
              <w:left w:val="nil"/>
              <w:bottom w:val="single" w:sz="4" w:space="0" w:color="auto"/>
              <w:right w:val="single" w:sz="4" w:space="0" w:color="auto"/>
            </w:tcBorders>
            <w:shd w:val="clear" w:color="000000" w:fill="FFFFFF"/>
            <w:noWrap/>
            <w:vAlign w:val="bottom"/>
            <w:hideMark/>
          </w:tcPr>
          <w:p w14:paraId="63BC33B8" w14:textId="77777777" w:rsidR="001D4AFA" w:rsidRPr="009F2D1E" w:rsidRDefault="001D4AFA" w:rsidP="009F2D1E">
            <w:pPr>
              <w:jc w:val="right"/>
              <w:rPr>
                <w:rFonts w:ascii="Times New Roman" w:hAnsi="Times New Roman"/>
                <w:sz w:val="14"/>
                <w:szCs w:val="14"/>
              </w:rPr>
            </w:pPr>
            <w:r w:rsidRPr="009F2D1E">
              <w:rPr>
                <w:sz w:val="14"/>
                <w:szCs w:val="14"/>
              </w:rPr>
              <w:t>7772,01</w:t>
            </w:r>
          </w:p>
        </w:tc>
        <w:tc>
          <w:tcPr>
            <w:tcW w:w="1178" w:type="dxa"/>
            <w:tcBorders>
              <w:top w:val="nil"/>
              <w:left w:val="nil"/>
              <w:bottom w:val="single" w:sz="4" w:space="0" w:color="auto"/>
              <w:right w:val="single" w:sz="4" w:space="0" w:color="auto"/>
            </w:tcBorders>
            <w:shd w:val="clear" w:color="000000" w:fill="FFFFFF"/>
            <w:noWrap/>
            <w:vAlign w:val="bottom"/>
            <w:hideMark/>
          </w:tcPr>
          <w:p w14:paraId="4619048B" w14:textId="77777777" w:rsidR="001D4AFA" w:rsidRPr="009F2D1E" w:rsidRDefault="001D4AFA" w:rsidP="009F2D1E">
            <w:pPr>
              <w:jc w:val="right"/>
              <w:rPr>
                <w:rFonts w:ascii="Times New Roman" w:hAnsi="Times New Roman"/>
                <w:sz w:val="14"/>
                <w:szCs w:val="14"/>
              </w:rPr>
            </w:pPr>
            <w:r w:rsidRPr="009F2D1E">
              <w:rPr>
                <w:sz w:val="14"/>
                <w:szCs w:val="14"/>
              </w:rPr>
              <w:t>8418,35</w:t>
            </w:r>
          </w:p>
        </w:tc>
        <w:tc>
          <w:tcPr>
            <w:tcW w:w="1164" w:type="dxa"/>
            <w:tcBorders>
              <w:top w:val="nil"/>
              <w:left w:val="nil"/>
              <w:bottom w:val="single" w:sz="4" w:space="0" w:color="auto"/>
              <w:right w:val="single" w:sz="4" w:space="0" w:color="auto"/>
            </w:tcBorders>
            <w:shd w:val="clear" w:color="000000" w:fill="FFFFFF"/>
            <w:noWrap/>
            <w:vAlign w:val="bottom"/>
            <w:hideMark/>
          </w:tcPr>
          <w:p w14:paraId="48D01526" w14:textId="77777777" w:rsidR="001D4AFA" w:rsidRPr="009F2D1E" w:rsidRDefault="001D4AFA" w:rsidP="009F2D1E">
            <w:pPr>
              <w:jc w:val="right"/>
              <w:rPr>
                <w:rFonts w:ascii="Times New Roman" w:hAnsi="Times New Roman"/>
                <w:sz w:val="14"/>
                <w:szCs w:val="14"/>
              </w:rPr>
            </w:pPr>
            <w:r w:rsidRPr="009F2D1E">
              <w:rPr>
                <w:sz w:val="14"/>
                <w:szCs w:val="14"/>
              </w:rPr>
              <w:t>9604,76</w:t>
            </w:r>
          </w:p>
        </w:tc>
        <w:tc>
          <w:tcPr>
            <w:tcW w:w="1193" w:type="dxa"/>
            <w:tcBorders>
              <w:top w:val="nil"/>
              <w:left w:val="nil"/>
              <w:bottom w:val="single" w:sz="4" w:space="0" w:color="auto"/>
              <w:right w:val="single" w:sz="4" w:space="0" w:color="auto"/>
            </w:tcBorders>
            <w:shd w:val="clear" w:color="000000" w:fill="FFFFFF"/>
            <w:noWrap/>
            <w:vAlign w:val="bottom"/>
            <w:hideMark/>
          </w:tcPr>
          <w:p w14:paraId="71C825AC" w14:textId="77777777" w:rsidR="001D4AFA" w:rsidRPr="009F2D1E" w:rsidRDefault="001D4AFA" w:rsidP="009F2D1E">
            <w:pPr>
              <w:jc w:val="right"/>
              <w:rPr>
                <w:rFonts w:ascii="Times New Roman" w:hAnsi="Times New Roman"/>
                <w:sz w:val="14"/>
                <w:szCs w:val="14"/>
              </w:rPr>
            </w:pPr>
            <w:r w:rsidRPr="009F2D1E">
              <w:rPr>
                <w:sz w:val="14"/>
                <w:szCs w:val="14"/>
              </w:rPr>
              <w:t>8783,17</w:t>
            </w:r>
          </w:p>
        </w:tc>
        <w:tc>
          <w:tcPr>
            <w:tcW w:w="1179" w:type="dxa"/>
            <w:tcBorders>
              <w:top w:val="nil"/>
              <w:left w:val="nil"/>
              <w:bottom w:val="single" w:sz="4" w:space="0" w:color="auto"/>
              <w:right w:val="single" w:sz="4" w:space="0" w:color="auto"/>
            </w:tcBorders>
            <w:shd w:val="clear" w:color="000000" w:fill="FFFFFF"/>
            <w:vAlign w:val="bottom"/>
          </w:tcPr>
          <w:p w14:paraId="265A33A4" w14:textId="77777777" w:rsidR="001D4AFA" w:rsidRPr="009F2D1E" w:rsidRDefault="001D4AFA" w:rsidP="009F2D1E">
            <w:pPr>
              <w:jc w:val="right"/>
              <w:rPr>
                <w:rFonts w:ascii="Times New Roman" w:hAnsi="Times New Roman"/>
                <w:sz w:val="14"/>
                <w:szCs w:val="14"/>
              </w:rPr>
            </w:pPr>
            <w:r w:rsidRPr="009F2D1E">
              <w:rPr>
                <w:sz w:val="14"/>
                <w:szCs w:val="14"/>
              </w:rPr>
              <w:t>9133,28</w:t>
            </w:r>
          </w:p>
        </w:tc>
      </w:tr>
      <w:tr w:rsidR="001D4AFA" w:rsidRPr="00364545" w14:paraId="670D787A"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73FBFD6"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Multilateral operations</w:t>
            </w:r>
          </w:p>
        </w:tc>
        <w:tc>
          <w:tcPr>
            <w:tcW w:w="1178" w:type="dxa"/>
            <w:tcBorders>
              <w:top w:val="nil"/>
              <w:left w:val="nil"/>
              <w:bottom w:val="single" w:sz="4" w:space="0" w:color="auto"/>
              <w:right w:val="single" w:sz="4" w:space="0" w:color="auto"/>
            </w:tcBorders>
            <w:shd w:val="clear" w:color="000000" w:fill="FFFFFF"/>
            <w:noWrap/>
            <w:vAlign w:val="bottom"/>
            <w:hideMark/>
          </w:tcPr>
          <w:p w14:paraId="73AF50FA" w14:textId="77777777" w:rsidR="001D4AFA" w:rsidRPr="009F2D1E" w:rsidRDefault="001D4AFA" w:rsidP="009F2D1E">
            <w:pPr>
              <w:jc w:val="right"/>
              <w:rPr>
                <w:rFonts w:ascii="Times New Roman" w:hAnsi="Times New Roman"/>
                <w:sz w:val="14"/>
                <w:szCs w:val="14"/>
              </w:rPr>
            </w:pPr>
            <w:r w:rsidRPr="009F2D1E">
              <w:rPr>
                <w:sz w:val="14"/>
                <w:szCs w:val="14"/>
              </w:rPr>
              <w:t>1,32</w:t>
            </w:r>
          </w:p>
        </w:tc>
        <w:tc>
          <w:tcPr>
            <w:tcW w:w="1192" w:type="dxa"/>
            <w:tcBorders>
              <w:top w:val="nil"/>
              <w:left w:val="nil"/>
              <w:bottom w:val="single" w:sz="4" w:space="0" w:color="auto"/>
              <w:right w:val="single" w:sz="4" w:space="0" w:color="auto"/>
            </w:tcBorders>
            <w:shd w:val="clear" w:color="000000" w:fill="FFFFFF"/>
            <w:noWrap/>
            <w:vAlign w:val="bottom"/>
            <w:hideMark/>
          </w:tcPr>
          <w:p w14:paraId="27C277AA" w14:textId="77777777" w:rsidR="001D4AFA" w:rsidRPr="009F2D1E" w:rsidRDefault="001D4AFA" w:rsidP="009F2D1E">
            <w:pPr>
              <w:jc w:val="right"/>
              <w:rPr>
                <w:rFonts w:ascii="Times New Roman" w:hAnsi="Times New Roman"/>
                <w:sz w:val="14"/>
                <w:szCs w:val="14"/>
              </w:rPr>
            </w:pPr>
            <w:r w:rsidRPr="009F2D1E">
              <w:rPr>
                <w:sz w:val="14"/>
                <w:szCs w:val="14"/>
              </w:rPr>
              <w:t>1,90</w:t>
            </w:r>
          </w:p>
        </w:tc>
        <w:tc>
          <w:tcPr>
            <w:tcW w:w="1178" w:type="dxa"/>
            <w:tcBorders>
              <w:top w:val="nil"/>
              <w:left w:val="nil"/>
              <w:bottom w:val="single" w:sz="4" w:space="0" w:color="auto"/>
              <w:right w:val="single" w:sz="4" w:space="0" w:color="auto"/>
            </w:tcBorders>
            <w:shd w:val="clear" w:color="000000" w:fill="FFFFFF"/>
            <w:noWrap/>
            <w:vAlign w:val="bottom"/>
            <w:hideMark/>
          </w:tcPr>
          <w:p w14:paraId="6A757D83" w14:textId="77777777" w:rsidR="001D4AFA" w:rsidRPr="009F2D1E" w:rsidRDefault="001D4AFA" w:rsidP="009F2D1E">
            <w:pPr>
              <w:jc w:val="right"/>
              <w:rPr>
                <w:rFonts w:ascii="Times New Roman" w:hAnsi="Times New Roman"/>
                <w:sz w:val="14"/>
                <w:szCs w:val="14"/>
              </w:rPr>
            </w:pPr>
            <w:r w:rsidRPr="009F2D1E">
              <w:rPr>
                <w:sz w:val="14"/>
                <w:szCs w:val="14"/>
              </w:rPr>
              <w:t>0,81</w:t>
            </w:r>
          </w:p>
        </w:tc>
        <w:tc>
          <w:tcPr>
            <w:tcW w:w="1164" w:type="dxa"/>
            <w:tcBorders>
              <w:top w:val="nil"/>
              <w:left w:val="nil"/>
              <w:bottom w:val="single" w:sz="4" w:space="0" w:color="auto"/>
              <w:right w:val="single" w:sz="4" w:space="0" w:color="auto"/>
            </w:tcBorders>
            <w:shd w:val="clear" w:color="000000" w:fill="FFFFFF"/>
            <w:noWrap/>
            <w:vAlign w:val="bottom"/>
            <w:hideMark/>
          </w:tcPr>
          <w:p w14:paraId="385CF2BE" w14:textId="77777777" w:rsidR="001D4AFA" w:rsidRPr="009F2D1E" w:rsidRDefault="001D4AFA" w:rsidP="009F2D1E">
            <w:pPr>
              <w:jc w:val="right"/>
              <w:rPr>
                <w:rFonts w:ascii="Times New Roman" w:hAnsi="Times New Roman"/>
                <w:sz w:val="14"/>
                <w:szCs w:val="14"/>
              </w:rPr>
            </w:pPr>
            <w:r w:rsidRPr="009F2D1E">
              <w:rPr>
                <w:sz w:val="14"/>
                <w:szCs w:val="14"/>
              </w:rPr>
              <w:t>0,64</w:t>
            </w:r>
          </w:p>
        </w:tc>
        <w:tc>
          <w:tcPr>
            <w:tcW w:w="1193" w:type="dxa"/>
            <w:tcBorders>
              <w:top w:val="nil"/>
              <w:left w:val="nil"/>
              <w:bottom w:val="single" w:sz="4" w:space="0" w:color="auto"/>
              <w:right w:val="single" w:sz="4" w:space="0" w:color="auto"/>
            </w:tcBorders>
            <w:shd w:val="clear" w:color="000000" w:fill="FFFFFF"/>
            <w:noWrap/>
            <w:vAlign w:val="bottom"/>
            <w:hideMark/>
          </w:tcPr>
          <w:p w14:paraId="60D928EE" w14:textId="77777777" w:rsidR="001D4AFA" w:rsidRPr="009F2D1E" w:rsidRDefault="001D4AFA" w:rsidP="009F2D1E">
            <w:pPr>
              <w:jc w:val="right"/>
              <w:rPr>
                <w:rFonts w:ascii="Times New Roman" w:hAnsi="Times New Roman"/>
                <w:sz w:val="14"/>
                <w:szCs w:val="14"/>
              </w:rPr>
            </w:pPr>
            <w:r w:rsidRPr="009F2D1E">
              <w:rPr>
                <w:sz w:val="14"/>
                <w:szCs w:val="14"/>
              </w:rPr>
              <w:t>1,07</w:t>
            </w:r>
          </w:p>
        </w:tc>
        <w:tc>
          <w:tcPr>
            <w:tcW w:w="1179" w:type="dxa"/>
            <w:tcBorders>
              <w:top w:val="nil"/>
              <w:left w:val="nil"/>
              <w:bottom w:val="single" w:sz="4" w:space="0" w:color="auto"/>
              <w:right w:val="single" w:sz="4" w:space="0" w:color="auto"/>
            </w:tcBorders>
            <w:shd w:val="clear" w:color="000000" w:fill="FFFFFF"/>
            <w:vAlign w:val="bottom"/>
          </w:tcPr>
          <w:p w14:paraId="06041E5D" w14:textId="77777777" w:rsidR="001D4AFA" w:rsidRPr="009F2D1E" w:rsidRDefault="001D4AFA" w:rsidP="009F2D1E">
            <w:pPr>
              <w:jc w:val="right"/>
              <w:rPr>
                <w:rFonts w:ascii="Times New Roman" w:hAnsi="Times New Roman"/>
                <w:sz w:val="14"/>
                <w:szCs w:val="14"/>
              </w:rPr>
            </w:pPr>
            <w:r w:rsidRPr="009F2D1E">
              <w:rPr>
                <w:sz w:val="14"/>
                <w:szCs w:val="14"/>
              </w:rPr>
              <w:t>1,07</w:t>
            </w:r>
          </w:p>
        </w:tc>
      </w:tr>
      <w:tr w:rsidR="001D4AFA" w:rsidRPr="00364545" w14:paraId="09ED60A2"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AD3BDFC"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78" w:type="dxa"/>
            <w:tcBorders>
              <w:top w:val="nil"/>
              <w:left w:val="nil"/>
              <w:bottom w:val="single" w:sz="4" w:space="0" w:color="auto"/>
              <w:right w:val="single" w:sz="4" w:space="0" w:color="auto"/>
            </w:tcBorders>
            <w:shd w:val="clear" w:color="000000" w:fill="FFFFFF"/>
            <w:noWrap/>
            <w:vAlign w:val="bottom"/>
            <w:hideMark/>
          </w:tcPr>
          <w:p w14:paraId="782C21F8" w14:textId="77777777" w:rsidR="001D4AFA" w:rsidRPr="009F2D1E" w:rsidRDefault="001D4AFA" w:rsidP="009F2D1E">
            <w:pPr>
              <w:jc w:val="right"/>
              <w:rPr>
                <w:rFonts w:ascii="Times New Roman" w:hAnsi="Times New Roman"/>
                <w:sz w:val="14"/>
                <w:szCs w:val="14"/>
              </w:rPr>
            </w:pPr>
            <w:r w:rsidRPr="009F2D1E">
              <w:rPr>
                <w:sz w:val="14"/>
                <w:szCs w:val="14"/>
              </w:rPr>
              <w:t>44015,73</w:t>
            </w:r>
          </w:p>
        </w:tc>
        <w:tc>
          <w:tcPr>
            <w:tcW w:w="1192" w:type="dxa"/>
            <w:tcBorders>
              <w:top w:val="nil"/>
              <w:left w:val="nil"/>
              <w:bottom w:val="single" w:sz="4" w:space="0" w:color="auto"/>
              <w:right w:val="single" w:sz="4" w:space="0" w:color="auto"/>
            </w:tcBorders>
            <w:shd w:val="clear" w:color="000000" w:fill="FFFFFF"/>
            <w:noWrap/>
            <w:vAlign w:val="bottom"/>
            <w:hideMark/>
          </w:tcPr>
          <w:p w14:paraId="5020147D" w14:textId="77777777" w:rsidR="001D4AFA" w:rsidRPr="009F2D1E" w:rsidRDefault="001D4AFA" w:rsidP="009F2D1E">
            <w:pPr>
              <w:jc w:val="right"/>
              <w:rPr>
                <w:rFonts w:ascii="Times New Roman" w:hAnsi="Times New Roman"/>
                <w:sz w:val="14"/>
                <w:szCs w:val="14"/>
              </w:rPr>
            </w:pPr>
            <w:r w:rsidRPr="009F2D1E">
              <w:rPr>
                <w:sz w:val="14"/>
                <w:szCs w:val="14"/>
              </w:rPr>
              <w:t>42769,69</w:t>
            </w:r>
          </w:p>
        </w:tc>
        <w:tc>
          <w:tcPr>
            <w:tcW w:w="1178" w:type="dxa"/>
            <w:tcBorders>
              <w:top w:val="nil"/>
              <w:left w:val="nil"/>
              <w:bottom w:val="single" w:sz="4" w:space="0" w:color="auto"/>
              <w:right w:val="single" w:sz="4" w:space="0" w:color="auto"/>
            </w:tcBorders>
            <w:shd w:val="clear" w:color="000000" w:fill="FFFFFF"/>
            <w:noWrap/>
            <w:vAlign w:val="bottom"/>
            <w:hideMark/>
          </w:tcPr>
          <w:p w14:paraId="79BEE0BD" w14:textId="77777777" w:rsidR="001D4AFA" w:rsidRPr="009F2D1E" w:rsidRDefault="001D4AFA" w:rsidP="009F2D1E">
            <w:pPr>
              <w:jc w:val="right"/>
              <w:rPr>
                <w:rFonts w:ascii="Times New Roman" w:hAnsi="Times New Roman"/>
                <w:sz w:val="14"/>
                <w:szCs w:val="14"/>
              </w:rPr>
            </w:pPr>
            <w:r w:rsidRPr="009F2D1E">
              <w:rPr>
                <w:sz w:val="14"/>
                <w:szCs w:val="14"/>
              </w:rPr>
              <w:t>45301,43</w:t>
            </w:r>
          </w:p>
        </w:tc>
        <w:tc>
          <w:tcPr>
            <w:tcW w:w="1164" w:type="dxa"/>
            <w:tcBorders>
              <w:top w:val="nil"/>
              <w:left w:val="nil"/>
              <w:bottom w:val="single" w:sz="4" w:space="0" w:color="auto"/>
              <w:right w:val="single" w:sz="4" w:space="0" w:color="auto"/>
            </w:tcBorders>
            <w:shd w:val="clear" w:color="000000" w:fill="FFFFFF"/>
            <w:noWrap/>
            <w:vAlign w:val="bottom"/>
            <w:hideMark/>
          </w:tcPr>
          <w:p w14:paraId="2AC0B0FE" w14:textId="77777777" w:rsidR="001D4AFA" w:rsidRPr="009F2D1E" w:rsidRDefault="001D4AFA" w:rsidP="009F2D1E">
            <w:pPr>
              <w:jc w:val="right"/>
              <w:rPr>
                <w:rFonts w:ascii="Times New Roman" w:hAnsi="Times New Roman"/>
                <w:sz w:val="14"/>
                <w:szCs w:val="14"/>
              </w:rPr>
            </w:pPr>
            <w:r w:rsidRPr="009F2D1E">
              <w:rPr>
                <w:sz w:val="14"/>
                <w:szCs w:val="14"/>
              </w:rPr>
              <w:t>46030,75</w:t>
            </w:r>
          </w:p>
        </w:tc>
        <w:tc>
          <w:tcPr>
            <w:tcW w:w="1193" w:type="dxa"/>
            <w:tcBorders>
              <w:top w:val="nil"/>
              <w:left w:val="nil"/>
              <w:bottom w:val="single" w:sz="4" w:space="0" w:color="auto"/>
              <w:right w:val="single" w:sz="4" w:space="0" w:color="auto"/>
            </w:tcBorders>
            <w:shd w:val="clear" w:color="000000" w:fill="FFFFFF"/>
            <w:noWrap/>
            <w:vAlign w:val="bottom"/>
            <w:hideMark/>
          </w:tcPr>
          <w:p w14:paraId="3D52BD57" w14:textId="77777777" w:rsidR="001D4AFA" w:rsidRPr="009F2D1E" w:rsidRDefault="001D4AFA" w:rsidP="009F2D1E">
            <w:pPr>
              <w:jc w:val="right"/>
              <w:rPr>
                <w:rFonts w:ascii="Times New Roman" w:hAnsi="Times New Roman"/>
                <w:sz w:val="14"/>
                <w:szCs w:val="14"/>
              </w:rPr>
            </w:pPr>
            <w:r w:rsidRPr="009F2D1E">
              <w:rPr>
                <w:sz w:val="14"/>
                <w:szCs w:val="14"/>
              </w:rPr>
              <w:t>48218,58</w:t>
            </w:r>
          </w:p>
        </w:tc>
        <w:tc>
          <w:tcPr>
            <w:tcW w:w="1179" w:type="dxa"/>
            <w:tcBorders>
              <w:top w:val="nil"/>
              <w:left w:val="nil"/>
              <w:bottom w:val="single" w:sz="4" w:space="0" w:color="auto"/>
              <w:right w:val="single" w:sz="4" w:space="0" w:color="auto"/>
            </w:tcBorders>
            <w:shd w:val="clear" w:color="000000" w:fill="FFFFFF"/>
            <w:vAlign w:val="bottom"/>
          </w:tcPr>
          <w:p w14:paraId="2A368DDF" w14:textId="77777777" w:rsidR="001D4AFA" w:rsidRPr="009F2D1E" w:rsidRDefault="001D4AFA" w:rsidP="009F2D1E">
            <w:pPr>
              <w:jc w:val="right"/>
              <w:rPr>
                <w:rFonts w:ascii="Times New Roman" w:hAnsi="Times New Roman"/>
                <w:sz w:val="14"/>
                <w:szCs w:val="14"/>
              </w:rPr>
            </w:pPr>
            <w:r w:rsidRPr="009F2D1E">
              <w:rPr>
                <w:sz w:val="14"/>
                <w:szCs w:val="14"/>
              </w:rPr>
              <w:t>44592,42</w:t>
            </w:r>
          </w:p>
        </w:tc>
      </w:tr>
      <w:tr w:rsidR="001D4AFA" w:rsidRPr="00364545" w14:paraId="66DF686D"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2A0D84D"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78" w:type="dxa"/>
            <w:tcBorders>
              <w:top w:val="nil"/>
              <w:left w:val="nil"/>
              <w:bottom w:val="single" w:sz="4" w:space="0" w:color="auto"/>
              <w:right w:val="single" w:sz="4" w:space="0" w:color="auto"/>
            </w:tcBorders>
            <w:shd w:val="clear" w:color="000000" w:fill="FFFFFF"/>
            <w:noWrap/>
            <w:vAlign w:val="bottom"/>
            <w:hideMark/>
          </w:tcPr>
          <w:p w14:paraId="1F96FDA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2" w:type="dxa"/>
            <w:tcBorders>
              <w:top w:val="nil"/>
              <w:left w:val="nil"/>
              <w:bottom w:val="single" w:sz="4" w:space="0" w:color="auto"/>
              <w:right w:val="single" w:sz="4" w:space="0" w:color="auto"/>
            </w:tcBorders>
            <w:shd w:val="clear" w:color="000000" w:fill="FFFFFF"/>
            <w:noWrap/>
            <w:vAlign w:val="bottom"/>
            <w:hideMark/>
          </w:tcPr>
          <w:p w14:paraId="7E8ED1D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78" w:type="dxa"/>
            <w:tcBorders>
              <w:top w:val="nil"/>
              <w:left w:val="nil"/>
              <w:bottom w:val="single" w:sz="4" w:space="0" w:color="auto"/>
              <w:right w:val="single" w:sz="4" w:space="0" w:color="auto"/>
            </w:tcBorders>
            <w:shd w:val="clear" w:color="000000" w:fill="FFFFFF"/>
            <w:noWrap/>
            <w:vAlign w:val="bottom"/>
            <w:hideMark/>
          </w:tcPr>
          <w:p w14:paraId="481589A3"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7D4E0C5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363CC63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548E0194"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36D09998"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23B5F963"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78" w:type="dxa"/>
            <w:tcBorders>
              <w:top w:val="nil"/>
              <w:left w:val="nil"/>
              <w:bottom w:val="single" w:sz="4" w:space="0" w:color="auto"/>
              <w:right w:val="single" w:sz="4" w:space="0" w:color="auto"/>
            </w:tcBorders>
            <w:shd w:val="clear" w:color="000000" w:fill="FFFFFF"/>
            <w:noWrap/>
            <w:vAlign w:val="bottom"/>
            <w:hideMark/>
          </w:tcPr>
          <w:p w14:paraId="172D1200"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2" w:type="dxa"/>
            <w:tcBorders>
              <w:top w:val="nil"/>
              <w:left w:val="nil"/>
              <w:bottom w:val="single" w:sz="4" w:space="0" w:color="auto"/>
              <w:right w:val="single" w:sz="4" w:space="0" w:color="auto"/>
            </w:tcBorders>
            <w:shd w:val="clear" w:color="000000" w:fill="FFFFFF"/>
            <w:noWrap/>
            <w:vAlign w:val="bottom"/>
            <w:hideMark/>
          </w:tcPr>
          <w:p w14:paraId="371844F8"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78" w:type="dxa"/>
            <w:tcBorders>
              <w:top w:val="nil"/>
              <w:left w:val="nil"/>
              <w:bottom w:val="single" w:sz="4" w:space="0" w:color="auto"/>
              <w:right w:val="single" w:sz="4" w:space="0" w:color="auto"/>
            </w:tcBorders>
            <w:shd w:val="clear" w:color="000000" w:fill="FFFFFF"/>
            <w:noWrap/>
            <w:vAlign w:val="bottom"/>
            <w:hideMark/>
          </w:tcPr>
          <w:p w14:paraId="391AB60F"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64" w:type="dxa"/>
            <w:tcBorders>
              <w:top w:val="nil"/>
              <w:left w:val="nil"/>
              <w:bottom w:val="single" w:sz="4" w:space="0" w:color="auto"/>
              <w:right w:val="single" w:sz="4" w:space="0" w:color="auto"/>
            </w:tcBorders>
            <w:shd w:val="clear" w:color="000000" w:fill="FFFFFF"/>
            <w:noWrap/>
            <w:vAlign w:val="bottom"/>
            <w:hideMark/>
          </w:tcPr>
          <w:p w14:paraId="50C740BA"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070B1343"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79" w:type="dxa"/>
            <w:tcBorders>
              <w:top w:val="nil"/>
              <w:left w:val="nil"/>
              <w:bottom w:val="single" w:sz="4" w:space="0" w:color="auto"/>
              <w:right w:val="single" w:sz="4" w:space="0" w:color="auto"/>
            </w:tcBorders>
            <w:shd w:val="clear" w:color="000000" w:fill="FFFFFF"/>
            <w:vAlign w:val="bottom"/>
          </w:tcPr>
          <w:p w14:paraId="4EEEB633" w14:textId="77777777" w:rsidR="001D4AFA" w:rsidRPr="009F2D1E" w:rsidRDefault="001D4AFA" w:rsidP="009F2D1E">
            <w:pPr>
              <w:jc w:val="right"/>
              <w:rPr>
                <w:rFonts w:ascii="Times New Roman" w:hAnsi="Times New Roman"/>
                <w:sz w:val="14"/>
                <w:szCs w:val="14"/>
              </w:rPr>
            </w:pPr>
            <w:r w:rsidRPr="009F2D1E">
              <w:rPr>
                <w:sz w:val="14"/>
                <w:szCs w:val="14"/>
              </w:rPr>
              <w:t>NE</w:t>
            </w:r>
          </w:p>
        </w:tc>
      </w:tr>
      <w:tr w:rsidR="001D4AFA" w:rsidRPr="00364545" w14:paraId="2B10EC43"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7BA1389A"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78" w:type="dxa"/>
            <w:tcBorders>
              <w:top w:val="nil"/>
              <w:left w:val="nil"/>
              <w:bottom w:val="single" w:sz="4" w:space="0" w:color="auto"/>
              <w:right w:val="single" w:sz="4" w:space="0" w:color="auto"/>
            </w:tcBorders>
            <w:shd w:val="clear" w:color="000000" w:fill="FFFFFF"/>
            <w:noWrap/>
            <w:vAlign w:val="bottom"/>
            <w:hideMark/>
          </w:tcPr>
          <w:p w14:paraId="73056AB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2" w:type="dxa"/>
            <w:tcBorders>
              <w:top w:val="nil"/>
              <w:left w:val="nil"/>
              <w:bottom w:val="single" w:sz="4" w:space="0" w:color="auto"/>
              <w:right w:val="single" w:sz="4" w:space="0" w:color="auto"/>
            </w:tcBorders>
            <w:shd w:val="clear" w:color="000000" w:fill="FFFFFF"/>
            <w:noWrap/>
            <w:vAlign w:val="bottom"/>
            <w:hideMark/>
          </w:tcPr>
          <w:p w14:paraId="31DC21E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8" w:type="dxa"/>
            <w:tcBorders>
              <w:top w:val="nil"/>
              <w:left w:val="nil"/>
              <w:bottom w:val="single" w:sz="4" w:space="0" w:color="auto"/>
              <w:right w:val="single" w:sz="4" w:space="0" w:color="auto"/>
            </w:tcBorders>
            <w:shd w:val="clear" w:color="000000" w:fill="FFFFFF"/>
            <w:noWrap/>
            <w:vAlign w:val="bottom"/>
            <w:hideMark/>
          </w:tcPr>
          <w:p w14:paraId="650EA8D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7E70F45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E5B519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79" w:type="dxa"/>
            <w:tcBorders>
              <w:top w:val="nil"/>
              <w:left w:val="nil"/>
              <w:bottom w:val="single" w:sz="4" w:space="0" w:color="auto"/>
              <w:right w:val="single" w:sz="4" w:space="0" w:color="auto"/>
            </w:tcBorders>
            <w:shd w:val="clear" w:color="000000" w:fill="FFFFFF"/>
            <w:vAlign w:val="bottom"/>
          </w:tcPr>
          <w:p w14:paraId="2056553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F09E5A4"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43449DC8"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78" w:type="dxa"/>
            <w:tcBorders>
              <w:top w:val="nil"/>
              <w:left w:val="nil"/>
              <w:bottom w:val="single" w:sz="4" w:space="0" w:color="auto"/>
              <w:right w:val="single" w:sz="4" w:space="0" w:color="auto"/>
            </w:tcBorders>
            <w:shd w:val="clear" w:color="000000" w:fill="FFFFFF"/>
            <w:noWrap/>
            <w:vAlign w:val="bottom"/>
            <w:hideMark/>
          </w:tcPr>
          <w:p w14:paraId="3A65DA86"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2" w:type="dxa"/>
            <w:tcBorders>
              <w:top w:val="nil"/>
              <w:left w:val="nil"/>
              <w:bottom w:val="single" w:sz="4" w:space="0" w:color="auto"/>
              <w:right w:val="single" w:sz="4" w:space="0" w:color="auto"/>
            </w:tcBorders>
            <w:shd w:val="clear" w:color="000000" w:fill="FFFFFF"/>
            <w:noWrap/>
            <w:vAlign w:val="bottom"/>
            <w:hideMark/>
          </w:tcPr>
          <w:p w14:paraId="707D0A7D"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78" w:type="dxa"/>
            <w:tcBorders>
              <w:top w:val="nil"/>
              <w:left w:val="nil"/>
              <w:bottom w:val="single" w:sz="4" w:space="0" w:color="auto"/>
              <w:right w:val="single" w:sz="4" w:space="0" w:color="auto"/>
            </w:tcBorders>
            <w:shd w:val="clear" w:color="000000" w:fill="FFFFFF"/>
            <w:noWrap/>
            <w:vAlign w:val="bottom"/>
            <w:hideMark/>
          </w:tcPr>
          <w:p w14:paraId="08084604"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64" w:type="dxa"/>
            <w:tcBorders>
              <w:top w:val="nil"/>
              <w:left w:val="nil"/>
              <w:bottom w:val="single" w:sz="4" w:space="0" w:color="auto"/>
              <w:right w:val="single" w:sz="4" w:space="0" w:color="auto"/>
            </w:tcBorders>
            <w:shd w:val="clear" w:color="000000" w:fill="FFFFFF"/>
            <w:noWrap/>
            <w:vAlign w:val="bottom"/>
            <w:hideMark/>
          </w:tcPr>
          <w:p w14:paraId="4072AA72"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0A01AA97"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79" w:type="dxa"/>
            <w:tcBorders>
              <w:top w:val="nil"/>
              <w:left w:val="nil"/>
              <w:bottom w:val="single" w:sz="4" w:space="0" w:color="auto"/>
              <w:right w:val="single" w:sz="4" w:space="0" w:color="auto"/>
            </w:tcBorders>
            <w:shd w:val="clear" w:color="000000" w:fill="FFFFFF"/>
            <w:vAlign w:val="bottom"/>
          </w:tcPr>
          <w:p w14:paraId="7CFA07CB" w14:textId="77777777" w:rsidR="001D4AFA" w:rsidRPr="009F2D1E" w:rsidRDefault="001D4AFA" w:rsidP="009F2D1E">
            <w:pPr>
              <w:jc w:val="right"/>
              <w:rPr>
                <w:rFonts w:ascii="Times New Roman" w:hAnsi="Times New Roman"/>
                <w:sz w:val="14"/>
                <w:szCs w:val="14"/>
              </w:rPr>
            </w:pPr>
            <w:r w:rsidRPr="009F2D1E">
              <w:rPr>
                <w:sz w:val="14"/>
                <w:szCs w:val="14"/>
              </w:rPr>
              <w:t>NO,IE,NA</w:t>
            </w:r>
          </w:p>
        </w:tc>
      </w:tr>
      <w:tr w:rsidR="001D4AFA" w:rsidRPr="00364545" w14:paraId="2753BFF4"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9BB97D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0CBC4BED" w14:textId="77777777" w:rsidR="001D4AFA" w:rsidRPr="009F2D1E" w:rsidRDefault="001D4AFA" w:rsidP="009F2D1E">
            <w:pPr>
              <w:jc w:val="right"/>
              <w:rPr>
                <w:rFonts w:ascii="Times New Roman" w:hAnsi="Times New Roman"/>
                <w:sz w:val="14"/>
                <w:szCs w:val="14"/>
              </w:rPr>
            </w:pPr>
            <w:r w:rsidRPr="009F2D1E">
              <w:rPr>
                <w:sz w:val="14"/>
                <w:szCs w:val="14"/>
              </w:rPr>
              <w:t>419885,47</w:t>
            </w:r>
          </w:p>
        </w:tc>
        <w:tc>
          <w:tcPr>
            <w:tcW w:w="1192" w:type="dxa"/>
            <w:tcBorders>
              <w:top w:val="nil"/>
              <w:left w:val="nil"/>
              <w:bottom w:val="single" w:sz="4" w:space="0" w:color="auto"/>
              <w:right w:val="single" w:sz="4" w:space="0" w:color="auto"/>
            </w:tcBorders>
            <w:shd w:val="clear" w:color="000000" w:fill="CCFFFF"/>
            <w:noWrap/>
            <w:vAlign w:val="bottom"/>
            <w:hideMark/>
          </w:tcPr>
          <w:p w14:paraId="2EB98782" w14:textId="77777777" w:rsidR="001D4AFA" w:rsidRPr="009F2D1E" w:rsidRDefault="001D4AFA" w:rsidP="009F2D1E">
            <w:pPr>
              <w:jc w:val="right"/>
              <w:rPr>
                <w:rFonts w:ascii="Times New Roman" w:hAnsi="Times New Roman"/>
                <w:sz w:val="14"/>
                <w:szCs w:val="14"/>
              </w:rPr>
            </w:pPr>
            <w:r w:rsidRPr="009F2D1E">
              <w:rPr>
                <w:sz w:val="14"/>
                <w:szCs w:val="14"/>
              </w:rPr>
              <w:t>416153,26</w:t>
            </w:r>
          </w:p>
        </w:tc>
        <w:tc>
          <w:tcPr>
            <w:tcW w:w="1178" w:type="dxa"/>
            <w:tcBorders>
              <w:top w:val="nil"/>
              <w:left w:val="nil"/>
              <w:bottom w:val="single" w:sz="4" w:space="0" w:color="auto"/>
              <w:right w:val="single" w:sz="4" w:space="0" w:color="auto"/>
            </w:tcBorders>
            <w:shd w:val="clear" w:color="000000" w:fill="CCFFFF"/>
            <w:noWrap/>
            <w:vAlign w:val="bottom"/>
            <w:hideMark/>
          </w:tcPr>
          <w:p w14:paraId="1E9059D9" w14:textId="77777777" w:rsidR="001D4AFA" w:rsidRPr="009F2D1E" w:rsidRDefault="001D4AFA" w:rsidP="009F2D1E">
            <w:pPr>
              <w:jc w:val="right"/>
              <w:rPr>
                <w:rFonts w:ascii="Times New Roman" w:hAnsi="Times New Roman"/>
                <w:sz w:val="14"/>
                <w:szCs w:val="14"/>
              </w:rPr>
            </w:pPr>
            <w:r w:rsidRPr="009F2D1E">
              <w:rPr>
                <w:sz w:val="14"/>
                <w:szCs w:val="14"/>
              </w:rPr>
              <w:t>421022,75</w:t>
            </w:r>
          </w:p>
        </w:tc>
        <w:tc>
          <w:tcPr>
            <w:tcW w:w="1164" w:type="dxa"/>
            <w:tcBorders>
              <w:top w:val="nil"/>
              <w:left w:val="nil"/>
              <w:bottom w:val="single" w:sz="4" w:space="0" w:color="auto"/>
              <w:right w:val="single" w:sz="4" w:space="0" w:color="auto"/>
            </w:tcBorders>
            <w:shd w:val="clear" w:color="000000" w:fill="CCFFFF"/>
            <w:noWrap/>
            <w:vAlign w:val="bottom"/>
            <w:hideMark/>
          </w:tcPr>
          <w:p w14:paraId="22D3A895" w14:textId="77777777" w:rsidR="001D4AFA" w:rsidRPr="009F2D1E" w:rsidRDefault="001D4AFA" w:rsidP="009F2D1E">
            <w:pPr>
              <w:jc w:val="right"/>
              <w:rPr>
                <w:rFonts w:ascii="Times New Roman" w:hAnsi="Times New Roman"/>
                <w:sz w:val="14"/>
                <w:szCs w:val="14"/>
              </w:rPr>
            </w:pPr>
            <w:r w:rsidRPr="009F2D1E">
              <w:rPr>
                <w:sz w:val="14"/>
                <w:szCs w:val="14"/>
              </w:rPr>
              <w:t>422718,52</w:t>
            </w:r>
          </w:p>
        </w:tc>
        <w:tc>
          <w:tcPr>
            <w:tcW w:w="1193" w:type="dxa"/>
            <w:tcBorders>
              <w:top w:val="nil"/>
              <w:left w:val="nil"/>
              <w:bottom w:val="single" w:sz="4" w:space="0" w:color="auto"/>
              <w:right w:val="single" w:sz="4" w:space="0" w:color="auto"/>
            </w:tcBorders>
            <w:shd w:val="clear" w:color="000000" w:fill="CCFFFF"/>
            <w:noWrap/>
            <w:vAlign w:val="bottom"/>
            <w:hideMark/>
          </w:tcPr>
          <w:p w14:paraId="2CF7324C" w14:textId="77777777" w:rsidR="001D4AFA" w:rsidRPr="009F2D1E" w:rsidRDefault="001D4AFA" w:rsidP="009F2D1E">
            <w:pPr>
              <w:jc w:val="right"/>
              <w:rPr>
                <w:rFonts w:ascii="Times New Roman" w:hAnsi="Times New Roman"/>
                <w:sz w:val="14"/>
                <w:szCs w:val="14"/>
              </w:rPr>
            </w:pPr>
            <w:r w:rsidRPr="009F2D1E">
              <w:rPr>
                <w:sz w:val="14"/>
                <w:szCs w:val="14"/>
              </w:rPr>
              <w:t>425443,53</w:t>
            </w:r>
          </w:p>
        </w:tc>
        <w:tc>
          <w:tcPr>
            <w:tcW w:w="1179" w:type="dxa"/>
            <w:tcBorders>
              <w:top w:val="nil"/>
              <w:left w:val="nil"/>
              <w:bottom w:val="single" w:sz="4" w:space="0" w:color="auto"/>
              <w:right w:val="single" w:sz="4" w:space="0" w:color="auto"/>
            </w:tcBorders>
            <w:shd w:val="clear" w:color="000000" w:fill="CCFFFF"/>
            <w:vAlign w:val="bottom"/>
          </w:tcPr>
          <w:p w14:paraId="2251631B" w14:textId="77777777" w:rsidR="001D4AFA" w:rsidRPr="009F2D1E" w:rsidRDefault="001D4AFA" w:rsidP="009F2D1E">
            <w:pPr>
              <w:jc w:val="right"/>
              <w:rPr>
                <w:rFonts w:ascii="Times New Roman" w:hAnsi="Times New Roman"/>
                <w:sz w:val="14"/>
                <w:szCs w:val="14"/>
              </w:rPr>
            </w:pPr>
            <w:r w:rsidRPr="009F2D1E">
              <w:rPr>
                <w:sz w:val="14"/>
                <w:szCs w:val="14"/>
              </w:rPr>
              <w:t>415775,70</w:t>
            </w:r>
          </w:p>
        </w:tc>
      </w:tr>
      <w:tr w:rsidR="001D4AFA" w:rsidRPr="00364545" w14:paraId="3D32FA81"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52F7AF8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0314ED17" w14:textId="77777777" w:rsidR="001D4AFA" w:rsidRPr="009F2D1E" w:rsidRDefault="001D4AFA" w:rsidP="009F2D1E">
            <w:pPr>
              <w:jc w:val="right"/>
              <w:rPr>
                <w:rFonts w:ascii="Times New Roman" w:hAnsi="Times New Roman"/>
                <w:sz w:val="14"/>
                <w:szCs w:val="14"/>
              </w:rPr>
            </w:pPr>
            <w:r w:rsidRPr="009F2D1E">
              <w:rPr>
                <w:sz w:val="14"/>
                <w:szCs w:val="14"/>
              </w:rPr>
              <w:t>383657,73</w:t>
            </w:r>
          </w:p>
        </w:tc>
        <w:tc>
          <w:tcPr>
            <w:tcW w:w="1192" w:type="dxa"/>
            <w:tcBorders>
              <w:top w:val="nil"/>
              <w:left w:val="nil"/>
              <w:bottom w:val="single" w:sz="4" w:space="0" w:color="auto"/>
              <w:right w:val="single" w:sz="4" w:space="0" w:color="auto"/>
            </w:tcBorders>
            <w:shd w:val="clear" w:color="000000" w:fill="CCFFFF"/>
            <w:noWrap/>
            <w:vAlign w:val="bottom"/>
            <w:hideMark/>
          </w:tcPr>
          <w:p w14:paraId="54D83D2F" w14:textId="77777777" w:rsidR="001D4AFA" w:rsidRPr="009F2D1E" w:rsidRDefault="001D4AFA" w:rsidP="009F2D1E">
            <w:pPr>
              <w:jc w:val="right"/>
              <w:rPr>
                <w:rFonts w:ascii="Times New Roman" w:hAnsi="Times New Roman"/>
                <w:sz w:val="14"/>
                <w:szCs w:val="14"/>
              </w:rPr>
            </w:pPr>
            <w:r w:rsidRPr="009F2D1E">
              <w:rPr>
                <w:sz w:val="14"/>
                <w:szCs w:val="14"/>
              </w:rPr>
              <w:t>371250,08</w:t>
            </w:r>
          </w:p>
        </w:tc>
        <w:tc>
          <w:tcPr>
            <w:tcW w:w="1178" w:type="dxa"/>
            <w:tcBorders>
              <w:top w:val="nil"/>
              <w:left w:val="nil"/>
              <w:bottom w:val="single" w:sz="4" w:space="0" w:color="auto"/>
              <w:right w:val="single" w:sz="4" w:space="0" w:color="auto"/>
            </w:tcBorders>
            <w:shd w:val="clear" w:color="000000" w:fill="CCFFFF"/>
            <w:noWrap/>
            <w:vAlign w:val="bottom"/>
            <w:hideMark/>
          </w:tcPr>
          <w:p w14:paraId="06B005E7" w14:textId="77777777" w:rsidR="001D4AFA" w:rsidRPr="009F2D1E" w:rsidRDefault="001D4AFA" w:rsidP="009F2D1E">
            <w:pPr>
              <w:jc w:val="right"/>
              <w:rPr>
                <w:rFonts w:ascii="Times New Roman" w:hAnsi="Times New Roman"/>
                <w:sz w:val="14"/>
                <w:szCs w:val="14"/>
              </w:rPr>
            </w:pPr>
            <w:r w:rsidRPr="009F2D1E">
              <w:rPr>
                <w:sz w:val="14"/>
                <w:szCs w:val="14"/>
              </w:rPr>
              <w:t>373223,76</w:t>
            </w:r>
          </w:p>
        </w:tc>
        <w:tc>
          <w:tcPr>
            <w:tcW w:w="1164" w:type="dxa"/>
            <w:tcBorders>
              <w:top w:val="nil"/>
              <w:left w:val="nil"/>
              <w:bottom w:val="single" w:sz="4" w:space="0" w:color="auto"/>
              <w:right w:val="single" w:sz="4" w:space="0" w:color="auto"/>
            </w:tcBorders>
            <w:shd w:val="clear" w:color="000000" w:fill="CCFFFF"/>
            <w:noWrap/>
            <w:vAlign w:val="bottom"/>
            <w:hideMark/>
          </w:tcPr>
          <w:p w14:paraId="29DF2086" w14:textId="77777777" w:rsidR="001D4AFA" w:rsidRPr="009F2D1E" w:rsidRDefault="001D4AFA" w:rsidP="009F2D1E">
            <w:pPr>
              <w:jc w:val="right"/>
              <w:rPr>
                <w:rFonts w:ascii="Times New Roman" w:hAnsi="Times New Roman"/>
                <w:sz w:val="14"/>
                <w:szCs w:val="14"/>
              </w:rPr>
            </w:pPr>
            <w:r w:rsidRPr="009F2D1E">
              <w:rPr>
                <w:sz w:val="14"/>
                <w:szCs w:val="14"/>
              </w:rPr>
              <w:t>371943,09</w:t>
            </w:r>
          </w:p>
        </w:tc>
        <w:tc>
          <w:tcPr>
            <w:tcW w:w="1193" w:type="dxa"/>
            <w:tcBorders>
              <w:top w:val="nil"/>
              <w:left w:val="nil"/>
              <w:bottom w:val="single" w:sz="4" w:space="0" w:color="auto"/>
              <w:right w:val="single" w:sz="4" w:space="0" w:color="auto"/>
            </w:tcBorders>
            <w:shd w:val="clear" w:color="000000" w:fill="CCFFFF"/>
            <w:noWrap/>
            <w:vAlign w:val="bottom"/>
            <w:hideMark/>
          </w:tcPr>
          <w:p w14:paraId="6FEF7198" w14:textId="77777777" w:rsidR="001D4AFA" w:rsidRPr="009F2D1E" w:rsidRDefault="001D4AFA" w:rsidP="009F2D1E">
            <w:pPr>
              <w:jc w:val="right"/>
              <w:rPr>
                <w:rFonts w:ascii="Times New Roman" w:hAnsi="Times New Roman"/>
                <w:sz w:val="14"/>
                <w:szCs w:val="14"/>
              </w:rPr>
            </w:pPr>
            <w:r w:rsidRPr="009F2D1E">
              <w:rPr>
                <w:sz w:val="14"/>
                <w:szCs w:val="14"/>
              </w:rPr>
              <w:t>373972,04</w:t>
            </w:r>
          </w:p>
        </w:tc>
        <w:tc>
          <w:tcPr>
            <w:tcW w:w="1179" w:type="dxa"/>
            <w:tcBorders>
              <w:top w:val="nil"/>
              <w:left w:val="nil"/>
              <w:bottom w:val="single" w:sz="4" w:space="0" w:color="auto"/>
              <w:right w:val="single" w:sz="4" w:space="0" w:color="auto"/>
            </w:tcBorders>
            <w:shd w:val="clear" w:color="000000" w:fill="CCFFFF"/>
            <w:vAlign w:val="bottom"/>
          </w:tcPr>
          <w:p w14:paraId="4FE5C7E8" w14:textId="77777777" w:rsidR="001D4AFA" w:rsidRPr="009F2D1E" w:rsidRDefault="001D4AFA" w:rsidP="009F2D1E">
            <w:pPr>
              <w:jc w:val="right"/>
              <w:rPr>
                <w:rFonts w:ascii="Times New Roman" w:hAnsi="Times New Roman"/>
                <w:sz w:val="14"/>
                <w:szCs w:val="14"/>
              </w:rPr>
            </w:pPr>
            <w:r w:rsidRPr="009F2D1E">
              <w:rPr>
                <w:sz w:val="14"/>
                <w:szCs w:val="14"/>
              </w:rPr>
              <w:t>362637,76</w:t>
            </w:r>
          </w:p>
        </w:tc>
      </w:tr>
      <w:tr w:rsidR="001D4AFA" w:rsidRPr="00364545" w14:paraId="40B8CA04"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67C0FDE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71DA6FD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2" w:type="dxa"/>
            <w:tcBorders>
              <w:top w:val="nil"/>
              <w:left w:val="nil"/>
              <w:bottom w:val="single" w:sz="4" w:space="0" w:color="auto"/>
              <w:right w:val="single" w:sz="4" w:space="0" w:color="auto"/>
            </w:tcBorders>
            <w:shd w:val="clear" w:color="000000" w:fill="CCFFFF"/>
            <w:noWrap/>
            <w:vAlign w:val="bottom"/>
            <w:hideMark/>
          </w:tcPr>
          <w:p w14:paraId="6401B03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8" w:type="dxa"/>
            <w:tcBorders>
              <w:top w:val="nil"/>
              <w:left w:val="nil"/>
              <w:bottom w:val="single" w:sz="4" w:space="0" w:color="auto"/>
              <w:right w:val="single" w:sz="4" w:space="0" w:color="auto"/>
            </w:tcBorders>
            <w:shd w:val="clear" w:color="000000" w:fill="CCFFFF"/>
            <w:noWrap/>
            <w:vAlign w:val="bottom"/>
            <w:hideMark/>
          </w:tcPr>
          <w:p w14:paraId="2FD3479D"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576F2CF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5F1E201B"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9" w:type="dxa"/>
            <w:tcBorders>
              <w:top w:val="nil"/>
              <w:left w:val="nil"/>
              <w:bottom w:val="single" w:sz="4" w:space="0" w:color="auto"/>
              <w:right w:val="single" w:sz="4" w:space="0" w:color="auto"/>
            </w:tcBorders>
            <w:shd w:val="clear" w:color="000000" w:fill="CCFFFF"/>
            <w:vAlign w:val="bottom"/>
          </w:tcPr>
          <w:p w14:paraId="21C2941C"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22CB4E7D" w14:textId="77777777" w:rsidTr="009F2D1E">
        <w:trPr>
          <w:trHeight w:val="68"/>
          <w:jc w:val="center"/>
        </w:trPr>
        <w:tc>
          <w:tcPr>
            <w:tcW w:w="2856" w:type="dxa"/>
            <w:tcBorders>
              <w:top w:val="nil"/>
              <w:left w:val="single" w:sz="4" w:space="0" w:color="auto"/>
              <w:bottom w:val="single" w:sz="4" w:space="0" w:color="auto"/>
              <w:right w:val="single" w:sz="4" w:space="0" w:color="auto"/>
            </w:tcBorders>
            <w:shd w:val="clear" w:color="000000" w:fill="CCFFFF"/>
            <w:noWrap/>
            <w:vAlign w:val="center"/>
            <w:hideMark/>
          </w:tcPr>
          <w:p w14:paraId="0C2ADF1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78" w:type="dxa"/>
            <w:tcBorders>
              <w:top w:val="nil"/>
              <w:left w:val="nil"/>
              <w:bottom w:val="single" w:sz="4" w:space="0" w:color="auto"/>
              <w:right w:val="single" w:sz="4" w:space="0" w:color="auto"/>
            </w:tcBorders>
            <w:shd w:val="clear" w:color="000000" w:fill="CCFFFF"/>
            <w:noWrap/>
            <w:vAlign w:val="bottom"/>
            <w:hideMark/>
          </w:tcPr>
          <w:p w14:paraId="63BDFEF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2" w:type="dxa"/>
            <w:tcBorders>
              <w:top w:val="nil"/>
              <w:left w:val="nil"/>
              <w:bottom w:val="single" w:sz="4" w:space="0" w:color="auto"/>
              <w:right w:val="single" w:sz="4" w:space="0" w:color="auto"/>
            </w:tcBorders>
            <w:shd w:val="clear" w:color="000000" w:fill="CCFFFF"/>
            <w:noWrap/>
            <w:vAlign w:val="bottom"/>
            <w:hideMark/>
          </w:tcPr>
          <w:p w14:paraId="0AEB937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8" w:type="dxa"/>
            <w:tcBorders>
              <w:top w:val="nil"/>
              <w:left w:val="nil"/>
              <w:bottom w:val="single" w:sz="4" w:space="0" w:color="auto"/>
              <w:right w:val="single" w:sz="4" w:space="0" w:color="auto"/>
            </w:tcBorders>
            <w:shd w:val="clear" w:color="000000" w:fill="CCFFFF"/>
            <w:noWrap/>
            <w:vAlign w:val="bottom"/>
            <w:hideMark/>
          </w:tcPr>
          <w:p w14:paraId="0A8408A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064BD345"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25F4BC2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79" w:type="dxa"/>
            <w:tcBorders>
              <w:top w:val="nil"/>
              <w:left w:val="nil"/>
              <w:bottom w:val="single" w:sz="4" w:space="0" w:color="auto"/>
              <w:right w:val="single" w:sz="4" w:space="0" w:color="auto"/>
            </w:tcBorders>
            <w:shd w:val="clear" w:color="000000" w:fill="CCFFFF"/>
            <w:vAlign w:val="bottom"/>
          </w:tcPr>
          <w:p w14:paraId="38E420CE" w14:textId="77777777" w:rsidR="001D4AFA" w:rsidRPr="009F2D1E" w:rsidRDefault="001D4AFA" w:rsidP="009F2D1E">
            <w:pPr>
              <w:jc w:val="right"/>
              <w:rPr>
                <w:rFonts w:ascii="Times New Roman" w:hAnsi="Times New Roman"/>
                <w:sz w:val="14"/>
                <w:szCs w:val="14"/>
              </w:rPr>
            </w:pPr>
            <w:r w:rsidRPr="009F2D1E">
              <w:rPr>
                <w:sz w:val="14"/>
                <w:szCs w:val="14"/>
              </w:rPr>
              <w:t>NA</w:t>
            </w:r>
          </w:p>
        </w:tc>
      </w:tr>
    </w:tbl>
    <w:p w14:paraId="6C8EC81B" w14:textId="77777777" w:rsidR="001D4AFA" w:rsidRPr="00364545" w:rsidRDefault="001D4AFA" w:rsidP="001D4AFA">
      <w:pPr>
        <w:rPr>
          <w:rFonts w:cs="Arial"/>
          <w:sz w:val="24"/>
        </w:rPr>
      </w:pPr>
    </w:p>
    <w:tbl>
      <w:tblPr>
        <w:tblW w:w="9940" w:type="dxa"/>
        <w:jc w:val="center"/>
        <w:tblCellMar>
          <w:left w:w="70" w:type="dxa"/>
          <w:right w:w="70" w:type="dxa"/>
        </w:tblCellMar>
        <w:tblLook w:val="04A0" w:firstRow="1" w:lastRow="0" w:firstColumn="1" w:lastColumn="0" w:noHBand="0" w:noVBand="1"/>
      </w:tblPr>
      <w:tblGrid>
        <w:gridCol w:w="2302"/>
        <w:gridCol w:w="1264"/>
        <w:gridCol w:w="1278"/>
        <w:gridCol w:w="1278"/>
        <w:gridCol w:w="1278"/>
        <w:gridCol w:w="1278"/>
        <w:gridCol w:w="1262"/>
      </w:tblGrid>
      <w:tr w:rsidR="001D4AFA" w:rsidRPr="00364545" w14:paraId="2FDAC8DA" w14:textId="77777777" w:rsidTr="009F2D1E">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9FA49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26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379837A"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2007</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77B5C49F"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2008</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1344F7C8"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2009</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57E27C69"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2010</w:t>
            </w:r>
          </w:p>
        </w:tc>
        <w:tc>
          <w:tcPr>
            <w:tcW w:w="1278" w:type="dxa"/>
            <w:tcBorders>
              <w:top w:val="single" w:sz="4" w:space="0" w:color="auto"/>
              <w:left w:val="nil"/>
              <w:bottom w:val="single" w:sz="4" w:space="0" w:color="auto"/>
              <w:right w:val="single" w:sz="4" w:space="0" w:color="auto"/>
            </w:tcBorders>
            <w:shd w:val="clear" w:color="000000" w:fill="CCFFFF"/>
            <w:noWrap/>
            <w:vAlign w:val="center"/>
            <w:hideMark/>
          </w:tcPr>
          <w:p w14:paraId="26CBB04C"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2011</w:t>
            </w:r>
          </w:p>
        </w:tc>
        <w:tc>
          <w:tcPr>
            <w:tcW w:w="1262" w:type="dxa"/>
            <w:tcBorders>
              <w:top w:val="single" w:sz="4" w:space="0" w:color="auto"/>
              <w:left w:val="nil"/>
              <w:bottom w:val="single" w:sz="4" w:space="0" w:color="auto"/>
              <w:right w:val="single" w:sz="4" w:space="0" w:color="auto"/>
            </w:tcBorders>
            <w:shd w:val="clear" w:color="000000" w:fill="CCFFFF"/>
            <w:vAlign w:val="center"/>
          </w:tcPr>
          <w:p w14:paraId="6F371984" w14:textId="77777777" w:rsidR="001D4AFA" w:rsidRPr="00364545" w:rsidRDefault="001D4AFA" w:rsidP="009F2D1E">
            <w:pPr>
              <w:jc w:val="center"/>
              <w:rPr>
                <w:rFonts w:ascii="Times New Roman" w:hAnsi="Times New Roman"/>
                <w:b/>
                <w:bCs/>
                <w:sz w:val="16"/>
                <w:szCs w:val="16"/>
              </w:rPr>
            </w:pPr>
            <w:r w:rsidRPr="00364545">
              <w:rPr>
                <w:b/>
                <w:sz w:val="16"/>
              </w:rPr>
              <w:t>2012</w:t>
            </w:r>
          </w:p>
        </w:tc>
      </w:tr>
      <w:tr w:rsidR="001D4AFA" w:rsidRPr="00364545" w14:paraId="393F7D97" w14:textId="77777777" w:rsidTr="009F2D1E">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581C3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264"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A40A0EA" w14:textId="77777777" w:rsidR="001D4AFA" w:rsidRPr="009F2D1E" w:rsidRDefault="001D4AFA" w:rsidP="009F2D1E">
            <w:pPr>
              <w:jc w:val="right"/>
              <w:rPr>
                <w:rFonts w:ascii="Times New Roman" w:hAnsi="Times New Roman"/>
                <w:sz w:val="14"/>
                <w:szCs w:val="14"/>
              </w:rPr>
            </w:pPr>
            <w:r w:rsidRPr="00CB4B9F">
              <w:rPr>
                <w:sz w:val="14"/>
                <w:szCs w:val="14"/>
              </w:rPr>
              <w:t>353644,62</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6C69E694" w14:textId="77777777" w:rsidR="001D4AFA" w:rsidRPr="009F2D1E" w:rsidRDefault="001D4AFA" w:rsidP="009F2D1E">
            <w:pPr>
              <w:jc w:val="right"/>
              <w:rPr>
                <w:rFonts w:ascii="Times New Roman" w:hAnsi="Times New Roman"/>
                <w:sz w:val="14"/>
                <w:szCs w:val="14"/>
              </w:rPr>
            </w:pPr>
            <w:r w:rsidRPr="00CB4B9F">
              <w:rPr>
                <w:sz w:val="14"/>
                <w:szCs w:val="14"/>
              </w:rPr>
              <w:t>348048,72</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35BFB719" w14:textId="77777777" w:rsidR="001D4AFA" w:rsidRPr="009F2D1E" w:rsidRDefault="001D4AFA" w:rsidP="009F2D1E">
            <w:pPr>
              <w:jc w:val="right"/>
              <w:rPr>
                <w:rFonts w:ascii="Times New Roman" w:hAnsi="Times New Roman"/>
                <w:sz w:val="14"/>
                <w:szCs w:val="14"/>
              </w:rPr>
            </w:pPr>
            <w:r w:rsidRPr="00CB4B9F">
              <w:rPr>
                <w:sz w:val="14"/>
                <w:szCs w:val="14"/>
              </w:rPr>
              <w:t>339132,78</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16E01353" w14:textId="77777777" w:rsidR="001D4AFA" w:rsidRPr="009F2D1E" w:rsidRDefault="001D4AFA" w:rsidP="009F2D1E">
            <w:pPr>
              <w:jc w:val="right"/>
              <w:rPr>
                <w:rFonts w:ascii="Times New Roman" w:hAnsi="Times New Roman"/>
                <w:sz w:val="14"/>
                <w:szCs w:val="14"/>
              </w:rPr>
            </w:pPr>
            <w:r w:rsidRPr="00CB4B9F">
              <w:rPr>
                <w:sz w:val="14"/>
                <w:szCs w:val="14"/>
              </w:rPr>
              <w:t>344170,77</w:t>
            </w:r>
          </w:p>
        </w:tc>
        <w:tc>
          <w:tcPr>
            <w:tcW w:w="1278" w:type="dxa"/>
            <w:tcBorders>
              <w:top w:val="single" w:sz="4" w:space="0" w:color="auto"/>
              <w:left w:val="nil"/>
              <w:bottom w:val="single" w:sz="4" w:space="0" w:color="auto"/>
              <w:right w:val="single" w:sz="4" w:space="0" w:color="auto"/>
            </w:tcBorders>
            <w:shd w:val="clear" w:color="000000" w:fill="CCFFFF"/>
            <w:noWrap/>
            <w:vAlign w:val="bottom"/>
            <w:hideMark/>
          </w:tcPr>
          <w:p w14:paraId="2D521771" w14:textId="77777777" w:rsidR="001D4AFA" w:rsidRPr="009F2D1E" w:rsidRDefault="001D4AFA" w:rsidP="009F2D1E">
            <w:pPr>
              <w:jc w:val="right"/>
              <w:rPr>
                <w:rFonts w:ascii="Times New Roman" w:hAnsi="Times New Roman"/>
                <w:sz w:val="14"/>
                <w:szCs w:val="14"/>
              </w:rPr>
            </w:pPr>
            <w:r w:rsidRPr="00CB4B9F">
              <w:rPr>
                <w:sz w:val="14"/>
                <w:szCs w:val="14"/>
              </w:rPr>
              <w:t>322088,69</w:t>
            </w:r>
          </w:p>
        </w:tc>
        <w:tc>
          <w:tcPr>
            <w:tcW w:w="1262" w:type="dxa"/>
            <w:tcBorders>
              <w:top w:val="single" w:sz="4" w:space="0" w:color="auto"/>
              <w:left w:val="nil"/>
              <w:bottom w:val="single" w:sz="4" w:space="0" w:color="auto"/>
              <w:right w:val="single" w:sz="4" w:space="0" w:color="auto"/>
            </w:tcBorders>
            <w:shd w:val="clear" w:color="000000" w:fill="CCFFFF"/>
            <w:vAlign w:val="bottom"/>
          </w:tcPr>
          <w:p w14:paraId="415A1E0C" w14:textId="77777777" w:rsidR="001D4AFA" w:rsidRPr="009F2D1E" w:rsidRDefault="001D4AFA" w:rsidP="009F2D1E">
            <w:pPr>
              <w:jc w:val="right"/>
              <w:rPr>
                <w:rFonts w:ascii="Times New Roman" w:hAnsi="Times New Roman"/>
                <w:sz w:val="14"/>
                <w:szCs w:val="14"/>
              </w:rPr>
            </w:pPr>
            <w:r w:rsidRPr="00CB4B9F">
              <w:rPr>
                <w:sz w:val="14"/>
                <w:szCs w:val="14"/>
              </w:rPr>
              <w:t>321847,33</w:t>
            </w:r>
          </w:p>
        </w:tc>
      </w:tr>
      <w:tr w:rsidR="001D4AFA" w:rsidRPr="00364545" w14:paraId="6944EDEB" w14:textId="77777777" w:rsidTr="009F2D1E">
        <w:trPr>
          <w:trHeight w:val="68"/>
          <w:jc w:val="center"/>
        </w:trPr>
        <w:tc>
          <w:tcPr>
            <w:tcW w:w="23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3C1CB6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1. Energy</w:t>
            </w:r>
          </w:p>
        </w:tc>
        <w:tc>
          <w:tcPr>
            <w:tcW w:w="1264" w:type="dxa"/>
            <w:tcBorders>
              <w:top w:val="nil"/>
              <w:left w:val="nil"/>
              <w:bottom w:val="single" w:sz="4" w:space="0" w:color="auto"/>
              <w:right w:val="single" w:sz="4" w:space="0" w:color="auto"/>
            </w:tcBorders>
            <w:shd w:val="clear" w:color="000000" w:fill="CCFFFF"/>
            <w:noWrap/>
            <w:vAlign w:val="bottom"/>
            <w:hideMark/>
          </w:tcPr>
          <w:p w14:paraId="4CA59F3D" w14:textId="77777777" w:rsidR="001D4AFA" w:rsidRPr="009F2D1E" w:rsidRDefault="001D4AFA" w:rsidP="009F2D1E">
            <w:pPr>
              <w:jc w:val="right"/>
              <w:rPr>
                <w:rFonts w:ascii="Times New Roman" w:hAnsi="Times New Roman"/>
                <w:sz w:val="14"/>
                <w:szCs w:val="14"/>
              </w:rPr>
            </w:pPr>
            <w:r w:rsidRPr="009F2D1E">
              <w:rPr>
                <w:sz w:val="14"/>
                <w:szCs w:val="14"/>
              </w:rPr>
              <w:t>360239,51</w:t>
            </w:r>
          </w:p>
        </w:tc>
        <w:tc>
          <w:tcPr>
            <w:tcW w:w="1278" w:type="dxa"/>
            <w:tcBorders>
              <w:top w:val="nil"/>
              <w:left w:val="nil"/>
              <w:bottom w:val="single" w:sz="4" w:space="0" w:color="auto"/>
              <w:right w:val="single" w:sz="4" w:space="0" w:color="auto"/>
            </w:tcBorders>
            <w:shd w:val="clear" w:color="000000" w:fill="CCFFFF"/>
            <w:noWrap/>
            <w:vAlign w:val="bottom"/>
            <w:hideMark/>
          </w:tcPr>
          <w:p w14:paraId="08DAB90F" w14:textId="77777777" w:rsidR="001D4AFA" w:rsidRPr="009F2D1E" w:rsidRDefault="001D4AFA" w:rsidP="009F2D1E">
            <w:pPr>
              <w:jc w:val="right"/>
              <w:rPr>
                <w:rFonts w:ascii="Times New Roman" w:hAnsi="Times New Roman"/>
                <w:sz w:val="14"/>
                <w:szCs w:val="14"/>
              </w:rPr>
            </w:pPr>
            <w:r w:rsidRPr="009F2D1E">
              <w:rPr>
                <w:sz w:val="14"/>
                <w:szCs w:val="14"/>
              </w:rPr>
              <w:t>358678,25</w:t>
            </w:r>
          </w:p>
        </w:tc>
        <w:tc>
          <w:tcPr>
            <w:tcW w:w="1278" w:type="dxa"/>
            <w:tcBorders>
              <w:top w:val="nil"/>
              <w:left w:val="nil"/>
              <w:bottom w:val="single" w:sz="4" w:space="0" w:color="auto"/>
              <w:right w:val="single" w:sz="4" w:space="0" w:color="auto"/>
            </w:tcBorders>
            <w:shd w:val="clear" w:color="000000" w:fill="CCFFFF"/>
            <w:noWrap/>
            <w:vAlign w:val="bottom"/>
            <w:hideMark/>
          </w:tcPr>
          <w:p w14:paraId="49FA3C61" w14:textId="77777777" w:rsidR="001D4AFA" w:rsidRPr="009F2D1E" w:rsidRDefault="001D4AFA" w:rsidP="009F2D1E">
            <w:pPr>
              <w:jc w:val="right"/>
              <w:rPr>
                <w:rFonts w:ascii="Times New Roman" w:hAnsi="Times New Roman"/>
                <w:sz w:val="14"/>
                <w:szCs w:val="14"/>
              </w:rPr>
            </w:pPr>
            <w:r w:rsidRPr="009F2D1E">
              <w:rPr>
                <w:sz w:val="14"/>
                <w:szCs w:val="14"/>
              </w:rPr>
              <w:t>348440,98</w:t>
            </w:r>
          </w:p>
        </w:tc>
        <w:tc>
          <w:tcPr>
            <w:tcW w:w="1278" w:type="dxa"/>
            <w:tcBorders>
              <w:top w:val="nil"/>
              <w:left w:val="nil"/>
              <w:bottom w:val="single" w:sz="4" w:space="0" w:color="auto"/>
              <w:right w:val="single" w:sz="4" w:space="0" w:color="auto"/>
            </w:tcBorders>
            <w:shd w:val="clear" w:color="000000" w:fill="CCFFFF"/>
            <w:noWrap/>
            <w:vAlign w:val="bottom"/>
            <w:hideMark/>
          </w:tcPr>
          <w:p w14:paraId="1FEB3D77" w14:textId="77777777" w:rsidR="001D4AFA" w:rsidRPr="009F2D1E" w:rsidRDefault="001D4AFA" w:rsidP="009F2D1E">
            <w:pPr>
              <w:jc w:val="right"/>
              <w:rPr>
                <w:rFonts w:ascii="Times New Roman" w:hAnsi="Times New Roman"/>
                <w:sz w:val="14"/>
                <w:szCs w:val="14"/>
              </w:rPr>
            </w:pPr>
            <w:r w:rsidRPr="009F2D1E">
              <w:rPr>
                <w:sz w:val="14"/>
                <w:szCs w:val="14"/>
              </w:rPr>
              <w:t>350369,32</w:t>
            </w:r>
          </w:p>
        </w:tc>
        <w:tc>
          <w:tcPr>
            <w:tcW w:w="1278" w:type="dxa"/>
            <w:tcBorders>
              <w:top w:val="nil"/>
              <w:left w:val="nil"/>
              <w:bottom w:val="single" w:sz="4" w:space="0" w:color="auto"/>
              <w:right w:val="single" w:sz="4" w:space="0" w:color="auto"/>
            </w:tcBorders>
            <w:shd w:val="clear" w:color="000000" w:fill="CCFFFF"/>
            <w:noWrap/>
            <w:vAlign w:val="bottom"/>
            <w:hideMark/>
          </w:tcPr>
          <w:p w14:paraId="1EA1CB1C" w14:textId="77777777" w:rsidR="001D4AFA" w:rsidRPr="009F2D1E" w:rsidRDefault="001D4AFA" w:rsidP="009F2D1E">
            <w:pPr>
              <w:jc w:val="right"/>
              <w:rPr>
                <w:rFonts w:ascii="Times New Roman" w:hAnsi="Times New Roman"/>
                <w:sz w:val="14"/>
                <w:szCs w:val="14"/>
              </w:rPr>
            </w:pPr>
            <w:r w:rsidRPr="009F2D1E">
              <w:rPr>
                <w:sz w:val="14"/>
                <w:szCs w:val="14"/>
              </w:rPr>
              <w:t>328513,22</w:t>
            </w:r>
          </w:p>
        </w:tc>
        <w:tc>
          <w:tcPr>
            <w:tcW w:w="1262" w:type="dxa"/>
            <w:tcBorders>
              <w:top w:val="nil"/>
              <w:left w:val="nil"/>
              <w:bottom w:val="single" w:sz="4" w:space="0" w:color="auto"/>
              <w:right w:val="single" w:sz="4" w:space="0" w:color="auto"/>
            </w:tcBorders>
            <w:shd w:val="clear" w:color="000000" w:fill="CCFFFF"/>
            <w:vAlign w:val="bottom"/>
          </w:tcPr>
          <w:p w14:paraId="3FF9B296" w14:textId="77777777" w:rsidR="001D4AFA" w:rsidRPr="009F2D1E" w:rsidRDefault="001D4AFA" w:rsidP="009F2D1E">
            <w:pPr>
              <w:jc w:val="right"/>
              <w:rPr>
                <w:rFonts w:ascii="Times New Roman" w:hAnsi="Times New Roman"/>
                <w:sz w:val="14"/>
                <w:szCs w:val="14"/>
              </w:rPr>
            </w:pPr>
            <w:r w:rsidRPr="009F2D1E">
              <w:rPr>
                <w:sz w:val="14"/>
                <w:szCs w:val="14"/>
              </w:rPr>
              <w:t>332676,71</w:t>
            </w:r>
          </w:p>
        </w:tc>
      </w:tr>
      <w:tr w:rsidR="001D4AFA" w:rsidRPr="00364545" w14:paraId="725CFFA5"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46850E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264" w:type="dxa"/>
            <w:tcBorders>
              <w:top w:val="nil"/>
              <w:left w:val="nil"/>
              <w:bottom w:val="single" w:sz="4" w:space="0" w:color="auto"/>
              <w:right w:val="single" w:sz="4" w:space="0" w:color="auto"/>
            </w:tcBorders>
            <w:shd w:val="clear" w:color="000000" w:fill="CCFFFF"/>
            <w:noWrap/>
            <w:vAlign w:val="bottom"/>
            <w:hideMark/>
          </w:tcPr>
          <w:p w14:paraId="00F36890" w14:textId="77777777" w:rsidR="001D4AFA" w:rsidRPr="009F2D1E" w:rsidRDefault="001D4AFA" w:rsidP="009F2D1E">
            <w:pPr>
              <w:jc w:val="right"/>
              <w:rPr>
                <w:rFonts w:ascii="Times New Roman" w:hAnsi="Times New Roman"/>
                <w:sz w:val="14"/>
                <w:szCs w:val="14"/>
              </w:rPr>
            </w:pPr>
            <w:r w:rsidRPr="009F2D1E">
              <w:rPr>
                <w:sz w:val="14"/>
                <w:szCs w:val="14"/>
              </w:rPr>
              <w:t>355614,20</w:t>
            </w:r>
          </w:p>
        </w:tc>
        <w:tc>
          <w:tcPr>
            <w:tcW w:w="1278" w:type="dxa"/>
            <w:tcBorders>
              <w:top w:val="nil"/>
              <w:left w:val="nil"/>
              <w:bottom w:val="single" w:sz="4" w:space="0" w:color="auto"/>
              <w:right w:val="single" w:sz="4" w:space="0" w:color="auto"/>
            </w:tcBorders>
            <w:shd w:val="clear" w:color="000000" w:fill="CCFFFF"/>
            <w:noWrap/>
            <w:vAlign w:val="bottom"/>
            <w:hideMark/>
          </w:tcPr>
          <w:p w14:paraId="14FEFEDB" w14:textId="77777777" w:rsidR="001D4AFA" w:rsidRPr="009F2D1E" w:rsidRDefault="001D4AFA" w:rsidP="009F2D1E">
            <w:pPr>
              <w:jc w:val="right"/>
              <w:rPr>
                <w:rFonts w:ascii="Times New Roman" w:hAnsi="Times New Roman"/>
                <w:sz w:val="14"/>
                <w:szCs w:val="14"/>
              </w:rPr>
            </w:pPr>
            <w:r w:rsidRPr="009F2D1E">
              <w:rPr>
                <w:sz w:val="14"/>
                <w:szCs w:val="14"/>
              </w:rPr>
              <w:t>353767,24</w:t>
            </w:r>
          </w:p>
        </w:tc>
        <w:tc>
          <w:tcPr>
            <w:tcW w:w="1278" w:type="dxa"/>
            <w:tcBorders>
              <w:top w:val="nil"/>
              <w:left w:val="nil"/>
              <w:bottom w:val="single" w:sz="4" w:space="0" w:color="auto"/>
              <w:right w:val="single" w:sz="4" w:space="0" w:color="auto"/>
            </w:tcBorders>
            <w:shd w:val="clear" w:color="000000" w:fill="CCFFFF"/>
            <w:noWrap/>
            <w:vAlign w:val="bottom"/>
            <w:hideMark/>
          </w:tcPr>
          <w:p w14:paraId="1583E749" w14:textId="77777777" w:rsidR="001D4AFA" w:rsidRPr="009F2D1E" w:rsidRDefault="001D4AFA" w:rsidP="009F2D1E">
            <w:pPr>
              <w:jc w:val="right"/>
              <w:rPr>
                <w:rFonts w:ascii="Times New Roman" w:hAnsi="Times New Roman"/>
                <w:sz w:val="14"/>
                <w:szCs w:val="14"/>
              </w:rPr>
            </w:pPr>
            <w:r w:rsidRPr="009F2D1E">
              <w:rPr>
                <w:sz w:val="14"/>
                <w:szCs w:val="14"/>
              </w:rPr>
              <w:t>343810,81</w:t>
            </w:r>
          </w:p>
        </w:tc>
        <w:tc>
          <w:tcPr>
            <w:tcW w:w="1278" w:type="dxa"/>
            <w:tcBorders>
              <w:top w:val="nil"/>
              <w:left w:val="nil"/>
              <w:bottom w:val="single" w:sz="4" w:space="0" w:color="auto"/>
              <w:right w:val="single" w:sz="4" w:space="0" w:color="auto"/>
            </w:tcBorders>
            <w:shd w:val="clear" w:color="000000" w:fill="CCFFFF"/>
            <w:noWrap/>
            <w:vAlign w:val="bottom"/>
            <w:hideMark/>
          </w:tcPr>
          <w:p w14:paraId="004CA4B1" w14:textId="77777777" w:rsidR="001D4AFA" w:rsidRPr="009F2D1E" w:rsidRDefault="001D4AFA" w:rsidP="009F2D1E">
            <w:pPr>
              <w:jc w:val="right"/>
              <w:rPr>
                <w:rFonts w:ascii="Times New Roman" w:hAnsi="Times New Roman"/>
                <w:sz w:val="14"/>
                <w:szCs w:val="14"/>
              </w:rPr>
            </w:pPr>
            <w:r w:rsidRPr="009F2D1E">
              <w:rPr>
                <w:sz w:val="14"/>
                <w:szCs w:val="14"/>
              </w:rPr>
              <w:t>346147,96</w:t>
            </w:r>
          </w:p>
        </w:tc>
        <w:tc>
          <w:tcPr>
            <w:tcW w:w="1278" w:type="dxa"/>
            <w:tcBorders>
              <w:top w:val="nil"/>
              <w:left w:val="nil"/>
              <w:bottom w:val="single" w:sz="4" w:space="0" w:color="auto"/>
              <w:right w:val="single" w:sz="4" w:space="0" w:color="auto"/>
            </w:tcBorders>
            <w:shd w:val="clear" w:color="000000" w:fill="CCFFFF"/>
            <w:noWrap/>
            <w:vAlign w:val="bottom"/>
            <w:hideMark/>
          </w:tcPr>
          <w:p w14:paraId="1756C8DF" w14:textId="77777777" w:rsidR="001D4AFA" w:rsidRPr="009F2D1E" w:rsidRDefault="001D4AFA" w:rsidP="009F2D1E">
            <w:pPr>
              <w:jc w:val="right"/>
              <w:rPr>
                <w:rFonts w:ascii="Times New Roman" w:hAnsi="Times New Roman"/>
                <w:sz w:val="14"/>
                <w:szCs w:val="14"/>
              </w:rPr>
            </w:pPr>
            <w:r w:rsidRPr="009F2D1E">
              <w:rPr>
                <w:sz w:val="14"/>
                <w:szCs w:val="14"/>
              </w:rPr>
              <w:t>324522,20</w:t>
            </w:r>
          </w:p>
        </w:tc>
        <w:tc>
          <w:tcPr>
            <w:tcW w:w="1262" w:type="dxa"/>
            <w:tcBorders>
              <w:top w:val="nil"/>
              <w:left w:val="nil"/>
              <w:bottom w:val="single" w:sz="4" w:space="0" w:color="auto"/>
              <w:right w:val="single" w:sz="4" w:space="0" w:color="auto"/>
            </w:tcBorders>
            <w:shd w:val="clear" w:color="000000" w:fill="CCFFFF"/>
            <w:vAlign w:val="bottom"/>
          </w:tcPr>
          <w:p w14:paraId="7764D56F" w14:textId="77777777" w:rsidR="001D4AFA" w:rsidRPr="009F2D1E" w:rsidRDefault="001D4AFA" w:rsidP="009F2D1E">
            <w:pPr>
              <w:jc w:val="right"/>
              <w:rPr>
                <w:rFonts w:ascii="Times New Roman" w:hAnsi="Times New Roman"/>
                <w:sz w:val="14"/>
                <w:szCs w:val="14"/>
              </w:rPr>
            </w:pPr>
            <w:r w:rsidRPr="009F2D1E">
              <w:rPr>
                <w:sz w:val="14"/>
                <w:szCs w:val="14"/>
              </w:rPr>
              <w:t>329274,43</w:t>
            </w:r>
          </w:p>
        </w:tc>
      </w:tr>
      <w:tr w:rsidR="001D4AFA" w:rsidRPr="00364545" w14:paraId="2281E1F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4C86289"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264" w:type="dxa"/>
            <w:tcBorders>
              <w:top w:val="nil"/>
              <w:left w:val="nil"/>
              <w:bottom w:val="single" w:sz="4" w:space="0" w:color="auto"/>
              <w:right w:val="single" w:sz="4" w:space="0" w:color="auto"/>
            </w:tcBorders>
            <w:shd w:val="clear" w:color="000000" w:fill="FFFFFF"/>
            <w:noWrap/>
            <w:vAlign w:val="bottom"/>
            <w:hideMark/>
          </w:tcPr>
          <w:p w14:paraId="46791CE0" w14:textId="77777777" w:rsidR="001D4AFA" w:rsidRPr="009F2D1E" w:rsidRDefault="001D4AFA" w:rsidP="009F2D1E">
            <w:pPr>
              <w:jc w:val="right"/>
              <w:rPr>
                <w:rFonts w:ascii="Times New Roman" w:hAnsi="Times New Roman"/>
                <w:sz w:val="14"/>
                <w:szCs w:val="14"/>
              </w:rPr>
            </w:pPr>
            <w:r w:rsidRPr="009F2D1E">
              <w:rPr>
                <w:sz w:val="14"/>
                <w:szCs w:val="14"/>
              </w:rPr>
              <w:t>61978,96</w:t>
            </w:r>
          </w:p>
        </w:tc>
        <w:tc>
          <w:tcPr>
            <w:tcW w:w="1278" w:type="dxa"/>
            <w:tcBorders>
              <w:top w:val="nil"/>
              <w:left w:val="nil"/>
              <w:bottom w:val="single" w:sz="4" w:space="0" w:color="auto"/>
              <w:right w:val="single" w:sz="4" w:space="0" w:color="auto"/>
            </w:tcBorders>
            <w:shd w:val="clear" w:color="000000" w:fill="FFFFFF"/>
            <w:noWrap/>
            <w:vAlign w:val="bottom"/>
            <w:hideMark/>
          </w:tcPr>
          <w:p w14:paraId="2F55A800" w14:textId="77777777" w:rsidR="001D4AFA" w:rsidRPr="009F2D1E" w:rsidRDefault="001D4AFA" w:rsidP="009F2D1E">
            <w:pPr>
              <w:jc w:val="right"/>
              <w:rPr>
                <w:rFonts w:ascii="Times New Roman" w:hAnsi="Times New Roman"/>
                <w:sz w:val="14"/>
                <w:szCs w:val="14"/>
              </w:rPr>
            </w:pPr>
            <w:r w:rsidRPr="009F2D1E">
              <w:rPr>
                <w:sz w:val="14"/>
                <w:szCs w:val="14"/>
              </w:rPr>
              <w:t>60824,41</w:t>
            </w:r>
          </w:p>
        </w:tc>
        <w:tc>
          <w:tcPr>
            <w:tcW w:w="1278" w:type="dxa"/>
            <w:tcBorders>
              <w:top w:val="nil"/>
              <w:left w:val="nil"/>
              <w:bottom w:val="single" w:sz="4" w:space="0" w:color="auto"/>
              <w:right w:val="single" w:sz="4" w:space="0" w:color="auto"/>
            </w:tcBorders>
            <w:shd w:val="clear" w:color="000000" w:fill="FFFFFF"/>
            <w:noWrap/>
            <w:vAlign w:val="bottom"/>
            <w:hideMark/>
          </w:tcPr>
          <w:p w14:paraId="041ACDB0" w14:textId="77777777" w:rsidR="001D4AFA" w:rsidRPr="009F2D1E" w:rsidRDefault="001D4AFA" w:rsidP="009F2D1E">
            <w:pPr>
              <w:jc w:val="right"/>
              <w:rPr>
                <w:rFonts w:ascii="Times New Roman" w:hAnsi="Times New Roman"/>
                <w:sz w:val="14"/>
                <w:szCs w:val="14"/>
              </w:rPr>
            </w:pPr>
            <w:r w:rsidRPr="009F2D1E">
              <w:rPr>
                <w:sz w:val="14"/>
                <w:szCs w:val="14"/>
              </w:rPr>
              <w:t>59030,96</w:t>
            </w:r>
          </w:p>
        </w:tc>
        <w:tc>
          <w:tcPr>
            <w:tcW w:w="1278" w:type="dxa"/>
            <w:tcBorders>
              <w:top w:val="nil"/>
              <w:left w:val="nil"/>
              <w:bottom w:val="single" w:sz="4" w:space="0" w:color="auto"/>
              <w:right w:val="single" w:sz="4" w:space="0" w:color="auto"/>
            </w:tcBorders>
            <w:shd w:val="clear" w:color="000000" w:fill="FFFFFF"/>
            <w:noWrap/>
            <w:vAlign w:val="bottom"/>
            <w:hideMark/>
          </w:tcPr>
          <w:p w14:paraId="13518992" w14:textId="77777777" w:rsidR="001D4AFA" w:rsidRPr="009F2D1E" w:rsidRDefault="001D4AFA" w:rsidP="009F2D1E">
            <w:pPr>
              <w:jc w:val="right"/>
              <w:rPr>
                <w:rFonts w:ascii="Times New Roman" w:hAnsi="Times New Roman"/>
                <w:sz w:val="14"/>
                <w:szCs w:val="14"/>
              </w:rPr>
            </w:pPr>
            <w:r w:rsidRPr="009F2D1E">
              <w:rPr>
                <w:sz w:val="14"/>
                <w:szCs w:val="14"/>
              </w:rPr>
              <w:t>59651,60</w:t>
            </w:r>
          </w:p>
        </w:tc>
        <w:tc>
          <w:tcPr>
            <w:tcW w:w="1278" w:type="dxa"/>
            <w:tcBorders>
              <w:top w:val="nil"/>
              <w:left w:val="nil"/>
              <w:bottom w:val="single" w:sz="4" w:space="0" w:color="auto"/>
              <w:right w:val="single" w:sz="4" w:space="0" w:color="auto"/>
            </w:tcBorders>
            <w:shd w:val="clear" w:color="000000" w:fill="FFFFFF"/>
            <w:noWrap/>
            <w:vAlign w:val="bottom"/>
            <w:hideMark/>
          </w:tcPr>
          <w:p w14:paraId="3A175518" w14:textId="77777777" w:rsidR="001D4AFA" w:rsidRPr="009F2D1E" w:rsidRDefault="001D4AFA" w:rsidP="009F2D1E">
            <w:pPr>
              <w:jc w:val="right"/>
              <w:rPr>
                <w:rFonts w:ascii="Times New Roman" w:hAnsi="Times New Roman"/>
                <w:sz w:val="14"/>
                <w:szCs w:val="14"/>
              </w:rPr>
            </w:pPr>
            <w:r w:rsidRPr="009F2D1E">
              <w:rPr>
                <w:sz w:val="14"/>
                <w:szCs w:val="14"/>
              </w:rPr>
              <w:t>54397,75</w:t>
            </w:r>
          </w:p>
        </w:tc>
        <w:tc>
          <w:tcPr>
            <w:tcW w:w="1262" w:type="dxa"/>
            <w:tcBorders>
              <w:top w:val="nil"/>
              <w:left w:val="nil"/>
              <w:bottom w:val="single" w:sz="4" w:space="0" w:color="auto"/>
              <w:right w:val="single" w:sz="4" w:space="0" w:color="auto"/>
            </w:tcBorders>
            <w:shd w:val="clear" w:color="000000" w:fill="FFFFFF"/>
            <w:vAlign w:val="bottom"/>
          </w:tcPr>
          <w:p w14:paraId="2C285642" w14:textId="77777777" w:rsidR="001D4AFA" w:rsidRPr="009F2D1E" w:rsidRDefault="001D4AFA" w:rsidP="009F2D1E">
            <w:pPr>
              <w:jc w:val="right"/>
              <w:rPr>
                <w:rFonts w:ascii="Times New Roman" w:hAnsi="Times New Roman"/>
                <w:sz w:val="14"/>
                <w:szCs w:val="14"/>
              </w:rPr>
            </w:pPr>
            <w:r w:rsidRPr="009F2D1E">
              <w:rPr>
                <w:sz w:val="14"/>
                <w:szCs w:val="14"/>
              </w:rPr>
              <w:t>56623,09</w:t>
            </w:r>
          </w:p>
        </w:tc>
      </w:tr>
      <w:tr w:rsidR="001D4AFA" w:rsidRPr="00364545" w14:paraId="5A582AC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BC69F36"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264" w:type="dxa"/>
            <w:tcBorders>
              <w:top w:val="nil"/>
              <w:left w:val="nil"/>
              <w:bottom w:val="single" w:sz="4" w:space="0" w:color="auto"/>
              <w:right w:val="single" w:sz="4" w:space="0" w:color="auto"/>
            </w:tcBorders>
            <w:shd w:val="clear" w:color="000000" w:fill="FFFFFF"/>
            <w:noWrap/>
            <w:vAlign w:val="bottom"/>
            <w:hideMark/>
          </w:tcPr>
          <w:p w14:paraId="3DD6DCB1" w14:textId="77777777" w:rsidR="001D4AFA" w:rsidRPr="009F2D1E" w:rsidRDefault="001D4AFA" w:rsidP="009F2D1E">
            <w:pPr>
              <w:jc w:val="right"/>
              <w:rPr>
                <w:rFonts w:ascii="Times New Roman" w:hAnsi="Times New Roman"/>
                <w:sz w:val="14"/>
                <w:szCs w:val="14"/>
              </w:rPr>
            </w:pPr>
            <w:r w:rsidRPr="009F2D1E">
              <w:rPr>
                <w:sz w:val="14"/>
                <w:szCs w:val="14"/>
              </w:rPr>
              <w:t>63097,22</w:t>
            </w:r>
          </w:p>
        </w:tc>
        <w:tc>
          <w:tcPr>
            <w:tcW w:w="1278" w:type="dxa"/>
            <w:tcBorders>
              <w:top w:val="nil"/>
              <w:left w:val="nil"/>
              <w:bottom w:val="single" w:sz="4" w:space="0" w:color="auto"/>
              <w:right w:val="single" w:sz="4" w:space="0" w:color="auto"/>
            </w:tcBorders>
            <w:shd w:val="clear" w:color="000000" w:fill="FFFFFF"/>
            <w:noWrap/>
            <w:vAlign w:val="bottom"/>
            <w:hideMark/>
          </w:tcPr>
          <w:p w14:paraId="76DD58BA" w14:textId="77777777" w:rsidR="001D4AFA" w:rsidRPr="009F2D1E" w:rsidRDefault="001D4AFA" w:rsidP="009F2D1E">
            <w:pPr>
              <w:jc w:val="right"/>
              <w:rPr>
                <w:rFonts w:ascii="Times New Roman" w:hAnsi="Times New Roman"/>
                <w:sz w:val="14"/>
                <w:szCs w:val="14"/>
              </w:rPr>
            </w:pPr>
            <w:r w:rsidRPr="009F2D1E">
              <w:rPr>
                <w:sz w:val="14"/>
                <w:szCs w:val="14"/>
              </w:rPr>
              <w:t>61289,79</w:t>
            </w:r>
          </w:p>
        </w:tc>
        <w:tc>
          <w:tcPr>
            <w:tcW w:w="1278" w:type="dxa"/>
            <w:tcBorders>
              <w:top w:val="nil"/>
              <w:left w:val="nil"/>
              <w:bottom w:val="single" w:sz="4" w:space="0" w:color="auto"/>
              <w:right w:val="single" w:sz="4" w:space="0" w:color="auto"/>
            </w:tcBorders>
            <w:shd w:val="clear" w:color="000000" w:fill="FFFFFF"/>
            <w:noWrap/>
            <w:vAlign w:val="bottom"/>
            <w:hideMark/>
          </w:tcPr>
          <w:p w14:paraId="24A1BD06" w14:textId="77777777" w:rsidR="001D4AFA" w:rsidRPr="009F2D1E" w:rsidRDefault="001D4AFA" w:rsidP="009F2D1E">
            <w:pPr>
              <w:jc w:val="right"/>
              <w:rPr>
                <w:rFonts w:ascii="Times New Roman" w:hAnsi="Times New Roman"/>
                <w:sz w:val="14"/>
                <w:szCs w:val="14"/>
              </w:rPr>
            </w:pPr>
            <w:r w:rsidRPr="009F2D1E">
              <w:rPr>
                <w:sz w:val="14"/>
                <w:szCs w:val="14"/>
              </w:rPr>
              <w:t>52489,60</w:t>
            </w:r>
          </w:p>
        </w:tc>
        <w:tc>
          <w:tcPr>
            <w:tcW w:w="1278" w:type="dxa"/>
            <w:tcBorders>
              <w:top w:val="nil"/>
              <w:left w:val="nil"/>
              <w:bottom w:val="single" w:sz="4" w:space="0" w:color="auto"/>
              <w:right w:val="single" w:sz="4" w:space="0" w:color="auto"/>
            </w:tcBorders>
            <w:shd w:val="clear" w:color="000000" w:fill="FFFFFF"/>
            <w:noWrap/>
            <w:vAlign w:val="bottom"/>
            <w:hideMark/>
          </w:tcPr>
          <w:p w14:paraId="6BDD66EB" w14:textId="77777777" w:rsidR="001D4AFA" w:rsidRPr="009F2D1E" w:rsidRDefault="001D4AFA" w:rsidP="009F2D1E">
            <w:pPr>
              <w:jc w:val="right"/>
              <w:rPr>
                <w:rFonts w:ascii="Times New Roman" w:hAnsi="Times New Roman"/>
                <w:sz w:val="14"/>
                <w:szCs w:val="14"/>
              </w:rPr>
            </w:pPr>
            <w:r w:rsidRPr="009F2D1E">
              <w:rPr>
                <w:sz w:val="14"/>
                <w:szCs w:val="14"/>
              </w:rPr>
              <w:t>55776,16</w:t>
            </w:r>
          </w:p>
        </w:tc>
        <w:tc>
          <w:tcPr>
            <w:tcW w:w="1278" w:type="dxa"/>
            <w:tcBorders>
              <w:top w:val="nil"/>
              <w:left w:val="nil"/>
              <w:bottom w:val="single" w:sz="4" w:space="0" w:color="auto"/>
              <w:right w:val="single" w:sz="4" w:space="0" w:color="auto"/>
            </w:tcBorders>
            <w:shd w:val="clear" w:color="000000" w:fill="FFFFFF"/>
            <w:noWrap/>
            <w:vAlign w:val="bottom"/>
            <w:hideMark/>
          </w:tcPr>
          <w:p w14:paraId="27C23A1C" w14:textId="77777777" w:rsidR="001D4AFA" w:rsidRPr="009F2D1E" w:rsidRDefault="001D4AFA" w:rsidP="009F2D1E">
            <w:pPr>
              <w:jc w:val="right"/>
              <w:rPr>
                <w:rFonts w:ascii="Times New Roman" w:hAnsi="Times New Roman"/>
                <w:sz w:val="14"/>
                <w:szCs w:val="14"/>
              </w:rPr>
            </w:pPr>
            <w:r w:rsidRPr="009F2D1E">
              <w:rPr>
                <w:sz w:val="14"/>
                <w:szCs w:val="14"/>
              </w:rPr>
              <w:t>52467,89</w:t>
            </w:r>
          </w:p>
        </w:tc>
        <w:tc>
          <w:tcPr>
            <w:tcW w:w="1262" w:type="dxa"/>
            <w:tcBorders>
              <w:top w:val="nil"/>
              <w:left w:val="nil"/>
              <w:bottom w:val="single" w:sz="4" w:space="0" w:color="auto"/>
              <w:right w:val="single" w:sz="4" w:space="0" w:color="auto"/>
            </w:tcBorders>
            <w:shd w:val="clear" w:color="000000" w:fill="FFFFFF"/>
            <w:vAlign w:val="bottom"/>
          </w:tcPr>
          <w:p w14:paraId="613C1E02" w14:textId="77777777" w:rsidR="001D4AFA" w:rsidRPr="009F2D1E" w:rsidRDefault="001D4AFA" w:rsidP="009F2D1E">
            <w:pPr>
              <w:jc w:val="right"/>
              <w:rPr>
                <w:rFonts w:ascii="Times New Roman" w:hAnsi="Times New Roman"/>
                <w:sz w:val="14"/>
                <w:szCs w:val="14"/>
              </w:rPr>
            </w:pPr>
            <w:r w:rsidRPr="009F2D1E">
              <w:rPr>
                <w:sz w:val="14"/>
                <w:szCs w:val="14"/>
              </w:rPr>
              <w:t>51136,22</w:t>
            </w:r>
          </w:p>
        </w:tc>
      </w:tr>
      <w:tr w:rsidR="001D4AFA" w:rsidRPr="00364545" w14:paraId="51ABC424"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36D543C"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264" w:type="dxa"/>
            <w:tcBorders>
              <w:top w:val="nil"/>
              <w:left w:val="nil"/>
              <w:bottom w:val="single" w:sz="4" w:space="0" w:color="auto"/>
              <w:right w:val="single" w:sz="4" w:space="0" w:color="auto"/>
            </w:tcBorders>
            <w:shd w:val="clear" w:color="000000" w:fill="FFFFFF"/>
            <w:noWrap/>
            <w:vAlign w:val="bottom"/>
            <w:hideMark/>
          </w:tcPr>
          <w:p w14:paraId="144529A9" w14:textId="77777777" w:rsidR="001D4AFA" w:rsidRPr="009F2D1E" w:rsidRDefault="001D4AFA" w:rsidP="009F2D1E">
            <w:pPr>
              <w:jc w:val="right"/>
              <w:rPr>
                <w:rFonts w:ascii="Times New Roman" w:hAnsi="Times New Roman"/>
                <w:sz w:val="14"/>
                <w:szCs w:val="14"/>
              </w:rPr>
            </w:pPr>
            <w:r w:rsidRPr="009F2D1E">
              <w:rPr>
                <w:sz w:val="14"/>
                <w:szCs w:val="14"/>
              </w:rPr>
              <w:t>138589,80</w:t>
            </w:r>
          </w:p>
        </w:tc>
        <w:tc>
          <w:tcPr>
            <w:tcW w:w="1278" w:type="dxa"/>
            <w:tcBorders>
              <w:top w:val="nil"/>
              <w:left w:val="nil"/>
              <w:bottom w:val="single" w:sz="4" w:space="0" w:color="auto"/>
              <w:right w:val="single" w:sz="4" w:space="0" w:color="auto"/>
            </w:tcBorders>
            <w:shd w:val="clear" w:color="000000" w:fill="FFFFFF"/>
            <w:noWrap/>
            <w:vAlign w:val="bottom"/>
            <w:hideMark/>
          </w:tcPr>
          <w:p w14:paraId="3C5C0426" w14:textId="77777777" w:rsidR="001D4AFA" w:rsidRPr="009F2D1E" w:rsidRDefault="001D4AFA" w:rsidP="009F2D1E">
            <w:pPr>
              <w:jc w:val="right"/>
              <w:rPr>
                <w:rFonts w:ascii="Times New Roman" w:hAnsi="Times New Roman"/>
                <w:sz w:val="14"/>
                <w:szCs w:val="14"/>
              </w:rPr>
            </w:pPr>
            <w:r w:rsidRPr="009F2D1E">
              <w:rPr>
                <w:sz w:val="14"/>
                <w:szCs w:val="14"/>
              </w:rPr>
              <w:t>132915,14</w:t>
            </w:r>
          </w:p>
        </w:tc>
        <w:tc>
          <w:tcPr>
            <w:tcW w:w="1278" w:type="dxa"/>
            <w:tcBorders>
              <w:top w:val="nil"/>
              <w:left w:val="nil"/>
              <w:bottom w:val="single" w:sz="4" w:space="0" w:color="auto"/>
              <w:right w:val="single" w:sz="4" w:space="0" w:color="auto"/>
            </w:tcBorders>
            <w:shd w:val="clear" w:color="000000" w:fill="FFFFFF"/>
            <w:noWrap/>
            <w:vAlign w:val="bottom"/>
            <w:hideMark/>
          </w:tcPr>
          <w:p w14:paraId="3117F1C9" w14:textId="77777777" w:rsidR="001D4AFA" w:rsidRPr="009F2D1E" w:rsidRDefault="001D4AFA" w:rsidP="009F2D1E">
            <w:pPr>
              <w:jc w:val="right"/>
              <w:rPr>
                <w:rFonts w:ascii="Times New Roman" w:hAnsi="Times New Roman"/>
                <w:sz w:val="14"/>
                <w:szCs w:val="14"/>
              </w:rPr>
            </w:pPr>
            <w:r w:rsidRPr="009F2D1E">
              <w:rPr>
                <w:sz w:val="14"/>
                <w:szCs w:val="14"/>
              </w:rPr>
              <w:t>131408,96</w:t>
            </w:r>
          </w:p>
        </w:tc>
        <w:tc>
          <w:tcPr>
            <w:tcW w:w="1278" w:type="dxa"/>
            <w:tcBorders>
              <w:top w:val="nil"/>
              <w:left w:val="nil"/>
              <w:bottom w:val="single" w:sz="4" w:space="0" w:color="auto"/>
              <w:right w:val="single" w:sz="4" w:space="0" w:color="auto"/>
            </w:tcBorders>
            <w:shd w:val="clear" w:color="000000" w:fill="FFFFFF"/>
            <w:noWrap/>
            <w:vAlign w:val="bottom"/>
            <w:hideMark/>
          </w:tcPr>
          <w:p w14:paraId="7EA36689" w14:textId="77777777" w:rsidR="001D4AFA" w:rsidRPr="009F2D1E" w:rsidRDefault="001D4AFA" w:rsidP="009F2D1E">
            <w:pPr>
              <w:jc w:val="right"/>
              <w:rPr>
                <w:rFonts w:ascii="Times New Roman" w:hAnsi="Times New Roman"/>
                <w:sz w:val="14"/>
                <w:szCs w:val="14"/>
              </w:rPr>
            </w:pPr>
            <w:r w:rsidRPr="009F2D1E">
              <w:rPr>
                <w:sz w:val="14"/>
                <w:szCs w:val="14"/>
              </w:rPr>
              <w:t>132265,79</w:t>
            </w:r>
          </w:p>
        </w:tc>
        <w:tc>
          <w:tcPr>
            <w:tcW w:w="1278" w:type="dxa"/>
            <w:tcBorders>
              <w:top w:val="nil"/>
              <w:left w:val="nil"/>
              <w:bottom w:val="single" w:sz="4" w:space="0" w:color="auto"/>
              <w:right w:val="single" w:sz="4" w:space="0" w:color="auto"/>
            </w:tcBorders>
            <w:shd w:val="clear" w:color="000000" w:fill="FFFFFF"/>
            <w:noWrap/>
            <w:vAlign w:val="bottom"/>
            <w:hideMark/>
          </w:tcPr>
          <w:p w14:paraId="5DA190A7" w14:textId="77777777" w:rsidR="001D4AFA" w:rsidRPr="009F2D1E" w:rsidRDefault="001D4AFA" w:rsidP="009F2D1E">
            <w:pPr>
              <w:jc w:val="right"/>
              <w:rPr>
                <w:rFonts w:ascii="Times New Roman" w:hAnsi="Times New Roman"/>
                <w:sz w:val="14"/>
                <w:szCs w:val="14"/>
              </w:rPr>
            </w:pPr>
            <w:r w:rsidRPr="009F2D1E">
              <w:rPr>
                <w:sz w:val="14"/>
                <w:szCs w:val="14"/>
              </w:rPr>
              <w:t>133191,86</w:t>
            </w:r>
          </w:p>
        </w:tc>
        <w:tc>
          <w:tcPr>
            <w:tcW w:w="1262" w:type="dxa"/>
            <w:tcBorders>
              <w:top w:val="nil"/>
              <w:left w:val="nil"/>
              <w:bottom w:val="single" w:sz="4" w:space="0" w:color="auto"/>
              <w:right w:val="single" w:sz="4" w:space="0" w:color="auto"/>
            </w:tcBorders>
            <w:shd w:val="clear" w:color="000000" w:fill="FFFFFF"/>
            <w:vAlign w:val="bottom"/>
          </w:tcPr>
          <w:p w14:paraId="1A372C50" w14:textId="77777777" w:rsidR="001D4AFA" w:rsidRPr="009F2D1E" w:rsidRDefault="001D4AFA" w:rsidP="009F2D1E">
            <w:pPr>
              <w:jc w:val="right"/>
              <w:rPr>
                <w:rFonts w:ascii="Times New Roman" w:hAnsi="Times New Roman"/>
                <w:sz w:val="14"/>
                <w:szCs w:val="14"/>
              </w:rPr>
            </w:pPr>
            <w:r w:rsidRPr="009F2D1E">
              <w:rPr>
                <w:sz w:val="14"/>
                <w:szCs w:val="14"/>
              </w:rPr>
              <w:t>131486,27</w:t>
            </w:r>
          </w:p>
        </w:tc>
      </w:tr>
      <w:tr w:rsidR="001D4AFA" w:rsidRPr="00364545" w14:paraId="50DF7987"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5907311"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264" w:type="dxa"/>
            <w:tcBorders>
              <w:top w:val="nil"/>
              <w:left w:val="nil"/>
              <w:bottom w:val="single" w:sz="4" w:space="0" w:color="auto"/>
              <w:right w:val="single" w:sz="4" w:space="0" w:color="auto"/>
            </w:tcBorders>
            <w:shd w:val="clear" w:color="000000" w:fill="FFFFFF"/>
            <w:noWrap/>
            <w:vAlign w:val="bottom"/>
            <w:hideMark/>
          </w:tcPr>
          <w:p w14:paraId="519B32C9" w14:textId="77777777" w:rsidR="001D4AFA" w:rsidRPr="009F2D1E" w:rsidRDefault="001D4AFA" w:rsidP="009F2D1E">
            <w:pPr>
              <w:jc w:val="right"/>
              <w:rPr>
                <w:rFonts w:ascii="Times New Roman" w:hAnsi="Times New Roman"/>
                <w:sz w:val="14"/>
                <w:szCs w:val="14"/>
              </w:rPr>
            </w:pPr>
            <w:r w:rsidRPr="009F2D1E">
              <w:rPr>
                <w:sz w:val="14"/>
                <w:szCs w:val="14"/>
              </w:rPr>
              <w:t>89429,38</w:t>
            </w:r>
          </w:p>
        </w:tc>
        <w:tc>
          <w:tcPr>
            <w:tcW w:w="1278" w:type="dxa"/>
            <w:tcBorders>
              <w:top w:val="nil"/>
              <w:left w:val="nil"/>
              <w:bottom w:val="single" w:sz="4" w:space="0" w:color="auto"/>
              <w:right w:val="single" w:sz="4" w:space="0" w:color="auto"/>
            </w:tcBorders>
            <w:shd w:val="clear" w:color="000000" w:fill="FFFFFF"/>
            <w:noWrap/>
            <w:vAlign w:val="bottom"/>
            <w:hideMark/>
          </w:tcPr>
          <w:p w14:paraId="49F81A2B" w14:textId="77777777" w:rsidR="001D4AFA" w:rsidRPr="009F2D1E" w:rsidRDefault="001D4AFA" w:rsidP="009F2D1E">
            <w:pPr>
              <w:jc w:val="right"/>
              <w:rPr>
                <w:rFonts w:ascii="Times New Roman" w:hAnsi="Times New Roman"/>
                <w:sz w:val="14"/>
                <w:szCs w:val="14"/>
              </w:rPr>
            </w:pPr>
            <w:r w:rsidRPr="009F2D1E">
              <w:rPr>
                <w:sz w:val="14"/>
                <w:szCs w:val="14"/>
              </w:rPr>
              <w:t>96203,55</w:t>
            </w:r>
          </w:p>
        </w:tc>
        <w:tc>
          <w:tcPr>
            <w:tcW w:w="1278" w:type="dxa"/>
            <w:tcBorders>
              <w:top w:val="nil"/>
              <w:left w:val="nil"/>
              <w:bottom w:val="single" w:sz="4" w:space="0" w:color="auto"/>
              <w:right w:val="single" w:sz="4" w:space="0" w:color="auto"/>
            </w:tcBorders>
            <w:shd w:val="clear" w:color="000000" w:fill="FFFFFF"/>
            <w:noWrap/>
            <w:vAlign w:val="bottom"/>
            <w:hideMark/>
          </w:tcPr>
          <w:p w14:paraId="4E10B298" w14:textId="77777777" w:rsidR="001D4AFA" w:rsidRPr="009F2D1E" w:rsidRDefault="001D4AFA" w:rsidP="009F2D1E">
            <w:pPr>
              <w:jc w:val="right"/>
              <w:rPr>
                <w:rFonts w:ascii="Times New Roman" w:hAnsi="Times New Roman"/>
                <w:sz w:val="14"/>
                <w:szCs w:val="14"/>
              </w:rPr>
            </w:pPr>
            <w:r w:rsidRPr="009F2D1E">
              <w:rPr>
                <w:sz w:val="14"/>
                <w:szCs w:val="14"/>
              </w:rPr>
              <w:t>98624,62</w:t>
            </w:r>
          </w:p>
        </w:tc>
        <w:tc>
          <w:tcPr>
            <w:tcW w:w="1278" w:type="dxa"/>
            <w:tcBorders>
              <w:top w:val="nil"/>
              <w:left w:val="nil"/>
              <w:bottom w:val="single" w:sz="4" w:space="0" w:color="auto"/>
              <w:right w:val="single" w:sz="4" w:space="0" w:color="auto"/>
            </w:tcBorders>
            <w:shd w:val="clear" w:color="000000" w:fill="FFFFFF"/>
            <w:noWrap/>
            <w:vAlign w:val="bottom"/>
            <w:hideMark/>
          </w:tcPr>
          <w:p w14:paraId="71A05C4A" w14:textId="77777777" w:rsidR="001D4AFA" w:rsidRPr="009F2D1E" w:rsidRDefault="001D4AFA" w:rsidP="009F2D1E">
            <w:pPr>
              <w:jc w:val="right"/>
              <w:rPr>
                <w:rFonts w:ascii="Times New Roman" w:hAnsi="Times New Roman"/>
                <w:sz w:val="14"/>
                <w:szCs w:val="14"/>
              </w:rPr>
            </w:pPr>
            <w:r w:rsidRPr="009F2D1E">
              <w:rPr>
                <w:sz w:val="14"/>
                <w:szCs w:val="14"/>
              </w:rPr>
              <w:t>96196,18</w:t>
            </w:r>
          </w:p>
        </w:tc>
        <w:tc>
          <w:tcPr>
            <w:tcW w:w="1278" w:type="dxa"/>
            <w:tcBorders>
              <w:top w:val="nil"/>
              <w:left w:val="nil"/>
              <w:bottom w:val="single" w:sz="4" w:space="0" w:color="auto"/>
              <w:right w:val="single" w:sz="4" w:space="0" w:color="auto"/>
            </w:tcBorders>
            <w:shd w:val="clear" w:color="000000" w:fill="FFFFFF"/>
            <w:noWrap/>
            <w:vAlign w:val="bottom"/>
            <w:hideMark/>
          </w:tcPr>
          <w:p w14:paraId="30017261" w14:textId="77777777" w:rsidR="001D4AFA" w:rsidRPr="009F2D1E" w:rsidRDefault="001D4AFA" w:rsidP="009F2D1E">
            <w:pPr>
              <w:jc w:val="right"/>
              <w:rPr>
                <w:rFonts w:ascii="Times New Roman" w:hAnsi="Times New Roman"/>
                <w:sz w:val="14"/>
                <w:szCs w:val="14"/>
              </w:rPr>
            </w:pPr>
            <w:r w:rsidRPr="009F2D1E">
              <w:rPr>
                <w:sz w:val="14"/>
                <w:szCs w:val="14"/>
              </w:rPr>
              <w:t>81814,08</w:t>
            </w:r>
          </w:p>
        </w:tc>
        <w:tc>
          <w:tcPr>
            <w:tcW w:w="1262" w:type="dxa"/>
            <w:tcBorders>
              <w:top w:val="nil"/>
              <w:left w:val="nil"/>
              <w:bottom w:val="single" w:sz="4" w:space="0" w:color="auto"/>
              <w:right w:val="single" w:sz="4" w:space="0" w:color="auto"/>
            </w:tcBorders>
            <w:shd w:val="clear" w:color="000000" w:fill="FFFFFF"/>
            <w:vAlign w:val="bottom"/>
          </w:tcPr>
          <w:p w14:paraId="428DB181" w14:textId="77777777" w:rsidR="001D4AFA" w:rsidRPr="009F2D1E" w:rsidRDefault="001D4AFA" w:rsidP="009F2D1E">
            <w:pPr>
              <w:jc w:val="right"/>
              <w:rPr>
                <w:rFonts w:ascii="Times New Roman" w:hAnsi="Times New Roman"/>
                <w:sz w:val="14"/>
                <w:szCs w:val="14"/>
              </w:rPr>
            </w:pPr>
            <w:r w:rsidRPr="009F2D1E">
              <w:rPr>
                <w:sz w:val="14"/>
                <w:szCs w:val="14"/>
              </w:rPr>
              <w:t>87745,20</w:t>
            </w:r>
          </w:p>
        </w:tc>
      </w:tr>
      <w:tr w:rsidR="001D4AFA" w:rsidRPr="00364545" w14:paraId="697AC0A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8461DD1"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264" w:type="dxa"/>
            <w:tcBorders>
              <w:top w:val="nil"/>
              <w:left w:val="nil"/>
              <w:bottom w:val="single" w:sz="4" w:space="0" w:color="auto"/>
              <w:right w:val="single" w:sz="4" w:space="0" w:color="auto"/>
            </w:tcBorders>
            <w:shd w:val="clear" w:color="000000" w:fill="FFFFFF"/>
            <w:noWrap/>
            <w:vAlign w:val="bottom"/>
            <w:hideMark/>
          </w:tcPr>
          <w:p w14:paraId="24F29260" w14:textId="77777777" w:rsidR="001D4AFA" w:rsidRPr="009F2D1E" w:rsidRDefault="001D4AFA" w:rsidP="009F2D1E">
            <w:pPr>
              <w:jc w:val="right"/>
              <w:rPr>
                <w:rFonts w:ascii="Times New Roman" w:hAnsi="Times New Roman"/>
                <w:sz w:val="14"/>
                <w:szCs w:val="14"/>
              </w:rPr>
            </w:pPr>
            <w:r w:rsidRPr="009F2D1E">
              <w:rPr>
                <w:sz w:val="14"/>
                <w:szCs w:val="14"/>
              </w:rPr>
              <w:t>2518,82</w:t>
            </w:r>
          </w:p>
        </w:tc>
        <w:tc>
          <w:tcPr>
            <w:tcW w:w="1278" w:type="dxa"/>
            <w:tcBorders>
              <w:top w:val="nil"/>
              <w:left w:val="nil"/>
              <w:bottom w:val="single" w:sz="4" w:space="0" w:color="auto"/>
              <w:right w:val="single" w:sz="4" w:space="0" w:color="auto"/>
            </w:tcBorders>
            <w:shd w:val="clear" w:color="000000" w:fill="FFFFFF"/>
            <w:noWrap/>
            <w:vAlign w:val="bottom"/>
            <w:hideMark/>
          </w:tcPr>
          <w:p w14:paraId="08E6303D" w14:textId="77777777" w:rsidR="001D4AFA" w:rsidRPr="009F2D1E" w:rsidRDefault="001D4AFA" w:rsidP="009F2D1E">
            <w:pPr>
              <w:jc w:val="right"/>
              <w:rPr>
                <w:rFonts w:ascii="Times New Roman" w:hAnsi="Times New Roman"/>
                <w:sz w:val="14"/>
                <w:szCs w:val="14"/>
              </w:rPr>
            </w:pPr>
            <w:r w:rsidRPr="009F2D1E">
              <w:rPr>
                <w:sz w:val="14"/>
                <w:szCs w:val="14"/>
              </w:rPr>
              <w:t>2534,36</w:t>
            </w:r>
          </w:p>
        </w:tc>
        <w:tc>
          <w:tcPr>
            <w:tcW w:w="1278" w:type="dxa"/>
            <w:tcBorders>
              <w:top w:val="nil"/>
              <w:left w:val="nil"/>
              <w:bottom w:val="single" w:sz="4" w:space="0" w:color="auto"/>
              <w:right w:val="single" w:sz="4" w:space="0" w:color="auto"/>
            </w:tcBorders>
            <w:shd w:val="clear" w:color="000000" w:fill="FFFFFF"/>
            <w:noWrap/>
            <w:vAlign w:val="bottom"/>
            <w:hideMark/>
          </w:tcPr>
          <w:p w14:paraId="01D552F4" w14:textId="77777777" w:rsidR="001D4AFA" w:rsidRPr="009F2D1E" w:rsidRDefault="001D4AFA" w:rsidP="009F2D1E">
            <w:pPr>
              <w:jc w:val="right"/>
              <w:rPr>
                <w:rFonts w:ascii="Times New Roman" w:hAnsi="Times New Roman"/>
                <w:sz w:val="14"/>
                <w:szCs w:val="14"/>
              </w:rPr>
            </w:pPr>
            <w:r w:rsidRPr="009F2D1E">
              <w:rPr>
                <w:sz w:val="14"/>
                <w:szCs w:val="14"/>
              </w:rPr>
              <w:t>2256,68</w:t>
            </w:r>
          </w:p>
        </w:tc>
        <w:tc>
          <w:tcPr>
            <w:tcW w:w="1278" w:type="dxa"/>
            <w:tcBorders>
              <w:top w:val="nil"/>
              <w:left w:val="nil"/>
              <w:bottom w:val="single" w:sz="4" w:space="0" w:color="auto"/>
              <w:right w:val="single" w:sz="4" w:space="0" w:color="auto"/>
            </w:tcBorders>
            <w:shd w:val="clear" w:color="000000" w:fill="FFFFFF"/>
            <w:noWrap/>
            <w:vAlign w:val="bottom"/>
            <w:hideMark/>
          </w:tcPr>
          <w:p w14:paraId="6FDC165B" w14:textId="77777777" w:rsidR="001D4AFA" w:rsidRPr="009F2D1E" w:rsidRDefault="001D4AFA" w:rsidP="009F2D1E">
            <w:pPr>
              <w:jc w:val="right"/>
              <w:rPr>
                <w:rFonts w:ascii="Times New Roman" w:hAnsi="Times New Roman"/>
                <w:sz w:val="14"/>
                <w:szCs w:val="14"/>
              </w:rPr>
            </w:pPr>
            <w:r w:rsidRPr="009F2D1E">
              <w:rPr>
                <w:sz w:val="14"/>
                <w:szCs w:val="14"/>
              </w:rPr>
              <w:t>2258,22</w:t>
            </w:r>
          </w:p>
        </w:tc>
        <w:tc>
          <w:tcPr>
            <w:tcW w:w="1278" w:type="dxa"/>
            <w:tcBorders>
              <w:top w:val="nil"/>
              <w:left w:val="nil"/>
              <w:bottom w:val="single" w:sz="4" w:space="0" w:color="auto"/>
              <w:right w:val="single" w:sz="4" w:space="0" w:color="auto"/>
            </w:tcBorders>
            <w:shd w:val="clear" w:color="000000" w:fill="FFFFFF"/>
            <w:noWrap/>
            <w:vAlign w:val="bottom"/>
            <w:hideMark/>
          </w:tcPr>
          <w:p w14:paraId="69529858" w14:textId="77777777" w:rsidR="001D4AFA" w:rsidRPr="009F2D1E" w:rsidRDefault="001D4AFA" w:rsidP="009F2D1E">
            <w:pPr>
              <w:jc w:val="right"/>
              <w:rPr>
                <w:rFonts w:ascii="Times New Roman" w:hAnsi="Times New Roman"/>
                <w:sz w:val="14"/>
                <w:szCs w:val="14"/>
              </w:rPr>
            </w:pPr>
            <w:r w:rsidRPr="009F2D1E">
              <w:rPr>
                <w:sz w:val="14"/>
                <w:szCs w:val="14"/>
              </w:rPr>
              <w:t>2650,62</w:t>
            </w:r>
          </w:p>
        </w:tc>
        <w:tc>
          <w:tcPr>
            <w:tcW w:w="1262" w:type="dxa"/>
            <w:tcBorders>
              <w:top w:val="nil"/>
              <w:left w:val="nil"/>
              <w:bottom w:val="single" w:sz="4" w:space="0" w:color="auto"/>
              <w:right w:val="single" w:sz="4" w:space="0" w:color="auto"/>
            </w:tcBorders>
            <w:shd w:val="clear" w:color="000000" w:fill="FFFFFF"/>
            <w:vAlign w:val="bottom"/>
          </w:tcPr>
          <w:p w14:paraId="20AB5F7B" w14:textId="77777777" w:rsidR="001D4AFA" w:rsidRPr="009F2D1E" w:rsidRDefault="001D4AFA" w:rsidP="009F2D1E">
            <w:pPr>
              <w:jc w:val="right"/>
              <w:rPr>
                <w:rFonts w:ascii="Times New Roman" w:hAnsi="Times New Roman"/>
                <w:sz w:val="14"/>
                <w:szCs w:val="14"/>
              </w:rPr>
            </w:pPr>
            <w:r w:rsidRPr="009F2D1E">
              <w:rPr>
                <w:sz w:val="14"/>
                <w:szCs w:val="14"/>
              </w:rPr>
              <w:t>2283,65</w:t>
            </w:r>
          </w:p>
        </w:tc>
      </w:tr>
      <w:tr w:rsidR="001D4AFA" w:rsidRPr="00364545" w14:paraId="158E4B6C"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53DD81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264" w:type="dxa"/>
            <w:tcBorders>
              <w:top w:val="nil"/>
              <w:left w:val="nil"/>
              <w:bottom w:val="single" w:sz="4" w:space="0" w:color="auto"/>
              <w:right w:val="single" w:sz="4" w:space="0" w:color="auto"/>
            </w:tcBorders>
            <w:shd w:val="clear" w:color="000000" w:fill="CCFFFF"/>
            <w:noWrap/>
            <w:vAlign w:val="bottom"/>
            <w:hideMark/>
          </w:tcPr>
          <w:p w14:paraId="50984CF0" w14:textId="77777777" w:rsidR="001D4AFA" w:rsidRPr="009F2D1E" w:rsidRDefault="001D4AFA" w:rsidP="009F2D1E">
            <w:pPr>
              <w:jc w:val="right"/>
              <w:rPr>
                <w:rFonts w:ascii="Times New Roman" w:hAnsi="Times New Roman"/>
                <w:sz w:val="14"/>
                <w:szCs w:val="14"/>
              </w:rPr>
            </w:pPr>
            <w:r w:rsidRPr="009F2D1E">
              <w:rPr>
                <w:sz w:val="14"/>
                <w:szCs w:val="14"/>
              </w:rPr>
              <w:t>4625,31</w:t>
            </w:r>
          </w:p>
        </w:tc>
        <w:tc>
          <w:tcPr>
            <w:tcW w:w="1278" w:type="dxa"/>
            <w:tcBorders>
              <w:top w:val="nil"/>
              <w:left w:val="nil"/>
              <w:bottom w:val="single" w:sz="4" w:space="0" w:color="auto"/>
              <w:right w:val="single" w:sz="4" w:space="0" w:color="auto"/>
            </w:tcBorders>
            <w:shd w:val="clear" w:color="000000" w:fill="CCFFFF"/>
            <w:noWrap/>
            <w:vAlign w:val="bottom"/>
            <w:hideMark/>
          </w:tcPr>
          <w:p w14:paraId="7DCC77D0" w14:textId="77777777" w:rsidR="001D4AFA" w:rsidRPr="009F2D1E" w:rsidRDefault="001D4AFA" w:rsidP="009F2D1E">
            <w:pPr>
              <w:jc w:val="right"/>
              <w:rPr>
                <w:rFonts w:ascii="Times New Roman" w:hAnsi="Times New Roman"/>
                <w:sz w:val="14"/>
                <w:szCs w:val="14"/>
              </w:rPr>
            </w:pPr>
            <w:r w:rsidRPr="009F2D1E">
              <w:rPr>
                <w:sz w:val="14"/>
                <w:szCs w:val="14"/>
              </w:rPr>
              <w:t>4911,00</w:t>
            </w:r>
          </w:p>
        </w:tc>
        <w:tc>
          <w:tcPr>
            <w:tcW w:w="1278" w:type="dxa"/>
            <w:tcBorders>
              <w:top w:val="nil"/>
              <w:left w:val="nil"/>
              <w:bottom w:val="single" w:sz="4" w:space="0" w:color="auto"/>
              <w:right w:val="single" w:sz="4" w:space="0" w:color="auto"/>
            </w:tcBorders>
            <w:shd w:val="clear" w:color="000000" w:fill="CCFFFF"/>
            <w:noWrap/>
            <w:vAlign w:val="bottom"/>
            <w:hideMark/>
          </w:tcPr>
          <w:p w14:paraId="281D6498" w14:textId="77777777" w:rsidR="001D4AFA" w:rsidRPr="009F2D1E" w:rsidRDefault="001D4AFA" w:rsidP="009F2D1E">
            <w:pPr>
              <w:jc w:val="right"/>
              <w:rPr>
                <w:rFonts w:ascii="Times New Roman" w:hAnsi="Times New Roman"/>
                <w:sz w:val="14"/>
                <w:szCs w:val="14"/>
              </w:rPr>
            </w:pPr>
            <w:r w:rsidRPr="009F2D1E">
              <w:rPr>
                <w:sz w:val="14"/>
                <w:szCs w:val="14"/>
              </w:rPr>
              <w:t>4630,17</w:t>
            </w:r>
          </w:p>
        </w:tc>
        <w:tc>
          <w:tcPr>
            <w:tcW w:w="1278" w:type="dxa"/>
            <w:tcBorders>
              <w:top w:val="nil"/>
              <w:left w:val="nil"/>
              <w:bottom w:val="single" w:sz="4" w:space="0" w:color="auto"/>
              <w:right w:val="single" w:sz="4" w:space="0" w:color="auto"/>
            </w:tcBorders>
            <w:shd w:val="clear" w:color="000000" w:fill="CCFFFF"/>
            <w:noWrap/>
            <w:vAlign w:val="bottom"/>
            <w:hideMark/>
          </w:tcPr>
          <w:p w14:paraId="0AA8E2C7" w14:textId="77777777" w:rsidR="001D4AFA" w:rsidRPr="009F2D1E" w:rsidRDefault="001D4AFA" w:rsidP="009F2D1E">
            <w:pPr>
              <w:jc w:val="right"/>
              <w:rPr>
                <w:rFonts w:ascii="Times New Roman" w:hAnsi="Times New Roman"/>
                <w:sz w:val="14"/>
                <w:szCs w:val="14"/>
              </w:rPr>
            </w:pPr>
            <w:r w:rsidRPr="009F2D1E">
              <w:rPr>
                <w:sz w:val="14"/>
                <w:szCs w:val="14"/>
              </w:rPr>
              <w:t>4221,36</w:t>
            </w:r>
          </w:p>
        </w:tc>
        <w:tc>
          <w:tcPr>
            <w:tcW w:w="1278" w:type="dxa"/>
            <w:tcBorders>
              <w:top w:val="nil"/>
              <w:left w:val="nil"/>
              <w:bottom w:val="single" w:sz="4" w:space="0" w:color="auto"/>
              <w:right w:val="single" w:sz="4" w:space="0" w:color="auto"/>
            </w:tcBorders>
            <w:shd w:val="clear" w:color="000000" w:fill="CCFFFF"/>
            <w:noWrap/>
            <w:vAlign w:val="bottom"/>
            <w:hideMark/>
          </w:tcPr>
          <w:p w14:paraId="0C10B1AE" w14:textId="77777777" w:rsidR="001D4AFA" w:rsidRPr="009F2D1E" w:rsidRDefault="001D4AFA" w:rsidP="009F2D1E">
            <w:pPr>
              <w:jc w:val="right"/>
              <w:rPr>
                <w:rFonts w:ascii="Times New Roman" w:hAnsi="Times New Roman"/>
                <w:sz w:val="14"/>
                <w:szCs w:val="14"/>
              </w:rPr>
            </w:pPr>
            <w:r w:rsidRPr="009F2D1E">
              <w:rPr>
                <w:sz w:val="14"/>
                <w:szCs w:val="14"/>
              </w:rPr>
              <w:t>3991,03</w:t>
            </w:r>
          </w:p>
        </w:tc>
        <w:tc>
          <w:tcPr>
            <w:tcW w:w="1262" w:type="dxa"/>
            <w:tcBorders>
              <w:top w:val="nil"/>
              <w:left w:val="nil"/>
              <w:bottom w:val="single" w:sz="4" w:space="0" w:color="auto"/>
              <w:right w:val="single" w:sz="4" w:space="0" w:color="auto"/>
            </w:tcBorders>
            <w:shd w:val="clear" w:color="000000" w:fill="CCFFFF"/>
            <w:vAlign w:val="bottom"/>
          </w:tcPr>
          <w:p w14:paraId="777D1B54" w14:textId="77777777" w:rsidR="001D4AFA" w:rsidRPr="009F2D1E" w:rsidRDefault="001D4AFA" w:rsidP="009F2D1E">
            <w:pPr>
              <w:jc w:val="right"/>
              <w:rPr>
                <w:rFonts w:ascii="Times New Roman" w:hAnsi="Times New Roman"/>
                <w:sz w:val="14"/>
                <w:szCs w:val="14"/>
              </w:rPr>
            </w:pPr>
            <w:r w:rsidRPr="009F2D1E">
              <w:rPr>
                <w:sz w:val="14"/>
                <w:szCs w:val="14"/>
              </w:rPr>
              <w:t>3402,28</w:t>
            </w:r>
          </w:p>
        </w:tc>
      </w:tr>
      <w:tr w:rsidR="001D4AFA" w:rsidRPr="00364545" w14:paraId="600AA9D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EF022EA"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264" w:type="dxa"/>
            <w:tcBorders>
              <w:top w:val="nil"/>
              <w:left w:val="nil"/>
              <w:bottom w:val="single" w:sz="4" w:space="0" w:color="auto"/>
              <w:right w:val="single" w:sz="4" w:space="0" w:color="auto"/>
            </w:tcBorders>
            <w:shd w:val="clear" w:color="000000" w:fill="FFFFFF"/>
            <w:noWrap/>
            <w:vAlign w:val="bottom"/>
            <w:hideMark/>
          </w:tcPr>
          <w:p w14:paraId="2D7812B9"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72730105"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40FB1766"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7BBD842F"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3085010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798435A3"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381C55E6"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422B896"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264" w:type="dxa"/>
            <w:tcBorders>
              <w:top w:val="nil"/>
              <w:left w:val="nil"/>
              <w:bottom w:val="single" w:sz="4" w:space="0" w:color="auto"/>
              <w:right w:val="single" w:sz="4" w:space="0" w:color="auto"/>
            </w:tcBorders>
            <w:shd w:val="clear" w:color="000000" w:fill="FFFFFF"/>
            <w:noWrap/>
            <w:vAlign w:val="bottom"/>
            <w:hideMark/>
          </w:tcPr>
          <w:p w14:paraId="1310024D" w14:textId="77777777" w:rsidR="001D4AFA" w:rsidRPr="009F2D1E" w:rsidRDefault="001D4AFA" w:rsidP="009F2D1E">
            <w:pPr>
              <w:jc w:val="right"/>
              <w:rPr>
                <w:rFonts w:ascii="Times New Roman" w:hAnsi="Times New Roman"/>
                <w:sz w:val="14"/>
                <w:szCs w:val="14"/>
              </w:rPr>
            </w:pPr>
            <w:r w:rsidRPr="009F2D1E">
              <w:rPr>
                <w:sz w:val="14"/>
                <w:szCs w:val="14"/>
              </w:rPr>
              <w:t>4625,31</w:t>
            </w:r>
          </w:p>
        </w:tc>
        <w:tc>
          <w:tcPr>
            <w:tcW w:w="1278" w:type="dxa"/>
            <w:tcBorders>
              <w:top w:val="nil"/>
              <w:left w:val="nil"/>
              <w:bottom w:val="single" w:sz="4" w:space="0" w:color="auto"/>
              <w:right w:val="single" w:sz="4" w:space="0" w:color="auto"/>
            </w:tcBorders>
            <w:shd w:val="clear" w:color="000000" w:fill="FFFFFF"/>
            <w:noWrap/>
            <w:vAlign w:val="bottom"/>
            <w:hideMark/>
          </w:tcPr>
          <w:p w14:paraId="6834F31A" w14:textId="77777777" w:rsidR="001D4AFA" w:rsidRPr="009F2D1E" w:rsidRDefault="001D4AFA" w:rsidP="009F2D1E">
            <w:pPr>
              <w:jc w:val="right"/>
              <w:rPr>
                <w:rFonts w:ascii="Times New Roman" w:hAnsi="Times New Roman"/>
                <w:sz w:val="14"/>
                <w:szCs w:val="14"/>
              </w:rPr>
            </w:pPr>
            <w:r w:rsidRPr="009F2D1E">
              <w:rPr>
                <w:sz w:val="14"/>
                <w:szCs w:val="14"/>
              </w:rPr>
              <w:t>4911,00</w:t>
            </w:r>
          </w:p>
        </w:tc>
        <w:tc>
          <w:tcPr>
            <w:tcW w:w="1278" w:type="dxa"/>
            <w:tcBorders>
              <w:top w:val="nil"/>
              <w:left w:val="nil"/>
              <w:bottom w:val="single" w:sz="4" w:space="0" w:color="auto"/>
              <w:right w:val="single" w:sz="4" w:space="0" w:color="auto"/>
            </w:tcBorders>
            <w:shd w:val="clear" w:color="000000" w:fill="FFFFFF"/>
            <w:noWrap/>
            <w:vAlign w:val="bottom"/>
            <w:hideMark/>
          </w:tcPr>
          <w:p w14:paraId="525F0FF3" w14:textId="77777777" w:rsidR="001D4AFA" w:rsidRPr="009F2D1E" w:rsidRDefault="001D4AFA" w:rsidP="009F2D1E">
            <w:pPr>
              <w:jc w:val="right"/>
              <w:rPr>
                <w:rFonts w:ascii="Times New Roman" w:hAnsi="Times New Roman"/>
                <w:sz w:val="14"/>
                <w:szCs w:val="14"/>
              </w:rPr>
            </w:pPr>
            <w:r w:rsidRPr="009F2D1E">
              <w:rPr>
                <w:sz w:val="14"/>
                <w:szCs w:val="14"/>
              </w:rPr>
              <w:t>4630,17</w:t>
            </w:r>
          </w:p>
        </w:tc>
        <w:tc>
          <w:tcPr>
            <w:tcW w:w="1278" w:type="dxa"/>
            <w:tcBorders>
              <w:top w:val="nil"/>
              <w:left w:val="nil"/>
              <w:bottom w:val="single" w:sz="4" w:space="0" w:color="auto"/>
              <w:right w:val="single" w:sz="4" w:space="0" w:color="auto"/>
            </w:tcBorders>
            <w:shd w:val="clear" w:color="000000" w:fill="FFFFFF"/>
            <w:noWrap/>
            <w:vAlign w:val="bottom"/>
            <w:hideMark/>
          </w:tcPr>
          <w:p w14:paraId="23F3BF83" w14:textId="77777777" w:rsidR="001D4AFA" w:rsidRPr="009F2D1E" w:rsidRDefault="001D4AFA" w:rsidP="009F2D1E">
            <w:pPr>
              <w:jc w:val="right"/>
              <w:rPr>
                <w:rFonts w:ascii="Times New Roman" w:hAnsi="Times New Roman"/>
                <w:sz w:val="14"/>
                <w:szCs w:val="14"/>
              </w:rPr>
            </w:pPr>
            <w:r w:rsidRPr="009F2D1E">
              <w:rPr>
                <w:sz w:val="14"/>
                <w:szCs w:val="14"/>
              </w:rPr>
              <w:t>4221,36</w:t>
            </w:r>
          </w:p>
        </w:tc>
        <w:tc>
          <w:tcPr>
            <w:tcW w:w="1278" w:type="dxa"/>
            <w:tcBorders>
              <w:top w:val="nil"/>
              <w:left w:val="nil"/>
              <w:bottom w:val="single" w:sz="4" w:space="0" w:color="auto"/>
              <w:right w:val="single" w:sz="4" w:space="0" w:color="auto"/>
            </w:tcBorders>
            <w:shd w:val="clear" w:color="000000" w:fill="FFFFFF"/>
            <w:noWrap/>
            <w:vAlign w:val="bottom"/>
            <w:hideMark/>
          </w:tcPr>
          <w:p w14:paraId="5906BD16" w14:textId="77777777" w:rsidR="001D4AFA" w:rsidRPr="009F2D1E" w:rsidRDefault="001D4AFA" w:rsidP="009F2D1E">
            <w:pPr>
              <w:jc w:val="right"/>
              <w:rPr>
                <w:rFonts w:ascii="Times New Roman" w:hAnsi="Times New Roman"/>
                <w:sz w:val="14"/>
                <w:szCs w:val="14"/>
              </w:rPr>
            </w:pPr>
            <w:r w:rsidRPr="009F2D1E">
              <w:rPr>
                <w:sz w:val="14"/>
                <w:szCs w:val="14"/>
              </w:rPr>
              <w:t>3991,03</w:t>
            </w:r>
          </w:p>
        </w:tc>
        <w:tc>
          <w:tcPr>
            <w:tcW w:w="1262" w:type="dxa"/>
            <w:tcBorders>
              <w:top w:val="nil"/>
              <w:left w:val="nil"/>
              <w:bottom w:val="single" w:sz="4" w:space="0" w:color="auto"/>
              <w:right w:val="single" w:sz="4" w:space="0" w:color="auto"/>
            </w:tcBorders>
            <w:shd w:val="clear" w:color="000000" w:fill="FFFFFF"/>
            <w:vAlign w:val="bottom"/>
          </w:tcPr>
          <w:p w14:paraId="7290CD2E" w14:textId="77777777" w:rsidR="001D4AFA" w:rsidRPr="009F2D1E" w:rsidRDefault="001D4AFA" w:rsidP="009F2D1E">
            <w:pPr>
              <w:jc w:val="right"/>
              <w:rPr>
                <w:rFonts w:ascii="Times New Roman" w:hAnsi="Times New Roman"/>
                <w:sz w:val="14"/>
                <w:szCs w:val="14"/>
              </w:rPr>
            </w:pPr>
            <w:r w:rsidRPr="009F2D1E">
              <w:rPr>
                <w:sz w:val="14"/>
                <w:szCs w:val="14"/>
              </w:rPr>
              <w:t>3402,28</w:t>
            </w:r>
          </w:p>
        </w:tc>
      </w:tr>
      <w:tr w:rsidR="001D4AFA" w:rsidRPr="00364545" w14:paraId="74A5383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218198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264" w:type="dxa"/>
            <w:tcBorders>
              <w:top w:val="nil"/>
              <w:left w:val="nil"/>
              <w:bottom w:val="single" w:sz="4" w:space="0" w:color="auto"/>
              <w:right w:val="single" w:sz="4" w:space="0" w:color="auto"/>
            </w:tcBorders>
            <w:shd w:val="clear" w:color="000000" w:fill="FFFFFF"/>
            <w:noWrap/>
            <w:vAlign w:val="bottom"/>
            <w:hideMark/>
          </w:tcPr>
          <w:p w14:paraId="6197C94C"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7125B7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364C1C4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20E4C7A7" w14:textId="77777777" w:rsidR="001D4AFA" w:rsidRPr="009F2D1E" w:rsidRDefault="001D4AFA" w:rsidP="009F2D1E">
            <w:pPr>
              <w:jc w:val="right"/>
              <w:rPr>
                <w:rFonts w:ascii="Times New Roman" w:hAnsi="Times New Roman"/>
                <w:sz w:val="14"/>
                <w:szCs w:val="14"/>
              </w:rPr>
            </w:pPr>
            <w:r w:rsidRPr="009F2D1E">
              <w:rPr>
                <w:sz w:val="14"/>
                <w:szCs w:val="14"/>
              </w:rPr>
              <w:t>NO,IE</w:t>
            </w:r>
          </w:p>
        </w:tc>
        <w:tc>
          <w:tcPr>
            <w:tcW w:w="1278" w:type="dxa"/>
            <w:tcBorders>
              <w:top w:val="nil"/>
              <w:left w:val="nil"/>
              <w:bottom w:val="single" w:sz="4" w:space="0" w:color="auto"/>
              <w:right w:val="single" w:sz="4" w:space="0" w:color="auto"/>
            </w:tcBorders>
            <w:shd w:val="clear" w:color="000000" w:fill="FFFFFF"/>
            <w:noWrap/>
            <w:vAlign w:val="bottom"/>
            <w:hideMark/>
          </w:tcPr>
          <w:p w14:paraId="03CC0393" w14:textId="77777777" w:rsidR="001D4AFA" w:rsidRPr="009F2D1E" w:rsidRDefault="001D4AFA" w:rsidP="009F2D1E">
            <w:pPr>
              <w:jc w:val="right"/>
              <w:rPr>
                <w:rFonts w:ascii="Times New Roman" w:hAnsi="Times New Roman"/>
                <w:sz w:val="14"/>
                <w:szCs w:val="14"/>
              </w:rPr>
            </w:pPr>
            <w:r w:rsidRPr="009F2D1E">
              <w:rPr>
                <w:sz w:val="14"/>
                <w:szCs w:val="14"/>
              </w:rPr>
              <w:t>NO,IE</w:t>
            </w:r>
          </w:p>
        </w:tc>
        <w:tc>
          <w:tcPr>
            <w:tcW w:w="1262" w:type="dxa"/>
            <w:tcBorders>
              <w:top w:val="nil"/>
              <w:left w:val="nil"/>
              <w:bottom w:val="single" w:sz="4" w:space="0" w:color="auto"/>
              <w:right w:val="single" w:sz="4" w:space="0" w:color="auto"/>
            </w:tcBorders>
            <w:shd w:val="clear" w:color="000000" w:fill="FFFFFF"/>
            <w:vAlign w:val="bottom"/>
          </w:tcPr>
          <w:p w14:paraId="44B1D0D4" w14:textId="77777777" w:rsidR="001D4AFA" w:rsidRPr="009F2D1E" w:rsidRDefault="001D4AFA" w:rsidP="009F2D1E">
            <w:pPr>
              <w:jc w:val="right"/>
              <w:rPr>
                <w:rFonts w:ascii="Times New Roman" w:hAnsi="Times New Roman"/>
                <w:sz w:val="14"/>
                <w:szCs w:val="14"/>
              </w:rPr>
            </w:pPr>
            <w:r w:rsidRPr="009F2D1E">
              <w:rPr>
                <w:sz w:val="14"/>
                <w:szCs w:val="14"/>
              </w:rPr>
              <w:t>NO,IE</w:t>
            </w:r>
          </w:p>
        </w:tc>
      </w:tr>
      <w:tr w:rsidR="001D4AFA" w:rsidRPr="00364545" w14:paraId="55CE67BC"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16AA91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2. Industrial Processes</w:t>
            </w:r>
          </w:p>
        </w:tc>
        <w:tc>
          <w:tcPr>
            <w:tcW w:w="1264" w:type="dxa"/>
            <w:tcBorders>
              <w:top w:val="nil"/>
              <w:left w:val="nil"/>
              <w:bottom w:val="single" w:sz="4" w:space="0" w:color="auto"/>
              <w:right w:val="single" w:sz="4" w:space="0" w:color="auto"/>
            </w:tcBorders>
            <w:shd w:val="clear" w:color="000000" w:fill="CCFFFF"/>
            <w:noWrap/>
            <w:vAlign w:val="bottom"/>
            <w:hideMark/>
          </w:tcPr>
          <w:p w14:paraId="73E4BA3A" w14:textId="77777777" w:rsidR="001D4AFA" w:rsidRPr="009F2D1E" w:rsidRDefault="001D4AFA" w:rsidP="009F2D1E">
            <w:pPr>
              <w:jc w:val="right"/>
              <w:rPr>
                <w:rFonts w:ascii="Times New Roman" w:hAnsi="Times New Roman"/>
                <w:sz w:val="14"/>
                <w:szCs w:val="14"/>
              </w:rPr>
            </w:pPr>
            <w:r w:rsidRPr="009F2D1E">
              <w:rPr>
                <w:sz w:val="14"/>
                <w:szCs w:val="14"/>
              </w:rPr>
              <w:t>42550,18</w:t>
            </w:r>
          </w:p>
        </w:tc>
        <w:tc>
          <w:tcPr>
            <w:tcW w:w="1278" w:type="dxa"/>
            <w:tcBorders>
              <w:top w:val="nil"/>
              <w:left w:val="nil"/>
              <w:bottom w:val="single" w:sz="4" w:space="0" w:color="auto"/>
              <w:right w:val="single" w:sz="4" w:space="0" w:color="auto"/>
            </w:tcBorders>
            <w:shd w:val="clear" w:color="000000" w:fill="CCFFFF"/>
            <w:noWrap/>
            <w:vAlign w:val="bottom"/>
            <w:hideMark/>
          </w:tcPr>
          <w:p w14:paraId="28C94719" w14:textId="77777777" w:rsidR="001D4AFA" w:rsidRPr="009F2D1E" w:rsidRDefault="001D4AFA" w:rsidP="009F2D1E">
            <w:pPr>
              <w:jc w:val="right"/>
              <w:rPr>
                <w:rFonts w:ascii="Times New Roman" w:hAnsi="Times New Roman"/>
                <w:sz w:val="14"/>
                <w:szCs w:val="14"/>
              </w:rPr>
            </w:pPr>
            <w:r w:rsidRPr="009F2D1E">
              <w:rPr>
                <w:sz w:val="14"/>
                <w:szCs w:val="14"/>
              </w:rPr>
              <w:t>38272,55</w:t>
            </w:r>
          </w:p>
        </w:tc>
        <w:tc>
          <w:tcPr>
            <w:tcW w:w="1278" w:type="dxa"/>
            <w:tcBorders>
              <w:top w:val="nil"/>
              <w:left w:val="nil"/>
              <w:bottom w:val="single" w:sz="4" w:space="0" w:color="auto"/>
              <w:right w:val="single" w:sz="4" w:space="0" w:color="auto"/>
            </w:tcBorders>
            <w:shd w:val="clear" w:color="000000" w:fill="CCFFFF"/>
            <w:noWrap/>
            <w:vAlign w:val="bottom"/>
            <w:hideMark/>
          </w:tcPr>
          <w:p w14:paraId="4CB94B0B" w14:textId="77777777" w:rsidR="001D4AFA" w:rsidRPr="009F2D1E" w:rsidRDefault="001D4AFA" w:rsidP="009F2D1E">
            <w:pPr>
              <w:jc w:val="right"/>
              <w:rPr>
                <w:rFonts w:ascii="Times New Roman" w:hAnsi="Times New Roman"/>
                <w:sz w:val="14"/>
                <w:szCs w:val="14"/>
              </w:rPr>
            </w:pPr>
            <w:r w:rsidRPr="009F2D1E">
              <w:rPr>
                <w:sz w:val="14"/>
                <w:szCs w:val="14"/>
              </w:rPr>
              <w:t>29050,32</w:t>
            </w:r>
          </w:p>
        </w:tc>
        <w:tc>
          <w:tcPr>
            <w:tcW w:w="1278" w:type="dxa"/>
            <w:tcBorders>
              <w:top w:val="nil"/>
              <w:left w:val="nil"/>
              <w:bottom w:val="single" w:sz="4" w:space="0" w:color="auto"/>
              <w:right w:val="single" w:sz="4" w:space="0" w:color="auto"/>
            </w:tcBorders>
            <w:shd w:val="clear" w:color="000000" w:fill="CCFFFF"/>
            <w:noWrap/>
            <w:vAlign w:val="bottom"/>
            <w:hideMark/>
          </w:tcPr>
          <w:p w14:paraId="7B80D157" w14:textId="77777777" w:rsidR="001D4AFA" w:rsidRPr="009F2D1E" w:rsidRDefault="001D4AFA" w:rsidP="009F2D1E">
            <w:pPr>
              <w:jc w:val="right"/>
              <w:rPr>
                <w:rFonts w:ascii="Times New Roman" w:hAnsi="Times New Roman"/>
                <w:sz w:val="14"/>
                <w:szCs w:val="14"/>
              </w:rPr>
            </w:pPr>
            <w:r w:rsidRPr="009F2D1E">
              <w:rPr>
                <w:sz w:val="14"/>
                <w:szCs w:val="14"/>
              </w:rPr>
              <w:t>32909,50</w:t>
            </w:r>
          </w:p>
        </w:tc>
        <w:tc>
          <w:tcPr>
            <w:tcW w:w="1278" w:type="dxa"/>
            <w:tcBorders>
              <w:top w:val="nil"/>
              <w:left w:val="nil"/>
              <w:bottom w:val="single" w:sz="4" w:space="0" w:color="auto"/>
              <w:right w:val="single" w:sz="4" w:space="0" w:color="auto"/>
            </w:tcBorders>
            <w:shd w:val="clear" w:color="000000" w:fill="CCFFFF"/>
            <w:noWrap/>
            <w:vAlign w:val="bottom"/>
            <w:hideMark/>
          </w:tcPr>
          <w:p w14:paraId="17EBE979" w14:textId="77777777" w:rsidR="001D4AFA" w:rsidRPr="009F2D1E" w:rsidRDefault="001D4AFA" w:rsidP="009F2D1E">
            <w:pPr>
              <w:jc w:val="right"/>
              <w:rPr>
                <w:rFonts w:ascii="Times New Roman" w:hAnsi="Times New Roman"/>
                <w:sz w:val="14"/>
                <w:szCs w:val="14"/>
              </w:rPr>
            </w:pPr>
            <w:r w:rsidRPr="009F2D1E">
              <w:rPr>
                <w:sz w:val="14"/>
                <w:szCs w:val="14"/>
              </w:rPr>
              <w:t>32604,23</w:t>
            </w:r>
          </w:p>
        </w:tc>
        <w:tc>
          <w:tcPr>
            <w:tcW w:w="1262" w:type="dxa"/>
            <w:tcBorders>
              <w:top w:val="nil"/>
              <w:left w:val="nil"/>
              <w:bottom w:val="single" w:sz="4" w:space="0" w:color="auto"/>
              <w:right w:val="single" w:sz="4" w:space="0" w:color="auto"/>
            </w:tcBorders>
            <w:shd w:val="clear" w:color="000000" w:fill="CCFFFF"/>
            <w:vAlign w:val="bottom"/>
          </w:tcPr>
          <w:p w14:paraId="50688BF7" w14:textId="77777777" w:rsidR="001D4AFA" w:rsidRPr="009F2D1E" w:rsidRDefault="001D4AFA" w:rsidP="009F2D1E">
            <w:pPr>
              <w:jc w:val="right"/>
              <w:rPr>
                <w:rFonts w:ascii="Times New Roman" w:hAnsi="Times New Roman"/>
                <w:sz w:val="14"/>
                <w:szCs w:val="14"/>
              </w:rPr>
            </w:pPr>
            <w:r w:rsidRPr="009F2D1E">
              <w:rPr>
                <w:sz w:val="14"/>
                <w:szCs w:val="14"/>
              </w:rPr>
              <w:t>30655,34</w:t>
            </w:r>
          </w:p>
        </w:tc>
      </w:tr>
      <w:tr w:rsidR="001D4AFA" w:rsidRPr="00364545" w14:paraId="0DC7ABDE"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A6E6B7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291CA738" w14:textId="77777777" w:rsidR="001D4AFA" w:rsidRPr="009F2D1E" w:rsidRDefault="001D4AFA" w:rsidP="009F2D1E">
            <w:pPr>
              <w:jc w:val="right"/>
              <w:rPr>
                <w:rFonts w:ascii="Times New Roman" w:hAnsi="Times New Roman"/>
                <w:sz w:val="14"/>
                <w:szCs w:val="14"/>
              </w:rPr>
            </w:pPr>
            <w:r w:rsidRPr="009F2D1E">
              <w:rPr>
                <w:sz w:val="14"/>
                <w:szCs w:val="14"/>
              </w:rPr>
              <w:t>13161,34</w:t>
            </w:r>
          </w:p>
        </w:tc>
        <w:tc>
          <w:tcPr>
            <w:tcW w:w="1278" w:type="dxa"/>
            <w:tcBorders>
              <w:top w:val="nil"/>
              <w:left w:val="nil"/>
              <w:bottom w:val="single" w:sz="4" w:space="0" w:color="auto"/>
              <w:right w:val="single" w:sz="4" w:space="0" w:color="auto"/>
            </w:tcBorders>
            <w:shd w:val="clear" w:color="000000" w:fill="FFFFFF"/>
            <w:noWrap/>
            <w:vAlign w:val="bottom"/>
            <w:hideMark/>
          </w:tcPr>
          <w:p w14:paraId="4B47C8AA" w14:textId="77777777" w:rsidR="001D4AFA" w:rsidRPr="009F2D1E" w:rsidRDefault="001D4AFA" w:rsidP="009F2D1E">
            <w:pPr>
              <w:jc w:val="right"/>
              <w:rPr>
                <w:rFonts w:ascii="Times New Roman" w:hAnsi="Times New Roman"/>
                <w:sz w:val="14"/>
                <w:szCs w:val="14"/>
              </w:rPr>
            </w:pPr>
            <w:r w:rsidRPr="009F2D1E">
              <w:rPr>
                <w:sz w:val="14"/>
                <w:szCs w:val="14"/>
              </w:rPr>
              <w:t>12401,25</w:t>
            </w:r>
          </w:p>
        </w:tc>
        <w:tc>
          <w:tcPr>
            <w:tcW w:w="1278" w:type="dxa"/>
            <w:tcBorders>
              <w:top w:val="nil"/>
              <w:left w:val="nil"/>
              <w:bottom w:val="single" w:sz="4" w:space="0" w:color="auto"/>
              <w:right w:val="single" w:sz="4" w:space="0" w:color="auto"/>
            </w:tcBorders>
            <w:shd w:val="clear" w:color="000000" w:fill="FFFFFF"/>
            <w:noWrap/>
            <w:vAlign w:val="bottom"/>
            <w:hideMark/>
          </w:tcPr>
          <w:p w14:paraId="1BE9F9E0" w14:textId="77777777" w:rsidR="001D4AFA" w:rsidRPr="009F2D1E" w:rsidRDefault="001D4AFA" w:rsidP="009F2D1E">
            <w:pPr>
              <w:jc w:val="right"/>
              <w:rPr>
                <w:rFonts w:ascii="Times New Roman" w:hAnsi="Times New Roman"/>
                <w:sz w:val="14"/>
                <w:szCs w:val="14"/>
              </w:rPr>
            </w:pPr>
            <w:r w:rsidRPr="009F2D1E">
              <w:rPr>
                <w:sz w:val="14"/>
                <w:szCs w:val="14"/>
              </w:rPr>
              <w:t>10588,25</w:t>
            </w:r>
          </w:p>
        </w:tc>
        <w:tc>
          <w:tcPr>
            <w:tcW w:w="1278" w:type="dxa"/>
            <w:tcBorders>
              <w:top w:val="nil"/>
              <w:left w:val="nil"/>
              <w:bottom w:val="single" w:sz="4" w:space="0" w:color="auto"/>
              <w:right w:val="single" w:sz="4" w:space="0" w:color="auto"/>
            </w:tcBorders>
            <w:shd w:val="clear" w:color="000000" w:fill="FFFFFF"/>
            <w:noWrap/>
            <w:vAlign w:val="bottom"/>
            <w:hideMark/>
          </w:tcPr>
          <w:p w14:paraId="7A23D13A" w14:textId="77777777" w:rsidR="001D4AFA" w:rsidRPr="009F2D1E" w:rsidRDefault="001D4AFA" w:rsidP="009F2D1E">
            <w:pPr>
              <w:jc w:val="right"/>
              <w:rPr>
                <w:rFonts w:ascii="Times New Roman" w:hAnsi="Times New Roman"/>
                <w:sz w:val="14"/>
                <w:szCs w:val="14"/>
              </w:rPr>
            </w:pPr>
            <w:r w:rsidRPr="009F2D1E">
              <w:rPr>
                <w:sz w:val="14"/>
                <w:szCs w:val="14"/>
              </w:rPr>
              <w:t>11059,08</w:t>
            </w:r>
          </w:p>
        </w:tc>
        <w:tc>
          <w:tcPr>
            <w:tcW w:w="1278" w:type="dxa"/>
            <w:tcBorders>
              <w:top w:val="nil"/>
              <w:left w:val="nil"/>
              <w:bottom w:val="single" w:sz="4" w:space="0" w:color="auto"/>
              <w:right w:val="single" w:sz="4" w:space="0" w:color="auto"/>
            </w:tcBorders>
            <w:shd w:val="clear" w:color="000000" w:fill="FFFFFF"/>
            <w:noWrap/>
            <w:vAlign w:val="bottom"/>
            <w:hideMark/>
          </w:tcPr>
          <w:p w14:paraId="4B1E8984" w14:textId="77777777" w:rsidR="001D4AFA" w:rsidRPr="009F2D1E" w:rsidRDefault="001D4AFA" w:rsidP="009F2D1E">
            <w:pPr>
              <w:jc w:val="right"/>
              <w:rPr>
                <w:rFonts w:ascii="Times New Roman" w:hAnsi="Times New Roman"/>
                <w:sz w:val="14"/>
                <w:szCs w:val="14"/>
              </w:rPr>
            </w:pPr>
            <w:r w:rsidRPr="009F2D1E">
              <w:rPr>
                <w:sz w:val="14"/>
                <w:szCs w:val="14"/>
              </w:rPr>
              <w:t>11379,10</w:t>
            </w:r>
          </w:p>
        </w:tc>
        <w:tc>
          <w:tcPr>
            <w:tcW w:w="1262" w:type="dxa"/>
            <w:tcBorders>
              <w:top w:val="nil"/>
              <w:left w:val="nil"/>
              <w:bottom w:val="single" w:sz="4" w:space="0" w:color="auto"/>
              <w:right w:val="single" w:sz="4" w:space="0" w:color="auto"/>
            </w:tcBorders>
            <w:shd w:val="clear" w:color="000000" w:fill="FFFFFF"/>
            <w:vAlign w:val="bottom"/>
          </w:tcPr>
          <w:p w14:paraId="6D8E7912" w14:textId="77777777" w:rsidR="001D4AFA" w:rsidRPr="009F2D1E" w:rsidRDefault="001D4AFA" w:rsidP="009F2D1E">
            <w:pPr>
              <w:jc w:val="right"/>
              <w:rPr>
                <w:rFonts w:ascii="Times New Roman" w:hAnsi="Times New Roman"/>
                <w:sz w:val="14"/>
                <w:szCs w:val="14"/>
              </w:rPr>
            </w:pPr>
            <w:r w:rsidRPr="009F2D1E">
              <w:rPr>
                <w:sz w:val="14"/>
                <w:szCs w:val="14"/>
              </w:rPr>
              <w:t>10635,42</w:t>
            </w:r>
          </w:p>
        </w:tc>
      </w:tr>
      <w:tr w:rsidR="001D4AFA" w:rsidRPr="00364545" w14:paraId="33464BA5"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0190EB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1C5706C9" w14:textId="77777777" w:rsidR="001D4AFA" w:rsidRPr="009F2D1E" w:rsidRDefault="001D4AFA" w:rsidP="009F2D1E">
            <w:pPr>
              <w:jc w:val="right"/>
              <w:rPr>
                <w:rFonts w:ascii="Times New Roman" w:hAnsi="Times New Roman"/>
                <w:sz w:val="14"/>
                <w:szCs w:val="14"/>
              </w:rPr>
            </w:pPr>
            <w:r w:rsidRPr="009F2D1E">
              <w:rPr>
                <w:sz w:val="14"/>
                <w:szCs w:val="14"/>
              </w:rPr>
              <w:t>7873,43</w:t>
            </w:r>
          </w:p>
        </w:tc>
        <w:tc>
          <w:tcPr>
            <w:tcW w:w="1278" w:type="dxa"/>
            <w:tcBorders>
              <w:top w:val="nil"/>
              <w:left w:val="nil"/>
              <w:bottom w:val="single" w:sz="4" w:space="0" w:color="auto"/>
              <w:right w:val="single" w:sz="4" w:space="0" w:color="auto"/>
            </w:tcBorders>
            <w:shd w:val="clear" w:color="000000" w:fill="FFFFFF"/>
            <w:noWrap/>
            <w:vAlign w:val="bottom"/>
            <w:hideMark/>
          </w:tcPr>
          <w:p w14:paraId="51AC013E" w14:textId="77777777" w:rsidR="001D4AFA" w:rsidRPr="009F2D1E" w:rsidRDefault="001D4AFA" w:rsidP="009F2D1E">
            <w:pPr>
              <w:jc w:val="right"/>
              <w:rPr>
                <w:rFonts w:ascii="Times New Roman" w:hAnsi="Times New Roman"/>
                <w:sz w:val="14"/>
                <w:szCs w:val="14"/>
              </w:rPr>
            </w:pPr>
            <w:r w:rsidRPr="009F2D1E">
              <w:rPr>
                <w:sz w:val="14"/>
                <w:szCs w:val="14"/>
              </w:rPr>
              <w:t>7433,29</w:t>
            </w:r>
          </w:p>
        </w:tc>
        <w:tc>
          <w:tcPr>
            <w:tcW w:w="1278" w:type="dxa"/>
            <w:tcBorders>
              <w:top w:val="nil"/>
              <w:left w:val="nil"/>
              <w:bottom w:val="single" w:sz="4" w:space="0" w:color="auto"/>
              <w:right w:val="single" w:sz="4" w:space="0" w:color="auto"/>
            </w:tcBorders>
            <w:shd w:val="clear" w:color="000000" w:fill="FFFFFF"/>
            <w:noWrap/>
            <w:vAlign w:val="bottom"/>
            <w:hideMark/>
          </w:tcPr>
          <w:p w14:paraId="4EB89884" w14:textId="77777777" w:rsidR="001D4AFA" w:rsidRPr="009F2D1E" w:rsidRDefault="001D4AFA" w:rsidP="009F2D1E">
            <w:pPr>
              <w:jc w:val="right"/>
              <w:rPr>
                <w:rFonts w:ascii="Times New Roman" w:hAnsi="Times New Roman"/>
                <w:sz w:val="14"/>
                <w:szCs w:val="14"/>
              </w:rPr>
            </w:pPr>
            <w:r w:rsidRPr="009F2D1E">
              <w:rPr>
                <w:sz w:val="14"/>
                <w:szCs w:val="14"/>
              </w:rPr>
              <w:t>6509,07</w:t>
            </w:r>
          </w:p>
        </w:tc>
        <w:tc>
          <w:tcPr>
            <w:tcW w:w="1278" w:type="dxa"/>
            <w:tcBorders>
              <w:top w:val="nil"/>
              <w:left w:val="nil"/>
              <w:bottom w:val="single" w:sz="4" w:space="0" w:color="auto"/>
              <w:right w:val="single" w:sz="4" w:space="0" w:color="auto"/>
            </w:tcBorders>
            <w:shd w:val="clear" w:color="000000" w:fill="FFFFFF"/>
            <w:noWrap/>
            <w:vAlign w:val="bottom"/>
            <w:hideMark/>
          </w:tcPr>
          <w:p w14:paraId="1ABFD67F" w14:textId="77777777" w:rsidR="001D4AFA" w:rsidRPr="009F2D1E" w:rsidRDefault="001D4AFA" w:rsidP="009F2D1E">
            <w:pPr>
              <w:jc w:val="right"/>
              <w:rPr>
                <w:rFonts w:ascii="Times New Roman" w:hAnsi="Times New Roman"/>
                <w:sz w:val="14"/>
                <w:szCs w:val="14"/>
              </w:rPr>
            </w:pPr>
            <w:r w:rsidRPr="009F2D1E">
              <w:rPr>
                <w:sz w:val="14"/>
                <w:szCs w:val="14"/>
              </w:rPr>
              <w:t>6501,02</w:t>
            </w:r>
          </w:p>
        </w:tc>
        <w:tc>
          <w:tcPr>
            <w:tcW w:w="1278" w:type="dxa"/>
            <w:tcBorders>
              <w:top w:val="nil"/>
              <w:left w:val="nil"/>
              <w:bottom w:val="single" w:sz="4" w:space="0" w:color="auto"/>
              <w:right w:val="single" w:sz="4" w:space="0" w:color="auto"/>
            </w:tcBorders>
            <w:shd w:val="clear" w:color="000000" w:fill="FFFFFF"/>
            <w:noWrap/>
            <w:vAlign w:val="bottom"/>
            <w:hideMark/>
          </w:tcPr>
          <w:p w14:paraId="4C94981C" w14:textId="77777777" w:rsidR="001D4AFA" w:rsidRPr="009F2D1E" w:rsidRDefault="001D4AFA" w:rsidP="009F2D1E">
            <w:pPr>
              <w:jc w:val="right"/>
              <w:rPr>
                <w:rFonts w:ascii="Times New Roman" w:hAnsi="Times New Roman"/>
                <w:sz w:val="14"/>
                <w:szCs w:val="14"/>
              </w:rPr>
            </w:pPr>
            <w:r w:rsidRPr="009F2D1E">
              <w:rPr>
                <w:sz w:val="14"/>
                <w:szCs w:val="14"/>
              </w:rPr>
              <w:t>6450,62</w:t>
            </w:r>
          </w:p>
        </w:tc>
        <w:tc>
          <w:tcPr>
            <w:tcW w:w="1262" w:type="dxa"/>
            <w:tcBorders>
              <w:top w:val="nil"/>
              <w:left w:val="nil"/>
              <w:bottom w:val="single" w:sz="4" w:space="0" w:color="auto"/>
              <w:right w:val="single" w:sz="4" w:space="0" w:color="auto"/>
            </w:tcBorders>
            <w:shd w:val="clear" w:color="000000" w:fill="FFFFFF"/>
            <w:vAlign w:val="bottom"/>
          </w:tcPr>
          <w:p w14:paraId="7B9C3911" w14:textId="77777777" w:rsidR="001D4AFA" w:rsidRPr="009F2D1E" w:rsidRDefault="001D4AFA" w:rsidP="009F2D1E">
            <w:pPr>
              <w:jc w:val="right"/>
              <w:rPr>
                <w:rFonts w:ascii="Times New Roman" w:hAnsi="Times New Roman"/>
                <w:sz w:val="14"/>
                <w:szCs w:val="14"/>
              </w:rPr>
            </w:pPr>
            <w:r w:rsidRPr="009F2D1E">
              <w:rPr>
                <w:sz w:val="14"/>
                <w:szCs w:val="14"/>
              </w:rPr>
              <w:t>6386,24</w:t>
            </w:r>
          </w:p>
        </w:tc>
      </w:tr>
      <w:tr w:rsidR="001D4AFA" w:rsidRPr="00364545" w14:paraId="77D3B4BA"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AD0C63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26502A0F" w14:textId="77777777" w:rsidR="001D4AFA" w:rsidRPr="009F2D1E" w:rsidRDefault="001D4AFA" w:rsidP="009F2D1E">
            <w:pPr>
              <w:jc w:val="right"/>
              <w:rPr>
                <w:rFonts w:ascii="Times New Roman" w:hAnsi="Times New Roman"/>
                <w:sz w:val="14"/>
                <w:szCs w:val="14"/>
              </w:rPr>
            </w:pPr>
            <w:r w:rsidRPr="009F2D1E">
              <w:rPr>
                <w:sz w:val="14"/>
                <w:szCs w:val="14"/>
              </w:rPr>
              <w:t>19246,32</w:t>
            </w:r>
          </w:p>
        </w:tc>
        <w:tc>
          <w:tcPr>
            <w:tcW w:w="1278" w:type="dxa"/>
            <w:tcBorders>
              <w:top w:val="nil"/>
              <w:left w:val="nil"/>
              <w:bottom w:val="single" w:sz="4" w:space="0" w:color="auto"/>
              <w:right w:val="single" w:sz="4" w:space="0" w:color="auto"/>
            </w:tcBorders>
            <w:shd w:val="clear" w:color="000000" w:fill="FFFFFF"/>
            <w:noWrap/>
            <w:vAlign w:val="bottom"/>
            <w:hideMark/>
          </w:tcPr>
          <w:p w14:paraId="6C6A3645" w14:textId="77777777" w:rsidR="001D4AFA" w:rsidRPr="009F2D1E" w:rsidRDefault="001D4AFA" w:rsidP="009F2D1E">
            <w:pPr>
              <w:jc w:val="right"/>
              <w:rPr>
                <w:rFonts w:ascii="Times New Roman" w:hAnsi="Times New Roman"/>
                <w:sz w:val="14"/>
                <w:szCs w:val="14"/>
              </w:rPr>
            </w:pPr>
            <w:r w:rsidRPr="009F2D1E">
              <w:rPr>
                <w:sz w:val="14"/>
                <w:szCs w:val="14"/>
              </w:rPr>
              <w:t>16407,02</w:t>
            </w:r>
          </w:p>
        </w:tc>
        <w:tc>
          <w:tcPr>
            <w:tcW w:w="1278" w:type="dxa"/>
            <w:tcBorders>
              <w:top w:val="nil"/>
              <w:left w:val="nil"/>
              <w:bottom w:val="single" w:sz="4" w:space="0" w:color="auto"/>
              <w:right w:val="single" w:sz="4" w:space="0" w:color="auto"/>
            </w:tcBorders>
            <w:shd w:val="clear" w:color="000000" w:fill="FFFFFF"/>
            <w:noWrap/>
            <w:vAlign w:val="bottom"/>
            <w:hideMark/>
          </w:tcPr>
          <w:p w14:paraId="41B0F771" w14:textId="77777777" w:rsidR="001D4AFA" w:rsidRPr="009F2D1E" w:rsidRDefault="001D4AFA" w:rsidP="009F2D1E">
            <w:pPr>
              <w:jc w:val="right"/>
              <w:rPr>
                <w:rFonts w:ascii="Times New Roman" w:hAnsi="Times New Roman"/>
                <w:sz w:val="14"/>
                <w:szCs w:val="14"/>
              </w:rPr>
            </w:pPr>
            <w:r w:rsidRPr="009F2D1E">
              <w:rPr>
                <w:sz w:val="14"/>
                <w:szCs w:val="14"/>
              </w:rPr>
              <w:t>10127,51</w:t>
            </w:r>
          </w:p>
        </w:tc>
        <w:tc>
          <w:tcPr>
            <w:tcW w:w="1278" w:type="dxa"/>
            <w:tcBorders>
              <w:top w:val="nil"/>
              <w:left w:val="nil"/>
              <w:bottom w:val="single" w:sz="4" w:space="0" w:color="auto"/>
              <w:right w:val="single" w:sz="4" w:space="0" w:color="auto"/>
            </w:tcBorders>
            <w:shd w:val="clear" w:color="000000" w:fill="FFFFFF"/>
            <w:noWrap/>
            <w:vAlign w:val="bottom"/>
            <w:hideMark/>
          </w:tcPr>
          <w:p w14:paraId="3D1185FD" w14:textId="77777777" w:rsidR="001D4AFA" w:rsidRPr="009F2D1E" w:rsidRDefault="001D4AFA" w:rsidP="009F2D1E">
            <w:pPr>
              <w:jc w:val="right"/>
              <w:rPr>
                <w:rFonts w:ascii="Times New Roman" w:hAnsi="Times New Roman"/>
                <w:sz w:val="14"/>
                <w:szCs w:val="14"/>
              </w:rPr>
            </w:pPr>
            <w:r w:rsidRPr="009F2D1E">
              <w:rPr>
                <w:sz w:val="14"/>
                <w:szCs w:val="14"/>
              </w:rPr>
              <w:t>13411,08</w:t>
            </w:r>
          </w:p>
        </w:tc>
        <w:tc>
          <w:tcPr>
            <w:tcW w:w="1278" w:type="dxa"/>
            <w:tcBorders>
              <w:top w:val="nil"/>
              <w:left w:val="nil"/>
              <w:bottom w:val="single" w:sz="4" w:space="0" w:color="auto"/>
              <w:right w:val="single" w:sz="4" w:space="0" w:color="auto"/>
            </w:tcBorders>
            <w:shd w:val="clear" w:color="000000" w:fill="FFFFFF"/>
            <w:noWrap/>
            <w:vAlign w:val="bottom"/>
            <w:hideMark/>
          </w:tcPr>
          <w:p w14:paraId="644E0FE0" w14:textId="77777777" w:rsidR="001D4AFA" w:rsidRPr="009F2D1E" w:rsidRDefault="001D4AFA" w:rsidP="009F2D1E">
            <w:pPr>
              <w:jc w:val="right"/>
              <w:rPr>
                <w:rFonts w:ascii="Times New Roman" w:hAnsi="Times New Roman"/>
                <w:sz w:val="14"/>
                <w:szCs w:val="14"/>
              </w:rPr>
            </w:pPr>
            <w:r w:rsidRPr="009F2D1E">
              <w:rPr>
                <w:sz w:val="14"/>
                <w:szCs w:val="14"/>
              </w:rPr>
              <w:t>12905,90</w:t>
            </w:r>
          </w:p>
        </w:tc>
        <w:tc>
          <w:tcPr>
            <w:tcW w:w="1262" w:type="dxa"/>
            <w:tcBorders>
              <w:top w:val="nil"/>
              <w:left w:val="nil"/>
              <w:bottom w:val="single" w:sz="4" w:space="0" w:color="auto"/>
              <w:right w:val="single" w:sz="4" w:space="0" w:color="auto"/>
            </w:tcBorders>
            <w:shd w:val="clear" w:color="000000" w:fill="FFFFFF"/>
            <w:vAlign w:val="bottom"/>
          </w:tcPr>
          <w:p w14:paraId="21C403D5" w14:textId="77777777" w:rsidR="001D4AFA" w:rsidRPr="009F2D1E" w:rsidRDefault="001D4AFA" w:rsidP="009F2D1E">
            <w:pPr>
              <w:jc w:val="right"/>
              <w:rPr>
                <w:rFonts w:ascii="Times New Roman" w:hAnsi="Times New Roman"/>
                <w:sz w:val="14"/>
                <w:szCs w:val="14"/>
              </w:rPr>
            </w:pPr>
            <w:r w:rsidRPr="009F2D1E">
              <w:rPr>
                <w:sz w:val="14"/>
                <w:szCs w:val="14"/>
              </w:rPr>
              <w:t>11886,19</w:t>
            </w:r>
          </w:p>
        </w:tc>
      </w:tr>
      <w:tr w:rsidR="001D4AFA" w:rsidRPr="00364545" w14:paraId="3767345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0FC9462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264" w:type="dxa"/>
            <w:tcBorders>
              <w:top w:val="nil"/>
              <w:left w:val="nil"/>
              <w:bottom w:val="single" w:sz="4" w:space="0" w:color="auto"/>
              <w:right w:val="single" w:sz="4" w:space="0" w:color="auto"/>
            </w:tcBorders>
            <w:shd w:val="clear" w:color="000000" w:fill="FFFFFF"/>
            <w:noWrap/>
            <w:vAlign w:val="bottom"/>
            <w:hideMark/>
          </w:tcPr>
          <w:p w14:paraId="3795D08A" w14:textId="77777777" w:rsidR="001D4AFA" w:rsidRPr="009F2D1E" w:rsidRDefault="001D4AFA" w:rsidP="009F2D1E">
            <w:pPr>
              <w:jc w:val="right"/>
              <w:rPr>
                <w:rFonts w:ascii="Times New Roman" w:hAnsi="Times New Roman"/>
                <w:sz w:val="14"/>
                <w:szCs w:val="14"/>
              </w:rPr>
            </w:pPr>
            <w:r w:rsidRPr="009F2D1E">
              <w:rPr>
                <w:sz w:val="14"/>
                <w:szCs w:val="14"/>
              </w:rPr>
              <w:t>1692,75</w:t>
            </w:r>
          </w:p>
        </w:tc>
        <w:tc>
          <w:tcPr>
            <w:tcW w:w="1278" w:type="dxa"/>
            <w:tcBorders>
              <w:top w:val="nil"/>
              <w:left w:val="nil"/>
              <w:bottom w:val="single" w:sz="4" w:space="0" w:color="auto"/>
              <w:right w:val="single" w:sz="4" w:space="0" w:color="auto"/>
            </w:tcBorders>
            <w:shd w:val="clear" w:color="000000" w:fill="FFFFFF"/>
            <w:noWrap/>
            <w:vAlign w:val="bottom"/>
            <w:hideMark/>
          </w:tcPr>
          <w:p w14:paraId="096E0DB6" w14:textId="77777777" w:rsidR="001D4AFA" w:rsidRPr="009F2D1E" w:rsidRDefault="001D4AFA" w:rsidP="009F2D1E">
            <w:pPr>
              <w:jc w:val="right"/>
              <w:rPr>
                <w:rFonts w:ascii="Times New Roman" w:hAnsi="Times New Roman"/>
                <w:sz w:val="14"/>
                <w:szCs w:val="14"/>
              </w:rPr>
            </w:pPr>
            <w:r w:rsidRPr="009F2D1E">
              <w:rPr>
                <w:sz w:val="14"/>
                <w:szCs w:val="14"/>
              </w:rPr>
              <w:t>1484,65</w:t>
            </w:r>
          </w:p>
        </w:tc>
        <w:tc>
          <w:tcPr>
            <w:tcW w:w="1278" w:type="dxa"/>
            <w:tcBorders>
              <w:top w:val="nil"/>
              <w:left w:val="nil"/>
              <w:bottom w:val="single" w:sz="4" w:space="0" w:color="auto"/>
              <w:right w:val="single" w:sz="4" w:space="0" w:color="auto"/>
            </w:tcBorders>
            <w:shd w:val="clear" w:color="000000" w:fill="FFFFFF"/>
            <w:noWrap/>
            <w:vAlign w:val="bottom"/>
            <w:hideMark/>
          </w:tcPr>
          <w:p w14:paraId="5E10AED8" w14:textId="77777777" w:rsidR="001D4AFA" w:rsidRPr="009F2D1E" w:rsidRDefault="001D4AFA" w:rsidP="009F2D1E">
            <w:pPr>
              <w:jc w:val="right"/>
              <w:rPr>
                <w:rFonts w:ascii="Times New Roman" w:hAnsi="Times New Roman"/>
                <w:sz w:val="14"/>
                <w:szCs w:val="14"/>
              </w:rPr>
            </w:pPr>
            <w:r w:rsidRPr="009F2D1E">
              <w:rPr>
                <w:sz w:val="14"/>
                <w:szCs w:val="14"/>
              </w:rPr>
              <w:t>1282,11</w:t>
            </w:r>
          </w:p>
        </w:tc>
        <w:tc>
          <w:tcPr>
            <w:tcW w:w="1278" w:type="dxa"/>
            <w:tcBorders>
              <w:top w:val="nil"/>
              <w:left w:val="nil"/>
              <w:bottom w:val="single" w:sz="4" w:space="0" w:color="auto"/>
              <w:right w:val="single" w:sz="4" w:space="0" w:color="auto"/>
            </w:tcBorders>
            <w:shd w:val="clear" w:color="000000" w:fill="FFFFFF"/>
            <w:noWrap/>
            <w:vAlign w:val="bottom"/>
            <w:hideMark/>
          </w:tcPr>
          <w:p w14:paraId="4110895B" w14:textId="77777777" w:rsidR="001D4AFA" w:rsidRPr="009F2D1E" w:rsidRDefault="001D4AFA" w:rsidP="009F2D1E">
            <w:pPr>
              <w:jc w:val="right"/>
              <w:rPr>
                <w:rFonts w:ascii="Times New Roman" w:hAnsi="Times New Roman"/>
                <w:sz w:val="14"/>
                <w:szCs w:val="14"/>
              </w:rPr>
            </w:pPr>
            <w:r w:rsidRPr="009F2D1E">
              <w:rPr>
                <w:sz w:val="14"/>
                <w:szCs w:val="14"/>
              </w:rPr>
              <w:t>1348,78</w:t>
            </w:r>
          </w:p>
        </w:tc>
        <w:tc>
          <w:tcPr>
            <w:tcW w:w="1278" w:type="dxa"/>
            <w:tcBorders>
              <w:top w:val="nil"/>
              <w:left w:val="nil"/>
              <w:bottom w:val="single" w:sz="4" w:space="0" w:color="auto"/>
              <w:right w:val="single" w:sz="4" w:space="0" w:color="auto"/>
            </w:tcBorders>
            <w:shd w:val="clear" w:color="000000" w:fill="FFFFFF"/>
            <w:noWrap/>
            <w:vAlign w:val="bottom"/>
            <w:hideMark/>
          </w:tcPr>
          <w:p w14:paraId="32724FB0" w14:textId="77777777" w:rsidR="001D4AFA" w:rsidRPr="009F2D1E" w:rsidRDefault="001D4AFA" w:rsidP="009F2D1E">
            <w:pPr>
              <w:jc w:val="right"/>
              <w:rPr>
                <w:rFonts w:ascii="Times New Roman" w:hAnsi="Times New Roman"/>
                <w:sz w:val="14"/>
                <w:szCs w:val="14"/>
              </w:rPr>
            </w:pPr>
            <w:r w:rsidRPr="009F2D1E">
              <w:rPr>
                <w:sz w:val="14"/>
                <w:szCs w:val="14"/>
              </w:rPr>
              <w:t>1338,19</w:t>
            </w:r>
          </w:p>
        </w:tc>
        <w:tc>
          <w:tcPr>
            <w:tcW w:w="1262" w:type="dxa"/>
            <w:tcBorders>
              <w:top w:val="nil"/>
              <w:left w:val="nil"/>
              <w:bottom w:val="single" w:sz="4" w:space="0" w:color="auto"/>
              <w:right w:val="single" w:sz="4" w:space="0" w:color="auto"/>
            </w:tcBorders>
            <w:shd w:val="clear" w:color="000000" w:fill="FFFFFF"/>
            <w:vAlign w:val="bottom"/>
          </w:tcPr>
          <w:p w14:paraId="6667CE6E" w14:textId="77777777" w:rsidR="001D4AFA" w:rsidRPr="009F2D1E" w:rsidRDefault="001D4AFA" w:rsidP="009F2D1E">
            <w:pPr>
              <w:jc w:val="right"/>
              <w:rPr>
                <w:rFonts w:ascii="Times New Roman" w:hAnsi="Times New Roman"/>
                <w:sz w:val="14"/>
                <w:szCs w:val="14"/>
              </w:rPr>
            </w:pPr>
            <w:r w:rsidRPr="009F2D1E">
              <w:rPr>
                <w:sz w:val="14"/>
                <w:szCs w:val="14"/>
              </w:rPr>
              <w:t>1250,43</w:t>
            </w:r>
          </w:p>
        </w:tc>
      </w:tr>
      <w:tr w:rsidR="001D4AFA" w:rsidRPr="00364545" w14:paraId="39887D2D"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D4FDA6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264" w:type="dxa"/>
            <w:tcBorders>
              <w:top w:val="nil"/>
              <w:left w:val="nil"/>
              <w:bottom w:val="single" w:sz="4" w:space="0" w:color="auto"/>
              <w:right w:val="single" w:sz="4" w:space="0" w:color="auto"/>
            </w:tcBorders>
            <w:shd w:val="clear" w:color="000000" w:fill="FFFFFF"/>
            <w:noWrap/>
            <w:vAlign w:val="bottom"/>
            <w:hideMark/>
          </w:tcPr>
          <w:p w14:paraId="4B7A715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335BF5B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69EE742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BE9D91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53B70D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6466098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91EC656"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4436E7D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264" w:type="dxa"/>
            <w:tcBorders>
              <w:top w:val="nil"/>
              <w:left w:val="nil"/>
              <w:bottom w:val="single" w:sz="4" w:space="0" w:color="auto"/>
              <w:right w:val="single" w:sz="4" w:space="0" w:color="auto"/>
            </w:tcBorders>
            <w:shd w:val="clear" w:color="000000" w:fill="FFFFFF"/>
            <w:noWrap/>
            <w:vAlign w:val="bottom"/>
            <w:hideMark/>
          </w:tcPr>
          <w:p w14:paraId="0969CBD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3ABD1C8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3FBDD0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05A3C2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50C2F81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62B371B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195F5E7"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vAlign w:val="center"/>
            <w:hideMark/>
          </w:tcPr>
          <w:p w14:paraId="4CAB9BF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264" w:type="dxa"/>
            <w:tcBorders>
              <w:top w:val="nil"/>
              <w:left w:val="nil"/>
              <w:bottom w:val="single" w:sz="4" w:space="0" w:color="auto"/>
              <w:right w:val="single" w:sz="4" w:space="0" w:color="auto"/>
            </w:tcBorders>
            <w:shd w:val="clear" w:color="000000" w:fill="FFFFFF"/>
            <w:noWrap/>
            <w:vAlign w:val="bottom"/>
            <w:hideMark/>
          </w:tcPr>
          <w:p w14:paraId="6E8A706C" w14:textId="77777777" w:rsidR="001D4AFA" w:rsidRPr="009F2D1E" w:rsidRDefault="001D4AFA" w:rsidP="009F2D1E">
            <w:pPr>
              <w:jc w:val="right"/>
              <w:rPr>
                <w:rFonts w:ascii="Times New Roman" w:hAnsi="Times New Roman"/>
                <w:sz w:val="14"/>
                <w:szCs w:val="14"/>
              </w:rPr>
            </w:pPr>
            <w:r w:rsidRPr="009F2D1E">
              <w:rPr>
                <w:sz w:val="14"/>
                <w:szCs w:val="14"/>
              </w:rPr>
              <w:t>576,30</w:t>
            </w:r>
          </w:p>
        </w:tc>
        <w:tc>
          <w:tcPr>
            <w:tcW w:w="1278" w:type="dxa"/>
            <w:tcBorders>
              <w:top w:val="nil"/>
              <w:left w:val="nil"/>
              <w:bottom w:val="single" w:sz="4" w:space="0" w:color="auto"/>
              <w:right w:val="single" w:sz="4" w:space="0" w:color="auto"/>
            </w:tcBorders>
            <w:shd w:val="clear" w:color="000000" w:fill="FFFFFF"/>
            <w:noWrap/>
            <w:vAlign w:val="bottom"/>
            <w:hideMark/>
          </w:tcPr>
          <w:p w14:paraId="5007D373" w14:textId="77777777" w:rsidR="001D4AFA" w:rsidRPr="009F2D1E" w:rsidRDefault="001D4AFA" w:rsidP="009F2D1E">
            <w:pPr>
              <w:jc w:val="right"/>
              <w:rPr>
                <w:rFonts w:ascii="Times New Roman" w:hAnsi="Times New Roman"/>
                <w:sz w:val="14"/>
                <w:szCs w:val="14"/>
              </w:rPr>
            </w:pPr>
            <w:r w:rsidRPr="009F2D1E">
              <w:rPr>
                <w:sz w:val="14"/>
                <w:szCs w:val="14"/>
              </w:rPr>
              <w:t>546,29</w:t>
            </w:r>
          </w:p>
        </w:tc>
        <w:tc>
          <w:tcPr>
            <w:tcW w:w="1278" w:type="dxa"/>
            <w:tcBorders>
              <w:top w:val="nil"/>
              <w:left w:val="nil"/>
              <w:bottom w:val="single" w:sz="4" w:space="0" w:color="auto"/>
              <w:right w:val="single" w:sz="4" w:space="0" w:color="auto"/>
            </w:tcBorders>
            <w:shd w:val="clear" w:color="000000" w:fill="FFFFFF"/>
            <w:noWrap/>
            <w:vAlign w:val="bottom"/>
            <w:hideMark/>
          </w:tcPr>
          <w:p w14:paraId="5747B220" w14:textId="77777777" w:rsidR="001D4AFA" w:rsidRPr="009F2D1E" w:rsidRDefault="001D4AFA" w:rsidP="009F2D1E">
            <w:pPr>
              <w:jc w:val="right"/>
              <w:rPr>
                <w:rFonts w:ascii="Times New Roman" w:hAnsi="Times New Roman"/>
                <w:sz w:val="14"/>
                <w:szCs w:val="14"/>
              </w:rPr>
            </w:pPr>
            <w:r w:rsidRPr="009F2D1E">
              <w:rPr>
                <w:sz w:val="14"/>
                <w:szCs w:val="14"/>
              </w:rPr>
              <w:t>543,33</w:t>
            </w:r>
          </w:p>
        </w:tc>
        <w:tc>
          <w:tcPr>
            <w:tcW w:w="1278" w:type="dxa"/>
            <w:tcBorders>
              <w:top w:val="nil"/>
              <w:left w:val="nil"/>
              <w:bottom w:val="single" w:sz="4" w:space="0" w:color="auto"/>
              <w:right w:val="single" w:sz="4" w:space="0" w:color="auto"/>
            </w:tcBorders>
            <w:shd w:val="clear" w:color="000000" w:fill="FFFFFF"/>
            <w:noWrap/>
            <w:vAlign w:val="bottom"/>
            <w:hideMark/>
          </w:tcPr>
          <w:p w14:paraId="74895D2C" w14:textId="77777777" w:rsidR="001D4AFA" w:rsidRPr="009F2D1E" w:rsidRDefault="001D4AFA" w:rsidP="009F2D1E">
            <w:pPr>
              <w:jc w:val="right"/>
              <w:rPr>
                <w:rFonts w:ascii="Times New Roman" w:hAnsi="Times New Roman"/>
                <w:sz w:val="14"/>
                <w:szCs w:val="14"/>
              </w:rPr>
            </w:pPr>
            <w:r w:rsidRPr="009F2D1E">
              <w:rPr>
                <w:sz w:val="14"/>
                <w:szCs w:val="14"/>
              </w:rPr>
              <w:t>589,50</w:t>
            </w:r>
          </w:p>
        </w:tc>
        <w:tc>
          <w:tcPr>
            <w:tcW w:w="1278" w:type="dxa"/>
            <w:tcBorders>
              <w:top w:val="nil"/>
              <w:left w:val="nil"/>
              <w:bottom w:val="single" w:sz="4" w:space="0" w:color="auto"/>
              <w:right w:val="single" w:sz="4" w:space="0" w:color="auto"/>
            </w:tcBorders>
            <w:shd w:val="clear" w:color="000000" w:fill="FFFFFF"/>
            <w:noWrap/>
            <w:vAlign w:val="bottom"/>
            <w:hideMark/>
          </w:tcPr>
          <w:p w14:paraId="54C8623C" w14:textId="77777777" w:rsidR="001D4AFA" w:rsidRPr="009F2D1E" w:rsidRDefault="001D4AFA" w:rsidP="009F2D1E">
            <w:pPr>
              <w:jc w:val="right"/>
              <w:rPr>
                <w:rFonts w:ascii="Times New Roman" w:hAnsi="Times New Roman"/>
                <w:sz w:val="14"/>
                <w:szCs w:val="14"/>
              </w:rPr>
            </w:pPr>
            <w:r w:rsidRPr="009F2D1E">
              <w:rPr>
                <w:sz w:val="14"/>
                <w:szCs w:val="14"/>
              </w:rPr>
              <w:t>530,39</w:t>
            </w:r>
          </w:p>
        </w:tc>
        <w:tc>
          <w:tcPr>
            <w:tcW w:w="1262" w:type="dxa"/>
            <w:tcBorders>
              <w:top w:val="nil"/>
              <w:left w:val="nil"/>
              <w:bottom w:val="single" w:sz="4" w:space="0" w:color="auto"/>
              <w:right w:val="single" w:sz="4" w:space="0" w:color="auto"/>
            </w:tcBorders>
            <w:shd w:val="clear" w:color="000000" w:fill="FFFFFF"/>
            <w:vAlign w:val="bottom"/>
          </w:tcPr>
          <w:p w14:paraId="266D7E60" w14:textId="77777777" w:rsidR="001D4AFA" w:rsidRPr="009F2D1E" w:rsidRDefault="001D4AFA" w:rsidP="009F2D1E">
            <w:pPr>
              <w:jc w:val="right"/>
              <w:rPr>
                <w:rFonts w:ascii="Times New Roman" w:hAnsi="Times New Roman"/>
                <w:sz w:val="14"/>
                <w:szCs w:val="14"/>
              </w:rPr>
            </w:pPr>
            <w:r w:rsidRPr="009F2D1E">
              <w:rPr>
                <w:sz w:val="14"/>
                <w:szCs w:val="14"/>
              </w:rPr>
              <w:t>497,02</w:t>
            </w:r>
          </w:p>
        </w:tc>
      </w:tr>
      <w:tr w:rsidR="001D4AFA" w:rsidRPr="00364545" w14:paraId="5C095D20"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1076E4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264" w:type="dxa"/>
            <w:tcBorders>
              <w:top w:val="nil"/>
              <w:left w:val="nil"/>
              <w:bottom w:val="single" w:sz="4" w:space="0" w:color="auto"/>
              <w:right w:val="single" w:sz="4" w:space="0" w:color="auto"/>
            </w:tcBorders>
            <w:shd w:val="clear" w:color="000000" w:fill="FFFFFF"/>
            <w:noWrap/>
            <w:vAlign w:val="bottom"/>
            <w:hideMark/>
          </w:tcPr>
          <w:p w14:paraId="151E0E42"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3D15AE81"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03D45682"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04076789"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278" w:type="dxa"/>
            <w:tcBorders>
              <w:top w:val="nil"/>
              <w:left w:val="nil"/>
              <w:bottom w:val="single" w:sz="4" w:space="0" w:color="auto"/>
              <w:right w:val="single" w:sz="4" w:space="0" w:color="auto"/>
            </w:tcBorders>
            <w:shd w:val="clear" w:color="000000" w:fill="FFFFFF"/>
            <w:noWrap/>
            <w:vAlign w:val="bottom"/>
            <w:hideMark/>
          </w:tcPr>
          <w:p w14:paraId="2B1BAFFD"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262" w:type="dxa"/>
            <w:tcBorders>
              <w:top w:val="nil"/>
              <w:left w:val="nil"/>
              <w:bottom w:val="single" w:sz="4" w:space="0" w:color="auto"/>
              <w:right w:val="single" w:sz="4" w:space="0" w:color="auto"/>
            </w:tcBorders>
            <w:shd w:val="clear" w:color="000000" w:fill="FFFFFF"/>
            <w:vAlign w:val="bottom"/>
          </w:tcPr>
          <w:p w14:paraId="603B3FBF" w14:textId="77777777" w:rsidR="001D4AFA" w:rsidRPr="009F2D1E" w:rsidRDefault="001D4AFA" w:rsidP="009F2D1E">
            <w:pPr>
              <w:jc w:val="right"/>
              <w:rPr>
                <w:rFonts w:ascii="Times New Roman" w:hAnsi="Times New Roman"/>
                <w:sz w:val="14"/>
                <w:szCs w:val="14"/>
              </w:rPr>
            </w:pPr>
            <w:r w:rsidRPr="009F2D1E">
              <w:rPr>
                <w:sz w:val="14"/>
                <w:szCs w:val="14"/>
              </w:rPr>
              <w:t>0,04</w:t>
            </w:r>
          </w:p>
        </w:tc>
      </w:tr>
      <w:tr w:rsidR="001D4AFA" w:rsidRPr="00364545" w14:paraId="26F02746"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bottom"/>
            <w:hideMark/>
          </w:tcPr>
          <w:p w14:paraId="6E466D3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3. Agriculture</w:t>
            </w:r>
          </w:p>
        </w:tc>
        <w:tc>
          <w:tcPr>
            <w:tcW w:w="1264" w:type="dxa"/>
            <w:tcBorders>
              <w:top w:val="nil"/>
              <w:left w:val="nil"/>
              <w:bottom w:val="single" w:sz="4" w:space="0" w:color="auto"/>
              <w:right w:val="single" w:sz="4" w:space="0" w:color="auto"/>
            </w:tcBorders>
            <w:shd w:val="clear" w:color="000000" w:fill="CCFFFF"/>
            <w:noWrap/>
            <w:vAlign w:val="bottom"/>
            <w:hideMark/>
          </w:tcPr>
          <w:p w14:paraId="1ED7BF1A" w14:textId="77777777" w:rsidR="001D4AFA" w:rsidRPr="009F2D1E" w:rsidRDefault="001D4AFA" w:rsidP="009F2D1E">
            <w:pPr>
              <w:jc w:val="right"/>
              <w:rPr>
                <w:rFonts w:ascii="Times New Roman" w:hAnsi="Times New Roman"/>
                <w:sz w:val="14"/>
                <w:szCs w:val="14"/>
              </w:rPr>
            </w:pPr>
            <w:r w:rsidRPr="009F2D1E">
              <w:rPr>
                <w:sz w:val="14"/>
                <w:szCs w:val="14"/>
              </w:rPr>
              <w:t>1919,31</w:t>
            </w:r>
          </w:p>
        </w:tc>
        <w:tc>
          <w:tcPr>
            <w:tcW w:w="1278" w:type="dxa"/>
            <w:tcBorders>
              <w:top w:val="nil"/>
              <w:left w:val="nil"/>
              <w:bottom w:val="single" w:sz="4" w:space="0" w:color="auto"/>
              <w:right w:val="single" w:sz="4" w:space="0" w:color="auto"/>
            </w:tcBorders>
            <w:shd w:val="clear" w:color="000000" w:fill="CCFFFF"/>
            <w:noWrap/>
            <w:vAlign w:val="bottom"/>
            <w:hideMark/>
          </w:tcPr>
          <w:p w14:paraId="55CB1B3D" w14:textId="77777777" w:rsidR="001D4AFA" w:rsidRPr="009F2D1E" w:rsidRDefault="001D4AFA" w:rsidP="009F2D1E">
            <w:pPr>
              <w:jc w:val="right"/>
              <w:rPr>
                <w:rFonts w:ascii="Times New Roman" w:hAnsi="Times New Roman"/>
                <w:sz w:val="14"/>
                <w:szCs w:val="14"/>
              </w:rPr>
            </w:pPr>
            <w:r w:rsidRPr="009F2D1E">
              <w:rPr>
                <w:sz w:val="14"/>
                <w:szCs w:val="14"/>
              </w:rPr>
              <w:t>1960,86</w:t>
            </w:r>
          </w:p>
        </w:tc>
        <w:tc>
          <w:tcPr>
            <w:tcW w:w="1278" w:type="dxa"/>
            <w:tcBorders>
              <w:top w:val="nil"/>
              <w:left w:val="nil"/>
              <w:bottom w:val="single" w:sz="4" w:space="0" w:color="auto"/>
              <w:right w:val="single" w:sz="4" w:space="0" w:color="auto"/>
            </w:tcBorders>
            <w:shd w:val="clear" w:color="000000" w:fill="CCFFFF"/>
            <w:noWrap/>
            <w:vAlign w:val="bottom"/>
            <w:hideMark/>
          </w:tcPr>
          <w:p w14:paraId="6BE0E858" w14:textId="77777777" w:rsidR="001D4AFA" w:rsidRPr="009F2D1E" w:rsidRDefault="001D4AFA" w:rsidP="009F2D1E">
            <w:pPr>
              <w:jc w:val="right"/>
              <w:rPr>
                <w:rFonts w:ascii="Times New Roman" w:hAnsi="Times New Roman"/>
                <w:sz w:val="14"/>
                <w:szCs w:val="14"/>
              </w:rPr>
            </w:pPr>
            <w:r w:rsidRPr="009F2D1E">
              <w:rPr>
                <w:sz w:val="14"/>
                <w:szCs w:val="14"/>
              </w:rPr>
              <w:t>2050,36</w:t>
            </w:r>
          </w:p>
        </w:tc>
        <w:tc>
          <w:tcPr>
            <w:tcW w:w="1278" w:type="dxa"/>
            <w:tcBorders>
              <w:top w:val="nil"/>
              <w:left w:val="nil"/>
              <w:bottom w:val="single" w:sz="4" w:space="0" w:color="auto"/>
              <w:right w:val="single" w:sz="4" w:space="0" w:color="auto"/>
            </w:tcBorders>
            <w:shd w:val="clear" w:color="000000" w:fill="CCFFFF"/>
            <w:noWrap/>
            <w:vAlign w:val="bottom"/>
            <w:hideMark/>
          </w:tcPr>
          <w:p w14:paraId="2E3E7B78" w14:textId="77777777" w:rsidR="001D4AFA" w:rsidRPr="009F2D1E" w:rsidRDefault="001D4AFA" w:rsidP="009F2D1E">
            <w:pPr>
              <w:jc w:val="right"/>
              <w:rPr>
                <w:rFonts w:ascii="Times New Roman" w:hAnsi="Times New Roman"/>
                <w:sz w:val="14"/>
                <w:szCs w:val="14"/>
              </w:rPr>
            </w:pPr>
            <w:r w:rsidRPr="009F2D1E">
              <w:rPr>
                <w:sz w:val="14"/>
                <w:szCs w:val="14"/>
              </w:rPr>
              <w:t>1985,69</w:t>
            </w:r>
          </w:p>
        </w:tc>
        <w:tc>
          <w:tcPr>
            <w:tcW w:w="1278" w:type="dxa"/>
            <w:tcBorders>
              <w:top w:val="nil"/>
              <w:left w:val="nil"/>
              <w:bottom w:val="single" w:sz="4" w:space="0" w:color="auto"/>
              <w:right w:val="single" w:sz="4" w:space="0" w:color="auto"/>
            </w:tcBorders>
            <w:shd w:val="clear" w:color="000000" w:fill="CCFFFF"/>
            <w:noWrap/>
            <w:vAlign w:val="bottom"/>
            <w:hideMark/>
          </w:tcPr>
          <w:p w14:paraId="2E137C0B" w14:textId="77777777" w:rsidR="001D4AFA" w:rsidRPr="009F2D1E" w:rsidRDefault="001D4AFA" w:rsidP="009F2D1E">
            <w:pPr>
              <w:jc w:val="right"/>
              <w:rPr>
                <w:rFonts w:ascii="Times New Roman" w:hAnsi="Times New Roman"/>
                <w:sz w:val="14"/>
                <w:szCs w:val="14"/>
              </w:rPr>
            </w:pPr>
            <w:r w:rsidRPr="009F2D1E">
              <w:rPr>
                <w:sz w:val="14"/>
                <w:szCs w:val="14"/>
              </w:rPr>
              <w:t>2052,86</w:t>
            </w:r>
          </w:p>
        </w:tc>
        <w:tc>
          <w:tcPr>
            <w:tcW w:w="1262" w:type="dxa"/>
            <w:tcBorders>
              <w:top w:val="nil"/>
              <w:left w:val="nil"/>
              <w:bottom w:val="single" w:sz="4" w:space="0" w:color="auto"/>
              <w:right w:val="single" w:sz="4" w:space="0" w:color="auto"/>
            </w:tcBorders>
            <w:shd w:val="clear" w:color="000000" w:fill="CCFFFF"/>
            <w:vAlign w:val="bottom"/>
          </w:tcPr>
          <w:p w14:paraId="3C8A767B" w14:textId="77777777" w:rsidR="001D4AFA" w:rsidRPr="009F2D1E" w:rsidRDefault="001D4AFA" w:rsidP="009F2D1E">
            <w:pPr>
              <w:jc w:val="right"/>
              <w:rPr>
                <w:rFonts w:ascii="Times New Roman" w:hAnsi="Times New Roman"/>
                <w:sz w:val="14"/>
                <w:szCs w:val="14"/>
              </w:rPr>
            </w:pPr>
            <w:r w:rsidRPr="009F2D1E">
              <w:rPr>
                <w:sz w:val="14"/>
                <w:szCs w:val="14"/>
              </w:rPr>
              <w:t>2156,51</w:t>
            </w:r>
          </w:p>
        </w:tc>
      </w:tr>
      <w:tr w:rsidR="001D4AFA" w:rsidRPr="00364545" w14:paraId="1DCB08AE"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61F730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F8DDCF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063CE3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FEC15C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F0CA42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3012CE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4F2371A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4E9F73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118B0D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B45C3D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E77A3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ED73B1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201E1D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D41560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5E8D7C6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83AD56B"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EBE18F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6DD01AF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3A8274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4F8118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7BC56B7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5FB8A4F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499EB2B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CBDADF2"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41A59E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71F7488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36A5846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06D57A4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6BFB56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39E12B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224002F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619497C"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3C6E0F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2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FB0A16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162D693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72AAA5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6AD698E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auto" w:fill="A6A6A6" w:themeFill="background1" w:themeFillShade="A6"/>
            <w:noWrap/>
            <w:vAlign w:val="bottom"/>
            <w:hideMark/>
          </w:tcPr>
          <w:p w14:paraId="45B413E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auto" w:fill="A6A6A6" w:themeFill="background1" w:themeFillShade="A6"/>
            <w:vAlign w:val="bottom"/>
          </w:tcPr>
          <w:p w14:paraId="286C843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59AD24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324FE8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264" w:type="dxa"/>
            <w:tcBorders>
              <w:top w:val="nil"/>
              <w:left w:val="nil"/>
              <w:bottom w:val="single" w:sz="4" w:space="0" w:color="auto"/>
              <w:right w:val="single" w:sz="4" w:space="0" w:color="auto"/>
            </w:tcBorders>
            <w:shd w:val="clear" w:color="000000" w:fill="FFFFFF"/>
            <w:noWrap/>
            <w:vAlign w:val="bottom"/>
            <w:hideMark/>
          </w:tcPr>
          <w:p w14:paraId="6D454AC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6525D9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0DCD3E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62BA164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7F5F8E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525AEF4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23B188C"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F8108C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264" w:type="dxa"/>
            <w:tcBorders>
              <w:top w:val="nil"/>
              <w:left w:val="nil"/>
              <w:bottom w:val="single" w:sz="4" w:space="0" w:color="auto"/>
              <w:right w:val="single" w:sz="4" w:space="0" w:color="auto"/>
            </w:tcBorders>
            <w:shd w:val="clear" w:color="000000" w:fill="FFFFFF"/>
            <w:noWrap/>
            <w:vAlign w:val="bottom"/>
            <w:hideMark/>
          </w:tcPr>
          <w:p w14:paraId="343B0CEB" w14:textId="77777777" w:rsidR="001D4AFA" w:rsidRPr="009F2D1E" w:rsidRDefault="001D4AFA" w:rsidP="009F2D1E">
            <w:pPr>
              <w:jc w:val="right"/>
              <w:rPr>
                <w:rFonts w:ascii="Times New Roman" w:hAnsi="Times New Roman"/>
                <w:sz w:val="14"/>
                <w:szCs w:val="14"/>
              </w:rPr>
            </w:pPr>
            <w:r w:rsidRPr="009F2D1E">
              <w:rPr>
                <w:sz w:val="14"/>
                <w:szCs w:val="14"/>
              </w:rPr>
              <w:t>843,88</w:t>
            </w:r>
          </w:p>
        </w:tc>
        <w:tc>
          <w:tcPr>
            <w:tcW w:w="1278" w:type="dxa"/>
            <w:tcBorders>
              <w:top w:val="nil"/>
              <w:left w:val="nil"/>
              <w:bottom w:val="single" w:sz="4" w:space="0" w:color="auto"/>
              <w:right w:val="single" w:sz="4" w:space="0" w:color="auto"/>
            </w:tcBorders>
            <w:shd w:val="clear" w:color="000000" w:fill="FFFFFF"/>
            <w:noWrap/>
            <w:vAlign w:val="bottom"/>
            <w:hideMark/>
          </w:tcPr>
          <w:p w14:paraId="586B5D8D" w14:textId="77777777" w:rsidR="001D4AFA" w:rsidRPr="009F2D1E" w:rsidRDefault="001D4AFA" w:rsidP="009F2D1E">
            <w:pPr>
              <w:jc w:val="right"/>
              <w:rPr>
                <w:rFonts w:ascii="Times New Roman" w:hAnsi="Times New Roman"/>
                <w:sz w:val="14"/>
                <w:szCs w:val="14"/>
              </w:rPr>
            </w:pPr>
            <w:r w:rsidRPr="009F2D1E">
              <w:rPr>
                <w:sz w:val="14"/>
                <w:szCs w:val="14"/>
              </w:rPr>
              <w:t>832,97</w:t>
            </w:r>
          </w:p>
        </w:tc>
        <w:tc>
          <w:tcPr>
            <w:tcW w:w="1278" w:type="dxa"/>
            <w:tcBorders>
              <w:top w:val="nil"/>
              <w:left w:val="nil"/>
              <w:bottom w:val="single" w:sz="4" w:space="0" w:color="auto"/>
              <w:right w:val="single" w:sz="4" w:space="0" w:color="auto"/>
            </w:tcBorders>
            <w:shd w:val="clear" w:color="000000" w:fill="FFFFFF"/>
            <w:noWrap/>
            <w:vAlign w:val="bottom"/>
            <w:hideMark/>
          </w:tcPr>
          <w:p w14:paraId="29F0BD52" w14:textId="77777777" w:rsidR="001D4AFA" w:rsidRPr="009F2D1E" w:rsidRDefault="001D4AFA" w:rsidP="009F2D1E">
            <w:pPr>
              <w:jc w:val="right"/>
              <w:rPr>
                <w:rFonts w:ascii="Times New Roman" w:hAnsi="Times New Roman"/>
                <w:sz w:val="14"/>
                <w:szCs w:val="14"/>
              </w:rPr>
            </w:pPr>
            <w:r w:rsidRPr="009F2D1E">
              <w:rPr>
                <w:sz w:val="14"/>
                <w:szCs w:val="14"/>
              </w:rPr>
              <w:t>919,67</w:t>
            </w:r>
          </w:p>
        </w:tc>
        <w:tc>
          <w:tcPr>
            <w:tcW w:w="1278" w:type="dxa"/>
            <w:tcBorders>
              <w:top w:val="nil"/>
              <w:left w:val="nil"/>
              <w:bottom w:val="single" w:sz="4" w:space="0" w:color="auto"/>
              <w:right w:val="single" w:sz="4" w:space="0" w:color="auto"/>
            </w:tcBorders>
            <w:shd w:val="clear" w:color="000000" w:fill="FFFFFF"/>
            <w:noWrap/>
            <w:vAlign w:val="bottom"/>
            <w:hideMark/>
          </w:tcPr>
          <w:p w14:paraId="139BB720" w14:textId="77777777" w:rsidR="001D4AFA" w:rsidRPr="009F2D1E" w:rsidRDefault="001D4AFA" w:rsidP="009F2D1E">
            <w:pPr>
              <w:jc w:val="right"/>
              <w:rPr>
                <w:rFonts w:ascii="Times New Roman" w:hAnsi="Times New Roman"/>
                <w:sz w:val="14"/>
                <w:szCs w:val="14"/>
              </w:rPr>
            </w:pPr>
            <w:r w:rsidRPr="009F2D1E">
              <w:rPr>
                <w:sz w:val="14"/>
                <w:szCs w:val="14"/>
              </w:rPr>
              <w:t>802,45</w:t>
            </w:r>
          </w:p>
        </w:tc>
        <w:tc>
          <w:tcPr>
            <w:tcW w:w="1278" w:type="dxa"/>
            <w:tcBorders>
              <w:top w:val="nil"/>
              <w:left w:val="nil"/>
              <w:bottom w:val="single" w:sz="4" w:space="0" w:color="auto"/>
              <w:right w:val="single" w:sz="4" w:space="0" w:color="auto"/>
            </w:tcBorders>
            <w:shd w:val="clear" w:color="000000" w:fill="FFFFFF"/>
            <w:noWrap/>
            <w:vAlign w:val="bottom"/>
            <w:hideMark/>
          </w:tcPr>
          <w:p w14:paraId="57CD1347" w14:textId="77777777" w:rsidR="001D4AFA" w:rsidRPr="009F2D1E" w:rsidRDefault="001D4AFA" w:rsidP="009F2D1E">
            <w:pPr>
              <w:jc w:val="right"/>
              <w:rPr>
                <w:rFonts w:ascii="Times New Roman" w:hAnsi="Times New Roman"/>
                <w:sz w:val="14"/>
                <w:szCs w:val="14"/>
              </w:rPr>
            </w:pPr>
            <w:r w:rsidRPr="009F2D1E">
              <w:rPr>
                <w:sz w:val="14"/>
                <w:szCs w:val="14"/>
              </w:rPr>
              <w:t>885,61</w:t>
            </w:r>
          </w:p>
        </w:tc>
        <w:tc>
          <w:tcPr>
            <w:tcW w:w="1262" w:type="dxa"/>
            <w:tcBorders>
              <w:top w:val="nil"/>
              <w:left w:val="nil"/>
              <w:bottom w:val="single" w:sz="4" w:space="0" w:color="auto"/>
              <w:right w:val="single" w:sz="4" w:space="0" w:color="auto"/>
            </w:tcBorders>
            <w:shd w:val="clear" w:color="000000" w:fill="FFFFFF"/>
            <w:vAlign w:val="bottom"/>
          </w:tcPr>
          <w:p w14:paraId="71695DA9" w14:textId="77777777" w:rsidR="001D4AFA" w:rsidRPr="009F2D1E" w:rsidRDefault="001D4AFA" w:rsidP="009F2D1E">
            <w:pPr>
              <w:jc w:val="right"/>
              <w:rPr>
                <w:rFonts w:ascii="Times New Roman" w:hAnsi="Times New Roman"/>
                <w:sz w:val="14"/>
                <w:szCs w:val="14"/>
              </w:rPr>
            </w:pPr>
            <w:r w:rsidRPr="009F2D1E">
              <w:rPr>
                <w:sz w:val="14"/>
                <w:szCs w:val="14"/>
              </w:rPr>
              <w:t>971,09</w:t>
            </w:r>
          </w:p>
        </w:tc>
      </w:tr>
      <w:tr w:rsidR="001D4AFA" w:rsidRPr="00364545" w14:paraId="1CA2A09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029B25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264" w:type="dxa"/>
            <w:tcBorders>
              <w:top w:val="nil"/>
              <w:left w:val="nil"/>
              <w:bottom w:val="single" w:sz="4" w:space="0" w:color="auto"/>
              <w:right w:val="single" w:sz="4" w:space="0" w:color="auto"/>
            </w:tcBorders>
            <w:shd w:val="clear" w:color="000000" w:fill="FFFFFF"/>
            <w:noWrap/>
            <w:vAlign w:val="bottom"/>
            <w:hideMark/>
          </w:tcPr>
          <w:p w14:paraId="3AAA7FDA" w14:textId="77777777" w:rsidR="001D4AFA" w:rsidRPr="009F2D1E" w:rsidRDefault="001D4AFA" w:rsidP="009F2D1E">
            <w:pPr>
              <w:jc w:val="right"/>
              <w:rPr>
                <w:rFonts w:ascii="Times New Roman" w:hAnsi="Times New Roman"/>
                <w:sz w:val="14"/>
                <w:szCs w:val="14"/>
              </w:rPr>
            </w:pPr>
            <w:r w:rsidRPr="009F2D1E">
              <w:rPr>
                <w:sz w:val="14"/>
                <w:szCs w:val="14"/>
              </w:rPr>
              <w:t>912,65</w:t>
            </w:r>
          </w:p>
        </w:tc>
        <w:tc>
          <w:tcPr>
            <w:tcW w:w="1278" w:type="dxa"/>
            <w:tcBorders>
              <w:top w:val="nil"/>
              <w:left w:val="nil"/>
              <w:bottom w:val="single" w:sz="4" w:space="0" w:color="auto"/>
              <w:right w:val="single" w:sz="4" w:space="0" w:color="auto"/>
            </w:tcBorders>
            <w:shd w:val="clear" w:color="000000" w:fill="FFFFFF"/>
            <w:noWrap/>
            <w:vAlign w:val="bottom"/>
            <w:hideMark/>
          </w:tcPr>
          <w:p w14:paraId="39F7B167" w14:textId="77777777" w:rsidR="001D4AFA" w:rsidRPr="009F2D1E" w:rsidRDefault="001D4AFA" w:rsidP="009F2D1E">
            <w:pPr>
              <w:jc w:val="right"/>
              <w:rPr>
                <w:rFonts w:ascii="Times New Roman" w:hAnsi="Times New Roman"/>
                <w:sz w:val="14"/>
                <w:szCs w:val="14"/>
              </w:rPr>
            </w:pPr>
            <w:r w:rsidRPr="009F2D1E">
              <w:rPr>
                <w:sz w:val="14"/>
                <w:szCs w:val="14"/>
              </w:rPr>
              <w:t>940,37</w:t>
            </w:r>
          </w:p>
        </w:tc>
        <w:tc>
          <w:tcPr>
            <w:tcW w:w="1278" w:type="dxa"/>
            <w:tcBorders>
              <w:top w:val="nil"/>
              <w:left w:val="nil"/>
              <w:bottom w:val="single" w:sz="4" w:space="0" w:color="auto"/>
              <w:right w:val="single" w:sz="4" w:space="0" w:color="auto"/>
            </w:tcBorders>
            <w:shd w:val="clear" w:color="000000" w:fill="FFFFFF"/>
            <w:noWrap/>
            <w:vAlign w:val="bottom"/>
            <w:hideMark/>
          </w:tcPr>
          <w:p w14:paraId="6E5D82C6" w14:textId="77777777" w:rsidR="001D4AFA" w:rsidRPr="009F2D1E" w:rsidRDefault="001D4AFA" w:rsidP="009F2D1E">
            <w:pPr>
              <w:jc w:val="right"/>
              <w:rPr>
                <w:rFonts w:ascii="Times New Roman" w:hAnsi="Times New Roman"/>
                <w:sz w:val="14"/>
                <w:szCs w:val="14"/>
              </w:rPr>
            </w:pPr>
            <w:r w:rsidRPr="009F2D1E">
              <w:rPr>
                <w:sz w:val="14"/>
                <w:szCs w:val="14"/>
              </w:rPr>
              <w:t>956,25</w:t>
            </w:r>
          </w:p>
        </w:tc>
        <w:tc>
          <w:tcPr>
            <w:tcW w:w="1278" w:type="dxa"/>
            <w:tcBorders>
              <w:top w:val="nil"/>
              <w:left w:val="nil"/>
              <w:bottom w:val="single" w:sz="4" w:space="0" w:color="auto"/>
              <w:right w:val="single" w:sz="4" w:space="0" w:color="auto"/>
            </w:tcBorders>
            <w:shd w:val="clear" w:color="000000" w:fill="FFFFFF"/>
            <w:noWrap/>
            <w:vAlign w:val="bottom"/>
            <w:hideMark/>
          </w:tcPr>
          <w:p w14:paraId="146ED547" w14:textId="77777777" w:rsidR="001D4AFA" w:rsidRPr="009F2D1E" w:rsidRDefault="001D4AFA" w:rsidP="009F2D1E">
            <w:pPr>
              <w:jc w:val="right"/>
              <w:rPr>
                <w:rFonts w:ascii="Times New Roman" w:hAnsi="Times New Roman"/>
                <w:sz w:val="14"/>
                <w:szCs w:val="14"/>
              </w:rPr>
            </w:pPr>
            <w:r w:rsidRPr="009F2D1E">
              <w:rPr>
                <w:sz w:val="14"/>
                <w:szCs w:val="14"/>
              </w:rPr>
              <w:t>1011,00</w:t>
            </w:r>
          </w:p>
        </w:tc>
        <w:tc>
          <w:tcPr>
            <w:tcW w:w="1278" w:type="dxa"/>
            <w:tcBorders>
              <w:top w:val="nil"/>
              <w:left w:val="nil"/>
              <w:bottom w:val="single" w:sz="4" w:space="0" w:color="auto"/>
              <w:right w:val="single" w:sz="4" w:space="0" w:color="auto"/>
            </w:tcBorders>
            <w:shd w:val="clear" w:color="000000" w:fill="FFFFFF"/>
            <w:noWrap/>
            <w:vAlign w:val="bottom"/>
            <w:hideMark/>
          </w:tcPr>
          <w:p w14:paraId="7AF8B545" w14:textId="77777777" w:rsidR="001D4AFA" w:rsidRPr="009F2D1E" w:rsidRDefault="001D4AFA" w:rsidP="009F2D1E">
            <w:pPr>
              <w:jc w:val="right"/>
              <w:rPr>
                <w:rFonts w:ascii="Times New Roman" w:hAnsi="Times New Roman"/>
                <w:sz w:val="14"/>
                <w:szCs w:val="14"/>
              </w:rPr>
            </w:pPr>
            <w:r w:rsidRPr="009F2D1E">
              <w:rPr>
                <w:sz w:val="14"/>
                <w:szCs w:val="14"/>
              </w:rPr>
              <w:t>981,13</w:t>
            </w:r>
          </w:p>
        </w:tc>
        <w:tc>
          <w:tcPr>
            <w:tcW w:w="1262" w:type="dxa"/>
            <w:tcBorders>
              <w:top w:val="nil"/>
              <w:left w:val="nil"/>
              <w:bottom w:val="single" w:sz="4" w:space="0" w:color="auto"/>
              <w:right w:val="single" w:sz="4" w:space="0" w:color="auto"/>
            </w:tcBorders>
            <w:shd w:val="clear" w:color="000000" w:fill="FFFFFF"/>
            <w:vAlign w:val="bottom"/>
          </w:tcPr>
          <w:p w14:paraId="324F05EA" w14:textId="77777777" w:rsidR="001D4AFA" w:rsidRPr="009F2D1E" w:rsidRDefault="001D4AFA" w:rsidP="009F2D1E">
            <w:pPr>
              <w:jc w:val="right"/>
              <w:rPr>
                <w:rFonts w:ascii="Times New Roman" w:hAnsi="Times New Roman"/>
                <w:sz w:val="14"/>
                <w:szCs w:val="14"/>
              </w:rPr>
            </w:pPr>
            <w:r w:rsidRPr="009F2D1E">
              <w:rPr>
                <w:sz w:val="14"/>
                <w:szCs w:val="14"/>
              </w:rPr>
              <w:t>1009,66</w:t>
            </w:r>
          </w:p>
        </w:tc>
      </w:tr>
      <w:tr w:rsidR="001D4AFA" w:rsidRPr="00364545" w14:paraId="303C417D"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5F6F49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264" w:type="dxa"/>
            <w:tcBorders>
              <w:top w:val="nil"/>
              <w:left w:val="nil"/>
              <w:bottom w:val="single" w:sz="4" w:space="0" w:color="auto"/>
              <w:right w:val="single" w:sz="4" w:space="0" w:color="auto"/>
            </w:tcBorders>
            <w:shd w:val="clear" w:color="000000" w:fill="FFFFFF"/>
            <w:noWrap/>
            <w:vAlign w:val="bottom"/>
            <w:hideMark/>
          </w:tcPr>
          <w:p w14:paraId="0E11AF0E" w14:textId="77777777" w:rsidR="001D4AFA" w:rsidRPr="009F2D1E" w:rsidRDefault="001D4AFA" w:rsidP="009F2D1E">
            <w:pPr>
              <w:jc w:val="right"/>
              <w:rPr>
                <w:rFonts w:ascii="Times New Roman" w:hAnsi="Times New Roman"/>
                <w:sz w:val="14"/>
                <w:szCs w:val="14"/>
              </w:rPr>
            </w:pPr>
            <w:r w:rsidRPr="009F2D1E">
              <w:rPr>
                <w:sz w:val="14"/>
                <w:szCs w:val="14"/>
              </w:rPr>
              <w:t>162,78</w:t>
            </w:r>
          </w:p>
        </w:tc>
        <w:tc>
          <w:tcPr>
            <w:tcW w:w="1278" w:type="dxa"/>
            <w:tcBorders>
              <w:top w:val="nil"/>
              <w:left w:val="nil"/>
              <w:bottom w:val="single" w:sz="4" w:space="0" w:color="auto"/>
              <w:right w:val="single" w:sz="4" w:space="0" w:color="auto"/>
            </w:tcBorders>
            <w:shd w:val="clear" w:color="000000" w:fill="FFFFFF"/>
            <w:noWrap/>
            <w:vAlign w:val="bottom"/>
            <w:hideMark/>
          </w:tcPr>
          <w:p w14:paraId="57756508" w14:textId="77777777" w:rsidR="001D4AFA" w:rsidRPr="009F2D1E" w:rsidRDefault="001D4AFA" w:rsidP="009F2D1E">
            <w:pPr>
              <w:jc w:val="right"/>
              <w:rPr>
                <w:rFonts w:ascii="Times New Roman" w:hAnsi="Times New Roman"/>
                <w:sz w:val="14"/>
                <w:szCs w:val="14"/>
              </w:rPr>
            </w:pPr>
            <w:r w:rsidRPr="009F2D1E">
              <w:rPr>
                <w:sz w:val="14"/>
                <w:szCs w:val="14"/>
              </w:rPr>
              <w:t>187,52</w:t>
            </w:r>
          </w:p>
        </w:tc>
        <w:tc>
          <w:tcPr>
            <w:tcW w:w="1278" w:type="dxa"/>
            <w:tcBorders>
              <w:top w:val="nil"/>
              <w:left w:val="nil"/>
              <w:bottom w:val="single" w:sz="4" w:space="0" w:color="auto"/>
              <w:right w:val="single" w:sz="4" w:space="0" w:color="auto"/>
            </w:tcBorders>
            <w:shd w:val="clear" w:color="000000" w:fill="FFFFFF"/>
            <w:noWrap/>
            <w:vAlign w:val="bottom"/>
            <w:hideMark/>
          </w:tcPr>
          <w:p w14:paraId="4DB1BF8B" w14:textId="77777777" w:rsidR="001D4AFA" w:rsidRPr="009F2D1E" w:rsidRDefault="001D4AFA" w:rsidP="009F2D1E">
            <w:pPr>
              <w:jc w:val="right"/>
              <w:rPr>
                <w:rFonts w:ascii="Times New Roman" w:hAnsi="Times New Roman"/>
                <w:sz w:val="14"/>
                <w:szCs w:val="14"/>
              </w:rPr>
            </w:pPr>
            <w:r w:rsidRPr="009F2D1E">
              <w:rPr>
                <w:sz w:val="14"/>
                <w:szCs w:val="14"/>
              </w:rPr>
              <w:t>174,44</w:t>
            </w:r>
          </w:p>
        </w:tc>
        <w:tc>
          <w:tcPr>
            <w:tcW w:w="1278" w:type="dxa"/>
            <w:tcBorders>
              <w:top w:val="nil"/>
              <w:left w:val="nil"/>
              <w:bottom w:val="single" w:sz="4" w:space="0" w:color="auto"/>
              <w:right w:val="single" w:sz="4" w:space="0" w:color="auto"/>
            </w:tcBorders>
            <w:shd w:val="clear" w:color="000000" w:fill="FFFFFF"/>
            <w:noWrap/>
            <w:vAlign w:val="bottom"/>
            <w:hideMark/>
          </w:tcPr>
          <w:p w14:paraId="370E16F5" w14:textId="77777777" w:rsidR="001D4AFA" w:rsidRPr="009F2D1E" w:rsidRDefault="001D4AFA" w:rsidP="009F2D1E">
            <w:pPr>
              <w:jc w:val="right"/>
              <w:rPr>
                <w:rFonts w:ascii="Times New Roman" w:hAnsi="Times New Roman"/>
                <w:sz w:val="14"/>
                <w:szCs w:val="14"/>
              </w:rPr>
            </w:pPr>
            <w:r w:rsidRPr="009F2D1E">
              <w:rPr>
                <w:sz w:val="14"/>
                <w:szCs w:val="14"/>
              </w:rPr>
              <w:t>172,25</w:t>
            </w:r>
          </w:p>
        </w:tc>
        <w:tc>
          <w:tcPr>
            <w:tcW w:w="1278" w:type="dxa"/>
            <w:tcBorders>
              <w:top w:val="nil"/>
              <w:left w:val="nil"/>
              <w:bottom w:val="single" w:sz="4" w:space="0" w:color="auto"/>
              <w:right w:val="single" w:sz="4" w:space="0" w:color="auto"/>
            </w:tcBorders>
            <w:shd w:val="clear" w:color="000000" w:fill="FFFFFF"/>
            <w:noWrap/>
            <w:vAlign w:val="bottom"/>
            <w:hideMark/>
          </w:tcPr>
          <w:p w14:paraId="32937837" w14:textId="77777777" w:rsidR="001D4AFA" w:rsidRPr="009F2D1E" w:rsidRDefault="001D4AFA" w:rsidP="009F2D1E">
            <w:pPr>
              <w:jc w:val="right"/>
              <w:rPr>
                <w:rFonts w:ascii="Times New Roman" w:hAnsi="Times New Roman"/>
                <w:sz w:val="14"/>
                <w:szCs w:val="14"/>
              </w:rPr>
            </w:pPr>
            <w:r w:rsidRPr="009F2D1E">
              <w:rPr>
                <w:sz w:val="14"/>
                <w:szCs w:val="14"/>
              </w:rPr>
              <w:t>186,13</w:t>
            </w:r>
          </w:p>
        </w:tc>
        <w:tc>
          <w:tcPr>
            <w:tcW w:w="1262" w:type="dxa"/>
            <w:tcBorders>
              <w:top w:val="nil"/>
              <w:left w:val="nil"/>
              <w:bottom w:val="single" w:sz="4" w:space="0" w:color="auto"/>
              <w:right w:val="single" w:sz="4" w:space="0" w:color="auto"/>
            </w:tcBorders>
            <w:shd w:val="clear" w:color="000000" w:fill="FFFFFF"/>
            <w:vAlign w:val="bottom"/>
          </w:tcPr>
          <w:p w14:paraId="5E77AD32" w14:textId="77777777" w:rsidR="001D4AFA" w:rsidRPr="009F2D1E" w:rsidRDefault="001D4AFA" w:rsidP="009F2D1E">
            <w:pPr>
              <w:jc w:val="right"/>
              <w:rPr>
                <w:rFonts w:ascii="Times New Roman" w:hAnsi="Times New Roman"/>
                <w:sz w:val="14"/>
                <w:szCs w:val="14"/>
              </w:rPr>
            </w:pPr>
            <w:r w:rsidRPr="009F2D1E">
              <w:rPr>
                <w:sz w:val="14"/>
                <w:szCs w:val="14"/>
              </w:rPr>
              <w:t>175,76</w:t>
            </w:r>
          </w:p>
        </w:tc>
      </w:tr>
      <w:tr w:rsidR="001D4AFA" w:rsidRPr="00364545" w14:paraId="256CF50B"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2A9289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264" w:type="dxa"/>
            <w:tcBorders>
              <w:top w:val="nil"/>
              <w:left w:val="nil"/>
              <w:bottom w:val="single" w:sz="4" w:space="0" w:color="auto"/>
              <w:right w:val="single" w:sz="4" w:space="0" w:color="auto"/>
            </w:tcBorders>
            <w:shd w:val="clear" w:color="000000" w:fill="FFFFFF"/>
            <w:noWrap/>
            <w:vAlign w:val="bottom"/>
            <w:hideMark/>
          </w:tcPr>
          <w:p w14:paraId="7E86C39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30AE53B"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2408CCB2"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00A18E5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50DEC35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62" w:type="dxa"/>
            <w:tcBorders>
              <w:top w:val="nil"/>
              <w:left w:val="nil"/>
              <w:bottom w:val="single" w:sz="4" w:space="0" w:color="auto"/>
              <w:right w:val="single" w:sz="4" w:space="0" w:color="auto"/>
            </w:tcBorders>
            <w:shd w:val="clear" w:color="000000" w:fill="FFFFFF"/>
            <w:vAlign w:val="bottom"/>
          </w:tcPr>
          <w:p w14:paraId="0CF81C93"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5A2A378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bottom"/>
            <w:hideMark/>
          </w:tcPr>
          <w:p w14:paraId="60015EF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264" w:type="dxa"/>
            <w:tcBorders>
              <w:top w:val="nil"/>
              <w:left w:val="nil"/>
              <w:bottom w:val="single" w:sz="4" w:space="0" w:color="auto"/>
              <w:right w:val="single" w:sz="4" w:space="0" w:color="auto"/>
            </w:tcBorders>
            <w:shd w:val="clear" w:color="000000" w:fill="CCFFFF"/>
            <w:noWrap/>
            <w:vAlign w:val="bottom"/>
            <w:hideMark/>
          </w:tcPr>
          <w:p w14:paraId="2FA51DDF" w14:textId="77777777" w:rsidR="001D4AFA" w:rsidRPr="009F2D1E" w:rsidRDefault="001D4AFA" w:rsidP="009F2D1E">
            <w:pPr>
              <w:jc w:val="right"/>
              <w:rPr>
                <w:rFonts w:ascii="Times New Roman" w:hAnsi="Times New Roman"/>
                <w:sz w:val="14"/>
                <w:szCs w:val="14"/>
              </w:rPr>
            </w:pPr>
            <w:r w:rsidRPr="009F2D1E">
              <w:rPr>
                <w:sz w:val="14"/>
                <w:szCs w:val="14"/>
              </w:rPr>
              <w:t>-52555,22</w:t>
            </w:r>
          </w:p>
        </w:tc>
        <w:tc>
          <w:tcPr>
            <w:tcW w:w="1278" w:type="dxa"/>
            <w:tcBorders>
              <w:top w:val="nil"/>
              <w:left w:val="nil"/>
              <w:bottom w:val="single" w:sz="4" w:space="0" w:color="auto"/>
              <w:right w:val="single" w:sz="4" w:space="0" w:color="auto"/>
            </w:tcBorders>
            <w:shd w:val="clear" w:color="000000" w:fill="CCFFFF"/>
            <w:noWrap/>
            <w:vAlign w:val="bottom"/>
            <w:hideMark/>
          </w:tcPr>
          <w:p w14:paraId="6C77BC51" w14:textId="77777777" w:rsidR="001D4AFA" w:rsidRPr="009F2D1E" w:rsidRDefault="001D4AFA" w:rsidP="009F2D1E">
            <w:pPr>
              <w:jc w:val="right"/>
              <w:rPr>
                <w:rFonts w:ascii="Times New Roman" w:hAnsi="Times New Roman"/>
                <w:sz w:val="14"/>
                <w:szCs w:val="14"/>
              </w:rPr>
            </w:pPr>
            <w:r w:rsidRPr="009F2D1E">
              <w:rPr>
                <w:sz w:val="14"/>
                <w:szCs w:val="14"/>
              </w:rPr>
              <w:t>-52410,04</w:t>
            </w:r>
          </w:p>
        </w:tc>
        <w:tc>
          <w:tcPr>
            <w:tcW w:w="1278" w:type="dxa"/>
            <w:tcBorders>
              <w:top w:val="nil"/>
              <w:left w:val="nil"/>
              <w:bottom w:val="single" w:sz="4" w:space="0" w:color="auto"/>
              <w:right w:val="single" w:sz="4" w:space="0" w:color="auto"/>
            </w:tcBorders>
            <w:shd w:val="clear" w:color="000000" w:fill="CCFFFF"/>
            <w:noWrap/>
            <w:vAlign w:val="bottom"/>
            <w:hideMark/>
          </w:tcPr>
          <w:p w14:paraId="48805421" w14:textId="77777777" w:rsidR="001D4AFA" w:rsidRPr="009F2D1E" w:rsidRDefault="001D4AFA" w:rsidP="009F2D1E">
            <w:pPr>
              <w:jc w:val="right"/>
              <w:rPr>
                <w:rFonts w:ascii="Times New Roman" w:hAnsi="Times New Roman"/>
                <w:sz w:val="14"/>
                <w:szCs w:val="14"/>
              </w:rPr>
            </w:pPr>
            <w:r w:rsidRPr="009F2D1E">
              <w:rPr>
                <w:sz w:val="14"/>
                <w:szCs w:val="14"/>
              </w:rPr>
              <w:t>-41931,76</w:t>
            </w:r>
          </w:p>
        </w:tc>
        <w:tc>
          <w:tcPr>
            <w:tcW w:w="1278" w:type="dxa"/>
            <w:tcBorders>
              <w:top w:val="nil"/>
              <w:left w:val="nil"/>
              <w:bottom w:val="single" w:sz="4" w:space="0" w:color="auto"/>
              <w:right w:val="single" w:sz="4" w:space="0" w:color="auto"/>
            </w:tcBorders>
            <w:shd w:val="clear" w:color="000000" w:fill="CCFFFF"/>
            <w:noWrap/>
            <w:vAlign w:val="bottom"/>
            <w:hideMark/>
          </w:tcPr>
          <w:p w14:paraId="7E28549F" w14:textId="77777777" w:rsidR="001D4AFA" w:rsidRPr="009F2D1E" w:rsidRDefault="001D4AFA" w:rsidP="009F2D1E">
            <w:pPr>
              <w:jc w:val="right"/>
              <w:rPr>
                <w:rFonts w:ascii="Times New Roman" w:hAnsi="Times New Roman"/>
                <w:sz w:val="14"/>
                <w:szCs w:val="14"/>
              </w:rPr>
            </w:pPr>
            <w:r w:rsidRPr="009F2D1E">
              <w:rPr>
                <w:sz w:val="14"/>
                <w:szCs w:val="14"/>
              </w:rPr>
              <w:t>-42701,27</w:t>
            </w:r>
          </w:p>
        </w:tc>
        <w:tc>
          <w:tcPr>
            <w:tcW w:w="1278" w:type="dxa"/>
            <w:tcBorders>
              <w:top w:val="nil"/>
              <w:left w:val="nil"/>
              <w:bottom w:val="single" w:sz="4" w:space="0" w:color="auto"/>
              <w:right w:val="single" w:sz="4" w:space="0" w:color="auto"/>
            </w:tcBorders>
            <w:shd w:val="clear" w:color="000000" w:fill="CCFFFF"/>
            <w:noWrap/>
            <w:vAlign w:val="bottom"/>
            <w:hideMark/>
          </w:tcPr>
          <w:p w14:paraId="6C434169" w14:textId="77777777" w:rsidR="001D4AFA" w:rsidRPr="009F2D1E" w:rsidRDefault="001D4AFA" w:rsidP="009F2D1E">
            <w:pPr>
              <w:jc w:val="right"/>
              <w:rPr>
                <w:rFonts w:ascii="Times New Roman" w:hAnsi="Times New Roman"/>
                <w:sz w:val="14"/>
                <w:szCs w:val="14"/>
              </w:rPr>
            </w:pPr>
            <w:r w:rsidRPr="009F2D1E">
              <w:rPr>
                <w:sz w:val="14"/>
                <w:szCs w:val="14"/>
              </w:rPr>
              <w:t>-42731,74</w:t>
            </w:r>
          </w:p>
        </w:tc>
        <w:tc>
          <w:tcPr>
            <w:tcW w:w="1262" w:type="dxa"/>
            <w:tcBorders>
              <w:top w:val="nil"/>
              <w:left w:val="nil"/>
              <w:bottom w:val="single" w:sz="4" w:space="0" w:color="auto"/>
              <w:right w:val="single" w:sz="4" w:space="0" w:color="auto"/>
            </w:tcBorders>
            <w:shd w:val="clear" w:color="000000" w:fill="CCFFFF"/>
            <w:vAlign w:val="bottom"/>
          </w:tcPr>
          <w:p w14:paraId="6B31377A" w14:textId="77777777" w:rsidR="001D4AFA" w:rsidRPr="009F2D1E" w:rsidRDefault="001D4AFA" w:rsidP="009F2D1E">
            <w:pPr>
              <w:jc w:val="right"/>
              <w:rPr>
                <w:rFonts w:ascii="Times New Roman" w:hAnsi="Times New Roman"/>
                <w:sz w:val="14"/>
                <w:szCs w:val="14"/>
              </w:rPr>
            </w:pPr>
            <w:r w:rsidRPr="009F2D1E">
              <w:rPr>
                <w:sz w:val="14"/>
                <w:szCs w:val="14"/>
              </w:rPr>
              <w:t>-45183,35</w:t>
            </w:r>
          </w:p>
        </w:tc>
      </w:tr>
      <w:tr w:rsidR="001D4AFA" w:rsidRPr="00364545" w14:paraId="102E58F9"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0A1521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264" w:type="dxa"/>
            <w:tcBorders>
              <w:top w:val="nil"/>
              <w:left w:val="nil"/>
              <w:bottom w:val="single" w:sz="4" w:space="0" w:color="auto"/>
              <w:right w:val="single" w:sz="4" w:space="0" w:color="auto"/>
            </w:tcBorders>
            <w:shd w:val="clear" w:color="000000" w:fill="FFFFFF"/>
            <w:noWrap/>
            <w:vAlign w:val="bottom"/>
            <w:hideMark/>
          </w:tcPr>
          <w:p w14:paraId="67D83072" w14:textId="77777777" w:rsidR="001D4AFA" w:rsidRPr="009F2D1E" w:rsidRDefault="001D4AFA" w:rsidP="009F2D1E">
            <w:pPr>
              <w:jc w:val="right"/>
              <w:rPr>
                <w:rFonts w:ascii="Times New Roman" w:hAnsi="Times New Roman"/>
                <w:sz w:val="14"/>
                <w:szCs w:val="14"/>
              </w:rPr>
            </w:pPr>
            <w:r w:rsidRPr="009F2D1E">
              <w:rPr>
                <w:sz w:val="14"/>
                <w:szCs w:val="14"/>
              </w:rPr>
              <w:t>-70503,08</w:t>
            </w:r>
          </w:p>
        </w:tc>
        <w:tc>
          <w:tcPr>
            <w:tcW w:w="1278" w:type="dxa"/>
            <w:tcBorders>
              <w:top w:val="nil"/>
              <w:left w:val="nil"/>
              <w:bottom w:val="single" w:sz="4" w:space="0" w:color="auto"/>
              <w:right w:val="single" w:sz="4" w:space="0" w:color="auto"/>
            </w:tcBorders>
            <w:shd w:val="clear" w:color="000000" w:fill="FFFFFF"/>
            <w:noWrap/>
            <w:vAlign w:val="bottom"/>
            <w:hideMark/>
          </w:tcPr>
          <w:p w14:paraId="6BC786AA" w14:textId="77777777" w:rsidR="001D4AFA" w:rsidRPr="009F2D1E" w:rsidRDefault="001D4AFA" w:rsidP="009F2D1E">
            <w:pPr>
              <w:jc w:val="right"/>
              <w:rPr>
                <w:rFonts w:ascii="Times New Roman" w:hAnsi="Times New Roman"/>
                <w:sz w:val="14"/>
                <w:szCs w:val="14"/>
              </w:rPr>
            </w:pPr>
            <w:r w:rsidRPr="009F2D1E">
              <w:rPr>
                <w:sz w:val="14"/>
                <w:szCs w:val="14"/>
              </w:rPr>
              <w:t>-72711,27</w:t>
            </w:r>
          </w:p>
        </w:tc>
        <w:tc>
          <w:tcPr>
            <w:tcW w:w="1278" w:type="dxa"/>
            <w:tcBorders>
              <w:top w:val="nil"/>
              <w:left w:val="nil"/>
              <w:bottom w:val="single" w:sz="4" w:space="0" w:color="auto"/>
              <w:right w:val="single" w:sz="4" w:space="0" w:color="auto"/>
            </w:tcBorders>
            <w:shd w:val="clear" w:color="000000" w:fill="FFFFFF"/>
            <w:noWrap/>
            <w:vAlign w:val="bottom"/>
            <w:hideMark/>
          </w:tcPr>
          <w:p w14:paraId="60860E42" w14:textId="77777777" w:rsidR="001D4AFA" w:rsidRPr="009F2D1E" w:rsidRDefault="001D4AFA" w:rsidP="009F2D1E">
            <w:pPr>
              <w:jc w:val="right"/>
              <w:rPr>
                <w:rFonts w:ascii="Times New Roman" w:hAnsi="Times New Roman"/>
                <w:sz w:val="14"/>
                <w:szCs w:val="14"/>
              </w:rPr>
            </w:pPr>
            <w:r w:rsidRPr="009F2D1E">
              <w:rPr>
                <w:sz w:val="14"/>
                <w:szCs w:val="14"/>
              </w:rPr>
              <w:t>-62775,53</w:t>
            </w:r>
          </w:p>
        </w:tc>
        <w:tc>
          <w:tcPr>
            <w:tcW w:w="1278" w:type="dxa"/>
            <w:tcBorders>
              <w:top w:val="nil"/>
              <w:left w:val="nil"/>
              <w:bottom w:val="single" w:sz="4" w:space="0" w:color="auto"/>
              <w:right w:val="single" w:sz="4" w:space="0" w:color="auto"/>
            </w:tcBorders>
            <w:shd w:val="clear" w:color="000000" w:fill="FFFFFF"/>
            <w:noWrap/>
            <w:vAlign w:val="bottom"/>
            <w:hideMark/>
          </w:tcPr>
          <w:p w14:paraId="11DDE667" w14:textId="77777777" w:rsidR="001D4AFA" w:rsidRPr="009F2D1E" w:rsidRDefault="001D4AFA" w:rsidP="009F2D1E">
            <w:pPr>
              <w:jc w:val="right"/>
              <w:rPr>
                <w:rFonts w:ascii="Times New Roman" w:hAnsi="Times New Roman"/>
                <w:sz w:val="14"/>
                <w:szCs w:val="14"/>
              </w:rPr>
            </w:pPr>
            <w:r w:rsidRPr="009F2D1E">
              <w:rPr>
                <w:sz w:val="14"/>
                <w:szCs w:val="14"/>
              </w:rPr>
              <w:t>-59382,82</w:t>
            </w:r>
          </w:p>
        </w:tc>
        <w:tc>
          <w:tcPr>
            <w:tcW w:w="1278" w:type="dxa"/>
            <w:tcBorders>
              <w:top w:val="nil"/>
              <w:left w:val="nil"/>
              <w:bottom w:val="single" w:sz="4" w:space="0" w:color="auto"/>
              <w:right w:val="single" w:sz="4" w:space="0" w:color="auto"/>
            </w:tcBorders>
            <w:shd w:val="clear" w:color="000000" w:fill="FFFFFF"/>
            <w:noWrap/>
            <w:vAlign w:val="bottom"/>
            <w:hideMark/>
          </w:tcPr>
          <w:p w14:paraId="08DCAA87" w14:textId="77777777" w:rsidR="001D4AFA" w:rsidRPr="009F2D1E" w:rsidRDefault="001D4AFA" w:rsidP="009F2D1E">
            <w:pPr>
              <w:jc w:val="right"/>
              <w:rPr>
                <w:rFonts w:ascii="Times New Roman" w:hAnsi="Times New Roman"/>
                <w:sz w:val="14"/>
                <w:szCs w:val="14"/>
              </w:rPr>
            </w:pPr>
            <w:r w:rsidRPr="009F2D1E">
              <w:rPr>
                <w:sz w:val="14"/>
                <w:szCs w:val="14"/>
              </w:rPr>
              <w:t>-57697,09</w:t>
            </w:r>
          </w:p>
        </w:tc>
        <w:tc>
          <w:tcPr>
            <w:tcW w:w="1262" w:type="dxa"/>
            <w:tcBorders>
              <w:top w:val="nil"/>
              <w:left w:val="nil"/>
              <w:bottom w:val="single" w:sz="4" w:space="0" w:color="auto"/>
              <w:right w:val="single" w:sz="4" w:space="0" w:color="auto"/>
            </w:tcBorders>
            <w:shd w:val="clear" w:color="000000" w:fill="FFFFFF"/>
            <w:vAlign w:val="bottom"/>
          </w:tcPr>
          <w:p w14:paraId="1486BDDC" w14:textId="77777777" w:rsidR="001D4AFA" w:rsidRPr="009F2D1E" w:rsidRDefault="001D4AFA" w:rsidP="009F2D1E">
            <w:pPr>
              <w:jc w:val="right"/>
              <w:rPr>
                <w:rFonts w:ascii="Times New Roman" w:hAnsi="Times New Roman"/>
                <w:sz w:val="14"/>
                <w:szCs w:val="14"/>
              </w:rPr>
            </w:pPr>
            <w:r w:rsidRPr="009F2D1E">
              <w:rPr>
                <w:sz w:val="14"/>
                <w:szCs w:val="14"/>
              </w:rPr>
              <w:t>-60169,17</w:t>
            </w:r>
          </w:p>
        </w:tc>
      </w:tr>
      <w:tr w:rsidR="001D4AFA" w:rsidRPr="00364545" w14:paraId="3BE9D1D0"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D17F6D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264" w:type="dxa"/>
            <w:tcBorders>
              <w:top w:val="nil"/>
              <w:left w:val="nil"/>
              <w:bottom w:val="single" w:sz="4" w:space="0" w:color="auto"/>
              <w:right w:val="single" w:sz="4" w:space="0" w:color="auto"/>
            </w:tcBorders>
            <w:shd w:val="clear" w:color="000000" w:fill="FFFFFF"/>
            <w:noWrap/>
            <w:vAlign w:val="bottom"/>
            <w:hideMark/>
          </w:tcPr>
          <w:p w14:paraId="7B655A49" w14:textId="77777777" w:rsidR="001D4AFA" w:rsidRPr="009F2D1E" w:rsidRDefault="001D4AFA" w:rsidP="009F2D1E">
            <w:pPr>
              <w:jc w:val="right"/>
              <w:rPr>
                <w:rFonts w:ascii="Times New Roman" w:hAnsi="Times New Roman"/>
                <w:sz w:val="14"/>
                <w:szCs w:val="14"/>
              </w:rPr>
            </w:pPr>
            <w:r w:rsidRPr="009F2D1E">
              <w:rPr>
                <w:sz w:val="14"/>
                <w:szCs w:val="14"/>
              </w:rPr>
              <w:t>17413,54</w:t>
            </w:r>
          </w:p>
        </w:tc>
        <w:tc>
          <w:tcPr>
            <w:tcW w:w="1278" w:type="dxa"/>
            <w:tcBorders>
              <w:top w:val="nil"/>
              <w:left w:val="nil"/>
              <w:bottom w:val="single" w:sz="4" w:space="0" w:color="auto"/>
              <w:right w:val="single" w:sz="4" w:space="0" w:color="auto"/>
            </w:tcBorders>
            <w:shd w:val="clear" w:color="000000" w:fill="FFFFFF"/>
            <w:noWrap/>
            <w:vAlign w:val="bottom"/>
            <w:hideMark/>
          </w:tcPr>
          <w:p w14:paraId="7A45ADF5" w14:textId="77777777" w:rsidR="001D4AFA" w:rsidRPr="009F2D1E" w:rsidRDefault="001D4AFA" w:rsidP="009F2D1E">
            <w:pPr>
              <w:jc w:val="right"/>
              <w:rPr>
                <w:rFonts w:ascii="Times New Roman" w:hAnsi="Times New Roman"/>
                <w:sz w:val="14"/>
                <w:szCs w:val="14"/>
              </w:rPr>
            </w:pPr>
            <w:r w:rsidRPr="009F2D1E">
              <w:rPr>
                <w:sz w:val="14"/>
                <w:szCs w:val="14"/>
              </w:rPr>
              <w:t>18705,28</w:t>
            </w:r>
          </w:p>
        </w:tc>
        <w:tc>
          <w:tcPr>
            <w:tcW w:w="1278" w:type="dxa"/>
            <w:tcBorders>
              <w:top w:val="nil"/>
              <w:left w:val="nil"/>
              <w:bottom w:val="single" w:sz="4" w:space="0" w:color="auto"/>
              <w:right w:val="single" w:sz="4" w:space="0" w:color="auto"/>
            </w:tcBorders>
            <w:shd w:val="clear" w:color="000000" w:fill="FFFFFF"/>
            <w:noWrap/>
            <w:vAlign w:val="bottom"/>
            <w:hideMark/>
          </w:tcPr>
          <w:p w14:paraId="5E2F918E" w14:textId="77777777" w:rsidR="001D4AFA" w:rsidRPr="009F2D1E" w:rsidRDefault="001D4AFA" w:rsidP="009F2D1E">
            <w:pPr>
              <w:jc w:val="right"/>
              <w:rPr>
                <w:rFonts w:ascii="Times New Roman" w:hAnsi="Times New Roman"/>
                <w:sz w:val="14"/>
                <w:szCs w:val="14"/>
              </w:rPr>
            </w:pPr>
            <w:r w:rsidRPr="009F2D1E">
              <w:rPr>
                <w:sz w:val="14"/>
                <w:szCs w:val="14"/>
              </w:rPr>
              <w:t>18066,17</w:t>
            </w:r>
          </w:p>
        </w:tc>
        <w:tc>
          <w:tcPr>
            <w:tcW w:w="1278" w:type="dxa"/>
            <w:tcBorders>
              <w:top w:val="nil"/>
              <w:left w:val="nil"/>
              <w:bottom w:val="single" w:sz="4" w:space="0" w:color="auto"/>
              <w:right w:val="single" w:sz="4" w:space="0" w:color="auto"/>
            </w:tcBorders>
            <w:shd w:val="clear" w:color="000000" w:fill="FFFFFF"/>
            <w:noWrap/>
            <w:vAlign w:val="bottom"/>
            <w:hideMark/>
          </w:tcPr>
          <w:p w14:paraId="61EFD0AC" w14:textId="77777777" w:rsidR="001D4AFA" w:rsidRPr="009F2D1E" w:rsidRDefault="001D4AFA" w:rsidP="009F2D1E">
            <w:pPr>
              <w:jc w:val="right"/>
              <w:rPr>
                <w:rFonts w:ascii="Times New Roman" w:hAnsi="Times New Roman"/>
                <w:sz w:val="14"/>
                <w:szCs w:val="14"/>
              </w:rPr>
            </w:pPr>
            <w:r w:rsidRPr="009F2D1E">
              <w:rPr>
                <w:sz w:val="14"/>
                <w:szCs w:val="14"/>
              </w:rPr>
              <w:t>17792,78</w:t>
            </w:r>
          </w:p>
        </w:tc>
        <w:tc>
          <w:tcPr>
            <w:tcW w:w="1278" w:type="dxa"/>
            <w:tcBorders>
              <w:top w:val="nil"/>
              <w:left w:val="nil"/>
              <w:bottom w:val="single" w:sz="4" w:space="0" w:color="auto"/>
              <w:right w:val="single" w:sz="4" w:space="0" w:color="auto"/>
            </w:tcBorders>
            <w:shd w:val="clear" w:color="000000" w:fill="FFFFFF"/>
            <w:noWrap/>
            <w:vAlign w:val="bottom"/>
            <w:hideMark/>
          </w:tcPr>
          <w:p w14:paraId="48253964" w14:textId="77777777" w:rsidR="001D4AFA" w:rsidRPr="009F2D1E" w:rsidRDefault="001D4AFA" w:rsidP="009F2D1E">
            <w:pPr>
              <w:jc w:val="right"/>
              <w:rPr>
                <w:rFonts w:ascii="Times New Roman" w:hAnsi="Times New Roman"/>
                <w:sz w:val="14"/>
                <w:szCs w:val="14"/>
              </w:rPr>
            </w:pPr>
            <w:r w:rsidRPr="009F2D1E">
              <w:rPr>
                <w:sz w:val="14"/>
                <w:szCs w:val="14"/>
              </w:rPr>
              <w:t>16807,30</w:t>
            </w:r>
          </w:p>
        </w:tc>
        <w:tc>
          <w:tcPr>
            <w:tcW w:w="1262" w:type="dxa"/>
            <w:tcBorders>
              <w:top w:val="nil"/>
              <w:left w:val="nil"/>
              <w:bottom w:val="single" w:sz="4" w:space="0" w:color="auto"/>
              <w:right w:val="single" w:sz="4" w:space="0" w:color="auto"/>
            </w:tcBorders>
            <w:shd w:val="clear" w:color="000000" w:fill="FFFFFF"/>
            <w:vAlign w:val="bottom"/>
          </w:tcPr>
          <w:p w14:paraId="5717822D" w14:textId="77777777" w:rsidR="001D4AFA" w:rsidRPr="009F2D1E" w:rsidRDefault="001D4AFA" w:rsidP="009F2D1E">
            <w:pPr>
              <w:jc w:val="right"/>
              <w:rPr>
                <w:rFonts w:ascii="Times New Roman" w:hAnsi="Times New Roman"/>
                <w:sz w:val="14"/>
                <w:szCs w:val="14"/>
              </w:rPr>
            </w:pPr>
            <w:r w:rsidRPr="009F2D1E">
              <w:rPr>
                <w:sz w:val="14"/>
                <w:szCs w:val="14"/>
              </w:rPr>
              <w:t>15437,82</w:t>
            </w:r>
          </w:p>
        </w:tc>
      </w:tr>
      <w:tr w:rsidR="001D4AFA" w:rsidRPr="00364545" w14:paraId="4E4FF79F"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422EDC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264" w:type="dxa"/>
            <w:tcBorders>
              <w:top w:val="nil"/>
              <w:left w:val="nil"/>
              <w:bottom w:val="single" w:sz="4" w:space="0" w:color="auto"/>
              <w:right w:val="single" w:sz="4" w:space="0" w:color="auto"/>
            </w:tcBorders>
            <w:shd w:val="clear" w:color="000000" w:fill="FFFFFF"/>
            <w:noWrap/>
            <w:vAlign w:val="bottom"/>
            <w:hideMark/>
          </w:tcPr>
          <w:p w14:paraId="1B07F31C" w14:textId="77777777" w:rsidR="001D4AFA" w:rsidRPr="009F2D1E" w:rsidRDefault="001D4AFA" w:rsidP="009F2D1E">
            <w:pPr>
              <w:jc w:val="right"/>
              <w:rPr>
                <w:rFonts w:ascii="Times New Roman" w:hAnsi="Times New Roman"/>
                <w:sz w:val="14"/>
                <w:szCs w:val="14"/>
              </w:rPr>
            </w:pPr>
            <w:r w:rsidRPr="009F2D1E">
              <w:rPr>
                <w:sz w:val="14"/>
                <w:szCs w:val="14"/>
              </w:rPr>
              <w:t>-8005,80</w:t>
            </w:r>
          </w:p>
        </w:tc>
        <w:tc>
          <w:tcPr>
            <w:tcW w:w="1278" w:type="dxa"/>
            <w:tcBorders>
              <w:top w:val="nil"/>
              <w:left w:val="nil"/>
              <w:bottom w:val="single" w:sz="4" w:space="0" w:color="auto"/>
              <w:right w:val="single" w:sz="4" w:space="0" w:color="auto"/>
            </w:tcBorders>
            <w:shd w:val="clear" w:color="000000" w:fill="FFFFFF"/>
            <w:noWrap/>
            <w:vAlign w:val="bottom"/>
            <w:hideMark/>
          </w:tcPr>
          <w:p w14:paraId="1B064587" w14:textId="77777777" w:rsidR="001D4AFA" w:rsidRPr="009F2D1E" w:rsidRDefault="001D4AFA" w:rsidP="009F2D1E">
            <w:pPr>
              <w:jc w:val="right"/>
              <w:rPr>
                <w:rFonts w:ascii="Times New Roman" w:hAnsi="Times New Roman"/>
                <w:sz w:val="14"/>
                <w:szCs w:val="14"/>
              </w:rPr>
            </w:pPr>
            <w:r w:rsidRPr="009F2D1E">
              <w:rPr>
                <w:sz w:val="14"/>
                <w:szCs w:val="14"/>
              </w:rPr>
              <w:t>-8500,09</w:t>
            </w:r>
          </w:p>
        </w:tc>
        <w:tc>
          <w:tcPr>
            <w:tcW w:w="1278" w:type="dxa"/>
            <w:tcBorders>
              <w:top w:val="nil"/>
              <w:left w:val="nil"/>
              <w:bottom w:val="single" w:sz="4" w:space="0" w:color="auto"/>
              <w:right w:val="single" w:sz="4" w:space="0" w:color="auto"/>
            </w:tcBorders>
            <w:shd w:val="clear" w:color="000000" w:fill="FFFFFF"/>
            <w:noWrap/>
            <w:vAlign w:val="bottom"/>
            <w:hideMark/>
          </w:tcPr>
          <w:p w14:paraId="5AA6030A" w14:textId="77777777" w:rsidR="001D4AFA" w:rsidRPr="009F2D1E" w:rsidRDefault="001D4AFA" w:rsidP="009F2D1E">
            <w:pPr>
              <w:jc w:val="right"/>
              <w:rPr>
                <w:rFonts w:ascii="Times New Roman" w:hAnsi="Times New Roman"/>
                <w:sz w:val="14"/>
                <w:szCs w:val="14"/>
              </w:rPr>
            </w:pPr>
            <w:r w:rsidRPr="009F2D1E">
              <w:rPr>
                <w:sz w:val="14"/>
                <w:szCs w:val="14"/>
              </w:rPr>
              <w:t>-9109,44</w:t>
            </w:r>
          </w:p>
        </w:tc>
        <w:tc>
          <w:tcPr>
            <w:tcW w:w="1278" w:type="dxa"/>
            <w:tcBorders>
              <w:top w:val="nil"/>
              <w:left w:val="nil"/>
              <w:bottom w:val="single" w:sz="4" w:space="0" w:color="auto"/>
              <w:right w:val="single" w:sz="4" w:space="0" w:color="auto"/>
            </w:tcBorders>
            <w:shd w:val="clear" w:color="000000" w:fill="FFFFFF"/>
            <w:noWrap/>
            <w:vAlign w:val="bottom"/>
            <w:hideMark/>
          </w:tcPr>
          <w:p w14:paraId="2DCF7CE9" w14:textId="77777777" w:rsidR="001D4AFA" w:rsidRPr="009F2D1E" w:rsidRDefault="001D4AFA" w:rsidP="009F2D1E">
            <w:pPr>
              <w:jc w:val="right"/>
              <w:rPr>
                <w:rFonts w:ascii="Times New Roman" w:hAnsi="Times New Roman"/>
                <w:sz w:val="14"/>
                <w:szCs w:val="14"/>
              </w:rPr>
            </w:pPr>
            <w:r w:rsidRPr="009F2D1E">
              <w:rPr>
                <w:sz w:val="14"/>
                <w:szCs w:val="14"/>
              </w:rPr>
              <w:t>-9993,51</w:t>
            </w:r>
          </w:p>
        </w:tc>
        <w:tc>
          <w:tcPr>
            <w:tcW w:w="1278" w:type="dxa"/>
            <w:tcBorders>
              <w:top w:val="nil"/>
              <w:left w:val="nil"/>
              <w:bottom w:val="single" w:sz="4" w:space="0" w:color="auto"/>
              <w:right w:val="single" w:sz="4" w:space="0" w:color="auto"/>
            </w:tcBorders>
            <w:shd w:val="clear" w:color="000000" w:fill="FFFFFF"/>
            <w:noWrap/>
            <w:vAlign w:val="bottom"/>
            <w:hideMark/>
          </w:tcPr>
          <w:p w14:paraId="0BF7CE2A" w14:textId="77777777" w:rsidR="001D4AFA" w:rsidRPr="009F2D1E" w:rsidRDefault="001D4AFA" w:rsidP="009F2D1E">
            <w:pPr>
              <w:jc w:val="right"/>
              <w:rPr>
                <w:rFonts w:ascii="Times New Roman" w:hAnsi="Times New Roman"/>
                <w:sz w:val="14"/>
                <w:szCs w:val="14"/>
              </w:rPr>
            </w:pPr>
            <w:r w:rsidRPr="009F2D1E">
              <w:rPr>
                <w:sz w:val="14"/>
                <w:szCs w:val="14"/>
              </w:rPr>
              <w:t>-10617,54</w:t>
            </w:r>
          </w:p>
        </w:tc>
        <w:tc>
          <w:tcPr>
            <w:tcW w:w="1262" w:type="dxa"/>
            <w:tcBorders>
              <w:top w:val="nil"/>
              <w:left w:val="nil"/>
              <w:bottom w:val="single" w:sz="4" w:space="0" w:color="auto"/>
              <w:right w:val="single" w:sz="4" w:space="0" w:color="auto"/>
            </w:tcBorders>
            <w:shd w:val="clear" w:color="000000" w:fill="FFFFFF"/>
            <w:vAlign w:val="bottom"/>
          </w:tcPr>
          <w:p w14:paraId="3CACDABA" w14:textId="77777777" w:rsidR="001D4AFA" w:rsidRPr="009F2D1E" w:rsidRDefault="001D4AFA" w:rsidP="009F2D1E">
            <w:pPr>
              <w:jc w:val="right"/>
              <w:rPr>
                <w:rFonts w:ascii="Times New Roman" w:hAnsi="Times New Roman"/>
                <w:sz w:val="14"/>
                <w:szCs w:val="14"/>
              </w:rPr>
            </w:pPr>
            <w:r w:rsidRPr="009F2D1E">
              <w:rPr>
                <w:sz w:val="14"/>
                <w:szCs w:val="14"/>
              </w:rPr>
              <w:t>-10239,81</w:t>
            </w:r>
          </w:p>
        </w:tc>
      </w:tr>
      <w:tr w:rsidR="001D4AFA" w:rsidRPr="00364545" w14:paraId="2E95BA82"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CDB77B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264" w:type="dxa"/>
            <w:tcBorders>
              <w:top w:val="nil"/>
              <w:left w:val="nil"/>
              <w:bottom w:val="single" w:sz="4" w:space="0" w:color="auto"/>
              <w:right w:val="single" w:sz="4" w:space="0" w:color="auto"/>
            </w:tcBorders>
            <w:shd w:val="clear" w:color="000000" w:fill="FFFFFF"/>
            <w:noWrap/>
            <w:vAlign w:val="bottom"/>
            <w:hideMark/>
          </w:tcPr>
          <w:p w14:paraId="3A8D537E" w14:textId="77777777" w:rsidR="001D4AFA" w:rsidRPr="009F2D1E" w:rsidRDefault="001D4AFA" w:rsidP="009F2D1E">
            <w:pPr>
              <w:jc w:val="right"/>
              <w:rPr>
                <w:rFonts w:ascii="Times New Roman" w:hAnsi="Times New Roman"/>
                <w:sz w:val="14"/>
                <w:szCs w:val="14"/>
              </w:rPr>
            </w:pPr>
            <w:r w:rsidRPr="009F2D1E">
              <w:rPr>
                <w:sz w:val="14"/>
                <w:szCs w:val="14"/>
              </w:rPr>
              <w:t>849,62</w:t>
            </w:r>
          </w:p>
        </w:tc>
        <w:tc>
          <w:tcPr>
            <w:tcW w:w="1278" w:type="dxa"/>
            <w:tcBorders>
              <w:top w:val="nil"/>
              <w:left w:val="nil"/>
              <w:bottom w:val="single" w:sz="4" w:space="0" w:color="auto"/>
              <w:right w:val="single" w:sz="4" w:space="0" w:color="auto"/>
            </w:tcBorders>
            <w:shd w:val="clear" w:color="000000" w:fill="FFFFFF"/>
            <w:noWrap/>
            <w:vAlign w:val="bottom"/>
            <w:hideMark/>
          </w:tcPr>
          <w:p w14:paraId="5AC8EDB3" w14:textId="77777777" w:rsidR="001D4AFA" w:rsidRPr="009F2D1E" w:rsidRDefault="001D4AFA" w:rsidP="009F2D1E">
            <w:pPr>
              <w:jc w:val="right"/>
              <w:rPr>
                <w:rFonts w:ascii="Times New Roman" w:hAnsi="Times New Roman"/>
                <w:sz w:val="14"/>
                <w:szCs w:val="14"/>
              </w:rPr>
            </w:pPr>
            <w:r w:rsidRPr="009F2D1E">
              <w:rPr>
                <w:sz w:val="14"/>
                <w:szCs w:val="14"/>
              </w:rPr>
              <w:t>338,45</w:t>
            </w:r>
          </w:p>
        </w:tc>
        <w:tc>
          <w:tcPr>
            <w:tcW w:w="1278" w:type="dxa"/>
            <w:tcBorders>
              <w:top w:val="nil"/>
              <w:left w:val="nil"/>
              <w:bottom w:val="single" w:sz="4" w:space="0" w:color="auto"/>
              <w:right w:val="single" w:sz="4" w:space="0" w:color="auto"/>
            </w:tcBorders>
            <w:shd w:val="clear" w:color="000000" w:fill="FFFFFF"/>
            <w:noWrap/>
            <w:vAlign w:val="bottom"/>
            <w:hideMark/>
          </w:tcPr>
          <w:p w14:paraId="6953DF91" w14:textId="77777777" w:rsidR="001D4AFA" w:rsidRPr="009F2D1E" w:rsidRDefault="001D4AFA" w:rsidP="009F2D1E">
            <w:pPr>
              <w:jc w:val="right"/>
              <w:rPr>
                <w:rFonts w:ascii="Times New Roman" w:hAnsi="Times New Roman"/>
                <w:sz w:val="14"/>
                <w:szCs w:val="14"/>
              </w:rPr>
            </w:pPr>
            <w:r w:rsidRPr="009F2D1E">
              <w:rPr>
                <w:sz w:val="14"/>
                <w:szCs w:val="14"/>
              </w:rPr>
              <w:t>481,59</w:t>
            </w:r>
          </w:p>
        </w:tc>
        <w:tc>
          <w:tcPr>
            <w:tcW w:w="1278" w:type="dxa"/>
            <w:tcBorders>
              <w:top w:val="nil"/>
              <w:left w:val="nil"/>
              <w:bottom w:val="single" w:sz="4" w:space="0" w:color="auto"/>
              <w:right w:val="single" w:sz="4" w:space="0" w:color="auto"/>
            </w:tcBorders>
            <w:shd w:val="clear" w:color="000000" w:fill="FFFFFF"/>
            <w:noWrap/>
            <w:vAlign w:val="bottom"/>
            <w:hideMark/>
          </w:tcPr>
          <w:p w14:paraId="51B49AF6" w14:textId="77777777" w:rsidR="001D4AFA" w:rsidRPr="009F2D1E" w:rsidRDefault="001D4AFA" w:rsidP="009F2D1E">
            <w:pPr>
              <w:jc w:val="right"/>
              <w:rPr>
                <w:rFonts w:ascii="Times New Roman" w:hAnsi="Times New Roman"/>
                <w:sz w:val="14"/>
                <w:szCs w:val="14"/>
              </w:rPr>
            </w:pPr>
            <w:r w:rsidRPr="009F2D1E">
              <w:rPr>
                <w:sz w:val="14"/>
                <w:szCs w:val="14"/>
              </w:rPr>
              <w:t>354,55</w:t>
            </w:r>
          </w:p>
        </w:tc>
        <w:tc>
          <w:tcPr>
            <w:tcW w:w="1278" w:type="dxa"/>
            <w:tcBorders>
              <w:top w:val="nil"/>
              <w:left w:val="nil"/>
              <w:bottom w:val="single" w:sz="4" w:space="0" w:color="auto"/>
              <w:right w:val="single" w:sz="4" w:space="0" w:color="auto"/>
            </w:tcBorders>
            <w:shd w:val="clear" w:color="000000" w:fill="FFFFFF"/>
            <w:noWrap/>
            <w:vAlign w:val="bottom"/>
            <w:hideMark/>
          </w:tcPr>
          <w:p w14:paraId="18A9AEAE" w14:textId="77777777" w:rsidR="001D4AFA" w:rsidRPr="009F2D1E" w:rsidRDefault="001D4AFA" w:rsidP="009F2D1E">
            <w:pPr>
              <w:jc w:val="right"/>
              <w:rPr>
                <w:rFonts w:ascii="Times New Roman" w:hAnsi="Times New Roman"/>
                <w:sz w:val="14"/>
                <w:szCs w:val="14"/>
              </w:rPr>
            </w:pPr>
            <w:r w:rsidRPr="009F2D1E">
              <w:rPr>
                <w:sz w:val="14"/>
                <w:szCs w:val="14"/>
              </w:rPr>
              <w:t>512,11</w:t>
            </w:r>
          </w:p>
        </w:tc>
        <w:tc>
          <w:tcPr>
            <w:tcW w:w="1262" w:type="dxa"/>
            <w:tcBorders>
              <w:top w:val="nil"/>
              <w:left w:val="nil"/>
              <w:bottom w:val="single" w:sz="4" w:space="0" w:color="auto"/>
              <w:right w:val="single" w:sz="4" w:space="0" w:color="auto"/>
            </w:tcBorders>
            <w:shd w:val="clear" w:color="000000" w:fill="FFFFFF"/>
            <w:vAlign w:val="bottom"/>
          </w:tcPr>
          <w:p w14:paraId="409EFE7C" w14:textId="77777777" w:rsidR="001D4AFA" w:rsidRPr="009F2D1E" w:rsidRDefault="001D4AFA" w:rsidP="009F2D1E">
            <w:pPr>
              <w:jc w:val="right"/>
              <w:rPr>
                <w:rFonts w:ascii="Times New Roman" w:hAnsi="Times New Roman"/>
                <w:sz w:val="14"/>
                <w:szCs w:val="14"/>
              </w:rPr>
            </w:pPr>
            <w:r w:rsidRPr="009F2D1E">
              <w:rPr>
                <w:sz w:val="14"/>
                <w:szCs w:val="14"/>
              </w:rPr>
              <w:t>511,88</w:t>
            </w:r>
          </w:p>
        </w:tc>
      </w:tr>
      <w:tr w:rsidR="001D4AFA" w:rsidRPr="00364545" w14:paraId="0DF36207"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120D07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264" w:type="dxa"/>
            <w:tcBorders>
              <w:top w:val="nil"/>
              <w:left w:val="nil"/>
              <w:bottom w:val="single" w:sz="4" w:space="0" w:color="auto"/>
              <w:right w:val="single" w:sz="4" w:space="0" w:color="auto"/>
            </w:tcBorders>
            <w:shd w:val="clear" w:color="000000" w:fill="FFFFFF"/>
            <w:noWrap/>
            <w:vAlign w:val="bottom"/>
            <w:hideMark/>
          </w:tcPr>
          <w:p w14:paraId="22E92FE8" w14:textId="77777777" w:rsidR="001D4AFA" w:rsidRPr="009F2D1E" w:rsidRDefault="001D4AFA" w:rsidP="009F2D1E">
            <w:pPr>
              <w:jc w:val="right"/>
              <w:rPr>
                <w:rFonts w:ascii="Times New Roman" w:hAnsi="Times New Roman"/>
                <w:sz w:val="14"/>
                <w:szCs w:val="14"/>
              </w:rPr>
            </w:pPr>
            <w:r w:rsidRPr="009F2D1E">
              <w:rPr>
                <w:sz w:val="14"/>
                <w:szCs w:val="14"/>
              </w:rPr>
              <w:t>11927,75</w:t>
            </w:r>
          </w:p>
        </w:tc>
        <w:tc>
          <w:tcPr>
            <w:tcW w:w="1278" w:type="dxa"/>
            <w:tcBorders>
              <w:top w:val="nil"/>
              <w:left w:val="nil"/>
              <w:bottom w:val="single" w:sz="4" w:space="0" w:color="auto"/>
              <w:right w:val="single" w:sz="4" w:space="0" w:color="auto"/>
            </w:tcBorders>
            <w:shd w:val="clear" w:color="000000" w:fill="FFFFFF"/>
            <w:noWrap/>
            <w:vAlign w:val="bottom"/>
            <w:hideMark/>
          </w:tcPr>
          <w:p w14:paraId="66DF9B3D" w14:textId="77777777" w:rsidR="001D4AFA" w:rsidRPr="009F2D1E" w:rsidRDefault="001D4AFA" w:rsidP="009F2D1E">
            <w:pPr>
              <w:jc w:val="right"/>
              <w:rPr>
                <w:rFonts w:ascii="Times New Roman" w:hAnsi="Times New Roman"/>
                <w:sz w:val="14"/>
                <w:szCs w:val="14"/>
              </w:rPr>
            </w:pPr>
            <w:r w:rsidRPr="009F2D1E">
              <w:rPr>
                <w:sz w:val="14"/>
                <w:szCs w:val="14"/>
              </w:rPr>
              <w:t>12964,37</w:t>
            </w:r>
          </w:p>
        </w:tc>
        <w:tc>
          <w:tcPr>
            <w:tcW w:w="1278" w:type="dxa"/>
            <w:tcBorders>
              <w:top w:val="nil"/>
              <w:left w:val="nil"/>
              <w:bottom w:val="single" w:sz="4" w:space="0" w:color="auto"/>
              <w:right w:val="single" w:sz="4" w:space="0" w:color="auto"/>
            </w:tcBorders>
            <w:shd w:val="clear" w:color="000000" w:fill="FFFFFF"/>
            <w:noWrap/>
            <w:vAlign w:val="bottom"/>
            <w:hideMark/>
          </w:tcPr>
          <w:p w14:paraId="2B5369B3" w14:textId="77777777" w:rsidR="001D4AFA" w:rsidRPr="009F2D1E" w:rsidRDefault="001D4AFA" w:rsidP="009F2D1E">
            <w:pPr>
              <w:jc w:val="right"/>
              <w:rPr>
                <w:rFonts w:ascii="Times New Roman" w:hAnsi="Times New Roman"/>
                <w:sz w:val="14"/>
                <w:szCs w:val="14"/>
              </w:rPr>
            </w:pPr>
            <w:r w:rsidRPr="009F2D1E">
              <w:rPr>
                <w:sz w:val="14"/>
                <w:szCs w:val="14"/>
              </w:rPr>
              <w:t>12560,41</w:t>
            </w:r>
          </w:p>
        </w:tc>
        <w:tc>
          <w:tcPr>
            <w:tcW w:w="1278" w:type="dxa"/>
            <w:tcBorders>
              <w:top w:val="nil"/>
              <w:left w:val="nil"/>
              <w:bottom w:val="single" w:sz="4" w:space="0" w:color="auto"/>
              <w:right w:val="single" w:sz="4" w:space="0" w:color="auto"/>
            </w:tcBorders>
            <w:shd w:val="clear" w:color="000000" w:fill="FFFFFF"/>
            <w:noWrap/>
            <w:vAlign w:val="bottom"/>
            <w:hideMark/>
          </w:tcPr>
          <w:p w14:paraId="3A0AB924" w14:textId="77777777" w:rsidR="001D4AFA" w:rsidRPr="009F2D1E" w:rsidRDefault="001D4AFA" w:rsidP="009F2D1E">
            <w:pPr>
              <w:jc w:val="right"/>
              <w:rPr>
                <w:rFonts w:ascii="Times New Roman" w:hAnsi="Times New Roman"/>
                <w:sz w:val="14"/>
                <w:szCs w:val="14"/>
              </w:rPr>
            </w:pPr>
            <w:r w:rsidRPr="009F2D1E">
              <w:rPr>
                <w:sz w:val="14"/>
                <w:szCs w:val="14"/>
              </w:rPr>
              <w:t>11796,36</w:t>
            </w:r>
          </w:p>
        </w:tc>
        <w:tc>
          <w:tcPr>
            <w:tcW w:w="1278" w:type="dxa"/>
            <w:tcBorders>
              <w:top w:val="nil"/>
              <w:left w:val="nil"/>
              <w:bottom w:val="single" w:sz="4" w:space="0" w:color="auto"/>
              <w:right w:val="single" w:sz="4" w:space="0" w:color="auto"/>
            </w:tcBorders>
            <w:shd w:val="clear" w:color="000000" w:fill="FFFFFF"/>
            <w:noWrap/>
            <w:vAlign w:val="bottom"/>
            <w:hideMark/>
          </w:tcPr>
          <w:p w14:paraId="486D6DFF" w14:textId="77777777" w:rsidR="001D4AFA" w:rsidRPr="009F2D1E" w:rsidRDefault="001D4AFA" w:rsidP="009F2D1E">
            <w:pPr>
              <w:jc w:val="right"/>
              <w:rPr>
                <w:rFonts w:ascii="Times New Roman" w:hAnsi="Times New Roman"/>
                <w:sz w:val="14"/>
                <w:szCs w:val="14"/>
              </w:rPr>
            </w:pPr>
            <w:r w:rsidRPr="009F2D1E">
              <w:rPr>
                <w:sz w:val="14"/>
                <w:szCs w:val="14"/>
              </w:rPr>
              <w:t>11576,49</w:t>
            </w:r>
          </w:p>
        </w:tc>
        <w:tc>
          <w:tcPr>
            <w:tcW w:w="1262" w:type="dxa"/>
            <w:tcBorders>
              <w:top w:val="nil"/>
              <w:left w:val="nil"/>
              <w:bottom w:val="single" w:sz="4" w:space="0" w:color="auto"/>
              <w:right w:val="single" w:sz="4" w:space="0" w:color="auto"/>
            </w:tcBorders>
            <w:shd w:val="clear" w:color="000000" w:fill="FFFFFF"/>
            <w:vAlign w:val="bottom"/>
          </w:tcPr>
          <w:p w14:paraId="2921BA43" w14:textId="77777777" w:rsidR="001D4AFA" w:rsidRPr="009F2D1E" w:rsidRDefault="001D4AFA" w:rsidP="009F2D1E">
            <w:pPr>
              <w:jc w:val="right"/>
              <w:rPr>
                <w:rFonts w:ascii="Times New Roman" w:hAnsi="Times New Roman"/>
                <w:sz w:val="14"/>
                <w:szCs w:val="14"/>
              </w:rPr>
            </w:pPr>
            <w:r w:rsidRPr="009F2D1E">
              <w:rPr>
                <w:sz w:val="14"/>
                <w:szCs w:val="14"/>
              </w:rPr>
              <w:t>11478,81</w:t>
            </w:r>
          </w:p>
        </w:tc>
      </w:tr>
      <w:tr w:rsidR="001D4AFA" w:rsidRPr="00364545" w14:paraId="2E3F7E1B"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D04572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264" w:type="dxa"/>
            <w:tcBorders>
              <w:top w:val="nil"/>
              <w:left w:val="nil"/>
              <w:bottom w:val="single" w:sz="4" w:space="0" w:color="auto"/>
              <w:right w:val="single" w:sz="4" w:space="0" w:color="auto"/>
            </w:tcBorders>
            <w:shd w:val="clear" w:color="000000" w:fill="FFFFFF"/>
            <w:noWrap/>
            <w:vAlign w:val="bottom"/>
            <w:hideMark/>
          </w:tcPr>
          <w:p w14:paraId="3A910867"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68FC33F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2E61FDF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0059D7C3"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11B7093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35E85CDE"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621ECA0C"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4D5AC7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264" w:type="dxa"/>
            <w:tcBorders>
              <w:top w:val="nil"/>
              <w:left w:val="nil"/>
              <w:bottom w:val="single" w:sz="4" w:space="0" w:color="auto"/>
              <w:right w:val="single" w:sz="4" w:space="0" w:color="auto"/>
            </w:tcBorders>
            <w:shd w:val="clear" w:color="000000" w:fill="FFFFFF"/>
            <w:noWrap/>
            <w:vAlign w:val="bottom"/>
            <w:hideMark/>
          </w:tcPr>
          <w:p w14:paraId="24466F8E" w14:textId="77777777" w:rsidR="001D4AFA" w:rsidRPr="009F2D1E" w:rsidRDefault="001D4AFA" w:rsidP="009F2D1E">
            <w:pPr>
              <w:jc w:val="right"/>
              <w:rPr>
                <w:rFonts w:ascii="Times New Roman" w:hAnsi="Times New Roman"/>
                <w:sz w:val="14"/>
                <w:szCs w:val="14"/>
              </w:rPr>
            </w:pPr>
            <w:r w:rsidRPr="009F2D1E">
              <w:rPr>
                <w:sz w:val="14"/>
                <w:szCs w:val="14"/>
              </w:rPr>
              <w:t>-4473,04</w:t>
            </w:r>
          </w:p>
        </w:tc>
        <w:tc>
          <w:tcPr>
            <w:tcW w:w="1278" w:type="dxa"/>
            <w:tcBorders>
              <w:top w:val="nil"/>
              <w:left w:val="nil"/>
              <w:bottom w:val="single" w:sz="4" w:space="0" w:color="auto"/>
              <w:right w:val="single" w:sz="4" w:space="0" w:color="auto"/>
            </w:tcBorders>
            <w:shd w:val="clear" w:color="000000" w:fill="FFFFFF"/>
            <w:noWrap/>
            <w:vAlign w:val="bottom"/>
            <w:hideMark/>
          </w:tcPr>
          <w:p w14:paraId="3D326D02" w14:textId="77777777" w:rsidR="001D4AFA" w:rsidRPr="009F2D1E" w:rsidRDefault="001D4AFA" w:rsidP="009F2D1E">
            <w:pPr>
              <w:jc w:val="right"/>
              <w:rPr>
                <w:rFonts w:ascii="Times New Roman" w:hAnsi="Times New Roman"/>
                <w:sz w:val="14"/>
                <w:szCs w:val="14"/>
              </w:rPr>
            </w:pPr>
            <w:r w:rsidRPr="009F2D1E">
              <w:rPr>
                <w:sz w:val="14"/>
                <w:szCs w:val="14"/>
              </w:rPr>
              <w:t>-3412,42</w:t>
            </w:r>
          </w:p>
        </w:tc>
        <w:tc>
          <w:tcPr>
            <w:tcW w:w="1278" w:type="dxa"/>
            <w:tcBorders>
              <w:top w:val="nil"/>
              <w:left w:val="nil"/>
              <w:bottom w:val="single" w:sz="4" w:space="0" w:color="auto"/>
              <w:right w:val="single" w:sz="4" w:space="0" w:color="auto"/>
            </w:tcBorders>
            <w:shd w:val="clear" w:color="000000" w:fill="FFFFFF"/>
            <w:noWrap/>
            <w:vAlign w:val="bottom"/>
            <w:hideMark/>
          </w:tcPr>
          <w:p w14:paraId="528CB812" w14:textId="77777777" w:rsidR="001D4AFA" w:rsidRPr="009F2D1E" w:rsidRDefault="001D4AFA" w:rsidP="009F2D1E">
            <w:pPr>
              <w:jc w:val="right"/>
              <w:rPr>
                <w:rFonts w:ascii="Times New Roman" w:hAnsi="Times New Roman"/>
                <w:sz w:val="14"/>
                <w:szCs w:val="14"/>
              </w:rPr>
            </w:pPr>
            <w:r w:rsidRPr="009F2D1E">
              <w:rPr>
                <w:sz w:val="14"/>
                <w:szCs w:val="14"/>
              </w:rPr>
              <w:t>-1334,29</w:t>
            </w:r>
          </w:p>
        </w:tc>
        <w:tc>
          <w:tcPr>
            <w:tcW w:w="1278" w:type="dxa"/>
            <w:tcBorders>
              <w:top w:val="nil"/>
              <w:left w:val="nil"/>
              <w:bottom w:val="single" w:sz="4" w:space="0" w:color="auto"/>
              <w:right w:val="single" w:sz="4" w:space="0" w:color="auto"/>
            </w:tcBorders>
            <w:shd w:val="clear" w:color="000000" w:fill="FFFFFF"/>
            <w:noWrap/>
            <w:vAlign w:val="bottom"/>
            <w:hideMark/>
          </w:tcPr>
          <w:p w14:paraId="7B7E7C47" w14:textId="77777777" w:rsidR="001D4AFA" w:rsidRPr="009F2D1E" w:rsidRDefault="001D4AFA" w:rsidP="009F2D1E">
            <w:pPr>
              <w:jc w:val="right"/>
              <w:rPr>
                <w:rFonts w:ascii="Times New Roman" w:hAnsi="Times New Roman"/>
                <w:sz w:val="14"/>
                <w:szCs w:val="14"/>
              </w:rPr>
            </w:pPr>
            <w:r w:rsidRPr="009F2D1E">
              <w:rPr>
                <w:sz w:val="14"/>
                <w:szCs w:val="14"/>
              </w:rPr>
              <w:t>-3425,05</w:t>
            </w:r>
          </w:p>
        </w:tc>
        <w:tc>
          <w:tcPr>
            <w:tcW w:w="1278" w:type="dxa"/>
            <w:tcBorders>
              <w:top w:val="nil"/>
              <w:left w:val="nil"/>
              <w:bottom w:val="single" w:sz="4" w:space="0" w:color="auto"/>
              <w:right w:val="single" w:sz="4" w:space="0" w:color="auto"/>
            </w:tcBorders>
            <w:shd w:val="clear" w:color="000000" w:fill="FFFFFF"/>
            <w:noWrap/>
            <w:vAlign w:val="bottom"/>
            <w:hideMark/>
          </w:tcPr>
          <w:p w14:paraId="3E72A5A8" w14:textId="77777777" w:rsidR="001D4AFA" w:rsidRPr="009F2D1E" w:rsidRDefault="001D4AFA" w:rsidP="009F2D1E">
            <w:pPr>
              <w:jc w:val="right"/>
              <w:rPr>
                <w:rFonts w:ascii="Times New Roman" w:hAnsi="Times New Roman"/>
                <w:sz w:val="14"/>
                <w:szCs w:val="14"/>
              </w:rPr>
            </w:pPr>
            <w:r w:rsidRPr="009F2D1E">
              <w:rPr>
                <w:sz w:val="14"/>
                <w:szCs w:val="14"/>
              </w:rPr>
              <w:t>-3449,42</w:t>
            </w:r>
          </w:p>
        </w:tc>
        <w:tc>
          <w:tcPr>
            <w:tcW w:w="1262" w:type="dxa"/>
            <w:tcBorders>
              <w:top w:val="nil"/>
              <w:left w:val="nil"/>
              <w:bottom w:val="single" w:sz="4" w:space="0" w:color="auto"/>
              <w:right w:val="single" w:sz="4" w:space="0" w:color="auto"/>
            </w:tcBorders>
            <w:shd w:val="clear" w:color="000000" w:fill="FFFFFF"/>
            <w:vAlign w:val="bottom"/>
          </w:tcPr>
          <w:p w14:paraId="4F49ED3B" w14:textId="77777777" w:rsidR="001D4AFA" w:rsidRPr="009F2D1E" w:rsidRDefault="001D4AFA" w:rsidP="009F2D1E">
            <w:pPr>
              <w:jc w:val="right"/>
              <w:rPr>
                <w:rFonts w:ascii="Times New Roman" w:hAnsi="Times New Roman"/>
                <w:sz w:val="14"/>
                <w:szCs w:val="14"/>
              </w:rPr>
            </w:pPr>
            <w:r w:rsidRPr="009F2D1E">
              <w:rPr>
                <w:sz w:val="14"/>
                <w:szCs w:val="14"/>
              </w:rPr>
              <w:t>-2321,85</w:t>
            </w:r>
          </w:p>
        </w:tc>
      </w:tr>
      <w:tr w:rsidR="001D4AFA" w:rsidRPr="00364545" w14:paraId="2152590E"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23A117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18BDCE2A" w14:textId="77777777" w:rsidR="001D4AFA" w:rsidRPr="009F2D1E" w:rsidRDefault="001D4AFA" w:rsidP="009F2D1E">
            <w:pPr>
              <w:jc w:val="right"/>
              <w:rPr>
                <w:rFonts w:ascii="Times New Roman" w:hAnsi="Times New Roman"/>
                <w:sz w:val="14"/>
                <w:szCs w:val="14"/>
              </w:rPr>
            </w:pPr>
            <w:r w:rsidRPr="009F2D1E">
              <w:rPr>
                <w:sz w:val="14"/>
                <w:szCs w:val="14"/>
              </w:rPr>
              <w:t>235,78</w:t>
            </w:r>
          </w:p>
        </w:tc>
        <w:tc>
          <w:tcPr>
            <w:tcW w:w="1278" w:type="dxa"/>
            <w:tcBorders>
              <w:top w:val="nil"/>
              <w:left w:val="nil"/>
              <w:bottom w:val="single" w:sz="4" w:space="0" w:color="auto"/>
              <w:right w:val="single" w:sz="4" w:space="0" w:color="auto"/>
            </w:tcBorders>
            <w:shd w:val="clear" w:color="000000" w:fill="FFFFFF"/>
            <w:noWrap/>
            <w:vAlign w:val="bottom"/>
            <w:hideMark/>
          </w:tcPr>
          <w:p w14:paraId="449AEE5C" w14:textId="77777777" w:rsidR="001D4AFA" w:rsidRPr="009F2D1E" w:rsidRDefault="001D4AFA" w:rsidP="009F2D1E">
            <w:pPr>
              <w:jc w:val="right"/>
              <w:rPr>
                <w:rFonts w:ascii="Times New Roman" w:hAnsi="Times New Roman"/>
                <w:sz w:val="14"/>
                <w:szCs w:val="14"/>
              </w:rPr>
            </w:pPr>
            <w:r w:rsidRPr="009F2D1E">
              <w:rPr>
                <w:sz w:val="14"/>
                <w:szCs w:val="14"/>
              </w:rPr>
              <w:t>205,63</w:t>
            </w:r>
          </w:p>
        </w:tc>
        <w:tc>
          <w:tcPr>
            <w:tcW w:w="1278" w:type="dxa"/>
            <w:tcBorders>
              <w:top w:val="nil"/>
              <w:left w:val="nil"/>
              <w:bottom w:val="single" w:sz="4" w:space="0" w:color="auto"/>
              <w:right w:val="single" w:sz="4" w:space="0" w:color="auto"/>
            </w:tcBorders>
            <w:shd w:val="clear" w:color="000000" w:fill="FFFFFF"/>
            <w:noWrap/>
            <w:vAlign w:val="bottom"/>
            <w:hideMark/>
          </w:tcPr>
          <w:p w14:paraId="06B715BE" w14:textId="77777777" w:rsidR="001D4AFA" w:rsidRPr="009F2D1E" w:rsidRDefault="001D4AFA" w:rsidP="009F2D1E">
            <w:pPr>
              <w:jc w:val="right"/>
              <w:rPr>
                <w:rFonts w:ascii="Times New Roman" w:hAnsi="Times New Roman"/>
                <w:sz w:val="14"/>
                <w:szCs w:val="14"/>
              </w:rPr>
            </w:pPr>
            <w:r w:rsidRPr="009F2D1E">
              <w:rPr>
                <w:sz w:val="14"/>
                <w:szCs w:val="14"/>
              </w:rPr>
              <w:t>179,34</w:t>
            </w:r>
          </w:p>
        </w:tc>
        <w:tc>
          <w:tcPr>
            <w:tcW w:w="1278" w:type="dxa"/>
            <w:tcBorders>
              <w:top w:val="nil"/>
              <w:left w:val="nil"/>
              <w:bottom w:val="single" w:sz="4" w:space="0" w:color="auto"/>
              <w:right w:val="single" w:sz="4" w:space="0" w:color="auto"/>
            </w:tcBorders>
            <w:shd w:val="clear" w:color="000000" w:fill="FFFFFF"/>
            <w:noWrap/>
            <w:vAlign w:val="bottom"/>
            <w:hideMark/>
          </w:tcPr>
          <w:p w14:paraId="38C9D717" w14:textId="77777777" w:rsidR="001D4AFA" w:rsidRPr="009F2D1E" w:rsidRDefault="001D4AFA" w:rsidP="009F2D1E">
            <w:pPr>
              <w:jc w:val="right"/>
              <w:rPr>
                <w:rFonts w:ascii="Times New Roman" w:hAnsi="Times New Roman"/>
                <w:sz w:val="14"/>
                <w:szCs w:val="14"/>
              </w:rPr>
            </w:pPr>
            <w:r w:rsidRPr="009F2D1E">
              <w:rPr>
                <w:sz w:val="14"/>
                <w:szCs w:val="14"/>
              </w:rPr>
              <w:t>156,41</w:t>
            </w:r>
          </w:p>
        </w:tc>
        <w:tc>
          <w:tcPr>
            <w:tcW w:w="1278" w:type="dxa"/>
            <w:tcBorders>
              <w:top w:val="nil"/>
              <w:left w:val="nil"/>
              <w:bottom w:val="single" w:sz="4" w:space="0" w:color="auto"/>
              <w:right w:val="single" w:sz="4" w:space="0" w:color="auto"/>
            </w:tcBorders>
            <w:shd w:val="clear" w:color="000000" w:fill="FFFFFF"/>
            <w:noWrap/>
            <w:vAlign w:val="bottom"/>
            <w:hideMark/>
          </w:tcPr>
          <w:p w14:paraId="324D689F" w14:textId="77777777" w:rsidR="001D4AFA" w:rsidRPr="009F2D1E" w:rsidRDefault="001D4AFA" w:rsidP="009F2D1E">
            <w:pPr>
              <w:jc w:val="right"/>
              <w:rPr>
                <w:rFonts w:ascii="Times New Roman" w:hAnsi="Times New Roman"/>
                <w:sz w:val="14"/>
                <w:szCs w:val="14"/>
              </w:rPr>
            </w:pPr>
            <w:r w:rsidRPr="009F2D1E">
              <w:rPr>
                <w:sz w:val="14"/>
                <w:szCs w:val="14"/>
              </w:rPr>
              <w:t>136,41</w:t>
            </w:r>
          </w:p>
        </w:tc>
        <w:tc>
          <w:tcPr>
            <w:tcW w:w="1262" w:type="dxa"/>
            <w:tcBorders>
              <w:top w:val="nil"/>
              <w:left w:val="nil"/>
              <w:bottom w:val="single" w:sz="4" w:space="0" w:color="auto"/>
              <w:right w:val="single" w:sz="4" w:space="0" w:color="auto"/>
            </w:tcBorders>
            <w:shd w:val="clear" w:color="000000" w:fill="FFFFFF"/>
            <w:vAlign w:val="bottom"/>
          </w:tcPr>
          <w:p w14:paraId="5EB35861" w14:textId="77777777" w:rsidR="001D4AFA" w:rsidRPr="009F2D1E" w:rsidRDefault="001D4AFA" w:rsidP="009F2D1E">
            <w:pPr>
              <w:jc w:val="right"/>
              <w:rPr>
                <w:rFonts w:ascii="Times New Roman" w:hAnsi="Times New Roman"/>
                <w:sz w:val="14"/>
                <w:szCs w:val="14"/>
              </w:rPr>
            </w:pPr>
            <w:r w:rsidRPr="009F2D1E">
              <w:rPr>
                <w:sz w:val="14"/>
                <w:szCs w:val="14"/>
              </w:rPr>
              <w:t>118,97</w:t>
            </w:r>
          </w:p>
        </w:tc>
      </w:tr>
      <w:tr w:rsidR="001D4AFA" w:rsidRPr="00364545" w14:paraId="6C73B3B9"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F2F436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5. Waste</w:t>
            </w:r>
          </w:p>
        </w:tc>
        <w:tc>
          <w:tcPr>
            <w:tcW w:w="1264" w:type="dxa"/>
            <w:tcBorders>
              <w:top w:val="nil"/>
              <w:left w:val="nil"/>
              <w:bottom w:val="single" w:sz="4" w:space="0" w:color="auto"/>
              <w:right w:val="single" w:sz="4" w:space="0" w:color="auto"/>
            </w:tcBorders>
            <w:shd w:val="clear" w:color="000000" w:fill="CCFFFF"/>
            <w:noWrap/>
            <w:vAlign w:val="bottom"/>
            <w:hideMark/>
          </w:tcPr>
          <w:p w14:paraId="033AA888" w14:textId="77777777" w:rsidR="001D4AFA" w:rsidRPr="009F2D1E" w:rsidRDefault="001D4AFA" w:rsidP="009F2D1E">
            <w:pPr>
              <w:jc w:val="right"/>
              <w:rPr>
                <w:rFonts w:ascii="Times New Roman" w:hAnsi="Times New Roman"/>
                <w:sz w:val="14"/>
                <w:szCs w:val="14"/>
              </w:rPr>
            </w:pPr>
            <w:r w:rsidRPr="009F2D1E">
              <w:rPr>
                <w:sz w:val="14"/>
                <w:szCs w:val="14"/>
              </w:rPr>
              <w:t>1490,83</w:t>
            </w:r>
          </w:p>
        </w:tc>
        <w:tc>
          <w:tcPr>
            <w:tcW w:w="1278" w:type="dxa"/>
            <w:tcBorders>
              <w:top w:val="nil"/>
              <w:left w:val="nil"/>
              <w:bottom w:val="single" w:sz="4" w:space="0" w:color="auto"/>
              <w:right w:val="single" w:sz="4" w:space="0" w:color="auto"/>
            </w:tcBorders>
            <w:shd w:val="clear" w:color="000000" w:fill="CCFFFF"/>
            <w:noWrap/>
            <w:vAlign w:val="bottom"/>
            <w:hideMark/>
          </w:tcPr>
          <w:p w14:paraId="7C602DAA" w14:textId="77777777" w:rsidR="001D4AFA" w:rsidRPr="009F2D1E" w:rsidRDefault="001D4AFA" w:rsidP="009F2D1E">
            <w:pPr>
              <w:jc w:val="right"/>
              <w:rPr>
                <w:rFonts w:ascii="Times New Roman" w:hAnsi="Times New Roman"/>
                <w:sz w:val="14"/>
                <w:szCs w:val="14"/>
              </w:rPr>
            </w:pPr>
            <w:r w:rsidRPr="009F2D1E">
              <w:rPr>
                <w:sz w:val="14"/>
                <w:szCs w:val="14"/>
              </w:rPr>
              <w:t>1547,10</w:t>
            </w:r>
          </w:p>
        </w:tc>
        <w:tc>
          <w:tcPr>
            <w:tcW w:w="1278" w:type="dxa"/>
            <w:tcBorders>
              <w:top w:val="nil"/>
              <w:left w:val="nil"/>
              <w:bottom w:val="single" w:sz="4" w:space="0" w:color="auto"/>
              <w:right w:val="single" w:sz="4" w:space="0" w:color="auto"/>
            </w:tcBorders>
            <w:shd w:val="clear" w:color="000000" w:fill="CCFFFF"/>
            <w:noWrap/>
            <w:vAlign w:val="bottom"/>
            <w:hideMark/>
          </w:tcPr>
          <w:p w14:paraId="10C4BECF" w14:textId="77777777" w:rsidR="001D4AFA" w:rsidRPr="009F2D1E" w:rsidRDefault="001D4AFA" w:rsidP="009F2D1E">
            <w:pPr>
              <w:jc w:val="right"/>
              <w:rPr>
                <w:rFonts w:ascii="Times New Roman" w:hAnsi="Times New Roman"/>
                <w:sz w:val="14"/>
                <w:szCs w:val="14"/>
              </w:rPr>
            </w:pPr>
            <w:r w:rsidRPr="009F2D1E">
              <w:rPr>
                <w:sz w:val="14"/>
                <w:szCs w:val="14"/>
              </w:rPr>
              <w:t>1522,89</w:t>
            </w:r>
          </w:p>
        </w:tc>
        <w:tc>
          <w:tcPr>
            <w:tcW w:w="1278" w:type="dxa"/>
            <w:tcBorders>
              <w:top w:val="nil"/>
              <w:left w:val="nil"/>
              <w:bottom w:val="single" w:sz="4" w:space="0" w:color="auto"/>
              <w:right w:val="single" w:sz="4" w:space="0" w:color="auto"/>
            </w:tcBorders>
            <w:shd w:val="clear" w:color="000000" w:fill="CCFFFF"/>
            <w:noWrap/>
            <w:vAlign w:val="bottom"/>
            <w:hideMark/>
          </w:tcPr>
          <w:p w14:paraId="66D8D2E7" w14:textId="77777777" w:rsidR="001D4AFA" w:rsidRPr="009F2D1E" w:rsidRDefault="001D4AFA" w:rsidP="009F2D1E">
            <w:pPr>
              <w:jc w:val="right"/>
              <w:rPr>
                <w:rFonts w:ascii="Times New Roman" w:hAnsi="Times New Roman"/>
                <w:sz w:val="14"/>
                <w:szCs w:val="14"/>
              </w:rPr>
            </w:pPr>
            <w:r w:rsidRPr="009F2D1E">
              <w:rPr>
                <w:sz w:val="14"/>
                <w:szCs w:val="14"/>
              </w:rPr>
              <w:t>1607,52</w:t>
            </w:r>
          </w:p>
        </w:tc>
        <w:tc>
          <w:tcPr>
            <w:tcW w:w="1278" w:type="dxa"/>
            <w:tcBorders>
              <w:top w:val="nil"/>
              <w:left w:val="nil"/>
              <w:bottom w:val="single" w:sz="4" w:space="0" w:color="auto"/>
              <w:right w:val="single" w:sz="4" w:space="0" w:color="auto"/>
            </w:tcBorders>
            <w:shd w:val="clear" w:color="000000" w:fill="CCFFFF"/>
            <w:noWrap/>
            <w:vAlign w:val="bottom"/>
            <w:hideMark/>
          </w:tcPr>
          <w:p w14:paraId="271FE19A" w14:textId="77777777" w:rsidR="001D4AFA" w:rsidRPr="009F2D1E" w:rsidRDefault="001D4AFA" w:rsidP="009F2D1E">
            <w:pPr>
              <w:jc w:val="right"/>
              <w:rPr>
                <w:rFonts w:ascii="Times New Roman" w:hAnsi="Times New Roman"/>
                <w:sz w:val="14"/>
                <w:szCs w:val="14"/>
              </w:rPr>
            </w:pPr>
            <w:r w:rsidRPr="009F2D1E">
              <w:rPr>
                <w:sz w:val="14"/>
                <w:szCs w:val="14"/>
              </w:rPr>
              <w:t>1650,10</w:t>
            </w:r>
          </w:p>
        </w:tc>
        <w:tc>
          <w:tcPr>
            <w:tcW w:w="1262" w:type="dxa"/>
            <w:tcBorders>
              <w:top w:val="nil"/>
              <w:left w:val="nil"/>
              <w:bottom w:val="single" w:sz="4" w:space="0" w:color="auto"/>
              <w:right w:val="single" w:sz="4" w:space="0" w:color="auto"/>
            </w:tcBorders>
            <w:shd w:val="clear" w:color="000000" w:fill="CCFFFF"/>
            <w:vAlign w:val="bottom"/>
          </w:tcPr>
          <w:p w14:paraId="0D1EAA30" w14:textId="77777777" w:rsidR="001D4AFA" w:rsidRPr="009F2D1E" w:rsidRDefault="001D4AFA" w:rsidP="009F2D1E">
            <w:pPr>
              <w:jc w:val="right"/>
              <w:rPr>
                <w:rFonts w:ascii="Times New Roman" w:hAnsi="Times New Roman"/>
                <w:sz w:val="14"/>
                <w:szCs w:val="14"/>
              </w:rPr>
            </w:pPr>
            <w:r w:rsidRPr="009F2D1E">
              <w:rPr>
                <w:sz w:val="14"/>
                <w:szCs w:val="14"/>
              </w:rPr>
              <w:t>1542,11</w:t>
            </w:r>
          </w:p>
        </w:tc>
      </w:tr>
      <w:tr w:rsidR="001D4AFA" w:rsidRPr="00364545" w14:paraId="561B4D0B"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2DC2BA9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227C17FB"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0DB0C0B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50DDFFB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6FA854D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FFFFFF"/>
            <w:noWrap/>
            <w:vAlign w:val="bottom"/>
            <w:hideMark/>
          </w:tcPr>
          <w:p w14:paraId="27CBA6E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62" w:type="dxa"/>
            <w:tcBorders>
              <w:top w:val="nil"/>
              <w:left w:val="nil"/>
              <w:bottom w:val="single" w:sz="4" w:space="0" w:color="auto"/>
              <w:right w:val="single" w:sz="4" w:space="0" w:color="auto"/>
            </w:tcBorders>
            <w:shd w:val="clear" w:color="000000" w:fill="FFFFFF"/>
            <w:vAlign w:val="bottom"/>
          </w:tcPr>
          <w:p w14:paraId="4ACDD96F"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442566D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067710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264" w:type="dxa"/>
            <w:tcBorders>
              <w:top w:val="nil"/>
              <w:left w:val="nil"/>
              <w:bottom w:val="single" w:sz="4" w:space="0" w:color="auto"/>
              <w:right w:val="single" w:sz="4" w:space="0" w:color="auto"/>
            </w:tcBorders>
            <w:shd w:val="clear" w:color="000000" w:fill="FFFFFF"/>
            <w:noWrap/>
            <w:vAlign w:val="bottom"/>
            <w:hideMark/>
          </w:tcPr>
          <w:p w14:paraId="4B6888D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0457666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2800F26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76164D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E656D4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141D53D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ABDC382"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9E7583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264" w:type="dxa"/>
            <w:tcBorders>
              <w:top w:val="nil"/>
              <w:left w:val="nil"/>
              <w:bottom w:val="single" w:sz="4" w:space="0" w:color="auto"/>
              <w:right w:val="single" w:sz="4" w:space="0" w:color="auto"/>
            </w:tcBorders>
            <w:shd w:val="clear" w:color="000000" w:fill="FFFFFF"/>
            <w:noWrap/>
            <w:vAlign w:val="bottom"/>
            <w:hideMark/>
          </w:tcPr>
          <w:p w14:paraId="6B301776" w14:textId="77777777" w:rsidR="001D4AFA" w:rsidRPr="009F2D1E" w:rsidRDefault="001D4AFA" w:rsidP="009F2D1E">
            <w:pPr>
              <w:jc w:val="right"/>
              <w:rPr>
                <w:rFonts w:ascii="Times New Roman" w:hAnsi="Times New Roman"/>
                <w:sz w:val="14"/>
                <w:szCs w:val="14"/>
              </w:rPr>
            </w:pPr>
            <w:r w:rsidRPr="009F2D1E">
              <w:rPr>
                <w:sz w:val="14"/>
                <w:szCs w:val="14"/>
              </w:rPr>
              <w:t>1490,83</w:t>
            </w:r>
          </w:p>
        </w:tc>
        <w:tc>
          <w:tcPr>
            <w:tcW w:w="1278" w:type="dxa"/>
            <w:tcBorders>
              <w:top w:val="nil"/>
              <w:left w:val="nil"/>
              <w:bottom w:val="single" w:sz="4" w:space="0" w:color="auto"/>
              <w:right w:val="single" w:sz="4" w:space="0" w:color="auto"/>
            </w:tcBorders>
            <w:shd w:val="clear" w:color="000000" w:fill="FFFFFF"/>
            <w:noWrap/>
            <w:vAlign w:val="bottom"/>
            <w:hideMark/>
          </w:tcPr>
          <w:p w14:paraId="2F00EFC5" w14:textId="77777777" w:rsidR="001D4AFA" w:rsidRPr="009F2D1E" w:rsidRDefault="001D4AFA" w:rsidP="009F2D1E">
            <w:pPr>
              <w:jc w:val="right"/>
              <w:rPr>
                <w:rFonts w:ascii="Times New Roman" w:hAnsi="Times New Roman"/>
                <w:sz w:val="14"/>
                <w:szCs w:val="14"/>
              </w:rPr>
            </w:pPr>
            <w:r w:rsidRPr="009F2D1E">
              <w:rPr>
                <w:sz w:val="14"/>
                <w:szCs w:val="14"/>
              </w:rPr>
              <w:t>1547,10</w:t>
            </w:r>
          </w:p>
        </w:tc>
        <w:tc>
          <w:tcPr>
            <w:tcW w:w="1278" w:type="dxa"/>
            <w:tcBorders>
              <w:top w:val="nil"/>
              <w:left w:val="nil"/>
              <w:bottom w:val="single" w:sz="4" w:space="0" w:color="auto"/>
              <w:right w:val="single" w:sz="4" w:space="0" w:color="auto"/>
            </w:tcBorders>
            <w:shd w:val="clear" w:color="000000" w:fill="FFFFFF"/>
            <w:noWrap/>
            <w:vAlign w:val="bottom"/>
            <w:hideMark/>
          </w:tcPr>
          <w:p w14:paraId="51FB339A" w14:textId="77777777" w:rsidR="001D4AFA" w:rsidRPr="009F2D1E" w:rsidRDefault="001D4AFA" w:rsidP="009F2D1E">
            <w:pPr>
              <w:jc w:val="right"/>
              <w:rPr>
                <w:rFonts w:ascii="Times New Roman" w:hAnsi="Times New Roman"/>
                <w:sz w:val="14"/>
                <w:szCs w:val="14"/>
              </w:rPr>
            </w:pPr>
            <w:r w:rsidRPr="009F2D1E">
              <w:rPr>
                <w:sz w:val="14"/>
                <w:szCs w:val="14"/>
              </w:rPr>
              <w:t>1522,89</w:t>
            </w:r>
          </w:p>
        </w:tc>
        <w:tc>
          <w:tcPr>
            <w:tcW w:w="1278" w:type="dxa"/>
            <w:tcBorders>
              <w:top w:val="nil"/>
              <w:left w:val="nil"/>
              <w:bottom w:val="single" w:sz="4" w:space="0" w:color="auto"/>
              <w:right w:val="single" w:sz="4" w:space="0" w:color="auto"/>
            </w:tcBorders>
            <w:shd w:val="clear" w:color="000000" w:fill="FFFFFF"/>
            <w:noWrap/>
            <w:vAlign w:val="bottom"/>
            <w:hideMark/>
          </w:tcPr>
          <w:p w14:paraId="2CF78F63" w14:textId="77777777" w:rsidR="001D4AFA" w:rsidRPr="009F2D1E" w:rsidRDefault="001D4AFA" w:rsidP="009F2D1E">
            <w:pPr>
              <w:jc w:val="right"/>
              <w:rPr>
                <w:rFonts w:ascii="Times New Roman" w:hAnsi="Times New Roman"/>
                <w:sz w:val="14"/>
                <w:szCs w:val="14"/>
              </w:rPr>
            </w:pPr>
            <w:r w:rsidRPr="009F2D1E">
              <w:rPr>
                <w:sz w:val="14"/>
                <w:szCs w:val="14"/>
              </w:rPr>
              <w:t>1607,52</w:t>
            </w:r>
          </w:p>
        </w:tc>
        <w:tc>
          <w:tcPr>
            <w:tcW w:w="1278" w:type="dxa"/>
            <w:tcBorders>
              <w:top w:val="nil"/>
              <w:left w:val="nil"/>
              <w:bottom w:val="single" w:sz="4" w:space="0" w:color="auto"/>
              <w:right w:val="single" w:sz="4" w:space="0" w:color="auto"/>
            </w:tcBorders>
            <w:shd w:val="clear" w:color="000000" w:fill="FFFFFF"/>
            <w:noWrap/>
            <w:vAlign w:val="bottom"/>
            <w:hideMark/>
          </w:tcPr>
          <w:p w14:paraId="304486C8" w14:textId="77777777" w:rsidR="001D4AFA" w:rsidRPr="009F2D1E" w:rsidRDefault="001D4AFA" w:rsidP="009F2D1E">
            <w:pPr>
              <w:jc w:val="right"/>
              <w:rPr>
                <w:rFonts w:ascii="Times New Roman" w:hAnsi="Times New Roman"/>
                <w:sz w:val="14"/>
                <w:szCs w:val="14"/>
              </w:rPr>
            </w:pPr>
            <w:r w:rsidRPr="009F2D1E">
              <w:rPr>
                <w:sz w:val="14"/>
                <w:szCs w:val="14"/>
              </w:rPr>
              <w:t>1650,10</w:t>
            </w:r>
          </w:p>
        </w:tc>
        <w:tc>
          <w:tcPr>
            <w:tcW w:w="1262" w:type="dxa"/>
            <w:tcBorders>
              <w:top w:val="nil"/>
              <w:left w:val="nil"/>
              <w:bottom w:val="single" w:sz="4" w:space="0" w:color="auto"/>
              <w:right w:val="single" w:sz="4" w:space="0" w:color="auto"/>
            </w:tcBorders>
            <w:shd w:val="clear" w:color="000000" w:fill="FFFFFF"/>
            <w:vAlign w:val="bottom"/>
          </w:tcPr>
          <w:p w14:paraId="4FF37AE0" w14:textId="77777777" w:rsidR="001D4AFA" w:rsidRPr="009F2D1E" w:rsidRDefault="001D4AFA" w:rsidP="009F2D1E">
            <w:pPr>
              <w:jc w:val="right"/>
              <w:rPr>
                <w:rFonts w:ascii="Times New Roman" w:hAnsi="Times New Roman"/>
                <w:sz w:val="14"/>
                <w:szCs w:val="14"/>
              </w:rPr>
            </w:pPr>
            <w:r w:rsidRPr="009F2D1E">
              <w:rPr>
                <w:sz w:val="14"/>
                <w:szCs w:val="14"/>
              </w:rPr>
              <w:t>1542,11</w:t>
            </w:r>
          </w:p>
        </w:tc>
      </w:tr>
      <w:tr w:rsidR="001D4AFA" w:rsidRPr="00364545" w14:paraId="3F05D5F0"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D022DC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264" w:type="dxa"/>
            <w:tcBorders>
              <w:top w:val="nil"/>
              <w:left w:val="nil"/>
              <w:bottom w:val="single" w:sz="4" w:space="0" w:color="auto"/>
              <w:right w:val="single" w:sz="4" w:space="0" w:color="auto"/>
            </w:tcBorders>
            <w:shd w:val="clear" w:color="000000" w:fill="FFFFFF"/>
            <w:noWrap/>
            <w:vAlign w:val="bottom"/>
            <w:hideMark/>
          </w:tcPr>
          <w:p w14:paraId="07A376E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251436C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1386747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282EE2F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29C58FC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1B2A40D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75C9974"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DED389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264" w:type="dxa"/>
            <w:tcBorders>
              <w:top w:val="nil"/>
              <w:left w:val="nil"/>
              <w:bottom w:val="single" w:sz="4" w:space="0" w:color="auto"/>
              <w:right w:val="single" w:sz="4" w:space="0" w:color="auto"/>
            </w:tcBorders>
            <w:shd w:val="clear" w:color="000000" w:fill="FFFFFF"/>
            <w:noWrap/>
            <w:vAlign w:val="bottom"/>
            <w:hideMark/>
          </w:tcPr>
          <w:p w14:paraId="70A1FCD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16D65C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2CE53FA8"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71C7DFC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FFFFFF"/>
            <w:noWrap/>
            <w:vAlign w:val="bottom"/>
            <w:hideMark/>
          </w:tcPr>
          <w:p w14:paraId="1BDFD32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62" w:type="dxa"/>
            <w:tcBorders>
              <w:top w:val="nil"/>
              <w:left w:val="nil"/>
              <w:bottom w:val="single" w:sz="4" w:space="0" w:color="auto"/>
              <w:right w:val="single" w:sz="4" w:space="0" w:color="auto"/>
            </w:tcBorders>
            <w:shd w:val="clear" w:color="000000" w:fill="FFFFFF"/>
            <w:vAlign w:val="bottom"/>
          </w:tcPr>
          <w:p w14:paraId="74B3F8CC"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18BC1F42"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677CDF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264" w:type="dxa"/>
            <w:tcBorders>
              <w:top w:val="nil"/>
              <w:left w:val="nil"/>
              <w:bottom w:val="single" w:sz="4" w:space="0" w:color="auto"/>
              <w:right w:val="single" w:sz="4" w:space="0" w:color="auto"/>
            </w:tcBorders>
            <w:shd w:val="clear" w:color="000000" w:fill="CCFFFF"/>
            <w:noWrap/>
            <w:vAlign w:val="bottom"/>
            <w:hideMark/>
          </w:tcPr>
          <w:p w14:paraId="6D260407"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66756578"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40C2A03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0588F58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78" w:type="dxa"/>
            <w:tcBorders>
              <w:top w:val="nil"/>
              <w:left w:val="nil"/>
              <w:bottom w:val="single" w:sz="4" w:space="0" w:color="auto"/>
              <w:right w:val="single" w:sz="4" w:space="0" w:color="auto"/>
            </w:tcBorders>
            <w:shd w:val="clear" w:color="000000" w:fill="CCFFFF"/>
            <w:noWrap/>
            <w:vAlign w:val="bottom"/>
            <w:hideMark/>
          </w:tcPr>
          <w:p w14:paraId="723F5769"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262" w:type="dxa"/>
            <w:tcBorders>
              <w:top w:val="nil"/>
              <w:left w:val="nil"/>
              <w:bottom w:val="single" w:sz="4" w:space="0" w:color="auto"/>
              <w:right w:val="single" w:sz="4" w:space="0" w:color="auto"/>
            </w:tcBorders>
            <w:shd w:val="clear" w:color="000000" w:fill="CCFFFF"/>
            <w:vAlign w:val="bottom"/>
          </w:tcPr>
          <w:p w14:paraId="03095986"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622CD63A"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407D59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Memo items:</w:t>
            </w:r>
          </w:p>
        </w:tc>
        <w:tc>
          <w:tcPr>
            <w:tcW w:w="1264" w:type="dxa"/>
            <w:tcBorders>
              <w:top w:val="nil"/>
              <w:left w:val="nil"/>
              <w:bottom w:val="single" w:sz="4" w:space="0" w:color="auto"/>
              <w:right w:val="single" w:sz="4" w:space="0" w:color="auto"/>
            </w:tcBorders>
            <w:shd w:val="clear" w:color="000000" w:fill="969696"/>
            <w:noWrap/>
            <w:vAlign w:val="bottom"/>
            <w:hideMark/>
          </w:tcPr>
          <w:p w14:paraId="3B99A53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10644B5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72ABBF1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41CFD2A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969696"/>
            <w:noWrap/>
            <w:vAlign w:val="bottom"/>
            <w:hideMark/>
          </w:tcPr>
          <w:p w14:paraId="5CD1ABD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969696"/>
            <w:vAlign w:val="bottom"/>
          </w:tcPr>
          <w:p w14:paraId="72B9EFA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5A15A84"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D235E3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International bunkers</w:t>
            </w:r>
          </w:p>
        </w:tc>
        <w:tc>
          <w:tcPr>
            <w:tcW w:w="1264" w:type="dxa"/>
            <w:tcBorders>
              <w:top w:val="nil"/>
              <w:left w:val="nil"/>
              <w:bottom w:val="single" w:sz="4" w:space="0" w:color="auto"/>
              <w:right w:val="single" w:sz="4" w:space="0" w:color="auto"/>
            </w:tcBorders>
            <w:shd w:val="clear" w:color="000000" w:fill="CCFFFF"/>
            <w:noWrap/>
            <w:vAlign w:val="bottom"/>
            <w:hideMark/>
          </w:tcPr>
          <w:p w14:paraId="00E13F98" w14:textId="77777777" w:rsidR="001D4AFA" w:rsidRPr="009F2D1E" w:rsidRDefault="001D4AFA" w:rsidP="009F2D1E">
            <w:pPr>
              <w:jc w:val="right"/>
              <w:rPr>
                <w:rFonts w:ascii="Times New Roman" w:hAnsi="Times New Roman"/>
                <w:sz w:val="14"/>
                <w:szCs w:val="14"/>
              </w:rPr>
            </w:pPr>
            <w:r w:rsidRPr="009F2D1E">
              <w:rPr>
                <w:sz w:val="14"/>
                <w:szCs w:val="14"/>
              </w:rPr>
              <w:t>26600,45</w:t>
            </w:r>
          </w:p>
        </w:tc>
        <w:tc>
          <w:tcPr>
            <w:tcW w:w="1278" w:type="dxa"/>
            <w:tcBorders>
              <w:top w:val="nil"/>
              <w:left w:val="nil"/>
              <w:bottom w:val="single" w:sz="4" w:space="0" w:color="auto"/>
              <w:right w:val="single" w:sz="4" w:space="0" w:color="auto"/>
            </w:tcBorders>
            <w:shd w:val="clear" w:color="000000" w:fill="CCFFFF"/>
            <w:noWrap/>
            <w:vAlign w:val="bottom"/>
            <w:hideMark/>
          </w:tcPr>
          <w:p w14:paraId="5C5149E9" w14:textId="77777777" w:rsidR="001D4AFA" w:rsidRPr="009F2D1E" w:rsidRDefault="001D4AFA" w:rsidP="009F2D1E">
            <w:pPr>
              <w:jc w:val="right"/>
              <w:rPr>
                <w:rFonts w:ascii="Times New Roman" w:hAnsi="Times New Roman"/>
                <w:sz w:val="14"/>
                <w:szCs w:val="14"/>
              </w:rPr>
            </w:pPr>
            <w:r w:rsidRPr="009F2D1E">
              <w:rPr>
                <w:sz w:val="14"/>
                <w:szCs w:val="14"/>
              </w:rPr>
              <w:t>25601,13</w:t>
            </w:r>
          </w:p>
        </w:tc>
        <w:tc>
          <w:tcPr>
            <w:tcW w:w="1278" w:type="dxa"/>
            <w:tcBorders>
              <w:top w:val="nil"/>
              <w:left w:val="nil"/>
              <w:bottom w:val="single" w:sz="4" w:space="0" w:color="auto"/>
              <w:right w:val="single" w:sz="4" w:space="0" w:color="auto"/>
            </w:tcBorders>
            <w:shd w:val="clear" w:color="000000" w:fill="CCFFFF"/>
            <w:noWrap/>
            <w:vAlign w:val="bottom"/>
            <w:hideMark/>
          </w:tcPr>
          <w:p w14:paraId="358D697B" w14:textId="77777777" w:rsidR="001D4AFA" w:rsidRPr="009F2D1E" w:rsidRDefault="001D4AFA" w:rsidP="009F2D1E">
            <w:pPr>
              <w:jc w:val="right"/>
              <w:rPr>
                <w:rFonts w:ascii="Times New Roman" w:hAnsi="Times New Roman"/>
                <w:sz w:val="14"/>
                <w:szCs w:val="14"/>
              </w:rPr>
            </w:pPr>
            <w:r w:rsidRPr="009F2D1E">
              <w:rPr>
                <w:sz w:val="14"/>
                <w:szCs w:val="14"/>
              </w:rPr>
              <w:t>24174,31</w:t>
            </w:r>
          </w:p>
        </w:tc>
        <w:tc>
          <w:tcPr>
            <w:tcW w:w="1278" w:type="dxa"/>
            <w:tcBorders>
              <w:top w:val="nil"/>
              <w:left w:val="nil"/>
              <w:bottom w:val="single" w:sz="4" w:space="0" w:color="auto"/>
              <w:right w:val="single" w:sz="4" w:space="0" w:color="auto"/>
            </w:tcBorders>
            <w:shd w:val="clear" w:color="000000" w:fill="CCFFFF"/>
            <w:noWrap/>
            <w:vAlign w:val="bottom"/>
            <w:hideMark/>
          </w:tcPr>
          <w:p w14:paraId="0D145FF7" w14:textId="77777777" w:rsidR="001D4AFA" w:rsidRPr="009F2D1E" w:rsidRDefault="001D4AFA" w:rsidP="009F2D1E">
            <w:pPr>
              <w:jc w:val="right"/>
              <w:rPr>
                <w:rFonts w:ascii="Times New Roman" w:hAnsi="Times New Roman"/>
                <w:sz w:val="14"/>
                <w:szCs w:val="14"/>
              </w:rPr>
            </w:pPr>
            <w:r w:rsidRPr="009F2D1E">
              <w:rPr>
                <w:sz w:val="14"/>
                <w:szCs w:val="14"/>
              </w:rPr>
              <w:t>24015,78</w:t>
            </w:r>
          </w:p>
        </w:tc>
        <w:tc>
          <w:tcPr>
            <w:tcW w:w="1278" w:type="dxa"/>
            <w:tcBorders>
              <w:top w:val="nil"/>
              <w:left w:val="nil"/>
              <w:bottom w:val="single" w:sz="4" w:space="0" w:color="auto"/>
              <w:right w:val="single" w:sz="4" w:space="0" w:color="auto"/>
            </w:tcBorders>
            <w:shd w:val="clear" w:color="000000" w:fill="CCFFFF"/>
            <w:noWrap/>
            <w:vAlign w:val="bottom"/>
            <w:hideMark/>
          </w:tcPr>
          <w:p w14:paraId="61B236C2" w14:textId="77777777" w:rsidR="001D4AFA" w:rsidRPr="009F2D1E" w:rsidRDefault="001D4AFA" w:rsidP="009F2D1E">
            <w:pPr>
              <w:jc w:val="right"/>
              <w:rPr>
                <w:rFonts w:ascii="Times New Roman" w:hAnsi="Times New Roman"/>
                <w:sz w:val="14"/>
                <w:szCs w:val="14"/>
              </w:rPr>
            </w:pPr>
            <w:r w:rsidRPr="009F2D1E">
              <w:rPr>
                <w:sz w:val="14"/>
                <w:szCs w:val="14"/>
              </w:rPr>
              <w:t>25417,86</w:t>
            </w:r>
          </w:p>
        </w:tc>
        <w:tc>
          <w:tcPr>
            <w:tcW w:w="1262" w:type="dxa"/>
            <w:tcBorders>
              <w:top w:val="nil"/>
              <w:left w:val="nil"/>
              <w:bottom w:val="single" w:sz="4" w:space="0" w:color="auto"/>
              <w:right w:val="single" w:sz="4" w:space="0" w:color="auto"/>
            </w:tcBorders>
            <w:shd w:val="clear" w:color="000000" w:fill="CCFFFF"/>
            <w:vAlign w:val="bottom"/>
          </w:tcPr>
          <w:p w14:paraId="0CEB9AE1" w14:textId="77777777" w:rsidR="001D4AFA" w:rsidRPr="009F2D1E" w:rsidRDefault="001D4AFA" w:rsidP="009F2D1E">
            <w:pPr>
              <w:jc w:val="right"/>
              <w:rPr>
                <w:rFonts w:ascii="Times New Roman" w:hAnsi="Times New Roman"/>
                <w:sz w:val="14"/>
                <w:szCs w:val="14"/>
              </w:rPr>
            </w:pPr>
            <w:r w:rsidRPr="009F2D1E">
              <w:rPr>
                <w:sz w:val="14"/>
                <w:szCs w:val="14"/>
              </w:rPr>
              <w:t>24535,81</w:t>
            </w:r>
          </w:p>
        </w:tc>
      </w:tr>
      <w:tr w:rsidR="001D4AFA" w:rsidRPr="00364545" w14:paraId="033E5B2B"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A1A5D4F"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Aviation</w:t>
            </w:r>
          </w:p>
        </w:tc>
        <w:tc>
          <w:tcPr>
            <w:tcW w:w="1264" w:type="dxa"/>
            <w:tcBorders>
              <w:top w:val="nil"/>
              <w:left w:val="nil"/>
              <w:bottom w:val="single" w:sz="4" w:space="0" w:color="auto"/>
              <w:right w:val="single" w:sz="4" w:space="0" w:color="auto"/>
            </w:tcBorders>
            <w:shd w:val="clear" w:color="000000" w:fill="FFFFFF"/>
            <w:noWrap/>
            <w:vAlign w:val="bottom"/>
            <w:hideMark/>
          </w:tcPr>
          <w:p w14:paraId="407A73FE" w14:textId="77777777" w:rsidR="001D4AFA" w:rsidRPr="009F2D1E" w:rsidRDefault="001D4AFA" w:rsidP="009F2D1E">
            <w:pPr>
              <w:jc w:val="right"/>
              <w:rPr>
                <w:rFonts w:ascii="Times New Roman" w:hAnsi="Times New Roman"/>
                <w:sz w:val="14"/>
                <w:szCs w:val="14"/>
              </w:rPr>
            </w:pPr>
            <w:r w:rsidRPr="009F2D1E">
              <w:rPr>
                <w:sz w:val="14"/>
                <w:szCs w:val="14"/>
              </w:rPr>
              <w:t>17226,67</w:t>
            </w:r>
          </w:p>
        </w:tc>
        <w:tc>
          <w:tcPr>
            <w:tcW w:w="1278" w:type="dxa"/>
            <w:tcBorders>
              <w:top w:val="nil"/>
              <w:left w:val="nil"/>
              <w:bottom w:val="single" w:sz="4" w:space="0" w:color="auto"/>
              <w:right w:val="single" w:sz="4" w:space="0" w:color="auto"/>
            </w:tcBorders>
            <w:shd w:val="clear" w:color="000000" w:fill="FFFFFF"/>
            <w:noWrap/>
            <w:vAlign w:val="bottom"/>
            <w:hideMark/>
          </w:tcPr>
          <w:p w14:paraId="34C0BE60" w14:textId="77777777" w:rsidR="001D4AFA" w:rsidRPr="009F2D1E" w:rsidRDefault="001D4AFA" w:rsidP="009F2D1E">
            <w:pPr>
              <w:jc w:val="right"/>
              <w:rPr>
                <w:rFonts w:ascii="Times New Roman" w:hAnsi="Times New Roman"/>
                <w:sz w:val="14"/>
                <w:szCs w:val="14"/>
              </w:rPr>
            </w:pPr>
            <w:r w:rsidRPr="009F2D1E">
              <w:rPr>
                <w:sz w:val="14"/>
                <w:szCs w:val="14"/>
              </w:rPr>
              <w:t>17438,77</w:t>
            </w:r>
          </w:p>
        </w:tc>
        <w:tc>
          <w:tcPr>
            <w:tcW w:w="1278" w:type="dxa"/>
            <w:tcBorders>
              <w:top w:val="nil"/>
              <w:left w:val="nil"/>
              <w:bottom w:val="single" w:sz="4" w:space="0" w:color="auto"/>
              <w:right w:val="single" w:sz="4" w:space="0" w:color="auto"/>
            </w:tcBorders>
            <w:shd w:val="clear" w:color="000000" w:fill="FFFFFF"/>
            <w:noWrap/>
            <w:vAlign w:val="bottom"/>
            <w:hideMark/>
          </w:tcPr>
          <w:p w14:paraId="61544051" w14:textId="77777777" w:rsidR="001D4AFA" w:rsidRPr="009F2D1E" w:rsidRDefault="001D4AFA" w:rsidP="009F2D1E">
            <w:pPr>
              <w:jc w:val="right"/>
              <w:rPr>
                <w:rFonts w:ascii="Times New Roman" w:hAnsi="Times New Roman"/>
                <w:sz w:val="14"/>
                <w:szCs w:val="14"/>
              </w:rPr>
            </w:pPr>
            <w:r w:rsidRPr="009F2D1E">
              <w:rPr>
                <w:sz w:val="14"/>
                <w:szCs w:val="14"/>
              </w:rPr>
              <w:t>16017,49</w:t>
            </w:r>
          </w:p>
        </w:tc>
        <w:tc>
          <w:tcPr>
            <w:tcW w:w="1278" w:type="dxa"/>
            <w:tcBorders>
              <w:top w:val="nil"/>
              <w:left w:val="nil"/>
              <w:bottom w:val="single" w:sz="4" w:space="0" w:color="auto"/>
              <w:right w:val="single" w:sz="4" w:space="0" w:color="auto"/>
            </w:tcBorders>
            <w:shd w:val="clear" w:color="000000" w:fill="FFFFFF"/>
            <w:noWrap/>
            <w:vAlign w:val="bottom"/>
            <w:hideMark/>
          </w:tcPr>
          <w:p w14:paraId="78343C4A" w14:textId="77777777" w:rsidR="001D4AFA" w:rsidRPr="009F2D1E" w:rsidRDefault="001D4AFA" w:rsidP="009F2D1E">
            <w:pPr>
              <w:jc w:val="right"/>
              <w:rPr>
                <w:rFonts w:ascii="Times New Roman" w:hAnsi="Times New Roman"/>
                <w:sz w:val="14"/>
                <w:szCs w:val="14"/>
              </w:rPr>
            </w:pPr>
            <w:r w:rsidRPr="009F2D1E">
              <w:rPr>
                <w:sz w:val="14"/>
                <w:szCs w:val="14"/>
              </w:rPr>
              <w:t>16094,56</w:t>
            </w:r>
          </w:p>
        </w:tc>
        <w:tc>
          <w:tcPr>
            <w:tcW w:w="1278" w:type="dxa"/>
            <w:tcBorders>
              <w:top w:val="nil"/>
              <w:left w:val="nil"/>
              <w:bottom w:val="single" w:sz="4" w:space="0" w:color="auto"/>
              <w:right w:val="single" w:sz="4" w:space="0" w:color="auto"/>
            </w:tcBorders>
            <w:shd w:val="clear" w:color="000000" w:fill="FFFFFF"/>
            <w:noWrap/>
            <w:vAlign w:val="bottom"/>
            <w:hideMark/>
          </w:tcPr>
          <w:p w14:paraId="06F9CD0F" w14:textId="77777777" w:rsidR="001D4AFA" w:rsidRPr="009F2D1E" w:rsidRDefault="001D4AFA" w:rsidP="009F2D1E">
            <w:pPr>
              <w:jc w:val="right"/>
              <w:rPr>
                <w:rFonts w:ascii="Times New Roman" w:hAnsi="Times New Roman"/>
                <w:sz w:val="14"/>
                <w:szCs w:val="14"/>
              </w:rPr>
            </w:pPr>
            <w:r w:rsidRPr="009F2D1E">
              <w:rPr>
                <w:sz w:val="14"/>
                <w:szCs w:val="14"/>
              </w:rPr>
              <w:t>16932,38</w:t>
            </w:r>
          </w:p>
        </w:tc>
        <w:tc>
          <w:tcPr>
            <w:tcW w:w="1262" w:type="dxa"/>
            <w:tcBorders>
              <w:top w:val="nil"/>
              <w:left w:val="nil"/>
              <w:bottom w:val="single" w:sz="4" w:space="0" w:color="auto"/>
              <w:right w:val="single" w:sz="4" w:space="0" w:color="auto"/>
            </w:tcBorders>
            <w:shd w:val="clear" w:color="000000" w:fill="FFFFFF"/>
            <w:vAlign w:val="bottom"/>
          </w:tcPr>
          <w:p w14:paraId="383C7AC3" w14:textId="77777777" w:rsidR="001D4AFA" w:rsidRPr="009F2D1E" w:rsidRDefault="001D4AFA" w:rsidP="009F2D1E">
            <w:pPr>
              <w:jc w:val="right"/>
              <w:rPr>
                <w:rFonts w:ascii="Times New Roman" w:hAnsi="Times New Roman"/>
                <w:sz w:val="14"/>
                <w:szCs w:val="14"/>
              </w:rPr>
            </w:pPr>
            <w:r w:rsidRPr="009F2D1E">
              <w:rPr>
                <w:sz w:val="14"/>
                <w:szCs w:val="14"/>
              </w:rPr>
              <w:t>16517,77</w:t>
            </w:r>
          </w:p>
        </w:tc>
      </w:tr>
      <w:tr w:rsidR="001D4AFA" w:rsidRPr="00364545" w14:paraId="20BC08AF"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A3C2950"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Navigation</w:t>
            </w:r>
          </w:p>
        </w:tc>
        <w:tc>
          <w:tcPr>
            <w:tcW w:w="1264" w:type="dxa"/>
            <w:tcBorders>
              <w:top w:val="nil"/>
              <w:left w:val="nil"/>
              <w:bottom w:val="single" w:sz="4" w:space="0" w:color="auto"/>
              <w:right w:val="single" w:sz="4" w:space="0" w:color="auto"/>
            </w:tcBorders>
            <w:shd w:val="clear" w:color="000000" w:fill="FFFFFF"/>
            <w:noWrap/>
            <w:vAlign w:val="bottom"/>
            <w:hideMark/>
          </w:tcPr>
          <w:p w14:paraId="41098761" w14:textId="77777777" w:rsidR="001D4AFA" w:rsidRPr="009F2D1E" w:rsidRDefault="001D4AFA" w:rsidP="009F2D1E">
            <w:pPr>
              <w:jc w:val="right"/>
              <w:rPr>
                <w:rFonts w:ascii="Times New Roman" w:hAnsi="Times New Roman"/>
                <w:sz w:val="14"/>
                <w:szCs w:val="14"/>
              </w:rPr>
            </w:pPr>
            <w:r w:rsidRPr="009F2D1E">
              <w:rPr>
                <w:sz w:val="14"/>
                <w:szCs w:val="14"/>
              </w:rPr>
              <w:t>9373,78</w:t>
            </w:r>
          </w:p>
        </w:tc>
        <w:tc>
          <w:tcPr>
            <w:tcW w:w="1278" w:type="dxa"/>
            <w:tcBorders>
              <w:top w:val="nil"/>
              <w:left w:val="nil"/>
              <w:bottom w:val="single" w:sz="4" w:space="0" w:color="auto"/>
              <w:right w:val="single" w:sz="4" w:space="0" w:color="auto"/>
            </w:tcBorders>
            <w:shd w:val="clear" w:color="000000" w:fill="FFFFFF"/>
            <w:noWrap/>
            <w:vAlign w:val="bottom"/>
            <w:hideMark/>
          </w:tcPr>
          <w:p w14:paraId="259B703E" w14:textId="77777777" w:rsidR="001D4AFA" w:rsidRPr="009F2D1E" w:rsidRDefault="001D4AFA" w:rsidP="009F2D1E">
            <w:pPr>
              <w:jc w:val="right"/>
              <w:rPr>
                <w:rFonts w:ascii="Times New Roman" w:hAnsi="Times New Roman"/>
                <w:sz w:val="14"/>
                <w:szCs w:val="14"/>
              </w:rPr>
            </w:pPr>
            <w:r w:rsidRPr="009F2D1E">
              <w:rPr>
                <w:sz w:val="14"/>
                <w:szCs w:val="14"/>
              </w:rPr>
              <w:t>8162,36</w:t>
            </w:r>
          </w:p>
        </w:tc>
        <w:tc>
          <w:tcPr>
            <w:tcW w:w="1278" w:type="dxa"/>
            <w:tcBorders>
              <w:top w:val="nil"/>
              <w:left w:val="nil"/>
              <w:bottom w:val="single" w:sz="4" w:space="0" w:color="auto"/>
              <w:right w:val="single" w:sz="4" w:space="0" w:color="auto"/>
            </w:tcBorders>
            <w:shd w:val="clear" w:color="000000" w:fill="FFFFFF"/>
            <w:noWrap/>
            <w:vAlign w:val="bottom"/>
            <w:hideMark/>
          </w:tcPr>
          <w:p w14:paraId="572DC72D" w14:textId="77777777" w:rsidR="001D4AFA" w:rsidRPr="009F2D1E" w:rsidRDefault="001D4AFA" w:rsidP="009F2D1E">
            <w:pPr>
              <w:jc w:val="right"/>
              <w:rPr>
                <w:rFonts w:ascii="Times New Roman" w:hAnsi="Times New Roman"/>
                <w:sz w:val="14"/>
                <w:szCs w:val="14"/>
              </w:rPr>
            </w:pPr>
            <w:r w:rsidRPr="009F2D1E">
              <w:rPr>
                <w:sz w:val="14"/>
                <w:szCs w:val="14"/>
              </w:rPr>
              <w:t>8156,82</w:t>
            </w:r>
          </w:p>
        </w:tc>
        <w:tc>
          <w:tcPr>
            <w:tcW w:w="1278" w:type="dxa"/>
            <w:tcBorders>
              <w:top w:val="nil"/>
              <w:left w:val="nil"/>
              <w:bottom w:val="single" w:sz="4" w:space="0" w:color="auto"/>
              <w:right w:val="single" w:sz="4" w:space="0" w:color="auto"/>
            </w:tcBorders>
            <w:shd w:val="clear" w:color="000000" w:fill="FFFFFF"/>
            <w:noWrap/>
            <w:vAlign w:val="bottom"/>
            <w:hideMark/>
          </w:tcPr>
          <w:p w14:paraId="123EDC39" w14:textId="77777777" w:rsidR="001D4AFA" w:rsidRPr="009F2D1E" w:rsidRDefault="001D4AFA" w:rsidP="009F2D1E">
            <w:pPr>
              <w:jc w:val="right"/>
              <w:rPr>
                <w:rFonts w:ascii="Times New Roman" w:hAnsi="Times New Roman"/>
                <w:sz w:val="14"/>
                <w:szCs w:val="14"/>
              </w:rPr>
            </w:pPr>
            <w:r w:rsidRPr="009F2D1E">
              <w:rPr>
                <w:sz w:val="14"/>
                <w:szCs w:val="14"/>
              </w:rPr>
              <w:t>7921,23</w:t>
            </w:r>
          </w:p>
        </w:tc>
        <w:tc>
          <w:tcPr>
            <w:tcW w:w="1278" w:type="dxa"/>
            <w:tcBorders>
              <w:top w:val="nil"/>
              <w:left w:val="nil"/>
              <w:bottom w:val="single" w:sz="4" w:space="0" w:color="auto"/>
              <w:right w:val="single" w:sz="4" w:space="0" w:color="auto"/>
            </w:tcBorders>
            <w:shd w:val="clear" w:color="000000" w:fill="FFFFFF"/>
            <w:noWrap/>
            <w:vAlign w:val="bottom"/>
            <w:hideMark/>
          </w:tcPr>
          <w:p w14:paraId="10932624" w14:textId="77777777" w:rsidR="001D4AFA" w:rsidRPr="009F2D1E" w:rsidRDefault="001D4AFA" w:rsidP="009F2D1E">
            <w:pPr>
              <w:jc w:val="right"/>
              <w:rPr>
                <w:rFonts w:ascii="Times New Roman" w:hAnsi="Times New Roman"/>
                <w:sz w:val="14"/>
                <w:szCs w:val="14"/>
              </w:rPr>
            </w:pPr>
            <w:r w:rsidRPr="009F2D1E">
              <w:rPr>
                <w:sz w:val="14"/>
                <w:szCs w:val="14"/>
              </w:rPr>
              <w:t>8485,47</w:t>
            </w:r>
          </w:p>
        </w:tc>
        <w:tc>
          <w:tcPr>
            <w:tcW w:w="1262" w:type="dxa"/>
            <w:tcBorders>
              <w:top w:val="nil"/>
              <w:left w:val="nil"/>
              <w:bottom w:val="single" w:sz="4" w:space="0" w:color="auto"/>
              <w:right w:val="single" w:sz="4" w:space="0" w:color="auto"/>
            </w:tcBorders>
            <w:shd w:val="clear" w:color="000000" w:fill="FFFFFF"/>
            <w:vAlign w:val="bottom"/>
          </w:tcPr>
          <w:p w14:paraId="782AE5BA" w14:textId="77777777" w:rsidR="001D4AFA" w:rsidRPr="009F2D1E" w:rsidRDefault="001D4AFA" w:rsidP="009F2D1E">
            <w:pPr>
              <w:jc w:val="right"/>
              <w:rPr>
                <w:rFonts w:ascii="Times New Roman" w:hAnsi="Times New Roman"/>
                <w:sz w:val="14"/>
                <w:szCs w:val="14"/>
              </w:rPr>
            </w:pPr>
            <w:r w:rsidRPr="009F2D1E">
              <w:rPr>
                <w:sz w:val="14"/>
                <w:szCs w:val="14"/>
              </w:rPr>
              <w:t>8018,04</w:t>
            </w:r>
          </w:p>
        </w:tc>
      </w:tr>
      <w:tr w:rsidR="001D4AFA" w:rsidRPr="00364545" w14:paraId="0532DB7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8A5DBA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Multilateral operations</w:t>
            </w:r>
          </w:p>
        </w:tc>
        <w:tc>
          <w:tcPr>
            <w:tcW w:w="1264" w:type="dxa"/>
            <w:tcBorders>
              <w:top w:val="nil"/>
              <w:left w:val="nil"/>
              <w:bottom w:val="single" w:sz="4" w:space="0" w:color="auto"/>
              <w:right w:val="single" w:sz="4" w:space="0" w:color="auto"/>
            </w:tcBorders>
            <w:shd w:val="clear" w:color="000000" w:fill="FFFFFF"/>
            <w:noWrap/>
            <w:vAlign w:val="bottom"/>
            <w:hideMark/>
          </w:tcPr>
          <w:p w14:paraId="3DE81A04" w14:textId="77777777" w:rsidR="001D4AFA" w:rsidRPr="009F2D1E" w:rsidRDefault="001D4AFA" w:rsidP="009F2D1E">
            <w:pPr>
              <w:jc w:val="right"/>
              <w:rPr>
                <w:rFonts w:ascii="Times New Roman" w:hAnsi="Times New Roman"/>
                <w:sz w:val="14"/>
                <w:szCs w:val="14"/>
              </w:rPr>
            </w:pPr>
            <w:r w:rsidRPr="009F2D1E">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0C3AD376" w14:textId="77777777" w:rsidR="001D4AFA" w:rsidRPr="009F2D1E" w:rsidRDefault="001D4AFA" w:rsidP="009F2D1E">
            <w:pPr>
              <w:jc w:val="right"/>
              <w:rPr>
                <w:rFonts w:ascii="Times New Roman" w:hAnsi="Times New Roman"/>
                <w:sz w:val="14"/>
                <w:szCs w:val="14"/>
              </w:rPr>
            </w:pPr>
            <w:r w:rsidRPr="009F2D1E">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47CF1EB3" w14:textId="77777777" w:rsidR="001D4AFA" w:rsidRPr="009F2D1E" w:rsidRDefault="001D4AFA" w:rsidP="009F2D1E">
            <w:pPr>
              <w:jc w:val="right"/>
              <w:rPr>
                <w:rFonts w:ascii="Times New Roman" w:hAnsi="Times New Roman"/>
                <w:sz w:val="14"/>
                <w:szCs w:val="14"/>
              </w:rPr>
            </w:pPr>
            <w:r w:rsidRPr="009F2D1E">
              <w:rPr>
                <w:sz w:val="14"/>
                <w:szCs w:val="14"/>
              </w:rPr>
              <w:t>1,50</w:t>
            </w:r>
          </w:p>
        </w:tc>
        <w:tc>
          <w:tcPr>
            <w:tcW w:w="1278" w:type="dxa"/>
            <w:tcBorders>
              <w:top w:val="nil"/>
              <w:left w:val="nil"/>
              <w:bottom w:val="single" w:sz="4" w:space="0" w:color="auto"/>
              <w:right w:val="single" w:sz="4" w:space="0" w:color="auto"/>
            </w:tcBorders>
            <w:shd w:val="clear" w:color="000000" w:fill="FFFFFF"/>
            <w:noWrap/>
            <w:vAlign w:val="bottom"/>
            <w:hideMark/>
          </w:tcPr>
          <w:p w14:paraId="6FD981C8" w14:textId="77777777" w:rsidR="001D4AFA" w:rsidRPr="009F2D1E" w:rsidRDefault="001D4AFA" w:rsidP="009F2D1E">
            <w:pPr>
              <w:jc w:val="right"/>
              <w:rPr>
                <w:rFonts w:ascii="Times New Roman" w:hAnsi="Times New Roman"/>
                <w:sz w:val="14"/>
                <w:szCs w:val="14"/>
              </w:rPr>
            </w:pPr>
            <w:r w:rsidRPr="009F2D1E">
              <w:rPr>
                <w:sz w:val="14"/>
                <w:szCs w:val="14"/>
              </w:rPr>
              <w:t>1,28</w:t>
            </w:r>
          </w:p>
        </w:tc>
        <w:tc>
          <w:tcPr>
            <w:tcW w:w="1278" w:type="dxa"/>
            <w:tcBorders>
              <w:top w:val="nil"/>
              <w:left w:val="nil"/>
              <w:bottom w:val="single" w:sz="4" w:space="0" w:color="auto"/>
              <w:right w:val="single" w:sz="4" w:space="0" w:color="auto"/>
            </w:tcBorders>
            <w:shd w:val="clear" w:color="000000" w:fill="FFFFFF"/>
            <w:noWrap/>
            <w:vAlign w:val="bottom"/>
            <w:hideMark/>
          </w:tcPr>
          <w:p w14:paraId="0654BDCF" w14:textId="77777777" w:rsidR="001D4AFA" w:rsidRPr="009F2D1E" w:rsidRDefault="001D4AFA" w:rsidP="009F2D1E">
            <w:pPr>
              <w:jc w:val="right"/>
              <w:rPr>
                <w:rFonts w:ascii="Times New Roman" w:hAnsi="Times New Roman"/>
                <w:sz w:val="14"/>
                <w:szCs w:val="14"/>
              </w:rPr>
            </w:pPr>
            <w:r w:rsidRPr="009F2D1E">
              <w:rPr>
                <w:sz w:val="14"/>
                <w:szCs w:val="14"/>
              </w:rPr>
              <w:t>1,22</w:t>
            </w:r>
          </w:p>
        </w:tc>
        <w:tc>
          <w:tcPr>
            <w:tcW w:w="1262" w:type="dxa"/>
            <w:tcBorders>
              <w:top w:val="nil"/>
              <w:left w:val="nil"/>
              <w:bottom w:val="single" w:sz="4" w:space="0" w:color="auto"/>
              <w:right w:val="single" w:sz="4" w:space="0" w:color="auto"/>
            </w:tcBorders>
            <w:shd w:val="clear" w:color="000000" w:fill="FFFFFF"/>
            <w:vAlign w:val="bottom"/>
          </w:tcPr>
          <w:p w14:paraId="7C027441" w14:textId="77777777" w:rsidR="001D4AFA" w:rsidRPr="009F2D1E" w:rsidRDefault="001D4AFA" w:rsidP="009F2D1E">
            <w:pPr>
              <w:jc w:val="right"/>
              <w:rPr>
                <w:rFonts w:ascii="Times New Roman" w:hAnsi="Times New Roman"/>
                <w:sz w:val="14"/>
                <w:szCs w:val="14"/>
              </w:rPr>
            </w:pPr>
            <w:r w:rsidRPr="009F2D1E">
              <w:rPr>
                <w:sz w:val="14"/>
                <w:szCs w:val="14"/>
              </w:rPr>
              <w:t>1,70</w:t>
            </w:r>
          </w:p>
        </w:tc>
      </w:tr>
      <w:tr w:rsidR="001D4AFA" w:rsidRPr="00364545" w14:paraId="7824054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0B198BBE"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264" w:type="dxa"/>
            <w:tcBorders>
              <w:top w:val="nil"/>
              <w:left w:val="nil"/>
              <w:bottom w:val="single" w:sz="4" w:space="0" w:color="auto"/>
              <w:right w:val="single" w:sz="4" w:space="0" w:color="auto"/>
            </w:tcBorders>
            <w:shd w:val="clear" w:color="000000" w:fill="FFFFFF"/>
            <w:noWrap/>
            <w:vAlign w:val="bottom"/>
            <w:hideMark/>
          </w:tcPr>
          <w:p w14:paraId="6E12BE01" w14:textId="77777777" w:rsidR="001D4AFA" w:rsidRPr="009F2D1E" w:rsidRDefault="001D4AFA" w:rsidP="009F2D1E">
            <w:pPr>
              <w:jc w:val="right"/>
              <w:rPr>
                <w:rFonts w:ascii="Times New Roman" w:hAnsi="Times New Roman"/>
                <w:sz w:val="14"/>
                <w:szCs w:val="14"/>
              </w:rPr>
            </w:pPr>
            <w:r w:rsidRPr="009F2D1E">
              <w:rPr>
                <w:sz w:val="14"/>
                <w:szCs w:val="14"/>
              </w:rPr>
              <w:t>47650,78</w:t>
            </w:r>
          </w:p>
        </w:tc>
        <w:tc>
          <w:tcPr>
            <w:tcW w:w="1278" w:type="dxa"/>
            <w:tcBorders>
              <w:top w:val="nil"/>
              <w:left w:val="nil"/>
              <w:bottom w:val="single" w:sz="4" w:space="0" w:color="auto"/>
              <w:right w:val="single" w:sz="4" w:space="0" w:color="auto"/>
            </w:tcBorders>
            <w:shd w:val="clear" w:color="000000" w:fill="FFFFFF"/>
            <w:noWrap/>
            <w:vAlign w:val="bottom"/>
            <w:hideMark/>
          </w:tcPr>
          <w:p w14:paraId="60101F3A" w14:textId="77777777" w:rsidR="001D4AFA" w:rsidRPr="009F2D1E" w:rsidRDefault="001D4AFA" w:rsidP="009F2D1E">
            <w:pPr>
              <w:jc w:val="right"/>
              <w:rPr>
                <w:rFonts w:ascii="Times New Roman" w:hAnsi="Times New Roman"/>
                <w:sz w:val="14"/>
                <w:szCs w:val="14"/>
              </w:rPr>
            </w:pPr>
            <w:r w:rsidRPr="009F2D1E">
              <w:rPr>
                <w:sz w:val="14"/>
                <w:szCs w:val="14"/>
              </w:rPr>
              <w:t>52346,51</w:t>
            </w:r>
          </w:p>
        </w:tc>
        <w:tc>
          <w:tcPr>
            <w:tcW w:w="1278" w:type="dxa"/>
            <w:tcBorders>
              <w:top w:val="nil"/>
              <w:left w:val="nil"/>
              <w:bottom w:val="single" w:sz="4" w:space="0" w:color="auto"/>
              <w:right w:val="single" w:sz="4" w:space="0" w:color="auto"/>
            </w:tcBorders>
            <w:shd w:val="clear" w:color="000000" w:fill="FFFFFF"/>
            <w:noWrap/>
            <w:vAlign w:val="bottom"/>
            <w:hideMark/>
          </w:tcPr>
          <w:p w14:paraId="658ADF71" w14:textId="77777777" w:rsidR="001D4AFA" w:rsidRPr="009F2D1E" w:rsidRDefault="001D4AFA" w:rsidP="009F2D1E">
            <w:pPr>
              <w:jc w:val="right"/>
              <w:rPr>
                <w:rFonts w:ascii="Times New Roman" w:hAnsi="Times New Roman"/>
                <w:sz w:val="14"/>
                <w:szCs w:val="14"/>
              </w:rPr>
            </w:pPr>
            <w:r w:rsidRPr="009F2D1E">
              <w:rPr>
                <w:sz w:val="14"/>
                <w:szCs w:val="14"/>
              </w:rPr>
              <w:t>54159,76</w:t>
            </w:r>
          </w:p>
        </w:tc>
        <w:tc>
          <w:tcPr>
            <w:tcW w:w="1278" w:type="dxa"/>
            <w:tcBorders>
              <w:top w:val="nil"/>
              <w:left w:val="nil"/>
              <w:bottom w:val="single" w:sz="4" w:space="0" w:color="auto"/>
              <w:right w:val="single" w:sz="4" w:space="0" w:color="auto"/>
            </w:tcBorders>
            <w:shd w:val="clear" w:color="000000" w:fill="FFFFFF"/>
            <w:noWrap/>
            <w:vAlign w:val="bottom"/>
            <w:hideMark/>
          </w:tcPr>
          <w:p w14:paraId="1BAAD70F" w14:textId="77777777" w:rsidR="001D4AFA" w:rsidRPr="009F2D1E" w:rsidRDefault="001D4AFA" w:rsidP="009F2D1E">
            <w:pPr>
              <w:jc w:val="right"/>
              <w:rPr>
                <w:rFonts w:ascii="Times New Roman" w:hAnsi="Times New Roman"/>
                <w:sz w:val="14"/>
                <w:szCs w:val="14"/>
              </w:rPr>
            </w:pPr>
            <w:r w:rsidRPr="009F2D1E">
              <w:rPr>
                <w:sz w:val="14"/>
                <w:szCs w:val="14"/>
              </w:rPr>
              <w:t>59694,00</w:t>
            </w:r>
          </w:p>
        </w:tc>
        <w:tc>
          <w:tcPr>
            <w:tcW w:w="1278" w:type="dxa"/>
            <w:tcBorders>
              <w:top w:val="nil"/>
              <w:left w:val="nil"/>
              <w:bottom w:val="single" w:sz="4" w:space="0" w:color="auto"/>
              <w:right w:val="single" w:sz="4" w:space="0" w:color="auto"/>
            </w:tcBorders>
            <w:shd w:val="clear" w:color="000000" w:fill="FFFFFF"/>
            <w:noWrap/>
            <w:vAlign w:val="bottom"/>
            <w:hideMark/>
          </w:tcPr>
          <w:p w14:paraId="0409083C" w14:textId="77777777" w:rsidR="001D4AFA" w:rsidRPr="009F2D1E" w:rsidRDefault="001D4AFA" w:rsidP="009F2D1E">
            <w:pPr>
              <w:jc w:val="right"/>
              <w:rPr>
                <w:rFonts w:ascii="Times New Roman" w:hAnsi="Times New Roman"/>
                <w:sz w:val="14"/>
                <w:szCs w:val="14"/>
              </w:rPr>
            </w:pPr>
            <w:r w:rsidRPr="009F2D1E">
              <w:rPr>
                <w:sz w:val="14"/>
                <w:szCs w:val="14"/>
              </w:rPr>
              <w:t>52325,52</w:t>
            </w:r>
          </w:p>
        </w:tc>
        <w:tc>
          <w:tcPr>
            <w:tcW w:w="1262" w:type="dxa"/>
            <w:tcBorders>
              <w:top w:val="nil"/>
              <w:left w:val="nil"/>
              <w:bottom w:val="single" w:sz="4" w:space="0" w:color="auto"/>
              <w:right w:val="single" w:sz="4" w:space="0" w:color="auto"/>
            </w:tcBorders>
            <w:shd w:val="clear" w:color="000000" w:fill="FFFFFF"/>
            <w:vAlign w:val="bottom"/>
          </w:tcPr>
          <w:p w14:paraId="698D9899" w14:textId="77777777" w:rsidR="001D4AFA" w:rsidRPr="009F2D1E" w:rsidRDefault="001D4AFA" w:rsidP="009F2D1E">
            <w:pPr>
              <w:jc w:val="right"/>
              <w:rPr>
                <w:rFonts w:ascii="Times New Roman" w:hAnsi="Times New Roman"/>
                <w:sz w:val="14"/>
                <w:szCs w:val="14"/>
              </w:rPr>
            </w:pPr>
            <w:r w:rsidRPr="009F2D1E">
              <w:rPr>
                <w:sz w:val="14"/>
                <w:szCs w:val="14"/>
              </w:rPr>
              <w:t>57825,13</w:t>
            </w:r>
          </w:p>
        </w:tc>
      </w:tr>
      <w:tr w:rsidR="001D4AFA" w:rsidRPr="00364545" w14:paraId="290B8B94"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18EAD9D2"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264" w:type="dxa"/>
            <w:tcBorders>
              <w:top w:val="nil"/>
              <w:left w:val="nil"/>
              <w:bottom w:val="single" w:sz="4" w:space="0" w:color="auto"/>
              <w:right w:val="single" w:sz="4" w:space="0" w:color="auto"/>
            </w:tcBorders>
            <w:shd w:val="clear" w:color="000000" w:fill="FFFFFF"/>
            <w:noWrap/>
            <w:vAlign w:val="bottom"/>
            <w:hideMark/>
          </w:tcPr>
          <w:p w14:paraId="04B31825"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65B20886"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79FDE8A6"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1CD31EB2"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78" w:type="dxa"/>
            <w:tcBorders>
              <w:top w:val="nil"/>
              <w:left w:val="nil"/>
              <w:bottom w:val="single" w:sz="4" w:space="0" w:color="auto"/>
              <w:right w:val="single" w:sz="4" w:space="0" w:color="auto"/>
            </w:tcBorders>
            <w:shd w:val="clear" w:color="000000" w:fill="FFFFFF"/>
            <w:noWrap/>
            <w:vAlign w:val="bottom"/>
            <w:hideMark/>
          </w:tcPr>
          <w:p w14:paraId="6A4D45D6"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262" w:type="dxa"/>
            <w:tcBorders>
              <w:top w:val="nil"/>
              <w:left w:val="nil"/>
              <w:bottom w:val="single" w:sz="4" w:space="0" w:color="auto"/>
              <w:right w:val="single" w:sz="4" w:space="0" w:color="auto"/>
            </w:tcBorders>
            <w:shd w:val="clear" w:color="000000" w:fill="FFFFFF"/>
            <w:vAlign w:val="bottom"/>
          </w:tcPr>
          <w:p w14:paraId="317D2545"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147BD795"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AF6797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264" w:type="dxa"/>
            <w:tcBorders>
              <w:top w:val="nil"/>
              <w:left w:val="nil"/>
              <w:bottom w:val="single" w:sz="4" w:space="0" w:color="auto"/>
              <w:right w:val="single" w:sz="4" w:space="0" w:color="auto"/>
            </w:tcBorders>
            <w:shd w:val="clear" w:color="000000" w:fill="FFFFFF"/>
            <w:noWrap/>
            <w:vAlign w:val="bottom"/>
            <w:hideMark/>
          </w:tcPr>
          <w:p w14:paraId="1C9FB09D"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354748B5"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0ABD2126"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14AD56AB"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278" w:type="dxa"/>
            <w:tcBorders>
              <w:top w:val="nil"/>
              <w:left w:val="nil"/>
              <w:bottom w:val="single" w:sz="4" w:space="0" w:color="auto"/>
              <w:right w:val="single" w:sz="4" w:space="0" w:color="auto"/>
            </w:tcBorders>
            <w:shd w:val="clear" w:color="000000" w:fill="FFFFFF"/>
            <w:noWrap/>
            <w:vAlign w:val="bottom"/>
            <w:hideMark/>
          </w:tcPr>
          <w:p w14:paraId="58E2A9DF"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262" w:type="dxa"/>
            <w:tcBorders>
              <w:top w:val="nil"/>
              <w:left w:val="nil"/>
              <w:bottom w:val="single" w:sz="4" w:space="0" w:color="auto"/>
              <w:right w:val="single" w:sz="4" w:space="0" w:color="auto"/>
            </w:tcBorders>
            <w:shd w:val="clear" w:color="000000" w:fill="FFFFFF"/>
            <w:vAlign w:val="bottom"/>
          </w:tcPr>
          <w:p w14:paraId="0A9BC25B" w14:textId="77777777" w:rsidR="001D4AFA" w:rsidRPr="009F2D1E" w:rsidRDefault="001D4AFA" w:rsidP="009F2D1E">
            <w:pPr>
              <w:jc w:val="right"/>
              <w:rPr>
                <w:rFonts w:ascii="Times New Roman" w:hAnsi="Times New Roman"/>
                <w:sz w:val="14"/>
                <w:szCs w:val="14"/>
              </w:rPr>
            </w:pPr>
            <w:r w:rsidRPr="009F2D1E">
              <w:rPr>
                <w:sz w:val="14"/>
                <w:szCs w:val="14"/>
              </w:rPr>
              <w:t>NE</w:t>
            </w:r>
          </w:p>
        </w:tc>
      </w:tr>
      <w:tr w:rsidR="001D4AFA" w:rsidRPr="00364545" w14:paraId="1F98C6F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6E0A1D48"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264" w:type="dxa"/>
            <w:tcBorders>
              <w:top w:val="nil"/>
              <w:left w:val="nil"/>
              <w:bottom w:val="single" w:sz="4" w:space="0" w:color="auto"/>
              <w:right w:val="single" w:sz="4" w:space="0" w:color="auto"/>
            </w:tcBorders>
            <w:shd w:val="clear" w:color="000000" w:fill="FFFFFF"/>
            <w:noWrap/>
            <w:vAlign w:val="bottom"/>
            <w:hideMark/>
          </w:tcPr>
          <w:p w14:paraId="15124F2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A73C96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702A21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4B119B1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78" w:type="dxa"/>
            <w:tcBorders>
              <w:top w:val="nil"/>
              <w:left w:val="nil"/>
              <w:bottom w:val="single" w:sz="4" w:space="0" w:color="auto"/>
              <w:right w:val="single" w:sz="4" w:space="0" w:color="auto"/>
            </w:tcBorders>
            <w:shd w:val="clear" w:color="000000" w:fill="FFFFFF"/>
            <w:noWrap/>
            <w:vAlign w:val="bottom"/>
            <w:hideMark/>
          </w:tcPr>
          <w:p w14:paraId="7D77541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262" w:type="dxa"/>
            <w:tcBorders>
              <w:top w:val="nil"/>
              <w:left w:val="nil"/>
              <w:bottom w:val="single" w:sz="4" w:space="0" w:color="auto"/>
              <w:right w:val="single" w:sz="4" w:space="0" w:color="auto"/>
            </w:tcBorders>
            <w:shd w:val="clear" w:color="000000" w:fill="FFFFFF"/>
            <w:vAlign w:val="bottom"/>
          </w:tcPr>
          <w:p w14:paraId="65E1B99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5B65B78"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315E306"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264" w:type="dxa"/>
            <w:tcBorders>
              <w:top w:val="nil"/>
              <w:left w:val="nil"/>
              <w:bottom w:val="single" w:sz="4" w:space="0" w:color="auto"/>
              <w:right w:val="single" w:sz="4" w:space="0" w:color="auto"/>
            </w:tcBorders>
            <w:shd w:val="clear" w:color="000000" w:fill="FFFFFF"/>
            <w:noWrap/>
            <w:vAlign w:val="bottom"/>
            <w:hideMark/>
          </w:tcPr>
          <w:p w14:paraId="39B3293C"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2941A449"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564854EB"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2FEE9164"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278" w:type="dxa"/>
            <w:tcBorders>
              <w:top w:val="nil"/>
              <w:left w:val="nil"/>
              <w:bottom w:val="single" w:sz="4" w:space="0" w:color="auto"/>
              <w:right w:val="single" w:sz="4" w:space="0" w:color="auto"/>
            </w:tcBorders>
            <w:shd w:val="clear" w:color="000000" w:fill="FFFFFF"/>
            <w:noWrap/>
            <w:vAlign w:val="bottom"/>
            <w:hideMark/>
          </w:tcPr>
          <w:p w14:paraId="6E4C70E2"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262" w:type="dxa"/>
            <w:tcBorders>
              <w:top w:val="nil"/>
              <w:left w:val="nil"/>
              <w:bottom w:val="single" w:sz="4" w:space="0" w:color="auto"/>
              <w:right w:val="single" w:sz="4" w:space="0" w:color="auto"/>
            </w:tcBorders>
            <w:shd w:val="clear" w:color="000000" w:fill="FFFFFF"/>
            <w:vAlign w:val="bottom"/>
          </w:tcPr>
          <w:p w14:paraId="059379DA" w14:textId="77777777" w:rsidR="001D4AFA" w:rsidRPr="009F2D1E" w:rsidRDefault="001D4AFA" w:rsidP="009F2D1E">
            <w:pPr>
              <w:jc w:val="right"/>
              <w:rPr>
                <w:rFonts w:ascii="Times New Roman" w:hAnsi="Times New Roman"/>
                <w:sz w:val="14"/>
                <w:szCs w:val="14"/>
              </w:rPr>
            </w:pPr>
            <w:r w:rsidRPr="009F2D1E">
              <w:rPr>
                <w:sz w:val="14"/>
                <w:szCs w:val="14"/>
              </w:rPr>
              <w:t>NO,IE,NA</w:t>
            </w:r>
          </w:p>
        </w:tc>
      </w:tr>
      <w:tr w:rsidR="001D4AFA" w:rsidRPr="00364545" w14:paraId="2CD7EA09"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3FDFB1B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03B13F8E" w14:textId="77777777" w:rsidR="001D4AFA" w:rsidRPr="009F2D1E" w:rsidRDefault="001D4AFA" w:rsidP="009F2D1E">
            <w:pPr>
              <w:jc w:val="right"/>
              <w:rPr>
                <w:rFonts w:ascii="Times New Roman" w:hAnsi="Times New Roman"/>
                <w:sz w:val="14"/>
                <w:szCs w:val="14"/>
              </w:rPr>
            </w:pPr>
            <w:r w:rsidRPr="009F2D1E">
              <w:rPr>
                <w:sz w:val="14"/>
                <w:szCs w:val="14"/>
              </w:rPr>
              <w:t>406199,84</w:t>
            </w:r>
          </w:p>
        </w:tc>
        <w:tc>
          <w:tcPr>
            <w:tcW w:w="1278" w:type="dxa"/>
            <w:tcBorders>
              <w:top w:val="nil"/>
              <w:left w:val="nil"/>
              <w:bottom w:val="single" w:sz="4" w:space="0" w:color="auto"/>
              <w:right w:val="single" w:sz="4" w:space="0" w:color="auto"/>
            </w:tcBorders>
            <w:shd w:val="clear" w:color="000000" w:fill="CCFFFF"/>
            <w:noWrap/>
            <w:vAlign w:val="bottom"/>
            <w:hideMark/>
          </w:tcPr>
          <w:p w14:paraId="41DFD30C" w14:textId="77777777" w:rsidR="001D4AFA" w:rsidRPr="009F2D1E" w:rsidRDefault="001D4AFA" w:rsidP="009F2D1E">
            <w:pPr>
              <w:jc w:val="right"/>
              <w:rPr>
                <w:rFonts w:ascii="Times New Roman" w:hAnsi="Times New Roman"/>
                <w:sz w:val="14"/>
                <w:szCs w:val="14"/>
              </w:rPr>
            </w:pPr>
            <w:r w:rsidRPr="009F2D1E">
              <w:rPr>
                <w:sz w:val="14"/>
                <w:szCs w:val="14"/>
              </w:rPr>
              <w:t>400458,76</w:t>
            </w:r>
          </w:p>
        </w:tc>
        <w:tc>
          <w:tcPr>
            <w:tcW w:w="1278" w:type="dxa"/>
            <w:tcBorders>
              <w:top w:val="nil"/>
              <w:left w:val="nil"/>
              <w:bottom w:val="single" w:sz="4" w:space="0" w:color="auto"/>
              <w:right w:val="single" w:sz="4" w:space="0" w:color="auto"/>
            </w:tcBorders>
            <w:shd w:val="clear" w:color="000000" w:fill="CCFFFF"/>
            <w:noWrap/>
            <w:vAlign w:val="bottom"/>
            <w:hideMark/>
          </w:tcPr>
          <w:p w14:paraId="42B0507F" w14:textId="77777777" w:rsidR="001D4AFA" w:rsidRPr="009F2D1E" w:rsidRDefault="001D4AFA" w:rsidP="009F2D1E">
            <w:pPr>
              <w:jc w:val="right"/>
              <w:rPr>
                <w:rFonts w:ascii="Times New Roman" w:hAnsi="Times New Roman"/>
                <w:sz w:val="14"/>
                <w:szCs w:val="14"/>
              </w:rPr>
            </w:pPr>
            <w:r w:rsidRPr="009F2D1E">
              <w:rPr>
                <w:sz w:val="14"/>
                <w:szCs w:val="14"/>
              </w:rPr>
              <w:t>381064,55</w:t>
            </w:r>
          </w:p>
        </w:tc>
        <w:tc>
          <w:tcPr>
            <w:tcW w:w="1278" w:type="dxa"/>
            <w:tcBorders>
              <w:top w:val="nil"/>
              <w:left w:val="nil"/>
              <w:bottom w:val="single" w:sz="4" w:space="0" w:color="auto"/>
              <w:right w:val="single" w:sz="4" w:space="0" w:color="auto"/>
            </w:tcBorders>
            <w:shd w:val="clear" w:color="000000" w:fill="CCFFFF"/>
            <w:noWrap/>
            <w:vAlign w:val="bottom"/>
            <w:hideMark/>
          </w:tcPr>
          <w:p w14:paraId="010CE983" w14:textId="77777777" w:rsidR="001D4AFA" w:rsidRPr="009F2D1E" w:rsidRDefault="001D4AFA" w:rsidP="009F2D1E">
            <w:pPr>
              <w:jc w:val="right"/>
              <w:rPr>
                <w:rFonts w:ascii="Times New Roman" w:hAnsi="Times New Roman"/>
                <w:sz w:val="14"/>
                <w:szCs w:val="14"/>
              </w:rPr>
            </w:pPr>
            <w:r w:rsidRPr="009F2D1E">
              <w:rPr>
                <w:sz w:val="14"/>
                <w:szCs w:val="14"/>
              </w:rPr>
              <w:t>386872,04</w:t>
            </w:r>
          </w:p>
        </w:tc>
        <w:tc>
          <w:tcPr>
            <w:tcW w:w="1278" w:type="dxa"/>
            <w:tcBorders>
              <w:top w:val="nil"/>
              <w:left w:val="nil"/>
              <w:bottom w:val="single" w:sz="4" w:space="0" w:color="auto"/>
              <w:right w:val="single" w:sz="4" w:space="0" w:color="auto"/>
            </w:tcBorders>
            <w:shd w:val="clear" w:color="000000" w:fill="CCFFFF"/>
            <w:noWrap/>
            <w:vAlign w:val="bottom"/>
            <w:hideMark/>
          </w:tcPr>
          <w:p w14:paraId="6767041B" w14:textId="77777777" w:rsidR="001D4AFA" w:rsidRPr="009F2D1E" w:rsidRDefault="001D4AFA" w:rsidP="009F2D1E">
            <w:pPr>
              <w:jc w:val="right"/>
              <w:rPr>
                <w:rFonts w:ascii="Times New Roman" w:hAnsi="Times New Roman"/>
                <w:sz w:val="14"/>
                <w:szCs w:val="14"/>
              </w:rPr>
            </w:pPr>
            <w:r w:rsidRPr="009F2D1E">
              <w:rPr>
                <w:sz w:val="14"/>
                <w:szCs w:val="14"/>
              </w:rPr>
              <w:t>364820,42</w:t>
            </w:r>
          </w:p>
        </w:tc>
        <w:tc>
          <w:tcPr>
            <w:tcW w:w="1262" w:type="dxa"/>
            <w:tcBorders>
              <w:top w:val="nil"/>
              <w:left w:val="nil"/>
              <w:bottom w:val="single" w:sz="4" w:space="0" w:color="auto"/>
              <w:right w:val="single" w:sz="4" w:space="0" w:color="auto"/>
            </w:tcBorders>
            <w:shd w:val="clear" w:color="000000" w:fill="CCFFFF"/>
            <w:vAlign w:val="bottom"/>
          </w:tcPr>
          <w:p w14:paraId="76155E84" w14:textId="77777777" w:rsidR="001D4AFA" w:rsidRPr="009F2D1E" w:rsidRDefault="001D4AFA" w:rsidP="009F2D1E">
            <w:pPr>
              <w:jc w:val="right"/>
              <w:rPr>
                <w:rFonts w:ascii="Times New Roman" w:hAnsi="Times New Roman"/>
                <w:sz w:val="14"/>
                <w:szCs w:val="14"/>
              </w:rPr>
            </w:pPr>
            <w:r w:rsidRPr="009F2D1E">
              <w:rPr>
                <w:sz w:val="14"/>
                <w:szCs w:val="14"/>
              </w:rPr>
              <w:t>367030,67</w:t>
            </w:r>
          </w:p>
        </w:tc>
      </w:tr>
      <w:tr w:rsidR="001D4AFA" w:rsidRPr="00364545" w14:paraId="4B887283"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723A2D5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3CE9524B" w14:textId="77777777" w:rsidR="001D4AFA" w:rsidRPr="009F2D1E" w:rsidRDefault="001D4AFA" w:rsidP="009F2D1E">
            <w:pPr>
              <w:jc w:val="right"/>
              <w:rPr>
                <w:rFonts w:ascii="Times New Roman" w:hAnsi="Times New Roman"/>
                <w:sz w:val="14"/>
                <w:szCs w:val="14"/>
              </w:rPr>
            </w:pPr>
            <w:r w:rsidRPr="009F2D1E">
              <w:rPr>
                <w:sz w:val="14"/>
                <w:szCs w:val="14"/>
              </w:rPr>
              <w:t>353644,62</w:t>
            </w:r>
          </w:p>
        </w:tc>
        <w:tc>
          <w:tcPr>
            <w:tcW w:w="1278" w:type="dxa"/>
            <w:tcBorders>
              <w:top w:val="nil"/>
              <w:left w:val="nil"/>
              <w:bottom w:val="single" w:sz="4" w:space="0" w:color="auto"/>
              <w:right w:val="single" w:sz="4" w:space="0" w:color="auto"/>
            </w:tcBorders>
            <w:shd w:val="clear" w:color="000000" w:fill="CCFFFF"/>
            <w:noWrap/>
            <w:vAlign w:val="bottom"/>
            <w:hideMark/>
          </w:tcPr>
          <w:p w14:paraId="5E06E761" w14:textId="77777777" w:rsidR="001D4AFA" w:rsidRPr="009F2D1E" w:rsidRDefault="001D4AFA" w:rsidP="009F2D1E">
            <w:pPr>
              <w:jc w:val="right"/>
              <w:rPr>
                <w:rFonts w:ascii="Times New Roman" w:hAnsi="Times New Roman"/>
                <w:sz w:val="14"/>
                <w:szCs w:val="14"/>
              </w:rPr>
            </w:pPr>
            <w:r w:rsidRPr="009F2D1E">
              <w:rPr>
                <w:sz w:val="14"/>
                <w:szCs w:val="14"/>
              </w:rPr>
              <w:t>348048,72</w:t>
            </w:r>
          </w:p>
        </w:tc>
        <w:tc>
          <w:tcPr>
            <w:tcW w:w="1278" w:type="dxa"/>
            <w:tcBorders>
              <w:top w:val="nil"/>
              <w:left w:val="nil"/>
              <w:bottom w:val="single" w:sz="4" w:space="0" w:color="auto"/>
              <w:right w:val="single" w:sz="4" w:space="0" w:color="auto"/>
            </w:tcBorders>
            <w:shd w:val="clear" w:color="000000" w:fill="CCFFFF"/>
            <w:noWrap/>
            <w:vAlign w:val="bottom"/>
            <w:hideMark/>
          </w:tcPr>
          <w:p w14:paraId="49E74FCD" w14:textId="77777777" w:rsidR="001D4AFA" w:rsidRPr="009F2D1E" w:rsidRDefault="001D4AFA" w:rsidP="009F2D1E">
            <w:pPr>
              <w:jc w:val="right"/>
              <w:rPr>
                <w:rFonts w:ascii="Times New Roman" w:hAnsi="Times New Roman"/>
                <w:sz w:val="14"/>
                <w:szCs w:val="14"/>
              </w:rPr>
            </w:pPr>
            <w:r w:rsidRPr="009F2D1E">
              <w:rPr>
                <w:sz w:val="14"/>
                <w:szCs w:val="14"/>
              </w:rPr>
              <w:t>339132,78</w:t>
            </w:r>
          </w:p>
        </w:tc>
        <w:tc>
          <w:tcPr>
            <w:tcW w:w="1278" w:type="dxa"/>
            <w:tcBorders>
              <w:top w:val="nil"/>
              <w:left w:val="nil"/>
              <w:bottom w:val="single" w:sz="4" w:space="0" w:color="auto"/>
              <w:right w:val="single" w:sz="4" w:space="0" w:color="auto"/>
            </w:tcBorders>
            <w:shd w:val="clear" w:color="000000" w:fill="CCFFFF"/>
            <w:noWrap/>
            <w:vAlign w:val="bottom"/>
            <w:hideMark/>
          </w:tcPr>
          <w:p w14:paraId="49ED43F6" w14:textId="77777777" w:rsidR="001D4AFA" w:rsidRPr="009F2D1E" w:rsidRDefault="001D4AFA" w:rsidP="009F2D1E">
            <w:pPr>
              <w:jc w:val="right"/>
              <w:rPr>
                <w:rFonts w:ascii="Times New Roman" w:hAnsi="Times New Roman"/>
                <w:sz w:val="14"/>
                <w:szCs w:val="14"/>
              </w:rPr>
            </w:pPr>
            <w:r w:rsidRPr="009F2D1E">
              <w:rPr>
                <w:sz w:val="14"/>
                <w:szCs w:val="14"/>
              </w:rPr>
              <w:t>344170,77</w:t>
            </w:r>
          </w:p>
        </w:tc>
        <w:tc>
          <w:tcPr>
            <w:tcW w:w="1278" w:type="dxa"/>
            <w:tcBorders>
              <w:top w:val="nil"/>
              <w:left w:val="nil"/>
              <w:bottom w:val="single" w:sz="4" w:space="0" w:color="auto"/>
              <w:right w:val="single" w:sz="4" w:space="0" w:color="auto"/>
            </w:tcBorders>
            <w:shd w:val="clear" w:color="000000" w:fill="CCFFFF"/>
            <w:noWrap/>
            <w:vAlign w:val="bottom"/>
            <w:hideMark/>
          </w:tcPr>
          <w:p w14:paraId="2E552210" w14:textId="77777777" w:rsidR="001D4AFA" w:rsidRPr="009F2D1E" w:rsidRDefault="001D4AFA" w:rsidP="009F2D1E">
            <w:pPr>
              <w:jc w:val="right"/>
              <w:rPr>
                <w:rFonts w:ascii="Times New Roman" w:hAnsi="Times New Roman"/>
                <w:sz w:val="14"/>
                <w:szCs w:val="14"/>
              </w:rPr>
            </w:pPr>
            <w:r w:rsidRPr="009F2D1E">
              <w:rPr>
                <w:sz w:val="14"/>
                <w:szCs w:val="14"/>
              </w:rPr>
              <w:t>322088,69</w:t>
            </w:r>
          </w:p>
        </w:tc>
        <w:tc>
          <w:tcPr>
            <w:tcW w:w="1262" w:type="dxa"/>
            <w:tcBorders>
              <w:top w:val="nil"/>
              <w:left w:val="nil"/>
              <w:bottom w:val="single" w:sz="4" w:space="0" w:color="auto"/>
              <w:right w:val="single" w:sz="4" w:space="0" w:color="auto"/>
            </w:tcBorders>
            <w:shd w:val="clear" w:color="000000" w:fill="CCFFFF"/>
            <w:vAlign w:val="bottom"/>
          </w:tcPr>
          <w:p w14:paraId="130896A8" w14:textId="77777777" w:rsidR="001D4AFA" w:rsidRPr="009F2D1E" w:rsidRDefault="001D4AFA" w:rsidP="009F2D1E">
            <w:pPr>
              <w:jc w:val="right"/>
              <w:rPr>
                <w:rFonts w:ascii="Times New Roman" w:hAnsi="Times New Roman"/>
                <w:sz w:val="14"/>
                <w:szCs w:val="14"/>
              </w:rPr>
            </w:pPr>
            <w:r w:rsidRPr="009F2D1E">
              <w:rPr>
                <w:sz w:val="14"/>
                <w:szCs w:val="14"/>
              </w:rPr>
              <w:t>321847,33</w:t>
            </w:r>
          </w:p>
        </w:tc>
      </w:tr>
      <w:tr w:rsidR="001D4AFA" w:rsidRPr="00364545" w14:paraId="00A19035"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4C9DF05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621B2BC0"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476A4A4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53B0645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3106B36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691C4C2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62" w:type="dxa"/>
            <w:tcBorders>
              <w:top w:val="nil"/>
              <w:left w:val="nil"/>
              <w:bottom w:val="single" w:sz="4" w:space="0" w:color="auto"/>
              <w:right w:val="single" w:sz="4" w:space="0" w:color="auto"/>
            </w:tcBorders>
            <w:shd w:val="clear" w:color="000000" w:fill="CCFFFF"/>
            <w:vAlign w:val="bottom"/>
          </w:tcPr>
          <w:p w14:paraId="7DA36689"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7C1445FD" w14:textId="77777777" w:rsidTr="009F2D1E">
        <w:trPr>
          <w:trHeight w:val="68"/>
          <w:jc w:val="center"/>
        </w:trPr>
        <w:tc>
          <w:tcPr>
            <w:tcW w:w="2302" w:type="dxa"/>
            <w:tcBorders>
              <w:top w:val="nil"/>
              <w:left w:val="single" w:sz="4" w:space="0" w:color="auto"/>
              <w:bottom w:val="single" w:sz="4" w:space="0" w:color="auto"/>
              <w:right w:val="single" w:sz="4" w:space="0" w:color="auto"/>
            </w:tcBorders>
            <w:shd w:val="clear" w:color="000000" w:fill="CCFFFF"/>
            <w:noWrap/>
            <w:vAlign w:val="center"/>
            <w:hideMark/>
          </w:tcPr>
          <w:p w14:paraId="5125ED3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264" w:type="dxa"/>
            <w:tcBorders>
              <w:top w:val="nil"/>
              <w:left w:val="nil"/>
              <w:bottom w:val="single" w:sz="4" w:space="0" w:color="auto"/>
              <w:right w:val="single" w:sz="4" w:space="0" w:color="auto"/>
            </w:tcBorders>
            <w:shd w:val="clear" w:color="000000" w:fill="CCFFFF"/>
            <w:noWrap/>
            <w:vAlign w:val="bottom"/>
            <w:hideMark/>
          </w:tcPr>
          <w:p w14:paraId="370B088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3D53711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45269330"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73E980BC"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78" w:type="dxa"/>
            <w:tcBorders>
              <w:top w:val="nil"/>
              <w:left w:val="nil"/>
              <w:bottom w:val="single" w:sz="4" w:space="0" w:color="auto"/>
              <w:right w:val="single" w:sz="4" w:space="0" w:color="auto"/>
            </w:tcBorders>
            <w:shd w:val="clear" w:color="000000" w:fill="CCFFFF"/>
            <w:noWrap/>
            <w:vAlign w:val="bottom"/>
            <w:hideMark/>
          </w:tcPr>
          <w:p w14:paraId="5FFCA681"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262" w:type="dxa"/>
            <w:tcBorders>
              <w:top w:val="nil"/>
              <w:left w:val="nil"/>
              <w:bottom w:val="single" w:sz="4" w:space="0" w:color="auto"/>
              <w:right w:val="single" w:sz="4" w:space="0" w:color="auto"/>
            </w:tcBorders>
            <w:shd w:val="clear" w:color="000000" w:fill="CCFFFF"/>
            <w:vAlign w:val="bottom"/>
          </w:tcPr>
          <w:p w14:paraId="7A8C8697" w14:textId="77777777" w:rsidR="001D4AFA" w:rsidRPr="009F2D1E" w:rsidRDefault="001D4AFA" w:rsidP="009F2D1E">
            <w:pPr>
              <w:jc w:val="right"/>
              <w:rPr>
                <w:rFonts w:ascii="Times New Roman" w:hAnsi="Times New Roman"/>
                <w:sz w:val="14"/>
                <w:szCs w:val="14"/>
              </w:rPr>
            </w:pPr>
            <w:r w:rsidRPr="009F2D1E">
              <w:rPr>
                <w:sz w:val="14"/>
                <w:szCs w:val="14"/>
              </w:rPr>
              <w:t>NA</w:t>
            </w:r>
          </w:p>
        </w:tc>
      </w:tr>
    </w:tbl>
    <w:p w14:paraId="30CDF3EC" w14:textId="77777777" w:rsidR="001D4AFA" w:rsidRPr="00364545" w:rsidRDefault="001D4AFA" w:rsidP="001D4AFA">
      <w:pPr>
        <w:ind w:right="27"/>
        <w:jc w:val="center"/>
        <w:rPr>
          <w:rFonts w:cs="Arial"/>
          <w:sz w:val="24"/>
        </w:rPr>
      </w:pPr>
    </w:p>
    <w:tbl>
      <w:tblPr>
        <w:tblW w:w="9940" w:type="dxa"/>
        <w:jc w:val="center"/>
        <w:tblCellMar>
          <w:left w:w="70" w:type="dxa"/>
          <w:right w:w="70" w:type="dxa"/>
        </w:tblCellMar>
        <w:tblLook w:val="04A0" w:firstRow="1" w:lastRow="0" w:firstColumn="1" w:lastColumn="0" w:noHBand="0" w:noVBand="1"/>
      </w:tblPr>
      <w:tblGrid>
        <w:gridCol w:w="2855"/>
        <w:gridCol w:w="1192"/>
        <w:gridCol w:w="1193"/>
        <w:gridCol w:w="1164"/>
        <w:gridCol w:w="1150"/>
        <w:gridCol w:w="1193"/>
        <w:gridCol w:w="1193"/>
      </w:tblGrid>
      <w:tr w:rsidR="001D4AFA" w:rsidRPr="00364545" w14:paraId="63C4AA11" w14:textId="77777777" w:rsidTr="009F2D1E">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81365B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1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B314A03"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2013</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3CF12198"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2014</w:t>
            </w:r>
          </w:p>
        </w:tc>
        <w:tc>
          <w:tcPr>
            <w:tcW w:w="1164" w:type="dxa"/>
            <w:tcBorders>
              <w:top w:val="single" w:sz="4" w:space="0" w:color="auto"/>
              <w:left w:val="nil"/>
              <w:bottom w:val="single" w:sz="4" w:space="0" w:color="auto"/>
              <w:right w:val="single" w:sz="4" w:space="0" w:color="auto"/>
            </w:tcBorders>
            <w:shd w:val="clear" w:color="000000" w:fill="CCFFFF"/>
            <w:noWrap/>
            <w:vAlign w:val="center"/>
            <w:hideMark/>
          </w:tcPr>
          <w:p w14:paraId="09A28928"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2015</w:t>
            </w:r>
          </w:p>
        </w:tc>
        <w:tc>
          <w:tcPr>
            <w:tcW w:w="1150" w:type="dxa"/>
            <w:tcBorders>
              <w:top w:val="single" w:sz="4" w:space="0" w:color="auto"/>
              <w:left w:val="nil"/>
              <w:bottom w:val="single" w:sz="4" w:space="0" w:color="auto"/>
              <w:right w:val="single" w:sz="4" w:space="0" w:color="auto"/>
            </w:tcBorders>
            <w:shd w:val="clear" w:color="000000" w:fill="CCFFFF"/>
            <w:noWrap/>
            <w:vAlign w:val="center"/>
            <w:hideMark/>
          </w:tcPr>
          <w:p w14:paraId="3B747B34"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2016</w:t>
            </w:r>
          </w:p>
        </w:tc>
        <w:tc>
          <w:tcPr>
            <w:tcW w:w="1193" w:type="dxa"/>
            <w:tcBorders>
              <w:top w:val="single" w:sz="4" w:space="0" w:color="auto"/>
              <w:left w:val="nil"/>
              <w:bottom w:val="single" w:sz="4" w:space="0" w:color="auto"/>
              <w:right w:val="single" w:sz="4" w:space="0" w:color="auto"/>
            </w:tcBorders>
            <w:shd w:val="clear" w:color="000000" w:fill="CCFFFF"/>
            <w:noWrap/>
            <w:vAlign w:val="center"/>
            <w:hideMark/>
          </w:tcPr>
          <w:p w14:paraId="7EA75227"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2017</w:t>
            </w:r>
          </w:p>
        </w:tc>
        <w:tc>
          <w:tcPr>
            <w:tcW w:w="1193" w:type="dxa"/>
            <w:tcBorders>
              <w:top w:val="single" w:sz="4" w:space="0" w:color="auto"/>
              <w:left w:val="nil"/>
              <w:bottom w:val="single" w:sz="4" w:space="0" w:color="auto"/>
              <w:right w:val="single" w:sz="4" w:space="0" w:color="auto"/>
            </w:tcBorders>
            <w:shd w:val="clear" w:color="000000" w:fill="CCFFFF"/>
            <w:vAlign w:val="center"/>
          </w:tcPr>
          <w:p w14:paraId="7407A152" w14:textId="77777777" w:rsidR="001D4AFA" w:rsidRPr="00364545" w:rsidRDefault="001D4AFA" w:rsidP="009F2D1E">
            <w:pPr>
              <w:jc w:val="center"/>
              <w:rPr>
                <w:rFonts w:ascii="Times New Roman" w:hAnsi="Times New Roman"/>
                <w:b/>
                <w:bCs/>
                <w:sz w:val="16"/>
                <w:szCs w:val="16"/>
              </w:rPr>
            </w:pPr>
            <w:r w:rsidRPr="00364545">
              <w:rPr>
                <w:b/>
                <w:sz w:val="16"/>
              </w:rPr>
              <w:t>2018</w:t>
            </w:r>
          </w:p>
        </w:tc>
      </w:tr>
      <w:tr w:rsidR="001D4AFA" w:rsidRPr="00364545" w14:paraId="2243D305" w14:textId="77777777" w:rsidTr="009F2D1E">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ABD41F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1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9978662" w14:textId="77777777" w:rsidR="001D4AFA" w:rsidRPr="00364545" w:rsidRDefault="001D4AFA" w:rsidP="009F2D1E">
            <w:pPr>
              <w:jc w:val="right"/>
              <w:rPr>
                <w:rFonts w:ascii="Times New Roman" w:hAnsi="Times New Roman"/>
                <w:sz w:val="16"/>
                <w:szCs w:val="16"/>
              </w:rPr>
            </w:pPr>
            <w:r w:rsidRPr="00CB4B9F">
              <w:rPr>
                <w:sz w:val="14"/>
                <w:szCs w:val="14"/>
              </w:rPr>
              <w:t>319936,58</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650B0A2F" w14:textId="77777777" w:rsidR="001D4AFA" w:rsidRPr="00364545" w:rsidRDefault="001D4AFA" w:rsidP="009F2D1E">
            <w:pPr>
              <w:jc w:val="right"/>
              <w:rPr>
                <w:rFonts w:ascii="Times New Roman" w:hAnsi="Times New Roman"/>
                <w:sz w:val="16"/>
                <w:szCs w:val="16"/>
              </w:rPr>
            </w:pPr>
            <w:r w:rsidRPr="00CB4B9F">
              <w:rPr>
                <w:sz w:val="14"/>
                <w:szCs w:val="14"/>
              </w:rPr>
              <w:t>294542,44</w:t>
            </w:r>
          </w:p>
        </w:tc>
        <w:tc>
          <w:tcPr>
            <w:tcW w:w="1164" w:type="dxa"/>
            <w:tcBorders>
              <w:top w:val="single" w:sz="4" w:space="0" w:color="auto"/>
              <w:left w:val="nil"/>
              <w:bottom w:val="single" w:sz="4" w:space="0" w:color="auto"/>
              <w:right w:val="single" w:sz="4" w:space="0" w:color="auto"/>
            </w:tcBorders>
            <w:shd w:val="clear" w:color="000000" w:fill="CCFFFF"/>
            <w:noWrap/>
            <w:vAlign w:val="bottom"/>
            <w:hideMark/>
          </w:tcPr>
          <w:p w14:paraId="739289D5" w14:textId="77777777" w:rsidR="001D4AFA" w:rsidRPr="00364545" w:rsidRDefault="001D4AFA" w:rsidP="009F2D1E">
            <w:pPr>
              <w:jc w:val="right"/>
              <w:rPr>
                <w:rFonts w:ascii="Times New Roman" w:hAnsi="Times New Roman"/>
                <w:sz w:val="16"/>
                <w:szCs w:val="16"/>
              </w:rPr>
            </w:pPr>
            <w:r w:rsidRPr="00CB4B9F">
              <w:rPr>
                <w:sz w:val="14"/>
                <w:szCs w:val="14"/>
              </w:rPr>
              <w:t>303031,73</w:t>
            </w:r>
          </w:p>
        </w:tc>
        <w:tc>
          <w:tcPr>
            <w:tcW w:w="1150" w:type="dxa"/>
            <w:tcBorders>
              <w:top w:val="single" w:sz="4" w:space="0" w:color="auto"/>
              <w:left w:val="nil"/>
              <w:bottom w:val="single" w:sz="4" w:space="0" w:color="auto"/>
              <w:right w:val="single" w:sz="4" w:space="0" w:color="auto"/>
            </w:tcBorders>
            <w:shd w:val="clear" w:color="000000" w:fill="CCFFFF"/>
            <w:noWrap/>
            <w:vAlign w:val="bottom"/>
            <w:hideMark/>
          </w:tcPr>
          <w:p w14:paraId="57BEABA3" w14:textId="77777777" w:rsidR="001D4AFA" w:rsidRPr="00364545" w:rsidRDefault="001D4AFA" w:rsidP="009F2D1E">
            <w:pPr>
              <w:jc w:val="right"/>
              <w:rPr>
                <w:rFonts w:ascii="Times New Roman" w:hAnsi="Times New Roman"/>
                <w:sz w:val="16"/>
                <w:szCs w:val="16"/>
              </w:rPr>
            </w:pPr>
            <w:r w:rsidRPr="00CB4B9F">
              <w:rPr>
                <w:sz w:val="14"/>
                <w:szCs w:val="14"/>
              </w:rPr>
              <w:t>315143,19</w:t>
            </w:r>
          </w:p>
        </w:tc>
        <w:tc>
          <w:tcPr>
            <w:tcW w:w="1193" w:type="dxa"/>
            <w:tcBorders>
              <w:top w:val="single" w:sz="4" w:space="0" w:color="auto"/>
              <w:left w:val="nil"/>
              <w:bottom w:val="single" w:sz="4" w:space="0" w:color="auto"/>
              <w:right w:val="single" w:sz="4" w:space="0" w:color="auto"/>
            </w:tcBorders>
            <w:shd w:val="clear" w:color="000000" w:fill="CCFFFF"/>
            <w:noWrap/>
            <w:vAlign w:val="bottom"/>
            <w:hideMark/>
          </w:tcPr>
          <w:p w14:paraId="48CB5E69" w14:textId="77777777" w:rsidR="001D4AFA" w:rsidRPr="00364545" w:rsidRDefault="001D4AFA" w:rsidP="009F2D1E">
            <w:pPr>
              <w:jc w:val="right"/>
              <w:rPr>
                <w:rFonts w:ascii="Times New Roman" w:hAnsi="Times New Roman"/>
                <w:sz w:val="16"/>
                <w:szCs w:val="16"/>
              </w:rPr>
            </w:pPr>
            <w:r w:rsidRPr="00CB4B9F">
              <w:rPr>
                <w:sz w:val="14"/>
                <w:szCs w:val="14"/>
              </w:rPr>
              <w:t>326837,62</w:t>
            </w:r>
          </w:p>
        </w:tc>
        <w:tc>
          <w:tcPr>
            <w:tcW w:w="1193" w:type="dxa"/>
            <w:tcBorders>
              <w:top w:val="single" w:sz="4" w:space="0" w:color="auto"/>
              <w:left w:val="nil"/>
              <w:bottom w:val="single" w:sz="4" w:space="0" w:color="auto"/>
              <w:right w:val="single" w:sz="4" w:space="0" w:color="auto"/>
            </w:tcBorders>
            <w:shd w:val="clear" w:color="000000" w:fill="CCFFFF"/>
            <w:vAlign w:val="bottom"/>
          </w:tcPr>
          <w:p w14:paraId="3CF1C5F3" w14:textId="77777777" w:rsidR="001D4AFA" w:rsidRPr="00364545" w:rsidRDefault="001D4AFA" w:rsidP="009F2D1E">
            <w:pPr>
              <w:jc w:val="right"/>
              <w:rPr>
                <w:rFonts w:ascii="Times New Roman" w:hAnsi="Times New Roman"/>
                <w:sz w:val="16"/>
                <w:szCs w:val="16"/>
              </w:rPr>
            </w:pPr>
            <w:r w:rsidRPr="00CB4B9F">
              <w:rPr>
                <w:sz w:val="14"/>
                <w:szCs w:val="14"/>
              </w:rPr>
              <w:t>314544,00</w:t>
            </w:r>
          </w:p>
        </w:tc>
      </w:tr>
      <w:tr w:rsidR="001D4AFA" w:rsidRPr="00364545" w14:paraId="45CCD9D3" w14:textId="77777777" w:rsidTr="009F2D1E">
        <w:trPr>
          <w:trHeight w:val="68"/>
          <w:jc w:val="center"/>
        </w:trPr>
        <w:tc>
          <w:tcPr>
            <w:tcW w:w="28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F03353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1. Energy</w:t>
            </w:r>
          </w:p>
        </w:tc>
        <w:tc>
          <w:tcPr>
            <w:tcW w:w="1192" w:type="dxa"/>
            <w:tcBorders>
              <w:top w:val="nil"/>
              <w:left w:val="nil"/>
              <w:bottom w:val="single" w:sz="4" w:space="0" w:color="auto"/>
              <w:right w:val="single" w:sz="4" w:space="0" w:color="auto"/>
            </w:tcBorders>
            <w:shd w:val="clear" w:color="000000" w:fill="CCFFFF"/>
            <w:noWrap/>
            <w:vAlign w:val="bottom"/>
            <w:hideMark/>
          </w:tcPr>
          <w:p w14:paraId="591C727D" w14:textId="77777777" w:rsidR="001D4AFA" w:rsidRPr="009F2D1E" w:rsidRDefault="001D4AFA" w:rsidP="009F2D1E">
            <w:pPr>
              <w:jc w:val="right"/>
              <w:rPr>
                <w:rFonts w:ascii="Times New Roman" w:hAnsi="Times New Roman"/>
                <w:sz w:val="14"/>
                <w:szCs w:val="14"/>
              </w:rPr>
            </w:pPr>
            <w:r w:rsidRPr="009F2D1E">
              <w:rPr>
                <w:sz w:val="14"/>
                <w:szCs w:val="14"/>
              </w:rPr>
              <w:t>332423,94</w:t>
            </w:r>
          </w:p>
        </w:tc>
        <w:tc>
          <w:tcPr>
            <w:tcW w:w="1193" w:type="dxa"/>
            <w:tcBorders>
              <w:top w:val="nil"/>
              <w:left w:val="nil"/>
              <w:bottom w:val="single" w:sz="4" w:space="0" w:color="auto"/>
              <w:right w:val="single" w:sz="4" w:space="0" w:color="auto"/>
            </w:tcBorders>
            <w:shd w:val="clear" w:color="000000" w:fill="CCFFFF"/>
            <w:noWrap/>
            <w:vAlign w:val="bottom"/>
            <w:hideMark/>
          </w:tcPr>
          <w:p w14:paraId="33610F82" w14:textId="77777777" w:rsidR="001D4AFA" w:rsidRPr="009F2D1E" w:rsidRDefault="001D4AFA" w:rsidP="009F2D1E">
            <w:pPr>
              <w:jc w:val="right"/>
              <w:rPr>
                <w:rFonts w:ascii="Times New Roman" w:hAnsi="Times New Roman"/>
                <w:sz w:val="14"/>
                <w:szCs w:val="14"/>
              </w:rPr>
            </w:pPr>
            <w:r w:rsidRPr="009F2D1E">
              <w:rPr>
                <w:sz w:val="14"/>
                <w:szCs w:val="14"/>
              </w:rPr>
              <w:t>300829,02</w:t>
            </w:r>
          </w:p>
        </w:tc>
        <w:tc>
          <w:tcPr>
            <w:tcW w:w="1164" w:type="dxa"/>
            <w:tcBorders>
              <w:top w:val="nil"/>
              <w:left w:val="nil"/>
              <w:bottom w:val="single" w:sz="4" w:space="0" w:color="auto"/>
              <w:right w:val="single" w:sz="4" w:space="0" w:color="auto"/>
            </w:tcBorders>
            <w:shd w:val="clear" w:color="000000" w:fill="CCFFFF"/>
            <w:noWrap/>
            <w:vAlign w:val="bottom"/>
            <w:hideMark/>
          </w:tcPr>
          <w:p w14:paraId="2D9CCFDC" w14:textId="77777777" w:rsidR="001D4AFA" w:rsidRPr="009F2D1E" w:rsidRDefault="001D4AFA" w:rsidP="009F2D1E">
            <w:pPr>
              <w:jc w:val="right"/>
              <w:rPr>
                <w:rFonts w:ascii="Times New Roman" w:hAnsi="Times New Roman"/>
                <w:sz w:val="14"/>
                <w:szCs w:val="14"/>
              </w:rPr>
            </w:pPr>
            <w:r w:rsidRPr="009F2D1E">
              <w:rPr>
                <w:sz w:val="14"/>
                <w:szCs w:val="14"/>
              </w:rPr>
              <w:t>307160,02</w:t>
            </w:r>
          </w:p>
        </w:tc>
        <w:tc>
          <w:tcPr>
            <w:tcW w:w="1150" w:type="dxa"/>
            <w:tcBorders>
              <w:top w:val="nil"/>
              <w:left w:val="nil"/>
              <w:bottom w:val="single" w:sz="4" w:space="0" w:color="auto"/>
              <w:right w:val="single" w:sz="4" w:space="0" w:color="auto"/>
            </w:tcBorders>
            <w:shd w:val="clear" w:color="000000" w:fill="CCFFFF"/>
            <w:noWrap/>
            <w:vAlign w:val="bottom"/>
            <w:hideMark/>
          </w:tcPr>
          <w:p w14:paraId="73DEF865" w14:textId="77777777" w:rsidR="001D4AFA" w:rsidRPr="009F2D1E" w:rsidRDefault="001D4AFA" w:rsidP="009F2D1E">
            <w:pPr>
              <w:jc w:val="right"/>
              <w:rPr>
                <w:rFonts w:ascii="Times New Roman" w:hAnsi="Times New Roman"/>
                <w:sz w:val="14"/>
                <w:szCs w:val="14"/>
              </w:rPr>
            </w:pPr>
            <w:r w:rsidRPr="009F2D1E">
              <w:rPr>
                <w:sz w:val="14"/>
                <w:szCs w:val="14"/>
              </w:rPr>
              <w:t>310070,53</w:t>
            </w:r>
          </w:p>
        </w:tc>
        <w:tc>
          <w:tcPr>
            <w:tcW w:w="1193" w:type="dxa"/>
            <w:tcBorders>
              <w:top w:val="nil"/>
              <w:left w:val="nil"/>
              <w:bottom w:val="single" w:sz="4" w:space="0" w:color="auto"/>
              <w:right w:val="single" w:sz="4" w:space="0" w:color="auto"/>
            </w:tcBorders>
            <w:shd w:val="clear" w:color="000000" w:fill="CCFFFF"/>
            <w:noWrap/>
            <w:vAlign w:val="bottom"/>
            <w:hideMark/>
          </w:tcPr>
          <w:p w14:paraId="4BEC33DA" w14:textId="77777777" w:rsidR="001D4AFA" w:rsidRPr="009F2D1E" w:rsidRDefault="001D4AFA" w:rsidP="009F2D1E">
            <w:pPr>
              <w:jc w:val="right"/>
              <w:rPr>
                <w:rFonts w:ascii="Times New Roman" w:hAnsi="Times New Roman"/>
                <w:sz w:val="14"/>
                <w:szCs w:val="14"/>
              </w:rPr>
            </w:pPr>
            <w:r w:rsidRPr="009F2D1E">
              <w:rPr>
                <w:sz w:val="14"/>
                <w:szCs w:val="14"/>
              </w:rPr>
              <w:t>311643,01</w:t>
            </w:r>
          </w:p>
        </w:tc>
        <w:tc>
          <w:tcPr>
            <w:tcW w:w="1193" w:type="dxa"/>
            <w:tcBorders>
              <w:top w:val="nil"/>
              <w:left w:val="nil"/>
              <w:bottom w:val="single" w:sz="4" w:space="0" w:color="auto"/>
              <w:right w:val="single" w:sz="4" w:space="0" w:color="auto"/>
            </w:tcBorders>
            <w:shd w:val="clear" w:color="000000" w:fill="CCFFFF"/>
            <w:vAlign w:val="bottom"/>
          </w:tcPr>
          <w:p w14:paraId="3F8E0118" w14:textId="77777777" w:rsidR="001D4AFA" w:rsidRPr="009F2D1E" w:rsidRDefault="001D4AFA" w:rsidP="009F2D1E">
            <w:pPr>
              <w:jc w:val="right"/>
              <w:rPr>
                <w:rFonts w:ascii="Times New Roman" w:hAnsi="Times New Roman"/>
                <w:sz w:val="14"/>
                <w:szCs w:val="14"/>
              </w:rPr>
            </w:pPr>
            <w:r w:rsidRPr="009F2D1E">
              <w:rPr>
                <w:sz w:val="14"/>
                <w:szCs w:val="14"/>
              </w:rPr>
              <w:t>297060,86</w:t>
            </w:r>
          </w:p>
        </w:tc>
      </w:tr>
      <w:tr w:rsidR="001D4AFA" w:rsidRPr="00364545" w14:paraId="1AEC1DE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ECD40E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192" w:type="dxa"/>
            <w:tcBorders>
              <w:top w:val="nil"/>
              <w:left w:val="nil"/>
              <w:bottom w:val="single" w:sz="4" w:space="0" w:color="auto"/>
              <w:right w:val="single" w:sz="4" w:space="0" w:color="auto"/>
            </w:tcBorders>
            <w:shd w:val="clear" w:color="000000" w:fill="CCFFFF"/>
            <w:noWrap/>
            <w:vAlign w:val="bottom"/>
            <w:hideMark/>
          </w:tcPr>
          <w:p w14:paraId="033FC22D" w14:textId="77777777" w:rsidR="001D4AFA" w:rsidRPr="009F2D1E" w:rsidRDefault="001D4AFA" w:rsidP="009F2D1E">
            <w:pPr>
              <w:jc w:val="right"/>
              <w:rPr>
                <w:rFonts w:ascii="Times New Roman" w:hAnsi="Times New Roman"/>
                <w:sz w:val="14"/>
                <w:szCs w:val="14"/>
              </w:rPr>
            </w:pPr>
            <w:r w:rsidRPr="009F2D1E">
              <w:rPr>
                <w:sz w:val="14"/>
                <w:szCs w:val="14"/>
              </w:rPr>
              <w:t>329287,37</w:t>
            </w:r>
          </w:p>
        </w:tc>
        <w:tc>
          <w:tcPr>
            <w:tcW w:w="1193" w:type="dxa"/>
            <w:tcBorders>
              <w:top w:val="nil"/>
              <w:left w:val="nil"/>
              <w:bottom w:val="single" w:sz="4" w:space="0" w:color="auto"/>
              <w:right w:val="single" w:sz="4" w:space="0" w:color="auto"/>
            </w:tcBorders>
            <w:shd w:val="clear" w:color="000000" w:fill="CCFFFF"/>
            <w:noWrap/>
            <w:vAlign w:val="bottom"/>
            <w:hideMark/>
          </w:tcPr>
          <w:p w14:paraId="4008ED2C" w14:textId="77777777" w:rsidR="001D4AFA" w:rsidRPr="009F2D1E" w:rsidRDefault="001D4AFA" w:rsidP="009F2D1E">
            <w:pPr>
              <w:jc w:val="right"/>
              <w:rPr>
                <w:rFonts w:ascii="Times New Roman" w:hAnsi="Times New Roman"/>
                <w:sz w:val="14"/>
                <w:szCs w:val="14"/>
              </w:rPr>
            </w:pPr>
            <w:r w:rsidRPr="009F2D1E">
              <w:rPr>
                <w:sz w:val="14"/>
                <w:szCs w:val="14"/>
              </w:rPr>
              <w:t>297780,47</w:t>
            </w:r>
          </w:p>
        </w:tc>
        <w:tc>
          <w:tcPr>
            <w:tcW w:w="1164" w:type="dxa"/>
            <w:tcBorders>
              <w:top w:val="nil"/>
              <w:left w:val="nil"/>
              <w:bottom w:val="single" w:sz="4" w:space="0" w:color="auto"/>
              <w:right w:val="single" w:sz="4" w:space="0" w:color="auto"/>
            </w:tcBorders>
            <w:shd w:val="clear" w:color="000000" w:fill="CCFFFF"/>
            <w:noWrap/>
            <w:vAlign w:val="bottom"/>
            <w:hideMark/>
          </w:tcPr>
          <w:p w14:paraId="317F8D00" w14:textId="77777777" w:rsidR="001D4AFA" w:rsidRPr="009F2D1E" w:rsidRDefault="001D4AFA" w:rsidP="009F2D1E">
            <w:pPr>
              <w:jc w:val="right"/>
              <w:rPr>
                <w:rFonts w:ascii="Times New Roman" w:hAnsi="Times New Roman"/>
                <w:sz w:val="14"/>
                <w:szCs w:val="14"/>
              </w:rPr>
            </w:pPr>
            <w:r w:rsidRPr="009F2D1E">
              <w:rPr>
                <w:sz w:val="14"/>
                <w:szCs w:val="14"/>
              </w:rPr>
              <w:t>304214,19</w:t>
            </w:r>
          </w:p>
        </w:tc>
        <w:tc>
          <w:tcPr>
            <w:tcW w:w="1150" w:type="dxa"/>
            <w:tcBorders>
              <w:top w:val="nil"/>
              <w:left w:val="nil"/>
              <w:bottom w:val="single" w:sz="4" w:space="0" w:color="auto"/>
              <w:right w:val="single" w:sz="4" w:space="0" w:color="auto"/>
            </w:tcBorders>
            <w:shd w:val="clear" w:color="000000" w:fill="CCFFFF"/>
            <w:noWrap/>
            <w:vAlign w:val="bottom"/>
            <w:hideMark/>
          </w:tcPr>
          <w:p w14:paraId="05510595" w14:textId="77777777" w:rsidR="001D4AFA" w:rsidRPr="009F2D1E" w:rsidRDefault="001D4AFA" w:rsidP="009F2D1E">
            <w:pPr>
              <w:jc w:val="right"/>
              <w:rPr>
                <w:rFonts w:ascii="Times New Roman" w:hAnsi="Times New Roman"/>
                <w:sz w:val="14"/>
                <w:szCs w:val="14"/>
              </w:rPr>
            </w:pPr>
            <w:r w:rsidRPr="009F2D1E">
              <w:rPr>
                <w:sz w:val="14"/>
                <w:szCs w:val="14"/>
              </w:rPr>
              <w:t>307112,73</w:t>
            </w:r>
          </w:p>
        </w:tc>
        <w:tc>
          <w:tcPr>
            <w:tcW w:w="1193" w:type="dxa"/>
            <w:tcBorders>
              <w:top w:val="nil"/>
              <w:left w:val="nil"/>
              <w:bottom w:val="single" w:sz="4" w:space="0" w:color="auto"/>
              <w:right w:val="single" w:sz="4" w:space="0" w:color="auto"/>
            </w:tcBorders>
            <w:shd w:val="clear" w:color="000000" w:fill="CCFFFF"/>
            <w:noWrap/>
            <w:vAlign w:val="bottom"/>
            <w:hideMark/>
          </w:tcPr>
          <w:p w14:paraId="104FCAAC" w14:textId="77777777" w:rsidR="001D4AFA" w:rsidRPr="009F2D1E" w:rsidRDefault="001D4AFA" w:rsidP="009F2D1E">
            <w:pPr>
              <w:jc w:val="right"/>
              <w:rPr>
                <w:rFonts w:ascii="Times New Roman" w:hAnsi="Times New Roman"/>
                <w:sz w:val="14"/>
                <w:szCs w:val="14"/>
              </w:rPr>
            </w:pPr>
            <w:r w:rsidRPr="009F2D1E">
              <w:rPr>
                <w:sz w:val="14"/>
                <w:szCs w:val="14"/>
              </w:rPr>
              <w:t>308740,95</w:t>
            </w:r>
          </w:p>
        </w:tc>
        <w:tc>
          <w:tcPr>
            <w:tcW w:w="1193" w:type="dxa"/>
            <w:tcBorders>
              <w:top w:val="nil"/>
              <w:left w:val="nil"/>
              <w:bottom w:val="single" w:sz="4" w:space="0" w:color="auto"/>
              <w:right w:val="single" w:sz="4" w:space="0" w:color="auto"/>
            </w:tcBorders>
            <w:shd w:val="clear" w:color="000000" w:fill="CCFFFF"/>
            <w:vAlign w:val="bottom"/>
          </w:tcPr>
          <w:p w14:paraId="601EDC09" w14:textId="77777777" w:rsidR="001D4AFA" w:rsidRPr="009F2D1E" w:rsidRDefault="001D4AFA" w:rsidP="009F2D1E">
            <w:pPr>
              <w:jc w:val="right"/>
              <w:rPr>
                <w:rFonts w:ascii="Times New Roman" w:hAnsi="Times New Roman"/>
                <w:sz w:val="14"/>
                <w:szCs w:val="14"/>
              </w:rPr>
            </w:pPr>
            <w:r w:rsidRPr="009F2D1E">
              <w:rPr>
                <w:sz w:val="14"/>
                <w:szCs w:val="14"/>
              </w:rPr>
              <w:t>294063,35</w:t>
            </w:r>
          </w:p>
        </w:tc>
      </w:tr>
      <w:tr w:rsidR="001D4AFA" w:rsidRPr="00364545" w14:paraId="0E1DDB41"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F4448E9"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192" w:type="dxa"/>
            <w:tcBorders>
              <w:top w:val="nil"/>
              <w:left w:val="nil"/>
              <w:bottom w:val="single" w:sz="4" w:space="0" w:color="auto"/>
              <w:right w:val="single" w:sz="4" w:space="0" w:color="auto"/>
            </w:tcBorders>
            <w:shd w:val="clear" w:color="000000" w:fill="FFFFFF"/>
            <w:noWrap/>
            <w:vAlign w:val="bottom"/>
            <w:hideMark/>
          </w:tcPr>
          <w:p w14:paraId="29AE079C" w14:textId="77777777" w:rsidR="001D4AFA" w:rsidRPr="009F2D1E" w:rsidRDefault="001D4AFA" w:rsidP="009F2D1E">
            <w:pPr>
              <w:jc w:val="right"/>
              <w:rPr>
                <w:rFonts w:ascii="Times New Roman" w:hAnsi="Times New Roman"/>
                <w:sz w:val="14"/>
                <w:szCs w:val="14"/>
              </w:rPr>
            </w:pPr>
            <w:r w:rsidRPr="009F2D1E">
              <w:rPr>
                <w:sz w:val="14"/>
                <w:szCs w:val="14"/>
              </w:rPr>
              <w:t>55020,81</w:t>
            </w:r>
          </w:p>
        </w:tc>
        <w:tc>
          <w:tcPr>
            <w:tcW w:w="1193" w:type="dxa"/>
            <w:tcBorders>
              <w:top w:val="nil"/>
              <w:left w:val="nil"/>
              <w:bottom w:val="single" w:sz="4" w:space="0" w:color="auto"/>
              <w:right w:val="single" w:sz="4" w:space="0" w:color="auto"/>
            </w:tcBorders>
            <w:shd w:val="clear" w:color="000000" w:fill="FFFFFF"/>
            <w:noWrap/>
            <w:vAlign w:val="bottom"/>
            <w:hideMark/>
          </w:tcPr>
          <w:p w14:paraId="1466B3FB" w14:textId="77777777" w:rsidR="001D4AFA" w:rsidRPr="009F2D1E" w:rsidRDefault="001D4AFA" w:rsidP="009F2D1E">
            <w:pPr>
              <w:jc w:val="right"/>
              <w:rPr>
                <w:rFonts w:ascii="Times New Roman" w:hAnsi="Times New Roman"/>
                <w:sz w:val="14"/>
                <w:szCs w:val="14"/>
              </w:rPr>
            </w:pPr>
            <w:r w:rsidRPr="009F2D1E">
              <w:rPr>
                <w:sz w:val="14"/>
                <w:szCs w:val="14"/>
              </w:rPr>
              <w:t>41799,70</w:t>
            </w:r>
          </w:p>
        </w:tc>
        <w:tc>
          <w:tcPr>
            <w:tcW w:w="1164" w:type="dxa"/>
            <w:tcBorders>
              <w:top w:val="nil"/>
              <w:left w:val="nil"/>
              <w:bottom w:val="single" w:sz="4" w:space="0" w:color="auto"/>
              <w:right w:val="single" w:sz="4" w:space="0" w:color="auto"/>
            </w:tcBorders>
            <w:shd w:val="clear" w:color="000000" w:fill="FFFFFF"/>
            <w:noWrap/>
            <w:vAlign w:val="bottom"/>
            <w:hideMark/>
          </w:tcPr>
          <w:p w14:paraId="43136286" w14:textId="77777777" w:rsidR="001D4AFA" w:rsidRPr="009F2D1E" w:rsidRDefault="001D4AFA" w:rsidP="009F2D1E">
            <w:pPr>
              <w:jc w:val="right"/>
              <w:rPr>
                <w:rFonts w:ascii="Times New Roman" w:hAnsi="Times New Roman"/>
                <w:sz w:val="14"/>
                <w:szCs w:val="14"/>
              </w:rPr>
            </w:pPr>
            <w:r w:rsidRPr="009F2D1E">
              <w:rPr>
                <w:sz w:val="14"/>
                <w:szCs w:val="14"/>
              </w:rPr>
              <w:t>44690,74</w:t>
            </w:r>
          </w:p>
        </w:tc>
        <w:tc>
          <w:tcPr>
            <w:tcW w:w="1150" w:type="dxa"/>
            <w:tcBorders>
              <w:top w:val="nil"/>
              <w:left w:val="nil"/>
              <w:bottom w:val="single" w:sz="4" w:space="0" w:color="auto"/>
              <w:right w:val="single" w:sz="4" w:space="0" w:color="auto"/>
            </w:tcBorders>
            <w:shd w:val="clear" w:color="000000" w:fill="FFFFFF"/>
            <w:noWrap/>
            <w:vAlign w:val="bottom"/>
            <w:hideMark/>
          </w:tcPr>
          <w:p w14:paraId="59B78D50" w14:textId="77777777" w:rsidR="001D4AFA" w:rsidRPr="009F2D1E" w:rsidRDefault="001D4AFA" w:rsidP="009F2D1E">
            <w:pPr>
              <w:jc w:val="right"/>
              <w:rPr>
                <w:rFonts w:ascii="Times New Roman" w:hAnsi="Times New Roman"/>
                <w:sz w:val="14"/>
                <w:szCs w:val="14"/>
              </w:rPr>
            </w:pPr>
            <w:r w:rsidRPr="009F2D1E">
              <w:rPr>
                <w:sz w:val="14"/>
                <w:szCs w:val="14"/>
              </w:rPr>
              <w:t>48 201,25</w:t>
            </w:r>
          </w:p>
        </w:tc>
        <w:tc>
          <w:tcPr>
            <w:tcW w:w="1193" w:type="dxa"/>
            <w:tcBorders>
              <w:top w:val="nil"/>
              <w:left w:val="nil"/>
              <w:bottom w:val="single" w:sz="4" w:space="0" w:color="auto"/>
              <w:right w:val="single" w:sz="4" w:space="0" w:color="auto"/>
            </w:tcBorders>
            <w:shd w:val="clear" w:color="000000" w:fill="FFFFFF"/>
            <w:noWrap/>
            <w:vAlign w:val="bottom"/>
            <w:hideMark/>
          </w:tcPr>
          <w:p w14:paraId="71B51FB5" w14:textId="77777777" w:rsidR="001D4AFA" w:rsidRPr="009F2D1E" w:rsidRDefault="001D4AFA" w:rsidP="009F2D1E">
            <w:pPr>
              <w:jc w:val="right"/>
              <w:rPr>
                <w:rFonts w:ascii="Times New Roman" w:hAnsi="Times New Roman"/>
                <w:sz w:val="14"/>
                <w:szCs w:val="14"/>
              </w:rPr>
            </w:pPr>
            <w:r w:rsidRPr="009F2D1E">
              <w:rPr>
                <w:sz w:val="14"/>
                <w:szCs w:val="14"/>
              </w:rPr>
              <w:t>52 173,58</w:t>
            </w:r>
          </w:p>
        </w:tc>
        <w:tc>
          <w:tcPr>
            <w:tcW w:w="1193" w:type="dxa"/>
            <w:tcBorders>
              <w:top w:val="nil"/>
              <w:left w:val="nil"/>
              <w:bottom w:val="single" w:sz="4" w:space="0" w:color="auto"/>
              <w:right w:val="single" w:sz="4" w:space="0" w:color="auto"/>
            </w:tcBorders>
            <w:shd w:val="clear" w:color="000000" w:fill="FFFFFF"/>
            <w:vAlign w:val="bottom"/>
          </w:tcPr>
          <w:p w14:paraId="4C8E674D" w14:textId="77777777" w:rsidR="001D4AFA" w:rsidRPr="009F2D1E" w:rsidRDefault="001D4AFA" w:rsidP="009F2D1E">
            <w:pPr>
              <w:jc w:val="right"/>
              <w:rPr>
                <w:rFonts w:ascii="Times New Roman" w:hAnsi="Times New Roman"/>
                <w:sz w:val="14"/>
                <w:szCs w:val="14"/>
              </w:rPr>
            </w:pPr>
            <w:r w:rsidRPr="009F2D1E">
              <w:rPr>
                <w:sz w:val="14"/>
                <w:szCs w:val="14"/>
              </w:rPr>
              <w:t>42 885,69</w:t>
            </w:r>
          </w:p>
        </w:tc>
      </w:tr>
      <w:tr w:rsidR="001D4AFA" w:rsidRPr="00364545" w14:paraId="57D657AD"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A70FDC5"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192" w:type="dxa"/>
            <w:tcBorders>
              <w:top w:val="nil"/>
              <w:left w:val="nil"/>
              <w:bottom w:val="single" w:sz="4" w:space="0" w:color="auto"/>
              <w:right w:val="single" w:sz="4" w:space="0" w:color="auto"/>
            </w:tcBorders>
            <w:shd w:val="clear" w:color="000000" w:fill="FFFFFF"/>
            <w:noWrap/>
            <w:vAlign w:val="bottom"/>
            <w:hideMark/>
          </w:tcPr>
          <w:p w14:paraId="4BC42809" w14:textId="77777777" w:rsidR="001D4AFA" w:rsidRPr="009F2D1E" w:rsidRDefault="001D4AFA" w:rsidP="009F2D1E">
            <w:pPr>
              <w:jc w:val="right"/>
              <w:rPr>
                <w:rFonts w:ascii="Times New Roman" w:hAnsi="Times New Roman"/>
                <w:sz w:val="14"/>
                <w:szCs w:val="14"/>
              </w:rPr>
            </w:pPr>
            <w:r w:rsidRPr="009F2D1E">
              <w:rPr>
                <w:sz w:val="14"/>
                <w:szCs w:val="14"/>
              </w:rPr>
              <w:t>50588,96</w:t>
            </w:r>
          </w:p>
        </w:tc>
        <w:tc>
          <w:tcPr>
            <w:tcW w:w="1193" w:type="dxa"/>
            <w:tcBorders>
              <w:top w:val="nil"/>
              <w:left w:val="nil"/>
              <w:bottom w:val="single" w:sz="4" w:space="0" w:color="auto"/>
              <w:right w:val="single" w:sz="4" w:space="0" w:color="auto"/>
            </w:tcBorders>
            <w:shd w:val="clear" w:color="000000" w:fill="FFFFFF"/>
            <w:noWrap/>
            <w:vAlign w:val="bottom"/>
            <w:hideMark/>
          </w:tcPr>
          <w:p w14:paraId="3F40C752" w14:textId="77777777" w:rsidR="001D4AFA" w:rsidRPr="009F2D1E" w:rsidRDefault="001D4AFA" w:rsidP="009F2D1E">
            <w:pPr>
              <w:jc w:val="right"/>
              <w:rPr>
                <w:rFonts w:ascii="Times New Roman" w:hAnsi="Times New Roman"/>
                <w:sz w:val="14"/>
                <w:szCs w:val="14"/>
              </w:rPr>
            </w:pPr>
            <w:r w:rsidRPr="009F2D1E">
              <w:rPr>
                <w:sz w:val="14"/>
                <w:szCs w:val="14"/>
              </w:rPr>
              <w:t>48036,09</w:t>
            </w:r>
          </w:p>
        </w:tc>
        <w:tc>
          <w:tcPr>
            <w:tcW w:w="1164" w:type="dxa"/>
            <w:tcBorders>
              <w:top w:val="nil"/>
              <w:left w:val="nil"/>
              <w:bottom w:val="single" w:sz="4" w:space="0" w:color="auto"/>
              <w:right w:val="single" w:sz="4" w:space="0" w:color="auto"/>
            </w:tcBorders>
            <w:shd w:val="clear" w:color="000000" w:fill="FFFFFF"/>
            <w:noWrap/>
            <w:vAlign w:val="bottom"/>
            <w:hideMark/>
          </w:tcPr>
          <w:p w14:paraId="332B7DC4" w14:textId="77777777" w:rsidR="001D4AFA" w:rsidRPr="009F2D1E" w:rsidRDefault="001D4AFA" w:rsidP="009F2D1E">
            <w:pPr>
              <w:jc w:val="right"/>
              <w:rPr>
                <w:rFonts w:ascii="Times New Roman" w:hAnsi="Times New Roman"/>
                <w:sz w:val="14"/>
                <w:szCs w:val="14"/>
              </w:rPr>
            </w:pPr>
            <w:r w:rsidRPr="009F2D1E">
              <w:rPr>
                <w:sz w:val="14"/>
                <w:szCs w:val="14"/>
              </w:rPr>
              <w:t>47164,40</w:t>
            </w:r>
          </w:p>
        </w:tc>
        <w:tc>
          <w:tcPr>
            <w:tcW w:w="1150" w:type="dxa"/>
            <w:tcBorders>
              <w:top w:val="nil"/>
              <w:left w:val="nil"/>
              <w:bottom w:val="single" w:sz="4" w:space="0" w:color="auto"/>
              <w:right w:val="single" w:sz="4" w:space="0" w:color="auto"/>
            </w:tcBorders>
            <w:shd w:val="clear" w:color="000000" w:fill="FFFFFF"/>
            <w:noWrap/>
            <w:vAlign w:val="bottom"/>
            <w:hideMark/>
          </w:tcPr>
          <w:p w14:paraId="26848E0A" w14:textId="77777777" w:rsidR="001D4AFA" w:rsidRPr="009F2D1E" w:rsidRDefault="001D4AFA" w:rsidP="009F2D1E">
            <w:pPr>
              <w:jc w:val="right"/>
              <w:rPr>
                <w:rFonts w:ascii="Times New Roman" w:hAnsi="Times New Roman"/>
                <w:sz w:val="14"/>
                <w:szCs w:val="14"/>
              </w:rPr>
            </w:pPr>
            <w:r w:rsidRPr="009F2D1E">
              <w:rPr>
                <w:sz w:val="14"/>
                <w:szCs w:val="14"/>
              </w:rPr>
              <w:t>47 039,26</w:t>
            </w:r>
          </w:p>
        </w:tc>
        <w:tc>
          <w:tcPr>
            <w:tcW w:w="1193" w:type="dxa"/>
            <w:tcBorders>
              <w:top w:val="nil"/>
              <w:left w:val="nil"/>
              <w:bottom w:val="single" w:sz="4" w:space="0" w:color="auto"/>
              <w:right w:val="single" w:sz="4" w:space="0" w:color="auto"/>
            </w:tcBorders>
            <w:shd w:val="clear" w:color="000000" w:fill="FFFFFF"/>
            <w:noWrap/>
            <w:vAlign w:val="bottom"/>
            <w:hideMark/>
          </w:tcPr>
          <w:p w14:paraId="4649D433" w14:textId="77777777" w:rsidR="001D4AFA" w:rsidRPr="009F2D1E" w:rsidRDefault="001D4AFA" w:rsidP="009F2D1E">
            <w:pPr>
              <w:jc w:val="right"/>
              <w:rPr>
                <w:rFonts w:ascii="Times New Roman" w:hAnsi="Times New Roman"/>
                <w:sz w:val="14"/>
                <w:szCs w:val="14"/>
              </w:rPr>
            </w:pPr>
            <w:r w:rsidRPr="009F2D1E">
              <w:rPr>
                <w:sz w:val="14"/>
                <w:szCs w:val="14"/>
              </w:rPr>
              <w:t>44 796,54</w:t>
            </w:r>
          </w:p>
        </w:tc>
        <w:tc>
          <w:tcPr>
            <w:tcW w:w="1193" w:type="dxa"/>
            <w:tcBorders>
              <w:top w:val="nil"/>
              <w:left w:val="nil"/>
              <w:bottom w:val="single" w:sz="4" w:space="0" w:color="auto"/>
              <w:right w:val="single" w:sz="4" w:space="0" w:color="auto"/>
            </w:tcBorders>
            <w:shd w:val="clear" w:color="000000" w:fill="FFFFFF"/>
            <w:vAlign w:val="bottom"/>
          </w:tcPr>
          <w:p w14:paraId="195E75B5" w14:textId="77777777" w:rsidR="001D4AFA" w:rsidRPr="009F2D1E" w:rsidRDefault="001D4AFA" w:rsidP="009F2D1E">
            <w:pPr>
              <w:jc w:val="right"/>
              <w:rPr>
                <w:rFonts w:ascii="Times New Roman" w:hAnsi="Times New Roman"/>
                <w:sz w:val="14"/>
                <w:szCs w:val="14"/>
              </w:rPr>
            </w:pPr>
            <w:r w:rsidRPr="009F2D1E">
              <w:rPr>
                <w:sz w:val="14"/>
                <w:szCs w:val="14"/>
              </w:rPr>
              <w:t>45 887,51</w:t>
            </w:r>
          </w:p>
        </w:tc>
      </w:tr>
      <w:tr w:rsidR="001D4AFA" w:rsidRPr="00364545" w14:paraId="511BD03B"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4EE6728"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192" w:type="dxa"/>
            <w:tcBorders>
              <w:top w:val="nil"/>
              <w:left w:val="nil"/>
              <w:bottom w:val="single" w:sz="4" w:space="0" w:color="auto"/>
              <w:right w:val="single" w:sz="4" w:space="0" w:color="auto"/>
            </w:tcBorders>
            <w:shd w:val="clear" w:color="000000" w:fill="FFFFFF"/>
            <w:noWrap/>
            <w:vAlign w:val="bottom"/>
            <w:hideMark/>
          </w:tcPr>
          <w:p w14:paraId="58F8452B" w14:textId="77777777" w:rsidR="001D4AFA" w:rsidRPr="009F2D1E" w:rsidRDefault="001D4AFA" w:rsidP="009F2D1E">
            <w:pPr>
              <w:jc w:val="right"/>
              <w:rPr>
                <w:rFonts w:ascii="Times New Roman" w:hAnsi="Times New Roman"/>
                <w:sz w:val="14"/>
                <w:szCs w:val="14"/>
              </w:rPr>
            </w:pPr>
            <w:r w:rsidRPr="009F2D1E">
              <w:rPr>
                <w:sz w:val="14"/>
                <w:szCs w:val="14"/>
              </w:rPr>
              <w:t>130759,23</w:t>
            </w:r>
          </w:p>
        </w:tc>
        <w:tc>
          <w:tcPr>
            <w:tcW w:w="1193" w:type="dxa"/>
            <w:tcBorders>
              <w:top w:val="nil"/>
              <w:left w:val="nil"/>
              <w:bottom w:val="single" w:sz="4" w:space="0" w:color="auto"/>
              <w:right w:val="single" w:sz="4" w:space="0" w:color="auto"/>
            </w:tcBorders>
            <w:shd w:val="clear" w:color="000000" w:fill="FFFFFF"/>
            <w:noWrap/>
            <w:vAlign w:val="bottom"/>
            <w:hideMark/>
          </w:tcPr>
          <w:p w14:paraId="47826214" w14:textId="77777777" w:rsidR="001D4AFA" w:rsidRPr="009F2D1E" w:rsidRDefault="001D4AFA" w:rsidP="009F2D1E">
            <w:pPr>
              <w:jc w:val="right"/>
              <w:rPr>
                <w:rFonts w:ascii="Times New Roman" w:hAnsi="Times New Roman"/>
                <w:sz w:val="14"/>
                <w:szCs w:val="14"/>
              </w:rPr>
            </w:pPr>
            <w:r w:rsidRPr="009F2D1E">
              <w:rPr>
                <w:sz w:val="14"/>
                <w:szCs w:val="14"/>
              </w:rPr>
              <w:t>130692,89</w:t>
            </w:r>
          </w:p>
        </w:tc>
        <w:tc>
          <w:tcPr>
            <w:tcW w:w="1164" w:type="dxa"/>
            <w:tcBorders>
              <w:top w:val="nil"/>
              <w:left w:val="nil"/>
              <w:bottom w:val="single" w:sz="4" w:space="0" w:color="auto"/>
              <w:right w:val="single" w:sz="4" w:space="0" w:color="auto"/>
            </w:tcBorders>
            <w:shd w:val="clear" w:color="000000" w:fill="FFFFFF"/>
            <w:noWrap/>
            <w:vAlign w:val="bottom"/>
            <w:hideMark/>
          </w:tcPr>
          <w:p w14:paraId="6FF982D6" w14:textId="77777777" w:rsidR="001D4AFA" w:rsidRPr="009F2D1E" w:rsidRDefault="001D4AFA" w:rsidP="009F2D1E">
            <w:pPr>
              <w:jc w:val="right"/>
              <w:rPr>
                <w:rFonts w:ascii="Times New Roman" w:hAnsi="Times New Roman"/>
                <w:sz w:val="14"/>
                <w:szCs w:val="14"/>
              </w:rPr>
            </w:pPr>
            <w:r w:rsidRPr="009F2D1E">
              <w:rPr>
                <w:sz w:val="14"/>
                <w:szCs w:val="14"/>
              </w:rPr>
              <w:t>132149,34</w:t>
            </w:r>
          </w:p>
        </w:tc>
        <w:tc>
          <w:tcPr>
            <w:tcW w:w="1150" w:type="dxa"/>
            <w:tcBorders>
              <w:top w:val="nil"/>
              <w:left w:val="nil"/>
              <w:bottom w:val="single" w:sz="4" w:space="0" w:color="auto"/>
              <w:right w:val="single" w:sz="4" w:space="0" w:color="auto"/>
            </w:tcBorders>
            <w:shd w:val="clear" w:color="000000" w:fill="FFFFFF"/>
            <w:noWrap/>
            <w:vAlign w:val="bottom"/>
            <w:hideMark/>
          </w:tcPr>
          <w:p w14:paraId="521D4952" w14:textId="77777777" w:rsidR="001D4AFA" w:rsidRPr="009F2D1E" w:rsidRDefault="001D4AFA" w:rsidP="009F2D1E">
            <w:pPr>
              <w:jc w:val="right"/>
              <w:rPr>
                <w:rFonts w:ascii="Times New Roman" w:hAnsi="Times New Roman"/>
                <w:sz w:val="14"/>
                <w:szCs w:val="14"/>
              </w:rPr>
            </w:pPr>
            <w:r w:rsidRPr="009F2D1E">
              <w:rPr>
                <w:sz w:val="14"/>
                <w:szCs w:val="14"/>
              </w:rPr>
              <w:t>132 328,78</w:t>
            </w:r>
          </w:p>
        </w:tc>
        <w:tc>
          <w:tcPr>
            <w:tcW w:w="1193" w:type="dxa"/>
            <w:tcBorders>
              <w:top w:val="nil"/>
              <w:left w:val="nil"/>
              <w:bottom w:val="single" w:sz="4" w:space="0" w:color="auto"/>
              <w:right w:val="single" w:sz="4" w:space="0" w:color="auto"/>
            </w:tcBorders>
            <w:shd w:val="clear" w:color="000000" w:fill="FFFFFF"/>
            <w:noWrap/>
            <w:vAlign w:val="bottom"/>
            <w:hideMark/>
          </w:tcPr>
          <w:p w14:paraId="4892B91D" w14:textId="77777777" w:rsidR="001D4AFA" w:rsidRPr="009F2D1E" w:rsidRDefault="001D4AFA" w:rsidP="009F2D1E">
            <w:pPr>
              <w:jc w:val="right"/>
              <w:rPr>
                <w:rFonts w:ascii="Times New Roman" w:hAnsi="Times New Roman"/>
                <w:sz w:val="14"/>
                <w:szCs w:val="14"/>
              </w:rPr>
            </w:pPr>
            <w:r w:rsidRPr="009F2D1E">
              <w:rPr>
                <w:sz w:val="14"/>
                <w:szCs w:val="14"/>
              </w:rPr>
              <w:t>132 669,15</w:t>
            </w:r>
          </w:p>
        </w:tc>
        <w:tc>
          <w:tcPr>
            <w:tcW w:w="1193" w:type="dxa"/>
            <w:tcBorders>
              <w:top w:val="nil"/>
              <w:left w:val="nil"/>
              <w:bottom w:val="single" w:sz="4" w:space="0" w:color="auto"/>
              <w:right w:val="single" w:sz="4" w:space="0" w:color="auto"/>
            </w:tcBorders>
            <w:shd w:val="clear" w:color="000000" w:fill="FFFFFF"/>
            <w:vAlign w:val="bottom"/>
          </w:tcPr>
          <w:p w14:paraId="3FD45DB5" w14:textId="77777777" w:rsidR="001D4AFA" w:rsidRPr="009F2D1E" w:rsidRDefault="001D4AFA" w:rsidP="009F2D1E">
            <w:pPr>
              <w:jc w:val="right"/>
              <w:rPr>
                <w:rFonts w:ascii="Times New Roman" w:hAnsi="Times New Roman"/>
                <w:sz w:val="14"/>
                <w:szCs w:val="14"/>
              </w:rPr>
            </w:pPr>
            <w:r w:rsidRPr="009F2D1E">
              <w:rPr>
                <w:sz w:val="14"/>
                <w:szCs w:val="14"/>
              </w:rPr>
              <w:t>130 090,03</w:t>
            </w:r>
          </w:p>
        </w:tc>
      </w:tr>
      <w:tr w:rsidR="001D4AFA" w:rsidRPr="00364545" w14:paraId="40E0156D"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3103B5B"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192" w:type="dxa"/>
            <w:tcBorders>
              <w:top w:val="nil"/>
              <w:left w:val="nil"/>
              <w:bottom w:val="single" w:sz="4" w:space="0" w:color="auto"/>
              <w:right w:val="single" w:sz="4" w:space="0" w:color="auto"/>
            </w:tcBorders>
            <w:shd w:val="clear" w:color="000000" w:fill="FFFFFF"/>
            <w:noWrap/>
            <w:vAlign w:val="bottom"/>
            <w:hideMark/>
          </w:tcPr>
          <w:p w14:paraId="10C1D652" w14:textId="77777777" w:rsidR="001D4AFA" w:rsidRPr="009F2D1E" w:rsidRDefault="001D4AFA" w:rsidP="009F2D1E">
            <w:pPr>
              <w:jc w:val="right"/>
              <w:rPr>
                <w:rFonts w:ascii="Times New Roman" w:hAnsi="Times New Roman"/>
                <w:sz w:val="14"/>
                <w:szCs w:val="14"/>
              </w:rPr>
            </w:pPr>
            <w:r w:rsidRPr="009F2D1E">
              <w:rPr>
                <w:sz w:val="14"/>
                <w:szCs w:val="14"/>
              </w:rPr>
              <w:t>90685,67</w:t>
            </w:r>
          </w:p>
        </w:tc>
        <w:tc>
          <w:tcPr>
            <w:tcW w:w="1193" w:type="dxa"/>
            <w:tcBorders>
              <w:top w:val="nil"/>
              <w:left w:val="nil"/>
              <w:bottom w:val="single" w:sz="4" w:space="0" w:color="auto"/>
              <w:right w:val="single" w:sz="4" w:space="0" w:color="auto"/>
            </w:tcBorders>
            <w:shd w:val="clear" w:color="000000" w:fill="FFFFFF"/>
            <w:noWrap/>
            <w:vAlign w:val="bottom"/>
            <w:hideMark/>
          </w:tcPr>
          <w:p w14:paraId="7747CD78" w14:textId="77777777" w:rsidR="001D4AFA" w:rsidRPr="009F2D1E" w:rsidRDefault="001D4AFA" w:rsidP="009F2D1E">
            <w:pPr>
              <w:jc w:val="right"/>
              <w:rPr>
                <w:rFonts w:ascii="Times New Roman" w:hAnsi="Times New Roman"/>
                <w:sz w:val="14"/>
                <w:szCs w:val="14"/>
              </w:rPr>
            </w:pPr>
            <w:r w:rsidRPr="009F2D1E">
              <w:rPr>
                <w:sz w:val="14"/>
                <w:szCs w:val="14"/>
              </w:rPr>
              <w:t>75132,89</w:t>
            </w:r>
          </w:p>
        </w:tc>
        <w:tc>
          <w:tcPr>
            <w:tcW w:w="1164" w:type="dxa"/>
            <w:tcBorders>
              <w:top w:val="nil"/>
              <w:left w:val="nil"/>
              <w:bottom w:val="single" w:sz="4" w:space="0" w:color="auto"/>
              <w:right w:val="single" w:sz="4" w:space="0" w:color="auto"/>
            </w:tcBorders>
            <w:shd w:val="clear" w:color="000000" w:fill="FFFFFF"/>
            <w:noWrap/>
            <w:vAlign w:val="bottom"/>
            <w:hideMark/>
          </w:tcPr>
          <w:p w14:paraId="18A271F4" w14:textId="77777777" w:rsidR="001D4AFA" w:rsidRPr="009F2D1E" w:rsidRDefault="001D4AFA" w:rsidP="009F2D1E">
            <w:pPr>
              <w:jc w:val="right"/>
              <w:rPr>
                <w:rFonts w:ascii="Times New Roman" w:hAnsi="Times New Roman"/>
                <w:sz w:val="14"/>
                <w:szCs w:val="14"/>
              </w:rPr>
            </w:pPr>
            <w:r w:rsidRPr="009F2D1E">
              <w:rPr>
                <w:sz w:val="14"/>
                <w:szCs w:val="14"/>
              </w:rPr>
              <w:t>78173,03</w:t>
            </w:r>
          </w:p>
        </w:tc>
        <w:tc>
          <w:tcPr>
            <w:tcW w:w="1150" w:type="dxa"/>
            <w:tcBorders>
              <w:top w:val="nil"/>
              <w:left w:val="nil"/>
              <w:bottom w:val="single" w:sz="4" w:space="0" w:color="auto"/>
              <w:right w:val="single" w:sz="4" w:space="0" w:color="auto"/>
            </w:tcBorders>
            <w:shd w:val="clear" w:color="000000" w:fill="FFFFFF"/>
            <w:noWrap/>
            <w:vAlign w:val="bottom"/>
            <w:hideMark/>
          </w:tcPr>
          <w:p w14:paraId="2AFA4CC6" w14:textId="77777777" w:rsidR="001D4AFA" w:rsidRPr="009F2D1E" w:rsidRDefault="001D4AFA" w:rsidP="009F2D1E">
            <w:pPr>
              <w:jc w:val="right"/>
              <w:rPr>
                <w:rFonts w:ascii="Times New Roman" w:hAnsi="Times New Roman"/>
                <w:sz w:val="14"/>
                <w:szCs w:val="14"/>
              </w:rPr>
            </w:pPr>
            <w:r w:rsidRPr="009F2D1E">
              <w:rPr>
                <w:sz w:val="14"/>
                <w:szCs w:val="14"/>
              </w:rPr>
              <w:t>78 196,76</w:t>
            </w:r>
          </w:p>
        </w:tc>
        <w:tc>
          <w:tcPr>
            <w:tcW w:w="1193" w:type="dxa"/>
            <w:tcBorders>
              <w:top w:val="nil"/>
              <w:left w:val="nil"/>
              <w:bottom w:val="single" w:sz="4" w:space="0" w:color="auto"/>
              <w:right w:val="single" w:sz="4" w:space="0" w:color="auto"/>
            </w:tcBorders>
            <w:shd w:val="clear" w:color="000000" w:fill="FFFFFF"/>
            <w:noWrap/>
            <w:vAlign w:val="bottom"/>
            <w:hideMark/>
          </w:tcPr>
          <w:p w14:paraId="5F600512" w14:textId="77777777" w:rsidR="001D4AFA" w:rsidRPr="009F2D1E" w:rsidRDefault="001D4AFA" w:rsidP="009F2D1E">
            <w:pPr>
              <w:jc w:val="right"/>
              <w:rPr>
                <w:rFonts w:ascii="Times New Roman" w:hAnsi="Times New Roman"/>
                <w:sz w:val="14"/>
                <w:szCs w:val="14"/>
              </w:rPr>
            </w:pPr>
            <w:r w:rsidRPr="009F2D1E">
              <w:rPr>
                <w:sz w:val="14"/>
                <w:szCs w:val="14"/>
              </w:rPr>
              <w:t>77 777,66</w:t>
            </w:r>
          </w:p>
        </w:tc>
        <w:tc>
          <w:tcPr>
            <w:tcW w:w="1193" w:type="dxa"/>
            <w:tcBorders>
              <w:top w:val="nil"/>
              <w:left w:val="nil"/>
              <w:bottom w:val="single" w:sz="4" w:space="0" w:color="auto"/>
              <w:right w:val="single" w:sz="4" w:space="0" w:color="auto"/>
            </w:tcBorders>
            <w:shd w:val="clear" w:color="000000" w:fill="FFFFFF"/>
            <w:vAlign w:val="bottom"/>
          </w:tcPr>
          <w:p w14:paraId="01AF65C6" w14:textId="77777777" w:rsidR="001D4AFA" w:rsidRPr="009F2D1E" w:rsidRDefault="001D4AFA" w:rsidP="009F2D1E">
            <w:pPr>
              <w:jc w:val="right"/>
              <w:rPr>
                <w:rFonts w:ascii="Times New Roman" w:hAnsi="Times New Roman"/>
                <w:sz w:val="14"/>
                <w:szCs w:val="14"/>
              </w:rPr>
            </w:pPr>
            <w:r w:rsidRPr="009F2D1E">
              <w:rPr>
                <w:sz w:val="14"/>
                <w:szCs w:val="14"/>
              </w:rPr>
              <w:t>73 782,62</w:t>
            </w:r>
          </w:p>
        </w:tc>
      </w:tr>
      <w:tr w:rsidR="001D4AFA" w:rsidRPr="00364545" w14:paraId="5E264D04"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FA2CECA"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192" w:type="dxa"/>
            <w:tcBorders>
              <w:top w:val="nil"/>
              <w:left w:val="nil"/>
              <w:bottom w:val="single" w:sz="4" w:space="0" w:color="auto"/>
              <w:right w:val="single" w:sz="4" w:space="0" w:color="auto"/>
            </w:tcBorders>
            <w:shd w:val="clear" w:color="000000" w:fill="FFFFFF"/>
            <w:noWrap/>
            <w:vAlign w:val="bottom"/>
            <w:hideMark/>
          </w:tcPr>
          <w:p w14:paraId="53E40435" w14:textId="77777777" w:rsidR="001D4AFA" w:rsidRPr="009F2D1E" w:rsidRDefault="001D4AFA" w:rsidP="009F2D1E">
            <w:pPr>
              <w:jc w:val="right"/>
              <w:rPr>
                <w:rFonts w:ascii="Times New Roman" w:hAnsi="Times New Roman"/>
                <w:sz w:val="14"/>
                <w:szCs w:val="14"/>
              </w:rPr>
            </w:pPr>
            <w:r w:rsidRPr="009F2D1E">
              <w:rPr>
                <w:sz w:val="14"/>
                <w:szCs w:val="14"/>
              </w:rPr>
              <w:t>2232,70</w:t>
            </w:r>
          </w:p>
        </w:tc>
        <w:tc>
          <w:tcPr>
            <w:tcW w:w="1193" w:type="dxa"/>
            <w:tcBorders>
              <w:top w:val="nil"/>
              <w:left w:val="nil"/>
              <w:bottom w:val="single" w:sz="4" w:space="0" w:color="auto"/>
              <w:right w:val="single" w:sz="4" w:space="0" w:color="auto"/>
            </w:tcBorders>
            <w:shd w:val="clear" w:color="000000" w:fill="FFFFFF"/>
            <w:noWrap/>
            <w:vAlign w:val="bottom"/>
            <w:hideMark/>
          </w:tcPr>
          <w:p w14:paraId="6D824396" w14:textId="77777777" w:rsidR="001D4AFA" w:rsidRPr="009F2D1E" w:rsidRDefault="001D4AFA" w:rsidP="009F2D1E">
            <w:pPr>
              <w:jc w:val="right"/>
              <w:rPr>
                <w:rFonts w:ascii="Times New Roman" w:hAnsi="Times New Roman"/>
                <w:sz w:val="14"/>
                <w:szCs w:val="14"/>
              </w:rPr>
            </w:pPr>
            <w:r w:rsidRPr="009F2D1E">
              <w:rPr>
                <w:sz w:val="14"/>
                <w:szCs w:val="14"/>
              </w:rPr>
              <w:t>2118,90</w:t>
            </w:r>
          </w:p>
        </w:tc>
        <w:tc>
          <w:tcPr>
            <w:tcW w:w="1164" w:type="dxa"/>
            <w:tcBorders>
              <w:top w:val="nil"/>
              <w:left w:val="nil"/>
              <w:bottom w:val="single" w:sz="4" w:space="0" w:color="auto"/>
              <w:right w:val="single" w:sz="4" w:space="0" w:color="auto"/>
            </w:tcBorders>
            <w:shd w:val="clear" w:color="000000" w:fill="FFFFFF"/>
            <w:noWrap/>
            <w:vAlign w:val="bottom"/>
            <w:hideMark/>
          </w:tcPr>
          <w:p w14:paraId="3967C5A2" w14:textId="77777777" w:rsidR="001D4AFA" w:rsidRPr="009F2D1E" w:rsidRDefault="001D4AFA" w:rsidP="009F2D1E">
            <w:pPr>
              <w:jc w:val="right"/>
              <w:rPr>
                <w:rFonts w:ascii="Times New Roman" w:hAnsi="Times New Roman"/>
                <w:sz w:val="14"/>
                <w:szCs w:val="14"/>
              </w:rPr>
            </w:pPr>
            <w:r w:rsidRPr="009F2D1E">
              <w:rPr>
                <w:sz w:val="14"/>
                <w:szCs w:val="14"/>
              </w:rPr>
              <w:t>2036,68</w:t>
            </w:r>
          </w:p>
        </w:tc>
        <w:tc>
          <w:tcPr>
            <w:tcW w:w="1150" w:type="dxa"/>
            <w:tcBorders>
              <w:top w:val="nil"/>
              <w:left w:val="nil"/>
              <w:bottom w:val="single" w:sz="4" w:space="0" w:color="auto"/>
              <w:right w:val="single" w:sz="4" w:space="0" w:color="auto"/>
            </w:tcBorders>
            <w:shd w:val="clear" w:color="000000" w:fill="FFFFFF"/>
            <w:noWrap/>
            <w:vAlign w:val="bottom"/>
            <w:hideMark/>
          </w:tcPr>
          <w:p w14:paraId="5D15A04E" w14:textId="77777777" w:rsidR="001D4AFA" w:rsidRPr="009F2D1E" w:rsidRDefault="001D4AFA" w:rsidP="009F2D1E">
            <w:pPr>
              <w:jc w:val="right"/>
              <w:rPr>
                <w:rFonts w:ascii="Times New Roman" w:hAnsi="Times New Roman"/>
                <w:sz w:val="14"/>
                <w:szCs w:val="14"/>
              </w:rPr>
            </w:pPr>
            <w:r w:rsidRPr="009F2D1E">
              <w:rPr>
                <w:sz w:val="14"/>
                <w:szCs w:val="14"/>
              </w:rPr>
              <w:t>1 346,69</w:t>
            </w:r>
          </w:p>
        </w:tc>
        <w:tc>
          <w:tcPr>
            <w:tcW w:w="1193" w:type="dxa"/>
            <w:tcBorders>
              <w:top w:val="nil"/>
              <w:left w:val="nil"/>
              <w:bottom w:val="single" w:sz="4" w:space="0" w:color="auto"/>
              <w:right w:val="single" w:sz="4" w:space="0" w:color="auto"/>
            </w:tcBorders>
            <w:shd w:val="clear" w:color="000000" w:fill="FFFFFF"/>
            <w:noWrap/>
            <w:vAlign w:val="bottom"/>
            <w:hideMark/>
          </w:tcPr>
          <w:p w14:paraId="21B3C2FA" w14:textId="77777777" w:rsidR="001D4AFA" w:rsidRPr="009F2D1E" w:rsidRDefault="001D4AFA" w:rsidP="009F2D1E">
            <w:pPr>
              <w:jc w:val="right"/>
              <w:rPr>
                <w:rFonts w:ascii="Times New Roman" w:hAnsi="Times New Roman"/>
                <w:sz w:val="14"/>
                <w:szCs w:val="14"/>
              </w:rPr>
            </w:pPr>
            <w:r w:rsidRPr="009F2D1E">
              <w:rPr>
                <w:sz w:val="14"/>
                <w:szCs w:val="14"/>
              </w:rPr>
              <w:t>1 324,02</w:t>
            </w:r>
          </w:p>
        </w:tc>
        <w:tc>
          <w:tcPr>
            <w:tcW w:w="1193" w:type="dxa"/>
            <w:tcBorders>
              <w:top w:val="nil"/>
              <w:left w:val="nil"/>
              <w:bottom w:val="single" w:sz="4" w:space="0" w:color="auto"/>
              <w:right w:val="single" w:sz="4" w:space="0" w:color="auto"/>
            </w:tcBorders>
            <w:shd w:val="clear" w:color="000000" w:fill="FFFFFF"/>
            <w:vAlign w:val="bottom"/>
          </w:tcPr>
          <w:p w14:paraId="084BC737" w14:textId="77777777" w:rsidR="001D4AFA" w:rsidRPr="009F2D1E" w:rsidRDefault="001D4AFA" w:rsidP="009F2D1E">
            <w:pPr>
              <w:jc w:val="right"/>
              <w:rPr>
                <w:rFonts w:ascii="Times New Roman" w:hAnsi="Times New Roman"/>
                <w:sz w:val="14"/>
                <w:szCs w:val="14"/>
              </w:rPr>
            </w:pPr>
            <w:r w:rsidRPr="009F2D1E">
              <w:rPr>
                <w:sz w:val="14"/>
                <w:szCs w:val="14"/>
              </w:rPr>
              <w:t>1 417,49</w:t>
            </w:r>
          </w:p>
        </w:tc>
      </w:tr>
      <w:tr w:rsidR="001D4AFA" w:rsidRPr="00364545" w14:paraId="2FC56924"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E65699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192" w:type="dxa"/>
            <w:tcBorders>
              <w:top w:val="nil"/>
              <w:left w:val="nil"/>
              <w:bottom w:val="single" w:sz="4" w:space="0" w:color="auto"/>
              <w:right w:val="single" w:sz="4" w:space="0" w:color="auto"/>
            </w:tcBorders>
            <w:shd w:val="clear" w:color="000000" w:fill="CCFFFF"/>
            <w:noWrap/>
            <w:vAlign w:val="bottom"/>
            <w:hideMark/>
          </w:tcPr>
          <w:p w14:paraId="1390CF94" w14:textId="77777777" w:rsidR="001D4AFA" w:rsidRPr="009F2D1E" w:rsidRDefault="001D4AFA" w:rsidP="009F2D1E">
            <w:pPr>
              <w:jc w:val="right"/>
              <w:rPr>
                <w:rFonts w:ascii="Times New Roman" w:hAnsi="Times New Roman"/>
                <w:sz w:val="14"/>
                <w:szCs w:val="14"/>
              </w:rPr>
            </w:pPr>
            <w:r w:rsidRPr="009F2D1E">
              <w:rPr>
                <w:sz w:val="14"/>
                <w:szCs w:val="14"/>
              </w:rPr>
              <w:t>3136,57</w:t>
            </w:r>
          </w:p>
        </w:tc>
        <w:tc>
          <w:tcPr>
            <w:tcW w:w="1193" w:type="dxa"/>
            <w:tcBorders>
              <w:top w:val="nil"/>
              <w:left w:val="nil"/>
              <w:bottom w:val="single" w:sz="4" w:space="0" w:color="auto"/>
              <w:right w:val="single" w:sz="4" w:space="0" w:color="auto"/>
            </w:tcBorders>
            <w:shd w:val="clear" w:color="000000" w:fill="CCFFFF"/>
            <w:noWrap/>
            <w:vAlign w:val="bottom"/>
            <w:hideMark/>
          </w:tcPr>
          <w:p w14:paraId="35780ED9" w14:textId="77777777" w:rsidR="001D4AFA" w:rsidRPr="009F2D1E" w:rsidRDefault="001D4AFA" w:rsidP="009F2D1E">
            <w:pPr>
              <w:jc w:val="right"/>
              <w:rPr>
                <w:rFonts w:ascii="Times New Roman" w:hAnsi="Times New Roman"/>
                <w:sz w:val="14"/>
                <w:szCs w:val="14"/>
              </w:rPr>
            </w:pPr>
            <w:r w:rsidRPr="009F2D1E">
              <w:rPr>
                <w:sz w:val="14"/>
                <w:szCs w:val="14"/>
              </w:rPr>
              <w:t>3048,56</w:t>
            </w:r>
          </w:p>
        </w:tc>
        <w:tc>
          <w:tcPr>
            <w:tcW w:w="1164" w:type="dxa"/>
            <w:tcBorders>
              <w:top w:val="nil"/>
              <w:left w:val="nil"/>
              <w:bottom w:val="single" w:sz="4" w:space="0" w:color="auto"/>
              <w:right w:val="single" w:sz="4" w:space="0" w:color="auto"/>
            </w:tcBorders>
            <w:shd w:val="clear" w:color="000000" w:fill="CCFFFF"/>
            <w:noWrap/>
            <w:vAlign w:val="bottom"/>
            <w:hideMark/>
          </w:tcPr>
          <w:p w14:paraId="59DE6981" w14:textId="77777777" w:rsidR="001D4AFA" w:rsidRPr="009F2D1E" w:rsidRDefault="001D4AFA" w:rsidP="009F2D1E">
            <w:pPr>
              <w:jc w:val="right"/>
              <w:rPr>
                <w:rFonts w:ascii="Times New Roman" w:hAnsi="Times New Roman"/>
                <w:sz w:val="14"/>
                <w:szCs w:val="14"/>
              </w:rPr>
            </w:pPr>
            <w:r w:rsidRPr="009F2D1E">
              <w:rPr>
                <w:sz w:val="14"/>
                <w:szCs w:val="14"/>
              </w:rPr>
              <w:t>2945,84</w:t>
            </w:r>
          </w:p>
        </w:tc>
        <w:tc>
          <w:tcPr>
            <w:tcW w:w="1150" w:type="dxa"/>
            <w:tcBorders>
              <w:top w:val="nil"/>
              <w:left w:val="nil"/>
              <w:bottom w:val="single" w:sz="4" w:space="0" w:color="auto"/>
              <w:right w:val="single" w:sz="4" w:space="0" w:color="auto"/>
            </w:tcBorders>
            <w:shd w:val="clear" w:color="000000" w:fill="CCFFFF"/>
            <w:noWrap/>
            <w:vAlign w:val="bottom"/>
            <w:hideMark/>
          </w:tcPr>
          <w:p w14:paraId="44826F6D" w14:textId="77777777" w:rsidR="001D4AFA" w:rsidRPr="009F2D1E" w:rsidRDefault="001D4AFA" w:rsidP="009F2D1E">
            <w:pPr>
              <w:jc w:val="right"/>
              <w:rPr>
                <w:rFonts w:ascii="Times New Roman" w:hAnsi="Times New Roman"/>
                <w:sz w:val="14"/>
                <w:szCs w:val="14"/>
              </w:rPr>
            </w:pPr>
            <w:r w:rsidRPr="009F2D1E">
              <w:rPr>
                <w:sz w:val="14"/>
                <w:szCs w:val="14"/>
              </w:rPr>
              <w:t>2957,80</w:t>
            </w:r>
          </w:p>
        </w:tc>
        <w:tc>
          <w:tcPr>
            <w:tcW w:w="1193" w:type="dxa"/>
            <w:tcBorders>
              <w:top w:val="nil"/>
              <w:left w:val="nil"/>
              <w:bottom w:val="single" w:sz="4" w:space="0" w:color="auto"/>
              <w:right w:val="single" w:sz="4" w:space="0" w:color="auto"/>
            </w:tcBorders>
            <w:shd w:val="clear" w:color="000000" w:fill="CCFFFF"/>
            <w:noWrap/>
            <w:vAlign w:val="bottom"/>
            <w:hideMark/>
          </w:tcPr>
          <w:p w14:paraId="5AF98236" w14:textId="77777777" w:rsidR="001D4AFA" w:rsidRPr="009F2D1E" w:rsidRDefault="001D4AFA" w:rsidP="009F2D1E">
            <w:pPr>
              <w:jc w:val="right"/>
              <w:rPr>
                <w:rFonts w:ascii="Times New Roman" w:hAnsi="Times New Roman"/>
                <w:sz w:val="14"/>
                <w:szCs w:val="14"/>
              </w:rPr>
            </w:pPr>
            <w:r w:rsidRPr="009F2D1E">
              <w:rPr>
                <w:sz w:val="14"/>
                <w:szCs w:val="14"/>
              </w:rPr>
              <w:t>2902,07</w:t>
            </w:r>
          </w:p>
        </w:tc>
        <w:tc>
          <w:tcPr>
            <w:tcW w:w="1193" w:type="dxa"/>
            <w:tcBorders>
              <w:top w:val="nil"/>
              <w:left w:val="nil"/>
              <w:bottom w:val="single" w:sz="4" w:space="0" w:color="auto"/>
              <w:right w:val="single" w:sz="4" w:space="0" w:color="auto"/>
            </w:tcBorders>
            <w:shd w:val="clear" w:color="000000" w:fill="CCFFFF"/>
            <w:vAlign w:val="bottom"/>
          </w:tcPr>
          <w:p w14:paraId="310534C0" w14:textId="77777777" w:rsidR="001D4AFA" w:rsidRPr="009F2D1E" w:rsidRDefault="001D4AFA" w:rsidP="009F2D1E">
            <w:pPr>
              <w:jc w:val="right"/>
              <w:rPr>
                <w:rFonts w:ascii="Times New Roman" w:hAnsi="Times New Roman"/>
                <w:sz w:val="14"/>
                <w:szCs w:val="14"/>
              </w:rPr>
            </w:pPr>
            <w:r w:rsidRPr="009F2D1E">
              <w:rPr>
                <w:sz w:val="14"/>
                <w:szCs w:val="14"/>
              </w:rPr>
              <w:t>2997,51</w:t>
            </w:r>
          </w:p>
        </w:tc>
      </w:tr>
      <w:tr w:rsidR="001D4AFA" w:rsidRPr="00364545" w14:paraId="10B00FC2"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35F572E"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192" w:type="dxa"/>
            <w:tcBorders>
              <w:top w:val="nil"/>
              <w:left w:val="nil"/>
              <w:bottom w:val="single" w:sz="4" w:space="0" w:color="auto"/>
              <w:right w:val="single" w:sz="4" w:space="0" w:color="auto"/>
            </w:tcBorders>
            <w:shd w:val="clear" w:color="000000" w:fill="FFFFFF"/>
            <w:noWrap/>
            <w:vAlign w:val="bottom"/>
            <w:hideMark/>
          </w:tcPr>
          <w:p w14:paraId="3BA05607"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11112DF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5B1D84B8"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167969D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4ADD9B78"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32A21FF0"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670DF1B8"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D594996"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192" w:type="dxa"/>
            <w:tcBorders>
              <w:top w:val="nil"/>
              <w:left w:val="nil"/>
              <w:bottom w:val="single" w:sz="4" w:space="0" w:color="auto"/>
              <w:right w:val="single" w:sz="4" w:space="0" w:color="auto"/>
            </w:tcBorders>
            <w:shd w:val="clear" w:color="000000" w:fill="FFFFFF"/>
            <w:noWrap/>
            <w:vAlign w:val="bottom"/>
            <w:hideMark/>
          </w:tcPr>
          <w:p w14:paraId="7568DD99" w14:textId="77777777" w:rsidR="001D4AFA" w:rsidRPr="009F2D1E" w:rsidRDefault="001D4AFA" w:rsidP="009F2D1E">
            <w:pPr>
              <w:jc w:val="right"/>
              <w:rPr>
                <w:rFonts w:ascii="Times New Roman" w:hAnsi="Times New Roman"/>
                <w:sz w:val="14"/>
                <w:szCs w:val="14"/>
              </w:rPr>
            </w:pPr>
            <w:r w:rsidRPr="009F2D1E">
              <w:rPr>
                <w:sz w:val="14"/>
                <w:szCs w:val="14"/>
              </w:rPr>
              <w:t>3136,57</w:t>
            </w:r>
          </w:p>
        </w:tc>
        <w:tc>
          <w:tcPr>
            <w:tcW w:w="1193" w:type="dxa"/>
            <w:tcBorders>
              <w:top w:val="nil"/>
              <w:left w:val="nil"/>
              <w:bottom w:val="single" w:sz="4" w:space="0" w:color="auto"/>
              <w:right w:val="single" w:sz="4" w:space="0" w:color="auto"/>
            </w:tcBorders>
            <w:shd w:val="clear" w:color="000000" w:fill="FFFFFF"/>
            <w:noWrap/>
            <w:vAlign w:val="bottom"/>
            <w:hideMark/>
          </w:tcPr>
          <w:p w14:paraId="530A3C2E" w14:textId="77777777" w:rsidR="001D4AFA" w:rsidRPr="009F2D1E" w:rsidRDefault="001D4AFA" w:rsidP="009F2D1E">
            <w:pPr>
              <w:jc w:val="right"/>
              <w:rPr>
                <w:rFonts w:ascii="Times New Roman" w:hAnsi="Times New Roman"/>
                <w:sz w:val="14"/>
                <w:szCs w:val="14"/>
              </w:rPr>
            </w:pPr>
            <w:r w:rsidRPr="009F2D1E">
              <w:rPr>
                <w:sz w:val="14"/>
                <w:szCs w:val="14"/>
              </w:rPr>
              <w:t>3048,56</w:t>
            </w:r>
          </w:p>
        </w:tc>
        <w:tc>
          <w:tcPr>
            <w:tcW w:w="1164" w:type="dxa"/>
            <w:tcBorders>
              <w:top w:val="nil"/>
              <w:left w:val="nil"/>
              <w:bottom w:val="single" w:sz="4" w:space="0" w:color="auto"/>
              <w:right w:val="single" w:sz="4" w:space="0" w:color="auto"/>
            </w:tcBorders>
            <w:shd w:val="clear" w:color="000000" w:fill="FFFFFF"/>
            <w:noWrap/>
            <w:vAlign w:val="bottom"/>
            <w:hideMark/>
          </w:tcPr>
          <w:p w14:paraId="4AB38574" w14:textId="77777777" w:rsidR="001D4AFA" w:rsidRPr="009F2D1E" w:rsidRDefault="001D4AFA" w:rsidP="009F2D1E">
            <w:pPr>
              <w:jc w:val="right"/>
              <w:rPr>
                <w:rFonts w:ascii="Times New Roman" w:hAnsi="Times New Roman"/>
                <w:sz w:val="14"/>
                <w:szCs w:val="14"/>
              </w:rPr>
            </w:pPr>
            <w:r w:rsidRPr="009F2D1E">
              <w:rPr>
                <w:sz w:val="14"/>
                <w:szCs w:val="14"/>
              </w:rPr>
              <w:t>2945,84</w:t>
            </w:r>
          </w:p>
        </w:tc>
        <w:tc>
          <w:tcPr>
            <w:tcW w:w="1150" w:type="dxa"/>
            <w:tcBorders>
              <w:top w:val="nil"/>
              <w:left w:val="nil"/>
              <w:bottom w:val="single" w:sz="4" w:space="0" w:color="auto"/>
              <w:right w:val="single" w:sz="4" w:space="0" w:color="auto"/>
            </w:tcBorders>
            <w:shd w:val="clear" w:color="000000" w:fill="FFFFFF"/>
            <w:noWrap/>
            <w:vAlign w:val="bottom"/>
            <w:hideMark/>
          </w:tcPr>
          <w:p w14:paraId="64139DB0" w14:textId="77777777" w:rsidR="001D4AFA" w:rsidRPr="009F2D1E" w:rsidRDefault="001D4AFA" w:rsidP="009F2D1E">
            <w:pPr>
              <w:jc w:val="right"/>
              <w:rPr>
                <w:rFonts w:ascii="Times New Roman" w:hAnsi="Times New Roman"/>
                <w:sz w:val="14"/>
                <w:szCs w:val="14"/>
              </w:rPr>
            </w:pPr>
            <w:r w:rsidRPr="009F2D1E">
              <w:rPr>
                <w:sz w:val="14"/>
                <w:szCs w:val="14"/>
              </w:rPr>
              <w:t>2 957,80</w:t>
            </w:r>
          </w:p>
        </w:tc>
        <w:tc>
          <w:tcPr>
            <w:tcW w:w="1193" w:type="dxa"/>
            <w:tcBorders>
              <w:top w:val="nil"/>
              <w:left w:val="nil"/>
              <w:bottom w:val="single" w:sz="4" w:space="0" w:color="auto"/>
              <w:right w:val="single" w:sz="4" w:space="0" w:color="auto"/>
            </w:tcBorders>
            <w:shd w:val="clear" w:color="000000" w:fill="FFFFFF"/>
            <w:noWrap/>
            <w:vAlign w:val="bottom"/>
            <w:hideMark/>
          </w:tcPr>
          <w:p w14:paraId="5F954E04" w14:textId="77777777" w:rsidR="001D4AFA" w:rsidRPr="009F2D1E" w:rsidRDefault="001D4AFA" w:rsidP="009F2D1E">
            <w:pPr>
              <w:jc w:val="right"/>
              <w:rPr>
                <w:rFonts w:ascii="Times New Roman" w:hAnsi="Times New Roman"/>
                <w:sz w:val="14"/>
                <w:szCs w:val="14"/>
              </w:rPr>
            </w:pPr>
            <w:r w:rsidRPr="009F2D1E">
              <w:rPr>
                <w:sz w:val="14"/>
                <w:szCs w:val="14"/>
              </w:rPr>
              <w:t>2 902,07</w:t>
            </w:r>
          </w:p>
        </w:tc>
        <w:tc>
          <w:tcPr>
            <w:tcW w:w="1193" w:type="dxa"/>
            <w:tcBorders>
              <w:top w:val="nil"/>
              <w:left w:val="nil"/>
              <w:bottom w:val="single" w:sz="4" w:space="0" w:color="auto"/>
              <w:right w:val="single" w:sz="4" w:space="0" w:color="auto"/>
            </w:tcBorders>
            <w:shd w:val="clear" w:color="000000" w:fill="FFFFFF"/>
            <w:vAlign w:val="bottom"/>
          </w:tcPr>
          <w:p w14:paraId="7DDECA90" w14:textId="77777777" w:rsidR="001D4AFA" w:rsidRPr="009F2D1E" w:rsidRDefault="001D4AFA" w:rsidP="009F2D1E">
            <w:pPr>
              <w:jc w:val="right"/>
              <w:rPr>
                <w:rFonts w:ascii="Times New Roman" w:hAnsi="Times New Roman"/>
                <w:sz w:val="14"/>
                <w:szCs w:val="14"/>
              </w:rPr>
            </w:pPr>
            <w:r w:rsidRPr="009F2D1E">
              <w:rPr>
                <w:sz w:val="14"/>
                <w:szCs w:val="14"/>
              </w:rPr>
              <w:t>2 997,51</w:t>
            </w:r>
          </w:p>
        </w:tc>
      </w:tr>
      <w:tr w:rsidR="001D4AFA" w:rsidRPr="00364545" w14:paraId="702D3EAB"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CFEFFF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192" w:type="dxa"/>
            <w:tcBorders>
              <w:top w:val="nil"/>
              <w:left w:val="nil"/>
              <w:bottom w:val="single" w:sz="4" w:space="0" w:color="auto"/>
              <w:right w:val="single" w:sz="4" w:space="0" w:color="auto"/>
            </w:tcBorders>
            <w:shd w:val="clear" w:color="000000" w:fill="FFFFFF"/>
            <w:noWrap/>
            <w:vAlign w:val="bottom"/>
            <w:hideMark/>
          </w:tcPr>
          <w:p w14:paraId="7DAEF561" w14:textId="77777777" w:rsidR="001D4AFA" w:rsidRPr="009F2D1E" w:rsidRDefault="001D4AFA" w:rsidP="009F2D1E">
            <w:pPr>
              <w:jc w:val="right"/>
              <w:rPr>
                <w:rFonts w:ascii="Times New Roman" w:hAnsi="Times New Roman"/>
                <w:sz w:val="14"/>
                <w:szCs w:val="14"/>
              </w:rPr>
            </w:pPr>
            <w:r w:rsidRPr="009F2D1E">
              <w:rPr>
                <w:sz w:val="14"/>
                <w:szCs w:val="14"/>
              </w:rPr>
              <w:t>NO,IE</w:t>
            </w:r>
          </w:p>
        </w:tc>
        <w:tc>
          <w:tcPr>
            <w:tcW w:w="1193" w:type="dxa"/>
            <w:tcBorders>
              <w:top w:val="nil"/>
              <w:left w:val="nil"/>
              <w:bottom w:val="single" w:sz="4" w:space="0" w:color="auto"/>
              <w:right w:val="single" w:sz="4" w:space="0" w:color="auto"/>
            </w:tcBorders>
            <w:shd w:val="clear" w:color="000000" w:fill="FFFFFF"/>
            <w:noWrap/>
            <w:vAlign w:val="bottom"/>
            <w:hideMark/>
          </w:tcPr>
          <w:p w14:paraId="3C088918"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2E80252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051D1A7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488BFE0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3D9DF783"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63D41BF9"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2CA1D69"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2. Industrial Processes</w:t>
            </w:r>
          </w:p>
        </w:tc>
        <w:tc>
          <w:tcPr>
            <w:tcW w:w="1192" w:type="dxa"/>
            <w:tcBorders>
              <w:top w:val="nil"/>
              <w:left w:val="nil"/>
              <w:bottom w:val="single" w:sz="4" w:space="0" w:color="auto"/>
              <w:right w:val="single" w:sz="4" w:space="0" w:color="auto"/>
            </w:tcBorders>
            <w:shd w:val="clear" w:color="000000" w:fill="CCFFFF"/>
            <w:noWrap/>
            <w:vAlign w:val="bottom"/>
            <w:hideMark/>
          </w:tcPr>
          <w:p w14:paraId="6ED6FF36" w14:textId="77777777" w:rsidR="001D4AFA" w:rsidRPr="009F2D1E" w:rsidRDefault="001D4AFA" w:rsidP="009F2D1E">
            <w:pPr>
              <w:jc w:val="right"/>
              <w:rPr>
                <w:rFonts w:ascii="Times New Roman" w:hAnsi="Times New Roman"/>
                <w:sz w:val="14"/>
                <w:szCs w:val="14"/>
              </w:rPr>
            </w:pPr>
            <w:r w:rsidRPr="009F2D1E">
              <w:rPr>
                <w:sz w:val="14"/>
                <w:szCs w:val="14"/>
              </w:rPr>
              <w:t>32529,13</w:t>
            </w:r>
          </w:p>
        </w:tc>
        <w:tc>
          <w:tcPr>
            <w:tcW w:w="1193" w:type="dxa"/>
            <w:tcBorders>
              <w:top w:val="nil"/>
              <w:left w:val="nil"/>
              <w:bottom w:val="single" w:sz="4" w:space="0" w:color="auto"/>
              <w:right w:val="single" w:sz="4" w:space="0" w:color="auto"/>
            </w:tcBorders>
            <w:shd w:val="clear" w:color="000000" w:fill="CCFFFF"/>
            <w:noWrap/>
            <w:vAlign w:val="bottom"/>
            <w:hideMark/>
          </w:tcPr>
          <w:p w14:paraId="4909B20D" w14:textId="77777777" w:rsidR="001D4AFA" w:rsidRPr="009F2D1E" w:rsidRDefault="001D4AFA" w:rsidP="009F2D1E">
            <w:pPr>
              <w:jc w:val="right"/>
              <w:rPr>
                <w:rFonts w:ascii="Times New Roman" w:hAnsi="Times New Roman"/>
                <w:sz w:val="14"/>
                <w:szCs w:val="14"/>
              </w:rPr>
            </w:pPr>
            <w:r w:rsidRPr="009F2D1E">
              <w:rPr>
                <w:sz w:val="14"/>
                <w:szCs w:val="14"/>
              </w:rPr>
              <w:t>32255,62</w:t>
            </w:r>
          </w:p>
        </w:tc>
        <w:tc>
          <w:tcPr>
            <w:tcW w:w="1164" w:type="dxa"/>
            <w:tcBorders>
              <w:top w:val="nil"/>
              <w:left w:val="nil"/>
              <w:bottom w:val="single" w:sz="4" w:space="0" w:color="auto"/>
              <w:right w:val="single" w:sz="4" w:space="0" w:color="auto"/>
            </w:tcBorders>
            <w:shd w:val="clear" w:color="000000" w:fill="CCFFFF"/>
            <w:noWrap/>
            <w:vAlign w:val="bottom"/>
            <w:hideMark/>
          </w:tcPr>
          <w:p w14:paraId="14008B3F" w14:textId="77777777" w:rsidR="001D4AFA" w:rsidRPr="009F2D1E" w:rsidRDefault="001D4AFA" w:rsidP="009F2D1E">
            <w:pPr>
              <w:jc w:val="right"/>
              <w:rPr>
                <w:rFonts w:ascii="Times New Roman" w:hAnsi="Times New Roman"/>
                <w:sz w:val="14"/>
                <w:szCs w:val="14"/>
              </w:rPr>
            </w:pPr>
            <w:r w:rsidRPr="009F2D1E">
              <w:rPr>
                <w:sz w:val="14"/>
                <w:szCs w:val="14"/>
              </w:rPr>
              <w:t>30753,22</w:t>
            </w:r>
          </w:p>
        </w:tc>
        <w:tc>
          <w:tcPr>
            <w:tcW w:w="1150" w:type="dxa"/>
            <w:tcBorders>
              <w:top w:val="nil"/>
              <w:left w:val="nil"/>
              <w:bottom w:val="single" w:sz="4" w:space="0" w:color="auto"/>
              <w:right w:val="single" w:sz="4" w:space="0" w:color="auto"/>
            </w:tcBorders>
            <w:shd w:val="clear" w:color="000000" w:fill="CCFFFF"/>
            <w:noWrap/>
            <w:vAlign w:val="bottom"/>
            <w:hideMark/>
          </w:tcPr>
          <w:p w14:paraId="73EAA04A" w14:textId="77777777" w:rsidR="001D4AFA" w:rsidRPr="009F2D1E" w:rsidRDefault="001D4AFA" w:rsidP="009F2D1E">
            <w:pPr>
              <w:jc w:val="right"/>
              <w:rPr>
                <w:rFonts w:ascii="Times New Roman" w:hAnsi="Times New Roman"/>
                <w:sz w:val="14"/>
                <w:szCs w:val="14"/>
              </w:rPr>
            </w:pPr>
            <w:r w:rsidRPr="009F2D1E">
              <w:rPr>
                <w:sz w:val="14"/>
                <w:szCs w:val="14"/>
              </w:rPr>
              <w:t>30937,29</w:t>
            </w:r>
          </w:p>
        </w:tc>
        <w:tc>
          <w:tcPr>
            <w:tcW w:w="1193" w:type="dxa"/>
            <w:tcBorders>
              <w:top w:val="nil"/>
              <w:left w:val="nil"/>
              <w:bottom w:val="single" w:sz="4" w:space="0" w:color="auto"/>
              <w:right w:val="single" w:sz="4" w:space="0" w:color="auto"/>
            </w:tcBorders>
            <w:shd w:val="clear" w:color="000000" w:fill="CCFFFF"/>
            <w:noWrap/>
            <w:vAlign w:val="bottom"/>
            <w:hideMark/>
          </w:tcPr>
          <w:p w14:paraId="0B141DC3" w14:textId="77777777" w:rsidR="001D4AFA" w:rsidRPr="009F2D1E" w:rsidRDefault="001D4AFA" w:rsidP="009F2D1E">
            <w:pPr>
              <w:jc w:val="right"/>
              <w:rPr>
                <w:rFonts w:ascii="Times New Roman" w:hAnsi="Times New Roman"/>
                <w:sz w:val="14"/>
                <w:szCs w:val="14"/>
              </w:rPr>
            </w:pPr>
            <w:r w:rsidRPr="009F2D1E">
              <w:rPr>
                <w:sz w:val="14"/>
                <w:szCs w:val="14"/>
              </w:rPr>
              <w:t>32378,66</w:t>
            </w:r>
          </w:p>
        </w:tc>
        <w:tc>
          <w:tcPr>
            <w:tcW w:w="1193" w:type="dxa"/>
            <w:tcBorders>
              <w:top w:val="nil"/>
              <w:left w:val="nil"/>
              <w:bottom w:val="single" w:sz="4" w:space="0" w:color="auto"/>
              <w:right w:val="single" w:sz="4" w:space="0" w:color="auto"/>
            </w:tcBorders>
            <w:shd w:val="clear" w:color="000000" w:fill="CCFFFF"/>
            <w:vAlign w:val="bottom"/>
          </w:tcPr>
          <w:p w14:paraId="1DC68474" w14:textId="77777777" w:rsidR="001D4AFA" w:rsidRPr="009F2D1E" w:rsidRDefault="001D4AFA" w:rsidP="009F2D1E">
            <w:pPr>
              <w:jc w:val="right"/>
              <w:rPr>
                <w:rFonts w:ascii="Times New Roman" w:hAnsi="Times New Roman"/>
                <w:sz w:val="14"/>
                <w:szCs w:val="14"/>
              </w:rPr>
            </w:pPr>
            <w:r w:rsidRPr="009F2D1E">
              <w:rPr>
                <w:sz w:val="14"/>
                <w:szCs w:val="14"/>
              </w:rPr>
              <w:t>31929,42</w:t>
            </w:r>
          </w:p>
        </w:tc>
      </w:tr>
      <w:tr w:rsidR="001D4AFA" w:rsidRPr="00364545" w14:paraId="695DCD00"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B42046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0EAF1725" w14:textId="77777777" w:rsidR="001D4AFA" w:rsidRPr="009F2D1E" w:rsidRDefault="001D4AFA" w:rsidP="009F2D1E">
            <w:pPr>
              <w:jc w:val="right"/>
              <w:rPr>
                <w:rFonts w:ascii="Times New Roman" w:hAnsi="Times New Roman"/>
                <w:sz w:val="14"/>
                <w:szCs w:val="14"/>
              </w:rPr>
            </w:pPr>
            <w:r w:rsidRPr="009F2D1E">
              <w:rPr>
                <w:sz w:val="14"/>
                <w:szCs w:val="14"/>
              </w:rPr>
              <w:t>10663,02</w:t>
            </w:r>
          </w:p>
        </w:tc>
        <w:tc>
          <w:tcPr>
            <w:tcW w:w="1193" w:type="dxa"/>
            <w:tcBorders>
              <w:top w:val="nil"/>
              <w:left w:val="nil"/>
              <w:bottom w:val="single" w:sz="4" w:space="0" w:color="auto"/>
              <w:right w:val="single" w:sz="4" w:space="0" w:color="auto"/>
            </w:tcBorders>
            <w:shd w:val="clear" w:color="000000" w:fill="FFFFFF"/>
            <w:noWrap/>
            <w:vAlign w:val="bottom"/>
            <w:hideMark/>
          </w:tcPr>
          <w:p w14:paraId="6E179D5D" w14:textId="77777777" w:rsidR="001D4AFA" w:rsidRPr="009F2D1E" w:rsidRDefault="001D4AFA" w:rsidP="009F2D1E">
            <w:pPr>
              <w:jc w:val="right"/>
              <w:rPr>
                <w:rFonts w:ascii="Times New Roman" w:hAnsi="Times New Roman"/>
                <w:sz w:val="14"/>
                <w:szCs w:val="14"/>
              </w:rPr>
            </w:pPr>
            <w:r w:rsidRPr="009F2D1E">
              <w:rPr>
                <w:sz w:val="14"/>
                <w:szCs w:val="14"/>
              </w:rPr>
              <w:t>10281,28</w:t>
            </w:r>
          </w:p>
        </w:tc>
        <w:tc>
          <w:tcPr>
            <w:tcW w:w="1164" w:type="dxa"/>
            <w:tcBorders>
              <w:top w:val="nil"/>
              <w:left w:val="nil"/>
              <w:bottom w:val="single" w:sz="4" w:space="0" w:color="auto"/>
              <w:right w:val="single" w:sz="4" w:space="0" w:color="auto"/>
            </w:tcBorders>
            <w:shd w:val="clear" w:color="000000" w:fill="FFFFFF"/>
            <w:noWrap/>
            <w:vAlign w:val="bottom"/>
            <w:hideMark/>
          </w:tcPr>
          <w:p w14:paraId="1AFCD819" w14:textId="77777777" w:rsidR="001D4AFA" w:rsidRPr="009F2D1E" w:rsidRDefault="001D4AFA" w:rsidP="009F2D1E">
            <w:pPr>
              <w:jc w:val="right"/>
              <w:rPr>
                <w:rFonts w:ascii="Times New Roman" w:hAnsi="Times New Roman"/>
                <w:sz w:val="14"/>
                <w:szCs w:val="14"/>
              </w:rPr>
            </w:pPr>
            <w:r w:rsidRPr="009F2D1E">
              <w:rPr>
                <w:sz w:val="14"/>
                <w:szCs w:val="14"/>
              </w:rPr>
              <w:t>9727,61</w:t>
            </w:r>
          </w:p>
        </w:tc>
        <w:tc>
          <w:tcPr>
            <w:tcW w:w="1150" w:type="dxa"/>
            <w:tcBorders>
              <w:top w:val="nil"/>
              <w:left w:val="nil"/>
              <w:bottom w:val="single" w:sz="4" w:space="0" w:color="auto"/>
              <w:right w:val="single" w:sz="4" w:space="0" w:color="auto"/>
            </w:tcBorders>
            <w:shd w:val="clear" w:color="000000" w:fill="FFFFFF"/>
            <w:noWrap/>
            <w:vAlign w:val="bottom"/>
            <w:hideMark/>
          </w:tcPr>
          <w:p w14:paraId="70FAEC5A" w14:textId="77777777" w:rsidR="001D4AFA" w:rsidRPr="009F2D1E" w:rsidRDefault="001D4AFA" w:rsidP="009F2D1E">
            <w:pPr>
              <w:jc w:val="right"/>
              <w:rPr>
                <w:rFonts w:ascii="Times New Roman" w:hAnsi="Times New Roman"/>
                <w:sz w:val="14"/>
                <w:szCs w:val="14"/>
              </w:rPr>
            </w:pPr>
            <w:r w:rsidRPr="009F2D1E">
              <w:rPr>
                <w:sz w:val="14"/>
                <w:szCs w:val="14"/>
              </w:rPr>
              <w:t>9 636,04</w:t>
            </w:r>
          </w:p>
        </w:tc>
        <w:tc>
          <w:tcPr>
            <w:tcW w:w="1193" w:type="dxa"/>
            <w:tcBorders>
              <w:top w:val="nil"/>
              <w:left w:val="nil"/>
              <w:bottom w:val="single" w:sz="4" w:space="0" w:color="auto"/>
              <w:right w:val="single" w:sz="4" w:space="0" w:color="auto"/>
            </w:tcBorders>
            <w:shd w:val="clear" w:color="000000" w:fill="FFFFFF"/>
            <w:noWrap/>
            <w:vAlign w:val="bottom"/>
            <w:hideMark/>
          </w:tcPr>
          <w:p w14:paraId="654A3E84" w14:textId="77777777" w:rsidR="001D4AFA" w:rsidRPr="009F2D1E" w:rsidRDefault="001D4AFA" w:rsidP="009F2D1E">
            <w:pPr>
              <w:jc w:val="right"/>
              <w:rPr>
                <w:rFonts w:ascii="Times New Roman" w:hAnsi="Times New Roman"/>
                <w:sz w:val="14"/>
                <w:szCs w:val="14"/>
              </w:rPr>
            </w:pPr>
            <w:r w:rsidRPr="009F2D1E">
              <w:rPr>
                <w:sz w:val="14"/>
                <w:szCs w:val="14"/>
              </w:rPr>
              <w:t>9 557,16</w:t>
            </w:r>
          </w:p>
        </w:tc>
        <w:tc>
          <w:tcPr>
            <w:tcW w:w="1193" w:type="dxa"/>
            <w:tcBorders>
              <w:top w:val="nil"/>
              <w:left w:val="nil"/>
              <w:bottom w:val="single" w:sz="4" w:space="0" w:color="auto"/>
              <w:right w:val="single" w:sz="4" w:space="0" w:color="auto"/>
            </w:tcBorders>
            <w:shd w:val="clear" w:color="000000" w:fill="FFFFFF"/>
            <w:vAlign w:val="bottom"/>
          </w:tcPr>
          <w:p w14:paraId="6C4D37AD" w14:textId="77777777" w:rsidR="001D4AFA" w:rsidRPr="009F2D1E" w:rsidRDefault="001D4AFA" w:rsidP="009F2D1E">
            <w:pPr>
              <w:jc w:val="right"/>
              <w:rPr>
                <w:rFonts w:ascii="Times New Roman" w:hAnsi="Times New Roman"/>
                <w:sz w:val="14"/>
                <w:szCs w:val="14"/>
              </w:rPr>
            </w:pPr>
            <w:r w:rsidRPr="009F2D1E">
              <w:rPr>
                <w:sz w:val="14"/>
                <w:szCs w:val="14"/>
              </w:rPr>
              <w:t>9 982,10</w:t>
            </w:r>
          </w:p>
        </w:tc>
      </w:tr>
      <w:tr w:rsidR="001D4AFA" w:rsidRPr="00364545" w14:paraId="6888F96E"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E8E5B3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464EC54B" w14:textId="77777777" w:rsidR="001D4AFA" w:rsidRPr="009F2D1E" w:rsidRDefault="001D4AFA" w:rsidP="009F2D1E">
            <w:pPr>
              <w:jc w:val="right"/>
              <w:rPr>
                <w:rFonts w:ascii="Times New Roman" w:hAnsi="Times New Roman"/>
                <w:sz w:val="14"/>
                <w:szCs w:val="14"/>
              </w:rPr>
            </w:pPr>
            <w:r w:rsidRPr="009F2D1E">
              <w:rPr>
                <w:sz w:val="14"/>
                <w:szCs w:val="14"/>
              </w:rPr>
              <w:t>6309,20</w:t>
            </w:r>
          </w:p>
        </w:tc>
        <w:tc>
          <w:tcPr>
            <w:tcW w:w="1193" w:type="dxa"/>
            <w:tcBorders>
              <w:top w:val="nil"/>
              <w:left w:val="nil"/>
              <w:bottom w:val="single" w:sz="4" w:space="0" w:color="auto"/>
              <w:right w:val="single" w:sz="4" w:space="0" w:color="auto"/>
            </w:tcBorders>
            <w:shd w:val="clear" w:color="000000" w:fill="FFFFFF"/>
            <w:noWrap/>
            <w:vAlign w:val="bottom"/>
            <w:hideMark/>
          </w:tcPr>
          <w:p w14:paraId="56F3A670" w14:textId="77777777" w:rsidR="001D4AFA" w:rsidRPr="009F2D1E" w:rsidRDefault="001D4AFA" w:rsidP="009F2D1E">
            <w:pPr>
              <w:jc w:val="right"/>
              <w:rPr>
                <w:rFonts w:ascii="Times New Roman" w:hAnsi="Times New Roman"/>
                <w:sz w:val="14"/>
                <w:szCs w:val="14"/>
              </w:rPr>
            </w:pPr>
            <w:r w:rsidRPr="009F2D1E">
              <w:rPr>
                <w:sz w:val="14"/>
                <w:szCs w:val="14"/>
              </w:rPr>
              <w:t>6768,34</w:t>
            </w:r>
          </w:p>
        </w:tc>
        <w:tc>
          <w:tcPr>
            <w:tcW w:w="1164" w:type="dxa"/>
            <w:tcBorders>
              <w:top w:val="nil"/>
              <w:left w:val="nil"/>
              <w:bottom w:val="single" w:sz="4" w:space="0" w:color="auto"/>
              <w:right w:val="single" w:sz="4" w:space="0" w:color="auto"/>
            </w:tcBorders>
            <w:shd w:val="clear" w:color="000000" w:fill="FFFFFF"/>
            <w:noWrap/>
            <w:vAlign w:val="bottom"/>
            <w:hideMark/>
          </w:tcPr>
          <w:p w14:paraId="5C44E882" w14:textId="77777777" w:rsidR="001D4AFA" w:rsidRPr="009F2D1E" w:rsidRDefault="001D4AFA" w:rsidP="009F2D1E">
            <w:pPr>
              <w:jc w:val="right"/>
              <w:rPr>
                <w:rFonts w:ascii="Times New Roman" w:hAnsi="Times New Roman"/>
                <w:sz w:val="14"/>
                <w:szCs w:val="14"/>
              </w:rPr>
            </w:pPr>
            <w:r w:rsidRPr="009F2D1E">
              <w:rPr>
                <w:sz w:val="14"/>
                <w:szCs w:val="14"/>
              </w:rPr>
              <w:t>6689,39</w:t>
            </w:r>
          </w:p>
        </w:tc>
        <w:tc>
          <w:tcPr>
            <w:tcW w:w="1150" w:type="dxa"/>
            <w:tcBorders>
              <w:top w:val="nil"/>
              <w:left w:val="nil"/>
              <w:bottom w:val="single" w:sz="4" w:space="0" w:color="auto"/>
              <w:right w:val="single" w:sz="4" w:space="0" w:color="auto"/>
            </w:tcBorders>
            <w:shd w:val="clear" w:color="000000" w:fill="FFFFFF"/>
            <w:noWrap/>
            <w:vAlign w:val="bottom"/>
            <w:hideMark/>
          </w:tcPr>
          <w:p w14:paraId="5A98AA8D" w14:textId="77777777" w:rsidR="001D4AFA" w:rsidRPr="009F2D1E" w:rsidRDefault="001D4AFA" w:rsidP="009F2D1E">
            <w:pPr>
              <w:jc w:val="right"/>
              <w:rPr>
                <w:rFonts w:ascii="Times New Roman" w:hAnsi="Times New Roman"/>
                <w:sz w:val="14"/>
                <w:szCs w:val="14"/>
              </w:rPr>
            </w:pPr>
            <w:r w:rsidRPr="009F2D1E">
              <w:rPr>
                <w:sz w:val="14"/>
                <w:szCs w:val="14"/>
              </w:rPr>
              <w:t>6 526,51</w:t>
            </w:r>
          </w:p>
        </w:tc>
        <w:tc>
          <w:tcPr>
            <w:tcW w:w="1193" w:type="dxa"/>
            <w:tcBorders>
              <w:top w:val="nil"/>
              <w:left w:val="nil"/>
              <w:bottom w:val="single" w:sz="4" w:space="0" w:color="auto"/>
              <w:right w:val="single" w:sz="4" w:space="0" w:color="auto"/>
            </w:tcBorders>
            <w:shd w:val="clear" w:color="000000" w:fill="FFFFFF"/>
            <w:noWrap/>
            <w:vAlign w:val="bottom"/>
            <w:hideMark/>
          </w:tcPr>
          <w:p w14:paraId="2DD3CF92" w14:textId="77777777" w:rsidR="001D4AFA" w:rsidRPr="009F2D1E" w:rsidRDefault="001D4AFA" w:rsidP="009F2D1E">
            <w:pPr>
              <w:jc w:val="right"/>
              <w:rPr>
                <w:rFonts w:ascii="Times New Roman" w:hAnsi="Times New Roman"/>
                <w:sz w:val="14"/>
                <w:szCs w:val="14"/>
              </w:rPr>
            </w:pPr>
            <w:r w:rsidRPr="009F2D1E">
              <w:rPr>
                <w:sz w:val="14"/>
                <w:szCs w:val="14"/>
              </w:rPr>
              <w:t>6 849,62</w:t>
            </w:r>
          </w:p>
        </w:tc>
        <w:tc>
          <w:tcPr>
            <w:tcW w:w="1193" w:type="dxa"/>
            <w:tcBorders>
              <w:top w:val="nil"/>
              <w:left w:val="nil"/>
              <w:bottom w:val="single" w:sz="4" w:space="0" w:color="auto"/>
              <w:right w:val="single" w:sz="4" w:space="0" w:color="auto"/>
            </w:tcBorders>
            <w:shd w:val="clear" w:color="000000" w:fill="FFFFFF"/>
            <w:vAlign w:val="bottom"/>
          </w:tcPr>
          <w:p w14:paraId="31CEE08B" w14:textId="77777777" w:rsidR="001D4AFA" w:rsidRPr="009F2D1E" w:rsidRDefault="001D4AFA" w:rsidP="009F2D1E">
            <w:pPr>
              <w:jc w:val="right"/>
              <w:rPr>
                <w:rFonts w:ascii="Times New Roman" w:hAnsi="Times New Roman"/>
                <w:sz w:val="14"/>
                <w:szCs w:val="14"/>
              </w:rPr>
            </w:pPr>
            <w:r w:rsidRPr="009F2D1E">
              <w:rPr>
                <w:sz w:val="14"/>
                <w:szCs w:val="14"/>
              </w:rPr>
              <w:t>6 565,66</w:t>
            </w:r>
          </w:p>
        </w:tc>
      </w:tr>
      <w:tr w:rsidR="001D4AFA" w:rsidRPr="00364545" w14:paraId="2902A6A9"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9D5CEF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4A72E4E7" w14:textId="77777777" w:rsidR="001D4AFA" w:rsidRPr="009F2D1E" w:rsidRDefault="001D4AFA" w:rsidP="009F2D1E">
            <w:pPr>
              <w:jc w:val="right"/>
              <w:rPr>
                <w:rFonts w:ascii="Times New Roman" w:hAnsi="Times New Roman"/>
                <w:sz w:val="14"/>
                <w:szCs w:val="14"/>
              </w:rPr>
            </w:pPr>
            <w:r w:rsidRPr="009F2D1E">
              <w:rPr>
                <w:sz w:val="14"/>
                <w:szCs w:val="14"/>
              </w:rPr>
              <w:t>13786,49</w:t>
            </w:r>
          </w:p>
        </w:tc>
        <w:tc>
          <w:tcPr>
            <w:tcW w:w="1193" w:type="dxa"/>
            <w:tcBorders>
              <w:top w:val="nil"/>
              <w:left w:val="nil"/>
              <w:bottom w:val="single" w:sz="4" w:space="0" w:color="auto"/>
              <w:right w:val="single" w:sz="4" w:space="0" w:color="auto"/>
            </w:tcBorders>
            <w:shd w:val="clear" w:color="000000" w:fill="FFFFFF"/>
            <w:noWrap/>
            <w:vAlign w:val="bottom"/>
            <w:hideMark/>
          </w:tcPr>
          <w:p w14:paraId="34C44AB6" w14:textId="77777777" w:rsidR="001D4AFA" w:rsidRPr="009F2D1E" w:rsidRDefault="001D4AFA" w:rsidP="009F2D1E">
            <w:pPr>
              <w:jc w:val="right"/>
              <w:rPr>
                <w:rFonts w:ascii="Times New Roman" w:hAnsi="Times New Roman"/>
                <w:sz w:val="14"/>
                <w:szCs w:val="14"/>
              </w:rPr>
            </w:pPr>
            <w:r w:rsidRPr="009F2D1E">
              <w:rPr>
                <w:sz w:val="14"/>
                <w:szCs w:val="14"/>
              </w:rPr>
              <w:t>13352,29</w:t>
            </w:r>
          </w:p>
        </w:tc>
        <w:tc>
          <w:tcPr>
            <w:tcW w:w="1164" w:type="dxa"/>
            <w:tcBorders>
              <w:top w:val="nil"/>
              <w:left w:val="nil"/>
              <w:bottom w:val="single" w:sz="4" w:space="0" w:color="auto"/>
              <w:right w:val="single" w:sz="4" w:space="0" w:color="auto"/>
            </w:tcBorders>
            <w:shd w:val="clear" w:color="000000" w:fill="FFFFFF"/>
            <w:noWrap/>
            <w:vAlign w:val="bottom"/>
            <w:hideMark/>
          </w:tcPr>
          <w:p w14:paraId="6972E4F5" w14:textId="77777777" w:rsidR="001D4AFA" w:rsidRPr="009F2D1E" w:rsidRDefault="001D4AFA" w:rsidP="009F2D1E">
            <w:pPr>
              <w:jc w:val="right"/>
              <w:rPr>
                <w:rFonts w:ascii="Times New Roman" w:hAnsi="Times New Roman"/>
                <w:sz w:val="14"/>
                <w:szCs w:val="14"/>
              </w:rPr>
            </w:pPr>
            <w:r w:rsidRPr="009F2D1E">
              <w:rPr>
                <w:sz w:val="14"/>
                <w:szCs w:val="14"/>
              </w:rPr>
              <w:t>12689,34</w:t>
            </w:r>
          </w:p>
        </w:tc>
        <w:tc>
          <w:tcPr>
            <w:tcW w:w="1150" w:type="dxa"/>
            <w:tcBorders>
              <w:top w:val="nil"/>
              <w:left w:val="nil"/>
              <w:bottom w:val="single" w:sz="4" w:space="0" w:color="auto"/>
              <w:right w:val="single" w:sz="4" w:space="0" w:color="auto"/>
            </w:tcBorders>
            <w:shd w:val="clear" w:color="000000" w:fill="FFFFFF"/>
            <w:noWrap/>
            <w:vAlign w:val="bottom"/>
            <w:hideMark/>
          </w:tcPr>
          <w:p w14:paraId="77C677B9" w14:textId="77777777" w:rsidR="001D4AFA" w:rsidRPr="009F2D1E" w:rsidRDefault="001D4AFA" w:rsidP="009F2D1E">
            <w:pPr>
              <w:jc w:val="right"/>
              <w:rPr>
                <w:rFonts w:ascii="Times New Roman" w:hAnsi="Times New Roman"/>
                <w:sz w:val="14"/>
                <w:szCs w:val="14"/>
              </w:rPr>
            </w:pPr>
            <w:r w:rsidRPr="009F2D1E">
              <w:rPr>
                <w:sz w:val="14"/>
                <w:szCs w:val="14"/>
              </w:rPr>
              <w:t>13 116,26</w:t>
            </w:r>
          </w:p>
        </w:tc>
        <w:tc>
          <w:tcPr>
            <w:tcW w:w="1193" w:type="dxa"/>
            <w:tcBorders>
              <w:top w:val="nil"/>
              <w:left w:val="nil"/>
              <w:bottom w:val="single" w:sz="4" w:space="0" w:color="auto"/>
              <w:right w:val="single" w:sz="4" w:space="0" w:color="auto"/>
            </w:tcBorders>
            <w:shd w:val="clear" w:color="000000" w:fill="FFFFFF"/>
            <w:noWrap/>
            <w:vAlign w:val="bottom"/>
            <w:hideMark/>
          </w:tcPr>
          <w:p w14:paraId="13EBE38E" w14:textId="77777777" w:rsidR="001D4AFA" w:rsidRPr="009F2D1E" w:rsidRDefault="001D4AFA" w:rsidP="009F2D1E">
            <w:pPr>
              <w:jc w:val="right"/>
              <w:rPr>
                <w:rFonts w:ascii="Times New Roman" w:hAnsi="Times New Roman"/>
                <w:sz w:val="14"/>
                <w:szCs w:val="14"/>
              </w:rPr>
            </w:pPr>
            <w:r w:rsidRPr="009F2D1E">
              <w:rPr>
                <w:sz w:val="14"/>
                <w:szCs w:val="14"/>
              </w:rPr>
              <w:t>14 457,01</w:t>
            </w:r>
          </w:p>
        </w:tc>
        <w:tc>
          <w:tcPr>
            <w:tcW w:w="1193" w:type="dxa"/>
            <w:tcBorders>
              <w:top w:val="nil"/>
              <w:left w:val="nil"/>
              <w:bottom w:val="single" w:sz="4" w:space="0" w:color="auto"/>
              <w:right w:val="single" w:sz="4" w:space="0" w:color="auto"/>
            </w:tcBorders>
            <w:shd w:val="clear" w:color="000000" w:fill="FFFFFF"/>
            <w:vAlign w:val="bottom"/>
          </w:tcPr>
          <w:p w14:paraId="5B856F10" w14:textId="77777777" w:rsidR="001D4AFA" w:rsidRPr="009F2D1E" w:rsidRDefault="001D4AFA" w:rsidP="009F2D1E">
            <w:pPr>
              <w:jc w:val="right"/>
              <w:rPr>
                <w:rFonts w:ascii="Times New Roman" w:hAnsi="Times New Roman"/>
                <w:sz w:val="14"/>
                <w:szCs w:val="14"/>
              </w:rPr>
            </w:pPr>
            <w:r w:rsidRPr="009F2D1E">
              <w:rPr>
                <w:sz w:val="14"/>
                <w:szCs w:val="14"/>
              </w:rPr>
              <w:t>13 796,76</w:t>
            </w:r>
          </w:p>
        </w:tc>
      </w:tr>
      <w:tr w:rsidR="001D4AFA" w:rsidRPr="00364545" w14:paraId="0258937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65C05FC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192" w:type="dxa"/>
            <w:tcBorders>
              <w:top w:val="nil"/>
              <w:left w:val="nil"/>
              <w:bottom w:val="single" w:sz="4" w:space="0" w:color="auto"/>
              <w:right w:val="single" w:sz="4" w:space="0" w:color="auto"/>
            </w:tcBorders>
            <w:shd w:val="clear" w:color="000000" w:fill="FFFFFF"/>
            <w:noWrap/>
            <w:vAlign w:val="bottom"/>
            <w:hideMark/>
          </w:tcPr>
          <w:p w14:paraId="20286DCE" w14:textId="77777777" w:rsidR="001D4AFA" w:rsidRPr="009F2D1E" w:rsidRDefault="001D4AFA" w:rsidP="009F2D1E">
            <w:pPr>
              <w:jc w:val="right"/>
              <w:rPr>
                <w:rFonts w:ascii="Times New Roman" w:hAnsi="Times New Roman"/>
                <w:sz w:val="14"/>
                <w:szCs w:val="14"/>
              </w:rPr>
            </w:pPr>
            <w:r w:rsidRPr="009F2D1E">
              <w:rPr>
                <w:sz w:val="14"/>
                <w:szCs w:val="14"/>
              </w:rPr>
              <w:t>1258,68</w:t>
            </w:r>
          </w:p>
        </w:tc>
        <w:tc>
          <w:tcPr>
            <w:tcW w:w="1193" w:type="dxa"/>
            <w:tcBorders>
              <w:top w:val="nil"/>
              <w:left w:val="nil"/>
              <w:bottom w:val="single" w:sz="4" w:space="0" w:color="auto"/>
              <w:right w:val="single" w:sz="4" w:space="0" w:color="auto"/>
            </w:tcBorders>
            <w:shd w:val="clear" w:color="000000" w:fill="FFFFFF"/>
            <w:noWrap/>
            <w:vAlign w:val="bottom"/>
            <w:hideMark/>
          </w:tcPr>
          <w:p w14:paraId="4A093700" w14:textId="77777777" w:rsidR="001D4AFA" w:rsidRPr="009F2D1E" w:rsidRDefault="001D4AFA" w:rsidP="009F2D1E">
            <w:pPr>
              <w:jc w:val="right"/>
              <w:rPr>
                <w:rFonts w:ascii="Times New Roman" w:hAnsi="Times New Roman"/>
                <w:sz w:val="14"/>
                <w:szCs w:val="14"/>
              </w:rPr>
            </w:pPr>
            <w:r w:rsidRPr="009F2D1E">
              <w:rPr>
                <w:sz w:val="14"/>
                <w:szCs w:val="14"/>
              </w:rPr>
              <w:t>1321,96</w:t>
            </w:r>
          </w:p>
        </w:tc>
        <w:tc>
          <w:tcPr>
            <w:tcW w:w="1164" w:type="dxa"/>
            <w:tcBorders>
              <w:top w:val="nil"/>
              <w:left w:val="nil"/>
              <w:bottom w:val="single" w:sz="4" w:space="0" w:color="auto"/>
              <w:right w:val="single" w:sz="4" w:space="0" w:color="auto"/>
            </w:tcBorders>
            <w:shd w:val="clear" w:color="000000" w:fill="FFFFFF"/>
            <w:noWrap/>
            <w:vAlign w:val="bottom"/>
            <w:hideMark/>
          </w:tcPr>
          <w:p w14:paraId="5E8FD98F" w14:textId="77777777" w:rsidR="001D4AFA" w:rsidRPr="009F2D1E" w:rsidRDefault="001D4AFA" w:rsidP="009F2D1E">
            <w:pPr>
              <w:jc w:val="right"/>
              <w:rPr>
                <w:rFonts w:ascii="Times New Roman" w:hAnsi="Times New Roman"/>
                <w:sz w:val="14"/>
                <w:szCs w:val="14"/>
              </w:rPr>
            </w:pPr>
            <w:r w:rsidRPr="009F2D1E">
              <w:rPr>
                <w:sz w:val="14"/>
                <w:szCs w:val="14"/>
              </w:rPr>
              <w:t>1175,86</w:t>
            </w:r>
          </w:p>
        </w:tc>
        <w:tc>
          <w:tcPr>
            <w:tcW w:w="1150" w:type="dxa"/>
            <w:tcBorders>
              <w:top w:val="nil"/>
              <w:left w:val="nil"/>
              <w:bottom w:val="single" w:sz="4" w:space="0" w:color="auto"/>
              <w:right w:val="single" w:sz="4" w:space="0" w:color="auto"/>
            </w:tcBorders>
            <w:shd w:val="clear" w:color="000000" w:fill="FFFFFF"/>
            <w:noWrap/>
            <w:vAlign w:val="bottom"/>
            <w:hideMark/>
          </w:tcPr>
          <w:p w14:paraId="4F9A25A1" w14:textId="77777777" w:rsidR="001D4AFA" w:rsidRPr="009F2D1E" w:rsidRDefault="001D4AFA" w:rsidP="009F2D1E">
            <w:pPr>
              <w:jc w:val="right"/>
              <w:rPr>
                <w:rFonts w:ascii="Times New Roman" w:hAnsi="Times New Roman"/>
                <w:sz w:val="14"/>
                <w:szCs w:val="14"/>
              </w:rPr>
            </w:pPr>
            <w:r w:rsidRPr="009F2D1E">
              <w:rPr>
                <w:sz w:val="14"/>
                <w:szCs w:val="14"/>
              </w:rPr>
              <w:t>1 190,07</w:t>
            </w:r>
          </w:p>
        </w:tc>
        <w:tc>
          <w:tcPr>
            <w:tcW w:w="1193" w:type="dxa"/>
            <w:tcBorders>
              <w:top w:val="nil"/>
              <w:left w:val="nil"/>
              <w:bottom w:val="single" w:sz="4" w:space="0" w:color="auto"/>
              <w:right w:val="single" w:sz="4" w:space="0" w:color="auto"/>
            </w:tcBorders>
            <w:shd w:val="clear" w:color="000000" w:fill="FFFFFF"/>
            <w:noWrap/>
            <w:vAlign w:val="bottom"/>
            <w:hideMark/>
          </w:tcPr>
          <w:p w14:paraId="67A273CB" w14:textId="77777777" w:rsidR="001D4AFA" w:rsidRPr="009F2D1E" w:rsidRDefault="001D4AFA" w:rsidP="009F2D1E">
            <w:pPr>
              <w:jc w:val="right"/>
              <w:rPr>
                <w:rFonts w:ascii="Times New Roman" w:hAnsi="Times New Roman"/>
                <w:sz w:val="14"/>
                <w:szCs w:val="14"/>
              </w:rPr>
            </w:pPr>
            <w:r w:rsidRPr="009F2D1E">
              <w:rPr>
                <w:sz w:val="14"/>
                <w:szCs w:val="14"/>
              </w:rPr>
              <w:t>998,31</w:t>
            </w:r>
          </w:p>
        </w:tc>
        <w:tc>
          <w:tcPr>
            <w:tcW w:w="1193" w:type="dxa"/>
            <w:tcBorders>
              <w:top w:val="nil"/>
              <w:left w:val="nil"/>
              <w:bottom w:val="single" w:sz="4" w:space="0" w:color="auto"/>
              <w:right w:val="single" w:sz="4" w:space="0" w:color="auto"/>
            </w:tcBorders>
            <w:shd w:val="clear" w:color="000000" w:fill="FFFFFF"/>
            <w:vAlign w:val="bottom"/>
          </w:tcPr>
          <w:p w14:paraId="5E411892" w14:textId="77777777" w:rsidR="001D4AFA" w:rsidRPr="009F2D1E" w:rsidRDefault="001D4AFA" w:rsidP="009F2D1E">
            <w:pPr>
              <w:jc w:val="right"/>
              <w:rPr>
                <w:rFonts w:ascii="Times New Roman" w:hAnsi="Times New Roman"/>
                <w:sz w:val="14"/>
                <w:szCs w:val="14"/>
              </w:rPr>
            </w:pPr>
            <w:r w:rsidRPr="009F2D1E">
              <w:rPr>
                <w:sz w:val="14"/>
                <w:szCs w:val="14"/>
              </w:rPr>
              <w:t>1 109,85</w:t>
            </w:r>
          </w:p>
        </w:tc>
      </w:tr>
      <w:tr w:rsidR="001D4AFA" w:rsidRPr="00364545" w14:paraId="7D9320DE"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B1E5B2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192" w:type="dxa"/>
            <w:tcBorders>
              <w:top w:val="nil"/>
              <w:left w:val="nil"/>
              <w:bottom w:val="single" w:sz="4" w:space="0" w:color="auto"/>
              <w:right w:val="single" w:sz="4" w:space="0" w:color="auto"/>
            </w:tcBorders>
            <w:shd w:val="clear" w:color="000000" w:fill="FFFFFF"/>
            <w:noWrap/>
            <w:vAlign w:val="bottom"/>
            <w:hideMark/>
          </w:tcPr>
          <w:p w14:paraId="769BCAF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51C6A13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4C230D5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77C3F7C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405957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5542C52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C19D6D1"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1060D67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192" w:type="dxa"/>
            <w:tcBorders>
              <w:top w:val="nil"/>
              <w:left w:val="nil"/>
              <w:bottom w:val="single" w:sz="4" w:space="0" w:color="auto"/>
              <w:right w:val="single" w:sz="4" w:space="0" w:color="auto"/>
            </w:tcBorders>
            <w:shd w:val="clear" w:color="000000" w:fill="FFFFFF"/>
            <w:noWrap/>
            <w:vAlign w:val="bottom"/>
            <w:hideMark/>
          </w:tcPr>
          <w:p w14:paraId="6E1069C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6B6A2E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279446F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7E7363C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2BC767F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1BEB474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6088B1C"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vAlign w:val="center"/>
            <w:hideMark/>
          </w:tcPr>
          <w:p w14:paraId="7652E4F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192" w:type="dxa"/>
            <w:tcBorders>
              <w:top w:val="nil"/>
              <w:left w:val="nil"/>
              <w:bottom w:val="single" w:sz="4" w:space="0" w:color="auto"/>
              <w:right w:val="single" w:sz="4" w:space="0" w:color="auto"/>
            </w:tcBorders>
            <w:shd w:val="clear" w:color="000000" w:fill="FFFFFF"/>
            <w:noWrap/>
            <w:vAlign w:val="bottom"/>
            <w:hideMark/>
          </w:tcPr>
          <w:p w14:paraId="6526DE26" w14:textId="77777777" w:rsidR="001D4AFA" w:rsidRPr="009F2D1E" w:rsidRDefault="001D4AFA" w:rsidP="009F2D1E">
            <w:pPr>
              <w:jc w:val="right"/>
              <w:rPr>
                <w:rFonts w:ascii="Times New Roman" w:hAnsi="Times New Roman"/>
                <w:sz w:val="14"/>
                <w:szCs w:val="14"/>
              </w:rPr>
            </w:pPr>
            <w:r w:rsidRPr="009F2D1E">
              <w:rPr>
                <w:sz w:val="14"/>
                <w:szCs w:val="14"/>
              </w:rPr>
              <w:t>511,70</w:t>
            </w:r>
          </w:p>
        </w:tc>
        <w:tc>
          <w:tcPr>
            <w:tcW w:w="1193" w:type="dxa"/>
            <w:tcBorders>
              <w:top w:val="nil"/>
              <w:left w:val="nil"/>
              <w:bottom w:val="single" w:sz="4" w:space="0" w:color="auto"/>
              <w:right w:val="single" w:sz="4" w:space="0" w:color="auto"/>
            </w:tcBorders>
            <w:shd w:val="clear" w:color="000000" w:fill="FFFFFF"/>
            <w:noWrap/>
            <w:vAlign w:val="bottom"/>
            <w:hideMark/>
          </w:tcPr>
          <w:p w14:paraId="1F2552EA" w14:textId="77777777" w:rsidR="001D4AFA" w:rsidRPr="009F2D1E" w:rsidRDefault="001D4AFA" w:rsidP="009F2D1E">
            <w:pPr>
              <w:jc w:val="right"/>
              <w:rPr>
                <w:rFonts w:ascii="Times New Roman" w:hAnsi="Times New Roman"/>
                <w:sz w:val="14"/>
                <w:szCs w:val="14"/>
              </w:rPr>
            </w:pPr>
            <w:r w:rsidRPr="009F2D1E">
              <w:rPr>
                <w:sz w:val="14"/>
                <w:szCs w:val="14"/>
              </w:rPr>
              <w:t>531,70</w:t>
            </w:r>
          </w:p>
        </w:tc>
        <w:tc>
          <w:tcPr>
            <w:tcW w:w="1164" w:type="dxa"/>
            <w:tcBorders>
              <w:top w:val="nil"/>
              <w:left w:val="nil"/>
              <w:bottom w:val="single" w:sz="4" w:space="0" w:color="auto"/>
              <w:right w:val="single" w:sz="4" w:space="0" w:color="auto"/>
            </w:tcBorders>
            <w:shd w:val="clear" w:color="000000" w:fill="FFFFFF"/>
            <w:noWrap/>
            <w:vAlign w:val="bottom"/>
            <w:hideMark/>
          </w:tcPr>
          <w:p w14:paraId="75EA9F31" w14:textId="77777777" w:rsidR="001D4AFA" w:rsidRPr="009F2D1E" w:rsidRDefault="001D4AFA" w:rsidP="009F2D1E">
            <w:pPr>
              <w:jc w:val="right"/>
              <w:rPr>
                <w:rFonts w:ascii="Times New Roman" w:hAnsi="Times New Roman"/>
                <w:sz w:val="14"/>
                <w:szCs w:val="14"/>
              </w:rPr>
            </w:pPr>
            <w:r w:rsidRPr="009F2D1E">
              <w:rPr>
                <w:sz w:val="14"/>
                <w:szCs w:val="14"/>
              </w:rPr>
              <w:t>470,96</w:t>
            </w:r>
          </w:p>
        </w:tc>
        <w:tc>
          <w:tcPr>
            <w:tcW w:w="1150" w:type="dxa"/>
            <w:tcBorders>
              <w:top w:val="nil"/>
              <w:left w:val="nil"/>
              <w:bottom w:val="single" w:sz="4" w:space="0" w:color="auto"/>
              <w:right w:val="single" w:sz="4" w:space="0" w:color="auto"/>
            </w:tcBorders>
            <w:shd w:val="clear" w:color="000000" w:fill="FFFFFF"/>
            <w:noWrap/>
            <w:vAlign w:val="bottom"/>
            <w:hideMark/>
          </w:tcPr>
          <w:p w14:paraId="44E9FFE1" w14:textId="77777777" w:rsidR="001D4AFA" w:rsidRPr="009F2D1E" w:rsidRDefault="001D4AFA" w:rsidP="009F2D1E">
            <w:pPr>
              <w:jc w:val="right"/>
              <w:rPr>
                <w:rFonts w:ascii="Times New Roman" w:hAnsi="Times New Roman"/>
                <w:sz w:val="14"/>
                <w:szCs w:val="14"/>
              </w:rPr>
            </w:pPr>
            <w:r w:rsidRPr="009F2D1E">
              <w:rPr>
                <w:sz w:val="14"/>
                <w:szCs w:val="14"/>
              </w:rPr>
              <w:t>468,35</w:t>
            </w:r>
          </w:p>
        </w:tc>
        <w:tc>
          <w:tcPr>
            <w:tcW w:w="1193" w:type="dxa"/>
            <w:tcBorders>
              <w:top w:val="nil"/>
              <w:left w:val="nil"/>
              <w:bottom w:val="single" w:sz="4" w:space="0" w:color="auto"/>
              <w:right w:val="single" w:sz="4" w:space="0" w:color="auto"/>
            </w:tcBorders>
            <w:shd w:val="clear" w:color="000000" w:fill="FFFFFF"/>
            <w:noWrap/>
            <w:vAlign w:val="bottom"/>
            <w:hideMark/>
          </w:tcPr>
          <w:p w14:paraId="600A35ED" w14:textId="77777777" w:rsidR="001D4AFA" w:rsidRPr="009F2D1E" w:rsidRDefault="001D4AFA" w:rsidP="009F2D1E">
            <w:pPr>
              <w:jc w:val="right"/>
              <w:rPr>
                <w:rFonts w:ascii="Times New Roman" w:hAnsi="Times New Roman"/>
                <w:sz w:val="14"/>
                <w:szCs w:val="14"/>
              </w:rPr>
            </w:pPr>
            <w:r w:rsidRPr="009F2D1E">
              <w:rPr>
                <w:sz w:val="14"/>
                <w:szCs w:val="14"/>
              </w:rPr>
              <w:t>516,50</w:t>
            </w:r>
          </w:p>
        </w:tc>
        <w:tc>
          <w:tcPr>
            <w:tcW w:w="1193" w:type="dxa"/>
            <w:tcBorders>
              <w:top w:val="nil"/>
              <w:left w:val="nil"/>
              <w:bottom w:val="single" w:sz="4" w:space="0" w:color="auto"/>
              <w:right w:val="single" w:sz="4" w:space="0" w:color="auto"/>
            </w:tcBorders>
            <w:shd w:val="clear" w:color="000000" w:fill="FFFFFF"/>
            <w:vAlign w:val="bottom"/>
          </w:tcPr>
          <w:p w14:paraId="02C3A11D" w14:textId="77777777" w:rsidR="001D4AFA" w:rsidRPr="009F2D1E" w:rsidRDefault="001D4AFA" w:rsidP="009F2D1E">
            <w:pPr>
              <w:jc w:val="right"/>
              <w:rPr>
                <w:rFonts w:ascii="Times New Roman" w:hAnsi="Times New Roman"/>
                <w:sz w:val="14"/>
                <w:szCs w:val="14"/>
              </w:rPr>
            </w:pPr>
            <w:r w:rsidRPr="009F2D1E">
              <w:rPr>
                <w:sz w:val="14"/>
                <w:szCs w:val="14"/>
              </w:rPr>
              <w:t>474,99</w:t>
            </w:r>
          </w:p>
        </w:tc>
      </w:tr>
      <w:tr w:rsidR="001D4AFA" w:rsidRPr="00364545" w14:paraId="3E6072F6"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0CD862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192" w:type="dxa"/>
            <w:tcBorders>
              <w:top w:val="nil"/>
              <w:left w:val="nil"/>
              <w:bottom w:val="single" w:sz="4" w:space="0" w:color="auto"/>
              <w:right w:val="single" w:sz="4" w:space="0" w:color="auto"/>
            </w:tcBorders>
            <w:shd w:val="clear" w:color="000000" w:fill="FFFFFF"/>
            <w:noWrap/>
            <w:vAlign w:val="bottom"/>
            <w:hideMark/>
          </w:tcPr>
          <w:p w14:paraId="57A0032B"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93" w:type="dxa"/>
            <w:tcBorders>
              <w:top w:val="nil"/>
              <w:left w:val="nil"/>
              <w:bottom w:val="single" w:sz="4" w:space="0" w:color="auto"/>
              <w:right w:val="single" w:sz="4" w:space="0" w:color="auto"/>
            </w:tcBorders>
            <w:shd w:val="clear" w:color="000000" w:fill="FFFFFF"/>
            <w:noWrap/>
            <w:vAlign w:val="bottom"/>
            <w:hideMark/>
          </w:tcPr>
          <w:p w14:paraId="30A67EA2" w14:textId="77777777" w:rsidR="001D4AFA" w:rsidRPr="009F2D1E" w:rsidRDefault="001D4AFA" w:rsidP="009F2D1E">
            <w:pPr>
              <w:jc w:val="right"/>
              <w:rPr>
                <w:rFonts w:ascii="Times New Roman" w:hAnsi="Times New Roman"/>
                <w:sz w:val="14"/>
                <w:szCs w:val="14"/>
              </w:rPr>
            </w:pPr>
            <w:r w:rsidRPr="009F2D1E">
              <w:rPr>
                <w:sz w:val="14"/>
                <w:szCs w:val="14"/>
              </w:rPr>
              <w:t>0,04</w:t>
            </w:r>
          </w:p>
        </w:tc>
        <w:tc>
          <w:tcPr>
            <w:tcW w:w="1164" w:type="dxa"/>
            <w:tcBorders>
              <w:top w:val="nil"/>
              <w:left w:val="nil"/>
              <w:bottom w:val="single" w:sz="4" w:space="0" w:color="auto"/>
              <w:right w:val="single" w:sz="4" w:space="0" w:color="auto"/>
            </w:tcBorders>
            <w:shd w:val="clear" w:color="000000" w:fill="FFFFFF"/>
            <w:noWrap/>
            <w:vAlign w:val="bottom"/>
            <w:hideMark/>
          </w:tcPr>
          <w:p w14:paraId="7E54E9E9" w14:textId="77777777" w:rsidR="001D4AFA" w:rsidRPr="009F2D1E" w:rsidRDefault="001D4AFA" w:rsidP="009F2D1E">
            <w:pPr>
              <w:jc w:val="right"/>
              <w:rPr>
                <w:rFonts w:ascii="Times New Roman" w:hAnsi="Times New Roman"/>
                <w:sz w:val="14"/>
                <w:szCs w:val="14"/>
              </w:rPr>
            </w:pPr>
            <w:r w:rsidRPr="009F2D1E">
              <w:rPr>
                <w:sz w:val="14"/>
                <w:szCs w:val="14"/>
              </w:rPr>
              <w:t>0,06</w:t>
            </w:r>
          </w:p>
        </w:tc>
        <w:tc>
          <w:tcPr>
            <w:tcW w:w="1150" w:type="dxa"/>
            <w:tcBorders>
              <w:top w:val="nil"/>
              <w:left w:val="nil"/>
              <w:bottom w:val="single" w:sz="4" w:space="0" w:color="auto"/>
              <w:right w:val="single" w:sz="4" w:space="0" w:color="auto"/>
            </w:tcBorders>
            <w:shd w:val="clear" w:color="000000" w:fill="FFFFFF"/>
            <w:noWrap/>
            <w:vAlign w:val="bottom"/>
            <w:hideMark/>
          </w:tcPr>
          <w:p w14:paraId="1A9E806A" w14:textId="77777777" w:rsidR="001D4AFA" w:rsidRPr="009F2D1E" w:rsidRDefault="001D4AFA" w:rsidP="009F2D1E">
            <w:pPr>
              <w:jc w:val="right"/>
              <w:rPr>
                <w:rFonts w:ascii="Times New Roman" w:hAnsi="Times New Roman"/>
                <w:sz w:val="14"/>
                <w:szCs w:val="14"/>
              </w:rPr>
            </w:pPr>
            <w:r w:rsidRPr="009F2D1E">
              <w:rPr>
                <w:sz w:val="14"/>
                <w:szCs w:val="14"/>
              </w:rPr>
              <w:t>0,07</w:t>
            </w:r>
          </w:p>
        </w:tc>
        <w:tc>
          <w:tcPr>
            <w:tcW w:w="1193" w:type="dxa"/>
            <w:tcBorders>
              <w:top w:val="nil"/>
              <w:left w:val="nil"/>
              <w:bottom w:val="single" w:sz="4" w:space="0" w:color="auto"/>
              <w:right w:val="single" w:sz="4" w:space="0" w:color="auto"/>
            </w:tcBorders>
            <w:shd w:val="clear" w:color="000000" w:fill="FFFFFF"/>
            <w:noWrap/>
            <w:vAlign w:val="bottom"/>
            <w:hideMark/>
          </w:tcPr>
          <w:p w14:paraId="4DB12438" w14:textId="77777777" w:rsidR="001D4AFA" w:rsidRPr="009F2D1E" w:rsidRDefault="001D4AFA" w:rsidP="009F2D1E">
            <w:pPr>
              <w:jc w:val="right"/>
              <w:rPr>
                <w:rFonts w:ascii="Times New Roman" w:hAnsi="Times New Roman"/>
                <w:sz w:val="14"/>
                <w:szCs w:val="14"/>
              </w:rPr>
            </w:pPr>
            <w:r w:rsidRPr="009F2D1E">
              <w:rPr>
                <w:sz w:val="14"/>
                <w:szCs w:val="14"/>
              </w:rPr>
              <w:t>0,06</w:t>
            </w:r>
          </w:p>
        </w:tc>
        <w:tc>
          <w:tcPr>
            <w:tcW w:w="1193" w:type="dxa"/>
            <w:tcBorders>
              <w:top w:val="nil"/>
              <w:left w:val="nil"/>
              <w:bottom w:val="single" w:sz="4" w:space="0" w:color="auto"/>
              <w:right w:val="single" w:sz="4" w:space="0" w:color="auto"/>
            </w:tcBorders>
            <w:shd w:val="clear" w:color="000000" w:fill="FFFFFF"/>
            <w:vAlign w:val="bottom"/>
          </w:tcPr>
          <w:p w14:paraId="1FC75DA6" w14:textId="77777777" w:rsidR="001D4AFA" w:rsidRPr="009F2D1E" w:rsidRDefault="001D4AFA" w:rsidP="009F2D1E">
            <w:pPr>
              <w:jc w:val="right"/>
              <w:rPr>
                <w:rFonts w:ascii="Times New Roman" w:hAnsi="Times New Roman"/>
                <w:sz w:val="14"/>
                <w:szCs w:val="14"/>
              </w:rPr>
            </w:pPr>
            <w:r w:rsidRPr="009F2D1E">
              <w:rPr>
                <w:sz w:val="14"/>
                <w:szCs w:val="14"/>
              </w:rPr>
              <w:t>0,06</w:t>
            </w:r>
          </w:p>
        </w:tc>
      </w:tr>
      <w:tr w:rsidR="001D4AFA" w:rsidRPr="00364545" w14:paraId="1F31A262"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bottom"/>
            <w:hideMark/>
          </w:tcPr>
          <w:p w14:paraId="1527100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3. Agriculture</w:t>
            </w:r>
          </w:p>
        </w:tc>
        <w:tc>
          <w:tcPr>
            <w:tcW w:w="1192" w:type="dxa"/>
            <w:tcBorders>
              <w:top w:val="nil"/>
              <w:left w:val="nil"/>
              <w:bottom w:val="single" w:sz="4" w:space="0" w:color="auto"/>
              <w:right w:val="single" w:sz="4" w:space="0" w:color="auto"/>
            </w:tcBorders>
            <w:shd w:val="clear" w:color="000000" w:fill="CCFFFF"/>
            <w:noWrap/>
            <w:vAlign w:val="bottom"/>
            <w:hideMark/>
          </w:tcPr>
          <w:p w14:paraId="169F7D8B" w14:textId="77777777" w:rsidR="001D4AFA" w:rsidRPr="009F2D1E" w:rsidRDefault="001D4AFA" w:rsidP="009F2D1E">
            <w:pPr>
              <w:jc w:val="right"/>
              <w:rPr>
                <w:rFonts w:ascii="Times New Roman" w:hAnsi="Times New Roman"/>
                <w:sz w:val="14"/>
                <w:szCs w:val="14"/>
              </w:rPr>
            </w:pPr>
            <w:r w:rsidRPr="009F2D1E">
              <w:rPr>
                <w:sz w:val="14"/>
                <w:szCs w:val="14"/>
              </w:rPr>
              <w:t>2061,42</w:t>
            </w:r>
          </w:p>
        </w:tc>
        <w:tc>
          <w:tcPr>
            <w:tcW w:w="1193" w:type="dxa"/>
            <w:tcBorders>
              <w:top w:val="nil"/>
              <w:left w:val="nil"/>
              <w:bottom w:val="single" w:sz="4" w:space="0" w:color="auto"/>
              <w:right w:val="single" w:sz="4" w:space="0" w:color="auto"/>
            </w:tcBorders>
            <w:shd w:val="clear" w:color="000000" w:fill="CCFFFF"/>
            <w:noWrap/>
            <w:vAlign w:val="bottom"/>
            <w:hideMark/>
          </w:tcPr>
          <w:p w14:paraId="7FA00786" w14:textId="77777777" w:rsidR="001D4AFA" w:rsidRPr="009F2D1E" w:rsidRDefault="001D4AFA" w:rsidP="009F2D1E">
            <w:pPr>
              <w:jc w:val="right"/>
              <w:rPr>
                <w:rFonts w:ascii="Times New Roman" w:hAnsi="Times New Roman"/>
                <w:sz w:val="14"/>
                <w:szCs w:val="14"/>
              </w:rPr>
            </w:pPr>
            <w:r w:rsidRPr="009F2D1E">
              <w:rPr>
                <w:sz w:val="14"/>
                <w:szCs w:val="14"/>
              </w:rPr>
              <w:t>2126,66</w:t>
            </w:r>
          </w:p>
        </w:tc>
        <w:tc>
          <w:tcPr>
            <w:tcW w:w="1164" w:type="dxa"/>
            <w:tcBorders>
              <w:top w:val="nil"/>
              <w:left w:val="nil"/>
              <w:bottom w:val="single" w:sz="4" w:space="0" w:color="auto"/>
              <w:right w:val="single" w:sz="4" w:space="0" w:color="auto"/>
            </w:tcBorders>
            <w:shd w:val="clear" w:color="000000" w:fill="CCFFFF"/>
            <w:noWrap/>
            <w:vAlign w:val="bottom"/>
            <w:hideMark/>
          </w:tcPr>
          <w:p w14:paraId="394D8B34" w14:textId="77777777" w:rsidR="001D4AFA" w:rsidRPr="009F2D1E" w:rsidRDefault="001D4AFA" w:rsidP="009F2D1E">
            <w:pPr>
              <w:jc w:val="right"/>
              <w:rPr>
                <w:rFonts w:ascii="Times New Roman" w:hAnsi="Times New Roman"/>
                <w:sz w:val="14"/>
                <w:szCs w:val="14"/>
              </w:rPr>
            </w:pPr>
            <w:r w:rsidRPr="009F2D1E">
              <w:rPr>
                <w:sz w:val="14"/>
                <w:szCs w:val="14"/>
              </w:rPr>
              <w:t>2175,86</w:t>
            </w:r>
          </w:p>
        </w:tc>
        <w:tc>
          <w:tcPr>
            <w:tcW w:w="1150" w:type="dxa"/>
            <w:tcBorders>
              <w:top w:val="nil"/>
              <w:left w:val="nil"/>
              <w:bottom w:val="single" w:sz="4" w:space="0" w:color="auto"/>
              <w:right w:val="single" w:sz="4" w:space="0" w:color="auto"/>
            </w:tcBorders>
            <w:shd w:val="clear" w:color="000000" w:fill="CCFFFF"/>
            <w:noWrap/>
            <w:vAlign w:val="bottom"/>
            <w:hideMark/>
          </w:tcPr>
          <w:p w14:paraId="6EE2168A" w14:textId="77777777" w:rsidR="001D4AFA" w:rsidRPr="009F2D1E" w:rsidRDefault="001D4AFA" w:rsidP="009F2D1E">
            <w:pPr>
              <w:jc w:val="right"/>
              <w:rPr>
                <w:rFonts w:ascii="Times New Roman" w:hAnsi="Times New Roman"/>
                <w:sz w:val="14"/>
                <w:szCs w:val="14"/>
              </w:rPr>
            </w:pPr>
            <w:r w:rsidRPr="009F2D1E">
              <w:rPr>
                <w:sz w:val="14"/>
                <w:szCs w:val="14"/>
              </w:rPr>
              <w:t>2163,62</w:t>
            </w:r>
          </w:p>
        </w:tc>
        <w:tc>
          <w:tcPr>
            <w:tcW w:w="1193" w:type="dxa"/>
            <w:tcBorders>
              <w:top w:val="nil"/>
              <w:left w:val="nil"/>
              <w:bottom w:val="single" w:sz="4" w:space="0" w:color="auto"/>
              <w:right w:val="single" w:sz="4" w:space="0" w:color="auto"/>
            </w:tcBorders>
            <w:shd w:val="clear" w:color="000000" w:fill="CCFFFF"/>
            <w:noWrap/>
            <w:vAlign w:val="bottom"/>
            <w:hideMark/>
          </w:tcPr>
          <w:p w14:paraId="7287A55D" w14:textId="77777777" w:rsidR="001D4AFA" w:rsidRPr="009F2D1E" w:rsidRDefault="001D4AFA" w:rsidP="009F2D1E">
            <w:pPr>
              <w:jc w:val="right"/>
              <w:rPr>
                <w:rFonts w:ascii="Times New Roman" w:hAnsi="Times New Roman"/>
                <w:sz w:val="14"/>
                <w:szCs w:val="14"/>
              </w:rPr>
            </w:pPr>
            <w:r w:rsidRPr="009F2D1E">
              <w:rPr>
                <w:sz w:val="14"/>
                <w:szCs w:val="14"/>
              </w:rPr>
              <w:t>2108,46</w:t>
            </w:r>
          </w:p>
        </w:tc>
        <w:tc>
          <w:tcPr>
            <w:tcW w:w="1193" w:type="dxa"/>
            <w:tcBorders>
              <w:top w:val="nil"/>
              <w:left w:val="nil"/>
              <w:bottom w:val="single" w:sz="4" w:space="0" w:color="auto"/>
              <w:right w:val="single" w:sz="4" w:space="0" w:color="auto"/>
            </w:tcBorders>
            <w:shd w:val="clear" w:color="000000" w:fill="CCFFFF"/>
            <w:vAlign w:val="bottom"/>
          </w:tcPr>
          <w:p w14:paraId="58DFDD17" w14:textId="77777777" w:rsidR="001D4AFA" w:rsidRPr="009F2D1E" w:rsidRDefault="001D4AFA" w:rsidP="009F2D1E">
            <w:pPr>
              <w:jc w:val="right"/>
              <w:rPr>
                <w:rFonts w:ascii="Times New Roman" w:hAnsi="Times New Roman"/>
                <w:sz w:val="14"/>
                <w:szCs w:val="14"/>
              </w:rPr>
            </w:pPr>
            <w:r w:rsidRPr="009F2D1E">
              <w:rPr>
                <w:sz w:val="14"/>
                <w:szCs w:val="14"/>
              </w:rPr>
              <w:t>2184,34</w:t>
            </w:r>
          </w:p>
        </w:tc>
      </w:tr>
      <w:tr w:rsidR="001D4AFA" w:rsidRPr="00364545" w14:paraId="0E5BC54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E2F5A13"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99F67E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361594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08AA4B7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081DCBD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7A21554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6BD2BAF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5111211"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1AC71D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7F98034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5C34B7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3032A10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2158FF2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6E418B6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638DE18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BEE791E"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AEEE7D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0A41493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05A2DDF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428E5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3FFC2AB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48009BE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5A69E7C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DA711F6"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6A93EF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55E1D6C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53FAA2E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5147903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41747F3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2D408C9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205F28A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AF3760C"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D690A4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192" w:type="dxa"/>
            <w:tcBorders>
              <w:top w:val="nil"/>
              <w:left w:val="nil"/>
              <w:bottom w:val="single" w:sz="4" w:space="0" w:color="auto"/>
              <w:right w:val="single" w:sz="4" w:space="0" w:color="auto"/>
            </w:tcBorders>
            <w:shd w:val="clear" w:color="auto" w:fill="A6A6A6" w:themeFill="background1" w:themeFillShade="A6"/>
            <w:noWrap/>
            <w:vAlign w:val="bottom"/>
            <w:hideMark/>
          </w:tcPr>
          <w:p w14:paraId="11BBD54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6DF2DBD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auto" w:fill="A6A6A6" w:themeFill="background1" w:themeFillShade="A6"/>
            <w:noWrap/>
            <w:vAlign w:val="bottom"/>
            <w:hideMark/>
          </w:tcPr>
          <w:p w14:paraId="18E7A98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auto" w:fill="A6A6A6" w:themeFill="background1" w:themeFillShade="A6"/>
            <w:noWrap/>
            <w:vAlign w:val="bottom"/>
            <w:hideMark/>
          </w:tcPr>
          <w:p w14:paraId="0A5FA0B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noWrap/>
            <w:vAlign w:val="bottom"/>
            <w:hideMark/>
          </w:tcPr>
          <w:p w14:paraId="11A4A1C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auto" w:fill="A6A6A6" w:themeFill="background1" w:themeFillShade="A6"/>
            <w:vAlign w:val="bottom"/>
          </w:tcPr>
          <w:p w14:paraId="73DF5CAE"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74C7B34"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904877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192" w:type="dxa"/>
            <w:tcBorders>
              <w:top w:val="nil"/>
              <w:left w:val="nil"/>
              <w:bottom w:val="single" w:sz="4" w:space="0" w:color="auto"/>
              <w:right w:val="single" w:sz="4" w:space="0" w:color="auto"/>
            </w:tcBorders>
            <w:shd w:val="clear" w:color="000000" w:fill="FFFFFF"/>
            <w:noWrap/>
            <w:vAlign w:val="bottom"/>
            <w:hideMark/>
          </w:tcPr>
          <w:p w14:paraId="4DCEE48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1521331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35B2718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19B9C59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6DD4C1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72BD680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276C8DF4"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C1F6F9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192" w:type="dxa"/>
            <w:tcBorders>
              <w:top w:val="nil"/>
              <w:left w:val="nil"/>
              <w:bottom w:val="single" w:sz="4" w:space="0" w:color="auto"/>
              <w:right w:val="single" w:sz="4" w:space="0" w:color="auto"/>
            </w:tcBorders>
            <w:shd w:val="clear" w:color="000000" w:fill="FFFFFF"/>
            <w:noWrap/>
            <w:vAlign w:val="bottom"/>
            <w:hideMark/>
          </w:tcPr>
          <w:p w14:paraId="5D094E7F" w14:textId="77777777" w:rsidR="001D4AFA" w:rsidRPr="009F2D1E" w:rsidRDefault="001D4AFA" w:rsidP="009F2D1E">
            <w:pPr>
              <w:jc w:val="right"/>
              <w:rPr>
                <w:rFonts w:ascii="Times New Roman" w:hAnsi="Times New Roman"/>
                <w:sz w:val="14"/>
                <w:szCs w:val="14"/>
              </w:rPr>
            </w:pPr>
            <w:r w:rsidRPr="009F2D1E">
              <w:rPr>
                <w:sz w:val="14"/>
                <w:szCs w:val="14"/>
              </w:rPr>
              <w:t>904,79</w:t>
            </w:r>
          </w:p>
        </w:tc>
        <w:tc>
          <w:tcPr>
            <w:tcW w:w="1193" w:type="dxa"/>
            <w:tcBorders>
              <w:top w:val="nil"/>
              <w:left w:val="nil"/>
              <w:bottom w:val="single" w:sz="4" w:space="0" w:color="auto"/>
              <w:right w:val="single" w:sz="4" w:space="0" w:color="auto"/>
            </w:tcBorders>
            <w:shd w:val="clear" w:color="000000" w:fill="FFFFFF"/>
            <w:noWrap/>
            <w:vAlign w:val="bottom"/>
            <w:hideMark/>
          </w:tcPr>
          <w:p w14:paraId="4915392D" w14:textId="77777777" w:rsidR="001D4AFA" w:rsidRPr="009F2D1E" w:rsidRDefault="001D4AFA" w:rsidP="009F2D1E">
            <w:pPr>
              <w:jc w:val="right"/>
              <w:rPr>
                <w:rFonts w:ascii="Times New Roman" w:hAnsi="Times New Roman"/>
                <w:sz w:val="14"/>
                <w:szCs w:val="14"/>
              </w:rPr>
            </w:pPr>
            <w:r w:rsidRPr="009F2D1E">
              <w:rPr>
                <w:sz w:val="14"/>
                <w:szCs w:val="14"/>
              </w:rPr>
              <w:t>908,57</w:t>
            </w:r>
          </w:p>
        </w:tc>
        <w:tc>
          <w:tcPr>
            <w:tcW w:w="1164" w:type="dxa"/>
            <w:tcBorders>
              <w:top w:val="nil"/>
              <w:left w:val="nil"/>
              <w:bottom w:val="single" w:sz="4" w:space="0" w:color="auto"/>
              <w:right w:val="single" w:sz="4" w:space="0" w:color="auto"/>
            </w:tcBorders>
            <w:shd w:val="clear" w:color="000000" w:fill="FFFFFF"/>
            <w:noWrap/>
            <w:vAlign w:val="bottom"/>
            <w:hideMark/>
          </w:tcPr>
          <w:p w14:paraId="4E3F416C" w14:textId="77777777" w:rsidR="001D4AFA" w:rsidRPr="009F2D1E" w:rsidRDefault="001D4AFA" w:rsidP="009F2D1E">
            <w:pPr>
              <w:jc w:val="right"/>
              <w:rPr>
                <w:rFonts w:ascii="Times New Roman" w:hAnsi="Times New Roman"/>
                <w:sz w:val="14"/>
                <w:szCs w:val="14"/>
              </w:rPr>
            </w:pPr>
            <w:r w:rsidRPr="009F2D1E">
              <w:rPr>
                <w:sz w:val="14"/>
                <w:szCs w:val="14"/>
              </w:rPr>
              <w:t>862,72</w:t>
            </w:r>
          </w:p>
        </w:tc>
        <w:tc>
          <w:tcPr>
            <w:tcW w:w="1150" w:type="dxa"/>
            <w:tcBorders>
              <w:top w:val="nil"/>
              <w:left w:val="nil"/>
              <w:bottom w:val="single" w:sz="4" w:space="0" w:color="auto"/>
              <w:right w:val="single" w:sz="4" w:space="0" w:color="auto"/>
            </w:tcBorders>
            <w:shd w:val="clear" w:color="000000" w:fill="FFFFFF"/>
            <w:noWrap/>
            <w:vAlign w:val="bottom"/>
            <w:hideMark/>
          </w:tcPr>
          <w:p w14:paraId="6BBDB069" w14:textId="77777777" w:rsidR="001D4AFA" w:rsidRPr="009F2D1E" w:rsidRDefault="001D4AFA" w:rsidP="009F2D1E">
            <w:pPr>
              <w:jc w:val="right"/>
              <w:rPr>
                <w:rFonts w:ascii="Times New Roman" w:hAnsi="Times New Roman"/>
                <w:sz w:val="14"/>
                <w:szCs w:val="14"/>
              </w:rPr>
            </w:pPr>
            <w:r w:rsidRPr="009F2D1E">
              <w:rPr>
                <w:sz w:val="14"/>
                <w:szCs w:val="14"/>
              </w:rPr>
              <w:t>789,05</w:t>
            </w:r>
          </w:p>
        </w:tc>
        <w:tc>
          <w:tcPr>
            <w:tcW w:w="1193" w:type="dxa"/>
            <w:tcBorders>
              <w:top w:val="nil"/>
              <w:left w:val="nil"/>
              <w:bottom w:val="single" w:sz="4" w:space="0" w:color="auto"/>
              <w:right w:val="single" w:sz="4" w:space="0" w:color="auto"/>
            </w:tcBorders>
            <w:shd w:val="clear" w:color="000000" w:fill="FFFFFF"/>
            <w:noWrap/>
            <w:vAlign w:val="bottom"/>
            <w:hideMark/>
          </w:tcPr>
          <w:p w14:paraId="6725A6BA" w14:textId="77777777" w:rsidR="001D4AFA" w:rsidRPr="009F2D1E" w:rsidRDefault="001D4AFA" w:rsidP="009F2D1E">
            <w:pPr>
              <w:jc w:val="right"/>
              <w:rPr>
                <w:rFonts w:ascii="Times New Roman" w:hAnsi="Times New Roman"/>
                <w:sz w:val="14"/>
                <w:szCs w:val="14"/>
              </w:rPr>
            </w:pPr>
            <w:r w:rsidRPr="009F2D1E">
              <w:rPr>
                <w:sz w:val="14"/>
                <w:szCs w:val="14"/>
              </w:rPr>
              <w:t>644,88</w:t>
            </w:r>
          </w:p>
        </w:tc>
        <w:tc>
          <w:tcPr>
            <w:tcW w:w="1193" w:type="dxa"/>
            <w:tcBorders>
              <w:top w:val="nil"/>
              <w:left w:val="nil"/>
              <w:bottom w:val="single" w:sz="4" w:space="0" w:color="auto"/>
              <w:right w:val="single" w:sz="4" w:space="0" w:color="auto"/>
            </w:tcBorders>
            <w:shd w:val="clear" w:color="000000" w:fill="FFFFFF"/>
            <w:vAlign w:val="bottom"/>
          </w:tcPr>
          <w:p w14:paraId="2A7A0DB4" w14:textId="77777777" w:rsidR="001D4AFA" w:rsidRPr="009F2D1E" w:rsidRDefault="001D4AFA" w:rsidP="009F2D1E">
            <w:pPr>
              <w:jc w:val="right"/>
              <w:rPr>
                <w:rFonts w:ascii="Times New Roman" w:hAnsi="Times New Roman"/>
                <w:sz w:val="14"/>
                <w:szCs w:val="14"/>
              </w:rPr>
            </w:pPr>
            <w:r w:rsidRPr="009F2D1E">
              <w:rPr>
                <w:sz w:val="14"/>
                <w:szCs w:val="14"/>
              </w:rPr>
              <w:t>731,54</w:t>
            </w:r>
          </w:p>
        </w:tc>
      </w:tr>
      <w:tr w:rsidR="001D4AFA" w:rsidRPr="00364545" w14:paraId="657C62E1"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A8EA22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192" w:type="dxa"/>
            <w:tcBorders>
              <w:top w:val="nil"/>
              <w:left w:val="nil"/>
              <w:bottom w:val="single" w:sz="4" w:space="0" w:color="auto"/>
              <w:right w:val="single" w:sz="4" w:space="0" w:color="auto"/>
            </w:tcBorders>
            <w:shd w:val="clear" w:color="000000" w:fill="FFFFFF"/>
            <w:noWrap/>
            <w:vAlign w:val="bottom"/>
            <w:hideMark/>
          </w:tcPr>
          <w:p w14:paraId="1CEEB9B0" w14:textId="77777777" w:rsidR="001D4AFA" w:rsidRPr="009F2D1E" w:rsidRDefault="001D4AFA" w:rsidP="009F2D1E">
            <w:pPr>
              <w:jc w:val="right"/>
              <w:rPr>
                <w:rFonts w:ascii="Times New Roman" w:hAnsi="Times New Roman"/>
                <w:sz w:val="14"/>
                <w:szCs w:val="14"/>
              </w:rPr>
            </w:pPr>
            <w:r w:rsidRPr="009F2D1E">
              <w:rPr>
                <w:sz w:val="14"/>
                <w:szCs w:val="14"/>
              </w:rPr>
              <w:t>980,46</w:t>
            </w:r>
          </w:p>
        </w:tc>
        <w:tc>
          <w:tcPr>
            <w:tcW w:w="1193" w:type="dxa"/>
            <w:tcBorders>
              <w:top w:val="nil"/>
              <w:left w:val="nil"/>
              <w:bottom w:val="single" w:sz="4" w:space="0" w:color="auto"/>
              <w:right w:val="single" w:sz="4" w:space="0" w:color="auto"/>
            </w:tcBorders>
            <w:shd w:val="clear" w:color="000000" w:fill="FFFFFF"/>
            <w:noWrap/>
            <w:vAlign w:val="bottom"/>
            <w:hideMark/>
          </w:tcPr>
          <w:p w14:paraId="0D56456B" w14:textId="77777777" w:rsidR="001D4AFA" w:rsidRPr="009F2D1E" w:rsidRDefault="001D4AFA" w:rsidP="009F2D1E">
            <w:pPr>
              <w:jc w:val="right"/>
              <w:rPr>
                <w:rFonts w:ascii="Times New Roman" w:hAnsi="Times New Roman"/>
                <w:sz w:val="14"/>
                <w:szCs w:val="14"/>
              </w:rPr>
            </w:pPr>
            <w:r w:rsidRPr="009F2D1E">
              <w:rPr>
                <w:sz w:val="14"/>
                <w:szCs w:val="14"/>
              </w:rPr>
              <w:t>1054,33</w:t>
            </w:r>
          </w:p>
        </w:tc>
        <w:tc>
          <w:tcPr>
            <w:tcW w:w="1164" w:type="dxa"/>
            <w:tcBorders>
              <w:top w:val="nil"/>
              <w:left w:val="nil"/>
              <w:bottom w:val="single" w:sz="4" w:space="0" w:color="auto"/>
              <w:right w:val="single" w:sz="4" w:space="0" w:color="auto"/>
            </w:tcBorders>
            <w:shd w:val="clear" w:color="000000" w:fill="FFFFFF"/>
            <w:noWrap/>
            <w:vAlign w:val="bottom"/>
            <w:hideMark/>
          </w:tcPr>
          <w:p w14:paraId="41B1E15A" w14:textId="77777777" w:rsidR="001D4AFA" w:rsidRPr="009F2D1E" w:rsidRDefault="001D4AFA" w:rsidP="009F2D1E">
            <w:pPr>
              <w:jc w:val="right"/>
              <w:rPr>
                <w:rFonts w:ascii="Times New Roman" w:hAnsi="Times New Roman"/>
                <w:sz w:val="14"/>
                <w:szCs w:val="14"/>
              </w:rPr>
            </w:pPr>
            <w:r w:rsidRPr="009F2D1E">
              <w:rPr>
                <w:sz w:val="14"/>
                <w:szCs w:val="14"/>
              </w:rPr>
              <w:t>1140,30</w:t>
            </w:r>
          </w:p>
        </w:tc>
        <w:tc>
          <w:tcPr>
            <w:tcW w:w="1150" w:type="dxa"/>
            <w:tcBorders>
              <w:top w:val="nil"/>
              <w:left w:val="nil"/>
              <w:bottom w:val="single" w:sz="4" w:space="0" w:color="auto"/>
              <w:right w:val="single" w:sz="4" w:space="0" w:color="auto"/>
            </w:tcBorders>
            <w:shd w:val="clear" w:color="000000" w:fill="FFFFFF"/>
            <w:noWrap/>
            <w:vAlign w:val="bottom"/>
            <w:hideMark/>
          </w:tcPr>
          <w:p w14:paraId="601F1E79" w14:textId="77777777" w:rsidR="001D4AFA" w:rsidRPr="009F2D1E" w:rsidRDefault="001D4AFA" w:rsidP="009F2D1E">
            <w:pPr>
              <w:jc w:val="right"/>
              <w:rPr>
                <w:rFonts w:ascii="Times New Roman" w:hAnsi="Times New Roman"/>
                <w:sz w:val="14"/>
                <w:szCs w:val="14"/>
              </w:rPr>
            </w:pPr>
            <w:r w:rsidRPr="009F2D1E">
              <w:rPr>
                <w:sz w:val="14"/>
                <w:szCs w:val="14"/>
              </w:rPr>
              <w:t>1 224,78</w:t>
            </w:r>
          </w:p>
        </w:tc>
        <w:tc>
          <w:tcPr>
            <w:tcW w:w="1193" w:type="dxa"/>
            <w:tcBorders>
              <w:top w:val="nil"/>
              <w:left w:val="nil"/>
              <w:bottom w:val="single" w:sz="4" w:space="0" w:color="auto"/>
              <w:right w:val="single" w:sz="4" w:space="0" w:color="auto"/>
            </w:tcBorders>
            <w:shd w:val="clear" w:color="000000" w:fill="FFFFFF"/>
            <w:noWrap/>
            <w:vAlign w:val="bottom"/>
            <w:hideMark/>
          </w:tcPr>
          <w:p w14:paraId="24E0ED90" w14:textId="77777777" w:rsidR="001D4AFA" w:rsidRPr="009F2D1E" w:rsidRDefault="001D4AFA" w:rsidP="009F2D1E">
            <w:pPr>
              <w:jc w:val="right"/>
              <w:rPr>
                <w:rFonts w:ascii="Times New Roman" w:hAnsi="Times New Roman"/>
                <w:sz w:val="14"/>
                <w:szCs w:val="14"/>
              </w:rPr>
            </w:pPr>
            <w:r w:rsidRPr="009F2D1E">
              <w:rPr>
                <w:sz w:val="14"/>
                <w:szCs w:val="14"/>
              </w:rPr>
              <w:t>1 298,14</w:t>
            </w:r>
          </w:p>
        </w:tc>
        <w:tc>
          <w:tcPr>
            <w:tcW w:w="1193" w:type="dxa"/>
            <w:tcBorders>
              <w:top w:val="nil"/>
              <w:left w:val="nil"/>
              <w:bottom w:val="single" w:sz="4" w:space="0" w:color="auto"/>
              <w:right w:val="single" w:sz="4" w:space="0" w:color="auto"/>
            </w:tcBorders>
            <w:shd w:val="clear" w:color="000000" w:fill="FFFFFF"/>
            <w:vAlign w:val="bottom"/>
          </w:tcPr>
          <w:p w14:paraId="64066C7A" w14:textId="77777777" w:rsidR="001D4AFA" w:rsidRPr="009F2D1E" w:rsidRDefault="001D4AFA" w:rsidP="009F2D1E">
            <w:pPr>
              <w:jc w:val="right"/>
              <w:rPr>
                <w:rFonts w:ascii="Times New Roman" w:hAnsi="Times New Roman"/>
                <w:sz w:val="14"/>
                <w:szCs w:val="14"/>
              </w:rPr>
            </w:pPr>
            <w:r w:rsidRPr="009F2D1E">
              <w:rPr>
                <w:sz w:val="14"/>
                <w:szCs w:val="14"/>
              </w:rPr>
              <w:t>1 289,56</w:t>
            </w:r>
          </w:p>
        </w:tc>
      </w:tr>
      <w:tr w:rsidR="001D4AFA" w:rsidRPr="00364545" w14:paraId="62D22179"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FEA346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192" w:type="dxa"/>
            <w:tcBorders>
              <w:top w:val="nil"/>
              <w:left w:val="nil"/>
              <w:bottom w:val="single" w:sz="4" w:space="0" w:color="auto"/>
              <w:right w:val="single" w:sz="4" w:space="0" w:color="auto"/>
            </w:tcBorders>
            <w:shd w:val="clear" w:color="000000" w:fill="FFFFFF"/>
            <w:noWrap/>
            <w:vAlign w:val="bottom"/>
            <w:hideMark/>
          </w:tcPr>
          <w:p w14:paraId="06E9CF2E" w14:textId="77777777" w:rsidR="001D4AFA" w:rsidRPr="009F2D1E" w:rsidRDefault="001D4AFA" w:rsidP="009F2D1E">
            <w:pPr>
              <w:jc w:val="right"/>
              <w:rPr>
                <w:rFonts w:ascii="Times New Roman" w:hAnsi="Times New Roman"/>
                <w:sz w:val="14"/>
                <w:szCs w:val="14"/>
              </w:rPr>
            </w:pPr>
            <w:r w:rsidRPr="009F2D1E">
              <w:rPr>
                <w:sz w:val="14"/>
                <w:szCs w:val="14"/>
              </w:rPr>
              <w:t>176,17</w:t>
            </w:r>
          </w:p>
        </w:tc>
        <w:tc>
          <w:tcPr>
            <w:tcW w:w="1193" w:type="dxa"/>
            <w:tcBorders>
              <w:top w:val="nil"/>
              <w:left w:val="nil"/>
              <w:bottom w:val="single" w:sz="4" w:space="0" w:color="auto"/>
              <w:right w:val="single" w:sz="4" w:space="0" w:color="auto"/>
            </w:tcBorders>
            <w:shd w:val="clear" w:color="000000" w:fill="FFFFFF"/>
            <w:noWrap/>
            <w:vAlign w:val="bottom"/>
            <w:hideMark/>
          </w:tcPr>
          <w:p w14:paraId="52BDD72D" w14:textId="77777777" w:rsidR="001D4AFA" w:rsidRPr="009F2D1E" w:rsidRDefault="001D4AFA" w:rsidP="009F2D1E">
            <w:pPr>
              <w:jc w:val="right"/>
              <w:rPr>
                <w:rFonts w:ascii="Times New Roman" w:hAnsi="Times New Roman"/>
                <w:sz w:val="14"/>
                <w:szCs w:val="14"/>
              </w:rPr>
            </w:pPr>
            <w:r w:rsidRPr="009F2D1E">
              <w:rPr>
                <w:sz w:val="14"/>
                <w:szCs w:val="14"/>
              </w:rPr>
              <w:t>163,75</w:t>
            </w:r>
          </w:p>
        </w:tc>
        <w:tc>
          <w:tcPr>
            <w:tcW w:w="1164" w:type="dxa"/>
            <w:tcBorders>
              <w:top w:val="nil"/>
              <w:left w:val="nil"/>
              <w:bottom w:val="single" w:sz="4" w:space="0" w:color="auto"/>
              <w:right w:val="single" w:sz="4" w:space="0" w:color="auto"/>
            </w:tcBorders>
            <w:shd w:val="clear" w:color="000000" w:fill="FFFFFF"/>
            <w:noWrap/>
            <w:vAlign w:val="bottom"/>
            <w:hideMark/>
          </w:tcPr>
          <w:p w14:paraId="57F4AD6B" w14:textId="77777777" w:rsidR="001D4AFA" w:rsidRPr="009F2D1E" w:rsidRDefault="001D4AFA" w:rsidP="009F2D1E">
            <w:pPr>
              <w:jc w:val="right"/>
              <w:rPr>
                <w:rFonts w:ascii="Times New Roman" w:hAnsi="Times New Roman"/>
                <w:sz w:val="14"/>
                <w:szCs w:val="14"/>
              </w:rPr>
            </w:pPr>
            <w:r w:rsidRPr="009F2D1E">
              <w:rPr>
                <w:sz w:val="14"/>
                <w:szCs w:val="14"/>
              </w:rPr>
              <w:t>172,85</w:t>
            </w:r>
          </w:p>
        </w:tc>
        <w:tc>
          <w:tcPr>
            <w:tcW w:w="1150" w:type="dxa"/>
            <w:tcBorders>
              <w:top w:val="nil"/>
              <w:left w:val="nil"/>
              <w:bottom w:val="single" w:sz="4" w:space="0" w:color="auto"/>
              <w:right w:val="single" w:sz="4" w:space="0" w:color="auto"/>
            </w:tcBorders>
            <w:shd w:val="clear" w:color="000000" w:fill="FFFFFF"/>
            <w:noWrap/>
            <w:vAlign w:val="bottom"/>
            <w:hideMark/>
          </w:tcPr>
          <w:p w14:paraId="60ADB411" w14:textId="77777777" w:rsidR="001D4AFA" w:rsidRPr="009F2D1E" w:rsidRDefault="001D4AFA" w:rsidP="009F2D1E">
            <w:pPr>
              <w:jc w:val="right"/>
              <w:rPr>
                <w:rFonts w:ascii="Times New Roman" w:hAnsi="Times New Roman"/>
                <w:sz w:val="14"/>
                <w:szCs w:val="14"/>
              </w:rPr>
            </w:pPr>
            <w:r w:rsidRPr="009F2D1E">
              <w:rPr>
                <w:sz w:val="14"/>
                <w:szCs w:val="14"/>
              </w:rPr>
              <w:t>149,79</w:t>
            </w:r>
          </w:p>
        </w:tc>
        <w:tc>
          <w:tcPr>
            <w:tcW w:w="1193" w:type="dxa"/>
            <w:tcBorders>
              <w:top w:val="nil"/>
              <w:left w:val="nil"/>
              <w:bottom w:val="single" w:sz="4" w:space="0" w:color="auto"/>
              <w:right w:val="single" w:sz="4" w:space="0" w:color="auto"/>
            </w:tcBorders>
            <w:shd w:val="clear" w:color="000000" w:fill="FFFFFF"/>
            <w:noWrap/>
            <w:vAlign w:val="bottom"/>
            <w:hideMark/>
          </w:tcPr>
          <w:p w14:paraId="02E1D3FC" w14:textId="77777777" w:rsidR="001D4AFA" w:rsidRPr="009F2D1E" w:rsidRDefault="001D4AFA" w:rsidP="009F2D1E">
            <w:pPr>
              <w:jc w:val="right"/>
              <w:rPr>
                <w:rFonts w:ascii="Times New Roman" w:hAnsi="Times New Roman"/>
                <w:sz w:val="14"/>
                <w:szCs w:val="14"/>
              </w:rPr>
            </w:pPr>
            <w:r w:rsidRPr="009F2D1E">
              <w:rPr>
                <w:sz w:val="14"/>
                <w:szCs w:val="14"/>
              </w:rPr>
              <w:t>165,44</w:t>
            </w:r>
          </w:p>
        </w:tc>
        <w:tc>
          <w:tcPr>
            <w:tcW w:w="1193" w:type="dxa"/>
            <w:tcBorders>
              <w:top w:val="nil"/>
              <w:left w:val="nil"/>
              <w:bottom w:val="single" w:sz="4" w:space="0" w:color="auto"/>
              <w:right w:val="single" w:sz="4" w:space="0" w:color="auto"/>
            </w:tcBorders>
            <w:shd w:val="clear" w:color="000000" w:fill="FFFFFF"/>
            <w:vAlign w:val="bottom"/>
          </w:tcPr>
          <w:p w14:paraId="2C8E1BED" w14:textId="77777777" w:rsidR="001D4AFA" w:rsidRPr="009F2D1E" w:rsidRDefault="001D4AFA" w:rsidP="009F2D1E">
            <w:pPr>
              <w:jc w:val="right"/>
              <w:rPr>
                <w:rFonts w:ascii="Times New Roman" w:hAnsi="Times New Roman"/>
                <w:sz w:val="14"/>
                <w:szCs w:val="14"/>
              </w:rPr>
            </w:pPr>
            <w:r w:rsidRPr="009F2D1E">
              <w:rPr>
                <w:sz w:val="14"/>
                <w:szCs w:val="14"/>
              </w:rPr>
              <w:t>163,25</w:t>
            </w:r>
          </w:p>
        </w:tc>
      </w:tr>
      <w:tr w:rsidR="001D4AFA" w:rsidRPr="00364545" w14:paraId="0DDA8FD7"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25B0FA6"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192" w:type="dxa"/>
            <w:tcBorders>
              <w:top w:val="nil"/>
              <w:left w:val="nil"/>
              <w:bottom w:val="single" w:sz="4" w:space="0" w:color="auto"/>
              <w:right w:val="single" w:sz="4" w:space="0" w:color="auto"/>
            </w:tcBorders>
            <w:shd w:val="clear" w:color="000000" w:fill="FFFFFF"/>
            <w:noWrap/>
            <w:vAlign w:val="bottom"/>
            <w:hideMark/>
          </w:tcPr>
          <w:p w14:paraId="6A74345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0708A9B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7263056D"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50" w:type="dxa"/>
            <w:tcBorders>
              <w:top w:val="nil"/>
              <w:left w:val="nil"/>
              <w:bottom w:val="single" w:sz="4" w:space="0" w:color="auto"/>
              <w:right w:val="single" w:sz="4" w:space="0" w:color="auto"/>
            </w:tcBorders>
            <w:shd w:val="clear" w:color="000000" w:fill="FFFFFF"/>
            <w:noWrap/>
            <w:vAlign w:val="bottom"/>
            <w:hideMark/>
          </w:tcPr>
          <w:p w14:paraId="5BD418C9"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72C7D053"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vAlign w:val="bottom"/>
          </w:tcPr>
          <w:p w14:paraId="76900346"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1013283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bottom"/>
            <w:hideMark/>
          </w:tcPr>
          <w:p w14:paraId="14CCE4E1"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192" w:type="dxa"/>
            <w:tcBorders>
              <w:top w:val="nil"/>
              <w:left w:val="nil"/>
              <w:bottom w:val="single" w:sz="4" w:space="0" w:color="auto"/>
              <w:right w:val="single" w:sz="4" w:space="0" w:color="auto"/>
            </w:tcBorders>
            <w:shd w:val="clear" w:color="000000" w:fill="CCFFFF"/>
            <w:noWrap/>
            <w:vAlign w:val="bottom"/>
            <w:hideMark/>
          </w:tcPr>
          <w:p w14:paraId="137540F1" w14:textId="77777777" w:rsidR="001D4AFA" w:rsidRPr="009F2D1E" w:rsidRDefault="001D4AFA" w:rsidP="009F2D1E">
            <w:pPr>
              <w:jc w:val="right"/>
              <w:rPr>
                <w:rFonts w:ascii="Times New Roman" w:hAnsi="Times New Roman"/>
                <w:sz w:val="14"/>
                <w:szCs w:val="14"/>
              </w:rPr>
            </w:pPr>
            <w:r w:rsidRPr="009F2D1E">
              <w:rPr>
                <w:sz w:val="14"/>
                <w:szCs w:val="14"/>
              </w:rPr>
              <w:t>-48622,85</w:t>
            </w:r>
          </w:p>
        </w:tc>
        <w:tc>
          <w:tcPr>
            <w:tcW w:w="1193" w:type="dxa"/>
            <w:tcBorders>
              <w:top w:val="nil"/>
              <w:left w:val="nil"/>
              <w:bottom w:val="single" w:sz="4" w:space="0" w:color="auto"/>
              <w:right w:val="single" w:sz="4" w:space="0" w:color="auto"/>
            </w:tcBorders>
            <w:shd w:val="clear" w:color="000000" w:fill="CCFFFF"/>
            <w:noWrap/>
            <w:vAlign w:val="bottom"/>
            <w:hideMark/>
          </w:tcPr>
          <w:p w14:paraId="14490FAE" w14:textId="77777777" w:rsidR="001D4AFA" w:rsidRPr="009F2D1E" w:rsidRDefault="001D4AFA" w:rsidP="009F2D1E">
            <w:pPr>
              <w:jc w:val="right"/>
              <w:rPr>
                <w:rFonts w:ascii="Times New Roman" w:hAnsi="Times New Roman"/>
                <w:sz w:val="14"/>
                <w:szCs w:val="14"/>
              </w:rPr>
            </w:pPr>
            <w:r w:rsidRPr="009F2D1E">
              <w:rPr>
                <w:sz w:val="14"/>
                <w:szCs w:val="14"/>
              </w:rPr>
              <w:t>-42463,47</w:t>
            </w:r>
          </w:p>
        </w:tc>
        <w:tc>
          <w:tcPr>
            <w:tcW w:w="1164" w:type="dxa"/>
            <w:tcBorders>
              <w:top w:val="nil"/>
              <w:left w:val="nil"/>
              <w:bottom w:val="single" w:sz="4" w:space="0" w:color="auto"/>
              <w:right w:val="single" w:sz="4" w:space="0" w:color="auto"/>
            </w:tcBorders>
            <w:shd w:val="clear" w:color="000000" w:fill="CCFFFF"/>
            <w:noWrap/>
            <w:vAlign w:val="bottom"/>
            <w:hideMark/>
          </w:tcPr>
          <w:p w14:paraId="51EB4D8B" w14:textId="77777777" w:rsidR="001D4AFA" w:rsidRPr="009F2D1E" w:rsidRDefault="001D4AFA" w:rsidP="009F2D1E">
            <w:pPr>
              <w:jc w:val="right"/>
              <w:rPr>
                <w:rFonts w:ascii="Times New Roman" w:hAnsi="Times New Roman"/>
                <w:sz w:val="14"/>
                <w:szCs w:val="14"/>
              </w:rPr>
            </w:pPr>
            <w:r w:rsidRPr="009F2D1E">
              <w:rPr>
                <w:sz w:val="14"/>
                <w:szCs w:val="14"/>
              </w:rPr>
              <w:t>-38599,21</w:t>
            </w:r>
          </w:p>
        </w:tc>
        <w:tc>
          <w:tcPr>
            <w:tcW w:w="1150" w:type="dxa"/>
            <w:tcBorders>
              <w:top w:val="nil"/>
              <w:left w:val="nil"/>
              <w:bottom w:val="single" w:sz="4" w:space="0" w:color="auto"/>
              <w:right w:val="single" w:sz="4" w:space="0" w:color="auto"/>
            </w:tcBorders>
            <w:shd w:val="clear" w:color="000000" w:fill="CCFFFF"/>
            <w:noWrap/>
            <w:vAlign w:val="bottom"/>
            <w:hideMark/>
          </w:tcPr>
          <w:p w14:paraId="4B0AA456" w14:textId="77777777" w:rsidR="001D4AFA" w:rsidRPr="009F2D1E" w:rsidRDefault="001D4AFA" w:rsidP="009F2D1E">
            <w:pPr>
              <w:jc w:val="right"/>
              <w:rPr>
                <w:rFonts w:ascii="Times New Roman" w:hAnsi="Times New Roman"/>
                <w:sz w:val="14"/>
                <w:szCs w:val="14"/>
              </w:rPr>
            </w:pPr>
            <w:r w:rsidRPr="009F2D1E">
              <w:rPr>
                <w:sz w:val="14"/>
                <w:szCs w:val="14"/>
              </w:rPr>
              <w:t>-29579,94</w:t>
            </w:r>
          </w:p>
        </w:tc>
        <w:tc>
          <w:tcPr>
            <w:tcW w:w="1193" w:type="dxa"/>
            <w:tcBorders>
              <w:top w:val="nil"/>
              <w:left w:val="nil"/>
              <w:bottom w:val="single" w:sz="4" w:space="0" w:color="auto"/>
              <w:right w:val="single" w:sz="4" w:space="0" w:color="auto"/>
            </w:tcBorders>
            <w:shd w:val="clear" w:color="000000" w:fill="CCFFFF"/>
            <w:noWrap/>
            <w:vAlign w:val="bottom"/>
            <w:hideMark/>
          </w:tcPr>
          <w:p w14:paraId="724F6516" w14:textId="77777777" w:rsidR="001D4AFA" w:rsidRPr="009F2D1E" w:rsidRDefault="001D4AFA" w:rsidP="009F2D1E">
            <w:pPr>
              <w:jc w:val="right"/>
              <w:rPr>
                <w:rFonts w:ascii="Times New Roman" w:hAnsi="Times New Roman"/>
                <w:sz w:val="14"/>
                <w:szCs w:val="14"/>
              </w:rPr>
            </w:pPr>
            <w:r w:rsidRPr="009F2D1E">
              <w:rPr>
                <w:sz w:val="14"/>
                <w:szCs w:val="14"/>
              </w:rPr>
              <w:t>-20767,34</w:t>
            </w:r>
          </w:p>
        </w:tc>
        <w:tc>
          <w:tcPr>
            <w:tcW w:w="1193" w:type="dxa"/>
            <w:tcBorders>
              <w:top w:val="nil"/>
              <w:left w:val="nil"/>
              <w:bottom w:val="single" w:sz="4" w:space="0" w:color="auto"/>
              <w:right w:val="single" w:sz="4" w:space="0" w:color="auto"/>
            </w:tcBorders>
            <w:shd w:val="clear" w:color="000000" w:fill="CCFFFF"/>
            <w:vAlign w:val="bottom"/>
          </w:tcPr>
          <w:p w14:paraId="6AE5E1C5" w14:textId="77777777" w:rsidR="001D4AFA" w:rsidRPr="009F2D1E" w:rsidRDefault="001D4AFA" w:rsidP="009F2D1E">
            <w:pPr>
              <w:jc w:val="right"/>
              <w:rPr>
                <w:rFonts w:ascii="Times New Roman" w:hAnsi="Times New Roman"/>
                <w:sz w:val="14"/>
                <w:szCs w:val="14"/>
              </w:rPr>
            </w:pPr>
            <w:r w:rsidRPr="009F2D1E">
              <w:rPr>
                <w:sz w:val="14"/>
                <w:szCs w:val="14"/>
              </w:rPr>
              <w:t>-18069,39</w:t>
            </w:r>
          </w:p>
        </w:tc>
      </w:tr>
      <w:tr w:rsidR="001D4AFA" w:rsidRPr="00364545" w14:paraId="7694E2C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9FBBF1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192" w:type="dxa"/>
            <w:tcBorders>
              <w:top w:val="nil"/>
              <w:left w:val="nil"/>
              <w:bottom w:val="single" w:sz="4" w:space="0" w:color="auto"/>
              <w:right w:val="single" w:sz="4" w:space="0" w:color="auto"/>
            </w:tcBorders>
            <w:shd w:val="clear" w:color="000000" w:fill="FFFFFF"/>
            <w:noWrap/>
            <w:vAlign w:val="bottom"/>
            <w:hideMark/>
          </w:tcPr>
          <w:p w14:paraId="59DEDD20" w14:textId="77777777" w:rsidR="001D4AFA" w:rsidRPr="009F2D1E" w:rsidRDefault="001D4AFA" w:rsidP="009F2D1E">
            <w:pPr>
              <w:jc w:val="right"/>
              <w:rPr>
                <w:rFonts w:ascii="Times New Roman" w:hAnsi="Times New Roman"/>
                <w:sz w:val="14"/>
                <w:szCs w:val="14"/>
              </w:rPr>
            </w:pPr>
            <w:r w:rsidRPr="009F2D1E">
              <w:rPr>
                <w:sz w:val="14"/>
                <w:szCs w:val="14"/>
              </w:rPr>
              <w:t>-63077,92</w:t>
            </w:r>
          </w:p>
        </w:tc>
        <w:tc>
          <w:tcPr>
            <w:tcW w:w="1193" w:type="dxa"/>
            <w:tcBorders>
              <w:top w:val="nil"/>
              <w:left w:val="nil"/>
              <w:bottom w:val="single" w:sz="4" w:space="0" w:color="auto"/>
              <w:right w:val="single" w:sz="4" w:space="0" w:color="auto"/>
            </w:tcBorders>
            <w:shd w:val="clear" w:color="000000" w:fill="FFFFFF"/>
            <w:noWrap/>
            <w:vAlign w:val="bottom"/>
            <w:hideMark/>
          </w:tcPr>
          <w:p w14:paraId="55D5F38F" w14:textId="77777777" w:rsidR="001D4AFA" w:rsidRPr="009F2D1E" w:rsidRDefault="001D4AFA" w:rsidP="009F2D1E">
            <w:pPr>
              <w:jc w:val="right"/>
              <w:rPr>
                <w:rFonts w:ascii="Times New Roman" w:hAnsi="Times New Roman"/>
                <w:sz w:val="14"/>
                <w:szCs w:val="14"/>
              </w:rPr>
            </w:pPr>
            <w:r w:rsidRPr="009F2D1E">
              <w:rPr>
                <w:sz w:val="14"/>
                <w:szCs w:val="14"/>
              </w:rPr>
              <w:t>-56392,41</w:t>
            </w:r>
          </w:p>
        </w:tc>
        <w:tc>
          <w:tcPr>
            <w:tcW w:w="1164" w:type="dxa"/>
            <w:tcBorders>
              <w:top w:val="nil"/>
              <w:left w:val="nil"/>
              <w:bottom w:val="single" w:sz="4" w:space="0" w:color="auto"/>
              <w:right w:val="single" w:sz="4" w:space="0" w:color="auto"/>
            </w:tcBorders>
            <w:shd w:val="clear" w:color="000000" w:fill="FFFFFF"/>
            <w:noWrap/>
            <w:vAlign w:val="bottom"/>
            <w:hideMark/>
          </w:tcPr>
          <w:p w14:paraId="0BED941D" w14:textId="77777777" w:rsidR="001D4AFA" w:rsidRPr="009F2D1E" w:rsidRDefault="001D4AFA" w:rsidP="009F2D1E">
            <w:pPr>
              <w:jc w:val="right"/>
              <w:rPr>
                <w:rFonts w:ascii="Times New Roman" w:hAnsi="Times New Roman"/>
                <w:sz w:val="14"/>
                <w:szCs w:val="14"/>
              </w:rPr>
            </w:pPr>
            <w:r w:rsidRPr="009F2D1E">
              <w:rPr>
                <w:sz w:val="14"/>
                <w:szCs w:val="14"/>
              </w:rPr>
              <w:t>-52869,52</w:t>
            </w:r>
          </w:p>
        </w:tc>
        <w:tc>
          <w:tcPr>
            <w:tcW w:w="1150" w:type="dxa"/>
            <w:tcBorders>
              <w:top w:val="nil"/>
              <w:left w:val="nil"/>
              <w:bottom w:val="single" w:sz="4" w:space="0" w:color="auto"/>
              <w:right w:val="single" w:sz="4" w:space="0" w:color="auto"/>
            </w:tcBorders>
            <w:shd w:val="clear" w:color="000000" w:fill="FFFFFF"/>
            <w:noWrap/>
            <w:vAlign w:val="bottom"/>
            <w:hideMark/>
          </w:tcPr>
          <w:p w14:paraId="3457C3E0" w14:textId="77777777" w:rsidR="001D4AFA" w:rsidRPr="009F2D1E" w:rsidRDefault="001D4AFA" w:rsidP="009F2D1E">
            <w:pPr>
              <w:jc w:val="right"/>
              <w:rPr>
                <w:rFonts w:ascii="Times New Roman" w:hAnsi="Times New Roman"/>
                <w:sz w:val="14"/>
                <w:szCs w:val="14"/>
              </w:rPr>
            </w:pPr>
            <w:r w:rsidRPr="009F2D1E">
              <w:rPr>
                <w:sz w:val="14"/>
                <w:szCs w:val="14"/>
              </w:rPr>
              <w:t>-43 515,81</w:t>
            </w:r>
          </w:p>
        </w:tc>
        <w:tc>
          <w:tcPr>
            <w:tcW w:w="1193" w:type="dxa"/>
            <w:tcBorders>
              <w:top w:val="nil"/>
              <w:left w:val="nil"/>
              <w:bottom w:val="single" w:sz="4" w:space="0" w:color="auto"/>
              <w:right w:val="single" w:sz="4" w:space="0" w:color="auto"/>
            </w:tcBorders>
            <w:shd w:val="clear" w:color="000000" w:fill="FFFFFF"/>
            <w:noWrap/>
            <w:vAlign w:val="bottom"/>
            <w:hideMark/>
          </w:tcPr>
          <w:p w14:paraId="260229B7" w14:textId="77777777" w:rsidR="001D4AFA" w:rsidRPr="009F2D1E" w:rsidRDefault="001D4AFA" w:rsidP="009F2D1E">
            <w:pPr>
              <w:jc w:val="right"/>
              <w:rPr>
                <w:rFonts w:ascii="Times New Roman" w:hAnsi="Times New Roman"/>
                <w:sz w:val="14"/>
                <w:szCs w:val="14"/>
              </w:rPr>
            </w:pPr>
            <w:r w:rsidRPr="009F2D1E">
              <w:rPr>
                <w:sz w:val="14"/>
                <w:szCs w:val="14"/>
              </w:rPr>
              <w:t>-34 085,32</w:t>
            </w:r>
          </w:p>
        </w:tc>
        <w:tc>
          <w:tcPr>
            <w:tcW w:w="1193" w:type="dxa"/>
            <w:tcBorders>
              <w:top w:val="nil"/>
              <w:left w:val="nil"/>
              <w:bottom w:val="single" w:sz="4" w:space="0" w:color="auto"/>
              <w:right w:val="single" w:sz="4" w:space="0" w:color="auto"/>
            </w:tcBorders>
            <w:shd w:val="clear" w:color="000000" w:fill="FFFFFF"/>
            <w:vAlign w:val="bottom"/>
          </w:tcPr>
          <w:p w14:paraId="3C0713F1" w14:textId="77777777" w:rsidR="001D4AFA" w:rsidRPr="009F2D1E" w:rsidRDefault="001D4AFA" w:rsidP="009F2D1E">
            <w:pPr>
              <w:jc w:val="right"/>
              <w:rPr>
                <w:rFonts w:ascii="Times New Roman" w:hAnsi="Times New Roman"/>
                <w:sz w:val="14"/>
                <w:szCs w:val="14"/>
              </w:rPr>
            </w:pPr>
            <w:r w:rsidRPr="009F2D1E">
              <w:rPr>
                <w:sz w:val="14"/>
                <w:szCs w:val="14"/>
              </w:rPr>
              <w:t>-31 475,46</w:t>
            </w:r>
          </w:p>
        </w:tc>
      </w:tr>
      <w:tr w:rsidR="001D4AFA" w:rsidRPr="00364545" w14:paraId="2290B78B"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48CE0C5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192" w:type="dxa"/>
            <w:tcBorders>
              <w:top w:val="nil"/>
              <w:left w:val="nil"/>
              <w:bottom w:val="single" w:sz="4" w:space="0" w:color="auto"/>
              <w:right w:val="single" w:sz="4" w:space="0" w:color="auto"/>
            </w:tcBorders>
            <w:shd w:val="clear" w:color="000000" w:fill="FFFFFF"/>
            <w:noWrap/>
            <w:vAlign w:val="bottom"/>
            <w:hideMark/>
          </w:tcPr>
          <w:p w14:paraId="23BD6504" w14:textId="77777777" w:rsidR="001D4AFA" w:rsidRPr="009F2D1E" w:rsidRDefault="001D4AFA" w:rsidP="009F2D1E">
            <w:pPr>
              <w:jc w:val="right"/>
              <w:rPr>
                <w:rFonts w:ascii="Times New Roman" w:hAnsi="Times New Roman"/>
                <w:sz w:val="14"/>
                <w:szCs w:val="14"/>
              </w:rPr>
            </w:pPr>
            <w:r w:rsidRPr="009F2D1E">
              <w:rPr>
                <w:sz w:val="14"/>
                <w:szCs w:val="14"/>
              </w:rPr>
              <w:t>14185,03</w:t>
            </w:r>
          </w:p>
        </w:tc>
        <w:tc>
          <w:tcPr>
            <w:tcW w:w="1193" w:type="dxa"/>
            <w:tcBorders>
              <w:top w:val="nil"/>
              <w:left w:val="nil"/>
              <w:bottom w:val="single" w:sz="4" w:space="0" w:color="auto"/>
              <w:right w:val="single" w:sz="4" w:space="0" w:color="auto"/>
            </w:tcBorders>
            <w:shd w:val="clear" w:color="000000" w:fill="FFFFFF"/>
            <w:noWrap/>
            <w:vAlign w:val="bottom"/>
            <w:hideMark/>
          </w:tcPr>
          <w:p w14:paraId="33D90F63" w14:textId="77777777" w:rsidR="001D4AFA" w:rsidRPr="009F2D1E" w:rsidRDefault="001D4AFA" w:rsidP="009F2D1E">
            <w:pPr>
              <w:jc w:val="right"/>
              <w:rPr>
                <w:rFonts w:ascii="Times New Roman" w:hAnsi="Times New Roman"/>
                <w:sz w:val="14"/>
                <w:szCs w:val="14"/>
              </w:rPr>
            </w:pPr>
            <w:r w:rsidRPr="009F2D1E">
              <w:rPr>
                <w:sz w:val="14"/>
                <w:szCs w:val="14"/>
              </w:rPr>
              <w:t>13420,06</w:t>
            </w:r>
          </w:p>
        </w:tc>
        <w:tc>
          <w:tcPr>
            <w:tcW w:w="1164" w:type="dxa"/>
            <w:tcBorders>
              <w:top w:val="nil"/>
              <w:left w:val="nil"/>
              <w:bottom w:val="single" w:sz="4" w:space="0" w:color="auto"/>
              <w:right w:val="single" w:sz="4" w:space="0" w:color="auto"/>
            </w:tcBorders>
            <w:shd w:val="clear" w:color="000000" w:fill="FFFFFF"/>
            <w:noWrap/>
            <w:vAlign w:val="bottom"/>
            <w:hideMark/>
          </w:tcPr>
          <w:p w14:paraId="29302700" w14:textId="77777777" w:rsidR="001D4AFA" w:rsidRPr="009F2D1E" w:rsidRDefault="001D4AFA" w:rsidP="009F2D1E">
            <w:pPr>
              <w:jc w:val="right"/>
              <w:rPr>
                <w:rFonts w:ascii="Times New Roman" w:hAnsi="Times New Roman"/>
                <w:sz w:val="14"/>
                <w:szCs w:val="14"/>
              </w:rPr>
            </w:pPr>
            <w:r w:rsidRPr="009F2D1E">
              <w:rPr>
                <w:sz w:val="14"/>
                <w:szCs w:val="14"/>
              </w:rPr>
              <w:t>12942,66</w:t>
            </w:r>
          </w:p>
        </w:tc>
        <w:tc>
          <w:tcPr>
            <w:tcW w:w="1150" w:type="dxa"/>
            <w:tcBorders>
              <w:top w:val="nil"/>
              <w:left w:val="nil"/>
              <w:bottom w:val="single" w:sz="4" w:space="0" w:color="auto"/>
              <w:right w:val="single" w:sz="4" w:space="0" w:color="auto"/>
            </w:tcBorders>
            <w:shd w:val="clear" w:color="000000" w:fill="FFFFFF"/>
            <w:noWrap/>
            <w:vAlign w:val="bottom"/>
            <w:hideMark/>
          </w:tcPr>
          <w:p w14:paraId="37550344" w14:textId="77777777" w:rsidR="001D4AFA" w:rsidRPr="009F2D1E" w:rsidRDefault="001D4AFA" w:rsidP="009F2D1E">
            <w:pPr>
              <w:jc w:val="right"/>
              <w:rPr>
                <w:rFonts w:ascii="Times New Roman" w:hAnsi="Times New Roman"/>
                <w:sz w:val="14"/>
                <w:szCs w:val="14"/>
              </w:rPr>
            </w:pPr>
            <w:r w:rsidRPr="009F2D1E">
              <w:rPr>
                <w:sz w:val="14"/>
                <w:szCs w:val="14"/>
              </w:rPr>
              <w:t>12 269,60</w:t>
            </w:r>
          </w:p>
        </w:tc>
        <w:tc>
          <w:tcPr>
            <w:tcW w:w="1193" w:type="dxa"/>
            <w:tcBorders>
              <w:top w:val="nil"/>
              <w:left w:val="nil"/>
              <w:bottom w:val="single" w:sz="4" w:space="0" w:color="auto"/>
              <w:right w:val="single" w:sz="4" w:space="0" w:color="auto"/>
            </w:tcBorders>
            <w:shd w:val="clear" w:color="000000" w:fill="FFFFFF"/>
            <w:noWrap/>
            <w:vAlign w:val="bottom"/>
            <w:hideMark/>
          </w:tcPr>
          <w:p w14:paraId="536B207E" w14:textId="77777777" w:rsidR="001D4AFA" w:rsidRPr="009F2D1E" w:rsidRDefault="001D4AFA" w:rsidP="009F2D1E">
            <w:pPr>
              <w:jc w:val="right"/>
              <w:rPr>
                <w:rFonts w:ascii="Times New Roman" w:hAnsi="Times New Roman"/>
                <w:sz w:val="14"/>
                <w:szCs w:val="14"/>
              </w:rPr>
            </w:pPr>
            <w:r w:rsidRPr="009F2D1E">
              <w:rPr>
                <w:sz w:val="14"/>
                <w:szCs w:val="14"/>
              </w:rPr>
              <w:t>11 765,80</w:t>
            </w:r>
          </w:p>
        </w:tc>
        <w:tc>
          <w:tcPr>
            <w:tcW w:w="1193" w:type="dxa"/>
            <w:tcBorders>
              <w:top w:val="nil"/>
              <w:left w:val="nil"/>
              <w:bottom w:val="single" w:sz="4" w:space="0" w:color="auto"/>
              <w:right w:val="single" w:sz="4" w:space="0" w:color="auto"/>
            </w:tcBorders>
            <w:shd w:val="clear" w:color="000000" w:fill="FFFFFF"/>
            <w:vAlign w:val="bottom"/>
          </w:tcPr>
          <w:p w14:paraId="4FCA64FA" w14:textId="77777777" w:rsidR="001D4AFA" w:rsidRPr="009F2D1E" w:rsidRDefault="001D4AFA" w:rsidP="009F2D1E">
            <w:pPr>
              <w:jc w:val="right"/>
              <w:rPr>
                <w:rFonts w:ascii="Times New Roman" w:hAnsi="Times New Roman"/>
                <w:sz w:val="14"/>
                <w:szCs w:val="14"/>
              </w:rPr>
            </w:pPr>
            <w:r w:rsidRPr="009F2D1E">
              <w:rPr>
                <w:sz w:val="14"/>
                <w:szCs w:val="14"/>
              </w:rPr>
              <w:t>11 484,82</w:t>
            </w:r>
          </w:p>
        </w:tc>
      </w:tr>
      <w:tr w:rsidR="001D4AFA" w:rsidRPr="00364545" w14:paraId="67241FC3"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4DE187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192" w:type="dxa"/>
            <w:tcBorders>
              <w:top w:val="nil"/>
              <w:left w:val="nil"/>
              <w:bottom w:val="single" w:sz="4" w:space="0" w:color="auto"/>
              <w:right w:val="single" w:sz="4" w:space="0" w:color="auto"/>
            </w:tcBorders>
            <w:shd w:val="clear" w:color="000000" w:fill="FFFFFF"/>
            <w:noWrap/>
            <w:vAlign w:val="bottom"/>
            <w:hideMark/>
          </w:tcPr>
          <w:p w14:paraId="775DD702" w14:textId="77777777" w:rsidR="001D4AFA" w:rsidRPr="009F2D1E" w:rsidRDefault="001D4AFA" w:rsidP="009F2D1E">
            <w:pPr>
              <w:jc w:val="right"/>
              <w:rPr>
                <w:rFonts w:ascii="Times New Roman" w:hAnsi="Times New Roman"/>
                <w:sz w:val="14"/>
                <w:szCs w:val="14"/>
              </w:rPr>
            </w:pPr>
            <w:r w:rsidRPr="009F2D1E">
              <w:rPr>
                <w:sz w:val="14"/>
                <w:szCs w:val="14"/>
              </w:rPr>
              <w:t>-9911,51</w:t>
            </w:r>
          </w:p>
        </w:tc>
        <w:tc>
          <w:tcPr>
            <w:tcW w:w="1193" w:type="dxa"/>
            <w:tcBorders>
              <w:top w:val="nil"/>
              <w:left w:val="nil"/>
              <w:bottom w:val="single" w:sz="4" w:space="0" w:color="auto"/>
              <w:right w:val="single" w:sz="4" w:space="0" w:color="auto"/>
            </w:tcBorders>
            <w:shd w:val="clear" w:color="000000" w:fill="FFFFFF"/>
            <w:noWrap/>
            <w:vAlign w:val="bottom"/>
            <w:hideMark/>
          </w:tcPr>
          <w:p w14:paraId="660E6DFF" w14:textId="77777777" w:rsidR="001D4AFA" w:rsidRPr="009F2D1E" w:rsidRDefault="001D4AFA" w:rsidP="009F2D1E">
            <w:pPr>
              <w:jc w:val="right"/>
              <w:rPr>
                <w:rFonts w:ascii="Times New Roman" w:hAnsi="Times New Roman"/>
                <w:sz w:val="14"/>
                <w:szCs w:val="14"/>
              </w:rPr>
            </w:pPr>
            <w:r w:rsidRPr="009F2D1E">
              <w:rPr>
                <w:sz w:val="14"/>
                <w:szCs w:val="14"/>
              </w:rPr>
              <w:t>-9489,24</w:t>
            </w:r>
          </w:p>
        </w:tc>
        <w:tc>
          <w:tcPr>
            <w:tcW w:w="1164" w:type="dxa"/>
            <w:tcBorders>
              <w:top w:val="nil"/>
              <w:left w:val="nil"/>
              <w:bottom w:val="single" w:sz="4" w:space="0" w:color="auto"/>
              <w:right w:val="single" w:sz="4" w:space="0" w:color="auto"/>
            </w:tcBorders>
            <w:shd w:val="clear" w:color="000000" w:fill="FFFFFF"/>
            <w:noWrap/>
            <w:vAlign w:val="bottom"/>
            <w:hideMark/>
          </w:tcPr>
          <w:p w14:paraId="529EBCA8" w14:textId="77777777" w:rsidR="001D4AFA" w:rsidRPr="009F2D1E" w:rsidRDefault="001D4AFA" w:rsidP="009F2D1E">
            <w:pPr>
              <w:jc w:val="right"/>
              <w:rPr>
                <w:rFonts w:ascii="Times New Roman" w:hAnsi="Times New Roman"/>
                <w:sz w:val="14"/>
                <w:szCs w:val="14"/>
              </w:rPr>
            </w:pPr>
            <w:r w:rsidRPr="009F2D1E">
              <w:rPr>
                <w:sz w:val="14"/>
                <w:szCs w:val="14"/>
              </w:rPr>
              <w:t>-9192,91</w:t>
            </w:r>
          </w:p>
        </w:tc>
        <w:tc>
          <w:tcPr>
            <w:tcW w:w="1150" w:type="dxa"/>
            <w:tcBorders>
              <w:top w:val="nil"/>
              <w:left w:val="nil"/>
              <w:bottom w:val="single" w:sz="4" w:space="0" w:color="auto"/>
              <w:right w:val="single" w:sz="4" w:space="0" w:color="auto"/>
            </w:tcBorders>
            <w:shd w:val="clear" w:color="000000" w:fill="FFFFFF"/>
            <w:noWrap/>
            <w:vAlign w:val="bottom"/>
            <w:hideMark/>
          </w:tcPr>
          <w:p w14:paraId="2EB85DE3" w14:textId="77777777" w:rsidR="001D4AFA" w:rsidRPr="009F2D1E" w:rsidRDefault="001D4AFA" w:rsidP="009F2D1E">
            <w:pPr>
              <w:jc w:val="right"/>
              <w:rPr>
                <w:rFonts w:ascii="Times New Roman" w:hAnsi="Times New Roman"/>
                <w:sz w:val="14"/>
                <w:szCs w:val="14"/>
              </w:rPr>
            </w:pPr>
            <w:r w:rsidRPr="009F2D1E">
              <w:rPr>
                <w:sz w:val="14"/>
                <w:szCs w:val="14"/>
              </w:rPr>
              <w:t>-8 961,85</w:t>
            </w:r>
          </w:p>
        </w:tc>
        <w:tc>
          <w:tcPr>
            <w:tcW w:w="1193" w:type="dxa"/>
            <w:tcBorders>
              <w:top w:val="nil"/>
              <w:left w:val="nil"/>
              <w:bottom w:val="single" w:sz="4" w:space="0" w:color="auto"/>
              <w:right w:val="single" w:sz="4" w:space="0" w:color="auto"/>
            </w:tcBorders>
            <w:shd w:val="clear" w:color="000000" w:fill="FFFFFF"/>
            <w:noWrap/>
            <w:vAlign w:val="bottom"/>
            <w:hideMark/>
          </w:tcPr>
          <w:p w14:paraId="71F693AC" w14:textId="77777777" w:rsidR="001D4AFA" w:rsidRPr="009F2D1E" w:rsidRDefault="001D4AFA" w:rsidP="009F2D1E">
            <w:pPr>
              <w:jc w:val="right"/>
              <w:rPr>
                <w:rFonts w:ascii="Times New Roman" w:hAnsi="Times New Roman"/>
                <w:sz w:val="14"/>
                <w:szCs w:val="14"/>
              </w:rPr>
            </w:pPr>
            <w:r w:rsidRPr="009F2D1E">
              <w:rPr>
                <w:sz w:val="14"/>
                <w:szCs w:val="14"/>
              </w:rPr>
              <w:t>-8 773,74</w:t>
            </w:r>
          </w:p>
        </w:tc>
        <w:tc>
          <w:tcPr>
            <w:tcW w:w="1193" w:type="dxa"/>
            <w:tcBorders>
              <w:top w:val="nil"/>
              <w:left w:val="nil"/>
              <w:bottom w:val="single" w:sz="4" w:space="0" w:color="auto"/>
              <w:right w:val="single" w:sz="4" w:space="0" w:color="auto"/>
            </w:tcBorders>
            <w:shd w:val="clear" w:color="000000" w:fill="FFFFFF"/>
            <w:vAlign w:val="bottom"/>
          </w:tcPr>
          <w:p w14:paraId="1B8C0EE5" w14:textId="77777777" w:rsidR="001D4AFA" w:rsidRPr="009F2D1E" w:rsidRDefault="001D4AFA" w:rsidP="009F2D1E">
            <w:pPr>
              <w:jc w:val="right"/>
              <w:rPr>
                <w:rFonts w:ascii="Times New Roman" w:hAnsi="Times New Roman"/>
                <w:sz w:val="14"/>
                <w:szCs w:val="14"/>
              </w:rPr>
            </w:pPr>
            <w:r w:rsidRPr="009F2D1E">
              <w:rPr>
                <w:sz w:val="14"/>
                <w:szCs w:val="14"/>
              </w:rPr>
              <w:t>-8 571,13</w:t>
            </w:r>
          </w:p>
        </w:tc>
      </w:tr>
      <w:tr w:rsidR="001D4AFA" w:rsidRPr="00364545" w14:paraId="7702460E"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FE35AF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192" w:type="dxa"/>
            <w:tcBorders>
              <w:top w:val="nil"/>
              <w:left w:val="nil"/>
              <w:bottom w:val="single" w:sz="4" w:space="0" w:color="auto"/>
              <w:right w:val="single" w:sz="4" w:space="0" w:color="auto"/>
            </w:tcBorders>
            <w:shd w:val="clear" w:color="000000" w:fill="FFFFFF"/>
            <w:noWrap/>
            <w:vAlign w:val="bottom"/>
            <w:hideMark/>
          </w:tcPr>
          <w:p w14:paraId="0026DCB4" w14:textId="77777777" w:rsidR="001D4AFA" w:rsidRPr="009F2D1E" w:rsidRDefault="001D4AFA" w:rsidP="009F2D1E">
            <w:pPr>
              <w:jc w:val="right"/>
              <w:rPr>
                <w:rFonts w:ascii="Times New Roman" w:hAnsi="Times New Roman"/>
                <w:sz w:val="14"/>
                <w:szCs w:val="14"/>
              </w:rPr>
            </w:pPr>
            <w:r w:rsidRPr="009F2D1E">
              <w:rPr>
                <w:sz w:val="14"/>
                <w:szCs w:val="14"/>
              </w:rPr>
              <w:t>511,65</w:t>
            </w:r>
          </w:p>
        </w:tc>
        <w:tc>
          <w:tcPr>
            <w:tcW w:w="1193" w:type="dxa"/>
            <w:tcBorders>
              <w:top w:val="nil"/>
              <w:left w:val="nil"/>
              <w:bottom w:val="single" w:sz="4" w:space="0" w:color="auto"/>
              <w:right w:val="single" w:sz="4" w:space="0" w:color="auto"/>
            </w:tcBorders>
            <w:shd w:val="clear" w:color="000000" w:fill="FFFFFF"/>
            <w:noWrap/>
            <w:vAlign w:val="bottom"/>
            <w:hideMark/>
          </w:tcPr>
          <w:p w14:paraId="6DEDA6CD" w14:textId="77777777" w:rsidR="001D4AFA" w:rsidRPr="009F2D1E" w:rsidRDefault="001D4AFA" w:rsidP="009F2D1E">
            <w:pPr>
              <w:jc w:val="right"/>
              <w:rPr>
                <w:rFonts w:ascii="Times New Roman" w:hAnsi="Times New Roman"/>
                <w:sz w:val="14"/>
                <w:szCs w:val="14"/>
              </w:rPr>
            </w:pPr>
            <w:r w:rsidRPr="009F2D1E">
              <w:rPr>
                <w:sz w:val="14"/>
                <w:szCs w:val="14"/>
              </w:rPr>
              <w:t>511,44</w:t>
            </w:r>
          </w:p>
        </w:tc>
        <w:tc>
          <w:tcPr>
            <w:tcW w:w="1164" w:type="dxa"/>
            <w:tcBorders>
              <w:top w:val="nil"/>
              <w:left w:val="nil"/>
              <w:bottom w:val="single" w:sz="4" w:space="0" w:color="auto"/>
              <w:right w:val="single" w:sz="4" w:space="0" w:color="auto"/>
            </w:tcBorders>
            <w:shd w:val="clear" w:color="000000" w:fill="FFFFFF"/>
            <w:noWrap/>
            <w:vAlign w:val="bottom"/>
            <w:hideMark/>
          </w:tcPr>
          <w:p w14:paraId="5124F644" w14:textId="77777777" w:rsidR="001D4AFA" w:rsidRPr="009F2D1E" w:rsidRDefault="001D4AFA" w:rsidP="009F2D1E">
            <w:pPr>
              <w:jc w:val="right"/>
              <w:rPr>
                <w:rFonts w:ascii="Times New Roman" w:hAnsi="Times New Roman"/>
                <w:sz w:val="14"/>
                <w:szCs w:val="14"/>
              </w:rPr>
            </w:pPr>
            <w:r w:rsidRPr="009F2D1E">
              <w:rPr>
                <w:sz w:val="14"/>
                <w:szCs w:val="14"/>
              </w:rPr>
              <w:t>511,24</w:t>
            </w:r>
          </w:p>
        </w:tc>
        <w:tc>
          <w:tcPr>
            <w:tcW w:w="1150" w:type="dxa"/>
            <w:tcBorders>
              <w:top w:val="nil"/>
              <w:left w:val="nil"/>
              <w:bottom w:val="single" w:sz="4" w:space="0" w:color="auto"/>
              <w:right w:val="single" w:sz="4" w:space="0" w:color="auto"/>
            </w:tcBorders>
            <w:shd w:val="clear" w:color="000000" w:fill="FFFFFF"/>
            <w:noWrap/>
            <w:vAlign w:val="bottom"/>
            <w:hideMark/>
          </w:tcPr>
          <w:p w14:paraId="1208773B" w14:textId="77777777" w:rsidR="001D4AFA" w:rsidRPr="009F2D1E" w:rsidRDefault="001D4AFA" w:rsidP="009F2D1E">
            <w:pPr>
              <w:jc w:val="right"/>
              <w:rPr>
                <w:rFonts w:ascii="Times New Roman" w:hAnsi="Times New Roman"/>
                <w:sz w:val="14"/>
                <w:szCs w:val="14"/>
              </w:rPr>
            </w:pPr>
            <w:r w:rsidRPr="009F2D1E">
              <w:rPr>
                <w:sz w:val="14"/>
                <w:szCs w:val="14"/>
              </w:rPr>
              <w:t>495,50</w:t>
            </w:r>
          </w:p>
        </w:tc>
        <w:tc>
          <w:tcPr>
            <w:tcW w:w="1193" w:type="dxa"/>
            <w:tcBorders>
              <w:top w:val="nil"/>
              <w:left w:val="nil"/>
              <w:bottom w:val="single" w:sz="4" w:space="0" w:color="auto"/>
              <w:right w:val="single" w:sz="4" w:space="0" w:color="auto"/>
            </w:tcBorders>
            <w:shd w:val="clear" w:color="000000" w:fill="FFFFFF"/>
            <w:noWrap/>
            <w:vAlign w:val="bottom"/>
            <w:hideMark/>
          </w:tcPr>
          <w:p w14:paraId="69D2D4D1" w14:textId="77777777" w:rsidR="001D4AFA" w:rsidRPr="009F2D1E" w:rsidRDefault="001D4AFA" w:rsidP="009F2D1E">
            <w:pPr>
              <w:jc w:val="right"/>
              <w:rPr>
                <w:rFonts w:ascii="Times New Roman" w:hAnsi="Times New Roman"/>
                <w:sz w:val="14"/>
                <w:szCs w:val="14"/>
              </w:rPr>
            </w:pPr>
            <w:r w:rsidRPr="009F2D1E">
              <w:rPr>
                <w:sz w:val="14"/>
                <w:szCs w:val="14"/>
              </w:rPr>
              <w:t>495,32</w:t>
            </w:r>
          </w:p>
        </w:tc>
        <w:tc>
          <w:tcPr>
            <w:tcW w:w="1193" w:type="dxa"/>
            <w:tcBorders>
              <w:top w:val="nil"/>
              <w:left w:val="nil"/>
              <w:bottom w:val="single" w:sz="4" w:space="0" w:color="auto"/>
              <w:right w:val="single" w:sz="4" w:space="0" w:color="auto"/>
            </w:tcBorders>
            <w:shd w:val="clear" w:color="000000" w:fill="FFFFFF"/>
            <w:vAlign w:val="bottom"/>
          </w:tcPr>
          <w:p w14:paraId="583B5394" w14:textId="77777777" w:rsidR="001D4AFA" w:rsidRPr="009F2D1E" w:rsidRDefault="001D4AFA" w:rsidP="009F2D1E">
            <w:pPr>
              <w:jc w:val="right"/>
              <w:rPr>
                <w:rFonts w:ascii="Times New Roman" w:hAnsi="Times New Roman"/>
                <w:sz w:val="14"/>
                <w:szCs w:val="14"/>
              </w:rPr>
            </w:pPr>
            <w:r w:rsidRPr="009F2D1E">
              <w:rPr>
                <w:sz w:val="14"/>
                <w:szCs w:val="14"/>
              </w:rPr>
              <w:t>495,15</w:t>
            </w:r>
          </w:p>
        </w:tc>
      </w:tr>
      <w:tr w:rsidR="001D4AFA" w:rsidRPr="00364545" w14:paraId="5B4992C7"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D46798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192" w:type="dxa"/>
            <w:tcBorders>
              <w:top w:val="nil"/>
              <w:left w:val="nil"/>
              <w:bottom w:val="single" w:sz="4" w:space="0" w:color="auto"/>
              <w:right w:val="single" w:sz="4" w:space="0" w:color="auto"/>
            </w:tcBorders>
            <w:shd w:val="clear" w:color="000000" w:fill="FFFFFF"/>
            <w:noWrap/>
            <w:vAlign w:val="bottom"/>
            <w:hideMark/>
          </w:tcPr>
          <w:p w14:paraId="03B00B6E" w14:textId="77777777" w:rsidR="001D4AFA" w:rsidRPr="009F2D1E" w:rsidRDefault="001D4AFA" w:rsidP="009F2D1E">
            <w:pPr>
              <w:jc w:val="right"/>
              <w:rPr>
                <w:rFonts w:ascii="Times New Roman" w:hAnsi="Times New Roman"/>
                <w:sz w:val="14"/>
                <w:szCs w:val="14"/>
              </w:rPr>
            </w:pPr>
            <w:r w:rsidRPr="009F2D1E">
              <w:rPr>
                <w:sz w:val="14"/>
                <w:szCs w:val="14"/>
              </w:rPr>
              <w:t>11357,57</w:t>
            </w:r>
          </w:p>
        </w:tc>
        <w:tc>
          <w:tcPr>
            <w:tcW w:w="1193" w:type="dxa"/>
            <w:tcBorders>
              <w:top w:val="nil"/>
              <w:left w:val="nil"/>
              <w:bottom w:val="single" w:sz="4" w:space="0" w:color="auto"/>
              <w:right w:val="single" w:sz="4" w:space="0" w:color="auto"/>
            </w:tcBorders>
            <w:shd w:val="clear" w:color="000000" w:fill="FFFFFF"/>
            <w:noWrap/>
            <w:vAlign w:val="bottom"/>
            <w:hideMark/>
          </w:tcPr>
          <w:p w14:paraId="13B32BF8" w14:textId="77777777" w:rsidR="001D4AFA" w:rsidRPr="009F2D1E" w:rsidRDefault="001D4AFA" w:rsidP="009F2D1E">
            <w:pPr>
              <w:jc w:val="right"/>
              <w:rPr>
                <w:rFonts w:ascii="Times New Roman" w:hAnsi="Times New Roman"/>
                <w:sz w:val="14"/>
                <w:szCs w:val="14"/>
              </w:rPr>
            </w:pPr>
            <w:r w:rsidRPr="009F2D1E">
              <w:rPr>
                <w:sz w:val="14"/>
                <w:szCs w:val="14"/>
              </w:rPr>
              <w:t>11168,48</w:t>
            </w:r>
          </w:p>
        </w:tc>
        <w:tc>
          <w:tcPr>
            <w:tcW w:w="1164" w:type="dxa"/>
            <w:tcBorders>
              <w:top w:val="nil"/>
              <w:left w:val="nil"/>
              <w:bottom w:val="single" w:sz="4" w:space="0" w:color="auto"/>
              <w:right w:val="single" w:sz="4" w:space="0" w:color="auto"/>
            </w:tcBorders>
            <w:shd w:val="clear" w:color="000000" w:fill="FFFFFF"/>
            <w:noWrap/>
            <w:vAlign w:val="bottom"/>
            <w:hideMark/>
          </w:tcPr>
          <w:p w14:paraId="5BAA74A0" w14:textId="77777777" w:rsidR="001D4AFA" w:rsidRPr="009F2D1E" w:rsidRDefault="001D4AFA" w:rsidP="009F2D1E">
            <w:pPr>
              <w:jc w:val="right"/>
              <w:rPr>
                <w:rFonts w:ascii="Times New Roman" w:hAnsi="Times New Roman"/>
                <w:sz w:val="14"/>
                <w:szCs w:val="14"/>
              </w:rPr>
            </w:pPr>
            <w:r w:rsidRPr="009F2D1E">
              <w:rPr>
                <w:sz w:val="14"/>
                <w:szCs w:val="14"/>
              </w:rPr>
              <w:t>11089,29</w:t>
            </w:r>
          </w:p>
        </w:tc>
        <w:tc>
          <w:tcPr>
            <w:tcW w:w="1150" w:type="dxa"/>
            <w:tcBorders>
              <w:top w:val="nil"/>
              <w:left w:val="nil"/>
              <w:bottom w:val="single" w:sz="4" w:space="0" w:color="auto"/>
              <w:right w:val="single" w:sz="4" w:space="0" w:color="auto"/>
            </w:tcBorders>
            <w:shd w:val="clear" w:color="000000" w:fill="FFFFFF"/>
            <w:noWrap/>
            <w:vAlign w:val="bottom"/>
            <w:hideMark/>
          </w:tcPr>
          <w:p w14:paraId="35490C6C" w14:textId="77777777" w:rsidR="001D4AFA" w:rsidRPr="009F2D1E" w:rsidRDefault="001D4AFA" w:rsidP="009F2D1E">
            <w:pPr>
              <w:jc w:val="right"/>
              <w:rPr>
                <w:rFonts w:ascii="Times New Roman" w:hAnsi="Times New Roman"/>
                <w:sz w:val="14"/>
                <w:szCs w:val="14"/>
              </w:rPr>
            </w:pPr>
            <w:r w:rsidRPr="009F2D1E">
              <w:rPr>
                <w:sz w:val="14"/>
                <w:szCs w:val="14"/>
              </w:rPr>
              <w:t>10 946,69</w:t>
            </w:r>
          </w:p>
        </w:tc>
        <w:tc>
          <w:tcPr>
            <w:tcW w:w="1193" w:type="dxa"/>
            <w:tcBorders>
              <w:top w:val="nil"/>
              <w:left w:val="nil"/>
              <w:bottom w:val="single" w:sz="4" w:space="0" w:color="auto"/>
              <w:right w:val="single" w:sz="4" w:space="0" w:color="auto"/>
            </w:tcBorders>
            <w:shd w:val="clear" w:color="000000" w:fill="FFFFFF"/>
            <w:noWrap/>
            <w:vAlign w:val="bottom"/>
            <w:hideMark/>
          </w:tcPr>
          <w:p w14:paraId="4E6E4D19" w14:textId="77777777" w:rsidR="001D4AFA" w:rsidRPr="009F2D1E" w:rsidRDefault="001D4AFA" w:rsidP="009F2D1E">
            <w:pPr>
              <w:jc w:val="right"/>
              <w:rPr>
                <w:rFonts w:ascii="Times New Roman" w:hAnsi="Times New Roman"/>
                <w:sz w:val="14"/>
                <w:szCs w:val="14"/>
              </w:rPr>
            </w:pPr>
            <w:r w:rsidRPr="009F2D1E">
              <w:rPr>
                <w:sz w:val="14"/>
                <w:szCs w:val="14"/>
              </w:rPr>
              <w:t>10 878,47</w:t>
            </w:r>
          </w:p>
        </w:tc>
        <w:tc>
          <w:tcPr>
            <w:tcW w:w="1193" w:type="dxa"/>
            <w:tcBorders>
              <w:top w:val="nil"/>
              <w:left w:val="nil"/>
              <w:bottom w:val="single" w:sz="4" w:space="0" w:color="auto"/>
              <w:right w:val="single" w:sz="4" w:space="0" w:color="auto"/>
            </w:tcBorders>
            <w:shd w:val="clear" w:color="000000" w:fill="FFFFFF"/>
            <w:vAlign w:val="bottom"/>
          </w:tcPr>
          <w:p w14:paraId="789084F5" w14:textId="77777777" w:rsidR="001D4AFA" w:rsidRPr="009F2D1E" w:rsidRDefault="001D4AFA" w:rsidP="009F2D1E">
            <w:pPr>
              <w:jc w:val="right"/>
              <w:rPr>
                <w:rFonts w:ascii="Times New Roman" w:hAnsi="Times New Roman"/>
                <w:sz w:val="14"/>
                <w:szCs w:val="14"/>
              </w:rPr>
            </w:pPr>
            <w:r w:rsidRPr="009F2D1E">
              <w:rPr>
                <w:sz w:val="14"/>
                <w:szCs w:val="14"/>
              </w:rPr>
              <w:t>10 858,87</w:t>
            </w:r>
          </w:p>
        </w:tc>
      </w:tr>
      <w:tr w:rsidR="001D4AFA" w:rsidRPr="00364545" w14:paraId="69D39E98"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090CC2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192" w:type="dxa"/>
            <w:tcBorders>
              <w:top w:val="nil"/>
              <w:left w:val="nil"/>
              <w:bottom w:val="single" w:sz="4" w:space="0" w:color="auto"/>
              <w:right w:val="single" w:sz="4" w:space="0" w:color="auto"/>
            </w:tcBorders>
            <w:shd w:val="clear" w:color="000000" w:fill="FFFFFF"/>
            <w:noWrap/>
            <w:vAlign w:val="bottom"/>
            <w:hideMark/>
          </w:tcPr>
          <w:p w14:paraId="3DF5220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0026436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56F575E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21B804F2"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2BA26F5D"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11970626"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51D3878C"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6780F4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192" w:type="dxa"/>
            <w:tcBorders>
              <w:top w:val="nil"/>
              <w:left w:val="nil"/>
              <w:bottom w:val="single" w:sz="4" w:space="0" w:color="auto"/>
              <w:right w:val="single" w:sz="4" w:space="0" w:color="auto"/>
            </w:tcBorders>
            <w:shd w:val="clear" w:color="000000" w:fill="FFFFFF"/>
            <w:noWrap/>
            <w:vAlign w:val="bottom"/>
            <w:hideMark/>
          </w:tcPr>
          <w:p w14:paraId="76EFCDE4" w14:textId="77777777" w:rsidR="001D4AFA" w:rsidRPr="009F2D1E" w:rsidRDefault="001D4AFA" w:rsidP="009F2D1E">
            <w:pPr>
              <w:jc w:val="right"/>
              <w:rPr>
                <w:rFonts w:ascii="Times New Roman" w:hAnsi="Times New Roman"/>
                <w:sz w:val="14"/>
                <w:szCs w:val="14"/>
              </w:rPr>
            </w:pPr>
            <w:r w:rsidRPr="009F2D1E">
              <w:rPr>
                <w:sz w:val="14"/>
                <w:szCs w:val="14"/>
              </w:rPr>
              <w:t>-1791,43</w:t>
            </w:r>
          </w:p>
        </w:tc>
        <w:tc>
          <w:tcPr>
            <w:tcW w:w="1193" w:type="dxa"/>
            <w:tcBorders>
              <w:top w:val="nil"/>
              <w:left w:val="nil"/>
              <w:bottom w:val="single" w:sz="4" w:space="0" w:color="auto"/>
              <w:right w:val="single" w:sz="4" w:space="0" w:color="auto"/>
            </w:tcBorders>
            <w:shd w:val="clear" w:color="000000" w:fill="FFFFFF"/>
            <w:noWrap/>
            <w:vAlign w:val="bottom"/>
            <w:hideMark/>
          </w:tcPr>
          <w:p w14:paraId="68BAAA9F" w14:textId="77777777" w:rsidR="001D4AFA" w:rsidRPr="009F2D1E" w:rsidRDefault="001D4AFA" w:rsidP="009F2D1E">
            <w:pPr>
              <w:jc w:val="right"/>
              <w:rPr>
                <w:rFonts w:ascii="Times New Roman" w:hAnsi="Times New Roman"/>
                <w:sz w:val="14"/>
                <w:szCs w:val="14"/>
              </w:rPr>
            </w:pPr>
            <w:r w:rsidRPr="009F2D1E">
              <w:rPr>
                <w:sz w:val="14"/>
                <w:szCs w:val="14"/>
              </w:rPr>
              <w:t>-1772,30</w:t>
            </w:r>
          </w:p>
        </w:tc>
        <w:tc>
          <w:tcPr>
            <w:tcW w:w="1164" w:type="dxa"/>
            <w:tcBorders>
              <w:top w:val="nil"/>
              <w:left w:val="nil"/>
              <w:bottom w:val="single" w:sz="4" w:space="0" w:color="auto"/>
              <w:right w:val="single" w:sz="4" w:space="0" w:color="auto"/>
            </w:tcBorders>
            <w:shd w:val="clear" w:color="000000" w:fill="FFFFFF"/>
            <w:noWrap/>
            <w:vAlign w:val="bottom"/>
            <w:hideMark/>
          </w:tcPr>
          <w:p w14:paraId="5C308D45" w14:textId="77777777" w:rsidR="001D4AFA" w:rsidRPr="009F2D1E" w:rsidRDefault="001D4AFA" w:rsidP="009F2D1E">
            <w:pPr>
              <w:jc w:val="right"/>
              <w:rPr>
                <w:rFonts w:ascii="Times New Roman" w:hAnsi="Times New Roman"/>
                <w:sz w:val="14"/>
                <w:szCs w:val="14"/>
              </w:rPr>
            </w:pPr>
            <w:r w:rsidRPr="009F2D1E">
              <w:rPr>
                <w:sz w:val="14"/>
                <w:szCs w:val="14"/>
              </w:rPr>
              <w:t>-1158,91</w:t>
            </w:r>
          </w:p>
        </w:tc>
        <w:tc>
          <w:tcPr>
            <w:tcW w:w="1150" w:type="dxa"/>
            <w:tcBorders>
              <w:top w:val="nil"/>
              <w:left w:val="nil"/>
              <w:bottom w:val="single" w:sz="4" w:space="0" w:color="auto"/>
              <w:right w:val="single" w:sz="4" w:space="0" w:color="auto"/>
            </w:tcBorders>
            <w:shd w:val="clear" w:color="000000" w:fill="FFFFFF"/>
            <w:noWrap/>
            <w:vAlign w:val="bottom"/>
            <w:hideMark/>
          </w:tcPr>
          <w:p w14:paraId="4DA88567" w14:textId="77777777" w:rsidR="001D4AFA" w:rsidRPr="009F2D1E" w:rsidRDefault="001D4AFA" w:rsidP="009F2D1E">
            <w:pPr>
              <w:jc w:val="right"/>
              <w:rPr>
                <w:rFonts w:ascii="Times New Roman" w:hAnsi="Times New Roman"/>
                <w:sz w:val="14"/>
                <w:szCs w:val="14"/>
              </w:rPr>
            </w:pPr>
            <w:r w:rsidRPr="009F2D1E">
              <w:rPr>
                <w:sz w:val="14"/>
                <w:szCs w:val="14"/>
              </w:rPr>
              <w:t>-882,91</w:t>
            </w:r>
          </w:p>
        </w:tc>
        <w:tc>
          <w:tcPr>
            <w:tcW w:w="1193" w:type="dxa"/>
            <w:tcBorders>
              <w:top w:val="nil"/>
              <w:left w:val="nil"/>
              <w:bottom w:val="single" w:sz="4" w:space="0" w:color="auto"/>
              <w:right w:val="single" w:sz="4" w:space="0" w:color="auto"/>
            </w:tcBorders>
            <w:shd w:val="clear" w:color="000000" w:fill="FFFFFF"/>
            <w:noWrap/>
            <w:vAlign w:val="bottom"/>
            <w:hideMark/>
          </w:tcPr>
          <w:p w14:paraId="5512AB7D" w14:textId="77777777" w:rsidR="001D4AFA" w:rsidRPr="009F2D1E" w:rsidRDefault="001D4AFA" w:rsidP="009F2D1E">
            <w:pPr>
              <w:jc w:val="right"/>
              <w:rPr>
                <w:rFonts w:ascii="Times New Roman" w:hAnsi="Times New Roman"/>
                <w:sz w:val="14"/>
                <w:szCs w:val="14"/>
              </w:rPr>
            </w:pPr>
            <w:r w:rsidRPr="009F2D1E">
              <w:rPr>
                <w:sz w:val="14"/>
                <w:szCs w:val="14"/>
              </w:rPr>
              <w:t>-1 107,90</w:t>
            </w:r>
          </w:p>
        </w:tc>
        <w:tc>
          <w:tcPr>
            <w:tcW w:w="1193" w:type="dxa"/>
            <w:tcBorders>
              <w:top w:val="nil"/>
              <w:left w:val="nil"/>
              <w:bottom w:val="single" w:sz="4" w:space="0" w:color="auto"/>
              <w:right w:val="single" w:sz="4" w:space="0" w:color="auto"/>
            </w:tcBorders>
            <w:shd w:val="clear" w:color="000000" w:fill="FFFFFF"/>
            <w:vAlign w:val="bottom"/>
          </w:tcPr>
          <w:p w14:paraId="4849C9E7" w14:textId="77777777" w:rsidR="001D4AFA" w:rsidRPr="009F2D1E" w:rsidRDefault="001D4AFA" w:rsidP="009F2D1E">
            <w:pPr>
              <w:jc w:val="right"/>
              <w:rPr>
                <w:rFonts w:ascii="Times New Roman" w:hAnsi="Times New Roman"/>
                <w:sz w:val="14"/>
                <w:szCs w:val="14"/>
              </w:rPr>
            </w:pPr>
            <w:r w:rsidRPr="009F2D1E">
              <w:rPr>
                <w:sz w:val="14"/>
                <w:szCs w:val="14"/>
              </w:rPr>
              <w:t>-913,99</w:t>
            </w:r>
          </w:p>
        </w:tc>
      </w:tr>
      <w:tr w:rsidR="001D4AFA" w:rsidRPr="00364545" w14:paraId="6A4F7D85"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B03DD8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1E564B74" w14:textId="77777777" w:rsidR="001D4AFA" w:rsidRPr="009F2D1E" w:rsidRDefault="001D4AFA" w:rsidP="009F2D1E">
            <w:pPr>
              <w:jc w:val="right"/>
              <w:rPr>
                <w:rFonts w:ascii="Times New Roman" w:hAnsi="Times New Roman"/>
                <w:sz w:val="14"/>
                <w:szCs w:val="14"/>
              </w:rPr>
            </w:pPr>
            <w:r w:rsidRPr="009F2D1E">
              <w:rPr>
                <w:sz w:val="14"/>
                <w:szCs w:val="14"/>
              </w:rPr>
              <w:t>103,76</w:t>
            </w:r>
          </w:p>
        </w:tc>
        <w:tc>
          <w:tcPr>
            <w:tcW w:w="1193" w:type="dxa"/>
            <w:tcBorders>
              <w:top w:val="nil"/>
              <w:left w:val="nil"/>
              <w:bottom w:val="single" w:sz="4" w:space="0" w:color="auto"/>
              <w:right w:val="single" w:sz="4" w:space="0" w:color="auto"/>
            </w:tcBorders>
            <w:shd w:val="clear" w:color="000000" w:fill="FFFFFF"/>
            <w:noWrap/>
            <w:vAlign w:val="bottom"/>
            <w:hideMark/>
          </w:tcPr>
          <w:p w14:paraId="6F995896" w14:textId="77777777" w:rsidR="001D4AFA" w:rsidRPr="009F2D1E" w:rsidRDefault="001D4AFA" w:rsidP="009F2D1E">
            <w:pPr>
              <w:jc w:val="right"/>
              <w:rPr>
                <w:rFonts w:ascii="Times New Roman" w:hAnsi="Times New Roman"/>
                <w:sz w:val="14"/>
                <w:szCs w:val="14"/>
              </w:rPr>
            </w:pPr>
            <w:r w:rsidRPr="009F2D1E">
              <w:rPr>
                <w:sz w:val="14"/>
                <w:szCs w:val="14"/>
              </w:rPr>
              <w:t>90,49</w:t>
            </w:r>
          </w:p>
        </w:tc>
        <w:tc>
          <w:tcPr>
            <w:tcW w:w="1164" w:type="dxa"/>
            <w:tcBorders>
              <w:top w:val="nil"/>
              <w:left w:val="nil"/>
              <w:bottom w:val="single" w:sz="4" w:space="0" w:color="auto"/>
              <w:right w:val="single" w:sz="4" w:space="0" w:color="auto"/>
            </w:tcBorders>
            <w:shd w:val="clear" w:color="000000" w:fill="FFFFFF"/>
            <w:noWrap/>
            <w:vAlign w:val="bottom"/>
            <w:hideMark/>
          </w:tcPr>
          <w:p w14:paraId="68E85C37" w14:textId="77777777" w:rsidR="001D4AFA" w:rsidRPr="009F2D1E" w:rsidRDefault="001D4AFA" w:rsidP="009F2D1E">
            <w:pPr>
              <w:jc w:val="right"/>
              <w:rPr>
                <w:rFonts w:ascii="Times New Roman" w:hAnsi="Times New Roman"/>
                <w:sz w:val="14"/>
                <w:szCs w:val="14"/>
              </w:rPr>
            </w:pPr>
            <w:r w:rsidRPr="009F2D1E">
              <w:rPr>
                <w:sz w:val="14"/>
                <w:szCs w:val="14"/>
              </w:rPr>
              <w:t>78,93</w:t>
            </w:r>
          </w:p>
        </w:tc>
        <w:tc>
          <w:tcPr>
            <w:tcW w:w="1150" w:type="dxa"/>
            <w:tcBorders>
              <w:top w:val="nil"/>
              <w:left w:val="nil"/>
              <w:bottom w:val="single" w:sz="4" w:space="0" w:color="auto"/>
              <w:right w:val="single" w:sz="4" w:space="0" w:color="auto"/>
            </w:tcBorders>
            <w:shd w:val="clear" w:color="000000" w:fill="FFFFFF"/>
            <w:noWrap/>
            <w:vAlign w:val="bottom"/>
            <w:hideMark/>
          </w:tcPr>
          <w:p w14:paraId="35268F36" w14:textId="77777777" w:rsidR="001D4AFA" w:rsidRPr="009F2D1E" w:rsidRDefault="001D4AFA" w:rsidP="009F2D1E">
            <w:pPr>
              <w:jc w:val="right"/>
              <w:rPr>
                <w:rFonts w:ascii="Times New Roman" w:hAnsi="Times New Roman"/>
                <w:sz w:val="14"/>
                <w:szCs w:val="14"/>
              </w:rPr>
            </w:pPr>
            <w:r w:rsidRPr="009F2D1E">
              <w:rPr>
                <w:sz w:val="14"/>
                <w:szCs w:val="14"/>
              </w:rPr>
              <w:t>68,83</w:t>
            </w:r>
          </w:p>
        </w:tc>
        <w:tc>
          <w:tcPr>
            <w:tcW w:w="1193" w:type="dxa"/>
            <w:tcBorders>
              <w:top w:val="nil"/>
              <w:left w:val="nil"/>
              <w:bottom w:val="single" w:sz="4" w:space="0" w:color="auto"/>
              <w:right w:val="single" w:sz="4" w:space="0" w:color="auto"/>
            </w:tcBorders>
            <w:shd w:val="clear" w:color="000000" w:fill="FFFFFF"/>
            <w:noWrap/>
            <w:vAlign w:val="bottom"/>
            <w:hideMark/>
          </w:tcPr>
          <w:p w14:paraId="2350CD4E" w14:textId="77777777" w:rsidR="001D4AFA" w:rsidRPr="009F2D1E" w:rsidRDefault="001D4AFA" w:rsidP="009F2D1E">
            <w:pPr>
              <w:jc w:val="right"/>
              <w:rPr>
                <w:rFonts w:ascii="Times New Roman" w:hAnsi="Times New Roman"/>
                <w:sz w:val="14"/>
                <w:szCs w:val="14"/>
              </w:rPr>
            </w:pPr>
            <w:r w:rsidRPr="009F2D1E">
              <w:rPr>
                <w:sz w:val="14"/>
                <w:szCs w:val="14"/>
              </w:rPr>
              <w:t>60,03</w:t>
            </w:r>
          </w:p>
        </w:tc>
        <w:tc>
          <w:tcPr>
            <w:tcW w:w="1193" w:type="dxa"/>
            <w:tcBorders>
              <w:top w:val="nil"/>
              <w:left w:val="nil"/>
              <w:bottom w:val="single" w:sz="4" w:space="0" w:color="auto"/>
              <w:right w:val="single" w:sz="4" w:space="0" w:color="auto"/>
            </w:tcBorders>
            <w:shd w:val="clear" w:color="000000" w:fill="FFFFFF"/>
            <w:vAlign w:val="bottom"/>
          </w:tcPr>
          <w:p w14:paraId="6DE0F623" w14:textId="77777777" w:rsidR="001D4AFA" w:rsidRPr="009F2D1E" w:rsidRDefault="001D4AFA" w:rsidP="009F2D1E">
            <w:pPr>
              <w:jc w:val="right"/>
              <w:rPr>
                <w:rFonts w:ascii="Times New Roman" w:hAnsi="Times New Roman"/>
                <w:sz w:val="14"/>
                <w:szCs w:val="14"/>
              </w:rPr>
            </w:pPr>
            <w:r w:rsidRPr="009F2D1E">
              <w:rPr>
                <w:sz w:val="14"/>
                <w:szCs w:val="14"/>
              </w:rPr>
              <w:t>52,36</w:t>
            </w:r>
          </w:p>
        </w:tc>
      </w:tr>
      <w:tr w:rsidR="001D4AFA" w:rsidRPr="00364545" w14:paraId="19299EEE"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68F4B3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5. Waste</w:t>
            </w:r>
          </w:p>
        </w:tc>
        <w:tc>
          <w:tcPr>
            <w:tcW w:w="1192" w:type="dxa"/>
            <w:tcBorders>
              <w:top w:val="nil"/>
              <w:left w:val="nil"/>
              <w:bottom w:val="single" w:sz="4" w:space="0" w:color="auto"/>
              <w:right w:val="single" w:sz="4" w:space="0" w:color="auto"/>
            </w:tcBorders>
            <w:shd w:val="clear" w:color="000000" w:fill="CCFFFF"/>
            <w:noWrap/>
            <w:vAlign w:val="bottom"/>
            <w:hideMark/>
          </w:tcPr>
          <w:p w14:paraId="4245F033" w14:textId="77777777" w:rsidR="001D4AFA" w:rsidRPr="009F2D1E" w:rsidRDefault="001D4AFA" w:rsidP="009F2D1E">
            <w:pPr>
              <w:jc w:val="right"/>
              <w:rPr>
                <w:rFonts w:ascii="Times New Roman" w:hAnsi="Times New Roman"/>
                <w:sz w:val="14"/>
                <w:szCs w:val="14"/>
              </w:rPr>
            </w:pPr>
            <w:r w:rsidRPr="009F2D1E">
              <w:rPr>
                <w:sz w:val="14"/>
                <w:szCs w:val="14"/>
              </w:rPr>
              <w:t>1544,93</w:t>
            </w:r>
          </w:p>
        </w:tc>
        <w:tc>
          <w:tcPr>
            <w:tcW w:w="1193" w:type="dxa"/>
            <w:tcBorders>
              <w:top w:val="nil"/>
              <w:left w:val="nil"/>
              <w:bottom w:val="single" w:sz="4" w:space="0" w:color="auto"/>
              <w:right w:val="single" w:sz="4" w:space="0" w:color="auto"/>
            </w:tcBorders>
            <w:shd w:val="clear" w:color="000000" w:fill="CCFFFF"/>
            <w:noWrap/>
            <w:vAlign w:val="bottom"/>
            <w:hideMark/>
          </w:tcPr>
          <w:p w14:paraId="101C9F3C" w14:textId="77777777" w:rsidR="001D4AFA" w:rsidRPr="009F2D1E" w:rsidRDefault="001D4AFA" w:rsidP="009F2D1E">
            <w:pPr>
              <w:jc w:val="right"/>
              <w:rPr>
                <w:rFonts w:ascii="Times New Roman" w:hAnsi="Times New Roman"/>
                <w:sz w:val="14"/>
                <w:szCs w:val="14"/>
              </w:rPr>
            </w:pPr>
            <w:r w:rsidRPr="009F2D1E">
              <w:rPr>
                <w:sz w:val="14"/>
                <w:szCs w:val="14"/>
              </w:rPr>
              <w:t>1794,62</w:t>
            </w:r>
          </w:p>
        </w:tc>
        <w:tc>
          <w:tcPr>
            <w:tcW w:w="1164" w:type="dxa"/>
            <w:tcBorders>
              <w:top w:val="nil"/>
              <w:left w:val="nil"/>
              <w:bottom w:val="single" w:sz="4" w:space="0" w:color="auto"/>
              <w:right w:val="single" w:sz="4" w:space="0" w:color="auto"/>
            </w:tcBorders>
            <w:shd w:val="clear" w:color="000000" w:fill="CCFFFF"/>
            <w:noWrap/>
            <w:vAlign w:val="bottom"/>
            <w:hideMark/>
          </w:tcPr>
          <w:p w14:paraId="351577F2" w14:textId="77777777" w:rsidR="001D4AFA" w:rsidRPr="009F2D1E" w:rsidRDefault="001D4AFA" w:rsidP="009F2D1E">
            <w:pPr>
              <w:jc w:val="right"/>
              <w:rPr>
                <w:rFonts w:ascii="Times New Roman" w:hAnsi="Times New Roman"/>
                <w:sz w:val="14"/>
                <w:szCs w:val="14"/>
              </w:rPr>
            </w:pPr>
            <w:r w:rsidRPr="009F2D1E">
              <w:rPr>
                <w:sz w:val="14"/>
                <w:szCs w:val="14"/>
              </w:rPr>
              <w:t>1541,84</w:t>
            </w:r>
          </w:p>
        </w:tc>
        <w:tc>
          <w:tcPr>
            <w:tcW w:w="1150" w:type="dxa"/>
            <w:tcBorders>
              <w:top w:val="nil"/>
              <w:left w:val="nil"/>
              <w:bottom w:val="single" w:sz="4" w:space="0" w:color="auto"/>
              <w:right w:val="single" w:sz="4" w:space="0" w:color="auto"/>
            </w:tcBorders>
            <w:shd w:val="clear" w:color="000000" w:fill="CCFFFF"/>
            <w:noWrap/>
            <w:vAlign w:val="bottom"/>
            <w:hideMark/>
          </w:tcPr>
          <w:p w14:paraId="13A74CC5" w14:textId="77777777" w:rsidR="001D4AFA" w:rsidRPr="009F2D1E" w:rsidRDefault="001D4AFA" w:rsidP="009F2D1E">
            <w:pPr>
              <w:jc w:val="right"/>
              <w:rPr>
                <w:rFonts w:ascii="Times New Roman" w:hAnsi="Times New Roman"/>
                <w:sz w:val="14"/>
                <w:szCs w:val="14"/>
              </w:rPr>
            </w:pPr>
            <w:r w:rsidRPr="009F2D1E">
              <w:rPr>
                <w:sz w:val="14"/>
                <w:szCs w:val="14"/>
              </w:rPr>
              <w:t>1551,69</w:t>
            </w:r>
          </w:p>
        </w:tc>
        <w:tc>
          <w:tcPr>
            <w:tcW w:w="1193" w:type="dxa"/>
            <w:tcBorders>
              <w:top w:val="nil"/>
              <w:left w:val="nil"/>
              <w:bottom w:val="single" w:sz="4" w:space="0" w:color="auto"/>
              <w:right w:val="single" w:sz="4" w:space="0" w:color="auto"/>
            </w:tcBorders>
            <w:shd w:val="clear" w:color="000000" w:fill="CCFFFF"/>
            <w:noWrap/>
            <w:vAlign w:val="bottom"/>
            <w:hideMark/>
          </w:tcPr>
          <w:p w14:paraId="1438CA7B" w14:textId="77777777" w:rsidR="001D4AFA" w:rsidRPr="009F2D1E" w:rsidRDefault="001D4AFA" w:rsidP="009F2D1E">
            <w:pPr>
              <w:jc w:val="right"/>
              <w:rPr>
                <w:rFonts w:ascii="Times New Roman" w:hAnsi="Times New Roman"/>
                <w:sz w:val="14"/>
                <w:szCs w:val="14"/>
              </w:rPr>
            </w:pPr>
            <w:r w:rsidRPr="009F2D1E">
              <w:rPr>
                <w:sz w:val="14"/>
                <w:szCs w:val="14"/>
              </w:rPr>
              <w:t>1474,84</w:t>
            </w:r>
          </w:p>
        </w:tc>
        <w:tc>
          <w:tcPr>
            <w:tcW w:w="1193" w:type="dxa"/>
            <w:tcBorders>
              <w:top w:val="nil"/>
              <w:left w:val="nil"/>
              <w:bottom w:val="single" w:sz="4" w:space="0" w:color="auto"/>
              <w:right w:val="single" w:sz="4" w:space="0" w:color="auto"/>
            </w:tcBorders>
            <w:shd w:val="clear" w:color="000000" w:fill="CCFFFF"/>
            <w:vAlign w:val="bottom"/>
          </w:tcPr>
          <w:p w14:paraId="61BC8AE7" w14:textId="77777777" w:rsidR="001D4AFA" w:rsidRPr="009F2D1E" w:rsidRDefault="001D4AFA" w:rsidP="009F2D1E">
            <w:pPr>
              <w:jc w:val="right"/>
              <w:rPr>
                <w:rFonts w:ascii="Times New Roman" w:hAnsi="Times New Roman"/>
                <w:sz w:val="14"/>
                <w:szCs w:val="14"/>
              </w:rPr>
            </w:pPr>
            <w:r w:rsidRPr="009F2D1E">
              <w:rPr>
                <w:sz w:val="14"/>
                <w:szCs w:val="14"/>
              </w:rPr>
              <w:t>1438,77</w:t>
            </w:r>
          </w:p>
        </w:tc>
      </w:tr>
      <w:tr w:rsidR="001D4AFA" w:rsidRPr="00364545" w14:paraId="5D7F072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CC2D03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08BB0AA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0A946A8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FFFFFF"/>
            <w:noWrap/>
            <w:vAlign w:val="bottom"/>
            <w:hideMark/>
          </w:tcPr>
          <w:p w14:paraId="7AC7B04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50" w:type="dxa"/>
            <w:tcBorders>
              <w:top w:val="nil"/>
              <w:left w:val="nil"/>
              <w:bottom w:val="single" w:sz="4" w:space="0" w:color="auto"/>
              <w:right w:val="single" w:sz="4" w:space="0" w:color="auto"/>
            </w:tcBorders>
            <w:shd w:val="clear" w:color="000000" w:fill="FFFFFF"/>
            <w:noWrap/>
            <w:vAlign w:val="bottom"/>
            <w:hideMark/>
          </w:tcPr>
          <w:p w14:paraId="59C2A1E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FFFFFF"/>
            <w:noWrap/>
            <w:vAlign w:val="bottom"/>
            <w:hideMark/>
          </w:tcPr>
          <w:p w14:paraId="1ACB1755"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FFFFFF"/>
            <w:vAlign w:val="bottom"/>
          </w:tcPr>
          <w:p w14:paraId="7C4AD29F"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3DAF54F6"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D4385C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192" w:type="dxa"/>
            <w:tcBorders>
              <w:top w:val="nil"/>
              <w:left w:val="nil"/>
              <w:bottom w:val="single" w:sz="4" w:space="0" w:color="auto"/>
              <w:right w:val="single" w:sz="4" w:space="0" w:color="auto"/>
            </w:tcBorders>
            <w:shd w:val="clear" w:color="000000" w:fill="FFFFFF"/>
            <w:noWrap/>
            <w:vAlign w:val="bottom"/>
            <w:hideMark/>
          </w:tcPr>
          <w:p w14:paraId="52708FE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34DF5D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20DC761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44AC4E4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214359B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2FD5F1F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631315D"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A5B33D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192" w:type="dxa"/>
            <w:tcBorders>
              <w:top w:val="nil"/>
              <w:left w:val="nil"/>
              <w:bottom w:val="single" w:sz="4" w:space="0" w:color="auto"/>
              <w:right w:val="single" w:sz="4" w:space="0" w:color="auto"/>
            </w:tcBorders>
            <w:shd w:val="clear" w:color="000000" w:fill="FFFFFF"/>
            <w:noWrap/>
            <w:vAlign w:val="bottom"/>
            <w:hideMark/>
          </w:tcPr>
          <w:p w14:paraId="67E17E99" w14:textId="77777777" w:rsidR="001D4AFA" w:rsidRPr="009F2D1E" w:rsidRDefault="001D4AFA" w:rsidP="009F2D1E">
            <w:pPr>
              <w:jc w:val="right"/>
              <w:rPr>
                <w:rFonts w:ascii="Times New Roman" w:hAnsi="Times New Roman"/>
                <w:sz w:val="14"/>
                <w:szCs w:val="14"/>
              </w:rPr>
            </w:pPr>
            <w:r w:rsidRPr="009F2D1E">
              <w:rPr>
                <w:sz w:val="14"/>
                <w:szCs w:val="14"/>
              </w:rPr>
              <w:t>1544,93</w:t>
            </w:r>
          </w:p>
        </w:tc>
        <w:tc>
          <w:tcPr>
            <w:tcW w:w="1193" w:type="dxa"/>
            <w:tcBorders>
              <w:top w:val="nil"/>
              <w:left w:val="nil"/>
              <w:bottom w:val="single" w:sz="4" w:space="0" w:color="auto"/>
              <w:right w:val="single" w:sz="4" w:space="0" w:color="auto"/>
            </w:tcBorders>
            <w:shd w:val="clear" w:color="000000" w:fill="FFFFFF"/>
            <w:noWrap/>
            <w:vAlign w:val="bottom"/>
            <w:hideMark/>
          </w:tcPr>
          <w:p w14:paraId="50C2A134" w14:textId="77777777" w:rsidR="001D4AFA" w:rsidRPr="009F2D1E" w:rsidRDefault="001D4AFA" w:rsidP="009F2D1E">
            <w:pPr>
              <w:jc w:val="right"/>
              <w:rPr>
                <w:rFonts w:ascii="Times New Roman" w:hAnsi="Times New Roman"/>
                <w:sz w:val="14"/>
                <w:szCs w:val="14"/>
              </w:rPr>
            </w:pPr>
            <w:r w:rsidRPr="009F2D1E">
              <w:rPr>
                <w:sz w:val="14"/>
                <w:szCs w:val="14"/>
              </w:rPr>
              <w:t>1794,62</w:t>
            </w:r>
          </w:p>
        </w:tc>
        <w:tc>
          <w:tcPr>
            <w:tcW w:w="1164" w:type="dxa"/>
            <w:tcBorders>
              <w:top w:val="nil"/>
              <w:left w:val="nil"/>
              <w:bottom w:val="single" w:sz="4" w:space="0" w:color="auto"/>
              <w:right w:val="single" w:sz="4" w:space="0" w:color="auto"/>
            </w:tcBorders>
            <w:shd w:val="clear" w:color="000000" w:fill="FFFFFF"/>
            <w:noWrap/>
            <w:vAlign w:val="bottom"/>
            <w:hideMark/>
          </w:tcPr>
          <w:p w14:paraId="55AF17C3" w14:textId="77777777" w:rsidR="001D4AFA" w:rsidRPr="009F2D1E" w:rsidRDefault="001D4AFA" w:rsidP="009F2D1E">
            <w:pPr>
              <w:jc w:val="right"/>
              <w:rPr>
                <w:rFonts w:ascii="Times New Roman" w:hAnsi="Times New Roman"/>
                <w:sz w:val="14"/>
                <w:szCs w:val="14"/>
              </w:rPr>
            </w:pPr>
            <w:r w:rsidRPr="009F2D1E">
              <w:rPr>
                <w:sz w:val="14"/>
                <w:szCs w:val="14"/>
              </w:rPr>
              <w:t>1541,84</w:t>
            </w:r>
          </w:p>
        </w:tc>
        <w:tc>
          <w:tcPr>
            <w:tcW w:w="1150" w:type="dxa"/>
            <w:tcBorders>
              <w:top w:val="nil"/>
              <w:left w:val="nil"/>
              <w:bottom w:val="single" w:sz="4" w:space="0" w:color="auto"/>
              <w:right w:val="single" w:sz="4" w:space="0" w:color="auto"/>
            </w:tcBorders>
            <w:shd w:val="clear" w:color="000000" w:fill="FFFFFF"/>
            <w:noWrap/>
            <w:vAlign w:val="bottom"/>
            <w:hideMark/>
          </w:tcPr>
          <w:p w14:paraId="392F85CE" w14:textId="77777777" w:rsidR="001D4AFA" w:rsidRPr="009F2D1E" w:rsidRDefault="001D4AFA" w:rsidP="009F2D1E">
            <w:pPr>
              <w:jc w:val="right"/>
              <w:rPr>
                <w:rFonts w:ascii="Times New Roman" w:hAnsi="Times New Roman"/>
                <w:sz w:val="14"/>
                <w:szCs w:val="14"/>
              </w:rPr>
            </w:pPr>
            <w:r w:rsidRPr="009F2D1E">
              <w:rPr>
                <w:sz w:val="14"/>
                <w:szCs w:val="14"/>
              </w:rPr>
              <w:t>1 551,69</w:t>
            </w:r>
          </w:p>
        </w:tc>
        <w:tc>
          <w:tcPr>
            <w:tcW w:w="1193" w:type="dxa"/>
            <w:tcBorders>
              <w:top w:val="nil"/>
              <w:left w:val="nil"/>
              <w:bottom w:val="single" w:sz="4" w:space="0" w:color="auto"/>
              <w:right w:val="single" w:sz="4" w:space="0" w:color="auto"/>
            </w:tcBorders>
            <w:shd w:val="clear" w:color="000000" w:fill="FFFFFF"/>
            <w:noWrap/>
            <w:vAlign w:val="bottom"/>
            <w:hideMark/>
          </w:tcPr>
          <w:p w14:paraId="6F2D143D" w14:textId="77777777" w:rsidR="001D4AFA" w:rsidRPr="009F2D1E" w:rsidRDefault="001D4AFA" w:rsidP="009F2D1E">
            <w:pPr>
              <w:jc w:val="right"/>
              <w:rPr>
                <w:rFonts w:ascii="Times New Roman" w:hAnsi="Times New Roman"/>
                <w:sz w:val="14"/>
                <w:szCs w:val="14"/>
              </w:rPr>
            </w:pPr>
            <w:r w:rsidRPr="009F2D1E">
              <w:rPr>
                <w:sz w:val="14"/>
                <w:szCs w:val="14"/>
              </w:rPr>
              <w:t>1 474,84</w:t>
            </w:r>
          </w:p>
        </w:tc>
        <w:tc>
          <w:tcPr>
            <w:tcW w:w="1193" w:type="dxa"/>
            <w:tcBorders>
              <w:top w:val="nil"/>
              <w:left w:val="nil"/>
              <w:bottom w:val="single" w:sz="4" w:space="0" w:color="auto"/>
              <w:right w:val="single" w:sz="4" w:space="0" w:color="auto"/>
            </w:tcBorders>
            <w:shd w:val="clear" w:color="000000" w:fill="FFFFFF"/>
            <w:vAlign w:val="bottom"/>
          </w:tcPr>
          <w:p w14:paraId="2F6E5149" w14:textId="77777777" w:rsidR="001D4AFA" w:rsidRPr="009F2D1E" w:rsidRDefault="001D4AFA" w:rsidP="009F2D1E">
            <w:pPr>
              <w:jc w:val="right"/>
              <w:rPr>
                <w:rFonts w:ascii="Times New Roman" w:hAnsi="Times New Roman"/>
                <w:sz w:val="14"/>
                <w:szCs w:val="14"/>
              </w:rPr>
            </w:pPr>
            <w:r w:rsidRPr="009F2D1E">
              <w:rPr>
                <w:sz w:val="14"/>
                <w:szCs w:val="14"/>
              </w:rPr>
              <w:t>1 438,77</w:t>
            </w:r>
          </w:p>
        </w:tc>
      </w:tr>
      <w:tr w:rsidR="001D4AFA" w:rsidRPr="00364545" w14:paraId="4FA86575"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83FA07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192" w:type="dxa"/>
            <w:tcBorders>
              <w:top w:val="nil"/>
              <w:left w:val="nil"/>
              <w:bottom w:val="single" w:sz="4" w:space="0" w:color="auto"/>
              <w:right w:val="single" w:sz="4" w:space="0" w:color="auto"/>
            </w:tcBorders>
            <w:shd w:val="clear" w:color="000000" w:fill="FFFFFF"/>
            <w:noWrap/>
            <w:vAlign w:val="bottom"/>
            <w:hideMark/>
          </w:tcPr>
          <w:p w14:paraId="5BFAD8D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415E202D"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5305374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0A26DCA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0FEC23E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7129121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998A450"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A4916A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192" w:type="dxa"/>
            <w:tcBorders>
              <w:top w:val="nil"/>
              <w:left w:val="nil"/>
              <w:bottom w:val="single" w:sz="4" w:space="0" w:color="auto"/>
              <w:right w:val="single" w:sz="4" w:space="0" w:color="auto"/>
            </w:tcBorders>
            <w:shd w:val="clear" w:color="000000" w:fill="FFFFFF"/>
            <w:noWrap/>
            <w:vAlign w:val="bottom"/>
            <w:hideMark/>
          </w:tcPr>
          <w:p w14:paraId="30F662F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773EE827"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FFFFFF"/>
            <w:noWrap/>
            <w:vAlign w:val="bottom"/>
            <w:hideMark/>
          </w:tcPr>
          <w:p w14:paraId="435D253E"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50" w:type="dxa"/>
            <w:tcBorders>
              <w:top w:val="nil"/>
              <w:left w:val="nil"/>
              <w:bottom w:val="single" w:sz="4" w:space="0" w:color="auto"/>
              <w:right w:val="single" w:sz="4" w:space="0" w:color="auto"/>
            </w:tcBorders>
            <w:shd w:val="clear" w:color="000000" w:fill="FFFFFF"/>
            <w:noWrap/>
            <w:vAlign w:val="bottom"/>
            <w:hideMark/>
          </w:tcPr>
          <w:p w14:paraId="676A85C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noWrap/>
            <w:vAlign w:val="bottom"/>
            <w:hideMark/>
          </w:tcPr>
          <w:p w14:paraId="7C9AFD5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FFFFFF"/>
            <w:vAlign w:val="bottom"/>
          </w:tcPr>
          <w:p w14:paraId="60F672A2"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3EA354C0"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FE48DBF"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192" w:type="dxa"/>
            <w:tcBorders>
              <w:top w:val="nil"/>
              <w:left w:val="nil"/>
              <w:bottom w:val="single" w:sz="4" w:space="0" w:color="auto"/>
              <w:right w:val="single" w:sz="4" w:space="0" w:color="auto"/>
            </w:tcBorders>
            <w:shd w:val="clear" w:color="000000" w:fill="CCFFFF"/>
            <w:noWrap/>
            <w:vAlign w:val="bottom"/>
            <w:hideMark/>
          </w:tcPr>
          <w:p w14:paraId="1E1E957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16585E68"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64" w:type="dxa"/>
            <w:tcBorders>
              <w:top w:val="nil"/>
              <w:left w:val="nil"/>
              <w:bottom w:val="single" w:sz="4" w:space="0" w:color="auto"/>
              <w:right w:val="single" w:sz="4" w:space="0" w:color="auto"/>
            </w:tcBorders>
            <w:shd w:val="clear" w:color="000000" w:fill="CCFFFF"/>
            <w:noWrap/>
            <w:vAlign w:val="bottom"/>
            <w:hideMark/>
          </w:tcPr>
          <w:p w14:paraId="572A7866"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50" w:type="dxa"/>
            <w:tcBorders>
              <w:top w:val="nil"/>
              <w:left w:val="nil"/>
              <w:bottom w:val="single" w:sz="4" w:space="0" w:color="auto"/>
              <w:right w:val="single" w:sz="4" w:space="0" w:color="auto"/>
            </w:tcBorders>
            <w:shd w:val="clear" w:color="000000" w:fill="CCFFFF"/>
            <w:noWrap/>
            <w:vAlign w:val="bottom"/>
            <w:hideMark/>
          </w:tcPr>
          <w:p w14:paraId="1359B8E0"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CCFFFF"/>
            <w:noWrap/>
            <w:vAlign w:val="bottom"/>
            <w:hideMark/>
          </w:tcPr>
          <w:p w14:paraId="7416185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193" w:type="dxa"/>
            <w:tcBorders>
              <w:top w:val="nil"/>
              <w:left w:val="nil"/>
              <w:bottom w:val="single" w:sz="4" w:space="0" w:color="auto"/>
              <w:right w:val="single" w:sz="4" w:space="0" w:color="auto"/>
            </w:tcBorders>
            <w:shd w:val="clear" w:color="000000" w:fill="CCFFFF"/>
            <w:vAlign w:val="bottom"/>
          </w:tcPr>
          <w:p w14:paraId="0EB130A1" w14:textId="77777777" w:rsidR="001D4AFA" w:rsidRPr="009F2D1E" w:rsidRDefault="001D4AFA" w:rsidP="009F2D1E">
            <w:pPr>
              <w:jc w:val="right"/>
              <w:rPr>
                <w:rFonts w:ascii="Times New Roman" w:hAnsi="Times New Roman"/>
                <w:sz w:val="14"/>
                <w:szCs w:val="14"/>
              </w:rPr>
            </w:pPr>
            <w:r w:rsidRPr="009F2D1E">
              <w:rPr>
                <w:sz w:val="14"/>
                <w:szCs w:val="14"/>
              </w:rPr>
              <w:t>NO</w:t>
            </w:r>
          </w:p>
        </w:tc>
      </w:tr>
      <w:tr w:rsidR="001D4AFA" w:rsidRPr="00364545" w14:paraId="6F39147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AF70F7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Memo items:</w:t>
            </w:r>
          </w:p>
        </w:tc>
        <w:tc>
          <w:tcPr>
            <w:tcW w:w="1192" w:type="dxa"/>
            <w:tcBorders>
              <w:top w:val="nil"/>
              <w:left w:val="nil"/>
              <w:bottom w:val="single" w:sz="4" w:space="0" w:color="auto"/>
              <w:right w:val="single" w:sz="4" w:space="0" w:color="auto"/>
            </w:tcBorders>
            <w:shd w:val="clear" w:color="000000" w:fill="969696"/>
            <w:noWrap/>
            <w:vAlign w:val="bottom"/>
            <w:hideMark/>
          </w:tcPr>
          <w:p w14:paraId="1317EC5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17D1B4D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969696"/>
            <w:noWrap/>
            <w:vAlign w:val="bottom"/>
            <w:hideMark/>
          </w:tcPr>
          <w:p w14:paraId="63139F0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969696"/>
            <w:noWrap/>
            <w:vAlign w:val="bottom"/>
            <w:hideMark/>
          </w:tcPr>
          <w:p w14:paraId="02C7CFB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noWrap/>
            <w:vAlign w:val="bottom"/>
            <w:hideMark/>
          </w:tcPr>
          <w:p w14:paraId="46787DF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969696"/>
            <w:vAlign w:val="bottom"/>
          </w:tcPr>
          <w:p w14:paraId="1785487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5D8E05D"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BD38F11"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International bunkers</w:t>
            </w:r>
          </w:p>
        </w:tc>
        <w:tc>
          <w:tcPr>
            <w:tcW w:w="1192" w:type="dxa"/>
            <w:tcBorders>
              <w:top w:val="nil"/>
              <w:left w:val="nil"/>
              <w:bottom w:val="single" w:sz="4" w:space="0" w:color="auto"/>
              <w:right w:val="single" w:sz="4" w:space="0" w:color="auto"/>
            </w:tcBorders>
            <w:shd w:val="clear" w:color="000000" w:fill="CCFFFF"/>
            <w:noWrap/>
            <w:vAlign w:val="bottom"/>
            <w:hideMark/>
          </w:tcPr>
          <w:p w14:paraId="7E247E07" w14:textId="77777777" w:rsidR="001D4AFA" w:rsidRPr="009F2D1E" w:rsidRDefault="001D4AFA" w:rsidP="009F2D1E">
            <w:pPr>
              <w:jc w:val="right"/>
              <w:rPr>
                <w:rFonts w:ascii="Times New Roman" w:hAnsi="Times New Roman"/>
                <w:sz w:val="14"/>
                <w:szCs w:val="14"/>
              </w:rPr>
            </w:pPr>
            <w:r w:rsidRPr="009F2D1E">
              <w:rPr>
                <w:sz w:val="14"/>
                <w:szCs w:val="14"/>
              </w:rPr>
              <w:t>23733,70</w:t>
            </w:r>
          </w:p>
        </w:tc>
        <w:tc>
          <w:tcPr>
            <w:tcW w:w="1193" w:type="dxa"/>
            <w:tcBorders>
              <w:top w:val="nil"/>
              <w:left w:val="nil"/>
              <w:bottom w:val="single" w:sz="4" w:space="0" w:color="auto"/>
              <w:right w:val="single" w:sz="4" w:space="0" w:color="auto"/>
            </w:tcBorders>
            <w:shd w:val="clear" w:color="000000" w:fill="CCFFFF"/>
            <w:noWrap/>
            <w:vAlign w:val="bottom"/>
            <w:hideMark/>
          </w:tcPr>
          <w:p w14:paraId="5903C050" w14:textId="77777777" w:rsidR="001D4AFA" w:rsidRPr="009F2D1E" w:rsidRDefault="001D4AFA" w:rsidP="009F2D1E">
            <w:pPr>
              <w:jc w:val="right"/>
              <w:rPr>
                <w:rFonts w:ascii="Times New Roman" w:hAnsi="Times New Roman"/>
                <w:sz w:val="14"/>
                <w:szCs w:val="14"/>
              </w:rPr>
            </w:pPr>
            <w:r w:rsidRPr="009F2D1E">
              <w:rPr>
                <w:sz w:val="14"/>
                <w:szCs w:val="14"/>
              </w:rPr>
              <w:t>22840,12</w:t>
            </w:r>
          </w:p>
        </w:tc>
        <w:tc>
          <w:tcPr>
            <w:tcW w:w="1164" w:type="dxa"/>
            <w:tcBorders>
              <w:top w:val="nil"/>
              <w:left w:val="nil"/>
              <w:bottom w:val="single" w:sz="4" w:space="0" w:color="auto"/>
              <w:right w:val="single" w:sz="4" w:space="0" w:color="auto"/>
            </w:tcBorders>
            <w:shd w:val="clear" w:color="000000" w:fill="CCFFFF"/>
            <w:noWrap/>
            <w:vAlign w:val="bottom"/>
            <w:hideMark/>
          </w:tcPr>
          <w:p w14:paraId="7FF59AF2" w14:textId="77777777" w:rsidR="001D4AFA" w:rsidRPr="009F2D1E" w:rsidRDefault="001D4AFA" w:rsidP="009F2D1E">
            <w:pPr>
              <w:jc w:val="right"/>
              <w:rPr>
                <w:rFonts w:ascii="Times New Roman" w:hAnsi="Times New Roman"/>
                <w:sz w:val="14"/>
                <w:szCs w:val="14"/>
              </w:rPr>
            </w:pPr>
            <w:r w:rsidRPr="009F2D1E">
              <w:rPr>
                <w:sz w:val="14"/>
                <w:szCs w:val="14"/>
              </w:rPr>
              <w:t>23116,45</w:t>
            </w:r>
          </w:p>
        </w:tc>
        <w:tc>
          <w:tcPr>
            <w:tcW w:w="1150" w:type="dxa"/>
            <w:tcBorders>
              <w:top w:val="nil"/>
              <w:left w:val="nil"/>
              <w:bottom w:val="single" w:sz="4" w:space="0" w:color="auto"/>
              <w:right w:val="single" w:sz="4" w:space="0" w:color="auto"/>
            </w:tcBorders>
            <w:shd w:val="clear" w:color="000000" w:fill="CCFFFF"/>
            <w:noWrap/>
            <w:vAlign w:val="bottom"/>
            <w:hideMark/>
          </w:tcPr>
          <w:p w14:paraId="0C46269C" w14:textId="77777777" w:rsidR="001D4AFA" w:rsidRPr="009F2D1E" w:rsidRDefault="001D4AFA" w:rsidP="009F2D1E">
            <w:pPr>
              <w:jc w:val="right"/>
              <w:rPr>
                <w:rFonts w:ascii="Times New Roman" w:hAnsi="Times New Roman"/>
                <w:sz w:val="14"/>
                <w:szCs w:val="14"/>
              </w:rPr>
            </w:pPr>
            <w:r w:rsidRPr="009F2D1E">
              <w:rPr>
                <w:sz w:val="14"/>
                <w:szCs w:val="14"/>
              </w:rPr>
              <w:t>22537,21</w:t>
            </w:r>
          </w:p>
        </w:tc>
        <w:tc>
          <w:tcPr>
            <w:tcW w:w="1193" w:type="dxa"/>
            <w:tcBorders>
              <w:top w:val="nil"/>
              <w:left w:val="nil"/>
              <w:bottom w:val="single" w:sz="4" w:space="0" w:color="auto"/>
              <w:right w:val="single" w:sz="4" w:space="0" w:color="auto"/>
            </w:tcBorders>
            <w:shd w:val="clear" w:color="000000" w:fill="CCFFFF"/>
            <w:noWrap/>
            <w:vAlign w:val="bottom"/>
            <w:hideMark/>
          </w:tcPr>
          <w:p w14:paraId="7A43E956" w14:textId="77777777" w:rsidR="001D4AFA" w:rsidRPr="009F2D1E" w:rsidRDefault="001D4AFA" w:rsidP="009F2D1E">
            <w:pPr>
              <w:jc w:val="right"/>
              <w:rPr>
                <w:rFonts w:ascii="Times New Roman" w:hAnsi="Times New Roman"/>
                <w:sz w:val="14"/>
                <w:szCs w:val="14"/>
              </w:rPr>
            </w:pPr>
            <w:r w:rsidRPr="009F2D1E">
              <w:rPr>
                <w:sz w:val="14"/>
                <w:szCs w:val="14"/>
              </w:rPr>
              <w:t>23124,45</w:t>
            </w:r>
          </w:p>
        </w:tc>
        <w:tc>
          <w:tcPr>
            <w:tcW w:w="1193" w:type="dxa"/>
            <w:tcBorders>
              <w:top w:val="nil"/>
              <w:left w:val="nil"/>
              <w:bottom w:val="single" w:sz="4" w:space="0" w:color="auto"/>
              <w:right w:val="single" w:sz="4" w:space="0" w:color="auto"/>
            </w:tcBorders>
            <w:shd w:val="clear" w:color="000000" w:fill="CCFFFF"/>
            <w:vAlign w:val="bottom"/>
          </w:tcPr>
          <w:p w14:paraId="1A5B9110" w14:textId="77777777" w:rsidR="001D4AFA" w:rsidRPr="009F2D1E" w:rsidRDefault="001D4AFA" w:rsidP="009F2D1E">
            <w:pPr>
              <w:jc w:val="right"/>
              <w:rPr>
                <w:rFonts w:ascii="Times New Roman" w:hAnsi="Times New Roman"/>
                <w:sz w:val="14"/>
                <w:szCs w:val="14"/>
              </w:rPr>
            </w:pPr>
            <w:r w:rsidRPr="009F2D1E">
              <w:rPr>
                <w:sz w:val="14"/>
                <w:szCs w:val="14"/>
              </w:rPr>
              <w:t>24426,85</w:t>
            </w:r>
          </w:p>
        </w:tc>
      </w:tr>
      <w:tr w:rsidR="001D4AFA" w:rsidRPr="00364545" w14:paraId="3B3478E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C24298D"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Aviation</w:t>
            </w:r>
          </w:p>
        </w:tc>
        <w:tc>
          <w:tcPr>
            <w:tcW w:w="1192" w:type="dxa"/>
            <w:tcBorders>
              <w:top w:val="nil"/>
              <w:left w:val="nil"/>
              <w:bottom w:val="single" w:sz="4" w:space="0" w:color="auto"/>
              <w:right w:val="single" w:sz="4" w:space="0" w:color="auto"/>
            </w:tcBorders>
            <w:shd w:val="clear" w:color="000000" w:fill="FFFFFF"/>
            <w:noWrap/>
            <w:vAlign w:val="bottom"/>
            <w:hideMark/>
          </w:tcPr>
          <w:p w14:paraId="025AD0EE" w14:textId="77777777" w:rsidR="001D4AFA" w:rsidRPr="009F2D1E" w:rsidRDefault="001D4AFA" w:rsidP="009F2D1E">
            <w:pPr>
              <w:jc w:val="right"/>
              <w:rPr>
                <w:rFonts w:ascii="Times New Roman" w:hAnsi="Times New Roman"/>
                <w:sz w:val="14"/>
                <w:szCs w:val="14"/>
              </w:rPr>
            </w:pPr>
            <w:r w:rsidRPr="009F2D1E">
              <w:rPr>
                <w:sz w:val="14"/>
                <w:szCs w:val="14"/>
              </w:rPr>
              <w:t>16417,89</w:t>
            </w:r>
          </w:p>
        </w:tc>
        <w:tc>
          <w:tcPr>
            <w:tcW w:w="1193" w:type="dxa"/>
            <w:tcBorders>
              <w:top w:val="nil"/>
              <w:left w:val="nil"/>
              <w:bottom w:val="single" w:sz="4" w:space="0" w:color="auto"/>
              <w:right w:val="single" w:sz="4" w:space="0" w:color="auto"/>
            </w:tcBorders>
            <w:shd w:val="clear" w:color="000000" w:fill="FFFFFF"/>
            <w:noWrap/>
            <w:vAlign w:val="bottom"/>
            <w:hideMark/>
          </w:tcPr>
          <w:p w14:paraId="710DF19B" w14:textId="77777777" w:rsidR="001D4AFA" w:rsidRPr="009F2D1E" w:rsidRDefault="001D4AFA" w:rsidP="009F2D1E">
            <w:pPr>
              <w:jc w:val="right"/>
              <w:rPr>
                <w:rFonts w:ascii="Times New Roman" w:hAnsi="Times New Roman"/>
                <w:sz w:val="14"/>
                <w:szCs w:val="14"/>
              </w:rPr>
            </w:pPr>
            <w:r w:rsidRPr="009F2D1E">
              <w:rPr>
                <w:sz w:val="14"/>
                <w:szCs w:val="14"/>
              </w:rPr>
              <w:t>16601,26</w:t>
            </w:r>
          </w:p>
        </w:tc>
        <w:tc>
          <w:tcPr>
            <w:tcW w:w="1164" w:type="dxa"/>
            <w:tcBorders>
              <w:top w:val="nil"/>
              <w:left w:val="nil"/>
              <w:bottom w:val="single" w:sz="4" w:space="0" w:color="auto"/>
              <w:right w:val="single" w:sz="4" w:space="0" w:color="auto"/>
            </w:tcBorders>
            <w:shd w:val="clear" w:color="000000" w:fill="FFFFFF"/>
            <w:noWrap/>
            <w:vAlign w:val="bottom"/>
            <w:hideMark/>
          </w:tcPr>
          <w:p w14:paraId="3EFABB86" w14:textId="77777777" w:rsidR="001D4AFA" w:rsidRPr="009F2D1E" w:rsidRDefault="001D4AFA" w:rsidP="009F2D1E">
            <w:pPr>
              <w:jc w:val="right"/>
              <w:rPr>
                <w:rFonts w:ascii="Times New Roman" w:hAnsi="Times New Roman"/>
                <w:sz w:val="14"/>
                <w:szCs w:val="14"/>
              </w:rPr>
            </w:pPr>
            <w:r w:rsidRPr="009F2D1E">
              <w:rPr>
                <w:sz w:val="14"/>
                <w:szCs w:val="14"/>
              </w:rPr>
              <w:t>17561,31</w:t>
            </w:r>
          </w:p>
        </w:tc>
        <w:tc>
          <w:tcPr>
            <w:tcW w:w="1150" w:type="dxa"/>
            <w:tcBorders>
              <w:top w:val="nil"/>
              <w:left w:val="nil"/>
              <w:bottom w:val="single" w:sz="4" w:space="0" w:color="auto"/>
              <w:right w:val="single" w:sz="4" w:space="0" w:color="auto"/>
            </w:tcBorders>
            <w:shd w:val="clear" w:color="000000" w:fill="FFFFFF"/>
            <w:noWrap/>
            <w:vAlign w:val="bottom"/>
            <w:hideMark/>
          </w:tcPr>
          <w:p w14:paraId="33F8E9F5" w14:textId="77777777" w:rsidR="001D4AFA" w:rsidRPr="009F2D1E" w:rsidRDefault="001D4AFA" w:rsidP="009F2D1E">
            <w:pPr>
              <w:jc w:val="right"/>
              <w:rPr>
                <w:rFonts w:ascii="Times New Roman" w:hAnsi="Times New Roman"/>
                <w:sz w:val="14"/>
                <w:szCs w:val="14"/>
              </w:rPr>
            </w:pPr>
            <w:r w:rsidRPr="009F2D1E">
              <w:rPr>
                <w:sz w:val="14"/>
                <w:szCs w:val="14"/>
              </w:rPr>
              <w:t>17 264,34</w:t>
            </w:r>
          </w:p>
        </w:tc>
        <w:tc>
          <w:tcPr>
            <w:tcW w:w="1193" w:type="dxa"/>
            <w:tcBorders>
              <w:top w:val="nil"/>
              <w:left w:val="nil"/>
              <w:bottom w:val="single" w:sz="4" w:space="0" w:color="auto"/>
              <w:right w:val="single" w:sz="4" w:space="0" w:color="auto"/>
            </w:tcBorders>
            <w:shd w:val="clear" w:color="000000" w:fill="FFFFFF"/>
            <w:noWrap/>
            <w:vAlign w:val="bottom"/>
            <w:hideMark/>
          </w:tcPr>
          <w:p w14:paraId="6F343385" w14:textId="77777777" w:rsidR="001D4AFA" w:rsidRPr="009F2D1E" w:rsidRDefault="001D4AFA" w:rsidP="009F2D1E">
            <w:pPr>
              <w:jc w:val="right"/>
              <w:rPr>
                <w:rFonts w:ascii="Times New Roman" w:hAnsi="Times New Roman"/>
                <w:sz w:val="14"/>
                <w:szCs w:val="14"/>
              </w:rPr>
            </w:pPr>
            <w:r w:rsidRPr="009F2D1E">
              <w:rPr>
                <w:sz w:val="14"/>
                <w:szCs w:val="14"/>
              </w:rPr>
              <w:t>17 540,14</w:t>
            </w:r>
          </w:p>
        </w:tc>
        <w:tc>
          <w:tcPr>
            <w:tcW w:w="1193" w:type="dxa"/>
            <w:tcBorders>
              <w:top w:val="nil"/>
              <w:left w:val="nil"/>
              <w:bottom w:val="single" w:sz="4" w:space="0" w:color="auto"/>
              <w:right w:val="single" w:sz="4" w:space="0" w:color="auto"/>
            </w:tcBorders>
            <w:shd w:val="clear" w:color="000000" w:fill="FFFFFF"/>
            <w:vAlign w:val="bottom"/>
          </w:tcPr>
          <w:p w14:paraId="40A95526" w14:textId="77777777" w:rsidR="001D4AFA" w:rsidRPr="009F2D1E" w:rsidRDefault="001D4AFA" w:rsidP="009F2D1E">
            <w:pPr>
              <w:jc w:val="right"/>
              <w:rPr>
                <w:rFonts w:ascii="Times New Roman" w:hAnsi="Times New Roman"/>
                <w:sz w:val="14"/>
                <w:szCs w:val="14"/>
              </w:rPr>
            </w:pPr>
            <w:r w:rsidRPr="009F2D1E">
              <w:rPr>
                <w:sz w:val="14"/>
                <w:szCs w:val="14"/>
              </w:rPr>
              <w:t>18 135,67</w:t>
            </w:r>
          </w:p>
        </w:tc>
      </w:tr>
      <w:tr w:rsidR="001D4AFA" w:rsidRPr="00364545" w14:paraId="418E870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7103267"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Navigation</w:t>
            </w:r>
          </w:p>
        </w:tc>
        <w:tc>
          <w:tcPr>
            <w:tcW w:w="1192" w:type="dxa"/>
            <w:tcBorders>
              <w:top w:val="nil"/>
              <w:left w:val="nil"/>
              <w:bottom w:val="single" w:sz="4" w:space="0" w:color="auto"/>
              <w:right w:val="single" w:sz="4" w:space="0" w:color="auto"/>
            </w:tcBorders>
            <w:shd w:val="clear" w:color="000000" w:fill="FFFFFF"/>
            <w:noWrap/>
            <w:vAlign w:val="bottom"/>
            <w:hideMark/>
          </w:tcPr>
          <w:p w14:paraId="736A817E" w14:textId="77777777" w:rsidR="001D4AFA" w:rsidRPr="009F2D1E" w:rsidRDefault="001D4AFA" w:rsidP="009F2D1E">
            <w:pPr>
              <w:jc w:val="right"/>
              <w:rPr>
                <w:rFonts w:ascii="Times New Roman" w:hAnsi="Times New Roman"/>
                <w:sz w:val="14"/>
                <w:szCs w:val="14"/>
              </w:rPr>
            </w:pPr>
            <w:r w:rsidRPr="009F2D1E">
              <w:rPr>
                <w:sz w:val="14"/>
                <w:szCs w:val="14"/>
              </w:rPr>
              <w:t>7315,81</w:t>
            </w:r>
          </w:p>
        </w:tc>
        <w:tc>
          <w:tcPr>
            <w:tcW w:w="1193" w:type="dxa"/>
            <w:tcBorders>
              <w:top w:val="nil"/>
              <w:left w:val="nil"/>
              <w:bottom w:val="single" w:sz="4" w:space="0" w:color="auto"/>
              <w:right w:val="single" w:sz="4" w:space="0" w:color="auto"/>
            </w:tcBorders>
            <w:shd w:val="clear" w:color="000000" w:fill="FFFFFF"/>
            <w:noWrap/>
            <w:vAlign w:val="bottom"/>
            <w:hideMark/>
          </w:tcPr>
          <w:p w14:paraId="57F6A413" w14:textId="77777777" w:rsidR="001D4AFA" w:rsidRPr="009F2D1E" w:rsidRDefault="001D4AFA" w:rsidP="009F2D1E">
            <w:pPr>
              <w:jc w:val="right"/>
              <w:rPr>
                <w:rFonts w:ascii="Times New Roman" w:hAnsi="Times New Roman"/>
                <w:sz w:val="14"/>
                <w:szCs w:val="14"/>
              </w:rPr>
            </w:pPr>
            <w:r w:rsidRPr="009F2D1E">
              <w:rPr>
                <w:sz w:val="14"/>
                <w:szCs w:val="14"/>
              </w:rPr>
              <w:t>6238,87</w:t>
            </w:r>
          </w:p>
        </w:tc>
        <w:tc>
          <w:tcPr>
            <w:tcW w:w="1164" w:type="dxa"/>
            <w:tcBorders>
              <w:top w:val="nil"/>
              <w:left w:val="nil"/>
              <w:bottom w:val="single" w:sz="4" w:space="0" w:color="auto"/>
              <w:right w:val="single" w:sz="4" w:space="0" w:color="auto"/>
            </w:tcBorders>
            <w:shd w:val="clear" w:color="000000" w:fill="FFFFFF"/>
            <w:noWrap/>
            <w:vAlign w:val="bottom"/>
            <w:hideMark/>
          </w:tcPr>
          <w:p w14:paraId="2C015CEC" w14:textId="77777777" w:rsidR="001D4AFA" w:rsidRPr="009F2D1E" w:rsidRDefault="001D4AFA" w:rsidP="009F2D1E">
            <w:pPr>
              <w:jc w:val="right"/>
              <w:rPr>
                <w:rFonts w:ascii="Times New Roman" w:hAnsi="Times New Roman"/>
                <w:sz w:val="14"/>
                <w:szCs w:val="14"/>
              </w:rPr>
            </w:pPr>
            <w:r w:rsidRPr="009F2D1E">
              <w:rPr>
                <w:sz w:val="14"/>
                <w:szCs w:val="14"/>
              </w:rPr>
              <w:t>5555,13</w:t>
            </w:r>
          </w:p>
        </w:tc>
        <w:tc>
          <w:tcPr>
            <w:tcW w:w="1150" w:type="dxa"/>
            <w:tcBorders>
              <w:top w:val="nil"/>
              <w:left w:val="nil"/>
              <w:bottom w:val="single" w:sz="4" w:space="0" w:color="auto"/>
              <w:right w:val="single" w:sz="4" w:space="0" w:color="auto"/>
            </w:tcBorders>
            <w:shd w:val="clear" w:color="000000" w:fill="FFFFFF"/>
            <w:noWrap/>
            <w:vAlign w:val="bottom"/>
            <w:hideMark/>
          </w:tcPr>
          <w:p w14:paraId="4B56926A" w14:textId="77777777" w:rsidR="001D4AFA" w:rsidRPr="009F2D1E" w:rsidRDefault="001D4AFA" w:rsidP="009F2D1E">
            <w:pPr>
              <w:jc w:val="right"/>
              <w:rPr>
                <w:rFonts w:ascii="Times New Roman" w:hAnsi="Times New Roman"/>
                <w:sz w:val="14"/>
                <w:szCs w:val="14"/>
              </w:rPr>
            </w:pPr>
            <w:r w:rsidRPr="009F2D1E">
              <w:rPr>
                <w:sz w:val="14"/>
                <w:szCs w:val="14"/>
              </w:rPr>
              <w:t>5 272,88</w:t>
            </w:r>
          </w:p>
        </w:tc>
        <w:tc>
          <w:tcPr>
            <w:tcW w:w="1193" w:type="dxa"/>
            <w:tcBorders>
              <w:top w:val="nil"/>
              <w:left w:val="nil"/>
              <w:bottom w:val="single" w:sz="4" w:space="0" w:color="auto"/>
              <w:right w:val="single" w:sz="4" w:space="0" w:color="auto"/>
            </w:tcBorders>
            <w:shd w:val="clear" w:color="000000" w:fill="FFFFFF"/>
            <w:noWrap/>
            <w:vAlign w:val="bottom"/>
            <w:hideMark/>
          </w:tcPr>
          <w:p w14:paraId="533BCDB0" w14:textId="77777777" w:rsidR="001D4AFA" w:rsidRPr="009F2D1E" w:rsidRDefault="001D4AFA" w:rsidP="009F2D1E">
            <w:pPr>
              <w:jc w:val="right"/>
              <w:rPr>
                <w:rFonts w:ascii="Times New Roman" w:hAnsi="Times New Roman"/>
                <w:sz w:val="14"/>
                <w:szCs w:val="14"/>
              </w:rPr>
            </w:pPr>
            <w:r w:rsidRPr="009F2D1E">
              <w:rPr>
                <w:sz w:val="14"/>
                <w:szCs w:val="14"/>
              </w:rPr>
              <w:t>5 584,31</w:t>
            </w:r>
          </w:p>
        </w:tc>
        <w:tc>
          <w:tcPr>
            <w:tcW w:w="1193" w:type="dxa"/>
            <w:tcBorders>
              <w:top w:val="nil"/>
              <w:left w:val="nil"/>
              <w:bottom w:val="single" w:sz="4" w:space="0" w:color="auto"/>
              <w:right w:val="single" w:sz="4" w:space="0" w:color="auto"/>
            </w:tcBorders>
            <w:shd w:val="clear" w:color="000000" w:fill="FFFFFF"/>
            <w:vAlign w:val="bottom"/>
          </w:tcPr>
          <w:p w14:paraId="384EC955" w14:textId="77777777" w:rsidR="001D4AFA" w:rsidRPr="009F2D1E" w:rsidRDefault="001D4AFA" w:rsidP="009F2D1E">
            <w:pPr>
              <w:jc w:val="right"/>
              <w:rPr>
                <w:rFonts w:ascii="Times New Roman" w:hAnsi="Times New Roman"/>
                <w:sz w:val="14"/>
                <w:szCs w:val="14"/>
              </w:rPr>
            </w:pPr>
            <w:r w:rsidRPr="009F2D1E">
              <w:rPr>
                <w:sz w:val="14"/>
                <w:szCs w:val="14"/>
              </w:rPr>
              <w:t>6 291,18</w:t>
            </w:r>
          </w:p>
        </w:tc>
      </w:tr>
      <w:tr w:rsidR="001D4AFA" w:rsidRPr="00364545" w14:paraId="1480ED0A"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3DF5736"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Multilateral operations</w:t>
            </w:r>
          </w:p>
        </w:tc>
        <w:tc>
          <w:tcPr>
            <w:tcW w:w="1192" w:type="dxa"/>
            <w:tcBorders>
              <w:top w:val="nil"/>
              <w:left w:val="nil"/>
              <w:bottom w:val="single" w:sz="4" w:space="0" w:color="auto"/>
              <w:right w:val="single" w:sz="4" w:space="0" w:color="auto"/>
            </w:tcBorders>
            <w:shd w:val="clear" w:color="000000" w:fill="FFFFFF"/>
            <w:noWrap/>
            <w:vAlign w:val="bottom"/>
            <w:hideMark/>
          </w:tcPr>
          <w:p w14:paraId="7A217E84" w14:textId="77777777" w:rsidR="001D4AFA" w:rsidRPr="009F2D1E" w:rsidRDefault="001D4AFA" w:rsidP="009F2D1E">
            <w:pPr>
              <w:jc w:val="right"/>
              <w:rPr>
                <w:rFonts w:ascii="Times New Roman" w:hAnsi="Times New Roman"/>
                <w:sz w:val="14"/>
                <w:szCs w:val="14"/>
              </w:rPr>
            </w:pPr>
            <w:r w:rsidRPr="009F2D1E">
              <w:rPr>
                <w:sz w:val="14"/>
                <w:szCs w:val="14"/>
              </w:rPr>
              <w:t>1,06</w:t>
            </w:r>
          </w:p>
        </w:tc>
        <w:tc>
          <w:tcPr>
            <w:tcW w:w="1193" w:type="dxa"/>
            <w:tcBorders>
              <w:top w:val="nil"/>
              <w:left w:val="nil"/>
              <w:bottom w:val="single" w:sz="4" w:space="0" w:color="auto"/>
              <w:right w:val="single" w:sz="4" w:space="0" w:color="auto"/>
            </w:tcBorders>
            <w:shd w:val="clear" w:color="000000" w:fill="FFFFFF"/>
            <w:noWrap/>
            <w:vAlign w:val="bottom"/>
            <w:hideMark/>
          </w:tcPr>
          <w:p w14:paraId="71FF8E3A" w14:textId="77777777" w:rsidR="001D4AFA" w:rsidRPr="009F2D1E" w:rsidRDefault="001D4AFA" w:rsidP="009F2D1E">
            <w:pPr>
              <w:jc w:val="right"/>
              <w:rPr>
                <w:rFonts w:ascii="Times New Roman" w:hAnsi="Times New Roman"/>
                <w:sz w:val="14"/>
                <w:szCs w:val="14"/>
              </w:rPr>
            </w:pPr>
            <w:r w:rsidRPr="009F2D1E">
              <w:rPr>
                <w:sz w:val="14"/>
                <w:szCs w:val="14"/>
              </w:rPr>
              <w:t>1,63</w:t>
            </w:r>
          </w:p>
        </w:tc>
        <w:tc>
          <w:tcPr>
            <w:tcW w:w="1164" w:type="dxa"/>
            <w:tcBorders>
              <w:top w:val="nil"/>
              <w:left w:val="nil"/>
              <w:bottom w:val="single" w:sz="4" w:space="0" w:color="auto"/>
              <w:right w:val="single" w:sz="4" w:space="0" w:color="auto"/>
            </w:tcBorders>
            <w:shd w:val="clear" w:color="000000" w:fill="FFFFFF"/>
            <w:noWrap/>
            <w:vAlign w:val="bottom"/>
            <w:hideMark/>
          </w:tcPr>
          <w:p w14:paraId="74004612" w14:textId="77777777" w:rsidR="001D4AFA" w:rsidRPr="009F2D1E" w:rsidRDefault="001D4AFA" w:rsidP="009F2D1E">
            <w:pPr>
              <w:jc w:val="right"/>
              <w:rPr>
                <w:rFonts w:ascii="Times New Roman" w:hAnsi="Times New Roman"/>
                <w:sz w:val="14"/>
                <w:szCs w:val="14"/>
              </w:rPr>
            </w:pPr>
            <w:r w:rsidRPr="009F2D1E">
              <w:rPr>
                <w:sz w:val="14"/>
                <w:szCs w:val="14"/>
              </w:rPr>
              <w:t>1,67</w:t>
            </w:r>
          </w:p>
        </w:tc>
        <w:tc>
          <w:tcPr>
            <w:tcW w:w="1150" w:type="dxa"/>
            <w:tcBorders>
              <w:top w:val="nil"/>
              <w:left w:val="nil"/>
              <w:bottom w:val="single" w:sz="4" w:space="0" w:color="auto"/>
              <w:right w:val="single" w:sz="4" w:space="0" w:color="auto"/>
            </w:tcBorders>
            <w:shd w:val="clear" w:color="000000" w:fill="FFFFFF"/>
            <w:noWrap/>
            <w:vAlign w:val="bottom"/>
            <w:hideMark/>
          </w:tcPr>
          <w:p w14:paraId="498D1C3F" w14:textId="77777777" w:rsidR="001D4AFA" w:rsidRPr="009F2D1E" w:rsidRDefault="001D4AFA" w:rsidP="009F2D1E">
            <w:pPr>
              <w:jc w:val="right"/>
              <w:rPr>
                <w:rFonts w:ascii="Times New Roman" w:hAnsi="Times New Roman"/>
                <w:sz w:val="14"/>
                <w:szCs w:val="14"/>
              </w:rPr>
            </w:pPr>
            <w:r w:rsidRPr="009F2D1E">
              <w:rPr>
                <w:sz w:val="14"/>
                <w:szCs w:val="14"/>
              </w:rPr>
              <w:t>1,75</w:t>
            </w:r>
          </w:p>
        </w:tc>
        <w:tc>
          <w:tcPr>
            <w:tcW w:w="1193" w:type="dxa"/>
            <w:tcBorders>
              <w:top w:val="nil"/>
              <w:left w:val="nil"/>
              <w:bottom w:val="single" w:sz="4" w:space="0" w:color="auto"/>
              <w:right w:val="single" w:sz="4" w:space="0" w:color="auto"/>
            </w:tcBorders>
            <w:shd w:val="clear" w:color="000000" w:fill="FFFFFF"/>
            <w:noWrap/>
            <w:vAlign w:val="bottom"/>
            <w:hideMark/>
          </w:tcPr>
          <w:p w14:paraId="45817288" w14:textId="77777777" w:rsidR="001D4AFA" w:rsidRPr="009F2D1E" w:rsidRDefault="001D4AFA" w:rsidP="009F2D1E">
            <w:pPr>
              <w:jc w:val="right"/>
              <w:rPr>
                <w:rFonts w:ascii="Times New Roman" w:hAnsi="Times New Roman"/>
                <w:sz w:val="14"/>
                <w:szCs w:val="14"/>
              </w:rPr>
            </w:pPr>
            <w:r w:rsidRPr="009F2D1E">
              <w:rPr>
                <w:sz w:val="14"/>
                <w:szCs w:val="14"/>
              </w:rPr>
              <w:t>1,60</w:t>
            </w:r>
          </w:p>
        </w:tc>
        <w:tc>
          <w:tcPr>
            <w:tcW w:w="1193" w:type="dxa"/>
            <w:tcBorders>
              <w:top w:val="nil"/>
              <w:left w:val="nil"/>
              <w:bottom w:val="single" w:sz="4" w:space="0" w:color="auto"/>
              <w:right w:val="single" w:sz="4" w:space="0" w:color="auto"/>
            </w:tcBorders>
            <w:shd w:val="clear" w:color="000000" w:fill="FFFFFF"/>
            <w:vAlign w:val="bottom"/>
          </w:tcPr>
          <w:p w14:paraId="1213967D" w14:textId="77777777" w:rsidR="001D4AFA" w:rsidRPr="009F2D1E" w:rsidRDefault="001D4AFA" w:rsidP="009F2D1E">
            <w:pPr>
              <w:jc w:val="right"/>
              <w:rPr>
                <w:rFonts w:ascii="Times New Roman" w:hAnsi="Times New Roman"/>
                <w:sz w:val="14"/>
                <w:szCs w:val="14"/>
              </w:rPr>
            </w:pPr>
            <w:r w:rsidRPr="009F2D1E">
              <w:rPr>
                <w:sz w:val="14"/>
                <w:szCs w:val="14"/>
              </w:rPr>
              <w:t>1,61</w:t>
            </w:r>
          </w:p>
        </w:tc>
      </w:tr>
      <w:tr w:rsidR="001D4AFA" w:rsidRPr="00364545" w14:paraId="23A412C9"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11251E1"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192" w:type="dxa"/>
            <w:tcBorders>
              <w:top w:val="nil"/>
              <w:left w:val="nil"/>
              <w:bottom w:val="single" w:sz="4" w:space="0" w:color="auto"/>
              <w:right w:val="single" w:sz="4" w:space="0" w:color="auto"/>
            </w:tcBorders>
            <w:shd w:val="clear" w:color="000000" w:fill="FFFFFF"/>
            <w:noWrap/>
            <w:vAlign w:val="bottom"/>
            <w:hideMark/>
          </w:tcPr>
          <w:p w14:paraId="26DBF5E3" w14:textId="77777777" w:rsidR="001D4AFA" w:rsidRPr="009F2D1E" w:rsidRDefault="001D4AFA" w:rsidP="009F2D1E">
            <w:pPr>
              <w:jc w:val="right"/>
              <w:rPr>
                <w:rFonts w:ascii="Times New Roman" w:hAnsi="Times New Roman"/>
                <w:sz w:val="14"/>
                <w:szCs w:val="14"/>
              </w:rPr>
            </w:pPr>
            <w:r w:rsidRPr="009F2D1E">
              <w:rPr>
                <w:sz w:val="14"/>
                <w:szCs w:val="14"/>
              </w:rPr>
              <w:t>62094,14</w:t>
            </w:r>
          </w:p>
        </w:tc>
        <w:tc>
          <w:tcPr>
            <w:tcW w:w="1193" w:type="dxa"/>
            <w:tcBorders>
              <w:top w:val="nil"/>
              <w:left w:val="nil"/>
              <w:bottom w:val="single" w:sz="4" w:space="0" w:color="auto"/>
              <w:right w:val="single" w:sz="4" w:space="0" w:color="auto"/>
            </w:tcBorders>
            <w:shd w:val="clear" w:color="000000" w:fill="FFFFFF"/>
            <w:noWrap/>
            <w:vAlign w:val="bottom"/>
            <w:hideMark/>
          </w:tcPr>
          <w:p w14:paraId="5F74D470" w14:textId="77777777" w:rsidR="001D4AFA" w:rsidRPr="009F2D1E" w:rsidRDefault="001D4AFA" w:rsidP="009F2D1E">
            <w:pPr>
              <w:jc w:val="right"/>
              <w:rPr>
                <w:rFonts w:ascii="Times New Roman" w:hAnsi="Times New Roman"/>
                <w:sz w:val="14"/>
                <w:szCs w:val="14"/>
              </w:rPr>
            </w:pPr>
            <w:r w:rsidRPr="009F2D1E">
              <w:rPr>
                <w:sz w:val="14"/>
                <w:szCs w:val="14"/>
              </w:rPr>
              <w:t>56821,59</w:t>
            </w:r>
          </w:p>
        </w:tc>
        <w:tc>
          <w:tcPr>
            <w:tcW w:w="1164" w:type="dxa"/>
            <w:tcBorders>
              <w:top w:val="nil"/>
              <w:left w:val="nil"/>
              <w:bottom w:val="single" w:sz="4" w:space="0" w:color="auto"/>
              <w:right w:val="single" w:sz="4" w:space="0" w:color="auto"/>
            </w:tcBorders>
            <w:shd w:val="clear" w:color="000000" w:fill="FFFFFF"/>
            <w:noWrap/>
            <w:vAlign w:val="bottom"/>
            <w:hideMark/>
          </w:tcPr>
          <w:p w14:paraId="2006B7C3" w14:textId="77777777" w:rsidR="001D4AFA" w:rsidRPr="009F2D1E" w:rsidRDefault="001D4AFA" w:rsidP="009F2D1E">
            <w:pPr>
              <w:jc w:val="right"/>
              <w:rPr>
                <w:rFonts w:ascii="Times New Roman" w:hAnsi="Times New Roman"/>
                <w:sz w:val="14"/>
                <w:szCs w:val="14"/>
              </w:rPr>
            </w:pPr>
            <w:r w:rsidRPr="009F2D1E">
              <w:rPr>
                <w:sz w:val="14"/>
                <w:szCs w:val="14"/>
              </w:rPr>
              <w:t>60167,34</w:t>
            </w:r>
          </w:p>
        </w:tc>
        <w:tc>
          <w:tcPr>
            <w:tcW w:w="1150" w:type="dxa"/>
            <w:tcBorders>
              <w:top w:val="nil"/>
              <w:left w:val="nil"/>
              <w:bottom w:val="single" w:sz="4" w:space="0" w:color="auto"/>
              <w:right w:val="single" w:sz="4" w:space="0" w:color="auto"/>
            </w:tcBorders>
            <w:shd w:val="clear" w:color="000000" w:fill="FFFFFF"/>
            <w:noWrap/>
            <w:vAlign w:val="bottom"/>
            <w:hideMark/>
          </w:tcPr>
          <w:p w14:paraId="3CC47CF8" w14:textId="77777777" w:rsidR="001D4AFA" w:rsidRPr="009F2D1E" w:rsidRDefault="001D4AFA" w:rsidP="009F2D1E">
            <w:pPr>
              <w:jc w:val="right"/>
              <w:rPr>
                <w:rFonts w:ascii="Times New Roman" w:hAnsi="Times New Roman"/>
                <w:sz w:val="14"/>
                <w:szCs w:val="14"/>
              </w:rPr>
            </w:pPr>
            <w:r w:rsidRPr="009F2D1E">
              <w:rPr>
                <w:sz w:val="14"/>
                <w:szCs w:val="14"/>
              </w:rPr>
              <w:t>63 592,12</w:t>
            </w:r>
          </w:p>
        </w:tc>
        <w:tc>
          <w:tcPr>
            <w:tcW w:w="1193" w:type="dxa"/>
            <w:tcBorders>
              <w:top w:val="nil"/>
              <w:left w:val="nil"/>
              <w:bottom w:val="single" w:sz="4" w:space="0" w:color="auto"/>
              <w:right w:val="single" w:sz="4" w:space="0" w:color="auto"/>
            </w:tcBorders>
            <w:shd w:val="clear" w:color="000000" w:fill="FFFFFF"/>
            <w:noWrap/>
            <w:vAlign w:val="bottom"/>
            <w:hideMark/>
          </w:tcPr>
          <w:p w14:paraId="58FB1AB9" w14:textId="77777777" w:rsidR="001D4AFA" w:rsidRPr="009F2D1E" w:rsidRDefault="001D4AFA" w:rsidP="009F2D1E">
            <w:pPr>
              <w:jc w:val="right"/>
              <w:rPr>
                <w:rFonts w:ascii="Times New Roman" w:hAnsi="Times New Roman"/>
                <w:sz w:val="14"/>
                <w:szCs w:val="14"/>
              </w:rPr>
            </w:pPr>
            <w:r w:rsidRPr="009F2D1E">
              <w:rPr>
                <w:sz w:val="14"/>
                <w:szCs w:val="14"/>
              </w:rPr>
              <w:t>63 050,46</w:t>
            </w:r>
          </w:p>
        </w:tc>
        <w:tc>
          <w:tcPr>
            <w:tcW w:w="1193" w:type="dxa"/>
            <w:tcBorders>
              <w:top w:val="nil"/>
              <w:left w:val="nil"/>
              <w:bottom w:val="single" w:sz="4" w:space="0" w:color="auto"/>
              <w:right w:val="single" w:sz="4" w:space="0" w:color="auto"/>
            </w:tcBorders>
            <w:shd w:val="clear" w:color="000000" w:fill="FFFFFF"/>
            <w:vAlign w:val="bottom"/>
          </w:tcPr>
          <w:p w14:paraId="343D02E0" w14:textId="77777777" w:rsidR="001D4AFA" w:rsidRPr="009F2D1E" w:rsidRDefault="001D4AFA" w:rsidP="009F2D1E">
            <w:pPr>
              <w:jc w:val="right"/>
              <w:rPr>
                <w:rFonts w:ascii="Times New Roman" w:hAnsi="Times New Roman"/>
                <w:sz w:val="14"/>
                <w:szCs w:val="14"/>
              </w:rPr>
            </w:pPr>
            <w:r w:rsidRPr="009F2D1E">
              <w:rPr>
                <w:sz w:val="14"/>
                <w:szCs w:val="14"/>
              </w:rPr>
              <w:t>63 154,11</w:t>
            </w:r>
          </w:p>
        </w:tc>
      </w:tr>
      <w:tr w:rsidR="001D4AFA" w:rsidRPr="00364545" w14:paraId="0786C1C1"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68716077"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192" w:type="dxa"/>
            <w:tcBorders>
              <w:top w:val="nil"/>
              <w:left w:val="nil"/>
              <w:bottom w:val="single" w:sz="4" w:space="0" w:color="auto"/>
              <w:right w:val="single" w:sz="4" w:space="0" w:color="auto"/>
            </w:tcBorders>
            <w:shd w:val="clear" w:color="000000" w:fill="FFFFFF"/>
            <w:noWrap/>
            <w:vAlign w:val="bottom"/>
            <w:hideMark/>
          </w:tcPr>
          <w:p w14:paraId="608E9EF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5A74DBCB"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64" w:type="dxa"/>
            <w:tcBorders>
              <w:top w:val="nil"/>
              <w:left w:val="nil"/>
              <w:bottom w:val="single" w:sz="4" w:space="0" w:color="auto"/>
              <w:right w:val="single" w:sz="4" w:space="0" w:color="auto"/>
            </w:tcBorders>
            <w:shd w:val="clear" w:color="000000" w:fill="FFFFFF"/>
            <w:noWrap/>
            <w:vAlign w:val="bottom"/>
            <w:hideMark/>
          </w:tcPr>
          <w:p w14:paraId="5020DCD4"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50" w:type="dxa"/>
            <w:tcBorders>
              <w:top w:val="nil"/>
              <w:left w:val="nil"/>
              <w:bottom w:val="single" w:sz="4" w:space="0" w:color="auto"/>
              <w:right w:val="single" w:sz="4" w:space="0" w:color="auto"/>
            </w:tcBorders>
            <w:shd w:val="clear" w:color="000000" w:fill="FFFFFF"/>
            <w:noWrap/>
            <w:vAlign w:val="bottom"/>
            <w:hideMark/>
          </w:tcPr>
          <w:p w14:paraId="17C481F1"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noWrap/>
            <w:vAlign w:val="bottom"/>
            <w:hideMark/>
          </w:tcPr>
          <w:p w14:paraId="68B9B49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193" w:type="dxa"/>
            <w:tcBorders>
              <w:top w:val="nil"/>
              <w:left w:val="nil"/>
              <w:bottom w:val="single" w:sz="4" w:space="0" w:color="auto"/>
              <w:right w:val="single" w:sz="4" w:space="0" w:color="auto"/>
            </w:tcBorders>
            <w:shd w:val="clear" w:color="000000" w:fill="FFFFFF"/>
            <w:vAlign w:val="bottom"/>
          </w:tcPr>
          <w:p w14:paraId="375308D6" w14:textId="77777777" w:rsidR="001D4AFA" w:rsidRPr="009F2D1E" w:rsidRDefault="001D4AFA" w:rsidP="009F2D1E">
            <w:pPr>
              <w:jc w:val="right"/>
              <w:rPr>
                <w:rFonts w:ascii="Times New Roman" w:hAnsi="Times New Roman"/>
                <w:sz w:val="14"/>
                <w:szCs w:val="14"/>
              </w:rPr>
            </w:pPr>
            <w:r w:rsidRPr="009F2D1E">
              <w:rPr>
                <w:sz w:val="14"/>
                <w:szCs w:val="14"/>
              </w:rPr>
              <w:t>NO,NA</w:t>
            </w:r>
          </w:p>
        </w:tc>
      </w:tr>
      <w:tr w:rsidR="001D4AFA" w:rsidRPr="00364545" w14:paraId="5FCAE93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57C3AB9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192" w:type="dxa"/>
            <w:tcBorders>
              <w:top w:val="nil"/>
              <w:left w:val="nil"/>
              <w:bottom w:val="single" w:sz="4" w:space="0" w:color="auto"/>
              <w:right w:val="single" w:sz="4" w:space="0" w:color="auto"/>
            </w:tcBorders>
            <w:shd w:val="clear" w:color="000000" w:fill="FFFFFF"/>
            <w:noWrap/>
            <w:vAlign w:val="bottom"/>
            <w:hideMark/>
          </w:tcPr>
          <w:p w14:paraId="089A3BE3"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1FF83541"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64" w:type="dxa"/>
            <w:tcBorders>
              <w:top w:val="nil"/>
              <w:left w:val="nil"/>
              <w:bottom w:val="single" w:sz="4" w:space="0" w:color="auto"/>
              <w:right w:val="single" w:sz="4" w:space="0" w:color="auto"/>
            </w:tcBorders>
            <w:shd w:val="clear" w:color="000000" w:fill="FFFFFF"/>
            <w:noWrap/>
            <w:vAlign w:val="bottom"/>
            <w:hideMark/>
          </w:tcPr>
          <w:p w14:paraId="101FC486"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50" w:type="dxa"/>
            <w:tcBorders>
              <w:top w:val="nil"/>
              <w:left w:val="nil"/>
              <w:bottom w:val="single" w:sz="4" w:space="0" w:color="auto"/>
              <w:right w:val="single" w:sz="4" w:space="0" w:color="auto"/>
            </w:tcBorders>
            <w:shd w:val="clear" w:color="000000" w:fill="FFFFFF"/>
            <w:noWrap/>
            <w:vAlign w:val="bottom"/>
            <w:hideMark/>
          </w:tcPr>
          <w:p w14:paraId="2DC30E37"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3" w:type="dxa"/>
            <w:tcBorders>
              <w:top w:val="nil"/>
              <w:left w:val="nil"/>
              <w:bottom w:val="single" w:sz="4" w:space="0" w:color="auto"/>
              <w:right w:val="single" w:sz="4" w:space="0" w:color="auto"/>
            </w:tcBorders>
            <w:shd w:val="clear" w:color="000000" w:fill="FFFFFF"/>
            <w:noWrap/>
            <w:vAlign w:val="bottom"/>
            <w:hideMark/>
          </w:tcPr>
          <w:p w14:paraId="2F051D09"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193" w:type="dxa"/>
            <w:tcBorders>
              <w:top w:val="nil"/>
              <w:left w:val="nil"/>
              <w:bottom w:val="single" w:sz="4" w:space="0" w:color="auto"/>
              <w:right w:val="single" w:sz="4" w:space="0" w:color="auto"/>
            </w:tcBorders>
            <w:shd w:val="clear" w:color="000000" w:fill="FFFFFF"/>
            <w:vAlign w:val="bottom"/>
          </w:tcPr>
          <w:p w14:paraId="7237BFED" w14:textId="77777777" w:rsidR="001D4AFA" w:rsidRPr="009F2D1E" w:rsidRDefault="001D4AFA" w:rsidP="009F2D1E">
            <w:pPr>
              <w:jc w:val="right"/>
              <w:rPr>
                <w:rFonts w:ascii="Times New Roman" w:hAnsi="Times New Roman"/>
                <w:sz w:val="14"/>
                <w:szCs w:val="14"/>
              </w:rPr>
            </w:pPr>
            <w:r w:rsidRPr="009F2D1E">
              <w:rPr>
                <w:sz w:val="14"/>
                <w:szCs w:val="14"/>
              </w:rPr>
              <w:t>NE</w:t>
            </w:r>
          </w:p>
        </w:tc>
      </w:tr>
      <w:tr w:rsidR="001D4AFA" w:rsidRPr="00364545" w14:paraId="4F59A168"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0663035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192" w:type="dxa"/>
            <w:tcBorders>
              <w:top w:val="nil"/>
              <w:left w:val="nil"/>
              <w:bottom w:val="single" w:sz="4" w:space="0" w:color="auto"/>
              <w:right w:val="single" w:sz="4" w:space="0" w:color="auto"/>
            </w:tcBorders>
            <w:shd w:val="clear" w:color="000000" w:fill="FFFFFF"/>
            <w:noWrap/>
            <w:vAlign w:val="bottom"/>
            <w:hideMark/>
          </w:tcPr>
          <w:p w14:paraId="1F84A25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E55774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64" w:type="dxa"/>
            <w:tcBorders>
              <w:top w:val="nil"/>
              <w:left w:val="nil"/>
              <w:bottom w:val="single" w:sz="4" w:space="0" w:color="auto"/>
              <w:right w:val="single" w:sz="4" w:space="0" w:color="auto"/>
            </w:tcBorders>
            <w:shd w:val="clear" w:color="000000" w:fill="FFFFFF"/>
            <w:noWrap/>
            <w:vAlign w:val="bottom"/>
            <w:hideMark/>
          </w:tcPr>
          <w:p w14:paraId="6FCD4F5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50" w:type="dxa"/>
            <w:tcBorders>
              <w:top w:val="nil"/>
              <w:left w:val="nil"/>
              <w:bottom w:val="single" w:sz="4" w:space="0" w:color="auto"/>
              <w:right w:val="single" w:sz="4" w:space="0" w:color="auto"/>
            </w:tcBorders>
            <w:shd w:val="clear" w:color="000000" w:fill="FFFFFF"/>
            <w:noWrap/>
            <w:vAlign w:val="bottom"/>
            <w:hideMark/>
          </w:tcPr>
          <w:p w14:paraId="326A463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noWrap/>
            <w:vAlign w:val="bottom"/>
            <w:hideMark/>
          </w:tcPr>
          <w:p w14:paraId="3214F5C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193" w:type="dxa"/>
            <w:tcBorders>
              <w:top w:val="nil"/>
              <w:left w:val="nil"/>
              <w:bottom w:val="single" w:sz="4" w:space="0" w:color="auto"/>
              <w:right w:val="single" w:sz="4" w:space="0" w:color="auto"/>
            </w:tcBorders>
            <w:shd w:val="clear" w:color="000000" w:fill="FFFFFF"/>
            <w:vAlign w:val="bottom"/>
          </w:tcPr>
          <w:p w14:paraId="692519B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A6DF325"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3C91F7A3"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192" w:type="dxa"/>
            <w:tcBorders>
              <w:top w:val="nil"/>
              <w:left w:val="nil"/>
              <w:bottom w:val="single" w:sz="4" w:space="0" w:color="auto"/>
              <w:right w:val="single" w:sz="4" w:space="0" w:color="auto"/>
            </w:tcBorders>
            <w:shd w:val="clear" w:color="000000" w:fill="FFFFFF"/>
            <w:noWrap/>
            <w:vAlign w:val="bottom"/>
            <w:hideMark/>
          </w:tcPr>
          <w:p w14:paraId="46D5EE6C"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182886A5"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64" w:type="dxa"/>
            <w:tcBorders>
              <w:top w:val="nil"/>
              <w:left w:val="nil"/>
              <w:bottom w:val="single" w:sz="4" w:space="0" w:color="auto"/>
              <w:right w:val="single" w:sz="4" w:space="0" w:color="auto"/>
            </w:tcBorders>
            <w:shd w:val="clear" w:color="000000" w:fill="FFFFFF"/>
            <w:noWrap/>
            <w:vAlign w:val="bottom"/>
            <w:hideMark/>
          </w:tcPr>
          <w:p w14:paraId="65C22083"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50" w:type="dxa"/>
            <w:tcBorders>
              <w:top w:val="nil"/>
              <w:left w:val="nil"/>
              <w:bottom w:val="single" w:sz="4" w:space="0" w:color="auto"/>
              <w:right w:val="single" w:sz="4" w:space="0" w:color="auto"/>
            </w:tcBorders>
            <w:shd w:val="clear" w:color="000000" w:fill="FFFFFF"/>
            <w:noWrap/>
            <w:vAlign w:val="bottom"/>
            <w:hideMark/>
          </w:tcPr>
          <w:p w14:paraId="636620BF"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3" w:type="dxa"/>
            <w:tcBorders>
              <w:top w:val="nil"/>
              <w:left w:val="nil"/>
              <w:bottom w:val="single" w:sz="4" w:space="0" w:color="auto"/>
              <w:right w:val="single" w:sz="4" w:space="0" w:color="auto"/>
            </w:tcBorders>
            <w:shd w:val="clear" w:color="000000" w:fill="FFFFFF"/>
            <w:noWrap/>
            <w:vAlign w:val="bottom"/>
            <w:hideMark/>
          </w:tcPr>
          <w:p w14:paraId="60033373"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193" w:type="dxa"/>
            <w:tcBorders>
              <w:top w:val="nil"/>
              <w:left w:val="nil"/>
              <w:bottom w:val="single" w:sz="4" w:space="0" w:color="auto"/>
              <w:right w:val="single" w:sz="4" w:space="0" w:color="auto"/>
            </w:tcBorders>
            <w:shd w:val="clear" w:color="000000" w:fill="FFFFFF"/>
            <w:vAlign w:val="bottom"/>
          </w:tcPr>
          <w:p w14:paraId="75D9AA7A" w14:textId="77777777" w:rsidR="001D4AFA" w:rsidRPr="009F2D1E" w:rsidRDefault="001D4AFA" w:rsidP="009F2D1E">
            <w:pPr>
              <w:jc w:val="right"/>
              <w:rPr>
                <w:rFonts w:ascii="Times New Roman" w:hAnsi="Times New Roman"/>
                <w:sz w:val="14"/>
                <w:szCs w:val="14"/>
              </w:rPr>
            </w:pPr>
            <w:r w:rsidRPr="009F2D1E">
              <w:rPr>
                <w:sz w:val="14"/>
                <w:szCs w:val="14"/>
              </w:rPr>
              <w:t>NO,IE,NA</w:t>
            </w:r>
          </w:p>
        </w:tc>
      </w:tr>
      <w:tr w:rsidR="001D4AFA" w:rsidRPr="00364545" w14:paraId="028E0EB4"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2715B0C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062B9013" w14:textId="77777777" w:rsidR="001D4AFA" w:rsidRPr="009F2D1E" w:rsidRDefault="001D4AFA" w:rsidP="009F2D1E">
            <w:pPr>
              <w:jc w:val="right"/>
              <w:rPr>
                <w:rFonts w:ascii="Times New Roman" w:hAnsi="Times New Roman"/>
                <w:sz w:val="14"/>
                <w:szCs w:val="14"/>
              </w:rPr>
            </w:pPr>
            <w:r w:rsidRPr="009F2D1E">
              <w:rPr>
                <w:sz w:val="14"/>
                <w:szCs w:val="14"/>
              </w:rPr>
              <w:t>368559,43</w:t>
            </w:r>
          </w:p>
        </w:tc>
        <w:tc>
          <w:tcPr>
            <w:tcW w:w="1193" w:type="dxa"/>
            <w:tcBorders>
              <w:top w:val="nil"/>
              <w:left w:val="nil"/>
              <w:bottom w:val="single" w:sz="4" w:space="0" w:color="auto"/>
              <w:right w:val="single" w:sz="4" w:space="0" w:color="auto"/>
            </w:tcBorders>
            <w:shd w:val="clear" w:color="000000" w:fill="CCFFFF"/>
            <w:noWrap/>
            <w:vAlign w:val="bottom"/>
            <w:hideMark/>
          </w:tcPr>
          <w:p w14:paraId="5042CAD8" w14:textId="77777777" w:rsidR="001D4AFA" w:rsidRPr="009F2D1E" w:rsidRDefault="001D4AFA" w:rsidP="009F2D1E">
            <w:pPr>
              <w:jc w:val="right"/>
              <w:rPr>
                <w:rFonts w:ascii="Times New Roman" w:hAnsi="Times New Roman"/>
                <w:sz w:val="14"/>
                <w:szCs w:val="14"/>
              </w:rPr>
            </w:pPr>
            <w:r w:rsidRPr="009F2D1E">
              <w:rPr>
                <w:sz w:val="14"/>
                <w:szCs w:val="14"/>
              </w:rPr>
              <w:t>337005,91</w:t>
            </w:r>
          </w:p>
        </w:tc>
        <w:tc>
          <w:tcPr>
            <w:tcW w:w="1164" w:type="dxa"/>
            <w:tcBorders>
              <w:top w:val="nil"/>
              <w:left w:val="nil"/>
              <w:bottom w:val="single" w:sz="4" w:space="0" w:color="auto"/>
              <w:right w:val="single" w:sz="4" w:space="0" w:color="auto"/>
            </w:tcBorders>
            <w:shd w:val="clear" w:color="000000" w:fill="CCFFFF"/>
            <w:noWrap/>
            <w:vAlign w:val="bottom"/>
            <w:hideMark/>
          </w:tcPr>
          <w:p w14:paraId="2D6CA52D" w14:textId="77777777" w:rsidR="001D4AFA" w:rsidRPr="009F2D1E" w:rsidRDefault="001D4AFA" w:rsidP="009F2D1E">
            <w:pPr>
              <w:jc w:val="right"/>
              <w:rPr>
                <w:rFonts w:ascii="Times New Roman" w:hAnsi="Times New Roman"/>
                <w:sz w:val="14"/>
                <w:szCs w:val="14"/>
              </w:rPr>
            </w:pPr>
            <w:r w:rsidRPr="009F2D1E">
              <w:rPr>
                <w:sz w:val="14"/>
                <w:szCs w:val="14"/>
              </w:rPr>
              <w:t>341630,94</w:t>
            </w:r>
          </w:p>
        </w:tc>
        <w:tc>
          <w:tcPr>
            <w:tcW w:w="1150" w:type="dxa"/>
            <w:tcBorders>
              <w:top w:val="nil"/>
              <w:left w:val="nil"/>
              <w:bottom w:val="single" w:sz="4" w:space="0" w:color="auto"/>
              <w:right w:val="single" w:sz="4" w:space="0" w:color="auto"/>
            </w:tcBorders>
            <w:shd w:val="clear" w:color="000000" w:fill="CCFFFF"/>
            <w:noWrap/>
            <w:vAlign w:val="bottom"/>
            <w:hideMark/>
          </w:tcPr>
          <w:p w14:paraId="3C09679F" w14:textId="77777777" w:rsidR="001D4AFA" w:rsidRPr="009F2D1E" w:rsidRDefault="001D4AFA" w:rsidP="009F2D1E">
            <w:pPr>
              <w:jc w:val="right"/>
              <w:rPr>
                <w:rFonts w:ascii="Times New Roman" w:hAnsi="Times New Roman"/>
                <w:sz w:val="14"/>
                <w:szCs w:val="14"/>
              </w:rPr>
            </w:pPr>
            <w:r w:rsidRPr="009F2D1E">
              <w:rPr>
                <w:sz w:val="14"/>
                <w:szCs w:val="14"/>
              </w:rPr>
              <w:t>344723,13</w:t>
            </w:r>
          </w:p>
        </w:tc>
        <w:tc>
          <w:tcPr>
            <w:tcW w:w="1193" w:type="dxa"/>
            <w:tcBorders>
              <w:top w:val="nil"/>
              <w:left w:val="nil"/>
              <w:bottom w:val="single" w:sz="4" w:space="0" w:color="auto"/>
              <w:right w:val="single" w:sz="4" w:space="0" w:color="auto"/>
            </w:tcBorders>
            <w:shd w:val="clear" w:color="000000" w:fill="CCFFFF"/>
            <w:noWrap/>
            <w:vAlign w:val="bottom"/>
            <w:hideMark/>
          </w:tcPr>
          <w:p w14:paraId="4FD9020C" w14:textId="77777777" w:rsidR="001D4AFA" w:rsidRPr="009F2D1E" w:rsidRDefault="001D4AFA" w:rsidP="009F2D1E">
            <w:pPr>
              <w:jc w:val="right"/>
              <w:rPr>
                <w:rFonts w:ascii="Times New Roman" w:hAnsi="Times New Roman"/>
                <w:sz w:val="14"/>
                <w:szCs w:val="14"/>
              </w:rPr>
            </w:pPr>
            <w:r w:rsidRPr="009F2D1E">
              <w:rPr>
                <w:sz w:val="14"/>
                <w:szCs w:val="14"/>
              </w:rPr>
              <w:t>347604,96</w:t>
            </w:r>
          </w:p>
        </w:tc>
        <w:tc>
          <w:tcPr>
            <w:tcW w:w="1193" w:type="dxa"/>
            <w:tcBorders>
              <w:top w:val="nil"/>
              <w:left w:val="nil"/>
              <w:bottom w:val="single" w:sz="4" w:space="0" w:color="auto"/>
              <w:right w:val="single" w:sz="4" w:space="0" w:color="auto"/>
            </w:tcBorders>
            <w:shd w:val="clear" w:color="000000" w:fill="CCFFFF"/>
            <w:vAlign w:val="bottom"/>
          </w:tcPr>
          <w:p w14:paraId="5330648B" w14:textId="77777777" w:rsidR="001D4AFA" w:rsidRPr="009F2D1E" w:rsidRDefault="001D4AFA" w:rsidP="009F2D1E">
            <w:pPr>
              <w:jc w:val="right"/>
              <w:rPr>
                <w:rFonts w:ascii="Times New Roman" w:hAnsi="Times New Roman"/>
                <w:sz w:val="14"/>
                <w:szCs w:val="14"/>
              </w:rPr>
            </w:pPr>
            <w:r w:rsidRPr="009F2D1E">
              <w:rPr>
                <w:sz w:val="14"/>
                <w:szCs w:val="14"/>
              </w:rPr>
              <w:t>332613,39</w:t>
            </w:r>
          </w:p>
        </w:tc>
      </w:tr>
      <w:tr w:rsidR="001D4AFA" w:rsidRPr="00364545" w14:paraId="1BBB256F"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1ED6B99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2E9A205C" w14:textId="77777777" w:rsidR="001D4AFA" w:rsidRPr="009F2D1E" w:rsidRDefault="001D4AFA" w:rsidP="009F2D1E">
            <w:pPr>
              <w:jc w:val="right"/>
              <w:rPr>
                <w:rFonts w:ascii="Times New Roman" w:hAnsi="Times New Roman"/>
                <w:sz w:val="14"/>
                <w:szCs w:val="14"/>
              </w:rPr>
            </w:pPr>
            <w:r w:rsidRPr="009F2D1E">
              <w:rPr>
                <w:sz w:val="14"/>
                <w:szCs w:val="14"/>
              </w:rPr>
              <w:t>319936,58</w:t>
            </w:r>
          </w:p>
        </w:tc>
        <w:tc>
          <w:tcPr>
            <w:tcW w:w="1193" w:type="dxa"/>
            <w:tcBorders>
              <w:top w:val="nil"/>
              <w:left w:val="nil"/>
              <w:bottom w:val="single" w:sz="4" w:space="0" w:color="auto"/>
              <w:right w:val="single" w:sz="4" w:space="0" w:color="auto"/>
            </w:tcBorders>
            <w:shd w:val="clear" w:color="000000" w:fill="CCFFFF"/>
            <w:noWrap/>
            <w:vAlign w:val="bottom"/>
            <w:hideMark/>
          </w:tcPr>
          <w:p w14:paraId="69D83FBD" w14:textId="77777777" w:rsidR="001D4AFA" w:rsidRPr="009F2D1E" w:rsidRDefault="001D4AFA" w:rsidP="009F2D1E">
            <w:pPr>
              <w:jc w:val="right"/>
              <w:rPr>
                <w:rFonts w:ascii="Times New Roman" w:hAnsi="Times New Roman"/>
                <w:sz w:val="14"/>
                <w:szCs w:val="14"/>
              </w:rPr>
            </w:pPr>
            <w:r w:rsidRPr="009F2D1E">
              <w:rPr>
                <w:sz w:val="14"/>
                <w:szCs w:val="14"/>
              </w:rPr>
              <w:t>294542,44</w:t>
            </w:r>
          </w:p>
        </w:tc>
        <w:tc>
          <w:tcPr>
            <w:tcW w:w="1164" w:type="dxa"/>
            <w:tcBorders>
              <w:top w:val="nil"/>
              <w:left w:val="nil"/>
              <w:bottom w:val="single" w:sz="4" w:space="0" w:color="auto"/>
              <w:right w:val="single" w:sz="4" w:space="0" w:color="auto"/>
            </w:tcBorders>
            <w:shd w:val="clear" w:color="000000" w:fill="CCFFFF"/>
            <w:noWrap/>
            <w:vAlign w:val="bottom"/>
            <w:hideMark/>
          </w:tcPr>
          <w:p w14:paraId="28121917" w14:textId="77777777" w:rsidR="001D4AFA" w:rsidRPr="009F2D1E" w:rsidRDefault="001D4AFA" w:rsidP="009F2D1E">
            <w:pPr>
              <w:jc w:val="right"/>
              <w:rPr>
                <w:rFonts w:ascii="Times New Roman" w:hAnsi="Times New Roman"/>
                <w:sz w:val="14"/>
                <w:szCs w:val="14"/>
              </w:rPr>
            </w:pPr>
            <w:r w:rsidRPr="009F2D1E">
              <w:rPr>
                <w:sz w:val="14"/>
                <w:szCs w:val="14"/>
              </w:rPr>
              <w:t>303031,73</w:t>
            </w:r>
          </w:p>
        </w:tc>
        <w:tc>
          <w:tcPr>
            <w:tcW w:w="1150" w:type="dxa"/>
            <w:tcBorders>
              <w:top w:val="nil"/>
              <w:left w:val="nil"/>
              <w:bottom w:val="single" w:sz="4" w:space="0" w:color="auto"/>
              <w:right w:val="single" w:sz="4" w:space="0" w:color="auto"/>
            </w:tcBorders>
            <w:shd w:val="clear" w:color="000000" w:fill="CCFFFF"/>
            <w:noWrap/>
            <w:vAlign w:val="bottom"/>
            <w:hideMark/>
          </w:tcPr>
          <w:p w14:paraId="5959629E" w14:textId="77777777" w:rsidR="001D4AFA" w:rsidRPr="009F2D1E" w:rsidRDefault="001D4AFA" w:rsidP="009F2D1E">
            <w:pPr>
              <w:jc w:val="right"/>
              <w:rPr>
                <w:rFonts w:ascii="Times New Roman" w:hAnsi="Times New Roman"/>
                <w:sz w:val="14"/>
                <w:szCs w:val="14"/>
              </w:rPr>
            </w:pPr>
            <w:r w:rsidRPr="009F2D1E">
              <w:rPr>
                <w:sz w:val="14"/>
                <w:szCs w:val="14"/>
              </w:rPr>
              <w:t>315143,19</w:t>
            </w:r>
          </w:p>
        </w:tc>
        <w:tc>
          <w:tcPr>
            <w:tcW w:w="1193" w:type="dxa"/>
            <w:tcBorders>
              <w:top w:val="nil"/>
              <w:left w:val="nil"/>
              <w:bottom w:val="single" w:sz="4" w:space="0" w:color="auto"/>
              <w:right w:val="single" w:sz="4" w:space="0" w:color="auto"/>
            </w:tcBorders>
            <w:shd w:val="clear" w:color="000000" w:fill="CCFFFF"/>
            <w:noWrap/>
            <w:vAlign w:val="bottom"/>
            <w:hideMark/>
          </w:tcPr>
          <w:p w14:paraId="55292A61" w14:textId="77777777" w:rsidR="001D4AFA" w:rsidRPr="009F2D1E" w:rsidRDefault="001D4AFA" w:rsidP="009F2D1E">
            <w:pPr>
              <w:jc w:val="right"/>
              <w:rPr>
                <w:rFonts w:ascii="Times New Roman" w:hAnsi="Times New Roman"/>
                <w:sz w:val="14"/>
                <w:szCs w:val="14"/>
              </w:rPr>
            </w:pPr>
            <w:r w:rsidRPr="009F2D1E">
              <w:rPr>
                <w:sz w:val="14"/>
                <w:szCs w:val="14"/>
              </w:rPr>
              <w:t>326837,62</w:t>
            </w:r>
          </w:p>
        </w:tc>
        <w:tc>
          <w:tcPr>
            <w:tcW w:w="1193" w:type="dxa"/>
            <w:tcBorders>
              <w:top w:val="nil"/>
              <w:left w:val="nil"/>
              <w:bottom w:val="single" w:sz="4" w:space="0" w:color="auto"/>
              <w:right w:val="single" w:sz="4" w:space="0" w:color="auto"/>
            </w:tcBorders>
            <w:shd w:val="clear" w:color="000000" w:fill="CCFFFF"/>
            <w:vAlign w:val="bottom"/>
          </w:tcPr>
          <w:p w14:paraId="274BA30E" w14:textId="77777777" w:rsidR="001D4AFA" w:rsidRPr="009F2D1E" w:rsidRDefault="001D4AFA" w:rsidP="009F2D1E">
            <w:pPr>
              <w:jc w:val="right"/>
              <w:rPr>
                <w:rFonts w:ascii="Times New Roman" w:hAnsi="Times New Roman"/>
                <w:sz w:val="14"/>
                <w:szCs w:val="14"/>
              </w:rPr>
            </w:pPr>
            <w:r w:rsidRPr="009F2D1E">
              <w:rPr>
                <w:sz w:val="14"/>
                <w:szCs w:val="14"/>
              </w:rPr>
              <w:t>314544,00</w:t>
            </w:r>
          </w:p>
        </w:tc>
      </w:tr>
      <w:tr w:rsidR="001D4AFA" w:rsidRPr="00364545" w14:paraId="116BEB68"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597C28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5A0E9F84"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7E0A692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707049EA"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50" w:type="dxa"/>
            <w:tcBorders>
              <w:top w:val="nil"/>
              <w:left w:val="nil"/>
              <w:bottom w:val="single" w:sz="4" w:space="0" w:color="auto"/>
              <w:right w:val="single" w:sz="4" w:space="0" w:color="auto"/>
            </w:tcBorders>
            <w:shd w:val="clear" w:color="000000" w:fill="CCFFFF"/>
            <w:noWrap/>
            <w:vAlign w:val="bottom"/>
            <w:hideMark/>
          </w:tcPr>
          <w:p w14:paraId="1ED08CEC"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41BAF76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vAlign w:val="bottom"/>
          </w:tcPr>
          <w:p w14:paraId="3CB1F0B4" w14:textId="77777777" w:rsidR="001D4AFA" w:rsidRPr="009F2D1E" w:rsidRDefault="001D4AFA" w:rsidP="009F2D1E">
            <w:pPr>
              <w:jc w:val="right"/>
              <w:rPr>
                <w:rFonts w:ascii="Times New Roman" w:hAnsi="Times New Roman"/>
                <w:sz w:val="14"/>
                <w:szCs w:val="14"/>
              </w:rPr>
            </w:pPr>
            <w:r w:rsidRPr="009F2D1E">
              <w:rPr>
                <w:sz w:val="14"/>
                <w:szCs w:val="14"/>
              </w:rPr>
              <w:t>NA</w:t>
            </w:r>
          </w:p>
        </w:tc>
      </w:tr>
      <w:tr w:rsidR="001D4AFA" w:rsidRPr="00364545" w14:paraId="4F3663CD" w14:textId="77777777" w:rsidTr="009F2D1E">
        <w:trPr>
          <w:trHeight w:val="68"/>
          <w:jc w:val="center"/>
        </w:trPr>
        <w:tc>
          <w:tcPr>
            <w:tcW w:w="2855" w:type="dxa"/>
            <w:tcBorders>
              <w:top w:val="nil"/>
              <w:left w:val="single" w:sz="4" w:space="0" w:color="auto"/>
              <w:bottom w:val="single" w:sz="4" w:space="0" w:color="auto"/>
              <w:right w:val="single" w:sz="4" w:space="0" w:color="auto"/>
            </w:tcBorders>
            <w:shd w:val="clear" w:color="000000" w:fill="CCFFFF"/>
            <w:noWrap/>
            <w:vAlign w:val="center"/>
            <w:hideMark/>
          </w:tcPr>
          <w:p w14:paraId="7432A93A"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192" w:type="dxa"/>
            <w:tcBorders>
              <w:top w:val="nil"/>
              <w:left w:val="nil"/>
              <w:bottom w:val="single" w:sz="4" w:space="0" w:color="auto"/>
              <w:right w:val="single" w:sz="4" w:space="0" w:color="auto"/>
            </w:tcBorders>
            <w:shd w:val="clear" w:color="000000" w:fill="CCFFFF"/>
            <w:noWrap/>
            <w:vAlign w:val="bottom"/>
            <w:hideMark/>
          </w:tcPr>
          <w:p w14:paraId="56931BF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64A4C359"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64" w:type="dxa"/>
            <w:tcBorders>
              <w:top w:val="nil"/>
              <w:left w:val="nil"/>
              <w:bottom w:val="single" w:sz="4" w:space="0" w:color="auto"/>
              <w:right w:val="single" w:sz="4" w:space="0" w:color="auto"/>
            </w:tcBorders>
            <w:shd w:val="clear" w:color="000000" w:fill="CCFFFF"/>
            <w:noWrap/>
            <w:vAlign w:val="bottom"/>
            <w:hideMark/>
          </w:tcPr>
          <w:p w14:paraId="1FE70766"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50" w:type="dxa"/>
            <w:tcBorders>
              <w:top w:val="nil"/>
              <w:left w:val="nil"/>
              <w:bottom w:val="single" w:sz="4" w:space="0" w:color="auto"/>
              <w:right w:val="single" w:sz="4" w:space="0" w:color="auto"/>
            </w:tcBorders>
            <w:shd w:val="clear" w:color="000000" w:fill="CCFFFF"/>
            <w:noWrap/>
            <w:vAlign w:val="bottom"/>
            <w:hideMark/>
          </w:tcPr>
          <w:p w14:paraId="7D139444"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noWrap/>
            <w:vAlign w:val="bottom"/>
            <w:hideMark/>
          </w:tcPr>
          <w:p w14:paraId="732BE817"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193" w:type="dxa"/>
            <w:tcBorders>
              <w:top w:val="nil"/>
              <w:left w:val="nil"/>
              <w:bottom w:val="single" w:sz="4" w:space="0" w:color="auto"/>
              <w:right w:val="single" w:sz="4" w:space="0" w:color="auto"/>
            </w:tcBorders>
            <w:shd w:val="clear" w:color="000000" w:fill="CCFFFF"/>
            <w:vAlign w:val="bottom"/>
          </w:tcPr>
          <w:p w14:paraId="7673B011" w14:textId="77777777" w:rsidR="001D4AFA" w:rsidRPr="009F2D1E" w:rsidRDefault="001D4AFA" w:rsidP="009F2D1E">
            <w:pPr>
              <w:jc w:val="right"/>
              <w:rPr>
                <w:rFonts w:ascii="Times New Roman" w:hAnsi="Times New Roman"/>
                <w:sz w:val="14"/>
                <w:szCs w:val="14"/>
              </w:rPr>
            </w:pPr>
            <w:r w:rsidRPr="009F2D1E">
              <w:rPr>
                <w:sz w:val="14"/>
                <w:szCs w:val="14"/>
              </w:rPr>
              <w:t>NA</w:t>
            </w:r>
          </w:p>
        </w:tc>
      </w:tr>
    </w:tbl>
    <w:p w14:paraId="749F9167" w14:textId="77777777" w:rsidR="001D4AFA" w:rsidRPr="00364545" w:rsidRDefault="001D4AFA" w:rsidP="001D4AFA">
      <w:pPr>
        <w:rPr>
          <w:rFonts w:cs="Arial"/>
        </w:rPr>
      </w:pPr>
    </w:p>
    <w:tbl>
      <w:tblPr>
        <w:tblW w:w="8894" w:type="dxa"/>
        <w:jc w:val="center"/>
        <w:tblCellMar>
          <w:left w:w="70" w:type="dxa"/>
          <w:right w:w="70" w:type="dxa"/>
        </w:tblCellMar>
        <w:tblLook w:val="04A0" w:firstRow="1" w:lastRow="0" w:firstColumn="1" w:lastColumn="0" w:noHBand="0" w:noVBand="1"/>
      </w:tblPr>
      <w:tblGrid>
        <w:gridCol w:w="3804"/>
        <w:gridCol w:w="1541"/>
        <w:gridCol w:w="1541"/>
        <w:gridCol w:w="2008"/>
      </w:tblGrid>
      <w:tr w:rsidR="001D4AFA" w:rsidRPr="00364545" w14:paraId="3401AE5F" w14:textId="77777777" w:rsidTr="009F2D1E">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89A05C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GREENHOUSE GAS SOURCE AND SINK CATEGORIES</w:t>
            </w:r>
          </w:p>
        </w:tc>
        <w:tc>
          <w:tcPr>
            <w:tcW w:w="154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7DC1907"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2019</w:t>
            </w:r>
          </w:p>
        </w:tc>
        <w:tc>
          <w:tcPr>
            <w:tcW w:w="1541" w:type="dxa"/>
            <w:tcBorders>
              <w:top w:val="single" w:sz="4" w:space="0" w:color="auto"/>
              <w:left w:val="nil"/>
              <w:bottom w:val="single" w:sz="4" w:space="0" w:color="auto"/>
              <w:right w:val="single" w:sz="4" w:space="0" w:color="auto"/>
            </w:tcBorders>
            <w:shd w:val="clear" w:color="000000" w:fill="CCFFFF"/>
            <w:noWrap/>
            <w:vAlign w:val="center"/>
            <w:hideMark/>
          </w:tcPr>
          <w:p w14:paraId="11B8FFCE" w14:textId="77777777" w:rsidR="001D4AFA" w:rsidRPr="00364545" w:rsidRDefault="001D4AFA" w:rsidP="009F2D1E">
            <w:pPr>
              <w:jc w:val="center"/>
              <w:rPr>
                <w:rFonts w:ascii="Times New Roman" w:hAnsi="Times New Roman"/>
                <w:b/>
                <w:bCs/>
                <w:sz w:val="16"/>
                <w:szCs w:val="16"/>
              </w:rPr>
            </w:pPr>
            <w:r w:rsidRPr="00364545">
              <w:rPr>
                <w:rFonts w:ascii="Times New Roman" w:hAnsi="Times New Roman"/>
                <w:b/>
                <w:sz w:val="16"/>
              </w:rPr>
              <w:t>2020</w:t>
            </w:r>
          </w:p>
        </w:tc>
        <w:tc>
          <w:tcPr>
            <w:tcW w:w="2008" w:type="dxa"/>
            <w:tcBorders>
              <w:top w:val="single" w:sz="4" w:space="0" w:color="auto"/>
              <w:left w:val="nil"/>
              <w:bottom w:val="single" w:sz="4" w:space="0" w:color="auto"/>
              <w:right w:val="single" w:sz="4" w:space="0" w:color="auto"/>
            </w:tcBorders>
            <w:shd w:val="clear" w:color="000000" w:fill="CCFFFF"/>
            <w:noWrap/>
            <w:vAlign w:val="center"/>
            <w:hideMark/>
          </w:tcPr>
          <w:p w14:paraId="013A48A6" w14:textId="77777777" w:rsidR="001D4AFA" w:rsidRPr="00364545" w:rsidRDefault="001D4AFA" w:rsidP="009F2D1E">
            <w:pPr>
              <w:jc w:val="center"/>
              <w:rPr>
                <w:rFonts w:ascii="Times New Roman" w:hAnsi="Times New Roman"/>
                <w:b/>
                <w:bCs/>
                <w:sz w:val="18"/>
                <w:szCs w:val="18"/>
              </w:rPr>
            </w:pPr>
            <w:r w:rsidRPr="00364545">
              <w:rPr>
                <w:b/>
                <w:sz w:val="18"/>
              </w:rPr>
              <w:t>Change from base to latest reported year</w:t>
            </w:r>
            <w:r w:rsidRPr="00364545">
              <w:rPr>
                <w:rFonts w:ascii="Times New Roman" w:hAnsi="Times New Roman"/>
                <w:b/>
                <w:sz w:val="18"/>
              </w:rPr>
              <w:t xml:space="preserve"> (%)</w:t>
            </w:r>
          </w:p>
        </w:tc>
      </w:tr>
      <w:tr w:rsidR="001D4AFA" w:rsidRPr="00364545" w14:paraId="166BC717" w14:textId="77777777" w:rsidTr="009F2D1E">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F8B307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Total (net emissions)</w:t>
            </w:r>
            <w:r w:rsidRPr="00364545">
              <w:rPr>
                <w:rFonts w:asciiTheme="majorHAnsi" w:hAnsiTheme="majorHAnsi"/>
                <w:b/>
                <w:sz w:val="16"/>
                <w:vertAlign w:val="superscript"/>
              </w:rPr>
              <w:t>(2)</w:t>
            </w:r>
          </w:p>
        </w:tc>
        <w:tc>
          <w:tcPr>
            <w:tcW w:w="154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9CFA5FA" w14:textId="77777777" w:rsidR="001D4AFA" w:rsidRPr="00364545" w:rsidRDefault="001D4AFA" w:rsidP="009F2D1E">
            <w:pPr>
              <w:jc w:val="right"/>
              <w:rPr>
                <w:rFonts w:ascii="Times New Roman" w:hAnsi="Times New Roman"/>
                <w:sz w:val="16"/>
                <w:szCs w:val="16"/>
              </w:rPr>
            </w:pPr>
            <w:r w:rsidRPr="00CB4B9F">
              <w:rPr>
                <w:sz w:val="14"/>
                <w:szCs w:val="14"/>
              </w:rPr>
              <w:t>310432,09</w:t>
            </w:r>
          </w:p>
        </w:tc>
        <w:tc>
          <w:tcPr>
            <w:tcW w:w="1541" w:type="dxa"/>
            <w:tcBorders>
              <w:top w:val="single" w:sz="4" w:space="0" w:color="auto"/>
              <w:left w:val="nil"/>
              <w:bottom w:val="single" w:sz="4" w:space="0" w:color="auto"/>
              <w:right w:val="single" w:sz="4" w:space="0" w:color="auto"/>
            </w:tcBorders>
            <w:shd w:val="clear" w:color="000000" w:fill="CCFFFF"/>
            <w:noWrap/>
            <w:vAlign w:val="bottom"/>
            <w:hideMark/>
          </w:tcPr>
          <w:p w14:paraId="0E1F4E53" w14:textId="77777777" w:rsidR="001D4AFA" w:rsidRPr="00364545" w:rsidRDefault="001D4AFA" w:rsidP="009F2D1E">
            <w:pPr>
              <w:jc w:val="right"/>
              <w:rPr>
                <w:rFonts w:ascii="Times New Roman" w:hAnsi="Times New Roman"/>
                <w:sz w:val="16"/>
                <w:szCs w:val="16"/>
              </w:rPr>
            </w:pPr>
            <w:r w:rsidRPr="00CB4B9F">
              <w:rPr>
                <w:sz w:val="14"/>
                <w:szCs w:val="14"/>
              </w:rPr>
              <w:t>271428,23</w:t>
            </w:r>
          </w:p>
        </w:tc>
        <w:tc>
          <w:tcPr>
            <w:tcW w:w="2008" w:type="dxa"/>
            <w:tcBorders>
              <w:top w:val="single" w:sz="4" w:space="0" w:color="auto"/>
              <w:left w:val="nil"/>
              <w:bottom w:val="single" w:sz="4" w:space="0" w:color="auto"/>
              <w:right w:val="single" w:sz="4" w:space="0" w:color="auto"/>
            </w:tcBorders>
            <w:shd w:val="clear" w:color="000000" w:fill="CCFFFF"/>
            <w:noWrap/>
            <w:vAlign w:val="bottom"/>
            <w:hideMark/>
          </w:tcPr>
          <w:p w14:paraId="620C8C35" w14:textId="77777777" w:rsidR="001D4AFA" w:rsidRPr="00364545" w:rsidRDefault="001D4AFA" w:rsidP="009F2D1E">
            <w:pPr>
              <w:jc w:val="right"/>
              <w:rPr>
                <w:rFonts w:ascii="Times New Roman" w:hAnsi="Times New Roman"/>
                <w:sz w:val="16"/>
                <w:szCs w:val="16"/>
              </w:rPr>
            </w:pPr>
            <w:r w:rsidRPr="00CB4B9F">
              <w:rPr>
                <w:sz w:val="14"/>
                <w:szCs w:val="14"/>
              </w:rPr>
              <w:t>-26,70</w:t>
            </w:r>
          </w:p>
        </w:tc>
      </w:tr>
      <w:tr w:rsidR="001D4AFA" w:rsidRPr="00364545" w14:paraId="1A9FBF26" w14:textId="77777777" w:rsidTr="009F2D1E">
        <w:trPr>
          <w:trHeight w:val="68"/>
          <w:jc w:val="center"/>
        </w:trPr>
        <w:tc>
          <w:tcPr>
            <w:tcW w:w="380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FC17E2B"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1. Energy</w:t>
            </w:r>
          </w:p>
        </w:tc>
        <w:tc>
          <w:tcPr>
            <w:tcW w:w="1541" w:type="dxa"/>
            <w:tcBorders>
              <w:top w:val="nil"/>
              <w:left w:val="nil"/>
              <w:bottom w:val="single" w:sz="4" w:space="0" w:color="auto"/>
              <w:right w:val="single" w:sz="4" w:space="0" w:color="auto"/>
            </w:tcBorders>
            <w:shd w:val="clear" w:color="000000" w:fill="CCFFFF"/>
            <w:noWrap/>
            <w:vAlign w:val="bottom"/>
            <w:hideMark/>
          </w:tcPr>
          <w:p w14:paraId="7D121607" w14:textId="77777777" w:rsidR="001D4AFA" w:rsidRPr="009F2D1E" w:rsidRDefault="001D4AFA" w:rsidP="009F2D1E">
            <w:pPr>
              <w:jc w:val="right"/>
              <w:rPr>
                <w:rFonts w:ascii="Times New Roman" w:hAnsi="Times New Roman"/>
                <w:sz w:val="14"/>
                <w:szCs w:val="14"/>
              </w:rPr>
            </w:pPr>
            <w:r w:rsidRPr="009F2D1E">
              <w:rPr>
                <w:sz w:val="14"/>
                <w:szCs w:val="14"/>
              </w:rPr>
              <w:t>291378,65</w:t>
            </w:r>
          </w:p>
        </w:tc>
        <w:tc>
          <w:tcPr>
            <w:tcW w:w="1541" w:type="dxa"/>
            <w:tcBorders>
              <w:top w:val="nil"/>
              <w:left w:val="nil"/>
              <w:bottom w:val="single" w:sz="4" w:space="0" w:color="auto"/>
              <w:right w:val="single" w:sz="4" w:space="0" w:color="auto"/>
            </w:tcBorders>
            <w:shd w:val="clear" w:color="000000" w:fill="CCFFFF"/>
            <w:noWrap/>
            <w:vAlign w:val="bottom"/>
            <w:hideMark/>
          </w:tcPr>
          <w:p w14:paraId="39E405A7" w14:textId="77777777" w:rsidR="001D4AFA" w:rsidRPr="009F2D1E" w:rsidRDefault="001D4AFA" w:rsidP="009F2D1E">
            <w:pPr>
              <w:jc w:val="right"/>
              <w:rPr>
                <w:rFonts w:ascii="Times New Roman" w:hAnsi="Times New Roman"/>
                <w:sz w:val="14"/>
                <w:szCs w:val="14"/>
              </w:rPr>
            </w:pPr>
            <w:r w:rsidRPr="009F2D1E">
              <w:rPr>
                <w:sz w:val="14"/>
                <w:szCs w:val="14"/>
              </w:rPr>
              <w:t>259171,93</w:t>
            </w:r>
          </w:p>
        </w:tc>
        <w:tc>
          <w:tcPr>
            <w:tcW w:w="2008" w:type="dxa"/>
            <w:tcBorders>
              <w:top w:val="nil"/>
              <w:left w:val="nil"/>
              <w:bottom w:val="single" w:sz="4" w:space="0" w:color="auto"/>
              <w:right w:val="single" w:sz="4" w:space="0" w:color="auto"/>
            </w:tcBorders>
            <w:shd w:val="clear" w:color="000000" w:fill="CCFFFF"/>
            <w:noWrap/>
            <w:vAlign w:val="bottom"/>
            <w:hideMark/>
          </w:tcPr>
          <w:p w14:paraId="7BB99BED" w14:textId="77777777" w:rsidR="001D4AFA" w:rsidRPr="009F2D1E" w:rsidRDefault="001D4AFA" w:rsidP="009F2D1E">
            <w:pPr>
              <w:jc w:val="right"/>
              <w:rPr>
                <w:rFonts w:ascii="Times New Roman" w:hAnsi="Times New Roman"/>
                <w:sz w:val="14"/>
                <w:szCs w:val="14"/>
              </w:rPr>
            </w:pPr>
            <w:r w:rsidRPr="009F2D1E">
              <w:rPr>
                <w:sz w:val="14"/>
                <w:szCs w:val="14"/>
              </w:rPr>
              <w:t>-26,25</w:t>
            </w:r>
          </w:p>
        </w:tc>
      </w:tr>
      <w:tr w:rsidR="001D4AFA" w:rsidRPr="00364545" w14:paraId="642F53FA"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D74C59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Fuel combustion (sectoral approach)</w:t>
            </w:r>
          </w:p>
        </w:tc>
        <w:tc>
          <w:tcPr>
            <w:tcW w:w="1541" w:type="dxa"/>
            <w:tcBorders>
              <w:top w:val="nil"/>
              <w:left w:val="nil"/>
              <w:bottom w:val="single" w:sz="4" w:space="0" w:color="auto"/>
              <w:right w:val="single" w:sz="4" w:space="0" w:color="auto"/>
            </w:tcBorders>
            <w:shd w:val="clear" w:color="000000" w:fill="CCFFFF"/>
            <w:noWrap/>
            <w:vAlign w:val="bottom"/>
            <w:hideMark/>
          </w:tcPr>
          <w:p w14:paraId="03CCC87D" w14:textId="77777777" w:rsidR="001D4AFA" w:rsidRPr="009F2D1E" w:rsidRDefault="001D4AFA" w:rsidP="009F2D1E">
            <w:pPr>
              <w:jc w:val="right"/>
              <w:rPr>
                <w:rFonts w:ascii="Times New Roman" w:hAnsi="Times New Roman"/>
                <w:sz w:val="14"/>
                <w:szCs w:val="14"/>
              </w:rPr>
            </w:pPr>
            <w:r w:rsidRPr="009F2D1E">
              <w:rPr>
                <w:sz w:val="14"/>
                <w:szCs w:val="14"/>
              </w:rPr>
              <w:t>288790,79</w:t>
            </w:r>
          </w:p>
        </w:tc>
        <w:tc>
          <w:tcPr>
            <w:tcW w:w="1541" w:type="dxa"/>
            <w:tcBorders>
              <w:top w:val="nil"/>
              <w:left w:val="nil"/>
              <w:bottom w:val="single" w:sz="4" w:space="0" w:color="auto"/>
              <w:right w:val="single" w:sz="4" w:space="0" w:color="auto"/>
            </w:tcBorders>
            <w:shd w:val="clear" w:color="000000" w:fill="CCFFFF"/>
            <w:noWrap/>
            <w:vAlign w:val="bottom"/>
            <w:hideMark/>
          </w:tcPr>
          <w:p w14:paraId="6234117D" w14:textId="77777777" w:rsidR="001D4AFA" w:rsidRPr="009F2D1E" w:rsidRDefault="001D4AFA" w:rsidP="009F2D1E">
            <w:pPr>
              <w:jc w:val="right"/>
              <w:rPr>
                <w:rFonts w:ascii="Times New Roman" w:hAnsi="Times New Roman"/>
                <w:sz w:val="14"/>
                <w:szCs w:val="14"/>
              </w:rPr>
            </w:pPr>
            <w:r w:rsidRPr="009F2D1E">
              <w:rPr>
                <w:sz w:val="14"/>
                <w:szCs w:val="14"/>
              </w:rPr>
              <w:t>256968,82</w:t>
            </w:r>
          </w:p>
        </w:tc>
        <w:tc>
          <w:tcPr>
            <w:tcW w:w="2008" w:type="dxa"/>
            <w:tcBorders>
              <w:top w:val="nil"/>
              <w:left w:val="nil"/>
              <w:bottom w:val="single" w:sz="4" w:space="0" w:color="auto"/>
              <w:right w:val="single" w:sz="4" w:space="0" w:color="auto"/>
            </w:tcBorders>
            <w:shd w:val="clear" w:color="000000" w:fill="CCFFFF"/>
            <w:noWrap/>
            <w:vAlign w:val="bottom"/>
            <w:hideMark/>
          </w:tcPr>
          <w:p w14:paraId="028FDD74" w14:textId="77777777" w:rsidR="001D4AFA" w:rsidRPr="009F2D1E" w:rsidRDefault="001D4AFA" w:rsidP="009F2D1E">
            <w:pPr>
              <w:jc w:val="right"/>
              <w:rPr>
                <w:rFonts w:ascii="Times New Roman" w:hAnsi="Times New Roman"/>
                <w:sz w:val="14"/>
                <w:szCs w:val="14"/>
              </w:rPr>
            </w:pPr>
            <w:r w:rsidRPr="009F2D1E">
              <w:rPr>
                <w:sz w:val="14"/>
                <w:szCs w:val="14"/>
              </w:rPr>
              <w:t>-25,96</w:t>
            </w:r>
          </w:p>
        </w:tc>
      </w:tr>
      <w:tr w:rsidR="001D4AFA" w:rsidRPr="00364545" w14:paraId="1FE486B0"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6B57771"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Energy industries</w:t>
            </w:r>
          </w:p>
        </w:tc>
        <w:tc>
          <w:tcPr>
            <w:tcW w:w="1541" w:type="dxa"/>
            <w:tcBorders>
              <w:top w:val="nil"/>
              <w:left w:val="nil"/>
              <w:bottom w:val="single" w:sz="4" w:space="0" w:color="auto"/>
              <w:right w:val="single" w:sz="4" w:space="0" w:color="auto"/>
            </w:tcBorders>
            <w:shd w:val="clear" w:color="000000" w:fill="FFFFFF"/>
            <w:noWrap/>
            <w:vAlign w:val="bottom"/>
            <w:hideMark/>
          </w:tcPr>
          <w:p w14:paraId="7AB3D774" w14:textId="77777777" w:rsidR="001D4AFA" w:rsidRPr="009F2D1E" w:rsidRDefault="001D4AFA" w:rsidP="009F2D1E">
            <w:pPr>
              <w:jc w:val="right"/>
              <w:rPr>
                <w:rFonts w:ascii="Times New Roman" w:hAnsi="Times New Roman"/>
                <w:sz w:val="14"/>
                <w:szCs w:val="14"/>
              </w:rPr>
            </w:pPr>
            <w:r w:rsidRPr="009F2D1E">
              <w:rPr>
                <w:sz w:val="14"/>
                <w:szCs w:val="14"/>
              </w:rPr>
              <w:t>41 359,39</w:t>
            </w:r>
          </w:p>
        </w:tc>
        <w:tc>
          <w:tcPr>
            <w:tcW w:w="1541" w:type="dxa"/>
            <w:tcBorders>
              <w:top w:val="nil"/>
              <w:left w:val="nil"/>
              <w:bottom w:val="single" w:sz="4" w:space="0" w:color="auto"/>
              <w:right w:val="single" w:sz="4" w:space="0" w:color="auto"/>
            </w:tcBorders>
            <w:shd w:val="clear" w:color="000000" w:fill="FFFFFF"/>
            <w:noWrap/>
            <w:vAlign w:val="bottom"/>
            <w:hideMark/>
          </w:tcPr>
          <w:p w14:paraId="605D8030" w14:textId="77777777" w:rsidR="001D4AFA" w:rsidRPr="009F2D1E" w:rsidRDefault="001D4AFA" w:rsidP="009F2D1E">
            <w:pPr>
              <w:jc w:val="right"/>
              <w:rPr>
                <w:rFonts w:ascii="Times New Roman" w:hAnsi="Times New Roman"/>
                <w:sz w:val="14"/>
                <w:szCs w:val="14"/>
              </w:rPr>
            </w:pPr>
            <w:r w:rsidRPr="009F2D1E">
              <w:rPr>
                <w:sz w:val="14"/>
                <w:szCs w:val="14"/>
              </w:rPr>
              <w:t>36 821,76</w:t>
            </w:r>
          </w:p>
        </w:tc>
        <w:tc>
          <w:tcPr>
            <w:tcW w:w="2008" w:type="dxa"/>
            <w:tcBorders>
              <w:top w:val="nil"/>
              <w:left w:val="nil"/>
              <w:bottom w:val="single" w:sz="4" w:space="0" w:color="auto"/>
              <w:right w:val="single" w:sz="4" w:space="0" w:color="auto"/>
            </w:tcBorders>
            <w:shd w:val="clear" w:color="000000" w:fill="FFFFFF"/>
            <w:noWrap/>
            <w:vAlign w:val="bottom"/>
            <w:hideMark/>
          </w:tcPr>
          <w:p w14:paraId="7E0BA5CC" w14:textId="77777777" w:rsidR="001D4AFA" w:rsidRPr="009F2D1E" w:rsidRDefault="001D4AFA" w:rsidP="009F2D1E">
            <w:pPr>
              <w:jc w:val="right"/>
              <w:rPr>
                <w:rFonts w:ascii="Times New Roman" w:hAnsi="Times New Roman"/>
                <w:sz w:val="14"/>
                <w:szCs w:val="14"/>
              </w:rPr>
            </w:pPr>
            <w:r w:rsidRPr="009F2D1E">
              <w:rPr>
                <w:sz w:val="14"/>
                <w:szCs w:val="14"/>
              </w:rPr>
              <w:t>-44,06</w:t>
            </w:r>
          </w:p>
        </w:tc>
      </w:tr>
      <w:tr w:rsidR="001D4AFA" w:rsidRPr="00364545" w14:paraId="7EB2173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D0FBFEB"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Manufacturing industries and construction</w:t>
            </w:r>
          </w:p>
        </w:tc>
        <w:tc>
          <w:tcPr>
            <w:tcW w:w="1541" w:type="dxa"/>
            <w:tcBorders>
              <w:top w:val="nil"/>
              <w:left w:val="nil"/>
              <w:bottom w:val="single" w:sz="4" w:space="0" w:color="auto"/>
              <w:right w:val="single" w:sz="4" w:space="0" w:color="auto"/>
            </w:tcBorders>
            <w:shd w:val="clear" w:color="000000" w:fill="FFFFFF"/>
            <w:noWrap/>
            <w:vAlign w:val="bottom"/>
            <w:hideMark/>
          </w:tcPr>
          <w:p w14:paraId="004253C5" w14:textId="77777777" w:rsidR="001D4AFA" w:rsidRPr="009F2D1E" w:rsidRDefault="001D4AFA" w:rsidP="009F2D1E">
            <w:pPr>
              <w:jc w:val="right"/>
              <w:rPr>
                <w:rFonts w:ascii="Times New Roman" w:hAnsi="Times New Roman"/>
                <w:sz w:val="14"/>
                <w:szCs w:val="14"/>
              </w:rPr>
            </w:pPr>
            <w:r w:rsidRPr="009F2D1E">
              <w:rPr>
                <w:sz w:val="14"/>
                <w:szCs w:val="14"/>
              </w:rPr>
              <w:t>43 802,47</w:t>
            </w:r>
          </w:p>
        </w:tc>
        <w:tc>
          <w:tcPr>
            <w:tcW w:w="1541" w:type="dxa"/>
            <w:tcBorders>
              <w:top w:val="nil"/>
              <w:left w:val="nil"/>
              <w:bottom w:val="single" w:sz="4" w:space="0" w:color="auto"/>
              <w:right w:val="single" w:sz="4" w:space="0" w:color="auto"/>
            </w:tcBorders>
            <w:shd w:val="clear" w:color="000000" w:fill="FFFFFF"/>
            <w:noWrap/>
            <w:vAlign w:val="bottom"/>
            <w:hideMark/>
          </w:tcPr>
          <w:p w14:paraId="0B94654A" w14:textId="77777777" w:rsidR="001D4AFA" w:rsidRPr="009F2D1E" w:rsidRDefault="001D4AFA" w:rsidP="009F2D1E">
            <w:pPr>
              <w:jc w:val="right"/>
              <w:rPr>
                <w:rFonts w:ascii="Times New Roman" w:hAnsi="Times New Roman"/>
                <w:sz w:val="14"/>
                <w:szCs w:val="14"/>
              </w:rPr>
            </w:pPr>
            <w:r w:rsidRPr="009F2D1E">
              <w:rPr>
                <w:sz w:val="14"/>
                <w:szCs w:val="14"/>
              </w:rPr>
              <w:t>41 588,56</w:t>
            </w:r>
          </w:p>
        </w:tc>
        <w:tc>
          <w:tcPr>
            <w:tcW w:w="2008" w:type="dxa"/>
            <w:tcBorders>
              <w:top w:val="nil"/>
              <w:left w:val="nil"/>
              <w:bottom w:val="single" w:sz="4" w:space="0" w:color="auto"/>
              <w:right w:val="single" w:sz="4" w:space="0" w:color="auto"/>
            </w:tcBorders>
            <w:shd w:val="clear" w:color="000000" w:fill="FFFFFF"/>
            <w:noWrap/>
            <w:vAlign w:val="bottom"/>
            <w:hideMark/>
          </w:tcPr>
          <w:p w14:paraId="56FE8E9E" w14:textId="77777777" w:rsidR="001D4AFA" w:rsidRPr="009F2D1E" w:rsidRDefault="001D4AFA" w:rsidP="009F2D1E">
            <w:pPr>
              <w:jc w:val="right"/>
              <w:rPr>
                <w:rFonts w:ascii="Times New Roman" w:hAnsi="Times New Roman"/>
                <w:sz w:val="14"/>
                <w:szCs w:val="14"/>
              </w:rPr>
            </w:pPr>
            <w:r w:rsidRPr="009F2D1E">
              <w:rPr>
                <w:sz w:val="14"/>
                <w:szCs w:val="14"/>
              </w:rPr>
              <w:t>-35,61</w:t>
            </w:r>
          </w:p>
        </w:tc>
      </w:tr>
      <w:tr w:rsidR="001D4AFA" w:rsidRPr="00364545" w14:paraId="6D4A713D"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1322D2B"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3. Transport</w:t>
            </w:r>
          </w:p>
        </w:tc>
        <w:tc>
          <w:tcPr>
            <w:tcW w:w="1541" w:type="dxa"/>
            <w:tcBorders>
              <w:top w:val="nil"/>
              <w:left w:val="nil"/>
              <w:bottom w:val="single" w:sz="4" w:space="0" w:color="auto"/>
              <w:right w:val="single" w:sz="4" w:space="0" w:color="auto"/>
            </w:tcBorders>
            <w:shd w:val="clear" w:color="000000" w:fill="FFFFFF"/>
            <w:noWrap/>
            <w:vAlign w:val="bottom"/>
            <w:hideMark/>
          </w:tcPr>
          <w:p w14:paraId="4CFB927A" w14:textId="77777777" w:rsidR="001D4AFA" w:rsidRPr="009F2D1E" w:rsidRDefault="001D4AFA" w:rsidP="009F2D1E">
            <w:pPr>
              <w:jc w:val="right"/>
              <w:rPr>
                <w:rFonts w:ascii="Times New Roman" w:hAnsi="Times New Roman"/>
                <w:sz w:val="14"/>
                <w:szCs w:val="14"/>
              </w:rPr>
            </w:pPr>
            <w:r w:rsidRPr="009F2D1E">
              <w:rPr>
                <w:sz w:val="14"/>
                <w:szCs w:val="14"/>
              </w:rPr>
              <w:t>130 180,48</w:t>
            </w:r>
          </w:p>
        </w:tc>
        <w:tc>
          <w:tcPr>
            <w:tcW w:w="1541" w:type="dxa"/>
            <w:tcBorders>
              <w:top w:val="nil"/>
              <w:left w:val="nil"/>
              <w:bottom w:val="single" w:sz="4" w:space="0" w:color="auto"/>
              <w:right w:val="single" w:sz="4" w:space="0" w:color="auto"/>
            </w:tcBorders>
            <w:shd w:val="clear" w:color="000000" w:fill="FFFFFF"/>
            <w:noWrap/>
            <w:vAlign w:val="bottom"/>
            <w:hideMark/>
          </w:tcPr>
          <w:p w14:paraId="6A2F3393" w14:textId="77777777" w:rsidR="001D4AFA" w:rsidRPr="009F2D1E" w:rsidRDefault="001D4AFA" w:rsidP="009F2D1E">
            <w:pPr>
              <w:jc w:val="right"/>
              <w:rPr>
                <w:rFonts w:ascii="Times New Roman" w:hAnsi="Times New Roman"/>
                <w:sz w:val="14"/>
                <w:szCs w:val="14"/>
              </w:rPr>
            </w:pPr>
            <w:r w:rsidRPr="009F2D1E">
              <w:rPr>
                <w:sz w:val="14"/>
                <w:szCs w:val="14"/>
              </w:rPr>
              <w:t>108 179,03</w:t>
            </w:r>
          </w:p>
        </w:tc>
        <w:tc>
          <w:tcPr>
            <w:tcW w:w="2008" w:type="dxa"/>
            <w:tcBorders>
              <w:top w:val="nil"/>
              <w:left w:val="nil"/>
              <w:bottom w:val="single" w:sz="4" w:space="0" w:color="auto"/>
              <w:right w:val="single" w:sz="4" w:space="0" w:color="auto"/>
            </w:tcBorders>
            <w:shd w:val="clear" w:color="000000" w:fill="FFFFFF"/>
            <w:noWrap/>
            <w:vAlign w:val="bottom"/>
            <w:hideMark/>
          </w:tcPr>
          <w:p w14:paraId="2FDA85C4" w14:textId="77777777" w:rsidR="001D4AFA" w:rsidRPr="009F2D1E" w:rsidRDefault="001D4AFA" w:rsidP="009F2D1E">
            <w:pPr>
              <w:jc w:val="right"/>
              <w:rPr>
                <w:rFonts w:ascii="Times New Roman" w:hAnsi="Times New Roman"/>
                <w:sz w:val="14"/>
                <w:szCs w:val="14"/>
              </w:rPr>
            </w:pPr>
            <w:r w:rsidRPr="009F2D1E">
              <w:rPr>
                <w:sz w:val="14"/>
                <w:szCs w:val="14"/>
              </w:rPr>
              <w:t>-10,11</w:t>
            </w:r>
          </w:p>
        </w:tc>
      </w:tr>
      <w:tr w:rsidR="001D4AFA" w:rsidRPr="00364545" w14:paraId="4E4BA35C"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BE72479"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4. Other sectors</w:t>
            </w:r>
          </w:p>
        </w:tc>
        <w:tc>
          <w:tcPr>
            <w:tcW w:w="1541" w:type="dxa"/>
            <w:tcBorders>
              <w:top w:val="nil"/>
              <w:left w:val="nil"/>
              <w:bottom w:val="single" w:sz="4" w:space="0" w:color="auto"/>
              <w:right w:val="single" w:sz="4" w:space="0" w:color="auto"/>
            </w:tcBorders>
            <w:shd w:val="clear" w:color="000000" w:fill="FFFFFF"/>
            <w:noWrap/>
            <w:vAlign w:val="bottom"/>
            <w:hideMark/>
          </w:tcPr>
          <w:p w14:paraId="4D6F24C7" w14:textId="77777777" w:rsidR="001D4AFA" w:rsidRPr="009F2D1E" w:rsidRDefault="001D4AFA" w:rsidP="009F2D1E">
            <w:pPr>
              <w:jc w:val="right"/>
              <w:rPr>
                <w:rFonts w:ascii="Times New Roman" w:hAnsi="Times New Roman"/>
                <w:sz w:val="14"/>
                <w:szCs w:val="14"/>
              </w:rPr>
            </w:pPr>
            <w:r w:rsidRPr="009F2D1E">
              <w:rPr>
                <w:sz w:val="14"/>
                <w:szCs w:val="14"/>
              </w:rPr>
              <w:t>71 839,96</w:t>
            </w:r>
          </w:p>
        </w:tc>
        <w:tc>
          <w:tcPr>
            <w:tcW w:w="1541" w:type="dxa"/>
            <w:tcBorders>
              <w:top w:val="nil"/>
              <w:left w:val="nil"/>
              <w:bottom w:val="single" w:sz="4" w:space="0" w:color="auto"/>
              <w:right w:val="single" w:sz="4" w:space="0" w:color="auto"/>
            </w:tcBorders>
            <w:shd w:val="clear" w:color="000000" w:fill="FFFFFF"/>
            <w:noWrap/>
            <w:vAlign w:val="bottom"/>
            <w:hideMark/>
          </w:tcPr>
          <w:p w14:paraId="3BE2B292" w14:textId="77777777" w:rsidR="001D4AFA" w:rsidRPr="009F2D1E" w:rsidRDefault="001D4AFA" w:rsidP="009F2D1E">
            <w:pPr>
              <w:jc w:val="right"/>
              <w:rPr>
                <w:rFonts w:ascii="Times New Roman" w:hAnsi="Times New Roman"/>
                <w:sz w:val="14"/>
                <w:szCs w:val="14"/>
              </w:rPr>
            </w:pPr>
            <w:r w:rsidRPr="009F2D1E">
              <w:rPr>
                <w:sz w:val="14"/>
                <w:szCs w:val="14"/>
              </w:rPr>
              <w:t>68 903,09</w:t>
            </w:r>
          </w:p>
        </w:tc>
        <w:tc>
          <w:tcPr>
            <w:tcW w:w="2008" w:type="dxa"/>
            <w:tcBorders>
              <w:top w:val="nil"/>
              <w:left w:val="nil"/>
              <w:bottom w:val="single" w:sz="4" w:space="0" w:color="auto"/>
              <w:right w:val="single" w:sz="4" w:space="0" w:color="auto"/>
            </w:tcBorders>
            <w:shd w:val="clear" w:color="000000" w:fill="FFFFFF"/>
            <w:noWrap/>
            <w:vAlign w:val="bottom"/>
            <w:hideMark/>
          </w:tcPr>
          <w:p w14:paraId="02E9616F" w14:textId="77777777" w:rsidR="001D4AFA" w:rsidRPr="009F2D1E" w:rsidRDefault="001D4AFA" w:rsidP="009F2D1E">
            <w:pPr>
              <w:jc w:val="right"/>
              <w:rPr>
                <w:rFonts w:ascii="Times New Roman" w:hAnsi="Times New Roman"/>
                <w:sz w:val="14"/>
                <w:szCs w:val="14"/>
              </w:rPr>
            </w:pPr>
            <w:r w:rsidRPr="009F2D1E">
              <w:rPr>
                <w:sz w:val="14"/>
                <w:szCs w:val="14"/>
              </w:rPr>
              <w:t>-24,99</w:t>
            </w:r>
          </w:p>
        </w:tc>
      </w:tr>
      <w:tr w:rsidR="001D4AFA" w:rsidRPr="00364545" w14:paraId="2243595D"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6C6D791"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5. Other</w:t>
            </w:r>
          </w:p>
        </w:tc>
        <w:tc>
          <w:tcPr>
            <w:tcW w:w="1541" w:type="dxa"/>
            <w:tcBorders>
              <w:top w:val="nil"/>
              <w:left w:val="nil"/>
              <w:bottom w:val="single" w:sz="4" w:space="0" w:color="auto"/>
              <w:right w:val="single" w:sz="4" w:space="0" w:color="auto"/>
            </w:tcBorders>
            <w:shd w:val="clear" w:color="000000" w:fill="FFFFFF"/>
            <w:noWrap/>
            <w:vAlign w:val="bottom"/>
            <w:hideMark/>
          </w:tcPr>
          <w:p w14:paraId="5548A9AB" w14:textId="77777777" w:rsidR="001D4AFA" w:rsidRPr="009F2D1E" w:rsidRDefault="001D4AFA" w:rsidP="009F2D1E">
            <w:pPr>
              <w:jc w:val="right"/>
              <w:rPr>
                <w:rFonts w:ascii="Times New Roman" w:hAnsi="Times New Roman"/>
                <w:sz w:val="14"/>
                <w:szCs w:val="14"/>
              </w:rPr>
            </w:pPr>
            <w:r w:rsidRPr="009F2D1E">
              <w:rPr>
                <w:sz w:val="14"/>
                <w:szCs w:val="14"/>
              </w:rPr>
              <w:t>1 608,48</w:t>
            </w:r>
          </w:p>
        </w:tc>
        <w:tc>
          <w:tcPr>
            <w:tcW w:w="1541" w:type="dxa"/>
            <w:tcBorders>
              <w:top w:val="nil"/>
              <w:left w:val="nil"/>
              <w:bottom w:val="single" w:sz="4" w:space="0" w:color="auto"/>
              <w:right w:val="single" w:sz="4" w:space="0" w:color="auto"/>
            </w:tcBorders>
            <w:shd w:val="clear" w:color="000000" w:fill="FFFFFF"/>
            <w:noWrap/>
            <w:vAlign w:val="bottom"/>
            <w:hideMark/>
          </w:tcPr>
          <w:p w14:paraId="5FA1F6B6" w14:textId="77777777" w:rsidR="001D4AFA" w:rsidRPr="009F2D1E" w:rsidRDefault="001D4AFA" w:rsidP="009F2D1E">
            <w:pPr>
              <w:jc w:val="right"/>
              <w:rPr>
                <w:rFonts w:ascii="Times New Roman" w:hAnsi="Times New Roman"/>
                <w:sz w:val="14"/>
                <w:szCs w:val="14"/>
              </w:rPr>
            </w:pPr>
            <w:r w:rsidRPr="009F2D1E">
              <w:rPr>
                <w:sz w:val="14"/>
                <w:szCs w:val="14"/>
              </w:rPr>
              <w:t>1 476,39</w:t>
            </w:r>
          </w:p>
        </w:tc>
        <w:tc>
          <w:tcPr>
            <w:tcW w:w="2008" w:type="dxa"/>
            <w:tcBorders>
              <w:top w:val="nil"/>
              <w:left w:val="nil"/>
              <w:bottom w:val="single" w:sz="4" w:space="0" w:color="auto"/>
              <w:right w:val="single" w:sz="4" w:space="0" w:color="auto"/>
            </w:tcBorders>
            <w:shd w:val="clear" w:color="000000" w:fill="FFFFFF"/>
            <w:noWrap/>
            <w:vAlign w:val="bottom"/>
            <w:hideMark/>
          </w:tcPr>
          <w:p w14:paraId="63828C0A" w14:textId="77777777" w:rsidR="001D4AFA" w:rsidRPr="009F2D1E" w:rsidRDefault="001D4AFA" w:rsidP="009F2D1E">
            <w:pPr>
              <w:jc w:val="right"/>
              <w:rPr>
                <w:rFonts w:ascii="Times New Roman" w:hAnsi="Times New Roman"/>
                <w:sz w:val="14"/>
                <w:szCs w:val="14"/>
              </w:rPr>
            </w:pPr>
            <w:r w:rsidRPr="009F2D1E">
              <w:rPr>
                <w:sz w:val="14"/>
                <w:szCs w:val="14"/>
              </w:rPr>
              <w:t>-66,93</w:t>
            </w:r>
          </w:p>
        </w:tc>
      </w:tr>
      <w:tr w:rsidR="001D4AFA" w:rsidRPr="00364545" w14:paraId="79716227"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CC816A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Fugitive emissions from fuels</w:t>
            </w:r>
          </w:p>
        </w:tc>
        <w:tc>
          <w:tcPr>
            <w:tcW w:w="1541" w:type="dxa"/>
            <w:tcBorders>
              <w:top w:val="nil"/>
              <w:left w:val="nil"/>
              <w:bottom w:val="single" w:sz="4" w:space="0" w:color="auto"/>
              <w:right w:val="single" w:sz="4" w:space="0" w:color="auto"/>
            </w:tcBorders>
            <w:shd w:val="clear" w:color="000000" w:fill="CCFFFF"/>
            <w:noWrap/>
            <w:vAlign w:val="bottom"/>
            <w:hideMark/>
          </w:tcPr>
          <w:p w14:paraId="731AFF81" w14:textId="77777777" w:rsidR="001D4AFA" w:rsidRPr="009F2D1E" w:rsidRDefault="001D4AFA" w:rsidP="009F2D1E">
            <w:pPr>
              <w:jc w:val="right"/>
              <w:rPr>
                <w:rFonts w:ascii="Times New Roman" w:hAnsi="Times New Roman"/>
                <w:sz w:val="14"/>
                <w:szCs w:val="14"/>
              </w:rPr>
            </w:pPr>
            <w:r w:rsidRPr="009F2D1E">
              <w:rPr>
                <w:sz w:val="14"/>
                <w:szCs w:val="14"/>
              </w:rPr>
              <w:t>2587,86</w:t>
            </w:r>
          </w:p>
        </w:tc>
        <w:tc>
          <w:tcPr>
            <w:tcW w:w="1541" w:type="dxa"/>
            <w:tcBorders>
              <w:top w:val="nil"/>
              <w:left w:val="nil"/>
              <w:bottom w:val="single" w:sz="4" w:space="0" w:color="auto"/>
              <w:right w:val="single" w:sz="4" w:space="0" w:color="auto"/>
            </w:tcBorders>
            <w:shd w:val="clear" w:color="000000" w:fill="CCFFFF"/>
            <w:noWrap/>
            <w:vAlign w:val="bottom"/>
            <w:hideMark/>
          </w:tcPr>
          <w:p w14:paraId="6DC8E016" w14:textId="77777777" w:rsidR="001D4AFA" w:rsidRPr="009F2D1E" w:rsidRDefault="001D4AFA" w:rsidP="009F2D1E">
            <w:pPr>
              <w:jc w:val="right"/>
              <w:rPr>
                <w:rFonts w:ascii="Times New Roman" w:hAnsi="Times New Roman"/>
                <w:sz w:val="14"/>
                <w:szCs w:val="14"/>
              </w:rPr>
            </w:pPr>
            <w:r w:rsidRPr="009F2D1E">
              <w:rPr>
                <w:sz w:val="14"/>
                <w:szCs w:val="14"/>
              </w:rPr>
              <w:t>2203,10</w:t>
            </w:r>
          </w:p>
        </w:tc>
        <w:tc>
          <w:tcPr>
            <w:tcW w:w="2008" w:type="dxa"/>
            <w:tcBorders>
              <w:top w:val="nil"/>
              <w:left w:val="nil"/>
              <w:bottom w:val="single" w:sz="4" w:space="0" w:color="auto"/>
              <w:right w:val="single" w:sz="4" w:space="0" w:color="auto"/>
            </w:tcBorders>
            <w:shd w:val="clear" w:color="000000" w:fill="CCFFFF"/>
            <w:noWrap/>
            <w:vAlign w:val="bottom"/>
            <w:hideMark/>
          </w:tcPr>
          <w:p w14:paraId="4E499F4E" w14:textId="77777777" w:rsidR="001D4AFA" w:rsidRPr="009F2D1E" w:rsidRDefault="001D4AFA" w:rsidP="009F2D1E">
            <w:pPr>
              <w:jc w:val="right"/>
              <w:rPr>
                <w:rFonts w:ascii="Times New Roman" w:hAnsi="Times New Roman"/>
                <w:sz w:val="14"/>
                <w:szCs w:val="14"/>
              </w:rPr>
            </w:pPr>
            <w:r w:rsidRPr="009F2D1E">
              <w:rPr>
                <w:sz w:val="14"/>
                <w:szCs w:val="14"/>
              </w:rPr>
              <w:t>-49,49</w:t>
            </w:r>
          </w:p>
        </w:tc>
      </w:tr>
      <w:tr w:rsidR="001D4AFA" w:rsidRPr="00364545" w14:paraId="17F541E0"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DCF64D0"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1. Solid fuels</w:t>
            </w:r>
          </w:p>
        </w:tc>
        <w:tc>
          <w:tcPr>
            <w:tcW w:w="1541" w:type="dxa"/>
            <w:tcBorders>
              <w:top w:val="nil"/>
              <w:left w:val="nil"/>
              <w:bottom w:val="single" w:sz="4" w:space="0" w:color="auto"/>
              <w:right w:val="single" w:sz="4" w:space="0" w:color="auto"/>
            </w:tcBorders>
            <w:shd w:val="clear" w:color="000000" w:fill="FFFFFF"/>
            <w:noWrap/>
            <w:vAlign w:val="bottom"/>
            <w:hideMark/>
          </w:tcPr>
          <w:p w14:paraId="685B2FBD"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0D435E00"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6C79CE89"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46F8CE9C"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6ECFBA0" w14:textId="77777777" w:rsidR="001D4AFA" w:rsidRPr="00364545" w:rsidRDefault="001D4AFA" w:rsidP="009F2D1E">
            <w:pPr>
              <w:ind w:firstLineChars="500" w:firstLine="800"/>
              <w:jc w:val="left"/>
              <w:rPr>
                <w:rFonts w:asciiTheme="majorHAnsi" w:hAnsiTheme="majorHAnsi"/>
                <w:sz w:val="16"/>
                <w:szCs w:val="16"/>
              </w:rPr>
            </w:pPr>
            <w:r w:rsidRPr="00364545">
              <w:rPr>
                <w:rFonts w:asciiTheme="majorHAnsi" w:hAnsiTheme="majorHAnsi"/>
                <w:sz w:val="16"/>
              </w:rPr>
              <w:t>2. Oil and natural gas and other emissions from energy production</w:t>
            </w:r>
          </w:p>
        </w:tc>
        <w:tc>
          <w:tcPr>
            <w:tcW w:w="1541" w:type="dxa"/>
            <w:tcBorders>
              <w:top w:val="nil"/>
              <w:left w:val="nil"/>
              <w:bottom w:val="single" w:sz="4" w:space="0" w:color="auto"/>
              <w:right w:val="single" w:sz="4" w:space="0" w:color="auto"/>
            </w:tcBorders>
            <w:shd w:val="clear" w:color="000000" w:fill="FFFFFF"/>
            <w:noWrap/>
            <w:vAlign w:val="bottom"/>
            <w:hideMark/>
          </w:tcPr>
          <w:p w14:paraId="3C7E0D61" w14:textId="77777777" w:rsidR="001D4AFA" w:rsidRPr="009F2D1E" w:rsidRDefault="001D4AFA" w:rsidP="009F2D1E">
            <w:pPr>
              <w:jc w:val="right"/>
              <w:rPr>
                <w:rFonts w:ascii="Times New Roman" w:hAnsi="Times New Roman"/>
                <w:sz w:val="14"/>
                <w:szCs w:val="14"/>
              </w:rPr>
            </w:pPr>
            <w:r w:rsidRPr="009F2D1E">
              <w:rPr>
                <w:sz w:val="14"/>
                <w:szCs w:val="14"/>
              </w:rPr>
              <w:t>2 587,86</w:t>
            </w:r>
          </w:p>
        </w:tc>
        <w:tc>
          <w:tcPr>
            <w:tcW w:w="1541" w:type="dxa"/>
            <w:tcBorders>
              <w:top w:val="nil"/>
              <w:left w:val="nil"/>
              <w:bottom w:val="single" w:sz="4" w:space="0" w:color="auto"/>
              <w:right w:val="single" w:sz="4" w:space="0" w:color="auto"/>
            </w:tcBorders>
            <w:shd w:val="clear" w:color="000000" w:fill="FFFFFF"/>
            <w:noWrap/>
            <w:vAlign w:val="bottom"/>
            <w:hideMark/>
          </w:tcPr>
          <w:p w14:paraId="4AD41D6D" w14:textId="77777777" w:rsidR="001D4AFA" w:rsidRPr="009F2D1E" w:rsidRDefault="001D4AFA" w:rsidP="009F2D1E">
            <w:pPr>
              <w:jc w:val="right"/>
              <w:rPr>
                <w:rFonts w:ascii="Times New Roman" w:hAnsi="Times New Roman"/>
                <w:sz w:val="14"/>
                <w:szCs w:val="14"/>
              </w:rPr>
            </w:pPr>
            <w:r w:rsidRPr="009F2D1E">
              <w:rPr>
                <w:sz w:val="14"/>
                <w:szCs w:val="14"/>
              </w:rPr>
              <w:t>2 203,10</w:t>
            </w:r>
          </w:p>
        </w:tc>
        <w:tc>
          <w:tcPr>
            <w:tcW w:w="2008" w:type="dxa"/>
            <w:tcBorders>
              <w:top w:val="nil"/>
              <w:left w:val="nil"/>
              <w:bottom w:val="single" w:sz="4" w:space="0" w:color="auto"/>
              <w:right w:val="single" w:sz="4" w:space="0" w:color="auto"/>
            </w:tcBorders>
            <w:shd w:val="clear" w:color="000000" w:fill="FFFFFF"/>
            <w:noWrap/>
            <w:vAlign w:val="bottom"/>
            <w:hideMark/>
          </w:tcPr>
          <w:p w14:paraId="4679BA9C" w14:textId="77777777" w:rsidR="001D4AFA" w:rsidRPr="009F2D1E" w:rsidRDefault="001D4AFA" w:rsidP="009F2D1E">
            <w:pPr>
              <w:jc w:val="right"/>
              <w:rPr>
                <w:rFonts w:ascii="Times New Roman" w:hAnsi="Times New Roman"/>
                <w:sz w:val="14"/>
                <w:szCs w:val="14"/>
              </w:rPr>
            </w:pPr>
            <w:r w:rsidRPr="009F2D1E">
              <w:rPr>
                <w:sz w:val="14"/>
                <w:szCs w:val="14"/>
              </w:rPr>
              <w:t>-49,49</w:t>
            </w:r>
          </w:p>
        </w:tc>
      </w:tr>
      <w:tr w:rsidR="001D4AFA" w:rsidRPr="00364545" w14:paraId="771ACFA9"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21B0BA4"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C. </w:t>
            </w:r>
            <w:r w:rsidRPr="00364545">
              <w:t>CO</w:t>
            </w:r>
            <w:r w:rsidRPr="00364545">
              <w:rPr>
                <w:vertAlign w:val="subscript"/>
              </w:rPr>
              <w:t>2</w:t>
            </w:r>
            <w:r w:rsidRPr="00364545">
              <w:rPr>
                <w:rFonts w:asciiTheme="majorHAnsi" w:hAnsiTheme="majorHAnsi"/>
                <w:sz w:val="16"/>
              </w:rPr>
              <w:t xml:space="preserve"> transport and storage</w:t>
            </w:r>
          </w:p>
        </w:tc>
        <w:tc>
          <w:tcPr>
            <w:tcW w:w="1541" w:type="dxa"/>
            <w:tcBorders>
              <w:top w:val="nil"/>
              <w:left w:val="nil"/>
              <w:bottom w:val="single" w:sz="4" w:space="0" w:color="auto"/>
              <w:right w:val="single" w:sz="4" w:space="0" w:color="auto"/>
            </w:tcBorders>
            <w:shd w:val="clear" w:color="000000" w:fill="FFFFFF"/>
            <w:noWrap/>
            <w:vAlign w:val="bottom"/>
            <w:hideMark/>
          </w:tcPr>
          <w:p w14:paraId="729A6BAA"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292157D7"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7F3388FA"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0FC340C2"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A9D7583"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2. Industrial Processes</w:t>
            </w:r>
          </w:p>
        </w:tc>
        <w:tc>
          <w:tcPr>
            <w:tcW w:w="1541" w:type="dxa"/>
            <w:tcBorders>
              <w:top w:val="nil"/>
              <w:left w:val="nil"/>
              <w:bottom w:val="single" w:sz="4" w:space="0" w:color="auto"/>
              <w:right w:val="single" w:sz="4" w:space="0" w:color="auto"/>
            </w:tcBorders>
            <w:shd w:val="clear" w:color="000000" w:fill="CCFFFF"/>
            <w:noWrap/>
            <w:vAlign w:val="bottom"/>
            <w:hideMark/>
          </w:tcPr>
          <w:p w14:paraId="65B20AD0" w14:textId="77777777" w:rsidR="001D4AFA" w:rsidRPr="009F2D1E" w:rsidRDefault="001D4AFA" w:rsidP="009F2D1E">
            <w:pPr>
              <w:jc w:val="right"/>
              <w:rPr>
                <w:rFonts w:ascii="Times New Roman" w:hAnsi="Times New Roman"/>
                <w:sz w:val="14"/>
                <w:szCs w:val="14"/>
              </w:rPr>
            </w:pPr>
            <w:r w:rsidRPr="009F2D1E">
              <w:rPr>
                <w:sz w:val="14"/>
                <w:szCs w:val="14"/>
              </w:rPr>
              <w:t>31576,25</w:t>
            </w:r>
          </w:p>
        </w:tc>
        <w:tc>
          <w:tcPr>
            <w:tcW w:w="1541" w:type="dxa"/>
            <w:tcBorders>
              <w:top w:val="nil"/>
              <w:left w:val="nil"/>
              <w:bottom w:val="single" w:sz="4" w:space="0" w:color="auto"/>
              <w:right w:val="single" w:sz="4" w:space="0" w:color="auto"/>
            </w:tcBorders>
            <w:shd w:val="clear" w:color="000000" w:fill="CCFFFF"/>
            <w:noWrap/>
            <w:vAlign w:val="bottom"/>
            <w:hideMark/>
          </w:tcPr>
          <w:p w14:paraId="7A55C0CD" w14:textId="77777777" w:rsidR="001D4AFA" w:rsidRPr="009F2D1E" w:rsidRDefault="001D4AFA" w:rsidP="009F2D1E">
            <w:pPr>
              <w:jc w:val="right"/>
              <w:rPr>
                <w:rFonts w:ascii="Times New Roman" w:hAnsi="Times New Roman"/>
                <w:sz w:val="14"/>
                <w:szCs w:val="14"/>
              </w:rPr>
            </w:pPr>
            <w:r w:rsidRPr="009F2D1E">
              <w:rPr>
                <w:sz w:val="14"/>
                <w:szCs w:val="14"/>
              </w:rPr>
              <w:t>26755,88</w:t>
            </w:r>
          </w:p>
        </w:tc>
        <w:tc>
          <w:tcPr>
            <w:tcW w:w="2008" w:type="dxa"/>
            <w:tcBorders>
              <w:top w:val="nil"/>
              <w:left w:val="nil"/>
              <w:bottom w:val="single" w:sz="4" w:space="0" w:color="auto"/>
              <w:right w:val="single" w:sz="4" w:space="0" w:color="auto"/>
            </w:tcBorders>
            <w:shd w:val="clear" w:color="000000" w:fill="CCFFFF"/>
            <w:noWrap/>
            <w:vAlign w:val="bottom"/>
            <w:hideMark/>
          </w:tcPr>
          <w:p w14:paraId="46D26040" w14:textId="77777777" w:rsidR="001D4AFA" w:rsidRPr="009F2D1E" w:rsidRDefault="001D4AFA" w:rsidP="009F2D1E">
            <w:pPr>
              <w:jc w:val="right"/>
              <w:rPr>
                <w:rFonts w:ascii="Times New Roman" w:hAnsi="Times New Roman"/>
                <w:sz w:val="14"/>
                <w:szCs w:val="14"/>
              </w:rPr>
            </w:pPr>
            <w:r w:rsidRPr="009F2D1E">
              <w:rPr>
                <w:sz w:val="14"/>
                <w:szCs w:val="14"/>
              </w:rPr>
              <w:t>-37,63</w:t>
            </w:r>
          </w:p>
        </w:tc>
      </w:tr>
      <w:tr w:rsidR="001D4AFA" w:rsidRPr="00364545" w14:paraId="324DB170"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0980D3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Mineral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744006C4" w14:textId="77777777" w:rsidR="001D4AFA" w:rsidRPr="009F2D1E" w:rsidRDefault="001D4AFA" w:rsidP="009F2D1E">
            <w:pPr>
              <w:jc w:val="right"/>
              <w:rPr>
                <w:rFonts w:ascii="Times New Roman" w:hAnsi="Times New Roman"/>
                <w:sz w:val="14"/>
                <w:szCs w:val="14"/>
              </w:rPr>
            </w:pPr>
            <w:r w:rsidRPr="009F2D1E">
              <w:rPr>
                <w:sz w:val="14"/>
                <w:szCs w:val="14"/>
              </w:rPr>
              <w:t>10 060,93</w:t>
            </w:r>
          </w:p>
        </w:tc>
        <w:tc>
          <w:tcPr>
            <w:tcW w:w="1541" w:type="dxa"/>
            <w:tcBorders>
              <w:top w:val="nil"/>
              <w:left w:val="nil"/>
              <w:bottom w:val="single" w:sz="4" w:space="0" w:color="auto"/>
              <w:right w:val="single" w:sz="4" w:space="0" w:color="auto"/>
            </w:tcBorders>
            <w:shd w:val="clear" w:color="000000" w:fill="FFFFFF"/>
            <w:noWrap/>
            <w:vAlign w:val="bottom"/>
            <w:hideMark/>
          </w:tcPr>
          <w:p w14:paraId="57507CD8" w14:textId="77777777" w:rsidR="001D4AFA" w:rsidRPr="009F2D1E" w:rsidRDefault="001D4AFA" w:rsidP="009F2D1E">
            <w:pPr>
              <w:jc w:val="right"/>
              <w:rPr>
                <w:rFonts w:ascii="Times New Roman" w:hAnsi="Times New Roman"/>
                <w:sz w:val="14"/>
                <w:szCs w:val="14"/>
              </w:rPr>
            </w:pPr>
            <w:r w:rsidRPr="009F2D1E">
              <w:rPr>
                <w:sz w:val="14"/>
                <w:szCs w:val="14"/>
              </w:rPr>
              <w:t>9 082,96</w:t>
            </w:r>
          </w:p>
        </w:tc>
        <w:tc>
          <w:tcPr>
            <w:tcW w:w="2008" w:type="dxa"/>
            <w:tcBorders>
              <w:top w:val="nil"/>
              <w:left w:val="nil"/>
              <w:bottom w:val="single" w:sz="4" w:space="0" w:color="auto"/>
              <w:right w:val="single" w:sz="4" w:space="0" w:color="auto"/>
            </w:tcBorders>
            <w:shd w:val="clear" w:color="000000" w:fill="FFFFFF"/>
            <w:noWrap/>
            <w:vAlign w:val="bottom"/>
            <w:hideMark/>
          </w:tcPr>
          <w:p w14:paraId="45D25D2F" w14:textId="77777777" w:rsidR="001D4AFA" w:rsidRPr="009F2D1E" w:rsidRDefault="001D4AFA" w:rsidP="009F2D1E">
            <w:pPr>
              <w:jc w:val="right"/>
              <w:rPr>
                <w:rFonts w:ascii="Times New Roman" w:hAnsi="Times New Roman"/>
                <w:sz w:val="14"/>
                <w:szCs w:val="14"/>
              </w:rPr>
            </w:pPr>
            <w:r w:rsidRPr="009F2D1E">
              <w:rPr>
                <w:sz w:val="14"/>
                <w:szCs w:val="14"/>
              </w:rPr>
              <w:t>-39,35</w:t>
            </w:r>
          </w:p>
        </w:tc>
      </w:tr>
      <w:tr w:rsidR="001D4AFA" w:rsidRPr="00364545" w14:paraId="64D01763"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99CD599"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Chemical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40BB4C76" w14:textId="77777777" w:rsidR="001D4AFA" w:rsidRPr="009F2D1E" w:rsidRDefault="001D4AFA" w:rsidP="009F2D1E">
            <w:pPr>
              <w:jc w:val="right"/>
              <w:rPr>
                <w:rFonts w:ascii="Times New Roman" w:hAnsi="Times New Roman"/>
                <w:sz w:val="14"/>
                <w:szCs w:val="14"/>
              </w:rPr>
            </w:pPr>
            <w:r w:rsidRPr="009F2D1E">
              <w:rPr>
                <w:sz w:val="14"/>
                <w:szCs w:val="14"/>
              </w:rPr>
              <w:t>6 722,75</w:t>
            </w:r>
          </w:p>
        </w:tc>
        <w:tc>
          <w:tcPr>
            <w:tcW w:w="1541" w:type="dxa"/>
            <w:tcBorders>
              <w:top w:val="nil"/>
              <w:left w:val="nil"/>
              <w:bottom w:val="single" w:sz="4" w:space="0" w:color="auto"/>
              <w:right w:val="single" w:sz="4" w:space="0" w:color="auto"/>
            </w:tcBorders>
            <w:shd w:val="clear" w:color="000000" w:fill="FFFFFF"/>
            <w:noWrap/>
            <w:vAlign w:val="bottom"/>
            <w:hideMark/>
          </w:tcPr>
          <w:p w14:paraId="6C712AB3" w14:textId="77777777" w:rsidR="001D4AFA" w:rsidRPr="009F2D1E" w:rsidRDefault="001D4AFA" w:rsidP="009F2D1E">
            <w:pPr>
              <w:jc w:val="right"/>
              <w:rPr>
                <w:rFonts w:ascii="Times New Roman" w:hAnsi="Times New Roman"/>
                <w:sz w:val="14"/>
                <w:szCs w:val="14"/>
              </w:rPr>
            </w:pPr>
            <w:r w:rsidRPr="009F2D1E">
              <w:rPr>
                <w:sz w:val="14"/>
                <w:szCs w:val="14"/>
              </w:rPr>
              <w:t>6 282,91</w:t>
            </w:r>
          </w:p>
        </w:tc>
        <w:tc>
          <w:tcPr>
            <w:tcW w:w="2008" w:type="dxa"/>
            <w:tcBorders>
              <w:top w:val="nil"/>
              <w:left w:val="nil"/>
              <w:bottom w:val="single" w:sz="4" w:space="0" w:color="auto"/>
              <w:right w:val="single" w:sz="4" w:space="0" w:color="auto"/>
            </w:tcBorders>
            <w:shd w:val="clear" w:color="000000" w:fill="FFFFFF"/>
            <w:noWrap/>
            <w:vAlign w:val="bottom"/>
            <w:hideMark/>
          </w:tcPr>
          <w:p w14:paraId="4C7FFB14" w14:textId="77777777" w:rsidR="001D4AFA" w:rsidRPr="009F2D1E" w:rsidRDefault="001D4AFA" w:rsidP="009F2D1E">
            <w:pPr>
              <w:jc w:val="right"/>
              <w:rPr>
                <w:rFonts w:ascii="Times New Roman" w:hAnsi="Times New Roman"/>
                <w:sz w:val="14"/>
                <w:szCs w:val="14"/>
              </w:rPr>
            </w:pPr>
            <w:r w:rsidRPr="009F2D1E">
              <w:rPr>
                <w:sz w:val="14"/>
                <w:szCs w:val="14"/>
              </w:rPr>
              <w:t>-16,67</w:t>
            </w:r>
          </w:p>
        </w:tc>
      </w:tr>
      <w:tr w:rsidR="001D4AFA" w:rsidRPr="00364545" w14:paraId="06BE9AE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E1E2B1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Metal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06683AC6" w14:textId="77777777" w:rsidR="001D4AFA" w:rsidRPr="009F2D1E" w:rsidRDefault="001D4AFA" w:rsidP="009F2D1E">
            <w:pPr>
              <w:jc w:val="right"/>
              <w:rPr>
                <w:rFonts w:ascii="Times New Roman" w:hAnsi="Times New Roman"/>
                <w:sz w:val="14"/>
                <w:szCs w:val="14"/>
              </w:rPr>
            </w:pPr>
            <w:r w:rsidRPr="009F2D1E">
              <w:rPr>
                <w:sz w:val="14"/>
                <w:szCs w:val="14"/>
              </w:rPr>
              <w:t>13 332,25</w:t>
            </w:r>
          </w:p>
        </w:tc>
        <w:tc>
          <w:tcPr>
            <w:tcW w:w="1541" w:type="dxa"/>
            <w:tcBorders>
              <w:top w:val="nil"/>
              <w:left w:val="nil"/>
              <w:bottom w:val="single" w:sz="4" w:space="0" w:color="auto"/>
              <w:right w:val="single" w:sz="4" w:space="0" w:color="auto"/>
            </w:tcBorders>
            <w:shd w:val="clear" w:color="000000" w:fill="FFFFFF"/>
            <w:noWrap/>
            <w:vAlign w:val="bottom"/>
            <w:hideMark/>
          </w:tcPr>
          <w:p w14:paraId="67A3657D" w14:textId="77777777" w:rsidR="001D4AFA" w:rsidRPr="009F2D1E" w:rsidRDefault="001D4AFA" w:rsidP="009F2D1E">
            <w:pPr>
              <w:jc w:val="right"/>
              <w:rPr>
                <w:rFonts w:ascii="Times New Roman" w:hAnsi="Times New Roman"/>
                <w:sz w:val="14"/>
                <w:szCs w:val="14"/>
              </w:rPr>
            </w:pPr>
            <w:r w:rsidRPr="009F2D1E">
              <w:rPr>
                <w:sz w:val="14"/>
                <w:szCs w:val="14"/>
              </w:rPr>
              <w:t>9 862,56</w:t>
            </w:r>
          </w:p>
        </w:tc>
        <w:tc>
          <w:tcPr>
            <w:tcW w:w="2008" w:type="dxa"/>
            <w:tcBorders>
              <w:top w:val="nil"/>
              <w:left w:val="nil"/>
              <w:bottom w:val="single" w:sz="4" w:space="0" w:color="auto"/>
              <w:right w:val="single" w:sz="4" w:space="0" w:color="auto"/>
            </w:tcBorders>
            <w:shd w:val="clear" w:color="000000" w:fill="FFFFFF"/>
            <w:noWrap/>
            <w:vAlign w:val="bottom"/>
            <w:hideMark/>
          </w:tcPr>
          <w:p w14:paraId="02796905" w14:textId="77777777" w:rsidR="001D4AFA" w:rsidRPr="009F2D1E" w:rsidRDefault="001D4AFA" w:rsidP="009F2D1E">
            <w:pPr>
              <w:jc w:val="right"/>
              <w:rPr>
                <w:rFonts w:ascii="Times New Roman" w:hAnsi="Times New Roman"/>
                <w:sz w:val="14"/>
                <w:szCs w:val="14"/>
              </w:rPr>
            </w:pPr>
            <w:r w:rsidRPr="009F2D1E">
              <w:rPr>
                <w:sz w:val="14"/>
                <w:szCs w:val="14"/>
              </w:rPr>
              <w:t>-44,21</w:t>
            </w:r>
          </w:p>
        </w:tc>
      </w:tr>
      <w:tr w:rsidR="001D4AFA" w:rsidRPr="00364545" w14:paraId="025B7FB0"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5949E265"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Non-energy products from fuels and solvent use</w:t>
            </w:r>
          </w:p>
        </w:tc>
        <w:tc>
          <w:tcPr>
            <w:tcW w:w="1541" w:type="dxa"/>
            <w:tcBorders>
              <w:top w:val="nil"/>
              <w:left w:val="nil"/>
              <w:bottom w:val="single" w:sz="4" w:space="0" w:color="auto"/>
              <w:right w:val="single" w:sz="4" w:space="0" w:color="auto"/>
            </w:tcBorders>
            <w:shd w:val="clear" w:color="000000" w:fill="FFFFFF"/>
            <w:noWrap/>
            <w:vAlign w:val="bottom"/>
            <w:hideMark/>
          </w:tcPr>
          <w:p w14:paraId="027F0FEE" w14:textId="77777777" w:rsidR="001D4AFA" w:rsidRPr="009F2D1E" w:rsidRDefault="001D4AFA" w:rsidP="009F2D1E">
            <w:pPr>
              <w:jc w:val="right"/>
              <w:rPr>
                <w:rFonts w:ascii="Times New Roman" w:hAnsi="Times New Roman"/>
                <w:sz w:val="14"/>
                <w:szCs w:val="14"/>
              </w:rPr>
            </w:pPr>
            <w:r w:rsidRPr="009F2D1E">
              <w:rPr>
                <w:sz w:val="14"/>
                <w:szCs w:val="14"/>
              </w:rPr>
              <w:t>1 009,32</w:t>
            </w:r>
          </w:p>
        </w:tc>
        <w:tc>
          <w:tcPr>
            <w:tcW w:w="1541" w:type="dxa"/>
            <w:tcBorders>
              <w:top w:val="nil"/>
              <w:left w:val="nil"/>
              <w:bottom w:val="single" w:sz="4" w:space="0" w:color="auto"/>
              <w:right w:val="single" w:sz="4" w:space="0" w:color="auto"/>
            </w:tcBorders>
            <w:shd w:val="clear" w:color="000000" w:fill="FFFFFF"/>
            <w:noWrap/>
            <w:vAlign w:val="bottom"/>
            <w:hideMark/>
          </w:tcPr>
          <w:p w14:paraId="5F92E072" w14:textId="77777777" w:rsidR="001D4AFA" w:rsidRPr="009F2D1E" w:rsidRDefault="001D4AFA" w:rsidP="009F2D1E">
            <w:pPr>
              <w:jc w:val="right"/>
              <w:rPr>
                <w:rFonts w:ascii="Times New Roman" w:hAnsi="Times New Roman"/>
                <w:sz w:val="14"/>
                <w:szCs w:val="14"/>
              </w:rPr>
            </w:pPr>
            <w:r w:rsidRPr="009F2D1E">
              <w:rPr>
                <w:sz w:val="14"/>
                <w:szCs w:val="14"/>
              </w:rPr>
              <w:t>1 067,63</w:t>
            </w:r>
          </w:p>
        </w:tc>
        <w:tc>
          <w:tcPr>
            <w:tcW w:w="2008" w:type="dxa"/>
            <w:tcBorders>
              <w:top w:val="nil"/>
              <w:left w:val="nil"/>
              <w:bottom w:val="single" w:sz="4" w:space="0" w:color="auto"/>
              <w:right w:val="single" w:sz="4" w:space="0" w:color="auto"/>
            </w:tcBorders>
            <w:shd w:val="clear" w:color="000000" w:fill="FFFFFF"/>
            <w:noWrap/>
            <w:vAlign w:val="bottom"/>
            <w:hideMark/>
          </w:tcPr>
          <w:p w14:paraId="20B95E18" w14:textId="77777777" w:rsidR="001D4AFA" w:rsidRPr="009F2D1E" w:rsidRDefault="001D4AFA" w:rsidP="009F2D1E">
            <w:pPr>
              <w:jc w:val="right"/>
              <w:rPr>
                <w:rFonts w:ascii="Times New Roman" w:hAnsi="Times New Roman"/>
                <w:sz w:val="14"/>
                <w:szCs w:val="14"/>
              </w:rPr>
            </w:pPr>
            <w:r w:rsidRPr="009F2D1E">
              <w:rPr>
                <w:sz w:val="14"/>
                <w:szCs w:val="14"/>
              </w:rPr>
              <w:t>-47,87</w:t>
            </w:r>
          </w:p>
        </w:tc>
      </w:tr>
      <w:tr w:rsidR="001D4AFA" w:rsidRPr="00364545" w14:paraId="1C6B8BB4"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B3E2290"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Electronic industry</w:t>
            </w:r>
          </w:p>
        </w:tc>
        <w:tc>
          <w:tcPr>
            <w:tcW w:w="1541" w:type="dxa"/>
            <w:tcBorders>
              <w:top w:val="nil"/>
              <w:left w:val="nil"/>
              <w:bottom w:val="single" w:sz="4" w:space="0" w:color="auto"/>
              <w:right w:val="single" w:sz="4" w:space="0" w:color="auto"/>
            </w:tcBorders>
            <w:shd w:val="clear" w:color="000000" w:fill="FFFFFF"/>
            <w:noWrap/>
            <w:vAlign w:val="bottom"/>
            <w:hideMark/>
          </w:tcPr>
          <w:p w14:paraId="69C0947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1C0C0212"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13B8323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5997CE3E"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64DB2772"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Product uses as ODS substitutes</w:t>
            </w:r>
          </w:p>
        </w:tc>
        <w:tc>
          <w:tcPr>
            <w:tcW w:w="1541" w:type="dxa"/>
            <w:tcBorders>
              <w:top w:val="nil"/>
              <w:left w:val="nil"/>
              <w:bottom w:val="single" w:sz="4" w:space="0" w:color="auto"/>
              <w:right w:val="single" w:sz="4" w:space="0" w:color="auto"/>
            </w:tcBorders>
            <w:shd w:val="clear" w:color="000000" w:fill="FFFFFF"/>
            <w:noWrap/>
            <w:vAlign w:val="bottom"/>
            <w:hideMark/>
          </w:tcPr>
          <w:p w14:paraId="46851CF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7BB47CA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561E0AF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4AF6B302"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vAlign w:val="center"/>
            <w:hideMark/>
          </w:tcPr>
          <w:p w14:paraId="2FD00DE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G. Other product manufacture and use </w:t>
            </w:r>
          </w:p>
        </w:tc>
        <w:tc>
          <w:tcPr>
            <w:tcW w:w="1541" w:type="dxa"/>
            <w:tcBorders>
              <w:top w:val="nil"/>
              <w:left w:val="nil"/>
              <w:bottom w:val="single" w:sz="4" w:space="0" w:color="auto"/>
              <w:right w:val="single" w:sz="4" w:space="0" w:color="auto"/>
            </w:tcBorders>
            <w:shd w:val="clear" w:color="000000" w:fill="FFFFFF"/>
            <w:noWrap/>
            <w:vAlign w:val="bottom"/>
            <w:hideMark/>
          </w:tcPr>
          <w:p w14:paraId="5BB2D1B4" w14:textId="77777777" w:rsidR="001D4AFA" w:rsidRPr="009F2D1E" w:rsidRDefault="001D4AFA" w:rsidP="009F2D1E">
            <w:pPr>
              <w:jc w:val="right"/>
              <w:rPr>
                <w:rFonts w:ascii="Times New Roman" w:hAnsi="Times New Roman"/>
                <w:sz w:val="14"/>
                <w:szCs w:val="14"/>
              </w:rPr>
            </w:pPr>
            <w:r w:rsidRPr="009F2D1E">
              <w:rPr>
                <w:sz w:val="14"/>
                <w:szCs w:val="14"/>
              </w:rPr>
              <w:t>450,93</w:t>
            </w:r>
          </w:p>
        </w:tc>
        <w:tc>
          <w:tcPr>
            <w:tcW w:w="1541" w:type="dxa"/>
            <w:tcBorders>
              <w:top w:val="nil"/>
              <w:left w:val="nil"/>
              <w:bottom w:val="single" w:sz="4" w:space="0" w:color="auto"/>
              <w:right w:val="single" w:sz="4" w:space="0" w:color="auto"/>
            </w:tcBorders>
            <w:shd w:val="clear" w:color="000000" w:fill="FFFFFF"/>
            <w:noWrap/>
            <w:vAlign w:val="bottom"/>
            <w:hideMark/>
          </w:tcPr>
          <w:p w14:paraId="7623BE5A" w14:textId="77777777" w:rsidR="001D4AFA" w:rsidRPr="009F2D1E" w:rsidRDefault="001D4AFA" w:rsidP="009F2D1E">
            <w:pPr>
              <w:jc w:val="right"/>
              <w:rPr>
                <w:rFonts w:ascii="Times New Roman" w:hAnsi="Times New Roman"/>
                <w:sz w:val="14"/>
                <w:szCs w:val="14"/>
              </w:rPr>
            </w:pPr>
            <w:r w:rsidRPr="009F2D1E">
              <w:rPr>
                <w:sz w:val="14"/>
                <w:szCs w:val="14"/>
              </w:rPr>
              <w:t>459,72</w:t>
            </w:r>
          </w:p>
        </w:tc>
        <w:tc>
          <w:tcPr>
            <w:tcW w:w="2008" w:type="dxa"/>
            <w:tcBorders>
              <w:top w:val="nil"/>
              <w:left w:val="nil"/>
              <w:bottom w:val="single" w:sz="4" w:space="0" w:color="auto"/>
              <w:right w:val="single" w:sz="4" w:space="0" w:color="auto"/>
            </w:tcBorders>
            <w:shd w:val="clear" w:color="000000" w:fill="FFFFFF"/>
            <w:noWrap/>
            <w:vAlign w:val="bottom"/>
            <w:hideMark/>
          </w:tcPr>
          <w:p w14:paraId="544A8C56" w14:textId="77777777" w:rsidR="001D4AFA" w:rsidRPr="009F2D1E" w:rsidRDefault="001D4AFA" w:rsidP="009F2D1E">
            <w:pPr>
              <w:jc w:val="right"/>
              <w:rPr>
                <w:rFonts w:ascii="Times New Roman" w:hAnsi="Times New Roman"/>
                <w:sz w:val="14"/>
                <w:szCs w:val="14"/>
              </w:rPr>
            </w:pPr>
            <w:r w:rsidRPr="009F2D1E">
              <w:rPr>
                <w:sz w:val="14"/>
                <w:szCs w:val="14"/>
              </w:rPr>
              <w:t>-30,24</w:t>
            </w:r>
          </w:p>
        </w:tc>
      </w:tr>
      <w:tr w:rsidR="001D4AFA" w:rsidRPr="00364545" w14:paraId="05D8D0D7"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53E1F8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H. Other </w:t>
            </w:r>
          </w:p>
        </w:tc>
        <w:tc>
          <w:tcPr>
            <w:tcW w:w="1541" w:type="dxa"/>
            <w:tcBorders>
              <w:top w:val="nil"/>
              <w:left w:val="nil"/>
              <w:bottom w:val="single" w:sz="4" w:space="0" w:color="auto"/>
              <w:right w:val="single" w:sz="4" w:space="0" w:color="auto"/>
            </w:tcBorders>
            <w:shd w:val="clear" w:color="000000" w:fill="FFFFFF"/>
            <w:noWrap/>
            <w:vAlign w:val="bottom"/>
            <w:hideMark/>
          </w:tcPr>
          <w:p w14:paraId="6B4D5D87" w14:textId="77777777" w:rsidR="001D4AFA" w:rsidRPr="009F2D1E" w:rsidRDefault="001D4AFA" w:rsidP="009F2D1E">
            <w:pPr>
              <w:jc w:val="right"/>
              <w:rPr>
                <w:rFonts w:ascii="Times New Roman" w:hAnsi="Times New Roman"/>
                <w:sz w:val="14"/>
                <w:szCs w:val="14"/>
              </w:rPr>
            </w:pPr>
            <w:r w:rsidRPr="009F2D1E">
              <w:rPr>
                <w:sz w:val="14"/>
                <w:szCs w:val="14"/>
              </w:rPr>
              <w:t>0,06</w:t>
            </w:r>
          </w:p>
        </w:tc>
        <w:tc>
          <w:tcPr>
            <w:tcW w:w="1541" w:type="dxa"/>
            <w:tcBorders>
              <w:top w:val="nil"/>
              <w:left w:val="nil"/>
              <w:bottom w:val="single" w:sz="4" w:space="0" w:color="auto"/>
              <w:right w:val="single" w:sz="4" w:space="0" w:color="auto"/>
            </w:tcBorders>
            <w:shd w:val="clear" w:color="000000" w:fill="FFFFFF"/>
            <w:noWrap/>
            <w:vAlign w:val="bottom"/>
            <w:hideMark/>
          </w:tcPr>
          <w:p w14:paraId="120A073F" w14:textId="77777777" w:rsidR="001D4AFA" w:rsidRPr="009F2D1E" w:rsidRDefault="001D4AFA" w:rsidP="009F2D1E">
            <w:pPr>
              <w:jc w:val="right"/>
              <w:rPr>
                <w:rFonts w:ascii="Times New Roman" w:hAnsi="Times New Roman"/>
                <w:sz w:val="14"/>
                <w:szCs w:val="14"/>
              </w:rPr>
            </w:pPr>
            <w:r w:rsidRPr="009F2D1E">
              <w:rPr>
                <w:sz w:val="14"/>
                <w:szCs w:val="14"/>
              </w:rPr>
              <w:t>0,10</w:t>
            </w:r>
          </w:p>
        </w:tc>
        <w:tc>
          <w:tcPr>
            <w:tcW w:w="2008" w:type="dxa"/>
            <w:tcBorders>
              <w:top w:val="nil"/>
              <w:left w:val="nil"/>
              <w:bottom w:val="single" w:sz="4" w:space="0" w:color="auto"/>
              <w:right w:val="single" w:sz="4" w:space="0" w:color="auto"/>
            </w:tcBorders>
            <w:shd w:val="clear" w:color="000000" w:fill="FFFFFF"/>
            <w:noWrap/>
            <w:vAlign w:val="bottom"/>
            <w:hideMark/>
          </w:tcPr>
          <w:p w14:paraId="25C4B176" w14:textId="77777777" w:rsidR="001D4AFA" w:rsidRPr="009F2D1E" w:rsidRDefault="001D4AFA" w:rsidP="009F2D1E">
            <w:pPr>
              <w:jc w:val="right"/>
              <w:rPr>
                <w:rFonts w:ascii="Times New Roman" w:hAnsi="Times New Roman"/>
                <w:sz w:val="14"/>
                <w:szCs w:val="14"/>
              </w:rPr>
            </w:pPr>
            <w:r w:rsidRPr="009F2D1E">
              <w:rPr>
                <w:sz w:val="14"/>
                <w:szCs w:val="14"/>
              </w:rPr>
              <w:t>135,02</w:t>
            </w:r>
          </w:p>
        </w:tc>
      </w:tr>
      <w:tr w:rsidR="001D4AFA" w:rsidRPr="00364545" w14:paraId="581C9C86"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bottom"/>
            <w:hideMark/>
          </w:tcPr>
          <w:p w14:paraId="69D07AD4"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3. Agriculture</w:t>
            </w:r>
          </w:p>
        </w:tc>
        <w:tc>
          <w:tcPr>
            <w:tcW w:w="1541" w:type="dxa"/>
            <w:tcBorders>
              <w:top w:val="nil"/>
              <w:left w:val="nil"/>
              <w:bottom w:val="single" w:sz="4" w:space="0" w:color="auto"/>
              <w:right w:val="single" w:sz="4" w:space="0" w:color="auto"/>
            </w:tcBorders>
            <w:shd w:val="clear" w:color="000000" w:fill="CCFFFF"/>
            <w:noWrap/>
            <w:vAlign w:val="bottom"/>
            <w:hideMark/>
          </w:tcPr>
          <w:p w14:paraId="7E051617" w14:textId="77777777" w:rsidR="001D4AFA" w:rsidRPr="009F2D1E" w:rsidRDefault="001D4AFA" w:rsidP="009F2D1E">
            <w:pPr>
              <w:jc w:val="right"/>
              <w:rPr>
                <w:rFonts w:ascii="Times New Roman" w:hAnsi="Times New Roman"/>
                <w:sz w:val="14"/>
                <w:szCs w:val="14"/>
              </w:rPr>
            </w:pPr>
            <w:r w:rsidRPr="009F2D1E">
              <w:rPr>
                <w:sz w:val="14"/>
                <w:szCs w:val="14"/>
              </w:rPr>
              <w:t>2032,25</w:t>
            </w:r>
          </w:p>
        </w:tc>
        <w:tc>
          <w:tcPr>
            <w:tcW w:w="1541" w:type="dxa"/>
            <w:tcBorders>
              <w:top w:val="nil"/>
              <w:left w:val="nil"/>
              <w:bottom w:val="single" w:sz="4" w:space="0" w:color="auto"/>
              <w:right w:val="single" w:sz="4" w:space="0" w:color="auto"/>
            </w:tcBorders>
            <w:shd w:val="clear" w:color="000000" w:fill="CCFFFF"/>
            <w:noWrap/>
            <w:vAlign w:val="bottom"/>
            <w:hideMark/>
          </w:tcPr>
          <w:p w14:paraId="242D72F5" w14:textId="77777777" w:rsidR="001D4AFA" w:rsidRPr="009F2D1E" w:rsidRDefault="001D4AFA" w:rsidP="009F2D1E">
            <w:pPr>
              <w:jc w:val="right"/>
              <w:rPr>
                <w:rFonts w:ascii="Times New Roman" w:hAnsi="Times New Roman"/>
                <w:sz w:val="14"/>
                <w:szCs w:val="14"/>
              </w:rPr>
            </w:pPr>
            <w:r w:rsidRPr="009F2D1E">
              <w:rPr>
                <w:sz w:val="14"/>
                <w:szCs w:val="14"/>
              </w:rPr>
              <w:t>1858,83</w:t>
            </w:r>
          </w:p>
        </w:tc>
        <w:tc>
          <w:tcPr>
            <w:tcW w:w="2008" w:type="dxa"/>
            <w:tcBorders>
              <w:top w:val="nil"/>
              <w:left w:val="nil"/>
              <w:bottom w:val="single" w:sz="4" w:space="0" w:color="auto"/>
              <w:right w:val="single" w:sz="4" w:space="0" w:color="auto"/>
            </w:tcBorders>
            <w:shd w:val="clear" w:color="000000" w:fill="CCFFFF"/>
            <w:noWrap/>
            <w:vAlign w:val="bottom"/>
            <w:hideMark/>
          </w:tcPr>
          <w:p w14:paraId="7E9FEB8E" w14:textId="77777777" w:rsidR="001D4AFA" w:rsidRPr="009F2D1E" w:rsidRDefault="001D4AFA" w:rsidP="009F2D1E">
            <w:pPr>
              <w:jc w:val="right"/>
              <w:rPr>
                <w:rFonts w:ascii="Times New Roman" w:hAnsi="Times New Roman"/>
                <w:sz w:val="14"/>
                <w:szCs w:val="14"/>
              </w:rPr>
            </w:pPr>
            <w:r w:rsidRPr="009F2D1E">
              <w:rPr>
                <w:sz w:val="14"/>
                <w:szCs w:val="14"/>
              </w:rPr>
              <w:t>-1,84</w:t>
            </w:r>
          </w:p>
        </w:tc>
      </w:tr>
      <w:tr w:rsidR="001D4AFA" w:rsidRPr="00364545" w14:paraId="70329691"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CAD96E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Enteric fermentation</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A83B83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7A3E358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3F991E7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480C8F1"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FC7229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Manure management</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758827F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37238C1"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4FF7E7B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FC51572"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BA9BC9E"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Rice cultivation</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9B59EA4"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1793B79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18F8118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B633FE9"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6D4B97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Agricultural soils</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69DBD83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32032CA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3ED48E48"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BFCDFE3"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997D31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Prescribed burning of savannas</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408A068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auto" w:fill="A6A6A6" w:themeFill="background1" w:themeFillShade="A6"/>
            <w:noWrap/>
            <w:vAlign w:val="bottom"/>
            <w:hideMark/>
          </w:tcPr>
          <w:p w14:paraId="0A29357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auto" w:fill="A6A6A6" w:themeFill="background1" w:themeFillShade="A6"/>
            <w:noWrap/>
            <w:vAlign w:val="bottom"/>
            <w:hideMark/>
          </w:tcPr>
          <w:p w14:paraId="69F520E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54CCEEA"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F2605B8"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Field burning of agricultural residues</w:t>
            </w:r>
          </w:p>
        </w:tc>
        <w:tc>
          <w:tcPr>
            <w:tcW w:w="1541" w:type="dxa"/>
            <w:tcBorders>
              <w:top w:val="nil"/>
              <w:left w:val="nil"/>
              <w:bottom w:val="single" w:sz="4" w:space="0" w:color="auto"/>
              <w:right w:val="single" w:sz="4" w:space="0" w:color="auto"/>
            </w:tcBorders>
            <w:shd w:val="clear" w:color="000000" w:fill="FFFFFF"/>
            <w:noWrap/>
            <w:vAlign w:val="bottom"/>
            <w:hideMark/>
          </w:tcPr>
          <w:p w14:paraId="60B6403B"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4ACAEFD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66603E8F"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63E0BC9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EAAAE1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Liming</w:t>
            </w:r>
          </w:p>
        </w:tc>
        <w:tc>
          <w:tcPr>
            <w:tcW w:w="1541" w:type="dxa"/>
            <w:tcBorders>
              <w:top w:val="nil"/>
              <w:left w:val="nil"/>
              <w:bottom w:val="single" w:sz="4" w:space="0" w:color="auto"/>
              <w:right w:val="single" w:sz="4" w:space="0" w:color="auto"/>
            </w:tcBorders>
            <w:shd w:val="clear" w:color="000000" w:fill="FFFFFF"/>
            <w:noWrap/>
            <w:vAlign w:val="bottom"/>
            <w:hideMark/>
          </w:tcPr>
          <w:p w14:paraId="34E676D6" w14:textId="77777777" w:rsidR="001D4AFA" w:rsidRPr="009F2D1E" w:rsidRDefault="001D4AFA" w:rsidP="009F2D1E">
            <w:pPr>
              <w:jc w:val="right"/>
              <w:rPr>
                <w:rFonts w:ascii="Times New Roman" w:hAnsi="Times New Roman"/>
                <w:sz w:val="14"/>
                <w:szCs w:val="14"/>
              </w:rPr>
            </w:pPr>
            <w:r w:rsidRPr="009F2D1E">
              <w:rPr>
                <w:sz w:val="14"/>
                <w:szCs w:val="14"/>
              </w:rPr>
              <w:t>668,64</w:t>
            </w:r>
          </w:p>
        </w:tc>
        <w:tc>
          <w:tcPr>
            <w:tcW w:w="1541" w:type="dxa"/>
            <w:tcBorders>
              <w:top w:val="nil"/>
              <w:left w:val="nil"/>
              <w:bottom w:val="single" w:sz="4" w:space="0" w:color="auto"/>
              <w:right w:val="single" w:sz="4" w:space="0" w:color="auto"/>
            </w:tcBorders>
            <w:shd w:val="clear" w:color="000000" w:fill="FFFFFF"/>
            <w:noWrap/>
            <w:vAlign w:val="bottom"/>
            <w:hideMark/>
          </w:tcPr>
          <w:p w14:paraId="0869C397" w14:textId="77777777" w:rsidR="001D4AFA" w:rsidRPr="009F2D1E" w:rsidRDefault="001D4AFA" w:rsidP="009F2D1E">
            <w:pPr>
              <w:jc w:val="right"/>
              <w:rPr>
                <w:rFonts w:ascii="Times New Roman" w:hAnsi="Times New Roman"/>
                <w:sz w:val="14"/>
                <w:szCs w:val="14"/>
              </w:rPr>
            </w:pPr>
            <w:r w:rsidRPr="009F2D1E">
              <w:rPr>
                <w:sz w:val="14"/>
                <w:szCs w:val="14"/>
              </w:rPr>
              <w:t>640,81</w:t>
            </w:r>
          </w:p>
        </w:tc>
        <w:tc>
          <w:tcPr>
            <w:tcW w:w="2008" w:type="dxa"/>
            <w:tcBorders>
              <w:top w:val="nil"/>
              <w:left w:val="nil"/>
              <w:bottom w:val="single" w:sz="4" w:space="0" w:color="auto"/>
              <w:right w:val="single" w:sz="4" w:space="0" w:color="auto"/>
            </w:tcBorders>
            <w:shd w:val="clear" w:color="000000" w:fill="FFFFFF"/>
            <w:noWrap/>
            <w:vAlign w:val="bottom"/>
            <w:hideMark/>
          </w:tcPr>
          <w:p w14:paraId="5C813525" w14:textId="77777777" w:rsidR="001D4AFA" w:rsidRPr="009F2D1E" w:rsidRDefault="001D4AFA" w:rsidP="009F2D1E">
            <w:pPr>
              <w:jc w:val="right"/>
              <w:rPr>
                <w:rFonts w:ascii="Times New Roman" w:hAnsi="Times New Roman"/>
                <w:sz w:val="14"/>
                <w:szCs w:val="14"/>
              </w:rPr>
            </w:pPr>
            <w:r w:rsidRPr="009F2D1E">
              <w:rPr>
                <w:sz w:val="14"/>
                <w:szCs w:val="14"/>
              </w:rPr>
              <w:t>-29,99</w:t>
            </w:r>
          </w:p>
        </w:tc>
      </w:tr>
      <w:tr w:rsidR="001D4AFA" w:rsidRPr="00364545" w14:paraId="6272678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FB0834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Urea application</w:t>
            </w:r>
          </w:p>
        </w:tc>
        <w:tc>
          <w:tcPr>
            <w:tcW w:w="1541" w:type="dxa"/>
            <w:tcBorders>
              <w:top w:val="nil"/>
              <w:left w:val="nil"/>
              <w:bottom w:val="single" w:sz="4" w:space="0" w:color="auto"/>
              <w:right w:val="single" w:sz="4" w:space="0" w:color="auto"/>
            </w:tcBorders>
            <w:shd w:val="clear" w:color="000000" w:fill="FFFFFF"/>
            <w:noWrap/>
            <w:vAlign w:val="bottom"/>
            <w:hideMark/>
          </w:tcPr>
          <w:p w14:paraId="71A986D2" w14:textId="77777777" w:rsidR="001D4AFA" w:rsidRPr="009F2D1E" w:rsidRDefault="001D4AFA" w:rsidP="009F2D1E">
            <w:pPr>
              <w:jc w:val="right"/>
              <w:rPr>
                <w:rFonts w:ascii="Times New Roman" w:hAnsi="Times New Roman"/>
                <w:sz w:val="14"/>
                <w:szCs w:val="14"/>
              </w:rPr>
            </w:pPr>
            <w:r w:rsidRPr="009F2D1E">
              <w:rPr>
                <w:sz w:val="14"/>
                <w:szCs w:val="14"/>
              </w:rPr>
              <w:t>1 211,16</w:t>
            </w:r>
          </w:p>
        </w:tc>
        <w:tc>
          <w:tcPr>
            <w:tcW w:w="1541" w:type="dxa"/>
            <w:tcBorders>
              <w:top w:val="nil"/>
              <w:left w:val="nil"/>
              <w:bottom w:val="single" w:sz="4" w:space="0" w:color="auto"/>
              <w:right w:val="single" w:sz="4" w:space="0" w:color="auto"/>
            </w:tcBorders>
            <w:shd w:val="clear" w:color="000000" w:fill="FFFFFF"/>
            <w:noWrap/>
            <w:vAlign w:val="bottom"/>
            <w:hideMark/>
          </w:tcPr>
          <w:p w14:paraId="0FA6176F" w14:textId="77777777" w:rsidR="001D4AFA" w:rsidRPr="009F2D1E" w:rsidRDefault="001D4AFA" w:rsidP="009F2D1E">
            <w:pPr>
              <w:jc w:val="right"/>
              <w:rPr>
                <w:rFonts w:ascii="Times New Roman" w:hAnsi="Times New Roman"/>
                <w:sz w:val="14"/>
                <w:szCs w:val="14"/>
              </w:rPr>
            </w:pPr>
            <w:r w:rsidRPr="009F2D1E">
              <w:rPr>
                <w:sz w:val="14"/>
                <w:szCs w:val="14"/>
              </w:rPr>
              <w:t>1 036,18</w:t>
            </w:r>
          </w:p>
        </w:tc>
        <w:tc>
          <w:tcPr>
            <w:tcW w:w="2008" w:type="dxa"/>
            <w:tcBorders>
              <w:top w:val="nil"/>
              <w:left w:val="nil"/>
              <w:bottom w:val="single" w:sz="4" w:space="0" w:color="auto"/>
              <w:right w:val="single" w:sz="4" w:space="0" w:color="auto"/>
            </w:tcBorders>
            <w:shd w:val="clear" w:color="000000" w:fill="FFFFFF"/>
            <w:noWrap/>
            <w:vAlign w:val="bottom"/>
            <w:hideMark/>
          </w:tcPr>
          <w:p w14:paraId="71DDBB96" w14:textId="77777777" w:rsidR="001D4AFA" w:rsidRPr="009F2D1E" w:rsidRDefault="001D4AFA" w:rsidP="009F2D1E">
            <w:pPr>
              <w:jc w:val="right"/>
              <w:rPr>
                <w:rFonts w:ascii="Times New Roman" w:hAnsi="Times New Roman"/>
                <w:sz w:val="14"/>
                <w:szCs w:val="14"/>
              </w:rPr>
            </w:pPr>
            <w:r w:rsidRPr="009F2D1E">
              <w:rPr>
                <w:sz w:val="14"/>
                <w:szCs w:val="14"/>
              </w:rPr>
              <w:t>21,88</w:t>
            </w:r>
          </w:p>
        </w:tc>
      </w:tr>
      <w:tr w:rsidR="001D4AFA" w:rsidRPr="00364545" w14:paraId="6991811D"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9FA473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I. Other carbon-containing fertilizers</w:t>
            </w:r>
          </w:p>
        </w:tc>
        <w:tc>
          <w:tcPr>
            <w:tcW w:w="1541" w:type="dxa"/>
            <w:tcBorders>
              <w:top w:val="nil"/>
              <w:left w:val="nil"/>
              <w:bottom w:val="single" w:sz="4" w:space="0" w:color="auto"/>
              <w:right w:val="single" w:sz="4" w:space="0" w:color="auto"/>
            </w:tcBorders>
            <w:shd w:val="clear" w:color="000000" w:fill="FFFFFF"/>
            <w:noWrap/>
            <w:vAlign w:val="bottom"/>
            <w:hideMark/>
          </w:tcPr>
          <w:p w14:paraId="718BB48B" w14:textId="77777777" w:rsidR="001D4AFA" w:rsidRPr="009F2D1E" w:rsidRDefault="001D4AFA" w:rsidP="009F2D1E">
            <w:pPr>
              <w:jc w:val="right"/>
              <w:rPr>
                <w:rFonts w:ascii="Times New Roman" w:hAnsi="Times New Roman"/>
                <w:sz w:val="14"/>
                <w:szCs w:val="14"/>
              </w:rPr>
            </w:pPr>
            <w:r w:rsidRPr="009F2D1E">
              <w:rPr>
                <w:sz w:val="14"/>
                <w:szCs w:val="14"/>
              </w:rPr>
              <w:t>152,44</w:t>
            </w:r>
          </w:p>
        </w:tc>
        <w:tc>
          <w:tcPr>
            <w:tcW w:w="1541" w:type="dxa"/>
            <w:tcBorders>
              <w:top w:val="nil"/>
              <w:left w:val="nil"/>
              <w:bottom w:val="single" w:sz="4" w:space="0" w:color="auto"/>
              <w:right w:val="single" w:sz="4" w:space="0" w:color="auto"/>
            </w:tcBorders>
            <w:shd w:val="clear" w:color="000000" w:fill="FFFFFF"/>
            <w:noWrap/>
            <w:vAlign w:val="bottom"/>
            <w:hideMark/>
          </w:tcPr>
          <w:p w14:paraId="179A19FB" w14:textId="77777777" w:rsidR="001D4AFA" w:rsidRPr="009F2D1E" w:rsidRDefault="001D4AFA" w:rsidP="009F2D1E">
            <w:pPr>
              <w:jc w:val="right"/>
              <w:rPr>
                <w:rFonts w:ascii="Times New Roman" w:hAnsi="Times New Roman"/>
                <w:sz w:val="14"/>
                <w:szCs w:val="14"/>
              </w:rPr>
            </w:pPr>
            <w:r w:rsidRPr="009F2D1E">
              <w:rPr>
                <w:sz w:val="14"/>
                <w:szCs w:val="14"/>
              </w:rPr>
              <w:t>181,84</w:t>
            </w:r>
          </w:p>
        </w:tc>
        <w:tc>
          <w:tcPr>
            <w:tcW w:w="2008" w:type="dxa"/>
            <w:tcBorders>
              <w:top w:val="nil"/>
              <w:left w:val="nil"/>
              <w:bottom w:val="single" w:sz="4" w:space="0" w:color="auto"/>
              <w:right w:val="single" w:sz="4" w:space="0" w:color="auto"/>
            </w:tcBorders>
            <w:shd w:val="clear" w:color="000000" w:fill="FFFFFF"/>
            <w:noWrap/>
            <w:vAlign w:val="bottom"/>
            <w:hideMark/>
          </w:tcPr>
          <w:p w14:paraId="0DE371CD" w14:textId="77777777" w:rsidR="001D4AFA" w:rsidRPr="009F2D1E" w:rsidRDefault="001D4AFA" w:rsidP="009F2D1E">
            <w:pPr>
              <w:jc w:val="right"/>
              <w:rPr>
                <w:rFonts w:ascii="Times New Roman" w:hAnsi="Times New Roman"/>
                <w:sz w:val="14"/>
                <w:szCs w:val="14"/>
              </w:rPr>
            </w:pPr>
            <w:r w:rsidRPr="009F2D1E">
              <w:rPr>
                <w:sz w:val="14"/>
                <w:szCs w:val="14"/>
              </w:rPr>
              <w:t>41,88</w:t>
            </w:r>
          </w:p>
        </w:tc>
      </w:tr>
      <w:tr w:rsidR="001D4AFA" w:rsidRPr="00364545" w14:paraId="298FDEC6"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E1325D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J. Other </w:t>
            </w:r>
          </w:p>
        </w:tc>
        <w:tc>
          <w:tcPr>
            <w:tcW w:w="1541" w:type="dxa"/>
            <w:tcBorders>
              <w:top w:val="nil"/>
              <w:left w:val="nil"/>
              <w:bottom w:val="single" w:sz="4" w:space="0" w:color="auto"/>
              <w:right w:val="single" w:sz="4" w:space="0" w:color="auto"/>
            </w:tcBorders>
            <w:shd w:val="clear" w:color="000000" w:fill="FFFFFF"/>
            <w:noWrap/>
            <w:vAlign w:val="bottom"/>
            <w:hideMark/>
          </w:tcPr>
          <w:p w14:paraId="0FA000C1"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541" w:type="dxa"/>
            <w:tcBorders>
              <w:top w:val="nil"/>
              <w:left w:val="nil"/>
              <w:bottom w:val="single" w:sz="4" w:space="0" w:color="auto"/>
              <w:right w:val="single" w:sz="4" w:space="0" w:color="auto"/>
            </w:tcBorders>
            <w:shd w:val="clear" w:color="000000" w:fill="FFFFFF"/>
            <w:noWrap/>
            <w:vAlign w:val="bottom"/>
            <w:hideMark/>
          </w:tcPr>
          <w:p w14:paraId="0849967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2008" w:type="dxa"/>
            <w:tcBorders>
              <w:top w:val="nil"/>
              <w:left w:val="nil"/>
              <w:bottom w:val="single" w:sz="4" w:space="0" w:color="auto"/>
              <w:right w:val="single" w:sz="4" w:space="0" w:color="auto"/>
            </w:tcBorders>
            <w:shd w:val="clear" w:color="000000" w:fill="FFFFFF"/>
            <w:noWrap/>
            <w:vAlign w:val="bottom"/>
            <w:hideMark/>
          </w:tcPr>
          <w:p w14:paraId="0A1D854F"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7541752C"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bottom"/>
            <w:hideMark/>
          </w:tcPr>
          <w:p w14:paraId="0F6218D1"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4. Land use, land-use change and forestry</w:t>
            </w:r>
            <w:r w:rsidRPr="00364545">
              <w:rPr>
                <w:rFonts w:asciiTheme="majorHAnsi" w:hAnsiTheme="majorHAnsi"/>
                <w:b/>
                <w:sz w:val="16"/>
                <w:vertAlign w:val="superscript"/>
              </w:rPr>
              <w:t>(2)</w:t>
            </w:r>
          </w:p>
        </w:tc>
        <w:tc>
          <w:tcPr>
            <w:tcW w:w="1541" w:type="dxa"/>
            <w:tcBorders>
              <w:top w:val="nil"/>
              <w:left w:val="nil"/>
              <w:bottom w:val="single" w:sz="4" w:space="0" w:color="auto"/>
              <w:right w:val="single" w:sz="4" w:space="0" w:color="auto"/>
            </w:tcBorders>
            <w:shd w:val="clear" w:color="000000" w:fill="CCFFFF"/>
            <w:noWrap/>
            <w:vAlign w:val="bottom"/>
            <w:hideMark/>
          </w:tcPr>
          <w:p w14:paraId="415EB6F5" w14:textId="77777777" w:rsidR="001D4AFA" w:rsidRPr="009F2D1E" w:rsidRDefault="001D4AFA" w:rsidP="009F2D1E">
            <w:pPr>
              <w:jc w:val="right"/>
              <w:rPr>
                <w:rFonts w:ascii="Times New Roman" w:hAnsi="Times New Roman"/>
                <w:sz w:val="14"/>
                <w:szCs w:val="14"/>
              </w:rPr>
            </w:pPr>
            <w:r w:rsidRPr="009F2D1E">
              <w:rPr>
                <w:sz w:val="14"/>
                <w:szCs w:val="14"/>
              </w:rPr>
              <w:t>-16293,04</w:t>
            </w:r>
          </w:p>
        </w:tc>
        <w:tc>
          <w:tcPr>
            <w:tcW w:w="1541" w:type="dxa"/>
            <w:tcBorders>
              <w:top w:val="nil"/>
              <w:left w:val="nil"/>
              <w:bottom w:val="single" w:sz="4" w:space="0" w:color="auto"/>
              <w:right w:val="single" w:sz="4" w:space="0" w:color="auto"/>
            </w:tcBorders>
            <w:shd w:val="clear" w:color="000000" w:fill="CCFFFF"/>
            <w:noWrap/>
            <w:vAlign w:val="bottom"/>
            <w:hideMark/>
          </w:tcPr>
          <w:p w14:paraId="699DB536" w14:textId="77777777" w:rsidR="001D4AFA" w:rsidRPr="009F2D1E" w:rsidRDefault="001D4AFA" w:rsidP="009F2D1E">
            <w:pPr>
              <w:jc w:val="right"/>
              <w:rPr>
                <w:rFonts w:ascii="Times New Roman" w:hAnsi="Times New Roman"/>
                <w:sz w:val="14"/>
                <w:szCs w:val="14"/>
              </w:rPr>
            </w:pPr>
            <w:r w:rsidRPr="009F2D1E">
              <w:rPr>
                <w:sz w:val="14"/>
                <w:szCs w:val="14"/>
              </w:rPr>
              <w:t>-17961,34</w:t>
            </w:r>
          </w:p>
        </w:tc>
        <w:tc>
          <w:tcPr>
            <w:tcW w:w="2008" w:type="dxa"/>
            <w:tcBorders>
              <w:top w:val="nil"/>
              <w:left w:val="nil"/>
              <w:bottom w:val="single" w:sz="4" w:space="0" w:color="auto"/>
              <w:right w:val="single" w:sz="4" w:space="0" w:color="auto"/>
            </w:tcBorders>
            <w:shd w:val="clear" w:color="000000" w:fill="CCFFFF"/>
            <w:noWrap/>
            <w:vAlign w:val="bottom"/>
            <w:hideMark/>
          </w:tcPr>
          <w:p w14:paraId="623DBB25" w14:textId="77777777" w:rsidR="001D4AFA" w:rsidRPr="009F2D1E" w:rsidRDefault="001D4AFA" w:rsidP="009F2D1E">
            <w:pPr>
              <w:jc w:val="right"/>
              <w:rPr>
                <w:rFonts w:ascii="Times New Roman" w:hAnsi="Times New Roman"/>
                <w:sz w:val="14"/>
                <w:szCs w:val="14"/>
              </w:rPr>
            </w:pPr>
            <w:r w:rsidRPr="009F2D1E">
              <w:rPr>
                <w:sz w:val="14"/>
                <w:szCs w:val="14"/>
              </w:rPr>
              <w:t>-36,18</w:t>
            </w:r>
          </w:p>
        </w:tc>
      </w:tr>
      <w:tr w:rsidR="001D4AFA" w:rsidRPr="00364545" w14:paraId="0E9B51AF"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B39070D"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Forest land</w:t>
            </w:r>
          </w:p>
        </w:tc>
        <w:tc>
          <w:tcPr>
            <w:tcW w:w="1541" w:type="dxa"/>
            <w:tcBorders>
              <w:top w:val="nil"/>
              <w:left w:val="nil"/>
              <w:bottom w:val="single" w:sz="4" w:space="0" w:color="auto"/>
              <w:right w:val="single" w:sz="4" w:space="0" w:color="auto"/>
            </w:tcBorders>
            <w:shd w:val="clear" w:color="000000" w:fill="FFFFFF"/>
            <w:noWrap/>
            <w:vAlign w:val="bottom"/>
            <w:hideMark/>
          </w:tcPr>
          <w:p w14:paraId="05D0777C" w14:textId="77777777" w:rsidR="001D4AFA" w:rsidRPr="009F2D1E" w:rsidRDefault="001D4AFA" w:rsidP="009F2D1E">
            <w:pPr>
              <w:jc w:val="right"/>
              <w:rPr>
                <w:rFonts w:ascii="Times New Roman" w:hAnsi="Times New Roman"/>
                <w:sz w:val="14"/>
                <w:szCs w:val="14"/>
              </w:rPr>
            </w:pPr>
            <w:r w:rsidRPr="009F2D1E">
              <w:rPr>
                <w:sz w:val="14"/>
                <w:szCs w:val="14"/>
              </w:rPr>
              <w:t>-30 069,05</w:t>
            </w:r>
          </w:p>
        </w:tc>
        <w:tc>
          <w:tcPr>
            <w:tcW w:w="1541" w:type="dxa"/>
            <w:tcBorders>
              <w:top w:val="nil"/>
              <w:left w:val="nil"/>
              <w:bottom w:val="single" w:sz="4" w:space="0" w:color="auto"/>
              <w:right w:val="single" w:sz="4" w:space="0" w:color="auto"/>
            </w:tcBorders>
            <w:shd w:val="clear" w:color="000000" w:fill="FFFFFF"/>
            <w:noWrap/>
            <w:vAlign w:val="bottom"/>
            <w:hideMark/>
          </w:tcPr>
          <w:p w14:paraId="298489F8" w14:textId="77777777" w:rsidR="001D4AFA" w:rsidRPr="009F2D1E" w:rsidRDefault="001D4AFA" w:rsidP="009F2D1E">
            <w:pPr>
              <w:jc w:val="right"/>
              <w:rPr>
                <w:rFonts w:ascii="Times New Roman" w:hAnsi="Times New Roman"/>
                <w:sz w:val="14"/>
                <w:szCs w:val="14"/>
              </w:rPr>
            </w:pPr>
            <w:r w:rsidRPr="009F2D1E">
              <w:rPr>
                <w:sz w:val="14"/>
                <w:szCs w:val="14"/>
              </w:rPr>
              <w:t>-31 389,29</w:t>
            </w:r>
          </w:p>
        </w:tc>
        <w:tc>
          <w:tcPr>
            <w:tcW w:w="2008" w:type="dxa"/>
            <w:tcBorders>
              <w:top w:val="nil"/>
              <w:left w:val="nil"/>
              <w:bottom w:val="single" w:sz="4" w:space="0" w:color="auto"/>
              <w:right w:val="single" w:sz="4" w:space="0" w:color="auto"/>
            </w:tcBorders>
            <w:shd w:val="clear" w:color="000000" w:fill="FFFFFF"/>
            <w:noWrap/>
            <w:vAlign w:val="bottom"/>
            <w:hideMark/>
          </w:tcPr>
          <w:p w14:paraId="5CADB23A" w14:textId="77777777" w:rsidR="001D4AFA" w:rsidRPr="009F2D1E" w:rsidRDefault="001D4AFA" w:rsidP="009F2D1E">
            <w:pPr>
              <w:jc w:val="right"/>
              <w:rPr>
                <w:rFonts w:ascii="Times New Roman" w:hAnsi="Times New Roman"/>
                <w:sz w:val="14"/>
                <w:szCs w:val="14"/>
              </w:rPr>
            </w:pPr>
            <w:r w:rsidRPr="009F2D1E">
              <w:rPr>
                <w:sz w:val="14"/>
                <w:szCs w:val="14"/>
              </w:rPr>
              <w:t>-20,76</w:t>
            </w:r>
          </w:p>
        </w:tc>
      </w:tr>
      <w:tr w:rsidR="001D4AFA" w:rsidRPr="00364545" w14:paraId="04EFD2AE"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7996EA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Cropland</w:t>
            </w:r>
          </w:p>
        </w:tc>
        <w:tc>
          <w:tcPr>
            <w:tcW w:w="1541" w:type="dxa"/>
            <w:tcBorders>
              <w:top w:val="nil"/>
              <w:left w:val="nil"/>
              <w:bottom w:val="single" w:sz="4" w:space="0" w:color="auto"/>
              <w:right w:val="single" w:sz="4" w:space="0" w:color="auto"/>
            </w:tcBorders>
            <w:shd w:val="clear" w:color="000000" w:fill="FFFFFF"/>
            <w:noWrap/>
            <w:vAlign w:val="bottom"/>
            <w:hideMark/>
          </w:tcPr>
          <w:p w14:paraId="5436F2D4" w14:textId="77777777" w:rsidR="001D4AFA" w:rsidRPr="009F2D1E" w:rsidRDefault="001D4AFA" w:rsidP="009F2D1E">
            <w:pPr>
              <w:jc w:val="right"/>
              <w:rPr>
                <w:rFonts w:ascii="Times New Roman" w:hAnsi="Times New Roman"/>
                <w:sz w:val="14"/>
                <w:szCs w:val="14"/>
              </w:rPr>
            </w:pPr>
            <w:r w:rsidRPr="009F2D1E">
              <w:rPr>
                <w:sz w:val="14"/>
                <w:szCs w:val="14"/>
              </w:rPr>
              <w:t>11 736,41</w:t>
            </w:r>
          </w:p>
        </w:tc>
        <w:tc>
          <w:tcPr>
            <w:tcW w:w="1541" w:type="dxa"/>
            <w:tcBorders>
              <w:top w:val="nil"/>
              <w:left w:val="nil"/>
              <w:bottom w:val="single" w:sz="4" w:space="0" w:color="auto"/>
              <w:right w:val="single" w:sz="4" w:space="0" w:color="auto"/>
            </w:tcBorders>
            <w:shd w:val="clear" w:color="000000" w:fill="FFFFFF"/>
            <w:noWrap/>
            <w:vAlign w:val="bottom"/>
            <w:hideMark/>
          </w:tcPr>
          <w:p w14:paraId="5B0E9A16" w14:textId="77777777" w:rsidR="001D4AFA" w:rsidRPr="009F2D1E" w:rsidRDefault="001D4AFA" w:rsidP="009F2D1E">
            <w:pPr>
              <w:jc w:val="right"/>
              <w:rPr>
                <w:rFonts w:ascii="Times New Roman" w:hAnsi="Times New Roman"/>
                <w:sz w:val="14"/>
                <w:szCs w:val="14"/>
              </w:rPr>
            </w:pPr>
            <w:r w:rsidRPr="009F2D1E">
              <w:rPr>
                <w:sz w:val="14"/>
                <w:szCs w:val="14"/>
              </w:rPr>
              <w:t>11 507,10</w:t>
            </w:r>
          </w:p>
        </w:tc>
        <w:tc>
          <w:tcPr>
            <w:tcW w:w="2008" w:type="dxa"/>
            <w:tcBorders>
              <w:top w:val="nil"/>
              <w:left w:val="nil"/>
              <w:bottom w:val="single" w:sz="4" w:space="0" w:color="auto"/>
              <w:right w:val="single" w:sz="4" w:space="0" w:color="auto"/>
            </w:tcBorders>
            <w:shd w:val="clear" w:color="000000" w:fill="FFFFFF"/>
            <w:noWrap/>
            <w:vAlign w:val="bottom"/>
            <w:hideMark/>
          </w:tcPr>
          <w:p w14:paraId="5A3A2D7C" w14:textId="77777777" w:rsidR="001D4AFA" w:rsidRPr="009F2D1E" w:rsidRDefault="001D4AFA" w:rsidP="009F2D1E">
            <w:pPr>
              <w:jc w:val="right"/>
              <w:rPr>
                <w:rFonts w:ascii="Times New Roman" w:hAnsi="Times New Roman"/>
                <w:sz w:val="14"/>
                <w:szCs w:val="14"/>
              </w:rPr>
            </w:pPr>
            <w:r w:rsidRPr="009F2D1E">
              <w:rPr>
                <w:sz w:val="14"/>
                <w:szCs w:val="14"/>
              </w:rPr>
              <w:t>-45,57</w:t>
            </w:r>
          </w:p>
        </w:tc>
      </w:tr>
      <w:tr w:rsidR="001D4AFA" w:rsidRPr="00364545" w14:paraId="2D38C294"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F720E83"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Grassland</w:t>
            </w:r>
          </w:p>
        </w:tc>
        <w:tc>
          <w:tcPr>
            <w:tcW w:w="1541" w:type="dxa"/>
            <w:tcBorders>
              <w:top w:val="nil"/>
              <w:left w:val="nil"/>
              <w:bottom w:val="single" w:sz="4" w:space="0" w:color="auto"/>
              <w:right w:val="single" w:sz="4" w:space="0" w:color="auto"/>
            </w:tcBorders>
            <w:shd w:val="clear" w:color="000000" w:fill="FFFFFF"/>
            <w:noWrap/>
            <w:vAlign w:val="bottom"/>
            <w:hideMark/>
          </w:tcPr>
          <w:p w14:paraId="55A3A55C" w14:textId="77777777" w:rsidR="001D4AFA" w:rsidRPr="009F2D1E" w:rsidRDefault="001D4AFA" w:rsidP="009F2D1E">
            <w:pPr>
              <w:jc w:val="right"/>
              <w:rPr>
                <w:rFonts w:ascii="Times New Roman" w:hAnsi="Times New Roman"/>
                <w:sz w:val="14"/>
                <w:szCs w:val="14"/>
              </w:rPr>
            </w:pPr>
            <w:r w:rsidRPr="009F2D1E">
              <w:rPr>
                <w:sz w:val="14"/>
                <w:szCs w:val="14"/>
              </w:rPr>
              <w:t>-8 492,60</w:t>
            </w:r>
          </w:p>
        </w:tc>
        <w:tc>
          <w:tcPr>
            <w:tcW w:w="1541" w:type="dxa"/>
            <w:tcBorders>
              <w:top w:val="nil"/>
              <w:left w:val="nil"/>
              <w:bottom w:val="single" w:sz="4" w:space="0" w:color="auto"/>
              <w:right w:val="single" w:sz="4" w:space="0" w:color="auto"/>
            </w:tcBorders>
            <w:shd w:val="clear" w:color="000000" w:fill="FFFFFF"/>
            <w:noWrap/>
            <w:vAlign w:val="bottom"/>
            <w:hideMark/>
          </w:tcPr>
          <w:p w14:paraId="020B9850" w14:textId="77777777" w:rsidR="001D4AFA" w:rsidRPr="009F2D1E" w:rsidRDefault="001D4AFA" w:rsidP="009F2D1E">
            <w:pPr>
              <w:jc w:val="right"/>
              <w:rPr>
                <w:rFonts w:ascii="Times New Roman" w:hAnsi="Times New Roman"/>
                <w:sz w:val="14"/>
                <w:szCs w:val="14"/>
              </w:rPr>
            </w:pPr>
            <w:r w:rsidRPr="009F2D1E">
              <w:rPr>
                <w:sz w:val="14"/>
                <w:szCs w:val="14"/>
              </w:rPr>
              <w:t>-8 543,35</w:t>
            </w:r>
          </w:p>
        </w:tc>
        <w:tc>
          <w:tcPr>
            <w:tcW w:w="2008" w:type="dxa"/>
            <w:tcBorders>
              <w:top w:val="nil"/>
              <w:left w:val="nil"/>
              <w:bottom w:val="single" w:sz="4" w:space="0" w:color="auto"/>
              <w:right w:val="single" w:sz="4" w:space="0" w:color="auto"/>
            </w:tcBorders>
            <w:shd w:val="clear" w:color="000000" w:fill="FFFFFF"/>
            <w:noWrap/>
            <w:vAlign w:val="bottom"/>
            <w:hideMark/>
          </w:tcPr>
          <w:p w14:paraId="11DED908" w14:textId="77777777" w:rsidR="001D4AFA" w:rsidRPr="009F2D1E" w:rsidRDefault="001D4AFA" w:rsidP="009F2D1E">
            <w:pPr>
              <w:jc w:val="right"/>
              <w:rPr>
                <w:rFonts w:ascii="Times New Roman" w:hAnsi="Times New Roman"/>
                <w:sz w:val="14"/>
                <w:szCs w:val="14"/>
              </w:rPr>
            </w:pPr>
            <w:r w:rsidRPr="009F2D1E">
              <w:rPr>
                <w:sz w:val="14"/>
                <w:szCs w:val="14"/>
              </w:rPr>
              <w:t>-39,07</w:t>
            </w:r>
          </w:p>
        </w:tc>
      </w:tr>
      <w:tr w:rsidR="001D4AFA" w:rsidRPr="00364545" w14:paraId="3C54C408"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58D7AD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Wetlands</w:t>
            </w:r>
          </w:p>
        </w:tc>
        <w:tc>
          <w:tcPr>
            <w:tcW w:w="1541" w:type="dxa"/>
            <w:tcBorders>
              <w:top w:val="nil"/>
              <w:left w:val="nil"/>
              <w:bottom w:val="single" w:sz="4" w:space="0" w:color="auto"/>
              <w:right w:val="single" w:sz="4" w:space="0" w:color="auto"/>
            </w:tcBorders>
            <w:shd w:val="clear" w:color="000000" w:fill="FFFFFF"/>
            <w:noWrap/>
            <w:vAlign w:val="bottom"/>
            <w:hideMark/>
          </w:tcPr>
          <w:p w14:paraId="4FAF349E" w14:textId="77777777" w:rsidR="001D4AFA" w:rsidRPr="009F2D1E" w:rsidRDefault="001D4AFA" w:rsidP="009F2D1E">
            <w:pPr>
              <w:jc w:val="right"/>
              <w:rPr>
                <w:rFonts w:ascii="Times New Roman" w:hAnsi="Times New Roman"/>
                <w:sz w:val="14"/>
                <w:szCs w:val="14"/>
              </w:rPr>
            </w:pPr>
            <w:r w:rsidRPr="009F2D1E">
              <w:rPr>
                <w:sz w:val="14"/>
                <w:szCs w:val="14"/>
              </w:rPr>
              <w:t>494,98</w:t>
            </w:r>
          </w:p>
        </w:tc>
        <w:tc>
          <w:tcPr>
            <w:tcW w:w="1541" w:type="dxa"/>
            <w:tcBorders>
              <w:top w:val="nil"/>
              <w:left w:val="nil"/>
              <w:bottom w:val="single" w:sz="4" w:space="0" w:color="auto"/>
              <w:right w:val="single" w:sz="4" w:space="0" w:color="auto"/>
            </w:tcBorders>
            <w:shd w:val="clear" w:color="000000" w:fill="FFFFFF"/>
            <w:noWrap/>
            <w:vAlign w:val="bottom"/>
            <w:hideMark/>
          </w:tcPr>
          <w:p w14:paraId="0F82846B" w14:textId="77777777" w:rsidR="001D4AFA" w:rsidRPr="009F2D1E" w:rsidRDefault="001D4AFA" w:rsidP="009F2D1E">
            <w:pPr>
              <w:jc w:val="right"/>
              <w:rPr>
                <w:rFonts w:ascii="Times New Roman" w:hAnsi="Times New Roman"/>
                <w:sz w:val="14"/>
                <w:szCs w:val="14"/>
              </w:rPr>
            </w:pPr>
            <w:r w:rsidRPr="009F2D1E">
              <w:rPr>
                <w:sz w:val="14"/>
                <w:szCs w:val="14"/>
              </w:rPr>
              <w:t>494,83</w:t>
            </w:r>
          </w:p>
        </w:tc>
        <w:tc>
          <w:tcPr>
            <w:tcW w:w="2008" w:type="dxa"/>
            <w:tcBorders>
              <w:top w:val="nil"/>
              <w:left w:val="nil"/>
              <w:bottom w:val="single" w:sz="4" w:space="0" w:color="auto"/>
              <w:right w:val="single" w:sz="4" w:space="0" w:color="auto"/>
            </w:tcBorders>
            <w:shd w:val="clear" w:color="000000" w:fill="FFFFFF"/>
            <w:noWrap/>
            <w:vAlign w:val="bottom"/>
            <w:hideMark/>
          </w:tcPr>
          <w:p w14:paraId="1D1EA962" w14:textId="77777777" w:rsidR="001D4AFA" w:rsidRPr="009F2D1E" w:rsidRDefault="001D4AFA" w:rsidP="009F2D1E">
            <w:pPr>
              <w:jc w:val="right"/>
              <w:rPr>
                <w:rFonts w:ascii="Times New Roman" w:hAnsi="Times New Roman"/>
                <w:sz w:val="14"/>
                <w:szCs w:val="14"/>
              </w:rPr>
            </w:pPr>
            <w:r w:rsidRPr="009F2D1E">
              <w:rPr>
                <w:sz w:val="14"/>
                <w:szCs w:val="14"/>
              </w:rPr>
              <w:t>38,17</w:t>
            </w:r>
          </w:p>
        </w:tc>
      </w:tr>
      <w:tr w:rsidR="001D4AFA" w:rsidRPr="00364545" w14:paraId="46CDC293"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1AF13FE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 xml:space="preserve">E. Settlements </w:t>
            </w:r>
          </w:p>
        </w:tc>
        <w:tc>
          <w:tcPr>
            <w:tcW w:w="1541" w:type="dxa"/>
            <w:tcBorders>
              <w:top w:val="nil"/>
              <w:left w:val="nil"/>
              <w:bottom w:val="single" w:sz="4" w:space="0" w:color="auto"/>
              <w:right w:val="single" w:sz="4" w:space="0" w:color="auto"/>
            </w:tcBorders>
            <w:shd w:val="clear" w:color="000000" w:fill="FFFFFF"/>
            <w:noWrap/>
            <w:vAlign w:val="bottom"/>
            <w:hideMark/>
          </w:tcPr>
          <w:p w14:paraId="342E127B" w14:textId="77777777" w:rsidR="001D4AFA" w:rsidRPr="009F2D1E" w:rsidRDefault="001D4AFA" w:rsidP="009F2D1E">
            <w:pPr>
              <w:jc w:val="right"/>
              <w:rPr>
                <w:rFonts w:ascii="Times New Roman" w:hAnsi="Times New Roman"/>
                <w:sz w:val="14"/>
                <w:szCs w:val="14"/>
              </w:rPr>
            </w:pPr>
            <w:r w:rsidRPr="009F2D1E">
              <w:rPr>
                <w:sz w:val="14"/>
                <w:szCs w:val="14"/>
              </w:rPr>
              <w:t>10 759,41</w:t>
            </w:r>
          </w:p>
        </w:tc>
        <w:tc>
          <w:tcPr>
            <w:tcW w:w="1541" w:type="dxa"/>
            <w:tcBorders>
              <w:top w:val="nil"/>
              <w:left w:val="nil"/>
              <w:bottom w:val="single" w:sz="4" w:space="0" w:color="auto"/>
              <w:right w:val="single" w:sz="4" w:space="0" w:color="auto"/>
            </w:tcBorders>
            <w:shd w:val="clear" w:color="000000" w:fill="FFFFFF"/>
            <w:noWrap/>
            <w:vAlign w:val="bottom"/>
            <w:hideMark/>
          </w:tcPr>
          <w:p w14:paraId="6687D90A" w14:textId="77777777" w:rsidR="001D4AFA" w:rsidRPr="009F2D1E" w:rsidRDefault="001D4AFA" w:rsidP="009F2D1E">
            <w:pPr>
              <w:jc w:val="right"/>
              <w:rPr>
                <w:rFonts w:ascii="Times New Roman" w:hAnsi="Times New Roman"/>
                <w:sz w:val="14"/>
                <w:szCs w:val="14"/>
              </w:rPr>
            </w:pPr>
            <w:r w:rsidRPr="009F2D1E">
              <w:rPr>
                <w:sz w:val="14"/>
                <w:szCs w:val="14"/>
              </w:rPr>
              <w:t>10 743,98</w:t>
            </w:r>
          </w:p>
        </w:tc>
        <w:tc>
          <w:tcPr>
            <w:tcW w:w="2008" w:type="dxa"/>
            <w:tcBorders>
              <w:top w:val="nil"/>
              <w:left w:val="nil"/>
              <w:bottom w:val="single" w:sz="4" w:space="0" w:color="auto"/>
              <w:right w:val="single" w:sz="4" w:space="0" w:color="auto"/>
            </w:tcBorders>
            <w:shd w:val="clear" w:color="000000" w:fill="FFFFFF"/>
            <w:noWrap/>
            <w:vAlign w:val="bottom"/>
            <w:hideMark/>
          </w:tcPr>
          <w:p w14:paraId="049E451B" w14:textId="77777777" w:rsidR="001D4AFA" w:rsidRPr="009F2D1E" w:rsidRDefault="001D4AFA" w:rsidP="009F2D1E">
            <w:pPr>
              <w:jc w:val="right"/>
              <w:rPr>
                <w:rFonts w:ascii="Times New Roman" w:hAnsi="Times New Roman"/>
                <w:sz w:val="14"/>
                <w:szCs w:val="14"/>
              </w:rPr>
            </w:pPr>
            <w:r w:rsidRPr="009F2D1E">
              <w:rPr>
                <w:sz w:val="14"/>
                <w:szCs w:val="14"/>
              </w:rPr>
              <w:t>18,18</w:t>
            </w:r>
          </w:p>
        </w:tc>
      </w:tr>
      <w:tr w:rsidR="001D4AFA" w:rsidRPr="00364545" w14:paraId="685F90B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EAE49D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F. Other land</w:t>
            </w:r>
          </w:p>
        </w:tc>
        <w:tc>
          <w:tcPr>
            <w:tcW w:w="1541" w:type="dxa"/>
            <w:tcBorders>
              <w:top w:val="nil"/>
              <w:left w:val="nil"/>
              <w:bottom w:val="single" w:sz="4" w:space="0" w:color="auto"/>
              <w:right w:val="single" w:sz="4" w:space="0" w:color="auto"/>
            </w:tcBorders>
            <w:shd w:val="clear" w:color="000000" w:fill="FFFFFF"/>
            <w:noWrap/>
            <w:vAlign w:val="bottom"/>
            <w:hideMark/>
          </w:tcPr>
          <w:p w14:paraId="5F544933"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3F88FFEC"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05CEC4C6"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186663B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53F531C"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G. Harvested wood products</w:t>
            </w:r>
          </w:p>
        </w:tc>
        <w:tc>
          <w:tcPr>
            <w:tcW w:w="1541" w:type="dxa"/>
            <w:tcBorders>
              <w:top w:val="nil"/>
              <w:left w:val="nil"/>
              <w:bottom w:val="single" w:sz="4" w:space="0" w:color="auto"/>
              <w:right w:val="single" w:sz="4" w:space="0" w:color="auto"/>
            </w:tcBorders>
            <w:shd w:val="clear" w:color="000000" w:fill="FFFFFF"/>
            <w:noWrap/>
            <w:vAlign w:val="bottom"/>
            <w:hideMark/>
          </w:tcPr>
          <w:p w14:paraId="59642D77" w14:textId="77777777" w:rsidR="001D4AFA" w:rsidRPr="009F2D1E" w:rsidRDefault="001D4AFA" w:rsidP="009F2D1E">
            <w:pPr>
              <w:jc w:val="right"/>
              <w:rPr>
                <w:rFonts w:ascii="Times New Roman" w:hAnsi="Times New Roman"/>
                <w:sz w:val="14"/>
                <w:szCs w:val="14"/>
              </w:rPr>
            </w:pPr>
            <w:r w:rsidRPr="009F2D1E">
              <w:rPr>
                <w:sz w:val="14"/>
                <w:szCs w:val="14"/>
              </w:rPr>
              <w:t>-767,85</w:t>
            </w:r>
          </w:p>
        </w:tc>
        <w:tc>
          <w:tcPr>
            <w:tcW w:w="1541" w:type="dxa"/>
            <w:tcBorders>
              <w:top w:val="nil"/>
              <w:left w:val="nil"/>
              <w:bottom w:val="single" w:sz="4" w:space="0" w:color="auto"/>
              <w:right w:val="single" w:sz="4" w:space="0" w:color="auto"/>
            </w:tcBorders>
            <w:shd w:val="clear" w:color="000000" w:fill="FFFFFF"/>
            <w:noWrap/>
            <w:vAlign w:val="bottom"/>
            <w:hideMark/>
          </w:tcPr>
          <w:p w14:paraId="73311554" w14:textId="77777777" w:rsidR="001D4AFA" w:rsidRPr="009F2D1E" w:rsidRDefault="001D4AFA" w:rsidP="009F2D1E">
            <w:pPr>
              <w:jc w:val="right"/>
              <w:rPr>
                <w:rFonts w:ascii="Times New Roman" w:hAnsi="Times New Roman"/>
                <w:sz w:val="14"/>
                <w:szCs w:val="14"/>
              </w:rPr>
            </w:pPr>
            <w:r w:rsidRPr="009F2D1E">
              <w:rPr>
                <w:sz w:val="14"/>
                <w:szCs w:val="14"/>
              </w:rPr>
              <w:t>-814,43</w:t>
            </w:r>
          </w:p>
        </w:tc>
        <w:tc>
          <w:tcPr>
            <w:tcW w:w="2008" w:type="dxa"/>
            <w:tcBorders>
              <w:top w:val="nil"/>
              <w:left w:val="nil"/>
              <w:bottom w:val="single" w:sz="4" w:space="0" w:color="auto"/>
              <w:right w:val="single" w:sz="4" w:space="0" w:color="auto"/>
            </w:tcBorders>
            <w:shd w:val="clear" w:color="000000" w:fill="FFFFFF"/>
            <w:noWrap/>
            <w:vAlign w:val="bottom"/>
            <w:hideMark/>
          </w:tcPr>
          <w:p w14:paraId="3D0C3552" w14:textId="77777777" w:rsidR="001D4AFA" w:rsidRPr="009F2D1E" w:rsidRDefault="001D4AFA" w:rsidP="009F2D1E">
            <w:pPr>
              <w:jc w:val="right"/>
              <w:rPr>
                <w:rFonts w:ascii="Times New Roman" w:hAnsi="Times New Roman"/>
                <w:sz w:val="14"/>
                <w:szCs w:val="14"/>
              </w:rPr>
            </w:pPr>
            <w:r w:rsidRPr="009F2D1E">
              <w:rPr>
                <w:sz w:val="14"/>
                <w:szCs w:val="14"/>
              </w:rPr>
              <w:t>-84,03</w:t>
            </w:r>
          </w:p>
        </w:tc>
      </w:tr>
      <w:tr w:rsidR="001D4AFA" w:rsidRPr="00364545" w14:paraId="07B0372F"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B0CC7B7"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H. Other</w:t>
            </w:r>
            <w:r w:rsidRPr="00364545">
              <w:rPr>
                <w:rFonts w:asciiTheme="majorHAnsi" w:hAnsiTheme="majorHAnsi"/>
                <w:i/>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24567599" w14:textId="77777777" w:rsidR="001D4AFA" w:rsidRPr="009F2D1E" w:rsidRDefault="001D4AFA" w:rsidP="009F2D1E">
            <w:pPr>
              <w:jc w:val="right"/>
              <w:rPr>
                <w:rFonts w:ascii="Times New Roman" w:hAnsi="Times New Roman"/>
                <w:sz w:val="14"/>
                <w:szCs w:val="14"/>
              </w:rPr>
            </w:pPr>
            <w:r w:rsidRPr="009F2D1E">
              <w:rPr>
                <w:sz w:val="14"/>
                <w:szCs w:val="14"/>
              </w:rPr>
              <w:t>45,66</w:t>
            </w:r>
          </w:p>
        </w:tc>
        <w:tc>
          <w:tcPr>
            <w:tcW w:w="1541" w:type="dxa"/>
            <w:tcBorders>
              <w:top w:val="nil"/>
              <w:left w:val="nil"/>
              <w:bottom w:val="single" w:sz="4" w:space="0" w:color="auto"/>
              <w:right w:val="single" w:sz="4" w:space="0" w:color="auto"/>
            </w:tcBorders>
            <w:shd w:val="clear" w:color="000000" w:fill="FFFFFF"/>
            <w:noWrap/>
            <w:vAlign w:val="bottom"/>
            <w:hideMark/>
          </w:tcPr>
          <w:p w14:paraId="23EA3850" w14:textId="77777777" w:rsidR="001D4AFA" w:rsidRPr="009F2D1E" w:rsidRDefault="001D4AFA" w:rsidP="009F2D1E">
            <w:pPr>
              <w:jc w:val="right"/>
              <w:rPr>
                <w:rFonts w:ascii="Times New Roman" w:hAnsi="Times New Roman"/>
                <w:sz w:val="14"/>
                <w:szCs w:val="14"/>
              </w:rPr>
            </w:pPr>
            <w:r w:rsidRPr="009F2D1E">
              <w:rPr>
                <w:sz w:val="14"/>
                <w:szCs w:val="14"/>
              </w:rPr>
              <w:t>39,82</w:t>
            </w:r>
          </w:p>
        </w:tc>
        <w:tc>
          <w:tcPr>
            <w:tcW w:w="2008" w:type="dxa"/>
            <w:tcBorders>
              <w:top w:val="nil"/>
              <w:left w:val="nil"/>
              <w:bottom w:val="single" w:sz="4" w:space="0" w:color="auto"/>
              <w:right w:val="single" w:sz="4" w:space="0" w:color="auto"/>
            </w:tcBorders>
            <w:shd w:val="clear" w:color="000000" w:fill="FFFFFF"/>
            <w:noWrap/>
            <w:vAlign w:val="bottom"/>
            <w:hideMark/>
          </w:tcPr>
          <w:p w14:paraId="6B7F24B5" w14:textId="77777777" w:rsidR="001D4AFA" w:rsidRPr="009F2D1E" w:rsidRDefault="001D4AFA" w:rsidP="009F2D1E">
            <w:pPr>
              <w:jc w:val="right"/>
              <w:rPr>
                <w:rFonts w:ascii="Times New Roman" w:hAnsi="Times New Roman"/>
                <w:sz w:val="14"/>
                <w:szCs w:val="14"/>
              </w:rPr>
            </w:pPr>
            <w:r w:rsidRPr="009F2D1E">
              <w:rPr>
                <w:sz w:val="14"/>
                <w:szCs w:val="14"/>
              </w:rPr>
              <w:t>100,00</w:t>
            </w:r>
          </w:p>
        </w:tc>
      </w:tr>
      <w:tr w:rsidR="001D4AFA" w:rsidRPr="00364545" w14:paraId="1D98E68A"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E41AA4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5. Waste</w:t>
            </w:r>
          </w:p>
        </w:tc>
        <w:tc>
          <w:tcPr>
            <w:tcW w:w="1541" w:type="dxa"/>
            <w:tcBorders>
              <w:top w:val="nil"/>
              <w:left w:val="nil"/>
              <w:bottom w:val="single" w:sz="4" w:space="0" w:color="auto"/>
              <w:right w:val="single" w:sz="4" w:space="0" w:color="auto"/>
            </w:tcBorders>
            <w:shd w:val="clear" w:color="000000" w:fill="CCFFFF"/>
            <w:noWrap/>
            <w:vAlign w:val="bottom"/>
            <w:hideMark/>
          </w:tcPr>
          <w:p w14:paraId="082DC248" w14:textId="77777777" w:rsidR="001D4AFA" w:rsidRPr="009F2D1E" w:rsidRDefault="001D4AFA" w:rsidP="009F2D1E">
            <w:pPr>
              <w:jc w:val="right"/>
              <w:rPr>
                <w:rFonts w:ascii="Times New Roman" w:hAnsi="Times New Roman"/>
                <w:sz w:val="14"/>
                <w:szCs w:val="14"/>
              </w:rPr>
            </w:pPr>
            <w:r w:rsidRPr="009F2D1E">
              <w:rPr>
                <w:sz w:val="14"/>
                <w:szCs w:val="14"/>
              </w:rPr>
              <w:t>1737,99</w:t>
            </w:r>
          </w:p>
        </w:tc>
        <w:tc>
          <w:tcPr>
            <w:tcW w:w="1541" w:type="dxa"/>
            <w:tcBorders>
              <w:top w:val="nil"/>
              <w:left w:val="nil"/>
              <w:bottom w:val="single" w:sz="4" w:space="0" w:color="auto"/>
              <w:right w:val="single" w:sz="4" w:space="0" w:color="auto"/>
            </w:tcBorders>
            <w:shd w:val="clear" w:color="000000" w:fill="CCFFFF"/>
            <w:noWrap/>
            <w:vAlign w:val="bottom"/>
            <w:hideMark/>
          </w:tcPr>
          <w:p w14:paraId="5E82F3E2" w14:textId="77777777" w:rsidR="001D4AFA" w:rsidRPr="009F2D1E" w:rsidRDefault="001D4AFA" w:rsidP="009F2D1E">
            <w:pPr>
              <w:jc w:val="right"/>
              <w:rPr>
                <w:rFonts w:ascii="Times New Roman" w:hAnsi="Times New Roman"/>
                <w:sz w:val="14"/>
                <w:szCs w:val="14"/>
              </w:rPr>
            </w:pPr>
            <w:r w:rsidRPr="009F2D1E">
              <w:rPr>
                <w:sz w:val="14"/>
                <w:szCs w:val="14"/>
              </w:rPr>
              <w:t>1602,93</w:t>
            </w:r>
          </w:p>
        </w:tc>
        <w:tc>
          <w:tcPr>
            <w:tcW w:w="2008" w:type="dxa"/>
            <w:tcBorders>
              <w:top w:val="nil"/>
              <w:left w:val="nil"/>
              <w:bottom w:val="single" w:sz="4" w:space="0" w:color="auto"/>
              <w:right w:val="single" w:sz="4" w:space="0" w:color="auto"/>
            </w:tcBorders>
            <w:shd w:val="clear" w:color="000000" w:fill="CCFFFF"/>
            <w:noWrap/>
            <w:vAlign w:val="bottom"/>
            <w:hideMark/>
          </w:tcPr>
          <w:p w14:paraId="60D319FD" w14:textId="77777777" w:rsidR="001D4AFA" w:rsidRPr="009F2D1E" w:rsidRDefault="001D4AFA" w:rsidP="009F2D1E">
            <w:pPr>
              <w:jc w:val="right"/>
              <w:rPr>
                <w:rFonts w:ascii="Times New Roman" w:hAnsi="Times New Roman"/>
                <w:sz w:val="14"/>
                <w:szCs w:val="14"/>
              </w:rPr>
            </w:pPr>
            <w:r w:rsidRPr="009F2D1E">
              <w:rPr>
                <w:sz w:val="14"/>
                <w:szCs w:val="14"/>
              </w:rPr>
              <w:t>-26,95</w:t>
            </w:r>
          </w:p>
        </w:tc>
      </w:tr>
      <w:tr w:rsidR="001D4AFA" w:rsidRPr="00364545" w14:paraId="1F09B58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DD0F7A1"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A. Solid waste disposal</w:t>
            </w:r>
            <w:r w:rsidRPr="00364545">
              <w:rPr>
                <w:rFonts w:asciiTheme="majorHAnsi" w:hAnsiTheme="majorHAnsi"/>
                <w:b/>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24B89782"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541" w:type="dxa"/>
            <w:tcBorders>
              <w:top w:val="nil"/>
              <w:left w:val="nil"/>
              <w:bottom w:val="single" w:sz="4" w:space="0" w:color="auto"/>
              <w:right w:val="single" w:sz="4" w:space="0" w:color="auto"/>
            </w:tcBorders>
            <w:shd w:val="clear" w:color="000000" w:fill="FFFFFF"/>
            <w:noWrap/>
            <w:vAlign w:val="bottom"/>
            <w:hideMark/>
          </w:tcPr>
          <w:p w14:paraId="58991CA8"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2008" w:type="dxa"/>
            <w:tcBorders>
              <w:top w:val="nil"/>
              <w:left w:val="nil"/>
              <w:bottom w:val="single" w:sz="4" w:space="0" w:color="auto"/>
              <w:right w:val="single" w:sz="4" w:space="0" w:color="auto"/>
            </w:tcBorders>
            <w:shd w:val="clear" w:color="000000" w:fill="FFFFFF"/>
            <w:noWrap/>
            <w:vAlign w:val="bottom"/>
            <w:hideMark/>
          </w:tcPr>
          <w:p w14:paraId="04ED4F59"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34FA6AB8"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2864F6A"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B. Biological treatment of solid waste</w:t>
            </w:r>
          </w:p>
        </w:tc>
        <w:tc>
          <w:tcPr>
            <w:tcW w:w="1541" w:type="dxa"/>
            <w:tcBorders>
              <w:top w:val="nil"/>
              <w:left w:val="nil"/>
              <w:bottom w:val="single" w:sz="4" w:space="0" w:color="auto"/>
              <w:right w:val="single" w:sz="4" w:space="0" w:color="auto"/>
            </w:tcBorders>
            <w:shd w:val="clear" w:color="000000" w:fill="FFFFFF"/>
            <w:noWrap/>
            <w:vAlign w:val="bottom"/>
            <w:hideMark/>
          </w:tcPr>
          <w:p w14:paraId="05A17F0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1F923FFA"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48AD21E7"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0F4D7F2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5DCD97B"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C. Incineration and open burning of waste</w:t>
            </w:r>
          </w:p>
        </w:tc>
        <w:tc>
          <w:tcPr>
            <w:tcW w:w="1541" w:type="dxa"/>
            <w:tcBorders>
              <w:top w:val="nil"/>
              <w:left w:val="nil"/>
              <w:bottom w:val="single" w:sz="4" w:space="0" w:color="auto"/>
              <w:right w:val="single" w:sz="4" w:space="0" w:color="auto"/>
            </w:tcBorders>
            <w:shd w:val="clear" w:color="000000" w:fill="FFFFFF"/>
            <w:noWrap/>
            <w:vAlign w:val="bottom"/>
            <w:hideMark/>
          </w:tcPr>
          <w:p w14:paraId="049005D9" w14:textId="77777777" w:rsidR="001D4AFA" w:rsidRPr="009F2D1E" w:rsidRDefault="001D4AFA" w:rsidP="009F2D1E">
            <w:pPr>
              <w:jc w:val="right"/>
              <w:rPr>
                <w:rFonts w:ascii="Times New Roman" w:hAnsi="Times New Roman"/>
                <w:sz w:val="14"/>
                <w:szCs w:val="14"/>
              </w:rPr>
            </w:pPr>
            <w:r w:rsidRPr="009F2D1E">
              <w:rPr>
                <w:sz w:val="14"/>
                <w:szCs w:val="14"/>
              </w:rPr>
              <w:t>1 737,99</w:t>
            </w:r>
          </w:p>
        </w:tc>
        <w:tc>
          <w:tcPr>
            <w:tcW w:w="1541" w:type="dxa"/>
            <w:tcBorders>
              <w:top w:val="nil"/>
              <w:left w:val="nil"/>
              <w:bottom w:val="single" w:sz="4" w:space="0" w:color="auto"/>
              <w:right w:val="single" w:sz="4" w:space="0" w:color="auto"/>
            </w:tcBorders>
            <w:shd w:val="clear" w:color="000000" w:fill="FFFFFF"/>
            <w:noWrap/>
            <w:vAlign w:val="bottom"/>
            <w:hideMark/>
          </w:tcPr>
          <w:p w14:paraId="243D1838" w14:textId="77777777" w:rsidR="001D4AFA" w:rsidRPr="009F2D1E" w:rsidRDefault="001D4AFA" w:rsidP="009F2D1E">
            <w:pPr>
              <w:jc w:val="right"/>
              <w:rPr>
                <w:rFonts w:ascii="Times New Roman" w:hAnsi="Times New Roman"/>
                <w:sz w:val="14"/>
                <w:szCs w:val="14"/>
              </w:rPr>
            </w:pPr>
            <w:r w:rsidRPr="009F2D1E">
              <w:rPr>
                <w:sz w:val="14"/>
                <w:szCs w:val="14"/>
              </w:rPr>
              <w:t>1 602,93</w:t>
            </w:r>
          </w:p>
        </w:tc>
        <w:tc>
          <w:tcPr>
            <w:tcW w:w="2008" w:type="dxa"/>
            <w:tcBorders>
              <w:top w:val="nil"/>
              <w:left w:val="nil"/>
              <w:bottom w:val="single" w:sz="4" w:space="0" w:color="auto"/>
              <w:right w:val="single" w:sz="4" w:space="0" w:color="auto"/>
            </w:tcBorders>
            <w:shd w:val="clear" w:color="000000" w:fill="FFFFFF"/>
            <w:noWrap/>
            <w:vAlign w:val="bottom"/>
            <w:hideMark/>
          </w:tcPr>
          <w:p w14:paraId="56D6F3A2" w14:textId="77777777" w:rsidR="001D4AFA" w:rsidRPr="009F2D1E" w:rsidRDefault="001D4AFA" w:rsidP="009F2D1E">
            <w:pPr>
              <w:jc w:val="right"/>
              <w:rPr>
                <w:rFonts w:ascii="Times New Roman" w:hAnsi="Times New Roman"/>
                <w:sz w:val="14"/>
                <w:szCs w:val="14"/>
              </w:rPr>
            </w:pPr>
            <w:r w:rsidRPr="009F2D1E">
              <w:rPr>
                <w:sz w:val="14"/>
                <w:szCs w:val="14"/>
              </w:rPr>
              <w:t>-26,95</w:t>
            </w:r>
          </w:p>
        </w:tc>
      </w:tr>
      <w:tr w:rsidR="001D4AFA" w:rsidRPr="00364545" w14:paraId="5080BD9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B137A7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D. Waste water treatment and discharge</w:t>
            </w:r>
          </w:p>
        </w:tc>
        <w:tc>
          <w:tcPr>
            <w:tcW w:w="1541" w:type="dxa"/>
            <w:tcBorders>
              <w:top w:val="nil"/>
              <w:left w:val="nil"/>
              <w:bottom w:val="single" w:sz="4" w:space="0" w:color="auto"/>
              <w:right w:val="single" w:sz="4" w:space="0" w:color="auto"/>
            </w:tcBorders>
            <w:shd w:val="clear" w:color="000000" w:fill="FFFFFF"/>
            <w:noWrap/>
            <w:vAlign w:val="bottom"/>
            <w:hideMark/>
          </w:tcPr>
          <w:p w14:paraId="254F1BA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66E3998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44857FB3"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10F8F21F"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5F5E8DF" w14:textId="77777777" w:rsidR="001D4AFA" w:rsidRPr="00364545" w:rsidRDefault="001D4AFA" w:rsidP="009F2D1E">
            <w:pPr>
              <w:ind w:firstLineChars="200" w:firstLine="320"/>
              <w:jc w:val="left"/>
              <w:rPr>
                <w:rFonts w:asciiTheme="majorHAnsi" w:hAnsiTheme="majorHAnsi"/>
                <w:sz w:val="16"/>
                <w:szCs w:val="16"/>
              </w:rPr>
            </w:pPr>
            <w:r w:rsidRPr="00364545">
              <w:rPr>
                <w:rFonts w:asciiTheme="majorHAnsi" w:hAnsiTheme="majorHAnsi"/>
                <w:sz w:val="16"/>
              </w:rPr>
              <w:t>E. Other</w:t>
            </w:r>
            <w:r w:rsidRPr="00364545">
              <w:rPr>
                <w:rFonts w:asciiTheme="majorHAnsi" w:hAnsiTheme="majorHAnsi"/>
                <w:b/>
                <w:i/>
                <w:sz w:val="16"/>
              </w:rPr>
              <w:t xml:space="preserve"> </w:t>
            </w:r>
          </w:p>
        </w:tc>
        <w:tc>
          <w:tcPr>
            <w:tcW w:w="1541" w:type="dxa"/>
            <w:tcBorders>
              <w:top w:val="nil"/>
              <w:left w:val="nil"/>
              <w:bottom w:val="single" w:sz="4" w:space="0" w:color="auto"/>
              <w:right w:val="single" w:sz="4" w:space="0" w:color="auto"/>
            </w:tcBorders>
            <w:shd w:val="clear" w:color="000000" w:fill="FFFFFF"/>
            <w:noWrap/>
            <w:vAlign w:val="bottom"/>
            <w:hideMark/>
          </w:tcPr>
          <w:p w14:paraId="75F3BADB"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541" w:type="dxa"/>
            <w:tcBorders>
              <w:top w:val="nil"/>
              <w:left w:val="nil"/>
              <w:bottom w:val="single" w:sz="4" w:space="0" w:color="auto"/>
              <w:right w:val="single" w:sz="4" w:space="0" w:color="auto"/>
            </w:tcBorders>
            <w:shd w:val="clear" w:color="000000" w:fill="FFFFFF"/>
            <w:noWrap/>
            <w:vAlign w:val="bottom"/>
            <w:hideMark/>
          </w:tcPr>
          <w:p w14:paraId="2254498A"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2008" w:type="dxa"/>
            <w:tcBorders>
              <w:top w:val="nil"/>
              <w:left w:val="nil"/>
              <w:bottom w:val="single" w:sz="4" w:space="0" w:color="auto"/>
              <w:right w:val="single" w:sz="4" w:space="0" w:color="auto"/>
            </w:tcBorders>
            <w:shd w:val="clear" w:color="000000" w:fill="FFFFFF"/>
            <w:noWrap/>
            <w:vAlign w:val="bottom"/>
            <w:hideMark/>
          </w:tcPr>
          <w:p w14:paraId="1695EEDB"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2DCBDE79"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96D495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6. Other </w:t>
            </w:r>
            <w:r w:rsidRPr="00364545">
              <w:rPr>
                <w:rFonts w:asciiTheme="majorHAnsi" w:hAnsiTheme="majorHAnsi"/>
                <w:b/>
                <w:i/>
                <w:sz w:val="16"/>
              </w:rPr>
              <w:t>(as specified in summary 1.A)</w:t>
            </w:r>
          </w:p>
        </w:tc>
        <w:tc>
          <w:tcPr>
            <w:tcW w:w="1541" w:type="dxa"/>
            <w:tcBorders>
              <w:top w:val="nil"/>
              <w:left w:val="nil"/>
              <w:bottom w:val="single" w:sz="4" w:space="0" w:color="auto"/>
              <w:right w:val="single" w:sz="4" w:space="0" w:color="auto"/>
            </w:tcBorders>
            <w:shd w:val="clear" w:color="000000" w:fill="CCFFFF"/>
            <w:noWrap/>
            <w:vAlign w:val="bottom"/>
            <w:hideMark/>
          </w:tcPr>
          <w:p w14:paraId="30A312F4"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1541" w:type="dxa"/>
            <w:tcBorders>
              <w:top w:val="nil"/>
              <w:left w:val="nil"/>
              <w:bottom w:val="single" w:sz="4" w:space="0" w:color="auto"/>
              <w:right w:val="single" w:sz="4" w:space="0" w:color="auto"/>
            </w:tcBorders>
            <w:shd w:val="clear" w:color="000000" w:fill="CCFFFF"/>
            <w:noWrap/>
            <w:vAlign w:val="bottom"/>
            <w:hideMark/>
          </w:tcPr>
          <w:p w14:paraId="7B1AE2A5" w14:textId="77777777" w:rsidR="001D4AFA" w:rsidRPr="009F2D1E" w:rsidRDefault="001D4AFA" w:rsidP="009F2D1E">
            <w:pPr>
              <w:jc w:val="right"/>
              <w:rPr>
                <w:rFonts w:ascii="Times New Roman" w:hAnsi="Times New Roman"/>
                <w:sz w:val="14"/>
                <w:szCs w:val="14"/>
              </w:rPr>
            </w:pPr>
            <w:r w:rsidRPr="009F2D1E">
              <w:rPr>
                <w:sz w:val="14"/>
                <w:szCs w:val="14"/>
              </w:rPr>
              <w:t>NO</w:t>
            </w:r>
          </w:p>
        </w:tc>
        <w:tc>
          <w:tcPr>
            <w:tcW w:w="2008" w:type="dxa"/>
            <w:tcBorders>
              <w:top w:val="nil"/>
              <w:left w:val="nil"/>
              <w:bottom w:val="single" w:sz="4" w:space="0" w:color="auto"/>
              <w:right w:val="single" w:sz="4" w:space="0" w:color="auto"/>
            </w:tcBorders>
            <w:shd w:val="clear" w:color="000000" w:fill="CCFFFF"/>
            <w:noWrap/>
            <w:vAlign w:val="bottom"/>
            <w:hideMark/>
          </w:tcPr>
          <w:p w14:paraId="5175C322"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6E3EA8FB"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012289C0"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Memo items:</w:t>
            </w:r>
          </w:p>
        </w:tc>
        <w:tc>
          <w:tcPr>
            <w:tcW w:w="1541" w:type="dxa"/>
            <w:tcBorders>
              <w:top w:val="nil"/>
              <w:left w:val="nil"/>
              <w:bottom w:val="single" w:sz="4" w:space="0" w:color="auto"/>
              <w:right w:val="single" w:sz="4" w:space="0" w:color="auto"/>
            </w:tcBorders>
            <w:shd w:val="clear" w:color="000000" w:fill="969696"/>
            <w:noWrap/>
            <w:vAlign w:val="bottom"/>
            <w:hideMark/>
          </w:tcPr>
          <w:p w14:paraId="250B2A4C"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969696"/>
            <w:noWrap/>
            <w:vAlign w:val="bottom"/>
            <w:hideMark/>
          </w:tcPr>
          <w:p w14:paraId="38626B25"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969696"/>
            <w:noWrap/>
            <w:vAlign w:val="bottom"/>
            <w:hideMark/>
          </w:tcPr>
          <w:p w14:paraId="32B53F00"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70F823EE"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4E5980C"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International bunkers</w:t>
            </w:r>
          </w:p>
        </w:tc>
        <w:tc>
          <w:tcPr>
            <w:tcW w:w="1541" w:type="dxa"/>
            <w:tcBorders>
              <w:top w:val="nil"/>
              <w:left w:val="nil"/>
              <w:bottom w:val="single" w:sz="4" w:space="0" w:color="auto"/>
              <w:right w:val="single" w:sz="4" w:space="0" w:color="auto"/>
            </w:tcBorders>
            <w:shd w:val="clear" w:color="000000" w:fill="CCFFFF"/>
            <w:noWrap/>
            <w:vAlign w:val="bottom"/>
            <w:hideMark/>
          </w:tcPr>
          <w:p w14:paraId="2706EFBC" w14:textId="77777777" w:rsidR="001D4AFA" w:rsidRPr="009F2D1E" w:rsidRDefault="001D4AFA" w:rsidP="009F2D1E">
            <w:pPr>
              <w:jc w:val="right"/>
              <w:rPr>
                <w:rFonts w:ascii="Times New Roman" w:hAnsi="Times New Roman"/>
                <w:sz w:val="14"/>
                <w:szCs w:val="14"/>
              </w:rPr>
            </w:pPr>
            <w:r w:rsidRPr="009F2D1E">
              <w:rPr>
                <w:sz w:val="14"/>
                <w:szCs w:val="14"/>
              </w:rPr>
              <w:t>24579,81</w:t>
            </w:r>
          </w:p>
        </w:tc>
        <w:tc>
          <w:tcPr>
            <w:tcW w:w="1541" w:type="dxa"/>
            <w:tcBorders>
              <w:top w:val="nil"/>
              <w:left w:val="nil"/>
              <w:bottom w:val="single" w:sz="4" w:space="0" w:color="auto"/>
              <w:right w:val="single" w:sz="4" w:space="0" w:color="auto"/>
            </w:tcBorders>
            <w:shd w:val="clear" w:color="000000" w:fill="CCFFFF"/>
            <w:noWrap/>
            <w:vAlign w:val="bottom"/>
            <w:hideMark/>
          </w:tcPr>
          <w:p w14:paraId="5027BE03" w14:textId="77777777" w:rsidR="001D4AFA" w:rsidRPr="009F2D1E" w:rsidRDefault="001D4AFA" w:rsidP="009F2D1E">
            <w:pPr>
              <w:jc w:val="right"/>
              <w:rPr>
                <w:rFonts w:ascii="Times New Roman" w:hAnsi="Times New Roman"/>
                <w:sz w:val="14"/>
                <w:szCs w:val="14"/>
              </w:rPr>
            </w:pPr>
            <w:r w:rsidRPr="009F2D1E">
              <w:rPr>
                <w:sz w:val="14"/>
                <w:szCs w:val="14"/>
              </w:rPr>
              <w:t>11173,11</w:t>
            </w:r>
          </w:p>
        </w:tc>
        <w:tc>
          <w:tcPr>
            <w:tcW w:w="2008" w:type="dxa"/>
            <w:tcBorders>
              <w:top w:val="nil"/>
              <w:left w:val="nil"/>
              <w:bottom w:val="single" w:sz="4" w:space="0" w:color="auto"/>
              <w:right w:val="single" w:sz="4" w:space="0" w:color="auto"/>
            </w:tcBorders>
            <w:shd w:val="clear" w:color="000000" w:fill="CCFFFF"/>
            <w:noWrap/>
            <w:vAlign w:val="bottom"/>
            <w:hideMark/>
          </w:tcPr>
          <w:p w14:paraId="1FB15434" w14:textId="77777777" w:rsidR="001D4AFA" w:rsidRPr="009F2D1E" w:rsidRDefault="001D4AFA" w:rsidP="009F2D1E">
            <w:pPr>
              <w:jc w:val="right"/>
              <w:rPr>
                <w:rFonts w:ascii="Times New Roman" w:hAnsi="Times New Roman"/>
                <w:sz w:val="14"/>
                <w:szCs w:val="14"/>
              </w:rPr>
            </w:pPr>
            <w:r w:rsidRPr="009F2D1E">
              <w:rPr>
                <w:sz w:val="14"/>
                <w:szCs w:val="14"/>
              </w:rPr>
              <w:t>-33,36</w:t>
            </w:r>
          </w:p>
        </w:tc>
      </w:tr>
      <w:tr w:rsidR="001D4AFA" w:rsidRPr="00364545" w14:paraId="366B4E8F"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A8767E1"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Aviation</w:t>
            </w:r>
          </w:p>
        </w:tc>
        <w:tc>
          <w:tcPr>
            <w:tcW w:w="1541" w:type="dxa"/>
            <w:tcBorders>
              <w:top w:val="nil"/>
              <w:left w:val="nil"/>
              <w:bottom w:val="single" w:sz="4" w:space="0" w:color="auto"/>
              <w:right w:val="single" w:sz="4" w:space="0" w:color="auto"/>
            </w:tcBorders>
            <w:shd w:val="clear" w:color="000000" w:fill="FFFFFF"/>
            <w:noWrap/>
            <w:vAlign w:val="bottom"/>
            <w:hideMark/>
          </w:tcPr>
          <w:p w14:paraId="37A91DD9" w14:textId="77777777" w:rsidR="001D4AFA" w:rsidRPr="009F2D1E" w:rsidRDefault="001D4AFA" w:rsidP="009F2D1E">
            <w:pPr>
              <w:jc w:val="right"/>
              <w:rPr>
                <w:rFonts w:ascii="Times New Roman" w:hAnsi="Times New Roman"/>
                <w:sz w:val="14"/>
                <w:szCs w:val="14"/>
              </w:rPr>
            </w:pPr>
            <w:r w:rsidRPr="009F2D1E">
              <w:rPr>
                <w:sz w:val="14"/>
                <w:szCs w:val="14"/>
              </w:rPr>
              <w:t>19 046,09</w:t>
            </w:r>
          </w:p>
        </w:tc>
        <w:tc>
          <w:tcPr>
            <w:tcW w:w="1541" w:type="dxa"/>
            <w:tcBorders>
              <w:top w:val="nil"/>
              <w:left w:val="nil"/>
              <w:bottom w:val="single" w:sz="4" w:space="0" w:color="auto"/>
              <w:right w:val="single" w:sz="4" w:space="0" w:color="auto"/>
            </w:tcBorders>
            <w:shd w:val="clear" w:color="000000" w:fill="FFFFFF"/>
            <w:noWrap/>
            <w:vAlign w:val="bottom"/>
            <w:hideMark/>
          </w:tcPr>
          <w:p w14:paraId="6DEAD217" w14:textId="77777777" w:rsidR="001D4AFA" w:rsidRPr="009F2D1E" w:rsidRDefault="001D4AFA" w:rsidP="009F2D1E">
            <w:pPr>
              <w:jc w:val="right"/>
              <w:rPr>
                <w:rFonts w:ascii="Times New Roman" w:hAnsi="Times New Roman"/>
                <w:sz w:val="14"/>
                <w:szCs w:val="14"/>
              </w:rPr>
            </w:pPr>
            <w:r w:rsidRPr="009F2D1E">
              <w:rPr>
                <w:sz w:val="14"/>
                <w:szCs w:val="14"/>
              </w:rPr>
              <w:t>8 045,68</w:t>
            </w:r>
          </w:p>
        </w:tc>
        <w:tc>
          <w:tcPr>
            <w:tcW w:w="2008" w:type="dxa"/>
            <w:tcBorders>
              <w:top w:val="nil"/>
              <w:left w:val="nil"/>
              <w:bottom w:val="single" w:sz="4" w:space="0" w:color="auto"/>
              <w:right w:val="single" w:sz="4" w:space="0" w:color="auto"/>
            </w:tcBorders>
            <w:shd w:val="clear" w:color="000000" w:fill="FFFFFF"/>
            <w:noWrap/>
            <w:vAlign w:val="bottom"/>
            <w:hideMark/>
          </w:tcPr>
          <w:p w14:paraId="648AA866" w14:textId="77777777" w:rsidR="001D4AFA" w:rsidRPr="009F2D1E" w:rsidRDefault="001D4AFA" w:rsidP="009F2D1E">
            <w:pPr>
              <w:jc w:val="right"/>
              <w:rPr>
                <w:rFonts w:ascii="Times New Roman" w:hAnsi="Times New Roman"/>
                <w:sz w:val="14"/>
                <w:szCs w:val="14"/>
              </w:rPr>
            </w:pPr>
            <w:r w:rsidRPr="009F2D1E">
              <w:rPr>
                <w:sz w:val="14"/>
                <w:szCs w:val="14"/>
              </w:rPr>
              <w:t>-8,62</w:t>
            </w:r>
          </w:p>
        </w:tc>
      </w:tr>
      <w:tr w:rsidR="001D4AFA" w:rsidRPr="00364545" w14:paraId="5CDD3E79"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DB1A74E" w14:textId="77777777" w:rsidR="001D4AFA" w:rsidRPr="00364545" w:rsidRDefault="001D4AFA" w:rsidP="009F2D1E">
            <w:pPr>
              <w:jc w:val="left"/>
              <w:rPr>
                <w:rFonts w:asciiTheme="majorHAnsi" w:hAnsiTheme="majorHAnsi"/>
                <w:sz w:val="16"/>
                <w:szCs w:val="16"/>
              </w:rPr>
            </w:pPr>
            <w:r w:rsidRPr="00364545">
              <w:rPr>
                <w:rFonts w:asciiTheme="majorHAnsi" w:hAnsiTheme="majorHAnsi"/>
                <w:sz w:val="16"/>
              </w:rPr>
              <w:t>Navigation</w:t>
            </w:r>
          </w:p>
        </w:tc>
        <w:tc>
          <w:tcPr>
            <w:tcW w:w="1541" w:type="dxa"/>
            <w:tcBorders>
              <w:top w:val="nil"/>
              <w:left w:val="nil"/>
              <w:bottom w:val="single" w:sz="4" w:space="0" w:color="auto"/>
              <w:right w:val="single" w:sz="4" w:space="0" w:color="auto"/>
            </w:tcBorders>
            <w:shd w:val="clear" w:color="000000" w:fill="FFFFFF"/>
            <w:noWrap/>
            <w:vAlign w:val="bottom"/>
            <w:hideMark/>
          </w:tcPr>
          <w:p w14:paraId="336C2FA2" w14:textId="77777777" w:rsidR="001D4AFA" w:rsidRPr="009F2D1E" w:rsidRDefault="001D4AFA" w:rsidP="009F2D1E">
            <w:pPr>
              <w:jc w:val="right"/>
              <w:rPr>
                <w:rFonts w:ascii="Times New Roman" w:hAnsi="Times New Roman"/>
                <w:sz w:val="14"/>
                <w:szCs w:val="14"/>
              </w:rPr>
            </w:pPr>
            <w:r w:rsidRPr="009F2D1E">
              <w:rPr>
                <w:sz w:val="14"/>
                <w:szCs w:val="14"/>
              </w:rPr>
              <w:t>5 533,71</w:t>
            </w:r>
          </w:p>
        </w:tc>
        <w:tc>
          <w:tcPr>
            <w:tcW w:w="1541" w:type="dxa"/>
            <w:tcBorders>
              <w:top w:val="nil"/>
              <w:left w:val="nil"/>
              <w:bottom w:val="single" w:sz="4" w:space="0" w:color="auto"/>
              <w:right w:val="single" w:sz="4" w:space="0" w:color="auto"/>
            </w:tcBorders>
            <w:shd w:val="clear" w:color="000000" w:fill="FFFFFF"/>
            <w:noWrap/>
            <w:vAlign w:val="bottom"/>
            <w:hideMark/>
          </w:tcPr>
          <w:p w14:paraId="586C1A97" w14:textId="77777777" w:rsidR="001D4AFA" w:rsidRPr="009F2D1E" w:rsidRDefault="001D4AFA" w:rsidP="009F2D1E">
            <w:pPr>
              <w:jc w:val="right"/>
              <w:rPr>
                <w:rFonts w:ascii="Times New Roman" w:hAnsi="Times New Roman"/>
                <w:sz w:val="14"/>
                <w:szCs w:val="14"/>
              </w:rPr>
            </w:pPr>
            <w:r w:rsidRPr="009F2D1E">
              <w:rPr>
                <w:sz w:val="14"/>
                <w:szCs w:val="14"/>
              </w:rPr>
              <w:t>3 127,43</w:t>
            </w:r>
          </w:p>
        </w:tc>
        <w:tc>
          <w:tcPr>
            <w:tcW w:w="2008" w:type="dxa"/>
            <w:tcBorders>
              <w:top w:val="nil"/>
              <w:left w:val="nil"/>
              <w:bottom w:val="single" w:sz="4" w:space="0" w:color="auto"/>
              <w:right w:val="single" w:sz="4" w:space="0" w:color="auto"/>
            </w:tcBorders>
            <w:shd w:val="clear" w:color="000000" w:fill="FFFFFF"/>
            <w:noWrap/>
            <w:vAlign w:val="bottom"/>
            <w:hideMark/>
          </w:tcPr>
          <w:p w14:paraId="4644EA4C" w14:textId="77777777" w:rsidR="001D4AFA" w:rsidRPr="009F2D1E" w:rsidRDefault="001D4AFA" w:rsidP="009F2D1E">
            <w:pPr>
              <w:jc w:val="right"/>
              <w:rPr>
                <w:rFonts w:ascii="Times New Roman" w:hAnsi="Times New Roman"/>
                <w:sz w:val="14"/>
                <w:szCs w:val="14"/>
              </w:rPr>
            </w:pPr>
            <w:r w:rsidRPr="009F2D1E">
              <w:rPr>
                <w:sz w:val="14"/>
                <w:szCs w:val="14"/>
              </w:rPr>
              <w:t>-60,72</w:t>
            </w:r>
          </w:p>
        </w:tc>
      </w:tr>
      <w:tr w:rsidR="001D4AFA" w:rsidRPr="00364545" w14:paraId="76C0C0AF"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2EB2922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Multilateral operations</w:t>
            </w:r>
          </w:p>
        </w:tc>
        <w:tc>
          <w:tcPr>
            <w:tcW w:w="1541" w:type="dxa"/>
            <w:tcBorders>
              <w:top w:val="nil"/>
              <w:left w:val="nil"/>
              <w:bottom w:val="single" w:sz="4" w:space="0" w:color="auto"/>
              <w:right w:val="single" w:sz="4" w:space="0" w:color="auto"/>
            </w:tcBorders>
            <w:shd w:val="clear" w:color="000000" w:fill="FFFFFF"/>
            <w:noWrap/>
            <w:vAlign w:val="bottom"/>
            <w:hideMark/>
          </w:tcPr>
          <w:p w14:paraId="139CE497" w14:textId="77777777" w:rsidR="001D4AFA" w:rsidRPr="009F2D1E" w:rsidRDefault="001D4AFA" w:rsidP="009F2D1E">
            <w:pPr>
              <w:jc w:val="right"/>
              <w:rPr>
                <w:rFonts w:ascii="Times New Roman" w:hAnsi="Times New Roman"/>
                <w:sz w:val="14"/>
                <w:szCs w:val="14"/>
              </w:rPr>
            </w:pPr>
            <w:r w:rsidRPr="009F2D1E">
              <w:rPr>
                <w:sz w:val="14"/>
                <w:szCs w:val="14"/>
              </w:rPr>
              <w:t>1,13</w:t>
            </w:r>
          </w:p>
        </w:tc>
        <w:tc>
          <w:tcPr>
            <w:tcW w:w="1541" w:type="dxa"/>
            <w:tcBorders>
              <w:top w:val="nil"/>
              <w:left w:val="nil"/>
              <w:bottom w:val="single" w:sz="4" w:space="0" w:color="auto"/>
              <w:right w:val="single" w:sz="4" w:space="0" w:color="auto"/>
            </w:tcBorders>
            <w:shd w:val="clear" w:color="000000" w:fill="FFFFFF"/>
            <w:noWrap/>
            <w:vAlign w:val="bottom"/>
            <w:hideMark/>
          </w:tcPr>
          <w:p w14:paraId="04FA3E37" w14:textId="77777777" w:rsidR="001D4AFA" w:rsidRPr="009F2D1E" w:rsidRDefault="001D4AFA" w:rsidP="009F2D1E">
            <w:pPr>
              <w:jc w:val="right"/>
              <w:rPr>
                <w:rFonts w:ascii="Times New Roman" w:hAnsi="Times New Roman"/>
                <w:sz w:val="14"/>
                <w:szCs w:val="14"/>
              </w:rPr>
            </w:pPr>
            <w:r w:rsidRPr="009F2D1E">
              <w:rPr>
                <w:sz w:val="14"/>
                <w:szCs w:val="14"/>
              </w:rPr>
              <w:t>1,42</w:t>
            </w:r>
          </w:p>
        </w:tc>
        <w:tc>
          <w:tcPr>
            <w:tcW w:w="2008" w:type="dxa"/>
            <w:tcBorders>
              <w:top w:val="nil"/>
              <w:left w:val="nil"/>
              <w:bottom w:val="single" w:sz="4" w:space="0" w:color="auto"/>
              <w:right w:val="single" w:sz="4" w:space="0" w:color="auto"/>
            </w:tcBorders>
            <w:shd w:val="clear" w:color="000000" w:fill="FFFFFF"/>
            <w:noWrap/>
            <w:vAlign w:val="bottom"/>
            <w:hideMark/>
          </w:tcPr>
          <w:p w14:paraId="0F3170CA" w14:textId="77777777" w:rsidR="001D4AFA" w:rsidRPr="009F2D1E" w:rsidRDefault="001D4AFA" w:rsidP="009F2D1E">
            <w:pPr>
              <w:jc w:val="right"/>
              <w:rPr>
                <w:rFonts w:ascii="Times New Roman" w:hAnsi="Times New Roman"/>
                <w:sz w:val="14"/>
                <w:szCs w:val="14"/>
              </w:rPr>
            </w:pPr>
            <w:r w:rsidRPr="009F2D1E">
              <w:rPr>
                <w:sz w:val="14"/>
                <w:szCs w:val="14"/>
              </w:rPr>
              <w:t>112,33</w:t>
            </w:r>
          </w:p>
        </w:tc>
      </w:tr>
      <w:tr w:rsidR="001D4AFA" w:rsidRPr="00364545" w14:paraId="5A48F4EC"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BACE877"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emissions from biomass</w:t>
            </w:r>
          </w:p>
        </w:tc>
        <w:tc>
          <w:tcPr>
            <w:tcW w:w="1541" w:type="dxa"/>
            <w:tcBorders>
              <w:top w:val="nil"/>
              <w:left w:val="nil"/>
              <w:bottom w:val="single" w:sz="4" w:space="0" w:color="auto"/>
              <w:right w:val="single" w:sz="4" w:space="0" w:color="auto"/>
            </w:tcBorders>
            <w:shd w:val="clear" w:color="000000" w:fill="FFFFFF"/>
            <w:noWrap/>
            <w:vAlign w:val="bottom"/>
            <w:hideMark/>
          </w:tcPr>
          <w:p w14:paraId="135F16D8" w14:textId="77777777" w:rsidR="001D4AFA" w:rsidRPr="009F2D1E" w:rsidRDefault="001D4AFA" w:rsidP="009F2D1E">
            <w:pPr>
              <w:jc w:val="right"/>
              <w:rPr>
                <w:rFonts w:ascii="Times New Roman" w:hAnsi="Times New Roman"/>
                <w:sz w:val="14"/>
                <w:szCs w:val="14"/>
              </w:rPr>
            </w:pPr>
            <w:r w:rsidRPr="009F2D1E">
              <w:rPr>
                <w:sz w:val="14"/>
                <w:szCs w:val="14"/>
              </w:rPr>
              <w:t>62 869,92</w:t>
            </w:r>
          </w:p>
        </w:tc>
        <w:tc>
          <w:tcPr>
            <w:tcW w:w="1541" w:type="dxa"/>
            <w:tcBorders>
              <w:top w:val="nil"/>
              <w:left w:val="nil"/>
              <w:bottom w:val="single" w:sz="4" w:space="0" w:color="auto"/>
              <w:right w:val="single" w:sz="4" w:space="0" w:color="auto"/>
            </w:tcBorders>
            <w:shd w:val="clear" w:color="000000" w:fill="FFFFFF"/>
            <w:noWrap/>
            <w:vAlign w:val="bottom"/>
            <w:hideMark/>
          </w:tcPr>
          <w:p w14:paraId="41FC0860" w14:textId="77777777" w:rsidR="001D4AFA" w:rsidRPr="009F2D1E" w:rsidRDefault="001D4AFA" w:rsidP="009F2D1E">
            <w:pPr>
              <w:jc w:val="right"/>
              <w:rPr>
                <w:rFonts w:ascii="Times New Roman" w:hAnsi="Times New Roman"/>
                <w:sz w:val="14"/>
                <w:szCs w:val="14"/>
              </w:rPr>
            </w:pPr>
            <w:r w:rsidRPr="009F2D1E">
              <w:rPr>
                <w:sz w:val="14"/>
                <w:szCs w:val="14"/>
              </w:rPr>
              <w:t>59 126,82</w:t>
            </w:r>
          </w:p>
        </w:tc>
        <w:tc>
          <w:tcPr>
            <w:tcW w:w="2008" w:type="dxa"/>
            <w:tcBorders>
              <w:top w:val="nil"/>
              <w:left w:val="nil"/>
              <w:bottom w:val="single" w:sz="4" w:space="0" w:color="auto"/>
              <w:right w:val="single" w:sz="4" w:space="0" w:color="auto"/>
            </w:tcBorders>
            <w:shd w:val="clear" w:color="000000" w:fill="FFFFFF"/>
            <w:noWrap/>
            <w:vAlign w:val="bottom"/>
            <w:hideMark/>
          </w:tcPr>
          <w:p w14:paraId="7CDA35A5" w14:textId="77777777" w:rsidR="001D4AFA" w:rsidRPr="009F2D1E" w:rsidRDefault="001D4AFA" w:rsidP="009F2D1E">
            <w:pPr>
              <w:jc w:val="right"/>
              <w:rPr>
                <w:rFonts w:ascii="Times New Roman" w:hAnsi="Times New Roman"/>
                <w:sz w:val="14"/>
                <w:szCs w:val="14"/>
              </w:rPr>
            </w:pPr>
            <w:r w:rsidRPr="009F2D1E">
              <w:rPr>
                <w:sz w:val="14"/>
                <w:szCs w:val="14"/>
              </w:rPr>
              <w:t>34,44</w:t>
            </w:r>
          </w:p>
        </w:tc>
      </w:tr>
      <w:tr w:rsidR="001D4AFA" w:rsidRPr="00364545" w14:paraId="2A5CD0E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BE8F6D9" w14:textId="77777777" w:rsidR="001D4AFA" w:rsidRPr="00364545" w:rsidRDefault="001D4AFA" w:rsidP="009F2D1E">
            <w:pPr>
              <w:jc w:val="left"/>
              <w:rPr>
                <w:rFonts w:asciiTheme="majorHAnsi" w:hAnsiTheme="majorHAnsi"/>
                <w:b/>
                <w:bCs/>
                <w:sz w:val="16"/>
                <w:szCs w:val="16"/>
              </w:rPr>
            </w:pPr>
            <w:r w:rsidRPr="00364545">
              <w:t>CO</w:t>
            </w:r>
            <w:r w:rsidRPr="00364545">
              <w:rPr>
                <w:vertAlign w:val="subscript"/>
              </w:rPr>
              <w:t>2</w:t>
            </w:r>
            <w:r w:rsidRPr="00364545">
              <w:rPr>
                <w:rFonts w:asciiTheme="majorHAnsi" w:hAnsiTheme="majorHAnsi"/>
                <w:b/>
                <w:sz w:val="16"/>
              </w:rPr>
              <w:t xml:space="preserve"> captured</w:t>
            </w:r>
          </w:p>
        </w:tc>
        <w:tc>
          <w:tcPr>
            <w:tcW w:w="1541" w:type="dxa"/>
            <w:tcBorders>
              <w:top w:val="nil"/>
              <w:left w:val="nil"/>
              <w:bottom w:val="single" w:sz="4" w:space="0" w:color="auto"/>
              <w:right w:val="single" w:sz="4" w:space="0" w:color="auto"/>
            </w:tcBorders>
            <w:shd w:val="clear" w:color="000000" w:fill="FFFFFF"/>
            <w:noWrap/>
            <w:vAlign w:val="bottom"/>
            <w:hideMark/>
          </w:tcPr>
          <w:p w14:paraId="7352B8FF"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1541" w:type="dxa"/>
            <w:tcBorders>
              <w:top w:val="nil"/>
              <w:left w:val="nil"/>
              <w:bottom w:val="single" w:sz="4" w:space="0" w:color="auto"/>
              <w:right w:val="single" w:sz="4" w:space="0" w:color="auto"/>
            </w:tcBorders>
            <w:shd w:val="clear" w:color="000000" w:fill="FFFFFF"/>
            <w:noWrap/>
            <w:vAlign w:val="bottom"/>
            <w:hideMark/>
          </w:tcPr>
          <w:p w14:paraId="47900A7E" w14:textId="77777777" w:rsidR="001D4AFA" w:rsidRPr="009F2D1E" w:rsidRDefault="001D4AFA" w:rsidP="009F2D1E">
            <w:pPr>
              <w:jc w:val="right"/>
              <w:rPr>
                <w:rFonts w:ascii="Times New Roman" w:hAnsi="Times New Roman"/>
                <w:sz w:val="14"/>
                <w:szCs w:val="14"/>
              </w:rPr>
            </w:pPr>
            <w:r w:rsidRPr="009F2D1E">
              <w:rPr>
                <w:sz w:val="14"/>
                <w:szCs w:val="14"/>
              </w:rPr>
              <w:t>NO,NA</w:t>
            </w:r>
          </w:p>
        </w:tc>
        <w:tc>
          <w:tcPr>
            <w:tcW w:w="2008" w:type="dxa"/>
            <w:tcBorders>
              <w:top w:val="nil"/>
              <w:left w:val="nil"/>
              <w:bottom w:val="single" w:sz="4" w:space="0" w:color="auto"/>
              <w:right w:val="single" w:sz="4" w:space="0" w:color="auto"/>
            </w:tcBorders>
            <w:shd w:val="clear" w:color="000000" w:fill="FFFFFF"/>
            <w:noWrap/>
            <w:vAlign w:val="bottom"/>
            <w:hideMark/>
          </w:tcPr>
          <w:p w14:paraId="7BEF675A"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01603088"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45C6BBE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Long-term storage of C in waste disposal sites</w:t>
            </w:r>
          </w:p>
        </w:tc>
        <w:tc>
          <w:tcPr>
            <w:tcW w:w="1541" w:type="dxa"/>
            <w:tcBorders>
              <w:top w:val="nil"/>
              <w:left w:val="nil"/>
              <w:bottom w:val="single" w:sz="4" w:space="0" w:color="auto"/>
              <w:right w:val="single" w:sz="4" w:space="0" w:color="auto"/>
            </w:tcBorders>
            <w:shd w:val="clear" w:color="000000" w:fill="FFFFFF"/>
            <w:noWrap/>
            <w:vAlign w:val="bottom"/>
            <w:hideMark/>
          </w:tcPr>
          <w:p w14:paraId="74247206"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1541" w:type="dxa"/>
            <w:tcBorders>
              <w:top w:val="nil"/>
              <w:left w:val="nil"/>
              <w:bottom w:val="single" w:sz="4" w:space="0" w:color="auto"/>
              <w:right w:val="single" w:sz="4" w:space="0" w:color="auto"/>
            </w:tcBorders>
            <w:shd w:val="clear" w:color="000000" w:fill="FFFFFF"/>
            <w:noWrap/>
            <w:vAlign w:val="bottom"/>
            <w:hideMark/>
          </w:tcPr>
          <w:p w14:paraId="353744D8" w14:textId="77777777" w:rsidR="001D4AFA" w:rsidRPr="009F2D1E" w:rsidRDefault="001D4AFA" w:rsidP="009F2D1E">
            <w:pPr>
              <w:jc w:val="right"/>
              <w:rPr>
                <w:rFonts w:ascii="Times New Roman" w:hAnsi="Times New Roman"/>
                <w:sz w:val="14"/>
                <w:szCs w:val="14"/>
              </w:rPr>
            </w:pPr>
            <w:r w:rsidRPr="009F2D1E">
              <w:rPr>
                <w:sz w:val="14"/>
                <w:szCs w:val="14"/>
              </w:rPr>
              <w:t>NE</w:t>
            </w:r>
          </w:p>
        </w:tc>
        <w:tc>
          <w:tcPr>
            <w:tcW w:w="2008" w:type="dxa"/>
            <w:tcBorders>
              <w:top w:val="nil"/>
              <w:left w:val="nil"/>
              <w:bottom w:val="single" w:sz="4" w:space="0" w:color="auto"/>
              <w:right w:val="single" w:sz="4" w:space="0" w:color="auto"/>
            </w:tcBorders>
            <w:shd w:val="clear" w:color="000000" w:fill="FFFFFF"/>
            <w:noWrap/>
            <w:vAlign w:val="bottom"/>
            <w:hideMark/>
          </w:tcPr>
          <w:p w14:paraId="2458E544"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680406B6"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6232882D"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N</w:t>
            </w:r>
            <w:r w:rsidRPr="00364545">
              <w:rPr>
                <w:vertAlign w:val="subscript"/>
              </w:rPr>
              <w:t>2</w:t>
            </w:r>
            <w:r w:rsidRPr="00364545">
              <w:t xml:space="preserve">O </w:t>
            </w:r>
          </w:p>
        </w:tc>
        <w:tc>
          <w:tcPr>
            <w:tcW w:w="1541" w:type="dxa"/>
            <w:tcBorders>
              <w:top w:val="nil"/>
              <w:left w:val="nil"/>
              <w:bottom w:val="single" w:sz="4" w:space="0" w:color="auto"/>
              <w:right w:val="single" w:sz="4" w:space="0" w:color="auto"/>
            </w:tcBorders>
            <w:shd w:val="clear" w:color="000000" w:fill="FFFFFF"/>
            <w:noWrap/>
            <w:vAlign w:val="bottom"/>
            <w:hideMark/>
          </w:tcPr>
          <w:p w14:paraId="479F1E1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1541" w:type="dxa"/>
            <w:tcBorders>
              <w:top w:val="nil"/>
              <w:left w:val="nil"/>
              <w:bottom w:val="single" w:sz="4" w:space="0" w:color="auto"/>
              <w:right w:val="single" w:sz="4" w:space="0" w:color="auto"/>
            </w:tcBorders>
            <w:shd w:val="clear" w:color="000000" w:fill="FFFFFF"/>
            <w:noWrap/>
            <w:vAlign w:val="bottom"/>
            <w:hideMark/>
          </w:tcPr>
          <w:p w14:paraId="3E51FAF9"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c>
          <w:tcPr>
            <w:tcW w:w="2008" w:type="dxa"/>
            <w:tcBorders>
              <w:top w:val="nil"/>
              <w:left w:val="nil"/>
              <w:bottom w:val="single" w:sz="4" w:space="0" w:color="auto"/>
              <w:right w:val="single" w:sz="4" w:space="0" w:color="auto"/>
            </w:tcBorders>
            <w:shd w:val="clear" w:color="000000" w:fill="FFFFFF"/>
            <w:noWrap/>
            <w:vAlign w:val="bottom"/>
            <w:hideMark/>
          </w:tcPr>
          <w:p w14:paraId="6A15F926" w14:textId="77777777" w:rsidR="001D4AFA" w:rsidRPr="009F2D1E" w:rsidRDefault="001D4AFA" w:rsidP="009F2D1E">
            <w:pPr>
              <w:jc w:val="right"/>
              <w:rPr>
                <w:rFonts w:ascii="Times New Roman" w:hAnsi="Times New Roman"/>
                <w:sz w:val="14"/>
                <w:szCs w:val="14"/>
              </w:rPr>
            </w:pPr>
            <w:r w:rsidRPr="009F2D1E">
              <w:rPr>
                <w:rFonts w:ascii="Calibri" w:hAnsi="Calibri" w:cs="Calibri"/>
                <w:sz w:val="14"/>
                <w:szCs w:val="14"/>
              </w:rPr>
              <w:t> </w:t>
            </w:r>
          </w:p>
        </w:tc>
      </w:tr>
      <w:tr w:rsidR="001D4AFA" w:rsidRPr="00364545" w14:paraId="3397B8F6"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D826122"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Indirect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vertAlign w:val="superscript"/>
              </w:rPr>
              <w:t>(3)</w:t>
            </w:r>
          </w:p>
        </w:tc>
        <w:tc>
          <w:tcPr>
            <w:tcW w:w="1541" w:type="dxa"/>
            <w:tcBorders>
              <w:top w:val="nil"/>
              <w:left w:val="nil"/>
              <w:bottom w:val="single" w:sz="4" w:space="0" w:color="auto"/>
              <w:right w:val="single" w:sz="4" w:space="0" w:color="auto"/>
            </w:tcBorders>
            <w:shd w:val="clear" w:color="000000" w:fill="FFFFFF"/>
            <w:noWrap/>
            <w:vAlign w:val="bottom"/>
            <w:hideMark/>
          </w:tcPr>
          <w:p w14:paraId="0DD56092"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1541" w:type="dxa"/>
            <w:tcBorders>
              <w:top w:val="nil"/>
              <w:left w:val="nil"/>
              <w:bottom w:val="single" w:sz="4" w:space="0" w:color="auto"/>
              <w:right w:val="single" w:sz="4" w:space="0" w:color="auto"/>
            </w:tcBorders>
            <w:shd w:val="clear" w:color="000000" w:fill="FFFFFF"/>
            <w:noWrap/>
            <w:vAlign w:val="bottom"/>
            <w:hideMark/>
          </w:tcPr>
          <w:p w14:paraId="4DE68765" w14:textId="77777777" w:rsidR="001D4AFA" w:rsidRPr="009F2D1E" w:rsidRDefault="001D4AFA" w:rsidP="009F2D1E">
            <w:pPr>
              <w:jc w:val="right"/>
              <w:rPr>
                <w:rFonts w:ascii="Times New Roman" w:hAnsi="Times New Roman"/>
                <w:sz w:val="14"/>
                <w:szCs w:val="14"/>
              </w:rPr>
            </w:pPr>
            <w:r w:rsidRPr="009F2D1E">
              <w:rPr>
                <w:sz w:val="14"/>
                <w:szCs w:val="14"/>
              </w:rPr>
              <w:t>NO,IE,NA</w:t>
            </w:r>
          </w:p>
        </w:tc>
        <w:tc>
          <w:tcPr>
            <w:tcW w:w="2008" w:type="dxa"/>
            <w:tcBorders>
              <w:top w:val="nil"/>
              <w:left w:val="nil"/>
              <w:bottom w:val="single" w:sz="4" w:space="0" w:color="auto"/>
              <w:right w:val="single" w:sz="4" w:space="0" w:color="auto"/>
            </w:tcBorders>
            <w:shd w:val="clear" w:color="000000" w:fill="FFFFFF"/>
            <w:noWrap/>
            <w:vAlign w:val="bottom"/>
            <w:hideMark/>
          </w:tcPr>
          <w:p w14:paraId="1FE51D0A"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253AB0DC"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E9F9546"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without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2B2E8B74" w14:textId="77777777" w:rsidR="001D4AFA" w:rsidRPr="009F2D1E" w:rsidRDefault="001D4AFA" w:rsidP="009F2D1E">
            <w:pPr>
              <w:jc w:val="right"/>
              <w:rPr>
                <w:rFonts w:ascii="Times New Roman" w:hAnsi="Times New Roman"/>
                <w:sz w:val="14"/>
                <w:szCs w:val="14"/>
              </w:rPr>
            </w:pPr>
            <w:r w:rsidRPr="009F2D1E">
              <w:rPr>
                <w:sz w:val="14"/>
                <w:szCs w:val="14"/>
              </w:rPr>
              <w:t>326725,13</w:t>
            </w:r>
          </w:p>
        </w:tc>
        <w:tc>
          <w:tcPr>
            <w:tcW w:w="1541" w:type="dxa"/>
            <w:tcBorders>
              <w:top w:val="nil"/>
              <w:left w:val="nil"/>
              <w:bottom w:val="single" w:sz="4" w:space="0" w:color="auto"/>
              <w:right w:val="single" w:sz="4" w:space="0" w:color="auto"/>
            </w:tcBorders>
            <w:shd w:val="clear" w:color="000000" w:fill="CCFFFF"/>
            <w:noWrap/>
            <w:vAlign w:val="bottom"/>
            <w:hideMark/>
          </w:tcPr>
          <w:p w14:paraId="33A89FA2" w14:textId="77777777" w:rsidR="001D4AFA" w:rsidRPr="009F2D1E" w:rsidRDefault="001D4AFA" w:rsidP="009F2D1E">
            <w:pPr>
              <w:jc w:val="right"/>
              <w:rPr>
                <w:rFonts w:ascii="Times New Roman" w:hAnsi="Times New Roman"/>
                <w:sz w:val="14"/>
                <w:szCs w:val="14"/>
              </w:rPr>
            </w:pPr>
            <w:r w:rsidRPr="009F2D1E">
              <w:rPr>
                <w:sz w:val="14"/>
                <w:szCs w:val="14"/>
              </w:rPr>
              <w:t>289389,57</w:t>
            </w:r>
          </w:p>
        </w:tc>
        <w:tc>
          <w:tcPr>
            <w:tcW w:w="2008" w:type="dxa"/>
            <w:tcBorders>
              <w:top w:val="nil"/>
              <w:left w:val="nil"/>
              <w:bottom w:val="single" w:sz="4" w:space="0" w:color="auto"/>
              <w:right w:val="single" w:sz="4" w:space="0" w:color="auto"/>
            </w:tcBorders>
            <w:shd w:val="clear" w:color="000000" w:fill="CCFFFF"/>
            <w:noWrap/>
            <w:vAlign w:val="bottom"/>
            <w:hideMark/>
          </w:tcPr>
          <w:p w14:paraId="6700D00F" w14:textId="77777777" w:rsidR="001D4AFA" w:rsidRPr="009F2D1E" w:rsidRDefault="001D4AFA" w:rsidP="009F2D1E">
            <w:pPr>
              <w:jc w:val="right"/>
              <w:rPr>
                <w:rFonts w:ascii="Times New Roman" w:hAnsi="Times New Roman"/>
                <w:sz w:val="14"/>
                <w:szCs w:val="14"/>
              </w:rPr>
            </w:pPr>
            <w:r w:rsidRPr="009F2D1E">
              <w:rPr>
                <w:sz w:val="14"/>
                <w:szCs w:val="14"/>
              </w:rPr>
              <w:t>-27,37</w:t>
            </w:r>
          </w:p>
        </w:tc>
      </w:tr>
      <w:tr w:rsidR="001D4AFA" w:rsidRPr="00364545" w14:paraId="53A16C10"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579FA07E"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equivalent emissions with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21DCE0EF" w14:textId="77777777" w:rsidR="001D4AFA" w:rsidRPr="009F2D1E" w:rsidRDefault="001D4AFA" w:rsidP="009F2D1E">
            <w:pPr>
              <w:jc w:val="right"/>
              <w:rPr>
                <w:rFonts w:ascii="Times New Roman" w:hAnsi="Times New Roman"/>
                <w:sz w:val="14"/>
                <w:szCs w:val="14"/>
              </w:rPr>
            </w:pPr>
            <w:r w:rsidRPr="009F2D1E">
              <w:rPr>
                <w:sz w:val="14"/>
                <w:szCs w:val="14"/>
              </w:rPr>
              <w:t>310432,09</w:t>
            </w:r>
          </w:p>
        </w:tc>
        <w:tc>
          <w:tcPr>
            <w:tcW w:w="1541" w:type="dxa"/>
            <w:tcBorders>
              <w:top w:val="nil"/>
              <w:left w:val="nil"/>
              <w:bottom w:val="single" w:sz="4" w:space="0" w:color="auto"/>
              <w:right w:val="single" w:sz="4" w:space="0" w:color="auto"/>
            </w:tcBorders>
            <w:shd w:val="clear" w:color="000000" w:fill="CCFFFF"/>
            <w:noWrap/>
            <w:vAlign w:val="bottom"/>
            <w:hideMark/>
          </w:tcPr>
          <w:p w14:paraId="31ADFE87" w14:textId="77777777" w:rsidR="001D4AFA" w:rsidRPr="009F2D1E" w:rsidRDefault="001D4AFA" w:rsidP="009F2D1E">
            <w:pPr>
              <w:jc w:val="right"/>
              <w:rPr>
                <w:rFonts w:ascii="Times New Roman" w:hAnsi="Times New Roman"/>
                <w:sz w:val="14"/>
                <w:szCs w:val="14"/>
              </w:rPr>
            </w:pPr>
            <w:r w:rsidRPr="009F2D1E">
              <w:rPr>
                <w:sz w:val="14"/>
                <w:szCs w:val="14"/>
              </w:rPr>
              <w:t>271428,23</w:t>
            </w:r>
          </w:p>
        </w:tc>
        <w:tc>
          <w:tcPr>
            <w:tcW w:w="2008" w:type="dxa"/>
            <w:tcBorders>
              <w:top w:val="nil"/>
              <w:left w:val="nil"/>
              <w:bottom w:val="single" w:sz="4" w:space="0" w:color="auto"/>
              <w:right w:val="single" w:sz="4" w:space="0" w:color="auto"/>
            </w:tcBorders>
            <w:shd w:val="clear" w:color="000000" w:fill="CCFFFF"/>
            <w:noWrap/>
            <w:vAlign w:val="bottom"/>
            <w:hideMark/>
          </w:tcPr>
          <w:p w14:paraId="7B0A4261" w14:textId="77777777" w:rsidR="001D4AFA" w:rsidRPr="009F2D1E" w:rsidRDefault="001D4AFA" w:rsidP="009F2D1E">
            <w:pPr>
              <w:jc w:val="right"/>
              <w:rPr>
                <w:rFonts w:ascii="Times New Roman" w:hAnsi="Times New Roman"/>
                <w:sz w:val="14"/>
                <w:szCs w:val="14"/>
              </w:rPr>
            </w:pPr>
            <w:r w:rsidRPr="009F2D1E">
              <w:rPr>
                <w:sz w:val="14"/>
                <w:szCs w:val="14"/>
              </w:rPr>
              <w:t>-26,70</w:t>
            </w:r>
          </w:p>
        </w:tc>
      </w:tr>
      <w:tr w:rsidR="001D4AFA" w:rsidRPr="00364545" w14:paraId="14C3C0F6"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72BB8025"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rPr>
              <w:t xml:space="preserve"> equivalent emissions, including indirect </w:t>
            </w:r>
            <w:r w:rsidRPr="00364545">
              <w:t>CO</w:t>
            </w:r>
            <w:r w:rsidRPr="00364545">
              <w:rPr>
                <w:vertAlign w:val="subscript"/>
              </w:rPr>
              <w:t>2</w:t>
            </w:r>
            <w:r w:rsidRPr="00364545">
              <w:rPr>
                <w:rFonts w:asciiTheme="majorHAnsi" w:hAnsiTheme="majorHAnsi"/>
                <w:b/>
                <w:sz w:val="16"/>
              </w:rPr>
              <w:t>, without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1E2FFF95"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541" w:type="dxa"/>
            <w:tcBorders>
              <w:top w:val="nil"/>
              <w:left w:val="nil"/>
              <w:bottom w:val="single" w:sz="4" w:space="0" w:color="auto"/>
              <w:right w:val="single" w:sz="4" w:space="0" w:color="auto"/>
            </w:tcBorders>
            <w:shd w:val="clear" w:color="000000" w:fill="CCFFFF"/>
            <w:noWrap/>
            <w:vAlign w:val="bottom"/>
            <w:hideMark/>
          </w:tcPr>
          <w:p w14:paraId="326CBF96"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2008" w:type="dxa"/>
            <w:tcBorders>
              <w:top w:val="nil"/>
              <w:left w:val="nil"/>
              <w:bottom w:val="single" w:sz="4" w:space="0" w:color="auto"/>
              <w:right w:val="single" w:sz="4" w:space="0" w:color="auto"/>
            </w:tcBorders>
            <w:shd w:val="clear" w:color="000000" w:fill="CCFFFF"/>
            <w:noWrap/>
            <w:vAlign w:val="bottom"/>
            <w:hideMark/>
          </w:tcPr>
          <w:p w14:paraId="10FEA9C6" w14:textId="77777777" w:rsidR="001D4AFA" w:rsidRPr="009F2D1E" w:rsidRDefault="001D4AFA" w:rsidP="009F2D1E">
            <w:pPr>
              <w:jc w:val="right"/>
              <w:rPr>
                <w:rFonts w:ascii="Times New Roman" w:hAnsi="Times New Roman"/>
                <w:sz w:val="14"/>
                <w:szCs w:val="14"/>
              </w:rPr>
            </w:pPr>
            <w:r w:rsidRPr="009F2D1E">
              <w:rPr>
                <w:sz w:val="14"/>
                <w:szCs w:val="14"/>
              </w:rPr>
              <w:t>0,00</w:t>
            </w:r>
          </w:p>
        </w:tc>
      </w:tr>
      <w:tr w:rsidR="001D4AFA" w:rsidRPr="00364545" w14:paraId="3F2AE355" w14:textId="77777777" w:rsidTr="009F2D1E">
        <w:trPr>
          <w:trHeight w:val="68"/>
          <w:jc w:val="center"/>
        </w:trPr>
        <w:tc>
          <w:tcPr>
            <w:tcW w:w="3804" w:type="dxa"/>
            <w:tcBorders>
              <w:top w:val="nil"/>
              <w:left w:val="single" w:sz="4" w:space="0" w:color="auto"/>
              <w:bottom w:val="single" w:sz="4" w:space="0" w:color="auto"/>
              <w:right w:val="single" w:sz="4" w:space="0" w:color="auto"/>
            </w:tcBorders>
            <w:shd w:val="clear" w:color="000000" w:fill="CCFFFF"/>
            <w:noWrap/>
            <w:vAlign w:val="center"/>
            <w:hideMark/>
          </w:tcPr>
          <w:p w14:paraId="34CE6167" w14:textId="77777777" w:rsidR="001D4AFA" w:rsidRPr="00364545" w:rsidRDefault="001D4AFA" w:rsidP="009F2D1E">
            <w:pPr>
              <w:jc w:val="left"/>
              <w:rPr>
                <w:rFonts w:asciiTheme="majorHAnsi" w:hAnsiTheme="majorHAnsi"/>
                <w:b/>
                <w:bCs/>
                <w:sz w:val="16"/>
                <w:szCs w:val="16"/>
              </w:rPr>
            </w:pPr>
            <w:r w:rsidRPr="00364545">
              <w:rPr>
                <w:rFonts w:asciiTheme="majorHAnsi" w:hAnsiTheme="majorHAnsi"/>
                <w:b/>
                <w:sz w:val="16"/>
              </w:rPr>
              <w:t xml:space="preserve">Total </w:t>
            </w:r>
            <w:r w:rsidRPr="00364545">
              <w:t>CO</w:t>
            </w:r>
            <w:r w:rsidRPr="00364545">
              <w:rPr>
                <w:vertAlign w:val="subscript"/>
              </w:rPr>
              <w:t>2</w:t>
            </w:r>
            <w:r w:rsidRPr="00364545">
              <w:rPr>
                <w:rFonts w:asciiTheme="majorHAnsi" w:hAnsiTheme="majorHAnsi"/>
                <w:b/>
                <w:sz w:val="16"/>
                <w:vertAlign w:val="subscript"/>
              </w:rPr>
              <w:t xml:space="preserve"> </w:t>
            </w:r>
            <w:r w:rsidRPr="00364545">
              <w:rPr>
                <w:rFonts w:asciiTheme="majorHAnsi" w:hAnsiTheme="majorHAnsi"/>
                <w:b/>
                <w:sz w:val="16"/>
              </w:rPr>
              <w:t xml:space="preserve">equivalent emissions, including indirect </w:t>
            </w:r>
            <w:r w:rsidRPr="00364545">
              <w:t>CO</w:t>
            </w:r>
            <w:r w:rsidRPr="00364545">
              <w:rPr>
                <w:vertAlign w:val="subscript"/>
              </w:rPr>
              <w:t>2</w:t>
            </w:r>
            <w:r w:rsidRPr="00364545">
              <w:rPr>
                <w:rFonts w:asciiTheme="majorHAnsi" w:hAnsiTheme="majorHAnsi"/>
                <w:b/>
                <w:sz w:val="16"/>
              </w:rPr>
              <w:t>, with land use, land-use change and forestry</w:t>
            </w:r>
          </w:p>
        </w:tc>
        <w:tc>
          <w:tcPr>
            <w:tcW w:w="1541" w:type="dxa"/>
            <w:tcBorders>
              <w:top w:val="nil"/>
              <w:left w:val="nil"/>
              <w:bottom w:val="single" w:sz="4" w:space="0" w:color="auto"/>
              <w:right w:val="single" w:sz="4" w:space="0" w:color="auto"/>
            </w:tcBorders>
            <w:shd w:val="clear" w:color="000000" w:fill="CCFFFF"/>
            <w:noWrap/>
            <w:vAlign w:val="bottom"/>
            <w:hideMark/>
          </w:tcPr>
          <w:p w14:paraId="6C7B838F"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1541" w:type="dxa"/>
            <w:tcBorders>
              <w:top w:val="nil"/>
              <w:left w:val="nil"/>
              <w:bottom w:val="single" w:sz="4" w:space="0" w:color="auto"/>
              <w:right w:val="single" w:sz="4" w:space="0" w:color="auto"/>
            </w:tcBorders>
            <w:shd w:val="clear" w:color="000000" w:fill="CCFFFF"/>
            <w:noWrap/>
            <w:vAlign w:val="bottom"/>
            <w:hideMark/>
          </w:tcPr>
          <w:p w14:paraId="5972E84E" w14:textId="77777777" w:rsidR="001D4AFA" w:rsidRPr="009F2D1E" w:rsidRDefault="001D4AFA" w:rsidP="009F2D1E">
            <w:pPr>
              <w:jc w:val="right"/>
              <w:rPr>
                <w:rFonts w:ascii="Times New Roman" w:hAnsi="Times New Roman"/>
                <w:sz w:val="14"/>
                <w:szCs w:val="14"/>
              </w:rPr>
            </w:pPr>
            <w:r w:rsidRPr="009F2D1E">
              <w:rPr>
                <w:sz w:val="14"/>
                <w:szCs w:val="14"/>
              </w:rPr>
              <w:t>NA</w:t>
            </w:r>
          </w:p>
        </w:tc>
        <w:tc>
          <w:tcPr>
            <w:tcW w:w="2008" w:type="dxa"/>
            <w:tcBorders>
              <w:top w:val="nil"/>
              <w:left w:val="nil"/>
              <w:bottom w:val="single" w:sz="4" w:space="0" w:color="auto"/>
              <w:right w:val="single" w:sz="4" w:space="0" w:color="auto"/>
            </w:tcBorders>
            <w:shd w:val="clear" w:color="000000" w:fill="CCFFFF"/>
            <w:noWrap/>
            <w:vAlign w:val="bottom"/>
            <w:hideMark/>
          </w:tcPr>
          <w:p w14:paraId="2846CCC8" w14:textId="77777777" w:rsidR="001D4AFA" w:rsidRPr="009F2D1E" w:rsidRDefault="001D4AFA" w:rsidP="009F2D1E">
            <w:pPr>
              <w:jc w:val="right"/>
              <w:rPr>
                <w:rFonts w:ascii="Times New Roman" w:hAnsi="Times New Roman"/>
                <w:sz w:val="14"/>
                <w:szCs w:val="14"/>
              </w:rPr>
            </w:pPr>
            <w:r w:rsidRPr="009F2D1E">
              <w:rPr>
                <w:sz w:val="14"/>
                <w:szCs w:val="14"/>
              </w:rPr>
              <w:t>0,00</w:t>
            </w:r>
          </w:p>
        </w:tc>
      </w:tr>
    </w:tbl>
    <w:p w14:paraId="6887CA2E" w14:textId="77777777" w:rsidR="001D4AFA" w:rsidRDefault="001D4AFA" w:rsidP="00261D3D">
      <w:pPr>
        <w:pStyle w:val="Titre2Niveau2"/>
        <w:numPr>
          <w:ilvl w:val="0"/>
          <w:numId w:val="0"/>
        </w:numPr>
        <w:spacing w:before="0" w:after="160"/>
        <w:ind w:right="28"/>
      </w:pPr>
      <w:bookmarkStart w:id="810" w:name="_Toc138342100"/>
      <w:bookmarkStart w:id="811" w:name="_Toc138342542"/>
      <w:bookmarkStart w:id="812" w:name="_Toc138342984"/>
      <w:bookmarkStart w:id="813" w:name="_Toc138343426"/>
      <w:bookmarkStart w:id="814" w:name="_Toc138343868"/>
      <w:bookmarkStart w:id="815" w:name="_Toc138344310"/>
      <w:bookmarkStart w:id="816" w:name="_Toc122099543"/>
      <w:bookmarkEnd w:id="810"/>
      <w:bookmarkEnd w:id="811"/>
      <w:bookmarkEnd w:id="812"/>
      <w:bookmarkEnd w:id="813"/>
      <w:bookmarkEnd w:id="814"/>
      <w:bookmarkEnd w:id="815"/>
    </w:p>
    <w:p w14:paraId="753A1567" w14:textId="39B97ADE" w:rsidR="00B56301" w:rsidRDefault="00B56301" w:rsidP="001D4AFA">
      <w:pPr>
        <w:pStyle w:val="Titre2Niveau2"/>
        <w:numPr>
          <w:ilvl w:val="0"/>
          <w:numId w:val="62"/>
        </w:numPr>
        <w:spacing w:before="0" w:after="160"/>
        <w:ind w:right="28"/>
      </w:pPr>
      <w:bookmarkStart w:id="817" w:name="_Toc138344563"/>
      <w:r w:rsidRPr="00A9751B">
        <w:t xml:space="preserve">Tendance pour le </w:t>
      </w:r>
      <w:r w:rsidR="007F09F7" w:rsidRPr="00141043">
        <w:t>CH</w:t>
      </w:r>
      <w:r w:rsidR="007F09F7" w:rsidRPr="004F1EC8">
        <w:rPr>
          <w:vertAlign w:val="subscript"/>
        </w:rPr>
        <w:t>4</w:t>
      </w:r>
      <w:r w:rsidR="00260E0B">
        <w:t xml:space="preserve"> </w:t>
      </w:r>
      <w:r w:rsidRPr="003246AE">
        <w:t>(</w:t>
      </w:r>
      <w:r>
        <w:t>périmètre « Kyoto » - kt</w:t>
      </w:r>
      <w:r w:rsidRPr="003246AE">
        <w:t>)</w:t>
      </w:r>
      <w:bookmarkEnd w:id="816"/>
      <w:bookmarkEnd w:id="817"/>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C2292B" w14:paraId="69C45B23"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054048E" w14:textId="77777777" w:rsidR="00B56301" w:rsidRPr="002010BD" w:rsidRDefault="00B56301" w:rsidP="00B37B65">
            <w:pPr>
              <w:jc w:val="left"/>
              <w:rPr>
                <w:rFonts w:asciiTheme="minorHAnsi" w:hAnsiTheme="minorHAnsi"/>
                <w:b/>
                <w:bCs/>
                <w:sz w:val="16"/>
                <w:szCs w:val="14"/>
                <w:lang w:val="en-GB"/>
              </w:rPr>
            </w:pPr>
            <w:bookmarkStart w:id="818" w:name="RANGE!A5:AH65"/>
            <w:r w:rsidRPr="002010BD">
              <w:rPr>
                <w:rFonts w:asciiTheme="minorHAnsi" w:hAnsiTheme="minorHAnsi"/>
                <w:b/>
                <w:bCs/>
                <w:sz w:val="16"/>
                <w:szCs w:val="14"/>
                <w:lang w:val="en-GB"/>
              </w:rPr>
              <w:t>GREENHOUSE GAS SOURCE AND SINK CATEGORIES</w:t>
            </w:r>
            <w:bookmarkEnd w:id="818"/>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23FAA68"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Base year</w:t>
            </w:r>
            <w:r w:rsidRPr="002010BD">
              <w:rPr>
                <w:rFonts w:asciiTheme="minorHAnsi" w:hAnsiTheme="minorHAnsi"/>
                <w:b/>
                <w:bCs/>
                <w:sz w:val="16"/>
                <w:szCs w:val="14"/>
                <w:vertAlign w:val="superscript"/>
              </w:rPr>
              <w:t>(1)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F792410"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1990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56929D8"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1991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E770781"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1992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67B702"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1993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0E484B8" w14:textId="77777777" w:rsidR="00B56301" w:rsidRPr="002010BD" w:rsidRDefault="00B56301" w:rsidP="00B37B65">
            <w:pPr>
              <w:jc w:val="center"/>
              <w:rPr>
                <w:rFonts w:asciiTheme="minorHAnsi" w:hAnsiTheme="minorHAnsi"/>
                <w:b/>
                <w:bCs/>
                <w:sz w:val="16"/>
                <w:szCs w:val="14"/>
              </w:rPr>
            </w:pPr>
            <w:r w:rsidRPr="002010BD">
              <w:rPr>
                <w:rFonts w:asciiTheme="minorHAnsi" w:hAnsiTheme="minorHAnsi"/>
                <w:b/>
                <w:bCs/>
                <w:sz w:val="16"/>
                <w:szCs w:val="14"/>
              </w:rPr>
              <w:t>1994</w:t>
            </w:r>
          </w:p>
        </w:tc>
      </w:tr>
      <w:tr w:rsidR="00B56301" w:rsidRPr="00C2292B" w14:paraId="671BCD7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934D1"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99C0D5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496,15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2B9A80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496,15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76F654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516,21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78CA3F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510,95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97A1DE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507,68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CDA207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481,56</w:t>
            </w:r>
          </w:p>
        </w:tc>
      </w:tr>
      <w:tr w:rsidR="00B56301" w:rsidRPr="00C2292B" w14:paraId="347B38CD"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0A556F2"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205552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231,69</w:t>
            </w:r>
          </w:p>
        </w:tc>
        <w:tc>
          <w:tcPr>
            <w:tcW w:w="991" w:type="dxa"/>
            <w:tcBorders>
              <w:top w:val="nil"/>
              <w:left w:val="nil"/>
              <w:bottom w:val="single" w:sz="4" w:space="0" w:color="auto"/>
              <w:right w:val="single" w:sz="4" w:space="0" w:color="auto"/>
            </w:tcBorders>
            <w:shd w:val="clear" w:color="000000" w:fill="CCFFFF"/>
            <w:noWrap/>
            <w:vAlign w:val="bottom"/>
            <w:hideMark/>
          </w:tcPr>
          <w:p w14:paraId="31A0D82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231,69</w:t>
            </w:r>
          </w:p>
        </w:tc>
        <w:tc>
          <w:tcPr>
            <w:tcW w:w="991" w:type="dxa"/>
            <w:tcBorders>
              <w:top w:val="nil"/>
              <w:left w:val="nil"/>
              <w:bottom w:val="single" w:sz="4" w:space="0" w:color="auto"/>
              <w:right w:val="single" w:sz="4" w:space="0" w:color="auto"/>
            </w:tcBorders>
            <w:shd w:val="clear" w:color="000000" w:fill="CCFFFF"/>
            <w:noWrap/>
            <w:vAlign w:val="bottom"/>
            <w:hideMark/>
          </w:tcPr>
          <w:p w14:paraId="0291AE0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265,61</w:t>
            </w:r>
          </w:p>
        </w:tc>
        <w:tc>
          <w:tcPr>
            <w:tcW w:w="991" w:type="dxa"/>
            <w:tcBorders>
              <w:top w:val="nil"/>
              <w:left w:val="nil"/>
              <w:bottom w:val="single" w:sz="4" w:space="0" w:color="auto"/>
              <w:right w:val="single" w:sz="4" w:space="0" w:color="auto"/>
            </w:tcBorders>
            <w:shd w:val="clear" w:color="000000" w:fill="CCFFFF"/>
            <w:noWrap/>
            <w:vAlign w:val="bottom"/>
            <w:hideMark/>
          </w:tcPr>
          <w:p w14:paraId="29CE3C8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254,50</w:t>
            </w:r>
          </w:p>
        </w:tc>
        <w:tc>
          <w:tcPr>
            <w:tcW w:w="991" w:type="dxa"/>
            <w:tcBorders>
              <w:top w:val="nil"/>
              <w:left w:val="nil"/>
              <w:bottom w:val="single" w:sz="4" w:space="0" w:color="auto"/>
              <w:right w:val="single" w:sz="4" w:space="0" w:color="auto"/>
            </w:tcBorders>
            <w:shd w:val="clear" w:color="000000" w:fill="CCFFFF"/>
            <w:noWrap/>
            <w:vAlign w:val="bottom"/>
            <w:hideMark/>
          </w:tcPr>
          <w:p w14:paraId="67F4D5C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244,48</w:t>
            </w:r>
          </w:p>
        </w:tc>
        <w:tc>
          <w:tcPr>
            <w:tcW w:w="991" w:type="dxa"/>
            <w:tcBorders>
              <w:top w:val="nil"/>
              <w:left w:val="nil"/>
              <w:bottom w:val="single" w:sz="4" w:space="0" w:color="auto"/>
              <w:right w:val="single" w:sz="4" w:space="0" w:color="auto"/>
            </w:tcBorders>
            <w:shd w:val="clear" w:color="000000" w:fill="CCFFFF"/>
            <w:noWrap/>
            <w:vAlign w:val="bottom"/>
            <w:hideMark/>
          </w:tcPr>
          <w:p w14:paraId="36BAB9E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215,33</w:t>
            </w:r>
          </w:p>
        </w:tc>
      </w:tr>
      <w:tr w:rsidR="00B56301" w:rsidRPr="00C2292B" w14:paraId="6D6D54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3ECE6F" w14:textId="16D3D8AE"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28280D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2,65</w:t>
            </w:r>
          </w:p>
        </w:tc>
        <w:tc>
          <w:tcPr>
            <w:tcW w:w="991" w:type="dxa"/>
            <w:tcBorders>
              <w:top w:val="nil"/>
              <w:left w:val="nil"/>
              <w:bottom w:val="single" w:sz="4" w:space="0" w:color="auto"/>
              <w:right w:val="single" w:sz="4" w:space="0" w:color="auto"/>
            </w:tcBorders>
            <w:shd w:val="clear" w:color="000000" w:fill="FFFFFF"/>
            <w:noWrap/>
            <w:vAlign w:val="bottom"/>
            <w:hideMark/>
          </w:tcPr>
          <w:p w14:paraId="4395B68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2,65</w:t>
            </w:r>
          </w:p>
        </w:tc>
        <w:tc>
          <w:tcPr>
            <w:tcW w:w="991" w:type="dxa"/>
            <w:tcBorders>
              <w:top w:val="nil"/>
              <w:left w:val="nil"/>
              <w:bottom w:val="single" w:sz="4" w:space="0" w:color="auto"/>
              <w:right w:val="single" w:sz="4" w:space="0" w:color="auto"/>
            </w:tcBorders>
            <w:shd w:val="clear" w:color="000000" w:fill="FFFFFF"/>
            <w:noWrap/>
            <w:vAlign w:val="bottom"/>
            <w:hideMark/>
          </w:tcPr>
          <w:p w14:paraId="6187837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2,55</w:t>
            </w:r>
          </w:p>
        </w:tc>
        <w:tc>
          <w:tcPr>
            <w:tcW w:w="991" w:type="dxa"/>
            <w:tcBorders>
              <w:top w:val="nil"/>
              <w:left w:val="nil"/>
              <w:bottom w:val="single" w:sz="4" w:space="0" w:color="auto"/>
              <w:right w:val="single" w:sz="4" w:space="0" w:color="auto"/>
            </w:tcBorders>
            <w:shd w:val="clear" w:color="000000" w:fill="FFFFFF"/>
            <w:noWrap/>
            <w:vAlign w:val="bottom"/>
            <w:hideMark/>
          </w:tcPr>
          <w:p w14:paraId="26CBA88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2,38</w:t>
            </w:r>
          </w:p>
        </w:tc>
        <w:tc>
          <w:tcPr>
            <w:tcW w:w="991" w:type="dxa"/>
            <w:tcBorders>
              <w:top w:val="nil"/>
              <w:left w:val="nil"/>
              <w:bottom w:val="single" w:sz="4" w:space="0" w:color="auto"/>
              <w:right w:val="single" w:sz="4" w:space="0" w:color="auto"/>
            </w:tcBorders>
            <w:shd w:val="clear" w:color="000000" w:fill="FFFFFF"/>
            <w:noWrap/>
            <w:vAlign w:val="bottom"/>
            <w:hideMark/>
          </w:tcPr>
          <w:p w14:paraId="6E0D084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05035F5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1,87</w:t>
            </w:r>
          </w:p>
        </w:tc>
      </w:tr>
      <w:tr w:rsidR="00B56301" w:rsidRPr="00C2292B" w14:paraId="18FC731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4E1421" w14:textId="582C5949"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 xml:space="preserve">Manufacturing industries and </w:t>
            </w:r>
            <w:r>
              <w:rPr>
                <w:rFonts w:asciiTheme="minorHAnsi" w:hAnsiTheme="minorHAnsi"/>
                <w:sz w:val="16"/>
                <w:szCs w:val="14"/>
              </w:rPr>
              <w:t>c</w:t>
            </w:r>
            <w:r w:rsidRPr="002010BD">
              <w:rPr>
                <w:rFonts w:asciiTheme="minorHAnsi" w:hAnsiTheme="minorHAnsi"/>
                <w:sz w:val="16"/>
                <w:szCs w:val="14"/>
              </w:rPr>
              <w:t>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C66E0C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21C9DAE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57DFBAF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3D156B6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3,91</w:t>
            </w:r>
          </w:p>
        </w:tc>
        <w:tc>
          <w:tcPr>
            <w:tcW w:w="991" w:type="dxa"/>
            <w:tcBorders>
              <w:top w:val="nil"/>
              <w:left w:val="nil"/>
              <w:bottom w:val="single" w:sz="4" w:space="0" w:color="auto"/>
              <w:right w:val="single" w:sz="4" w:space="0" w:color="auto"/>
            </w:tcBorders>
            <w:shd w:val="clear" w:color="000000" w:fill="FFFFFF"/>
            <w:noWrap/>
            <w:vAlign w:val="bottom"/>
            <w:hideMark/>
          </w:tcPr>
          <w:p w14:paraId="79C6330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3,65</w:t>
            </w:r>
          </w:p>
        </w:tc>
        <w:tc>
          <w:tcPr>
            <w:tcW w:w="991" w:type="dxa"/>
            <w:tcBorders>
              <w:top w:val="nil"/>
              <w:left w:val="nil"/>
              <w:bottom w:val="single" w:sz="4" w:space="0" w:color="auto"/>
              <w:right w:val="single" w:sz="4" w:space="0" w:color="auto"/>
            </w:tcBorders>
            <w:shd w:val="clear" w:color="000000" w:fill="FFFFFF"/>
            <w:noWrap/>
            <w:vAlign w:val="bottom"/>
            <w:hideMark/>
          </w:tcPr>
          <w:p w14:paraId="43A12B0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3,88</w:t>
            </w:r>
          </w:p>
        </w:tc>
      </w:tr>
      <w:tr w:rsidR="00B56301" w:rsidRPr="00C2292B" w14:paraId="3D3E605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D871D5" w14:textId="386A29B3"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3593B38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39,08</w:t>
            </w:r>
          </w:p>
        </w:tc>
        <w:tc>
          <w:tcPr>
            <w:tcW w:w="991" w:type="dxa"/>
            <w:tcBorders>
              <w:top w:val="nil"/>
              <w:left w:val="nil"/>
              <w:bottom w:val="single" w:sz="4" w:space="0" w:color="auto"/>
              <w:right w:val="single" w:sz="4" w:space="0" w:color="auto"/>
            </w:tcBorders>
            <w:shd w:val="clear" w:color="000000" w:fill="FFFFFF"/>
            <w:noWrap/>
            <w:vAlign w:val="bottom"/>
            <w:hideMark/>
          </w:tcPr>
          <w:p w14:paraId="7E59F50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39,08</w:t>
            </w:r>
          </w:p>
        </w:tc>
        <w:tc>
          <w:tcPr>
            <w:tcW w:w="991" w:type="dxa"/>
            <w:tcBorders>
              <w:top w:val="nil"/>
              <w:left w:val="nil"/>
              <w:bottom w:val="single" w:sz="4" w:space="0" w:color="auto"/>
              <w:right w:val="single" w:sz="4" w:space="0" w:color="auto"/>
            </w:tcBorders>
            <w:shd w:val="clear" w:color="000000" w:fill="FFFFFF"/>
            <w:noWrap/>
            <w:vAlign w:val="bottom"/>
            <w:hideMark/>
          </w:tcPr>
          <w:p w14:paraId="5C1A5BA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39,22</w:t>
            </w:r>
          </w:p>
        </w:tc>
        <w:tc>
          <w:tcPr>
            <w:tcW w:w="991" w:type="dxa"/>
            <w:tcBorders>
              <w:top w:val="nil"/>
              <w:left w:val="nil"/>
              <w:bottom w:val="single" w:sz="4" w:space="0" w:color="auto"/>
              <w:right w:val="single" w:sz="4" w:space="0" w:color="auto"/>
            </w:tcBorders>
            <w:shd w:val="clear" w:color="000000" w:fill="FFFFFF"/>
            <w:noWrap/>
            <w:vAlign w:val="bottom"/>
            <w:hideMark/>
          </w:tcPr>
          <w:p w14:paraId="7A3BA3A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38,65</w:t>
            </w:r>
          </w:p>
        </w:tc>
        <w:tc>
          <w:tcPr>
            <w:tcW w:w="991" w:type="dxa"/>
            <w:tcBorders>
              <w:top w:val="nil"/>
              <w:left w:val="nil"/>
              <w:bottom w:val="single" w:sz="4" w:space="0" w:color="auto"/>
              <w:right w:val="single" w:sz="4" w:space="0" w:color="auto"/>
            </w:tcBorders>
            <w:shd w:val="clear" w:color="000000" w:fill="FFFFFF"/>
            <w:noWrap/>
            <w:vAlign w:val="bottom"/>
            <w:hideMark/>
          </w:tcPr>
          <w:p w14:paraId="5D0168F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37,17</w:t>
            </w:r>
          </w:p>
        </w:tc>
        <w:tc>
          <w:tcPr>
            <w:tcW w:w="991" w:type="dxa"/>
            <w:tcBorders>
              <w:top w:val="nil"/>
              <w:left w:val="nil"/>
              <w:bottom w:val="single" w:sz="4" w:space="0" w:color="auto"/>
              <w:right w:val="single" w:sz="4" w:space="0" w:color="auto"/>
            </w:tcBorders>
            <w:shd w:val="clear" w:color="000000" w:fill="FFFFFF"/>
            <w:noWrap/>
            <w:vAlign w:val="bottom"/>
            <w:hideMark/>
          </w:tcPr>
          <w:p w14:paraId="1A25F54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34,63</w:t>
            </w:r>
          </w:p>
        </w:tc>
      </w:tr>
      <w:tr w:rsidR="00B56301" w:rsidRPr="00C2292B" w14:paraId="002E1DD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026CAE" w14:textId="5BCE8C3F"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011013D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185,97</w:t>
            </w:r>
          </w:p>
        </w:tc>
        <w:tc>
          <w:tcPr>
            <w:tcW w:w="991" w:type="dxa"/>
            <w:tcBorders>
              <w:top w:val="nil"/>
              <w:left w:val="nil"/>
              <w:bottom w:val="single" w:sz="4" w:space="0" w:color="auto"/>
              <w:right w:val="single" w:sz="4" w:space="0" w:color="auto"/>
            </w:tcBorders>
            <w:shd w:val="clear" w:color="000000" w:fill="FFFFFF"/>
            <w:noWrap/>
            <w:vAlign w:val="bottom"/>
            <w:hideMark/>
          </w:tcPr>
          <w:p w14:paraId="60D62DF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185,97</w:t>
            </w:r>
          </w:p>
        </w:tc>
        <w:tc>
          <w:tcPr>
            <w:tcW w:w="991" w:type="dxa"/>
            <w:tcBorders>
              <w:top w:val="nil"/>
              <w:left w:val="nil"/>
              <w:bottom w:val="single" w:sz="4" w:space="0" w:color="auto"/>
              <w:right w:val="single" w:sz="4" w:space="0" w:color="auto"/>
            </w:tcBorders>
            <w:shd w:val="clear" w:color="000000" w:fill="FFFFFF"/>
            <w:noWrap/>
            <w:vAlign w:val="bottom"/>
            <w:hideMark/>
          </w:tcPr>
          <w:p w14:paraId="13AF520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218,94</w:t>
            </w:r>
          </w:p>
        </w:tc>
        <w:tc>
          <w:tcPr>
            <w:tcW w:w="991" w:type="dxa"/>
            <w:tcBorders>
              <w:top w:val="nil"/>
              <w:left w:val="nil"/>
              <w:bottom w:val="single" w:sz="4" w:space="0" w:color="auto"/>
              <w:right w:val="single" w:sz="4" w:space="0" w:color="auto"/>
            </w:tcBorders>
            <w:shd w:val="clear" w:color="000000" w:fill="FFFFFF"/>
            <w:noWrap/>
            <w:vAlign w:val="bottom"/>
            <w:hideMark/>
          </w:tcPr>
          <w:p w14:paraId="47EA92E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209,49</w:t>
            </w:r>
          </w:p>
        </w:tc>
        <w:tc>
          <w:tcPr>
            <w:tcW w:w="991" w:type="dxa"/>
            <w:tcBorders>
              <w:top w:val="nil"/>
              <w:left w:val="nil"/>
              <w:bottom w:val="single" w:sz="4" w:space="0" w:color="auto"/>
              <w:right w:val="single" w:sz="4" w:space="0" w:color="auto"/>
            </w:tcBorders>
            <w:shd w:val="clear" w:color="000000" w:fill="FFFFFF"/>
            <w:noWrap/>
            <w:vAlign w:val="bottom"/>
            <w:hideMark/>
          </w:tcPr>
          <w:p w14:paraId="0D13C41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201,51</w:t>
            </w:r>
          </w:p>
        </w:tc>
        <w:tc>
          <w:tcPr>
            <w:tcW w:w="991" w:type="dxa"/>
            <w:tcBorders>
              <w:top w:val="nil"/>
              <w:left w:val="nil"/>
              <w:bottom w:val="single" w:sz="4" w:space="0" w:color="auto"/>
              <w:right w:val="single" w:sz="4" w:space="0" w:color="auto"/>
            </w:tcBorders>
            <w:shd w:val="clear" w:color="000000" w:fill="FFFFFF"/>
            <w:noWrap/>
            <w:vAlign w:val="bottom"/>
            <w:hideMark/>
          </w:tcPr>
          <w:p w14:paraId="4A56D4C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174,91</w:t>
            </w:r>
          </w:p>
        </w:tc>
      </w:tr>
      <w:tr w:rsidR="00B56301" w:rsidRPr="00C2292B" w14:paraId="6D1D98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3B1CB2" w14:textId="1DE72D06"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6AC8818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291CF37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56B5C9F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1711F47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26DCCDC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FD0175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0,04</w:t>
            </w:r>
          </w:p>
        </w:tc>
      </w:tr>
      <w:tr w:rsidR="00B56301" w:rsidRPr="00C2292B" w14:paraId="393B6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801729"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40544C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264,46</w:t>
            </w:r>
          </w:p>
        </w:tc>
        <w:tc>
          <w:tcPr>
            <w:tcW w:w="991" w:type="dxa"/>
            <w:tcBorders>
              <w:top w:val="nil"/>
              <w:left w:val="nil"/>
              <w:bottom w:val="single" w:sz="4" w:space="0" w:color="auto"/>
              <w:right w:val="single" w:sz="4" w:space="0" w:color="auto"/>
            </w:tcBorders>
            <w:shd w:val="clear" w:color="000000" w:fill="CCFFFF"/>
            <w:noWrap/>
            <w:vAlign w:val="bottom"/>
            <w:hideMark/>
          </w:tcPr>
          <w:p w14:paraId="592B772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264,46</w:t>
            </w:r>
          </w:p>
        </w:tc>
        <w:tc>
          <w:tcPr>
            <w:tcW w:w="991" w:type="dxa"/>
            <w:tcBorders>
              <w:top w:val="nil"/>
              <w:left w:val="nil"/>
              <w:bottom w:val="single" w:sz="4" w:space="0" w:color="auto"/>
              <w:right w:val="single" w:sz="4" w:space="0" w:color="auto"/>
            </w:tcBorders>
            <w:shd w:val="clear" w:color="000000" w:fill="CCFFFF"/>
            <w:noWrap/>
            <w:vAlign w:val="bottom"/>
            <w:hideMark/>
          </w:tcPr>
          <w:p w14:paraId="7387FC1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250,61</w:t>
            </w:r>
          </w:p>
        </w:tc>
        <w:tc>
          <w:tcPr>
            <w:tcW w:w="991" w:type="dxa"/>
            <w:tcBorders>
              <w:top w:val="nil"/>
              <w:left w:val="nil"/>
              <w:bottom w:val="single" w:sz="4" w:space="0" w:color="auto"/>
              <w:right w:val="single" w:sz="4" w:space="0" w:color="auto"/>
            </w:tcBorders>
            <w:shd w:val="clear" w:color="000000" w:fill="CCFFFF"/>
            <w:noWrap/>
            <w:vAlign w:val="bottom"/>
            <w:hideMark/>
          </w:tcPr>
          <w:p w14:paraId="42DF237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256,45</w:t>
            </w:r>
          </w:p>
        </w:tc>
        <w:tc>
          <w:tcPr>
            <w:tcW w:w="991" w:type="dxa"/>
            <w:tcBorders>
              <w:top w:val="nil"/>
              <w:left w:val="nil"/>
              <w:bottom w:val="single" w:sz="4" w:space="0" w:color="auto"/>
              <w:right w:val="single" w:sz="4" w:space="0" w:color="auto"/>
            </w:tcBorders>
            <w:shd w:val="clear" w:color="000000" w:fill="CCFFFF"/>
            <w:noWrap/>
            <w:vAlign w:val="bottom"/>
            <w:hideMark/>
          </w:tcPr>
          <w:p w14:paraId="0561A5D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263,19</w:t>
            </w:r>
          </w:p>
        </w:tc>
        <w:tc>
          <w:tcPr>
            <w:tcW w:w="991" w:type="dxa"/>
            <w:tcBorders>
              <w:top w:val="nil"/>
              <w:left w:val="nil"/>
              <w:bottom w:val="single" w:sz="4" w:space="0" w:color="auto"/>
              <w:right w:val="single" w:sz="4" w:space="0" w:color="auto"/>
            </w:tcBorders>
            <w:shd w:val="clear" w:color="000000" w:fill="CCFFFF"/>
            <w:noWrap/>
            <w:vAlign w:val="bottom"/>
            <w:hideMark/>
          </w:tcPr>
          <w:p w14:paraId="0E24EA4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266,22</w:t>
            </w:r>
          </w:p>
        </w:tc>
      </w:tr>
      <w:tr w:rsidR="00B56301" w:rsidRPr="00C2292B" w14:paraId="16D024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EC6B5C" w14:textId="48B6F461"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49DF7C4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192,41</w:t>
            </w:r>
          </w:p>
        </w:tc>
        <w:tc>
          <w:tcPr>
            <w:tcW w:w="991" w:type="dxa"/>
            <w:tcBorders>
              <w:top w:val="nil"/>
              <w:left w:val="nil"/>
              <w:bottom w:val="single" w:sz="4" w:space="0" w:color="auto"/>
              <w:right w:val="single" w:sz="4" w:space="0" w:color="auto"/>
            </w:tcBorders>
            <w:shd w:val="clear" w:color="000000" w:fill="FFFFFF"/>
            <w:noWrap/>
            <w:vAlign w:val="bottom"/>
            <w:hideMark/>
          </w:tcPr>
          <w:p w14:paraId="1DAF205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192,41</w:t>
            </w:r>
          </w:p>
        </w:tc>
        <w:tc>
          <w:tcPr>
            <w:tcW w:w="991" w:type="dxa"/>
            <w:tcBorders>
              <w:top w:val="nil"/>
              <w:left w:val="nil"/>
              <w:bottom w:val="single" w:sz="4" w:space="0" w:color="auto"/>
              <w:right w:val="single" w:sz="4" w:space="0" w:color="auto"/>
            </w:tcBorders>
            <w:shd w:val="clear" w:color="000000" w:fill="FFFFFF"/>
            <w:noWrap/>
            <w:vAlign w:val="bottom"/>
            <w:hideMark/>
          </w:tcPr>
          <w:p w14:paraId="6279333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178,60</w:t>
            </w:r>
          </w:p>
        </w:tc>
        <w:tc>
          <w:tcPr>
            <w:tcW w:w="991" w:type="dxa"/>
            <w:tcBorders>
              <w:top w:val="nil"/>
              <w:left w:val="nil"/>
              <w:bottom w:val="single" w:sz="4" w:space="0" w:color="auto"/>
              <w:right w:val="single" w:sz="4" w:space="0" w:color="auto"/>
            </w:tcBorders>
            <w:shd w:val="clear" w:color="000000" w:fill="FFFFFF"/>
            <w:noWrap/>
            <w:vAlign w:val="bottom"/>
            <w:hideMark/>
          </w:tcPr>
          <w:p w14:paraId="5EAF0EB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186,45</w:t>
            </w:r>
          </w:p>
        </w:tc>
        <w:tc>
          <w:tcPr>
            <w:tcW w:w="991" w:type="dxa"/>
            <w:tcBorders>
              <w:top w:val="nil"/>
              <w:left w:val="nil"/>
              <w:bottom w:val="single" w:sz="4" w:space="0" w:color="auto"/>
              <w:right w:val="single" w:sz="4" w:space="0" w:color="auto"/>
            </w:tcBorders>
            <w:shd w:val="clear" w:color="000000" w:fill="FFFFFF"/>
            <w:noWrap/>
            <w:vAlign w:val="bottom"/>
            <w:hideMark/>
          </w:tcPr>
          <w:p w14:paraId="7CD34EE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194,62</w:t>
            </w:r>
          </w:p>
        </w:tc>
        <w:tc>
          <w:tcPr>
            <w:tcW w:w="991" w:type="dxa"/>
            <w:tcBorders>
              <w:top w:val="nil"/>
              <w:left w:val="nil"/>
              <w:bottom w:val="single" w:sz="4" w:space="0" w:color="auto"/>
              <w:right w:val="single" w:sz="4" w:space="0" w:color="auto"/>
            </w:tcBorders>
            <w:shd w:val="clear" w:color="000000" w:fill="FFFFFF"/>
            <w:noWrap/>
            <w:vAlign w:val="bottom"/>
            <w:hideMark/>
          </w:tcPr>
          <w:p w14:paraId="5185D88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198,86</w:t>
            </w:r>
          </w:p>
        </w:tc>
      </w:tr>
      <w:tr w:rsidR="00B56301" w:rsidRPr="00C2292B" w14:paraId="20CED82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183FCB" w14:textId="2DCA05BB"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F543C8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72,05</w:t>
            </w:r>
          </w:p>
        </w:tc>
        <w:tc>
          <w:tcPr>
            <w:tcW w:w="991" w:type="dxa"/>
            <w:tcBorders>
              <w:top w:val="nil"/>
              <w:left w:val="nil"/>
              <w:bottom w:val="single" w:sz="4" w:space="0" w:color="auto"/>
              <w:right w:val="single" w:sz="4" w:space="0" w:color="auto"/>
            </w:tcBorders>
            <w:shd w:val="clear" w:color="000000" w:fill="FFFFFF"/>
            <w:noWrap/>
            <w:vAlign w:val="bottom"/>
            <w:hideMark/>
          </w:tcPr>
          <w:p w14:paraId="7DA271C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72,05</w:t>
            </w:r>
          </w:p>
        </w:tc>
        <w:tc>
          <w:tcPr>
            <w:tcW w:w="991" w:type="dxa"/>
            <w:tcBorders>
              <w:top w:val="nil"/>
              <w:left w:val="nil"/>
              <w:bottom w:val="single" w:sz="4" w:space="0" w:color="auto"/>
              <w:right w:val="single" w:sz="4" w:space="0" w:color="auto"/>
            </w:tcBorders>
            <w:shd w:val="clear" w:color="000000" w:fill="FFFFFF"/>
            <w:noWrap/>
            <w:vAlign w:val="bottom"/>
            <w:hideMark/>
          </w:tcPr>
          <w:p w14:paraId="5BF32F9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72,00</w:t>
            </w:r>
          </w:p>
        </w:tc>
        <w:tc>
          <w:tcPr>
            <w:tcW w:w="991" w:type="dxa"/>
            <w:tcBorders>
              <w:top w:val="nil"/>
              <w:left w:val="nil"/>
              <w:bottom w:val="single" w:sz="4" w:space="0" w:color="auto"/>
              <w:right w:val="single" w:sz="4" w:space="0" w:color="auto"/>
            </w:tcBorders>
            <w:shd w:val="clear" w:color="000000" w:fill="FFFFFF"/>
            <w:noWrap/>
            <w:vAlign w:val="bottom"/>
            <w:hideMark/>
          </w:tcPr>
          <w:p w14:paraId="1B748C8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70,00</w:t>
            </w:r>
          </w:p>
        </w:tc>
        <w:tc>
          <w:tcPr>
            <w:tcW w:w="991" w:type="dxa"/>
            <w:tcBorders>
              <w:top w:val="nil"/>
              <w:left w:val="nil"/>
              <w:bottom w:val="single" w:sz="4" w:space="0" w:color="auto"/>
              <w:right w:val="single" w:sz="4" w:space="0" w:color="auto"/>
            </w:tcBorders>
            <w:shd w:val="clear" w:color="000000" w:fill="FFFFFF"/>
            <w:noWrap/>
            <w:vAlign w:val="bottom"/>
            <w:hideMark/>
          </w:tcPr>
          <w:p w14:paraId="6140732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68,58</w:t>
            </w:r>
          </w:p>
        </w:tc>
        <w:tc>
          <w:tcPr>
            <w:tcW w:w="991" w:type="dxa"/>
            <w:tcBorders>
              <w:top w:val="nil"/>
              <w:left w:val="nil"/>
              <w:bottom w:val="single" w:sz="4" w:space="0" w:color="auto"/>
              <w:right w:val="single" w:sz="4" w:space="0" w:color="auto"/>
            </w:tcBorders>
            <w:shd w:val="clear" w:color="000000" w:fill="FFFFFF"/>
            <w:noWrap/>
            <w:vAlign w:val="bottom"/>
            <w:hideMark/>
          </w:tcPr>
          <w:p w14:paraId="008F9EE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67,36</w:t>
            </w:r>
          </w:p>
        </w:tc>
      </w:tr>
      <w:tr w:rsidR="00B56301" w:rsidRPr="00833C38" w14:paraId="6CC37F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4850A0" w14:textId="2A9BCD08"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349EF65"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671A8A5"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5F8934"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1F5068"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5C6851"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1AD0A8"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r>
      <w:tr w:rsidR="00B56301" w:rsidRPr="00C2292B" w14:paraId="63D60F2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0782A6" w14:textId="3A4A9E44"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22BD4D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8,81</w:t>
            </w:r>
          </w:p>
        </w:tc>
        <w:tc>
          <w:tcPr>
            <w:tcW w:w="991" w:type="dxa"/>
            <w:tcBorders>
              <w:top w:val="nil"/>
              <w:left w:val="nil"/>
              <w:bottom w:val="single" w:sz="4" w:space="0" w:color="auto"/>
              <w:right w:val="single" w:sz="4" w:space="0" w:color="auto"/>
            </w:tcBorders>
            <w:shd w:val="clear" w:color="000000" w:fill="CCFFFF"/>
            <w:noWrap/>
            <w:vAlign w:val="bottom"/>
            <w:hideMark/>
          </w:tcPr>
          <w:p w14:paraId="1690772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8,81</w:t>
            </w:r>
          </w:p>
        </w:tc>
        <w:tc>
          <w:tcPr>
            <w:tcW w:w="991" w:type="dxa"/>
            <w:tcBorders>
              <w:top w:val="nil"/>
              <w:left w:val="nil"/>
              <w:bottom w:val="single" w:sz="4" w:space="0" w:color="auto"/>
              <w:right w:val="single" w:sz="4" w:space="0" w:color="auto"/>
            </w:tcBorders>
            <w:shd w:val="clear" w:color="000000" w:fill="CCFFFF"/>
            <w:noWrap/>
            <w:vAlign w:val="bottom"/>
            <w:hideMark/>
          </w:tcPr>
          <w:p w14:paraId="3F38A8A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8,75</w:t>
            </w:r>
          </w:p>
        </w:tc>
        <w:tc>
          <w:tcPr>
            <w:tcW w:w="991" w:type="dxa"/>
            <w:tcBorders>
              <w:top w:val="nil"/>
              <w:left w:val="nil"/>
              <w:bottom w:val="single" w:sz="4" w:space="0" w:color="auto"/>
              <w:right w:val="single" w:sz="4" w:space="0" w:color="auto"/>
            </w:tcBorders>
            <w:shd w:val="clear" w:color="000000" w:fill="CCFFFF"/>
            <w:noWrap/>
            <w:vAlign w:val="bottom"/>
            <w:hideMark/>
          </w:tcPr>
          <w:p w14:paraId="7BA9F39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8,79</w:t>
            </w:r>
          </w:p>
        </w:tc>
        <w:tc>
          <w:tcPr>
            <w:tcW w:w="991" w:type="dxa"/>
            <w:tcBorders>
              <w:top w:val="nil"/>
              <w:left w:val="nil"/>
              <w:bottom w:val="single" w:sz="4" w:space="0" w:color="auto"/>
              <w:right w:val="single" w:sz="4" w:space="0" w:color="auto"/>
            </w:tcBorders>
            <w:shd w:val="clear" w:color="000000" w:fill="CCFFFF"/>
            <w:noWrap/>
            <w:vAlign w:val="bottom"/>
            <w:hideMark/>
          </w:tcPr>
          <w:p w14:paraId="41F1DBA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8,42</w:t>
            </w:r>
          </w:p>
        </w:tc>
        <w:tc>
          <w:tcPr>
            <w:tcW w:w="991" w:type="dxa"/>
            <w:tcBorders>
              <w:top w:val="nil"/>
              <w:left w:val="nil"/>
              <w:bottom w:val="single" w:sz="4" w:space="0" w:color="auto"/>
              <w:right w:val="single" w:sz="4" w:space="0" w:color="auto"/>
            </w:tcBorders>
            <w:shd w:val="clear" w:color="000000" w:fill="CCFFFF"/>
            <w:noWrap/>
            <w:vAlign w:val="bottom"/>
            <w:hideMark/>
          </w:tcPr>
          <w:p w14:paraId="7684E87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9,03</w:t>
            </w:r>
          </w:p>
        </w:tc>
      </w:tr>
      <w:tr w:rsidR="00B56301" w:rsidRPr="00C2292B" w14:paraId="20D71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10AF7A" w14:textId="5BA66D8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928A06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9E7B6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F07B5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B9053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0AAAF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4D62E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248253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B89511" w14:textId="1AC55B5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7F3BA53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3,12</w:t>
            </w:r>
          </w:p>
        </w:tc>
        <w:tc>
          <w:tcPr>
            <w:tcW w:w="991" w:type="dxa"/>
            <w:tcBorders>
              <w:top w:val="nil"/>
              <w:left w:val="nil"/>
              <w:bottom w:val="single" w:sz="4" w:space="0" w:color="auto"/>
              <w:right w:val="single" w:sz="4" w:space="0" w:color="auto"/>
            </w:tcBorders>
            <w:shd w:val="clear" w:color="000000" w:fill="FFFFFF"/>
            <w:noWrap/>
            <w:vAlign w:val="bottom"/>
            <w:hideMark/>
          </w:tcPr>
          <w:p w14:paraId="2E3DE22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3,12</w:t>
            </w:r>
          </w:p>
        </w:tc>
        <w:tc>
          <w:tcPr>
            <w:tcW w:w="991" w:type="dxa"/>
            <w:tcBorders>
              <w:top w:val="nil"/>
              <w:left w:val="nil"/>
              <w:bottom w:val="single" w:sz="4" w:space="0" w:color="auto"/>
              <w:right w:val="single" w:sz="4" w:space="0" w:color="auto"/>
            </w:tcBorders>
            <w:shd w:val="clear" w:color="000000" w:fill="FFFFFF"/>
            <w:noWrap/>
            <w:vAlign w:val="bottom"/>
            <w:hideMark/>
          </w:tcPr>
          <w:p w14:paraId="1719F4C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3,49</w:t>
            </w:r>
          </w:p>
        </w:tc>
        <w:tc>
          <w:tcPr>
            <w:tcW w:w="991" w:type="dxa"/>
            <w:tcBorders>
              <w:top w:val="nil"/>
              <w:left w:val="nil"/>
              <w:bottom w:val="single" w:sz="4" w:space="0" w:color="auto"/>
              <w:right w:val="single" w:sz="4" w:space="0" w:color="auto"/>
            </w:tcBorders>
            <w:shd w:val="clear" w:color="000000" w:fill="FFFFFF"/>
            <w:noWrap/>
            <w:vAlign w:val="bottom"/>
            <w:hideMark/>
          </w:tcPr>
          <w:p w14:paraId="59CFF40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3,74</w:t>
            </w:r>
          </w:p>
        </w:tc>
        <w:tc>
          <w:tcPr>
            <w:tcW w:w="991" w:type="dxa"/>
            <w:tcBorders>
              <w:top w:val="nil"/>
              <w:left w:val="nil"/>
              <w:bottom w:val="single" w:sz="4" w:space="0" w:color="auto"/>
              <w:right w:val="single" w:sz="4" w:space="0" w:color="auto"/>
            </w:tcBorders>
            <w:shd w:val="clear" w:color="000000" w:fill="FFFFFF"/>
            <w:noWrap/>
            <w:vAlign w:val="bottom"/>
            <w:hideMark/>
          </w:tcPr>
          <w:p w14:paraId="19D238F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3,47</w:t>
            </w:r>
          </w:p>
        </w:tc>
        <w:tc>
          <w:tcPr>
            <w:tcW w:w="991" w:type="dxa"/>
            <w:tcBorders>
              <w:top w:val="nil"/>
              <w:left w:val="nil"/>
              <w:bottom w:val="single" w:sz="4" w:space="0" w:color="auto"/>
              <w:right w:val="single" w:sz="4" w:space="0" w:color="auto"/>
            </w:tcBorders>
            <w:shd w:val="clear" w:color="000000" w:fill="FFFFFF"/>
            <w:noWrap/>
            <w:vAlign w:val="bottom"/>
            <w:hideMark/>
          </w:tcPr>
          <w:p w14:paraId="30E035F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3,65</w:t>
            </w:r>
          </w:p>
        </w:tc>
      </w:tr>
      <w:tr w:rsidR="00B56301" w:rsidRPr="00C2292B" w14:paraId="5B782B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B977F6" w14:textId="204DFD6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43BE87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5,63</w:t>
            </w:r>
          </w:p>
        </w:tc>
        <w:tc>
          <w:tcPr>
            <w:tcW w:w="991" w:type="dxa"/>
            <w:tcBorders>
              <w:top w:val="nil"/>
              <w:left w:val="nil"/>
              <w:bottom w:val="single" w:sz="4" w:space="0" w:color="auto"/>
              <w:right w:val="single" w:sz="4" w:space="0" w:color="auto"/>
            </w:tcBorders>
            <w:shd w:val="clear" w:color="000000" w:fill="FFFFFF"/>
            <w:noWrap/>
            <w:vAlign w:val="bottom"/>
            <w:hideMark/>
          </w:tcPr>
          <w:p w14:paraId="0951FDB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5,63</w:t>
            </w:r>
          </w:p>
        </w:tc>
        <w:tc>
          <w:tcPr>
            <w:tcW w:w="991" w:type="dxa"/>
            <w:tcBorders>
              <w:top w:val="nil"/>
              <w:left w:val="nil"/>
              <w:bottom w:val="single" w:sz="4" w:space="0" w:color="auto"/>
              <w:right w:val="single" w:sz="4" w:space="0" w:color="auto"/>
            </w:tcBorders>
            <w:shd w:val="clear" w:color="000000" w:fill="FFFFFF"/>
            <w:noWrap/>
            <w:vAlign w:val="bottom"/>
            <w:hideMark/>
          </w:tcPr>
          <w:p w14:paraId="298013B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5,21</w:t>
            </w:r>
          </w:p>
        </w:tc>
        <w:tc>
          <w:tcPr>
            <w:tcW w:w="991" w:type="dxa"/>
            <w:tcBorders>
              <w:top w:val="nil"/>
              <w:left w:val="nil"/>
              <w:bottom w:val="single" w:sz="4" w:space="0" w:color="auto"/>
              <w:right w:val="single" w:sz="4" w:space="0" w:color="auto"/>
            </w:tcBorders>
            <w:shd w:val="clear" w:color="000000" w:fill="FFFFFF"/>
            <w:noWrap/>
            <w:vAlign w:val="bottom"/>
            <w:hideMark/>
          </w:tcPr>
          <w:p w14:paraId="3180A44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2F2B010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1FD2223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5,33</w:t>
            </w:r>
          </w:p>
        </w:tc>
      </w:tr>
      <w:tr w:rsidR="00B56301" w:rsidRPr="00C2292B" w14:paraId="61FF6D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C2396C0" w14:textId="6AFE7E3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6C5B1E0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E9C3AB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4A86BEC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E51A8D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DC7241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BBF392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0,05</w:t>
            </w:r>
          </w:p>
        </w:tc>
      </w:tr>
      <w:tr w:rsidR="00B56301" w:rsidRPr="00C2292B" w14:paraId="12B194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F0A18B4" w14:textId="403C766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1626E1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25FA6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0485B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8B2CE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45745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8C840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833C38" w14:paraId="51DB6D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AB0B29" w14:textId="6A97C581"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59D7ED2C"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B2A38D"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3927A6"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B2D375"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D672CA2"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2829E0"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r>
      <w:tr w:rsidR="00B56301" w:rsidRPr="00C2292B" w14:paraId="5D86DF7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9F98D9A" w14:textId="5B80CF83"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5BA36B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D3032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12C806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46C0D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C61C92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6E037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37EC3C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36C05A" w14:textId="77A5B2C6"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417E0F6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C2243B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98D17D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4D7F10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B45E77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3CE99B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r>
      <w:tr w:rsidR="00B56301" w:rsidRPr="00C2292B" w14:paraId="48C485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CEB21F2" w14:textId="2AC83C22"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638241C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1688,74</w:t>
            </w:r>
          </w:p>
        </w:tc>
        <w:tc>
          <w:tcPr>
            <w:tcW w:w="991" w:type="dxa"/>
            <w:tcBorders>
              <w:top w:val="nil"/>
              <w:left w:val="nil"/>
              <w:bottom w:val="single" w:sz="4" w:space="0" w:color="auto"/>
              <w:right w:val="single" w:sz="4" w:space="0" w:color="auto"/>
            </w:tcBorders>
            <w:shd w:val="clear" w:color="000000" w:fill="CCFFFF"/>
            <w:noWrap/>
            <w:vAlign w:val="bottom"/>
            <w:hideMark/>
          </w:tcPr>
          <w:p w14:paraId="1722CC6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1688,74</w:t>
            </w:r>
          </w:p>
        </w:tc>
        <w:tc>
          <w:tcPr>
            <w:tcW w:w="991" w:type="dxa"/>
            <w:tcBorders>
              <w:top w:val="nil"/>
              <w:left w:val="nil"/>
              <w:bottom w:val="single" w:sz="4" w:space="0" w:color="auto"/>
              <w:right w:val="single" w:sz="4" w:space="0" w:color="auto"/>
            </w:tcBorders>
            <w:shd w:val="clear" w:color="000000" w:fill="CCFFFF"/>
            <w:noWrap/>
            <w:vAlign w:val="bottom"/>
            <w:hideMark/>
          </w:tcPr>
          <w:p w14:paraId="2D088C7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1662,25</w:t>
            </w:r>
          </w:p>
        </w:tc>
        <w:tc>
          <w:tcPr>
            <w:tcW w:w="991" w:type="dxa"/>
            <w:tcBorders>
              <w:top w:val="nil"/>
              <w:left w:val="nil"/>
              <w:bottom w:val="single" w:sz="4" w:space="0" w:color="auto"/>
              <w:right w:val="single" w:sz="4" w:space="0" w:color="auto"/>
            </w:tcBorders>
            <w:shd w:val="clear" w:color="000000" w:fill="CCFFFF"/>
            <w:noWrap/>
            <w:vAlign w:val="bottom"/>
            <w:hideMark/>
          </w:tcPr>
          <w:p w14:paraId="3C00C30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1641,04</w:t>
            </w:r>
          </w:p>
        </w:tc>
        <w:tc>
          <w:tcPr>
            <w:tcW w:w="991" w:type="dxa"/>
            <w:tcBorders>
              <w:top w:val="nil"/>
              <w:left w:val="nil"/>
              <w:bottom w:val="single" w:sz="4" w:space="0" w:color="auto"/>
              <w:right w:val="single" w:sz="4" w:space="0" w:color="auto"/>
            </w:tcBorders>
            <w:shd w:val="clear" w:color="000000" w:fill="CCFFFF"/>
            <w:noWrap/>
            <w:vAlign w:val="bottom"/>
            <w:hideMark/>
          </w:tcPr>
          <w:p w14:paraId="04461C8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1629,42</w:t>
            </w:r>
          </w:p>
        </w:tc>
        <w:tc>
          <w:tcPr>
            <w:tcW w:w="991" w:type="dxa"/>
            <w:tcBorders>
              <w:top w:val="nil"/>
              <w:left w:val="nil"/>
              <w:bottom w:val="single" w:sz="4" w:space="0" w:color="auto"/>
              <w:right w:val="single" w:sz="4" w:space="0" w:color="auto"/>
            </w:tcBorders>
            <w:shd w:val="clear" w:color="000000" w:fill="CCFFFF"/>
            <w:noWrap/>
            <w:vAlign w:val="bottom"/>
            <w:hideMark/>
          </w:tcPr>
          <w:p w14:paraId="10C09FF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1636,84</w:t>
            </w:r>
          </w:p>
        </w:tc>
      </w:tr>
      <w:tr w:rsidR="00B56301" w:rsidRPr="00C2292B" w14:paraId="7FF785D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44DB2D" w14:textId="5EB7B4E6"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0A991C7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1545,22</w:t>
            </w:r>
          </w:p>
        </w:tc>
        <w:tc>
          <w:tcPr>
            <w:tcW w:w="991" w:type="dxa"/>
            <w:tcBorders>
              <w:top w:val="nil"/>
              <w:left w:val="nil"/>
              <w:bottom w:val="single" w:sz="4" w:space="0" w:color="auto"/>
              <w:right w:val="single" w:sz="4" w:space="0" w:color="auto"/>
            </w:tcBorders>
            <w:shd w:val="clear" w:color="000000" w:fill="FFFFFF"/>
            <w:noWrap/>
            <w:vAlign w:val="bottom"/>
            <w:hideMark/>
          </w:tcPr>
          <w:p w14:paraId="2EE6209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1545,22</w:t>
            </w:r>
          </w:p>
        </w:tc>
        <w:tc>
          <w:tcPr>
            <w:tcW w:w="991" w:type="dxa"/>
            <w:tcBorders>
              <w:top w:val="nil"/>
              <w:left w:val="nil"/>
              <w:bottom w:val="single" w:sz="4" w:space="0" w:color="auto"/>
              <w:right w:val="single" w:sz="4" w:space="0" w:color="auto"/>
            </w:tcBorders>
            <w:shd w:val="clear" w:color="000000" w:fill="FFFFFF"/>
            <w:noWrap/>
            <w:vAlign w:val="bottom"/>
            <w:hideMark/>
          </w:tcPr>
          <w:p w14:paraId="4D7D9B3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1519,99</w:t>
            </w:r>
          </w:p>
        </w:tc>
        <w:tc>
          <w:tcPr>
            <w:tcW w:w="991" w:type="dxa"/>
            <w:tcBorders>
              <w:top w:val="nil"/>
              <w:left w:val="nil"/>
              <w:bottom w:val="single" w:sz="4" w:space="0" w:color="auto"/>
              <w:right w:val="single" w:sz="4" w:space="0" w:color="auto"/>
            </w:tcBorders>
            <w:shd w:val="clear" w:color="000000" w:fill="FFFFFF"/>
            <w:noWrap/>
            <w:vAlign w:val="bottom"/>
            <w:hideMark/>
          </w:tcPr>
          <w:p w14:paraId="66B7B28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1498,07</w:t>
            </w:r>
          </w:p>
        </w:tc>
        <w:tc>
          <w:tcPr>
            <w:tcW w:w="991" w:type="dxa"/>
            <w:tcBorders>
              <w:top w:val="nil"/>
              <w:left w:val="nil"/>
              <w:bottom w:val="single" w:sz="4" w:space="0" w:color="auto"/>
              <w:right w:val="single" w:sz="4" w:space="0" w:color="auto"/>
            </w:tcBorders>
            <w:shd w:val="clear" w:color="000000" w:fill="FFFFFF"/>
            <w:noWrap/>
            <w:vAlign w:val="bottom"/>
            <w:hideMark/>
          </w:tcPr>
          <w:p w14:paraId="30494F1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1485,42</w:t>
            </w:r>
          </w:p>
        </w:tc>
        <w:tc>
          <w:tcPr>
            <w:tcW w:w="991" w:type="dxa"/>
            <w:tcBorders>
              <w:top w:val="nil"/>
              <w:left w:val="nil"/>
              <w:bottom w:val="single" w:sz="4" w:space="0" w:color="auto"/>
              <w:right w:val="single" w:sz="4" w:space="0" w:color="auto"/>
            </w:tcBorders>
            <w:shd w:val="clear" w:color="000000" w:fill="FFFFFF"/>
            <w:noWrap/>
            <w:vAlign w:val="bottom"/>
            <w:hideMark/>
          </w:tcPr>
          <w:p w14:paraId="076D1CD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1490,91</w:t>
            </w:r>
          </w:p>
        </w:tc>
      </w:tr>
      <w:tr w:rsidR="00B56301" w:rsidRPr="00C2292B" w14:paraId="5C0B248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D69C57" w14:textId="48A3BF8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5388C9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138,42</w:t>
            </w:r>
          </w:p>
        </w:tc>
        <w:tc>
          <w:tcPr>
            <w:tcW w:w="991" w:type="dxa"/>
            <w:tcBorders>
              <w:top w:val="nil"/>
              <w:left w:val="nil"/>
              <w:bottom w:val="single" w:sz="4" w:space="0" w:color="auto"/>
              <w:right w:val="single" w:sz="4" w:space="0" w:color="auto"/>
            </w:tcBorders>
            <w:shd w:val="clear" w:color="000000" w:fill="FFFFFF"/>
            <w:noWrap/>
            <w:vAlign w:val="bottom"/>
            <w:hideMark/>
          </w:tcPr>
          <w:p w14:paraId="05769F0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138,42</w:t>
            </w:r>
          </w:p>
        </w:tc>
        <w:tc>
          <w:tcPr>
            <w:tcW w:w="991" w:type="dxa"/>
            <w:tcBorders>
              <w:top w:val="nil"/>
              <w:left w:val="nil"/>
              <w:bottom w:val="single" w:sz="4" w:space="0" w:color="auto"/>
              <w:right w:val="single" w:sz="4" w:space="0" w:color="auto"/>
            </w:tcBorders>
            <w:shd w:val="clear" w:color="000000" w:fill="FFFFFF"/>
            <w:noWrap/>
            <w:vAlign w:val="bottom"/>
            <w:hideMark/>
          </w:tcPr>
          <w:p w14:paraId="32BE9F8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136,88</w:t>
            </w:r>
          </w:p>
        </w:tc>
        <w:tc>
          <w:tcPr>
            <w:tcW w:w="991" w:type="dxa"/>
            <w:tcBorders>
              <w:top w:val="nil"/>
              <w:left w:val="nil"/>
              <w:bottom w:val="single" w:sz="4" w:space="0" w:color="auto"/>
              <w:right w:val="single" w:sz="4" w:space="0" w:color="auto"/>
            </w:tcBorders>
            <w:shd w:val="clear" w:color="000000" w:fill="FFFFFF"/>
            <w:noWrap/>
            <w:vAlign w:val="bottom"/>
            <w:hideMark/>
          </w:tcPr>
          <w:p w14:paraId="55FB311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137,18</w:t>
            </w:r>
          </w:p>
        </w:tc>
        <w:tc>
          <w:tcPr>
            <w:tcW w:w="991" w:type="dxa"/>
            <w:tcBorders>
              <w:top w:val="nil"/>
              <w:left w:val="nil"/>
              <w:bottom w:val="single" w:sz="4" w:space="0" w:color="auto"/>
              <w:right w:val="single" w:sz="4" w:space="0" w:color="auto"/>
            </w:tcBorders>
            <w:shd w:val="clear" w:color="000000" w:fill="FFFFFF"/>
            <w:noWrap/>
            <w:vAlign w:val="bottom"/>
            <w:hideMark/>
          </w:tcPr>
          <w:p w14:paraId="209850C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138,00</w:t>
            </w:r>
          </w:p>
        </w:tc>
        <w:tc>
          <w:tcPr>
            <w:tcW w:w="991" w:type="dxa"/>
            <w:tcBorders>
              <w:top w:val="nil"/>
              <w:left w:val="nil"/>
              <w:bottom w:val="single" w:sz="4" w:space="0" w:color="auto"/>
              <w:right w:val="single" w:sz="4" w:space="0" w:color="auto"/>
            </w:tcBorders>
            <w:shd w:val="clear" w:color="000000" w:fill="FFFFFF"/>
            <w:noWrap/>
            <w:vAlign w:val="bottom"/>
            <w:hideMark/>
          </w:tcPr>
          <w:p w14:paraId="0E5E8B1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139,67</w:t>
            </w:r>
          </w:p>
        </w:tc>
      </w:tr>
      <w:tr w:rsidR="00B56301" w:rsidRPr="00C2292B" w14:paraId="0F36BDE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8474AE" w14:textId="4CF6C3E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1E7D0EC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2,33</w:t>
            </w:r>
          </w:p>
        </w:tc>
        <w:tc>
          <w:tcPr>
            <w:tcW w:w="991" w:type="dxa"/>
            <w:tcBorders>
              <w:top w:val="nil"/>
              <w:left w:val="nil"/>
              <w:bottom w:val="single" w:sz="4" w:space="0" w:color="auto"/>
              <w:right w:val="single" w:sz="4" w:space="0" w:color="auto"/>
            </w:tcBorders>
            <w:shd w:val="clear" w:color="000000" w:fill="FFFFFF"/>
            <w:noWrap/>
            <w:vAlign w:val="bottom"/>
            <w:hideMark/>
          </w:tcPr>
          <w:p w14:paraId="3EADB54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2,33</w:t>
            </w:r>
          </w:p>
        </w:tc>
        <w:tc>
          <w:tcPr>
            <w:tcW w:w="991" w:type="dxa"/>
            <w:tcBorders>
              <w:top w:val="nil"/>
              <w:left w:val="nil"/>
              <w:bottom w:val="single" w:sz="4" w:space="0" w:color="auto"/>
              <w:right w:val="single" w:sz="4" w:space="0" w:color="auto"/>
            </w:tcBorders>
            <w:shd w:val="clear" w:color="000000" w:fill="FFFFFF"/>
            <w:noWrap/>
            <w:vAlign w:val="bottom"/>
            <w:hideMark/>
          </w:tcPr>
          <w:p w14:paraId="2910205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6AB652C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2,94</w:t>
            </w:r>
          </w:p>
        </w:tc>
        <w:tc>
          <w:tcPr>
            <w:tcW w:w="991" w:type="dxa"/>
            <w:tcBorders>
              <w:top w:val="nil"/>
              <w:left w:val="nil"/>
              <w:bottom w:val="single" w:sz="4" w:space="0" w:color="auto"/>
              <w:right w:val="single" w:sz="4" w:space="0" w:color="auto"/>
            </w:tcBorders>
            <w:shd w:val="clear" w:color="000000" w:fill="FFFFFF"/>
            <w:noWrap/>
            <w:vAlign w:val="bottom"/>
            <w:hideMark/>
          </w:tcPr>
          <w:p w14:paraId="6F92383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3,25</w:t>
            </w:r>
          </w:p>
        </w:tc>
        <w:tc>
          <w:tcPr>
            <w:tcW w:w="991" w:type="dxa"/>
            <w:tcBorders>
              <w:top w:val="nil"/>
              <w:left w:val="nil"/>
              <w:bottom w:val="single" w:sz="4" w:space="0" w:color="auto"/>
              <w:right w:val="single" w:sz="4" w:space="0" w:color="auto"/>
            </w:tcBorders>
            <w:shd w:val="clear" w:color="000000" w:fill="FFFFFF"/>
            <w:noWrap/>
            <w:vAlign w:val="bottom"/>
            <w:hideMark/>
          </w:tcPr>
          <w:p w14:paraId="578472D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3,47</w:t>
            </w:r>
          </w:p>
        </w:tc>
      </w:tr>
      <w:tr w:rsidR="00B56301" w:rsidRPr="00C2292B" w14:paraId="1C5AD5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1F52C8" w14:textId="31C6616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46B787A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DC69C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7D231F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5D469B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0E84AC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A8A729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7B7C20A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3C56C33" w14:textId="2293F9F3"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27D4CC8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B61A8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24603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8C208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C7DEB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B8C57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7C88E29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3FE5A66" w14:textId="21E89BF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FDED4E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2,77</w:t>
            </w:r>
          </w:p>
        </w:tc>
        <w:tc>
          <w:tcPr>
            <w:tcW w:w="991" w:type="dxa"/>
            <w:tcBorders>
              <w:top w:val="nil"/>
              <w:left w:val="nil"/>
              <w:bottom w:val="single" w:sz="4" w:space="0" w:color="auto"/>
              <w:right w:val="single" w:sz="4" w:space="0" w:color="auto"/>
            </w:tcBorders>
            <w:shd w:val="clear" w:color="000000" w:fill="FFFFFF"/>
            <w:noWrap/>
            <w:vAlign w:val="bottom"/>
            <w:hideMark/>
          </w:tcPr>
          <w:p w14:paraId="129A26D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2,77</w:t>
            </w:r>
          </w:p>
        </w:tc>
        <w:tc>
          <w:tcPr>
            <w:tcW w:w="991" w:type="dxa"/>
            <w:tcBorders>
              <w:top w:val="nil"/>
              <w:left w:val="nil"/>
              <w:bottom w:val="single" w:sz="4" w:space="0" w:color="auto"/>
              <w:right w:val="single" w:sz="4" w:space="0" w:color="auto"/>
            </w:tcBorders>
            <w:shd w:val="clear" w:color="000000" w:fill="FFFFFF"/>
            <w:noWrap/>
            <w:vAlign w:val="bottom"/>
            <w:hideMark/>
          </w:tcPr>
          <w:p w14:paraId="3ED1C5A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2,84</w:t>
            </w:r>
          </w:p>
        </w:tc>
        <w:tc>
          <w:tcPr>
            <w:tcW w:w="991" w:type="dxa"/>
            <w:tcBorders>
              <w:top w:val="nil"/>
              <w:left w:val="nil"/>
              <w:bottom w:val="single" w:sz="4" w:space="0" w:color="auto"/>
              <w:right w:val="single" w:sz="4" w:space="0" w:color="auto"/>
            </w:tcBorders>
            <w:shd w:val="clear" w:color="000000" w:fill="FFFFFF"/>
            <w:noWrap/>
            <w:vAlign w:val="bottom"/>
            <w:hideMark/>
          </w:tcPr>
          <w:p w14:paraId="10994C1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2,85</w:t>
            </w:r>
          </w:p>
        </w:tc>
        <w:tc>
          <w:tcPr>
            <w:tcW w:w="991" w:type="dxa"/>
            <w:tcBorders>
              <w:top w:val="nil"/>
              <w:left w:val="nil"/>
              <w:bottom w:val="single" w:sz="4" w:space="0" w:color="auto"/>
              <w:right w:val="single" w:sz="4" w:space="0" w:color="auto"/>
            </w:tcBorders>
            <w:shd w:val="clear" w:color="000000" w:fill="FFFFFF"/>
            <w:noWrap/>
            <w:vAlign w:val="bottom"/>
            <w:hideMark/>
          </w:tcPr>
          <w:p w14:paraId="640840A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2,75</w:t>
            </w:r>
          </w:p>
        </w:tc>
        <w:tc>
          <w:tcPr>
            <w:tcW w:w="991" w:type="dxa"/>
            <w:tcBorders>
              <w:top w:val="nil"/>
              <w:left w:val="nil"/>
              <w:bottom w:val="single" w:sz="4" w:space="0" w:color="auto"/>
              <w:right w:val="single" w:sz="4" w:space="0" w:color="auto"/>
            </w:tcBorders>
            <w:shd w:val="clear" w:color="000000" w:fill="FFFFFF"/>
            <w:noWrap/>
            <w:vAlign w:val="bottom"/>
            <w:hideMark/>
          </w:tcPr>
          <w:p w14:paraId="2BA5390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2,79</w:t>
            </w:r>
          </w:p>
        </w:tc>
      </w:tr>
      <w:tr w:rsidR="00B56301" w:rsidRPr="00C2292B" w14:paraId="0FE493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6A4F31" w14:textId="73B457E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4B6CE07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EB407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15FBC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68477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89D7E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2D6E1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30F210E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FFB72A" w14:textId="689C23F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322AAE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029E2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7945C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76014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1C373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802AA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833C38" w14:paraId="06732A1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8059C5" w14:textId="491C6A4F"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4400B634"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AC859"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C4E7E8"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018680"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91A077"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C59F0B"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r>
      <w:tr w:rsidR="00B56301" w:rsidRPr="00C2292B" w14:paraId="7B9503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234818" w14:textId="62273FA6"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639184F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0A756D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EBC59A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C7BDF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D0BC2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CFCA6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4DE73C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1EB7DC2D"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0E866AD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37,31</w:t>
            </w:r>
          </w:p>
        </w:tc>
        <w:tc>
          <w:tcPr>
            <w:tcW w:w="991" w:type="dxa"/>
            <w:tcBorders>
              <w:top w:val="nil"/>
              <w:left w:val="nil"/>
              <w:bottom w:val="single" w:sz="4" w:space="0" w:color="auto"/>
              <w:right w:val="single" w:sz="4" w:space="0" w:color="auto"/>
            </w:tcBorders>
            <w:shd w:val="clear" w:color="000000" w:fill="CCFFFF"/>
            <w:noWrap/>
            <w:vAlign w:val="bottom"/>
            <w:hideMark/>
          </w:tcPr>
          <w:p w14:paraId="55BE62D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37,31</w:t>
            </w:r>
          </w:p>
        </w:tc>
        <w:tc>
          <w:tcPr>
            <w:tcW w:w="991" w:type="dxa"/>
            <w:tcBorders>
              <w:top w:val="nil"/>
              <w:left w:val="nil"/>
              <w:bottom w:val="single" w:sz="4" w:space="0" w:color="auto"/>
              <w:right w:val="single" w:sz="4" w:space="0" w:color="auto"/>
            </w:tcBorders>
            <w:shd w:val="clear" w:color="000000" w:fill="CCFFFF"/>
            <w:noWrap/>
            <w:vAlign w:val="bottom"/>
            <w:hideMark/>
          </w:tcPr>
          <w:p w14:paraId="03E1F78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39,68</w:t>
            </w:r>
          </w:p>
        </w:tc>
        <w:tc>
          <w:tcPr>
            <w:tcW w:w="991" w:type="dxa"/>
            <w:tcBorders>
              <w:top w:val="nil"/>
              <w:left w:val="nil"/>
              <w:bottom w:val="single" w:sz="4" w:space="0" w:color="auto"/>
              <w:right w:val="single" w:sz="4" w:space="0" w:color="auto"/>
            </w:tcBorders>
            <w:shd w:val="clear" w:color="000000" w:fill="CCFFFF"/>
            <w:noWrap/>
            <w:vAlign w:val="bottom"/>
            <w:hideMark/>
          </w:tcPr>
          <w:p w14:paraId="0EE16C0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41,01</w:t>
            </w:r>
          </w:p>
        </w:tc>
        <w:tc>
          <w:tcPr>
            <w:tcW w:w="991" w:type="dxa"/>
            <w:tcBorders>
              <w:top w:val="nil"/>
              <w:left w:val="nil"/>
              <w:bottom w:val="single" w:sz="4" w:space="0" w:color="auto"/>
              <w:right w:val="single" w:sz="4" w:space="0" w:color="auto"/>
            </w:tcBorders>
            <w:shd w:val="clear" w:color="000000" w:fill="CCFFFF"/>
            <w:noWrap/>
            <w:vAlign w:val="bottom"/>
            <w:hideMark/>
          </w:tcPr>
          <w:p w14:paraId="78F92F2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40,32</w:t>
            </w:r>
          </w:p>
        </w:tc>
        <w:tc>
          <w:tcPr>
            <w:tcW w:w="991" w:type="dxa"/>
            <w:tcBorders>
              <w:top w:val="nil"/>
              <w:left w:val="nil"/>
              <w:bottom w:val="single" w:sz="4" w:space="0" w:color="auto"/>
              <w:right w:val="single" w:sz="4" w:space="0" w:color="auto"/>
            </w:tcBorders>
            <w:shd w:val="clear" w:color="000000" w:fill="CCFFFF"/>
            <w:noWrap/>
            <w:vAlign w:val="bottom"/>
            <w:hideMark/>
          </w:tcPr>
          <w:p w14:paraId="0A933F1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137,86</w:t>
            </w:r>
          </w:p>
        </w:tc>
      </w:tr>
      <w:tr w:rsidR="00B56301" w:rsidRPr="00C2292B" w14:paraId="54FBD9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18556" w14:textId="16C1B32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2A34FEF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24,09</w:t>
            </w:r>
          </w:p>
        </w:tc>
        <w:tc>
          <w:tcPr>
            <w:tcW w:w="991" w:type="dxa"/>
            <w:tcBorders>
              <w:top w:val="nil"/>
              <w:left w:val="nil"/>
              <w:bottom w:val="single" w:sz="4" w:space="0" w:color="auto"/>
              <w:right w:val="single" w:sz="4" w:space="0" w:color="auto"/>
            </w:tcBorders>
            <w:shd w:val="clear" w:color="000000" w:fill="FFFFFF"/>
            <w:noWrap/>
            <w:vAlign w:val="bottom"/>
            <w:hideMark/>
          </w:tcPr>
          <w:p w14:paraId="4E25676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24,09</w:t>
            </w:r>
          </w:p>
        </w:tc>
        <w:tc>
          <w:tcPr>
            <w:tcW w:w="991" w:type="dxa"/>
            <w:tcBorders>
              <w:top w:val="nil"/>
              <w:left w:val="nil"/>
              <w:bottom w:val="single" w:sz="4" w:space="0" w:color="auto"/>
              <w:right w:val="single" w:sz="4" w:space="0" w:color="auto"/>
            </w:tcBorders>
            <w:shd w:val="clear" w:color="000000" w:fill="FFFFFF"/>
            <w:noWrap/>
            <w:vAlign w:val="bottom"/>
            <w:hideMark/>
          </w:tcPr>
          <w:p w14:paraId="0BFD8E7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26,08</w:t>
            </w:r>
          </w:p>
        </w:tc>
        <w:tc>
          <w:tcPr>
            <w:tcW w:w="991" w:type="dxa"/>
            <w:tcBorders>
              <w:top w:val="nil"/>
              <w:left w:val="nil"/>
              <w:bottom w:val="single" w:sz="4" w:space="0" w:color="auto"/>
              <w:right w:val="single" w:sz="4" w:space="0" w:color="auto"/>
            </w:tcBorders>
            <w:shd w:val="clear" w:color="000000" w:fill="FFFFFF"/>
            <w:noWrap/>
            <w:vAlign w:val="bottom"/>
            <w:hideMark/>
          </w:tcPr>
          <w:p w14:paraId="194EA10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27,21</w:t>
            </w:r>
          </w:p>
        </w:tc>
        <w:tc>
          <w:tcPr>
            <w:tcW w:w="991" w:type="dxa"/>
            <w:tcBorders>
              <w:top w:val="nil"/>
              <w:left w:val="nil"/>
              <w:bottom w:val="single" w:sz="4" w:space="0" w:color="auto"/>
              <w:right w:val="single" w:sz="4" w:space="0" w:color="auto"/>
            </w:tcBorders>
            <w:shd w:val="clear" w:color="000000" w:fill="FFFFFF"/>
            <w:noWrap/>
            <w:vAlign w:val="bottom"/>
            <w:hideMark/>
          </w:tcPr>
          <w:p w14:paraId="7885504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26,54</w:t>
            </w:r>
          </w:p>
        </w:tc>
        <w:tc>
          <w:tcPr>
            <w:tcW w:w="991" w:type="dxa"/>
            <w:tcBorders>
              <w:top w:val="nil"/>
              <w:left w:val="nil"/>
              <w:bottom w:val="single" w:sz="4" w:space="0" w:color="auto"/>
              <w:right w:val="single" w:sz="4" w:space="0" w:color="auto"/>
            </w:tcBorders>
            <w:shd w:val="clear" w:color="000000" w:fill="FFFFFF"/>
            <w:noWrap/>
            <w:vAlign w:val="bottom"/>
            <w:hideMark/>
          </w:tcPr>
          <w:p w14:paraId="2D669F5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26,54</w:t>
            </w:r>
          </w:p>
        </w:tc>
      </w:tr>
      <w:tr w:rsidR="00B56301" w:rsidRPr="00C2292B" w14:paraId="123C45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CC45DA9" w14:textId="2003801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744A047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569A54E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79B7C53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1A15714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5,37</w:t>
            </w:r>
          </w:p>
        </w:tc>
        <w:tc>
          <w:tcPr>
            <w:tcW w:w="991" w:type="dxa"/>
            <w:tcBorders>
              <w:top w:val="nil"/>
              <w:left w:val="nil"/>
              <w:bottom w:val="single" w:sz="4" w:space="0" w:color="auto"/>
              <w:right w:val="single" w:sz="4" w:space="0" w:color="auto"/>
            </w:tcBorders>
            <w:shd w:val="clear" w:color="000000" w:fill="FFFFFF"/>
            <w:noWrap/>
            <w:vAlign w:val="bottom"/>
            <w:hideMark/>
          </w:tcPr>
          <w:p w14:paraId="43A851F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5,39</w:t>
            </w:r>
          </w:p>
        </w:tc>
        <w:tc>
          <w:tcPr>
            <w:tcW w:w="991" w:type="dxa"/>
            <w:tcBorders>
              <w:top w:val="nil"/>
              <w:left w:val="nil"/>
              <w:bottom w:val="single" w:sz="4" w:space="0" w:color="auto"/>
              <w:right w:val="single" w:sz="4" w:space="0" w:color="auto"/>
            </w:tcBorders>
            <w:shd w:val="clear" w:color="000000" w:fill="FFFFFF"/>
            <w:noWrap/>
            <w:vAlign w:val="bottom"/>
            <w:hideMark/>
          </w:tcPr>
          <w:p w14:paraId="2B5C628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5,15</w:t>
            </w:r>
          </w:p>
        </w:tc>
      </w:tr>
      <w:tr w:rsidR="00B56301" w:rsidRPr="00C2292B" w14:paraId="21ED7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38DC20" w14:textId="4155DBC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79617C7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5,90</w:t>
            </w:r>
          </w:p>
        </w:tc>
        <w:tc>
          <w:tcPr>
            <w:tcW w:w="991" w:type="dxa"/>
            <w:tcBorders>
              <w:top w:val="nil"/>
              <w:left w:val="nil"/>
              <w:bottom w:val="single" w:sz="4" w:space="0" w:color="auto"/>
              <w:right w:val="single" w:sz="4" w:space="0" w:color="auto"/>
            </w:tcBorders>
            <w:shd w:val="clear" w:color="000000" w:fill="FFFFFF"/>
            <w:noWrap/>
            <w:vAlign w:val="bottom"/>
            <w:hideMark/>
          </w:tcPr>
          <w:p w14:paraId="2BF1781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5,90</w:t>
            </w:r>
          </w:p>
        </w:tc>
        <w:tc>
          <w:tcPr>
            <w:tcW w:w="991" w:type="dxa"/>
            <w:tcBorders>
              <w:top w:val="nil"/>
              <w:left w:val="nil"/>
              <w:bottom w:val="single" w:sz="4" w:space="0" w:color="auto"/>
              <w:right w:val="single" w:sz="4" w:space="0" w:color="auto"/>
            </w:tcBorders>
            <w:shd w:val="clear" w:color="000000" w:fill="FFFFFF"/>
            <w:noWrap/>
            <w:vAlign w:val="bottom"/>
            <w:hideMark/>
          </w:tcPr>
          <w:p w14:paraId="6999CD1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6,16</w:t>
            </w:r>
          </w:p>
        </w:tc>
        <w:tc>
          <w:tcPr>
            <w:tcW w:w="991" w:type="dxa"/>
            <w:tcBorders>
              <w:top w:val="nil"/>
              <w:left w:val="nil"/>
              <w:bottom w:val="single" w:sz="4" w:space="0" w:color="auto"/>
              <w:right w:val="single" w:sz="4" w:space="0" w:color="auto"/>
            </w:tcBorders>
            <w:shd w:val="clear" w:color="000000" w:fill="FFFFFF"/>
            <w:noWrap/>
            <w:vAlign w:val="bottom"/>
            <w:hideMark/>
          </w:tcPr>
          <w:p w14:paraId="4C5D11E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6,32</w:t>
            </w:r>
          </w:p>
        </w:tc>
        <w:tc>
          <w:tcPr>
            <w:tcW w:w="991" w:type="dxa"/>
            <w:tcBorders>
              <w:top w:val="nil"/>
              <w:left w:val="nil"/>
              <w:bottom w:val="single" w:sz="4" w:space="0" w:color="auto"/>
              <w:right w:val="single" w:sz="4" w:space="0" w:color="auto"/>
            </w:tcBorders>
            <w:shd w:val="clear" w:color="000000" w:fill="FFFFFF"/>
            <w:noWrap/>
            <w:vAlign w:val="bottom"/>
            <w:hideMark/>
          </w:tcPr>
          <w:p w14:paraId="2984365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6,36</w:t>
            </w:r>
          </w:p>
        </w:tc>
        <w:tc>
          <w:tcPr>
            <w:tcW w:w="991" w:type="dxa"/>
            <w:tcBorders>
              <w:top w:val="nil"/>
              <w:left w:val="nil"/>
              <w:bottom w:val="single" w:sz="4" w:space="0" w:color="auto"/>
              <w:right w:val="single" w:sz="4" w:space="0" w:color="auto"/>
            </w:tcBorders>
            <w:shd w:val="clear" w:color="000000" w:fill="FFFFFF"/>
            <w:noWrap/>
            <w:vAlign w:val="bottom"/>
            <w:hideMark/>
          </w:tcPr>
          <w:p w14:paraId="502476C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6,33</w:t>
            </w:r>
          </w:p>
        </w:tc>
      </w:tr>
      <w:tr w:rsidR="00B56301" w:rsidRPr="00C2292B" w14:paraId="1B6B01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FC3883" w14:textId="15DD50F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6310D12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1735B88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02F45B8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7367E6A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7408F06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0,25</w:t>
            </w:r>
          </w:p>
        </w:tc>
        <w:tc>
          <w:tcPr>
            <w:tcW w:w="991" w:type="dxa"/>
            <w:tcBorders>
              <w:top w:val="nil"/>
              <w:left w:val="nil"/>
              <w:bottom w:val="single" w:sz="4" w:space="0" w:color="auto"/>
              <w:right w:val="single" w:sz="4" w:space="0" w:color="auto"/>
            </w:tcBorders>
            <w:shd w:val="clear" w:color="000000" w:fill="FFFFFF"/>
            <w:noWrap/>
            <w:vAlign w:val="bottom"/>
            <w:hideMark/>
          </w:tcPr>
          <w:p w14:paraId="15FCB9A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0,29</w:t>
            </w:r>
          </w:p>
        </w:tc>
      </w:tr>
      <w:tr w:rsidR="00B56301" w:rsidRPr="00C2292B" w14:paraId="675443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2E100A" w14:textId="6676D36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492A36C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738581A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63CCF24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1,91</w:t>
            </w:r>
          </w:p>
        </w:tc>
        <w:tc>
          <w:tcPr>
            <w:tcW w:w="991" w:type="dxa"/>
            <w:tcBorders>
              <w:top w:val="nil"/>
              <w:left w:val="nil"/>
              <w:bottom w:val="single" w:sz="4" w:space="0" w:color="auto"/>
              <w:right w:val="single" w:sz="4" w:space="0" w:color="auto"/>
            </w:tcBorders>
            <w:shd w:val="clear" w:color="000000" w:fill="FFFFFF"/>
            <w:noWrap/>
            <w:vAlign w:val="bottom"/>
            <w:hideMark/>
          </w:tcPr>
          <w:p w14:paraId="4877C0F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3531E95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1,79</w:t>
            </w:r>
          </w:p>
        </w:tc>
        <w:tc>
          <w:tcPr>
            <w:tcW w:w="991" w:type="dxa"/>
            <w:tcBorders>
              <w:top w:val="nil"/>
              <w:left w:val="nil"/>
              <w:bottom w:val="single" w:sz="4" w:space="0" w:color="auto"/>
              <w:right w:val="single" w:sz="4" w:space="0" w:color="auto"/>
            </w:tcBorders>
            <w:shd w:val="clear" w:color="000000" w:fill="FFFFFF"/>
            <w:noWrap/>
            <w:vAlign w:val="bottom"/>
            <w:hideMark/>
          </w:tcPr>
          <w:p w14:paraId="56D292B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1,97</w:t>
            </w:r>
          </w:p>
        </w:tc>
      </w:tr>
      <w:tr w:rsidR="00B56301" w:rsidRPr="00C2292B" w14:paraId="614455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ACE7CD" w14:textId="779872C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5245667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787F2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B3D80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73A05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DA357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42019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2C508E9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A21F6D" w14:textId="2E771E4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079C4B6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0567B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6995C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A3BE2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27CF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40DC4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33D69E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7B83DC" w14:textId="4373660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027E679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657D49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28326B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71B32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0F34D4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0E8F39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97,59</w:t>
            </w:r>
          </w:p>
        </w:tc>
      </w:tr>
      <w:tr w:rsidR="00B56301" w:rsidRPr="00C2292B" w14:paraId="34C614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B973DD8" w14:textId="3D1DB358"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042C6EB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572,73</w:t>
            </w:r>
          </w:p>
        </w:tc>
        <w:tc>
          <w:tcPr>
            <w:tcW w:w="991" w:type="dxa"/>
            <w:tcBorders>
              <w:top w:val="nil"/>
              <w:left w:val="nil"/>
              <w:bottom w:val="single" w:sz="4" w:space="0" w:color="auto"/>
              <w:right w:val="single" w:sz="4" w:space="0" w:color="auto"/>
            </w:tcBorders>
            <w:shd w:val="clear" w:color="000000" w:fill="CCFFFF"/>
            <w:noWrap/>
            <w:vAlign w:val="bottom"/>
            <w:hideMark/>
          </w:tcPr>
          <w:p w14:paraId="37A06E3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572,73</w:t>
            </w:r>
          </w:p>
        </w:tc>
        <w:tc>
          <w:tcPr>
            <w:tcW w:w="991" w:type="dxa"/>
            <w:tcBorders>
              <w:top w:val="nil"/>
              <w:left w:val="nil"/>
              <w:bottom w:val="single" w:sz="4" w:space="0" w:color="auto"/>
              <w:right w:val="single" w:sz="4" w:space="0" w:color="auto"/>
            </w:tcBorders>
            <w:shd w:val="clear" w:color="000000" w:fill="CCFFFF"/>
            <w:noWrap/>
            <w:vAlign w:val="bottom"/>
            <w:hideMark/>
          </w:tcPr>
          <w:p w14:paraId="20B1515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598,18</w:t>
            </w:r>
          </w:p>
        </w:tc>
        <w:tc>
          <w:tcPr>
            <w:tcW w:w="991" w:type="dxa"/>
            <w:tcBorders>
              <w:top w:val="nil"/>
              <w:left w:val="nil"/>
              <w:bottom w:val="single" w:sz="4" w:space="0" w:color="auto"/>
              <w:right w:val="single" w:sz="4" w:space="0" w:color="auto"/>
            </w:tcBorders>
            <w:shd w:val="clear" w:color="000000" w:fill="CCFFFF"/>
            <w:noWrap/>
            <w:vAlign w:val="bottom"/>
            <w:hideMark/>
          </w:tcPr>
          <w:p w14:paraId="4D89EE7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628,23</w:t>
            </w:r>
          </w:p>
        </w:tc>
        <w:tc>
          <w:tcPr>
            <w:tcW w:w="991" w:type="dxa"/>
            <w:tcBorders>
              <w:top w:val="nil"/>
              <w:left w:val="nil"/>
              <w:bottom w:val="single" w:sz="4" w:space="0" w:color="auto"/>
              <w:right w:val="single" w:sz="4" w:space="0" w:color="auto"/>
            </w:tcBorders>
            <w:shd w:val="clear" w:color="000000" w:fill="CCFFFF"/>
            <w:noWrap/>
            <w:vAlign w:val="bottom"/>
            <w:hideMark/>
          </w:tcPr>
          <w:p w14:paraId="3F8D203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659,76</w:t>
            </w:r>
          </w:p>
        </w:tc>
        <w:tc>
          <w:tcPr>
            <w:tcW w:w="991" w:type="dxa"/>
            <w:tcBorders>
              <w:top w:val="nil"/>
              <w:left w:val="nil"/>
              <w:bottom w:val="single" w:sz="4" w:space="0" w:color="auto"/>
              <w:right w:val="single" w:sz="4" w:space="0" w:color="auto"/>
            </w:tcBorders>
            <w:shd w:val="clear" w:color="000000" w:fill="CCFFFF"/>
            <w:noWrap/>
            <w:vAlign w:val="bottom"/>
            <w:hideMark/>
          </w:tcPr>
          <w:p w14:paraId="241AD76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672,90</w:t>
            </w:r>
          </w:p>
        </w:tc>
      </w:tr>
      <w:tr w:rsidR="00B56301" w:rsidRPr="00C2292B" w14:paraId="393C26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117320" w14:textId="3776158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E7A4CE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502,51</w:t>
            </w:r>
          </w:p>
        </w:tc>
        <w:tc>
          <w:tcPr>
            <w:tcW w:w="991" w:type="dxa"/>
            <w:tcBorders>
              <w:top w:val="nil"/>
              <w:left w:val="nil"/>
              <w:bottom w:val="single" w:sz="4" w:space="0" w:color="auto"/>
              <w:right w:val="single" w:sz="4" w:space="0" w:color="auto"/>
            </w:tcBorders>
            <w:shd w:val="clear" w:color="000000" w:fill="FFFFFF"/>
            <w:noWrap/>
            <w:vAlign w:val="bottom"/>
            <w:hideMark/>
          </w:tcPr>
          <w:p w14:paraId="64E5B95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502,51</w:t>
            </w:r>
          </w:p>
        </w:tc>
        <w:tc>
          <w:tcPr>
            <w:tcW w:w="991" w:type="dxa"/>
            <w:tcBorders>
              <w:top w:val="nil"/>
              <w:left w:val="nil"/>
              <w:bottom w:val="single" w:sz="4" w:space="0" w:color="auto"/>
              <w:right w:val="single" w:sz="4" w:space="0" w:color="auto"/>
            </w:tcBorders>
            <w:shd w:val="clear" w:color="000000" w:fill="FFFFFF"/>
            <w:noWrap/>
            <w:vAlign w:val="bottom"/>
            <w:hideMark/>
          </w:tcPr>
          <w:p w14:paraId="5C046D6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524,75</w:t>
            </w:r>
          </w:p>
        </w:tc>
        <w:tc>
          <w:tcPr>
            <w:tcW w:w="991" w:type="dxa"/>
            <w:tcBorders>
              <w:top w:val="nil"/>
              <w:left w:val="nil"/>
              <w:bottom w:val="single" w:sz="4" w:space="0" w:color="auto"/>
              <w:right w:val="single" w:sz="4" w:space="0" w:color="auto"/>
            </w:tcBorders>
            <w:shd w:val="clear" w:color="000000" w:fill="FFFFFF"/>
            <w:noWrap/>
            <w:vAlign w:val="bottom"/>
            <w:hideMark/>
          </w:tcPr>
          <w:p w14:paraId="30E64C6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551,54</w:t>
            </w:r>
          </w:p>
        </w:tc>
        <w:tc>
          <w:tcPr>
            <w:tcW w:w="991" w:type="dxa"/>
            <w:tcBorders>
              <w:top w:val="nil"/>
              <w:left w:val="nil"/>
              <w:bottom w:val="single" w:sz="4" w:space="0" w:color="auto"/>
              <w:right w:val="single" w:sz="4" w:space="0" w:color="auto"/>
            </w:tcBorders>
            <w:shd w:val="clear" w:color="000000" w:fill="FFFFFF"/>
            <w:noWrap/>
            <w:vAlign w:val="bottom"/>
            <w:hideMark/>
          </w:tcPr>
          <w:p w14:paraId="0E0EF86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579,81</w:t>
            </w:r>
          </w:p>
        </w:tc>
        <w:tc>
          <w:tcPr>
            <w:tcW w:w="991" w:type="dxa"/>
            <w:tcBorders>
              <w:top w:val="nil"/>
              <w:left w:val="nil"/>
              <w:bottom w:val="single" w:sz="4" w:space="0" w:color="auto"/>
              <w:right w:val="single" w:sz="4" w:space="0" w:color="auto"/>
            </w:tcBorders>
            <w:shd w:val="clear" w:color="000000" w:fill="FFFFFF"/>
            <w:noWrap/>
            <w:vAlign w:val="bottom"/>
            <w:hideMark/>
          </w:tcPr>
          <w:p w14:paraId="6F5C0BC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589,24</w:t>
            </w:r>
          </w:p>
        </w:tc>
      </w:tr>
      <w:tr w:rsidR="00B56301" w:rsidRPr="00C2292B" w14:paraId="1FFEBE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92AE86" w14:textId="4824BEB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3D3E1A6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9,81</w:t>
            </w:r>
          </w:p>
        </w:tc>
        <w:tc>
          <w:tcPr>
            <w:tcW w:w="991" w:type="dxa"/>
            <w:tcBorders>
              <w:top w:val="nil"/>
              <w:left w:val="nil"/>
              <w:bottom w:val="single" w:sz="4" w:space="0" w:color="auto"/>
              <w:right w:val="single" w:sz="4" w:space="0" w:color="auto"/>
            </w:tcBorders>
            <w:shd w:val="clear" w:color="000000" w:fill="FFFFFF"/>
            <w:noWrap/>
            <w:vAlign w:val="bottom"/>
            <w:hideMark/>
          </w:tcPr>
          <w:p w14:paraId="1287C57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9,81</w:t>
            </w:r>
          </w:p>
        </w:tc>
        <w:tc>
          <w:tcPr>
            <w:tcW w:w="991" w:type="dxa"/>
            <w:tcBorders>
              <w:top w:val="nil"/>
              <w:left w:val="nil"/>
              <w:bottom w:val="single" w:sz="4" w:space="0" w:color="auto"/>
              <w:right w:val="single" w:sz="4" w:space="0" w:color="auto"/>
            </w:tcBorders>
            <w:shd w:val="clear" w:color="000000" w:fill="FFFFFF"/>
            <w:noWrap/>
            <w:vAlign w:val="bottom"/>
            <w:hideMark/>
          </w:tcPr>
          <w:p w14:paraId="7DAE930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9,99</w:t>
            </w:r>
          </w:p>
        </w:tc>
        <w:tc>
          <w:tcPr>
            <w:tcW w:w="991" w:type="dxa"/>
            <w:tcBorders>
              <w:top w:val="nil"/>
              <w:left w:val="nil"/>
              <w:bottom w:val="single" w:sz="4" w:space="0" w:color="auto"/>
              <w:right w:val="single" w:sz="4" w:space="0" w:color="auto"/>
            </w:tcBorders>
            <w:shd w:val="clear" w:color="000000" w:fill="FFFFFF"/>
            <w:noWrap/>
            <w:vAlign w:val="bottom"/>
            <w:hideMark/>
          </w:tcPr>
          <w:p w14:paraId="2D4C8ED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10,18</w:t>
            </w:r>
          </w:p>
        </w:tc>
        <w:tc>
          <w:tcPr>
            <w:tcW w:w="991" w:type="dxa"/>
            <w:tcBorders>
              <w:top w:val="nil"/>
              <w:left w:val="nil"/>
              <w:bottom w:val="single" w:sz="4" w:space="0" w:color="auto"/>
              <w:right w:val="single" w:sz="4" w:space="0" w:color="auto"/>
            </w:tcBorders>
            <w:shd w:val="clear" w:color="000000" w:fill="FFFFFF"/>
            <w:noWrap/>
            <w:vAlign w:val="bottom"/>
            <w:hideMark/>
          </w:tcPr>
          <w:p w14:paraId="6D100F8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10,37</w:t>
            </w:r>
          </w:p>
        </w:tc>
        <w:tc>
          <w:tcPr>
            <w:tcW w:w="991" w:type="dxa"/>
            <w:tcBorders>
              <w:top w:val="nil"/>
              <w:left w:val="nil"/>
              <w:bottom w:val="single" w:sz="4" w:space="0" w:color="auto"/>
              <w:right w:val="single" w:sz="4" w:space="0" w:color="auto"/>
            </w:tcBorders>
            <w:shd w:val="clear" w:color="000000" w:fill="FFFFFF"/>
            <w:noWrap/>
            <w:vAlign w:val="bottom"/>
            <w:hideMark/>
          </w:tcPr>
          <w:p w14:paraId="1C3107A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11,03</w:t>
            </w:r>
          </w:p>
        </w:tc>
      </w:tr>
      <w:tr w:rsidR="00B56301" w:rsidRPr="00C2292B" w14:paraId="2AE604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D656E7" w14:textId="44B5A183"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C.</w:t>
            </w:r>
            <w:r w:rsidR="00260E0B">
              <w:rPr>
                <w:rFonts w:asciiTheme="minorHAnsi" w:hAnsiTheme="minorHAnsi"/>
                <w:sz w:val="16"/>
                <w:szCs w:val="14"/>
                <w:lang w:val="en-GB"/>
              </w:rPr>
              <w:t xml:space="preserve"> </w:t>
            </w:r>
            <w:r w:rsidRPr="002010BD">
              <w:rPr>
                <w:rFonts w:asciiTheme="minorHAnsi" w:hAnsiTheme="minorHAnsi"/>
                <w:sz w:val="16"/>
                <w:szCs w:val="14"/>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BD09CB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6D19905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08C354B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0,80</w:t>
            </w:r>
          </w:p>
        </w:tc>
        <w:tc>
          <w:tcPr>
            <w:tcW w:w="991" w:type="dxa"/>
            <w:tcBorders>
              <w:top w:val="nil"/>
              <w:left w:val="nil"/>
              <w:bottom w:val="single" w:sz="4" w:space="0" w:color="auto"/>
              <w:right w:val="single" w:sz="4" w:space="0" w:color="auto"/>
            </w:tcBorders>
            <w:shd w:val="clear" w:color="000000" w:fill="FFFFFF"/>
            <w:noWrap/>
            <w:vAlign w:val="bottom"/>
            <w:hideMark/>
          </w:tcPr>
          <w:p w14:paraId="4895B4B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0,81</w:t>
            </w:r>
          </w:p>
        </w:tc>
        <w:tc>
          <w:tcPr>
            <w:tcW w:w="991" w:type="dxa"/>
            <w:tcBorders>
              <w:top w:val="nil"/>
              <w:left w:val="nil"/>
              <w:bottom w:val="single" w:sz="4" w:space="0" w:color="auto"/>
              <w:right w:val="single" w:sz="4" w:space="0" w:color="auto"/>
            </w:tcBorders>
            <w:shd w:val="clear" w:color="000000" w:fill="FFFFFF"/>
            <w:noWrap/>
            <w:vAlign w:val="bottom"/>
            <w:hideMark/>
          </w:tcPr>
          <w:p w14:paraId="3243A2B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0,82</w:t>
            </w:r>
          </w:p>
        </w:tc>
        <w:tc>
          <w:tcPr>
            <w:tcW w:w="991" w:type="dxa"/>
            <w:tcBorders>
              <w:top w:val="nil"/>
              <w:left w:val="nil"/>
              <w:bottom w:val="single" w:sz="4" w:space="0" w:color="auto"/>
              <w:right w:val="single" w:sz="4" w:space="0" w:color="auto"/>
            </w:tcBorders>
            <w:shd w:val="clear" w:color="000000" w:fill="FFFFFF"/>
            <w:noWrap/>
            <w:vAlign w:val="bottom"/>
            <w:hideMark/>
          </w:tcPr>
          <w:p w14:paraId="67C5D0B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0,83</w:t>
            </w:r>
          </w:p>
        </w:tc>
      </w:tr>
      <w:tr w:rsidR="00B56301" w:rsidRPr="00C2292B" w14:paraId="282DB36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532F5F" w14:textId="0702046C"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34D35D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59,63</w:t>
            </w:r>
          </w:p>
        </w:tc>
        <w:tc>
          <w:tcPr>
            <w:tcW w:w="991" w:type="dxa"/>
            <w:tcBorders>
              <w:top w:val="nil"/>
              <w:left w:val="nil"/>
              <w:bottom w:val="single" w:sz="4" w:space="0" w:color="auto"/>
              <w:right w:val="single" w:sz="4" w:space="0" w:color="auto"/>
            </w:tcBorders>
            <w:shd w:val="clear" w:color="000000" w:fill="FFFFFF"/>
            <w:noWrap/>
            <w:vAlign w:val="bottom"/>
            <w:hideMark/>
          </w:tcPr>
          <w:p w14:paraId="74183DC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59,63</w:t>
            </w:r>
          </w:p>
        </w:tc>
        <w:tc>
          <w:tcPr>
            <w:tcW w:w="991" w:type="dxa"/>
            <w:tcBorders>
              <w:top w:val="nil"/>
              <w:left w:val="nil"/>
              <w:bottom w:val="single" w:sz="4" w:space="0" w:color="auto"/>
              <w:right w:val="single" w:sz="4" w:space="0" w:color="auto"/>
            </w:tcBorders>
            <w:shd w:val="clear" w:color="000000" w:fill="FFFFFF"/>
            <w:noWrap/>
            <w:vAlign w:val="bottom"/>
            <w:hideMark/>
          </w:tcPr>
          <w:p w14:paraId="61068A5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62,64</w:t>
            </w:r>
          </w:p>
        </w:tc>
        <w:tc>
          <w:tcPr>
            <w:tcW w:w="991" w:type="dxa"/>
            <w:tcBorders>
              <w:top w:val="nil"/>
              <w:left w:val="nil"/>
              <w:bottom w:val="single" w:sz="4" w:space="0" w:color="auto"/>
              <w:right w:val="single" w:sz="4" w:space="0" w:color="auto"/>
            </w:tcBorders>
            <w:shd w:val="clear" w:color="000000" w:fill="FFFFFF"/>
            <w:noWrap/>
            <w:vAlign w:val="bottom"/>
            <w:hideMark/>
          </w:tcPr>
          <w:p w14:paraId="52F68C2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65,70</w:t>
            </w:r>
          </w:p>
        </w:tc>
        <w:tc>
          <w:tcPr>
            <w:tcW w:w="991" w:type="dxa"/>
            <w:tcBorders>
              <w:top w:val="nil"/>
              <w:left w:val="nil"/>
              <w:bottom w:val="single" w:sz="4" w:space="0" w:color="auto"/>
              <w:right w:val="single" w:sz="4" w:space="0" w:color="auto"/>
            </w:tcBorders>
            <w:shd w:val="clear" w:color="000000" w:fill="FFFFFF"/>
            <w:noWrap/>
            <w:vAlign w:val="bottom"/>
            <w:hideMark/>
          </w:tcPr>
          <w:p w14:paraId="576C0F8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68,76</w:t>
            </w:r>
          </w:p>
        </w:tc>
        <w:tc>
          <w:tcPr>
            <w:tcW w:w="991" w:type="dxa"/>
            <w:tcBorders>
              <w:top w:val="nil"/>
              <w:left w:val="nil"/>
              <w:bottom w:val="single" w:sz="4" w:space="0" w:color="auto"/>
              <w:right w:val="single" w:sz="4" w:space="0" w:color="auto"/>
            </w:tcBorders>
            <w:shd w:val="clear" w:color="000000" w:fill="FFFFFF"/>
            <w:noWrap/>
            <w:vAlign w:val="bottom"/>
            <w:hideMark/>
          </w:tcPr>
          <w:p w14:paraId="679DB4C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71,80</w:t>
            </w:r>
          </w:p>
        </w:tc>
      </w:tr>
      <w:tr w:rsidR="00B56301" w:rsidRPr="00C2292B" w14:paraId="572C4A8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484038" w14:textId="737050F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Other</w:t>
            </w:r>
            <w:r w:rsidRPr="002010BD">
              <w:rPr>
                <w:rFonts w:asciiTheme="minorHAnsi" w:hAnsiTheme="minorHAnsi"/>
                <w:b/>
                <w:bCs/>
                <w:i/>
                <w:i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AD4A15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3DC61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EE5519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77397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EE5360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A562DE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6FE32B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3381FE" w14:textId="36DDFFBF"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6.</w:t>
            </w:r>
            <w:r w:rsidR="00260E0B">
              <w:rPr>
                <w:rFonts w:asciiTheme="minorHAnsi" w:hAnsiTheme="minorHAnsi"/>
                <w:b/>
                <w:bCs/>
                <w:sz w:val="16"/>
                <w:szCs w:val="14"/>
                <w:lang w:val="en-GB"/>
              </w:rPr>
              <w:t xml:space="preserve"> </w:t>
            </w:r>
            <w:r w:rsidRPr="002010BD">
              <w:rPr>
                <w:rFonts w:asciiTheme="minorHAnsi" w:hAnsiTheme="minorHAnsi"/>
                <w:b/>
                <w:bCs/>
                <w:sz w:val="16"/>
                <w:szCs w:val="14"/>
                <w:lang w:val="en-GB"/>
              </w:rPr>
              <w:t xml:space="preserve">Other </w:t>
            </w:r>
            <w:r w:rsidRPr="002010BD">
              <w:rPr>
                <w:rFonts w:asciiTheme="minorHAnsi" w:hAnsiTheme="minorHAnsi"/>
                <w:b/>
                <w:bCs/>
                <w:i/>
                <w:iCs/>
                <w:sz w:val="16"/>
                <w:szCs w:val="14"/>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280ED78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C6EF8E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84EE1B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535639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C39C63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F74D38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NO</w:t>
            </w:r>
          </w:p>
        </w:tc>
      </w:tr>
      <w:tr w:rsidR="00B56301" w:rsidRPr="00C2292B" w14:paraId="5003A2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90E37DF" w14:textId="1E4813E8"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 xml:space="preserve">Total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 xml:space="preserve">emissions without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31826B9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2766,44</w:t>
            </w:r>
          </w:p>
        </w:tc>
        <w:tc>
          <w:tcPr>
            <w:tcW w:w="991" w:type="dxa"/>
            <w:tcBorders>
              <w:top w:val="nil"/>
              <w:left w:val="nil"/>
              <w:bottom w:val="single" w:sz="4" w:space="0" w:color="auto"/>
              <w:right w:val="single" w:sz="4" w:space="0" w:color="auto"/>
            </w:tcBorders>
            <w:shd w:val="clear" w:color="000000" w:fill="CCFFFF"/>
            <w:noWrap/>
            <w:vAlign w:val="bottom"/>
            <w:hideMark/>
          </w:tcPr>
          <w:p w14:paraId="7367146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2766,44</w:t>
            </w:r>
          </w:p>
        </w:tc>
        <w:tc>
          <w:tcPr>
            <w:tcW w:w="991" w:type="dxa"/>
            <w:tcBorders>
              <w:top w:val="nil"/>
              <w:left w:val="nil"/>
              <w:bottom w:val="single" w:sz="4" w:space="0" w:color="auto"/>
              <w:right w:val="single" w:sz="4" w:space="0" w:color="auto"/>
            </w:tcBorders>
            <w:shd w:val="clear" w:color="000000" w:fill="CCFFFF"/>
            <w:noWrap/>
            <w:vAlign w:val="bottom"/>
            <w:hideMark/>
          </w:tcPr>
          <w:p w14:paraId="5487110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2785,41</w:t>
            </w:r>
          </w:p>
        </w:tc>
        <w:tc>
          <w:tcPr>
            <w:tcW w:w="991" w:type="dxa"/>
            <w:tcBorders>
              <w:top w:val="nil"/>
              <w:left w:val="nil"/>
              <w:bottom w:val="single" w:sz="4" w:space="0" w:color="auto"/>
              <w:right w:val="single" w:sz="4" w:space="0" w:color="auto"/>
            </w:tcBorders>
            <w:shd w:val="clear" w:color="000000" w:fill="CCFFFF"/>
            <w:noWrap/>
            <w:vAlign w:val="bottom"/>
            <w:hideMark/>
          </w:tcPr>
          <w:p w14:paraId="5CA62B5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2789,00</w:t>
            </w:r>
          </w:p>
        </w:tc>
        <w:tc>
          <w:tcPr>
            <w:tcW w:w="991" w:type="dxa"/>
            <w:tcBorders>
              <w:top w:val="nil"/>
              <w:left w:val="nil"/>
              <w:bottom w:val="single" w:sz="4" w:space="0" w:color="auto"/>
              <w:right w:val="single" w:sz="4" w:space="0" w:color="auto"/>
            </w:tcBorders>
            <w:shd w:val="clear" w:color="000000" w:fill="CCFFFF"/>
            <w:noWrap/>
            <w:vAlign w:val="bottom"/>
            <w:hideMark/>
          </w:tcPr>
          <w:p w14:paraId="6DD8851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2805,28</w:t>
            </w:r>
          </w:p>
        </w:tc>
        <w:tc>
          <w:tcPr>
            <w:tcW w:w="991" w:type="dxa"/>
            <w:tcBorders>
              <w:top w:val="nil"/>
              <w:left w:val="nil"/>
              <w:bottom w:val="single" w:sz="4" w:space="0" w:color="auto"/>
              <w:right w:val="single" w:sz="4" w:space="0" w:color="auto"/>
            </w:tcBorders>
            <w:shd w:val="clear" w:color="000000" w:fill="CCFFFF"/>
            <w:noWrap/>
            <w:vAlign w:val="bottom"/>
            <w:hideMark/>
          </w:tcPr>
          <w:p w14:paraId="2677765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2800,33</w:t>
            </w:r>
          </w:p>
        </w:tc>
      </w:tr>
      <w:tr w:rsidR="00B56301" w:rsidRPr="00C2292B" w14:paraId="3FD414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66F7A25" w14:textId="09B9E7DD"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 xml:space="preserve">Total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 xml:space="preserve">emissions with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6DADB31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2803,74</w:t>
            </w:r>
          </w:p>
        </w:tc>
        <w:tc>
          <w:tcPr>
            <w:tcW w:w="991" w:type="dxa"/>
            <w:tcBorders>
              <w:top w:val="nil"/>
              <w:left w:val="nil"/>
              <w:bottom w:val="single" w:sz="4" w:space="0" w:color="auto"/>
              <w:right w:val="single" w:sz="4" w:space="0" w:color="auto"/>
            </w:tcBorders>
            <w:shd w:val="clear" w:color="000000" w:fill="CCFFFF"/>
            <w:noWrap/>
            <w:vAlign w:val="bottom"/>
            <w:hideMark/>
          </w:tcPr>
          <w:p w14:paraId="3BBC1E1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2803,74</w:t>
            </w:r>
          </w:p>
        </w:tc>
        <w:tc>
          <w:tcPr>
            <w:tcW w:w="991" w:type="dxa"/>
            <w:tcBorders>
              <w:top w:val="nil"/>
              <w:left w:val="nil"/>
              <w:bottom w:val="single" w:sz="4" w:space="0" w:color="auto"/>
              <w:right w:val="single" w:sz="4" w:space="0" w:color="auto"/>
            </w:tcBorders>
            <w:shd w:val="clear" w:color="000000" w:fill="CCFFFF"/>
            <w:noWrap/>
            <w:vAlign w:val="bottom"/>
            <w:hideMark/>
          </w:tcPr>
          <w:p w14:paraId="3ADA72A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2825,08</w:t>
            </w:r>
          </w:p>
        </w:tc>
        <w:tc>
          <w:tcPr>
            <w:tcW w:w="991" w:type="dxa"/>
            <w:tcBorders>
              <w:top w:val="nil"/>
              <w:left w:val="nil"/>
              <w:bottom w:val="single" w:sz="4" w:space="0" w:color="auto"/>
              <w:right w:val="single" w:sz="4" w:space="0" w:color="auto"/>
            </w:tcBorders>
            <w:shd w:val="clear" w:color="000000" w:fill="CCFFFF"/>
            <w:noWrap/>
            <w:vAlign w:val="bottom"/>
            <w:hideMark/>
          </w:tcPr>
          <w:p w14:paraId="696E446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2830,01</w:t>
            </w:r>
          </w:p>
        </w:tc>
        <w:tc>
          <w:tcPr>
            <w:tcW w:w="991" w:type="dxa"/>
            <w:tcBorders>
              <w:top w:val="nil"/>
              <w:left w:val="nil"/>
              <w:bottom w:val="single" w:sz="4" w:space="0" w:color="auto"/>
              <w:right w:val="single" w:sz="4" w:space="0" w:color="auto"/>
            </w:tcBorders>
            <w:shd w:val="clear" w:color="000000" w:fill="CCFFFF"/>
            <w:noWrap/>
            <w:vAlign w:val="bottom"/>
            <w:hideMark/>
          </w:tcPr>
          <w:p w14:paraId="46429F9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2845,60</w:t>
            </w:r>
          </w:p>
        </w:tc>
        <w:tc>
          <w:tcPr>
            <w:tcW w:w="991" w:type="dxa"/>
            <w:tcBorders>
              <w:top w:val="nil"/>
              <w:left w:val="nil"/>
              <w:bottom w:val="single" w:sz="4" w:space="0" w:color="auto"/>
              <w:right w:val="single" w:sz="4" w:space="0" w:color="auto"/>
            </w:tcBorders>
            <w:shd w:val="clear" w:color="000000" w:fill="CCFFFF"/>
            <w:noWrap/>
            <w:vAlign w:val="bottom"/>
            <w:hideMark/>
          </w:tcPr>
          <w:p w14:paraId="04F1804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2938,19</w:t>
            </w:r>
          </w:p>
        </w:tc>
      </w:tr>
      <w:tr w:rsidR="00B56301" w:rsidRPr="00C2292B" w14:paraId="6C4C472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1E206E"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0CCF045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E6320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1B229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0BF80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368B8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932DA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3B2901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35074"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8425A8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0,94</w:t>
            </w:r>
          </w:p>
        </w:tc>
        <w:tc>
          <w:tcPr>
            <w:tcW w:w="991" w:type="dxa"/>
            <w:tcBorders>
              <w:top w:val="nil"/>
              <w:left w:val="nil"/>
              <w:bottom w:val="single" w:sz="4" w:space="0" w:color="auto"/>
              <w:right w:val="single" w:sz="4" w:space="0" w:color="auto"/>
            </w:tcBorders>
            <w:shd w:val="clear" w:color="000000" w:fill="CCFFFF"/>
            <w:noWrap/>
            <w:vAlign w:val="bottom"/>
            <w:hideMark/>
          </w:tcPr>
          <w:p w14:paraId="149754C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0,94</w:t>
            </w:r>
          </w:p>
        </w:tc>
        <w:tc>
          <w:tcPr>
            <w:tcW w:w="991" w:type="dxa"/>
            <w:tcBorders>
              <w:top w:val="nil"/>
              <w:left w:val="nil"/>
              <w:bottom w:val="single" w:sz="4" w:space="0" w:color="auto"/>
              <w:right w:val="single" w:sz="4" w:space="0" w:color="auto"/>
            </w:tcBorders>
            <w:shd w:val="clear" w:color="000000" w:fill="CCFFFF"/>
            <w:noWrap/>
            <w:vAlign w:val="bottom"/>
            <w:hideMark/>
          </w:tcPr>
          <w:p w14:paraId="0C9BC2B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0,93</w:t>
            </w:r>
          </w:p>
        </w:tc>
        <w:tc>
          <w:tcPr>
            <w:tcW w:w="991" w:type="dxa"/>
            <w:tcBorders>
              <w:top w:val="nil"/>
              <w:left w:val="nil"/>
              <w:bottom w:val="single" w:sz="4" w:space="0" w:color="auto"/>
              <w:right w:val="single" w:sz="4" w:space="0" w:color="auto"/>
            </w:tcBorders>
            <w:shd w:val="clear" w:color="000000" w:fill="CCFFFF"/>
            <w:noWrap/>
            <w:vAlign w:val="bottom"/>
            <w:hideMark/>
          </w:tcPr>
          <w:p w14:paraId="4E8A96D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0,90</w:t>
            </w:r>
          </w:p>
        </w:tc>
        <w:tc>
          <w:tcPr>
            <w:tcW w:w="991" w:type="dxa"/>
            <w:tcBorders>
              <w:top w:val="nil"/>
              <w:left w:val="nil"/>
              <w:bottom w:val="single" w:sz="4" w:space="0" w:color="auto"/>
              <w:right w:val="single" w:sz="4" w:space="0" w:color="auto"/>
            </w:tcBorders>
            <w:shd w:val="clear" w:color="000000" w:fill="CCFFFF"/>
            <w:noWrap/>
            <w:vAlign w:val="bottom"/>
            <w:hideMark/>
          </w:tcPr>
          <w:p w14:paraId="35C9893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0,85</w:t>
            </w:r>
          </w:p>
        </w:tc>
        <w:tc>
          <w:tcPr>
            <w:tcW w:w="991" w:type="dxa"/>
            <w:tcBorders>
              <w:top w:val="nil"/>
              <w:left w:val="nil"/>
              <w:bottom w:val="single" w:sz="4" w:space="0" w:color="auto"/>
              <w:right w:val="single" w:sz="4" w:space="0" w:color="auto"/>
            </w:tcBorders>
            <w:shd w:val="clear" w:color="000000" w:fill="CCFFFF"/>
            <w:noWrap/>
            <w:vAlign w:val="bottom"/>
            <w:hideMark/>
          </w:tcPr>
          <w:p w14:paraId="0FA1543A"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0,76</w:t>
            </w:r>
          </w:p>
        </w:tc>
      </w:tr>
      <w:tr w:rsidR="00B56301" w:rsidRPr="00C2292B" w14:paraId="1E3BDBC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33E914" w14:textId="77777777" w:rsidR="00B56301" w:rsidRPr="002010BD" w:rsidRDefault="00B56301" w:rsidP="00B37B65">
            <w:pPr>
              <w:jc w:val="left"/>
              <w:rPr>
                <w:rFonts w:asciiTheme="minorHAnsi" w:hAnsiTheme="minorHAnsi"/>
                <w:sz w:val="16"/>
                <w:szCs w:val="14"/>
              </w:rPr>
            </w:pPr>
            <w:r w:rsidRPr="002010BD">
              <w:rPr>
                <w:rFonts w:asciiTheme="minorHAnsi" w:hAnsiTheme="minorHAnsi"/>
                <w:sz w:val="16"/>
                <w:szCs w:val="14"/>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75817A0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03346A7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0CE528F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4E61DF2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1BBBC8D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0E13875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0,09</w:t>
            </w:r>
          </w:p>
        </w:tc>
      </w:tr>
      <w:tr w:rsidR="00B56301" w:rsidRPr="00C2292B" w14:paraId="043266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6B9D49" w14:textId="77777777" w:rsidR="00B56301" w:rsidRPr="002010BD" w:rsidRDefault="00B56301" w:rsidP="00B37B65">
            <w:pPr>
              <w:jc w:val="left"/>
              <w:rPr>
                <w:rFonts w:asciiTheme="minorHAnsi" w:hAnsiTheme="minorHAnsi"/>
                <w:sz w:val="16"/>
                <w:szCs w:val="14"/>
              </w:rPr>
            </w:pPr>
            <w:r w:rsidRPr="002010BD">
              <w:rPr>
                <w:rFonts w:asciiTheme="minorHAnsi" w:hAnsiTheme="minorHAnsi"/>
                <w:sz w:val="16"/>
                <w:szCs w:val="14"/>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07DEF9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6A5DF15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31005CE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75F858D6"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0,77</w:t>
            </w:r>
          </w:p>
        </w:tc>
        <w:tc>
          <w:tcPr>
            <w:tcW w:w="991" w:type="dxa"/>
            <w:tcBorders>
              <w:top w:val="nil"/>
              <w:left w:val="nil"/>
              <w:bottom w:val="single" w:sz="4" w:space="0" w:color="auto"/>
              <w:right w:val="single" w:sz="4" w:space="0" w:color="auto"/>
            </w:tcBorders>
            <w:shd w:val="clear" w:color="000000" w:fill="FFFFFF"/>
            <w:noWrap/>
            <w:vAlign w:val="bottom"/>
            <w:hideMark/>
          </w:tcPr>
          <w:p w14:paraId="53750AE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0,74</w:t>
            </w:r>
          </w:p>
        </w:tc>
        <w:tc>
          <w:tcPr>
            <w:tcW w:w="991" w:type="dxa"/>
            <w:tcBorders>
              <w:top w:val="nil"/>
              <w:left w:val="nil"/>
              <w:bottom w:val="single" w:sz="4" w:space="0" w:color="auto"/>
              <w:right w:val="single" w:sz="4" w:space="0" w:color="auto"/>
            </w:tcBorders>
            <w:shd w:val="clear" w:color="000000" w:fill="FFFFFF"/>
            <w:noWrap/>
            <w:vAlign w:val="bottom"/>
            <w:hideMark/>
          </w:tcPr>
          <w:p w14:paraId="4C30B8E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0,66</w:t>
            </w:r>
          </w:p>
        </w:tc>
      </w:tr>
      <w:tr w:rsidR="00B56301" w:rsidRPr="00C2292B" w14:paraId="19F93A9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918FF7"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174CBB11"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5B147D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D1D62E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B67746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AE9A0BC"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FC815C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NE</w:t>
            </w:r>
          </w:p>
        </w:tc>
      </w:tr>
      <w:tr w:rsidR="00B56301" w:rsidRPr="00C2292B" w14:paraId="49129C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492932" w14:textId="6FF5A1DF" w:rsidR="00B56301" w:rsidRPr="002010BD" w:rsidRDefault="007F09F7" w:rsidP="00B37B65">
            <w:pPr>
              <w:jc w:val="left"/>
              <w:rPr>
                <w:rFonts w:asciiTheme="minorHAnsi" w:hAnsiTheme="minorHAnsi"/>
                <w:b/>
                <w:bCs/>
                <w:sz w:val="16"/>
                <w:szCs w:val="14"/>
              </w:rPr>
            </w:pPr>
            <w:r>
              <w:t>CO</w:t>
            </w:r>
            <w:r w:rsidRPr="007F09F7">
              <w:rPr>
                <w:vertAlign w:val="subscript"/>
              </w:rPr>
              <w:t>2</w:t>
            </w:r>
            <w:r w:rsidR="00B56301" w:rsidRPr="002010BD">
              <w:rPr>
                <w:rFonts w:asciiTheme="minorHAnsi" w:hAnsiTheme="minorHAnsi"/>
                <w:b/>
                <w:bCs/>
                <w:sz w:val="16"/>
                <w:szCs w:val="14"/>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6BE061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C1FD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5DFDCE"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DE8FF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46DA0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27988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4495417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FC5CDA" w14:textId="3A2DFE87" w:rsidR="00B56301" w:rsidRPr="002010BD" w:rsidRDefault="007F09F7" w:rsidP="00B37B65">
            <w:pPr>
              <w:jc w:val="left"/>
              <w:rPr>
                <w:rFonts w:asciiTheme="minorHAnsi" w:hAnsiTheme="minorHAnsi"/>
                <w:b/>
                <w:bCs/>
                <w:sz w:val="16"/>
                <w:szCs w:val="14"/>
              </w:rPr>
            </w:pPr>
            <w:r>
              <w:t>CO</w:t>
            </w:r>
            <w:r w:rsidRPr="007F09F7">
              <w:rPr>
                <w:vertAlign w:val="subscript"/>
              </w:rPr>
              <w:t>2</w:t>
            </w:r>
            <w:r w:rsidR="00B56301" w:rsidRPr="002010BD">
              <w:rPr>
                <w:rFonts w:asciiTheme="minorHAnsi" w:hAnsiTheme="minorHAnsi"/>
                <w:b/>
                <w:bCs/>
                <w:sz w:val="16"/>
                <w:szCs w:val="14"/>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1183003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AD3DB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2469B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F991F0"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07DF3"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CCC458"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833C38" w14:paraId="2212B1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FDD989"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18F2C0C"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98295"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3346C6"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22F000E"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2091B"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C4197C" w14:textId="77777777" w:rsidR="00B56301" w:rsidRPr="002010BD" w:rsidRDefault="00B56301" w:rsidP="00B37B65">
            <w:pPr>
              <w:jc w:val="right"/>
              <w:rPr>
                <w:rFonts w:asciiTheme="minorHAnsi" w:hAnsiTheme="minorHAnsi"/>
                <w:sz w:val="16"/>
                <w:szCs w:val="14"/>
                <w:lang w:val="en-GB"/>
              </w:rPr>
            </w:pPr>
            <w:r w:rsidRPr="002010BD">
              <w:rPr>
                <w:rFonts w:asciiTheme="minorHAnsi" w:hAnsiTheme="minorHAnsi"/>
                <w:sz w:val="16"/>
                <w:szCs w:val="14"/>
                <w:lang w:val="en-GB"/>
              </w:rPr>
              <w:t> </w:t>
            </w:r>
          </w:p>
        </w:tc>
      </w:tr>
      <w:tr w:rsidR="00B56301" w:rsidRPr="00C2292B" w14:paraId="2A4D7B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33DE53" w14:textId="1BEA1AB9"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rsidRPr="00141043">
              <w:t>N</w:t>
            </w:r>
            <w:r w:rsidR="007F09F7" w:rsidRPr="004F1EC8">
              <w:rPr>
                <w:vertAlign w:val="subscript"/>
              </w:rPr>
              <w:t>2</w:t>
            </w:r>
            <w:r w:rsidR="007F09F7" w:rsidRPr="00141043">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5AE4E247"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C9AC9D"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EFCF4F"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10674"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917A8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16D74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r w:rsidR="00B56301" w:rsidRPr="00C2292B" w14:paraId="3328B9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92A276" w14:textId="005529BD"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96F7DE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3DFCA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611940B"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691E85"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C4BAD2"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3FD059" w14:textId="77777777" w:rsidR="00B56301" w:rsidRPr="002010BD" w:rsidRDefault="00B56301" w:rsidP="00B37B65">
            <w:pPr>
              <w:jc w:val="right"/>
              <w:rPr>
                <w:rFonts w:asciiTheme="minorHAnsi" w:hAnsiTheme="minorHAnsi"/>
                <w:sz w:val="16"/>
                <w:szCs w:val="14"/>
              </w:rPr>
            </w:pPr>
            <w:r w:rsidRPr="002010BD">
              <w:rPr>
                <w:rFonts w:asciiTheme="minorHAnsi" w:hAnsiTheme="minorHAnsi"/>
                <w:sz w:val="16"/>
                <w:szCs w:val="14"/>
              </w:rPr>
              <w:t> </w:t>
            </w:r>
          </w:p>
        </w:tc>
      </w:tr>
    </w:tbl>
    <w:p w14:paraId="3C6CD4A6" w14:textId="77777777" w:rsidR="00B56301" w:rsidRDefault="00B56301" w:rsidP="00B56301">
      <w:pPr>
        <w:rPr>
          <w:rFonts w:cs="Arial"/>
          <w:sz w:val="24"/>
        </w:rPr>
      </w:pPr>
    </w:p>
    <w:p w14:paraId="3626C2B7" w14:textId="77777777" w:rsidR="00B56301" w:rsidRDefault="00B56301" w:rsidP="00B56301">
      <w:pPr>
        <w:spacing w:line="240" w:lineRule="atLeast"/>
        <w:jc w:val="left"/>
        <w:rPr>
          <w:rFonts w:cs="Arial"/>
          <w:sz w:val="24"/>
        </w:rPr>
      </w:pPr>
      <w:r>
        <w:rPr>
          <w:rFonts w:cs="Arial"/>
          <w:sz w:val="24"/>
        </w:rPr>
        <w:br w:type="page"/>
      </w: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C2292B" w14:paraId="10D7535D"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808BB3A"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2036441"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1995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729F6B1"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1996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4FE9BF6A"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1997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5611A8D"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1998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9447349"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1999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20765C1" w14:textId="77777777" w:rsidR="00B56301" w:rsidRPr="002010BD" w:rsidRDefault="00B56301" w:rsidP="00B37B65">
            <w:pPr>
              <w:jc w:val="center"/>
              <w:rPr>
                <w:rFonts w:asciiTheme="minorHAnsi" w:hAnsiTheme="minorHAnsi"/>
                <w:b/>
                <w:bCs/>
                <w:sz w:val="16"/>
                <w:szCs w:val="14"/>
              </w:rPr>
            </w:pPr>
            <w:r w:rsidRPr="00C2292B">
              <w:rPr>
                <w:rFonts w:asciiTheme="minorHAnsi" w:hAnsiTheme="minorHAnsi"/>
                <w:b/>
                <w:bCs/>
                <w:sz w:val="16"/>
                <w:szCs w:val="18"/>
              </w:rPr>
              <w:t>2000</w:t>
            </w:r>
          </w:p>
        </w:tc>
      </w:tr>
      <w:tr w:rsidR="00B56301" w:rsidRPr="00C2292B" w14:paraId="72A67B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A5DDBE"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9389C6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476,70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BD45E0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436,69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D28FBA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384,79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84A205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376,73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EC75CC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355,48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13F40D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302,70</w:t>
            </w:r>
          </w:p>
        </w:tc>
      </w:tr>
      <w:tr w:rsidR="00B56301" w:rsidRPr="00C2292B" w14:paraId="574FDE1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E83433"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22276DE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214,73</w:t>
            </w:r>
          </w:p>
        </w:tc>
        <w:tc>
          <w:tcPr>
            <w:tcW w:w="991" w:type="dxa"/>
            <w:tcBorders>
              <w:top w:val="nil"/>
              <w:left w:val="nil"/>
              <w:bottom w:val="single" w:sz="4" w:space="0" w:color="auto"/>
              <w:right w:val="single" w:sz="4" w:space="0" w:color="auto"/>
            </w:tcBorders>
            <w:shd w:val="clear" w:color="000000" w:fill="CCFFFF"/>
            <w:noWrap/>
            <w:vAlign w:val="bottom"/>
            <w:hideMark/>
          </w:tcPr>
          <w:p w14:paraId="5DB02DF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224,66</w:t>
            </w:r>
          </w:p>
        </w:tc>
        <w:tc>
          <w:tcPr>
            <w:tcW w:w="991" w:type="dxa"/>
            <w:tcBorders>
              <w:top w:val="nil"/>
              <w:left w:val="nil"/>
              <w:bottom w:val="single" w:sz="4" w:space="0" w:color="auto"/>
              <w:right w:val="single" w:sz="4" w:space="0" w:color="auto"/>
            </w:tcBorders>
            <w:shd w:val="clear" w:color="000000" w:fill="CCFFFF"/>
            <w:noWrap/>
            <w:vAlign w:val="bottom"/>
            <w:hideMark/>
          </w:tcPr>
          <w:p w14:paraId="4AE0C1B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196,35</w:t>
            </w:r>
          </w:p>
        </w:tc>
        <w:tc>
          <w:tcPr>
            <w:tcW w:w="991" w:type="dxa"/>
            <w:tcBorders>
              <w:top w:val="nil"/>
              <w:left w:val="nil"/>
              <w:bottom w:val="single" w:sz="4" w:space="0" w:color="auto"/>
              <w:right w:val="single" w:sz="4" w:space="0" w:color="auto"/>
            </w:tcBorders>
            <w:shd w:val="clear" w:color="000000" w:fill="CCFFFF"/>
            <w:noWrap/>
            <w:vAlign w:val="bottom"/>
            <w:hideMark/>
          </w:tcPr>
          <w:p w14:paraId="2B74408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191,76</w:t>
            </w:r>
          </w:p>
        </w:tc>
        <w:tc>
          <w:tcPr>
            <w:tcW w:w="991" w:type="dxa"/>
            <w:tcBorders>
              <w:top w:val="nil"/>
              <w:left w:val="nil"/>
              <w:bottom w:val="single" w:sz="4" w:space="0" w:color="auto"/>
              <w:right w:val="single" w:sz="4" w:space="0" w:color="auto"/>
            </w:tcBorders>
            <w:shd w:val="clear" w:color="000000" w:fill="CCFFFF"/>
            <w:noWrap/>
            <w:vAlign w:val="bottom"/>
            <w:hideMark/>
          </w:tcPr>
          <w:p w14:paraId="25DD4E7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177,48</w:t>
            </w:r>
          </w:p>
        </w:tc>
        <w:tc>
          <w:tcPr>
            <w:tcW w:w="991" w:type="dxa"/>
            <w:tcBorders>
              <w:top w:val="nil"/>
              <w:left w:val="nil"/>
              <w:bottom w:val="single" w:sz="4" w:space="0" w:color="auto"/>
              <w:right w:val="single" w:sz="4" w:space="0" w:color="auto"/>
            </w:tcBorders>
            <w:shd w:val="clear" w:color="000000" w:fill="CCFFFF"/>
            <w:noWrap/>
            <w:vAlign w:val="bottom"/>
            <w:hideMark/>
          </w:tcPr>
          <w:p w14:paraId="361824F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161,26</w:t>
            </w:r>
          </w:p>
        </w:tc>
      </w:tr>
      <w:tr w:rsidR="00B56301" w:rsidRPr="00C2292B" w14:paraId="0DE3C0F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09076E" w14:textId="3C00BDCF"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2B6EDB5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1,83</w:t>
            </w:r>
          </w:p>
        </w:tc>
        <w:tc>
          <w:tcPr>
            <w:tcW w:w="991" w:type="dxa"/>
            <w:tcBorders>
              <w:top w:val="nil"/>
              <w:left w:val="nil"/>
              <w:bottom w:val="single" w:sz="4" w:space="0" w:color="auto"/>
              <w:right w:val="single" w:sz="4" w:space="0" w:color="auto"/>
            </w:tcBorders>
            <w:shd w:val="clear" w:color="000000" w:fill="FFFFFF"/>
            <w:noWrap/>
            <w:vAlign w:val="bottom"/>
            <w:hideMark/>
          </w:tcPr>
          <w:p w14:paraId="56E1139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13B934D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1,64</w:t>
            </w:r>
          </w:p>
        </w:tc>
        <w:tc>
          <w:tcPr>
            <w:tcW w:w="991" w:type="dxa"/>
            <w:tcBorders>
              <w:top w:val="nil"/>
              <w:left w:val="nil"/>
              <w:bottom w:val="single" w:sz="4" w:space="0" w:color="auto"/>
              <w:right w:val="single" w:sz="4" w:space="0" w:color="auto"/>
            </w:tcBorders>
            <w:shd w:val="clear" w:color="000000" w:fill="FFFFFF"/>
            <w:noWrap/>
            <w:vAlign w:val="bottom"/>
            <w:hideMark/>
          </w:tcPr>
          <w:p w14:paraId="432BE8C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1,67</w:t>
            </w:r>
          </w:p>
        </w:tc>
        <w:tc>
          <w:tcPr>
            <w:tcW w:w="991" w:type="dxa"/>
            <w:tcBorders>
              <w:top w:val="nil"/>
              <w:left w:val="nil"/>
              <w:bottom w:val="single" w:sz="4" w:space="0" w:color="auto"/>
              <w:right w:val="single" w:sz="4" w:space="0" w:color="auto"/>
            </w:tcBorders>
            <w:shd w:val="clear" w:color="000000" w:fill="FFFFFF"/>
            <w:noWrap/>
            <w:vAlign w:val="bottom"/>
            <w:hideMark/>
          </w:tcPr>
          <w:p w14:paraId="068EE72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33458A9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1,27</w:t>
            </w:r>
          </w:p>
        </w:tc>
      </w:tr>
      <w:tr w:rsidR="00B56301" w:rsidRPr="00C2292B" w14:paraId="360DBF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56F91D5" w14:textId="037E94B5"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43A961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3,98</w:t>
            </w:r>
          </w:p>
        </w:tc>
        <w:tc>
          <w:tcPr>
            <w:tcW w:w="991" w:type="dxa"/>
            <w:tcBorders>
              <w:top w:val="nil"/>
              <w:left w:val="nil"/>
              <w:bottom w:val="single" w:sz="4" w:space="0" w:color="auto"/>
              <w:right w:val="single" w:sz="4" w:space="0" w:color="auto"/>
            </w:tcBorders>
            <w:shd w:val="clear" w:color="000000" w:fill="FFFFFF"/>
            <w:noWrap/>
            <w:vAlign w:val="bottom"/>
            <w:hideMark/>
          </w:tcPr>
          <w:p w14:paraId="669D823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3,87</w:t>
            </w:r>
          </w:p>
        </w:tc>
        <w:tc>
          <w:tcPr>
            <w:tcW w:w="991" w:type="dxa"/>
            <w:tcBorders>
              <w:top w:val="nil"/>
              <w:left w:val="nil"/>
              <w:bottom w:val="single" w:sz="4" w:space="0" w:color="auto"/>
              <w:right w:val="single" w:sz="4" w:space="0" w:color="auto"/>
            </w:tcBorders>
            <w:shd w:val="clear" w:color="000000" w:fill="FFFFFF"/>
            <w:noWrap/>
            <w:vAlign w:val="bottom"/>
            <w:hideMark/>
          </w:tcPr>
          <w:p w14:paraId="4399743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3,73</w:t>
            </w:r>
          </w:p>
        </w:tc>
        <w:tc>
          <w:tcPr>
            <w:tcW w:w="991" w:type="dxa"/>
            <w:tcBorders>
              <w:top w:val="nil"/>
              <w:left w:val="nil"/>
              <w:bottom w:val="single" w:sz="4" w:space="0" w:color="auto"/>
              <w:right w:val="single" w:sz="4" w:space="0" w:color="auto"/>
            </w:tcBorders>
            <w:shd w:val="clear" w:color="000000" w:fill="FFFFFF"/>
            <w:noWrap/>
            <w:vAlign w:val="bottom"/>
            <w:hideMark/>
          </w:tcPr>
          <w:p w14:paraId="710C1B9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3,54</w:t>
            </w:r>
          </w:p>
        </w:tc>
        <w:tc>
          <w:tcPr>
            <w:tcW w:w="991" w:type="dxa"/>
            <w:tcBorders>
              <w:top w:val="nil"/>
              <w:left w:val="nil"/>
              <w:bottom w:val="single" w:sz="4" w:space="0" w:color="auto"/>
              <w:right w:val="single" w:sz="4" w:space="0" w:color="auto"/>
            </w:tcBorders>
            <w:shd w:val="clear" w:color="000000" w:fill="FFFFFF"/>
            <w:noWrap/>
            <w:vAlign w:val="bottom"/>
            <w:hideMark/>
          </w:tcPr>
          <w:p w14:paraId="788BB09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3,44</w:t>
            </w:r>
          </w:p>
        </w:tc>
        <w:tc>
          <w:tcPr>
            <w:tcW w:w="991" w:type="dxa"/>
            <w:tcBorders>
              <w:top w:val="nil"/>
              <w:left w:val="nil"/>
              <w:bottom w:val="single" w:sz="4" w:space="0" w:color="auto"/>
              <w:right w:val="single" w:sz="4" w:space="0" w:color="auto"/>
            </w:tcBorders>
            <w:shd w:val="clear" w:color="000000" w:fill="FFFFFF"/>
            <w:noWrap/>
            <w:vAlign w:val="bottom"/>
            <w:hideMark/>
          </w:tcPr>
          <w:p w14:paraId="2201B1C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3,33</w:t>
            </w:r>
          </w:p>
        </w:tc>
      </w:tr>
      <w:tr w:rsidR="00B56301" w:rsidRPr="00C2292B" w14:paraId="5B2C9D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7BC258" w14:textId="2A1B8373"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EDB968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31,85</w:t>
            </w:r>
          </w:p>
        </w:tc>
        <w:tc>
          <w:tcPr>
            <w:tcW w:w="991" w:type="dxa"/>
            <w:tcBorders>
              <w:top w:val="nil"/>
              <w:left w:val="nil"/>
              <w:bottom w:val="single" w:sz="4" w:space="0" w:color="auto"/>
              <w:right w:val="single" w:sz="4" w:space="0" w:color="auto"/>
            </w:tcBorders>
            <w:shd w:val="clear" w:color="000000" w:fill="FFFFFF"/>
            <w:noWrap/>
            <w:vAlign w:val="bottom"/>
            <w:hideMark/>
          </w:tcPr>
          <w:p w14:paraId="592B0D8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29,41</w:t>
            </w:r>
          </w:p>
        </w:tc>
        <w:tc>
          <w:tcPr>
            <w:tcW w:w="991" w:type="dxa"/>
            <w:tcBorders>
              <w:top w:val="nil"/>
              <w:left w:val="nil"/>
              <w:bottom w:val="single" w:sz="4" w:space="0" w:color="auto"/>
              <w:right w:val="single" w:sz="4" w:space="0" w:color="auto"/>
            </w:tcBorders>
            <w:shd w:val="clear" w:color="000000" w:fill="FFFFFF"/>
            <w:noWrap/>
            <w:vAlign w:val="bottom"/>
            <w:hideMark/>
          </w:tcPr>
          <w:p w14:paraId="63B3461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27,88</w:t>
            </w:r>
          </w:p>
        </w:tc>
        <w:tc>
          <w:tcPr>
            <w:tcW w:w="991" w:type="dxa"/>
            <w:tcBorders>
              <w:top w:val="nil"/>
              <w:left w:val="nil"/>
              <w:bottom w:val="single" w:sz="4" w:space="0" w:color="auto"/>
              <w:right w:val="single" w:sz="4" w:space="0" w:color="auto"/>
            </w:tcBorders>
            <w:shd w:val="clear" w:color="000000" w:fill="FFFFFF"/>
            <w:noWrap/>
            <w:vAlign w:val="bottom"/>
            <w:hideMark/>
          </w:tcPr>
          <w:p w14:paraId="6F93D95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26,89</w:t>
            </w:r>
          </w:p>
        </w:tc>
        <w:tc>
          <w:tcPr>
            <w:tcW w:w="991" w:type="dxa"/>
            <w:tcBorders>
              <w:top w:val="nil"/>
              <w:left w:val="nil"/>
              <w:bottom w:val="single" w:sz="4" w:space="0" w:color="auto"/>
              <w:right w:val="single" w:sz="4" w:space="0" w:color="auto"/>
            </w:tcBorders>
            <w:shd w:val="clear" w:color="000000" w:fill="FFFFFF"/>
            <w:noWrap/>
            <w:vAlign w:val="bottom"/>
            <w:hideMark/>
          </w:tcPr>
          <w:p w14:paraId="160585F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25,97</w:t>
            </w:r>
          </w:p>
        </w:tc>
        <w:tc>
          <w:tcPr>
            <w:tcW w:w="991" w:type="dxa"/>
            <w:tcBorders>
              <w:top w:val="nil"/>
              <w:left w:val="nil"/>
              <w:bottom w:val="single" w:sz="4" w:space="0" w:color="auto"/>
              <w:right w:val="single" w:sz="4" w:space="0" w:color="auto"/>
            </w:tcBorders>
            <w:shd w:val="clear" w:color="000000" w:fill="FFFFFF"/>
            <w:noWrap/>
            <w:vAlign w:val="bottom"/>
            <w:hideMark/>
          </w:tcPr>
          <w:p w14:paraId="6CF0565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23,84</w:t>
            </w:r>
          </w:p>
        </w:tc>
      </w:tr>
      <w:tr w:rsidR="00B56301" w:rsidRPr="00C2292B" w14:paraId="4A0C75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B4270D" w14:textId="7C8EA63E"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6F4B0B4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177,04</w:t>
            </w:r>
          </w:p>
        </w:tc>
        <w:tc>
          <w:tcPr>
            <w:tcW w:w="991" w:type="dxa"/>
            <w:tcBorders>
              <w:top w:val="nil"/>
              <w:left w:val="nil"/>
              <w:bottom w:val="single" w:sz="4" w:space="0" w:color="auto"/>
              <w:right w:val="single" w:sz="4" w:space="0" w:color="auto"/>
            </w:tcBorders>
            <w:shd w:val="clear" w:color="000000" w:fill="FFFFFF"/>
            <w:noWrap/>
            <w:vAlign w:val="bottom"/>
            <w:hideMark/>
          </w:tcPr>
          <w:p w14:paraId="2CFC1EF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189,56</w:t>
            </w:r>
          </w:p>
        </w:tc>
        <w:tc>
          <w:tcPr>
            <w:tcW w:w="991" w:type="dxa"/>
            <w:tcBorders>
              <w:top w:val="nil"/>
              <w:left w:val="nil"/>
              <w:bottom w:val="single" w:sz="4" w:space="0" w:color="auto"/>
              <w:right w:val="single" w:sz="4" w:space="0" w:color="auto"/>
            </w:tcBorders>
            <w:shd w:val="clear" w:color="000000" w:fill="FFFFFF"/>
            <w:noWrap/>
            <w:vAlign w:val="bottom"/>
            <w:hideMark/>
          </w:tcPr>
          <w:p w14:paraId="5F3D064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163,07</w:t>
            </w:r>
          </w:p>
        </w:tc>
        <w:tc>
          <w:tcPr>
            <w:tcW w:w="991" w:type="dxa"/>
            <w:tcBorders>
              <w:top w:val="nil"/>
              <w:left w:val="nil"/>
              <w:bottom w:val="single" w:sz="4" w:space="0" w:color="auto"/>
              <w:right w:val="single" w:sz="4" w:space="0" w:color="auto"/>
            </w:tcBorders>
            <w:shd w:val="clear" w:color="000000" w:fill="FFFFFF"/>
            <w:noWrap/>
            <w:vAlign w:val="bottom"/>
            <w:hideMark/>
          </w:tcPr>
          <w:p w14:paraId="4325D69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159,63</w:t>
            </w:r>
          </w:p>
        </w:tc>
        <w:tc>
          <w:tcPr>
            <w:tcW w:w="991" w:type="dxa"/>
            <w:tcBorders>
              <w:top w:val="nil"/>
              <w:left w:val="nil"/>
              <w:bottom w:val="single" w:sz="4" w:space="0" w:color="auto"/>
              <w:right w:val="single" w:sz="4" w:space="0" w:color="auto"/>
            </w:tcBorders>
            <w:shd w:val="clear" w:color="000000" w:fill="FFFFFF"/>
            <w:noWrap/>
            <w:vAlign w:val="bottom"/>
            <w:hideMark/>
          </w:tcPr>
          <w:p w14:paraId="1DA7073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146,61</w:t>
            </w:r>
          </w:p>
        </w:tc>
        <w:tc>
          <w:tcPr>
            <w:tcW w:w="991" w:type="dxa"/>
            <w:tcBorders>
              <w:top w:val="nil"/>
              <w:left w:val="nil"/>
              <w:bottom w:val="single" w:sz="4" w:space="0" w:color="auto"/>
              <w:right w:val="single" w:sz="4" w:space="0" w:color="auto"/>
            </w:tcBorders>
            <w:shd w:val="clear" w:color="000000" w:fill="FFFFFF"/>
            <w:noWrap/>
            <w:vAlign w:val="bottom"/>
            <w:hideMark/>
          </w:tcPr>
          <w:p w14:paraId="2BCBF1E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132,79</w:t>
            </w:r>
          </w:p>
        </w:tc>
      </w:tr>
      <w:tr w:rsidR="00B56301" w:rsidRPr="00C2292B" w14:paraId="3A1BB6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FCD5E6" w14:textId="078CA611"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30A6CAF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09C573F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6FDDB4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3D3621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F66872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B5D01D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r>
      <w:tr w:rsidR="00B56301" w:rsidRPr="00C2292B" w14:paraId="36C3FC8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3F898B"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248C7B8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261,97</w:t>
            </w:r>
          </w:p>
        </w:tc>
        <w:tc>
          <w:tcPr>
            <w:tcW w:w="991" w:type="dxa"/>
            <w:tcBorders>
              <w:top w:val="nil"/>
              <w:left w:val="nil"/>
              <w:bottom w:val="single" w:sz="4" w:space="0" w:color="auto"/>
              <w:right w:val="single" w:sz="4" w:space="0" w:color="auto"/>
            </w:tcBorders>
            <w:shd w:val="clear" w:color="000000" w:fill="CCFFFF"/>
            <w:noWrap/>
            <w:vAlign w:val="bottom"/>
            <w:hideMark/>
          </w:tcPr>
          <w:p w14:paraId="3C6ACDD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212,03</w:t>
            </w:r>
          </w:p>
        </w:tc>
        <w:tc>
          <w:tcPr>
            <w:tcW w:w="991" w:type="dxa"/>
            <w:tcBorders>
              <w:top w:val="nil"/>
              <w:left w:val="nil"/>
              <w:bottom w:val="single" w:sz="4" w:space="0" w:color="auto"/>
              <w:right w:val="single" w:sz="4" w:space="0" w:color="auto"/>
            </w:tcBorders>
            <w:shd w:val="clear" w:color="000000" w:fill="CCFFFF"/>
            <w:noWrap/>
            <w:vAlign w:val="bottom"/>
            <w:hideMark/>
          </w:tcPr>
          <w:p w14:paraId="6866AF7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188,43</w:t>
            </w:r>
          </w:p>
        </w:tc>
        <w:tc>
          <w:tcPr>
            <w:tcW w:w="991" w:type="dxa"/>
            <w:tcBorders>
              <w:top w:val="nil"/>
              <w:left w:val="nil"/>
              <w:bottom w:val="single" w:sz="4" w:space="0" w:color="auto"/>
              <w:right w:val="single" w:sz="4" w:space="0" w:color="auto"/>
            </w:tcBorders>
            <w:shd w:val="clear" w:color="000000" w:fill="CCFFFF"/>
            <w:noWrap/>
            <w:vAlign w:val="bottom"/>
            <w:hideMark/>
          </w:tcPr>
          <w:p w14:paraId="4666D26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184,97</w:t>
            </w:r>
          </w:p>
        </w:tc>
        <w:tc>
          <w:tcPr>
            <w:tcW w:w="991" w:type="dxa"/>
            <w:tcBorders>
              <w:top w:val="nil"/>
              <w:left w:val="nil"/>
              <w:bottom w:val="single" w:sz="4" w:space="0" w:color="auto"/>
              <w:right w:val="single" w:sz="4" w:space="0" w:color="auto"/>
            </w:tcBorders>
            <w:shd w:val="clear" w:color="000000" w:fill="CCFFFF"/>
            <w:noWrap/>
            <w:vAlign w:val="bottom"/>
            <w:hideMark/>
          </w:tcPr>
          <w:p w14:paraId="71A1C52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178,00</w:t>
            </w:r>
          </w:p>
        </w:tc>
        <w:tc>
          <w:tcPr>
            <w:tcW w:w="991" w:type="dxa"/>
            <w:tcBorders>
              <w:top w:val="nil"/>
              <w:left w:val="nil"/>
              <w:bottom w:val="single" w:sz="4" w:space="0" w:color="auto"/>
              <w:right w:val="single" w:sz="4" w:space="0" w:color="auto"/>
            </w:tcBorders>
            <w:shd w:val="clear" w:color="000000" w:fill="CCFFFF"/>
            <w:noWrap/>
            <w:vAlign w:val="bottom"/>
            <w:hideMark/>
          </w:tcPr>
          <w:p w14:paraId="6614606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141,44</w:t>
            </w:r>
          </w:p>
        </w:tc>
      </w:tr>
      <w:tr w:rsidR="00B56301" w:rsidRPr="00C2292B" w14:paraId="3EDCC4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7BCADF4" w14:textId="39CB924C"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C6A1F5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197,10</w:t>
            </w:r>
          </w:p>
        </w:tc>
        <w:tc>
          <w:tcPr>
            <w:tcW w:w="991" w:type="dxa"/>
            <w:tcBorders>
              <w:top w:val="nil"/>
              <w:left w:val="nil"/>
              <w:bottom w:val="single" w:sz="4" w:space="0" w:color="auto"/>
              <w:right w:val="single" w:sz="4" w:space="0" w:color="auto"/>
            </w:tcBorders>
            <w:shd w:val="clear" w:color="000000" w:fill="FFFFFF"/>
            <w:noWrap/>
            <w:vAlign w:val="bottom"/>
            <w:hideMark/>
          </w:tcPr>
          <w:p w14:paraId="4E4215B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150,00</w:t>
            </w:r>
          </w:p>
        </w:tc>
        <w:tc>
          <w:tcPr>
            <w:tcW w:w="991" w:type="dxa"/>
            <w:tcBorders>
              <w:top w:val="nil"/>
              <w:left w:val="nil"/>
              <w:bottom w:val="single" w:sz="4" w:space="0" w:color="auto"/>
              <w:right w:val="single" w:sz="4" w:space="0" w:color="auto"/>
            </w:tcBorders>
            <w:shd w:val="clear" w:color="000000" w:fill="FFFFFF"/>
            <w:noWrap/>
            <w:vAlign w:val="bottom"/>
            <w:hideMark/>
          </w:tcPr>
          <w:p w14:paraId="5846F82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127,77</w:t>
            </w:r>
          </w:p>
        </w:tc>
        <w:tc>
          <w:tcPr>
            <w:tcW w:w="991" w:type="dxa"/>
            <w:tcBorders>
              <w:top w:val="nil"/>
              <w:left w:val="nil"/>
              <w:bottom w:val="single" w:sz="4" w:space="0" w:color="auto"/>
              <w:right w:val="single" w:sz="4" w:space="0" w:color="auto"/>
            </w:tcBorders>
            <w:shd w:val="clear" w:color="000000" w:fill="FFFFFF"/>
            <w:noWrap/>
            <w:vAlign w:val="bottom"/>
            <w:hideMark/>
          </w:tcPr>
          <w:p w14:paraId="35AAA34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124,06</w:t>
            </w:r>
          </w:p>
        </w:tc>
        <w:tc>
          <w:tcPr>
            <w:tcW w:w="991" w:type="dxa"/>
            <w:tcBorders>
              <w:top w:val="nil"/>
              <w:left w:val="nil"/>
              <w:bottom w:val="single" w:sz="4" w:space="0" w:color="auto"/>
              <w:right w:val="single" w:sz="4" w:space="0" w:color="auto"/>
            </w:tcBorders>
            <w:shd w:val="clear" w:color="000000" w:fill="FFFFFF"/>
            <w:noWrap/>
            <w:vAlign w:val="bottom"/>
            <w:hideMark/>
          </w:tcPr>
          <w:p w14:paraId="6E46634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117,84</w:t>
            </w:r>
          </w:p>
        </w:tc>
        <w:tc>
          <w:tcPr>
            <w:tcW w:w="991" w:type="dxa"/>
            <w:tcBorders>
              <w:top w:val="nil"/>
              <w:left w:val="nil"/>
              <w:bottom w:val="single" w:sz="4" w:space="0" w:color="auto"/>
              <w:right w:val="single" w:sz="4" w:space="0" w:color="auto"/>
            </w:tcBorders>
            <w:shd w:val="clear" w:color="000000" w:fill="FFFFFF"/>
            <w:noWrap/>
            <w:vAlign w:val="bottom"/>
            <w:hideMark/>
          </w:tcPr>
          <w:p w14:paraId="1D5AC8F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81,06</w:t>
            </w:r>
          </w:p>
        </w:tc>
      </w:tr>
      <w:tr w:rsidR="00B56301" w:rsidRPr="00C2292B" w14:paraId="777592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771690" w14:textId="51B84952"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1A9523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64,87</w:t>
            </w:r>
          </w:p>
        </w:tc>
        <w:tc>
          <w:tcPr>
            <w:tcW w:w="991" w:type="dxa"/>
            <w:tcBorders>
              <w:top w:val="nil"/>
              <w:left w:val="nil"/>
              <w:bottom w:val="single" w:sz="4" w:space="0" w:color="auto"/>
              <w:right w:val="single" w:sz="4" w:space="0" w:color="auto"/>
            </w:tcBorders>
            <w:shd w:val="clear" w:color="000000" w:fill="FFFFFF"/>
            <w:noWrap/>
            <w:vAlign w:val="bottom"/>
            <w:hideMark/>
          </w:tcPr>
          <w:p w14:paraId="27C4529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62,03</w:t>
            </w:r>
          </w:p>
        </w:tc>
        <w:tc>
          <w:tcPr>
            <w:tcW w:w="991" w:type="dxa"/>
            <w:tcBorders>
              <w:top w:val="nil"/>
              <w:left w:val="nil"/>
              <w:bottom w:val="single" w:sz="4" w:space="0" w:color="auto"/>
              <w:right w:val="single" w:sz="4" w:space="0" w:color="auto"/>
            </w:tcBorders>
            <w:shd w:val="clear" w:color="000000" w:fill="FFFFFF"/>
            <w:noWrap/>
            <w:vAlign w:val="bottom"/>
            <w:hideMark/>
          </w:tcPr>
          <w:p w14:paraId="31A1245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60,67</w:t>
            </w:r>
          </w:p>
        </w:tc>
        <w:tc>
          <w:tcPr>
            <w:tcW w:w="991" w:type="dxa"/>
            <w:tcBorders>
              <w:top w:val="nil"/>
              <w:left w:val="nil"/>
              <w:bottom w:val="single" w:sz="4" w:space="0" w:color="auto"/>
              <w:right w:val="single" w:sz="4" w:space="0" w:color="auto"/>
            </w:tcBorders>
            <w:shd w:val="clear" w:color="000000" w:fill="FFFFFF"/>
            <w:noWrap/>
            <w:vAlign w:val="bottom"/>
            <w:hideMark/>
          </w:tcPr>
          <w:p w14:paraId="0DFB6A3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60,91</w:t>
            </w:r>
          </w:p>
        </w:tc>
        <w:tc>
          <w:tcPr>
            <w:tcW w:w="991" w:type="dxa"/>
            <w:tcBorders>
              <w:top w:val="nil"/>
              <w:left w:val="nil"/>
              <w:bottom w:val="single" w:sz="4" w:space="0" w:color="auto"/>
              <w:right w:val="single" w:sz="4" w:space="0" w:color="auto"/>
            </w:tcBorders>
            <w:shd w:val="clear" w:color="000000" w:fill="FFFFFF"/>
            <w:noWrap/>
            <w:vAlign w:val="bottom"/>
            <w:hideMark/>
          </w:tcPr>
          <w:p w14:paraId="012635D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60,15</w:t>
            </w:r>
          </w:p>
        </w:tc>
        <w:tc>
          <w:tcPr>
            <w:tcW w:w="991" w:type="dxa"/>
            <w:tcBorders>
              <w:top w:val="nil"/>
              <w:left w:val="nil"/>
              <w:bottom w:val="single" w:sz="4" w:space="0" w:color="auto"/>
              <w:right w:val="single" w:sz="4" w:space="0" w:color="auto"/>
            </w:tcBorders>
            <w:shd w:val="clear" w:color="000000" w:fill="FFFFFF"/>
            <w:noWrap/>
            <w:vAlign w:val="bottom"/>
            <w:hideMark/>
          </w:tcPr>
          <w:p w14:paraId="31ED4B7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60,38</w:t>
            </w:r>
          </w:p>
        </w:tc>
      </w:tr>
      <w:tr w:rsidR="00B56301" w:rsidRPr="00833C38" w14:paraId="11887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48669B6" w14:textId="4A0AC35C"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63925716"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23DD75"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F38BA5"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413758"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F523AE"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6695AB"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r>
      <w:tr w:rsidR="00B56301" w:rsidRPr="00C2292B" w14:paraId="6906F35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6C8913" w14:textId="25E1B538"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0D370E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8,85</w:t>
            </w:r>
          </w:p>
        </w:tc>
        <w:tc>
          <w:tcPr>
            <w:tcW w:w="991" w:type="dxa"/>
            <w:tcBorders>
              <w:top w:val="nil"/>
              <w:left w:val="nil"/>
              <w:bottom w:val="single" w:sz="4" w:space="0" w:color="auto"/>
              <w:right w:val="single" w:sz="4" w:space="0" w:color="auto"/>
            </w:tcBorders>
            <w:shd w:val="clear" w:color="000000" w:fill="CCFFFF"/>
            <w:noWrap/>
            <w:vAlign w:val="bottom"/>
            <w:hideMark/>
          </w:tcPr>
          <w:p w14:paraId="7A9FF17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8,62</w:t>
            </w:r>
          </w:p>
        </w:tc>
        <w:tc>
          <w:tcPr>
            <w:tcW w:w="991" w:type="dxa"/>
            <w:tcBorders>
              <w:top w:val="nil"/>
              <w:left w:val="nil"/>
              <w:bottom w:val="single" w:sz="4" w:space="0" w:color="auto"/>
              <w:right w:val="single" w:sz="4" w:space="0" w:color="auto"/>
            </w:tcBorders>
            <w:shd w:val="clear" w:color="000000" w:fill="CCFFFF"/>
            <w:noWrap/>
            <w:vAlign w:val="bottom"/>
            <w:hideMark/>
          </w:tcPr>
          <w:p w14:paraId="64FF331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9,56</w:t>
            </w:r>
          </w:p>
        </w:tc>
        <w:tc>
          <w:tcPr>
            <w:tcW w:w="991" w:type="dxa"/>
            <w:tcBorders>
              <w:top w:val="nil"/>
              <w:left w:val="nil"/>
              <w:bottom w:val="single" w:sz="4" w:space="0" w:color="auto"/>
              <w:right w:val="single" w:sz="4" w:space="0" w:color="auto"/>
            </w:tcBorders>
            <w:shd w:val="clear" w:color="000000" w:fill="CCFFFF"/>
            <w:noWrap/>
            <w:vAlign w:val="bottom"/>
            <w:hideMark/>
          </w:tcPr>
          <w:p w14:paraId="2D575FC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9,39</w:t>
            </w:r>
          </w:p>
        </w:tc>
        <w:tc>
          <w:tcPr>
            <w:tcW w:w="991" w:type="dxa"/>
            <w:tcBorders>
              <w:top w:val="nil"/>
              <w:left w:val="nil"/>
              <w:bottom w:val="single" w:sz="4" w:space="0" w:color="auto"/>
              <w:right w:val="single" w:sz="4" w:space="0" w:color="auto"/>
            </w:tcBorders>
            <w:shd w:val="clear" w:color="000000" w:fill="CCFFFF"/>
            <w:noWrap/>
            <w:vAlign w:val="bottom"/>
            <w:hideMark/>
          </w:tcPr>
          <w:p w14:paraId="0C033E0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9,36</w:t>
            </w:r>
          </w:p>
        </w:tc>
        <w:tc>
          <w:tcPr>
            <w:tcW w:w="991" w:type="dxa"/>
            <w:tcBorders>
              <w:top w:val="nil"/>
              <w:left w:val="nil"/>
              <w:bottom w:val="single" w:sz="4" w:space="0" w:color="auto"/>
              <w:right w:val="single" w:sz="4" w:space="0" w:color="auto"/>
            </w:tcBorders>
            <w:shd w:val="clear" w:color="000000" w:fill="CCFFFF"/>
            <w:noWrap/>
            <w:vAlign w:val="bottom"/>
            <w:hideMark/>
          </w:tcPr>
          <w:p w14:paraId="736E498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9,45</w:t>
            </w:r>
          </w:p>
        </w:tc>
      </w:tr>
      <w:tr w:rsidR="00B56301" w:rsidRPr="00C2292B" w14:paraId="349182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B14444" w14:textId="5EF1E46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D94B66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255A4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04B0E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04663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D217F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EDF30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7AE954F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50E6F9" w14:textId="00D54DE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3B9AA4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3,72</w:t>
            </w:r>
          </w:p>
        </w:tc>
        <w:tc>
          <w:tcPr>
            <w:tcW w:w="991" w:type="dxa"/>
            <w:tcBorders>
              <w:top w:val="nil"/>
              <w:left w:val="nil"/>
              <w:bottom w:val="single" w:sz="4" w:space="0" w:color="auto"/>
              <w:right w:val="single" w:sz="4" w:space="0" w:color="auto"/>
            </w:tcBorders>
            <w:shd w:val="clear" w:color="000000" w:fill="FFFFFF"/>
            <w:noWrap/>
            <w:vAlign w:val="bottom"/>
            <w:hideMark/>
          </w:tcPr>
          <w:p w14:paraId="74C6857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3,89</w:t>
            </w:r>
          </w:p>
        </w:tc>
        <w:tc>
          <w:tcPr>
            <w:tcW w:w="991" w:type="dxa"/>
            <w:tcBorders>
              <w:top w:val="nil"/>
              <w:left w:val="nil"/>
              <w:bottom w:val="single" w:sz="4" w:space="0" w:color="auto"/>
              <w:right w:val="single" w:sz="4" w:space="0" w:color="auto"/>
            </w:tcBorders>
            <w:shd w:val="clear" w:color="000000" w:fill="FFFFFF"/>
            <w:noWrap/>
            <w:vAlign w:val="bottom"/>
            <w:hideMark/>
          </w:tcPr>
          <w:p w14:paraId="7EFB02F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4,18</w:t>
            </w:r>
          </w:p>
        </w:tc>
        <w:tc>
          <w:tcPr>
            <w:tcW w:w="991" w:type="dxa"/>
            <w:tcBorders>
              <w:top w:val="nil"/>
              <w:left w:val="nil"/>
              <w:bottom w:val="single" w:sz="4" w:space="0" w:color="auto"/>
              <w:right w:val="single" w:sz="4" w:space="0" w:color="auto"/>
            </w:tcBorders>
            <w:shd w:val="clear" w:color="000000" w:fill="FFFFFF"/>
            <w:noWrap/>
            <w:vAlign w:val="bottom"/>
            <w:hideMark/>
          </w:tcPr>
          <w:p w14:paraId="7EAE9F5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3,89</w:t>
            </w:r>
          </w:p>
        </w:tc>
        <w:tc>
          <w:tcPr>
            <w:tcW w:w="991" w:type="dxa"/>
            <w:tcBorders>
              <w:top w:val="nil"/>
              <w:left w:val="nil"/>
              <w:bottom w:val="single" w:sz="4" w:space="0" w:color="auto"/>
              <w:right w:val="single" w:sz="4" w:space="0" w:color="auto"/>
            </w:tcBorders>
            <w:shd w:val="clear" w:color="000000" w:fill="FFFFFF"/>
            <w:noWrap/>
            <w:vAlign w:val="bottom"/>
            <w:hideMark/>
          </w:tcPr>
          <w:p w14:paraId="0C22C69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3,98</w:t>
            </w:r>
          </w:p>
        </w:tc>
        <w:tc>
          <w:tcPr>
            <w:tcW w:w="991" w:type="dxa"/>
            <w:tcBorders>
              <w:top w:val="nil"/>
              <w:left w:val="nil"/>
              <w:bottom w:val="single" w:sz="4" w:space="0" w:color="auto"/>
              <w:right w:val="single" w:sz="4" w:space="0" w:color="auto"/>
            </w:tcBorders>
            <w:shd w:val="clear" w:color="000000" w:fill="FFFFFF"/>
            <w:noWrap/>
            <w:vAlign w:val="bottom"/>
            <w:hideMark/>
          </w:tcPr>
          <w:p w14:paraId="2D28379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4,07</w:t>
            </w:r>
          </w:p>
        </w:tc>
      </w:tr>
      <w:tr w:rsidR="00B56301" w:rsidRPr="00C2292B" w14:paraId="138E73E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6CD7D9" w14:textId="121AF0D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EA19D7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59238F5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4,69</w:t>
            </w:r>
          </w:p>
        </w:tc>
        <w:tc>
          <w:tcPr>
            <w:tcW w:w="991" w:type="dxa"/>
            <w:tcBorders>
              <w:top w:val="nil"/>
              <w:left w:val="nil"/>
              <w:bottom w:val="single" w:sz="4" w:space="0" w:color="auto"/>
              <w:right w:val="single" w:sz="4" w:space="0" w:color="auto"/>
            </w:tcBorders>
            <w:shd w:val="clear" w:color="000000" w:fill="FFFFFF"/>
            <w:noWrap/>
            <w:vAlign w:val="bottom"/>
            <w:hideMark/>
          </w:tcPr>
          <w:p w14:paraId="443EC8A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5,34</w:t>
            </w:r>
          </w:p>
        </w:tc>
        <w:tc>
          <w:tcPr>
            <w:tcW w:w="991" w:type="dxa"/>
            <w:tcBorders>
              <w:top w:val="nil"/>
              <w:left w:val="nil"/>
              <w:bottom w:val="single" w:sz="4" w:space="0" w:color="auto"/>
              <w:right w:val="single" w:sz="4" w:space="0" w:color="auto"/>
            </w:tcBorders>
            <w:shd w:val="clear" w:color="000000" w:fill="FFFFFF"/>
            <w:noWrap/>
            <w:vAlign w:val="bottom"/>
            <w:hideMark/>
          </w:tcPr>
          <w:p w14:paraId="37A4BCE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5,47</w:t>
            </w:r>
          </w:p>
        </w:tc>
        <w:tc>
          <w:tcPr>
            <w:tcW w:w="991" w:type="dxa"/>
            <w:tcBorders>
              <w:top w:val="nil"/>
              <w:left w:val="nil"/>
              <w:bottom w:val="single" w:sz="4" w:space="0" w:color="auto"/>
              <w:right w:val="single" w:sz="4" w:space="0" w:color="auto"/>
            </w:tcBorders>
            <w:shd w:val="clear" w:color="000000" w:fill="FFFFFF"/>
            <w:noWrap/>
            <w:vAlign w:val="bottom"/>
            <w:hideMark/>
          </w:tcPr>
          <w:p w14:paraId="45EEFA8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5,34</w:t>
            </w:r>
          </w:p>
        </w:tc>
        <w:tc>
          <w:tcPr>
            <w:tcW w:w="991" w:type="dxa"/>
            <w:tcBorders>
              <w:top w:val="nil"/>
              <w:left w:val="nil"/>
              <w:bottom w:val="single" w:sz="4" w:space="0" w:color="auto"/>
              <w:right w:val="single" w:sz="4" w:space="0" w:color="auto"/>
            </w:tcBorders>
            <w:shd w:val="clear" w:color="000000" w:fill="FFFFFF"/>
            <w:noWrap/>
            <w:vAlign w:val="bottom"/>
            <w:hideMark/>
          </w:tcPr>
          <w:p w14:paraId="7C0CD68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5,34</w:t>
            </w:r>
          </w:p>
        </w:tc>
      </w:tr>
      <w:tr w:rsidR="00B56301" w:rsidRPr="00C2292B" w14:paraId="0A5149A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B001DD5" w14:textId="2E951722"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2E855CD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D4712C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AA8F78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F2C9A3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6D25BF5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C2B75C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0,04</w:t>
            </w:r>
          </w:p>
        </w:tc>
      </w:tr>
      <w:tr w:rsidR="00B56301" w:rsidRPr="00C2292B" w14:paraId="6B50D7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B834BA8" w14:textId="28A541D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26FA4A8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0985B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5C910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35A76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648BD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5740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833C38" w14:paraId="23863B7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7685B17" w14:textId="66DBA610"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97B3223"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3F25B5"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96650C"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AF6476"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ADDA50"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9CE191"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r>
      <w:tr w:rsidR="00B56301" w:rsidRPr="00C2292B" w14:paraId="3AE5C2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FA4ECA5" w14:textId="137EAAEA"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51765A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DA3D7A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9480D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1FEF9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937E0E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BCD93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29974C8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714E76" w14:textId="7D6F8EC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64DBC4D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E1BE40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F0855B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DCCE72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8CDB53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6AEC3B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NO,NA</w:t>
            </w:r>
          </w:p>
        </w:tc>
      </w:tr>
      <w:tr w:rsidR="00B56301" w:rsidRPr="00C2292B" w14:paraId="7600968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C5F9310" w14:textId="3BC6265D"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6999933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1645,82</w:t>
            </w:r>
          </w:p>
        </w:tc>
        <w:tc>
          <w:tcPr>
            <w:tcW w:w="991" w:type="dxa"/>
            <w:tcBorders>
              <w:top w:val="nil"/>
              <w:left w:val="nil"/>
              <w:bottom w:val="single" w:sz="4" w:space="0" w:color="auto"/>
              <w:right w:val="single" w:sz="4" w:space="0" w:color="auto"/>
            </w:tcBorders>
            <w:shd w:val="clear" w:color="000000" w:fill="CCFFFF"/>
            <w:noWrap/>
            <w:vAlign w:val="bottom"/>
            <w:hideMark/>
          </w:tcPr>
          <w:p w14:paraId="43B2A7D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1641,28</w:t>
            </w:r>
          </w:p>
        </w:tc>
        <w:tc>
          <w:tcPr>
            <w:tcW w:w="991" w:type="dxa"/>
            <w:tcBorders>
              <w:top w:val="nil"/>
              <w:left w:val="nil"/>
              <w:bottom w:val="single" w:sz="4" w:space="0" w:color="auto"/>
              <w:right w:val="single" w:sz="4" w:space="0" w:color="auto"/>
            </w:tcBorders>
            <w:shd w:val="clear" w:color="000000" w:fill="CCFFFF"/>
            <w:noWrap/>
            <w:vAlign w:val="bottom"/>
            <w:hideMark/>
          </w:tcPr>
          <w:p w14:paraId="37DD8F5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1634,11</w:t>
            </w:r>
          </w:p>
        </w:tc>
        <w:tc>
          <w:tcPr>
            <w:tcW w:w="991" w:type="dxa"/>
            <w:tcBorders>
              <w:top w:val="nil"/>
              <w:left w:val="nil"/>
              <w:bottom w:val="single" w:sz="4" w:space="0" w:color="auto"/>
              <w:right w:val="single" w:sz="4" w:space="0" w:color="auto"/>
            </w:tcBorders>
            <w:shd w:val="clear" w:color="000000" w:fill="CCFFFF"/>
            <w:noWrap/>
            <w:vAlign w:val="bottom"/>
            <w:hideMark/>
          </w:tcPr>
          <w:p w14:paraId="49CFD05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1623,79</w:t>
            </w:r>
          </w:p>
        </w:tc>
        <w:tc>
          <w:tcPr>
            <w:tcW w:w="991" w:type="dxa"/>
            <w:tcBorders>
              <w:top w:val="nil"/>
              <w:left w:val="nil"/>
              <w:bottom w:val="single" w:sz="4" w:space="0" w:color="auto"/>
              <w:right w:val="single" w:sz="4" w:space="0" w:color="auto"/>
            </w:tcBorders>
            <w:shd w:val="clear" w:color="000000" w:fill="CCFFFF"/>
            <w:noWrap/>
            <w:vAlign w:val="bottom"/>
            <w:hideMark/>
          </w:tcPr>
          <w:p w14:paraId="4478A97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1631,62</w:t>
            </w:r>
          </w:p>
        </w:tc>
        <w:tc>
          <w:tcPr>
            <w:tcW w:w="991" w:type="dxa"/>
            <w:tcBorders>
              <w:top w:val="nil"/>
              <w:left w:val="nil"/>
              <w:bottom w:val="single" w:sz="4" w:space="0" w:color="auto"/>
              <w:right w:val="single" w:sz="4" w:space="0" w:color="auto"/>
            </w:tcBorders>
            <w:shd w:val="clear" w:color="000000" w:fill="CCFFFF"/>
            <w:noWrap/>
            <w:vAlign w:val="bottom"/>
            <w:hideMark/>
          </w:tcPr>
          <w:p w14:paraId="640A30D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1687,88</w:t>
            </w:r>
          </w:p>
        </w:tc>
      </w:tr>
      <w:tr w:rsidR="00B56301" w:rsidRPr="00C2292B" w14:paraId="340248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9C6F06" w14:textId="3BBA9A2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7F5BFDE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1498,55</w:t>
            </w:r>
          </w:p>
        </w:tc>
        <w:tc>
          <w:tcPr>
            <w:tcW w:w="991" w:type="dxa"/>
            <w:tcBorders>
              <w:top w:val="nil"/>
              <w:left w:val="nil"/>
              <w:bottom w:val="single" w:sz="4" w:space="0" w:color="auto"/>
              <w:right w:val="single" w:sz="4" w:space="0" w:color="auto"/>
            </w:tcBorders>
            <w:shd w:val="clear" w:color="000000" w:fill="FFFFFF"/>
            <w:noWrap/>
            <w:vAlign w:val="bottom"/>
            <w:hideMark/>
          </w:tcPr>
          <w:p w14:paraId="0727DCF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1496,92</w:t>
            </w:r>
          </w:p>
        </w:tc>
        <w:tc>
          <w:tcPr>
            <w:tcW w:w="991" w:type="dxa"/>
            <w:tcBorders>
              <w:top w:val="nil"/>
              <w:left w:val="nil"/>
              <w:bottom w:val="single" w:sz="4" w:space="0" w:color="auto"/>
              <w:right w:val="single" w:sz="4" w:space="0" w:color="auto"/>
            </w:tcBorders>
            <w:shd w:val="clear" w:color="000000" w:fill="FFFFFF"/>
            <w:noWrap/>
            <w:vAlign w:val="bottom"/>
            <w:hideMark/>
          </w:tcPr>
          <w:p w14:paraId="1F5487A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1480,56</w:t>
            </w:r>
          </w:p>
        </w:tc>
        <w:tc>
          <w:tcPr>
            <w:tcW w:w="991" w:type="dxa"/>
            <w:tcBorders>
              <w:top w:val="nil"/>
              <w:left w:val="nil"/>
              <w:bottom w:val="single" w:sz="4" w:space="0" w:color="auto"/>
              <w:right w:val="single" w:sz="4" w:space="0" w:color="auto"/>
            </w:tcBorders>
            <w:shd w:val="clear" w:color="000000" w:fill="FFFFFF"/>
            <w:noWrap/>
            <w:vAlign w:val="bottom"/>
            <w:hideMark/>
          </w:tcPr>
          <w:p w14:paraId="08E4298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1471,44</w:t>
            </w:r>
          </w:p>
        </w:tc>
        <w:tc>
          <w:tcPr>
            <w:tcW w:w="991" w:type="dxa"/>
            <w:tcBorders>
              <w:top w:val="nil"/>
              <w:left w:val="nil"/>
              <w:bottom w:val="single" w:sz="4" w:space="0" w:color="auto"/>
              <w:right w:val="single" w:sz="4" w:space="0" w:color="auto"/>
            </w:tcBorders>
            <w:shd w:val="clear" w:color="000000" w:fill="FFFFFF"/>
            <w:noWrap/>
            <w:vAlign w:val="bottom"/>
            <w:hideMark/>
          </w:tcPr>
          <w:p w14:paraId="34199AB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1470,81</w:t>
            </w:r>
          </w:p>
        </w:tc>
        <w:tc>
          <w:tcPr>
            <w:tcW w:w="991" w:type="dxa"/>
            <w:tcBorders>
              <w:top w:val="nil"/>
              <w:left w:val="nil"/>
              <w:bottom w:val="single" w:sz="4" w:space="0" w:color="auto"/>
              <w:right w:val="single" w:sz="4" w:space="0" w:color="auto"/>
            </w:tcBorders>
            <w:shd w:val="clear" w:color="000000" w:fill="FFFFFF"/>
            <w:noWrap/>
            <w:vAlign w:val="bottom"/>
            <w:hideMark/>
          </w:tcPr>
          <w:p w14:paraId="5551890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1524,17</w:t>
            </w:r>
          </w:p>
        </w:tc>
      </w:tr>
      <w:tr w:rsidR="00B56301" w:rsidRPr="00C2292B" w14:paraId="56F0C0B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697CB80" w14:textId="00B9626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1866CF9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141,24</w:t>
            </w:r>
          </w:p>
        </w:tc>
        <w:tc>
          <w:tcPr>
            <w:tcW w:w="991" w:type="dxa"/>
            <w:tcBorders>
              <w:top w:val="nil"/>
              <w:left w:val="nil"/>
              <w:bottom w:val="single" w:sz="4" w:space="0" w:color="auto"/>
              <w:right w:val="single" w:sz="4" w:space="0" w:color="auto"/>
            </w:tcBorders>
            <w:shd w:val="clear" w:color="000000" w:fill="FFFFFF"/>
            <w:noWrap/>
            <w:vAlign w:val="bottom"/>
            <w:hideMark/>
          </w:tcPr>
          <w:p w14:paraId="3B36580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138,48</w:t>
            </w:r>
          </w:p>
        </w:tc>
        <w:tc>
          <w:tcPr>
            <w:tcW w:w="991" w:type="dxa"/>
            <w:tcBorders>
              <w:top w:val="nil"/>
              <w:left w:val="nil"/>
              <w:bottom w:val="single" w:sz="4" w:space="0" w:color="auto"/>
              <w:right w:val="single" w:sz="4" w:space="0" w:color="auto"/>
            </w:tcBorders>
            <w:shd w:val="clear" w:color="000000" w:fill="FFFFFF"/>
            <w:noWrap/>
            <w:vAlign w:val="bottom"/>
            <w:hideMark/>
          </w:tcPr>
          <w:p w14:paraId="2EDCCB2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147,79</w:t>
            </w:r>
          </w:p>
        </w:tc>
        <w:tc>
          <w:tcPr>
            <w:tcW w:w="991" w:type="dxa"/>
            <w:tcBorders>
              <w:top w:val="nil"/>
              <w:left w:val="nil"/>
              <w:bottom w:val="single" w:sz="4" w:space="0" w:color="auto"/>
              <w:right w:val="single" w:sz="4" w:space="0" w:color="auto"/>
            </w:tcBorders>
            <w:shd w:val="clear" w:color="000000" w:fill="FFFFFF"/>
            <w:noWrap/>
            <w:vAlign w:val="bottom"/>
            <w:hideMark/>
          </w:tcPr>
          <w:p w14:paraId="676A8E9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146,65</w:t>
            </w:r>
          </w:p>
        </w:tc>
        <w:tc>
          <w:tcPr>
            <w:tcW w:w="991" w:type="dxa"/>
            <w:tcBorders>
              <w:top w:val="nil"/>
              <w:left w:val="nil"/>
              <w:bottom w:val="single" w:sz="4" w:space="0" w:color="auto"/>
              <w:right w:val="single" w:sz="4" w:space="0" w:color="auto"/>
            </w:tcBorders>
            <w:shd w:val="clear" w:color="000000" w:fill="FFFFFF"/>
            <w:noWrap/>
            <w:vAlign w:val="bottom"/>
            <w:hideMark/>
          </w:tcPr>
          <w:p w14:paraId="7DED985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155,29</w:t>
            </w:r>
          </w:p>
        </w:tc>
        <w:tc>
          <w:tcPr>
            <w:tcW w:w="991" w:type="dxa"/>
            <w:tcBorders>
              <w:top w:val="nil"/>
              <w:left w:val="nil"/>
              <w:bottom w:val="single" w:sz="4" w:space="0" w:color="auto"/>
              <w:right w:val="single" w:sz="4" w:space="0" w:color="auto"/>
            </w:tcBorders>
            <w:shd w:val="clear" w:color="000000" w:fill="FFFFFF"/>
            <w:noWrap/>
            <w:vAlign w:val="bottom"/>
            <w:hideMark/>
          </w:tcPr>
          <w:p w14:paraId="1EF9244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157,96</w:t>
            </w:r>
          </w:p>
        </w:tc>
      </w:tr>
      <w:tr w:rsidR="00B56301" w:rsidRPr="00C2292B" w14:paraId="22D9A9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1EAE15" w14:textId="6300C9C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4D0947E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3,30</w:t>
            </w:r>
          </w:p>
        </w:tc>
        <w:tc>
          <w:tcPr>
            <w:tcW w:w="991" w:type="dxa"/>
            <w:tcBorders>
              <w:top w:val="nil"/>
              <w:left w:val="nil"/>
              <w:bottom w:val="single" w:sz="4" w:space="0" w:color="auto"/>
              <w:right w:val="single" w:sz="4" w:space="0" w:color="auto"/>
            </w:tcBorders>
            <w:shd w:val="clear" w:color="000000" w:fill="FFFFFF"/>
            <w:noWrap/>
            <w:vAlign w:val="bottom"/>
            <w:hideMark/>
          </w:tcPr>
          <w:p w14:paraId="78182E8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2,99</w:t>
            </w:r>
          </w:p>
        </w:tc>
        <w:tc>
          <w:tcPr>
            <w:tcW w:w="991" w:type="dxa"/>
            <w:tcBorders>
              <w:top w:val="nil"/>
              <w:left w:val="nil"/>
              <w:bottom w:val="single" w:sz="4" w:space="0" w:color="auto"/>
              <w:right w:val="single" w:sz="4" w:space="0" w:color="auto"/>
            </w:tcBorders>
            <w:shd w:val="clear" w:color="000000" w:fill="FFFFFF"/>
            <w:noWrap/>
            <w:vAlign w:val="bottom"/>
            <w:hideMark/>
          </w:tcPr>
          <w:p w14:paraId="52BDC11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2,88</w:t>
            </w:r>
          </w:p>
        </w:tc>
        <w:tc>
          <w:tcPr>
            <w:tcW w:w="991" w:type="dxa"/>
            <w:tcBorders>
              <w:top w:val="nil"/>
              <w:left w:val="nil"/>
              <w:bottom w:val="single" w:sz="4" w:space="0" w:color="auto"/>
              <w:right w:val="single" w:sz="4" w:space="0" w:color="auto"/>
            </w:tcBorders>
            <w:shd w:val="clear" w:color="000000" w:fill="FFFFFF"/>
            <w:noWrap/>
            <w:vAlign w:val="bottom"/>
            <w:hideMark/>
          </w:tcPr>
          <w:p w14:paraId="54A482B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2,70</w:t>
            </w:r>
          </w:p>
        </w:tc>
        <w:tc>
          <w:tcPr>
            <w:tcW w:w="991" w:type="dxa"/>
            <w:tcBorders>
              <w:top w:val="nil"/>
              <w:left w:val="nil"/>
              <w:bottom w:val="single" w:sz="4" w:space="0" w:color="auto"/>
              <w:right w:val="single" w:sz="4" w:space="0" w:color="auto"/>
            </w:tcBorders>
            <w:shd w:val="clear" w:color="000000" w:fill="FFFFFF"/>
            <w:noWrap/>
            <w:vAlign w:val="bottom"/>
            <w:hideMark/>
          </w:tcPr>
          <w:p w14:paraId="463782A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2,58</w:t>
            </w:r>
          </w:p>
        </w:tc>
        <w:tc>
          <w:tcPr>
            <w:tcW w:w="991" w:type="dxa"/>
            <w:tcBorders>
              <w:top w:val="nil"/>
              <w:left w:val="nil"/>
              <w:bottom w:val="single" w:sz="4" w:space="0" w:color="auto"/>
              <w:right w:val="single" w:sz="4" w:space="0" w:color="auto"/>
            </w:tcBorders>
            <w:shd w:val="clear" w:color="000000" w:fill="FFFFFF"/>
            <w:noWrap/>
            <w:vAlign w:val="bottom"/>
            <w:hideMark/>
          </w:tcPr>
          <w:p w14:paraId="5A9BB77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2,80</w:t>
            </w:r>
          </w:p>
        </w:tc>
      </w:tr>
      <w:tr w:rsidR="00B56301" w:rsidRPr="00C2292B" w14:paraId="7009B1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356837E" w14:textId="3049D89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78FF241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18130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9E751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EFFD2B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42C57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9F298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0F28C6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E10850" w14:textId="1C081E56"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5A08C3D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D4E2D0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23480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8F1B7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1EA0A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60594C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7A0F9A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621E2C" w14:textId="7E80832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112C4A9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2,72</w:t>
            </w:r>
          </w:p>
        </w:tc>
        <w:tc>
          <w:tcPr>
            <w:tcW w:w="991" w:type="dxa"/>
            <w:tcBorders>
              <w:top w:val="nil"/>
              <w:left w:val="nil"/>
              <w:bottom w:val="single" w:sz="4" w:space="0" w:color="auto"/>
              <w:right w:val="single" w:sz="4" w:space="0" w:color="auto"/>
            </w:tcBorders>
            <w:shd w:val="clear" w:color="000000" w:fill="FFFFFF"/>
            <w:noWrap/>
            <w:vAlign w:val="bottom"/>
            <w:hideMark/>
          </w:tcPr>
          <w:p w14:paraId="6B35423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2,89</w:t>
            </w:r>
          </w:p>
        </w:tc>
        <w:tc>
          <w:tcPr>
            <w:tcW w:w="991" w:type="dxa"/>
            <w:tcBorders>
              <w:top w:val="nil"/>
              <w:left w:val="nil"/>
              <w:bottom w:val="single" w:sz="4" w:space="0" w:color="auto"/>
              <w:right w:val="single" w:sz="4" w:space="0" w:color="auto"/>
            </w:tcBorders>
            <w:shd w:val="clear" w:color="000000" w:fill="FFFFFF"/>
            <w:noWrap/>
            <w:vAlign w:val="bottom"/>
            <w:hideMark/>
          </w:tcPr>
          <w:p w14:paraId="753A11E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2,87</w:t>
            </w:r>
          </w:p>
        </w:tc>
        <w:tc>
          <w:tcPr>
            <w:tcW w:w="991" w:type="dxa"/>
            <w:tcBorders>
              <w:top w:val="nil"/>
              <w:left w:val="nil"/>
              <w:bottom w:val="single" w:sz="4" w:space="0" w:color="auto"/>
              <w:right w:val="single" w:sz="4" w:space="0" w:color="auto"/>
            </w:tcBorders>
            <w:shd w:val="clear" w:color="000000" w:fill="FFFFFF"/>
            <w:noWrap/>
            <w:vAlign w:val="bottom"/>
            <w:hideMark/>
          </w:tcPr>
          <w:p w14:paraId="4FCD56D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3,00</w:t>
            </w:r>
          </w:p>
        </w:tc>
        <w:tc>
          <w:tcPr>
            <w:tcW w:w="991" w:type="dxa"/>
            <w:tcBorders>
              <w:top w:val="nil"/>
              <w:left w:val="nil"/>
              <w:bottom w:val="single" w:sz="4" w:space="0" w:color="auto"/>
              <w:right w:val="single" w:sz="4" w:space="0" w:color="auto"/>
            </w:tcBorders>
            <w:shd w:val="clear" w:color="000000" w:fill="FFFFFF"/>
            <w:noWrap/>
            <w:vAlign w:val="bottom"/>
            <w:hideMark/>
          </w:tcPr>
          <w:p w14:paraId="1388FEB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2,93</w:t>
            </w:r>
          </w:p>
        </w:tc>
        <w:tc>
          <w:tcPr>
            <w:tcW w:w="991" w:type="dxa"/>
            <w:tcBorders>
              <w:top w:val="nil"/>
              <w:left w:val="nil"/>
              <w:bottom w:val="single" w:sz="4" w:space="0" w:color="auto"/>
              <w:right w:val="single" w:sz="4" w:space="0" w:color="auto"/>
            </w:tcBorders>
            <w:shd w:val="clear" w:color="000000" w:fill="FFFFFF"/>
            <w:noWrap/>
            <w:vAlign w:val="bottom"/>
            <w:hideMark/>
          </w:tcPr>
          <w:p w14:paraId="09A0D4C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2,95</w:t>
            </w:r>
          </w:p>
        </w:tc>
      </w:tr>
      <w:tr w:rsidR="00B56301" w:rsidRPr="00C2292B" w14:paraId="173031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A33F87" w14:textId="2334A56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68C8FD4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9617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0CCF7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7F319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9F3A3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A06B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2D5D79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EFE970" w14:textId="35B9E3F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4DB2AC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04096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E88AD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23CB6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3DF73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41F4E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833C38" w14:paraId="3F126A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0211D2" w14:textId="376A5CA2"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4872A99D"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E1BD7B"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2F0287"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80F625"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6FC216"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7574E7"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r>
      <w:tr w:rsidR="00B56301" w:rsidRPr="00C2292B" w14:paraId="7F5BA63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7F48C3" w14:textId="067082A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6E173E9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CC8702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8397F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3695B4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DFCBB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97531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5CBCB64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A049EC3"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E4B98C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146,80</w:t>
            </w:r>
          </w:p>
        </w:tc>
        <w:tc>
          <w:tcPr>
            <w:tcW w:w="991" w:type="dxa"/>
            <w:tcBorders>
              <w:top w:val="nil"/>
              <w:left w:val="nil"/>
              <w:bottom w:val="single" w:sz="4" w:space="0" w:color="auto"/>
              <w:right w:val="single" w:sz="4" w:space="0" w:color="auto"/>
            </w:tcBorders>
            <w:shd w:val="clear" w:color="000000" w:fill="CCFFFF"/>
            <w:noWrap/>
            <w:vAlign w:val="bottom"/>
            <w:hideMark/>
          </w:tcPr>
          <w:p w14:paraId="552FC59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116,96</w:t>
            </w:r>
          </w:p>
        </w:tc>
        <w:tc>
          <w:tcPr>
            <w:tcW w:w="991" w:type="dxa"/>
            <w:tcBorders>
              <w:top w:val="nil"/>
              <w:left w:val="nil"/>
              <w:bottom w:val="single" w:sz="4" w:space="0" w:color="auto"/>
              <w:right w:val="single" w:sz="4" w:space="0" w:color="auto"/>
            </w:tcBorders>
            <w:shd w:val="clear" w:color="000000" w:fill="CCFFFF"/>
            <w:noWrap/>
            <w:vAlign w:val="bottom"/>
            <w:hideMark/>
          </w:tcPr>
          <w:p w14:paraId="24BCAC9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97,98</w:t>
            </w:r>
          </w:p>
        </w:tc>
        <w:tc>
          <w:tcPr>
            <w:tcW w:w="991" w:type="dxa"/>
            <w:tcBorders>
              <w:top w:val="nil"/>
              <w:left w:val="nil"/>
              <w:bottom w:val="single" w:sz="4" w:space="0" w:color="auto"/>
              <w:right w:val="single" w:sz="4" w:space="0" w:color="auto"/>
            </w:tcBorders>
            <w:shd w:val="clear" w:color="000000" w:fill="CCFFFF"/>
            <w:noWrap/>
            <w:vAlign w:val="bottom"/>
            <w:hideMark/>
          </w:tcPr>
          <w:p w14:paraId="753507A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83,35</w:t>
            </w:r>
          </w:p>
        </w:tc>
        <w:tc>
          <w:tcPr>
            <w:tcW w:w="991" w:type="dxa"/>
            <w:tcBorders>
              <w:top w:val="nil"/>
              <w:left w:val="nil"/>
              <w:bottom w:val="single" w:sz="4" w:space="0" w:color="auto"/>
              <w:right w:val="single" w:sz="4" w:space="0" w:color="auto"/>
            </w:tcBorders>
            <w:shd w:val="clear" w:color="000000" w:fill="CCFFFF"/>
            <w:noWrap/>
            <w:vAlign w:val="bottom"/>
            <w:hideMark/>
          </w:tcPr>
          <w:p w14:paraId="0E7438E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72,41</w:t>
            </w:r>
          </w:p>
        </w:tc>
        <w:tc>
          <w:tcPr>
            <w:tcW w:w="991" w:type="dxa"/>
            <w:tcBorders>
              <w:top w:val="nil"/>
              <w:left w:val="nil"/>
              <w:bottom w:val="single" w:sz="4" w:space="0" w:color="auto"/>
              <w:right w:val="single" w:sz="4" w:space="0" w:color="auto"/>
            </w:tcBorders>
            <w:shd w:val="clear" w:color="000000" w:fill="CCFFFF"/>
            <w:noWrap/>
            <w:vAlign w:val="bottom"/>
            <w:hideMark/>
          </w:tcPr>
          <w:p w14:paraId="1BB7296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67,71</w:t>
            </w:r>
          </w:p>
        </w:tc>
      </w:tr>
      <w:tr w:rsidR="00B56301" w:rsidRPr="00C2292B" w14:paraId="54FEC6F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A8A0EC" w14:textId="2551054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3632584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26,25</w:t>
            </w:r>
          </w:p>
        </w:tc>
        <w:tc>
          <w:tcPr>
            <w:tcW w:w="991" w:type="dxa"/>
            <w:tcBorders>
              <w:top w:val="nil"/>
              <w:left w:val="nil"/>
              <w:bottom w:val="single" w:sz="4" w:space="0" w:color="auto"/>
              <w:right w:val="single" w:sz="4" w:space="0" w:color="auto"/>
            </w:tcBorders>
            <w:shd w:val="clear" w:color="000000" w:fill="FFFFFF"/>
            <w:noWrap/>
            <w:vAlign w:val="bottom"/>
            <w:hideMark/>
          </w:tcPr>
          <w:p w14:paraId="447052E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24,23</w:t>
            </w:r>
          </w:p>
        </w:tc>
        <w:tc>
          <w:tcPr>
            <w:tcW w:w="991" w:type="dxa"/>
            <w:tcBorders>
              <w:top w:val="nil"/>
              <w:left w:val="nil"/>
              <w:bottom w:val="single" w:sz="4" w:space="0" w:color="auto"/>
              <w:right w:val="single" w:sz="4" w:space="0" w:color="auto"/>
            </w:tcBorders>
            <w:shd w:val="clear" w:color="000000" w:fill="FFFFFF"/>
            <w:noWrap/>
            <w:vAlign w:val="bottom"/>
            <w:hideMark/>
          </w:tcPr>
          <w:p w14:paraId="24298F4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25,26</w:t>
            </w:r>
          </w:p>
        </w:tc>
        <w:tc>
          <w:tcPr>
            <w:tcW w:w="991" w:type="dxa"/>
            <w:tcBorders>
              <w:top w:val="nil"/>
              <w:left w:val="nil"/>
              <w:bottom w:val="single" w:sz="4" w:space="0" w:color="auto"/>
              <w:right w:val="single" w:sz="4" w:space="0" w:color="auto"/>
            </w:tcBorders>
            <w:shd w:val="clear" w:color="000000" w:fill="FFFFFF"/>
            <w:noWrap/>
            <w:vAlign w:val="bottom"/>
            <w:hideMark/>
          </w:tcPr>
          <w:p w14:paraId="696B9B4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25,41</w:t>
            </w:r>
          </w:p>
        </w:tc>
        <w:tc>
          <w:tcPr>
            <w:tcW w:w="991" w:type="dxa"/>
            <w:tcBorders>
              <w:top w:val="nil"/>
              <w:left w:val="nil"/>
              <w:bottom w:val="single" w:sz="4" w:space="0" w:color="auto"/>
              <w:right w:val="single" w:sz="4" w:space="0" w:color="auto"/>
            </w:tcBorders>
            <w:shd w:val="clear" w:color="000000" w:fill="FFFFFF"/>
            <w:noWrap/>
            <w:vAlign w:val="bottom"/>
            <w:hideMark/>
          </w:tcPr>
          <w:p w14:paraId="6031850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24,02</w:t>
            </w:r>
          </w:p>
        </w:tc>
        <w:tc>
          <w:tcPr>
            <w:tcW w:w="991" w:type="dxa"/>
            <w:tcBorders>
              <w:top w:val="nil"/>
              <w:left w:val="nil"/>
              <w:bottom w:val="single" w:sz="4" w:space="0" w:color="auto"/>
              <w:right w:val="single" w:sz="4" w:space="0" w:color="auto"/>
            </w:tcBorders>
            <w:shd w:val="clear" w:color="000000" w:fill="FFFFFF"/>
            <w:noWrap/>
            <w:vAlign w:val="bottom"/>
            <w:hideMark/>
          </w:tcPr>
          <w:p w14:paraId="66C9564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28,97</w:t>
            </w:r>
          </w:p>
        </w:tc>
      </w:tr>
      <w:tr w:rsidR="00B56301" w:rsidRPr="00C2292B" w14:paraId="504C43C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24CDC6" w14:textId="3045438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7F6F40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4,85</w:t>
            </w:r>
          </w:p>
        </w:tc>
        <w:tc>
          <w:tcPr>
            <w:tcW w:w="991" w:type="dxa"/>
            <w:tcBorders>
              <w:top w:val="nil"/>
              <w:left w:val="nil"/>
              <w:bottom w:val="single" w:sz="4" w:space="0" w:color="auto"/>
              <w:right w:val="single" w:sz="4" w:space="0" w:color="auto"/>
            </w:tcBorders>
            <w:shd w:val="clear" w:color="000000" w:fill="FFFFFF"/>
            <w:noWrap/>
            <w:vAlign w:val="bottom"/>
            <w:hideMark/>
          </w:tcPr>
          <w:p w14:paraId="77FD8FB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557FE02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25C8509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4,85</w:t>
            </w:r>
          </w:p>
        </w:tc>
        <w:tc>
          <w:tcPr>
            <w:tcW w:w="991" w:type="dxa"/>
            <w:tcBorders>
              <w:top w:val="nil"/>
              <w:left w:val="nil"/>
              <w:bottom w:val="single" w:sz="4" w:space="0" w:color="auto"/>
              <w:right w:val="single" w:sz="4" w:space="0" w:color="auto"/>
            </w:tcBorders>
            <w:shd w:val="clear" w:color="000000" w:fill="FFFFFF"/>
            <w:noWrap/>
            <w:vAlign w:val="bottom"/>
            <w:hideMark/>
          </w:tcPr>
          <w:p w14:paraId="10C9028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4,88</w:t>
            </w:r>
          </w:p>
        </w:tc>
        <w:tc>
          <w:tcPr>
            <w:tcW w:w="991" w:type="dxa"/>
            <w:tcBorders>
              <w:top w:val="nil"/>
              <w:left w:val="nil"/>
              <w:bottom w:val="single" w:sz="4" w:space="0" w:color="auto"/>
              <w:right w:val="single" w:sz="4" w:space="0" w:color="auto"/>
            </w:tcBorders>
            <w:shd w:val="clear" w:color="000000" w:fill="FFFFFF"/>
            <w:noWrap/>
            <w:vAlign w:val="bottom"/>
            <w:hideMark/>
          </w:tcPr>
          <w:p w14:paraId="0A71F18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4,29</w:t>
            </w:r>
          </w:p>
        </w:tc>
      </w:tr>
      <w:tr w:rsidR="00B56301" w:rsidRPr="00C2292B" w14:paraId="7A3A7E8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D1F54E" w14:textId="6C3B47E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49BC5F0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5,71</w:t>
            </w:r>
          </w:p>
        </w:tc>
        <w:tc>
          <w:tcPr>
            <w:tcW w:w="991" w:type="dxa"/>
            <w:tcBorders>
              <w:top w:val="nil"/>
              <w:left w:val="nil"/>
              <w:bottom w:val="single" w:sz="4" w:space="0" w:color="auto"/>
              <w:right w:val="single" w:sz="4" w:space="0" w:color="auto"/>
            </w:tcBorders>
            <w:shd w:val="clear" w:color="000000" w:fill="FFFFFF"/>
            <w:noWrap/>
            <w:vAlign w:val="bottom"/>
            <w:hideMark/>
          </w:tcPr>
          <w:p w14:paraId="5A96FB3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5,91</w:t>
            </w:r>
          </w:p>
        </w:tc>
        <w:tc>
          <w:tcPr>
            <w:tcW w:w="991" w:type="dxa"/>
            <w:tcBorders>
              <w:top w:val="nil"/>
              <w:left w:val="nil"/>
              <w:bottom w:val="single" w:sz="4" w:space="0" w:color="auto"/>
              <w:right w:val="single" w:sz="4" w:space="0" w:color="auto"/>
            </w:tcBorders>
            <w:shd w:val="clear" w:color="000000" w:fill="FFFFFF"/>
            <w:noWrap/>
            <w:vAlign w:val="bottom"/>
            <w:hideMark/>
          </w:tcPr>
          <w:p w14:paraId="6D2F6A9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5,87</w:t>
            </w:r>
          </w:p>
        </w:tc>
        <w:tc>
          <w:tcPr>
            <w:tcW w:w="991" w:type="dxa"/>
            <w:tcBorders>
              <w:top w:val="nil"/>
              <w:left w:val="nil"/>
              <w:bottom w:val="single" w:sz="4" w:space="0" w:color="auto"/>
              <w:right w:val="single" w:sz="4" w:space="0" w:color="auto"/>
            </w:tcBorders>
            <w:shd w:val="clear" w:color="000000" w:fill="FFFFFF"/>
            <w:noWrap/>
            <w:vAlign w:val="bottom"/>
            <w:hideMark/>
          </w:tcPr>
          <w:p w14:paraId="4F19940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5,66</w:t>
            </w:r>
          </w:p>
        </w:tc>
        <w:tc>
          <w:tcPr>
            <w:tcW w:w="991" w:type="dxa"/>
            <w:tcBorders>
              <w:top w:val="nil"/>
              <w:left w:val="nil"/>
              <w:bottom w:val="single" w:sz="4" w:space="0" w:color="auto"/>
              <w:right w:val="single" w:sz="4" w:space="0" w:color="auto"/>
            </w:tcBorders>
            <w:shd w:val="clear" w:color="000000" w:fill="FFFFFF"/>
            <w:noWrap/>
            <w:vAlign w:val="bottom"/>
            <w:hideMark/>
          </w:tcPr>
          <w:p w14:paraId="2351852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5,84</w:t>
            </w:r>
          </w:p>
        </w:tc>
        <w:tc>
          <w:tcPr>
            <w:tcW w:w="991" w:type="dxa"/>
            <w:tcBorders>
              <w:top w:val="nil"/>
              <w:left w:val="nil"/>
              <w:bottom w:val="single" w:sz="4" w:space="0" w:color="auto"/>
              <w:right w:val="single" w:sz="4" w:space="0" w:color="auto"/>
            </w:tcBorders>
            <w:shd w:val="clear" w:color="000000" w:fill="FFFFFF"/>
            <w:noWrap/>
            <w:vAlign w:val="bottom"/>
            <w:hideMark/>
          </w:tcPr>
          <w:p w14:paraId="096EC9A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5,00</w:t>
            </w:r>
          </w:p>
        </w:tc>
      </w:tr>
      <w:tr w:rsidR="00B56301" w:rsidRPr="00C2292B" w14:paraId="44536CF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5EF98" w14:textId="3941A6C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3195642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B30D08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ABD0ED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31EECCE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3137BDB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427602B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0,21</w:t>
            </w:r>
          </w:p>
        </w:tc>
      </w:tr>
      <w:tr w:rsidR="00B56301" w:rsidRPr="00C2292B" w14:paraId="7732BEF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881FF0" w14:textId="26A72B7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343E1CB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1,87</w:t>
            </w:r>
          </w:p>
        </w:tc>
        <w:tc>
          <w:tcPr>
            <w:tcW w:w="991" w:type="dxa"/>
            <w:tcBorders>
              <w:top w:val="nil"/>
              <w:left w:val="nil"/>
              <w:bottom w:val="single" w:sz="4" w:space="0" w:color="auto"/>
              <w:right w:val="single" w:sz="4" w:space="0" w:color="auto"/>
            </w:tcBorders>
            <w:shd w:val="clear" w:color="000000" w:fill="FFFFFF"/>
            <w:noWrap/>
            <w:vAlign w:val="bottom"/>
            <w:hideMark/>
          </w:tcPr>
          <w:p w14:paraId="4DE0933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1,74</w:t>
            </w:r>
          </w:p>
        </w:tc>
        <w:tc>
          <w:tcPr>
            <w:tcW w:w="991" w:type="dxa"/>
            <w:tcBorders>
              <w:top w:val="nil"/>
              <w:left w:val="nil"/>
              <w:bottom w:val="single" w:sz="4" w:space="0" w:color="auto"/>
              <w:right w:val="single" w:sz="4" w:space="0" w:color="auto"/>
            </w:tcBorders>
            <w:shd w:val="clear" w:color="000000" w:fill="FFFFFF"/>
            <w:noWrap/>
            <w:vAlign w:val="bottom"/>
            <w:hideMark/>
          </w:tcPr>
          <w:p w14:paraId="3B7C6CB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2,07</w:t>
            </w:r>
          </w:p>
        </w:tc>
        <w:tc>
          <w:tcPr>
            <w:tcW w:w="991" w:type="dxa"/>
            <w:tcBorders>
              <w:top w:val="nil"/>
              <w:left w:val="nil"/>
              <w:bottom w:val="single" w:sz="4" w:space="0" w:color="auto"/>
              <w:right w:val="single" w:sz="4" w:space="0" w:color="auto"/>
            </w:tcBorders>
            <w:shd w:val="clear" w:color="000000" w:fill="FFFFFF"/>
            <w:noWrap/>
            <w:vAlign w:val="bottom"/>
            <w:hideMark/>
          </w:tcPr>
          <w:p w14:paraId="2F626F4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6E53103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2,52</w:t>
            </w:r>
          </w:p>
        </w:tc>
        <w:tc>
          <w:tcPr>
            <w:tcW w:w="991" w:type="dxa"/>
            <w:tcBorders>
              <w:top w:val="nil"/>
              <w:left w:val="nil"/>
              <w:bottom w:val="single" w:sz="4" w:space="0" w:color="auto"/>
              <w:right w:val="single" w:sz="4" w:space="0" w:color="auto"/>
            </w:tcBorders>
            <w:shd w:val="clear" w:color="000000" w:fill="FFFFFF"/>
            <w:noWrap/>
            <w:vAlign w:val="bottom"/>
            <w:hideMark/>
          </w:tcPr>
          <w:p w14:paraId="03A1F4A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1,77</w:t>
            </w:r>
          </w:p>
        </w:tc>
      </w:tr>
      <w:tr w:rsidR="00B56301" w:rsidRPr="00C2292B" w14:paraId="0E725A5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D615CC" w14:textId="763BE0B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00F394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3164B7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959DDC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9F364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1F200B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12F5F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065995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FFDCF8" w14:textId="72283D1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19CD067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7EAE9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FBE39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57F04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AA93E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F8441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3C9BB4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B8EEDE" w14:textId="6924A5A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12B082E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107,90</w:t>
            </w:r>
          </w:p>
        </w:tc>
        <w:tc>
          <w:tcPr>
            <w:tcW w:w="991" w:type="dxa"/>
            <w:tcBorders>
              <w:top w:val="nil"/>
              <w:left w:val="nil"/>
              <w:bottom w:val="single" w:sz="4" w:space="0" w:color="auto"/>
              <w:right w:val="single" w:sz="4" w:space="0" w:color="auto"/>
            </w:tcBorders>
            <w:shd w:val="clear" w:color="000000" w:fill="FFFFFF"/>
            <w:noWrap/>
            <w:vAlign w:val="bottom"/>
            <w:hideMark/>
          </w:tcPr>
          <w:p w14:paraId="1899CF7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79,81</w:t>
            </w:r>
          </w:p>
        </w:tc>
        <w:tc>
          <w:tcPr>
            <w:tcW w:w="991" w:type="dxa"/>
            <w:tcBorders>
              <w:top w:val="nil"/>
              <w:left w:val="nil"/>
              <w:bottom w:val="single" w:sz="4" w:space="0" w:color="auto"/>
              <w:right w:val="single" w:sz="4" w:space="0" w:color="auto"/>
            </w:tcBorders>
            <w:shd w:val="clear" w:color="000000" w:fill="FFFFFF"/>
            <w:noWrap/>
            <w:vAlign w:val="bottom"/>
            <w:hideMark/>
          </w:tcPr>
          <w:p w14:paraId="5FB937B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59,67</w:t>
            </w:r>
          </w:p>
        </w:tc>
        <w:tc>
          <w:tcPr>
            <w:tcW w:w="991" w:type="dxa"/>
            <w:tcBorders>
              <w:top w:val="nil"/>
              <w:left w:val="nil"/>
              <w:bottom w:val="single" w:sz="4" w:space="0" w:color="auto"/>
              <w:right w:val="single" w:sz="4" w:space="0" w:color="auto"/>
            </w:tcBorders>
            <w:shd w:val="clear" w:color="000000" w:fill="FFFFFF"/>
            <w:noWrap/>
            <w:vAlign w:val="bottom"/>
            <w:hideMark/>
          </w:tcPr>
          <w:p w14:paraId="5F9B2A6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45,23</w:t>
            </w:r>
          </w:p>
        </w:tc>
        <w:tc>
          <w:tcPr>
            <w:tcW w:w="991" w:type="dxa"/>
            <w:tcBorders>
              <w:top w:val="nil"/>
              <w:left w:val="nil"/>
              <w:bottom w:val="single" w:sz="4" w:space="0" w:color="auto"/>
              <w:right w:val="single" w:sz="4" w:space="0" w:color="auto"/>
            </w:tcBorders>
            <w:shd w:val="clear" w:color="000000" w:fill="FFFFFF"/>
            <w:noWrap/>
            <w:vAlign w:val="bottom"/>
            <w:hideMark/>
          </w:tcPr>
          <w:p w14:paraId="5EB6200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34,89</w:t>
            </w:r>
          </w:p>
        </w:tc>
        <w:tc>
          <w:tcPr>
            <w:tcW w:w="991" w:type="dxa"/>
            <w:tcBorders>
              <w:top w:val="nil"/>
              <w:left w:val="nil"/>
              <w:bottom w:val="single" w:sz="4" w:space="0" w:color="auto"/>
              <w:right w:val="single" w:sz="4" w:space="0" w:color="auto"/>
            </w:tcBorders>
            <w:shd w:val="clear" w:color="000000" w:fill="FFFFFF"/>
            <w:noWrap/>
            <w:vAlign w:val="bottom"/>
            <w:hideMark/>
          </w:tcPr>
          <w:p w14:paraId="0BF7CDB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27,47</w:t>
            </w:r>
          </w:p>
        </w:tc>
      </w:tr>
      <w:tr w:rsidR="00B56301" w:rsidRPr="00C2292B" w14:paraId="38DB87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5B31BB" w14:textId="3DF45DD9"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118FAC8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683,94</w:t>
            </w:r>
          </w:p>
        </w:tc>
        <w:tc>
          <w:tcPr>
            <w:tcW w:w="991" w:type="dxa"/>
            <w:tcBorders>
              <w:top w:val="nil"/>
              <w:left w:val="nil"/>
              <w:bottom w:val="single" w:sz="4" w:space="0" w:color="auto"/>
              <w:right w:val="single" w:sz="4" w:space="0" w:color="auto"/>
            </w:tcBorders>
            <w:shd w:val="clear" w:color="000000" w:fill="CCFFFF"/>
            <w:noWrap/>
            <w:vAlign w:val="bottom"/>
            <w:hideMark/>
          </w:tcPr>
          <w:p w14:paraId="4FDB59F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692,18</w:t>
            </w:r>
          </w:p>
        </w:tc>
        <w:tc>
          <w:tcPr>
            <w:tcW w:w="991" w:type="dxa"/>
            <w:tcBorders>
              <w:top w:val="nil"/>
              <w:left w:val="nil"/>
              <w:bottom w:val="single" w:sz="4" w:space="0" w:color="auto"/>
              <w:right w:val="single" w:sz="4" w:space="0" w:color="auto"/>
            </w:tcBorders>
            <w:shd w:val="clear" w:color="000000" w:fill="CCFFFF"/>
            <w:noWrap/>
            <w:vAlign w:val="bottom"/>
            <w:hideMark/>
          </w:tcPr>
          <w:p w14:paraId="2D1824A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700,63</w:t>
            </w:r>
          </w:p>
        </w:tc>
        <w:tc>
          <w:tcPr>
            <w:tcW w:w="991" w:type="dxa"/>
            <w:tcBorders>
              <w:top w:val="nil"/>
              <w:left w:val="nil"/>
              <w:bottom w:val="single" w:sz="4" w:space="0" w:color="auto"/>
              <w:right w:val="single" w:sz="4" w:space="0" w:color="auto"/>
            </w:tcBorders>
            <w:shd w:val="clear" w:color="000000" w:fill="CCFFFF"/>
            <w:noWrap/>
            <w:vAlign w:val="bottom"/>
            <w:hideMark/>
          </w:tcPr>
          <w:p w14:paraId="12435AD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720,98</w:t>
            </w:r>
          </w:p>
        </w:tc>
        <w:tc>
          <w:tcPr>
            <w:tcW w:w="991" w:type="dxa"/>
            <w:tcBorders>
              <w:top w:val="nil"/>
              <w:left w:val="nil"/>
              <w:bottom w:val="single" w:sz="4" w:space="0" w:color="auto"/>
              <w:right w:val="single" w:sz="4" w:space="0" w:color="auto"/>
            </w:tcBorders>
            <w:shd w:val="clear" w:color="000000" w:fill="CCFFFF"/>
            <w:noWrap/>
            <w:vAlign w:val="bottom"/>
            <w:hideMark/>
          </w:tcPr>
          <w:p w14:paraId="3D01803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732,77</w:t>
            </w:r>
          </w:p>
        </w:tc>
        <w:tc>
          <w:tcPr>
            <w:tcW w:w="991" w:type="dxa"/>
            <w:tcBorders>
              <w:top w:val="nil"/>
              <w:left w:val="nil"/>
              <w:bottom w:val="single" w:sz="4" w:space="0" w:color="auto"/>
              <w:right w:val="single" w:sz="4" w:space="0" w:color="auto"/>
            </w:tcBorders>
            <w:shd w:val="clear" w:color="000000" w:fill="CCFFFF"/>
            <w:noWrap/>
            <w:vAlign w:val="bottom"/>
            <w:hideMark/>
          </w:tcPr>
          <w:p w14:paraId="7DA1879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744,08</w:t>
            </w:r>
          </w:p>
        </w:tc>
      </w:tr>
      <w:tr w:rsidR="00B56301" w:rsidRPr="00C2292B" w14:paraId="5D6F48B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DB6D07" w14:textId="62C127A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4F28B4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596,56</w:t>
            </w:r>
          </w:p>
        </w:tc>
        <w:tc>
          <w:tcPr>
            <w:tcW w:w="991" w:type="dxa"/>
            <w:tcBorders>
              <w:top w:val="nil"/>
              <w:left w:val="nil"/>
              <w:bottom w:val="single" w:sz="4" w:space="0" w:color="auto"/>
              <w:right w:val="single" w:sz="4" w:space="0" w:color="auto"/>
            </w:tcBorders>
            <w:shd w:val="clear" w:color="000000" w:fill="FFFFFF"/>
            <w:noWrap/>
            <w:vAlign w:val="bottom"/>
            <w:hideMark/>
          </w:tcPr>
          <w:p w14:paraId="17D6AFB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601,01</w:t>
            </w:r>
          </w:p>
        </w:tc>
        <w:tc>
          <w:tcPr>
            <w:tcW w:w="991" w:type="dxa"/>
            <w:tcBorders>
              <w:top w:val="nil"/>
              <w:left w:val="nil"/>
              <w:bottom w:val="single" w:sz="4" w:space="0" w:color="auto"/>
              <w:right w:val="single" w:sz="4" w:space="0" w:color="auto"/>
            </w:tcBorders>
            <w:shd w:val="clear" w:color="000000" w:fill="FFFFFF"/>
            <w:noWrap/>
            <w:vAlign w:val="bottom"/>
            <w:hideMark/>
          </w:tcPr>
          <w:p w14:paraId="221FAF8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606,03</w:t>
            </w:r>
          </w:p>
        </w:tc>
        <w:tc>
          <w:tcPr>
            <w:tcW w:w="991" w:type="dxa"/>
            <w:tcBorders>
              <w:top w:val="nil"/>
              <w:left w:val="nil"/>
              <w:bottom w:val="single" w:sz="4" w:space="0" w:color="auto"/>
              <w:right w:val="single" w:sz="4" w:space="0" w:color="auto"/>
            </w:tcBorders>
            <w:shd w:val="clear" w:color="000000" w:fill="FFFFFF"/>
            <w:noWrap/>
            <w:vAlign w:val="bottom"/>
            <w:hideMark/>
          </w:tcPr>
          <w:p w14:paraId="349CF8A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622,34</w:t>
            </w:r>
          </w:p>
        </w:tc>
        <w:tc>
          <w:tcPr>
            <w:tcW w:w="991" w:type="dxa"/>
            <w:tcBorders>
              <w:top w:val="nil"/>
              <w:left w:val="nil"/>
              <w:bottom w:val="single" w:sz="4" w:space="0" w:color="auto"/>
              <w:right w:val="single" w:sz="4" w:space="0" w:color="auto"/>
            </w:tcBorders>
            <w:shd w:val="clear" w:color="000000" w:fill="FFFFFF"/>
            <w:noWrap/>
            <w:vAlign w:val="bottom"/>
            <w:hideMark/>
          </w:tcPr>
          <w:p w14:paraId="04FAE94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630,69</w:t>
            </w:r>
          </w:p>
        </w:tc>
        <w:tc>
          <w:tcPr>
            <w:tcW w:w="991" w:type="dxa"/>
            <w:tcBorders>
              <w:top w:val="nil"/>
              <w:left w:val="nil"/>
              <w:bottom w:val="single" w:sz="4" w:space="0" w:color="auto"/>
              <w:right w:val="single" w:sz="4" w:space="0" w:color="auto"/>
            </w:tcBorders>
            <w:shd w:val="clear" w:color="000000" w:fill="FFFFFF"/>
            <w:noWrap/>
            <w:vAlign w:val="bottom"/>
            <w:hideMark/>
          </w:tcPr>
          <w:p w14:paraId="28D3B90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639,84</w:t>
            </w:r>
          </w:p>
        </w:tc>
      </w:tr>
      <w:tr w:rsidR="00B56301" w:rsidRPr="00C2292B" w14:paraId="3DF903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468821" w14:textId="271BC328"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9E10B1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11,70</w:t>
            </w:r>
          </w:p>
        </w:tc>
        <w:tc>
          <w:tcPr>
            <w:tcW w:w="991" w:type="dxa"/>
            <w:tcBorders>
              <w:top w:val="nil"/>
              <w:left w:val="nil"/>
              <w:bottom w:val="single" w:sz="4" w:space="0" w:color="auto"/>
              <w:right w:val="single" w:sz="4" w:space="0" w:color="auto"/>
            </w:tcBorders>
            <w:shd w:val="clear" w:color="000000" w:fill="FFFFFF"/>
            <w:noWrap/>
            <w:vAlign w:val="bottom"/>
            <w:hideMark/>
          </w:tcPr>
          <w:p w14:paraId="2972640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12,52</w:t>
            </w:r>
          </w:p>
        </w:tc>
        <w:tc>
          <w:tcPr>
            <w:tcW w:w="991" w:type="dxa"/>
            <w:tcBorders>
              <w:top w:val="nil"/>
              <w:left w:val="nil"/>
              <w:bottom w:val="single" w:sz="4" w:space="0" w:color="auto"/>
              <w:right w:val="single" w:sz="4" w:space="0" w:color="auto"/>
            </w:tcBorders>
            <w:shd w:val="clear" w:color="000000" w:fill="FFFFFF"/>
            <w:noWrap/>
            <w:vAlign w:val="bottom"/>
            <w:hideMark/>
          </w:tcPr>
          <w:p w14:paraId="2474BDC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12,92</w:t>
            </w:r>
          </w:p>
        </w:tc>
        <w:tc>
          <w:tcPr>
            <w:tcW w:w="991" w:type="dxa"/>
            <w:tcBorders>
              <w:top w:val="nil"/>
              <w:left w:val="nil"/>
              <w:bottom w:val="single" w:sz="4" w:space="0" w:color="auto"/>
              <w:right w:val="single" w:sz="4" w:space="0" w:color="auto"/>
            </w:tcBorders>
            <w:shd w:val="clear" w:color="000000" w:fill="FFFFFF"/>
            <w:noWrap/>
            <w:vAlign w:val="bottom"/>
            <w:hideMark/>
          </w:tcPr>
          <w:p w14:paraId="2DA2707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13,87</w:t>
            </w:r>
          </w:p>
        </w:tc>
        <w:tc>
          <w:tcPr>
            <w:tcW w:w="991" w:type="dxa"/>
            <w:tcBorders>
              <w:top w:val="nil"/>
              <w:left w:val="nil"/>
              <w:bottom w:val="single" w:sz="4" w:space="0" w:color="auto"/>
              <w:right w:val="single" w:sz="4" w:space="0" w:color="auto"/>
            </w:tcBorders>
            <w:shd w:val="clear" w:color="000000" w:fill="FFFFFF"/>
            <w:noWrap/>
            <w:vAlign w:val="bottom"/>
            <w:hideMark/>
          </w:tcPr>
          <w:p w14:paraId="4BC0420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16,57</w:t>
            </w:r>
          </w:p>
        </w:tc>
        <w:tc>
          <w:tcPr>
            <w:tcW w:w="991" w:type="dxa"/>
            <w:tcBorders>
              <w:top w:val="nil"/>
              <w:left w:val="nil"/>
              <w:bottom w:val="single" w:sz="4" w:space="0" w:color="auto"/>
              <w:right w:val="single" w:sz="4" w:space="0" w:color="auto"/>
            </w:tcBorders>
            <w:shd w:val="clear" w:color="000000" w:fill="FFFFFF"/>
            <w:noWrap/>
            <w:vAlign w:val="bottom"/>
            <w:hideMark/>
          </w:tcPr>
          <w:p w14:paraId="29B2732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17,85</w:t>
            </w:r>
          </w:p>
        </w:tc>
      </w:tr>
      <w:tr w:rsidR="00B56301" w:rsidRPr="00C2292B" w14:paraId="515544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1863A2" w14:textId="6F1AAEEB"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C.</w:t>
            </w:r>
            <w:r w:rsidR="00260E0B">
              <w:rPr>
                <w:rFonts w:asciiTheme="minorHAnsi" w:hAnsiTheme="minorHAnsi"/>
                <w:sz w:val="16"/>
                <w:szCs w:val="16"/>
                <w:lang w:val="en-GB"/>
              </w:rPr>
              <w:t xml:space="preserve"> </w:t>
            </w:r>
            <w:r w:rsidRPr="0034391E">
              <w:rPr>
                <w:rFonts w:asciiTheme="minorHAnsi" w:hAnsiTheme="minorHAnsi"/>
                <w:sz w:val="16"/>
                <w:szCs w:val="16"/>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63B2EAB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0,84</w:t>
            </w:r>
          </w:p>
        </w:tc>
        <w:tc>
          <w:tcPr>
            <w:tcW w:w="991" w:type="dxa"/>
            <w:tcBorders>
              <w:top w:val="nil"/>
              <w:left w:val="nil"/>
              <w:bottom w:val="single" w:sz="4" w:space="0" w:color="auto"/>
              <w:right w:val="single" w:sz="4" w:space="0" w:color="auto"/>
            </w:tcBorders>
            <w:shd w:val="clear" w:color="000000" w:fill="FFFFFF"/>
            <w:noWrap/>
            <w:vAlign w:val="bottom"/>
            <w:hideMark/>
          </w:tcPr>
          <w:p w14:paraId="61E4009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0,85</w:t>
            </w:r>
          </w:p>
        </w:tc>
        <w:tc>
          <w:tcPr>
            <w:tcW w:w="991" w:type="dxa"/>
            <w:tcBorders>
              <w:top w:val="nil"/>
              <w:left w:val="nil"/>
              <w:bottom w:val="single" w:sz="4" w:space="0" w:color="auto"/>
              <w:right w:val="single" w:sz="4" w:space="0" w:color="auto"/>
            </w:tcBorders>
            <w:shd w:val="clear" w:color="000000" w:fill="FFFFFF"/>
            <w:noWrap/>
            <w:vAlign w:val="bottom"/>
            <w:hideMark/>
          </w:tcPr>
          <w:p w14:paraId="02F6A57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0,86</w:t>
            </w:r>
          </w:p>
        </w:tc>
        <w:tc>
          <w:tcPr>
            <w:tcW w:w="991" w:type="dxa"/>
            <w:tcBorders>
              <w:top w:val="nil"/>
              <w:left w:val="nil"/>
              <w:bottom w:val="single" w:sz="4" w:space="0" w:color="auto"/>
              <w:right w:val="single" w:sz="4" w:space="0" w:color="auto"/>
            </w:tcBorders>
            <w:shd w:val="clear" w:color="000000" w:fill="FFFFFF"/>
            <w:noWrap/>
            <w:vAlign w:val="bottom"/>
            <w:hideMark/>
          </w:tcPr>
          <w:p w14:paraId="4B36006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71BA17C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0,89</w:t>
            </w:r>
          </w:p>
        </w:tc>
        <w:tc>
          <w:tcPr>
            <w:tcW w:w="991" w:type="dxa"/>
            <w:tcBorders>
              <w:top w:val="nil"/>
              <w:left w:val="nil"/>
              <w:bottom w:val="single" w:sz="4" w:space="0" w:color="auto"/>
              <w:right w:val="single" w:sz="4" w:space="0" w:color="auto"/>
            </w:tcBorders>
            <w:shd w:val="clear" w:color="000000" w:fill="FFFFFF"/>
            <w:noWrap/>
            <w:vAlign w:val="bottom"/>
            <w:hideMark/>
          </w:tcPr>
          <w:p w14:paraId="0B30270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0,90</w:t>
            </w:r>
          </w:p>
        </w:tc>
      </w:tr>
      <w:tr w:rsidR="00B56301" w:rsidRPr="00C2292B" w14:paraId="0B56A09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27505E" w14:textId="6DB561F5"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3243042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74,85</w:t>
            </w:r>
          </w:p>
        </w:tc>
        <w:tc>
          <w:tcPr>
            <w:tcW w:w="991" w:type="dxa"/>
            <w:tcBorders>
              <w:top w:val="nil"/>
              <w:left w:val="nil"/>
              <w:bottom w:val="single" w:sz="4" w:space="0" w:color="auto"/>
              <w:right w:val="single" w:sz="4" w:space="0" w:color="auto"/>
            </w:tcBorders>
            <w:shd w:val="clear" w:color="000000" w:fill="FFFFFF"/>
            <w:noWrap/>
            <w:vAlign w:val="bottom"/>
            <w:hideMark/>
          </w:tcPr>
          <w:p w14:paraId="5004575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77,80</w:t>
            </w:r>
          </w:p>
        </w:tc>
        <w:tc>
          <w:tcPr>
            <w:tcW w:w="991" w:type="dxa"/>
            <w:tcBorders>
              <w:top w:val="nil"/>
              <w:left w:val="nil"/>
              <w:bottom w:val="single" w:sz="4" w:space="0" w:color="auto"/>
              <w:right w:val="single" w:sz="4" w:space="0" w:color="auto"/>
            </w:tcBorders>
            <w:shd w:val="clear" w:color="000000" w:fill="FFFFFF"/>
            <w:noWrap/>
            <w:vAlign w:val="bottom"/>
            <w:hideMark/>
          </w:tcPr>
          <w:p w14:paraId="51977D6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80,82</w:t>
            </w:r>
          </w:p>
        </w:tc>
        <w:tc>
          <w:tcPr>
            <w:tcW w:w="991" w:type="dxa"/>
            <w:tcBorders>
              <w:top w:val="nil"/>
              <w:left w:val="nil"/>
              <w:bottom w:val="single" w:sz="4" w:space="0" w:color="auto"/>
              <w:right w:val="single" w:sz="4" w:space="0" w:color="auto"/>
            </w:tcBorders>
            <w:shd w:val="clear" w:color="000000" w:fill="FFFFFF"/>
            <w:noWrap/>
            <w:vAlign w:val="bottom"/>
            <w:hideMark/>
          </w:tcPr>
          <w:p w14:paraId="3BB26EE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83,90</w:t>
            </w:r>
          </w:p>
        </w:tc>
        <w:tc>
          <w:tcPr>
            <w:tcW w:w="991" w:type="dxa"/>
            <w:tcBorders>
              <w:top w:val="nil"/>
              <w:left w:val="nil"/>
              <w:bottom w:val="single" w:sz="4" w:space="0" w:color="auto"/>
              <w:right w:val="single" w:sz="4" w:space="0" w:color="auto"/>
            </w:tcBorders>
            <w:shd w:val="clear" w:color="000000" w:fill="FFFFFF"/>
            <w:noWrap/>
            <w:vAlign w:val="bottom"/>
            <w:hideMark/>
          </w:tcPr>
          <w:p w14:paraId="475533E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84,62</w:t>
            </w:r>
          </w:p>
        </w:tc>
        <w:tc>
          <w:tcPr>
            <w:tcW w:w="991" w:type="dxa"/>
            <w:tcBorders>
              <w:top w:val="nil"/>
              <w:left w:val="nil"/>
              <w:bottom w:val="single" w:sz="4" w:space="0" w:color="auto"/>
              <w:right w:val="single" w:sz="4" w:space="0" w:color="auto"/>
            </w:tcBorders>
            <w:shd w:val="clear" w:color="000000" w:fill="FFFFFF"/>
            <w:noWrap/>
            <w:vAlign w:val="bottom"/>
            <w:hideMark/>
          </w:tcPr>
          <w:p w14:paraId="2AB560F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85,48</w:t>
            </w:r>
          </w:p>
        </w:tc>
      </w:tr>
      <w:tr w:rsidR="00B56301" w:rsidRPr="00C2292B" w14:paraId="58340C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5C13DB" w14:textId="627BE61E"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08727F3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8745D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F8EE8F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88B93B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DAD7F8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017D6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0290C2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6BD75" w14:textId="4637FF50"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C2F1A5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11E6C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37CF271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11BDCE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4F53B5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EF25AC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NO</w:t>
            </w:r>
          </w:p>
        </w:tc>
      </w:tr>
      <w:tr w:rsidR="00B56301" w:rsidRPr="00C2292B" w14:paraId="7627A6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68B5C40" w14:textId="5E048AE6"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without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B5EAE5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2815,32</w:t>
            </w:r>
          </w:p>
        </w:tc>
        <w:tc>
          <w:tcPr>
            <w:tcW w:w="991" w:type="dxa"/>
            <w:tcBorders>
              <w:top w:val="nil"/>
              <w:left w:val="nil"/>
              <w:bottom w:val="single" w:sz="4" w:space="0" w:color="auto"/>
              <w:right w:val="single" w:sz="4" w:space="0" w:color="auto"/>
            </w:tcBorders>
            <w:shd w:val="clear" w:color="000000" w:fill="CCFFFF"/>
            <w:noWrap/>
            <w:vAlign w:val="bottom"/>
            <w:hideMark/>
          </w:tcPr>
          <w:p w14:paraId="6A52F4B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2778,77</w:t>
            </w:r>
          </w:p>
        </w:tc>
        <w:tc>
          <w:tcPr>
            <w:tcW w:w="991" w:type="dxa"/>
            <w:tcBorders>
              <w:top w:val="nil"/>
              <w:left w:val="nil"/>
              <w:bottom w:val="single" w:sz="4" w:space="0" w:color="auto"/>
              <w:right w:val="single" w:sz="4" w:space="0" w:color="auto"/>
            </w:tcBorders>
            <w:shd w:val="clear" w:color="000000" w:fill="CCFFFF"/>
            <w:noWrap/>
            <w:vAlign w:val="bottom"/>
            <w:hideMark/>
          </w:tcPr>
          <w:p w14:paraId="0B831F7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2729,09</w:t>
            </w:r>
          </w:p>
        </w:tc>
        <w:tc>
          <w:tcPr>
            <w:tcW w:w="991" w:type="dxa"/>
            <w:tcBorders>
              <w:top w:val="nil"/>
              <w:left w:val="nil"/>
              <w:bottom w:val="single" w:sz="4" w:space="0" w:color="auto"/>
              <w:right w:val="single" w:sz="4" w:space="0" w:color="auto"/>
            </w:tcBorders>
            <w:shd w:val="clear" w:color="000000" w:fill="CCFFFF"/>
            <w:noWrap/>
            <w:vAlign w:val="bottom"/>
            <w:hideMark/>
          </w:tcPr>
          <w:p w14:paraId="405B91B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2730,90</w:t>
            </w:r>
          </w:p>
        </w:tc>
        <w:tc>
          <w:tcPr>
            <w:tcW w:w="991" w:type="dxa"/>
            <w:tcBorders>
              <w:top w:val="nil"/>
              <w:left w:val="nil"/>
              <w:bottom w:val="single" w:sz="4" w:space="0" w:color="auto"/>
              <w:right w:val="single" w:sz="4" w:space="0" w:color="auto"/>
            </w:tcBorders>
            <w:shd w:val="clear" w:color="000000" w:fill="CCFFFF"/>
            <w:noWrap/>
            <w:vAlign w:val="bottom"/>
            <w:hideMark/>
          </w:tcPr>
          <w:p w14:paraId="13F2FA9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2729,22</w:t>
            </w:r>
          </w:p>
        </w:tc>
        <w:tc>
          <w:tcPr>
            <w:tcW w:w="991" w:type="dxa"/>
            <w:tcBorders>
              <w:top w:val="nil"/>
              <w:left w:val="nil"/>
              <w:bottom w:val="single" w:sz="4" w:space="0" w:color="auto"/>
              <w:right w:val="single" w:sz="4" w:space="0" w:color="auto"/>
            </w:tcBorders>
            <w:shd w:val="clear" w:color="000000" w:fill="CCFFFF"/>
            <w:noWrap/>
            <w:vAlign w:val="bottom"/>
            <w:hideMark/>
          </w:tcPr>
          <w:p w14:paraId="6B855C0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2744,11</w:t>
            </w:r>
          </w:p>
        </w:tc>
      </w:tr>
      <w:tr w:rsidR="00B56301" w:rsidRPr="00C2292B" w14:paraId="27B3A9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A19F4CC" w14:textId="5C09C99F"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00D1193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2962,12</w:t>
            </w:r>
          </w:p>
        </w:tc>
        <w:tc>
          <w:tcPr>
            <w:tcW w:w="991" w:type="dxa"/>
            <w:tcBorders>
              <w:top w:val="nil"/>
              <w:left w:val="nil"/>
              <w:bottom w:val="single" w:sz="4" w:space="0" w:color="auto"/>
              <w:right w:val="single" w:sz="4" w:space="0" w:color="auto"/>
            </w:tcBorders>
            <w:shd w:val="clear" w:color="000000" w:fill="CCFFFF"/>
            <w:noWrap/>
            <w:vAlign w:val="bottom"/>
            <w:hideMark/>
          </w:tcPr>
          <w:p w14:paraId="70C21EE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2895,73</w:t>
            </w:r>
          </w:p>
        </w:tc>
        <w:tc>
          <w:tcPr>
            <w:tcW w:w="991" w:type="dxa"/>
            <w:tcBorders>
              <w:top w:val="nil"/>
              <w:left w:val="nil"/>
              <w:bottom w:val="single" w:sz="4" w:space="0" w:color="auto"/>
              <w:right w:val="single" w:sz="4" w:space="0" w:color="auto"/>
            </w:tcBorders>
            <w:shd w:val="clear" w:color="000000" w:fill="CCFFFF"/>
            <w:noWrap/>
            <w:vAlign w:val="bottom"/>
            <w:hideMark/>
          </w:tcPr>
          <w:p w14:paraId="6228C41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2827,07</w:t>
            </w:r>
          </w:p>
        </w:tc>
        <w:tc>
          <w:tcPr>
            <w:tcW w:w="991" w:type="dxa"/>
            <w:tcBorders>
              <w:top w:val="nil"/>
              <w:left w:val="nil"/>
              <w:bottom w:val="single" w:sz="4" w:space="0" w:color="auto"/>
              <w:right w:val="single" w:sz="4" w:space="0" w:color="auto"/>
            </w:tcBorders>
            <w:shd w:val="clear" w:color="000000" w:fill="CCFFFF"/>
            <w:noWrap/>
            <w:vAlign w:val="bottom"/>
            <w:hideMark/>
          </w:tcPr>
          <w:p w14:paraId="50F8481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2814,25</w:t>
            </w:r>
          </w:p>
        </w:tc>
        <w:tc>
          <w:tcPr>
            <w:tcW w:w="991" w:type="dxa"/>
            <w:tcBorders>
              <w:top w:val="nil"/>
              <w:left w:val="nil"/>
              <w:bottom w:val="single" w:sz="4" w:space="0" w:color="auto"/>
              <w:right w:val="single" w:sz="4" w:space="0" w:color="auto"/>
            </w:tcBorders>
            <w:shd w:val="clear" w:color="000000" w:fill="CCFFFF"/>
            <w:noWrap/>
            <w:vAlign w:val="bottom"/>
            <w:hideMark/>
          </w:tcPr>
          <w:p w14:paraId="5FF2F6C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2801,63</w:t>
            </w:r>
          </w:p>
        </w:tc>
        <w:tc>
          <w:tcPr>
            <w:tcW w:w="991" w:type="dxa"/>
            <w:tcBorders>
              <w:top w:val="nil"/>
              <w:left w:val="nil"/>
              <w:bottom w:val="single" w:sz="4" w:space="0" w:color="auto"/>
              <w:right w:val="single" w:sz="4" w:space="0" w:color="auto"/>
            </w:tcBorders>
            <w:shd w:val="clear" w:color="000000" w:fill="CCFFFF"/>
            <w:noWrap/>
            <w:vAlign w:val="bottom"/>
            <w:hideMark/>
          </w:tcPr>
          <w:p w14:paraId="06F2B26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2811,82</w:t>
            </w:r>
          </w:p>
        </w:tc>
      </w:tr>
      <w:tr w:rsidR="00B56301" w:rsidRPr="00C2292B" w14:paraId="044C426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7CA200"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725FA5A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3C93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2B4E6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6C605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B90B6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F641EE"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203E1D6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9CDF8E"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9393EE0"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0,77</w:t>
            </w:r>
          </w:p>
        </w:tc>
        <w:tc>
          <w:tcPr>
            <w:tcW w:w="991" w:type="dxa"/>
            <w:tcBorders>
              <w:top w:val="nil"/>
              <w:left w:val="nil"/>
              <w:bottom w:val="single" w:sz="4" w:space="0" w:color="auto"/>
              <w:right w:val="single" w:sz="4" w:space="0" w:color="auto"/>
            </w:tcBorders>
            <w:shd w:val="clear" w:color="000000" w:fill="CCFFFF"/>
            <w:noWrap/>
            <w:vAlign w:val="bottom"/>
            <w:hideMark/>
          </w:tcPr>
          <w:p w14:paraId="142DED9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0,81</w:t>
            </w:r>
          </w:p>
        </w:tc>
        <w:tc>
          <w:tcPr>
            <w:tcW w:w="991" w:type="dxa"/>
            <w:tcBorders>
              <w:top w:val="nil"/>
              <w:left w:val="nil"/>
              <w:bottom w:val="single" w:sz="4" w:space="0" w:color="auto"/>
              <w:right w:val="single" w:sz="4" w:space="0" w:color="auto"/>
            </w:tcBorders>
            <w:shd w:val="clear" w:color="000000" w:fill="CCFFFF"/>
            <w:noWrap/>
            <w:vAlign w:val="bottom"/>
            <w:hideMark/>
          </w:tcPr>
          <w:p w14:paraId="4101A2D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0,88</w:t>
            </w:r>
          </w:p>
        </w:tc>
        <w:tc>
          <w:tcPr>
            <w:tcW w:w="991" w:type="dxa"/>
            <w:tcBorders>
              <w:top w:val="nil"/>
              <w:left w:val="nil"/>
              <w:bottom w:val="single" w:sz="4" w:space="0" w:color="auto"/>
              <w:right w:val="single" w:sz="4" w:space="0" w:color="auto"/>
            </w:tcBorders>
            <w:shd w:val="clear" w:color="000000" w:fill="CCFFFF"/>
            <w:noWrap/>
            <w:vAlign w:val="bottom"/>
            <w:hideMark/>
          </w:tcPr>
          <w:p w14:paraId="76D1B14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0,96</w:t>
            </w:r>
          </w:p>
        </w:tc>
        <w:tc>
          <w:tcPr>
            <w:tcW w:w="991" w:type="dxa"/>
            <w:tcBorders>
              <w:top w:val="nil"/>
              <w:left w:val="nil"/>
              <w:bottom w:val="single" w:sz="4" w:space="0" w:color="auto"/>
              <w:right w:val="single" w:sz="4" w:space="0" w:color="auto"/>
            </w:tcBorders>
            <w:shd w:val="clear" w:color="000000" w:fill="CCFFFF"/>
            <w:noWrap/>
            <w:vAlign w:val="bottom"/>
            <w:hideMark/>
          </w:tcPr>
          <w:p w14:paraId="658BDFF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0,97</w:t>
            </w:r>
          </w:p>
        </w:tc>
        <w:tc>
          <w:tcPr>
            <w:tcW w:w="991" w:type="dxa"/>
            <w:tcBorders>
              <w:top w:val="nil"/>
              <w:left w:val="nil"/>
              <w:bottom w:val="single" w:sz="4" w:space="0" w:color="auto"/>
              <w:right w:val="single" w:sz="4" w:space="0" w:color="auto"/>
            </w:tcBorders>
            <w:shd w:val="clear" w:color="000000" w:fill="CCFFFF"/>
            <w:noWrap/>
            <w:vAlign w:val="bottom"/>
            <w:hideMark/>
          </w:tcPr>
          <w:p w14:paraId="421AFBE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0,98</w:t>
            </w:r>
          </w:p>
        </w:tc>
      </w:tr>
      <w:tr w:rsidR="00B56301" w:rsidRPr="00C2292B" w14:paraId="186DF10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FB3F35"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06B4839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5629C9B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1C2C6DB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6F79BF19"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2CA5161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544C914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0,08</w:t>
            </w:r>
          </w:p>
        </w:tc>
      </w:tr>
      <w:tr w:rsidR="00B56301" w:rsidRPr="00C2292B" w14:paraId="008FF9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C3DDF9"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11278A2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0,68</w:t>
            </w:r>
          </w:p>
        </w:tc>
        <w:tc>
          <w:tcPr>
            <w:tcW w:w="991" w:type="dxa"/>
            <w:tcBorders>
              <w:top w:val="nil"/>
              <w:left w:val="nil"/>
              <w:bottom w:val="single" w:sz="4" w:space="0" w:color="auto"/>
              <w:right w:val="single" w:sz="4" w:space="0" w:color="auto"/>
            </w:tcBorders>
            <w:shd w:val="clear" w:color="000000" w:fill="FFFFFF"/>
            <w:noWrap/>
            <w:vAlign w:val="bottom"/>
            <w:hideMark/>
          </w:tcPr>
          <w:p w14:paraId="34EBB4D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0,72</w:t>
            </w:r>
          </w:p>
        </w:tc>
        <w:tc>
          <w:tcPr>
            <w:tcW w:w="991" w:type="dxa"/>
            <w:tcBorders>
              <w:top w:val="nil"/>
              <w:left w:val="nil"/>
              <w:bottom w:val="single" w:sz="4" w:space="0" w:color="auto"/>
              <w:right w:val="single" w:sz="4" w:space="0" w:color="auto"/>
            </w:tcBorders>
            <w:shd w:val="clear" w:color="000000" w:fill="FFFFFF"/>
            <w:noWrap/>
            <w:vAlign w:val="bottom"/>
            <w:hideMark/>
          </w:tcPr>
          <w:p w14:paraId="5185583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039569E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0,87</w:t>
            </w:r>
          </w:p>
        </w:tc>
        <w:tc>
          <w:tcPr>
            <w:tcW w:w="991" w:type="dxa"/>
            <w:tcBorders>
              <w:top w:val="nil"/>
              <w:left w:val="nil"/>
              <w:bottom w:val="single" w:sz="4" w:space="0" w:color="auto"/>
              <w:right w:val="single" w:sz="4" w:space="0" w:color="auto"/>
            </w:tcBorders>
            <w:shd w:val="clear" w:color="000000" w:fill="FFFFFF"/>
            <w:noWrap/>
            <w:vAlign w:val="bottom"/>
            <w:hideMark/>
          </w:tcPr>
          <w:p w14:paraId="160D9B4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230B38D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0,91</w:t>
            </w:r>
          </w:p>
        </w:tc>
      </w:tr>
      <w:tr w:rsidR="00B56301" w:rsidRPr="00C2292B" w14:paraId="3AC958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6E1C30"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13C2F8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CF9694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749001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694714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7C9A5B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DE7A59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NE</w:t>
            </w:r>
          </w:p>
        </w:tc>
      </w:tr>
      <w:tr w:rsidR="00B56301" w:rsidRPr="00C2292B" w14:paraId="4520876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456576" w14:textId="7B85354F"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6524A6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FDA996"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5FBA9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86A15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E8D9D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F9759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17DAF9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F7760E" w14:textId="7EA5CDA2"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F789F5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84FB62"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ACBC5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C211FF"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394CE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48686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833C38" w14:paraId="4515BB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8FB2A5"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11C53385"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56250B"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D80BE2"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4CC4BA"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23F56D"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B38FB" w14:textId="77777777" w:rsidR="00B56301" w:rsidRPr="002010BD" w:rsidRDefault="00B56301" w:rsidP="00B37B65">
            <w:pPr>
              <w:jc w:val="right"/>
              <w:rPr>
                <w:rFonts w:asciiTheme="minorHAnsi" w:hAnsiTheme="minorHAnsi"/>
                <w:sz w:val="16"/>
                <w:szCs w:val="14"/>
                <w:lang w:val="en-GB"/>
              </w:rPr>
            </w:pPr>
            <w:r w:rsidRPr="00C2292B">
              <w:rPr>
                <w:rFonts w:asciiTheme="minorHAnsi" w:hAnsiTheme="minorHAnsi"/>
                <w:sz w:val="16"/>
                <w:szCs w:val="18"/>
                <w:lang w:val="en-GB"/>
              </w:rPr>
              <w:t> </w:t>
            </w:r>
          </w:p>
        </w:tc>
      </w:tr>
      <w:tr w:rsidR="00B56301" w:rsidRPr="00C2292B" w14:paraId="65550F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CB6C58" w14:textId="1F7CCA23"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300864E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3D25A"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7997C5"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C02893"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E1583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02BE8D"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r w:rsidR="00B56301" w:rsidRPr="00C2292B" w14:paraId="75A248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3E7BA8" w14:textId="4C3D4450"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771A9D71"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16E7D8"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C9239C"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67DEDB"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DD4077"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FEE4F4" w14:textId="77777777" w:rsidR="00B56301" w:rsidRPr="002010BD" w:rsidRDefault="00B56301" w:rsidP="00B37B65">
            <w:pPr>
              <w:jc w:val="right"/>
              <w:rPr>
                <w:rFonts w:asciiTheme="minorHAnsi" w:hAnsiTheme="minorHAnsi"/>
                <w:sz w:val="16"/>
                <w:szCs w:val="14"/>
              </w:rPr>
            </w:pPr>
            <w:r w:rsidRPr="00C2292B">
              <w:rPr>
                <w:rFonts w:asciiTheme="minorHAnsi" w:hAnsiTheme="minorHAnsi"/>
                <w:sz w:val="16"/>
                <w:szCs w:val="18"/>
              </w:rPr>
              <w:t> </w:t>
            </w:r>
          </w:p>
        </w:tc>
      </w:tr>
    </w:tbl>
    <w:p w14:paraId="6DCAB4C4" w14:textId="77777777" w:rsidR="00B56301" w:rsidRDefault="00B56301" w:rsidP="00B56301">
      <w:pPr>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C2292B" w14:paraId="729C2D61"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6719E765" w14:textId="242ED533" w:rsidR="00B56301" w:rsidRPr="002010BD" w:rsidRDefault="00B56301" w:rsidP="00B37B65">
            <w:pPr>
              <w:jc w:val="left"/>
              <w:rPr>
                <w:rFonts w:asciiTheme="minorHAnsi" w:hAnsiTheme="minorHAnsi"/>
                <w:b/>
                <w:bCs/>
                <w:sz w:val="16"/>
                <w:szCs w:val="14"/>
                <w:lang w:val="en-GB"/>
              </w:rPr>
            </w:pPr>
            <w:r w:rsidRPr="0034391E">
              <w:rPr>
                <w:rFonts w:cs="Arial"/>
                <w:sz w:val="24"/>
                <w:lang w:val="en-US"/>
              </w:rPr>
              <w:br w:type="page"/>
            </w:r>
            <w:r w:rsidRPr="002010BD">
              <w:rPr>
                <w:rFonts w:asciiTheme="minorHAnsi" w:hAnsiTheme="minorHAnsi"/>
                <w:b/>
                <w:bCs/>
                <w:sz w:val="16"/>
                <w:szCs w:val="14"/>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7CEEBF3" w14:textId="77777777" w:rsidR="00B56301" w:rsidRPr="002010BD" w:rsidRDefault="00B56301" w:rsidP="00B37B65">
            <w:pPr>
              <w:jc w:val="center"/>
              <w:rPr>
                <w:rFonts w:asciiTheme="minorHAnsi" w:hAnsiTheme="minorHAnsi"/>
                <w:b/>
                <w:bCs/>
                <w:sz w:val="16"/>
                <w:szCs w:val="14"/>
              </w:rPr>
            </w:pPr>
            <w:r w:rsidRPr="00C2292B">
              <w:rPr>
                <w:b/>
                <w:bCs/>
                <w:sz w:val="16"/>
                <w:szCs w:val="18"/>
              </w:rPr>
              <w:t>2001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83EB674" w14:textId="77777777" w:rsidR="00B56301" w:rsidRPr="002010BD" w:rsidRDefault="00B56301" w:rsidP="00B37B65">
            <w:pPr>
              <w:jc w:val="center"/>
              <w:rPr>
                <w:rFonts w:asciiTheme="minorHAnsi" w:hAnsiTheme="minorHAnsi"/>
                <w:b/>
                <w:bCs/>
                <w:sz w:val="16"/>
                <w:szCs w:val="14"/>
              </w:rPr>
            </w:pPr>
            <w:r w:rsidRPr="00C2292B">
              <w:rPr>
                <w:b/>
                <w:bCs/>
                <w:sz w:val="16"/>
                <w:szCs w:val="18"/>
              </w:rPr>
              <w:t>2002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8EA2634" w14:textId="77777777" w:rsidR="00B56301" w:rsidRPr="002010BD" w:rsidRDefault="00B56301" w:rsidP="00B37B65">
            <w:pPr>
              <w:jc w:val="center"/>
              <w:rPr>
                <w:rFonts w:asciiTheme="minorHAnsi" w:hAnsiTheme="minorHAnsi"/>
                <w:b/>
                <w:bCs/>
                <w:sz w:val="16"/>
                <w:szCs w:val="14"/>
              </w:rPr>
            </w:pPr>
            <w:r w:rsidRPr="00C2292B">
              <w:rPr>
                <w:b/>
                <w:bCs/>
                <w:sz w:val="16"/>
                <w:szCs w:val="18"/>
              </w:rPr>
              <w:t>2003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9C87D37" w14:textId="77777777" w:rsidR="00B56301" w:rsidRPr="002010BD" w:rsidRDefault="00B56301" w:rsidP="00B37B65">
            <w:pPr>
              <w:jc w:val="center"/>
              <w:rPr>
                <w:rFonts w:asciiTheme="minorHAnsi" w:hAnsiTheme="minorHAnsi"/>
                <w:b/>
                <w:bCs/>
                <w:sz w:val="16"/>
                <w:szCs w:val="14"/>
              </w:rPr>
            </w:pPr>
            <w:r w:rsidRPr="00C2292B">
              <w:rPr>
                <w:b/>
                <w:bCs/>
                <w:sz w:val="16"/>
                <w:szCs w:val="18"/>
              </w:rPr>
              <w:t>2004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B78AF81" w14:textId="77777777" w:rsidR="00B56301" w:rsidRPr="002010BD" w:rsidRDefault="00B56301" w:rsidP="00B37B65">
            <w:pPr>
              <w:jc w:val="center"/>
              <w:rPr>
                <w:rFonts w:asciiTheme="minorHAnsi" w:hAnsiTheme="minorHAnsi"/>
                <w:b/>
                <w:bCs/>
                <w:sz w:val="16"/>
                <w:szCs w:val="14"/>
              </w:rPr>
            </w:pPr>
            <w:r w:rsidRPr="00C2292B">
              <w:rPr>
                <w:b/>
                <w:bCs/>
                <w:sz w:val="16"/>
                <w:szCs w:val="18"/>
              </w:rPr>
              <w:t>2005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FF1998A" w14:textId="77777777" w:rsidR="00B56301" w:rsidRPr="002010BD" w:rsidRDefault="00B56301" w:rsidP="00B37B65">
            <w:pPr>
              <w:jc w:val="center"/>
              <w:rPr>
                <w:rFonts w:asciiTheme="minorHAnsi" w:hAnsiTheme="minorHAnsi"/>
                <w:b/>
                <w:bCs/>
                <w:sz w:val="16"/>
                <w:szCs w:val="14"/>
              </w:rPr>
            </w:pPr>
            <w:r w:rsidRPr="00C2292B">
              <w:rPr>
                <w:b/>
                <w:bCs/>
                <w:sz w:val="16"/>
                <w:szCs w:val="18"/>
              </w:rPr>
              <w:t>2006</w:t>
            </w:r>
          </w:p>
        </w:tc>
      </w:tr>
      <w:tr w:rsidR="00B56301" w:rsidRPr="00C2292B" w14:paraId="254F07A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85D1F4"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4D4773F" w14:textId="77777777" w:rsidR="00B56301" w:rsidRPr="002010BD" w:rsidRDefault="00B56301" w:rsidP="00B37B65">
            <w:pPr>
              <w:jc w:val="right"/>
              <w:rPr>
                <w:rFonts w:asciiTheme="minorHAnsi" w:hAnsiTheme="minorHAnsi"/>
                <w:sz w:val="16"/>
                <w:szCs w:val="14"/>
              </w:rPr>
            </w:pPr>
            <w:r w:rsidRPr="00C2292B">
              <w:rPr>
                <w:sz w:val="16"/>
                <w:szCs w:val="18"/>
              </w:rPr>
              <w:t>288,51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5EFA499" w14:textId="77777777" w:rsidR="00B56301" w:rsidRPr="002010BD" w:rsidRDefault="00B56301" w:rsidP="00B37B65">
            <w:pPr>
              <w:jc w:val="right"/>
              <w:rPr>
                <w:rFonts w:asciiTheme="minorHAnsi" w:hAnsiTheme="minorHAnsi"/>
                <w:sz w:val="16"/>
                <w:szCs w:val="14"/>
              </w:rPr>
            </w:pPr>
            <w:r w:rsidRPr="00C2292B">
              <w:rPr>
                <w:sz w:val="16"/>
                <w:szCs w:val="18"/>
              </w:rPr>
              <w:t>248,74</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58A4CF6" w14:textId="77777777" w:rsidR="00B56301" w:rsidRPr="002010BD" w:rsidRDefault="00B56301" w:rsidP="00B37B65">
            <w:pPr>
              <w:jc w:val="right"/>
              <w:rPr>
                <w:rFonts w:asciiTheme="minorHAnsi" w:hAnsiTheme="minorHAnsi"/>
                <w:sz w:val="16"/>
                <w:szCs w:val="14"/>
              </w:rPr>
            </w:pPr>
            <w:r w:rsidRPr="00C2292B">
              <w:rPr>
                <w:sz w:val="16"/>
                <w:szCs w:val="18"/>
              </w:rPr>
              <w:t>246,25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5B748DD" w14:textId="77777777" w:rsidR="00B56301" w:rsidRPr="002010BD" w:rsidRDefault="00B56301" w:rsidP="00B37B65">
            <w:pPr>
              <w:jc w:val="right"/>
              <w:rPr>
                <w:rFonts w:asciiTheme="minorHAnsi" w:hAnsiTheme="minorHAnsi"/>
                <w:sz w:val="16"/>
                <w:szCs w:val="14"/>
              </w:rPr>
            </w:pPr>
            <w:r w:rsidRPr="00C2292B">
              <w:rPr>
                <w:sz w:val="16"/>
                <w:szCs w:val="18"/>
              </w:rPr>
              <w:t>220,63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3733BC7" w14:textId="77777777" w:rsidR="00B56301" w:rsidRPr="002010BD" w:rsidRDefault="00B56301" w:rsidP="00B37B65">
            <w:pPr>
              <w:jc w:val="right"/>
              <w:rPr>
                <w:rFonts w:asciiTheme="minorHAnsi" w:hAnsiTheme="minorHAnsi"/>
                <w:sz w:val="16"/>
                <w:szCs w:val="14"/>
              </w:rPr>
            </w:pPr>
            <w:r w:rsidRPr="00C2292B">
              <w:rPr>
                <w:sz w:val="16"/>
                <w:szCs w:val="18"/>
              </w:rPr>
              <w:t>196,89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6C8ED93" w14:textId="77777777" w:rsidR="00B56301" w:rsidRPr="002010BD" w:rsidRDefault="00B56301" w:rsidP="00B37B65">
            <w:pPr>
              <w:jc w:val="right"/>
              <w:rPr>
                <w:rFonts w:asciiTheme="minorHAnsi" w:hAnsiTheme="minorHAnsi"/>
                <w:sz w:val="16"/>
                <w:szCs w:val="14"/>
              </w:rPr>
            </w:pPr>
            <w:r w:rsidRPr="00C2292B">
              <w:rPr>
                <w:sz w:val="16"/>
                <w:szCs w:val="18"/>
              </w:rPr>
              <w:t>173,60</w:t>
            </w:r>
          </w:p>
        </w:tc>
      </w:tr>
      <w:tr w:rsidR="00B56301" w:rsidRPr="00C2292B" w14:paraId="18FDFA9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3E5770B"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7514D7FB" w14:textId="77777777" w:rsidR="00B56301" w:rsidRPr="002010BD" w:rsidRDefault="00B56301" w:rsidP="00B37B65">
            <w:pPr>
              <w:jc w:val="right"/>
              <w:rPr>
                <w:rFonts w:asciiTheme="minorHAnsi" w:hAnsiTheme="minorHAnsi"/>
                <w:sz w:val="16"/>
                <w:szCs w:val="14"/>
              </w:rPr>
            </w:pPr>
            <w:r w:rsidRPr="00C2292B">
              <w:rPr>
                <w:sz w:val="16"/>
                <w:szCs w:val="18"/>
              </w:rPr>
              <w:t>156,16</w:t>
            </w:r>
          </w:p>
        </w:tc>
        <w:tc>
          <w:tcPr>
            <w:tcW w:w="991" w:type="dxa"/>
            <w:tcBorders>
              <w:top w:val="nil"/>
              <w:left w:val="nil"/>
              <w:bottom w:val="single" w:sz="4" w:space="0" w:color="auto"/>
              <w:right w:val="single" w:sz="4" w:space="0" w:color="auto"/>
            </w:tcBorders>
            <w:shd w:val="clear" w:color="000000" w:fill="CCFFFF"/>
            <w:noWrap/>
            <w:vAlign w:val="bottom"/>
            <w:hideMark/>
          </w:tcPr>
          <w:p w14:paraId="3BAEA31B" w14:textId="77777777" w:rsidR="00B56301" w:rsidRPr="002010BD" w:rsidRDefault="00B56301" w:rsidP="00B37B65">
            <w:pPr>
              <w:jc w:val="right"/>
              <w:rPr>
                <w:rFonts w:asciiTheme="minorHAnsi" w:hAnsiTheme="minorHAnsi"/>
                <w:sz w:val="16"/>
                <w:szCs w:val="14"/>
              </w:rPr>
            </w:pPr>
            <w:r w:rsidRPr="00C2292B">
              <w:rPr>
                <w:sz w:val="16"/>
                <w:szCs w:val="18"/>
              </w:rPr>
              <w:t>140,06</w:t>
            </w:r>
          </w:p>
        </w:tc>
        <w:tc>
          <w:tcPr>
            <w:tcW w:w="991" w:type="dxa"/>
            <w:tcBorders>
              <w:top w:val="nil"/>
              <w:left w:val="nil"/>
              <w:bottom w:val="single" w:sz="4" w:space="0" w:color="auto"/>
              <w:right w:val="single" w:sz="4" w:space="0" w:color="auto"/>
            </w:tcBorders>
            <w:shd w:val="clear" w:color="000000" w:fill="CCFFFF"/>
            <w:noWrap/>
            <w:vAlign w:val="bottom"/>
            <w:hideMark/>
          </w:tcPr>
          <w:p w14:paraId="35B42471" w14:textId="77777777" w:rsidR="00B56301" w:rsidRPr="002010BD" w:rsidRDefault="00B56301" w:rsidP="00B37B65">
            <w:pPr>
              <w:jc w:val="right"/>
              <w:rPr>
                <w:rFonts w:asciiTheme="minorHAnsi" w:hAnsiTheme="minorHAnsi"/>
                <w:sz w:val="16"/>
                <w:szCs w:val="14"/>
              </w:rPr>
            </w:pPr>
            <w:r w:rsidRPr="00C2292B">
              <w:rPr>
                <w:sz w:val="16"/>
                <w:szCs w:val="18"/>
              </w:rPr>
              <w:t>140,93</w:t>
            </w:r>
          </w:p>
        </w:tc>
        <w:tc>
          <w:tcPr>
            <w:tcW w:w="991" w:type="dxa"/>
            <w:tcBorders>
              <w:top w:val="nil"/>
              <w:left w:val="nil"/>
              <w:bottom w:val="single" w:sz="4" w:space="0" w:color="auto"/>
              <w:right w:val="single" w:sz="4" w:space="0" w:color="auto"/>
            </w:tcBorders>
            <w:shd w:val="clear" w:color="000000" w:fill="CCFFFF"/>
            <w:noWrap/>
            <w:vAlign w:val="bottom"/>
            <w:hideMark/>
          </w:tcPr>
          <w:p w14:paraId="5AE6D086" w14:textId="77777777" w:rsidR="00B56301" w:rsidRPr="002010BD" w:rsidRDefault="00B56301" w:rsidP="00B37B65">
            <w:pPr>
              <w:jc w:val="right"/>
              <w:rPr>
                <w:rFonts w:asciiTheme="minorHAnsi" w:hAnsiTheme="minorHAnsi"/>
                <w:sz w:val="16"/>
                <w:szCs w:val="14"/>
              </w:rPr>
            </w:pPr>
            <w:r w:rsidRPr="00C2292B">
              <w:rPr>
                <w:sz w:val="16"/>
                <w:szCs w:val="18"/>
              </w:rPr>
              <w:t>134,76</w:t>
            </w:r>
          </w:p>
        </w:tc>
        <w:tc>
          <w:tcPr>
            <w:tcW w:w="991" w:type="dxa"/>
            <w:tcBorders>
              <w:top w:val="nil"/>
              <w:left w:val="nil"/>
              <w:bottom w:val="single" w:sz="4" w:space="0" w:color="auto"/>
              <w:right w:val="single" w:sz="4" w:space="0" w:color="auto"/>
            </w:tcBorders>
            <w:shd w:val="clear" w:color="000000" w:fill="CCFFFF"/>
            <w:noWrap/>
            <w:vAlign w:val="bottom"/>
            <w:hideMark/>
          </w:tcPr>
          <w:p w14:paraId="63DA9DD6" w14:textId="77777777" w:rsidR="00B56301" w:rsidRPr="002010BD" w:rsidRDefault="00B56301" w:rsidP="00B37B65">
            <w:pPr>
              <w:jc w:val="right"/>
              <w:rPr>
                <w:rFonts w:asciiTheme="minorHAnsi" w:hAnsiTheme="minorHAnsi"/>
                <w:sz w:val="16"/>
                <w:szCs w:val="14"/>
              </w:rPr>
            </w:pPr>
            <w:r w:rsidRPr="00C2292B">
              <w:rPr>
                <w:sz w:val="16"/>
                <w:szCs w:val="18"/>
              </w:rPr>
              <w:t>124,46</w:t>
            </w:r>
          </w:p>
        </w:tc>
        <w:tc>
          <w:tcPr>
            <w:tcW w:w="991" w:type="dxa"/>
            <w:tcBorders>
              <w:top w:val="nil"/>
              <w:left w:val="nil"/>
              <w:bottom w:val="single" w:sz="4" w:space="0" w:color="auto"/>
              <w:right w:val="single" w:sz="4" w:space="0" w:color="auto"/>
            </w:tcBorders>
            <w:shd w:val="clear" w:color="000000" w:fill="CCFFFF"/>
            <w:noWrap/>
            <w:vAlign w:val="bottom"/>
            <w:hideMark/>
          </w:tcPr>
          <w:p w14:paraId="54E60FEE" w14:textId="77777777" w:rsidR="00B56301" w:rsidRPr="002010BD" w:rsidRDefault="00B56301" w:rsidP="00B37B65">
            <w:pPr>
              <w:jc w:val="right"/>
              <w:rPr>
                <w:rFonts w:asciiTheme="minorHAnsi" w:hAnsiTheme="minorHAnsi"/>
                <w:sz w:val="16"/>
                <w:szCs w:val="14"/>
              </w:rPr>
            </w:pPr>
            <w:r w:rsidRPr="00C2292B">
              <w:rPr>
                <w:sz w:val="16"/>
                <w:szCs w:val="18"/>
              </w:rPr>
              <w:t>105,30</w:t>
            </w:r>
          </w:p>
        </w:tc>
      </w:tr>
      <w:tr w:rsidR="00B56301" w:rsidRPr="00C2292B" w14:paraId="6B28C2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8390F4" w14:textId="7E88C6D4"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C5CC485" w14:textId="77777777" w:rsidR="00B56301" w:rsidRPr="002010BD" w:rsidRDefault="00B56301" w:rsidP="00B37B65">
            <w:pPr>
              <w:jc w:val="right"/>
              <w:rPr>
                <w:rFonts w:asciiTheme="minorHAnsi" w:hAnsiTheme="minorHAnsi"/>
                <w:sz w:val="16"/>
                <w:szCs w:val="14"/>
              </w:rPr>
            </w:pPr>
            <w:r w:rsidRPr="00C2292B">
              <w:rPr>
                <w:sz w:val="16"/>
                <w:szCs w:val="18"/>
              </w:rPr>
              <w:t>1,24</w:t>
            </w:r>
          </w:p>
        </w:tc>
        <w:tc>
          <w:tcPr>
            <w:tcW w:w="991" w:type="dxa"/>
            <w:tcBorders>
              <w:top w:val="nil"/>
              <w:left w:val="nil"/>
              <w:bottom w:val="single" w:sz="4" w:space="0" w:color="auto"/>
              <w:right w:val="single" w:sz="4" w:space="0" w:color="auto"/>
            </w:tcBorders>
            <w:shd w:val="clear" w:color="000000" w:fill="FFFFFF"/>
            <w:noWrap/>
            <w:vAlign w:val="bottom"/>
            <w:hideMark/>
          </w:tcPr>
          <w:p w14:paraId="3DEC0107" w14:textId="77777777" w:rsidR="00B56301" w:rsidRPr="002010BD" w:rsidRDefault="00B56301" w:rsidP="00B37B65">
            <w:pPr>
              <w:jc w:val="right"/>
              <w:rPr>
                <w:rFonts w:asciiTheme="minorHAnsi" w:hAnsiTheme="minorHAnsi"/>
                <w:sz w:val="16"/>
                <w:szCs w:val="14"/>
              </w:rPr>
            </w:pPr>
            <w:r w:rsidRPr="00C2292B">
              <w:rPr>
                <w:sz w:val="16"/>
                <w:szCs w:val="18"/>
              </w:rPr>
              <w:t>1,23</w:t>
            </w:r>
          </w:p>
        </w:tc>
        <w:tc>
          <w:tcPr>
            <w:tcW w:w="991" w:type="dxa"/>
            <w:tcBorders>
              <w:top w:val="nil"/>
              <w:left w:val="nil"/>
              <w:bottom w:val="single" w:sz="4" w:space="0" w:color="auto"/>
              <w:right w:val="single" w:sz="4" w:space="0" w:color="auto"/>
            </w:tcBorders>
            <w:shd w:val="clear" w:color="000000" w:fill="FFFFFF"/>
            <w:noWrap/>
            <w:vAlign w:val="bottom"/>
            <w:hideMark/>
          </w:tcPr>
          <w:p w14:paraId="21F033CD" w14:textId="77777777" w:rsidR="00B56301" w:rsidRPr="002010BD" w:rsidRDefault="00B56301" w:rsidP="00B37B65">
            <w:pPr>
              <w:jc w:val="right"/>
              <w:rPr>
                <w:rFonts w:asciiTheme="minorHAnsi" w:hAnsiTheme="minorHAnsi"/>
                <w:sz w:val="16"/>
                <w:szCs w:val="14"/>
              </w:rPr>
            </w:pPr>
            <w:r w:rsidRPr="00C2292B">
              <w:rPr>
                <w:sz w:val="16"/>
                <w:szCs w:val="18"/>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16FFF32D" w14:textId="77777777" w:rsidR="00B56301" w:rsidRPr="002010BD" w:rsidRDefault="00B56301" w:rsidP="00B37B65">
            <w:pPr>
              <w:jc w:val="right"/>
              <w:rPr>
                <w:rFonts w:asciiTheme="minorHAnsi" w:hAnsiTheme="minorHAnsi"/>
                <w:sz w:val="16"/>
                <w:szCs w:val="14"/>
              </w:rPr>
            </w:pPr>
            <w:r w:rsidRPr="00C2292B">
              <w:rPr>
                <w:sz w:val="16"/>
                <w:szCs w:val="18"/>
              </w:rPr>
              <w:t>1,34</w:t>
            </w:r>
          </w:p>
        </w:tc>
        <w:tc>
          <w:tcPr>
            <w:tcW w:w="991" w:type="dxa"/>
            <w:tcBorders>
              <w:top w:val="nil"/>
              <w:left w:val="nil"/>
              <w:bottom w:val="single" w:sz="4" w:space="0" w:color="auto"/>
              <w:right w:val="single" w:sz="4" w:space="0" w:color="auto"/>
            </w:tcBorders>
            <w:shd w:val="clear" w:color="000000" w:fill="FFFFFF"/>
            <w:noWrap/>
            <w:vAlign w:val="bottom"/>
            <w:hideMark/>
          </w:tcPr>
          <w:p w14:paraId="7420C58F" w14:textId="77777777" w:rsidR="00B56301" w:rsidRPr="002010BD" w:rsidRDefault="00B56301" w:rsidP="00B37B65">
            <w:pPr>
              <w:jc w:val="right"/>
              <w:rPr>
                <w:rFonts w:asciiTheme="minorHAnsi" w:hAnsiTheme="minorHAnsi"/>
                <w:sz w:val="16"/>
                <w:szCs w:val="14"/>
              </w:rPr>
            </w:pPr>
            <w:r w:rsidRPr="00C2292B">
              <w:rPr>
                <w:sz w:val="16"/>
                <w:szCs w:val="18"/>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2847F257" w14:textId="77777777" w:rsidR="00B56301" w:rsidRPr="002010BD" w:rsidRDefault="00B56301" w:rsidP="00B37B65">
            <w:pPr>
              <w:jc w:val="right"/>
              <w:rPr>
                <w:rFonts w:asciiTheme="minorHAnsi" w:hAnsiTheme="minorHAnsi"/>
                <w:sz w:val="16"/>
                <w:szCs w:val="14"/>
              </w:rPr>
            </w:pPr>
            <w:r w:rsidRPr="00C2292B">
              <w:rPr>
                <w:sz w:val="16"/>
                <w:szCs w:val="18"/>
              </w:rPr>
              <w:t>1,39</w:t>
            </w:r>
          </w:p>
        </w:tc>
      </w:tr>
      <w:tr w:rsidR="00B56301" w:rsidRPr="00C2292B" w14:paraId="1E09FD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CBF232" w14:textId="6040ACB3"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C171CD7" w14:textId="77777777" w:rsidR="00B56301" w:rsidRPr="002010BD" w:rsidRDefault="00B56301" w:rsidP="00B37B65">
            <w:pPr>
              <w:jc w:val="right"/>
              <w:rPr>
                <w:rFonts w:asciiTheme="minorHAnsi" w:hAnsiTheme="minorHAnsi"/>
                <w:sz w:val="16"/>
                <w:szCs w:val="14"/>
              </w:rPr>
            </w:pPr>
            <w:r w:rsidRPr="00C2292B">
              <w:rPr>
                <w:sz w:val="16"/>
                <w:szCs w:val="18"/>
              </w:rPr>
              <w:t>3,45</w:t>
            </w:r>
          </w:p>
        </w:tc>
        <w:tc>
          <w:tcPr>
            <w:tcW w:w="991" w:type="dxa"/>
            <w:tcBorders>
              <w:top w:val="nil"/>
              <w:left w:val="nil"/>
              <w:bottom w:val="single" w:sz="4" w:space="0" w:color="auto"/>
              <w:right w:val="single" w:sz="4" w:space="0" w:color="auto"/>
            </w:tcBorders>
            <w:shd w:val="clear" w:color="000000" w:fill="FFFFFF"/>
            <w:noWrap/>
            <w:vAlign w:val="bottom"/>
            <w:hideMark/>
          </w:tcPr>
          <w:p w14:paraId="2DBA322F" w14:textId="77777777" w:rsidR="00B56301" w:rsidRPr="002010BD" w:rsidRDefault="00B56301" w:rsidP="00B37B65">
            <w:pPr>
              <w:jc w:val="right"/>
              <w:rPr>
                <w:rFonts w:asciiTheme="minorHAnsi" w:hAnsiTheme="minorHAnsi"/>
                <w:sz w:val="16"/>
                <w:szCs w:val="14"/>
              </w:rPr>
            </w:pPr>
            <w:r w:rsidRPr="00C2292B">
              <w:rPr>
                <w:sz w:val="16"/>
                <w:szCs w:val="18"/>
              </w:rPr>
              <w:t>3,18</w:t>
            </w:r>
          </w:p>
        </w:tc>
        <w:tc>
          <w:tcPr>
            <w:tcW w:w="991" w:type="dxa"/>
            <w:tcBorders>
              <w:top w:val="nil"/>
              <w:left w:val="nil"/>
              <w:bottom w:val="single" w:sz="4" w:space="0" w:color="auto"/>
              <w:right w:val="single" w:sz="4" w:space="0" w:color="auto"/>
            </w:tcBorders>
            <w:shd w:val="clear" w:color="000000" w:fill="FFFFFF"/>
            <w:noWrap/>
            <w:vAlign w:val="bottom"/>
            <w:hideMark/>
          </w:tcPr>
          <w:p w14:paraId="5B23F2E4" w14:textId="77777777" w:rsidR="00B56301" w:rsidRPr="002010BD" w:rsidRDefault="00B56301" w:rsidP="00B37B65">
            <w:pPr>
              <w:jc w:val="right"/>
              <w:rPr>
                <w:rFonts w:asciiTheme="minorHAnsi" w:hAnsiTheme="minorHAnsi"/>
                <w:sz w:val="16"/>
                <w:szCs w:val="14"/>
              </w:rPr>
            </w:pPr>
            <w:r w:rsidRPr="00C2292B">
              <w:rPr>
                <w:sz w:val="16"/>
                <w:szCs w:val="18"/>
              </w:rPr>
              <w:t>3,19</w:t>
            </w:r>
          </w:p>
        </w:tc>
        <w:tc>
          <w:tcPr>
            <w:tcW w:w="991" w:type="dxa"/>
            <w:tcBorders>
              <w:top w:val="nil"/>
              <w:left w:val="nil"/>
              <w:bottom w:val="single" w:sz="4" w:space="0" w:color="auto"/>
              <w:right w:val="single" w:sz="4" w:space="0" w:color="auto"/>
            </w:tcBorders>
            <w:shd w:val="clear" w:color="000000" w:fill="FFFFFF"/>
            <w:noWrap/>
            <w:vAlign w:val="bottom"/>
            <w:hideMark/>
          </w:tcPr>
          <w:p w14:paraId="0D29E90D" w14:textId="77777777" w:rsidR="00B56301" w:rsidRPr="002010BD" w:rsidRDefault="00B56301" w:rsidP="00B37B65">
            <w:pPr>
              <w:jc w:val="right"/>
              <w:rPr>
                <w:rFonts w:asciiTheme="minorHAnsi" w:hAnsiTheme="minorHAnsi"/>
                <w:sz w:val="16"/>
                <w:szCs w:val="14"/>
              </w:rPr>
            </w:pPr>
            <w:r w:rsidRPr="00C2292B">
              <w:rPr>
                <w:sz w:val="16"/>
                <w:szCs w:val="18"/>
              </w:rPr>
              <w:t>3,15</w:t>
            </w:r>
          </w:p>
        </w:tc>
        <w:tc>
          <w:tcPr>
            <w:tcW w:w="991" w:type="dxa"/>
            <w:tcBorders>
              <w:top w:val="nil"/>
              <w:left w:val="nil"/>
              <w:bottom w:val="single" w:sz="4" w:space="0" w:color="auto"/>
              <w:right w:val="single" w:sz="4" w:space="0" w:color="auto"/>
            </w:tcBorders>
            <w:shd w:val="clear" w:color="000000" w:fill="FFFFFF"/>
            <w:noWrap/>
            <w:vAlign w:val="bottom"/>
            <w:hideMark/>
          </w:tcPr>
          <w:p w14:paraId="1BDE517F" w14:textId="77777777" w:rsidR="00B56301" w:rsidRPr="002010BD" w:rsidRDefault="00B56301" w:rsidP="00B37B65">
            <w:pPr>
              <w:jc w:val="right"/>
              <w:rPr>
                <w:rFonts w:asciiTheme="minorHAnsi" w:hAnsiTheme="minorHAnsi"/>
                <w:sz w:val="16"/>
                <w:szCs w:val="14"/>
              </w:rPr>
            </w:pPr>
            <w:r w:rsidRPr="00C2292B">
              <w:rPr>
                <w:sz w:val="16"/>
                <w:szCs w:val="18"/>
              </w:rPr>
              <w:t>4,04</w:t>
            </w:r>
          </w:p>
        </w:tc>
        <w:tc>
          <w:tcPr>
            <w:tcW w:w="991" w:type="dxa"/>
            <w:tcBorders>
              <w:top w:val="nil"/>
              <w:left w:val="nil"/>
              <w:bottom w:val="single" w:sz="4" w:space="0" w:color="auto"/>
              <w:right w:val="single" w:sz="4" w:space="0" w:color="auto"/>
            </w:tcBorders>
            <w:shd w:val="clear" w:color="000000" w:fill="FFFFFF"/>
            <w:noWrap/>
            <w:vAlign w:val="bottom"/>
            <w:hideMark/>
          </w:tcPr>
          <w:p w14:paraId="3AE92A56" w14:textId="77777777" w:rsidR="00B56301" w:rsidRPr="002010BD" w:rsidRDefault="00B56301" w:rsidP="00B37B65">
            <w:pPr>
              <w:jc w:val="right"/>
              <w:rPr>
                <w:rFonts w:asciiTheme="minorHAnsi" w:hAnsiTheme="minorHAnsi"/>
                <w:sz w:val="16"/>
                <w:szCs w:val="14"/>
              </w:rPr>
            </w:pPr>
            <w:r w:rsidRPr="00C2292B">
              <w:rPr>
                <w:sz w:val="16"/>
                <w:szCs w:val="18"/>
              </w:rPr>
              <w:t>3,49</w:t>
            </w:r>
          </w:p>
        </w:tc>
      </w:tr>
      <w:tr w:rsidR="00B56301" w:rsidRPr="00C2292B" w14:paraId="3CF447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57DCA2" w14:textId="2C2E2845"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5B7E355" w14:textId="77777777" w:rsidR="00B56301" w:rsidRPr="002010BD" w:rsidRDefault="00B56301" w:rsidP="00B37B65">
            <w:pPr>
              <w:jc w:val="right"/>
              <w:rPr>
                <w:rFonts w:asciiTheme="minorHAnsi" w:hAnsiTheme="minorHAnsi"/>
                <w:sz w:val="16"/>
                <w:szCs w:val="14"/>
              </w:rPr>
            </w:pPr>
            <w:r w:rsidRPr="00C2292B">
              <w:rPr>
                <w:sz w:val="16"/>
                <w:szCs w:val="18"/>
              </w:rPr>
              <w:t>22,77</w:t>
            </w:r>
          </w:p>
        </w:tc>
        <w:tc>
          <w:tcPr>
            <w:tcW w:w="991" w:type="dxa"/>
            <w:tcBorders>
              <w:top w:val="nil"/>
              <w:left w:val="nil"/>
              <w:bottom w:val="single" w:sz="4" w:space="0" w:color="auto"/>
              <w:right w:val="single" w:sz="4" w:space="0" w:color="auto"/>
            </w:tcBorders>
            <w:shd w:val="clear" w:color="000000" w:fill="FFFFFF"/>
            <w:noWrap/>
            <w:vAlign w:val="bottom"/>
            <w:hideMark/>
          </w:tcPr>
          <w:p w14:paraId="3A98FB5D" w14:textId="77777777" w:rsidR="00B56301" w:rsidRPr="002010BD" w:rsidRDefault="00B56301" w:rsidP="00B37B65">
            <w:pPr>
              <w:jc w:val="right"/>
              <w:rPr>
                <w:rFonts w:asciiTheme="minorHAnsi" w:hAnsiTheme="minorHAnsi"/>
                <w:sz w:val="16"/>
                <w:szCs w:val="14"/>
              </w:rPr>
            </w:pPr>
            <w:r w:rsidRPr="00C2292B">
              <w:rPr>
                <w:sz w:val="16"/>
                <w:szCs w:val="18"/>
              </w:rPr>
              <w:t>21,29</w:t>
            </w:r>
          </w:p>
        </w:tc>
        <w:tc>
          <w:tcPr>
            <w:tcW w:w="991" w:type="dxa"/>
            <w:tcBorders>
              <w:top w:val="nil"/>
              <w:left w:val="nil"/>
              <w:bottom w:val="single" w:sz="4" w:space="0" w:color="auto"/>
              <w:right w:val="single" w:sz="4" w:space="0" w:color="auto"/>
            </w:tcBorders>
            <w:shd w:val="clear" w:color="000000" w:fill="FFFFFF"/>
            <w:noWrap/>
            <w:vAlign w:val="bottom"/>
            <w:hideMark/>
          </w:tcPr>
          <w:p w14:paraId="19EFEB97" w14:textId="77777777" w:rsidR="00B56301" w:rsidRPr="002010BD" w:rsidRDefault="00B56301" w:rsidP="00B37B65">
            <w:pPr>
              <w:jc w:val="right"/>
              <w:rPr>
                <w:rFonts w:asciiTheme="minorHAnsi" w:hAnsiTheme="minorHAnsi"/>
                <w:sz w:val="16"/>
                <w:szCs w:val="14"/>
              </w:rPr>
            </w:pPr>
            <w:r w:rsidRPr="00C2292B">
              <w:rPr>
                <w:sz w:val="16"/>
                <w:szCs w:val="18"/>
              </w:rPr>
              <w:t>19,34</w:t>
            </w:r>
          </w:p>
        </w:tc>
        <w:tc>
          <w:tcPr>
            <w:tcW w:w="991" w:type="dxa"/>
            <w:tcBorders>
              <w:top w:val="nil"/>
              <w:left w:val="nil"/>
              <w:bottom w:val="single" w:sz="4" w:space="0" w:color="auto"/>
              <w:right w:val="single" w:sz="4" w:space="0" w:color="auto"/>
            </w:tcBorders>
            <w:shd w:val="clear" w:color="000000" w:fill="FFFFFF"/>
            <w:noWrap/>
            <w:vAlign w:val="bottom"/>
            <w:hideMark/>
          </w:tcPr>
          <w:p w14:paraId="242DBA4D" w14:textId="77777777" w:rsidR="00B56301" w:rsidRPr="002010BD" w:rsidRDefault="00B56301" w:rsidP="00B37B65">
            <w:pPr>
              <w:jc w:val="right"/>
              <w:rPr>
                <w:rFonts w:asciiTheme="minorHAnsi" w:hAnsiTheme="minorHAnsi"/>
                <w:sz w:val="16"/>
                <w:szCs w:val="14"/>
              </w:rPr>
            </w:pPr>
            <w:r w:rsidRPr="00C2292B">
              <w:rPr>
                <w:sz w:val="16"/>
                <w:szCs w:val="18"/>
              </w:rPr>
              <w:t>17,92</w:t>
            </w:r>
          </w:p>
        </w:tc>
        <w:tc>
          <w:tcPr>
            <w:tcW w:w="991" w:type="dxa"/>
            <w:tcBorders>
              <w:top w:val="nil"/>
              <w:left w:val="nil"/>
              <w:bottom w:val="single" w:sz="4" w:space="0" w:color="auto"/>
              <w:right w:val="single" w:sz="4" w:space="0" w:color="auto"/>
            </w:tcBorders>
            <w:shd w:val="clear" w:color="000000" w:fill="FFFFFF"/>
            <w:noWrap/>
            <w:vAlign w:val="bottom"/>
            <w:hideMark/>
          </w:tcPr>
          <w:p w14:paraId="0950E987" w14:textId="77777777" w:rsidR="00B56301" w:rsidRPr="002010BD" w:rsidRDefault="00B56301" w:rsidP="00B37B65">
            <w:pPr>
              <w:jc w:val="right"/>
              <w:rPr>
                <w:rFonts w:asciiTheme="minorHAnsi" w:hAnsiTheme="minorHAnsi"/>
                <w:sz w:val="16"/>
                <w:szCs w:val="14"/>
              </w:rPr>
            </w:pPr>
            <w:r w:rsidRPr="00C2292B">
              <w:rPr>
                <w:sz w:val="16"/>
                <w:szCs w:val="18"/>
              </w:rPr>
              <w:t>16,43</w:t>
            </w:r>
          </w:p>
        </w:tc>
        <w:tc>
          <w:tcPr>
            <w:tcW w:w="991" w:type="dxa"/>
            <w:tcBorders>
              <w:top w:val="nil"/>
              <w:left w:val="nil"/>
              <w:bottom w:val="single" w:sz="4" w:space="0" w:color="auto"/>
              <w:right w:val="single" w:sz="4" w:space="0" w:color="auto"/>
            </w:tcBorders>
            <w:shd w:val="clear" w:color="000000" w:fill="FFFFFF"/>
            <w:noWrap/>
            <w:vAlign w:val="bottom"/>
            <w:hideMark/>
          </w:tcPr>
          <w:p w14:paraId="001B9373" w14:textId="77777777" w:rsidR="00B56301" w:rsidRPr="002010BD" w:rsidRDefault="00B56301" w:rsidP="00B37B65">
            <w:pPr>
              <w:jc w:val="right"/>
              <w:rPr>
                <w:rFonts w:asciiTheme="minorHAnsi" w:hAnsiTheme="minorHAnsi"/>
                <w:sz w:val="16"/>
                <w:szCs w:val="14"/>
              </w:rPr>
            </w:pPr>
            <w:r w:rsidRPr="00C2292B">
              <w:rPr>
                <w:sz w:val="16"/>
                <w:szCs w:val="18"/>
              </w:rPr>
              <w:t>14,46</w:t>
            </w:r>
          </w:p>
        </w:tc>
      </w:tr>
      <w:tr w:rsidR="00B56301" w:rsidRPr="00C2292B" w14:paraId="5139EC1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59276A" w14:textId="01CB9F5C"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3149C362" w14:textId="77777777" w:rsidR="00B56301" w:rsidRPr="002010BD" w:rsidRDefault="00B56301" w:rsidP="00B37B65">
            <w:pPr>
              <w:jc w:val="right"/>
              <w:rPr>
                <w:rFonts w:asciiTheme="minorHAnsi" w:hAnsiTheme="minorHAnsi"/>
                <w:sz w:val="16"/>
                <w:szCs w:val="14"/>
              </w:rPr>
            </w:pPr>
            <w:r w:rsidRPr="00C2292B">
              <w:rPr>
                <w:sz w:val="16"/>
                <w:szCs w:val="18"/>
              </w:rPr>
              <w:t>128,64</w:t>
            </w:r>
          </w:p>
        </w:tc>
        <w:tc>
          <w:tcPr>
            <w:tcW w:w="991" w:type="dxa"/>
            <w:tcBorders>
              <w:top w:val="nil"/>
              <w:left w:val="nil"/>
              <w:bottom w:val="single" w:sz="4" w:space="0" w:color="auto"/>
              <w:right w:val="single" w:sz="4" w:space="0" w:color="auto"/>
            </w:tcBorders>
            <w:shd w:val="clear" w:color="000000" w:fill="FFFFFF"/>
            <w:noWrap/>
            <w:vAlign w:val="bottom"/>
            <w:hideMark/>
          </w:tcPr>
          <w:p w14:paraId="75D95114" w14:textId="77777777" w:rsidR="00B56301" w:rsidRPr="002010BD" w:rsidRDefault="00B56301" w:rsidP="00B37B65">
            <w:pPr>
              <w:jc w:val="right"/>
              <w:rPr>
                <w:rFonts w:asciiTheme="minorHAnsi" w:hAnsiTheme="minorHAnsi"/>
                <w:sz w:val="16"/>
                <w:szCs w:val="14"/>
              </w:rPr>
            </w:pPr>
            <w:r w:rsidRPr="00C2292B">
              <w:rPr>
                <w:sz w:val="16"/>
                <w:szCs w:val="18"/>
              </w:rPr>
              <w:t>114,19</w:t>
            </w:r>
          </w:p>
        </w:tc>
        <w:tc>
          <w:tcPr>
            <w:tcW w:w="991" w:type="dxa"/>
            <w:tcBorders>
              <w:top w:val="nil"/>
              <w:left w:val="nil"/>
              <w:bottom w:val="single" w:sz="4" w:space="0" w:color="auto"/>
              <w:right w:val="single" w:sz="4" w:space="0" w:color="auto"/>
            </w:tcBorders>
            <w:shd w:val="clear" w:color="000000" w:fill="FFFFFF"/>
            <w:noWrap/>
            <w:vAlign w:val="bottom"/>
            <w:hideMark/>
          </w:tcPr>
          <w:p w14:paraId="2D08723D" w14:textId="77777777" w:rsidR="00B56301" w:rsidRPr="002010BD" w:rsidRDefault="00B56301" w:rsidP="00B37B65">
            <w:pPr>
              <w:jc w:val="right"/>
              <w:rPr>
                <w:rFonts w:asciiTheme="minorHAnsi" w:hAnsiTheme="minorHAnsi"/>
                <w:sz w:val="16"/>
                <w:szCs w:val="14"/>
              </w:rPr>
            </w:pPr>
            <w:r w:rsidRPr="00C2292B">
              <w:rPr>
                <w:sz w:val="16"/>
                <w:szCs w:val="18"/>
              </w:rPr>
              <w:t>116,94</w:t>
            </w:r>
          </w:p>
        </w:tc>
        <w:tc>
          <w:tcPr>
            <w:tcW w:w="991" w:type="dxa"/>
            <w:tcBorders>
              <w:top w:val="nil"/>
              <w:left w:val="nil"/>
              <w:bottom w:val="single" w:sz="4" w:space="0" w:color="auto"/>
              <w:right w:val="single" w:sz="4" w:space="0" w:color="auto"/>
            </w:tcBorders>
            <w:shd w:val="clear" w:color="000000" w:fill="FFFFFF"/>
            <w:noWrap/>
            <w:vAlign w:val="bottom"/>
            <w:hideMark/>
          </w:tcPr>
          <w:p w14:paraId="38135F4F" w14:textId="77777777" w:rsidR="00B56301" w:rsidRPr="002010BD" w:rsidRDefault="00B56301" w:rsidP="00B37B65">
            <w:pPr>
              <w:jc w:val="right"/>
              <w:rPr>
                <w:rFonts w:asciiTheme="minorHAnsi" w:hAnsiTheme="minorHAnsi"/>
                <w:sz w:val="16"/>
                <w:szCs w:val="14"/>
              </w:rPr>
            </w:pPr>
            <w:r w:rsidRPr="00C2292B">
              <w:rPr>
                <w:sz w:val="16"/>
                <w:szCs w:val="18"/>
              </w:rPr>
              <w:t>112,17</w:t>
            </w:r>
          </w:p>
        </w:tc>
        <w:tc>
          <w:tcPr>
            <w:tcW w:w="991" w:type="dxa"/>
            <w:tcBorders>
              <w:top w:val="nil"/>
              <w:left w:val="nil"/>
              <w:bottom w:val="single" w:sz="4" w:space="0" w:color="auto"/>
              <w:right w:val="single" w:sz="4" w:space="0" w:color="auto"/>
            </w:tcBorders>
            <w:shd w:val="clear" w:color="000000" w:fill="FFFFFF"/>
            <w:noWrap/>
            <w:vAlign w:val="bottom"/>
            <w:hideMark/>
          </w:tcPr>
          <w:p w14:paraId="5A3C28AC" w14:textId="77777777" w:rsidR="00B56301" w:rsidRPr="002010BD" w:rsidRDefault="00B56301" w:rsidP="00B37B65">
            <w:pPr>
              <w:jc w:val="right"/>
              <w:rPr>
                <w:rFonts w:asciiTheme="minorHAnsi" w:hAnsiTheme="minorHAnsi"/>
                <w:sz w:val="16"/>
                <w:szCs w:val="14"/>
              </w:rPr>
            </w:pPr>
            <w:r w:rsidRPr="00C2292B">
              <w:rPr>
                <w:sz w:val="16"/>
                <w:szCs w:val="18"/>
              </w:rPr>
              <w:t>102,43</w:t>
            </w:r>
          </w:p>
        </w:tc>
        <w:tc>
          <w:tcPr>
            <w:tcW w:w="991" w:type="dxa"/>
            <w:tcBorders>
              <w:top w:val="nil"/>
              <w:left w:val="nil"/>
              <w:bottom w:val="single" w:sz="4" w:space="0" w:color="auto"/>
              <w:right w:val="single" w:sz="4" w:space="0" w:color="auto"/>
            </w:tcBorders>
            <w:shd w:val="clear" w:color="000000" w:fill="FFFFFF"/>
            <w:noWrap/>
            <w:vAlign w:val="bottom"/>
            <w:hideMark/>
          </w:tcPr>
          <w:p w14:paraId="50F1398E" w14:textId="77777777" w:rsidR="00B56301" w:rsidRPr="002010BD" w:rsidRDefault="00B56301" w:rsidP="00B37B65">
            <w:pPr>
              <w:jc w:val="right"/>
              <w:rPr>
                <w:rFonts w:asciiTheme="minorHAnsi" w:hAnsiTheme="minorHAnsi"/>
                <w:sz w:val="16"/>
                <w:szCs w:val="14"/>
              </w:rPr>
            </w:pPr>
            <w:r w:rsidRPr="00C2292B">
              <w:rPr>
                <w:sz w:val="16"/>
                <w:szCs w:val="18"/>
              </w:rPr>
              <w:t>85,80</w:t>
            </w:r>
          </w:p>
        </w:tc>
      </w:tr>
      <w:tr w:rsidR="00B56301" w:rsidRPr="00C2292B" w14:paraId="7E616C6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6229FE5" w14:textId="7BAD3A0D"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695CEBDB"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CD11E54" w14:textId="77777777" w:rsidR="00B56301" w:rsidRPr="002010BD" w:rsidRDefault="00B56301" w:rsidP="00B37B65">
            <w:pPr>
              <w:jc w:val="right"/>
              <w:rPr>
                <w:rFonts w:asciiTheme="minorHAnsi" w:hAnsiTheme="minorHAnsi"/>
                <w:sz w:val="16"/>
                <w:szCs w:val="14"/>
              </w:rPr>
            </w:pPr>
            <w:r w:rsidRPr="00C2292B">
              <w:rPr>
                <w:sz w:val="16"/>
                <w:szCs w:val="18"/>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6D855A53" w14:textId="77777777" w:rsidR="00B56301" w:rsidRPr="002010BD" w:rsidRDefault="00B56301" w:rsidP="00B37B65">
            <w:pPr>
              <w:jc w:val="right"/>
              <w:rPr>
                <w:rFonts w:asciiTheme="minorHAnsi" w:hAnsiTheme="minorHAnsi"/>
                <w:sz w:val="16"/>
                <w:szCs w:val="14"/>
              </w:rPr>
            </w:pPr>
            <w:r w:rsidRPr="00C2292B">
              <w:rPr>
                <w:sz w:val="16"/>
                <w:szCs w:val="18"/>
              </w:rPr>
              <w:t>0,17</w:t>
            </w:r>
          </w:p>
        </w:tc>
        <w:tc>
          <w:tcPr>
            <w:tcW w:w="991" w:type="dxa"/>
            <w:tcBorders>
              <w:top w:val="nil"/>
              <w:left w:val="nil"/>
              <w:bottom w:val="single" w:sz="4" w:space="0" w:color="auto"/>
              <w:right w:val="single" w:sz="4" w:space="0" w:color="auto"/>
            </w:tcBorders>
            <w:shd w:val="clear" w:color="000000" w:fill="FFFFFF"/>
            <w:noWrap/>
            <w:vAlign w:val="bottom"/>
            <w:hideMark/>
          </w:tcPr>
          <w:p w14:paraId="2FE70BE1" w14:textId="77777777" w:rsidR="00B56301" w:rsidRPr="002010BD" w:rsidRDefault="00B56301" w:rsidP="00B37B65">
            <w:pPr>
              <w:jc w:val="right"/>
              <w:rPr>
                <w:rFonts w:asciiTheme="minorHAnsi" w:hAnsiTheme="minorHAnsi"/>
                <w:sz w:val="16"/>
                <w:szCs w:val="14"/>
              </w:rPr>
            </w:pPr>
            <w:r w:rsidRPr="00C2292B">
              <w:rPr>
                <w:sz w:val="16"/>
                <w:szCs w:val="18"/>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4DBF759A" w14:textId="77777777" w:rsidR="00B56301" w:rsidRPr="002010BD" w:rsidRDefault="00B56301" w:rsidP="00B37B65">
            <w:pPr>
              <w:jc w:val="right"/>
              <w:rPr>
                <w:rFonts w:asciiTheme="minorHAnsi" w:hAnsiTheme="minorHAnsi"/>
                <w:sz w:val="16"/>
                <w:szCs w:val="14"/>
              </w:rPr>
            </w:pPr>
            <w:r w:rsidRPr="00C2292B">
              <w:rPr>
                <w:sz w:val="16"/>
                <w:szCs w:val="18"/>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450F7DFF" w14:textId="77777777" w:rsidR="00B56301" w:rsidRPr="002010BD" w:rsidRDefault="00B56301" w:rsidP="00B37B65">
            <w:pPr>
              <w:jc w:val="right"/>
              <w:rPr>
                <w:rFonts w:asciiTheme="minorHAnsi" w:hAnsiTheme="minorHAnsi"/>
                <w:sz w:val="16"/>
                <w:szCs w:val="14"/>
              </w:rPr>
            </w:pPr>
            <w:r w:rsidRPr="00C2292B">
              <w:rPr>
                <w:sz w:val="16"/>
                <w:szCs w:val="18"/>
              </w:rPr>
              <w:t>0,16</w:t>
            </w:r>
          </w:p>
        </w:tc>
      </w:tr>
      <w:tr w:rsidR="00B56301" w:rsidRPr="00C2292B" w14:paraId="62832C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89E57E"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173606B1" w14:textId="77777777" w:rsidR="00B56301" w:rsidRPr="002010BD" w:rsidRDefault="00B56301" w:rsidP="00B37B65">
            <w:pPr>
              <w:jc w:val="right"/>
              <w:rPr>
                <w:rFonts w:asciiTheme="minorHAnsi" w:hAnsiTheme="minorHAnsi"/>
                <w:sz w:val="16"/>
                <w:szCs w:val="14"/>
              </w:rPr>
            </w:pPr>
            <w:r w:rsidRPr="00C2292B">
              <w:rPr>
                <w:sz w:val="16"/>
                <w:szCs w:val="18"/>
              </w:rPr>
              <w:t>132,35</w:t>
            </w:r>
          </w:p>
        </w:tc>
        <w:tc>
          <w:tcPr>
            <w:tcW w:w="991" w:type="dxa"/>
            <w:tcBorders>
              <w:top w:val="nil"/>
              <w:left w:val="nil"/>
              <w:bottom w:val="single" w:sz="4" w:space="0" w:color="auto"/>
              <w:right w:val="single" w:sz="4" w:space="0" w:color="auto"/>
            </w:tcBorders>
            <w:shd w:val="clear" w:color="000000" w:fill="CCFFFF"/>
            <w:noWrap/>
            <w:vAlign w:val="bottom"/>
            <w:hideMark/>
          </w:tcPr>
          <w:p w14:paraId="0EAB67C8" w14:textId="77777777" w:rsidR="00B56301" w:rsidRPr="002010BD" w:rsidRDefault="00B56301" w:rsidP="00B37B65">
            <w:pPr>
              <w:jc w:val="right"/>
              <w:rPr>
                <w:rFonts w:asciiTheme="minorHAnsi" w:hAnsiTheme="minorHAnsi"/>
                <w:sz w:val="16"/>
                <w:szCs w:val="14"/>
              </w:rPr>
            </w:pPr>
            <w:r w:rsidRPr="00C2292B">
              <w:rPr>
                <w:sz w:val="16"/>
                <w:szCs w:val="18"/>
              </w:rPr>
              <w:t>108,68</w:t>
            </w:r>
          </w:p>
        </w:tc>
        <w:tc>
          <w:tcPr>
            <w:tcW w:w="991" w:type="dxa"/>
            <w:tcBorders>
              <w:top w:val="nil"/>
              <w:left w:val="nil"/>
              <w:bottom w:val="single" w:sz="4" w:space="0" w:color="auto"/>
              <w:right w:val="single" w:sz="4" w:space="0" w:color="auto"/>
            </w:tcBorders>
            <w:shd w:val="clear" w:color="000000" w:fill="CCFFFF"/>
            <w:noWrap/>
            <w:vAlign w:val="bottom"/>
            <w:hideMark/>
          </w:tcPr>
          <w:p w14:paraId="60B90EF7" w14:textId="77777777" w:rsidR="00B56301" w:rsidRPr="002010BD" w:rsidRDefault="00B56301" w:rsidP="00B37B65">
            <w:pPr>
              <w:jc w:val="right"/>
              <w:rPr>
                <w:rFonts w:asciiTheme="minorHAnsi" w:hAnsiTheme="minorHAnsi"/>
                <w:sz w:val="16"/>
                <w:szCs w:val="14"/>
              </w:rPr>
            </w:pPr>
            <w:r w:rsidRPr="00C2292B">
              <w:rPr>
                <w:sz w:val="16"/>
                <w:szCs w:val="18"/>
              </w:rPr>
              <w:t>105,32</w:t>
            </w:r>
          </w:p>
        </w:tc>
        <w:tc>
          <w:tcPr>
            <w:tcW w:w="991" w:type="dxa"/>
            <w:tcBorders>
              <w:top w:val="nil"/>
              <w:left w:val="nil"/>
              <w:bottom w:val="single" w:sz="4" w:space="0" w:color="auto"/>
              <w:right w:val="single" w:sz="4" w:space="0" w:color="auto"/>
            </w:tcBorders>
            <w:shd w:val="clear" w:color="000000" w:fill="CCFFFF"/>
            <w:noWrap/>
            <w:vAlign w:val="bottom"/>
            <w:hideMark/>
          </w:tcPr>
          <w:p w14:paraId="367FF31F" w14:textId="77777777" w:rsidR="00B56301" w:rsidRPr="002010BD" w:rsidRDefault="00B56301" w:rsidP="00B37B65">
            <w:pPr>
              <w:jc w:val="right"/>
              <w:rPr>
                <w:rFonts w:asciiTheme="minorHAnsi" w:hAnsiTheme="minorHAnsi"/>
                <w:sz w:val="16"/>
                <w:szCs w:val="14"/>
              </w:rPr>
            </w:pPr>
            <w:r w:rsidRPr="00C2292B">
              <w:rPr>
                <w:sz w:val="16"/>
                <w:szCs w:val="18"/>
              </w:rPr>
              <w:t>85,87</w:t>
            </w:r>
          </w:p>
        </w:tc>
        <w:tc>
          <w:tcPr>
            <w:tcW w:w="991" w:type="dxa"/>
            <w:tcBorders>
              <w:top w:val="nil"/>
              <w:left w:val="nil"/>
              <w:bottom w:val="single" w:sz="4" w:space="0" w:color="auto"/>
              <w:right w:val="single" w:sz="4" w:space="0" w:color="auto"/>
            </w:tcBorders>
            <w:shd w:val="clear" w:color="000000" w:fill="CCFFFF"/>
            <w:noWrap/>
            <w:vAlign w:val="bottom"/>
            <w:hideMark/>
          </w:tcPr>
          <w:p w14:paraId="659EBA7C" w14:textId="77777777" w:rsidR="00B56301" w:rsidRPr="002010BD" w:rsidRDefault="00B56301" w:rsidP="00B37B65">
            <w:pPr>
              <w:jc w:val="right"/>
              <w:rPr>
                <w:rFonts w:asciiTheme="minorHAnsi" w:hAnsiTheme="minorHAnsi"/>
                <w:sz w:val="16"/>
                <w:szCs w:val="14"/>
              </w:rPr>
            </w:pPr>
            <w:r w:rsidRPr="00C2292B">
              <w:rPr>
                <w:sz w:val="16"/>
                <w:szCs w:val="18"/>
              </w:rPr>
              <w:t>72,43</w:t>
            </w:r>
          </w:p>
        </w:tc>
        <w:tc>
          <w:tcPr>
            <w:tcW w:w="991" w:type="dxa"/>
            <w:tcBorders>
              <w:top w:val="nil"/>
              <w:left w:val="nil"/>
              <w:bottom w:val="single" w:sz="4" w:space="0" w:color="auto"/>
              <w:right w:val="single" w:sz="4" w:space="0" w:color="auto"/>
            </w:tcBorders>
            <w:shd w:val="clear" w:color="000000" w:fill="CCFFFF"/>
            <w:noWrap/>
            <w:vAlign w:val="bottom"/>
            <w:hideMark/>
          </w:tcPr>
          <w:p w14:paraId="1565192A" w14:textId="77777777" w:rsidR="00B56301" w:rsidRPr="002010BD" w:rsidRDefault="00B56301" w:rsidP="00B37B65">
            <w:pPr>
              <w:jc w:val="right"/>
              <w:rPr>
                <w:rFonts w:asciiTheme="minorHAnsi" w:hAnsiTheme="minorHAnsi"/>
                <w:sz w:val="16"/>
                <w:szCs w:val="14"/>
              </w:rPr>
            </w:pPr>
            <w:r w:rsidRPr="00C2292B">
              <w:rPr>
                <w:sz w:val="16"/>
                <w:szCs w:val="18"/>
              </w:rPr>
              <w:t>68,31</w:t>
            </w:r>
          </w:p>
        </w:tc>
      </w:tr>
      <w:tr w:rsidR="00B56301" w:rsidRPr="00C2292B" w14:paraId="40C4B5B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44DAAD" w14:textId="3F98F651"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58619BB" w14:textId="77777777" w:rsidR="00B56301" w:rsidRPr="002010BD" w:rsidRDefault="00B56301" w:rsidP="00B37B65">
            <w:pPr>
              <w:jc w:val="right"/>
              <w:rPr>
                <w:rFonts w:asciiTheme="minorHAnsi" w:hAnsiTheme="minorHAnsi"/>
                <w:sz w:val="16"/>
                <w:szCs w:val="14"/>
              </w:rPr>
            </w:pPr>
            <w:r w:rsidRPr="00C2292B">
              <w:rPr>
                <w:sz w:val="16"/>
                <w:szCs w:val="18"/>
              </w:rPr>
              <w:t>72,96</w:t>
            </w:r>
          </w:p>
        </w:tc>
        <w:tc>
          <w:tcPr>
            <w:tcW w:w="991" w:type="dxa"/>
            <w:tcBorders>
              <w:top w:val="nil"/>
              <w:left w:val="nil"/>
              <w:bottom w:val="single" w:sz="4" w:space="0" w:color="auto"/>
              <w:right w:val="single" w:sz="4" w:space="0" w:color="auto"/>
            </w:tcBorders>
            <w:shd w:val="clear" w:color="000000" w:fill="FFFFFF"/>
            <w:noWrap/>
            <w:vAlign w:val="bottom"/>
            <w:hideMark/>
          </w:tcPr>
          <w:p w14:paraId="7495F093" w14:textId="77777777" w:rsidR="00B56301" w:rsidRPr="002010BD" w:rsidRDefault="00B56301" w:rsidP="00B37B65">
            <w:pPr>
              <w:jc w:val="right"/>
              <w:rPr>
                <w:rFonts w:asciiTheme="minorHAnsi" w:hAnsiTheme="minorHAnsi"/>
                <w:sz w:val="16"/>
                <w:szCs w:val="14"/>
              </w:rPr>
            </w:pPr>
            <w:r w:rsidRPr="00C2292B">
              <w:rPr>
                <w:sz w:val="16"/>
                <w:szCs w:val="18"/>
              </w:rPr>
              <w:t>48,71</w:t>
            </w:r>
          </w:p>
        </w:tc>
        <w:tc>
          <w:tcPr>
            <w:tcW w:w="991" w:type="dxa"/>
            <w:tcBorders>
              <w:top w:val="nil"/>
              <w:left w:val="nil"/>
              <w:bottom w:val="single" w:sz="4" w:space="0" w:color="auto"/>
              <w:right w:val="single" w:sz="4" w:space="0" w:color="auto"/>
            </w:tcBorders>
            <w:shd w:val="clear" w:color="000000" w:fill="FFFFFF"/>
            <w:noWrap/>
            <w:vAlign w:val="bottom"/>
            <w:hideMark/>
          </w:tcPr>
          <w:p w14:paraId="373B28D8" w14:textId="77777777" w:rsidR="00B56301" w:rsidRPr="002010BD" w:rsidRDefault="00B56301" w:rsidP="00B37B65">
            <w:pPr>
              <w:jc w:val="right"/>
              <w:rPr>
                <w:rFonts w:asciiTheme="minorHAnsi" w:hAnsiTheme="minorHAnsi"/>
                <w:sz w:val="16"/>
                <w:szCs w:val="14"/>
              </w:rPr>
            </w:pPr>
            <w:r w:rsidRPr="00C2292B">
              <w:rPr>
                <w:sz w:val="16"/>
                <w:szCs w:val="18"/>
              </w:rPr>
              <w:t>46,53</w:t>
            </w:r>
          </w:p>
        </w:tc>
        <w:tc>
          <w:tcPr>
            <w:tcW w:w="991" w:type="dxa"/>
            <w:tcBorders>
              <w:top w:val="nil"/>
              <w:left w:val="nil"/>
              <w:bottom w:val="single" w:sz="4" w:space="0" w:color="auto"/>
              <w:right w:val="single" w:sz="4" w:space="0" w:color="auto"/>
            </w:tcBorders>
            <w:shd w:val="clear" w:color="000000" w:fill="FFFFFF"/>
            <w:noWrap/>
            <w:vAlign w:val="bottom"/>
            <w:hideMark/>
          </w:tcPr>
          <w:p w14:paraId="739AC09B" w14:textId="77777777" w:rsidR="00B56301" w:rsidRPr="002010BD" w:rsidRDefault="00B56301" w:rsidP="00B37B65">
            <w:pPr>
              <w:jc w:val="right"/>
              <w:rPr>
                <w:rFonts w:asciiTheme="minorHAnsi" w:hAnsiTheme="minorHAnsi"/>
                <w:sz w:val="16"/>
                <w:szCs w:val="14"/>
              </w:rPr>
            </w:pPr>
            <w:r w:rsidRPr="00C2292B">
              <w:rPr>
                <w:sz w:val="16"/>
                <w:szCs w:val="18"/>
              </w:rPr>
              <w:t>27,44</w:t>
            </w:r>
          </w:p>
        </w:tc>
        <w:tc>
          <w:tcPr>
            <w:tcW w:w="991" w:type="dxa"/>
            <w:tcBorders>
              <w:top w:val="nil"/>
              <w:left w:val="nil"/>
              <w:bottom w:val="single" w:sz="4" w:space="0" w:color="auto"/>
              <w:right w:val="single" w:sz="4" w:space="0" w:color="auto"/>
            </w:tcBorders>
            <w:shd w:val="clear" w:color="000000" w:fill="FFFFFF"/>
            <w:noWrap/>
            <w:vAlign w:val="bottom"/>
            <w:hideMark/>
          </w:tcPr>
          <w:p w14:paraId="12DBE7DB" w14:textId="77777777" w:rsidR="00B56301" w:rsidRPr="002010BD" w:rsidRDefault="00B56301" w:rsidP="00B37B65">
            <w:pPr>
              <w:jc w:val="right"/>
              <w:rPr>
                <w:rFonts w:asciiTheme="minorHAnsi" w:hAnsiTheme="minorHAnsi"/>
                <w:sz w:val="16"/>
                <w:szCs w:val="14"/>
              </w:rPr>
            </w:pPr>
            <w:r w:rsidRPr="00C2292B">
              <w:rPr>
                <w:sz w:val="16"/>
                <w:szCs w:val="18"/>
              </w:rPr>
              <w:t>15,57</w:t>
            </w:r>
          </w:p>
        </w:tc>
        <w:tc>
          <w:tcPr>
            <w:tcW w:w="991" w:type="dxa"/>
            <w:tcBorders>
              <w:top w:val="nil"/>
              <w:left w:val="nil"/>
              <w:bottom w:val="single" w:sz="4" w:space="0" w:color="auto"/>
              <w:right w:val="single" w:sz="4" w:space="0" w:color="auto"/>
            </w:tcBorders>
            <w:shd w:val="clear" w:color="000000" w:fill="FFFFFF"/>
            <w:noWrap/>
            <w:vAlign w:val="bottom"/>
            <w:hideMark/>
          </w:tcPr>
          <w:p w14:paraId="195A859E" w14:textId="77777777" w:rsidR="00B56301" w:rsidRPr="002010BD" w:rsidRDefault="00B56301" w:rsidP="00B37B65">
            <w:pPr>
              <w:jc w:val="right"/>
              <w:rPr>
                <w:rFonts w:asciiTheme="minorHAnsi" w:hAnsiTheme="minorHAnsi"/>
                <w:sz w:val="16"/>
                <w:szCs w:val="14"/>
              </w:rPr>
            </w:pPr>
            <w:r w:rsidRPr="00C2292B">
              <w:rPr>
                <w:sz w:val="16"/>
                <w:szCs w:val="18"/>
              </w:rPr>
              <w:t>10,19</w:t>
            </w:r>
          </w:p>
        </w:tc>
      </w:tr>
      <w:tr w:rsidR="00B56301" w:rsidRPr="00C2292B" w14:paraId="77D92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7B4973" w14:textId="6A2E5A10"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5BDAE2B" w14:textId="77777777" w:rsidR="00B56301" w:rsidRPr="002010BD" w:rsidRDefault="00B56301" w:rsidP="00B37B65">
            <w:pPr>
              <w:jc w:val="right"/>
              <w:rPr>
                <w:rFonts w:asciiTheme="minorHAnsi" w:hAnsiTheme="minorHAnsi"/>
                <w:sz w:val="16"/>
                <w:szCs w:val="14"/>
              </w:rPr>
            </w:pPr>
            <w:r w:rsidRPr="00C2292B">
              <w:rPr>
                <w:sz w:val="16"/>
                <w:szCs w:val="18"/>
              </w:rPr>
              <w:t>59,39</w:t>
            </w:r>
          </w:p>
        </w:tc>
        <w:tc>
          <w:tcPr>
            <w:tcW w:w="991" w:type="dxa"/>
            <w:tcBorders>
              <w:top w:val="nil"/>
              <w:left w:val="nil"/>
              <w:bottom w:val="single" w:sz="4" w:space="0" w:color="auto"/>
              <w:right w:val="single" w:sz="4" w:space="0" w:color="auto"/>
            </w:tcBorders>
            <w:shd w:val="clear" w:color="000000" w:fill="FFFFFF"/>
            <w:noWrap/>
            <w:vAlign w:val="bottom"/>
            <w:hideMark/>
          </w:tcPr>
          <w:p w14:paraId="08CFAF52" w14:textId="77777777" w:rsidR="00B56301" w:rsidRPr="002010BD" w:rsidRDefault="00B56301" w:rsidP="00B37B65">
            <w:pPr>
              <w:jc w:val="right"/>
              <w:rPr>
                <w:rFonts w:asciiTheme="minorHAnsi" w:hAnsiTheme="minorHAnsi"/>
                <w:sz w:val="16"/>
                <w:szCs w:val="14"/>
              </w:rPr>
            </w:pPr>
            <w:r w:rsidRPr="00C2292B">
              <w:rPr>
                <w:sz w:val="16"/>
                <w:szCs w:val="18"/>
              </w:rPr>
              <w:t>59,96</w:t>
            </w:r>
          </w:p>
        </w:tc>
        <w:tc>
          <w:tcPr>
            <w:tcW w:w="991" w:type="dxa"/>
            <w:tcBorders>
              <w:top w:val="nil"/>
              <w:left w:val="nil"/>
              <w:bottom w:val="single" w:sz="4" w:space="0" w:color="auto"/>
              <w:right w:val="single" w:sz="4" w:space="0" w:color="auto"/>
            </w:tcBorders>
            <w:shd w:val="clear" w:color="000000" w:fill="FFFFFF"/>
            <w:noWrap/>
            <w:vAlign w:val="bottom"/>
            <w:hideMark/>
          </w:tcPr>
          <w:p w14:paraId="22858E78" w14:textId="77777777" w:rsidR="00B56301" w:rsidRPr="002010BD" w:rsidRDefault="00B56301" w:rsidP="00B37B65">
            <w:pPr>
              <w:jc w:val="right"/>
              <w:rPr>
                <w:rFonts w:asciiTheme="minorHAnsi" w:hAnsiTheme="minorHAnsi"/>
                <w:sz w:val="16"/>
                <w:szCs w:val="14"/>
              </w:rPr>
            </w:pPr>
            <w:r w:rsidRPr="00C2292B">
              <w:rPr>
                <w:sz w:val="16"/>
                <w:szCs w:val="18"/>
              </w:rPr>
              <w:t>58,79</w:t>
            </w:r>
          </w:p>
        </w:tc>
        <w:tc>
          <w:tcPr>
            <w:tcW w:w="991" w:type="dxa"/>
            <w:tcBorders>
              <w:top w:val="nil"/>
              <w:left w:val="nil"/>
              <w:bottom w:val="single" w:sz="4" w:space="0" w:color="auto"/>
              <w:right w:val="single" w:sz="4" w:space="0" w:color="auto"/>
            </w:tcBorders>
            <w:shd w:val="clear" w:color="000000" w:fill="FFFFFF"/>
            <w:noWrap/>
            <w:vAlign w:val="bottom"/>
            <w:hideMark/>
          </w:tcPr>
          <w:p w14:paraId="78B7557A" w14:textId="77777777" w:rsidR="00B56301" w:rsidRPr="002010BD" w:rsidRDefault="00B56301" w:rsidP="00B37B65">
            <w:pPr>
              <w:jc w:val="right"/>
              <w:rPr>
                <w:rFonts w:asciiTheme="minorHAnsi" w:hAnsiTheme="minorHAnsi"/>
                <w:sz w:val="16"/>
                <w:szCs w:val="14"/>
              </w:rPr>
            </w:pPr>
            <w:r w:rsidRPr="00C2292B">
              <w:rPr>
                <w:sz w:val="16"/>
                <w:szCs w:val="18"/>
              </w:rPr>
              <w:t>58,43</w:t>
            </w:r>
          </w:p>
        </w:tc>
        <w:tc>
          <w:tcPr>
            <w:tcW w:w="991" w:type="dxa"/>
            <w:tcBorders>
              <w:top w:val="nil"/>
              <w:left w:val="nil"/>
              <w:bottom w:val="single" w:sz="4" w:space="0" w:color="auto"/>
              <w:right w:val="single" w:sz="4" w:space="0" w:color="auto"/>
            </w:tcBorders>
            <w:shd w:val="clear" w:color="000000" w:fill="FFFFFF"/>
            <w:noWrap/>
            <w:vAlign w:val="bottom"/>
            <w:hideMark/>
          </w:tcPr>
          <w:p w14:paraId="2C5718E4" w14:textId="77777777" w:rsidR="00B56301" w:rsidRPr="002010BD" w:rsidRDefault="00B56301" w:rsidP="00B37B65">
            <w:pPr>
              <w:jc w:val="right"/>
              <w:rPr>
                <w:rFonts w:asciiTheme="minorHAnsi" w:hAnsiTheme="minorHAnsi"/>
                <w:sz w:val="16"/>
                <w:szCs w:val="14"/>
              </w:rPr>
            </w:pPr>
            <w:r w:rsidRPr="00C2292B">
              <w:rPr>
                <w:sz w:val="16"/>
                <w:szCs w:val="18"/>
              </w:rPr>
              <w:t>56,86</w:t>
            </w:r>
          </w:p>
        </w:tc>
        <w:tc>
          <w:tcPr>
            <w:tcW w:w="991" w:type="dxa"/>
            <w:tcBorders>
              <w:top w:val="nil"/>
              <w:left w:val="nil"/>
              <w:bottom w:val="single" w:sz="4" w:space="0" w:color="auto"/>
              <w:right w:val="single" w:sz="4" w:space="0" w:color="auto"/>
            </w:tcBorders>
            <w:shd w:val="clear" w:color="000000" w:fill="FFFFFF"/>
            <w:noWrap/>
            <w:vAlign w:val="bottom"/>
            <w:hideMark/>
          </w:tcPr>
          <w:p w14:paraId="2462A824" w14:textId="77777777" w:rsidR="00B56301" w:rsidRPr="002010BD" w:rsidRDefault="00B56301" w:rsidP="00B37B65">
            <w:pPr>
              <w:jc w:val="right"/>
              <w:rPr>
                <w:rFonts w:asciiTheme="minorHAnsi" w:hAnsiTheme="minorHAnsi"/>
                <w:sz w:val="16"/>
                <w:szCs w:val="14"/>
              </w:rPr>
            </w:pPr>
            <w:r w:rsidRPr="00C2292B">
              <w:rPr>
                <w:sz w:val="16"/>
                <w:szCs w:val="18"/>
              </w:rPr>
              <w:t>58,11</w:t>
            </w:r>
          </w:p>
        </w:tc>
      </w:tr>
      <w:tr w:rsidR="00B56301" w:rsidRPr="00833C38" w14:paraId="5AC6F9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C9818" w14:textId="758CB9FE"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2CC3AB7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958011"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5F00D7"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B00AD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9C2EDF"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BF024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1A95F3B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E4DDF83" w14:textId="0F421373"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2C84725E" w14:textId="77777777" w:rsidR="00B56301" w:rsidRPr="002010BD" w:rsidRDefault="00B56301" w:rsidP="00B37B65">
            <w:pPr>
              <w:jc w:val="right"/>
              <w:rPr>
                <w:rFonts w:asciiTheme="minorHAnsi" w:hAnsiTheme="minorHAnsi"/>
                <w:sz w:val="16"/>
                <w:szCs w:val="14"/>
              </w:rPr>
            </w:pPr>
            <w:r w:rsidRPr="00C2292B">
              <w:rPr>
                <w:sz w:val="16"/>
                <w:szCs w:val="18"/>
              </w:rPr>
              <w:t>9,02</w:t>
            </w:r>
          </w:p>
        </w:tc>
        <w:tc>
          <w:tcPr>
            <w:tcW w:w="991" w:type="dxa"/>
            <w:tcBorders>
              <w:top w:val="nil"/>
              <w:left w:val="nil"/>
              <w:bottom w:val="single" w:sz="4" w:space="0" w:color="auto"/>
              <w:right w:val="single" w:sz="4" w:space="0" w:color="auto"/>
            </w:tcBorders>
            <w:shd w:val="clear" w:color="000000" w:fill="CCFFFF"/>
            <w:noWrap/>
            <w:vAlign w:val="bottom"/>
            <w:hideMark/>
          </w:tcPr>
          <w:p w14:paraId="70244874" w14:textId="77777777" w:rsidR="00B56301" w:rsidRPr="002010BD" w:rsidRDefault="00B56301" w:rsidP="00B37B65">
            <w:pPr>
              <w:jc w:val="right"/>
              <w:rPr>
                <w:rFonts w:asciiTheme="minorHAnsi" w:hAnsiTheme="minorHAnsi"/>
                <w:sz w:val="16"/>
                <w:szCs w:val="14"/>
              </w:rPr>
            </w:pPr>
            <w:r w:rsidRPr="00C2292B">
              <w:rPr>
                <w:sz w:val="16"/>
                <w:szCs w:val="18"/>
              </w:rPr>
              <w:t>9,36</w:t>
            </w:r>
          </w:p>
        </w:tc>
        <w:tc>
          <w:tcPr>
            <w:tcW w:w="991" w:type="dxa"/>
            <w:tcBorders>
              <w:top w:val="nil"/>
              <w:left w:val="nil"/>
              <w:bottom w:val="single" w:sz="4" w:space="0" w:color="auto"/>
              <w:right w:val="single" w:sz="4" w:space="0" w:color="auto"/>
            </w:tcBorders>
            <w:shd w:val="clear" w:color="000000" w:fill="CCFFFF"/>
            <w:noWrap/>
            <w:vAlign w:val="bottom"/>
            <w:hideMark/>
          </w:tcPr>
          <w:p w14:paraId="3AFC6ED8" w14:textId="77777777" w:rsidR="00B56301" w:rsidRPr="002010BD" w:rsidRDefault="00B56301" w:rsidP="00B37B65">
            <w:pPr>
              <w:jc w:val="right"/>
              <w:rPr>
                <w:rFonts w:asciiTheme="minorHAnsi" w:hAnsiTheme="minorHAnsi"/>
                <w:sz w:val="16"/>
                <w:szCs w:val="14"/>
              </w:rPr>
            </w:pPr>
            <w:r w:rsidRPr="00C2292B">
              <w:rPr>
                <w:sz w:val="16"/>
                <w:szCs w:val="18"/>
              </w:rPr>
              <w:t>8,96</w:t>
            </w:r>
          </w:p>
        </w:tc>
        <w:tc>
          <w:tcPr>
            <w:tcW w:w="991" w:type="dxa"/>
            <w:tcBorders>
              <w:top w:val="nil"/>
              <w:left w:val="nil"/>
              <w:bottom w:val="single" w:sz="4" w:space="0" w:color="auto"/>
              <w:right w:val="single" w:sz="4" w:space="0" w:color="auto"/>
            </w:tcBorders>
            <w:shd w:val="clear" w:color="000000" w:fill="CCFFFF"/>
            <w:noWrap/>
            <w:vAlign w:val="bottom"/>
            <w:hideMark/>
          </w:tcPr>
          <w:p w14:paraId="0135331B" w14:textId="77777777" w:rsidR="00B56301" w:rsidRPr="002010BD" w:rsidRDefault="00B56301" w:rsidP="00B37B65">
            <w:pPr>
              <w:jc w:val="right"/>
              <w:rPr>
                <w:rFonts w:asciiTheme="minorHAnsi" w:hAnsiTheme="minorHAnsi"/>
                <w:sz w:val="16"/>
                <w:szCs w:val="14"/>
              </w:rPr>
            </w:pPr>
            <w:r w:rsidRPr="00C2292B">
              <w:rPr>
                <w:sz w:val="16"/>
                <w:szCs w:val="18"/>
              </w:rPr>
              <w:t>10,75</w:t>
            </w:r>
          </w:p>
        </w:tc>
        <w:tc>
          <w:tcPr>
            <w:tcW w:w="991" w:type="dxa"/>
            <w:tcBorders>
              <w:top w:val="nil"/>
              <w:left w:val="nil"/>
              <w:bottom w:val="single" w:sz="4" w:space="0" w:color="auto"/>
              <w:right w:val="single" w:sz="4" w:space="0" w:color="auto"/>
            </w:tcBorders>
            <w:shd w:val="clear" w:color="000000" w:fill="CCFFFF"/>
            <w:noWrap/>
            <w:vAlign w:val="bottom"/>
            <w:hideMark/>
          </w:tcPr>
          <w:p w14:paraId="70F65617" w14:textId="77777777" w:rsidR="00B56301" w:rsidRPr="002010BD" w:rsidRDefault="00B56301" w:rsidP="00B37B65">
            <w:pPr>
              <w:jc w:val="right"/>
              <w:rPr>
                <w:rFonts w:asciiTheme="minorHAnsi" w:hAnsiTheme="minorHAnsi"/>
                <w:sz w:val="16"/>
                <w:szCs w:val="14"/>
              </w:rPr>
            </w:pPr>
            <w:r w:rsidRPr="00C2292B">
              <w:rPr>
                <w:sz w:val="16"/>
                <w:szCs w:val="18"/>
              </w:rPr>
              <w:t>8,29</w:t>
            </w:r>
          </w:p>
        </w:tc>
        <w:tc>
          <w:tcPr>
            <w:tcW w:w="991" w:type="dxa"/>
            <w:tcBorders>
              <w:top w:val="nil"/>
              <w:left w:val="nil"/>
              <w:bottom w:val="single" w:sz="4" w:space="0" w:color="auto"/>
              <w:right w:val="single" w:sz="4" w:space="0" w:color="auto"/>
            </w:tcBorders>
            <w:shd w:val="clear" w:color="000000" w:fill="CCFFFF"/>
            <w:noWrap/>
            <w:vAlign w:val="bottom"/>
            <w:hideMark/>
          </w:tcPr>
          <w:p w14:paraId="3551B4E8" w14:textId="77777777" w:rsidR="00B56301" w:rsidRPr="002010BD" w:rsidRDefault="00B56301" w:rsidP="00B37B65">
            <w:pPr>
              <w:jc w:val="right"/>
              <w:rPr>
                <w:rFonts w:asciiTheme="minorHAnsi" w:hAnsiTheme="minorHAnsi"/>
                <w:sz w:val="16"/>
                <w:szCs w:val="14"/>
              </w:rPr>
            </w:pPr>
            <w:r w:rsidRPr="00C2292B">
              <w:rPr>
                <w:sz w:val="16"/>
                <w:szCs w:val="18"/>
              </w:rPr>
              <w:t>6,46</w:t>
            </w:r>
          </w:p>
        </w:tc>
      </w:tr>
      <w:tr w:rsidR="00B56301" w:rsidRPr="00C2292B" w14:paraId="4CD3BC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B449C5" w14:textId="74F0CB0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07EAF3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14574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64FC2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2A81AB"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BD4FC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A9F975"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390C5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F40AF0" w14:textId="54A920A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A54841C" w14:textId="77777777" w:rsidR="00B56301" w:rsidRPr="002010BD" w:rsidRDefault="00B56301" w:rsidP="00B37B65">
            <w:pPr>
              <w:jc w:val="right"/>
              <w:rPr>
                <w:rFonts w:asciiTheme="minorHAnsi" w:hAnsiTheme="minorHAnsi"/>
                <w:sz w:val="16"/>
                <w:szCs w:val="14"/>
              </w:rPr>
            </w:pPr>
            <w:r w:rsidRPr="00C2292B">
              <w:rPr>
                <w:sz w:val="16"/>
                <w:szCs w:val="18"/>
              </w:rPr>
              <w:t>4,24</w:t>
            </w:r>
          </w:p>
        </w:tc>
        <w:tc>
          <w:tcPr>
            <w:tcW w:w="991" w:type="dxa"/>
            <w:tcBorders>
              <w:top w:val="nil"/>
              <w:left w:val="nil"/>
              <w:bottom w:val="single" w:sz="4" w:space="0" w:color="auto"/>
              <w:right w:val="single" w:sz="4" w:space="0" w:color="auto"/>
            </w:tcBorders>
            <w:shd w:val="clear" w:color="000000" w:fill="FFFFFF"/>
            <w:noWrap/>
            <w:vAlign w:val="bottom"/>
            <w:hideMark/>
          </w:tcPr>
          <w:p w14:paraId="575D07CD" w14:textId="77777777" w:rsidR="00B56301" w:rsidRPr="002010BD" w:rsidRDefault="00B56301" w:rsidP="00B37B65">
            <w:pPr>
              <w:jc w:val="right"/>
              <w:rPr>
                <w:rFonts w:asciiTheme="minorHAnsi" w:hAnsiTheme="minorHAnsi"/>
                <w:sz w:val="16"/>
                <w:szCs w:val="14"/>
              </w:rPr>
            </w:pPr>
            <w:r w:rsidRPr="00C2292B">
              <w:rPr>
                <w:sz w:val="16"/>
                <w:szCs w:val="18"/>
              </w:rPr>
              <w:t>4,07</w:t>
            </w:r>
          </w:p>
        </w:tc>
        <w:tc>
          <w:tcPr>
            <w:tcW w:w="991" w:type="dxa"/>
            <w:tcBorders>
              <w:top w:val="nil"/>
              <w:left w:val="nil"/>
              <w:bottom w:val="single" w:sz="4" w:space="0" w:color="auto"/>
              <w:right w:val="single" w:sz="4" w:space="0" w:color="auto"/>
            </w:tcBorders>
            <w:shd w:val="clear" w:color="000000" w:fill="FFFFFF"/>
            <w:noWrap/>
            <w:vAlign w:val="bottom"/>
            <w:hideMark/>
          </w:tcPr>
          <w:p w14:paraId="27013750" w14:textId="77777777" w:rsidR="00B56301" w:rsidRPr="002010BD" w:rsidRDefault="00B56301" w:rsidP="00B37B65">
            <w:pPr>
              <w:jc w:val="right"/>
              <w:rPr>
                <w:rFonts w:asciiTheme="minorHAnsi" w:hAnsiTheme="minorHAnsi"/>
                <w:sz w:val="16"/>
                <w:szCs w:val="14"/>
              </w:rPr>
            </w:pPr>
            <w:r w:rsidRPr="00C2292B">
              <w:rPr>
                <w:sz w:val="16"/>
                <w:szCs w:val="18"/>
              </w:rPr>
              <w:t>4,58</w:t>
            </w:r>
          </w:p>
        </w:tc>
        <w:tc>
          <w:tcPr>
            <w:tcW w:w="991" w:type="dxa"/>
            <w:tcBorders>
              <w:top w:val="nil"/>
              <w:left w:val="nil"/>
              <w:bottom w:val="single" w:sz="4" w:space="0" w:color="auto"/>
              <w:right w:val="single" w:sz="4" w:space="0" w:color="auto"/>
            </w:tcBorders>
            <w:shd w:val="clear" w:color="000000" w:fill="FFFFFF"/>
            <w:noWrap/>
            <w:vAlign w:val="bottom"/>
            <w:hideMark/>
          </w:tcPr>
          <w:p w14:paraId="74B3CADB" w14:textId="77777777" w:rsidR="00B56301" w:rsidRPr="002010BD" w:rsidRDefault="00B56301" w:rsidP="00B37B65">
            <w:pPr>
              <w:jc w:val="right"/>
              <w:rPr>
                <w:rFonts w:asciiTheme="minorHAnsi" w:hAnsiTheme="minorHAnsi"/>
                <w:sz w:val="16"/>
                <w:szCs w:val="14"/>
              </w:rPr>
            </w:pPr>
            <w:r w:rsidRPr="00C2292B">
              <w:rPr>
                <w:sz w:val="16"/>
                <w:szCs w:val="18"/>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307A28BF" w14:textId="77777777" w:rsidR="00B56301" w:rsidRPr="002010BD" w:rsidRDefault="00B56301" w:rsidP="00B37B65">
            <w:pPr>
              <w:jc w:val="right"/>
              <w:rPr>
                <w:rFonts w:asciiTheme="minorHAnsi" w:hAnsiTheme="minorHAnsi"/>
                <w:sz w:val="16"/>
                <w:szCs w:val="14"/>
              </w:rPr>
            </w:pPr>
            <w:r w:rsidRPr="00C2292B">
              <w:rPr>
                <w:sz w:val="16"/>
                <w:szCs w:val="18"/>
              </w:rPr>
              <w:t>3,78</w:t>
            </w:r>
          </w:p>
        </w:tc>
        <w:tc>
          <w:tcPr>
            <w:tcW w:w="991" w:type="dxa"/>
            <w:tcBorders>
              <w:top w:val="nil"/>
              <w:left w:val="nil"/>
              <w:bottom w:val="single" w:sz="4" w:space="0" w:color="auto"/>
              <w:right w:val="single" w:sz="4" w:space="0" w:color="auto"/>
            </w:tcBorders>
            <w:shd w:val="clear" w:color="000000" w:fill="FFFFFF"/>
            <w:noWrap/>
            <w:vAlign w:val="bottom"/>
            <w:hideMark/>
          </w:tcPr>
          <w:p w14:paraId="597A0485" w14:textId="77777777" w:rsidR="00B56301" w:rsidRPr="002010BD" w:rsidRDefault="00B56301" w:rsidP="00B37B65">
            <w:pPr>
              <w:jc w:val="right"/>
              <w:rPr>
                <w:rFonts w:asciiTheme="minorHAnsi" w:hAnsiTheme="minorHAnsi"/>
                <w:sz w:val="16"/>
                <w:szCs w:val="14"/>
              </w:rPr>
            </w:pPr>
            <w:r w:rsidRPr="00C2292B">
              <w:rPr>
                <w:sz w:val="16"/>
                <w:szCs w:val="18"/>
              </w:rPr>
              <w:t>3,55</w:t>
            </w:r>
          </w:p>
        </w:tc>
      </w:tr>
      <w:tr w:rsidR="00B56301" w:rsidRPr="00C2292B" w14:paraId="5C3082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E7889B" w14:textId="7757B74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2705AA8" w14:textId="77777777" w:rsidR="00B56301" w:rsidRPr="002010BD" w:rsidRDefault="00B56301" w:rsidP="00B37B65">
            <w:pPr>
              <w:jc w:val="right"/>
              <w:rPr>
                <w:rFonts w:asciiTheme="minorHAnsi" w:hAnsiTheme="minorHAnsi"/>
                <w:sz w:val="16"/>
                <w:szCs w:val="14"/>
              </w:rPr>
            </w:pPr>
            <w:r w:rsidRPr="00C2292B">
              <w:rPr>
                <w:sz w:val="16"/>
                <w:szCs w:val="18"/>
              </w:rPr>
              <w:t>4,74</w:t>
            </w:r>
          </w:p>
        </w:tc>
        <w:tc>
          <w:tcPr>
            <w:tcW w:w="991" w:type="dxa"/>
            <w:tcBorders>
              <w:top w:val="nil"/>
              <w:left w:val="nil"/>
              <w:bottom w:val="single" w:sz="4" w:space="0" w:color="auto"/>
              <w:right w:val="single" w:sz="4" w:space="0" w:color="auto"/>
            </w:tcBorders>
            <w:shd w:val="clear" w:color="000000" w:fill="FFFFFF"/>
            <w:noWrap/>
            <w:vAlign w:val="bottom"/>
            <w:hideMark/>
          </w:tcPr>
          <w:p w14:paraId="1B52A94A" w14:textId="77777777" w:rsidR="00B56301" w:rsidRPr="002010BD" w:rsidRDefault="00B56301" w:rsidP="00B37B65">
            <w:pPr>
              <w:jc w:val="right"/>
              <w:rPr>
                <w:rFonts w:asciiTheme="minorHAnsi" w:hAnsiTheme="minorHAnsi"/>
                <w:sz w:val="16"/>
                <w:szCs w:val="14"/>
              </w:rPr>
            </w:pPr>
            <w:r w:rsidRPr="00C2292B">
              <w:rPr>
                <w:sz w:val="16"/>
                <w:szCs w:val="18"/>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4D352F95" w14:textId="77777777" w:rsidR="00B56301" w:rsidRPr="002010BD" w:rsidRDefault="00B56301" w:rsidP="00B37B65">
            <w:pPr>
              <w:jc w:val="right"/>
              <w:rPr>
                <w:rFonts w:asciiTheme="minorHAnsi" w:hAnsiTheme="minorHAnsi"/>
                <w:sz w:val="16"/>
                <w:szCs w:val="14"/>
              </w:rPr>
            </w:pPr>
            <w:r w:rsidRPr="00C2292B">
              <w:rPr>
                <w:sz w:val="16"/>
                <w:szCs w:val="18"/>
              </w:rPr>
              <w:t>4,35</w:t>
            </w:r>
          </w:p>
        </w:tc>
        <w:tc>
          <w:tcPr>
            <w:tcW w:w="991" w:type="dxa"/>
            <w:tcBorders>
              <w:top w:val="nil"/>
              <w:left w:val="nil"/>
              <w:bottom w:val="single" w:sz="4" w:space="0" w:color="auto"/>
              <w:right w:val="single" w:sz="4" w:space="0" w:color="auto"/>
            </w:tcBorders>
            <w:shd w:val="clear" w:color="000000" w:fill="FFFFFF"/>
            <w:noWrap/>
            <w:vAlign w:val="bottom"/>
            <w:hideMark/>
          </w:tcPr>
          <w:p w14:paraId="0C6F4DB6" w14:textId="77777777" w:rsidR="00B56301" w:rsidRPr="002010BD" w:rsidRDefault="00B56301" w:rsidP="00B37B65">
            <w:pPr>
              <w:jc w:val="right"/>
              <w:rPr>
                <w:rFonts w:asciiTheme="minorHAnsi" w:hAnsiTheme="minorHAnsi"/>
                <w:sz w:val="16"/>
                <w:szCs w:val="14"/>
              </w:rPr>
            </w:pPr>
            <w:r w:rsidRPr="00C2292B">
              <w:rPr>
                <w:sz w:val="16"/>
                <w:szCs w:val="18"/>
              </w:rPr>
              <w:t>6,00</w:t>
            </w:r>
          </w:p>
        </w:tc>
        <w:tc>
          <w:tcPr>
            <w:tcW w:w="991" w:type="dxa"/>
            <w:tcBorders>
              <w:top w:val="nil"/>
              <w:left w:val="nil"/>
              <w:bottom w:val="single" w:sz="4" w:space="0" w:color="auto"/>
              <w:right w:val="single" w:sz="4" w:space="0" w:color="auto"/>
            </w:tcBorders>
            <w:shd w:val="clear" w:color="000000" w:fill="FFFFFF"/>
            <w:noWrap/>
            <w:vAlign w:val="bottom"/>
            <w:hideMark/>
          </w:tcPr>
          <w:p w14:paraId="2504E5C8" w14:textId="77777777" w:rsidR="00B56301" w:rsidRPr="002010BD" w:rsidRDefault="00B56301" w:rsidP="00B37B65">
            <w:pPr>
              <w:jc w:val="right"/>
              <w:rPr>
                <w:rFonts w:asciiTheme="minorHAnsi" w:hAnsiTheme="minorHAnsi"/>
                <w:sz w:val="16"/>
                <w:szCs w:val="14"/>
              </w:rPr>
            </w:pPr>
            <w:r w:rsidRPr="00C2292B">
              <w:rPr>
                <w:sz w:val="16"/>
                <w:szCs w:val="18"/>
              </w:rPr>
              <w:t>4,48</w:t>
            </w:r>
          </w:p>
        </w:tc>
        <w:tc>
          <w:tcPr>
            <w:tcW w:w="991" w:type="dxa"/>
            <w:tcBorders>
              <w:top w:val="nil"/>
              <w:left w:val="nil"/>
              <w:bottom w:val="single" w:sz="4" w:space="0" w:color="auto"/>
              <w:right w:val="single" w:sz="4" w:space="0" w:color="auto"/>
            </w:tcBorders>
            <w:shd w:val="clear" w:color="000000" w:fill="FFFFFF"/>
            <w:noWrap/>
            <w:vAlign w:val="bottom"/>
            <w:hideMark/>
          </w:tcPr>
          <w:p w14:paraId="47EFF901" w14:textId="77777777" w:rsidR="00B56301" w:rsidRPr="002010BD" w:rsidRDefault="00B56301" w:rsidP="00B37B65">
            <w:pPr>
              <w:jc w:val="right"/>
              <w:rPr>
                <w:rFonts w:asciiTheme="minorHAnsi" w:hAnsiTheme="minorHAnsi"/>
                <w:sz w:val="16"/>
                <w:szCs w:val="14"/>
              </w:rPr>
            </w:pPr>
            <w:r w:rsidRPr="00C2292B">
              <w:rPr>
                <w:sz w:val="16"/>
                <w:szCs w:val="18"/>
              </w:rPr>
              <w:t>2,88</w:t>
            </w:r>
          </w:p>
        </w:tc>
      </w:tr>
      <w:tr w:rsidR="00B56301" w:rsidRPr="00C2292B" w14:paraId="40E49F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C1B25E5" w14:textId="7B20347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4889A8B1" w14:textId="77777777" w:rsidR="00B56301" w:rsidRPr="002010BD" w:rsidRDefault="00B56301" w:rsidP="00B37B65">
            <w:pPr>
              <w:jc w:val="right"/>
              <w:rPr>
                <w:rFonts w:asciiTheme="minorHAnsi" w:hAnsiTheme="minorHAnsi"/>
                <w:sz w:val="16"/>
                <w:szCs w:val="14"/>
              </w:rPr>
            </w:pPr>
            <w:r w:rsidRPr="00C2292B">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64197AB8" w14:textId="77777777" w:rsidR="00B56301" w:rsidRPr="002010BD" w:rsidRDefault="00B56301" w:rsidP="00B37B65">
            <w:pPr>
              <w:jc w:val="right"/>
              <w:rPr>
                <w:rFonts w:asciiTheme="minorHAnsi" w:hAnsiTheme="minorHAnsi"/>
                <w:sz w:val="16"/>
                <w:szCs w:val="14"/>
              </w:rPr>
            </w:pPr>
            <w:r w:rsidRPr="00C2292B">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4085DEAD" w14:textId="77777777" w:rsidR="00B56301" w:rsidRPr="002010BD" w:rsidRDefault="00B56301" w:rsidP="00B37B65">
            <w:pPr>
              <w:jc w:val="right"/>
              <w:rPr>
                <w:rFonts w:asciiTheme="minorHAnsi" w:hAnsiTheme="minorHAnsi"/>
                <w:sz w:val="16"/>
                <w:szCs w:val="14"/>
              </w:rPr>
            </w:pPr>
            <w:r w:rsidRPr="00C2292B">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6ABC7A06" w14:textId="77777777" w:rsidR="00B56301" w:rsidRPr="002010BD" w:rsidRDefault="00B56301" w:rsidP="00B37B65">
            <w:pPr>
              <w:jc w:val="right"/>
              <w:rPr>
                <w:rFonts w:asciiTheme="minorHAnsi" w:hAnsiTheme="minorHAnsi"/>
                <w:sz w:val="16"/>
                <w:szCs w:val="14"/>
              </w:rPr>
            </w:pPr>
            <w:r w:rsidRPr="00C2292B">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BA21697" w14:textId="77777777" w:rsidR="00B56301" w:rsidRPr="002010BD" w:rsidRDefault="00B56301" w:rsidP="00B37B65">
            <w:pPr>
              <w:jc w:val="right"/>
              <w:rPr>
                <w:rFonts w:asciiTheme="minorHAnsi" w:hAnsiTheme="minorHAnsi"/>
                <w:sz w:val="16"/>
                <w:szCs w:val="14"/>
              </w:rPr>
            </w:pPr>
            <w:r w:rsidRPr="00C2292B">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4497399" w14:textId="77777777" w:rsidR="00B56301" w:rsidRPr="002010BD" w:rsidRDefault="00B56301" w:rsidP="00B37B65">
            <w:pPr>
              <w:jc w:val="right"/>
              <w:rPr>
                <w:rFonts w:asciiTheme="minorHAnsi" w:hAnsiTheme="minorHAnsi"/>
                <w:sz w:val="16"/>
                <w:szCs w:val="14"/>
              </w:rPr>
            </w:pPr>
            <w:r w:rsidRPr="00C2292B">
              <w:rPr>
                <w:sz w:val="16"/>
                <w:szCs w:val="18"/>
              </w:rPr>
              <w:t>0,02</w:t>
            </w:r>
          </w:p>
        </w:tc>
      </w:tr>
      <w:tr w:rsidR="00B56301" w:rsidRPr="00C2292B" w14:paraId="04E510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B99A38" w14:textId="1D892F9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45E190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F314B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6E44A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4BF5B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1F02F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C0AE22"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622986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2BD1A14" w14:textId="32F29708"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0B9E66AF"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D5ECE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DABD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E615BF"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DD1488"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697E9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776E51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E223F52" w14:textId="1F98E11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32E41E02"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45FF7E2"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0B58C0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FCA4E0C"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F210A3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1918A2A"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3F44DBD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2E6A71" w14:textId="46FF879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35B66B8F"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249261D"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B480638"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5236A75"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AB7FBB8"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0F40AD4B" w14:textId="77777777" w:rsidR="00B56301" w:rsidRPr="002010BD" w:rsidRDefault="00B56301" w:rsidP="00B37B65">
            <w:pPr>
              <w:jc w:val="right"/>
              <w:rPr>
                <w:rFonts w:asciiTheme="minorHAnsi" w:hAnsiTheme="minorHAnsi"/>
                <w:sz w:val="16"/>
                <w:szCs w:val="14"/>
              </w:rPr>
            </w:pPr>
            <w:r w:rsidRPr="00C2292B">
              <w:rPr>
                <w:sz w:val="16"/>
                <w:szCs w:val="18"/>
              </w:rPr>
              <w:t>NO,NA</w:t>
            </w:r>
          </w:p>
        </w:tc>
      </w:tr>
      <w:tr w:rsidR="00B56301" w:rsidRPr="00C2292B" w14:paraId="52A6D4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FB33095" w14:textId="5400B492"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85B9DAC" w14:textId="77777777" w:rsidR="00B56301" w:rsidRPr="002010BD" w:rsidRDefault="00B56301" w:rsidP="00B37B65">
            <w:pPr>
              <w:jc w:val="right"/>
              <w:rPr>
                <w:rFonts w:asciiTheme="minorHAnsi" w:hAnsiTheme="minorHAnsi"/>
                <w:sz w:val="16"/>
                <w:szCs w:val="14"/>
              </w:rPr>
            </w:pPr>
            <w:r w:rsidRPr="00C2292B">
              <w:rPr>
                <w:sz w:val="16"/>
                <w:szCs w:val="18"/>
              </w:rPr>
              <w:t>1686,85</w:t>
            </w:r>
          </w:p>
        </w:tc>
        <w:tc>
          <w:tcPr>
            <w:tcW w:w="991" w:type="dxa"/>
            <w:tcBorders>
              <w:top w:val="nil"/>
              <w:left w:val="nil"/>
              <w:bottom w:val="single" w:sz="4" w:space="0" w:color="auto"/>
              <w:right w:val="single" w:sz="4" w:space="0" w:color="auto"/>
            </w:tcBorders>
            <w:shd w:val="clear" w:color="000000" w:fill="CCFFFF"/>
            <w:noWrap/>
            <w:vAlign w:val="bottom"/>
            <w:hideMark/>
          </w:tcPr>
          <w:p w14:paraId="5DBC8548" w14:textId="77777777" w:rsidR="00B56301" w:rsidRPr="002010BD" w:rsidRDefault="00B56301" w:rsidP="00B37B65">
            <w:pPr>
              <w:jc w:val="right"/>
              <w:rPr>
                <w:rFonts w:asciiTheme="minorHAnsi" w:hAnsiTheme="minorHAnsi"/>
                <w:sz w:val="16"/>
                <w:szCs w:val="14"/>
              </w:rPr>
            </w:pPr>
            <w:r w:rsidRPr="00C2292B">
              <w:rPr>
                <w:sz w:val="16"/>
                <w:szCs w:val="18"/>
              </w:rPr>
              <w:t>1653,78</w:t>
            </w:r>
          </w:p>
        </w:tc>
        <w:tc>
          <w:tcPr>
            <w:tcW w:w="991" w:type="dxa"/>
            <w:tcBorders>
              <w:top w:val="nil"/>
              <w:left w:val="nil"/>
              <w:bottom w:val="single" w:sz="4" w:space="0" w:color="auto"/>
              <w:right w:val="single" w:sz="4" w:space="0" w:color="auto"/>
            </w:tcBorders>
            <w:shd w:val="clear" w:color="000000" w:fill="CCFFFF"/>
            <w:noWrap/>
            <w:vAlign w:val="bottom"/>
            <w:hideMark/>
          </w:tcPr>
          <w:p w14:paraId="24520508" w14:textId="77777777" w:rsidR="00B56301" w:rsidRPr="002010BD" w:rsidRDefault="00B56301" w:rsidP="00B37B65">
            <w:pPr>
              <w:jc w:val="right"/>
              <w:rPr>
                <w:rFonts w:asciiTheme="minorHAnsi" w:hAnsiTheme="minorHAnsi"/>
                <w:sz w:val="16"/>
                <w:szCs w:val="14"/>
              </w:rPr>
            </w:pPr>
            <w:r w:rsidRPr="00C2292B">
              <w:rPr>
                <w:sz w:val="16"/>
                <w:szCs w:val="18"/>
              </w:rPr>
              <w:t>1612,16</w:t>
            </w:r>
          </w:p>
        </w:tc>
        <w:tc>
          <w:tcPr>
            <w:tcW w:w="991" w:type="dxa"/>
            <w:tcBorders>
              <w:top w:val="nil"/>
              <w:left w:val="nil"/>
              <w:bottom w:val="single" w:sz="4" w:space="0" w:color="auto"/>
              <w:right w:val="single" w:sz="4" w:space="0" w:color="auto"/>
            </w:tcBorders>
            <w:shd w:val="clear" w:color="000000" w:fill="CCFFFF"/>
            <w:noWrap/>
            <w:vAlign w:val="bottom"/>
            <w:hideMark/>
          </w:tcPr>
          <w:p w14:paraId="7997D0A1" w14:textId="77777777" w:rsidR="00B56301" w:rsidRPr="002010BD" w:rsidRDefault="00B56301" w:rsidP="00B37B65">
            <w:pPr>
              <w:jc w:val="right"/>
              <w:rPr>
                <w:rFonts w:asciiTheme="minorHAnsi" w:hAnsiTheme="minorHAnsi"/>
                <w:sz w:val="16"/>
                <w:szCs w:val="14"/>
              </w:rPr>
            </w:pPr>
            <w:r w:rsidRPr="00C2292B">
              <w:rPr>
                <w:sz w:val="16"/>
                <w:szCs w:val="18"/>
              </w:rPr>
              <w:t>1581,66</w:t>
            </w:r>
          </w:p>
        </w:tc>
        <w:tc>
          <w:tcPr>
            <w:tcW w:w="991" w:type="dxa"/>
            <w:tcBorders>
              <w:top w:val="nil"/>
              <w:left w:val="nil"/>
              <w:bottom w:val="single" w:sz="4" w:space="0" w:color="auto"/>
              <w:right w:val="single" w:sz="4" w:space="0" w:color="auto"/>
            </w:tcBorders>
            <w:shd w:val="clear" w:color="000000" w:fill="CCFFFF"/>
            <w:noWrap/>
            <w:vAlign w:val="bottom"/>
            <w:hideMark/>
          </w:tcPr>
          <w:p w14:paraId="502BB0B1" w14:textId="77777777" w:rsidR="00B56301" w:rsidRPr="002010BD" w:rsidRDefault="00B56301" w:rsidP="00B37B65">
            <w:pPr>
              <w:jc w:val="right"/>
              <w:rPr>
                <w:rFonts w:asciiTheme="minorHAnsi" w:hAnsiTheme="minorHAnsi"/>
                <w:sz w:val="16"/>
                <w:szCs w:val="14"/>
              </w:rPr>
            </w:pPr>
            <w:r w:rsidRPr="00C2292B">
              <w:rPr>
                <w:sz w:val="16"/>
                <w:szCs w:val="18"/>
              </w:rPr>
              <w:t>1574,92</w:t>
            </w:r>
          </w:p>
        </w:tc>
        <w:tc>
          <w:tcPr>
            <w:tcW w:w="991" w:type="dxa"/>
            <w:tcBorders>
              <w:top w:val="nil"/>
              <w:left w:val="nil"/>
              <w:bottom w:val="single" w:sz="4" w:space="0" w:color="auto"/>
              <w:right w:val="single" w:sz="4" w:space="0" w:color="auto"/>
            </w:tcBorders>
            <w:shd w:val="clear" w:color="000000" w:fill="CCFFFF"/>
            <w:noWrap/>
            <w:vAlign w:val="bottom"/>
            <w:hideMark/>
          </w:tcPr>
          <w:p w14:paraId="3726480C" w14:textId="77777777" w:rsidR="00B56301" w:rsidRPr="002010BD" w:rsidRDefault="00B56301" w:rsidP="00B37B65">
            <w:pPr>
              <w:jc w:val="right"/>
              <w:rPr>
                <w:rFonts w:asciiTheme="minorHAnsi" w:hAnsiTheme="minorHAnsi"/>
                <w:sz w:val="16"/>
                <w:szCs w:val="14"/>
              </w:rPr>
            </w:pPr>
            <w:r w:rsidRPr="00C2292B">
              <w:rPr>
                <w:sz w:val="16"/>
                <w:szCs w:val="18"/>
              </w:rPr>
              <w:t>1581,00</w:t>
            </w:r>
          </w:p>
        </w:tc>
      </w:tr>
      <w:tr w:rsidR="00B56301" w:rsidRPr="00C2292B" w14:paraId="4B3A92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3B60F2" w14:textId="3A1C184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2031668" w14:textId="77777777" w:rsidR="00B56301" w:rsidRPr="002010BD" w:rsidRDefault="00B56301" w:rsidP="00B37B65">
            <w:pPr>
              <w:jc w:val="right"/>
              <w:rPr>
                <w:rFonts w:asciiTheme="minorHAnsi" w:hAnsiTheme="minorHAnsi"/>
                <w:sz w:val="16"/>
                <w:szCs w:val="14"/>
              </w:rPr>
            </w:pPr>
            <w:r w:rsidRPr="00C2292B">
              <w:rPr>
                <w:sz w:val="16"/>
                <w:szCs w:val="18"/>
              </w:rPr>
              <w:t>1524,46</w:t>
            </w:r>
          </w:p>
        </w:tc>
        <w:tc>
          <w:tcPr>
            <w:tcW w:w="991" w:type="dxa"/>
            <w:tcBorders>
              <w:top w:val="nil"/>
              <w:left w:val="nil"/>
              <w:bottom w:val="single" w:sz="4" w:space="0" w:color="auto"/>
              <w:right w:val="single" w:sz="4" w:space="0" w:color="auto"/>
            </w:tcBorders>
            <w:shd w:val="clear" w:color="000000" w:fill="FFFFFF"/>
            <w:noWrap/>
            <w:vAlign w:val="bottom"/>
            <w:hideMark/>
          </w:tcPr>
          <w:p w14:paraId="3B7F5C3D" w14:textId="77777777" w:rsidR="00B56301" w:rsidRPr="002010BD" w:rsidRDefault="00B56301" w:rsidP="00B37B65">
            <w:pPr>
              <w:jc w:val="right"/>
              <w:rPr>
                <w:rFonts w:asciiTheme="minorHAnsi" w:hAnsiTheme="minorHAnsi"/>
                <w:sz w:val="16"/>
                <w:szCs w:val="14"/>
              </w:rPr>
            </w:pPr>
            <w:r w:rsidRPr="00C2292B">
              <w:rPr>
                <w:sz w:val="16"/>
                <w:szCs w:val="18"/>
              </w:rPr>
              <w:t>1488,09</w:t>
            </w:r>
          </w:p>
        </w:tc>
        <w:tc>
          <w:tcPr>
            <w:tcW w:w="991" w:type="dxa"/>
            <w:tcBorders>
              <w:top w:val="nil"/>
              <w:left w:val="nil"/>
              <w:bottom w:val="single" w:sz="4" w:space="0" w:color="auto"/>
              <w:right w:val="single" w:sz="4" w:space="0" w:color="auto"/>
            </w:tcBorders>
            <w:shd w:val="clear" w:color="000000" w:fill="FFFFFF"/>
            <w:noWrap/>
            <w:vAlign w:val="bottom"/>
            <w:hideMark/>
          </w:tcPr>
          <w:p w14:paraId="20025C70" w14:textId="77777777" w:rsidR="00B56301" w:rsidRPr="002010BD" w:rsidRDefault="00B56301" w:rsidP="00B37B65">
            <w:pPr>
              <w:jc w:val="right"/>
              <w:rPr>
                <w:rFonts w:asciiTheme="minorHAnsi" w:hAnsiTheme="minorHAnsi"/>
                <w:sz w:val="16"/>
                <w:szCs w:val="14"/>
              </w:rPr>
            </w:pPr>
            <w:r w:rsidRPr="00C2292B">
              <w:rPr>
                <w:sz w:val="16"/>
                <w:szCs w:val="18"/>
              </w:rPr>
              <w:t>1444,13</w:t>
            </w:r>
          </w:p>
        </w:tc>
        <w:tc>
          <w:tcPr>
            <w:tcW w:w="991" w:type="dxa"/>
            <w:tcBorders>
              <w:top w:val="nil"/>
              <w:left w:val="nil"/>
              <w:bottom w:val="single" w:sz="4" w:space="0" w:color="auto"/>
              <w:right w:val="single" w:sz="4" w:space="0" w:color="auto"/>
            </w:tcBorders>
            <w:shd w:val="clear" w:color="000000" w:fill="FFFFFF"/>
            <w:noWrap/>
            <w:vAlign w:val="bottom"/>
            <w:hideMark/>
          </w:tcPr>
          <w:p w14:paraId="15A10B15" w14:textId="77777777" w:rsidR="00B56301" w:rsidRPr="002010BD" w:rsidRDefault="00B56301" w:rsidP="00B37B65">
            <w:pPr>
              <w:jc w:val="right"/>
              <w:rPr>
                <w:rFonts w:asciiTheme="minorHAnsi" w:hAnsiTheme="minorHAnsi"/>
                <w:sz w:val="16"/>
                <w:szCs w:val="14"/>
              </w:rPr>
            </w:pPr>
            <w:r w:rsidRPr="00C2292B">
              <w:rPr>
                <w:sz w:val="16"/>
                <w:szCs w:val="18"/>
              </w:rPr>
              <w:t>1423,60</w:t>
            </w:r>
          </w:p>
        </w:tc>
        <w:tc>
          <w:tcPr>
            <w:tcW w:w="991" w:type="dxa"/>
            <w:tcBorders>
              <w:top w:val="nil"/>
              <w:left w:val="nil"/>
              <w:bottom w:val="single" w:sz="4" w:space="0" w:color="auto"/>
              <w:right w:val="single" w:sz="4" w:space="0" w:color="auto"/>
            </w:tcBorders>
            <w:shd w:val="clear" w:color="000000" w:fill="FFFFFF"/>
            <w:noWrap/>
            <w:vAlign w:val="bottom"/>
            <w:hideMark/>
          </w:tcPr>
          <w:p w14:paraId="5E32E8AA" w14:textId="77777777" w:rsidR="00B56301" w:rsidRPr="002010BD" w:rsidRDefault="00B56301" w:rsidP="00B37B65">
            <w:pPr>
              <w:jc w:val="right"/>
              <w:rPr>
                <w:rFonts w:asciiTheme="minorHAnsi" w:hAnsiTheme="minorHAnsi"/>
                <w:sz w:val="16"/>
                <w:szCs w:val="14"/>
              </w:rPr>
            </w:pPr>
            <w:r w:rsidRPr="00C2292B">
              <w:rPr>
                <w:sz w:val="16"/>
                <w:szCs w:val="18"/>
              </w:rPr>
              <w:t>1417,09</w:t>
            </w:r>
          </w:p>
        </w:tc>
        <w:tc>
          <w:tcPr>
            <w:tcW w:w="991" w:type="dxa"/>
            <w:tcBorders>
              <w:top w:val="nil"/>
              <w:left w:val="nil"/>
              <w:bottom w:val="single" w:sz="4" w:space="0" w:color="auto"/>
              <w:right w:val="single" w:sz="4" w:space="0" w:color="auto"/>
            </w:tcBorders>
            <w:shd w:val="clear" w:color="000000" w:fill="FFFFFF"/>
            <w:noWrap/>
            <w:vAlign w:val="bottom"/>
            <w:hideMark/>
          </w:tcPr>
          <w:p w14:paraId="621498E6" w14:textId="77777777" w:rsidR="00B56301" w:rsidRPr="002010BD" w:rsidRDefault="00B56301" w:rsidP="00B37B65">
            <w:pPr>
              <w:jc w:val="right"/>
              <w:rPr>
                <w:rFonts w:asciiTheme="minorHAnsi" w:hAnsiTheme="minorHAnsi"/>
                <w:sz w:val="16"/>
                <w:szCs w:val="14"/>
              </w:rPr>
            </w:pPr>
            <w:r w:rsidRPr="00C2292B">
              <w:rPr>
                <w:sz w:val="16"/>
                <w:szCs w:val="18"/>
              </w:rPr>
              <w:t>1418,83</w:t>
            </w:r>
          </w:p>
        </w:tc>
      </w:tr>
      <w:tr w:rsidR="00B56301" w:rsidRPr="00C2292B" w14:paraId="36FB65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22C8F1" w14:textId="62DC7AC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4E83864A" w14:textId="77777777" w:rsidR="00B56301" w:rsidRPr="002010BD" w:rsidRDefault="00B56301" w:rsidP="00B37B65">
            <w:pPr>
              <w:jc w:val="right"/>
              <w:rPr>
                <w:rFonts w:asciiTheme="minorHAnsi" w:hAnsiTheme="minorHAnsi"/>
                <w:sz w:val="16"/>
                <w:szCs w:val="14"/>
              </w:rPr>
            </w:pPr>
            <w:r w:rsidRPr="00C2292B">
              <w:rPr>
                <w:sz w:val="16"/>
                <w:szCs w:val="18"/>
              </w:rPr>
              <w:t>157,13</w:t>
            </w:r>
          </w:p>
        </w:tc>
        <w:tc>
          <w:tcPr>
            <w:tcW w:w="991" w:type="dxa"/>
            <w:tcBorders>
              <w:top w:val="nil"/>
              <w:left w:val="nil"/>
              <w:bottom w:val="single" w:sz="4" w:space="0" w:color="auto"/>
              <w:right w:val="single" w:sz="4" w:space="0" w:color="auto"/>
            </w:tcBorders>
            <w:shd w:val="clear" w:color="000000" w:fill="FFFFFF"/>
            <w:noWrap/>
            <w:vAlign w:val="bottom"/>
            <w:hideMark/>
          </w:tcPr>
          <w:p w14:paraId="26C39C53" w14:textId="77777777" w:rsidR="00B56301" w:rsidRPr="002010BD" w:rsidRDefault="00B56301" w:rsidP="00B37B65">
            <w:pPr>
              <w:jc w:val="right"/>
              <w:rPr>
                <w:rFonts w:asciiTheme="minorHAnsi" w:hAnsiTheme="minorHAnsi"/>
                <w:sz w:val="16"/>
                <w:szCs w:val="14"/>
              </w:rPr>
            </w:pPr>
            <w:r w:rsidRPr="00C2292B">
              <w:rPr>
                <w:sz w:val="16"/>
                <w:szCs w:val="18"/>
              </w:rPr>
              <w:t>160,56</w:t>
            </w:r>
          </w:p>
        </w:tc>
        <w:tc>
          <w:tcPr>
            <w:tcW w:w="991" w:type="dxa"/>
            <w:tcBorders>
              <w:top w:val="nil"/>
              <w:left w:val="nil"/>
              <w:bottom w:val="single" w:sz="4" w:space="0" w:color="auto"/>
              <w:right w:val="single" w:sz="4" w:space="0" w:color="auto"/>
            </w:tcBorders>
            <w:shd w:val="clear" w:color="000000" w:fill="FFFFFF"/>
            <w:noWrap/>
            <w:vAlign w:val="bottom"/>
            <w:hideMark/>
          </w:tcPr>
          <w:p w14:paraId="3950F505" w14:textId="77777777" w:rsidR="00B56301" w:rsidRPr="002010BD" w:rsidRDefault="00B56301" w:rsidP="00B37B65">
            <w:pPr>
              <w:jc w:val="right"/>
              <w:rPr>
                <w:rFonts w:asciiTheme="minorHAnsi" w:hAnsiTheme="minorHAnsi"/>
                <w:sz w:val="16"/>
                <w:szCs w:val="14"/>
              </w:rPr>
            </w:pPr>
            <w:r w:rsidRPr="00C2292B">
              <w:rPr>
                <w:sz w:val="16"/>
                <w:szCs w:val="18"/>
              </w:rPr>
              <w:t>163,42</w:t>
            </w:r>
          </w:p>
        </w:tc>
        <w:tc>
          <w:tcPr>
            <w:tcW w:w="991" w:type="dxa"/>
            <w:tcBorders>
              <w:top w:val="nil"/>
              <w:left w:val="nil"/>
              <w:bottom w:val="single" w:sz="4" w:space="0" w:color="auto"/>
              <w:right w:val="single" w:sz="4" w:space="0" w:color="auto"/>
            </w:tcBorders>
            <w:shd w:val="clear" w:color="000000" w:fill="FFFFFF"/>
            <w:noWrap/>
            <w:vAlign w:val="bottom"/>
            <w:hideMark/>
          </w:tcPr>
          <w:p w14:paraId="71D484A0" w14:textId="77777777" w:rsidR="00B56301" w:rsidRPr="002010BD" w:rsidRDefault="00B56301" w:rsidP="00B37B65">
            <w:pPr>
              <w:jc w:val="right"/>
              <w:rPr>
                <w:rFonts w:asciiTheme="minorHAnsi" w:hAnsiTheme="minorHAnsi"/>
                <w:sz w:val="16"/>
                <w:szCs w:val="14"/>
              </w:rPr>
            </w:pPr>
            <w:r w:rsidRPr="00C2292B">
              <w:rPr>
                <w:sz w:val="16"/>
                <w:szCs w:val="18"/>
              </w:rPr>
              <w:t>153,07</w:t>
            </w:r>
          </w:p>
        </w:tc>
        <w:tc>
          <w:tcPr>
            <w:tcW w:w="991" w:type="dxa"/>
            <w:tcBorders>
              <w:top w:val="nil"/>
              <w:left w:val="nil"/>
              <w:bottom w:val="single" w:sz="4" w:space="0" w:color="auto"/>
              <w:right w:val="single" w:sz="4" w:space="0" w:color="auto"/>
            </w:tcBorders>
            <w:shd w:val="clear" w:color="000000" w:fill="FFFFFF"/>
            <w:noWrap/>
            <w:vAlign w:val="bottom"/>
            <w:hideMark/>
          </w:tcPr>
          <w:p w14:paraId="00F0D6BB" w14:textId="77777777" w:rsidR="00B56301" w:rsidRPr="002010BD" w:rsidRDefault="00B56301" w:rsidP="00B37B65">
            <w:pPr>
              <w:jc w:val="right"/>
              <w:rPr>
                <w:rFonts w:asciiTheme="minorHAnsi" w:hAnsiTheme="minorHAnsi"/>
                <w:sz w:val="16"/>
                <w:szCs w:val="14"/>
              </w:rPr>
            </w:pPr>
            <w:r w:rsidRPr="00C2292B">
              <w:rPr>
                <w:sz w:val="16"/>
                <w:szCs w:val="18"/>
              </w:rPr>
              <w:t>153,45</w:t>
            </w:r>
          </w:p>
        </w:tc>
        <w:tc>
          <w:tcPr>
            <w:tcW w:w="991" w:type="dxa"/>
            <w:tcBorders>
              <w:top w:val="nil"/>
              <w:left w:val="nil"/>
              <w:bottom w:val="single" w:sz="4" w:space="0" w:color="auto"/>
              <w:right w:val="single" w:sz="4" w:space="0" w:color="auto"/>
            </w:tcBorders>
            <w:shd w:val="clear" w:color="000000" w:fill="FFFFFF"/>
            <w:noWrap/>
            <w:vAlign w:val="bottom"/>
            <w:hideMark/>
          </w:tcPr>
          <w:p w14:paraId="326A66ED" w14:textId="77777777" w:rsidR="00B56301" w:rsidRPr="002010BD" w:rsidRDefault="00B56301" w:rsidP="00B37B65">
            <w:pPr>
              <w:jc w:val="right"/>
              <w:rPr>
                <w:rFonts w:asciiTheme="minorHAnsi" w:hAnsiTheme="minorHAnsi"/>
                <w:sz w:val="16"/>
                <w:szCs w:val="14"/>
              </w:rPr>
            </w:pPr>
            <w:r w:rsidRPr="00C2292B">
              <w:rPr>
                <w:sz w:val="16"/>
                <w:szCs w:val="18"/>
              </w:rPr>
              <w:t>158,13</w:t>
            </w:r>
          </w:p>
        </w:tc>
      </w:tr>
      <w:tr w:rsidR="00B56301" w:rsidRPr="00C2292B" w14:paraId="3D910EA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68DEDE" w14:textId="3F5F822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033AE83B" w14:textId="77777777" w:rsidR="00B56301" w:rsidRPr="002010BD" w:rsidRDefault="00B56301" w:rsidP="00B37B65">
            <w:pPr>
              <w:jc w:val="right"/>
              <w:rPr>
                <w:rFonts w:asciiTheme="minorHAnsi" w:hAnsiTheme="minorHAnsi"/>
                <w:sz w:val="16"/>
                <w:szCs w:val="14"/>
              </w:rPr>
            </w:pPr>
            <w:r w:rsidRPr="00C2292B">
              <w:rPr>
                <w:sz w:val="16"/>
                <w:szCs w:val="18"/>
              </w:rPr>
              <w:t>2,72</w:t>
            </w:r>
          </w:p>
        </w:tc>
        <w:tc>
          <w:tcPr>
            <w:tcW w:w="991" w:type="dxa"/>
            <w:tcBorders>
              <w:top w:val="nil"/>
              <w:left w:val="nil"/>
              <w:bottom w:val="single" w:sz="4" w:space="0" w:color="auto"/>
              <w:right w:val="single" w:sz="4" w:space="0" w:color="auto"/>
            </w:tcBorders>
            <w:shd w:val="clear" w:color="000000" w:fill="FFFFFF"/>
            <w:noWrap/>
            <w:vAlign w:val="bottom"/>
            <w:hideMark/>
          </w:tcPr>
          <w:p w14:paraId="05EBE366" w14:textId="77777777" w:rsidR="00B56301" w:rsidRPr="002010BD" w:rsidRDefault="00B56301" w:rsidP="00B37B65">
            <w:pPr>
              <w:jc w:val="right"/>
              <w:rPr>
                <w:rFonts w:asciiTheme="minorHAnsi" w:hAnsiTheme="minorHAnsi"/>
                <w:sz w:val="16"/>
                <w:szCs w:val="14"/>
              </w:rPr>
            </w:pPr>
            <w:r w:rsidRPr="00C2292B">
              <w:rPr>
                <w:sz w:val="16"/>
                <w:szCs w:val="18"/>
              </w:rPr>
              <w:t>2,57</w:t>
            </w:r>
          </w:p>
        </w:tc>
        <w:tc>
          <w:tcPr>
            <w:tcW w:w="991" w:type="dxa"/>
            <w:tcBorders>
              <w:top w:val="nil"/>
              <w:left w:val="nil"/>
              <w:bottom w:val="single" w:sz="4" w:space="0" w:color="auto"/>
              <w:right w:val="single" w:sz="4" w:space="0" w:color="auto"/>
            </w:tcBorders>
            <w:shd w:val="clear" w:color="000000" w:fill="FFFFFF"/>
            <w:noWrap/>
            <w:vAlign w:val="bottom"/>
            <w:hideMark/>
          </w:tcPr>
          <w:p w14:paraId="457F69DE" w14:textId="77777777" w:rsidR="00B56301" w:rsidRPr="002010BD" w:rsidRDefault="00B56301" w:rsidP="00B37B65">
            <w:pPr>
              <w:jc w:val="right"/>
              <w:rPr>
                <w:rFonts w:asciiTheme="minorHAnsi" w:hAnsiTheme="minorHAnsi"/>
                <w:sz w:val="16"/>
                <w:szCs w:val="14"/>
              </w:rPr>
            </w:pPr>
            <w:r w:rsidRPr="00C2292B">
              <w:rPr>
                <w:sz w:val="16"/>
                <w:szCs w:val="18"/>
              </w:rPr>
              <w:t>2,52</w:t>
            </w:r>
          </w:p>
        </w:tc>
        <w:tc>
          <w:tcPr>
            <w:tcW w:w="991" w:type="dxa"/>
            <w:tcBorders>
              <w:top w:val="nil"/>
              <w:left w:val="nil"/>
              <w:bottom w:val="single" w:sz="4" w:space="0" w:color="auto"/>
              <w:right w:val="single" w:sz="4" w:space="0" w:color="auto"/>
            </w:tcBorders>
            <w:shd w:val="clear" w:color="000000" w:fill="FFFFFF"/>
            <w:noWrap/>
            <w:vAlign w:val="bottom"/>
            <w:hideMark/>
          </w:tcPr>
          <w:p w14:paraId="440D41C1" w14:textId="77777777" w:rsidR="00B56301" w:rsidRPr="002010BD" w:rsidRDefault="00B56301" w:rsidP="00B37B65">
            <w:pPr>
              <w:jc w:val="right"/>
              <w:rPr>
                <w:rFonts w:asciiTheme="minorHAnsi" w:hAnsiTheme="minorHAnsi"/>
                <w:sz w:val="16"/>
                <w:szCs w:val="14"/>
              </w:rPr>
            </w:pPr>
            <w:r w:rsidRPr="00C2292B">
              <w:rPr>
                <w:sz w:val="16"/>
                <w:szCs w:val="18"/>
              </w:rPr>
              <w:t>2,84</w:t>
            </w:r>
          </w:p>
        </w:tc>
        <w:tc>
          <w:tcPr>
            <w:tcW w:w="991" w:type="dxa"/>
            <w:tcBorders>
              <w:top w:val="nil"/>
              <w:left w:val="nil"/>
              <w:bottom w:val="single" w:sz="4" w:space="0" w:color="auto"/>
              <w:right w:val="single" w:sz="4" w:space="0" w:color="auto"/>
            </w:tcBorders>
            <w:shd w:val="clear" w:color="000000" w:fill="FFFFFF"/>
            <w:noWrap/>
            <w:vAlign w:val="bottom"/>
            <w:hideMark/>
          </w:tcPr>
          <w:p w14:paraId="4BA06B0B" w14:textId="77777777" w:rsidR="00B56301" w:rsidRPr="002010BD" w:rsidRDefault="00B56301" w:rsidP="00B37B65">
            <w:pPr>
              <w:jc w:val="right"/>
              <w:rPr>
                <w:rFonts w:asciiTheme="minorHAnsi" w:hAnsiTheme="minorHAnsi"/>
                <w:sz w:val="16"/>
                <w:szCs w:val="14"/>
              </w:rPr>
            </w:pPr>
            <w:r w:rsidRPr="00C2292B">
              <w:rPr>
                <w:sz w:val="16"/>
                <w:szCs w:val="18"/>
              </w:rPr>
              <w:t>2,53</w:t>
            </w:r>
          </w:p>
        </w:tc>
        <w:tc>
          <w:tcPr>
            <w:tcW w:w="991" w:type="dxa"/>
            <w:tcBorders>
              <w:top w:val="nil"/>
              <w:left w:val="nil"/>
              <w:bottom w:val="single" w:sz="4" w:space="0" w:color="auto"/>
              <w:right w:val="single" w:sz="4" w:space="0" w:color="auto"/>
            </w:tcBorders>
            <w:shd w:val="clear" w:color="000000" w:fill="FFFFFF"/>
            <w:noWrap/>
            <w:vAlign w:val="bottom"/>
            <w:hideMark/>
          </w:tcPr>
          <w:p w14:paraId="64376E58" w14:textId="77777777" w:rsidR="00B56301" w:rsidRPr="002010BD" w:rsidRDefault="00B56301" w:rsidP="00B37B65">
            <w:pPr>
              <w:jc w:val="right"/>
              <w:rPr>
                <w:rFonts w:asciiTheme="minorHAnsi" w:hAnsiTheme="minorHAnsi"/>
                <w:sz w:val="16"/>
                <w:szCs w:val="14"/>
              </w:rPr>
            </w:pPr>
            <w:r w:rsidRPr="00C2292B">
              <w:rPr>
                <w:sz w:val="16"/>
                <w:szCs w:val="18"/>
              </w:rPr>
              <w:t>2,24</w:t>
            </w:r>
          </w:p>
        </w:tc>
      </w:tr>
      <w:tr w:rsidR="00B56301" w:rsidRPr="00C2292B" w14:paraId="4C03C11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EBA045" w14:textId="4E110C2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6A701FC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7EFAC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4680E39"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F6575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3811B5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B01B82F"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3B76484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142770" w14:textId="7F0C02EA"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B39CC7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66478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D2CC6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2F8546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CAA3C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F8B64C"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0F04D3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BF3D8F" w14:textId="0AD8C78B"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1AA95D29" w14:textId="77777777" w:rsidR="00B56301" w:rsidRPr="002010BD" w:rsidRDefault="00B56301" w:rsidP="00B37B65">
            <w:pPr>
              <w:jc w:val="right"/>
              <w:rPr>
                <w:rFonts w:asciiTheme="minorHAnsi" w:hAnsiTheme="minorHAnsi"/>
                <w:sz w:val="16"/>
                <w:szCs w:val="14"/>
              </w:rPr>
            </w:pPr>
            <w:r w:rsidRPr="00C2292B">
              <w:rPr>
                <w:sz w:val="16"/>
                <w:szCs w:val="18"/>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6E67A8EF" w14:textId="77777777" w:rsidR="00B56301" w:rsidRPr="002010BD" w:rsidRDefault="00B56301" w:rsidP="00B37B65">
            <w:pPr>
              <w:jc w:val="right"/>
              <w:rPr>
                <w:rFonts w:asciiTheme="minorHAnsi" w:hAnsiTheme="minorHAnsi"/>
                <w:sz w:val="16"/>
                <w:szCs w:val="14"/>
              </w:rPr>
            </w:pPr>
            <w:r w:rsidRPr="00C2292B">
              <w:rPr>
                <w:sz w:val="16"/>
                <w:szCs w:val="18"/>
              </w:rPr>
              <w:t>2,56</w:t>
            </w:r>
          </w:p>
        </w:tc>
        <w:tc>
          <w:tcPr>
            <w:tcW w:w="991" w:type="dxa"/>
            <w:tcBorders>
              <w:top w:val="nil"/>
              <w:left w:val="nil"/>
              <w:bottom w:val="single" w:sz="4" w:space="0" w:color="auto"/>
              <w:right w:val="single" w:sz="4" w:space="0" w:color="auto"/>
            </w:tcBorders>
            <w:shd w:val="clear" w:color="000000" w:fill="FFFFFF"/>
            <w:noWrap/>
            <w:vAlign w:val="bottom"/>
            <w:hideMark/>
          </w:tcPr>
          <w:p w14:paraId="19C8DE20" w14:textId="77777777" w:rsidR="00B56301" w:rsidRPr="002010BD" w:rsidRDefault="00B56301" w:rsidP="00B37B65">
            <w:pPr>
              <w:jc w:val="right"/>
              <w:rPr>
                <w:rFonts w:asciiTheme="minorHAnsi" w:hAnsiTheme="minorHAnsi"/>
                <w:sz w:val="16"/>
                <w:szCs w:val="14"/>
              </w:rPr>
            </w:pPr>
            <w:r w:rsidRPr="00C2292B">
              <w:rPr>
                <w:sz w:val="16"/>
                <w:szCs w:val="18"/>
              </w:rPr>
              <w:t>2,09</w:t>
            </w:r>
          </w:p>
        </w:tc>
        <w:tc>
          <w:tcPr>
            <w:tcW w:w="991" w:type="dxa"/>
            <w:tcBorders>
              <w:top w:val="nil"/>
              <w:left w:val="nil"/>
              <w:bottom w:val="single" w:sz="4" w:space="0" w:color="auto"/>
              <w:right w:val="single" w:sz="4" w:space="0" w:color="auto"/>
            </w:tcBorders>
            <w:shd w:val="clear" w:color="000000" w:fill="FFFFFF"/>
            <w:noWrap/>
            <w:vAlign w:val="bottom"/>
            <w:hideMark/>
          </w:tcPr>
          <w:p w14:paraId="49FE2A7F" w14:textId="77777777" w:rsidR="00B56301" w:rsidRPr="002010BD" w:rsidRDefault="00B56301" w:rsidP="00B37B65">
            <w:pPr>
              <w:jc w:val="right"/>
              <w:rPr>
                <w:rFonts w:asciiTheme="minorHAnsi" w:hAnsiTheme="minorHAnsi"/>
                <w:sz w:val="16"/>
                <w:szCs w:val="14"/>
              </w:rPr>
            </w:pPr>
            <w:r w:rsidRPr="00C2292B">
              <w:rPr>
                <w:sz w:val="16"/>
                <w:szCs w:val="18"/>
              </w:rPr>
              <w:t>2,15</w:t>
            </w:r>
          </w:p>
        </w:tc>
        <w:tc>
          <w:tcPr>
            <w:tcW w:w="991" w:type="dxa"/>
            <w:tcBorders>
              <w:top w:val="nil"/>
              <w:left w:val="nil"/>
              <w:bottom w:val="single" w:sz="4" w:space="0" w:color="auto"/>
              <w:right w:val="single" w:sz="4" w:space="0" w:color="auto"/>
            </w:tcBorders>
            <w:shd w:val="clear" w:color="000000" w:fill="FFFFFF"/>
            <w:noWrap/>
            <w:vAlign w:val="bottom"/>
            <w:hideMark/>
          </w:tcPr>
          <w:p w14:paraId="36B11ECE" w14:textId="77777777" w:rsidR="00B56301" w:rsidRPr="002010BD" w:rsidRDefault="00B56301" w:rsidP="00B37B65">
            <w:pPr>
              <w:jc w:val="right"/>
              <w:rPr>
                <w:rFonts w:asciiTheme="minorHAnsi" w:hAnsiTheme="minorHAnsi"/>
                <w:sz w:val="16"/>
                <w:szCs w:val="14"/>
              </w:rPr>
            </w:pPr>
            <w:r w:rsidRPr="00C2292B">
              <w:rPr>
                <w:sz w:val="16"/>
                <w:szCs w:val="18"/>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43F7A86A" w14:textId="77777777" w:rsidR="00B56301" w:rsidRPr="002010BD" w:rsidRDefault="00B56301" w:rsidP="00B37B65">
            <w:pPr>
              <w:jc w:val="right"/>
              <w:rPr>
                <w:rFonts w:asciiTheme="minorHAnsi" w:hAnsiTheme="minorHAnsi"/>
                <w:sz w:val="16"/>
                <w:szCs w:val="14"/>
              </w:rPr>
            </w:pPr>
            <w:r w:rsidRPr="00C2292B">
              <w:rPr>
                <w:sz w:val="16"/>
                <w:szCs w:val="18"/>
              </w:rPr>
              <w:t>1,81</w:t>
            </w:r>
          </w:p>
        </w:tc>
      </w:tr>
      <w:tr w:rsidR="00B56301" w:rsidRPr="00C2292B" w14:paraId="26D9C7F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3AA17E" w14:textId="396BCEC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2F52375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21D2E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4E10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58AB3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AD72F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21201D"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3304A4B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D8FC07" w14:textId="77E8735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1E49579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B2498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BAD5E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AD071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F4CC3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4B97A1"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2AC53B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2F3D1E" w14:textId="2B9EDD81"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33489CCA"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B3B2A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D945CD"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57857D"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A8F93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6D363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613771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B86FE26" w14:textId="08A4573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34D0E14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603D9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276B9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A56B63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B98AD8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45D635"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356745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70F77DF"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77670F1" w14:textId="77777777" w:rsidR="00B56301" w:rsidRPr="002010BD" w:rsidRDefault="00B56301" w:rsidP="00B37B65">
            <w:pPr>
              <w:jc w:val="right"/>
              <w:rPr>
                <w:rFonts w:asciiTheme="minorHAnsi" w:hAnsiTheme="minorHAnsi"/>
                <w:sz w:val="16"/>
                <w:szCs w:val="14"/>
              </w:rPr>
            </w:pPr>
            <w:r w:rsidRPr="00C2292B">
              <w:rPr>
                <w:sz w:val="16"/>
                <w:szCs w:val="18"/>
              </w:rPr>
              <w:t>58,81</w:t>
            </w:r>
          </w:p>
        </w:tc>
        <w:tc>
          <w:tcPr>
            <w:tcW w:w="991" w:type="dxa"/>
            <w:tcBorders>
              <w:top w:val="nil"/>
              <w:left w:val="nil"/>
              <w:bottom w:val="single" w:sz="4" w:space="0" w:color="auto"/>
              <w:right w:val="single" w:sz="4" w:space="0" w:color="auto"/>
            </w:tcBorders>
            <w:shd w:val="clear" w:color="000000" w:fill="CCFFFF"/>
            <w:noWrap/>
            <w:vAlign w:val="bottom"/>
            <w:hideMark/>
          </w:tcPr>
          <w:p w14:paraId="35D7999B" w14:textId="77777777" w:rsidR="00B56301" w:rsidRPr="002010BD" w:rsidRDefault="00B56301" w:rsidP="00B37B65">
            <w:pPr>
              <w:jc w:val="right"/>
              <w:rPr>
                <w:rFonts w:asciiTheme="minorHAnsi" w:hAnsiTheme="minorHAnsi"/>
                <w:sz w:val="16"/>
                <w:szCs w:val="14"/>
              </w:rPr>
            </w:pPr>
            <w:r w:rsidRPr="00C2292B">
              <w:rPr>
                <w:sz w:val="16"/>
                <w:szCs w:val="18"/>
              </w:rPr>
              <w:t>53,13</w:t>
            </w:r>
          </w:p>
        </w:tc>
        <w:tc>
          <w:tcPr>
            <w:tcW w:w="991" w:type="dxa"/>
            <w:tcBorders>
              <w:top w:val="nil"/>
              <w:left w:val="nil"/>
              <w:bottom w:val="single" w:sz="4" w:space="0" w:color="auto"/>
              <w:right w:val="single" w:sz="4" w:space="0" w:color="auto"/>
            </w:tcBorders>
            <w:shd w:val="clear" w:color="000000" w:fill="CCFFFF"/>
            <w:noWrap/>
            <w:vAlign w:val="bottom"/>
            <w:hideMark/>
          </w:tcPr>
          <w:p w14:paraId="2B2C90CC" w14:textId="77777777" w:rsidR="00B56301" w:rsidRPr="002010BD" w:rsidRDefault="00B56301" w:rsidP="00B37B65">
            <w:pPr>
              <w:jc w:val="right"/>
              <w:rPr>
                <w:rFonts w:asciiTheme="minorHAnsi" w:hAnsiTheme="minorHAnsi"/>
                <w:sz w:val="16"/>
                <w:szCs w:val="14"/>
              </w:rPr>
            </w:pPr>
            <w:r w:rsidRPr="00C2292B">
              <w:rPr>
                <w:sz w:val="16"/>
                <w:szCs w:val="18"/>
              </w:rPr>
              <w:t>53,61</w:t>
            </w:r>
          </w:p>
        </w:tc>
        <w:tc>
          <w:tcPr>
            <w:tcW w:w="991" w:type="dxa"/>
            <w:tcBorders>
              <w:top w:val="nil"/>
              <w:left w:val="nil"/>
              <w:bottom w:val="single" w:sz="4" w:space="0" w:color="auto"/>
              <w:right w:val="single" w:sz="4" w:space="0" w:color="auto"/>
            </w:tcBorders>
            <w:shd w:val="clear" w:color="000000" w:fill="CCFFFF"/>
            <w:noWrap/>
            <w:vAlign w:val="bottom"/>
            <w:hideMark/>
          </w:tcPr>
          <w:p w14:paraId="67BBB281" w14:textId="77777777" w:rsidR="00B56301" w:rsidRPr="002010BD" w:rsidRDefault="00B56301" w:rsidP="00B37B65">
            <w:pPr>
              <w:jc w:val="right"/>
              <w:rPr>
                <w:rFonts w:asciiTheme="minorHAnsi" w:hAnsiTheme="minorHAnsi"/>
                <w:sz w:val="16"/>
                <w:szCs w:val="14"/>
              </w:rPr>
            </w:pPr>
            <w:r w:rsidRPr="00C2292B">
              <w:rPr>
                <w:sz w:val="16"/>
                <w:szCs w:val="18"/>
              </w:rPr>
              <w:t>47,72</w:t>
            </w:r>
          </w:p>
        </w:tc>
        <w:tc>
          <w:tcPr>
            <w:tcW w:w="991" w:type="dxa"/>
            <w:tcBorders>
              <w:top w:val="nil"/>
              <w:left w:val="nil"/>
              <w:bottom w:val="single" w:sz="4" w:space="0" w:color="auto"/>
              <w:right w:val="single" w:sz="4" w:space="0" w:color="auto"/>
            </w:tcBorders>
            <w:shd w:val="clear" w:color="000000" w:fill="CCFFFF"/>
            <w:noWrap/>
            <w:vAlign w:val="bottom"/>
            <w:hideMark/>
          </w:tcPr>
          <w:p w14:paraId="26BBFB3F" w14:textId="77777777" w:rsidR="00B56301" w:rsidRPr="002010BD" w:rsidRDefault="00B56301" w:rsidP="00B37B65">
            <w:pPr>
              <w:jc w:val="right"/>
              <w:rPr>
                <w:rFonts w:asciiTheme="minorHAnsi" w:hAnsiTheme="minorHAnsi"/>
                <w:sz w:val="16"/>
                <w:szCs w:val="14"/>
              </w:rPr>
            </w:pPr>
            <w:r w:rsidRPr="00C2292B">
              <w:rPr>
                <w:sz w:val="16"/>
                <w:szCs w:val="18"/>
              </w:rPr>
              <w:t>47,55</w:t>
            </w:r>
          </w:p>
        </w:tc>
        <w:tc>
          <w:tcPr>
            <w:tcW w:w="991" w:type="dxa"/>
            <w:tcBorders>
              <w:top w:val="nil"/>
              <w:left w:val="nil"/>
              <w:bottom w:val="single" w:sz="4" w:space="0" w:color="auto"/>
              <w:right w:val="single" w:sz="4" w:space="0" w:color="auto"/>
            </w:tcBorders>
            <w:shd w:val="clear" w:color="000000" w:fill="CCFFFF"/>
            <w:noWrap/>
            <w:vAlign w:val="bottom"/>
            <w:hideMark/>
          </w:tcPr>
          <w:p w14:paraId="14A26772" w14:textId="77777777" w:rsidR="00B56301" w:rsidRPr="002010BD" w:rsidRDefault="00B56301" w:rsidP="00B37B65">
            <w:pPr>
              <w:jc w:val="right"/>
              <w:rPr>
                <w:rFonts w:asciiTheme="minorHAnsi" w:hAnsiTheme="minorHAnsi"/>
                <w:sz w:val="16"/>
                <w:szCs w:val="14"/>
              </w:rPr>
            </w:pPr>
            <w:r w:rsidRPr="00C2292B">
              <w:rPr>
                <w:sz w:val="16"/>
                <w:szCs w:val="18"/>
              </w:rPr>
              <w:t>45,69</w:t>
            </w:r>
          </w:p>
        </w:tc>
      </w:tr>
      <w:tr w:rsidR="00B56301" w:rsidRPr="00C2292B" w14:paraId="7CB9507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ED8497" w14:textId="23B17E3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14047AC3" w14:textId="77777777" w:rsidR="00B56301" w:rsidRPr="002010BD" w:rsidRDefault="00B56301" w:rsidP="00B37B65">
            <w:pPr>
              <w:jc w:val="right"/>
              <w:rPr>
                <w:rFonts w:asciiTheme="minorHAnsi" w:hAnsiTheme="minorHAnsi"/>
                <w:sz w:val="16"/>
                <w:szCs w:val="14"/>
              </w:rPr>
            </w:pPr>
            <w:r w:rsidRPr="00C2292B">
              <w:rPr>
                <w:sz w:val="16"/>
                <w:szCs w:val="18"/>
              </w:rPr>
              <w:t>24,72</w:t>
            </w:r>
          </w:p>
        </w:tc>
        <w:tc>
          <w:tcPr>
            <w:tcW w:w="991" w:type="dxa"/>
            <w:tcBorders>
              <w:top w:val="nil"/>
              <w:left w:val="nil"/>
              <w:bottom w:val="single" w:sz="4" w:space="0" w:color="auto"/>
              <w:right w:val="single" w:sz="4" w:space="0" w:color="auto"/>
            </w:tcBorders>
            <w:shd w:val="clear" w:color="000000" w:fill="FFFFFF"/>
            <w:noWrap/>
            <w:vAlign w:val="bottom"/>
            <w:hideMark/>
          </w:tcPr>
          <w:p w14:paraId="0AE63F85" w14:textId="77777777" w:rsidR="00B56301" w:rsidRPr="002010BD" w:rsidRDefault="00B56301" w:rsidP="00B37B65">
            <w:pPr>
              <w:jc w:val="right"/>
              <w:rPr>
                <w:rFonts w:asciiTheme="minorHAnsi" w:hAnsiTheme="minorHAnsi"/>
                <w:sz w:val="16"/>
                <w:szCs w:val="14"/>
              </w:rPr>
            </w:pPr>
            <w:r w:rsidRPr="00C2292B">
              <w:rPr>
                <w:sz w:val="16"/>
                <w:szCs w:val="18"/>
              </w:rPr>
              <w:t>23,02</w:t>
            </w:r>
          </w:p>
        </w:tc>
        <w:tc>
          <w:tcPr>
            <w:tcW w:w="991" w:type="dxa"/>
            <w:tcBorders>
              <w:top w:val="nil"/>
              <w:left w:val="nil"/>
              <w:bottom w:val="single" w:sz="4" w:space="0" w:color="auto"/>
              <w:right w:val="single" w:sz="4" w:space="0" w:color="auto"/>
            </w:tcBorders>
            <w:shd w:val="clear" w:color="000000" w:fill="FFFFFF"/>
            <w:noWrap/>
            <w:vAlign w:val="bottom"/>
            <w:hideMark/>
          </w:tcPr>
          <w:p w14:paraId="3E1F7907" w14:textId="77777777" w:rsidR="00B56301" w:rsidRPr="002010BD" w:rsidRDefault="00B56301" w:rsidP="00B37B65">
            <w:pPr>
              <w:jc w:val="right"/>
              <w:rPr>
                <w:rFonts w:asciiTheme="minorHAnsi" w:hAnsiTheme="minorHAnsi"/>
                <w:sz w:val="16"/>
                <w:szCs w:val="14"/>
              </w:rPr>
            </w:pPr>
            <w:r w:rsidRPr="00C2292B">
              <w:rPr>
                <w:sz w:val="16"/>
                <w:szCs w:val="18"/>
              </w:rPr>
              <w:t>26,56</w:t>
            </w:r>
          </w:p>
        </w:tc>
        <w:tc>
          <w:tcPr>
            <w:tcW w:w="991" w:type="dxa"/>
            <w:tcBorders>
              <w:top w:val="nil"/>
              <w:left w:val="nil"/>
              <w:bottom w:val="single" w:sz="4" w:space="0" w:color="auto"/>
              <w:right w:val="single" w:sz="4" w:space="0" w:color="auto"/>
            </w:tcBorders>
            <w:shd w:val="clear" w:color="000000" w:fill="FFFFFF"/>
            <w:noWrap/>
            <w:vAlign w:val="bottom"/>
            <w:hideMark/>
          </w:tcPr>
          <w:p w14:paraId="5872E5B9" w14:textId="77777777" w:rsidR="00B56301" w:rsidRPr="002010BD" w:rsidRDefault="00B56301" w:rsidP="00B37B65">
            <w:pPr>
              <w:jc w:val="right"/>
              <w:rPr>
                <w:rFonts w:asciiTheme="minorHAnsi" w:hAnsiTheme="minorHAnsi"/>
                <w:sz w:val="16"/>
                <w:szCs w:val="14"/>
              </w:rPr>
            </w:pPr>
            <w:r w:rsidRPr="00C2292B">
              <w:rPr>
                <w:sz w:val="16"/>
                <w:szCs w:val="18"/>
              </w:rPr>
              <w:t>21,53</w:t>
            </w:r>
          </w:p>
        </w:tc>
        <w:tc>
          <w:tcPr>
            <w:tcW w:w="991" w:type="dxa"/>
            <w:tcBorders>
              <w:top w:val="nil"/>
              <w:left w:val="nil"/>
              <w:bottom w:val="single" w:sz="4" w:space="0" w:color="auto"/>
              <w:right w:val="single" w:sz="4" w:space="0" w:color="auto"/>
            </w:tcBorders>
            <w:shd w:val="clear" w:color="000000" w:fill="FFFFFF"/>
            <w:noWrap/>
            <w:vAlign w:val="bottom"/>
            <w:hideMark/>
          </w:tcPr>
          <w:p w14:paraId="4AE3BE6D" w14:textId="77777777" w:rsidR="00B56301" w:rsidRPr="002010BD" w:rsidRDefault="00B56301" w:rsidP="00B37B65">
            <w:pPr>
              <w:jc w:val="right"/>
              <w:rPr>
                <w:rFonts w:asciiTheme="minorHAnsi" w:hAnsiTheme="minorHAnsi"/>
                <w:sz w:val="16"/>
                <w:szCs w:val="14"/>
              </w:rPr>
            </w:pPr>
            <w:r w:rsidRPr="00C2292B">
              <w:rPr>
                <w:sz w:val="16"/>
                <w:szCs w:val="18"/>
              </w:rPr>
              <w:t>21,56</w:t>
            </w:r>
          </w:p>
        </w:tc>
        <w:tc>
          <w:tcPr>
            <w:tcW w:w="991" w:type="dxa"/>
            <w:tcBorders>
              <w:top w:val="nil"/>
              <w:left w:val="nil"/>
              <w:bottom w:val="single" w:sz="4" w:space="0" w:color="auto"/>
              <w:right w:val="single" w:sz="4" w:space="0" w:color="auto"/>
            </w:tcBorders>
            <w:shd w:val="clear" w:color="000000" w:fill="FFFFFF"/>
            <w:noWrap/>
            <w:vAlign w:val="bottom"/>
            <w:hideMark/>
          </w:tcPr>
          <w:p w14:paraId="1E0D3BBC" w14:textId="77777777" w:rsidR="00B56301" w:rsidRPr="002010BD" w:rsidRDefault="00B56301" w:rsidP="00B37B65">
            <w:pPr>
              <w:jc w:val="right"/>
              <w:rPr>
                <w:rFonts w:asciiTheme="minorHAnsi" w:hAnsiTheme="minorHAnsi"/>
                <w:sz w:val="16"/>
                <w:szCs w:val="14"/>
              </w:rPr>
            </w:pPr>
            <w:r w:rsidRPr="00C2292B">
              <w:rPr>
                <w:sz w:val="16"/>
                <w:szCs w:val="18"/>
              </w:rPr>
              <w:t>19,86</w:t>
            </w:r>
          </w:p>
        </w:tc>
      </w:tr>
      <w:tr w:rsidR="00B56301" w:rsidRPr="00C2292B" w14:paraId="09B6075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51F0A0" w14:textId="6B42E8A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E8917E6" w14:textId="77777777" w:rsidR="00B56301" w:rsidRPr="002010BD" w:rsidRDefault="00B56301" w:rsidP="00B37B65">
            <w:pPr>
              <w:jc w:val="right"/>
              <w:rPr>
                <w:rFonts w:asciiTheme="minorHAnsi" w:hAnsiTheme="minorHAnsi"/>
                <w:sz w:val="16"/>
                <w:szCs w:val="14"/>
              </w:rPr>
            </w:pPr>
            <w:r w:rsidRPr="00C2292B">
              <w:rPr>
                <w:sz w:val="16"/>
                <w:szCs w:val="18"/>
              </w:rPr>
              <w:t>4,46</w:t>
            </w:r>
          </w:p>
        </w:tc>
        <w:tc>
          <w:tcPr>
            <w:tcW w:w="991" w:type="dxa"/>
            <w:tcBorders>
              <w:top w:val="nil"/>
              <w:left w:val="nil"/>
              <w:bottom w:val="single" w:sz="4" w:space="0" w:color="auto"/>
              <w:right w:val="single" w:sz="4" w:space="0" w:color="auto"/>
            </w:tcBorders>
            <w:shd w:val="clear" w:color="000000" w:fill="FFFFFF"/>
            <w:noWrap/>
            <w:vAlign w:val="bottom"/>
            <w:hideMark/>
          </w:tcPr>
          <w:p w14:paraId="0C668A14" w14:textId="77777777" w:rsidR="00B56301" w:rsidRPr="002010BD" w:rsidRDefault="00B56301" w:rsidP="00B37B65">
            <w:pPr>
              <w:jc w:val="right"/>
              <w:rPr>
                <w:rFonts w:asciiTheme="minorHAnsi" w:hAnsiTheme="minorHAnsi"/>
                <w:sz w:val="16"/>
                <w:szCs w:val="14"/>
              </w:rPr>
            </w:pPr>
            <w:r w:rsidRPr="00C2292B">
              <w:rPr>
                <w:sz w:val="16"/>
                <w:szCs w:val="18"/>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54CBEB98" w14:textId="77777777" w:rsidR="00B56301" w:rsidRPr="002010BD" w:rsidRDefault="00B56301" w:rsidP="00B37B65">
            <w:pPr>
              <w:jc w:val="right"/>
              <w:rPr>
                <w:rFonts w:asciiTheme="minorHAnsi" w:hAnsiTheme="minorHAnsi"/>
                <w:sz w:val="16"/>
                <w:szCs w:val="14"/>
              </w:rPr>
            </w:pPr>
            <w:r w:rsidRPr="00C2292B">
              <w:rPr>
                <w:sz w:val="16"/>
                <w:szCs w:val="18"/>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2E1A0741" w14:textId="77777777" w:rsidR="00B56301" w:rsidRPr="002010BD" w:rsidRDefault="00B56301" w:rsidP="00B37B65">
            <w:pPr>
              <w:jc w:val="right"/>
              <w:rPr>
                <w:rFonts w:asciiTheme="minorHAnsi" w:hAnsiTheme="minorHAnsi"/>
                <w:sz w:val="16"/>
                <w:szCs w:val="14"/>
              </w:rPr>
            </w:pPr>
            <w:r w:rsidRPr="00C2292B">
              <w:rPr>
                <w:sz w:val="16"/>
                <w:szCs w:val="18"/>
              </w:rPr>
              <w:t>4,39</w:t>
            </w:r>
          </w:p>
        </w:tc>
        <w:tc>
          <w:tcPr>
            <w:tcW w:w="991" w:type="dxa"/>
            <w:tcBorders>
              <w:top w:val="nil"/>
              <w:left w:val="nil"/>
              <w:bottom w:val="single" w:sz="4" w:space="0" w:color="auto"/>
              <w:right w:val="single" w:sz="4" w:space="0" w:color="auto"/>
            </w:tcBorders>
            <w:shd w:val="clear" w:color="000000" w:fill="FFFFFF"/>
            <w:noWrap/>
            <w:vAlign w:val="bottom"/>
            <w:hideMark/>
          </w:tcPr>
          <w:p w14:paraId="379504B5" w14:textId="77777777" w:rsidR="00B56301" w:rsidRPr="002010BD" w:rsidRDefault="00B56301" w:rsidP="00B37B65">
            <w:pPr>
              <w:jc w:val="right"/>
              <w:rPr>
                <w:rFonts w:asciiTheme="minorHAnsi" w:hAnsiTheme="minorHAnsi"/>
                <w:sz w:val="16"/>
                <w:szCs w:val="14"/>
              </w:rPr>
            </w:pPr>
            <w:r w:rsidRPr="00C2292B">
              <w:rPr>
                <w:sz w:val="16"/>
                <w:szCs w:val="18"/>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6AE26127" w14:textId="77777777" w:rsidR="00B56301" w:rsidRPr="002010BD" w:rsidRDefault="00B56301" w:rsidP="00B37B65">
            <w:pPr>
              <w:jc w:val="right"/>
              <w:rPr>
                <w:rFonts w:asciiTheme="minorHAnsi" w:hAnsiTheme="minorHAnsi"/>
                <w:sz w:val="16"/>
                <w:szCs w:val="14"/>
              </w:rPr>
            </w:pPr>
            <w:r w:rsidRPr="00C2292B">
              <w:rPr>
                <w:sz w:val="16"/>
                <w:szCs w:val="18"/>
              </w:rPr>
              <w:t>4,73</w:t>
            </w:r>
          </w:p>
        </w:tc>
      </w:tr>
      <w:tr w:rsidR="00B56301" w:rsidRPr="00C2292B" w14:paraId="4EC181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45275F" w14:textId="00E43A1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23041DE9" w14:textId="77777777" w:rsidR="00B56301" w:rsidRPr="002010BD" w:rsidRDefault="00B56301" w:rsidP="00B37B65">
            <w:pPr>
              <w:jc w:val="right"/>
              <w:rPr>
                <w:rFonts w:asciiTheme="minorHAnsi" w:hAnsiTheme="minorHAnsi"/>
                <w:sz w:val="16"/>
                <w:szCs w:val="14"/>
              </w:rPr>
            </w:pPr>
            <w:r w:rsidRPr="00C2292B">
              <w:rPr>
                <w:sz w:val="16"/>
                <w:szCs w:val="18"/>
              </w:rPr>
              <w:t>5,25</w:t>
            </w:r>
          </w:p>
        </w:tc>
        <w:tc>
          <w:tcPr>
            <w:tcW w:w="991" w:type="dxa"/>
            <w:tcBorders>
              <w:top w:val="nil"/>
              <w:left w:val="nil"/>
              <w:bottom w:val="single" w:sz="4" w:space="0" w:color="auto"/>
              <w:right w:val="single" w:sz="4" w:space="0" w:color="auto"/>
            </w:tcBorders>
            <w:shd w:val="clear" w:color="000000" w:fill="FFFFFF"/>
            <w:noWrap/>
            <w:vAlign w:val="bottom"/>
            <w:hideMark/>
          </w:tcPr>
          <w:p w14:paraId="6FFC4889" w14:textId="77777777" w:rsidR="00B56301" w:rsidRPr="002010BD" w:rsidRDefault="00B56301" w:rsidP="00B37B65">
            <w:pPr>
              <w:jc w:val="right"/>
              <w:rPr>
                <w:rFonts w:asciiTheme="minorHAnsi" w:hAnsiTheme="minorHAnsi"/>
                <w:sz w:val="16"/>
                <w:szCs w:val="14"/>
              </w:rPr>
            </w:pPr>
            <w:r w:rsidRPr="00C2292B">
              <w:rPr>
                <w:sz w:val="16"/>
                <w:szCs w:val="18"/>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3C77A841" w14:textId="77777777" w:rsidR="00B56301" w:rsidRPr="002010BD" w:rsidRDefault="00B56301" w:rsidP="00B37B65">
            <w:pPr>
              <w:jc w:val="right"/>
              <w:rPr>
                <w:rFonts w:asciiTheme="minorHAnsi" w:hAnsiTheme="minorHAnsi"/>
                <w:sz w:val="16"/>
                <w:szCs w:val="14"/>
              </w:rPr>
            </w:pPr>
            <w:r w:rsidRPr="00C2292B">
              <w:rPr>
                <w:sz w:val="16"/>
                <w:szCs w:val="18"/>
              </w:rPr>
              <w:t>5,17</w:t>
            </w:r>
          </w:p>
        </w:tc>
        <w:tc>
          <w:tcPr>
            <w:tcW w:w="991" w:type="dxa"/>
            <w:tcBorders>
              <w:top w:val="nil"/>
              <w:left w:val="nil"/>
              <w:bottom w:val="single" w:sz="4" w:space="0" w:color="auto"/>
              <w:right w:val="single" w:sz="4" w:space="0" w:color="auto"/>
            </w:tcBorders>
            <w:shd w:val="clear" w:color="000000" w:fill="FFFFFF"/>
            <w:noWrap/>
            <w:vAlign w:val="bottom"/>
            <w:hideMark/>
          </w:tcPr>
          <w:p w14:paraId="557EA273" w14:textId="77777777" w:rsidR="00B56301" w:rsidRPr="002010BD" w:rsidRDefault="00B56301" w:rsidP="00B37B65">
            <w:pPr>
              <w:jc w:val="right"/>
              <w:rPr>
                <w:rFonts w:asciiTheme="minorHAnsi" w:hAnsiTheme="minorHAnsi"/>
                <w:sz w:val="16"/>
                <w:szCs w:val="14"/>
              </w:rPr>
            </w:pPr>
            <w:r w:rsidRPr="00C2292B">
              <w:rPr>
                <w:sz w:val="16"/>
                <w:szCs w:val="18"/>
              </w:rPr>
              <w:t>5,65</w:t>
            </w:r>
          </w:p>
        </w:tc>
        <w:tc>
          <w:tcPr>
            <w:tcW w:w="991" w:type="dxa"/>
            <w:tcBorders>
              <w:top w:val="nil"/>
              <w:left w:val="nil"/>
              <w:bottom w:val="single" w:sz="4" w:space="0" w:color="auto"/>
              <w:right w:val="single" w:sz="4" w:space="0" w:color="auto"/>
            </w:tcBorders>
            <w:shd w:val="clear" w:color="000000" w:fill="FFFFFF"/>
            <w:noWrap/>
            <w:vAlign w:val="bottom"/>
            <w:hideMark/>
          </w:tcPr>
          <w:p w14:paraId="762AF1A3" w14:textId="77777777" w:rsidR="00B56301" w:rsidRPr="002010BD" w:rsidRDefault="00B56301" w:rsidP="00B37B65">
            <w:pPr>
              <w:jc w:val="right"/>
              <w:rPr>
                <w:rFonts w:asciiTheme="minorHAnsi" w:hAnsiTheme="minorHAnsi"/>
                <w:sz w:val="16"/>
                <w:szCs w:val="14"/>
              </w:rPr>
            </w:pPr>
            <w:r w:rsidRPr="00C2292B">
              <w:rPr>
                <w:sz w:val="16"/>
                <w:szCs w:val="18"/>
              </w:rPr>
              <w:t>6,22</w:t>
            </w:r>
          </w:p>
        </w:tc>
        <w:tc>
          <w:tcPr>
            <w:tcW w:w="991" w:type="dxa"/>
            <w:tcBorders>
              <w:top w:val="nil"/>
              <w:left w:val="nil"/>
              <w:bottom w:val="single" w:sz="4" w:space="0" w:color="auto"/>
              <w:right w:val="single" w:sz="4" w:space="0" w:color="auto"/>
            </w:tcBorders>
            <w:shd w:val="clear" w:color="000000" w:fill="FFFFFF"/>
            <w:noWrap/>
            <w:vAlign w:val="bottom"/>
            <w:hideMark/>
          </w:tcPr>
          <w:p w14:paraId="6884EE94" w14:textId="77777777" w:rsidR="00B56301" w:rsidRPr="002010BD" w:rsidRDefault="00B56301" w:rsidP="00B37B65">
            <w:pPr>
              <w:jc w:val="right"/>
              <w:rPr>
                <w:rFonts w:asciiTheme="minorHAnsi" w:hAnsiTheme="minorHAnsi"/>
                <w:sz w:val="16"/>
                <w:szCs w:val="14"/>
              </w:rPr>
            </w:pPr>
            <w:r w:rsidRPr="00C2292B">
              <w:rPr>
                <w:sz w:val="16"/>
                <w:szCs w:val="18"/>
              </w:rPr>
              <w:t>6,61</w:t>
            </w:r>
          </w:p>
        </w:tc>
      </w:tr>
      <w:tr w:rsidR="00B56301" w:rsidRPr="00C2292B" w14:paraId="458F22F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80AF07" w14:textId="4E9656A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13C7A18C" w14:textId="77777777" w:rsidR="00B56301" w:rsidRPr="002010BD" w:rsidRDefault="00B56301" w:rsidP="00B37B65">
            <w:pPr>
              <w:jc w:val="right"/>
              <w:rPr>
                <w:rFonts w:asciiTheme="minorHAnsi" w:hAnsiTheme="minorHAnsi"/>
                <w:sz w:val="16"/>
                <w:szCs w:val="14"/>
              </w:rPr>
            </w:pPr>
            <w:r w:rsidRPr="00C2292B">
              <w:rPr>
                <w:sz w:val="16"/>
                <w:szCs w:val="18"/>
              </w:rPr>
              <w:t>0,32</w:t>
            </w:r>
          </w:p>
        </w:tc>
        <w:tc>
          <w:tcPr>
            <w:tcW w:w="991" w:type="dxa"/>
            <w:tcBorders>
              <w:top w:val="nil"/>
              <w:left w:val="nil"/>
              <w:bottom w:val="single" w:sz="4" w:space="0" w:color="auto"/>
              <w:right w:val="single" w:sz="4" w:space="0" w:color="auto"/>
            </w:tcBorders>
            <w:shd w:val="clear" w:color="000000" w:fill="FFFFFF"/>
            <w:noWrap/>
            <w:vAlign w:val="bottom"/>
            <w:hideMark/>
          </w:tcPr>
          <w:p w14:paraId="6C8D3107" w14:textId="77777777" w:rsidR="00B56301" w:rsidRPr="002010BD" w:rsidRDefault="00B56301" w:rsidP="00B37B65">
            <w:pPr>
              <w:jc w:val="right"/>
              <w:rPr>
                <w:rFonts w:asciiTheme="minorHAnsi" w:hAnsiTheme="minorHAnsi"/>
                <w:sz w:val="16"/>
                <w:szCs w:val="14"/>
              </w:rPr>
            </w:pPr>
            <w:r w:rsidRPr="00C2292B">
              <w:rPr>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7F9ECA15" w14:textId="77777777" w:rsidR="00B56301" w:rsidRPr="002010BD" w:rsidRDefault="00B56301" w:rsidP="00B37B65">
            <w:pPr>
              <w:jc w:val="right"/>
              <w:rPr>
                <w:rFonts w:asciiTheme="minorHAnsi" w:hAnsiTheme="minorHAnsi"/>
                <w:sz w:val="16"/>
                <w:szCs w:val="14"/>
              </w:rPr>
            </w:pPr>
            <w:r w:rsidRPr="00C2292B">
              <w:rPr>
                <w:sz w:val="16"/>
                <w:szCs w:val="18"/>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09BB813E" w14:textId="77777777" w:rsidR="00B56301" w:rsidRPr="002010BD" w:rsidRDefault="00B56301" w:rsidP="00B37B65">
            <w:pPr>
              <w:jc w:val="right"/>
              <w:rPr>
                <w:rFonts w:asciiTheme="minorHAnsi" w:hAnsiTheme="minorHAnsi"/>
                <w:sz w:val="16"/>
                <w:szCs w:val="14"/>
              </w:rPr>
            </w:pPr>
            <w:r w:rsidRPr="00C2292B">
              <w:rPr>
                <w:sz w:val="16"/>
                <w:szCs w:val="18"/>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7959D381" w14:textId="77777777" w:rsidR="00B56301" w:rsidRPr="002010BD" w:rsidRDefault="00B56301" w:rsidP="00B37B65">
            <w:pPr>
              <w:jc w:val="right"/>
              <w:rPr>
                <w:rFonts w:asciiTheme="minorHAnsi" w:hAnsiTheme="minorHAnsi"/>
                <w:sz w:val="16"/>
                <w:szCs w:val="14"/>
              </w:rPr>
            </w:pPr>
            <w:r w:rsidRPr="00C2292B">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0613ED9C" w14:textId="77777777" w:rsidR="00B56301" w:rsidRPr="002010BD" w:rsidRDefault="00B56301" w:rsidP="00B37B65">
            <w:pPr>
              <w:jc w:val="right"/>
              <w:rPr>
                <w:rFonts w:asciiTheme="minorHAnsi" w:hAnsiTheme="minorHAnsi"/>
                <w:sz w:val="16"/>
                <w:szCs w:val="14"/>
              </w:rPr>
            </w:pPr>
            <w:r w:rsidRPr="00C2292B">
              <w:rPr>
                <w:sz w:val="16"/>
                <w:szCs w:val="18"/>
              </w:rPr>
              <w:t>0,46</w:t>
            </w:r>
          </w:p>
        </w:tc>
      </w:tr>
      <w:tr w:rsidR="00B56301" w:rsidRPr="00C2292B" w14:paraId="560A24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F3CEE11" w14:textId="788748F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7F85CC93" w14:textId="77777777" w:rsidR="00B56301" w:rsidRPr="002010BD" w:rsidRDefault="00B56301" w:rsidP="00B37B65">
            <w:pPr>
              <w:jc w:val="right"/>
              <w:rPr>
                <w:rFonts w:asciiTheme="minorHAnsi" w:hAnsiTheme="minorHAnsi"/>
                <w:sz w:val="16"/>
                <w:szCs w:val="14"/>
              </w:rPr>
            </w:pPr>
            <w:r w:rsidRPr="00C2292B">
              <w:rPr>
                <w:sz w:val="16"/>
                <w:szCs w:val="18"/>
              </w:rPr>
              <w:t>1,91</w:t>
            </w:r>
          </w:p>
        </w:tc>
        <w:tc>
          <w:tcPr>
            <w:tcW w:w="991" w:type="dxa"/>
            <w:tcBorders>
              <w:top w:val="nil"/>
              <w:left w:val="nil"/>
              <w:bottom w:val="single" w:sz="4" w:space="0" w:color="auto"/>
              <w:right w:val="single" w:sz="4" w:space="0" w:color="auto"/>
            </w:tcBorders>
            <w:shd w:val="clear" w:color="000000" w:fill="FFFFFF"/>
            <w:noWrap/>
            <w:vAlign w:val="bottom"/>
            <w:hideMark/>
          </w:tcPr>
          <w:p w14:paraId="4B0631C4" w14:textId="77777777" w:rsidR="00B56301" w:rsidRPr="002010BD" w:rsidRDefault="00B56301" w:rsidP="00B37B65">
            <w:pPr>
              <w:jc w:val="right"/>
              <w:rPr>
                <w:rFonts w:asciiTheme="minorHAnsi" w:hAnsiTheme="minorHAnsi"/>
                <w:sz w:val="16"/>
                <w:szCs w:val="14"/>
              </w:rPr>
            </w:pPr>
            <w:r w:rsidRPr="00C2292B">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47B00A8A" w14:textId="77777777" w:rsidR="00B56301" w:rsidRPr="002010BD" w:rsidRDefault="00B56301" w:rsidP="00B37B65">
            <w:pPr>
              <w:jc w:val="right"/>
              <w:rPr>
                <w:rFonts w:asciiTheme="minorHAnsi" w:hAnsiTheme="minorHAnsi"/>
                <w:sz w:val="16"/>
                <w:szCs w:val="14"/>
              </w:rPr>
            </w:pPr>
            <w:r w:rsidRPr="00C2292B">
              <w:rPr>
                <w:sz w:val="16"/>
                <w:szCs w:val="18"/>
              </w:rPr>
              <w:t>1,88</w:t>
            </w:r>
          </w:p>
        </w:tc>
        <w:tc>
          <w:tcPr>
            <w:tcW w:w="991" w:type="dxa"/>
            <w:tcBorders>
              <w:top w:val="nil"/>
              <w:left w:val="nil"/>
              <w:bottom w:val="single" w:sz="4" w:space="0" w:color="auto"/>
              <w:right w:val="single" w:sz="4" w:space="0" w:color="auto"/>
            </w:tcBorders>
            <w:shd w:val="clear" w:color="000000" w:fill="FFFFFF"/>
            <w:noWrap/>
            <w:vAlign w:val="bottom"/>
            <w:hideMark/>
          </w:tcPr>
          <w:p w14:paraId="47911DE9" w14:textId="77777777" w:rsidR="00B56301" w:rsidRPr="002010BD" w:rsidRDefault="00B56301" w:rsidP="00B37B65">
            <w:pPr>
              <w:jc w:val="right"/>
              <w:rPr>
                <w:rFonts w:asciiTheme="minorHAnsi" w:hAnsiTheme="minorHAnsi"/>
                <w:sz w:val="16"/>
                <w:szCs w:val="14"/>
              </w:rPr>
            </w:pPr>
            <w:r w:rsidRPr="00C2292B">
              <w:rPr>
                <w:sz w:val="16"/>
                <w:szCs w:val="18"/>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25353BF4" w14:textId="77777777" w:rsidR="00B56301" w:rsidRPr="002010BD" w:rsidRDefault="00B56301" w:rsidP="00B37B65">
            <w:pPr>
              <w:jc w:val="right"/>
              <w:rPr>
                <w:rFonts w:asciiTheme="minorHAnsi" w:hAnsiTheme="minorHAnsi"/>
                <w:sz w:val="16"/>
                <w:szCs w:val="14"/>
              </w:rPr>
            </w:pPr>
            <w:r w:rsidRPr="00C2292B">
              <w:rPr>
                <w:sz w:val="16"/>
                <w:szCs w:val="18"/>
              </w:rPr>
              <w:t>2,54</w:t>
            </w:r>
          </w:p>
        </w:tc>
        <w:tc>
          <w:tcPr>
            <w:tcW w:w="991" w:type="dxa"/>
            <w:tcBorders>
              <w:top w:val="nil"/>
              <w:left w:val="nil"/>
              <w:bottom w:val="single" w:sz="4" w:space="0" w:color="auto"/>
              <w:right w:val="single" w:sz="4" w:space="0" w:color="auto"/>
            </w:tcBorders>
            <w:shd w:val="clear" w:color="000000" w:fill="FFFFFF"/>
            <w:noWrap/>
            <w:vAlign w:val="bottom"/>
            <w:hideMark/>
          </w:tcPr>
          <w:p w14:paraId="0649BDFC" w14:textId="77777777" w:rsidR="00B56301" w:rsidRPr="002010BD" w:rsidRDefault="00B56301" w:rsidP="00B37B65">
            <w:pPr>
              <w:jc w:val="right"/>
              <w:rPr>
                <w:rFonts w:asciiTheme="minorHAnsi" w:hAnsiTheme="minorHAnsi"/>
                <w:sz w:val="16"/>
                <w:szCs w:val="14"/>
              </w:rPr>
            </w:pPr>
            <w:r w:rsidRPr="00C2292B">
              <w:rPr>
                <w:sz w:val="16"/>
                <w:szCs w:val="18"/>
              </w:rPr>
              <w:t>2,78</w:t>
            </w:r>
          </w:p>
        </w:tc>
      </w:tr>
      <w:tr w:rsidR="00B56301" w:rsidRPr="00C2292B" w14:paraId="0C09BB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334F93" w14:textId="7908150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180989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D6A98B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D70B53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E4BCA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D25F29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D84CDE"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53C435C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6C5D45" w14:textId="461BCF5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14430C7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42EAF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3C80C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25797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B1608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D2383D"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4C4F6BF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500749" w14:textId="1BFA3626"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E3435E3" w14:textId="77777777" w:rsidR="00B56301" w:rsidRPr="002010BD" w:rsidRDefault="00B56301" w:rsidP="00B37B65">
            <w:pPr>
              <w:jc w:val="right"/>
              <w:rPr>
                <w:rFonts w:asciiTheme="minorHAnsi" w:hAnsiTheme="minorHAnsi"/>
                <w:sz w:val="16"/>
                <w:szCs w:val="14"/>
              </w:rPr>
            </w:pPr>
            <w:r w:rsidRPr="00C2292B">
              <w:rPr>
                <w:sz w:val="16"/>
                <w:szCs w:val="18"/>
              </w:rPr>
              <w:t>22,15</w:t>
            </w:r>
          </w:p>
        </w:tc>
        <w:tc>
          <w:tcPr>
            <w:tcW w:w="991" w:type="dxa"/>
            <w:tcBorders>
              <w:top w:val="nil"/>
              <w:left w:val="nil"/>
              <w:bottom w:val="single" w:sz="4" w:space="0" w:color="auto"/>
              <w:right w:val="single" w:sz="4" w:space="0" w:color="auto"/>
            </w:tcBorders>
            <w:shd w:val="clear" w:color="000000" w:fill="FFFFFF"/>
            <w:noWrap/>
            <w:vAlign w:val="bottom"/>
            <w:hideMark/>
          </w:tcPr>
          <w:p w14:paraId="34043269" w14:textId="77777777" w:rsidR="00B56301" w:rsidRPr="002010BD" w:rsidRDefault="00B56301" w:rsidP="00B37B65">
            <w:pPr>
              <w:jc w:val="right"/>
              <w:rPr>
                <w:rFonts w:asciiTheme="minorHAnsi" w:hAnsiTheme="minorHAnsi"/>
                <w:sz w:val="16"/>
                <w:szCs w:val="14"/>
              </w:rPr>
            </w:pPr>
            <w:r w:rsidRPr="00C2292B">
              <w:rPr>
                <w:sz w:val="16"/>
                <w:szCs w:val="18"/>
              </w:rPr>
              <w:t>18,35</w:t>
            </w:r>
          </w:p>
        </w:tc>
        <w:tc>
          <w:tcPr>
            <w:tcW w:w="991" w:type="dxa"/>
            <w:tcBorders>
              <w:top w:val="nil"/>
              <w:left w:val="nil"/>
              <w:bottom w:val="single" w:sz="4" w:space="0" w:color="auto"/>
              <w:right w:val="single" w:sz="4" w:space="0" w:color="auto"/>
            </w:tcBorders>
            <w:shd w:val="clear" w:color="000000" w:fill="FFFFFF"/>
            <w:noWrap/>
            <w:vAlign w:val="bottom"/>
            <w:hideMark/>
          </w:tcPr>
          <w:p w14:paraId="200EC42F" w14:textId="77777777" w:rsidR="00B56301" w:rsidRPr="002010BD" w:rsidRDefault="00B56301" w:rsidP="00B37B65">
            <w:pPr>
              <w:jc w:val="right"/>
              <w:rPr>
                <w:rFonts w:asciiTheme="minorHAnsi" w:hAnsiTheme="minorHAnsi"/>
                <w:sz w:val="16"/>
                <w:szCs w:val="14"/>
              </w:rPr>
            </w:pPr>
            <w:r w:rsidRPr="00C2292B">
              <w:rPr>
                <w:sz w:val="16"/>
                <w:szCs w:val="18"/>
              </w:rPr>
              <w:t>15,61</w:t>
            </w:r>
          </w:p>
        </w:tc>
        <w:tc>
          <w:tcPr>
            <w:tcW w:w="991" w:type="dxa"/>
            <w:tcBorders>
              <w:top w:val="nil"/>
              <w:left w:val="nil"/>
              <w:bottom w:val="single" w:sz="4" w:space="0" w:color="auto"/>
              <w:right w:val="single" w:sz="4" w:space="0" w:color="auto"/>
            </w:tcBorders>
            <w:shd w:val="clear" w:color="000000" w:fill="FFFFFF"/>
            <w:noWrap/>
            <w:vAlign w:val="bottom"/>
            <w:hideMark/>
          </w:tcPr>
          <w:p w14:paraId="7188F0F9" w14:textId="77777777" w:rsidR="00B56301" w:rsidRPr="002010BD" w:rsidRDefault="00B56301" w:rsidP="00B37B65">
            <w:pPr>
              <w:jc w:val="right"/>
              <w:rPr>
                <w:rFonts w:asciiTheme="minorHAnsi" w:hAnsiTheme="minorHAnsi"/>
                <w:sz w:val="16"/>
                <w:szCs w:val="14"/>
              </w:rPr>
            </w:pPr>
            <w:r w:rsidRPr="00C2292B">
              <w:rPr>
                <w:sz w:val="16"/>
                <w:szCs w:val="18"/>
              </w:rPr>
              <w:t>13,66</w:t>
            </w:r>
          </w:p>
        </w:tc>
        <w:tc>
          <w:tcPr>
            <w:tcW w:w="991" w:type="dxa"/>
            <w:tcBorders>
              <w:top w:val="nil"/>
              <w:left w:val="nil"/>
              <w:bottom w:val="single" w:sz="4" w:space="0" w:color="auto"/>
              <w:right w:val="single" w:sz="4" w:space="0" w:color="auto"/>
            </w:tcBorders>
            <w:shd w:val="clear" w:color="000000" w:fill="FFFFFF"/>
            <w:noWrap/>
            <w:vAlign w:val="bottom"/>
            <w:hideMark/>
          </w:tcPr>
          <w:p w14:paraId="2D917F9D" w14:textId="77777777" w:rsidR="00B56301" w:rsidRPr="002010BD" w:rsidRDefault="00B56301" w:rsidP="00B37B65">
            <w:pPr>
              <w:jc w:val="right"/>
              <w:rPr>
                <w:rFonts w:asciiTheme="minorHAnsi" w:hAnsiTheme="minorHAnsi"/>
                <w:sz w:val="16"/>
                <w:szCs w:val="14"/>
              </w:rPr>
            </w:pPr>
            <w:r w:rsidRPr="00C2292B">
              <w:rPr>
                <w:sz w:val="16"/>
                <w:szCs w:val="18"/>
              </w:rPr>
              <w:t>12,25</w:t>
            </w:r>
          </w:p>
        </w:tc>
        <w:tc>
          <w:tcPr>
            <w:tcW w:w="991" w:type="dxa"/>
            <w:tcBorders>
              <w:top w:val="nil"/>
              <w:left w:val="nil"/>
              <w:bottom w:val="single" w:sz="4" w:space="0" w:color="auto"/>
              <w:right w:val="single" w:sz="4" w:space="0" w:color="auto"/>
            </w:tcBorders>
            <w:shd w:val="clear" w:color="000000" w:fill="FFFFFF"/>
            <w:noWrap/>
            <w:vAlign w:val="bottom"/>
            <w:hideMark/>
          </w:tcPr>
          <w:p w14:paraId="41D966F4" w14:textId="77777777" w:rsidR="00B56301" w:rsidRPr="002010BD" w:rsidRDefault="00B56301" w:rsidP="00B37B65">
            <w:pPr>
              <w:jc w:val="right"/>
              <w:rPr>
                <w:rFonts w:asciiTheme="minorHAnsi" w:hAnsiTheme="minorHAnsi"/>
                <w:sz w:val="16"/>
                <w:szCs w:val="14"/>
              </w:rPr>
            </w:pPr>
            <w:r w:rsidRPr="00C2292B">
              <w:rPr>
                <w:sz w:val="16"/>
                <w:szCs w:val="18"/>
              </w:rPr>
              <w:t>11,25</w:t>
            </w:r>
          </w:p>
        </w:tc>
      </w:tr>
      <w:tr w:rsidR="00B56301" w:rsidRPr="00C2292B" w14:paraId="5CD6698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EDCDF5" w14:textId="68FC0048"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4702E0B5" w14:textId="77777777" w:rsidR="00B56301" w:rsidRPr="002010BD" w:rsidRDefault="00B56301" w:rsidP="00B37B65">
            <w:pPr>
              <w:jc w:val="right"/>
              <w:rPr>
                <w:rFonts w:asciiTheme="minorHAnsi" w:hAnsiTheme="minorHAnsi"/>
                <w:sz w:val="16"/>
                <w:szCs w:val="14"/>
              </w:rPr>
            </w:pPr>
            <w:r w:rsidRPr="00C2292B">
              <w:rPr>
                <w:sz w:val="16"/>
                <w:szCs w:val="18"/>
              </w:rPr>
              <w:t>754,39</w:t>
            </w:r>
          </w:p>
        </w:tc>
        <w:tc>
          <w:tcPr>
            <w:tcW w:w="991" w:type="dxa"/>
            <w:tcBorders>
              <w:top w:val="nil"/>
              <w:left w:val="nil"/>
              <w:bottom w:val="single" w:sz="4" w:space="0" w:color="auto"/>
              <w:right w:val="single" w:sz="4" w:space="0" w:color="auto"/>
            </w:tcBorders>
            <w:shd w:val="clear" w:color="000000" w:fill="CCFFFF"/>
            <w:noWrap/>
            <w:vAlign w:val="bottom"/>
            <w:hideMark/>
          </w:tcPr>
          <w:p w14:paraId="54735C24" w14:textId="77777777" w:rsidR="00B56301" w:rsidRPr="002010BD" w:rsidRDefault="00B56301" w:rsidP="00B37B65">
            <w:pPr>
              <w:jc w:val="right"/>
              <w:rPr>
                <w:rFonts w:asciiTheme="minorHAnsi" w:hAnsiTheme="minorHAnsi"/>
                <w:sz w:val="16"/>
                <w:szCs w:val="14"/>
              </w:rPr>
            </w:pPr>
            <w:r w:rsidRPr="00C2292B">
              <w:rPr>
                <w:sz w:val="16"/>
                <w:szCs w:val="18"/>
              </w:rPr>
              <w:t>763,59</w:t>
            </w:r>
          </w:p>
        </w:tc>
        <w:tc>
          <w:tcPr>
            <w:tcW w:w="991" w:type="dxa"/>
            <w:tcBorders>
              <w:top w:val="nil"/>
              <w:left w:val="nil"/>
              <w:bottom w:val="single" w:sz="4" w:space="0" w:color="auto"/>
              <w:right w:val="single" w:sz="4" w:space="0" w:color="auto"/>
            </w:tcBorders>
            <w:shd w:val="clear" w:color="000000" w:fill="CCFFFF"/>
            <w:noWrap/>
            <w:vAlign w:val="bottom"/>
            <w:hideMark/>
          </w:tcPr>
          <w:p w14:paraId="68A2A97E" w14:textId="77777777" w:rsidR="00B56301" w:rsidRPr="002010BD" w:rsidRDefault="00B56301" w:rsidP="00B37B65">
            <w:pPr>
              <w:jc w:val="right"/>
              <w:rPr>
                <w:rFonts w:asciiTheme="minorHAnsi" w:hAnsiTheme="minorHAnsi"/>
                <w:sz w:val="16"/>
                <w:szCs w:val="14"/>
              </w:rPr>
            </w:pPr>
            <w:r w:rsidRPr="00C2292B">
              <w:rPr>
                <w:sz w:val="16"/>
                <w:szCs w:val="18"/>
              </w:rPr>
              <w:t>769,26</w:t>
            </w:r>
          </w:p>
        </w:tc>
        <w:tc>
          <w:tcPr>
            <w:tcW w:w="991" w:type="dxa"/>
            <w:tcBorders>
              <w:top w:val="nil"/>
              <w:left w:val="nil"/>
              <w:bottom w:val="single" w:sz="4" w:space="0" w:color="auto"/>
              <w:right w:val="single" w:sz="4" w:space="0" w:color="auto"/>
            </w:tcBorders>
            <w:shd w:val="clear" w:color="000000" w:fill="CCFFFF"/>
            <w:noWrap/>
            <w:vAlign w:val="bottom"/>
            <w:hideMark/>
          </w:tcPr>
          <w:p w14:paraId="434D2D80" w14:textId="77777777" w:rsidR="00B56301" w:rsidRPr="002010BD" w:rsidRDefault="00B56301" w:rsidP="00B37B65">
            <w:pPr>
              <w:jc w:val="right"/>
              <w:rPr>
                <w:rFonts w:asciiTheme="minorHAnsi" w:hAnsiTheme="minorHAnsi"/>
                <w:sz w:val="16"/>
                <w:szCs w:val="14"/>
              </w:rPr>
            </w:pPr>
            <w:r w:rsidRPr="00C2292B">
              <w:rPr>
                <w:sz w:val="16"/>
                <w:szCs w:val="18"/>
              </w:rPr>
              <w:t>768,88</w:t>
            </w:r>
          </w:p>
        </w:tc>
        <w:tc>
          <w:tcPr>
            <w:tcW w:w="991" w:type="dxa"/>
            <w:tcBorders>
              <w:top w:val="nil"/>
              <w:left w:val="nil"/>
              <w:bottom w:val="single" w:sz="4" w:space="0" w:color="auto"/>
              <w:right w:val="single" w:sz="4" w:space="0" w:color="auto"/>
            </w:tcBorders>
            <w:shd w:val="clear" w:color="000000" w:fill="CCFFFF"/>
            <w:noWrap/>
            <w:vAlign w:val="bottom"/>
            <w:hideMark/>
          </w:tcPr>
          <w:p w14:paraId="02D76278" w14:textId="77777777" w:rsidR="00B56301" w:rsidRPr="002010BD" w:rsidRDefault="00B56301" w:rsidP="00B37B65">
            <w:pPr>
              <w:jc w:val="right"/>
              <w:rPr>
                <w:rFonts w:asciiTheme="minorHAnsi" w:hAnsiTheme="minorHAnsi"/>
                <w:sz w:val="16"/>
                <w:szCs w:val="14"/>
              </w:rPr>
            </w:pPr>
            <w:r w:rsidRPr="00C2292B">
              <w:rPr>
                <w:sz w:val="16"/>
                <w:szCs w:val="18"/>
              </w:rPr>
              <w:t>765,16</w:t>
            </w:r>
          </w:p>
        </w:tc>
        <w:tc>
          <w:tcPr>
            <w:tcW w:w="991" w:type="dxa"/>
            <w:tcBorders>
              <w:top w:val="nil"/>
              <w:left w:val="nil"/>
              <w:bottom w:val="single" w:sz="4" w:space="0" w:color="auto"/>
              <w:right w:val="single" w:sz="4" w:space="0" w:color="auto"/>
            </w:tcBorders>
            <w:shd w:val="clear" w:color="000000" w:fill="CCFFFF"/>
            <w:noWrap/>
            <w:vAlign w:val="bottom"/>
            <w:hideMark/>
          </w:tcPr>
          <w:p w14:paraId="1BE93657" w14:textId="77777777" w:rsidR="00B56301" w:rsidRPr="002010BD" w:rsidRDefault="00B56301" w:rsidP="00B37B65">
            <w:pPr>
              <w:jc w:val="right"/>
              <w:rPr>
                <w:rFonts w:asciiTheme="minorHAnsi" w:hAnsiTheme="minorHAnsi"/>
                <w:sz w:val="16"/>
                <w:szCs w:val="14"/>
              </w:rPr>
            </w:pPr>
            <w:r w:rsidRPr="00C2292B">
              <w:rPr>
                <w:sz w:val="16"/>
                <w:szCs w:val="18"/>
              </w:rPr>
              <w:t>763,62</w:t>
            </w:r>
          </w:p>
        </w:tc>
      </w:tr>
      <w:tr w:rsidR="00B56301" w:rsidRPr="00C2292B" w14:paraId="4848DB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9BE458" w14:textId="26A3B80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F93DE8E" w14:textId="77777777" w:rsidR="00B56301" w:rsidRPr="002010BD" w:rsidRDefault="00B56301" w:rsidP="00B37B65">
            <w:pPr>
              <w:jc w:val="right"/>
              <w:rPr>
                <w:rFonts w:asciiTheme="minorHAnsi" w:hAnsiTheme="minorHAnsi"/>
                <w:sz w:val="16"/>
                <w:szCs w:val="14"/>
              </w:rPr>
            </w:pPr>
            <w:r w:rsidRPr="00C2292B">
              <w:rPr>
                <w:sz w:val="16"/>
                <w:szCs w:val="18"/>
              </w:rPr>
              <w:t>648,64</w:t>
            </w:r>
          </w:p>
        </w:tc>
        <w:tc>
          <w:tcPr>
            <w:tcW w:w="991" w:type="dxa"/>
            <w:tcBorders>
              <w:top w:val="nil"/>
              <w:left w:val="nil"/>
              <w:bottom w:val="single" w:sz="4" w:space="0" w:color="auto"/>
              <w:right w:val="single" w:sz="4" w:space="0" w:color="auto"/>
            </w:tcBorders>
            <w:shd w:val="clear" w:color="000000" w:fill="FFFFFF"/>
            <w:noWrap/>
            <w:vAlign w:val="bottom"/>
            <w:hideMark/>
          </w:tcPr>
          <w:p w14:paraId="66CDDE93" w14:textId="77777777" w:rsidR="00B56301" w:rsidRPr="002010BD" w:rsidRDefault="00B56301" w:rsidP="00B37B65">
            <w:pPr>
              <w:jc w:val="right"/>
              <w:rPr>
                <w:rFonts w:asciiTheme="minorHAnsi" w:hAnsiTheme="minorHAnsi"/>
                <w:sz w:val="16"/>
                <w:szCs w:val="14"/>
              </w:rPr>
            </w:pPr>
            <w:r w:rsidRPr="00C2292B">
              <w:rPr>
                <w:sz w:val="16"/>
                <w:szCs w:val="18"/>
              </w:rPr>
              <w:t>657,77</w:t>
            </w:r>
          </w:p>
        </w:tc>
        <w:tc>
          <w:tcPr>
            <w:tcW w:w="991" w:type="dxa"/>
            <w:tcBorders>
              <w:top w:val="nil"/>
              <w:left w:val="nil"/>
              <w:bottom w:val="single" w:sz="4" w:space="0" w:color="auto"/>
              <w:right w:val="single" w:sz="4" w:space="0" w:color="auto"/>
            </w:tcBorders>
            <w:shd w:val="clear" w:color="000000" w:fill="FFFFFF"/>
            <w:noWrap/>
            <w:vAlign w:val="bottom"/>
            <w:hideMark/>
          </w:tcPr>
          <w:p w14:paraId="02E0AA50" w14:textId="77777777" w:rsidR="00B56301" w:rsidRPr="002010BD" w:rsidRDefault="00B56301" w:rsidP="00B37B65">
            <w:pPr>
              <w:jc w:val="right"/>
              <w:rPr>
                <w:rFonts w:asciiTheme="minorHAnsi" w:hAnsiTheme="minorHAnsi"/>
                <w:sz w:val="16"/>
                <w:szCs w:val="14"/>
              </w:rPr>
            </w:pPr>
            <w:r w:rsidRPr="00C2292B">
              <w:rPr>
                <w:sz w:val="16"/>
                <w:szCs w:val="18"/>
              </w:rPr>
              <w:t>662,94</w:t>
            </w:r>
          </w:p>
        </w:tc>
        <w:tc>
          <w:tcPr>
            <w:tcW w:w="991" w:type="dxa"/>
            <w:tcBorders>
              <w:top w:val="nil"/>
              <w:left w:val="nil"/>
              <w:bottom w:val="single" w:sz="4" w:space="0" w:color="auto"/>
              <w:right w:val="single" w:sz="4" w:space="0" w:color="auto"/>
            </w:tcBorders>
            <w:shd w:val="clear" w:color="000000" w:fill="FFFFFF"/>
            <w:noWrap/>
            <w:vAlign w:val="bottom"/>
            <w:hideMark/>
          </w:tcPr>
          <w:p w14:paraId="7FF26AAB" w14:textId="77777777" w:rsidR="00B56301" w:rsidRPr="002010BD" w:rsidRDefault="00B56301" w:rsidP="00B37B65">
            <w:pPr>
              <w:jc w:val="right"/>
              <w:rPr>
                <w:rFonts w:asciiTheme="minorHAnsi" w:hAnsiTheme="minorHAnsi"/>
                <w:sz w:val="16"/>
                <w:szCs w:val="14"/>
              </w:rPr>
            </w:pPr>
            <w:r w:rsidRPr="00C2292B">
              <w:rPr>
                <w:sz w:val="16"/>
                <w:szCs w:val="18"/>
              </w:rPr>
              <w:t>662,40</w:t>
            </w:r>
          </w:p>
        </w:tc>
        <w:tc>
          <w:tcPr>
            <w:tcW w:w="991" w:type="dxa"/>
            <w:tcBorders>
              <w:top w:val="nil"/>
              <w:left w:val="nil"/>
              <w:bottom w:val="single" w:sz="4" w:space="0" w:color="auto"/>
              <w:right w:val="single" w:sz="4" w:space="0" w:color="auto"/>
            </w:tcBorders>
            <w:shd w:val="clear" w:color="000000" w:fill="FFFFFF"/>
            <w:noWrap/>
            <w:vAlign w:val="bottom"/>
            <w:hideMark/>
          </w:tcPr>
          <w:p w14:paraId="11F31764" w14:textId="77777777" w:rsidR="00B56301" w:rsidRPr="002010BD" w:rsidRDefault="00B56301" w:rsidP="00B37B65">
            <w:pPr>
              <w:jc w:val="right"/>
              <w:rPr>
                <w:rFonts w:asciiTheme="minorHAnsi" w:hAnsiTheme="minorHAnsi"/>
                <w:sz w:val="16"/>
                <w:szCs w:val="14"/>
              </w:rPr>
            </w:pPr>
            <w:r w:rsidRPr="00C2292B">
              <w:rPr>
                <w:sz w:val="16"/>
                <w:szCs w:val="18"/>
              </w:rPr>
              <w:t>656,98</w:t>
            </w:r>
          </w:p>
        </w:tc>
        <w:tc>
          <w:tcPr>
            <w:tcW w:w="991" w:type="dxa"/>
            <w:tcBorders>
              <w:top w:val="nil"/>
              <w:left w:val="nil"/>
              <w:bottom w:val="single" w:sz="4" w:space="0" w:color="auto"/>
              <w:right w:val="single" w:sz="4" w:space="0" w:color="auto"/>
            </w:tcBorders>
            <w:shd w:val="clear" w:color="000000" w:fill="FFFFFF"/>
            <w:noWrap/>
            <w:vAlign w:val="bottom"/>
            <w:hideMark/>
          </w:tcPr>
          <w:p w14:paraId="35D505B6" w14:textId="77777777" w:rsidR="00B56301" w:rsidRPr="002010BD" w:rsidRDefault="00B56301" w:rsidP="00B37B65">
            <w:pPr>
              <w:jc w:val="right"/>
              <w:rPr>
                <w:rFonts w:asciiTheme="minorHAnsi" w:hAnsiTheme="minorHAnsi"/>
                <w:sz w:val="16"/>
                <w:szCs w:val="14"/>
              </w:rPr>
            </w:pPr>
            <w:r w:rsidRPr="00C2292B">
              <w:rPr>
                <w:sz w:val="16"/>
                <w:szCs w:val="18"/>
              </w:rPr>
              <w:t>653,83</w:t>
            </w:r>
          </w:p>
        </w:tc>
      </w:tr>
      <w:tr w:rsidR="00B56301" w:rsidRPr="00C2292B" w14:paraId="530AC95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11FE0D" w14:textId="71D6BCC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034C13D7" w14:textId="77777777" w:rsidR="00B56301" w:rsidRPr="002010BD" w:rsidRDefault="00B56301" w:rsidP="00B37B65">
            <w:pPr>
              <w:jc w:val="right"/>
              <w:rPr>
                <w:rFonts w:asciiTheme="minorHAnsi" w:hAnsiTheme="minorHAnsi"/>
                <w:sz w:val="16"/>
                <w:szCs w:val="14"/>
              </w:rPr>
            </w:pPr>
            <w:r w:rsidRPr="00C2292B">
              <w:rPr>
                <w:sz w:val="16"/>
                <w:szCs w:val="18"/>
              </w:rPr>
              <w:t>18,53</w:t>
            </w:r>
          </w:p>
        </w:tc>
        <w:tc>
          <w:tcPr>
            <w:tcW w:w="991" w:type="dxa"/>
            <w:tcBorders>
              <w:top w:val="nil"/>
              <w:left w:val="nil"/>
              <w:bottom w:val="single" w:sz="4" w:space="0" w:color="auto"/>
              <w:right w:val="single" w:sz="4" w:space="0" w:color="auto"/>
            </w:tcBorders>
            <w:shd w:val="clear" w:color="000000" w:fill="FFFFFF"/>
            <w:noWrap/>
            <w:vAlign w:val="bottom"/>
            <w:hideMark/>
          </w:tcPr>
          <w:p w14:paraId="18A1CDCA" w14:textId="77777777" w:rsidR="00B56301" w:rsidRPr="002010BD" w:rsidRDefault="00B56301" w:rsidP="00B37B65">
            <w:pPr>
              <w:jc w:val="right"/>
              <w:rPr>
                <w:rFonts w:asciiTheme="minorHAnsi" w:hAnsiTheme="minorHAnsi"/>
                <w:sz w:val="16"/>
                <w:szCs w:val="14"/>
              </w:rPr>
            </w:pPr>
            <w:r w:rsidRPr="00C2292B">
              <w:rPr>
                <w:sz w:val="16"/>
                <w:szCs w:val="18"/>
              </w:rPr>
              <w:t>19,54</w:t>
            </w:r>
          </w:p>
        </w:tc>
        <w:tc>
          <w:tcPr>
            <w:tcW w:w="991" w:type="dxa"/>
            <w:tcBorders>
              <w:top w:val="nil"/>
              <w:left w:val="nil"/>
              <w:bottom w:val="single" w:sz="4" w:space="0" w:color="auto"/>
              <w:right w:val="single" w:sz="4" w:space="0" w:color="auto"/>
            </w:tcBorders>
            <w:shd w:val="clear" w:color="000000" w:fill="FFFFFF"/>
            <w:noWrap/>
            <w:vAlign w:val="bottom"/>
            <w:hideMark/>
          </w:tcPr>
          <w:p w14:paraId="12607815" w14:textId="77777777" w:rsidR="00B56301" w:rsidRPr="002010BD" w:rsidRDefault="00B56301" w:rsidP="00B37B65">
            <w:pPr>
              <w:jc w:val="right"/>
              <w:rPr>
                <w:rFonts w:asciiTheme="minorHAnsi" w:hAnsiTheme="minorHAnsi"/>
                <w:sz w:val="16"/>
                <w:szCs w:val="14"/>
              </w:rPr>
            </w:pPr>
            <w:r w:rsidRPr="00C2292B">
              <w:rPr>
                <w:sz w:val="16"/>
                <w:szCs w:val="18"/>
              </w:rPr>
              <w:t>21,03</w:t>
            </w:r>
          </w:p>
        </w:tc>
        <w:tc>
          <w:tcPr>
            <w:tcW w:w="991" w:type="dxa"/>
            <w:tcBorders>
              <w:top w:val="nil"/>
              <w:left w:val="nil"/>
              <w:bottom w:val="single" w:sz="4" w:space="0" w:color="auto"/>
              <w:right w:val="single" w:sz="4" w:space="0" w:color="auto"/>
            </w:tcBorders>
            <w:shd w:val="clear" w:color="000000" w:fill="FFFFFF"/>
            <w:noWrap/>
            <w:vAlign w:val="bottom"/>
            <w:hideMark/>
          </w:tcPr>
          <w:p w14:paraId="19EB82DE" w14:textId="77777777" w:rsidR="00B56301" w:rsidRPr="002010BD" w:rsidRDefault="00B56301" w:rsidP="00B37B65">
            <w:pPr>
              <w:jc w:val="right"/>
              <w:rPr>
                <w:rFonts w:asciiTheme="minorHAnsi" w:hAnsiTheme="minorHAnsi"/>
                <w:sz w:val="16"/>
                <w:szCs w:val="14"/>
              </w:rPr>
            </w:pPr>
            <w:r w:rsidRPr="00C2292B">
              <w:rPr>
                <w:sz w:val="16"/>
                <w:szCs w:val="18"/>
              </w:rPr>
              <w:t>22,14</w:t>
            </w:r>
          </w:p>
        </w:tc>
        <w:tc>
          <w:tcPr>
            <w:tcW w:w="991" w:type="dxa"/>
            <w:tcBorders>
              <w:top w:val="nil"/>
              <w:left w:val="nil"/>
              <w:bottom w:val="single" w:sz="4" w:space="0" w:color="auto"/>
              <w:right w:val="single" w:sz="4" w:space="0" w:color="auto"/>
            </w:tcBorders>
            <w:shd w:val="clear" w:color="000000" w:fill="FFFFFF"/>
            <w:noWrap/>
            <w:vAlign w:val="bottom"/>
            <w:hideMark/>
          </w:tcPr>
          <w:p w14:paraId="7B082BD4" w14:textId="77777777" w:rsidR="00B56301" w:rsidRPr="002010BD" w:rsidRDefault="00B56301" w:rsidP="00B37B65">
            <w:pPr>
              <w:jc w:val="right"/>
              <w:rPr>
                <w:rFonts w:asciiTheme="minorHAnsi" w:hAnsiTheme="minorHAnsi"/>
                <w:sz w:val="16"/>
                <w:szCs w:val="14"/>
              </w:rPr>
            </w:pPr>
            <w:r w:rsidRPr="00C2292B">
              <w:rPr>
                <w:sz w:val="16"/>
                <w:szCs w:val="18"/>
              </w:rPr>
              <w:t>23,08</w:t>
            </w:r>
          </w:p>
        </w:tc>
        <w:tc>
          <w:tcPr>
            <w:tcW w:w="991" w:type="dxa"/>
            <w:tcBorders>
              <w:top w:val="nil"/>
              <w:left w:val="nil"/>
              <w:bottom w:val="single" w:sz="4" w:space="0" w:color="auto"/>
              <w:right w:val="single" w:sz="4" w:space="0" w:color="auto"/>
            </w:tcBorders>
            <w:shd w:val="clear" w:color="000000" w:fill="FFFFFF"/>
            <w:noWrap/>
            <w:vAlign w:val="bottom"/>
            <w:hideMark/>
          </w:tcPr>
          <w:p w14:paraId="0386522A" w14:textId="77777777" w:rsidR="00B56301" w:rsidRPr="002010BD" w:rsidRDefault="00B56301" w:rsidP="00B37B65">
            <w:pPr>
              <w:jc w:val="right"/>
              <w:rPr>
                <w:rFonts w:asciiTheme="minorHAnsi" w:hAnsiTheme="minorHAnsi"/>
                <w:sz w:val="16"/>
                <w:szCs w:val="14"/>
              </w:rPr>
            </w:pPr>
            <w:r w:rsidRPr="00C2292B">
              <w:rPr>
                <w:sz w:val="16"/>
                <w:szCs w:val="18"/>
              </w:rPr>
              <w:t>23,95</w:t>
            </w:r>
          </w:p>
        </w:tc>
      </w:tr>
      <w:tr w:rsidR="00B56301" w:rsidRPr="00C2292B" w14:paraId="1174D1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DAA4EF" w14:textId="561503E5"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C.</w:t>
            </w:r>
            <w:r w:rsidR="00260E0B">
              <w:rPr>
                <w:rFonts w:asciiTheme="minorHAnsi" w:hAnsiTheme="minorHAnsi"/>
                <w:sz w:val="16"/>
                <w:szCs w:val="14"/>
                <w:lang w:val="en-GB"/>
              </w:rPr>
              <w:t xml:space="preserve"> </w:t>
            </w:r>
            <w:r w:rsidRPr="002010BD">
              <w:rPr>
                <w:rFonts w:asciiTheme="minorHAnsi" w:hAnsiTheme="minorHAnsi"/>
                <w:sz w:val="16"/>
                <w:szCs w:val="14"/>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61F6439B" w14:textId="77777777" w:rsidR="00B56301" w:rsidRPr="002010BD" w:rsidRDefault="00B56301" w:rsidP="00B37B65">
            <w:pPr>
              <w:jc w:val="right"/>
              <w:rPr>
                <w:rFonts w:asciiTheme="minorHAnsi" w:hAnsiTheme="minorHAnsi"/>
                <w:sz w:val="16"/>
                <w:szCs w:val="14"/>
              </w:rPr>
            </w:pPr>
            <w:r w:rsidRPr="00C2292B">
              <w:rPr>
                <w:sz w:val="16"/>
                <w:szCs w:val="18"/>
              </w:rPr>
              <w:t>0,91</w:t>
            </w:r>
          </w:p>
        </w:tc>
        <w:tc>
          <w:tcPr>
            <w:tcW w:w="991" w:type="dxa"/>
            <w:tcBorders>
              <w:top w:val="nil"/>
              <w:left w:val="nil"/>
              <w:bottom w:val="single" w:sz="4" w:space="0" w:color="auto"/>
              <w:right w:val="single" w:sz="4" w:space="0" w:color="auto"/>
            </w:tcBorders>
            <w:shd w:val="clear" w:color="000000" w:fill="FFFFFF"/>
            <w:noWrap/>
            <w:vAlign w:val="bottom"/>
            <w:hideMark/>
          </w:tcPr>
          <w:p w14:paraId="3F8C88E5" w14:textId="77777777" w:rsidR="00B56301" w:rsidRPr="002010BD" w:rsidRDefault="00B56301" w:rsidP="00B37B65">
            <w:pPr>
              <w:jc w:val="right"/>
              <w:rPr>
                <w:rFonts w:asciiTheme="minorHAnsi" w:hAnsiTheme="minorHAnsi"/>
                <w:sz w:val="16"/>
                <w:szCs w:val="14"/>
              </w:rPr>
            </w:pPr>
            <w:r w:rsidRPr="00C2292B">
              <w:rPr>
                <w:sz w:val="16"/>
                <w:szCs w:val="18"/>
              </w:rPr>
              <w:t>0,93</w:t>
            </w:r>
          </w:p>
        </w:tc>
        <w:tc>
          <w:tcPr>
            <w:tcW w:w="991" w:type="dxa"/>
            <w:tcBorders>
              <w:top w:val="nil"/>
              <w:left w:val="nil"/>
              <w:bottom w:val="single" w:sz="4" w:space="0" w:color="auto"/>
              <w:right w:val="single" w:sz="4" w:space="0" w:color="auto"/>
            </w:tcBorders>
            <w:shd w:val="clear" w:color="000000" w:fill="FFFFFF"/>
            <w:noWrap/>
            <w:vAlign w:val="bottom"/>
            <w:hideMark/>
          </w:tcPr>
          <w:p w14:paraId="0D6C8F23" w14:textId="77777777" w:rsidR="00B56301" w:rsidRPr="002010BD" w:rsidRDefault="00B56301" w:rsidP="00B37B65">
            <w:pPr>
              <w:jc w:val="right"/>
              <w:rPr>
                <w:rFonts w:asciiTheme="minorHAnsi" w:hAnsiTheme="minorHAnsi"/>
                <w:sz w:val="16"/>
                <w:szCs w:val="14"/>
              </w:rPr>
            </w:pPr>
            <w:r w:rsidRPr="00C2292B">
              <w:rPr>
                <w:sz w:val="16"/>
                <w:szCs w:val="18"/>
              </w:rPr>
              <w:t>0,94</w:t>
            </w:r>
          </w:p>
        </w:tc>
        <w:tc>
          <w:tcPr>
            <w:tcW w:w="991" w:type="dxa"/>
            <w:tcBorders>
              <w:top w:val="nil"/>
              <w:left w:val="nil"/>
              <w:bottom w:val="single" w:sz="4" w:space="0" w:color="auto"/>
              <w:right w:val="single" w:sz="4" w:space="0" w:color="auto"/>
            </w:tcBorders>
            <w:shd w:val="clear" w:color="000000" w:fill="FFFFFF"/>
            <w:noWrap/>
            <w:vAlign w:val="bottom"/>
            <w:hideMark/>
          </w:tcPr>
          <w:p w14:paraId="18BBF24E" w14:textId="77777777" w:rsidR="00B56301" w:rsidRPr="002010BD" w:rsidRDefault="00B56301" w:rsidP="00B37B65">
            <w:pPr>
              <w:jc w:val="right"/>
              <w:rPr>
                <w:rFonts w:asciiTheme="minorHAnsi" w:hAnsiTheme="minorHAnsi"/>
                <w:sz w:val="16"/>
                <w:szCs w:val="14"/>
              </w:rPr>
            </w:pPr>
            <w:r w:rsidRPr="00C2292B">
              <w:rPr>
                <w:sz w:val="16"/>
                <w:szCs w:val="18"/>
              </w:rPr>
              <w:t>0,96</w:t>
            </w:r>
          </w:p>
        </w:tc>
        <w:tc>
          <w:tcPr>
            <w:tcW w:w="991" w:type="dxa"/>
            <w:tcBorders>
              <w:top w:val="nil"/>
              <w:left w:val="nil"/>
              <w:bottom w:val="single" w:sz="4" w:space="0" w:color="auto"/>
              <w:right w:val="single" w:sz="4" w:space="0" w:color="auto"/>
            </w:tcBorders>
            <w:shd w:val="clear" w:color="000000" w:fill="FFFFFF"/>
            <w:noWrap/>
            <w:vAlign w:val="bottom"/>
            <w:hideMark/>
          </w:tcPr>
          <w:p w14:paraId="7D4B63D6" w14:textId="77777777" w:rsidR="00B56301" w:rsidRPr="002010BD" w:rsidRDefault="00B56301" w:rsidP="00B37B65">
            <w:pPr>
              <w:jc w:val="right"/>
              <w:rPr>
                <w:rFonts w:asciiTheme="minorHAnsi" w:hAnsiTheme="minorHAnsi"/>
                <w:sz w:val="16"/>
                <w:szCs w:val="14"/>
              </w:rPr>
            </w:pPr>
            <w:r w:rsidRPr="00C2292B">
              <w:rPr>
                <w:sz w:val="16"/>
                <w:szCs w:val="18"/>
              </w:rPr>
              <w:t>0,97</w:t>
            </w:r>
          </w:p>
        </w:tc>
        <w:tc>
          <w:tcPr>
            <w:tcW w:w="991" w:type="dxa"/>
            <w:tcBorders>
              <w:top w:val="nil"/>
              <w:left w:val="nil"/>
              <w:bottom w:val="single" w:sz="4" w:space="0" w:color="auto"/>
              <w:right w:val="single" w:sz="4" w:space="0" w:color="auto"/>
            </w:tcBorders>
            <w:shd w:val="clear" w:color="000000" w:fill="FFFFFF"/>
            <w:noWrap/>
            <w:vAlign w:val="bottom"/>
            <w:hideMark/>
          </w:tcPr>
          <w:p w14:paraId="50421036" w14:textId="77777777" w:rsidR="00B56301" w:rsidRPr="002010BD" w:rsidRDefault="00B56301" w:rsidP="00B37B65">
            <w:pPr>
              <w:jc w:val="right"/>
              <w:rPr>
                <w:rFonts w:asciiTheme="minorHAnsi" w:hAnsiTheme="minorHAnsi"/>
                <w:sz w:val="16"/>
                <w:szCs w:val="14"/>
              </w:rPr>
            </w:pPr>
            <w:r w:rsidRPr="00C2292B">
              <w:rPr>
                <w:sz w:val="16"/>
                <w:szCs w:val="18"/>
              </w:rPr>
              <w:t>0,98</w:t>
            </w:r>
          </w:p>
        </w:tc>
      </w:tr>
      <w:tr w:rsidR="00B56301" w:rsidRPr="00C2292B" w14:paraId="624BD9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9845C47" w14:textId="7F434DB7"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5D4DBFE" w14:textId="77777777" w:rsidR="00B56301" w:rsidRPr="002010BD" w:rsidRDefault="00B56301" w:rsidP="00B37B65">
            <w:pPr>
              <w:jc w:val="right"/>
              <w:rPr>
                <w:rFonts w:asciiTheme="minorHAnsi" w:hAnsiTheme="minorHAnsi"/>
                <w:sz w:val="16"/>
                <w:szCs w:val="14"/>
              </w:rPr>
            </w:pPr>
            <w:r w:rsidRPr="00C2292B">
              <w:rPr>
                <w:sz w:val="16"/>
                <w:szCs w:val="18"/>
              </w:rPr>
              <w:t>86,31</w:t>
            </w:r>
          </w:p>
        </w:tc>
        <w:tc>
          <w:tcPr>
            <w:tcW w:w="991" w:type="dxa"/>
            <w:tcBorders>
              <w:top w:val="nil"/>
              <w:left w:val="nil"/>
              <w:bottom w:val="single" w:sz="4" w:space="0" w:color="auto"/>
              <w:right w:val="single" w:sz="4" w:space="0" w:color="auto"/>
            </w:tcBorders>
            <w:shd w:val="clear" w:color="000000" w:fill="FFFFFF"/>
            <w:noWrap/>
            <w:vAlign w:val="bottom"/>
            <w:hideMark/>
          </w:tcPr>
          <w:p w14:paraId="02089511" w14:textId="77777777" w:rsidR="00B56301" w:rsidRPr="002010BD" w:rsidRDefault="00B56301" w:rsidP="00B37B65">
            <w:pPr>
              <w:jc w:val="right"/>
              <w:rPr>
                <w:rFonts w:asciiTheme="minorHAnsi" w:hAnsiTheme="minorHAnsi"/>
                <w:sz w:val="16"/>
                <w:szCs w:val="14"/>
              </w:rPr>
            </w:pPr>
            <w:r w:rsidRPr="00C2292B">
              <w:rPr>
                <w:sz w:val="16"/>
                <w:szCs w:val="18"/>
              </w:rPr>
              <w:t>85,36</w:t>
            </w:r>
          </w:p>
        </w:tc>
        <w:tc>
          <w:tcPr>
            <w:tcW w:w="991" w:type="dxa"/>
            <w:tcBorders>
              <w:top w:val="nil"/>
              <w:left w:val="nil"/>
              <w:bottom w:val="single" w:sz="4" w:space="0" w:color="auto"/>
              <w:right w:val="single" w:sz="4" w:space="0" w:color="auto"/>
            </w:tcBorders>
            <w:shd w:val="clear" w:color="000000" w:fill="FFFFFF"/>
            <w:noWrap/>
            <w:vAlign w:val="bottom"/>
            <w:hideMark/>
          </w:tcPr>
          <w:p w14:paraId="1E4B4EF9" w14:textId="77777777" w:rsidR="00B56301" w:rsidRPr="002010BD" w:rsidRDefault="00B56301" w:rsidP="00B37B65">
            <w:pPr>
              <w:jc w:val="right"/>
              <w:rPr>
                <w:rFonts w:asciiTheme="minorHAnsi" w:hAnsiTheme="minorHAnsi"/>
                <w:sz w:val="16"/>
                <w:szCs w:val="14"/>
              </w:rPr>
            </w:pPr>
            <w:r w:rsidRPr="00C2292B">
              <w:rPr>
                <w:sz w:val="16"/>
                <w:szCs w:val="18"/>
              </w:rPr>
              <w:t>84,34</w:t>
            </w:r>
          </w:p>
        </w:tc>
        <w:tc>
          <w:tcPr>
            <w:tcW w:w="991" w:type="dxa"/>
            <w:tcBorders>
              <w:top w:val="nil"/>
              <w:left w:val="nil"/>
              <w:bottom w:val="single" w:sz="4" w:space="0" w:color="auto"/>
              <w:right w:val="single" w:sz="4" w:space="0" w:color="auto"/>
            </w:tcBorders>
            <w:shd w:val="clear" w:color="000000" w:fill="FFFFFF"/>
            <w:noWrap/>
            <w:vAlign w:val="bottom"/>
            <w:hideMark/>
          </w:tcPr>
          <w:p w14:paraId="4A2156DD" w14:textId="77777777" w:rsidR="00B56301" w:rsidRPr="002010BD" w:rsidRDefault="00B56301" w:rsidP="00B37B65">
            <w:pPr>
              <w:jc w:val="right"/>
              <w:rPr>
                <w:rFonts w:asciiTheme="minorHAnsi" w:hAnsiTheme="minorHAnsi"/>
                <w:sz w:val="16"/>
                <w:szCs w:val="14"/>
              </w:rPr>
            </w:pPr>
            <w:r w:rsidRPr="00C2292B">
              <w:rPr>
                <w:sz w:val="16"/>
                <w:szCs w:val="18"/>
              </w:rPr>
              <w:t>83,38</w:t>
            </w:r>
          </w:p>
        </w:tc>
        <w:tc>
          <w:tcPr>
            <w:tcW w:w="991" w:type="dxa"/>
            <w:tcBorders>
              <w:top w:val="nil"/>
              <w:left w:val="nil"/>
              <w:bottom w:val="single" w:sz="4" w:space="0" w:color="auto"/>
              <w:right w:val="single" w:sz="4" w:space="0" w:color="auto"/>
            </w:tcBorders>
            <w:shd w:val="clear" w:color="000000" w:fill="FFFFFF"/>
            <w:noWrap/>
            <w:vAlign w:val="bottom"/>
            <w:hideMark/>
          </w:tcPr>
          <w:p w14:paraId="7C0E33CC" w14:textId="77777777" w:rsidR="00B56301" w:rsidRPr="002010BD" w:rsidRDefault="00B56301" w:rsidP="00B37B65">
            <w:pPr>
              <w:jc w:val="right"/>
              <w:rPr>
                <w:rFonts w:asciiTheme="minorHAnsi" w:hAnsiTheme="minorHAnsi"/>
                <w:sz w:val="16"/>
                <w:szCs w:val="14"/>
              </w:rPr>
            </w:pPr>
            <w:r w:rsidRPr="00C2292B">
              <w:rPr>
                <w:sz w:val="16"/>
                <w:szCs w:val="18"/>
              </w:rPr>
              <w:t>84,13</w:t>
            </w:r>
          </w:p>
        </w:tc>
        <w:tc>
          <w:tcPr>
            <w:tcW w:w="991" w:type="dxa"/>
            <w:tcBorders>
              <w:top w:val="nil"/>
              <w:left w:val="nil"/>
              <w:bottom w:val="single" w:sz="4" w:space="0" w:color="auto"/>
              <w:right w:val="single" w:sz="4" w:space="0" w:color="auto"/>
            </w:tcBorders>
            <w:shd w:val="clear" w:color="000000" w:fill="FFFFFF"/>
            <w:noWrap/>
            <w:vAlign w:val="bottom"/>
            <w:hideMark/>
          </w:tcPr>
          <w:p w14:paraId="47E61F4E" w14:textId="77777777" w:rsidR="00B56301" w:rsidRPr="002010BD" w:rsidRDefault="00B56301" w:rsidP="00B37B65">
            <w:pPr>
              <w:jc w:val="right"/>
              <w:rPr>
                <w:rFonts w:asciiTheme="minorHAnsi" w:hAnsiTheme="minorHAnsi"/>
                <w:sz w:val="16"/>
                <w:szCs w:val="14"/>
              </w:rPr>
            </w:pPr>
            <w:r w:rsidRPr="00C2292B">
              <w:rPr>
                <w:sz w:val="16"/>
                <w:szCs w:val="18"/>
              </w:rPr>
              <w:t>84,86</w:t>
            </w:r>
          </w:p>
        </w:tc>
      </w:tr>
      <w:tr w:rsidR="00B56301" w:rsidRPr="00C2292B" w14:paraId="17FCFC9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E273D0" w14:textId="54096A67"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1481B44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EEDC6B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EDE3F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4ED052"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9ABAF9"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003AC7D"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05D8DD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72399D" w14:textId="0843D441"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3C192E4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D1219E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A77F21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68FCB1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56E8CD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D1EE8E1"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5EB96A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BB54DB6" w14:textId="7B19C1DC"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without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5732865" w14:textId="77777777" w:rsidR="00B56301" w:rsidRPr="002010BD" w:rsidRDefault="00B56301" w:rsidP="00B37B65">
            <w:pPr>
              <w:jc w:val="right"/>
              <w:rPr>
                <w:rFonts w:asciiTheme="minorHAnsi" w:hAnsiTheme="minorHAnsi"/>
                <w:sz w:val="16"/>
                <w:szCs w:val="14"/>
              </w:rPr>
            </w:pPr>
            <w:r w:rsidRPr="00C2292B">
              <w:rPr>
                <w:sz w:val="16"/>
                <w:szCs w:val="18"/>
              </w:rPr>
              <w:t>2738,76</w:t>
            </w:r>
          </w:p>
        </w:tc>
        <w:tc>
          <w:tcPr>
            <w:tcW w:w="991" w:type="dxa"/>
            <w:tcBorders>
              <w:top w:val="nil"/>
              <w:left w:val="nil"/>
              <w:bottom w:val="single" w:sz="4" w:space="0" w:color="auto"/>
              <w:right w:val="single" w:sz="4" w:space="0" w:color="auto"/>
            </w:tcBorders>
            <w:shd w:val="clear" w:color="000000" w:fill="CCFFFF"/>
            <w:noWrap/>
            <w:vAlign w:val="bottom"/>
            <w:hideMark/>
          </w:tcPr>
          <w:p w14:paraId="4DE1661C" w14:textId="77777777" w:rsidR="00B56301" w:rsidRPr="002010BD" w:rsidRDefault="00B56301" w:rsidP="00B37B65">
            <w:pPr>
              <w:jc w:val="right"/>
              <w:rPr>
                <w:rFonts w:asciiTheme="minorHAnsi" w:hAnsiTheme="minorHAnsi"/>
                <w:sz w:val="16"/>
                <w:szCs w:val="14"/>
              </w:rPr>
            </w:pPr>
            <w:r w:rsidRPr="00C2292B">
              <w:rPr>
                <w:sz w:val="16"/>
                <w:szCs w:val="18"/>
              </w:rPr>
              <w:t>2675,47</w:t>
            </w:r>
          </w:p>
        </w:tc>
        <w:tc>
          <w:tcPr>
            <w:tcW w:w="991" w:type="dxa"/>
            <w:tcBorders>
              <w:top w:val="nil"/>
              <w:left w:val="nil"/>
              <w:bottom w:val="single" w:sz="4" w:space="0" w:color="auto"/>
              <w:right w:val="single" w:sz="4" w:space="0" w:color="auto"/>
            </w:tcBorders>
            <w:shd w:val="clear" w:color="000000" w:fill="CCFFFF"/>
            <w:noWrap/>
            <w:vAlign w:val="bottom"/>
            <w:hideMark/>
          </w:tcPr>
          <w:p w14:paraId="5B171B95" w14:textId="77777777" w:rsidR="00B56301" w:rsidRPr="002010BD" w:rsidRDefault="00B56301" w:rsidP="00B37B65">
            <w:pPr>
              <w:jc w:val="right"/>
              <w:rPr>
                <w:rFonts w:asciiTheme="minorHAnsi" w:hAnsiTheme="minorHAnsi"/>
                <w:sz w:val="16"/>
                <w:szCs w:val="14"/>
              </w:rPr>
            </w:pPr>
            <w:r w:rsidRPr="00C2292B">
              <w:rPr>
                <w:sz w:val="16"/>
                <w:szCs w:val="18"/>
              </w:rPr>
              <w:t>2636,62</w:t>
            </w:r>
          </w:p>
        </w:tc>
        <w:tc>
          <w:tcPr>
            <w:tcW w:w="991" w:type="dxa"/>
            <w:tcBorders>
              <w:top w:val="nil"/>
              <w:left w:val="nil"/>
              <w:bottom w:val="single" w:sz="4" w:space="0" w:color="auto"/>
              <w:right w:val="single" w:sz="4" w:space="0" w:color="auto"/>
            </w:tcBorders>
            <w:shd w:val="clear" w:color="000000" w:fill="CCFFFF"/>
            <w:noWrap/>
            <w:vAlign w:val="bottom"/>
            <w:hideMark/>
          </w:tcPr>
          <w:p w14:paraId="208A140C" w14:textId="77777777" w:rsidR="00B56301" w:rsidRPr="002010BD" w:rsidRDefault="00B56301" w:rsidP="00B37B65">
            <w:pPr>
              <w:jc w:val="right"/>
              <w:rPr>
                <w:rFonts w:asciiTheme="minorHAnsi" w:hAnsiTheme="minorHAnsi"/>
                <w:sz w:val="16"/>
                <w:szCs w:val="14"/>
              </w:rPr>
            </w:pPr>
            <w:r w:rsidRPr="00C2292B">
              <w:rPr>
                <w:sz w:val="16"/>
                <w:szCs w:val="18"/>
              </w:rPr>
              <w:t>2581,92</w:t>
            </w:r>
          </w:p>
        </w:tc>
        <w:tc>
          <w:tcPr>
            <w:tcW w:w="991" w:type="dxa"/>
            <w:tcBorders>
              <w:top w:val="nil"/>
              <w:left w:val="nil"/>
              <w:bottom w:val="single" w:sz="4" w:space="0" w:color="auto"/>
              <w:right w:val="single" w:sz="4" w:space="0" w:color="auto"/>
            </w:tcBorders>
            <w:shd w:val="clear" w:color="000000" w:fill="CCFFFF"/>
            <w:noWrap/>
            <w:vAlign w:val="bottom"/>
            <w:hideMark/>
          </w:tcPr>
          <w:p w14:paraId="6C2FDFEE" w14:textId="77777777" w:rsidR="00B56301" w:rsidRPr="002010BD" w:rsidRDefault="00B56301" w:rsidP="00B37B65">
            <w:pPr>
              <w:jc w:val="right"/>
              <w:rPr>
                <w:rFonts w:asciiTheme="minorHAnsi" w:hAnsiTheme="minorHAnsi"/>
                <w:sz w:val="16"/>
                <w:szCs w:val="14"/>
              </w:rPr>
            </w:pPr>
            <w:r w:rsidRPr="00C2292B">
              <w:rPr>
                <w:sz w:val="16"/>
                <w:szCs w:val="18"/>
              </w:rPr>
              <w:t>2545,26</w:t>
            </w:r>
          </w:p>
        </w:tc>
        <w:tc>
          <w:tcPr>
            <w:tcW w:w="991" w:type="dxa"/>
            <w:tcBorders>
              <w:top w:val="nil"/>
              <w:left w:val="nil"/>
              <w:bottom w:val="single" w:sz="4" w:space="0" w:color="auto"/>
              <w:right w:val="single" w:sz="4" w:space="0" w:color="auto"/>
            </w:tcBorders>
            <w:shd w:val="clear" w:color="000000" w:fill="CCFFFF"/>
            <w:noWrap/>
            <w:vAlign w:val="bottom"/>
            <w:hideMark/>
          </w:tcPr>
          <w:p w14:paraId="03AEA9EC" w14:textId="77777777" w:rsidR="00B56301" w:rsidRPr="002010BD" w:rsidRDefault="00B56301" w:rsidP="00B37B65">
            <w:pPr>
              <w:jc w:val="right"/>
              <w:rPr>
                <w:rFonts w:asciiTheme="minorHAnsi" w:hAnsiTheme="minorHAnsi"/>
                <w:sz w:val="16"/>
                <w:szCs w:val="14"/>
              </w:rPr>
            </w:pPr>
            <w:r w:rsidRPr="00C2292B">
              <w:rPr>
                <w:sz w:val="16"/>
                <w:szCs w:val="18"/>
              </w:rPr>
              <w:t>2524,69</w:t>
            </w:r>
          </w:p>
        </w:tc>
      </w:tr>
      <w:tr w:rsidR="00B56301" w:rsidRPr="00C2292B" w14:paraId="58C306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A499AB1" w14:textId="59104CBE"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44C02FAC" w14:textId="77777777" w:rsidR="00B56301" w:rsidRPr="002010BD" w:rsidRDefault="00B56301" w:rsidP="00B37B65">
            <w:pPr>
              <w:jc w:val="right"/>
              <w:rPr>
                <w:rFonts w:asciiTheme="minorHAnsi" w:hAnsiTheme="minorHAnsi"/>
                <w:sz w:val="16"/>
                <w:szCs w:val="14"/>
              </w:rPr>
            </w:pPr>
            <w:r w:rsidRPr="00C2292B">
              <w:rPr>
                <w:sz w:val="16"/>
                <w:szCs w:val="18"/>
              </w:rPr>
              <w:t>2797,58</w:t>
            </w:r>
          </w:p>
        </w:tc>
        <w:tc>
          <w:tcPr>
            <w:tcW w:w="991" w:type="dxa"/>
            <w:tcBorders>
              <w:top w:val="nil"/>
              <w:left w:val="nil"/>
              <w:bottom w:val="single" w:sz="4" w:space="0" w:color="auto"/>
              <w:right w:val="single" w:sz="4" w:space="0" w:color="auto"/>
            </w:tcBorders>
            <w:shd w:val="clear" w:color="000000" w:fill="CCFFFF"/>
            <w:noWrap/>
            <w:vAlign w:val="bottom"/>
            <w:hideMark/>
          </w:tcPr>
          <w:p w14:paraId="1BF1BC3E" w14:textId="77777777" w:rsidR="00B56301" w:rsidRPr="002010BD" w:rsidRDefault="00B56301" w:rsidP="00B37B65">
            <w:pPr>
              <w:jc w:val="right"/>
              <w:rPr>
                <w:rFonts w:asciiTheme="minorHAnsi" w:hAnsiTheme="minorHAnsi"/>
                <w:sz w:val="16"/>
                <w:szCs w:val="14"/>
              </w:rPr>
            </w:pPr>
            <w:r w:rsidRPr="00C2292B">
              <w:rPr>
                <w:sz w:val="16"/>
                <w:szCs w:val="18"/>
              </w:rPr>
              <w:t>2728,60</w:t>
            </w:r>
          </w:p>
        </w:tc>
        <w:tc>
          <w:tcPr>
            <w:tcW w:w="991" w:type="dxa"/>
            <w:tcBorders>
              <w:top w:val="nil"/>
              <w:left w:val="nil"/>
              <w:bottom w:val="single" w:sz="4" w:space="0" w:color="auto"/>
              <w:right w:val="single" w:sz="4" w:space="0" w:color="auto"/>
            </w:tcBorders>
            <w:shd w:val="clear" w:color="000000" w:fill="CCFFFF"/>
            <w:noWrap/>
            <w:vAlign w:val="bottom"/>
            <w:hideMark/>
          </w:tcPr>
          <w:p w14:paraId="23CF5970" w14:textId="77777777" w:rsidR="00B56301" w:rsidRPr="002010BD" w:rsidRDefault="00B56301" w:rsidP="00B37B65">
            <w:pPr>
              <w:jc w:val="right"/>
              <w:rPr>
                <w:rFonts w:asciiTheme="minorHAnsi" w:hAnsiTheme="minorHAnsi"/>
                <w:sz w:val="16"/>
                <w:szCs w:val="14"/>
              </w:rPr>
            </w:pPr>
            <w:r w:rsidRPr="00C2292B">
              <w:rPr>
                <w:sz w:val="16"/>
                <w:szCs w:val="18"/>
              </w:rPr>
              <w:t>2690,23</w:t>
            </w:r>
          </w:p>
        </w:tc>
        <w:tc>
          <w:tcPr>
            <w:tcW w:w="991" w:type="dxa"/>
            <w:tcBorders>
              <w:top w:val="nil"/>
              <w:left w:val="nil"/>
              <w:bottom w:val="single" w:sz="4" w:space="0" w:color="auto"/>
              <w:right w:val="single" w:sz="4" w:space="0" w:color="auto"/>
            </w:tcBorders>
            <w:shd w:val="clear" w:color="000000" w:fill="CCFFFF"/>
            <w:noWrap/>
            <w:vAlign w:val="bottom"/>
            <w:hideMark/>
          </w:tcPr>
          <w:p w14:paraId="64A6D907" w14:textId="77777777" w:rsidR="00B56301" w:rsidRPr="002010BD" w:rsidRDefault="00B56301" w:rsidP="00B37B65">
            <w:pPr>
              <w:jc w:val="right"/>
              <w:rPr>
                <w:rFonts w:asciiTheme="minorHAnsi" w:hAnsiTheme="minorHAnsi"/>
                <w:sz w:val="16"/>
                <w:szCs w:val="14"/>
              </w:rPr>
            </w:pPr>
            <w:r w:rsidRPr="00C2292B">
              <w:rPr>
                <w:sz w:val="16"/>
                <w:szCs w:val="18"/>
              </w:rPr>
              <w:t>2629,64</w:t>
            </w:r>
          </w:p>
        </w:tc>
        <w:tc>
          <w:tcPr>
            <w:tcW w:w="991" w:type="dxa"/>
            <w:tcBorders>
              <w:top w:val="nil"/>
              <w:left w:val="nil"/>
              <w:bottom w:val="single" w:sz="4" w:space="0" w:color="auto"/>
              <w:right w:val="single" w:sz="4" w:space="0" w:color="auto"/>
            </w:tcBorders>
            <w:shd w:val="clear" w:color="000000" w:fill="CCFFFF"/>
            <w:noWrap/>
            <w:vAlign w:val="bottom"/>
            <w:hideMark/>
          </w:tcPr>
          <w:p w14:paraId="6FE0DC59" w14:textId="77777777" w:rsidR="00B56301" w:rsidRPr="002010BD" w:rsidRDefault="00B56301" w:rsidP="00B37B65">
            <w:pPr>
              <w:jc w:val="right"/>
              <w:rPr>
                <w:rFonts w:asciiTheme="minorHAnsi" w:hAnsiTheme="minorHAnsi"/>
                <w:sz w:val="16"/>
                <w:szCs w:val="14"/>
              </w:rPr>
            </w:pPr>
            <w:r w:rsidRPr="00C2292B">
              <w:rPr>
                <w:sz w:val="16"/>
                <w:szCs w:val="18"/>
              </w:rPr>
              <w:t>2592,82</w:t>
            </w:r>
          </w:p>
        </w:tc>
        <w:tc>
          <w:tcPr>
            <w:tcW w:w="991" w:type="dxa"/>
            <w:tcBorders>
              <w:top w:val="nil"/>
              <w:left w:val="nil"/>
              <w:bottom w:val="single" w:sz="4" w:space="0" w:color="auto"/>
              <w:right w:val="single" w:sz="4" w:space="0" w:color="auto"/>
            </w:tcBorders>
            <w:shd w:val="clear" w:color="000000" w:fill="CCFFFF"/>
            <w:noWrap/>
            <w:vAlign w:val="bottom"/>
            <w:hideMark/>
          </w:tcPr>
          <w:p w14:paraId="2072375F" w14:textId="77777777" w:rsidR="00B56301" w:rsidRPr="002010BD" w:rsidRDefault="00B56301" w:rsidP="00B37B65">
            <w:pPr>
              <w:jc w:val="right"/>
              <w:rPr>
                <w:rFonts w:asciiTheme="minorHAnsi" w:hAnsiTheme="minorHAnsi"/>
                <w:sz w:val="16"/>
                <w:szCs w:val="14"/>
              </w:rPr>
            </w:pPr>
            <w:r w:rsidRPr="00C2292B">
              <w:rPr>
                <w:sz w:val="16"/>
                <w:szCs w:val="18"/>
              </w:rPr>
              <w:t>2570,38</w:t>
            </w:r>
          </w:p>
        </w:tc>
      </w:tr>
      <w:tr w:rsidR="00B56301" w:rsidRPr="00C2292B" w14:paraId="72D8F2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EB0D79"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7070B5D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EFD05F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DAE78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F0866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61C46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B8CE8D"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6EA3CE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D56B11"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1792A0B" w14:textId="77777777" w:rsidR="00B56301" w:rsidRPr="002010BD" w:rsidRDefault="00B56301" w:rsidP="00B37B65">
            <w:pPr>
              <w:jc w:val="right"/>
              <w:rPr>
                <w:rFonts w:asciiTheme="minorHAnsi" w:hAnsiTheme="minorHAnsi"/>
                <w:sz w:val="16"/>
                <w:szCs w:val="14"/>
              </w:rPr>
            </w:pPr>
            <w:r w:rsidRPr="00C2292B">
              <w:rPr>
                <w:sz w:val="16"/>
                <w:szCs w:val="18"/>
              </w:rPr>
              <w:t>0,84</w:t>
            </w:r>
          </w:p>
        </w:tc>
        <w:tc>
          <w:tcPr>
            <w:tcW w:w="991" w:type="dxa"/>
            <w:tcBorders>
              <w:top w:val="nil"/>
              <w:left w:val="nil"/>
              <w:bottom w:val="single" w:sz="4" w:space="0" w:color="auto"/>
              <w:right w:val="single" w:sz="4" w:space="0" w:color="auto"/>
            </w:tcBorders>
            <w:shd w:val="clear" w:color="000000" w:fill="CCFFFF"/>
            <w:noWrap/>
            <w:vAlign w:val="bottom"/>
            <w:hideMark/>
          </w:tcPr>
          <w:p w14:paraId="404EAAAF" w14:textId="77777777" w:rsidR="00B56301" w:rsidRPr="002010BD" w:rsidRDefault="00B56301" w:rsidP="00B37B65">
            <w:pPr>
              <w:jc w:val="right"/>
              <w:rPr>
                <w:rFonts w:asciiTheme="minorHAnsi" w:hAnsiTheme="minorHAnsi"/>
                <w:sz w:val="16"/>
                <w:szCs w:val="14"/>
              </w:rPr>
            </w:pPr>
            <w:r w:rsidRPr="00C2292B">
              <w:rPr>
                <w:sz w:val="16"/>
                <w:szCs w:val="18"/>
              </w:rPr>
              <w:t>0,81</w:t>
            </w:r>
          </w:p>
        </w:tc>
        <w:tc>
          <w:tcPr>
            <w:tcW w:w="991" w:type="dxa"/>
            <w:tcBorders>
              <w:top w:val="nil"/>
              <w:left w:val="nil"/>
              <w:bottom w:val="single" w:sz="4" w:space="0" w:color="auto"/>
              <w:right w:val="single" w:sz="4" w:space="0" w:color="auto"/>
            </w:tcBorders>
            <w:shd w:val="clear" w:color="000000" w:fill="CCFFFF"/>
            <w:noWrap/>
            <w:vAlign w:val="bottom"/>
            <w:hideMark/>
          </w:tcPr>
          <w:p w14:paraId="24F6C861" w14:textId="77777777" w:rsidR="00B56301" w:rsidRPr="002010BD" w:rsidRDefault="00B56301" w:rsidP="00B37B65">
            <w:pPr>
              <w:jc w:val="right"/>
              <w:rPr>
                <w:rFonts w:asciiTheme="minorHAnsi" w:hAnsiTheme="minorHAnsi"/>
                <w:sz w:val="16"/>
                <w:szCs w:val="14"/>
              </w:rPr>
            </w:pPr>
            <w:r w:rsidRPr="00C2292B">
              <w:rPr>
                <w:sz w:val="16"/>
                <w:szCs w:val="18"/>
              </w:rPr>
              <w:t>0,87</w:t>
            </w:r>
          </w:p>
        </w:tc>
        <w:tc>
          <w:tcPr>
            <w:tcW w:w="991" w:type="dxa"/>
            <w:tcBorders>
              <w:top w:val="nil"/>
              <w:left w:val="nil"/>
              <w:bottom w:val="single" w:sz="4" w:space="0" w:color="auto"/>
              <w:right w:val="single" w:sz="4" w:space="0" w:color="auto"/>
            </w:tcBorders>
            <w:shd w:val="clear" w:color="000000" w:fill="CCFFFF"/>
            <w:noWrap/>
            <w:vAlign w:val="bottom"/>
            <w:hideMark/>
          </w:tcPr>
          <w:p w14:paraId="2A71EBAF" w14:textId="77777777" w:rsidR="00B56301" w:rsidRPr="002010BD" w:rsidRDefault="00B56301" w:rsidP="00B37B65">
            <w:pPr>
              <w:jc w:val="right"/>
              <w:rPr>
                <w:rFonts w:asciiTheme="minorHAnsi" w:hAnsiTheme="minorHAnsi"/>
                <w:sz w:val="16"/>
                <w:szCs w:val="14"/>
              </w:rPr>
            </w:pPr>
            <w:r w:rsidRPr="00C2292B">
              <w:rPr>
                <w:sz w:val="16"/>
                <w:szCs w:val="18"/>
              </w:rPr>
              <w:t>0,99</w:t>
            </w:r>
          </w:p>
        </w:tc>
        <w:tc>
          <w:tcPr>
            <w:tcW w:w="991" w:type="dxa"/>
            <w:tcBorders>
              <w:top w:val="nil"/>
              <w:left w:val="nil"/>
              <w:bottom w:val="single" w:sz="4" w:space="0" w:color="auto"/>
              <w:right w:val="single" w:sz="4" w:space="0" w:color="auto"/>
            </w:tcBorders>
            <w:shd w:val="clear" w:color="000000" w:fill="CCFFFF"/>
            <w:noWrap/>
            <w:vAlign w:val="bottom"/>
            <w:hideMark/>
          </w:tcPr>
          <w:p w14:paraId="6F6B661F" w14:textId="77777777" w:rsidR="00B56301" w:rsidRPr="002010BD" w:rsidRDefault="00B56301" w:rsidP="00B37B65">
            <w:pPr>
              <w:jc w:val="right"/>
              <w:rPr>
                <w:rFonts w:asciiTheme="minorHAnsi" w:hAnsiTheme="minorHAnsi"/>
                <w:sz w:val="16"/>
                <w:szCs w:val="14"/>
              </w:rPr>
            </w:pPr>
            <w:r w:rsidRPr="00C2292B">
              <w:rPr>
                <w:sz w:val="16"/>
                <w:szCs w:val="18"/>
              </w:rPr>
              <w:t>0,91</w:t>
            </w:r>
          </w:p>
        </w:tc>
        <w:tc>
          <w:tcPr>
            <w:tcW w:w="991" w:type="dxa"/>
            <w:tcBorders>
              <w:top w:val="nil"/>
              <w:left w:val="nil"/>
              <w:bottom w:val="single" w:sz="4" w:space="0" w:color="auto"/>
              <w:right w:val="single" w:sz="4" w:space="0" w:color="auto"/>
            </w:tcBorders>
            <w:shd w:val="clear" w:color="000000" w:fill="CCFFFF"/>
            <w:noWrap/>
            <w:vAlign w:val="bottom"/>
            <w:hideMark/>
          </w:tcPr>
          <w:p w14:paraId="0639B365" w14:textId="77777777" w:rsidR="00B56301" w:rsidRPr="002010BD" w:rsidRDefault="00B56301" w:rsidP="00B37B65">
            <w:pPr>
              <w:jc w:val="right"/>
              <w:rPr>
                <w:rFonts w:asciiTheme="minorHAnsi" w:hAnsiTheme="minorHAnsi"/>
                <w:sz w:val="16"/>
                <w:szCs w:val="14"/>
              </w:rPr>
            </w:pPr>
            <w:r w:rsidRPr="00C2292B">
              <w:rPr>
                <w:sz w:val="16"/>
                <w:szCs w:val="18"/>
              </w:rPr>
              <w:t>0,94</w:t>
            </w:r>
          </w:p>
        </w:tc>
      </w:tr>
      <w:tr w:rsidR="00B56301" w:rsidRPr="00C2292B" w14:paraId="4C3E1D3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29A629"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1D838A7"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F023CA1"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53DCBDC9"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5669A4EE"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DE9214B"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3AF0420" w14:textId="77777777" w:rsidR="00B56301" w:rsidRPr="002010BD" w:rsidRDefault="00B56301" w:rsidP="00B37B65">
            <w:pPr>
              <w:jc w:val="right"/>
              <w:rPr>
                <w:rFonts w:asciiTheme="minorHAnsi" w:hAnsiTheme="minorHAnsi"/>
                <w:sz w:val="16"/>
                <w:szCs w:val="14"/>
              </w:rPr>
            </w:pPr>
            <w:r w:rsidRPr="00C2292B">
              <w:rPr>
                <w:sz w:val="16"/>
                <w:szCs w:val="18"/>
              </w:rPr>
              <w:t>0,07</w:t>
            </w:r>
          </w:p>
        </w:tc>
      </w:tr>
      <w:tr w:rsidR="00B56301" w:rsidRPr="00C2292B" w14:paraId="4C1912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F37571"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67ED14D7" w14:textId="77777777" w:rsidR="00B56301" w:rsidRPr="002010BD" w:rsidRDefault="00B56301" w:rsidP="00B37B65">
            <w:pPr>
              <w:jc w:val="right"/>
              <w:rPr>
                <w:rFonts w:asciiTheme="minorHAnsi" w:hAnsiTheme="minorHAnsi"/>
                <w:sz w:val="16"/>
                <w:szCs w:val="14"/>
              </w:rPr>
            </w:pPr>
            <w:r w:rsidRPr="00C2292B">
              <w:rPr>
                <w:sz w:val="16"/>
                <w:szCs w:val="18"/>
              </w:rPr>
              <w:t>0,77</w:t>
            </w:r>
          </w:p>
        </w:tc>
        <w:tc>
          <w:tcPr>
            <w:tcW w:w="991" w:type="dxa"/>
            <w:tcBorders>
              <w:top w:val="nil"/>
              <w:left w:val="nil"/>
              <w:bottom w:val="single" w:sz="4" w:space="0" w:color="auto"/>
              <w:right w:val="single" w:sz="4" w:space="0" w:color="auto"/>
            </w:tcBorders>
            <w:shd w:val="clear" w:color="000000" w:fill="FFFFFF"/>
            <w:noWrap/>
            <w:vAlign w:val="bottom"/>
            <w:hideMark/>
          </w:tcPr>
          <w:p w14:paraId="0D455D11" w14:textId="77777777" w:rsidR="00B56301" w:rsidRPr="002010BD" w:rsidRDefault="00B56301" w:rsidP="00B37B65">
            <w:pPr>
              <w:jc w:val="right"/>
              <w:rPr>
                <w:rFonts w:asciiTheme="minorHAnsi" w:hAnsiTheme="minorHAnsi"/>
                <w:sz w:val="16"/>
                <w:szCs w:val="14"/>
              </w:rPr>
            </w:pPr>
            <w:r w:rsidRPr="00C2292B">
              <w:rPr>
                <w:sz w:val="16"/>
                <w:szCs w:val="18"/>
              </w:rPr>
              <w:t>0,75</w:t>
            </w:r>
          </w:p>
        </w:tc>
        <w:tc>
          <w:tcPr>
            <w:tcW w:w="991" w:type="dxa"/>
            <w:tcBorders>
              <w:top w:val="nil"/>
              <w:left w:val="nil"/>
              <w:bottom w:val="single" w:sz="4" w:space="0" w:color="auto"/>
              <w:right w:val="single" w:sz="4" w:space="0" w:color="auto"/>
            </w:tcBorders>
            <w:shd w:val="clear" w:color="000000" w:fill="FFFFFF"/>
            <w:noWrap/>
            <w:vAlign w:val="bottom"/>
            <w:hideMark/>
          </w:tcPr>
          <w:p w14:paraId="39100A4D" w14:textId="77777777" w:rsidR="00B56301" w:rsidRPr="002010BD" w:rsidRDefault="00B56301" w:rsidP="00B37B65">
            <w:pPr>
              <w:jc w:val="right"/>
              <w:rPr>
                <w:rFonts w:asciiTheme="minorHAnsi" w:hAnsiTheme="minorHAnsi"/>
                <w:sz w:val="16"/>
                <w:szCs w:val="14"/>
              </w:rPr>
            </w:pPr>
            <w:r w:rsidRPr="00C2292B">
              <w:rPr>
                <w:sz w:val="16"/>
                <w:szCs w:val="18"/>
              </w:rPr>
              <w:t>0,81</w:t>
            </w:r>
          </w:p>
        </w:tc>
        <w:tc>
          <w:tcPr>
            <w:tcW w:w="991" w:type="dxa"/>
            <w:tcBorders>
              <w:top w:val="nil"/>
              <w:left w:val="nil"/>
              <w:bottom w:val="single" w:sz="4" w:space="0" w:color="auto"/>
              <w:right w:val="single" w:sz="4" w:space="0" w:color="auto"/>
            </w:tcBorders>
            <w:shd w:val="clear" w:color="000000" w:fill="FFFFFF"/>
            <w:noWrap/>
            <w:vAlign w:val="bottom"/>
            <w:hideMark/>
          </w:tcPr>
          <w:p w14:paraId="3767FD7F" w14:textId="77777777" w:rsidR="00B56301" w:rsidRPr="002010BD" w:rsidRDefault="00B56301" w:rsidP="00B37B65">
            <w:pPr>
              <w:jc w:val="right"/>
              <w:rPr>
                <w:rFonts w:asciiTheme="minorHAnsi" w:hAnsiTheme="minorHAnsi"/>
                <w:sz w:val="16"/>
                <w:szCs w:val="14"/>
              </w:rPr>
            </w:pPr>
            <w:r w:rsidRPr="00C2292B">
              <w:rPr>
                <w:sz w:val="16"/>
                <w:szCs w:val="18"/>
              </w:rPr>
              <w:t>0,92</w:t>
            </w:r>
          </w:p>
        </w:tc>
        <w:tc>
          <w:tcPr>
            <w:tcW w:w="991" w:type="dxa"/>
            <w:tcBorders>
              <w:top w:val="nil"/>
              <w:left w:val="nil"/>
              <w:bottom w:val="single" w:sz="4" w:space="0" w:color="auto"/>
              <w:right w:val="single" w:sz="4" w:space="0" w:color="auto"/>
            </w:tcBorders>
            <w:shd w:val="clear" w:color="000000" w:fill="FFFFFF"/>
            <w:noWrap/>
            <w:vAlign w:val="bottom"/>
            <w:hideMark/>
          </w:tcPr>
          <w:p w14:paraId="2B74BC97" w14:textId="77777777" w:rsidR="00B56301" w:rsidRPr="002010BD" w:rsidRDefault="00B56301" w:rsidP="00B37B65">
            <w:pPr>
              <w:jc w:val="right"/>
              <w:rPr>
                <w:rFonts w:asciiTheme="minorHAnsi" w:hAnsiTheme="minorHAnsi"/>
                <w:sz w:val="16"/>
                <w:szCs w:val="14"/>
              </w:rPr>
            </w:pPr>
            <w:r w:rsidRPr="00C2292B">
              <w:rPr>
                <w:sz w:val="16"/>
                <w:szCs w:val="18"/>
              </w:rPr>
              <w:t>0,84</w:t>
            </w:r>
          </w:p>
        </w:tc>
        <w:tc>
          <w:tcPr>
            <w:tcW w:w="991" w:type="dxa"/>
            <w:tcBorders>
              <w:top w:val="nil"/>
              <w:left w:val="nil"/>
              <w:bottom w:val="single" w:sz="4" w:space="0" w:color="auto"/>
              <w:right w:val="single" w:sz="4" w:space="0" w:color="auto"/>
            </w:tcBorders>
            <w:shd w:val="clear" w:color="000000" w:fill="FFFFFF"/>
            <w:noWrap/>
            <w:vAlign w:val="bottom"/>
            <w:hideMark/>
          </w:tcPr>
          <w:p w14:paraId="3873C353" w14:textId="77777777" w:rsidR="00B56301" w:rsidRPr="002010BD" w:rsidRDefault="00B56301" w:rsidP="00B37B65">
            <w:pPr>
              <w:jc w:val="right"/>
              <w:rPr>
                <w:rFonts w:asciiTheme="minorHAnsi" w:hAnsiTheme="minorHAnsi"/>
                <w:sz w:val="16"/>
                <w:szCs w:val="14"/>
              </w:rPr>
            </w:pPr>
            <w:r w:rsidRPr="00C2292B">
              <w:rPr>
                <w:sz w:val="16"/>
                <w:szCs w:val="18"/>
              </w:rPr>
              <w:t>0,88</w:t>
            </w:r>
          </w:p>
        </w:tc>
      </w:tr>
      <w:tr w:rsidR="00B56301" w:rsidRPr="00C2292B" w14:paraId="4E62B0A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DA5B8C"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BF713F3"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0C5487E"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B7ABCF3"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EAF9271"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091C810"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3B4E931" w14:textId="77777777" w:rsidR="00B56301" w:rsidRPr="002010BD" w:rsidRDefault="00B56301" w:rsidP="00B37B65">
            <w:pPr>
              <w:jc w:val="right"/>
              <w:rPr>
                <w:rFonts w:asciiTheme="minorHAnsi" w:hAnsiTheme="minorHAnsi"/>
                <w:sz w:val="16"/>
                <w:szCs w:val="14"/>
              </w:rPr>
            </w:pPr>
            <w:r w:rsidRPr="00C2292B">
              <w:rPr>
                <w:sz w:val="16"/>
                <w:szCs w:val="18"/>
              </w:rPr>
              <w:t>NE</w:t>
            </w:r>
          </w:p>
        </w:tc>
      </w:tr>
      <w:tr w:rsidR="00B56301" w:rsidRPr="00C2292B" w14:paraId="5A57061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FC4D2" w14:textId="47F30CEF"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4CCE711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D4B60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56FE82"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6E994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FAAFF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3CECD9"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2B5A90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908DB8" w14:textId="147333F2"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5F99B9F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80F93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9E4EEA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A416F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11F89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79AFCF"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6058B6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538793"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3B84ECFE"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58496E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9DF27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6B6AEB"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F168F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54193B"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4A6AF25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E5909" w14:textId="2B1A680B"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46BA8F7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1E1F2B"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9EA02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72781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76039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748DA7"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6F5406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3DF058A" w14:textId="68B7F35A"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DE4392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770711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AF71D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AF5A4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27952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921C4A" w14:textId="77777777" w:rsidR="00B56301" w:rsidRPr="002010BD" w:rsidRDefault="00B56301" w:rsidP="00B37B65">
            <w:pPr>
              <w:jc w:val="right"/>
              <w:rPr>
                <w:rFonts w:asciiTheme="minorHAnsi" w:hAnsiTheme="minorHAnsi"/>
                <w:sz w:val="16"/>
                <w:szCs w:val="14"/>
              </w:rPr>
            </w:pPr>
            <w:r w:rsidRPr="00C2292B">
              <w:rPr>
                <w:sz w:val="16"/>
                <w:szCs w:val="18"/>
              </w:rPr>
              <w:t> </w:t>
            </w:r>
          </w:p>
        </w:tc>
      </w:tr>
    </w:tbl>
    <w:p w14:paraId="059A3C84" w14:textId="77777777" w:rsidR="00B56301" w:rsidRDefault="00B56301" w:rsidP="00B56301">
      <w:pPr>
        <w:ind w:right="27"/>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C2292B" w14:paraId="333D66BA"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2010814" w14:textId="54853299" w:rsidR="00B56301" w:rsidRPr="002010BD" w:rsidRDefault="00B56301" w:rsidP="00B37B65">
            <w:pPr>
              <w:jc w:val="left"/>
              <w:rPr>
                <w:rFonts w:asciiTheme="minorHAnsi" w:hAnsiTheme="minorHAnsi"/>
                <w:b/>
                <w:bCs/>
                <w:sz w:val="16"/>
                <w:szCs w:val="14"/>
                <w:lang w:val="en-GB"/>
              </w:rPr>
            </w:pPr>
            <w:r w:rsidRPr="0034391E">
              <w:rPr>
                <w:rFonts w:cs="Arial"/>
                <w:sz w:val="24"/>
                <w:lang w:val="en-US"/>
              </w:rPr>
              <w:br w:type="page"/>
            </w:r>
            <w:r w:rsidRPr="002010BD">
              <w:rPr>
                <w:rFonts w:asciiTheme="minorHAnsi" w:hAnsiTheme="minorHAnsi"/>
                <w:b/>
                <w:bCs/>
                <w:sz w:val="16"/>
                <w:szCs w:val="14"/>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C9FCA40" w14:textId="77777777" w:rsidR="00B56301" w:rsidRPr="002010BD" w:rsidRDefault="00B56301" w:rsidP="00B37B65">
            <w:pPr>
              <w:jc w:val="center"/>
              <w:rPr>
                <w:rFonts w:asciiTheme="minorHAnsi" w:hAnsiTheme="minorHAnsi"/>
                <w:b/>
                <w:bCs/>
                <w:sz w:val="16"/>
                <w:szCs w:val="14"/>
              </w:rPr>
            </w:pPr>
            <w:r w:rsidRPr="00C2292B">
              <w:rPr>
                <w:b/>
                <w:bCs/>
                <w:sz w:val="16"/>
                <w:szCs w:val="18"/>
              </w:rPr>
              <w:t>2007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91EAAB3" w14:textId="77777777" w:rsidR="00B56301" w:rsidRPr="002010BD" w:rsidRDefault="00B56301" w:rsidP="00B37B65">
            <w:pPr>
              <w:jc w:val="center"/>
              <w:rPr>
                <w:rFonts w:asciiTheme="minorHAnsi" w:hAnsiTheme="minorHAnsi"/>
                <w:b/>
                <w:bCs/>
                <w:sz w:val="16"/>
                <w:szCs w:val="14"/>
              </w:rPr>
            </w:pPr>
            <w:r w:rsidRPr="00C2292B">
              <w:rPr>
                <w:b/>
                <w:bCs/>
                <w:sz w:val="16"/>
                <w:szCs w:val="18"/>
              </w:rPr>
              <w:t>2008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88790BC" w14:textId="77777777" w:rsidR="00B56301" w:rsidRPr="002010BD" w:rsidRDefault="00B56301" w:rsidP="00B37B65">
            <w:pPr>
              <w:jc w:val="center"/>
              <w:rPr>
                <w:rFonts w:asciiTheme="minorHAnsi" w:hAnsiTheme="minorHAnsi"/>
                <w:b/>
                <w:bCs/>
                <w:sz w:val="16"/>
                <w:szCs w:val="14"/>
              </w:rPr>
            </w:pPr>
            <w:r w:rsidRPr="00C2292B">
              <w:rPr>
                <w:b/>
                <w:bCs/>
                <w:sz w:val="16"/>
                <w:szCs w:val="18"/>
              </w:rPr>
              <w:t>2009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3C851DD" w14:textId="77777777" w:rsidR="00B56301" w:rsidRPr="002010BD" w:rsidRDefault="00B56301" w:rsidP="00B37B65">
            <w:pPr>
              <w:jc w:val="center"/>
              <w:rPr>
                <w:rFonts w:asciiTheme="minorHAnsi" w:hAnsiTheme="minorHAnsi"/>
                <w:b/>
                <w:bCs/>
                <w:sz w:val="16"/>
                <w:szCs w:val="14"/>
              </w:rPr>
            </w:pPr>
            <w:r w:rsidRPr="00C2292B">
              <w:rPr>
                <w:b/>
                <w:bCs/>
                <w:sz w:val="16"/>
                <w:szCs w:val="18"/>
              </w:rPr>
              <w:t>2010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6F975C3" w14:textId="77777777" w:rsidR="00B56301" w:rsidRPr="002010BD" w:rsidRDefault="00B56301" w:rsidP="00B37B65">
            <w:pPr>
              <w:jc w:val="center"/>
              <w:rPr>
                <w:rFonts w:asciiTheme="minorHAnsi" w:hAnsiTheme="minorHAnsi"/>
                <w:b/>
                <w:bCs/>
                <w:sz w:val="16"/>
                <w:szCs w:val="14"/>
              </w:rPr>
            </w:pPr>
            <w:r w:rsidRPr="00C2292B">
              <w:rPr>
                <w:b/>
                <w:bCs/>
                <w:sz w:val="16"/>
                <w:szCs w:val="18"/>
              </w:rPr>
              <w:t>2011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B277195" w14:textId="77777777" w:rsidR="00B56301" w:rsidRPr="002010BD" w:rsidRDefault="00B56301" w:rsidP="00B37B65">
            <w:pPr>
              <w:jc w:val="center"/>
              <w:rPr>
                <w:rFonts w:asciiTheme="minorHAnsi" w:hAnsiTheme="minorHAnsi"/>
                <w:b/>
                <w:bCs/>
                <w:sz w:val="16"/>
                <w:szCs w:val="14"/>
              </w:rPr>
            </w:pPr>
            <w:r w:rsidRPr="00C2292B">
              <w:rPr>
                <w:b/>
                <w:bCs/>
                <w:sz w:val="16"/>
                <w:szCs w:val="18"/>
              </w:rPr>
              <w:t>2012</w:t>
            </w:r>
          </w:p>
        </w:tc>
      </w:tr>
      <w:tr w:rsidR="00B56301" w:rsidRPr="00C2292B" w14:paraId="38820CB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9AC250"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D1D619D" w14:textId="77777777" w:rsidR="00B56301" w:rsidRPr="002010BD" w:rsidRDefault="00B56301" w:rsidP="00B37B65">
            <w:pPr>
              <w:jc w:val="right"/>
              <w:rPr>
                <w:rFonts w:asciiTheme="minorHAnsi" w:hAnsiTheme="minorHAnsi"/>
                <w:sz w:val="16"/>
                <w:szCs w:val="14"/>
              </w:rPr>
            </w:pPr>
            <w:r w:rsidRPr="00C2292B">
              <w:rPr>
                <w:sz w:val="16"/>
                <w:szCs w:val="18"/>
              </w:rPr>
              <w:t>152,82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B3682C0" w14:textId="77777777" w:rsidR="00B56301" w:rsidRPr="002010BD" w:rsidRDefault="00B56301" w:rsidP="00B37B65">
            <w:pPr>
              <w:jc w:val="right"/>
              <w:rPr>
                <w:rFonts w:asciiTheme="minorHAnsi" w:hAnsiTheme="minorHAnsi"/>
                <w:sz w:val="16"/>
                <w:szCs w:val="14"/>
              </w:rPr>
            </w:pPr>
            <w:r w:rsidRPr="00C2292B">
              <w:rPr>
                <w:sz w:val="16"/>
                <w:szCs w:val="18"/>
              </w:rPr>
              <w:t>149,75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542DADD" w14:textId="77777777" w:rsidR="00B56301" w:rsidRPr="002010BD" w:rsidRDefault="00B56301" w:rsidP="00B37B65">
            <w:pPr>
              <w:jc w:val="right"/>
              <w:rPr>
                <w:rFonts w:asciiTheme="minorHAnsi" w:hAnsiTheme="minorHAnsi"/>
                <w:sz w:val="16"/>
                <w:szCs w:val="14"/>
              </w:rPr>
            </w:pPr>
            <w:r w:rsidRPr="00C2292B">
              <w:rPr>
                <w:sz w:val="16"/>
                <w:szCs w:val="18"/>
              </w:rPr>
              <w:t>143,92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0D32555" w14:textId="77777777" w:rsidR="00B56301" w:rsidRPr="002010BD" w:rsidRDefault="00B56301" w:rsidP="00B37B65">
            <w:pPr>
              <w:jc w:val="right"/>
              <w:rPr>
                <w:rFonts w:asciiTheme="minorHAnsi" w:hAnsiTheme="minorHAnsi"/>
                <w:sz w:val="16"/>
                <w:szCs w:val="14"/>
              </w:rPr>
            </w:pPr>
            <w:r w:rsidRPr="00C2292B">
              <w:rPr>
                <w:sz w:val="16"/>
                <w:szCs w:val="18"/>
              </w:rPr>
              <w:t>148,15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F4BE793" w14:textId="77777777" w:rsidR="00B56301" w:rsidRPr="002010BD" w:rsidRDefault="00B56301" w:rsidP="00B37B65">
            <w:pPr>
              <w:jc w:val="right"/>
              <w:rPr>
                <w:rFonts w:asciiTheme="minorHAnsi" w:hAnsiTheme="minorHAnsi"/>
                <w:sz w:val="16"/>
                <w:szCs w:val="14"/>
              </w:rPr>
            </w:pPr>
            <w:r w:rsidRPr="00C2292B">
              <w:rPr>
                <w:sz w:val="16"/>
                <w:szCs w:val="18"/>
              </w:rPr>
              <w:t>127,03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DFFC6FF" w14:textId="77777777" w:rsidR="00B56301" w:rsidRPr="002010BD" w:rsidRDefault="00B56301" w:rsidP="00B37B65">
            <w:pPr>
              <w:jc w:val="right"/>
              <w:rPr>
                <w:rFonts w:asciiTheme="minorHAnsi" w:hAnsiTheme="minorHAnsi"/>
                <w:sz w:val="16"/>
                <w:szCs w:val="14"/>
              </w:rPr>
            </w:pPr>
            <w:r w:rsidRPr="00C2292B">
              <w:rPr>
                <w:sz w:val="16"/>
                <w:szCs w:val="18"/>
              </w:rPr>
              <w:t>130,53</w:t>
            </w:r>
          </w:p>
        </w:tc>
      </w:tr>
      <w:tr w:rsidR="00B56301" w:rsidRPr="00C2292B" w14:paraId="308BF98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02E876B"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440E03E4" w14:textId="77777777" w:rsidR="00B56301" w:rsidRPr="002010BD" w:rsidRDefault="00B56301" w:rsidP="00B37B65">
            <w:pPr>
              <w:jc w:val="right"/>
              <w:rPr>
                <w:rFonts w:asciiTheme="minorHAnsi" w:hAnsiTheme="minorHAnsi"/>
                <w:sz w:val="16"/>
                <w:szCs w:val="14"/>
              </w:rPr>
            </w:pPr>
            <w:r w:rsidRPr="00C2292B">
              <w:rPr>
                <w:sz w:val="16"/>
                <w:szCs w:val="18"/>
              </w:rPr>
              <w:t>93,75</w:t>
            </w:r>
          </w:p>
        </w:tc>
        <w:tc>
          <w:tcPr>
            <w:tcW w:w="991" w:type="dxa"/>
            <w:tcBorders>
              <w:top w:val="nil"/>
              <w:left w:val="nil"/>
              <w:bottom w:val="single" w:sz="4" w:space="0" w:color="auto"/>
              <w:right w:val="single" w:sz="4" w:space="0" w:color="auto"/>
            </w:tcBorders>
            <w:shd w:val="clear" w:color="000000" w:fill="CCFFFF"/>
            <w:noWrap/>
            <w:vAlign w:val="bottom"/>
            <w:hideMark/>
          </w:tcPr>
          <w:p w14:paraId="68B80A95" w14:textId="77777777" w:rsidR="00B56301" w:rsidRPr="002010BD" w:rsidRDefault="00B56301" w:rsidP="00B37B65">
            <w:pPr>
              <w:jc w:val="right"/>
              <w:rPr>
                <w:rFonts w:asciiTheme="minorHAnsi" w:hAnsiTheme="minorHAnsi"/>
                <w:sz w:val="16"/>
                <w:szCs w:val="14"/>
              </w:rPr>
            </w:pPr>
            <w:r w:rsidRPr="00C2292B">
              <w:rPr>
                <w:sz w:val="16"/>
                <w:szCs w:val="18"/>
              </w:rPr>
              <w:t>90,79</w:t>
            </w:r>
          </w:p>
        </w:tc>
        <w:tc>
          <w:tcPr>
            <w:tcW w:w="991" w:type="dxa"/>
            <w:tcBorders>
              <w:top w:val="nil"/>
              <w:left w:val="nil"/>
              <w:bottom w:val="single" w:sz="4" w:space="0" w:color="auto"/>
              <w:right w:val="single" w:sz="4" w:space="0" w:color="auto"/>
            </w:tcBorders>
            <w:shd w:val="clear" w:color="000000" w:fill="CCFFFF"/>
            <w:noWrap/>
            <w:vAlign w:val="bottom"/>
            <w:hideMark/>
          </w:tcPr>
          <w:p w14:paraId="777ADE47" w14:textId="77777777" w:rsidR="00B56301" w:rsidRPr="002010BD" w:rsidRDefault="00B56301" w:rsidP="00B37B65">
            <w:pPr>
              <w:jc w:val="right"/>
              <w:rPr>
                <w:rFonts w:asciiTheme="minorHAnsi" w:hAnsiTheme="minorHAnsi"/>
                <w:sz w:val="16"/>
                <w:szCs w:val="14"/>
              </w:rPr>
            </w:pPr>
            <w:r w:rsidRPr="00C2292B">
              <w:rPr>
                <w:sz w:val="16"/>
                <w:szCs w:val="18"/>
              </w:rPr>
              <w:t>85,23</w:t>
            </w:r>
          </w:p>
        </w:tc>
        <w:tc>
          <w:tcPr>
            <w:tcW w:w="991" w:type="dxa"/>
            <w:tcBorders>
              <w:top w:val="nil"/>
              <w:left w:val="nil"/>
              <w:bottom w:val="single" w:sz="4" w:space="0" w:color="auto"/>
              <w:right w:val="single" w:sz="4" w:space="0" w:color="auto"/>
            </w:tcBorders>
            <w:shd w:val="clear" w:color="000000" w:fill="CCFFFF"/>
            <w:noWrap/>
            <w:vAlign w:val="bottom"/>
            <w:hideMark/>
          </w:tcPr>
          <w:p w14:paraId="3FAE3611" w14:textId="77777777" w:rsidR="00B56301" w:rsidRPr="002010BD" w:rsidRDefault="00B56301" w:rsidP="00B37B65">
            <w:pPr>
              <w:jc w:val="right"/>
              <w:rPr>
                <w:rFonts w:asciiTheme="minorHAnsi" w:hAnsiTheme="minorHAnsi"/>
                <w:sz w:val="16"/>
                <w:szCs w:val="14"/>
              </w:rPr>
            </w:pPr>
            <w:r w:rsidRPr="00C2292B">
              <w:rPr>
                <w:sz w:val="16"/>
                <w:szCs w:val="18"/>
              </w:rPr>
              <w:t>86,72</w:t>
            </w:r>
          </w:p>
        </w:tc>
        <w:tc>
          <w:tcPr>
            <w:tcW w:w="991" w:type="dxa"/>
            <w:tcBorders>
              <w:top w:val="nil"/>
              <w:left w:val="nil"/>
              <w:bottom w:val="single" w:sz="4" w:space="0" w:color="auto"/>
              <w:right w:val="single" w:sz="4" w:space="0" w:color="auto"/>
            </w:tcBorders>
            <w:shd w:val="clear" w:color="000000" w:fill="CCFFFF"/>
            <w:noWrap/>
            <w:vAlign w:val="bottom"/>
            <w:hideMark/>
          </w:tcPr>
          <w:p w14:paraId="195CEFC9" w14:textId="77777777" w:rsidR="00B56301" w:rsidRPr="002010BD" w:rsidRDefault="00B56301" w:rsidP="00B37B65">
            <w:pPr>
              <w:jc w:val="right"/>
              <w:rPr>
                <w:rFonts w:asciiTheme="minorHAnsi" w:hAnsiTheme="minorHAnsi"/>
                <w:sz w:val="16"/>
                <w:szCs w:val="14"/>
              </w:rPr>
            </w:pPr>
            <w:r w:rsidRPr="00C2292B">
              <w:rPr>
                <w:sz w:val="16"/>
                <w:szCs w:val="18"/>
              </w:rPr>
              <w:t>68,60</w:t>
            </w:r>
          </w:p>
        </w:tc>
        <w:tc>
          <w:tcPr>
            <w:tcW w:w="991" w:type="dxa"/>
            <w:tcBorders>
              <w:top w:val="nil"/>
              <w:left w:val="nil"/>
              <w:bottom w:val="single" w:sz="4" w:space="0" w:color="auto"/>
              <w:right w:val="single" w:sz="4" w:space="0" w:color="auto"/>
            </w:tcBorders>
            <w:shd w:val="clear" w:color="000000" w:fill="CCFFFF"/>
            <w:noWrap/>
            <w:vAlign w:val="bottom"/>
            <w:hideMark/>
          </w:tcPr>
          <w:p w14:paraId="1D67C20C" w14:textId="77777777" w:rsidR="00B56301" w:rsidRPr="002010BD" w:rsidRDefault="00B56301" w:rsidP="00B37B65">
            <w:pPr>
              <w:jc w:val="right"/>
              <w:rPr>
                <w:rFonts w:asciiTheme="minorHAnsi" w:hAnsiTheme="minorHAnsi"/>
                <w:sz w:val="16"/>
                <w:szCs w:val="14"/>
              </w:rPr>
            </w:pPr>
            <w:r w:rsidRPr="00C2292B">
              <w:rPr>
                <w:sz w:val="16"/>
                <w:szCs w:val="18"/>
              </w:rPr>
              <w:t>73,44</w:t>
            </w:r>
          </w:p>
        </w:tc>
      </w:tr>
      <w:tr w:rsidR="00B56301" w:rsidRPr="00C2292B" w14:paraId="74D1DC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F0D8EF" w14:textId="615CE844"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26BF0C56" w14:textId="77777777" w:rsidR="00B56301" w:rsidRPr="002010BD" w:rsidRDefault="00B56301" w:rsidP="00B37B65">
            <w:pPr>
              <w:jc w:val="right"/>
              <w:rPr>
                <w:rFonts w:asciiTheme="minorHAnsi" w:hAnsiTheme="minorHAnsi"/>
                <w:sz w:val="16"/>
                <w:szCs w:val="14"/>
              </w:rPr>
            </w:pPr>
            <w:r w:rsidRPr="00C2292B">
              <w:rPr>
                <w:sz w:val="16"/>
                <w:szCs w:val="18"/>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0A490BF9" w14:textId="77777777" w:rsidR="00B56301" w:rsidRPr="002010BD" w:rsidRDefault="00B56301" w:rsidP="00B37B65">
            <w:pPr>
              <w:jc w:val="right"/>
              <w:rPr>
                <w:rFonts w:asciiTheme="minorHAnsi" w:hAnsiTheme="minorHAnsi"/>
                <w:sz w:val="16"/>
                <w:szCs w:val="14"/>
              </w:rPr>
            </w:pPr>
            <w:r w:rsidRPr="00C2292B">
              <w:rPr>
                <w:sz w:val="16"/>
                <w:szCs w:val="18"/>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2F5D02EF" w14:textId="77777777" w:rsidR="00B56301" w:rsidRPr="002010BD" w:rsidRDefault="00B56301" w:rsidP="00B37B65">
            <w:pPr>
              <w:jc w:val="right"/>
              <w:rPr>
                <w:rFonts w:asciiTheme="minorHAnsi" w:hAnsiTheme="minorHAnsi"/>
                <w:sz w:val="16"/>
                <w:szCs w:val="14"/>
              </w:rPr>
            </w:pPr>
            <w:r w:rsidRPr="00C2292B">
              <w:rPr>
                <w:sz w:val="16"/>
                <w:szCs w:val="18"/>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1E465C80" w14:textId="77777777" w:rsidR="00B56301" w:rsidRPr="002010BD" w:rsidRDefault="00B56301" w:rsidP="00B37B65">
            <w:pPr>
              <w:jc w:val="right"/>
              <w:rPr>
                <w:rFonts w:asciiTheme="minorHAnsi" w:hAnsiTheme="minorHAnsi"/>
                <w:sz w:val="16"/>
                <w:szCs w:val="14"/>
              </w:rPr>
            </w:pPr>
            <w:r w:rsidRPr="00C2292B">
              <w:rPr>
                <w:sz w:val="16"/>
                <w:szCs w:val="18"/>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0C574D88" w14:textId="77777777" w:rsidR="00B56301" w:rsidRPr="002010BD" w:rsidRDefault="00B56301" w:rsidP="00B37B65">
            <w:pPr>
              <w:jc w:val="right"/>
              <w:rPr>
                <w:rFonts w:asciiTheme="minorHAnsi" w:hAnsiTheme="minorHAnsi"/>
                <w:sz w:val="16"/>
                <w:szCs w:val="14"/>
              </w:rPr>
            </w:pPr>
            <w:r w:rsidRPr="00C2292B">
              <w:rPr>
                <w:sz w:val="16"/>
                <w:szCs w:val="18"/>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0C460246" w14:textId="77777777" w:rsidR="00B56301" w:rsidRPr="002010BD" w:rsidRDefault="00B56301" w:rsidP="00B37B65">
            <w:pPr>
              <w:jc w:val="right"/>
              <w:rPr>
                <w:rFonts w:asciiTheme="minorHAnsi" w:hAnsiTheme="minorHAnsi"/>
                <w:sz w:val="16"/>
                <w:szCs w:val="14"/>
              </w:rPr>
            </w:pPr>
            <w:r w:rsidRPr="00C2292B">
              <w:rPr>
                <w:sz w:val="16"/>
                <w:szCs w:val="18"/>
              </w:rPr>
              <w:t>1,35</w:t>
            </w:r>
          </w:p>
        </w:tc>
      </w:tr>
      <w:tr w:rsidR="00B56301" w:rsidRPr="00C2292B" w14:paraId="58DBFEA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113044" w14:textId="44477156"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87581BC" w14:textId="77777777" w:rsidR="00B56301" w:rsidRPr="002010BD" w:rsidRDefault="00B56301" w:rsidP="00B37B65">
            <w:pPr>
              <w:jc w:val="right"/>
              <w:rPr>
                <w:rFonts w:asciiTheme="minorHAnsi" w:hAnsiTheme="minorHAnsi"/>
                <w:sz w:val="16"/>
                <w:szCs w:val="14"/>
              </w:rPr>
            </w:pPr>
            <w:r w:rsidRPr="00C2292B">
              <w:rPr>
                <w:sz w:val="16"/>
                <w:szCs w:val="18"/>
              </w:rPr>
              <w:t>4,16</w:t>
            </w:r>
          </w:p>
        </w:tc>
        <w:tc>
          <w:tcPr>
            <w:tcW w:w="991" w:type="dxa"/>
            <w:tcBorders>
              <w:top w:val="nil"/>
              <w:left w:val="nil"/>
              <w:bottom w:val="single" w:sz="4" w:space="0" w:color="auto"/>
              <w:right w:val="single" w:sz="4" w:space="0" w:color="auto"/>
            </w:tcBorders>
            <w:shd w:val="clear" w:color="000000" w:fill="FFFFFF"/>
            <w:noWrap/>
            <w:vAlign w:val="bottom"/>
            <w:hideMark/>
          </w:tcPr>
          <w:p w14:paraId="2EFEEBC1" w14:textId="77777777" w:rsidR="00B56301" w:rsidRPr="002010BD" w:rsidRDefault="00B56301" w:rsidP="00B37B65">
            <w:pPr>
              <w:jc w:val="right"/>
              <w:rPr>
                <w:rFonts w:asciiTheme="minorHAnsi" w:hAnsiTheme="minorHAnsi"/>
                <w:sz w:val="16"/>
                <w:szCs w:val="14"/>
              </w:rPr>
            </w:pPr>
            <w:r w:rsidRPr="00C2292B">
              <w:rPr>
                <w:sz w:val="16"/>
                <w:szCs w:val="18"/>
              </w:rPr>
              <w:t>4,22</w:t>
            </w:r>
          </w:p>
        </w:tc>
        <w:tc>
          <w:tcPr>
            <w:tcW w:w="991" w:type="dxa"/>
            <w:tcBorders>
              <w:top w:val="nil"/>
              <w:left w:val="nil"/>
              <w:bottom w:val="single" w:sz="4" w:space="0" w:color="auto"/>
              <w:right w:val="single" w:sz="4" w:space="0" w:color="auto"/>
            </w:tcBorders>
            <w:shd w:val="clear" w:color="000000" w:fill="FFFFFF"/>
            <w:noWrap/>
            <w:vAlign w:val="bottom"/>
            <w:hideMark/>
          </w:tcPr>
          <w:p w14:paraId="04A71885" w14:textId="77777777" w:rsidR="00B56301" w:rsidRPr="002010BD" w:rsidRDefault="00B56301" w:rsidP="00B37B65">
            <w:pPr>
              <w:jc w:val="right"/>
              <w:rPr>
                <w:rFonts w:asciiTheme="minorHAnsi" w:hAnsiTheme="minorHAnsi"/>
                <w:sz w:val="16"/>
                <w:szCs w:val="14"/>
              </w:rPr>
            </w:pPr>
            <w:r w:rsidRPr="00C2292B">
              <w:rPr>
                <w:sz w:val="16"/>
                <w:szCs w:val="18"/>
              </w:rPr>
              <w:t>4,02</w:t>
            </w:r>
          </w:p>
        </w:tc>
        <w:tc>
          <w:tcPr>
            <w:tcW w:w="991" w:type="dxa"/>
            <w:tcBorders>
              <w:top w:val="nil"/>
              <w:left w:val="nil"/>
              <w:bottom w:val="single" w:sz="4" w:space="0" w:color="auto"/>
              <w:right w:val="single" w:sz="4" w:space="0" w:color="auto"/>
            </w:tcBorders>
            <w:shd w:val="clear" w:color="000000" w:fill="FFFFFF"/>
            <w:noWrap/>
            <w:vAlign w:val="bottom"/>
            <w:hideMark/>
          </w:tcPr>
          <w:p w14:paraId="19644BC9" w14:textId="77777777" w:rsidR="00B56301" w:rsidRPr="002010BD" w:rsidRDefault="00B56301" w:rsidP="00B37B65">
            <w:pPr>
              <w:jc w:val="right"/>
              <w:rPr>
                <w:rFonts w:asciiTheme="minorHAnsi" w:hAnsiTheme="minorHAnsi"/>
                <w:sz w:val="16"/>
                <w:szCs w:val="14"/>
              </w:rPr>
            </w:pPr>
            <w:r w:rsidRPr="00C2292B">
              <w:rPr>
                <w:sz w:val="16"/>
                <w:szCs w:val="18"/>
              </w:rPr>
              <w:t>4,68</w:t>
            </w:r>
          </w:p>
        </w:tc>
        <w:tc>
          <w:tcPr>
            <w:tcW w:w="991" w:type="dxa"/>
            <w:tcBorders>
              <w:top w:val="nil"/>
              <w:left w:val="nil"/>
              <w:bottom w:val="single" w:sz="4" w:space="0" w:color="auto"/>
              <w:right w:val="single" w:sz="4" w:space="0" w:color="auto"/>
            </w:tcBorders>
            <w:shd w:val="clear" w:color="000000" w:fill="FFFFFF"/>
            <w:noWrap/>
            <w:vAlign w:val="bottom"/>
            <w:hideMark/>
          </w:tcPr>
          <w:p w14:paraId="37BC0A9A" w14:textId="77777777" w:rsidR="00B56301" w:rsidRPr="002010BD" w:rsidRDefault="00B56301" w:rsidP="00B37B65">
            <w:pPr>
              <w:jc w:val="right"/>
              <w:rPr>
                <w:rFonts w:asciiTheme="minorHAnsi" w:hAnsiTheme="minorHAnsi"/>
                <w:sz w:val="16"/>
                <w:szCs w:val="14"/>
              </w:rPr>
            </w:pPr>
            <w:r w:rsidRPr="00C2292B">
              <w:rPr>
                <w:sz w:val="16"/>
                <w:szCs w:val="18"/>
              </w:rPr>
              <w:t>3,78</w:t>
            </w:r>
          </w:p>
        </w:tc>
        <w:tc>
          <w:tcPr>
            <w:tcW w:w="991" w:type="dxa"/>
            <w:tcBorders>
              <w:top w:val="nil"/>
              <w:left w:val="nil"/>
              <w:bottom w:val="single" w:sz="4" w:space="0" w:color="auto"/>
              <w:right w:val="single" w:sz="4" w:space="0" w:color="auto"/>
            </w:tcBorders>
            <w:shd w:val="clear" w:color="000000" w:fill="FFFFFF"/>
            <w:noWrap/>
            <w:vAlign w:val="bottom"/>
            <w:hideMark/>
          </w:tcPr>
          <w:p w14:paraId="43EF92B5" w14:textId="77777777" w:rsidR="00B56301" w:rsidRPr="002010BD" w:rsidRDefault="00B56301" w:rsidP="00B37B65">
            <w:pPr>
              <w:jc w:val="right"/>
              <w:rPr>
                <w:rFonts w:asciiTheme="minorHAnsi" w:hAnsiTheme="minorHAnsi"/>
                <w:sz w:val="16"/>
                <w:szCs w:val="14"/>
              </w:rPr>
            </w:pPr>
            <w:r w:rsidRPr="00C2292B">
              <w:rPr>
                <w:sz w:val="16"/>
                <w:szCs w:val="18"/>
              </w:rPr>
              <w:t>3,79</w:t>
            </w:r>
          </w:p>
        </w:tc>
      </w:tr>
      <w:tr w:rsidR="00B56301" w:rsidRPr="00C2292B" w14:paraId="535608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C4F86E" w14:textId="03D3DB05"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17B4A6F" w14:textId="77777777" w:rsidR="00B56301" w:rsidRPr="002010BD" w:rsidRDefault="00B56301" w:rsidP="00B37B65">
            <w:pPr>
              <w:jc w:val="right"/>
              <w:rPr>
                <w:rFonts w:asciiTheme="minorHAnsi" w:hAnsiTheme="minorHAnsi"/>
                <w:sz w:val="16"/>
                <w:szCs w:val="14"/>
              </w:rPr>
            </w:pPr>
            <w:r w:rsidRPr="00C2292B">
              <w:rPr>
                <w:sz w:val="16"/>
                <w:szCs w:val="18"/>
              </w:rPr>
              <w:t>12,95</w:t>
            </w:r>
          </w:p>
        </w:tc>
        <w:tc>
          <w:tcPr>
            <w:tcW w:w="991" w:type="dxa"/>
            <w:tcBorders>
              <w:top w:val="nil"/>
              <w:left w:val="nil"/>
              <w:bottom w:val="single" w:sz="4" w:space="0" w:color="auto"/>
              <w:right w:val="single" w:sz="4" w:space="0" w:color="auto"/>
            </w:tcBorders>
            <w:shd w:val="clear" w:color="000000" w:fill="FFFFFF"/>
            <w:noWrap/>
            <w:vAlign w:val="bottom"/>
            <w:hideMark/>
          </w:tcPr>
          <w:p w14:paraId="31E36030" w14:textId="77777777" w:rsidR="00B56301" w:rsidRPr="002010BD" w:rsidRDefault="00B56301" w:rsidP="00B37B65">
            <w:pPr>
              <w:jc w:val="right"/>
              <w:rPr>
                <w:rFonts w:asciiTheme="minorHAnsi" w:hAnsiTheme="minorHAnsi"/>
                <w:sz w:val="16"/>
                <w:szCs w:val="14"/>
              </w:rPr>
            </w:pPr>
            <w:r w:rsidRPr="00C2292B">
              <w:rPr>
                <w:sz w:val="16"/>
                <w:szCs w:val="18"/>
              </w:rPr>
              <w:t>11,22</w:t>
            </w:r>
          </w:p>
        </w:tc>
        <w:tc>
          <w:tcPr>
            <w:tcW w:w="991" w:type="dxa"/>
            <w:tcBorders>
              <w:top w:val="nil"/>
              <w:left w:val="nil"/>
              <w:bottom w:val="single" w:sz="4" w:space="0" w:color="auto"/>
              <w:right w:val="single" w:sz="4" w:space="0" w:color="auto"/>
            </w:tcBorders>
            <w:shd w:val="clear" w:color="000000" w:fill="FFFFFF"/>
            <w:noWrap/>
            <w:vAlign w:val="bottom"/>
            <w:hideMark/>
          </w:tcPr>
          <w:p w14:paraId="7AEDDF6F" w14:textId="77777777" w:rsidR="00B56301" w:rsidRPr="002010BD" w:rsidRDefault="00B56301" w:rsidP="00B37B65">
            <w:pPr>
              <w:jc w:val="right"/>
              <w:rPr>
                <w:rFonts w:asciiTheme="minorHAnsi" w:hAnsiTheme="minorHAnsi"/>
                <w:sz w:val="16"/>
                <w:szCs w:val="14"/>
              </w:rPr>
            </w:pPr>
            <w:r w:rsidRPr="00C2292B">
              <w:rPr>
                <w:sz w:val="16"/>
                <w:szCs w:val="18"/>
              </w:rPr>
              <w:t>10,18</w:t>
            </w:r>
          </w:p>
        </w:tc>
        <w:tc>
          <w:tcPr>
            <w:tcW w:w="991" w:type="dxa"/>
            <w:tcBorders>
              <w:top w:val="nil"/>
              <w:left w:val="nil"/>
              <w:bottom w:val="single" w:sz="4" w:space="0" w:color="auto"/>
              <w:right w:val="single" w:sz="4" w:space="0" w:color="auto"/>
            </w:tcBorders>
            <w:shd w:val="clear" w:color="000000" w:fill="FFFFFF"/>
            <w:noWrap/>
            <w:vAlign w:val="bottom"/>
            <w:hideMark/>
          </w:tcPr>
          <w:p w14:paraId="12A1A8E7" w14:textId="77777777" w:rsidR="00B56301" w:rsidRPr="002010BD" w:rsidRDefault="00B56301" w:rsidP="00B37B65">
            <w:pPr>
              <w:jc w:val="right"/>
              <w:rPr>
                <w:rFonts w:asciiTheme="minorHAnsi" w:hAnsiTheme="minorHAnsi"/>
                <w:sz w:val="16"/>
                <w:szCs w:val="14"/>
              </w:rPr>
            </w:pPr>
            <w:r w:rsidRPr="00C2292B">
              <w:rPr>
                <w:sz w:val="16"/>
                <w:szCs w:val="18"/>
              </w:rPr>
              <w:t>9,29</w:t>
            </w:r>
          </w:p>
        </w:tc>
        <w:tc>
          <w:tcPr>
            <w:tcW w:w="991" w:type="dxa"/>
            <w:tcBorders>
              <w:top w:val="nil"/>
              <w:left w:val="nil"/>
              <w:bottom w:val="single" w:sz="4" w:space="0" w:color="auto"/>
              <w:right w:val="single" w:sz="4" w:space="0" w:color="auto"/>
            </w:tcBorders>
            <w:shd w:val="clear" w:color="000000" w:fill="FFFFFF"/>
            <w:noWrap/>
            <w:vAlign w:val="bottom"/>
            <w:hideMark/>
          </w:tcPr>
          <w:p w14:paraId="5ED957E5" w14:textId="77777777" w:rsidR="00B56301" w:rsidRPr="002010BD" w:rsidRDefault="00B56301" w:rsidP="00B37B65">
            <w:pPr>
              <w:jc w:val="right"/>
              <w:rPr>
                <w:rFonts w:asciiTheme="minorHAnsi" w:hAnsiTheme="minorHAnsi"/>
                <w:sz w:val="16"/>
                <w:szCs w:val="14"/>
              </w:rPr>
            </w:pPr>
            <w:r w:rsidRPr="00C2292B">
              <w:rPr>
                <w:sz w:val="16"/>
                <w:szCs w:val="18"/>
              </w:rPr>
              <w:t>8,53</w:t>
            </w:r>
          </w:p>
        </w:tc>
        <w:tc>
          <w:tcPr>
            <w:tcW w:w="991" w:type="dxa"/>
            <w:tcBorders>
              <w:top w:val="nil"/>
              <w:left w:val="nil"/>
              <w:bottom w:val="single" w:sz="4" w:space="0" w:color="auto"/>
              <w:right w:val="single" w:sz="4" w:space="0" w:color="auto"/>
            </w:tcBorders>
            <w:shd w:val="clear" w:color="000000" w:fill="FFFFFF"/>
            <w:noWrap/>
            <w:vAlign w:val="bottom"/>
            <w:hideMark/>
          </w:tcPr>
          <w:p w14:paraId="530DCBF3" w14:textId="77777777" w:rsidR="00B56301" w:rsidRPr="002010BD" w:rsidRDefault="00B56301" w:rsidP="00B37B65">
            <w:pPr>
              <w:jc w:val="right"/>
              <w:rPr>
                <w:rFonts w:asciiTheme="minorHAnsi" w:hAnsiTheme="minorHAnsi"/>
                <w:sz w:val="16"/>
                <w:szCs w:val="14"/>
              </w:rPr>
            </w:pPr>
            <w:r w:rsidRPr="00C2292B">
              <w:rPr>
                <w:sz w:val="16"/>
                <w:szCs w:val="18"/>
              </w:rPr>
              <w:t>7,88</w:t>
            </w:r>
          </w:p>
        </w:tc>
      </w:tr>
      <w:tr w:rsidR="00B56301" w:rsidRPr="00C2292B" w14:paraId="4A98E0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8B9E85" w14:textId="7185FC12"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554D19C6" w14:textId="77777777" w:rsidR="00B56301" w:rsidRPr="002010BD" w:rsidRDefault="00B56301" w:rsidP="00B37B65">
            <w:pPr>
              <w:jc w:val="right"/>
              <w:rPr>
                <w:rFonts w:asciiTheme="minorHAnsi" w:hAnsiTheme="minorHAnsi"/>
                <w:sz w:val="16"/>
                <w:szCs w:val="14"/>
              </w:rPr>
            </w:pPr>
            <w:r w:rsidRPr="00C2292B">
              <w:rPr>
                <w:sz w:val="16"/>
                <w:szCs w:val="18"/>
              </w:rPr>
              <w:t>75,07</w:t>
            </w:r>
          </w:p>
        </w:tc>
        <w:tc>
          <w:tcPr>
            <w:tcW w:w="991" w:type="dxa"/>
            <w:tcBorders>
              <w:top w:val="nil"/>
              <w:left w:val="nil"/>
              <w:bottom w:val="single" w:sz="4" w:space="0" w:color="auto"/>
              <w:right w:val="single" w:sz="4" w:space="0" w:color="auto"/>
            </w:tcBorders>
            <w:shd w:val="clear" w:color="000000" w:fill="FFFFFF"/>
            <w:noWrap/>
            <w:vAlign w:val="bottom"/>
            <w:hideMark/>
          </w:tcPr>
          <w:p w14:paraId="09E2A962" w14:textId="77777777" w:rsidR="00B56301" w:rsidRPr="002010BD" w:rsidRDefault="00B56301" w:rsidP="00B37B65">
            <w:pPr>
              <w:jc w:val="right"/>
              <w:rPr>
                <w:rFonts w:asciiTheme="minorHAnsi" w:hAnsiTheme="minorHAnsi"/>
                <w:sz w:val="16"/>
                <w:szCs w:val="14"/>
              </w:rPr>
            </w:pPr>
            <w:r w:rsidRPr="00C2292B">
              <w:rPr>
                <w:sz w:val="16"/>
                <w:szCs w:val="18"/>
              </w:rPr>
              <w:t>73,94</w:t>
            </w:r>
          </w:p>
        </w:tc>
        <w:tc>
          <w:tcPr>
            <w:tcW w:w="991" w:type="dxa"/>
            <w:tcBorders>
              <w:top w:val="nil"/>
              <w:left w:val="nil"/>
              <w:bottom w:val="single" w:sz="4" w:space="0" w:color="auto"/>
              <w:right w:val="single" w:sz="4" w:space="0" w:color="auto"/>
            </w:tcBorders>
            <w:shd w:val="clear" w:color="000000" w:fill="FFFFFF"/>
            <w:noWrap/>
            <w:vAlign w:val="bottom"/>
            <w:hideMark/>
          </w:tcPr>
          <w:p w14:paraId="5788D005" w14:textId="77777777" w:rsidR="00B56301" w:rsidRPr="002010BD" w:rsidRDefault="00B56301" w:rsidP="00B37B65">
            <w:pPr>
              <w:jc w:val="right"/>
              <w:rPr>
                <w:rFonts w:asciiTheme="minorHAnsi" w:hAnsiTheme="minorHAnsi"/>
                <w:sz w:val="16"/>
                <w:szCs w:val="14"/>
              </w:rPr>
            </w:pPr>
            <w:r w:rsidRPr="00C2292B">
              <w:rPr>
                <w:sz w:val="16"/>
                <w:szCs w:val="18"/>
              </w:rPr>
              <w:t>69,48</w:t>
            </w:r>
          </w:p>
        </w:tc>
        <w:tc>
          <w:tcPr>
            <w:tcW w:w="991" w:type="dxa"/>
            <w:tcBorders>
              <w:top w:val="nil"/>
              <w:left w:val="nil"/>
              <w:bottom w:val="single" w:sz="4" w:space="0" w:color="auto"/>
              <w:right w:val="single" w:sz="4" w:space="0" w:color="auto"/>
            </w:tcBorders>
            <w:shd w:val="clear" w:color="000000" w:fill="FFFFFF"/>
            <w:noWrap/>
            <w:vAlign w:val="bottom"/>
            <w:hideMark/>
          </w:tcPr>
          <w:p w14:paraId="36A12B3B" w14:textId="77777777" w:rsidR="00B56301" w:rsidRPr="002010BD" w:rsidRDefault="00B56301" w:rsidP="00B37B65">
            <w:pPr>
              <w:jc w:val="right"/>
              <w:rPr>
                <w:rFonts w:asciiTheme="minorHAnsi" w:hAnsiTheme="minorHAnsi"/>
                <w:sz w:val="16"/>
                <w:szCs w:val="14"/>
              </w:rPr>
            </w:pPr>
            <w:r w:rsidRPr="00C2292B">
              <w:rPr>
                <w:sz w:val="16"/>
                <w:szCs w:val="18"/>
              </w:rPr>
              <w:t>71,14</w:t>
            </w:r>
          </w:p>
        </w:tc>
        <w:tc>
          <w:tcPr>
            <w:tcW w:w="991" w:type="dxa"/>
            <w:tcBorders>
              <w:top w:val="nil"/>
              <w:left w:val="nil"/>
              <w:bottom w:val="single" w:sz="4" w:space="0" w:color="auto"/>
              <w:right w:val="single" w:sz="4" w:space="0" w:color="auto"/>
            </w:tcBorders>
            <w:shd w:val="clear" w:color="000000" w:fill="FFFFFF"/>
            <w:noWrap/>
            <w:vAlign w:val="bottom"/>
            <w:hideMark/>
          </w:tcPr>
          <w:p w14:paraId="600440FC" w14:textId="77777777" w:rsidR="00B56301" w:rsidRPr="002010BD" w:rsidRDefault="00B56301" w:rsidP="00B37B65">
            <w:pPr>
              <w:jc w:val="right"/>
              <w:rPr>
                <w:rFonts w:asciiTheme="minorHAnsi" w:hAnsiTheme="minorHAnsi"/>
                <w:sz w:val="16"/>
                <w:szCs w:val="14"/>
              </w:rPr>
            </w:pPr>
            <w:r w:rsidRPr="00C2292B">
              <w:rPr>
                <w:sz w:val="16"/>
                <w:szCs w:val="18"/>
              </w:rPr>
              <w:t>54,72</w:t>
            </w:r>
          </w:p>
        </w:tc>
        <w:tc>
          <w:tcPr>
            <w:tcW w:w="991" w:type="dxa"/>
            <w:tcBorders>
              <w:top w:val="nil"/>
              <w:left w:val="nil"/>
              <w:bottom w:val="single" w:sz="4" w:space="0" w:color="auto"/>
              <w:right w:val="single" w:sz="4" w:space="0" w:color="auto"/>
            </w:tcBorders>
            <w:shd w:val="clear" w:color="000000" w:fill="FFFFFF"/>
            <w:noWrap/>
            <w:vAlign w:val="bottom"/>
            <w:hideMark/>
          </w:tcPr>
          <w:p w14:paraId="1E3DF97D" w14:textId="77777777" w:rsidR="00B56301" w:rsidRPr="002010BD" w:rsidRDefault="00B56301" w:rsidP="00B37B65">
            <w:pPr>
              <w:jc w:val="right"/>
              <w:rPr>
                <w:rFonts w:asciiTheme="minorHAnsi" w:hAnsiTheme="minorHAnsi"/>
                <w:sz w:val="16"/>
                <w:szCs w:val="14"/>
              </w:rPr>
            </w:pPr>
            <w:r w:rsidRPr="00C2292B">
              <w:rPr>
                <w:sz w:val="16"/>
                <w:szCs w:val="18"/>
              </w:rPr>
              <w:t>60,30</w:t>
            </w:r>
          </w:p>
        </w:tc>
      </w:tr>
      <w:tr w:rsidR="00B56301" w:rsidRPr="00C2292B" w14:paraId="4D3FBC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DB939A" w14:textId="3C2433A7"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33BA6292" w14:textId="77777777" w:rsidR="00B56301" w:rsidRPr="002010BD" w:rsidRDefault="00B56301" w:rsidP="00B37B65">
            <w:pPr>
              <w:jc w:val="right"/>
              <w:rPr>
                <w:rFonts w:asciiTheme="minorHAnsi" w:hAnsiTheme="minorHAnsi"/>
                <w:sz w:val="16"/>
                <w:szCs w:val="14"/>
              </w:rPr>
            </w:pPr>
            <w:r w:rsidRPr="00C2292B">
              <w:rPr>
                <w:sz w:val="16"/>
                <w:szCs w:val="18"/>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10645CE6" w14:textId="77777777" w:rsidR="00B56301" w:rsidRPr="002010BD" w:rsidRDefault="00B56301" w:rsidP="00B37B65">
            <w:pPr>
              <w:jc w:val="right"/>
              <w:rPr>
                <w:rFonts w:asciiTheme="minorHAnsi" w:hAnsiTheme="minorHAnsi"/>
                <w:sz w:val="16"/>
                <w:szCs w:val="14"/>
              </w:rPr>
            </w:pPr>
            <w:r w:rsidRPr="00C2292B">
              <w:rPr>
                <w:sz w:val="16"/>
                <w:szCs w:val="18"/>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754C9F92" w14:textId="77777777" w:rsidR="00B56301" w:rsidRPr="002010BD" w:rsidRDefault="00B56301" w:rsidP="00B37B65">
            <w:pPr>
              <w:jc w:val="right"/>
              <w:rPr>
                <w:rFonts w:asciiTheme="minorHAnsi" w:hAnsiTheme="minorHAnsi"/>
                <w:sz w:val="16"/>
                <w:szCs w:val="14"/>
              </w:rPr>
            </w:pPr>
            <w:r w:rsidRPr="00C2292B">
              <w:rPr>
                <w:sz w:val="16"/>
                <w:szCs w:val="18"/>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179290D6" w14:textId="77777777" w:rsidR="00B56301" w:rsidRPr="002010BD" w:rsidRDefault="00B56301" w:rsidP="00B37B65">
            <w:pPr>
              <w:jc w:val="right"/>
              <w:rPr>
                <w:rFonts w:asciiTheme="minorHAnsi" w:hAnsiTheme="minorHAnsi"/>
                <w:sz w:val="16"/>
                <w:szCs w:val="14"/>
              </w:rPr>
            </w:pPr>
            <w:r w:rsidRPr="00C2292B">
              <w:rPr>
                <w:sz w:val="16"/>
                <w:szCs w:val="18"/>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6CCB31B0" w14:textId="77777777" w:rsidR="00B56301" w:rsidRPr="002010BD" w:rsidRDefault="00B56301" w:rsidP="00B37B65">
            <w:pPr>
              <w:jc w:val="right"/>
              <w:rPr>
                <w:rFonts w:asciiTheme="minorHAnsi" w:hAnsiTheme="minorHAnsi"/>
                <w:sz w:val="16"/>
                <w:szCs w:val="14"/>
              </w:rPr>
            </w:pPr>
            <w:r w:rsidRPr="00C2292B">
              <w:rPr>
                <w:sz w:val="16"/>
                <w:szCs w:val="18"/>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A3E25DF" w14:textId="77777777" w:rsidR="00B56301" w:rsidRPr="002010BD" w:rsidRDefault="00B56301" w:rsidP="00B37B65">
            <w:pPr>
              <w:jc w:val="right"/>
              <w:rPr>
                <w:rFonts w:asciiTheme="minorHAnsi" w:hAnsiTheme="minorHAnsi"/>
                <w:sz w:val="16"/>
                <w:szCs w:val="14"/>
              </w:rPr>
            </w:pPr>
            <w:r w:rsidRPr="00C2292B">
              <w:rPr>
                <w:sz w:val="16"/>
                <w:szCs w:val="18"/>
              </w:rPr>
              <w:t>0,12</w:t>
            </w:r>
          </w:p>
        </w:tc>
      </w:tr>
      <w:tr w:rsidR="00B56301" w:rsidRPr="00C2292B" w14:paraId="434527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2D327D"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5DF6AD6A" w14:textId="77777777" w:rsidR="00B56301" w:rsidRPr="002010BD" w:rsidRDefault="00B56301" w:rsidP="00B37B65">
            <w:pPr>
              <w:jc w:val="right"/>
              <w:rPr>
                <w:rFonts w:asciiTheme="minorHAnsi" w:hAnsiTheme="minorHAnsi"/>
                <w:sz w:val="16"/>
                <w:szCs w:val="14"/>
              </w:rPr>
            </w:pPr>
            <w:r w:rsidRPr="00C2292B">
              <w:rPr>
                <w:sz w:val="16"/>
                <w:szCs w:val="18"/>
              </w:rPr>
              <w:t>59,07</w:t>
            </w:r>
          </w:p>
        </w:tc>
        <w:tc>
          <w:tcPr>
            <w:tcW w:w="991" w:type="dxa"/>
            <w:tcBorders>
              <w:top w:val="nil"/>
              <w:left w:val="nil"/>
              <w:bottom w:val="single" w:sz="4" w:space="0" w:color="auto"/>
              <w:right w:val="single" w:sz="4" w:space="0" w:color="auto"/>
            </w:tcBorders>
            <w:shd w:val="clear" w:color="000000" w:fill="CCFFFF"/>
            <w:noWrap/>
            <w:vAlign w:val="bottom"/>
            <w:hideMark/>
          </w:tcPr>
          <w:p w14:paraId="5B67AAB3" w14:textId="77777777" w:rsidR="00B56301" w:rsidRPr="002010BD" w:rsidRDefault="00B56301" w:rsidP="00B37B65">
            <w:pPr>
              <w:jc w:val="right"/>
              <w:rPr>
                <w:rFonts w:asciiTheme="minorHAnsi" w:hAnsiTheme="minorHAnsi"/>
                <w:sz w:val="16"/>
                <w:szCs w:val="14"/>
              </w:rPr>
            </w:pPr>
            <w:r w:rsidRPr="00C2292B">
              <w:rPr>
                <w:sz w:val="16"/>
                <w:szCs w:val="18"/>
              </w:rPr>
              <w:t>58,95</w:t>
            </w:r>
          </w:p>
        </w:tc>
        <w:tc>
          <w:tcPr>
            <w:tcW w:w="991" w:type="dxa"/>
            <w:tcBorders>
              <w:top w:val="nil"/>
              <w:left w:val="nil"/>
              <w:bottom w:val="single" w:sz="4" w:space="0" w:color="auto"/>
              <w:right w:val="single" w:sz="4" w:space="0" w:color="auto"/>
            </w:tcBorders>
            <w:shd w:val="clear" w:color="000000" w:fill="CCFFFF"/>
            <w:noWrap/>
            <w:vAlign w:val="bottom"/>
            <w:hideMark/>
          </w:tcPr>
          <w:p w14:paraId="330C8426" w14:textId="77777777" w:rsidR="00B56301" w:rsidRPr="002010BD" w:rsidRDefault="00B56301" w:rsidP="00B37B65">
            <w:pPr>
              <w:jc w:val="right"/>
              <w:rPr>
                <w:rFonts w:asciiTheme="minorHAnsi" w:hAnsiTheme="minorHAnsi"/>
                <w:sz w:val="16"/>
                <w:szCs w:val="14"/>
              </w:rPr>
            </w:pPr>
            <w:r w:rsidRPr="00C2292B">
              <w:rPr>
                <w:sz w:val="16"/>
                <w:szCs w:val="18"/>
              </w:rPr>
              <w:t>58,69</w:t>
            </w:r>
          </w:p>
        </w:tc>
        <w:tc>
          <w:tcPr>
            <w:tcW w:w="991" w:type="dxa"/>
            <w:tcBorders>
              <w:top w:val="nil"/>
              <w:left w:val="nil"/>
              <w:bottom w:val="single" w:sz="4" w:space="0" w:color="auto"/>
              <w:right w:val="single" w:sz="4" w:space="0" w:color="auto"/>
            </w:tcBorders>
            <w:shd w:val="clear" w:color="000000" w:fill="CCFFFF"/>
            <w:noWrap/>
            <w:vAlign w:val="bottom"/>
            <w:hideMark/>
          </w:tcPr>
          <w:p w14:paraId="02366799" w14:textId="77777777" w:rsidR="00B56301" w:rsidRPr="002010BD" w:rsidRDefault="00B56301" w:rsidP="00B37B65">
            <w:pPr>
              <w:jc w:val="right"/>
              <w:rPr>
                <w:rFonts w:asciiTheme="minorHAnsi" w:hAnsiTheme="minorHAnsi"/>
                <w:sz w:val="16"/>
                <w:szCs w:val="14"/>
              </w:rPr>
            </w:pPr>
            <w:r w:rsidRPr="00C2292B">
              <w:rPr>
                <w:sz w:val="16"/>
                <w:szCs w:val="18"/>
              </w:rPr>
              <w:t>61,43</w:t>
            </w:r>
          </w:p>
        </w:tc>
        <w:tc>
          <w:tcPr>
            <w:tcW w:w="991" w:type="dxa"/>
            <w:tcBorders>
              <w:top w:val="nil"/>
              <w:left w:val="nil"/>
              <w:bottom w:val="single" w:sz="4" w:space="0" w:color="auto"/>
              <w:right w:val="single" w:sz="4" w:space="0" w:color="auto"/>
            </w:tcBorders>
            <w:shd w:val="clear" w:color="000000" w:fill="CCFFFF"/>
            <w:noWrap/>
            <w:vAlign w:val="bottom"/>
            <w:hideMark/>
          </w:tcPr>
          <w:p w14:paraId="7C30F820" w14:textId="77777777" w:rsidR="00B56301" w:rsidRPr="002010BD" w:rsidRDefault="00B56301" w:rsidP="00B37B65">
            <w:pPr>
              <w:jc w:val="right"/>
              <w:rPr>
                <w:rFonts w:asciiTheme="minorHAnsi" w:hAnsiTheme="minorHAnsi"/>
                <w:sz w:val="16"/>
                <w:szCs w:val="14"/>
              </w:rPr>
            </w:pPr>
            <w:r w:rsidRPr="00C2292B">
              <w:rPr>
                <w:sz w:val="16"/>
                <w:szCs w:val="18"/>
              </w:rPr>
              <w:t>58,43</w:t>
            </w:r>
          </w:p>
        </w:tc>
        <w:tc>
          <w:tcPr>
            <w:tcW w:w="991" w:type="dxa"/>
            <w:tcBorders>
              <w:top w:val="nil"/>
              <w:left w:val="nil"/>
              <w:bottom w:val="single" w:sz="4" w:space="0" w:color="auto"/>
              <w:right w:val="single" w:sz="4" w:space="0" w:color="auto"/>
            </w:tcBorders>
            <w:shd w:val="clear" w:color="000000" w:fill="CCFFFF"/>
            <w:noWrap/>
            <w:vAlign w:val="bottom"/>
            <w:hideMark/>
          </w:tcPr>
          <w:p w14:paraId="7DABCF85" w14:textId="77777777" w:rsidR="00B56301" w:rsidRPr="002010BD" w:rsidRDefault="00B56301" w:rsidP="00B37B65">
            <w:pPr>
              <w:jc w:val="right"/>
              <w:rPr>
                <w:rFonts w:asciiTheme="minorHAnsi" w:hAnsiTheme="minorHAnsi"/>
                <w:sz w:val="16"/>
                <w:szCs w:val="14"/>
              </w:rPr>
            </w:pPr>
            <w:r w:rsidRPr="00C2292B">
              <w:rPr>
                <w:sz w:val="16"/>
                <w:szCs w:val="18"/>
              </w:rPr>
              <w:t>57,08</w:t>
            </w:r>
          </w:p>
        </w:tc>
      </w:tr>
      <w:tr w:rsidR="00B56301" w:rsidRPr="00C2292B" w14:paraId="2335FC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153233" w14:textId="53DE63E9"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7B33ADFC" w14:textId="77777777" w:rsidR="00B56301" w:rsidRPr="002010BD" w:rsidRDefault="00B56301" w:rsidP="00B37B65">
            <w:pPr>
              <w:jc w:val="right"/>
              <w:rPr>
                <w:rFonts w:asciiTheme="minorHAnsi" w:hAnsiTheme="minorHAnsi"/>
                <w:sz w:val="16"/>
                <w:szCs w:val="14"/>
              </w:rPr>
            </w:pPr>
            <w:r w:rsidRPr="00C2292B">
              <w:rPr>
                <w:sz w:val="16"/>
                <w:szCs w:val="18"/>
              </w:rPr>
              <w:t>2,18</w:t>
            </w:r>
          </w:p>
        </w:tc>
        <w:tc>
          <w:tcPr>
            <w:tcW w:w="991" w:type="dxa"/>
            <w:tcBorders>
              <w:top w:val="nil"/>
              <w:left w:val="nil"/>
              <w:bottom w:val="single" w:sz="4" w:space="0" w:color="auto"/>
              <w:right w:val="single" w:sz="4" w:space="0" w:color="auto"/>
            </w:tcBorders>
            <w:shd w:val="clear" w:color="000000" w:fill="FFFFFF"/>
            <w:noWrap/>
            <w:vAlign w:val="bottom"/>
            <w:hideMark/>
          </w:tcPr>
          <w:p w14:paraId="08A68620" w14:textId="77777777" w:rsidR="00B56301" w:rsidRPr="002010BD" w:rsidRDefault="00B56301" w:rsidP="00B37B65">
            <w:pPr>
              <w:jc w:val="right"/>
              <w:rPr>
                <w:rFonts w:asciiTheme="minorHAnsi" w:hAnsiTheme="minorHAnsi"/>
                <w:sz w:val="16"/>
                <w:szCs w:val="14"/>
              </w:rPr>
            </w:pPr>
            <w:r w:rsidRPr="00C2292B">
              <w:rPr>
                <w:sz w:val="16"/>
                <w:szCs w:val="18"/>
              </w:rPr>
              <w:t>2,02</w:t>
            </w:r>
          </w:p>
        </w:tc>
        <w:tc>
          <w:tcPr>
            <w:tcW w:w="991" w:type="dxa"/>
            <w:tcBorders>
              <w:top w:val="nil"/>
              <w:left w:val="nil"/>
              <w:bottom w:val="single" w:sz="4" w:space="0" w:color="auto"/>
              <w:right w:val="single" w:sz="4" w:space="0" w:color="auto"/>
            </w:tcBorders>
            <w:shd w:val="clear" w:color="000000" w:fill="FFFFFF"/>
            <w:noWrap/>
            <w:vAlign w:val="bottom"/>
            <w:hideMark/>
          </w:tcPr>
          <w:p w14:paraId="77742A8D" w14:textId="77777777" w:rsidR="00B56301" w:rsidRPr="002010BD" w:rsidRDefault="00B56301" w:rsidP="00B37B65">
            <w:pPr>
              <w:jc w:val="right"/>
              <w:rPr>
                <w:rFonts w:asciiTheme="minorHAnsi" w:hAnsiTheme="minorHAnsi"/>
                <w:sz w:val="16"/>
                <w:szCs w:val="14"/>
              </w:rPr>
            </w:pPr>
            <w:r w:rsidRPr="00C2292B">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3E915484" w14:textId="77777777" w:rsidR="00B56301" w:rsidRPr="002010BD" w:rsidRDefault="00B56301" w:rsidP="00B37B65">
            <w:pPr>
              <w:jc w:val="right"/>
              <w:rPr>
                <w:rFonts w:asciiTheme="minorHAnsi" w:hAnsiTheme="minorHAnsi"/>
                <w:sz w:val="16"/>
                <w:szCs w:val="14"/>
              </w:rPr>
            </w:pPr>
            <w:r w:rsidRPr="00C2292B">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68641801" w14:textId="77777777" w:rsidR="00B56301" w:rsidRPr="002010BD" w:rsidRDefault="00B56301" w:rsidP="00B37B65">
            <w:pPr>
              <w:jc w:val="right"/>
              <w:rPr>
                <w:rFonts w:asciiTheme="minorHAnsi" w:hAnsiTheme="minorHAnsi"/>
                <w:sz w:val="16"/>
                <w:szCs w:val="14"/>
              </w:rPr>
            </w:pPr>
            <w:r w:rsidRPr="00C2292B">
              <w:rPr>
                <w:sz w:val="16"/>
                <w:szCs w:val="18"/>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62F9C636" w14:textId="77777777" w:rsidR="00B56301" w:rsidRPr="002010BD" w:rsidRDefault="00B56301" w:rsidP="00B37B65">
            <w:pPr>
              <w:jc w:val="right"/>
              <w:rPr>
                <w:rFonts w:asciiTheme="minorHAnsi" w:hAnsiTheme="minorHAnsi"/>
                <w:sz w:val="16"/>
                <w:szCs w:val="14"/>
              </w:rPr>
            </w:pPr>
            <w:r w:rsidRPr="00C2292B">
              <w:rPr>
                <w:sz w:val="16"/>
                <w:szCs w:val="18"/>
              </w:rPr>
              <w:t>0,64</w:t>
            </w:r>
          </w:p>
        </w:tc>
      </w:tr>
      <w:tr w:rsidR="00B56301" w:rsidRPr="00C2292B" w14:paraId="1E3682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1FEB41" w14:textId="15ABBE1C"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08910A89" w14:textId="77777777" w:rsidR="00B56301" w:rsidRPr="002010BD" w:rsidRDefault="00B56301" w:rsidP="00B37B65">
            <w:pPr>
              <w:jc w:val="right"/>
              <w:rPr>
                <w:rFonts w:asciiTheme="minorHAnsi" w:hAnsiTheme="minorHAnsi"/>
                <w:sz w:val="16"/>
                <w:szCs w:val="14"/>
              </w:rPr>
            </w:pPr>
            <w:r w:rsidRPr="00C2292B">
              <w:rPr>
                <w:sz w:val="16"/>
                <w:szCs w:val="18"/>
              </w:rPr>
              <w:t>56,89</w:t>
            </w:r>
          </w:p>
        </w:tc>
        <w:tc>
          <w:tcPr>
            <w:tcW w:w="991" w:type="dxa"/>
            <w:tcBorders>
              <w:top w:val="nil"/>
              <w:left w:val="nil"/>
              <w:bottom w:val="single" w:sz="4" w:space="0" w:color="auto"/>
              <w:right w:val="single" w:sz="4" w:space="0" w:color="auto"/>
            </w:tcBorders>
            <w:shd w:val="clear" w:color="000000" w:fill="FFFFFF"/>
            <w:noWrap/>
            <w:vAlign w:val="bottom"/>
            <w:hideMark/>
          </w:tcPr>
          <w:p w14:paraId="3F4DEF27" w14:textId="77777777" w:rsidR="00B56301" w:rsidRPr="002010BD" w:rsidRDefault="00B56301" w:rsidP="00B37B65">
            <w:pPr>
              <w:jc w:val="right"/>
              <w:rPr>
                <w:rFonts w:asciiTheme="minorHAnsi" w:hAnsiTheme="minorHAnsi"/>
                <w:sz w:val="16"/>
                <w:szCs w:val="14"/>
              </w:rPr>
            </w:pPr>
            <w:r w:rsidRPr="00C2292B">
              <w:rPr>
                <w:sz w:val="16"/>
                <w:szCs w:val="18"/>
              </w:rPr>
              <w:t>56,93</w:t>
            </w:r>
          </w:p>
        </w:tc>
        <w:tc>
          <w:tcPr>
            <w:tcW w:w="991" w:type="dxa"/>
            <w:tcBorders>
              <w:top w:val="nil"/>
              <w:left w:val="nil"/>
              <w:bottom w:val="single" w:sz="4" w:space="0" w:color="auto"/>
              <w:right w:val="single" w:sz="4" w:space="0" w:color="auto"/>
            </w:tcBorders>
            <w:shd w:val="clear" w:color="000000" w:fill="FFFFFF"/>
            <w:noWrap/>
            <w:vAlign w:val="bottom"/>
            <w:hideMark/>
          </w:tcPr>
          <w:p w14:paraId="2BDC8CA7" w14:textId="77777777" w:rsidR="00B56301" w:rsidRPr="002010BD" w:rsidRDefault="00B56301" w:rsidP="00B37B65">
            <w:pPr>
              <w:jc w:val="right"/>
              <w:rPr>
                <w:rFonts w:asciiTheme="minorHAnsi" w:hAnsiTheme="minorHAnsi"/>
                <w:sz w:val="16"/>
                <w:szCs w:val="14"/>
              </w:rPr>
            </w:pPr>
            <w:r w:rsidRPr="00C2292B">
              <w:rPr>
                <w:sz w:val="16"/>
                <w:szCs w:val="18"/>
              </w:rPr>
              <w:t>56,60</w:t>
            </w:r>
          </w:p>
        </w:tc>
        <w:tc>
          <w:tcPr>
            <w:tcW w:w="991" w:type="dxa"/>
            <w:tcBorders>
              <w:top w:val="nil"/>
              <w:left w:val="nil"/>
              <w:bottom w:val="single" w:sz="4" w:space="0" w:color="auto"/>
              <w:right w:val="single" w:sz="4" w:space="0" w:color="auto"/>
            </w:tcBorders>
            <w:shd w:val="clear" w:color="000000" w:fill="FFFFFF"/>
            <w:noWrap/>
            <w:vAlign w:val="bottom"/>
            <w:hideMark/>
          </w:tcPr>
          <w:p w14:paraId="470CA235" w14:textId="77777777" w:rsidR="00B56301" w:rsidRPr="002010BD" w:rsidRDefault="00B56301" w:rsidP="00B37B65">
            <w:pPr>
              <w:jc w:val="right"/>
              <w:rPr>
                <w:rFonts w:asciiTheme="minorHAnsi" w:hAnsiTheme="minorHAnsi"/>
                <w:sz w:val="16"/>
                <w:szCs w:val="14"/>
              </w:rPr>
            </w:pPr>
            <w:r w:rsidRPr="00C2292B">
              <w:rPr>
                <w:sz w:val="16"/>
                <w:szCs w:val="18"/>
              </w:rPr>
              <w:t>59,33</w:t>
            </w:r>
          </w:p>
        </w:tc>
        <w:tc>
          <w:tcPr>
            <w:tcW w:w="991" w:type="dxa"/>
            <w:tcBorders>
              <w:top w:val="nil"/>
              <w:left w:val="nil"/>
              <w:bottom w:val="single" w:sz="4" w:space="0" w:color="auto"/>
              <w:right w:val="single" w:sz="4" w:space="0" w:color="auto"/>
            </w:tcBorders>
            <w:shd w:val="clear" w:color="000000" w:fill="FFFFFF"/>
            <w:noWrap/>
            <w:vAlign w:val="bottom"/>
            <w:hideMark/>
          </w:tcPr>
          <w:p w14:paraId="4AB7A64B" w14:textId="77777777" w:rsidR="00B56301" w:rsidRPr="002010BD" w:rsidRDefault="00B56301" w:rsidP="00B37B65">
            <w:pPr>
              <w:jc w:val="right"/>
              <w:rPr>
                <w:rFonts w:asciiTheme="minorHAnsi" w:hAnsiTheme="minorHAnsi"/>
                <w:sz w:val="16"/>
                <w:szCs w:val="14"/>
              </w:rPr>
            </w:pPr>
            <w:r w:rsidRPr="00C2292B">
              <w:rPr>
                <w:sz w:val="16"/>
                <w:szCs w:val="18"/>
              </w:rPr>
              <w:t>57,14</w:t>
            </w:r>
          </w:p>
        </w:tc>
        <w:tc>
          <w:tcPr>
            <w:tcW w:w="991" w:type="dxa"/>
            <w:tcBorders>
              <w:top w:val="nil"/>
              <w:left w:val="nil"/>
              <w:bottom w:val="single" w:sz="4" w:space="0" w:color="auto"/>
              <w:right w:val="single" w:sz="4" w:space="0" w:color="auto"/>
            </w:tcBorders>
            <w:shd w:val="clear" w:color="000000" w:fill="FFFFFF"/>
            <w:noWrap/>
            <w:vAlign w:val="bottom"/>
            <w:hideMark/>
          </w:tcPr>
          <w:p w14:paraId="02735953" w14:textId="77777777" w:rsidR="00B56301" w:rsidRPr="002010BD" w:rsidRDefault="00B56301" w:rsidP="00B37B65">
            <w:pPr>
              <w:jc w:val="right"/>
              <w:rPr>
                <w:rFonts w:asciiTheme="minorHAnsi" w:hAnsiTheme="minorHAnsi"/>
                <w:sz w:val="16"/>
                <w:szCs w:val="14"/>
              </w:rPr>
            </w:pPr>
            <w:r w:rsidRPr="00C2292B">
              <w:rPr>
                <w:sz w:val="16"/>
                <w:szCs w:val="18"/>
              </w:rPr>
              <w:t>56,44</w:t>
            </w:r>
          </w:p>
        </w:tc>
      </w:tr>
      <w:tr w:rsidR="00B56301" w:rsidRPr="00833C38" w14:paraId="127641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4B3851" w14:textId="32E36491"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5CBC4C3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C4130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1AA680"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721D6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DE7B9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6374C4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58511F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BB68B8" w14:textId="78A8F130"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79AD54E6" w14:textId="77777777" w:rsidR="00B56301" w:rsidRPr="002010BD" w:rsidRDefault="00B56301" w:rsidP="00B37B65">
            <w:pPr>
              <w:jc w:val="right"/>
              <w:rPr>
                <w:rFonts w:asciiTheme="minorHAnsi" w:hAnsiTheme="minorHAnsi"/>
                <w:sz w:val="16"/>
                <w:szCs w:val="14"/>
              </w:rPr>
            </w:pPr>
            <w:r w:rsidRPr="00C2292B">
              <w:rPr>
                <w:sz w:val="16"/>
                <w:szCs w:val="18"/>
              </w:rPr>
              <w:t>8,13</w:t>
            </w:r>
          </w:p>
        </w:tc>
        <w:tc>
          <w:tcPr>
            <w:tcW w:w="991" w:type="dxa"/>
            <w:tcBorders>
              <w:top w:val="nil"/>
              <w:left w:val="nil"/>
              <w:bottom w:val="single" w:sz="4" w:space="0" w:color="auto"/>
              <w:right w:val="single" w:sz="4" w:space="0" w:color="auto"/>
            </w:tcBorders>
            <w:shd w:val="clear" w:color="000000" w:fill="CCFFFF"/>
            <w:noWrap/>
            <w:vAlign w:val="bottom"/>
            <w:hideMark/>
          </w:tcPr>
          <w:p w14:paraId="099EF7A4" w14:textId="77777777" w:rsidR="00B56301" w:rsidRPr="002010BD" w:rsidRDefault="00B56301" w:rsidP="00B37B65">
            <w:pPr>
              <w:jc w:val="right"/>
              <w:rPr>
                <w:rFonts w:asciiTheme="minorHAnsi" w:hAnsiTheme="minorHAnsi"/>
                <w:sz w:val="16"/>
                <w:szCs w:val="14"/>
              </w:rPr>
            </w:pPr>
            <w:r w:rsidRPr="00C2292B">
              <w:rPr>
                <w:sz w:val="16"/>
                <w:szCs w:val="18"/>
              </w:rPr>
              <w:t>6,25</w:t>
            </w:r>
          </w:p>
        </w:tc>
        <w:tc>
          <w:tcPr>
            <w:tcW w:w="991" w:type="dxa"/>
            <w:tcBorders>
              <w:top w:val="nil"/>
              <w:left w:val="nil"/>
              <w:bottom w:val="single" w:sz="4" w:space="0" w:color="auto"/>
              <w:right w:val="single" w:sz="4" w:space="0" w:color="auto"/>
            </w:tcBorders>
            <w:shd w:val="clear" w:color="000000" w:fill="CCFFFF"/>
            <w:noWrap/>
            <w:vAlign w:val="bottom"/>
            <w:hideMark/>
          </w:tcPr>
          <w:p w14:paraId="328EFA43" w14:textId="77777777" w:rsidR="00B56301" w:rsidRPr="002010BD" w:rsidRDefault="00B56301" w:rsidP="00B37B65">
            <w:pPr>
              <w:jc w:val="right"/>
              <w:rPr>
                <w:rFonts w:asciiTheme="minorHAnsi" w:hAnsiTheme="minorHAnsi"/>
                <w:sz w:val="16"/>
                <w:szCs w:val="14"/>
              </w:rPr>
            </w:pPr>
            <w:r w:rsidRPr="00C2292B">
              <w:rPr>
                <w:sz w:val="16"/>
                <w:szCs w:val="18"/>
              </w:rPr>
              <w:t>4,08</w:t>
            </w:r>
          </w:p>
        </w:tc>
        <w:tc>
          <w:tcPr>
            <w:tcW w:w="991" w:type="dxa"/>
            <w:tcBorders>
              <w:top w:val="nil"/>
              <w:left w:val="nil"/>
              <w:bottom w:val="single" w:sz="4" w:space="0" w:color="auto"/>
              <w:right w:val="single" w:sz="4" w:space="0" w:color="auto"/>
            </w:tcBorders>
            <w:shd w:val="clear" w:color="000000" w:fill="CCFFFF"/>
            <w:noWrap/>
            <w:vAlign w:val="bottom"/>
            <w:hideMark/>
          </w:tcPr>
          <w:p w14:paraId="3223B235" w14:textId="77777777" w:rsidR="00B56301" w:rsidRPr="002010BD" w:rsidRDefault="00B56301" w:rsidP="00B37B65">
            <w:pPr>
              <w:jc w:val="right"/>
              <w:rPr>
                <w:rFonts w:asciiTheme="minorHAnsi" w:hAnsiTheme="minorHAnsi"/>
                <w:sz w:val="16"/>
                <w:szCs w:val="14"/>
              </w:rPr>
            </w:pPr>
            <w:r w:rsidRPr="00C2292B">
              <w:rPr>
                <w:sz w:val="16"/>
                <w:szCs w:val="18"/>
              </w:rPr>
              <w:t>5,88</w:t>
            </w:r>
          </w:p>
        </w:tc>
        <w:tc>
          <w:tcPr>
            <w:tcW w:w="991" w:type="dxa"/>
            <w:tcBorders>
              <w:top w:val="nil"/>
              <w:left w:val="nil"/>
              <w:bottom w:val="single" w:sz="4" w:space="0" w:color="auto"/>
              <w:right w:val="single" w:sz="4" w:space="0" w:color="auto"/>
            </w:tcBorders>
            <w:shd w:val="clear" w:color="000000" w:fill="CCFFFF"/>
            <w:noWrap/>
            <w:vAlign w:val="bottom"/>
            <w:hideMark/>
          </w:tcPr>
          <w:p w14:paraId="1E787B3D" w14:textId="77777777" w:rsidR="00B56301" w:rsidRPr="002010BD" w:rsidRDefault="00B56301" w:rsidP="00B37B65">
            <w:pPr>
              <w:jc w:val="right"/>
              <w:rPr>
                <w:rFonts w:asciiTheme="minorHAnsi" w:hAnsiTheme="minorHAnsi"/>
                <w:sz w:val="16"/>
                <w:szCs w:val="14"/>
              </w:rPr>
            </w:pPr>
            <w:r w:rsidRPr="00C2292B">
              <w:rPr>
                <w:sz w:val="16"/>
                <w:szCs w:val="18"/>
              </w:rPr>
              <w:t>5,03</w:t>
            </w:r>
          </w:p>
        </w:tc>
        <w:tc>
          <w:tcPr>
            <w:tcW w:w="991" w:type="dxa"/>
            <w:tcBorders>
              <w:top w:val="nil"/>
              <w:left w:val="nil"/>
              <w:bottom w:val="single" w:sz="4" w:space="0" w:color="auto"/>
              <w:right w:val="single" w:sz="4" w:space="0" w:color="auto"/>
            </w:tcBorders>
            <w:shd w:val="clear" w:color="000000" w:fill="CCFFFF"/>
            <w:noWrap/>
            <w:vAlign w:val="bottom"/>
            <w:hideMark/>
          </w:tcPr>
          <w:p w14:paraId="0F1CA0CA" w14:textId="77777777" w:rsidR="00B56301" w:rsidRPr="002010BD" w:rsidRDefault="00B56301" w:rsidP="00B37B65">
            <w:pPr>
              <w:jc w:val="right"/>
              <w:rPr>
                <w:rFonts w:asciiTheme="minorHAnsi" w:hAnsiTheme="minorHAnsi"/>
                <w:sz w:val="16"/>
                <w:szCs w:val="14"/>
              </w:rPr>
            </w:pPr>
            <w:r w:rsidRPr="00C2292B">
              <w:rPr>
                <w:sz w:val="16"/>
                <w:szCs w:val="18"/>
              </w:rPr>
              <w:t>4,05</w:t>
            </w:r>
          </w:p>
        </w:tc>
      </w:tr>
      <w:tr w:rsidR="00B56301" w:rsidRPr="00C2292B" w14:paraId="6FE67C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3BF5B2" w14:textId="0439C76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64D8B8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F6A8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D7844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F9941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B243F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E54074"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21B56E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31FDB9" w14:textId="37A3BC1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0DF9DEA" w14:textId="77777777" w:rsidR="00B56301" w:rsidRPr="002010BD" w:rsidRDefault="00B56301" w:rsidP="00B37B65">
            <w:pPr>
              <w:jc w:val="right"/>
              <w:rPr>
                <w:rFonts w:asciiTheme="minorHAnsi" w:hAnsiTheme="minorHAnsi"/>
                <w:sz w:val="16"/>
                <w:szCs w:val="14"/>
              </w:rPr>
            </w:pPr>
            <w:r w:rsidRPr="00C2292B">
              <w:rPr>
                <w:sz w:val="16"/>
                <w:szCs w:val="18"/>
              </w:rPr>
              <w:t>3,34</w:t>
            </w:r>
          </w:p>
        </w:tc>
        <w:tc>
          <w:tcPr>
            <w:tcW w:w="991" w:type="dxa"/>
            <w:tcBorders>
              <w:top w:val="nil"/>
              <w:left w:val="nil"/>
              <w:bottom w:val="single" w:sz="4" w:space="0" w:color="auto"/>
              <w:right w:val="single" w:sz="4" w:space="0" w:color="auto"/>
            </w:tcBorders>
            <w:shd w:val="clear" w:color="000000" w:fill="FFFFFF"/>
            <w:noWrap/>
            <w:vAlign w:val="bottom"/>
            <w:hideMark/>
          </w:tcPr>
          <w:p w14:paraId="0DB9EFA7" w14:textId="77777777" w:rsidR="00B56301" w:rsidRPr="002010BD" w:rsidRDefault="00B56301" w:rsidP="00B37B65">
            <w:pPr>
              <w:jc w:val="right"/>
              <w:rPr>
                <w:rFonts w:asciiTheme="minorHAnsi" w:hAnsiTheme="minorHAnsi"/>
                <w:sz w:val="16"/>
                <w:szCs w:val="14"/>
              </w:rPr>
            </w:pPr>
            <w:r w:rsidRPr="00C2292B">
              <w:rPr>
                <w:sz w:val="16"/>
                <w:szCs w:val="18"/>
              </w:rPr>
              <w:t>2,94</w:t>
            </w:r>
          </w:p>
        </w:tc>
        <w:tc>
          <w:tcPr>
            <w:tcW w:w="991" w:type="dxa"/>
            <w:tcBorders>
              <w:top w:val="nil"/>
              <w:left w:val="nil"/>
              <w:bottom w:val="single" w:sz="4" w:space="0" w:color="auto"/>
              <w:right w:val="single" w:sz="4" w:space="0" w:color="auto"/>
            </w:tcBorders>
            <w:shd w:val="clear" w:color="000000" w:fill="FFFFFF"/>
            <w:noWrap/>
            <w:vAlign w:val="bottom"/>
            <w:hideMark/>
          </w:tcPr>
          <w:p w14:paraId="312BA4BF" w14:textId="77777777" w:rsidR="00B56301" w:rsidRPr="002010BD" w:rsidRDefault="00B56301" w:rsidP="00B37B65">
            <w:pPr>
              <w:jc w:val="right"/>
              <w:rPr>
                <w:rFonts w:asciiTheme="minorHAnsi" w:hAnsiTheme="minorHAnsi"/>
                <w:sz w:val="16"/>
                <w:szCs w:val="14"/>
              </w:rPr>
            </w:pPr>
            <w:r w:rsidRPr="00C2292B">
              <w:rPr>
                <w:sz w:val="16"/>
                <w:szCs w:val="18"/>
              </w:rPr>
              <w:t>2,60</w:t>
            </w:r>
          </w:p>
        </w:tc>
        <w:tc>
          <w:tcPr>
            <w:tcW w:w="991" w:type="dxa"/>
            <w:tcBorders>
              <w:top w:val="nil"/>
              <w:left w:val="nil"/>
              <w:bottom w:val="single" w:sz="4" w:space="0" w:color="auto"/>
              <w:right w:val="single" w:sz="4" w:space="0" w:color="auto"/>
            </w:tcBorders>
            <w:shd w:val="clear" w:color="000000" w:fill="FFFFFF"/>
            <w:noWrap/>
            <w:vAlign w:val="bottom"/>
            <w:hideMark/>
          </w:tcPr>
          <w:p w14:paraId="725C0D5F" w14:textId="77777777" w:rsidR="00B56301" w:rsidRPr="002010BD" w:rsidRDefault="00B56301" w:rsidP="00B37B65">
            <w:pPr>
              <w:jc w:val="right"/>
              <w:rPr>
                <w:rFonts w:asciiTheme="minorHAnsi" w:hAnsiTheme="minorHAnsi"/>
                <w:sz w:val="16"/>
                <w:szCs w:val="14"/>
              </w:rPr>
            </w:pPr>
            <w:r w:rsidRPr="00C2292B">
              <w:rPr>
                <w:sz w:val="16"/>
                <w:szCs w:val="18"/>
              </w:rPr>
              <w:t>3,17</w:t>
            </w:r>
          </w:p>
        </w:tc>
        <w:tc>
          <w:tcPr>
            <w:tcW w:w="991" w:type="dxa"/>
            <w:tcBorders>
              <w:top w:val="nil"/>
              <w:left w:val="nil"/>
              <w:bottom w:val="single" w:sz="4" w:space="0" w:color="auto"/>
              <w:right w:val="single" w:sz="4" w:space="0" w:color="auto"/>
            </w:tcBorders>
            <w:shd w:val="clear" w:color="000000" w:fill="FFFFFF"/>
            <w:noWrap/>
            <w:vAlign w:val="bottom"/>
            <w:hideMark/>
          </w:tcPr>
          <w:p w14:paraId="5079FB7C" w14:textId="77777777" w:rsidR="00B56301" w:rsidRPr="002010BD" w:rsidRDefault="00B56301" w:rsidP="00B37B65">
            <w:pPr>
              <w:jc w:val="right"/>
              <w:rPr>
                <w:rFonts w:asciiTheme="minorHAnsi" w:hAnsiTheme="minorHAnsi"/>
                <w:sz w:val="16"/>
                <w:szCs w:val="14"/>
              </w:rPr>
            </w:pPr>
            <w:r w:rsidRPr="00C2292B">
              <w:rPr>
                <w:sz w:val="16"/>
                <w:szCs w:val="18"/>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72B19531" w14:textId="77777777" w:rsidR="00B56301" w:rsidRPr="002010BD" w:rsidRDefault="00B56301" w:rsidP="00B37B65">
            <w:pPr>
              <w:jc w:val="right"/>
              <w:rPr>
                <w:rFonts w:asciiTheme="minorHAnsi" w:hAnsiTheme="minorHAnsi"/>
                <w:sz w:val="16"/>
                <w:szCs w:val="14"/>
              </w:rPr>
            </w:pPr>
            <w:r w:rsidRPr="00C2292B">
              <w:rPr>
                <w:sz w:val="16"/>
                <w:szCs w:val="18"/>
              </w:rPr>
              <w:t>1,74</w:t>
            </w:r>
          </w:p>
        </w:tc>
      </w:tr>
      <w:tr w:rsidR="00B56301" w:rsidRPr="00C2292B" w14:paraId="391EE7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4F1FF0" w14:textId="1F74B4D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1E891142" w14:textId="77777777" w:rsidR="00B56301" w:rsidRPr="002010BD" w:rsidRDefault="00B56301" w:rsidP="00B37B65">
            <w:pPr>
              <w:jc w:val="right"/>
              <w:rPr>
                <w:rFonts w:asciiTheme="minorHAnsi" w:hAnsiTheme="minorHAnsi"/>
                <w:sz w:val="16"/>
                <w:szCs w:val="14"/>
              </w:rPr>
            </w:pPr>
            <w:r w:rsidRPr="00C2292B">
              <w:rPr>
                <w:sz w:val="16"/>
                <w:szCs w:val="18"/>
              </w:rPr>
              <w:t>4,76</w:t>
            </w:r>
          </w:p>
        </w:tc>
        <w:tc>
          <w:tcPr>
            <w:tcW w:w="991" w:type="dxa"/>
            <w:tcBorders>
              <w:top w:val="nil"/>
              <w:left w:val="nil"/>
              <w:bottom w:val="single" w:sz="4" w:space="0" w:color="auto"/>
              <w:right w:val="single" w:sz="4" w:space="0" w:color="auto"/>
            </w:tcBorders>
            <w:shd w:val="clear" w:color="000000" w:fill="FFFFFF"/>
            <w:noWrap/>
            <w:vAlign w:val="bottom"/>
            <w:hideMark/>
          </w:tcPr>
          <w:p w14:paraId="0B67C701" w14:textId="77777777" w:rsidR="00B56301" w:rsidRPr="002010BD" w:rsidRDefault="00B56301" w:rsidP="00B37B65">
            <w:pPr>
              <w:jc w:val="right"/>
              <w:rPr>
                <w:rFonts w:asciiTheme="minorHAnsi" w:hAnsiTheme="minorHAnsi"/>
                <w:sz w:val="16"/>
                <w:szCs w:val="14"/>
              </w:rPr>
            </w:pPr>
            <w:r w:rsidRPr="00C2292B">
              <w:rPr>
                <w:sz w:val="16"/>
                <w:szCs w:val="18"/>
              </w:rPr>
              <w:t>3,30</w:t>
            </w:r>
          </w:p>
        </w:tc>
        <w:tc>
          <w:tcPr>
            <w:tcW w:w="991" w:type="dxa"/>
            <w:tcBorders>
              <w:top w:val="nil"/>
              <w:left w:val="nil"/>
              <w:bottom w:val="single" w:sz="4" w:space="0" w:color="auto"/>
              <w:right w:val="single" w:sz="4" w:space="0" w:color="auto"/>
            </w:tcBorders>
            <w:shd w:val="clear" w:color="000000" w:fill="FFFFFF"/>
            <w:noWrap/>
            <w:vAlign w:val="bottom"/>
            <w:hideMark/>
          </w:tcPr>
          <w:p w14:paraId="274A236B" w14:textId="77777777" w:rsidR="00B56301" w:rsidRPr="002010BD" w:rsidRDefault="00B56301" w:rsidP="00B37B65">
            <w:pPr>
              <w:jc w:val="right"/>
              <w:rPr>
                <w:rFonts w:asciiTheme="minorHAnsi" w:hAnsiTheme="minorHAnsi"/>
                <w:sz w:val="16"/>
                <w:szCs w:val="14"/>
              </w:rPr>
            </w:pPr>
            <w:r w:rsidRPr="00C2292B">
              <w:rPr>
                <w:sz w:val="16"/>
                <w:szCs w:val="18"/>
              </w:rPr>
              <w:t>1,46</w:t>
            </w:r>
          </w:p>
        </w:tc>
        <w:tc>
          <w:tcPr>
            <w:tcW w:w="991" w:type="dxa"/>
            <w:tcBorders>
              <w:top w:val="nil"/>
              <w:left w:val="nil"/>
              <w:bottom w:val="single" w:sz="4" w:space="0" w:color="auto"/>
              <w:right w:val="single" w:sz="4" w:space="0" w:color="auto"/>
            </w:tcBorders>
            <w:shd w:val="clear" w:color="000000" w:fill="FFFFFF"/>
            <w:noWrap/>
            <w:vAlign w:val="bottom"/>
            <w:hideMark/>
          </w:tcPr>
          <w:p w14:paraId="623D803C" w14:textId="77777777" w:rsidR="00B56301" w:rsidRPr="002010BD" w:rsidRDefault="00B56301" w:rsidP="00B37B65">
            <w:pPr>
              <w:jc w:val="right"/>
              <w:rPr>
                <w:rFonts w:asciiTheme="minorHAnsi" w:hAnsiTheme="minorHAnsi"/>
                <w:sz w:val="16"/>
                <w:szCs w:val="14"/>
              </w:rPr>
            </w:pPr>
            <w:r w:rsidRPr="00C2292B">
              <w:rPr>
                <w:sz w:val="16"/>
                <w:szCs w:val="18"/>
              </w:rPr>
              <w:t>2,69</w:t>
            </w:r>
          </w:p>
        </w:tc>
        <w:tc>
          <w:tcPr>
            <w:tcW w:w="991" w:type="dxa"/>
            <w:tcBorders>
              <w:top w:val="nil"/>
              <w:left w:val="nil"/>
              <w:bottom w:val="single" w:sz="4" w:space="0" w:color="auto"/>
              <w:right w:val="single" w:sz="4" w:space="0" w:color="auto"/>
            </w:tcBorders>
            <w:shd w:val="clear" w:color="000000" w:fill="FFFFFF"/>
            <w:noWrap/>
            <w:vAlign w:val="bottom"/>
            <w:hideMark/>
          </w:tcPr>
          <w:p w14:paraId="6C6D58C2" w14:textId="77777777" w:rsidR="00B56301" w:rsidRPr="002010BD" w:rsidRDefault="00B56301" w:rsidP="00B37B65">
            <w:pPr>
              <w:jc w:val="right"/>
              <w:rPr>
                <w:rFonts w:asciiTheme="minorHAnsi" w:hAnsiTheme="minorHAnsi"/>
                <w:sz w:val="16"/>
                <w:szCs w:val="14"/>
              </w:rPr>
            </w:pPr>
            <w:r w:rsidRPr="00C2292B">
              <w:rPr>
                <w:sz w:val="16"/>
                <w:szCs w:val="18"/>
              </w:rPr>
              <w:t>2,96</w:t>
            </w:r>
          </w:p>
        </w:tc>
        <w:tc>
          <w:tcPr>
            <w:tcW w:w="991" w:type="dxa"/>
            <w:tcBorders>
              <w:top w:val="nil"/>
              <w:left w:val="nil"/>
              <w:bottom w:val="single" w:sz="4" w:space="0" w:color="auto"/>
              <w:right w:val="single" w:sz="4" w:space="0" w:color="auto"/>
            </w:tcBorders>
            <w:shd w:val="clear" w:color="000000" w:fill="FFFFFF"/>
            <w:noWrap/>
            <w:vAlign w:val="bottom"/>
            <w:hideMark/>
          </w:tcPr>
          <w:p w14:paraId="39F2F7F3" w14:textId="77777777" w:rsidR="00B56301" w:rsidRPr="002010BD" w:rsidRDefault="00B56301" w:rsidP="00B37B65">
            <w:pPr>
              <w:jc w:val="right"/>
              <w:rPr>
                <w:rFonts w:asciiTheme="minorHAnsi" w:hAnsiTheme="minorHAnsi"/>
                <w:sz w:val="16"/>
                <w:szCs w:val="14"/>
              </w:rPr>
            </w:pPr>
            <w:r w:rsidRPr="00C2292B">
              <w:rPr>
                <w:sz w:val="16"/>
                <w:szCs w:val="18"/>
              </w:rPr>
              <w:t>2,30</w:t>
            </w:r>
          </w:p>
        </w:tc>
      </w:tr>
      <w:tr w:rsidR="00B56301" w:rsidRPr="00C2292B" w14:paraId="5A39557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19BDCB1" w14:textId="5B4ABC8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036E7834" w14:textId="77777777" w:rsidR="00B56301" w:rsidRPr="002010BD" w:rsidRDefault="00B56301" w:rsidP="00B37B65">
            <w:pPr>
              <w:jc w:val="right"/>
              <w:rPr>
                <w:rFonts w:asciiTheme="minorHAnsi" w:hAnsiTheme="minorHAnsi"/>
                <w:sz w:val="16"/>
                <w:szCs w:val="14"/>
              </w:rPr>
            </w:pPr>
            <w:r w:rsidRPr="00C2292B">
              <w:rPr>
                <w:sz w:val="16"/>
                <w:szCs w:val="18"/>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00606C8" w14:textId="77777777" w:rsidR="00B56301" w:rsidRPr="002010BD" w:rsidRDefault="00B56301" w:rsidP="00B37B65">
            <w:pPr>
              <w:jc w:val="right"/>
              <w:rPr>
                <w:rFonts w:asciiTheme="minorHAnsi" w:hAnsiTheme="minorHAnsi"/>
                <w:sz w:val="16"/>
                <w:szCs w:val="14"/>
              </w:rPr>
            </w:pPr>
            <w:r w:rsidRPr="00C2292B">
              <w:rPr>
                <w:sz w:val="16"/>
                <w:szCs w:val="18"/>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23F00B8" w14:textId="77777777" w:rsidR="00B56301" w:rsidRPr="002010BD" w:rsidRDefault="00B56301" w:rsidP="00B37B65">
            <w:pPr>
              <w:jc w:val="right"/>
              <w:rPr>
                <w:rFonts w:asciiTheme="minorHAnsi" w:hAnsiTheme="minorHAnsi"/>
                <w:sz w:val="16"/>
                <w:szCs w:val="14"/>
              </w:rPr>
            </w:pPr>
            <w:r w:rsidRPr="00C2292B">
              <w:rPr>
                <w:sz w:val="16"/>
                <w:szCs w:val="18"/>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060B796D" w14:textId="77777777" w:rsidR="00B56301" w:rsidRPr="002010BD" w:rsidRDefault="00B56301" w:rsidP="00B37B65">
            <w:pPr>
              <w:jc w:val="right"/>
              <w:rPr>
                <w:rFonts w:asciiTheme="minorHAnsi" w:hAnsiTheme="minorHAnsi"/>
                <w:sz w:val="16"/>
                <w:szCs w:val="14"/>
              </w:rPr>
            </w:pPr>
            <w:r w:rsidRPr="00C2292B">
              <w:rPr>
                <w:sz w:val="16"/>
                <w:szCs w:val="18"/>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013DF144"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05D66B0" w14:textId="77777777" w:rsidR="00B56301" w:rsidRPr="002010BD" w:rsidRDefault="00B56301" w:rsidP="00B37B65">
            <w:pPr>
              <w:jc w:val="right"/>
              <w:rPr>
                <w:rFonts w:asciiTheme="minorHAnsi" w:hAnsiTheme="minorHAnsi"/>
                <w:sz w:val="16"/>
                <w:szCs w:val="14"/>
              </w:rPr>
            </w:pPr>
            <w:r w:rsidRPr="00C2292B">
              <w:rPr>
                <w:sz w:val="16"/>
                <w:szCs w:val="18"/>
              </w:rPr>
              <w:t>0,01</w:t>
            </w:r>
          </w:p>
        </w:tc>
      </w:tr>
      <w:tr w:rsidR="00B56301" w:rsidRPr="00C2292B" w14:paraId="54994EA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9182C3" w14:textId="5D2F5CC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D52515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06B8D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EEDCB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96179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1313A2"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E4EE5D"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0FB0F5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86C74CE" w14:textId="7D0676E2"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3C9C58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AB727B"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53B97D"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FFE45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E71DEB"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738B3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15FB23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2B9C54B" w14:textId="7C0BB85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7BD285D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6580C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F09BC3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385673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FD654E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849955"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4F7E2E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815242" w14:textId="68AB750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223D90CF"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2EE91F14"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405A1FDA"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C84C303"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3A3B9B"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10D8A45" w14:textId="77777777" w:rsidR="00B56301" w:rsidRPr="002010BD" w:rsidRDefault="00B56301" w:rsidP="00B37B65">
            <w:pPr>
              <w:jc w:val="right"/>
              <w:rPr>
                <w:rFonts w:asciiTheme="minorHAnsi" w:hAnsiTheme="minorHAnsi"/>
                <w:sz w:val="16"/>
                <w:szCs w:val="14"/>
              </w:rPr>
            </w:pPr>
            <w:r w:rsidRPr="00C2292B">
              <w:rPr>
                <w:sz w:val="16"/>
                <w:szCs w:val="18"/>
              </w:rPr>
              <w:t>NO,NA</w:t>
            </w:r>
          </w:p>
        </w:tc>
      </w:tr>
      <w:tr w:rsidR="00B56301" w:rsidRPr="00C2292B" w14:paraId="30D4E5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36C49F11" w14:textId="14B4CFBB"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30171263" w14:textId="77777777" w:rsidR="00B56301" w:rsidRPr="002010BD" w:rsidRDefault="00B56301" w:rsidP="00B37B65">
            <w:pPr>
              <w:jc w:val="right"/>
              <w:rPr>
                <w:rFonts w:asciiTheme="minorHAnsi" w:hAnsiTheme="minorHAnsi"/>
                <w:sz w:val="16"/>
                <w:szCs w:val="14"/>
              </w:rPr>
            </w:pPr>
            <w:r w:rsidRPr="00C2292B">
              <w:rPr>
                <w:sz w:val="16"/>
                <w:szCs w:val="18"/>
              </w:rPr>
              <w:t>1587,50</w:t>
            </w:r>
          </w:p>
        </w:tc>
        <w:tc>
          <w:tcPr>
            <w:tcW w:w="991" w:type="dxa"/>
            <w:tcBorders>
              <w:top w:val="nil"/>
              <w:left w:val="nil"/>
              <w:bottom w:val="single" w:sz="4" w:space="0" w:color="auto"/>
              <w:right w:val="single" w:sz="4" w:space="0" w:color="auto"/>
            </w:tcBorders>
            <w:shd w:val="clear" w:color="000000" w:fill="CCFFFF"/>
            <w:noWrap/>
            <w:vAlign w:val="bottom"/>
            <w:hideMark/>
          </w:tcPr>
          <w:p w14:paraId="00293730" w14:textId="77777777" w:rsidR="00B56301" w:rsidRPr="002010BD" w:rsidRDefault="00B56301" w:rsidP="00B37B65">
            <w:pPr>
              <w:jc w:val="right"/>
              <w:rPr>
                <w:rFonts w:asciiTheme="minorHAnsi" w:hAnsiTheme="minorHAnsi"/>
                <w:sz w:val="16"/>
                <w:szCs w:val="14"/>
              </w:rPr>
            </w:pPr>
            <w:r w:rsidRPr="00C2292B">
              <w:rPr>
                <w:sz w:val="16"/>
                <w:szCs w:val="18"/>
              </w:rPr>
              <w:t>1604,55</w:t>
            </w:r>
          </w:p>
        </w:tc>
        <w:tc>
          <w:tcPr>
            <w:tcW w:w="991" w:type="dxa"/>
            <w:tcBorders>
              <w:top w:val="nil"/>
              <w:left w:val="nil"/>
              <w:bottom w:val="single" w:sz="4" w:space="0" w:color="auto"/>
              <w:right w:val="single" w:sz="4" w:space="0" w:color="auto"/>
            </w:tcBorders>
            <w:shd w:val="clear" w:color="000000" w:fill="CCFFFF"/>
            <w:noWrap/>
            <w:vAlign w:val="bottom"/>
            <w:hideMark/>
          </w:tcPr>
          <w:p w14:paraId="4836CA09" w14:textId="77777777" w:rsidR="00B56301" w:rsidRPr="002010BD" w:rsidRDefault="00B56301" w:rsidP="00B37B65">
            <w:pPr>
              <w:jc w:val="right"/>
              <w:rPr>
                <w:rFonts w:asciiTheme="minorHAnsi" w:hAnsiTheme="minorHAnsi"/>
                <w:sz w:val="16"/>
                <w:szCs w:val="14"/>
              </w:rPr>
            </w:pPr>
            <w:r w:rsidRPr="00C2292B">
              <w:rPr>
                <w:sz w:val="16"/>
                <w:szCs w:val="18"/>
              </w:rPr>
              <w:t>1591,46</w:t>
            </w:r>
          </w:p>
        </w:tc>
        <w:tc>
          <w:tcPr>
            <w:tcW w:w="991" w:type="dxa"/>
            <w:tcBorders>
              <w:top w:val="nil"/>
              <w:left w:val="nil"/>
              <w:bottom w:val="single" w:sz="4" w:space="0" w:color="auto"/>
              <w:right w:val="single" w:sz="4" w:space="0" w:color="auto"/>
            </w:tcBorders>
            <w:shd w:val="clear" w:color="000000" w:fill="CCFFFF"/>
            <w:noWrap/>
            <w:vAlign w:val="bottom"/>
            <w:hideMark/>
          </w:tcPr>
          <w:p w14:paraId="78F18B71" w14:textId="77777777" w:rsidR="00B56301" w:rsidRPr="002010BD" w:rsidRDefault="00B56301" w:rsidP="00B37B65">
            <w:pPr>
              <w:jc w:val="right"/>
              <w:rPr>
                <w:rFonts w:asciiTheme="minorHAnsi" w:hAnsiTheme="minorHAnsi"/>
                <w:sz w:val="16"/>
                <w:szCs w:val="14"/>
              </w:rPr>
            </w:pPr>
            <w:r w:rsidRPr="00C2292B">
              <w:rPr>
                <w:sz w:val="16"/>
                <w:szCs w:val="18"/>
              </w:rPr>
              <w:t>1573,01</w:t>
            </w:r>
          </w:p>
        </w:tc>
        <w:tc>
          <w:tcPr>
            <w:tcW w:w="991" w:type="dxa"/>
            <w:tcBorders>
              <w:top w:val="nil"/>
              <w:left w:val="nil"/>
              <w:bottom w:val="single" w:sz="4" w:space="0" w:color="auto"/>
              <w:right w:val="single" w:sz="4" w:space="0" w:color="auto"/>
            </w:tcBorders>
            <w:shd w:val="clear" w:color="000000" w:fill="CCFFFF"/>
            <w:noWrap/>
            <w:vAlign w:val="bottom"/>
            <w:hideMark/>
          </w:tcPr>
          <w:p w14:paraId="657F63E9" w14:textId="77777777" w:rsidR="00B56301" w:rsidRPr="002010BD" w:rsidRDefault="00B56301" w:rsidP="00B37B65">
            <w:pPr>
              <w:jc w:val="right"/>
              <w:rPr>
                <w:rFonts w:asciiTheme="minorHAnsi" w:hAnsiTheme="minorHAnsi"/>
                <w:sz w:val="16"/>
                <w:szCs w:val="14"/>
              </w:rPr>
            </w:pPr>
            <w:r w:rsidRPr="00C2292B">
              <w:rPr>
                <w:sz w:val="16"/>
                <w:szCs w:val="18"/>
              </w:rPr>
              <w:t>1565,38</w:t>
            </w:r>
          </w:p>
        </w:tc>
        <w:tc>
          <w:tcPr>
            <w:tcW w:w="991" w:type="dxa"/>
            <w:tcBorders>
              <w:top w:val="nil"/>
              <w:left w:val="nil"/>
              <w:bottom w:val="single" w:sz="4" w:space="0" w:color="auto"/>
              <w:right w:val="single" w:sz="4" w:space="0" w:color="auto"/>
            </w:tcBorders>
            <w:shd w:val="clear" w:color="000000" w:fill="CCFFFF"/>
            <w:noWrap/>
            <w:vAlign w:val="bottom"/>
            <w:hideMark/>
          </w:tcPr>
          <w:p w14:paraId="6328D735" w14:textId="77777777" w:rsidR="00B56301" w:rsidRPr="002010BD" w:rsidRDefault="00B56301" w:rsidP="00B37B65">
            <w:pPr>
              <w:jc w:val="right"/>
              <w:rPr>
                <w:rFonts w:asciiTheme="minorHAnsi" w:hAnsiTheme="minorHAnsi"/>
                <w:sz w:val="16"/>
                <w:szCs w:val="14"/>
              </w:rPr>
            </w:pPr>
            <w:r w:rsidRPr="00C2292B">
              <w:rPr>
                <w:sz w:val="16"/>
                <w:szCs w:val="18"/>
              </w:rPr>
              <w:t>1537,48</w:t>
            </w:r>
          </w:p>
        </w:tc>
      </w:tr>
      <w:tr w:rsidR="00B56301" w:rsidRPr="00C2292B" w14:paraId="74218D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28358C7" w14:textId="7791F20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3F1B00C" w14:textId="77777777" w:rsidR="00B56301" w:rsidRPr="002010BD" w:rsidRDefault="00B56301" w:rsidP="00B37B65">
            <w:pPr>
              <w:jc w:val="right"/>
              <w:rPr>
                <w:rFonts w:asciiTheme="minorHAnsi" w:hAnsiTheme="minorHAnsi"/>
                <w:sz w:val="16"/>
                <w:szCs w:val="14"/>
              </w:rPr>
            </w:pPr>
            <w:r w:rsidRPr="00C2292B">
              <w:rPr>
                <w:sz w:val="16"/>
                <w:szCs w:val="18"/>
              </w:rPr>
              <w:t>1427,40</w:t>
            </w:r>
          </w:p>
        </w:tc>
        <w:tc>
          <w:tcPr>
            <w:tcW w:w="991" w:type="dxa"/>
            <w:tcBorders>
              <w:top w:val="nil"/>
              <w:left w:val="nil"/>
              <w:bottom w:val="single" w:sz="4" w:space="0" w:color="auto"/>
              <w:right w:val="single" w:sz="4" w:space="0" w:color="auto"/>
            </w:tcBorders>
            <w:shd w:val="clear" w:color="000000" w:fill="FFFFFF"/>
            <w:noWrap/>
            <w:vAlign w:val="bottom"/>
            <w:hideMark/>
          </w:tcPr>
          <w:p w14:paraId="59FB899C" w14:textId="77777777" w:rsidR="00B56301" w:rsidRPr="002010BD" w:rsidRDefault="00B56301" w:rsidP="00B37B65">
            <w:pPr>
              <w:jc w:val="right"/>
              <w:rPr>
                <w:rFonts w:asciiTheme="minorHAnsi" w:hAnsiTheme="minorHAnsi"/>
                <w:sz w:val="16"/>
                <w:szCs w:val="14"/>
              </w:rPr>
            </w:pPr>
            <w:r w:rsidRPr="00C2292B">
              <w:rPr>
                <w:sz w:val="16"/>
                <w:szCs w:val="18"/>
              </w:rPr>
              <w:t>1443,86</w:t>
            </w:r>
          </w:p>
        </w:tc>
        <w:tc>
          <w:tcPr>
            <w:tcW w:w="991" w:type="dxa"/>
            <w:tcBorders>
              <w:top w:val="nil"/>
              <w:left w:val="nil"/>
              <w:bottom w:val="single" w:sz="4" w:space="0" w:color="auto"/>
              <w:right w:val="single" w:sz="4" w:space="0" w:color="auto"/>
            </w:tcBorders>
            <w:shd w:val="clear" w:color="000000" w:fill="FFFFFF"/>
            <w:noWrap/>
            <w:vAlign w:val="bottom"/>
            <w:hideMark/>
          </w:tcPr>
          <w:p w14:paraId="21DB09EE" w14:textId="77777777" w:rsidR="00B56301" w:rsidRPr="002010BD" w:rsidRDefault="00B56301" w:rsidP="00B37B65">
            <w:pPr>
              <w:jc w:val="right"/>
              <w:rPr>
                <w:rFonts w:asciiTheme="minorHAnsi" w:hAnsiTheme="minorHAnsi"/>
                <w:sz w:val="16"/>
                <w:szCs w:val="14"/>
              </w:rPr>
            </w:pPr>
            <w:r w:rsidRPr="00C2292B">
              <w:rPr>
                <w:sz w:val="16"/>
                <w:szCs w:val="18"/>
              </w:rPr>
              <w:t>1429,99</w:t>
            </w:r>
          </w:p>
        </w:tc>
        <w:tc>
          <w:tcPr>
            <w:tcW w:w="991" w:type="dxa"/>
            <w:tcBorders>
              <w:top w:val="nil"/>
              <w:left w:val="nil"/>
              <w:bottom w:val="single" w:sz="4" w:space="0" w:color="auto"/>
              <w:right w:val="single" w:sz="4" w:space="0" w:color="auto"/>
            </w:tcBorders>
            <w:shd w:val="clear" w:color="000000" w:fill="FFFFFF"/>
            <w:noWrap/>
            <w:vAlign w:val="bottom"/>
            <w:hideMark/>
          </w:tcPr>
          <w:p w14:paraId="6B18A448" w14:textId="77777777" w:rsidR="00B56301" w:rsidRPr="002010BD" w:rsidRDefault="00B56301" w:rsidP="00B37B65">
            <w:pPr>
              <w:jc w:val="right"/>
              <w:rPr>
                <w:rFonts w:asciiTheme="minorHAnsi" w:hAnsiTheme="minorHAnsi"/>
                <w:sz w:val="16"/>
                <w:szCs w:val="14"/>
              </w:rPr>
            </w:pPr>
            <w:r w:rsidRPr="00C2292B">
              <w:rPr>
                <w:sz w:val="16"/>
                <w:szCs w:val="18"/>
              </w:rPr>
              <w:t>1423,77</w:t>
            </w:r>
          </w:p>
        </w:tc>
        <w:tc>
          <w:tcPr>
            <w:tcW w:w="991" w:type="dxa"/>
            <w:tcBorders>
              <w:top w:val="nil"/>
              <w:left w:val="nil"/>
              <w:bottom w:val="single" w:sz="4" w:space="0" w:color="auto"/>
              <w:right w:val="single" w:sz="4" w:space="0" w:color="auto"/>
            </w:tcBorders>
            <w:shd w:val="clear" w:color="000000" w:fill="FFFFFF"/>
            <w:noWrap/>
            <w:vAlign w:val="bottom"/>
            <w:hideMark/>
          </w:tcPr>
          <w:p w14:paraId="2B636088" w14:textId="77777777" w:rsidR="00B56301" w:rsidRPr="002010BD" w:rsidRDefault="00B56301" w:rsidP="00B37B65">
            <w:pPr>
              <w:jc w:val="right"/>
              <w:rPr>
                <w:rFonts w:asciiTheme="minorHAnsi" w:hAnsiTheme="minorHAnsi"/>
                <w:sz w:val="16"/>
                <w:szCs w:val="14"/>
              </w:rPr>
            </w:pPr>
            <w:r w:rsidRPr="00C2292B">
              <w:rPr>
                <w:sz w:val="16"/>
                <w:szCs w:val="18"/>
              </w:rPr>
              <w:t>1400,15</w:t>
            </w:r>
          </w:p>
        </w:tc>
        <w:tc>
          <w:tcPr>
            <w:tcW w:w="991" w:type="dxa"/>
            <w:tcBorders>
              <w:top w:val="nil"/>
              <w:left w:val="nil"/>
              <w:bottom w:val="single" w:sz="4" w:space="0" w:color="auto"/>
              <w:right w:val="single" w:sz="4" w:space="0" w:color="auto"/>
            </w:tcBorders>
            <w:shd w:val="clear" w:color="000000" w:fill="FFFFFF"/>
            <w:noWrap/>
            <w:vAlign w:val="bottom"/>
            <w:hideMark/>
          </w:tcPr>
          <w:p w14:paraId="1E7B1D58" w14:textId="77777777" w:rsidR="00B56301" w:rsidRPr="002010BD" w:rsidRDefault="00B56301" w:rsidP="00B37B65">
            <w:pPr>
              <w:jc w:val="right"/>
              <w:rPr>
                <w:rFonts w:asciiTheme="minorHAnsi" w:hAnsiTheme="minorHAnsi"/>
                <w:sz w:val="16"/>
                <w:szCs w:val="14"/>
              </w:rPr>
            </w:pPr>
            <w:r w:rsidRPr="00C2292B">
              <w:rPr>
                <w:sz w:val="16"/>
                <w:szCs w:val="18"/>
              </w:rPr>
              <w:t>1385,77</w:t>
            </w:r>
          </w:p>
        </w:tc>
      </w:tr>
      <w:tr w:rsidR="00B56301" w:rsidRPr="00C2292B" w14:paraId="317C33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F0947" w14:textId="34FEE01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6123C195" w14:textId="77777777" w:rsidR="00B56301" w:rsidRPr="002010BD" w:rsidRDefault="00B56301" w:rsidP="00B37B65">
            <w:pPr>
              <w:jc w:val="right"/>
              <w:rPr>
                <w:rFonts w:asciiTheme="minorHAnsi" w:hAnsiTheme="minorHAnsi"/>
                <w:sz w:val="16"/>
                <w:szCs w:val="14"/>
              </w:rPr>
            </w:pPr>
            <w:r w:rsidRPr="00C2292B">
              <w:rPr>
                <w:sz w:val="16"/>
                <w:szCs w:val="18"/>
              </w:rPr>
              <w:t>156,35</w:t>
            </w:r>
          </w:p>
        </w:tc>
        <w:tc>
          <w:tcPr>
            <w:tcW w:w="991" w:type="dxa"/>
            <w:tcBorders>
              <w:top w:val="nil"/>
              <w:left w:val="nil"/>
              <w:bottom w:val="single" w:sz="4" w:space="0" w:color="auto"/>
              <w:right w:val="single" w:sz="4" w:space="0" w:color="auto"/>
            </w:tcBorders>
            <w:shd w:val="clear" w:color="000000" w:fill="FFFFFF"/>
            <w:noWrap/>
            <w:vAlign w:val="bottom"/>
            <w:hideMark/>
          </w:tcPr>
          <w:p w14:paraId="33C65456" w14:textId="77777777" w:rsidR="00B56301" w:rsidRPr="002010BD" w:rsidRDefault="00B56301" w:rsidP="00B37B65">
            <w:pPr>
              <w:jc w:val="right"/>
              <w:rPr>
                <w:rFonts w:asciiTheme="minorHAnsi" w:hAnsiTheme="minorHAnsi"/>
                <w:sz w:val="16"/>
                <w:szCs w:val="14"/>
              </w:rPr>
            </w:pPr>
            <w:r w:rsidRPr="00C2292B">
              <w:rPr>
                <w:sz w:val="16"/>
                <w:szCs w:val="18"/>
              </w:rPr>
              <w:t>156,93</w:t>
            </w:r>
          </w:p>
        </w:tc>
        <w:tc>
          <w:tcPr>
            <w:tcW w:w="991" w:type="dxa"/>
            <w:tcBorders>
              <w:top w:val="nil"/>
              <w:left w:val="nil"/>
              <w:bottom w:val="single" w:sz="4" w:space="0" w:color="auto"/>
              <w:right w:val="single" w:sz="4" w:space="0" w:color="auto"/>
            </w:tcBorders>
            <w:shd w:val="clear" w:color="000000" w:fill="FFFFFF"/>
            <w:noWrap/>
            <w:vAlign w:val="bottom"/>
            <w:hideMark/>
          </w:tcPr>
          <w:p w14:paraId="5A9E2D99" w14:textId="77777777" w:rsidR="00B56301" w:rsidRPr="002010BD" w:rsidRDefault="00B56301" w:rsidP="00B37B65">
            <w:pPr>
              <w:jc w:val="right"/>
              <w:rPr>
                <w:rFonts w:asciiTheme="minorHAnsi" w:hAnsiTheme="minorHAnsi"/>
                <w:sz w:val="16"/>
                <w:szCs w:val="14"/>
              </w:rPr>
            </w:pPr>
            <w:r w:rsidRPr="00C2292B">
              <w:rPr>
                <w:sz w:val="16"/>
                <w:szCs w:val="18"/>
              </w:rPr>
              <w:t>157,29</w:t>
            </w:r>
          </w:p>
        </w:tc>
        <w:tc>
          <w:tcPr>
            <w:tcW w:w="991" w:type="dxa"/>
            <w:tcBorders>
              <w:top w:val="nil"/>
              <w:left w:val="nil"/>
              <w:bottom w:val="single" w:sz="4" w:space="0" w:color="auto"/>
              <w:right w:val="single" w:sz="4" w:space="0" w:color="auto"/>
            </w:tcBorders>
            <w:shd w:val="clear" w:color="000000" w:fill="FFFFFF"/>
            <w:noWrap/>
            <w:vAlign w:val="bottom"/>
            <w:hideMark/>
          </w:tcPr>
          <w:p w14:paraId="014835EE" w14:textId="77777777" w:rsidR="00B56301" w:rsidRPr="002010BD" w:rsidRDefault="00B56301" w:rsidP="00B37B65">
            <w:pPr>
              <w:jc w:val="right"/>
              <w:rPr>
                <w:rFonts w:asciiTheme="minorHAnsi" w:hAnsiTheme="minorHAnsi"/>
                <w:sz w:val="16"/>
                <w:szCs w:val="14"/>
              </w:rPr>
            </w:pPr>
            <w:r w:rsidRPr="00C2292B">
              <w:rPr>
                <w:sz w:val="16"/>
                <w:szCs w:val="18"/>
              </w:rPr>
              <w:t>145,18</w:t>
            </w:r>
          </w:p>
        </w:tc>
        <w:tc>
          <w:tcPr>
            <w:tcW w:w="991" w:type="dxa"/>
            <w:tcBorders>
              <w:top w:val="nil"/>
              <w:left w:val="nil"/>
              <w:bottom w:val="single" w:sz="4" w:space="0" w:color="auto"/>
              <w:right w:val="single" w:sz="4" w:space="0" w:color="auto"/>
            </w:tcBorders>
            <w:shd w:val="clear" w:color="000000" w:fill="FFFFFF"/>
            <w:noWrap/>
            <w:vAlign w:val="bottom"/>
            <w:hideMark/>
          </w:tcPr>
          <w:p w14:paraId="4A499BCA" w14:textId="77777777" w:rsidR="00B56301" w:rsidRPr="002010BD" w:rsidRDefault="00B56301" w:rsidP="00B37B65">
            <w:pPr>
              <w:jc w:val="right"/>
              <w:rPr>
                <w:rFonts w:asciiTheme="minorHAnsi" w:hAnsiTheme="minorHAnsi"/>
                <w:sz w:val="16"/>
                <w:szCs w:val="14"/>
              </w:rPr>
            </w:pPr>
            <w:r w:rsidRPr="00C2292B">
              <w:rPr>
                <w:sz w:val="16"/>
                <w:szCs w:val="18"/>
              </w:rPr>
              <w:t>161,22</w:t>
            </w:r>
          </w:p>
        </w:tc>
        <w:tc>
          <w:tcPr>
            <w:tcW w:w="991" w:type="dxa"/>
            <w:tcBorders>
              <w:top w:val="nil"/>
              <w:left w:val="nil"/>
              <w:bottom w:val="single" w:sz="4" w:space="0" w:color="auto"/>
              <w:right w:val="single" w:sz="4" w:space="0" w:color="auto"/>
            </w:tcBorders>
            <w:shd w:val="clear" w:color="000000" w:fill="FFFFFF"/>
            <w:noWrap/>
            <w:vAlign w:val="bottom"/>
            <w:hideMark/>
          </w:tcPr>
          <w:p w14:paraId="04EA744C" w14:textId="77777777" w:rsidR="00B56301" w:rsidRPr="002010BD" w:rsidRDefault="00B56301" w:rsidP="00B37B65">
            <w:pPr>
              <w:jc w:val="right"/>
              <w:rPr>
                <w:rFonts w:asciiTheme="minorHAnsi" w:hAnsiTheme="minorHAnsi"/>
                <w:sz w:val="16"/>
                <w:szCs w:val="14"/>
              </w:rPr>
            </w:pPr>
            <w:r w:rsidRPr="00C2292B">
              <w:rPr>
                <w:sz w:val="16"/>
                <w:szCs w:val="18"/>
              </w:rPr>
              <w:t>147,87</w:t>
            </w:r>
          </w:p>
        </w:tc>
      </w:tr>
      <w:tr w:rsidR="00B56301" w:rsidRPr="00C2292B" w14:paraId="464C08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CB79FD" w14:textId="30E8B63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0D13946A" w14:textId="77777777" w:rsidR="00B56301" w:rsidRPr="002010BD" w:rsidRDefault="00B56301" w:rsidP="00B37B65">
            <w:pPr>
              <w:jc w:val="right"/>
              <w:rPr>
                <w:rFonts w:asciiTheme="minorHAnsi" w:hAnsiTheme="minorHAnsi"/>
                <w:sz w:val="16"/>
                <w:szCs w:val="14"/>
              </w:rPr>
            </w:pPr>
            <w:r w:rsidRPr="00C2292B">
              <w:rPr>
                <w:sz w:val="16"/>
                <w:szCs w:val="18"/>
              </w:rPr>
              <w:t>2,05</w:t>
            </w:r>
          </w:p>
        </w:tc>
        <w:tc>
          <w:tcPr>
            <w:tcW w:w="991" w:type="dxa"/>
            <w:tcBorders>
              <w:top w:val="nil"/>
              <w:left w:val="nil"/>
              <w:bottom w:val="single" w:sz="4" w:space="0" w:color="auto"/>
              <w:right w:val="single" w:sz="4" w:space="0" w:color="auto"/>
            </w:tcBorders>
            <w:shd w:val="clear" w:color="000000" w:fill="FFFFFF"/>
            <w:noWrap/>
            <w:vAlign w:val="bottom"/>
            <w:hideMark/>
          </w:tcPr>
          <w:p w14:paraId="43314E25" w14:textId="77777777" w:rsidR="00B56301" w:rsidRPr="002010BD" w:rsidRDefault="00B56301" w:rsidP="00B37B65">
            <w:pPr>
              <w:jc w:val="right"/>
              <w:rPr>
                <w:rFonts w:asciiTheme="minorHAnsi" w:hAnsiTheme="minorHAnsi"/>
                <w:sz w:val="16"/>
                <w:szCs w:val="14"/>
              </w:rPr>
            </w:pPr>
            <w:r w:rsidRPr="00C2292B">
              <w:rPr>
                <w:sz w:val="16"/>
                <w:szCs w:val="18"/>
              </w:rPr>
              <w:t>1,93</w:t>
            </w:r>
          </w:p>
        </w:tc>
        <w:tc>
          <w:tcPr>
            <w:tcW w:w="991" w:type="dxa"/>
            <w:tcBorders>
              <w:top w:val="nil"/>
              <w:left w:val="nil"/>
              <w:bottom w:val="single" w:sz="4" w:space="0" w:color="auto"/>
              <w:right w:val="single" w:sz="4" w:space="0" w:color="auto"/>
            </w:tcBorders>
            <w:shd w:val="clear" w:color="000000" w:fill="FFFFFF"/>
            <w:noWrap/>
            <w:vAlign w:val="bottom"/>
            <w:hideMark/>
          </w:tcPr>
          <w:p w14:paraId="558FBEA7" w14:textId="77777777" w:rsidR="00B56301" w:rsidRPr="002010BD" w:rsidRDefault="00B56301" w:rsidP="00B37B65">
            <w:pPr>
              <w:jc w:val="right"/>
              <w:rPr>
                <w:rFonts w:asciiTheme="minorHAnsi" w:hAnsiTheme="minorHAnsi"/>
                <w:sz w:val="16"/>
                <w:szCs w:val="14"/>
              </w:rPr>
            </w:pPr>
            <w:r w:rsidRPr="00C2292B">
              <w:rPr>
                <w:sz w:val="16"/>
                <w:szCs w:val="18"/>
              </w:rPr>
              <w:t>2,36</w:t>
            </w:r>
          </w:p>
        </w:tc>
        <w:tc>
          <w:tcPr>
            <w:tcW w:w="991" w:type="dxa"/>
            <w:tcBorders>
              <w:top w:val="nil"/>
              <w:left w:val="nil"/>
              <w:bottom w:val="single" w:sz="4" w:space="0" w:color="auto"/>
              <w:right w:val="single" w:sz="4" w:space="0" w:color="auto"/>
            </w:tcBorders>
            <w:shd w:val="clear" w:color="000000" w:fill="FFFFFF"/>
            <w:noWrap/>
            <w:vAlign w:val="bottom"/>
            <w:hideMark/>
          </w:tcPr>
          <w:p w14:paraId="0691E503" w14:textId="77777777" w:rsidR="00B56301" w:rsidRPr="002010BD" w:rsidRDefault="00B56301" w:rsidP="00B37B65">
            <w:pPr>
              <w:jc w:val="right"/>
              <w:rPr>
                <w:rFonts w:asciiTheme="minorHAnsi" w:hAnsiTheme="minorHAnsi"/>
                <w:sz w:val="16"/>
                <w:szCs w:val="14"/>
              </w:rPr>
            </w:pPr>
            <w:r w:rsidRPr="00C2292B">
              <w:rPr>
                <w:sz w:val="16"/>
                <w:szCs w:val="18"/>
              </w:rPr>
              <w:t>2,35</w:t>
            </w:r>
          </w:p>
        </w:tc>
        <w:tc>
          <w:tcPr>
            <w:tcW w:w="991" w:type="dxa"/>
            <w:tcBorders>
              <w:top w:val="nil"/>
              <w:left w:val="nil"/>
              <w:bottom w:val="single" w:sz="4" w:space="0" w:color="auto"/>
              <w:right w:val="single" w:sz="4" w:space="0" w:color="auto"/>
            </w:tcBorders>
            <w:shd w:val="clear" w:color="000000" w:fill="FFFFFF"/>
            <w:noWrap/>
            <w:vAlign w:val="bottom"/>
            <w:hideMark/>
          </w:tcPr>
          <w:p w14:paraId="260B5D7D" w14:textId="77777777" w:rsidR="00B56301" w:rsidRPr="002010BD" w:rsidRDefault="00B56301" w:rsidP="00B37B65">
            <w:pPr>
              <w:jc w:val="right"/>
              <w:rPr>
                <w:rFonts w:asciiTheme="minorHAnsi" w:hAnsiTheme="minorHAnsi"/>
                <w:sz w:val="16"/>
                <w:szCs w:val="14"/>
              </w:rPr>
            </w:pPr>
            <w:r w:rsidRPr="00C2292B">
              <w:rPr>
                <w:sz w:val="16"/>
                <w:szCs w:val="18"/>
              </w:rPr>
              <w:t>2,38</w:t>
            </w:r>
          </w:p>
        </w:tc>
        <w:tc>
          <w:tcPr>
            <w:tcW w:w="991" w:type="dxa"/>
            <w:tcBorders>
              <w:top w:val="nil"/>
              <w:left w:val="nil"/>
              <w:bottom w:val="single" w:sz="4" w:space="0" w:color="auto"/>
              <w:right w:val="single" w:sz="4" w:space="0" w:color="auto"/>
            </w:tcBorders>
            <w:shd w:val="clear" w:color="000000" w:fill="FFFFFF"/>
            <w:noWrap/>
            <w:vAlign w:val="bottom"/>
            <w:hideMark/>
          </w:tcPr>
          <w:p w14:paraId="1D0E3D22" w14:textId="77777777" w:rsidR="00B56301" w:rsidRPr="002010BD" w:rsidRDefault="00B56301" w:rsidP="00B37B65">
            <w:pPr>
              <w:jc w:val="right"/>
              <w:rPr>
                <w:rFonts w:asciiTheme="minorHAnsi" w:hAnsiTheme="minorHAnsi"/>
                <w:sz w:val="16"/>
                <w:szCs w:val="14"/>
              </w:rPr>
            </w:pPr>
            <w:r w:rsidRPr="00C2292B">
              <w:rPr>
                <w:sz w:val="16"/>
                <w:szCs w:val="18"/>
              </w:rPr>
              <w:t>2,28</w:t>
            </w:r>
          </w:p>
        </w:tc>
      </w:tr>
      <w:tr w:rsidR="00B56301" w:rsidRPr="00C2292B" w14:paraId="0A25E1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DEF973" w14:textId="6AA240B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1E14993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747280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FD6715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C74C0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BBB90C"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B6F6C6"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1633B6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3E12A2" w14:textId="6D9A11FC"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A5DC34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A18EF8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AAEAF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D059B9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B2DD13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7C0B02E"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2AE12E4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E71B72" w14:textId="4AB0D866"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3514B736" w14:textId="77777777" w:rsidR="00B56301" w:rsidRPr="002010BD" w:rsidRDefault="00B56301" w:rsidP="00B37B65">
            <w:pPr>
              <w:jc w:val="right"/>
              <w:rPr>
                <w:rFonts w:asciiTheme="minorHAnsi" w:hAnsiTheme="minorHAnsi"/>
                <w:sz w:val="16"/>
                <w:szCs w:val="14"/>
              </w:rPr>
            </w:pPr>
            <w:r w:rsidRPr="00C2292B">
              <w:rPr>
                <w:sz w:val="16"/>
                <w:szCs w:val="18"/>
              </w:rPr>
              <w:t>1,71</w:t>
            </w:r>
          </w:p>
        </w:tc>
        <w:tc>
          <w:tcPr>
            <w:tcW w:w="991" w:type="dxa"/>
            <w:tcBorders>
              <w:top w:val="nil"/>
              <w:left w:val="nil"/>
              <w:bottom w:val="single" w:sz="4" w:space="0" w:color="auto"/>
              <w:right w:val="single" w:sz="4" w:space="0" w:color="auto"/>
            </w:tcBorders>
            <w:shd w:val="clear" w:color="000000" w:fill="FFFFFF"/>
            <w:noWrap/>
            <w:vAlign w:val="bottom"/>
            <w:hideMark/>
          </w:tcPr>
          <w:p w14:paraId="76C56170" w14:textId="77777777" w:rsidR="00B56301" w:rsidRPr="002010BD" w:rsidRDefault="00B56301" w:rsidP="00B37B65">
            <w:pPr>
              <w:jc w:val="right"/>
              <w:rPr>
                <w:rFonts w:asciiTheme="minorHAnsi" w:hAnsiTheme="minorHAnsi"/>
                <w:sz w:val="16"/>
                <w:szCs w:val="14"/>
              </w:rPr>
            </w:pPr>
            <w:r w:rsidRPr="00C2292B">
              <w:rPr>
                <w:sz w:val="16"/>
                <w:szCs w:val="18"/>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0D380931" w14:textId="77777777" w:rsidR="00B56301" w:rsidRPr="002010BD" w:rsidRDefault="00B56301" w:rsidP="00B37B65">
            <w:pPr>
              <w:jc w:val="right"/>
              <w:rPr>
                <w:rFonts w:asciiTheme="minorHAnsi" w:hAnsiTheme="minorHAnsi"/>
                <w:sz w:val="16"/>
                <w:szCs w:val="14"/>
              </w:rPr>
            </w:pPr>
            <w:r w:rsidRPr="00C2292B">
              <w:rPr>
                <w:sz w:val="16"/>
                <w:szCs w:val="18"/>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39C547E3" w14:textId="77777777" w:rsidR="00B56301" w:rsidRPr="002010BD" w:rsidRDefault="00B56301" w:rsidP="00B37B65">
            <w:pPr>
              <w:jc w:val="right"/>
              <w:rPr>
                <w:rFonts w:asciiTheme="minorHAnsi" w:hAnsiTheme="minorHAnsi"/>
                <w:sz w:val="16"/>
                <w:szCs w:val="14"/>
              </w:rPr>
            </w:pPr>
            <w:r w:rsidRPr="00C2292B">
              <w:rPr>
                <w:sz w:val="16"/>
                <w:szCs w:val="18"/>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606393F3" w14:textId="77777777" w:rsidR="00B56301" w:rsidRPr="002010BD" w:rsidRDefault="00B56301" w:rsidP="00B37B65">
            <w:pPr>
              <w:jc w:val="right"/>
              <w:rPr>
                <w:rFonts w:asciiTheme="minorHAnsi" w:hAnsiTheme="minorHAnsi"/>
                <w:sz w:val="16"/>
                <w:szCs w:val="14"/>
              </w:rPr>
            </w:pPr>
            <w:r w:rsidRPr="00C2292B">
              <w:rPr>
                <w:sz w:val="16"/>
                <w:szCs w:val="18"/>
              </w:rPr>
              <w:t>1,63</w:t>
            </w:r>
          </w:p>
        </w:tc>
        <w:tc>
          <w:tcPr>
            <w:tcW w:w="991" w:type="dxa"/>
            <w:tcBorders>
              <w:top w:val="nil"/>
              <w:left w:val="nil"/>
              <w:bottom w:val="single" w:sz="4" w:space="0" w:color="auto"/>
              <w:right w:val="single" w:sz="4" w:space="0" w:color="auto"/>
            </w:tcBorders>
            <w:shd w:val="clear" w:color="000000" w:fill="FFFFFF"/>
            <w:noWrap/>
            <w:vAlign w:val="bottom"/>
            <w:hideMark/>
          </w:tcPr>
          <w:p w14:paraId="672FABDD" w14:textId="77777777" w:rsidR="00B56301" w:rsidRPr="002010BD" w:rsidRDefault="00B56301" w:rsidP="00B37B65">
            <w:pPr>
              <w:jc w:val="right"/>
              <w:rPr>
                <w:rFonts w:asciiTheme="minorHAnsi" w:hAnsiTheme="minorHAnsi"/>
                <w:sz w:val="16"/>
                <w:szCs w:val="14"/>
              </w:rPr>
            </w:pPr>
            <w:r w:rsidRPr="00C2292B">
              <w:rPr>
                <w:sz w:val="16"/>
                <w:szCs w:val="18"/>
              </w:rPr>
              <w:t>1,57</w:t>
            </w:r>
          </w:p>
        </w:tc>
      </w:tr>
      <w:tr w:rsidR="00B56301" w:rsidRPr="00C2292B" w14:paraId="235EAF1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B93056" w14:textId="7D6A919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2A80253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1207DE2"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8A04D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7E89FB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443A1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75AC46"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2678D7C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6F6E35" w14:textId="7C60A4E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07E395D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F8F20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694CC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B4185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174AA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96C7BA"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018A1F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F9CEE6" w14:textId="22A2F162"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7E83017A"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DCA0CE"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11BF7F"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EC61F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B77817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ADD32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034AB8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E2F6DA" w14:textId="601310B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6024D38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FD3A83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5E910C2"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34C71C"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8C72E8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C51A59A"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65B928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648C192A"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6DAE41E4" w14:textId="77777777" w:rsidR="00B56301" w:rsidRPr="002010BD" w:rsidRDefault="00B56301" w:rsidP="00B37B65">
            <w:pPr>
              <w:jc w:val="right"/>
              <w:rPr>
                <w:rFonts w:asciiTheme="minorHAnsi" w:hAnsiTheme="minorHAnsi"/>
                <w:sz w:val="16"/>
                <w:szCs w:val="14"/>
              </w:rPr>
            </w:pPr>
            <w:r w:rsidRPr="00C2292B">
              <w:rPr>
                <w:sz w:val="16"/>
                <w:szCs w:val="18"/>
              </w:rPr>
              <w:t>45,41</w:t>
            </w:r>
          </w:p>
        </w:tc>
        <w:tc>
          <w:tcPr>
            <w:tcW w:w="991" w:type="dxa"/>
            <w:tcBorders>
              <w:top w:val="nil"/>
              <w:left w:val="nil"/>
              <w:bottom w:val="single" w:sz="4" w:space="0" w:color="auto"/>
              <w:right w:val="single" w:sz="4" w:space="0" w:color="auto"/>
            </w:tcBorders>
            <w:shd w:val="clear" w:color="000000" w:fill="CCFFFF"/>
            <w:noWrap/>
            <w:vAlign w:val="bottom"/>
            <w:hideMark/>
          </w:tcPr>
          <w:p w14:paraId="5122AC4E" w14:textId="77777777" w:rsidR="00B56301" w:rsidRPr="002010BD" w:rsidRDefault="00B56301" w:rsidP="00B37B65">
            <w:pPr>
              <w:jc w:val="right"/>
              <w:rPr>
                <w:rFonts w:asciiTheme="minorHAnsi" w:hAnsiTheme="minorHAnsi"/>
                <w:sz w:val="16"/>
                <w:szCs w:val="14"/>
              </w:rPr>
            </w:pPr>
            <w:r w:rsidRPr="00C2292B">
              <w:rPr>
                <w:sz w:val="16"/>
                <w:szCs w:val="18"/>
              </w:rPr>
              <w:t>43,99</w:t>
            </w:r>
          </w:p>
        </w:tc>
        <w:tc>
          <w:tcPr>
            <w:tcW w:w="991" w:type="dxa"/>
            <w:tcBorders>
              <w:top w:val="nil"/>
              <w:left w:val="nil"/>
              <w:bottom w:val="single" w:sz="4" w:space="0" w:color="auto"/>
              <w:right w:val="single" w:sz="4" w:space="0" w:color="auto"/>
            </w:tcBorders>
            <w:shd w:val="clear" w:color="000000" w:fill="CCFFFF"/>
            <w:noWrap/>
            <w:vAlign w:val="bottom"/>
            <w:hideMark/>
          </w:tcPr>
          <w:p w14:paraId="3A391C81" w14:textId="77777777" w:rsidR="00B56301" w:rsidRPr="002010BD" w:rsidRDefault="00B56301" w:rsidP="00B37B65">
            <w:pPr>
              <w:jc w:val="right"/>
              <w:rPr>
                <w:rFonts w:asciiTheme="minorHAnsi" w:hAnsiTheme="minorHAnsi"/>
                <w:sz w:val="16"/>
                <w:szCs w:val="14"/>
              </w:rPr>
            </w:pPr>
            <w:r w:rsidRPr="00C2292B">
              <w:rPr>
                <w:sz w:val="16"/>
                <w:szCs w:val="18"/>
              </w:rPr>
              <w:t>44,73</w:t>
            </w:r>
          </w:p>
        </w:tc>
        <w:tc>
          <w:tcPr>
            <w:tcW w:w="991" w:type="dxa"/>
            <w:tcBorders>
              <w:top w:val="nil"/>
              <w:left w:val="nil"/>
              <w:bottom w:val="single" w:sz="4" w:space="0" w:color="auto"/>
              <w:right w:val="single" w:sz="4" w:space="0" w:color="auto"/>
            </w:tcBorders>
            <w:shd w:val="clear" w:color="000000" w:fill="CCFFFF"/>
            <w:noWrap/>
            <w:vAlign w:val="bottom"/>
            <w:hideMark/>
          </w:tcPr>
          <w:p w14:paraId="3C07577B" w14:textId="77777777" w:rsidR="00B56301" w:rsidRPr="002010BD" w:rsidRDefault="00B56301" w:rsidP="00B37B65">
            <w:pPr>
              <w:jc w:val="right"/>
              <w:rPr>
                <w:rFonts w:asciiTheme="minorHAnsi" w:hAnsiTheme="minorHAnsi"/>
                <w:sz w:val="16"/>
                <w:szCs w:val="14"/>
              </w:rPr>
            </w:pPr>
            <w:r w:rsidRPr="00C2292B">
              <w:rPr>
                <w:sz w:val="16"/>
                <w:szCs w:val="18"/>
              </w:rPr>
              <w:t>45,19</w:t>
            </w:r>
          </w:p>
        </w:tc>
        <w:tc>
          <w:tcPr>
            <w:tcW w:w="991" w:type="dxa"/>
            <w:tcBorders>
              <w:top w:val="nil"/>
              <w:left w:val="nil"/>
              <w:bottom w:val="single" w:sz="4" w:space="0" w:color="auto"/>
              <w:right w:val="single" w:sz="4" w:space="0" w:color="auto"/>
            </w:tcBorders>
            <w:shd w:val="clear" w:color="000000" w:fill="CCFFFF"/>
            <w:noWrap/>
            <w:vAlign w:val="bottom"/>
            <w:hideMark/>
          </w:tcPr>
          <w:p w14:paraId="00B3E2A1" w14:textId="77777777" w:rsidR="00B56301" w:rsidRPr="002010BD" w:rsidRDefault="00B56301" w:rsidP="00B37B65">
            <w:pPr>
              <w:jc w:val="right"/>
              <w:rPr>
                <w:rFonts w:asciiTheme="minorHAnsi" w:hAnsiTheme="minorHAnsi"/>
                <w:sz w:val="16"/>
                <w:szCs w:val="14"/>
              </w:rPr>
            </w:pPr>
            <w:r w:rsidRPr="00C2292B">
              <w:rPr>
                <w:sz w:val="16"/>
                <w:szCs w:val="18"/>
              </w:rPr>
              <w:t>44,28</w:t>
            </w:r>
          </w:p>
        </w:tc>
        <w:tc>
          <w:tcPr>
            <w:tcW w:w="991" w:type="dxa"/>
            <w:tcBorders>
              <w:top w:val="nil"/>
              <w:left w:val="nil"/>
              <w:bottom w:val="single" w:sz="4" w:space="0" w:color="auto"/>
              <w:right w:val="single" w:sz="4" w:space="0" w:color="auto"/>
            </w:tcBorders>
            <w:shd w:val="clear" w:color="000000" w:fill="CCFFFF"/>
            <w:noWrap/>
            <w:vAlign w:val="bottom"/>
            <w:hideMark/>
          </w:tcPr>
          <w:p w14:paraId="1009DEE8" w14:textId="77777777" w:rsidR="00B56301" w:rsidRPr="002010BD" w:rsidRDefault="00B56301" w:rsidP="00B37B65">
            <w:pPr>
              <w:jc w:val="right"/>
              <w:rPr>
                <w:rFonts w:asciiTheme="minorHAnsi" w:hAnsiTheme="minorHAnsi"/>
                <w:sz w:val="16"/>
                <w:szCs w:val="14"/>
              </w:rPr>
            </w:pPr>
            <w:r w:rsidRPr="00C2292B">
              <w:rPr>
                <w:sz w:val="16"/>
                <w:szCs w:val="18"/>
              </w:rPr>
              <w:t>43,58</w:t>
            </w:r>
          </w:p>
        </w:tc>
      </w:tr>
      <w:tr w:rsidR="00B56301" w:rsidRPr="00C2292B" w14:paraId="76E772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4FA64A" w14:textId="5676488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9AB1CC8" w14:textId="77777777" w:rsidR="00B56301" w:rsidRPr="002010BD" w:rsidRDefault="00B56301" w:rsidP="00B37B65">
            <w:pPr>
              <w:jc w:val="right"/>
              <w:rPr>
                <w:rFonts w:asciiTheme="minorHAnsi" w:hAnsiTheme="minorHAnsi"/>
                <w:sz w:val="16"/>
                <w:szCs w:val="14"/>
              </w:rPr>
            </w:pPr>
            <w:r w:rsidRPr="00C2292B">
              <w:rPr>
                <w:sz w:val="16"/>
                <w:szCs w:val="18"/>
              </w:rPr>
              <w:t>19,69</w:t>
            </w:r>
          </w:p>
        </w:tc>
        <w:tc>
          <w:tcPr>
            <w:tcW w:w="991" w:type="dxa"/>
            <w:tcBorders>
              <w:top w:val="nil"/>
              <w:left w:val="nil"/>
              <w:bottom w:val="single" w:sz="4" w:space="0" w:color="auto"/>
              <w:right w:val="single" w:sz="4" w:space="0" w:color="auto"/>
            </w:tcBorders>
            <w:shd w:val="clear" w:color="000000" w:fill="FFFFFF"/>
            <w:noWrap/>
            <w:vAlign w:val="bottom"/>
            <w:hideMark/>
          </w:tcPr>
          <w:p w14:paraId="047BEB78" w14:textId="77777777" w:rsidR="00B56301" w:rsidRPr="002010BD" w:rsidRDefault="00B56301" w:rsidP="00B37B65">
            <w:pPr>
              <w:jc w:val="right"/>
              <w:rPr>
                <w:rFonts w:asciiTheme="minorHAnsi" w:hAnsiTheme="minorHAnsi"/>
                <w:sz w:val="16"/>
                <w:szCs w:val="14"/>
              </w:rPr>
            </w:pPr>
            <w:r w:rsidRPr="00C2292B">
              <w:rPr>
                <w:sz w:val="16"/>
                <w:szCs w:val="18"/>
              </w:rPr>
              <w:t>18,94</w:t>
            </w:r>
          </w:p>
        </w:tc>
        <w:tc>
          <w:tcPr>
            <w:tcW w:w="991" w:type="dxa"/>
            <w:tcBorders>
              <w:top w:val="nil"/>
              <w:left w:val="nil"/>
              <w:bottom w:val="single" w:sz="4" w:space="0" w:color="auto"/>
              <w:right w:val="single" w:sz="4" w:space="0" w:color="auto"/>
            </w:tcBorders>
            <w:shd w:val="clear" w:color="000000" w:fill="FFFFFF"/>
            <w:noWrap/>
            <w:vAlign w:val="bottom"/>
            <w:hideMark/>
          </w:tcPr>
          <w:p w14:paraId="210500A9" w14:textId="77777777" w:rsidR="00B56301" w:rsidRPr="002010BD" w:rsidRDefault="00B56301" w:rsidP="00B37B65">
            <w:pPr>
              <w:jc w:val="right"/>
              <w:rPr>
                <w:rFonts w:asciiTheme="minorHAnsi" w:hAnsiTheme="minorHAnsi"/>
                <w:sz w:val="16"/>
                <w:szCs w:val="14"/>
              </w:rPr>
            </w:pPr>
            <w:r w:rsidRPr="00C2292B">
              <w:rPr>
                <w:sz w:val="16"/>
                <w:szCs w:val="18"/>
              </w:rPr>
              <w:t>20,88</w:t>
            </w:r>
          </w:p>
        </w:tc>
        <w:tc>
          <w:tcPr>
            <w:tcW w:w="991" w:type="dxa"/>
            <w:tcBorders>
              <w:top w:val="nil"/>
              <w:left w:val="nil"/>
              <w:bottom w:val="single" w:sz="4" w:space="0" w:color="auto"/>
              <w:right w:val="single" w:sz="4" w:space="0" w:color="auto"/>
            </w:tcBorders>
            <w:shd w:val="clear" w:color="000000" w:fill="FFFFFF"/>
            <w:noWrap/>
            <w:vAlign w:val="bottom"/>
            <w:hideMark/>
          </w:tcPr>
          <w:p w14:paraId="57F7115C" w14:textId="77777777" w:rsidR="00B56301" w:rsidRPr="002010BD" w:rsidRDefault="00B56301" w:rsidP="00B37B65">
            <w:pPr>
              <w:jc w:val="right"/>
              <w:rPr>
                <w:rFonts w:asciiTheme="minorHAnsi" w:hAnsiTheme="minorHAnsi"/>
                <w:sz w:val="16"/>
                <w:szCs w:val="14"/>
              </w:rPr>
            </w:pPr>
            <w:r w:rsidRPr="00C2292B">
              <w:rPr>
                <w:sz w:val="16"/>
                <w:szCs w:val="18"/>
              </w:rPr>
              <w:t>22,40</w:t>
            </w:r>
          </w:p>
        </w:tc>
        <w:tc>
          <w:tcPr>
            <w:tcW w:w="991" w:type="dxa"/>
            <w:tcBorders>
              <w:top w:val="nil"/>
              <w:left w:val="nil"/>
              <w:bottom w:val="single" w:sz="4" w:space="0" w:color="auto"/>
              <w:right w:val="single" w:sz="4" w:space="0" w:color="auto"/>
            </w:tcBorders>
            <w:shd w:val="clear" w:color="000000" w:fill="FFFFFF"/>
            <w:noWrap/>
            <w:vAlign w:val="bottom"/>
            <w:hideMark/>
          </w:tcPr>
          <w:p w14:paraId="3C61D894" w14:textId="77777777" w:rsidR="00B56301" w:rsidRPr="002010BD" w:rsidRDefault="00B56301" w:rsidP="00B37B65">
            <w:pPr>
              <w:jc w:val="right"/>
              <w:rPr>
                <w:rFonts w:asciiTheme="minorHAnsi" w:hAnsiTheme="minorHAnsi"/>
                <w:sz w:val="16"/>
                <w:szCs w:val="14"/>
              </w:rPr>
            </w:pPr>
            <w:r w:rsidRPr="00C2292B">
              <w:rPr>
                <w:sz w:val="16"/>
                <w:szCs w:val="18"/>
              </w:rPr>
              <w:t>22,53</w:t>
            </w:r>
          </w:p>
        </w:tc>
        <w:tc>
          <w:tcPr>
            <w:tcW w:w="991" w:type="dxa"/>
            <w:tcBorders>
              <w:top w:val="nil"/>
              <w:left w:val="nil"/>
              <w:bottom w:val="single" w:sz="4" w:space="0" w:color="auto"/>
              <w:right w:val="single" w:sz="4" w:space="0" w:color="auto"/>
            </w:tcBorders>
            <w:shd w:val="clear" w:color="000000" w:fill="FFFFFF"/>
            <w:noWrap/>
            <w:vAlign w:val="bottom"/>
            <w:hideMark/>
          </w:tcPr>
          <w:p w14:paraId="10BE7DA9" w14:textId="77777777" w:rsidR="00B56301" w:rsidRPr="002010BD" w:rsidRDefault="00B56301" w:rsidP="00B37B65">
            <w:pPr>
              <w:jc w:val="right"/>
              <w:rPr>
                <w:rFonts w:asciiTheme="minorHAnsi" w:hAnsiTheme="minorHAnsi"/>
                <w:sz w:val="16"/>
                <w:szCs w:val="14"/>
              </w:rPr>
            </w:pPr>
            <w:r w:rsidRPr="00C2292B">
              <w:rPr>
                <w:sz w:val="16"/>
                <w:szCs w:val="18"/>
              </w:rPr>
              <w:t>21,83</w:t>
            </w:r>
          </w:p>
        </w:tc>
      </w:tr>
      <w:tr w:rsidR="00B56301" w:rsidRPr="00C2292B" w14:paraId="0091A7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1A6B6B" w14:textId="12CA28E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897AC6F" w14:textId="77777777" w:rsidR="00B56301" w:rsidRPr="002010BD" w:rsidRDefault="00B56301" w:rsidP="00B37B65">
            <w:pPr>
              <w:jc w:val="right"/>
              <w:rPr>
                <w:rFonts w:asciiTheme="minorHAnsi" w:hAnsiTheme="minorHAnsi"/>
                <w:sz w:val="16"/>
                <w:szCs w:val="14"/>
              </w:rPr>
            </w:pPr>
            <w:r w:rsidRPr="00C2292B">
              <w:rPr>
                <w:sz w:val="16"/>
                <w:szCs w:val="18"/>
              </w:rPr>
              <w:t>4,78</w:t>
            </w:r>
          </w:p>
        </w:tc>
        <w:tc>
          <w:tcPr>
            <w:tcW w:w="991" w:type="dxa"/>
            <w:tcBorders>
              <w:top w:val="nil"/>
              <w:left w:val="nil"/>
              <w:bottom w:val="single" w:sz="4" w:space="0" w:color="auto"/>
              <w:right w:val="single" w:sz="4" w:space="0" w:color="auto"/>
            </w:tcBorders>
            <w:shd w:val="clear" w:color="000000" w:fill="FFFFFF"/>
            <w:noWrap/>
            <w:vAlign w:val="bottom"/>
            <w:hideMark/>
          </w:tcPr>
          <w:p w14:paraId="0DBED985" w14:textId="77777777" w:rsidR="00B56301" w:rsidRPr="002010BD" w:rsidRDefault="00B56301" w:rsidP="00B37B65">
            <w:pPr>
              <w:jc w:val="right"/>
              <w:rPr>
                <w:rFonts w:asciiTheme="minorHAnsi" w:hAnsiTheme="minorHAnsi"/>
                <w:sz w:val="16"/>
                <w:szCs w:val="14"/>
              </w:rPr>
            </w:pPr>
            <w:r w:rsidRPr="00C2292B">
              <w:rPr>
                <w:sz w:val="16"/>
                <w:szCs w:val="18"/>
              </w:rPr>
              <w:t>5,01</w:t>
            </w:r>
          </w:p>
        </w:tc>
        <w:tc>
          <w:tcPr>
            <w:tcW w:w="991" w:type="dxa"/>
            <w:tcBorders>
              <w:top w:val="nil"/>
              <w:left w:val="nil"/>
              <w:bottom w:val="single" w:sz="4" w:space="0" w:color="auto"/>
              <w:right w:val="single" w:sz="4" w:space="0" w:color="auto"/>
            </w:tcBorders>
            <w:shd w:val="clear" w:color="000000" w:fill="FFFFFF"/>
            <w:noWrap/>
            <w:vAlign w:val="bottom"/>
            <w:hideMark/>
          </w:tcPr>
          <w:p w14:paraId="6DAB89D2" w14:textId="77777777" w:rsidR="00B56301" w:rsidRPr="002010BD" w:rsidRDefault="00B56301" w:rsidP="00B37B65">
            <w:pPr>
              <w:jc w:val="right"/>
              <w:rPr>
                <w:rFonts w:asciiTheme="minorHAnsi" w:hAnsiTheme="minorHAnsi"/>
                <w:sz w:val="16"/>
                <w:szCs w:val="14"/>
              </w:rPr>
            </w:pPr>
            <w:r w:rsidRPr="00C2292B">
              <w:rPr>
                <w:sz w:val="16"/>
                <w:szCs w:val="18"/>
              </w:rPr>
              <w:t>4,82</w:t>
            </w:r>
          </w:p>
        </w:tc>
        <w:tc>
          <w:tcPr>
            <w:tcW w:w="991" w:type="dxa"/>
            <w:tcBorders>
              <w:top w:val="nil"/>
              <w:left w:val="nil"/>
              <w:bottom w:val="single" w:sz="4" w:space="0" w:color="auto"/>
              <w:right w:val="single" w:sz="4" w:space="0" w:color="auto"/>
            </w:tcBorders>
            <w:shd w:val="clear" w:color="000000" w:fill="FFFFFF"/>
            <w:noWrap/>
            <w:vAlign w:val="bottom"/>
            <w:hideMark/>
          </w:tcPr>
          <w:p w14:paraId="68D33A91" w14:textId="77777777" w:rsidR="00B56301" w:rsidRPr="002010BD" w:rsidRDefault="00B56301" w:rsidP="00B37B65">
            <w:pPr>
              <w:jc w:val="right"/>
              <w:rPr>
                <w:rFonts w:asciiTheme="minorHAnsi" w:hAnsiTheme="minorHAnsi"/>
                <w:sz w:val="16"/>
                <w:szCs w:val="14"/>
              </w:rPr>
            </w:pPr>
            <w:r w:rsidRPr="00C2292B">
              <w:rPr>
                <w:sz w:val="16"/>
                <w:szCs w:val="18"/>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0A7AC17E" w14:textId="77777777" w:rsidR="00B56301" w:rsidRPr="002010BD" w:rsidRDefault="00B56301" w:rsidP="00B37B65">
            <w:pPr>
              <w:jc w:val="right"/>
              <w:rPr>
                <w:rFonts w:asciiTheme="minorHAnsi" w:hAnsiTheme="minorHAnsi"/>
                <w:sz w:val="16"/>
                <w:szCs w:val="14"/>
              </w:rPr>
            </w:pPr>
            <w:r w:rsidRPr="00C2292B">
              <w:rPr>
                <w:sz w:val="16"/>
                <w:szCs w:val="18"/>
              </w:rPr>
              <w:t>4,57</w:t>
            </w:r>
          </w:p>
        </w:tc>
        <w:tc>
          <w:tcPr>
            <w:tcW w:w="991" w:type="dxa"/>
            <w:tcBorders>
              <w:top w:val="nil"/>
              <w:left w:val="nil"/>
              <w:bottom w:val="single" w:sz="4" w:space="0" w:color="auto"/>
              <w:right w:val="single" w:sz="4" w:space="0" w:color="auto"/>
            </w:tcBorders>
            <w:shd w:val="clear" w:color="000000" w:fill="FFFFFF"/>
            <w:noWrap/>
            <w:vAlign w:val="bottom"/>
            <w:hideMark/>
          </w:tcPr>
          <w:p w14:paraId="225DB912" w14:textId="77777777" w:rsidR="00B56301" w:rsidRPr="002010BD" w:rsidRDefault="00B56301" w:rsidP="00B37B65">
            <w:pPr>
              <w:jc w:val="right"/>
              <w:rPr>
                <w:rFonts w:asciiTheme="minorHAnsi" w:hAnsiTheme="minorHAnsi"/>
                <w:sz w:val="16"/>
                <w:szCs w:val="14"/>
              </w:rPr>
            </w:pPr>
            <w:r w:rsidRPr="00C2292B">
              <w:rPr>
                <w:sz w:val="16"/>
                <w:szCs w:val="18"/>
              </w:rPr>
              <w:t>4,62</w:t>
            </w:r>
          </w:p>
        </w:tc>
      </w:tr>
      <w:tr w:rsidR="00B56301" w:rsidRPr="00C2292B" w14:paraId="45808F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EC6652C" w14:textId="7090246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4C24394D" w14:textId="77777777" w:rsidR="00B56301" w:rsidRPr="002010BD" w:rsidRDefault="00B56301" w:rsidP="00B37B65">
            <w:pPr>
              <w:jc w:val="right"/>
              <w:rPr>
                <w:rFonts w:asciiTheme="minorHAnsi" w:hAnsiTheme="minorHAnsi"/>
                <w:sz w:val="16"/>
                <w:szCs w:val="14"/>
              </w:rPr>
            </w:pPr>
            <w:r w:rsidRPr="00C2292B">
              <w:rPr>
                <w:sz w:val="16"/>
                <w:szCs w:val="18"/>
              </w:rPr>
              <w:t>6,94</w:t>
            </w:r>
          </w:p>
        </w:tc>
        <w:tc>
          <w:tcPr>
            <w:tcW w:w="991" w:type="dxa"/>
            <w:tcBorders>
              <w:top w:val="nil"/>
              <w:left w:val="nil"/>
              <w:bottom w:val="single" w:sz="4" w:space="0" w:color="auto"/>
              <w:right w:val="single" w:sz="4" w:space="0" w:color="auto"/>
            </w:tcBorders>
            <w:shd w:val="clear" w:color="000000" w:fill="FFFFFF"/>
            <w:noWrap/>
            <w:vAlign w:val="bottom"/>
            <w:hideMark/>
          </w:tcPr>
          <w:p w14:paraId="24B72F24" w14:textId="77777777" w:rsidR="00B56301" w:rsidRPr="002010BD" w:rsidRDefault="00B56301" w:rsidP="00B37B65">
            <w:pPr>
              <w:jc w:val="right"/>
              <w:rPr>
                <w:rFonts w:asciiTheme="minorHAnsi" w:hAnsiTheme="minorHAnsi"/>
                <w:sz w:val="16"/>
                <w:szCs w:val="14"/>
              </w:rPr>
            </w:pPr>
            <w:r w:rsidRPr="00C2292B">
              <w:rPr>
                <w:sz w:val="16"/>
                <w:szCs w:val="18"/>
              </w:rPr>
              <w:t>6,48</w:t>
            </w:r>
          </w:p>
        </w:tc>
        <w:tc>
          <w:tcPr>
            <w:tcW w:w="991" w:type="dxa"/>
            <w:tcBorders>
              <w:top w:val="nil"/>
              <w:left w:val="nil"/>
              <w:bottom w:val="single" w:sz="4" w:space="0" w:color="auto"/>
              <w:right w:val="single" w:sz="4" w:space="0" w:color="auto"/>
            </w:tcBorders>
            <w:shd w:val="clear" w:color="000000" w:fill="FFFFFF"/>
            <w:noWrap/>
            <w:vAlign w:val="bottom"/>
            <w:hideMark/>
          </w:tcPr>
          <w:p w14:paraId="22984EB3" w14:textId="77777777" w:rsidR="00B56301" w:rsidRPr="002010BD" w:rsidRDefault="00B56301" w:rsidP="00B37B65">
            <w:pPr>
              <w:jc w:val="right"/>
              <w:rPr>
                <w:rFonts w:asciiTheme="minorHAnsi" w:hAnsiTheme="minorHAnsi"/>
                <w:sz w:val="16"/>
                <w:szCs w:val="14"/>
              </w:rPr>
            </w:pPr>
            <w:r w:rsidRPr="00C2292B">
              <w:rPr>
                <w:sz w:val="16"/>
                <w:szCs w:val="18"/>
              </w:rPr>
              <w:t>6,12</w:t>
            </w:r>
          </w:p>
        </w:tc>
        <w:tc>
          <w:tcPr>
            <w:tcW w:w="991" w:type="dxa"/>
            <w:tcBorders>
              <w:top w:val="nil"/>
              <w:left w:val="nil"/>
              <w:bottom w:val="single" w:sz="4" w:space="0" w:color="auto"/>
              <w:right w:val="single" w:sz="4" w:space="0" w:color="auto"/>
            </w:tcBorders>
            <w:shd w:val="clear" w:color="000000" w:fill="FFFFFF"/>
            <w:noWrap/>
            <w:vAlign w:val="bottom"/>
            <w:hideMark/>
          </w:tcPr>
          <w:p w14:paraId="480FDB9B" w14:textId="77777777" w:rsidR="00B56301" w:rsidRPr="002010BD" w:rsidRDefault="00B56301" w:rsidP="00B37B65">
            <w:pPr>
              <w:jc w:val="right"/>
              <w:rPr>
                <w:rFonts w:asciiTheme="minorHAnsi" w:hAnsiTheme="minorHAnsi"/>
                <w:sz w:val="16"/>
                <w:szCs w:val="14"/>
              </w:rPr>
            </w:pPr>
            <w:r w:rsidRPr="00C2292B">
              <w:rPr>
                <w:sz w:val="16"/>
                <w:szCs w:val="18"/>
              </w:rPr>
              <w:t>5,71</w:t>
            </w:r>
          </w:p>
        </w:tc>
        <w:tc>
          <w:tcPr>
            <w:tcW w:w="991" w:type="dxa"/>
            <w:tcBorders>
              <w:top w:val="nil"/>
              <w:left w:val="nil"/>
              <w:bottom w:val="single" w:sz="4" w:space="0" w:color="auto"/>
              <w:right w:val="single" w:sz="4" w:space="0" w:color="auto"/>
            </w:tcBorders>
            <w:shd w:val="clear" w:color="000000" w:fill="FFFFFF"/>
            <w:noWrap/>
            <w:vAlign w:val="bottom"/>
            <w:hideMark/>
          </w:tcPr>
          <w:p w14:paraId="23689417" w14:textId="77777777" w:rsidR="00B56301" w:rsidRPr="002010BD" w:rsidRDefault="00B56301" w:rsidP="00B37B65">
            <w:pPr>
              <w:jc w:val="right"/>
              <w:rPr>
                <w:rFonts w:asciiTheme="minorHAnsi" w:hAnsiTheme="minorHAnsi"/>
                <w:sz w:val="16"/>
                <w:szCs w:val="14"/>
              </w:rPr>
            </w:pPr>
            <w:r w:rsidRPr="00C2292B">
              <w:rPr>
                <w:sz w:val="16"/>
                <w:szCs w:val="18"/>
              </w:rPr>
              <w:t>5,20</w:t>
            </w:r>
          </w:p>
        </w:tc>
        <w:tc>
          <w:tcPr>
            <w:tcW w:w="991" w:type="dxa"/>
            <w:tcBorders>
              <w:top w:val="nil"/>
              <w:left w:val="nil"/>
              <w:bottom w:val="single" w:sz="4" w:space="0" w:color="auto"/>
              <w:right w:val="single" w:sz="4" w:space="0" w:color="auto"/>
            </w:tcBorders>
            <w:shd w:val="clear" w:color="000000" w:fill="FFFFFF"/>
            <w:noWrap/>
            <w:vAlign w:val="bottom"/>
            <w:hideMark/>
          </w:tcPr>
          <w:p w14:paraId="7E05F478" w14:textId="77777777" w:rsidR="00B56301" w:rsidRPr="002010BD" w:rsidRDefault="00B56301" w:rsidP="00B37B65">
            <w:pPr>
              <w:jc w:val="right"/>
              <w:rPr>
                <w:rFonts w:asciiTheme="minorHAnsi" w:hAnsiTheme="minorHAnsi"/>
                <w:sz w:val="16"/>
                <w:szCs w:val="14"/>
              </w:rPr>
            </w:pPr>
            <w:r w:rsidRPr="00C2292B">
              <w:rPr>
                <w:sz w:val="16"/>
                <w:szCs w:val="18"/>
              </w:rPr>
              <w:t>5,28</w:t>
            </w:r>
          </w:p>
        </w:tc>
      </w:tr>
      <w:tr w:rsidR="00B56301" w:rsidRPr="00C2292B" w14:paraId="0E17C26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152295" w14:textId="64D127E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75DCB18D" w14:textId="77777777" w:rsidR="00B56301" w:rsidRPr="002010BD" w:rsidRDefault="00B56301" w:rsidP="00B37B65">
            <w:pPr>
              <w:jc w:val="right"/>
              <w:rPr>
                <w:rFonts w:asciiTheme="minorHAnsi" w:hAnsiTheme="minorHAnsi"/>
                <w:sz w:val="16"/>
                <w:szCs w:val="14"/>
              </w:rPr>
            </w:pPr>
            <w:r w:rsidRPr="00C2292B">
              <w:rPr>
                <w:sz w:val="16"/>
                <w:szCs w:val="18"/>
              </w:rPr>
              <w:t>0,54</w:t>
            </w:r>
          </w:p>
        </w:tc>
        <w:tc>
          <w:tcPr>
            <w:tcW w:w="991" w:type="dxa"/>
            <w:tcBorders>
              <w:top w:val="nil"/>
              <w:left w:val="nil"/>
              <w:bottom w:val="single" w:sz="4" w:space="0" w:color="auto"/>
              <w:right w:val="single" w:sz="4" w:space="0" w:color="auto"/>
            </w:tcBorders>
            <w:shd w:val="clear" w:color="000000" w:fill="FFFFFF"/>
            <w:noWrap/>
            <w:vAlign w:val="bottom"/>
            <w:hideMark/>
          </w:tcPr>
          <w:p w14:paraId="2E945F24" w14:textId="77777777" w:rsidR="00B56301" w:rsidRPr="002010BD" w:rsidRDefault="00B56301" w:rsidP="00B37B65">
            <w:pPr>
              <w:jc w:val="right"/>
              <w:rPr>
                <w:rFonts w:asciiTheme="minorHAnsi" w:hAnsiTheme="minorHAnsi"/>
                <w:sz w:val="16"/>
                <w:szCs w:val="14"/>
              </w:rPr>
            </w:pPr>
            <w:r w:rsidRPr="00C2292B">
              <w:rPr>
                <w:sz w:val="16"/>
                <w:szCs w:val="18"/>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0D12B7BB" w14:textId="77777777" w:rsidR="00B56301" w:rsidRPr="002010BD" w:rsidRDefault="00B56301" w:rsidP="00B37B65">
            <w:pPr>
              <w:jc w:val="right"/>
              <w:rPr>
                <w:rFonts w:asciiTheme="minorHAnsi" w:hAnsiTheme="minorHAnsi"/>
                <w:sz w:val="16"/>
                <w:szCs w:val="14"/>
              </w:rPr>
            </w:pPr>
            <w:r w:rsidRPr="00C2292B">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221F37A2" w14:textId="77777777" w:rsidR="00B56301" w:rsidRPr="002010BD" w:rsidRDefault="00B56301" w:rsidP="00B37B65">
            <w:pPr>
              <w:jc w:val="right"/>
              <w:rPr>
                <w:rFonts w:asciiTheme="minorHAnsi" w:hAnsiTheme="minorHAnsi"/>
                <w:sz w:val="16"/>
                <w:szCs w:val="14"/>
              </w:rPr>
            </w:pPr>
            <w:r w:rsidRPr="00C2292B">
              <w:rPr>
                <w:sz w:val="16"/>
                <w:szCs w:val="18"/>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2A60C42" w14:textId="77777777" w:rsidR="00B56301" w:rsidRPr="002010BD" w:rsidRDefault="00B56301" w:rsidP="00B37B65">
            <w:pPr>
              <w:jc w:val="right"/>
              <w:rPr>
                <w:rFonts w:asciiTheme="minorHAnsi" w:hAnsiTheme="minorHAnsi"/>
                <w:sz w:val="16"/>
                <w:szCs w:val="14"/>
              </w:rPr>
            </w:pPr>
            <w:r w:rsidRPr="00C2292B">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5731019D" w14:textId="77777777" w:rsidR="00B56301" w:rsidRPr="002010BD" w:rsidRDefault="00B56301" w:rsidP="00B37B65">
            <w:pPr>
              <w:jc w:val="right"/>
              <w:rPr>
                <w:rFonts w:asciiTheme="minorHAnsi" w:hAnsiTheme="minorHAnsi"/>
                <w:sz w:val="16"/>
                <w:szCs w:val="14"/>
              </w:rPr>
            </w:pPr>
            <w:r w:rsidRPr="00C2292B">
              <w:rPr>
                <w:sz w:val="16"/>
                <w:szCs w:val="18"/>
              </w:rPr>
              <w:t>0,37</w:t>
            </w:r>
          </w:p>
        </w:tc>
      </w:tr>
      <w:tr w:rsidR="00B56301" w:rsidRPr="00C2292B" w14:paraId="2F205A6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88844A" w14:textId="46F4DAC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5047D330" w14:textId="77777777" w:rsidR="00B56301" w:rsidRPr="002010BD" w:rsidRDefault="00B56301" w:rsidP="00B37B65">
            <w:pPr>
              <w:jc w:val="right"/>
              <w:rPr>
                <w:rFonts w:asciiTheme="minorHAnsi" w:hAnsiTheme="minorHAnsi"/>
                <w:sz w:val="16"/>
                <w:szCs w:val="14"/>
              </w:rPr>
            </w:pPr>
            <w:r w:rsidRPr="00C2292B">
              <w:rPr>
                <w:sz w:val="16"/>
                <w:szCs w:val="18"/>
              </w:rPr>
              <w:t>2,93</w:t>
            </w:r>
          </w:p>
        </w:tc>
        <w:tc>
          <w:tcPr>
            <w:tcW w:w="991" w:type="dxa"/>
            <w:tcBorders>
              <w:top w:val="nil"/>
              <w:left w:val="nil"/>
              <w:bottom w:val="single" w:sz="4" w:space="0" w:color="auto"/>
              <w:right w:val="single" w:sz="4" w:space="0" w:color="auto"/>
            </w:tcBorders>
            <w:shd w:val="clear" w:color="000000" w:fill="FFFFFF"/>
            <w:noWrap/>
            <w:vAlign w:val="bottom"/>
            <w:hideMark/>
          </w:tcPr>
          <w:p w14:paraId="6E7DBD23" w14:textId="77777777" w:rsidR="00B56301" w:rsidRPr="002010BD" w:rsidRDefault="00B56301" w:rsidP="00B37B65">
            <w:pPr>
              <w:jc w:val="right"/>
              <w:rPr>
                <w:rFonts w:asciiTheme="minorHAnsi" w:hAnsiTheme="minorHAnsi"/>
                <w:sz w:val="16"/>
                <w:szCs w:val="14"/>
              </w:rPr>
            </w:pPr>
            <w:r w:rsidRPr="00C2292B">
              <w:rPr>
                <w:sz w:val="16"/>
                <w:szCs w:val="18"/>
              </w:rPr>
              <w:t>3,28</w:t>
            </w:r>
          </w:p>
        </w:tc>
        <w:tc>
          <w:tcPr>
            <w:tcW w:w="991" w:type="dxa"/>
            <w:tcBorders>
              <w:top w:val="nil"/>
              <w:left w:val="nil"/>
              <w:bottom w:val="single" w:sz="4" w:space="0" w:color="auto"/>
              <w:right w:val="single" w:sz="4" w:space="0" w:color="auto"/>
            </w:tcBorders>
            <w:shd w:val="clear" w:color="000000" w:fill="FFFFFF"/>
            <w:noWrap/>
            <w:vAlign w:val="bottom"/>
            <w:hideMark/>
          </w:tcPr>
          <w:p w14:paraId="68CDECB6" w14:textId="77777777" w:rsidR="00B56301" w:rsidRPr="002010BD" w:rsidRDefault="00B56301" w:rsidP="00B37B65">
            <w:pPr>
              <w:jc w:val="right"/>
              <w:rPr>
                <w:rFonts w:asciiTheme="minorHAnsi" w:hAnsiTheme="minorHAnsi"/>
                <w:sz w:val="16"/>
                <w:szCs w:val="14"/>
              </w:rPr>
            </w:pPr>
            <w:r w:rsidRPr="00C2292B">
              <w:rPr>
                <w:sz w:val="16"/>
                <w:szCs w:val="18"/>
              </w:rPr>
              <w:t>2,91</w:t>
            </w:r>
          </w:p>
        </w:tc>
        <w:tc>
          <w:tcPr>
            <w:tcW w:w="991" w:type="dxa"/>
            <w:tcBorders>
              <w:top w:val="nil"/>
              <w:left w:val="nil"/>
              <w:bottom w:val="single" w:sz="4" w:space="0" w:color="auto"/>
              <w:right w:val="single" w:sz="4" w:space="0" w:color="auto"/>
            </w:tcBorders>
            <w:shd w:val="clear" w:color="000000" w:fill="FFFFFF"/>
            <w:noWrap/>
            <w:vAlign w:val="bottom"/>
            <w:hideMark/>
          </w:tcPr>
          <w:p w14:paraId="3EFEEBD7" w14:textId="77777777" w:rsidR="00B56301" w:rsidRPr="002010BD" w:rsidRDefault="00B56301" w:rsidP="00B37B65">
            <w:pPr>
              <w:jc w:val="right"/>
              <w:rPr>
                <w:rFonts w:asciiTheme="minorHAnsi" w:hAnsiTheme="minorHAnsi"/>
                <w:sz w:val="16"/>
                <w:szCs w:val="14"/>
              </w:rPr>
            </w:pPr>
            <w:r w:rsidRPr="00C2292B">
              <w:rPr>
                <w:sz w:val="16"/>
                <w:szCs w:val="18"/>
              </w:rPr>
              <w:t>2,49</w:t>
            </w:r>
          </w:p>
        </w:tc>
        <w:tc>
          <w:tcPr>
            <w:tcW w:w="991" w:type="dxa"/>
            <w:tcBorders>
              <w:top w:val="nil"/>
              <w:left w:val="nil"/>
              <w:bottom w:val="single" w:sz="4" w:space="0" w:color="auto"/>
              <w:right w:val="single" w:sz="4" w:space="0" w:color="auto"/>
            </w:tcBorders>
            <w:shd w:val="clear" w:color="000000" w:fill="FFFFFF"/>
            <w:noWrap/>
            <w:vAlign w:val="bottom"/>
            <w:hideMark/>
          </w:tcPr>
          <w:p w14:paraId="54AA7C42" w14:textId="77777777" w:rsidR="00B56301" w:rsidRPr="002010BD" w:rsidRDefault="00B56301" w:rsidP="00B37B65">
            <w:pPr>
              <w:jc w:val="right"/>
              <w:rPr>
                <w:rFonts w:asciiTheme="minorHAnsi" w:hAnsiTheme="minorHAnsi"/>
                <w:sz w:val="16"/>
                <w:szCs w:val="14"/>
              </w:rPr>
            </w:pPr>
            <w:r w:rsidRPr="00C2292B">
              <w:rPr>
                <w:sz w:val="16"/>
                <w:szCs w:val="18"/>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2B6DD20F" w14:textId="77777777" w:rsidR="00B56301" w:rsidRPr="002010BD" w:rsidRDefault="00B56301" w:rsidP="00B37B65">
            <w:pPr>
              <w:jc w:val="right"/>
              <w:rPr>
                <w:rFonts w:asciiTheme="minorHAnsi" w:hAnsiTheme="minorHAnsi"/>
                <w:sz w:val="16"/>
                <w:szCs w:val="14"/>
              </w:rPr>
            </w:pPr>
            <w:r w:rsidRPr="00C2292B">
              <w:rPr>
                <w:sz w:val="16"/>
                <w:szCs w:val="18"/>
              </w:rPr>
              <w:t>2,41</w:t>
            </w:r>
          </w:p>
        </w:tc>
      </w:tr>
      <w:tr w:rsidR="00B56301" w:rsidRPr="00C2292B" w14:paraId="013F02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37CEF3" w14:textId="3A7ADD6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030AEAF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E5B3E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34073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60535A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E8006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F63C310"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6D4DBF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46F984" w14:textId="168CF76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62DF1EB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AAF92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25F5E2"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56C45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B6B39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138E7A"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116369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AA228A" w14:textId="256000B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4BFBE1F9" w14:textId="77777777" w:rsidR="00B56301" w:rsidRPr="002010BD" w:rsidRDefault="00B56301" w:rsidP="00B37B65">
            <w:pPr>
              <w:jc w:val="right"/>
              <w:rPr>
                <w:rFonts w:asciiTheme="minorHAnsi" w:hAnsiTheme="minorHAnsi"/>
                <w:sz w:val="16"/>
                <w:szCs w:val="14"/>
              </w:rPr>
            </w:pPr>
            <w:r w:rsidRPr="00C2292B">
              <w:rPr>
                <w:sz w:val="16"/>
                <w:szCs w:val="18"/>
              </w:rPr>
              <w:t>10,53</w:t>
            </w:r>
          </w:p>
        </w:tc>
        <w:tc>
          <w:tcPr>
            <w:tcW w:w="991" w:type="dxa"/>
            <w:tcBorders>
              <w:top w:val="nil"/>
              <w:left w:val="nil"/>
              <w:bottom w:val="single" w:sz="4" w:space="0" w:color="auto"/>
              <w:right w:val="single" w:sz="4" w:space="0" w:color="auto"/>
            </w:tcBorders>
            <w:shd w:val="clear" w:color="000000" w:fill="FFFFFF"/>
            <w:noWrap/>
            <w:vAlign w:val="bottom"/>
            <w:hideMark/>
          </w:tcPr>
          <w:p w14:paraId="1918DF22" w14:textId="77777777" w:rsidR="00B56301" w:rsidRPr="002010BD" w:rsidRDefault="00B56301" w:rsidP="00B37B65">
            <w:pPr>
              <w:jc w:val="right"/>
              <w:rPr>
                <w:rFonts w:asciiTheme="minorHAnsi" w:hAnsiTheme="minorHAnsi"/>
                <w:sz w:val="16"/>
                <w:szCs w:val="14"/>
              </w:rPr>
            </w:pPr>
            <w:r w:rsidRPr="00C2292B">
              <w:rPr>
                <w:sz w:val="16"/>
                <w:szCs w:val="18"/>
              </w:rPr>
              <w:t>10,01</w:t>
            </w:r>
          </w:p>
        </w:tc>
        <w:tc>
          <w:tcPr>
            <w:tcW w:w="991" w:type="dxa"/>
            <w:tcBorders>
              <w:top w:val="nil"/>
              <w:left w:val="nil"/>
              <w:bottom w:val="single" w:sz="4" w:space="0" w:color="auto"/>
              <w:right w:val="single" w:sz="4" w:space="0" w:color="auto"/>
            </w:tcBorders>
            <w:shd w:val="clear" w:color="000000" w:fill="FFFFFF"/>
            <w:noWrap/>
            <w:vAlign w:val="bottom"/>
            <w:hideMark/>
          </w:tcPr>
          <w:p w14:paraId="6A34CE60" w14:textId="77777777" w:rsidR="00B56301" w:rsidRPr="002010BD" w:rsidRDefault="00B56301" w:rsidP="00B37B65">
            <w:pPr>
              <w:jc w:val="right"/>
              <w:rPr>
                <w:rFonts w:asciiTheme="minorHAnsi" w:hAnsiTheme="minorHAnsi"/>
                <w:sz w:val="16"/>
                <w:szCs w:val="14"/>
              </w:rPr>
            </w:pPr>
            <w:r w:rsidRPr="00C2292B">
              <w:rPr>
                <w:sz w:val="16"/>
                <w:szCs w:val="18"/>
              </w:rPr>
              <w:t>9,64</w:t>
            </w:r>
          </w:p>
        </w:tc>
        <w:tc>
          <w:tcPr>
            <w:tcW w:w="991" w:type="dxa"/>
            <w:tcBorders>
              <w:top w:val="nil"/>
              <w:left w:val="nil"/>
              <w:bottom w:val="single" w:sz="4" w:space="0" w:color="auto"/>
              <w:right w:val="single" w:sz="4" w:space="0" w:color="auto"/>
            </w:tcBorders>
            <w:shd w:val="clear" w:color="000000" w:fill="FFFFFF"/>
            <w:noWrap/>
            <w:vAlign w:val="bottom"/>
            <w:hideMark/>
          </w:tcPr>
          <w:p w14:paraId="06DE2D78" w14:textId="77777777" w:rsidR="00B56301" w:rsidRPr="002010BD" w:rsidRDefault="00B56301" w:rsidP="00B37B65">
            <w:pPr>
              <w:jc w:val="right"/>
              <w:rPr>
                <w:rFonts w:asciiTheme="minorHAnsi" w:hAnsiTheme="minorHAnsi"/>
                <w:sz w:val="16"/>
                <w:szCs w:val="14"/>
              </w:rPr>
            </w:pPr>
            <w:r w:rsidRPr="00C2292B">
              <w:rPr>
                <w:sz w:val="16"/>
                <w:szCs w:val="18"/>
              </w:rPr>
              <w:t>9,37</w:t>
            </w:r>
          </w:p>
        </w:tc>
        <w:tc>
          <w:tcPr>
            <w:tcW w:w="991" w:type="dxa"/>
            <w:tcBorders>
              <w:top w:val="nil"/>
              <w:left w:val="nil"/>
              <w:bottom w:val="single" w:sz="4" w:space="0" w:color="auto"/>
              <w:right w:val="single" w:sz="4" w:space="0" w:color="auto"/>
            </w:tcBorders>
            <w:shd w:val="clear" w:color="000000" w:fill="FFFFFF"/>
            <w:noWrap/>
            <w:vAlign w:val="bottom"/>
            <w:hideMark/>
          </w:tcPr>
          <w:p w14:paraId="1482F9FC" w14:textId="77777777" w:rsidR="00B56301" w:rsidRPr="002010BD" w:rsidRDefault="00B56301" w:rsidP="00B37B65">
            <w:pPr>
              <w:jc w:val="right"/>
              <w:rPr>
                <w:rFonts w:asciiTheme="minorHAnsi" w:hAnsiTheme="minorHAnsi"/>
                <w:sz w:val="16"/>
                <w:szCs w:val="14"/>
              </w:rPr>
            </w:pPr>
            <w:r w:rsidRPr="00C2292B">
              <w:rPr>
                <w:sz w:val="16"/>
                <w:szCs w:val="18"/>
              </w:rPr>
              <w:t>9,18</w:t>
            </w:r>
          </w:p>
        </w:tc>
        <w:tc>
          <w:tcPr>
            <w:tcW w:w="991" w:type="dxa"/>
            <w:tcBorders>
              <w:top w:val="nil"/>
              <w:left w:val="nil"/>
              <w:bottom w:val="single" w:sz="4" w:space="0" w:color="auto"/>
              <w:right w:val="single" w:sz="4" w:space="0" w:color="auto"/>
            </w:tcBorders>
            <w:shd w:val="clear" w:color="000000" w:fill="FFFFFF"/>
            <w:noWrap/>
            <w:vAlign w:val="bottom"/>
            <w:hideMark/>
          </w:tcPr>
          <w:p w14:paraId="7FBD0485" w14:textId="77777777" w:rsidR="00B56301" w:rsidRPr="002010BD" w:rsidRDefault="00B56301" w:rsidP="00B37B65">
            <w:pPr>
              <w:jc w:val="right"/>
              <w:rPr>
                <w:rFonts w:asciiTheme="minorHAnsi" w:hAnsiTheme="minorHAnsi"/>
                <w:sz w:val="16"/>
                <w:szCs w:val="14"/>
              </w:rPr>
            </w:pPr>
            <w:r w:rsidRPr="00C2292B">
              <w:rPr>
                <w:sz w:val="16"/>
                <w:szCs w:val="18"/>
              </w:rPr>
              <w:t>9,05</w:t>
            </w:r>
          </w:p>
        </w:tc>
      </w:tr>
      <w:tr w:rsidR="00B56301" w:rsidRPr="00C2292B" w14:paraId="57B5D75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D58DE8" w14:textId="6F08A7CC"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74B1D9E4" w14:textId="77777777" w:rsidR="00B56301" w:rsidRPr="002010BD" w:rsidRDefault="00B56301" w:rsidP="00B37B65">
            <w:pPr>
              <w:jc w:val="right"/>
              <w:rPr>
                <w:rFonts w:asciiTheme="minorHAnsi" w:hAnsiTheme="minorHAnsi"/>
                <w:sz w:val="16"/>
                <w:szCs w:val="14"/>
              </w:rPr>
            </w:pPr>
            <w:r w:rsidRPr="00C2292B">
              <w:rPr>
                <w:sz w:val="16"/>
                <w:szCs w:val="18"/>
              </w:rPr>
              <w:t>764,74</w:t>
            </w:r>
          </w:p>
        </w:tc>
        <w:tc>
          <w:tcPr>
            <w:tcW w:w="991" w:type="dxa"/>
            <w:tcBorders>
              <w:top w:val="nil"/>
              <w:left w:val="nil"/>
              <w:bottom w:val="single" w:sz="4" w:space="0" w:color="auto"/>
              <w:right w:val="single" w:sz="4" w:space="0" w:color="auto"/>
            </w:tcBorders>
            <w:shd w:val="clear" w:color="000000" w:fill="CCFFFF"/>
            <w:noWrap/>
            <w:vAlign w:val="bottom"/>
            <w:hideMark/>
          </w:tcPr>
          <w:p w14:paraId="6600ED26" w14:textId="77777777" w:rsidR="00B56301" w:rsidRPr="002010BD" w:rsidRDefault="00B56301" w:rsidP="00B37B65">
            <w:pPr>
              <w:jc w:val="right"/>
              <w:rPr>
                <w:rFonts w:asciiTheme="minorHAnsi" w:hAnsiTheme="minorHAnsi"/>
                <w:sz w:val="16"/>
                <w:szCs w:val="14"/>
              </w:rPr>
            </w:pPr>
            <w:r w:rsidRPr="00C2292B">
              <w:rPr>
                <w:sz w:val="16"/>
                <w:szCs w:val="18"/>
              </w:rPr>
              <w:t>763,43</w:t>
            </w:r>
          </w:p>
        </w:tc>
        <w:tc>
          <w:tcPr>
            <w:tcW w:w="991" w:type="dxa"/>
            <w:tcBorders>
              <w:top w:val="nil"/>
              <w:left w:val="nil"/>
              <w:bottom w:val="single" w:sz="4" w:space="0" w:color="auto"/>
              <w:right w:val="single" w:sz="4" w:space="0" w:color="auto"/>
            </w:tcBorders>
            <w:shd w:val="clear" w:color="000000" w:fill="CCFFFF"/>
            <w:noWrap/>
            <w:vAlign w:val="bottom"/>
            <w:hideMark/>
          </w:tcPr>
          <w:p w14:paraId="4C96A53E" w14:textId="77777777" w:rsidR="00B56301" w:rsidRPr="002010BD" w:rsidRDefault="00B56301" w:rsidP="00B37B65">
            <w:pPr>
              <w:jc w:val="right"/>
              <w:rPr>
                <w:rFonts w:asciiTheme="minorHAnsi" w:hAnsiTheme="minorHAnsi"/>
                <w:sz w:val="16"/>
                <w:szCs w:val="14"/>
              </w:rPr>
            </w:pPr>
            <w:r w:rsidRPr="00C2292B">
              <w:rPr>
                <w:sz w:val="16"/>
                <w:szCs w:val="18"/>
              </w:rPr>
              <w:t>739,49</w:t>
            </w:r>
          </w:p>
        </w:tc>
        <w:tc>
          <w:tcPr>
            <w:tcW w:w="991" w:type="dxa"/>
            <w:tcBorders>
              <w:top w:val="nil"/>
              <w:left w:val="nil"/>
              <w:bottom w:val="single" w:sz="4" w:space="0" w:color="auto"/>
              <w:right w:val="single" w:sz="4" w:space="0" w:color="auto"/>
            </w:tcBorders>
            <w:shd w:val="clear" w:color="000000" w:fill="CCFFFF"/>
            <w:noWrap/>
            <w:vAlign w:val="bottom"/>
            <w:hideMark/>
          </w:tcPr>
          <w:p w14:paraId="4A4E1E94" w14:textId="77777777" w:rsidR="00B56301" w:rsidRPr="002010BD" w:rsidRDefault="00B56301" w:rsidP="00B37B65">
            <w:pPr>
              <w:jc w:val="right"/>
              <w:rPr>
                <w:rFonts w:asciiTheme="minorHAnsi" w:hAnsiTheme="minorHAnsi"/>
                <w:sz w:val="16"/>
                <w:szCs w:val="14"/>
              </w:rPr>
            </w:pPr>
            <w:r w:rsidRPr="00C2292B">
              <w:rPr>
                <w:sz w:val="16"/>
                <w:szCs w:val="18"/>
              </w:rPr>
              <w:t>739,49</w:t>
            </w:r>
          </w:p>
        </w:tc>
        <w:tc>
          <w:tcPr>
            <w:tcW w:w="991" w:type="dxa"/>
            <w:tcBorders>
              <w:top w:val="nil"/>
              <w:left w:val="nil"/>
              <w:bottom w:val="single" w:sz="4" w:space="0" w:color="auto"/>
              <w:right w:val="single" w:sz="4" w:space="0" w:color="auto"/>
            </w:tcBorders>
            <w:shd w:val="clear" w:color="000000" w:fill="CCFFFF"/>
            <w:noWrap/>
            <w:vAlign w:val="bottom"/>
            <w:hideMark/>
          </w:tcPr>
          <w:p w14:paraId="31F7F28D" w14:textId="77777777" w:rsidR="00B56301" w:rsidRPr="002010BD" w:rsidRDefault="00B56301" w:rsidP="00B37B65">
            <w:pPr>
              <w:jc w:val="right"/>
              <w:rPr>
                <w:rFonts w:asciiTheme="minorHAnsi" w:hAnsiTheme="minorHAnsi"/>
                <w:sz w:val="16"/>
                <w:szCs w:val="14"/>
              </w:rPr>
            </w:pPr>
            <w:r w:rsidRPr="00C2292B">
              <w:rPr>
                <w:sz w:val="16"/>
                <w:szCs w:val="18"/>
              </w:rPr>
              <w:t>721,73</w:t>
            </w:r>
          </w:p>
        </w:tc>
        <w:tc>
          <w:tcPr>
            <w:tcW w:w="991" w:type="dxa"/>
            <w:tcBorders>
              <w:top w:val="nil"/>
              <w:left w:val="nil"/>
              <w:bottom w:val="single" w:sz="4" w:space="0" w:color="auto"/>
              <w:right w:val="single" w:sz="4" w:space="0" w:color="auto"/>
            </w:tcBorders>
            <w:shd w:val="clear" w:color="000000" w:fill="CCFFFF"/>
            <w:noWrap/>
            <w:vAlign w:val="bottom"/>
            <w:hideMark/>
          </w:tcPr>
          <w:p w14:paraId="1020DC73" w14:textId="77777777" w:rsidR="00B56301" w:rsidRPr="002010BD" w:rsidRDefault="00B56301" w:rsidP="00B37B65">
            <w:pPr>
              <w:jc w:val="right"/>
              <w:rPr>
                <w:rFonts w:asciiTheme="minorHAnsi" w:hAnsiTheme="minorHAnsi"/>
                <w:sz w:val="16"/>
                <w:szCs w:val="14"/>
              </w:rPr>
            </w:pPr>
            <w:r w:rsidRPr="00C2292B">
              <w:rPr>
                <w:sz w:val="16"/>
                <w:szCs w:val="18"/>
              </w:rPr>
              <w:t>697,67</w:t>
            </w:r>
          </w:p>
        </w:tc>
      </w:tr>
      <w:tr w:rsidR="00B56301" w:rsidRPr="00C2292B" w14:paraId="768915B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13A502" w14:textId="3A1A413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AAE2D98" w14:textId="77777777" w:rsidR="00B56301" w:rsidRPr="002010BD" w:rsidRDefault="00B56301" w:rsidP="00B37B65">
            <w:pPr>
              <w:jc w:val="right"/>
              <w:rPr>
                <w:rFonts w:asciiTheme="minorHAnsi" w:hAnsiTheme="minorHAnsi"/>
                <w:sz w:val="16"/>
                <w:szCs w:val="14"/>
              </w:rPr>
            </w:pPr>
            <w:r w:rsidRPr="00C2292B">
              <w:rPr>
                <w:sz w:val="16"/>
                <w:szCs w:val="18"/>
              </w:rPr>
              <w:t>653,64</w:t>
            </w:r>
          </w:p>
        </w:tc>
        <w:tc>
          <w:tcPr>
            <w:tcW w:w="991" w:type="dxa"/>
            <w:tcBorders>
              <w:top w:val="nil"/>
              <w:left w:val="nil"/>
              <w:bottom w:val="single" w:sz="4" w:space="0" w:color="auto"/>
              <w:right w:val="single" w:sz="4" w:space="0" w:color="auto"/>
            </w:tcBorders>
            <w:shd w:val="clear" w:color="000000" w:fill="FFFFFF"/>
            <w:noWrap/>
            <w:vAlign w:val="bottom"/>
            <w:hideMark/>
          </w:tcPr>
          <w:p w14:paraId="37180167" w14:textId="77777777" w:rsidR="00B56301" w:rsidRPr="002010BD" w:rsidRDefault="00B56301" w:rsidP="00B37B65">
            <w:pPr>
              <w:jc w:val="right"/>
              <w:rPr>
                <w:rFonts w:asciiTheme="minorHAnsi" w:hAnsiTheme="minorHAnsi"/>
                <w:sz w:val="16"/>
                <w:szCs w:val="14"/>
              </w:rPr>
            </w:pPr>
            <w:r w:rsidRPr="00C2292B">
              <w:rPr>
                <w:sz w:val="16"/>
                <w:szCs w:val="18"/>
              </w:rPr>
              <w:t>651,07</w:t>
            </w:r>
          </w:p>
        </w:tc>
        <w:tc>
          <w:tcPr>
            <w:tcW w:w="991" w:type="dxa"/>
            <w:tcBorders>
              <w:top w:val="nil"/>
              <w:left w:val="nil"/>
              <w:bottom w:val="single" w:sz="4" w:space="0" w:color="auto"/>
              <w:right w:val="single" w:sz="4" w:space="0" w:color="auto"/>
            </w:tcBorders>
            <w:shd w:val="clear" w:color="000000" w:fill="FFFFFF"/>
            <w:noWrap/>
            <w:vAlign w:val="bottom"/>
            <w:hideMark/>
          </w:tcPr>
          <w:p w14:paraId="2EFA9673" w14:textId="77777777" w:rsidR="00B56301" w:rsidRPr="002010BD" w:rsidRDefault="00B56301" w:rsidP="00B37B65">
            <w:pPr>
              <w:jc w:val="right"/>
              <w:rPr>
                <w:rFonts w:asciiTheme="minorHAnsi" w:hAnsiTheme="minorHAnsi"/>
                <w:sz w:val="16"/>
                <w:szCs w:val="14"/>
              </w:rPr>
            </w:pPr>
            <w:r w:rsidRPr="00C2292B">
              <w:rPr>
                <w:sz w:val="16"/>
                <w:szCs w:val="18"/>
              </w:rPr>
              <w:t>625,46</w:t>
            </w:r>
          </w:p>
        </w:tc>
        <w:tc>
          <w:tcPr>
            <w:tcW w:w="991" w:type="dxa"/>
            <w:tcBorders>
              <w:top w:val="nil"/>
              <w:left w:val="nil"/>
              <w:bottom w:val="single" w:sz="4" w:space="0" w:color="auto"/>
              <w:right w:val="single" w:sz="4" w:space="0" w:color="auto"/>
            </w:tcBorders>
            <w:shd w:val="clear" w:color="000000" w:fill="FFFFFF"/>
            <w:noWrap/>
            <w:vAlign w:val="bottom"/>
            <w:hideMark/>
          </w:tcPr>
          <w:p w14:paraId="5E6A7EEF" w14:textId="77777777" w:rsidR="00B56301" w:rsidRPr="002010BD" w:rsidRDefault="00B56301" w:rsidP="00B37B65">
            <w:pPr>
              <w:jc w:val="right"/>
              <w:rPr>
                <w:rFonts w:asciiTheme="minorHAnsi" w:hAnsiTheme="minorHAnsi"/>
                <w:sz w:val="16"/>
                <w:szCs w:val="14"/>
              </w:rPr>
            </w:pPr>
            <w:r w:rsidRPr="00C2292B">
              <w:rPr>
                <w:sz w:val="16"/>
                <w:szCs w:val="18"/>
              </w:rPr>
              <w:t>623,50</w:t>
            </w:r>
          </w:p>
        </w:tc>
        <w:tc>
          <w:tcPr>
            <w:tcW w:w="991" w:type="dxa"/>
            <w:tcBorders>
              <w:top w:val="nil"/>
              <w:left w:val="nil"/>
              <w:bottom w:val="single" w:sz="4" w:space="0" w:color="auto"/>
              <w:right w:val="single" w:sz="4" w:space="0" w:color="auto"/>
            </w:tcBorders>
            <w:shd w:val="clear" w:color="000000" w:fill="FFFFFF"/>
            <w:noWrap/>
            <w:vAlign w:val="bottom"/>
            <w:hideMark/>
          </w:tcPr>
          <w:p w14:paraId="369489C4" w14:textId="77777777" w:rsidR="00B56301" w:rsidRPr="002010BD" w:rsidRDefault="00B56301" w:rsidP="00B37B65">
            <w:pPr>
              <w:jc w:val="right"/>
              <w:rPr>
                <w:rFonts w:asciiTheme="minorHAnsi" w:hAnsiTheme="minorHAnsi"/>
                <w:sz w:val="16"/>
                <w:szCs w:val="14"/>
              </w:rPr>
            </w:pPr>
            <w:r w:rsidRPr="00C2292B">
              <w:rPr>
                <w:sz w:val="16"/>
                <w:szCs w:val="18"/>
              </w:rPr>
              <w:t>601,04</w:t>
            </w:r>
          </w:p>
        </w:tc>
        <w:tc>
          <w:tcPr>
            <w:tcW w:w="991" w:type="dxa"/>
            <w:tcBorders>
              <w:top w:val="nil"/>
              <w:left w:val="nil"/>
              <w:bottom w:val="single" w:sz="4" w:space="0" w:color="auto"/>
              <w:right w:val="single" w:sz="4" w:space="0" w:color="auto"/>
            </w:tcBorders>
            <w:shd w:val="clear" w:color="000000" w:fill="FFFFFF"/>
            <w:noWrap/>
            <w:vAlign w:val="bottom"/>
            <w:hideMark/>
          </w:tcPr>
          <w:p w14:paraId="7B75F01A" w14:textId="77777777" w:rsidR="00B56301" w:rsidRPr="002010BD" w:rsidRDefault="00B56301" w:rsidP="00B37B65">
            <w:pPr>
              <w:jc w:val="right"/>
              <w:rPr>
                <w:rFonts w:asciiTheme="minorHAnsi" w:hAnsiTheme="minorHAnsi"/>
                <w:sz w:val="16"/>
                <w:szCs w:val="14"/>
              </w:rPr>
            </w:pPr>
            <w:r w:rsidRPr="00C2292B">
              <w:rPr>
                <w:sz w:val="16"/>
                <w:szCs w:val="18"/>
              </w:rPr>
              <w:t>572,06</w:t>
            </w:r>
          </w:p>
        </w:tc>
      </w:tr>
      <w:tr w:rsidR="00B56301" w:rsidRPr="00C2292B" w14:paraId="65F1A66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1332DA" w14:textId="1C447116"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6F92842C" w14:textId="77777777" w:rsidR="00B56301" w:rsidRPr="002010BD" w:rsidRDefault="00B56301" w:rsidP="00B37B65">
            <w:pPr>
              <w:jc w:val="right"/>
              <w:rPr>
                <w:rFonts w:asciiTheme="minorHAnsi" w:hAnsiTheme="minorHAnsi"/>
                <w:sz w:val="16"/>
                <w:szCs w:val="14"/>
              </w:rPr>
            </w:pPr>
            <w:r w:rsidRPr="00C2292B">
              <w:rPr>
                <w:sz w:val="16"/>
                <w:szCs w:val="18"/>
              </w:rPr>
              <w:t>24,64</w:t>
            </w:r>
          </w:p>
        </w:tc>
        <w:tc>
          <w:tcPr>
            <w:tcW w:w="991" w:type="dxa"/>
            <w:tcBorders>
              <w:top w:val="nil"/>
              <w:left w:val="nil"/>
              <w:bottom w:val="single" w:sz="4" w:space="0" w:color="auto"/>
              <w:right w:val="single" w:sz="4" w:space="0" w:color="auto"/>
            </w:tcBorders>
            <w:shd w:val="clear" w:color="000000" w:fill="FFFFFF"/>
            <w:noWrap/>
            <w:vAlign w:val="bottom"/>
            <w:hideMark/>
          </w:tcPr>
          <w:p w14:paraId="62E587EA" w14:textId="77777777" w:rsidR="00B56301" w:rsidRPr="002010BD" w:rsidRDefault="00B56301" w:rsidP="00B37B65">
            <w:pPr>
              <w:jc w:val="right"/>
              <w:rPr>
                <w:rFonts w:asciiTheme="minorHAnsi" w:hAnsiTheme="minorHAnsi"/>
                <w:sz w:val="16"/>
                <w:szCs w:val="14"/>
              </w:rPr>
            </w:pPr>
            <w:r w:rsidRPr="00C2292B">
              <w:rPr>
                <w:sz w:val="16"/>
                <w:szCs w:val="18"/>
              </w:rPr>
              <w:t>25,38</w:t>
            </w:r>
          </w:p>
        </w:tc>
        <w:tc>
          <w:tcPr>
            <w:tcW w:w="991" w:type="dxa"/>
            <w:tcBorders>
              <w:top w:val="nil"/>
              <w:left w:val="nil"/>
              <w:bottom w:val="single" w:sz="4" w:space="0" w:color="auto"/>
              <w:right w:val="single" w:sz="4" w:space="0" w:color="auto"/>
            </w:tcBorders>
            <w:shd w:val="clear" w:color="000000" w:fill="FFFFFF"/>
            <w:noWrap/>
            <w:vAlign w:val="bottom"/>
            <w:hideMark/>
          </w:tcPr>
          <w:p w14:paraId="1A9C06A2" w14:textId="77777777" w:rsidR="00B56301" w:rsidRPr="002010BD" w:rsidRDefault="00B56301" w:rsidP="00B37B65">
            <w:pPr>
              <w:jc w:val="right"/>
              <w:rPr>
                <w:rFonts w:asciiTheme="minorHAnsi" w:hAnsiTheme="minorHAnsi"/>
                <w:sz w:val="16"/>
                <w:szCs w:val="14"/>
              </w:rPr>
            </w:pPr>
            <w:r w:rsidRPr="00C2292B">
              <w:rPr>
                <w:sz w:val="16"/>
                <w:szCs w:val="18"/>
              </w:rPr>
              <w:t>26,61</w:t>
            </w:r>
          </w:p>
        </w:tc>
        <w:tc>
          <w:tcPr>
            <w:tcW w:w="991" w:type="dxa"/>
            <w:tcBorders>
              <w:top w:val="nil"/>
              <w:left w:val="nil"/>
              <w:bottom w:val="single" w:sz="4" w:space="0" w:color="auto"/>
              <w:right w:val="single" w:sz="4" w:space="0" w:color="auto"/>
            </w:tcBorders>
            <w:shd w:val="clear" w:color="000000" w:fill="FFFFFF"/>
            <w:noWrap/>
            <w:vAlign w:val="bottom"/>
            <w:hideMark/>
          </w:tcPr>
          <w:p w14:paraId="6EB73A88" w14:textId="77777777" w:rsidR="00B56301" w:rsidRPr="002010BD" w:rsidRDefault="00B56301" w:rsidP="00B37B65">
            <w:pPr>
              <w:jc w:val="right"/>
              <w:rPr>
                <w:rFonts w:asciiTheme="minorHAnsi" w:hAnsiTheme="minorHAnsi"/>
                <w:sz w:val="16"/>
                <w:szCs w:val="14"/>
              </w:rPr>
            </w:pPr>
            <w:r w:rsidRPr="00C2292B">
              <w:rPr>
                <w:sz w:val="16"/>
                <w:szCs w:val="18"/>
              </w:rPr>
              <w:t>27,72</w:t>
            </w:r>
          </w:p>
        </w:tc>
        <w:tc>
          <w:tcPr>
            <w:tcW w:w="991" w:type="dxa"/>
            <w:tcBorders>
              <w:top w:val="nil"/>
              <w:left w:val="nil"/>
              <w:bottom w:val="single" w:sz="4" w:space="0" w:color="auto"/>
              <w:right w:val="single" w:sz="4" w:space="0" w:color="auto"/>
            </w:tcBorders>
            <w:shd w:val="clear" w:color="000000" w:fill="FFFFFF"/>
            <w:noWrap/>
            <w:vAlign w:val="bottom"/>
            <w:hideMark/>
          </w:tcPr>
          <w:p w14:paraId="064D70C4" w14:textId="77777777" w:rsidR="00B56301" w:rsidRPr="002010BD" w:rsidRDefault="00B56301" w:rsidP="00B37B65">
            <w:pPr>
              <w:jc w:val="right"/>
              <w:rPr>
                <w:rFonts w:asciiTheme="minorHAnsi" w:hAnsiTheme="minorHAnsi"/>
                <w:sz w:val="16"/>
                <w:szCs w:val="14"/>
              </w:rPr>
            </w:pPr>
            <w:r w:rsidRPr="00C2292B">
              <w:rPr>
                <w:sz w:val="16"/>
                <w:szCs w:val="18"/>
              </w:rPr>
              <w:t>32,03</w:t>
            </w:r>
          </w:p>
        </w:tc>
        <w:tc>
          <w:tcPr>
            <w:tcW w:w="991" w:type="dxa"/>
            <w:tcBorders>
              <w:top w:val="nil"/>
              <w:left w:val="nil"/>
              <w:bottom w:val="single" w:sz="4" w:space="0" w:color="auto"/>
              <w:right w:val="single" w:sz="4" w:space="0" w:color="auto"/>
            </w:tcBorders>
            <w:shd w:val="clear" w:color="000000" w:fill="FFFFFF"/>
            <w:noWrap/>
            <w:vAlign w:val="bottom"/>
            <w:hideMark/>
          </w:tcPr>
          <w:p w14:paraId="63EBBE55" w14:textId="77777777" w:rsidR="00B56301" w:rsidRPr="002010BD" w:rsidRDefault="00B56301" w:rsidP="00B37B65">
            <w:pPr>
              <w:jc w:val="right"/>
              <w:rPr>
                <w:rFonts w:asciiTheme="minorHAnsi" w:hAnsiTheme="minorHAnsi"/>
                <w:sz w:val="16"/>
                <w:szCs w:val="14"/>
              </w:rPr>
            </w:pPr>
            <w:r w:rsidRPr="00C2292B">
              <w:rPr>
                <w:sz w:val="16"/>
                <w:szCs w:val="18"/>
              </w:rPr>
              <w:t>36,35</w:t>
            </w:r>
          </w:p>
        </w:tc>
      </w:tr>
      <w:tr w:rsidR="00B56301" w:rsidRPr="00C2292B" w14:paraId="64E3A6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88DFD6" w14:textId="08B322E0"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C.</w:t>
            </w:r>
            <w:r w:rsidR="00260E0B">
              <w:rPr>
                <w:rFonts w:asciiTheme="minorHAnsi" w:hAnsiTheme="minorHAnsi"/>
                <w:sz w:val="16"/>
                <w:szCs w:val="14"/>
                <w:lang w:val="en-GB"/>
              </w:rPr>
              <w:t xml:space="preserve"> </w:t>
            </w:r>
            <w:r w:rsidRPr="002010BD">
              <w:rPr>
                <w:rFonts w:asciiTheme="minorHAnsi" w:hAnsiTheme="minorHAnsi"/>
                <w:sz w:val="16"/>
                <w:szCs w:val="14"/>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7FFCD3D" w14:textId="77777777" w:rsidR="00B56301" w:rsidRPr="002010BD" w:rsidRDefault="00B56301" w:rsidP="00B37B65">
            <w:pPr>
              <w:jc w:val="right"/>
              <w:rPr>
                <w:rFonts w:asciiTheme="minorHAnsi" w:hAnsiTheme="minorHAnsi"/>
                <w:sz w:val="16"/>
                <w:szCs w:val="14"/>
              </w:rPr>
            </w:pPr>
            <w:r w:rsidRPr="00C2292B">
              <w:rPr>
                <w:sz w:val="16"/>
                <w:szCs w:val="18"/>
              </w:rPr>
              <w:t>1,00</w:t>
            </w:r>
          </w:p>
        </w:tc>
        <w:tc>
          <w:tcPr>
            <w:tcW w:w="991" w:type="dxa"/>
            <w:tcBorders>
              <w:top w:val="nil"/>
              <w:left w:val="nil"/>
              <w:bottom w:val="single" w:sz="4" w:space="0" w:color="auto"/>
              <w:right w:val="single" w:sz="4" w:space="0" w:color="auto"/>
            </w:tcBorders>
            <w:shd w:val="clear" w:color="000000" w:fill="FFFFFF"/>
            <w:noWrap/>
            <w:vAlign w:val="bottom"/>
            <w:hideMark/>
          </w:tcPr>
          <w:p w14:paraId="0B71755B" w14:textId="77777777" w:rsidR="00B56301" w:rsidRPr="002010BD" w:rsidRDefault="00B56301" w:rsidP="00B37B65">
            <w:pPr>
              <w:jc w:val="right"/>
              <w:rPr>
                <w:rFonts w:asciiTheme="minorHAnsi" w:hAnsiTheme="minorHAnsi"/>
                <w:sz w:val="16"/>
                <w:szCs w:val="14"/>
              </w:rPr>
            </w:pPr>
            <w:r w:rsidRPr="00C2292B">
              <w:rPr>
                <w:sz w:val="16"/>
                <w:szCs w:val="18"/>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1AAFE686" w14:textId="77777777" w:rsidR="00B56301" w:rsidRPr="002010BD" w:rsidRDefault="00B56301" w:rsidP="00B37B65">
            <w:pPr>
              <w:jc w:val="right"/>
              <w:rPr>
                <w:rFonts w:asciiTheme="minorHAnsi" w:hAnsiTheme="minorHAnsi"/>
                <w:sz w:val="16"/>
                <w:szCs w:val="14"/>
              </w:rPr>
            </w:pPr>
            <w:r w:rsidRPr="00C2292B">
              <w:rPr>
                <w:sz w:val="16"/>
                <w:szCs w:val="18"/>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692B5A93" w14:textId="77777777" w:rsidR="00B56301" w:rsidRPr="002010BD" w:rsidRDefault="00B56301" w:rsidP="00B37B65">
            <w:pPr>
              <w:jc w:val="right"/>
              <w:rPr>
                <w:rFonts w:asciiTheme="minorHAnsi" w:hAnsiTheme="minorHAnsi"/>
                <w:sz w:val="16"/>
                <w:szCs w:val="14"/>
              </w:rPr>
            </w:pPr>
            <w:r w:rsidRPr="00C2292B">
              <w:rPr>
                <w:sz w:val="16"/>
                <w:szCs w:val="18"/>
              </w:rPr>
              <w:t>1,00</w:t>
            </w:r>
          </w:p>
        </w:tc>
        <w:tc>
          <w:tcPr>
            <w:tcW w:w="991" w:type="dxa"/>
            <w:tcBorders>
              <w:top w:val="nil"/>
              <w:left w:val="nil"/>
              <w:bottom w:val="single" w:sz="4" w:space="0" w:color="auto"/>
              <w:right w:val="single" w:sz="4" w:space="0" w:color="auto"/>
            </w:tcBorders>
            <w:shd w:val="clear" w:color="000000" w:fill="FFFFFF"/>
            <w:noWrap/>
            <w:vAlign w:val="bottom"/>
            <w:hideMark/>
          </w:tcPr>
          <w:p w14:paraId="3F3EA693" w14:textId="77777777" w:rsidR="00B56301" w:rsidRPr="002010BD" w:rsidRDefault="00B56301" w:rsidP="00B37B65">
            <w:pPr>
              <w:jc w:val="right"/>
              <w:rPr>
                <w:rFonts w:asciiTheme="minorHAnsi" w:hAnsiTheme="minorHAnsi"/>
                <w:sz w:val="16"/>
                <w:szCs w:val="14"/>
              </w:rPr>
            </w:pPr>
            <w:r w:rsidRPr="00C2292B">
              <w:rPr>
                <w:sz w:val="16"/>
                <w:szCs w:val="18"/>
              </w:rPr>
              <w:t>0,99</w:t>
            </w:r>
          </w:p>
        </w:tc>
        <w:tc>
          <w:tcPr>
            <w:tcW w:w="991" w:type="dxa"/>
            <w:tcBorders>
              <w:top w:val="nil"/>
              <w:left w:val="nil"/>
              <w:bottom w:val="single" w:sz="4" w:space="0" w:color="auto"/>
              <w:right w:val="single" w:sz="4" w:space="0" w:color="auto"/>
            </w:tcBorders>
            <w:shd w:val="clear" w:color="000000" w:fill="FFFFFF"/>
            <w:noWrap/>
            <w:vAlign w:val="bottom"/>
            <w:hideMark/>
          </w:tcPr>
          <w:p w14:paraId="618921D4" w14:textId="77777777" w:rsidR="00B56301" w:rsidRPr="002010BD" w:rsidRDefault="00B56301" w:rsidP="00B37B65">
            <w:pPr>
              <w:jc w:val="right"/>
              <w:rPr>
                <w:rFonts w:asciiTheme="minorHAnsi" w:hAnsiTheme="minorHAnsi"/>
                <w:sz w:val="16"/>
                <w:szCs w:val="14"/>
              </w:rPr>
            </w:pPr>
            <w:r w:rsidRPr="00C2292B">
              <w:rPr>
                <w:sz w:val="16"/>
                <w:szCs w:val="18"/>
              </w:rPr>
              <w:t>1,07</w:t>
            </w:r>
          </w:p>
        </w:tc>
      </w:tr>
      <w:tr w:rsidR="00B56301" w:rsidRPr="00C2292B" w14:paraId="73A13CD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C716021" w14:textId="5B4DA299"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4818383" w14:textId="77777777" w:rsidR="00B56301" w:rsidRPr="002010BD" w:rsidRDefault="00B56301" w:rsidP="00B37B65">
            <w:pPr>
              <w:jc w:val="right"/>
              <w:rPr>
                <w:rFonts w:asciiTheme="minorHAnsi" w:hAnsiTheme="minorHAnsi"/>
                <w:sz w:val="16"/>
                <w:szCs w:val="14"/>
              </w:rPr>
            </w:pPr>
            <w:r w:rsidRPr="00C2292B">
              <w:rPr>
                <w:sz w:val="16"/>
                <w:szCs w:val="18"/>
              </w:rPr>
              <w:t>85,46</w:t>
            </w:r>
          </w:p>
        </w:tc>
        <w:tc>
          <w:tcPr>
            <w:tcW w:w="991" w:type="dxa"/>
            <w:tcBorders>
              <w:top w:val="nil"/>
              <w:left w:val="nil"/>
              <w:bottom w:val="single" w:sz="4" w:space="0" w:color="auto"/>
              <w:right w:val="single" w:sz="4" w:space="0" w:color="auto"/>
            </w:tcBorders>
            <w:shd w:val="clear" w:color="000000" w:fill="FFFFFF"/>
            <w:noWrap/>
            <w:vAlign w:val="bottom"/>
            <w:hideMark/>
          </w:tcPr>
          <w:p w14:paraId="279F3B44" w14:textId="77777777" w:rsidR="00B56301" w:rsidRPr="002010BD" w:rsidRDefault="00B56301" w:rsidP="00B37B65">
            <w:pPr>
              <w:jc w:val="right"/>
              <w:rPr>
                <w:rFonts w:asciiTheme="minorHAnsi" w:hAnsiTheme="minorHAnsi"/>
                <w:sz w:val="16"/>
                <w:szCs w:val="14"/>
              </w:rPr>
            </w:pPr>
            <w:r w:rsidRPr="00C2292B">
              <w:rPr>
                <w:sz w:val="16"/>
                <w:szCs w:val="18"/>
              </w:rPr>
              <w:t>85,97</w:t>
            </w:r>
          </w:p>
        </w:tc>
        <w:tc>
          <w:tcPr>
            <w:tcW w:w="991" w:type="dxa"/>
            <w:tcBorders>
              <w:top w:val="nil"/>
              <w:left w:val="nil"/>
              <w:bottom w:val="single" w:sz="4" w:space="0" w:color="auto"/>
              <w:right w:val="single" w:sz="4" w:space="0" w:color="auto"/>
            </w:tcBorders>
            <w:shd w:val="clear" w:color="000000" w:fill="FFFFFF"/>
            <w:noWrap/>
            <w:vAlign w:val="bottom"/>
            <w:hideMark/>
          </w:tcPr>
          <w:p w14:paraId="22B17127" w14:textId="77777777" w:rsidR="00B56301" w:rsidRPr="002010BD" w:rsidRDefault="00B56301" w:rsidP="00B37B65">
            <w:pPr>
              <w:jc w:val="right"/>
              <w:rPr>
                <w:rFonts w:asciiTheme="minorHAnsi" w:hAnsiTheme="minorHAnsi"/>
                <w:sz w:val="16"/>
                <w:szCs w:val="14"/>
              </w:rPr>
            </w:pPr>
            <w:r w:rsidRPr="00C2292B">
              <w:rPr>
                <w:sz w:val="16"/>
                <w:szCs w:val="18"/>
              </w:rPr>
              <w:t>86,41</w:t>
            </w:r>
          </w:p>
        </w:tc>
        <w:tc>
          <w:tcPr>
            <w:tcW w:w="991" w:type="dxa"/>
            <w:tcBorders>
              <w:top w:val="nil"/>
              <w:left w:val="nil"/>
              <w:bottom w:val="single" w:sz="4" w:space="0" w:color="auto"/>
              <w:right w:val="single" w:sz="4" w:space="0" w:color="auto"/>
            </w:tcBorders>
            <w:shd w:val="clear" w:color="000000" w:fill="FFFFFF"/>
            <w:noWrap/>
            <w:vAlign w:val="bottom"/>
            <w:hideMark/>
          </w:tcPr>
          <w:p w14:paraId="0C4EA9A8" w14:textId="77777777" w:rsidR="00B56301" w:rsidRPr="002010BD" w:rsidRDefault="00B56301" w:rsidP="00B37B65">
            <w:pPr>
              <w:jc w:val="right"/>
              <w:rPr>
                <w:rFonts w:asciiTheme="minorHAnsi" w:hAnsiTheme="minorHAnsi"/>
                <w:sz w:val="16"/>
                <w:szCs w:val="14"/>
              </w:rPr>
            </w:pPr>
            <w:r w:rsidRPr="00C2292B">
              <w:rPr>
                <w:sz w:val="16"/>
                <w:szCs w:val="18"/>
              </w:rPr>
              <w:t>87,27</w:t>
            </w:r>
          </w:p>
        </w:tc>
        <w:tc>
          <w:tcPr>
            <w:tcW w:w="991" w:type="dxa"/>
            <w:tcBorders>
              <w:top w:val="nil"/>
              <w:left w:val="nil"/>
              <w:bottom w:val="single" w:sz="4" w:space="0" w:color="auto"/>
              <w:right w:val="single" w:sz="4" w:space="0" w:color="auto"/>
            </w:tcBorders>
            <w:shd w:val="clear" w:color="000000" w:fill="FFFFFF"/>
            <w:noWrap/>
            <w:vAlign w:val="bottom"/>
            <w:hideMark/>
          </w:tcPr>
          <w:p w14:paraId="40CF4642" w14:textId="77777777" w:rsidR="00B56301" w:rsidRPr="002010BD" w:rsidRDefault="00B56301" w:rsidP="00B37B65">
            <w:pPr>
              <w:jc w:val="right"/>
              <w:rPr>
                <w:rFonts w:asciiTheme="minorHAnsi" w:hAnsiTheme="minorHAnsi"/>
                <w:sz w:val="16"/>
                <w:szCs w:val="14"/>
              </w:rPr>
            </w:pPr>
            <w:r w:rsidRPr="00C2292B">
              <w:rPr>
                <w:sz w:val="16"/>
                <w:szCs w:val="18"/>
              </w:rPr>
              <w:t>87,67</w:t>
            </w:r>
          </w:p>
        </w:tc>
        <w:tc>
          <w:tcPr>
            <w:tcW w:w="991" w:type="dxa"/>
            <w:tcBorders>
              <w:top w:val="nil"/>
              <w:left w:val="nil"/>
              <w:bottom w:val="single" w:sz="4" w:space="0" w:color="auto"/>
              <w:right w:val="single" w:sz="4" w:space="0" w:color="auto"/>
            </w:tcBorders>
            <w:shd w:val="clear" w:color="000000" w:fill="FFFFFF"/>
            <w:noWrap/>
            <w:vAlign w:val="bottom"/>
            <w:hideMark/>
          </w:tcPr>
          <w:p w14:paraId="6AC71C9A" w14:textId="77777777" w:rsidR="00B56301" w:rsidRPr="002010BD" w:rsidRDefault="00B56301" w:rsidP="00B37B65">
            <w:pPr>
              <w:jc w:val="right"/>
              <w:rPr>
                <w:rFonts w:asciiTheme="minorHAnsi" w:hAnsiTheme="minorHAnsi"/>
                <w:sz w:val="16"/>
                <w:szCs w:val="14"/>
              </w:rPr>
            </w:pPr>
            <w:r w:rsidRPr="00C2292B">
              <w:rPr>
                <w:sz w:val="16"/>
                <w:szCs w:val="18"/>
              </w:rPr>
              <w:t>88,19</w:t>
            </w:r>
          </w:p>
        </w:tc>
      </w:tr>
      <w:tr w:rsidR="00B56301" w:rsidRPr="00C2292B" w14:paraId="31F71A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A8493F" w14:textId="4C639C67"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20EA57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6EEAD2F"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D76AD9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EDE7E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DE53F7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EBF74F8"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3110E5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B8A508" w14:textId="2473E693"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19A0126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CEFB67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336D489"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9844A2F"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31ED2AF"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0853361"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1F7D0D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04A1A70" w14:textId="70C83341"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without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65E51CEB" w14:textId="77777777" w:rsidR="00B56301" w:rsidRPr="002010BD" w:rsidRDefault="00B56301" w:rsidP="00B37B65">
            <w:pPr>
              <w:jc w:val="right"/>
              <w:rPr>
                <w:rFonts w:asciiTheme="minorHAnsi" w:hAnsiTheme="minorHAnsi"/>
                <w:sz w:val="16"/>
                <w:szCs w:val="14"/>
              </w:rPr>
            </w:pPr>
            <w:r w:rsidRPr="00C2292B">
              <w:rPr>
                <w:sz w:val="16"/>
                <w:szCs w:val="18"/>
              </w:rPr>
              <w:t>2513,19</w:t>
            </w:r>
          </w:p>
        </w:tc>
        <w:tc>
          <w:tcPr>
            <w:tcW w:w="991" w:type="dxa"/>
            <w:tcBorders>
              <w:top w:val="nil"/>
              <w:left w:val="nil"/>
              <w:bottom w:val="single" w:sz="4" w:space="0" w:color="auto"/>
              <w:right w:val="single" w:sz="4" w:space="0" w:color="auto"/>
            </w:tcBorders>
            <w:shd w:val="clear" w:color="000000" w:fill="CCFFFF"/>
            <w:noWrap/>
            <w:vAlign w:val="bottom"/>
            <w:hideMark/>
          </w:tcPr>
          <w:p w14:paraId="2193424F" w14:textId="77777777" w:rsidR="00B56301" w:rsidRPr="002010BD" w:rsidRDefault="00B56301" w:rsidP="00B37B65">
            <w:pPr>
              <w:jc w:val="right"/>
              <w:rPr>
                <w:rFonts w:asciiTheme="minorHAnsi" w:hAnsiTheme="minorHAnsi"/>
                <w:sz w:val="16"/>
                <w:szCs w:val="14"/>
              </w:rPr>
            </w:pPr>
            <w:r w:rsidRPr="00C2292B">
              <w:rPr>
                <w:sz w:val="16"/>
                <w:szCs w:val="18"/>
              </w:rPr>
              <w:t>2523,98</w:t>
            </w:r>
          </w:p>
        </w:tc>
        <w:tc>
          <w:tcPr>
            <w:tcW w:w="991" w:type="dxa"/>
            <w:tcBorders>
              <w:top w:val="nil"/>
              <w:left w:val="nil"/>
              <w:bottom w:val="single" w:sz="4" w:space="0" w:color="auto"/>
              <w:right w:val="single" w:sz="4" w:space="0" w:color="auto"/>
            </w:tcBorders>
            <w:shd w:val="clear" w:color="000000" w:fill="CCFFFF"/>
            <w:noWrap/>
            <w:vAlign w:val="bottom"/>
            <w:hideMark/>
          </w:tcPr>
          <w:p w14:paraId="2963897F" w14:textId="77777777" w:rsidR="00B56301" w:rsidRPr="002010BD" w:rsidRDefault="00B56301" w:rsidP="00B37B65">
            <w:pPr>
              <w:jc w:val="right"/>
              <w:rPr>
                <w:rFonts w:asciiTheme="minorHAnsi" w:hAnsiTheme="minorHAnsi"/>
                <w:sz w:val="16"/>
                <w:szCs w:val="14"/>
              </w:rPr>
            </w:pPr>
            <w:r w:rsidRPr="00C2292B">
              <w:rPr>
                <w:sz w:val="16"/>
                <w:szCs w:val="18"/>
              </w:rPr>
              <w:t>2478,95</w:t>
            </w:r>
          </w:p>
        </w:tc>
        <w:tc>
          <w:tcPr>
            <w:tcW w:w="991" w:type="dxa"/>
            <w:tcBorders>
              <w:top w:val="nil"/>
              <w:left w:val="nil"/>
              <w:bottom w:val="single" w:sz="4" w:space="0" w:color="auto"/>
              <w:right w:val="single" w:sz="4" w:space="0" w:color="auto"/>
            </w:tcBorders>
            <w:shd w:val="clear" w:color="000000" w:fill="CCFFFF"/>
            <w:noWrap/>
            <w:vAlign w:val="bottom"/>
            <w:hideMark/>
          </w:tcPr>
          <w:p w14:paraId="6A9E9AD6" w14:textId="77777777" w:rsidR="00B56301" w:rsidRPr="002010BD" w:rsidRDefault="00B56301" w:rsidP="00B37B65">
            <w:pPr>
              <w:jc w:val="right"/>
              <w:rPr>
                <w:rFonts w:asciiTheme="minorHAnsi" w:hAnsiTheme="minorHAnsi"/>
                <w:sz w:val="16"/>
                <w:szCs w:val="14"/>
              </w:rPr>
            </w:pPr>
            <w:r w:rsidRPr="00C2292B">
              <w:rPr>
                <w:sz w:val="16"/>
                <w:szCs w:val="18"/>
              </w:rPr>
              <w:t>2466,53</w:t>
            </w:r>
          </w:p>
        </w:tc>
        <w:tc>
          <w:tcPr>
            <w:tcW w:w="991" w:type="dxa"/>
            <w:tcBorders>
              <w:top w:val="nil"/>
              <w:left w:val="nil"/>
              <w:bottom w:val="single" w:sz="4" w:space="0" w:color="auto"/>
              <w:right w:val="single" w:sz="4" w:space="0" w:color="auto"/>
            </w:tcBorders>
            <w:shd w:val="clear" w:color="000000" w:fill="CCFFFF"/>
            <w:noWrap/>
            <w:vAlign w:val="bottom"/>
            <w:hideMark/>
          </w:tcPr>
          <w:p w14:paraId="61A6EB71" w14:textId="77777777" w:rsidR="00B56301" w:rsidRPr="002010BD" w:rsidRDefault="00B56301" w:rsidP="00B37B65">
            <w:pPr>
              <w:jc w:val="right"/>
              <w:rPr>
                <w:rFonts w:asciiTheme="minorHAnsi" w:hAnsiTheme="minorHAnsi"/>
                <w:sz w:val="16"/>
                <w:szCs w:val="14"/>
              </w:rPr>
            </w:pPr>
            <w:r w:rsidRPr="00C2292B">
              <w:rPr>
                <w:sz w:val="16"/>
                <w:szCs w:val="18"/>
              </w:rPr>
              <w:t>2419,17</w:t>
            </w:r>
          </w:p>
        </w:tc>
        <w:tc>
          <w:tcPr>
            <w:tcW w:w="991" w:type="dxa"/>
            <w:tcBorders>
              <w:top w:val="nil"/>
              <w:left w:val="nil"/>
              <w:bottom w:val="single" w:sz="4" w:space="0" w:color="auto"/>
              <w:right w:val="single" w:sz="4" w:space="0" w:color="auto"/>
            </w:tcBorders>
            <w:shd w:val="clear" w:color="000000" w:fill="CCFFFF"/>
            <w:noWrap/>
            <w:vAlign w:val="bottom"/>
            <w:hideMark/>
          </w:tcPr>
          <w:p w14:paraId="5BA336E0" w14:textId="77777777" w:rsidR="00B56301" w:rsidRPr="002010BD" w:rsidRDefault="00B56301" w:rsidP="00B37B65">
            <w:pPr>
              <w:jc w:val="right"/>
              <w:rPr>
                <w:rFonts w:asciiTheme="minorHAnsi" w:hAnsiTheme="minorHAnsi"/>
                <w:sz w:val="16"/>
                <w:szCs w:val="14"/>
              </w:rPr>
            </w:pPr>
            <w:r w:rsidRPr="00C2292B">
              <w:rPr>
                <w:sz w:val="16"/>
                <w:szCs w:val="18"/>
              </w:rPr>
              <w:t>2369,73</w:t>
            </w:r>
          </w:p>
        </w:tc>
      </w:tr>
      <w:tr w:rsidR="00B56301" w:rsidRPr="00C2292B" w14:paraId="35FBEE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B80ED06" w14:textId="2946965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3C11CB9B" w14:textId="77777777" w:rsidR="00B56301" w:rsidRPr="002010BD" w:rsidRDefault="00B56301" w:rsidP="00B37B65">
            <w:pPr>
              <w:jc w:val="right"/>
              <w:rPr>
                <w:rFonts w:asciiTheme="minorHAnsi" w:hAnsiTheme="minorHAnsi"/>
                <w:sz w:val="16"/>
                <w:szCs w:val="14"/>
              </w:rPr>
            </w:pPr>
            <w:r w:rsidRPr="00C2292B">
              <w:rPr>
                <w:sz w:val="16"/>
                <w:szCs w:val="18"/>
              </w:rPr>
              <w:t>2558,60</w:t>
            </w:r>
          </w:p>
        </w:tc>
        <w:tc>
          <w:tcPr>
            <w:tcW w:w="991" w:type="dxa"/>
            <w:tcBorders>
              <w:top w:val="nil"/>
              <w:left w:val="nil"/>
              <w:bottom w:val="single" w:sz="4" w:space="0" w:color="auto"/>
              <w:right w:val="single" w:sz="4" w:space="0" w:color="auto"/>
            </w:tcBorders>
            <w:shd w:val="clear" w:color="000000" w:fill="CCFFFF"/>
            <w:noWrap/>
            <w:vAlign w:val="bottom"/>
            <w:hideMark/>
          </w:tcPr>
          <w:p w14:paraId="11BCDDA4" w14:textId="77777777" w:rsidR="00B56301" w:rsidRPr="002010BD" w:rsidRDefault="00B56301" w:rsidP="00B37B65">
            <w:pPr>
              <w:jc w:val="right"/>
              <w:rPr>
                <w:rFonts w:asciiTheme="minorHAnsi" w:hAnsiTheme="minorHAnsi"/>
                <w:sz w:val="16"/>
                <w:szCs w:val="14"/>
              </w:rPr>
            </w:pPr>
            <w:r w:rsidRPr="00C2292B">
              <w:rPr>
                <w:sz w:val="16"/>
                <w:szCs w:val="18"/>
              </w:rPr>
              <w:t>2567,97</w:t>
            </w:r>
          </w:p>
        </w:tc>
        <w:tc>
          <w:tcPr>
            <w:tcW w:w="991" w:type="dxa"/>
            <w:tcBorders>
              <w:top w:val="nil"/>
              <w:left w:val="nil"/>
              <w:bottom w:val="single" w:sz="4" w:space="0" w:color="auto"/>
              <w:right w:val="single" w:sz="4" w:space="0" w:color="auto"/>
            </w:tcBorders>
            <w:shd w:val="clear" w:color="000000" w:fill="CCFFFF"/>
            <w:noWrap/>
            <w:vAlign w:val="bottom"/>
            <w:hideMark/>
          </w:tcPr>
          <w:p w14:paraId="158F9860" w14:textId="77777777" w:rsidR="00B56301" w:rsidRPr="002010BD" w:rsidRDefault="00B56301" w:rsidP="00B37B65">
            <w:pPr>
              <w:jc w:val="right"/>
              <w:rPr>
                <w:rFonts w:asciiTheme="minorHAnsi" w:hAnsiTheme="minorHAnsi"/>
                <w:sz w:val="16"/>
                <w:szCs w:val="14"/>
              </w:rPr>
            </w:pPr>
            <w:r w:rsidRPr="00C2292B">
              <w:rPr>
                <w:sz w:val="16"/>
                <w:szCs w:val="18"/>
              </w:rPr>
              <w:t>2523,69</w:t>
            </w:r>
          </w:p>
        </w:tc>
        <w:tc>
          <w:tcPr>
            <w:tcW w:w="991" w:type="dxa"/>
            <w:tcBorders>
              <w:top w:val="nil"/>
              <w:left w:val="nil"/>
              <w:bottom w:val="single" w:sz="4" w:space="0" w:color="auto"/>
              <w:right w:val="single" w:sz="4" w:space="0" w:color="auto"/>
            </w:tcBorders>
            <w:shd w:val="clear" w:color="000000" w:fill="CCFFFF"/>
            <w:noWrap/>
            <w:vAlign w:val="bottom"/>
            <w:hideMark/>
          </w:tcPr>
          <w:p w14:paraId="40D54C67" w14:textId="77777777" w:rsidR="00B56301" w:rsidRPr="002010BD" w:rsidRDefault="00B56301" w:rsidP="00B37B65">
            <w:pPr>
              <w:jc w:val="right"/>
              <w:rPr>
                <w:rFonts w:asciiTheme="minorHAnsi" w:hAnsiTheme="minorHAnsi"/>
                <w:sz w:val="16"/>
                <w:szCs w:val="14"/>
              </w:rPr>
            </w:pPr>
            <w:r w:rsidRPr="00C2292B">
              <w:rPr>
                <w:sz w:val="16"/>
                <w:szCs w:val="18"/>
              </w:rPr>
              <w:t>2511,73</w:t>
            </w:r>
          </w:p>
        </w:tc>
        <w:tc>
          <w:tcPr>
            <w:tcW w:w="991" w:type="dxa"/>
            <w:tcBorders>
              <w:top w:val="nil"/>
              <w:left w:val="nil"/>
              <w:bottom w:val="single" w:sz="4" w:space="0" w:color="auto"/>
              <w:right w:val="single" w:sz="4" w:space="0" w:color="auto"/>
            </w:tcBorders>
            <w:shd w:val="clear" w:color="000000" w:fill="CCFFFF"/>
            <w:noWrap/>
            <w:vAlign w:val="bottom"/>
            <w:hideMark/>
          </w:tcPr>
          <w:p w14:paraId="51E0E7BB" w14:textId="77777777" w:rsidR="00B56301" w:rsidRPr="002010BD" w:rsidRDefault="00B56301" w:rsidP="00B37B65">
            <w:pPr>
              <w:jc w:val="right"/>
              <w:rPr>
                <w:rFonts w:asciiTheme="minorHAnsi" w:hAnsiTheme="minorHAnsi"/>
                <w:sz w:val="16"/>
                <w:szCs w:val="14"/>
              </w:rPr>
            </w:pPr>
            <w:r w:rsidRPr="00C2292B">
              <w:rPr>
                <w:sz w:val="16"/>
                <w:szCs w:val="18"/>
              </w:rPr>
              <w:t>2463,45</w:t>
            </w:r>
          </w:p>
        </w:tc>
        <w:tc>
          <w:tcPr>
            <w:tcW w:w="991" w:type="dxa"/>
            <w:tcBorders>
              <w:top w:val="nil"/>
              <w:left w:val="nil"/>
              <w:bottom w:val="single" w:sz="4" w:space="0" w:color="auto"/>
              <w:right w:val="single" w:sz="4" w:space="0" w:color="auto"/>
            </w:tcBorders>
            <w:shd w:val="clear" w:color="000000" w:fill="CCFFFF"/>
            <w:noWrap/>
            <w:vAlign w:val="bottom"/>
            <w:hideMark/>
          </w:tcPr>
          <w:p w14:paraId="3C26C262" w14:textId="77777777" w:rsidR="00B56301" w:rsidRPr="002010BD" w:rsidRDefault="00B56301" w:rsidP="00B37B65">
            <w:pPr>
              <w:jc w:val="right"/>
              <w:rPr>
                <w:rFonts w:asciiTheme="minorHAnsi" w:hAnsiTheme="minorHAnsi"/>
                <w:sz w:val="16"/>
                <w:szCs w:val="14"/>
              </w:rPr>
            </w:pPr>
            <w:r w:rsidRPr="00C2292B">
              <w:rPr>
                <w:sz w:val="16"/>
                <w:szCs w:val="18"/>
              </w:rPr>
              <w:t>2413,31</w:t>
            </w:r>
          </w:p>
        </w:tc>
      </w:tr>
      <w:tr w:rsidR="00B56301" w:rsidRPr="00C2292B" w14:paraId="3493DC0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E99C95"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4928CAC2"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F74B0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05D0C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827A44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D6425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BBB176"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70BD4A4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6BC790"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6CD3B7CD" w14:textId="77777777" w:rsidR="00B56301" w:rsidRPr="002010BD" w:rsidRDefault="00B56301" w:rsidP="00B37B65">
            <w:pPr>
              <w:jc w:val="right"/>
              <w:rPr>
                <w:rFonts w:asciiTheme="minorHAnsi" w:hAnsiTheme="minorHAnsi"/>
                <w:sz w:val="16"/>
                <w:szCs w:val="14"/>
              </w:rPr>
            </w:pPr>
            <w:r w:rsidRPr="00C2292B">
              <w:rPr>
                <w:sz w:val="16"/>
                <w:szCs w:val="18"/>
              </w:rPr>
              <w:t>0,97</w:t>
            </w:r>
          </w:p>
        </w:tc>
        <w:tc>
          <w:tcPr>
            <w:tcW w:w="991" w:type="dxa"/>
            <w:tcBorders>
              <w:top w:val="nil"/>
              <w:left w:val="nil"/>
              <w:bottom w:val="single" w:sz="4" w:space="0" w:color="auto"/>
              <w:right w:val="single" w:sz="4" w:space="0" w:color="auto"/>
            </w:tcBorders>
            <w:shd w:val="clear" w:color="000000" w:fill="CCFFFF"/>
            <w:noWrap/>
            <w:vAlign w:val="bottom"/>
            <w:hideMark/>
          </w:tcPr>
          <w:p w14:paraId="113F212C" w14:textId="77777777" w:rsidR="00B56301" w:rsidRPr="002010BD" w:rsidRDefault="00B56301" w:rsidP="00B37B65">
            <w:pPr>
              <w:jc w:val="right"/>
              <w:rPr>
                <w:rFonts w:asciiTheme="minorHAnsi" w:hAnsiTheme="minorHAnsi"/>
                <w:sz w:val="16"/>
                <w:szCs w:val="14"/>
              </w:rPr>
            </w:pPr>
            <w:r w:rsidRPr="00C2292B">
              <w:rPr>
                <w:sz w:val="16"/>
                <w:szCs w:val="18"/>
              </w:rPr>
              <w:t>0,86</w:t>
            </w:r>
          </w:p>
        </w:tc>
        <w:tc>
          <w:tcPr>
            <w:tcW w:w="991" w:type="dxa"/>
            <w:tcBorders>
              <w:top w:val="nil"/>
              <w:left w:val="nil"/>
              <w:bottom w:val="single" w:sz="4" w:space="0" w:color="auto"/>
              <w:right w:val="single" w:sz="4" w:space="0" w:color="auto"/>
            </w:tcBorders>
            <w:shd w:val="clear" w:color="000000" w:fill="CCFFFF"/>
            <w:noWrap/>
            <w:vAlign w:val="bottom"/>
            <w:hideMark/>
          </w:tcPr>
          <w:p w14:paraId="3DE84577" w14:textId="77777777" w:rsidR="00B56301" w:rsidRPr="002010BD" w:rsidRDefault="00B56301" w:rsidP="00B37B65">
            <w:pPr>
              <w:jc w:val="right"/>
              <w:rPr>
                <w:rFonts w:asciiTheme="minorHAnsi" w:hAnsiTheme="minorHAnsi"/>
                <w:sz w:val="16"/>
                <w:szCs w:val="14"/>
              </w:rPr>
            </w:pPr>
            <w:r w:rsidRPr="00C2292B">
              <w:rPr>
                <w:sz w:val="16"/>
                <w:szCs w:val="18"/>
              </w:rPr>
              <w:t>0,85</w:t>
            </w:r>
          </w:p>
        </w:tc>
        <w:tc>
          <w:tcPr>
            <w:tcW w:w="991" w:type="dxa"/>
            <w:tcBorders>
              <w:top w:val="nil"/>
              <w:left w:val="nil"/>
              <w:bottom w:val="single" w:sz="4" w:space="0" w:color="auto"/>
              <w:right w:val="single" w:sz="4" w:space="0" w:color="auto"/>
            </w:tcBorders>
            <w:shd w:val="clear" w:color="000000" w:fill="CCFFFF"/>
            <w:noWrap/>
            <w:vAlign w:val="bottom"/>
            <w:hideMark/>
          </w:tcPr>
          <w:p w14:paraId="12BDADB7" w14:textId="77777777" w:rsidR="00B56301" w:rsidRPr="002010BD" w:rsidRDefault="00B56301" w:rsidP="00B37B65">
            <w:pPr>
              <w:jc w:val="right"/>
              <w:rPr>
                <w:rFonts w:asciiTheme="minorHAnsi" w:hAnsiTheme="minorHAnsi"/>
                <w:sz w:val="16"/>
                <w:szCs w:val="14"/>
              </w:rPr>
            </w:pPr>
            <w:r w:rsidRPr="00C2292B">
              <w:rPr>
                <w:sz w:val="16"/>
                <w:szCs w:val="18"/>
              </w:rPr>
              <w:t>0,83</w:t>
            </w:r>
          </w:p>
        </w:tc>
        <w:tc>
          <w:tcPr>
            <w:tcW w:w="991" w:type="dxa"/>
            <w:tcBorders>
              <w:top w:val="nil"/>
              <w:left w:val="nil"/>
              <w:bottom w:val="single" w:sz="4" w:space="0" w:color="auto"/>
              <w:right w:val="single" w:sz="4" w:space="0" w:color="auto"/>
            </w:tcBorders>
            <w:shd w:val="clear" w:color="000000" w:fill="CCFFFF"/>
            <w:noWrap/>
            <w:vAlign w:val="bottom"/>
            <w:hideMark/>
          </w:tcPr>
          <w:p w14:paraId="11BE03E6" w14:textId="77777777" w:rsidR="00B56301" w:rsidRPr="002010BD" w:rsidRDefault="00B56301" w:rsidP="00B37B65">
            <w:pPr>
              <w:jc w:val="right"/>
              <w:rPr>
                <w:rFonts w:asciiTheme="minorHAnsi" w:hAnsiTheme="minorHAnsi"/>
                <w:sz w:val="16"/>
                <w:szCs w:val="14"/>
              </w:rPr>
            </w:pPr>
            <w:r w:rsidRPr="00C2292B">
              <w:rPr>
                <w:sz w:val="16"/>
                <w:szCs w:val="18"/>
              </w:rPr>
              <w:t>0,88</w:t>
            </w:r>
          </w:p>
        </w:tc>
        <w:tc>
          <w:tcPr>
            <w:tcW w:w="991" w:type="dxa"/>
            <w:tcBorders>
              <w:top w:val="nil"/>
              <w:left w:val="nil"/>
              <w:bottom w:val="single" w:sz="4" w:space="0" w:color="auto"/>
              <w:right w:val="single" w:sz="4" w:space="0" w:color="auto"/>
            </w:tcBorders>
            <w:shd w:val="clear" w:color="000000" w:fill="CCFFFF"/>
            <w:noWrap/>
            <w:vAlign w:val="bottom"/>
            <w:hideMark/>
          </w:tcPr>
          <w:p w14:paraId="41A84DCB" w14:textId="77777777" w:rsidR="00B56301" w:rsidRPr="002010BD" w:rsidRDefault="00B56301" w:rsidP="00B37B65">
            <w:pPr>
              <w:jc w:val="right"/>
              <w:rPr>
                <w:rFonts w:asciiTheme="minorHAnsi" w:hAnsiTheme="minorHAnsi"/>
                <w:sz w:val="16"/>
                <w:szCs w:val="14"/>
              </w:rPr>
            </w:pPr>
            <w:r w:rsidRPr="00C2292B">
              <w:rPr>
                <w:sz w:val="16"/>
                <w:szCs w:val="18"/>
              </w:rPr>
              <w:t>0,84</w:t>
            </w:r>
          </w:p>
        </w:tc>
      </w:tr>
      <w:tr w:rsidR="00B56301" w:rsidRPr="00C2292B" w14:paraId="7B3FF5B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D73DFE"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471F5BD"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02ED43E8"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352D280"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7B6273AE"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0AFCE2BC"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292F7FA" w14:textId="77777777" w:rsidR="00B56301" w:rsidRPr="002010BD" w:rsidRDefault="00B56301" w:rsidP="00B37B65">
            <w:pPr>
              <w:jc w:val="right"/>
              <w:rPr>
                <w:rFonts w:asciiTheme="minorHAnsi" w:hAnsiTheme="minorHAnsi"/>
                <w:sz w:val="16"/>
                <w:szCs w:val="14"/>
              </w:rPr>
            </w:pPr>
            <w:r w:rsidRPr="00C2292B">
              <w:rPr>
                <w:sz w:val="16"/>
                <w:szCs w:val="18"/>
              </w:rPr>
              <w:t>0,07</w:t>
            </w:r>
          </w:p>
        </w:tc>
      </w:tr>
      <w:tr w:rsidR="00B56301" w:rsidRPr="00C2292B" w14:paraId="753B2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C1E9F5"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2D3947AD" w14:textId="77777777" w:rsidR="00B56301" w:rsidRPr="002010BD" w:rsidRDefault="00B56301" w:rsidP="00B37B65">
            <w:pPr>
              <w:jc w:val="right"/>
              <w:rPr>
                <w:rFonts w:asciiTheme="minorHAnsi" w:hAnsiTheme="minorHAnsi"/>
                <w:sz w:val="16"/>
                <w:szCs w:val="14"/>
              </w:rPr>
            </w:pPr>
            <w:r w:rsidRPr="00C2292B">
              <w:rPr>
                <w:sz w:val="16"/>
                <w:szCs w:val="18"/>
              </w:rPr>
              <w:t>0,90</w:t>
            </w:r>
          </w:p>
        </w:tc>
        <w:tc>
          <w:tcPr>
            <w:tcW w:w="991" w:type="dxa"/>
            <w:tcBorders>
              <w:top w:val="nil"/>
              <w:left w:val="nil"/>
              <w:bottom w:val="single" w:sz="4" w:space="0" w:color="auto"/>
              <w:right w:val="single" w:sz="4" w:space="0" w:color="auto"/>
            </w:tcBorders>
            <w:shd w:val="clear" w:color="000000" w:fill="FFFFFF"/>
            <w:noWrap/>
            <w:vAlign w:val="bottom"/>
            <w:hideMark/>
          </w:tcPr>
          <w:p w14:paraId="097F925D" w14:textId="77777777" w:rsidR="00B56301" w:rsidRPr="002010BD" w:rsidRDefault="00B56301" w:rsidP="00B37B65">
            <w:pPr>
              <w:jc w:val="right"/>
              <w:rPr>
                <w:rFonts w:asciiTheme="minorHAnsi" w:hAnsiTheme="minorHAnsi"/>
                <w:sz w:val="16"/>
                <w:szCs w:val="14"/>
              </w:rPr>
            </w:pPr>
            <w:r w:rsidRPr="00C2292B">
              <w:rPr>
                <w:sz w:val="16"/>
                <w:szCs w:val="18"/>
              </w:rPr>
              <w:t>0,78</w:t>
            </w:r>
          </w:p>
        </w:tc>
        <w:tc>
          <w:tcPr>
            <w:tcW w:w="991" w:type="dxa"/>
            <w:tcBorders>
              <w:top w:val="nil"/>
              <w:left w:val="nil"/>
              <w:bottom w:val="single" w:sz="4" w:space="0" w:color="auto"/>
              <w:right w:val="single" w:sz="4" w:space="0" w:color="auto"/>
            </w:tcBorders>
            <w:shd w:val="clear" w:color="000000" w:fill="FFFFFF"/>
            <w:noWrap/>
            <w:vAlign w:val="bottom"/>
            <w:hideMark/>
          </w:tcPr>
          <w:p w14:paraId="7E1EBD71" w14:textId="77777777" w:rsidR="00B56301" w:rsidRPr="002010BD" w:rsidRDefault="00B56301" w:rsidP="00B37B65">
            <w:pPr>
              <w:jc w:val="right"/>
              <w:rPr>
                <w:rFonts w:asciiTheme="minorHAnsi" w:hAnsiTheme="minorHAnsi"/>
                <w:sz w:val="16"/>
                <w:szCs w:val="14"/>
              </w:rPr>
            </w:pPr>
            <w:r w:rsidRPr="00C2292B">
              <w:rPr>
                <w:sz w:val="16"/>
                <w:szCs w:val="18"/>
              </w:rPr>
              <w:t>0,78</w:t>
            </w:r>
          </w:p>
        </w:tc>
        <w:tc>
          <w:tcPr>
            <w:tcW w:w="991" w:type="dxa"/>
            <w:tcBorders>
              <w:top w:val="nil"/>
              <w:left w:val="nil"/>
              <w:bottom w:val="single" w:sz="4" w:space="0" w:color="auto"/>
              <w:right w:val="single" w:sz="4" w:space="0" w:color="auto"/>
            </w:tcBorders>
            <w:shd w:val="clear" w:color="000000" w:fill="FFFFFF"/>
            <w:noWrap/>
            <w:vAlign w:val="bottom"/>
            <w:hideMark/>
          </w:tcPr>
          <w:p w14:paraId="7C569913" w14:textId="77777777" w:rsidR="00B56301" w:rsidRPr="002010BD" w:rsidRDefault="00B56301" w:rsidP="00B37B65">
            <w:pPr>
              <w:jc w:val="right"/>
              <w:rPr>
                <w:rFonts w:asciiTheme="minorHAnsi" w:hAnsiTheme="minorHAnsi"/>
                <w:sz w:val="16"/>
                <w:szCs w:val="14"/>
              </w:rPr>
            </w:pPr>
            <w:r w:rsidRPr="00C2292B">
              <w:rPr>
                <w:sz w:val="16"/>
                <w:szCs w:val="18"/>
              </w:rPr>
              <w:t>0,76</w:t>
            </w:r>
          </w:p>
        </w:tc>
        <w:tc>
          <w:tcPr>
            <w:tcW w:w="991" w:type="dxa"/>
            <w:tcBorders>
              <w:top w:val="nil"/>
              <w:left w:val="nil"/>
              <w:bottom w:val="single" w:sz="4" w:space="0" w:color="auto"/>
              <w:right w:val="single" w:sz="4" w:space="0" w:color="auto"/>
            </w:tcBorders>
            <w:shd w:val="clear" w:color="000000" w:fill="FFFFFF"/>
            <w:noWrap/>
            <w:vAlign w:val="bottom"/>
            <w:hideMark/>
          </w:tcPr>
          <w:p w14:paraId="213B6604" w14:textId="77777777" w:rsidR="00B56301" w:rsidRPr="002010BD" w:rsidRDefault="00B56301" w:rsidP="00B37B65">
            <w:pPr>
              <w:jc w:val="right"/>
              <w:rPr>
                <w:rFonts w:asciiTheme="minorHAnsi" w:hAnsiTheme="minorHAnsi"/>
                <w:sz w:val="16"/>
                <w:szCs w:val="14"/>
              </w:rPr>
            </w:pPr>
            <w:r w:rsidRPr="00C2292B">
              <w:rPr>
                <w:sz w:val="16"/>
                <w:szCs w:val="18"/>
              </w:rPr>
              <w:t>0,82</w:t>
            </w:r>
          </w:p>
        </w:tc>
        <w:tc>
          <w:tcPr>
            <w:tcW w:w="991" w:type="dxa"/>
            <w:tcBorders>
              <w:top w:val="nil"/>
              <w:left w:val="nil"/>
              <w:bottom w:val="single" w:sz="4" w:space="0" w:color="auto"/>
              <w:right w:val="single" w:sz="4" w:space="0" w:color="auto"/>
            </w:tcBorders>
            <w:shd w:val="clear" w:color="000000" w:fill="FFFFFF"/>
            <w:noWrap/>
            <w:vAlign w:val="bottom"/>
            <w:hideMark/>
          </w:tcPr>
          <w:p w14:paraId="7EC56185" w14:textId="77777777" w:rsidR="00B56301" w:rsidRPr="002010BD" w:rsidRDefault="00B56301" w:rsidP="00B37B65">
            <w:pPr>
              <w:jc w:val="right"/>
              <w:rPr>
                <w:rFonts w:asciiTheme="minorHAnsi" w:hAnsiTheme="minorHAnsi"/>
                <w:sz w:val="16"/>
                <w:szCs w:val="14"/>
              </w:rPr>
            </w:pPr>
            <w:r w:rsidRPr="00C2292B">
              <w:rPr>
                <w:sz w:val="16"/>
                <w:szCs w:val="18"/>
              </w:rPr>
              <w:t>0,77</w:t>
            </w:r>
          </w:p>
        </w:tc>
      </w:tr>
      <w:tr w:rsidR="00B56301" w:rsidRPr="00C2292B" w14:paraId="085BB1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B10E44"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3B7D43E9"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FA30933"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CA4D546"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A96BFEA"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44D338D"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0BF5CE6" w14:textId="77777777" w:rsidR="00B56301" w:rsidRPr="002010BD" w:rsidRDefault="00B56301" w:rsidP="00B37B65">
            <w:pPr>
              <w:jc w:val="right"/>
              <w:rPr>
                <w:rFonts w:asciiTheme="minorHAnsi" w:hAnsiTheme="minorHAnsi"/>
                <w:sz w:val="16"/>
                <w:szCs w:val="14"/>
              </w:rPr>
            </w:pPr>
            <w:r w:rsidRPr="00C2292B">
              <w:rPr>
                <w:sz w:val="16"/>
                <w:szCs w:val="18"/>
              </w:rPr>
              <w:t>NE</w:t>
            </w:r>
          </w:p>
        </w:tc>
      </w:tr>
      <w:tr w:rsidR="00B56301" w:rsidRPr="00C2292B" w14:paraId="404C8A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BA51AB" w14:textId="0B0895FD"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46DBE15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60A6B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E97C3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4F6F5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6F7E9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58A8B3"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0777144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79C2BE" w14:textId="2C62186E"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0130D26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04C26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A22B4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641E6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EE87A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D689F2"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0A2B96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51E24C"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6637D24"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4878C"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90EBE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B732A0"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1DC3AB"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E8630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3661F0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4AC3D7" w14:textId="01CC5114"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6047E79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8C9FE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DFAAD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A34A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B3B59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4BA0BA"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491409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6597ACC" w14:textId="7890ACC9"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1C8DF4B"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22B0B6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61290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6F339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1A864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9E9055" w14:textId="77777777" w:rsidR="00B56301" w:rsidRPr="002010BD" w:rsidRDefault="00B56301" w:rsidP="00B37B65">
            <w:pPr>
              <w:jc w:val="right"/>
              <w:rPr>
                <w:rFonts w:asciiTheme="minorHAnsi" w:hAnsiTheme="minorHAnsi"/>
                <w:sz w:val="16"/>
                <w:szCs w:val="14"/>
              </w:rPr>
            </w:pPr>
            <w:r w:rsidRPr="00C2292B">
              <w:rPr>
                <w:sz w:val="16"/>
                <w:szCs w:val="18"/>
              </w:rPr>
              <w:t> </w:t>
            </w:r>
          </w:p>
        </w:tc>
      </w:tr>
    </w:tbl>
    <w:p w14:paraId="20C835FE" w14:textId="77777777" w:rsidR="00B56301" w:rsidRDefault="00B56301" w:rsidP="00B56301">
      <w:pPr>
        <w:ind w:right="27"/>
        <w:rPr>
          <w:rFonts w:cs="Arial"/>
          <w:sz w:val="24"/>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C2292B" w14:paraId="68EC4B2D"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FB1C17" w14:textId="090B4B55" w:rsidR="00B56301" w:rsidRPr="002010BD" w:rsidRDefault="00B56301" w:rsidP="00B37B65">
            <w:pPr>
              <w:jc w:val="left"/>
              <w:rPr>
                <w:rFonts w:asciiTheme="minorHAnsi" w:hAnsiTheme="minorHAnsi"/>
                <w:b/>
                <w:bCs/>
                <w:sz w:val="16"/>
                <w:szCs w:val="14"/>
                <w:lang w:val="en-GB"/>
              </w:rPr>
            </w:pPr>
            <w:r w:rsidRPr="0034391E">
              <w:rPr>
                <w:rFonts w:cs="Arial"/>
                <w:sz w:val="24"/>
                <w:lang w:val="en-US"/>
              </w:rPr>
              <w:br w:type="page"/>
            </w:r>
            <w:r w:rsidRPr="002010BD">
              <w:rPr>
                <w:rFonts w:asciiTheme="minorHAnsi" w:hAnsiTheme="minorHAnsi"/>
                <w:b/>
                <w:bCs/>
                <w:sz w:val="16"/>
                <w:szCs w:val="14"/>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C716B9B" w14:textId="77777777" w:rsidR="00B56301" w:rsidRPr="002010BD" w:rsidRDefault="00B56301" w:rsidP="00B37B65">
            <w:pPr>
              <w:jc w:val="center"/>
              <w:rPr>
                <w:rFonts w:asciiTheme="minorHAnsi" w:hAnsiTheme="minorHAnsi"/>
                <w:b/>
                <w:bCs/>
                <w:sz w:val="16"/>
                <w:szCs w:val="14"/>
              </w:rPr>
            </w:pPr>
            <w:r w:rsidRPr="00C2292B">
              <w:rPr>
                <w:b/>
                <w:bCs/>
                <w:sz w:val="16"/>
                <w:szCs w:val="18"/>
              </w:rPr>
              <w:t>2013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639FD91" w14:textId="77777777" w:rsidR="00B56301" w:rsidRPr="002010BD" w:rsidRDefault="00B56301" w:rsidP="00B37B65">
            <w:pPr>
              <w:jc w:val="center"/>
              <w:rPr>
                <w:rFonts w:asciiTheme="minorHAnsi" w:hAnsiTheme="minorHAnsi"/>
                <w:b/>
                <w:bCs/>
                <w:sz w:val="16"/>
                <w:szCs w:val="14"/>
              </w:rPr>
            </w:pPr>
            <w:r w:rsidRPr="00C2292B">
              <w:rPr>
                <w:b/>
                <w:bCs/>
                <w:sz w:val="16"/>
                <w:szCs w:val="18"/>
              </w:rPr>
              <w:t>2014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9C1587F" w14:textId="77777777" w:rsidR="00B56301" w:rsidRPr="002010BD" w:rsidRDefault="00B56301" w:rsidP="00B37B65">
            <w:pPr>
              <w:jc w:val="center"/>
              <w:rPr>
                <w:rFonts w:asciiTheme="minorHAnsi" w:hAnsiTheme="minorHAnsi"/>
                <w:b/>
                <w:bCs/>
                <w:sz w:val="16"/>
                <w:szCs w:val="14"/>
              </w:rPr>
            </w:pPr>
            <w:r w:rsidRPr="00C2292B">
              <w:rPr>
                <w:b/>
                <w:bCs/>
                <w:sz w:val="16"/>
                <w:szCs w:val="18"/>
              </w:rPr>
              <w:t>2015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96D0284" w14:textId="77777777" w:rsidR="00B56301" w:rsidRPr="002010BD" w:rsidRDefault="00B56301" w:rsidP="00B37B65">
            <w:pPr>
              <w:jc w:val="center"/>
              <w:rPr>
                <w:rFonts w:asciiTheme="minorHAnsi" w:hAnsiTheme="minorHAnsi"/>
                <w:b/>
                <w:bCs/>
                <w:sz w:val="16"/>
                <w:szCs w:val="14"/>
              </w:rPr>
            </w:pPr>
            <w:r w:rsidRPr="00C2292B">
              <w:rPr>
                <w:b/>
                <w:bCs/>
                <w:sz w:val="16"/>
                <w:szCs w:val="18"/>
              </w:rPr>
              <w:t>2016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6063787" w14:textId="77777777" w:rsidR="00B56301" w:rsidRPr="002010BD" w:rsidRDefault="00B56301" w:rsidP="00B37B65">
            <w:pPr>
              <w:jc w:val="center"/>
              <w:rPr>
                <w:rFonts w:asciiTheme="minorHAnsi" w:hAnsiTheme="minorHAnsi"/>
                <w:b/>
                <w:bCs/>
                <w:sz w:val="16"/>
                <w:szCs w:val="14"/>
              </w:rPr>
            </w:pPr>
            <w:r w:rsidRPr="00C2292B">
              <w:rPr>
                <w:b/>
                <w:bCs/>
                <w:sz w:val="16"/>
                <w:szCs w:val="18"/>
              </w:rPr>
              <w:t>2017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8D0B03" w14:textId="77777777" w:rsidR="00B56301" w:rsidRPr="002010BD" w:rsidRDefault="00B56301" w:rsidP="00B37B65">
            <w:pPr>
              <w:jc w:val="center"/>
              <w:rPr>
                <w:rFonts w:asciiTheme="minorHAnsi" w:hAnsiTheme="minorHAnsi"/>
                <w:b/>
                <w:bCs/>
                <w:sz w:val="16"/>
                <w:szCs w:val="14"/>
              </w:rPr>
            </w:pPr>
            <w:r w:rsidRPr="00C2292B">
              <w:rPr>
                <w:b/>
                <w:bCs/>
                <w:sz w:val="16"/>
                <w:szCs w:val="18"/>
              </w:rPr>
              <w:t>2018</w:t>
            </w:r>
          </w:p>
        </w:tc>
      </w:tr>
      <w:tr w:rsidR="00B56301" w:rsidRPr="00C2292B" w14:paraId="0ED45B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0CFC6D"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93CBDD6" w14:textId="77777777" w:rsidR="00B56301" w:rsidRPr="002010BD" w:rsidRDefault="00B56301" w:rsidP="00B37B65">
            <w:pPr>
              <w:jc w:val="right"/>
              <w:rPr>
                <w:rFonts w:asciiTheme="minorHAnsi" w:hAnsiTheme="minorHAnsi"/>
                <w:sz w:val="16"/>
                <w:szCs w:val="14"/>
              </w:rPr>
            </w:pPr>
            <w:r w:rsidRPr="00C2292B">
              <w:rPr>
                <w:sz w:val="16"/>
                <w:szCs w:val="18"/>
              </w:rPr>
              <w:t>130,10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A4B8539" w14:textId="77777777" w:rsidR="00B56301" w:rsidRPr="002010BD" w:rsidRDefault="00B56301" w:rsidP="00B37B65">
            <w:pPr>
              <w:jc w:val="right"/>
              <w:rPr>
                <w:rFonts w:asciiTheme="minorHAnsi" w:hAnsiTheme="minorHAnsi"/>
                <w:sz w:val="16"/>
                <w:szCs w:val="14"/>
              </w:rPr>
            </w:pPr>
            <w:r w:rsidRPr="00C2292B">
              <w:rPr>
                <w:sz w:val="16"/>
                <w:szCs w:val="18"/>
              </w:rPr>
              <w:t>109,60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E42A450" w14:textId="77777777" w:rsidR="00B56301" w:rsidRPr="002010BD" w:rsidRDefault="00B56301" w:rsidP="00B37B65">
            <w:pPr>
              <w:jc w:val="right"/>
              <w:rPr>
                <w:rFonts w:asciiTheme="minorHAnsi" w:hAnsiTheme="minorHAnsi"/>
                <w:sz w:val="16"/>
                <w:szCs w:val="14"/>
              </w:rPr>
            </w:pPr>
            <w:r w:rsidRPr="00C2292B">
              <w:rPr>
                <w:sz w:val="16"/>
                <w:szCs w:val="18"/>
              </w:rPr>
              <w:t>109,73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DA66B47" w14:textId="77777777" w:rsidR="00B56301" w:rsidRPr="002010BD" w:rsidRDefault="00B56301" w:rsidP="00B37B65">
            <w:pPr>
              <w:jc w:val="right"/>
              <w:rPr>
                <w:rFonts w:asciiTheme="minorHAnsi" w:hAnsiTheme="minorHAnsi"/>
                <w:sz w:val="16"/>
                <w:szCs w:val="14"/>
              </w:rPr>
            </w:pPr>
            <w:r w:rsidRPr="00C2292B">
              <w:rPr>
                <w:sz w:val="16"/>
                <w:szCs w:val="18"/>
              </w:rPr>
              <w:t>111,89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46E50F2" w14:textId="77777777" w:rsidR="00B56301" w:rsidRPr="002010BD" w:rsidRDefault="00B56301" w:rsidP="00B37B65">
            <w:pPr>
              <w:jc w:val="right"/>
              <w:rPr>
                <w:rFonts w:asciiTheme="minorHAnsi" w:hAnsiTheme="minorHAnsi"/>
                <w:sz w:val="16"/>
                <w:szCs w:val="14"/>
              </w:rPr>
            </w:pPr>
            <w:r w:rsidRPr="00C2292B">
              <w:rPr>
                <w:sz w:val="16"/>
                <w:szCs w:val="18"/>
              </w:rPr>
              <w:t>104,76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72418B4" w14:textId="77777777" w:rsidR="00B56301" w:rsidRPr="002010BD" w:rsidRDefault="00B56301" w:rsidP="00B37B65">
            <w:pPr>
              <w:jc w:val="right"/>
              <w:rPr>
                <w:rFonts w:asciiTheme="minorHAnsi" w:hAnsiTheme="minorHAnsi"/>
                <w:sz w:val="16"/>
                <w:szCs w:val="14"/>
              </w:rPr>
            </w:pPr>
            <w:r w:rsidRPr="00C2292B">
              <w:rPr>
                <w:sz w:val="16"/>
                <w:szCs w:val="18"/>
              </w:rPr>
              <w:t>99,31</w:t>
            </w:r>
          </w:p>
        </w:tc>
      </w:tr>
      <w:tr w:rsidR="00B56301" w:rsidRPr="00C2292B" w14:paraId="0E07229B"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3B8BB23"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60EFDF64" w14:textId="77777777" w:rsidR="00B56301" w:rsidRPr="002010BD" w:rsidRDefault="00B56301" w:rsidP="00B37B65">
            <w:pPr>
              <w:jc w:val="right"/>
              <w:rPr>
                <w:rFonts w:asciiTheme="minorHAnsi" w:hAnsiTheme="minorHAnsi"/>
                <w:sz w:val="16"/>
                <w:szCs w:val="14"/>
              </w:rPr>
            </w:pPr>
            <w:r w:rsidRPr="00C2292B">
              <w:rPr>
                <w:sz w:val="16"/>
                <w:szCs w:val="18"/>
              </w:rPr>
              <w:t>75,03</w:t>
            </w:r>
          </w:p>
        </w:tc>
        <w:tc>
          <w:tcPr>
            <w:tcW w:w="991" w:type="dxa"/>
            <w:tcBorders>
              <w:top w:val="nil"/>
              <w:left w:val="nil"/>
              <w:bottom w:val="single" w:sz="4" w:space="0" w:color="auto"/>
              <w:right w:val="single" w:sz="4" w:space="0" w:color="auto"/>
            </w:tcBorders>
            <w:shd w:val="clear" w:color="000000" w:fill="CCFFFF"/>
            <w:noWrap/>
            <w:vAlign w:val="bottom"/>
            <w:hideMark/>
          </w:tcPr>
          <w:p w14:paraId="6D59E993" w14:textId="77777777" w:rsidR="00B56301" w:rsidRPr="002010BD" w:rsidRDefault="00B56301" w:rsidP="00B37B65">
            <w:pPr>
              <w:jc w:val="right"/>
              <w:rPr>
                <w:rFonts w:asciiTheme="minorHAnsi" w:hAnsiTheme="minorHAnsi"/>
                <w:sz w:val="16"/>
                <w:szCs w:val="14"/>
              </w:rPr>
            </w:pPr>
            <w:r w:rsidRPr="00C2292B">
              <w:rPr>
                <w:sz w:val="16"/>
                <w:szCs w:val="18"/>
              </w:rPr>
              <w:t>60,41</w:t>
            </w:r>
          </w:p>
        </w:tc>
        <w:tc>
          <w:tcPr>
            <w:tcW w:w="991" w:type="dxa"/>
            <w:tcBorders>
              <w:top w:val="nil"/>
              <w:left w:val="nil"/>
              <w:bottom w:val="single" w:sz="4" w:space="0" w:color="auto"/>
              <w:right w:val="single" w:sz="4" w:space="0" w:color="auto"/>
            </w:tcBorders>
            <w:shd w:val="clear" w:color="000000" w:fill="CCFFFF"/>
            <w:noWrap/>
            <w:vAlign w:val="bottom"/>
            <w:hideMark/>
          </w:tcPr>
          <w:p w14:paraId="2D629BF9" w14:textId="77777777" w:rsidR="00B56301" w:rsidRPr="002010BD" w:rsidRDefault="00B56301" w:rsidP="00B37B65">
            <w:pPr>
              <w:jc w:val="right"/>
              <w:rPr>
                <w:rFonts w:asciiTheme="minorHAnsi" w:hAnsiTheme="minorHAnsi"/>
                <w:sz w:val="16"/>
                <w:szCs w:val="14"/>
              </w:rPr>
            </w:pPr>
            <w:r w:rsidRPr="00C2292B">
              <w:rPr>
                <w:sz w:val="16"/>
                <w:szCs w:val="18"/>
              </w:rPr>
              <w:t>61,38</w:t>
            </w:r>
          </w:p>
        </w:tc>
        <w:tc>
          <w:tcPr>
            <w:tcW w:w="991" w:type="dxa"/>
            <w:tcBorders>
              <w:top w:val="nil"/>
              <w:left w:val="nil"/>
              <w:bottom w:val="single" w:sz="4" w:space="0" w:color="auto"/>
              <w:right w:val="single" w:sz="4" w:space="0" w:color="auto"/>
            </w:tcBorders>
            <w:shd w:val="clear" w:color="000000" w:fill="CCFFFF"/>
            <w:noWrap/>
            <w:vAlign w:val="bottom"/>
            <w:hideMark/>
          </w:tcPr>
          <w:p w14:paraId="3B0664C4" w14:textId="77777777" w:rsidR="00B56301" w:rsidRPr="002010BD" w:rsidRDefault="00B56301" w:rsidP="00B37B65">
            <w:pPr>
              <w:jc w:val="right"/>
              <w:rPr>
                <w:rFonts w:asciiTheme="minorHAnsi" w:hAnsiTheme="minorHAnsi"/>
                <w:sz w:val="16"/>
                <w:szCs w:val="14"/>
              </w:rPr>
            </w:pPr>
            <w:r w:rsidRPr="00C2292B">
              <w:rPr>
                <w:sz w:val="16"/>
                <w:szCs w:val="18"/>
              </w:rPr>
              <w:t>62,61</w:t>
            </w:r>
          </w:p>
        </w:tc>
        <w:tc>
          <w:tcPr>
            <w:tcW w:w="991" w:type="dxa"/>
            <w:tcBorders>
              <w:top w:val="nil"/>
              <w:left w:val="nil"/>
              <w:bottom w:val="single" w:sz="4" w:space="0" w:color="auto"/>
              <w:right w:val="single" w:sz="4" w:space="0" w:color="auto"/>
            </w:tcBorders>
            <w:shd w:val="clear" w:color="000000" w:fill="CCFFFF"/>
            <w:noWrap/>
            <w:vAlign w:val="bottom"/>
            <w:hideMark/>
          </w:tcPr>
          <w:p w14:paraId="7F548DB7" w14:textId="77777777" w:rsidR="00B56301" w:rsidRPr="002010BD" w:rsidRDefault="00B56301" w:rsidP="00B37B65">
            <w:pPr>
              <w:jc w:val="right"/>
              <w:rPr>
                <w:rFonts w:asciiTheme="minorHAnsi" w:hAnsiTheme="minorHAnsi"/>
                <w:sz w:val="16"/>
                <w:szCs w:val="14"/>
              </w:rPr>
            </w:pPr>
            <w:r w:rsidRPr="00C2292B">
              <w:rPr>
                <w:sz w:val="16"/>
                <w:szCs w:val="18"/>
              </w:rPr>
              <w:t>59,24</w:t>
            </w:r>
          </w:p>
        </w:tc>
        <w:tc>
          <w:tcPr>
            <w:tcW w:w="991" w:type="dxa"/>
            <w:tcBorders>
              <w:top w:val="nil"/>
              <w:left w:val="nil"/>
              <w:bottom w:val="single" w:sz="4" w:space="0" w:color="auto"/>
              <w:right w:val="single" w:sz="4" w:space="0" w:color="auto"/>
            </w:tcBorders>
            <w:shd w:val="clear" w:color="000000" w:fill="CCFFFF"/>
            <w:noWrap/>
            <w:vAlign w:val="bottom"/>
            <w:hideMark/>
          </w:tcPr>
          <w:p w14:paraId="69CD8F80" w14:textId="77777777" w:rsidR="00B56301" w:rsidRPr="002010BD" w:rsidRDefault="00B56301" w:rsidP="00B37B65">
            <w:pPr>
              <w:jc w:val="right"/>
              <w:rPr>
                <w:rFonts w:asciiTheme="minorHAnsi" w:hAnsiTheme="minorHAnsi"/>
                <w:sz w:val="16"/>
                <w:szCs w:val="14"/>
              </w:rPr>
            </w:pPr>
            <w:r w:rsidRPr="00C2292B">
              <w:rPr>
                <w:sz w:val="16"/>
                <w:szCs w:val="18"/>
              </w:rPr>
              <w:t>55,91</w:t>
            </w:r>
          </w:p>
        </w:tc>
      </w:tr>
      <w:tr w:rsidR="00B56301" w:rsidRPr="00C2292B" w14:paraId="6CE59C3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C74683" w14:textId="14025921"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71E8DDE3" w14:textId="77777777" w:rsidR="00B56301" w:rsidRPr="002010BD" w:rsidRDefault="00B56301" w:rsidP="00B37B65">
            <w:pPr>
              <w:jc w:val="right"/>
              <w:rPr>
                <w:rFonts w:asciiTheme="minorHAnsi" w:hAnsiTheme="minorHAnsi"/>
                <w:sz w:val="16"/>
                <w:szCs w:val="14"/>
              </w:rPr>
            </w:pPr>
            <w:r w:rsidRPr="00C2292B">
              <w:rPr>
                <w:sz w:val="16"/>
                <w:szCs w:val="18"/>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0D95468D" w14:textId="77777777" w:rsidR="00B56301" w:rsidRPr="002010BD" w:rsidRDefault="00B56301" w:rsidP="00B37B65">
            <w:pPr>
              <w:jc w:val="right"/>
              <w:rPr>
                <w:rFonts w:asciiTheme="minorHAnsi" w:hAnsiTheme="minorHAnsi"/>
                <w:sz w:val="16"/>
                <w:szCs w:val="14"/>
              </w:rPr>
            </w:pPr>
            <w:r w:rsidRPr="00C2292B">
              <w:rPr>
                <w:sz w:val="16"/>
                <w:szCs w:val="18"/>
              </w:rPr>
              <w:t>1,15</w:t>
            </w:r>
          </w:p>
        </w:tc>
        <w:tc>
          <w:tcPr>
            <w:tcW w:w="991" w:type="dxa"/>
            <w:tcBorders>
              <w:top w:val="nil"/>
              <w:left w:val="nil"/>
              <w:bottom w:val="single" w:sz="4" w:space="0" w:color="auto"/>
              <w:right w:val="single" w:sz="4" w:space="0" w:color="auto"/>
            </w:tcBorders>
            <w:shd w:val="clear" w:color="000000" w:fill="FFFFFF"/>
            <w:noWrap/>
            <w:vAlign w:val="bottom"/>
            <w:hideMark/>
          </w:tcPr>
          <w:p w14:paraId="32C05714" w14:textId="77777777" w:rsidR="00B56301" w:rsidRPr="002010BD" w:rsidRDefault="00B56301" w:rsidP="00B37B65">
            <w:pPr>
              <w:jc w:val="right"/>
              <w:rPr>
                <w:rFonts w:asciiTheme="minorHAnsi" w:hAnsiTheme="minorHAnsi"/>
                <w:sz w:val="16"/>
                <w:szCs w:val="14"/>
              </w:rPr>
            </w:pPr>
            <w:r w:rsidRPr="00C2292B">
              <w:rPr>
                <w:sz w:val="16"/>
                <w:szCs w:val="18"/>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17D97B86" w14:textId="77777777" w:rsidR="00B56301" w:rsidRPr="002010BD" w:rsidRDefault="00B56301" w:rsidP="00B37B65">
            <w:pPr>
              <w:jc w:val="right"/>
              <w:rPr>
                <w:rFonts w:asciiTheme="minorHAnsi" w:hAnsiTheme="minorHAnsi"/>
                <w:sz w:val="16"/>
                <w:szCs w:val="14"/>
              </w:rPr>
            </w:pPr>
            <w:r w:rsidRPr="00C2292B">
              <w:rPr>
                <w:sz w:val="16"/>
                <w:szCs w:val="18"/>
              </w:rPr>
              <w:t>1,85</w:t>
            </w:r>
          </w:p>
        </w:tc>
        <w:tc>
          <w:tcPr>
            <w:tcW w:w="991" w:type="dxa"/>
            <w:tcBorders>
              <w:top w:val="nil"/>
              <w:left w:val="nil"/>
              <w:bottom w:val="single" w:sz="4" w:space="0" w:color="auto"/>
              <w:right w:val="single" w:sz="4" w:space="0" w:color="auto"/>
            </w:tcBorders>
            <w:shd w:val="clear" w:color="000000" w:fill="FFFFFF"/>
            <w:noWrap/>
            <w:vAlign w:val="bottom"/>
            <w:hideMark/>
          </w:tcPr>
          <w:p w14:paraId="0D6494AE" w14:textId="77777777" w:rsidR="00B56301" w:rsidRPr="002010BD" w:rsidRDefault="00B56301" w:rsidP="00B37B65">
            <w:pPr>
              <w:jc w:val="right"/>
              <w:rPr>
                <w:rFonts w:asciiTheme="minorHAnsi" w:hAnsiTheme="minorHAnsi"/>
                <w:sz w:val="16"/>
                <w:szCs w:val="14"/>
              </w:rPr>
            </w:pPr>
            <w:r w:rsidRPr="00C2292B">
              <w:rPr>
                <w:sz w:val="16"/>
                <w:szCs w:val="18"/>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66A8983F" w14:textId="77777777" w:rsidR="00B56301" w:rsidRPr="002010BD" w:rsidRDefault="00B56301" w:rsidP="00B37B65">
            <w:pPr>
              <w:jc w:val="right"/>
              <w:rPr>
                <w:rFonts w:asciiTheme="minorHAnsi" w:hAnsiTheme="minorHAnsi"/>
                <w:sz w:val="16"/>
                <w:szCs w:val="14"/>
              </w:rPr>
            </w:pPr>
            <w:r w:rsidRPr="00C2292B">
              <w:rPr>
                <w:sz w:val="16"/>
                <w:szCs w:val="18"/>
              </w:rPr>
              <w:t>1,73</w:t>
            </w:r>
          </w:p>
        </w:tc>
      </w:tr>
      <w:tr w:rsidR="00B56301" w:rsidRPr="00C2292B" w14:paraId="5AE67EE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FA63F46" w14:textId="39221271"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7D625E3" w14:textId="77777777" w:rsidR="00B56301" w:rsidRPr="002010BD" w:rsidRDefault="00B56301" w:rsidP="00B37B65">
            <w:pPr>
              <w:jc w:val="right"/>
              <w:rPr>
                <w:rFonts w:asciiTheme="minorHAnsi" w:hAnsiTheme="minorHAnsi"/>
                <w:sz w:val="16"/>
                <w:szCs w:val="14"/>
              </w:rPr>
            </w:pPr>
            <w:r w:rsidRPr="00C2292B">
              <w:rPr>
                <w:sz w:val="16"/>
                <w:szCs w:val="18"/>
              </w:rPr>
              <w:t>3,96</w:t>
            </w:r>
          </w:p>
        </w:tc>
        <w:tc>
          <w:tcPr>
            <w:tcW w:w="991" w:type="dxa"/>
            <w:tcBorders>
              <w:top w:val="nil"/>
              <w:left w:val="nil"/>
              <w:bottom w:val="single" w:sz="4" w:space="0" w:color="auto"/>
              <w:right w:val="single" w:sz="4" w:space="0" w:color="auto"/>
            </w:tcBorders>
            <w:shd w:val="clear" w:color="000000" w:fill="FFFFFF"/>
            <w:noWrap/>
            <w:vAlign w:val="bottom"/>
            <w:hideMark/>
          </w:tcPr>
          <w:p w14:paraId="1D785DEB" w14:textId="77777777" w:rsidR="00B56301" w:rsidRPr="002010BD" w:rsidRDefault="00B56301" w:rsidP="00B37B65">
            <w:pPr>
              <w:jc w:val="right"/>
              <w:rPr>
                <w:rFonts w:asciiTheme="minorHAnsi" w:hAnsiTheme="minorHAnsi"/>
                <w:sz w:val="16"/>
                <w:szCs w:val="14"/>
              </w:rPr>
            </w:pPr>
            <w:r w:rsidRPr="00C2292B">
              <w:rPr>
                <w:sz w:val="16"/>
                <w:szCs w:val="18"/>
              </w:rPr>
              <w:t>3,65</w:t>
            </w:r>
          </w:p>
        </w:tc>
        <w:tc>
          <w:tcPr>
            <w:tcW w:w="991" w:type="dxa"/>
            <w:tcBorders>
              <w:top w:val="nil"/>
              <w:left w:val="nil"/>
              <w:bottom w:val="single" w:sz="4" w:space="0" w:color="auto"/>
              <w:right w:val="single" w:sz="4" w:space="0" w:color="auto"/>
            </w:tcBorders>
            <w:shd w:val="clear" w:color="000000" w:fill="FFFFFF"/>
            <w:noWrap/>
            <w:vAlign w:val="bottom"/>
            <w:hideMark/>
          </w:tcPr>
          <w:p w14:paraId="2DB7BBCA" w14:textId="77777777" w:rsidR="00B56301" w:rsidRPr="002010BD" w:rsidRDefault="00B56301" w:rsidP="00B37B65">
            <w:pPr>
              <w:jc w:val="right"/>
              <w:rPr>
                <w:rFonts w:asciiTheme="minorHAnsi" w:hAnsiTheme="minorHAnsi"/>
                <w:sz w:val="16"/>
                <w:szCs w:val="14"/>
              </w:rPr>
            </w:pPr>
            <w:r w:rsidRPr="00C2292B">
              <w:rPr>
                <w:sz w:val="16"/>
                <w:szCs w:val="18"/>
              </w:rPr>
              <w:t>3,95</w:t>
            </w:r>
          </w:p>
        </w:tc>
        <w:tc>
          <w:tcPr>
            <w:tcW w:w="991" w:type="dxa"/>
            <w:tcBorders>
              <w:top w:val="nil"/>
              <w:left w:val="nil"/>
              <w:bottom w:val="single" w:sz="4" w:space="0" w:color="auto"/>
              <w:right w:val="single" w:sz="4" w:space="0" w:color="auto"/>
            </w:tcBorders>
            <w:shd w:val="clear" w:color="000000" w:fill="FFFFFF"/>
            <w:noWrap/>
            <w:vAlign w:val="bottom"/>
            <w:hideMark/>
          </w:tcPr>
          <w:p w14:paraId="7CAC0FCB" w14:textId="77777777" w:rsidR="00B56301" w:rsidRPr="002010BD" w:rsidRDefault="00B56301" w:rsidP="00B37B65">
            <w:pPr>
              <w:jc w:val="right"/>
              <w:rPr>
                <w:rFonts w:asciiTheme="minorHAnsi" w:hAnsiTheme="minorHAnsi"/>
                <w:sz w:val="16"/>
                <w:szCs w:val="14"/>
              </w:rPr>
            </w:pPr>
            <w:r w:rsidRPr="00C2292B">
              <w:rPr>
                <w:sz w:val="16"/>
                <w:szCs w:val="18"/>
              </w:rPr>
              <w:t>4,18</w:t>
            </w:r>
          </w:p>
        </w:tc>
        <w:tc>
          <w:tcPr>
            <w:tcW w:w="991" w:type="dxa"/>
            <w:tcBorders>
              <w:top w:val="nil"/>
              <w:left w:val="nil"/>
              <w:bottom w:val="single" w:sz="4" w:space="0" w:color="auto"/>
              <w:right w:val="single" w:sz="4" w:space="0" w:color="auto"/>
            </w:tcBorders>
            <w:shd w:val="clear" w:color="000000" w:fill="FFFFFF"/>
            <w:noWrap/>
            <w:vAlign w:val="bottom"/>
            <w:hideMark/>
          </w:tcPr>
          <w:p w14:paraId="6FE6CFA9" w14:textId="77777777" w:rsidR="00B56301" w:rsidRPr="002010BD" w:rsidRDefault="00B56301" w:rsidP="00B37B65">
            <w:pPr>
              <w:jc w:val="right"/>
              <w:rPr>
                <w:rFonts w:asciiTheme="minorHAnsi" w:hAnsiTheme="minorHAnsi"/>
                <w:sz w:val="16"/>
                <w:szCs w:val="14"/>
              </w:rPr>
            </w:pPr>
            <w:r w:rsidRPr="00C2292B">
              <w:rPr>
                <w:sz w:val="16"/>
                <w:szCs w:val="18"/>
              </w:rPr>
              <w:t>3,96</w:t>
            </w:r>
          </w:p>
        </w:tc>
        <w:tc>
          <w:tcPr>
            <w:tcW w:w="991" w:type="dxa"/>
            <w:tcBorders>
              <w:top w:val="nil"/>
              <w:left w:val="nil"/>
              <w:bottom w:val="single" w:sz="4" w:space="0" w:color="auto"/>
              <w:right w:val="single" w:sz="4" w:space="0" w:color="auto"/>
            </w:tcBorders>
            <w:shd w:val="clear" w:color="000000" w:fill="FFFFFF"/>
            <w:noWrap/>
            <w:vAlign w:val="bottom"/>
            <w:hideMark/>
          </w:tcPr>
          <w:p w14:paraId="04B97C69" w14:textId="77777777" w:rsidR="00B56301" w:rsidRPr="002010BD" w:rsidRDefault="00B56301" w:rsidP="00B37B65">
            <w:pPr>
              <w:jc w:val="right"/>
              <w:rPr>
                <w:rFonts w:asciiTheme="minorHAnsi" w:hAnsiTheme="minorHAnsi"/>
                <w:sz w:val="16"/>
                <w:szCs w:val="14"/>
              </w:rPr>
            </w:pPr>
            <w:r w:rsidRPr="00C2292B">
              <w:rPr>
                <w:sz w:val="16"/>
                <w:szCs w:val="18"/>
              </w:rPr>
              <w:t>4,19</w:t>
            </w:r>
          </w:p>
        </w:tc>
      </w:tr>
      <w:tr w:rsidR="00B56301" w:rsidRPr="00C2292B" w14:paraId="7C8B2A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9FCEBE" w14:textId="6B2A4F84"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28CB32E8" w14:textId="77777777" w:rsidR="00B56301" w:rsidRPr="002010BD" w:rsidRDefault="00B56301" w:rsidP="00B37B65">
            <w:pPr>
              <w:jc w:val="right"/>
              <w:rPr>
                <w:rFonts w:asciiTheme="minorHAnsi" w:hAnsiTheme="minorHAnsi"/>
                <w:sz w:val="16"/>
                <w:szCs w:val="14"/>
              </w:rPr>
            </w:pPr>
            <w:r w:rsidRPr="00C2292B">
              <w:rPr>
                <w:sz w:val="16"/>
                <w:szCs w:val="18"/>
              </w:rPr>
              <w:t>7,26</w:t>
            </w:r>
          </w:p>
        </w:tc>
        <w:tc>
          <w:tcPr>
            <w:tcW w:w="991" w:type="dxa"/>
            <w:tcBorders>
              <w:top w:val="nil"/>
              <w:left w:val="nil"/>
              <w:bottom w:val="single" w:sz="4" w:space="0" w:color="auto"/>
              <w:right w:val="single" w:sz="4" w:space="0" w:color="auto"/>
            </w:tcBorders>
            <w:shd w:val="clear" w:color="000000" w:fill="FFFFFF"/>
            <w:noWrap/>
            <w:vAlign w:val="bottom"/>
            <w:hideMark/>
          </w:tcPr>
          <w:p w14:paraId="166CA6A1" w14:textId="77777777" w:rsidR="00B56301" w:rsidRPr="002010BD" w:rsidRDefault="00B56301" w:rsidP="00B37B65">
            <w:pPr>
              <w:jc w:val="right"/>
              <w:rPr>
                <w:rFonts w:asciiTheme="minorHAnsi" w:hAnsiTheme="minorHAnsi"/>
                <w:sz w:val="16"/>
                <w:szCs w:val="14"/>
              </w:rPr>
            </w:pPr>
            <w:r w:rsidRPr="00C2292B">
              <w:rPr>
                <w:sz w:val="16"/>
                <w:szCs w:val="18"/>
              </w:rPr>
              <w:t>6,74</w:t>
            </w:r>
          </w:p>
        </w:tc>
        <w:tc>
          <w:tcPr>
            <w:tcW w:w="991" w:type="dxa"/>
            <w:tcBorders>
              <w:top w:val="nil"/>
              <w:left w:val="nil"/>
              <w:bottom w:val="single" w:sz="4" w:space="0" w:color="auto"/>
              <w:right w:val="single" w:sz="4" w:space="0" w:color="auto"/>
            </w:tcBorders>
            <w:shd w:val="clear" w:color="000000" w:fill="FFFFFF"/>
            <w:noWrap/>
            <w:vAlign w:val="bottom"/>
            <w:hideMark/>
          </w:tcPr>
          <w:p w14:paraId="614138BE" w14:textId="77777777" w:rsidR="00B56301" w:rsidRPr="002010BD" w:rsidRDefault="00B56301" w:rsidP="00B37B65">
            <w:pPr>
              <w:jc w:val="right"/>
              <w:rPr>
                <w:rFonts w:asciiTheme="minorHAnsi" w:hAnsiTheme="minorHAnsi"/>
                <w:sz w:val="16"/>
                <w:szCs w:val="14"/>
              </w:rPr>
            </w:pPr>
            <w:r w:rsidRPr="00C2292B">
              <w:rPr>
                <w:sz w:val="16"/>
                <w:szCs w:val="18"/>
              </w:rPr>
              <w:t>6,58</w:t>
            </w:r>
          </w:p>
        </w:tc>
        <w:tc>
          <w:tcPr>
            <w:tcW w:w="991" w:type="dxa"/>
            <w:tcBorders>
              <w:top w:val="nil"/>
              <w:left w:val="nil"/>
              <w:bottom w:val="single" w:sz="4" w:space="0" w:color="auto"/>
              <w:right w:val="single" w:sz="4" w:space="0" w:color="auto"/>
            </w:tcBorders>
            <w:shd w:val="clear" w:color="000000" w:fill="FFFFFF"/>
            <w:noWrap/>
            <w:vAlign w:val="bottom"/>
            <w:hideMark/>
          </w:tcPr>
          <w:p w14:paraId="1E2AAB17" w14:textId="77777777" w:rsidR="00B56301" w:rsidRPr="002010BD" w:rsidRDefault="00B56301" w:rsidP="00B37B65">
            <w:pPr>
              <w:jc w:val="right"/>
              <w:rPr>
                <w:rFonts w:asciiTheme="minorHAnsi" w:hAnsiTheme="minorHAnsi"/>
                <w:sz w:val="16"/>
                <w:szCs w:val="14"/>
              </w:rPr>
            </w:pPr>
            <w:r w:rsidRPr="00C2292B">
              <w:rPr>
                <w:sz w:val="16"/>
                <w:szCs w:val="18"/>
              </w:rPr>
              <w:t>6,42</w:t>
            </w:r>
          </w:p>
        </w:tc>
        <w:tc>
          <w:tcPr>
            <w:tcW w:w="991" w:type="dxa"/>
            <w:tcBorders>
              <w:top w:val="nil"/>
              <w:left w:val="nil"/>
              <w:bottom w:val="single" w:sz="4" w:space="0" w:color="auto"/>
              <w:right w:val="single" w:sz="4" w:space="0" w:color="auto"/>
            </w:tcBorders>
            <w:shd w:val="clear" w:color="000000" w:fill="FFFFFF"/>
            <w:noWrap/>
            <w:vAlign w:val="bottom"/>
            <w:hideMark/>
          </w:tcPr>
          <w:p w14:paraId="65F25191" w14:textId="77777777" w:rsidR="00B56301" w:rsidRPr="002010BD" w:rsidRDefault="00B56301" w:rsidP="00B37B65">
            <w:pPr>
              <w:jc w:val="right"/>
              <w:rPr>
                <w:rFonts w:asciiTheme="minorHAnsi" w:hAnsiTheme="minorHAnsi"/>
                <w:sz w:val="16"/>
                <w:szCs w:val="14"/>
              </w:rPr>
            </w:pPr>
            <w:r w:rsidRPr="00C2292B">
              <w:rPr>
                <w:sz w:val="16"/>
                <w:szCs w:val="18"/>
              </w:rPr>
              <w:t>6,39</w:t>
            </w:r>
          </w:p>
        </w:tc>
        <w:tc>
          <w:tcPr>
            <w:tcW w:w="991" w:type="dxa"/>
            <w:tcBorders>
              <w:top w:val="nil"/>
              <w:left w:val="nil"/>
              <w:bottom w:val="single" w:sz="4" w:space="0" w:color="auto"/>
              <w:right w:val="single" w:sz="4" w:space="0" w:color="auto"/>
            </w:tcBorders>
            <w:shd w:val="clear" w:color="000000" w:fill="FFFFFF"/>
            <w:noWrap/>
            <w:vAlign w:val="bottom"/>
            <w:hideMark/>
          </w:tcPr>
          <w:p w14:paraId="1C301B11" w14:textId="77777777" w:rsidR="00B56301" w:rsidRPr="002010BD" w:rsidRDefault="00B56301" w:rsidP="00B37B65">
            <w:pPr>
              <w:jc w:val="right"/>
              <w:rPr>
                <w:rFonts w:asciiTheme="minorHAnsi" w:hAnsiTheme="minorHAnsi"/>
                <w:sz w:val="16"/>
                <w:szCs w:val="14"/>
              </w:rPr>
            </w:pPr>
            <w:r w:rsidRPr="00C2292B">
              <w:rPr>
                <w:sz w:val="16"/>
                <w:szCs w:val="18"/>
              </w:rPr>
              <w:t>6,45</w:t>
            </w:r>
          </w:p>
        </w:tc>
      </w:tr>
      <w:tr w:rsidR="00B56301" w:rsidRPr="00C2292B" w14:paraId="36F496D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EB3E3C" w14:textId="51396C52"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38BF3879" w14:textId="77777777" w:rsidR="00B56301" w:rsidRPr="002010BD" w:rsidRDefault="00B56301" w:rsidP="00B37B65">
            <w:pPr>
              <w:jc w:val="right"/>
              <w:rPr>
                <w:rFonts w:asciiTheme="minorHAnsi" w:hAnsiTheme="minorHAnsi"/>
                <w:sz w:val="16"/>
                <w:szCs w:val="14"/>
              </w:rPr>
            </w:pPr>
            <w:r w:rsidRPr="00C2292B">
              <w:rPr>
                <w:sz w:val="16"/>
                <w:szCs w:val="18"/>
              </w:rPr>
              <w:t>62,36</w:t>
            </w:r>
          </w:p>
        </w:tc>
        <w:tc>
          <w:tcPr>
            <w:tcW w:w="991" w:type="dxa"/>
            <w:tcBorders>
              <w:top w:val="nil"/>
              <w:left w:val="nil"/>
              <w:bottom w:val="single" w:sz="4" w:space="0" w:color="auto"/>
              <w:right w:val="single" w:sz="4" w:space="0" w:color="auto"/>
            </w:tcBorders>
            <w:shd w:val="clear" w:color="000000" w:fill="FFFFFF"/>
            <w:noWrap/>
            <w:vAlign w:val="bottom"/>
            <w:hideMark/>
          </w:tcPr>
          <w:p w14:paraId="1AE6480A" w14:textId="77777777" w:rsidR="00B56301" w:rsidRPr="002010BD" w:rsidRDefault="00B56301" w:rsidP="00B37B65">
            <w:pPr>
              <w:jc w:val="right"/>
              <w:rPr>
                <w:rFonts w:asciiTheme="minorHAnsi" w:hAnsiTheme="minorHAnsi"/>
                <w:sz w:val="16"/>
                <w:szCs w:val="14"/>
              </w:rPr>
            </w:pPr>
            <w:r w:rsidRPr="00C2292B">
              <w:rPr>
                <w:sz w:val="16"/>
                <w:szCs w:val="18"/>
              </w:rPr>
              <w:t>48,77</w:t>
            </w:r>
          </w:p>
        </w:tc>
        <w:tc>
          <w:tcPr>
            <w:tcW w:w="991" w:type="dxa"/>
            <w:tcBorders>
              <w:top w:val="nil"/>
              <w:left w:val="nil"/>
              <w:bottom w:val="single" w:sz="4" w:space="0" w:color="auto"/>
              <w:right w:val="single" w:sz="4" w:space="0" w:color="auto"/>
            </w:tcBorders>
            <w:shd w:val="clear" w:color="000000" w:fill="FFFFFF"/>
            <w:noWrap/>
            <w:vAlign w:val="bottom"/>
            <w:hideMark/>
          </w:tcPr>
          <w:p w14:paraId="0F665617" w14:textId="77777777" w:rsidR="00B56301" w:rsidRPr="002010BD" w:rsidRDefault="00B56301" w:rsidP="00B37B65">
            <w:pPr>
              <w:jc w:val="right"/>
              <w:rPr>
                <w:rFonts w:asciiTheme="minorHAnsi" w:hAnsiTheme="minorHAnsi"/>
                <w:sz w:val="16"/>
                <w:szCs w:val="14"/>
              </w:rPr>
            </w:pPr>
            <w:r w:rsidRPr="00C2292B">
              <w:rPr>
                <w:sz w:val="16"/>
                <w:szCs w:val="18"/>
              </w:rPr>
              <w:t>49,35</w:t>
            </w:r>
          </w:p>
        </w:tc>
        <w:tc>
          <w:tcPr>
            <w:tcW w:w="991" w:type="dxa"/>
            <w:tcBorders>
              <w:top w:val="nil"/>
              <w:left w:val="nil"/>
              <w:bottom w:val="single" w:sz="4" w:space="0" w:color="auto"/>
              <w:right w:val="single" w:sz="4" w:space="0" w:color="auto"/>
            </w:tcBorders>
            <w:shd w:val="clear" w:color="000000" w:fill="FFFFFF"/>
            <w:noWrap/>
            <w:vAlign w:val="bottom"/>
            <w:hideMark/>
          </w:tcPr>
          <w:p w14:paraId="64017B82" w14:textId="77777777" w:rsidR="00B56301" w:rsidRPr="002010BD" w:rsidRDefault="00B56301" w:rsidP="00B37B65">
            <w:pPr>
              <w:jc w:val="right"/>
              <w:rPr>
                <w:rFonts w:asciiTheme="minorHAnsi" w:hAnsiTheme="minorHAnsi"/>
                <w:sz w:val="16"/>
                <w:szCs w:val="14"/>
              </w:rPr>
            </w:pPr>
            <w:r w:rsidRPr="00C2292B">
              <w:rPr>
                <w:sz w:val="16"/>
                <w:szCs w:val="18"/>
              </w:rPr>
              <w:t>50,10</w:t>
            </w:r>
          </w:p>
        </w:tc>
        <w:tc>
          <w:tcPr>
            <w:tcW w:w="991" w:type="dxa"/>
            <w:tcBorders>
              <w:top w:val="nil"/>
              <w:left w:val="nil"/>
              <w:bottom w:val="single" w:sz="4" w:space="0" w:color="auto"/>
              <w:right w:val="single" w:sz="4" w:space="0" w:color="auto"/>
            </w:tcBorders>
            <w:shd w:val="clear" w:color="000000" w:fill="FFFFFF"/>
            <w:noWrap/>
            <w:vAlign w:val="bottom"/>
            <w:hideMark/>
          </w:tcPr>
          <w:p w14:paraId="27EC0B30" w14:textId="77777777" w:rsidR="00B56301" w:rsidRPr="002010BD" w:rsidRDefault="00B56301" w:rsidP="00B37B65">
            <w:pPr>
              <w:jc w:val="right"/>
              <w:rPr>
                <w:rFonts w:asciiTheme="minorHAnsi" w:hAnsiTheme="minorHAnsi"/>
                <w:sz w:val="16"/>
                <w:szCs w:val="14"/>
              </w:rPr>
            </w:pPr>
            <w:r w:rsidRPr="00C2292B">
              <w:rPr>
                <w:sz w:val="16"/>
                <w:szCs w:val="18"/>
              </w:rPr>
              <w:t>46,77</w:t>
            </w:r>
          </w:p>
        </w:tc>
        <w:tc>
          <w:tcPr>
            <w:tcW w:w="991" w:type="dxa"/>
            <w:tcBorders>
              <w:top w:val="nil"/>
              <w:left w:val="nil"/>
              <w:bottom w:val="single" w:sz="4" w:space="0" w:color="auto"/>
              <w:right w:val="single" w:sz="4" w:space="0" w:color="auto"/>
            </w:tcBorders>
            <w:shd w:val="clear" w:color="000000" w:fill="FFFFFF"/>
            <w:noWrap/>
            <w:vAlign w:val="bottom"/>
            <w:hideMark/>
          </w:tcPr>
          <w:p w14:paraId="2575E590" w14:textId="77777777" w:rsidR="00B56301" w:rsidRPr="002010BD" w:rsidRDefault="00B56301" w:rsidP="00B37B65">
            <w:pPr>
              <w:jc w:val="right"/>
              <w:rPr>
                <w:rFonts w:asciiTheme="minorHAnsi" w:hAnsiTheme="minorHAnsi"/>
                <w:sz w:val="16"/>
                <w:szCs w:val="14"/>
              </w:rPr>
            </w:pPr>
            <w:r w:rsidRPr="00C2292B">
              <w:rPr>
                <w:sz w:val="16"/>
                <w:szCs w:val="18"/>
              </w:rPr>
              <w:t>43,48</w:t>
            </w:r>
          </w:p>
        </w:tc>
      </w:tr>
      <w:tr w:rsidR="00B56301" w:rsidRPr="00C2292B" w14:paraId="617320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4B5B31" w14:textId="22FD58E3"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45F663A2" w14:textId="77777777" w:rsidR="00B56301" w:rsidRPr="002010BD" w:rsidRDefault="00B56301" w:rsidP="00B37B65">
            <w:pPr>
              <w:jc w:val="right"/>
              <w:rPr>
                <w:rFonts w:asciiTheme="minorHAnsi" w:hAnsiTheme="minorHAnsi"/>
                <w:sz w:val="16"/>
                <w:szCs w:val="14"/>
              </w:rPr>
            </w:pPr>
            <w:r w:rsidRPr="00C2292B">
              <w:rPr>
                <w:sz w:val="16"/>
                <w:szCs w:val="18"/>
              </w:rPr>
              <w:t>0,12</w:t>
            </w:r>
          </w:p>
        </w:tc>
        <w:tc>
          <w:tcPr>
            <w:tcW w:w="991" w:type="dxa"/>
            <w:tcBorders>
              <w:top w:val="nil"/>
              <w:left w:val="nil"/>
              <w:bottom w:val="single" w:sz="4" w:space="0" w:color="auto"/>
              <w:right w:val="single" w:sz="4" w:space="0" w:color="auto"/>
            </w:tcBorders>
            <w:shd w:val="clear" w:color="000000" w:fill="FFFFFF"/>
            <w:noWrap/>
            <w:vAlign w:val="bottom"/>
            <w:hideMark/>
          </w:tcPr>
          <w:p w14:paraId="185908DC" w14:textId="77777777" w:rsidR="00B56301" w:rsidRPr="002010BD" w:rsidRDefault="00B56301" w:rsidP="00B37B65">
            <w:pPr>
              <w:jc w:val="right"/>
              <w:rPr>
                <w:rFonts w:asciiTheme="minorHAnsi" w:hAnsiTheme="minorHAnsi"/>
                <w:sz w:val="16"/>
                <w:szCs w:val="14"/>
              </w:rPr>
            </w:pPr>
            <w:r w:rsidRPr="00C2292B">
              <w:rPr>
                <w:sz w:val="16"/>
                <w:szCs w:val="18"/>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2AB58C95" w14:textId="77777777" w:rsidR="00B56301" w:rsidRPr="002010BD" w:rsidRDefault="00B56301" w:rsidP="00B37B65">
            <w:pPr>
              <w:jc w:val="right"/>
              <w:rPr>
                <w:rFonts w:asciiTheme="minorHAnsi" w:hAnsiTheme="minorHAnsi"/>
                <w:sz w:val="16"/>
                <w:szCs w:val="14"/>
              </w:rPr>
            </w:pPr>
            <w:r w:rsidRPr="00C2292B">
              <w:rPr>
                <w:sz w:val="16"/>
                <w:szCs w:val="18"/>
              </w:rPr>
              <w:t>0,11</w:t>
            </w:r>
          </w:p>
        </w:tc>
        <w:tc>
          <w:tcPr>
            <w:tcW w:w="991" w:type="dxa"/>
            <w:tcBorders>
              <w:top w:val="nil"/>
              <w:left w:val="nil"/>
              <w:bottom w:val="single" w:sz="4" w:space="0" w:color="auto"/>
              <w:right w:val="single" w:sz="4" w:space="0" w:color="auto"/>
            </w:tcBorders>
            <w:shd w:val="clear" w:color="000000" w:fill="FFFFFF"/>
            <w:noWrap/>
            <w:vAlign w:val="bottom"/>
            <w:hideMark/>
          </w:tcPr>
          <w:p w14:paraId="11DEED80"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049F1E9"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1FD24A25" w14:textId="77777777" w:rsidR="00B56301" w:rsidRPr="002010BD" w:rsidRDefault="00B56301" w:rsidP="00B37B65">
            <w:pPr>
              <w:jc w:val="right"/>
              <w:rPr>
                <w:rFonts w:asciiTheme="minorHAnsi" w:hAnsiTheme="minorHAnsi"/>
                <w:sz w:val="16"/>
                <w:szCs w:val="14"/>
              </w:rPr>
            </w:pPr>
            <w:r w:rsidRPr="00C2292B">
              <w:rPr>
                <w:sz w:val="16"/>
                <w:szCs w:val="18"/>
              </w:rPr>
              <w:t>0,07</w:t>
            </w:r>
          </w:p>
        </w:tc>
      </w:tr>
      <w:tr w:rsidR="00B56301" w:rsidRPr="00C2292B" w14:paraId="1E024F0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AE89F3"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7AEEFF26" w14:textId="77777777" w:rsidR="00B56301" w:rsidRPr="002010BD" w:rsidRDefault="00B56301" w:rsidP="00B37B65">
            <w:pPr>
              <w:jc w:val="right"/>
              <w:rPr>
                <w:rFonts w:asciiTheme="minorHAnsi" w:hAnsiTheme="minorHAnsi"/>
                <w:sz w:val="16"/>
                <w:szCs w:val="14"/>
              </w:rPr>
            </w:pPr>
            <w:r w:rsidRPr="00C2292B">
              <w:rPr>
                <w:sz w:val="16"/>
                <w:szCs w:val="18"/>
              </w:rPr>
              <w:t>55,07</w:t>
            </w:r>
          </w:p>
        </w:tc>
        <w:tc>
          <w:tcPr>
            <w:tcW w:w="991" w:type="dxa"/>
            <w:tcBorders>
              <w:top w:val="nil"/>
              <w:left w:val="nil"/>
              <w:bottom w:val="single" w:sz="4" w:space="0" w:color="auto"/>
              <w:right w:val="single" w:sz="4" w:space="0" w:color="auto"/>
            </w:tcBorders>
            <w:shd w:val="clear" w:color="000000" w:fill="CCFFFF"/>
            <w:noWrap/>
            <w:vAlign w:val="bottom"/>
            <w:hideMark/>
          </w:tcPr>
          <w:p w14:paraId="3DBF46C5" w14:textId="77777777" w:rsidR="00B56301" w:rsidRPr="002010BD" w:rsidRDefault="00B56301" w:rsidP="00B37B65">
            <w:pPr>
              <w:jc w:val="right"/>
              <w:rPr>
                <w:rFonts w:asciiTheme="minorHAnsi" w:hAnsiTheme="minorHAnsi"/>
                <w:sz w:val="16"/>
                <w:szCs w:val="14"/>
              </w:rPr>
            </w:pPr>
            <w:r w:rsidRPr="00C2292B">
              <w:rPr>
                <w:sz w:val="16"/>
                <w:szCs w:val="18"/>
              </w:rPr>
              <w:t>49,18</w:t>
            </w:r>
          </w:p>
        </w:tc>
        <w:tc>
          <w:tcPr>
            <w:tcW w:w="991" w:type="dxa"/>
            <w:tcBorders>
              <w:top w:val="nil"/>
              <w:left w:val="nil"/>
              <w:bottom w:val="single" w:sz="4" w:space="0" w:color="auto"/>
              <w:right w:val="single" w:sz="4" w:space="0" w:color="auto"/>
            </w:tcBorders>
            <w:shd w:val="clear" w:color="000000" w:fill="CCFFFF"/>
            <w:noWrap/>
            <w:vAlign w:val="bottom"/>
            <w:hideMark/>
          </w:tcPr>
          <w:p w14:paraId="6E0AD80B" w14:textId="77777777" w:rsidR="00B56301" w:rsidRPr="002010BD" w:rsidRDefault="00B56301" w:rsidP="00B37B65">
            <w:pPr>
              <w:jc w:val="right"/>
              <w:rPr>
                <w:rFonts w:asciiTheme="minorHAnsi" w:hAnsiTheme="minorHAnsi"/>
                <w:sz w:val="16"/>
                <w:szCs w:val="14"/>
              </w:rPr>
            </w:pPr>
            <w:r w:rsidRPr="00C2292B">
              <w:rPr>
                <w:sz w:val="16"/>
                <w:szCs w:val="18"/>
              </w:rPr>
              <w:t>48,35</w:t>
            </w:r>
          </w:p>
        </w:tc>
        <w:tc>
          <w:tcPr>
            <w:tcW w:w="991" w:type="dxa"/>
            <w:tcBorders>
              <w:top w:val="nil"/>
              <w:left w:val="nil"/>
              <w:bottom w:val="single" w:sz="4" w:space="0" w:color="auto"/>
              <w:right w:val="single" w:sz="4" w:space="0" w:color="auto"/>
            </w:tcBorders>
            <w:shd w:val="clear" w:color="000000" w:fill="CCFFFF"/>
            <w:noWrap/>
            <w:vAlign w:val="bottom"/>
            <w:hideMark/>
          </w:tcPr>
          <w:p w14:paraId="310F0E17" w14:textId="77777777" w:rsidR="00B56301" w:rsidRPr="002010BD" w:rsidRDefault="00B56301" w:rsidP="00B37B65">
            <w:pPr>
              <w:jc w:val="right"/>
              <w:rPr>
                <w:rFonts w:asciiTheme="minorHAnsi" w:hAnsiTheme="minorHAnsi"/>
                <w:sz w:val="16"/>
                <w:szCs w:val="14"/>
              </w:rPr>
            </w:pPr>
            <w:r w:rsidRPr="00C2292B">
              <w:rPr>
                <w:sz w:val="16"/>
                <w:szCs w:val="18"/>
              </w:rPr>
              <w:t>49,29</w:t>
            </w:r>
          </w:p>
        </w:tc>
        <w:tc>
          <w:tcPr>
            <w:tcW w:w="991" w:type="dxa"/>
            <w:tcBorders>
              <w:top w:val="nil"/>
              <w:left w:val="nil"/>
              <w:bottom w:val="single" w:sz="4" w:space="0" w:color="auto"/>
              <w:right w:val="single" w:sz="4" w:space="0" w:color="auto"/>
            </w:tcBorders>
            <w:shd w:val="clear" w:color="000000" w:fill="CCFFFF"/>
            <w:noWrap/>
            <w:vAlign w:val="bottom"/>
            <w:hideMark/>
          </w:tcPr>
          <w:p w14:paraId="299C5802" w14:textId="77777777" w:rsidR="00B56301" w:rsidRPr="002010BD" w:rsidRDefault="00B56301" w:rsidP="00B37B65">
            <w:pPr>
              <w:jc w:val="right"/>
              <w:rPr>
                <w:rFonts w:asciiTheme="minorHAnsi" w:hAnsiTheme="minorHAnsi"/>
                <w:sz w:val="16"/>
                <w:szCs w:val="14"/>
              </w:rPr>
            </w:pPr>
            <w:r w:rsidRPr="00C2292B">
              <w:rPr>
                <w:sz w:val="16"/>
                <w:szCs w:val="18"/>
              </w:rPr>
              <w:t>45,52</w:t>
            </w:r>
          </w:p>
        </w:tc>
        <w:tc>
          <w:tcPr>
            <w:tcW w:w="991" w:type="dxa"/>
            <w:tcBorders>
              <w:top w:val="nil"/>
              <w:left w:val="nil"/>
              <w:bottom w:val="single" w:sz="4" w:space="0" w:color="auto"/>
              <w:right w:val="single" w:sz="4" w:space="0" w:color="auto"/>
            </w:tcBorders>
            <w:shd w:val="clear" w:color="000000" w:fill="CCFFFF"/>
            <w:noWrap/>
            <w:vAlign w:val="bottom"/>
            <w:hideMark/>
          </w:tcPr>
          <w:p w14:paraId="6DE8FB6C" w14:textId="77777777" w:rsidR="00B56301" w:rsidRPr="002010BD" w:rsidRDefault="00B56301" w:rsidP="00B37B65">
            <w:pPr>
              <w:jc w:val="right"/>
              <w:rPr>
                <w:rFonts w:asciiTheme="minorHAnsi" w:hAnsiTheme="minorHAnsi"/>
                <w:sz w:val="16"/>
                <w:szCs w:val="14"/>
              </w:rPr>
            </w:pPr>
            <w:r w:rsidRPr="00C2292B">
              <w:rPr>
                <w:sz w:val="16"/>
                <w:szCs w:val="18"/>
              </w:rPr>
              <w:t>43,40</w:t>
            </w:r>
          </w:p>
        </w:tc>
      </w:tr>
      <w:tr w:rsidR="00B56301" w:rsidRPr="00C2292B" w14:paraId="62756B6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9D9B13" w14:textId="6C47C0CC"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0E530D35" w14:textId="77777777" w:rsidR="00B56301" w:rsidRPr="002010BD" w:rsidRDefault="00B56301" w:rsidP="00B37B65">
            <w:pPr>
              <w:jc w:val="right"/>
              <w:rPr>
                <w:rFonts w:asciiTheme="minorHAnsi" w:hAnsiTheme="minorHAnsi"/>
                <w:sz w:val="16"/>
                <w:szCs w:val="14"/>
              </w:rPr>
            </w:pPr>
            <w:r w:rsidRPr="00C2292B">
              <w:rPr>
                <w:sz w:val="16"/>
                <w:szCs w:val="18"/>
              </w:rPr>
              <w:t>0,79</w:t>
            </w:r>
          </w:p>
        </w:tc>
        <w:tc>
          <w:tcPr>
            <w:tcW w:w="991" w:type="dxa"/>
            <w:tcBorders>
              <w:top w:val="nil"/>
              <w:left w:val="nil"/>
              <w:bottom w:val="single" w:sz="4" w:space="0" w:color="auto"/>
              <w:right w:val="single" w:sz="4" w:space="0" w:color="auto"/>
            </w:tcBorders>
            <w:shd w:val="clear" w:color="000000" w:fill="FFFFFF"/>
            <w:noWrap/>
            <w:vAlign w:val="bottom"/>
            <w:hideMark/>
          </w:tcPr>
          <w:p w14:paraId="232E73E9" w14:textId="77777777" w:rsidR="00B56301" w:rsidRPr="002010BD" w:rsidRDefault="00B56301" w:rsidP="00B37B65">
            <w:pPr>
              <w:jc w:val="right"/>
              <w:rPr>
                <w:rFonts w:asciiTheme="minorHAnsi" w:hAnsiTheme="minorHAnsi"/>
                <w:sz w:val="16"/>
                <w:szCs w:val="14"/>
              </w:rPr>
            </w:pPr>
            <w:r w:rsidRPr="00C2292B">
              <w:rPr>
                <w:sz w:val="16"/>
                <w:szCs w:val="18"/>
              </w:rPr>
              <w:t>0,55</w:t>
            </w:r>
          </w:p>
        </w:tc>
        <w:tc>
          <w:tcPr>
            <w:tcW w:w="991" w:type="dxa"/>
            <w:tcBorders>
              <w:top w:val="nil"/>
              <w:left w:val="nil"/>
              <w:bottom w:val="single" w:sz="4" w:space="0" w:color="auto"/>
              <w:right w:val="single" w:sz="4" w:space="0" w:color="auto"/>
            </w:tcBorders>
            <w:shd w:val="clear" w:color="000000" w:fill="FFFFFF"/>
            <w:noWrap/>
            <w:vAlign w:val="bottom"/>
            <w:hideMark/>
          </w:tcPr>
          <w:p w14:paraId="48217A53" w14:textId="77777777" w:rsidR="00B56301" w:rsidRPr="002010BD" w:rsidRDefault="00B56301" w:rsidP="00B37B65">
            <w:pPr>
              <w:jc w:val="right"/>
              <w:rPr>
                <w:rFonts w:asciiTheme="minorHAnsi" w:hAnsiTheme="minorHAnsi"/>
                <w:sz w:val="16"/>
                <w:szCs w:val="14"/>
              </w:rPr>
            </w:pPr>
            <w:r w:rsidRPr="00C2292B">
              <w:rPr>
                <w:sz w:val="16"/>
                <w:szCs w:val="18"/>
              </w:rPr>
              <w:t>0,60</w:t>
            </w:r>
          </w:p>
        </w:tc>
        <w:tc>
          <w:tcPr>
            <w:tcW w:w="991" w:type="dxa"/>
            <w:tcBorders>
              <w:top w:val="nil"/>
              <w:left w:val="nil"/>
              <w:bottom w:val="single" w:sz="4" w:space="0" w:color="auto"/>
              <w:right w:val="single" w:sz="4" w:space="0" w:color="auto"/>
            </w:tcBorders>
            <w:shd w:val="clear" w:color="000000" w:fill="FFFFFF"/>
            <w:noWrap/>
            <w:vAlign w:val="bottom"/>
            <w:hideMark/>
          </w:tcPr>
          <w:p w14:paraId="475EA356" w14:textId="77777777" w:rsidR="00B56301" w:rsidRPr="002010BD" w:rsidRDefault="00B56301" w:rsidP="00B37B65">
            <w:pPr>
              <w:jc w:val="right"/>
              <w:rPr>
                <w:rFonts w:asciiTheme="minorHAnsi" w:hAnsiTheme="minorHAnsi"/>
                <w:sz w:val="16"/>
                <w:szCs w:val="14"/>
              </w:rPr>
            </w:pPr>
            <w:r w:rsidRPr="00C2292B">
              <w:rPr>
                <w:sz w:val="16"/>
                <w:szCs w:val="18"/>
              </w:rPr>
              <w:t>0,65</w:t>
            </w:r>
          </w:p>
        </w:tc>
        <w:tc>
          <w:tcPr>
            <w:tcW w:w="991" w:type="dxa"/>
            <w:tcBorders>
              <w:top w:val="nil"/>
              <w:left w:val="nil"/>
              <w:bottom w:val="single" w:sz="4" w:space="0" w:color="auto"/>
              <w:right w:val="single" w:sz="4" w:space="0" w:color="auto"/>
            </w:tcBorders>
            <w:shd w:val="clear" w:color="000000" w:fill="FFFFFF"/>
            <w:noWrap/>
            <w:vAlign w:val="bottom"/>
            <w:hideMark/>
          </w:tcPr>
          <w:p w14:paraId="14ACE446" w14:textId="77777777" w:rsidR="00B56301" w:rsidRPr="002010BD" w:rsidRDefault="00B56301" w:rsidP="00B37B65">
            <w:pPr>
              <w:jc w:val="right"/>
              <w:rPr>
                <w:rFonts w:asciiTheme="minorHAnsi" w:hAnsiTheme="minorHAnsi"/>
                <w:sz w:val="16"/>
                <w:szCs w:val="14"/>
              </w:rPr>
            </w:pPr>
            <w:r w:rsidRPr="00C2292B">
              <w:rPr>
                <w:sz w:val="16"/>
                <w:szCs w:val="18"/>
              </w:rPr>
              <w:t>0,67</w:t>
            </w:r>
          </w:p>
        </w:tc>
        <w:tc>
          <w:tcPr>
            <w:tcW w:w="991" w:type="dxa"/>
            <w:tcBorders>
              <w:top w:val="nil"/>
              <w:left w:val="nil"/>
              <w:bottom w:val="single" w:sz="4" w:space="0" w:color="auto"/>
              <w:right w:val="single" w:sz="4" w:space="0" w:color="auto"/>
            </w:tcBorders>
            <w:shd w:val="clear" w:color="000000" w:fill="FFFFFF"/>
            <w:noWrap/>
            <w:vAlign w:val="bottom"/>
            <w:hideMark/>
          </w:tcPr>
          <w:p w14:paraId="47BE1697" w14:textId="77777777" w:rsidR="00B56301" w:rsidRPr="002010BD" w:rsidRDefault="00B56301" w:rsidP="00B37B65">
            <w:pPr>
              <w:jc w:val="right"/>
              <w:rPr>
                <w:rFonts w:asciiTheme="minorHAnsi" w:hAnsiTheme="minorHAnsi"/>
                <w:sz w:val="16"/>
                <w:szCs w:val="14"/>
              </w:rPr>
            </w:pPr>
            <w:r w:rsidRPr="00C2292B">
              <w:rPr>
                <w:sz w:val="16"/>
                <w:szCs w:val="18"/>
              </w:rPr>
              <w:t>0,71</w:t>
            </w:r>
          </w:p>
        </w:tc>
      </w:tr>
      <w:tr w:rsidR="00B56301" w:rsidRPr="00C2292B" w14:paraId="2368FA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A74D3A" w14:textId="17BC4521"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264A83FC" w14:textId="77777777" w:rsidR="00B56301" w:rsidRPr="002010BD" w:rsidRDefault="00B56301" w:rsidP="00B37B65">
            <w:pPr>
              <w:jc w:val="right"/>
              <w:rPr>
                <w:rFonts w:asciiTheme="minorHAnsi" w:hAnsiTheme="minorHAnsi"/>
                <w:sz w:val="16"/>
                <w:szCs w:val="14"/>
              </w:rPr>
            </w:pPr>
            <w:r w:rsidRPr="00C2292B">
              <w:rPr>
                <w:sz w:val="16"/>
                <w:szCs w:val="18"/>
              </w:rPr>
              <w:t>54,28</w:t>
            </w:r>
          </w:p>
        </w:tc>
        <w:tc>
          <w:tcPr>
            <w:tcW w:w="991" w:type="dxa"/>
            <w:tcBorders>
              <w:top w:val="nil"/>
              <w:left w:val="nil"/>
              <w:bottom w:val="single" w:sz="4" w:space="0" w:color="auto"/>
              <w:right w:val="single" w:sz="4" w:space="0" w:color="auto"/>
            </w:tcBorders>
            <w:shd w:val="clear" w:color="000000" w:fill="FFFFFF"/>
            <w:noWrap/>
            <w:vAlign w:val="bottom"/>
            <w:hideMark/>
          </w:tcPr>
          <w:p w14:paraId="13B63331" w14:textId="77777777" w:rsidR="00B56301" w:rsidRPr="002010BD" w:rsidRDefault="00B56301" w:rsidP="00B37B65">
            <w:pPr>
              <w:jc w:val="right"/>
              <w:rPr>
                <w:rFonts w:asciiTheme="minorHAnsi" w:hAnsiTheme="minorHAnsi"/>
                <w:sz w:val="16"/>
                <w:szCs w:val="14"/>
              </w:rPr>
            </w:pPr>
            <w:r w:rsidRPr="00C2292B">
              <w:rPr>
                <w:sz w:val="16"/>
                <w:szCs w:val="18"/>
              </w:rPr>
              <w:t>48,63</w:t>
            </w:r>
          </w:p>
        </w:tc>
        <w:tc>
          <w:tcPr>
            <w:tcW w:w="991" w:type="dxa"/>
            <w:tcBorders>
              <w:top w:val="nil"/>
              <w:left w:val="nil"/>
              <w:bottom w:val="single" w:sz="4" w:space="0" w:color="auto"/>
              <w:right w:val="single" w:sz="4" w:space="0" w:color="auto"/>
            </w:tcBorders>
            <w:shd w:val="clear" w:color="000000" w:fill="FFFFFF"/>
            <w:noWrap/>
            <w:vAlign w:val="bottom"/>
            <w:hideMark/>
          </w:tcPr>
          <w:p w14:paraId="4FD68DB5" w14:textId="77777777" w:rsidR="00B56301" w:rsidRPr="002010BD" w:rsidRDefault="00B56301" w:rsidP="00B37B65">
            <w:pPr>
              <w:jc w:val="right"/>
              <w:rPr>
                <w:rFonts w:asciiTheme="minorHAnsi" w:hAnsiTheme="minorHAnsi"/>
                <w:sz w:val="16"/>
                <w:szCs w:val="14"/>
              </w:rPr>
            </w:pPr>
            <w:r w:rsidRPr="00C2292B">
              <w:rPr>
                <w:sz w:val="16"/>
                <w:szCs w:val="18"/>
              </w:rPr>
              <w:t>47,75</w:t>
            </w:r>
          </w:p>
        </w:tc>
        <w:tc>
          <w:tcPr>
            <w:tcW w:w="991" w:type="dxa"/>
            <w:tcBorders>
              <w:top w:val="nil"/>
              <w:left w:val="nil"/>
              <w:bottom w:val="single" w:sz="4" w:space="0" w:color="auto"/>
              <w:right w:val="single" w:sz="4" w:space="0" w:color="auto"/>
            </w:tcBorders>
            <w:shd w:val="clear" w:color="000000" w:fill="FFFFFF"/>
            <w:noWrap/>
            <w:vAlign w:val="bottom"/>
            <w:hideMark/>
          </w:tcPr>
          <w:p w14:paraId="7507275A" w14:textId="77777777" w:rsidR="00B56301" w:rsidRPr="002010BD" w:rsidRDefault="00B56301" w:rsidP="00B37B65">
            <w:pPr>
              <w:jc w:val="right"/>
              <w:rPr>
                <w:rFonts w:asciiTheme="minorHAnsi" w:hAnsiTheme="minorHAnsi"/>
                <w:sz w:val="16"/>
                <w:szCs w:val="14"/>
              </w:rPr>
            </w:pPr>
            <w:r w:rsidRPr="00C2292B">
              <w:rPr>
                <w:sz w:val="16"/>
                <w:szCs w:val="18"/>
              </w:rPr>
              <w:t>48,64</w:t>
            </w:r>
          </w:p>
        </w:tc>
        <w:tc>
          <w:tcPr>
            <w:tcW w:w="991" w:type="dxa"/>
            <w:tcBorders>
              <w:top w:val="nil"/>
              <w:left w:val="nil"/>
              <w:bottom w:val="single" w:sz="4" w:space="0" w:color="auto"/>
              <w:right w:val="single" w:sz="4" w:space="0" w:color="auto"/>
            </w:tcBorders>
            <w:shd w:val="clear" w:color="000000" w:fill="FFFFFF"/>
            <w:noWrap/>
            <w:vAlign w:val="bottom"/>
            <w:hideMark/>
          </w:tcPr>
          <w:p w14:paraId="2E7D964A" w14:textId="77777777" w:rsidR="00B56301" w:rsidRPr="002010BD" w:rsidRDefault="00B56301" w:rsidP="00B37B65">
            <w:pPr>
              <w:jc w:val="right"/>
              <w:rPr>
                <w:rFonts w:asciiTheme="minorHAnsi" w:hAnsiTheme="minorHAnsi"/>
                <w:sz w:val="16"/>
                <w:szCs w:val="14"/>
              </w:rPr>
            </w:pPr>
            <w:r w:rsidRPr="00C2292B">
              <w:rPr>
                <w:sz w:val="16"/>
                <w:szCs w:val="18"/>
              </w:rPr>
              <w:t>44,85</w:t>
            </w:r>
          </w:p>
        </w:tc>
        <w:tc>
          <w:tcPr>
            <w:tcW w:w="991" w:type="dxa"/>
            <w:tcBorders>
              <w:top w:val="nil"/>
              <w:left w:val="nil"/>
              <w:bottom w:val="single" w:sz="4" w:space="0" w:color="auto"/>
              <w:right w:val="single" w:sz="4" w:space="0" w:color="auto"/>
            </w:tcBorders>
            <w:shd w:val="clear" w:color="000000" w:fill="FFFFFF"/>
            <w:noWrap/>
            <w:vAlign w:val="bottom"/>
            <w:hideMark/>
          </w:tcPr>
          <w:p w14:paraId="22FB729F" w14:textId="77777777" w:rsidR="00B56301" w:rsidRPr="002010BD" w:rsidRDefault="00B56301" w:rsidP="00B37B65">
            <w:pPr>
              <w:jc w:val="right"/>
              <w:rPr>
                <w:rFonts w:asciiTheme="minorHAnsi" w:hAnsiTheme="minorHAnsi"/>
                <w:sz w:val="16"/>
                <w:szCs w:val="14"/>
              </w:rPr>
            </w:pPr>
            <w:r w:rsidRPr="00C2292B">
              <w:rPr>
                <w:sz w:val="16"/>
                <w:szCs w:val="18"/>
              </w:rPr>
              <w:t>42,69</w:t>
            </w:r>
          </w:p>
        </w:tc>
      </w:tr>
      <w:tr w:rsidR="00B56301" w:rsidRPr="00833C38" w14:paraId="52F9C5B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D519372" w14:textId="2A7FC76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D9237C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71E1EC"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F4E968"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AB3058"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6A7996"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C72C4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7261CC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23642F" w14:textId="2CB4AF92"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0FC74355" w14:textId="77777777" w:rsidR="00B56301" w:rsidRPr="002010BD" w:rsidRDefault="00B56301" w:rsidP="00B37B65">
            <w:pPr>
              <w:jc w:val="right"/>
              <w:rPr>
                <w:rFonts w:asciiTheme="minorHAnsi" w:hAnsiTheme="minorHAnsi"/>
                <w:sz w:val="16"/>
                <w:szCs w:val="14"/>
              </w:rPr>
            </w:pPr>
            <w:r w:rsidRPr="00C2292B">
              <w:rPr>
                <w:sz w:val="16"/>
                <w:szCs w:val="18"/>
              </w:rPr>
              <w:t>3,58</w:t>
            </w:r>
          </w:p>
        </w:tc>
        <w:tc>
          <w:tcPr>
            <w:tcW w:w="991" w:type="dxa"/>
            <w:tcBorders>
              <w:top w:val="nil"/>
              <w:left w:val="nil"/>
              <w:bottom w:val="single" w:sz="4" w:space="0" w:color="auto"/>
              <w:right w:val="single" w:sz="4" w:space="0" w:color="auto"/>
            </w:tcBorders>
            <w:shd w:val="clear" w:color="000000" w:fill="CCFFFF"/>
            <w:noWrap/>
            <w:vAlign w:val="bottom"/>
            <w:hideMark/>
          </w:tcPr>
          <w:p w14:paraId="6A6EC8B3" w14:textId="77777777" w:rsidR="00B56301" w:rsidRPr="002010BD" w:rsidRDefault="00B56301" w:rsidP="00B37B65">
            <w:pPr>
              <w:jc w:val="right"/>
              <w:rPr>
                <w:rFonts w:asciiTheme="minorHAnsi" w:hAnsiTheme="minorHAnsi"/>
                <w:sz w:val="16"/>
                <w:szCs w:val="14"/>
              </w:rPr>
            </w:pPr>
            <w:r w:rsidRPr="00C2292B">
              <w:rPr>
                <w:sz w:val="16"/>
                <w:szCs w:val="18"/>
              </w:rPr>
              <w:t>3,75</w:t>
            </w:r>
          </w:p>
        </w:tc>
        <w:tc>
          <w:tcPr>
            <w:tcW w:w="991" w:type="dxa"/>
            <w:tcBorders>
              <w:top w:val="nil"/>
              <w:left w:val="nil"/>
              <w:bottom w:val="single" w:sz="4" w:space="0" w:color="auto"/>
              <w:right w:val="single" w:sz="4" w:space="0" w:color="auto"/>
            </w:tcBorders>
            <w:shd w:val="clear" w:color="000000" w:fill="CCFFFF"/>
            <w:noWrap/>
            <w:vAlign w:val="bottom"/>
            <w:hideMark/>
          </w:tcPr>
          <w:p w14:paraId="37167D67" w14:textId="77777777" w:rsidR="00B56301" w:rsidRPr="002010BD" w:rsidRDefault="00B56301" w:rsidP="00B37B65">
            <w:pPr>
              <w:jc w:val="right"/>
              <w:rPr>
                <w:rFonts w:asciiTheme="minorHAnsi" w:hAnsiTheme="minorHAnsi"/>
                <w:sz w:val="16"/>
                <w:szCs w:val="14"/>
              </w:rPr>
            </w:pPr>
            <w:r w:rsidRPr="00C2292B">
              <w:rPr>
                <w:sz w:val="16"/>
                <w:szCs w:val="18"/>
              </w:rPr>
              <w:t>3,39</w:t>
            </w:r>
          </w:p>
        </w:tc>
        <w:tc>
          <w:tcPr>
            <w:tcW w:w="991" w:type="dxa"/>
            <w:tcBorders>
              <w:top w:val="nil"/>
              <w:left w:val="nil"/>
              <w:bottom w:val="single" w:sz="4" w:space="0" w:color="auto"/>
              <w:right w:val="single" w:sz="4" w:space="0" w:color="auto"/>
            </w:tcBorders>
            <w:shd w:val="clear" w:color="000000" w:fill="CCFFFF"/>
            <w:noWrap/>
            <w:vAlign w:val="bottom"/>
            <w:hideMark/>
          </w:tcPr>
          <w:p w14:paraId="74D5B45A" w14:textId="77777777" w:rsidR="00B56301" w:rsidRPr="002010BD" w:rsidRDefault="00B56301" w:rsidP="00B37B65">
            <w:pPr>
              <w:jc w:val="right"/>
              <w:rPr>
                <w:rFonts w:asciiTheme="minorHAnsi" w:hAnsiTheme="minorHAnsi"/>
                <w:sz w:val="16"/>
                <w:szCs w:val="14"/>
              </w:rPr>
            </w:pPr>
            <w:r w:rsidRPr="00C2292B">
              <w:rPr>
                <w:sz w:val="16"/>
                <w:szCs w:val="18"/>
              </w:rPr>
              <w:t>3,46</w:t>
            </w:r>
          </w:p>
        </w:tc>
        <w:tc>
          <w:tcPr>
            <w:tcW w:w="991" w:type="dxa"/>
            <w:tcBorders>
              <w:top w:val="nil"/>
              <w:left w:val="nil"/>
              <w:bottom w:val="single" w:sz="4" w:space="0" w:color="auto"/>
              <w:right w:val="single" w:sz="4" w:space="0" w:color="auto"/>
            </w:tcBorders>
            <w:shd w:val="clear" w:color="000000" w:fill="CCFFFF"/>
            <w:noWrap/>
            <w:vAlign w:val="bottom"/>
            <w:hideMark/>
          </w:tcPr>
          <w:p w14:paraId="4574DC07" w14:textId="77777777" w:rsidR="00B56301" w:rsidRPr="002010BD" w:rsidRDefault="00B56301" w:rsidP="00B37B65">
            <w:pPr>
              <w:jc w:val="right"/>
              <w:rPr>
                <w:rFonts w:asciiTheme="minorHAnsi" w:hAnsiTheme="minorHAnsi"/>
                <w:sz w:val="16"/>
                <w:szCs w:val="14"/>
              </w:rPr>
            </w:pPr>
            <w:r w:rsidRPr="00C2292B">
              <w:rPr>
                <w:sz w:val="16"/>
                <w:szCs w:val="18"/>
              </w:rPr>
              <w:t>3,09</w:t>
            </w:r>
          </w:p>
        </w:tc>
        <w:tc>
          <w:tcPr>
            <w:tcW w:w="991" w:type="dxa"/>
            <w:tcBorders>
              <w:top w:val="nil"/>
              <w:left w:val="nil"/>
              <w:bottom w:val="single" w:sz="4" w:space="0" w:color="auto"/>
              <w:right w:val="single" w:sz="4" w:space="0" w:color="auto"/>
            </w:tcBorders>
            <w:shd w:val="clear" w:color="000000" w:fill="CCFFFF"/>
            <w:noWrap/>
            <w:vAlign w:val="bottom"/>
            <w:hideMark/>
          </w:tcPr>
          <w:p w14:paraId="2F29D1C9" w14:textId="77777777" w:rsidR="00B56301" w:rsidRPr="002010BD" w:rsidRDefault="00B56301" w:rsidP="00B37B65">
            <w:pPr>
              <w:jc w:val="right"/>
              <w:rPr>
                <w:rFonts w:asciiTheme="minorHAnsi" w:hAnsiTheme="minorHAnsi"/>
                <w:sz w:val="16"/>
                <w:szCs w:val="14"/>
              </w:rPr>
            </w:pPr>
            <w:r w:rsidRPr="00C2292B">
              <w:rPr>
                <w:sz w:val="16"/>
                <w:szCs w:val="18"/>
              </w:rPr>
              <w:t>2,81</w:t>
            </w:r>
          </w:p>
        </w:tc>
      </w:tr>
      <w:tr w:rsidR="00B56301" w:rsidRPr="00C2292B" w14:paraId="0FACEB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7C6B2" w14:textId="2AC050C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52BE65F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5AA39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44045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6882DB"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70FD4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B24278"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5609A2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C35746" w14:textId="2EE89D5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1BF7FFAF" w14:textId="77777777" w:rsidR="00B56301" w:rsidRPr="002010BD" w:rsidRDefault="00B56301" w:rsidP="00B37B65">
            <w:pPr>
              <w:jc w:val="right"/>
              <w:rPr>
                <w:rFonts w:asciiTheme="minorHAnsi" w:hAnsiTheme="minorHAnsi"/>
                <w:sz w:val="16"/>
                <w:szCs w:val="14"/>
              </w:rPr>
            </w:pPr>
            <w:r w:rsidRPr="00C2292B">
              <w:rPr>
                <w:sz w:val="16"/>
                <w:szCs w:val="18"/>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14189BBE" w14:textId="77777777" w:rsidR="00B56301" w:rsidRPr="002010BD" w:rsidRDefault="00B56301" w:rsidP="00B37B65">
            <w:pPr>
              <w:jc w:val="right"/>
              <w:rPr>
                <w:rFonts w:asciiTheme="minorHAnsi" w:hAnsiTheme="minorHAnsi"/>
                <w:sz w:val="16"/>
                <w:szCs w:val="14"/>
              </w:rPr>
            </w:pPr>
            <w:r w:rsidRPr="00C2292B">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0F1B8039" w14:textId="77777777" w:rsidR="00B56301" w:rsidRPr="002010BD" w:rsidRDefault="00B56301" w:rsidP="00B37B65">
            <w:pPr>
              <w:jc w:val="right"/>
              <w:rPr>
                <w:rFonts w:asciiTheme="minorHAnsi" w:hAnsiTheme="minorHAnsi"/>
                <w:sz w:val="16"/>
                <w:szCs w:val="14"/>
              </w:rPr>
            </w:pPr>
            <w:r w:rsidRPr="00C2292B">
              <w:rPr>
                <w:sz w:val="16"/>
                <w:szCs w:val="18"/>
              </w:rPr>
              <w:t>1,89</w:t>
            </w:r>
          </w:p>
        </w:tc>
        <w:tc>
          <w:tcPr>
            <w:tcW w:w="991" w:type="dxa"/>
            <w:tcBorders>
              <w:top w:val="nil"/>
              <w:left w:val="nil"/>
              <w:bottom w:val="single" w:sz="4" w:space="0" w:color="auto"/>
              <w:right w:val="single" w:sz="4" w:space="0" w:color="auto"/>
            </w:tcBorders>
            <w:shd w:val="clear" w:color="000000" w:fill="FFFFFF"/>
            <w:noWrap/>
            <w:vAlign w:val="bottom"/>
            <w:hideMark/>
          </w:tcPr>
          <w:p w14:paraId="2D12C707" w14:textId="77777777" w:rsidR="00B56301" w:rsidRPr="002010BD" w:rsidRDefault="00B56301" w:rsidP="00B37B65">
            <w:pPr>
              <w:jc w:val="right"/>
              <w:rPr>
                <w:rFonts w:asciiTheme="minorHAnsi" w:hAnsiTheme="minorHAnsi"/>
                <w:sz w:val="16"/>
                <w:szCs w:val="14"/>
              </w:rPr>
            </w:pPr>
            <w:r w:rsidRPr="00C2292B">
              <w:rPr>
                <w:sz w:val="16"/>
                <w:szCs w:val="18"/>
              </w:rPr>
              <w:t>1,73</w:t>
            </w:r>
          </w:p>
        </w:tc>
        <w:tc>
          <w:tcPr>
            <w:tcW w:w="991" w:type="dxa"/>
            <w:tcBorders>
              <w:top w:val="nil"/>
              <w:left w:val="nil"/>
              <w:bottom w:val="single" w:sz="4" w:space="0" w:color="auto"/>
              <w:right w:val="single" w:sz="4" w:space="0" w:color="auto"/>
            </w:tcBorders>
            <w:shd w:val="clear" w:color="000000" w:fill="FFFFFF"/>
            <w:noWrap/>
            <w:vAlign w:val="bottom"/>
            <w:hideMark/>
          </w:tcPr>
          <w:p w14:paraId="446A137C" w14:textId="77777777" w:rsidR="00B56301" w:rsidRPr="002010BD" w:rsidRDefault="00B56301" w:rsidP="00B37B65">
            <w:pPr>
              <w:jc w:val="right"/>
              <w:rPr>
                <w:rFonts w:asciiTheme="minorHAnsi" w:hAnsiTheme="minorHAnsi"/>
                <w:sz w:val="16"/>
                <w:szCs w:val="14"/>
              </w:rPr>
            </w:pPr>
            <w:r w:rsidRPr="00C2292B">
              <w:rPr>
                <w:sz w:val="16"/>
                <w:szCs w:val="18"/>
              </w:rPr>
              <w:t>1,66</w:t>
            </w:r>
          </w:p>
        </w:tc>
        <w:tc>
          <w:tcPr>
            <w:tcW w:w="991" w:type="dxa"/>
            <w:tcBorders>
              <w:top w:val="nil"/>
              <w:left w:val="nil"/>
              <w:bottom w:val="single" w:sz="4" w:space="0" w:color="auto"/>
              <w:right w:val="single" w:sz="4" w:space="0" w:color="auto"/>
            </w:tcBorders>
            <w:shd w:val="clear" w:color="000000" w:fill="FFFFFF"/>
            <w:noWrap/>
            <w:vAlign w:val="bottom"/>
            <w:hideMark/>
          </w:tcPr>
          <w:p w14:paraId="347A61E0" w14:textId="77777777" w:rsidR="00B56301" w:rsidRPr="002010BD" w:rsidRDefault="00B56301" w:rsidP="00B37B65">
            <w:pPr>
              <w:jc w:val="right"/>
              <w:rPr>
                <w:rFonts w:asciiTheme="minorHAnsi" w:hAnsiTheme="minorHAnsi"/>
                <w:sz w:val="16"/>
                <w:szCs w:val="14"/>
              </w:rPr>
            </w:pPr>
            <w:r w:rsidRPr="00C2292B">
              <w:rPr>
                <w:sz w:val="16"/>
                <w:szCs w:val="18"/>
              </w:rPr>
              <w:t>1,47</w:t>
            </w:r>
          </w:p>
        </w:tc>
      </w:tr>
      <w:tr w:rsidR="00B56301" w:rsidRPr="00C2292B" w14:paraId="06DAAFF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A9C19C" w14:textId="2CE9F14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6D756179" w14:textId="77777777" w:rsidR="00B56301" w:rsidRPr="002010BD" w:rsidRDefault="00B56301" w:rsidP="00B37B65">
            <w:pPr>
              <w:jc w:val="right"/>
              <w:rPr>
                <w:rFonts w:asciiTheme="minorHAnsi" w:hAnsiTheme="minorHAnsi"/>
                <w:sz w:val="16"/>
                <w:szCs w:val="14"/>
              </w:rPr>
            </w:pPr>
            <w:r w:rsidRPr="00C2292B">
              <w:rPr>
                <w:sz w:val="16"/>
                <w:szCs w:val="18"/>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4B295D10" w14:textId="77777777" w:rsidR="00B56301" w:rsidRPr="002010BD" w:rsidRDefault="00B56301" w:rsidP="00B37B65">
            <w:pPr>
              <w:jc w:val="right"/>
              <w:rPr>
                <w:rFonts w:asciiTheme="minorHAnsi" w:hAnsiTheme="minorHAnsi"/>
                <w:sz w:val="16"/>
                <w:szCs w:val="14"/>
              </w:rPr>
            </w:pPr>
            <w:r w:rsidRPr="00C2292B">
              <w:rPr>
                <w:sz w:val="16"/>
                <w:szCs w:val="18"/>
              </w:rPr>
              <w:t>1,64</w:t>
            </w:r>
          </w:p>
        </w:tc>
        <w:tc>
          <w:tcPr>
            <w:tcW w:w="991" w:type="dxa"/>
            <w:tcBorders>
              <w:top w:val="nil"/>
              <w:left w:val="nil"/>
              <w:bottom w:val="single" w:sz="4" w:space="0" w:color="auto"/>
              <w:right w:val="single" w:sz="4" w:space="0" w:color="auto"/>
            </w:tcBorders>
            <w:shd w:val="clear" w:color="000000" w:fill="FFFFFF"/>
            <w:noWrap/>
            <w:vAlign w:val="bottom"/>
            <w:hideMark/>
          </w:tcPr>
          <w:p w14:paraId="0CE3FD44" w14:textId="77777777" w:rsidR="00B56301" w:rsidRPr="002010BD" w:rsidRDefault="00B56301" w:rsidP="00B37B65">
            <w:pPr>
              <w:jc w:val="right"/>
              <w:rPr>
                <w:rFonts w:asciiTheme="minorHAnsi" w:hAnsiTheme="minorHAnsi"/>
                <w:sz w:val="16"/>
                <w:szCs w:val="14"/>
              </w:rPr>
            </w:pPr>
            <w:r w:rsidRPr="00C2292B">
              <w:rPr>
                <w:sz w:val="16"/>
                <w:szCs w:val="18"/>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2177D400" w14:textId="77777777" w:rsidR="00B56301" w:rsidRPr="002010BD" w:rsidRDefault="00B56301" w:rsidP="00B37B65">
            <w:pPr>
              <w:jc w:val="right"/>
              <w:rPr>
                <w:rFonts w:asciiTheme="minorHAnsi" w:hAnsiTheme="minorHAnsi"/>
                <w:sz w:val="16"/>
                <w:szCs w:val="14"/>
              </w:rPr>
            </w:pPr>
            <w:r w:rsidRPr="00C2292B">
              <w:rPr>
                <w:sz w:val="16"/>
                <w:szCs w:val="18"/>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0D0CC39E" w14:textId="77777777" w:rsidR="00B56301" w:rsidRPr="002010BD" w:rsidRDefault="00B56301" w:rsidP="00B37B65">
            <w:pPr>
              <w:jc w:val="right"/>
              <w:rPr>
                <w:rFonts w:asciiTheme="minorHAnsi" w:hAnsiTheme="minorHAnsi"/>
                <w:sz w:val="16"/>
                <w:szCs w:val="14"/>
              </w:rPr>
            </w:pPr>
            <w:r w:rsidRPr="00C2292B">
              <w:rPr>
                <w:sz w:val="16"/>
                <w:szCs w:val="18"/>
              </w:rPr>
              <w:t>1,42</w:t>
            </w:r>
          </w:p>
        </w:tc>
        <w:tc>
          <w:tcPr>
            <w:tcW w:w="991" w:type="dxa"/>
            <w:tcBorders>
              <w:top w:val="nil"/>
              <w:left w:val="nil"/>
              <w:bottom w:val="single" w:sz="4" w:space="0" w:color="auto"/>
              <w:right w:val="single" w:sz="4" w:space="0" w:color="auto"/>
            </w:tcBorders>
            <w:shd w:val="clear" w:color="000000" w:fill="FFFFFF"/>
            <w:noWrap/>
            <w:vAlign w:val="bottom"/>
            <w:hideMark/>
          </w:tcPr>
          <w:p w14:paraId="3DB9400B" w14:textId="77777777" w:rsidR="00B56301" w:rsidRPr="002010BD" w:rsidRDefault="00B56301" w:rsidP="00B37B65">
            <w:pPr>
              <w:jc w:val="right"/>
              <w:rPr>
                <w:rFonts w:asciiTheme="minorHAnsi" w:hAnsiTheme="minorHAnsi"/>
                <w:sz w:val="16"/>
                <w:szCs w:val="14"/>
              </w:rPr>
            </w:pPr>
            <w:r w:rsidRPr="00C2292B">
              <w:rPr>
                <w:sz w:val="16"/>
                <w:szCs w:val="18"/>
              </w:rPr>
              <w:t>1,33</w:t>
            </w:r>
          </w:p>
        </w:tc>
      </w:tr>
      <w:tr w:rsidR="00B56301" w:rsidRPr="00C2292B" w14:paraId="3DF1AC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E9CE1D6" w14:textId="25D9C0E8"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33907914"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881BFCB"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4A7AC2F"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F854DF5"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580C8366" w14:textId="77777777" w:rsidR="00B56301" w:rsidRPr="002010BD" w:rsidRDefault="00B56301" w:rsidP="00B37B65">
            <w:pPr>
              <w:jc w:val="right"/>
              <w:rPr>
                <w:rFonts w:asciiTheme="minorHAnsi" w:hAnsiTheme="minorHAnsi"/>
                <w:sz w:val="16"/>
                <w:szCs w:val="14"/>
              </w:rPr>
            </w:pPr>
            <w:r w:rsidRPr="00C2292B">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319C043" w14:textId="77777777" w:rsidR="00B56301" w:rsidRPr="002010BD" w:rsidRDefault="00B56301" w:rsidP="00B37B65">
            <w:pPr>
              <w:jc w:val="right"/>
              <w:rPr>
                <w:rFonts w:asciiTheme="minorHAnsi" w:hAnsiTheme="minorHAnsi"/>
                <w:sz w:val="16"/>
                <w:szCs w:val="14"/>
              </w:rPr>
            </w:pPr>
            <w:r w:rsidRPr="00C2292B">
              <w:rPr>
                <w:sz w:val="16"/>
                <w:szCs w:val="18"/>
              </w:rPr>
              <w:t>0,01</w:t>
            </w:r>
          </w:p>
        </w:tc>
      </w:tr>
      <w:tr w:rsidR="00B56301" w:rsidRPr="00C2292B" w14:paraId="517C28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81BB74" w14:textId="2DCA39C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B01462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EE221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9D810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6AB7E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1D65F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0DDA128"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030E8F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32FDC65" w14:textId="42177BA8"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7E26D23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5AE19E"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8E443C"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DCA9D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6C29C5"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8B38CC"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10C1E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0A3ED7A" w14:textId="19EFB93F"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0BDA423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F2AB06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BE9F1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2E9DAE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07F5D1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23AD73"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59F2E2A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3C9CF5" w14:textId="1CA257D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025E519A"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76D3850"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4165E2F"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9280B10"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03D446B" w14:textId="77777777" w:rsidR="00B56301" w:rsidRPr="002010BD" w:rsidRDefault="00B56301" w:rsidP="00B37B65">
            <w:pPr>
              <w:jc w:val="right"/>
              <w:rPr>
                <w:rFonts w:asciiTheme="minorHAnsi" w:hAnsiTheme="minorHAnsi"/>
                <w:sz w:val="16"/>
                <w:szCs w:val="14"/>
              </w:rPr>
            </w:pPr>
            <w:r w:rsidRPr="00C2292B">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976B461" w14:textId="77777777" w:rsidR="00B56301" w:rsidRPr="002010BD" w:rsidRDefault="00B56301" w:rsidP="00B37B65">
            <w:pPr>
              <w:jc w:val="right"/>
              <w:rPr>
                <w:rFonts w:asciiTheme="minorHAnsi" w:hAnsiTheme="minorHAnsi"/>
                <w:sz w:val="16"/>
                <w:szCs w:val="14"/>
              </w:rPr>
            </w:pPr>
            <w:r w:rsidRPr="00C2292B">
              <w:rPr>
                <w:sz w:val="16"/>
                <w:szCs w:val="18"/>
              </w:rPr>
              <w:t>NO,NA</w:t>
            </w:r>
          </w:p>
        </w:tc>
      </w:tr>
      <w:tr w:rsidR="00B56301" w:rsidRPr="00C2292B" w14:paraId="4A40DA8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5EDEC6B" w14:textId="1B11990C"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393B737" w14:textId="77777777" w:rsidR="00B56301" w:rsidRPr="002010BD" w:rsidRDefault="00B56301" w:rsidP="00B37B65">
            <w:pPr>
              <w:jc w:val="right"/>
              <w:rPr>
                <w:rFonts w:asciiTheme="minorHAnsi" w:hAnsiTheme="minorHAnsi"/>
                <w:sz w:val="16"/>
                <w:szCs w:val="14"/>
              </w:rPr>
            </w:pPr>
            <w:r w:rsidRPr="00C2292B">
              <w:rPr>
                <w:sz w:val="16"/>
                <w:szCs w:val="18"/>
              </w:rPr>
              <w:t>1535,77</w:t>
            </w:r>
          </w:p>
        </w:tc>
        <w:tc>
          <w:tcPr>
            <w:tcW w:w="991" w:type="dxa"/>
            <w:tcBorders>
              <w:top w:val="nil"/>
              <w:left w:val="nil"/>
              <w:bottom w:val="single" w:sz="4" w:space="0" w:color="auto"/>
              <w:right w:val="single" w:sz="4" w:space="0" w:color="auto"/>
            </w:tcBorders>
            <w:shd w:val="clear" w:color="000000" w:fill="CCFFFF"/>
            <w:noWrap/>
            <w:vAlign w:val="bottom"/>
            <w:hideMark/>
          </w:tcPr>
          <w:p w14:paraId="74E8737F" w14:textId="77777777" w:rsidR="00B56301" w:rsidRPr="002010BD" w:rsidRDefault="00B56301" w:rsidP="00B37B65">
            <w:pPr>
              <w:jc w:val="right"/>
              <w:rPr>
                <w:rFonts w:asciiTheme="minorHAnsi" w:hAnsiTheme="minorHAnsi"/>
                <w:sz w:val="16"/>
                <w:szCs w:val="14"/>
              </w:rPr>
            </w:pPr>
            <w:r w:rsidRPr="00C2292B">
              <w:rPr>
                <w:sz w:val="16"/>
                <w:szCs w:val="18"/>
              </w:rPr>
              <w:t>1566,96</w:t>
            </w:r>
          </w:p>
        </w:tc>
        <w:tc>
          <w:tcPr>
            <w:tcW w:w="991" w:type="dxa"/>
            <w:tcBorders>
              <w:top w:val="nil"/>
              <w:left w:val="nil"/>
              <w:bottom w:val="single" w:sz="4" w:space="0" w:color="auto"/>
              <w:right w:val="single" w:sz="4" w:space="0" w:color="auto"/>
            </w:tcBorders>
            <w:shd w:val="clear" w:color="000000" w:fill="CCFFFF"/>
            <w:noWrap/>
            <w:vAlign w:val="bottom"/>
            <w:hideMark/>
          </w:tcPr>
          <w:p w14:paraId="14A3CA06" w14:textId="77777777" w:rsidR="00B56301" w:rsidRPr="002010BD" w:rsidRDefault="00B56301" w:rsidP="00B37B65">
            <w:pPr>
              <w:jc w:val="right"/>
              <w:rPr>
                <w:rFonts w:asciiTheme="minorHAnsi" w:hAnsiTheme="minorHAnsi"/>
                <w:sz w:val="16"/>
                <w:szCs w:val="14"/>
              </w:rPr>
            </w:pPr>
            <w:r w:rsidRPr="00C2292B">
              <w:rPr>
                <w:sz w:val="16"/>
                <w:szCs w:val="18"/>
              </w:rPr>
              <w:t>1571,24</w:t>
            </w:r>
          </w:p>
        </w:tc>
        <w:tc>
          <w:tcPr>
            <w:tcW w:w="991" w:type="dxa"/>
            <w:tcBorders>
              <w:top w:val="nil"/>
              <w:left w:val="nil"/>
              <w:bottom w:val="single" w:sz="4" w:space="0" w:color="auto"/>
              <w:right w:val="single" w:sz="4" w:space="0" w:color="auto"/>
            </w:tcBorders>
            <w:shd w:val="clear" w:color="000000" w:fill="CCFFFF"/>
            <w:noWrap/>
            <w:vAlign w:val="bottom"/>
            <w:hideMark/>
          </w:tcPr>
          <w:p w14:paraId="6A89F775" w14:textId="77777777" w:rsidR="00B56301" w:rsidRPr="002010BD" w:rsidRDefault="00B56301" w:rsidP="00B37B65">
            <w:pPr>
              <w:jc w:val="right"/>
              <w:rPr>
                <w:rFonts w:asciiTheme="minorHAnsi" w:hAnsiTheme="minorHAnsi"/>
                <w:sz w:val="16"/>
                <w:szCs w:val="14"/>
              </w:rPr>
            </w:pPr>
            <w:r w:rsidRPr="00C2292B">
              <w:rPr>
                <w:sz w:val="16"/>
                <w:szCs w:val="18"/>
              </w:rPr>
              <w:t>1555,19</w:t>
            </w:r>
          </w:p>
        </w:tc>
        <w:tc>
          <w:tcPr>
            <w:tcW w:w="991" w:type="dxa"/>
            <w:tcBorders>
              <w:top w:val="nil"/>
              <w:left w:val="nil"/>
              <w:bottom w:val="single" w:sz="4" w:space="0" w:color="auto"/>
              <w:right w:val="single" w:sz="4" w:space="0" w:color="auto"/>
            </w:tcBorders>
            <w:shd w:val="clear" w:color="000000" w:fill="CCFFFF"/>
            <w:noWrap/>
            <w:vAlign w:val="bottom"/>
            <w:hideMark/>
          </w:tcPr>
          <w:p w14:paraId="49E734F2" w14:textId="77777777" w:rsidR="00B56301" w:rsidRPr="002010BD" w:rsidRDefault="00B56301" w:rsidP="00B37B65">
            <w:pPr>
              <w:jc w:val="right"/>
              <w:rPr>
                <w:rFonts w:asciiTheme="minorHAnsi" w:hAnsiTheme="minorHAnsi"/>
                <w:sz w:val="16"/>
                <w:szCs w:val="14"/>
              </w:rPr>
            </w:pPr>
            <w:r w:rsidRPr="00C2292B">
              <w:rPr>
                <w:sz w:val="16"/>
                <w:szCs w:val="18"/>
              </w:rPr>
              <w:t>1541,08</w:t>
            </w:r>
          </w:p>
        </w:tc>
        <w:tc>
          <w:tcPr>
            <w:tcW w:w="991" w:type="dxa"/>
            <w:tcBorders>
              <w:top w:val="nil"/>
              <w:left w:val="nil"/>
              <w:bottom w:val="single" w:sz="4" w:space="0" w:color="auto"/>
              <w:right w:val="single" w:sz="4" w:space="0" w:color="auto"/>
            </w:tcBorders>
            <w:shd w:val="clear" w:color="000000" w:fill="CCFFFF"/>
            <w:noWrap/>
            <w:vAlign w:val="bottom"/>
            <w:hideMark/>
          </w:tcPr>
          <w:p w14:paraId="45E701E7" w14:textId="77777777" w:rsidR="00B56301" w:rsidRPr="002010BD" w:rsidRDefault="00B56301" w:rsidP="00B37B65">
            <w:pPr>
              <w:jc w:val="right"/>
              <w:rPr>
                <w:rFonts w:asciiTheme="minorHAnsi" w:hAnsiTheme="minorHAnsi"/>
                <w:sz w:val="16"/>
                <w:szCs w:val="14"/>
              </w:rPr>
            </w:pPr>
            <w:r w:rsidRPr="00C2292B">
              <w:rPr>
                <w:sz w:val="16"/>
                <w:szCs w:val="18"/>
              </w:rPr>
              <w:t>1523,98</w:t>
            </w:r>
          </w:p>
        </w:tc>
      </w:tr>
      <w:tr w:rsidR="00B56301" w:rsidRPr="00C2292B" w14:paraId="0BFDCAC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0C3E31" w14:textId="0D291A15"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1" w:type="dxa"/>
            <w:tcBorders>
              <w:top w:val="nil"/>
              <w:left w:val="nil"/>
              <w:bottom w:val="single" w:sz="4" w:space="0" w:color="auto"/>
              <w:right w:val="single" w:sz="4" w:space="0" w:color="auto"/>
            </w:tcBorders>
            <w:shd w:val="clear" w:color="000000" w:fill="FFFFFF"/>
            <w:noWrap/>
            <w:vAlign w:val="bottom"/>
            <w:hideMark/>
          </w:tcPr>
          <w:p w14:paraId="31BAACC7" w14:textId="77777777" w:rsidR="00B56301" w:rsidRPr="002010BD" w:rsidRDefault="00B56301" w:rsidP="00B37B65">
            <w:pPr>
              <w:jc w:val="right"/>
              <w:rPr>
                <w:rFonts w:asciiTheme="minorHAnsi" w:hAnsiTheme="minorHAnsi"/>
                <w:sz w:val="16"/>
                <w:szCs w:val="14"/>
              </w:rPr>
            </w:pPr>
            <w:r w:rsidRPr="00C2292B">
              <w:rPr>
                <w:sz w:val="16"/>
                <w:szCs w:val="18"/>
              </w:rPr>
              <w:t>1388,32</w:t>
            </w:r>
          </w:p>
        </w:tc>
        <w:tc>
          <w:tcPr>
            <w:tcW w:w="991" w:type="dxa"/>
            <w:tcBorders>
              <w:top w:val="nil"/>
              <w:left w:val="nil"/>
              <w:bottom w:val="single" w:sz="4" w:space="0" w:color="auto"/>
              <w:right w:val="single" w:sz="4" w:space="0" w:color="auto"/>
            </w:tcBorders>
            <w:shd w:val="clear" w:color="000000" w:fill="FFFFFF"/>
            <w:noWrap/>
            <w:vAlign w:val="bottom"/>
            <w:hideMark/>
          </w:tcPr>
          <w:p w14:paraId="61831300" w14:textId="77777777" w:rsidR="00B56301" w:rsidRPr="002010BD" w:rsidRDefault="00B56301" w:rsidP="00B37B65">
            <w:pPr>
              <w:jc w:val="right"/>
              <w:rPr>
                <w:rFonts w:asciiTheme="minorHAnsi" w:hAnsiTheme="minorHAnsi"/>
                <w:sz w:val="16"/>
                <w:szCs w:val="14"/>
              </w:rPr>
            </w:pPr>
            <w:r w:rsidRPr="00C2292B">
              <w:rPr>
                <w:sz w:val="16"/>
                <w:szCs w:val="18"/>
              </w:rPr>
              <w:t>1407,52</w:t>
            </w:r>
          </w:p>
        </w:tc>
        <w:tc>
          <w:tcPr>
            <w:tcW w:w="991" w:type="dxa"/>
            <w:tcBorders>
              <w:top w:val="nil"/>
              <w:left w:val="nil"/>
              <w:bottom w:val="single" w:sz="4" w:space="0" w:color="auto"/>
              <w:right w:val="single" w:sz="4" w:space="0" w:color="auto"/>
            </w:tcBorders>
            <w:shd w:val="clear" w:color="000000" w:fill="FFFFFF"/>
            <w:noWrap/>
            <w:vAlign w:val="bottom"/>
            <w:hideMark/>
          </w:tcPr>
          <w:p w14:paraId="7C7CD67D" w14:textId="77777777" w:rsidR="00B56301" w:rsidRPr="002010BD" w:rsidRDefault="00B56301" w:rsidP="00B37B65">
            <w:pPr>
              <w:jc w:val="right"/>
              <w:rPr>
                <w:rFonts w:asciiTheme="minorHAnsi" w:hAnsiTheme="minorHAnsi"/>
                <w:sz w:val="16"/>
                <w:szCs w:val="14"/>
              </w:rPr>
            </w:pPr>
            <w:r w:rsidRPr="00C2292B">
              <w:rPr>
                <w:sz w:val="16"/>
                <w:szCs w:val="18"/>
              </w:rPr>
              <w:t>1413,35</w:t>
            </w:r>
          </w:p>
        </w:tc>
        <w:tc>
          <w:tcPr>
            <w:tcW w:w="991" w:type="dxa"/>
            <w:tcBorders>
              <w:top w:val="nil"/>
              <w:left w:val="nil"/>
              <w:bottom w:val="single" w:sz="4" w:space="0" w:color="auto"/>
              <w:right w:val="single" w:sz="4" w:space="0" w:color="auto"/>
            </w:tcBorders>
            <w:shd w:val="clear" w:color="000000" w:fill="FFFFFF"/>
            <w:noWrap/>
            <w:vAlign w:val="bottom"/>
            <w:hideMark/>
          </w:tcPr>
          <w:p w14:paraId="5C3D8467" w14:textId="77777777" w:rsidR="00B56301" w:rsidRPr="002010BD" w:rsidRDefault="00B56301" w:rsidP="00B37B65">
            <w:pPr>
              <w:jc w:val="right"/>
              <w:rPr>
                <w:rFonts w:asciiTheme="minorHAnsi" w:hAnsiTheme="minorHAnsi"/>
                <w:sz w:val="16"/>
                <w:szCs w:val="14"/>
              </w:rPr>
            </w:pPr>
            <w:r w:rsidRPr="00C2292B">
              <w:rPr>
                <w:sz w:val="16"/>
                <w:szCs w:val="18"/>
              </w:rPr>
              <w:t>1 405,24</w:t>
            </w:r>
          </w:p>
        </w:tc>
        <w:tc>
          <w:tcPr>
            <w:tcW w:w="991" w:type="dxa"/>
            <w:tcBorders>
              <w:top w:val="nil"/>
              <w:left w:val="nil"/>
              <w:bottom w:val="single" w:sz="4" w:space="0" w:color="auto"/>
              <w:right w:val="single" w:sz="4" w:space="0" w:color="auto"/>
            </w:tcBorders>
            <w:shd w:val="clear" w:color="000000" w:fill="FFFFFF"/>
            <w:noWrap/>
            <w:vAlign w:val="bottom"/>
            <w:hideMark/>
          </w:tcPr>
          <w:p w14:paraId="3F0D3B29" w14:textId="77777777" w:rsidR="00B56301" w:rsidRPr="002010BD" w:rsidRDefault="00B56301" w:rsidP="00B37B65">
            <w:pPr>
              <w:jc w:val="right"/>
              <w:rPr>
                <w:rFonts w:asciiTheme="minorHAnsi" w:hAnsiTheme="minorHAnsi"/>
                <w:sz w:val="16"/>
                <w:szCs w:val="14"/>
              </w:rPr>
            </w:pPr>
            <w:r w:rsidRPr="00C2292B">
              <w:rPr>
                <w:sz w:val="16"/>
                <w:szCs w:val="18"/>
              </w:rPr>
              <w:t>1 390,02</w:t>
            </w:r>
          </w:p>
        </w:tc>
        <w:tc>
          <w:tcPr>
            <w:tcW w:w="991" w:type="dxa"/>
            <w:tcBorders>
              <w:top w:val="nil"/>
              <w:left w:val="nil"/>
              <w:bottom w:val="single" w:sz="4" w:space="0" w:color="auto"/>
              <w:right w:val="single" w:sz="4" w:space="0" w:color="auto"/>
            </w:tcBorders>
            <w:shd w:val="clear" w:color="000000" w:fill="FFFFFF"/>
            <w:noWrap/>
            <w:vAlign w:val="bottom"/>
            <w:hideMark/>
          </w:tcPr>
          <w:p w14:paraId="79A36244" w14:textId="77777777" w:rsidR="00B56301" w:rsidRPr="002010BD" w:rsidRDefault="00B56301" w:rsidP="00B37B65">
            <w:pPr>
              <w:jc w:val="right"/>
              <w:rPr>
                <w:rFonts w:asciiTheme="minorHAnsi" w:hAnsiTheme="minorHAnsi"/>
                <w:sz w:val="16"/>
                <w:szCs w:val="14"/>
              </w:rPr>
            </w:pPr>
            <w:r w:rsidRPr="00C2292B">
              <w:rPr>
                <w:sz w:val="16"/>
                <w:szCs w:val="18"/>
              </w:rPr>
              <w:t>1 368,81</w:t>
            </w:r>
          </w:p>
        </w:tc>
      </w:tr>
      <w:tr w:rsidR="00B56301" w:rsidRPr="00C2292B" w14:paraId="58D901A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58384A" w14:textId="7CDA5E5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D74311F" w14:textId="77777777" w:rsidR="00B56301" w:rsidRPr="002010BD" w:rsidRDefault="00B56301" w:rsidP="00B37B65">
            <w:pPr>
              <w:jc w:val="right"/>
              <w:rPr>
                <w:rFonts w:asciiTheme="minorHAnsi" w:hAnsiTheme="minorHAnsi"/>
                <w:sz w:val="16"/>
                <w:szCs w:val="14"/>
              </w:rPr>
            </w:pPr>
            <w:r w:rsidRPr="00C2292B">
              <w:rPr>
                <w:sz w:val="16"/>
                <w:szCs w:val="18"/>
              </w:rPr>
              <w:t>143,99</w:t>
            </w:r>
          </w:p>
        </w:tc>
        <w:tc>
          <w:tcPr>
            <w:tcW w:w="991" w:type="dxa"/>
            <w:tcBorders>
              <w:top w:val="nil"/>
              <w:left w:val="nil"/>
              <w:bottom w:val="single" w:sz="4" w:space="0" w:color="auto"/>
              <w:right w:val="single" w:sz="4" w:space="0" w:color="auto"/>
            </w:tcBorders>
            <w:shd w:val="clear" w:color="000000" w:fill="FFFFFF"/>
            <w:noWrap/>
            <w:vAlign w:val="bottom"/>
            <w:hideMark/>
          </w:tcPr>
          <w:p w14:paraId="5D8D3B9D" w14:textId="77777777" w:rsidR="00B56301" w:rsidRPr="002010BD" w:rsidRDefault="00B56301" w:rsidP="00B37B65">
            <w:pPr>
              <w:jc w:val="right"/>
              <w:rPr>
                <w:rFonts w:asciiTheme="minorHAnsi" w:hAnsiTheme="minorHAnsi"/>
                <w:sz w:val="16"/>
                <w:szCs w:val="14"/>
              </w:rPr>
            </w:pPr>
            <w:r w:rsidRPr="00C2292B">
              <w:rPr>
                <w:sz w:val="16"/>
                <w:szCs w:val="18"/>
              </w:rPr>
              <w:t>156,42</w:t>
            </w:r>
          </w:p>
        </w:tc>
        <w:tc>
          <w:tcPr>
            <w:tcW w:w="991" w:type="dxa"/>
            <w:tcBorders>
              <w:top w:val="nil"/>
              <w:left w:val="nil"/>
              <w:bottom w:val="single" w:sz="4" w:space="0" w:color="auto"/>
              <w:right w:val="single" w:sz="4" w:space="0" w:color="auto"/>
            </w:tcBorders>
            <w:shd w:val="clear" w:color="000000" w:fill="FFFFFF"/>
            <w:noWrap/>
            <w:vAlign w:val="bottom"/>
            <w:hideMark/>
          </w:tcPr>
          <w:p w14:paraId="0E34EF92" w14:textId="77777777" w:rsidR="00B56301" w:rsidRPr="002010BD" w:rsidRDefault="00B56301" w:rsidP="00B37B65">
            <w:pPr>
              <w:jc w:val="right"/>
              <w:rPr>
                <w:rFonts w:asciiTheme="minorHAnsi" w:hAnsiTheme="minorHAnsi"/>
                <w:sz w:val="16"/>
                <w:szCs w:val="14"/>
              </w:rPr>
            </w:pPr>
            <w:r w:rsidRPr="00C2292B">
              <w:rPr>
                <w:sz w:val="16"/>
                <w:szCs w:val="18"/>
              </w:rPr>
              <w:t>154,95</w:t>
            </w:r>
          </w:p>
        </w:tc>
        <w:tc>
          <w:tcPr>
            <w:tcW w:w="991" w:type="dxa"/>
            <w:tcBorders>
              <w:top w:val="nil"/>
              <w:left w:val="nil"/>
              <w:bottom w:val="single" w:sz="4" w:space="0" w:color="auto"/>
              <w:right w:val="single" w:sz="4" w:space="0" w:color="auto"/>
            </w:tcBorders>
            <w:shd w:val="clear" w:color="000000" w:fill="FFFFFF"/>
            <w:noWrap/>
            <w:vAlign w:val="bottom"/>
            <w:hideMark/>
          </w:tcPr>
          <w:p w14:paraId="1FD77F58" w14:textId="77777777" w:rsidR="00B56301" w:rsidRPr="002010BD" w:rsidRDefault="00B56301" w:rsidP="00B37B65">
            <w:pPr>
              <w:jc w:val="right"/>
              <w:rPr>
                <w:rFonts w:asciiTheme="minorHAnsi" w:hAnsiTheme="minorHAnsi"/>
                <w:sz w:val="16"/>
                <w:szCs w:val="14"/>
              </w:rPr>
            </w:pPr>
            <w:r w:rsidRPr="00C2292B">
              <w:rPr>
                <w:sz w:val="16"/>
                <w:szCs w:val="18"/>
              </w:rPr>
              <w:t>147,15</w:t>
            </w:r>
          </w:p>
        </w:tc>
        <w:tc>
          <w:tcPr>
            <w:tcW w:w="991" w:type="dxa"/>
            <w:tcBorders>
              <w:top w:val="nil"/>
              <w:left w:val="nil"/>
              <w:bottom w:val="single" w:sz="4" w:space="0" w:color="auto"/>
              <w:right w:val="single" w:sz="4" w:space="0" w:color="auto"/>
            </w:tcBorders>
            <w:shd w:val="clear" w:color="000000" w:fill="FFFFFF"/>
            <w:noWrap/>
            <w:vAlign w:val="bottom"/>
            <w:hideMark/>
          </w:tcPr>
          <w:p w14:paraId="293D1B80" w14:textId="77777777" w:rsidR="00B56301" w:rsidRPr="002010BD" w:rsidRDefault="00B56301" w:rsidP="00B37B65">
            <w:pPr>
              <w:jc w:val="right"/>
              <w:rPr>
                <w:rFonts w:asciiTheme="minorHAnsi" w:hAnsiTheme="minorHAnsi"/>
                <w:sz w:val="16"/>
                <w:szCs w:val="14"/>
              </w:rPr>
            </w:pPr>
            <w:r w:rsidRPr="00C2292B">
              <w:rPr>
                <w:sz w:val="16"/>
                <w:szCs w:val="18"/>
              </w:rPr>
              <w:t>148,10</w:t>
            </w:r>
          </w:p>
        </w:tc>
        <w:tc>
          <w:tcPr>
            <w:tcW w:w="991" w:type="dxa"/>
            <w:tcBorders>
              <w:top w:val="nil"/>
              <w:left w:val="nil"/>
              <w:bottom w:val="single" w:sz="4" w:space="0" w:color="auto"/>
              <w:right w:val="single" w:sz="4" w:space="0" w:color="auto"/>
            </w:tcBorders>
            <w:shd w:val="clear" w:color="000000" w:fill="FFFFFF"/>
            <w:noWrap/>
            <w:vAlign w:val="bottom"/>
            <w:hideMark/>
          </w:tcPr>
          <w:p w14:paraId="2854D0BF" w14:textId="77777777" w:rsidR="00B56301" w:rsidRPr="002010BD" w:rsidRDefault="00B56301" w:rsidP="00B37B65">
            <w:pPr>
              <w:jc w:val="right"/>
              <w:rPr>
                <w:rFonts w:asciiTheme="minorHAnsi" w:hAnsiTheme="minorHAnsi"/>
                <w:sz w:val="16"/>
                <w:szCs w:val="14"/>
              </w:rPr>
            </w:pPr>
            <w:r w:rsidRPr="00C2292B">
              <w:rPr>
                <w:sz w:val="16"/>
                <w:szCs w:val="18"/>
              </w:rPr>
              <w:t>152,63</w:t>
            </w:r>
          </w:p>
        </w:tc>
      </w:tr>
      <w:tr w:rsidR="00B56301" w:rsidRPr="00C2292B" w14:paraId="0CD5D85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82174CF" w14:textId="6062DB3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1" w:type="dxa"/>
            <w:tcBorders>
              <w:top w:val="nil"/>
              <w:left w:val="nil"/>
              <w:bottom w:val="single" w:sz="4" w:space="0" w:color="auto"/>
              <w:right w:val="single" w:sz="4" w:space="0" w:color="auto"/>
            </w:tcBorders>
            <w:shd w:val="clear" w:color="000000" w:fill="FFFFFF"/>
            <w:noWrap/>
            <w:vAlign w:val="bottom"/>
            <w:hideMark/>
          </w:tcPr>
          <w:p w14:paraId="568AD674" w14:textId="77777777" w:rsidR="00B56301" w:rsidRPr="002010BD" w:rsidRDefault="00B56301" w:rsidP="00B37B65">
            <w:pPr>
              <w:jc w:val="right"/>
              <w:rPr>
                <w:rFonts w:asciiTheme="minorHAnsi" w:hAnsiTheme="minorHAnsi"/>
                <w:sz w:val="16"/>
                <w:szCs w:val="14"/>
              </w:rPr>
            </w:pPr>
            <w:r w:rsidRPr="00C2292B">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27521541" w14:textId="77777777" w:rsidR="00B56301" w:rsidRPr="002010BD" w:rsidRDefault="00B56301" w:rsidP="00B37B65">
            <w:pPr>
              <w:jc w:val="right"/>
              <w:rPr>
                <w:rFonts w:asciiTheme="minorHAnsi" w:hAnsiTheme="minorHAnsi"/>
                <w:sz w:val="16"/>
                <w:szCs w:val="14"/>
              </w:rPr>
            </w:pPr>
            <w:r w:rsidRPr="00C2292B">
              <w:rPr>
                <w:sz w:val="16"/>
                <w:szCs w:val="18"/>
              </w:rPr>
              <w:t>1,68</w:t>
            </w:r>
          </w:p>
        </w:tc>
        <w:tc>
          <w:tcPr>
            <w:tcW w:w="991" w:type="dxa"/>
            <w:tcBorders>
              <w:top w:val="nil"/>
              <w:left w:val="nil"/>
              <w:bottom w:val="single" w:sz="4" w:space="0" w:color="auto"/>
              <w:right w:val="single" w:sz="4" w:space="0" w:color="auto"/>
            </w:tcBorders>
            <w:shd w:val="clear" w:color="000000" w:fill="FFFFFF"/>
            <w:noWrap/>
            <w:vAlign w:val="bottom"/>
            <w:hideMark/>
          </w:tcPr>
          <w:p w14:paraId="130634C9" w14:textId="77777777" w:rsidR="00B56301" w:rsidRPr="002010BD" w:rsidRDefault="00B56301" w:rsidP="00B37B65">
            <w:pPr>
              <w:jc w:val="right"/>
              <w:rPr>
                <w:rFonts w:asciiTheme="minorHAnsi" w:hAnsiTheme="minorHAnsi"/>
                <w:sz w:val="16"/>
                <w:szCs w:val="14"/>
              </w:rPr>
            </w:pPr>
            <w:r w:rsidRPr="00C2292B">
              <w:rPr>
                <w:sz w:val="16"/>
                <w:szCs w:val="18"/>
              </w:rPr>
              <w:t>1,63</w:t>
            </w:r>
          </w:p>
        </w:tc>
        <w:tc>
          <w:tcPr>
            <w:tcW w:w="991" w:type="dxa"/>
            <w:tcBorders>
              <w:top w:val="nil"/>
              <w:left w:val="nil"/>
              <w:bottom w:val="single" w:sz="4" w:space="0" w:color="auto"/>
              <w:right w:val="single" w:sz="4" w:space="0" w:color="auto"/>
            </w:tcBorders>
            <w:shd w:val="clear" w:color="000000" w:fill="FFFFFF"/>
            <w:noWrap/>
            <w:vAlign w:val="bottom"/>
            <w:hideMark/>
          </w:tcPr>
          <w:p w14:paraId="7023B226" w14:textId="77777777" w:rsidR="00B56301" w:rsidRPr="002010BD" w:rsidRDefault="00B56301" w:rsidP="00B37B65">
            <w:pPr>
              <w:jc w:val="right"/>
              <w:rPr>
                <w:rFonts w:asciiTheme="minorHAnsi" w:hAnsiTheme="minorHAnsi"/>
                <w:sz w:val="16"/>
                <w:szCs w:val="14"/>
              </w:rPr>
            </w:pPr>
            <w:r w:rsidRPr="00C2292B">
              <w:rPr>
                <w:sz w:val="16"/>
                <w:szCs w:val="18"/>
              </w:rPr>
              <w:t>1,68</w:t>
            </w:r>
          </w:p>
        </w:tc>
        <w:tc>
          <w:tcPr>
            <w:tcW w:w="991" w:type="dxa"/>
            <w:tcBorders>
              <w:top w:val="nil"/>
              <w:left w:val="nil"/>
              <w:bottom w:val="single" w:sz="4" w:space="0" w:color="auto"/>
              <w:right w:val="single" w:sz="4" w:space="0" w:color="auto"/>
            </w:tcBorders>
            <w:shd w:val="clear" w:color="000000" w:fill="FFFFFF"/>
            <w:noWrap/>
            <w:vAlign w:val="bottom"/>
            <w:hideMark/>
          </w:tcPr>
          <w:p w14:paraId="24763F50" w14:textId="77777777" w:rsidR="00B56301" w:rsidRPr="002010BD" w:rsidRDefault="00B56301" w:rsidP="00B37B65">
            <w:pPr>
              <w:jc w:val="right"/>
              <w:rPr>
                <w:rFonts w:asciiTheme="minorHAnsi" w:hAnsiTheme="minorHAnsi"/>
                <w:sz w:val="16"/>
                <w:szCs w:val="14"/>
              </w:rPr>
            </w:pPr>
            <w:r w:rsidRPr="00C2292B">
              <w:rPr>
                <w:sz w:val="16"/>
                <w:szCs w:val="18"/>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67679BEE" w14:textId="77777777" w:rsidR="00B56301" w:rsidRPr="002010BD" w:rsidRDefault="00B56301" w:rsidP="00B37B65">
            <w:pPr>
              <w:jc w:val="right"/>
              <w:rPr>
                <w:rFonts w:asciiTheme="minorHAnsi" w:hAnsiTheme="minorHAnsi"/>
                <w:sz w:val="16"/>
                <w:szCs w:val="14"/>
              </w:rPr>
            </w:pPr>
            <w:r w:rsidRPr="00C2292B">
              <w:rPr>
                <w:sz w:val="16"/>
                <w:szCs w:val="18"/>
              </w:rPr>
              <w:t>1,37</w:t>
            </w:r>
          </w:p>
        </w:tc>
      </w:tr>
      <w:tr w:rsidR="00B56301" w:rsidRPr="00C2292B" w14:paraId="06C50A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D899FC" w14:textId="4B81C20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4A98040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4DE81B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722404A"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091A51"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043818C"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CDB5D1"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15EAD38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033F97A" w14:textId="4BFE2F1C"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74F6A71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576160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E379BDB"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662D277"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830D1A9"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E7FD3D"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42BAEA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CC15E4B" w14:textId="71621C76"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514B604D" w14:textId="77777777" w:rsidR="00B56301" w:rsidRPr="002010BD" w:rsidRDefault="00B56301" w:rsidP="00B37B65">
            <w:pPr>
              <w:jc w:val="right"/>
              <w:rPr>
                <w:rFonts w:asciiTheme="minorHAnsi" w:hAnsiTheme="minorHAnsi"/>
                <w:sz w:val="16"/>
                <w:szCs w:val="14"/>
              </w:rPr>
            </w:pPr>
            <w:r w:rsidRPr="00C2292B">
              <w:rPr>
                <w:sz w:val="16"/>
                <w:szCs w:val="18"/>
              </w:rPr>
              <w:t>1,37</w:t>
            </w:r>
          </w:p>
        </w:tc>
        <w:tc>
          <w:tcPr>
            <w:tcW w:w="991" w:type="dxa"/>
            <w:tcBorders>
              <w:top w:val="nil"/>
              <w:left w:val="nil"/>
              <w:bottom w:val="single" w:sz="4" w:space="0" w:color="auto"/>
              <w:right w:val="single" w:sz="4" w:space="0" w:color="auto"/>
            </w:tcBorders>
            <w:shd w:val="clear" w:color="000000" w:fill="FFFFFF"/>
            <w:noWrap/>
            <w:vAlign w:val="bottom"/>
            <w:hideMark/>
          </w:tcPr>
          <w:p w14:paraId="53BA49F4" w14:textId="77777777" w:rsidR="00B56301" w:rsidRPr="002010BD" w:rsidRDefault="00B56301" w:rsidP="00B37B65">
            <w:pPr>
              <w:jc w:val="right"/>
              <w:rPr>
                <w:rFonts w:asciiTheme="minorHAnsi" w:hAnsiTheme="minorHAnsi"/>
                <w:sz w:val="16"/>
                <w:szCs w:val="14"/>
              </w:rPr>
            </w:pPr>
            <w:r w:rsidRPr="00C2292B">
              <w:rPr>
                <w:sz w:val="16"/>
                <w:szCs w:val="18"/>
              </w:rPr>
              <w:t>1,34</w:t>
            </w:r>
          </w:p>
        </w:tc>
        <w:tc>
          <w:tcPr>
            <w:tcW w:w="991" w:type="dxa"/>
            <w:tcBorders>
              <w:top w:val="nil"/>
              <w:left w:val="nil"/>
              <w:bottom w:val="single" w:sz="4" w:space="0" w:color="auto"/>
              <w:right w:val="single" w:sz="4" w:space="0" w:color="auto"/>
            </w:tcBorders>
            <w:shd w:val="clear" w:color="000000" w:fill="FFFFFF"/>
            <w:noWrap/>
            <w:vAlign w:val="bottom"/>
            <w:hideMark/>
          </w:tcPr>
          <w:p w14:paraId="2CB409A2" w14:textId="77777777" w:rsidR="00B56301" w:rsidRPr="002010BD" w:rsidRDefault="00B56301" w:rsidP="00B37B65">
            <w:pPr>
              <w:jc w:val="right"/>
              <w:rPr>
                <w:rFonts w:asciiTheme="minorHAnsi" w:hAnsiTheme="minorHAnsi"/>
                <w:sz w:val="16"/>
                <w:szCs w:val="14"/>
              </w:rPr>
            </w:pPr>
            <w:r w:rsidRPr="00C2292B">
              <w:rPr>
                <w:sz w:val="16"/>
                <w:szCs w:val="18"/>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11E24639" w14:textId="77777777" w:rsidR="00B56301" w:rsidRPr="002010BD" w:rsidRDefault="00B56301" w:rsidP="00B37B65">
            <w:pPr>
              <w:jc w:val="right"/>
              <w:rPr>
                <w:rFonts w:asciiTheme="minorHAnsi" w:hAnsiTheme="minorHAnsi"/>
                <w:sz w:val="16"/>
                <w:szCs w:val="14"/>
              </w:rPr>
            </w:pPr>
            <w:r w:rsidRPr="00C2292B">
              <w:rPr>
                <w:sz w:val="16"/>
                <w:szCs w:val="18"/>
              </w:rPr>
              <w:t>1,11</w:t>
            </w:r>
          </w:p>
        </w:tc>
        <w:tc>
          <w:tcPr>
            <w:tcW w:w="991" w:type="dxa"/>
            <w:tcBorders>
              <w:top w:val="nil"/>
              <w:left w:val="nil"/>
              <w:bottom w:val="single" w:sz="4" w:space="0" w:color="auto"/>
              <w:right w:val="single" w:sz="4" w:space="0" w:color="auto"/>
            </w:tcBorders>
            <w:shd w:val="clear" w:color="000000" w:fill="FFFFFF"/>
            <w:noWrap/>
            <w:vAlign w:val="bottom"/>
            <w:hideMark/>
          </w:tcPr>
          <w:p w14:paraId="30ACBF4A" w14:textId="77777777" w:rsidR="00B56301" w:rsidRPr="002010BD" w:rsidRDefault="00B56301" w:rsidP="00B37B65">
            <w:pPr>
              <w:jc w:val="right"/>
              <w:rPr>
                <w:rFonts w:asciiTheme="minorHAnsi" w:hAnsiTheme="minorHAnsi"/>
                <w:sz w:val="16"/>
                <w:szCs w:val="14"/>
              </w:rPr>
            </w:pPr>
            <w:r w:rsidRPr="00C2292B">
              <w:rPr>
                <w:sz w:val="16"/>
                <w:szCs w:val="18"/>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6E3357C4" w14:textId="77777777" w:rsidR="00B56301" w:rsidRPr="002010BD" w:rsidRDefault="00B56301" w:rsidP="00B37B65">
            <w:pPr>
              <w:jc w:val="right"/>
              <w:rPr>
                <w:rFonts w:asciiTheme="minorHAnsi" w:hAnsiTheme="minorHAnsi"/>
                <w:sz w:val="16"/>
                <w:szCs w:val="14"/>
              </w:rPr>
            </w:pPr>
            <w:r w:rsidRPr="00C2292B">
              <w:rPr>
                <w:sz w:val="16"/>
                <w:szCs w:val="18"/>
              </w:rPr>
              <w:t>1,17</w:t>
            </w:r>
          </w:p>
        </w:tc>
      </w:tr>
      <w:tr w:rsidR="00B56301" w:rsidRPr="00C2292B" w14:paraId="2295073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7D2343A" w14:textId="5BEACC2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762A512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7885A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AC704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5CED8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110651"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42C4D0F"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313EDAE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4205B2" w14:textId="59A70CF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61E1532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40090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A7808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F98D5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B0DA9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BF8ADB"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47A275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5FFC72" w14:textId="78A887C3"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1" w:type="dxa"/>
            <w:tcBorders>
              <w:top w:val="nil"/>
              <w:left w:val="nil"/>
              <w:bottom w:val="single" w:sz="4" w:space="0" w:color="auto"/>
              <w:right w:val="single" w:sz="4" w:space="0" w:color="auto"/>
            </w:tcBorders>
            <w:shd w:val="clear" w:color="000000" w:fill="969696"/>
            <w:noWrap/>
            <w:vAlign w:val="bottom"/>
            <w:hideMark/>
          </w:tcPr>
          <w:p w14:paraId="24649448"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995317"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2157764"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920F97"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6D1303"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7F1702"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4E5FB0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715EF2" w14:textId="746D3A9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1E5440FC"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14DB99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DD4EE7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CCCBED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5C3259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86BF24"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014D3C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7FE4D15"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01E0024A" w14:textId="77777777" w:rsidR="00B56301" w:rsidRPr="002010BD" w:rsidRDefault="00B56301" w:rsidP="00B37B65">
            <w:pPr>
              <w:jc w:val="right"/>
              <w:rPr>
                <w:rFonts w:asciiTheme="minorHAnsi" w:hAnsiTheme="minorHAnsi"/>
                <w:sz w:val="16"/>
                <w:szCs w:val="14"/>
              </w:rPr>
            </w:pPr>
            <w:r w:rsidRPr="00C2292B">
              <w:rPr>
                <w:sz w:val="16"/>
                <w:szCs w:val="18"/>
              </w:rPr>
              <w:t>41,37</w:t>
            </w:r>
          </w:p>
        </w:tc>
        <w:tc>
          <w:tcPr>
            <w:tcW w:w="991" w:type="dxa"/>
            <w:tcBorders>
              <w:top w:val="nil"/>
              <w:left w:val="nil"/>
              <w:bottom w:val="single" w:sz="4" w:space="0" w:color="auto"/>
              <w:right w:val="single" w:sz="4" w:space="0" w:color="auto"/>
            </w:tcBorders>
            <w:shd w:val="clear" w:color="000000" w:fill="CCFFFF"/>
            <w:noWrap/>
            <w:vAlign w:val="bottom"/>
            <w:hideMark/>
          </w:tcPr>
          <w:p w14:paraId="09C47454" w14:textId="77777777" w:rsidR="00B56301" w:rsidRPr="002010BD" w:rsidRDefault="00B56301" w:rsidP="00B37B65">
            <w:pPr>
              <w:jc w:val="right"/>
              <w:rPr>
                <w:rFonts w:asciiTheme="minorHAnsi" w:hAnsiTheme="minorHAnsi"/>
                <w:sz w:val="16"/>
                <w:szCs w:val="14"/>
              </w:rPr>
            </w:pPr>
            <w:r w:rsidRPr="00C2292B">
              <w:rPr>
                <w:sz w:val="16"/>
                <w:szCs w:val="18"/>
              </w:rPr>
              <w:t>43,11</w:t>
            </w:r>
          </w:p>
        </w:tc>
        <w:tc>
          <w:tcPr>
            <w:tcW w:w="991" w:type="dxa"/>
            <w:tcBorders>
              <w:top w:val="nil"/>
              <w:left w:val="nil"/>
              <w:bottom w:val="single" w:sz="4" w:space="0" w:color="auto"/>
              <w:right w:val="single" w:sz="4" w:space="0" w:color="auto"/>
            </w:tcBorders>
            <w:shd w:val="clear" w:color="000000" w:fill="CCFFFF"/>
            <w:noWrap/>
            <w:vAlign w:val="bottom"/>
            <w:hideMark/>
          </w:tcPr>
          <w:p w14:paraId="50AF6AC5" w14:textId="77777777" w:rsidR="00B56301" w:rsidRPr="002010BD" w:rsidRDefault="00B56301" w:rsidP="00B37B65">
            <w:pPr>
              <w:jc w:val="right"/>
              <w:rPr>
                <w:rFonts w:asciiTheme="minorHAnsi" w:hAnsiTheme="minorHAnsi"/>
                <w:sz w:val="16"/>
                <w:szCs w:val="14"/>
              </w:rPr>
            </w:pPr>
            <w:r w:rsidRPr="00C2292B">
              <w:rPr>
                <w:sz w:val="16"/>
                <w:szCs w:val="18"/>
              </w:rPr>
              <w:t>43,11</w:t>
            </w:r>
          </w:p>
        </w:tc>
        <w:tc>
          <w:tcPr>
            <w:tcW w:w="991" w:type="dxa"/>
            <w:tcBorders>
              <w:top w:val="nil"/>
              <w:left w:val="nil"/>
              <w:bottom w:val="single" w:sz="4" w:space="0" w:color="auto"/>
              <w:right w:val="single" w:sz="4" w:space="0" w:color="auto"/>
            </w:tcBorders>
            <w:shd w:val="clear" w:color="000000" w:fill="CCFFFF"/>
            <w:noWrap/>
            <w:vAlign w:val="bottom"/>
            <w:hideMark/>
          </w:tcPr>
          <w:p w14:paraId="749FF77F" w14:textId="77777777" w:rsidR="00B56301" w:rsidRPr="002010BD" w:rsidRDefault="00B56301" w:rsidP="00B37B65">
            <w:pPr>
              <w:jc w:val="right"/>
              <w:rPr>
                <w:rFonts w:asciiTheme="minorHAnsi" w:hAnsiTheme="minorHAnsi"/>
                <w:sz w:val="16"/>
                <w:szCs w:val="14"/>
              </w:rPr>
            </w:pPr>
            <w:r w:rsidRPr="00C2292B">
              <w:rPr>
                <w:sz w:val="16"/>
                <w:szCs w:val="18"/>
              </w:rPr>
              <w:t>44,01</w:t>
            </w:r>
          </w:p>
        </w:tc>
        <w:tc>
          <w:tcPr>
            <w:tcW w:w="991" w:type="dxa"/>
            <w:tcBorders>
              <w:top w:val="nil"/>
              <w:left w:val="nil"/>
              <w:bottom w:val="single" w:sz="4" w:space="0" w:color="auto"/>
              <w:right w:val="single" w:sz="4" w:space="0" w:color="auto"/>
            </w:tcBorders>
            <w:shd w:val="clear" w:color="000000" w:fill="CCFFFF"/>
            <w:noWrap/>
            <w:vAlign w:val="bottom"/>
            <w:hideMark/>
          </w:tcPr>
          <w:p w14:paraId="37E6C24A" w14:textId="77777777" w:rsidR="00B56301" w:rsidRPr="002010BD" w:rsidRDefault="00B56301" w:rsidP="00B37B65">
            <w:pPr>
              <w:jc w:val="right"/>
              <w:rPr>
                <w:rFonts w:asciiTheme="minorHAnsi" w:hAnsiTheme="minorHAnsi"/>
                <w:sz w:val="16"/>
                <w:szCs w:val="14"/>
              </w:rPr>
            </w:pPr>
            <w:r w:rsidRPr="00C2292B">
              <w:rPr>
                <w:sz w:val="16"/>
                <w:szCs w:val="18"/>
              </w:rPr>
              <w:t>45,02</w:t>
            </w:r>
          </w:p>
        </w:tc>
        <w:tc>
          <w:tcPr>
            <w:tcW w:w="991" w:type="dxa"/>
            <w:tcBorders>
              <w:top w:val="nil"/>
              <w:left w:val="nil"/>
              <w:bottom w:val="single" w:sz="4" w:space="0" w:color="auto"/>
              <w:right w:val="single" w:sz="4" w:space="0" w:color="auto"/>
            </w:tcBorders>
            <w:shd w:val="clear" w:color="000000" w:fill="CCFFFF"/>
            <w:noWrap/>
            <w:vAlign w:val="bottom"/>
            <w:hideMark/>
          </w:tcPr>
          <w:p w14:paraId="2AB8742A" w14:textId="77777777" w:rsidR="00B56301" w:rsidRPr="002010BD" w:rsidRDefault="00B56301" w:rsidP="00B37B65">
            <w:pPr>
              <w:jc w:val="right"/>
              <w:rPr>
                <w:rFonts w:asciiTheme="minorHAnsi" w:hAnsiTheme="minorHAnsi"/>
                <w:sz w:val="16"/>
                <w:szCs w:val="14"/>
              </w:rPr>
            </w:pPr>
            <w:r w:rsidRPr="00C2292B">
              <w:rPr>
                <w:sz w:val="16"/>
                <w:szCs w:val="18"/>
              </w:rPr>
              <w:t>44,61</w:t>
            </w:r>
          </w:p>
        </w:tc>
      </w:tr>
      <w:tr w:rsidR="00B56301" w:rsidRPr="00C2292B" w14:paraId="54D28FC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1A0B5B" w14:textId="1D6DFC0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13252C4" w14:textId="77777777" w:rsidR="00B56301" w:rsidRPr="002010BD" w:rsidRDefault="00B56301" w:rsidP="00B37B65">
            <w:pPr>
              <w:jc w:val="right"/>
              <w:rPr>
                <w:rFonts w:asciiTheme="minorHAnsi" w:hAnsiTheme="minorHAnsi"/>
                <w:sz w:val="16"/>
                <w:szCs w:val="14"/>
              </w:rPr>
            </w:pPr>
            <w:r w:rsidRPr="00C2292B">
              <w:rPr>
                <w:sz w:val="16"/>
                <w:szCs w:val="18"/>
              </w:rPr>
              <w:t>20,05</w:t>
            </w:r>
          </w:p>
        </w:tc>
        <w:tc>
          <w:tcPr>
            <w:tcW w:w="991" w:type="dxa"/>
            <w:tcBorders>
              <w:top w:val="nil"/>
              <w:left w:val="nil"/>
              <w:bottom w:val="single" w:sz="4" w:space="0" w:color="auto"/>
              <w:right w:val="single" w:sz="4" w:space="0" w:color="auto"/>
            </w:tcBorders>
            <w:shd w:val="clear" w:color="000000" w:fill="FFFFFF"/>
            <w:noWrap/>
            <w:vAlign w:val="bottom"/>
            <w:hideMark/>
          </w:tcPr>
          <w:p w14:paraId="029DEABB" w14:textId="77777777" w:rsidR="00B56301" w:rsidRPr="002010BD" w:rsidRDefault="00B56301" w:rsidP="00B37B65">
            <w:pPr>
              <w:jc w:val="right"/>
              <w:rPr>
                <w:rFonts w:asciiTheme="minorHAnsi" w:hAnsiTheme="minorHAnsi"/>
                <w:sz w:val="16"/>
                <w:szCs w:val="14"/>
              </w:rPr>
            </w:pPr>
            <w:r w:rsidRPr="00C2292B">
              <w:rPr>
                <w:sz w:val="16"/>
                <w:szCs w:val="18"/>
              </w:rPr>
              <w:t>21,80</w:t>
            </w:r>
          </w:p>
        </w:tc>
        <w:tc>
          <w:tcPr>
            <w:tcW w:w="991" w:type="dxa"/>
            <w:tcBorders>
              <w:top w:val="nil"/>
              <w:left w:val="nil"/>
              <w:bottom w:val="single" w:sz="4" w:space="0" w:color="auto"/>
              <w:right w:val="single" w:sz="4" w:space="0" w:color="auto"/>
            </w:tcBorders>
            <w:shd w:val="clear" w:color="000000" w:fill="FFFFFF"/>
            <w:noWrap/>
            <w:vAlign w:val="bottom"/>
            <w:hideMark/>
          </w:tcPr>
          <w:p w14:paraId="7F42C8A2" w14:textId="77777777" w:rsidR="00B56301" w:rsidRPr="002010BD" w:rsidRDefault="00B56301" w:rsidP="00B37B65">
            <w:pPr>
              <w:jc w:val="right"/>
              <w:rPr>
                <w:rFonts w:asciiTheme="minorHAnsi" w:hAnsiTheme="minorHAnsi"/>
                <w:sz w:val="16"/>
                <w:szCs w:val="14"/>
              </w:rPr>
            </w:pPr>
            <w:r w:rsidRPr="00C2292B">
              <w:rPr>
                <w:sz w:val="16"/>
                <w:szCs w:val="18"/>
              </w:rPr>
              <w:t>21,96</w:t>
            </w:r>
          </w:p>
        </w:tc>
        <w:tc>
          <w:tcPr>
            <w:tcW w:w="991" w:type="dxa"/>
            <w:tcBorders>
              <w:top w:val="nil"/>
              <w:left w:val="nil"/>
              <w:bottom w:val="single" w:sz="4" w:space="0" w:color="auto"/>
              <w:right w:val="single" w:sz="4" w:space="0" w:color="auto"/>
            </w:tcBorders>
            <w:shd w:val="clear" w:color="000000" w:fill="FFFFFF"/>
            <w:noWrap/>
            <w:vAlign w:val="bottom"/>
            <w:hideMark/>
          </w:tcPr>
          <w:p w14:paraId="4017E17D" w14:textId="77777777" w:rsidR="00B56301" w:rsidRPr="002010BD" w:rsidRDefault="00B56301" w:rsidP="00B37B65">
            <w:pPr>
              <w:jc w:val="right"/>
              <w:rPr>
                <w:rFonts w:asciiTheme="minorHAnsi" w:hAnsiTheme="minorHAnsi"/>
                <w:sz w:val="16"/>
                <w:szCs w:val="14"/>
              </w:rPr>
            </w:pPr>
            <w:r w:rsidRPr="00C2292B">
              <w:rPr>
                <w:sz w:val="16"/>
                <w:szCs w:val="18"/>
              </w:rPr>
              <w:t>22,88</w:t>
            </w:r>
          </w:p>
        </w:tc>
        <w:tc>
          <w:tcPr>
            <w:tcW w:w="991" w:type="dxa"/>
            <w:tcBorders>
              <w:top w:val="nil"/>
              <w:left w:val="nil"/>
              <w:bottom w:val="single" w:sz="4" w:space="0" w:color="auto"/>
              <w:right w:val="single" w:sz="4" w:space="0" w:color="auto"/>
            </w:tcBorders>
            <w:shd w:val="clear" w:color="000000" w:fill="FFFFFF"/>
            <w:noWrap/>
            <w:vAlign w:val="bottom"/>
            <w:hideMark/>
          </w:tcPr>
          <w:p w14:paraId="6F325E3C" w14:textId="77777777" w:rsidR="00B56301" w:rsidRPr="002010BD" w:rsidRDefault="00B56301" w:rsidP="00B37B65">
            <w:pPr>
              <w:jc w:val="right"/>
              <w:rPr>
                <w:rFonts w:asciiTheme="minorHAnsi" w:hAnsiTheme="minorHAnsi"/>
                <w:sz w:val="16"/>
                <w:szCs w:val="14"/>
              </w:rPr>
            </w:pPr>
            <w:r w:rsidRPr="00C2292B">
              <w:rPr>
                <w:sz w:val="16"/>
                <w:szCs w:val="18"/>
              </w:rPr>
              <w:t>23,76</w:t>
            </w:r>
          </w:p>
        </w:tc>
        <w:tc>
          <w:tcPr>
            <w:tcW w:w="991" w:type="dxa"/>
            <w:tcBorders>
              <w:top w:val="nil"/>
              <w:left w:val="nil"/>
              <w:bottom w:val="single" w:sz="4" w:space="0" w:color="auto"/>
              <w:right w:val="single" w:sz="4" w:space="0" w:color="auto"/>
            </w:tcBorders>
            <w:shd w:val="clear" w:color="000000" w:fill="FFFFFF"/>
            <w:noWrap/>
            <w:vAlign w:val="bottom"/>
            <w:hideMark/>
          </w:tcPr>
          <w:p w14:paraId="7A561E3A" w14:textId="77777777" w:rsidR="00B56301" w:rsidRPr="002010BD" w:rsidRDefault="00B56301" w:rsidP="00B37B65">
            <w:pPr>
              <w:jc w:val="right"/>
              <w:rPr>
                <w:rFonts w:asciiTheme="minorHAnsi" w:hAnsiTheme="minorHAnsi"/>
                <w:sz w:val="16"/>
                <w:szCs w:val="14"/>
              </w:rPr>
            </w:pPr>
            <w:r w:rsidRPr="00C2292B">
              <w:rPr>
                <w:sz w:val="16"/>
                <w:szCs w:val="18"/>
              </w:rPr>
              <w:t>23,38</w:t>
            </w:r>
          </w:p>
        </w:tc>
      </w:tr>
      <w:tr w:rsidR="00B56301" w:rsidRPr="00C2292B" w14:paraId="4E3AE0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E2B71C" w14:textId="1F6ADA3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109783A4" w14:textId="77777777" w:rsidR="00B56301" w:rsidRPr="002010BD" w:rsidRDefault="00B56301" w:rsidP="00B37B65">
            <w:pPr>
              <w:jc w:val="right"/>
              <w:rPr>
                <w:rFonts w:asciiTheme="minorHAnsi" w:hAnsiTheme="minorHAnsi"/>
                <w:sz w:val="16"/>
                <w:szCs w:val="14"/>
              </w:rPr>
            </w:pPr>
            <w:r w:rsidRPr="00C2292B">
              <w:rPr>
                <w:sz w:val="16"/>
                <w:szCs w:val="18"/>
              </w:rPr>
              <w:t>4,48</w:t>
            </w:r>
          </w:p>
        </w:tc>
        <w:tc>
          <w:tcPr>
            <w:tcW w:w="991" w:type="dxa"/>
            <w:tcBorders>
              <w:top w:val="nil"/>
              <w:left w:val="nil"/>
              <w:bottom w:val="single" w:sz="4" w:space="0" w:color="auto"/>
              <w:right w:val="single" w:sz="4" w:space="0" w:color="auto"/>
            </w:tcBorders>
            <w:shd w:val="clear" w:color="000000" w:fill="FFFFFF"/>
            <w:noWrap/>
            <w:vAlign w:val="bottom"/>
            <w:hideMark/>
          </w:tcPr>
          <w:p w14:paraId="1FA1F595" w14:textId="77777777" w:rsidR="00B56301" w:rsidRPr="002010BD" w:rsidRDefault="00B56301" w:rsidP="00B37B65">
            <w:pPr>
              <w:jc w:val="right"/>
              <w:rPr>
                <w:rFonts w:asciiTheme="minorHAnsi" w:hAnsiTheme="minorHAnsi"/>
                <w:sz w:val="16"/>
                <w:szCs w:val="14"/>
              </w:rPr>
            </w:pPr>
            <w:r w:rsidRPr="00C2292B">
              <w:rPr>
                <w:sz w:val="16"/>
                <w:szCs w:val="18"/>
              </w:rPr>
              <w:t>4,51</w:t>
            </w:r>
          </w:p>
        </w:tc>
        <w:tc>
          <w:tcPr>
            <w:tcW w:w="991" w:type="dxa"/>
            <w:tcBorders>
              <w:top w:val="nil"/>
              <w:left w:val="nil"/>
              <w:bottom w:val="single" w:sz="4" w:space="0" w:color="auto"/>
              <w:right w:val="single" w:sz="4" w:space="0" w:color="auto"/>
            </w:tcBorders>
            <w:shd w:val="clear" w:color="000000" w:fill="FFFFFF"/>
            <w:noWrap/>
            <w:vAlign w:val="bottom"/>
            <w:hideMark/>
          </w:tcPr>
          <w:p w14:paraId="23572827" w14:textId="77777777" w:rsidR="00B56301" w:rsidRPr="002010BD" w:rsidRDefault="00B56301" w:rsidP="00B37B65">
            <w:pPr>
              <w:jc w:val="right"/>
              <w:rPr>
                <w:rFonts w:asciiTheme="minorHAnsi" w:hAnsiTheme="minorHAnsi"/>
                <w:sz w:val="16"/>
                <w:szCs w:val="14"/>
              </w:rPr>
            </w:pPr>
            <w:r w:rsidRPr="00C2292B">
              <w:rPr>
                <w:sz w:val="16"/>
                <w:szCs w:val="18"/>
              </w:rPr>
              <w:t>4,46</w:t>
            </w:r>
          </w:p>
        </w:tc>
        <w:tc>
          <w:tcPr>
            <w:tcW w:w="991" w:type="dxa"/>
            <w:tcBorders>
              <w:top w:val="nil"/>
              <w:left w:val="nil"/>
              <w:bottom w:val="single" w:sz="4" w:space="0" w:color="auto"/>
              <w:right w:val="single" w:sz="4" w:space="0" w:color="auto"/>
            </w:tcBorders>
            <w:shd w:val="clear" w:color="000000" w:fill="FFFFFF"/>
            <w:noWrap/>
            <w:vAlign w:val="bottom"/>
            <w:hideMark/>
          </w:tcPr>
          <w:p w14:paraId="61AC1D88" w14:textId="77777777" w:rsidR="00B56301" w:rsidRPr="002010BD" w:rsidRDefault="00B56301" w:rsidP="00B37B65">
            <w:pPr>
              <w:jc w:val="right"/>
              <w:rPr>
                <w:rFonts w:asciiTheme="minorHAnsi" w:hAnsiTheme="minorHAnsi"/>
                <w:sz w:val="16"/>
                <w:szCs w:val="14"/>
              </w:rPr>
            </w:pPr>
            <w:r w:rsidRPr="00C2292B">
              <w:rPr>
                <w:sz w:val="16"/>
                <w:szCs w:val="18"/>
              </w:rPr>
              <w:t>4,45</w:t>
            </w:r>
          </w:p>
        </w:tc>
        <w:tc>
          <w:tcPr>
            <w:tcW w:w="991" w:type="dxa"/>
            <w:tcBorders>
              <w:top w:val="nil"/>
              <w:left w:val="nil"/>
              <w:bottom w:val="single" w:sz="4" w:space="0" w:color="auto"/>
              <w:right w:val="single" w:sz="4" w:space="0" w:color="auto"/>
            </w:tcBorders>
            <w:shd w:val="clear" w:color="000000" w:fill="FFFFFF"/>
            <w:noWrap/>
            <w:vAlign w:val="bottom"/>
            <w:hideMark/>
          </w:tcPr>
          <w:p w14:paraId="22F5E18B" w14:textId="77777777" w:rsidR="00B56301" w:rsidRPr="002010BD" w:rsidRDefault="00B56301" w:rsidP="00B37B65">
            <w:pPr>
              <w:jc w:val="right"/>
              <w:rPr>
                <w:rFonts w:asciiTheme="minorHAnsi" w:hAnsiTheme="minorHAnsi"/>
                <w:sz w:val="16"/>
                <w:szCs w:val="14"/>
              </w:rPr>
            </w:pPr>
            <w:r w:rsidRPr="00C2292B">
              <w:rPr>
                <w:sz w:val="16"/>
                <w:szCs w:val="18"/>
              </w:rPr>
              <w:t>4,51</w:t>
            </w:r>
          </w:p>
        </w:tc>
        <w:tc>
          <w:tcPr>
            <w:tcW w:w="991" w:type="dxa"/>
            <w:tcBorders>
              <w:top w:val="nil"/>
              <w:left w:val="nil"/>
              <w:bottom w:val="single" w:sz="4" w:space="0" w:color="auto"/>
              <w:right w:val="single" w:sz="4" w:space="0" w:color="auto"/>
            </w:tcBorders>
            <w:shd w:val="clear" w:color="000000" w:fill="FFFFFF"/>
            <w:noWrap/>
            <w:vAlign w:val="bottom"/>
            <w:hideMark/>
          </w:tcPr>
          <w:p w14:paraId="4DDA63FE" w14:textId="77777777" w:rsidR="00B56301" w:rsidRPr="002010BD" w:rsidRDefault="00B56301" w:rsidP="00B37B65">
            <w:pPr>
              <w:jc w:val="right"/>
              <w:rPr>
                <w:rFonts w:asciiTheme="minorHAnsi" w:hAnsiTheme="minorHAnsi"/>
                <w:sz w:val="16"/>
                <w:szCs w:val="14"/>
              </w:rPr>
            </w:pPr>
            <w:r w:rsidRPr="00C2292B">
              <w:rPr>
                <w:sz w:val="16"/>
                <w:szCs w:val="18"/>
              </w:rPr>
              <w:t>4,51</w:t>
            </w:r>
          </w:p>
        </w:tc>
      </w:tr>
      <w:tr w:rsidR="00B56301" w:rsidRPr="00C2292B" w14:paraId="6A9346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C6C81D" w14:textId="6142F80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3BF7D069" w14:textId="77777777" w:rsidR="00B56301" w:rsidRPr="002010BD" w:rsidRDefault="00B56301" w:rsidP="00B37B65">
            <w:pPr>
              <w:jc w:val="right"/>
              <w:rPr>
                <w:rFonts w:asciiTheme="minorHAnsi" w:hAnsiTheme="minorHAnsi"/>
                <w:sz w:val="16"/>
                <w:szCs w:val="14"/>
              </w:rPr>
            </w:pPr>
            <w:r w:rsidRPr="00C2292B">
              <w:rPr>
                <w:sz w:val="16"/>
                <w:szCs w:val="18"/>
              </w:rPr>
              <w:t>5,10</w:t>
            </w:r>
          </w:p>
        </w:tc>
        <w:tc>
          <w:tcPr>
            <w:tcW w:w="991" w:type="dxa"/>
            <w:tcBorders>
              <w:top w:val="nil"/>
              <w:left w:val="nil"/>
              <w:bottom w:val="single" w:sz="4" w:space="0" w:color="auto"/>
              <w:right w:val="single" w:sz="4" w:space="0" w:color="auto"/>
            </w:tcBorders>
            <w:shd w:val="clear" w:color="000000" w:fill="FFFFFF"/>
            <w:noWrap/>
            <w:vAlign w:val="bottom"/>
            <w:hideMark/>
          </w:tcPr>
          <w:p w14:paraId="2D0317C0" w14:textId="77777777" w:rsidR="00B56301" w:rsidRPr="002010BD" w:rsidRDefault="00B56301" w:rsidP="00B37B65">
            <w:pPr>
              <w:jc w:val="right"/>
              <w:rPr>
                <w:rFonts w:asciiTheme="minorHAnsi" w:hAnsiTheme="minorHAnsi"/>
                <w:sz w:val="16"/>
                <w:szCs w:val="14"/>
              </w:rPr>
            </w:pPr>
            <w:r w:rsidRPr="00C2292B">
              <w:rPr>
                <w:sz w:val="16"/>
                <w:szCs w:val="18"/>
              </w:rPr>
              <w:t>5,13</w:t>
            </w:r>
          </w:p>
        </w:tc>
        <w:tc>
          <w:tcPr>
            <w:tcW w:w="991" w:type="dxa"/>
            <w:tcBorders>
              <w:top w:val="nil"/>
              <w:left w:val="nil"/>
              <w:bottom w:val="single" w:sz="4" w:space="0" w:color="auto"/>
              <w:right w:val="single" w:sz="4" w:space="0" w:color="auto"/>
            </w:tcBorders>
            <w:shd w:val="clear" w:color="000000" w:fill="FFFFFF"/>
            <w:noWrap/>
            <w:vAlign w:val="bottom"/>
            <w:hideMark/>
          </w:tcPr>
          <w:p w14:paraId="6AB2DECA" w14:textId="77777777" w:rsidR="00B56301" w:rsidRPr="002010BD" w:rsidRDefault="00B56301" w:rsidP="00B37B65">
            <w:pPr>
              <w:jc w:val="right"/>
              <w:rPr>
                <w:rFonts w:asciiTheme="minorHAnsi" w:hAnsiTheme="minorHAnsi"/>
                <w:sz w:val="16"/>
                <w:szCs w:val="14"/>
              </w:rPr>
            </w:pPr>
            <w:r w:rsidRPr="00C2292B">
              <w:rPr>
                <w:sz w:val="16"/>
                <w:szCs w:val="18"/>
              </w:rPr>
              <w:t>5,08</w:t>
            </w:r>
          </w:p>
        </w:tc>
        <w:tc>
          <w:tcPr>
            <w:tcW w:w="991" w:type="dxa"/>
            <w:tcBorders>
              <w:top w:val="nil"/>
              <w:left w:val="nil"/>
              <w:bottom w:val="single" w:sz="4" w:space="0" w:color="auto"/>
              <w:right w:val="single" w:sz="4" w:space="0" w:color="auto"/>
            </w:tcBorders>
            <w:shd w:val="clear" w:color="000000" w:fill="FFFFFF"/>
            <w:noWrap/>
            <w:vAlign w:val="bottom"/>
            <w:hideMark/>
          </w:tcPr>
          <w:p w14:paraId="6B19D481" w14:textId="77777777" w:rsidR="00B56301" w:rsidRPr="002010BD" w:rsidRDefault="00B56301" w:rsidP="00B37B65">
            <w:pPr>
              <w:jc w:val="right"/>
              <w:rPr>
                <w:rFonts w:asciiTheme="minorHAnsi" w:hAnsiTheme="minorHAnsi"/>
                <w:sz w:val="16"/>
                <w:szCs w:val="14"/>
              </w:rPr>
            </w:pPr>
            <w:r w:rsidRPr="00C2292B">
              <w:rPr>
                <w:sz w:val="16"/>
                <w:szCs w:val="18"/>
              </w:rPr>
              <w:t>5,19</w:t>
            </w:r>
          </w:p>
        </w:tc>
        <w:tc>
          <w:tcPr>
            <w:tcW w:w="991" w:type="dxa"/>
            <w:tcBorders>
              <w:top w:val="nil"/>
              <w:left w:val="nil"/>
              <w:bottom w:val="single" w:sz="4" w:space="0" w:color="auto"/>
              <w:right w:val="single" w:sz="4" w:space="0" w:color="auto"/>
            </w:tcBorders>
            <w:shd w:val="clear" w:color="000000" w:fill="FFFFFF"/>
            <w:noWrap/>
            <w:vAlign w:val="bottom"/>
            <w:hideMark/>
          </w:tcPr>
          <w:p w14:paraId="58FA52FF" w14:textId="77777777" w:rsidR="00B56301" w:rsidRPr="002010BD" w:rsidRDefault="00B56301" w:rsidP="00B37B65">
            <w:pPr>
              <w:jc w:val="right"/>
              <w:rPr>
                <w:rFonts w:asciiTheme="minorHAnsi" w:hAnsiTheme="minorHAnsi"/>
                <w:sz w:val="16"/>
                <w:szCs w:val="14"/>
              </w:rPr>
            </w:pPr>
            <w:r w:rsidRPr="00C2292B">
              <w:rPr>
                <w:sz w:val="16"/>
                <w:szCs w:val="18"/>
              </w:rPr>
              <w:t>5,28</w:t>
            </w:r>
          </w:p>
        </w:tc>
        <w:tc>
          <w:tcPr>
            <w:tcW w:w="991" w:type="dxa"/>
            <w:tcBorders>
              <w:top w:val="nil"/>
              <w:left w:val="nil"/>
              <w:bottom w:val="single" w:sz="4" w:space="0" w:color="auto"/>
              <w:right w:val="single" w:sz="4" w:space="0" w:color="auto"/>
            </w:tcBorders>
            <w:shd w:val="clear" w:color="000000" w:fill="FFFFFF"/>
            <w:noWrap/>
            <w:vAlign w:val="bottom"/>
            <w:hideMark/>
          </w:tcPr>
          <w:p w14:paraId="164EDD7A" w14:textId="77777777" w:rsidR="00B56301" w:rsidRPr="002010BD" w:rsidRDefault="00B56301" w:rsidP="00B37B65">
            <w:pPr>
              <w:jc w:val="right"/>
              <w:rPr>
                <w:rFonts w:asciiTheme="minorHAnsi" w:hAnsiTheme="minorHAnsi"/>
                <w:sz w:val="16"/>
                <w:szCs w:val="14"/>
              </w:rPr>
            </w:pPr>
            <w:r w:rsidRPr="00C2292B">
              <w:rPr>
                <w:sz w:val="16"/>
                <w:szCs w:val="18"/>
              </w:rPr>
              <w:t>5,28</w:t>
            </w:r>
          </w:p>
        </w:tc>
      </w:tr>
      <w:tr w:rsidR="00B56301" w:rsidRPr="00C2292B" w14:paraId="676D654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10B44A" w14:textId="6132024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2EE15818" w14:textId="77777777" w:rsidR="00B56301" w:rsidRPr="002010BD" w:rsidRDefault="00B56301" w:rsidP="00B37B65">
            <w:pPr>
              <w:jc w:val="right"/>
              <w:rPr>
                <w:rFonts w:asciiTheme="minorHAnsi" w:hAnsiTheme="minorHAnsi"/>
                <w:sz w:val="16"/>
                <w:szCs w:val="14"/>
              </w:rPr>
            </w:pPr>
            <w:r w:rsidRPr="00C2292B">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15FD6910" w14:textId="77777777" w:rsidR="00B56301" w:rsidRPr="002010BD" w:rsidRDefault="00B56301" w:rsidP="00B37B65">
            <w:pPr>
              <w:jc w:val="right"/>
              <w:rPr>
                <w:rFonts w:asciiTheme="minorHAnsi" w:hAnsiTheme="minorHAnsi"/>
                <w:sz w:val="16"/>
                <w:szCs w:val="14"/>
              </w:rPr>
            </w:pPr>
            <w:r w:rsidRPr="00C2292B">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35B44435" w14:textId="77777777" w:rsidR="00B56301" w:rsidRPr="002010BD" w:rsidRDefault="00B56301" w:rsidP="00B37B65">
            <w:pPr>
              <w:jc w:val="right"/>
              <w:rPr>
                <w:rFonts w:asciiTheme="minorHAnsi" w:hAnsiTheme="minorHAnsi"/>
                <w:sz w:val="16"/>
                <w:szCs w:val="14"/>
              </w:rPr>
            </w:pPr>
            <w:r w:rsidRPr="00C2292B">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5FA98456" w14:textId="77777777" w:rsidR="00B56301" w:rsidRPr="002010BD" w:rsidRDefault="00B56301" w:rsidP="00B37B65">
            <w:pPr>
              <w:jc w:val="right"/>
              <w:rPr>
                <w:rFonts w:asciiTheme="minorHAnsi" w:hAnsiTheme="minorHAnsi"/>
                <w:sz w:val="16"/>
                <w:szCs w:val="14"/>
              </w:rPr>
            </w:pPr>
            <w:r w:rsidRPr="00C2292B">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546C457" w14:textId="77777777" w:rsidR="00B56301" w:rsidRPr="002010BD" w:rsidRDefault="00B56301" w:rsidP="00B37B65">
            <w:pPr>
              <w:jc w:val="right"/>
              <w:rPr>
                <w:rFonts w:asciiTheme="minorHAnsi" w:hAnsiTheme="minorHAnsi"/>
                <w:sz w:val="16"/>
                <w:szCs w:val="14"/>
              </w:rPr>
            </w:pPr>
            <w:r w:rsidRPr="00C2292B">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6E70311" w14:textId="77777777" w:rsidR="00B56301" w:rsidRPr="002010BD" w:rsidRDefault="00B56301" w:rsidP="00B37B65">
            <w:pPr>
              <w:jc w:val="right"/>
              <w:rPr>
                <w:rFonts w:asciiTheme="minorHAnsi" w:hAnsiTheme="minorHAnsi"/>
                <w:sz w:val="16"/>
                <w:szCs w:val="14"/>
              </w:rPr>
            </w:pPr>
            <w:r w:rsidRPr="00C2292B">
              <w:rPr>
                <w:sz w:val="16"/>
                <w:szCs w:val="18"/>
              </w:rPr>
              <w:t>0,36</w:t>
            </w:r>
          </w:p>
        </w:tc>
      </w:tr>
      <w:tr w:rsidR="00B56301" w:rsidRPr="00C2292B" w14:paraId="11039FE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D29D1E" w14:textId="568E408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2CE289AD" w14:textId="77777777" w:rsidR="00B56301" w:rsidRPr="002010BD" w:rsidRDefault="00B56301" w:rsidP="00B37B65">
            <w:pPr>
              <w:jc w:val="right"/>
              <w:rPr>
                <w:rFonts w:asciiTheme="minorHAnsi" w:hAnsiTheme="minorHAnsi"/>
                <w:sz w:val="16"/>
                <w:szCs w:val="14"/>
              </w:rPr>
            </w:pPr>
            <w:r w:rsidRPr="00C2292B">
              <w:rPr>
                <w:sz w:val="16"/>
                <w:szCs w:val="18"/>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09C87C68" w14:textId="77777777" w:rsidR="00B56301" w:rsidRPr="002010BD" w:rsidRDefault="00B56301" w:rsidP="00B37B65">
            <w:pPr>
              <w:jc w:val="right"/>
              <w:rPr>
                <w:rFonts w:asciiTheme="minorHAnsi" w:hAnsiTheme="minorHAnsi"/>
                <w:sz w:val="16"/>
                <w:szCs w:val="14"/>
              </w:rPr>
            </w:pPr>
            <w:r w:rsidRPr="00C2292B">
              <w:rPr>
                <w:sz w:val="16"/>
                <w:szCs w:val="18"/>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6B594AFD" w14:textId="77777777" w:rsidR="00B56301" w:rsidRPr="002010BD" w:rsidRDefault="00B56301" w:rsidP="00B37B65">
            <w:pPr>
              <w:jc w:val="right"/>
              <w:rPr>
                <w:rFonts w:asciiTheme="minorHAnsi" w:hAnsiTheme="minorHAnsi"/>
                <w:sz w:val="16"/>
                <w:szCs w:val="14"/>
              </w:rPr>
            </w:pPr>
            <w:r w:rsidRPr="00C2292B">
              <w:rPr>
                <w:sz w:val="16"/>
                <w:szCs w:val="18"/>
              </w:rPr>
              <w:t>2,41</w:t>
            </w:r>
          </w:p>
        </w:tc>
        <w:tc>
          <w:tcPr>
            <w:tcW w:w="991" w:type="dxa"/>
            <w:tcBorders>
              <w:top w:val="nil"/>
              <w:left w:val="nil"/>
              <w:bottom w:val="single" w:sz="4" w:space="0" w:color="auto"/>
              <w:right w:val="single" w:sz="4" w:space="0" w:color="auto"/>
            </w:tcBorders>
            <w:shd w:val="clear" w:color="000000" w:fill="FFFFFF"/>
            <w:noWrap/>
            <w:vAlign w:val="bottom"/>
            <w:hideMark/>
          </w:tcPr>
          <w:p w14:paraId="5B9EC85D" w14:textId="77777777" w:rsidR="00B56301" w:rsidRPr="002010BD" w:rsidRDefault="00B56301" w:rsidP="00B37B65">
            <w:pPr>
              <w:jc w:val="right"/>
              <w:rPr>
                <w:rFonts w:asciiTheme="minorHAnsi" w:hAnsiTheme="minorHAnsi"/>
                <w:sz w:val="16"/>
                <w:szCs w:val="14"/>
              </w:rPr>
            </w:pPr>
            <w:r w:rsidRPr="00C2292B">
              <w:rPr>
                <w:sz w:val="16"/>
                <w:szCs w:val="18"/>
              </w:rPr>
              <w:t>2,34</w:t>
            </w:r>
          </w:p>
        </w:tc>
        <w:tc>
          <w:tcPr>
            <w:tcW w:w="991" w:type="dxa"/>
            <w:tcBorders>
              <w:top w:val="nil"/>
              <w:left w:val="nil"/>
              <w:bottom w:val="single" w:sz="4" w:space="0" w:color="auto"/>
              <w:right w:val="single" w:sz="4" w:space="0" w:color="auto"/>
            </w:tcBorders>
            <w:shd w:val="clear" w:color="000000" w:fill="FFFFFF"/>
            <w:noWrap/>
            <w:vAlign w:val="bottom"/>
            <w:hideMark/>
          </w:tcPr>
          <w:p w14:paraId="75798CBF" w14:textId="77777777" w:rsidR="00B56301" w:rsidRPr="002010BD" w:rsidRDefault="00B56301" w:rsidP="00B37B65">
            <w:pPr>
              <w:jc w:val="right"/>
              <w:rPr>
                <w:rFonts w:asciiTheme="minorHAnsi" w:hAnsiTheme="minorHAnsi"/>
                <w:sz w:val="16"/>
                <w:szCs w:val="14"/>
              </w:rPr>
            </w:pPr>
            <w:r w:rsidRPr="00C2292B">
              <w:rPr>
                <w:sz w:val="16"/>
                <w:szCs w:val="18"/>
              </w:rPr>
              <w:t>2,34</w:t>
            </w:r>
          </w:p>
        </w:tc>
        <w:tc>
          <w:tcPr>
            <w:tcW w:w="991" w:type="dxa"/>
            <w:tcBorders>
              <w:top w:val="nil"/>
              <w:left w:val="nil"/>
              <w:bottom w:val="single" w:sz="4" w:space="0" w:color="auto"/>
              <w:right w:val="single" w:sz="4" w:space="0" w:color="auto"/>
            </w:tcBorders>
            <w:shd w:val="clear" w:color="000000" w:fill="FFFFFF"/>
            <w:noWrap/>
            <w:vAlign w:val="bottom"/>
            <w:hideMark/>
          </w:tcPr>
          <w:p w14:paraId="531969FB" w14:textId="77777777" w:rsidR="00B56301" w:rsidRPr="002010BD" w:rsidRDefault="00B56301" w:rsidP="00B37B65">
            <w:pPr>
              <w:jc w:val="right"/>
              <w:rPr>
                <w:rFonts w:asciiTheme="minorHAnsi" w:hAnsiTheme="minorHAnsi"/>
                <w:sz w:val="16"/>
                <w:szCs w:val="14"/>
              </w:rPr>
            </w:pPr>
            <w:r w:rsidRPr="00C2292B">
              <w:rPr>
                <w:sz w:val="16"/>
                <w:szCs w:val="18"/>
              </w:rPr>
              <w:t>2,34</w:t>
            </w:r>
          </w:p>
        </w:tc>
      </w:tr>
      <w:tr w:rsidR="00B56301" w:rsidRPr="00C2292B" w14:paraId="17E9A1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1ADD20" w14:textId="2A4F242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48A1FDE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9964244"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478D8C8"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B2165B3"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472CD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490F3E7"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5C0B65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EC9C53" w14:textId="392A0E0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28360F9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01F6CB"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658DC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FD08C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7475D78"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D97287"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1D558A5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4C8119" w14:textId="62B9697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E0174F2" w14:textId="77777777" w:rsidR="00B56301" w:rsidRPr="002010BD" w:rsidRDefault="00B56301" w:rsidP="00B37B65">
            <w:pPr>
              <w:jc w:val="right"/>
              <w:rPr>
                <w:rFonts w:asciiTheme="minorHAnsi" w:hAnsiTheme="minorHAnsi"/>
                <w:sz w:val="16"/>
                <w:szCs w:val="14"/>
              </w:rPr>
            </w:pPr>
            <w:r w:rsidRPr="00C2292B">
              <w:rPr>
                <w:sz w:val="16"/>
                <w:szCs w:val="18"/>
              </w:rPr>
              <w:t>8,95</w:t>
            </w:r>
          </w:p>
        </w:tc>
        <w:tc>
          <w:tcPr>
            <w:tcW w:w="991" w:type="dxa"/>
            <w:tcBorders>
              <w:top w:val="nil"/>
              <w:left w:val="nil"/>
              <w:bottom w:val="single" w:sz="4" w:space="0" w:color="auto"/>
              <w:right w:val="single" w:sz="4" w:space="0" w:color="auto"/>
            </w:tcBorders>
            <w:shd w:val="clear" w:color="000000" w:fill="FFFFFF"/>
            <w:noWrap/>
            <w:vAlign w:val="bottom"/>
            <w:hideMark/>
          </w:tcPr>
          <w:p w14:paraId="78F05216" w14:textId="77777777" w:rsidR="00B56301" w:rsidRPr="002010BD" w:rsidRDefault="00B56301" w:rsidP="00B37B65">
            <w:pPr>
              <w:jc w:val="right"/>
              <w:rPr>
                <w:rFonts w:asciiTheme="minorHAnsi" w:hAnsiTheme="minorHAnsi"/>
                <w:sz w:val="16"/>
                <w:szCs w:val="14"/>
              </w:rPr>
            </w:pPr>
            <w:r w:rsidRPr="00C2292B">
              <w:rPr>
                <w:sz w:val="16"/>
                <w:szCs w:val="18"/>
              </w:rPr>
              <w:t>8,88</w:t>
            </w:r>
          </w:p>
        </w:tc>
        <w:tc>
          <w:tcPr>
            <w:tcW w:w="991" w:type="dxa"/>
            <w:tcBorders>
              <w:top w:val="nil"/>
              <w:left w:val="nil"/>
              <w:bottom w:val="single" w:sz="4" w:space="0" w:color="auto"/>
              <w:right w:val="single" w:sz="4" w:space="0" w:color="auto"/>
            </w:tcBorders>
            <w:shd w:val="clear" w:color="000000" w:fill="FFFFFF"/>
            <w:noWrap/>
            <w:vAlign w:val="bottom"/>
            <w:hideMark/>
          </w:tcPr>
          <w:p w14:paraId="3689FE98" w14:textId="77777777" w:rsidR="00B56301" w:rsidRPr="002010BD" w:rsidRDefault="00B56301" w:rsidP="00B37B65">
            <w:pPr>
              <w:jc w:val="right"/>
              <w:rPr>
                <w:rFonts w:asciiTheme="minorHAnsi" w:hAnsiTheme="minorHAnsi"/>
                <w:sz w:val="16"/>
                <w:szCs w:val="14"/>
              </w:rPr>
            </w:pPr>
            <w:r w:rsidRPr="00C2292B">
              <w:rPr>
                <w:sz w:val="16"/>
                <w:szCs w:val="18"/>
              </w:rPr>
              <w:t>8,83</w:t>
            </w:r>
          </w:p>
        </w:tc>
        <w:tc>
          <w:tcPr>
            <w:tcW w:w="991" w:type="dxa"/>
            <w:tcBorders>
              <w:top w:val="nil"/>
              <w:left w:val="nil"/>
              <w:bottom w:val="single" w:sz="4" w:space="0" w:color="auto"/>
              <w:right w:val="single" w:sz="4" w:space="0" w:color="auto"/>
            </w:tcBorders>
            <w:shd w:val="clear" w:color="000000" w:fill="FFFFFF"/>
            <w:noWrap/>
            <w:vAlign w:val="bottom"/>
            <w:hideMark/>
          </w:tcPr>
          <w:p w14:paraId="66F8D692" w14:textId="77777777" w:rsidR="00B56301" w:rsidRPr="002010BD" w:rsidRDefault="00B56301" w:rsidP="00B37B65">
            <w:pPr>
              <w:jc w:val="right"/>
              <w:rPr>
                <w:rFonts w:asciiTheme="minorHAnsi" w:hAnsiTheme="minorHAnsi"/>
                <w:sz w:val="16"/>
                <w:szCs w:val="14"/>
              </w:rPr>
            </w:pPr>
            <w:r w:rsidRPr="00C2292B">
              <w:rPr>
                <w:sz w:val="16"/>
                <w:szCs w:val="18"/>
              </w:rPr>
              <w:t>8,79</w:t>
            </w:r>
          </w:p>
        </w:tc>
        <w:tc>
          <w:tcPr>
            <w:tcW w:w="991" w:type="dxa"/>
            <w:tcBorders>
              <w:top w:val="nil"/>
              <w:left w:val="nil"/>
              <w:bottom w:val="single" w:sz="4" w:space="0" w:color="auto"/>
              <w:right w:val="single" w:sz="4" w:space="0" w:color="auto"/>
            </w:tcBorders>
            <w:shd w:val="clear" w:color="000000" w:fill="FFFFFF"/>
            <w:noWrap/>
            <w:vAlign w:val="bottom"/>
            <w:hideMark/>
          </w:tcPr>
          <w:p w14:paraId="734C9892" w14:textId="77777777" w:rsidR="00B56301" w:rsidRPr="002010BD" w:rsidRDefault="00B56301" w:rsidP="00B37B65">
            <w:pPr>
              <w:jc w:val="right"/>
              <w:rPr>
                <w:rFonts w:asciiTheme="minorHAnsi" w:hAnsiTheme="minorHAnsi"/>
                <w:sz w:val="16"/>
                <w:szCs w:val="14"/>
              </w:rPr>
            </w:pPr>
            <w:r w:rsidRPr="00C2292B">
              <w:rPr>
                <w:sz w:val="16"/>
                <w:szCs w:val="18"/>
              </w:rPr>
              <w:t>8,77</w:t>
            </w:r>
          </w:p>
        </w:tc>
        <w:tc>
          <w:tcPr>
            <w:tcW w:w="991" w:type="dxa"/>
            <w:tcBorders>
              <w:top w:val="nil"/>
              <w:left w:val="nil"/>
              <w:bottom w:val="single" w:sz="4" w:space="0" w:color="auto"/>
              <w:right w:val="single" w:sz="4" w:space="0" w:color="auto"/>
            </w:tcBorders>
            <w:shd w:val="clear" w:color="000000" w:fill="FFFFFF"/>
            <w:noWrap/>
            <w:vAlign w:val="bottom"/>
            <w:hideMark/>
          </w:tcPr>
          <w:p w14:paraId="5C860AB4" w14:textId="77777777" w:rsidR="00B56301" w:rsidRPr="002010BD" w:rsidRDefault="00B56301" w:rsidP="00B37B65">
            <w:pPr>
              <w:jc w:val="right"/>
              <w:rPr>
                <w:rFonts w:asciiTheme="minorHAnsi" w:hAnsiTheme="minorHAnsi"/>
                <w:sz w:val="16"/>
                <w:szCs w:val="14"/>
              </w:rPr>
            </w:pPr>
            <w:r w:rsidRPr="00C2292B">
              <w:rPr>
                <w:sz w:val="16"/>
                <w:szCs w:val="18"/>
              </w:rPr>
              <w:t>8,75</w:t>
            </w:r>
          </w:p>
        </w:tc>
      </w:tr>
      <w:tr w:rsidR="00B56301" w:rsidRPr="00C2292B" w14:paraId="00F1AC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5A9C5A2" w14:textId="7E0F1D8A"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0D0FCC5E" w14:textId="77777777" w:rsidR="00B56301" w:rsidRPr="002010BD" w:rsidRDefault="00B56301" w:rsidP="00B37B65">
            <w:pPr>
              <w:jc w:val="right"/>
              <w:rPr>
                <w:rFonts w:asciiTheme="minorHAnsi" w:hAnsiTheme="minorHAnsi"/>
                <w:sz w:val="16"/>
                <w:szCs w:val="14"/>
              </w:rPr>
            </w:pPr>
            <w:r w:rsidRPr="00C2292B">
              <w:rPr>
                <w:sz w:val="16"/>
                <w:szCs w:val="18"/>
              </w:rPr>
              <w:t>693,73</w:t>
            </w:r>
          </w:p>
        </w:tc>
        <w:tc>
          <w:tcPr>
            <w:tcW w:w="991" w:type="dxa"/>
            <w:tcBorders>
              <w:top w:val="nil"/>
              <w:left w:val="nil"/>
              <w:bottom w:val="single" w:sz="4" w:space="0" w:color="auto"/>
              <w:right w:val="single" w:sz="4" w:space="0" w:color="auto"/>
            </w:tcBorders>
            <w:shd w:val="clear" w:color="000000" w:fill="CCFFFF"/>
            <w:noWrap/>
            <w:vAlign w:val="bottom"/>
            <w:hideMark/>
          </w:tcPr>
          <w:p w14:paraId="321FF702" w14:textId="77777777" w:rsidR="00B56301" w:rsidRPr="002010BD" w:rsidRDefault="00B56301" w:rsidP="00B37B65">
            <w:pPr>
              <w:jc w:val="right"/>
              <w:rPr>
                <w:rFonts w:asciiTheme="minorHAnsi" w:hAnsiTheme="minorHAnsi"/>
                <w:sz w:val="16"/>
                <w:szCs w:val="14"/>
              </w:rPr>
            </w:pPr>
            <w:r w:rsidRPr="00C2292B">
              <w:rPr>
                <w:sz w:val="16"/>
                <w:szCs w:val="18"/>
              </w:rPr>
              <w:t>671,15</w:t>
            </w:r>
          </w:p>
        </w:tc>
        <w:tc>
          <w:tcPr>
            <w:tcW w:w="991" w:type="dxa"/>
            <w:tcBorders>
              <w:top w:val="nil"/>
              <w:left w:val="nil"/>
              <w:bottom w:val="single" w:sz="4" w:space="0" w:color="auto"/>
              <w:right w:val="single" w:sz="4" w:space="0" w:color="auto"/>
            </w:tcBorders>
            <w:shd w:val="clear" w:color="000000" w:fill="CCFFFF"/>
            <w:noWrap/>
            <w:vAlign w:val="bottom"/>
            <w:hideMark/>
          </w:tcPr>
          <w:p w14:paraId="0F53DECC" w14:textId="77777777" w:rsidR="00B56301" w:rsidRPr="002010BD" w:rsidRDefault="00B56301" w:rsidP="00B37B65">
            <w:pPr>
              <w:jc w:val="right"/>
              <w:rPr>
                <w:rFonts w:asciiTheme="minorHAnsi" w:hAnsiTheme="minorHAnsi"/>
                <w:sz w:val="16"/>
                <w:szCs w:val="14"/>
              </w:rPr>
            </w:pPr>
            <w:r w:rsidRPr="00C2292B">
              <w:rPr>
                <w:sz w:val="16"/>
                <w:szCs w:val="18"/>
              </w:rPr>
              <w:t>630,12</w:t>
            </w:r>
          </w:p>
        </w:tc>
        <w:tc>
          <w:tcPr>
            <w:tcW w:w="991" w:type="dxa"/>
            <w:tcBorders>
              <w:top w:val="nil"/>
              <w:left w:val="nil"/>
              <w:bottom w:val="single" w:sz="4" w:space="0" w:color="auto"/>
              <w:right w:val="single" w:sz="4" w:space="0" w:color="auto"/>
            </w:tcBorders>
            <w:shd w:val="clear" w:color="000000" w:fill="CCFFFF"/>
            <w:noWrap/>
            <w:vAlign w:val="bottom"/>
            <w:hideMark/>
          </w:tcPr>
          <w:p w14:paraId="1F96EE23" w14:textId="77777777" w:rsidR="00B56301" w:rsidRPr="002010BD" w:rsidRDefault="00B56301" w:rsidP="00B37B65">
            <w:pPr>
              <w:jc w:val="right"/>
              <w:rPr>
                <w:rFonts w:asciiTheme="minorHAnsi" w:hAnsiTheme="minorHAnsi"/>
                <w:sz w:val="16"/>
                <w:szCs w:val="14"/>
              </w:rPr>
            </w:pPr>
            <w:r w:rsidRPr="00C2292B">
              <w:rPr>
                <w:sz w:val="16"/>
                <w:szCs w:val="18"/>
              </w:rPr>
              <w:t>626,74</w:t>
            </w:r>
          </w:p>
        </w:tc>
        <w:tc>
          <w:tcPr>
            <w:tcW w:w="991" w:type="dxa"/>
            <w:tcBorders>
              <w:top w:val="nil"/>
              <w:left w:val="nil"/>
              <w:bottom w:val="single" w:sz="4" w:space="0" w:color="auto"/>
              <w:right w:val="single" w:sz="4" w:space="0" w:color="auto"/>
            </w:tcBorders>
            <w:shd w:val="clear" w:color="000000" w:fill="CCFFFF"/>
            <w:noWrap/>
            <w:vAlign w:val="bottom"/>
            <w:hideMark/>
          </w:tcPr>
          <w:p w14:paraId="7C3A66C3" w14:textId="77777777" w:rsidR="00B56301" w:rsidRPr="002010BD" w:rsidRDefault="00B56301" w:rsidP="00B37B65">
            <w:pPr>
              <w:jc w:val="right"/>
              <w:rPr>
                <w:rFonts w:asciiTheme="minorHAnsi" w:hAnsiTheme="minorHAnsi"/>
                <w:sz w:val="16"/>
                <w:szCs w:val="14"/>
              </w:rPr>
            </w:pPr>
            <w:r w:rsidRPr="00C2292B">
              <w:rPr>
                <w:sz w:val="16"/>
                <w:szCs w:val="18"/>
              </w:rPr>
              <w:t>631,49</w:t>
            </w:r>
          </w:p>
        </w:tc>
        <w:tc>
          <w:tcPr>
            <w:tcW w:w="991" w:type="dxa"/>
            <w:tcBorders>
              <w:top w:val="nil"/>
              <w:left w:val="nil"/>
              <w:bottom w:val="single" w:sz="4" w:space="0" w:color="auto"/>
              <w:right w:val="single" w:sz="4" w:space="0" w:color="auto"/>
            </w:tcBorders>
            <w:shd w:val="clear" w:color="000000" w:fill="CCFFFF"/>
            <w:noWrap/>
            <w:vAlign w:val="bottom"/>
            <w:hideMark/>
          </w:tcPr>
          <w:p w14:paraId="678553ED" w14:textId="77777777" w:rsidR="00B56301" w:rsidRPr="002010BD" w:rsidRDefault="00B56301" w:rsidP="00B37B65">
            <w:pPr>
              <w:jc w:val="right"/>
              <w:rPr>
                <w:rFonts w:asciiTheme="minorHAnsi" w:hAnsiTheme="minorHAnsi"/>
                <w:sz w:val="16"/>
                <w:szCs w:val="14"/>
              </w:rPr>
            </w:pPr>
            <w:r w:rsidRPr="00C2292B">
              <w:rPr>
                <w:sz w:val="16"/>
                <w:szCs w:val="18"/>
              </w:rPr>
              <w:t>623,46</w:t>
            </w:r>
          </w:p>
        </w:tc>
      </w:tr>
      <w:tr w:rsidR="00B56301" w:rsidRPr="00C2292B" w14:paraId="1A41D1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737893" w14:textId="24ED434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32E58395" w14:textId="77777777" w:rsidR="00B56301" w:rsidRPr="002010BD" w:rsidRDefault="00B56301" w:rsidP="00B37B65">
            <w:pPr>
              <w:jc w:val="right"/>
              <w:rPr>
                <w:rFonts w:asciiTheme="minorHAnsi" w:hAnsiTheme="minorHAnsi"/>
                <w:sz w:val="16"/>
                <w:szCs w:val="14"/>
              </w:rPr>
            </w:pPr>
            <w:r w:rsidRPr="00C2292B">
              <w:rPr>
                <w:sz w:val="16"/>
                <w:szCs w:val="18"/>
              </w:rPr>
              <w:t>565,57</w:t>
            </w:r>
          </w:p>
        </w:tc>
        <w:tc>
          <w:tcPr>
            <w:tcW w:w="991" w:type="dxa"/>
            <w:tcBorders>
              <w:top w:val="nil"/>
              <w:left w:val="nil"/>
              <w:bottom w:val="single" w:sz="4" w:space="0" w:color="auto"/>
              <w:right w:val="single" w:sz="4" w:space="0" w:color="auto"/>
            </w:tcBorders>
            <w:shd w:val="clear" w:color="000000" w:fill="FFFFFF"/>
            <w:noWrap/>
            <w:vAlign w:val="bottom"/>
            <w:hideMark/>
          </w:tcPr>
          <w:p w14:paraId="29F5CAD0" w14:textId="77777777" w:rsidR="00B56301" w:rsidRPr="002010BD" w:rsidRDefault="00B56301" w:rsidP="00B37B65">
            <w:pPr>
              <w:jc w:val="right"/>
              <w:rPr>
                <w:rFonts w:asciiTheme="minorHAnsi" w:hAnsiTheme="minorHAnsi"/>
                <w:sz w:val="16"/>
                <w:szCs w:val="14"/>
              </w:rPr>
            </w:pPr>
            <w:r w:rsidRPr="00C2292B">
              <w:rPr>
                <w:sz w:val="16"/>
                <w:szCs w:val="18"/>
              </w:rPr>
              <w:t>540,03</w:t>
            </w:r>
          </w:p>
        </w:tc>
        <w:tc>
          <w:tcPr>
            <w:tcW w:w="991" w:type="dxa"/>
            <w:tcBorders>
              <w:top w:val="nil"/>
              <w:left w:val="nil"/>
              <w:bottom w:val="single" w:sz="4" w:space="0" w:color="auto"/>
              <w:right w:val="single" w:sz="4" w:space="0" w:color="auto"/>
            </w:tcBorders>
            <w:shd w:val="clear" w:color="000000" w:fill="FFFFFF"/>
            <w:noWrap/>
            <w:vAlign w:val="bottom"/>
            <w:hideMark/>
          </w:tcPr>
          <w:p w14:paraId="557265AD" w14:textId="77777777" w:rsidR="00B56301" w:rsidRPr="002010BD" w:rsidRDefault="00B56301" w:rsidP="00B37B65">
            <w:pPr>
              <w:jc w:val="right"/>
              <w:rPr>
                <w:rFonts w:asciiTheme="minorHAnsi" w:hAnsiTheme="minorHAnsi"/>
                <w:sz w:val="16"/>
                <w:szCs w:val="14"/>
              </w:rPr>
            </w:pPr>
            <w:r w:rsidRPr="00C2292B">
              <w:rPr>
                <w:sz w:val="16"/>
                <w:szCs w:val="18"/>
              </w:rPr>
              <w:t>497,72</w:t>
            </w:r>
          </w:p>
        </w:tc>
        <w:tc>
          <w:tcPr>
            <w:tcW w:w="991" w:type="dxa"/>
            <w:tcBorders>
              <w:top w:val="nil"/>
              <w:left w:val="nil"/>
              <w:bottom w:val="single" w:sz="4" w:space="0" w:color="auto"/>
              <w:right w:val="single" w:sz="4" w:space="0" w:color="auto"/>
            </w:tcBorders>
            <w:shd w:val="clear" w:color="000000" w:fill="FFFFFF"/>
            <w:noWrap/>
            <w:vAlign w:val="bottom"/>
            <w:hideMark/>
          </w:tcPr>
          <w:p w14:paraId="20B38F11" w14:textId="77777777" w:rsidR="00B56301" w:rsidRPr="002010BD" w:rsidRDefault="00B56301" w:rsidP="00B37B65">
            <w:pPr>
              <w:jc w:val="right"/>
              <w:rPr>
                <w:rFonts w:asciiTheme="minorHAnsi" w:hAnsiTheme="minorHAnsi"/>
                <w:sz w:val="16"/>
                <w:szCs w:val="14"/>
              </w:rPr>
            </w:pPr>
            <w:r w:rsidRPr="00C2292B">
              <w:rPr>
                <w:sz w:val="16"/>
                <w:szCs w:val="18"/>
              </w:rPr>
              <w:t>494,52</w:t>
            </w:r>
          </w:p>
        </w:tc>
        <w:tc>
          <w:tcPr>
            <w:tcW w:w="991" w:type="dxa"/>
            <w:tcBorders>
              <w:top w:val="nil"/>
              <w:left w:val="nil"/>
              <w:bottom w:val="single" w:sz="4" w:space="0" w:color="auto"/>
              <w:right w:val="single" w:sz="4" w:space="0" w:color="auto"/>
            </w:tcBorders>
            <w:shd w:val="clear" w:color="000000" w:fill="FFFFFF"/>
            <w:noWrap/>
            <w:vAlign w:val="bottom"/>
            <w:hideMark/>
          </w:tcPr>
          <w:p w14:paraId="23844443" w14:textId="77777777" w:rsidR="00B56301" w:rsidRPr="002010BD" w:rsidRDefault="00B56301" w:rsidP="00B37B65">
            <w:pPr>
              <w:jc w:val="right"/>
              <w:rPr>
                <w:rFonts w:asciiTheme="minorHAnsi" w:hAnsiTheme="minorHAnsi"/>
                <w:sz w:val="16"/>
                <w:szCs w:val="14"/>
              </w:rPr>
            </w:pPr>
            <w:r w:rsidRPr="00C2292B">
              <w:rPr>
                <w:sz w:val="16"/>
                <w:szCs w:val="18"/>
              </w:rPr>
              <w:t>497,25</w:t>
            </w:r>
          </w:p>
        </w:tc>
        <w:tc>
          <w:tcPr>
            <w:tcW w:w="991" w:type="dxa"/>
            <w:tcBorders>
              <w:top w:val="nil"/>
              <w:left w:val="nil"/>
              <w:bottom w:val="single" w:sz="4" w:space="0" w:color="auto"/>
              <w:right w:val="single" w:sz="4" w:space="0" w:color="auto"/>
            </w:tcBorders>
            <w:shd w:val="clear" w:color="000000" w:fill="FFFFFF"/>
            <w:noWrap/>
            <w:vAlign w:val="bottom"/>
            <w:hideMark/>
          </w:tcPr>
          <w:p w14:paraId="243B83F3" w14:textId="77777777" w:rsidR="00B56301" w:rsidRPr="002010BD" w:rsidRDefault="00B56301" w:rsidP="00B37B65">
            <w:pPr>
              <w:jc w:val="right"/>
              <w:rPr>
                <w:rFonts w:asciiTheme="minorHAnsi" w:hAnsiTheme="minorHAnsi"/>
                <w:sz w:val="16"/>
                <w:szCs w:val="14"/>
              </w:rPr>
            </w:pPr>
            <w:r w:rsidRPr="00C2292B">
              <w:rPr>
                <w:sz w:val="16"/>
                <w:szCs w:val="18"/>
              </w:rPr>
              <w:t>486,19</w:t>
            </w:r>
          </w:p>
        </w:tc>
      </w:tr>
      <w:tr w:rsidR="00B56301" w:rsidRPr="00C2292B" w14:paraId="4881B4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075082" w14:textId="3D39BB80"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35A88DC1" w14:textId="77777777" w:rsidR="00B56301" w:rsidRPr="002010BD" w:rsidRDefault="00B56301" w:rsidP="00B37B65">
            <w:pPr>
              <w:jc w:val="right"/>
              <w:rPr>
                <w:rFonts w:asciiTheme="minorHAnsi" w:hAnsiTheme="minorHAnsi"/>
                <w:sz w:val="16"/>
                <w:szCs w:val="14"/>
              </w:rPr>
            </w:pPr>
            <w:r w:rsidRPr="00C2292B">
              <w:rPr>
                <w:sz w:val="16"/>
                <w:szCs w:val="18"/>
              </w:rPr>
              <w:t>38,81</w:t>
            </w:r>
          </w:p>
        </w:tc>
        <w:tc>
          <w:tcPr>
            <w:tcW w:w="991" w:type="dxa"/>
            <w:tcBorders>
              <w:top w:val="nil"/>
              <w:left w:val="nil"/>
              <w:bottom w:val="single" w:sz="4" w:space="0" w:color="auto"/>
              <w:right w:val="single" w:sz="4" w:space="0" w:color="auto"/>
            </w:tcBorders>
            <w:shd w:val="clear" w:color="000000" w:fill="FFFFFF"/>
            <w:noWrap/>
            <w:vAlign w:val="bottom"/>
            <w:hideMark/>
          </w:tcPr>
          <w:p w14:paraId="1E52E8A0" w14:textId="77777777" w:rsidR="00B56301" w:rsidRPr="002010BD" w:rsidRDefault="00B56301" w:rsidP="00B37B65">
            <w:pPr>
              <w:jc w:val="right"/>
              <w:rPr>
                <w:rFonts w:asciiTheme="minorHAnsi" w:hAnsiTheme="minorHAnsi"/>
                <w:sz w:val="16"/>
                <w:szCs w:val="14"/>
              </w:rPr>
            </w:pPr>
            <w:r w:rsidRPr="00C2292B">
              <w:rPr>
                <w:sz w:val="16"/>
                <w:szCs w:val="18"/>
              </w:rPr>
              <w:t>40,95</w:t>
            </w:r>
          </w:p>
        </w:tc>
        <w:tc>
          <w:tcPr>
            <w:tcW w:w="991" w:type="dxa"/>
            <w:tcBorders>
              <w:top w:val="nil"/>
              <w:left w:val="nil"/>
              <w:bottom w:val="single" w:sz="4" w:space="0" w:color="auto"/>
              <w:right w:val="single" w:sz="4" w:space="0" w:color="auto"/>
            </w:tcBorders>
            <w:shd w:val="clear" w:color="000000" w:fill="FFFFFF"/>
            <w:noWrap/>
            <w:vAlign w:val="bottom"/>
            <w:hideMark/>
          </w:tcPr>
          <w:p w14:paraId="6DB30ED9" w14:textId="77777777" w:rsidR="00B56301" w:rsidRPr="002010BD" w:rsidRDefault="00B56301" w:rsidP="00B37B65">
            <w:pPr>
              <w:jc w:val="right"/>
              <w:rPr>
                <w:rFonts w:asciiTheme="minorHAnsi" w:hAnsiTheme="minorHAnsi"/>
                <w:sz w:val="16"/>
                <w:szCs w:val="14"/>
              </w:rPr>
            </w:pPr>
            <w:r w:rsidRPr="00C2292B">
              <w:rPr>
                <w:sz w:val="16"/>
                <w:szCs w:val="18"/>
              </w:rPr>
              <w:t>41,13</w:t>
            </w:r>
          </w:p>
        </w:tc>
        <w:tc>
          <w:tcPr>
            <w:tcW w:w="991" w:type="dxa"/>
            <w:tcBorders>
              <w:top w:val="nil"/>
              <w:left w:val="nil"/>
              <w:bottom w:val="single" w:sz="4" w:space="0" w:color="auto"/>
              <w:right w:val="single" w:sz="4" w:space="0" w:color="auto"/>
            </w:tcBorders>
            <w:shd w:val="clear" w:color="000000" w:fill="FFFFFF"/>
            <w:noWrap/>
            <w:vAlign w:val="bottom"/>
            <w:hideMark/>
          </w:tcPr>
          <w:p w14:paraId="094D9B0A" w14:textId="77777777" w:rsidR="00B56301" w:rsidRPr="002010BD" w:rsidRDefault="00B56301" w:rsidP="00B37B65">
            <w:pPr>
              <w:jc w:val="right"/>
              <w:rPr>
                <w:rFonts w:asciiTheme="minorHAnsi" w:hAnsiTheme="minorHAnsi"/>
                <w:sz w:val="16"/>
                <w:szCs w:val="14"/>
              </w:rPr>
            </w:pPr>
            <w:r w:rsidRPr="00C2292B">
              <w:rPr>
                <w:sz w:val="16"/>
                <w:szCs w:val="18"/>
              </w:rPr>
              <w:t>41,30</w:t>
            </w:r>
          </w:p>
        </w:tc>
        <w:tc>
          <w:tcPr>
            <w:tcW w:w="991" w:type="dxa"/>
            <w:tcBorders>
              <w:top w:val="nil"/>
              <w:left w:val="nil"/>
              <w:bottom w:val="single" w:sz="4" w:space="0" w:color="auto"/>
              <w:right w:val="single" w:sz="4" w:space="0" w:color="auto"/>
            </w:tcBorders>
            <w:shd w:val="clear" w:color="000000" w:fill="FFFFFF"/>
            <w:noWrap/>
            <w:vAlign w:val="bottom"/>
            <w:hideMark/>
          </w:tcPr>
          <w:p w14:paraId="01417A05" w14:textId="77777777" w:rsidR="00B56301" w:rsidRPr="002010BD" w:rsidRDefault="00B56301" w:rsidP="00B37B65">
            <w:pPr>
              <w:jc w:val="right"/>
              <w:rPr>
                <w:rFonts w:asciiTheme="minorHAnsi" w:hAnsiTheme="minorHAnsi"/>
                <w:sz w:val="16"/>
                <w:szCs w:val="14"/>
              </w:rPr>
            </w:pPr>
            <w:r w:rsidRPr="00C2292B">
              <w:rPr>
                <w:sz w:val="16"/>
                <w:szCs w:val="18"/>
              </w:rPr>
              <w:t>42,73</w:t>
            </w:r>
          </w:p>
        </w:tc>
        <w:tc>
          <w:tcPr>
            <w:tcW w:w="991" w:type="dxa"/>
            <w:tcBorders>
              <w:top w:val="nil"/>
              <w:left w:val="nil"/>
              <w:bottom w:val="single" w:sz="4" w:space="0" w:color="auto"/>
              <w:right w:val="single" w:sz="4" w:space="0" w:color="auto"/>
            </w:tcBorders>
            <w:shd w:val="clear" w:color="000000" w:fill="FFFFFF"/>
            <w:noWrap/>
            <w:vAlign w:val="bottom"/>
            <w:hideMark/>
          </w:tcPr>
          <w:p w14:paraId="47F2CBD0" w14:textId="77777777" w:rsidR="00B56301" w:rsidRPr="002010BD" w:rsidRDefault="00B56301" w:rsidP="00B37B65">
            <w:pPr>
              <w:jc w:val="right"/>
              <w:rPr>
                <w:rFonts w:asciiTheme="minorHAnsi" w:hAnsiTheme="minorHAnsi"/>
                <w:sz w:val="16"/>
                <w:szCs w:val="14"/>
              </w:rPr>
            </w:pPr>
            <w:r w:rsidRPr="00C2292B">
              <w:rPr>
                <w:sz w:val="16"/>
                <w:szCs w:val="18"/>
              </w:rPr>
              <w:t>44,15</w:t>
            </w:r>
          </w:p>
        </w:tc>
      </w:tr>
      <w:tr w:rsidR="00B56301" w:rsidRPr="00C2292B" w14:paraId="149D7E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FCDBB7" w14:textId="6ADB01C0"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C.</w:t>
            </w:r>
            <w:r w:rsidR="00260E0B">
              <w:rPr>
                <w:rFonts w:asciiTheme="minorHAnsi" w:hAnsiTheme="minorHAnsi"/>
                <w:sz w:val="16"/>
                <w:szCs w:val="14"/>
                <w:lang w:val="en-GB"/>
              </w:rPr>
              <w:t xml:space="preserve"> </w:t>
            </w:r>
            <w:r w:rsidRPr="002010BD">
              <w:rPr>
                <w:rFonts w:asciiTheme="minorHAnsi" w:hAnsiTheme="minorHAnsi"/>
                <w:sz w:val="16"/>
                <w:szCs w:val="14"/>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2985BBEC" w14:textId="77777777" w:rsidR="00B56301" w:rsidRPr="002010BD" w:rsidRDefault="00B56301" w:rsidP="00B37B65">
            <w:pPr>
              <w:jc w:val="right"/>
              <w:rPr>
                <w:rFonts w:asciiTheme="minorHAnsi" w:hAnsiTheme="minorHAnsi"/>
                <w:sz w:val="16"/>
                <w:szCs w:val="14"/>
              </w:rPr>
            </w:pPr>
            <w:r w:rsidRPr="00C2292B">
              <w:rPr>
                <w:sz w:val="16"/>
                <w:szCs w:val="18"/>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0A87084E" w14:textId="77777777" w:rsidR="00B56301" w:rsidRPr="002010BD" w:rsidRDefault="00B56301" w:rsidP="00B37B65">
            <w:pPr>
              <w:jc w:val="right"/>
              <w:rPr>
                <w:rFonts w:asciiTheme="minorHAnsi" w:hAnsiTheme="minorHAnsi"/>
                <w:sz w:val="16"/>
                <w:szCs w:val="14"/>
              </w:rPr>
            </w:pPr>
            <w:r w:rsidRPr="00C2292B">
              <w:rPr>
                <w:sz w:val="16"/>
                <w:szCs w:val="18"/>
              </w:rPr>
              <w:t>1,18</w:t>
            </w:r>
          </w:p>
        </w:tc>
        <w:tc>
          <w:tcPr>
            <w:tcW w:w="991" w:type="dxa"/>
            <w:tcBorders>
              <w:top w:val="nil"/>
              <w:left w:val="nil"/>
              <w:bottom w:val="single" w:sz="4" w:space="0" w:color="auto"/>
              <w:right w:val="single" w:sz="4" w:space="0" w:color="auto"/>
            </w:tcBorders>
            <w:shd w:val="clear" w:color="000000" w:fill="FFFFFF"/>
            <w:noWrap/>
            <w:vAlign w:val="bottom"/>
            <w:hideMark/>
          </w:tcPr>
          <w:p w14:paraId="79565B52" w14:textId="77777777" w:rsidR="00B56301" w:rsidRPr="002010BD" w:rsidRDefault="00B56301" w:rsidP="00B37B65">
            <w:pPr>
              <w:jc w:val="right"/>
              <w:rPr>
                <w:rFonts w:asciiTheme="minorHAnsi" w:hAnsiTheme="minorHAnsi"/>
                <w:sz w:val="16"/>
                <w:szCs w:val="14"/>
              </w:rPr>
            </w:pPr>
            <w:r w:rsidRPr="00C2292B">
              <w:rPr>
                <w:sz w:val="16"/>
                <w:szCs w:val="18"/>
              </w:rPr>
              <w:t>1,23</w:t>
            </w:r>
          </w:p>
        </w:tc>
        <w:tc>
          <w:tcPr>
            <w:tcW w:w="991" w:type="dxa"/>
            <w:tcBorders>
              <w:top w:val="nil"/>
              <w:left w:val="nil"/>
              <w:bottom w:val="single" w:sz="4" w:space="0" w:color="auto"/>
              <w:right w:val="single" w:sz="4" w:space="0" w:color="auto"/>
            </w:tcBorders>
            <w:shd w:val="clear" w:color="000000" w:fill="FFFFFF"/>
            <w:noWrap/>
            <w:vAlign w:val="bottom"/>
            <w:hideMark/>
          </w:tcPr>
          <w:p w14:paraId="00FA4178" w14:textId="77777777" w:rsidR="00B56301" w:rsidRPr="002010BD" w:rsidRDefault="00B56301" w:rsidP="00B37B65">
            <w:pPr>
              <w:jc w:val="right"/>
              <w:rPr>
                <w:rFonts w:asciiTheme="minorHAnsi" w:hAnsiTheme="minorHAnsi"/>
                <w:sz w:val="16"/>
                <w:szCs w:val="14"/>
              </w:rPr>
            </w:pPr>
            <w:r w:rsidRPr="00C2292B">
              <w:rPr>
                <w:sz w:val="16"/>
                <w:szCs w:val="18"/>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1BAE42A2" w14:textId="77777777" w:rsidR="00B56301" w:rsidRPr="002010BD" w:rsidRDefault="00B56301" w:rsidP="00B37B65">
            <w:pPr>
              <w:jc w:val="right"/>
              <w:rPr>
                <w:rFonts w:asciiTheme="minorHAnsi" w:hAnsiTheme="minorHAnsi"/>
                <w:sz w:val="16"/>
                <w:szCs w:val="14"/>
              </w:rPr>
            </w:pPr>
            <w:r w:rsidRPr="00C2292B">
              <w:rPr>
                <w:sz w:val="16"/>
                <w:szCs w:val="18"/>
              </w:rPr>
              <w:t>1,27</w:t>
            </w:r>
          </w:p>
        </w:tc>
        <w:tc>
          <w:tcPr>
            <w:tcW w:w="991" w:type="dxa"/>
            <w:tcBorders>
              <w:top w:val="nil"/>
              <w:left w:val="nil"/>
              <w:bottom w:val="single" w:sz="4" w:space="0" w:color="auto"/>
              <w:right w:val="single" w:sz="4" w:space="0" w:color="auto"/>
            </w:tcBorders>
            <w:shd w:val="clear" w:color="000000" w:fill="FFFFFF"/>
            <w:noWrap/>
            <w:vAlign w:val="bottom"/>
            <w:hideMark/>
          </w:tcPr>
          <w:p w14:paraId="073EF083" w14:textId="77777777" w:rsidR="00B56301" w:rsidRPr="002010BD" w:rsidRDefault="00B56301" w:rsidP="00B37B65">
            <w:pPr>
              <w:jc w:val="right"/>
              <w:rPr>
                <w:rFonts w:asciiTheme="minorHAnsi" w:hAnsiTheme="minorHAnsi"/>
                <w:sz w:val="16"/>
                <w:szCs w:val="14"/>
              </w:rPr>
            </w:pPr>
            <w:r w:rsidRPr="00C2292B">
              <w:rPr>
                <w:sz w:val="16"/>
                <w:szCs w:val="18"/>
              </w:rPr>
              <w:t>1,37</w:t>
            </w:r>
          </w:p>
        </w:tc>
      </w:tr>
      <w:tr w:rsidR="00B56301" w:rsidRPr="00C2292B" w14:paraId="75B0AB0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028A8C" w14:textId="6EDF244C"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718A251D" w14:textId="77777777" w:rsidR="00B56301" w:rsidRPr="002010BD" w:rsidRDefault="00B56301" w:rsidP="00B37B65">
            <w:pPr>
              <w:jc w:val="right"/>
              <w:rPr>
                <w:rFonts w:asciiTheme="minorHAnsi" w:hAnsiTheme="minorHAnsi"/>
                <w:sz w:val="16"/>
                <w:szCs w:val="14"/>
              </w:rPr>
            </w:pPr>
            <w:r w:rsidRPr="00C2292B">
              <w:rPr>
                <w:sz w:val="16"/>
                <w:szCs w:val="18"/>
              </w:rPr>
              <w:t>88,21</w:t>
            </w:r>
          </w:p>
        </w:tc>
        <w:tc>
          <w:tcPr>
            <w:tcW w:w="991" w:type="dxa"/>
            <w:tcBorders>
              <w:top w:val="nil"/>
              <w:left w:val="nil"/>
              <w:bottom w:val="single" w:sz="4" w:space="0" w:color="auto"/>
              <w:right w:val="single" w:sz="4" w:space="0" w:color="auto"/>
            </w:tcBorders>
            <w:shd w:val="clear" w:color="000000" w:fill="FFFFFF"/>
            <w:noWrap/>
            <w:vAlign w:val="bottom"/>
            <w:hideMark/>
          </w:tcPr>
          <w:p w14:paraId="5BBEC2B1" w14:textId="77777777" w:rsidR="00B56301" w:rsidRPr="002010BD" w:rsidRDefault="00B56301" w:rsidP="00B37B65">
            <w:pPr>
              <w:jc w:val="right"/>
              <w:rPr>
                <w:rFonts w:asciiTheme="minorHAnsi" w:hAnsiTheme="minorHAnsi"/>
                <w:sz w:val="16"/>
                <w:szCs w:val="14"/>
              </w:rPr>
            </w:pPr>
            <w:r w:rsidRPr="00C2292B">
              <w:rPr>
                <w:sz w:val="16"/>
                <w:szCs w:val="18"/>
              </w:rPr>
              <w:t>88,98</w:t>
            </w:r>
          </w:p>
        </w:tc>
        <w:tc>
          <w:tcPr>
            <w:tcW w:w="991" w:type="dxa"/>
            <w:tcBorders>
              <w:top w:val="nil"/>
              <w:left w:val="nil"/>
              <w:bottom w:val="single" w:sz="4" w:space="0" w:color="auto"/>
              <w:right w:val="single" w:sz="4" w:space="0" w:color="auto"/>
            </w:tcBorders>
            <w:shd w:val="clear" w:color="000000" w:fill="FFFFFF"/>
            <w:noWrap/>
            <w:vAlign w:val="bottom"/>
            <w:hideMark/>
          </w:tcPr>
          <w:p w14:paraId="403FF590" w14:textId="77777777" w:rsidR="00B56301" w:rsidRPr="002010BD" w:rsidRDefault="00B56301" w:rsidP="00B37B65">
            <w:pPr>
              <w:jc w:val="right"/>
              <w:rPr>
                <w:rFonts w:asciiTheme="minorHAnsi" w:hAnsiTheme="minorHAnsi"/>
                <w:sz w:val="16"/>
                <w:szCs w:val="14"/>
              </w:rPr>
            </w:pPr>
            <w:r w:rsidRPr="00C2292B">
              <w:rPr>
                <w:sz w:val="16"/>
                <w:szCs w:val="18"/>
              </w:rPr>
              <w:t>90,04</w:t>
            </w:r>
          </w:p>
        </w:tc>
        <w:tc>
          <w:tcPr>
            <w:tcW w:w="991" w:type="dxa"/>
            <w:tcBorders>
              <w:top w:val="nil"/>
              <w:left w:val="nil"/>
              <w:bottom w:val="single" w:sz="4" w:space="0" w:color="auto"/>
              <w:right w:val="single" w:sz="4" w:space="0" w:color="auto"/>
            </w:tcBorders>
            <w:shd w:val="clear" w:color="000000" w:fill="FFFFFF"/>
            <w:noWrap/>
            <w:vAlign w:val="bottom"/>
            <w:hideMark/>
          </w:tcPr>
          <w:p w14:paraId="70BC796A" w14:textId="77777777" w:rsidR="00B56301" w:rsidRPr="002010BD" w:rsidRDefault="00B56301" w:rsidP="00B37B65">
            <w:pPr>
              <w:jc w:val="right"/>
              <w:rPr>
                <w:rFonts w:asciiTheme="minorHAnsi" w:hAnsiTheme="minorHAnsi"/>
                <w:sz w:val="16"/>
                <w:szCs w:val="14"/>
              </w:rPr>
            </w:pPr>
            <w:r w:rsidRPr="00C2292B">
              <w:rPr>
                <w:sz w:val="16"/>
                <w:szCs w:val="18"/>
              </w:rPr>
              <w:t>89,68</w:t>
            </w:r>
          </w:p>
        </w:tc>
        <w:tc>
          <w:tcPr>
            <w:tcW w:w="991" w:type="dxa"/>
            <w:tcBorders>
              <w:top w:val="nil"/>
              <w:left w:val="nil"/>
              <w:bottom w:val="single" w:sz="4" w:space="0" w:color="auto"/>
              <w:right w:val="single" w:sz="4" w:space="0" w:color="auto"/>
            </w:tcBorders>
            <w:shd w:val="clear" w:color="000000" w:fill="FFFFFF"/>
            <w:noWrap/>
            <w:vAlign w:val="bottom"/>
            <w:hideMark/>
          </w:tcPr>
          <w:p w14:paraId="098ACB20" w14:textId="77777777" w:rsidR="00B56301" w:rsidRPr="002010BD" w:rsidRDefault="00B56301" w:rsidP="00B37B65">
            <w:pPr>
              <w:jc w:val="right"/>
              <w:rPr>
                <w:rFonts w:asciiTheme="minorHAnsi" w:hAnsiTheme="minorHAnsi"/>
                <w:sz w:val="16"/>
                <w:szCs w:val="14"/>
              </w:rPr>
            </w:pPr>
            <w:r w:rsidRPr="00C2292B">
              <w:rPr>
                <w:sz w:val="16"/>
                <w:szCs w:val="18"/>
              </w:rPr>
              <w:t>90,25</w:t>
            </w:r>
          </w:p>
        </w:tc>
        <w:tc>
          <w:tcPr>
            <w:tcW w:w="991" w:type="dxa"/>
            <w:tcBorders>
              <w:top w:val="nil"/>
              <w:left w:val="nil"/>
              <w:bottom w:val="single" w:sz="4" w:space="0" w:color="auto"/>
              <w:right w:val="single" w:sz="4" w:space="0" w:color="auto"/>
            </w:tcBorders>
            <w:shd w:val="clear" w:color="000000" w:fill="FFFFFF"/>
            <w:noWrap/>
            <w:vAlign w:val="bottom"/>
            <w:hideMark/>
          </w:tcPr>
          <w:p w14:paraId="2C9F4898" w14:textId="77777777" w:rsidR="00B56301" w:rsidRPr="002010BD" w:rsidRDefault="00B56301" w:rsidP="00B37B65">
            <w:pPr>
              <w:jc w:val="right"/>
              <w:rPr>
                <w:rFonts w:asciiTheme="minorHAnsi" w:hAnsiTheme="minorHAnsi"/>
                <w:sz w:val="16"/>
                <w:szCs w:val="14"/>
              </w:rPr>
            </w:pPr>
            <w:r w:rsidRPr="00C2292B">
              <w:rPr>
                <w:sz w:val="16"/>
                <w:szCs w:val="18"/>
              </w:rPr>
              <w:t>91,74</w:t>
            </w:r>
          </w:p>
        </w:tc>
      </w:tr>
      <w:tr w:rsidR="00B56301" w:rsidRPr="00C2292B" w14:paraId="7B015D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9D69FC" w14:textId="01807A10"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2F79E92"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8B1F7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4428BD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FC9E9D"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15DBFAE"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48F5D77"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50E8AA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68CA3F" w14:textId="38D7746E"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1523DC15"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BBEDB9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3FAC7B0"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CB554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19329F6" w14:textId="77777777" w:rsidR="00B56301" w:rsidRPr="002010BD" w:rsidRDefault="00B56301" w:rsidP="00B37B65">
            <w:pPr>
              <w:jc w:val="right"/>
              <w:rPr>
                <w:rFonts w:asciiTheme="minorHAnsi" w:hAnsiTheme="minorHAnsi"/>
                <w:sz w:val="16"/>
                <w:szCs w:val="14"/>
              </w:rPr>
            </w:pPr>
            <w:r w:rsidRPr="00C2292B">
              <w:rPr>
                <w:sz w:val="16"/>
                <w:szCs w:val="18"/>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5BD7972" w14:textId="77777777" w:rsidR="00B56301" w:rsidRPr="002010BD" w:rsidRDefault="00B56301" w:rsidP="00B37B65">
            <w:pPr>
              <w:jc w:val="right"/>
              <w:rPr>
                <w:rFonts w:asciiTheme="minorHAnsi" w:hAnsiTheme="minorHAnsi"/>
                <w:sz w:val="16"/>
                <w:szCs w:val="14"/>
              </w:rPr>
            </w:pPr>
            <w:r w:rsidRPr="00C2292B">
              <w:rPr>
                <w:sz w:val="16"/>
                <w:szCs w:val="18"/>
              </w:rPr>
              <w:t>NO</w:t>
            </w:r>
          </w:p>
        </w:tc>
      </w:tr>
      <w:tr w:rsidR="00B56301" w:rsidRPr="00C2292B" w14:paraId="08C326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08F271B8" w14:textId="4359986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without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580160BB" w14:textId="77777777" w:rsidR="00B56301" w:rsidRPr="002010BD" w:rsidRDefault="00B56301" w:rsidP="00B37B65">
            <w:pPr>
              <w:jc w:val="right"/>
              <w:rPr>
                <w:rFonts w:asciiTheme="minorHAnsi" w:hAnsiTheme="minorHAnsi"/>
                <w:sz w:val="16"/>
                <w:szCs w:val="14"/>
              </w:rPr>
            </w:pPr>
            <w:r w:rsidRPr="00C2292B">
              <w:rPr>
                <w:sz w:val="16"/>
                <w:szCs w:val="18"/>
              </w:rPr>
              <w:t>2363,17</w:t>
            </w:r>
          </w:p>
        </w:tc>
        <w:tc>
          <w:tcPr>
            <w:tcW w:w="991" w:type="dxa"/>
            <w:tcBorders>
              <w:top w:val="nil"/>
              <w:left w:val="nil"/>
              <w:bottom w:val="single" w:sz="4" w:space="0" w:color="auto"/>
              <w:right w:val="single" w:sz="4" w:space="0" w:color="auto"/>
            </w:tcBorders>
            <w:shd w:val="clear" w:color="000000" w:fill="CCFFFF"/>
            <w:noWrap/>
            <w:vAlign w:val="bottom"/>
            <w:hideMark/>
          </w:tcPr>
          <w:p w14:paraId="47E8CB50" w14:textId="77777777" w:rsidR="00B56301" w:rsidRPr="002010BD" w:rsidRDefault="00B56301" w:rsidP="00B37B65">
            <w:pPr>
              <w:jc w:val="right"/>
              <w:rPr>
                <w:rFonts w:asciiTheme="minorHAnsi" w:hAnsiTheme="minorHAnsi"/>
                <w:sz w:val="16"/>
                <w:szCs w:val="14"/>
              </w:rPr>
            </w:pPr>
            <w:r w:rsidRPr="00C2292B">
              <w:rPr>
                <w:sz w:val="16"/>
                <w:szCs w:val="18"/>
              </w:rPr>
              <w:t>2351,46</w:t>
            </w:r>
          </w:p>
        </w:tc>
        <w:tc>
          <w:tcPr>
            <w:tcW w:w="991" w:type="dxa"/>
            <w:tcBorders>
              <w:top w:val="nil"/>
              <w:left w:val="nil"/>
              <w:bottom w:val="single" w:sz="4" w:space="0" w:color="auto"/>
              <w:right w:val="single" w:sz="4" w:space="0" w:color="auto"/>
            </w:tcBorders>
            <w:shd w:val="clear" w:color="000000" w:fill="CCFFFF"/>
            <w:noWrap/>
            <w:vAlign w:val="bottom"/>
            <w:hideMark/>
          </w:tcPr>
          <w:p w14:paraId="48CC8CAF" w14:textId="77777777" w:rsidR="00B56301" w:rsidRPr="002010BD" w:rsidRDefault="00B56301" w:rsidP="00B37B65">
            <w:pPr>
              <w:jc w:val="right"/>
              <w:rPr>
                <w:rFonts w:asciiTheme="minorHAnsi" w:hAnsiTheme="minorHAnsi"/>
                <w:sz w:val="16"/>
                <w:szCs w:val="14"/>
              </w:rPr>
            </w:pPr>
            <w:r w:rsidRPr="00C2292B">
              <w:rPr>
                <w:sz w:val="16"/>
                <w:szCs w:val="18"/>
              </w:rPr>
              <w:t>2314,48</w:t>
            </w:r>
          </w:p>
        </w:tc>
        <w:tc>
          <w:tcPr>
            <w:tcW w:w="991" w:type="dxa"/>
            <w:tcBorders>
              <w:top w:val="nil"/>
              <w:left w:val="nil"/>
              <w:bottom w:val="single" w:sz="4" w:space="0" w:color="auto"/>
              <w:right w:val="single" w:sz="4" w:space="0" w:color="auto"/>
            </w:tcBorders>
            <w:shd w:val="clear" w:color="000000" w:fill="CCFFFF"/>
            <w:noWrap/>
            <w:vAlign w:val="bottom"/>
            <w:hideMark/>
          </w:tcPr>
          <w:p w14:paraId="6A3E007F" w14:textId="77777777" w:rsidR="00B56301" w:rsidRPr="002010BD" w:rsidRDefault="00B56301" w:rsidP="00B37B65">
            <w:pPr>
              <w:jc w:val="right"/>
              <w:rPr>
                <w:rFonts w:asciiTheme="minorHAnsi" w:hAnsiTheme="minorHAnsi"/>
                <w:sz w:val="16"/>
                <w:szCs w:val="14"/>
              </w:rPr>
            </w:pPr>
            <w:r w:rsidRPr="00C2292B">
              <w:rPr>
                <w:sz w:val="16"/>
                <w:szCs w:val="18"/>
              </w:rPr>
              <w:t>2297,29</w:t>
            </w:r>
          </w:p>
        </w:tc>
        <w:tc>
          <w:tcPr>
            <w:tcW w:w="991" w:type="dxa"/>
            <w:tcBorders>
              <w:top w:val="nil"/>
              <w:left w:val="nil"/>
              <w:bottom w:val="single" w:sz="4" w:space="0" w:color="auto"/>
              <w:right w:val="single" w:sz="4" w:space="0" w:color="auto"/>
            </w:tcBorders>
            <w:shd w:val="clear" w:color="000000" w:fill="CCFFFF"/>
            <w:noWrap/>
            <w:vAlign w:val="bottom"/>
            <w:hideMark/>
          </w:tcPr>
          <w:p w14:paraId="67A5E9B1" w14:textId="77777777" w:rsidR="00B56301" w:rsidRPr="002010BD" w:rsidRDefault="00B56301" w:rsidP="00B37B65">
            <w:pPr>
              <w:jc w:val="right"/>
              <w:rPr>
                <w:rFonts w:asciiTheme="minorHAnsi" w:hAnsiTheme="minorHAnsi"/>
                <w:sz w:val="16"/>
                <w:szCs w:val="14"/>
              </w:rPr>
            </w:pPr>
            <w:r w:rsidRPr="00C2292B">
              <w:rPr>
                <w:sz w:val="16"/>
                <w:szCs w:val="18"/>
              </w:rPr>
              <w:t>2280,43</w:t>
            </w:r>
          </w:p>
        </w:tc>
        <w:tc>
          <w:tcPr>
            <w:tcW w:w="991" w:type="dxa"/>
            <w:tcBorders>
              <w:top w:val="nil"/>
              <w:left w:val="nil"/>
              <w:bottom w:val="single" w:sz="4" w:space="0" w:color="auto"/>
              <w:right w:val="single" w:sz="4" w:space="0" w:color="auto"/>
            </w:tcBorders>
            <w:shd w:val="clear" w:color="000000" w:fill="CCFFFF"/>
            <w:noWrap/>
            <w:vAlign w:val="bottom"/>
            <w:hideMark/>
          </w:tcPr>
          <w:p w14:paraId="6303182B" w14:textId="77777777" w:rsidR="00B56301" w:rsidRPr="002010BD" w:rsidRDefault="00B56301" w:rsidP="00B37B65">
            <w:pPr>
              <w:jc w:val="right"/>
              <w:rPr>
                <w:rFonts w:asciiTheme="minorHAnsi" w:hAnsiTheme="minorHAnsi"/>
                <w:sz w:val="16"/>
                <w:szCs w:val="14"/>
              </w:rPr>
            </w:pPr>
            <w:r w:rsidRPr="00C2292B">
              <w:rPr>
                <w:sz w:val="16"/>
                <w:szCs w:val="18"/>
              </w:rPr>
              <w:t>2249,55</w:t>
            </w:r>
          </w:p>
        </w:tc>
      </w:tr>
      <w:tr w:rsidR="00B56301" w:rsidRPr="00C2292B" w14:paraId="7D46180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B83A5E" w14:textId="5E7208EE"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 xml:space="preserve">emissions with </w:t>
            </w:r>
            <w:r w:rsidR="007F09F7" w:rsidRPr="0034391E">
              <w:rPr>
                <w:sz w:val="16"/>
                <w:szCs w:val="16"/>
                <w:lang w:val="en-GB"/>
              </w:rPr>
              <w:t>CH</w:t>
            </w:r>
            <w:r w:rsidR="007F09F7" w:rsidRPr="0034391E">
              <w:rPr>
                <w:sz w:val="16"/>
                <w:szCs w:val="16"/>
                <w:vertAlign w:val="subscript"/>
                <w:lang w:val="en-GB"/>
              </w:rPr>
              <w:t>4</w:t>
            </w:r>
            <w:r w:rsidR="00260E0B">
              <w:rPr>
                <w:sz w:val="16"/>
                <w:szCs w:val="16"/>
                <w:lang w:val="en-GB"/>
              </w:rPr>
              <w:t xml:space="preserve">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53A408CE" w14:textId="77777777" w:rsidR="00B56301" w:rsidRPr="002010BD" w:rsidRDefault="00B56301" w:rsidP="00B37B65">
            <w:pPr>
              <w:jc w:val="right"/>
              <w:rPr>
                <w:rFonts w:asciiTheme="minorHAnsi" w:hAnsiTheme="minorHAnsi"/>
                <w:sz w:val="16"/>
                <w:szCs w:val="14"/>
              </w:rPr>
            </w:pPr>
            <w:r w:rsidRPr="00C2292B">
              <w:rPr>
                <w:sz w:val="16"/>
                <w:szCs w:val="18"/>
              </w:rPr>
              <w:t>2404,54</w:t>
            </w:r>
          </w:p>
        </w:tc>
        <w:tc>
          <w:tcPr>
            <w:tcW w:w="991" w:type="dxa"/>
            <w:tcBorders>
              <w:top w:val="nil"/>
              <w:left w:val="nil"/>
              <w:bottom w:val="single" w:sz="4" w:space="0" w:color="auto"/>
              <w:right w:val="single" w:sz="4" w:space="0" w:color="auto"/>
            </w:tcBorders>
            <w:shd w:val="clear" w:color="000000" w:fill="CCFFFF"/>
            <w:noWrap/>
            <w:vAlign w:val="bottom"/>
            <w:hideMark/>
          </w:tcPr>
          <w:p w14:paraId="56F2ACD0" w14:textId="77777777" w:rsidR="00B56301" w:rsidRPr="002010BD" w:rsidRDefault="00B56301" w:rsidP="00B37B65">
            <w:pPr>
              <w:jc w:val="right"/>
              <w:rPr>
                <w:rFonts w:asciiTheme="minorHAnsi" w:hAnsiTheme="minorHAnsi"/>
                <w:sz w:val="16"/>
                <w:szCs w:val="14"/>
              </w:rPr>
            </w:pPr>
            <w:r w:rsidRPr="00C2292B">
              <w:rPr>
                <w:sz w:val="16"/>
                <w:szCs w:val="18"/>
              </w:rPr>
              <w:t>2394,57</w:t>
            </w:r>
          </w:p>
        </w:tc>
        <w:tc>
          <w:tcPr>
            <w:tcW w:w="991" w:type="dxa"/>
            <w:tcBorders>
              <w:top w:val="nil"/>
              <w:left w:val="nil"/>
              <w:bottom w:val="single" w:sz="4" w:space="0" w:color="auto"/>
              <w:right w:val="single" w:sz="4" w:space="0" w:color="auto"/>
            </w:tcBorders>
            <w:shd w:val="clear" w:color="000000" w:fill="CCFFFF"/>
            <w:noWrap/>
            <w:vAlign w:val="bottom"/>
            <w:hideMark/>
          </w:tcPr>
          <w:p w14:paraId="36DC8992" w14:textId="77777777" w:rsidR="00B56301" w:rsidRPr="002010BD" w:rsidRDefault="00B56301" w:rsidP="00B37B65">
            <w:pPr>
              <w:jc w:val="right"/>
              <w:rPr>
                <w:rFonts w:asciiTheme="minorHAnsi" w:hAnsiTheme="minorHAnsi"/>
                <w:sz w:val="16"/>
                <w:szCs w:val="14"/>
              </w:rPr>
            </w:pPr>
            <w:r w:rsidRPr="00C2292B">
              <w:rPr>
                <w:sz w:val="16"/>
                <w:szCs w:val="18"/>
              </w:rPr>
              <w:t>2357,59</w:t>
            </w:r>
          </w:p>
        </w:tc>
        <w:tc>
          <w:tcPr>
            <w:tcW w:w="991" w:type="dxa"/>
            <w:tcBorders>
              <w:top w:val="nil"/>
              <w:left w:val="nil"/>
              <w:bottom w:val="single" w:sz="4" w:space="0" w:color="auto"/>
              <w:right w:val="single" w:sz="4" w:space="0" w:color="auto"/>
            </w:tcBorders>
            <w:shd w:val="clear" w:color="000000" w:fill="CCFFFF"/>
            <w:noWrap/>
            <w:vAlign w:val="bottom"/>
            <w:hideMark/>
          </w:tcPr>
          <w:p w14:paraId="45966FFE" w14:textId="77777777" w:rsidR="00B56301" w:rsidRPr="002010BD" w:rsidRDefault="00B56301" w:rsidP="00B37B65">
            <w:pPr>
              <w:jc w:val="right"/>
              <w:rPr>
                <w:rFonts w:asciiTheme="minorHAnsi" w:hAnsiTheme="minorHAnsi"/>
                <w:sz w:val="16"/>
                <w:szCs w:val="14"/>
              </w:rPr>
            </w:pPr>
            <w:r w:rsidRPr="00C2292B">
              <w:rPr>
                <w:sz w:val="16"/>
                <w:szCs w:val="18"/>
              </w:rPr>
              <w:t>2341,30</w:t>
            </w:r>
          </w:p>
        </w:tc>
        <w:tc>
          <w:tcPr>
            <w:tcW w:w="991" w:type="dxa"/>
            <w:tcBorders>
              <w:top w:val="nil"/>
              <w:left w:val="nil"/>
              <w:bottom w:val="single" w:sz="4" w:space="0" w:color="auto"/>
              <w:right w:val="single" w:sz="4" w:space="0" w:color="auto"/>
            </w:tcBorders>
            <w:shd w:val="clear" w:color="000000" w:fill="CCFFFF"/>
            <w:noWrap/>
            <w:vAlign w:val="bottom"/>
            <w:hideMark/>
          </w:tcPr>
          <w:p w14:paraId="375347D4" w14:textId="77777777" w:rsidR="00B56301" w:rsidRPr="002010BD" w:rsidRDefault="00B56301" w:rsidP="00B37B65">
            <w:pPr>
              <w:jc w:val="right"/>
              <w:rPr>
                <w:rFonts w:asciiTheme="minorHAnsi" w:hAnsiTheme="minorHAnsi"/>
                <w:sz w:val="16"/>
                <w:szCs w:val="14"/>
              </w:rPr>
            </w:pPr>
            <w:r w:rsidRPr="00C2292B">
              <w:rPr>
                <w:sz w:val="16"/>
                <w:szCs w:val="18"/>
              </w:rPr>
              <w:t>2325,44</w:t>
            </w:r>
          </w:p>
        </w:tc>
        <w:tc>
          <w:tcPr>
            <w:tcW w:w="991" w:type="dxa"/>
            <w:tcBorders>
              <w:top w:val="nil"/>
              <w:left w:val="nil"/>
              <w:bottom w:val="single" w:sz="4" w:space="0" w:color="auto"/>
              <w:right w:val="single" w:sz="4" w:space="0" w:color="auto"/>
            </w:tcBorders>
            <w:shd w:val="clear" w:color="000000" w:fill="CCFFFF"/>
            <w:noWrap/>
            <w:vAlign w:val="bottom"/>
            <w:hideMark/>
          </w:tcPr>
          <w:p w14:paraId="10F760B7" w14:textId="77777777" w:rsidR="00B56301" w:rsidRPr="002010BD" w:rsidRDefault="00B56301" w:rsidP="00B37B65">
            <w:pPr>
              <w:jc w:val="right"/>
              <w:rPr>
                <w:rFonts w:asciiTheme="minorHAnsi" w:hAnsiTheme="minorHAnsi"/>
                <w:sz w:val="16"/>
                <w:szCs w:val="14"/>
              </w:rPr>
            </w:pPr>
            <w:r w:rsidRPr="00C2292B">
              <w:rPr>
                <w:sz w:val="16"/>
                <w:szCs w:val="18"/>
              </w:rPr>
              <w:t>2294,16</w:t>
            </w:r>
          </w:p>
        </w:tc>
      </w:tr>
      <w:tr w:rsidR="00B56301" w:rsidRPr="00C2292B" w14:paraId="75C55AC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513E22B"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p>
        </w:tc>
        <w:tc>
          <w:tcPr>
            <w:tcW w:w="991" w:type="dxa"/>
            <w:tcBorders>
              <w:top w:val="nil"/>
              <w:left w:val="nil"/>
              <w:bottom w:val="single" w:sz="4" w:space="0" w:color="auto"/>
              <w:right w:val="single" w:sz="4" w:space="0" w:color="auto"/>
            </w:tcBorders>
            <w:shd w:val="clear" w:color="000000" w:fill="969696"/>
            <w:noWrap/>
            <w:vAlign w:val="bottom"/>
            <w:hideMark/>
          </w:tcPr>
          <w:p w14:paraId="66D82C3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25145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8A500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2E0BF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8EE01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38DEBA"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03ADB6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F37D8D6"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0C865619" w14:textId="77777777" w:rsidR="00B56301" w:rsidRPr="002010BD" w:rsidRDefault="00B56301" w:rsidP="00B37B65">
            <w:pPr>
              <w:jc w:val="right"/>
              <w:rPr>
                <w:rFonts w:asciiTheme="minorHAnsi" w:hAnsiTheme="minorHAnsi"/>
                <w:sz w:val="16"/>
                <w:szCs w:val="14"/>
              </w:rPr>
            </w:pPr>
            <w:r w:rsidRPr="00C2292B">
              <w:rPr>
                <w:sz w:val="16"/>
                <w:szCs w:val="18"/>
              </w:rPr>
              <w:t>0,77</w:t>
            </w:r>
          </w:p>
        </w:tc>
        <w:tc>
          <w:tcPr>
            <w:tcW w:w="991" w:type="dxa"/>
            <w:tcBorders>
              <w:top w:val="nil"/>
              <w:left w:val="nil"/>
              <w:bottom w:val="single" w:sz="4" w:space="0" w:color="auto"/>
              <w:right w:val="single" w:sz="4" w:space="0" w:color="auto"/>
            </w:tcBorders>
            <w:shd w:val="clear" w:color="000000" w:fill="CCFFFF"/>
            <w:noWrap/>
            <w:vAlign w:val="bottom"/>
            <w:hideMark/>
          </w:tcPr>
          <w:p w14:paraId="18A1B415" w14:textId="77777777" w:rsidR="00B56301" w:rsidRPr="002010BD" w:rsidRDefault="00B56301" w:rsidP="00B37B65">
            <w:pPr>
              <w:jc w:val="right"/>
              <w:rPr>
                <w:rFonts w:asciiTheme="minorHAnsi" w:hAnsiTheme="minorHAnsi"/>
                <w:sz w:val="16"/>
                <w:szCs w:val="14"/>
              </w:rPr>
            </w:pPr>
            <w:r w:rsidRPr="00C2292B">
              <w:rPr>
                <w:sz w:val="16"/>
                <w:szCs w:val="18"/>
              </w:rPr>
              <w:t>0,66</w:t>
            </w:r>
          </w:p>
        </w:tc>
        <w:tc>
          <w:tcPr>
            <w:tcW w:w="991" w:type="dxa"/>
            <w:tcBorders>
              <w:top w:val="nil"/>
              <w:left w:val="nil"/>
              <w:bottom w:val="single" w:sz="4" w:space="0" w:color="auto"/>
              <w:right w:val="single" w:sz="4" w:space="0" w:color="auto"/>
            </w:tcBorders>
            <w:shd w:val="clear" w:color="000000" w:fill="CCFFFF"/>
            <w:noWrap/>
            <w:vAlign w:val="bottom"/>
            <w:hideMark/>
          </w:tcPr>
          <w:p w14:paraId="0E86498C" w14:textId="77777777" w:rsidR="00B56301" w:rsidRPr="002010BD" w:rsidRDefault="00B56301" w:rsidP="00B37B65">
            <w:pPr>
              <w:jc w:val="right"/>
              <w:rPr>
                <w:rFonts w:asciiTheme="minorHAnsi" w:hAnsiTheme="minorHAnsi"/>
                <w:sz w:val="16"/>
                <w:szCs w:val="14"/>
              </w:rPr>
            </w:pPr>
            <w:r w:rsidRPr="00C2292B">
              <w:rPr>
                <w:sz w:val="16"/>
                <w:szCs w:val="18"/>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50C03103" w14:textId="77777777" w:rsidR="00B56301" w:rsidRPr="002010BD" w:rsidRDefault="00B56301" w:rsidP="00B37B65">
            <w:pPr>
              <w:jc w:val="right"/>
              <w:rPr>
                <w:rFonts w:asciiTheme="minorHAnsi" w:hAnsiTheme="minorHAnsi"/>
                <w:sz w:val="16"/>
                <w:szCs w:val="14"/>
              </w:rPr>
            </w:pPr>
            <w:r w:rsidRPr="00C2292B">
              <w:rPr>
                <w:sz w:val="16"/>
                <w:szCs w:val="18"/>
              </w:rPr>
              <w:t>0,57</w:t>
            </w:r>
          </w:p>
        </w:tc>
        <w:tc>
          <w:tcPr>
            <w:tcW w:w="991" w:type="dxa"/>
            <w:tcBorders>
              <w:top w:val="nil"/>
              <w:left w:val="nil"/>
              <w:bottom w:val="single" w:sz="4" w:space="0" w:color="auto"/>
              <w:right w:val="single" w:sz="4" w:space="0" w:color="auto"/>
            </w:tcBorders>
            <w:shd w:val="clear" w:color="000000" w:fill="CCFFFF"/>
            <w:noWrap/>
            <w:vAlign w:val="bottom"/>
            <w:hideMark/>
          </w:tcPr>
          <w:p w14:paraId="78251FEC" w14:textId="77777777" w:rsidR="00B56301" w:rsidRPr="002010BD" w:rsidRDefault="00B56301" w:rsidP="00B37B65">
            <w:pPr>
              <w:jc w:val="right"/>
              <w:rPr>
                <w:rFonts w:asciiTheme="minorHAnsi" w:hAnsiTheme="minorHAnsi"/>
                <w:sz w:val="16"/>
                <w:szCs w:val="14"/>
              </w:rPr>
            </w:pPr>
            <w:r w:rsidRPr="00C2292B">
              <w:rPr>
                <w:sz w:val="16"/>
                <w:szCs w:val="18"/>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434686C9" w14:textId="77777777" w:rsidR="00B56301" w:rsidRPr="002010BD" w:rsidRDefault="00B56301" w:rsidP="00B37B65">
            <w:pPr>
              <w:jc w:val="right"/>
              <w:rPr>
                <w:rFonts w:asciiTheme="minorHAnsi" w:hAnsiTheme="minorHAnsi"/>
                <w:sz w:val="16"/>
                <w:szCs w:val="14"/>
              </w:rPr>
            </w:pPr>
            <w:r w:rsidRPr="00C2292B">
              <w:rPr>
                <w:sz w:val="16"/>
                <w:szCs w:val="18"/>
              </w:rPr>
              <w:t>0,67</w:t>
            </w:r>
          </w:p>
        </w:tc>
      </w:tr>
      <w:tr w:rsidR="00B56301" w:rsidRPr="00C2292B" w14:paraId="538D73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317D36"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179D5D4E"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B114744"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30E7AB95" w14:textId="77777777" w:rsidR="00B56301" w:rsidRPr="002010BD" w:rsidRDefault="00B56301" w:rsidP="00B37B65">
            <w:pPr>
              <w:jc w:val="right"/>
              <w:rPr>
                <w:rFonts w:asciiTheme="minorHAnsi" w:hAnsiTheme="minorHAnsi"/>
                <w:sz w:val="16"/>
                <w:szCs w:val="14"/>
              </w:rPr>
            </w:pPr>
            <w:r w:rsidRPr="00C2292B">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42AE4F97"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430333D" w14:textId="77777777" w:rsidR="00B56301" w:rsidRPr="002010BD" w:rsidRDefault="00B56301" w:rsidP="00B37B65">
            <w:pPr>
              <w:jc w:val="right"/>
              <w:rPr>
                <w:rFonts w:asciiTheme="minorHAnsi" w:hAnsiTheme="minorHAnsi"/>
                <w:sz w:val="16"/>
                <w:szCs w:val="14"/>
              </w:rPr>
            </w:pPr>
            <w:r w:rsidRPr="00C2292B">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382A8DC4" w14:textId="77777777" w:rsidR="00B56301" w:rsidRPr="002010BD" w:rsidRDefault="00B56301" w:rsidP="00B37B65">
            <w:pPr>
              <w:jc w:val="right"/>
              <w:rPr>
                <w:rFonts w:asciiTheme="minorHAnsi" w:hAnsiTheme="minorHAnsi"/>
                <w:sz w:val="16"/>
                <w:szCs w:val="14"/>
              </w:rPr>
            </w:pPr>
            <w:r w:rsidRPr="00C2292B">
              <w:rPr>
                <w:sz w:val="16"/>
                <w:szCs w:val="18"/>
              </w:rPr>
              <w:t>0,06</w:t>
            </w:r>
          </w:p>
        </w:tc>
      </w:tr>
      <w:tr w:rsidR="00B56301" w:rsidRPr="00C2292B" w14:paraId="7CB9BBF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4965F14"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47CA7C53" w14:textId="77777777" w:rsidR="00B56301" w:rsidRPr="002010BD" w:rsidRDefault="00B56301" w:rsidP="00B37B65">
            <w:pPr>
              <w:jc w:val="right"/>
              <w:rPr>
                <w:rFonts w:asciiTheme="minorHAnsi" w:hAnsiTheme="minorHAnsi"/>
                <w:sz w:val="16"/>
                <w:szCs w:val="14"/>
              </w:rPr>
            </w:pPr>
            <w:r w:rsidRPr="00C2292B">
              <w:rPr>
                <w:sz w:val="16"/>
                <w:szCs w:val="18"/>
              </w:rPr>
              <w:t>0,70</w:t>
            </w:r>
          </w:p>
        </w:tc>
        <w:tc>
          <w:tcPr>
            <w:tcW w:w="991" w:type="dxa"/>
            <w:tcBorders>
              <w:top w:val="nil"/>
              <w:left w:val="nil"/>
              <w:bottom w:val="single" w:sz="4" w:space="0" w:color="auto"/>
              <w:right w:val="single" w:sz="4" w:space="0" w:color="auto"/>
            </w:tcBorders>
            <w:shd w:val="clear" w:color="000000" w:fill="FFFFFF"/>
            <w:noWrap/>
            <w:vAlign w:val="bottom"/>
            <w:hideMark/>
          </w:tcPr>
          <w:p w14:paraId="3E1051F2" w14:textId="77777777" w:rsidR="00B56301" w:rsidRPr="002010BD" w:rsidRDefault="00B56301" w:rsidP="00B37B65">
            <w:pPr>
              <w:jc w:val="right"/>
              <w:rPr>
                <w:rFonts w:asciiTheme="minorHAnsi" w:hAnsiTheme="minorHAnsi"/>
                <w:sz w:val="16"/>
                <w:szCs w:val="14"/>
              </w:rPr>
            </w:pPr>
            <w:r w:rsidRPr="00C2292B">
              <w:rPr>
                <w:sz w:val="16"/>
                <w:szCs w:val="18"/>
              </w:rPr>
              <w:t>0,60</w:t>
            </w:r>
          </w:p>
        </w:tc>
        <w:tc>
          <w:tcPr>
            <w:tcW w:w="991" w:type="dxa"/>
            <w:tcBorders>
              <w:top w:val="nil"/>
              <w:left w:val="nil"/>
              <w:bottom w:val="single" w:sz="4" w:space="0" w:color="auto"/>
              <w:right w:val="single" w:sz="4" w:space="0" w:color="auto"/>
            </w:tcBorders>
            <w:shd w:val="clear" w:color="000000" w:fill="FFFFFF"/>
            <w:noWrap/>
            <w:vAlign w:val="bottom"/>
            <w:hideMark/>
          </w:tcPr>
          <w:p w14:paraId="132489EF" w14:textId="77777777" w:rsidR="00B56301" w:rsidRPr="002010BD" w:rsidRDefault="00B56301" w:rsidP="00B37B65">
            <w:pPr>
              <w:jc w:val="right"/>
              <w:rPr>
                <w:rFonts w:asciiTheme="minorHAnsi" w:hAnsiTheme="minorHAnsi"/>
                <w:sz w:val="16"/>
                <w:szCs w:val="14"/>
              </w:rPr>
            </w:pPr>
            <w:r w:rsidRPr="00C2292B">
              <w:rPr>
                <w:sz w:val="16"/>
                <w:szCs w:val="18"/>
              </w:rPr>
              <w:t>0,53</w:t>
            </w:r>
          </w:p>
        </w:tc>
        <w:tc>
          <w:tcPr>
            <w:tcW w:w="991" w:type="dxa"/>
            <w:tcBorders>
              <w:top w:val="nil"/>
              <w:left w:val="nil"/>
              <w:bottom w:val="single" w:sz="4" w:space="0" w:color="auto"/>
              <w:right w:val="single" w:sz="4" w:space="0" w:color="auto"/>
            </w:tcBorders>
            <w:shd w:val="clear" w:color="000000" w:fill="FFFFFF"/>
            <w:noWrap/>
            <w:vAlign w:val="bottom"/>
            <w:hideMark/>
          </w:tcPr>
          <w:p w14:paraId="7BCC4134" w14:textId="77777777" w:rsidR="00B56301" w:rsidRPr="002010BD" w:rsidRDefault="00B56301" w:rsidP="00B37B65">
            <w:pPr>
              <w:jc w:val="right"/>
              <w:rPr>
                <w:rFonts w:asciiTheme="minorHAnsi" w:hAnsiTheme="minorHAnsi"/>
                <w:sz w:val="16"/>
                <w:szCs w:val="14"/>
              </w:rPr>
            </w:pPr>
            <w:r w:rsidRPr="00C2292B">
              <w:rPr>
                <w:sz w:val="16"/>
                <w:szCs w:val="18"/>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65EE6E9C" w14:textId="77777777" w:rsidR="00B56301" w:rsidRPr="002010BD" w:rsidRDefault="00B56301" w:rsidP="00B37B65">
            <w:pPr>
              <w:jc w:val="right"/>
              <w:rPr>
                <w:rFonts w:asciiTheme="minorHAnsi" w:hAnsiTheme="minorHAnsi"/>
                <w:sz w:val="16"/>
                <w:szCs w:val="14"/>
              </w:rPr>
            </w:pPr>
            <w:r w:rsidRPr="00C2292B">
              <w:rPr>
                <w:sz w:val="16"/>
                <w:szCs w:val="18"/>
              </w:rPr>
              <w:t>0,54</w:t>
            </w:r>
          </w:p>
        </w:tc>
        <w:tc>
          <w:tcPr>
            <w:tcW w:w="991" w:type="dxa"/>
            <w:tcBorders>
              <w:top w:val="nil"/>
              <w:left w:val="nil"/>
              <w:bottom w:val="single" w:sz="4" w:space="0" w:color="auto"/>
              <w:right w:val="single" w:sz="4" w:space="0" w:color="auto"/>
            </w:tcBorders>
            <w:shd w:val="clear" w:color="000000" w:fill="FFFFFF"/>
            <w:noWrap/>
            <w:vAlign w:val="bottom"/>
            <w:hideMark/>
          </w:tcPr>
          <w:p w14:paraId="0716474B" w14:textId="77777777" w:rsidR="00B56301" w:rsidRPr="002010BD" w:rsidRDefault="00B56301" w:rsidP="00B37B65">
            <w:pPr>
              <w:jc w:val="right"/>
              <w:rPr>
                <w:rFonts w:asciiTheme="minorHAnsi" w:hAnsiTheme="minorHAnsi"/>
                <w:sz w:val="16"/>
                <w:szCs w:val="14"/>
              </w:rPr>
            </w:pPr>
            <w:r w:rsidRPr="00C2292B">
              <w:rPr>
                <w:sz w:val="16"/>
                <w:szCs w:val="18"/>
              </w:rPr>
              <w:t>0,60</w:t>
            </w:r>
          </w:p>
        </w:tc>
      </w:tr>
      <w:tr w:rsidR="00B56301" w:rsidRPr="00C2292B" w14:paraId="4C20A0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C6C197D"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A1AC3E0"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FD93EC4"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C49CF9A"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6AE1E17"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0C51559" w14:textId="77777777" w:rsidR="00B56301" w:rsidRPr="002010BD" w:rsidRDefault="00B56301" w:rsidP="00B37B65">
            <w:pPr>
              <w:jc w:val="right"/>
              <w:rPr>
                <w:rFonts w:asciiTheme="minorHAnsi" w:hAnsiTheme="minorHAnsi"/>
                <w:sz w:val="16"/>
                <w:szCs w:val="14"/>
              </w:rPr>
            </w:pPr>
            <w:r w:rsidRPr="00C2292B">
              <w:rPr>
                <w:sz w:val="16"/>
                <w:szCs w:val="18"/>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3D0CBA1" w14:textId="77777777" w:rsidR="00B56301" w:rsidRPr="002010BD" w:rsidRDefault="00B56301" w:rsidP="00B37B65">
            <w:pPr>
              <w:jc w:val="right"/>
              <w:rPr>
                <w:rFonts w:asciiTheme="minorHAnsi" w:hAnsiTheme="minorHAnsi"/>
                <w:sz w:val="16"/>
                <w:szCs w:val="14"/>
              </w:rPr>
            </w:pPr>
            <w:r w:rsidRPr="00C2292B">
              <w:rPr>
                <w:sz w:val="16"/>
                <w:szCs w:val="18"/>
              </w:rPr>
              <w:t>NE</w:t>
            </w:r>
          </w:p>
        </w:tc>
      </w:tr>
      <w:tr w:rsidR="00B56301" w:rsidRPr="00C2292B" w14:paraId="11EAC5B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AFA884" w14:textId="3F9789CF"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FE08274"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F9865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A293A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07AA1C"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15EDC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4FE401"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13BE01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6B0D985" w14:textId="7F2CFF5A"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7995B8C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DF897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AA1B0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DB082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D46D4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70FD9C"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833C38" w14:paraId="27E8080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54C496"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7E06990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29F9DC"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B63560D"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E8DE20"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E74AE"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EEDED9" w14:textId="77777777" w:rsidR="00B56301" w:rsidRPr="002010BD" w:rsidRDefault="00B56301" w:rsidP="00B37B65">
            <w:pPr>
              <w:jc w:val="right"/>
              <w:rPr>
                <w:rFonts w:asciiTheme="minorHAnsi" w:hAnsiTheme="minorHAnsi"/>
                <w:sz w:val="16"/>
                <w:szCs w:val="14"/>
                <w:lang w:val="en-GB"/>
              </w:rPr>
            </w:pPr>
            <w:r w:rsidRPr="00C2292B">
              <w:rPr>
                <w:sz w:val="16"/>
                <w:szCs w:val="18"/>
                <w:lang w:val="en-GB"/>
              </w:rPr>
              <w:t> </w:t>
            </w:r>
          </w:p>
        </w:tc>
      </w:tr>
      <w:tr w:rsidR="00B56301" w:rsidRPr="00C2292B" w14:paraId="070739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B896657" w14:textId="7339DC70"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nil"/>
              <w:bottom w:val="single" w:sz="4" w:space="0" w:color="auto"/>
              <w:right w:val="single" w:sz="4" w:space="0" w:color="auto"/>
            </w:tcBorders>
            <w:shd w:val="clear" w:color="000000" w:fill="969696"/>
            <w:noWrap/>
            <w:vAlign w:val="bottom"/>
            <w:hideMark/>
          </w:tcPr>
          <w:p w14:paraId="3127D100"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89CC15"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4672EB9"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785B07"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4903FE"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2B090E" w14:textId="77777777" w:rsidR="00B56301" w:rsidRPr="002010BD" w:rsidRDefault="00B56301" w:rsidP="00B37B65">
            <w:pPr>
              <w:jc w:val="right"/>
              <w:rPr>
                <w:rFonts w:asciiTheme="minorHAnsi" w:hAnsiTheme="minorHAnsi"/>
                <w:sz w:val="16"/>
                <w:szCs w:val="14"/>
              </w:rPr>
            </w:pPr>
            <w:r w:rsidRPr="00C2292B">
              <w:rPr>
                <w:sz w:val="16"/>
                <w:szCs w:val="18"/>
              </w:rPr>
              <w:t> </w:t>
            </w:r>
          </w:p>
        </w:tc>
      </w:tr>
      <w:tr w:rsidR="00B56301" w:rsidRPr="00C2292B" w14:paraId="030F2C2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35AE0E" w14:textId="3504555B"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5631EAA"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9C0F7D"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0AFCEF"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964473"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CCD1B6" w14:textId="77777777" w:rsidR="00B56301" w:rsidRPr="002010BD" w:rsidRDefault="00B56301" w:rsidP="00B37B65">
            <w:pPr>
              <w:jc w:val="right"/>
              <w:rPr>
                <w:rFonts w:asciiTheme="minorHAnsi" w:hAnsiTheme="minorHAnsi"/>
                <w:sz w:val="16"/>
                <w:szCs w:val="14"/>
              </w:rPr>
            </w:pPr>
            <w:r w:rsidRPr="00C2292B">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95F61B" w14:textId="77777777" w:rsidR="00B56301" w:rsidRPr="002010BD" w:rsidRDefault="00B56301" w:rsidP="00B37B65">
            <w:pPr>
              <w:jc w:val="right"/>
              <w:rPr>
                <w:rFonts w:asciiTheme="minorHAnsi" w:hAnsiTheme="minorHAnsi"/>
                <w:sz w:val="16"/>
                <w:szCs w:val="14"/>
              </w:rPr>
            </w:pPr>
            <w:r w:rsidRPr="00C2292B">
              <w:rPr>
                <w:sz w:val="16"/>
                <w:szCs w:val="18"/>
              </w:rPr>
              <w:t> </w:t>
            </w:r>
          </w:p>
        </w:tc>
      </w:tr>
    </w:tbl>
    <w:p w14:paraId="781C7195" w14:textId="77777777" w:rsidR="00B56301" w:rsidRDefault="00B56301" w:rsidP="00B56301">
      <w:pPr>
        <w:ind w:right="27"/>
        <w:rPr>
          <w:rFonts w:cs="Arial"/>
          <w:sz w:val="24"/>
        </w:rPr>
      </w:pPr>
    </w:p>
    <w:p w14:paraId="763E568A" w14:textId="77777777" w:rsidR="00B56301" w:rsidRDefault="00B56301" w:rsidP="00B56301">
      <w:pPr>
        <w:spacing w:line="240" w:lineRule="atLeast"/>
        <w:jc w:val="left"/>
        <w:rPr>
          <w:rFonts w:cs="Arial"/>
          <w:sz w:val="24"/>
        </w:rPr>
      </w:pPr>
      <w:r>
        <w:rPr>
          <w:rFonts w:cs="Arial"/>
          <w:sz w:val="24"/>
        </w:rPr>
        <w:br w:type="page"/>
      </w:r>
    </w:p>
    <w:tbl>
      <w:tblPr>
        <w:tblW w:w="6774" w:type="dxa"/>
        <w:jc w:val="center"/>
        <w:tblLayout w:type="fixed"/>
        <w:tblCellMar>
          <w:left w:w="70" w:type="dxa"/>
          <w:right w:w="70" w:type="dxa"/>
        </w:tblCellMar>
        <w:tblLook w:val="04A0" w:firstRow="1" w:lastRow="0" w:firstColumn="1" w:lastColumn="0" w:noHBand="0" w:noVBand="1"/>
      </w:tblPr>
      <w:tblGrid>
        <w:gridCol w:w="3166"/>
        <w:gridCol w:w="961"/>
        <w:gridCol w:w="961"/>
        <w:gridCol w:w="1686"/>
      </w:tblGrid>
      <w:tr w:rsidR="00B56301" w:rsidRPr="00833C38" w14:paraId="1E0570BB" w14:textId="77777777" w:rsidTr="00B37B65">
        <w:trPr>
          <w:trHeight w:val="68"/>
          <w:jc w:val="center"/>
        </w:trPr>
        <w:tc>
          <w:tcPr>
            <w:tcW w:w="3283"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08AF52D"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DECA1BA" w14:textId="77777777" w:rsidR="00B56301" w:rsidRPr="002010BD" w:rsidRDefault="00B56301" w:rsidP="00B37B65">
            <w:pPr>
              <w:jc w:val="center"/>
              <w:rPr>
                <w:rFonts w:asciiTheme="minorHAnsi" w:hAnsiTheme="minorHAnsi"/>
                <w:b/>
                <w:bCs/>
                <w:sz w:val="16"/>
                <w:szCs w:val="14"/>
              </w:rPr>
            </w:pPr>
            <w:r>
              <w:rPr>
                <w:b/>
                <w:bCs/>
                <w:sz w:val="18"/>
                <w:szCs w:val="18"/>
              </w:rPr>
              <w:t>2019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05495D" w14:textId="77777777" w:rsidR="00B56301" w:rsidRPr="002010BD" w:rsidRDefault="00B56301" w:rsidP="00B37B65">
            <w:pPr>
              <w:jc w:val="center"/>
              <w:rPr>
                <w:rFonts w:asciiTheme="minorHAnsi" w:hAnsiTheme="minorHAnsi"/>
                <w:b/>
                <w:bCs/>
                <w:sz w:val="16"/>
                <w:szCs w:val="14"/>
              </w:rPr>
            </w:pPr>
            <w:r>
              <w:rPr>
                <w:b/>
                <w:bCs/>
                <w:sz w:val="18"/>
                <w:szCs w:val="18"/>
              </w:rPr>
              <w:t>2020</w:t>
            </w:r>
          </w:p>
        </w:tc>
        <w:tc>
          <w:tcPr>
            <w:tcW w:w="1745" w:type="dxa"/>
            <w:tcBorders>
              <w:top w:val="single" w:sz="4" w:space="0" w:color="auto"/>
              <w:left w:val="nil"/>
              <w:bottom w:val="single" w:sz="4" w:space="0" w:color="auto"/>
              <w:right w:val="single" w:sz="4" w:space="0" w:color="auto"/>
            </w:tcBorders>
            <w:shd w:val="clear" w:color="000000" w:fill="CCFFFF"/>
            <w:noWrap/>
            <w:vAlign w:val="center"/>
            <w:hideMark/>
          </w:tcPr>
          <w:p w14:paraId="37DC6B19" w14:textId="77777777" w:rsidR="00B56301" w:rsidRPr="002010BD" w:rsidRDefault="00B56301" w:rsidP="00B37B65">
            <w:pPr>
              <w:jc w:val="center"/>
              <w:rPr>
                <w:rFonts w:asciiTheme="minorHAnsi" w:hAnsiTheme="minorHAnsi"/>
                <w:b/>
                <w:bCs/>
                <w:sz w:val="16"/>
                <w:szCs w:val="14"/>
                <w:lang w:val="en-GB"/>
              </w:rPr>
            </w:pPr>
            <w:r w:rsidRPr="00DE10D2">
              <w:rPr>
                <w:b/>
                <w:bCs/>
                <w:sz w:val="18"/>
                <w:szCs w:val="18"/>
                <w:lang w:val="en-GB"/>
              </w:rPr>
              <w:t>Change from base to latest reported year</w:t>
            </w:r>
            <w:r>
              <w:rPr>
                <w:b/>
                <w:bCs/>
                <w:sz w:val="18"/>
                <w:szCs w:val="18"/>
                <w:lang w:val="en-GB"/>
              </w:rPr>
              <w:t xml:space="preserve"> (%)</w:t>
            </w:r>
          </w:p>
        </w:tc>
      </w:tr>
      <w:tr w:rsidR="00B56301" w:rsidRPr="00C2292B" w14:paraId="748C337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1C276D2"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1. Energy</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2C553BAB" w14:textId="77777777" w:rsidR="00B56301" w:rsidRPr="002010BD" w:rsidRDefault="00B56301" w:rsidP="00B37B65">
            <w:pPr>
              <w:jc w:val="right"/>
              <w:rPr>
                <w:rFonts w:asciiTheme="minorHAnsi" w:hAnsiTheme="minorHAnsi"/>
                <w:sz w:val="16"/>
                <w:szCs w:val="14"/>
              </w:rPr>
            </w:pPr>
            <w:r w:rsidRPr="00DE10D2">
              <w:rPr>
                <w:sz w:val="16"/>
                <w:szCs w:val="18"/>
              </w:rPr>
              <w:t>95,92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CDEDFBE" w14:textId="77777777" w:rsidR="00B56301" w:rsidRPr="002010BD" w:rsidRDefault="00B56301" w:rsidP="00B37B65">
            <w:pPr>
              <w:jc w:val="right"/>
              <w:rPr>
                <w:rFonts w:asciiTheme="minorHAnsi" w:hAnsiTheme="minorHAnsi"/>
                <w:sz w:val="16"/>
                <w:szCs w:val="14"/>
              </w:rPr>
            </w:pPr>
            <w:r w:rsidRPr="00DE10D2">
              <w:rPr>
                <w:sz w:val="16"/>
                <w:szCs w:val="18"/>
              </w:rPr>
              <w:t>85,10</w:t>
            </w:r>
          </w:p>
        </w:tc>
        <w:tc>
          <w:tcPr>
            <w:tcW w:w="1745" w:type="dxa"/>
            <w:tcBorders>
              <w:top w:val="single" w:sz="4" w:space="0" w:color="auto"/>
              <w:left w:val="nil"/>
              <w:bottom w:val="single" w:sz="4" w:space="0" w:color="auto"/>
              <w:right w:val="single" w:sz="4" w:space="0" w:color="auto"/>
            </w:tcBorders>
            <w:shd w:val="clear" w:color="000000" w:fill="CCFFFF"/>
            <w:noWrap/>
            <w:vAlign w:val="bottom"/>
            <w:hideMark/>
          </w:tcPr>
          <w:p w14:paraId="6D3A66F2" w14:textId="77777777" w:rsidR="00B56301" w:rsidRPr="002010BD" w:rsidRDefault="00B56301" w:rsidP="00B37B65">
            <w:pPr>
              <w:jc w:val="right"/>
              <w:rPr>
                <w:rFonts w:asciiTheme="minorHAnsi" w:hAnsiTheme="minorHAnsi"/>
                <w:sz w:val="16"/>
                <w:szCs w:val="14"/>
              </w:rPr>
            </w:pPr>
            <w:r w:rsidRPr="00DE10D2">
              <w:rPr>
                <w:sz w:val="16"/>
                <w:szCs w:val="18"/>
              </w:rPr>
              <w:t>-82,85</w:t>
            </w:r>
          </w:p>
        </w:tc>
      </w:tr>
      <w:tr w:rsidR="00B56301" w:rsidRPr="00C2292B" w14:paraId="23231D10" w14:textId="77777777" w:rsidTr="00B37B65">
        <w:trPr>
          <w:trHeight w:val="68"/>
          <w:jc w:val="center"/>
        </w:trPr>
        <w:tc>
          <w:tcPr>
            <w:tcW w:w="328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19F6F9D" w14:textId="77777777"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A. Fuel combustion (sectoral approach)</w:t>
            </w:r>
          </w:p>
        </w:tc>
        <w:tc>
          <w:tcPr>
            <w:tcW w:w="992" w:type="dxa"/>
            <w:tcBorders>
              <w:top w:val="nil"/>
              <w:left w:val="nil"/>
              <w:bottom w:val="single" w:sz="4" w:space="0" w:color="auto"/>
              <w:right w:val="single" w:sz="4" w:space="0" w:color="auto"/>
            </w:tcBorders>
            <w:shd w:val="clear" w:color="000000" w:fill="CCFFFF"/>
            <w:noWrap/>
            <w:vAlign w:val="bottom"/>
            <w:hideMark/>
          </w:tcPr>
          <w:p w14:paraId="1C89BEF7" w14:textId="77777777" w:rsidR="00B56301" w:rsidRPr="002010BD" w:rsidRDefault="00B56301" w:rsidP="00B37B65">
            <w:pPr>
              <w:jc w:val="right"/>
              <w:rPr>
                <w:rFonts w:asciiTheme="minorHAnsi" w:hAnsiTheme="minorHAnsi"/>
                <w:sz w:val="16"/>
                <w:szCs w:val="14"/>
              </w:rPr>
            </w:pPr>
            <w:r w:rsidRPr="00DE10D2">
              <w:rPr>
                <w:sz w:val="16"/>
                <w:szCs w:val="18"/>
              </w:rPr>
              <w:t>55,61</w:t>
            </w:r>
          </w:p>
        </w:tc>
        <w:tc>
          <w:tcPr>
            <w:tcW w:w="992" w:type="dxa"/>
            <w:tcBorders>
              <w:top w:val="nil"/>
              <w:left w:val="nil"/>
              <w:bottom w:val="single" w:sz="4" w:space="0" w:color="auto"/>
              <w:right w:val="single" w:sz="4" w:space="0" w:color="auto"/>
            </w:tcBorders>
            <w:shd w:val="clear" w:color="000000" w:fill="CCFFFF"/>
            <w:noWrap/>
            <w:vAlign w:val="bottom"/>
            <w:hideMark/>
          </w:tcPr>
          <w:p w14:paraId="6B6FD6E7" w14:textId="77777777" w:rsidR="00B56301" w:rsidRPr="002010BD" w:rsidRDefault="00B56301" w:rsidP="00B37B65">
            <w:pPr>
              <w:jc w:val="right"/>
              <w:rPr>
                <w:rFonts w:asciiTheme="minorHAnsi" w:hAnsiTheme="minorHAnsi"/>
                <w:sz w:val="16"/>
                <w:szCs w:val="14"/>
              </w:rPr>
            </w:pPr>
            <w:r w:rsidRPr="00DE10D2">
              <w:rPr>
                <w:sz w:val="16"/>
                <w:szCs w:val="18"/>
              </w:rPr>
              <w:t>51,05</w:t>
            </w:r>
          </w:p>
        </w:tc>
        <w:tc>
          <w:tcPr>
            <w:tcW w:w="1745" w:type="dxa"/>
            <w:tcBorders>
              <w:top w:val="nil"/>
              <w:left w:val="nil"/>
              <w:bottom w:val="single" w:sz="4" w:space="0" w:color="auto"/>
              <w:right w:val="single" w:sz="4" w:space="0" w:color="auto"/>
            </w:tcBorders>
            <w:shd w:val="clear" w:color="000000" w:fill="CCFFFF"/>
            <w:noWrap/>
            <w:vAlign w:val="bottom"/>
            <w:hideMark/>
          </w:tcPr>
          <w:p w14:paraId="3C945F91" w14:textId="77777777" w:rsidR="00B56301" w:rsidRPr="002010BD" w:rsidRDefault="00B56301" w:rsidP="00B37B65">
            <w:pPr>
              <w:jc w:val="right"/>
              <w:rPr>
                <w:rFonts w:asciiTheme="minorHAnsi" w:hAnsiTheme="minorHAnsi"/>
                <w:sz w:val="16"/>
                <w:szCs w:val="14"/>
              </w:rPr>
            </w:pPr>
            <w:r w:rsidRPr="00DE10D2">
              <w:rPr>
                <w:sz w:val="16"/>
                <w:szCs w:val="18"/>
              </w:rPr>
              <w:t>-77,96</w:t>
            </w:r>
          </w:p>
        </w:tc>
      </w:tr>
      <w:tr w:rsidR="00B56301" w:rsidRPr="00C2292B" w14:paraId="1765015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51EAB0F" w14:textId="57CD730B"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Energy industries</w:t>
            </w:r>
          </w:p>
        </w:tc>
        <w:tc>
          <w:tcPr>
            <w:tcW w:w="992" w:type="dxa"/>
            <w:tcBorders>
              <w:top w:val="nil"/>
              <w:left w:val="nil"/>
              <w:bottom w:val="single" w:sz="4" w:space="0" w:color="auto"/>
              <w:right w:val="single" w:sz="4" w:space="0" w:color="auto"/>
            </w:tcBorders>
            <w:shd w:val="clear" w:color="000000" w:fill="FFFFFF"/>
            <w:noWrap/>
            <w:vAlign w:val="bottom"/>
            <w:hideMark/>
          </w:tcPr>
          <w:p w14:paraId="5495136C" w14:textId="77777777" w:rsidR="00B56301" w:rsidRPr="002010BD" w:rsidRDefault="00B56301" w:rsidP="00B37B65">
            <w:pPr>
              <w:jc w:val="right"/>
              <w:rPr>
                <w:rFonts w:asciiTheme="minorHAnsi" w:hAnsiTheme="minorHAnsi"/>
                <w:sz w:val="16"/>
                <w:szCs w:val="14"/>
              </w:rPr>
            </w:pPr>
            <w:r w:rsidRPr="00DE10D2">
              <w:rPr>
                <w:sz w:val="16"/>
                <w:szCs w:val="18"/>
              </w:rPr>
              <w:t>1,97</w:t>
            </w:r>
          </w:p>
        </w:tc>
        <w:tc>
          <w:tcPr>
            <w:tcW w:w="992" w:type="dxa"/>
            <w:tcBorders>
              <w:top w:val="nil"/>
              <w:left w:val="nil"/>
              <w:bottom w:val="single" w:sz="4" w:space="0" w:color="auto"/>
              <w:right w:val="single" w:sz="4" w:space="0" w:color="auto"/>
            </w:tcBorders>
            <w:shd w:val="clear" w:color="000000" w:fill="FFFFFF"/>
            <w:noWrap/>
            <w:vAlign w:val="bottom"/>
            <w:hideMark/>
          </w:tcPr>
          <w:p w14:paraId="7617002E" w14:textId="77777777" w:rsidR="00B56301" w:rsidRPr="002010BD" w:rsidRDefault="00B56301" w:rsidP="00B37B65">
            <w:pPr>
              <w:jc w:val="right"/>
              <w:rPr>
                <w:rFonts w:asciiTheme="minorHAnsi" w:hAnsiTheme="minorHAnsi"/>
                <w:sz w:val="16"/>
                <w:szCs w:val="14"/>
              </w:rPr>
            </w:pPr>
            <w:r w:rsidRPr="00DE10D2">
              <w:rPr>
                <w:sz w:val="16"/>
                <w:szCs w:val="18"/>
              </w:rPr>
              <w:t>1,80</w:t>
            </w:r>
          </w:p>
        </w:tc>
        <w:tc>
          <w:tcPr>
            <w:tcW w:w="1745" w:type="dxa"/>
            <w:tcBorders>
              <w:top w:val="nil"/>
              <w:left w:val="nil"/>
              <w:bottom w:val="single" w:sz="4" w:space="0" w:color="auto"/>
              <w:right w:val="single" w:sz="4" w:space="0" w:color="auto"/>
            </w:tcBorders>
            <w:shd w:val="clear" w:color="000000" w:fill="FFFFFF"/>
            <w:noWrap/>
            <w:vAlign w:val="bottom"/>
            <w:hideMark/>
          </w:tcPr>
          <w:p w14:paraId="6B6EDEC4" w14:textId="77777777" w:rsidR="00B56301" w:rsidRPr="002010BD" w:rsidRDefault="00B56301" w:rsidP="00B37B65">
            <w:pPr>
              <w:jc w:val="right"/>
              <w:rPr>
                <w:rFonts w:asciiTheme="minorHAnsi" w:hAnsiTheme="minorHAnsi"/>
                <w:sz w:val="16"/>
                <w:szCs w:val="14"/>
              </w:rPr>
            </w:pPr>
            <w:r w:rsidRPr="00DE10D2">
              <w:rPr>
                <w:sz w:val="16"/>
                <w:szCs w:val="18"/>
              </w:rPr>
              <w:t>-31,86</w:t>
            </w:r>
          </w:p>
        </w:tc>
      </w:tr>
      <w:tr w:rsidR="00B56301" w:rsidRPr="00C2292B" w14:paraId="0B9910B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8F1FF84" w14:textId="7FC34C00"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2.</w:t>
            </w:r>
            <w:r w:rsidR="00260E0B">
              <w:rPr>
                <w:rFonts w:asciiTheme="minorHAnsi" w:hAnsiTheme="minorHAnsi"/>
                <w:sz w:val="16"/>
                <w:szCs w:val="14"/>
              </w:rPr>
              <w:t xml:space="preserve"> </w:t>
            </w:r>
            <w:r w:rsidRPr="002010BD">
              <w:rPr>
                <w:rFonts w:asciiTheme="minorHAnsi" w:hAnsiTheme="minorHAnsi"/>
                <w:sz w:val="16"/>
                <w:szCs w:val="14"/>
              </w:rPr>
              <w:t>Manufacturing industries and construction</w:t>
            </w:r>
          </w:p>
        </w:tc>
        <w:tc>
          <w:tcPr>
            <w:tcW w:w="992" w:type="dxa"/>
            <w:tcBorders>
              <w:top w:val="nil"/>
              <w:left w:val="nil"/>
              <w:bottom w:val="single" w:sz="4" w:space="0" w:color="auto"/>
              <w:right w:val="single" w:sz="4" w:space="0" w:color="auto"/>
            </w:tcBorders>
            <w:shd w:val="clear" w:color="000000" w:fill="FFFFFF"/>
            <w:noWrap/>
            <w:vAlign w:val="bottom"/>
            <w:hideMark/>
          </w:tcPr>
          <w:p w14:paraId="16E41D4F" w14:textId="77777777" w:rsidR="00B56301" w:rsidRPr="002010BD" w:rsidRDefault="00B56301" w:rsidP="00B37B65">
            <w:pPr>
              <w:jc w:val="right"/>
              <w:rPr>
                <w:rFonts w:asciiTheme="minorHAnsi" w:hAnsiTheme="minorHAnsi"/>
                <w:sz w:val="16"/>
                <w:szCs w:val="14"/>
              </w:rPr>
            </w:pPr>
            <w:r w:rsidRPr="00DE10D2">
              <w:rPr>
                <w:sz w:val="16"/>
                <w:szCs w:val="18"/>
              </w:rPr>
              <w:t>3,95</w:t>
            </w:r>
          </w:p>
        </w:tc>
        <w:tc>
          <w:tcPr>
            <w:tcW w:w="992" w:type="dxa"/>
            <w:tcBorders>
              <w:top w:val="nil"/>
              <w:left w:val="nil"/>
              <w:bottom w:val="single" w:sz="4" w:space="0" w:color="auto"/>
              <w:right w:val="single" w:sz="4" w:space="0" w:color="auto"/>
            </w:tcBorders>
            <w:shd w:val="clear" w:color="000000" w:fill="FFFFFF"/>
            <w:noWrap/>
            <w:vAlign w:val="bottom"/>
            <w:hideMark/>
          </w:tcPr>
          <w:p w14:paraId="48451593" w14:textId="77777777" w:rsidR="00B56301" w:rsidRPr="002010BD" w:rsidRDefault="00B56301" w:rsidP="00B37B65">
            <w:pPr>
              <w:jc w:val="right"/>
              <w:rPr>
                <w:rFonts w:asciiTheme="minorHAnsi" w:hAnsiTheme="minorHAnsi"/>
                <w:sz w:val="16"/>
                <w:szCs w:val="14"/>
              </w:rPr>
            </w:pPr>
            <w:r w:rsidRPr="00DE10D2">
              <w:rPr>
                <w:sz w:val="16"/>
                <w:szCs w:val="18"/>
              </w:rPr>
              <w:t>3,83</w:t>
            </w:r>
          </w:p>
        </w:tc>
        <w:tc>
          <w:tcPr>
            <w:tcW w:w="1745" w:type="dxa"/>
            <w:tcBorders>
              <w:top w:val="nil"/>
              <w:left w:val="nil"/>
              <w:bottom w:val="single" w:sz="4" w:space="0" w:color="auto"/>
              <w:right w:val="single" w:sz="4" w:space="0" w:color="auto"/>
            </w:tcBorders>
            <w:shd w:val="clear" w:color="000000" w:fill="FFFFFF"/>
            <w:noWrap/>
            <w:vAlign w:val="bottom"/>
            <w:hideMark/>
          </w:tcPr>
          <w:p w14:paraId="1D5972E2" w14:textId="77777777" w:rsidR="00B56301" w:rsidRPr="002010BD" w:rsidRDefault="00B56301" w:rsidP="00B37B65">
            <w:pPr>
              <w:jc w:val="right"/>
              <w:rPr>
                <w:rFonts w:asciiTheme="minorHAnsi" w:hAnsiTheme="minorHAnsi"/>
                <w:sz w:val="16"/>
                <w:szCs w:val="14"/>
              </w:rPr>
            </w:pPr>
            <w:r w:rsidRPr="00DE10D2">
              <w:rPr>
                <w:sz w:val="16"/>
                <w:szCs w:val="18"/>
              </w:rPr>
              <w:t>-1,24</w:t>
            </w:r>
          </w:p>
        </w:tc>
      </w:tr>
      <w:tr w:rsidR="00B56301" w:rsidRPr="00C2292B" w14:paraId="4601006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A22C9F9" w14:textId="0247A87F"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3.</w:t>
            </w:r>
            <w:r w:rsidR="00260E0B">
              <w:rPr>
                <w:rFonts w:asciiTheme="minorHAnsi" w:hAnsiTheme="minorHAnsi"/>
                <w:sz w:val="16"/>
                <w:szCs w:val="14"/>
              </w:rPr>
              <w:t xml:space="preserve"> </w:t>
            </w:r>
            <w:r w:rsidRPr="002010BD">
              <w:rPr>
                <w:rFonts w:asciiTheme="minorHAnsi" w:hAnsiTheme="minorHAnsi"/>
                <w:sz w:val="16"/>
                <w:szCs w:val="14"/>
              </w:rPr>
              <w:t>Transport</w:t>
            </w:r>
          </w:p>
        </w:tc>
        <w:tc>
          <w:tcPr>
            <w:tcW w:w="992" w:type="dxa"/>
            <w:tcBorders>
              <w:top w:val="nil"/>
              <w:left w:val="nil"/>
              <w:bottom w:val="single" w:sz="4" w:space="0" w:color="auto"/>
              <w:right w:val="single" w:sz="4" w:space="0" w:color="auto"/>
            </w:tcBorders>
            <w:shd w:val="clear" w:color="000000" w:fill="FFFFFF"/>
            <w:noWrap/>
            <w:vAlign w:val="bottom"/>
            <w:hideMark/>
          </w:tcPr>
          <w:p w14:paraId="73AAFD3E" w14:textId="77777777" w:rsidR="00B56301" w:rsidRPr="002010BD" w:rsidRDefault="00B56301" w:rsidP="00B37B65">
            <w:pPr>
              <w:jc w:val="right"/>
              <w:rPr>
                <w:rFonts w:asciiTheme="minorHAnsi" w:hAnsiTheme="minorHAnsi"/>
                <w:sz w:val="16"/>
                <w:szCs w:val="14"/>
              </w:rPr>
            </w:pPr>
            <w:r w:rsidRPr="00DE10D2">
              <w:rPr>
                <w:sz w:val="16"/>
                <w:szCs w:val="18"/>
              </w:rPr>
              <w:t>6,62</w:t>
            </w:r>
          </w:p>
        </w:tc>
        <w:tc>
          <w:tcPr>
            <w:tcW w:w="992" w:type="dxa"/>
            <w:tcBorders>
              <w:top w:val="nil"/>
              <w:left w:val="nil"/>
              <w:bottom w:val="single" w:sz="4" w:space="0" w:color="auto"/>
              <w:right w:val="single" w:sz="4" w:space="0" w:color="auto"/>
            </w:tcBorders>
            <w:shd w:val="clear" w:color="000000" w:fill="FFFFFF"/>
            <w:noWrap/>
            <w:vAlign w:val="bottom"/>
            <w:hideMark/>
          </w:tcPr>
          <w:p w14:paraId="01C21EAD" w14:textId="77777777" w:rsidR="00B56301" w:rsidRPr="002010BD" w:rsidRDefault="00B56301" w:rsidP="00B37B65">
            <w:pPr>
              <w:jc w:val="right"/>
              <w:rPr>
                <w:rFonts w:asciiTheme="minorHAnsi" w:hAnsiTheme="minorHAnsi"/>
                <w:sz w:val="16"/>
                <w:szCs w:val="14"/>
              </w:rPr>
            </w:pPr>
            <w:r w:rsidRPr="00DE10D2">
              <w:rPr>
                <w:sz w:val="16"/>
                <w:szCs w:val="18"/>
              </w:rPr>
              <w:t>5,73</w:t>
            </w:r>
          </w:p>
        </w:tc>
        <w:tc>
          <w:tcPr>
            <w:tcW w:w="1745" w:type="dxa"/>
            <w:tcBorders>
              <w:top w:val="nil"/>
              <w:left w:val="nil"/>
              <w:bottom w:val="single" w:sz="4" w:space="0" w:color="auto"/>
              <w:right w:val="single" w:sz="4" w:space="0" w:color="auto"/>
            </w:tcBorders>
            <w:shd w:val="clear" w:color="000000" w:fill="FFFFFF"/>
            <w:noWrap/>
            <w:vAlign w:val="bottom"/>
            <w:hideMark/>
          </w:tcPr>
          <w:p w14:paraId="0F1F7CBC" w14:textId="77777777" w:rsidR="00B56301" w:rsidRPr="002010BD" w:rsidRDefault="00B56301" w:rsidP="00B37B65">
            <w:pPr>
              <w:jc w:val="right"/>
              <w:rPr>
                <w:rFonts w:asciiTheme="minorHAnsi" w:hAnsiTheme="minorHAnsi"/>
                <w:sz w:val="16"/>
                <w:szCs w:val="14"/>
              </w:rPr>
            </w:pPr>
            <w:r w:rsidRPr="00DE10D2">
              <w:rPr>
                <w:sz w:val="16"/>
                <w:szCs w:val="18"/>
              </w:rPr>
              <w:t>-85,34</w:t>
            </w:r>
          </w:p>
        </w:tc>
      </w:tr>
      <w:tr w:rsidR="00B56301" w:rsidRPr="00C2292B" w14:paraId="18ABC8D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F78700B" w14:textId="1217B36E"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4.</w:t>
            </w:r>
            <w:r w:rsidR="00260E0B">
              <w:rPr>
                <w:rFonts w:asciiTheme="minorHAnsi" w:hAnsiTheme="minorHAnsi"/>
                <w:sz w:val="16"/>
                <w:szCs w:val="14"/>
              </w:rPr>
              <w:t xml:space="preserve"> </w:t>
            </w:r>
            <w:r w:rsidRPr="002010BD">
              <w:rPr>
                <w:rFonts w:asciiTheme="minorHAnsi" w:hAnsiTheme="minorHAnsi"/>
                <w:sz w:val="16"/>
                <w:szCs w:val="14"/>
              </w:rPr>
              <w:t>Other sectors</w:t>
            </w:r>
          </w:p>
        </w:tc>
        <w:tc>
          <w:tcPr>
            <w:tcW w:w="992" w:type="dxa"/>
            <w:tcBorders>
              <w:top w:val="nil"/>
              <w:left w:val="nil"/>
              <w:bottom w:val="single" w:sz="4" w:space="0" w:color="auto"/>
              <w:right w:val="single" w:sz="4" w:space="0" w:color="auto"/>
            </w:tcBorders>
            <w:shd w:val="clear" w:color="000000" w:fill="FFFFFF"/>
            <w:noWrap/>
            <w:vAlign w:val="bottom"/>
            <w:hideMark/>
          </w:tcPr>
          <w:p w14:paraId="3A6F1191" w14:textId="77777777" w:rsidR="00B56301" w:rsidRPr="002010BD" w:rsidRDefault="00B56301" w:rsidP="00B37B65">
            <w:pPr>
              <w:jc w:val="right"/>
              <w:rPr>
                <w:rFonts w:asciiTheme="minorHAnsi" w:hAnsiTheme="minorHAnsi"/>
                <w:sz w:val="16"/>
                <w:szCs w:val="14"/>
              </w:rPr>
            </w:pPr>
            <w:r w:rsidRPr="00DE10D2">
              <w:rPr>
                <w:sz w:val="16"/>
                <w:szCs w:val="18"/>
              </w:rPr>
              <w:t>42,98</w:t>
            </w:r>
          </w:p>
        </w:tc>
        <w:tc>
          <w:tcPr>
            <w:tcW w:w="992" w:type="dxa"/>
            <w:tcBorders>
              <w:top w:val="nil"/>
              <w:left w:val="nil"/>
              <w:bottom w:val="single" w:sz="4" w:space="0" w:color="auto"/>
              <w:right w:val="single" w:sz="4" w:space="0" w:color="auto"/>
            </w:tcBorders>
            <w:shd w:val="clear" w:color="000000" w:fill="FFFFFF"/>
            <w:noWrap/>
            <w:vAlign w:val="bottom"/>
            <w:hideMark/>
          </w:tcPr>
          <w:p w14:paraId="5201AAA9" w14:textId="77777777" w:rsidR="00B56301" w:rsidRPr="002010BD" w:rsidRDefault="00B56301" w:rsidP="00B37B65">
            <w:pPr>
              <w:jc w:val="right"/>
              <w:rPr>
                <w:rFonts w:asciiTheme="minorHAnsi" w:hAnsiTheme="minorHAnsi"/>
                <w:sz w:val="16"/>
                <w:szCs w:val="14"/>
              </w:rPr>
            </w:pPr>
            <w:r w:rsidRPr="00DE10D2">
              <w:rPr>
                <w:sz w:val="16"/>
                <w:szCs w:val="18"/>
              </w:rPr>
              <w:t>39,61</w:t>
            </w:r>
          </w:p>
        </w:tc>
        <w:tc>
          <w:tcPr>
            <w:tcW w:w="1745" w:type="dxa"/>
            <w:tcBorders>
              <w:top w:val="nil"/>
              <w:left w:val="nil"/>
              <w:bottom w:val="single" w:sz="4" w:space="0" w:color="auto"/>
              <w:right w:val="single" w:sz="4" w:space="0" w:color="auto"/>
            </w:tcBorders>
            <w:shd w:val="clear" w:color="000000" w:fill="FFFFFF"/>
            <w:noWrap/>
            <w:vAlign w:val="bottom"/>
            <w:hideMark/>
          </w:tcPr>
          <w:p w14:paraId="24FCFE12" w14:textId="77777777" w:rsidR="00B56301" w:rsidRPr="002010BD" w:rsidRDefault="00B56301" w:rsidP="00B37B65">
            <w:pPr>
              <w:jc w:val="right"/>
              <w:rPr>
                <w:rFonts w:asciiTheme="minorHAnsi" w:hAnsiTheme="minorHAnsi"/>
                <w:sz w:val="16"/>
                <w:szCs w:val="14"/>
              </w:rPr>
            </w:pPr>
            <w:r w:rsidRPr="00DE10D2">
              <w:rPr>
                <w:sz w:val="16"/>
                <w:szCs w:val="18"/>
              </w:rPr>
              <w:t>-78,70</w:t>
            </w:r>
          </w:p>
        </w:tc>
      </w:tr>
      <w:tr w:rsidR="00B56301" w:rsidRPr="00C2292B" w14:paraId="171FC3B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1459556" w14:textId="324B4BA5"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5.</w:t>
            </w:r>
            <w:r w:rsidR="00260E0B">
              <w:rPr>
                <w:rFonts w:asciiTheme="minorHAnsi" w:hAnsiTheme="minorHAnsi"/>
                <w:sz w:val="16"/>
                <w:szCs w:val="14"/>
              </w:rPr>
              <w:t xml:space="preserve"> </w:t>
            </w:r>
            <w:r w:rsidRPr="002010BD">
              <w:rPr>
                <w:rFonts w:asciiTheme="minorHAnsi" w:hAnsiTheme="minorHAnsi"/>
                <w:sz w:val="16"/>
                <w:szCs w:val="14"/>
              </w:rPr>
              <w:t>Other</w:t>
            </w:r>
          </w:p>
        </w:tc>
        <w:tc>
          <w:tcPr>
            <w:tcW w:w="992" w:type="dxa"/>
            <w:tcBorders>
              <w:top w:val="nil"/>
              <w:left w:val="nil"/>
              <w:bottom w:val="single" w:sz="4" w:space="0" w:color="auto"/>
              <w:right w:val="single" w:sz="4" w:space="0" w:color="auto"/>
            </w:tcBorders>
            <w:shd w:val="clear" w:color="000000" w:fill="FFFFFF"/>
            <w:noWrap/>
            <w:vAlign w:val="bottom"/>
            <w:hideMark/>
          </w:tcPr>
          <w:p w14:paraId="357ECFEC" w14:textId="77777777" w:rsidR="00B56301" w:rsidRPr="002010BD" w:rsidRDefault="00B56301" w:rsidP="00B37B65">
            <w:pPr>
              <w:jc w:val="right"/>
              <w:rPr>
                <w:rFonts w:asciiTheme="minorHAnsi" w:hAnsiTheme="minorHAnsi"/>
                <w:sz w:val="16"/>
                <w:szCs w:val="14"/>
              </w:rPr>
            </w:pPr>
            <w:r w:rsidRPr="00DE10D2">
              <w:rPr>
                <w:sz w:val="16"/>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CFB55BE" w14:textId="77777777" w:rsidR="00B56301" w:rsidRPr="002010BD" w:rsidRDefault="00B56301" w:rsidP="00B37B65">
            <w:pPr>
              <w:jc w:val="right"/>
              <w:rPr>
                <w:rFonts w:asciiTheme="minorHAnsi" w:hAnsiTheme="minorHAnsi"/>
                <w:sz w:val="16"/>
                <w:szCs w:val="14"/>
              </w:rPr>
            </w:pPr>
            <w:r w:rsidRPr="00DE10D2">
              <w:rPr>
                <w:sz w:val="16"/>
                <w:szCs w:val="18"/>
              </w:rPr>
              <w:t>0,08</w:t>
            </w:r>
          </w:p>
        </w:tc>
        <w:tc>
          <w:tcPr>
            <w:tcW w:w="1745" w:type="dxa"/>
            <w:tcBorders>
              <w:top w:val="nil"/>
              <w:left w:val="nil"/>
              <w:bottom w:val="single" w:sz="4" w:space="0" w:color="auto"/>
              <w:right w:val="single" w:sz="4" w:space="0" w:color="auto"/>
            </w:tcBorders>
            <w:shd w:val="clear" w:color="000000" w:fill="FFFFFF"/>
            <w:noWrap/>
            <w:vAlign w:val="bottom"/>
            <w:hideMark/>
          </w:tcPr>
          <w:p w14:paraId="31153F07" w14:textId="77777777" w:rsidR="00B56301" w:rsidRPr="002010BD" w:rsidRDefault="00B56301" w:rsidP="00B37B65">
            <w:pPr>
              <w:jc w:val="right"/>
              <w:rPr>
                <w:rFonts w:asciiTheme="minorHAnsi" w:hAnsiTheme="minorHAnsi"/>
                <w:sz w:val="16"/>
                <w:szCs w:val="14"/>
              </w:rPr>
            </w:pPr>
            <w:r w:rsidRPr="00DE10D2">
              <w:rPr>
                <w:sz w:val="16"/>
                <w:szCs w:val="18"/>
              </w:rPr>
              <w:t>-32,28</w:t>
            </w:r>
          </w:p>
        </w:tc>
      </w:tr>
      <w:tr w:rsidR="00B56301" w:rsidRPr="00C2292B" w14:paraId="61ED7FD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8A3101A" w14:textId="7777777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 Fugitive emissions from fuels</w:t>
            </w:r>
          </w:p>
        </w:tc>
        <w:tc>
          <w:tcPr>
            <w:tcW w:w="992" w:type="dxa"/>
            <w:tcBorders>
              <w:top w:val="nil"/>
              <w:left w:val="nil"/>
              <w:bottom w:val="single" w:sz="4" w:space="0" w:color="auto"/>
              <w:right w:val="single" w:sz="4" w:space="0" w:color="auto"/>
            </w:tcBorders>
            <w:shd w:val="clear" w:color="000000" w:fill="CCFFFF"/>
            <w:noWrap/>
            <w:vAlign w:val="bottom"/>
            <w:hideMark/>
          </w:tcPr>
          <w:p w14:paraId="62AD9520" w14:textId="77777777" w:rsidR="00B56301" w:rsidRPr="002010BD" w:rsidRDefault="00B56301" w:rsidP="00B37B65">
            <w:pPr>
              <w:jc w:val="right"/>
              <w:rPr>
                <w:rFonts w:asciiTheme="minorHAnsi" w:hAnsiTheme="minorHAnsi"/>
                <w:sz w:val="16"/>
                <w:szCs w:val="14"/>
              </w:rPr>
            </w:pPr>
            <w:r w:rsidRPr="00DE10D2">
              <w:rPr>
                <w:sz w:val="16"/>
                <w:szCs w:val="18"/>
              </w:rPr>
              <w:t>40,30</w:t>
            </w:r>
          </w:p>
        </w:tc>
        <w:tc>
          <w:tcPr>
            <w:tcW w:w="992" w:type="dxa"/>
            <w:tcBorders>
              <w:top w:val="nil"/>
              <w:left w:val="nil"/>
              <w:bottom w:val="single" w:sz="4" w:space="0" w:color="auto"/>
              <w:right w:val="single" w:sz="4" w:space="0" w:color="auto"/>
            </w:tcBorders>
            <w:shd w:val="clear" w:color="000000" w:fill="CCFFFF"/>
            <w:noWrap/>
            <w:vAlign w:val="bottom"/>
            <w:hideMark/>
          </w:tcPr>
          <w:p w14:paraId="383EEB1B" w14:textId="77777777" w:rsidR="00B56301" w:rsidRPr="002010BD" w:rsidRDefault="00B56301" w:rsidP="00B37B65">
            <w:pPr>
              <w:jc w:val="right"/>
              <w:rPr>
                <w:rFonts w:asciiTheme="minorHAnsi" w:hAnsiTheme="minorHAnsi"/>
                <w:sz w:val="16"/>
                <w:szCs w:val="14"/>
              </w:rPr>
            </w:pPr>
            <w:r w:rsidRPr="00DE10D2">
              <w:rPr>
                <w:sz w:val="16"/>
                <w:szCs w:val="18"/>
              </w:rPr>
              <w:t>34,05</w:t>
            </w:r>
          </w:p>
        </w:tc>
        <w:tc>
          <w:tcPr>
            <w:tcW w:w="1745" w:type="dxa"/>
            <w:tcBorders>
              <w:top w:val="nil"/>
              <w:left w:val="nil"/>
              <w:bottom w:val="single" w:sz="4" w:space="0" w:color="auto"/>
              <w:right w:val="single" w:sz="4" w:space="0" w:color="auto"/>
            </w:tcBorders>
            <w:shd w:val="clear" w:color="000000" w:fill="CCFFFF"/>
            <w:noWrap/>
            <w:vAlign w:val="bottom"/>
            <w:hideMark/>
          </w:tcPr>
          <w:p w14:paraId="60CE35A9" w14:textId="77777777" w:rsidR="00B56301" w:rsidRPr="002010BD" w:rsidRDefault="00B56301" w:rsidP="00B37B65">
            <w:pPr>
              <w:jc w:val="right"/>
              <w:rPr>
                <w:rFonts w:asciiTheme="minorHAnsi" w:hAnsiTheme="minorHAnsi"/>
                <w:sz w:val="16"/>
                <w:szCs w:val="14"/>
              </w:rPr>
            </w:pPr>
            <w:r w:rsidRPr="00DE10D2">
              <w:rPr>
                <w:sz w:val="16"/>
                <w:szCs w:val="18"/>
              </w:rPr>
              <w:t>-87,13</w:t>
            </w:r>
          </w:p>
        </w:tc>
      </w:tr>
      <w:tr w:rsidR="00B56301" w:rsidRPr="00C2292B" w14:paraId="01C67DB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F4E4713" w14:textId="0DA1CAC4" w:rsidR="00B56301" w:rsidRPr="002010BD" w:rsidRDefault="00B56301" w:rsidP="00B37B65">
            <w:pPr>
              <w:ind w:firstLineChars="500" w:firstLine="800"/>
              <w:jc w:val="left"/>
              <w:rPr>
                <w:rFonts w:asciiTheme="minorHAnsi" w:hAnsiTheme="minorHAnsi"/>
                <w:sz w:val="16"/>
                <w:szCs w:val="14"/>
              </w:rPr>
            </w:pPr>
            <w:r w:rsidRPr="002010BD">
              <w:rPr>
                <w:rFonts w:asciiTheme="minorHAnsi" w:hAnsiTheme="minorHAnsi"/>
                <w:sz w:val="16"/>
                <w:szCs w:val="14"/>
              </w:rPr>
              <w:t>1.</w:t>
            </w:r>
            <w:r w:rsidR="00260E0B">
              <w:rPr>
                <w:rFonts w:asciiTheme="minorHAnsi" w:hAnsiTheme="minorHAnsi"/>
                <w:sz w:val="16"/>
                <w:szCs w:val="14"/>
              </w:rPr>
              <w:t xml:space="preserve"> </w:t>
            </w:r>
            <w:r w:rsidRPr="002010BD">
              <w:rPr>
                <w:rFonts w:asciiTheme="minorHAnsi" w:hAnsiTheme="minorHAnsi"/>
                <w:sz w:val="16"/>
                <w:szCs w:val="14"/>
              </w:rPr>
              <w:t>Solid fuels</w:t>
            </w:r>
          </w:p>
        </w:tc>
        <w:tc>
          <w:tcPr>
            <w:tcW w:w="992" w:type="dxa"/>
            <w:tcBorders>
              <w:top w:val="nil"/>
              <w:left w:val="nil"/>
              <w:bottom w:val="single" w:sz="4" w:space="0" w:color="auto"/>
              <w:right w:val="single" w:sz="4" w:space="0" w:color="auto"/>
            </w:tcBorders>
            <w:shd w:val="clear" w:color="000000" w:fill="FFFFFF"/>
            <w:noWrap/>
            <w:vAlign w:val="bottom"/>
            <w:hideMark/>
          </w:tcPr>
          <w:p w14:paraId="29099A4A" w14:textId="77777777" w:rsidR="00B56301" w:rsidRPr="002010BD" w:rsidRDefault="00B56301" w:rsidP="00B37B65">
            <w:pPr>
              <w:jc w:val="right"/>
              <w:rPr>
                <w:rFonts w:asciiTheme="minorHAnsi" w:hAnsiTheme="minorHAnsi"/>
                <w:sz w:val="16"/>
                <w:szCs w:val="14"/>
              </w:rPr>
            </w:pPr>
            <w:r w:rsidRPr="00DE10D2">
              <w:rPr>
                <w:sz w:val="16"/>
                <w:szCs w:val="18"/>
              </w:rPr>
              <w:t>0,58</w:t>
            </w:r>
          </w:p>
        </w:tc>
        <w:tc>
          <w:tcPr>
            <w:tcW w:w="992" w:type="dxa"/>
            <w:tcBorders>
              <w:top w:val="nil"/>
              <w:left w:val="nil"/>
              <w:bottom w:val="single" w:sz="4" w:space="0" w:color="auto"/>
              <w:right w:val="single" w:sz="4" w:space="0" w:color="auto"/>
            </w:tcBorders>
            <w:shd w:val="clear" w:color="000000" w:fill="FFFFFF"/>
            <w:noWrap/>
            <w:vAlign w:val="bottom"/>
            <w:hideMark/>
          </w:tcPr>
          <w:p w14:paraId="7070E26B" w14:textId="77777777" w:rsidR="00B56301" w:rsidRPr="002010BD" w:rsidRDefault="00B56301" w:rsidP="00B37B65">
            <w:pPr>
              <w:jc w:val="right"/>
              <w:rPr>
                <w:rFonts w:asciiTheme="minorHAnsi" w:hAnsiTheme="minorHAnsi"/>
                <w:sz w:val="16"/>
                <w:szCs w:val="14"/>
              </w:rPr>
            </w:pPr>
            <w:r w:rsidRPr="00DE10D2">
              <w:rPr>
                <w:sz w:val="16"/>
                <w:szCs w:val="18"/>
              </w:rPr>
              <w:t>1,02</w:t>
            </w:r>
          </w:p>
        </w:tc>
        <w:tc>
          <w:tcPr>
            <w:tcW w:w="1745" w:type="dxa"/>
            <w:tcBorders>
              <w:top w:val="nil"/>
              <w:left w:val="nil"/>
              <w:bottom w:val="single" w:sz="4" w:space="0" w:color="auto"/>
              <w:right w:val="single" w:sz="4" w:space="0" w:color="auto"/>
            </w:tcBorders>
            <w:shd w:val="clear" w:color="000000" w:fill="FFFFFF"/>
            <w:noWrap/>
            <w:vAlign w:val="bottom"/>
            <w:hideMark/>
          </w:tcPr>
          <w:p w14:paraId="35AB2566" w14:textId="77777777" w:rsidR="00B56301" w:rsidRPr="002010BD" w:rsidRDefault="00B56301" w:rsidP="00B37B65">
            <w:pPr>
              <w:jc w:val="right"/>
              <w:rPr>
                <w:rFonts w:asciiTheme="minorHAnsi" w:hAnsiTheme="minorHAnsi"/>
                <w:sz w:val="16"/>
                <w:szCs w:val="14"/>
              </w:rPr>
            </w:pPr>
            <w:r w:rsidRPr="00DE10D2">
              <w:rPr>
                <w:sz w:val="16"/>
                <w:szCs w:val="18"/>
              </w:rPr>
              <w:t>-99,47</w:t>
            </w:r>
          </w:p>
        </w:tc>
      </w:tr>
      <w:tr w:rsidR="00B56301" w:rsidRPr="00C2292B" w14:paraId="09A8AC2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6D1B025" w14:textId="12EC822B" w:rsidR="00B56301" w:rsidRPr="002010BD" w:rsidRDefault="00B56301" w:rsidP="00B37B65">
            <w:pPr>
              <w:ind w:firstLineChars="500" w:firstLine="800"/>
              <w:jc w:val="left"/>
              <w:rPr>
                <w:rFonts w:asciiTheme="minorHAnsi" w:hAnsiTheme="minorHAnsi"/>
                <w:sz w:val="16"/>
                <w:szCs w:val="14"/>
                <w:lang w:val="en-GB"/>
              </w:rPr>
            </w:pPr>
            <w:r w:rsidRPr="002010BD">
              <w:rPr>
                <w:rFonts w:asciiTheme="minorHAnsi" w:hAnsiTheme="minorHAnsi"/>
                <w:sz w:val="16"/>
                <w:szCs w:val="14"/>
                <w:lang w:val="en-GB"/>
              </w:rPr>
              <w:t>2.</w:t>
            </w:r>
            <w:r w:rsidR="00260E0B">
              <w:rPr>
                <w:rFonts w:asciiTheme="minorHAnsi" w:hAnsiTheme="minorHAnsi"/>
                <w:sz w:val="16"/>
                <w:szCs w:val="14"/>
                <w:lang w:val="en-GB"/>
              </w:rPr>
              <w:t xml:space="preserve"> </w:t>
            </w:r>
            <w:r w:rsidRPr="002010BD">
              <w:rPr>
                <w:rFonts w:asciiTheme="minorHAnsi" w:hAnsiTheme="minorHAnsi"/>
                <w:sz w:val="16"/>
                <w:szCs w:val="14"/>
                <w:lang w:val="en-GB"/>
              </w:rPr>
              <w:t>Oil and natural gas and other emissions from energy production</w:t>
            </w:r>
          </w:p>
        </w:tc>
        <w:tc>
          <w:tcPr>
            <w:tcW w:w="992" w:type="dxa"/>
            <w:tcBorders>
              <w:top w:val="nil"/>
              <w:left w:val="nil"/>
              <w:bottom w:val="single" w:sz="4" w:space="0" w:color="auto"/>
              <w:right w:val="single" w:sz="4" w:space="0" w:color="auto"/>
            </w:tcBorders>
            <w:shd w:val="clear" w:color="000000" w:fill="FFFFFF"/>
            <w:noWrap/>
            <w:vAlign w:val="bottom"/>
            <w:hideMark/>
          </w:tcPr>
          <w:p w14:paraId="255F4D0B" w14:textId="77777777" w:rsidR="00B56301" w:rsidRPr="002010BD" w:rsidRDefault="00B56301" w:rsidP="00B37B65">
            <w:pPr>
              <w:jc w:val="right"/>
              <w:rPr>
                <w:rFonts w:asciiTheme="minorHAnsi" w:hAnsiTheme="minorHAnsi"/>
                <w:sz w:val="16"/>
                <w:szCs w:val="14"/>
              </w:rPr>
            </w:pPr>
            <w:r w:rsidRPr="00DE10D2">
              <w:rPr>
                <w:sz w:val="16"/>
                <w:szCs w:val="18"/>
              </w:rPr>
              <w:t>39,72</w:t>
            </w:r>
          </w:p>
        </w:tc>
        <w:tc>
          <w:tcPr>
            <w:tcW w:w="992" w:type="dxa"/>
            <w:tcBorders>
              <w:top w:val="nil"/>
              <w:left w:val="nil"/>
              <w:bottom w:val="single" w:sz="4" w:space="0" w:color="auto"/>
              <w:right w:val="single" w:sz="4" w:space="0" w:color="auto"/>
            </w:tcBorders>
            <w:shd w:val="clear" w:color="000000" w:fill="FFFFFF"/>
            <w:noWrap/>
            <w:vAlign w:val="bottom"/>
            <w:hideMark/>
          </w:tcPr>
          <w:p w14:paraId="541B620E" w14:textId="77777777" w:rsidR="00B56301" w:rsidRPr="002010BD" w:rsidRDefault="00B56301" w:rsidP="00B37B65">
            <w:pPr>
              <w:jc w:val="right"/>
              <w:rPr>
                <w:rFonts w:asciiTheme="minorHAnsi" w:hAnsiTheme="minorHAnsi"/>
                <w:sz w:val="16"/>
                <w:szCs w:val="14"/>
              </w:rPr>
            </w:pPr>
            <w:r w:rsidRPr="00DE10D2">
              <w:rPr>
                <w:sz w:val="16"/>
                <w:szCs w:val="18"/>
              </w:rPr>
              <w:t>33,03</w:t>
            </w:r>
          </w:p>
        </w:tc>
        <w:tc>
          <w:tcPr>
            <w:tcW w:w="1745" w:type="dxa"/>
            <w:tcBorders>
              <w:top w:val="nil"/>
              <w:left w:val="nil"/>
              <w:bottom w:val="single" w:sz="4" w:space="0" w:color="auto"/>
              <w:right w:val="single" w:sz="4" w:space="0" w:color="auto"/>
            </w:tcBorders>
            <w:shd w:val="clear" w:color="000000" w:fill="FFFFFF"/>
            <w:noWrap/>
            <w:vAlign w:val="bottom"/>
            <w:hideMark/>
          </w:tcPr>
          <w:p w14:paraId="398DA2BB" w14:textId="77777777" w:rsidR="00B56301" w:rsidRPr="002010BD" w:rsidRDefault="00B56301" w:rsidP="00B37B65">
            <w:pPr>
              <w:jc w:val="right"/>
              <w:rPr>
                <w:rFonts w:asciiTheme="minorHAnsi" w:hAnsiTheme="minorHAnsi"/>
                <w:sz w:val="16"/>
                <w:szCs w:val="14"/>
              </w:rPr>
            </w:pPr>
            <w:r w:rsidRPr="00DE10D2">
              <w:rPr>
                <w:sz w:val="16"/>
                <w:szCs w:val="18"/>
              </w:rPr>
              <w:t>-54,16</w:t>
            </w:r>
          </w:p>
        </w:tc>
      </w:tr>
      <w:tr w:rsidR="00B56301" w:rsidRPr="00833C38" w14:paraId="48DDC85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6E08A24" w14:textId="1E97E6AA"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 xml:space="preserve">C. </w:t>
            </w:r>
            <w:r w:rsidR="007F09F7" w:rsidRPr="006C251B">
              <w:rPr>
                <w:lang w:val="en-GB"/>
              </w:rPr>
              <w:t>CO</w:t>
            </w:r>
            <w:r w:rsidR="007F09F7" w:rsidRPr="006C251B">
              <w:rPr>
                <w:vertAlign w:val="subscript"/>
                <w:lang w:val="en-GB"/>
              </w:rPr>
              <w:t>2</w:t>
            </w:r>
            <w:r w:rsidRPr="002010BD">
              <w:rPr>
                <w:rFonts w:asciiTheme="minorHAnsi" w:hAnsiTheme="minorHAnsi"/>
                <w:sz w:val="16"/>
                <w:szCs w:val="14"/>
                <w:lang w:val="en-GB"/>
              </w:rPr>
              <w:t xml:space="preserve"> transport and storage</w:t>
            </w:r>
          </w:p>
        </w:tc>
        <w:tc>
          <w:tcPr>
            <w:tcW w:w="992" w:type="dxa"/>
            <w:tcBorders>
              <w:top w:val="nil"/>
              <w:left w:val="nil"/>
              <w:bottom w:val="single" w:sz="4" w:space="0" w:color="auto"/>
              <w:right w:val="single" w:sz="4" w:space="0" w:color="auto"/>
            </w:tcBorders>
            <w:shd w:val="clear" w:color="000000" w:fill="969696"/>
            <w:noWrap/>
            <w:vAlign w:val="bottom"/>
            <w:hideMark/>
          </w:tcPr>
          <w:p w14:paraId="0F204F3D"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58C8790"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5B398630"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r>
      <w:tr w:rsidR="00B56301" w:rsidRPr="00C2292B" w14:paraId="50CCDB9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F5B7077" w14:textId="164A719B"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2.</w:t>
            </w:r>
            <w:r w:rsidR="00260E0B">
              <w:rPr>
                <w:rFonts w:asciiTheme="minorHAnsi" w:hAnsiTheme="minorHAnsi"/>
                <w:b/>
                <w:bCs/>
                <w:sz w:val="16"/>
                <w:szCs w:val="14"/>
              </w:rPr>
              <w:t xml:space="preserve"> </w:t>
            </w:r>
            <w:r w:rsidRPr="002010BD">
              <w:rPr>
                <w:rFonts w:asciiTheme="minorHAnsi" w:hAnsiTheme="minorHAnsi"/>
                <w:b/>
                <w:bCs/>
                <w:sz w:val="16"/>
                <w:szCs w:val="14"/>
              </w:rPr>
              <w:t>Industrial processes</w:t>
            </w:r>
          </w:p>
        </w:tc>
        <w:tc>
          <w:tcPr>
            <w:tcW w:w="992" w:type="dxa"/>
            <w:tcBorders>
              <w:top w:val="nil"/>
              <w:left w:val="nil"/>
              <w:bottom w:val="single" w:sz="4" w:space="0" w:color="auto"/>
              <w:right w:val="single" w:sz="4" w:space="0" w:color="auto"/>
            </w:tcBorders>
            <w:shd w:val="clear" w:color="000000" w:fill="CCFFFF"/>
            <w:noWrap/>
            <w:vAlign w:val="bottom"/>
            <w:hideMark/>
          </w:tcPr>
          <w:p w14:paraId="71F694A4" w14:textId="77777777" w:rsidR="00B56301" w:rsidRPr="002010BD" w:rsidRDefault="00B56301" w:rsidP="00B37B65">
            <w:pPr>
              <w:jc w:val="right"/>
              <w:rPr>
                <w:rFonts w:asciiTheme="minorHAnsi" w:hAnsiTheme="minorHAnsi"/>
                <w:sz w:val="16"/>
                <w:szCs w:val="14"/>
              </w:rPr>
            </w:pPr>
            <w:r w:rsidRPr="00DE10D2">
              <w:rPr>
                <w:sz w:val="16"/>
                <w:szCs w:val="18"/>
              </w:rPr>
              <w:t>2,65</w:t>
            </w:r>
          </w:p>
        </w:tc>
        <w:tc>
          <w:tcPr>
            <w:tcW w:w="992" w:type="dxa"/>
            <w:tcBorders>
              <w:top w:val="nil"/>
              <w:left w:val="nil"/>
              <w:bottom w:val="single" w:sz="4" w:space="0" w:color="auto"/>
              <w:right w:val="single" w:sz="4" w:space="0" w:color="auto"/>
            </w:tcBorders>
            <w:shd w:val="clear" w:color="000000" w:fill="CCFFFF"/>
            <w:noWrap/>
            <w:vAlign w:val="bottom"/>
            <w:hideMark/>
          </w:tcPr>
          <w:p w14:paraId="1BB14AE5" w14:textId="77777777" w:rsidR="00B56301" w:rsidRPr="002010BD" w:rsidRDefault="00B56301" w:rsidP="00B37B65">
            <w:pPr>
              <w:jc w:val="right"/>
              <w:rPr>
                <w:rFonts w:asciiTheme="minorHAnsi" w:hAnsiTheme="minorHAnsi"/>
                <w:sz w:val="16"/>
                <w:szCs w:val="14"/>
              </w:rPr>
            </w:pPr>
            <w:r w:rsidRPr="00DE10D2">
              <w:rPr>
                <w:sz w:val="16"/>
                <w:szCs w:val="18"/>
              </w:rPr>
              <w:t>2,28</w:t>
            </w:r>
          </w:p>
        </w:tc>
        <w:tc>
          <w:tcPr>
            <w:tcW w:w="1745" w:type="dxa"/>
            <w:tcBorders>
              <w:top w:val="nil"/>
              <w:left w:val="nil"/>
              <w:bottom w:val="single" w:sz="4" w:space="0" w:color="auto"/>
              <w:right w:val="single" w:sz="4" w:space="0" w:color="auto"/>
            </w:tcBorders>
            <w:shd w:val="clear" w:color="000000" w:fill="CCFFFF"/>
            <w:noWrap/>
            <w:vAlign w:val="bottom"/>
            <w:hideMark/>
          </w:tcPr>
          <w:p w14:paraId="7B92FBA5" w14:textId="77777777" w:rsidR="00B56301" w:rsidRPr="002010BD" w:rsidRDefault="00B56301" w:rsidP="00B37B65">
            <w:pPr>
              <w:jc w:val="right"/>
              <w:rPr>
                <w:rFonts w:asciiTheme="minorHAnsi" w:hAnsiTheme="minorHAnsi"/>
                <w:sz w:val="16"/>
                <w:szCs w:val="14"/>
              </w:rPr>
            </w:pPr>
            <w:r w:rsidRPr="00DE10D2">
              <w:rPr>
                <w:sz w:val="16"/>
                <w:szCs w:val="18"/>
              </w:rPr>
              <w:t>-74,08</w:t>
            </w:r>
          </w:p>
        </w:tc>
      </w:tr>
      <w:tr w:rsidR="00B56301" w:rsidRPr="00C2292B" w14:paraId="5F6158E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E10B9AB" w14:textId="40F513D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Mineral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42AFCD75"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D69D067"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F6CE387"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735EB4D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49D86B7" w14:textId="1505D780"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Chemical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A45F5AC" w14:textId="77777777" w:rsidR="00B56301" w:rsidRPr="002010BD" w:rsidRDefault="00B56301" w:rsidP="00B37B65">
            <w:pPr>
              <w:jc w:val="right"/>
              <w:rPr>
                <w:rFonts w:asciiTheme="minorHAnsi" w:hAnsiTheme="minorHAnsi"/>
                <w:sz w:val="16"/>
                <w:szCs w:val="14"/>
              </w:rPr>
            </w:pPr>
            <w:r w:rsidRPr="00DE10D2">
              <w:rPr>
                <w:sz w:val="16"/>
                <w:szCs w:val="18"/>
              </w:rPr>
              <w:t>1,36</w:t>
            </w:r>
          </w:p>
        </w:tc>
        <w:tc>
          <w:tcPr>
            <w:tcW w:w="992" w:type="dxa"/>
            <w:tcBorders>
              <w:top w:val="nil"/>
              <w:left w:val="nil"/>
              <w:bottom w:val="single" w:sz="4" w:space="0" w:color="auto"/>
              <w:right w:val="single" w:sz="4" w:space="0" w:color="auto"/>
            </w:tcBorders>
            <w:shd w:val="clear" w:color="000000" w:fill="FFFFFF"/>
            <w:noWrap/>
            <w:vAlign w:val="bottom"/>
            <w:hideMark/>
          </w:tcPr>
          <w:p w14:paraId="08EE7D23" w14:textId="77777777" w:rsidR="00B56301" w:rsidRPr="002010BD" w:rsidRDefault="00B56301" w:rsidP="00B37B65">
            <w:pPr>
              <w:jc w:val="right"/>
              <w:rPr>
                <w:rFonts w:asciiTheme="minorHAnsi" w:hAnsiTheme="minorHAnsi"/>
                <w:sz w:val="16"/>
                <w:szCs w:val="14"/>
              </w:rPr>
            </w:pPr>
            <w:r w:rsidRPr="00DE10D2">
              <w:rPr>
                <w:sz w:val="16"/>
                <w:szCs w:val="18"/>
              </w:rPr>
              <w:t>1,25</w:t>
            </w:r>
          </w:p>
        </w:tc>
        <w:tc>
          <w:tcPr>
            <w:tcW w:w="1745" w:type="dxa"/>
            <w:tcBorders>
              <w:top w:val="nil"/>
              <w:left w:val="nil"/>
              <w:bottom w:val="single" w:sz="4" w:space="0" w:color="auto"/>
              <w:right w:val="single" w:sz="4" w:space="0" w:color="auto"/>
            </w:tcBorders>
            <w:shd w:val="clear" w:color="000000" w:fill="FFFFFF"/>
            <w:noWrap/>
            <w:vAlign w:val="bottom"/>
            <w:hideMark/>
          </w:tcPr>
          <w:p w14:paraId="40435D4A" w14:textId="77777777" w:rsidR="00B56301" w:rsidRPr="002010BD" w:rsidRDefault="00B56301" w:rsidP="00B37B65">
            <w:pPr>
              <w:jc w:val="right"/>
              <w:rPr>
                <w:rFonts w:asciiTheme="minorHAnsi" w:hAnsiTheme="minorHAnsi"/>
                <w:sz w:val="16"/>
                <w:szCs w:val="14"/>
              </w:rPr>
            </w:pPr>
            <w:r w:rsidRPr="00DE10D2">
              <w:rPr>
                <w:sz w:val="16"/>
                <w:szCs w:val="18"/>
              </w:rPr>
              <w:t>-59,96</w:t>
            </w:r>
          </w:p>
        </w:tc>
      </w:tr>
      <w:tr w:rsidR="00B56301" w:rsidRPr="00C2292B" w14:paraId="12851490"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34CE84A" w14:textId="1C29012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Metal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08781150" w14:textId="77777777" w:rsidR="00B56301" w:rsidRPr="002010BD" w:rsidRDefault="00B56301" w:rsidP="00B37B65">
            <w:pPr>
              <w:jc w:val="right"/>
              <w:rPr>
                <w:rFonts w:asciiTheme="minorHAnsi" w:hAnsiTheme="minorHAnsi"/>
                <w:sz w:val="16"/>
                <w:szCs w:val="14"/>
              </w:rPr>
            </w:pPr>
            <w:r w:rsidRPr="00DE10D2">
              <w:rPr>
                <w:sz w:val="16"/>
                <w:szCs w:val="18"/>
              </w:rPr>
              <w:t>1,28</w:t>
            </w:r>
          </w:p>
        </w:tc>
        <w:tc>
          <w:tcPr>
            <w:tcW w:w="992" w:type="dxa"/>
            <w:tcBorders>
              <w:top w:val="nil"/>
              <w:left w:val="nil"/>
              <w:bottom w:val="single" w:sz="4" w:space="0" w:color="auto"/>
              <w:right w:val="single" w:sz="4" w:space="0" w:color="auto"/>
            </w:tcBorders>
            <w:shd w:val="clear" w:color="000000" w:fill="FFFFFF"/>
            <w:noWrap/>
            <w:vAlign w:val="bottom"/>
            <w:hideMark/>
          </w:tcPr>
          <w:p w14:paraId="013CE6E9" w14:textId="77777777" w:rsidR="00B56301" w:rsidRPr="002010BD" w:rsidRDefault="00B56301" w:rsidP="00B37B65">
            <w:pPr>
              <w:jc w:val="right"/>
              <w:rPr>
                <w:rFonts w:asciiTheme="minorHAnsi" w:hAnsiTheme="minorHAnsi"/>
                <w:sz w:val="16"/>
                <w:szCs w:val="14"/>
              </w:rPr>
            </w:pPr>
            <w:r w:rsidRPr="00DE10D2">
              <w:rPr>
                <w:sz w:val="16"/>
                <w:szCs w:val="18"/>
              </w:rPr>
              <w:t>1,03</w:t>
            </w:r>
          </w:p>
        </w:tc>
        <w:tc>
          <w:tcPr>
            <w:tcW w:w="1745" w:type="dxa"/>
            <w:tcBorders>
              <w:top w:val="nil"/>
              <w:left w:val="nil"/>
              <w:bottom w:val="single" w:sz="4" w:space="0" w:color="auto"/>
              <w:right w:val="single" w:sz="4" w:space="0" w:color="auto"/>
            </w:tcBorders>
            <w:shd w:val="clear" w:color="000000" w:fill="FFFFFF"/>
            <w:noWrap/>
            <w:vAlign w:val="bottom"/>
            <w:hideMark/>
          </w:tcPr>
          <w:p w14:paraId="187318A4" w14:textId="77777777" w:rsidR="00B56301" w:rsidRPr="002010BD" w:rsidRDefault="00B56301" w:rsidP="00B37B65">
            <w:pPr>
              <w:jc w:val="right"/>
              <w:rPr>
                <w:rFonts w:asciiTheme="minorHAnsi" w:hAnsiTheme="minorHAnsi"/>
                <w:sz w:val="16"/>
                <w:szCs w:val="14"/>
              </w:rPr>
            </w:pPr>
            <w:r w:rsidRPr="00DE10D2">
              <w:rPr>
                <w:sz w:val="16"/>
                <w:szCs w:val="18"/>
              </w:rPr>
              <w:t>-81,80</w:t>
            </w:r>
          </w:p>
        </w:tc>
      </w:tr>
      <w:tr w:rsidR="00B56301" w:rsidRPr="00C2292B" w14:paraId="3B65F23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16729425" w14:textId="6C1ECD3F"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Non-energy products from fuels and solvent use</w:t>
            </w:r>
          </w:p>
        </w:tc>
        <w:tc>
          <w:tcPr>
            <w:tcW w:w="992" w:type="dxa"/>
            <w:tcBorders>
              <w:top w:val="nil"/>
              <w:left w:val="nil"/>
              <w:bottom w:val="single" w:sz="4" w:space="0" w:color="auto"/>
              <w:right w:val="single" w:sz="4" w:space="0" w:color="auto"/>
            </w:tcBorders>
            <w:shd w:val="clear" w:color="000000" w:fill="FFFFFF"/>
            <w:noWrap/>
            <w:vAlign w:val="bottom"/>
            <w:hideMark/>
          </w:tcPr>
          <w:p w14:paraId="44AA17A3" w14:textId="77777777" w:rsidR="00B56301" w:rsidRPr="002010BD" w:rsidRDefault="00B56301" w:rsidP="00B37B65">
            <w:pPr>
              <w:jc w:val="right"/>
              <w:rPr>
                <w:rFonts w:asciiTheme="minorHAnsi" w:hAnsiTheme="minorHAnsi"/>
                <w:sz w:val="16"/>
                <w:szCs w:val="14"/>
              </w:rPr>
            </w:pPr>
            <w:r w:rsidRPr="00DE10D2">
              <w:rPr>
                <w:sz w:val="16"/>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C598F49" w14:textId="77777777" w:rsidR="00B56301" w:rsidRPr="002010BD" w:rsidRDefault="00B56301" w:rsidP="00B37B65">
            <w:pPr>
              <w:jc w:val="right"/>
              <w:rPr>
                <w:rFonts w:asciiTheme="minorHAnsi" w:hAnsiTheme="minorHAnsi"/>
                <w:sz w:val="16"/>
                <w:szCs w:val="14"/>
              </w:rPr>
            </w:pPr>
            <w:r w:rsidRPr="00DE10D2">
              <w:rPr>
                <w:sz w:val="16"/>
                <w:szCs w:val="18"/>
              </w:rPr>
              <w:t>0,01</w:t>
            </w:r>
          </w:p>
        </w:tc>
        <w:tc>
          <w:tcPr>
            <w:tcW w:w="1745" w:type="dxa"/>
            <w:tcBorders>
              <w:top w:val="nil"/>
              <w:left w:val="nil"/>
              <w:bottom w:val="single" w:sz="4" w:space="0" w:color="auto"/>
              <w:right w:val="single" w:sz="4" w:space="0" w:color="auto"/>
            </w:tcBorders>
            <w:shd w:val="clear" w:color="000000" w:fill="FFFFFF"/>
            <w:noWrap/>
            <w:vAlign w:val="bottom"/>
            <w:hideMark/>
          </w:tcPr>
          <w:p w14:paraId="22DAB532" w14:textId="77777777" w:rsidR="00B56301" w:rsidRPr="002010BD" w:rsidRDefault="00B56301" w:rsidP="00B37B65">
            <w:pPr>
              <w:jc w:val="right"/>
              <w:rPr>
                <w:rFonts w:asciiTheme="minorHAnsi" w:hAnsiTheme="minorHAnsi"/>
                <w:sz w:val="16"/>
                <w:szCs w:val="14"/>
              </w:rPr>
            </w:pPr>
            <w:r w:rsidRPr="00DE10D2">
              <w:rPr>
                <w:sz w:val="16"/>
                <w:szCs w:val="18"/>
              </w:rPr>
              <w:t>-83,45</w:t>
            </w:r>
          </w:p>
        </w:tc>
      </w:tr>
      <w:tr w:rsidR="00B56301" w:rsidRPr="00C2292B" w14:paraId="1600756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1091006" w14:textId="74B4E90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Electronic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63B8A84B"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E1D3796"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1EA5661"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833C38" w14:paraId="5575AB5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2AA47957" w14:textId="5B5D07E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Product uses as ODS substitutes</w:t>
            </w:r>
          </w:p>
        </w:tc>
        <w:tc>
          <w:tcPr>
            <w:tcW w:w="992" w:type="dxa"/>
            <w:tcBorders>
              <w:top w:val="nil"/>
              <w:left w:val="nil"/>
              <w:bottom w:val="single" w:sz="4" w:space="0" w:color="auto"/>
              <w:right w:val="single" w:sz="4" w:space="0" w:color="auto"/>
            </w:tcBorders>
            <w:shd w:val="clear" w:color="000000" w:fill="969696"/>
            <w:noWrap/>
            <w:vAlign w:val="bottom"/>
            <w:hideMark/>
          </w:tcPr>
          <w:p w14:paraId="02CFBA54"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62BD312"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0A4D6057"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r>
      <w:tr w:rsidR="00B56301" w:rsidRPr="00C2292B" w14:paraId="2FC575A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1E3A27BB" w14:textId="1B05696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G.</w:t>
            </w:r>
            <w:r w:rsidR="00260E0B">
              <w:rPr>
                <w:rFonts w:asciiTheme="minorHAnsi" w:hAnsiTheme="minorHAnsi"/>
                <w:sz w:val="16"/>
                <w:szCs w:val="14"/>
                <w:lang w:val="en-GB"/>
              </w:rPr>
              <w:t xml:space="preserve"> </w:t>
            </w:r>
            <w:r w:rsidRPr="002010BD">
              <w:rPr>
                <w:rFonts w:asciiTheme="minorHAnsi" w:hAnsiTheme="minorHAnsi"/>
                <w:sz w:val="16"/>
                <w:szCs w:val="14"/>
                <w:lang w:val="en-GB"/>
              </w:rPr>
              <w:t xml:space="preserve">Other product manufacture and use </w:t>
            </w:r>
          </w:p>
        </w:tc>
        <w:tc>
          <w:tcPr>
            <w:tcW w:w="992" w:type="dxa"/>
            <w:tcBorders>
              <w:top w:val="nil"/>
              <w:left w:val="nil"/>
              <w:bottom w:val="single" w:sz="4" w:space="0" w:color="auto"/>
              <w:right w:val="single" w:sz="4" w:space="0" w:color="auto"/>
            </w:tcBorders>
            <w:shd w:val="clear" w:color="000000" w:fill="FFFFFF"/>
            <w:noWrap/>
            <w:vAlign w:val="bottom"/>
            <w:hideMark/>
          </w:tcPr>
          <w:p w14:paraId="3812FA97"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4B243B89"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480CD7F4"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6D8FB69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45400CA5" w14:textId="39A9ACF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2" w:type="dxa"/>
            <w:tcBorders>
              <w:top w:val="nil"/>
              <w:left w:val="nil"/>
              <w:bottom w:val="single" w:sz="4" w:space="0" w:color="auto"/>
              <w:right w:val="single" w:sz="4" w:space="0" w:color="auto"/>
            </w:tcBorders>
            <w:shd w:val="clear" w:color="000000" w:fill="FFFFFF"/>
            <w:noWrap/>
            <w:vAlign w:val="bottom"/>
            <w:hideMark/>
          </w:tcPr>
          <w:p w14:paraId="4531E285" w14:textId="77777777" w:rsidR="00B56301" w:rsidRPr="002010BD" w:rsidRDefault="00B56301" w:rsidP="00B37B65">
            <w:pPr>
              <w:jc w:val="right"/>
              <w:rPr>
                <w:rFonts w:asciiTheme="minorHAnsi" w:hAnsiTheme="minorHAnsi"/>
                <w:sz w:val="16"/>
                <w:szCs w:val="14"/>
              </w:rPr>
            </w:pPr>
            <w:r w:rsidRPr="00DE10D2">
              <w:rPr>
                <w:sz w:val="16"/>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CBD438" w14:textId="77777777" w:rsidR="00B56301" w:rsidRPr="002010BD" w:rsidRDefault="00B56301" w:rsidP="00B37B65">
            <w:pPr>
              <w:jc w:val="right"/>
              <w:rPr>
                <w:rFonts w:asciiTheme="minorHAnsi" w:hAnsiTheme="minorHAnsi"/>
                <w:sz w:val="16"/>
                <w:szCs w:val="14"/>
              </w:rPr>
            </w:pPr>
            <w:r w:rsidRPr="00DE10D2">
              <w:rPr>
                <w:sz w:val="16"/>
                <w:szCs w:val="18"/>
              </w:rPr>
              <w:t>NO,NA</w:t>
            </w:r>
          </w:p>
        </w:tc>
        <w:tc>
          <w:tcPr>
            <w:tcW w:w="1745" w:type="dxa"/>
            <w:tcBorders>
              <w:top w:val="nil"/>
              <w:left w:val="nil"/>
              <w:bottom w:val="single" w:sz="4" w:space="0" w:color="auto"/>
              <w:right w:val="single" w:sz="4" w:space="0" w:color="auto"/>
            </w:tcBorders>
            <w:shd w:val="clear" w:color="000000" w:fill="FFFFFF"/>
            <w:noWrap/>
            <w:vAlign w:val="bottom"/>
            <w:hideMark/>
          </w:tcPr>
          <w:p w14:paraId="17994243"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57A90F6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bottom"/>
            <w:hideMark/>
          </w:tcPr>
          <w:p w14:paraId="3D5DA0AB" w14:textId="3D5D9F6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3.</w:t>
            </w:r>
            <w:r w:rsidR="00260E0B">
              <w:rPr>
                <w:rFonts w:asciiTheme="minorHAnsi" w:hAnsiTheme="minorHAnsi"/>
                <w:b/>
                <w:bCs/>
                <w:sz w:val="16"/>
                <w:szCs w:val="14"/>
              </w:rPr>
              <w:t xml:space="preserve"> </w:t>
            </w:r>
            <w:r w:rsidRPr="002010BD">
              <w:rPr>
                <w:rFonts w:asciiTheme="minorHAnsi" w:hAnsiTheme="minorHAnsi"/>
                <w:b/>
                <w:bCs/>
                <w:sz w:val="16"/>
                <w:szCs w:val="14"/>
              </w:rPr>
              <w:t>Agriculture</w:t>
            </w:r>
          </w:p>
        </w:tc>
        <w:tc>
          <w:tcPr>
            <w:tcW w:w="992" w:type="dxa"/>
            <w:tcBorders>
              <w:top w:val="nil"/>
              <w:left w:val="nil"/>
              <w:bottom w:val="single" w:sz="4" w:space="0" w:color="auto"/>
              <w:right w:val="single" w:sz="4" w:space="0" w:color="auto"/>
            </w:tcBorders>
            <w:shd w:val="clear" w:color="000000" w:fill="CCFFFF"/>
            <w:noWrap/>
            <w:vAlign w:val="bottom"/>
            <w:hideMark/>
          </w:tcPr>
          <w:p w14:paraId="4BE98EDF" w14:textId="77777777" w:rsidR="00B56301" w:rsidRPr="002010BD" w:rsidRDefault="00B56301" w:rsidP="00B37B65">
            <w:pPr>
              <w:jc w:val="right"/>
              <w:rPr>
                <w:rFonts w:asciiTheme="minorHAnsi" w:hAnsiTheme="minorHAnsi"/>
                <w:sz w:val="16"/>
                <w:szCs w:val="14"/>
              </w:rPr>
            </w:pPr>
            <w:r w:rsidRPr="00DE10D2">
              <w:rPr>
                <w:sz w:val="16"/>
                <w:szCs w:val="18"/>
              </w:rPr>
              <w:t>1497,81</w:t>
            </w:r>
          </w:p>
        </w:tc>
        <w:tc>
          <w:tcPr>
            <w:tcW w:w="992" w:type="dxa"/>
            <w:tcBorders>
              <w:top w:val="nil"/>
              <w:left w:val="nil"/>
              <w:bottom w:val="single" w:sz="4" w:space="0" w:color="auto"/>
              <w:right w:val="single" w:sz="4" w:space="0" w:color="auto"/>
            </w:tcBorders>
            <w:shd w:val="clear" w:color="000000" w:fill="CCFFFF"/>
            <w:noWrap/>
            <w:vAlign w:val="bottom"/>
            <w:hideMark/>
          </w:tcPr>
          <w:p w14:paraId="5A1AD72E" w14:textId="77777777" w:rsidR="00B56301" w:rsidRPr="002010BD" w:rsidRDefault="00B56301" w:rsidP="00B37B65">
            <w:pPr>
              <w:jc w:val="right"/>
              <w:rPr>
                <w:rFonts w:asciiTheme="minorHAnsi" w:hAnsiTheme="minorHAnsi"/>
                <w:sz w:val="16"/>
                <w:szCs w:val="14"/>
              </w:rPr>
            </w:pPr>
            <w:r w:rsidRPr="00DE10D2">
              <w:rPr>
                <w:sz w:val="16"/>
                <w:szCs w:val="18"/>
              </w:rPr>
              <w:t>1479,95</w:t>
            </w:r>
          </w:p>
        </w:tc>
        <w:tc>
          <w:tcPr>
            <w:tcW w:w="1745" w:type="dxa"/>
            <w:tcBorders>
              <w:top w:val="nil"/>
              <w:left w:val="nil"/>
              <w:bottom w:val="single" w:sz="4" w:space="0" w:color="auto"/>
              <w:right w:val="single" w:sz="4" w:space="0" w:color="auto"/>
            </w:tcBorders>
            <w:shd w:val="clear" w:color="000000" w:fill="CCFFFF"/>
            <w:noWrap/>
            <w:vAlign w:val="bottom"/>
            <w:hideMark/>
          </w:tcPr>
          <w:p w14:paraId="52BDD534" w14:textId="77777777" w:rsidR="00B56301" w:rsidRPr="002010BD" w:rsidRDefault="00B56301" w:rsidP="00B37B65">
            <w:pPr>
              <w:jc w:val="right"/>
              <w:rPr>
                <w:rFonts w:asciiTheme="minorHAnsi" w:hAnsiTheme="minorHAnsi"/>
                <w:sz w:val="16"/>
                <w:szCs w:val="14"/>
              </w:rPr>
            </w:pPr>
            <w:r w:rsidRPr="00DE10D2">
              <w:rPr>
                <w:sz w:val="16"/>
                <w:szCs w:val="18"/>
              </w:rPr>
              <w:t>-12,36</w:t>
            </w:r>
          </w:p>
        </w:tc>
      </w:tr>
      <w:tr w:rsidR="00B56301" w:rsidRPr="00C2292B" w14:paraId="00B02DE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C077ED" w14:textId="4BB90F2E"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Enteric fermentation</w:t>
            </w:r>
          </w:p>
        </w:tc>
        <w:tc>
          <w:tcPr>
            <w:tcW w:w="992" w:type="dxa"/>
            <w:tcBorders>
              <w:top w:val="nil"/>
              <w:left w:val="nil"/>
              <w:bottom w:val="single" w:sz="4" w:space="0" w:color="auto"/>
              <w:right w:val="single" w:sz="4" w:space="0" w:color="auto"/>
            </w:tcBorders>
            <w:shd w:val="clear" w:color="000000" w:fill="FFFFFF"/>
            <w:noWrap/>
            <w:vAlign w:val="bottom"/>
            <w:hideMark/>
          </w:tcPr>
          <w:p w14:paraId="71C57797" w14:textId="77777777" w:rsidR="00B56301" w:rsidRPr="002010BD" w:rsidRDefault="00B56301" w:rsidP="00B37B65">
            <w:pPr>
              <w:jc w:val="right"/>
              <w:rPr>
                <w:rFonts w:asciiTheme="minorHAnsi" w:hAnsiTheme="minorHAnsi"/>
                <w:sz w:val="16"/>
                <w:szCs w:val="14"/>
              </w:rPr>
            </w:pPr>
            <w:r w:rsidRPr="00DE10D2">
              <w:rPr>
                <w:sz w:val="16"/>
                <w:szCs w:val="18"/>
              </w:rPr>
              <w:t>1 345,75</w:t>
            </w:r>
          </w:p>
        </w:tc>
        <w:tc>
          <w:tcPr>
            <w:tcW w:w="992" w:type="dxa"/>
            <w:tcBorders>
              <w:top w:val="nil"/>
              <w:left w:val="nil"/>
              <w:bottom w:val="single" w:sz="4" w:space="0" w:color="auto"/>
              <w:right w:val="single" w:sz="4" w:space="0" w:color="auto"/>
            </w:tcBorders>
            <w:shd w:val="clear" w:color="000000" w:fill="FFFFFF"/>
            <w:noWrap/>
            <w:vAlign w:val="bottom"/>
            <w:hideMark/>
          </w:tcPr>
          <w:p w14:paraId="3F89DA69" w14:textId="77777777" w:rsidR="00B56301" w:rsidRPr="002010BD" w:rsidRDefault="00B56301" w:rsidP="00B37B65">
            <w:pPr>
              <w:jc w:val="right"/>
              <w:rPr>
                <w:rFonts w:asciiTheme="minorHAnsi" w:hAnsiTheme="minorHAnsi"/>
                <w:sz w:val="16"/>
                <w:szCs w:val="14"/>
              </w:rPr>
            </w:pPr>
            <w:r w:rsidRPr="00DE10D2">
              <w:rPr>
                <w:sz w:val="16"/>
                <w:szCs w:val="18"/>
              </w:rPr>
              <w:t>1 325,46</w:t>
            </w:r>
          </w:p>
        </w:tc>
        <w:tc>
          <w:tcPr>
            <w:tcW w:w="1745" w:type="dxa"/>
            <w:tcBorders>
              <w:top w:val="nil"/>
              <w:left w:val="nil"/>
              <w:bottom w:val="single" w:sz="4" w:space="0" w:color="auto"/>
              <w:right w:val="single" w:sz="4" w:space="0" w:color="auto"/>
            </w:tcBorders>
            <w:shd w:val="clear" w:color="000000" w:fill="FFFFFF"/>
            <w:noWrap/>
            <w:vAlign w:val="bottom"/>
            <w:hideMark/>
          </w:tcPr>
          <w:p w14:paraId="268CC00B" w14:textId="77777777" w:rsidR="00B56301" w:rsidRPr="002010BD" w:rsidRDefault="00B56301" w:rsidP="00B37B65">
            <w:pPr>
              <w:jc w:val="right"/>
              <w:rPr>
                <w:rFonts w:asciiTheme="minorHAnsi" w:hAnsiTheme="minorHAnsi"/>
                <w:sz w:val="16"/>
                <w:szCs w:val="14"/>
              </w:rPr>
            </w:pPr>
            <w:r w:rsidRPr="00DE10D2">
              <w:rPr>
                <w:sz w:val="16"/>
                <w:szCs w:val="18"/>
              </w:rPr>
              <w:t>-14,22</w:t>
            </w:r>
          </w:p>
        </w:tc>
      </w:tr>
      <w:tr w:rsidR="00B56301" w:rsidRPr="00C2292B" w14:paraId="2D2B355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1DEC554" w14:textId="15882C9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Manure management</w:t>
            </w:r>
          </w:p>
        </w:tc>
        <w:tc>
          <w:tcPr>
            <w:tcW w:w="992" w:type="dxa"/>
            <w:tcBorders>
              <w:top w:val="nil"/>
              <w:left w:val="nil"/>
              <w:bottom w:val="single" w:sz="4" w:space="0" w:color="auto"/>
              <w:right w:val="single" w:sz="4" w:space="0" w:color="auto"/>
            </w:tcBorders>
            <w:shd w:val="clear" w:color="000000" w:fill="FFFFFF"/>
            <w:noWrap/>
            <w:vAlign w:val="bottom"/>
            <w:hideMark/>
          </w:tcPr>
          <w:p w14:paraId="5A44CE07" w14:textId="77777777" w:rsidR="00B56301" w:rsidRPr="002010BD" w:rsidRDefault="00B56301" w:rsidP="00B37B65">
            <w:pPr>
              <w:jc w:val="right"/>
              <w:rPr>
                <w:rFonts w:asciiTheme="minorHAnsi" w:hAnsiTheme="minorHAnsi"/>
                <w:sz w:val="16"/>
                <w:szCs w:val="14"/>
              </w:rPr>
            </w:pPr>
            <w:r w:rsidRPr="00DE10D2">
              <w:rPr>
                <w:sz w:val="16"/>
                <w:szCs w:val="18"/>
              </w:rPr>
              <w:t>149,24</w:t>
            </w:r>
          </w:p>
        </w:tc>
        <w:tc>
          <w:tcPr>
            <w:tcW w:w="992" w:type="dxa"/>
            <w:tcBorders>
              <w:top w:val="nil"/>
              <w:left w:val="nil"/>
              <w:bottom w:val="single" w:sz="4" w:space="0" w:color="auto"/>
              <w:right w:val="single" w:sz="4" w:space="0" w:color="auto"/>
            </w:tcBorders>
            <w:shd w:val="clear" w:color="000000" w:fill="FFFFFF"/>
            <w:noWrap/>
            <w:vAlign w:val="bottom"/>
            <w:hideMark/>
          </w:tcPr>
          <w:p w14:paraId="1CA0D5D2" w14:textId="77777777" w:rsidR="00B56301" w:rsidRPr="002010BD" w:rsidRDefault="00B56301" w:rsidP="00B37B65">
            <w:pPr>
              <w:jc w:val="right"/>
              <w:rPr>
                <w:rFonts w:asciiTheme="minorHAnsi" w:hAnsiTheme="minorHAnsi"/>
                <w:sz w:val="16"/>
                <w:szCs w:val="14"/>
              </w:rPr>
            </w:pPr>
            <w:r w:rsidRPr="00DE10D2">
              <w:rPr>
                <w:sz w:val="16"/>
                <w:szCs w:val="18"/>
              </w:rPr>
              <w:t>151,83</w:t>
            </w:r>
          </w:p>
        </w:tc>
        <w:tc>
          <w:tcPr>
            <w:tcW w:w="1745" w:type="dxa"/>
            <w:tcBorders>
              <w:top w:val="nil"/>
              <w:left w:val="nil"/>
              <w:bottom w:val="single" w:sz="4" w:space="0" w:color="auto"/>
              <w:right w:val="single" w:sz="4" w:space="0" w:color="auto"/>
            </w:tcBorders>
            <w:shd w:val="clear" w:color="000000" w:fill="FFFFFF"/>
            <w:noWrap/>
            <w:vAlign w:val="bottom"/>
            <w:hideMark/>
          </w:tcPr>
          <w:p w14:paraId="61379A66" w14:textId="77777777" w:rsidR="00B56301" w:rsidRPr="002010BD" w:rsidRDefault="00B56301" w:rsidP="00B37B65">
            <w:pPr>
              <w:jc w:val="right"/>
              <w:rPr>
                <w:rFonts w:asciiTheme="minorHAnsi" w:hAnsiTheme="minorHAnsi"/>
                <w:sz w:val="16"/>
                <w:szCs w:val="14"/>
              </w:rPr>
            </w:pPr>
            <w:r w:rsidRPr="00DE10D2">
              <w:rPr>
                <w:sz w:val="16"/>
                <w:szCs w:val="18"/>
              </w:rPr>
              <w:t>9,69</w:t>
            </w:r>
          </w:p>
        </w:tc>
      </w:tr>
      <w:tr w:rsidR="00B56301" w:rsidRPr="00C2292B" w14:paraId="7BC0774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DAA0EDD" w14:textId="2424086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Rice cultivation</w:t>
            </w:r>
          </w:p>
        </w:tc>
        <w:tc>
          <w:tcPr>
            <w:tcW w:w="992" w:type="dxa"/>
            <w:tcBorders>
              <w:top w:val="nil"/>
              <w:left w:val="nil"/>
              <w:bottom w:val="single" w:sz="4" w:space="0" w:color="auto"/>
              <w:right w:val="single" w:sz="4" w:space="0" w:color="auto"/>
            </w:tcBorders>
            <w:shd w:val="clear" w:color="000000" w:fill="FFFFFF"/>
            <w:noWrap/>
            <w:vAlign w:val="bottom"/>
            <w:hideMark/>
          </w:tcPr>
          <w:p w14:paraId="30092055" w14:textId="77777777" w:rsidR="00B56301" w:rsidRPr="002010BD" w:rsidRDefault="00B56301" w:rsidP="00B37B65">
            <w:pPr>
              <w:jc w:val="right"/>
              <w:rPr>
                <w:rFonts w:asciiTheme="minorHAnsi" w:hAnsiTheme="minorHAnsi"/>
                <w:sz w:val="16"/>
                <w:szCs w:val="14"/>
              </w:rPr>
            </w:pPr>
            <w:r w:rsidRPr="00DE10D2">
              <w:rPr>
                <w:sz w:val="16"/>
                <w:szCs w:val="18"/>
              </w:rPr>
              <w:t>1,56</w:t>
            </w:r>
          </w:p>
        </w:tc>
        <w:tc>
          <w:tcPr>
            <w:tcW w:w="992" w:type="dxa"/>
            <w:tcBorders>
              <w:top w:val="nil"/>
              <w:left w:val="nil"/>
              <w:bottom w:val="single" w:sz="4" w:space="0" w:color="auto"/>
              <w:right w:val="single" w:sz="4" w:space="0" w:color="auto"/>
            </w:tcBorders>
            <w:shd w:val="clear" w:color="000000" w:fill="FFFFFF"/>
            <w:noWrap/>
            <w:vAlign w:val="bottom"/>
            <w:hideMark/>
          </w:tcPr>
          <w:p w14:paraId="692A3405" w14:textId="77777777" w:rsidR="00B56301" w:rsidRPr="002010BD" w:rsidRDefault="00B56301" w:rsidP="00B37B65">
            <w:pPr>
              <w:jc w:val="right"/>
              <w:rPr>
                <w:rFonts w:asciiTheme="minorHAnsi" w:hAnsiTheme="minorHAnsi"/>
                <w:sz w:val="16"/>
                <w:szCs w:val="14"/>
              </w:rPr>
            </w:pPr>
            <w:r w:rsidRPr="00DE10D2">
              <w:rPr>
                <w:sz w:val="16"/>
                <w:szCs w:val="18"/>
              </w:rPr>
              <w:t>1,53</w:t>
            </w:r>
          </w:p>
        </w:tc>
        <w:tc>
          <w:tcPr>
            <w:tcW w:w="1745" w:type="dxa"/>
            <w:tcBorders>
              <w:top w:val="nil"/>
              <w:left w:val="nil"/>
              <w:bottom w:val="single" w:sz="4" w:space="0" w:color="auto"/>
              <w:right w:val="single" w:sz="4" w:space="0" w:color="auto"/>
            </w:tcBorders>
            <w:shd w:val="clear" w:color="000000" w:fill="FFFFFF"/>
            <w:noWrap/>
            <w:vAlign w:val="bottom"/>
            <w:hideMark/>
          </w:tcPr>
          <w:p w14:paraId="131A872D" w14:textId="77777777" w:rsidR="00B56301" w:rsidRPr="002010BD" w:rsidRDefault="00B56301" w:rsidP="00B37B65">
            <w:pPr>
              <w:jc w:val="right"/>
              <w:rPr>
                <w:rFonts w:asciiTheme="minorHAnsi" w:hAnsiTheme="minorHAnsi"/>
                <w:sz w:val="16"/>
                <w:szCs w:val="14"/>
              </w:rPr>
            </w:pPr>
            <w:r w:rsidRPr="00DE10D2">
              <w:rPr>
                <w:sz w:val="16"/>
                <w:szCs w:val="18"/>
              </w:rPr>
              <w:t>-34,35</w:t>
            </w:r>
          </w:p>
        </w:tc>
      </w:tr>
      <w:tr w:rsidR="00B56301" w:rsidRPr="00C2292B" w14:paraId="471AE116"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1ACC5E5" w14:textId="156440CD"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Agricultural soils</w:t>
            </w:r>
          </w:p>
        </w:tc>
        <w:tc>
          <w:tcPr>
            <w:tcW w:w="992" w:type="dxa"/>
            <w:tcBorders>
              <w:top w:val="nil"/>
              <w:left w:val="nil"/>
              <w:bottom w:val="single" w:sz="4" w:space="0" w:color="auto"/>
              <w:right w:val="single" w:sz="4" w:space="0" w:color="auto"/>
            </w:tcBorders>
            <w:shd w:val="clear" w:color="000000" w:fill="FFFFFF"/>
            <w:noWrap/>
            <w:vAlign w:val="bottom"/>
            <w:hideMark/>
          </w:tcPr>
          <w:p w14:paraId="7C30B9A1"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44E54B7"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7C14DACD"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14407A4B"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D39D125" w14:textId="4216ADF9"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E.</w:t>
            </w:r>
            <w:r w:rsidR="00260E0B">
              <w:rPr>
                <w:rFonts w:asciiTheme="minorHAnsi" w:hAnsiTheme="minorHAnsi"/>
                <w:sz w:val="16"/>
                <w:szCs w:val="14"/>
                <w:lang w:val="en-GB"/>
              </w:rPr>
              <w:t xml:space="preserve"> </w:t>
            </w:r>
            <w:r w:rsidRPr="002010BD">
              <w:rPr>
                <w:rFonts w:asciiTheme="minorHAnsi" w:hAnsiTheme="minorHAnsi"/>
                <w:sz w:val="16"/>
                <w:szCs w:val="14"/>
                <w:lang w:val="en-GB"/>
              </w:rPr>
              <w:t>Prescribed burning of savannas</w:t>
            </w:r>
          </w:p>
        </w:tc>
        <w:tc>
          <w:tcPr>
            <w:tcW w:w="992" w:type="dxa"/>
            <w:tcBorders>
              <w:top w:val="nil"/>
              <w:left w:val="nil"/>
              <w:bottom w:val="single" w:sz="4" w:space="0" w:color="auto"/>
              <w:right w:val="single" w:sz="4" w:space="0" w:color="auto"/>
            </w:tcBorders>
            <w:shd w:val="clear" w:color="000000" w:fill="FFFFFF"/>
            <w:noWrap/>
            <w:vAlign w:val="bottom"/>
            <w:hideMark/>
          </w:tcPr>
          <w:p w14:paraId="5E197592"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1C04912"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18BFE1A7"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3576685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8A052AF" w14:textId="7B1CF774"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F.</w:t>
            </w:r>
            <w:r w:rsidR="00260E0B">
              <w:rPr>
                <w:rFonts w:asciiTheme="minorHAnsi" w:hAnsiTheme="minorHAnsi"/>
                <w:sz w:val="16"/>
                <w:szCs w:val="14"/>
                <w:lang w:val="en-GB"/>
              </w:rPr>
              <w:t xml:space="preserve"> </w:t>
            </w:r>
            <w:r w:rsidRPr="002010BD">
              <w:rPr>
                <w:rFonts w:asciiTheme="minorHAnsi" w:hAnsiTheme="minorHAnsi"/>
                <w:sz w:val="16"/>
                <w:szCs w:val="14"/>
                <w:lang w:val="en-GB"/>
              </w:rPr>
              <w:t>Field burning of agricultural residues</w:t>
            </w:r>
          </w:p>
        </w:tc>
        <w:tc>
          <w:tcPr>
            <w:tcW w:w="992" w:type="dxa"/>
            <w:tcBorders>
              <w:top w:val="nil"/>
              <w:left w:val="nil"/>
              <w:bottom w:val="single" w:sz="4" w:space="0" w:color="auto"/>
              <w:right w:val="single" w:sz="4" w:space="0" w:color="auto"/>
            </w:tcBorders>
            <w:shd w:val="clear" w:color="000000" w:fill="FFFFFF"/>
            <w:noWrap/>
            <w:vAlign w:val="bottom"/>
            <w:hideMark/>
          </w:tcPr>
          <w:p w14:paraId="0990C956" w14:textId="77777777" w:rsidR="00B56301" w:rsidRPr="002010BD" w:rsidRDefault="00B56301" w:rsidP="00B37B65">
            <w:pPr>
              <w:jc w:val="right"/>
              <w:rPr>
                <w:rFonts w:asciiTheme="minorHAnsi" w:hAnsiTheme="minorHAnsi"/>
                <w:sz w:val="16"/>
                <w:szCs w:val="14"/>
              </w:rPr>
            </w:pPr>
            <w:r w:rsidRPr="00DE10D2">
              <w:rPr>
                <w:sz w:val="16"/>
                <w:szCs w:val="18"/>
              </w:rPr>
              <w:t>1,26</w:t>
            </w:r>
          </w:p>
        </w:tc>
        <w:tc>
          <w:tcPr>
            <w:tcW w:w="992" w:type="dxa"/>
            <w:tcBorders>
              <w:top w:val="nil"/>
              <w:left w:val="nil"/>
              <w:bottom w:val="single" w:sz="4" w:space="0" w:color="auto"/>
              <w:right w:val="single" w:sz="4" w:space="0" w:color="auto"/>
            </w:tcBorders>
            <w:shd w:val="clear" w:color="000000" w:fill="FFFFFF"/>
            <w:noWrap/>
            <w:vAlign w:val="bottom"/>
            <w:hideMark/>
          </w:tcPr>
          <w:p w14:paraId="12889FD8" w14:textId="77777777" w:rsidR="00B56301" w:rsidRPr="002010BD" w:rsidRDefault="00B56301" w:rsidP="00B37B65">
            <w:pPr>
              <w:jc w:val="right"/>
              <w:rPr>
                <w:rFonts w:asciiTheme="minorHAnsi" w:hAnsiTheme="minorHAnsi"/>
                <w:sz w:val="16"/>
                <w:szCs w:val="14"/>
              </w:rPr>
            </w:pPr>
            <w:r w:rsidRPr="00DE10D2">
              <w:rPr>
                <w:sz w:val="16"/>
                <w:szCs w:val="18"/>
              </w:rPr>
              <w:t>1,13</w:t>
            </w:r>
          </w:p>
        </w:tc>
        <w:tc>
          <w:tcPr>
            <w:tcW w:w="1745" w:type="dxa"/>
            <w:tcBorders>
              <w:top w:val="nil"/>
              <w:left w:val="nil"/>
              <w:bottom w:val="single" w:sz="4" w:space="0" w:color="auto"/>
              <w:right w:val="single" w:sz="4" w:space="0" w:color="auto"/>
            </w:tcBorders>
            <w:shd w:val="clear" w:color="000000" w:fill="FFFFFF"/>
            <w:noWrap/>
            <w:vAlign w:val="bottom"/>
            <w:hideMark/>
          </w:tcPr>
          <w:p w14:paraId="1E68CC68" w14:textId="77777777" w:rsidR="00B56301" w:rsidRPr="002010BD" w:rsidRDefault="00B56301" w:rsidP="00B37B65">
            <w:pPr>
              <w:jc w:val="right"/>
              <w:rPr>
                <w:rFonts w:asciiTheme="minorHAnsi" w:hAnsiTheme="minorHAnsi"/>
                <w:sz w:val="16"/>
                <w:szCs w:val="14"/>
              </w:rPr>
            </w:pPr>
            <w:r w:rsidRPr="00DE10D2">
              <w:rPr>
                <w:sz w:val="16"/>
                <w:szCs w:val="18"/>
              </w:rPr>
              <w:t>-59,16</w:t>
            </w:r>
          </w:p>
        </w:tc>
      </w:tr>
      <w:tr w:rsidR="00B56301" w:rsidRPr="00C2292B" w14:paraId="7B90E24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1A8D4159" w14:textId="214E20B8"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Liming</w:t>
            </w:r>
          </w:p>
        </w:tc>
        <w:tc>
          <w:tcPr>
            <w:tcW w:w="992" w:type="dxa"/>
            <w:tcBorders>
              <w:top w:val="nil"/>
              <w:left w:val="nil"/>
              <w:bottom w:val="single" w:sz="4" w:space="0" w:color="auto"/>
              <w:right w:val="single" w:sz="4" w:space="0" w:color="auto"/>
            </w:tcBorders>
            <w:shd w:val="clear" w:color="000000" w:fill="969696"/>
            <w:noWrap/>
            <w:vAlign w:val="bottom"/>
            <w:hideMark/>
          </w:tcPr>
          <w:p w14:paraId="3810BD36"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5379E33"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71BD05B5"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4CCEC8F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045521A" w14:textId="4D49E4D2"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Urea application</w:t>
            </w:r>
          </w:p>
        </w:tc>
        <w:tc>
          <w:tcPr>
            <w:tcW w:w="992" w:type="dxa"/>
            <w:tcBorders>
              <w:top w:val="nil"/>
              <w:left w:val="nil"/>
              <w:bottom w:val="single" w:sz="4" w:space="0" w:color="auto"/>
              <w:right w:val="single" w:sz="4" w:space="0" w:color="auto"/>
            </w:tcBorders>
            <w:shd w:val="clear" w:color="000000" w:fill="969696"/>
            <w:noWrap/>
            <w:vAlign w:val="bottom"/>
            <w:hideMark/>
          </w:tcPr>
          <w:p w14:paraId="7E6B6B9C"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A0C3A67"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2297DE0"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833C38" w14:paraId="25259C0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400E70D" w14:textId="26DC2C0D"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I.</w:t>
            </w:r>
            <w:r w:rsidR="00260E0B">
              <w:rPr>
                <w:rFonts w:asciiTheme="minorHAnsi" w:hAnsiTheme="minorHAnsi"/>
                <w:sz w:val="16"/>
                <w:szCs w:val="14"/>
                <w:lang w:val="en-GB"/>
              </w:rPr>
              <w:t xml:space="preserve"> </w:t>
            </w:r>
            <w:r w:rsidRPr="002010BD">
              <w:rPr>
                <w:rFonts w:asciiTheme="minorHAnsi" w:hAnsiTheme="minorHAnsi"/>
                <w:sz w:val="16"/>
                <w:szCs w:val="14"/>
                <w:lang w:val="en-GB"/>
              </w:rPr>
              <w:t>Other carbon-containing fertilizers</w:t>
            </w:r>
          </w:p>
        </w:tc>
        <w:tc>
          <w:tcPr>
            <w:tcW w:w="992" w:type="dxa"/>
            <w:tcBorders>
              <w:top w:val="nil"/>
              <w:left w:val="nil"/>
              <w:bottom w:val="single" w:sz="4" w:space="0" w:color="auto"/>
              <w:right w:val="single" w:sz="4" w:space="0" w:color="auto"/>
            </w:tcBorders>
            <w:shd w:val="clear" w:color="000000" w:fill="969696"/>
            <w:noWrap/>
            <w:vAlign w:val="bottom"/>
            <w:hideMark/>
          </w:tcPr>
          <w:p w14:paraId="21ACBB76"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AA05A42"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74B37F3F"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r>
      <w:tr w:rsidR="00B56301" w:rsidRPr="00C2292B" w14:paraId="59817DC0"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EDFBA65" w14:textId="6792A771"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J.</w:t>
            </w:r>
            <w:r w:rsidR="00260E0B">
              <w:rPr>
                <w:rFonts w:asciiTheme="minorHAnsi" w:hAnsiTheme="minorHAnsi"/>
                <w:sz w:val="16"/>
                <w:szCs w:val="14"/>
              </w:rPr>
              <w:t xml:space="preserve"> </w:t>
            </w:r>
            <w:r w:rsidRPr="002010BD">
              <w:rPr>
                <w:rFonts w:asciiTheme="minorHAnsi" w:hAnsiTheme="minorHAnsi"/>
                <w:sz w:val="16"/>
                <w:szCs w:val="14"/>
              </w:rPr>
              <w:t xml:space="preserve">Other </w:t>
            </w:r>
          </w:p>
        </w:tc>
        <w:tc>
          <w:tcPr>
            <w:tcW w:w="992" w:type="dxa"/>
            <w:tcBorders>
              <w:top w:val="nil"/>
              <w:left w:val="nil"/>
              <w:bottom w:val="single" w:sz="4" w:space="0" w:color="auto"/>
              <w:right w:val="single" w:sz="4" w:space="0" w:color="auto"/>
            </w:tcBorders>
            <w:shd w:val="clear" w:color="000000" w:fill="FFFFFF"/>
            <w:noWrap/>
            <w:vAlign w:val="bottom"/>
            <w:hideMark/>
          </w:tcPr>
          <w:p w14:paraId="57FE8636"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A6FB76F"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0ADCF3CC"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0265846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bottom"/>
            <w:hideMark/>
          </w:tcPr>
          <w:p w14:paraId="57C201C5"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4. Land use, land-use change and forestry</w:t>
            </w:r>
          </w:p>
        </w:tc>
        <w:tc>
          <w:tcPr>
            <w:tcW w:w="992" w:type="dxa"/>
            <w:tcBorders>
              <w:top w:val="nil"/>
              <w:left w:val="nil"/>
              <w:bottom w:val="single" w:sz="4" w:space="0" w:color="auto"/>
              <w:right w:val="single" w:sz="4" w:space="0" w:color="auto"/>
            </w:tcBorders>
            <w:shd w:val="clear" w:color="000000" w:fill="CCFFFF"/>
            <w:noWrap/>
            <w:vAlign w:val="bottom"/>
            <w:hideMark/>
          </w:tcPr>
          <w:p w14:paraId="48CAC64C" w14:textId="77777777" w:rsidR="00B56301" w:rsidRPr="002010BD" w:rsidRDefault="00B56301" w:rsidP="00B37B65">
            <w:pPr>
              <w:jc w:val="right"/>
              <w:rPr>
                <w:rFonts w:asciiTheme="minorHAnsi" w:hAnsiTheme="minorHAnsi"/>
                <w:sz w:val="16"/>
                <w:szCs w:val="14"/>
              </w:rPr>
            </w:pPr>
            <w:r w:rsidRPr="00DE10D2">
              <w:rPr>
                <w:sz w:val="16"/>
                <w:szCs w:val="18"/>
              </w:rPr>
              <w:t>45,50</w:t>
            </w:r>
          </w:p>
        </w:tc>
        <w:tc>
          <w:tcPr>
            <w:tcW w:w="992" w:type="dxa"/>
            <w:tcBorders>
              <w:top w:val="nil"/>
              <w:left w:val="nil"/>
              <w:bottom w:val="single" w:sz="4" w:space="0" w:color="auto"/>
              <w:right w:val="single" w:sz="4" w:space="0" w:color="auto"/>
            </w:tcBorders>
            <w:shd w:val="clear" w:color="000000" w:fill="CCFFFF"/>
            <w:noWrap/>
            <w:vAlign w:val="bottom"/>
            <w:hideMark/>
          </w:tcPr>
          <w:p w14:paraId="26262262" w14:textId="77777777" w:rsidR="00B56301" w:rsidRPr="002010BD" w:rsidRDefault="00B56301" w:rsidP="00B37B65">
            <w:pPr>
              <w:jc w:val="right"/>
              <w:rPr>
                <w:rFonts w:asciiTheme="minorHAnsi" w:hAnsiTheme="minorHAnsi"/>
                <w:sz w:val="16"/>
                <w:szCs w:val="14"/>
              </w:rPr>
            </w:pPr>
            <w:r w:rsidRPr="00DE10D2">
              <w:rPr>
                <w:sz w:val="16"/>
                <w:szCs w:val="18"/>
              </w:rPr>
              <w:t>44,23</w:t>
            </w:r>
          </w:p>
        </w:tc>
        <w:tc>
          <w:tcPr>
            <w:tcW w:w="1745" w:type="dxa"/>
            <w:tcBorders>
              <w:top w:val="nil"/>
              <w:left w:val="nil"/>
              <w:bottom w:val="single" w:sz="4" w:space="0" w:color="auto"/>
              <w:right w:val="single" w:sz="4" w:space="0" w:color="auto"/>
            </w:tcBorders>
            <w:shd w:val="clear" w:color="000000" w:fill="CCFFFF"/>
            <w:noWrap/>
            <w:vAlign w:val="bottom"/>
            <w:hideMark/>
          </w:tcPr>
          <w:p w14:paraId="2001DC1A" w14:textId="77777777" w:rsidR="00B56301" w:rsidRPr="002010BD" w:rsidRDefault="00B56301" w:rsidP="00B37B65">
            <w:pPr>
              <w:jc w:val="right"/>
              <w:rPr>
                <w:rFonts w:asciiTheme="minorHAnsi" w:hAnsiTheme="minorHAnsi"/>
                <w:sz w:val="16"/>
                <w:szCs w:val="14"/>
              </w:rPr>
            </w:pPr>
            <w:r w:rsidRPr="00DE10D2">
              <w:rPr>
                <w:sz w:val="16"/>
                <w:szCs w:val="18"/>
              </w:rPr>
              <w:t>18,56</w:t>
            </w:r>
          </w:p>
        </w:tc>
      </w:tr>
      <w:tr w:rsidR="00B56301" w:rsidRPr="00C2292B" w14:paraId="1D3E5A22"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950451" w14:textId="002E8727"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Forest land</w:t>
            </w:r>
          </w:p>
        </w:tc>
        <w:tc>
          <w:tcPr>
            <w:tcW w:w="992" w:type="dxa"/>
            <w:tcBorders>
              <w:top w:val="nil"/>
              <w:left w:val="nil"/>
              <w:bottom w:val="single" w:sz="4" w:space="0" w:color="auto"/>
              <w:right w:val="single" w:sz="4" w:space="0" w:color="auto"/>
            </w:tcBorders>
            <w:shd w:val="clear" w:color="000000" w:fill="FFFFFF"/>
            <w:noWrap/>
            <w:vAlign w:val="bottom"/>
            <w:hideMark/>
          </w:tcPr>
          <w:p w14:paraId="6ED340F0" w14:textId="77777777" w:rsidR="00B56301" w:rsidRPr="002010BD" w:rsidRDefault="00B56301" w:rsidP="00B37B65">
            <w:pPr>
              <w:jc w:val="right"/>
              <w:rPr>
                <w:rFonts w:asciiTheme="minorHAnsi" w:hAnsiTheme="minorHAnsi"/>
                <w:sz w:val="16"/>
                <w:szCs w:val="14"/>
              </w:rPr>
            </w:pPr>
            <w:r w:rsidRPr="00DE10D2">
              <w:rPr>
                <w:sz w:val="16"/>
                <w:szCs w:val="18"/>
              </w:rPr>
              <w:t>24,39</w:t>
            </w:r>
          </w:p>
        </w:tc>
        <w:tc>
          <w:tcPr>
            <w:tcW w:w="992" w:type="dxa"/>
            <w:tcBorders>
              <w:top w:val="nil"/>
              <w:left w:val="nil"/>
              <w:bottom w:val="single" w:sz="4" w:space="0" w:color="auto"/>
              <w:right w:val="single" w:sz="4" w:space="0" w:color="auto"/>
            </w:tcBorders>
            <w:shd w:val="clear" w:color="000000" w:fill="FFFFFF"/>
            <w:noWrap/>
            <w:vAlign w:val="bottom"/>
            <w:hideMark/>
          </w:tcPr>
          <w:p w14:paraId="396F19C9" w14:textId="77777777" w:rsidR="00B56301" w:rsidRPr="002010BD" w:rsidRDefault="00B56301" w:rsidP="00B37B65">
            <w:pPr>
              <w:jc w:val="right"/>
              <w:rPr>
                <w:rFonts w:asciiTheme="minorHAnsi" w:hAnsiTheme="minorHAnsi"/>
                <w:sz w:val="16"/>
                <w:szCs w:val="14"/>
              </w:rPr>
            </w:pPr>
            <w:r w:rsidRPr="00DE10D2">
              <w:rPr>
                <w:sz w:val="16"/>
                <w:szCs w:val="18"/>
              </w:rPr>
              <w:t>23,47</w:t>
            </w:r>
          </w:p>
        </w:tc>
        <w:tc>
          <w:tcPr>
            <w:tcW w:w="1745" w:type="dxa"/>
            <w:tcBorders>
              <w:top w:val="nil"/>
              <w:left w:val="nil"/>
              <w:bottom w:val="single" w:sz="4" w:space="0" w:color="auto"/>
              <w:right w:val="single" w:sz="4" w:space="0" w:color="auto"/>
            </w:tcBorders>
            <w:shd w:val="clear" w:color="000000" w:fill="FFFFFF"/>
            <w:noWrap/>
            <w:vAlign w:val="bottom"/>
            <w:hideMark/>
          </w:tcPr>
          <w:p w14:paraId="763D0038" w14:textId="77777777" w:rsidR="00B56301" w:rsidRPr="002010BD" w:rsidRDefault="00B56301" w:rsidP="00B37B65">
            <w:pPr>
              <w:jc w:val="right"/>
              <w:rPr>
                <w:rFonts w:asciiTheme="minorHAnsi" w:hAnsiTheme="minorHAnsi"/>
                <w:sz w:val="16"/>
                <w:szCs w:val="14"/>
              </w:rPr>
            </w:pPr>
            <w:r w:rsidRPr="00DE10D2">
              <w:rPr>
                <w:sz w:val="16"/>
                <w:szCs w:val="18"/>
              </w:rPr>
              <w:t>-2,54</w:t>
            </w:r>
          </w:p>
        </w:tc>
      </w:tr>
      <w:tr w:rsidR="00B56301" w:rsidRPr="00C2292B" w14:paraId="32245A67"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C149281" w14:textId="14038244"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B.</w:t>
            </w:r>
            <w:r w:rsidR="00260E0B">
              <w:rPr>
                <w:rFonts w:asciiTheme="minorHAnsi" w:hAnsiTheme="minorHAnsi"/>
                <w:sz w:val="16"/>
                <w:szCs w:val="14"/>
              </w:rPr>
              <w:t xml:space="preserve"> </w:t>
            </w:r>
            <w:r w:rsidRPr="002010BD">
              <w:rPr>
                <w:rFonts w:asciiTheme="minorHAnsi" w:hAnsiTheme="minorHAnsi"/>
                <w:sz w:val="16"/>
                <w:szCs w:val="14"/>
              </w:rPr>
              <w:t>Cropland</w:t>
            </w:r>
          </w:p>
        </w:tc>
        <w:tc>
          <w:tcPr>
            <w:tcW w:w="992" w:type="dxa"/>
            <w:tcBorders>
              <w:top w:val="nil"/>
              <w:left w:val="nil"/>
              <w:bottom w:val="single" w:sz="4" w:space="0" w:color="auto"/>
              <w:right w:val="single" w:sz="4" w:space="0" w:color="auto"/>
            </w:tcBorders>
            <w:shd w:val="clear" w:color="000000" w:fill="FFFFFF"/>
            <w:noWrap/>
            <w:vAlign w:val="bottom"/>
            <w:hideMark/>
          </w:tcPr>
          <w:p w14:paraId="3C455BFE" w14:textId="77777777" w:rsidR="00B56301" w:rsidRPr="002010BD" w:rsidRDefault="00B56301" w:rsidP="00B37B65">
            <w:pPr>
              <w:jc w:val="right"/>
              <w:rPr>
                <w:rFonts w:asciiTheme="minorHAnsi" w:hAnsiTheme="minorHAnsi"/>
                <w:sz w:val="16"/>
                <w:szCs w:val="14"/>
              </w:rPr>
            </w:pPr>
            <w:r w:rsidRPr="00DE10D2">
              <w:rPr>
                <w:sz w:val="16"/>
                <w:szCs w:val="18"/>
              </w:rPr>
              <w:t>4,46</w:t>
            </w:r>
          </w:p>
        </w:tc>
        <w:tc>
          <w:tcPr>
            <w:tcW w:w="992" w:type="dxa"/>
            <w:tcBorders>
              <w:top w:val="nil"/>
              <w:left w:val="nil"/>
              <w:bottom w:val="single" w:sz="4" w:space="0" w:color="auto"/>
              <w:right w:val="single" w:sz="4" w:space="0" w:color="auto"/>
            </w:tcBorders>
            <w:shd w:val="clear" w:color="000000" w:fill="FFFFFF"/>
            <w:noWrap/>
            <w:vAlign w:val="bottom"/>
            <w:hideMark/>
          </w:tcPr>
          <w:p w14:paraId="4BE7064D" w14:textId="77777777" w:rsidR="00B56301" w:rsidRPr="002010BD" w:rsidRDefault="00B56301" w:rsidP="00B37B65">
            <w:pPr>
              <w:jc w:val="right"/>
              <w:rPr>
                <w:rFonts w:asciiTheme="minorHAnsi" w:hAnsiTheme="minorHAnsi"/>
                <w:sz w:val="16"/>
                <w:szCs w:val="14"/>
              </w:rPr>
            </w:pPr>
            <w:r w:rsidRPr="00DE10D2">
              <w:rPr>
                <w:sz w:val="16"/>
                <w:szCs w:val="18"/>
              </w:rPr>
              <w:t>4,38</w:t>
            </w:r>
          </w:p>
        </w:tc>
        <w:tc>
          <w:tcPr>
            <w:tcW w:w="1745" w:type="dxa"/>
            <w:tcBorders>
              <w:top w:val="nil"/>
              <w:left w:val="nil"/>
              <w:bottom w:val="single" w:sz="4" w:space="0" w:color="auto"/>
              <w:right w:val="single" w:sz="4" w:space="0" w:color="auto"/>
            </w:tcBorders>
            <w:shd w:val="clear" w:color="000000" w:fill="FFFFFF"/>
            <w:noWrap/>
            <w:vAlign w:val="bottom"/>
            <w:hideMark/>
          </w:tcPr>
          <w:p w14:paraId="78E98871" w14:textId="77777777" w:rsidR="00B56301" w:rsidRPr="002010BD" w:rsidRDefault="00B56301" w:rsidP="00B37B65">
            <w:pPr>
              <w:jc w:val="right"/>
              <w:rPr>
                <w:rFonts w:asciiTheme="minorHAnsi" w:hAnsiTheme="minorHAnsi"/>
                <w:sz w:val="16"/>
                <w:szCs w:val="14"/>
              </w:rPr>
            </w:pPr>
            <w:r w:rsidRPr="00DE10D2">
              <w:rPr>
                <w:sz w:val="16"/>
                <w:szCs w:val="18"/>
              </w:rPr>
              <w:t>-13,71</w:t>
            </w:r>
          </w:p>
        </w:tc>
      </w:tr>
      <w:tr w:rsidR="00B56301" w:rsidRPr="00C2292B" w14:paraId="2FAD297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7ACE4EE" w14:textId="65A92CC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C.</w:t>
            </w:r>
            <w:r w:rsidR="00260E0B">
              <w:rPr>
                <w:rFonts w:asciiTheme="minorHAnsi" w:hAnsiTheme="minorHAnsi"/>
                <w:sz w:val="16"/>
                <w:szCs w:val="14"/>
              </w:rPr>
              <w:t xml:space="preserve"> </w:t>
            </w:r>
            <w:r w:rsidRPr="002010BD">
              <w:rPr>
                <w:rFonts w:asciiTheme="minorHAnsi" w:hAnsiTheme="minorHAnsi"/>
                <w:sz w:val="16"/>
                <w:szCs w:val="14"/>
              </w:rPr>
              <w:t>Grassland</w:t>
            </w:r>
          </w:p>
        </w:tc>
        <w:tc>
          <w:tcPr>
            <w:tcW w:w="992" w:type="dxa"/>
            <w:tcBorders>
              <w:top w:val="nil"/>
              <w:left w:val="nil"/>
              <w:bottom w:val="single" w:sz="4" w:space="0" w:color="auto"/>
              <w:right w:val="single" w:sz="4" w:space="0" w:color="auto"/>
            </w:tcBorders>
            <w:shd w:val="clear" w:color="000000" w:fill="FFFFFF"/>
            <w:noWrap/>
            <w:vAlign w:val="bottom"/>
            <w:hideMark/>
          </w:tcPr>
          <w:p w14:paraId="7ED74B2F" w14:textId="77777777" w:rsidR="00B56301" w:rsidRPr="002010BD" w:rsidRDefault="00B56301" w:rsidP="00B37B65">
            <w:pPr>
              <w:jc w:val="right"/>
              <w:rPr>
                <w:rFonts w:asciiTheme="minorHAnsi" w:hAnsiTheme="minorHAnsi"/>
                <w:sz w:val="16"/>
                <w:szCs w:val="14"/>
              </w:rPr>
            </w:pPr>
            <w:r w:rsidRPr="00DE10D2">
              <w:rPr>
                <w:sz w:val="16"/>
                <w:szCs w:val="18"/>
              </w:rPr>
              <w:t>5,23</w:t>
            </w:r>
          </w:p>
        </w:tc>
        <w:tc>
          <w:tcPr>
            <w:tcW w:w="992" w:type="dxa"/>
            <w:tcBorders>
              <w:top w:val="nil"/>
              <w:left w:val="nil"/>
              <w:bottom w:val="single" w:sz="4" w:space="0" w:color="auto"/>
              <w:right w:val="single" w:sz="4" w:space="0" w:color="auto"/>
            </w:tcBorders>
            <w:shd w:val="clear" w:color="000000" w:fill="FFFFFF"/>
            <w:noWrap/>
            <w:vAlign w:val="bottom"/>
            <w:hideMark/>
          </w:tcPr>
          <w:p w14:paraId="246C4A47" w14:textId="77777777" w:rsidR="00B56301" w:rsidRPr="002010BD" w:rsidRDefault="00B56301" w:rsidP="00B37B65">
            <w:pPr>
              <w:jc w:val="right"/>
              <w:rPr>
                <w:rFonts w:asciiTheme="minorHAnsi" w:hAnsiTheme="minorHAnsi"/>
                <w:sz w:val="16"/>
                <w:szCs w:val="14"/>
              </w:rPr>
            </w:pPr>
            <w:r w:rsidRPr="00DE10D2">
              <w:rPr>
                <w:sz w:val="16"/>
                <w:szCs w:val="18"/>
              </w:rPr>
              <w:t>4,95</w:t>
            </w:r>
          </w:p>
        </w:tc>
        <w:tc>
          <w:tcPr>
            <w:tcW w:w="1745" w:type="dxa"/>
            <w:tcBorders>
              <w:top w:val="nil"/>
              <w:left w:val="nil"/>
              <w:bottom w:val="single" w:sz="4" w:space="0" w:color="auto"/>
              <w:right w:val="single" w:sz="4" w:space="0" w:color="auto"/>
            </w:tcBorders>
            <w:shd w:val="clear" w:color="000000" w:fill="FFFFFF"/>
            <w:noWrap/>
            <w:vAlign w:val="bottom"/>
            <w:hideMark/>
          </w:tcPr>
          <w:p w14:paraId="696A578A" w14:textId="77777777" w:rsidR="00B56301" w:rsidRPr="002010BD" w:rsidRDefault="00B56301" w:rsidP="00B37B65">
            <w:pPr>
              <w:jc w:val="right"/>
              <w:rPr>
                <w:rFonts w:asciiTheme="minorHAnsi" w:hAnsiTheme="minorHAnsi"/>
                <w:sz w:val="16"/>
                <w:szCs w:val="14"/>
              </w:rPr>
            </w:pPr>
            <w:r w:rsidRPr="00DE10D2">
              <w:rPr>
                <w:sz w:val="16"/>
                <w:szCs w:val="18"/>
              </w:rPr>
              <w:t>-16,08</w:t>
            </w:r>
          </w:p>
        </w:tc>
      </w:tr>
      <w:tr w:rsidR="00B56301" w:rsidRPr="00C2292B" w14:paraId="3F52EE63"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11D90E1" w14:textId="26283189"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D.</w:t>
            </w:r>
            <w:r w:rsidR="00260E0B">
              <w:rPr>
                <w:rFonts w:asciiTheme="minorHAnsi" w:hAnsiTheme="minorHAnsi"/>
                <w:sz w:val="16"/>
                <w:szCs w:val="14"/>
              </w:rPr>
              <w:t xml:space="preserve"> </w:t>
            </w:r>
            <w:r w:rsidRPr="002010BD">
              <w:rPr>
                <w:rFonts w:asciiTheme="minorHAnsi" w:hAnsiTheme="minorHAnsi"/>
                <w:sz w:val="16"/>
                <w:szCs w:val="14"/>
              </w:rPr>
              <w:t>Wetlands</w:t>
            </w:r>
          </w:p>
        </w:tc>
        <w:tc>
          <w:tcPr>
            <w:tcW w:w="992" w:type="dxa"/>
            <w:tcBorders>
              <w:top w:val="nil"/>
              <w:left w:val="nil"/>
              <w:bottom w:val="single" w:sz="4" w:space="0" w:color="auto"/>
              <w:right w:val="single" w:sz="4" w:space="0" w:color="auto"/>
            </w:tcBorders>
            <w:shd w:val="clear" w:color="000000" w:fill="FFFFFF"/>
            <w:noWrap/>
            <w:vAlign w:val="bottom"/>
            <w:hideMark/>
          </w:tcPr>
          <w:p w14:paraId="064BD3DF" w14:textId="77777777" w:rsidR="00B56301" w:rsidRPr="002010BD" w:rsidRDefault="00B56301" w:rsidP="00B37B65">
            <w:pPr>
              <w:jc w:val="right"/>
              <w:rPr>
                <w:rFonts w:asciiTheme="minorHAnsi" w:hAnsiTheme="minorHAnsi"/>
                <w:sz w:val="16"/>
                <w:szCs w:val="14"/>
              </w:rPr>
            </w:pPr>
            <w:r w:rsidRPr="00DE10D2">
              <w:rPr>
                <w:sz w:val="16"/>
                <w:szCs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260BB41B" w14:textId="77777777" w:rsidR="00B56301" w:rsidRPr="002010BD" w:rsidRDefault="00B56301" w:rsidP="00B37B65">
            <w:pPr>
              <w:jc w:val="right"/>
              <w:rPr>
                <w:rFonts w:asciiTheme="minorHAnsi" w:hAnsiTheme="minorHAnsi"/>
                <w:sz w:val="16"/>
                <w:szCs w:val="14"/>
              </w:rPr>
            </w:pPr>
            <w:r w:rsidRPr="00DE10D2">
              <w:rPr>
                <w:sz w:val="16"/>
                <w:szCs w:val="18"/>
              </w:rPr>
              <w:t>0,36</w:t>
            </w:r>
          </w:p>
        </w:tc>
        <w:tc>
          <w:tcPr>
            <w:tcW w:w="1745" w:type="dxa"/>
            <w:tcBorders>
              <w:top w:val="nil"/>
              <w:left w:val="nil"/>
              <w:bottom w:val="single" w:sz="4" w:space="0" w:color="auto"/>
              <w:right w:val="single" w:sz="4" w:space="0" w:color="auto"/>
            </w:tcBorders>
            <w:shd w:val="clear" w:color="000000" w:fill="FFFFFF"/>
            <w:noWrap/>
            <w:vAlign w:val="bottom"/>
            <w:hideMark/>
          </w:tcPr>
          <w:p w14:paraId="2A093C16" w14:textId="77777777" w:rsidR="00B56301" w:rsidRPr="002010BD" w:rsidRDefault="00B56301" w:rsidP="00B37B65">
            <w:pPr>
              <w:jc w:val="right"/>
              <w:rPr>
                <w:rFonts w:asciiTheme="minorHAnsi" w:hAnsiTheme="minorHAnsi"/>
                <w:sz w:val="16"/>
                <w:szCs w:val="14"/>
              </w:rPr>
            </w:pPr>
            <w:r w:rsidRPr="00DE10D2">
              <w:rPr>
                <w:sz w:val="16"/>
                <w:szCs w:val="18"/>
              </w:rPr>
              <w:t>29,50</w:t>
            </w:r>
          </w:p>
        </w:tc>
      </w:tr>
      <w:tr w:rsidR="00B56301" w:rsidRPr="00C2292B" w14:paraId="466AA76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6B900FFF" w14:textId="6F010CE3"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 xml:space="preserve">Settlements </w:t>
            </w:r>
          </w:p>
        </w:tc>
        <w:tc>
          <w:tcPr>
            <w:tcW w:w="992" w:type="dxa"/>
            <w:tcBorders>
              <w:top w:val="nil"/>
              <w:left w:val="nil"/>
              <w:bottom w:val="single" w:sz="4" w:space="0" w:color="auto"/>
              <w:right w:val="single" w:sz="4" w:space="0" w:color="auto"/>
            </w:tcBorders>
            <w:shd w:val="clear" w:color="000000" w:fill="FFFFFF"/>
            <w:noWrap/>
            <w:vAlign w:val="bottom"/>
            <w:hideMark/>
          </w:tcPr>
          <w:p w14:paraId="10C2A725" w14:textId="77777777" w:rsidR="00B56301" w:rsidRPr="002010BD" w:rsidRDefault="00B56301" w:rsidP="00B37B65">
            <w:pPr>
              <w:jc w:val="right"/>
              <w:rPr>
                <w:rFonts w:asciiTheme="minorHAnsi" w:hAnsiTheme="minorHAnsi"/>
                <w:sz w:val="16"/>
                <w:szCs w:val="14"/>
              </w:rPr>
            </w:pPr>
            <w:r w:rsidRPr="00DE10D2">
              <w:rPr>
                <w:sz w:val="16"/>
                <w:szCs w:val="18"/>
              </w:rPr>
              <w:t>2,34</w:t>
            </w:r>
          </w:p>
        </w:tc>
        <w:tc>
          <w:tcPr>
            <w:tcW w:w="992" w:type="dxa"/>
            <w:tcBorders>
              <w:top w:val="nil"/>
              <w:left w:val="nil"/>
              <w:bottom w:val="single" w:sz="4" w:space="0" w:color="auto"/>
              <w:right w:val="single" w:sz="4" w:space="0" w:color="auto"/>
            </w:tcBorders>
            <w:shd w:val="clear" w:color="000000" w:fill="FFFFFF"/>
            <w:noWrap/>
            <w:vAlign w:val="bottom"/>
            <w:hideMark/>
          </w:tcPr>
          <w:p w14:paraId="1692F383" w14:textId="77777777" w:rsidR="00B56301" w:rsidRPr="002010BD" w:rsidRDefault="00B56301" w:rsidP="00B37B65">
            <w:pPr>
              <w:jc w:val="right"/>
              <w:rPr>
                <w:rFonts w:asciiTheme="minorHAnsi" w:hAnsiTheme="minorHAnsi"/>
                <w:sz w:val="16"/>
                <w:szCs w:val="14"/>
              </w:rPr>
            </w:pPr>
            <w:r w:rsidRPr="00DE10D2">
              <w:rPr>
                <w:sz w:val="16"/>
                <w:szCs w:val="18"/>
              </w:rPr>
              <w:t>2,34</w:t>
            </w:r>
          </w:p>
        </w:tc>
        <w:tc>
          <w:tcPr>
            <w:tcW w:w="1745" w:type="dxa"/>
            <w:tcBorders>
              <w:top w:val="nil"/>
              <w:left w:val="nil"/>
              <w:bottom w:val="single" w:sz="4" w:space="0" w:color="auto"/>
              <w:right w:val="single" w:sz="4" w:space="0" w:color="auto"/>
            </w:tcBorders>
            <w:shd w:val="clear" w:color="000000" w:fill="FFFFFF"/>
            <w:noWrap/>
            <w:vAlign w:val="bottom"/>
            <w:hideMark/>
          </w:tcPr>
          <w:p w14:paraId="1E949D7E" w14:textId="77777777" w:rsidR="00B56301" w:rsidRPr="002010BD" w:rsidRDefault="00B56301" w:rsidP="00B37B65">
            <w:pPr>
              <w:jc w:val="right"/>
              <w:rPr>
                <w:rFonts w:asciiTheme="minorHAnsi" w:hAnsiTheme="minorHAnsi"/>
                <w:sz w:val="16"/>
                <w:szCs w:val="14"/>
              </w:rPr>
            </w:pPr>
            <w:r w:rsidRPr="00DE10D2">
              <w:rPr>
                <w:sz w:val="16"/>
                <w:szCs w:val="18"/>
              </w:rPr>
              <w:t>18,91</w:t>
            </w:r>
          </w:p>
        </w:tc>
      </w:tr>
      <w:tr w:rsidR="00B56301" w:rsidRPr="00C2292B" w14:paraId="2A8358D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4A47F26" w14:textId="1658628B"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F.</w:t>
            </w:r>
            <w:r w:rsidR="00260E0B">
              <w:rPr>
                <w:rFonts w:asciiTheme="minorHAnsi" w:hAnsiTheme="minorHAnsi"/>
                <w:sz w:val="16"/>
                <w:szCs w:val="14"/>
              </w:rPr>
              <w:t xml:space="preserve"> </w:t>
            </w:r>
            <w:r w:rsidRPr="002010BD">
              <w:rPr>
                <w:rFonts w:asciiTheme="minorHAnsi" w:hAnsiTheme="minorHAnsi"/>
                <w:sz w:val="16"/>
                <w:szCs w:val="14"/>
              </w:rPr>
              <w:t>Other land</w:t>
            </w:r>
          </w:p>
        </w:tc>
        <w:tc>
          <w:tcPr>
            <w:tcW w:w="992" w:type="dxa"/>
            <w:tcBorders>
              <w:top w:val="nil"/>
              <w:left w:val="nil"/>
              <w:bottom w:val="single" w:sz="4" w:space="0" w:color="auto"/>
              <w:right w:val="single" w:sz="4" w:space="0" w:color="auto"/>
            </w:tcBorders>
            <w:shd w:val="clear" w:color="000000" w:fill="FFFFFF"/>
            <w:noWrap/>
            <w:vAlign w:val="bottom"/>
            <w:hideMark/>
          </w:tcPr>
          <w:p w14:paraId="35AE83C9"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3028B97"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13B1E3F8"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49EFA41E"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BF42659" w14:textId="57C92E8F"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G.</w:t>
            </w:r>
            <w:r w:rsidR="00260E0B">
              <w:rPr>
                <w:rFonts w:asciiTheme="minorHAnsi" w:hAnsiTheme="minorHAnsi"/>
                <w:sz w:val="16"/>
                <w:szCs w:val="14"/>
              </w:rPr>
              <w:t xml:space="preserve"> </w:t>
            </w:r>
            <w:r w:rsidRPr="002010BD">
              <w:rPr>
                <w:rFonts w:asciiTheme="minorHAnsi" w:hAnsiTheme="minorHAnsi"/>
                <w:sz w:val="16"/>
                <w:szCs w:val="14"/>
              </w:rPr>
              <w:t>Harvested wood products</w:t>
            </w:r>
          </w:p>
        </w:tc>
        <w:tc>
          <w:tcPr>
            <w:tcW w:w="992" w:type="dxa"/>
            <w:tcBorders>
              <w:top w:val="nil"/>
              <w:left w:val="nil"/>
              <w:bottom w:val="single" w:sz="4" w:space="0" w:color="auto"/>
              <w:right w:val="single" w:sz="4" w:space="0" w:color="auto"/>
            </w:tcBorders>
            <w:shd w:val="clear" w:color="000000" w:fill="969696"/>
            <w:noWrap/>
            <w:vAlign w:val="bottom"/>
            <w:hideMark/>
          </w:tcPr>
          <w:p w14:paraId="306FC993"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B94CA71"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26273A2D"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457C982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977EF97" w14:textId="25618FFA"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H.</w:t>
            </w:r>
            <w:r w:rsidR="00260E0B">
              <w:rPr>
                <w:rFonts w:asciiTheme="minorHAnsi" w:hAnsiTheme="minorHAnsi"/>
                <w:sz w:val="16"/>
                <w:szCs w:val="14"/>
              </w:rPr>
              <w:t xml:space="preserve"> </w:t>
            </w:r>
            <w:r w:rsidRPr="002010BD">
              <w:rPr>
                <w:rFonts w:asciiTheme="minorHAnsi" w:hAnsiTheme="minorHAnsi"/>
                <w:sz w:val="16"/>
                <w:szCs w:val="14"/>
              </w:rPr>
              <w:t>Other</w:t>
            </w:r>
            <w:r w:rsidR="00260E0B">
              <w:rPr>
                <w:rFonts w:asciiTheme="minorHAnsi" w:hAnsiTheme="minorHAnsi"/>
                <w:sz w:val="16"/>
                <w:szCs w:val="14"/>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592F1B6B" w14:textId="77777777" w:rsidR="00B56301" w:rsidRPr="002010BD" w:rsidRDefault="00B56301" w:rsidP="00B37B65">
            <w:pPr>
              <w:jc w:val="right"/>
              <w:rPr>
                <w:rFonts w:asciiTheme="minorHAnsi" w:hAnsiTheme="minorHAnsi"/>
                <w:sz w:val="16"/>
                <w:szCs w:val="14"/>
              </w:rPr>
            </w:pPr>
            <w:r w:rsidRPr="00DE10D2">
              <w:rPr>
                <w:sz w:val="16"/>
                <w:szCs w:val="18"/>
              </w:rPr>
              <w:t>8,74</w:t>
            </w:r>
          </w:p>
        </w:tc>
        <w:tc>
          <w:tcPr>
            <w:tcW w:w="992" w:type="dxa"/>
            <w:tcBorders>
              <w:top w:val="nil"/>
              <w:left w:val="nil"/>
              <w:bottom w:val="single" w:sz="4" w:space="0" w:color="auto"/>
              <w:right w:val="single" w:sz="4" w:space="0" w:color="auto"/>
            </w:tcBorders>
            <w:shd w:val="clear" w:color="000000" w:fill="FFFFFF"/>
            <w:noWrap/>
            <w:vAlign w:val="bottom"/>
            <w:hideMark/>
          </w:tcPr>
          <w:p w14:paraId="7F3BAE1C" w14:textId="77777777" w:rsidR="00B56301" w:rsidRPr="002010BD" w:rsidRDefault="00B56301" w:rsidP="00B37B65">
            <w:pPr>
              <w:jc w:val="right"/>
              <w:rPr>
                <w:rFonts w:asciiTheme="minorHAnsi" w:hAnsiTheme="minorHAnsi"/>
                <w:sz w:val="16"/>
                <w:szCs w:val="14"/>
              </w:rPr>
            </w:pPr>
            <w:r w:rsidRPr="00DE10D2">
              <w:rPr>
                <w:sz w:val="16"/>
                <w:szCs w:val="18"/>
              </w:rPr>
              <w:t>8,73</w:t>
            </w:r>
          </w:p>
        </w:tc>
        <w:tc>
          <w:tcPr>
            <w:tcW w:w="1745" w:type="dxa"/>
            <w:tcBorders>
              <w:top w:val="nil"/>
              <w:left w:val="nil"/>
              <w:bottom w:val="single" w:sz="4" w:space="0" w:color="auto"/>
              <w:right w:val="single" w:sz="4" w:space="0" w:color="auto"/>
            </w:tcBorders>
            <w:shd w:val="clear" w:color="000000" w:fill="FFFFFF"/>
            <w:noWrap/>
            <w:vAlign w:val="bottom"/>
            <w:hideMark/>
          </w:tcPr>
          <w:p w14:paraId="2F936AFF" w14:textId="77777777" w:rsidR="00B56301" w:rsidRPr="002010BD" w:rsidRDefault="00B56301" w:rsidP="00B37B65">
            <w:pPr>
              <w:jc w:val="right"/>
              <w:rPr>
                <w:rFonts w:asciiTheme="minorHAnsi" w:hAnsiTheme="minorHAnsi"/>
                <w:sz w:val="16"/>
                <w:szCs w:val="14"/>
              </w:rPr>
            </w:pPr>
            <w:r w:rsidRPr="00DE10D2">
              <w:rPr>
                <w:sz w:val="16"/>
                <w:szCs w:val="18"/>
              </w:rPr>
              <w:t>100,00</w:t>
            </w:r>
          </w:p>
        </w:tc>
      </w:tr>
      <w:tr w:rsidR="00B56301" w:rsidRPr="00C2292B" w14:paraId="348904EA"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7E69A2A" w14:textId="2ADD2CCF"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5.</w:t>
            </w:r>
            <w:r w:rsidR="00260E0B">
              <w:rPr>
                <w:rFonts w:asciiTheme="minorHAnsi" w:hAnsiTheme="minorHAnsi"/>
                <w:b/>
                <w:bCs/>
                <w:sz w:val="16"/>
                <w:szCs w:val="14"/>
              </w:rPr>
              <w:t xml:space="preserve"> </w:t>
            </w:r>
            <w:r w:rsidRPr="002010BD">
              <w:rPr>
                <w:rFonts w:asciiTheme="minorHAnsi" w:hAnsiTheme="minorHAnsi"/>
                <w:b/>
                <w:bCs/>
                <w:sz w:val="16"/>
                <w:szCs w:val="14"/>
              </w:rPr>
              <w:t>Waste</w:t>
            </w:r>
          </w:p>
        </w:tc>
        <w:tc>
          <w:tcPr>
            <w:tcW w:w="992" w:type="dxa"/>
            <w:tcBorders>
              <w:top w:val="nil"/>
              <w:left w:val="nil"/>
              <w:bottom w:val="single" w:sz="4" w:space="0" w:color="auto"/>
              <w:right w:val="single" w:sz="4" w:space="0" w:color="auto"/>
            </w:tcBorders>
            <w:shd w:val="clear" w:color="000000" w:fill="CCFFFF"/>
            <w:noWrap/>
            <w:vAlign w:val="bottom"/>
            <w:hideMark/>
          </w:tcPr>
          <w:p w14:paraId="44B5105A" w14:textId="77777777" w:rsidR="00B56301" w:rsidRPr="002010BD" w:rsidRDefault="00B56301" w:rsidP="00B37B65">
            <w:pPr>
              <w:jc w:val="right"/>
              <w:rPr>
                <w:rFonts w:asciiTheme="minorHAnsi" w:hAnsiTheme="minorHAnsi"/>
                <w:sz w:val="16"/>
                <w:szCs w:val="14"/>
              </w:rPr>
            </w:pPr>
            <w:r w:rsidRPr="00DE10D2">
              <w:rPr>
                <w:sz w:val="16"/>
                <w:szCs w:val="18"/>
              </w:rPr>
              <w:t>633,21</w:t>
            </w:r>
          </w:p>
        </w:tc>
        <w:tc>
          <w:tcPr>
            <w:tcW w:w="992" w:type="dxa"/>
            <w:tcBorders>
              <w:top w:val="nil"/>
              <w:left w:val="nil"/>
              <w:bottom w:val="single" w:sz="4" w:space="0" w:color="auto"/>
              <w:right w:val="single" w:sz="4" w:space="0" w:color="auto"/>
            </w:tcBorders>
            <w:shd w:val="clear" w:color="000000" w:fill="CCFFFF"/>
            <w:noWrap/>
            <w:vAlign w:val="bottom"/>
            <w:hideMark/>
          </w:tcPr>
          <w:p w14:paraId="71413764" w14:textId="77777777" w:rsidR="00B56301" w:rsidRPr="002010BD" w:rsidRDefault="00B56301" w:rsidP="00B37B65">
            <w:pPr>
              <w:jc w:val="right"/>
              <w:rPr>
                <w:rFonts w:asciiTheme="minorHAnsi" w:hAnsiTheme="minorHAnsi"/>
                <w:sz w:val="16"/>
                <w:szCs w:val="14"/>
              </w:rPr>
            </w:pPr>
            <w:r w:rsidRPr="00DE10D2">
              <w:rPr>
                <w:sz w:val="16"/>
                <w:szCs w:val="18"/>
              </w:rPr>
              <w:t>618,33</w:t>
            </w:r>
          </w:p>
        </w:tc>
        <w:tc>
          <w:tcPr>
            <w:tcW w:w="1745" w:type="dxa"/>
            <w:tcBorders>
              <w:top w:val="nil"/>
              <w:left w:val="nil"/>
              <w:bottom w:val="single" w:sz="4" w:space="0" w:color="auto"/>
              <w:right w:val="single" w:sz="4" w:space="0" w:color="auto"/>
            </w:tcBorders>
            <w:shd w:val="clear" w:color="000000" w:fill="CCFFFF"/>
            <w:noWrap/>
            <w:vAlign w:val="bottom"/>
            <w:hideMark/>
          </w:tcPr>
          <w:p w14:paraId="6DF6EA57" w14:textId="77777777" w:rsidR="00B56301" w:rsidRPr="002010BD" w:rsidRDefault="00B56301" w:rsidP="00B37B65">
            <w:pPr>
              <w:jc w:val="right"/>
              <w:rPr>
                <w:rFonts w:asciiTheme="minorHAnsi" w:hAnsiTheme="minorHAnsi"/>
                <w:sz w:val="16"/>
                <w:szCs w:val="14"/>
              </w:rPr>
            </w:pPr>
            <w:r w:rsidRPr="00DE10D2">
              <w:rPr>
                <w:sz w:val="16"/>
                <w:szCs w:val="18"/>
              </w:rPr>
              <w:t>7,96</w:t>
            </w:r>
          </w:p>
        </w:tc>
      </w:tr>
      <w:tr w:rsidR="00B56301" w:rsidRPr="00C2292B" w14:paraId="3C7D937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78E61D9" w14:textId="020CC384"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A.</w:t>
            </w:r>
            <w:r w:rsidR="00260E0B">
              <w:rPr>
                <w:rFonts w:asciiTheme="minorHAnsi" w:hAnsiTheme="minorHAnsi"/>
                <w:sz w:val="16"/>
                <w:szCs w:val="14"/>
              </w:rPr>
              <w:t xml:space="preserve"> </w:t>
            </w:r>
            <w:r w:rsidRPr="002010BD">
              <w:rPr>
                <w:rFonts w:asciiTheme="minorHAnsi" w:hAnsiTheme="minorHAnsi"/>
                <w:sz w:val="16"/>
                <w:szCs w:val="14"/>
              </w:rPr>
              <w:t>Solid waste disposal</w:t>
            </w:r>
            <w:r w:rsidRPr="002010BD">
              <w:rPr>
                <w:rFonts w:asciiTheme="minorHAnsi" w:hAnsiTheme="minorHAnsi"/>
                <w:b/>
                <w:bCs/>
                <w:sz w:val="16"/>
                <w:szCs w:val="14"/>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7C4C7754" w14:textId="77777777" w:rsidR="00B56301" w:rsidRPr="002010BD" w:rsidRDefault="00B56301" w:rsidP="00B37B65">
            <w:pPr>
              <w:jc w:val="right"/>
              <w:rPr>
                <w:rFonts w:asciiTheme="minorHAnsi" w:hAnsiTheme="minorHAnsi"/>
                <w:sz w:val="16"/>
                <w:szCs w:val="14"/>
              </w:rPr>
            </w:pPr>
            <w:r w:rsidRPr="00DE10D2">
              <w:rPr>
                <w:sz w:val="16"/>
                <w:szCs w:val="18"/>
              </w:rPr>
              <w:t>494,89</w:t>
            </w:r>
          </w:p>
        </w:tc>
        <w:tc>
          <w:tcPr>
            <w:tcW w:w="992" w:type="dxa"/>
            <w:tcBorders>
              <w:top w:val="nil"/>
              <w:left w:val="nil"/>
              <w:bottom w:val="single" w:sz="4" w:space="0" w:color="auto"/>
              <w:right w:val="single" w:sz="4" w:space="0" w:color="auto"/>
            </w:tcBorders>
            <w:shd w:val="clear" w:color="000000" w:fill="FFFFFF"/>
            <w:noWrap/>
            <w:vAlign w:val="bottom"/>
            <w:hideMark/>
          </w:tcPr>
          <w:p w14:paraId="1C8AC5E2" w14:textId="77777777" w:rsidR="00B56301" w:rsidRPr="002010BD" w:rsidRDefault="00B56301" w:rsidP="00B37B65">
            <w:pPr>
              <w:jc w:val="right"/>
              <w:rPr>
                <w:rFonts w:asciiTheme="minorHAnsi" w:hAnsiTheme="minorHAnsi"/>
                <w:sz w:val="16"/>
                <w:szCs w:val="14"/>
              </w:rPr>
            </w:pPr>
            <w:r w:rsidRPr="00DE10D2">
              <w:rPr>
                <w:sz w:val="16"/>
                <w:szCs w:val="18"/>
              </w:rPr>
              <w:t>478,60</w:t>
            </w:r>
          </w:p>
        </w:tc>
        <w:tc>
          <w:tcPr>
            <w:tcW w:w="1745" w:type="dxa"/>
            <w:tcBorders>
              <w:top w:val="nil"/>
              <w:left w:val="nil"/>
              <w:bottom w:val="single" w:sz="4" w:space="0" w:color="auto"/>
              <w:right w:val="single" w:sz="4" w:space="0" w:color="auto"/>
            </w:tcBorders>
            <w:shd w:val="clear" w:color="000000" w:fill="FFFFFF"/>
            <w:noWrap/>
            <w:vAlign w:val="bottom"/>
            <w:hideMark/>
          </w:tcPr>
          <w:p w14:paraId="12D62607" w14:textId="77777777" w:rsidR="00B56301" w:rsidRPr="002010BD" w:rsidRDefault="00B56301" w:rsidP="00B37B65">
            <w:pPr>
              <w:jc w:val="right"/>
              <w:rPr>
                <w:rFonts w:asciiTheme="minorHAnsi" w:hAnsiTheme="minorHAnsi"/>
                <w:sz w:val="16"/>
                <w:szCs w:val="14"/>
              </w:rPr>
            </w:pPr>
            <w:r w:rsidRPr="00DE10D2">
              <w:rPr>
                <w:sz w:val="16"/>
                <w:szCs w:val="18"/>
              </w:rPr>
              <w:t>-4,76</w:t>
            </w:r>
          </w:p>
        </w:tc>
      </w:tr>
      <w:tr w:rsidR="00B56301" w:rsidRPr="00C2292B" w14:paraId="03732FCF"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88FFE0C" w14:textId="3EB548EA"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B.</w:t>
            </w:r>
            <w:r w:rsidR="00260E0B">
              <w:rPr>
                <w:rFonts w:asciiTheme="minorHAnsi" w:hAnsiTheme="minorHAnsi"/>
                <w:sz w:val="16"/>
                <w:szCs w:val="14"/>
                <w:lang w:val="en-GB"/>
              </w:rPr>
              <w:t xml:space="preserve"> </w:t>
            </w:r>
            <w:r w:rsidRPr="002010BD">
              <w:rPr>
                <w:rFonts w:asciiTheme="minorHAnsi" w:hAnsiTheme="minorHAnsi"/>
                <w:sz w:val="16"/>
                <w:szCs w:val="14"/>
                <w:lang w:val="en-GB"/>
              </w:rPr>
              <w:t>Biological treatment of solid waste</w:t>
            </w:r>
          </w:p>
        </w:tc>
        <w:tc>
          <w:tcPr>
            <w:tcW w:w="992" w:type="dxa"/>
            <w:tcBorders>
              <w:top w:val="nil"/>
              <w:left w:val="nil"/>
              <w:bottom w:val="single" w:sz="4" w:space="0" w:color="auto"/>
              <w:right w:val="single" w:sz="4" w:space="0" w:color="auto"/>
            </w:tcBorders>
            <w:shd w:val="clear" w:color="000000" w:fill="FFFFFF"/>
            <w:noWrap/>
            <w:vAlign w:val="bottom"/>
            <w:hideMark/>
          </w:tcPr>
          <w:p w14:paraId="0711F1D2" w14:textId="77777777" w:rsidR="00B56301" w:rsidRPr="002010BD" w:rsidRDefault="00B56301" w:rsidP="00B37B65">
            <w:pPr>
              <w:jc w:val="right"/>
              <w:rPr>
                <w:rFonts w:asciiTheme="minorHAnsi" w:hAnsiTheme="minorHAnsi"/>
                <w:sz w:val="16"/>
                <w:szCs w:val="14"/>
              </w:rPr>
            </w:pPr>
            <w:r w:rsidRPr="00DE10D2">
              <w:rPr>
                <w:sz w:val="16"/>
                <w:szCs w:val="18"/>
              </w:rPr>
              <w:t>44,58</w:t>
            </w:r>
          </w:p>
        </w:tc>
        <w:tc>
          <w:tcPr>
            <w:tcW w:w="992" w:type="dxa"/>
            <w:tcBorders>
              <w:top w:val="nil"/>
              <w:left w:val="nil"/>
              <w:bottom w:val="single" w:sz="4" w:space="0" w:color="auto"/>
              <w:right w:val="single" w:sz="4" w:space="0" w:color="auto"/>
            </w:tcBorders>
            <w:shd w:val="clear" w:color="000000" w:fill="FFFFFF"/>
            <w:noWrap/>
            <w:vAlign w:val="bottom"/>
            <w:hideMark/>
          </w:tcPr>
          <w:p w14:paraId="5676C880" w14:textId="77777777" w:rsidR="00B56301" w:rsidRPr="002010BD" w:rsidRDefault="00B56301" w:rsidP="00B37B65">
            <w:pPr>
              <w:jc w:val="right"/>
              <w:rPr>
                <w:rFonts w:asciiTheme="minorHAnsi" w:hAnsiTheme="minorHAnsi"/>
                <w:sz w:val="16"/>
                <w:szCs w:val="14"/>
              </w:rPr>
            </w:pPr>
            <w:r w:rsidRPr="00DE10D2">
              <w:rPr>
                <w:sz w:val="16"/>
                <w:szCs w:val="18"/>
              </w:rPr>
              <w:t>45,01</w:t>
            </w:r>
          </w:p>
        </w:tc>
        <w:tc>
          <w:tcPr>
            <w:tcW w:w="1745" w:type="dxa"/>
            <w:tcBorders>
              <w:top w:val="nil"/>
              <w:left w:val="nil"/>
              <w:bottom w:val="single" w:sz="4" w:space="0" w:color="auto"/>
              <w:right w:val="single" w:sz="4" w:space="0" w:color="auto"/>
            </w:tcBorders>
            <w:shd w:val="clear" w:color="000000" w:fill="FFFFFF"/>
            <w:noWrap/>
            <w:vAlign w:val="bottom"/>
            <w:hideMark/>
          </w:tcPr>
          <w:p w14:paraId="25F6ADB8" w14:textId="77777777" w:rsidR="00B56301" w:rsidRPr="002010BD" w:rsidRDefault="00B56301" w:rsidP="00B37B65">
            <w:pPr>
              <w:jc w:val="right"/>
              <w:rPr>
                <w:rFonts w:asciiTheme="minorHAnsi" w:hAnsiTheme="minorHAnsi"/>
                <w:sz w:val="16"/>
                <w:szCs w:val="14"/>
              </w:rPr>
            </w:pPr>
            <w:r w:rsidRPr="00DE10D2">
              <w:rPr>
                <w:sz w:val="16"/>
                <w:szCs w:val="18"/>
              </w:rPr>
              <w:t>358,87</w:t>
            </w:r>
          </w:p>
        </w:tc>
      </w:tr>
      <w:tr w:rsidR="00B56301" w:rsidRPr="00C2292B" w14:paraId="5BD4153A"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4FDC202" w14:textId="4BBB080F"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C.</w:t>
            </w:r>
            <w:r w:rsidR="00260E0B">
              <w:rPr>
                <w:rFonts w:asciiTheme="minorHAnsi" w:hAnsiTheme="minorHAnsi"/>
                <w:sz w:val="16"/>
                <w:szCs w:val="14"/>
                <w:lang w:val="en-GB"/>
              </w:rPr>
              <w:t xml:space="preserve"> </w:t>
            </w:r>
            <w:r w:rsidRPr="002010BD">
              <w:rPr>
                <w:rFonts w:asciiTheme="minorHAnsi" w:hAnsiTheme="minorHAnsi"/>
                <w:sz w:val="16"/>
                <w:szCs w:val="14"/>
                <w:lang w:val="en-GB"/>
              </w:rPr>
              <w:t>Incineration and open burning of waste</w:t>
            </w:r>
          </w:p>
        </w:tc>
        <w:tc>
          <w:tcPr>
            <w:tcW w:w="992" w:type="dxa"/>
            <w:tcBorders>
              <w:top w:val="nil"/>
              <w:left w:val="nil"/>
              <w:bottom w:val="single" w:sz="4" w:space="0" w:color="auto"/>
              <w:right w:val="single" w:sz="4" w:space="0" w:color="auto"/>
            </w:tcBorders>
            <w:shd w:val="clear" w:color="000000" w:fill="FFFFFF"/>
            <w:noWrap/>
            <w:vAlign w:val="bottom"/>
            <w:hideMark/>
          </w:tcPr>
          <w:p w14:paraId="4608AE34" w14:textId="77777777" w:rsidR="00B56301" w:rsidRPr="002010BD" w:rsidRDefault="00B56301" w:rsidP="00B37B65">
            <w:pPr>
              <w:jc w:val="right"/>
              <w:rPr>
                <w:rFonts w:asciiTheme="minorHAnsi" w:hAnsiTheme="minorHAnsi"/>
                <w:sz w:val="16"/>
                <w:szCs w:val="14"/>
              </w:rPr>
            </w:pPr>
            <w:r w:rsidRPr="00DE10D2">
              <w:rPr>
                <w:sz w:val="16"/>
                <w:szCs w:val="18"/>
              </w:rPr>
              <w:t>1,48</w:t>
            </w:r>
          </w:p>
        </w:tc>
        <w:tc>
          <w:tcPr>
            <w:tcW w:w="992" w:type="dxa"/>
            <w:tcBorders>
              <w:top w:val="nil"/>
              <w:left w:val="nil"/>
              <w:bottom w:val="single" w:sz="4" w:space="0" w:color="auto"/>
              <w:right w:val="single" w:sz="4" w:space="0" w:color="auto"/>
            </w:tcBorders>
            <w:shd w:val="clear" w:color="000000" w:fill="FFFFFF"/>
            <w:noWrap/>
            <w:vAlign w:val="bottom"/>
            <w:hideMark/>
          </w:tcPr>
          <w:p w14:paraId="560FD4E2" w14:textId="77777777" w:rsidR="00B56301" w:rsidRPr="002010BD" w:rsidRDefault="00B56301" w:rsidP="00B37B65">
            <w:pPr>
              <w:jc w:val="right"/>
              <w:rPr>
                <w:rFonts w:asciiTheme="minorHAnsi" w:hAnsiTheme="minorHAnsi"/>
                <w:sz w:val="16"/>
                <w:szCs w:val="14"/>
              </w:rPr>
            </w:pPr>
            <w:r w:rsidRPr="00DE10D2">
              <w:rPr>
                <w:sz w:val="16"/>
                <w:szCs w:val="18"/>
              </w:rPr>
              <w:t>1,52</w:t>
            </w:r>
          </w:p>
        </w:tc>
        <w:tc>
          <w:tcPr>
            <w:tcW w:w="1745" w:type="dxa"/>
            <w:tcBorders>
              <w:top w:val="nil"/>
              <w:left w:val="nil"/>
              <w:bottom w:val="single" w:sz="4" w:space="0" w:color="auto"/>
              <w:right w:val="single" w:sz="4" w:space="0" w:color="auto"/>
            </w:tcBorders>
            <w:shd w:val="clear" w:color="000000" w:fill="FFFFFF"/>
            <w:noWrap/>
            <w:vAlign w:val="bottom"/>
            <w:hideMark/>
          </w:tcPr>
          <w:p w14:paraId="3866D3B2" w14:textId="77777777" w:rsidR="00B56301" w:rsidRPr="002010BD" w:rsidRDefault="00B56301" w:rsidP="00B37B65">
            <w:pPr>
              <w:jc w:val="right"/>
              <w:rPr>
                <w:rFonts w:asciiTheme="minorHAnsi" w:hAnsiTheme="minorHAnsi"/>
                <w:sz w:val="16"/>
                <w:szCs w:val="14"/>
              </w:rPr>
            </w:pPr>
            <w:r w:rsidRPr="00DE10D2">
              <w:rPr>
                <w:sz w:val="16"/>
                <w:szCs w:val="18"/>
              </w:rPr>
              <w:t>93,29</w:t>
            </w:r>
          </w:p>
        </w:tc>
      </w:tr>
      <w:tr w:rsidR="00B56301" w:rsidRPr="00C2292B" w14:paraId="2DBF6D82"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23F296F" w14:textId="61310A21" w:rsidR="00B56301" w:rsidRPr="002010BD" w:rsidRDefault="00B56301" w:rsidP="00B37B65">
            <w:pPr>
              <w:ind w:firstLineChars="200" w:firstLine="320"/>
              <w:jc w:val="left"/>
              <w:rPr>
                <w:rFonts w:asciiTheme="minorHAnsi" w:hAnsiTheme="minorHAnsi"/>
                <w:sz w:val="16"/>
                <w:szCs w:val="14"/>
                <w:lang w:val="en-GB"/>
              </w:rPr>
            </w:pPr>
            <w:r w:rsidRPr="002010BD">
              <w:rPr>
                <w:rFonts w:asciiTheme="minorHAnsi" w:hAnsiTheme="minorHAnsi"/>
                <w:sz w:val="16"/>
                <w:szCs w:val="14"/>
                <w:lang w:val="en-GB"/>
              </w:rPr>
              <w:t>D.</w:t>
            </w:r>
            <w:r w:rsidR="00260E0B">
              <w:rPr>
                <w:rFonts w:asciiTheme="minorHAnsi" w:hAnsiTheme="minorHAnsi"/>
                <w:sz w:val="16"/>
                <w:szCs w:val="14"/>
                <w:lang w:val="en-GB"/>
              </w:rPr>
              <w:t xml:space="preserve"> </w:t>
            </w:r>
            <w:r w:rsidRPr="002010BD">
              <w:rPr>
                <w:rFonts w:asciiTheme="minorHAnsi" w:hAnsiTheme="minorHAnsi"/>
                <w:sz w:val="16"/>
                <w:szCs w:val="14"/>
                <w:lang w:val="en-GB"/>
              </w:rPr>
              <w:t>Waste water treatment and discharge</w:t>
            </w:r>
          </w:p>
        </w:tc>
        <w:tc>
          <w:tcPr>
            <w:tcW w:w="992" w:type="dxa"/>
            <w:tcBorders>
              <w:top w:val="nil"/>
              <w:left w:val="nil"/>
              <w:bottom w:val="single" w:sz="4" w:space="0" w:color="auto"/>
              <w:right w:val="single" w:sz="4" w:space="0" w:color="auto"/>
            </w:tcBorders>
            <w:shd w:val="clear" w:color="000000" w:fill="FFFFFF"/>
            <w:noWrap/>
            <w:vAlign w:val="bottom"/>
            <w:hideMark/>
          </w:tcPr>
          <w:p w14:paraId="7C257F95" w14:textId="77777777" w:rsidR="00B56301" w:rsidRPr="002010BD" w:rsidRDefault="00B56301" w:rsidP="00B37B65">
            <w:pPr>
              <w:jc w:val="right"/>
              <w:rPr>
                <w:rFonts w:asciiTheme="minorHAnsi" w:hAnsiTheme="minorHAnsi"/>
                <w:sz w:val="16"/>
                <w:szCs w:val="14"/>
              </w:rPr>
            </w:pPr>
            <w:r w:rsidRPr="00DE10D2">
              <w:rPr>
                <w:sz w:val="16"/>
                <w:szCs w:val="18"/>
              </w:rPr>
              <w:t>92,26</w:t>
            </w:r>
          </w:p>
        </w:tc>
        <w:tc>
          <w:tcPr>
            <w:tcW w:w="992" w:type="dxa"/>
            <w:tcBorders>
              <w:top w:val="nil"/>
              <w:left w:val="nil"/>
              <w:bottom w:val="single" w:sz="4" w:space="0" w:color="auto"/>
              <w:right w:val="single" w:sz="4" w:space="0" w:color="auto"/>
            </w:tcBorders>
            <w:shd w:val="clear" w:color="000000" w:fill="FFFFFF"/>
            <w:noWrap/>
            <w:vAlign w:val="bottom"/>
            <w:hideMark/>
          </w:tcPr>
          <w:p w14:paraId="459C6580" w14:textId="77777777" w:rsidR="00B56301" w:rsidRPr="002010BD" w:rsidRDefault="00B56301" w:rsidP="00B37B65">
            <w:pPr>
              <w:jc w:val="right"/>
              <w:rPr>
                <w:rFonts w:asciiTheme="minorHAnsi" w:hAnsiTheme="minorHAnsi"/>
                <w:sz w:val="16"/>
                <w:szCs w:val="14"/>
              </w:rPr>
            </w:pPr>
            <w:r w:rsidRPr="00DE10D2">
              <w:rPr>
                <w:sz w:val="16"/>
                <w:szCs w:val="18"/>
              </w:rPr>
              <w:t>93,20</w:t>
            </w:r>
          </w:p>
        </w:tc>
        <w:tc>
          <w:tcPr>
            <w:tcW w:w="1745" w:type="dxa"/>
            <w:tcBorders>
              <w:top w:val="nil"/>
              <w:left w:val="nil"/>
              <w:bottom w:val="single" w:sz="4" w:space="0" w:color="auto"/>
              <w:right w:val="single" w:sz="4" w:space="0" w:color="auto"/>
            </w:tcBorders>
            <w:shd w:val="clear" w:color="000000" w:fill="FFFFFF"/>
            <w:noWrap/>
            <w:vAlign w:val="bottom"/>
            <w:hideMark/>
          </w:tcPr>
          <w:p w14:paraId="1BEEA868" w14:textId="77777777" w:rsidR="00B56301" w:rsidRPr="002010BD" w:rsidRDefault="00B56301" w:rsidP="00B37B65">
            <w:pPr>
              <w:jc w:val="right"/>
              <w:rPr>
                <w:rFonts w:asciiTheme="minorHAnsi" w:hAnsiTheme="minorHAnsi"/>
                <w:sz w:val="16"/>
                <w:szCs w:val="14"/>
              </w:rPr>
            </w:pPr>
            <w:r w:rsidRPr="00DE10D2">
              <w:rPr>
                <w:sz w:val="16"/>
                <w:szCs w:val="18"/>
              </w:rPr>
              <w:t>56,31</w:t>
            </w:r>
          </w:p>
        </w:tc>
      </w:tr>
      <w:tr w:rsidR="00B56301" w:rsidRPr="00C2292B" w14:paraId="529B2ED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3D8D1E5" w14:textId="315E764C" w:rsidR="00B56301" w:rsidRPr="002010BD" w:rsidRDefault="00B56301" w:rsidP="00B37B65">
            <w:pPr>
              <w:ind w:firstLineChars="200" w:firstLine="320"/>
              <w:jc w:val="left"/>
              <w:rPr>
                <w:rFonts w:asciiTheme="minorHAnsi" w:hAnsiTheme="minorHAnsi"/>
                <w:sz w:val="16"/>
                <w:szCs w:val="14"/>
              </w:rPr>
            </w:pPr>
            <w:r w:rsidRPr="002010BD">
              <w:rPr>
                <w:rFonts w:asciiTheme="minorHAnsi" w:hAnsiTheme="minorHAnsi"/>
                <w:sz w:val="16"/>
                <w:szCs w:val="14"/>
              </w:rPr>
              <w:t>E.</w:t>
            </w:r>
            <w:r w:rsidR="00260E0B">
              <w:rPr>
                <w:rFonts w:asciiTheme="minorHAnsi" w:hAnsiTheme="minorHAnsi"/>
                <w:sz w:val="16"/>
                <w:szCs w:val="14"/>
              </w:rPr>
              <w:t xml:space="preserve"> </w:t>
            </w:r>
            <w:r w:rsidRPr="002010BD">
              <w:rPr>
                <w:rFonts w:asciiTheme="minorHAnsi" w:hAnsiTheme="minorHAnsi"/>
                <w:sz w:val="16"/>
                <w:szCs w:val="14"/>
              </w:rPr>
              <w:t>Other</w:t>
            </w:r>
            <w:r w:rsidRPr="002010BD">
              <w:rPr>
                <w:rFonts w:asciiTheme="minorHAnsi" w:hAnsiTheme="minorHAnsi"/>
                <w:b/>
                <w:bCs/>
                <w:i/>
                <w:iCs/>
                <w:sz w:val="16"/>
                <w:szCs w:val="14"/>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4FF90479"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F2D7E56"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FFFFFF"/>
            <w:noWrap/>
            <w:vAlign w:val="bottom"/>
            <w:hideMark/>
          </w:tcPr>
          <w:p w14:paraId="2F545DB1"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620B583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66091EC" w14:textId="0FED0114"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6.</w:t>
            </w:r>
            <w:r w:rsidR="00260E0B">
              <w:rPr>
                <w:rFonts w:asciiTheme="minorHAnsi" w:hAnsiTheme="minorHAnsi"/>
                <w:b/>
                <w:bCs/>
                <w:sz w:val="16"/>
                <w:szCs w:val="14"/>
                <w:lang w:val="en-GB"/>
              </w:rPr>
              <w:t xml:space="preserve"> </w:t>
            </w:r>
            <w:r w:rsidRPr="002010BD">
              <w:rPr>
                <w:rFonts w:asciiTheme="minorHAnsi" w:hAnsiTheme="minorHAnsi"/>
                <w:b/>
                <w:bCs/>
                <w:sz w:val="16"/>
                <w:szCs w:val="14"/>
                <w:lang w:val="en-GB"/>
              </w:rPr>
              <w:t xml:space="preserve">Other </w:t>
            </w:r>
            <w:r w:rsidRPr="002010BD">
              <w:rPr>
                <w:rFonts w:asciiTheme="minorHAnsi" w:hAnsiTheme="minorHAnsi"/>
                <w:b/>
                <w:bCs/>
                <w:i/>
                <w:iCs/>
                <w:sz w:val="16"/>
                <w:szCs w:val="14"/>
                <w:lang w:val="en-GB"/>
              </w:rPr>
              <w:t>(as specified in summary 1.A)</w:t>
            </w:r>
          </w:p>
        </w:tc>
        <w:tc>
          <w:tcPr>
            <w:tcW w:w="992" w:type="dxa"/>
            <w:tcBorders>
              <w:top w:val="nil"/>
              <w:left w:val="nil"/>
              <w:bottom w:val="single" w:sz="4" w:space="0" w:color="auto"/>
              <w:right w:val="single" w:sz="4" w:space="0" w:color="auto"/>
            </w:tcBorders>
            <w:shd w:val="clear" w:color="000000" w:fill="CCFFFF"/>
            <w:noWrap/>
            <w:vAlign w:val="bottom"/>
            <w:hideMark/>
          </w:tcPr>
          <w:p w14:paraId="61CADDD4"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3EACF8B7" w14:textId="77777777" w:rsidR="00B56301" w:rsidRPr="002010BD" w:rsidRDefault="00B56301" w:rsidP="00B37B65">
            <w:pPr>
              <w:jc w:val="right"/>
              <w:rPr>
                <w:rFonts w:asciiTheme="minorHAnsi" w:hAnsiTheme="minorHAnsi"/>
                <w:sz w:val="16"/>
                <w:szCs w:val="14"/>
              </w:rPr>
            </w:pPr>
            <w:r w:rsidRPr="00DE10D2">
              <w:rPr>
                <w:sz w:val="16"/>
                <w:szCs w:val="18"/>
              </w:rPr>
              <w:t>NO</w:t>
            </w:r>
          </w:p>
        </w:tc>
        <w:tc>
          <w:tcPr>
            <w:tcW w:w="1745" w:type="dxa"/>
            <w:tcBorders>
              <w:top w:val="nil"/>
              <w:left w:val="nil"/>
              <w:bottom w:val="single" w:sz="4" w:space="0" w:color="auto"/>
              <w:right w:val="single" w:sz="4" w:space="0" w:color="auto"/>
            </w:tcBorders>
            <w:shd w:val="clear" w:color="000000" w:fill="CCFFFF"/>
            <w:noWrap/>
            <w:vAlign w:val="bottom"/>
            <w:hideMark/>
          </w:tcPr>
          <w:p w14:paraId="0CCE5123"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52F2C31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6844587F" w14:textId="59AADAB2"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 xml:space="preserve">Total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 xml:space="preserve">emissions without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103FF84" w14:textId="77777777" w:rsidR="00B56301" w:rsidRPr="002010BD" w:rsidRDefault="00B56301" w:rsidP="00B37B65">
            <w:pPr>
              <w:jc w:val="right"/>
              <w:rPr>
                <w:rFonts w:asciiTheme="minorHAnsi" w:hAnsiTheme="minorHAnsi"/>
                <w:sz w:val="16"/>
                <w:szCs w:val="14"/>
              </w:rPr>
            </w:pPr>
            <w:r w:rsidRPr="00DE10D2">
              <w:rPr>
                <w:sz w:val="16"/>
                <w:szCs w:val="18"/>
              </w:rPr>
              <w:t>2229,59</w:t>
            </w:r>
          </w:p>
        </w:tc>
        <w:tc>
          <w:tcPr>
            <w:tcW w:w="992" w:type="dxa"/>
            <w:tcBorders>
              <w:top w:val="nil"/>
              <w:left w:val="nil"/>
              <w:bottom w:val="single" w:sz="4" w:space="0" w:color="auto"/>
              <w:right w:val="single" w:sz="4" w:space="0" w:color="auto"/>
            </w:tcBorders>
            <w:shd w:val="clear" w:color="000000" w:fill="CCFFFF"/>
            <w:noWrap/>
            <w:vAlign w:val="bottom"/>
            <w:hideMark/>
          </w:tcPr>
          <w:p w14:paraId="316E3CB3" w14:textId="77777777" w:rsidR="00B56301" w:rsidRPr="002010BD" w:rsidRDefault="00B56301" w:rsidP="00B37B65">
            <w:pPr>
              <w:jc w:val="right"/>
              <w:rPr>
                <w:rFonts w:asciiTheme="minorHAnsi" w:hAnsiTheme="minorHAnsi"/>
                <w:sz w:val="16"/>
                <w:szCs w:val="14"/>
              </w:rPr>
            </w:pPr>
            <w:r w:rsidRPr="00DE10D2">
              <w:rPr>
                <w:sz w:val="16"/>
                <w:szCs w:val="18"/>
              </w:rPr>
              <w:t>2185,67</w:t>
            </w:r>
          </w:p>
        </w:tc>
        <w:tc>
          <w:tcPr>
            <w:tcW w:w="1745" w:type="dxa"/>
            <w:tcBorders>
              <w:top w:val="nil"/>
              <w:left w:val="nil"/>
              <w:bottom w:val="single" w:sz="4" w:space="0" w:color="auto"/>
              <w:right w:val="single" w:sz="4" w:space="0" w:color="auto"/>
            </w:tcBorders>
            <w:shd w:val="clear" w:color="000000" w:fill="CCFFFF"/>
            <w:noWrap/>
            <w:vAlign w:val="bottom"/>
            <w:hideMark/>
          </w:tcPr>
          <w:p w14:paraId="6D1B7F62" w14:textId="77777777" w:rsidR="00B56301" w:rsidRPr="002010BD" w:rsidRDefault="00B56301" w:rsidP="00B37B65">
            <w:pPr>
              <w:jc w:val="right"/>
              <w:rPr>
                <w:rFonts w:asciiTheme="minorHAnsi" w:hAnsiTheme="minorHAnsi"/>
                <w:sz w:val="16"/>
                <w:szCs w:val="14"/>
              </w:rPr>
            </w:pPr>
            <w:r w:rsidRPr="00DE10D2">
              <w:rPr>
                <w:sz w:val="16"/>
                <w:szCs w:val="18"/>
              </w:rPr>
              <w:t>-20,99</w:t>
            </w:r>
          </w:p>
        </w:tc>
      </w:tr>
      <w:tr w:rsidR="00B56301" w:rsidRPr="00C2292B" w14:paraId="33BA5AB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vAlign w:val="center"/>
            <w:hideMark/>
          </w:tcPr>
          <w:p w14:paraId="463255BE" w14:textId="799116E9"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 xml:space="preserve">Total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 xml:space="preserve">emissions with </w:t>
            </w:r>
            <w:r w:rsidR="007F09F7" w:rsidRPr="006C251B">
              <w:rPr>
                <w:lang w:val="en-GB"/>
              </w:rPr>
              <w:t>CH</w:t>
            </w:r>
            <w:r w:rsidR="007F09F7" w:rsidRPr="006C251B">
              <w:rPr>
                <w:vertAlign w:val="subscript"/>
                <w:lang w:val="en-GB"/>
              </w:rPr>
              <w:t>4</w:t>
            </w:r>
            <w:r w:rsidR="00260E0B">
              <w:rPr>
                <w:lang w:val="en-GB"/>
              </w:rPr>
              <w:t xml:space="preserve"> </w:t>
            </w:r>
            <w:r w:rsidRPr="002010BD">
              <w:rPr>
                <w:rFonts w:asciiTheme="minorHAnsi" w:hAnsiTheme="minorHAnsi"/>
                <w:b/>
                <w:bCs/>
                <w:sz w:val="16"/>
                <w:szCs w:val="14"/>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4102973" w14:textId="77777777" w:rsidR="00B56301" w:rsidRPr="002010BD" w:rsidRDefault="00B56301" w:rsidP="00B37B65">
            <w:pPr>
              <w:jc w:val="right"/>
              <w:rPr>
                <w:rFonts w:asciiTheme="minorHAnsi" w:hAnsiTheme="minorHAnsi"/>
                <w:sz w:val="16"/>
                <w:szCs w:val="14"/>
              </w:rPr>
            </w:pPr>
            <w:r w:rsidRPr="00DE10D2">
              <w:rPr>
                <w:sz w:val="16"/>
                <w:szCs w:val="18"/>
              </w:rPr>
              <w:t>2275,09</w:t>
            </w:r>
          </w:p>
        </w:tc>
        <w:tc>
          <w:tcPr>
            <w:tcW w:w="992" w:type="dxa"/>
            <w:tcBorders>
              <w:top w:val="nil"/>
              <w:left w:val="nil"/>
              <w:bottom w:val="single" w:sz="4" w:space="0" w:color="auto"/>
              <w:right w:val="single" w:sz="4" w:space="0" w:color="auto"/>
            </w:tcBorders>
            <w:shd w:val="clear" w:color="000000" w:fill="CCFFFF"/>
            <w:noWrap/>
            <w:vAlign w:val="bottom"/>
            <w:hideMark/>
          </w:tcPr>
          <w:p w14:paraId="4B12E8EF" w14:textId="77777777" w:rsidR="00B56301" w:rsidRPr="002010BD" w:rsidRDefault="00B56301" w:rsidP="00B37B65">
            <w:pPr>
              <w:jc w:val="right"/>
              <w:rPr>
                <w:rFonts w:asciiTheme="minorHAnsi" w:hAnsiTheme="minorHAnsi"/>
                <w:sz w:val="16"/>
                <w:szCs w:val="14"/>
              </w:rPr>
            </w:pPr>
            <w:r w:rsidRPr="00DE10D2">
              <w:rPr>
                <w:sz w:val="16"/>
                <w:szCs w:val="18"/>
              </w:rPr>
              <w:t>2229,90</w:t>
            </w:r>
          </w:p>
        </w:tc>
        <w:tc>
          <w:tcPr>
            <w:tcW w:w="1745" w:type="dxa"/>
            <w:tcBorders>
              <w:top w:val="nil"/>
              <w:left w:val="nil"/>
              <w:bottom w:val="single" w:sz="4" w:space="0" w:color="auto"/>
              <w:right w:val="single" w:sz="4" w:space="0" w:color="auto"/>
            </w:tcBorders>
            <w:shd w:val="clear" w:color="000000" w:fill="CCFFFF"/>
            <w:noWrap/>
            <w:vAlign w:val="bottom"/>
            <w:hideMark/>
          </w:tcPr>
          <w:p w14:paraId="2F7EEF98" w14:textId="77777777" w:rsidR="00B56301" w:rsidRPr="002010BD" w:rsidRDefault="00B56301" w:rsidP="00B37B65">
            <w:pPr>
              <w:jc w:val="right"/>
              <w:rPr>
                <w:rFonts w:asciiTheme="minorHAnsi" w:hAnsiTheme="minorHAnsi"/>
                <w:sz w:val="16"/>
                <w:szCs w:val="14"/>
              </w:rPr>
            </w:pPr>
            <w:r w:rsidRPr="00DE10D2">
              <w:rPr>
                <w:sz w:val="16"/>
                <w:szCs w:val="18"/>
              </w:rPr>
              <w:t>-20,47</w:t>
            </w:r>
          </w:p>
        </w:tc>
      </w:tr>
      <w:tr w:rsidR="00B56301" w:rsidRPr="00C2292B" w14:paraId="48621484"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F37A0D6"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Memo items:</w:t>
            </w:r>
          </w:p>
        </w:tc>
        <w:tc>
          <w:tcPr>
            <w:tcW w:w="992" w:type="dxa"/>
            <w:tcBorders>
              <w:top w:val="nil"/>
              <w:left w:val="nil"/>
              <w:bottom w:val="single" w:sz="4" w:space="0" w:color="auto"/>
              <w:right w:val="single" w:sz="4" w:space="0" w:color="auto"/>
            </w:tcBorders>
            <w:shd w:val="clear" w:color="000000" w:fill="969696"/>
            <w:noWrap/>
            <w:vAlign w:val="bottom"/>
            <w:hideMark/>
          </w:tcPr>
          <w:p w14:paraId="6421F09B"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518535D"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1142BD3A"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4CF35191"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5B9D980"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International bunkers</w:t>
            </w:r>
          </w:p>
        </w:tc>
        <w:tc>
          <w:tcPr>
            <w:tcW w:w="992" w:type="dxa"/>
            <w:tcBorders>
              <w:top w:val="nil"/>
              <w:left w:val="nil"/>
              <w:bottom w:val="single" w:sz="4" w:space="0" w:color="auto"/>
              <w:right w:val="single" w:sz="4" w:space="0" w:color="auto"/>
            </w:tcBorders>
            <w:shd w:val="clear" w:color="000000" w:fill="CCFFFF"/>
            <w:noWrap/>
            <w:vAlign w:val="bottom"/>
            <w:hideMark/>
          </w:tcPr>
          <w:p w14:paraId="75DA03A0" w14:textId="77777777" w:rsidR="00B56301" w:rsidRPr="002010BD" w:rsidRDefault="00B56301" w:rsidP="00B37B65">
            <w:pPr>
              <w:jc w:val="right"/>
              <w:rPr>
                <w:rFonts w:asciiTheme="minorHAnsi" w:hAnsiTheme="minorHAnsi"/>
                <w:sz w:val="16"/>
                <w:szCs w:val="14"/>
              </w:rPr>
            </w:pPr>
            <w:r w:rsidRPr="00DE10D2">
              <w:rPr>
                <w:sz w:val="16"/>
                <w:szCs w:val="18"/>
              </w:rPr>
              <w:t>0,60</w:t>
            </w:r>
          </w:p>
        </w:tc>
        <w:tc>
          <w:tcPr>
            <w:tcW w:w="992" w:type="dxa"/>
            <w:tcBorders>
              <w:top w:val="nil"/>
              <w:left w:val="nil"/>
              <w:bottom w:val="single" w:sz="4" w:space="0" w:color="auto"/>
              <w:right w:val="single" w:sz="4" w:space="0" w:color="auto"/>
            </w:tcBorders>
            <w:shd w:val="clear" w:color="000000" w:fill="CCFFFF"/>
            <w:noWrap/>
            <w:vAlign w:val="bottom"/>
            <w:hideMark/>
          </w:tcPr>
          <w:p w14:paraId="47CA0257" w14:textId="77777777" w:rsidR="00B56301" w:rsidRPr="002010BD" w:rsidRDefault="00B56301" w:rsidP="00B37B65">
            <w:pPr>
              <w:jc w:val="right"/>
              <w:rPr>
                <w:rFonts w:asciiTheme="minorHAnsi" w:hAnsiTheme="minorHAnsi"/>
                <w:sz w:val="16"/>
                <w:szCs w:val="14"/>
              </w:rPr>
            </w:pPr>
            <w:r w:rsidRPr="00DE10D2">
              <w:rPr>
                <w:sz w:val="16"/>
                <w:szCs w:val="18"/>
              </w:rPr>
              <w:t>0,33</w:t>
            </w:r>
          </w:p>
        </w:tc>
        <w:tc>
          <w:tcPr>
            <w:tcW w:w="1745" w:type="dxa"/>
            <w:tcBorders>
              <w:top w:val="nil"/>
              <w:left w:val="nil"/>
              <w:bottom w:val="single" w:sz="4" w:space="0" w:color="auto"/>
              <w:right w:val="single" w:sz="4" w:space="0" w:color="auto"/>
            </w:tcBorders>
            <w:shd w:val="clear" w:color="000000" w:fill="CCFFFF"/>
            <w:noWrap/>
            <w:vAlign w:val="bottom"/>
            <w:hideMark/>
          </w:tcPr>
          <w:p w14:paraId="2BC8AF21" w14:textId="77777777" w:rsidR="00B56301" w:rsidRPr="002010BD" w:rsidRDefault="00B56301" w:rsidP="00B37B65">
            <w:pPr>
              <w:jc w:val="right"/>
              <w:rPr>
                <w:rFonts w:asciiTheme="minorHAnsi" w:hAnsiTheme="minorHAnsi"/>
                <w:sz w:val="16"/>
                <w:szCs w:val="14"/>
              </w:rPr>
            </w:pPr>
            <w:r w:rsidRPr="00DE10D2">
              <w:rPr>
                <w:sz w:val="16"/>
                <w:szCs w:val="18"/>
              </w:rPr>
              <w:t>-64,97</w:t>
            </w:r>
          </w:p>
        </w:tc>
      </w:tr>
      <w:tr w:rsidR="00B56301" w:rsidRPr="00C2292B" w14:paraId="0DB22CD5"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2D8CF394" w14:textId="77777777" w:rsidR="00B56301" w:rsidRPr="002010BD" w:rsidRDefault="00B56301" w:rsidP="00B37B65">
            <w:pPr>
              <w:jc w:val="left"/>
              <w:rPr>
                <w:rFonts w:asciiTheme="minorHAnsi" w:hAnsiTheme="minorHAnsi"/>
                <w:sz w:val="16"/>
                <w:szCs w:val="14"/>
              </w:rPr>
            </w:pPr>
            <w:r w:rsidRPr="002010BD">
              <w:rPr>
                <w:rFonts w:asciiTheme="minorHAnsi" w:hAnsiTheme="minorHAnsi"/>
                <w:sz w:val="16"/>
                <w:szCs w:val="14"/>
              </w:rPr>
              <w:t>Aviation</w:t>
            </w:r>
          </w:p>
        </w:tc>
        <w:tc>
          <w:tcPr>
            <w:tcW w:w="992" w:type="dxa"/>
            <w:tcBorders>
              <w:top w:val="nil"/>
              <w:left w:val="nil"/>
              <w:bottom w:val="single" w:sz="4" w:space="0" w:color="auto"/>
              <w:right w:val="single" w:sz="4" w:space="0" w:color="auto"/>
            </w:tcBorders>
            <w:shd w:val="clear" w:color="000000" w:fill="FFFFFF"/>
            <w:noWrap/>
            <w:vAlign w:val="bottom"/>
            <w:hideMark/>
          </w:tcPr>
          <w:p w14:paraId="13694EAF" w14:textId="77777777" w:rsidR="00B56301" w:rsidRPr="002010BD" w:rsidRDefault="00B56301" w:rsidP="00B37B65">
            <w:pPr>
              <w:jc w:val="right"/>
              <w:rPr>
                <w:rFonts w:asciiTheme="minorHAnsi" w:hAnsiTheme="minorHAnsi"/>
                <w:sz w:val="16"/>
                <w:szCs w:val="14"/>
              </w:rPr>
            </w:pPr>
            <w:r w:rsidRPr="00DE10D2">
              <w:rPr>
                <w:sz w:val="16"/>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9FC41DA" w14:textId="77777777" w:rsidR="00B56301" w:rsidRPr="002010BD" w:rsidRDefault="00B56301" w:rsidP="00B37B65">
            <w:pPr>
              <w:jc w:val="right"/>
              <w:rPr>
                <w:rFonts w:asciiTheme="minorHAnsi" w:hAnsiTheme="minorHAnsi"/>
                <w:sz w:val="16"/>
                <w:szCs w:val="14"/>
              </w:rPr>
            </w:pPr>
            <w:r w:rsidRPr="00DE10D2">
              <w:rPr>
                <w:sz w:val="16"/>
                <w:szCs w:val="18"/>
              </w:rPr>
              <w:t>0,03</w:t>
            </w:r>
          </w:p>
        </w:tc>
        <w:tc>
          <w:tcPr>
            <w:tcW w:w="1745" w:type="dxa"/>
            <w:tcBorders>
              <w:top w:val="nil"/>
              <w:left w:val="nil"/>
              <w:bottom w:val="single" w:sz="4" w:space="0" w:color="auto"/>
              <w:right w:val="single" w:sz="4" w:space="0" w:color="auto"/>
            </w:tcBorders>
            <w:shd w:val="clear" w:color="000000" w:fill="FFFFFF"/>
            <w:noWrap/>
            <w:vAlign w:val="bottom"/>
            <w:hideMark/>
          </w:tcPr>
          <w:p w14:paraId="6D771D76" w14:textId="77777777" w:rsidR="00B56301" w:rsidRPr="002010BD" w:rsidRDefault="00B56301" w:rsidP="00B37B65">
            <w:pPr>
              <w:jc w:val="right"/>
              <w:rPr>
                <w:rFonts w:asciiTheme="minorHAnsi" w:hAnsiTheme="minorHAnsi"/>
                <w:sz w:val="16"/>
                <w:szCs w:val="14"/>
              </w:rPr>
            </w:pPr>
            <w:r w:rsidRPr="00DE10D2">
              <w:rPr>
                <w:sz w:val="16"/>
                <w:szCs w:val="18"/>
              </w:rPr>
              <w:t>-83,89</w:t>
            </w:r>
          </w:p>
        </w:tc>
      </w:tr>
      <w:tr w:rsidR="00B56301" w:rsidRPr="00C2292B" w14:paraId="3578B913"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76EAFB0" w14:textId="77777777" w:rsidR="00B56301" w:rsidRPr="002010BD" w:rsidRDefault="00B56301" w:rsidP="00B37B65">
            <w:pPr>
              <w:jc w:val="left"/>
              <w:rPr>
                <w:rFonts w:asciiTheme="minorHAnsi" w:hAnsiTheme="minorHAnsi"/>
                <w:sz w:val="16"/>
                <w:szCs w:val="14"/>
              </w:rPr>
            </w:pPr>
            <w:r w:rsidRPr="002010BD">
              <w:rPr>
                <w:rFonts w:asciiTheme="minorHAnsi" w:hAnsiTheme="minorHAnsi"/>
                <w:sz w:val="16"/>
                <w:szCs w:val="14"/>
              </w:rPr>
              <w:t>Navigation</w:t>
            </w:r>
          </w:p>
        </w:tc>
        <w:tc>
          <w:tcPr>
            <w:tcW w:w="992" w:type="dxa"/>
            <w:tcBorders>
              <w:top w:val="nil"/>
              <w:left w:val="nil"/>
              <w:bottom w:val="single" w:sz="4" w:space="0" w:color="auto"/>
              <w:right w:val="single" w:sz="4" w:space="0" w:color="auto"/>
            </w:tcBorders>
            <w:shd w:val="clear" w:color="000000" w:fill="FFFFFF"/>
            <w:noWrap/>
            <w:vAlign w:val="bottom"/>
            <w:hideMark/>
          </w:tcPr>
          <w:p w14:paraId="3C56B147" w14:textId="77777777" w:rsidR="00B56301" w:rsidRPr="002010BD" w:rsidRDefault="00B56301" w:rsidP="00B37B65">
            <w:pPr>
              <w:jc w:val="right"/>
              <w:rPr>
                <w:rFonts w:asciiTheme="minorHAnsi" w:hAnsiTheme="minorHAnsi"/>
                <w:sz w:val="16"/>
                <w:szCs w:val="14"/>
              </w:rPr>
            </w:pPr>
            <w:r w:rsidRPr="00DE10D2">
              <w:rPr>
                <w:sz w:val="16"/>
                <w:szCs w:val="18"/>
              </w:rPr>
              <w:t>0,53</w:t>
            </w:r>
          </w:p>
        </w:tc>
        <w:tc>
          <w:tcPr>
            <w:tcW w:w="992" w:type="dxa"/>
            <w:tcBorders>
              <w:top w:val="nil"/>
              <w:left w:val="nil"/>
              <w:bottom w:val="single" w:sz="4" w:space="0" w:color="auto"/>
              <w:right w:val="single" w:sz="4" w:space="0" w:color="auto"/>
            </w:tcBorders>
            <w:shd w:val="clear" w:color="000000" w:fill="FFFFFF"/>
            <w:noWrap/>
            <w:vAlign w:val="bottom"/>
            <w:hideMark/>
          </w:tcPr>
          <w:p w14:paraId="64DBCF6D" w14:textId="77777777" w:rsidR="00B56301" w:rsidRPr="002010BD" w:rsidRDefault="00B56301" w:rsidP="00B37B65">
            <w:pPr>
              <w:jc w:val="right"/>
              <w:rPr>
                <w:rFonts w:asciiTheme="minorHAnsi" w:hAnsiTheme="minorHAnsi"/>
                <w:sz w:val="16"/>
                <w:szCs w:val="14"/>
              </w:rPr>
            </w:pPr>
            <w:r w:rsidRPr="00DE10D2">
              <w:rPr>
                <w:sz w:val="16"/>
                <w:szCs w:val="18"/>
              </w:rPr>
              <w:t>0,30</w:t>
            </w:r>
          </w:p>
        </w:tc>
        <w:tc>
          <w:tcPr>
            <w:tcW w:w="1745" w:type="dxa"/>
            <w:tcBorders>
              <w:top w:val="nil"/>
              <w:left w:val="nil"/>
              <w:bottom w:val="single" w:sz="4" w:space="0" w:color="auto"/>
              <w:right w:val="single" w:sz="4" w:space="0" w:color="auto"/>
            </w:tcBorders>
            <w:shd w:val="clear" w:color="000000" w:fill="FFFFFF"/>
            <w:noWrap/>
            <w:vAlign w:val="bottom"/>
            <w:hideMark/>
          </w:tcPr>
          <w:p w14:paraId="5FB1723F" w14:textId="77777777" w:rsidR="00B56301" w:rsidRPr="002010BD" w:rsidRDefault="00B56301" w:rsidP="00B37B65">
            <w:pPr>
              <w:jc w:val="right"/>
              <w:rPr>
                <w:rFonts w:asciiTheme="minorHAnsi" w:hAnsiTheme="minorHAnsi"/>
                <w:sz w:val="16"/>
                <w:szCs w:val="14"/>
              </w:rPr>
            </w:pPr>
            <w:r w:rsidRPr="00DE10D2">
              <w:rPr>
                <w:sz w:val="16"/>
                <w:szCs w:val="18"/>
              </w:rPr>
              <w:t>-60,68</w:t>
            </w:r>
          </w:p>
        </w:tc>
      </w:tr>
      <w:tr w:rsidR="00B56301" w:rsidRPr="00C2292B" w14:paraId="68B16FA9"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360CDBD" w14:textId="77777777"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Multilateral operations</w:t>
            </w:r>
          </w:p>
        </w:tc>
        <w:tc>
          <w:tcPr>
            <w:tcW w:w="992" w:type="dxa"/>
            <w:tcBorders>
              <w:top w:val="nil"/>
              <w:left w:val="nil"/>
              <w:bottom w:val="single" w:sz="4" w:space="0" w:color="auto"/>
              <w:right w:val="single" w:sz="4" w:space="0" w:color="auto"/>
            </w:tcBorders>
            <w:shd w:val="clear" w:color="000000" w:fill="FFFFFF"/>
            <w:noWrap/>
            <w:vAlign w:val="bottom"/>
            <w:hideMark/>
          </w:tcPr>
          <w:p w14:paraId="63C1C292" w14:textId="77777777" w:rsidR="00B56301" w:rsidRPr="002010BD" w:rsidRDefault="00B56301" w:rsidP="00B37B65">
            <w:pPr>
              <w:jc w:val="right"/>
              <w:rPr>
                <w:rFonts w:asciiTheme="minorHAnsi" w:hAnsiTheme="minorHAnsi"/>
                <w:sz w:val="16"/>
                <w:szCs w:val="14"/>
              </w:rPr>
            </w:pPr>
            <w:r w:rsidRPr="00DE10D2">
              <w:rPr>
                <w:sz w:val="16"/>
                <w:szCs w:val="18"/>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1B523F12" w14:textId="77777777" w:rsidR="00B56301" w:rsidRPr="002010BD" w:rsidRDefault="00B56301" w:rsidP="00B37B65">
            <w:pPr>
              <w:jc w:val="right"/>
              <w:rPr>
                <w:rFonts w:asciiTheme="minorHAnsi" w:hAnsiTheme="minorHAnsi"/>
                <w:sz w:val="16"/>
                <w:szCs w:val="14"/>
              </w:rPr>
            </w:pPr>
            <w:r w:rsidRPr="00DE10D2">
              <w:rPr>
                <w:sz w:val="16"/>
                <w:szCs w:val="18"/>
              </w:rPr>
              <w:t>NE</w:t>
            </w:r>
          </w:p>
        </w:tc>
        <w:tc>
          <w:tcPr>
            <w:tcW w:w="1745" w:type="dxa"/>
            <w:tcBorders>
              <w:top w:val="nil"/>
              <w:left w:val="nil"/>
              <w:bottom w:val="single" w:sz="4" w:space="0" w:color="auto"/>
              <w:right w:val="single" w:sz="4" w:space="0" w:color="auto"/>
            </w:tcBorders>
            <w:shd w:val="clear" w:color="000000" w:fill="FFFFFF"/>
            <w:noWrap/>
            <w:vAlign w:val="bottom"/>
            <w:hideMark/>
          </w:tcPr>
          <w:p w14:paraId="3D4A5BD3" w14:textId="77777777" w:rsidR="00B56301" w:rsidRPr="002010BD" w:rsidRDefault="00B56301" w:rsidP="00B37B65">
            <w:pPr>
              <w:jc w:val="right"/>
              <w:rPr>
                <w:rFonts w:asciiTheme="minorHAnsi" w:hAnsiTheme="minorHAnsi"/>
                <w:sz w:val="16"/>
                <w:szCs w:val="14"/>
              </w:rPr>
            </w:pPr>
            <w:r w:rsidRPr="00DE10D2">
              <w:rPr>
                <w:sz w:val="16"/>
                <w:szCs w:val="18"/>
              </w:rPr>
              <w:t>0,00</w:t>
            </w:r>
          </w:p>
        </w:tc>
      </w:tr>
      <w:tr w:rsidR="00B56301" w:rsidRPr="00C2292B" w14:paraId="3E1A3A4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7A15A791" w14:textId="667A580E" w:rsidR="00B56301" w:rsidRPr="002010BD" w:rsidRDefault="007F09F7" w:rsidP="00B37B65">
            <w:pPr>
              <w:jc w:val="left"/>
              <w:rPr>
                <w:rFonts w:asciiTheme="minorHAnsi" w:hAnsiTheme="minorHAnsi"/>
                <w:b/>
                <w:bCs/>
                <w:sz w:val="16"/>
                <w:szCs w:val="14"/>
              </w:rPr>
            </w:pPr>
            <w:r>
              <w:t>CO</w:t>
            </w:r>
            <w:r w:rsidRPr="007F09F7">
              <w:rPr>
                <w:vertAlign w:val="subscript"/>
              </w:rPr>
              <w:t>2</w:t>
            </w:r>
            <w:r w:rsidR="00B56301" w:rsidRPr="002010BD">
              <w:rPr>
                <w:rFonts w:asciiTheme="minorHAnsi" w:hAnsiTheme="minorHAnsi"/>
                <w:b/>
                <w:bCs/>
                <w:sz w:val="16"/>
                <w:szCs w:val="14"/>
              </w:rPr>
              <w:t xml:space="preserve"> emissions from biomass</w:t>
            </w:r>
          </w:p>
        </w:tc>
        <w:tc>
          <w:tcPr>
            <w:tcW w:w="992" w:type="dxa"/>
            <w:tcBorders>
              <w:top w:val="nil"/>
              <w:left w:val="nil"/>
              <w:bottom w:val="single" w:sz="4" w:space="0" w:color="auto"/>
              <w:right w:val="single" w:sz="4" w:space="0" w:color="auto"/>
            </w:tcBorders>
            <w:shd w:val="clear" w:color="000000" w:fill="969696"/>
            <w:noWrap/>
            <w:vAlign w:val="bottom"/>
            <w:hideMark/>
          </w:tcPr>
          <w:p w14:paraId="2BCA6B93"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F8DB0A9"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9BEF718"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6F2D544D"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0F3B42A4" w14:textId="1DBE7C27" w:rsidR="00B56301" w:rsidRPr="002010BD" w:rsidRDefault="007F09F7" w:rsidP="00B37B65">
            <w:pPr>
              <w:jc w:val="left"/>
              <w:rPr>
                <w:rFonts w:asciiTheme="minorHAnsi" w:hAnsiTheme="minorHAnsi"/>
                <w:b/>
                <w:bCs/>
                <w:sz w:val="16"/>
                <w:szCs w:val="14"/>
              </w:rPr>
            </w:pPr>
            <w:r>
              <w:t>CO</w:t>
            </w:r>
            <w:r w:rsidRPr="007F09F7">
              <w:rPr>
                <w:vertAlign w:val="subscript"/>
              </w:rPr>
              <w:t>2</w:t>
            </w:r>
            <w:r w:rsidR="00B56301" w:rsidRPr="002010BD">
              <w:rPr>
                <w:rFonts w:asciiTheme="minorHAnsi" w:hAnsiTheme="minorHAnsi"/>
                <w:b/>
                <w:bCs/>
                <w:sz w:val="16"/>
                <w:szCs w:val="14"/>
              </w:rPr>
              <w:t xml:space="preserve"> captured</w:t>
            </w:r>
          </w:p>
        </w:tc>
        <w:tc>
          <w:tcPr>
            <w:tcW w:w="992" w:type="dxa"/>
            <w:tcBorders>
              <w:top w:val="nil"/>
              <w:left w:val="nil"/>
              <w:bottom w:val="single" w:sz="4" w:space="0" w:color="auto"/>
              <w:right w:val="single" w:sz="4" w:space="0" w:color="auto"/>
            </w:tcBorders>
            <w:shd w:val="clear" w:color="000000" w:fill="969696"/>
            <w:noWrap/>
            <w:vAlign w:val="bottom"/>
            <w:hideMark/>
          </w:tcPr>
          <w:p w14:paraId="6F783690"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1D219DC"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24370E53"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833C38" w14:paraId="41C84D28"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907F91F" w14:textId="77777777" w:rsidR="00B56301" w:rsidRPr="002010BD" w:rsidRDefault="00B56301" w:rsidP="00B37B65">
            <w:pPr>
              <w:jc w:val="left"/>
              <w:rPr>
                <w:rFonts w:asciiTheme="minorHAnsi" w:hAnsiTheme="minorHAnsi"/>
                <w:b/>
                <w:bCs/>
                <w:sz w:val="16"/>
                <w:szCs w:val="14"/>
                <w:lang w:val="en-GB"/>
              </w:rPr>
            </w:pPr>
            <w:r w:rsidRPr="002010BD">
              <w:rPr>
                <w:rFonts w:asciiTheme="minorHAnsi" w:hAnsiTheme="minorHAnsi"/>
                <w:b/>
                <w:bCs/>
                <w:sz w:val="16"/>
                <w:szCs w:val="14"/>
                <w:lang w:val="en-GB"/>
              </w:rPr>
              <w:t>Long-term storage of C in waste disposal sites</w:t>
            </w:r>
          </w:p>
        </w:tc>
        <w:tc>
          <w:tcPr>
            <w:tcW w:w="992" w:type="dxa"/>
            <w:tcBorders>
              <w:top w:val="nil"/>
              <w:left w:val="nil"/>
              <w:bottom w:val="single" w:sz="4" w:space="0" w:color="auto"/>
              <w:right w:val="single" w:sz="4" w:space="0" w:color="auto"/>
            </w:tcBorders>
            <w:shd w:val="clear" w:color="000000" w:fill="969696"/>
            <w:noWrap/>
            <w:vAlign w:val="bottom"/>
            <w:hideMark/>
          </w:tcPr>
          <w:p w14:paraId="01ECEA84"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8ED6BAB"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7487549" w14:textId="77777777" w:rsidR="00B56301" w:rsidRPr="002010BD" w:rsidRDefault="00B56301" w:rsidP="00B37B65">
            <w:pPr>
              <w:jc w:val="right"/>
              <w:rPr>
                <w:rFonts w:asciiTheme="minorHAnsi" w:hAnsiTheme="minorHAnsi"/>
                <w:sz w:val="16"/>
                <w:szCs w:val="14"/>
                <w:lang w:val="en-GB"/>
              </w:rPr>
            </w:pPr>
            <w:r w:rsidRPr="000233C9">
              <w:rPr>
                <w:sz w:val="16"/>
                <w:szCs w:val="18"/>
                <w:lang w:val="en-GB"/>
              </w:rPr>
              <w:t> </w:t>
            </w:r>
          </w:p>
        </w:tc>
      </w:tr>
      <w:tr w:rsidR="00B56301" w:rsidRPr="00C2292B" w14:paraId="393F8EEF"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3C44D6FE" w14:textId="33960BA5"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rsidRPr="00141043">
              <w:t>N</w:t>
            </w:r>
            <w:r w:rsidR="007F09F7" w:rsidRPr="004F1EC8">
              <w:rPr>
                <w:vertAlign w:val="subscript"/>
              </w:rPr>
              <w:t>2</w:t>
            </w:r>
            <w:r w:rsidR="007F09F7" w:rsidRPr="00141043">
              <w:t xml:space="preserve">O </w:t>
            </w:r>
          </w:p>
        </w:tc>
        <w:tc>
          <w:tcPr>
            <w:tcW w:w="992" w:type="dxa"/>
            <w:tcBorders>
              <w:top w:val="nil"/>
              <w:left w:val="nil"/>
              <w:bottom w:val="single" w:sz="4" w:space="0" w:color="auto"/>
              <w:right w:val="single" w:sz="4" w:space="0" w:color="auto"/>
            </w:tcBorders>
            <w:shd w:val="clear" w:color="000000" w:fill="969696"/>
            <w:noWrap/>
            <w:vAlign w:val="bottom"/>
            <w:hideMark/>
          </w:tcPr>
          <w:p w14:paraId="37F8917C"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5F21943"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43C009AA" w14:textId="77777777" w:rsidR="00B56301" w:rsidRPr="002010BD" w:rsidRDefault="00B56301" w:rsidP="00B37B65">
            <w:pPr>
              <w:jc w:val="right"/>
              <w:rPr>
                <w:rFonts w:asciiTheme="minorHAnsi" w:hAnsiTheme="minorHAnsi"/>
                <w:sz w:val="16"/>
                <w:szCs w:val="14"/>
              </w:rPr>
            </w:pPr>
            <w:r w:rsidRPr="00DE10D2">
              <w:rPr>
                <w:sz w:val="16"/>
                <w:szCs w:val="18"/>
              </w:rPr>
              <w:t> </w:t>
            </w:r>
          </w:p>
        </w:tc>
      </w:tr>
      <w:tr w:rsidR="00B56301" w:rsidRPr="00C2292B" w14:paraId="26C2F6CC" w14:textId="77777777" w:rsidTr="00B37B65">
        <w:trPr>
          <w:trHeight w:val="68"/>
          <w:jc w:val="center"/>
        </w:trPr>
        <w:tc>
          <w:tcPr>
            <w:tcW w:w="3283" w:type="dxa"/>
            <w:tcBorders>
              <w:top w:val="nil"/>
              <w:left w:val="single" w:sz="4" w:space="0" w:color="auto"/>
              <w:bottom w:val="single" w:sz="4" w:space="0" w:color="auto"/>
              <w:right w:val="single" w:sz="4" w:space="0" w:color="auto"/>
            </w:tcBorders>
            <w:shd w:val="clear" w:color="000000" w:fill="CCFFFF"/>
            <w:noWrap/>
            <w:vAlign w:val="center"/>
            <w:hideMark/>
          </w:tcPr>
          <w:p w14:paraId="565B27F0" w14:textId="34514793" w:rsidR="00B56301" w:rsidRPr="002010BD" w:rsidRDefault="00B56301" w:rsidP="00B37B65">
            <w:pPr>
              <w:jc w:val="left"/>
              <w:rPr>
                <w:rFonts w:asciiTheme="minorHAnsi" w:hAnsiTheme="minorHAnsi"/>
                <w:b/>
                <w:bCs/>
                <w:sz w:val="16"/>
                <w:szCs w:val="14"/>
              </w:rPr>
            </w:pPr>
            <w:r w:rsidRPr="002010BD">
              <w:rPr>
                <w:rFonts w:asciiTheme="minorHAnsi" w:hAnsiTheme="minorHAnsi"/>
                <w:b/>
                <w:bCs/>
                <w:sz w:val="16"/>
                <w:szCs w:val="14"/>
              </w:rPr>
              <w:t xml:space="preserve">Indirect </w:t>
            </w:r>
            <w:r w:rsidR="007F09F7">
              <w:t>CO</w:t>
            </w:r>
            <w:r w:rsidR="007F09F7" w:rsidRPr="007F09F7">
              <w:rPr>
                <w:vertAlign w:val="subscript"/>
              </w:rPr>
              <w:t>2</w:t>
            </w:r>
            <w:r w:rsidRPr="002010BD">
              <w:rPr>
                <w:rFonts w:asciiTheme="minorHAnsi" w:hAnsiTheme="minorHAnsi"/>
                <w:b/>
                <w:bCs/>
                <w:sz w:val="16"/>
                <w:szCs w:val="14"/>
                <w:vertAlign w:val="subscript"/>
              </w:rPr>
              <w:t xml:space="preserve"> </w:t>
            </w:r>
            <w:r w:rsidRPr="002010BD">
              <w:rPr>
                <w:rFonts w:asciiTheme="minorHAnsi" w:hAnsiTheme="minorHAnsi"/>
                <w:b/>
                <w:bCs/>
                <w:sz w:val="16"/>
                <w:szCs w:val="14"/>
                <w:vertAlign w:val="superscript"/>
              </w:rPr>
              <w:t>(3)</w:t>
            </w:r>
          </w:p>
        </w:tc>
        <w:tc>
          <w:tcPr>
            <w:tcW w:w="992" w:type="dxa"/>
            <w:tcBorders>
              <w:top w:val="nil"/>
              <w:left w:val="nil"/>
              <w:bottom w:val="single" w:sz="4" w:space="0" w:color="auto"/>
              <w:right w:val="single" w:sz="4" w:space="0" w:color="auto"/>
            </w:tcBorders>
            <w:shd w:val="clear" w:color="000000" w:fill="969696"/>
            <w:noWrap/>
            <w:vAlign w:val="bottom"/>
            <w:hideMark/>
          </w:tcPr>
          <w:p w14:paraId="0217F61C"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C49546E" w14:textId="77777777" w:rsidR="00B56301" w:rsidRPr="002010BD" w:rsidRDefault="00B56301" w:rsidP="00B37B65">
            <w:pPr>
              <w:jc w:val="right"/>
              <w:rPr>
                <w:rFonts w:asciiTheme="minorHAnsi" w:hAnsiTheme="minorHAnsi"/>
                <w:sz w:val="16"/>
                <w:szCs w:val="14"/>
              </w:rPr>
            </w:pPr>
            <w:r w:rsidRPr="00DE10D2">
              <w:rPr>
                <w:sz w:val="16"/>
                <w:szCs w:val="18"/>
              </w:rPr>
              <w:t> </w:t>
            </w:r>
          </w:p>
        </w:tc>
        <w:tc>
          <w:tcPr>
            <w:tcW w:w="1745" w:type="dxa"/>
            <w:tcBorders>
              <w:top w:val="nil"/>
              <w:left w:val="nil"/>
              <w:bottom w:val="single" w:sz="4" w:space="0" w:color="auto"/>
              <w:right w:val="single" w:sz="4" w:space="0" w:color="auto"/>
            </w:tcBorders>
            <w:shd w:val="clear" w:color="000000" w:fill="969696"/>
            <w:noWrap/>
            <w:vAlign w:val="bottom"/>
            <w:hideMark/>
          </w:tcPr>
          <w:p w14:paraId="5438EC02" w14:textId="77777777" w:rsidR="00B56301" w:rsidRPr="002010BD" w:rsidRDefault="00B56301" w:rsidP="00B37B65">
            <w:pPr>
              <w:jc w:val="right"/>
              <w:rPr>
                <w:rFonts w:asciiTheme="minorHAnsi" w:hAnsiTheme="minorHAnsi"/>
                <w:sz w:val="16"/>
                <w:szCs w:val="14"/>
              </w:rPr>
            </w:pPr>
            <w:r w:rsidRPr="00DE10D2">
              <w:rPr>
                <w:sz w:val="16"/>
                <w:szCs w:val="18"/>
              </w:rPr>
              <w:t> </w:t>
            </w:r>
          </w:p>
        </w:tc>
      </w:tr>
    </w:tbl>
    <w:p w14:paraId="2082C36F" w14:textId="77777777" w:rsidR="00B56301" w:rsidRDefault="00B56301" w:rsidP="00B56301">
      <w:pPr>
        <w:spacing w:line="240" w:lineRule="atLeast"/>
        <w:jc w:val="left"/>
        <w:rPr>
          <w:rFonts w:cs="Arial"/>
          <w:sz w:val="24"/>
        </w:rPr>
      </w:pPr>
      <w:r>
        <w:rPr>
          <w:rFonts w:cs="Arial"/>
          <w:sz w:val="24"/>
        </w:rPr>
        <w:br w:type="page"/>
      </w:r>
    </w:p>
    <w:p w14:paraId="5CFC872D" w14:textId="39D3577E" w:rsidR="00B56301" w:rsidRDefault="00B56301" w:rsidP="003F57EA">
      <w:pPr>
        <w:pStyle w:val="Titre2Niveau2"/>
        <w:numPr>
          <w:ilvl w:val="0"/>
          <w:numId w:val="62"/>
        </w:numPr>
      </w:pPr>
      <w:bookmarkStart w:id="819" w:name="_Toc122099544"/>
      <w:bookmarkStart w:id="820" w:name="_Toc138344564"/>
      <w:r w:rsidRPr="00A9751B">
        <w:t xml:space="preserve">Tendance pour le </w:t>
      </w:r>
      <w:r w:rsidR="00F80CAB" w:rsidRPr="00141043">
        <w:t>N</w:t>
      </w:r>
      <w:r w:rsidR="00F80CAB" w:rsidRPr="004F1EC8">
        <w:rPr>
          <w:vertAlign w:val="subscript"/>
        </w:rPr>
        <w:t>2</w:t>
      </w:r>
      <w:r w:rsidR="00F80CAB" w:rsidRPr="00141043">
        <w:t>O</w:t>
      </w:r>
      <w:r w:rsidR="00F80CAB">
        <w:t xml:space="preserve"> </w:t>
      </w:r>
      <w:r w:rsidRPr="003246AE">
        <w:t>(</w:t>
      </w:r>
      <w:r>
        <w:t>périmètre « Kyoto » - kt</w:t>
      </w:r>
      <w:r w:rsidRPr="003246AE">
        <w:t>)</w:t>
      </w:r>
      <w:bookmarkEnd w:id="819"/>
      <w:bookmarkEnd w:id="820"/>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2C68EA" w14:paraId="22CE88F9" w14:textId="77777777" w:rsidTr="00B37B65">
        <w:trPr>
          <w:trHeight w:val="68"/>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EDAC3B4" w14:textId="77777777" w:rsidR="00B56301" w:rsidRPr="002C68EA" w:rsidRDefault="00B56301" w:rsidP="00B37B65">
            <w:pPr>
              <w:jc w:val="center"/>
              <w:rPr>
                <w:rFonts w:asciiTheme="minorHAnsi" w:hAnsiTheme="minorHAnsi"/>
                <w:b/>
                <w:bCs/>
                <w:sz w:val="16"/>
                <w:szCs w:val="16"/>
                <w:lang w:val="en-GB"/>
              </w:rPr>
            </w:pPr>
            <w:r w:rsidRPr="002C68EA">
              <w:rPr>
                <w:rFonts w:asciiTheme="minorHAnsi" w:hAnsiTheme="minorHAnsi"/>
                <w:b/>
                <w:bCs/>
                <w:sz w:val="16"/>
                <w:szCs w:val="16"/>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992C1FC"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Base year</w:t>
            </w:r>
            <w:r w:rsidRPr="002C68EA">
              <w:rPr>
                <w:rFonts w:asciiTheme="minorHAnsi" w:hAnsiTheme="minorHAnsi"/>
                <w:b/>
                <w:bCs/>
                <w:sz w:val="16"/>
                <w:szCs w:val="16"/>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E28A21C"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7DFE38A"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328F708"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599B5D7"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4E1BAF8" w14:textId="77777777" w:rsidR="00B56301" w:rsidRPr="002C68EA" w:rsidRDefault="00B56301" w:rsidP="00B37B65">
            <w:pPr>
              <w:jc w:val="center"/>
              <w:rPr>
                <w:rFonts w:asciiTheme="minorHAnsi" w:hAnsiTheme="minorHAnsi"/>
                <w:b/>
                <w:bCs/>
                <w:sz w:val="16"/>
                <w:szCs w:val="16"/>
              </w:rPr>
            </w:pPr>
            <w:r w:rsidRPr="002C68EA">
              <w:rPr>
                <w:rFonts w:asciiTheme="minorHAnsi" w:hAnsiTheme="minorHAnsi"/>
                <w:b/>
                <w:bCs/>
                <w:sz w:val="16"/>
                <w:szCs w:val="16"/>
              </w:rPr>
              <w:t>1994</w:t>
            </w:r>
          </w:p>
        </w:tc>
      </w:tr>
      <w:tr w:rsidR="00B56301" w:rsidRPr="002C68EA" w14:paraId="4166CCD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86979DE" w14:textId="77777777"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1. Energy</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175297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6C3AE3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BFE54F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12,12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70F109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12,05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7FCC19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12,33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69C333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12,42</w:t>
            </w:r>
          </w:p>
        </w:tc>
      </w:tr>
      <w:tr w:rsidR="00B56301" w:rsidRPr="002C68EA" w14:paraId="10BD418C"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FCDC6A7" w14:textId="77777777"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A. Fuel combustion (sectoral approach)</w:t>
            </w:r>
          </w:p>
        </w:tc>
        <w:tc>
          <w:tcPr>
            <w:tcW w:w="992" w:type="dxa"/>
            <w:tcBorders>
              <w:top w:val="nil"/>
              <w:left w:val="nil"/>
              <w:bottom w:val="single" w:sz="4" w:space="0" w:color="auto"/>
              <w:right w:val="single" w:sz="4" w:space="0" w:color="auto"/>
            </w:tcBorders>
            <w:shd w:val="clear" w:color="000000" w:fill="CCFFFF"/>
            <w:noWrap/>
            <w:vAlign w:val="bottom"/>
            <w:hideMark/>
          </w:tcPr>
          <w:p w14:paraId="344AA70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11,43</w:t>
            </w:r>
          </w:p>
        </w:tc>
        <w:tc>
          <w:tcPr>
            <w:tcW w:w="992" w:type="dxa"/>
            <w:tcBorders>
              <w:top w:val="nil"/>
              <w:left w:val="nil"/>
              <w:bottom w:val="single" w:sz="4" w:space="0" w:color="auto"/>
              <w:right w:val="single" w:sz="4" w:space="0" w:color="auto"/>
            </w:tcBorders>
            <w:shd w:val="clear" w:color="000000" w:fill="CCFFFF"/>
            <w:noWrap/>
            <w:vAlign w:val="bottom"/>
            <w:hideMark/>
          </w:tcPr>
          <w:p w14:paraId="2EF6470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11,43</w:t>
            </w:r>
          </w:p>
        </w:tc>
        <w:tc>
          <w:tcPr>
            <w:tcW w:w="992" w:type="dxa"/>
            <w:tcBorders>
              <w:top w:val="nil"/>
              <w:left w:val="nil"/>
              <w:bottom w:val="single" w:sz="4" w:space="0" w:color="auto"/>
              <w:right w:val="single" w:sz="4" w:space="0" w:color="auto"/>
            </w:tcBorders>
            <w:shd w:val="clear" w:color="000000" w:fill="CCFFFF"/>
            <w:noWrap/>
            <w:vAlign w:val="bottom"/>
            <w:hideMark/>
          </w:tcPr>
          <w:p w14:paraId="3910AE9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12,03</w:t>
            </w:r>
          </w:p>
        </w:tc>
        <w:tc>
          <w:tcPr>
            <w:tcW w:w="992" w:type="dxa"/>
            <w:tcBorders>
              <w:top w:val="nil"/>
              <w:left w:val="nil"/>
              <w:bottom w:val="single" w:sz="4" w:space="0" w:color="auto"/>
              <w:right w:val="single" w:sz="4" w:space="0" w:color="auto"/>
            </w:tcBorders>
            <w:shd w:val="clear" w:color="000000" w:fill="CCFFFF"/>
            <w:noWrap/>
            <w:vAlign w:val="bottom"/>
            <w:hideMark/>
          </w:tcPr>
          <w:p w14:paraId="5005B94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11,96</w:t>
            </w:r>
          </w:p>
        </w:tc>
        <w:tc>
          <w:tcPr>
            <w:tcW w:w="992" w:type="dxa"/>
            <w:tcBorders>
              <w:top w:val="nil"/>
              <w:left w:val="nil"/>
              <w:bottom w:val="single" w:sz="4" w:space="0" w:color="auto"/>
              <w:right w:val="single" w:sz="4" w:space="0" w:color="auto"/>
            </w:tcBorders>
            <w:shd w:val="clear" w:color="000000" w:fill="CCFFFF"/>
            <w:noWrap/>
            <w:vAlign w:val="bottom"/>
            <w:hideMark/>
          </w:tcPr>
          <w:p w14:paraId="06A1D96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12,24</w:t>
            </w:r>
          </w:p>
        </w:tc>
        <w:tc>
          <w:tcPr>
            <w:tcW w:w="992" w:type="dxa"/>
            <w:tcBorders>
              <w:top w:val="nil"/>
              <w:left w:val="nil"/>
              <w:bottom w:val="single" w:sz="4" w:space="0" w:color="auto"/>
              <w:right w:val="single" w:sz="4" w:space="0" w:color="auto"/>
            </w:tcBorders>
            <w:shd w:val="clear" w:color="000000" w:fill="CCFFFF"/>
            <w:noWrap/>
            <w:vAlign w:val="bottom"/>
            <w:hideMark/>
          </w:tcPr>
          <w:p w14:paraId="0A1CDFA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12,33</w:t>
            </w:r>
          </w:p>
        </w:tc>
      </w:tr>
      <w:tr w:rsidR="00B56301" w:rsidRPr="002C68EA" w14:paraId="58D9120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7884198" w14:textId="4E28DC7C"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1.</w:t>
            </w:r>
            <w:r w:rsidR="00260E0B">
              <w:rPr>
                <w:rFonts w:asciiTheme="minorHAnsi" w:hAnsiTheme="minorHAnsi"/>
                <w:sz w:val="14"/>
                <w:szCs w:val="16"/>
              </w:rPr>
              <w:t xml:space="preserve"> </w:t>
            </w:r>
            <w:r w:rsidRPr="000157EE">
              <w:rPr>
                <w:rFonts w:asciiTheme="minorHAnsi" w:hAnsiTheme="minorHAnsi"/>
                <w:sz w:val="14"/>
                <w:szCs w:val="16"/>
              </w:rPr>
              <w:t>Energy industries</w:t>
            </w:r>
          </w:p>
        </w:tc>
        <w:tc>
          <w:tcPr>
            <w:tcW w:w="992" w:type="dxa"/>
            <w:tcBorders>
              <w:top w:val="nil"/>
              <w:left w:val="nil"/>
              <w:bottom w:val="single" w:sz="4" w:space="0" w:color="auto"/>
              <w:right w:val="single" w:sz="4" w:space="0" w:color="auto"/>
            </w:tcBorders>
            <w:shd w:val="clear" w:color="000000" w:fill="FFFFFF"/>
            <w:noWrap/>
            <w:vAlign w:val="bottom"/>
            <w:hideMark/>
          </w:tcPr>
          <w:p w14:paraId="514944B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1,50</w:t>
            </w:r>
          </w:p>
        </w:tc>
        <w:tc>
          <w:tcPr>
            <w:tcW w:w="992" w:type="dxa"/>
            <w:tcBorders>
              <w:top w:val="nil"/>
              <w:left w:val="nil"/>
              <w:bottom w:val="single" w:sz="4" w:space="0" w:color="auto"/>
              <w:right w:val="single" w:sz="4" w:space="0" w:color="auto"/>
            </w:tcBorders>
            <w:shd w:val="clear" w:color="000000" w:fill="FFFFFF"/>
            <w:noWrap/>
            <w:vAlign w:val="bottom"/>
            <w:hideMark/>
          </w:tcPr>
          <w:p w14:paraId="02DE6B9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1,50</w:t>
            </w:r>
          </w:p>
        </w:tc>
        <w:tc>
          <w:tcPr>
            <w:tcW w:w="992" w:type="dxa"/>
            <w:tcBorders>
              <w:top w:val="nil"/>
              <w:left w:val="nil"/>
              <w:bottom w:val="single" w:sz="4" w:space="0" w:color="auto"/>
              <w:right w:val="single" w:sz="4" w:space="0" w:color="auto"/>
            </w:tcBorders>
            <w:shd w:val="clear" w:color="000000" w:fill="FFFFFF"/>
            <w:noWrap/>
            <w:vAlign w:val="bottom"/>
            <w:hideMark/>
          </w:tcPr>
          <w:p w14:paraId="29D329E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1,58</w:t>
            </w:r>
          </w:p>
        </w:tc>
        <w:tc>
          <w:tcPr>
            <w:tcW w:w="992" w:type="dxa"/>
            <w:tcBorders>
              <w:top w:val="nil"/>
              <w:left w:val="nil"/>
              <w:bottom w:val="single" w:sz="4" w:space="0" w:color="auto"/>
              <w:right w:val="single" w:sz="4" w:space="0" w:color="auto"/>
            </w:tcBorders>
            <w:shd w:val="clear" w:color="000000" w:fill="FFFFFF"/>
            <w:noWrap/>
            <w:vAlign w:val="bottom"/>
            <w:hideMark/>
          </w:tcPr>
          <w:p w14:paraId="24FC0BF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1,64</w:t>
            </w:r>
          </w:p>
        </w:tc>
        <w:tc>
          <w:tcPr>
            <w:tcW w:w="992" w:type="dxa"/>
            <w:tcBorders>
              <w:top w:val="nil"/>
              <w:left w:val="nil"/>
              <w:bottom w:val="single" w:sz="4" w:space="0" w:color="auto"/>
              <w:right w:val="single" w:sz="4" w:space="0" w:color="auto"/>
            </w:tcBorders>
            <w:shd w:val="clear" w:color="000000" w:fill="FFFFFF"/>
            <w:noWrap/>
            <w:vAlign w:val="bottom"/>
            <w:hideMark/>
          </w:tcPr>
          <w:p w14:paraId="7462F8C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1,62</w:t>
            </w:r>
          </w:p>
        </w:tc>
        <w:tc>
          <w:tcPr>
            <w:tcW w:w="992" w:type="dxa"/>
            <w:tcBorders>
              <w:top w:val="nil"/>
              <w:left w:val="nil"/>
              <w:bottom w:val="single" w:sz="4" w:space="0" w:color="auto"/>
              <w:right w:val="single" w:sz="4" w:space="0" w:color="auto"/>
            </w:tcBorders>
            <w:shd w:val="clear" w:color="000000" w:fill="FFFFFF"/>
            <w:noWrap/>
            <w:vAlign w:val="bottom"/>
            <w:hideMark/>
          </w:tcPr>
          <w:p w14:paraId="13EF27D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1,43</w:t>
            </w:r>
          </w:p>
        </w:tc>
      </w:tr>
      <w:tr w:rsidR="00B56301" w:rsidRPr="002C68EA" w14:paraId="67A031A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A95F1C9" w14:textId="109F53FF"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2.</w:t>
            </w:r>
            <w:r w:rsidR="00260E0B">
              <w:rPr>
                <w:rFonts w:asciiTheme="minorHAnsi" w:hAnsiTheme="minorHAnsi"/>
                <w:sz w:val="14"/>
                <w:szCs w:val="16"/>
              </w:rPr>
              <w:t xml:space="preserve"> </w:t>
            </w:r>
            <w:r w:rsidRPr="000157EE">
              <w:rPr>
                <w:rFonts w:asciiTheme="minorHAnsi" w:hAnsiTheme="minorHAnsi"/>
                <w:sz w:val="14"/>
                <w:szCs w:val="16"/>
              </w:rPr>
              <w:t>Manufacturing industries and construction</w:t>
            </w:r>
          </w:p>
        </w:tc>
        <w:tc>
          <w:tcPr>
            <w:tcW w:w="992" w:type="dxa"/>
            <w:tcBorders>
              <w:top w:val="nil"/>
              <w:left w:val="nil"/>
              <w:bottom w:val="single" w:sz="4" w:space="0" w:color="auto"/>
              <w:right w:val="single" w:sz="4" w:space="0" w:color="auto"/>
            </w:tcBorders>
            <w:shd w:val="clear" w:color="000000" w:fill="FFFFFF"/>
            <w:noWrap/>
            <w:vAlign w:val="bottom"/>
            <w:hideMark/>
          </w:tcPr>
          <w:p w14:paraId="056971E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1,60</w:t>
            </w:r>
          </w:p>
        </w:tc>
        <w:tc>
          <w:tcPr>
            <w:tcW w:w="992" w:type="dxa"/>
            <w:tcBorders>
              <w:top w:val="nil"/>
              <w:left w:val="nil"/>
              <w:bottom w:val="single" w:sz="4" w:space="0" w:color="auto"/>
              <w:right w:val="single" w:sz="4" w:space="0" w:color="auto"/>
            </w:tcBorders>
            <w:shd w:val="clear" w:color="000000" w:fill="FFFFFF"/>
            <w:noWrap/>
            <w:vAlign w:val="bottom"/>
            <w:hideMark/>
          </w:tcPr>
          <w:p w14:paraId="39447CF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1,60</w:t>
            </w:r>
          </w:p>
        </w:tc>
        <w:tc>
          <w:tcPr>
            <w:tcW w:w="992" w:type="dxa"/>
            <w:tcBorders>
              <w:top w:val="nil"/>
              <w:left w:val="nil"/>
              <w:bottom w:val="single" w:sz="4" w:space="0" w:color="auto"/>
              <w:right w:val="single" w:sz="4" w:space="0" w:color="auto"/>
            </w:tcBorders>
            <w:shd w:val="clear" w:color="000000" w:fill="FFFFFF"/>
            <w:noWrap/>
            <w:vAlign w:val="bottom"/>
            <w:hideMark/>
          </w:tcPr>
          <w:p w14:paraId="137C0BB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1,74</w:t>
            </w:r>
          </w:p>
        </w:tc>
        <w:tc>
          <w:tcPr>
            <w:tcW w:w="992" w:type="dxa"/>
            <w:tcBorders>
              <w:top w:val="nil"/>
              <w:left w:val="nil"/>
              <w:bottom w:val="single" w:sz="4" w:space="0" w:color="auto"/>
              <w:right w:val="single" w:sz="4" w:space="0" w:color="auto"/>
            </w:tcBorders>
            <w:shd w:val="clear" w:color="000000" w:fill="FFFFFF"/>
            <w:noWrap/>
            <w:vAlign w:val="bottom"/>
            <w:hideMark/>
          </w:tcPr>
          <w:p w14:paraId="18D962F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1,57</w:t>
            </w:r>
          </w:p>
        </w:tc>
        <w:tc>
          <w:tcPr>
            <w:tcW w:w="992" w:type="dxa"/>
            <w:tcBorders>
              <w:top w:val="nil"/>
              <w:left w:val="nil"/>
              <w:bottom w:val="single" w:sz="4" w:space="0" w:color="auto"/>
              <w:right w:val="single" w:sz="4" w:space="0" w:color="auto"/>
            </w:tcBorders>
            <w:shd w:val="clear" w:color="000000" w:fill="FFFFFF"/>
            <w:noWrap/>
            <w:vAlign w:val="bottom"/>
            <w:hideMark/>
          </w:tcPr>
          <w:p w14:paraId="66B6532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1,57</w:t>
            </w:r>
          </w:p>
        </w:tc>
        <w:tc>
          <w:tcPr>
            <w:tcW w:w="992" w:type="dxa"/>
            <w:tcBorders>
              <w:top w:val="nil"/>
              <w:left w:val="nil"/>
              <w:bottom w:val="single" w:sz="4" w:space="0" w:color="auto"/>
              <w:right w:val="single" w:sz="4" w:space="0" w:color="auto"/>
            </w:tcBorders>
            <w:shd w:val="clear" w:color="000000" w:fill="FFFFFF"/>
            <w:noWrap/>
            <w:vAlign w:val="bottom"/>
            <w:hideMark/>
          </w:tcPr>
          <w:p w14:paraId="7BA0EC8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1,32</w:t>
            </w:r>
          </w:p>
        </w:tc>
      </w:tr>
      <w:tr w:rsidR="00B56301" w:rsidRPr="002C68EA" w14:paraId="6D3E9FA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79D5EFC" w14:textId="4B661409"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3.</w:t>
            </w:r>
            <w:r w:rsidR="00260E0B">
              <w:rPr>
                <w:rFonts w:asciiTheme="minorHAnsi" w:hAnsiTheme="minorHAnsi"/>
                <w:sz w:val="14"/>
                <w:szCs w:val="16"/>
              </w:rPr>
              <w:t xml:space="preserve"> </w:t>
            </w:r>
            <w:r w:rsidRPr="000157EE">
              <w:rPr>
                <w:rFonts w:asciiTheme="minorHAnsi" w:hAnsiTheme="minorHAnsi"/>
                <w:sz w:val="14"/>
                <w:szCs w:val="16"/>
              </w:rPr>
              <w:t>Transport</w:t>
            </w:r>
          </w:p>
        </w:tc>
        <w:tc>
          <w:tcPr>
            <w:tcW w:w="992" w:type="dxa"/>
            <w:tcBorders>
              <w:top w:val="nil"/>
              <w:left w:val="nil"/>
              <w:bottom w:val="single" w:sz="4" w:space="0" w:color="auto"/>
              <w:right w:val="single" w:sz="4" w:space="0" w:color="auto"/>
            </w:tcBorders>
            <w:shd w:val="clear" w:color="000000" w:fill="FFFFFF"/>
            <w:noWrap/>
            <w:vAlign w:val="bottom"/>
            <w:hideMark/>
          </w:tcPr>
          <w:p w14:paraId="3B51AD6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3,27</w:t>
            </w:r>
          </w:p>
        </w:tc>
        <w:tc>
          <w:tcPr>
            <w:tcW w:w="992" w:type="dxa"/>
            <w:tcBorders>
              <w:top w:val="nil"/>
              <w:left w:val="nil"/>
              <w:bottom w:val="single" w:sz="4" w:space="0" w:color="auto"/>
              <w:right w:val="single" w:sz="4" w:space="0" w:color="auto"/>
            </w:tcBorders>
            <w:shd w:val="clear" w:color="000000" w:fill="FFFFFF"/>
            <w:noWrap/>
            <w:vAlign w:val="bottom"/>
            <w:hideMark/>
          </w:tcPr>
          <w:p w14:paraId="4777448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3,27</w:t>
            </w:r>
          </w:p>
        </w:tc>
        <w:tc>
          <w:tcPr>
            <w:tcW w:w="992" w:type="dxa"/>
            <w:tcBorders>
              <w:top w:val="nil"/>
              <w:left w:val="nil"/>
              <w:bottom w:val="single" w:sz="4" w:space="0" w:color="auto"/>
              <w:right w:val="single" w:sz="4" w:space="0" w:color="auto"/>
            </w:tcBorders>
            <w:shd w:val="clear" w:color="000000" w:fill="FFFFFF"/>
            <w:noWrap/>
            <w:vAlign w:val="bottom"/>
            <w:hideMark/>
          </w:tcPr>
          <w:p w14:paraId="458CDAA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3,35</w:t>
            </w:r>
          </w:p>
        </w:tc>
        <w:tc>
          <w:tcPr>
            <w:tcW w:w="992" w:type="dxa"/>
            <w:tcBorders>
              <w:top w:val="nil"/>
              <w:left w:val="nil"/>
              <w:bottom w:val="single" w:sz="4" w:space="0" w:color="auto"/>
              <w:right w:val="single" w:sz="4" w:space="0" w:color="auto"/>
            </w:tcBorders>
            <w:shd w:val="clear" w:color="000000" w:fill="FFFFFF"/>
            <w:noWrap/>
            <w:vAlign w:val="bottom"/>
            <w:hideMark/>
          </w:tcPr>
          <w:p w14:paraId="47AC991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3,49</w:t>
            </w:r>
          </w:p>
        </w:tc>
        <w:tc>
          <w:tcPr>
            <w:tcW w:w="992" w:type="dxa"/>
            <w:tcBorders>
              <w:top w:val="nil"/>
              <w:left w:val="nil"/>
              <w:bottom w:val="single" w:sz="4" w:space="0" w:color="auto"/>
              <w:right w:val="single" w:sz="4" w:space="0" w:color="auto"/>
            </w:tcBorders>
            <w:shd w:val="clear" w:color="000000" w:fill="FFFFFF"/>
            <w:noWrap/>
            <w:vAlign w:val="bottom"/>
            <w:hideMark/>
          </w:tcPr>
          <w:p w14:paraId="437B286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3,86</w:t>
            </w:r>
          </w:p>
        </w:tc>
        <w:tc>
          <w:tcPr>
            <w:tcW w:w="992" w:type="dxa"/>
            <w:tcBorders>
              <w:top w:val="nil"/>
              <w:left w:val="nil"/>
              <w:bottom w:val="single" w:sz="4" w:space="0" w:color="auto"/>
              <w:right w:val="single" w:sz="4" w:space="0" w:color="auto"/>
            </w:tcBorders>
            <w:shd w:val="clear" w:color="000000" w:fill="FFFFFF"/>
            <w:noWrap/>
            <w:vAlign w:val="bottom"/>
            <w:hideMark/>
          </w:tcPr>
          <w:p w14:paraId="66C9F81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4,65</w:t>
            </w:r>
          </w:p>
        </w:tc>
      </w:tr>
      <w:tr w:rsidR="00B56301" w:rsidRPr="002C68EA" w14:paraId="5E13305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7FD70F" w14:textId="261B722A"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4.</w:t>
            </w:r>
            <w:r w:rsidR="00260E0B">
              <w:rPr>
                <w:rFonts w:asciiTheme="minorHAnsi" w:hAnsiTheme="minorHAnsi"/>
                <w:sz w:val="14"/>
                <w:szCs w:val="16"/>
              </w:rPr>
              <w:t xml:space="preserve"> </w:t>
            </w:r>
            <w:r w:rsidRPr="000157EE">
              <w:rPr>
                <w:rFonts w:asciiTheme="minorHAnsi" w:hAnsiTheme="minorHAnsi"/>
                <w:sz w:val="14"/>
                <w:szCs w:val="16"/>
              </w:rPr>
              <w:t>Other sectors</w:t>
            </w:r>
          </w:p>
        </w:tc>
        <w:tc>
          <w:tcPr>
            <w:tcW w:w="992" w:type="dxa"/>
            <w:tcBorders>
              <w:top w:val="nil"/>
              <w:left w:val="nil"/>
              <w:bottom w:val="single" w:sz="4" w:space="0" w:color="auto"/>
              <w:right w:val="single" w:sz="4" w:space="0" w:color="auto"/>
            </w:tcBorders>
            <w:shd w:val="clear" w:color="000000" w:fill="FFFFFF"/>
            <w:noWrap/>
            <w:vAlign w:val="bottom"/>
            <w:hideMark/>
          </w:tcPr>
          <w:p w14:paraId="416A2AF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21005C9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25ECF28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5,25</w:t>
            </w:r>
          </w:p>
        </w:tc>
        <w:tc>
          <w:tcPr>
            <w:tcW w:w="992" w:type="dxa"/>
            <w:tcBorders>
              <w:top w:val="nil"/>
              <w:left w:val="nil"/>
              <w:bottom w:val="single" w:sz="4" w:space="0" w:color="auto"/>
              <w:right w:val="single" w:sz="4" w:space="0" w:color="auto"/>
            </w:tcBorders>
            <w:shd w:val="clear" w:color="000000" w:fill="FFFFFF"/>
            <w:noWrap/>
            <w:vAlign w:val="bottom"/>
            <w:hideMark/>
          </w:tcPr>
          <w:p w14:paraId="0E2137E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5,19</w:t>
            </w:r>
          </w:p>
        </w:tc>
        <w:tc>
          <w:tcPr>
            <w:tcW w:w="992" w:type="dxa"/>
            <w:tcBorders>
              <w:top w:val="nil"/>
              <w:left w:val="nil"/>
              <w:bottom w:val="single" w:sz="4" w:space="0" w:color="auto"/>
              <w:right w:val="single" w:sz="4" w:space="0" w:color="auto"/>
            </w:tcBorders>
            <w:shd w:val="clear" w:color="000000" w:fill="FFFFFF"/>
            <w:noWrap/>
            <w:vAlign w:val="bottom"/>
            <w:hideMark/>
          </w:tcPr>
          <w:p w14:paraId="2B6A735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5,13</w:t>
            </w:r>
          </w:p>
        </w:tc>
        <w:tc>
          <w:tcPr>
            <w:tcW w:w="992" w:type="dxa"/>
            <w:tcBorders>
              <w:top w:val="nil"/>
              <w:left w:val="nil"/>
              <w:bottom w:val="single" w:sz="4" w:space="0" w:color="auto"/>
              <w:right w:val="single" w:sz="4" w:space="0" w:color="auto"/>
            </w:tcBorders>
            <w:shd w:val="clear" w:color="000000" w:fill="FFFFFF"/>
            <w:noWrap/>
            <w:vAlign w:val="bottom"/>
            <w:hideMark/>
          </w:tcPr>
          <w:p w14:paraId="2DD84D1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4,91</w:t>
            </w:r>
          </w:p>
        </w:tc>
      </w:tr>
      <w:tr w:rsidR="00B56301" w:rsidRPr="002C68EA" w14:paraId="41054A75"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1318B03" w14:textId="05F78762"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5.</w:t>
            </w:r>
            <w:r w:rsidR="00260E0B">
              <w:rPr>
                <w:rFonts w:asciiTheme="minorHAnsi" w:hAnsiTheme="minorHAnsi"/>
                <w:sz w:val="14"/>
                <w:szCs w:val="16"/>
              </w:rPr>
              <w:t xml:space="preserve"> </w:t>
            </w:r>
            <w:r w:rsidRPr="000157EE">
              <w:rPr>
                <w:rFonts w:asciiTheme="minorHAnsi" w:hAnsiTheme="minorHAnsi"/>
                <w:sz w:val="14"/>
                <w:szCs w:val="16"/>
              </w:rPr>
              <w:t>Other</w:t>
            </w:r>
          </w:p>
        </w:tc>
        <w:tc>
          <w:tcPr>
            <w:tcW w:w="992" w:type="dxa"/>
            <w:tcBorders>
              <w:top w:val="nil"/>
              <w:left w:val="nil"/>
              <w:bottom w:val="single" w:sz="4" w:space="0" w:color="auto"/>
              <w:right w:val="single" w:sz="4" w:space="0" w:color="auto"/>
            </w:tcBorders>
            <w:shd w:val="clear" w:color="000000" w:fill="FFFFFF"/>
            <w:noWrap/>
            <w:vAlign w:val="bottom"/>
            <w:hideMark/>
          </w:tcPr>
          <w:p w14:paraId="04AEC80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403CC1D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75E5DE6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0E92DCB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3329CED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65EFF13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0,03</w:t>
            </w:r>
          </w:p>
        </w:tc>
      </w:tr>
      <w:tr w:rsidR="00B56301" w:rsidRPr="002C68EA" w14:paraId="6C339C6E"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30639EF" w14:textId="77777777"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B. Fugitive emissions from fuels</w:t>
            </w:r>
          </w:p>
        </w:tc>
        <w:tc>
          <w:tcPr>
            <w:tcW w:w="992" w:type="dxa"/>
            <w:tcBorders>
              <w:top w:val="nil"/>
              <w:left w:val="nil"/>
              <w:bottom w:val="single" w:sz="4" w:space="0" w:color="auto"/>
              <w:right w:val="single" w:sz="4" w:space="0" w:color="auto"/>
            </w:tcBorders>
            <w:shd w:val="clear" w:color="000000" w:fill="CCFFFF"/>
            <w:noWrap/>
            <w:vAlign w:val="bottom"/>
            <w:hideMark/>
          </w:tcPr>
          <w:p w14:paraId="20E9279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2BA1AF2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4C9DC2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F0F0A8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7F1482F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CCFFFF"/>
            <w:noWrap/>
            <w:vAlign w:val="bottom"/>
            <w:hideMark/>
          </w:tcPr>
          <w:p w14:paraId="50F1ED9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r>
      <w:tr w:rsidR="00B56301" w:rsidRPr="002C68EA" w14:paraId="2745FAC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305101D" w14:textId="04117114" w:rsidR="00B56301" w:rsidRPr="000157EE" w:rsidRDefault="00B56301" w:rsidP="00B37B65">
            <w:pPr>
              <w:ind w:firstLineChars="500" w:firstLine="700"/>
              <w:jc w:val="left"/>
              <w:rPr>
                <w:rFonts w:asciiTheme="minorHAnsi" w:hAnsiTheme="minorHAnsi"/>
                <w:sz w:val="14"/>
                <w:szCs w:val="16"/>
              </w:rPr>
            </w:pPr>
            <w:r w:rsidRPr="000157EE">
              <w:rPr>
                <w:rFonts w:asciiTheme="minorHAnsi" w:hAnsiTheme="minorHAnsi"/>
                <w:sz w:val="14"/>
                <w:szCs w:val="16"/>
              </w:rPr>
              <w:t>1.</w:t>
            </w:r>
            <w:r w:rsidR="00260E0B">
              <w:rPr>
                <w:rFonts w:asciiTheme="minorHAnsi" w:hAnsiTheme="minorHAnsi"/>
                <w:sz w:val="14"/>
                <w:szCs w:val="16"/>
              </w:rPr>
              <w:t xml:space="preserve"> </w:t>
            </w:r>
            <w:r w:rsidRPr="000157EE">
              <w:rPr>
                <w:rFonts w:asciiTheme="minorHAnsi" w:hAnsiTheme="minorHAnsi"/>
                <w:sz w:val="14"/>
                <w:szCs w:val="16"/>
              </w:rPr>
              <w:t>Solid fuels</w:t>
            </w:r>
          </w:p>
        </w:tc>
        <w:tc>
          <w:tcPr>
            <w:tcW w:w="992" w:type="dxa"/>
            <w:tcBorders>
              <w:top w:val="nil"/>
              <w:left w:val="nil"/>
              <w:bottom w:val="single" w:sz="4" w:space="0" w:color="auto"/>
              <w:right w:val="single" w:sz="4" w:space="0" w:color="auto"/>
            </w:tcBorders>
            <w:shd w:val="clear" w:color="000000" w:fill="FFFFFF"/>
            <w:noWrap/>
            <w:vAlign w:val="bottom"/>
            <w:hideMark/>
          </w:tcPr>
          <w:p w14:paraId="4447EE9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169910B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922171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7BDD91F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7E34C5A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98FA8A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r>
      <w:tr w:rsidR="00B56301" w:rsidRPr="002C68EA" w14:paraId="68ECB4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2B2F558" w14:textId="2C2BC1C4" w:rsidR="00B56301" w:rsidRPr="000157EE" w:rsidRDefault="00B56301" w:rsidP="00B37B65">
            <w:pPr>
              <w:ind w:firstLineChars="500" w:firstLine="700"/>
              <w:jc w:val="left"/>
              <w:rPr>
                <w:rFonts w:asciiTheme="minorHAnsi" w:hAnsiTheme="minorHAnsi"/>
                <w:sz w:val="14"/>
                <w:szCs w:val="16"/>
                <w:lang w:val="en-GB"/>
              </w:rPr>
            </w:pPr>
            <w:r w:rsidRPr="000157EE">
              <w:rPr>
                <w:rFonts w:asciiTheme="minorHAnsi" w:hAnsiTheme="minorHAnsi"/>
                <w:sz w:val="14"/>
                <w:szCs w:val="16"/>
                <w:lang w:val="en-GB"/>
              </w:rPr>
              <w:t>2.</w:t>
            </w:r>
            <w:r w:rsidR="00260E0B">
              <w:rPr>
                <w:rFonts w:asciiTheme="minorHAnsi" w:hAnsiTheme="minorHAnsi"/>
                <w:sz w:val="14"/>
                <w:szCs w:val="16"/>
                <w:lang w:val="en-GB"/>
              </w:rPr>
              <w:t xml:space="preserve"> </w:t>
            </w:r>
            <w:r w:rsidRPr="000157EE">
              <w:rPr>
                <w:rFonts w:asciiTheme="minorHAnsi" w:hAnsiTheme="minorHAnsi"/>
                <w:sz w:val="14"/>
                <w:szCs w:val="16"/>
                <w:lang w:val="en-GB"/>
              </w:rPr>
              <w:t>Oil and natural gas and other emissions from energy production</w:t>
            </w:r>
          </w:p>
        </w:tc>
        <w:tc>
          <w:tcPr>
            <w:tcW w:w="992" w:type="dxa"/>
            <w:tcBorders>
              <w:top w:val="nil"/>
              <w:left w:val="nil"/>
              <w:bottom w:val="single" w:sz="4" w:space="0" w:color="auto"/>
              <w:right w:val="single" w:sz="4" w:space="0" w:color="auto"/>
            </w:tcBorders>
            <w:shd w:val="clear" w:color="000000" w:fill="FFFFFF"/>
            <w:noWrap/>
            <w:vAlign w:val="bottom"/>
            <w:hideMark/>
          </w:tcPr>
          <w:p w14:paraId="667B024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1812C79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2380B4D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1BA7728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01E182A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435D2F4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0,09</w:t>
            </w:r>
          </w:p>
        </w:tc>
      </w:tr>
      <w:tr w:rsidR="00B56301" w:rsidRPr="00833C38" w14:paraId="3D949D4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BE30727" w14:textId="33944A7D"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 xml:space="preserve">C. </w:t>
            </w:r>
            <w:r w:rsidR="007F09F7" w:rsidRPr="006C251B">
              <w:rPr>
                <w:lang w:val="en-GB"/>
              </w:rPr>
              <w:t>CO</w:t>
            </w:r>
            <w:r w:rsidR="007F09F7" w:rsidRPr="006C251B">
              <w:rPr>
                <w:vertAlign w:val="subscript"/>
                <w:lang w:val="en-GB"/>
              </w:rPr>
              <w:t>2</w:t>
            </w:r>
            <w:r w:rsidRPr="000157EE">
              <w:rPr>
                <w:rFonts w:asciiTheme="minorHAnsi" w:hAnsiTheme="minorHAnsi"/>
                <w:sz w:val="14"/>
                <w:szCs w:val="16"/>
                <w:lang w:val="en-GB"/>
              </w:rPr>
              <w:t xml:space="preserve"> transport and storage</w:t>
            </w:r>
          </w:p>
        </w:tc>
        <w:tc>
          <w:tcPr>
            <w:tcW w:w="992" w:type="dxa"/>
            <w:tcBorders>
              <w:top w:val="nil"/>
              <w:left w:val="nil"/>
              <w:bottom w:val="single" w:sz="4" w:space="0" w:color="auto"/>
              <w:right w:val="single" w:sz="4" w:space="0" w:color="auto"/>
            </w:tcBorders>
            <w:shd w:val="clear" w:color="000000" w:fill="969696"/>
            <w:noWrap/>
            <w:vAlign w:val="bottom"/>
            <w:hideMark/>
          </w:tcPr>
          <w:p w14:paraId="2F965BF4"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5271FD"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3EBC24B"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6896061"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F435EB9"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695D838"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r>
      <w:tr w:rsidR="00B56301" w:rsidRPr="002C68EA" w14:paraId="1128DB0D"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963A5B0" w14:textId="25B54A35"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2.</w:t>
            </w:r>
            <w:r w:rsidR="00260E0B">
              <w:rPr>
                <w:rFonts w:asciiTheme="minorHAnsi" w:hAnsiTheme="minorHAnsi"/>
                <w:b/>
                <w:bCs/>
                <w:sz w:val="14"/>
                <w:szCs w:val="16"/>
              </w:rPr>
              <w:t xml:space="preserve"> </w:t>
            </w:r>
            <w:r w:rsidRPr="000157EE">
              <w:rPr>
                <w:rFonts w:asciiTheme="minorHAnsi" w:hAnsiTheme="minorHAnsi"/>
                <w:b/>
                <w:bCs/>
                <w:sz w:val="14"/>
                <w:szCs w:val="16"/>
              </w:rPr>
              <w:t>Industrial processes</w:t>
            </w:r>
          </w:p>
        </w:tc>
        <w:tc>
          <w:tcPr>
            <w:tcW w:w="992" w:type="dxa"/>
            <w:tcBorders>
              <w:top w:val="nil"/>
              <w:left w:val="nil"/>
              <w:bottom w:val="single" w:sz="4" w:space="0" w:color="auto"/>
              <w:right w:val="single" w:sz="4" w:space="0" w:color="auto"/>
            </w:tcBorders>
            <w:shd w:val="clear" w:color="000000" w:fill="CCFFFF"/>
            <w:noWrap/>
            <w:vAlign w:val="bottom"/>
            <w:hideMark/>
          </w:tcPr>
          <w:p w14:paraId="4ED7F71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79,97</w:t>
            </w:r>
          </w:p>
        </w:tc>
        <w:tc>
          <w:tcPr>
            <w:tcW w:w="992" w:type="dxa"/>
            <w:tcBorders>
              <w:top w:val="nil"/>
              <w:left w:val="nil"/>
              <w:bottom w:val="single" w:sz="4" w:space="0" w:color="auto"/>
              <w:right w:val="single" w:sz="4" w:space="0" w:color="auto"/>
            </w:tcBorders>
            <w:shd w:val="clear" w:color="000000" w:fill="CCFFFF"/>
            <w:noWrap/>
            <w:vAlign w:val="bottom"/>
            <w:hideMark/>
          </w:tcPr>
          <w:p w14:paraId="4E2E7F3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79,97</w:t>
            </w:r>
          </w:p>
        </w:tc>
        <w:tc>
          <w:tcPr>
            <w:tcW w:w="992" w:type="dxa"/>
            <w:tcBorders>
              <w:top w:val="nil"/>
              <w:left w:val="nil"/>
              <w:bottom w:val="single" w:sz="4" w:space="0" w:color="auto"/>
              <w:right w:val="single" w:sz="4" w:space="0" w:color="auto"/>
            </w:tcBorders>
            <w:shd w:val="clear" w:color="000000" w:fill="CCFFFF"/>
            <w:noWrap/>
            <w:vAlign w:val="bottom"/>
            <w:hideMark/>
          </w:tcPr>
          <w:p w14:paraId="68D2A58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80,55</w:t>
            </w:r>
          </w:p>
        </w:tc>
        <w:tc>
          <w:tcPr>
            <w:tcW w:w="992" w:type="dxa"/>
            <w:tcBorders>
              <w:top w:val="nil"/>
              <w:left w:val="nil"/>
              <w:bottom w:val="single" w:sz="4" w:space="0" w:color="auto"/>
              <w:right w:val="single" w:sz="4" w:space="0" w:color="auto"/>
            </w:tcBorders>
            <w:shd w:val="clear" w:color="000000" w:fill="CCFFFF"/>
            <w:noWrap/>
            <w:vAlign w:val="bottom"/>
            <w:hideMark/>
          </w:tcPr>
          <w:p w14:paraId="74265D9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82,08</w:t>
            </w:r>
          </w:p>
        </w:tc>
        <w:tc>
          <w:tcPr>
            <w:tcW w:w="992" w:type="dxa"/>
            <w:tcBorders>
              <w:top w:val="nil"/>
              <w:left w:val="nil"/>
              <w:bottom w:val="single" w:sz="4" w:space="0" w:color="auto"/>
              <w:right w:val="single" w:sz="4" w:space="0" w:color="auto"/>
            </w:tcBorders>
            <w:shd w:val="clear" w:color="000000" w:fill="CCFFFF"/>
            <w:noWrap/>
            <w:vAlign w:val="bottom"/>
            <w:hideMark/>
          </w:tcPr>
          <w:p w14:paraId="7EE0CF8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82,09</w:t>
            </w:r>
          </w:p>
        </w:tc>
        <w:tc>
          <w:tcPr>
            <w:tcW w:w="992" w:type="dxa"/>
            <w:tcBorders>
              <w:top w:val="nil"/>
              <w:left w:val="nil"/>
              <w:bottom w:val="single" w:sz="4" w:space="0" w:color="auto"/>
              <w:right w:val="single" w:sz="4" w:space="0" w:color="auto"/>
            </w:tcBorders>
            <w:shd w:val="clear" w:color="000000" w:fill="CCFFFF"/>
            <w:noWrap/>
            <w:vAlign w:val="bottom"/>
            <w:hideMark/>
          </w:tcPr>
          <w:p w14:paraId="11875DD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84,27</w:t>
            </w:r>
          </w:p>
        </w:tc>
      </w:tr>
      <w:tr w:rsidR="00B56301" w:rsidRPr="002C68EA" w14:paraId="0D50AF7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7684D8C" w14:textId="36EC8A1A"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A.</w:t>
            </w:r>
            <w:r w:rsidR="00260E0B">
              <w:rPr>
                <w:rFonts w:asciiTheme="minorHAnsi" w:hAnsiTheme="minorHAnsi"/>
                <w:sz w:val="14"/>
                <w:szCs w:val="16"/>
              </w:rPr>
              <w:t xml:space="preserve"> </w:t>
            </w:r>
            <w:r w:rsidRPr="000157EE">
              <w:rPr>
                <w:rFonts w:asciiTheme="minorHAnsi" w:hAnsiTheme="minorHAnsi"/>
                <w:sz w:val="14"/>
                <w:szCs w:val="16"/>
              </w:rPr>
              <w:t>Mineral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2773ED2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55E676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1B0EF7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BE0AD4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56399D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9109C7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188A1DF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B6867D5" w14:textId="2B7ADFCA"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B.</w:t>
            </w:r>
            <w:r w:rsidR="00260E0B">
              <w:rPr>
                <w:rFonts w:asciiTheme="minorHAnsi" w:hAnsiTheme="minorHAnsi"/>
                <w:sz w:val="14"/>
                <w:szCs w:val="16"/>
              </w:rPr>
              <w:t xml:space="preserve"> </w:t>
            </w:r>
            <w:r w:rsidRPr="000157EE">
              <w:rPr>
                <w:rFonts w:asciiTheme="minorHAnsi" w:hAnsiTheme="minorHAnsi"/>
                <w:sz w:val="14"/>
                <w:szCs w:val="16"/>
              </w:rPr>
              <w:t>Chemical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F643D0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79,56</w:t>
            </w:r>
          </w:p>
        </w:tc>
        <w:tc>
          <w:tcPr>
            <w:tcW w:w="992" w:type="dxa"/>
            <w:tcBorders>
              <w:top w:val="nil"/>
              <w:left w:val="nil"/>
              <w:bottom w:val="single" w:sz="4" w:space="0" w:color="auto"/>
              <w:right w:val="single" w:sz="4" w:space="0" w:color="auto"/>
            </w:tcBorders>
            <w:shd w:val="clear" w:color="000000" w:fill="FFFFFF"/>
            <w:noWrap/>
            <w:vAlign w:val="bottom"/>
            <w:hideMark/>
          </w:tcPr>
          <w:p w14:paraId="6386300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79,56</w:t>
            </w:r>
          </w:p>
        </w:tc>
        <w:tc>
          <w:tcPr>
            <w:tcW w:w="992" w:type="dxa"/>
            <w:tcBorders>
              <w:top w:val="nil"/>
              <w:left w:val="nil"/>
              <w:bottom w:val="single" w:sz="4" w:space="0" w:color="auto"/>
              <w:right w:val="single" w:sz="4" w:space="0" w:color="auto"/>
            </w:tcBorders>
            <w:shd w:val="clear" w:color="000000" w:fill="FFFFFF"/>
            <w:noWrap/>
            <w:vAlign w:val="bottom"/>
            <w:hideMark/>
          </w:tcPr>
          <w:p w14:paraId="2DEE3BE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80,13</w:t>
            </w:r>
          </w:p>
        </w:tc>
        <w:tc>
          <w:tcPr>
            <w:tcW w:w="992" w:type="dxa"/>
            <w:tcBorders>
              <w:top w:val="nil"/>
              <w:left w:val="nil"/>
              <w:bottom w:val="single" w:sz="4" w:space="0" w:color="auto"/>
              <w:right w:val="single" w:sz="4" w:space="0" w:color="auto"/>
            </w:tcBorders>
            <w:shd w:val="clear" w:color="000000" w:fill="FFFFFF"/>
            <w:noWrap/>
            <w:vAlign w:val="bottom"/>
            <w:hideMark/>
          </w:tcPr>
          <w:p w14:paraId="277C532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81,66</w:t>
            </w:r>
          </w:p>
        </w:tc>
        <w:tc>
          <w:tcPr>
            <w:tcW w:w="992" w:type="dxa"/>
            <w:tcBorders>
              <w:top w:val="nil"/>
              <w:left w:val="nil"/>
              <w:bottom w:val="single" w:sz="4" w:space="0" w:color="auto"/>
              <w:right w:val="single" w:sz="4" w:space="0" w:color="auto"/>
            </w:tcBorders>
            <w:shd w:val="clear" w:color="000000" w:fill="FFFFFF"/>
            <w:noWrap/>
            <w:vAlign w:val="bottom"/>
            <w:hideMark/>
          </w:tcPr>
          <w:p w14:paraId="678EB0E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81,67</w:t>
            </w:r>
          </w:p>
        </w:tc>
        <w:tc>
          <w:tcPr>
            <w:tcW w:w="992" w:type="dxa"/>
            <w:tcBorders>
              <w:top w:val="nil"/>
              <w:left w:val="nil"/>
              <w:bottom w:val="single" w:sz="4" w:space="0" w:color="auto"/>
              <w:right w:val="single" w:sz="4" w:space="0" w:color="auto"/>
            </w:tcBorders>
            <w:shd w:val="clear" w:color="000000" w:fill="FFFFFF"/>
            <w:noWrap/>
            <w:vAlign w:val="bottom"/>
            <w:hideMark/>
          </w:tcPr>
          <w:p w14:paraId="6826189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83,85</w:t>
            </w:r>
          </w:p>
        </w:tc>
      </w:tr>
      <w:tr w:rsidR="00B56301" w:rsidRPr="002C68EA" w14:paraId="375E9A4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5AB6C2A" w14:textId="23E801C8"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C.</w:t>
            </w:r>
            <w:r w:rsidR="00260E0B">
              <w:rPr>
                <w:rFonts w:asciiTheme="minorHAnsi" w:hAnsiTheme="minorHAnsi"/>
                <w:sz w:val="14"/>
                <w:szCs w:val="16"/>
              </w:rPr>
              <w:t xml:space="preserve"> </w:t>
            </w:r>
            <w:r w:rsidRPr="000157EE">
              <w:rPr>
                <w:rFonts w:asciiTheme="minorHAnsi" w:hAnsiTheme="minorHAnsi"/>
                <w:sz w:val="14"/>
                <w:szCs w:val="16"/>
              </w:rPr>
              <w:t>Metal industry</w:t>
            </w:r>
          </w:p>
        </w:tc>
        <w:tc>
          <w:tcPr>
            <w:tcW w:w="992" w:type="dxa"/>
            <w:tcBorders>
              <w:top w:val="nil"/>
              <w:left w:val="nil"/>
              <w:bottom w:val="single" w:sz="4" w:space="0" w:color="auto"/>
              <w:right w:val="single" w:sz="4" w:space="0" w:color="auto"/>
            </w:tcBorders>
            <w:shd w:val="clear" w:color="000000" w:fill="FFFFFF"/>
            <w:noWrap/>
            <w:vAlign w:val="bottom"/>
            <w:hideMark/>
          </w:tcPr>
          <w:p w14:paraId="1C6130E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79E80E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6C446C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2DD36B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B88B0E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25F8082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r>
      <w:tr w:rsidR="00B56301" w:rsidRPr="002C68EA" w14:paraId="5827180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350D61B" w14:textId="16990E61"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D.</w:t>
            </w:r>
            <w:r w:rsidR="00260E0B">
              <w:rPr>
                <w:rFonts w:asciiTheme="minorHAnsi" w:hAnsiTheme="minorHAnsi"/>
                <w:sz w:val="14"/>
                <w:szCs w:val="16"/>
                <w:lang w:val="en-GB"/>
              </w:rPr>
              <w:t xml:space="preserve"> </w:t>
            </w:r>
            <w:r w:rsidRPr="000157EE">
              <w:rPr>
                <w:rFonts w:asciiTheme="minorHAnsi" w:hAnsiTheme="minorHAnsi"/>
                <w:sz w:val="14"/>
                <w:szCs w:val="16"/>
                <w:lang w:val="en-GB"/>
              </w:rPr>
              <w:t>Non-energy products from fuels and solvent use</w:t>
            </w:r>
          </w:p>
        </w:tc>
        <w:tc>
          <w:tcPr>
            <w:tcW w:w="992" w:type="dxa"/>
            <w:tcBorders>
              <w:top w:val="nil"/>
              <w:left w:val="nil"/>
              <w:bottom w:val="single" w:sz="4" w:space="0" w:color="auto"/>
              <w:right w:val="single" w:sz="4" w:space="0" w:color="auto"/>
            </w:tcBorders>
            <w:shd w:val="clear" w:color="000000" w:fill="FFFFFF"/>
            <w:noWrap/>
            <w:vAlign w:val="bottom"/>
            <w:hideMark/>
          </w:tcPr>
          <w:p w14:paraId="0F32948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278431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AB30A4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19ED4E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559C2D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F94525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0,01</w:t>
            </w:r>
          </w:p>
        </w:tc>
      </w:tr>
      <w:tr w:rsidR="00B56301" w:rsidRPr="002C68EA" w14:paraId="78C9632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D201F6" w14:textId="08C965F9"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E.</w:t>
            </w:r>
            <w:r w:rsidR="00260E0B">
              <w:rPr>
                <w:rFonts w:asciiTheme="minorHAnsi" w:hAnsiTheme="minorHAnsi"/>
                <w:sz w:val="14"/>
                <w:szCs w:val="16"/>
              </w:rPr>
              <w:t xml:space="preserve"> </w:t>
            </w:r>
            <w:r w:rsidRPr="000157EE">
              <w:rPr>
                <w:rFonts w:asciiTheme="minorHAnsi" w:hAnsiTheme="minorHAnsi"/>
                <w:sz w:val="14"/>
                <w:szCs w:val="16"/>
              </w:rPr>
              <w:t>Electronic industry</w:t>
            </w:r>
          </w:p>
        </w:tc>
        <w:tc>
          <w:tcPr>
            <w:tcW w:w="992" w:type="dxa"/>
            <w:tcBorders>
              <w:top w:val="nil"/>
              <w:left w:val="nil"/>
              <w:bottom w:val="single" w:sz="4" w:space="0" w:color="auto"/>
              <w:right w:val="single" w:sz="4" w:space="0" w:color="auto"/>
            </w:tcBorders>
            <w:shd w:val="clear" w:color="000000" w:fill="969696"/>
            <w:noWrap/>
            <w:vAlign w:val="bottom"/>
            <w:hideMark/>
          </w:tcPr>
          <w:p w14:paraId="09A21B6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B01FA9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5F720D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4B485F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C85349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D3F847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833C38" w14:paraId="3690A14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0EDC986" w14:textId="3159C6EB"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F.</w:t>
            </w:r>
            <w:r w:rsidR="00260E0B">
              <w:rPr>
                <w:rFonts w:asciiTheme="minorHAnsi" w:hAnsiTheme="minorHAnsi"/>
                <w:sz w:val="14"/>
                <w:szCs w:val="16"/>
                <w:lang w:val="en-GB"/>
              </w:rPr>
              <w:t xml:space="preserve"> </w:t>
            </w:r>
            <w:r w:rsidRPr="000157EE">
              <w:rPr>
                <w:rFonts w:asciiTheme="minorHAnsi" w:hAnsiTheme="minorHAnsi"/>
                <w:sz w:val="14"/>
                <w:szCs w:val="16"/>
                <w:lang w:val="en-GB"/>
              </w:rPr>
              <w:t>Product uses as ODS substitutes</w:t>
            </w:r>
          </w:p>
        </w:tc>
        <w:tc>
          <w:tcPr>
            <w:tcW w:w="992" w:type="dxa"/>
            <w:tcBorders>
              <w:top w:val="nil"/>
              <w:left w:val="nil"/>
              <w:bottom w:val="single" w:sz="4" w:space="0" w:color="auto"/>
              <w:right w:val="single" w:sz="4" w:space="0" w:color="auto"/>
            </w:tcBorders>
            <w:shd w:val="clear" w:color="000000" w:fill="969696"/>
            <w:noWrap/>
            <w:vAlign w:val="bottom"/>
            <w:hideMark/>
          </w:tcPr>
          <w:p w14:paraId="1D590B59"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C151DDC"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1277A88"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29485C0"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6DC087E"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23E996D"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r>
      <w:tr w:rsidR="00B56301" w:rsidRPr="002C68EA" w14:paraId="37791EF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88AB03" w14:textId="5C30E775"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G.</w:t>
            </w:r>
            <w:r w:rsidR="00260E0B">
              <w:rPr>
                <w:rFonts w:asciiTheme="minorHAnsi" w:hAnsiTheme="minorHAnsi"/>
                <w:sz w:val="14"/>
                <w:szCs w:val="16"/>
                <w:lang w:val="en-GB"/>
              </w:rPr>
              <w:t xml:space="preserve"> </w:t>
            </w:r>
            <w:r w:rsidRPr="000157EE">
              <w:rPr>
                <w:rFonts w:asciiTheme="minorHAnsi" w:hAnsiTheme="minorHAnsi"/>
                <w:sz w:val="14"/>
                <w:szCs w:val="16"/>
                <w:lang w:val="en-GB"/>
              </w:rPr>
              <w:t xml:space="preserve">Other product manufacture and use </w:t>
            </w:r>
          </w:p>
        </w:tc>
        <w:tc>
          <w:tcPr>
            <w:tcW w:w="992" w:type="dxa"/>
            <w:tcBorders>
              <w:top w:val="nil"/>
              <w:left w:val="nil"/>
              <w:bottom w:val="single" w:sz="4" w:space="0" w:color="auto"/>
              <w:right w:val="single" w:sz="4" w:space="0" w:color="auto"/>
            </w:tcBorders>
            <w:shd w:val="clear" w:color="000000" w:fill="FFFFFF"/>
            <w:noWrap/>
            <w:vAlign w:val="bottom"/>
            <w:hideMark/>
          </w:tcPr>
          <w:p w14:paraId="4715911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216C1AF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4B542A8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6EFABD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639F750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7594A0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0,41</w:t>
            </w:r>
          </w:p>
        </w:tc>
      </w:tr>
      <w:tr w:rsidR="00B56301" w:rsidRPr="002C68EA" w14:paraId="046C3F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A5EDD4" w14:textId="5B2C5549"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H.</w:t>
            </w:r>
            <w:r w:rsidR="00260E0B">
              <w:rPr>
                <w:rFonts w:asciiTheme="minorHAnsi" w:hAnsiTheme="minorHAnsi"/>
                <w:sz w:val="14"/>
                <w:szCs w:val="16"/>
              </w:rPr>
              <w:t xml:space="preserve"> </w:t>
            </w:r>
            <w:r w:rsidRPr="000157EE">
              <w:rPr>
                <w:rFonts w:asciiTheme="minorHAnsi" w:hAnsiTheme="minorHAnsi"/>
                <w:sz w:val="14"/>
                <w:szCs w:val="16"/>
              </w:rPr>
              <w:t xml:space="preserve">Other </w:t>
            </w:r>
          </w:p>
        </w:tc>
        <w:tc>
          <w:tcPr>
            <w:tcW w:w="992" w:type="dxa"/>
            <w:tcBorders>
              <w:top w:val="nil"/>
              <w:left w:val="nil"/>
              <w:bottom w:val="single" w:sz="4" w:space="0" w:color="auto"/>
              <w:right w:val="single" w:sz="4" w:space="0" w:color="auto"/>
            </w:tcBorders>
            <w:shd w:val="clear" w:color="000000" w:fill="FFFFFF"/>
            <w:noWrap/>
            <w:vAlign w:val="bottom"/>
            <w:hideMark/>
          </w:tcPr>
          <w:p w14:paraId="44A1C0C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C6D2ED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3AACFD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F3330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F8A26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7B189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NO,NA</w:t>
            </w:r>
          </w:p>
        </w:tc>
      </w:tr>
      <w:tr w:rsidR="00B56301" w:rsidRPr="002C68EA" w14:paraId="0FDEBA4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bottom"/>
            <w:hideMark/>
          </w:tcPr>
          <w:p w14:paraId="47BA3938" w14:textId="4ED0ACEE"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3.</w:t>
            </w:r>
            <w:r w:rsidR="00260E0B">
              <w:rPr>
                <w:rFonts w:asciiTheme="minorHAnsi" w:hAnsiTheme="minorHAnsi"/>
                <w:b/>
                <w:bCs/>
                <w:sz w:val="14"/>
                <w:szCs w:val="16"/>
              </w:rPr>
              <w:t xml:space="preserve"> </w:t>
            </w:r>
            <w:r w:rsidRPr="000157EE">
              <w:rPr>
                <w:rFonts w:asciiTheme="minorHAnsi" w:hAnsiTheme="minorHAnsi"/>
                <w:b/>
                <w:bCs/>
                <w:sz w:val="14"/>
                <w:szCs w:val="16"/>
              </w:rPr>
              <w:t>Agriculture</w:t>
            </w:r>
          </w:p>
        </w:tc>
        <w:tc>
          <w:tcPr>
            <w:tcW w:w="992" w:type="dxa"/>
            <w:tcBorders>
              <w:top w:val="nil"/>
              <w:left w:val="nil"/>
              <w:bottom w:val="single" w:sz="4" w:space="0" w:color="auto"/>
              <w:right w:val="single" w:sz="4" w:space="0" w:color="auto"/>
            </w:tcBorders>
            <w:shd w:val="clear" w:color="000000" w:fill="CCFFFF"/>
            <w:noWrap/>
            <w:vAlign w:val="bottom"/>
            <w:hideMark/>
          </w:tcPr>
          <w:p w14:paraId="4E31FF1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123,12</w:t>
            </w:r>
          </w:p>
        </w:tc>
        <w:tc>
          <w:tcPr>
            <w:tcW w:w="992" w:type="dxa"/>
            <w:tcBorders>
              <w:top w:val="nil"/>
              <w:left w:val="nil"/>
              <w:bottom w:val="single" w:sz="4" w:space="0" w:color="auto"/>
              <w:right w:val="single" w:sz="4" w:space="0" w:color="auto"/>
            </w:tcBorders>
            <w:shd w:val="clear" w:color="000000" w:fill="CCFFFF"/>
            <w:noWrap/>
            <w:vAlign w:val="bottom"/>
            <w:hideMark/>
          </w:tcPr>
          <w:p w14:paraId="6F142F2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123,12</w:t>
            </w:r>
          </w:p>
        </w:tc>
        <w:tc>
          <w:tcPr>
            <w:tcW w:w="992" w:type="dxa"/>
            <w:tcBorders>
              <w:top w:val="nil"/>
              <w:left w:val="nil"/>
              <w:bottom w:val="single" w:sz="4" w:space="0" w:color="auto"/>
              <w:right w:val="single" w:sz="4" w:space="0" w:color="auto"/>
            </w:tcBorders>
            <w:shd w:val="clear" w:color="000000" w:fill="CCFFFF"/>
            <w:noWrap/>
            <w:vAlign w:val="bottom"/>
            <w:hideMark/>
          </w:tcPr>
          <w:p w14:paraId="7462F46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123,86</w:t>
            </w:r>
          </w:p>
        </w:tc>
        <w:tc>
          <w:tcPr>
            <w:tcW w:w="992" w:type="dxa"/>
            <w:tcBorders>
              <w:top w:val="nil"/>
              <w:left w:val="nil"/>
              <w:bottom w:val="single" w:sz="4" w:space="0" w:color="auto"/>
              <w:right w:val="single" w:sz="4" w:space="0" w:color="auto"/>
            </w:tcBorders>
            <w:shd w:val="clear" w:color="000000" w:fill="CCFFFF"/>
            <w:noWrap/>
            <w:vAlign w:val="bottom"/>
            <w:hideMark/>
          </w:tcPr>
          <w:p w14:paraId="134683C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121,39</w:t>
            </w:r>
          </w:p>
        </w:tc>
        <w:tc>
          <w:tcPr>
            <w:tcW w:w="992" w:type="dxa"/>
            <w:tcBorders>
              <w:top w:val="nil"/>
              <w:left w:val="nil"/>
              <w:bottom w:val="single" w:sz="4" w:space="0" w:color="auto"/>
              <w:right w:val="single" w:sz="4" w:space="0" w:color="auto"/>
            </w:tcBorders>
            <w:shd w:val="clear" w:color="000000" w:fill="CCFFFF"/>
            <w:noWrap/>
            <w:vAlign w:val="bottom"/>
            <w:hideMark/>
          </w:tcPr>
          <w:p w14:paraId="133984D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118,60</w:t>
            </w:r>
          </w:p>
        </w:tc>
        <w:tc>
          <w:tcPr>
            <w:tcW w:w="992" w:type="dxa"/>
            <w:tcBorders>
              <w:top w:val="nil"/>
              <w:left w:val="nil"/>
              <w:bottom w:val="single" w:sz="4" w:space="0" w:color="auto"/>
              <w:right w:val="single" w:sz="4" w:space="0" w:color="auto"/>
            </w:tcBorders>
            <w:shd w:val="clear" w:color="000000" w:fill="CCFFFF"/>
            <w:noWrap/>
            <w:vAlign w:val="bottom"/>
            <w:hideMark/>
          </w:tcPr>
          <w:p w14:paraId="20A9098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116,73</w:t>
            </w:r>
          </w:p>
        </w:tc>
      </w:tr>
      <w:tr w:rsidR="00B56301" w:rsidRPr="002C68EA" w14:paraId="0E61412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9D583C" w14:textId="36871761"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A.</w:t>
            </w:r>
            <w:r w:rsidR="00260E0B">
              <w:rPr>
                <w:rFonts w:asciiTheme="minorHAnsi" w:hAnsiTheme="minorHAnsi"/>
                <w:sz w:val="14"/>
                <w:szCs w:val="16"/>
              </w:rPr>
              <w:t xml:space="preserve"> </w:t>
            </w:r>
            <w:r w:rsidRPr="000157EE">
              <w:rPr>
                <w:rFonts w:asciiTheme="minorHAnsi" w:hAnsiTheme="minorHAnsi"/>
                <w:sz w:val="14"/>
                <w:szCs w:val="16"/>
              </w:rPr>
              <w:t>Enteric fermentation</w:t>
            </w:r>
          </w:p>
        </w:tc>
        <w:tc>
          <w:tcPr>
            <w:tcW w:w="992" w:type="dxa"/>
            <w:tcBorders>
              <w:top w:val="nil"/>
              <w:left w:val="nil"/>
              <w:bottom w:val="single" w:sz="4" w:space="0" w:color="auto"/>
              <w:right w:val="single" w:sz="4" w:space="0" w:color="auto"/>
            </w:tcBorders>
            <w:shd w:val="clear" w:color="000000" w:fill="969696"/>
            <w:noWrap/>
            <w:vAlign w:val="bottom"/>
            <w:hideMark/>
          </w:tcPr>
          <w:p w14:paraId="254EEE3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0153D3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9D98E1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A2DDE6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CB9F68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5335C1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7F90861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40DBB6E" w14:textId="7798B3CF"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B.</w:t>
            </w:r>
            <w:r w:rsidR="00260E0B">
              <w:rPr>
                <w:rFonts w:asciiTheme="minorHAnsi" w:hAnsiTheme="minorHAnsi"/>
                <w:sz w:val="14"/>
                <w:szCs w:val="16"/>
              </w:rPr>
              <w:t xml:space="preserve"> </w:t>
            </w:r>
            <w:r w:rsidRPr="000157EE">
              <w:rPr>
                <w:rFonts w:asciiTheme="minorHAnsi" w:hAnsiTheme="minorHAnsi"/>
                <w:sz w:val="14"/>
                <w:szCs w:val="16"/>
              </w:rPr>
              <w:t>Manure management</w:t>
            </w:r>
          </w:p>
        </w:tc>
        <w:tc>
          <w:tcPr>
            <w:tcW w:w="992" w:type="dxa"/>
            <w:tcBorders>
              <w:top w:val="nil"/>
              <w:left w:val="nil"/>
              <w:bottom w:val="single" w:sz="4" w:space="0" w:color="auto"/>
              <w:right w:val="single" w:sz="4" w:space="0" w:color="auto"/>
            </w:tcBorders>
            <w:shd w:val="clear" w:color="000000" w:fill="FFFFFF"/>
            <w:noWrap/>
            <w:vAlign w:val="bottom"/>
            <w:hideMark/>
          </w:tcPr>
          <w:p w14:paraId="5DDC364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9,46</w:t>
            </w:r>
          </w:p>
        </w:tc>
        <w:tc>
          <w:tcPr>
            <w:tcW w:w="992" w:type="dxa"/>
            <w:tcBorders>
              <w:top w:val="nil"/>
              <w:left w:val="nil"/>
              <w:bottom w:val="single" w:sz="4" w:space="0" w:color="auto"/>
              <w:right w:val="single" w:sz="4" w:space="0" w:color="auto"/>
            </w:tcBorders>
            <w:shd w:val="clear" w:color="000000" w:fill="FFFFFF"/>
            <w:noWrap/>
            <w:vAlign w:val="bottom"/>
            <w:hideMark/>
          </w:tcPr>
          <w:p w14:paraId="641A973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9,46</w:t>
            </w:r>
          </w:p>
        </w:tc>
        <w:tc>
          <w:tcPr>
            <w:tcW w:w="992" w:type="dxa"/>
            <w:tcBorders>
              <w:top w:val="nil"/>
              <w:left w:val="nil"/>
              <w:bottom w:val="single" w:sz="4" w:space="0" w:color="auto"/>
              <w:right w:val="single" w:sz="4" w:space="0" w:color="auto"/>
            </w:tcBorders>
            <w:shd w:val="clear" w:color="000000" w:fill="FFFFFF"/>
            <w:noWrap/>
            <w:vAlign w:val="bottom"/>
            <w:hideMark/>
          </w:tcPr>
          <w:p w14:paraId="6B28AC0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9,32</w:t>
            </w:r>
          </w:p>
        </w:tc>
        <w:tc>
          <w:tcPr>
            <w:tcW w:w="992" w:type="dxa"/>
            <w:tcBorders>
              <w:top w:val="nil"/>
              <w:left w:val="nil"/>
              <w:bottom w:val="single" w:sz="4" w:space="0" w:color="auto"/>
              <w:right w:val="single" w:sz="4" w:space="0" w:color="auto"/>
            </w:tcBorders>
            <w:shd w:val="clear" w:color="000000" w:fill="FFFFFF"/>
            <w:noWrap/>
            <w:vAlign w:val="bottom"/>
            <w:hideMark/>
          </w:tcPr>
          <w:p w14:paraId="125CF44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9,17</w:t>
            </w:r>
          </w:p>
        </w:tc>
        <w:tc>
          <w:tcPr>
            <w:tcW w:w="992" w:type="dxa"/>
            <w:tcBorders>
              <w:top w:val="nil"/>
              <w:left w:val="nil"/>
              <w:bottom w:val="single" w:sz="4" w:space="0" w:color="auto"/>
              <w:right w:val="single" w:sz="4" w:space="0" w:color="auto"/>
            </w:tcBorders>
            <w:shd w:val="clear" w:color="000000" w:fill="FFFFFF"/>
            <w:noWrap/>
            <w:vAlign w:val="bottom"/>
            <w:hideMark/>
          </w:tcPr>
          <w:p w14:paraId="1313BFA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9,11</w:t>
            </w:r>
          </w:p>
        </w:tc>
        <w:tc>
          <w:tcPr>
            <w:tcW w:w="992" w:type="dxa"/>
            <w:tcBorders>
              <w:top w:val="nil"/>
              <w:left w:val="nil"/>
              <w:bottom w:val="single" w:sz="4" w:space="0" w:color="auto"/>
              <w:right w:val="single" w:sz="4" w:space="0" w:color="auto"/>
            </w:tcBorders>
            <w:shd w:val="clear" w:color="000000" w:fill="FFFFFF"/>
            <w:noWrap/>
            <w:vAlign w:val="bottom"/>
            <w:hideMark/>
          </w:tcPr>
          <w:p w14:paraId="77AB3EA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9,15</w:t>
            </w:r>
          </w:p>
        </w:tc>
      </w:tr>
      <w:tr w:rsidR="00B56301" w:rsidRPr="002C68EA" w14:paraId="0DCB855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674AA9E" w14:textId="383708A8"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C.</w:t>
            </w:r>
            <w:r w:rsidR="00260E0B">
              <w:rPr>
                <w:rFonts w:asciiTheme="minorHAnsi" w:hAnsiTheme="minorHAnsi"/>
                <w:sz w:val="14"/>
                <w:szCs w:val="16"/>
              </w:rPr>
              <w:t xml:space="preserve"> </w:t>
            </w:r>
            <w:r w:rsidRPr="000157EE">
              <w:rPr>
                <w:rFonts w:asciiTheme="minorHAnsi" w:hAnsiTheme="minorHAnsi"/>
                <w:sz w:val="14"/>
                <w:szCs w:val="16"/>
              </w:rPr>
              <w:t>Rice cultivation</w:t>
            </w:r>
          </w:p>
        </w:tc>
        <w:tc>
          <w:tcPr>
            <w:tcW w:w="992" w:type="dxa"/>
            <w:tcBorders>
              <w:top w:val="nil"/>
              <w:left w:val="nil"/>
              <w:bottom w:val="single" w:sz="4" w:space="0" w:color="auto"/>
              <w:right w:val="single" w:sz="4" w:space="0" w:color="auto"/>
            </w:tcBorders>
            <w:shd w:val="clear" w:color="000000" w:fill="969696"/>
            <w:noWrap/>
            <w:vAlign w:val="bottom"/>
            <w:hideMark/>
          </w:tcPr>
          <w:p w14:paraId="24C26B4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199801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8D4E12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9CD8DD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DC7960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CD3360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78BC091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C6AD7F" w14:textId="3253E3A2"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D.</w:t>
            </w:r>
            <w:r w:rsidR="00260E0B">
              <w:rPr>
                <w:rFonts w:asciiTheme="minorHAnsi" w:hAnsiTheme="minorHAnsi"/>
                <w:sz w:val="14"/>
                <w:szCs w:val="16"/>
              </w:rPr>
              <w:t xml:space="preserve"> </w:t>
            </w:r>
            <w:r w:rsidRPr="000157EE">
              <w:rPr>
                <w:rFonts w:asciiTheme="minorHAnsi" w:hAnsiTheme="minorHAnsi"/>
                <w:sz w:val="14"/>
                <w:szCs w:val="16"/>
              </w:rPr>
              <w:t>Agricultural soils</w:t>
            </w:r>
          </w:p>
        </w:tc>
        <w:tc>
          <w:tcPr>
            <w:tcW w:w="992" w:type="dxa"/>
            <w:tcBorders>
              <w:top w:val="nil"/>
              <w:left w:val="nil"/>
              <w:bottom w:val="single" w:sz="4" w:space="0" w:color="auto"/>
              <w:right w:val="single" w:sz="4" w:space="0" w:color="auto"/>
            </w:tcBorders>
            <w:shd w:val="clear" w:color="000000" w:fill="FFFFFF"/>
            <w:noWrap/>
            <w:vAlign w:val="bottom"/>
            <w:hideMark/>
          </w:tcPr>
          <w:p w14:paraId="07FAD40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113,59</w:t>
            </w:r>
          </w:p>
        </w:tc>
        <w:tc>
          <w:tcPr>
            <w:tcW w:w="992" w:type="dxa"/>
            <w:tcBorders>
              <w:top w:val="nil"/>
              <w:left w:val="nil"/>
              <w:bottom w:val="single" w:sz="4" w:space="0" w:color="auto"/>
              <w:right w:val="single" w:sz="4" w:space="0" w:color="auto"/>
            </w:tcBorders>
            <w:shd w:val="clear" w:color="000000" w:fill="FFFFFF"/>
            <w:noWrap/>
            <w:vAlign w:val="bottom"/>
            <w:hideMark/>
          </w:tcPr>
          <w:p w14:paraId="3CA3EF4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113,59</w:t>
            </w:r>
          </w:p>
        </w:tc>
        <w:tc>
          <w:tcPr>
            <w:tcW w:w="992" w:type="dxa"/>
            <w:tcBorders>
              <w:top w:val="nil"/>
              <w:left w:val="nil"/>
              <w:bottom w:val="single" w:sz="4" w:space="0" w:color="auto"/>
              <w:right w:val="single" w:sz="4" w:space="0" w:color="auto"/>
            </w:tcBorders>
            <w:shd w:val="clear" w:color="000000" w:fill="FFFFFF"/>
            <w:noWrap/>
            <w:vAlign w:val="bottom"/>
            <w:hideMark/>
          </w:tcPr>
          <w:p w14:paraId="782014A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114,47</w:t>
            </w:r>
          </w:p>
        </w:tc>
        <w:tc>
          <w:tcPr>
            <w:tcW w:w="992" w:type="dxa"/>
            <w:tcBorders>
              <w:top w:val="nil"/>
              <w:left w:val="nil"/>
              <w:bottom w:val="single" w:sz="4" w:space="0" w:color="auto"/>
              <w:right w:val="single" w:sz="4" w:space="0" w:color="auto"/>
            </w:tcBorders>
            <w:shd w:val="clear" w:color="000000" w:fill="FFFFFF"/>
            <w:noWrap/>
            <w:vAlign w:val="bottom"/>
            <w:hideMark/>
          </w:tcPr>
          <w:p w14:paraId="01C4D63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112,15</w:t>
            </w:r>
          </w:p>
        </w:tc>
        <w:tc>
          <w:tcPr>
            <w:tcW w:w="992" w:type="dxa"/>
            <w:tcBorders>
              <w:top w:val="nil"/>
              <w:left w:val="nil"/>
              <w:bottom w:val="single" w:sz="4" w:space="0" w:color="auto"/>
              <w:right w:val="single" w:sz="4" w:space="0" w:color="auto"/>
            </w:tcBorders>
            <w:shd w:val="clear" w:color="000000" w:fill="FFFFFF"/>
            <w:noWrap/>
            <w:vAlign w:val="bottom"/>
            <w:hideMark/>
          </w:tcPr>
          <w:p w14:paraId="775A883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109,42</w:t>
            </w:r>
          </w:p>
        </w:tc>
        <w:tc>
          <w:tcPr>
            <w:tcW w:w="992" w:type="dxa"/>
            <w:tcBorders>
              <w:top w:val="nil"/>
              <w:left w:val="nil"/>
              <w:bottom w:val="single" w:sz="4" w:space="0" w:color="auto"/>
              <w:right w:val="single" w:sz="4" w:space="0" w:color="auto"/>
            </w:tcBorders>
            <w:shd w:val="clear" w:color="000000" w:fill="FFFFFF"/>
            <w:noWrap/>
            <w:vAlign w:val="bottom"/>
            <w:hideMark/>
          </w:tcPr>
          <w:p w14:paraId="6727B0F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107,51</w:t>
            </w:r>
          </w:p>
        </w:tc>
      </w:tr>
      <w:tr w:rsidR="00B56301" w:rsidRPr="002C68EA" w14:paraId="48839B5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0B63ECD" w14:textId="57508615"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E.</w:t>
            </w:r>
            <w:r w:rsidR="00260E0B">
              <w:rPr>
                <w:rFonts w:asciiTheme="minorHAnsi" w:hAnsiTheme="minorHAnsi"/>
                <w:sz w:val="14"/>
                <w:szCs w:val="16"/>
                <w:lang w:val="en-GB"/>
              </w:rPr>
              <w:t xml:space="preserve"> </w:t>
            </w:r>
            <w:r w:rsidRPr="000157EE">
              <w:rPr>
                <w:rFonts w:asciiTheme="minorHAnsi" w:hAnsiTheme="minorHAnsi"/>
                <w:sz w:val="14"/>
                <w:szCs w:val="16"/>
                <w:lang w:val="en-GB"/>
              </w:rPr>
              <w:t>Prescribed burning of savannas</w:t>
            </w:r>
          </w:p>
        </w:tc>
        <w:tc>
          <w:tcPr>
            <w:tcW w:w="992" w:type="dxa"/>
            <w:tcBorders>
              <w:top w:val="nil"/>
              <w:left w:val="nil"/>
              <w:bottom w:val="single" w:sz="4" w:space="0" w:color="auto"/>
              <w:right w:val="single" w:sz="4" w:space="0" w:color="auto"/>
            </w:tcBorders>
            <w:shd w:val="clear" w:color="000000" w:fill="FFFFFF"/>
            <w:noWrap/>
            <w:vAlign w:val="bottom"/>
            <w:hideMark/>
          </w:tcPr>
          <w:p w14:paraId="4A94313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322FDBC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110076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EF8387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39BA68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54FFC0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r>
      <w:tr w:rsidR="00B56301" w:rsidRPr="002C68EA" w14:paraId="011FD11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BEB1E6F" w14:textId="4734B15D"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F.</w:t>
            </w:r>
            <w:r w:rsidR="00260E0B">
              <w:rPr>
                <w:rFonts w:asciiTheme="minorHAnsi" w:hAnsiTheme="minorHAnsi"/>
                <w:sz w:val="14"/>
                <w:szCs w:val="16"/>
                <w:lang w:val="en-GB"/>
              </w:rPr>
              <w:t xml:space="preserve"> </w:t>
            </w:r>
            <w:r w:rsidRPr="000157EE">
              <w:rPr>
                <w:rFonts w:asciiTheme="minorHAnsi" w:hAnsiTheme="minorHAnsi"/>
                <w:sz w:val="14"/>
                <w:szCs w:val="16"/>
                <w:lang w:val="en-GB"/>
              </w:rPr>
              <w:t>Field burning of agricultural residues</w:t>
            </w:r>
          </w:p>
        </w:tc>
        <w:tc>
          <w:tcPr>
            <w:tcW w:w="992" w:type="dxa"/>
            <w:tcBorders>
              <w:top w:val="nil"/>
              <w:left w:val="nil"/>
              <w:bottom w:val="single" w:sz="4" w:space="0" w:color="auto"/>
              <w:right w:val="single" w:sz="4" w:space="0" w:color="auto"/>
            </w:tcBorders>
            <w:shd w:val="clear" w:color="000000" w:fill="FFFFFF"/>
            <w:noWrap/>
            <w:vAlign w:val="bottom"/>
            <w:hideMark/>
          </w:tcPr>
          <w:p w14:paraId="05FB939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1F5AE1A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7C8F818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86A262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B45E8C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1400E36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0,07</w:t>
            </w:r>
          </w:p>
        </w:tc>
      </w:tr>
      <w:tr w:rsidR="00B56301" w:rsidRPr="002C68EA" w14:paraId="07E079D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A51275" w14:textId="4B851F8A"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G.</w:t>
            </w:r>
            <w:r w:rsidR="00260E0B">
              <w:rPr>
                <w:rFonts w:asciiTheme="minorHAnsi" w:hAnsiTheme="minorHAnsi"/>
                <w:sz w:val="14"/>
                <w:szCs w:val="16"/>
              </w:rPr>
              <w:t xml:space="preserve"> </w:t>
            </w:r>
            <w:r w:rsidRPr="000157EE">
              <w:rPr>
                <w:rFonts w:asciiTheme="minorHAnsi" w:hAnsiTheme="minorHAnsi"/>
                <w:sz w:val="14"/>
                <w:szCs w:val="16"/>
              </w:rPr>
              <w:t>Liming</w:t>
            </w:r>
          </w:p>
        </w:tc>
        <w:tc>
          <w:tcPr>
            <w:tcW w:w="992" w:type="dxa"/>
            <w:tcBorders>
              <w:top w:val="nil"/>
              <w:left w:val="nil"/>
              <w:bottom w:val="single" w:sz="4" w:space="0" w:color="auto"/>
              <w:right w:val="single" w:sz="4" w:space="0" w:color="auto"/>
            </w:tcBorders>
            <w:shd w:val="clear" w:color="000000" w:fill="969696"/>
            <w:noWrap/>
            <w:vAlign w:val="bottom"/>
            <w:hideMark/>
          </w:tcPr>
          <w:p w14:paraId="23C1E7B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0E2911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EE63CF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1BD760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C6570C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AA3C59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736E2A6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9AEFF3A" w14:textId="4D17DA68"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H.</w:t>
            </w:r>
            <w:r w:rsidR="00260E0B">
              <w:rPr>
                <w:rFonts w:asciiTheme="minorHAnsi" w:hAnsiTheme="minorHAnsi"/>
                <w:sz w:val="14"/>
                <w:szCs w:val="16"/>
              </w:rPr>
              <w:t xml:space="preserve"> </w:t>
            </w:r>
            <w:r w:rsidRPr="000157EE">
              <w:rPr>
                <w:rFonts w:asciiTheme="minorHAnsi" w:hAnsiTheme="minorHAnsi"/>
                <w:sz w:val="14"/>
                <w:szCs w:val="16"/>
              </w:rPr>
              <w:t>Urea application</w:t>
            </w:r>
          </w:p>
        </w:tc>
        <w:tc>
          <w:tcPr>
            <w:tcW w:w="992" w:type="dxa"/>
            <w:tcBorders>
              <w:top w:val="nil"/>
              <w:left w:val="nil"/>
              <w:bottom w:val="single" w:sz="4" w:space="0" w:color="auto"/>
              <w:right w:val="single" w:sz="4" w:space="0" w:color="auto"/>
            </w:tcBorders>
            <w:shd w:val="clear" w:color="000000" w:fill="969696"/>
            <w:noWrap/>
            <w:vAlign w:val="bottom"/>
            <w:hideMark/>
          </w:tcPr>
          <w:p w14:paraId="598230E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29B102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1C7297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08DB15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6D90F8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0366FD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833C38" w14:paraId="0E8AD7E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5CB4F6" w14:textId="2722A97D"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I.</w:t>
            </w:r>
            <w:r w:rsidR="00260E0B">
              <w:rPr>
                <w:rFonts w:asciiTheme="minorHAnsi" w:hAnsiTheme="minorHAnsi"/>
                <w:sz w:val="14"/>
                <w:szCs w:val="16"/>
                <w:lang w:val="en-GB"/>
              </w:rPr>
              <w:t xml:space="preserve"> </w:t>
            </w:r>
            <w:r w:rsidRPr="000157EE">
              <w:rPr>
                <w:rFonts w:asciiTheme="minorHAnsi" w:hAnsiTheme="minorHAnsi"/>
                <w:sz w:val="14"/>
                <w:szCs w:val="16"/>
                <w:lang w:val="en-GB"/>
              </w:rPr>
              <w:t>Other carbon containing fertlizers</w:t>
            </w:r>
          </w:p>
        </w:tc>
        <w:tc>
          <w:tcPr>
            <w:tcW w:w="992" w:type="dxa"/>
            <w:tcBorders>
              <w:top w:val="nil"/>
              <w:left w:val="nil"/>
              <w:bottom w:val="single" w:sz="4" w:space="0" w:color="auto"/>
              <w:right w:val="single" w:sz="4" w:space="0" w:color="auto"/>
            </w:tcBorders>
            <w:shd w:val="clear" w:color="000000" w:fill="969696"/>
            <w:noWrap/>
            <w:vAlign w:val="bottom"/>
            <w:hideMark/>
          </w:tcPr>
          <w:p w14:paraId="53972698"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8B07E44"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5E8E9DE"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360CA74"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343B80F"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7F8CADA"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r>
      <w:tr w:rsidR="00B56301" w:rsidRPr="002C68EA" w14:paraId="3E8F98D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F897010" w14:textId="77CCF4DA"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J.</w:t>
            </w:r>
            <w:r w:rsidR="00260E0B">
              <w:rPr>
                <w:rFonts w:asciiTheme="minorHAnsi" w:hAnsiTheme="minorHAnsi"/>
                <w:sz w:val="14"/>
                <w:szCs w:val="16"/>
              </w:rPr>
              <w:t xml:space="preserve"> </w:t>
            </w:r>
            <w:r w:rsidRPr="000157EE">
              <w:rPr>
                <w:rFonts w:asciiTheme="minorHAnsi" w:hAnsiTheme="minorHAnsi"/>
                <w:sz w:val="14"/>
                <w:szCs w:val="16"/>
              </w:rPr>
              <w:t xml:space="preserve">Other </w:t>
            </w:r>
          </w:p>
        </w:tc>
        <w:tc>
          <w:tcPr>
            <w:tcW w:w="992" w:type="dxa"/>
            <w:tcBorders>
              <w:top w:val="nil"/>
              <w:left w:val="nil"/>
              <w:bottom w:val="single" w:sz="4" w:space="0" w:color="auto"/>
              <w:right w:val="single" w:sz="4" w:space="0" w:color="auto"/>
            </w:tcBorders>
            <w:shd w:val="clear" w:color="000000" w:fill="FFFFFF"/>
            <w:noWrap/>
            <w:vAlign w:val="bottom"/>
            <w:hideMark/>
          </w:tcPr>
          <w:p w14:paraId="569D0A0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1967DE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65687B6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452132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0BB4992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2A634D0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r>
      <w:tr w:rsidR="00B56301" w:rsidRPr="002C68EA" w14:paraId="63939EC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bottom"/>
            <w:hideMark/>
          </w:tcPr>
          <w:p w14:paraId="25E6E432" w14:textId="77777777" w:rsidR="00B56301" w:rsidRPr="000157EE" w:rsidRDefault="00B56301" w:rsidP="00B37B65">
            <w:pPr>
              <w:jc w:val="left"/>
              <w:rPr>
                <w:rFonts w:asciiTheme="minorHAnsi" w:hAnsiTheme="minorHAnsi"/>
                <w:b/>
                <w:bCs/>
                <w:sz w:val="14"/>
                <w:szCs w:val="16"/>
                <w:lang w:val="en-GB"/>
              </w:rPr>
            </w:pPr>
            <w:r w:rsidRPr="000157EE">
              <w:rPr>
                <w:rFonts w:asciiTheme="minorHAnsi" w:hAnsiTheme="minorHAnsi"/>
                <w:b/>
                <w:bCs/>
                <w:sz w:val="14"/>
                <w:szCs w:val="16"/>
                <w:lang w:val="en-GB"/>
              </w:rPr>
              <w:t>4. Land use, land-use change and forestry</w:t>
            </w:r>
          </w:p>
        </w:tc>
        <w:tc>
          <w:tcPr>
            <w:tcW w:w="992" w:type="dxa"/>
            <w:tcBorders>
              <w:top w:val="nil"/>
              <w:left w:val="nil"/>
              <w:bottom w:val="single" w:sz="4" w:space="0" w:color="auto"/>
              <w:right w:val="single" w:sz="4" w:space="0" w:color="auto"/>
            </w:tcBorders>
            <w:shd w:val="clear" w:color="000000" w:fill="CCFFFF"/>
            <w:noWrap/>
            <w:vAlign w:val="bottom"/>
            <w:hideMark/>
          </w:tcPr>
          <w:p w14:paraId="25CD0A3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10,83</w:t>
            </w:r>
          </w:p>
        </w:tc>
        <w:tc>
          <w:tcPr>
            <w:tcW w:w="992" w:type="dxa"/>
            <w:tcBorders>
              <w:top w:val="nil"/>
              <w:left w:val="nil"/>
              <w:bottom w:val="single" w:sz="4" w:space="0" w:color="auto"/>
              <w:right w:val="single" w:sz="4" w:space="0" w:color="auto"/>
            </w:tcBorders>
            <w:shd w:val="clear" w:color="000000" w:fill="CCFFFF"/>
            <w:noWrap/>
            <w:vAlign w:val="bottom"/>
            <w:hideMark/>
          </w:tcPr>
          <w:p w14:paraId="460D8E5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10,83</w:t>
            </w:r>
          </w:p>
        </w:tc>
        <w:tc>
          <w:tcPr>
            <w:tcW w:w="992" w:type="dxa"/>
            <w:tcBorders>
              <w:top w:val="nil"/>
              <w:left w:val="nil"/>
              <w:bottom w:val="single" w:sz="4" w:space="0" w:color="auto"/>
              <w:right w:val="single" w:sz="4" w:space="0" w:color="auto"/>
            </w:tcBorders>
            <w:shd w:val="clear" w:color="000000" w:fill="CCFFFF"/>
            <w:noWrap/>
            <w:vAlign w:val="bottom"/>
            <w:hideMark/>
          </w:tcPr>
          <w:p w14:paraId="111B49F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10,75</w:t>
            </w:r>
          </w:p>
        </w:tc>
        <w:tc>
          <w:tcPr>
            <w:tcW w:w="992" w:type="dxa"/>
            <w:tcBorders>
              <w:top w:val="nil"/>
              <w:left w:val="nil"/>
              <w:bottom w:val="single" w:sz="4" w:space="0" w:color="auto"/>
              <w:right w:val="single" w:sz="4" w:space="0" w:color="auto"/>
            </w:tcBorders>
            <w:shd w:val="clear" w:color="000000" w:fill="CCFFFF"/>
            <w:noWrap/>
            <w:vAlign w:val="bottom"/>
            <w:hideMark/>
          </w:tcPr>
          <w:p w14:paraId="5EF1942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10,91</w:t>
            </w:r>
          </w:p>
        </w:tc>
        <w:tc>
          <w:tcPr>
            <w:tcW w:w="992" w:type="dxa"/>
            <w:tcBorders>
              <w:top w:val="nil"/>
              <w:left w:val="nil"/>
              <w:bottom w:val="single" w:sz="4" w:space="0" w:color="auto"/>
              <w:right w:val="single" w:sz="4" w:space="0" w:color="auto"/>
            </w:tcBorders>
            <w:shd w:val="clear" w:color="000000" w:fill="CCFFFF"/>
            <w:noWrap/>
            <w:vAlign w:val="bottom"/>
            <w:hideMark/>
          </w:tcPr>
          <w:p w14:paraId="74CE371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11,00</w:t>
            </w:r>
          </w:p>
        </w:tc>
        <w:tc>
          <w:tcPr>
            <w:tcW w:w="992" w:type="dxa"/>
            <w:tcBorders>
              <w:top w:val="nil"/>
              <w:left w:val="nil"/>
              <w:bottom w:val="single" w:sz="4" w:space="0" w:color="auto"/>
              <w:right w:val="single" w:sz="4" w:space="0" w:color="auto"/>
            </w:tcBorders>
            <w:shd w:val="clear" w:color="000000" w:fill="CCFFFF"/>
            <w:noWrap/>
            <w:vAlign w:val="bottom"/>
            <w:hideMark/>
          </w:tcPr>
          <w:p w14:paraId="26248F2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10,99</w:t>
            </w:r>
          </w:p>
        </w:tc>
      </w:tr>
      <w:tr w:rsidR="00B56301" w:rsidRPr="002C68EA" w14:paraId="5BE94A1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13E540A" w14:textId="0CDA443D"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A.</w:t>
            </w:r>
            <w:r w:rsidR="00260E0B">
              <w:rPr>
                <w:rFonts w:asciiTheme="minorHAnsi" w:hAnsiTheme="minorHAnsi"/>
                <w:sz w:val="14"/>
                <w:szCs w:val="16"/>
              </w:rPr>
              <w:t xml:space="preserve"> </w:t>
            </w:r>
            <w:r w:rsidRPr="000157EE">
              <w:rPr>
                <w:rFonts w:asciiTheme="minorHAnsi" w:hAnsiTheme="minorHAnsi"/>
                <w:sz w:val="14"/>
                <w:szCs w:val="16"/>
              </w:rPr>
              <w:t>Forest land</w:t>
            </w:r>
          </w:p>
        </w:tc>
        <w:tc>
          <w:tcPr>
            <w:tcW w:w="992" w:type="dxa"/>
            <w:tcBorders>
              <w:top w:val="nil"/>
              <w:left w:val="nil"/>
              <w:bottom w:val="single" w:sz="4" w:space="0" w:color="auto"/>
              <w:right w:val="single" w:sz="4" w:space="0" w:color="auto"/>
            </w:tcBorders>
            <w:shd w:val="clear" w:color="000000" w:fill="FFFFFF"/>
            <w:noWrap/>
            <w:vAlign w:val="bottom"/>
            <w:hideMark/>
          </w:tcPr>
          <w:p w14:paraId="3F2ADC2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1,49</w:t>
            </w:r>
          </w:p>
        </w:tc>
        <w:tc>
          <w:tcPr>
            <w:tcW w:w="992" w:type="dxa"/>
            <w:tcBorders>
              <w:top w:val="nil"/>
              <w:left w:val="nil"/>
              <w:bottom w:val="single" w:sz="4" w:space="0" w:color="auto"/>
              <w:right w:val="single" w:sz="4" w:space="0" w:color="auto"/>
            </w:tcBorders>
            <w:shd w:val="clear" w:color="000000" w:fill="FFFFFF"/>
            <w:noWrap/>
            <w:vAlign w:val="bottom"/>
            <w:hideMark/>
          </w:tcPr>
          <w:p w14:paraId="6A4B7EF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1,49</w:t>
            </w:r>
          </w:p>
        </w:tc>
        <w:tc>
          <w:tcPr>
            <w:tcW w:w="992" w:type="dxa"/>
            <w:tcBorders>
              <w:top w:val="nil"/>
              <w:left w:val="nil"/>
              <w:bottom w:val="single" w:sz="4" w:space="0" w:color="auto"/>
              <w:right w:val="single" w:sz="4" w:space="0" w:color="auto"/>
            </w:tcBorders>
            <w:shd w:val="clear" w:color="000000" w:fill="FFFFFF"/>
            <w:noWrap/>
            <w:vAlign w:val="bottom"/>
            <w:hideMark/>
          </w:tcPr>
          <w:p w14:paraId="6D5253D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1,33</w:t>
            </w:r>
          </w:p>
        </w:tc>
        <w:tc>
          <w:tcPr>
            <w:tcW w:w="992" w:type="dxa"/>
            <w:tcBorders>
              <w:top w:val="nil"/>
              <w:left w:val="nil"/>
              <w:bottom w:val="single" w:sz="4" w:space="0" w:color="auto"/>
              <w:right w:val="single" w:sz="4" w:space="0" w:color="auto"/>
            </w:tcBorders>
            <w:shd w:val="clear" w:color="000000" w:fill="FFFFFF"/>
            <w:noWrap/>
            <w:vAlign w:val="bottom"/>
            <w:hideMark/>
          </w:tcPr>
          <w:p w14:paraId="0A67735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1,39</w:t>
            </w:r>
          </w:p>
        </w:tc>
        <w:tc>
          <w:tcPr>
            <w:tcW w:w="992" w:type="dxa"/>
            <w:tcBorders>
              <w:top w:val="nil"/>
              <w:left w:val="nil"/>
              <w:bottom w:val="single" w:sz="4" w:space="0" w:color="auto"/>
              <w:right w:val="single" w:sz="4" w:space="0" w:color="auto"/>
            </w:tcBorders>
            <w:shd w:val="clear" w:color="000000" w:fill="FFFFFF"/>
            <w:noWrap/>
            <w:vAlign w:val="bottom"/>
            <w:hideMark/>
          </w:tcPr>
          <w:p w14:paraId="3DBFA8F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1,37</w:t>
            </w:r>
          </w:p>
        </w:tc>
        <w:tc>
          <w:tcPr>
            <w:tcW w:w="992" w:type="dxa"/>
            <w:tcBorders>
              <w:top w:val="nil"/>
              <w:left w:val="nil"/>
              <w:bottom w:val="single" w:sz="4" w:space="0" w:color="auto"/>
              <w:right w:val="single" w:sz="4" w:space="0" w:color="auto"/>
            </w:tcBorders>
            <w:shd w:val="clear" w:color="000000" w:fill="FFFFFF"/>
            <w:noWrap/>
            <w:vAlign w:val="bottom"/>
            <w:hideMark/>
          </w:tcPr>
          <w:p w14:paraId="7CC2E57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1,38</w:t>
            </w:r>
          </w:p>
        </w:tc>
      </w:tr>
      <w:tr w:rsidR="00B56301" w:rsidRPr="002C68EA" w14:paraId="287571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FCB2733" w14:textId="2C788126"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B.</w:t>
            </w:r>
            <w:r w:rsidR="00260E0B">
              <w:rPr>
                <w:rFonts w:asciiTheme="minorHAnsi" w:hAnsiTheme="minorHAnsi"/>
                <w:sz w:val="14"/>
                <w:szCs w:val="16"/>
              </w:rPr>
              <w:t xml:space="preserve"> </w:t>
            </w:r>
            <w:r w:rsidRPr="000157EE">
              <w:rPr>
                <w:rFonts w:asciiTheme="minorHAnsi" w:hAnsiTheme="minorHAnsi"/>
                <w:sz w:val="14"/>
                <w:szCs w:val="16"/>
              </w:rPr>
              <w:t>Cropland</w:t>
            </w:r>
          </w:p>
        </w:tc>
        <w:tc>
          <w:tcPr>
            <w:tcW w:w="992" w:type="dxa"/>
            <w:tcBorders>
              <w:top w:val="nil"/>
              <w:left w:val="nil"/>
              <w:bottom w:val="single" w:sz="4" w:space="0" w:color="auto"/>
              <w:right w:val="single" w:sz="4" w:space="0" w:color="auto"/>
            </w:tcBorders>
            <w:shd w:val="clear" w:color="000000" w:fill="FFFFFF"/>
            <w:noWrap/>
            <w:vAlign w:val="bottom"/>
            <w:hideMark/>
          </w:tcPr>
          <w:p w14:paraId="4FAB8BC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5,21</w:t>
            </w:r>
          </w:p>
        </w:tc>
        <w:tc>
          <w:tcPr>
            <w:tcW w:w="992" w:type="dxa"/>
            <w:tcBorders>
              <w:top w:val="nil"/>
              <w:left w:val="nil"/>
              <w:bottom w:val="single" w:sz="4" w:space="0" w:color="auto"/>
              <w:right w:val="single" w:sz="4" w:space="0" w:color="auto"/>
            </w:tcBorders>
            <w:shd w:val="clear" w:color="000000" w:fill="FFFFFF"/>
            <w:noWrap/>
            <w:vAlign w:val="bottom"/>
            <w:hideMark/>
          </w:tcPr>
          <w:p w14:paraId="031DDFE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5,21</w:t>
            </w:r>
          </w:p>
        </w:tc>
        <w:tc>
          <w:tcPr>
            <w:tcW w:w="992" w:type="dxa"/>
            <w:tcBorders>
              <w:top w:val="nil"/>
              <w:left w:val="nil"/>
              <w:bottom w:val="single" w:sz="4" w:space="0" w:color="auto"/>
              <w:right w:val="single" w:sz="4" w:space="0" w:color="auto"/>
            </w:tcBorders>
            <w:shd w:val="clear" w:color="000000" w:fill="FFFFFF"/>
            <w:noWrap/>
            <w:vAlign w:val="bottom"/>
            <w:hideMark/>
          </w:tcPr>
          <w:p w14:paraId="2C238AD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5,25</w:t>
            </w:r>
          </w:p>
        </w:tc>
        <w:tc>
          <w:tcPr>
            <w:tcW w:w="992" w:type="dxa"/>
            <w:tcBorders>
              <w:top w:val="nil"/>
              <w:left w:val="nil"/>
              <w:bottom w:val="single" w:sz="4" w:space="0" w:color="auto"/>
              <w:right w:val="single" w:sz="4" w:space="0" w:color="auto"/>
            </w:tcBorders>
            <w:shd w:val="clear" w:color="000000" w:fill="FFFFFF"/>
            <w:noWrap/>
            <w:vAlign w:val="bottom"/>
            <w:hideMark/>
          </w:tcPr>
          <w:p w14:paraId="6A933A5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5,30</w:t>
            </w:r>
          </w:p>
        </w:tc>
        <w:tc>
          <w:tcPr>
            <w:tcW w:w="992" w:type="dxa"/>
            <w:tcBorders>
              <w:top w:val="nil"/>
              <w:left w:val="nil"/>
              <w:bottom w:val="single" w:sz="4" w:space="0" w:color="auto"/>
              <w:right w:val="single" w:sz="4" w:space="0" w:color="auto"/>
            </w:tcBorders>
            <w:shd w:val="clear" w:color="000000" w:fill="FFFFFF"/>
            <w:noWrap/>
            <w:vAlign w:val="bottom"/>
            <w:hideMark/>
          </w:tcPr>
          <w:p w14:paraId="2D322EB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5,37</w:t>
            </w:r>
          </w:p>
        </w:tc>
        <w:tc>
          <w:tcPr>
            <w:tcW w:w="992" w:type="dxa"/>
            <w:tcBorders>
              <w:top w:val="nil"/>
              <w:left w:val="nil"/>
              <w:bottom w:val="single" w:sz="4" w:space="0" w:color="auto"/>
              <w:right w:val="single" w:sz="4" w:space="0" w:color="auto"/>
            </w:tcBorders>
            <w:shd w:val="clear" w:color="000000" w:fill="FFFFFF"/>
            <w:noWrap/>
            <w:vAlign w:val="bottom"/>
            <w:hideMark/>
          </w:tcPr>
          <w:p w14:paraId="7936054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5,34</w:t>
            </w:r>
          </w:p>
        </w:tc>
      </w:tr>
      <w:tr w:rsidR="00B56301" w:rsidRPr="002C68EA" w14:paraId="5ABD317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C9D71D1" w14:textId="25FF4FFF"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C.</w:t>
            </w:r>
            <w:r w:rsidR="00260E0B">
              <w:rPr>
                <w:rFonts w:asciiTheme="minorHAnsi" w:hAnsiTheme="minorHAnsi"/>
                <w:sz w:val="14"/>
                <w:szCs w:val="16"/>
              </w:rPr>
              <w:t xml:space="preserve"> </w:t>
            </w:r>
            <w:r w:rsidRPr="000157EE">
              <w:rPr>
                <w:rFonts w:asciiTheme="minorHAnsi" w:hAnsiTheme="minorHAnsi"/>
                <w:sz w:val="14"/>
                <w:szCs w:val="16"/>
              </w:rPr>
              <w:t>Grassland</w:t>
            </w:r>
          </w:p>
        </w:tc>
        <w:tc>
          <w:tcPr>
            <w:tcW w:w="992" w:type="dxa"/>
            <w:tcBorders>
              <w:top w:val="nil"/>
              <w:left w:val="nil"/>
              <w:bottom w:val="single" w:sz="4" w:space="0" w:color="auto"/>
              <w:right w:val="single" w:sz="4" w:space="0" w:color="auto"/>
            </w:tcBorders>
            <w:shd w:val="clear" w:color="000000" w:fill="FFFFFF"/>
            <w:noWrap/>
            <w:vAlign w:val="bottom"/>
            <w:hideMark/>
          </w:tcPr>
          <w:p w14:paraId="7F242C8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0,47</w:t>
            </w:r>
          </w:p>
        </w:tc>
        <w:tc>
          <w:tcPr>
            <w:tcW w:w="992" w:type="dxa"/>
            <w:tcBorders>
              <w:top w:val="nil"/>
              <w:left w:val="nil"/>
              <w:bottom w:val="single" w:sz="4" w:space="0" w:color="auto"/>
              <w:right w:val="single" w:sz="4" w:space="0" w:color="auto"/>
            </w:tcBorders>
            <w:shd w:val="clear" w:color="000000" w:fill="FFFFFF"/>
            <w:noWrap/>
            <w:vAlign w:val="bottom"/>
            <w:hideMark/>
          </w:tcPr>
          <w:p w14:paraId="29CDFDF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0,47</w:t>
            </w:r>
          </w:p>
        </w:tc>
        <w:tc>
          <w:tcPr>
            <w:tcW w:w="992" w:type="dxa"/>
            <w:tcBorders>
              <w:top w:val="nil"/>
              <w:left w:val="nil"/>
              <w:bottom w:val="single" w:sz="4" w:space="0" w:color="auto"/>
              <w:right w:val="single" w:sz="4" w:space="0" w:color="auto"/>
            </w:tcBorders>
            <w:shd w:val="clear" w:color="000000" w:fill="FFFFFF"/>
            <w:noWrap/>
            <w:vAlign w:val="bottom"/>
            <w:hideMark/>
          </w:tcPr>
          <w:p w14:paraId="5E9466A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0,49</w:t>
            </w:r>
          </w:p>
        </w:tc>
        <w:tc>
          <w:tcPr>
            <w:tcW w:w="992" w:type="dxa"/>
            <w:tcBorders>
              <w:top w:val="nil"/>
              <w:left w:val="nil"/>
              <w:bottom w:val="single" w:sz="4" w:space="0" w:color="auto"/>
              <w:right w:val="single" w:sz="4" w:space="0" w:color="auto"/>
            </w:tcBorders>
            <w:shd w:val="clear" w:color="000000" w:fill="FFFFFF"/>
            <w:noWrap/>
            <w:vAlign w:val="bottom"/>
            <w:hideMark/>
          </w:tcPr>
          <w:p w14:paraId="7E33463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101ACB7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6EFC28F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0,51</w:t>
            </w:r>
          </w:p>
        </w:tc>
      </w:tr>
      <w:tr w:rsidR="00B56301" w:rsidRPr="002C68EA" w14:paraId="656255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71EE3D1" w14:textId="4EAC9E29"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D.</w:t>
            </w:r>
            <w:r w:rsidR="00260E0B">
              <w:rPr>
                <w:rFonts w:asciiTheme="minorHAnsi" w:hAnsiTheme="minorHAnsi"/>
                <w:sz w:val="14"/>
                <w:szCs w:val="16"/>
              </w:rPr>
              <w:t xml:space="preserve"> </w:t>
            </w:r>
            <w:r w:rsidRPr="000157EE">
              <w:rPr>
                <w:rFonts w:asciiTheme="minorHAnsi" w:hAnsiTheme="minorHAnsi"/>
                <w:sz w:val="14"/>
                <w:szCs w:val="16"/>
              </w:rPr>
              <w:t>Wetlands</w:t>
            </w:r>
          </w:p>
        </w:tc>
        <w:tc>
          <w:tcPr>
            <w:tcW w:w="992" w:type="dxa"/>
            <w:tcBorders>
              <w:top w:val="nil"/>
              <w:left w:val="nil"/>
              <w:bottom w:val="single" w:sz="4" w:space="0" w:color="auto"/>
              <w:right w:val="single" w:sz="4" w:space="0" w:color="auto"/>
            </w:tcBorders>
            <w:shd w:val="clear" w:color="000000" w:fill="FFFFFF"/>
            <w:noWrap/>
            <w:vAlign w:val="bottom"/>
            <w:hideMark/>
          </w:tcPr>
          <w:p w14:paraId="6716970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8ABBF2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FD21BE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A86599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27F7C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598C2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0,00</w:t>
            </w:r>
          </w:p>
        </w:tc>
      </w:tr>
      <w:tr w:rsidR="00B56301" w:rsidRPr="002C68EA" w14:paraId="1D8905D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86BD682" w14:textId="4F3C7165"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E.</w:t>
            </w:r>
            <w:r w:rsidR="00260E0B">
              <w:rPr>
                <w:rFonts w:asciiTheme="minorHAnsi" w:hAnsiTheme="minorHAnsi"/>
                <w:sz w:val="14"/>
                <w:szCs w:val="16"/>
              </w:rPr>
              <w:t xml:space="preserve"> </w:t>
            </w:r>
            <w:r w:rsidRPr="000157EE">
              <w:rPr>
                <w:rFonts w:asciiTheme="minorHAnsi" w:hAnsiTheme="minorHAnsi"/>
                <w:sz w:val="14"/>
                <w:szCs w:val="16"/>
              </w:rPr>
              <w:t xml:space="preserve">Settlements </w:t>
            </w:r>
          </w:p>
        </w:tc>
        <w:tc>
          <w:tcPr>
            <w:tcW w:w="992" w:type="dxa"/>
            <w:tcBorders>
              <w:top w:val="nil"/>
              <w:left w:val="nil"/>
              <w:bottom w:val="single" w:sz="4" w:space="0" w:color="auto"/>
              <w:right w:val="single" w:sz="4" w:space="0" w:color="auto"/>
            </w:tcBorders>
            <w:shd w:val="clear" w:color="000000" w:fill="FFFFFF"/>
            <w:noWrap/>
            <w:vAlign w:val="bottom"/>
            <w:hideMark/>
          </w:tcPr>
          <w:p w14:paraId="2C10DD3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1E0281D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613BAAD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1,99</w:t>
            </w:r>
          </w:p>
        </w:tc>
        <w:tc>
          <w:tcPr>
            <w:tcW w:w="992" w:type="dxa"/>
            <w:tcBorders>
              <w:top w:val="nil"/>
              <w:left w:val="nil"/>
              <w:bottom w:val="single" w:sz="4" w:space="0" w:color="auto"/>
              <w:right w:val="single" w:sz="4" w:space="0" w:color="auto"/>
            </w:tcBorders>
            <w:shd w:val="clear" w:color="000000" w:fill="FFFFFF"/>
            <w:noWrap/>
            <w:vAlign w:val="bottom"/>
            <w:hideMark/>
          </w:tcPr>
          <w:p w14:paraId="4915A12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2,00</w:t>
            </w:r>
          </w:p>
        </w:tc>
        <w:tc>
          <w:tcPr>
            <w:tcW w:w="992" w:type="dxa"/>
            <w:tcBorders>
              <w:top w:val="nil"/>
              <w:left w:val="nil"/>
              <w:bottom w:val="single" w:sz="4" w:space="0" w:color="auto"/>
              <w:right w:val="single" w:sz="4" w:space="0" w:color="auto"/>
            </w:tcBorders>
            <w:shd w:val="clear" w:color="000000" w:fill="FFFFFF"/>
            <w:noWrap/>
            <w:vAlign w:val="bottom"/>
            <w:hideMark/>
          </w:tcPr>
          <w:p w14:paraId="5DD3D44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2,02</w:t>
            </w:r>
          </w:p>
        </w:tc>
        <w:tc>
          <w:tcPr>
            <w:tcW w:w="992" w:type="dxa"/>
            <w:tcBorders>
              <w:top w:val="nil"/>
              <w:left w:val="nil"/>
              <w:bottom w:val="single" w:sz="4" w:space="0" w:color="auto"/>
              <w:right w:val="single" w:sz="4" w:space="0" w:color="auto"/>
            </w:tcBorders>
            <w:shd w:val="clear" w:color="000000" w:fill="FFFFFF"/>
            <w:noWrap/>
            <w:vAlign w:val="bottom"/>
            <w:hideMark/>
          </w:tcPr>
          <w:p w14:paraId="22832E0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2,04</w:t>
            </w:r>
          </w:p>
        </w:tc>
      </w:tr>
      <w:tr w:rsidR="00B56301" w:rsidRPr="002C68EA" w14:paraId="28936E3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CB25117" w14:textId="5CD71C1C"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F.</w:t>
            </w:r>
            <w:r w:rsidR="00260E0B">
              <w:rPr>
                <w:rFonts w:asciiTheme="minorHAnsi" w:hAnsiTheme="minorHAnsi"/>
                <w:sz w:val="14"/>
                <w:szCs w:val="16"/>
              </w:rPr>
              <w:t xml:space="preserve"> </w:t>
            </w:r>
            <w:r w:rsidRPr="000157EE">
              <w:rPr>
                <w:rFonts w:asciiTheme="minorHAnsi" w:hAnsiTheme="minorHAnsi"/>
                <w:sz w:val="14"/>
                <w:szCs w:val="16"/>
              </w:rPr>
              <w:t>Other land</w:t>
            </w:r>
          </w:p>
        </w:tc>
        <w:tc>
          <w:tcPr>
            <w:tcW w:w="992" w:type="dxa"/>
            <w:tcBorders>
              <w:top w:val="nil"/>
              <w:left w:val="nil"/>
              <w:bottom w:val="single" w:sz="4" w:space="0" w:color="auto"/>
              <w:right w:val="single" w:sz="4" w:space="0" w:color="auto"/>
            </w:tcBorders>
            <w:shd w:val="clear" w:color="000000" w:fill="FFFFFF"/>
            <w:noWrap/>
            <w:vAlign w:val="bottom"/>
            <w:hideMark/>
          </w:tcPr>
          <w:p w14:paraId="4FDDB17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6EE722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49E446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6B2A4B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E64F78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127834E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r>
      <w:tr w:rsidR="00B56301" w:rsidRPr="002C68EA" w14:paraId="6D303EF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AF8396E" w14:textId="435E5801"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G.</w:t>
            </w:r>
            <w:r w:rsidR="00260E0B">
              <w:rPr>
                <w:rFonts w:asciiTheme="minorHAnsi" w:hAnsiTheme="minorHAnsi"/>
                <w:sz w:val="14"/>
                <w:szCs w:val="16"/>
              </w:rPr>
              <w:t xml:space="preserve"> </w:t>
            </w:r>
            <w:r w:rsidRPr="000157EE">
              <w:rPr>
                <w:rFonts w:asciiTheme="minorHAnsi" w:hAnsiTheme="minorHAnsi"/>
                <w:sz w:val="14"/>
                <w:szCs w:val="16"/>
              </w:rPr>
              <w:t>Harvested wood products</w:t>
            </w:r>
          </w:p>
        </w:tc>
        <w:tc>
          <w:tcPr>
            <w:tcW w:w="992" w:type="dxa"/>
            <w:tcBorders>
              <w:top w:val="nil"/>
              <w:left w:val="nil"/>
              <w:bottom w:val="single" w:sz="4" w:space="0" w:color="auto"/>
              <w:right w:val="single" w:sz="4" w:space="0" w:color="auto"/>
            </w:tcBorders>
            <w:shd w:val="clear" w:color="000000" w:fill="969696"/>
            <w:noWrap/>
            <w:vAlign w:val="bottom"/>
            <w:hideMark/>
          </w:tcPr>
          <w:p w14:paraId="5FBFF7B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28E2D1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365E6B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750B5E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E5F13F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08DDBA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171FD2F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EBF3B3" w14:textId="60F078B5"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H.</w:t>
            </w:r>
            <w:r w:rsidR="00260E0B">
              <w:rPr>
                <w:rFonts w:asciiTheme="minorHAnsi" w:hAnsiTheme="minorHAnsi"/>
                <w:sz w:val="14"/>
                <w:szCs w:val="16"/>
              </w:rPr>
              <w:t xml:space="preserve"> </w:t>
            </w:r>
            <w:r w:rsidRPr="000157EE">
              <w:rPr>
                <w:rFonts w:asciiTheme="minorHAnsi" w:hAnsiTheme="minorHAnsi"/>
                <w:sz w:val="14"/>
                <w:szCs w:val="16"/>
              </w:rPr>
              <w:t>Other</w:t>
            </w:r>
            <w:r w:rsidR="00260E0B">
              <w:rPr>
                <w:rFonts w:asciiTheme="minorHAnsi" w:hAnsiTheme="minorHAnsi"/>
                <w:sz w:val="14"/>
                <w:szCs w:val="16"/>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6CF10AF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763DB58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386B327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037B373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2902708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c>
          <w:tcPr>
            <w:tcW w:w="992" w:type="dxa"/>
            <w:tcBorders>
              <w:top w:val="nil"/>
              <w:left w:val="nil"/>
              <w:bottom w:val="single" w:sz="4" w:space="0" w:color="auto"/>
              <w:right w:val="single" w:sz="4" w:space="0" w:color="auto"/>
            </w:tcBorders>
            <w:shd w:val="clear" w:color="000000" w:fill="FFFFFF"/>
            <w:noWrap/>
            <w:vAlign w:val="bottom"/>
            <w:hideMark/>
          </w:tcPr>
          <w:p w14:paraId="5DA4D22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NA</w:t>
            </w:r>
          </w:p>
        </w:tc>
      </w:tr>
      <w:tr w:rsidR="00B56301" w:rsidRPr="002C68EA" w14:paraId="6F3CB5B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AED975D" w14:textId="04539CD6"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5.</w:t>
            </w:r>
            <w:r w:rsidR="00260E0B">
              <w:rPr>
                <w:rFonts w:asciiTheme="minorHAnsi" w:hAnsiTheme="minorHAnsi"/>
                <w:b/>
                <w:bCs/>
                <w:sz w:val="14"/>
                <w:szCs w:val="16"/>
              </w:rPr>
              <w:t xml:space="preserve"> </w:t>
            </w:r>
            <w:r w:rsidRPr="000157EE">
              <w:rPr>
                <w:rFonts w:asciiTheme="minorHAnsi" w:hAnsiTheme="minorHAnsi"/>
                <w:b/>
                <w:bCs/>
                <w:sz w:val="14"/>
                <w:szCs w:val="16"/>
              </w:rPr>
              <w:t>Waste</w:t>
            </w:r>
          </w:p>
        </w:tc>
        <w:tc>
          <w:tcPr>
            <w:tcW w:w="992" w:type="dxa"/>
            <w:tcBorders>
              <w:top w:val="nil"/>
              <w:left w:val="nil"/>
              <w:bottom w:val="single" w:sz="4" w:space="0" w:color="auto"/>
              <w:right w:val="single" w:sz="4" w:space="0" w:color="auto"/>
            </w:tcBorders>
            <w:shd w:val="clear" w:color="000000" w:fill="CCFFFF"/>
            <w:noWrap/>
            <w:vAlign w:val="bottom"/>
            <w:hideMark/>
          </w:tcPr>
          <w:p w14:paraId="47D49CC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2,59</w:t>
            </w:r>
          </w:p>
        </w:tc>
        <w:tc>
          <w:tcPr>
            <w:tcW w:w="992" w:type="dxa"/>
            <w:tcBorders>
              <w:top w:val="nil"/>
              <w:left w:val="nil"/>
              <w:bottom w:val="single" w:sz="4" w:space="0" w:color="auto"/>
              <w:right w:val="single" w:sz="4" w:space="0" w:color="auto"/>
            </w:tcBorders>
            <w:shd w:val="clear" w:color="000000" w:fill="CCFFFF"/>
            <w:noWrap/>
            <w:vAlign w:val="bottom"/>
            <w:hideMark/>
          </w:tcPr>
          <w:p w14:paraId="428E8D6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2,59</w:t>
            </w:r>
          </w:p>
        </w:tc>
        <w:tc>
          <w:tcPr>
            <w:tcW w:w="992" w:type="dxa"/>
            <w:tcBorders>
              <w:top w:val="nil"/>
              <w:left w:val="nil"/>
              <w:bottom w:val="single" w:sz="4" w:space="0" w:color="auto"/>
              <w:right w:val="single" w:sz="4" w:space="0" w:color="auto"/>
            </w:tcBorders>
            <w:shd w:val="clear" w:color="000000" w:fill="CCFFFF"/>
            <w:noWrap/>
            <w:vAlign w:val="bottom"/>
            <w:hideMark/>
          </w:tcPr>
          <w:p w14:paraId="71D27FF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2,65</w:t>
            </w:r>
          </w:p>
        </w:tc>
        <w:tc>
          <w:tcPr>
            <w:tcW w:w="992" w:type="dxa"/>
            <w:tcBorders>
              <w:top w:val="nil"/>
              <w:left w:val="nil"/>
              <w:bottom w:val="single" w:sz="4" w:space="0" w:color="auto"/>
              <w:right w:val="single" w:sz="4" w:space="0" w:color="auto"/>
            </w:tcBorders>
            <w:shd w:val="clear" w:color="000000" w:fill="CCFFFF"/>
            <w:noWrap/>
            <w:vAlign w:val="bottom"/>
            <w:hideMark/>
          </w:tcPr>
          <w:p w14:paraId="33848D7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2,63</w:t>
            </w:r>
          </w:p>
        </w:tc>
        <w:tc>
          <w:tcPr>
            <w:tcW w:w="992" w:type="dxa"/>
            <w:tcBorders>
              <w:top w:val="nil"/>
              <w:left w:val="nil"/>
              <w:bottom w:val="single" w:sz="4" w:space="0" w:color="auto"/>
              <w:right w:val="single" w:sz="4" w:space="0" w:color="auto"/>
            </w:tcBorders>
            <w:shd w:val="clear" w:color="000000" w:fill="CCFFFF"/>
            <w:noWrap/>
            <w:vAlign w:val="bottom"/>
            <w:hideMark/>
          </w:tcPr>
          <w:p w14:paraId="7F32BFA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2,63</w:t>
            </w:r>
          </w:p>
        </w:tc>
        <w:tc>
          <w:tcPr>
            <w:tcW w:w="992" w:type="dxa"/>
            <w:tcBorders>
              <w:top w:val="nil"/>
              <w:left w:val="nil"/>
              <w:bottom w:val="single" w:sz="4" w:space="0" w:color="auto"/>
              <w:right w:val="single" w:sz="4" w:space="0" w:color="auto"/>
            </w:tcBorders>
            <w:shd w:val="clear" w:color="000000" w:fill="CCFFFF"/>
            <w:noWrap/>
            <w:vAlign w:val="bottom"/>
            <w:hideMark/>
          </w:tcPr>
          <w:p w14:paraId="58EF4BD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2,64</w:t>
            </w:r>
          </w:p>
        </w:tc>
      </w:tr>
      <w:tr w:rsidR="00B56301" w:rsidRPr="002C68EA" w14:paraId="584E6FD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713318E" w14:textId="16B4727F"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A.</w:t>
            </w:r>
            <w:r w:rsidR="00260E0B">
              <w:rPr>
                <w:rFonts w:asciiTheme="minorHAnsi" w:hAnsiTheme="minorHAnsi"/>
                <w:sz w:val="14"/>
                <w:szCs w:val="16"/>
              </w:rPr>
              <w:t xml:space="preserve"> </w:t>
            </w:r>
            <w:r w:rsidRPr="000157EE">
              <w:rPr>
                <w:rFonts w:asciiTheme="minorHAnsi" w:hAnsiTheme="minorHAnsi"/>
                <w:sz w:val="14"/>
                <w:szCs w:val="16"/>
              </w:rPr>
              <w:t>Solid waste disposal</w:t>
            </w:r>
            <w:r w:rsidRPr="000157EE">
              <w:rPr>
                <w:rFonts w:asciiTheme="minorHAnsi" w:hAnsiTheme="minorHAnsi"/>
                <w:b/>
                <w:bCs/>
                <w:sz w:val="14"/>
                <w:szCs w:val="16"/>
              </w:rPr>
              <w:t xml:space="preserve"> </w:t>
            </w:r>
          </w:p>
        </w:tc>
        <w:tc>
          <w:tcPr>
            <w:tcW w:w="992" w:type="dxa"/>
            <w:tcBorders>
              <w:top w:val="nil"/>
              <w:left w:val="nil"/>
              <w:bottom w:val="single" w:sz="4" w:space="0" w:color="auto"/>
              <w:right w:val="single" w:sz="4" w:space="0" w:color="auto"/>
            </w:tcBorders>
            <w:shd w:val="clear" w:color="000000" w:fill="969696"/>
            <w:noWrap/>
            <w:vAlign w:val="bottom"/>
            <w:hideMark/>
          </w:tcPr>
          <w:p w14:paraId="0660B79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76F7BF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AF2717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1F8B74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D9CFE9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ADF6C6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520588C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24EBA2" w14:textId="239920D2"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B.</w:t>
            </w:r>
            <w:r w:rsidR="00260E0B">
              <w:rPr>
                <w:rFonts w:asciiTheme="minorHAnsi" w:hAnsiTheme="minorHAnsi"/>
                <w:sz w:val="14"/>
                <w:szCs w:val="16"/>
                <w:lang w:val="en-GB"/>
              </w:rPr>
              <w:t xml:space="preserve"> </w:t>
            </w:r>
            <w:r w:rsidRPr="000157EE">
              <w:rPr>
                <w:rFonts w:asciiTheme="minorHAnsi" w:hAnsiTheme="minorHAnsi"/>
                <w:sz w:val="14"/>
                <w:szCs w:val="16"/>
                <w:lang w:val="en-GB"/>
              </w:rPr>
              <w:t>Biological treatment of solid waste</w:t>
            </w:r>
          </w:p>
        </w:tc>
        <w:tc>
          <w:tcPr>
            <w:tcW w:w="992" w:type="dxa"/>
            <w:tcBorders>
              <w:top w:val="nil"/>
              <w:left w:val="nil"/>
              <w:bottom w:val="single" w:sz="4" w:space="0" w:color="auto"/>
              <w:right w:val="single" w:sz="4" w:space="0" w:color="auto"/>
            </w:tcBorders>
            <w:shd w:val="clear" w:color="000000" w:fill="FFFFFF"/>
            <w:noWrap/>
            <w:vAlign w:val="bottom"/>
            <w:hideMark/>
          </w:tcPr>
          <w:p w14:paraId="27709AF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25F5CBE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619C0C0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3A870BD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69DEFF8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2AFD49D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0,19</w:t>
            </w:r>
          </w:p>
        </w:tc>
      </w:tr>
      <w:tr w:rsidR="00B56301" w:rsidRPr="002C68EA" w14:paraId="2F20F7A7"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95C25F0" w14:textId="448CD1FC"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C.</w:t>
            </w:r>
            <w:r w:rsidR="00260E0B">
              <w:rPr>
                <w:rFonts w:asciiTheme="minorHAnsi" w:hAnsiTheme="minorHAnsi"/>
                <w:sz w:val="14"/>
                <w:szCs w:val="16"/>
                <w:lang w:val="en-GB"/>
              </w:rPr>
              <w:t xml:space="preserve"> </w:t>
            </w:r>
            <w:r w:rsidRPr="000157EE">
              <w:rPr>
                <w:rFonts w:asciiTheme="minorHAnsi" w:hAnsiTheme="minorHAnsi"/>
                <w:sz w:val="14"/>
                <w:szCs w:val="16"/>
                <w:lang w:val="en-GB"/>
              </w:rPr>
              <w:t>Incineration and open burning of waste</w:t>
            </w:r>
          </w:p>
        </w:tc>
        <w:tc>
          <w:tcPr>
            <w:tcW w:w="992" w:type="dxa"/>
            <w:tcBorders>
              <w:top w:val="nil"/>
              <w:left w:val="nil"/>
              <w:bottom w:val="single" w:sz="4" w:space="0" w:color="auto"/>
              <w:right w:val="single" w:sz="4" w:space="0" w:color="auto"/>
            </w:tcBorders>
            <w:shd w:val="clear" w:color="000000" w:fill="FFFFFF"/>
            <w:noWrap/>
            <w:vAlign w:val="bottom"/>
            <w:hideMark/>
          </w:tcPr>
          <w:p w14:paraId="1F28292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0,50</w:t>
            </w:r>
          </w:p>
        </w:tc>
        <w:tc>
          <w:tcPr>
            <w:tcW w:w="992" w:type="dxa"/>
            <w:tcBorders>
              <w:top w:val="nil"/>
              <w:left w:val="nil"/>
              <w:bottom w:val="single" w:sz="4" w:space="0" w:color="auto"/>
              <w:right w:val="single" w:sz="4" w:space="0" w:color="auto"/>
            </w:tcBorders>
            <w:shd w:val="clear" w:color="000000" w:fill="FFFFFF"/>
            <w:noWrap/>
            <w:vAlign w:val="bottom"/>
            <w:hideMark/>
          </w:tcPr>
          <w:p w14:paraId="62BF832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0,50</w:t>
            </w:r>
          </w:p>
        </w:tc>
        <w:tc>
          <w:tcPr>
            <w:tcW w:w="992" w:type="dxa"/>
            <w:tcBorders>
              <w:top w:val="nil"/>
              <w:left w:val="nil"/>
              <w:bottom w:val="single" w:sz="4" w:space="0" w:color="auto"/>
              <w:right w:val="single" w:sz="4" w:space="0" w:color="auto"/>
            </w:tcBorders>
            <w:shd w:val="clear" w:color="000000" w:fill="FFFFFF"/>
            <w:noWrap/>
            <w:vAlign w:val="bottom"/>
            <w:hideMark/>
          </w:tcPr>
          <w:p w14:paraId="68173BA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E58FA6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168BB8E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0941748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0,52</w:t>
            </w:r>
          </w:p>
        </w:tc>
      </w:tr>
      <w:tr w:rsidR="00B56301" w:rsidRPr="002C68EA" w14:paraId="31C4A3D5"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EC97E83" w14:textId="69608524" w:rsidR="00B56301" w:rsidRPr="000157EE" w:rsidRDefault="00B56301" w:rsidP="00B37B65">
            <w:pPr>
              <w:ind w:firstLineChars="200" w:firstLine="280"/>
              <w:jc w:val="left"/>
              <w:rPr>
                <w:rFonts w:asciiTheme="minorHAnsi" w:hAnsiTheme="minorHAnsi"/>
                <w:sz w:val="14"/>
                <w:szCs w:val="16"/>
                <w:lang w:val="en-GB"/>
              </w:rPr>
            </w:pPr>
            <w:r w:rsidRPr="000157EE">
              <w:rPr>
                <w:rFonts w:asciiTheme="minorHAnsi" w:hAnsiTheme="minorHAnsi"/>
                <w:sz w:val="14"/>
                <w:szCs w:val="16"/>
                <w:lang w:val="en-GB"/>
              </w:rPr>
              <w:t>D.</w:t>
            </w:r>
            <w:r w:rsidR="00260E0B">
              <w:rPr>
                <w:rFonts w:asciiTheme="minorHAnsi" w:hAnsiTheme="minorHAnsi"/>
                <w:sz w:val="14"/>
                <w:szCs w:val="16"/>
                <w:lang w:val="en-GB"/>
              </w:rPr>
              <w:t xml:space="preserve"> </w:t>
            </w:r>
            <w:r w:rsidRPr="000157EE">
              <w:rPr>
                <w:rFonts w:asciiTheme="minorHAnsi" w:hAnsiTheme="minorHAnsi"/>
                <w:sz w:val="14"/>
                <w:szCs w:val="16"/>
                <w:lang w:val="en-GB"/>
              </w:rPr>
              <w:t>Waste water treatment and discharge</w:t>
            </w:r>
          </w:p>
        </w:tc>
        <w:tc>
          <w:tcPr>
            <w:tcW w:w="992" w:type="dxa"/>
            <w:tcBorders>
              <w:top w:val="nil"/>
              <w:left w:val="nil"/>
              <w:bottom w:val="single" w:sz="4" w:space="0" w:color="auto"/>
              <w:right w:val="single" w:sz="4" w:space="0" w:color="auto"/>
            </w:tcBorders>
            <w:shd w:val="clear" w:color="000000" w:fill="FFFFFF"/>
            <w:noWrap/>
            <w:vAlign w:val="bottom"/>
            <w:hideMark/>
          </w:tcPr>
          <w:p w14:paraId="33072DF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1,92</w:t>
            </w:r>
          </w:p>
        </w:tc>
        <w:tc>
          <w:tcPr>
            <w:tcW w:w="992" w:type="dxa"/>
            <w:tcBorders>
              <w:top w:val="nil"/>
              <w:left w:val="nil"/>
              <w:bottom w:val="single" w:sz="4" w:space="0" w:color="auto"/>
              <w:right w:val="single" w:sz="4" w:space="0" w:color="auto"/>
            </w:tcBorders>
            <w:shd w:val="clear" w:color="000000" w:fill="FFFFFF"/>
            <w:noWrap/>
            <w:vAlign w:val="bottom"/>
            <w:hideMark/>
          </w:tcPr>
          <w:p w14:paraId="357A8C4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1,92</w:t>
            </w:r>
          </w:p>
        </w:tc>
        <w:tc>
          <w:tcPr>
            <w:tcW w:w="992" w:type="dxa"/>
            <w:tcBorders>
              <w:top w:val="nil"/>
              <w:left w:val="nil"/>
              <w:bottom w:val="single" w:sz="4" w:space="0" w:color="auto"/>
              <w:right w:val="single" w:sz="4" w:space="0" w:color="auto"/>
            </w:tcBorders>
            <w:shd w:val="clear" w:color="000000" w:fill="FFFFFF"/>
            <w:noWrap/>
            <w:vAlign w:val="bottom"/>
            <w:hideMark/>
          </w:tcPr>
          <w:p w14:paraId="396396A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1,97</w:t>
            </w:r>
          </w:p>
        </w:tc>
        <w:tc>
          <w:tcPr>
            <w:tcW w:w="992" w:type="dxa"/>
            <w:tcBorders>
              <w:top w:val="nil"/>
              <w:left w:val="nil"/>
              <w:bottom w:val="single" w:sz="4" w:space="0" w:color="auto"/>
              <w:right w:val="single" w:sz="4" w:space="0" w:color="auto"/>
            </w:tcBorders>
            <w:shd w:val="clear" w:color="000000" w:fill="FFFFFF"/>
            <w:noWrap/>
            <w:vAlign w:val="bottom"/>
            <w:hideMark/>
          </w:tcPr>
          <w:p w14:paraId="3C97FE0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1,94</w:t>
            </w:r>
          </w:p>
        </w:tc>
        <w:tc>
          <w:tcPr>
            <w:tcW w:w="992" w:type="dxa"/>
            <w:tcBorders>
              <w:top w:val="nil"/>
              <w:left w:val="nil"/>
              <w:bottom w:val="single" w:sz="4" w:space="0" w:color="auto"/>
              <w:right w:val="single" w:sz="4" w:space="0" w:color="auto"/>
            </w:tcBorders>
            <w:shd w:val="clear" w:color="000000" w:fill="FFFFFF"/>
            <w:noWrap/>
            <w:vAlign w:val="bottom"/>
            <w:hideMark/>
          </w:tcPr>
          <w:p w14:paraId="2DF93F9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1,93</w:t>
            </w:r>
          </w:p>
        </w:tc>
        <w:tc>
          <w:tcPr>
            <w:tcW w:w="992" w:type="dxa"/>
            <w:tcBorders>
              <w:top w:val="nil"/>
              <w:left w:val="nil"/>
              <w:bottom w:val="single" w:sz="4" w:space="0" w:color="auto"/>
              <w:right w:val="single" w:sz="4" w:space="0" w:color="auto"/>
            </w:tcBorders>
            <w:shd w:val="clear" w:color="000000" w:fill="FFFFFF"/>
            <w:noWrap/>
            <w:vAlign w:val="bottom"/>
            <w:hideMark/>
          </w:tcPr>
          <w:p w14:paraId="4E085C2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1,92</w:t>
            </w:r>
          </w:p>
        </w:tc>
      </w:tr>
      <w:tr w:rsidR="00B56301" w:rsidRPr="002C68EA" w14:paraId="65C515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FCDDD6C" w14:textId="36E092B1" w:rsidR="00B56301" w:rsidRPr="000157EE" w:rsidRDefault="00B56301" w:rsidP="00B37B65">
            <w:pPr>
              <w:ind w:firstLineChars="200" w:firstLine="280"/>
              <w:jc w:val="left"/>
              <w:rPr>
                <w:rFonts w:asciiTheme="minorHAnsi" w:hAnsiTheme="minorHAnsi"/>
                <w:sz w:val="14"/>
                <w:szCs w:val="16"/>
              </w:rPr>
            </w:pPr>
            <w:r w:rsidRPr="000157EE">
              <w:rPr>
                <w:rFonts w:asciiTheme="minorHAnsi" w:hAnsiTheme="minorHAnsi"/>
                <w:sz w:val="14"/>
                <w:szCs w:val="16"/>
              </w:rPr>
              <w:t>E.</w:t>
            </w:r>
            <w:r w:rsidR="00260E0B">
              <w:rPr>
                <w:rFonts w:asciiTheme="minorHAnsi" w:hAnsiTheme="minorHAnsi"/>
                <w:sz w:val="14"/>
                <w:szCs w:val="16"/>
              </w:rPr>
              <w:t xml:space="preserve"> </w:t>
            </w:r>
            <w:r w:rsidRPr="000157EE">
              <w:rPr>
                <w:rFonts w:asciiTheme="minorHAnsi" w:hAnsiTheme="minorHAnsi"/>
                <w:sz w:val="14"/>
                <w:szCs w:val="16"/>
              </w:rPr>
              <w:t>Other</w:t>
            </w:r>
            <w:r w:rsidRPr="000157EE">
              <w:rPr>
                <w:rFonts w:asciiTheme="minorHAnsi" w:hAnsiTheme="minorHAnsi"/>
                <w:b/>
                <w:bCs/>
                <w:i/>
                <w:iCs/>
                <w:sz w:val="14"/>
                <w:szCs w:val="16"/>
              </w:rPr>
              <w:t xml:space="preserve"> </w:t>
            </w:r>
          </w:p>
        </w:tc>
        <w:tc>
          <w:tcPr>
            <w:tcW w:w="992" w:type="dxa"/>
            <w:tcBorders>
              <w:top w:val="nil"/>
              <w:left w:val="nil"/>
              <w:bottom w:val="single" w:sz="4" w:space="0" w:color="auto"/>
              <w:right w:val="single" w:sz="4" w:space="0" w:color="auto"/>
            </w:tcBorders>
            <w:shd w:val="clear" w:color="000000" w:fill="FFFFFF"/>
            <w:noWrap/>
            <w:vAlign w:val="bottom"/>
            <w:hideMark/>
          </w:tcPr>
          <w:p w14:paraId="77B4572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C80EBC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58E2258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6C5BB7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1AB6FE1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FFFFFF"/>
            <w:noWrap/>
            <w:vAlign w:val="bottom"/>
            <w:hideMark/>
          </w:tcPr>
          <w:p w14:paraId="793E4AB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r>
      <w:tr w:rsidR="00B56301" w:rsidRPr="002C68EA" w14:paraId="770D295D"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CBA470" w14:textId="60685742" w:rsidR="00B56301" w:rsidRPr="000157EE" w:rsidRDefault="00B56301" w:rsidP="00B37B65">
            <w:pPr>
              <w:jc w:val="left"/>
              <w:rPr>
                <w:rFonts w:asciiTheme="minorHAnsi" w:hAnsiTheme="minorHAnsi"/>
                <w:b/>
                <w:bCs/>
                <w:sz w:val="14"/>
                <w:szCs w:val="16"/>
                <w:lang w:val="en-GB"/>
              </w:rPr>
            </w:pPr>
            <w:r w:rsidRPr="000157EE">
              <w:rPr>
                <w:rFonts w:asciiTheme="minorHAnsi" w:hAnsiTheme="minorHAnsi"/>
                <w:b/>
                <w:bCs/>
                <w:sz w:val="14"/>
                <w:szCs w:val="16"/>
                <w:lang w:val="en-GB"/>
              </w:rPr>
              <w:t>6.</w:t>
            </w:r>
            <w:r w:rsidR="00260E0B">
              <w:rPr>
                <w:rFonts w:asciiTheme="minorHAnsi" w:hAnsiTheme="minorHAnsi"/>
                <w:b/>
                <w:bCs/>
                <w:sz w:val="14"/>
                <w:szCs w:val="16"/>
                <w:lang w:val="en-GB"/>
              </w:rPr>
              <w:t xml:space="preserve"> </w:t>
            </w:r>
            <w:r w:rsidRPr="000157EE">
              <w:rPr>
                <w:rFonts w:asciiTheme="minorHAnsi" w:hAnsiTheme="minorHAnsi"/>
                <w:b/>
                <w:bCs/>
                <w:sz w:val="14"/>
                <w:szCs w:val="16"/>
                <w:lang w:val="en-GB"/>
              </w:rPr>
              <w:t xml:space="preserve">Other </w:t>
            </w:r>
            <w:r w:rsidRPr="000157EE">
              <w:rPr>
                <w:rFonts w:asciiTheme="minorHAnsi" w:hAnsiTheme="minorHAnsi"/>
                <w:b/>
                <w:bCs/>
                <w:i/>
                <w:iCs/>
                <w:sz w:val="14"/>
                <w:szCs w:val="16"/>
                <w:lang w:val="en-GB"/>
              </w:rPr>
              <w:t>(as specified in summary 1.A)</w:t>
            </w:r>
          </w:p>
        </w:tc>
        <w:tc>
          <w:tcPr>
            <w:tcW w:w="992" w:type="dxa"/>
            <w:tcBorders>
              <w:top w:val="nil"/>
              <w:left w:val="nil"/>
              <w:bottom w:val="single" w:sz="4" w:space="0" w:color="auto"/>
              <w:right w:val="single" w:sz="4" w:space="0" w:color="auto"/>
            </w:tcBorders>
            <w:shd w:val="clear" w:color="000000" w:fill="CCFFFF"/>
            <w:noWrap/>
            <w:vAlign w:val="bottom"/>
            <w:hideMark/>
          </w:tcPr>
          <w:p w14:paraId="2370452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2519318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528CB08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7A5DDBC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7DC530D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c>
          <w:tcPr>
            <w:tcW w:w="992" w:type="dxa"/>
            <w:tcBorders>
              <w:top w:val="nil"/>
              <w:left w:val="nil"/>
              <w:bottom w:val="single" w:sz="4" w:space="0" w:color="auto"/>
              <w:right w:val="single" w:sz="4" w:space="0" w:color="auto"/>
            </w:tcBorders>
            <w:shd w:val="clear" w:color="000000" w:fill="CCFFFF"/>
            <w:noWrap/>
            <w:vAlign w:val="bottom"/>
            <w:hideMark/>
          </w:tcPr>
          <w:p w14:paraId="10F08AE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w:t>
            </w:r>
          </w:p>
        </w:tc>
      </w:tr>
      <w:tr w:rsidR="00B56301" w:rsidRPr="002C68EA" w14:paraId="6F9D2EF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EF8BB23" w14:textId="066DF08D" w:rsidR="00B56301" w:rsidRPr="000157EE" w:rsidRDefault="00B56301" w:rsidP="00B37B65">
            <w:pPr>
              <w:jc w:val="left"/>
              <w:rPr>
                <w:rFonts w:asciiTheme="minorHAnsi" w:hAnsiTheme="minorHAnsi"/>
                <w:b/>
                <w:bCs/>
                <w:sz w:val="14"/>
                <w:szCs w:val="16"/>
                <w:lang w:val="en-GB"/>
              </w:rPr>
            </w:pPr>
            <w:r w:rsidRPr="000157EE">
              <w:rPr>
                <w:rFonts w:asciiTheme="minorHAnsi" w:hAnsiTheme="minorHAnsi"/>
                <w:b/>
                <w:bCs/>
                <w:sz w:val="14"/>
                <w:szCs w:val="16"/>
                <w:lang w:val="en-GB"/>
              </w:rPr>
              <w:t xml:space="preserve">Total direct </w:t>
            </w:r>
            <w:r w:rsidR="00F80CAB" w:rsidRPr="00F80CAB">
              <w:rPr>
                <w:lang w:val="en-GB"/>
              </w:rPr>
              <w:t>N</w:t>
            </w:r>
            <w:r w:rsidR="00F80CAB" w:rsidRPr="00F80CAB">
              <w:rPr>
                <w:vertAlign w:val="subscript"/>
                <w:lang w:val="en-GB"/>
              </w:rPr>
              <w:t>2</w:t>
            </w:r>
            <w:r w:rsidR="00F80CAB" w:rsidRPr="00F80CAB">
              <w:rPr>
                <w:lang w:val="en-GB"/>
              </w:rPr>
              <w:t>O</w:t>
            </w:r>
            <w:r w:rsidR="00F80CAB">
              <w:rPr>
                <w:lang w:val="en-GB"/>
              </w:rPr>
              <w:t xml:space="preserve"> </w:t>
            </w:r>
            <w:r w:rsidRPr="000157EE">
              <w:rPr>
                <w:rFonts w:asciiTheme="minorHAnsi" w:hAnsiTheme="minorHAnsi"/>
                <w:b/>
                <w:bCs/>
                <w:sz w:val="14"/>
                <w:szCs w:val="16"/>
                <w:lang w:val="en-GB"/>
              </w:rPr>
              <w:t xml:space="preserve">emissions without </w:t>
            </w:r>
            <w:r w:rsidR="00F80CAB" w:rsidRPr="00F80CAB">
              <w:rPr>
                <w:lang w:val="en-GB"/>
              </w:rPr>
              <w:t>N</w:t>
            </w:r>
            <w:r w:rsidR="00F80CAB" w:rsidRPr="00F80CAB">
              <w:rPr>
                <w:vertAlign w:val="subscript"/>
                <w:lang w:val="en-GB"/>
              </w:rPr>
              <w:t>2</w:t>
            </w:r>
            <w:r w:rsidR="00F80CAB" w:rsidRPr="00F80CAB">
              <w:rPr>
                <w:lang w:val="en-GB"/>
              </w:rPr>
              <w:t>O</w:t>
            </w:r>
            <w:r w:rsidR="00F80CAB">
              <w:rPr>
                <w:lang w:val="en-GB"/>
              </w:rPr>
              <w:t xml:space="preserve"> </w:t>
            </w:r>
            <w:r w:rsidRPr="000157EE">
              <w:rPr>
                <w:rFonts w:asciiTheme="minorHAnsi" w:hAnsiTheme="minorHAnsi"/>
                <w:b/>
                <w:bCs/>
                <w:sz w:val="14"/>
                <w:szCs w:val="16"/>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7300C5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217,20</w:t>
            </w:r>
          </w:p>
        </w:tc>
        <w:tc>
          <w:tcPr>
            <w:tcW w:w="992" w:type="dxa"/>
            <w:tcBorders>
              <w:top w:val="nil"/>
              <w:left w:val="nil"/>
              <w:bottom w:val="single" w:sz="4" w:space="0" w:color="auto"/>
              <w:right w:val="single" w:sz="4" w:space="0" w:color="auto"/>
            </w:tcBorders>
            <w:shd w:val="clear" w:color="000000" w:fill="CCFFFF"/>
            <w:noWrap/>
            <w:vAlign w:val="bottom"/>
            <w:hideMark/>
          </w:tcPr>
          <w:p w14:paraId="49569BF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217,20</w:t>
            </w:r>
          </w:p>
        </w:tc>
        <w:tc>
          <w:tcPr>
            <w:tcW w:w="992" w:type="dxa"/>
            <w:tcBorders>
              <w:top w:val="nil"/>
              <w:left w:val="nil"/>
              <w:bottom w:val="single" w:sz="4" w:space="0" w:color="auto"/>
              <w:right w:val="single" w:sz="4" w:space="0" w:color="auto"/>
            </w:tcBorders>
            <w:shd w:val="clear" w:color="000000" w:fill="CCFFFF"/>
            <w:noWrap/>
            <w:vAlign w:val="bottom"/>
            <w:hideMark/>
          </w:tcPr>
          <w:p w14:paraId="1AAACA5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219,18</w:t>
            </w:r>
          </w:p>
        </w:tc>
        <w:tc>
          <w:tcPr>
            <w:tcW w:w="992" w:type="dxa"/>
            <w:tcBorders>
              <w:top w:val="nil"/>
              <w:left w:val="nil"/>
              <w:bottom w:val="single" w:sz="4" w:space="0" w:color="auto"/>
              <w:right w:val="single" w:sz="4" w:space="0" w:color="auto"/>
            </w:tcBorders>
            <w:shd w:val="clear" w:color="000000" w:fill="CCFFFF"/>
            <w:noWrap/>
            <w:vAlign w:val="bottom"/>
            <w:hideMark/>
          </w:tcPr>
          <w:p w14:paraId="25225E5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218,14</w:t>
            </w:r>
          </w:p>
        </w:tc>
        <w:tc>
          <w:tcPr>
            <w:tcW w:w="992" w:type="dxa"/>
            <w:tcBorders>
              <w:top w:val="nil"/>
              <w:left w:val="nil"/>
              <w:bottom w:val="single" w:sz="4" w:space="0" w:color="auto"/>
              <w:right w:val="single" w:sz="4" w:space="0" w:color="auto"/>
            </w:tcBorders>
            <w:shd w:val="clear" w:color="000000" w:fill="CCFFFF"/>
            <w:noWrap/>
            <w:vAlign w:val="bottom"/>
            <w:hideMark/>
          </w:tcPr>
          <w:p w14:paraId="328A733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215,65</w:t>
            </w:r>
          </w:p>
        </w:tc>
        <w:tc>
          <w:tcPr>
            <w:tcW w:w="992" w:type="dxa"/>
            <w:tcBorders>
              <w:top w:val="nil"/>
              <w:left w:val="nil"/>
              <w:bottom w:val="single" w:sz="4" w:space="0" w:color="auto"/>
              <w:right w:val="single" w:sz="4" w:space="0" w:color="auto"/>
            </w:tcBorders>
            <w:shd w:val="clear" w:color="000000" w:fill="CCFFFF"/>
            <w:noWrap/>
            <w:vAlign w:val="bottom"/>
            <w:hideMark/>
          </w:tcPr>
          <w:p w14:paraId="0473F57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216,06</w:t>
            </w:r>
          </w:p>
        </w:tc>
      </w:tr>
      <w:tr w:rsidR="00B56301" w:rsidRPr="002C68EA" w14:paraId="3785902C"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vAlign w:val="center"/>
            <w:hideMark/>
          </w:tcPr>
          <w:p w14:paraId="7C20D921" w14:textId="29CB337C" w:rsidR="00B56301" w:rsidRPr="000157EE" w:rsidRDefault="00B56301" w:rsidP="00B37B65">
            <w:pPr>
              <w:jc w:val="left"/>
              <w:rPr>
                <w:rFonts w:asciiTheme="minorHAnsi" w:hAnsiTheme="minorHAnsi"/>
                <w:b/>
                <w:bCs/>
                <w:sz w:val="14"/>
                <w:szCs w:val="16"/>
                <w:lang w:val="en-GB"/>
              </w:rPr>
            </w:pPr>
            <w:r w:rsidRPr="000157EE">
              <w:rPr>
                <w:rFonts w:asciiTheme="minorHAnsi" w:hAnsiTheme="minorHAnsi"/>
                <w:b/>
                <w:bCs/>
                <w:sz w:val="14"/>
                <w:szCs w:val="16"/>
                <w:lang w:val="en-GB"/>
              </w:rPr>
              <w:t xml:space="preserve">Total direct </w:t>
            </w:r>
            <w:r w:rsidR="00F80CAB" w:rsidRPr="00F80CAB">
              <w:rPr>
                <w:lang w:val="en-GB"/>
              </w:rPr>
              <w:t>N</w:t>
            </w:r>
            <w:r w:rsidR="00F80CAB" w:rsidRPr="00F80CAB">
              <w:rPr>
                <w:vertAlign w:val="subscript"/>
                <w:lang w:val="en-GB"/>
              </w:rPr>
              <w:t>2</w:t>
            </w:r>
            <w:r w:rsidR="00F80CAB" w:rsidRPr="00F80CAB">
              <w:rPr>
                <w:lang w:val="en-GB"/>
              </w:rPr>
              <w:t>O</w:t>
            </w:r>
            <w:r w:rsidR="00F80CAB">
              <w:rPr>
                <w:lang w:val="en-GB"/>
              </w:rPr>
              <w:t xml:space="preserve"> </w:t>
            </w:r>
            <w:r w:rsidRPr="000157EE">
              <w:rPr>
                <w:rFonts w:asciiTheme="minorHAnsi" w:hAnsiTheme="minorHAnsi"/>
                <w:b/>
                <w:bCs/>
                <w:sz w:val="14"/>
                <w:szCs w:val="16"/>
                <w:lang w:val="en-GB"/>
              </w:rPr>
              <w:t xml:space="preserve">emissions with </w:t>
            </w:r>
            <w:r w:rsidR="00F80CAB" w:rsidRPr="00F80CAB">
              <w:rPr>
                <w:lang w:val="en-GB"/>
              </w:rPr>
              <w:t>N</w:t>
            </w:r>
            <w:r w:rsidR="00F80CAB" w:rsidRPr="00F80CAB">
              <w:rPr>
                <w:vertAlign w:val="subscript"/>
                <w:lang w:val="en-GB"/>
              </w:rPr>
              <w:t>2</w:t>
            </w:r>
            <w:r w:rsidR="00F80CAB" w:rsidRPr="00F80CAB">
              <w:rPr>
                <w:lang w:val="en-GB"/>
              </w:rPr>
              <w:t>O</w:t>
            </w:r>
            <w:r w:rsidR="00F80CAB">
              <w:rPr>
                <w:lang w:val="en-GB"/>
              </w:rPr>
              <w:t xml:space="preserve"> </w:t>
            </w:r>
            <w:r w:rsidRPr="000157EE">
              <w:rPr>
                <w:rFonts w:asciiTheme="minorHAnsi" w:hAnsiTheme="minorHAnsi"/>
                <w:b/>
                <w:bCs/>
                <w:sz w:val="14"/>
                <w:szCs w:val="16"/>
                <w:lang w:val="en-GB"/>
              </w:rPr>
              <w:t>from LULUCF</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1336C7C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228,02</w:t>
            </w:r>
          </w:p>
        </w:tc>
        <w:tc>
          <w:tcPr>
            <w:tcW w:w="992" w:type="dxa"/>
            <w:tcBorders>
              <w:top w:val="nil"/>
              <w:left w:val="nil"/>
              <w:bottom w:val="single" w:sz="4" w:space="0" w:color="auto"/>
              <w:right w:val="single" w:sz="4" w:space="0" w:color="auto"/>
            </w:tcBorders>
            <w:shd w:val="clear" w:color="000000" w:fill="CCFFFF"/>
            <w:noWrap/>
            <w:vAlign w:val="bottom"/>
            <w:hideMark/>
          </w:tcPr>
          <w:p w14:paraId="379B7384"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228,02</w:t>
            </w:r>
          </w:p>
        </w:tc>
        <w:tc>
          <w:tcPr>
            <w:tcW w:w="992" w:type="dxa"/>
            <w:tcBorders>
              <w:top w:val="nil"/>
              <w:left w:val="nil"/>
              <w:bottom w:val="single" w:sz="4" w:space="0" w:color="auto"/>
              <w:right w:val="single" w:sz="4" w:space="0" w:color="auto"/>
            </w:tcBorders>
            <w:shd w:val="clear" w:color="000000" w:fill="CCFFFF"/>
            <w:noWrap/>
            <w:vAlign w:val="bottom"/>
            <w:hideMark/>
          </w:tcPr>
          <w:p w14:paraId="61AB4E5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229,92</w:t>
            </w:r>
          </w:p>
        </w:tc>
        <w:tc>
          <w:tcPr>
            <w:tcW w:w="992" w:type="dxa"/>
            <w:tcBorders>
              <w:top w:val="nil"/>
              <w:left w:val="nil"/>
              <w:bottom w:val="single" w:sz="4" w:space="0" w:color="auto"/>
              <w:right w:val="single" w:sz="4" w:space="0" w:color="auto"/>
            </w:tcBorders>
            <w:shd w:val="clear" w:color="000000" w:fill="CCFFFF"/>
            <w:noWrap/>
            <w:vAlign w:val="bottom"/>
            <w:hideMark/>
          </w:tcPr>
          <w:p w14:paraId="03E9531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229,05</w:t>
            </w:r>
          </w:p>
        </w:tc>
        <w:tc>
          <w:tcPr>
            <w:tcW w:w="992" w:type="dxa"/>
            <w:tcBorders>
              <w:top w:val="nil"/>
              <w:left w:val="nil"/>
              <w:bottom w:val="single" w:sz="4" w:space="0" w:color="auto"/>
              <w:right w:val="single" w:sz="4" w:space="0" w:color="auto"/>
            </w:tcBorders>
            <w:shd w:val="clear" w:color="000000" w:fill="CCFFFF"/>
            <w:noWrap/>
            <w:vAlign w:val="bottom"/>
            <w:hideMark/>
          </w:tcPr>
          <w:p w14:paraId="2924AFD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226,65</w:t>
            </w:r>
          </w:p>
        </w:tc>
        <w:tc>
          <w:tcPr>
            <w:tcW w:w="992" w:type="dxa"/>
            <w:tcBorders>
              <w:top w:val="nil"/>
              <w:left w:val="nil"/>
              <w:bottom w:val="single" w:sz="4" w:space="0" w:color="auto"/>
              <w:right w:val="single" w:sz="4" w:space="0" w:color="auto"/>
            </w:tcBorders>
            <w:shd w:val="clear" w:color="000000" w:fill="CCFFFF"/>
            <w:noWrap/>
            <w:vAlign w:val="bottom"/>
            <w:hideMark/>
          </w:tcPr>
          <w:p w14:paraId="7F7B47FC"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227,04</w:t>
            </w:r>
          </w:p>
        </w:tc>
      </w:tr>
      <w:tr w:rsidR="00B56301" w:rsidRPr="002C68EA" w14:paraId="55E0CA8C"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9F8CB1E" w14:textId="77777777"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Memo items:</w:t>
            </w:r>
            <w:r w:rsidRPr="000157EE">
              <w:rPr>
                <w:rFonts w:asciiTheme="minorHAnsi" w:hAnsiTheme="minorHAnsi"/>
                <w:b/>
                <w:bCs/>
                <w:sz w:val="14"/>
                <w:szCs w:val="16"/>
                <w:vertAlign w:val="superscript"/>
              </w:rPr>
              <w:t xml:space="preserve"> </w:t>
            </w:r>
          </w:p>
        </w:tc>
        <w:tc>
          <w:tcPr>
            <w:tcW w:w="992" w:type="dxa"/>
            <w:tcBorders>
              <w:top w:val="nil"/>
              <w:left w:val="nil"/>
              <w:bottom w:val="single" w:sz="4" w:space="0" w:color="auto"/>
              <w:right w:val="single" w:sz="4" w:space="0" w:color="auto"/>
            </w:tcBorders>
            <w:shd w:val="clear" w:color="000000" w:fill="969696"/>
            <w:noWrap/>
            <w:vAlign w:val="bottom"/>
            <w:hideMark/>
          </w:tcPr>
          <w:p w14:paraId="7894FD4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6C5CCF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D55B5F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C31A29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7372BA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A91C93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557F767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BC743F6" w14:textId="77777777"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International bunkers</w:t>
            </w:r>
          </w:p>
        </w:tc>
        <w:tc>
          <w:tcPr>
            <w:tcW w:w="992" w:type="dxa"/>
            <w:tcBorders>
              <w:top w:val="nil"/>
              <w:left w:val="nil"/>
              <w:bottom w:val="single" w:sz="4" w:space="0" w:color="auto"/>
              <w:right w:val="single" w:sz="4" w:space="0" w:color="auto"/>
            </w:tcBorders>
            <w:shd w:val="clear" w:color="000000" w:fill="CCFFFF"/>
            <w:noWrap/>
            <w:vAlign w:val="bottom"/>
            <w:hideMark/>
          </w:tcPr>
          <w:p w14:paraId="16870BD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55DCDD1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151998F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0,44</w:t>
            </w:r>
          </w:p>
        </w:tc>
        <w:tc>
          <w:tcPr>
            <w:tcW w:w="992" w:type="dxa"/>
            <w:tcBorders>
              <w:top w:val="nil"/>
              <w:left w:val="nil"/>
              <w:bottom w:val="single" w:sz="4" w:space="0" w:color="auto"/>
              <w:right w:val="single" w:sz="4" w:space="0" w:color="auto"/>
            </w:tcBorders>
            <w:shd w:val="clear" w:color="000000" w:fill="CCFFFF"/>
            <w:noWrap/>
            <w:vAlign w:val="bottom"/>
            <w:hideMark/>
          </w:tcPr>
          <w:p w14:paraId="120EE42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0,47</w:t>
            </w:r>
          </w:p>
        </w:tc>
        <w:tc>
          <w:tcPr>
            <w:tcW w:w="992" w:type="dxa"/>
            <w:tcBorders>
              <w:top w:val="nil"/>
              <w:left w:val="nil"/>
              <w:bottom w:val="single" w:sz="4" w:space="0" w:color="auto"/>
              <w:right w:val="single" w:sz="4" w:space="0" w:color="auto"/>
            </w:tcBorders>
            <w:shd w:val="clear" w:color="000000" w:fill="CCFFFF"/>
            <w:noWrap/>
            <w:vAlign w:val="bottom"/>
            <w:hideMark/>
          </w:tcPr>
          <w:p w14:paraId="60534F2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0,48</w:t>
            </w:r>
          </w:p>
        </w:tc>
        <w:tc>
          <w:tcPr>
            <w:tcW w:w="992" w:type="dxa"/>
            <w:tcBorders>
              <w:top w:val="nil"/>
              <w:left w:val="nil"/>
              <w:bottom w:val="single" w:sz="4" w:space="0" w:color="auto"/>
              <w:right w:val="single" w:sz="4" w:space="0" w:color="auto"/>
            </w:tcBorders>
            <w:shd w:val="clear" w:color="000000" w:fill="CCFFFF"/>
            <w:noWrap/>
            <w:vAlign w:val="bottom"/>
            <w:hideMark/>
          </w:tcPr>
          <w:p w14:paraId="7710AB1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0,47</w:t>
            </w:r>
          </w:p>
        </w:tc>
      </w:tr>
      <w:tr w:rsidR="00B56301" w:rsidRPr="002C68EA" w14:paraId="5A86542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5F1154B" w14:textId="77777777" w:rsidR="00B56301" w:rsidRPr="000157EE" w:rsidRDefault="00B56301" w:rsidP="00B37B65">
            <w:pPr>
              <w:jc w:val="left"/>
              <w:rPr>
                <w:rFonts w:asciiTheme="minorHAnsi" w:hAnsiTheme="minorHAnsi"/>
                <w:sz w:val="14"/>
                <w:szCs w:val="16"/>
              </w:rPr>
            </w:pPr>
            <w:r w:rsidRPr="000157EE">
              <w:rPr>
                <w:rFonts w:asciiTheme="minorHAnsi" w:hAnsiTheme="minorHAnsi"/>
                <w:sz w:val="14"/>
                <w:szCs w:val="16"/>
              </w:rPr>
              <w:t>Aviation</w:t>
            </w:r>
          </w:p>
        </w:tc>
        <w:tc>
          <w:tcPr>
            <w:tcW w:w="992" w:type="dxa"/>
            <w:tcBorders>
              <w:top w:val="nil"/>
              <w:left w:val="nil"/>
              <w:bottom w:val="single" w:sz="4" w:space="0" w:color="auto"/>
              <w:right w:val="single" w:sz="4" w:space="0" w:color="auto"/>
            </w:tcBorders>
            <w:shd w:val="clear" w:color="000000" w:fill="FFFFFF"/>
            <w:noWrap/>
            <w:vAlign w:val="bottom"/>
            <w:hideMark/>
          </w:tcPr>
          <w:p w14:paraId="5CCA921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6253973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3BDD9D9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3FF32D3A"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0,27</w:t>
            </w:r>
          </w:p>
        </w:tc>
        <w:tc>
          <w:tcPr>
            <w:tcW w:w="992" w:type="dxa"/>
            <w:tcBorders>
              <w:top w:val="nil"/>
              <w:left w:val="nil"/>
              <w:bottom w:val="single" w:sz="4" w:space="0" w:color="auto"/>
              <w:right w:val="single" w:sz="4" w:space="0" w:color="auto"/>
            </w:tcBorders>
            <w:shd w:val="clear" w:color="000000" w:fill="FFFFFF"/>
            <w:noWrap/>
            <w:vAlign w:val="bottom"/>
            <w:hideMark/>
          </w:tcPr>
          <w:p w14:paraId="6F1AEA9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0,28</w:t>
            </w:r>
          </w:p>
        </w:tc>
        <w:tc>
          <w:tcPr>
            <w:tcW w:w="992" w:type="dxa"/>
            <w:tcBorders>
              <w:top w:val="nil"/>
              <w:left w:val="nil"/>
              <w:bottom w:val="single" w:sz="4" w:space="0" w:color="auto"/>
              <w:right w:val="single" w:sz="4" w:space="0" w:color="auto"/>
            </w:tcBorders>
            <w:shd w:val="clear" w:color="000000" w:fill="FFFFFF"/>
            <w:noWrap/>
            <w:vAlign w:val="bottom"/>
            <w:hideMark/>
          </w:tcPr>
          <w:p w14:paraId="76A607C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0,29</w:t>
            </w:r>
          </w:p>
        </w:tc>
      </w:tr>
      <w:tr w:rsidR="00B56301" w:rsidRPr="002C68EA" w14:paraId="6B6BFA7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E577924" w14:textId="77777777" w:rsidR="00B56301" w:rsidRPr="000157EE" w:rsidRDefault="00B56301" w:rsidP="00B37B65">
            <w:pPr>
              <w:jc w:val="left"/>
              <w:rPr>
                <w:rFonts w:asciiTheme="minorHAnsi" w:hAnsiTheme="minorHAnsi"/>
                <w:sz w:val="14"/>
                <w:szCs w:val="16"/>
              </w:rPr>
            </w:pPr>
            <w:r w:rsidRPr="000157EE">
              <w:rPr>
                <w:rFonts w:asciiTheme="minorHAnsi" w:hAnsiTheme="minorHAnsi"/>
                <w:sz w:val="14"/>
                <w:szCs w:val="16"/>
              </w:rPr>
              <w:t>Navigation</w:t>
            </w:r>
          </w:p>
        </w:tc>
        <w:tc>
          <w:tcPr>
            <w:tcW w:w="992" w:type="dxa"/>
            <w:tcBorders>
              <w:top w:val="nil"/>
              <w:left w:val="nil"/>
              <w:bottom w:val="single" w:sz="4" w:space="0" w:color="auto"/>
              <w:right w:val="single" w:sz="4" w:space="0" w:color="auto"/>
            </w:tcBorders>
            <w:shd w:val="clear" w:color="000000" w:fill="FFFFFF"/>
            <w:noWrap/>
            <w:vAlign w:val="bottom"/>
            <w:hideMark/>
          </w:tcPr>
          <w:p w14:paraId="2CCF4886"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271E0CA1"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6D74F0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0,21</w:t>
            </w:r>
          </w:p>
        </w:tc>
        <w:tc>
          <w:tcPr>
            <w:tcW w:w="992" w:type="dxa"/>
            <w:tcBorders>
              <w:top w:val="nil"/>
              <w:left w:val="nil"/>
              <w:bottom w:val="single" w:sz="4" w:space="0" w:color="auto"/>
              <w:right w:val="single" w:sz="4" w:space="0" w:color="auto"/>
            </w:tcBorders>
            <w:shd w:val="clear" w:color="000000" w:fill="FFFFFF"/>
            <w:noWrap/>
            <w:vAlign w:val="bottom"/>
            <w:hideMark/>
          </w:tcPr>
          <w:p w14:paraId="4D00D2B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33A1396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B25279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0,18</w:t>
            </w:r>
          </w:p>
        </w:tc>
      </w:tr>
      <w:tr w:rsidR="00B56301" w:rsidRPr="002C68EA" w14:paraId="57F4C97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87536D9" w14:textId="77777777"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Multilateral operations</w:t>
            </w:r>
          </w:p>
        </w:tc>
        <w:tc>
          <w:tcPr>
            <w:tcW w:w="992" w:type="dxa"/>
            <w:tcBorders>
              <w:top w:val="nil"/>
              <w:left w:val="nil"/>
              <w:bottom w:val="single" w:sz="4" w:space="0" w:color="auto"/>
              <w:right w:val="single" w:sz="4" w:space="0" w:color="auto"/>
            </w:tcBorders>
            <w:shd w:val="clear" w:color="000000" w:fill="FFFFFF"/>
            <w:noWrap/>
            <w:vAlign w:val="bottom"/>
            <w:hideMark/>
          </w:tcPr>
          <w:p w14:paraId="33C5E78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4A5088A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0E9646C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362531C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4BF38D1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c>
          <w:tcPr>
            <w:tcW w:w="992" w:type="dxa"/>
            <w:tcBorders>
              <w:top w:val="nil"/>
              <w:left w:val="nil"/>
              <w:bottom w:val="single" w:sz="4" w:space="0" w:color="auto"/>
              <w:right w:val="single" w:sz="4" w:space="0" w:color="auto"/>
            </w:tcBorders>
            <w:shd w:val="clear" w:color="000000" w:fill="FFFFFF"/>
            <w:noWrap/>
            <w:vAlign w:val="bottom"/>
            <w:hideMark/>
          </w:tcPr>
          <w:p w14:paraId="59777C9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NE</w:t>
            </w:r>
          </w:p>
        </w:tc>
      </w:tr>
      <w:tr w:rsidR="00B56301" w:rsidRPr="002C68EA" w14:paraId="1505BB6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E27F33" w14:textId="53733E4E" w:rsidR="00B56301" w:rsidRPr="000157EE" w:rsidRDefault="007F09F7" w:rsidP="00B37B65">
            <w:pPr>
              <w:jc w:val="left"/>
              <w:rPr>
                <w:rFonts w:asciiTheme="minorHAnsi" w:hAnsiTheme="minorHAnsi"/>
                <w:b/>
                <w:bCs/>
                <w:sz w:val="14"/>
                <w:szCs w:val="16"/>
              </w:rPr>
            </w:pPr>
            <w:r>
              <w:t>CO</w:t>
            </w:r>
            <w:r w:rsidRPr="007F09F7">
              <w:rPr>
                <w:vertAlign w:val="subscript"/>
              </w:rPr>
              <w:t>2</w:t>
            </w:r>
            <w:r w:rsidR="00B56301" w:rsidRPr="000157EE">
              <w:rPr>
                <w:rFonts w:asciiTheme="minorHAnsi" w:hAnsiTheme="minorHAnsi"/>
                <w:b/>
                <w:bCs/>
                <w:sz w:val="14"/>
                <w:szCs w:val="16"/>
              </w:rPr>
              <w:t xml:space="preserve"> emissions from biomass</w:t>
            </w:r>
          </w:p>
        </w:tc>
        <w:tc>
          <w:tcPr>
            <w:tcW w:w="992" w:type="dxa"/>
            <w:tcBorders>
              <w:top w:val="nil"/>
              <w:left w:val="nil"/>
              <w:bottom w:val="single" w:sz="4" w:space="0" w:color="auto"/>
              <w:right w:val="single" w:sz="4" w:space="0" w:color="auto"/>
            </w:tcBorders>
            <w:shd w:val="clear" w:color="000000" w:fill="969696"/>
            <w:noWrap/>
            <w:vAlign w:val="bottom"/>
            <w:hideMark/>
          </w:tcPr>
          <w:p w14:paraId="6036A99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C159699"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33F25A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89448B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BB7690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4520B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2C68EA" w14:paraId="70FFB7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7F3B9A9" w14:textId="732BA67C" w:rsidR="00B56301" w:rsidRPr="000157EE" w:rsidRDefault="007F09F7" w:rsidP="00B37B65">
            <w:pPr>
              <w:jc w:val="left"/>
              <w:rPr>
                <w:rFonts w:asciiTheme="minorHAnsi" w:hAnsiTheme="minorHAnsi"/>
                <w:b/>
                <w:bCs/>
                <w:sz w:val="14"/>
                <w:szCs w:val="16"/>
              </w:rPr>
            </w:pPr>
            <w:r>
              <w:t>CO</w:t>
            </w:r>
            <w:r w:rsidRPr="007F09F7">
              <w:rPr>
                <w:vertAlign w:val="subscript"/>
              </w:rPr>
              <w:t>2</w:t>
            </w:r>
            <w:r w:rsidR="00B56301" w:rsidRPr="000157EE">
              <w:rPr>
                <w:rFonts w:asciiTheme="minorHAnsi" w:hAnsiTheme="minorHAnsi"/>
                <w:b/>
                <w:bCs/>
                <w:sz w:val="14"/>
                <w:szCs w:val="16"/>
              </w:rPr>
              <w:t xml:space="preserve"> captured</w:t>
            </w:r>
          </w:p>
        </w:tc>
        <w:tc>
          <w:tcPr>
            <w:tcW w:w="992" w:type="dxa"/>
            <w:tcBorders>
              <w:top w:val="nil"/>
              <w:left w:val="nil"/>
              <w:bottom w:val="single" w:sz="4" w:space="0" w:color="auto"/>
              <w:right w:val="single" w:sz="4" w:space="0" w:color="auto"/>
            </w:tcBorders>
            <w:shd w:val="clear" w:color="000000" w:fill="969696"/>
            <w:noWrap/>
            <w:vAlign w:val="bottom"/>
            <w:hideMark/>
          </w:tcPr>
          <w:p w14:paraId="7C264E4D"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496CBD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817F31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9D4B0D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0F90DD88"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38F7170"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r w:rsidR="00B56301" w:rsidRPr="00833C38" w14:paraId="2196032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D1D12C9" w14:textId="77777777" w:rsidR="00B56301" w:rsidRPr="000157EE" w:rsidRDefault="00B56301" w:rsidP="00B37B65">
            <w:pPr>
              <w:jc w:val="left"/>
              <w:rPr>
                <w:rFonts w:asciiTheme="minorHAnsi" w:hAnsiTheme="minorHAnsi"/>
                <w:b/>
                <w:bCs/>
                <w:sz w:val="14"/>
                <w:szCs w:val="16"/>
                <w:lang w:val="en-GB"/>
              </w:rPr>
            </w:pPr>
            <w:r w:rsidRPr="000157EE">
              <w:rPr>
                <w:rFonts w:asciiTheme="minorHAnsi" w:hAnsiTheme="minorHAnsi"/>
                <w:b/>
                <w:bCs/>
                <w:sz w:val="14"/>
                <w:szCs w:val="16"/>
                <w:lang w:val="en-GB"/>
              </w:rPr>
              <w:t>Long-term storage of C in waste disposal sites</w:t>
            </w:r>
          </w:p>
        </w:tc>
        <w:tc>
          <w:tcPr>
            <w:tcW w:w="992" w:type="dxa"/>
            <w:tcBorders>
              <w:top w:val="nil"/>
              <w:left w:val="nil"/>
              <w:bottom w:val="single" w:sz="4" w:space="0" w:color="auto"/>
              <w:right w:val="single" w:sz="4" w:space="0" w:color="auto"/>
            </w:tcBorders>
            <w:shd w:val="clear" w:color="000000" w:fill="969696"/>
            <w:noWrap/>
            <w:vAlign w:val="bottom"/>
            <w:hideMark/>
          </w:tcPr>
          <w:p w14:paraId="7F666615"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6673542"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072E1BF"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224B1BC7"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36756E65"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218EF02" w14:textId="77777777" w:rsidR="00B56301" w:rsidRPr="002C68EA" w:rsidRDefault="00B56301" w:rsidP="00B37B65">
            <w:pPr>
              <w:jc w:val="right"/>
              <w:rPr>
                <w:rFonts w:asciiTheme="minorHAnsi" w:hAnsiTheme="minorHAnsi"/>
                <w:sz w:val="16"/>
                <w:szCs w:val="16"/>
                <w:lang w:val="en-GB"/>
              </w:rPr>
            </w:pPr>
            <w:r w:rsidRPr="002C68EA">
              <w:rPr>
                <w:rFonts w:asciiTheme="minorHAnsi" w:hAnsiTheme="minorHAnsi"/>
                <w:sz w:val="16"/>
                <w:szCs w:val="16"/>
                <w:lang w:val="en-GB"/>
              </w:rPr>
              <w:t> </w:t>
            </w:r>
          </w:p>
        </w:tc>
      </w:tr>
      <w:tr w:rsidR="00B56301" w:rsidRPr="002C68EA" w14:paraId="18CAF6BE"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noWrap/>
            <w:vAlign w:val="center"/>
            <w:hideMark/>
          </w:tcPr>
          <w:p w14:paraId="1303F0CC" w14:textId="3A6895B5"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 xml:space="preserve">Indirect </w:t>
            </w:r>
            <w:r w:rsidR="007F09F7" w:rsidRPr="00141043">
              <w:t>N</w:t>
            </w:r>
            <w:r w:rsidR="007F09F7" w:rsidRPr="004F1EC8">
              <w:rPr>
                <w:vertAlign w:val="subscript"/>
              </w:rPr>
              <w:t>2</w:t>
            </w:r>
            <w:r w:rsidR="007F09F7" w:rsidRPr="00141043">
              <w:t xml:space="preserve">O </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19397EB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DBF7D63"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463A144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3D29F04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0CF34B2E"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c>
          <w:tcPr>
            <w:tcW w:w="992" w:type="dxa"/>
            <w:tcBorders>
              <w:top w:val="nil"/>
              <w:left w:val="nil"/>
              <w:bottom w:val="single" w:sz="4" w:space="0" w:color="auto"/>
              <w:right w:val="single" w:sz="4" w:space="0" w:color="auto"/>
            </w:tcBorders>
            <w:shd w:val="clear" w:color="000000" w:fill="FFFFFF"/>
            <w:noWrap/>
            <w:vAlign w:val="bottom"/>
            <w:hideMark/>
          </w:tcPr>
          <w:p w14:paraId="6C97DB75"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NO,NE</w:t>
            </w:r>
          </w:p>
        </w:tc>
      </w:tr>
      <w:tr w:rsidR="00B56301" w:rsidRPr="002C68EA" w14:paraId="7CB7F280"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D688568" w14:textId="22D20A6B" w:rsidR="00B56301" w:rsidRPr="000157EE" w:rsidRDefault="00B56301" w:rsidP="00B37B65">
            <w:pPr>
              <w:jc w:val="left"/>
              <w:rPr>
                <w:rFonts w:asciiTheme="minorHAnsi" w:hAnsiTheme="minorHAnsi"/>
                <w:b/>
                <w:bCs/>
                <w:sz w:val="14"/>
                <w:szCs w:val="16"/>
              </w:rPr>
            </w:pPr>
            <w:r w:rsidRPr="000157EE">
              <w:rPr>
                <w:rFonts w:asciiTheme="minorHAnsi" w:hAnsiTheme="minorHAnsi"/>
                <w:b/>
                <w:bCs/>
                <w:sz w:val="14"/>
                <w:szCs w:val="16"/>
              </w:rPr>
              <w:t xml:space="preserve">Indirect </w:t>
            </w:r>
            <w:r w:rsidR="007F09F7">
              <w:t>CO</w:t>
            </w:r>
            <w:r w:rsidR="007F09F7" w:rsidRPr="007F09F7">
              <w:rPr>
                <w:vertAlign w:val="subscript"/>
              </w:rPr>
              <w:t>2</w:t>
            </w:r>
            <w:r w:rsidRPr="000157EE">
              <w:rPr>
                <w:rFonts w:asciiTheme="minorHAnsi" w:hAnsiTheme="minorHAnsi"/>
                <w:b/>
                <w:bCs/>
                <w:sz w:val="14"/>
                <w:szCs w:val="16"/>
                <w:vertAlign w:val="subscript"/>
              </w:rPr>
              <w:t xml:space="preserve"> </w:t>
            </w:r>
            <w:r w:rsidRPr="000157EE">
              <w:rPr>
                <w:rFonts w:asciiTheme="minorHAnsi" w:hAnsiTheme="minorHAnsi"/>
                <w:b/>
                <w:bCs/>
                <w:sz w:val="14"/>
                <w:szCs w:val="16"/>
                <w:vertAlign w:val="superscript"/>
              </w:rPr>
              <w:t>(3)</w:t>
            </w:r>
          </w:p>
        </w:tc>
        <w:tc>
          <w:tcPr>
            <w:tcW w:w="992" w:type="dxa"/>
            <w:tcBorders>
              <w:top w:val="nil"/>
              <w:left w:val="nil"/>
              <w:bottom w:val="single" w:sz="4" w:space="0" w:color="auto"/>
              <w:right w:val="single" w:sz="4" w:space="0" w:color="auto"/>
            </w:tcBorders>
            <w:shd w:val="clear" w:color="000000" w:fill="969696"/>
            <w:noWrap/>
            <w:vAlign w:val="bottom"/>
            <w:hideMark/>
          </w:tcPr>
          <w:p w14:paraId="6DD2AAF7"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45F5AACF"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7CA6A26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1FB08BFB"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52F6D1C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c>
          <w:tcPr>
            <w:tcW w:w="992" w:type="dxa"/>
            <w:tcBorders>
              <w:top w:val="nil"/>
              <w:left w:val="nil"/>
              <w:bottom w:val="single" w:sz="4" w:space="0" w:color="auto"/>
              <w:right w:val="single" w:sz="4" w:space="0" w:color="auto"/>
            </w:tcBorders>
            <w:shd w:val="clear" w:color="000000" w:fill="969696"/>
            <w:noWrap/>
            <w:vAlign w:val="bottom"/>
            <w:hideMark/>
          </w:tcPr>
          <w:p w14:paraId="61D9D472" w14:textId="77777777" w:rsidR="00B56301" w:rsidRPr="002C68EA" w:rsidRDefault="00B56301" w:rsidP="00B37B65">
            <w:pPr>
              <w:jc w:val="right"/>
              <w:rPr>
                <w:rFonts w:asciiTheme="minorHAnsi" w:hAnsiTheme="minorHAnsi"/>
                <w:sz w:val="16"/>
                <w:szCs w:val="16"/>
              </w:rPr>
            </w:pPr>
            <w:r w:rsidRPr="002C68EA">
              <w:rPr>
                <w:rFonts w:asciiTheme="minorHAnsi" w:hAnsiTheme="minorHAnsi"/>
                <w:sz w:val="16"/>
                <w:szCs w:val="16"/>
              </w:rPr>
              <w:t> </w:t>
            </w:r>
          </w:p>
        </w:tc>
      </w:tr>
    </w:tbl>
    <w:p w14:paraId="37DF1794" w14:textId="77777777" w:rsidR="00B56301" w:rsidRDefault="00B56301" w:rsidP="00B56301">
      <w:pPr>
        <w:rPr>
          <w:rFonts w:cs="Arial"/>
        </w:rPr>
      </w:pP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D85A26" w14:paraId="319A20B4"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4986502" w14:textId="77777777" w:rsidR="00B56301" w:rsidRPr="00D85A26" w:rsidRDefault="00B56301" w:rsidP="00B37B65">
            <w:pPr>
              <w:jc w:val="center"/>
              <w:rPr>
                <w:rFonts w:asciiTheme="minorHAnsi" w:hAnsiTheme="minorHAnsi"/>
                <w:b/>
                <w:bCs/>
                <w:sz w:val="16"/>
                <w:szCs w:val="16"/>
                <w:lang w:val="en-GB"/>
              </w:rPr>
            </w:pPr>
            <w:r w:rsidRPr="00D85A26">
              <w:rPr>
                <w:rFonts w:asciiTheme="minorHAnsi" w:hAnsiTheme="minorHAnsi"/>
                <w:b/>
                <w:bCs/>
                <w:sz w:val="16"/>
                <w:szCs w:val="16"/>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567A1D7" w14:textId="77777777" w:rsidR="00B56301" w:rsidRPr="00D85A26" w:rsidRDefault="00B56301" w:rsidP="00B37B65">
            <w:pPr>
              <w:jc w:val="center"/>
              <w:rPr>
                <w:rFonts w:asciiTheme="minorHAnsi" w:hAnsiTheme="minorHAnsi"/>
                <w:b/>
                <w:bCs/>
                <w:sz w:val="16"/>
                <w:szCs w:val="16"/>
              </w:rPr>
            </w:pPr>
            <w:r w:rsidRPr="00D85A26">
              <w:rPr>
                <w:b/>
                <w:bCs/>
                <w:sz w:val="16"/>
                <w:szCs w:val="18"/>
              </w:rPr>
              <w:t>1995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3B8A413" w14:textId="77777777" w:rsidR="00B56301" w:rsidRPr="00D85A26" w:rsidRDefault="00B56301" w:rsidP="00B37B65">
            <w:pPr>
              <w:jc w:val="center"/>
              <w:rPr>
                <w:rFonts w:asciiTheme="minorHAnsi" w:hAnsiTheme="minorHAnsi"/>
                <w:b/>
                <w:bCs/>
                <w:sz w:val="16"/>
                <w:szCs w:val="16"/>
              </w:rPr>
            </w:pPr>
            <w:r w:rsidRPr="00D85A26">
              <w:rPr>
                <w:b/>
                <w:bCs/>
                <w:sz w:val="16"/>
                <w:szCs w:val="18"/>
              </w:rPr>
              <w:t>1996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D7B471D" w14:textId="77777777" w:rsidR="00B56301" w:rsidRPr="00D85A26" w:rsidRDefault="00B56301" w:rsidP="00B37B65">
            <w:pPr>
              <w:jc w:val="center"/>
              <w:rPr>
                <w:rFonts w:asciiTheme="minorHAnsi" w:hAnsiTheme="minorHAnsi"/>
                <w:b/>
                <w:bCs/>
                <w:sz w:val="16"/>
                <w:szCs w:val="16"/>
              </w:rPr>
            </w:pPr>
            <w:r w:rsidRPr="00D85A26">
              <w:rPr>
                <w:b/>
                <w:bCs/>
                <w:sz w:val="16"/>
                <w:szCs w:val="18"/>
              </w:rPr>
              <w:t>1997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D64180D" w14:textId="77777777" w:rsidR="00B56301" w:rsidRPr="00D85A26" w:rsidRDefault="00B56301" w:rsidP="00B37B65">
            <w:pPr>
              <w:jc w:val="center"/>
              <w:rPr>
                <w:rFonts w:asciiTheme="minorHAnsi" w:hAnsiTheme="minorHAnsi"/>
                <w:b/>
                <w:bCs/>
                <w:sz w:val="16"/>
                <w:szCs w:val="16"/>
              </w:rPr>
            </w:pPr>
            <w:r w:rsidRPr="00D85A26">
              <w:rPr>
                <w:b/>
                <w:bCs/>
                <w:sz w:val="16"/>
                <w:szCs w:val="18"/>
              </w:rPr>
              <w:t>1998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3FB6F94" w14:textId="77777777" w:rsidR="00B56301" w:rsidRPr="00D85A26" w:rsidRDefault="00B56301" w:rsidP="00B37B65">
            <w:pPr>
              <w:jc w:val="center"/>
              <w:rPr>
                <w:rFonts w:asciiTheme="minorHAnsi" w:hAnsiTheme="minorHAnsi"/>
                <w:b/>
                <w:bCs/>
                <w:sz w:val="16"/>
                <w:szCs w:val="16"/>
              </w:rPr>
            </w:pPr>
            <w:r w:rsidRPr="00D85A26">
              <w:rPr>
                <w:b/>
                <w:bCs/>
                <w:sz w:val="16"/>
                <w:szCs w:val="18"/>
              </w:rPr>
              <w:t>1999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FF47E33" w14:textId="77777777" w:rsidR="00B56301" w:rsidRPr="00D85A26" w:rsidRDefault="00B56301" w:rsidP="00B37B65">
            <w:pPr>
              <w:jc w:val="center"/>
              <w:rPr>
                <w:rFonts w:asciiTheme="minorHAnsi" w:hAnsiTheme="minorHAnsi"/>
                <w:b/>
                <w:bCs/>
                <w:sz w:val="16"/>
                <w:szCs w:val="16"/>
              </w:rPr>
            </w:pPr>
            <w:r w:rsidRPr="00D85A26">
              <w:rPr>
                <w:b/>
                <w:bCs/>
                <w:sz w:val="16"/>
                <w:szCs w:val="18"/>
              </w:rPr>
              <w:t>2000</w:t>
            </w:r>
          </w:p>
        </w:tc>
      </w:tr>
      <w:tr w:rsidR="00B56301" w:rsidRPr="00D85A26" w14:paraId="23BFAA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0E55962" w14:textId="7777777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9A2BCB8" w14:textId="77777777" w:rsidR="00B56301" w:rsidRPr="00D85A26" w:rsidRDefault="00B56301" w:rsidP="00B37B65">
            <w:pPr>
              <w:jc w:val="right"/>
              <w:rPr>
                <w:rFonts w:asciiTheme="minorHAnsi" w:hAnsiTheme="minorHAnsi"/>
                <w:sz w:val="16"/>
                <w:szCs w:val="16"/>
              </w:rPr>
            </w:pPr>
            <w:r w:rsidRPr="00D85A26">
              <w:rPr>
                <w:sz w:val="16"/>
                <w:szCs w:val="18"/>
              </w:rPr>
              <w:t>13,58</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732EE0EB" w14:textId="77777777" w:rsidR="00B56301" w:rsidRPr="00D85A26" w:rsidRDefault="00B56301" w:rsidP="00B37B65">
            <w:pPr>
              <w:jc w:val="right"/>
              <w:rPr>
                <w:rFonts w:asciiTheme="minorHAnsi" w:hAnsiTheme="minorHAnsi"/>
                <w:sz w:val="16"/>
                <w:szCs w:val="16"/>
              </w:rPr>
            </w:pPr>
            <w:r w:rsidRPr="00D85A26">
              <w:rPr>
                <w:sz w:val="16"/>
                <w:szCs w:val="18"/>
              </w:rPr>
              <w:t>15,07</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8778956" w14:textId="77777777" w:rsidR="00B56301" w:rsidRPr="00D85A26" w:rsidRDefault="00B56301" w:rsidP="00B37B65">
            <w:pPr>
              <w:jc w:val="right"/>
              <w:rPr>
                <w:rFonts w:asciiTheme="minorHAnsi" w:hAnsiTheme="minorHAnsi"/>
                <w:sz w:val="16"/>
                <w:szCs w:val="16"/>
              </w:rPr>
            </w:pPr>
            <w:r w:rsidRPr="00D85A26">
              <w:rPr>
                <w:sz w:val="16"/>
                <w:szCs w:val="18"/>
              </w:rPr>
              <w:t>15,75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CDC8CB8" w14:textId="77777777" w:rsidR="00B56301" w:rsidRPr="00D85A26" w:rsidRDefault="00B56301" w:rsidP="00B37B65">
            <w:pPr>
              <w:jc w:val="right"/>
              <w:rPr>
                <w:rFonts w:asciiTheme="minorHAnsi" w:hAnsiTheme="minorHAnsi"/>
                <w:sz w:val="16"/>
                <w:szCs w:val="16"/>
              </w:rPr>
            </w:pPr>
            <w:r w:rsidRPr="00D85A26">
              <w:rPr>
                <w:sz w:val="16"/>
                <w:szCs w:val="18"/>
              </w:rPr>
              <w:t>17,06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40F5EF0" w14:textId="77777777" w:rsidR="00B56301" w:rsidRPr="00D85A26" w:rsidRDefault="00B56301" w:rsidP="00B37B65">
            <w:pPr>
              <w:jc w:val="right"/>
              <w:rPr>
                <w:rFonts w:asciiTheme="minorHAnsi" w:hAnsiTheme="minorHAnsi"/>
                <w:sz w:val="16"/>
                <w:szCs w:val="16"/>
              </w:rPr>
            </w:pPr>
            <w:r w:rsidRPr="00D85A26">
              <w:rPr>
                <w:sz w:val="16"/>
                <w:szCs w:val="18"/>
              </w:rPr>
              <w:t>13,41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CB9ECD7" w14:textId="77777777" w:rsidR="00B56301" w:rsidRPr="00D85A26" w:rsidRDefault="00B56301" w:rsidP="00B37B65">
            <w:pPr>
              <w:jc w:val="right"/>
              <w:rPr>
                <w:rFonts w:asciiTheme="minorHAnsi" w:hAnsiTheme="minorHAnsi"/>
                <w:sz w:val="16"/>
                <w:szCs w:val="16"/>
              </w:rPr>
            </w:pPr>
            <w:r w:rsidRPr="00D85A26">
              <w:rPr>
                <w:sz w:val="16"/>
                <w:szCs w:val="18"/>
              </w:rPr>
              <w:t>13,09</w:t>
            </w:r>
          </w:p>
        </w:tc>
      </w:tr>
      <w:tr w:rsidR="00B56301" w:rsidRPr="00D85A26" w14:paraId="0AF91AD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B086B3E" w14:textId="7777777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D06EB29" w14:textId="77777777" w:rsidR="00B56301" w:rsidRPr="00D85A26" w:rsidRDefault="00B56301" w:rsidP="00B37B65">
            <w:pPr>
              <w:jc w:val="right"/>
              <w:rPr>
                <w:rFonts w:asciiTheme="minorHAnsi" w:hAnsiTheme="minorHAnsi"/>
                <w:sz w:val="16"/>
                <w:szCs w:val="16"/>
              </w:rPr>
            </w:pPr>
            <w:r w:rsidRPr="00D85A26">
              <w:rPr>
                <w:sz w:val="16"/>
                <w:szCs w:val="18"/>
              </w:rPr>
              <w:t>13,49</w:t>
            </w:r>
          </w:p>
        </w:tc>
        <w:tc>
          <w:tcPr>
            <w:tcW w:w="991" w:type="dxa"/>
            <w:tcBorders>
              <w:top w:val="nil"/>
              <w:left w:val="nil"/>
              <w:bottom w:val="single" w:sz="4" w:space="0" w:color="auto"/>
              <w:right w:val="single" w:sz="4" w:space="0" w:color="auto"/>
            </w:tcBorders>
            <w:shd w:val="clear" w:color="000000" w:fill="CCFFFF"/>
            <w:noWrap/>
            <w:vAlign w:val="bottom"/>
            <w:hideMark/>
          </w:tcPr>
          <w:p w14:paraId="6D78623A" w14:textId="77777777" w:rsidR="00B56301" w:rsidRPr="00D85A26" w:rsidRDefault="00B56301" w:rsidP="00B37B65">
            <w:pPr>
              <w:jc w:val="right"/>
              <w:rPr>
                <w:rFonts w:asciiTheme="minorHAnsi" w:hAnsiTheme="minorHAnsi"/>
                <w:sz w:val="16"/>
                <w:szCs w:val="16"/>
              </w:rPr>
            </w:pPr>
            <w:r w:rsidRPr="00D85A26">
              <w:rPr>
                <w:sz w:val="16"/>
                <w:szCs w:val="18"/>
              </w:rPr>
              <w:t>14,97</w:t>
            </w:r>
          </w:p>
        </w:tc>
        <w:tc>
          <w:tcPr>
            <w:tcW w:w="991" w:type="dxa"/>
            <w:tcBorders>
              <w:top w:val="nil"/>
              <w:left w:val="nil"/>
              <w:bottom w:val="single" w:sz="4" w:space="0" w:color="auto"/>
              <w:right w:val="single" w:sz="4" w:space="0" w:color="auto"/>
            </w:tcBorders>
            <w:shd w:val="clear" w:color="000000" w:fill="CCFFFF"/>
            <w:noWrap/>
            <w:vAlign w:val="bottom"/>
            <w:hideMark/>
          </w:tcPr>
          <w:p w14:paraId="3E5D3F36" w14:textId="77777777" w:rsidR="00B56301" w:rsidRPr="00D85A26" w:rsidRDefault="00B56301" w:rsidP="00B37B65">
            <w:pPr>
              <w:jc w:val="right"/>
              <w:rPr>
                <w:rFonts w:asciiTheme="minorHAnsi" w:hAnsiTheme="minorHAnsi"/>
                <w:sz w:val="16"/>
                <w:szCs w:val="16"/>
              </w:rPr>
            </w:pPr>
            <w:r w:rsidRPr="00D85A26">
              <w:rPr>
                <w:sz w:val="16"/>
                <w:szCs w:val="18"/>
              </w:rPr>
              <w:t>15,65</w:t>
            </w:r>
          </w:p>
        </w:tc>
        <w:tc>
          <w:tcPr>
            <w:tcW w:w="991" w:type="dxa"/>
            <w:tcBorders>
              <w:top w:val="nil"/>
              <w:left w:val="nil"/>
              <w:bottom w:val="single" w:sz="4" w:space="0" w:color="auto"/>
              <w:right w:val="single" w:sz="4" w:space="0" w:color="auto"/>
            </w:tcBorders>
            <w:shd w:val="clear" w:color="000000" w:fill="CCFFFF"/>
            <w:noWrap/>
            <w:vAlign w:val="bottom"/>
            <w:hideMark/>
          </w:tcPr>
          <w:p w14:paraId="1A4EC313" w14:textId="77777777" w:rsidR="00B56301" w:rsidRPr="00D85A26" w:rsidRDefault="00B56301" w:rsidP="00B37B65">
            <w:pPr>
              <w:jc w:val="right"/>
              <w:rPr>
                <w:rFonts w:asciiTheme="minorHAnsi" w:hAnsiTheme="minorHAnsi"/>
                <w:sz w:val="16"/>
                <w:szCs w:val="16"/>
              </w:rPr>
            </w:pPr>
            <w:r w:rsidRPr="00D85A26">
              <w:rPr>
                <w:sz w:val="16"/>
                <w:szCs w:val="18"/>
              </w:rPr>
              <w:t>16,96</w:t>
            </w:r>
          </w:p>
        </w:tc>
        <w:tc>
          <w:tcPr>
            <w:tcW w:w="991" w:type="dxa"/>
            <w:tcBorders>
              <w:top w:val="nil"/>
              <w:left w:val="nil"/>
              <w:bottom w:val="single" w:sz="4" w:space="0" w:color="auto"/>
              <w:right w:val="single" w:sz="4" w:space="0" w:color="auto"/>
            </w:tcBorders>
            <w:shd w:val="clear" w:color="000000" w:fill="CCFFFF"/>
            <w:noWrap/>
            <w:vAlign w:val="bottom"/>
            <w:hideMark/>
          </w:tcPr>
          <w:p w14:paraId="5A9E7C2E" w14:textId="77777777" w:rsidR="00B56301" w:rsidRPr="00D85A26" w:rsidRDefault="00B56301" w:rsidP="00B37B65">
            <w:pPr>
              <w:jc w:val="right"/>
              <w:rPr>
                <w:rFonts w:asciiTheme="minorHAnsi" w:hAnsiTheme="minorHAnsi"/>
                <w:sz w:val="16"/>
                <w:szCs w:val="16"/>
              </w:rPr>
            </w:pPr>
            <w:r w:rsidRPr="00D85A26">
              <w:rPr>
                <w:sz w:val="16"/>
                <w:szCs w:val="18"/>
              </w:rPr>
              <w:t>13,32</w:t>
            </w:r>
          </w:p>
        </w:tc>
        <w:tc>
          <w:tcPr>
            <w:tcW w:w="991" w:type="dxa"/>
            <w:tcBorders>
              <w:top w:val="nil"/>
              <w:left w:val="nil"/>
              <w:bottom w:val="single" w:sz="4" w:space="0" w:color="auto"/>
              <w:right w:val="single" w:sz="4" w:space="0" w:color="auto"/>
            </w:tcBorders>
            <w:shd w:val="clear" w:color="000000" w:fill="CCFFFF"/>
            <w:noWrap/>
            <w:vAlign w:val="bottom"/>
            <w:hideMark/>
          </w:tcPr>
          <w:p w14:paraId="0D0EC71B" w14:textId="77777777" w:rsidR="00B56301" w:rsidRPr="00D85A26" w:rsidRDefault="00B56301" w:rsidP="00B37B65">
            <w:pPr>
              <w:jc w:val="right"/>
              <w:rPr>
                <w:rFonts w:asciiTheme="minorHAnsi" w:hAnsiTheme="minorHAnsi"/>
                <w:sz w:val="16"/>
                <w:szCs w:val="16"/>
              </w:rPr>
            </w:pPr>
            <w:r w:rsidRPr="00D85A26">
              <w:rPr>
                <w:sz w:val="16"/>
                <w:szCs w:val="18"/>
              </w:rPr>
              <w:t>12,99</w:t>
            </w:r>
          </w:p>
        </w:tc>
      </w:tr>
      <w:tr w:rsidR="00B56301" w:rsidRPr="00D85A26" w14:paraId="67F0F5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87A79D" w14:textId="1DE85958"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1C35EF08" w14:textId="77777777" w:rsidR="00B56301" w:rsidRPr="00D85A26" w:rsidRDefault="00B56301" w:rsidP="00B37B65">
            <w:pPr>
              <w:jc w:val="right"/>
              <w:rPr>
                <w:rFonts w:asciiTheme="minorHAnsi" w:hAnsiTheme="minorHAnsi"/>
                <w:sz w:val="16"/>
                <w:szCs w:val="16"/>
              </w:rPr>
            </w:pPr>
            <w:r w:rsidRPr="00D85A26">
              <w:rPr>
                <w:sz w:val="16"/>
                <w:szCs w:val="18"/>
              </w:rPr>
              <w:t>1,43</w:t>
            </w:r>
          </w:p>
        </w:tc>
        <w:tc>
          <w:tcPr>
            <w:tcW w:w="991" w:type="dxa"/>
            <w:tcBorders>
              <w:top w:val="nil"/>
              <w:left w:val="nil"/>
              <w:bottom w:val="single" w:sz="4" w:space="0" w:color="auto"/>
              <w:right w:val="single" w:sz="4" w:space="0" w:color="auto"/>
            </w:tcBorders>
            <w:shd w:val="clear" w:color="000000" w:fill="FFFFFF"/>
            <w:noWrap/>
            <w:vAlign w:val="bottom"/>
            <w:hideMark/>
          </w:tcPr>
          <w:p w14:paraId="5C1FB3D6" w14:textId="77777777" w:rsidR="00B56301" w:rsidRPr="00D85A26" w:rsidRDefault="00B56301" w:rsidP="00B37B65">
            <w:pPr>
              <w:jc w:val="right"/>
              <w:rPr>
                <w:rFonts w:asciiTheme="minorHAnsi" w:hAnsiTheme="minorHAnsi"/>
                <w:sz w:val="16"/>
                <w:szCs w:val="16"/>
              </w:rPr>
            </w:pPr>
            <w:r w:rsidRPr="00D85A26">
              <w:rPr>
                <w:sz w:val="16"/>
                <w:szCs w:val="18"/>
              </w:rPr>
              <w:t>1,62</w:t>
            </w:r>
          </w:p>
        </w:tc>
        <w:tc>
          <w:tcPr>
            <w:tcW w:w="991" w:type="dxa"/>
            <w:tcBorders>
              <w:top w:val="nil"/>
              <w:left w:val="nil"/>
              <w:bottom w:val="single" w:sz="4" w:space="0" w:color="auto"/>
              <w:right w:val="single" w:sz="4" w:space="0" w:color="auto"/>
            </w:tcBorders>
            <w:shd w:val="clear" w:color="000000" w:fill="FFFFFF"/>
            <w:noWrap/>
            <w:vAlign w:val="bottom"/>
            <w:hideMark/>
          </w:tcPr>
          <w:p w14:paraId="4742FFD8" w14:textId="77777777" w:rsidR="00B56301" w:rsidRPr="00D85A26" w:rsidRDefault="00B56301" w:rsidP="00B37B65">
            <w:pPr>
              <w:jc w:val="right"/>
              <w:rPr>
                <w:rFonts w:asciiTheme="minorHAnsi" w:hAnsiTheme="minorHAnsi"/>
                <w:sz w:val="16"/>
                <w:szCs w:val="16"/>
              </w:rPr>
            </w:pPr>
            <w:r w:rsidRPr="00D85A26">
              <w:rPr>
                <w:sz w:val="16"/>
                <w:szCs w:val="18"/>
              </w:rPr>
              <w:t>1,65</w:t>
            </w:r>
          </w:p>
        </w:tc>
        <w:tc>
          <w:tcPr>
            <w:tcW w:w="991" w:type="dxa"/>
            <w:tcBorders>
              <w:top w:val="nil"/>
              <w:left w:val="nil"/>
              <w:bottom w:val="single" w:sz="4" w:space="0" w:color="auto"/>
              <w:right w:val="single" w:sz="4" w:space="0" w:color="auto"/>
            </w:tcBorders>
            <w:shd w:val="clear" w:color="000000" w:fill="FFFFFF"/>
            <w:noWrap/>
            <w:vAlign w:val="bottom"/>
            <w:hideMark/>
          </w:tcPr>
          <w:p w14:paraId="705DD8E8" w14:textId="77777777" w:rsidR="00B56301" w:rsidRPr="00D85A26" w:rsidRDefault="00B56301" w:rsidP="00B37B65">
            <w:pPr>
              <w:jc w:val="right"/>
              <w:rPr>
                <w:rFonts w:asciiTheme="minorHAnsi" w:hAnsiTheme="minorHAnsi"/>
                <w:sz w:val="16"/>
                <w:szCs w:val="16"/>
              </w:rPr>
            </w:pPr>
            <w:r w:rsidRPr="00D85A26">
              <w:rPr>
                <w:sz w:val="16"/>
                <w:szCs w:val="18"/>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5B573B82" w14:textId="77777777" w:rsidR="00B56301" w:rsidRPr="00D85A26" w:rsidRDefault="00B56301" w:rsidP="00B37B65">
            <w:pPr>
              <w:jc w:val="right"/>
              <w:rPr>
                <w:rFonts w:asciiTheme="minorHAnsi" w:hAnsiTheme="minorHAnsi"/>
                <w:sz w:val="16"/>
                <w:szCs w:val="16"/>
              </w:rPr>
            </w:pPr>
            <w:r w:rsidRPr="00D85A26">
              <w:rPr>
                <w:sz w:val="16"/>
                <w:szCs w:val="18"/>
              </w:rPr>
              <w:t>1,72</w:t>
            </w:r>
          </w:p>
        </w:tc>
        <w:tc>
          <w:tcPr>
            <w:tcW w:w="991" w:type="dxa"/>
            <w:tcBorders>
              <w:top w:val="nil"/>
              <w:left w:val="nil"/>
              <w:bottom w:val="single" w:sz="4" w:space="0" w:color="auto"/>
              <w:right w:val="single" w:sz="4" w:space="0" w:color="auto"/>
            </w:tcBorders>
            <w:shd w:val="clear" w:color="000000" w:fill="FFFFFF"/>
            <w:noWrap/>
            <w:vAlign w:val="bottom"/>
            <w:hideMark/>
          </w:tcPr>
          <w:p w14:paraId="3C92D48D" w14:textId="77777777" w:rsidR="00B56301" w:rsidRPr="00D85A26" w:rsidRDefault="00B56301" w:rsidP="00B37B65">
            <w:pPr>
              <w:jc w:val="right"/>
              <w:rPr>
                <w:rFonts w:asciiTheme="minorHAnsi" w:hAnsiTheme="minorHAnsi"/>
                <w:sz w:val="16"/>
                <w:szCs w:val="16"/>
              </w:rPr>
            </w:pPr>
            <w:r w:rsidRPr="00D85A26">
              <w:rPr>
                <w:sz w:val="16"/>
                <w:szCs w:val="18"/>
              </w:rPr>
              <w:t>1,81</w:t>
            </w:r>
          </w:p>
        </w:tc>
      </w:tr>
      <w:tr w:rsidR="00B56301" w:rsidRPr="00D85A26" w14:paraId="002981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030B2B" w14:textId="75B83AB0"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2.</w:t>
            </w:r>
            <w:r w:rsidR="00260E0B">
              <w:rPr>
                <w:rFonts w:asciiTheme="minorHAnsi" w:hAnsiTheme="minorHAnsi"/>
                <w:sz w:val="16"/>
                <w:szCs w:val="16"/>
              </w:rPr>
              <w:t xml:space="preserve"> </w:t>
            </w:r>
            <w:r w:rsidRPr="00D85A26">
              <w:rPr>
                <w:rFonts w:asciiTheme="minorHAnsi" w:hAnsiTheme="minorHAnsi"/>
                <w:sz w:val="16"/>
                <w:szCs w:val="16"/>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9D0448A" w14:textId="77777777" w:rsidR="00B56301" w:rsidRPr="00D85A26" w:rsidRDefault="00B56301" w:rsidP="00B37B65">
            <w:pPr>
              <w:jc w:val="right"/>
              <w:rPr>
                <w:rFonts w:asciiTheme="minorHAnsi" w:hAnsiTheme="minorHAnsi"/>
                <w:sz w:val="16"/>
                <w:szCs w:val="16"/>
              </w:rPr>
            </w:pPr>
            <w:r w:rsidRPr="00D85A26">
              <w:rPr>
                <w:sz w:val="16"/>
                <w:szCs w:val="18"/>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75E24CC1" w14:textId="77777777" w:rsidR="00B56301" w:rsidRPr="00D85A26" w:rsidRDefault="00B56301" w:rsidP="00B37B65">
            <w:pPr>
              <w:jc w:val="right"/>
              <w:rPr>
                <w:rFonts w:asciiTheme="minorHAnsi" w:hAnsiTheme="minorHAnsi"/>
                <w:sz w:val="16"/>
                <w:szCs w:val="16"/>
              </w:rPr>
            </w:pPr>
            <w:r w:rsidRPr="00D85A26">
              <w:rPr>
                <w:sz w:val="16"/>
                <w:szCs w:val="18"/>
              </w:rPr>
              <w:t>1,51</w:t>
            </w:r>
          </w:p>
        </w:tc>
        <w:tc>
          <w:tcPr>
            <w:tcW w:w="991" w:type="dxa"/>
            <w:tcBorders>
              <w:top w:val="nil"/>
              <w:left w:val="nil"/>
              <w:bottom w:val="single" w:sz="4" w:space="0" w:color="auto"/>
              <w:right w:val="single" w:sz="4" w:space="0" w:color="auto"/>
            </w:tcBorders>
            <w:shd w:val="clear" w:color="000000" w:fill="FFFFFF"/>
            <w:noWrap/>
            <w:vAlign w:val="bottom"/>
            <w:hideMark/>
          </w:tcPr>
          <w:p w14:paraId="05A7742A" w14:textId="77777777" w:rsidR="00B56301" w:rsidRPr="00D85A26" w:rsidRDefault="00B56301" w:rsidP="00B37B65">
            <w:pPr>
              <w:jc w:val="right"/>
              <w:rPr>
                <w:rFonts w:asciiTheme="minorHAnsi" w:hAnsiTheme="minorHAnsi"/>
                <w:sz w:val="16"/>
                <w:szCs w:val="16"/>
              </w:rPr>
            </w:pPr>
            <w:r w:rsidRPr="00D85A26">
              <w:rPr>
                <w:sz w:val="16"/>
                <w:szCs w:val="18"/>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0420200A" w14:textId="77777777" w:rsidR="00B56301" w:rsidRPr="00D85A26" w:rsidRDefault="00B56301" w:rsidP="00B37B65">
            <w:pPr>
              <w:jc w:val="right"/>
              <w:rPr>
                <w:rFonts w:asciiTheme="minorHAnsi" w:hAnsiTheme="minorHAnsi"/>
                <w:sz w:val="16"/>
                <w:szCs w:val="16"/>
              </w:rPr>
            </w:pPr>
            <w:r w:rsidRPr="00D85A26">
              <w:rPr>
                <w:sz w:val="16"/>
                <w:szCs w:val="18"/>
              </w:rPr>
              <w:t>1,99</w:t>
            </w:r>
          </w:p>
        </w:tc>
        <w:tc>
          <w:tcPr>
            <w:tcW w:w="991" w:type="dxa"/>
            <w:tcBorders>
              <w:top w:val="nil"/>
              <w:left w:val="nil"/>
              <w:bottom w:val="single" w:sz="4" w:space="0" w:color="auto"/>
              <w:right w:val="single" w:sz="4" w:space="0" w:color="auto"/>
            </w:tcBorders>
            <w:shd w:val="clear" w:color="000000" w:fill="FFFFFF"/>
            <w:noWrap/>
            <w:vAlign w:val="bottom"/>
            <w:hideMark/>
          </w:tcPr>
          <w:p w14:paraId="5F79DC9F" w14:textId="77777777" w:rsidR="00B56301" w:rsidRPr="00D85A26" w:rsidRDefault="00B56301" w:rsidP="00B37B65">
            <w:pPr>
              <w:jc w:val="right"/>
              <w:rPr>
                <w:rFonts w:asciiTheme="minorHAnsi" w:hAnsiTheme="minorHAnsi"/>
                <w:sz w:val="16"/>
                <w:szCs w:val="16"/>
              </w:rPr>
            </w:pPr>
            <w:r w:rsidRPr="00D85A26">
              <w:rPr>
                <w:sz w:val="16"/>
                <w:szCs w:val="18"/>
              </w:rPr>
              <w:t>1,80</w:t>
            </w:r>
          </w:p>
        </w:tc>
        <w:tc>
          <w:tcPr>
            <w:tcW w:w="991" w:type="dxa"/>
            <w:tcBorders>
              <w:top w:val="nil"/>
              <w:left w:val="nil"/>
              <w:bottom w:val="single" w:sz="4" w:space="0" w:color="auto"/>
              <w:right w:val="single" w:sz="4" w:space="0" w:color="auto"/>
            </w:tcBorders>
            <w:shd w:val="clear" w:color="000000" w:fill="FFFFFF"/>
            <w:noWrap/>
            <w:vAlign w:val="bottom"/>
            <w:hideMark/>
          </w:tcPr>
          <w:p w14:paraId="6111BA6B" w14:textId="77777777" w:rsidR="00B56301" w:rsidRPr="00D85A26" w:rsidRDefault="00B56301" w:rsidP="00B37B65">
            <w:pPr>
              <w:jc w:val="right"/>
              <w:rPr>
                <w:rFonts w:asciiTheme="minorHAnsi" w:hAnsiTheme="minorHAnsi"/>
                <w:sz w:val="16"/>
                <w:szCs w:val="16"/>
              </w:rPr>
            </w:pPr>
            <w:r w:rsidRPr="00D85A26">
              <w:rPr>
                <w:sz w:val="16"/>
                <w:szCs w:val="18"/>
              </w:rPr>
              <w:t>1,60</w:t>
            </w:r>
          </w:p>
        </w:tc>
      </w:tr>
      <w:tr w:rsidR="00B56301" w:rsidRPr="00D85A26" w14:paraId="4B6AA28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6C04E6" w14:textId="37B07B35"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3.</w:t>
            </w:r>
            <w:r w:rsidR="00260E0B">
              <w:rPr>
                <w:rFonts w:asciiTheme="minorHAnsi" w:hAnsiTheme="minorHAnsi"/>
                <w:sz w:val="16"/>
                <w:szCs w:val="16"/>
              </w:rPr>
              <w:t xml:space="preserve"> </w:t>
            </w:r>
            <w:r w:rsidRPr="00D85A26">
              <w:rPr>
                <w:rFonts w:asciiTheme="minorHAnsi" w:hAnsiTheme="minorHAnsi"/>
                <w:sz w:val="16"/>
                <w:szCs w:val="16"/>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204C46B" w14:textId="77777777" w:rsidR="00B56301" w:rsidRPr="00D85A26" w:rsidRDefault="00B56301" w:rsidP="00B37B65">
            <w:pPr>
              <w:jc w:val="right"/>
              <w:rPr>
                <w:rFonts w:asciiTheme="minorHAnsi" w:hAnsiTheme="minorHAnsi"/>
                <w:sz w:val="16"/>
                <w:szCs w:val="16"/>
              </w:rPr>
            </w:pPr>
            <w:r w:rsidRPr="00D85A26">
              <w:rPr>
                <w:sz w:val="16"/>
                <w:szCs w:val="18"/>
              </w:rPr>
              <w:t>5,61</w:t>
            </w:r>
          </w:p>
        </w:tc>
        <w:tc>
          <w:tcPr>
            <w:tcW w:w="991" w:type="dxa"/>
            <w:tcBorders>
              <w:top w:val="nil"/>
              <w:left w:val="nil"/>
              <w:bottom w:val="single" w:sz="4" w:space="0" w:color="auto"/>
              <w:right w:val="single" w:sz="4" w:space="0" w:color="auto"/>
            </w:tcBorders>
            <w:shd w:val="clear" w:color="000000" w:fill="FFFFFF"/>
            <w:noWrap/>
            <w:vAlign w:val="bottom"/>
            <w:hideMark/>
          </w:tcPr>
          <w:p w14:paraId="3BF0356E" w14:textId="77777777" w:rsidR="00B56301" w:rsidRPr="00D85A26" w:rsidRDefault="00B56301" w:rsidP="00B37B65">
            <w:pPr>
              <w:jc w:val="right"/>
              <w:rPr>
                <w:rFonts w:asciiTheme="minorHAnsi" w:hAnsiTheme="minorHAnsi"/>
                <w:sz w:val="16"/>
                <w:szCs w:val="16"/>
              </w:rPr>
            </w:pPr>
            <w:r w:rsidRPr="00D85A26">
              <w:rPr>
                <w:sz w:val="16"/>
                <w:szCs w:val="18"/>
              </w:rPr>
              <w:t>6,70</w:t>
            </w:r>
          </w:p>
        </w:tc>
        <w:tc>
          <w:tcPr>
            <w:tcW w:w="991" w:type="dxa"/>
            <w:tcBorders>
              <w:top w:val="nil"/>
              <w:left w:val="nil"/>
              <w:bottom w:val="single" w:sz="4" w:space="0" w:color="auto"/>
              <w:right w:val="single" w:sz="4" w:space="0" w:color="auto"/>
            </w:tcBorders>
            <w:shd w:val="clear" w:color="000000" w:fill="FFFFFF"/>
            <w:noWrap/>
            <w:vAlign w:val="bottom"/>
            <w:hideMark/>
          </w:tcPr>
          <w:p w14:paraId="093EA0D8" w14:textId="77777777" w:rsidR="00B56301" w:rsidRPr="00D85A26" w:rsidRDefault="00B56301" w:rsidP="00B37B65">
            <w:pPr>
              <w:jc w:val="right"/>
              <w:rPr>
                <w:rFonts w:asciiTheme="minorHAnsi" w:hAnsiTheme="minorHAnsi"/>
                <w:sz w:val="16"/>
                <w:szCs w:val="16"/>
              </w:rPr>
            </w:pPr>
            <w:r w:rsidRPr="00D85A26">
              <w:rPr>
                <w:sz w:val="16"/>
                <w:szCs w:val="18"/>
              </w:rPr>
              <w:t>7,64</w:t>
            </w:r>
          </w:p>
        </w:tc>
        <w:tc>
          <w:tcPr>
            <w:tcW w:w="991" w:type="dxa"/>
            <w:tcBorders>
              <w:top w:val="nil"/>
              <w:left w:val="nil"/>
              <w:bottom w:val="single" w:sz="4" w:space="0" w:color="auto"/>
              <w:right w:val="single" w:sz="4" w:space="0" w:color="auto"/>
            </w:tcBorders>
            <w:shd w:val="clear" w:color="000000" w:fill="FFFFFF"/>
            <w:noWrap/>
            <w:vAlign w:val="bottom"/>
            <w:hideMark/>
          </w:tcPr>
          <w:p w14:paraId="42AD36D1" w14:textId="77777777" w:rsidR="00B56301" w:rsidRPr="00D85A26" w:rsidRDefault="00B56301" w:rsidP="00B37B65">
            <w:pPr>
              <w:jc w:val="right"/>
              <w:rPr>
                <w:rFonts w:asciiTheme="minorHAnsi" w:hAnsiTheme="minorHAnsi"/>
                <w:sz w:val="16"/>
                <w:szCs w:val="16"/>
              </w:rPr>
            </w:pPr>
            <w:r w:rsidRPr="00D85A26">
              <w:rPr>
                <w:sz w:val="16"/>
                <w:szCs w:val="18"/>
              </w:rPr>
              <w:t>8,13</w:t>
            </w:r>
          </w:p>
        </w:tc>
        <w:tc>
          <w:tcPr>
            <w:tcW w:w="991" w:type="dxa"/>
            <w:tcBorders>
              <w:top w:val="nil"/>
              <w:left w:val="nil"/>
              <w:bottom w:val="single" w:sz="4" w:space="0" w:color="auto"/>
              <w:right w:val="single" w:sz="4" w:space="0" w:color="auto"/>
            </w:tcBorders>
            <w:shd w:val="clear" w:color="000000" w:fill="FFFFFF"/>
            <w:noWrap/>
            <w:vAlign w:val="bottom"/>
            <w:hideMark/>
          </w:tcPr>
          <w:p w14:paraId="0A1CBA2F" w14:textId="77777777" w:rsidR="00B56301" w:rsidRPr="00D85A26" w:rsidRDefault="00B56301" w:rsidP="00B37B65">
            <w:pPr>
              <w:jc w:val="right"/>
              <w:rPr>
                <w:rFonts w:asciiTheme="minorHAnsi" w:hAnsiTheme="minorHAnsi"/>
                <w:sz w:val="16"/>
                <w:szCs w:val="16"/>
              </w:rPr>
            </w:pPr>
            <w:r w:rsidRPr="00D85A26">
              <w:rPr>
                <w:sz w:val="16"/>
                <w:szCs w:val="18"/>
              </w:rPr>
              <w:t>4,81</w:t>
            </w:r>
          </w:p>
        </w:tc>
        <w:tc>
          <w:tcPr>
            <w:tcW w:w="991" w:type="dxa"/>
            <w:tcBorders>
              <w:top w:val="nil"/>
              <w:left w:val="nil"/>
              <w:bottom w:val="single" w:sz="4" w:space="0" w:color="auto"/>
              <w:right w:val="single" w:sz="4" w:space="0" w:color="auto"/>
            </w:tcBorders>
            <w:shd w:val="clear" w:color="000000" w:fill="FFFFFF"/>
            <w:noWrap/>
            <w:vAlign w:val="bottom"/>
            <w:hideMark/>
          </w:tcPr>
          <w:p w14:paraId="0B1F50C7" w14:textId="77777777" w:rsidR="00B56301" w:rsidRPr="00D85A26" w:rsidRDefault="00B56301" w:rsidP="00B37B65">
            <w:pPr>
              <w:jc w:val="right"/>
              <w:rPr>
                <w:rFonts w:asciiTheme="minorHAnsi" w:hAnsiTheme="minorHAnsi"/>
                <w:sz w:val="16"/>
                <w:szCs w:val="16"/>
              </w:rPr>
            </w:pPr>
            <w:r w:rsidRPr="00D85A26">
              <w:rPr>
                <w:sz w:val="16"/>
                <w:szCs w:val="18"/>
              </w:rPr>
              <w:t>4,67</w:t>
            </w:r>
          </w:p>
        </w:tc>
      </w:tr>
      <w:tr w:rsidR="00B56301" w:rsidRPr="00D85A26" w14:paraId="67EB17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E92240" w14:textId="0873711B"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4.</w:t>
            </w:r>
            <w:r w:rsidR="00260E0B">
              <w:rPr>
                <w:rFonts w:asciiTheme="minorHAnsi" w:hAnsiTheme="minorHAnsi"/>
                <w:sz w:val="16"/>
                <w:szCs w:val="16"/>
              </w:rPr>
              <w:t xml:space="preserve"> </w:t>
            </w:r>
            <w:r w:rsidRPr="00D85A26">
              <w:rPr>
                <w:rFonts w:asciiTheme="minorHAnsi" w:hAnsiTheme="minorHAnsi"/>
                <w:sz w:val="16"/>
                <w:szCs w:val="16"/>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0ED3E6F7" w14:textId="77777777" w:rsidR="00B56301" w:rsidRPr="00D85A26" w:rsidRDefault="00B56301" w:rsidP="00B37B65">
            <w:pPr>
              <w:jc w:val="right"/>
              <w:rPr>
                <w:rFonts w:asciiTheme="minorHAnsi" w:hAnsiTheme="minorHAnsi"/>
                <w:sz w:val="16"/>
                <w:szCs w:val="16"/>
              </w:rPr>
            </w:pPr>
            <w:r w:rsidRPr="00D85A26">
              <w:rPr>
                <w:sz w:val="16"/>
                <w:szCs w:val="18"/>
              </w:rPr>
              <w:t>4,95</w:t>
            </w:r>
          </w:p>
        </w:tc>
        <w:tc>
          <w:tcPr>
            <w:tcW w:w="991" w:type="dxa"/>
            <w:tcBorders>
              <w:top w:val="nil"/>
              <w:left w:val="nil"/>
              <w:bottom w:val="single" w:sz="4" w:space="0" w:color="auto"/>
              <w:right w:val="single" w:sz="4" w:space="0" w:color="auto"/>
            </w:tcBorders>
            <w:shd w:val="clear" w:color="000000" w:fill="FFFFFF"/>
            <w:noWrap/>
            <w:vAlign w:val="bottom"/>
            <w:hideMark/>
          </w:tcPr>
          <w:p w14:paraId="725052EA" w14:textId="77777777" w:rsidR="00B56301" w:rsidRPr="00D85A26" w:rsidRDefault="00B56301" w:rsidP="00B37B65">
            <w:pPr>
              <w:jc w:val="right"/>
              <w:rPr>
                <w:rFonts w:asciiTheme="minorHAnsi" w:hAnsiTheme="minorHAnsi"/>
                <w:sz w:val="16"/>
                <w:szCs w:val="16"/>
              </w:rPr>
            </w:pPr>
            <w:r w:rsidRPr="00D85A26">
              <w:rPr>
                <w:sz w:val="16"/>
                <w:szCs w:val="18"/>
              </w:rPr>
              <w:t>5,12</w:t>
            </w:r>
          </w:p>
        </w:tc>
        <w:tc>
          <w:tcPr>
            <w:tcW w:w="991" w:type="dxa"/>
            <w:tcBorders>
              <w:top w:val="nil"/>
              <w:left w:val="nil"/>
              <w:bottom w:val="single" w:sz="4" w:space="0" w:color="auto"/>
              <w:right w:val="single" w:sz="4" w:space="0" w:color="auto"/>
            </w:tcBorders>
            <w:shd w:val="clear" w:color="000000" w:fill="FFFFFF"/>
            <w:noWrap/>
            <w:vAlign w:val="bottom"/>
            <w:hideMark/>
          </w:tcPr>
          <w:p w14:paraId="0E89DC43" w14:textId="77777777" w:rsidR="00B56301" w:rsidRPr="00D85A26" w:rsidRDefault="00B56301" w:rsidP="00B37B65">
            <w:pPr>
              <w:jc w:val="right"/>
              <w:rPr>
                <w:rFonts w:asciiTheme="minorHAnsi" w:hAnsiTheme="minorHAnsi"/>
                <w:sz w:val="16"/>
                <w:szCs w:val="16"/>
              </w:rPr>
            </w:pPr>
            <w:r w:rsidRPr="00D85A26">
              <w:rPr>
                <w:sz w:val="16"/>
                <w:szCs w:val="18"/>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59D3B68D" w14:textId="77777777" w:rsidR="00B56301" w:rsidRPr="00D85A26" w:rsidRDefault="00B56301" w:rsidP="00B37B65">
            <w:pPr>
              <w:jc w:val="right"/>
              <w:rPr>
                <w:rFonts w:asciiTheme="minorHAnsi" w:hAnsiTheme="minorHAnsi"/>
                <w:sz w:val="16"/>
                <w:szCs w:val="16"/>
              </w:rPr>
            </w:pPr>
            <w:r w:rsidRPr="00D85A26">
              <w:rPr>
                <w:sz w:val="16"/>
                <w:szCs w:val="18"/>
              </w:rPr>
              <w:t>4,97</w:t>
            </w:r>
          </w:p>
        </w:tc>
        <w:tc>
          <w:tcPr>
            <w:tcW w:w="991" w:type="dxa"/>
            <w:tcBorders>
              <w:top w:val="nil"/>
              <w:left w:val="nil"/>
              <w:bottom w:val="single" w:sz="4" w:space="0" w:color="auto"/>
              <w:right w:val="single" w:sz="4" w:space="0" w:color="auto"/>
            </w:tcBorders>
            <w:shd w:val="clear" w:color="000000" w:fill="FFFFFF"/>
            <w:noWrap/>
            <w:vAlign w:val="bottom"/>
            <w:hideMark/>
          </w:tcPr>
          <w:p w14:paraId="2A0F329D" w14:textId="77777777" w:rsidR="00B56301" w:rsidRPr="00D85A26" w:rsidRDefault="00B56301" w:rsidP="00B37B65">
            <w:pPr>
              <w:jc w:val="right"/>
              <w:rPr>
                <w:rFonts w:asciiTheme="minorHAnsi" w:hAnsiTheme="minorHAnsi"/>
                <w:sz w:val="16"/>
                <w:szCs w:val="16"/>
              </w:rPr>
            </w:pPr>
            <w:r w:rsidRPr="00D85A26">
              <w:rPr>
                <w:sz w:val="16"/>
                <w:szCs w:val="18"/>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24158063" w14:textId="77777777" w:rsidR="00B56301" w:rsidRPr="00D85A26" w:rsidRDefault="00B56301" w:rsidP="00B37B65">
            <w:pPr>
              <w:jc w:val="right"/>
              <w:rPr>
                <w:rFonts w:asciiTheme="minorHAnsi" w:hAnsiTheme="minorHAnsi"/>
                <w:sz w:val="16"/>
                <w:szCs w:val="16"/>
              </w:rPr>
            </w:pPr>
            <w:r w:rsidRPr="00D85A26">
              <w:rPr>
                <w:sz w:val="16"/>
                <w:szCs w:val="18"/>
              </w:rPr>
              <w:t>4,85</w:t>
            </w:r>
          </w:p>
        </w:tc>
      </w:tr>
      <w:tr w:rsidR="00B56301" w:rsidRPr="00D85A26" w14:paraId="011CF1E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0E40E0E" w14:textId="4FC6CBE9"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5.</w:t>
            </w:r>
            <w:r w:rsidR="00260E0B">
              <w:rPr>
                <w:rFonts w:asciiTheme="minorHAnsi" w:hAnsiTheme="minorHAnsi"/>
                <w:sz w:val="16"/>
                <w:szCs w:val="16"/>
              </w:rPr>
              <w:t xml:space="preserve"> </w:t>
            </w:r>
            <w:r w:rsidRPr="00D85A26">
              <w:rPr>
                <w:rFonts w:asciiTheme="minorHAnsi" w:hAnsiTheme="minorHAnsi"/>
                <w:sz w:val="16"/>
                <w:szCs w:val="16"/>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07FC1597"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CD507E9" w14:textId="77777777" w:rsidR="00B56301" w:rsidRPr="00D85A26" w:rsidRDefault="00B56301" w:rsidP="00B37B65">
            <w:pPr>
              <w:jc w:val="right"/>
              <w:rPr>
                <w:rFonts w:asciiTheme="minorHAnsi" w:hAnsiTheme="minorHAnsi"/>
                <w:sz w:val="16"/>
                <w:szCs w:val="16"/>
              </w:rPr>
            </w:pPr>
            <w:r w:rsidRPr="00D85A26">
              <w:rPr>
                <w:sz w:val="16"/>
                <w:szCs w:val="18"/>
              </w:rPr>
              <w:t>0,02</w:t>
            </w:r>
          </w:p>
        </w:tc>
        <w:tc>
          <w:tcPr>
            <w:tcW w:w="991" w:type="dxa"/>
            <w:tcBorders>
              <w:top w:val="nil"/>
              <w:left w:val="nil"/>
              <w:bottom w:val="single" w:sz="4" w:space="0" w:color="auto"/>
              <w:right w:val="single" w:sz="4" w:space="0" w:color="auto"/>
            </w:tcBorders>
            <w:shd w:val="clear" w:color="000000" w:fill="FFFFFF"/>
            <w:noWrap/>
            <w:vAlign w:val="bottom"/>
            <w:hideMark/>
          </w:tcPr>
          <w:p w14:paraId="439D6F7A"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9CA82A6"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902E04A"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E634363"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2687671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78E297" w14:textId="7777777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E999320" w14:textId="77777777" w:rsidR="00B56301" w:rsidRPr="00D85A26" w:rsidRDefault="00B56301" w:rsidP="00B37B65">
            <w:pPr>
              <w:jc w:val="right"/>
              <w:rPr>
                <w:rFonts w:asciiTheme="minorHAnsi" w:hAnsiTheme="minorHAnsi"/>
                <w:sz w:val="16"/>
                <w:szCs w:val="16"/>
              </w:rPr>
            </w:pPr>
            <w:r w:rsidRPr="00D85A26">
              <w:rPr>
                <w:sz w:val="16"/>
                <w:szCs w:val="18"/>
              </w:rPr>
              <w:t>0,09</w:t>
            </w:r>
          </w:p>
        </w:tc>
        <w:tc>
          <w:tcPr>
            <w:tcW w:w="991" w:type="dxa"/>
            <w:tcBorders>
              <w:top w:val="nil"/>
              <w:left w:val="nil"/>
              <w:bottom w:val="single" w:sz="4" w:space="0" w:color="auto"/>
              <w:right w:val="single" w:sz="4" w:space="0" w:color="auto"/>
            </w:tcBorders>
            <w:shd w:val="clear" w:color="000000" w:fill="CCFFFF"/>
            <w:noWrap/>
            <w:vAlign w:val="bottom"/>
            <w:hideMark/>
          </w:tcPr>
          <w:p w14:paraId="34ADF084"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0FF0D325"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24E0E818"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6334964A" w14:textId="77777777" w:rsidR="00B56301" w:rsidRPr="00D85A26" w:rsidRDefault="00B56301" w:rsidP="00B37B65">
            <w:pPr>
              <w:jc w:val="right"/>
              <w:rPr>
                <w:rFonts w:asciiTheme="minorHAnsi" w:hAnsiTheme="minorHAnsi"/>
                <w:sz w:val="16"/>
                <w:szCs w:val="16"/>
              </w:rPr>
            </w:pPr>
            <w:r w:rsidRPr="00D85A26">
              <w:rPr>
                <w:sz w:val="16"/>
                <w:szCs w:val="18"/>
              </w:rPr>
              <w:t>0,09</w:t>
            </w:r>
          </w:p>
        </w:tc>
        <w:tc>
          <w:tcPr>
            <w:tcW w:w="991" w:type="dxa"/>
            <w:tcBorders>
              <w:top w:val="nil"/>
              <w:left w:val="nil"/>
              <w:bottom w:val="single" w:sz="4" w:space="0" w:color="auto"/>
              <w:right w:val="single" w:sz="4" w:space="0" w:color="auto"/>
            </w:tcBorders>
            <w:shd w:val="clear" w:color="000000" w:fill="CCFFFF"/>
            <w:noWrap/>
            <w:vAlign w:val="bottom"/>
            <w:hideMark/>
          </w:tcPr>
          <w:p w14:paraId="73769036" w14:textId="77777777" w:rsidR="00B56301" w:rsidRPr="00D85A26" w:rsidRDefault="00B56301" w:rsidP="00B37B65">
            <w:pPr>
              <w:jc w:val="right"/>
              <w:rPr>
                <w:rFonts w:asciiTheme="minorHAnsi" w:hAnsiTheme="minorHAnsi"/>
                <w:sz w:val="16"/>
                <w:szCs w:val="16"/>
              </w:rPr>
            </w:pPr>
            <w:r w:rsidRPr="00D85A26">
              <w:rPr>
                <w:sz w:val="16"/>
                <w:szCs w:val="18"/>
              </w:rPr>
              <w:t>0,10</w:t>
            </w:r>
          </w:p>
        </w:tc>
      </w:tr>
      <w:tr w:rsidR="00B56301" w:rsidRPr="00D85A26" w14:paraId="463CF27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389F655" w14:textId="18897ED7"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4EBBD7B8"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74F9A91"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3E975A7"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5384BA"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5178D1E"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38D7E8E"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22D93C4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2D9F43" w14:textId="6DD3C5BC" w:rsidR="00B56301" w:rsidRPr="00D85A26" w:rsidRDefault="00B56301" w:rsidP="00B37B65">
            <w:pPr>
              <w:ind w:firstLineChars="500" w:firstLine="800"/>
              <w:jc w:val="left"/>
              <w:rPr>
                <w:rFonts w:asciiTheme="minorHAnsi" w:hAnsiTheme="minorHAnsi"/>
                <w:sz w:val="16"/>
                <w:szCs w:val="16"/>
                <w:lang w:val="en-GB"/>
              </w:rPr>
            </w:pPr>
            <w:r w:rsidRPr="00D85A26">
              <w:rPr>
                <w:rFonts w:asciiTheme="minorHAnsi" w:hAnsiTheme="minorHAnsi"/>
                <w:sz w:val="16"/>
                <w:szCs w:val="16"/>
                <w:lang w:val="en-GB"/>
              </w:rPr>
              <w:t>2.</w:t>
            </w:r>
            <w:r w:rsidR="00260E0B">
              <w:rPr>
                <w:rFonts w:asciiTheme="minorHAnsi" w:hAnsiTheme="minorHAnsi"/>
                <w:sz w:val="16"/>
                <w:szCs w:val="16"/>
                <w:lang w:val="en-GB"/>
              </w:rPr>
              <w:t xml:space="preserve"> </w:t>
            </w:r>
            <w:r w:rsidRPr="00D85A26">
              <w:rPr>
                <w:rFonts w:asciiTheme="minorHAnsi" w:hAnsiTheme="minorHAnsi"/>
                <w:sz w:val="16"/>
                <w:szCs w:val="16"/>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10438863" w14:textId="77777777" w:rsidR="00B56301" w:rsidRPr="00D85A26" w:rsidRDefault="00B56301" w:rsidP="00B37B65">
            <w:pPr>
              <w:jc w:val="right"/>
              <w:rPr>
                <w:rFonts w:asciiTheme="minorHAnsi" w:hAnsiTheme="minorHAnsi"/>
                <w:sz w:val="16"/>
                <w:szCs w:val="16"/>
              </w:rPr>
            </w:pPr>
            <w:r w:rsidRPr="00D85A26">
              <w:rPr>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09D3F68A"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3A5C4EE"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980AC2A"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48598898" w14:textId="77777777" w:rsidR="00B56301" w:rsidRPr="00D85A26" w:rsidRDefault="00B56301" w:rsidP="00B37B65">
            <w:pPr>
              <w:jc w:val="right"/>
              <w:rPr>
                <w:rFonts w:asciiTheme="minorHAnsi" w:hAnsiTheme="minorHAnsi"/>
                <w:sz w:val="16"/>
                <w:szCs w:val="16"/>
              </w:rPr>
            </w:pPr>
            <w:r w:rsidRPr="00D85A26">
              <w:rPr>
                <w:sz w:val="16"/>
                <w:szCs w:val="18"/>
              </w:rPr>
              <w:t>0,09</w:t>
            </w:r>
          </w:p>
        </w:tc>
        <w:tc>
          <w:tcPr>
            <w:tcW w:w="991" w:type="dxa"/>
            <w:tcBorders>
              <w:top w:val="nil"/>
              <w:left w:val="nil"/>
              <w:bottom w:val="single" w:sz="4" w:space="0" w:color="auto"/>
              <w:right w:val="single" w:sz="4" w:space="0" w:color="auto"/>
            </w:tcBorders>
            <w:shd w:val="clear" w:color="000000" w:fill="FFFFFF"/>
            <w:noWrap/>
            <w:vAlign w:val="bottom"/>
            <w:hideMark/>
          </w:tcPr>
          <w:p w14:paraId="2DDA180B" w14:textId="77777777" w:rsidR="00B56301" w:rsidRPr="00D85A26" w:rsidRDefault="00B56301" w:rsidP="00B37B65">
            <w:pPr>
              <w:jc w:val="right"/>
              <w:rPr>
                <w:rFonts w:asciiTheme="minorHAnsi" w:hAnsiTheme="minorHAnsi"/>
                <w:sz w:val="16"/>
                <w:szCs w:val="16"/>
              </w:rPr>
            </w:pPr>
            <w:r w:rsidRPr="00D85A26">
              <w:rPr>
                <w:sz w:val="16"/>
                <w:szCs w:val="18"/>
              </w:rPr>
              <w:t>0,10</w:t>
            </w:r>
          </w:p>
        </w:tc>
      </w:tr>
      <w:tr w:rsidR="00B56301" w:rsidRPr="00833C38" w14:paraId="0374AE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E976CA" w14:textId="1914331B"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 xml:space="preserve">C. </w:t>
            </w:r>
            <w:r w:rsidR="007F09F7" w:rsidRPr="006C251B">
              <w:rPr>
                <w:lang w:val="en-GB"/>
              </w:rPr>
              <w:t>CO</w:t>
            </w:r>
            <w:r w:rsidR="007F09F7" w:rsidRPr="006C251B">
              <w:rPr>
                <w:vertAlign w:val="subscript"/>
                <w:lang w:val="en-GB"/>
              </w:rPr>
              <w:t>2</w:t>
            </w:r>
            <w:r w:rsidRPr="00D85A26">
              <w:rPr>
                <w:rFonts w:asciiTheme="minorHAnsi" w:hAnsiTheme="minorHAnsi"/>
                <w:sz w:val="16"/>
                <w:szCs w:val="16"/>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517EC97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02FEC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5F3B82E"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EDB1E7"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CEA1B1"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1DD4A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73876D8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52047F" w14:textId="7055B002"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2.</w:t>
            </w:r>
            <w:r w:rsidR="00260E0B">
              <w:rPr>
                <w:rFonts w:asciiTheme="minorHAnsi" w:hAnsiTheme="minorHAnsi"/>
                <w:b/>
                <w:bCs/>
                <w:sz w:val="16"/>
                <w:szCs w:val="16"/>
              </w:rPr>
              <w:t xml:space="preserve"> </w:t>
            </w:r>
            <w:r w:rsidRPr="00D85A26">
              <w:rPr>
                <w:rFonts w:asciiTheme="minorHAnsi" w:hAnsiTheme="minorHAnsi"/>
                <w:b/>
                <w:bCs/>
                <w:sz w:val="16"/>
                <w:szCs w:val="16"/>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1B834665" w14:textId="77777777" w:rsidR="00B56301" w:rsidRPr="00D85A26" w:rsidRDefault="00B56301" w:rsidP="00B37B65">
            <w:pPr>
              <w:jc w:val="right"/>
              <w:rPr>
                <w:rFonts w:asciiTheme="minorHAnsi" w:hAnsiTheme="minorHAnsi"/>
                <w:sz w:val="16"/>
                <w:szCs w:val="16"/>
              </w:rPr>
            </w:pPr>
            <w:r w:rsidRPr="00D85A26">
              <w:rPr>
                <w:sz w:val="16"/>
                <w:szCs w:val="18"/>
              </w:rPr>
              <w:t>87,02</w:t>
            </w:r>
          </w:p>
        </w:tc>
        <w:tc>
          <w:tcPr>
            <w:tcW w:w="991" w:type="dxa"/>
            <w:tcBorders>
              <w:top w:val="nil"/>
              <w:left w:val="nil"/>
              <w:bottom w:val="single" w:sz="4" w:space="0" w:color="auto"/>
              <w:right w:val="single" w:sz="4" w:space="0" w:color="auto"/>
            </w:tcBorders>
            <w:shd w:val="clear" w:color="000000" w:fill="CCFFFF"/>
            <w:noWrap/>
            <w:vAlign w:val="bottom"/>
            <w:hideMark/>
          </w:tcPr>
          <w:p w14:paraId="16304465" w14:textId="77777777" w:rsidR="00B56301" w:rsidRPr="00D85A26" w:rsidRDefault="00B56301" w:rsidP="00B37B65">
            <w:pPr>
              <w:jc w:val="right"/>
              <w:rPr>
                <w:rFonts w:asciiTheme="minorHAnsi" w:hAnsiTheme="minorHAnsi"/>
                <w:sz w:val="16"/>
                <w:szCs w:val="16"/>
              </w:rPr>
            </w:pPr>
            <w:r w:rsidRPr="00D85A26">
              <w:rPr>
                <w:sz w:val="16"/>
                <w:szCs w:val="18"/>
              </w:rPr>
              <w:t>88,65</w:t>
            </w:r>
          </w:p>
        </w:tc>
        <w:tc>
          <w:tcPr>
            <w:tcW w:w="991" w:type="dxa"/>
            <w:tcBorders>
              <w:top w:val="nil"/>
              <w:left w:val="nil"/>
              <w:bottom w:val="single" w:sz="4" w:space="0" w:color="auto"/>
              <w:right w:val="single" w:sz="4" w:space="0" w:color="auto"/>
            </w:tcBorders>
            <w:shd w:val="clear" w:color="000000" w:fill="CCFFFF"/>
            <w:noWrap/>
            <w:vAlign w:val="bottom"/>
            <w:hideMark/>
          </w:tcPr>
          <w:p w14:paraId="54BC96E7" w14:textId="77777777" w:rsidR="00B56301" w:rsidRPr="00D85A26" w:rsidRDefault="00B56301" w:rsidP="00B37B65">
            <w:pPr>
              <w:jc w:val="right"/>
              <w:rPr>
                <w:rFonts w:asciiTheme="minorHAnsi" w:hAnsiTheme="minorHAnsi"/>
                <w:sz w:val="16"/>
                <w:szCs w:val="16"/>
              </w:rPr>
            </w:pPr>
            <w:r w:rsidRPr="00D85A26">
              <w:rPr>
                <w:sz w:val="16"/>
                <w:szCs w:val="18"/>
              </w:rPr>
              <w:t>86,69</w:t>
            </w:r>
          </w:p>
        </w:tc>
        <w:tc>
          <w:tcPr>
            <w:tcW w:w="991" w:type="dxa"/>
            <w:tcBorders>
              <w:top w:val="nil"/>
              <w:left w:val="nil"/>
              <w:bottom w:val="single" w:sz="4" w:space="0" w:color="auto"/>
              <w:right w:val="single" w:sz="4" w:space="0" w:color="auto"/>
            </w:tcBorders>
            <w:shd w:val="clear" w:color="000000" w:fill="CCFFFF"/>
            <w:noWrap/>
            <w:vAlign w:val="bottom"/>
            <w:hideMark/>
          </w:tcPr>
          <w:p w14:paraId="61F60F4E" w14:textId="77777777" w:rsidR="00B56301" w:rsidRPr="00D85A26" w:rsidRDefault="00B56301" w:rsidP="00B37B65">
            <w:pPr>
              <w:jc w:val="right"/>
              <w:rPr>
                <w:rFonts w:asciiTheme="minorHAnsi" w:hAnsiTheme="minorHAnsi"/>
                <w:sz w:val="16"/>
                <w:szCs w:val="16"/>
              </w:rPr>
            </w:pPr>
            <w:r w:rsidRPr="00D85A26">
              <w:rPr>
                <w:sz w:val="16"/>
                <w:szCs w:val="18"/>
              </w:rPr>
              <w:t>62,51</w:t>
            </w:r>
          </w:p>
        </w:tc>
        <w:tc>
          <w:tcPr>
            <w:tcW w:w="991" w:type="dxa"/>
            <w:tcBorders>
              <w:top w:val="nil"/>
              <w:left w:val="nil"/>
              <w:bottom w:val="single" w:sz="4" w:space="0" w:color="auto"/>
              <w:right w:val="single" w:sz="4" w:space="0" w:color="auto"/>
            </w:tcBorders>
            <w:shd w:val="clear" w:color="000000" w:fill="CCFFFF"/>
            <w:noWrap/>
            <w:vAlign w:val="bottom"/>
            <w:hideMark/>
          </w:tcPr>
          <w:p w14:paraId="37B6190D" w14:textId="77777777" w:rsidR="00B56301" w:rsidRPr="00D85A26" w:rsidRDefault="00B56301" w:rsidP="00B37B65">
            <w:pPr>
              <w:jc w:val="right"/>
              <w:rPr>
                <w:rFonts w:asciiTheme="minorHAnsi" w:hAnsiTheme="minorHAnsi"/>
                <w:sz w:val="16"/>
                <w:szCs w:val="16"/>
              </w:rPr>
            </w:pPr>
            <w:r w:rsidRPr="00D85A26">
              <w:rPr>
                <w:sz w:val="16"/>
                <w:szCs w:val="18"/>
              </w:rPr>
              <w:t>44,95</w:t>
            </w:r>
          </w:p>
        </w:tc>
        <w:tc>
          <w:tcPr>
            <w:tcW w:w="991" w:type="dxa"/>
            <w:tcBorders>
              <w:top w:val="nil"/>
              <w:left w:val="nil"/>
              <w:bottom w:val="single" w:sz="4" w:space="0" w:color="auto"/>
              <w:right w:val="single" w:sz="4" w:space="0" w:color="auto"/>
            </w:tcBorders>
            <w:shd w:val="clear" w:color="000000" w:fill="CCFFFF"/>
            <w:noWrap/>
            <w:vAlign w:val="bottom"/>
            <w:hideMark/>
          </w:tcPr>
          <w:p w14:paraId="5FEBC8E9" w14:textId="77777777" w:rsidR="00B56301" w:rsidRPr="00D85A26" w:rsidRDefault="00B56301" w:rsidP="00B37B65">
            <w:pPr>
              <w:jc w:val="right"/>
              <w:rPr>
                <w:rFonts w:asciiTheme="minorHAnsi" w:hAnsiTheme="minorHAnsi"/>
                <w:sz w:val="16"/>
                <w:szCs w:val="16"/>
              </w:rPr>
            </w:pPr>
            <w:r w:rsidRPr="00D85A26">
              <w:rPr>
                <w:sz w:val="16"/>
                <w:szCs w:val="18"/>
              </w:rPr>
              <w:t>40,01</w:t>
            </w:r>
          </w:p>
        </w:tc>
      </w:tr>
      <w:tr w:rsidR="00B56301" w:rsidRPr="00D85A26" w14:paraId="69F20F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D81E0E9" w14:textId="224E408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6A9E10B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F39CD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D58B1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461C7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BFE28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61CC93"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23F68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64785C6" w14:textId="2F0E4200"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0E3ABFD" w14:textId="77777777" w:rsidR="00B56301" w:rsidRPr="00D85A26" w:rsidRDefault="00B56301" w:rsidP="00B37B65">
            <w:pPr>
              <w:jc w:val="right"/>
              <w:rPr>
                <w:rFonts w:asciiTheme="minorHAnsi" w:hAnsiTheme="minorHAnsi"/>
                <w:sz w:val="16"/>
                <w:szCs w:val="16"/>
              </w:rPr>
            </w:pPr>
            <w:r w:rsidRPr="00D85A26">
              <w:rPr>
                <w:sz w:val="16"/>
                <w:szCs w:val="18"/>
              </w:rPr>
              <w:t>86,60</w:t>
            </w:r>
          </w:p>
        </w:tc>
        <w:tc>
          <w:tcPr>
            <w:tcW w:w="991" w:type="dxa"/>
            <w:tcBorders>
              <w:top w:val="nil"/>
              <w:left w:val="nil"/>
              <w:bottom w:val="single" w:sz="4" w:space="0" w:color="auto"/>
              <w:right w:val="single" w:sz="4" w:space="0" w:color="auto"/>
            </w:tcBorders>
            <w:shd w:val="clear" w:color="000000" w:fill="FFFFFF"/>
            <w:noWrap/>
            <w:vAlign w:val="bottom"/>
            <w:hideMark/>
          </w:tcPr>
          <w:p w14:paraId="3949BF16" w14:textId="77777777" w:rsidR="00B56301" w:rsidRPr="00D85A26" w:rsidRDefault="00B56301" w:rsidP="00B37B65">
            <w:pPr>
              <w:jc w:val="right"/>
              <w:rPr>
                <w:rFonts w:asciiTheme="minorHAnsi" w:hAnsiTheme="minorHAnsi"/>
                <w:sz w:val="16"/>
                <w:szCs w:val="16"/>
              </w:rPr>
            </w:pPr>
            <w:r w:rsidRPr="00D85A26">
              <w:rPr>
                <w:sz w:val="16"/>
                <w:szCs w:val="18"/>
              </w:rPr>
              <w:t>88,23</w:t>
            </w:r>
          </w:p>
        </w:tc>
        <w:tc>
          <w:tcPr>
            <w:tcW w:w="991" w:type="dxa"/>
            <w:tcBorders>
              <w:top w:val="nil"/>
              <w:left w:val="nil"/>
              <w:bottom w:val="single" w:sz="4" w:space="0" w:color="auto"/>
              <w:right w:val="single" w:sz="4" w:space="0" w:color="auto"/>
            </w:tcBorders>
            <w:shd w:val="clear" w:color="000000" w:fill="FFFFFF"/>
            <w:noWrap/>
            <w:vAlign w:val="bottom"/>
            <w:hideMark/>
          </w:tcPr>
          <w:p w14:paraId="5D346EFB" w14:textId="77777777" w:rsidR="00B56301" w:rsidRPr="00D85A26" w:rsidRDefault="00B56301" w:rsidP="00B37B65">
            <w:pPr>
              <w:jc w:val="right"/>
              <w:rPr>
                <w:rFonts w:asciiTheme="minorHAnsi" w:hAnsiTheme="minorHAnsi"/>
                <w:sz w:val="16"/>
                <w:szCs w:val="16"/>
              </w:rPr>
            </w:pPr>
            <w:r w:rsidRPr="00D85A26">
              <w:rPr>
                <w:sz w:val="16"/>
                <w:szCs w:val="18"/>
              </w:rPr>
              <w:t>86,26</w:t>
            </w:r>
          </w:p>
        </w:tc>
        <w:tc>
          <w:tcPr>
            <w:tcW w:w="991" w:type="dxa"/>
            <w:tcBorders>
              <w:top w:val="nil"/>
              <w:left w:val="nil"/>
              <w:bottom w:val="single" w:sz="4" w:space="0" w:color="auto"/>
              <w:right w:val="single" w:sz="4" w:space="0" w:color="auto"/>
            </w:tcBorders>
            <w:shd w:val="clear" w:color="000000" w:fill="FFFFFF"/>
            <w:noWrap/>
            <w:vAlign w:val="bottom"/>
            <w:hideMark/>
          </w:tcPr>
          <w:p w14:paraId="3F927D22" w14:textId="77777777" w:rsidR="00B56301" w:rsidRPr="00D85A26" w:rsidRDefault="00B56301" w:rsidP="00B37B65">
            <w:pPr>
              <w:jc w:val="right"/>
              <w:rPr>
                <w:rFonts w:asciiTheme="minorHAnsi" w:hAnsiTheme="minorHAnsi"/>
                <w:sz w:val="16"/>
                <w:szCs w:val="16"/>
              </w:rPr>
            </w:pPr>
            <w:r w:rsidRPr="00D85A26">
              <w:rPr>
                <w:sz w:val="16"/>
                <w:szCs w:val="18"/>
              </w:rPr>
              <w:t>62,08</w:t>
            </w:r>
          </w:p>
        </w:tc>
        <w:tc>
          <w:tcPr>
            <w:tcW w:w="991" w:type="dxa"/>
            <w:tcBorders>
              <w:top w:val="nil"/>
              <w:left w:val="nil"/>
              <w:bottom w:val="single" w:sz="4" w:space="0" w:color="auto"/>
              <w:right w:val="single" w:sz="4" w:space="0" w:color="auto"/>
            </w:tcBorders>
            <w:shd w:val="clear" w:color="000000" w:fill="FFFFFF"/>
            <w:noWrap/>
            <w:vAlign w:val="bottom"/>
            <w:hideMark/>
          </w:tcPr>
          <w:p w14:paraId="71D7550B" w14:textId="77777777" w:rsidR="00B56301" w:rsidRPr="00D85A26" w:rsidRDefault="00B56301" w:rsidP="00B37B65">
            <w:pPr>
              <w:jc w:val="right"/>
              <w:rPr>
                <w:rFonts w:asciiTheme="minorHAnsi" w:hAnsiTheme="minorHAnsi"/>
                <w:sz w:val="16"/>
                <w:szCs w:val="16"/>
              </w:rPr>
            </w:pPr>
            <w:r w:rsidRPr="00D85A26">
              <w:rPr>
                <w:sz w:val="16"/>
                <w:szCs w:val="18"/>
              </w:rPr>
              <w:t>44,53</w:t>
            </w:r>
          </w:p>
        </w:tc>
        <w:tc>
          <w:tcPr>
            <w:tcW w:w="991" w:type="dxa"/>
            <w:tcBorders>
              <w:top w:val="nil"/>
              <w:left w:val="nil"/>
              <w:bottom w:val="single" w:sz="4" w:space="0" w:color="auto"/>
              <w:right w:val="single" w:sz="4" w:space="0" w:color="auto"/>
            </w:tcBorders>
            <w:shd w:val="clear" w:color="000000" w:fill="FFFFFF"/>
            <w:noWrap/>
            <w:vAlign w:val="bottom"/>
            <w:hideMark/>
          </w:tcPr>
          <w:p w14:paraId="6CE68313" w14:textId="77777777" w:rsidR="00B56301" w:rsidRPr="00D85A26" w:rsidRDefault="00B56301" w:rsidP="00B37B65">
            <w:pPr>
              <w:jc w:val="right"/>
              <w:rPr>
                <w:rFonts w:asciiTheme="minorHAnsi" w:hAnsiTheme="minorHAnsi"/>
                <w:sz w:val="16"/>
                <w:szCs w:val="16"/>
              </w:rPr>
            </w:pPr>
            <w:r w:rsidRPr="00D85A26">
              <w:rPr>
                <w:sz w:val="16"/>
                <w:szCs w:val="18"/>
              </w:rPr>
              <w:t>39,59</w:t>
            </w:r>
          </w:p>
        </w:tc>
      </w:tr>
      <w:tr w:rsidR="00B56301" w:rsidRPr="00D85A26" w14:paraId="623C5F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919B02" w14:textId="5106D45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DF45C5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8658EF"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70E839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DA3B1A"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1A1DB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F334C5"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1BF492C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122EE37" w14:textId="0E0DCFE0"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4198ABF"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2ECA844"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BFFFB51"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6591842"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30480E7"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ED21175" w14:textId="77777777" w:rsidR="00B56301" w:rsidRPr="00D85A26" w:rsidRDefault="00B56301" w:rsidP="00B37B65">
            <w:pPr>
              <w:jc w:val="right"/>
              <w:rPr>
                <w:rFonts w:asciiTheme="minorHAnsi" w:hAnsiTheme="minorHAnsi"/>
                <w:sz w:val="16"/>
                <w:szCs w:val="16"/>
              </w:rPr>
            </w:pPr>
            <w:r w:rsidRPr="00D85A26">
              <w:rPr>
                <w:sz w:val="16"/>
                <w:szCs w:val="18"/>
              </w:rPr>
              <w:t>0,01</w:t>
            </w:r>
          </w:p>
        </w:tc>
      </w:tr>
      <w:tr w:rsidR="00B56301" w:rsidRPr="00D85A26" w14:paraId="3A1475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0B02EB2" w14:textId="42EC80E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51FC17F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2F31A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90708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394F2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9F0EF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0D2A16"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6294289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DEB5084" w14:textId="061A8839"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077C9C37"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81AFAA"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3CE3C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FA122B"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97D829"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4C5CE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7FD15E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8E5DE34" w14:textId="42E8A5C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G.</w:t>
            </w:r>
            <w:r w:rsidR="00260E0B">
              <w:rPr>
                <w:rFonts w:asciiTheme="minorHAnsi" w:hAnsiTheme="minorHAnsi"/>
                <w:sz w:val="16"/>
                <w:szCs w:val="16"/>
                <w:lang w:val="en-GB"/>
              </w:rPr>
              <w:t xml:space="preserve"> </w:t>
            </w:r>
            <w:r w:rsidRPr="00D85A26">
              <w:rPr>
                <w:rFonts w:asciiTheme="minorHAnsi" w:hAnsiTheme="minorHAnsi"/>
                <w:sz w:val="16"/>
                <w:szCs w:val="16"/>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558A5751" w14:textId="77777777" w:rsidR="00B56301" w:rsidRPr="00D85A26" w:rsidRDefault="00B56301" w:rsidP="00B37B65">
            <w:pPr>
              <w:jc w:val="right"/>
              <w:rPr>
                <w:rFonts w:asciiTheme="minorHAnsi" w:hAnsiTheme="minorHAnsi"/>
                <w:sz w:val="16"/>
                <w:szCs w:val="16"/>
              </w:rPr>
            </w:pPr>
            <w:r w:rsidRPr="00D85A26">
              <w:rPr>
                <w:sz w:val="16"/>
                <w:szCs w:val="18"/>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3744A3E1" w14:textId="77777777" w:rsidR="00B56301" w:rsidRPr="00D85A26" w:rsidRDefault="00B56301" w:rsidP="00B37B65">
            <w:pPr>
              <w:jc w:val="right"/>
              <w:rPr>
                <w:rFonts w:asciiTheme="minorHAnsi" w:hAnsiTheme="minorHAnsi"/>
                <w:sz w:val="16"/>
                <w:szCs w:val="16"/>
              </w:rPr>
            </w:pPr>
            <w:r w:rsidRPr="00D85A26">
              <w:rPr>
                <w:sz w:val="16"/>
                <w:szCs w:val="18"/>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5F4FC654" w14:textId="77777777" w:rsidR="00B56301" w:rsidRPr="00D85A26" w:rsidRDefault="00B56301" w:rsidP="00B37B65">
            <w:pPr>
              <w:jc w:val="right"/>
              <w:rPr>
                <w:rFonts w:asciiTheme="minorHAnsi" w:hAnsiTheme="minorHAnsi"/>
                <w:sz w:val="16"/>
                <w:szCs w:val="16"/>
              </w:rPr>
            </w:pPr>
            <w:r w:rsidRPr="00D85A26">
              <w:rPr>
                <w:sz w:val="16"/>
                <w:szCs w:val="18"/>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12786B52" w14:textId="77777777" w:rsidR="00B56301" w:rsidRPr="00D85A26" w:rsidRDefault="00B56301" w:rsidP="00B37B65">
            <w:pPr>
              <w:jc w:val="right"/>
              <w:rPr>
                <w:rFonts w:asciiTheme="minorHAnsi" w:hAnsiTheme="minorHAnsi"/>
                <w:sz w:val="16"/>
                <w:szCs w:val="16"/>
              </w:rPr>
            </w:pPr>
            <w:r w:rsidRPr="00D85A26">
              <w:rPr>
                <w:sz w:val="16"/>
                <w:szCs w:val="18"/>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30B9E45C" w14:textId="77777777" w:rsidR="00B56301" w:rsidRPr="00D85A26" w:rsidRDefault="00B56301" w:rsidP="00B37B65">
            <w:pPr>
              <w:jc w:val="right"/>
              <w:rPr>
                <w:rFonts w:asciiTheme="minorHAnsi" w:hAnsiTheme="minorHAnsi"/>
                <w:sz w:val="16"/>
                <w:szCs w:val="16"/>
              </w:rPr>
            </w:pPr>
            <w:r w:rsidRPr="00D85A26">
              <w:rPr>
                <w:sz w:val="16"/>
                <w:szCs w:val="18"/>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667A6068" w14:textId="77777777" w:rsidR="00B56301" w:rsidRPr="00D85A26" w:rsidRDefault="00B56301" w:rsidP="00B37B65">
            <w:pPr>
              <w:jc w:val="right"/>
              <w:rPr>
                <w:rFonts w:asciiTheme="minorHAnsi" w:hAnsiTheme="minorHAnsi"/>
                <w:sz w:val="16"/>
                <w:szCs w:val="16"/>
              </w:rPr>
            </w:pPr>
            <w:r w:rsidRPr="00D85A26">
              <w:rPr>
                <w:sz w:val="16"/>
                <w:szCs w:val="18"/>
              </w:rPr>
              <w:t>0,42</w:t>
            </w:r>
          </w:p>
        </w:tc>
      </w:tr>
      <w:tr w:rsidR="00B56301" w:rsidRPr="00D85A26" w14:paraId="248F757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E217ED4" w14:textId="722DCB6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060B5A12"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C8B09DA"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D05DB90"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4C52EC1"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B9F7D4C"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096CEFC" w14:textId="77777777" w:rsidR="00B56301" w:rsidRPr="00D85A26" w:rsidRDefault="00B56301" w:rsidP="00B37B65">
            <w:pPr>
              <w:jc w:val="right"/>
              <w:rPr>
                <w:rFonts w:asciiTheme="minorHAnsi" w:hAnsiTheme="minorHAnsi"/>
                <w:sz w:val="16"/>
                <w:szCs w:val="16"/>
              </w:rPr>
            </w:pPr>
            <w:r w:rsidRPr="00D85A26">
              <w:rPr>
                <w:sz w:val="16"/>
                <w:szCs w:val="18"/>
              </w:rPr>
              <w:t>NO,NA</w:t>
            </w:r>
          </w:p>
        </w:tc>
      </w:tr>
      <w:tr w:rsidR="00B56301" w:rsidRPr="00D85A26" w14:paraId="3A32000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2E9AEB04" w14:textId="61E0A952"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3.</w:t>
            </w:r>
            <w:r w:rsidR="00260E0B">
              <w:rPr>
                <w:rFonts w:asciiTheme="minorHAnsi" w:hAnsiTheme="minorHAnsi"/>
                <w:b/>
                <w:bCs/>
                <w:sz w:val="16"/>
                <w:szCs w:val="16"/>
              </w:rPr>
              <w:t xml:space="preserve"> </w:t>
            </w:r>
            <w:r w:rsidRPr="00D85A26">
              <w:rPr>
                <w:rFonts w:asciiTheme="minorHAnsi" w:hAnsiTheme="minorHAnsi"/>
                <w:b/>
                <w:bCs/>
                <w:sz w:val="16"/>
                <w:szCs w:val="16"/>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0836D18C" w14:textId="77777777" w:rsidR="00B56301" w:rsidRPr="00D85A26" w:rsidRDefault="00B56301" w:rsidP="00B37B65">
            <w:pPr>
              <w:jc w:val="right"/>
              <w:rPr>
                <w:rFonts w:asciiTheme="minorHAnsi" w:hAnsiTheme="minorHAnsi"/>
                <w:sz w:val="16"/>
                <w:szCs w:val="16"/>
              </w:rPr>
            </w:pPr>
            <w:r w:rsidRPr="00D85A26">
              <w:rPr>
                <w:sz w:val="16"/>
                <w:szCs w:val="18"/>
              </w:rPr>
              <w:t>117,99</w:t>
            </w:r>
          </w:p>
        </w:tc>
        <w:tc>
          <w:tcPr>
            <w:tcW w:w="991" w:type="dxa"/>
            <w:tcBorders>
              <w:top w:val="nil"/>
              <w:left w:val="nil"/>
              <w:bottom w:val="single" w:sz="4" w:space="0" w:color="auto"/>
              <w:right w:val="single" w:sz="4" w:space="0" w:color="auto"/>
            </w:tcBorders>
            <w:shd w:val="clear" w:color="000000" w:fill="CCFFFF"/>
            <w:noWrap/>
            <w:vAlign w:val="bottom"/>
            <w:hideMark/>
          </w:tcPr>
          <w:p w14:paraId="3A119A36" w14:textId="77777777" w:rsidR="00B56301" w:rsidRPr="00D85A26" w:rsidRDefault="00B56301" w:rsidP="00B37B65">
            <w:pPr>
              <w:jc w:val="right"/>
              <w:rPr>
                <w:rFonts w:asciiTheme="minorHAnsi" w:hAnsiTheme="minorHAnsi"/>
                <w:sz w:val="16"/>
                <w:szCs w:val="16"/>
              </w:rPr>
            </w:pPr>
            <w:r w:rsidRPr="00D85A26">
              <w:rPr>
                <w:sz w:val="16"/>
                <w:szCs w:val="18"/>
              </w:rPr>
              <w:t>120,02</w:t>
            </w:r>
          </w:p>
        </w:tc>
        <w:tc>
          <w:tcPr>
            <w:tcW w:w="991" w:type="dxa"/>
            <w:tcBorders>
              <w:top w:val="nil"/>
              <w:left w:val="nil"/>
              <w:bottom w:val="single" w:sz="4" w:space="0" w:color="auto"/>
              <w:right w:val="single" w:sz="4" w:space="0" w:color="auto"/>
            </w:tcBorders>
            <w:shd w:val="clear" w:color="000000" w:fill="CCFFFF"/>
            <w:noWrap/>
            <w:vAlign w:val="bottom"/>
            <w:hideMark/>
          </w:tcPr>
          <w:p w14:paraId="5055E5DA" w14:textId="77777777" w:rsidR="00B56301" w:rsidRPr="00D85A26" w:rsidRDefault="00B56301" w:rsidP="00B37B65">
            <w:pPr>
              <w:jc w:val="right"/>
              <w:rPr>
                <w:rFonts w:asciiTheme="minorHAnsi" w:hAnsiTheme="minorHAnsi"/>
                <w:sz w:val="16"/>
                <w:szCs w:val="16"/>
              </w:rPr>
            </w:pPr>
            <w:r w:rsidRPr="00D85A26">
              <w:rPr>
                <w:sz w:val="16"/>
                <w:szCs w:val="18"/>
              </w:rPr>
              <w:t>121,15</w:t>
            </w:r>
          </w:p>
        </w:tc>
        <w:tc>
          <w:tcPr>
            <w:tcW w:w="991" w:type="dxa"/>
            <w:tcBorders>
              <w:top w:val="nil"/>
              <w:left w:val="nil"/>
              <w:bottom w:val="single" w:sz="4" w:space="0" w:color="auto"/>
              <w:right w:val="single" w:sz="4" w:space="0" w:color="auto"/>
            </w:tcBorders>
            <w:shd w:val="clear" w:color="000000" w:fill="CCFFFF"/>
            <w:noWrap/>
            <w:vAlign w:val="bottom"/>
            <w:hideMark/>
          </w:tcPr>
          <w:p w14:paraId="0A5FCD0A" w14:textId="77777777" w:rsidR="00B56301" w:rsidRPr="00D85A26" w:rsidRDefault="00B56301" w:rsidP="00B37B65">
            <w:pPr>
              <w:jc w:val="right"/>
              <w:rPr>
                <w:rFonts w:asciiTheme="minorHAnsi" w:hAnsiTheme="minorHAnsi"/>
                <w:sz w:val="16"/>
                <w:szCs w:val="16"/>
              </w:rPr>
            </w:pPr>
            <w:r w:rsidRPr="00D85A26">
              <w:rPr>
                <w:sz w:val="16"/>
                <w:szCs w:val="18"/>
              </w:rPr>
              <w:t>121,85</w:t>
            </w:r>
          </w:p>
        </w:tc>
        <w:tc>
          <w:tcPr>
            <w:tcW w:w="991" w:type="dxa"/>
            <w:tcBorders>
              <w:top w:val="nil"/>
              <w:left w:val="nil"/>
              <w:bottom w:val="single" w:sz="4" w:space="0" w:color="auto"/>
              <w:right w:val="single" w:sz="4" w:space="0" w:color="auto"/>
            </w:tcBorders>
            <w:shd w:val="clear" w:color="000000" w:fill="CCFFFF"/>
            <w:noWrap/>
            <w:vAlign w:val="bottom"/>
            <w:hideMark/>
          </w:tcPr>
          <w:p w14:paraId="1849C13E" w14:textId="77777777" w:rsidR="00B56301" w:rsidRPr="00D85A26" w:rsidRDefault="00B56301" w:rsidP="00B37B65">
            <w:pPr>
              <w:jc w:val="right"/>
              <w:rPr>
                <w:rFonts w:asciiTheme="minorHAnsi" w:hAnsiTheme="minorHAnsi"/>
                <w:sz w:val="16"/>
                <w:szCs w:val="16"/>
              </w:rPr>
            </w:pPr>
            <w:r w:rsidRPr="00D85A26">
              <w:rPr>
                <w:sz w:val="16"/>
                <w:szCs w:val="18"/>
              </w:rPr>
              <w:t>122,76</w:t>
            </w:r>
          </w:p>
        </w:tc>
        <w:tc>
          <w:tcPr>
            <w:tcW w:w="991" w:type="dxa"/>
            <w:tcBorders>
              <w:top w:val="nil"/>
              <w:left w:val="nil"/>
              <w:bottom w:val="single" w:sz="4" w:space="0" w:color="auto"/>
              <w:right w:val="single" w:sz="4" w:space="0" w:color="auto"/>
            </w:tcBorders>
            <w:shd w:val="clear" w:color="000000" w:fill="CCFFFF"/>
            <w:noWrap/>
            <w:vAlign w:val="bottom"/>
            <w:hideMark/>
          </w:tcPr>
          <w:p w14:paraId="60871B5F" w14:textId="77777777" w:rsidR="00B56301" w:rsidRPr="00D85A26" w:rsidRDefault="00B56301" w:rsidP="00B37B65">
            <w:pPr>
              <w:jc w:val="right"/>
              <w:rPr>
                <w:rFonts w:asciiTheme="minorHAnsi" w:hAnsiTheme="minorHAnsi"/>
                <w:sz w:val="16"/>
                <w:szCs w:val="16"/>
              </w:rPr>
            </w:pPr>
            <w:r w:rsidRPr="00D85A26">
              <w:rPr>
                <w:sz w:val="16"/>
                <w:szCs w:val="18"/>
              </w:rPr>
              <w:t>124,52</w:t>
            </w:r>
          </w:p>
        </w:tc>
      </w:tr>
      <w:tr w:rsidR="00B56301" w:rsidRPr="00D85A26" w14:paraId="2469820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37D154" w14:textId="02CCA18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1766539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A28E8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43428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5C6C0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A8C50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9B3C69"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AC6681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AF1AF0" w14:textId="7F5CAF3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1EA970CF" w14:textId="77777777" w:rsidR="00B56301" w:rsidRPr="00D85A26" w:rsidRDefault="00B56301" w:rsidP="00B37B65">
            <w:pPr>
              <w:jc w:val="right"/>
              <w:rPr>
                <w:rFonts w:asciiTheme="minorHAnsi" w:hAnsiTheme="minorHAnsi"/>
                <w:sz w:val="16"/>
                <w:szCs w:val="16"/>
              </w:rPr>
            </w:pPr>
            <w:r w:rsidRPr="00D85A26">
              <w:rPr>
                <w:sz w:val="16"/>
                <w:szCs w:val="18"/>
              </w:rPr>
              <w:t>9,17</w:t>
            </w:r>
          </w:p>
        </w:tc>
        <w:tc>
          <w:tcPr>
            <w:tcW w:w="991" w:type="dxa"/>
            <w:tcBorders>
              <w:top w:val="nil"/>
              <w:left w:val="nil"/>
              <w:bottom w:val="single" w:sz="4" w:space="0" w:color="auto"/>
              <w:right w:val="single" w:sz="4" w:space="0" w:color="auto"/>
            </w:tcBorders>
            <w:shd w:val="clear" w:color="000000" w:fill="FFFFFF"/>
            <w:noWrap/>
            <w:vAlign w:val="bottom"/>
            <w:hideMark/>
          </w:tcPr>
          <w:p w14:paraId="65598658" w14:textId="77777777" w:rsidR="00B56301" w:rsidRPr="00D85A26" w:rsidRDefault="00B56301" w:rsidP="00B37B65">
            <w:pPr>
              <w:jc w:val="right"/>
              <w:rPr>
                <w:rFonts w:asciiTheme="minorHAnsi" w:hAnsiTheme="minorHAnsi"/>
                <w:sz w:val="16"/>
                <w:szCs w:val="16"/>
              </w:rPr>
            </w:pPr>
            <w:r w:rsidRPr="00D85A26">
              <w:rPr>
                <w:sz w:val="16"/>
                <w:szCs w:val="18"/>
              </w:rPr>
              <w:t>9,16</w:t>
            </w:r>
          </w:p>
        </w:tc>
        <w:tc>
          <w:tcPr>
            <w:tcW w:w="991" w:type="dxa"/>
            <w:tcBorders>
              <w:top w:val="nil"/>
              <w:left w:val="nil"/>
              <w:bottom w:val="single" w:sz="4" w:space="0" w:color="auto"/>
              <w:right w:val="single" w:sz="4" w:space="0" w:color="auto"/>
            </w:tcBorders>
            <w:shd w:val="clear" w:color="000000" w:fill="FFFFFF"/>
            <w:noWrap/>
            <w:vAlign w:val="bottom"/>
            <w:hideMark/>
          </w:tcPr>
          <w:p w14:paraId="3683D34F" w14:textId="77777777" w:rsidR="00B56301" w:rsidRPr="00D85A26" w:rsidRDefault="00B56301" w:rsidP="00B37B65">
            <w:pPr>
              <w:jc w:val="right"/>
              <w:rPr>
                <w:rFonts w:asciiTheme="minorHAnsi" w:hAnsiTheme="minorHAnsi"/>
                <w:sz w:val="16"/>
                <w:szCs w:val="16"/>
              </w:rPr>
            </w:pPr>
            <w:r w:rsidRPr="00D85A26">
              <w:rPr>
                <w:sz w:val="16"/>
                <w:szCs w:val="18"/>
              </w:rPr>
              <w:t>9,06</w:t>
            </w:r>
          </w:p>
        </w:tc>
        <w:tc>
          <w:tcPr>
            <w:tcW w:w="991" w:type="dxa"/>
            <w:tcBorders>
              <w:top w:val="nil"/>
              <w:left w:val="nil"/>
              <w:bottom w:val="single" w:sz="4" w:space="0" w:color="auto"/>
              <w:right w:val="single" w:sz="4" w:space="0" w:color="auto"/>
            </w:tcBorders>
            <w:shd w:val="clear" w:color="000000" w:fill="FFFFFF"/>
            <w:noWrap/>
            <w:vAlign w:val="bottom"/>
            <w:hideMark/>
          </w:tcPr>
          <w:p w14:paraId="7A4E4268" w14:textId="77777777" w:rsidR="00B56301" w:rsidRPr="00D85A26" w:rsidRDefault="00B56301" w:rsidP="00B37B65">
            <w:pPr>
              <w:jc w:val="right"/>
              <w:rPr>
                <w:rFonts w:asciiTheme="minorHAnsi" w:hAnsiTheme="minorHAnsi"/>
                <w:sz w:val="16"/>
                <w:szCs w:val="16"/>
              </w:rPr>
            </w:pPr>
            <w:r w:rsidRPr="00D85A26">
              <w:rPr>
                <w:sz w:val="16"/>
                <w:szCs w:val="18"/>
              </w:rPr>
              <w:t>9,01</w:t>
            </w:r>
          </w:p>
        </w:tc>
        <w:tc>
          <w:tcPr>
            <w:tcW w:w="991" w:type="dxa"/>
            <w:tcBorders>
              <w:top w:val="nil"/>
              <w:left w:val="nil"/>
              <w:bottom w:val="single" w:sz="4" w:space="0" w:color="auto"/>
              <w:right w:val="single" w:sz="4" w:space="0" w:color="auto"/>
            </w:tcBorders>
            <w:shd w:val="clear" w:color="000000" w:fill="FFFFFF"/>
            <w:noWrap/>
            <w:vAlign w:val="bottom"/>
            <w:hideMark/>
          </w:tcPr>
          <w:p w14:paraId="27567F47" w14:textId="77777777" w:rsidR="00B56301" w:rsidRPr="00D85A26" w:rsidRDefault="00B56301" w:rsidP="00B37B65">
            <w:pPr>
              <w:jc w:val="right"/>
              <w:rPr>
                <w:rFonts w:asciiTheme="minorHAnsi" w:hAnsiTheme="minorHAnsi"/>
                <w:sz w:val="16"/>
                <w:szCs w:val="16"/>
              </w:rPr>
            </w:pPr>
            <w:r w:rsidRPr="00D85A26">
              <w:rPr>
                <w:sz w:val="16"/>
                <w:szCs w:val="18"/>
              </w:rPr>
              <w:t>8,96</w:t>
            </w:r>
          </w:p>
        </w:tc>
        <w:tc>
          <w:tcPr>
            <w:tcW w:w="991" w:type="dxa"/>
            <w:tcBorders>
              <w:top w:val="nil"/>
              <w:left w:val="nil"/>
              <w:bottom w:val="single" w:sz="4" w:space="0" w:color="auto"/>
              <w:right w:val="single" w:sz="4" w:space="0" w:color="auto"/>
            </w:tcBorders>
            <w:shd w:val="clear" w:color="000000" w:fill="FFFFFF"/>
            <w:noWrap/>
            <w:vAlign w:val="bottom"/>
            <w:hideMark/>
          </w:tcPr>
          <w:p w14:paraId="3C5D850F" w14:textId="77777777" w:rsidR="00B56301" w:rsidRPr="00D85A26" w:rsidRDefault="00B56301" w:rsidP="00B37B65">
            <w:pPr>
              <w:jc w:val="right"/>
              <w:rPr>
                <w:rFonts w:asciiTheme="minorHAnsi" w:hAnsiTheme="minorHAnsi"/>
                <w:sz w:val="16"/>
                <w:szCs w:val="16"/>
              </w:rPr>
            </w:pPr>
            <w:r w:rsidRPr="00D85A26">
              <w:rPr>
                <w:sz w:val="16"/>
                <w:szCs w:val="18"/>
              </w:rPr>
              <w:t>9,24</w:t>
            </w:r>
          </w:p>
        </w:tc>
      </w:tr>
      <w:tr w:rsidR="00B56301" w:rsidRPr="00D85A26" w14:paraId="20CAC4F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950E4E" w14:textId="21BB03F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6952A43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72E90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62DF4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1D6F6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489C5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A3679D"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91766E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F3ADF2" w14:textId="1E94C91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2864F1CF" w14:textId="77777777" w:rsidR="00B56301" w:rsidRPr="00D85A26" w:rsidRDefault="00B56301" w:rsidP="00B37B65">
            <w:pPr>
              <w:jc w:val="right"/>
              <w:rPr>
                <w:rFonts w:asciiTheme="minorHAnsi" w:hAnsiTheme="minorHAnsi"/>
                <w:sz w:val="16"/>
                <w:szCs w:val="16"/>
              </w:rPr>
            </w:pPr>
            <w:r w:rsidRPr="00D85A26">
              <w:rPr>
                <w:sz w:val="16"/>
                <w:szCs w:val="18"/>
              </w:rPr>
              <w:t>108,76</w:t>
            </w:r>
          </w:p>
        </w:tc>
        <w:tc>
          <w:tcPr>
            <w:tcW w:w="991" w:type="dxa"/>
            <w:tcBorders>
              <w:top w:val="nil"/>
              <w:left w:val="nil"/>
              <w:bottom w:val="single" w:sz="4" w:space="0" w:color="auto"/>
              <w:right w:val="single" w:sz="4" w:space="0" w:color="auto"/>
            </w:tcBorders>
            <w:shd w:val="clear" w:color="000000" w:fill="FFFFFF"/>
            <w:noWrap/>
            <w:vAlign w:val="bottom"/>
            <w:hideMark/>
          </w:tcPr>
          <w:p w14:paraId="439D6452" w14:textId="77777777" w:rsidR="00B56301" w:rsidRPr="00D85A26" w:rsidRDefault="00B56301" w:rsidP="00B37B65">
            <w:pPr>
              <w:jc w:val="right"/>
              <w:rPr>
                <w:rFonts w:asciiTheme="minorHAnsi" w:hAnsiTheme="minorHAnsi"/>
                <w:sz w:val="16"/>
                <w:szCs w:val="16"/>
              </w:rPr>
            </w:pPr>
            <w:r w:rsidRPr="00D85A26">
              <w:rPr>
                <w:sz w:val="16"/>
                <w:szCs w:val="18"/>
              </w:rPr>
              <w:t>110,78</w:t>
            </w:r>
          </w:p>
        </w:tc>
        <w:tc>
          <w:tcPr>
            <w:tcW w:w="991" w:type="dxa"/>
            <w:tcBorders>
              <w:top w:val="nil"/>
              <w:left w:val="nil"/>
              <w:bottom w:val="single" w:sz="4" w:space="0" w:color="auto"/>
              <w:right w:val="single" w:sz="4" w:space="0" w:color="auto"/>
            </w:tcBorders>
            <w:shd w:val="clear" w:color="000000" w:fill="FFFFFF"/>
            <w:noWrap/>
            <w:vAlign w:val="bottom"/>
            <w:hideMark/>
          </w:tcPr>
          <w:p w14:paraId="081E7AA1" w14:textId="77777777" w:rsidR="00B56301" w:rsidRPr="00D85A26" w:rsidRDefault="00B56301" w:rsidP="00B37B65">
            <w:pPr>
              <w:jc w:val="right"/>
              <w:rPr>
                <w:rFonts w:asciiTheme="minorHAnsi" w:hAnsiTheme="minorHAnsi"/>
                <w:sz w:val="16"/>
                <w:szCs w:val="16"/>
              </w:rPr>
            </w:pPr>
            <w:r w:rsidRPr="00D85A26">
              <w:rPr>
                <w:sz w:val="16"/>
                <w:szCs w:val="18"/>
              </w:rPr>
              <w:t>112,02</w:t>
            </w:r>
          </w:p>
        </w:tc>
        <w:tc>
          <w:tcPr>
            <w:tcW w:w="991" w:type="dxa"/>
            <w:tcBorders>
              <w:top w:val="nil"/>
              <w:left w:val="nil"/>
              <w:bottom w:val="single" w:sz="4" w:space="0" w:color="auto"/>
              <w:right w:val="single" w:sz="4" w:space="0" w:color="auto"/>
            </w:tcBorders>
            <w:shd w:val="clear" w:color="000000" w:fill="FFFFFF"/>
            <w:noWrap/>
            <w:vAlign w:val="bottom"/>
            <w:hideMark/>
          </w:tcPr>
          <w:p w14:paraId="145327FD" w14:textId="77777777" w:rsidR="00B56301" w:rsidRPr="00D85A26" w:rsidRDefault="00B56301" w:rsidP="00B37B65">
            <w:pPr>
              <w:jc w:val="right"/>
              <w:rPr>
                <w:rFonts w:asciiTheme="minorHAnsi" w:hAnsiTheme="minorHAnsi"/>
                <w:sz w:val="16"/>
                <w:szCs w:val="16"/>
              </w:rPr>
            </w:pPr>
            <w:r w:rsidRPr="00D85A26">
              <w:rPr>
                <w:sz w:val="16"/>
                <w:szCs w:val="18"/>
              </w:rPr>
              <w:t>112,76</w:t>
            </w:r>
          </w:p>
        </w:tc>
        <w:tc>
          <w:tcPr>
            <w:tcW w:w="991" w:type="dxa"/>
            <w:tcBorders>
              <w:top w:val="nil"/>
              <w:left w:val="nil"/>
              <w:bottom w:val="single" w:sz="4" w:space="0" w:color="auto"/>
              <w:right w:val="single" w:sz="4" w:space="0" w:color="auto"/>
            </w:tcBorders>
            <w:shd w:val="clear" w:color="000000" w:fill="FFFFFF"/>
            <w:noWrap/>
            <w:vAlign w:val="bottom"/>
            <w:hideMark/>
          </w:tcPr>
          <w:p w14:paraId="5531E2E9" w14:textId="77777777" w:rsidR="00B56301" w:rsidRPr="00D85A26" w:rsidRDefault="00B56301" w:rsidP="00B37B65">
            <w:pPr>
              <w:jc w:val="right"/>
              <w:rPr>
                <w:rFonts w:asciiTheme="minorHAnsi" w:hAnsiTheme="minorHAnsi"/>
                <w:sz w:val="16"/>
                <w:szCs w:val="16"/>
              </w:rPr>
            </w:pPr>
            <w:r w:rsidRPr="00D85A26">
              <w:rPr>
                <w:sz w:val="16"/>
                <w:szCs w:val="18"/>
              </w:rPr>
              <w:t>113,72</w:t>
            </w:r>
          </w:p>
        </w:tc>
        <w:tc>
          <w:tcPr>
            <w:tcW w:w="991" w:type="dxa"/>
            <w:tcBorders>
              <w:top w:val="nil"/>
              <w:left w:val="nil"/>
              <w:bottom w:val="single" w:sz="4" w:space="0" w:color="auto"/>
              <w:right w:val="single" w:sz="4" w:space="0" w:color="auto"/>
            </w:tcBorders>
            <w:shd w:val="clear" w:color="000000" w:fill="FFFFFF"/>
            <w:noWrap/>
            <w:vAlign w:val="bottom"/>
            <w:hideMark/>
          </w:tcPr>
          <w:p w14:paraId="75DAE1DA" w14:textId="77777777" w:rsidR="00B56301" w:rsidRPr="00D85A26" w:rsidRDefault="00B56301" w:rsidP="00B37B65">
            <w:pPr>
              <w:jc w:val="right"/>
              <w:rPr>
                <w:rFonts w:asciiTheme="minorHAnsi" w:hAnsiTheme="minorHAnsi"/>
                <w:sz w:val="16"/>
                <w:szCs w:val="16"/>
              </w:rPr>
            </w:pPr>
            <w:r w:rsidRPr="00D85A26">
              <w:rPr>
                <w:sz w:val="16"/>
                <w:szCs w:val="18"/>
              </w:rPr>
              <w:t>115,20</w:t>
            </w:r>
          </w:p>
        </w:tc>
      </w:tr>
      <w:tr w:rsidR="00B56301" w:rsidRPr="00D85A26" w14:paraId="4F1D358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1D36563" w14:textId="4CF267F1"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E.</w:t>
            </w:r>
            <w:r w:rsidR="00260E0B">
              <w:rPr>
                <w:rFonts w:asciiTheme="minorHAnsi" w:hAnsiTheme="minorHAnsi"/>
                <w:sz w:val="16"/>
                <w:szCs w:val="16"/>
                <w:lang w:val="en-GB"/>
              </w:rPr>
              <w:t xml:space="preserve"> </w:t>
            </w:r>
            <w:r w:rsidRPr="00D85A26">
              <w:rPr>
                <w:rFonts w:asciiTheme="minorHAnsi" w:hAnsiTheme="minorHAnsi"/>
                <w:sz w:val="16"/>
                <w:szCs w:val="16"/>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5E56D0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D941B6E"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ED10CC"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2AA20AD"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B45A0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8EE7577"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26BA76B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9BCAC6" w14:textId="7BE1917E"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9BEC707" w14:textId="77777777" w:rsidR="00B56301" w:rsidRPr="00D85A26" w:rsidRDefault="00B56301" w:rsidP="00B37B65">
            <w:pPr>
              <w:jc w:val="right"/>
              <w:rPr>
                <w:rFonts w:asciiTheme="minorHAnsi" w:hAnsiTheme="minorHAnsi"/>
                <w:sz w:val="16"/>
                <w:szCs w:val="16"/>
              </w:rPr>
            </w:pPr>
            <w:r w:rsidRPr="00D85A26">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6E61AC2" w14:textId="77777777" w:rsidR="00B56301" w:rsidRPr="00D85A26" w:rsidRDefault="00B56301" w:rsidP="00B37B65">
            <w:pPr>
              <w:jc w:val="right"/>
              <w:rPr>
                <w:rFonts w:asciiTheme="minorHAnsi" w:hAnsiTheme="minorHAnsi"/>
                <w:sz w:val="16"/>
                <w:szCs w:val="16"/>
              </w:rPr>
            </w:pPr>
            <w:r w:rsidRPr="00D85A26">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49D3555" w14:textId="77777777" w:rsidR="00B56301" w:rsidRPr="00D85A26" w:rsidRDefault="00B56301" w:rsidP="00B37B65">
            <w:pPr>
              <w:jc w:val="right"/>
              <w:rPr>
                <w:rFonts w:asciiTheme="minorHAnsi" w:hAnsiTheme="minorHAnsi"/>
                <w:sz w:val="16"/>
                <w:szCs w:val="16"/>
              </w:rPr>
            </w:pPr>
            <w:r w:rsidRPr="00D85A26">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6E13C1D6" w14:textId="77777777" w:rsidR="00B56301" w:rsidRPr="00D85A26" w:rsidRDefault="00B56301" w:rsidP="00B37B65">
            <w:pPr>
              <w:jc w:val="right"/>
              <w:rPr>
                <w:rFonts w:asciiTheme="minorHAnsi" w:hAnsiTheme="minorHAnsi"/>
                <w:sz w:val="16"/>
                <w:szCs w:val="16"/>
              </w:rPr>
            </w:pPr>
            <w:r w:rsidRPr="00D85A26">
              <w:rPr>
                <w:sz w:val="16"/>
                <w:szCs w:val="18"/>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07002548" w14:textId="77777777" w:rsidR="00B56301" w:rsidRPr="00D85A26" w:rsidRDefault="00B56301" w:rsidP="00B37B65">
            <w:pPr>
              <w:jc w:val="right"/>
              <w:rPr>
                <w:rFonts w:asciiTheme="minorHAnsi" w:hAnsiTheme="minorHAnsi"/>
                <w:sz w:val="16"/>
                <w:szCs w:val="16"/>
              </w:rPr>
            </w:pPr>
            <w:r w:rsidRPr="00D85A26">
              <w:rPr>
                <w:sz w:val="16"/>
                <w:szCs w:val="18"/>
              </w:rPr>
              <w:t>0,08</w:t>
            </w:r>
          </w:p>
        </w:tc>
        <w:tc>
          <w:tcPr>
            <w:tcW w:w="991" w:type="dxa"/>
            <w:tcBorders>
              <w:top w:val="nil"/>
              <w:left w:val="nil"/>
              <w:bottom w:val="single" w:sz="4" w:space="0" w:color="auto"/>
              <w:right w:val="single" w:sz="4" w:space="0" w:color="auto"/>
            </w:tcBorders>
            <w:shd w:val="clear" w:color="000000" w:fill="FFFFFF"/>
            <w:noWrap/>
            <w:vAlign w:val="bottom"/>
            <w:hideMark/>
          </w:tcPr>
          <w:p w14:paraId="2BA2FC6C" w14:textId="77777777" w:rsidR="00B56301" w:rsidRPr="00D85A26" w:rsidRDefault="00B56301" w:rsidP="00B37B65">
            <w:pPr>
              <w:jc w:val="right"/>
              <w:rPr>
                <w:rFonts w:asciiTheme="minorHAnsi" w:hAnsiTheme="minorHAnsi"/>
                <w:sz w:val="16"/>
                <w:szCs w:val="16"/>
              </w:rPr>
            </w:pPr>
            <w:r w:rsidRPr="00D85A26">
              <w:rPr>
                <w:sz w:val="16"/>
                <w:szCs w:val="18"/>
              </w:rPr>
              <w:t>0,08</w:t>
            </w:r>
          </w:p>
        </w:tc>
      </w:tr>
      <w:tr w:rsidR="00B56301" w:rsidRPr="00D85A26" w14:paraId="4CCE01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A699FF3" w14:textId="17979A5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212A1A1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7371AD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0DEFC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B4127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36088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F2B31B"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A2615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15CA5C" w14:textId="2E09CAE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5D00F2E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736CB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1DCE4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7EEC3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3971F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D6FFF5"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0F66BFB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24CABE" w14:textId="48BA206A"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I.</w:t>
            </w:r>
            <w:r w:rsidR="00260E0B">
              <w:rPr>
                <w:rFonts w:asciiTheme="minorHAnsi" w:hAnsiTheme="minorHAnsi"/>
                <w:sz w:val="16"/>
                <w:szCs w:val="16"/>
                <w:lang w:val="en-GB"/>
              </w:rPr>
              <w:t xml:space="preserve"> </w:t>
            </w:r>
            <w:r w:rsidRPr="00D85A26">
              <w:rPr>
                <w:rFonts w:asciiTheme="minorHAnsi" w:hAnsiTheme="minorHAnsi"/>
                <w:sz w:val="16"/>
                <w:szCs w:val="16"/>
                <w:lang w:val="en-GB"/>
              </w:rPr>
              <w:t>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6882AF17"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83FDE9"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B0DDCF"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3A4C4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8E1AC9"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A671C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53DD3E3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D4ED8C" w14:textId="277A5F3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J.</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4AAA048D"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77D7640"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32E7E1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9A7461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138BA1F"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84901F7"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0A21C6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69A99E5F" w14:textId="77777777" w:rsidR="00B56301" w:rsidRPr="00D85A26" w:rsidRDefault="00B56301" w:rsidP="00B37B65">
            <w:pPr>
              <w:jc w:val="left"/>
              <w:rPr>
                <w:rFonts w:asciiTheme="minorHAnsi" w:hAnsiTheme="minorHAnsi"/>
                <w:b/>
                <w:bCs/>
                <w:sz w:val="16"/>
                <w:szCs w:val="16"/>
                <w:lang w:val="en-GB"/>
              </w:rPr>
            </w:pPr>
            <w:r w:rsidRPr="00D85A26">
              <w:rPr>
                <w:rFonts w:asciiTheme="minorHAnsi" w:hAnsiTheme="minorHAnsi"/>
                <w:b/>
                <w:bCs/>
                <w:sz w:val="16"/>
                <w:szCs w:val="16"/>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2B2D9827" w14:textId="77777777" w:rsidR="00B56301" w:rsidRPr="00D85A26" w:rsidRDefault="00B56301" w:rsidP="00B37B65">
            <w:pPr>
              <w:jc w:val="right"/>
              <w:rPr>
                <w:rFonts w:asciiTheme="minorHAnsi" w:hAnsiTheme="minorHAnsi"/>
                <w:sz w:val="16"/>
                <w:szCs w:val="16"/>
              </w:rPr>
            </w:pPr>
            <w:r w:rsidRPr="00D85A26">
              <w:rPr>
                <w:sz w:val="16"/>
                <w:szCs w:val="18"/>
              </w:rPr>
              <w:t>10,89</w:t>
            </w:r>
          </w:p>
        </w:tc>
        <w:tc>
          <w:tcPr>
            <w:tcW w:w="991" w:type="dxa"/>
            <w:tcBorders>
              <w:top w:val="nil"/>
              <w:left w:val="nil"/>
              <w:bottom w:val="single" w:sz="4" w:space="0" w:color="auto"/>
              <w:right w:val="single" w:sz="4" w:space="0" w:color="auto"/>
            </w:tcBorders>
            <w:shd w:val="clear" w:color="000000" w:fill="CCFFFF"/>
            <w:noWrap/>
            <w:vAlign w:val="bottom"/>
            <w:hideMark/>
          </w:tcPr>
          <w:p w14:paraId="0F32CA64" w14:textId="77777777" w:rsidR="00B56301" w:rsidRPr="00D85A26" w:rsidRDefault="00B56301" w:rsidP="00B37B65">
            <w:pPr>
              <w:jc w:val="right"/>
              <w:rPr>
                <w:rFonts w:asciiTheme="minorHAnsi" w:hAnsiTheme="minorHAnsi"/>
                <w:sz w:val="16"/>
                <w:szCs w:val="16"/>
              </w:rPr>
            </w:pPr>
            <w:r w:rsidRPr="00D85A26">
              <w:rPr>
                <w:sz w:val="16"/>
                <w:szCs w:val="18"/>
              </w:rPr>
              <w:t>10,80</w:t>
            </w:r>
          </w:p>
        </w:tc>
        <w:tc>
          <w:tcPr>
            <w:tcW w:w="991" w:type="dxa"/>
            <w:tcBorders>
              <w:top w:val="nil"/>
              <w:left w:val="nil"/>
              <w:bottom w:val="single" w:sz="4" w:space="0" w:color="auto"/>
              <w:right w:val="single" w:sz="4" w:space="0" w:color="auto"/>
            </w:tcBorders>
            <w:shd w:val="clear" w:color="000000" w:fill="CCFFFF"/>
            <w:noWrap/>
            <w:vAlign w:val="bottom"/>
            <w:hideMark/>
          </w:tcPr>
          <w:p w14:paraId="2A8B16FA" w14:textId="77777777" w:rsidR="00B56301" w:rsidRPr="00D85A26" w:rsidRDefault="00B56301" w:rsidP="00B37B65">
            <w:pPr>
              <w:jc w:val="right"/>
              <w:rPr>
                <w:rFonts w:asciiTheme="minorHAnsi" w:hAnsiTheme="minorHAnsi"/>
                <w:sz w:val="16"/>
                <w:szCs w:val="16"/>
              </w:rPr>
            </w:pPr>
            <w:r w:rsidRPr="00D85A26">
              <w:rPr>
                <w:sz w:val="16"/>
                <w:szCs w:val="18"/>
              </w:rPr>
              <w:t>10,84</w:t>
            </w:r>
          </w:p>
        </w:tc>
        <w:tc>
          <w:tcPr>
            <w:tcW w:w="991" w:type="dxa"/>
            <w:tcBorders>
              <w:top w:val="nil"/>
              <w:left w:val="nil"/>
              <w:bottom w:val="single" w:sz="4" w:space="0" w:color="auto"/>
              <w:right w:val="single" w:sz="4" w:space="0" w:color="auto"/>
            </w:tcBorders>
            <w:shd w:val="clear" w:color="000000" w:fill="CCFFFF"/>
            <w:noWrap/>
            <w:vAlign w:val="bottom"/>
            <w:hideMark/>
          </w:tcPr>
          <w:p w14:paraId="34FD3496" w14:textId="77777777" w:rsidR="00B56301" w:rsidRPr="00D85A26" w:rsidRDefault="00B56301" w:rsidP="00B37B65">
            <w:pPr>
              <w:jc w:val="right"/>
              <w:rPr>
                <w:rFonts w:asciiTheme="minorHAnsi" w:hAnsiTheme="minorHAnsi"/>
                <w:sz w:val="16"/>
                <w:szCs w:val="16"/>
              </w:rPr>
            </w:pPr>
            <w:r w:rsidRPr="00D85A26">
              <w:rPr>
                <w:sz w:val="16"/>
                <w:szCs w:val="18"/>
              </w:rPr>
              <w:t>10,80</w:t>
            </w:r>
          </w:p>
        </w:tc>
        <w:tc>
          <w:tcPr>
            <w:tcW w:w="991" w:type="dxa"/>
            <w:tcBorders>
              <w:top w:val="nil"/>
              <w:left w:val="nil"/>
              <w:bottom w:val="single" w:sz="4" w:space="0" w:color="auto"/>
              <w:right w:val="single" w:sz="4" w:space="0" w:color="auto"/>
            </w:tcBorders>
            <w:shd w:val="clear" w:color="000000" w:fill="CCFFFF"/>
            <w:noWrap/>
            <w:vAlign w:val="bottom"/>
            <w:hideMark/>
          </w:tcPr>
          <w:p w14:paraId="70D72812" w14:textId="77777777" w:rsidR="00B56301" w:rsidRPr="00D85A26" w:rsidRDefault="00B56301" w:rsidP="00B37B65">
            <w:pPr>
              <w:jc w:val="right"/>
              <w:rPr>
                <w:rFonts w:asciiTheme="minorHAnsi" w:hAnsiTheme="minorHAnsi"/>
                <w:sz w:val="16"/>
                <w:szCs w:val="16"/>
              </w:rPr>
            </w:pPr>
            <w:r w:rsidRPr="00D85A26">
              <w:rPr>
                <w:sz w:val="16"/>
                <w:szCs w:val="18"/>
              </w:rPr>
              <w:t>10,64</w:t>
            </w:r>
          </w:p>
        </w:tc>
        <w:tc>
          <w:tcPr>
            <w:tcW w:w="991" w:type="dxa"/>
            <w:tcBorders>
              <w:top w:val="nil"/>
              <w:left w:val="nil"/>
              <w:bottom w:val="single" w:sz="4" w:space="0" w:color="auto"/>
              <w:right w:val="single" w:sz="4" w:space="0" w:color="auto"/>
            </w:tcBorders>
            <w:shd w:val="clear" w:color="000000" w:fill="CCFFFF"/>
            <w:noWrap/>
            <w:vAlign w:val="bottom"/>
            <w:hideMark/>
          </w:tcPr>
          <w:p w14:paraId="0929229E" w14:textId="77777777" w:rsidR="00B56301" w:rsidRPr="00D85A26" w:rsidRDefault="00B56301" w:rsidP="00B37B65">
            <w:pPr>
              <w:jc w:val="right"/>
              <w:rPr>
                <w:rFonts w:asciiTheme="minorHAnsi" w:hAnsiTheme="minorHAnsi"/>
                <w:sz w:val="16"/>
                <w:szCs w:val="16"/>
              </w:rPr>
            </w:pPr>
            <w:r w:rsidRPr="00D85A26">
              <w:rPr>
                <w:sz w:val="16"/>
                <w:szCs w:val="18"/>
              </w:rPr>
              <w:t>10,71</w:t>
            </w:r>
          </w:p>
        </w:tc>
      </w:tr>
      <w:tr w:rsidR="00B56301" w:rsidRPr="00D85A26" w14:paraId="02B3680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CC5A121" w14:textId="1CA2CF1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54C359E9" w14:textId="77777777" w:rsidR="00B56301" w:rsidRPr="00D85A26" w:rsidRDefault="00B56301" w:rsidP="00B37B65">
            <w:pPr>
              <w:jc w:val="right"/>
              <w:rPr>
                <w:rFonts w:asciiTheme="minorHAnsi" w:hAnsiTheme="minorHAnsi"/>
                <w:sz w:val="16"/>
                <w:szCs w:val="16"/>
              </w:rPr>
            </w:pPr>
            <w:r w:rsidRPr="00D85A26">
              <w:rPr>
                <w:sz w:val="16"/>
                <w:szCs w:val="18"/>
              </w:rPr>
              <w:t>1,36</w:t>
            </w:r>
          </w:p>
        </w:tc>
        <w:tc>
          <w:tcPr>
            <w:tcW w:w="991" w:type="dxa"/>
            <w:tcBorders>
              <w:top w:val="nil"/>
              <w:left w:val="nil"/>
              <w:bottom w:val="single" w:sz="4" w:space="0" w:color="auto"/>
              <w:right w:val="single" w:sz="4" w:space="0" w:color="auto"/>
            </w:tcBorders>
            <w:shd w:val="clear" w:color="000000" w:fill="FFFFFF"/>
            <w:noWrap/>
            <w:vAlign w:val="bottom"/>
            <w:hideMark/>
          </w:tcPr>
          <w:p w14:paraId="655D2133" w14:textId="77777777" w:rsidR="00B56301" w:rsidRPr="00D85A26" w:rsidRDefault="00B56301" w:rsidP="00B37B65">
            <w:pPr>
              <w:jc w:val="right"/>
              <w:rPr>
                <w:rFonts w:asciiTheme="minorHAnsi" w:hAnsiTheme="minorHAnsi"/>
                <w:sz w:val="16"/>
                <w:szCs w:val="16"/>
              </w:rPr>
            </w:pPr>
            <w:r w:rsidRPr="00D85A26">
              <w:rPr>
                <w:sz w:val="16"/>
                <w:szCs w:val="18"/>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40CF8E66" w14:textId="77777777" w:rsidR="00B56301" w:rsidRPr="00D85A26" w:rsidRDefault="00B56301" w:rsidP="00B37B65">
            <w:pPr>
              <w:jc w:val="right"/>
              <w:rPr>
                <w:rFonts w:asciiTheme="minorHAnsi" w:hAnsiTheme="minorHAnsi"/>
                <w:sz w:val="16"/>
                <w:szCs w:val="16"/>
              </w:rPr>
            </w:pPr>
            <w:r w:rsidRPr="00D85A26">
              <w:rPr>
                <w:sz w:val="16"/>
                <w:szCs w:val="18"/>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7596B5F8" w14:textId="77777777" w:rsidR="00B56301" w:rsidRPr="00D85A26" w:rsidRDefault="00B56301" w:rsidP="00B37B65">
            <w:pPr>
              <w:jc w:val="right"/>
              <w:rPr>
                <w:rFonts w:asciiTheme="minorHAnsi" w:hAnsiTheme="minorHAnsi"/>
                <w:sz w:val="16"/>
                <w:szCs w:val="16"/>
              </w:rPr>
            </w:pPr>
            <w:r w:rsidRPr="00D85A26">
              <w:rPr>
                <w:sz w:val="16"/>
                <w:szCs w:val="18"/>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31CFDFE8" w14:textId="77777777" w:rsidR="00B56301" w:rsidRPr="00D85A26" w:rsidRDefault="00B56301" w:rsidP="00B37B65">
            <w:pPr>
              <w:jc w:val="right"/>
              <w:rPr>
                <w:rFonts w:asciiTheme="minorHAnsi" w:hAnsiTheme="minorHAnsi"/>
                <w:sz w:val="16"/>
                <w:szCs w:val="16"/>
              </w:rPr>
            </w:pPr>
            <w:r w:rsidRPr="00D85A26">
              <w:rPr>
                <w:sz w:val="16"/>
                <w:szCs w:val="18"/>
              </w:rPr>
              <w:t>1,26</w:t>
            </w:r>
          </w:p>
        </w:tc>
        <w:tc>
          <w:tcPr>
            <w:tcW w:w="991" w:type="dxa"/>
            <w:tcBorders>
              <w:top w:val="nil"/>
              <w:left w:val="nil"/>
              <w:bottom w:val="single" w:sz="4" w:space="0" w:color="auto"/>
              <w:right w:val="single" w:sz="4" w:space="0" w:color="auto"/>
            </w:tcBorders>
            <w:shd w:val="clear" w:color="000000" w:fill="FFFFFF"/>
            <w:noWrap/>
            <w:vAlign w:val="bottom"/>
            <w:hideMark/>
          </w:tcPr>
          <w:p w14:paraId="0ECDA804" w14:textId="77777777" w:rsidR="00B56301" w:rsidRPr="00D85A26" w:rsidRDefault="00B56301" w:rsidP="00B37B65">
            <w:pPr>
              <w:jc w:val="right"/>
              <w:rPr>
                <w:rFonts w:asciiTheme="minorHAnsi" w:hAnsiTheme="minorHAnsi"/>
                <w:sz w:val="16"/>
                <w:szCs w:val="16"/>
              </w:rPr>
            </w:pPr>
            <w:r w:rsidRPr="00D85A26">
              <w:rPr>
                <w:sz w:val="16"/>
                <w:szCs w:val="18"/>
              </w:rPr>
              <w:t>1,47</w:t>
            </w:r>
          </w:p>
        </w:tc>
      </w:tr>
      <w:tr w:rsidR="00B56301" w:rsidRPr="00D85A26" w14:paraId="51F7DAE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7AAFF28" w14:textId="2CEF7B9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360B6BDD" w14:textId="77777777" w:rsidR="00B56301" w:rsidRPr="00D85A26" w:rsidRDefault="00B56301" w:rsidP="00B37B65">
            <w:pPr>
              <w:jc w:val="right"/>
              <w:rPr>
                <w:rFonts w:asciiTheme="minorHAnsi" w:hAnsiTheme="minorHAnsi"/>
                <w:sz w:val="16"/>
                <w:szCs w:val="16"/>
              </w:rPr>
            </w:pPr>
            <w:r w:rsidRPr="00D85A26">
              <w:rPr>
                <w:sz w:val="16"/>
                <w:szCs w:val="18"/>
              </w:rPr>
              <w:t>5,29</w:t>
            </w:r>
          </w:p>
        </w:tc>
        <w:tc>
          <w:tcPr>
            <w:tcW w:w="991" w:type="dxa"/>
            <w:tcBorders>
              <w:top w:val="nil"/>
              <w:left w:val="nil"/>
              <w:bottom w:val="single" w:sz="4" w:space="0" w:color="auto"/>
              <w:right w:val="single" w:sz="4" w:space="0" w:color="auto"/>
            </w:tcBorders>
            <w:shd w:val="clear" w:color="000000" w:fill="FFFFFF"/>
            <w:noWrap/>
            <w:vAlign w:val="bottom"/>
            <w:hideMark/>
          </w:tcPr>
          <w:p w14:paraId="6F35CEF4" w14:textId="77777777" w:rsidR="00B56301" w:rsidRPr="00D85A26" w:rsidRDefault="00B56301" w:rsidP="00B37B65">
            <w:pPr>
              <w:jc w:val="right"/>
              <w:rPr>
                <w:rFonts w:asciiTheme="minorHAnsi" w:hAnsiTheme="minorHAnsi"/>
                <w:sz w:val="16"/>
                <w:szCs w:val="16"/>
              </w:rPr>
            </w:pPr>
            <w:r w:rsidRPr="00D85A26">
              <w:rPr>
                <w:sz w:val="16"/>
                <w:szCs w:val="18"/>
              </w:rPr>
              <w:t>5,30</w:t>
            </w:r>
          </w:p>
        </w:tc>
        <w:tc>
          <w:tcPr>
            <w:tcW w:w="991" w:type="dxa"/>
            <w:tcBorders>
              <w:top w:val="nil"/>
              <w:left w:val="nil"/>
              <w:bottom w:val="single" w:sz="4" w:space="0" w:color="auto"/>
              <w:right w:val="single" w:sz="4" w:space="0" w:color="auto"/>
            </w:tcBorders>
            <w:shd w:val="clear" w:color="000000" w:fill="FFFFFF"/>
            <w:noWrap/>
            <w:vAlign w:val="bottom"/>
            <w:hideMark/>
          </w:tcPr>
          <w:p w14:paraId="7E516664" w14:textId="77777777" w:rsidR="00B56301" w:rsidRPr="00D85A26" w:rsidRDefault="00B56301" w:rsidP="00B37B65">
            <w:pPr>
              <w:jc w:val="right"/>
              <w:rPr>
                <w:rFonts w:asciiTheme="minorHAnsi" w:hAnsiTheme="minorHAnsi"/>
                <w:sz w:val="16"/>
                <w:szCs w:val="16"/>
              </w:rPr>
            </w:pPr>
            <w:r w:rsidRPr="00D85A26">
              <w:rPr>
                <w:sz w:val="16"/>
                <w:szCs w:val="18"/>
              </w:rPr>
              <w:t>5,28</w:t>
            </w:r>
          </w:p>
        </w:tc>
        <w:tc>
          <w:tcPr>
            <w:tcW w:w="991" w:type="dxa"/>
            <w:tcBorders>
              <w:top w:val="nil"/>
              <w:left w:val="nil"/>
              <w:bottom w:val="single" w:sz="4" w:space="0" w:color="auto"/>
              <w:right w:val="single" w:sz="4" w:space="0" w:color="auto"/>
            </w:tcBorders>
            <w:shd w:val="clear" w:color="000000" w:fill="FFFFFF"/>
            <w:noWrap/>
            <w:vAlign w:val="bottom"/>
            <w:hideMark/>
          </w:tcPr>
          <w:p w14:paraId="13D1FEFF" w14:textId="77777777" w:rsidR="00B56301" w:rsidRPr="00D85A26" w:rsidRDefault="00B56301" w:rsidP="00B37B65">
            <w:pPr>
              <w:jc w:val="right"/>
              <w:rPr>
                <w:rFonts w:asciiTheme="minorHAnsi" w:hAnsiTheme="minorHAnsi"/>
                <w:sz w:val="16"/>
                <w:szCs w:val="16"/>
              </w:rPr>
            </w:pPr>
            <w:r w:rsidRPr="00D85A26">
              <w:rPr>
                <w:sz w:val="16"/>
                <w:szCs w:val="18"/>
              </w:rPr>
              <w:t>5,26</w:t>
            </w:r>
          </w:p>
        </w:tc>
        <w:tc>
          <w:tcPr>
            <w:tcW w:w="991" w:type="dxa"/>
            <w:tcBorders>
              <w:top w:val="nil"/>
              <w:left w:val="nil"/>
              <w:bottom w:val="single" w:sz="4" w:space="0" w:color="auto"/>
              <w:right w:val="single" w:sz="4" w:space="0" w:color="auto"/>
            </w:tcBorders>
            <w:shd w:val="clear" w:color="000000" w:fill="FFFFFF"/>
            <w:noWrap/>
            <w:vAlign w:val="bottom"/>
            <w:hideMark/>
          </w:tcPr>
          <w:p w14:paraId="7A302911" w14:textId="77777777" w:rsidR="00B56301" w:rsidRPr="00D85A26" w:rsidRDefault="00B56301" w:rsidP="00B37B65">
            <w:pPr>
              <w:jc w:val="right"/>
              <w:rPr>
                <w:rFonts w:asciiTheme="minorHAnsi" w:hAnsiTheme="minorHAnsi"/>
                <w:sz w:val="16"/>
                <w:szCs w:val="16"/>
              </w:rPr>
            </w:pPr>
            <w:r w:rsidRPr="00D85A26">
              <w:rPr>
                <w:sz w:val="16"/>
                <w:szCs w:val="18"/>
              </w:rPr>
              <w:t>5,18</w:t>
            </w:r>
          </w:p>
        </w:tc>
        <w:tc>
          <w:tcPr>
            <w:tcW w:w="991" w:type="dxa"/>
            <w:tcBorders>
              <w:top w:val="nil"/>
              <w:left w:val="nil"/>
              <w:bottom w:val="single" w:sz="4" w:space="0" w:color="auto"/>
              <w:right w:val="single" w:sz="4" w:space="0" w:color="auto"/>
            </w:tcBorders>
            <w:shd w:val="clear" w:color="000000" w:fill="FFFFFF"/>
            <w:noWrap/>
            <w:vAlign w:val="bottom"/>
            <w:hideMark/>
          </w:tcPr>
          <w:p w14:paraId="24A4665E" w14:textId="77777777" w:rsidR="00B56301" w:rsidRPr="00D85A26" w:rsidRDefault="00B56301" w:rsidP="00B37B65">
            <w:pPr>
              <w:jc w:val="right"/>
              <w:rPr>
                <w:rFonts w:asciiTheme="minorHAnsi" w:hAnsiTheme="minorHAnsi"/>
                <w:sz w:val="16"/>
                <w:szCs w:val="16"/>
              </w:rPr>
            </w:pPr>
            <w:r w:rsidRPr="00D85A26">
              <w:rPr>
                <w:sz w:val="16"/>
                <w:szCs w:val="18"/>
              </w:rPr>
              <w:t>5,09</w:t>
            </w:r>
          </w:p>
        </w:tc>
      </w:tr>
      <w:tr w:rsidR="00B56301" w:rsidRPr="00D85A26" w14:paraId="1F6FDF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96611C" w14:textId="7A65790A"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20182CB1"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5A773AA5"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2B11BC8F"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627B9403" w14:textId="77777777" w:rsidR="00B56301" w:rsidRPr="00D85A26" w:rsidRDefault="00B56301" w:rsidP="00B37B65">
            <w:pPr>
              <w:jc w:val="right"/>
              <w:rPr>
                <w:rFonts w:asciiTheme="minorHAnsi" w:hAnsiTheme="minorHAnsi"/>
                <w:sz w:val="16"/>
                <w:szCs w:val="16"/>
              </w:rPr>
            </w:pPr>
            <w:r w:rsidRPr="00D85A26">
              <w:rPr>
                <w:sz w:val="16"/>
                <w:szCs w:val="18"/>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39EA1DAB" w14:textId="77777777" w:rsidR="00B56301" w:rsidRPr="00D85A26" w:rsidRDefault="00B56301" w:rsidP="00B37B65">
            <w:pPr>
              <w:jc w:val="right"/>
              <w:rPr>
                <w:rFonts w:asciiTheme="minorHAnsi" w:hAnsiTheme="minorHAnsi"/>
                <w:sz w:val="16"/>
                <w:szCs w:val="16"/>
              </w:rPr>
            </w:pPr>
            <w:r w:rsidRPr="00D85A26">
              <w:rPr>
                <w:sz w:val="16"/>
                <w:szCs w:val="18"/>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580F625" w14:textId="77777777" w:rsidR="00B56301" w:rsidRPr="00D85A26" w:rsidRDefault="00B56301" w:rsidP="00B37B65">
            <w:pPr>
              <w:jc w:val="right"/>
              <w:rPr>
                <w:rFonts w:asciiTheme="minorHAnsi" w:hAnsiTheme="minorHAnsi"/>
                <w:sz w:val="16"/>
                <w:szCs w:val="16"/>
              </w:rPr>
            </w:pPr>
            <w:r w:rsidRPr="00D85A26">
              <w:rPr>
                <w:sz w:val="16"/>
                <w:szCs w:val="18"/>
              </w:rPr>
              <w:t>0,47</w:t>
            </w:r>
          </w:p>
        </w:tc>
      </w:tr>
      <w:tr w:rsidR="00B56301" w:rsidRPr="00D85A26" w14:paraId="031F418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D0C2B9" w14:textId="21E17A6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60CAE7BB"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328D76F"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30DDA9BF"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2C5D7DB"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3AF6D3BC"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A25B1B5"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15139C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1208FAF" w14:textId="6220BDE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393511A8" w14:textId="77777777" w:rsidR="00B56301" w:rsidRPr="00D85A26" w:rsidRDefault="00B56301" w:rsidP="00B37B65">
            <w:pPr>
              <w:jc w:val="right"/>
              <w:rPr>
                <w:rFonts w:asciiTheme="minorHAnsi" w:hAnsiTheme="minorHAnsi"/>
                <w:sz w:val="16"/>
                <w:szCs w:val="16"/>
              </w:rPr>
            </w:pPr>
            <w:r w:rsidRPr="00D85A26">
              <w:rPr>
                <w:sz w:val="16"/>
                <w:szCs w:val="18"/>
              </w:rPr>
              <w:t>2,03</w:t>
            </w:r>
          </w:p>
        </w:tc>
        <w:tc>
          <w:tcPr>
            <w:tcW w:w="991" w:type="dxa"/>
            <w:tcBorders>
              <w:top w:val="nil"/>
              <w:left w:val="nil"/>
              <w:bottom w:val="single" w:sz="4" w:space="0" w:color="auto"/>
              <w:right w:val="single" w:sz="4" w:space="0" w:color="auto"/>
            </w:tcBorders>
            <w:shd w:val="clear" w:color="000000" w:fill="FFFFFF"/>
            <w:noWrap/>
            <w:vAlign w:val="bottom"/>
            <w:hideMark/>
          </w:tcPr>
          <w:p w14:paraId="43F325C9" w14:textId="77777777" w:rsidR="00B56301" w:rsidRPr="00D85A26" w:rsidRDefault="00B56301" w:rsidP="00B37B65">
            <w:pPr>
              <w:jc w:val="right"/>
              <w:rPr>
                <w:rFonts w:asciiTheme="minorHAnsi" w:hAnsiTheme="minorHAnsi"/>
                <w:sz w:val="16"/>
                <w:szCs w:val="16"/>
              </w:rPr>
            </w:pPr>
            <w:r w:rsidRPr="00D85A26">
              <w:rPr>
                <w:sz w:val="16"/>
                <w:szCs w:val="18"/>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61FD5BFF" w14:textId="77777777" w:rsidR="00B56301" w:rsidRPr="00D85A26" w:rsidRDefault="00B56301" w:rsidP="00B37B65">
            <w:pPr>
              <w:jc w:val="right"/>
              <w:rPr>
                <w:rFonts w:asciiTheme="minorHAnsi" w:hAnsiTheme="minorHAnsi"/>
                <w:sz w:val="16"/>
                <w:szCs w:val="16"/>
              </w:rPr>
            </w:pPr>
            <w:r w:rsidRPr="00D85A26">
              <w:rPr>
                <w:sz w:val="16"/>
                <w:szCs w:val="18"/>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4FBF2685" w14:textId="77777777" w:rsidR="00B56301" w:rsidRPr="00D85A26" w:rsidRDefault="00B56301" w:rsidP="00B37B65">
            <w:pPr>
              <w:jc w:val="right"/>
              <w:rPr>
                <w:rFonts w:asciiTheme="minorHAnsi" w:hAnsiTheme="minorHAnsi"/>
                <w:sz w:val="16"/>
                <w:szCs w:val="16"/>
              </w:rPr>
            </w:pPr>
            <w:r w:rsidRPr="00D85A26">
              <w:rPr>
                <w:sz w:val="16"/>
                <w:szCs w:val="18"/>
              </w:rPr>
              <w:t>2,03</w:t>
            </w:r>
          </w:p>
        </w:tc>
        <w:tc>
          <w:tcPr>
            <w:tcW w:w="991" w:type="dxa"/>
            <w:tcBorders>
              <w:top w:val="nil"/>
              <w:left w:val="nil"/>
              <w:bottom w:val="single" w:sz="4" w:space="0" w:color="auto"/>
              <w:right w:val="single" w:sz="4" w:space="0" w:color="auto"/>
            </w:tcBorders>
            <w:shd w:val="clear" w:color="000000" w:fill="FFFFFF"/>
            <w:noWrap/>
            <w:vAlign w:val="bottom"/>
            <w:hideMark/>
          </w:tcPr>
          <w:p w14:paraId="733590D5" w14:textId="77777777" w:rsidR="00B56301" w:rsidRPr="00D85A26" w:rsidRDefault="00B56301" w:rsidP="00B37B65">
            <w:pPr>
              <w:jc w:val="right"/>
              <w:rPr>
                <w:rFonts w:asciiTheme="minorHAnsi" w:hAnsiTheme="minorHAnsi"/>
                <w:sz w:val="16"/>
                <w:szCs w:val="16"/>
              </w:rPr>
            </w:pPr>
            <w:r w:rsidRPr="00D85A26">
              <w:rPr>
                <w:sz w:val="16"/>
                <w:szCs w:val="18"/>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69023762" w14:textId="77777777" w:rsidR="00B56301" w:rsidRPr="00D85A26" w:rsidRDefault="00B56301" w:rsidP="00B37B65">
            <w:pPr>
              <w:jc w:val="right"/>
              <w:rPr>
                <w:rFonts w:asciiTheme="minorHAnsi" w:hAnsiTheme="minorHAnsi"/>
                <w:sz w:val="16"/>
                <w:szCs w:val="16"/>
              </w:rPr>
            </w:pPr>
            <w:r w:rsidRPr="00D85A26">
              <w:rPr>
                <w:sz w:val="16"/>
                <w:szCs w:val="18"/>
              </w:rPr>
              <w:t>2,02</w:t>
            </w:r>
          </w:p>
        </w:tc>
      </w:tr>
      <w:tr w:rsidR="00B56301" w:rsidRPr="00D85A26" w14:paraId="74050F9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C590BDB" w14:textId="1D22C2A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F.</w:t>
            </w:r>
            <w:r w:rsidR="00260E0B">
              <w:rPr>
                <w:rFonts w:asciiTheme="minorHAnsi" w:hAnsiTheme="minorHAnsi"/>
                <w:sz w:val="16"/>
                <w:szCs w:val="16"/>
              </w:rPr>
              <w:t xml:space="preserve"> </w:t>
            </w:r>
            <w:r w:rsidRPr="00D85A26">
              <w:rPr>
                <w:rFonts w:asciiTheme="minorHAnsi" w:hAnsiTheme="minorHAnsi"/>
                <w:sz w:val="16"/>
                <w:szCs w:val="16"/>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F28AC0B"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65D19E3"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CB6BE8E"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9B9240E"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EA8F816"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3425D61"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43D5799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347E16" w14:textId="59934CA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55D5BE4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F16AB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96860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18FB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2538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1ABD1A"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3B734D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A68C51" w14:textId="1319A06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Other</w:t>
            </w:r>
            <w:r w:rsidR="00260E0B">
              <w:rPr>
                <w:rFonts w:asciiTheme="minorHAnsi" w:hAnsiTheme="minorHAnsi"/>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361DFE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3CD8ABD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F462788"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1677BFA"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1A0BEB0F"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6454BA1" w14:textId="77777777" w:rsidR="00B56301" w:rsidRPr="00D85A26" w:rsidRDefault="00B56301" w:rsidP="00B37B65">
            <w:pPr>
              <w:jc w:val="right"/>
              <w:rPr>
                <w:rFonts w:asciiTheme="minorHAnsi" w:hAnsiTheme="minorHAnsi"/>
                <w:sz w:val="16"/>
                <w:szCs w:val="16"/>
              </w:rPr>
            </w:pPr>
            <w:r w:rsidRPr="00D85A26">
              <w:rPr>
                <w:sz w:val="16"/>
                <w:szCs w:val="18"/>
              </w:rPr>
              <w:t>NA</w:t>
            </w:r>
          </w:p>
        </w:tc>
      </w:tr>
      <w:tr w:rsidR="00B56301" w:rsidRPr="00D85A26" w14:paraId="6E6BF57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761A24" w14:textId="592C27CC"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5.</w:t>
            </w:r>
            <w:r w:rsidR="00260E0B">
              <w:rPr>
                <w:rFonts w:asciiTheme="minorHAnsi" w:hAnsiTheme="minorHAnsi"/>
                <w:b/>
                <w:bCs/>
                <w:sz w:val="16"/>
                <w:szCs w:val="16"/>
              </w:rPr>
              <w:t xml:space="preserve"> </w:t>
            </w:r>
            <w:r w:rsidRPr="00D85A26">
              <w:rPr>
                <w:rFonts w:asciiTheme="minorHAnsi" w:hAnsiTheme="minorHAnsi"/>
                <w:b/>
                <w:bCs/>
                <w:sz w:val="16"/>
                <w:szCs w:val="16"/>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3AD5AC33" w14:textId="77777777" w:rsidR="00B56301" w:rsidRPr="00D85A26" w:rsidRDefault="00B56301" w:rsidP="00B37B65">
            <w:pPr>
              <w:jc w:val="right"/>
              <w:rPr>
                <w:rFonts w:asciiTheme="minorHAnsi" w:hAnsiTheme="minorHAnsi"/>
                <w:sz w:val="16"/>
                <w:szCs w:val="16"/>
              </w:rPr>
            </w:pPr>
            <w:r w:rsidRPr="00D85A26">
              <w:rPr>
                <w:sz w:val="16"/>
                <w:szCs w:val="18"/>
              </w:rPr>
              <w:t>2,67</w:t>
            </w:r>
          </w:p>
        </w:tc>
        <w:tc>
          <w:tcPr>
            <w:tcW w:w="991" w:type="dxa"/>
            <w:tcBorders>
              <w:top w:val="nil"/>
              <w:left w:val="nil"/>
              <w:bottom w:val="single" w:sz="4" w:space="0" w:color="auto"/>
              <w:right w:val="single" w:sz="4" w:space="0" w:color="auto"/>
            </w:tcBorders>
            <w:shd w:val="clear" w:color="000000" w:fill="CCFFFF"/>
            <w:noWrap/>
            <w:vAlign w:val="bottom"/>
            <w:hideMark/>
          </w:tcPr>
          <w:p w14:paraId="323BE131" w14:textId="77777777" w:rsidR="00B56301" w:rsidRPr="00D85A26" w:rsidRDefault="00B56301" w:rsidP="00B37B65">
            <w:pPr>
              <w:jc w:val="right"/>
              <w:rPr>
                <w:rFonts w:asciiTheme="minorHAnsi" w:hAnsiTheme="minorHAnsi"/>
                <w:sz w:val="16"/>
                <w:szCs w:val="16"/>
              </w:rPr>
            </w:pPr>
            <w:r w:rsidRPr="00D85A26">
              <w:rPr>
                <w:sz w:val="16"/>
                <w:szCs w:val="18"/>
              </w:rPr>
              <w:t>2,64</w:t>
            </w:r>
          </w:p>
        </w:tc>
        <w:tc>
          <w:tcPr>
            <w:tcW w:w="991" w:type="dxa"/>
            <w:tcBorders>
              <w:top w:val="nil"/>
              <w:left w:val="nil"/>
              <w:bottom w:val="single" w:sz="4" w:space="0" w:color="auto"/>
              <w:right w:val="single" w:sz="4" w:space="0" w:color="auto"/>
            </w:tcBorders>
            <w:shd w:val="clear" w:color="000000" w:fill="CCFFFF"/>
            <w:noWrap/>
            <w:vAlign w:val="bottom"/>
            <w:hideMark/>
          </w:tcPr>
          <w:p w14:paraId="3E3AE546" w14:textId="77777777" w:rsidR="00B56301" w:rsidRPr="00D85A26" w:rsidRDefault="00B56301" w:rsidP="00B37B65">
            <w:pPr>
              <w:jc w:val="right"/>
              <w:rPr>
                <w:rFonts w:asciiTheme="minorHAnsi" w:hAnsiTheme="minorHAnsi"/>
                <w:sz w:val="16"/>
                <w:szCs w:val="16"/>
              </w:rPr>
            </w:pPr>
            <w:r w:rsidRPr="00D85A26">
              <w:rPr>
                <w:sz w:val="16"/>
                <w:szCs w:val="18"/>
              </w:rPr>
              <w:t>2,56</w:t>
            </w:r>
          </w:p>
        </w:tc>
        <w:tc>
          <w:tcPr>
            <w:tcW w:w="991" w:type="dxa"/>
            <w:tcBorders>
              <w:top w:val="nil"/>
              <w:left w:val="nil"/>
              <w:bottom w:val="single" w:sz="4" w:space="0" w:color="auto"/>
              <w:right w:val="single" w:sz="4" w:space="0" w:color="auto"/>
            </w:tcBorders>
            <w:shd w:val="clear" w:color="000000" w:fill="CCFFFF"/>
            <w:noWrap/>
            <w:vAlign w:val="bottom"/>
            <w:hideMark/>
          </w:tcPr>
          <w:p w14:paraId="747A8B6A" w14:textId="77777777" w:rsidR="00B56301" w:rsidRPr="00D85A26" w:rsidRDefault="00B56301" w:rsidP="00B37B65">
            <w:pPr>
              <w:jc w:val="right"/>
              <w:rPr>
                <w:rFonts w:asciiTheme="minorHAnsi" w:hAnsiTheme="minorHAnsi"/>
                <w:sz w:val="16"/>
                <w:szCs w:val="16"/>
              </w:rPr>
            </w:pPr>
            <w:r w:rsidRPr="00D85A26">
              <w:rPr>
                <w:sz w:val="16"/>
                <w:szCs w:val="18"/>
              </w:rPr>
              <w:t>2,52</w:t>
            </w:r>
          </w:p>
        </w:tc>
        <w:tc>
          <w:tcPr>
            <w:tcW w:w="991" w:type="dxa"/>
            <w:tcBorders>
              <w:top w:val="nil"/>
              <w:left w:val="nil"/>
              <w:bottom w:val="single" w:sz="4" w:space="0" w:color="auto"/>
              <w:right w:val="single" w:sz="4" w:space="0" w:color="auto"/>
            </w:tcBorders>
            <w:shd w:val="clear" w:color="000000" w:fill="CCFFFF"/>
            <w:noWrap/>
            <w:vAlign w:val="bottom"/>
            <w:hideMark/>
          </w:tcPr>
          <w:p w14:paraId="1C434B4F" w14:textId="77777777" w:rsidR="00B56301" w:rsidRPr="00D85A26" w:rsidRDefault="00B56301" w:rsidP="00B37B65">
            <w:pPr>
              <w:jc w:val="right"/>
              <w:rPr>
                <w:rFonts w:asciiTheme="minorHAnsi" w:hAnsiTheme="minorHAnsi"/>
                <w:sz w:val="16"/>
                <w:szCs w:val="16"/>
              </w:rPr>
            </w:pPr>
            <w:r w:rsidRPr="00D85A26">
              <w:rPr>
                <w:sz w:val="16"/>
                <w:szCs w:val="18"/>
              </w:rPr>
              <w:t>2,49</w:t>
            </w:r>
          </w:p>
        </w:tc>
        <w:tc>
          <w:tcPr>
            <w:tcW w:w="991" w:type="dxa"/>
            <w:tcBorders>
              <w:top w:val="nil"/>
              <w:left w:val="nil"/>
              <w:bottom w:val="single" w:sz="4" w:space="0" w:color="auto"/>
              <w:right w:val="single" w:sz="4" w:space="0" w:color="auto"/>
            </w:tcBorders>
            <w:shd w:val="clear" w:color="000000" w:fill="CCFFFF"/>
            <w:noWrap/>
            <w:vAlign w:val="bottom"/>
            <w:hideMark/>
          </w:tcPr>
          <w:p w14:paraId="5CACDB75" w14:textId="77777777" w:rsidR="00B56301" w:rsidRPr="00D85A26" w:rsidRDefault="00B56301" w:rsidP="00B37B65">
            <w:pPr>
              <w:jc w:val="right"/>
              <w:rPr>
                <w:rFonts w:asciiTheme="minorHAnsi" w:hAnsiTheme="minorHAnsi"/>
                <w:sz w:val="16"/>
                <w:szCs w:val="16"/>
              </w:rPr>
            </w:pPr>
            <w:r w:rsidRPr="00D85A26">
              <w:rPr>
                <w:sz w:val="16"/>
                <w:szCs w:val="18"/>
              </w:rPr>
              <w:t>2,52</w:t>
            </w:r>
          </w:p>
        </w:tc>
      </w:tr>
      <w:tr w:rsidR="00B56301" w:rsidRPr="00D85A26" w14:paraId="3A31EB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B4A787" w14:textId="0DFFB1C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Solid waste disposal</w:t>
            </w:r>
            <w:r w:rsidRPr="00D85A26">
              <w:rPr>
                <w:rFonts w:asciiTheme="minorHAnsi" w:hAnsiTheme="minorHAnsi"/>
                <w:b/>
                <w:bCs/>
                <w:sz w:val="16"/>
                <w:szCs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38BC30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C5CD5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636EB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9BB38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4339B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098B4D"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14A5A0F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83007B8" w14:textId="2553CBA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B.</w:t>
            </w:r>
            <w:r w:rsidR="00260E0B">
              <w:rPr>
                <w:rFonts w:asciiTheme="minorHAnsi" w:hAnsiTheme="minorHAnsi"/>
                <w:sz w:val="16"/>
                <w:szCs w:val="16"/>
                <w:lang w:val="en-GB"/>
              </w:rPr>
              <w:t xml:space="preserve"> </w:t>
            </w:r>
            <w:r w:rsidRPr="00D85A26">
              <w:rPr>
                <w:rFonts w:asciiTheme="minorHAnsi" w:hAnsiTheme="minorHAnsi"/>
                <w:sz w:val="16"/>
                <w:szCs w:val="16"/>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5A4D511"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2F8EC1FF" w14:textId="77777777" w:rsidR="00B56301" w:rsidRPr="00D85A26" w:rsidRDefault="00B56301" w:rsidP="00B37B65">
            <w:pPr>
              <w:jc w:val="right"/>
              <w:rPr>
                <w:rFonts w:asciiTheme="minorHAnsi" w:hAnsiTheme="minorHAnsi"/>
                <w:sz w:val="16"/>
                <w:szCs w:val="16"/>
              </w:rPr>
            </w:pPr>
            <w:r w:rsidRPr="00D85A26">
              <w:rPr>
                <w:sz w:val="16"/>
                <w:szCs w:val="18"/>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12B51ECB"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96B0C57" w14:textId="77777777" w:rsidR="00B56301" w:rsidRPr="00D85A26" w:rsidRDefault="00B56301" w:rsidP="00B37B65">
            <w:pPr>
              <w:jc w:val="right"/>
              <w:rPr>
                <w:rFonts w:asciiTheme="minorHAnsi" w:hAnsiTheme="minorHAnsi"/>
                <w:sz w:val="16"/>
                <w:szCs w:val="16"/>
              </w:rPr>
            </w:pPr>
            <w:r w:rsidRPr="00D85A26">
              <w:rPr>
                <w:sz w:val="16"/>
                <w:szCs w:val="18"/>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2AC54118" w14:textId="77777777" w:rsidR="00B56301" w:rsidRPr="00D85A26" w:rsidRDefault="00B56301" w:rsidP="00B37B65">
            <w:pPr>
              <w:jc w:val="right"/>
              <w:rPr>
                <w:rFonts w:asciiTheme="minorHAnsi" w:hAnsiTheme="minorHAnsi"/>
                <w:sz w:val="16"/>
                <w:szCs w:val="16"/>
              </w:rPr>
            </w:pPr>
            <w:r w:rsidRPr="00D85A26">
              <w:rPr>
                <w:sz w:val="16"/>
                <w:szCs w:val="18"/>
              </w:rPr>
              <w:t>0,28</w:t>
            </w:r>
          </w:p>
        </w:tc>
        <w:tc>
          <w:tcPr>
            <w:tcW w:w="991" w:type="dxa"/>
            <w:tcBorders>
              <w:top w:val="nil"/>
              <w:left w:val="nil"/>
              <w:bottom w:val="single" w:sz="4" w:space="0" w:color="auto"/>
              <w:right w:val="single" w:sz="4" w:space="0" w:color="auto"/>
            </w:tcBorders>
            <w:shd w:val="clear" w:color="000000" w:fill="FFFFFF"/>
            <w:noWrap/>
            <w:vAlign w:val="bottom"/>
            <w:hideMark/>
          </w:tcPr>
          <w:p w14:paraId="6C5F073D" w14:textId="77777777" w:rsidR="00B56301" w:rsidRPr="00D85A26" w:rsidRDefault="00B56301" w:rsidP="00B37B65">
            <w:pPr>
              <w:jc w:val="right"/>
              <w:rPr>
                <w:rFonts w:asciiTheme="minorHAnsi" w:hAnsiTheme="minorHAnsi"/>
                <w:sz w:val="16"/>
                <w:szCs w:val="16"/>
              </w:rPr>
            </w:pPr>
            <w:r w:rsidRPr="00D85A26">
              <w:rPr>
                <w:sz w:val="16"/>
                <w:szCs w:val="18"/>
              </w:rPr>
              <w:t>0,30</w:t>
            </w:r>
          </w:p>
        </w:tc>
      </w:tr>
      <w:tr w:rsidR="00B56301" w:rsidRPr="00D85A26" w14:paraId="795F51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D6D5D" w14:textId="1AB88D8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C.</w:t>
            </w:r>
            <w:r w:rsidR="00260E0B">
              <w:rPr>
                <w:rFonts w:asciiTheme="minorHAnsi" w:hAnsiTheme="minorHAnsi"/>
                <w:sz w:val="16"/>
                <w:szCs w:val="16"/>
                <w:lang w:val="en-GB"/>
              </w:rPr>
              <w:t xml:space="preserve"> </w:t>
            </w:r>
            <w:r w:rsidRPr="00D85A26">
              <w:rPr>
                <w:rFonts w:asciiTheme="minorHAnsi" w:hAnsiTheme="minorHAnsi"/>
                <w:sz w:val="16"/>
                <w:szCs w:val="16"/>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50F95AC2" w14:textId="77777777" w:rsidR="00B56301" w:rsidRPr="00D85A26" w:rsidRDefault="00B56301" w:rsidP="00B37B65">
            <w:pPr>
              <w:jc w:val="right"/>
              <w:rPr>
                <w:rFonts w:asciiTheme="minorHAnsi" w:hAnsiTheme="minorHAnsi"/>
                <w:sz w:val="16"/>
                <w:szCs w:val="16"/>
              </w:rPr>
            </w:pPr>
            <w:r w:rsidRPr="00D85A26">
              <w:rPr>
                <w:sz w:val="16"/>
                <w:szCs w:val="18"/>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091B9361"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01F1ADFC" w14:textId="77777777" w:rsidR="00B56301" w:rsidRPr="00D85A26" w:rsidRDefault="00B56301" w:rsidP="00B37B65">
            <w:pPr>
              <w:jc w:val="right"/>
              <w:rPr>
                <w:rFonts w:asciiTheme="minorHAnsi" w:hAnsiTheme="minorHAnsi"/>
                <w:sz w:val="16"/>
                <w:szCs w:val="16"/>
              </w:rPr>
            </w:pPr>
            <w:r w:rsidRPr="00D85A26">
              <w:rPr>
                <w:sz w:val="16"/>
                <w:szCs w:val="18"/>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2FAC4370" w14:textId="77777777" w:rsidR="00B56301" w:rsidRPr="00D85A26" w:rsidRDefault="00B56301" w:rsidP="00B37B65">
            <w:pPr>
              <w:jc w:val="right"/>
              <w:rPr>
                <w:rFonts w:asciiTheme="minorHAnsi" w:hAnsiTheme="minorHAnsi"/>
                <w:sz w:val="16"/>
                <w:szCs w:val="16"/>
              </w:rPr>
            </w:pPr>
            <w:r w:rsidRPr="00D85A26">
              <w:rPr>
                <w:sz w:val="16"/>
                <w:szCs w:val="18"/>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7EA3DD94" w14:textId="77777777" w:rsidR="00B56301" w:rsidRPr="00D85A26" w:rsidRDefault="00B56301" w:rsidP="00B37B65">
            <w:pPr>
              <w:jc w:val="right"/>
              <w:rPr>
                <w:rFonts w:asciiTheme="minorHAnsi" w:hAnsiTheme="minorHAnsi"/>
                <w:sz w:val="16"/>
                <w:szCs w:val="16"/>
              </w:rPr>
            </w:pPr>
            <w:r w:rsidRPr="00D85A26">
              <w:rPr>
                <w:sz w:val="16"/>
                <w:szCs w:val="18"/>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6F7868F4" w14:textId="77777777" w:rsidR="00B56301" w:rsidRPr="00D85A26" w:rsidRDefault="00B56301" w:rsidP="00B37B65">
            <w:pPr>
              <w:jc w:val="right"/>
              <w:rPr>
                <w:rFonts w:asciiTheme="minorHAnsi" w:hAnsiTheme="minorHAnsi"/>
                <w:sz w:val="16"/>
                <w:szCs w:val="16"/>
              </w:rPr>
            </w:pPr>
            <w:r w:rsidRPr="00D85A26">
              <w:rPr>
                <w:sz w:val="16"/>
                <w:szCs w:val="18"/>
              </w:rPr>
              <w:t>0,40</w:t>
            </w:r>
          </w:p>
        </w:tc>
      </w:tr>
      <w:tr w:rsidR="00B56301" w:rsidRPr="00D85A26" w14:paraId="45D49B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D7B41D" w14:textId="351A2EF0"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66259878" w14:textId="77777777" w:rsidR="00B56301" w:rsidRPr="0034391E" w:rsidRDefault="00B56301" w:rsidP="00B37B65">
            <w:pPr>
              <w:jc w:val="right"/>
              <w:rPr>
                <w:rFonts w:asciiTheme="minorHAnsi" w:hAnsiTheme="minorHAnsi"/>
                <w:sz w:val="16"/>
                <w:szCs w:val="16"/>
              </w:rPr>
            </w:pPr>
            <w:r w:rsidRPr="0034391E">
              <w:rPr>
                <w:sz w:val="16"/>
                <w:szCs w:val="16"/>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4B572EED" w14:textId="77777777" w:rsidR="00B56301" w:rsidRPr="0034391E" w:rsidRDefault="00B56301" w:rsidP="00B37B65">
            <w:pPr>
              <w:jc w:val="right"/>
              <w:rPr>
                <w:rFonts w:asciiTheme="minorHAnsi" w:hAnsiTheme="minorHAnsi"/>
                <w:sz w:val="16"/>
                <w:szCs w:val="16"/>
              </w:rPr>
            </w:pPr>
            <w:r w:rsidRPr="0034391E">
              <w:rPr>
                <w:sz w:val="16"/>
                <w:szCs w:val="16"/>
              </w:rPr>
              <w:t>1,93</w:t>
            </w:r>
          </w:p>
        </w:tc>
        <w:tc>
          <w:tcPr>
            <w:tcW w:w="991" w:type="dxa"/>
            <w:tcBorders>
              <w:top w:val="nil"/>
              <w:left w:val="nil"/>
              <w:bottom w:val="single" w:sz="4" w:space="0" w:color="auto"/>
              <w:right w:val="single" w:sz="4" w:space="0" w:color="auto"/>
            </w:tcBorders>
            <w:shd w:val="clear" w:color="000000" w:fill="FFFFFF"/>
            <w:noWrap/>
            <w:vAlign w:val="bottom"/>
            <w:hideMark/>
          </w:tcPr>
          <w:p w14:paraId="6AB0132F" w14:textId="77777777" w:rsidR="00B56301" w:rsidRPr="0034391E" w:rsidRDefault="00B56301" w:rsidP="00B37B65">
            <w:pPr>
              <w:jc w:val="right"/>
              <w:rPr>
                <w:rFonts w:asciiTheme="minorHAnsi" w:hAnsiTheme="minorHAnsi"/>
                <w:sz w:val="16"/>
                <w:szCs w:val="16"/>
              </w:rPr>
            </w:pPr>
            <w:r w:rsidRPr="0034391E">
              <w:rPr>
                <w:sz w:val="16"/>
                <w:szCs w:val="16"/>
              </w:rPr>
              <w:t>1,90</w:t>
            </w:r>
          </w:p>
        </w:tc>
        <w:tc>
          <w:tcPr>
            <w:tcW w:w="991" w:type="dxa"/>
            <w:tcBorders>
              <w:top w:val="nil"/>
              <w:left w:val="nil"/>
              <w:bottom w:val="single" w:sz="4" w:space="0" w:color="auto"/>
              <w:right w:val="single" w:sz="4" w:space="0" w:color="auto"/>
            </w:tcBorders>
            <w:shd w:val="clear" w:color="000000" w:fill="FFFFFF"/>
            <w:noWrap/>
            <w:vAlign w:val="bottom"/>
            <w:hideMark/>
          </w:tcPr>
          <w:p w14:paraId="7FDCF126" w14:textId="77777777" w:rsidR="00B56301" w:rsidRPr="0034391E" w:rsidRDefault="00B56301" w:rsidP="00B37B65">
            <w:pPr>
              <w:jc w:val="right"/>
              <w:rPr>
                <w:rFonts w:asciiTheme="minorHAnsi" w:hAnsiTheme="minorHAnsi"/>
                <w:sz w:val="16"/>
                <w:szCs w:val="16"/>
              </w:rPr>
            </w:pPr>
            <w:r w:rsidRPr="0034391E">
              <w:rPr>
                <w:sz w:val="16"/>
                <w:szCs w:val="16"/>
              </w:rPr>
              <w:t>1,88</w:t>
            </w:r>
          </w:p>
        </w:tc>
        <w:tc>
          <w:tcPr>
            <w:tcW w:w="991" w:type="dxa"/>
            <w:tcBorders>
              <w:top w:val="nil"/>
              <w:left w:val="nil"/>
              <w:bottom w:val="single" w:sz="4" w:space="0" w:color="auto"/>
              <w:right w:val="single" w:sz="4" w:space="0" w:color="auto"/>
            </w:tcBorders>
            <w:shd w:val="clear" w:color="000000" w:fill="FFFFFF"/>
            <w:noWrap/>
            <w:vAlign w:val="bottom"/>
            <w:hideMark/>
          </w:tcPr>
          <w:p w14:paraId="5A1C4167" w14:textId="77777777" w:rsidR="00B56301" w:rsidRPr="0034391E" w:rsidRDefault="00B56301" w:rsidP="00B37B65">
            <w:pPr>
              <w:jc w:val="right"/>
              <w:rPr>
                <w:rFonts w:asciiTheme="minorHAnsi" w:hAnsiTheme="minorHAnsi"/>
                <w:sz w:val="16"/>
                <w:szCs w:val="16"/>
              </w:rPr>
            </w:pPr>
            <w:r w:rsidRPr="0034391E">
              <w:rPr>
                <w:sz w:val="16"/>
                <w:szCs w:val="16"/>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0905FD57" w14:textId="77777777" w:rsidR="00B56301" w:rsidRPr="0034391E" w:rsidRDefault="00B56301" w:rsidP="00B37B65">
            <w:pPr>
              <w:jc w:val="right"/>
              <w:rPr>
                <w:rFonts w:asciiTheme="minorHAnsi" w:hAnsiTheme="minorHAnsi"/>
                <w:sz w:val="16"/>
                <w:szCs w:val="16"/>
              </w:rPr>
            </w:pPr>
            <w:r w:rsidRPr="0034391E">
              <w:rPr>
                <w:sz w:val="16"/>
                <w:szCs w:val="16"/>
              </w:rPr>
              <w:t>1,82</w:t>
            </w:r>
          </w:p>
        </w:tc>
      </w:tr>
      <w:tr w:rsidR="00B56301" w:rsidRPr="00D85A26" w14:paraId="7BB286C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86A7706" w14:textId="48877E2F"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7764C95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08CF63B"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CF175D"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5C03436"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9FC4F9"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15457A0"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072A49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E9E248" w14:textId="1100B87A"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99A910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9BAFEE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5D1CEB1"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CF32FEB"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8823F7D"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7CA4E4A"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6233AB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C4C9459" w14:textId="75D3681D"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without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20E4234E" w14:textId="77777777" w:rsidR="00B56301" w:rsidRPr="0034391E" w:rsidRDefault="00B56301" w:rsidP="00B37B65">
            <w:pPr>
              <w:jc w:val="right"/>
              <w:rPr>
                <w:rFonts w:asciiTheme="minorHAnsi" w:hAnsiTheme="minorHAnsi"/>
                <w:sz w:val="16"/>
                <w:szCs w:val="16"/>
              </w:rPr>
            </w:pPr>
            <w:r w:rsidRPr="0034391E">
              <w:rPr>
                <w:sz w:val="16"/>
                <w:szCs w:val="16"/>
              </w:rPr>
              <w:t>221,27</w:t>
            </w:r>
          </w:p>
        </w:tc>
        <w:tc>
          <w:tcPr>
            <w:tcW w:w="991" w:type="dxa"/>
            <w:tcBorders>
              <w:top w:val="nil"/>
              <w:left w:val="nil"/>
              <w:bottom w:val="single" w:sz="4" w:space="0" w:color="auto"/>
              <w:right w:val="single" w:sz="4" w:space="0" w:color="auto"/>
            </w:tcBorders>
            <w:shd w:val="clear" w:color="000000" w:fill="CCFFFF"/>
            <w:noWrap/>
            <w:vAlign w:val="bottom"/>
            <w:hideMark/>
          </w:tcPr>
          <w:p w14:paraId="6B2B1C4F" w14:textId="77777777" w:rsidR="00B56301" w:rsidRPr="0034391E" w:rsidRDefault="00B56301" w:rsidP="00B37B65">
            <w:pPr>
              <w:jc w:val="right"/>
              <w:rPr>
                <w:rFonts w:asciiTheme="minorHAnsi" w:hAnsiTheme="minorHAnsi"/>
                <w:sz w:val="16"/>
                <w:szCs w:val="16"/>
              </w:rPr>
            </w:pPr>
            <w:r w:rsidRPr="0034391E">
              <w:rPr>
                <w:sz w:val="16"/>
                <w:szCs w:val="16"/>
              </w:rPr>
              <w:t>226,38</w:t>
            </w:r>
          </w:p>
        </w:tc>
        <w:tc>
          <w:tcPr>
            <w:tcW w:w="991" w:type="dxa"/>
            <w:tcBorders>
              <w:top w:val="nil"/>
              <w:left w:val="nil"/>
              <w:bottom w:val="single" w:sz="4" w:space="0" w:color="auto"/>
              <w:right w:val="single" w:sz="4" w:space="0" w:color="auto"/>
            </w:tcBorders>
            <w:shd w:val="clear" w:color="000000" w:fill="CCFFFF"/>
            <w:noWrap/>
            <w:vAlign w:val="bottom"/>
            <w:hideMark/>
          </w:tcPr>
          <w:p w14:paraId="6FE9ECA5" w14:textId="77777777" w:rsidR="00B56301" w:rsidRPr="0034391E" w:rsidRDefault="00B56301" w:rsidP="00B37B65">
            <w:pPr>
              <w:jc w:val="right"/>
              <w:rPr>
                <w:rFonts w:asciiTheme="minorHAnsi" w:hAnsiTheme="minorHAnsi"/>
                <w:sz w:val="16"/>
                <w:szCs w:val="16"/>
              </w:rPr>
            </w:pPr>
            <w:r w:rsidRPr="0034391E">
              <w:rPr>
                <w:sz w:val="16"/>
                <w:szCs w:val="16"/>
              </w:rPr>
              <w:t>226,15</w:t>
            </w:r>
          </w:p>
        </w:tc>
        <w:tc>
          <w:tcPr>
            <w:tcW w:w="991" w:type="dxa"/>
            <w:tcBorders>
              <w:top w:val="nil"/>
              <w:left w:val="nil"/>
              <w:bottom w:val="single" w:sz="4" w:space="0" w:color="auto"/>
              <w:right w:val="single" w:sz="4" w:space="0" w:color="auto"/>
            </w:tcBorders>
            <w:shd w:val="clear" w:color="000000" w:fill="CCFFFF"/>
            <w:noWrap/>
            <w:vAlign w:val="bottom"/>
            <w:hideMark/>
          </w:tcPr>
          <w:p w14:paraId="7C287025" w14:textId="77777777" w:rsidR="00B56301" w:rsidRPr="0034391E" w:rsidRDefault="00B56301" w:rsidP="00B37B65">
            <w:pPr>
              <w:jc w:val="right"/>
              <w:rPr>
                <w:rFonts w:asciiTheme="minorHAnsi" w:hAnsiTheme="minorHAnsi"/>
                <w:sz w:val="16"/>
                <w:szCs w:val="16"/>
              </w:rPr>
            </w:pPr>
            <w:r w:rsidRPr="0034391E">
              <w:rPr>
                <w:sz w:val="16"/>
                <w:szCs w:val="16"/>
              </w:rPr>
              <w:t>203,94</w:t>
            </w:r>
          </w:p>
        </w:tc>
        <w:tc>
          <w:tcPr>
            <w:tcW w:w="991" w:type="dxa"/>
            <w:tcBorders>
              <w:top w:val="nil"/>
              <w:left w:val="nil"/>
              <w:bottom w:val="single" w:sz="4" w:space="0" w:color="auto"/>
              <w:right w:val="single" w:sz="4" w:space="0" w:color="auto"/>
            </w:tcBorders>
            <w:shd w:val="clear" w:color="000000" w:fill="CCFFFF"/>
            <w:noWrap/>
            <w:vAlign w:val="bottom"/>
            <w:hideMark/>
          </w:tcPr>
          <w:p w14:paraId="36634589" w14:textId="77777777" w:rsidR="00B56301" w:rsidRPr="0034391E" w:rsidRDefault="00B56301" w:rsidP="00B37B65">
            <w:pPr>
              <w:jc w:val="right"/>
              <w:rPr>
                <w:rFonts w:asciiTheme="minorHAnsi" w:hAnsiTheme="minorHAnsi"/>
                <w:sz w:val="16"/>
                <w:szCs w:val="16"/>
              </w:rPr>
            </w:pPr>
            <w:r w:rsidRPr="0034391E">
              <w:rPr>
                <w:sz w:val="16"/>
                <w:szCs w:val="16"/>
              </w:rPr>
              <w:t>183,61</w:t>
            </w:r>
          </w:p>
        </w:tc>
        <w:tc>
          <w:tcPr>
            <w:tcW w:w="991" w:type="dxa"/>
            <w:tcBorders>
              <w:top w:val="nil"/>
              <w:left w:val="nil"/>
              <w:bottom w:val="single" w:sz="4" w:space="0" w:color="auto"/>
              <w:right w:val="single" w:sz="4" w:space="0" w:color="auto"/>
            </w:tcBorders>
            <w:shd w:val="clear" w:color="000000" w:fill="CCFFFF"/>
            <w:noWrap/>
            <w:vAlign w:val="bottom"/>
            <w:hideMark/>
          </w:tcPr>
          <w:p w14:paraId="196F699F" w14:textId="77777777" w:rsidR="00B56301" w:rsidRPr="0034391E" w:rsidRDefault="00B56301" w:rsidP="00B37B65">
            <w:pPr>
              <w:jc w:val="right"/>
              <w:rPr>
                <w:rFonts w:asciiTheme="minorHAnsi" w:hAnsiTheme="minorHAnsi"/>
                <w:sz w:val="16"/>
                <w:szCs w:val="16"/>
              </w:rPr>
            </w:pPr>
            <w:r w:rsidRPr="0034391E">
              <w:rPr>
                <w:sz w:val="16"/>
                <w:szCs w:val="16"/>
              </w:rPr>
              <w:t>180,14</w:t>
            </w:r>
          </w:p>
        </w:tc>
      </w:tr>
      <w:tr w:rsidR="00B56301" w:rsidRPr="00D85A26" w14:paraId="144211E0"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7355127A" w14:textId="4BEFDD9A"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21B2C051" w14:textId="77777777" w:rsidR="00B56301" w:rsidRPr="0034391E" w:rsidRDefault="00B56301" w:rsidP="00B37B65">
            <w:pPr>
              <w:jc w:val="right"/>
              <w:rPr>
                <w:rFonts w:asciiTheme="minorHAnsi" w:hAnsiTheme="minorHAnsi"/>
                <w:sz w:val="16"/>
                <w:szCs w:val="16"/>
              </w:rPr>
            </w:pPr>
            <w:r w:rsidRPr="0034391E">
              <w:rPr>
                <w:sz w:val="16"/>
                <w:szCs w:val="16"/>
              </w:rPr>
              <w:t>232,16</w:t>
            </w:r>
          </w:p>
        </w:tc>
        <w:tc>
          <w:tcPr>
            <w:tcW w:w="991" w:type="dxa"/>
            <w:tcBorders>
              <w:top w:val="nil"/>
              <w:left w:val="nil"/>
              <w:bottom w:val="single" w:sz="4" w:space="0" w:color="auto"/>
              <w:right w:val="single" w:sz="4" w:space="0" w:color="auto"/>
            </w:tcBorders>
            <w:shd w:val="clear" w:color="000000" w:fill="CCFFFF"/>
            <w:noWrap/>
            <w:vAlign w:val="bottom"/>
            <w:hideMark/>
          </w:tcPr>
          <w:p w14:paraId="6188AFC7" w14:textId="77777777" w:rsidR="00B56301" w:rsidRPr="0034391E" w:rsidRDefault="00B56301" w:rsidP="00B37B65">
            <w:pPr>
              <w:jc w:val="right"/>
              <w:rPr>
                <w:rFonts w:asciiTheme="minorHAnsi" w:hAnsiTheme="minorHAnsi"/>
                <w:sz w:val="16"/>
                <w:szCs w:val="16"/>
              </w:rPr>
            </w:pPr>
            <w:r w:rsidRPr="0034391E">
              <w:rPr>
                <w:sz w:val="16"/>
                <w:szCs w:val="16"/>
              </w:rPr>
              <w:t>237,18</w:t>
            </w:r>
          </w:p>
        </w:tc>
        <w:tc>
          <w:tcPr>
            <w:tcW w:w="991" w:type="dxa"/>
            <w:tcBorders>
              <w:top w:val="nil"/>
              <w:left w:val="nil"/>
              <w:bottom w:val="single" w:sz="4" w:space="0" w:color="auto"/>
              <w:right w:val="single" w:sz="4" w:space="0" w:color="auto"/>
            </w:tcBorders>
            <w:shd w:val="clear" w:color="000000" w:fill="CCFFFF"/>
            <w:noWrap/>
            <w:vAlign w:val="bottom"/>
            <w:hideMark/>
          </w:tcPr>
          <w:p w14:paraId="53CC42A7" w14:textId="77777777" w:rsidR="00B56301" w:rsidRPr="0034391E" w:rsidRDefault="00B56301" w:rsidP="00B37B65">
            <w:pPr>
              <w:jc w:val="right"/>
              <w:rPr>
                <w:rFonts w:asciiTheme="minorHAnsi" w:hAnsiTheme="minorHAnsi"/>
                <w:sz w:val="16"/>
                <w:szCs w:val="16"/>
              </w:rPr>
            </w:pPr>
            <w:r w:rsidRPr="0034391E">
              <w:rPr>
                <w:sz w:val="16"/>
                <w:szCs w:val="16"/>
              </w:rPr>
              <w:t>236,98</w:t>
            </w:r>
          </w:p>
        </w:tc>
        <w:tc>
          <w:tcPr>
            <w:tcW w:w="991" w:type="dxa"/>
            <w:tcBorders>
              <w:top w:val="nil"/>
              <w:left w:val="nil"/>
              <w:bottom w:val="single" w:sz="4" w:space="0" w:color="auto"/>
              <w:right w:val="single" w:sz="4" w:space="0" w:color="auto"/>
            </w:tcBorders>
            <w:shd w:val="clear" w:color="000000" w:fill="CCFFFF"/>
            <w:noWrap/>
            <w:vAlign w:val="bottom"/>
            <w:hideMark/>
          </w:tcPr>
          <w:p w14:paraId="5E25E6F2" w14:textId="77777777" w:rsidR="00B56301" w:rsidRPr="0034391E" w:rsidRDefault="00B56301" w:rsidP="00B37B65">
            <w:pPr>
              <w:jc w:val="right"/>
              <w:rPr>
                <w:rFonts w:asciiTheme="minorHAnsi" w:hAnsiTheme="minorHAnsi"/>
                <w:sz w:val="16"/>
                <w:szCs w:val="16"/>
              </w:rPr>
            </w:pPr>
            <w:r w:rsidRPr="0034391E">
              <w:rPr>
                <w:sz w:val="16"/>
                <w:szCs w:val="16"/>
              </w:rPr>
              <w:t>214,74</w:t>
            </w:r>
          </w:p>
        </w:tc>
        <w:tc>
          <w:tcPr>
            <w:tcW w:w="991" w:type="dxa"/>
            <w:tcBorders>
              <w:top w:val="nil"/>
              <w:left w:val="nil"/>
              <w:bottom w:val="single" w:sz="4" w:space="0" w:color="auto"/>
              <w:right w:val="single" w:sz="4" w:space="0" w:color="auto"/>
            </w:tcBorders>
            <w:shd w:val="clear" w:color="000000" w:fill="CCFFFF"/>
            <w:noWrap/>
            <w:vAlign w:val="bottom"/>
            <w:hideMark/>
          </w:tcPr>
          <w:p w14:paraId="6F19A96E" w14:textId="77777777" w:rsidR="00B56301" w:rsidRPr="0034391E" w:rsidRDefault="00B56301" w:rsidP="00B37B65">
            <w:pPr>
              <w:jc w:val="right"/>
              <w:rPr>
                <w:rFonts w:asciiTheme="minorHAnsi" w:hAnsiTheme="minorHAnsi"/>
                <w:sz w:val="16"/>
                <w:szCs w:val="16"/>
              </w:rPr>
            </w:pPr>
            <w:r w:rsidRPr="0034391E">
              <w:rPr>
                <w:sz w:val="16"/>
                <w:szCs w:val="16"/>
              </w:rPr>
              <w:t>194,25</w:t>
            </w:r>
          </w:p>
        </w:tc>
        <w:tc>
          <w:tcPr>
            <w:tcW w:w="991" w:type="dxa"/>
            <w:tcBorders>
              <w:top w:val="nil"/>
              <w:left w:val="nil"/>
              <w:bottom w:val="single" w:sz="4" w:space="0" w:color="auto"/>
              <w:right w:val="single" w:sz="4" w:space="0" w:color="auto"/>
            </w:tcBorders>
            <w:shd w:val="clear" w:color="000000" w:fill="CCFFFF"/>
            <w:noWrap/>
            <w:vAlign w:val="bottom"/>
            <w:hideMark/>
          </w:tcPr>
          <w:p w14:paraId="4685C0CB" w14:textId="77777777" w:rsidR="00B56301" w:rsidRPr="0034391E" w:rsidRDefault="00B56301" w:rsidP="00B37B65">
            <w:pPr>
              <w:jc w:val="right"/>
              <w:rPr>
                <w:rFonts w:asciiTheme="minorHAnsi" w:hAnsiTheme="minorHAnsi"/>
                <w:sz w:val="16"/>
                <w:szCs w:val="16"/>
              </w:rPr>
            </w:pPr>
            <w:r w:rsidRPr="0034391E">
              <w:rPr>
                <w:sz w:val="16"/>
                <w:szCs w:val="16"/>
              </w:rPr>
              <w:t>190,85</w:t>
            </w:r>
          </w:p>
        </w:tc>
      </w:tr>
      <w:tr w:rsidR="00B56301" w:rsidRPr="00D85A26" w14:paraId="16F00E9B"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B487F4"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r w:rsidRPr="0034391E">
              <w:rPr>
                <w:rFonts w:asciiTheme="minorHAnsi" w:hAnsiTheme="minorHAnsi"/>
                <w:b/>
                <w:bCs/>
                <w:sz w:val="16"/>
                <w:szCs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9D083B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59E8C9"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4430A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0C258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088D3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1EB419"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500FCD2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6D1CE3"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7EF9FC5D" w14:textId="77777777" w:rsidR="00B56301" w:rsidRPr="0034391E" w:rsidRDefault="00B56301" w:rsidP="00B37B65">
            <w:pPr>
              <w:jc w:val="right"/>
              <w:rPr>
                <w:rFonts w:asciiTheme="minorHAnsi" w:hAnsiTheme="minorHAnsi"/>
                <w:sz w:val="16"/>
                <w:szCs w:val="16"/>
              </w:rPr>
            </w:pPr>
            <w:r w:rsidRPr="0034391E">
              <w:rPr>
                <w:sz w:val="16"/>
                <w:szCs w:val="16"/>
              </w:rPr>
              <w:t>0,47</w:t>
            </w:r>
          </w:p>
        </w:tc>
        <w:tc>
          <w:tcPr>
            <w:tcW w:w="991" w:type="dxa"/>
            <w:tcBorders>
              <w:top w:val="nil"/>
              <w:left w:val="nil"/>
              <w:bottom w:val="single" w:sz="4" w:space="0" w:color="auto"/>
              <w:right w:val="single" w:sz="4" w:space="0" w:color="auto"/>
            </w:tcBorders>
            <w:shd w:val="clear" w:color="000000" w:fill="CCFFFF"/>
            <w:noWrap/>
            <w:vAlign w:val="bottom"/>
            <w:hideMark/>
          </w:tcPr>
          <w:p w14:paraId="57537C10" w14:textId="77777777" w:rsidR="00B56301" w:rsidRPr="0034391E" w:rsidRDefault="00B56301" w:rsidP="00B37B65">
            <w:pPr>
              <w:jc w:val="right"/>
              <w:rPr>
                <w:rFonts w:asciiTheme="minorHAnsi" w:hAnsiTheme="minorHAnsi"/>
                <w:sz w:val="16"/>
                <w:szCs w:val="16"/>
              </w:rPr>
            </w:pPr>
            <w:r w:rsidRPr="0034391E">
              <w:rPr>
                <w:sz w:val="16"/>
                <w:szCs w:val="16"/>
              </w:rPr>
              <w:t>0,50</w:t>
            </w:r>
          </w:p>
        </w:tc>
        <w:tc>
          <w:tcPr>
            <w:tcW w:w="991" w:type="dxa"/>
            <w:tcBorders>
              <w:top w:val="nil"/>
              <w:left w:val="nil"/>
              <w:bottom w:val="single" w:sz="4" w:space="0" w:color="auto"/>
              <w:right w:val="single" w:sz="4" w:space="0" w:color="auto"/>
            </w:tcBorders>
            <w:shd w:val="clear" w:color="000000" w:fill="CCFFFF"/>
            <w:noWrap/>
            <w:vAlign w:val="bottom"/>
            <w:hideMark/>
          </w:tcPr>
          <w:p w14:paraId="38CB4A74" w14:textId="77777777" w:rsidR="00B56301" w:rsidRPr="0034391E" w:rsidRDefault="00B56301" w:rsidP="00B37B65">
            <w:pPr>
              <w:jc w:val="right"/>
              <w:rPr>
                <w:rFonts w:asciiTheme="minorHAnsi" w:hAnsiTheme="minorHAnsi"/>
                <w:sz w:val="16"/>
                <w:szCs w:val="16"/>
              </w:rPr>
            </w:pPr>
            <w:r w:rsidRPr="0034391E">
              <w:rPr>
                <w:sz w:val="16"/>
                <w:szCs w:val="16"/>
              </w:rPr>
              <w:t>0,53</w:t>
            </w:r>
          </w:p>
        </w:tc>
        <w:tc>
          <w:tcPr>
            <w:tcW w:w="991" w:type="dxa"/>
            <w:tcBorders>
              <w:top w:val="nil"/>
              <w:left w:val="nil"/>
              <w:bottom w:val="single" w:sz="4" w:space="0" w:color="auto"/>
              <w:right w:val="single" w:sz="4" w:space="0" w:color="auto"/>
            </w:tcBorders>
            <w:shd w:val="clear" w:color="000000" w:fill="CCFFFF"/>
            <w:noWrap/>
            <w:vAlign w:val="bottom"/>
            <w:hideMark/>
          </w:tcPr>
          <w:p w14:paraId="69F41968" w14:textId="77777777" w:rsidR="00B56301" w:rsidRPr="0034391E" w:rsidRDefault="00B56301" w:rsidP="00B37B65">
            <w:pPr>
              <w:jc w:val="right"/>
              <w:rPr>
                <w:rFonts w:asciiTheme="minorHAnsi" w:hAnsiTheme="minorHAnsi"/>
                <w:sz w:val="16"/>
                <w:szCs w:val="16"/>
              </w:rPr>
            </w:pPr>
            <w:r w:rsidRPr="0034391E">
              <w:rPr>
                <w:sz w:val="16"/>
                <w:szCs w:val="16"/>
              </w:rPr>
              <w:t>0,57</w:t>
            </w:r>
          </w:p>
        </w:tc>
        <w:tc>
          <w:tcPr>
            <w:tcW w:w="991" w:type="dxa"/>
            <w:tcBorders>
              <w:top w:val="nil"/>
              <w:left w:val="nil"/>
              <w:bottom w:val="single" w:sz="4" w:space="0" w:color="auto"/>
              <w:right w:val="single" w:sz="4" w:space="0" w:color="auto"/>
            </w:tcBorders>
            <w:shd w:val="clear" w:color="000000" w:fill="CCFFFF"/>
            <w:noWrap/>
            <w:vAlign w:val="bottom"/>
            <w:hideMark/>
          </w:tcPr>
          <w:p w14:paraId="547F9FBE" w14:textId="77777777" w:rsidR="00B56301" w:rsidRPr="0034391E" w:rsidRDefault="00B56301" w:rsidP="00B37B65">
            <w:pPr>
              <w:jc w:val="right"/>
              <w:rPr>
                <w:rFonts w:asciiTheme="minorHAnsi" w:hAnsiTheme="minorHAnsi"/>
                <w:sz w:val="16"/>
                <w:szCs w:val="16"/>
              </w:rPr>
            </w:pPr>
            <w:r w:rsidRPr="0034391E">
              <w:rPr>
                <w:sz w:val="16"/>
                <w:szCs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3F202A9E" w14:textId="77777777" w:rsidR="00B56301" w:rsidRPr="0034391E" w:rsidRDefault="00B56301" w:rsidP="00B37B65">
            <w:pPr>
              <w:jc w:val="right"/>
              <w:rPr>
                <w:rFonts w:asciiTheme="minorHAnsi" w:hAnsiTheme="minorHAnsi"/>
                <w:sz w:val="16"/>
                <w:szCs w:val="16"/>
              </w:rPr>
            </w:pPr>
            <w:r w:rsidRPr="0034391E">
              <w:rPr>
                <w:sz w:val="16"/>
                <w:szCs w:val="16"/>
              </w:rPr>
              <w:t>0,63</w:t>
            </w:r>
          </w:p>
        </w:tc>
      </w:tr>
      <w:tr w:rsidR="00B56301" w:rsidRPr="00D85A26" w14:paraId="65D7794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3D741C"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159C1916" w14:textId="77777777" w:rsidR="00B56301" w:rsidRPr="0034391E" w:rsidRDefault="00B56301" w:rsidP="00B37B65">
            <w:pPr>
              <w:jc w:val="right"/>
              <w:rPr>
                <w:rFonts w:asciiTheme="minorHAnsi" w:hAnsiTheme="minorHAnsi"/>
                <w:sz w:val="16"/>
                <w:szCs w:val="16"/>
              </w:rPr>
            </w:pPr>
            <w:r w:rsidRPr="0034391E">
              <w:rPr>
                <w:sz w:val="16"/>
                <w:szCs w:val="16"/>
              </w:rPr>
              <w:t>0,29</w:t>
            </w:r>
          </w:p>
        </w:tc>
        <w:tc>
          <w:tcPr>
            <w:tcW w:w="991" w:type="dxa"/>
            <w:tcBorders>
              <w:top w:val="nil"/>
              <w:left w:val="nil"/>
              <w:bottom w:val="single" w:sz="4" w:space="0" w:color="auto"/>
              <w:right w:val="single" w:sz="4" w:space="0" w:color="auto"/>
            </w:tcBorders>
            <w:shd w:val="clear" w:color="000000" w:fill="FFFFFF"/>
            <w:noWrap/>
            <w:vAlign w:val="bottom"/>
            <w:hideMark/>
          </w:tcPr>
          <w:p w14:paraId="207B1C56" w14:textId="77777777" w:rsidR="00B56301" w:rsidRPr="0034391E" w:rsidRDefault="00B56301" w:rsidP="00B37B65">
            <w:pPr>
              <w:jc w:val="right"/>
              <w:rPr>
                <w:rFonts w:asciiTheme="minorHAnsi" w:hAnsiTheme="minorHAnsi"/>
                <w:sz w:val="16"/>
                <w:szCs w:val="16"/>
              </w:rPr>
            </w:pPr>
            <w:r w:rsidRPr="0034391E">
              <w:rPr>
                <w:sz w:val="16"/>
                <w:szCs w:val="16"/>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2DFAE3B0" w14:textId="77777777" w:rsidR="00B56301" w:rsidRPr="0034391E" w:rsidRDefault="00B56301" w:rsidP="00B37B65">
            <w:pPr>
              <w:jc w:val="right"/>
              <w:rPr>
                <w:rFonts w:asciiTheme="minorHAnsi" w:hAnsiTheme="minorHAnsi"/>
                <w:sz w:val="16"/>
                <w:szCs w:val="16"/>
              </w:rPr>
            </w:pPr>
            <w:r w:rsidRPr="0034391E">
              <w:rPr>
                <w:sz w:val="16"/>
                <w:szCs w:val="16"/>
              </w:rPr>
              <w:t>0,32</w:t>
            </w:r>
          </w:p>
        </w:tc>
        <w:tc>
          <w:tcPr>
            <w:tcW w:w="991" w:type="dxa"/>
            <w:tcBorders>
              <w:top w:val="nil"/>
              <w:left w:val="nil"/>
              <w:bottom w:val="single" w:sz="4" w:space="0" w:color="auto"/>
              <w:right w:val="single" w:sz="4" w:space="0" w:color="auto"/>
            </w:tcBorders>
            <w:shd w:val="clear" w:color="000000" w:fill="FFFFFF"/>
            <w:noWrap/>
            <w:vAlign w:val="bottom"/>
            <w:hideMark/>
          </w:tcPr>
          <w:p w14:paraId="0CFDA59E" w14:textId="77777777" w:rsidR="00B56301" w:rsidRPr="0034391E" w:rsidRDefault="00B56301" w:rsidP="00B37B65">
            <w:pPr>
              <w:jc w:val="right"/>
              <w:rPr>
                <w:rFonts w:asciiTheme="minorHAnsi" w:hAnsiTheme="minorHAnsi"/>
                <w:sz w:val="16"/>
                <w:szCs w:val="16"/>
              </w:rPr>
            </w:pPr>
            <w:r w:rsidRPr="0034391E">
              <w:rPr>
                <w:sz w:val="16"/>
                <w:szCs w:val="16"/>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79C7473B" w14:textId="77777777" w:rsidR="00B56301" w:rsidRPr="0034391E" w:rsidRDefault="00B56301" w:rsidP="00B37B65">
            <w:pPr>
              <w:jc w:val="right"/>
              <w:rPr>
                <w:rFonts w:asciiTheme="minorHAnsi" w:hAnsiTheme="minorHAnsi"/>
                <w:sz w:val="16"/>
                <w:szCs w:val="16"/>
              </w:rPr>
            </w:pPr>
            <w:r w:rsidRPr="0034391E">
              <w:rPr>
                <w:sz w:val="16"/>
                <w:szCs w:val="16"/>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6D04A269" w14:textId="77777777" w:rsidR="00B56301" w:rsidRPr="0034391E" w:rsidRDefault="00B56301" w:rsidP="00B37B65">
            <w:pPr>
              <w:jc w:val="right"/>
              <w:rPr>
                <w:rFonts w:asciiTheme="minorHAnsi" w:hAnsiTheme="minorHAnsi"/>
                <w:sz w:val="16"/>
                <w:szCs w:val="16"/>
              </w:rPr>
            </w:pPr>
            <w:r w:rsidRPr="0034391E">
              <w:rPr>
                <w:sz w:val="16"/>
                <w:szCs w:val="16"/>
              </w:rPr>
              <w:t>0,38</w:t>
            </w:r>
          </w:p>
        </w:tc>
      </w:tr>
      <w:tr w:rsidR="00B56301" w:rsidRPr="00D85A26" w14:paraId="4BAFCDC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545843"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CCAB00C" w14:textId="77777777" w:rsidR="00B56301" w:rsidRPr="0034391E" w:rsidRDefault="00B56301" w:rsidP="00B37B65">
            <w:pPr>
              <w:jc w:val="right"/>
              <w:rPr>
                <w:rFonts w:asciiTheme="minorHAnsi" w:hAnsiTheme="minorHAnsi"/>
                <w:sz w:val="16"/>
                <w:szCs w:val="16"/>
              </w:rPr>
            </w:pPr>
            <w:r w:rsidRPr="0034391E">
              <w:rPr>
                <w:sz w:val="16"/>
                <w:szCs w:val="16"/>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46D08E8E" w14:textId="77777777" w:rsidR="00B56301" w:rsidRPr="0034391E" w:rsidRDefault="00B56301" w:rsidP="00B37B65">
            <w:pPr>
              <w:jc w:val="right"/>
              <w:rPr>
                <w:rFonts w:asciiTheme="minorHAnsi" w:hAnsiTheme="minorHAnsi"/>
                <w:sz w:val="16"/>
                <w:szCs w:val="16"/>
              </w:rPr>
            </w:pPr>
            <w:r w:rsidRPr="0034391E">
              <w:rPr>
                <w:sz w:val="16"/>
                <w:szCs w:val="16"/>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49F9C164" w14:textId="77777777" w:rsidR="00B56301" w:rsidRPr="0034391E" w:rsidRDefault="00B56301" w:rsidP="00B37B65">
            <w:pPr>
              <w:jc w:val="right"/>
              <w:rPr>
                <w:rFonts w:asciiTheme="minorHAnsi" w:hAnsiTheme="minorHAnsi"/>
                <w:sz w:val="16"/>
                <w:szCs w:val="16"/>
              </w:rPr>
            </w:pPr>
            <w:r w:rsidRPr="0034391E">
              <w:rPr>
                <w:sz w:val="16"/>
                <w:szCs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0D7CF113" w14:textId="77777777" w:rsidR="00B56301" w:rsidRPr="0034391E" w:rsidRDefault="00B56301" w:rsidP="00B37B65">
            <w:pPr>
              <w:jc w:val="right"/>
              <w:rPr>
                <w:rFonts w:asciiTheme="minorHAnsi" w:hAnsiTheme="minorHAnsi"/>
                <w:sz w:val="16"/>
                <w:szCs w:val="16"/>
              </w:rPr>
            </w:pPr>
            <w:r w:rsidRPr="0034391E">
              <w:rPr>
                <w:sz w:val="16"/>
                <w:szCs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0D390DEB" w14:textId="77777777" w:rsidR="00B56301" w:rsidRPr="0034391E" w:rsidRDefault="00B56301" w:rsidP="00B37B65">
            <w:pPr>
              <w:jc w:val="right"/>
              <w:rPr>
                <w:rFonts w:asciiTheme="minorHAnsi" w:hAnsiTheme="minorHAnsi"/>
                <w:sz w:val="16"/>
                <w:szCs w:val="16"/>
              </w:rPr>
            </w:pPr>
            <w:r w:rsidRPr="0034391E">
              <w:rPr>
                <w:sz w:val="16"/>
                <w:szCs w:val="16"/>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60D7A3B2" w14:textId="77777777" w:rsidR="00B56301" w:rsidRPr="0034391E" w:rsidRDefault="00B56301" w:rsidP="00B37B65">
            <w:pPr>
              <w:jc w:val="right"/>
              <w:rPr>
                <w:rFonts w:asciiTheme="minorHAnsi" w:hAnsiTheme="minorHAnsi"/>
                <w:sz w:val="16"/>
                <w:szCs w:val="16"/>
              </w:rPr>
            </w:pPr>
            <w:r w:rsidRPr="0034391E">
              <w:rPr>
                <w:sz w:val="16"/>
                <w:szCs w:val="16"/>
              </w:rPr>
              <w:t>0,24</w:t>
            </w:r>
          </w:p>
        </w:tc>
      </w:tr>
      <w:tr w:rsidR="00B56301" w:rsidRPr="00D85A26" w14:paraId="771354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759379"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3A7566E"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5ABB31F"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7037B16"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B95D820"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E913B5C"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49F1C73" w14:textId="77777777" w:rsidR="00B56301" w:rsidRPr="0034391E" w:rsidRDefault="00B56301" w:rsidP="00B37B65">
            <w:pPr>
              <w:jc w:val="right"/>
              <w:rPr>
                <w:rFonts w:asciiTheme="minorHAnsi" w:hAnsiTheme="minorHAnsi"/>
                <w:sz w:val="16"/>
                <w:szCs w:val="16"/>
              </w:rPr>
            </w:pPr>
            <w:r w:rsidRPr="0034391E">
              <w:rPr>
                <w:sz w:val="16"/>
                <w:szCs w:val="16"/>
              </w:rPr>
              <w:t>NE</w:t>
            </w:r>
          </w:p>
        </w:tc>
      </w:tr>
      <w:tr w:rsidR="00B56301" w:rsidRPr="00D85A26" w14:paraId="775A5E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9D7B7B" w14:textId="17C48542"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2396F48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2FA686"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144775"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106392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CC8635"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4579B2"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5AEBE4D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E2A7D7" w14:textId="4917A658"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724DDAC3"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CE6E1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D63315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69AD08"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1FC32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8D9DCF"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833C38" w14:paraId="720F896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B5FEDE"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2EFF556E"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7D1B14"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8497FF"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C7E149"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21A8A95"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434089"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r>
      <w:tr w:rsidR="00B56301" w:rsidRPr="00D85A26" w14:paraId="389785BA"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5917391D" w14:textId="7092CA4E"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6AF701BF"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10AF207"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BF3B0EA"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D6C798"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0B3C9BD"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C4F485A" w14:textId="77777777" w:rsidR="00B56301" w:rsidRPr="0034391E" w:rsidRDefault="00B56301" w:rsidP="00B37B65">
            <w:pPr>
              <w:jc w:val="right"/>
              <w:rPr>
                <w:rFonts w:asciiTheme="minorHAnsi" w:hAnsiTheme="minorHAnsi"/>
                <w:sz w:val="16"/>
                <w:szCs w:val="16"/>
              </w:rPr>
            </w:pPr>
            <w:r w:rsidRPr="0034391E">
              <w:rPr>
                <w:sz w:val="16"/>
                <w:szCs w:val="16"/>
              </w:rPr>
              <w:t>NO,NE</w:t>
            </w:r>
          </w:p>
        </w:tc>
      </w:tr>
      <w:tr w:rsidR="00B56301" w:rsidRPr="00D85A26" w14:paraId="5AA189D7"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7F2131A" w14:textId="04FC678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CO</w:t>
            </w:r>
            <w:r w:rsidR="007F09F7" w:rsidRPr="0034391E">
              <w:rPr>
                <w:sz w:val="16"/>
                <w:szCs w:val="16"/>
                <w:vertAlign w:val="subscript"/>
              </w:rPr>
              <w:t>2</w:t>
            </w:r>
            <w:r w:rsidRPr="0034391E">
              <w:rPr>
                <w:rFonts w:asciiTheme="minorHAnsi" w:hAnsiTheme="minorHAnsi"/>
                <w:b/>
                <w:bCs/>
                <w:sz w:val="16"/>
                <w:szCs w:val="16"/>
                <w:vertAlign w:val="subscript"/>
              </w:rPr>
              <w:t xml:space="preserve"> </w:t>
            </w:r>
            <w:r w:rsidRPr="0034391E">
              <w:rPr>
                <w:rFonts w:asciiTheme="minorHAnsi" w:hAnsiTheme="minorHAnsi"/>
                <w:b/>
                <w:bCs/>
                <w:sz w:val="16"/>
                <w:szCs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CD3A0D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CD39A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28CF2C"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A0A439"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C9055C"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DF6E92" w14:textId="77777777" w:rsidR="00B56301" w:rsidRPr="0034391E" w:rsidRDefault="00B56301" w:rsidP="00B37B65">
            <w:pPr>
              <w:jc w:val="right"/>
              <w:rPr>
                <w:rFonts w:asciiTheme="minorHAnsi" w:hAnsiTheme="minorHAnsi"/>
                <w:sz w:val="16"/>
                <w:szCs w:val="16"/>
              </w:rPr>
            </w:pPr>
            <w:r w:rsidRPr="0034391E">
              <w:rPr>
                <w:sz w:val="16"/>
                <w:szCs w:val="16"/>
              </w:rPr>
              <w:t> </w:t>
            </w:r>
          </w:p>
        </w:tc>
      </w:tr>
    </w:tbl>
    <w:p w14:paraId="0231DCCB" w14:textId="77777777" w:rsidR="00B56301" w:rsidRDefault="00B56301" w:rsidP="00B56301">
      <w:pPr>
        <w:rPr>
          <w:rFonts w:cs="Arial"/>
        </w:rPr>
      </w:pPr>
    </w:p>
    <w:p w14:paraId="4DF0097F" w14:textId="77777777" w:rsidR="00B56301" w:rsidRDefault="00B56301" w:rsidP="00B56301">
      <w:pPr>
        <w:spacing w:line="240" w:lineRule="atLeast"/>
        <w:jc w:val="left"/>
        <w:rPr>
          <w:rFonts w:cs="Arial"/>
        </w:rPr>
      </w:pPr>
      <w:r>
        <w:rPr>
          <w:rFonts w:cs="Arial"/>
        </w:rPr>
        <w:br w:type="page"/>
      </w:r>
    </w:p>
    <w:tbl>
      <w:tblPr>
        <w:tblW w:w="9747" w:type="dxa"/>
        <w:jc w:val="center"/>
        <w:tblLayout w:type="fixed"/>
        <w:tblCellMar>
          <w:left w:w="70" w:type="dxa"/>
          <w:right w:w="70" w:type="dxa"/>
        </w:tblCellMar>
        <w:tblLook w:val="04A0" w:firstRow="1" w:lastRow="0" w:firstColumn="1" w:lastColumn="0" w:noHBand="0" w:noVBand="1"/>
      </w:tblPr>
      <w:tblGrid>
        <w:gridCol w:w="3801"/>
        <w:gridCol w:w="991"/>
        <w:gridCol w:w="991"/>
        <w:gridCol w:w="991"/>
        <w:gridCol w:w="991"/>
        <w:gridCol w:w="991"/>
        <w:gridCol w:w="991"/>
      </w:tblGrid>
      <w:tr w:rsidR="00B56301" w:rsidRPr="00D85A26" w14:paraId="253DA7F8"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3CA0525" w14:textId="77777777" w:rsidR="00B56301" w:rsidRPr="00D85A26" w:rsidRDefault="00B56301" w:rsidP="00B37B65">
            <w:pPr>
              <w:jc w:val="center"/>
              <w:rPr>
                <w:rFonts w:asciiTheme="minorHAnsi" w:hAnsiTheme="minorHAnsi"/>
                <w:b/>
                <w:bCs/>
                <w:sz w:val="16"/>
                <w:szCs w:val="16"/>
                <w:lang w:val="en-GB"/>
              </w:rPr>
            </w:pPr>
            <w:r w:rsidRPr="00D85A26">
              <w:rPr>
                <w:rFonts w:asciiTheme="minorHAnsi" w:hAnsiTheme="minorHAnsi"/>
                <w:b/>
                <w:bCs/>
                <w:sz w:val="16"/>
                <w:szCs w:val="16"/>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8343F5A" w14:textId="77777777" w:rsidR="00B56301" w:rsidRPr="00D85A26" w:rsidRDefault="00B56301" w:rsidP="00B37B65">
            <w:pPr>
              <w:jc w:val="center"/>
              <w:rPr>
                <w:rFonts w:asciiTheme="minorHAnsi" w:hAnsiTheme="minorHAnsi"/>
                <w:b/>
                <w:bCs/>
                <w:sz w:val="16"/>
                <w:szCs w:val="16"/>
              </w:rPr>
            </w:pPr>
            <w:r>
              <w:rPr>
                <w:b/>
                <w:bCs/>
                <w:sz w:val="16"/>
                <w:szCs w:val="18"/>
              </w:rPr>
              <w:t>2001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76F0A2E" w14:textId="77777777" w:rsidR="00B56301" w:rsidRPr="00D85A26" w:rsidRDefault="00B56301" w:rsidP="00B37B65">
            <w:pPr>
              <w:jc w:val="center"/>
              <w:rPr>
                <w:rFonts w:asciiTheme="minorHAnsi" w:hAnsiTheme="minorHAnsi"/>
                <w:b/>
                <w:bCs/>
                <w:sz w:val="16"/>
                <w:szCs w:val="16"/>
              </w:rPr>
            </w:pPr>
            <w:r>
              <w:rPr>
                <w:b/>
                <w:bCs/>
                <w:sz w:val="16"/>
                <w:szCs w:val="18"/>
              </w:rPr>
              <w:t>2002</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59E6602D" w14:textId="77777777" w:rsidR="00B56301" w:rsidRPr="00D85A26" w:rsidRDefault="00B56301" w:rsidP="00B37B65">
            <w:pPr>
              <w:jc w:val="center"/>
              <w:rPr>
                <w:rFonts w:asciiTheme="minorHAnsi" w:hAnsiTheme="minorHAnsi"/>
                <w:b/>
                <w:bCs/>
                <w:sz w:val="16"/>
                <w:szCs w:val="16"/>
              </w:rPr>
            </w:pPr>
            <w:r>
              <w:rPr>
                <w:b/>
                <w:bCs/>
                <w:sz w:val="16"/>
                <w:szCs w:val="18"/>
              </w:rPr>
              <w:t>2003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604738A" w14:textId="77777777" w:rsidR="00B56301" w:rsidRPr="00D85A26" w:rsidRDefault="00B56301" w:rsidP="00B37B65">
            <w:pPr>
              <w:jc w:val="center"/>
              <w:rPr>
                <w:rFonts w:asciiTheme="minorHAnsi" w:hAnsiTheme="minorHAnsi"/>
                <w:b/>
                <w:bCs/>
                <w:sz w:val="16"/>
                <w:szCs w:val="16"/>
              </w:rPr>
            </w:pPr>
            <w:r>
              <w:rPr>
                <w:b/>
                <w:bCs/>
                <w:sz w:val="16"/>
                <w:szCs w:val="18"/>
              </w:rPr>
              <w:t>2004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3D16321" w14:textId="77777777" w:rsidR="00B56301" w:rsidRPr="00D85A26" w:rsidRDefault="00B56301" w:rsidP="00B37B65">
            <w:pPr>
              <w:jc w:val="center"/>
              <w:rPr>
                <w:rFonts w:asciiTheme="minorHAnsi" w:hAnsiTheme="minorHAnsi"/>
                <w:b/>
                <w:bCs/>
                <w:sz w:val="16"/>
                <w:szCs w:val="16"/>
              </w:rPr>
            </w:pPr>
            <w:r>
              <w:rPr>
                <w:b/>
                <w:bCs/>
                <w:sz w:val="16"/>
                <w:szCs w:val="18"/>
              </w:rPr>
              <w:t>2005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2D4B557" w14:textId="77777777" w:rsidR="00B56301" w:rsidRPr="00D85A26" w:rsidRDefault="00B56301" w:rsidP="00B37B65">
            <w:pPr>
              <w:jc w:val="center"/>
              <w:rPr>
                <w:rFonts w:asciiTheme="minorHAnsi" w:hAnsiTheme="minorHAnsi"/>
                <w:b/>
                <w:bCs/>
                <w:sz w:val="16"/>
                <w:szCs w:val="16"/>
              </w:rPr>
            </w:pPr>
            <w:r>
              <w:rPr>
                <w:b/>
                <w:bCs/>
                <w:sz w:val="16"/>
                <w:szCs w:val="18"/>
              </w:rPr>
              <w:t>2006</w:t>
            </w:r>
          </w:p>
        </w:tc>
      </w:tr>
      <w:tr w:rsidR="00B56301" w:rsidRPr="00D85A26" w14:paraId="4F3F90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9619502" w14:textId="7777777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F9E453E" w14:textId="77777777" w:rsidR="00B56301" w:rsidRPr="00D85A26" w:rsidRDefault="00B56301" w:rsidP="00B37B65">
            <w:pPr>
              <w:jc w:val="right"/>
              <w:rPr>
                <w:rFonts w:asciiTheme="minorHAnsi" w:hAnsiTheme="minorHAnsi"/>
                <w:sz w:val="16"/>
                <w:szCs w:val="16"/>
              </w:rPr>
            </w:pPr>
            <w:r w:rsidRPr="00D85A26">
              <w:rPr>
                <w:sz w:val="16"/>
                <w:szCs w:val="18"/>
              </w:rPr>
              <w:t>13,55</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5D33B5C" w14:textId="77777777" w:rsidR="00B56301" w:rsidRPr="00D85A26" w:rsidRDefault="00B56301" w:rsidP="00B37B65">
            <w:pPr>
              <w:jc w:val="right"/>
              <w:rPr>
                <w:rFonts w:asciiTheme="minorHAnsi" w:hAnsiTheme="minorHAnsi"/>
                <w:sz w:val="16"/>
                <w:szCs w:val="16"/>
              </w:rPr>
            </w:pPr>
            <w:r w:rsidRPr="00D85A26">
              <w:rPr>
                <w:sz w:val="16"/>
                <w:szCs w:val="18"/>
              </w:rPr>
              <w:t>14,01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0398F81D" w14:textId="77777777" w:rsidR="00B56301" w:rsidRPr="00D85A26" w:rsidRDefault="00B56301" w:rsidP="00B37B65">
            <w:pPr>
              <w:jc w:val="right"/>
              <w:rPr>
                <w:rFonts w:asciiTheme="minorHAnsi" w:hAnsiTheme="minorHAnsi"/>
                <w:sz w:val="16"/>
                <w:szCs w:val="16"/>
              </w:rPr>
            </w:pPr>
            <w:r w:rsidRPr="00D85A26">
              <w:rPr>
                <w:sz w:val="16"/>
                <w:szCs w:val="18"/>
              </w:rPr>
              <w:t>14,23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E733326" w14:textId="77777777" w:rsidR="00B56301" w:rsidRPr="00D85A26" w:rsidRDefault="00B56301" w:rsidP="00B37B65">
            <w:pPr>
              <w:jc w:val="right"/>
              <w:rPr>
                <w:rFonts w:asciiTheme="minorHAnsi" w:hAnsiTheme="minorHAnsi"/>
                <w:sz w:val="16"/>
                <w:szCs w:val="16"/>
              </w:rPr>
            </w:pPr>
            <w:r w:rsidRPr="00D85A26">
              <w:rPr>
                <w:sz w:val="16"/>
                <w:szCs w:val="18"/>
              </w:rPr>
              <w:t>14,32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447DFEA3" w14:textId="77777777" w:rsidR="00B56301" w:rsidRPr="00D85A26" w:rsidRDefault="00B56301" w:rsidP="00B37B65">
            <w:pPr>
              <w:jc w:val="right"/>
              <w:rPr>
                <w:rFonts w:asciiTheme="minorHAnsi" w:hAnsiTheme="minorHAnsi"/>
                <w:sz w:val="16"/>
                <w:szCs w:val="16"/>
              </w:rPr>
            </w:pPr>
            <w:r w:rsidRPr="00D85A26">
              <w:rPr>
                <w:sz w:val="16"/>
                <w:szCs w:val="18"/>
              </w:rPr>
              <w:t>14,04</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09E9825" w14:textId="77777777" w:rsidR="00B56301" w:rsidRPr="00D85A26" w:rsidRDefault="00B56301" w:rsidP="00B37B65">
            <w:pPr>
              <w:jc w:val="right"/>
              <w:rPr>
                <w:rFonts w:asciiTheme="minorHAnsi" w:hAnsiTheme="minorHAnsi"/>
                <w:sz w:val="16"/>
                <w:szCs w:val="16"/>
              </w:rPr>
            </w:pPr>
            <w:r w:rsidRPr="00D85A26">
              <w:rPr>
                <w:sz w:val="16"/>
                <w:szCs w:val="18"/>
              </w:rPr>
              <w:t>13,23</w:t>
            </w:r>
          </w:p>
        </w:tc>
      </w:tr>
      <w:tr w:rsidR="00B56301" w:rsidRPr="00D85A26" w14:paraId="4916923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49BDAAF" w14:textId="7777777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7A214AE1" w14:textId="77777777" w:rsidR="00B56301" w:rsidRPr="00D85A26" w:rsidRDefault="00B56301" w:rsidP="00B37B65">
            <w:pPr>
              <w:jc w:val="right"/>
              <w:rPr>
                <w:rFonts w:asciiTheme="minorHAnsi" w:hAnsiTheme="minorHAnsi"/>
                <w:sz w:val="16"/>
                <w:szCs w:val="16"/>
              </w:rPr>
            </w:pPr>
            <w:r w:rsidRPr="00D85A26">
              <w:rPr>
                <w:sz w:val="16"/>
                <w:szCs w:val="18"/>
              </w:rPr>
              <w:t>13,45</w:t>
            </w:r>
          </w:p>
        </w:tc>
        <w:tc>
          <w:tcPr>
            <w:tcW w:w="991" w:type="dxa"/>
            <w:tcBorders>
              <w:top w:val="nil"/>
              <w:left w:val="nil"/>
              <w:bottom w:val="single" w:sz="4" w:space="0" w:color="auto"/>
              <w:right w:val="single" w:sz="4" w:space="0" w:color="auto"/>
            </w:tcBorders>
            <w:shd w:val="clear" w:color="000000" w:fill="CCFFFF"/>
            <w:noWrap/>
            <w:vAlign w:val="bottom"/>
            <w:hideMark/>
          </w:tcPr>
          <w:p w14:paraId="6A429BBD" w14:textId="77777777" w:rsidR="00B56301" w:rsidRPr="00D85A26" w:rsidRDefault="00B56301" w:rsidP="00B37B65">
            <w:pPr>
              <w:jc w:val="right"/>
              <w:rPr>
                <w:rFonts w:asciiTheme="minorHAnsi" w:hAnsiTheme="minorHAnsi"/>
                <w:sz w:val="16"/>
                <w:szCs w:val="16"/>
              </w:rPr>
            </w:pPr>
            <w:r w:rsidRPr="00D85A26">
              <w:rPr>
                <w:sz w:val="16"/>
                <w:szCs w:val="18"/>
              </w:rPr>
              <w:t>13,91</w:t>
            </w:r>
          </w:p>
        </w:tc>
        <w:tc>
          <w:tcPr>
            <w:tcW w:w="991" w:type="dxa"/>
            <w:tcBorders>
              <w:top w:val="nil"/>
              <w:left w:val="nil"/>
              <w:bottom w:val="single" w:sz="4" w:space="0" w:color="auto"/>
              <w:right w:val="single" w:sz="4" w:space="0" w:color="auto"/>
            </w:tcBorders>
            <w:shd w:val="clear" w:color="000000" w:fill="CCFFFF"/>
            <w:noWrap/>
            <w:vAlign w:val="bottom"/>
            <w:hideMark/>
          </w:tcPr>
          <w:p w14:paraId="185D8132" w14:textId="77777777" w:rsidR="00B56301" w:rsidRPr="00D85A26" w:rsidRDefault="00B56301" w:rsidP="00B37B65">
            <w:pPr>
              <w:jc w:val="right"/>
              <w:rPr>
                <w:rFonts w:asciiTheme="minorHAnsi" w:hAnsiTheme="minorHAnsi"/>
                <w:sz w:val="16"/>
                <w:szCs w:val="16"/>
              </w:rPr>
            </w:pPr>
            <w:r w:rsidRPr="00D85A26">
              <w:rPr>
                <w:sz w:val="16"/>
                <w:szCs w:val="18"/>
              </w:rPr>
              <w:t>14,13</w:t>
            </w:r>
          </w:p>
        </w:tc>
        <w:tc>
          <w:tcPr>
            <w:tcW w:w="991" w:type="dxa"/>
            <w:tcBorders>
              <w:top w:val="nil"/>
              <w:left w:val="nil"/>
              <w:bottom w:val="single" w:sz="4" w:space="0" w:color="auto"/>
              <w:right w:val="single" w:sz="4" w:space="0" w:color="auto"/>
            </w:tcBorders>
            <w:shd w:val="clear" w:color="000000" w:fill="CCFFFF"/>
            <w:noWrap/>
            <w:vAlign w:val="bottom"/>
            <w:hideMark/>
          </w:tcPr>
          <w:p w14:paraId="56322558" w14:textId="77777777" w:rsidR="00B56301" w:rsidRPr="00D85A26" w:rsidRDefault="00B56301" w:rsidP="00B37B65">
            <w:pPr>
              <w:jc w:val="right"/>
              <w:rPr>
                <w:rFonts w:asciiTheme="minorHAnsi" w:hAnsiTheme="minorHAnsi"/>
                <w:sz w:val="16"/>
                <w:szCs w:val="16"/>
              </w:rPr>
            </w:pPr>
            <w:r w:rsidRPr="00D85A26">
              <w:rPr>
                <w:sz w:val="16"/>
                <w:szCs w:val="18"/>
              </w:rPr>
              <w:t>14,22</w:t>
            </w:r>
          </w:p>
        </w:tc>
        <w:tc>
          <w:tcPr>
            <w:tcW w:w="991" w:type="dxa"/>
            <w:tcBorders>
              <w:top w:val="nil"/>
              <w:left w:val="nil"/>
              <w:bottom w:val="single" w:sz="4" w:space="0" w:color="auto"/>
              <w:right w:val="single" w:sz="4" w:space="0" w:color="auto"/>
            </w:tcBorders>
            <w:shd w:val="clear" w:color="000000" w:fill="CCFFFF"/>
            <w:noWrap/>
            <w:vAlign w:val="bottom"/>
            <w:hideMark/>
          </w:tcPr>
          <w:p w14:paraId="5CCF7410" w14:textId="77777777" w:rsidR="00B56301" w:rsidRPr="00D85A26" w:rsidRDefault="00B56301" w:rsidP="00B37B65">
            <w:pPr>
              <w:jc w:val="right"/>
              <w:rPr>
                <w:rFonts w:asciiTheme="minorHAnsi" w:hAnsiTheme="minorHAnsi"/>
                <w:sz w:val="16"/>
                <w:szCs w:val="16"/>
              </w:rPr>
            </w:pPr>
            <w:r w:rsidRPr="00D85A26">
              <w:rPr>
                <w:sz w:val="16"/>
                <w:szCs w:val="18"/>
              </w:rPr>
              <w:t>13,90</w:t>
            </w:r>
          </w:p>
        </w:tc>
        <w:tc>
          <w:tcPr>
            <w:tcW w:w="991" w:type="dxa"/>
            <w:tcBorders>
              <w:top w:val="nil"/>
              <w:left w:val="nil"/>
              <w:bottom w:val="single" w:sz="4" w:space="0" w:color="auto"/>
              <w:right w:val="single" w:sz="4" w:space="0" w:color="auto"/>
            </w:tcBorders>
            <w:shd w:val="clear" w:color="000000" w:fill="CCFFFF"/>
            <w:noWrap/>
            <w:vAlign w:val="bottom"/>
            <w:hideMark/>
          </w:tcPr>
          <w:p w14:paraId="1DA47483" w14:textId="77777777" w:rsidR="00B56301" w:rsidRPr="00D85A26" w:rsidRDefault="00B56301" w:rsidP="00B37B65">
            <w:pPr>
              <w:jc w:val="right"/>
              <w:rPr>
                <w:rFonts w:asciiTheme="minorHAnsi" w:hAnsiTheme="minorHAnsi"/>
                <w:sz w:val="16"/>
                <w:szCs w:val="16"/>
              </w:rPr>
            </w:pPr>
            <w:r w:rsidRPr="00D85A26">
              <w:rPr>
                <w:sz w:val="16"/>
                <w:szCs w:val="18"/>
              </w:rPr>
              <w:t>13,09</w:t>
            </w:r>
          </w:p>
        </w:tc>
      </w:tr>
      <w:tr w:rsidR="00B56301" w:rsidRPr="00D85A26" w14:paraId="6E0C22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F52766" w14:textId="63B1ED45"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34F5237C" w14:textId="77777777" w:rsidR="00B56301" w:rsidRPr="00D85A26" w:rsidRDefault="00B56301" w:rsidP="00B37B65">
            <w:pPr>
              <w:jc w:val="right"/>
              <w:rPr>
                <w:rFonts w:asciiTheme="minorHAnsi" w:hAnsiTheme="minorHAnsi"/>
                <w:sz w:val="16"/>
                <w:szCs w:val="16"/>
              </w:rPr>
            </w:pPr>
            <w:r w:rsidRPr="00D85A26">
              <w:rPr>
                <w:sz w:val="16"/>
                <w:szCs w:val="18"/>
              </w:rPr>
              <w:t>1,77</w:t>
            </w:r>
          </w:p>
        </w:tc>
        <w:tc>
          <w:tcPr>
            <w:tcW w:w="991" w:type="dxa"/>
            <w:tcBorders>
              <w:top w:val="nil"/>
              <w:left w:val="nil"/>
              <w:bottom w:val="single" w:sz="4" w:space="0" w:color="auto"/>
              <w:right w:val="single" w:sz="4" w:space="0" w:color="auto"/>
            </w:tcBorders>
            <w:shd w:val="clear" w:color="000000" w:fill="FFFFFF"/>
            <w:noWrap/>
            <w:vAlign w:val="bottom"/>
            <w:hideMark/>
          </w:tcPr>
          <w:p w14:paraId="3B5F2511" w14:textId="77777777" w:rsidR="00B56301" w:rsidRPr="00D85A26" w:rsidRDefault="00B56301" w:rsidP="00B37B65">
            <w:pPr>
              <w:jc w:val="right"/>
              <w:rPr>
                <w:rFonts w:asciiTheme="minorHAnsi" w:hAnsiTheme="minorHAnsi"/>
                <w:sz w:val="16"/>
                <w:szCs w:val="16"/>
              </w:rPr>
            </w:pPr>
            <w:r w:rsidRPr="00D85A26">
              <w:rPr>
                <w:sz w:val="16"/>
                <w:szCs w:val="18"/>
              </w:rPr>
              <w:t>1,81</w:t>
            </w:r>
          </w:p>
        </w:tc>
        <w:tc>
          <w:tcPr>
            <w:tcW w:w="991" w:type="dxa"/>
            <w:tcBorders>
              <w:top w:val="nil"/>
              <w:left w:val="nil"/>
              <w:bottom w:val="single" w:sz="4" w:space="0" w:color="auto"/>
              <w:right w:val="single" w:sz="4" w:space="0" w:color="auto"/>
            </w:tcBorders>
            <w:shd w:val="clear" w:color="000000" w:fill="FFFFFF"/>
            <w:noWrap/>
            <w:vAlign w:val="bottom"/>
            <w:hideMark/>
          </w:tcPr>
          <w:p w14:paraId="4C1DBF90" w14:textId="77777777" w:rsidR="00B56301" w:rsidRPr="00D85A26" w:rsidRDefault="00B56301" w:rsidP="00B37B65">
            <w:pPr>
              <w:jc w:val="right"/>
              <w:rPr>
                <w:rFonts w:asciiTheme="minorHAnsi" w:hAnsiTheme="minorHAnsi"/>
                <w:sz w:val="16"/>
                <w:szCs w:val="16"/>
              </w:rPr>
            </w:pPr>
            <w:r w:rsidRPr="00D85A26">
              <w:rPr>
                <w:sz w:val="16"/>
                <w:szCs w:val="18"/>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2C4ACE9B" w14:textId="77777777" w:rsidR="00B56301" w:rsidRPr="00D85A26" w:rsidRDefault="00B56301" w:rsidP="00B37B65">
            <w:pPr>
              <w:jc w:val="right"/>
              <w:rPr>
                <w:rFonts w:asciiTheme="minorHAnsi" w:hAnsiTheme="minorHAnsi"/>
                <w:sz w:val="16"/>
                <w:szCs w:val="16"/>
              </w:rPr>
            </w:pPr>
            <w:r w:rsidRPr="00D85A26">
              <w:rPr>
                <w:sz w:val="16"/>
                <w:szCs w:val="18"/>
              </w:rPr>
              <w:t>2,02</w:t>
            </w:r>
          </w:p>
        </w:tc>
        <w:tc>
          <w:tcPr>
            <w:tcW w:w="991" w:type="dxa"/>
            <w:tcBorders>
              <w:top w:val="nil"/>
              <w:left w:val="nil"/>
              <w:bottom w:val="single" w:sz="4" w:space="0" w:color="auto"/>
              <w:right w:val="single" w:sz="4" w:space="0" w:color="auto"/>
            </w:tcBorders>
            <w:shd w:val="clear" w:color="000000" w:fill="FFFFFF"/>
            <w:noWrap/>
            <w:vAlign w:val="bottom"/>
            <w:hideMark/>
          </w:tcPr>
          <w:p w14:paraId="4CE4DB3D" w14:textId="77777777" w:rsidR="00B56301" w:rsidRPr="00D85A26" w:rsidRDefault="00B56301" w:rsidP="00B37B65">
            <w:pPr>
              <w:jc w:val="right"/>
              <w:rPr>
                <w:rFonts w:asciiTheme="minorHAnsi" w:hAnsiTheme="minorHAnsi"/>
                <w:sz w:val="16"/>
                <w:szCs w:val="16"/>
              </w:rPr>
            </w:pPr>
            <w:r w:rsidRPr="00D85A26">
              <w:rPr>
                <w:sz w:val="16"/>
                <w:szCs w:val="18"/>
              </w:rPr>
              <w:t>1,98</w:t>
            </w:r>
          </w:p>
        </w:tc>
        <w:tc>
          <w:tcPr>
            <w:tcW w:w="991" w:type="dxa"/>
            <w:tcBorders>
              <w:top w:val="nil"/>
              <w:left w:val="nil"/>
              <w:bottom w:val="single" w:sz="4" w:space="0" w:color="auto"/>
              <w:right w:val="single" w:sz="4" w:space="0" w:color="auto"/>
            </w:tcBorders>
            <w:shd w:val="clear" w:color="000000" w:fill="FFFFFF"/>
            <w:noWrap/>
            <w:vAlign w:val="bottom"/>
            <w:hideMark/>
          </w:tcPr>
          <w:p w14:paraId="02BB7F37" w14:textId="77777777" w:rsidR="00B56301" w:rsidRPr="00D85A26" w:rsidRDefault="00B56301" w:rsidP="00B37B65">
            <w:pPr>
              <w:jc w:val="right"/>
              <w:rPr>
                <w:rFonts w:asciiTheme="minorHAnsi" w:hAnsiTheme="minorHAnsi"/>
                <w:sz w:val="16"/>
                <w:szCs w:val="16"/>
              </w:rPr>
            </w:pPr>
            <w:r w:rsidRPr="00D85A26">
              <w:rPr>
                <w:sz w:val="16"/>
                <w:szCs w:val="18"/>
              </w:rPr>
              <w:t>1,55</w:t>
            </w:r>
          </w:p>
        </w:tc>
      </w:tr>
      <w:tr w:rsidR="00B56301" w:rsidRPr="00D85A26" w14:paraId="0251A5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9325FE" w14:textId="3BE85ED0"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2.</w:t>
            </w:r>
            <w:r w:rsidR="00260E0B">
              <w:rPr>
                <w:rFonts w:asciiTheme="minorHAnsi" w:hAnsiTheme="minorHAnsi"/>
                <w:sz w:val="16"/>
                <w:szCs w:val="16"/>
              </w:rPr>
              <w:t xml:space="preserve"> </w:t>
            </w:r>
            <w:r w:rsidRPr="00D85A26">
              <w:rPr>
                <w:rFonts w:asciiTheme="minorHAnsi" w:hAnsiTheme="minorHAnsi"/>
                <w:sz w:val="16"/>
                <w:szCs w:val="16"/>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42256E4B" w14:textId="77777777" w:rsidR="00B56301" w:rsidRPr="00D85A26" w:rsidRDefault="00B56301" w:rsidP="00B37B65">
            <w:pPr>
              <w:jc w:val="right"/>
              <w:rPr>
                <w:rFonts w:asciiTheme="minorHAnsi" w:hAnsiTheme="minorHAnsi"/>
                <w:sz w:val="16"/>
                <w:szCs w:val="16"/>
              </w:rPr>
            </w:pPr>
            <w:r w:rsidRPr="00D85A26">
              <w:rPr>
                <w:sz w:val="16"/>
                <w:szCs w:val="18"/>
              </w:rPr>
              <w:t>1,89</w:t>
            </w:r>
          </w:p>
        </w:tc>
        <w:tc>
          <w:tcPr>
            <w:tcW w:w="991" w:type="dxa"/>
            <w:tcBorders>
              <w:top w:val="nil"/>
              <w:left w:val="nil"/>
              <w:bottom w:val="single" w:sz="4" w:space="0" w:color="auto"/>
              <w:right w:val="single" w:sz="4" w:space="0" w:color="auto"/>
            </w:tcBorders>
            <w:shd w:val="clear" w:color="000000" w:fill="FFFFFF"/>
            <w:noWrap/>
            <w:vAlign w:val="bottom"/>
            <w:hideMark/>
          </w:tcPr>
          <w:p w14:paraId="3105181A" w14:textId="77777777" w:rsidR="00B56301" w:rsidRPr="00D85A26" w:rsidRDefault="00B56301" w:rsidP="00B37B65">
            <w:pPr>
              <w:jc w:val="right"/>
              <w:rPr>
                <w:rFonts w:asciiTheme="minorHAnsi" w:hAnsiTheme="minorHAnsi"/>
                <w:sz w:val="16"/>
                <w:szCs w:val="16"/>
              </w:rPr>
            </w:pPr>
            <w:r w:rsidRPr="00D85A26">
              <w:rPr>
                <w:sz w:val="16"/>
                <w:szCs w:val="18"/>
              </w:rPr>
              <w:t>2,35</w:t>
            </w:r>
          </w:p>
        </w:tc>
        <w:tc>
          <w:tcPr>
            <w:tcW w:w="991" w:type="dxa"/>
            <w:tcBorders>
              <w:top w:val="nil"/>
              <w:left w:val="nil"/>
              <w:bottom w:val="single" w:sz="4" w:space="0" w:color="auto"/>
              <w:right w:val="single" w:sz="4" w:space="0" w:color="auto"/>
            </w:tcBorders>
            <w:shd w:val="clear" w:color="000000" w:fill="FFFFFF"/>
            <w:noWrap/>
            <w:vAlign w:val="bottom"/>
            <w:hideMark/>
          </w:tcPr>
          <w:p w14:paraId="2B7A63A8" w14:textId="77777777" w:rsidR="00B56301" w:rsidRPr="00D85A26" w:rsidRDefault="00B56301" w:rsidP="00B37B65">
            <w:pPr>
              <w:jc w:val="right"/>
              <w:rPr>
                <w:rFonts w:asciiTheme="minorHAnsi" w:hAnsiTheme="minorHAnsi"/>
                <w:sz w:val="16"/>
                <w:szCs w:val="16"/>
              </w:rPr>
            </w:pPr>
            <w:r w:rsidRPr="00D85A26">
              <w:rPr>
                <w:sz w:val="16"/>
                <w:szCs w:val="18"/>
              </w:rPr>
              <w:t>2,29</w:t>
            </w:r>
          </w:p>
        </w:tc>
        <w:tc>
          <w:tcPr>
            <w:tcW w:w="991" w:type="dxa"/>
            <w:tcBorders>
              <w:top w:val="nil"/>
              <w:left w:val="nil"/>
              <w:bottom w:val="single" w:sz="4" w:space="0" w:color="auto"/>
              <w:right w:val="single" w:sz="4" w:space="0" w:color="auto"/>
            </w:tcBorders>
            <w:shd w:val="clear" w:color="000000" w:fill="FFFFFF"/>
            <w:noWrap/>
            <w:vAlign w:val="bottom"/>
            <w:hideMark/>
          </w:tcPr>
          <w:p w14:paraId="114DDF14" w14:textId="77777777" w:rsidR="00B56301" w:rsidRPr="00D85A26" w:rsidRDefault="00B56301" w:rsidP="00B37B65">
            <w:pPr>
              <w:jc w:val="right"/>
              <w:rPr>
                <w:rFonts w:asciiTheme="minorHAnsi" w:hAnsiTheme="minorHAnsi"/>
                <w:sz w:val="16"/>
                <w:szCs w:val="16"/>
              </w:rPr>
            </w:pPr>
            <w:r w:rsidRPr="00D85A26">
              <w:rPr>
                <w:sz w:val="16"/>
                <w:szCs w:val="18"/>
              </w:rPr>
              <w:t>2,16</w:t>
            </w:r>
          </w:p>
        </w:tc>
        <w:tc>
          <w:tcPr>
            <w:tcW w:w="991" w:type="dxa"/>
            <w:tcBorders>
              <w:top w:val="nil"/>
              <w:left w:val="nil"/>
              <w:bottom w:val="single" w:sz="4" w:space="0" w:color="auto"/>
              <w:right w:val="single" w:sz="4" w:space="0" w:color="auto"/>
            </w:tcBorders>
            <w:shd w:val="clear" w:color="000000" w:fill="FFFFFF"/>
            <w:noWrap/>
            <w:vAlign w:val="bottom"/>
            <w:hideMark/>
          </w:tcPr>
          <w:p w14:paraId="7373BAD5" w14:textId="77777777" w:rsidR="00B56301" w:rsidRPr="00D85A26" w:rsidRDefault="00B56301" w:rsidP="00B37B65">
            <w:pPr>
              <w:jc w:val="right"/>
              <w:rPr>
                <w:rFonts w:asciiTheme="minorHAnsi" w:hAnsiTheme="minorHAnsi"/>
                <w:sz w:val="16"/>
                <w:szCs w:val="16"/>
              </w:rPr>
            </w:pPr>
            <w:r w:rsidRPr="00D85A26">
              <w:rPr>
                <w:sz w:val="16"/>
                <w:szCs w:val="18"/>
              </w:rPr>
              <w:t>2,13</w:t>
            </w:r>
          </w:p>
        </w:tc>
        <w:tc>
          <w:tcPr>
            <w:tcW w:w="991" w:type="dxa"/>
            <w:tcBorders>
              <w:top w:val="nil"/>
              <w:left w:val="nil"/>
              <w:bottom w:val="single" w:sz="4" w:space="0" w:color="auto"/>
              <w:right w:val="single" w:sz="4" w:space="0" w:color="auto"/>
            </w:tcBorders>
            <w:shd w:val="clear" w:color="000000" w:fill="FFFFFF"/>
            <w:noWrap/>
            <w:vAlign w:val="bottom"/>
            <w:hideMark/>
          </w:tcPr>
          <w:p w14:paraId="39D382E7" w14:textId="77777777" w:rsidR="00B56301" w:rsidRPr="00D85A26" w:rsidRDefault="00B56301" w:rsidP="00B37B65">
            <w:pPr>
              <w:jc w:val="right"/>
              <w:rPr>
                <w:rFonts w:asciiTheme="minorHAnsi" w:hAnsiTheme="minorHAnsi"/>
                <w:sz w:val="16"/>
                <w:szCs w:val="16"/>
              </w:rPr>
            </w:pPr>
            <w:r w:rsidRPr="00D85A26">
              <w:rPr>
                <w:sz w:val="16"/>
                <w:szCs w:val="18"/>
              </w:rPr>
              <w:t>1,99</w:t>
            </w:r>
          </w:p>
        </w:tc>
      </w:tr>
      <w:tr w:rsidR="00B56301" w:rsidRPr="00D85A26" w14:paraId="3B0CB36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5145D8" w14:textId="5C8A16DF"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3.</w:t>
            </w:r>
            <w:r w:rsidR="00260E0B">
              <w:rPr>
                <w:rFonts w:asciiTheme="minorHAnsi" w:hAnsiTheme="minorHAnsi"/>
                <w:sz w:val="16"/>
                <w:szCs w:val="16"/>
              </w:rPr>
              <w:t xml:space="preserve"> </w:t>
            </w:r>
            <w:r w:rsidRPr="00D85A26">
              <w:rPr>
                <w:rFonts w:asciiTheme="minorHAnsi" w:hAnsiTheme="minorHAnsi"/>
                <w:sz w:val="16"/>
                <w:szCs w:val="16"/>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5F129B0" w14:textId="77777777" w:rsidR="00B56301" w:rsidRPr="00D85A26" w:rsidRDefault="00B56301" w:rsidP="00B37B65">
            <w:pPr>
              <w:jc w:val="right"/>
              <w:rPr>
                <w:rFonts w:asciiTheme="minorHAnsi" w:hAnsiTheme="minorHAnsi"/>
                <w:sz w:val="16"/>
                <w:szCs w:val="16"/>
              </w:rPr>
            </w:pPr>
            <w:r w:rsidRPr="00D85A26">
              <w:rPr>
                <w:sz w:val="16"/>
                <w:szCs w:val="18"/>
              </w:rPr>
              <w:t>4,82</w:t>
            </w:r>
          </w:p>
        </w:tc>
        <w:tc>
          <w:tcPr>
            <w:tcW w:w="991" w:type="dxa"/>
            <w:tcBorders>
              <w:top w:val="nil"/>
              <w:left w:val="nil"/>
              <w:bottom w:val="single" w:sz="4" w:space="0" w:color="auto"/>
              <w:right w:val="single" w:sz="4" w:space="0" w:color="auto"/>
            </w:tcBorders>
            <w:shd w:val="clear" w:color="000000" w:fill="FFFFFF"/>
            <w:noWrap/>
            <w:vAlign w:val="bottom"/>
            <w:hideMark/>
          </w:tcPr>
          <w:p w14:paraId="3FD93AF3" w14:textId="77777777" w:rsidR="00B56301" w:rsidRPr="00D85A26" w:rsidRDefault="00B56301" w:rsidP="00B37B65">
            <w:pPr>
              <w:jc w:val="right"/>
              <w:rPr>
                <w:rFonts w:asciiTheme="minorHAnsi" w:hAnsiTheme="minorHAnsi"/>
                <w:sz w:val="16"/>
                <w:szCs w:val="16"/>
              </w:rPr>
            </w:pPr>
            <w:r w:rsidRPr="00D85A26">
              <w:rPr>
                <w:sz w:val="16"/>
                <w:szCs w:val="18"/>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0BB7596B" w14:textId="77777777" w:rsidR="00B56301" w:rsidRPr="00D85A26" w:rsidRDefault="00B56301" w:rsidP="00B37B65">
            <w:pPr>
              <w:jc w:val="right"/>
              <w:rPr>
                <w:rFonts w:asciiTheme="minorHAnsi" w:hAnsiTheme="minorHAnsi"/>
                <w:sz w:val="16"/>
                <w:szCs w:val="16"/>
              </w:rPr>
            </w:pPr>
            <w:r w:rsidRPr="00D85A26">
              <w:rPr>
                <w:sz w:val="16"/>
                <w:szCs w:val="18"/>
              </w:rPr>
              <w:t>4,88</w:t>
            </w:r>
          </w:p>
        </w:tc>
        <w:tc>
          <w:tcPr>
            <w:tcW w:w="991" w:type="dxa"/>
            <w:tcBorders>
              <w:top w:val="nil"/>
              <w:left w:val="nil"/>
              <w:bottom w:val="single" w:sz="4" w:space="0" w:color="auto"/>
              <w:right w:val="single" w:sz="4" w:space="0" w:color="auto"/>
            </w:tcBorders>
            <w:shd w:val="clear" w:color="000000" w:fill="FFFFFF"/>
            <w:noWrap/>
            <w:vAlign w:val="bottom"/>
            <w:hideMark/>
          </w:tcPr>
          <w:p w14:paraId="13EE08E2" w14:textId="77777777" w:rsidR="00B56301" w:rsidRPr="00D85A26" w:rsidRDefault="00B56301" w:rsidP="00B37B65">
            <w:pPr>
              <w:jc w:val="right"/>
              <w:rPr>
                <w:rFonts w:asciiTheme="minorHAnsi" w:hAnsiTheme="minorHAnsi"/>
                <w:sz w:val="16"/>
                <w:szCs w:val="16"/>
              </w:rPr>
            </w:pPr>
            <w:r w:rsidRPr="00D85A26">
              <w:rPr>
                <w:sz w:val="16"/>
                <w:szCs w:val="18"/>
              </w:rPr>
              <w:t>4,89</w:t>
            </w:r>
          </w:p>
        </w:tc>
        <w:tc>
          <w:tcPr>
            <w:tcW w:w="991" w:type="dxa"/>
            <w:tcBorders>
              <w:top w:val="nil"/>
              <w:left w:val="nil"/>
              <w:bottom w:val="single" w:sz="4" w:space="0" w:color="auto"/>
              <w:right w:val="single" w:sz="4" w:space="0" w:color="auto"/>
            </w:tcBorders>
            <w:shd w:val="clear" w:color="000000" w:fill="FFFFFF"/>
            <w:noWrap/>
            <w:vAlign w:val="bottom"/>
            <w:hideMark/>
          </w:tcPr>
          <w:p w14:paraId="2DD7839E" w14:textId="77777777" w:rsidR="00B56301" w:rsidRPr="00D85A26" w:rsidRDefault="00B56301" w:rsidP="00B37B65">
            <w:pPr>
              <w:jc w:val="right"/>
              <w:rPr>
                <w:rFonts w:asciiTheme="minorHAnsi" w:hAnsiTheme="minorHAnsi"/>
                <w:sz w:val="16"/>
                <w:szCs w:val="16"/>
              </w:rPr>
            </w:pPr>
            <w:r w:rsidRPr="00D85A26">
              <w:rPr>
                <w:sz w:val="16"/>
                <w:szCs w:val="18"/>
              </w:rPr>
              <w:t>4,78</w:t>
            </w:r>
          </w:p>
        </w:tc>
        <w:tc>
          <w:tcPr>
            <w:tcW w:w="991" w:type="dxa"/>
            <w:tcBorders>
              <w:top w:val="nil"/>
              <w:left w:val="nil"/>
              <w:bottom w:val="single" w:sz="4" w:space="0" w:color="auto"/>
              <w:right w:val="single" w:sz="4" w:space="0" w:color="auto"/>
            </w:tcBorders>
            <w:shd w:val="clear" w:color="000000" w:fill="FFFFFF"/>
            <w:noWrap/>
            <w:vAlign w:val="bottom"/>
            <w:hideMark/>
          </w:tcPr>
          <w:p w14:paraId="3FE1231C" w14:textId="77777777" w:rsidR="00B56301" w:rsidRPr="00D85A26" w:rsidRDefault="00B56301" w:rsidP="00B37B65">
            <w:pPr>
              <w:jc w:val="right"/>
              <w:rPr>
                <w:rFonts w:asciiTheme="minorHAnsi" w:hAnsiTheme="minorHAnsi"/>
                <w:sz w:val="16"/>
                <w:szCs w:val="16"/>
              </w:rPr>
            </w:pPr>
            <w:r w:rsidRPr="00D85A26">
              <w:rPr>
                <w:sz w:val="16"/>
                <w:szCs w:val="18"/>
              </w:rPr>
              <w:t>4,74</w:t>
            </w:r>
          </w:p>
        </w:tc>
      </w:tr>
      <w:tr w:rsidR="00B56301" w:rsidRPr="00D85A26" w14:paraId="7B927E4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4C36A9" w14:textId="389C4387"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4.</w:t>
            </w:r>
            <w:r w:rsidR="00260E0B">
              <w:rPr>
                <w:rFonts w:asciiTheme="minorHAnsi" w:hAnsiTheme="minorHAnsi"/>
                <w:sz w:val="16"/>
                <w:szCs w:val="16"/>
              </w:rPr>
              <w:t xml:space="preserve"> </w:t>
            </w:r>
            <w:r w:rsidRPr="00D85A26">
              <w:rPr>
                <w:rFonts w:asciiTheme="minorHAnsi" w:hAnsiTheme="minorHAnsi"/>
                <w:sz w:val="16"/>
                <w:szCs w:val="16"/>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13D9D7F9" w14:textId="77777777" w:rsidR="00B56301" w:rsidRPr="00D85A26" w:rsidRDefault="00B56301" w:rsidP="00B37B65">
            <w:pPr>
              <w:jc w:val="right"/>
              <w:rPr>
                <w:rFonts w:asciiTheme="minorHAnsi" w:hAnsiTheme="minorHAnsi"/>
                <w:sz w:val="16"/>
                <w:szCs w:val="16"/>
              </w:rPr>
            </w:pPr>
            <w:r w:rsidRPr="00D85A26">
              <w:rPr>
                <w:sz w:val="16"/>
                <w:szCs w:val="18"/>
              </w:rPr>
              <w:t>4,92</w:t>
            </w:r>
          </w:p>
        </w:tc>
        <w:tc>
          <w:tcPr>
            <w:tcW w:w="991" w:type="dxa"/>
            <w:tcBorders>
              <w:top w:val="nil"/>
              <w:left w:val="nil"/>
              <w:bottom w:val="single" w:sz="4" w:space="0" w:color="auto"/>
              <w:right w:val="single" w:sz="4" w:space="0" w:color="auto"/>
            </w:tcBorders>
            <w:shd w:val="clear" w:color="000000" w:fill="FFFFFF"/>
            <w:noWrap/>
            <w:vAlign w:val="bottom"/>
            <w:hideMark/>
          </w:tcPr>
          <w:p w14:paraId="273F388F" w14:textId="77777777" w:rsidR="00B56301" w:rsidRPr="00D85A26" w:rsidRDefault="00B56301" w:rsidP="00B37B65">
            <w:pPr>
              <w:jc w:val="right"/>
              <w:rPr>
                <w:rFonts w:asciiTheme="minorHAnsi" w:hAnsiTheme="minorHAnsi"/>
                <w:sz w:val="16"/>
                <w:szCs w:val="16"/>
              </w:rPr>
            </w:pPr>
            <w:r w:rsidRPr="00D85A26">
              <w:rPr>
                <w:sz w:val="16"/>
                <w:szCs w:val="18"/>
              </w:rPr>
              <w:t>4,81</w:t>
            </w:r>
          </w:p>
        </w:tc>
        <w:tc>
          <w:tcPr>
            <w:tcW w:w="991" w:type="dxa"/>
            <w:tcBorders>
              <w:top w:val="nil"/>
              <w:left w:val="nil"/>
              <w:bottom w:val="single" w:sz="4" w:space="0" w:color="auto"/>
              <w:right w:val="single" w:sz="4" w:space="0" w:color="auto"/>
            </w:tcBorders>
            <w:shd w:val="clear" w:color="000000" w:fill="FFFFFF"/>
            <w:noWrap/>
            <w:vAlign w:val="bottom"/>
            <w:hideMark/>
          </w:tcPr>
          <w:p w14:paraId="3F699C44" w14:textId="77777777" w:rsidR="00B56301" w:rsidRPr="00D85A26" w:rsidRDefault="00B56301" w:rsidP="00B37B65">
            <w:pPr>
              <w:jc w:val="right"/>
              <w:rPr>
                <w:rFonts w:asciiTheme="minorHAnsi" w:hAnsiTheme="minorHAnsi"/>
                <w:sz w:val="16"/>
                <w:szCs w:val="16"/>
              </w:rPr>
            </w:pPr>
            <w:r w:rsidRPr="00D85A26">
              <w:rPr>
                <w:sz w:val="16"/>
                <w:szCs w:val="18"/>
              </w:rPr>
              <w:t>4,93</w:t>
            </w:r>
          </w:p>
        </w:tc>
        <w:tc>
          <w:tcPr>
            <w:tcW w:w="991" w:type="dxa"/>
            <w:tcBorders>
              <w:top w:val="nil"/>
              <w:left w:val="nil"/>
              <w:bottom w:val="single" w:sz="4" w:space="0" w:color="auto"/>
              <w:right w:val="single" w:sz="4" w:space="0" w:color="auto"/>
            </w:tcBorders>
            <w:shd w:val="clear" w:color="000000" w:fill="FFFFFF"/>
            <w:noWrap/>
            <w:vAlign w:val="bottom"/>
            <w:hideMark/>
          </w:tcPr>
          <w:p w14:paraId="519CC022" w14:textId="77777777" w:rsidR="00B56301" w:rsidRPr="00D85A26" w:rsidRDefault="00B56301" w:rsidP="00B37B65">
            <w:pPr>
              <w:jc w:val="right"/>
              <w:rPr>
                <w:rFonts w:asciiTheme="minorHAnsi" w:hAnsiTheme="minorHAnsi"/>
                <w:sz w:val="16"/>
                <w:szCs w:val="16"/>
              </w:rPr>
            </w:pPr>
            <w:r w:rsidRPr="00D85A26">
              <w:rPr>
                <w:sz w:val="16"/>
                <w:szCs w:val="18"/>
              </w:rPr>
              <w:t>5,09</w:t>
            </w:r>
          </w:p>
        </w:tc>
        <w:tc>
          <w:tcPr>
            <w:tcW w:w="991" w:type="dxa"/>
            <w:tcBorders>
              <w:top w:val="nil"/>
              <w:left w:val="nil"/>
              <w:bottom w:val="single" w:sz="4" w:space="0" w:color="auto"/>
              <w:right w:val="single" w:sz="4" w:space="0" w:color="auto"/>
            </w:tcBorders>
            <w:shd w:val="clear" w:color="000000" w:fill="FFFFFF"/>
            <w:noWrap/>
            <w:vAlign w:val="bottom"/>
            <w:hideMark/>
          </w:tcPr>
          <w:p w14:paraId="0583B39E" w14:textId="77777777" w:rsidR="00B56301" w:rsidRPr="00D85A26" w:rsidRDefault="00B56301" w:rsidP="00B37B65">
            <w:pPr>
              <w:jc w:val="right"/>
              <w:rPr>
                <w:rFonts w:asciiTheme="minorHAnsi" w:hAnsiTheme="minorHAnsi"/>
                <w:sz w:val="16"/>
                <w:szCs w:val="16"/>
              </w:rPr>
            </w:pPr>
            <w:r w:rsidRPr="00D85A26">
              <w:rPr>
                <w:sz w:val="16"/>
                <w:szCs w:val="18"/>
              </w:rPr>
              <w:t>4,95</w:t>
            </w:r>
          </w:p>
        </w:tc>
        <w:tc>
          <w:tcPr>
            <w:tcW w:w="991" w:type="dxa"/>
            <w:tcBorders>
              <w:top w:val="nil"/>
              <w:left w:val="nil"/>
              <w:bottom w:val="single" w:sz="4" w:space="0" w:color="auto"/>
              <w:right w:val="single" w:sz="4" w:space="0" w:color="auto"/>
            </w:tcBorders>
            <w:shd w:val="clear" w:color="000000" w:fill="FFFFFF"/>
            <w:noWrap/>
            <w:vAlign w:val="bottom"/>
            <w:hideMark/>
          </w:tcPr>
          <w:p w14:paraId="288E7104" w14:textId="77777777" w:rsidR="00B56301" w:rsidRPr="00D85A26" w:rsidRDefault="00B56301" w:rsidP="00B37B65">
            <w:pPr>
              <w:jc w:val="right"/>
              <w:rPr>
                <w:rFonts w:asciiTheme="minorHAnsi" w:hAnsiTheme="minorHAnsi"/>
                <w:sz w:val="16"/>
                <w:szCs w:val="16"/>
              </w:rPr>
            </w:pPr>
            <w:r w:rsidRPr="00D85A26">
              <w:rPr>
                <w:sz w:val="16"/>
                <w:szCs w:val="18"/>
              </w:rPr>
              <w:t>4,75</w:t>
            </w:r>
          </w:p>
        </w:tc>
      </w:tr>
      <w:tr w:rsidR="00B56301" w:rsidRPr="00D85A26" w14:paraId="59CB1F1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02F269" w14:textId="5DD755B4"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5.</w:t>
            </w:r>
            <w:r w:rsidR="00260E0B">
              <w:rPr>
                <w:rFonts w:asciiTheme="minorHAnsi" w:hAnsiTheme="minorHAnsi"/>
                <w:sz w:val="16"/>
                <w:szCs w:val="16"/>
              </w:rPr>
              <w:t xml:space="preserve"> </w:t>
            </w:r>
            <w:r w:rsidRPr="00D85A26">
              <w:rPr>
                <w:rFonts w:asciiTheme="minorHAnsi" w:hAnsiTheme="minorHAnsi"/>
                <w:sz w:val="16"/>
                <w:szCs w:val="16"/>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121A7BCA"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1D0BBF77"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6BCEBDB" w14:textId="77777777" w:rsidR="00B56301" w:rsidRPr="00D85A26" w:rsidRDefault="00B56301" w:rsidP="00B37B65">
            <w:pPr>
              <w:jc w:val="right"/>
              <w:rPr>
                <w:rFonts w:asciiTheme="minorHAnsi" w:hAnsiTheme="minorHAnsi"/>
                <w:sz w:val="16"/>
                <w:szCs w:val="16"/>
              </w:rPr>
            </w:pPr>
            <w:r w:rsidRPr="00D85A26">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78B1102A" w14:textId="77777777" w:rsidR="00B56301" w:rsidRPr="00D85A26" w:rsidRDefault="00B56301" w:rsidP="00B37B65">
            <w:pPr>
              <w:jc w:val="right"/>
              <w:rPr>
                <w:rFonts w:asciiTheme="minorHAnsi" w:hAnsiTheme="minorHAnsi"/>
                <w:sz w:val="16"/>
                <w:szCs w:val="16"/>
              </w:rPr>
            </w:pPr>
            <w:r w:rsidRPr="00D85A26">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3BC612C5"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8CADE9E"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759D07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740746" w14:textId="7777777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5E47ED6E"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086C8F79"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47C8C7C2"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7CA43D28"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CCFFFF"/>
            <w:noWrap/>
            <w:vAlign w:val="bottom"/>
            <w:hideMark/>
          </w:tcPr>
          <w:p w14:paraId="43CB2603" w14:textId="77777777" w:rsidR="00B56301" w:rsidRPr="00D85A26" w:rsidRDefault="00B56301" w:rsidP="00B37B65">
            <w:pPr>
              <w:jc w:val="right"/>
              <w:rPr>
                <w:rFonts w:asciiTheme="minorHAnsi" w:hAnsiTheme="minorHAnsi"/>
                <w:sz w:val="16"/>
                <w:szCs w:val="16"/>
              </w:rPr>
            </w:pPr>
            <w:r w:rsidRPr="00D85A26">
              <w:rPr>
                <w:sz w:val="16"/>
                <w:szCs w:val="18"/>
              </w:rPr>
              <w:t>0,14</w:t>
            </w:r>
          </w:p>
        </w:tc>
        <w:tc>
          <w:tcPr>
            <w:tcW w:w="991" w:type="dxa"/>
            <w:tcBorders>
              <w:top w:val="nil"/>
              <w:left w:val="nil"/>
              <w:bottom w:val="single" w:sz="4" w:space="0" w:color="auto"/>
              <w:right w:val="single" w:sz="4" w:space="0" w:color="auto"/>
            </w:tcBorders>
            <w:shd w:val="clear" w:color="000000" w:fill="CCFFFF"/>
            <w:noWrap/>
            <w:vAlign w:val="bottom"/>
            <w:hideMark/>
          </w:tcPr>
          <w:p w14:paraId="637E0BF1" w14:textId="77777777" w:rsidR="00B56301" w:rsidRPr="00D85A26" w:rsidRDefault="00B56301" w:rsidP="00B37B65">
            <w:pPr>
              <w:jc w:val="right"/>
              <w:rPr>
                <w:rFonts w:asciiTheme="minorHAnsi" w:hAnsiTheme="minorHAnsi"/>
                <w:sz w:val="16"/>
                <w:szCs w:val="16"/>
              </w:rPr>
            </w:pPr>
            <w:r w:rsidRPr="00D85A26">
              <w:rPr>
                <w:sz w:val="16"/>
                <w:szCs w:val="18"/>
              </w:rPr>
              <w:t>0,14</w:t>
            </w:r>
          </w:p>
        </w:tc>
      </w:tr>
      <w:tr w:rsidR="00B56301" w:rsidRPr="00D85A26" w14:paraId="72C5CBF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448AD9C" w14:textId="28FFB50E"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133909C6"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38AB14"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F07CFF2"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9C13ACC"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4F993AD"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5A33F72"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02639F5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92E6426" w14:textId="74D1ABAE" w:rsidR="00B56301" w:rsidRPr="00D85A26" w:rsidRDefault="00B56301" w:rsidP="00B37B65">
            <w:pPr>
              <w:ind w:firstLineChars="500" w:firstLine="800"/>
              <w:jc w:val="left"/>
              <w:rPr>
                <w:rFonts w:asciiTheme="minorHAnsi" w:hAnsiTheme="minorHAnsi"/>
                <w:sz w:val="16"/>
                <w:szCs w:val="16"/>
                <w:lang w:val="en-GB"/>
              </w:rPr>
            </w:pPr>
            <w:r w:rsidRPr="00D85A26">
              <w:rPr>
                <w:rFonts w:asciiTheme="minorHAnsi" w:hAnsiTheme="minorHAnsi"/>
                <w:sz w:val="16"/>
                <w:szCs w:val="16"/>
                <w:lang w:val="en-GB"/>
              </w:rPr>
              <w:t>2.</w:t>
            </w:r>
            <w:r w:rsidR="00260E0B">
              <w:rPr>
                <w:rFonts w:asciiTheme="minorHAnsi" w:hAnsiTheme="minorHAnsi"/>
                <w:sz w:val="16"/>
                <w:szCs w:val="16"/>
                <w:lang w:val="en-GB"/>
              </w:rPr>
              <w:t xml:space="preserve"> </w:t>
            </w:r>
            <w:r w:rsidRPr="00D85A26">
              <w:rPr>
                <w:rFonts w:asciiTheme="minorHAnsi" w:hAnsiTheme="minorHAnsi"/>
                <w:sz w:val="16"/>
                <w:szCs w:val="16"/>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3C4E03E"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62DB8D94"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1BD345B4"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1325C330" w14:textId="77777777" w:rsidR="00B56301" w:rsidRPr="00D85A26" w:rsidRDefault="00B56301" w:rsidP="00B37B65">
            <w:pPr>
              <w:jc w:val="right"/>
              <w:rPr>
                <w:rFonts w:asciiTheme="minorHAnsi" w:hAnsiTheme="minorHAnsi"/>
                <w:sz w:val="16"/>
                <w:szCs w:val="16"/>
              </w:rPr>
            </w:pPr>
            <w:r w:rsidRPr="00D85A26">
              <w:rPr>
                <w:sz w:val="16"/>
                <w:szCs w:val="18"/>
              </w:rPr>
              <w:t>0,10</w:t>
            </w:r>
          </w:p>
        </w:tc>
        <w:tc>
          <w:tcPr>
            <w:tcW w:w="991" w:type="dxa"/>
            <w:tcBorders>
              <w:top w:val="nil"/>
              <w:left w:val="nil"/>
              <w:bottom w:val="single" w:sz="4" w:space="0" w:color="auto"/>
              <w:right w:val="single" w:sz="4" w:space="0" w:color="auto"/>
            </w:tcBorders>
            <w:shd w:val="clear" w:color="000000" w:fill="FFFFFF"/>
            <w:noWrap/>
            <w:vAlign w:val="bottom"/>
            <w:hideMark/>
          </w:tcPr>
          <w:p w14:paraId="2ABDD624" w14:textId="77777777" w:rsidR="00B56301" w:rsidRPr="00D85A26" w:rsidRDefault="00B56301" w:rsidP="00B37B65">
            <w:pPr>
              <w:jc w:val="right"/>
              <w:rPr>
                <w:rFonts w:asciiTheme="minorHAnsi" w:hAnsiTheme="minorHAnsi"/>
                <w:sz w:val="16"/>
                <w:szCs w:val="16"/>
              </w:rPr>
            </w:pPr>
            <w:r w:rsidRPr="00D85A26">
              <w:rPr>
                <w:sz w:val="16"/>
                <w:szCs w:val="18"/>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FCCE46A" w14:textId="77777777" w:rsidR="00B56301" w:rsidRPr="00D85A26" w:rsidRDefault="00B56301" w:rsidP="00B37B65">
            <w:pPr>
              <w:jc w:val="right"/>
              <w:rPr>
                <w:rFonts w:asciiTheme="minorHAnsi" w:hAnsiTheme="minorHAnsi"/>
                <w:sz w:val="16"/>
                <w:szCs w:val="16"/>
              </w:rPr>
            </w:pPr>
            <w:r w:rsidRPr="00D85A26">
              <w:rPr>
                <w:sz w:val="16"/>
                <w:szCs w:val="18"/>
              </w:rPr>
              <w:t>0,14</w:t>
            </w:r>
          </w:p>
        </w:tc>
      </w:tr>
      <w:tr w:rsidR="00B56301" w:rsidRPr="00833C38" w14:paraId="419A683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E45E24" w14:textId="76E7BADD"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 xml:space="preserve">C. </w:t>
            </w:r>
            <w:r w:rsidR="007F09F7" w:rsidRPr="006C251B">
              <w:rPr>
                <w:lang w:val="en-GB"/>
              </w:rPr>
              <w:t>CO</w:t>
            </w:r>
            <w:r w:rsidR="007F09F7" w:rsidRPr="006C251B">
              <w:rPr>
                <w:vertAlign w:val="subscript"/>
                <w:lang w:val="en-GB"/>
              </w:rPr>
              <w:t>2</w:t>
            </w:r>
            <w:r w:rsidRPr="00D85A26">
              <w:rPr>
                <w:rFonts w:asciiTheme="minorHAnsi" w:hAnsiTheme="minorHAnsi"/>
                <w:sz w:val="16"/>
                <w:szCs w:val="16"/>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4DFC51E3"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DE54E5"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6BB07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5D351F"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CBBE1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47DA9C"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13D9CA3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B9DD6A2" w14:textId="2AB42AFF"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2.</w:t>
            </w:r>
            <w:r w:rsidR="00260E0B">
              <w:rPr>
                <w:rFonts w:asciiTheme="minorHAnsi" w:hAnsiTheme="minorHAnsi"/>
                <w:b/>
                <w:bCs/>
                <w:sz w:val="16"/>
                <w:szCs w:val="16"/>
              </w:rPr>
              <w:t xml:space="preserve"> </w:t>
            </w:r>
            <w:r w:rsidRPr="00D85A26">
              <w:rPr>
                <w:rFonts w:asciiTheme="minorHAnsi" w:hAnsiTheme="minorHAnsi"/>
                <w:b/>
                <w:bCs/>
                <w:sz w:val="16"/>
                <w:szCs w:val="16"/>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513FE2F6" w14:textId="77777777" w:rsidR="00B56301" w:rsidRPr="00D85A26" w:rsidRDefault="00B56301" w:rsidP="00B37B65">
            <w:pPr>
              <w:jc w:val="right"/>
              <w:rPr>
                <w:rFonts w:asciiTheme="minorHAnsi" w:hAnsiTheme="minorHAnsi"/>
                <w:sz w:val="16"/>
                <w:szCs w:val="16"/>
              </w:rPr>
            </w:pPr>
            <w:r w:rsidRPr="00D85A26">
              <w:rPr>
                <w:sz w:val="16"/>
                <w:szCs w:val="18"/>
              </w:rPr>
              <w:t>40,02</w:t>
            </w:r>
          </w:p>
        </w:tc>
        <w:tc>
          <w:tcPr>
            <w:tcW w:w="991" w:type="dxa"/>
            <w:tcBorders>
              <w:top w:val="nil"/>
              <w:left w:val="nil"/>
              <w:bottom w:val="single" w:sz="4" w:space="0" w:color="auto"/>
              <w:right w:val="single" w:sz="4" w:space="0" w:color="auto"/>
            </w:tcBorders>
            <w:shd w:val="clear" w:color="000000" w:fill="CCFFFF"/>
            <w:noWrap/>
            <w:vAlign w:val="bottom"/>
            <w:hideMark/>
          </w:tcPr>
          <w:p w14:paraId="1AF2D69B" w14:textId="77777777" w:rsidR="00B56301" w:rsidRPr="00D85A26" w:rsidRDefault="00B56301" w:rsidP="00B37B65">
            <w:pPr>
              <w:jc w:val="right"/>
              <w:rPr>
                <w:rFonts w:asciiTheme="minorHAnsi" w:hAnsiTheme="minorHAnsi"/>
                <w:sz w:val="16"/>
                <w:szCs w:val="16"/>
              </w:rPr>
            </w:pPr>
            <w:r w:rsidRPr="00D85A26">
              <w:rPr>
                <w:sz w:val="16"/>
                <w:szCs w:val="18"/>
              </w:rPr>
              <w:t>32,25</w:t>
            </w:r>
          </w:p>
        </w:tc>
        <w:tc>
          <w:tcPr>
            <w:tcW w:w="991" w:type="dxa"/>
            <w:tcBorders>
              <w:top w:val="nil"/>
              <w:left w:val="nil"/>
              <w:bottom w:val="single" w:sz="4" w:space="0" w:color="auto"/>
              <w:right w:val="single" w:sz="4" w:space="0" w:color="auto"/>
            </w:tcBorders>
            <w:shd w:val="clear" w:color="000000" w:fill="CCFFFF"/>
            <w:noWrap/>
            <w:vAlign w:val="bottom"/>
            <w:hideMark/>
          </w:tcPr>
          <w:p w14:paraId="711FA69D" w14:textId="77777777" w:rsidR="00B56301" w:rsidRPr="00D85A26" w:rsidRDefault="00B56301" w:rsidP="00B37B65">
            <w:pPr>
              <w:jc w:val="right"/>
              <w:rPr>
                <w:rFonts w:asciiTheme="minorHAnsi" w:hAnsiTheme="minorHAnsi"/>
                <w:sz w:val="16"/>
                <w:szCs w:val="16"/>
              </w:rPr>
            </w:pPr>
            <w:r w:rsidRPr="00D85A26">
              <w:rPr>
                <w:sz w:val="16"/>
                <w:szCs w:val="18"/>
              </w:rPr>
              <w:t>31,78</w:t>
            </w:r>
          </w:p>
        </w:tc>
        <w:tc>
          <w:tcPr>
            <w:tcW w:w="991" w:type="dxa"/>
            <w:tcBorders>
              <w:top w:val="nil"/>
              <w:left w:val="nil"/>
              <w:bottom w:val="single" w:sz="4" w:space="0" w:color="auto"/>
              <w:right w:val="single" w:sz="4" w:space="0" w:color="auto"/>
            </w:tcBorders>
            <w:shd w:val="clear" w:color="000000" w:fill="CCFFFF"/>
            <w:noWrap/>
            <w:vAlign w:val="bottom"/>
            <w:hideMark/>
          </w:tcPr>
          <w:p w14:paraId="6647B89D" w14:textId="77777777" w:rsidR="00B56301" w:rsidRPr="00D85A26" w:rsidRDefault="00B56301" w:rsidP="00B37B65">
            <w:pPr>
              <w:jc w:val="right"/>
              <w:rPr>
                <w:rFonts w:asciiTheme="minorHAnsi" w:hAnsiTheme="minorHAnsi"/>
                <w:sz w:val="16"/>
                <w:szCs w:val="16"/>
              </w:rPr>
            </w:pPr>
            <w:r w:rsidRPr="00D85A26">
              <w:rPr>
                <w:sz w:val="16"/>
                <w:szCs w:val="18"/>
              </w:rPr>
              <w:t>22,50</w:t>
            </w:r>
          </w:p>
        </w:tc>
        <w:tc>
          <w:tcPr>
            <w:tcW w:w="991" w:type="dxa"/>
            <w:tcBorders>
              <w:top w:val="nil"/>
              <w:left w:val="nil"/>
              <w:bottom w:val="single" w:sz="4" w:space="0" w:color="auto"/>
              <w:right w:val="single" w:sz="4" w:space="0" w:color="auto"/>
            </w:tcBorders>
            <w:shd w:val="clear" w:color="000000" w:fill="CCFFFF"/>
            <w:noWrap/>
            <w:vAlign w:val="bottom"/>
            <w:hideMark/>
          </w:tcPr>
          <w:p w14:paraId="6882484F" w14:textId="77777777" w:rsidR="00B56301" w:rsidRPr="00D85A26" w:rsidRDefault="00B56301" w:rsidP="00B37B65">
            <w:pPr>
              <w:jc w:val="right"/>
              <w:rPr>
                <w:rFonts w:asciiTheme="minorHAnsi" w:hAnsiTheme="minorHAnsi"/>
                <w:sz w:val="16"/>
                <w:szCs w:val="16"/>
              </w:rPr>
            </w:pPr>
            <w:r w:rsidRPr="00D85A26">
              <w:rPr>
                <w:sz w:val="16"/>
                <w:szCs w:val="18"/>
              </w:rPr>
              <w:t>22,69</w:t>
            </w:r>
          </w:p>
        </w:tc>
        <w:tc>
          <w:tcPr>
            <w:tcW w:w="991" w:type="dxa"/>
            <w:tcBorders>
              <w:top w:val="nil"/>
              <w:left w:val="nil"/>
              <w:bottom w:val="single" w:sz="4" w:space="0" w:color="auto"/>
              <w:right w:val="single" w:sz="4" w:space="0" w:color="auto"/>
            </w:tcBorders>
            <w:shd w:val="clear" w:color="000000" w:fill="CCFFFF"/>
            <w:noWrap/>
            <w:vAlign w:val="bottom"/>
            <w:hideMark/>
          </w:tcPr>
          <w:p w14:paraId="691CE067" w14:textId="77777777" w:rsidR="00B56301" w:rsidRPr="00D85A26" w:rsidRDefault="00B56301" w:rsidP="00B37B65">
            <w:pPr>
              <w:jc w:val="right"/>
              <w:rPr>
                <w:rFonts w:asciiTheme="minorHAnsi" w:hAnsiTheme="minorHAnsi"/>
                <w:sz w:val="16"/>
                <w:szCs w:val="16"/>
              </w:rPr>
            </w:pPr>
            <w:r w:rsidRPr="00D85A26">
              <w:rPr>
                <w:sz w:val="16"/>
                <w:szCs w:val="18"/>
              </w:rPr>
              <w:t>20,31</w:t>
            </w:r>
          </w:p>
        </w:tc>
      </w:tr>
      <w:tr w:rsidR="00B56301" w:rsidRPr="00D85A26" w14:paraId="465ADD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52FE1BF" w14:textId="5CE24AF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8F42B9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38F31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5D335F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C91DF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88E73A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F7A3FC"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2EC898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029B16" w14:textId="706370E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A04579C" w14:textId="77777777" w:rsidR="00B56301" w:rsidRPr="00D85A26" w:rsidRDefault="00B56301" w:rsidP="00B37B65">
            <w:pPr>
              <w:jc w:val="right"/>
              <w:rPr>
                <w:rFonts w:asciiTheme="minorHAnsi" w:hAnsiTheme="minorHAnsi"/>
                <w:sz w:val="16"/>
                <w:szCs w:val="16"/>
              </w:rPr>
            </w:pPr>
            <w:r w:rsidRPr="00D85A26">
              <w:rPr>
                <w:sz w:val="16"/>
                <w:szCs w:val="18"/>
              </w:rPr>
              <w:t>39,59</w:t>
            </w:r>
          </w:p>
        </w:tc>
        <w:tc>
          <w:tcPr>
            <w:tcW w:w="991" w:type="dxa"/>
            <w:tcBorders>
              <w:top w:val="nil"/>
              <w:left w:val="nil"/>
              <w:bottom w:val="single" w:sz="4" w:space="0" w:color="auto"/>
              <w:right w:val="single" w:sz="4" w:space="0" w:color="auto"/>
            </w:tcBorders>
            <w:shd w:val="clear" w:color="000000" w:fill="FFFFFF"/>
            <w:noWrap/>
            <w:vAlign w:val="bottom"/>
            <w:hideMark/>
          </w:tcPr>
          <w:p w14:paraId="03A1D37E" w14:textId="77777777" w:rsidR="00B56301" w:rsidRPr="00D85A26" w:rsidRDefault="00B56301" w:rsidP="00B37B65">
            <w:pPr>
              <w:jc w:val="right"/>
              <w:rPr>
                <w:rFonts w:asciiTheme="minorHAnsi" w:hAnsiTheme="minorHAnsi"/>
                <w:sz w:val="16"/>
                <w:szCs w:val="16"/>
              </w:rPr>
            </w:pPr>
            <w:r w:rsidRPr="00D85A26">
              <w:rPr>
                <w:sz w:val="16"/>
                <w:szCs w:val="18"/>
              </w:rPr>
              <w:t>31,82</w:t>
            </w:r>
          </w:p>
        </w:tc>
        <w:tc>
          <w:tcPr>
            <w:tcW w:w="991" w:type="dxa"/>
            <w:tcBorders>
              <w:top w:val="nil"/>
              <w:left w:val="nil"/>
              <w:bottom w:val="single" w:sz="4" w:space="0" w:color="auto"/>
              <w:right w:val="single" w:sz="4" w:space="0" w:color="auto"/>
            </w:tcBorders>
            <w:shd w:val="clear" w:color="000000" w:fill="FFFFFF"/>
            <w:noWrap/>
            <w:vAlign w:val="bottom"/>
            <w:hideMark/>
          </w:tcPr>
          <w:p w14:paraId="723B37C0" w14:textId="77777777" w:rsidR="00B56301" w:rsidRPr="00D85A26" w:rsidRDefault="00B56301" w:rsidP="00B37B65">
            <w:pPr>
              <w:jc w:val="right"/>
              <w:rPr>
                <w:rFonts w:asciiTheme="minorHAnsi" w:hAnsiTheme="minorHAnsi"/>
                <w:sz w:val="16"/>
                <w:szCs w:val="16"/>
              </w:rPr>
            </w:pPr>
            <w:r w:rsidRPr="00D85A26">
              <w:rPr>
                <w:sz w:val="16"/>
                <w:szCs w:val="18"/>
              </w:rPr>
              <w:t>31,34</w:t>
            </w:r>
          </w:p>
        </w:tc>
        <w:tc>
          <w:tcPr>
            <w:tcW w:w="991" w:type="dxa"/>
            <w:tcBorders>
              <w:top w:val="nil"/>
              <w:left w:val="nil"/>
              <w:bottom w:val="single" w:sz="4" w:space="0" w:color="auto"/>
              <w:right w:val="single" w:sz="4" w:space="0" w:color="auto"/>
            </w:tcBorders>
            <w:shd w:val="clear" w:color="000000" w:fill="FFFFFF"/>
            <w:noWrap/>
            <w:vAlign w:val="bottom"/>
            <w:hideMark/>
          </w:tcPr>
          <w:p w14:paraId="64D6BCAE" w14:textId="77777777" w:rsidR="00B56301" w:rsidRPr="00D85A26" w:rsidRDefault="00B56301" w:rsidP="00B37B65">
            <w:pPr>
              <w:jc w:val="right"/>
              <w:rPr>
                <w:rFonts w:asciiTheme="minorHAnsi" w:hAnsiTheme="minorHAnsi"/>
                <w:sz w:val="16"/>
                <w:szCs w:val="16"/>
              </w:rPr>
            </w:pPr>
            <w:r w:rsidRPr="00D85A26">
              <w:rPr>
                <w:sz w:val="16"/>
                <w:szCs w:val="18"/>
              </w:rPr>
              <w:t>22,07</w:t>
            </w:r>
          </w:p>
        </w:tc>
        <w:tc>
          <w:tcPr>
            <w:tcW w:w="991" w:type="dxa"/>
            <w:tcBorders>
              <w:top w:val="nil"/>
              <w:left w:val="nil"/>
              <w:bottom w:val="single" w:sz="4" w:space="0" w:color="auto"/>
              <w:right w:val="single" w:sz="4" w:space="0" w:color="auto"/>
            </w:tcBorders>
            <w:shd w:val="clear" w:color="000000" w:fill="FFFFFF"/>
            <w:noWrap/>
            <w:vAlign w:val="bottom"/>
            <w:hideMark/>
          </w:tcPr>
          <w:p w14:paraId="1D1149D6" w14:textId="77777777" w:rsidR="00B56301" w:rsidRPr="00D85A26" w:rsidRDefault="00B56301" w:rsidP="00B37B65">
            <w:pPr>
              <w:jc w:val="right"/>
              <w:rPr>
                <w:rFonts w:asciiTheme="minorHAnsi" w:hAnsiTheme="minorHAnsi"/>
                <w:sz w:val="16"/>
                <w:szCs w:val="16"/>
              </w:rPr>
            </w:pPr>
            <w:r w:rsidRPr="00D85A26">
              <w:rPr>
                <w:sz w:val="16"/>
                <w:szCs w:val="18"/>
              </w:rPr>
              <w:t>22,25</w:t>
            </w:r>
          </w:p>
        </w:tc>
        <w:tc>
          <w:tcPr>
            <w:tcW w:w="991" w:type="dxa"/>
            <w:tcBorders>
              <w:top w:val="nil"/>
              <w:left w:val="nil"/>
              <w:bottom w:val="single" w:sz="4" w:space="0" w:color="auto"/>
              <w:right w:val="single" w:sz="4" w:space="0" w:color="auto"/>
            </w:tcBorders>
            <w:shd w:val="clear" w:color="000000" w:fill="FFFFFF"/>
            <w:noWrap/>
            <w:vAlign w:val="bottom"/>
            <w:hideMark/>
          </w:tcPr>
          <w:p w14:paraId="3B4A5C6D" w14:textId="77777777" w:rsidR="00B56301" w:rsidRPr="00D85A26" w:rsidRDefault="00B56301" w:rsidP="00B37B65">
            <w:pPr>
              <w:jc w:val="right"/>
              <w:rPr>
                <w:rFonts w:asciiTheme="minorHAnsi" w:hAnsiTheme="minorHAnsi"/>
                <w:sz w:val="16"/>
                <w:szCs w:val="16"/>
              </w:rPr>
            </w:pPr>
            <w:r w:rsidRPr="00D85A26">
              <w:rPr>
                <w:sz w:val="16"/>
                <w:szCs w:val="18"/>
              </w:rPr>
              <w:t>19,87</w:t>
            </w:r>
          </w:p>
        </w:tc>
      </w:tr>
      <w:tr w:rsidR="00B56301" w:rsidRPr="00D85A26" w14:paraId="26C2984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092AE46" w14:textId="31F0039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76348FF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983DD15"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2C54D4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31ECFD"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45D8418"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2A172EC"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32E21AF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258E61D" w14:textId="5FC6D3C8"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780A5D9"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D676255"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22340AF5"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19515B2"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0F6E2C74"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10AC0901" w14:textId="77777777" w:rsidR="00B56301" w:rsidRPr="00D85A26" w:rsidRDefault="00B56301" w:rsidP="00B37B65">
            <w:pPr>
              <w:jc w:val="right"/>
              <w:rPr>
                <w:rFonts w:asciiTheme="minorHAnsi" w:hAnsiTheme="minorHAnsi"/>
                <w:sz w:val="16"/>
                <w:szCs w:val="16"/>
              </w:rPr>
            </w:pPr>
            <w:r w:rsidRPr="00D85A26">
              <w:rPr>
                <w:sz w:val="16"/>
                <w:szCs w:val="18"/>
              </w:rPr>
              <w:t>0,01</w:t>
            </w:r>
          </w:p>
        </w:tc>
      </w:tr>
      <w:tr w:rsidR="00B56301" w:rsidRPr="00D85A26" w14:paraId="0725E42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307681" w14:textId="69B7794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093EFC5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64834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B0C3E0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B4CEE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72B33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951EE0A"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601917B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3AE82EF" w14:textId="3EB42F32"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68E1F1B3"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0248E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5B49153"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B380635"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F52C5B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76F81C"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5AC4BB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DAFEDF9" w14:textId="218376EB"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G.</w:t>
            </w:r>
            <w:r w:rsidR="00260E0B">
              <w:rPr>
                <w:rFonts w:asciiTheme="minorHAnsi" w:hAnsiTheme="minorHAnsi"/>
                <w:sz w:val="16"/>
                <w:szCs w:val="16"/>
                <w:lang w:val="en-GB"/>
              </w:rPr>
              <w:t xml:space="preserve"> </w:t>
            </w:r>
            <w:r w:rsidRPr="00D85A26">
              <w:rPr>
                <w:rFonts w:asciiTheme="minorHAnsi" w:hAnsiTheme="minorHAnsi"/>
                <w:sz w:val="16"/>
                <w:szCs w:val="16"/>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2149342A" w14:textId="77777777" w:rsidR="00B56301" w:rsidRPr="00D85A26" w:rsidRDefault="00B56301" w:rsidP="00B37B65">
            <w:pPr>
              <w:jc w:val="right"/>
              <w:rPr>
                <w:rFonts w:asciiTheme="minorHAnsi" w:hAnsiTheme="minorHAnsi"/>
                <w:sz w:val="16"/>
                <w:szCs w:val="16"/>
              </w:rPr>
            </w:pPr>
            <w:r w:rsidRPr="00D85A26">
              <w:rPr>
                <w:sz w:val="16"/>
                <w:szCs w:val="18"/>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1062E669" w14:textId="77777777" w:rsidR="00B56301" w:rsidRPr="00D85A26" w:rsidRDefault="00B56301" w:rsidP="00B37B65">
            <w:pPr>
              <w:jc w:val="right"/>
              <w:rPr>
                <w:rFonts w:asciiTheme="minorHAnsi" w:hAnsiTheme="minorHAnsi"/>
                <w:sz w:val="16"/>
                <w:szCs w:val="16"/>
              </w:rPr>
            </w:pPr>
            <w:r w:rsidRPr="00D85A26">
              <w:rPr>
                <w:sz w:val="16"/>
                <w:szCs w:val="18"/>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3D2DF1A2"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269BA321"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3BCDE335"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64924743" w14:textId="77777777" w:rsidR="00B56301" w:rsidRPr="00D85A26" w:rsidRDefault="00B56301" w:rsidP="00B37B65">
            <w:pPr>
              <w:jc w:val="right"/>
              <w:rPr>
                <w:rFonts w:asciiTheme="minorHAnsi" w:hAnsiTheme="minorHAnsi"/>
                <w:sz w:val="16"/>
                <w:szCs w:val="16"/>
              </w:rPr>
            </w:pPr>
            <w:r w:rsidRPr="00D85A26">
              <w:rPr>
                <w:sz w:val="16"/>
                <w:szCs w:val="18"/>
              </w:rPr>
              <w:t>0,43</w:t>
            </w:r>
          </w:p>
        </w:tc>
      </w:tr>
      <w:tr w:rsidR="00B56301" w:rsidRPr="00D85A26" w14:paraId="0F5F072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58B42C" w14:textId="4B75E27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0E04E410"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CADF8C0"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92CCDC4"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6DEC752"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B917CF0"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772EF9B" w14:textId="77777777" w:rsidR="00B56301" w:rsidRPr="00D85A26" w:rsidRDefault="00B56301" w:rsidP="00B37B65">
            <w:pPr>
              <w:jc w:val="right"/>
              <w:rPr>
                <w:rFonts w:asciiTheme="minorHAnsi" w:hAnsiTheme="minorHAnsi"/>
                <w:sz w:val="16"/>
                <w:szCs w:val="16"/>
              </w:rPr>
            </w:pPr>
            <w:r w:rsidRPr="00D85A26">
              <w:rPr>
                <w:sz w:val="16"/>
                <w:szCs w:val="18"/>
              </w:rPr>
              <w:t>NO,NA</w:t>
            </w:r>
          </w:p>
        </w:tc>
      </w:tr>
      <w:tr w:rsidR="00B56301" w:rsidRPr="00D85A26" w14:paraId="495142B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4BA1D767" w14:textId="047E124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3.</w:t>
            </w:r>
            <w:r w:rsidR="00260E0B">
              <w:rPr>
                <w:rFonts w:asciiTheme="minorHAnsi" w:hAnsiTheme="minorHAnsi"/>
                <w:b/>
                <w:bCs/>
                <w:sz w:val="16"/>
                <w:szCs w:val="16"/>
              </w:rPr>
              <w:t xml:space="preserve"> </w:t>
            </w:r>
            <w:r w:rsidRPr="00D85A26">
              <w:rPr>
                <w:rFonts w:asciiTheme="minorHAnsi" w:hAnsiTheme="minorHAnsi"/>
                <w:b/>
                <w:bCs/>
                <w:sz w:val="16"/>
                <w:szCs w:val="16"/>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1AD176C4" w14:textId="77777777" w:rsidR="00B56301" w:rsidRPr="00D85A26" w:rsidRDefault="00B56301" w:rsidP="00B37B65">
            <w:pPr>
              <w:jc w:val="right"/>
              <w:rPr>
                <w:rFonts w:asciiTheme="minorHAnsi" w:hAnsiTheme="minorHAnsi"/>
                <w:sz w:val="16"/>
                <w:szCs w:val="16"/>
              </w:rPr>
            </w:pPr>
            <w:r w:rsidRPr="00D85A26">
              <w:rPr>
                <w:sz w:val="16"/>
                <w:szCs w:val="18"/>
              </w:rPr>
              <w:t>123,07</w:t>
            </w:r>
          </w:p>
        </w:tc>
        <w:tc>
          <w:tcPr>
            <w:tcW w:w="991" w:type="dxa"/>
            <w:tcBorders>
              <w:top w:val="nil"/>
              <w:left w:val="nil"/>
              <w:bottom w:val="single" w:sz="4" w:space="0" w:color="auto"/>
              <w:right w:val="single" w:sz="4" w:space="0" w:color="auto"/>
            </w:tcBorders>
            <w:shd w:val="clear" w:color="000000" w:fill="CCFFFF"/>
            <w:noWrap/>
            <w:vAlign w:val="bottom"/>
            <w:hideMark/>
          </w:tcPr>
          <w:p w14:paraId="70C609B4" w14:textId="77777777" w:rsidR="00B56301" w:rsidRPr="00D85A26" w:rsidRDefault="00B56301" w:rsidP="00B37B65">
            <w:pPr>
              <w:jc w:val="right"/>
              <w:rPr>
                <w:rFonts w:asciiTheme="minorHAnsi" w:hAnsiTheme="minorHAnsi"/>
                <w:sz w:val="16"/>
                <w:szCs w:val="16"/>
              </w:rPr>
            </w:pPr>
            <w:r w:rsidRPr="00D85A26">
              <w:rPr>
                <w:sz w:val="16"/>
                <w:szCs w:val="18"/>
              </w:rPr>
              <w:t>121,28</w:t>
            </w:r>
          </w:p>
        </w:tc>
        <w:tc>
          <w:tcPr>
            <w:tcW w:w="991" w:type="dxa"/>
            <w:tcBorders>
              <w:top w:val="nil"/>
              <w:left w:val="nil"/>
              <w:bottom w:val="single" w:sz="4" w:space="0" w:color="auto"/>
              <w:right w:val="single" w:sz="4" w:space="0" w:color="auto"/>
            </w:tcBorders>
            <w:shd w:val="clear" w:color="000000" w:fill="CCFFFF"/>
            <w:noWrap/>
            <w:vAlign w:val="bottom"/>
            <w:hideMark/>
          </w:tcPr>
          <w:p w14:paraId="786F29AF" w14:textId="77777777" w:rsidR="00B56301" w:rsidRPr="00D85A26" w:rsidRDefault="00B56301" w:rsidP="00B37B65">
            <w:pPr>
              <w:jc w:val="right"/>
              <w:rPr>
                <w:rFonts w:asciiTheme="minorHAnsi" w:hAnsiTheme="minorHAnsi"/>
                <w:sz w:val="16"/>
                <w:szCs w:val="16"/>
              </w:rPr>
            </w:pPr>
            <w:r w:rsidRPr="00D85A26">
              <w:rPr>
                <w:sz w:val="16"/>
                <w:szCs w:val="18"/>
              </w:rPr>
              <w:t>115,60</w:t>
            </w:r>
          </w:p>
        </w:tc>
        <w:tc>
          <w:tcPr>
            <w:tcW w:w="991" w:type="dxa"/>
            <w:tcBorders>
              <w:top w:val="nil"/>
              <w:left w:val="nil"/>
              <w:bottom w:val="single" w:sz="4" w:space="0" w:color="auto"/>
              <w:right w:val="single" w:sz="4" w:space="0" w:color="auto"/>
            </w:tcBorders>
            <w:shd w:val="clear" w:color="000000" w:fill="CCFFFF"/>
            <w:noWrap/>
            <w:vAlign w:val="bottom"/>
            <w:hideMark/>
          </w:tcPr>
          <w:p w14:paraId="5B9F22F9" w14:textId="77777777" w:rsidR="00B56301" w:rsidRPr="00D85A26" w:rsidRDefault="00B56301" w:rsidP="00B37B65">
            <w:pPr>
              <w:jc w:val="right"/>
              <w:rPr>
                <w:rFonts w:asciiTheme="minorHAnsi" w:hAnsiTheme="minorHAnsi"/>
                <w:sz w:val="16"/>
                <w:szCs w:val="16"/>
              </w:rPr>
            </w:pPr>
            <w:r w:rsidRPr="00D85A26">
              <w:rPr>
                <w:sz w:val="16"/>
                <w:szCs w:val="18"/>
              </w:rPr>
              <w:t>119,25</w:t>
            </w:r>
          </w:p>
        </w:tc>
        <w:tc>
          <w:tcPr>
            <w:tcW w:w="991" w:type="dxa"/>
            <w:tcBorders>
              <w:top w:val="nil"/>
              <w:left w:val="nil"/>
              <w:bottom w:val="single" w:sz="4" w:space="0" w:color="auto"/>
              <w:right w:val="single" w:sz="4" w:space="0" w:color="auto"/>
            </w:tcBorders>
            <w:shd w:val="clear" w:color="000000" w:fill="CCFFFF"/>
            <w:noWrap/>
            <w:vAlign w:val="bottom"/>
            <w:hideMark/>
          </w:tcPr>
          <w:p w14:paraId="030D82CD" w14:textId="77777777" w:rsidR="00B56301" w:rsidRPr="00D85A26" w:rsidRDefault="00B56301" w:rsidP="00B37B65">
            <w:pPr>
              <w:jc w:val="right"/>
              <w:rPr>
                <w:rFonts w:asciiTheme="minorHAnsi" w:hAnsiTheme="minorHAnsi"/>
                <w:sz w:val="16"/>
                <w:szCs w:val="16"/>
              </w:rPr>
            </w:pPr>
            <w:r w:rsidRPr="00D85A26">
              <w:rPr>
                <w:sz w:val="16"/>
                <w:szCs w:val="18"/>
              </w:rPr>
              <w:t>116,38</w:t>
            </w:r>
          </w:p>
        </w:tc>
        <w:tc>
          <w:tcPr>
            <w:tcW w:w="991" w:type="dxa"/>
            <w:tcBorders>
              <w:top w:val="nil"/>
              <w:left w:val="nil"/>
              <w:bottom w:val="single" w:sz="4" w:space="0" w:color="auto"/>
              <w:right w:val="single" w:sz="4" w:space="0" w:color="auto"/>
            </w:tcBorders>
            <w:shd w:val="clear" w:color="000000" w:fill="CCFFFF"/>
            <w:noWrap/>
            <w:vAlign w:val="bottom"/>
            <w:hideMark/>
          </w:tcPr>
          <w:p w14:paraId="385FABDE" w14:textId="77777777" w:rsidR="00B56301" w:rsidRPr="00D85A26" w:rsidRDefault="00B56301" w:rsidP="00B37B65">
            <w:pPr>
              <w:jc w:val="right"/>
              <w:rPr>
                <w:rFonts w:asciiTheme="minorHAnsi" w:hAnsiTheme="minorHAnsi"/>
                <w:sz w:val="16"/>
                <w:szCs w:val="16"/>
              </w:rPr>
            </w:pPr>
            <w:r w:rsidRPr="00D85A26">
              <w:rPr>
                <w:sz w:val="16"/>
                <w:szCs w:val="18"/>
              </w:rPr>
              <w:t>114,89</w:t>
            </w:r>
          </w:p>
        </w:tc>
      </w:tr>
      <w:tr w:rsidR="00B56301" w:rsidRPr="00D85A26" w14:paraId="46AC1D4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7A0408" w14:textId="738FEAD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5CF989A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2301A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03DED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883F7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EF7608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33F83B2"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19904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3EC0FEC" w14:textId="7331D52F"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222BB67D" w14:textId="77777777" w:rsidR="00B56301" w:rsidRPr="00D85A26" w:rsidRDefault="00B56301" w:rsidP="00B37B65">
            <w:pPr>
              <w:jc w:val="right"/>
              <w:rPr>
                <w:rFonts w:asciiTheme="minorHAnsi" w:hAnsiTheme="minorHAnsi"/>
                <w:sz w:val="16"/>
                <w:szCs w:val="16"/>
              </w:rPr>
            </w:pPr>
            <w:r w:rsidRPr="00D85A26">
              <w:rPr>
                <w:sz w:val="16"/>
                <w:szCs w:val="18"/>
              </w:rPr>
              <w:t>9,17</w:t>
            </w:r>
          </w:p>
        </w:tc>
        <w:tc>
          <w:tcPr>
            <w:tcW w:w="991" w:type="dxa"/>
            <w:tcBorders>
              <w:top w:val="nil"/>
              <w:left w:val="nil"/>
              <w:bottom w:val="single" w:sz="4" w:space="0" w:color="auto"/>
              <w:right w:val="single" w:sz="4" w:space="0" w:color="auto"/>
            </w:tcBorders>
            <w:shd w:val="clear" w:color="000000" w:fill="FFFFFF"/>
            <w:noWrap/>
            <w:vAlign w:val="bottom"/>
            <w:hideMark/>
          </w:tcPr>
          <w:p w14:paraId="0204A684" w14:textId="77777777" w:rsidR="00B56301" w:rsidRPr="00D85A26" w:rsidRDefault="00B56301" w:rsidP="00B37B65">
            <w:pPr>
              <w:jc w:val="right"/>
              <w:rPr>
                <w:rFonts w:asciiTheme="minorHAnsi" w:hAnsiTheme="minorHAnsi"/>
                <w:sz w:val="16"/>
                <w:szCs w:val="16"/>
              </w:rPr>
            </w:pPr>
            <w:r w:rsidRPr="00D85A26">
              <w:rPr>
                <w:sz w:val="16"/>
                <w:szCs w:val="18"/>
              </w:rPr>
              <w:t>9,00</w:t>
            </w:r>
          </w:p>
        </w:tc>
        <w:tc>
          <w:tcPr>
            <w:tcW w:w="991" w:type="dxa"/>
            <w:tcBorders>
              <w:top w:val="nil"/>
              <w:left w:val="nil"/>
              <w:bottom w:val="single" w:sz="4" w:space="0" w:color="auto"/>
              <w:right w:val="single" w:sz="4" w:space="0" w:color="auto"/>
            </w:tcBorders>
            <w:shd w:val="clear" w:color="000000" w:fill="FFFFFF"/>
            <w:noWrap/>
            <w:vAlign w:val="bottom"/>
            <w:hideMark/>
          </w:tcPr>
          <w:p w14:paraId="0774C5E9" w14:textId="77777777" w:rsidR="00B56301" w:rsidRPr="00D85A26" w:rsidRDefault="00B56301" w:rsidP="00B37B65">
            <w:pPr>
              <w:jc w:val="right"/>
              <w:rPr>
                <w:rFonts w:asciiTheme="minorHAnsi" w:hAnsiTheme="minorHAnsi"/>
                <w:sz w:val="16"/>
                <w:szCs w:val="16"/>
              </w:rPr>
            </w:pPr>
            <w:r w:rsidRPr="00D85A26">
              <w:rPr>
                <w:sz w:val="16"/>
                <w:szCs w:val="18"/>
              </w:rPr>
              <w:t>8,76</w:t>
            </w:r>
          </w:p>
        </w:tc>
        <w:tc>
          <w:tcPr>
            <w:tcW w:w="991" w:type="dxa"/>
            <w:tcBorders>
              <w:top w:val="nil"/>
              <w:left w:val="nil"/>
              <w:bottom w:val="single" w:sz="4" w:space="0" w:color="auto"/>
              <w:right w:val="single" w:sz="4" w:space="0" w:color="auto"/>
            </w:tcBorders>
            <w:shd w:val="clear" w:color="000000" w:fill="FFFFFF"/>
            <w:noWrap/>
            <w:vAlign w:val="bottom"/>
            <w:hideMark/>
          </w:tcPr>
          <w:p w14:paraId="25D938B7" w14:textId="77777777" w:rsidR="00B56301" w:rsidRPr="00D85A26" w:rsidRDefault="00B56301" w:rsidP="00B37B65">
            <w:pPr>
              <w:jc w:val="right"/>
              <w:rPr>
                <w:rFonts w:asciiTheme="minorHAnsi" w:hAnsiTheme="minorHAnsi"/>
                <w:sz w:val="16"/>
                <w:szCs w:val="16"/>
              </w:rPr>
            </w:pPr>
            <w:r w:rsidRPr="00D85A26">
              <w:rPr>
                <w:sz w:val="16"/>
                <w:szCs w:val="18"/>
              </w:rPr>
              <w:t>8,64</w:t>
            </w:r>
          </w:p>
        </w:tc>
        <w:tc>
          <w:tcPr>
            <w:tcW w:w="991" w:type="dxa"/>
            <w:tcBorders>
              <w:top w:val="nil"/>
              <w:left w:val="nil"/>
              <w:bottom w:val="single" w:sz="4" w:space="0" w:color="auto"/>
              <w:right w:val="single" w:sz="4" w:space="0" w:color="auto"/>
            </w:tcBorders>
            <w:shd w:val="clear" w:color="000000" w:fill="FFFFFF"/>
            <w:noWrap/>
            <w:vAlign w:val="bottom"/>
            <w:hideMark/>
          </w:tcPr>
          <w:p w14:paraId="19619060" w14:textId="77777777" w:rsidR="00B56301" w:rsidRPr="00D85A26" w:rsidRDefault="00B56301" w:rsidP="00B37B65">
            <w:pPr>
              <w:jc w:val="right"/>
              <w:rPr>
                <w:rFonts w:asciiTheme="minorHAnsi" w:hAnsiTheme="minorHAnsi"/>
                <w:sz w:val="16"/>
                <w:szCs w:val="16"/>
              </w:rPr>
            </w:pPr>
            <w:r w:rsidRPr="00D85A26">
              <w:rPr>
                <w:sz w:val="16"/>
                <w:szCs w:val="18"/>
              </w:rPr>
              <w:t>8,61</w:t>
            </w:r>
          </w:p>
        </w:tc>
        <w:tc>
          <w:tcPr>
            <w:tcW w:w="991" w:type="dxa"/>
            <w:tcBorders>
              <w:top w:val="nil"/>
              <w:left w:val="nil"/>
              <w:bottom w:val="single" w:sz="4" w:space="0" w:color="auto"/>
              <w:right w:val="single" w:sz="4" w:space="0" w:color="auto"/>
            </w:tcBorders>
            <w:shd w:val="clear" w:color="000000" w:fill="FFFFFF"/>
            <w:noWrap/>
            <w:vAlign w:val="bottom"/>
            <w:hideMark/>
          </w:tcPr>
          <w:p w14:paraId="4EEC7D8A" w14:textId="77777777" w:rsidR="00B56301" w:rsidRPr="00D85A26" w:rsidRDefault="00B56301" w:rsidP="00B37B65">
            <w:pPr>
              <w:jc w:val="right"/>
              <w:rPr>
                <w:rFonts w:asciiTheme="minorHAnsi" w:hAnsiTheme="minorHAnsi"/>
                <w:sz w:val="16"/>
                <w:szCs w:val="16"/>
              </w:rPr>
            </w:pPr>
            <w:r w:rsidRPr="00D85A26">
              <w:rPr>
                <w:sz w:val="16"/>
                <w:szCs w:val="18"/>
              </w:rPr>
              <w:t>8,61</w:t>
            </w:r>
          </w:p>
        </w:tc>
      </w:tr>
      <w:tr w:rsidR="00B56301" w:rsidRPr="00D85A26" w14:paraId="7C639D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64860A9" w14:textId="59CC4F3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61B1122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133FE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8889C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1A0B2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2AC70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228561"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577C82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965C41" w14:textId="0E0763B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675DF5F7" w14:textId="77777777" w:rsidR="00B56301" w:rsidRPr="00D85A26" w:rsidRDefault="00B56301" w:rsidP="00B37B65">
            <w:pPr>
              <w:jc w:val="right"/>
              <w:rPr>
                <w:rFonts w:asciiTheme="minorHAnsi" w:hAnsiTheme="minorHAnsi"/>
                <w:sz w:val="16"/>
                <w:szCs w:val="16"/>
              </w:rPr>
            </w:pPr>
            <w:r w:rsidRPr="00D85A26">
              <w:rPr>
                <w:sz w:val="16"/>
                <w:szCs w:val="18"/>
              </w:rPr>
              <w:t>113,84</w:t>
            </w:r>
          </w:p>
        </w:tc>
        <w:tc>
          <w:tcPr>
            <w:tcW w:w="991" w:type="dxa"/>
            <w:tcBorders>
              <w:top w:val="nil"/>
              <w:left w:val="nil"/>
              <w:bottom w:val="single" w:sz="4" w:space="0" w:color="auto"/>
              <w:right w:val="single" w:sz="4" w:space="0" w:color="auto"/>
            </w:tcBorders>
            <w:shd w:val="clear" w:color="000000" w:fill="FFFFFF"/>
            <w:noWrap/>
            <w:vAlign w:val="bottom"/>
            <w:hideMark/>
          </w:tcPr>
          <w:p w14:paraId="1AB1E218" w14:textId="77777777" w:rsidR="00B56301" w:rsidRPr="00D85A26" w:rsidRDefault="00B56301" w:rsidP="00B37B65">
            <w:pPr>
              <w:jc w:val="right"/>
              <w:rPr>
                <w:rFonts w:asciiTheme="minorHAnsi" w:hAnsiTheme="minorHAnsi"/>
                <w:sz w:val="16"/>
                <w:szCs w:val="16"/>
              </w:rPr>
            </w:pPr>
            <w:r w:rsidRPr="00D85A26">
              <w:rPr>
                <w:sz w:val="16"/>
                <w:szCs w:val="18"/>
              </w:rPr>
              <w:t>112,22</w:t>
            </w:r>
          </w:p>
        </w:tc>
        <w:tc>
          <w:tcPr>
            <w:tcW w:w="991" w:type="dxa"/>
            <w:tcBorders>
              <w:top w:val="nil"/>
              <w:left w:val="nil"/>
              <w:bottom w:val="single" w:sz="4" w:space="0" w:color="auto"/>
              <w:right w:val="single" w:sz="4" w:space="0" w:color="auto"/>
            </w:tcBorders>
            <w:shd w:val="clear" w:color="000000" w:fill="FFFFFF"/>
            <w:noWrap/>
            <w:vAlign w:val="bottom"/>
            <w:hideMark/>
          </w:tcPr>
          <w:p w14:paraId="353B72A2" w14:textId="77777777" w:rsidR="00B56301" w:rsidRPr="00D85A26" w:rsidRDefault="00B56301" w:rsidP="00B37B65">
            <w:pPr>
              <w:jc w:val="right"/>
              <w:rPr>
                <w:rFonts w:asciiTheme="minorHAnsi" w:hAnsiTheme="minorHAnsi"/>
                <w:sz w:val="16"/>
                <w:szCs w:val="16"/>
              </w:rPr>
            </w:pPr>
            <w:r w:rsidRPr="00D85A26">
              <w:rPr>
                <w:sz w:val="16"/>
                <w:szCs w:val="18"/>
              </w:rPr>
              <w:t>106,78</w:t>
            </w:r>
          </w:p>
        </w:tc>
        <w:tc>
          <w:tcPr>
            <w:tcW w:w="991" w:type="dxa"/>
            <w:tcBorders>
              <w:top w:val="nil"/>
              <w:left w:val="nil"/>
              <w:bottom w:val="single" w:sz="4" w:space="0" w:color="auto"/>
              <w:right w:val="single" w:sz="4" w:space="0" w:color="auto"/>
            </w:tcBorders>
            <w:shd w:val="clear" w:color="000000" w:fill="FFFFFF"/>
            <w:noWrap/>
            <w:vAlign w:val="bottom"/>
            <w:hideMark/>
          </w:tcPr>
          <w:p w14:paraId="44A9885E" w14:textId="77777777" w:rsidR="00B56301" w:rsidRPr="00D85A26" w:rsidRDefault="00B56301" w:rsidP="00B37B65">
            <w:pPr>
              <w:jc w:val="right"/>
              <w:rPr>
                <w:rFonts w:asciiTheme="minorHAnsi" w:hAnsiTheme="minorHAnsi"/>
                <w:sz w:val="16"/>
                <w:szCs w:val="16"/>
              </w:rPr>
            </w:pPr>
            <w:r w:rsidRPr="00D85A26">
              <w:rPr>
                <w:sz w:val="16"/>
                <w:szCs w:val="18"/>
              </w:rPr>
              <w:t>110,56</w:t>
            </w:r>
          </w:p>
        </w:tc>
        <w:tc>
          <w:tcPr>
            <w:tcW w:w="991" w:type="dxa"/>
            <w:tcBorders>
              <w:top w:val="nil"/>
              <w:left w:val="nil"/>
              <w:bottom w:val="single" w:sz="4" w:space="0" w:color="auto"/>
              <w:right w:val="single" w:sz="4" w:space="0" w:color="auto"/>
            </w:tcBorders>
            <w:shd w:val="clear" w:color="000000" w:fill="FFFFFF"/>
            <w:noWrap/>
            <w:vAlign w:val="bottom"/>
            <w:hideMark/>
          </w:tcPr>
          <w:p w14:paraId="36E15DFC" w14:textId="77777777" w:rsidR="00B56301" w:rsidRPr="00D85A26" w:rsidRDefault="00B56301" w:rsidP="00B37B65">
            <w:pPr>
              <w:jc w:val="right"/>
              <w:rPr>
                <w:rFonts w:asciiTheme="minorHAnsi" w:hAnsiTheme="minorHAnsi"/>
                <w:sz w:val="16"/>
                <w:szCs w:val="16"/>
              </w:rPr>
            </w:pPr>
            <w:r w:rsidRPr="00D85A26">
              <w:rPr>
                <w:sz w:val="16"/>
                <w:szCs w:val="18"/>
              </w:rPr>
              <w:t>107,72</w:t>
            </w:r>
          </w:p>
        </w:tc>
        <w:tc>
          <w:tcPr>
            <w:tcW w:w="991" w:type="dxa"/>
            <w:tcBorders>
              <w:top w:val="nil"/>
              <w:left w:val="nil"/>
              <w:bottom w:val="single" w:sz="4" w:space="0" w:color="auto"/>
              <w:right w:val="single" w:sz="4" w:space="0" w:color="auto"/>
            </w:tcBorders>
            <w:shd w:val="clear" w:color="000000" w:fill="FFFFFF"/>
            <w:noWrap/>
            <w:vAlign w:val="bottom"/>
            <w:hideMark/>
          </w:tcPr>
          <w:p w14:paraId="7EDF4C3B" w14:textId="77777777" w:rsidR="00B56301" w:rsidRPr="00D85A26" w:rsidRDefault="00B56301" w:rsidP="00B37B65">
            <w:pPr>
              <w:jc w:val="right"/>
              <w:rPr>
                <w:rFonts w:asciiTheme="minorHAnsi" w:hAnsiTheme="minorHAnsi"/>
                <w:sz w:val="16"/>
                <w:szCs w:val="16"/>
              </w:rPr>
            </w:pPr>
            <w:r w:rsidRPr="00D85A26">
              <w:rPr>
                <w:sz w:val="16"/>
                <w:szCs w:val="18"/>
              </w:rPr>
              <w:t>106,23</w:t>
            </w:r>
          </w:p>
        </w:tc>
      </w:tr>
      <w:tr w:rsidR="00B56301" w:rsidRPr="00D85A26" w14:paraId="582F6FE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B1ABD6" w14:textId="4C895DEA"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E.</w:t>
            </w:r>
            <w:r w:rsidR="00260E0B">
              <w:rPr>
                <w:rFonts w:asciiTheme="minorHAnsi" w:hAnsiTheme="minorHAnsi"/>
                <w:sz w:val="16"/>
                <w:szCs w:val="16"/>
                <w:lang w:val="en-GB"/>
              </w:rPr>
              <w:t xml:space="preserve"> </w:t>
            </w:r>
            <w:r w:rsidRPr="00D85A26">
              <w:rPr>
                <w:rFonts w:asciiTheme="minorHAnsi" w:hAnsiTheme="minorHAnsi"/>
                <w:sz w:val="16"/>
                <w:szCs w:val="16"/>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611A1CA3"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C988A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B8B8C8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39A5960"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363A55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0CB0946"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67FFDB8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EE5214D" w14:textId="4CE4AC34"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273B50C7" w14:textId="77777777" w:rsidR="00B56301" w:rsidRPr="00D85A26" w:rsidRDefault="00B56301" w:rsidP="00B37B65">
            <w:pPr>
              <w:jc w:val="right"/>
              <w:rPr>
                <w:rFonts w:asciiTheme="minorHAnsi" w:hAnsiTheme="minorHAnsi"/>
                <w:sz w:val="16"/>
                <w:szCs w:val="16"/>
              </w:rPr>
            </w:pPr>
            <w:r w:rsidRPr="00D85A26">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2996B8E9" w14:textId="77777777" w:rsidR="00B56301" w:rsidRPr="00D85A26" w:rsidRDefault="00B56301" w:rsidP="00B37B65">
            <w:pPr>
              <w:jc w:val="right"/>
              <w:rPr>
                <w:rFonts w:asciiTheme="minorHAnsi" w:hAnsiTheme="minorHAnsi"/>
                <w:sz w:val="16"/>
                <w:szCs w:val="16"/>
              </w:rPr>
            </w:pPr>
            <w:r w:rsidRPr="00D85A26">
              <w:rPr>
                <w:sz w:val="16"/>
                <w:szCs w:val="18"/>
              </w:rPr>
              <w:t>0,07</w:t>
            </w:r>
          </w:p>
        </w:tc>
        <w:tc>
          <w:tcPr>
            <w:tcW w:w="991" w:type="dxa"/>
            <w:tcBorders>
              <w:top w:val="nil"/>
              <w:left w:val="nil"/>
              <w:bottom w:val="single" w:sz="4" w:space="0" w:color="auto"/>
              <w:right w:val="single" w:sz="4" w:space="0" w:color="auto"/>
            </w:tcBorders>
            <w:shd w:val="clear" w:color="000000" w:fill="FFFFFF"/>
            <w:noWrap/>
            <w:vAlign w:val="bottom"/>
            <w:hideMark/>
          </w:tcPr>
          <w:p w14:paraId="16409B96"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79D9445" w14:textId="77777777" w:rsidR="00B56301" w:rsidRPr="00D85A26" w:rsidRDefault="00B56301" w:rsidP="00B37B65">
            <w:pPr>
              <w:jc w:val="right"/>
              <w:rPr>
                <w:rFonts w:asciiTheme="minorHAnsi" w:hAnsiTheme="minorHAnsi"/>
                <w:sz w:val="16"/>
                <w:szCs w:val="16"/>
              </w:rPr>
            </w:pPr>
            <w:r w:rsidRPr="00D85A26">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034DFF8D"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2516796"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41B554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94D7ED" w14:textId="7BAF2AB1"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322C86C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3C28E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BFB371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F7D0DF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B8CFDA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EB58AA"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7A386F1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47DCE9B" w14:textId="0A05C66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96BE9C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F4261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67614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90AED5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33F8CF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0F3385"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7BE11F8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20A0C2F" w14:textId="1A99523C"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I.</w:t>
            </w:r>
            <w:r w:rsidR="00260E0B">
              <w:rPr>
                <w:rFonts w:asciiTheme="minorHAnsi" w:hAnsiTheme="minorHAnsi"/>
                <w:sz w:val="16"/>
                <w:szCs w:val="16"/>
                <w:lang w:val="en-GB"/>
              </w:rPr>
              <w:t xml:space="preserve"> </w:t>
            </w:r>
            <w:r w:rsidRPr="00D85A26">
              <w:rPr>
                <w:rFonts w:asciiTheme="minorHAnsi" w:hAnsiTheme="minorHAnsi"/>
                <w:sz w:val="16"/>
                <w:szCs w:val="16"/>
                <w:lang w:val="en-GB"/>
              </w:rPr>
              <w:t>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368250A6"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5CC786"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25F23A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6E71AC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FA1F39"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8CC7F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5C78A4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6839075" w14:textId="06F4821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J.</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0049894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0247283"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149DFE3"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A1ED696"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C1B318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A46E2D4"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02E8ED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1B5EBD81" w14:textId="77777777" w:rsidR="00B56301" w:rsidRPr="00D85A26" w:rsidRDefault="00B56301" w:rsidP="00B37B65">
            <w:pPr>
              <w:jc w:val="left"/>
              <w:rPr>
                <w:rFonts w:asciiTheme="minorHAnsi" w:hAnsiTheme="minorHAnsi"/>
                <w:b/>
                <w:bCs/>
                <w:sz w:val="16"/>
                <w:szCs w:val="16"/>
                <w:lang w:val="en-GB"/>
              </w:rPr>
            </w:pPr>
            <w:r w:rsidRPr="00D85A26">
              <w:rPr>
                <w:rFonts w:asciiTheme="minorHAnsi" w:hAnsiTheme="minorHAnsi"/>
                <w:b/>
                <w:bCs/>
                <w:sz w:val="16"/>
                <w:szCs w:val="16"/>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1C98C2CD" w14:textId="77777777" w:rsidR="00B56301" w:rsidRPr="00D85A26" w:rsidRDefault="00B56301" w:rsidP="00B37B65">
            <w:pPr>
              <w:jc w:val="right"/>
              <w:rPr>
                <w:rFonts w:asciiTheme="minorHAnsi" w:hAnsiTheme="minorHAnsi"/>
                <w:sz w:val="16"/>
                <w:szCs w:val="16"/>
              </w:rPr>
            </w:pPr>
            <w:r w:rsidRPr="00D85A26">
              <w:rPr>
                <w:sz w:val="16"/>
                <w:szCs w:val="18"/>
              </w:rPr>
              <w:t>10,40</w:t>
            </w:r>
          </w:p>
        </w:tc>
        <w:tc>
          <w:tcPr>
            <w:tcW w:w="991" w:type="dxa"/>
            <w:tcBorders>
              <w:top w:val="nil"/>
              <w:left w:val="nil"/>
              <w:bottom w:val="single" w:sz="4" w:space="0" w:color="auto"/>
              <w:right w:val="single" w:sz="4" w:space="0" w:color="auto"/>
            </w:tcBorders>
            <w:shd w:val="clear" w:color="000000" w:fill="CCFFFF"/>
            <w:noWrap/>
            <w:vAlign w:val="bottom"/>
            <w:hideMark/>
          </w:tcPr>
          <w:p w14:paraId="2B75EA25" w14:textId="77777777" w:rsidR="00B56301" w:rsidRPr="00D85A26" w:rsidRDefault="00B56301" w:rsidP="00B37B65">
            <w:pPr>
              <w:jc w:val="right"/>
              <w:rPr>
                <w:rFonts w:asciiTheme="minorHAnsi" w:hAnsiTheme="minorHAnsi"/>
                <w:sz w:val="16"/>
                <w:szCs w:val="16"/>
              </w:rPr>
            </w:pPr>
            <w:r w:rsidRPr="00D85A26">
              <w:rPr>
                <w:sz w:val="16"/>
                <w:szCs w:val="18"/>
              </w:rPr>
              <w:t>10,23</w:t>
            </w:r>
          </w:p>
        </w:tc>
        <w:tc>
          <w:tcPr>
            <w:tcW w:w="991" w:type="dxa"/>
            <w:tcBorders>
              <w:top w:val="nil"/>
              <w:left w:val="nil"/>
              <w:bottom w:val="single" w:sz="4" w:space="0" w:color="auto"/>
              <w:right w:val="single" w:sz="4" w:space="0" w:color="auto"/>
            </w:tcBorders>
            <w:shd w:val="clear" w:color="000000" w:fill="CCFFFF"/>
            <w:noWrap/>
            <w:vAlign w:val="bottom"/>
            <w:hideMark/>
          </w:tcPr>
          <w:p w14:paraId="65A465B4" w14:textId="77777777" w:rsidR="00B56301" w:rsidRPr="00D85A26" w:rsidRDefault="00B56301" w:rsidP="00B37B65">
            <w:pPr>
              <w:jc w:val="right"/>
              <w:rPr>
                <w:rFonts w:asciiTheme="minorHAnsi" w:hAnsiTheme="minorHAnsi"/>
                <w:sz w:val="16"/>
                <w:szCs w:val="16"/>
              </w:rPr>
            </w:pPr>
            <w:r w:rsidRPr="00D85A26">
              <w:rPr>
                <w:sz w:val="16"/>
                <w:szCs w:val="18"/>
              </w:rPr>
              <w:t>10,31</w:t>
            </w:r>
          </w:p>
        </w:tc>
        <w:tc>
          <w:tcPr>
            <w:tcW w:w="991" w:type="dxa"/>
            <w:tcBorders>
              <w:top w:val="nil"/>
              <w:left w:val="nil"/>
              <w:bottom w:val="single" w:sz="4" w:space="0" w:color="auto"/>
              <w:right w:val="single" w:sz="4" w:space="0" w:color="auto"/>
            </w:tcBorders>
            <w:shd w:val="clear" w:color="000000" w:fill="CCFFFF"/>
            <w:noWrap/>
            <w:vAlign w:val="bottom"/>
            <w:hideMark/>
          </w:tcPr>
          <w:p w14:paraId="6EDEA98B" w14:textId="77777777" w:rsidR="00B56301" w:rsidRPr="00D85A26" w:rsidRDefault="00B56301" w:rsidP="00B37B65">
            <w:pPr>
              <w:jc w:val="right"/>
              <w:rPr>
                <w:rFonts w:asciiTheme="minorHAnsi" w:hAnsiTheme="minorHAnsi"/>
                <w:sz w:val="16"/>
                <w:szCs w:val="16"/>
              </w:rPr>
            </w:pPr>
            <w:r w:rsidRPr="00D85A26">
              <w:rPr>
                <w:sz w:val="16"/>
                <w:szCs w:val="18"/>
              </w:rPr>
              <w:t>9,91</w:t>
            </w:r>
          </w:p>
        </w:tc>
        <w:tc>
          <w:tcPr>
            <w:tcW w:w="991" w:type="dxa"/>
            <w:tcBorders>
              <w:top w:val="nil"/>
              <w:left w:val="nil"/>
              <w:bottom w:val="single" w:sz="4" w:space="0" w:color="auto"/>
              <w:right w:val="single" w:sz="4" w:space="0" w:color="auto"/>
            </w:tcBorders>
            <w:shd w:val="clear" w:color="000000" w:fill="CCFFFF"/>
            <w:noWrap/>
            <w:vAlign w:val="bottom"/>
            <w:hideMark/>
          </w:tcPr>
          <w:p w14:paraId="6F1B1CB3" w14:textId="77777777" w:rsidR="00B56301" w:rsidRPr="00D85A26" w:rsidRDefault="00B56301" w:rsidP="00B37B65">
            <w:pPr>
              <w:jc w:val="right"/>
              <w:rPr>
                <w:rFonts w:asciiTheme="minorHAnsi" w:hAnsiTheme="minorHAnsi"/>
                <w:sz w:val="16"/>
                <w:szCs w:val="16"/>
              </w:rPr>
            </w:pPr>
            <w:r w:rsidRPr="00D85A26">
              <w:rPr>
                <w:sz w:val="16"/>
                <w:szCs w:val="18"/>
              </w:rPr>
              <w:t>9,97</w:t>
            </w:r>
          </w:p>
        </w:tc>
        <w:tc>
          <w:tcPr>
            <w:tcW w:w="991" w:type="dxa"/>
            <w:tcBorders>
              <w:top w:val="nil"/>
              <w:left w:val="nil"/>
              <w:bottom w:val="single" w:sz="4" w:space="0" w:color="auto"/>
              <w:right w:val="single" w:sz="4" w:space="0" w:color="auto"/>
            </w:tcBorders>
            <w:shd w:val="clear" w:color="000000" w:fill="CCFFFF"/>
            <w:noWrap/>
            <w:vAlign w:val="bottom"/>
            <w:hideMark/>
          </w:tcPr>
          <w:p w14:paraId="7E28EBBF" w14:textId="77777777" w:rsidR="00B56301" w:rsidRPr="00D85A26" w:rsidRDefault="00B56301" w:rsidP="00B37B65">
            <w:pPr>
              <w:jc w:val="right"/>
              <w:rPr>
                <w:rFonts w:asciiTheme="minorHAnsi" w:hAnsiTheme="minorHAnsi"/>
                <w:sz w:val="16"/>
                <w:szCs w:val="16"/>
              </w:rPr>
            </w:pPr>
            <w:r w:rsidRPr="00D85A26">
              <w:rPr>
                <w:sz w:val="16"/>
                <w:szCs w:val="18"/>
              </w:rPr>
              <w:t>10,05</w:t>
            </w:r>
          </w:p>
        </w:tc>
      </w:tr>
      <w:tr w:rsidR="00B56301" w:rsidRPr="00D85A26" w14:paraId="714CFFB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F7D592" w14:textId="6D2F925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0AC924CD" w14:textId="77777777" w:rsidR="00B56301" w:rsidRPr="00D85A26" w:rsidRDefault="00B56301" w:rsidP="00B37B65">
            <w:pPr>
              <w:jc w:val="right"/>
              <w:rPr>
                <w:rFonts w:asciiTheme="minorHAnsi" w:hAnsiTheme="minorHAnsi"/>
                <w:sz w:val="16"/>
                <w:szCs w:val="16"/>
              </w:rPr>
            </w:pPr>
            <w:r w:rsidRPr="00D85A26">
              <w:rPr>
                <w:sz w:val="16"/>
                <w:szCs w:val="18"/>
              </w:rPr>
              <w:t>1,27</w:t>
            </w:r>
          </w:p>
        </w:tc>
        <w:tc>
          <w:tcPr>
            <w:tcW w:w="991" w:type="dxa"/>
            <w:tcBorders>
              <w:top w:val="nil"/>
              <w:left w:val="nil"/>
              <w:bottom w:val="single" w:sz="4" w:space="0" w:color="auto"/>
              <w:right w:val="single" w:sz="4" w:space="0" w:color="auto"/>
            </w:tcBorders>
            <w:shd w:val="clear" w:color="000000" w:fill="FFFFFF"/>
            <w:noWrap/>
            <w:vAlign w:val="bottom"/>
            <w:hideMark/>
          </w:tcPr>
          <w:p w14:paraId="61958006" w14:textId="77777777" w:rsidR="00B56301" w:rsidRPr="00D85A26" w:rsidRDefault="00B56301" w:rsidP="00B37B65">
            <w:pPr>
              <w:jc w:val="right"/>
              <w:rPr>
                <w:rFonts w:asciiTheme="minorHAnsi" w:hAnsiTheme="minorHAnsi"/>
                <w:sz w:val="16"/>
                <w:szCs w:val="16"/>
              </w:rPr>
            </w:pPr>
            <w:r w:rsidRPr="00D85A26">
              <w:rPr>
                <w:sz w:val="16"/>
                <w:szCs w:val="18"/>
              </w:rPr>
              <w:t>1,20</w:t>
            </w:r>
          </w:p>
        </w:tc>
        <w:tc>
          <w:tcPr>
            <w:tcW w:w="991" w:type="dxa"/>
            <w:tcBorders>
              <w:top w:val="nil"/>
              <w:left w:val="nil"/>
              <w:bottom w:val="single" w:sz="4" w:space="0" w:color="auto"/>
              <w:right w:val="single" w:sz="4" w:space="0" w:color="auto"/>
            </w:tcBorders>
            <w:shd w:val="clear" w:color="000000" w:fill="FFFFFF"/>
            <w:noWrap/>
            <w:vAlign w:val="bottom"/>
            <w:hideMark/>
          </w:tcPr>
          <w:p w14:paraId="3F5D3ED2" w14:textId="77777777" w:rsidR="00B56301" w:rsidRPr="00D85A26" w:rsidRDefault="00B56301" w:rsidP="00B37B65">
            <w:pPr>
              <w:jc w:val="right"/>
              <w:rPr>
                <w:rFonts w:asciiTheme="minorHAnsi" w:hAnsiTheme="minorHAnsi"/>
                <w:sz w:val="16"/>
                <w:szCs w:val="16"/>
              </w:rPr>
            </w:pPr>
            <w:r w:rsidRPr="00D85A26">
              <w:rPr>
                <w:sz w:val="16"/>
                <w:szCs w:val="18"/>
              </w:rPr>
              <w:t>1,41</w:t>
            </w:r>
          </w:p>
        </w:tc>
        <w:tc>
          <w:tcPr>
            <w:tcW w:w="991" w:type="dxa"/>
            <w:tcBorders>
              <w:top w:val="nil"/>
              <w:left w:val="nil"/>
              <w:bottom w:val="single" w:sz="4" w:space="0" w:color="auto"/>
              <w:right w:val="single" w:sz="4" w:space="0" w:color="auto"/>
            </w:tcBorders>
            <w:shd w:val="clear" w:color="000000" w:fill="FFFFFF"/>
            <w:noWrap/>
            <w:vAlign w:val="bottom"/>
            <w:hideMark/>
          </w:tcPr>
          <w:p w14:paraId="773FD38E" w14:textId="77777777" w:rsidR="00B56301" w:rsidRPr="00D85A26" w:rsidRDefault="00B56301" w:rsidP="00B37B65">
            <w:pPr>
              <w:jc w:val="right"/>
              <w:rPr>
                <w:rFonts w:asciiTheme="minorHAnsi" w:hAnsiTheme="minorHAnsi"/>
                <w:sz w:val="16"/>
                <w:szCs w:val="16"/>
              </w:rPr>
            </w:pPr>
            <w:r w:rsidRPr="00D85A26">
              <w:rPr>
                <w:sz w:val="16"/>
                <w:szCs w:val="18"/>
              </w:rPr>
              <w:t>1,13</w:t>
            </w:r>
          </w:p>
        </w:tc>
        <w:tc>
          <w:tcPr>
            <w:tcW w:w="991" w:type="dxa"/>
            <w:tcBorders>
              <w:top w:val="nil"/>
              <w:left w:val="nil"/>
              <w:bottom w:val="single" w:sz="4" w:space="0" w:color="auto"/>
              <w:right w:val="single" w:sz="4" w:space="0" w:color="auto"/>
            </w:tcBorders>
            <w:shd w:val="clear" w:color="000000" w:fill="FFFFFF"/>
            <w:noWrap/>
            <w:vAlign w:val="bottom"/>
            <w:hideMark/>
          </w:tcPr>
          <w:p w14:paraId="66A3E38C" w14:textId="77777777" w:rsidR="00B56301" w:rsidRPr="00D85A26" w:rsidRDefault="00B56301" w:rsidP="00B37B65">
            <w:pPr>
              <w:jc w:val="right"/>
              <w:rPr>
                <w:rFonts w:asciiTheme="minorHAnsi" w:hAnsiTheme="minorHAnsi"/>
                <w:sz w:val="16"/>
                <w:szCs w:val="16"/>
              </w:rPr>
            </w:pPr>
            <w:r w:rsidRPr="00D85A26">
              <w:rPr>
                <w:sz w:val="16"/>
                <w:szCs w:val="18"/>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385D6087" w14:textId="77777777" w:rsidR="00B56301" w:rsidRPr="00D85A26" w:rsidRDefault="00B56301" w:rsidP="00B37B65">
            <w:pPr>
              <w:jc w:val="right"/>
              <w:rPr>
                <w:rFonts w:asciiTheme="minorHAnsi" w:hAnsiTheme="minorHAnsi"/>
                <w:sz w:val="16"/>
                <w:szCs w:val="16"/>
              </w:rPr>
            </w:pPr>
            <w:r w:rsidRPr="00D85A26">
              <w:rPr>
                <w:sz w:val="16"/>
                <w:szCs w:val="18"/>
              </w:rPr>
              <w:t>1,06</w:t>
            </w:r>
          </w:p>
        </w:tc>
      </w:tr>
      <w:tr w:rsidR="00B56301" w:rsidRPr="00D85A26" w14:paraId="6D1327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FC2106" w14:textId="550DA8E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308BA68B" w14:textId="77777777" w:rsidR="00B56301" w:rsidRPr="00D85A26" w:rsidRDefault="00B56301" w:rsidP="00B37B65">
            <w:pPr>
              <w:jc w:val="right"/>
              <w:rPr>
                <w:rFonts w:asciiTheme="minorHAnsi" w:hAnsiTheme="minorHAnsi"/>
                <w:sz w:val="16"/>
                <w:szCs w:val="16"/>
              </w:rPr>
            </w:pPr>
            <w:r w:rsidRPr="00D85A26">
              <w:rPr>
                <w:sz w:val="16"/>
                <w:szCs w:val="18"/>
              </w:rPr>
              <w:t>5,00</w:t>
            </w:r>
          </w:p>
        </w:tc>
        <w:tc>
          <w:tcPr>
            <w:tcW w:w="991" w:type="dxa"/>
            <w:tcBorders>
              <w:top w:val="nil"/>
              <w:left w:val="nil"/>
              <w:bottom w:val="single" w:sz="4" w:space="0" w:color="auto"/>
              <w:right w:val="single" w:sz="4" w:space="0" w:color="auto"/>
            </w:tcBorders>
            <w:shd w:val="clear" w:color="000000" w:fill="FFFFFF"/>
            <w:noWrap/>
            <w:vAlign w:val="bottom"/>
            <w:hideMark/>
          </w:tcPr>
          <w:p w14:paraId="7880E148" w14:textId="77777777" w:rsidR="00B56301" w:rsidRPr="00D85A26" w:rsidRDefault="00B56301" w:rsidP="00B37B65">
            <w:pPr>
              <w:jc w:val="right"/>
              <w:rPr>
                <w:rFonts w:asciiTheme="minorHAnsi" w:hAnsiTheme="minorHAnsi"/>
                <w:sz w:val="16"/>
                <w:szCs w:val="16"/>
              </w:rPr>
            </w:pPr>
            <w:r w:rsidRPr="00D85A26">
              <w:rPr>
                <w:sz w:val="16"/>
                <w:szCs w:val="18"/>
              </w:rPr>
              <w:t>4,92</w:t>
            </w:r>
          </w:p>
        </w:tc>
        <w:tc>
          <w:tcPr>
            <w:tcW w:w="991" w:type="dxa"/>
            <w:tcBorders>
              <w:top w:val="nil"/>
              <w:left w:val="nil"/>
              <w:bottom w:val="single" w:sz="4" w:space="0" w:color="auto"/>
              <w:right w:val="single" w:sz="4" w:space="0" w:color="auto"/>
            </w:tcBorders>
            <w:shd w:val="clear" w:color="000000" w:fill="FFFFFF"/>
            <w:noWrap/>
            <w:vAlign w:val="bottom"/>
            <w:hideMark/>
          </w:tcPr>
          <w:p w14:paraId="034F8F9B" w14:textId="77777777" w:rsidR="00B56301" w:rsidRPr="00D85A26" w:rsidRDefault="00B56301" w:rsidP="00B37B65">
            <w:pPr>
              <w:jc w:val="right"/>
              <w:rPr>
                <w:rFonts w:asciiTheme="minorHAnsi" w:hAnsiTheme="minorHAnsi"/>
                <w:sz w:val="16"/>
                <w:szCs w:val="16"/>
              </w:rPr>
            </w:pPr>
            <w:r w:rsidRPr="00D85A26">
              <w:rPr>
                <w:sz w:val="16"/>
                <w:szCs w:val="18"/>
              </w:rPr>
              <w:t>4,83</w:t>
            </w:r>
          </w:p>
        </w:tc>
        <w:tc>
          <w:tcPr>
            <w:tcW w:w="991" w:type="dxa"/>
            <w:tcBorders>
              <w:top w:val="nil"/>
              <w:left w:val="nil"/>
              <w:bottom w:val="single" w:sz="4" w:space="0" w:color="auto"/>
              <w:right w:val="single" w:sz="4" w:space="0" w:color="auto"/>
            </w:tcBorders>
            <w:shd w:val="clear" w:color="000000" w:fill="FFFFFF"/>
            <w:noWrap/>
            <w:vAlign w:val="bottom"/>
            <w:hideMark/>
          </w:tcPr>
          <w:p w14:paraId="1E44D7F2" w14:textId="77777777" w:rsidR="00B56301" w:rsidRPr="00D85A26" w:rsidRDefault="00B56301" w:rsidP="00B37B65">
            <w:pPr>
              <w:jc w:val="right"/>
              <w:rPr>
                <w:rFonts w:asciiTheme="minorHAnsi" w:hAnsiTheme="minorHAnsi"/>
                <w:sz w:val="16"/>
                <w:szCs w:val="16"/>
              </w:rPr>
            </w:pPr>
            <w:r w:rsidRPr="00D85A26">
              <w:rPr>
                <w:sz w:val="16"/>
                <w:szCs w:val="18"/>
              </w:rPr>
              <w:t>4,74</w:t>
            </w:r>
          </w:p>
        </w:tc>
        <w:tc>
          <w:tcPr>
            <w:tcW w:w="991" w:type="dxa"/>
            <w:tcBorders>
              <w:top w:val="nil"/>
              <w:left w:val="nil"/>
              <w:bottom w:val="single" w:sz="4" w:space="0" w:color="auto"/>
              <w:right w:val="single" w:sz="4" w:space="0" w:color="auto"/>
            </w:tcBorders>
            <w:shd w:val="clear" w:color="000000" w:fill="FFFFFF"/>
            <w:noWrap/>
            <w:vAlign w:val="bottom"/>
            <w:hideMark/>
          </w:tcPr>
          <w:p w14:paraId="521D1FF4" w14:textId="77777777" w:rsidR="00B56301" w:rsidRPr="00D85A26" w:rsidRDefault="00B56301" w:rsidP="00B37B65">
            <w:pPr>
              <w:jc w:val="right"/>
              <w:rPr>
                <w:rFonts w:asciiTheme="minorHAnsi" w:hAnsiTheme="minorHAnsi"/>
                <w:sz w:val="16"/>
                <w:szCs w:val="16"/>
              </w:rPr>
            </w:pPr>
            <w:r w:rsidRPr="00D85A26">
              <w:rPr>
                <w:sz w:val="16"/>
                <w:szCs w:val="18"/>
              </w:rPr>
              <w:t>4,76</w:t>
            </w:r>
          </w:p>
        </w:tc>
        <w:tc>
          <w:tcPr>
            <w:tcW w:w="991" w:type="dxa"/>
            <w:tcBorders>
              <w:top w:val="nil"/>
              <w:left w:val="nil"/>
              <w:bottom w:val="single" w:sz="4" w:space="0" w:color="auto"/>
              <w:right w:val="single" w:sz="4" w:space="0" w:color="auto"/>
            </w:tcBorders>
            <w:shd w:val="clear" w:color="000000" w:fill="FFFFFF"/>
            <w:noWrap/>
            <w:vAlign w:val="bottom"/>
            <w:hideMark/>
          </w:tcPr>
          <w:p w14:paraId="425FB798" w14:textId="77777777" w:rsidR="00B56301" w:rsidRPr="00D85A26" w:rsidRDefault="00B56301" w:rsidP="00B37B65">
            <w:pPr>
              <w:jc w:val="right"/>
              <w:rPr>
                <w:rFonts w:asciiTheme="minorHAnsi" w:hAnsiTheme="minorHAnsi"/>
                <w:sz w:val="16"/>
                <w:szCs w:val="16"/>
              </w:rPr>
            </w:pPr>
            <w:r w:rsidRPr="00D85A26">
              <w:rPr>
                <w:sz w:val="16"/>
                <w:szCs w:val="18"/>
              </w:rPr>
              <w:t>4,81</w:t>
            </w:r>
          </w:p>
        </w:tc>
      </w:tr>
      <w:tr w:rsidR="00B56301" w:rsidRPr="00D85A26" w14:paraId="424BC5C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EE68B1" w14:textId="0814D66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5F330260" w14:textId="77777777" w:rsidR="00B56301" w:rsidRPr="00D85A26" w:rsidRDefault="00B56301" w:rsidP="00B37B65">
            <w:pPr>
              <w:jc w:val="right"/>
              <w:rPr>
                <w:rFonts w:asciiTheme="minorHAnsi" w:hAnsiTheme="minorHAnsi"/>
                <w:sz w:val="16"/>
                <w:szCs w:val="16"/>
              </w:rPr>
            </w:pPr>
            <w:r w:rsidRPr="00D85A26">
              <w:rPr>
                <w:sz w:val="16"/>
                <w:szCs w:val="18"/>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42EEFFEE" w14:textId="77777777" w:rsidR="00B56301" w:rsidRPr="00D85A26" w:rsidRDefault="00B56301" w:rsidP="00B37B65">
            <w:pPr>
              <w:jc w:val="right"/>
              <w:rPr>
                <w:rFonts w:asciiTheme="minorHAnsi" w:hAnsiTheme="minorHAnsi"/>
                <w:sz w:val="16"/>
                <w:szCs w:val="16"/>
              </w:rPr>
            </w:pPr>
            <w:r w:rsidRPr="00D85A26">
              <w:rPr>
                <w:sz w:val="16"/>
                <w:szCs w:val="18"/>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5DD2C3E" w14:textId="77777777" w:rsidR="00B56301" w:rsidRPr="00D85A26" w:rsidRDefault="00B56301" w:rsidP="00B37B65">
            <w:pPr>
              <w:jc w:val="right"/>
              <w:rPr>
                <w:rFonts w:asciiTheme="minorHAnsi" w:hAnsiTheme="minorHAnsi"/>
                <w:sz w:val="16"/>
                <w:szCs w:val="16"/>
              </w:rPr>
            </w:pPr>
            <w:r w:rsidRPr="00D85A26">
              <w:rPr>
                <w:sz w:val="16"/>
                <w:szCs w:val="18"/>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70F73E1B"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58168E1D" w14:textId="77777777" w:rsidR="00B56301" w:rsidRPr="00D85A26" w:rsidRDefault="00B56301" w:rsidP="00B37B65">
            <w:pPr>
              <w:jc w:val="right"/>
              <w:rPr>
                <w:rFonts w:asciiTheme="minorHAnsi" w:hAnsiTheme="minorHAnsi"/>
                <w:sz w:val="16"/>
                <w:szCs w:val="16"/>
              </w:rPr>
            </w:pPr>
            <w:r w:rsidRPr="00D85A26">
              <w:rPr>
                <w:sz w:val="16"/>
                <w:szCs w:val="18"/>
              </w:rPr>
              <w:t>0,51</w:t>
            </w:r>
          </w:p>
        </w:tc>
        <w:tc>
          <w:tcPr>
            <w:tcW w:w="991" w:type="dxa"/>
            <w:tcBorders>
              <w:top w:val="nil"/>
              <w:left w:val="nil"/>
              <w:bottom w:val="single" w:sz="4" w:space="0" w:color="auto"/>
              <w:right w:val="single" w:sz="4" w:space="0" w:color="auto"/>
            </w:tcBorders>
            <w:shd w:val="clear" w:color="000000" w:fill="FFFFFF"/>
            <w:noWrap/>
            <w:vAlign w:val="bottom"/>
            <w:hideMark/>
          </w:tcPr>
          <w:p w14:paraId="7456D58F" w14:textId="77777777" w:rsidR="00B56301" w:rsidRPr="00D85A26" w:rsidRDefault="00B56301" w:rsidP="00B37B65">
            <w:pPr>
              <w:jc w:val="right"/>
              <w:rPr>
                <w:rFonts w:asciiTheme="minorHAnsi" w:hAnsiTheme="minorHAnsi"/>
                <w:sz w:val="16"/>
                <w:szCs w:val="16"/>
              </w:rPr>
            </w:pPr>
            <w:r w:rsidRPr="00D85A26">
              <w:rPr>
                <w:sz w:val="16"/>
                <w:szCs w:val="18"/>
              </w:rPr>
              <w:t>0,52</w:t>
            </w:r>
          </w:p>
        </w:tc>
      </w:tr>
      <w:tr w:rsidR="00B56301" w:rsidRPr="00D85A26" w14:paraId="159F9EF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EF8D27" w14:textId="2272AB6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540708E7"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CED69F3"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B065590"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D0D3753"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F1045F6"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E58F443"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7A951BE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A1F712" w14:textId="2427454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0B902DC2" w14:textId="77777777" w:rsidR="00B56301" w:rsidRPr="00D85A26" w:rsidRDefault="00B56301" w:rsidP="00B37B65">
            <w:pPr>
              <w:jc w:val="right"/>
              <w:rPr>
                <w:rFonts w:asciiTheme="minorHAnsi" w:hAnsiTheme="minorHAnsi"/>
                <w:sz w:val="16"/>
                <w:szCs w:val="16"/>
              </w:rPr>
            </w:pPr>
            <w:r w:rsidRPr="00D85A26">
              <w:rPr>
                <w:sz w:val="16"/>
                <w:szCs w:val="18"/>
              </w:rPr>
              <w:t>2,01</w:t>
            </w:r>
          </w:p>
        </w:tc>
        <w:tc>
          <w:tcPr>
            <w:tcW w:w="991" w:type="dxa"/>
            <w:tcBorders>
              <w:top w:val="nil"/>
              <w:left w:val="nil"/>
              <w:bottom w:val="single" w:sz="4" w:space="0" w:color="auto"/>
              <w:right w:val="single" w:sz="4" w:space="0" w:color="auto"/>
            </w:tcBorders>
            <w:shd w:val="clear" w:color="000000" w:fill="FFFFFF"/>
            <w:noWrap/>
            <w:vAlign w:val="bottom"/>
            <w:hideMark/>
          </w:tcPr>
          <w:p w14:paraId="35381224" w14:textId="77777777" w:rsidR="00B56301" w:rsidRPr="00D85A26" w:rsidRDefault="00B56301" w:rsidP="00B37B65">
            <w:pPr>
              <w:jc w:val="right"/>
              <w:rPr>
                <w:rFonts w:asciiTheme="minorHAnsi" w:hAnsiTheme="minorHAnsi"/>
                <w:sz w:val="16"/>
                <w:szCs w:val="16"/>
              </w:rPr>
            </w:pPr>
            <w:r w:rsidRPr="00D85A26">
              <w:rPr>
                <w:sz w:val="16"/>
                <w:szCs w:val="18"/>
              </w:rPr>
              <w:t>2,00</w:t>
            </w:r>
          </w:p>
        </w:tc>
        <w:tc>
          <w:tcPr>
            <w:tcW w:w="991" w:type="dxa"/>
            <w:tcBorders>
              <w:top w:val="nil"/>
              <w:left w:val="nil"/>
              <w:bottom w:val="single" w:sz="4" w:space="0" w:color="auto"/>
              <w:right w:val="single" w:sz="4" w:space="0" w:color="auto"/>
            </w:tcBorders>
            <w:shd w:val="clear" w:color="000000" w:fill="FFFFFF"/>
            <w:noWrap/>
            <w:vAlign w:val="bottom"/>
            <w:hideMark/>
          </w:tcPr>
          <w:p w14:paraId="431CBE6D" w14:textId="77777777" w:rsidR="00B56301" w:rsidRPr="00D85A26" w:rsidRDefault="00B56301" w:rsidP="00B37B65">
            <w:pPr>
              <w:jc w:val="right"/>
              <w:rPr>
                <w:rFonts w:asciiTheme="minorHAnsi" w:hAnsiTheme="minorHAnsi"/>
                <w:sz w:val="16"/>
                <w:szCs w:val="16"/>
              </w:rPr>
            </w:pPr>
            <w:r w:rsidRPr="00D85A26">
              <w:rPr>
                <w:sz w:val="16"/>
                <w:szCs w:val="18"/>
              </w:rPr>
              <w:t>1,98</w:t>
            </w:r>
          </w:p>
        </w:tc>
        <w:tc>
          <w:tcPr>
            <w:tcW w:w="991" w:type="dxa"/>
            <w:tcBorders>
              <w:top w:val="nil"/>
              <w:left w:val="nil"/>
              <w:bottom w:val="single" w:sz="4" w:space="0" w:color="auto"/>
              <w:right w:val="single" w:sz="4" w:space="0" w:color="auto"/>
            </w:tcBorders>
            <w:shd w:val="clear" w:color="000000" w:fill="FFFFFF"/>
            <w:noWrap/>
            <w:vAlign w:val="bottom"/>
            <w:hideMark/>
          </w:tcPr>
          <w:p w14:paraId="40C24326" w14:textId="77777777" w:rsidR="00B56301" w:rsidRPr="00D85A26" w:rsidRDefault="00B56301" w:rsidP="00B37B65">
            <w:pPr>
              <w:jc w:val="right"/>
              <w:rPr>
                <w:rFonts w:asciiTheme="minorHAnsi" w:hAnsiTheme="minorHAnsi"/>
                <w:sz w:val="16"/>
                <w:szCs w:val="16"/>
              </w:rPr>
            </w:pPr>
            <w:r w:rsidRPr="00D85A26">
              <w:rPr>
                <w:sz w:val="16"/>
                <w:szCs w:val="18"/>
              </w:rPr>
              <w:t>1,96</w:t>
            </w:r>
          </w:p>
        </w:tc>
        <w:tc>
          <w:tcPr>
            <w:tcW w:w="991" w:type="dxa"/>
            <w:tcBorders>
              <w:top w:val="nil"/>
              <w:left w:val="nil"/>
              <w:bottom w:val="single" w:sz="4" w:space="0" w:color="auto"/>
              <w:right w:val="single" w:sz="4" w:space="0" w:color="auto"/>
            </w:tcBorders>
            <w:shd w:val="clear" w:color="000000" w:fill="FFFFFF"/>
            <w:noWrap/>
            <w:vAlign w:val="bottom"/>
            <w:hideMark/>
          </w:tcPr>
          <w:p w14:paraId="7796E3B1" w14:textId="77777777" w:rsidR="00B56301" w:rsidRPr="00D85A26" w:rsidRDefault="00B56301" w:rsidP="00B37B65">
            <w:pPr>
              <w:jc w:val="right"/>
              <w:rPr>
                <w:rFonts w:asciiTheme="minorHAnsi" w:hAnsiTheme="minorHAnsi"/>
                <w:sz w:val="16"/>
                <w:szCs w:val="16"/>
              </w:rPr>
            </w:pPr>
            <w:r w:rsidRPr="00D85A26">
              <w:rPr>
                <w:sz w:val="16"/>
                <w:szCs w:val="18"/>
              </w:rPr>
              <w:t>1,97</w:t>
            </w:r>
          </w:p>
        </w:tc>
        <w:tc>
          <w:tcPr>
            <w:tcW w:w="991" w:type="dxa"/>
            <w:tcBorders>
              <w:top w:val="nil"/>
              <w:left w:val="nil"/>
              <w:bottom w:val="single" w:sz="4" w:space="0" w:color="auto"/>
              <w:right w:val="single" w:sz="4" w:space="0" w:color="auto"/>
            </w:tcBorders>
            <w:shd w:val="clear" w:color="000000" w:fill="FFFFFF"/>
            <w:noWrap/>
            <w:vAlign w:val="bottom"/>
            <w:hideMark/>
          </w:tcPr>
          <w:p w14:paraId="72A9E3CD" w14:textId="77777777" w:rsidR="00B56301" w:rsidRPr="00D85A26" w:rsidRDefault="00B56301" w:rsidP="00B37B65">
            <w:pPr>
              <w:jc w:val="right"/>
              <w:rPr>
                <w:rFonts w:asciiTheme="minorHAnsi" w:hAnsiTheme="minorHAnsi"/>
                <w:sz w:val="16"/>
                <w:szCs w:val="16"/>
              </w:rPr>
            </w:pPr>
            <w:r w:rsidRPr="00D85A26">
              <w:rPr>
                <w:sz w:val="16"/>
                <w:szCs w:val="18"/>
              </w:rPr>
              <w:t>2,04</w:t>
            </w:r>
          </w:p>
        </w:tc>
      </w:tr>
      <w:tr w:rsidR="00B56301" w:rsidRPr="00D85A26" w14:paraId="1FD5D9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BF3BD" w14:textId="119A402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F.</w:t>
            </w:r>
            <w:r w:rsidR="00260E0B">
              <w:rPr>
                <w:rFonts w:asciiTheme="minorHAnsi" w:hAnsiTheme="minorHAnsi"/>
                <w:sz w:val="16"/>
                <w:szCs w:val="16"/>
              </w:rPr>
              <w:t xml:space="preserve"> </w:t>
            </w:r>
            <w:r w:rsidRPr="00D85A26">
              <w:rPr>
                <w:rFonts w:asciiTheme="minorHAnsi" w:hAnsiTheme="minorHAnsi"/>
                <w:sz w:val="16"/>
                <w:szCs w:val="16"/>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3A26183"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783E636"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A2376C3"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D900C2E"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A30056C"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F4CC95D"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472C72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028F2C" w14:textId="659B5C2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7F3B78C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79461E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7D847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4F61A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624C1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A0EDC77"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140D1A4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2739B2" w14:textId="7BB11E5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Other</w:t>
            </w:r>
            <w:r w:rsidR="00260E0B">
              <w:rPr>
                <w:rFonts w:asciiTheme="minorHAnsi" w:hAnsiTheme="minorHAnsi"/>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EDD2998"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35919472"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CF8A65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A132C87"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CA022B7"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1660A0FF" w14:textId="77777777" w:rsidR="00B56301" w:rsidRPr="00D85A26" w:rsidRDefault="00B56301" w:rsidP="00B37B65">
            <w:pPr>
              <w:jc w:val="right"/>
              <w:rPr>
                <w:rFonts w:asciiTheme="minorHAnsi" w:hAnsiTheme="minorHAnsi"/>
                <w:sz w:val="16"/>
                <w:szCs w:val="16"/>
              </w:rPr>
            </w:pPr>
            <w:r w:rsidRPr="00D85A26">
              <w:rPr>
                <w:sz w:val="16"/>
                <w:szCs w:val="18"/>
              </w:rPr>
              <w:t>NA</w:t>
            </w:r>
          </w:p>
        </w:tc>
      </w:tr>
      <w:tr w:rsidR="00B56301" w:rsidRPr="00D85A26" w14:paraId="203D7CF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B6B046" w14:textId="54E5C40C"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5.</w:t>
            </w:r>
            <w:r w:rsidR="00260E0B">
              <w:rPr>
                <w:rFonts w:asciiTheme="minorHAnsi" w:hAnsiTheme="minorHAnsi"/>
                <w:b/>
                <w:bCs/>
                <w:sz w:val="16"/>
                <w:szCs w:val="16"/>
              </w:rPr>
              <w:t xml:space="preserve"> </w:t>
            </w:r>
            <w:r w:rsidRPr="00D85A26">
              <w:rPr>
                <w:rFonts w:asciiTheme="minorHAnsi" w:hAnsiTheme="minorHAnsi"/>
                <w:b/>
                <w:bCs/>
                <w:sz w:val="16"/>
                <w:szCs w:val="16"/>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5C953F06" w14:textId="77777777" w:rsidR="00B56301" w:rsidRPr="00D85A26" w:rsidRDefault="00B56301" w:rsidP="00B37B65">
            <w:pPr>
              <w:jc w:val="right"/>
              <w:rPr>
                <w:rFonts w:asciiTheme="minorHAnsi" w:hAnsiTheme="minorHAnsi"/>
                <w:sz w:val="16"/>
                <w:szCs w:val="16"/>
              </w:rPr>
            </w:pPr>
            <w:r w:rsidRPr="00D85A26">
              <w:rPr>
                <w:sz w:val="16"/>
                <w:szCs w:val="18"/>
              </w:rPr>
              <w:t>2,46</w:t>
            </w:r>
          </w:p>
        </w:tc>
        <w:tc>
          <w:tcPr>
            <w:tcW w:w="991" w:type="dxa"/>
            <w:tcBorders>
              <w:top w:val="nil"/>
              <w:left w:val="nil"/>
              <w:bottom w:val="single" w:sz="4" w:space="0" w:color="auto"/>
              <w:right w:val="single" w:sz="4" w:space="0" w:color="auto"/>
            </w:tcBorders>
            <w:shd w:val="clear" w:color="000000" w:fill="CCFFFF"/>
            <w:noWrap/>
            <w:vAlign w:val="bottom"/>
            <w:hideMark/>
          </w:tcPr>
          <w:p w14:paraId="649FC1F6" w14:textId="77777777" w:rsidR="00B56301" w:rsidRPr="00D85A26" w:rsidRDefault="00B56301" w:rsidP="00B37B65">
            <w:pPr>
              <w:jc w:val="right"/>
              <w:rPr>
                <w:rFonts w:asciiTheme="minorHAnsi" w:hAnsiTheme="minorHAnsi"/>
                <w:sz w:val="16"/>
                <w:szCs w:val="16"/>
              </w:rPr>
            </w:pPr>
            <w:r w:rsidRPr="00D85A26">
              <w:rPr>
                <w:sz w:val="16"/>
                <w:szCs w:val="18"/>
              </w:rPr>
              <w:t>2,40</w:t>
            </w:r>
          </w:p>
        </w:tc>
        <w:tc>
          <w:tcPr>
            <w:tcW w:w="991" w:type="dxa"/>
            <w:tcBorders>
              <w:top w:val="nil"/>
              <w:left w:val="nil"/>
              <w:bottom w:val="single" w:sz="4" w:space="0" w:color="auto"/>
              <w:right w:val="single" w:sz="4" w:space="0" w:color="auto"/>
            </w:tcBorders>
            <w:shd w:val="clear" w:color="000000" w:fill="CCFFFF"/>
            <w:noWrap/>
            <w:vAlign w:val="bottom"/>
            <w:hideMark/>
          </w:tcPr>
          <w:p w14:paraId="5FE0F313" w14:textId="77777777" w:rsidR="00B56301" w:rsidRPr="00D85A26" w:rsidRDefault="00B56301" w:rsidP="00B37B65">
            <w:pPr>
              <w:jc w:val="right"/>
              <w:rPr>
                <w:rFonts w:asciiTheme="minorHAnsi" w:hAnsiTheme="minorHAnsi"/>
                <w:sz w:val="16"/>
                <w:szCs w:val="16"/>
              </w:rPr>
            </w:pPr>
            <w:r w:rsidRPr="00D85A26">
              <w:rPr>
                <w:sz w:val="16"/>
                <w:szCs w:val="18"/>
              </w:rPr>
              <w:t>2,36</w:t>
            </w:r>
          </w:p>
        </w:tc>
        <w:tc>
          <w:tcPr>
            <w:tcW w:w="991" w:type="dxa"/>
            <w:tcBorders>
              <w:top w:val="nil"/>
              <w:left w:val="nil"/>
              <w:bottom w:val="single" w:sz="4" w:space="0" w:color="auto"/>
              <w:right w:val="single" w:sz="4" w:space="0" w:color="auto"/>
            </w:tcBorders>
            <w:shd w:val="clear" w:color="000000" w:fill="CCFFFF"/>
            <w:noWrap/>
            <w:vAlign w:val="bottom"/>
            <w:hideMark/>
          </w:tcPr>
          <w:p w14:paraId="53DA11A5" w14:textId="77777777" w:rsidR="00B56301" w:rsidRPr="00D85A26" w:rsidRDefault="00B56301" w:rsidP="00B37B65">
            <w:pPr>
              <w:jc w:val="right"/>
              <w:rPr>
                <w:rFonts w:asciiTheme="minorHAnsi" w:hAnsiTheme="minorHAnsi"/>
                <w:sz w:val="16"/>
                <w:szCs w:val="16"/>
              </w:rPr>
            </w:pPr>
            <w:r w:rsidRPr="00D85A26">
              <w:rPr>
                <w:sz w:val="16"/>
                <w:szCs w:val="18"/>
              </w:rPr>
              <w:t>2,32</w:t>
            </w:r>
          </w:p>
        </w:tc>
        <w:tc>
          <w:tcPr>
            <w:tcW w:w="991" w:type="dxa"/>
            <w:tcBorders>
              <w:top w:val="nil"/>
              <w:left w:val="nil"/>
              <w:bottom w:val="single" w:sz="4" w:space="0" w:color="auto"/>
              <w:right w:val="single" w:sz="4" w:space="0" w:color="auto"/>
            </w:tcBorders>
            <w:shd w:val="clear" w:color="000000" w:fill="CCFFFF"/>
            <w:noWrap/>
            <w:vAlign w:val="bottom"/>
            <w:hideMark/>
          </w:tcPr>
          <w:p w14:paraId="6FE3B670" w14:textId="77777777" w:rsidR="00B56301" w:rsidRPr="00D85A26" w:rsidRDefault="00B56301" w:rsidP="00B37B65">
            <w:pPr>
              <w:jc w:val="right"/>
              <w:rPr>
                <w:rFonts w:asciiTheme="minorHAnsi" w:hAnsiTheme="minorHAnsi"/>
                <w:sz w:val="16"/>
                <w:szCs w:val="16"/>
              </w:rPr>
            </w:pPr>
            <w:r w:rsidRPr="00D85A26">
              <w:rPr>
                <w:sz w:val="16"/>
                <w:szCs w:val="18"/>
              </w:rPr>
              <w:t>2,29</w:t>
            </w:r>
          </w:p>
        </w:tc>
        <w:tc>
          <w:tcPr>
            <w:tcW w:w="991" w:type="dxa"/>
            <w:tcBorders>
              <w:top w:val="nil"/>
              <w:left w:val="nil"/>
              <w:bottom w:val="single" w:sz="4" w:space="0" w:color="auto"/>
              <w:right w:val="single" w:sz="4" w:space="0" w:color="auto"/>
            </w:tcBorders>
            <w:shd w:val="clear" w:color="000000" w:fill="CCFFFF"/>
            <w:noWrap/>
            <w:vAlign w:val="bottom"/>
            <w:hideMark/>
          </w:tcPr>
          <w:p w14:paraId="0DDADC2E" w14:textId="77777777" w:rsidR="00B56301" w:rsidRPr="00D85A26" w:rsidRDefault="00B56301" w:rsidP="00B37B65">
            <w:pPr>
              <w:jc w:val="right"/>
              <w:rPr>
                <w:rFonts w:asciiTheme="minorHAnsi" w:hAnsiTheme="minorHAnsi"/>
                <w:sz w:val="16"/>
                <w:szCs w:val="16"/>
              </w:rPr>
            </w:pPr>
            <w:r w:rsidRPr="00D85A26">
              <w:rPr>
                <w:sz w:val="16"/>
                <w:szCs w:val="18"/>
              </w:rPr>
              <w:t>2,30</w:t>
            </w:r>
          </w:p>
        </w:tc>
      </w:tr>
      <w:tr w:rsidR="00B56301" w:rsidRPr="00D85A26" w14:paraId="06837CE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F10386" w14:textId="0D9EF57A"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Solid waste disposal</w:t>
            </w:r>
            <w:r w:rsidRPr="00D85A26">
              <w:rPr>
                <w:rFonts w:asciiTheme="minorHAnsi" w:hAnsiTheme="minorHAnsi"/>
                <w:b/>
                <w:bCs/>
                <w:sz w:val="16"/>
                <w:szCs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621110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983D2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6EA65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EFE85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B0325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386D419"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231CCEF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D5C72A0" w14:textId="263BF920"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B.</w:t>
            </w:r>
            <w:r w:rsidR="00260E0B">
              <w:rPr>
                <w:rFonts w:asciiTheme="minorHAnsi" w:hAnsiTheme="minorHAnsi"/>
                <w:sz w:val="16"/>
                <w:szCs w:val="16"/>
                <w:lang w:val="en-GB"/>
              </w:rPr>
              <w:t xml:space="preserve"> </w:t>
            </w:r>
            <w:r w:rsidRPr="00D85A26">
              <w:rPr>
                <w:rFonts w:asciiTheme="minorHAnsi" w:hAnsiTheme="minorHAnsi"/>
                <w:sz w:val="16"/>
                <w:szCs w:val="16"/>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EA65EDB" w14:textId="77777777" w:rsidR="00B56301" w:rsidRPr="00D85A26" w:rsidRDefault="00B56301" w:rsidP="00B37B65">
            <w:pPr>
              <w:jc w:val="right"/>
              <w:rPr>
                <w:rFonts w:asciiTheme="minorHAnsi" w:hAnsiTheme="minorHAnsi"/>
                <w:sz w:val="16"/>
                <w:szCs w:val="16"/>
              </w:rPr>
            </w:pPr>
            <w:r w:rsidRPr="00D85A26">
              <w:rPr>
                <w:sz w:val="16"/>
                <w:szCs w:val="18"/>
              </w:rPr>
              <w:t>0,31</w:t>
            </w:r>
          </w:p>
        </w:tc>
        <w:tc>
          <w:tcPr>
            <w:tcW w:w="991" w:type="dxa"/>
            <w:tcBorders>
              <w:top w:val="nil"/>
              <w:left w:val="nil"/>
              <w:bottom w:val="single" w:sz="4" w:space="0" w:color="auto"/>
              <w:right w:val="single" w:sz="4" w:space="0" w:color="auto"/>
            </w:tcBorders>
            <w:shd w:val="clear" w:color="000000" w:fill="FFFFFF"/>
            <w:noWrap/>
            <w:vAlign w:val="bottom"/>
            <w:hideMark/>
          </w:tcPr>
          <w:p w14:paraId="2F91E5C8" w14:textId="77777777" w:rsidR="00B56301" w:rsidRPr="00D85A26" w:rsidRDefault="00B56301" w:rsidP="00B37B65">
            <w:pPr>
              <w:jc w:val="right"/>
              <w:rPr>
                <w:rFonts w:asciiTheme="minorHAnsi" w:hAnsiTheme="minorHAnsi"/>
                <w:sz w:val="16"/>
                <w:szCs w:val="16"/>
              </w:rPr>
            </w:pPr>
            <w:r w:rsidRPr="00D85A26">
              <w:rPr>
                <w:sz w:val="16"/>
                <w:szCs w:val="18"/>
              </w:rPr>
              <w:t>0,33</w:t>
            </w:r>
          </w:p>
        </w:tc>
        <w:tc>
          <w:tcPr>
            <w:tcW w:w="991" w:type="dxa"/>
            <w:tcBorders>
              <w:top w:val="nil"/>
              <w:left w:val="nil"/>
              <w:bottom w:val="single" w:sz="4" w:space="0" w:color="auto"/>
              <w:right w:val="single" w:sz="4" w:space="0" w:color="auto"/>
            </w:tcBorders>
            <w:shd w:val="clear" w:color="000000" w:fill="FFFFFF"/>
            <w:noWrap/>
            <w:vAlign w:val="bottom"/>
            <w:hideMark/>
          </w:tcPr>
          <w:p w14:paraId="0B28E48E" w14:textId="77777777" w:rsidR="00B56301" w:rsidRPr="00D85A26" w:rsidRDefault="00B56301" w:rsidP="00B37B65">
            <w:pPr>
              <w:jc w:val="right"/>
              <w:rPr>
                <w:rFonts w:asciiTheme="minorHAnsi" w:hAnsiTheme="minorHAnsi"/>
                <w:sz w:val="16"/>
                <w:szCs w:val="16"/>
              </w:rPr>
            </w:pPr>
            <w:r w:rsidRPr="00D85A26">
              <w:rPr>
                <w:sz w:val="16"/>
                <w:szCs w:val="18"/>
              </w:rPr>
              <w:t>0,35</w:t>
            </w:r>
          </w:p>
        </w:tc>
        <w:tc>
          <w:tcPr>
            <w:tcW w:w="991" w:type="dxa"/>
            <w:tcBorders>
              <w:top w:val="nil"/>
              <w:left w:val="nil"/>
              <w:bottom w:val="single" w:sz="4" w:space="0" w:color="auto"/>
              <w:right w:val="single" w:sz="4" w:space="0" w:color="auto"/>
            </w:tcBorders>
            <w:shd w:val="clear" w:color="000000" w:fill="FFFFFF"/>
            <w:noWrap/>
            <w:vAlign w:val="bottom"/>
            <w:hideMark/>
          </w:tcPr>
          <w:p w14:paraId="3AD4C639" w14:textId="77777777" w:rsidR="00B56301" w:rsidRPr="00D85A26" w:rsidRDefault="00B56301" w:rsidP="00B37B65">
            <w:pPr>
              <w:jc w:val="right"/>
              <w:rPr>
                <w:rFonts w:asciiTheme="minorHAnsi" w:hAnsiTheme="minorHAnsi"/>
                <w:sz w:val="16"/>
                <w:szCs w:val="16"/>
              </w:rPr>
            </w:pPr>
            <w:r w:rsidRPr="00D85A26">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FC539C0" w14:textId="77777777" w:rsidR="00B56301" w:rsidRPr="00D85A26" w:rsidRDefault="00B56301" w:rsidP="00B37B65">
            <w:pPr>
              <w:jc w:val="right"/>
              <w:rPr>
                <w:rFonts w:asciiTheme="minorHAnsi" w:hAnsiTheme="minorHAnsi"/>
                <w:sz w:val="16"/>
                <w:szCs w:val="16"/>
              </w:rPr>
            </w:pPr>
            <w:r w:rsidRPr="00D85A26">
              <w:rPr>
                <w:sz w:val="16"/>
                <w:szCs w:val="18"/>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1C452157" w14:textId="77777777" w:rsidR="00B56301" w:rsidRPr="00D85A26" w:rsidRDefault="00B56301" w:rsidP="00B37B65">
            <w:pPr>
              <w:jc w:val="right"/>
              <w:rPr>
                <w:rFonts w:asciiTheme="minorHAnsi" w:hAnsiTheme="minorHAnsi"/>
                <w:sz w:val="16"/>
                <w:szCs w:val="16"/>
              </w:rPr>
            </w:pPr>
            <w:r w:rsidRPr="00D85A26">
              <w:rPr>
                <w:sz w:val="16"/>
                <w:szCs w:val="18"/>
              </w:rPr>
              <w:t>0,39</w:t>
            </w:r>
          </w:p>
        </w:tc>
      </w:tr>
      <w:tr w:rsidR="00B56301" w:rsidRPr="00D85A26" w14:paraId="09A8F54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3D8539" w14:textId="65D1161E"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C.</w:t>
            </w:r>
            <w:r w:rsidR="00260E0B">
              <w:rPr>
                <w:rFonts w:asciiTheme="minorHAnsi" w:hAnsiTheme="minorHAnsi"/>
                <w:sz w:val="16"/>
                <w:szCs w:val="16"/>
                <w:lang w:val="en-GB"/>
              </w:rPr>
              <w:t xml:space="preserve"> </w:t>
            </w:r>
            <w:r w:rsidRPr="00D85A26">
              <w:rPr>
                <w:rFonts w:asciiTheme="minorHAnsi" w:hAnsiTheme="minorHAnsi"/>
                <w:sz w:val="16"/>
                <w:szCs w:val="16"/>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0A2C8FDC" w14:textId="77777777" w:rsidR="00B56301" w:rsidRPr="00D85A26" w:rsidRDefault="00B56301" w:rsidP="00B37B65">
            <w:pPr>
              <w:jc w:val="right"/>
              <w:rPr>
                <w:rFonts w:asciiTheme="minorHAnsi" w:hAnsiTheme="minorHAnsi"/>
                <w:sz w:val="16"/>
                <w:szCs w:val="16"/>
              </w:rPr>
            </w:pPr>
            <w:r w:rsidRPr="00D85A26">
              <w:rPr>
                <w:sz w:val="16"/>
                <w:szCs w:val="18"/>
              </w:rPr>
              <w:t>0,37</w:t>
            </w:r>
          </w:p>
        </w:tc>
        <w:tc>
          <w:tcPr>
            <w:tcW w:w="991" w:type="dxa"/>
            <w:tcBorders>
              <w:top w:val="nil"/>
              <w:left w:val="nil"/>
              <w:bottom w:val="single" w:sz="4" w:space="0" w:color="auto"/>
              <w:right w:val="single" w:sz="4" w:space="0" w:color="auto"/>
            </w:tcBorders>
            <w:shd w:val="clear" w:color="000000" w:fill="FFFFFF"/>
            <w:noWrap/>
            <w:vAlign w:val="bottom"/>
            <w:hideMark/>
          </w:tcPr>
          <w:p w14:paraId="6A97AE94" w14:textId="77777777" w:rsidR="00B56301" w:rsidRPr="00D85A26" w:rsidRDefault="00B56301" w:rsidP="00B37B65">
            <w:pPr>
              <w:jc w:val="right"/>
              <w:rPr>
                <w:rFonts w:asciiTheme="minorHAnsi" w:hAnsiTheme="minorHAnsi"/>
                <w:sz w:val="16"/>
                <w:szCs w:val="16"/>
              </w:rPr>
            </w:pPr>
            <w:r w:rsidRPr="00D85A26">
              <w:rPr>
                <w:sz w:val="16"/>
                <w:szCs w:val="18"/>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581164CA" w14:textId="77777777" w:rsidR="00B56301" w:rsidRPr="00D85A26" w:rsidRDefault="00B56301" w:rsidP="00B37B65">
            <w:pPr>
              <w:jc w:val="right"/>
              <w:rPr>
                <w:rFonts w:asciiTheme="minorHAnsi" w:hAnsiTheme="minorHAnsi"/>
                <w:sz w:val="16"/>
                <w:szCs w:val="16"/>
              </w:rPr>
            </w:pPr>
            <w:r w:rsidRPr="00D85A26">
              <w:rPr>
                <w:sz w:val="16"/>
                <w:szCs w:val="18"/>
              </w:rPr>
              <w:t>0,35</w:t>
            </w:r>
          </w:p>
        </w:tc>
        <w:tc>
          <w:tcPr>
            <w:tcW w:w="991" w:type="dxa"/>
            <w:tcBorders>
              <w:top w:val="nil"/>
              <w:left w:val="nil"/>
              <w:bottom w:val="single" w:sz="4" w:space="0" w:color="auto"/>
              <w:right w:val="single" w:sz="4" w:space="0" w:color="auto"/>
            </w:tcBorders>
            <w:shd w:val="clear" w:color="000000" w:fill="FFFFFF"/>
            <w:noWrap/>
            <w:vAlign w:val="bottom"/>
            <w:hideMark/>
          </w:tcPr>
          <w:p w14:paraId="2E549158" w14:textId="77777777" w:rsidR="00B56301" w:rsidRPr="00D85A26" w:rsidRDefault="00B56301" w:rsidP="00B37B65">
            <w:pPr>
              <w:jc w:val="right"/>
              <w:rPr>
                <w:rFonts w:asciiTheme="minorHAnsi" w:hAnsiTheme="minorHAnsi"/>
                <w:sz w:val="16"/>
                <w:szCs w:val="16"/>
              </w:rPr>
            </w:pPr>
            <w:r w:rsidRPr="00D85A26">
              <w:rPr>
                <w:sz w:val="16"/>
                <w:szCs w:val="18"/>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7D58AF63" w14:textId="77777777" w:rsidR="00B56301" w:rsidRPr="00D85A26" w:rsidRDefault="00B56301" w:rsidP="00B37B65">
            <w:pPr>
              <w:jc w:val="right"/>
              <w:rPr>
                <w:rFonts w:asciiTheme="minorHAnsi" w:hAnsiTheme="minorHAnsi"/>
                <w:sz w:val="16"/>
                <w:szCs w:val="16"/>
              </w:rPr>
            </w:pPr>
            <w:r w:rsidRPr="00D85A26">
              <w:rPr>
                <w:sz w:val="16"/>
                <w:szCs w:val="18"/>
              </w:rPr>
              <w:t>0,34</w:t>
            </w:r>
          </w:p>
        </w:tc>
        <w:tc>
          <w:tcPr>
            <w:tcW w:w="991" w:type="dxa"/>
            <w:tcBorders>
              <w:top w:val="nil"/>
              <w:left w:val="nil"/>
              <w:bottom w:val="single" w:sz="4" w:space="0" w:color="auto"/>
              <w:right w:val="single" w:sz="4" w:space="0" w:color="auto"/>
            </w:tcBorders>
            <w:shd w:val="clear" w:color="000000" w:fill="FFFFFF"/>
            <w:noWrap/>
            <w:vAlign w:val="bottom"/>
            <w:hideMark/>
          </w:tcPr>
          <w:p w14:paraId="4E4D61AC" w14:textId="77777777" w:rsidR="00B56301" w:rsidRPr="00D85A26" w:rsidRDefault="00B56301" w:rsidP="00B37B65">
            <w:pPr>
              <w:jc w:val="right"/>
              <w:rPr>
                <w:rFonts w:asciiTheme="minorHAnsi" w:hAnsiTheme="minorHAnsi"/>
                <w:sz w:val="16"/>
                <w:szCs w:val="16"/>
              </w:rPr>
            </w:pPr>
            <w:r w:rsidRPr="00D85A26">
              <w:rPr>
                <w:sz w:val="16"/>
                <w:szCs w:val="18"/>
              </w:rPr>
              <w:t>0,32</w:t>
            </w:r>
          </w:p>
        </w:tc>
      </w:tr>
      <w:tr w:rsidR="00B56301" w:rsidRPr="00D85A26" w14:paraId="6EF63CE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D76171" w14:textId="214A6068"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2EC1F70E" w14:textId="77777777" w:rsidR="00B56301" w:rsidRPr="0034391E" w:rsidRDefault="00B56301" w:rsidP="00B37B65">
            <w:pPr>
              <w:jc w:val="right"/>
              <w:rPr>
                <w:rFonts w:asciiTheme="minorHAnsi" w:hAnsiTheme="minorHAnsi"/>
                <w:sz w:val="16"/>
                <w:szCs w:val="16"/>
              </w:rPr>
            </w:pPr>
            <w:r w:rsidRPr="0034391E">
              <w:rPr>
                <w:sz w:val="16"/>
                <w:szCs w:val="16"/>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622FA71B" w14:textId="77777777" w:rsidR="00B56301" w:rsidRPr="0034391E" w:rsidRDefault="00B56301" w:rsidP="00B37B65">
            <w:pPr>
              <w:jc w:val="right"/>
              <w:rPr>
                <w:rFonts w:asciiTheme="minorHAnsi" w:hAnsiTheme="minorHAnsi"/>
                <w:sz w:val="16"/>
                <w:szCs w:val="16"/>
              </w:rPr>
            </w:pPr>
            <w:r w:rsidRPr="0034391E">
              <w:rPr>
                <w:sz w:val="16"/>
                <w:szCs w:val="16"/>
              </w:rPr>
              <w:t>1,73</w:t>
            </w:r>
          </w:p>
        </w:tc>
        <w:tc>
          <w:tcPr>
            <w:tcW w:w="991" w:type="dxa"/>
            <w:tcBorders>
              <w:top w:val="nil"/>
              <w:left w:val="nil"/>
              <w:bottom w:val="single" w:sz="4" w:space="0" w:color="auto"/>
              <w:right w:val="single" w:sz="4" w:space="0" w:color="auto"/>
            </w:tcBorders>
            <w:shd w:val="clear" w:color="000000" w:fill="FFFFFF"/>
            <w:noWrap/>
            <w:vAlign w:val="bottom"/>
            <w:hideMark/>
          </w:tcPr>
          <w:p w14:paraId="592A9A89" w14:textId="77777777" w:rsidR="00B56301" w:rsidRPr="0034391E" w:rsidRDefault="00B56301" w:rsidP="00B37B65">
            <w:pPr>
              <w:jc w:val="right"/>
              <w:rPr>
                <w:rFonts w:asciiTheme="minorHAnsi" w:hAnsiTheme="minorHAnsi"/>
                <w:sz w:val="16"/>
                <w:szCs w:val="16"/>
              </w:rPr>
            </w:pPr>
            <w:r w:rsidRPr="0034391E">
              <w:rPr>
                <w:sz w:val="16"/>
                <w:szCs w:val="16"/>
              </w:rPr>
              <w:t>1,67</w:t>
            </w:r>
          </w:p>
        </w:tc>
        <w:tc>
          <w:tcPr>
            <w:tcW w:w="991" w:type="dxa"/>
            <w:tcBorders>
              <w:top w:val="nil"/>
              <w:left w:val="nil"/>
              <w:bottom w:val="single" w:sz="4" w:space="0" w:color="auto"/>
              <w:right w:val="single" w:sz="4" w:space="0" w:color="auto"/>
            </w:tcBorders>
            <w:shd w:val="clear" w:color="000000" w:fill="FFFFFF"/>
            <w:noWrap/>
            <w:vAlign w:val="bottom"/>
            <w:hideMark/>
          </w:tcPr>
          <w:p w14:paraId="527770E8" w14:textId="77777777" w:rsidR="00B56301" w:rsidRPr="0034391E" w:rsidRDefault="00B56301" w:rsidP="00B37B65">
            <w:pPr>
              <w:jc w:val="right"/>
              <w:rPr>
                <w:rFonts w:asciiTheme="minorHAnsi" w:hAnsiTheme="minorHAnsi"/>
                <w:sz w:val="16"/>
                <w:szCs w:val="16"/>
              </w:rPr>
            </w:pPr>
            <w:r w:rsidRPr="0034391E">
              <w:rPr>
                <w:sz w:val="16"/>
                <w:szCs w:val="16"/>
              </w:rPr>
              <w:t>1,62</w:t>
            </w:r>
          </w:p>
        </w:tc>
        <w:tc>
          <w:tcPr>
            <w:tcW w:w="991" w:type="dxa"/>
            <w:tcBorders>
              <w:top w:val="nil"/>
              <w:left w:val="nil"/>
              <w:bottom w:val="single" w:sz="4" w:space="0" w:color="auto"/>
              <w:right w:val="single" w:sz="4" w:space="0" w:color="auto"/>
            </w:tcBorders>
            <w:shd w:val="clear" w:color="000000" w:fill="FFFFFF"/>
            <w:noWrap/>
            <w:vAlign w:val="bottom"/>
            <w:hideMark/>
          </w:tcPr>
          <w:p w14:paraId="4B3346C7" w14:textId="77777777" w:rsidR="00B56301" w:rsidRPr="0034391E" w:rsidRDefault="00B56301" w:rsidP="00B37B65">
            <w:pPr>
              <w:jc w:val="right"/>
              <w:rPr>
                <w:rFonts w:asciiTheme="minorHAnsi" w:hAnsiTheme="minorHAnsi"/>
                <w:sz w:val="16"/>
                <w:szCs w:val="16"/>
              </w:rPr>
            </w:pPr>
            <w:r w:rsidRPr="0034391E">
              <w:rPr>
                <w:sz w:val="16"/>
                <w:szCs w:val="16"/>
              </w:rPr>
              <w:t>1,58</w:t>
            </w:r>
          </w:p>
        </w:tc>
        <w:tc>
          <w:tcPr>
            <w:tcW w:w="991" w:type="dxa"/>
            <w:tcBorders>
              <w:top w:val="nil"/>
              <w:left w:val="nil"/>
              <w:bottom w:val="single" w:sz="4" w:space="0" w:color="auto"/>
              <w:right w:val="single" w:sz="4" w:space="0" w:color="auto"/>
            </w:tcBorders>
            <w:shd w:val="clear" w:color="000000" w:fill="FFFFFF"/>
            <w:noWrap/>
            <w:vAlign w:val="bottom"/>
            <w:hideMark/>
          </w:tcPr>
          <w:p w14:paraId="092F199C" w14:textId="77777777" w:rsidR="00B56301" w:rsidRPr="0034391E" w:rsidRDefault="00B56301" w:rsidP="00B37B65">
            <w:pPr>
              <w:jc w:val="right"/>
              <w:rPr>
                <w:rFonts w:asciiTheme="minorHAnsi" w:hAnsiTheme="minorHAnsi"/>
                <w:sz w:val="16"/>
                <w:szCs w:val="16"/>
              </w:rPr>
            </w:pPr>
            <w:r w:rsidRPr="0034391E">
              <w:rPr>
                <w:sz w:val="16"/>
                <w:szCs w:val="16"/>
              </w:rPr>
              <w:t>1,59</w:t>
            </w:r>
          </w:p>
        </w:tc>
      </w:tr>
      <w:tr w:rsidR="00B56301" w:rsidRPr="00D85A26" w14:paraId="302573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78C4655" w14:textId="3D6131A6"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5B731CFE"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A2C2EB0"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C07FDC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99FFEC9"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9FE14AD"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36BF868"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4C4928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BFF3BE" w14:textId="54BA8C2A"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09F67F91"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088925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226354C6"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7B7EDBF"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46288C9B"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CA6F672"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72793F2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2DA7E787" w14:textId="460608B0"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without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1D69ED61" w14:textId="77777777" w:rsidR="00B56301" w:rsidRPr="0034391E" w:rsidRDefault="00B56301" w:rsidP="00B37B65">
            <w:pPr>
              <w:jc w:val="right"/>
              <w:rPr>
                <w:rFonts w:asciiTheme="minorHAnsi" w:hAnsiTheme="minorHAnsi"/>
                <w:sz w:val="16"/>
                <w:szCs w:val="16"/>
              </w:rPr>
            </w:pPr>
            <w:r w:rsidRPr="0034391E">
              <w:rPr>
                <w:sz w:val="16"/>
                <w:szCs w:val="16"/>
              </w:rPr>
              <w:t>179,10</w:t>
            </w:r>
          </w:p>
        </w:tc>
        <w:tc>
          <w:tcPr>
            <w:tcW w:w="991" w:type="dxa"/>
            <w:tcBorders>
              <w:top w:val="nil"/>
              <w:left w:val="nil"/>
              <w:bottom w:val="single" w:sz="4" w:space="0" w:color="auto"/>
              <w:right w:val="single" w:sz="4" w:space="0" w:color="auto"/>
            </w:tcBorders>
            <w:shd w:val="clear" w:color="000000" w:fill="CCFFFF"/>
            <w:noWrap/>
            <w:vAlign w:val="bottom"/>
            <w:hideMark/>
          </w:tcPr>
          <w:p w14:paraId="03C452B9" w14:textId="77777777" w:rsidR="00B56301" w:rsidRPr="0034391E" w:rsidRDefault="00B56301" w:rsidP="00B37B65">
            <w:pPr>
              <w:jc w:val="right"/>
              <w:rPr>
                <w:rFonts w:asciiTheme="minorHAnsi" w:hAnsiTheme="minorHAnsi"/>
                <w:sz w:val="16"/>
                <w:szCs w:val="16"/>
              </w:rPr>
            </w:pPr>
            <w:r w:rsidRPr="0034391E">
              <w:rPr>
                <w:sz w:val="16"/>
                <w:szCs w:val="16"/>
              </w:rPr>
              <w:t>169,93</w:t>
            </w:r>
          </w:p>
        </w:tc>
        <w:tc>
          <w:tcPr>
            <w:tcW w:w="991" w:type="dxa"/>
            <w:tcBorders>
              <w:top w:val="nil"/>
              <w:left w:val="nil"/>
              <w:bottom w:val="single" w:sz="4" w:space="0" w:color="auto"/>
              <w:right w:val="single" w:sz="4" w:space="0" w:color="auto"/>
            </w:tcBorders>
            <w:shd w:val="clear" w:color="000000" w:fill="CCFFFF"/>
            <w:noWrap/>
            <w:vAlign w:val="bottom"/>
            <w:hideMark/>
          </w:tcPr>
          <w:p w14:paraId="1DA62454" w14:textId="77777777" w:rsidR="00B56301" w:rsidRPr="0034391E" w:rsidRDefault="00B56301" w:rsidP="00B37B65">
            <w:pPr>
              <w:jc w:val="right"/>
              <w:rPr>
                <w:rFonts w:asciiTheme="minorHAnsi" w:hAnsiTheme="minorHAnsi"/>
                <w:sz w:val="16"/>
                <w:szCs w:val="16"/>
              </w:rPr>
            </w:pPr>
            <w:r w:rsidRPr="0034391E">
              <w:rPr>
                <w:sz w:val="16"/>
                <w:szCs w:val="16"/>
              </w:rPr>
              <w:t>163,96</w:t>
            </w:r>
          </w:p>
        </w:tc>
        <w:tc>
          <w:tcPr>
            <w:tcW w:w="991" w:type="dxa"/>
            <w:tcBorders>
              <w:top w:val="nil"/>
              <w:left w:val="nil"/>
              <w:bottom w:val="single" w:sz="4" w:space="0" w:color="auto"/>
              <w:right w:val="single" w:sz="4" w:space="0" w:color="auto"/>
            </w:tcBorders>
            <w:shd w:val="clear" w:color="000000" w:fill="CCFFFF"/>
            <w:noWrap/>
            <w:vAlign w:val="bottom"/>
            <w:hideMark/>
          </w:tcPr>
          <w:p w14:paraId="09CC68EF" w14:textId="77777777" w:rsidR="00B56301" w:rsidRPr="0034391E" w:rsidRDefault="00B56301" w:rsidP="00B37B65">
            <w:pPr>
              <w:jc w:val="right"/>
              <w:rPr>
                <w:rFonts w:asciiTheme="minorHAnsi" w:hAnsiTheme="minorHAnsi"/>
                <w:sz w:val="16"/>
                <w:szCs w:val="16"/>
              </w:rPr>
            </w:pPr>
            <w:r w:rsidRPr="0034391E">
              <w:rPr>
                <w:sz w:val="16"/>
                <w:szCs w:val="16"/>
              </w:rPr>
              <w:t>158,39</w:t>
            </w:r>
          </w:p>
        </w:tc>
        <w:tc>
          <w:tcPr>
            <w:tcW w:w="991" w:type="dxa"/>
            <w:tcBorders>
              <w:top w:val="nil"/>
              <w:left w:val="nil"/>
              <w:bottom w:val="single" w:sz="4" w:space="0" w:color="auto"/>
              <w:right w:val="single" w:sz="4" w:space="0" w:color="auto"/>
            </w:tcBorders>
            <w:shd w:val="clear" w:color="000000" w:fill="CCFFFF"/>
            <w:noWrap/>
            <w:vAlign w:val="bottom"/>
            <w:hideMark/>
          </w:tcPr>
          <w:p w14:paraId="01E25811" w14:textId="77777777" w:rsidR="00B56301" w:rsidRPr="0034391E" w:rsidRDefault="00B56301" w:rsidP="00B37B65">
            <w:pPr>
              <w:jc w:val="right"/>
              <w:rPr>
                <w:rFonts w:asciiTheme="minorHAnsi" w:hAnsiTheme="minorHAnsi"/>
                <w:sz w:val="16"/>
                <w:szCs w:val="16"/>
              </w:rPr>
            </w:pPr>
            <w:r w:rsidRPr="0034391E">
              <w:rPr>
                <w:sz w:val="16"/>
                <w:szCs w:val="16"/>
              </w:rPr>
              <w:t>155,39</w:t>
            </w:r>
          </w:p>
        </w:tc>
        <w:tc>
          <w:tcPr>
            <w:tcW w:w="991" w:type="dxa"/>
            <w:tcBorders>
              <w:top w:val="nil"/>
              <w:left w:val="nil"/>
              <w:bottom w:val="single" w:sz="4" w:space="0" w:color="auto"/>
              <w:right w:val="single" w:sz="4" w:space="0" w:color="auto"/>
            </w:tcBorders>
            <w:shd w:val="clear" w:color="000000" w:fill="CCFFFF"/>
            <w:noWrap/>
            <w:vAlign w:val="bottom"/>
            <w:hideMark/>
          </w:tcPr>
          <w:p w14:paraId="63594357" w14:textId="77777777" w:rsidR="00B56301" w:rsidRPr="0034391E" w:rsidRDefault="00B56301" w:rsidP="00B37B65">
            <w:pPr>
              <w:jc w:val="right"/>
              <w:rPr>
                <w:rFonts w:asciiTheme="minorHAnsi" w:hAnsiTheme="minorHAnsi"/>
                <w:sz w:val="16"/>
                <w:szCs w:val="16"/>
              </w:rPr>
            </w:pPr>
            <w:r w:rsidRPr="0034391E">
              <w:rPr>
                <w:sz w:val="16"/>
                <w:szCs w:val="16"/>
              </w:rPr>
              <w:t>150,73</w:t>
            </w:r>
          </w:p>
        </w:tc>
      </w:tr>
      <w:tr w:rsidR="00B56301" w:rsidRPr="00D85A26" w14:paraId="57E3A2C6"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07927F1" w14:textId="135C3168"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32FE21CB" w14:textId="77777777" w:rsidR="00B56301" w:rsidRPr="0034391E" w:rsidRDefault="00B56301" w:rsidP="00B37B65">
            <w:pPr>
              <w:jc w:val="right"/>
              <w:rPr>
                <w:rFonts w:asciiTheme="minorHAnsi" w:hAnsiTheme="minorHAnsi"/>
                <w:sz w:val="16"/>
                <w:szCs w:val="16"/>
              </w:rPr>
            </w:pPr>
            <w:r w:rsidRPr="0034391E">
              <w:rPr>
                <w:sz w:val="16"/>
                <w:szCs w:val="16"/>
              </w:rPr>
              <w:t>189,50</w:t>
            </w:r>
          </w:p>
        </w:tc>
        <w:tc>
          <w:tcPr>
            <w:tcW w:w="991" w:type="dxa"/>
            <w:tcBorders>
              <w:top w:val="nil"/>
              <w:left w:val="nil"/>
              <w:bottom w:val="single" w:sz="4" w:space="0" w:color="auto"/>
              <w:right w:val="single" w:sz="4" w:space="0" w:color="auto"/>
            </w:tcBorders>
            <w:shd w:val="clear" w:color="000000" w:fill="CCFFFF"/>
            <w:noWrap/>
            <w:vAlign w:val="bottom"/>
            <w:hideMark/>
          </w:tcPr>
          <w:p w14:paraId="5A632909" w14:textId="77777777" w:rsidR="00B56301" w:rsidRPr="0034391E" w:rsidRDefault="00B56301" w:rsidP="00B37B65">
            <w:pPr>
              <w:jc w:val="right"/>
              <w:rPr>
                <w:rFonts w:asciiTheme="minorHAnsi" w:hAnsiTheme="minorHAnsi"/>
                <w:sz w:val="16"/>
                <w:szCs w:val="16"/>
              </w:rPr>
            </w:pPr>
            <w:r w:rsidRPr="0034391E">
              <w:rPr>
                <w:sz w:val="16"/>
                <w:szCs w:val="16"/>
              </w:rPr>
              <w:t>180,16</w:t>
            </w:r>
          </w:p>
        </w:tc>
        <w:tc>
          <w:tcPr>
            <w:tcW w:w="991" w:type="dxa"/>
            <w:tcBorders>
              <w:top w:val="nil"/>
              <w:left w:val="nil"/>
              <w:bottom w:val="single" w:sz="4" w:space="0" w:color="auto"/>
              <w:right w:val="single" w:sz="4" w:space="0" w:color="auto"/>
            </w:tcBorders>
            <w:shd w:val="clear" w:color="000000" w:fill="CCFFFF"/>
            <w:noWrap/>
            <w:vAlign w:val="bottom"/>
            <w:hideMark/>
          </w:tcPr>
          <w:p w14:paraId="292A1244" w14:textId="77777777" w:rsidR="00B56301" w:rsidRPr="0034391E" w:rsidRDefault="00B56301" w:rsidP="00B37B65">
            <w:pPr>
              <w:jc w:val="right"/>
              <w:rPr>
                <w:rFonts w:asciiTheme="minorHAnsi" w:hAnsiTheme="minorHAnsi"/>
                <w:sz w:val="16"/>
                <w:szCs w:val="16"/>
              </w:rPr>
            </w:pPr>
            <w:r w:rsidRPr="0034391E">
              <w:rPr>
                <w:sz w:val="16"/>
                <w:szCs w:val="16"/>
              </w:rPr>
              <w:t>174,27</w:t>
            </w:r>
          </w:p>
        </w:tc>
        <w:tc>
          <w:tcPr>
            <w:tcW w:w="991" w:type="dxa"/>
            <w:tcBorders>
              <w:top w:val="nil"/>
              <w:left w:val="nil"/>
              <w:bottom w:val="single" w:sz="4" w:space="0" w:color="auto"/>
              <w:right w:val="single" w:sz="4" w:space="0" w:color="auto"/>
            </w:tcBorders>
            <w:shd w:val="clear" w:color="000000" w:fill="CCFFFF"/>
            <w:noWrap/>
            <w:vAlign w:val="bottom"/>
            <w:hideMark/>
          </w:tcPr>
          <w:p w14:paraId="4E0B85EE" w14:textId="77777777" w:rsidR="00B56301" w:rsidRPr="0034391E" w:rsidRDefault="00B56301" w:rsidP="00B37B65">
            <w:pPr>
              <w:jc w:val="right"/>
              <w:rPr>
                <w:rFonts w:asciiTheme="minorHAnsi" w:hAnsiTheme="minorHAnsi"/>
                <w:sz w:val="16"/>
                <w:szCs w:val="16"/>
              </w:rPr>
            </w:pPr>
            <w:r w:rsidRPr="0034391E">
              <w:rPr>
                <w:sz w:val="16"/>
                <w:szCs w:val="16"/>
              </w:rPr>
              <w:t>168,30</w:t>
            </w:r>
          </w:p>
        </w:tc>
        <w:tc>
          <w:tcPr>
            <w:tcW w:w="991" w:type="dxa"/>
            <w:tcBorders>
              <w:top w:val="nil"/>
              <w:left w:val="nil"/>
              <w:bottom w:val="single" w:sz="4" w:space="0" w:color="auto"/>
              <w:right w:val="single" w:sz="4" w:space="0" w:color="auto"/>
            </w:tcBorders>
            <w:shd w:val="clear" w:color="000000" w:fill="CCFFFF"/>
            <w:noWrap/>
            <w:vAlign w:val="bottom"/>
            <w:hideMark/>
          </w:tcPr>
          <w:p w14:paraId="2B1DE363" w14:textId="77777777" w:rsidR="00B56301" w:rsidRPr="0034391E" w:rsidRDefault="00B56301" w:rsidP="00B37B65">
            <w:pPr>
              <w:jc w:val="right"/>
              <w:rPr>
                <w:rFonts w:asciiTheme="minorHAnsi" w:hAnsiTheme="minorHAnsi"/>
                <w:sz w:val="16"/>
                <w:szCs w:val="16"/>
              </w:rPr>
            </w:pPr>
            <w:r w:rsidRPr="0034391E">
              <w:rPr>
                <w:sz w:val="16"/>
                <w:szCs w:val="16"/>
              </w:rPr>
              <w:t>165,37</w:t>
            </w:r>
          </w:p>
        </w:tc>
        <w:tc>
          <w:tcPr>
            <w:tcW w:w="991" w:type="dxa"/>
            <w:tcBorders>
              <w:top w:val="nil"/>
              <w:left w:val="nil"/>
              <w:bottom w:val="single" w:sz="4" w:space="0" w:color="auto"/>
              <w:right w:val="single" w:sz="4" w:space="0" w:color="auto"/>
            </w:tcBorders>
            <w:shd w:val="clear" w:color="000000" w:fill="CCFFFF"/>
            <w:noWrap/>
            <w:vAlign w:val="bottom"/>
            <w:hideMark/>
          </w:tcPr>
          <w:p w14:paraId="34A92455" w14:textId="77777777" w:rsidR="00B56301" w:rsidRPr="0034391E" w:rsidRDefault="00B56301" w:rsidP="00B37B65">
            <w:pPr>
              <w:jc w:val="right"/>
              <w:rPr>
                <w:rFonts w:asciiTheme="minorHAnsi" w:hAnsiTheme="minorHAnsi"/>
                <w:sz w:val="16"/>
                <w:szCs w:val="16"/>
              </w:rPr>
            </w:pPr>
            <w:r w:rsidRPr="0034391E">
              <w:rPr>
                <w:sz w:val="16"/>
                <w:szCs w:val="16"/>
              </w:rPr>
              <w:t>160,78</w:t>
            </w:r>
          </w:p>
        </w:tc>
      </w:tr>
      <w:tr w:rsidR="00B56301" w:rsidRPr="00D85A26" w14:paraId="57C53B92"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2E87439"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r w:rsidRPr="0034391E">
              <w:rPr>
                <w:rFonts w:asciiTheme="minorHAnsi" w:hAnsiTheme="minorHAnsi"/>
                <w:b/>
                <w:bCs/>
                <w:sz w:val="16"/>
                <w:szCs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ABF96E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30E1BB3"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F4989C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386D4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6C4A3D8"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0CE5CA7"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7229041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48B4620"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2E0E1DA8" w14:textId="77777777" w:rsidR="00B56301" w:rsidRPr="0034391E" w:rsidRDefault="00B56301" w:rsidP="00B37B65">
            <w:pPr>
              <w:jc w:val="right"/>
              <w:rPr>
                <w:rFonts w:asciiTheme="minorHAnsi" w:hAnsiTheme="minorHAnsi"/>
                <w:sz w:val="16"/>
                <w:szCs w:val="16"/>
              </w:rPr>
            </w:pPr>
            <w:r w:rsidRPr="0034391E">
              <w:rPr>
                <w:sz w:val="16"/>
                <w:szCs w:val="16"/>
              </w:rPr>
              <w:t>0,59</w:t>
            </w:r>
          </w:p>
        </w:tc>
        <w:tc>
          <w:tcPr>
            <w:tcW w:w="991" w:type="dxa"/>
            <w:tcBorders>
              <w:top w:val="nil"/>
              <w:left w:val="nil"/>
              <w:bottom w:val="single" w:sz="4" w:space="0" w:color="auto"/>
              <w:right w:val="single" w:sz="4" w:space="0" w:color="auto"/>
            </w:tcBorders>
            <w:shd w:val="clear" w:color="000000" w:fill="CCFFFF"/>
            <w:noWrap/>
            <w:vAlign w:val="bottom"/>
            <w:hideMark/>
          </w:tcPr>
          <w:p w14:paraId="6E947C50" w14:textId="77777777" w:rsidR="00B56301" w:rsidRPr="0034391E" w:rsidRDefault="00B56301" w:rsidP="00B37B65">
            <w:pPr>
              <w:jc w:val="right"/>
              <w:rPr>
                <w:rFonts w:asciiTheme="minorHAnsi" w:hAnsiTheme="minorHAnsi"/>
                <w:sz w:val="16"/>
                <w:szCs w:val="16"/>
              </w:rPr>
            </w:pPr>
            <w:r w:rsidRPr="0034391E">
              <w:rPr>
                <w:sz w:val="16"/>
                <w:szCs w:val="16"/>
              </w:rPr>
              <w:t>0,59</w:t>
            </w:r>
          </w:p>
        </w:tc>
        <w:tc>
          <w:tcPr>
            <w:tcW w:w="991" w:type="dxa"/>
            <w:tcBorders>
              <w:top w:val="nil"/>
              <w:left w:val="nil"/>
              <w:bottom w:val="single" w:sz="4" w:space="0" w:color="auto"/>
              <w:right w:val="single" w:sz="4" w:space="0" w:color="auto"/>
            </w:tcBorders>
            <w:shd w:val="clear" w:color="000000" w:fill="CCFFFF"/>
            <w:noWrap/>
            <w:vAlign w:val="bottom"/>
            <w:hideMark/>
          </w:tcPr>
          <w:p w14:paraId="5171F170" w14:textId="77777777" w:rsidR="00B56301" w:rsidRPr="0034391E" w:rsidRDefault="00B56301" w:rsidP="00B37B65">
            <w:pPr>
              <w:jc w:val="right"/>
              <w:rPr>
                <w:rFonts w:asciiTheme="minorHAnsi" w:hAnsiTheme="minorHAnsi"/>
                <w:sz w:val="16"/>
                <w:szCs w:val="16"/>
              </w:rPr>
            </w:pPr>
            <w:r w:rsidRPr="0034391E">
              <w:rPr>
                <w:sz w:val="16"/>
                <w:szCs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1B483094" w14:textId="77777777" w:rsidR="00B56301" w:rsidRPr="0034391E" w:rsidRDefault="00B56301" w:rsidP="00B37B65">
            <w:pPr>
              <w:jc w:val="right"/>
              <w:rPr>
                <w:rFonts w:asciiTheme="minorHAnsi" w:hAnsiTheme="minorHAnsi"/>
                <w:sz w:val="16"/>
                <w:szCs w:val="16"/>
              </w:rPr>
            </w:pPr>
            <w:r w:rsidRPr="0034391E">
              <w:rPr>
                <w:sz w:val="16"/>
                <w:szCs w:val="16"/>
              </w:rPr>
              <w:t>0,67</w:t>
            </w:r>
          </w:p>
        </w:tc>
        <w:tc>
          <w:tcPr>
            <w:tcW w:w="991" w:type="dxa"/>
            <w:tcBorders>
              <w:top w:val="nil"/>
              <w:left w:val="nil"/>
              <w:bottom w:val="single" w:sz="4" w:space="0" w:color="auto"/>
              <w:right w:val="single" w:sz="4" w:space="0" w:color="auto"/>
            </w:tcBorders>
            <w:shd w:val="clear" w:color="000000" w:fill="CCFFFF"/>
            <w:noWrap/>
            <w:vAlign w:val="bottom"/>
            <w:hideMark/>
          </w:tcPr>
          <w:p w14:paraId="3B7C5DE8" w14:textId="77777777" w:rsidR="00B56301" w:rsidRPr="0034391E" w:rsidRDefault="00B56301" w:rsidP="00B37B65">
            <w:pPr>
              <w:jc w:val="right"/>
              <w:rPr>
                <w:rFonts w:asciiTheme="minorHAnsi" w:hAnsiTheme="minorHAnsi"/>
                <w:sz w:val="16"/>
                <w:szCs w:val="16"/>
              </w:rPr>
            </w:pPr>
            <w:r w:rsidRPr="0034391E">
              <w:rPr>
                <w:sz w:val="16"/>
                <w:szCs w:val="16"/>
              </w:rPr>
              <w:t>0,65</w:t>
            </w:r>
          </w:p>
        </w:tc>
        <w:tc>
          <w:tcPr>
            <w:tcW w:w="991" w:type="dxa"/>
            <w:tcBorders>
              <w:top w:val="nil"/>
              <w:left w:val="nil"/>
              <w:bottom w:val="single" w:sz="4" w:space="0" w:color="auto"/>
              <w:right w:val="single" w:sz="4" w:space="0" w:color="auto"/>
            </w:tcBorders>
            <w:shd w:val="clear" w:color="000000" w:fill="CCFFFF"/>
            <w:noWrap/>
            <w:vAlign w:val="bottom"/>
            <w:hideMark/>
          </w:tcPr>
          <w:p w14:paraId="2D2B5357" w14:textId="77777777" w:rsidR="00B56301" w:rsidRPr="0034391E" w:rsidRDefault="00B56301" w:rsidP="00B37B65">
            <w:pPr>
              <w:jc w:val="right"/>
              <w:rPr>
                <w:rFonts w:asciiTheme="minorHAnsi" w:hAnsiTheme="minorHAnsi"/>
                <w:sz w:val="16"/>
                <w:szCs w:val="16"/>
              </w:rPr>
            </w:pPr>
            <w:r w:rsidRPr="0034391E">
              <w:rPr>
                <w:sz w:val="16"/>
                <w:szCs w:val="16"/>
              </w:rPr>
              <w:t>0,69</w:t>
            </w:r>
          </w:p>
        </w:tc>
      </w:tr>
      <w:tr w:rsidR="00B56301" w:rsidRPr="00D85A26" w14:paraId="31D549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8E3415"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2C70C1C0" w14:textId="77777777" w:rsidR="00B56301" w:rsidRPr="0034391E" w:rsidRDefault="00B56301" w:rsidP="00B37B65">
            <w:pPr>
              <w:jc w:val="right"/>
              <w:rPr>
                <w:rFonts w:asciiTheme="minorHAnsi" w:hAnsiTheme="minorHAnsi"/>
                <w:sz w:val="16"/>
                <w:szCs w:val="16"/>
              </w:rPr>
            </w:pPr>
            <w:r w:rsidRPr="0034391E">
              <w:rPr>
                <w:sz w:val="16"/>
                <w:szCs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7CC5BE75" w14:textId="77777777" w:rsidR="00B56301" w:rsidRPr="0034391E" w:rsidRDefault="00B56301" w:rsidP="00B37B65">
            <w:pPr>
              <w:jc w:val="right"/>
              <w:rPr>
                <w:rFonts w:asciiTheme="minorHAnsi" w:hAnsiTheme="minorHAnsi"/>
                <w:sz w:val="16"/>
                <w:szCs w:val="16"/>
              </w:rPr>
            </w:pPr>
            <w:r w:rsidRPr="0034391E">
              <w:rPr>
                <w:sz w:val="16"/>
                <w:szCs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49289B4B" w14:textId="77777777" w:rsidR="00B56301" w:rsidRPr="0034391E" w:rsidRDefault="00B56301" w:rsidP="00B37B65">
            <w:pPr>
              <w:jc w:val="right"/>
              <w:rPr>
                <w:rFonts w:asciiTheme="minorHAnsi" w:hAnsiTheme="minorHAnsi"/>
                <w:sz w:val="16"/>
                <w:szCs w:val="16"/>
              </w:rPr>
            </w:pPr>
            <w:r w:rsidRPr="0034391E">
              <w:rPr>
                <w:sz w:val="16"/>
                <w:szCs w:val="16"/>
              </w:rPr>
              <w:t>0,39</w:t>
            </w:r>
          </w:p>
        </w:tc>
        <w:tc>
          <w:tcPr>
            <w:tcW w:w="991" w:type="dxa"/>
            <w:tcBorders>
              <w:top w:val="nil"/>
              <w:left w:val="nil"/>
              <w:bottom w:val="single" w:sz="4" w:space="0" w:color="auto"/>
              <w:right w:val="single" w:sz="4" w:space="0" w:color="auto"/>
            </w:tcBorders>
            <w:shd w:val="clear" w:color="000000" w:fill="FFFFFF"/>
            <w:noWrap/>
            <w:vAlign w:val="bottom"/>
            <w:hideMark/>
          </w:tcPr>
          <w:p w14:paraId="35DA71C6" w14:textId="77777777" w:rsidR="00B56301" w:rsidRPr="0034391E" w:rsidRDefault="00B56301" w:rsidP="00B37B65">
            <w:pPr>
              <w:jc w:val="right"/>
              <w:rPr>
                <w:rFonts w:asciiTheme="minorHAnsi" w:hAnsiTheme="minorHAnsi"/>
                <w:sz w:val="16"/>
                <w:szCs w:val="16"/>
              </w:rPr>
            </w:pPr>
            <w:r w:rsidRPr="0034391E">
              <w:rPr>
                <w:sz w:val="16"/>
                <w:szCs w:val="16"/>
              </w:rPr>
              <w:t>0,42</w:t>
            </w:r>
          </w:p>
        </w:tc>
        <w:tc>
          <w:tcPr>
            <w:tcW w:w="991" w:type="dxa"/>
            <w:tcBorders>
              <w:top w:val="nil"/>
              <w:left w:val="nil"/>
              <w:bottom w:val="single" w:sz="4" w:space="0" w:color="auto"/>
              <w:right w:val="single" w:sz="4" w:space="0" w:color="auto"/>
            </w:tcBorders>
            <w:shd w:val="clear" w:color="000000" w:fill="FFFFFF"/>
            <w:noWrap/>
            <w:vAlign w:val="bottom"/>
            <w:hideMark/>
          </w:tcPr>
          <w:p w14:paraId="184B977E" w14:textId="77777777" w:rsidR="00B56301" w:rsidRPr="0034391E" w:rsidRDefault="00B56301" w:rsidP="00B37B65">
            <w:pPr>
              <w:jc w:val="right"/>
              <w:rPr>
                <w:rFonts w:asciiTheme="minorHAnsi" w:hAnsiTheme="minorHAnsi"/>
                <w:sz w:val="16"/>
                <w:szCs w:val="16"/>
              </w:rPr>
            </w:pPr>
            <w:r w:rsidRPr="0034391E">
              <w:rPr>
                <w:sz w:val="16"/>
                <w:szCs w:val="16"/>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26FF7918" w14:textId="77777777" w:rsidR="00B56301" w:rsidRPr="0034391E" w:rsidRDefault="00B56301" w:rsidP="00B37B65">
            <w:pPr>
              <w:jc w:val="right"/>
              <w:rPr>
                <w:rFonts w:asciiTheme="minorHAnsi" w:hAnsiTheme="minorHAnsi"/>
                <w:sz w:val="16"/>
                <w:szCs w:val="16"/>
              </w:rPr>
            </w:pPr>
            <w:r w:rsidRPr="0034391E">
              <w:rPr>
                <w:sz w:val="16"/>
                <w:szCs w:val="16"/>
              </w:rPr>
              <w:t>0,45</w:t>
            </w:r>
          </w:p>
        </w:tc>
      </w:tr>
      <w:tr w:rsidR="00B56301" w:rsidRPr="00D85A26" w14:paraId="1BD4CDE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77BE38"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32C964C7" w14:textId="77777777" w:rsidR="00B56301" w:rsidRPr="0034391E" w:rsidRDefault="00B56301" w:rsidP="00B37B65">
            <w:pPr>
              <w:jc w:val="right"/>
              <w:rPr>
                <w:rFonts w:asciiTheme="minorHAnsi" w:hAnsiTheme="minorHAnsi"/>
                <w:sz w:val="16"/>
                <w:szCs w:val="16"/>
              </w:rPr>
            </w:pPr>
            <w:r w:rsidRPr="0034391E">
              <w:rPr>
                <w:sz w:val="16"/>
                <w:szCs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732BF87D" w14:textId="77777777" w:rsidR="00B56301" w:rsidRPr="0034391E" w:rsidRDefault="00B56301" w:rsidP="00B37B65">
            <w:pPr>
              <w:jc w:val="right"/>
              <w:rPr>
                <w:rFonts w:asciiTheme="minorHAnsi" w:hAnsiTheme="minorHAnsi"/>
                <w:sz w:val="16"/>
                <w:szCs w:val="16"/>
              </w:rPr>
            </w:pPr>
            <w:r w:rsidRPr="0034391E">
              <w:rPr>
                <w:sz w:val="16"/>
                <w:szCs w:val="16"/>
              </w:rPr>
              <w:t>0,20</w:t>
            </w:r>
          </w:p>
        </w:tc>
        <w:tc>
          <w:tcPr>
            <w:tcW w:w="991" w:type="dxa"/>
            <w:tcBorders>
              <w:top w:val="nil"/>
              <w:left w:val="nil"/>
              <w:bottom w:val="single" w:sz="4" w:space="0" w:color="auto"/>
              <w:right w:val="single" w:sz="4" w:space="0" w:color="auto"/>
            </w:tcBorders>
            <w:shd w:val="clear" w:color="000000" w:fill="FFFFFF"/>
            <w:noWrap/>
            <w:vAlign w:val="bottom"/>
            <w:hideMark/>
          </w:tcPr>
          <w:p w14:paraId="78E8B736" w14:textId="77777777" w:rsidR="00B56301" w:rsidRPr="0034391E" w:rsidRDefault="00B56301" w:rsidP="00B37B65">
            <w:pPr>
              <w:jc w:val="right"/>
              <w:rPr>
                <w:rFonts w:asciiTheme="minorHAnsi" w:hAnsiTheme="minorHAnsi"/>
                <w:sz w:val="16"/>
                <w:szCs w:val="16"/>
              </w:rPr>
            </w:pPr>
            <w:r w:rsidRPr="0034391E">
              <w:rPr>
                <w:sz w:val="16"/>
                <w:szCs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12C990B9" w14:textId="77777777" w:rsidR="00B56301" w:rsidRPr="0034391E" w:rsidRDefault="00B56301" w:rsidP="00B37B65">
            <w:pPr>
              <w:jc w:val="right"/>
              <w:rPr>
                <w:rFonts w:asciiTheme="minorHAnsi" w:hAnsiTheme="minorHAnsi"/>
                <w:sz w:val="16"/>
                <w:szCs w:val="16"/>
              </w:rPr>
            </w:pPr>
            <w:r w:rsidRPr="0034391E">
              <w:rPr>
                <w:sz w:val="16"/>
                <w:szCs w:val="16"/>
              </w:rPr>
              <w:t>0,25</w:t>
            </w:r>
          </w:p>
        </w:tc>
        <w:tc>
          <w:tcPr>
            <w:tcW w:w="991" w:type="dxa"/>
            <w:tcBorders>
              <w:top w:val="nil"/>
              <w:left w:val="nil"/>
              <w:bottom w:val="single" w:sz="4" w:space="0" w:color="auto"/>
              <w:right w:val="single" w:sz="4" w:space="0" w:color="auto"/>
            </w:tcBorders>
            <w:shd w:val="clear" w:color="000000" w:fill="FFFFFF"/>
            <w:noWrap/>
            <w:vAlign w:val="bottom"/>
            <w:hideMark/>
          </w:tcPr>
          <w:p w14:paraId="59C1D7A8" w14:textId="77777777" w:rsidR="00B56301" w:rsidRPr="0034391E" w:rsidRDefault="00B56301" w:rsidP="00B37B65">
            <w:pPr>
              <w:jc w:val="right"/>
              <w:rPr>
                <w:rFonts w:asciiTheme="minorHAnsi" w:hAnsiTheme="minorHAnsi"/>
                <w:sz w:val="16"/>
                <w:szCs w:val="16"/>
              </w:rPr>
            </w:pPr>
            <w:r w:rsidRPr="0034391E">
              <w:rPr>
                <w:sz w:val="16"/>
                <w:szCs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7C7B28AF" w14:textId="77777777" w:rsidR="00B56301" w:rsidRPr="0034391E" w:rsidRDefault="00B56301" w:rsidP="00B37B65">
            <w:pPr>
              <w:jc w:val="right"/>
              <w:rPr>
                <w:rFonts w:asciiTheme="minorHAnsi" w:hAnsiTheme="minorHAnsi"/>
                <w:sz w:val="16"/>
                <w:szCs w:val="16"/>
              </w:rPr>
            </w:pPr>
            <w:r w:rsidRPr="0034391E">
              <w:rPr>
                <w:sz w:val="16"/>
                <w:szCs w:val="16"/>
              </w:rPr>
              <w:t>0,23</w:t>
            </w:r>
          </w:p>
        </w:tc>
      </w:tr>
      <w:tr w:rsidR="00B56301" w:rsidRPr="00D85A26" w14:paraId="13E7B0D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EC6C17"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01FB7F48"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84EA73A"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6C722D25"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33AC373"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068F8E8"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4621A5F0" w14:textId="77777777" w:rsidR="00B56301" w:rsidRPr="0034391E" w:rsidRDefault="00B56301" w:rsidP="00B37B65">
            <w:pPr>
              <w:jc w:val="right"/>
              <w:rPr>
                <w:rFonts w:asciiTheme="minorHAnsi" w:hAnsiTheme="minorHAnsi"/>
                <w:sz w:val="16"/>
                <w:szCs w:val="16"/>
              </w:rPr>
            </w:pPr>
            <w:r w:rsidRPr="0034391E">
              <w:rPr>
                <w:sz w:val="16"/>
                <w:szCs w:val="16"/>
              </w:rPr>
              <w:t>NE</w:t>
            </w:r>
          </w:p>
        </w:tc>
      </w:tr>
      <w:tr w:rsidR="00B56301" w:rsidRPr="00D85A26" w14:paraId="00D723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A7915D5" w14:textId="05812C3C"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52475668"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CABF4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E19DFE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1AFDFE9"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2DC78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E4D9196"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66D580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86B5160" w14:textId="2FB5B620"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81DA60C"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77D4F5"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31702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7A7738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07340B"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646077"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833C38" w14:paraId="5E7932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A550D2"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0C1A45A9"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EF0ECD"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17C754"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46E132"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53A026C"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7BB91D"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r>
      <w:tr w:rsidR="00B56301" w:rsidRPr="00D85A26" w14:paraId="093FA1BA"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6A9DBA55" w14:textId="3FB83D8A"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40023801"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02B5222"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8FABF0B"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67FB090"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BA53431"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BD01843" w14:textId="77777777" w:rsidR="00B56301" w:rsidRPr="0034391E" w:rsidRDefault="00B56301" w:rsidP="00B37B65">
            <w:pPr>
              <w:jc w:val="right"/>
              <w:rPr>
                <w:rFonts w:asciiTheme="minorHAnsi" w:hAnsiTheme="minorHAnsi"/>
                <w:sz w:val="16"/>
                <w:szCs w:val="16"/>
              </w:rPr>
            </w:pPr>
            <w:r w:rsidRPr="0034391E">
              <w:rPr>
                <w:sz w:val="16"/>
                <w:szCs w:val="16"/>
              </w:rPr>
              <w:t>NO,NE</w:t>
            </w:r>
          </w:p>
        </w:tc>
      </w:tr>
      <w:tr w:rsidR="00B56301" w:rsidRPr="00D85A26" w14:paraId="53AB3A64"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92C18CF" w14:textId="7662DA26"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CO</w:t>
            </w:r>
            <w:r w:rsidR="007F09F7" w:rsidRPr="0034391E">
              <w:rPr>
                <w:sz w:val="16"/>
                <w:szCs w:val="16"/>
                <w:vertAlign w:val="subscript"/>
              </w:rPr>
              <w:t>2</w:t>
            </w:r>
            <w:r w:rsidRPr="0034391E">
              <w:rPr>
                <w:rFonts w:asciiTheme="minorHAnsi" w:hAnsiTheme="minorHAnsi"/>
                <w:b/>
                <w:bCs/>
                <w:sz w:val="16"/>
                <w:szCs w:val="16"/>
                <w:vertAlign w:val="subscript"/>
              </w:rPr>
              <w:t xml:space="preserve"> </w:t>
            </w:r>
            <w:r w:rsidRPr="0034391E">
              <w:rPr>
                <w:rFonts w:asciiTheme="minorHAnsi" w:hAnsiTheme="minorHAnsi"/>
                <w:b/>
                <w:bCs/>
                <w:sz w:val="16"/>
                <w:szCs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5BC0BEE6"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68678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C57939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C4AAA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D4342B"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4E22B7D"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3C9E2E43"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888F18D" w14:textId="0B13B51A" w:rsidR="00B56301" w:rsidRPr="00D85A26" w:rsidRDefault="00B56301" w:rsidP="00B37B65">
            <w:pPr>
              <w:jc w:val="center"/>
              <w:rPr>
                <w:rFonts w:asciiTheme="minorHAnsi" w:hAnsiTheme="minorHAnsi"/>
                <w:b/>
                <w:bCs/>
                <w:sz w:val="16"/>
                <w:szCs w:val="16"/>
                <w:lang w:val="en-GB"/>
              </w:rPr>
            </w:pPr>
            <w:r w:rsidRPr="0034391E">
              <w:rPr>
                <w:rFonts w:cs="Arial"/>
                <w:lang w:val="en-US"/>
              </w:rPr>
              <w:br w:type="page"/>
            </w:r>
            <w:r w:rsidRPr="00D85A26">
              <w:rPr>
                <w:rFonts w:asciiTheme="minorHAnsi" w:hAnsiTheme="minorHAnsi"/>
                <w:b/>
                <w:bCs/>
                <w:sz w:val="16"/>
                <w:szCs w:val="16"/>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8A79327" w14:textId="77777777" w:rsidR="00B56301" w:rsidRPr="00D85A26" w:rsidRDefault="00B56301" w:rsidP="00B37B65">
            <w:pPr>
              <w:jc w:val="center"/>
              <w:rPr>
                <w:rFonts w:asciiTheme="minorHAnsi" w:hAnsiTheme="minorHAnsi"/>
                <w:b/>
                <w:bCs/>
                <w:sz w:val="16"/>
                <w:szCs w:val="16"/>
              </w:rPr>
            </w:pPr>
            <w:r>
              <w:rPr>
                <w:b/>
                <w:bCs/>
                <w:sz w:val="16"/>
                <w:szCs w:val="18"/>
              </w:rPr>
              <w:t>2007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6FC50C57" w14:textId="77777777" w:rsidR="00B56301" w:rsidRPr="00D85A26" w:rsidRDefault="00B56301" w:rsidP="00B37B65">
            <w:pPr>
              <w:jc w:val="center"/>
              <w:rPr>
                <w:rFonts w:asciiTheme="minorHAnsi" w:hAnsiTheme="minorHAnsi"/>
                <w:b/>
                <w:bCs/>
                <w:sz w:val="16"/>
                <w:szCs w:val="16"/>
              </w:rPr>
            </w:pPr>
            <w:r>
              <w:rPr>
                <w:b/>
                <w:bCs/>
                <w:sz w:val="16"/>
                <w:szCs w:val="18"/>
              </w:rPr>
              <w:t>2008</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5776940" w14:textId="77777777" w:rsidR="00B56301" w:rsidRPr="00D85A26" w:rsidRDefault="00B56301" w:rsidP="00B37B65">
            <w:pPr>
              <w:jc w:val="center"/>
              <w:rPr>
                <w:rFonts w:asciiTheme="minorHAnsi" w:hAnsiTheme="minorHAnsi"/>
                <w:b/>
                <w:bCs/>
                <w:sz w:val="16"/>
                <w:szCs w:val="16"/>
              </w:rPr>
            </w:pPr>
            <w:r>
              <w:rPr>
                <w:b/>
                <w:bCs/>
                <w:sz w:val="16"/>
                <w:szCs w:val="18"/>
              </w:rPr>
              <w:t>2009</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10DC200" w14:textId="77777777" w:rsidR="00B56301" w:rsidRPr="00D85A26" w:rsidRDefault="00B56301" w:rsidP="00B37B65">
            <w:pPr>
              <w:jc w:val="center"/>
              <w:rPr>
                <w:rFonts w:asciiTheme="minorHAnsi" w:hAnsiTheme="minorHAnsi"/>
                <w:b/>
                <w:bCs/>
                <w:sz w:val="16"/>
                <w:szCs w:val="16"/>
              </w:rPr>
            </w:pPr>
            <w:r>
              <w:rPr>
                <w:b/>
                <w:bCs/>
                <w:sz w:val="16"/>
                <w:szCs w:val="18"/>
              </w:rPr>
              <w:t>2010</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7D83652" w14:textId="77777777" w:rsidR="00B56301" w:rsidRPr="00D85A26" w:rsidRDefault="00B56301" w:rsidP="00B37B65">
            <w:pPr>
              <w:jc w:val="center"/>
              <w:rPr>
                <w:rFonts w:asciiTheme="minorHAnsi" w:hAnsiTheme="minorHAnsi"/>
                <w:b/>
                <w:bCs/>
                <w:sz w:val="16"/>
                <w:szCs w:val="16"/>
              </w:rPr>
            </w:pPr>
            <w:r>
              <w:rPr>
                <w:b/>
                <w:bCs/>
                <w:sz w:val="16"/>
                <w:szCs w:val="18"/>
              </w:rPr>
              <w:t>2011</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0CA8A3BD" w14:textId="77777777" w:rsidR="00B56301" w:rsidRPr="00D85A26" w:rsidRDefault="00B56301" w:rsidP="00B37B65">
            <w:pPr>
              <w:jc w:val="center"/>
              <w:rPr>
                <w:rFonts w:asciiTheme="minorHAnsi" w:hAnsiTheme="minorHAnsi"/>
                <w:b/>
                <w:bCs/>
                <w:sz w:val="16"/>
                <w:szCs w:val="16"/>
              </w:rPr>
            </w:pPr>
            <w:r>
              <w:rPr>
                <w:b/>
                <w:bCs/>
                <w:sz w:val="16"/>
                <w:szCs w:val="18"/>
              </w:rPr>
              <w:t>2012</w:t>
            </w:r>
          </w:p>
        </w:tc>
      </w:tr>
      <w:tr w:rsidR="00B56301" w:rsidRPr="00D85A26" w14:paraId="5C039A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61A30F" w14:textId="7777777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0BB94906" w14:textId="77777777" w:rsidR="00B56301" w:rsidRPr="00D85A26" w:rsidRDefault="00B56301" w:rsidP="00B37B65">
            <w:pPr>
              <w:jc w:val="right"/>
              <w:rPr>
                <w:rFonts w:asciiTheme="minorHAnsi" w:hAnsiTheme="minorHAnsi"/>
                <w:sz w:val="16"/>
                <w:szCs w:val="16"/>
              </w:rPr>
            </w:pPr>
            <w:r w:rsidRPr="00D85A26">
              <w:rPr>
                <w:sz w:val="16"/>
                <w:szCs w:val="18"/>
              </w:rPr>
              <w:t>12,72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E332519" w14:textId="77777777" w:rsidR="00B56301" w:rsidRPr="00D85A26" w:rsidRDefault="00B56301" w:rsidP="00B37B65">
            <w:pPr>
              <w:jc w:val="right"/>
              <w:rPr>
                <w:rFonts w:asciiTheme="minorHAnsi" w:hAnsiTheme="minorHAnsi"/>
                <w:sz w:val="16"/>
                <w:szCs w:val="16"/>
              </w:rPr>
            </w:pPr>
            <w:r w:rsidRPr="00D85A26">
              <w:rPr>
                <w:sz w:val="16"/>
                <w:szCs w:val="18"/>
              </w:rPr>
              <w:t>12,70</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6B231994" w14:textId="77777777" w:rsidR="00B56301" w:rsidRPr="00D85A26" w:rsidRDefault="00B56301" w:rsidP="00B37B65">
            <w:pPr>
              <w:jc w:val="right"/>
              <w:rPr>
                <w:rFonts w:asciiTheme="minorHAnsi" w:hAnsiTheme="minorHAnsi"/>
                <w:sz w:val="16"/>
                <w:szCs w:val="16"/>
              </w:rPr>
            </w:pPr>
            <w:r w:rsidRPr="00D85A26">
              <w:rPr>
                <w:sz w:val="16"/>
                <w:szCs w:val="18"/>
              </w:rPr>
              <w:t>11,89</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C993961" w14:textId="77777777" w:rsidR="00B56301" w:rsidRPr="00D85A26" w:rsidRDefault="00B56301" w:rsidP="00B37B65">
            <w:pPr>
              <w:jc w:val="right"/>
              <w:rPr>
                <w:rFonts w:asciiTheme="minorHAnsi" w:hAnsiTheme="minorHAnsi"/>
                <w:sz w:val="16"/>
                <w:szCs w:val="16"/>
              </w:rPr>
            </w:pPr>
            <w:r w:rsidRPr="00D85A26">
              <w:rPr>
                <w:sz w:val="16"/>
                <w:szCs w:val="18"/>
              </w:rPr>
              <w:t>12,21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5D3B0665" w14:textId="77777777" w:rsidR="00B56301" w:rsidRPr="00D85A26" w:rsidRDefault="00B56301" w:rsidP="00B37B65">
            <w:pPr>
              <w:jc w:val="right"/>
              <w:rPr>
                <w:rFonts w:asciiTheme="minorHAnsi" w:hAnsiTheme="minorHAnsi"/>
                <w:sz w:val="16"/>
                <w:szCs w:val="16"/>
              </w:rPr>
            </w:pPr>
            <w:r w:rsidRPr="00D85A26">
              <w:rPr>
                <w:sz w:val="16"/>
                <w:szCs w:val="18"/>
              </w:rPr>
              <w:t>12,01</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3C712775" w14:textId="77777777" w:rsidR="00B56301" w:rsidRPr="00D85A26" w:rsidRDefault="00B56301" w:rsidP="00B37B65">
            <w:pPr>
              <w:jc w:val="right"/>
              <w:rPr>
                <w:rFonts w:asciiTheme="minorHAnsi" w:hAnsiTheme="minorHAnsi"/>
                <w:sz w:val="16"/>
                <w:szCs w:val="16"/>
              </w:rPr>
            </w:pPr>
            <w:r w:rsidRPr="00D85A26">
              <w:rPr>
                <w:sz w:val="16"/>
                <w:szCs w:val="18"/>
              </w:rPr>
              <w:t>12,33</w:t>
            </w:r>
          </w:p>
        </w:tc>
      </w:tr>
      <w:tr w:rsidR="00B56301" w:rsidRPr="00D85A26" w14:paraId="26451998"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1466424" w14:textId="7777777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547C77F1" w14:textId="77777777" w:rsidR="00B56301" w:rsidRPr="00D85A26" w:rsidRDefault="00B56301" w:rsidP="00B37B65">
            <w:pPr>
              <w:jc w:val="right"/>
              <w:rPr>
                <w:rFonts w:asciiTheme="minorHAnsi" w:hAnsiTheme="minorHAnsi"/>
                <w:sz w:val="16"/>
                <w:szCs w:val="16"/>
              </w:rPr>
            </w:pPr>
            <w:r w:rsidRPr="00D85A26">
              <w:rPr>
                <w:sz w:val="16"/>
                <w:szCs w:val="18"/>
              </w:rPr>
              <w:t>12,54</w:t>
            </w:r>
          </w:p>
        </w:tc>
        <w:tc>
          <w:tcPr>
            <w:tcW w:w="991" w:type="dxa"/>
            <w:tcBorders>
              <w:top w:val="nil"/>
              <w:left w:val="nil"/>
              <w:bottom w:val="single" w:sz="4" w:space="0" w:color="auto"/>
              <w:right w:val="single" w:sz="4" w:space="0" w:color="auto"/>
            </w:tcBorders>
            <w:shd w:val="clear" w:color="000000" w:fill="CCFFFF"/>
            <w:noWrap/>
            <w:vAlign w:val="bottom"/>
            <w:hideMark/>
          </w:tcPr>
          <w:p w14:paraId="4612419A" w14:textId="77777777" w:rsidR="00B56301" w:rsidRPr="00D85A26" w:rsidRDefault="00B56301" w:rsidP="00B37B65">
            <w:pPr>
              <w:jc w:val="right"/>
              <w:rPr>
                <w:rFonts w:asciiTheme="minorHAnsi" w:hAnsiTheme="minorHAnsi"/>
                <w:sz w:val="16"/>
                <w:szCs w:val="16"/>
              </w:rPr>
            </w:pPr>
            <w:r w:rsidRPr="00D85A26">
              <w:rPr>
                <w:sz w:val="16"/>
                <w:szCs w:val="18"/>
              </w:rPr>
              <w:t>12,55</w:t>
            </w:r>
          </w:p>
        </w:tc>
        <w:tc>
          <w:tcPr>
            <w:tcW w:w="991" w:type="dxa"/>
            <w:tcBorders>
              <w:top w:val="nil"/>
              <w:left w:val="nil"/>
              <w:bottom w:val="single" w:sz="4" w:space="0" w:color="auto"/>
              <w:right w:val="single" w:sz="4" w:space="0" w:color="auto"/>
            </w:tcBorders>
            <w:shd w:val="clear" w:color="000000" w:fill="CCFFFF"/>
            <w:noWrap/>
            <w:vAlign w:val="bottom"/>
            <w:hideMark/>
          </w:tcPr>
          <w:p w14:paraId="456B7DBF" w14:textId="77777777" w:rsidR="00B56301" w:rsidRPr="00D85A26" w:rsidRDefault="00B56301" w:rsidP="00B37B65">
            <w:pPr>
              <w:jc w:val="right"/>
              <w:rPr>
                <w:rFonts w:asciiTheme="minorHAnsi" w:hAnsiTheme="minorHAnsi"/>
                <w:sz w:val="16"/>
                <w:szCs w:val="16"/>
              </w:rPr>
            </w:pPr>
            <w:r w:rsidRPr="00D85A26">
              <w:rPr>
                <w:sz w:val="16"/>
                <w:szCs w:val="18"/>
              </w:rPr>
              <w:t>11,73</w:t>
            </w:r>
          </w:p>
        </w:tc>
        <w:tc>
          <w:tcPr>
            <w:tcW w:w="991" w:type="dxa"/>
            <w:tcBorders>
              <w:top w:val="nil"/>
              <w:left w:val="nil"/>
              <w:bottom w:val="single" w:sz="4" w:space="0" w:color="auto"/>
              <w:right w:val="single" w:sz="4" w:space="0" w:color="auto"/>
            </w:tcBorders>
            <w:shd w:val="clear" w:color="000000" w:fill="CCFFFF"/>
            <w:noWrap/>
            <w:vAlign w:val="bottom"/>
            <w:hideMark/>
          </w:tcPr>
          <w:p w14:paraId="47C3E932" w14:textId="77777777" w:rsidR="00B56301" w:rsidRPr="00D85A26" w:rsidRDefault="00B56301" w:rsidP="00B37B65">
            <w:pPr>
              <w:jc w:val="right"/>
              <w:rPr>
                <w:rFonts w:asciiTheme="minorHAnsi" w:hAnsiTheme="minorHAnsi"/>
                <w:sz w:val="16"/>
                <w:szCs w:val="16"/>
              </w:rPr>
            </w:pPr>
            <w:r w:rsidRPr="00D85A26">
              <w:rPr>
                <w:sz w:val="16"/>
                <w:szCs w:val="18"/>
              </w:rPr>
              <w:t>12,08</w:t>
            </w:r>
          </w:p>
        </w:tc>
        <w:tc>
          <w:tcPr>
            <w:tcW w:w="991" w:type="dxa"/>
            <w:tcBorders>
              <w:top w:val="nil"/>
              <w:left w:val="nil"/>
              <w:bottom w:val="single" w:sz="4" w:space="0" w:color="auto"/>
              <w:right w:val="single" w:sz="4" w:space="0" w:color="auto"/>
            </w:tcBorders>
            <w:shd w:val="clear" w:color="000000" w:fill="CCFFFF"/>
            <w:noWrap/>
            <w:vAlign w:val="bottom"/>
            <w:hideMark/>
          </w:tcPr>
          <w:p w14:paraId="41D5F0B7" w14:textId="77777777" w:rsidR="00B56301" w:rsidRPr="00D85A26" w:rsidRDefault="00B56301" w:rsidP="00B37B65">
            <w:pPr>
              <w:jc w:val="right"/>
              <w:rPr>
                <w:rFonts w:asciiTheme="minorHAnsi" w:hAnsiTheme="minorHAnsi"/>
                <w:sz w:val="16"/>
                <w:szCs w:val="16"/>
              </w:rPr>
            </w:pPr>
            <w:r w:rsidRPr="00D85A26">
              <w:rPr>
                <w:sz w:val="16"/>
                <w:szCs w:val="18"/>
              </w:rPr>
              <w:t>11,94</w:t>
            </w:r>
          </w:p>
        </w:tc>
        <w:tc>
          <w:tcPr>
            <w:tcW w:w="991" w:type="dxa"/>
            <w:tcBorders>
              <w:top w:val="nil"/>
              <w:left w:val="nil"/>
              <w:bottom w:val="single" w:sz="4" w:space="0" w:color="auto"/>
              <w:right w:val="single" w:sz="4" w:space="0" w:color="auto"/>
            </w:tcBorders>
            <w:shd w:val="clear" w:color="000000" w:fill="CCFFFF"/>
            <w:noWrap/>
            <w:vAlign w:val="bottom"/>
            <w:hideMark/>
          </w:tcPr>
          <w:p w14:paraId="4780763F" w14:textId="77777777" w:rsidR="00B56301" w:rsidRPr="00D85A26" w:rsidRDefault="00B56301" w:rsidP="00B37B65">
            <w:pPr>
              <w:jc w:val="right"/>
              <w:rPr>
                <w:rFonts w:asciiTheme="minorHAnsi" w:hAnsiTheme="minorHAnsi"/>
                <w:sz w:val="16"/>
                <w:szCs w:val="16"/>
              </w:rPr>
            </w:pPr>
            <w:r w:rsidRPr="00D85A26">
              <w:rPr>
                <w:sz w:val="16"/>
                <w:szCs w:val="18"/>
              </w:rPr>
              <w:t>12,28</w:t>
            </w:r>
          </w:p>
        </w:tc>
      </w:tr>
      <w:tr w:rsidR="00B56301" w:rsidRPr="00D85A26" w14:paraId="5C84ACF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3F3935E" w14:textId="139FFF74"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72694AFF" w14:textId="77777777" w:rsidR="00B56301" w:rsidRPr="00D85A26" w:rsidRDefault="00B56301" w:rsidP="00B37B65">
            <w:pPr>
              <w:jc w:val="right"/>
              <w:rPr>
                <w:rFonts w:asciiTheme="minorHAnsi" w:hAnsiTheme="minorHAnsi"/>
                <w:sz w:val="16"/>
                <w:szCs w:val="16"/>
              </w:rPr>
            </w:pPr>
            <w:r w:rsidRPr="00D85A26">
              <w:rPr>
                <w:sz w:val="16"/>
                <w:szCs w:val="18"/>
              </w:rPr>
              <w:t>1,29</w:t>
            </w:r>
          </w:p>
        </w:tc>
        <w:tc>
          <w:tcPr>
            <w:tcW w:w="991" w:type="dxa"/>
            <w:tcBorders>
              <w:top w:val="nil"/>
              <w:left w:val="nil"/>
              <w:bottom w:val="single" w:sz="4" w:space="0" w:color="auto"/>
              <w:right w:val="single" w:sz="4" w:space="0" w:color="auto"/>
            </w:tcBorders>
            <w:shd w:val="clear" w:color="000000" w:fill="FFFFFF"/>
            <w:noWrap/>
            <w:vAlign w:val="bottom"/>
            <w:hideMark/>
          </w:tcPr>
          <w:p w14:paraId="4C6F0E46" w14:textId="77777777" w:rsidR="00B56301" w:rsidRPr="00D85A26" w:rsidRDefault="00B56301" w:rsidP="00B37B65">
            <w:pPr>
              <w:jc w:val="right"/>
              <w:rPr>
                <w:rFonts w:asciiTheme="minorHAnsi" w:hAnsiTheme="minorHAnsi"/>
                <w:sz w:val="16"/>
                <w:szCs w:val="16"/>
              </w:rPr>
            </w:pPr>
            <w:r w:rsidRPr="00D85A26">
              <w:rPr>
                <w:sz w:val="16"/>
                <w:szCs w:val="18"/>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5B837429" w14:textId="77777777" w:rsidR="00B56301" w:rsidRPr="00D85A26" w:rsidRDefault="00B56301" w:rsidP="00B37B65">
            <w:pPr>
              <w:jc w:val="right"/>
              <w:rPr>
                <w:rFonts w:asciiTheme="minorHAnsi" w:hAnsiTheme="minorHAnsi"/>
                <w:sz w:val="16"/>
                <w:szCs w:val="16"/>
              </w:rPr>
            </w:pPr>
            <w:r w:rsidRPr="00D85A26">
              <w:rPr>
                <w:sz w:val="16"/>
                <w:szCs w:val="18"/>
              </w:rPr>
              <w:t>1,25</w:t>
            </w:r>
          </w:p>
        </w:tc>
        <w:tc>
          <w:tcPr>
            <w:tcW w:w="991" w:type="dxa"/>
            <w:tcBorders>
              <w:top w:val="nil"/>
              <w:left w:val="nil"/>
              <w:bottom w:val="single" w:sz="4" w:space="0" w:color="auto"/>
              <w:right w:val="single" w:sz="4" w:space="0" w:color="auto"/>
            </w:tcBorders>
            <w:shd w:val="clear" w:color="000000" w:fill="FFFFFF"/>
            <w:noWrap/>
            <w:vAlign w:val="bottom"/>
            <w:hideMark/>
          </w:tcPr>
          <w:p w14:paraId="5D0C35D7" w14:textId="77777777" w:rsidR="00B56301" w:rsidRPr="00D85A26" w:rsidRDefault="00B56301" w:rsidP="00B37B65">
            <w:pPr>
              <w:jc w:val="right"/>
              <w:rPr>
                <w:rFonts w:asciiTheme="minorHAnsi" w:hAnsiTheme="minorHAnsi"/>
                <w:sz w:val="16"/>
                <w:szCs w:val="16"/>
              </w:rPr>
            </w:pPr>
            <w:r w:rsidRPr="00D85A26">
              <w:rPr>
                <w:sz w:val="16"/>
                <w:szCs w:val="18"/>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387A56FE" w14:textId="77777777" w:rsidR="00B56301" w:rsidRPr="00D85A26" w:rsidRDefault="00B56301" w:rsidP="00B37B65">
            <w:pPr>
              <w:jc w:val="right"/>
              <w:rPr>
                <w:rFonts w:asciiTheme="minorHAnsi" w:hAnsiTheme="minorHAnsi"/>
                <w:sz w:val="16"/>
                <w:szCs w:val="16"/>
              </w:rPr>
            </w:pPr>
            <w:r w:rsidRPr="00D85A26">
              <w:rPr>
                <w:sz w:val="16"/>
                <w:szCs w:val="18"/>
              </w:rPr>
              <w:t>1,10</w:t>
            </w:r>
          </w:p>
        </w:tc>
        <w:tc>
          <w:tcPr>
            <w:tcW w:w="991" w:type="dxa"/>
            <w:tcBorders>
              <w:top w:val="nil"/>
              <w:left w:val="nil"/>
              <w:bottom w:val="single" w:sz="4" w:space="0" w:color="auto"/>
              <w:right w:val="single" w:sz="4" w:space="0" w:color="auto"/>
            </w:tcBorders>
            <w:shd w:val="clear" w:color="000000" w:fill="FFFFFF"/>
            <w:noWrap/>
            <w:vAlign w:val="bottom"/>
            <w:hideMark/>
          </w:tcPr>
          <w:p w14:paraId="4868189A" w14:textId="77777777" w:rsidR="00B56301" w:rsidRPr="00D85A26" w:rsidRDefault="00B56301" w:rsidP="00B37B65">
            <w:pPr>
              <w:jc w:val="right"/>
              <w:rPr>
                <w:rFonts w:asciiTheme="minorHAnsi" w:hAnsiTheme="minorHAnsi"/>
                <w:sz w:val="16"/>
                <w:szCs w:val="16"/>
              </w:rPr>
            </w:pPr>
            <w:r w:rsidRPr="00D85A26">
              <w:rPr>
                <w:sz w:val="16"/>
                <w:szCs w:val="18"/>
              </w:rPr>
              <w:t>1,23</w:t>
            </w:r>
          </w:p>
        </w:tc>
      </w:tr>
      <w:tr w:rsidR="00B56301" w:rsidRPr="00D85A26" w14:paraId="029CA05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8ECD546" w14:textId="7C17B098"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2.</w:t>
            </w:r>
            <w:r w:rsidR="00260E0B">
              <w:rPr>
                <w:rFonts w:asciiTheme="minorHAnsi" w:hAnsiTheme="minorHAnsi"/>
                <w:sz w:val="16"/>
                <w:szCs w:val="16"/>
              </w:rPr>
              <w:t xml:space="preserve"> </w:t>
            </w:r>
            <w:r w:rsidRPr="00D85A26">
              <w:rPr>
                <w:rFonts w:asciiTheme="minorHAnsi" w:hAnsiTheme="minorHAnsi"/>
                <w:sz w:val="16"/>
                <w:szCs w:val="16"/>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60BED231" w14:textId="77777777" w:rsidR="00B56301" w:rsidRPr="00D85A26" w:rsidRDefault="00B56301" w:rsidP="00B37B65">
            <w:pPr>
              <w:jc w:val="right"/>
              <w:rPr>
                <w:rFonts w:asciiTheme="minorHAnsi" w:hAnsiTheme="minorHAnsi"/>
                <w:sz w:val="16"/>
                <w:szCs w:val="16"/>
              </w:rPr>
            </w:pPr>
            <w:r w:rsidRPr="00D85A26">
              <w:rPr>
                <w:sz w:val="16"/>
                <w:szCs w:val="18"/>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139293FF" w14:textId="77777777" w:rsidR="00B56301" w:rsidRPr="00D85A26" w:rsidRDefault="00B56301" w:rsidP="00B37B65">
            <w:pPr>
              <w:jc w:val="right"/>
              <w:rPr>
                <w:rFonts w:asciiTheme="minorHAnsi" w:hAnsiTheme="minorHAnsi"/>
                <w:sz w:val="16"/>
                <w:szCs w:val="16"/>
              </w:rPr>
            </w:pPr>
            <w:r w:rsidRPr="00D85A26">
              <w:rPr>
                <w:sz w:val="16"/>
                <w:szCs w:val="18"/>
              </w:rPr>
              <w:t>1,66</w:t>
            </w:r>
          </w:p>
        </w:tc>
        <w:tc>
          <w:tcPr>
            <w:tcW w:w="991" w:type="dxa"/>
            <w:tcBorders>
              <w:top w:val="nil"/>
              <w:left w:val="nil"/>
              <w:bottom w:val="single" w:sz="4" w:space="0" w:color="auto"/>
              <w:right w:val="single" w:sz="4" w:space="0" w:color="auto"/>
            </w:tcBorders>
            <w:shd w:val="clear" w:color="000000" w:fill="FFFFFF"/>
            <w:noWrap/>
            <w:vAlign w:val="bottom"/>
            <w:hideMark/>
          </w:tcPr>
          <w:p w14:paraId="79444A37" w14:textId="77777777" w:rsidR="00B56301" w:rsidRPr="00D85A26" w:rsidRDefault="00B56301" w:rsidP="00B37B65">
            <w:pPr>
              <w:jc w:val="right"/>
              <w:rPr>
                <w:rFonts w:asciiTheme="minorHAnsi" w:hAnsiTheme="minorHAnsi"/>
                <w:sz w:val="16"/>
                <w:szCs w:val="16"/>
              </w:rPr>
            </w:pPr>
            <w:r w:rsidRPr="00D85A26">
              <w:rPr>
                <w:sz w:val="16"/>
                <w:szCs w:val="18"/>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4BE0231B" w14:textId="77777777" w:rsidR="00B56301" w:rsidRPr="00D85A26" w:rsidRDefault="00B56301" w:rsidP="00B37B65">
            <w:pPr>
              <w:jc w:val="right"/>
              <w:rPr>
                <w:rFonts w:asciiTheme="minorHAnsi" w:hAnsiTheme="minorHAnsi"/>
                <w:sz w:val="16"/>
                <w:szCs w:val="16"/>
              </w:rPr>
            </w:pPr>
            <w:r w:rsidRPr="00D85A26">
              <w:rPr>
                <w:sz w:val="16"/>
                <w:szCs w:val="18"/>
              </w:rPr>
              <w:t>1,40</w:t>
            </w:r>
          </w:p>
        </w:tc>
        <w:tc>
          <w:tcPr>
            <w:tcW w:w="991" w:type="dxa"/>
            <w:tcBorders>
              <w:top w:val="nil"/>
              <w:left w:val="nil"/>
              <w:bottom w:val="single" w:sz="4" w:space="0" w:color="auto"/>
              <w:right w:val="single" w:sz="4" w:space="0" w:color="auto"/>
            </w:tcBorders>
            <w:shd w:val="clear" w:color="000000" w:fill="FFFFFF"/>
            <w:noWrap/>
            <w:vAlign w:val="bottom"/>
            <w:hideMark/>
          </w:tcPr>
          <w:p w14:paraId="70AF97D9" w14:textId="77777777" w:rsidR="00B56301" w:rsidRPr="00D85A26" w:rsidRDefault="00B56301" w:rsidP="00B37B65">
            <w:pPr>
              <w:jc w:val="right"/>
              <w:rPr>
                <w:rFonts w:asciiTheme="minorHAnsi" w:hAnsiTheme="minorHAnsi"/>
                <w:sz w:val="16"/>
                <w:szCs w:val="16"/>
              </w:rPr>
            </w:pPr>
            <w:r w:rsidRPr="00D85A26">
              <w:rPr>
                <w:sz w:val="16"/>
                <w:szCs w:val="18"/>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1B616642" w14:textId="77777777" w:rsidR="00B56301" w:rsidRPr="00D85A26" w:rsidRDefault="00B56301" w:rsidP="00B37B65">
            <w:pPr>
              <w:jc w:val="right"/>
              <w:rPr>
                <w:rFonts w:asciiTheme="minorHAnsi" w:hAnsiTheme="minorHAnsi"/>
                <w:sz w:val="16"/>
                <w:szCs w:val="16"/>
              </w:rPr>
            </w:pPr>
            <w:r w:rsidRPr="00D85A26">
              <w:rPr>
                <w:sz w:val="16"/>
                <w:szCs w:val="18"/>
              </w:rPr>
              <w:t>1,76</w:t>
            </w:r>
          </w:p>
        </w:tc>
      </w:tr>
      <w:tr w:rsidR="00B56301" w:rsidRPr="00D85A26" w14:paraId="3012BBC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C0AD9B" w14:textId="33DEC4E9"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3.</w:t>
            </w:r>
            <w:r w:rsidR="00260E0B">
              <w:rPr>
                <w:rFonts w:asciiTheme="minorHAnsi" w:hAnsiTheme="minorHAnsi"/>
                <w:sz w:val="16"/>
                <w:szCs w:val="16"/>
              </w:rPr>
              <w:t xml:space="preserve"> </w:t>
            </w:r>
            <w:r w:rsidRPr="00D85A26">
              <w:rPr>
                <w:rFonts w:asciiTheme="minorHAnsi" w:hAnsiTheme="minorHAnsi"/>
                <w:sz w:val="16"/>
                <w:szCs w:val="16"/>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73D0F863" w14:textId="77777777" w:rsidR="00B56301" w:rsidRPr="00D85A26" w:rsidRDefault="00B56301" w:rsidP="00B37B65">
            <w:pPr>
              <w:jc w:val="right"/>
              <w:rPr>
                <w:rFonts w:asciiTheme="minorHAnsi" w:hAnsiTheme="minorHAnsi"/>
                <w:sz w:val="16"/>
                <w:szCs w:val="16"/>
              </w:rPr>
            </w:pPr>
            <w:r w:rsidRPr="00D85A26">
              <w:rPr>
                <w:sz w:val="16"/>
                <w:szCs w:val="18"/>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32D5E015" w14:textId="77777777" w:rsidR="00B56301" w:rsidRPr="00D85A26" w:rsidRDefault="00B56301" w:rsidP="00B37B65">
            <w:pPr>
              <w:jc w:val="right"/>
              <w:rPr>
                <w:rFonts w:asciiTheme="minorHAnsi" w:hAnsiTheme="minorHAnsi"/>
                <w:sz w:val="16"/>
                <w:szCs w:val="16"/>
              </w:rPr>
            </w:pPr>
            <w:r w:rsidRPr="00D85A26">
              <w:rPr>
                <w:sz w:val="16"/>
                <w:szCs w:val="18"/>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520251AE" w14:textId="77777777" w:rsidR="00B56301" w:rsidRPr="00D85A26" w:rsidRDefault="00B56301" w:rsidP="00B37B65">
            <w:pPr>
              <w:jc w:val="right"/>
              <w:rPr>
                <w:rFonts w:asciiTheme="minorHAnsi" w:hAnsiTheme="minorHAnsi"/>
                <w:sz w:val="16"/>
                <w:szCs w:val="16"/>
              </w:rPr>
            </w:pPr>
            <w:r w:rsidRPr="00D85A26">
              <w:rPr>
                <w:sz w:val="16"/>
                <w:szCs w:val="18"/>
              </w:rPr>
              <w:t>4,05</w:t>
            </w:r>
          </w:p>
        </w:tc>
        <w:tc>
          <w:tcPr>
            <w:tcW w:w="991" w:type="dxa"/>
            <w:tcBorders>
              <w:top w:val="nil"/>
              <w:left w:val="nil"/>
              <w:bottom w:val="single" w:sz="4" w:space="0" w:color="auto"/>
              <w:right w:val="single" w:sz="4" w:space="0" w:color="auto"/>
            </w:tcBorders>
            <w:shd w:val="clear" w:color="000000" w:fill="FFFFFF"/>
            <w:noWrap/>
            <w:vAlign w:val="bottom"/>
            <w:hideMark/>
          </w:tcPr>
          <w:p w14:paraId="3E046810" w14:textId="77777777" w:rsidR="00B56301" w:rsidRPr="00D85A26" w:rsidRDefault="00B56301" w:rsidP="00B37B65">
            <w:pPr>
              <w:jc w:val="right"/>
              <w:rPr>
                <w:rFonts w:asciiTheme="minorHAnsi" w:hAnsiTheme="minorHAnsi"/>
                <w:sz w:val="16"/>
                <w:szCs w:val="16"/>
              </w:rPr>
            </w:pPr>
            <w:r w:rsidRPr="00D85A26">
              <w:rPr>
                <w:sz w:val="16"/>
                <w:szCs w:val="18"/>
              </w:rPr>
              <w:t>4,20</w:t>
            </w:r>
          </w:p>
        </w:tc>
        <w:tc>
          <w:tcPr>
            <w:tcW w:w="991" w:type="dxa"/>
            <w:tcBorders>
              <w:top w:val="nil"/>
              <w:left w:val="nil"/>
              <w:bottom w:val="single" w:sz="4" w:space="0" w:color="auto"/>
              <w:right w:val="single" w:sz="4" w:space="0" w:color="auto"/>
            </w:tcBorders>
            <w:shd w:val="clear" w:color="000000" w:fill="FFFFFF"/>
            <w:noWrap/>
            <w:vAlign w:val="bottom"/>
            <w:hideMark/>
          </w:tcPr>
          <w:p w14:paraId="4A18FE36" w14:textId="77777777" w:rsidR="00B56301" w:rsidRPr="00D85A26" w:rsidRDefault="00B56301" w:rsidP="00B37B65">
            <w:pPr>
              <w:jc w:val="right"/>
              <w:rPr>
                <w:rFonts w:asciiTheme="minorHAnsi" w:hAnsiTheme="minorHAnsi"/>
                <w:sz w:val="16"/>
                <w:szCs w:val="16"/>
              </w:rPr>
            </w:pPr>
            <w:r w:rsidRPr="00D85A26">
              <w:rPr>
                <w:sz w:val="16"/>
                <w:szCs w:val="18"/>
              </w:rPr>
              <w:t>4,33</w:t>
            </w:r>
          </w:p>
        </w:tc>
        <w:tc>
          <w:tcPr>
            <w:tcW w:w="991" w:type="dxa"/>
            <w:tcBorders>
              <w:top w:val="nil"/>
              <w:left w:val="nil"/>
              <w:bottom w:val="single" w:sz="4" w:space="0" w:color="auto"/>
              <w:right w:val="single" w:sz="4" w:space="0" w:color="auto"/>
            </w:tcBorders>
            <w:shd w:val="clear" w:color="000000" w:fill="FFFFFF"/>
            <w:noWrap/>
            <w:vAlign w:val="bottom"/>
            <w:hideMark/>
          </w:tcPr>
          <w:p w14:paraId="3BDD33A3" w14:textId="77777777" w:rsidR="00B56301" w:rsidRPr="00D85A26" w:rsidRDefault="00B56301" w:rsidP="00B37B65">
            <w:pPr>
              <w:jc w:val="right"/>
              <w:rPr>
                <w:rFonts w:asciiTheme="minorHAnsi" w:hAnsiTheme="minorHAnsi"/>
                <w:sz w:val="16"/>
                <w:szCs w:val="16"/>
              </w:rPr>
            </w:pPr>
            <w:r w:rsidRPr="00D85A26">
              <w:rPr>
                <w:sz w:val="16"/>
                <w:szCs w:val="18"/>
              </w:rPr>
              <w:t>4,48</w:t>
            </w:r>
          </w:p>
        </w:tc>
      </w:tr>
      <w:tr w:rsidR="00B56301" w:rsidRPr="00D85A26" w14:paraId="240D249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9BA6050" w14:textId="0434E4B5"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4.</w:t>
            </w:r>
            <w:r w:rsidR="00260E0B">
              <w:rPr>
                <w:rFonts w:asciiTheme="minorHAnsi" w:hAnsiTheme="minorHAnsi"/>
                <w:sz w:val="16"/>
                <w:szCs w:val="16"/>
              </w:rPr>
              <w:t xml:space="preserve"> </w:t>
            </w:r>
            <w:r w:rsidRPr="00D85A26">
              <w:rPr>
                <w:rFonts w:asciiTheme="minorHAnsi" w:hAnsiTheme="minorHAnsi"/>
                <w:sz w:val="16"/>
                <w:szCs w:val="16"/>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5E0DBE8B" w14:textId="77777777" w:rsidR="00B56301" w:rsidRPr="00D85A26" w:rsidRDefault="00B56301" w:rsidP="00B37B65">
            <w:pPr>
              <w:jc w:val="right"/>
              <w:rPr>
                <w:rFonts w:asciiTheme="minorHAnsi" w:hAnsiTheme="minorHAnsi"/>
                <w:sz w:val="16"/>
                <w:szCs w:val="16"/>
              </w:rPr>
            </w:pPr>
            <w:r w:rsidRPr="00D85A26">
              <w:rPr>
                <w:sz w:val="16"/>
                <w:szCs w:val="18"/>
              </w:rPr>
              <w:t>4,65</w:t>
            </w:r>
          </w:p>
        </w:tc>
        <w:tc>
          <w:tcPr>
            <w:tcW w:w="991" w:type="dxa"/>
            <w:tcBorders>
              <w:top w:val="nil"/>
              <w:left w:val="nil"/>
              <w:bottom w:val="single" w:sz="4" w:space="0" w:color="auto"/>
              <w:right w:val="single" w:sz="4" w:space="0" w:color="auto"/>
            </w:tcBorders>
            <w:shd w:val="clear" w:color="000000" w:fill="FFFFFF"/>
            <w:noWrap/>
            <w:vAlign w:val="bottom"/>
            <w:hideMark/>
          </w:tcPr>
          <w:p w14:paraId="5053C066" w14:textId="77777777" w:rsidR="00B56301" w:rsidRPr="00D85A26" w:rsidRDefault="00B56301" w:rsidP="00B37B65">
            <w:pPr>
              <w:jc w:val="right"/>
              <w:rPr>
                <w:rFonts w:asciiTheme="minorHAnsi" w:hAnsiTheme="minorHAnsi"/>
                <w:sz w:val="16"/>
                <w:szCs w:val="16"/>
              </w:rPr>
            </w:pPr>
            <w:r w:rsidRPr="00D85A26">
              <w:rPr>
                <w:sz w:val="16"/>
                <w:szCs w:val="18"/>
              </w:rPr>
              <w:t>4,90</w:t>
            </w:r>
          </w:p>
        </w:tc>
        <w:tc>
          <w:tcPr>
            <w:tcW w:w="991" w:type="dxa"/>
            <w:tcBorders>
              <w:top w:val="nil"/>
              <w:left w:val="nil"/>
              <w:bottom w:val="single" w:sz="4" w:space="0" w:color="auto"/>
              <w:right w:val="single" w:sz="4" w:space="0" w:color="auto"/>
            </w:tcBorders>
            <w:shd w:val="clear" w:color="000000" w:fill="FFFFFF"/>
            <w:noWrap/>
            <w:vAlign w:val="bottom"/>
            <w:hideMark/>
          </w:tcPr>
          <w:p w14:paraId="3808E418" w14:textId="77777777" w:rsidR="00B56301" w:rsidRPr="00D85A26" w:rsidRDefault="00B56301" w:rsidP="00B37B65">
            <w:pPr>
              <w:jc w:val="right"/>
              <w:rPr>
                <w:rFonts w:asciiTheme="minorHAnsi" w:hAnsiTheme="minorHAnsi"/>
                <w:sz w:val="16"/>
                <w:szCs w:val="16"/>
              </w:rPr>
            </w:pPr>
            <w:r w:rsidRPr="00D85A26">
              <w:rPr>
                <w:sz w:val="16"/>
                <w:szCs w:val="18"/>
              </w:rPr>
              <w:t>4,99</w:t>
            </w:r>
          </w:p>
        </w:tc>
        <w:tc>
          <w:tcPr>
            <w:tcW w:w="991" w:type="dxa"/>
            <w:tcBorders>
              <w:top w:val="nil"/>
              <w:left w:val="nil"/>
              <w:bottom w:val="single" w:sz="4" w:space="0" w:color="auto"/>
              <w:right w:val="single" w:sz="4" w:space="0" w:color="auto"/>
            </w:tcBorders>
            <w:shd w:val="clear" w:color="000000" w:fill="FFFFFF"/>
            <w:noWrap/>
            <w:vAlign w:val="bottom"/>
            <w:hideMark/>
          </w:tcPr>
          <w:p w14:paraId="48233ACB" w14:textId="77777777" w:rsidR="00B56301" w:rsidRPr="00D85A26" w:rsidRDefault="00B56301" w:rsidP="00B37B65">
            <w:pPr>
              <w:jc w:val="right"/>
              <w:rPr>
                <w:rFonts w:asciiTheme="minorHAnsi" w:hAnsiTheme="minorHAnsi"/>
                <w:sz w:val="16"/>
                <w:szCs w:val="16"/>
              </w:rPr>
            </w:pPr>
            <w:r w:rsidRPr="00D85A26">
              <w:rPr>
                <w:sz w:val="16"/>
                <w:szCs w:val="18"/>
              </w:rPr>
              <w:t>4,94</w:t>
            </w:r>
          </w:p>
        </w:tc>
        <w:tc>
          <w:tcPr>
            <w:tcW w:w="991" w:type="dxa"/>
            <w:tcBorders>
              <w:top w:val="nil"/>
              <w:left w:val="nil"/>
              <w:bottom w:val="single" w:sz="4" w:space="0" w:color="auto"/>
              <w:right w:val="single" w:sz="4" w:space="0" w:color="auto"/>
            </w:tcBorders>
            <w:shd w:val="clear" w:color="000000" w:fill="FFFFFF"/>
            <w:noWrap/>
            <w:vAlign w:val="bottom"/>
            <w:hideMark/>
          </w:tcPr>
          <w:p w14:paraId="0A9361EE" w14:textId="77777777" w:rsidR="00B56301" w:rsidRPr="00D85A26" w:rsidRDefault="00B56301" w:rsidP="00B37B65">
            <w:pPr>
              <w:jc w:val="right"/>
              <w:rPr>
                <w:rFonts w:asciiTheme="minorHAnsi" w:hAnsiTheme="minorHAnsi"/>
                <w:sz w:val="16"/>
                <w:szCs w:val="16"/>
              </w:rPr>
            </w:pPr>
            <w:r w:rsidRPr="00D85A26">
              <w:rPr>
                <w:sz w:val="16"/>
                <w:szCs w:val="18"/>
              </w:rPr>
              <w:t>4,69</w:t>
            </w:r>
          </w:p>
        </w:tc>
        <w:tc>
          <w:tcPr>
            <w:tcW w:w="991" w:type="dxa"/>
            <w:tcBorders>
              <w:top w:val="nil"/>
              <w:left w:val="nil"/>
              <w:bottom w:val="single" w:sz="4" w:space="0" w:color="auto"/>
              <w:right w:val="single" w:sz="4" w:space="0" w:color="auto"/>
            </w:tcBorders>
            <w:shd w:val="clear" w:color="000000" w:fill="FFFFFF"/>
            <w:noWrap/>
            <w:vAlign w:val="bottom"/>
            <w:hideMark/>
          </w:tcPr>
          <w:p w14:paraId="53209551" w14:textId="77777777" w:rsidR="00B56301" w:rsidRPr="00D85A26" w:rsidRDefault="00B56301" w:rsidP="00B37B65">
            <w:pPr>
              <w:jc w:val="right"/>
              <w:rPr>
                <w:rFonts w:asciiTheme="minorHAnsi" w:hAnsiTheme="minorHAnsi"/>
                <w:sz w:val="16"/>
                <w:szCs w:val="16"/>
              </w:rPr>
            </w:pPr>
            <w:r w:rsidRPr="00D85A26">
              <w:rPr>
                <w:sz w:val="16"/>
                <w:szCs w:val="18"/>
              </w:rPr>
              <w:t>4,76</w:t>
            </w:r>
          </w:p>
        </w:tc>
      </w:tr>
      <w:tr w:rsidR="00B56301" w:rsidRPr="00D85A26" w14:paraId="540E9D3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405D83" w14:textId="7C36A0DB"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5.</w:t>
            </w:r>
            <w:r w:rsidR="00260E0B">
              <w:rPr>
                <w:rFonts w:asciiTheme="minorHAnsi" w:hAnsiTheme="minorHAnsi"/>
                <w:sz w:val="16"/>
                <w:szCs w:val="16"/>
              </w:rPr>
              <w:t xml:space="preserve"> </w:t>
            </w:r>
            <w:r w:rsidRPr="00D85A26">
              <w:rPr>
                <w:rFonts w:asciiTheme="minorHAnsi" w:hAnsiTheme="minorHAnsi"/>
                <w:sz w:val="16"/>
                <w:szCs w:val="16"/>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6B504314"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12A43F7"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D7E0B35"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7780DE19"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25D55554"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4372EE4"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6CA4AB6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FB2569E" w14:textId="7777777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07B1CD1C" w14:textId="77777777" w:rsidR="00B56301" w:rsidRPr="00D85A26" w:rsidRDefault="00B56301" w:rsidP="00B37B65">
            <w:pPr>
              <w:jc w:val="right"/>
              <w:rPr>
                <w:rFonts w:asciiTheme="minorHAnsi" w:hAnsiTheme="minorHAnsi"/>
                <w:sz w:val="16"/>
                <w:szCs w:val="16"/>
              </w:rPr>
            </w:pPr>
            <w:r w:rsidRPr="00D85A26">
              <w:rPr>
                <w:sz w:val="16"/>
                <w:szCs w:val="18"/>
              </w:rPr>
              <w:t>0,18</w:t>
            </w:r>
          </w:p>
        </w:tc>
        <w:tc>
          <w:tcPr>
            <w:tcW w:w="991" w:type="dxa"/>
            <w:tcBorders>
              <w:top w:val="nil"/>
              <w:left w:val="nil"/>
              <w:bottom w:val="single" w:sz="4" w:space="0" w:color="auto"/>
              <w:right w:val="single" w:sz="4" w:space="0" w:color="auto"/>
            </w:tcBorders>
            <w:shd w:val="clear" w:color="000000" w:fill="CCFFFF"/>
            <w:noWrap/>
            <w:vAlign w:val="bottom"/>
            <w:hideMark/>
          </w:tcPr>
          <w:p w14:paraId="4B165941" w14:textId="77777777" w:rsidR="00B56301" w:rsidRPr="00D85A26" w:rsidRDefault="00B56301" w:rsidP="00B37B65">
            <w:pPr>
              <w:jc w:val="right"/>
              <w:rPr>
                <w:rFonts w:asciiTheme="minorHAnsi" w:hAnsiTheme="minorHAnsi"/>
                <w:sz w:val="16"/>
                <w:szCs w:val="16"/>
              </w:rPr>
            </w:pPr>
            <w:r w:rsidRPr="00D85A26">
              <w:rPr>
                <w:sz w:val="16"/>
                <w:szCs w:val="18"/>
              </w:rPr>
              <w:t>0,15</w:t>
            </w:r>
          </w:p>
        </w:tc>
        <w:tc>
          <w:tcPr>
            <w:tcW w:w="991" w:type="dxa"/>
            <w:tcBorders>
              <w:top w:val="nil"/>
              <w:left w:val="nil"/>
              <w:bottom w:val="single" w:sz="4" w:space="0" w:color="auto"/>
              <w:right w:val="single" w:sz="4" w:space="0" w:color="auto"/>
            </w:tcBorders>
            <w:shd w:val="clear" w:color="000000" w:fill="CCFFFF"/>
            <w:noWrap/>
            <w:vAlign w:val="bottom"/>
            <w:hideMark/>
          </w:tcPr>
          <w:p w14:paraId="336AE14A" w14:textId="77777777" w:rsidR="00B56301" w:rsidRPr="00D85A26" w:rsidRDefault="00B56301" w:rsidP="00B37B65">
            <w:pPr>
              <w:jc w:val="right"/>
              <w:rPr>
                <w:rFonts w:asciiTheme="minorHAnsi" w:hAnsiTheme="minorHAnsi"/>
                <w:sz w:val="16"/>
                <w:szCs w:val="16"/>
              </w:rPr>
            </w:pPr>
            <w:r w:rsidRPr="00D85A26">
              <w:rPr>
                <w:sz w:val="16"/>
                <w:szCs w:val="18"/>
              </w:rPr>
              <w:t>0,16</w:t>
            </w:r>
          </w:p>
        </w:tc>
        <w:tc>
          <w:tcPr>
            <w:tcW w:w="991" w:type="dxa"/>
            <w:tcBorders>
              <w:top w:val="nil"/>
              <w:left w:val="nil"/>
              <w:bottom w:val="single" w:sz="4" w:space="0" w:color="auto"/>
              <w:right w:val="single" w:sz="4" w:space="0" w:color="auto"/>
            </w:tcBorders>
            <w:shd w:val="clear" w:color="000000" w:fill="CCFFFF"/>
            <w:noWrap/>
            <w:vAlign w:val="bottom"/>
            <w:hideMark/>
          </w:tcPr>
          <w:p w14:paraId="2651A315" w14:textId="77777777" w:rsidR="00B56301" w:rsidRPr="00D85A26" w:rsidRDefault="00B56301" w:rsidP="00B37B65">
            <w:pPr>
              <w:jc w:val="right"/>
              <w:rPr>
                <w:rFonts w:asciiTheme="minorHAnsi" w:hAnsiTheme="minorHAnsi"/>
                <w:sz w:val="16"/>
                <w:szCs w:val="16"/>
              </w:rPr>
            </w:pPr>
            <w:r w:rsidRPr="00D85A26">
              <w:rPr>
                <w:sz w:val="16"/>
                <w:szCs w:val="18"/>
              </w:rPr>
              <w:t>0,13</w:t>
            </w:r>
          </w:p>
        </w:tc>
        <w:tc>
          <w:tcPr>
            <w:tcW w:w="991" w:type="dxa"/>
            <w:tcBorders>
              <w:top w:val="nil"/>
              <w:left w:val="nil"/>
              <w:bottom w:val="single" w:sz="4" w:space="0" w:color="auto"/>
              <w:right w:val="single" w:sz="4" w:space="0" w:color="auto"/>
            </w:tcBorders>
            <w:shd w:val="clear" w:color="000000" w:fill="CCFFFF"/>
            <w:noWrap/>
            <w:vAlign w:val="bottom"/>
            <w:hideMark/>
          </w:tcPr>
          <w:p w14:paraId="24EA363F" w14:textId="77777777" w:rsidR="00B56301" w:rsidRPr="00D85A26" w:rsidRDefault="00B56301" w:rsidP="00B37B65">
            <w:pPr>
              <w:jc w:val="right"/>
              <w:rPr>
                <w:rFonts w:asciiTheme="minorHAnsi" w:hAnsiTheme="minorHAnsi"/>
                <w:sz w:val="16"/>
                <w:szCs w:val="16"/>
              </w:rPr>
            </w:pPr>
            <w:r w:rsidRPr="00D85A26">
              <w:rPr>
                <w:sz w:val="16"/>
                <w:szCs w:val="18"/>
              </w:rPr>
              <w:t>0,06</w:t>
            </w:r>
          </w:p>
        </w:tc>
        <w:tc>
          <w:tcPr>
            <w:tcW w:w="991" w:type="dxa"/>
            <w:tcBorders>
              <w:top w:val="nil"/>
              <w:left w:val="nil"/>
              <w:bottom w:val="single" w:sz="4" w:space="0" w:color="auto"/>
              <w:right w:val="single" w:sz="4" w:space="0" w:color="auto"/>
            </w:tcBorders>
            <w:shd w:val="clear" w:color="000000" w:fill="CCFFFF"/>
            <w:noWrap/>
            <w:vAlign w:val="bottom"/>
            <w:hideMark/>
          </w:tcPr>
          <w:p w14:paraId="482FCBA7"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53AF131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4511B57" w14:textId="56C5FF19"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369288A3"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E909940"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C540363"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E12F6AF"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88E6C04"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AD2CA7F"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160E3F9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7D73CF" w14:textId="04D84092" w:rsidR="00B56301" w:rsidRPr="00D85A26" w:rsidRDefault="00B56301" w:rsidP="00B37B65">
            <w:pPr>
              <w:ind w:firstLineChars="500" w:firstLine="800"/>
              <w:jc w:val="left"/>
              <w:rPr>
                <w:rFonts w:asciiTheme="minorHAnsi" w:hAnsiTheme="minorHAnsi"/>
                <w:sz w:val="16"/>
                <w:szCs w:val="16"/>
                <w:lang w:val="en-GB"/>
              </w:rPr>
            </w:pPr>
            <w:r w:rsidRPr="00D85A26">
              <w:rPr>
                <w:rFonts w:asciiTheme="minorHAnsi" w:hAnsiTheme="minorHAnsi"/>
                <w:sz w:val="16"/>
                <w:szCs w:val="16"/>
                <w:lang w:val="en-GB"/>
              </w:rPr>
              <w:t>2.</w:t>
            </w:r>
            <w:r w:rsidR="00260E0B">
              <w:rPr>
                <w:rFonts w:asciiTheme="minorHAnsi" w:hAnsiTheme="minorHAnsi"/>
                <w:sz w:val="16"/>
                <w:szCs w:val="16"/>
                <w:lang w:val="en-GB"/>
              </w:rPr>
              <w:t xml:space="preserve"> </w:t>
            </w:r>
            <w:r w:rsidRPr="00D85A26">
              <w:rPr>
                <w:rFonts w:asciiTheme="minorHAnsi" w:hAnsiTheme="minorHAnsi"/>
                <w:sz w:val="16"/>
                <w:szCs w:val="16"/>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2DD0CD74" w14:textId="77777777" w:rsidR="00B56301" w:rsidRPr="00D85A26" w:rsidRDefault="00B56301" w:rsidP="00B37B65">
            <w:pPr>
              <w:jc w:val="right"/>
              <w:rPr>
                <w:rFonts w:asciiTheme="minorHAnsi" w:hAnsiTheme="minorHAnsi"/>
                <w:sz w:val="16"/>
                <w:szCs w:val="16"/>
              </w:rPr>
            </w:pPr>
            <w:r w:rsidRPr="00D85A26">
              <w:rPr>
                <w:sz w:val="16"/>
                <w:szCs w:val="18"/>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3E669B5B" w14:textId="77777777" w:rsidR="00B56301" w:rsidRPr="00D85A26" w:rsidRDefault="00B56301" w:rsidP="00B37B65">
            <w:pPr>
              <w:jc w:val="right"/>
              <w:rPr>
                <w:rFonts w:asciiTheme="minorHAnsi" w:hAnsiTheme="minorHAnsi"/>
                <w:sz w:val="16"/>
                <w:szCs w:val="16"/>
              </w:rPr>
            </w:pPr>
            <w:r w:rsidRPr="00D85A26">
              <w:rPr>
                <w:sz w:val="16"/>
                <w:szCs w:val="18"/>
              </w:rPr>
              <w:t>0,15</w:t>
            </w:r>
          </w:p>
        </w:tc>
        <w:tc>
          <w:tcPr>
            <w:tcW w:w="991" w:type="dxa"/>
            <w:tcBorders>
              <w:top w:val="nil"/>
              <w:left w:val="nil"/>
              <w:bottom w:val="single" w:sz="4" w:space="0" w:color="auto"/>
              <w:right w:val="single" w:sz="4" w:space="0" w:color="auto"/>
            </w:tcBorders>
            <w:shd w:val="clear" w:color="000000" w:fill="FFFFFF"/>
            <w:noWrap/>
            <w:vAlign w:val="bottom"/>
            <w:hideMark/>
          </w:tcPr>
          <w:p w14:paraId="0162BF17" w14:textId="77777777" w:rsidR="00B56301" w:rsidRPr="00D85A26" w:rsidRDefault="00B56301" w:rsidP="00B37B65">
            <w:pPr>
              <w:jc w:val="right"/>
              <w:rPr>
                <w:rFonts w:asciiTheme="minorHAnsi" w:hAnsiTheme="minorHAnsi"/>
                <w:sz w:val="16"/>
                <w:szCs w:val="16"/>
              </w:rPr>
            </w:pPr>
            <w:r w:rsidRPr="00D85A26">
              <w:rPr>
                <w:sz w:val="16"/>
                <w:szCs w:val="18"/>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44497E57" w14:textId="77777777" w:rsidR="00B56301" w:rsidRPr="00D85A26" w:rsidRDefault="00B56301" w:rsidP="00B37B65">
            <w:pPr>
              <w:jc w:val="right"/>
              <w:rPr>
                <w:rFonts w:asciiTheme="minorHAnsi" w:hAnsiTheme="minorHAnsi"/>
                <w:sz w:val="16"/>
                <w:szCs w:val="16"/>
              </w:rPr>
            </w:pPr>
            <w:r w:rsidRPr="00D85A26">
              <w:rPr>
                <w:sz w:val="16"/>
                <w:szCs w:val="18"/>
              </w:rPr>
              <w:t>0,13</w:t>
            </w:r>
          </w:p>
        </w:tc>
        <w:tc>
          <w:tcPr>
            <w:tcW w:w="991" w:type="dxa"/>
            <w:tcBorders>
              <w:top w:val="nil"/>
              <w:left w:val="nil"/>
              <w:bottom w:val="single" w:sz="4" w:space="0" w:color="auto"/>
              <w:right w:val="single" w:sz="4" w:space="0" w:color="auto"/>
            </w:tcBorders>
            <w:shd w:val="clear" w:color="000000" w:fill="FFFFFF"/>
            <w:noWrap/>
            <w:vAlign w:val="bottom"/>
            <w:hideMark/>
          </w:tcPr>
          <w:p w14:paraId="5280B728" w14:textId="77777777" w:rsidR="00B56301" w:rsidRPr="00D85A26" w:rsidRDefault="00B56301" w:rsidP="00B37B65">
            <w:pPr>
              <w:jc w:val="right"/>
              <w:rPr>
                <w:rFonts w:asciiTheme="minorHAnsi" w:hAnsiTheme="minorHAnsi"/>
                <w:sz w:val="16"/>
                <w:szCs w:val="16"/>
              </w:rPr>
            </w:pPr>
            <w:r w:rsidRPr="00D85A26">
              <w:rPr>
                <w:sz w:val="16"/>
                <w:szCs w:val="18"/>
              </w:rPr>
              <w:t>0,06</w:t>
            </w:r>
          </w:p>
        </w:tc>
        <w:tc>
          <w:tcPr>
            <w:tcW w:w="991" w:type="dxa"/>
            <w:tcBorders>
              <w:top w:val="nil"/>
              <w:left w:val="nil"/>
              <w:bottom w:val="single" w:sz="4" w:space="0" w:color="auto"/>
              <w:right w:val="single" w:sz="4" w:space="0" w:color="auto"/>
            </w:tcBorders>
            <w:shd w:val="clear" w:color="000000" w:fill="FFFFFF"/>
            <w:noWrap/>
            <w:vAlign w:val="bottom"/>
            <w:hideMark/>
          </w:tcPr>
          <w:p w14:paraId="2EFF5FE2"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833C38" w14:paraId="6201D5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AA3934" w14:textId="4B181AF4"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 xml:space="preserve">C. </w:t>
            </w:r>
            <w:r w:rsidR="007F09F7" w:rsidRPr="006C251B">
              <w:rPr>
                <w:lang w:val="en-GB"/>
              </w:rPr>
              <w:t>CO</w:t>
            </w:r>
            <w:r w:rsidR="007F09F7" w:rsidRPr="006C251B">
              <w:rPr>
                <w:vertAlign w:val="subscript"/>
                <w:lang w:val="en-GB"/>
              </w:rPr>
              <w:t>2</w:t>
            </w:r>
            <w:r w:rsidRPr="00D85A26">
              <w:rPr>
                <w:rFonts w:asciiTheme="minorHAnsi" w:hAnsiTheme="minorHAnsi"/>
                <w:sz w:val="16"/>
                <w:szCs w:val="16"/>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0C61665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9F16E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3D8D5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563B65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D56235B"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C974368"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7F45D54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66B9D3" w14:textId="7731D663"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2.</w:t>
            </w:r>
            <w:r w:rsidR="00260E0B">
              <w:rPr>
                <w:rFonts w:asciiTheme="minorHAnsi" w:hAnsiTheme="minorHAnsi"/>
                <w:b/>
                <w:bCs/>
                <w:sz w:val="16"/>
                <w:szCs w:val="16"/>
              </w:rPr>
              <w:t xml:space="preserve"> </w:t>
            </w:r>
            <w:r w:rsidRPr="00D85A26">
              <w:rPr>
                <w:rFonts w:asciiTheme="minorHAnsi" w:hAnsiTheme="minorHAnsi"/>
                <w:b/>
                <w:bCs/>
                <w:sz w:val="16"/>
                <w:szCs w:val="16"/>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2EF3C911" w14:textId="77777777" w:rsidR="00B56301" w:rsidRPr="00D85A26" w:rsidRDefault="00B56301" w:rsidP="00B37B65">
            <w:pPr>
              <w:jc w:val="right"/>
              <w:rPr>
                <w:rFonts w:asciiTheme="minorHAnsi" w:hAnsiTheme="minorHAnsi"/>
                <w:sz w:val="16"/>
                <w:szCs w:val="16"/>
              </w:rPr>
            </w:pPr>
            <w:r w:rsidRPr="00D85A26">
              <w:rPr>
                <w:sz w:val="16"/>
                <w:szCs w:val="18"/>
              </w:rPr>
              <w:t>18,90</w:t>
            </w:r>
          </w:p>
        </w:tc>
        <w:tc>
          <w:tcPr>
            <w:tcW w:w="991" w:type="dxa"/>
            <w:tcBorders>
              <w:top w:val="nil"/>
              <w:left w:val="nil"/>
              <w:bottom w:val="single" w:sz="4" w:space="0" w:color="auto"/>
              <w:right w:val="single" w:sz="4" w:space="0" w:color="auto"/>
            </w:tcBorders>
            <w:shd w:val="clear" w:color="000000" w:fill="CCFFFF"/>
            <w:noWrap/>
            <w:vAlign w:val="bottom"/>
            <w:hideMark/>
          </w:tcPr>
          <w:p w14:paraId="59755CED" w14:textId="77777777" w:rsidR="00B56301" w:rsidRPr="00D85A26" w:rsidRDefault="00B56301" w:rsidP="00B37B65">
            <w:pPr>
              <w:jc w:val="right"/>
              <w:rPr>
                <w:rFonts w:asciiTheme="minorHAnsi" w:hAnsiTheme="minorHAnsi"/>
                <w:sz w:val="16"/>
                <w:szCs w:val="16"/>
              </w:rPr>
            </w:pPr>
            <w:r w:rsidRPr="00D85A26">
              <w:rPr>
                <w:sz w:val="16"/>
                <w:szCs w:val="18"/>
              </w:rPr>
              <w:t>15,57</w:t>
            </w:r>
          </w:p>
        </w:tc>
        <w:tc>
          <w:tcPr>
            <w:tcW w:w="991" w:type="dxa"/>
            <w:tcBorders>
              <w:top w:val="nil"/>
              <w:left w:val="nil"/>
              <w:bottom w:val="single" w:sz="4" w:space="0" w:color="auto"/>
              <w:right w:val="single" w:sz="4" w:space="0" w:color="auto"/>
            </w:tcBorders>
            <w:shd w:val="clear" w:color="000000" w:fill="CCFFFF"/>
            <w:noWrap/>
            <w:vAlign w:val="bottom"/>
            <w:hideMark/>
          </w:tcPr>
          <w:p w14:paraId="067AE271" w14:textId="77777777" w:rsidR="00B56301" w:rsidRPr="00D85A26" w:rsidRDefault="00B56301" w:rsidP="00B37B65">
            <w:pPr>
              <w:jc w:val="right"/>
              <w:rPr>
                <w:rFonts w:asciiTheme="minorHAnsi" w:hAnsiTheme="minorHAnsi"/>
                <w:sz w:val="16"/>
                <w:szCs w:val="16"/>
              </w:rPr>
            </w:pPr>
            <w:r w:rsidRPr="00D85A26">
              <w:rPr>
                <w:sz w:val="16"/>
                <w:szCs w:val="18"/>
              </w:rPr>
              <w:t>13,17</w:t>
            </w:r>
          </w:p>
        </w:tc>
        <w:tc>
          <w:tcPr>
            <w:tcW w:w="991" w:type="dxa"/>
            <w:tcBorders>
              <w:top w:val="nil"/>
              <w:left w:val="nil"/>
              <w:bottom w:val="single" w:sz="4" w:space="0" w:color="auto"/>
              <w:right w:val="single" w:sz="4" w:space="0" w:color="auto"/>
            </w:tcBorders>
            <w:shd w:val="clear" w:color="000000" w:fill="CCFFFF"/>
            <w:noWrap/>
            <w:vAlign w:val="bottom"/>
            <w:hideMark/>
          </w:tcPr>
          <w:p w14:paraId="334DC392" w14:textId="77777777" w:rsidR="00B56301" w:rsidRPr="00D85A26" w:rsidRDefault="00B56301" w:rsidP="00B37B65">
            <w:pPr>
              <w:jc w:val="right"/>
              <w:rPr>
                <w:rFonts w:asciiTheme="minorHAnsi" w:hAnsiTheme="minorHAnsi"/>
                <w:sz w:val="16"/>
                <w:szCs w:val="16"/>
              </w:rPr>
            </w:pPr>
            <w:r w:rsidRPr="00D85A26">
              <w:rPr>
                <w:sz w:val="16"/>
                <w:szCs w:val="18"/>
              </w:rPr>
              <w:t>7,67</w:t>
            </w:r>
          </w:p>
        </w:tc>
        <w:tc>
          <w:tcPr>
            <w:tcW w:w="991" w:type="dxa"/>
            <w:tcBorders>
              <w:top w:val="nil"/>
              <w:left w:val="nil"/>
              <w:bottom w:val="single" w:sz="4" w:space="0" w:color="auto"/>
              <w:right w:val="single" w:sz="4" w:space="0" w:color="auto"/>
            </w:tcBorders>
            <w:shd w:val="clear" w:color="000000" w:fill="CCFFFF"/>
            <w:noWrap/>
            <w:vAlign w:val="bottom"/>
            <w:hideMark/>
          </w:tcPr>
          <w:p w14:paraId="49548C8F" w14:textId="77777777" w:rsidR="00B56301" w:rsidRPr="00D85A26" w:rsidRDefault="00B56301" w:rsidP="00B37B65">
            <w:pPr>
              <w:jc w:val="right"/>
              <w:rPr>
                <w:rFonts w:asciiTheme="minorHAnsi" w:hAnsiTheme="minorHAnsi"/>
                <w:sz w:val="16"/>
                <w:szCs w:val="16"/>
              </w:rPr>
            </w:pPr>
            <w:r w:rsidRPr="00D85A26">
              <w:rPr>
                <w:sz w:val="16"/>
                <w:szCs w:val="18"/>
              </w:rPr>
              <w:t>4,65</w:t>
            </w:r>
          </w:p>
        </w:tc>
        <w:tc>
          <w:tcPr>
            <w:tcW w:w="991" w:type="dxa"/>
            <w:tcBorders>
              <w:top w:val="nil"/>
              <w:left w:val="nil"/>
              <w:bottom w:val="single" w:sz="4" w:space="0" w:color="auto"/>
              <w:right w:val="single" w:sz="4" w:space="0" w:color="auto"/>
            </w:tcBorders>
            <w:shd w:val="clear" w:color="000000" w:fill="CCFFFF"/>
            <w:noWrap/>
            <w:vAlign w:val="bottom"/>
            <w:hideMark/>
          </w:tcPr>
          <w:p w14:paraId="4BA11F98" w14:textId="77777777" w:rsidR="00B56301" w:rsidRPr="00D85A26" w:rsidRDefault="00B56301" w:rsidP="00B37B65">
            <w:pPr>
              <w:jc w:val="right"/>
              <w:rPr>
                <w:rFonts w:asciiTheme="minorHAnsi" w:hAnsiTheme="minorHAnsi"/>
                <w:sz w:val="16"/>
                <w:szCs w:val="16"/>
              </w:rPr>
            </w:pPr>
            <w:r w:rsidRPr="00D85A26">
              <w:rPr>
                <w:sz w:val="16"/>
                <w:szCs w:val="18"/>
              </w:rPr>
              <w:t>3,43</w:t>
            </w:r>
          </w:p>
        </w:tc>
      </w:tr>
      <w:tr w:rsidR="00B56301" w:rsidRPr="00D85A26" w14:paraId="23C797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5149E99" w14:textId="4DFA7A6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315334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5C8FD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06362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57EE8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6676C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E8746F"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310AE32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B108BAC" w14:textId="1D3633D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04CB2852" w14:textId="77777777" w:rsidR="00B56301" w:rsidRPr="00D85A26" w:rsidRDefault="00B56301" w:rsidP="00B37B65">
            <w:pPr>
              <w:jc w:val="right"/>
              <w:rPr>
                <w:rFonts w:asciiTheme="minorHAnsi" w:hAnsiTheme="minorHAnsi"/>
                <w:sz w:val="16"/>
                <w:szCs w:val="16"/>
              </w:rPr>
            </w:pPr>
            <w:r w:rsidRPr="00D85A26">
              <w:rPr>
                <w:sz w:val="16"/>
                <w:szCs w:val="18"/>
              </w:rPr>
              <w:t>18,46</w:t>
            </w:r>
          </w:p>
        </w:tc>
        <w:tc>
          <w:tcPr>
            <w:tcW w:w="991" w:type="dxa"/>
            <w:tcBorders>
              <w:top w:val="nil"/>
              <w:left w:val="nil"/>
              <w:bottom w:val="single" w:sz="4" w:space="0" w:color="auto"/>
              <w:right w:val="single" w:sz="4" w:space="0" w:color="auto"/>
            </w:tcBorders>
            <w:shd w:val="clear" w:color="000000" w:fill="FFFFFF"/>
            <w:noWrap/>
            <w:vAlign w:val="bottom"/>
            <w:hideMark/>
          </w:tcPr>
          <w:p w14:paraId="00D6754F" w14:textId="77777777" w:rsidR="00B56301" w:rsidRPr="00D85A26" w:rsidRDefault="00B56301" w:rsidP="00B37B65">
            <w:pPr>
              <w:jc w:val="right"/>
              <w:rPr>
                <w:rFonts w:asciiTheme="minorHAnsi" w:hAnsiTheme="minorHAnsi"/>
                <w:sz w:val="16"/>
                <w:szCs w:val="16"/>
              </w:rPr>
            </w:pPr>
            <w:r w:rsidRPr="00D85A26">
              <w:rPr>
                <w:sz w:val="16"/>
                <w:szCs w:val="18"/>
              </w:rPr>
              <w:t>15,13</w:t>
            </w:r>
          </w:p>
        </w:tc>
        <w:tc>
          <w:tcPr>
            <w:tcW w:w="991" w:type="dxa"/>
            <w:tcBorders>
              <w:top w:val="nil"/>
              <w:left w:val="nil"/>
              <w:bottom w:val="single" w:sz="4" w:space="0" w:color="auto"/>
              <w:right w:val="single" w:sz="4" w:space="0" w:color="auto"/>
            </w:tcBorders>
            <w:shd w:val="clear" w:color="000000" w:fill="FFFFFF"/>
            <w:noWrap/>
            <w:vAlign w:val="bottom"/>
            <w:hideMark/>
          </w:tcPr>
          <w:p w14:paraId="3E5F0EEC" w14:textId="77777777" w:rsidR="00B56301" w:rsidRPr="00D85A26" w:rsidRDefault="00B56301" w:rsidP="00B37B65">
            <w:pPr>
              <w:jc w:val="right"/>
              <w:rPr>
                <w:rFonts w:asciiTheme="minorHAnsi" w:hAnsiTheme="minorHAnsi"/>
                <w:sz w:val="16"/>
                <w:szCs w:val="16"/>
              </w:rPr>
            </w:pPr>
            <w:r w:rsidRPr="00D85A26">
              <w:rPr>
                <w:sz w:val="16"/>
                <w:szCs w:val="18"/>
              </w:rPr>
              <w:t>12,73</w:t>
            </w:r>
          </w:p>
        </w:tc>
        <w:tc>
          <w:tcPr>
            <w:tcW w:w="991" w:type="dxa"/>
            <w:tcBorders>
              <w:top w:val="nil"/>
              <w:left w:val="nil"/>
              <w:bottom w:val="single" w:sz="4" w:space="0" w:color="auto"/>
              <w:right w:val="single" w:sz="4" w:space="0" w:color="auto"/>
            </w:tcBorders>
            <w:shd w:val="clear" w:color="000000" w:fill="FFFFFF"/>
            <w:noWrap/>
            <w:vAlign w:val="bottom"/>
            <w:hideMark/>
          </w:tcPr>
          <w:p w14:paraId="5FCC488E" w14:textId="77777777" w:rsidR="00B56301" w:rsidRPr="00D85A26" w:rsidRDefault="00B56301" w:rsidP="00B37B65">
            <w:pPr>
              <w:jc w:val="right"/>
              <w:rPr>
                <w:rFonts w:asciiTheme="minorHAnsi" w:hAnsiTheme="minorHAnsi"/>
                <w:sz w:val="16"/>
                <w:szCs w:val="16"/>
              </w:rPr>
            </w:pPr>
            <w:r w:rsidRPr="00D85A26">
              <w:rPr>
                <w:sz w:val="16"/>
                <w:szCs w:val="18"/>
              </w:rPr>
              <w:t>7,23</w:t>
            </w:r>
          </w:p>
        </w:tc>
        <w:tc>
          <w:tcPr>
            <w:tcW w:w="991" w:type="dxa"/>
            <w:tcBorders>
              <w:top w:val="nil"/>
              <w:left w:val="nil"/>
              <w:bottom w:val="single" w:sz="4" w:space="0" w:color="auto"/>
              <w:right w:val="single" w:sz="4" w:space="0" w:color="auto"/>
            </w:tcBorders>
            <w:shd w:val="clear" w:color="000000" w:fill="FFFFFF"/>
            <w:noWrap/>
            <w:vAlign w:val="bottom"/>
            <w:hideMark/>
          </w:tcPr>
          <w:p w14:paraId="3B084634" w14:textId="77777777" w:rsidR="00B56301" w:rsidRPr="00D85A26" w:rsidRDefault="00B56301" w:rsidP="00B37B65">
            <w:pPr>
              <w:jc w:val="right"/>
              <w:rPr>
                <w:rFonts w:asciiTheme="minorHAnsi" w:hAnsiTheme="minorHAnsi"/>
                <w:sz w:val="16"/>
                <w:szCs w:val="16"/>
              </w:rPr>
            </w:pPr>
            <w:r w:rsidRPr="00D85A26">
              <w:rPr>
                <w:sz w:val="16"/>
                <w:szCs w:val="18"/>
              </w:rPr>
              <w:t>4,21</w:t>
            </w:r>
          </w:p>
        </w:tc>
        <w:tc>
          <w:tcPr>
            <w:tcW w:w="991" w:type="dxa"/>
            <w:tcBorders>
              <w:top w:val="nil"/>
              <w:left w:val="nil"/>
              <w:bottom w:val="single" w:sz="4" w:space="0" w:color="auto"/>
              <w:right w:val="single" w:sz="4" w:space="0" w:color="auto"/>
            </w:tcBorders>
            <w:shd w:val="clear" w:color="000000" w:fill="FFFFFF"/>
            <w:noWrap/>
            <w:vAlign w:val="bottom"/>
            <w:hideMark/>
          </w:tcPr>
          <w:p w14:paraId="477A11D5" w14:textId="77777777" w:rsidR="00B56301" w:rsidRPr="00D85A26" w:rsidRDefault="00B56301" w:rsidP="00B37B65">
            <w:pPr>
              <w:jc w:val="right"/>
              <w:rPr>
                <w:rFonts w:asciiTheme="minorHAnsi" w:hAnsiTheme="minorHAnsi"/>
                <w:sz w:val="16"/>
                <w:szCs w:val="16"/>
              </w:rPr>
            </w:pPr>
            <w:r w:rsidRPr="00D85A26">
              <w:rPr>
                <w:sz w:val="16"/>
                <w:szCs w:val="18"/>
              </w:rPr>
              <w:t>2,98</w:t>
            </w:r>
          </w:p>
        </w:tc>
      </w:tr>
      <w:tr w:rsidR="00B56301" w:rsidRPr="00D85A26" w14:paraId="608BB87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B95A04" w14:textId="4370371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26BEEED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5DCBDF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06F7D4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024CAA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E7F50AC"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54699EB"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4DD8E5B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B3197BB" w14:textId="42FF5C94"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6896D898"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E001C34"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546E0B0"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6B26AC0F"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5A39969"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30412298" w14:textId="77777777" w:rsidR="00B56301" w:rsidRPr="00D85A26" w:rsidRDefault="00B56301" w:rsidP="00B37B65">
            <w:pPr>
              <w:jc w:val="right"/>
              <w:rPr>
                <w:rFonts w:asciiTheme="minorHAnsi" w:hAnsiTheme="minorHAnsi"/>
                <w:sz w:val="16"/>
                <w:szCs w:val="16"/>
              </w:rPr>
            </w:pPr>
            <w:r w:rsidRPr="00D85A26">
              <w:rPr>
                <w:sz w:val="16"/>
                <w:szCs w:val="18"/>
              </w:rPr>
              <w:t>0,01</w:t>
            </w:r>
          </w:p>
        </w:tc>
      </w:tr>
      <w:tr w:rsidR="00B56301" w:rsidRPr="00D85A26" w14:paraId="544E27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F104FB" w14:textId="598F7C1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7D58DBC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F5911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BCC8AD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F7C96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73AB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94F380"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1DF5D3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55312D2" w14:textId="7097A45D"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6F05D921"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E67B4D5"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91344E"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9087E1"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FB979D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982E77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153AC6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ACB8C67" w14:textId="04897E39"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G.</w:t>
            </w:r>
            <w:r w:rsidR="00260E0B">
              <w:rPr>
                <w:rFonts w:asciiTheme="minorHAnsi" w:hAnsiTheme="minorHAnsi"/>
                <w:sz w:val="16"/>
                <w:szCs w:val="16"/>
                <w:lang w:val="en-GB"/>
              </w:rPr>
              <w:t xml:space="preserve"> </w:t>
            </w:r>
            <w:r w:rsidRPr="00D85A26">
              <w:rPr>
                <w:rFonts w:asciiTheme="minorHAnsi" w:hAnsiTheme="minorHAnsi"/>
                <w:sz w:val="16"/>
                <w:szCs w:val="16"/>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6DD6544F"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526D5582"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47762AFA"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1B5B8EFE"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22895568"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099E33ED" w14:textId="77777777" w:rsidR="00B56301" w:rsidRPr="00D85A26" w:rsidRDefault="00B56301" w:rsidP="00B37B65">
            <w:pPr>
              <w:jc w:val="right"/>
              <w:rPr>
                <w:rFonts w:asciiTheme="minorHAnsi" w:hAnsiTheme="minorHAnsi"/>
                <w:sz w:val="16"/>
                <w:szCs w:val="16"/>
              </w:rPr>
            </w:pPr>
            <w:r w:rsidRPr="00D85A26">
              <w:rPr>
                <w:sz w:val="16"/>
                <w:szCs w:val="18"/>
              </w:rPr>
              <w:t>0,44</w:t>
            </w:r>
          </w:p>
        </w:tc>
      </w:tr>
      <w:tr w:rsidR="00B56301" w:rsidRPr="00D85A26" w14:paraId="0F8830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AEFD098" w14:textId="29BBFCB1"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2D22090C"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0DC1E32F"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2354309"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30599C9E"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8DA25E6"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3ECD3DA" w14:textId="77777777" w:rsidR="00B56301" w:rsidRPr="00D85A26" w:rsidRDefault="00B56301" w:rsidP="00B37B65">
            <w:pPr>
              <w:jc w:val="right"/>
              <w:rPr>
                <w:rFonts w:asciiTheme="minorHAnsi" w:hAnsiTheme="minorHAnsi"/>
                <w:sz w:val="16"/>
                <w:szCs w:val="16"/>
              </w:rPr>
            </w:pPr>
            <w:r w:rsidRPr="00D85A26">
              <w:rPr>
                <w:sz w:val="16"/>
                <w:szCs w:val="18"/>
              </w:rPr>
              <w:t>NO,NA</w:t>
            </w:r>
          </w:p>
        </w:tc>
      </w:tr>
      <w:tr w:rsidR="00B56301" w:rsidRPr="00D85A26" w14:paraId="1AAF95A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6AF1FB2" w14:textId="2BD9DDAE"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3.</w:t>
            </w:r>
            <w:r w:rsidR="00260E0B">
              <w:rPr>
                <w:rFonts w:asciiTheme="minorHAnsi" w:hAnsiTheme="minorHAnsi"/>
                <w:b/>
                <w:bCs/>
                <w:sz w:val="16"/>
                <w:szCs w:val="16"/>
              </w:rPr>
              <w:t xml:space="preserve"> </w:t>
            </w:r>
            <w:r w:rsidRPr="00D85A26">
              <w:rPr>
                <w:rFonts w:asciiTheme="minorHAnsi" w:hAnsiTheme="minorHAnsi"/>
                <w:b/>
                <w:bCs/>
                <w:sz w:val="16"/>
                <w:szCs w:val="16"/>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375FEED1" w14:textId="77777777" w:rsidR="00B56301" w:rsidRPr="00D85A26" w:rsidRDefault="00B56301" w:rsidP="00B37B65">
            <w:pPr>
              <w:jc w:val="right"/>
              <w:rPr>
                <w:rFonts w:asciiTheme="minorHAnsi" w:hAnsiTheme="minorHAnsi"/>
                <w:sz w:val="16"/>
                <w:szCs w:val="16"/>
              </w:rPr>
            </w:pPr>
            <w:r w:rsidRPr="00D85A26">
              <w:rPr>
                <w:sz w:val="16"/>
                <w:szCs w:val="18"/>
              </w:rPr>
              <w:t>117,16</w:t>
            </w:r>
          </w:p>
        </w:tc>
        <w:tc>
          <w:tcPr>
            <w:tcW w:w="991" w:type="dxa"/>
            <w:tcBorders>
              <w:top w:val="nil"/>
              <w:left w:val="nil"/>
              <w:bottom w:val="single" w:sz="4" w:space="0" w:color="auto"/>
              <w:right w:val="single" w:sz="4" w:space="0" w:color="auto"/>
            </w:tcBorders>
            <w:shd w:val="clear" w:color="000000" w:fill="CCFFFF"/>
            <w:noWrap/>
            <w:vAlign w:val="bottom"/>
            <w:hideMark/>
          </w:tcPr>
          <w:p w14:paraId="7659AB34" w14:textId="77777777" w:rsidR="00B56301" w:rsidRPr="00D85A26" w:rsidRDefault="00B56301" w:rsidP="00B37B65">
            <w:pPr>
              <w:jc w:val="right"/>
              <w:rPr>
                <w:rFonts w:asciiTheme="minorHAnsi" w:hAnsiTheme="minorHAnsi"/>
                <w:sz w:val="16"/>
                <w:szCs w:val="16"/>
              </w:rPr>
            </w:pPr>
            <w:r w:rsidRPr="00D85A26">
              <w:rPr>
                <w:sz w:val="16"/>
                <w:szCs w:val="18"/>
              </w:rPr>
              <w:t>118,04</w:t>
            </w:r>
          </w:p>
        </w:tc>
        <w:tc>
          <w:tcPr>
            <w:tcW w:w="991" w:type="dxa"/>
            <w:tcBorders>
              <w:top w:val="nil"/>
              <w:left w:val="nil"/>
              <w:bottom w:val="single" w:sz="4" w:space="0" w:color="auto"/>
              <w:right w:val="single" w:sz="4" w:space="0" w:color="auto"/>
            </w:tcBorders>
            <w:shd w:val="clear" w:color="000000" w:fill="CCFFFF"/>
            <w:noWrap/>
            <w:vAlign w:val="bottom"/>
            <w:hideMark/>
          </w:tcPr>
          <w:p w14:paraId="6909DD94" w14:textId="77777777" w:rsidR="00B56301" w:rsidRPr="00D85A26" w:rsidRDefault="00B56301" w:rsidP="00B37B65">
            <w:pPr>
              <w:jc w:val="right"/>
              <w:rPr>
                <w:rFonts w:asciiTheme="minorHAnsi" w:hAnsiTheme="minorHAnsi"/>
                <w:sz w:val="16"/>
                <w:szCs w:val="16"/>
              </w:rPr>
            </w:pPr>
            <w:r w:rsidRPr="00D85A26">
              <w:rPr>
                <w:sz w:val="16"/>
                <w:szCs w:val="18"/>
              </w:rPr>
              <w:t>115,94</w:t>
            </w:r>
          </w:p>
        </w:tc>
        <w:tc>
          <w:tcPr>
            <w:tcW w:w="991" w:type="dxa"/>
            <w:tcBorders>
              <w:top w:val="nil"/>
              <w:left w:val="nil"/>
              <w:bottom w:val="single" w:sz="4" w:space="0" w:color="auto"/>
              <w:right w:val="single" w:sz="4" w:space="0" w:color="auto"/>
            </w:tcBorders>
            <w:shd w:val="clear" w:color="000000" w:fill="CCFFFF"/>
            <w:noWrap/>
            <w:vAlign w:val="bottom"/>
            <w:hideMark/>
          </w:tcPr>
          <w:p w14:paraId="3A8661FD" w14:textId="77777777" w:rsidR="00B56301" w:rsidRPr="00D85A26" w:rsidRDefault="00B56301" w:rsidP="00B37B65">
            <w:pPr>
              <w:jc w:val="right"/>
              <w:rPr>
                <w:rFonts w:asciiTheme="minorHAnsi" w:hAnsiTheme="minorHAnsi"/>
                <w:sz w:val="16"/>
                <w:szCs w:val="16"/>
              </w:rPr>
            </w:pPr>
            <w:r w:rsidRPr="00D85A26">
              <w:rPr>
                <w:sz w:val="16"/>
                <w:szCs w:val="18"/>
              </w:rPr>
              <w:t>113,73</w:t>
            </w:r>
          </w:p>
        </w:tc>
        <w:tc>
          <w:tcPr>
            <w:tcW w:w="991" w:type="dxa"/>
            <w:tcBorders>
              <w:top w:val="nil"/>
              <w:left w:val="nil"/>
              <w:bottom w:val="single" w:sz="4" w:space="0" w:color="auto"/>
              <w:right w:val="single" w:sz="4" w:space="0" w:color="auto"/>
            </w:tcBorders>
            <w:shd w:val="clear" w:color="000000" w:fill="CCFFFF"/>
            <w:noWrap/>
            <w:vAlign w:val="bottom"/>
            <w:hideMark/>
          </w:tcPr>
          <w:p w14:paraId="5069FDFA" w14:textId="77777777" w:rsidR="00B56301" w:rsidRPr="00D85A26" w:rsidRDefault="00B56301" w:rsidP="00B37B65">
            <w:pPr>
              <w:jc w:val="right"/>
              <w:rPr>
                <w:rFonts w:asciiTheme="minorHAnsi" w:hAnsiTheme="minorHAnsi"/>
                <w:sz w:val="16"/>
                <w:szCs w:val="16"/>
              </w:rPr>
            </w:pPr>
            <w:r w:rsidRPr="00D85A26">
              <w:rPr>
                <w:sz w:val="16"/>
                <w:szCs w:val="18"/>
              </w:rPr>
              <w:t>111,73</w:t>
            </w:r>
          </w:p>
        </w:tc>
        <w:tc>
          <w:tcPr>
            <w:tcW w:w="991" w:type="dxa"/>
            <w:tcBorders>
              <w:top w:val="nil"/>
              <w:left w:val="nil"/>
              <w:bottom w:val="single" w:sz="4" w:space="0" w:color="auto"/>
              <w:right w:val="single" w:sz="4" w:space="0" w:color="auto"/>
            </w:tcBorders>
            <w:shd w:val="clear" w:color="000000" w:fill="CCFFFF"/>
            <w:noWrap/>
            <w:vAlign w:val="bottom"/>
            <w:hideMark/>
          </w:tcPr>
          <w:p w14:paraId="0D413C36" w14:textId="77777777" w:rsidR="00B56301" w:rsidRPr="00D85A26" w:rsidRDefault="00B56301" w:rsidP="00B37B65">
            <w:pPr>
              <w:jc w:val="right"/>
              <w:rPr>
                <w:rFonts w:asciiTheme="minorHAnsi" w:hAnsiTheme="minorHAnsi"/>
                <w:sz w:val="16"/>
                <w:szCs w:val="16"/>
              </w:rPr>
            </w:pPr>
            <w:r w:rsidRPr="00D85A26">
              <w:rPr>
                <w:sz w:val="16"/>
                <w:szCs w:val="18"/>
              </w:rPr>
              <w:t>113,51</w:t>
            </w:r>
          </w:p>
        </w:tc>
      </w:tr>
      <w:tr w:rsidR="00B56301" w:rsidRPr="00D85A26" w14:paraId="085523E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D0DA7D9" w14:textId="601A2BB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6FED0AC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C3FB3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89555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9C5EF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3506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60DEED"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0E5D23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5048C9" w14:textId="670BB43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3405335E" w14:textId="77777777" w:rsidR="00B56301" w:rsidRPr="00D85A26" w:rsidRDefault="00B56301" w:rsidP="00B37B65">
            <w:pPr>
              <w:jc w:val="right"/>
              <w:rPr>
                <w:rFonts w:asciiTheme="minorHAnsi" w:hAnsiTheme="minorHAnsi"/>
                <w:sz w:val="16"/>
                <w:szCs w:val="16"/>
              </w:rPr>
            </w:pPr>
            <w:r w:rsidRPr="00D85A26">
              <w:rPr>
                <w:sz w:val="16"/>
                <w:szCs w:val="18"/>
              </w:rPr>
              <w:t>8,69</w:t>
            </w:r>
          </w:p>
        </w:tc>
        <w:tc>
          <w:tcPr>
            <w:tcW w:w="991" w:type="dxa"/>
            <w:tcBorders>
              <w:top w:val="nil"/>
              <w:left w:val="nil"/>
              <w:bottom w:val="single" w:sz="4" w:space="0" w:color="auto"/>
              <w:right w:val="single" w:sz="4" w:space="0" w:color="auto"/>
            </w:tcBorders>
            <w:shd w:val="clear" w:color="000000" w:fill="FFFFFF"/>
            <w:noWrap/>
            <w:vAlign w:val="bottom"/>
            <w:hideMark/>
          </w:tcPr>
          <w:p w14:paraId="469069A6" w14:textId="77777777" w:rsidR="00B56301" w:rsidRPr="00D85A26" w:rsidRDefault="00B56301" w:rsidP="00B37B65">
            <w:pPr>
              <w:jc w:val="right"/>
              <w:rPr>
                <w:rFonts w:asciiTheme="minorHAnsi" w:hAnsiTheme="minorHAnsi"/>
                <w:sz w:val="16"/>
                <w:szCs w:val="16"/>
              </w:rPr>
            </w:pPr>
            <w:r w:rsidRPr="00D85A26">
              <w:rPr>
                <w:sz w:val="16"/>
                <w:szCs w:val="18"/>
              </w:rPr>
              <w:t>8,81</w:t>
            </w:r>
          </w:p>
        </w:tc>
        <w:tc>
          <w:tcPr>
            <w:tcW w:w="991" w:type="dxa"/>
            <w:tcBorders>
              <w:top w:val="nil"/>
              <w:left w:val="nil"/>
              <w:bottom w:val="single" w:sz="4" w:space="0" w:color="auto"/>
              <w:right w:val="single" w:sz="4" w:space="0" w:color="auto"/>
            </w:tcBorders>
            <w:shd w:val="clear" w:color="000000" w:fill="FFFFFF"/>
            <w:noWrap/>
            <w:vAlign w:val="bottom"/>
            <w:hideMark/>
          </w:tcPr>
          <w:p w14:paraId="2D31F09A" w14:textId="77777777" w:rsidR="00B56301" w:rsidRPr="00D85A26" w:rsidRDefault="00B56301" w:rsidP="00B37B65">
            <w:pPr>
              <w:jc w:val="right"/>
              <w:rPr>
                <w:rFonts w:asciiTheme="minorHAnsi" w:hAnsiTheme="minorHAnsi"/>
                <w:sz w:val="16"/>
                <w:szCs w:val="16"/>
              </w:rPr>
            </w:pPr>
            <w:r w:rsidRPr="00D85A26">
              <w:rPr>
                <w:sz w:val="16"/>
                <w:szCs w:val="18"/>
              </w:rPr>
              <w:t>8,68</w:t>
            </w:r>
          </w:p>
        </w:tc>
        <w:tc>
          <w:tcPr>
            <w:tcW w:w="991" w:type="dxa"/>
            <w:tcBorders>
              <w:top w:val="nil"/>
              <w:left w:val="nil"/>
              <w:bottom w:val="single" w:sz="4" w:space="0" w:color="auto"/>
              <w:right w:val="single" w:sz="4" w:space="0" w:color="auto"/>
            </w:tcBorders>
            <w:shd w:val="clear" w:color="000000" w:fill="FFFFFF"/>
            <w:noWrap/>
            <w:vAlign w:val="bottom"/>
            <w:hideMark/>
          </w:tcPr>
          <w:p w14:paraId="6FE821FA" w14:textId="77777777" w:rsidR="00B56301" w:rsidRPr="00D85A26" w:rsidRDefault="00B56301" w:rsidP="00B37B65">
            <w:pPr>
              <w:jc w:val="right"/>
              <w:rPr>
                <w:rFonts w:asciiTheme="minorHAnsi" w:hAnsiTheme="minorHAnsi"/>
                <w:sz w:val="16"/>
                <w:szCs w:val="16"/>
              </w:rPr>
            </w:pPr>
            <w:r w:rsidRPr="00D85A26">
              <w:rPr>
                <w:sz w:val="16"/>
                <w:szCs w:val="18"/>
              </w:rPr>
              <w:t>8,63</w:t>
            </w:r>
          </w:p>
        </w:tc>
        <w:tc>
          <w:tcPr>
            <w:tcW w:w="991" w:type="dxa"/>
            <w:tcBorders>
              <w:top w:val="nil"/>
              <w:left w:val="nil"/>
              <w:bottom w:val="single" w:sz="4" w:space="0" w:color="auto"/>
              <w:right w:val="single" w:sz="4" w:space="0" w:color="auto"/>
            </w:tcBorders>
            <w:shd w:val="clear" w:color="000000" w:fill="FFFFFF"/>
            <w:noWrap/>
            <w:vAlign w:val="bottom"/>
            <w:hideMark/>
          </w:tcPr>
          <w:p w14:paraId="376C7273" w14:textId="77777777" w:rsidR="00B56301" w:rsidRPr="00D85A26" w:rsidRDefault="00B56301" w:rsidP="00B37B65">
            <w:pPr>
              <w:jc w:val="right"/>
              <w:rPr>
                <w:rFonts w:asciiTheme="minorHAnsi" w:hAnsiTheme="minorHAnsi"/>
                <w:sz w:val="16"/>
                <w:szCs w:val="16"/>
              </w:rPr>
            </w:pPr>
            <w:r w:rsidRPr="00D85A26">
              <w:rPr>
                <w:sz w:val="16"/>
                <w:szCs w:val="18"/>
              </w:rPr>
              <w:t>8,59</w:t>
            </w:r>
          </w:p>
        </w:tc>
        <w:tc>
          <w:tcPr>
            <w:tcW w:w="991" w:type="dxa"/>
            <w:tcBorders>
              <w:top w:val="nil"/>
              <w:left w:val="nil"/>
              <w:bottom w:val="single" w:sz="4" w:space="0" w:color="auto"/>
              <w:right w:val="single" w:sz="4" w:space="0" w:color="auto"/>
            </w:tcBorders>
            <w:shd w:val="clear" w:color="000000" w:fill="FFFFFF"/>
            <w:noWrap/>
            <w:vAlign w:val="bottom"/>
            <w:hideMark/>
          </w:tcPr>
          <w:p w14:paraId="566F7EB7" w14:textId="77777777" w:rsidR="00B56301" w:rsidRPr="00D85A26" w:rsidRDefault="00B56301" w:rsidP="00B37B65">
            <w:pPr>
              <w:jc w:val="right"/>
              <w:rPr>
                <w:rFonts w:asciiTheme="minorHAnsi" w:hAnsiTheme="minorHAnsi"/>
                <w:sz w:val="16"/>
                <w:szCs w:val="16"/>
              </w:rPr>
            </w:pPr>
            <w:r w:rsidRPr="00D85A26">
              <w:rPr>
                <w:sz w:val="16"/>
                <w:szCs w:val="18"/>
              </w:rPr>
              <w:t>8,50</w:t>
            </w:r>
          </w:p>
        </w:tc>
      </w:tr>
      <w:tr w:rsidR="00B56301" w:rsidRPr="00D85A26" w14:paraId="4851DF3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62C6F3E" w14:textId="470E812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11B4674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0E9F84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E5FF6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483DCD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BB4C4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A9138"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4246CC5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7EC5071" w14:textId="127E35E0"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0FD6B946" w14:textId="77777777" w:rsidR="00B56301" w:rsidRPr="00D85A26" w:rsidRDefault="00B56301" w:rsidP="00B37B65">
            <w:pPr>
              <w:jc w:val="right"/>
              <w:rPr>
                <w:rFonts w:asciiTheme="minorHAnsi" w:hAnsiTheme="minorHAnsi"/>
                <w:sz w:val="16"/>
                <w:szCs w:val="16"/>
              </w:rPr>
            </w:pPr>
            <w:r w:rsidRPr="00D85A26">
              <w:rPr>
                <w:sz w:val="16"/>
                <w:szCs w:val="18"/>
              </w:rPr>
              <w:t>108,43</w:t>
            </w:r>
          </w:p>
        </w:tc>
        <w:tc>
          <w:tcPr>
            <w:tcW w:w="991" w:type="dxa"/>
            <w:tcBorders>
              <w:top w:val="nil"/>
              <w:left w:val="nil"/>
              <w:bottom w:val="single" w:sz="4" w:space="0" w:color="auto"/>
              <w:right w:val="single" w:sz="4" w:space="0" w:color="auto"/>
            </w:tcBorders>
            <w:shd w:val="clear" w:color="000000" w:fill="FFFFFF"/>
            <w:noWrap/>
            <w:vAlign w:val="bottom"/>
            <w:hideMark/>
          </w:tcPr>
          <w:p w14:paraId="3B8E6B13" w14:textId="77777777" w:rsidR="00B56301" w:rsidRPr="00D85A26" w:rsidRDefault="00B56301" w:rsidP="00B37B65">
            <w:pPr>
              <w:jc w:val="right"/>
              <w:rPr>
                <w:rFonts w:asciiTheme="minorHAnsi" w:hAnsiTheme="minorHAnsi"/>
                <w:sz w:val="16"/>
                <w:szCs w:val="16"/>
              </w:rPr>
            </w:pPr>
            <w:r w:rsidRPr="00D85A26">
              <w:rPr>
                <w:sz w:val="16"/>
                <w:szCs w:val="18"/>
              </w:rPr>
              <w:t>109,18</w:t>
            </w:r>
          </w:p>
        </w:tc>
        <w:tc>
          <w:tcPr>
            <w:tcW w:w="991" w:type="dxa"/>
            <w:tcBorders>
              <w:top w:val="nil"/>
              <w:left w:val="nil"/>
              <w:bottom w:val="single" w:sz="4" w:space="0" w:color="auto"/>
              <w:right w:val="single" w:sz="4" w:space="0" w:color="auto"/>
            </w:tcBorders>
            <w:shd w:val="clear" w:color="000000" w:fill="FFFFFF"/>
            <w:noWrap/>
            <w:vAlign w:val="bottom"/>
            <w:hideMark/>
          </w:tcPr>
          <w:p w14:paraId="61AE9E07" w14:textId="77777777" w:rsidR="00B56301" w:rsidRPr="00D85A26" w:rsidRDefault="00B56301" w:rsidP="00B37B65">
            <w:pPr>
              <w:jc w:val="right"/>
              <w:rPr>
                <w:rFonts w:asciiTheme="minorHAnsi" w:hAnsiTheme="minorHAnsi"/>
                <w:sz w:val="16"/>
                <w:szCs w:val="16"/>
              </w:rPr>
            </w:pPr>
            <w:r w:rsidRPr="00D85A26">
              <w:rPr>
                <w:sz w:val="16"/>
                <w:szCs w:val="18"/>
              </w:rPr>
              <w:t>107,22</w:t>
            </w:r>
          </w:p>
        </w:tc>
        <w:tc>
          <w:tcPr>
            <w:tcW w:w="991" w:type="dxa"/>
            <w:tcBorders>
              <w:top w:val="nil"/>
              <w:left w:val="nil"/>
              <w:bottom w:val="single" w:sz="4" w:space="0" w:color="auto"/>
              <w:right w:val="single" w:sz="4" w:space="0" w:color="auto"/>
            </w:tcBorders>
            <w:shd w:val="clear" w:color="000000" w:fill="FFFFFF"/>
            <w:noWrap/>
            <w:vAlign w:val="bottom"/>
            <w:hideMark/>
          </w:tcPr>
          <w:p w14:paraId="02F1627D" w14:textId="77777777" w:rsidR="00B56301" w:rsidRPr="00D85A26" w:rsidRDefault="00B56301" w:rsidP="00B37B65">
            <w:pPr>
              <w:jc w:val="right"/>
              <w:rPr>
                <w:rFonts w:asciiTheme="minorHAnsi" w:hAnsiTheme="minorHAnsi"/>
                <w:sz w:val="16"/>
                <w:szCs w:val="16"/>
              </w:rPr>
            </w:pPr>
            <w:r w:rsidRPr="00D85A26">
              <w:rPr>
                <w:sz w:val="16"/>
                <w:szCs w:val="18"/>
              </w:rPr>
              <w:t>105,06</w:t>
            </w:r>
          </w:p>
        </w:tc>
        <w:tc>
          <w:tcPr>
            <w:tcW w:w="991" w:type="dxa"/>
            <w:tcBorders>
              <w:top w:val="nil"/>
              <w:left w:val="nil"/>
              <w:bottom w:val="single" w:sz="4" w:space="0" w:color="auto"/>
              <w:right w:val="single" w:sz="4" w:space="0" w:color="auto"/>
            </w:tcBorders>
            <w:shd w:val="clear" w:color="000000" w:fill="FFFFFF"/>
            <w:noWrap/>
            <w:vAlign w:val="bottom"/>
            <w:hideMark/>
          </w:tcPr>
          <w:p w14:paraId="015C1720" w14:textId="77777777" w:rsidR="00B56301" w:rsidRPr="00D85A26" w:rsidRDefault="00B56301" w:rsidP="00B37B65">
            <w:pPr>
              <w:jc w:val="right"/>
              <w:rPr>
                <w:rFonts w:asciiTheme="minorHAnsi" w:hAnsiTheme="minorHAnsi"/>
                <w:sz w:val="16"/>
                <w:szCs w:val="16"/>
              </w:rPr>
            </w:pPr>
            <w:r w:rsidRPr="00D85A26">
              <w:rPr>
                <w:sz w:val="16"/>
                <w:szCs w:val="18"/>
              </w:rPr>
              <w:t>103,10</w:t>
            </w:r>
          </w:p>
        </w:tc>
        <w:tc>
          <w:tcPr>
            <w:tcW w:w="991" w:type="dxa"/>
            <w:tcBorders>
              <w:top w:val="nil"/>
              <w:left w:val="nil"/>
              <w:bottom w:val="single" w:sz="4" w:space="0" w:color="auto"/>
              <w:right w:val="single" w:sz="4" w:space="0" w:color="auto"/>
            </w:tcBorders>
            <w:shd w:val="clear" w:color="000000" w:fill="FFFFFF"/>
            <w:noWrap/>
            <w:vAlign w:val="bottom"/>
            <w:hideMark/>
          </w:tcPr>
          <w:p w14:paraId="44EFE591" w14:textId="77777777" w:rsidR="00B56301" w:rsidRPr="00D85A26" w:rsidRDefault="00B56301" w:rsidP="00B37B65">
            <w:pPr>
              <w:jc w:val="right"/>
              <w:rPr>
                <w:rFonts w:asciiTheme="minorHAnsi" w:hAnsiTheme="minorHAnsi"/>
                <w:sz w:val="16"/>
                <w:szCs w:val="16"/>
              </w:rPr>
            </w:pPr>
            <w:r w:rsidRPr="00D85A26">
              <w:rPr>
                <w:sz w:val="16"/>
                <w:szCs w:val="18"/>
              </w:rPr>
              <w:t>104,97</w:t>
            </w:r>
          </w:p>
        </w:tc>
      </w:tr>
      <w:tr w:rsidR="00B56301" w:rsidRPr="00D85A26" w14:paraId="40DEC0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1198563" w14:textId="0EE59165"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E.</w:t>
            </w:r>
            <w:r w:rsidR="00260E0B">
              <w:rPr>
                <w:rFonts w:asciiTheme="minorHAnsi" w:hAnsiTheme="minorHAnsi"/>
                <w:sz w:val="16"/>
                <w:szCs w:val="16"/>
                <w:lang w:val="en-GB"/>
              </w:rPr>
              <w:t xml:space="preserve"> </w:t>
            </w:r>
            <w:r w:rsidRPr="00D85A26">
              <w:rPr>
                <w:rFonts w:asciiTheme="minorHAnsi" w:hAnsiTheme="minorHAnsi"/>
                <w:sz w:val="16"/>
                <w:szCs w:val="16"/>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3B1EFCC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ED3777E"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19BEE86"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61A44AC"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8C96AF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218EA3B"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6579D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C819FBB" w14:textId="180779F4"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53D98BEB"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BD99F0B"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46B75FAF"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3DE8BA1"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B9F44CE"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781F57D8" w14:textId="77777777" w:rsidR="00B56301" w:rsidRPr="00D85A26" w:rsidRDefault="00B56301" w:rsidP="00B37B65">
            <w:pPr>
              <w:jc w:val="right"/>
              <w:rPr>
                <w:rFonts w:asciiTheme="minorHAnsi" w:hAnsiTheme="minorHAnsi"/>
                <w:sz w:val="16"/>
                <w:szCs w:val="16"/>
              </w:rPr>
            </w:pPr>
            <w:r w:rsidRPr="00D85A26">
              <w:rPr>
                <w:sz w:val="16"/>
                <w:szCs w:val="18"/>
              </w:rPr>
              <w:t>0,04</w:t>
            </w:r>
          </w:p>
        </w:tc>
      </w:tr>
      <w:tr w:rsidR="00B56301" w:rsidRPr="00D85A26" w14:paraId="3F7C11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F589C1B" w14:textId="71DE4A33"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55696A9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82BC25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CBF52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898A3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87B1F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3C3896E"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56CCE5C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5A74CF6" w14:textId="77D1681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4E402B0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EC02F3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E14D1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5756F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AFA22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DD337"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52946A4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D980CCA" w14:textId="3792DAA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I.</w:t>
            </w:r>
            <w:r w:rsidR="00260E0B">
              <w:rPr>
                <w:rFonts w:asciiTheme="minorHAnsi" w:hAnsiTheme="minorHAnsi"/>
                <w:sz w:val="16"/>
                <w:szCs w:val="16"/>
                <w:lang w:val="en-GB"/>
              </w:rPr>
              <w:t xml:space="preserve"> </w:t>
            </w:r>
            <w:r w:rsidRPr="00D85A26">
              <w:rPr>
                <w:rFonts w:asciiTheme="minorHAnsi" w:hAnsiTheme="minorHAnsi"/>
                <w:sz w:val="16"/>
                <w:szCs w:val="16"/>
                <w:lang w:val="en-GB"/>
              </w:rPr>
              <w:t>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1D2F60C6"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A05908"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B845E39"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1F9423"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682DDFA"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8AA2C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656AFD9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2BE6E3A" w14:textId="17DAF73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J.</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7E977CA3"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49563B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21E351F"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BE8CC7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CF8C1C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E2ED33E"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5CF21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48E69E2" w14:textId="77777777" w:rsidR="00B56301" w:rsidRPr="00D85A26" w:rsidRDefault="00B56301" w:rsidP="00B37B65">
            <w:pPr>
              <w:jc w:val="left"/>
              <w:rPr>
                <w:rFonts w:asciiTheme="minorHAnsi" w:hAnsiTheme="minorHAnsi"/>
                <w:b/>
                <w:bCs/>
                <w:sz w:val="16"/>
                <w:szCs w:val="16"/>
                <w:lang w:val="en-GB"/>
              </w:rPr>
            </w:pPr>
            <w:r w:rsidRPr="00D85A26">
              <w:rPr>
                <w:rFonts w:asciiTheme="minorHAnsi" w:hAnsiTheme="minorHAnsi"/>
                <w:b/>
                <w:bCs/>
                <w:sz w:val="16"/>
                <w:szCs w:val="16"/>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7680E481" w14:textId="77777777" w:rsidR="00B56301" w:rsidRPr="00D85A26" w:rsidRDefault="00B56301" w:rsidP="00B37B65">
            <w:pPr>
              <w:jc w:val="right"/>
              <w:rPr>
                <w:rFonts w:asciiTheme="minorHAnsi" w:hAnsiTheme="minorHAnsi"/>
                <w:sz w:val="16"/>
                <w:szCs w:val="16"/>
              </w:rPr>
            </w:pPr>
            <w:r w:rsidRPr="00D85A26">
              <w:rPr>
                <w:sz w:val="16"/>
                <w:szCs w:val="18"/>
              </w:rPr>
              <w:t>10,26</w:t>
            </w:r>
          </w:p>
        </w:tc>
        <w:tc>
          <w:tcPr>
            <w:tcW w:w="991" w:type="dxa"/>
            <w:tcBorders>
              <w:top w:val="nil"/>
              <w:left w:val="nil"/>
              <w:bottom w:val="single" w:sz="4" w:space="0" w:color="auto"/>
              <w:right w:val="single" w:sz="4" w:space="0" w:color="auto"/>
            </w:tcBorders>
            <w:shd w:val="clear" w:color="000000" w:fill="CCFFFF"/>
            <w:noWrap/>
            <w:vAlign w:val="bottom"/>
            <w:hideMark/>
          </w:tcPr>
          <w:p w14:paraId="49CB2E29" w14:textId="77777777" w:rsidR="00B56301" w:rsidRPr="00D85A26" w:rsidRDefault="00B56301" w:rsidP="00B37B65">
            <w:pPr>
              <w:jc w:val="right"/>
              <w:rPr>
                <w:rFonts w:asciiTheme="minorHAnsi" w:hAnsiTheme="minorHAnsi"/>
                <w:sz w:val="16"/>
                <w:szCs w:val="16"/>
              </w:rPr>
            </w:pPr>
            <w:r w:rsidRPr="00D85A26">
              <w:rPr>
                <w:sz w:val="16"/>
                <w:szCs w:val="18"/>
              </w:rPr>
              <w:t>10,59</w:t>
            </w:r>
          </w:p>
        </w:tc>
        <w:tc>
          <w:tcPr>
            <w:tcW w:w="991" w:type="dxa"/>
            <w:tcBorders>
              <w:top w:val="nil"/>
              <w:left w:val="nil"/>
              <w:bottom w:val="single" w:sz="4" w:space="0" w:color="auto"/>
              <w:right w:val="single" w:sz="4" w:space="0" w:color="auto"/>
            </w:tcBorders>
            <w:shd w:val="clear" w:color="000000" w:fill="CCFFFF"/>
            <w:noWrap/>
            <w:vAlign w:val="bottom"/>
            <w:hideMark/>
          </w:tcPr>
          <w:p w14:paraId="12B6BA22" w14:textId="77777777" w:rsidR="00B56301" w:rsidRPr="00D85A26" w:rsidRDefault="00B56301" w:rsidP="00B37B65">
            <w:pPr>
              <w:jc w:val="right"/>
              <w:rPr>
                <w:rFonts w:asciiTheme="minorHAnsi" w:hAnsiTheme="minorHAnsi"/>
                <w:sz w:val="16"/>
                <w:szCs w:val="16"/>
              </w:rPr>
            </w:pPr>
            <w:r w:rsidRPr="00D85A26">
              <w:rPr>
                <w:sz w:val="16"/>
                <w:szCs w:val="18"/>
              </w:rPr>
              <w:t>10,76</w:t>
            </w:r>
          </w:p>
        </w:tc>
        <w:tc>
          <w:tcPr>
            <w:tcW w:w="991" w:type="dxa"/>
            <w:tcBorders>
              <w:top w:val="nil"/>
              <w:left w:val="nil"/>
              <w:bottom w:val="single" w:sz="4" w:space="0" w:color="auto"/>
              <w:right w:val="single" w:sz="4" w:space="0" w:color="auto"/>
            </w:tcBorders>
            <w:shd w:val="clear" w:color="000000" w:fill="CCFFFF"/>
            <w:noWrap/>
            <w:vAlign w:val="bottom"/>
            <w:hideMark/>
          </w:tcPr>
          <w:p w14:paraId="070F58A9" w14:textId="77777777" w:rsidR="00B56301" w:rsidRPr="00D85A26" w:rsidRDefault="00B56301" w:rsidP="00B37B65">
            <w:pPr>
              <w:jc w:val="right"/>
              <w:rPr>
                <w:rFonts w:asciiTheme="minorHAnsi" w:hAnsiTheme="minorHAnsi"/>
                <w:sz w:val="16"/>
                <w:szCs w:val="16"/>
              </w:rPr>
            </w:pPr>
            <w:r w:rsidRPr="00D85A26">
              <w:rPr>
                <w:sz w:val="16"/>
                <w:szCs w:val="18"/>
              </w:rPr>
              <w:t>10,79</w:t>
            </w:r>
          </w:p>
        </w:tc>
        <w:tc>
          <w:tcPr>
            <w:tcW w:w="991" w:type="dxa"/>
            <w:tcBorders>
              <w:top w:val="nil"/>
              <w:left w:val="nil"/>
              <w:bottom w:val="single" w:sz="4" w:space="0" w:color="auto"/>
              <w:right w:val="single" w:sz="4" w:space="0" w:color="auto"/>
            </w:tcBorders>
            <w:shd w:val="clear" w:color="000000" w:fill="CCFFFF"/>
            <w:noWrap/>
            <w:vAlign w:val="bottom"/>
            <w:hideMark/>
          </w:tcPr>
          <w:p w14:paraId="72C9089C" w14:textId="77777777" w:rsidR="00B56301" w:rsidRPr="00D85A26" w:rsidRDefault="00B56301" w:rsidP="00B37B65">
            <w:pPr>
              <w:jc w:val="right"/>
              <w:rPr>
                <w:rFonts w:asciiTheme="minorHAnsi" w:hAnsiTheme="minorHAnsi"/>
                <w:sz w:val="16"/>
                <w:szCs w:val="16"/>
              </w:rPr>
            </w:pPr>
            <w:r w:rsidRPr="00D85A26">
              <w:rPr>
                <w:sz w:val="16"/>
                <w:szCs w:val="18"/>
              </w:rPr>
              <w:t>10,63</w:t>
            </w:r>
          </w:p>
        </w:tc>
        <w:tc>
          <w:tcPr>
            <w:tcW w:w="991" w:type="dxa"/>
            <w:tcBorders>
              <w:top w:val="nil"/>
              <w:left w:val="nil"/>
              <w:bottom w:val="single" w:sz="4" w:space="0" w:color="auto"/>
              <w:right w:val="single" w:sz="4" w:space="0" w:color="auto"/>
            </w:tcBorders>
            <w:shd w:val="clear" w:color="000000" w:fill="CCFFFF"/>
            <w:noWrap/>
            <w:vAlign w:val="bottom"/>
            <w:hideMark/>
          </w:tcPr>
          <w:p w14:paraId="255C31E0" w14:textId="77777777" w:rsidR="00B56301" w:rsidRPr="00D85A26" w:rsidRDefault="00B56301" w:rsidP="00B37B65">
            <w:pPr>
              <w:jc w:val="right"/>
              <w:rPr>
                <w:rFonts w:asciiTheme="minorHAnsi" w:hAnsiTheme="minorHAnsi"/>
                <w:sz w:val="16"/>
                <w:szCs w:val="16"/>
              </w:rPr>
            </w:pPr>
            <w:r w:rsidRPr="00D85A26">
              <w:rPr>
                <w:sz w:val="16"/>
                <w:szCs w:val="18"/>
              </w:rPr>
              <w:t>10,40</w:t>
            </w:r>
          </w:p>
        </w:tc>
      </w:tr>
      <w:tr w:rsidR="00B56301" w:rsidRPr="00D85A26" w14:paraId="607CB41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DC62851" w14:textId="464B85F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460579BA" w14:textId="77777777" w:rsidR="00B56301" w:rsidRPr="00D85A26" w:rsidRDefault="00B56301" w:rsidP="00B37B65">
            <w:pPr>
              <w:jc w:val="right"/>
              <w:rPr>
                <w:rFonts w:asciiTheme="minorHAnsi" w:hAnsiTheme="minorHAnsi"/>
                <w:sz w:val="16"/>
                <w:szCs w:val="16"/>
              </w:rPr>
            </w:pPr>
            <w:r w:rsidRPr="00D85A26">
              <w:rPr>
                <w:sz w:val="16"/>
                <w:szCs w:val="18"/>
              </w:rPr>
              <w:t>1,06</w:t>
            </w:r>
          </w:p>
        </w:tc>
        <w:tc>
          <w:tcPr>
            <w:tcW w:w="991" w:type="dxa"/>
            <w:tcBorders>
              <w:top w:val="nil"/>
              <w:left w:val="nil"/>
              <w:bottom w:val="single" w:sz="4" w:space="0" w:color="auto"/>
              <w:right w:val="single" w:sz="4" w:space="0" w:color="auto"/>
            </w:tcBorders>
            <w:shd w:val="clear" w:color="000000" w:fill="FFFFFF"/>
            <w:noWrap/>
            <w:vAlign w:val="bottom"/>
            <w:hideMark/>
          </w:tcPr>
          <w:p w14:paraId="5B1BA74A" w14:textId="77777777" w:rsidR="00B56301" w:rsidRPr="00D85A26" w:rsidRDefault="00B56301" w:rsidP="00B37B65">
            <w:pPr>
              <w:jc w:val="right"/>
              <w:rPr>
                <w:rFonts w:asciiTheme="minorHAnsi" w:hAnsiTheme="minorHAnsi"/>
                <w:sz w:val="16"/>
                <w:szCs w:val="16"/>
              </w:rPr>
            </w:pPr>
            <w:r w:rsidRPr="00D85A26">
              <w:rPr>
                <w:sz w:val="16"/>
                <w:szCs w:val="18"/>
              </w:rPr>
              <w:t>1,04</w:t>
            </w:r>
          </w:p>
        </w:tc>
        <w:tc>
          <w:tcPr>
            <w:tcW w:w="991" w:type="dxa"/>
            <w:tcBorders>
              <w:top w:val="nil"/>
              <w:left w:val="nil"/>
              <w:bottom w:val="single" w:sz="4" w:space="0" w:color="auto"/>
              <w:right w:val="single" w:sz="4" w:space="0" w:color="auto"/>
            </w:tcBorders>
            <w:shd w:val="clear" w:color="000000" w:fill="FFFFFF"/>
            <w:noWrap/>
            <w:vAlign w:val="bottom"/>
            <w:hideMark/>
          </w:tcPr>
          <w:p w14:paraId="4EEDB01A" w14:textId="77777777" w:rsidR="00B56301" w:rsidRPr="00D85A26" w:rsidRDefault="00B56301" w:rsidP="00B37B65">
            <w:pPr>
              <w:jc w:val="right"/>
              <w:rPr>
                <w:rFonts w:asciiTheme="minorHAnsi" w:hAnsiTheme="minorHAnsi"/>
                <w:sz w:val="16"/>
                <w:szCs w:val="16"/>
              </w:rPr>
            </w:pPr>
            <w:r w:rsidRPr="00D85A26">
              <w:rPr>
                <w:sz w:val="16"/>
                <w:szCs w:val="18"/>
              </w:rPr>
              <w:t>1,10</w:t>
            </w:r>
          </w:p>
        </w:tc>
        <w:tc>
          <w:tcPr>
            <w:tcW w:w="991" w:type="dxa"/>
            <w:tcBorders>
              <w:top w:val="nil"/>
              <w:left w:val="nil"/>
              <w:bottom w:val="single" w:sz="4" w:space="0" w:color="auto"/>
              <w:right w:val="single" w:sz="4" w:space="0" w:color="auto"/>
            </w:tcBorders>
            <w:shd w:val="clear" w:color="000000" w:fill="FFFFFF"/>
            <w:noWrap/>
            <w:vAlign w:val="bottom"/>
            <w:hideMark/>
          </w:tcPr>
          <w:p w14:paraId="0F89B6B5" w14:textId="77777777" w:rsidR="00B56301" w:rsidRPr="00D85A26" w:rsidRDefault="00B56301" w:rsidP="00B37B65">
            <w:pPr>
              <w:jc w:val="right"/>
              <w:rPr>
                <w:rFonts w:asciiTheme="minorHAnsi" w:hAnsiTheme="minorHAnsi"/>
                <w:sz w:val="16"/>
                <w:szCs w:val="16"/>
              </w:rPr>
            </w:pPr>
            <w:r w:rsidRPr="00D85A26">
              <w:rPr>
                <w:sz w:val="16"/>
                <w:szCs w:val="18"/>
              </w:rPr>
              <w:t>1,16</w:t>
            </w:r>
          </w:p>
        </w:tc>
        <w:tc>
          <w:tcPr>
            <w:tcW w:w="991" w:type="dxa"/>
            <w:tcBorders>
              <w:top w:val="nil"/>
              <w:left w:val="nil"/>
              <w:bottom w:val="single" w:sz="4" w:space="0" w:color="auto"/>
              <w:right w:val="single" w:sz="4" w:space="0" w:color="auto"/>
            </w:tcBorders>
            <w:shd w:val="clear" w:color="000000" w:fill="FFFFFF"/>
            <w:noWrap/>
            <w:vAlign w:val="bottom"/>
            <w:hideMark/>
          </w:tcPr>
          <w:p w14:paraId="3132E864" w14:textId="77777777" w:rsidR="00B56301" w:rsidRPr="00D85A26" w:rsidRDefault="00B56301" w:rsidP="00B37B65">
            <w:pPr>
              <w:jc w:val="right"/>
              <w:rPr>
                <w:rFonts w:asciiTheme="minorHAnsi" w:hAnsiTheme="minorHAnsi"/>
                <w:sz w:val="16"/>
                <w:szCs w:val="16"/>
              </w:rPr>
            </w:pPr>
            <w:r w:rsidRPr="00D85A26">
              <w:rPr>
                <w:sz w:val="16"/>
                <w:szCs w:val="18"/>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090A055F" w14:textId="77777777" w:rsidR="00B56301" w:rsidRPr="00D85A26" w:rsidRDefault="00B56301" w:rsidP="00B37B65">
            <w:pPr>
              <w:jc w:val="right"/>
              <w:rPr>
                <w:rFonts w:asciiTheme="minorHAnsi" w:hAnsiTheme="minorHAnsi"/>
                <w:sz w:val="16"/>
                <w:szCs w:val="16"/>
              </w:rPr>
            </w:pPr>
            <w:r w:rsidRPr="00D85A26">
              <w:rPr>
                <w:sz w:val="16"/>
                <w:szCs w:val="18"/>
              </w:rPr>
              <w:t>1,15</w:t>
            </w:r>
          </w:p>
        </w:tc>
      </w:tr>
      <w:tr w:rsidR="00B56301" w:rsidRPr="00D85A26" w14:paraId="186D0A1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B1611D4" w14:textId="5A5F7EB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08B6B754" w14:textId="77777777" w:rsidR="00B56301" w:rsidRPr="00D85A26" w:rsidRDefault="00B56301" w:rsidP="00B37B65">
            <w:pPr>
              <w:jc w:val="right"/>
              <w:rPr>
                <w:rFonts w:asciiTheme="minorHAnsi" w:hAnsiTheme="minorHAnsi"/>
                <w:sz w:val="16"/>
                <w:szCs w:val="16"/>
              </w:rPr>
            </w:pPr>
            <w:r w:rsidRPr="00D85A26">
              <w:rPr>
                <w:sz w:val="16"/>
                <w:szCs w:val="18"/>
              </w:rPr>
              <w:t>4,91</w:t>
            </w:r>
          </w:p>
        </w:tc>
        <w:tc>
          <w:tcPr>
            <w:tcW w:w="991" w:type="dxa"/>
            <w:tcBorders>
              <w:top w:val="nil"/>
              <w:left w:val="nil"/>
              <w:bottom w:val="single" w:sz="4" w:space="0" w:color="auto"/>
              <w:right w:val="single" w:sz="4" w:space="0" w:color="auto"/>
            </w:tcBorders>
            <w:shd w:val="clear" w:color="000000" w:fill="FFFFFF"/>
            <w:noWrap/>
            <w:vAlign w:val="bottom"/>
            <w:hideMark/>
          </w:tcPr>
          <w:p w14:paraId="64A3C5AA" w14:textId="77777777" w:rsidR="00B56301" w:rsidRPr="00D85A26" w:rsidRDefault="00B56301" w:rsidP="00B37B65">
            <w:pPr>
              <w:jc w:val="right"/>
              <w:rPr>
                <w:rFonts w:asciiTheme="minorHAnsi" w:hAnsiTheme="minorHAnsi"/>
                <w:sz w:val="16"/>
                <w:szCs w:val="16"/>
              </w:rPr>
            </w:pPr>
            <w:r w:rsidRPr="00D85A26">
              <w:rPr>
                <w:sz w:val="16"/>
                <w:szCs w:val="18"/>
              </w:rPr>
              <w:t>5,11</w:t>
            </w:r>
          </w:p>
        </w:tc>
        <w:tc>
          <w:tcPr>
            <w:tcW w:w="991" w:type="dxa"/>
            <w:tcBorders>
              <w:top w:val="nil"/>
              <w:left w:val="nil"/>
              <w:bottom w:val="single" w:sz="4" w:space="0" w:color="auto"/>
              <w:right w:val="single" w:sz="4" w:space="0" w:color="auto"/>
            </w:tcBorders>
            <w:shd w:val="clear" w:color="000000" w:fill="FFFFFF"/>
            <w:noWrap/>
            <w:vAlign w:val="bottom"/>
            <w:hideMark/>
          </w:tcPr>
          <w:p w14:paraId="79E2F4C7" w14:textId="77777777" w:rsidR="00B56301" w:rsidRPr="00D85A26" w:rsidRDefault="00B56301" w:rsidP="00B37B65">
            <w:pPr>
              <w:jc w:val="right"/>
              <w:rPr>
                <w:rFonts w:asciiTheme="minorHAnsi" w:hAnsiTheme="minorHAnsi"/>
                <w:sz w:val="16"/>
                <w:szCs w:val="16"/>
              </w:rPr>
            </w:pPr>
            <w:r w:rsidRPr="00D85A26">
              <w:rPr>
                <w:sz w:val="16"/>
                <w:szCs w:val="18"/>
              </w:rPr>
              <w:t>5,17</w:t>
            </w:r>
          </w:p>
        </w:tc>
        <w:tc>
          <w:tcPr>
            <w:tcW w:w="991" w:type="dxa"/>
            <w:tcBorders>
              <w:top w:val="nil"/>
              <w:left w:val="nil"/>
              <w:bottom w:val="single" w:sz="4" w:space="0" w:color="auto"/>
              <w:right w:val="single" w:sz="4" w:space="0" w:color="auto"/>
            </w:tcBorders>
            <w:shd w:val="clear" w:color="000000" w:fill="FFFFFF"/>
            <w:noWrap/>
            <w:vAlign w:val="bottom"/>
            <w:hideMark/>
          </w:tcPr>
          <w:p w14:paraId="12D57753" w14:textId="77777777" w:rsidR="00B56301" w:rsidRPr="00D85A26" w:rsidRDefault="00B56301" w:rsidP="00B37B65">
            <w:pPr>
              <w:jc w:val="right"/>
              <w:rPr>
                <w:rFonts w:asciiTheme="minorHAnsi" w:hAnsiTheme="minorHAnsi"/>
                <w:sz w:val="16"/>
                <w:szCs w:val="16"/>
              </w:rPr>
            </w:pPr>
            <w:r w:rsidRPr="00D85A26">
              <w:rPr>
                <w:sz w:val="16"/>
                <w:szCs w:val="18"/>
              </w:rPr>
              <w:t>5,15</w:t>
            </w:r>
          </w:p>
        </w:tc>
        <w:tc>
          <w:tcPr>
            <w:tcW w:w="991" w:type="dxa"/>
            <w:tcBorders>
              <w:top w:val="nil"/>
              <w:left w:val="nil"/>
              <w:bottom w:val="single" w:sz="4" w:space="0" w:color="auto"/>
              <w:right w:val="single" w:sz="4" w:space="0" w:color="auto"/>
            </w:tcBorders>
            <w:shd w:val="clear" w:color="000000" w:fill="FFFFFF"/>
            <w:noWrap/>
            <w:vAlign w:val="bottom"/>
            <w:hideMark/>
          </w:tcPr>
          <w:p w14:paraId="224F568A" w14:textId="77777777" w:rsidR="00B56301" w:rsidRPr="00D85A26" w:rsidRDefault="00B56301" w:rsidP="00B37B65">
            <w:pPr>
              <w:jc w:val="right"/>
              <w:rPr>
                <w:rFonts w:asciiTheme="minorHAnsi" w:hAnsiTheme="minorHAnsi"/>
                <w:sz w:val="16"/>
                <w:szCs w:val="16"/>
              </w:rPr>
            </w:pPr>
            <w:r w:rsidRPr="00D85A26">
              <w:rPr>
                <w:sz w:val="16"/>
                <w:szCs w:val="18"/>
              </w:rPr>
              <w:t>5,04</w:t>
            </w:r>
          </w:p>
        </w:tc>
        <w:tc>
          <w:tcPr>
            <w:tcW w:w="991" w:type="dxa"/>
            <w:tcBorders>
              <w:top w:val="nil"/>
              <w:left w:val="nil"/>
              <w:bottom w:val="single" w:sz="4" w:space="0" w:color="auto"/>
              <w:right w:val="single" w:sz="4" w:space="0" w:color="auto"/>
            </w:tcBorders>
            <w:shd w:val="clear" w:color="000000" w:fill="FFFFFF"/>
            <w:noWrap/>
            <w:vAlign w:val="bottom"/>
            <w:hideMark/>
          </w:tcPr>
          <w:p w14:paraId="58B7A620" w14:textId="77777777" w:rsidR="00B56301" w:rsidRPr="00D85A26" w:rsidRDefault="00B56301" w:rsidP="00B37B65">
            <w:pPr>
              <w:jc w:val="right"/>
              <w:rPr>
                <w:rFonts w:asciiTheme="minorHAnsi" w:hAnsiTheme="minorHAnsi"/>
                <w:sz w:val="16"/>
                <w:szCs w:val="16"/>
              </w:rPr>
            </w:pPr>
            <w:r w:rsidRPr="00D85A26">
              <w:rPr>
                <w:sz w:val="16"/>
                <w:szCs w:val="18"/>
              </w:rPr>
              <w:t>4,93</w:t>
            </w:r>
          </w:p>
        </w:tc>
      </w:tr>
      <w:tr w:rsidR="00B56301" w:rsidRPr="00D85A26" w14:paraId="77768F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A2906D9" w14:textId="1C8E1E5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02F87B4B" w14:textId="77777777" w:rsidR="00B56301" w:rsidRPr="00D85A26" w:rsidRDefault="00B56301" w:rsidP="00B37B65">
            <w:pPr>
              <w:jc w:val="right"/>
              <w:rPr>
                <w:rFonts w:asciiTheme="minorHAnsi" w:hAnsiTheme="minorHAnsi"/>
                <w:sz w:val="16"/>
                <w:szCs w:val="16"/>
              </w:rPr>
            </w:pPr>
            <w:r w:rsidRPr="00D85A26">
              <w:rPr>
                <w:sz w:val="16"/>
                <w:szCs w:val="18"/>
              </w:rPr>
              <w:t>0,52</w:t>
            </w:r>
          </w:p>
        </w:tc>
        <w:tc>
          <w:tcPr>
            <w:tcW w:w="991" w:type="dxa"/>
            <w:tcBorders>
              <w:top w:val="nil"/>
              <w:left w:val="nil"/>
              <w:bottom w:val="single" w:sz="4" w:space="0" w:color="auto"/>
              <w:right w:val="single" w:sz="4" w:space="0" w:color="auto"/>
            </w:tcBorders>
            <w:shd w:val="clear" w:color="000000" w:fill="FFFFFF"/>
            <w:noWrap/>
            <w:vAlign w:val="bottom"/>
            <w:hideMark/>
          </w:tcPr>
          <w:p w14:paraId="119E922A" w14:textId="77777777" w:rsidR="00B56301" w:rsidRPr="00D85A26" w:rsidRDefault="00B56301" w:rsidP="00B37B65">
            <w:pPr>
              <w:jc w:val="right"/>
              <w:rPr>
                <w:rFonts w:asciiTheme="minorHAnsi" w:hAnsiTheme="minorHAnsi"/>
                <w:sz w:val="16"/>
                <w:szCs w:val="16"/>
              </w:rPr>
            </w:pPr>
            <w:r w:rsidRPr="00D85A26">
              <w:rPr>
                <w:sz w:val="16"/>
                <w:szCs w:val="18"/>
              </w:rPr>
              <w:t>0,50</w:t>
            </w:r>
          </w:p>
        </w:tc>
        <w:tc>
          <w:tcPr>
            <w:tcW w:w="991" w:type="dxa"/>
            <w:tcBorders>
              <w:top w:val="nil"/>
              <w:left w:val="nil"/>
              <w:bottom w:val="single" w:sz="4" w:space="0" w:color="auto"/>
              <w:right w:val="single" w:sz="4" w:space="0" w:color="auto"/>
            </w:tcBorders>
            <w:shd w:val="clear" w:color="000000" w:fill="FFFFFF"/>
            <w:noWrap/>
            <w:vAlign w:val="bottom"/>
            <w:hideMark/>
          </w:tcPr>
          <w:p w14:paraId="0B5A054B"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1789C2EC" w14:textId="77777777" w:rsidR="00B56301" w:rsidRPr="00D85A26" w:rsidRDefault="00B56301" w:rsidP="00B37B65">
            <w:pPr>
              <w:jc w:val="right"/>
              <w:rPr>
                <w:rFonts w:asciiTheme="minorHAnsi" w:hAnsiTheme="minorHAnsi"/>
                <w:sz w:val="16"/>
                <w:szCs w:val="16"/>
              </w:rPr>
            </w:pPr>
            <w:r w:rsidRPr="00D85A26">
              <w:rPr>
                <w:sz w:val="16"/>
                <w:szCs w:val="18"/>
              </w:rPr>
              <w:t>0,50</w:t>
            </w:r>
          </w:p>
        </w:tc>
        <w:tc>
          <w:tcPr>
            <w:tcW w:w="991" w:type="dxa"/>
            <w:tcBorders>
              <w:top w:val="nil"/>
              <w:left w:val="nil"/>
              <w:bottom w:val="single" w:sz="4" w:space="0" w:color="auto"/>
              <w:right w:val="single" w:sz="4" w:space="0" w:color="auto"/>
            </w:tcBorders>
            <w:shd w:val="clear" w:color="000000" w:fill="FFFFFF"/>
            <w:noWrap/>
            <w:vAlign w:val="bottom"/>
            <w:hideMark/>
          </w:tcPr>
          <w:p w14:paraId="1B07A5D0" w14:textId="77777777" w:rsidR="00B56301" w:rsidRPr="00D85A26" w:rsidRDefault="00B56301" w:rsidP="00B37B65">
            <w:pPr>
              <w:jc w:val="right"/>
              <w:rPr>
                <w:rFonts w:asciiTheme="minorHAnsi" w:hAnsiTheme="minorHAnsi"/>
                <w:sz w:val="16"/>
                <w:szCs w:val="16"/>
              </w:rPr>
            </w:pPr>
            <w:r w:rsidRPr="00D85A26">
              <w:rPr>
                <w:sz w:val="16"/>
                <w:szCs w:val="18"/>
              </w:rPr>
              <w:t>0,49</w:t>
            </w:r>
          </w:p>
        </w:tc>
        <w:tc>
          <w:tcPr>
            <w:tcW w:w="991" w:type="dxa"/>
            <w:tcBorders>
              <w:top w:val="nil"/>
              <w:left w:val="nil"/>
              <w:bottom w:val="single" w:sz="4" w:space="0" w:color="auto"/>
              <w:right w:val="single" w:sz="4" w:space="0" w:color="auto"/>
            </w:tcBorders>
            <w:shd w:val="clear" w:color="000000" w:fill="FFFFFF"/>
            <w:noWrap/>
            <w:vAlign w:val="bottom"/>
            <w:hideMark/>
          </w:tcPr>
          <w:p w14:paraId="0F70DA62" w14:textId="77777777" w:rsidR="00B56301" w:rsidRPr="00D85A26" w:rsidRDefault="00B56301" w:rsidP="00B37B65">
            <w:pPr>
              <w:jc w:val="right"/>
              <w:rPr>
                <w:rFonts w:asciiTheme="minorHAnsi" w:hAnsiTheme="minorHAnsi"/>
                <w:sz w:val="16"/>
                <w:szCs w:val="16"/>
              </w:rPr>
            </w:pPr>
            <w:r w:rsidRPr="00D85A26">
              <w:rPr>
                <w:sz w:val="16"/>
                <w:szCs w:val="18"/>
              </w:rPr>
              <w:t>0,46</w:t>
            </w:r>
          </w:p>
        </w:tc>
      </w:tr>
      <w:tr w:rsidR="00B56301" w:rsidRPr="00D85A26" w14:paraId="427A82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A6A5BA4" w14:textId="132E7E8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7D4A57D9"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281925A8"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7C66164"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0931E7B"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670536C3"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E12CE20"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12F3137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0DC4A85" w14:textId="79B86D6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4E23BEAF" w14:textId="77777777" w:rsidR="00B56301" w:rsidRPr="00D85A26" w:rsidRDefault="00B56301" w:rsidP="00B37B65">
            <w:pPr>
              <w:jc w:val="right"/>
              <w:rPr>
                <w:rFonts w:asciiTheme="minorHAnsi" w:hAnsiTheme="minorHAnsi"/>
                <w:sz w:val="16"/>
                <w:szCs w:val="16"/>
              </w:rPr>
            </w:pPr>
            <w:r w:rsidRPr="00D85A26">
              <w:rPr>
                <w:sz w:val="16"/>
                <w:szCs w:val="18"/>
              </w:rPr>
              <w:t>2,11</w:t>
            </w:r>
          </w:p>
        </w:tc>
        <w:tc>
          <w:tcPr>
            <w:tcW w:w="991" w:type="dxa"/>
            <w:tcBorders>
              <w:top w:val="nil"/>
              <w:left w:val="nil"/>
              <w:bottom w:val="single" w:sz="4" w:space="0" w:color="auto"/>
              <w:right w:val="single" w:sz="4" w:space="0" w:color="auto"/>
            </w:tcBorders>
            <w:shd w:val="clear" w:color="000000" w:fill="FFFFFF"/>
            <w:noWrap/>
            <w:vAlign w:val="bottom"/>
            <w:hideMark/>
          </w:tcPr>
          <w:p w14:paraId="4C572ED8" w14:textId="77777777" w:rsidR="00B56301" w:rsidRPr="00D85A26" w:rsidRDefault="00B56301" w:rsidP="00B37B65">
            <w:pPr>
              <w:jc w:val="right"/>
              <w:rPr>
                <w:rFonts w:asciiTheme="minorHAnsi" w:hAnsiTheme="minorHAnsi"/>
                <w:sz w:val="16"/>
                <w:szCs w:val="16"/>
              </w:rPr>
            </w:pPr>
            <w:r w:rsidRPr="00D85A26">
              <w:rPr>
                <w:sz w:val="16"/>
                <w:szCs w:val="18"/>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47ACE431" w14:textId="77777777" w:rsidR="00B56301" w:rsidRPr="00D85A26" w:rsidRDefault="00B56301" w:rsidP="00B37B65">
            <w:pPr>
              <w:jc w:val="right"/>
              <w:rPr>
                <w:rFonts w:asciiTheme="minorHAnsi" w:hAnsiTheme="minorHAnsi"/>
                <w:sz w:val="16"/>
                <w:szCs w:val="16"/>
              </w:rPr>
            </w:pPr>
            <w:r w:rsidRPr="00D85A26">
              <w:rPr>
                <w:sz w:val="16"/>
                <w:szCs w:val="18"/>
              </w:rPr>
              <w:t>2,25</w:t>
            </w:r>
          </w:p>
        </w:tc>
        <w:tc>
          <w:tcPr>
            <w:tcW w:w="991" w:type="dxa"/>
            <w:tcBorders>
              <w:top w:val="nil"/>
              <w:left w:val="nil"/>
              <w:bottom w:val="single" w:sz="4" w:space="0" w:color="auto"/>
              <w:right w:val="single" w:sz="4" w:space="0" w:color="auto"/>
            </w:tcBorders>
            <w:shd w:val="clear" w:color="000000" w:fill="FFFFFF"/>
            <w:noWrap/>
            <w:vAlign w:val="bottom"/>
            <w:hideMark/>
          </w:tcPr>
          <w:p w14:paraId="4EBB0FD4" w14:textId="77777777" w:rsidR="00B56301" w:rsidRPr="00D85A26" w:rsidRDefault="00B56301" w:rsidP="00B37B65">
            <w:pPr>
              <w:jc w:val="right"/>
              <w:rPr>
                <w:rFonts w:asciiTheme="minorHAnsi" w:hAnsiTheme="minorHAnsi"/>
                <w:sz w:val="16"/>
                <w:szCs w:val="16"/>
              </w:rPr>
            </w:pPr>
            <w:r w:rsidRPr="00D85A26">
              <w:rPr>
                <w:sz w:val="16"/>
                <w:szCs w:val="18"/>
              </w:rPr>
              <w:t>2,25</w:t>
            </w:r>
          </w:p>
        </w:tc>
        <w:tc>
          <w:tcPr>
            <w:tcW w:w="991" w:type="dxa"/>
            <w:tcBorders>
              <w:top w:val="nil"/>
              <w:left w:val="nil"/>
              <w:bottom w:val="single" w:sz="4" w:space="0" w:color="auto"/>
              <w:right w:val="single" w:sz="4" w:space="0" w:color="auto"/>
            </w:tcBorders>
            <w:shd w:val="clear" w:color="000000" w:fill="FFFFFF"/>
            <w:noWrap/>
            <w:vAlign w:val="bottom"/>
            <w:hideMark/>
          </w:tcPr>
          <w:p w14:paraId="795B24A9" w14:textId="77777777" w:rsidR="00B56301" w:rsidRPr="00D85A26" w:rsidRDefault="00B56301" w:rsidP="00B37B65">
            <w:pPr>
              <w:jc w:val="right"/>
              <w:rPr>
                <w:rFonts w:asciiTheme="minorHAnsi" w:hAnsiTheme="minorHAnsi"/>
                <w:sz w:val="16"/>
                <w:szCs w:val="16"/>
              </w:rPr>
            </w:pPr>
            <w:r w:rsidRPr="00D85A26">
              <w:rPr>
                <w:sz w:val="16"/>
                <w:szCs w:val="18"/>
              </w:rPr>
              <w:t>2,22</w:t>
            </w:r>
          </w:p>
        </w:tc>
        <w:tc>
          <w:tcPr>
            <w:tcW w:w="991" w:type="dxa"/>
            <w:tcBorders>
              <w:top w:val="nil"/>
              <w:left w:val="nil"/>
              <w:bottom w:val="single" w:sz="4" w:space="0" w:color="auto"/>
              <w:right w:val="single" w:sz="4" w:space="0" w:color="auto"/>
            </w:tcBorders>
            <w:shd w:val="clear" w:color="000000" w:fill="FFFFFF"/>
            <w:noWrap/>
            <w:vAlign w:val="bottom"/>
            <w:hideMark/>
          </w:tcPr>
          <w:p w14:paraId="389A4FC5" w14:textId="77777777" w:rsidR="00B56301" w:rsidRPr="00D85A26" w:rsidRDefault="00B56301" w:rsidP="00B37B65">
            <w:pPr>
              <w:jc w:val="right"/>
              <w:rPr>
                <w:rFonts w:asciiTheme="minorHAnsi" w:hAnsiTheme="minorHAnsi"/>
                <w:sz w:val="16"/>
                <w:szCs w:val="16"/>
              </w:rPr>
            </w:pPr>
            <w:r w:rsidRPr="00D85A26">
              <w:rPr>
                <w:sz w:val="16"/>
                <w:szCs w:val="18"/>
              </w:rPr>
              <w:t>2,19</w:t>
            </w:r>
          </w:p>
        </w:tc>
      </w:tr>
      <w:tr w:rsidR="00B56301" w:rsidRPr="00D85A26" w14:paraId="5461D00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23E2FA5" w14:textId="334A3EB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F.</w:t>
            </w:r>
            <w:r w:rsidR="00260E0B">
              <w:rPr>
                <w:rFonts w:asciiTheme="minorHAnsi" w:hAnsiTheme="minorHAnsi"/>
                <w:sz w:val="16"/>
                <w:szCs w:val="16"/>
              </w:rPr>
              <w:t xml:space="preserve"> </w:t>
            </w:r>
            <w:r w:rsidRPr="00D85A26">
              <w:rPr>
                <w:rFonts w:asciiTheme="minorHAnsi" w:hAnsiTheme="minorHAnsi"/>
                <w:sz w:val="16"/>
                <w:szCs w:val="16"/>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76B692FF"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5323A78"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2F9F4ED"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A35C7B8"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C3BAA5A"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802F444"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02522A2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776C25C" w14:textId="4254F023"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320B1C2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4346F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05C92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001730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A6489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3C3F38"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28363F1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528CA3B" w14:textId="29563E2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Other</w:t>
            </w:r>
            <w:r w:rsidR="00260E0B">
              <w:rPr>
                <w:rFonts w:asciiTheme="minorHAnsi" w:hAnsiTheme="minorHAnsi"/>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28E2F0A9"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53748DB"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54F2BBA5"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7F158AB8"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7877B69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3A5BC51" w14:textId="77777777" w:rsidR="00B56301" w:rsidRPr="00D85A26" w:rsidRDefault="00B56301" w:rsidP="00B37B65">
            <w:pPr>
              <w:jc w:val="right"/>
              <w:rPr>
                <w:rFonts w:asciiTheme="minorHAnsi" w:hAnsiTheme="minorHAnsi"/>
                <w:sz w:val="16"/>
                <w:szCs w:val="16"/>
              </w:rPr>
            </w:pPr>
            <w:r w:rsidRPr="00D85A26">
              <w:rPr>
                <w:sz w:val="16"/>
                <w:szCs w:val="18"/>
              </w:rPr>
              <w:t>NA</w:t>
            </w:r>
          </w:p>
        </w:tc>
      </w:tr>
      <w:tr w:rsidR="00B56301" w:rsidRPr="00D85A26" w14:paraId="25D6F7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41E98F7" w14:textId="6C9C01F0"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5.</w:t>
            </w:r>
            <w:r w:rsidR="00260E0B">
              <w:rPr>
                <w:rFonts w:asciiTheme="minorHAnsi" w:hAnsiTheme="minorHAnsi"/>
                <w:b/>
                <w:bCs/>
                <w:sz w:val="16"/>
                <w:szCs w:val="16"/>
              </w:rPr>
              <w:t xml:space="preserve"> </w:t>
            </w:r>
            <w:r w:rsidRPr="00D85A26">
              <w:rPr>
                <w:rFonts w:asciiTheme="minorHAnsi" w:hAnsiTheme="minorHAnsi"/>
                <w:b/>
                <w:bCs/>
                <w:sz w:val="16"/>
                <w:szCs w:val="16"/>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64DF0622" w14:textId="77777777" w:rsidR="00B56301" w:rsidRPr="00D85A26" w:rsidRDefault="00B56301" w:rsidP="00B37B65">
            <w:pPr>
              <w:jc w:val="right"/>
              <w:rPr>
                <w:rFonts w:asciiTheme="minorHAnsi" w:hAnsiTheme="minorHAnsi"/>
                <w:sz w:val="16"/>
                <w:szCs w:val="16"/>
              </w:rPr>
            </w:pPr>
            <w:r w:rsidRPr="00D85A26">
              <w:rPr>
                <w:sz w:val="16"/>
                <w:szCs w:val="18"/>
              </w:rPr>
              <w:t>2,14</w:t>
            </w:r>
          </w:p>
        </w:tc>
        <w:tc>
          <w:tcPr>
            <w:tcW w:w="991" w:type="dxa"/>
            <w:tcBorders>
              <w:top w:val="nil"/>
              <w:left w:val="nil"/>
              <w:bottom w:val="single" w:sz="4" w:space="0" w:color="auto"/>
              <w:right w:val="single" w:sz="4" w:space="0" w:color="auto"/>
            </w:tcBorders>
            <w:shd w:val="clear" w:color="000000" w:fill="CCFFFF"/>
            <w:noWrap/>
            <w:vAlign w:val="bottom"/>
            <w:hideMark/>
          </w:tcPr>
          <w:p w14:paraId="5AFB2E5A" w14:textId="77777777" w:rsidR="00B56301" w:rsidRPr="00D85A26" w:rsidRDefault="00B56301" w:rsidP="00B37B65">
            <w:pPr>
              <w:jc w:val="right"/>
              <w:rPr>
                <w:rFonts w:asciiTheme="minorHAnsi" w:hAnsiTheme="minorHAnsi"/>
                <w:sz w:val="16"/>
                <w:szCs w:val="16"/>
              </w:rPr>
            </w:pPr>
            <w:r w:rsidRPr="00D85A26">
              <w:rPr>
                <w:sz w:val="16"/>
                <w:szCs w:val="18"/>
              </w:rPr>
              <w:t>2,13</w:t>
            </w:r>
          </w:p>
        </w:tc>
        <w:tc>
          <w:tcPr>
            <w:tcW w:w="991" w:type="dxa"/>
            <w:tcBorders>
              <w:top w:val="nil"/>
              <w:left w:val="nil"/>
              <w:bottom w:val="single" w:sz="4" w:space="0" w:color="auto"/>
              <w:right w:val="single" w:sz="4" w:space="0" w:color="auto"/>
            </w:tcBorders>
            <w:shd w:val="clear" w:color="000000" w:fill="CCFFFF"/>
            <w:noWrap/>
            <w:vAlign w:val="bottom"/>
            <w:hideMark/>
          </w:tcPr>
          <w:p w14:paraId="712E1107" w14:textId="77777777" w:rsidR="00B56301" w:rsidRPr="00D85A26" w:rsidRDefault="00B56301" w:rsidP="00B37B65">
            <w:pPr>
              <w:jc w:val="right"/>
              <w:rPr>
                <w:rFonts w:asciiTheme="minorHAnsi" w:hAnsiTheme="minorHAnsi"/>
                <w:sz w:val="16"/>
                <w:szCs w:val="16"/>
              </w:rPr>
            </w:pPr>
            <w:r w:rsidRPr="00D85A26">
              <w:rPr>
                <w:sz w:val="16"/>
                <w:szCs w:val="18"/>
              </w:rPr>
              <w:t>2,13</w:t>
            </w:r>
          </w:p>
        </w:tc>
        <w:tc>
          <w:tcPr>
            <w:tcW w:w="991" w:type="dxa"/>
            <w:tcBorders>
              <w:top w:val="nil"/>
              <w:left w:val="nil"/>
              <w:bottom w:val="single" w:sz="4" w:space="0" w:color="auto"/>
              <w:right w:val="single" w:sz="4" w:space="0" w:color="auto"/>
            </w:tcBorders>
            <w:shd w:val="clear" w:color="000000" w:fill="CCFFFF"/>
            <w:noWrap/>
            <w:vAlign w:val="bottom"/>
            <w:hideMark/>
          </w:tcPr>
          <w:p w14:paraId="0F502DAF" w14:textId="77777777" w:rsidR="00B56301" w:rsidRPr="00D85A26" w:rsidRDefault="00B56301" w:rsidP="00B37B65">
            <w:pPr>
              <w:jc w:val="right"/>
              <w:rPr>
                <w:rFonts w:asciiTheme="minorHAnsi" w:hAnsiTheme="minorHAnsi"/>
                <w:sz w:val="16"/>
                <w:szCs w:val="16"/>
              </w:rPr>
            </w:pPr>
            <w:r w:rsidRPr="00D85A26">
              <w:rPr>
                <w:sz w:val="16"/>
                <w:szCs w:val="18"/>
              </w:rPr>
              <w:t>2,22</w:t>
            </w:r>
          </w:p>
        </w:tc>
        <w:tc>
          <w:tcPr>
            <w:tcW w:w="991" w:type="dxa"/>
            <w:tcBorders>
              <w:top w:val="nil"/>
              <w:left w:val="nil"/>
              <w:bottom w:val="single" w:sz="4" w:space="0" w:color="auto"/>
              <w:right w:val="single" w:sz="4" w:space="0" w:color="auto"/>
            </w:tcBorders>
            <w:shd w:val="clear" w:color="000000" w:fill="CCFFFF"/>
            <w:noWrap/>
            <w:vAlign w:val="bottom"/>
            <w:hideMark/>
          </w:tcPr>
          <w:p w14:paraId="11F55B08" w14:textId="77777777" w:rsidR="00B56301" w:rsidRPr="00D85A26" w:rsidRDefault="00B56301" w:rsidP="00B37B65">
            <w:pPr>
              <w:jc w:val="right"/>
              <w:rPr>
                <w:rFonts w:asciiTheme="minorHAnsi" w:hAnsiTheme="minorHAnsi"/>
                <w:sz w:val="16"/>
                <w:szCs w:val="16"/>
              </w:rPr>
            </w:pPr>
            <w:r w:rsidRPr="00D85A26">
              <w:rPr>
                <w:sz w:val="16"/>
                <w:szCs w:val="18"/>
              </w:rPr>
              <w:t>2,08</w:t>
            </w:r>
          </w:p>
        </w:tc>
        <w:tc>
          <w:tcPr>
            <w:tcW w:w="991" w:type="dxa"/>
            <w:tcBorders>
              <w:top w:val="nil"/>
              <w:left w:val="nil"/>
              <w:bottom w:val="single" w:sz="4" w:space="0" w:color="auto"/>
              <w:right w:val="single" w:sz="4" w:space="0" w:color="auto"/>
            </w:tcBorders>
            <w:shd w:val="clear" w:color="000000" w:fill="CCFFFF"/>
            <w:noWrap/>
            <w:vAlign w:val="bottom"/>
            <w:hideMark/>
          </w:tcPr>
          <w:p w14:paraId="0CB20E30" w14:textId="77777777" w:rsidR="00B56301" w:rsidRPr="00D85A26" w:rsidRDefault="00B56301" w:rsidP="00B37B65">
            <w:pPr>
              <w:jc w:val="right"/>
              <w:rPr>
                <w:rFonts w:asciiTheme="minorHAnsi" w:hAnsiTheme="minorHAnsi"/>
                <w:sz w:val="16"/>
                <w:szCs w:val="16"/>
              </w:rPr>
            </w:pPr>
            <w:r w:rsidRPr="00D85A26">
              <w:rPr>
                <w:sz w:val="16"/>
                <w:szCs w:val="18"/>
              </w:rPr>
              <w:t>2,15</w:t>
            </w:r>
          </w:p>
        </w:tc>
      </w:tr>
      <w:tr w:rsidR="00B56301" w:rsidRPr="00D85A26" w14:paraId="4E9CB6E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E07AA1" w14:textId="380339D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Solid waste disposal</w:t>
            </w:r>
            <w:r w:rsidRPr="00D85A26">
              <w:rPr>
                <w:rFonts w:asciiTheme="minorHAnsi" w:hAnsiTheme="minorHAnsi"/>
                <w:b/>
                <w:bCs/>
                <w:sz w:val="16"/>
                <w:szCs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38CD49A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8E88D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249AC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5211F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8721F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2FE624"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328FE6F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210B10" w14:textId="6ECFBFDB"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B.</w:t>
            </w:r>
            <w:r w:rsidR="00260E0B">
              <w:rPr>
                <w:rFonts w:asciiTheme="minorHAnsi" w:hAnsiTheme="minorHAnsi"/>
                <w:sz w:val="16"/>
                <w:szCs w:val="16"/>
                <w:lang w:val="en-GB"/>
              </w:rPr>
              <w:t xml:space="preserve"> </w:t>
            </w:r>
            <w:r w:rsidRPr="00D85A26">
              <w:rPr>
                <w:rFonts w:asciiTheme="minorHAnsi" w:hAnsiTheme="minorHAnsi"/>
                <w:sz w:val="16"/>
                <w:szCs w:val="16"/>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27B25488" w14:textId="77777777" w:rsidR="00B56301" w:rsidRPr="00D85A26" w:rsidRDefault="00B56301" w:rsidP="00B37B65">
            <w:pPr>
              <w:jc w:val="right"/>
              <w:rPr>
                <w:rFonts w:asciiTheme="minorHAnsi" w:hAnsiTheme="minorHAnsi"/>
                <w:sz w:val="16"/>
                <w:szCs w:val="16"/>
              </w:rPr>
            </w:pPr>
            <w:r w:rsidRPr="00D85A26">
              <w:rPr>
                <w:sz w:val="16"/>
                <w:szCs w:val="18"/>
              </w:rPr>
              <w:t>0,40</w:t>
            </w:r>
          </w:p>
        </w:tc>
        <w:tc>
          <w:tcPr>
            <w:tcW w:w="991" w:type="dxa"/>
            <w:tcBorders>
              <w:top w:val="nil"/>
              <w:left w:val="nil"/>
              <w:bottom w:val="single" w:sz="4" w:space="0" w:color="auto"/>
              <w:right w:val="single" w:sz="4" w:space="0" w:color="auto"/>
            </w:tcBorders>
            <w:shd w:val="clear" w:color="000000" w:fill="FFFFFF"/>
            <w:noWrap/>
            <w:vAlign w:val="bottom"/>
            <w:hideMark/>
          </w:tcPr>
          <w:p w14:paraId="7F61B8A6" w14:textId="77777777" w:rsidR="00B56301" w:rsidRPr="00D85A26" w:rsidRDefault="00B56301" w:rsidP="00B37B65">
            <w:pPr>
              <w:jc w:val="right"/>
              <w:rPr>
                <w:rFonts w:asciiTheme="minorHAnsi" w:hAnsiTheme="minorHAnsi"/>
                <w:sz w:val="16"/>
                <w:szCs w:val="16"/>
              </w:rPr>
            </w:pPr>
            <w:r w:rsidRPr="00D85A26">
              <w:rPr>
                <w:sz w:val="16"/>
                <w:szCs w:val="18"/>
              </w:rPr>
              <w:t>0,41</w:t>
            </w:r>
          </w:p>
        </w:tc>
        <w:tc>
          <w:tcPr>
            <w:tcW w:w="991" w:type="dxa"/>
            <w:tcBorders>
              <w:top w:val="nil"/>
              <w:left w:val="nil"/>
              <w:bottom w:val="single" w:sz="4" w:space="0" w:color="auto"/>
              <w:right w:val="single" w:sz="4" w:space="0" w:color="auto"/>
            </w:tcBorders>
            <w:shd w:val="clear" w:color="000000" w:fill="FFFFFF"/>
            <w:noWrap/>
            <w:vAlign w:val="bottom"/>
            <w:hideMark/>
          </w:tcPr>
          <w:p w14:paraId="62F5B0F0"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0691D21D" w14:textId="77777777" w:rsidR="00B56301" w:rsidRPr="00D85A26" w:rsidRDefault="00B56301" w:rsidP="00B37B65">
            <w:pPr>
              <w:jc w:val="right"/>
              <w:rPr>
                <w:rFonts w:asciiTheme="minorHAnsi" w:hAnsiTheme="minorHAnsi"/>
                <w:sz w:val="16"/>
                <w:szCs w:val="16"/>
              </w:rPr>
            </w:pPr>
            <w:r w:rsidRPr="00D85A26">
              <w:rPr>
                <w:sz w:val="16"/>
                <w:szCs w:val="18"/>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23365DBB" w14:textId="77777777" w:rsidR="00B56301" w:rsidRPr="00D85A26" w:rsidRDefault="00B56301" w:rsidP="00B37B65">
            <w:pPr>
              <w:jc w:val="right"/>
              <w:rPr>
                <w:rFonts w:asciiTheme="minorHAnsi" w:hAnsiTheme="minorHAnsi"/>
                <w:sz w:val="16"/>
                <w:szCs w:val="16"/>
              </w:rPr>
            </w:pPr>
            <w:r w:rsidRPr="00D85A26">
              <w:rPr>
                <w:sz w:val="16"/>
                <w:szCs w:val="18"/>
              </w:rPr>
              <w:t>0,52</w:t>
            </w:r>
          </w:p>
        </w:tc>
        <w:tc>
          <w:tcPr>
            <w:tcW w:w="991" w:type="dxa"/>
            <w:tcBorders>
              <w:top w:val="nil"/>
              <w:left w:val="nil"/>
              <w:bottom w:val="single" w:sz="4" w:space="0" w:color="auto"/>
              <w:right w:val="single" w:sz="4" w:space="0" w:color="auto"/>
            </w:tcBorders>
            <w:shd w:val="clear" w:color="000000" w:fill="FFFFFF"/>
            <w:noWrap/>
            <w:vAlign w:val="bottom"/>
            <w:hideMark/>
          </w:tcPr>
          <w:p w14:paraId="77B69570" w14:textId="77777777" w:rsidR="00B56301" w:rsidRPr="00D85A26" w:rsidRDefault="00B56301" w:rsidP="00B37B65">
            <w:pPr>
              <w:jc w:val="right"/>
              <w:rPr>
                <w:rFonts w:asciiTheme="minorHAnsi" w:hAnsiTheme="minorHAnsi"/>
                <w:sz w:val="16"/>
                <w:szCs w:val="16"/>
              </w:rPr>
            </w:pPr>
            <w:r w:rsidRPr="00D85A26">
              <w:rPr>
                <w:sz w:val="16"/>
                <w:szCs w:val="18"/>
              </w:rPr>
              <w:t>0,59</w:t>
            </w:r>
          </w:p>
        </w:tc>
      </w:tr>
      <w:tr w:rsidR="00B56301" w:rsidRPr="00D85A26" w14:paraId="64A3123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59C868B" w14:textId="330015F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C.</w:t>
            </w:r>
            <w:r w:rsidR="00260E0B">
              <w:rPr>
                <w:rFonts w:asciiTheme="minorHAnsi" w:hAnsiTheme="minorHAnsi"/>
                <w:sz w:val="16"/>
                <w:szCs w:val="16"/>
                <w:lang w:val="en-GB"/>
              </w:rPr>
              <w:t xml:space="preserve"> </w:t>
            </w:r>
            <w:r w:rsidRPr="00D85A26">
              <w:rPr>
                <w:rFonts w:asciiTheme="minorHAnsi" w:hAnsiTheme="minorHAnsi"/>
                <w:sz w:val="16"/>
                <w:szCs w:val="16"/>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70E26327" w14:textId="77777777" w:rsidR="00B56301" w:rsidRPr="00D85A26" w:rsidRDefault="00B56301" w:rsidP="00B37B65">
            <w:pPr>
              <w:jc w:val="right"/>
              <w:rPr>
                <w:rFonts w:asciiTheme="minorHAnsi" w:hAnsiTheme="minorHAnsi"/>
                <w:sz w:val="16"/>
                <w:szCs w:val="16"/>
              </w:rPr>
            </w:pPr>
            <w:r w:rsidRPr="00D85A26">
              <w:rPr>
                <w:sz w:val="16"/>
                <w:szCs w:val="18"/>
              </w:rPr>
              <w:t>0,27</w:t>
            </w:r>
          </w:p>
        </w:tc>
        <w:tc>
          <w:tcPr>
            <w:tcW w:w="991" w:type="dxa"/>
            <w:tcBorders>
              <w:top w:val="nil"/>
              <w:left w:val="nil"/>
              <w:bottom w:val="single" w:sz="4" w:space="0" w:color="auto"/>
              <w:right w:val="single" w:sz="4" w:space="0" w:color="auto"/>
            </w:tcBorders>
            <w:shd w:val="clear" w:color="000000" w:fill="FFFFFF"/>
            <w:noWrap/>
            <w:vAlign w:val="bottom"/>
            <w:hideMark/>
          </w:tcPr>
          <w:p w14:paraId="3802B525" w14:textId="77777777" w:rsidR="00B56301" w:rsidRPr="00D85A26" w:rsidRDefault="00B56301" w:rsidP="00B37B65">
            <w:pPr>
              <w:jc w:val="right"/>
              <w:rPr>
                <w:rFonts w:asciiTheme="minorHAnsi" w:hAnsiTheme="minorHAnsi"/>
                <w:sz w:val="16"/>
                <w:szCs w:val="16"/>
              </w:rPr>
            </w:pPr>
            <w:r w:rsidRPr="00D85A26">
              <w:rPr>
                <w:sz w:val="16"/>
                <w:szCs w:val="18"/>
              </w:rPr>
              <w:t>0,24</w:t>
            </w:r>
          </w:p>
        </w:tc>
        <w:tc>
          <w:tcPr>
            <w:tcW w:w="991" w:type="dxa"/>
            <w:tcBorders>
              <w:top w:val="nil"/>
              <w:left w:val="nil"/>
              <w:bottom w:val="single" w:sz="4" w:space="0" w:color="auto"/>
              <w:right w:val="single" w:sz="4" w:space="0" w:color="auto"/>
            </w:tcBorders>
            <w:shd w:val="clear" w:color="000000" w:fill="FFFFFF"/>
            <w:noWrap/>
            <w:vAlign w:val="bottom"/>
            <w:hideMark/>
          </w:tcPr>
          <w:p w14:paraId="5AEC2E85"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1C19B9A" w14:textId="77777777" w:rsidR="00B56301" w:rsidRPr="00D85A26" w:rsidRDefault="00B56301" w:rsidP="00B37B65">
            <w:pPr>
              <w:jc w:val="right"/>
              <w:rPr>
                <w:rFonts w:asciiTheme="minorHAnsi" w:hAnsiTheme="minorHAnsi"/>
                <w:sz w:val="16"/>
                <w:szCs w:val="16"/>
              </w:rPr>
            </w:pPr>
            <w:r w:rsidRPr="00D85A26">
              <w:rPr>
                <w:sz w:val="16"/>
                <w:szCs w:val="18"/>
              </w:rPr>
              <w:t>0,26</w:t>
            </w:r>
          </w:p>
        </w:tc>
        <w:tc>
          <w:tcPr>
            <w:tcW w:w="991" w:type="dxa"/>
            <w:tcBorders>
              <w:top w:val="nil"/>
              <w:left w:val="nil"/>
              <w:bottom w:val="single" w:sz="4" w:space="0" w:color="auto"/>
              <w:right w:val="single" w:sz="4" w:space="0" w:color="auto"/>
            </w:tcBorders>
            <w:shd w:val="clear" w:color="000000" w:fill="FFFFFF"/>
            <w:noWrap/>
            <w:vAlign w:val="bottom"/>
            <w:hideMark/>
          </w:tcPr>
          <w:p w14:paraId="6B7B4360" w14:textId="77777777" w:rsidR="00B56301" w:rsidRPr="00D85A26" w:rsidRDefault="00B56301" w:rsidP="00B37B65">
            <w:pPr>
              <w:jc w:val="right"/>
              <w:rPr>
                <w:rFonts w:asciiTheme="minorHAnsi" w:hAnsiTheme="minorHAnsi"/>
                <w:sz w:val="16"/>
                <w:szCs w:val="16"/>
              </w:rPr>
            </w:pPr>
            <w:r w:rsidRPr="00D85A26">
              <w:rPr>
                <w:sz w:val="16"/>
                <w:szCs w:val="18"/>
              </w:rPr>
              <w:t>0,23</w:t>
            </w:r>
          </w:p>
        </w:tc>
        <w:tc>
          <w:tcPr>
            <w:tcW w:w="991" w:type="dxa"/>
            <w:tcBorders>
              <w:top w:val="nil"/>
              <w:left w:val="nil"/>
              <w:bottom w:val="single" w:sz="4" w:space="0" w:color="auto"/>
              <w:right w:val="single" w:sz="4" w:space="0" w:color="auto"/>
            </w:tcBorders>
            <w:shd w:val="clear" w:color="000000" w:fill="FFFFFF"/>
            <w:noWrap/>
            <w:vAlign w:val="bottom"/>
            <w:hideMark/>
          </w:tcPr>
          <w:p w14:paraId="72D4B14F" w14:textId="77777777" w:rsidR="00B56301" w:rsidRPr="00D85A26" w:rsidRDefault="00B56301" w:rsidP="00B37B65">
            <w:pPr>
              <w:jc w:val="right"/>
              <w:rPr>
                <w:rFonts w:asciiTheme="minorHAnsi" w:hAnsiTheme="minorHAnsi"/>
                <w:sz w:val="16"/>
                <w:szCs w:val="16"/>
              </w:rPr>
            </w:pPr>
            <w:r w:rsidRPr="00D85A26">
              <w:rPr>
                <w:sz w:val="16"/>
                <w:szCs w:val="18"/>
              </w:rPr>
              <w:t>0,23</w:t>
            </w:r>
          </w:p>
        </w:tc>
      </w:tr>
      <w:tr w:rsidR="00B56301" w:rsidRPr="00D85A26" w14:paraId="2F4AECB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EFEC52F" w14:textId="255783AB"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6EDF89EB" w14:textId="77777777" w:rsidR="00B56301" w:rsidRPr="0034391E" w:rsidRDefault="00B56301" w:rsidP="00B37B65">
            <w:pPr>
              <w:jc w:val="right"/>
              <w:rPr>
                <w:rFonts w:asciiTheme="minorHAnsi" w:hAnsiTheme="minorHAnsi"/>
                <w:sz w:val="16"/>
                <w:szCs w:val="16"/>
              </w:rPr>
            </w:pPr>
            <w:r w:rsidRPr="0034391E">
              <w:rPr>
                <w:sz w:val="16"/>
                <w:szCs w:val="16"/>
              </w:rPr>
              <w:t>1,47</w:t>
            </w:r>
          </w:p>
        </w:tc>
        <w:tc>
          <w:tcPr>
            <w:tcW w:w="991" w:type="dxa"/>
            <w:tcBorders>
              <w:top w:val="nil"/>
              <w:left w:val="nil"/>
              <w:bottom w:val="single" w:sz="4" w:space="0" w:color="auto"/>
              <w:right w:val="single" w:sz="4" w:space="0" w:color="auto"/>
            </w:tcBorders>
            <w:shd w:val="clear" w:color="000000" w:fill="FFFFFF"/>
            <w:noWrap/>
            <w:vAlign w:val="bottom"/>
            <w:hideMark/>
          </w:tcPr>
          <w:p w14:paraId="10BAE127" w14:textId="77777777" w:rsidR="00B56301" w:rsidRPr="0034391E" w:rsidRDefault="00B56301" w:rsidP="00B37B65">
            <w:pPr>
              <w:jc w:val="right"/>
              <w:rPr>
                <w:rFonts w:asciiTheme="minorHAnsi" w:hAnsiTheme="minorHAnsi"/>
                <w:sz w:val="16"/>
                <w:szCs w:val="16"/>
              </w:rPr>
            </w:pPr>
            <w:r w:rsidRPr="0034391E">
              <w:rPr>
                <w:sz w:val="16"/>
                <w:szCs w:val="16"/>
              </w:rPr>
              <w:t>1,48</w:t>
            </w:r>
          </w:p>
        </w:tc>
        <w:tc>
          <w:tcPr>
            <w:tcW w:w="991" w:type="dxa"/>
            <w:tcBorders>
              <w:top w:val="nil"/>
              <w:left w:val="nil"/>
              <w:bottom w:val="single" w:sz="4" w:space="0" w:color="auto"/>
              <w:right w:val="single" w:sz="4" w:space="0" w:color="auto"/>
            </w:tcBorders>
            <w:shd w:val="clear" w:color="000000" w:fill="FFFFFF"/>
            <w:noWrap/>
            <w:vAlign w:val="bottom"/>
            <w:hideMark/>
          </w:tcPr>
          <w:p w14:paraId="6C5C547B" w14:textId="77777777" w:rsidR="00B56301" w:rsidRPr="0034391E" w:rsidRDefault="00B56301" w:rsidP="00B37B65">
            <w:pPr>
              <w:jc w:val="right"/>
              <w:rPr>
                <w:rFonts w:asciiTheme="minorHAnsi" w:hAnsiTheme="minorHAnsi"/>
                <w:sz w:val="16"/>
                <w:szCs w:val="16"/>
              </w:rPr>
            </w:pPr>
            <w:r w:rsidRPr="0034391E">
              <w:rPr>
                <w:sz w:val="16"/>
                <w:szCs w:val="16"/>
              </w:rPr>
              <w:t>1,49</w:t>
            </w:r>
          </w:p>
        </w:tc>
        <w:tc>
          <w:tcPr>
            <w:tcW w:w="991" w:type="dxa"/>
            <w:tcBorders>
              <w:top w:val="nil"/>
              <w:left w:val="nil"/>
              <w:bottom w:val="single" w:sz="4" w:space="0" w:color="auto"/>
              <w:right w:val="single" w:sz="4" w:space="0" w:color="auto"/>
            </w:tcBorders>
            <w:shd w:val="clear" w:color="000000" w:fill="FFFFFF"/>
            <w:noWrap/>
            <w:vAlign w:val="bottom"/>
            <w:hideMark/>
          </w:tcPr>
          <w:p w14:paraId="2D21DF2E" w14:textId="77777777" w:rsidR="00B56301" w:rsidRPr="0034391E" w:rsidRDefault="00B56301" w:rsidP="00B37B65">
            <w:pPr>
              <w:jc w:val="right"/>
              <w:rPr>
                <w:rFonts w:asciiTheme="minorHAnsi" w:hAnsiTheme="minorHAnsi"/>
                <w:sz w:val="16"/>
                <w:szCs w:val="16"/>
              </w:rPr>
            </w:pPr>
            <w:r w:rsidRPr="0034391E">
              <w:rPr>
                <w:sz w:val="16"/>
                <w:szCs w:val="16"/>
              </w:rPr>
              <w:t>1,51</w:t>
            </w:r>
          </w:p>
        </w:tc>
        <w:tc>
          <w:tcPr>
            <w:tcW w:w="991" w:type="dxa"/>
            <w:tcBorders>
              <w:top w:val="nil"/>
              <w:left w:val="nil"/>
              <w:bottom w:val="single" w:sz="4" w:space="0" w:color="auto"/>
              <w:right w:val="single" w:sz="4" w:space="0" w:color="auto"/>
            </w:tcBorders>
            <w:shd w:val="clear" w:color="000000" w:fill="FFFFFF"/>
            <w:noWrap/>
            <w:vAlign w:val="bottom"/>
            <w:hideMark/>
          </w:tcPr>
          <w:p w14:paraId="077BC227" w14:textId="77777777" w:rsidR="00B56301" w:rsidRPr="0034391E" w:rsidRDefault="00B56301" w:rsidP="00B37B65">
            <w:pPr>
              <w:jc w:val="right"/>
              <w:rPr>
                <w:rFonts w:asciiTheme="minorHAnsi" w:hAnsiTheme="minorHAnsi"/>
                <w:sz w:val="16"/>
                <w:szCs w:val="16"/>
              </w:rPr>
            </w:pPr>
            <w:r w:rsidRPr="0034391E">
              <w:rPr>
                <w:sz w:val="16"/>
                <w:szCs w:val="16"/>
              </w:rPr>
              <w:t>1,33</w:t>
            </w:r>
          </w:p>
        </w:tc>
        <w:tc>
          <w:tcPr>
            <w:tcW w:w="991" w:type="dxa"/>
            <w:tcBorders>
              <w:top w:val="nil"/>
              <w:left w:val="nil"/>
              <w:bottom w:val="single" w:sz="4" w:space="0" w:color="auto"/>
              <w:right w:val="single" w:sz="4" w:space="0" w:color="auto"/>
            </w:tcBorders>
            <w:shd w:val="clear" w:color="000000" w:fill="FFFFFF"/>
            <w:noWrap/>
            <w:vAlign w:val="bottom"/>
            <w:hideMark/>
          </w:tcPr>
          <w:p w14:paraId="31D40EDC" w14:textId="77777777" w:rsidR="00B56301" w:rsidRPr="0034391E" w:rsidRDefault="00B56301" w:rsidP="00B37B65">
            <w:pPr>
              <w:jc w:val="right"/>
              <w:rPr>
                <w:rFonts w:asciiTheme="minorHAnsi" w:hAnsiTheme="minorHAnsi"/>
                <w:sz w:val="16"/>
                <w:szCs w:val="16"/>
              </w:rPr>
            </w:pPr>
            <w:r w:rsidRPr="0034391E">
              <w:rPr>
                <w:sz w:val="16"/>
                <w:szCs w:val="16"/>
              </w:rPr>
              <w:t>1,32</w:t>
            </w:r>
          </w:p>
        </w:tc>
      </w:tr>
      <w:tr w:rsidR="00B56301" w:rsidRPr="00D85A26" w14:paraId="64B2FB7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867ACF9" w14:textId="2962EFEB"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6C63C8C3"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19C7C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712806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D4B819"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AA77845"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5BD92BB"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6D48B2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1658415" w14:textId="539AD812"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6E88E58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4DA6C53"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A7A5E6F"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6385773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23BE109"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1E34DE81"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1762ADA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18EA8A8E" w14:textId="26ACDAA1"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without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78D22CA5" w14:textId="77777777" w:rsidR="00B56301" w:rsidRPr="0034391E" w:rsidRDefault="00B56301" w:rsidP="00B37B65">
            <w:pPr>
              <w:jc w:val="right"/>
              <w:rPr>
                <w:rFonts w:asciiTheme="minorHAnsi" w:hAnsiTheme="minorHAnsi"/>
                <w:sz w:val="16"/>
                <w:szCs w:val="16"/>
              </w:rPr>
            </w:pPr>
            <w:r w:rsidRPr="0034391E">
              <w:rPr>
                <w:sz w:val="16"/>
                <w:szCs w:val="16"/>
              </w:rPr>
              <w:t>150,92</w:t>
            </w:r>
          </w:p>
        </w:tc>
        <w:tc>
          <w:tcPr>
            <w:tcW w:w="991" w:type="dxa"/>
            <w:tcBorders>
              <w:top w:val="nil"/>
              <w:left w:val="nil"/>
              <w:bottom w:val="single" w:sz="4" w:space="0" w:color="auto"/>
              <w:right w:val="single" w:sz="4" w:space="0" w:color="auto"/>
            </w:tcBorders>
            <w:shd w:val="clear" w:color="000000" w:fill="CCFFFF"/>
            <w:noWrap/>
            <w:vAlign w:val="bottom"/>
            <w:hideMark/>
          </w:tcPr>
          <w:p w14:paraId="3207A596" w14:textId="77777777" w:rsidR="00B56301" w:rsidRPr="0034391E" w:rsidRDefault="00B56301" w:rsidP="00B37B65">
            <w:pPr>
              <w:jc w:val="right"/>
              <w:rPr>
                <w:rFonts w:asciiTheme="minorHAnsi" w:hAnsiTheme="minorHAnsi"/>
                <w:sz w:val="16"/>
                <w:szCs w:val="16"/>
              </w:rPr>
            </w:pPr>
            <w:r w:rsidRPr="0034391E">
              <w:rPr>
                <w:sz w:val="16"/>
                <w:szCs w:val="16"/>
              </w:rPr>
              <w:t>148,44</w:t>
            </w:r>
          </w:p>
        </w:tc>
        <w:tc>
          <w:tcPr>
            <w:tcW w:w="991" w:type="dxa"/>
            <w:tcBorders>
              <w:top w:val="nil"/>
              <w:left w:val="nil"/>
              <w:bottom w:val="single" w:sz="4" w:space="0" w:color="auto"/>
              <w:right w:val="single" w:sz="4" w:space="0" w:color="auto"/>
            </w:tcBorders>
            <w:shd w:val="clear" w:color="000000" w:fill="CCFFFF"/>
            <w:noWrap/>
            <w:vAlign w:val="bottom"/>
            <w:hideMark/>
          </w:tcPr>
          <w:p w14:paraId="6A6837D8" w14:textId="77777777" w:rsidR="00B56301" w:rsidRPr="0034391E" w:rsidRDefault="00B56301" w:rsidP="00B37B65">
            <w:pPr>
              <w:jc w:val="right"/>
              <w:rPr>
                <w:rFonts w:asciiTheme="minorHAnsi" w:hAnsiTheme="minorHAnsi"/>
                <w:sz w:val="16"/>
                <w:szCs w:val="16"/>
              </w:rPr>
            </w:pPr>
            <w:r w:rsidRPr="0034391E">
              <w:rPr>
                <w:sz w:val="16"/>
                <w:szCs w:val="16"/>
              </w:rPr>
              <w:t>143,14</w:t>
            </w:r>
          </w:p>
        </w:tc>
        <w:tc>
          <w:tcPr>
            <w:tcW w:w="991" w:type="dxa"/>
            <w:tcBorders>
              <w:top w:val="nil"/>
              <w:left w:val="nil"/>
              <w:bottom w:val="single" w:sz="4" w:space="0" w:color="auto"/>
              <w:right w:val="single" w:sz="4" w:space="0" w:color="auto"/>
            </w:tcBorders>
            <w:shd w:val="clear" w:color="000000" w:fill="CCFFFF"/>
            <w:noWrap/>
            <w:vAlign w:val="bottom"/>
            <w:hideMark/>
          </w:tcPr>
          <w:p w14:paraId="3B3336D4" w14:textId="77777777" w:rsidR="00B56301" w:rsidRPr="0034391E" w:rsidRDefault="00B56301" w:rsidP="00B37B65">
            <w:pPr>
              <w:jc w:val="right"/>
              <w:rPr>
                <w:rFonts w:asciiTheme="minorHAnsi" w:hAnsiTheme="minorHAnsi"/>
                <w:sz w:val="16"/>
                <w:szCs w:val="16"/>
              </w:rPr>
            </w:pPr>
            <w:r w:rsidRPr="0034391E">
              <w:rPr>
                <w:sz w:val="16"/>
                <w:szCs w:val="16"/>
              </w:rPr>
              <w:t>135,83</w:t>
            </w:r>
          </w:p>
        </w:tc>
        <w:tc>
          <w:tcPr>
            <w:tcW w:w="991" w:type="dxa"/>
            <w:tcBorders>
              <w:top w:val="nil"/>
              <w:left w:val="nil"/>
              <w:bottom w:val="single" w:sz="4" w:space="0" w:color="auto"/>
              <w:right w:val="single" w:sz="4" w:space="0" w:color="auto"/>
            </w:tcBorders>
            <w:shd w:val="clear" w:color="000000" w:fill="CCFFFF"/>
            <w:noWrap/>
            <w:vAlign w:val="bottom"/>
            <w:hideMark/>
          </w:tcPr>
          <w:p w14:paraId="36CB494B" w14:textId="77777777" w:rsidR="00B56301" w:rsidRPr="0034391E" w:rsidRDefault="00B56301" w:rsidP="00B37B65">
            <w:pPr>
              <w:jc w:val="right"/>
              <w:rPr>
                <w:rFonts w:asciiTheme="minorHAnsi" w:hAnsiTheme="minorHAnsi"/>
                <w:sz w:val="16"/>
                <w:szCs w:val="16"/>
              </w:rPr>
            </w:pPr>
            <w:r w:rsidRPr="0034391E">
              <w:rPr>
                <w:sz w:val="16"/>
                <w:szCs w:val="16"/>
              </w:rPr>
              <w:t>130,47</w:t>
            </w:r>
          </w:p>
        </w:tc>
        <w:tc>
          <w:tcPr>
            <w:tcW w:w="991" w:type="dxa"/>
            <w:tcBorders>
              <w:top w:val="nil"/>
              <w:left w:val="nil"/>
              <w:bottom w:val="single" w:sz="4" w:space="0" w:color="auto"/>
              <w:right w:val="single" w:sz="4" w:space="0" w:color="auto"/>
            </w:tcBorders>
            <w:shd w:val="clear" w:color="000000" w:fill="CCFFFF"/>
            <w:noWrap/>
            <w:vAlign w:val="bottom"/>
            <w:hideMark/>
          </w:tcPr>
          <w:p w14:paraId="2FC799C3" w14:textId="77777777" w:rsidR="00B56301" w:rsidRPr="0034391E" w:rsidRDefault="00B56301" w:rsidP="00B37B65">
            <w:pPr>
              <w:jc w:val="right"/>
              <w:rPr>
                <w:rFonts w:asciiTheme="minorHAnsi" w:hAnsiTheme="minorHAnsi"/>
                <w:sz w:val="16"/>
                <w:szCs w:val="16"/>
              </w:rPr>
            </w:pPr>
            <w:r w:rsidRPr="0034391E">
              <w:rPr>
                <w:sz w:val="16"/>
                <w:szCs w:val="16"/>
              </w:rPr>
              <w:t>131,42</w:t>
            </w:r>
          </w:p>
        </w:tc>
      </w:tr>
      <w:tr w:rsidR="00B56301" w:rsidRPr="00D85A26" w14:paraId="5B16D8AE"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FAD8589" w14:textId="4FF06904"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7EE8C1BE" w14:textId="77777777" w:rsidR="00B56301" w:rsidRPr="0034391E" w:rsidRDefault="00B56301" w:rsidP="00B37B65">
            <w:pPr>
              <w:jc w:val="right"/>
              <w:rPr>
                <w:rFonts w:asciiTheme="minorHAnsi" w:hAnsiTheme="minorHAnsi"/>
                <w:sz w:val="16"/>
                <w:szCs w:val="16"/>
              </w:rPr>
            </w:pPr>
            <w:r w:rsidRPr="0034391E">
              <w:rPr>
                <w:sz w:val="16"/>
                <w:szCs w:val="16"/>
              </w:rPr>
              <w:t>161,18</w:t>
            </w:r>
          </w:p>
        </w:tc>
        <w:tc>
          <w:tcPr>
            <w:tcW w:w="991" w:type="dxa"/>
            <w:tcBorders>
              <w:top w:val="nil"/>
              <w:left w:val="nil"/>
              <w:bottom w:val="single" w:sz="4" w:space="0" w:color="auto"/>
              <w:right w:val="single" w:sz="4" w:space="0" w:color="auto"/>
            </w:tcBorders>
            <w:shd w:val="clear" w:color="000000" w:fill="CCFFFF"/>
            <w:noWrap/>
            <w:vAlign w:val="bottom"/>
            <w:hideMark/>
          </w:tcPr>
          <w:p w14:paraId="425D8238" w14:textId="77777777" w:rsidR="00B56301" w:rsidRPr="0034391E" w:rsidRDefault="00B56301" w:rsidP="00B37B65">
            <w:pPr>
              <w:jc w:val="right"/>
              <w:rPr>
                <w:rFonts w:asciiTheme="minorHAnsi" w:hAnsiTheme="minorHAnsi"/>
                <w:sz w:val="16"/>
                <w:szCs w:val="16"/>
              </w:rPr>
            </w:pPr>
            <w:r w:rsidRPr="0034391E">
              <w:rPr>
                <w:sz w:val="16"/>
                <w:szCs w:val="16"/>
              </w:rPr>
              <w:t>159,03</w:t>
            </w:r>
          </w:p>
        </w:tc>
        <w:tc>
          <w:tcPr>
            <w:tcW w:w="991" w:type="dxa"/>
            <w:tcBorders>
              <w:top w:val="nil"/>
              <w:left w:val="nil"/>
              <w:bottom w:val="single" w:sz="4" w:space="0" w:color="auto"/>
              <w:right w:val="single" w:sz="4" w:space="0" w:color="auto"/>
            </w:tcBorders>
            <w:shd w:val="clear" w:color="000000" w:fill="CCFFFF"/>
            <w:noWrap/>
            <w:vAlign w:val="bottom"/>
            <w:hideMark/>
          </w:tcPr>
          <w:p w14:paraId="18598346" w14:textId="77777777" w:rsidR="00B56301" w:rsidRPr="0034391E" w:rsidRDefault="00B56301" w:rsidP="00B37B65">
            <w:pPr>
              <w:jc w:val="right"/>
              <w:rPr>
                <w:rFonts w:asciiTheme="minorHAnsi" w:hAnsiTheme="minorHAnsi"/>
                <w:sz w:val="16"/>
                <w:szCs w:val="16"/>
              </w:rPr>
            </w:pPr>
            <w:r w:rsidRPr="0034391E">
              <w:rPr>
                <w:sz w:val="16"/>
                <w:szCs w:val="16"/>
              </w:rPr>
              <w:t>153,89</w:t>
            </w:r>
          </w:p>
        </w:tc>
        <w:tc>
          <w:tcPr>
            <w:tcW w:w="991" w:type="dxa"/>
            <w:tcBorders>
              <w:top w:val="nil"/>
              <w:left w:val="nil"/>
              <w:bottom w:val="single" w:sz="4" w:space="0" w:color="auto"/>
              <w:right w:val="single" w:sz="4" w:space="0" w:color="auto"/>
            </w:tcBorders>
            <w:shd w:val="clear" w:color="000000" w:fill="CCFFFF"/>
            <w:noWrap/>
            <w:vAlign w:val="bottom"/>
            <w:hideMark/>
          </w:tcPr>
          <w:p w14:paraId="3D0DE19B" w14:textId="77777777" w:rsidR="00B56301" w:rsidRPr="0034391E" w:rsidRDefault="00B56301" w:rsidP="00B37B65">
            <w:pPr>
              <w:jc w:val="right"/>
              <w:rPr>
                <w:rFonts w:asciiTheme="minorHAnsi" w:hAnsiTheme="minorHAnsi"/>
                <w:sz w:val="16"/>
                <w:szCs w:val="16"/>
              </w:rPr>
            </w:pPr>
            <w:r w:rsidRPr="0034391E">
              <w:rPr>
                <w:sz w:val="16"/>
                <w:szCs w:val="16"/>
              </w:rPr>
              <w:t>146,63</w:t>
            </w:r>
          </w:p>
        </w:tc>
        <w:tc>
          <w:tcPr>
            <w:tcW w:w="991" w:type="dxa"/>
            <w:tcBorders>
              <w:top w:val="nil"/>
              <w:left w:val="nil"/>
              <w:bottom w:val="single" w:sz="4" w:space="0" w:color="auto"/>
              <w:right w:val="single" w:sz="4" w:space="0" w:color="auto"/>
            </w:tcBorders>
            <w:shd w:val="clear" w:color="000000" w:fill="CCFFFF"/>
            <w:noWrap/>
            <w:vAlign w:val="bottom"/>
            <w:hideMark/>
          </w:tcPr>
          <w:p w14:paraId="5894D498" w14:textId="77777777" w:rsidR="00B56301" w:rsidRPr="0034391E" w:rsidRDefault="00B56301" w:rsidP="00B37B65">
            <w:pPr>
              <w:jc w:val="right"/>
              <w:rPr>
                <w:rFonts w:asciiTheme="minorHAnsi" w:hAnsiTheme="minorHAnsi"/>
                <w:sz w:val="16"/>
                <w:szCs w:val="16"/>
              </w:rPr>
            </w:pPr>
            <w:r w:rsidRPr="0034391E">
              <w:rPr>
                <w:sz w:val="16"/>
                <w:szCs w:val="16"/>
              </w:rPr>
              <w:t>141,10</w:t>
            </w:r>
          </w:p>
        </w:tc>
        <w:tc>
          <w:tcPr>
            <w:tcW w:w="991" w:type="dxa"/>
            <w:tcBorders>
              <w:top w:val="nil"/>
              <w:left w:val="nil"/>
              <w:bottom w:val="single" w:sz="4" w:space="0" w:color="auto"/>
              <w:right w:val="single" w:sz="4" w:space="0" w:color="auto"/>
            </w:tcBorders>
            <w:shd w:val="clear" w:color="000000" w:fill="CCFFFF"/>
            <w:noWrap/>
            <w:vAlign w:val="bottom"/>
            <w:hideMark/>
          </w:tcPr>
          <w:p w14:paraId="60ACAA87" w14:textId="77777777" w:rsidR="00B56301" w:rsidRPr="0034391E" w:rsidRDefault="00B56301" w:rsidP="00B37B65">
            <w:pPr>
              <w:jc w:val="right"/>
              <w:rPr>
                <w:rFonts w:asciiTheme="minorHAnsi" w:hAnsiTheme="minorHAnsi"/>
                <w:sz w:val="16"/>
                <w:szCs w:val="16"/>
              </w:rPr>
            </w:pPr>
            <w:r w:rsidRPr="0034391E">
              <w:rPr>
                <w:sz w:val="16"/>
                <w:szCs w:val="16"/>
              </w:rPr>
              <w:t>141,82</w:t>
            </w:r>
          </w:p>
        </w:tc>
      </w:tr>
      <w:tr w:rsidR="00B56301" w:rsidRPr="00D85A26" w14:paraId="5B4A73E8"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6836AAC"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r w:rsidRPr="0034391E">
              <w:rPr>
                <w:rFonts w:asciiTheme="minorHAnsi" w:hAnsiTheme="minorHAnsi"/>
                <w:b/>
                <w:bCs/>
                <w:sz w:val="16"/>
                <w:szCs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AA00BB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D82E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C2DC1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81221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0487E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9DE2BFD"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6EF91C6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4D73CE"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00608E97" w14:textId="77777777" w:rsidR="00B56301" w:rsidRPr="0034391E" w:rsidRDefault="00B56301" w:rsidP="00B37B65">
            <w:pPr>
              <w:jc w:val="right"/>
              <w:rPr>
                <w:rFonts w:asciiTheme="minorHAnsi" w:hAnsiTheme="minorHAnsi"/>
                <w:sz w:val="16"/>
                <w:szCs w:val="16"/>
              </w:rPr>
            </w:pPr>
            <w:r w:rsidRPr="0034391E">
              <w:rPr>
                <w:sz w:val="16"/>
                <w:szCs w:val="16"/>
              </w:rPr>
              <w:t>0,71</w:t>
            </w:r>
          </w:p>
        </w:tc>
        <w:tc>
          <w:tcPr>
            <w:tcW w:w="991" w:type="dxa"/>
            <w:tcBorders>
              <w:top w:val="nil"/>
              <w:left w:val="nil"/>
              <w:bottom w:val="single" w:sz="4" w:space="0" w:color="auto"/>
              <w:right w:val="single" w:sz="4" w:space="0" w:color="auto"/>
            </w:tcBorders>
            <w:shd w:val="clear" w:color="000000" w:fill="CCFFFF"/>
            <w:noWrap/>
            <w:vAlign w:val="bottom"/>
            <w:hideMark/>
          </w:tcPr>
          <w:p w14:paraId="134AE7C9" w14:textId="77777777" w:rsidR="00B56301" w:rsidRPr="0034391E" w:rsidRDefault="00B56301" w:rsidP="00B37B65">
            <w:pPr>
              <w:jc w:val="right"/>
              <w:rPr>
                <w:rFonts w:asciiTheme="minorHAnsi" w:hAnsiTheme="minorHAnsi"/>
                <w:sz w:val="16"/>
                <w:szCs w:val="16"/>
              </w:rPr>
            </w:pPr>
            <w:r w:rsidRPr="0034391E">
              <w:rPr>
                <w:sz w:val="16"/>
                <w:szCs w:val="16"/>
              </w:rPr>
              <w:t>0,68</w:t>
            </w:r>
          </w:p>
        </w:tc>
        <w:tc>
          <w:tcPr>
            <w:tcW w:w="991" w:type="dxa"/>
            <w:tcBorders>
              <w:top w:val="nil"/>
              <w:left w:val="nil"/>
              <w:bottom w:val="single" w:sz="4" w:space="0" w:color="auto"/>
              <w:right w:val="single" w:sz="4" w:space="0" w:color="auto"/>
            </w:tcBorders>
            <w:shd w:val="clear" w:color="000000" w:fill="CCFFFF"/>
            <w:noWrap/>
            <w:vAlign w:val="bottom"/>
            <w:hideMark/>
          </w:tcPr>
          <w:p w14:paraId="3BAAD4F3" w14:textId="77777777" w:rsidR="00B56301" w:rsidRPr="0034391E" w:rsidRDefault="00B56301" w:rsidP="00B37B65">
            <w:pPr>
              <w:jc w:val="right"/>
              <w:rPr>
                <w:rFonts w:asciiTheme="minorHAnsi" w:hAnsiTheme="minorHAnsi"/>
                <w:sz w:val="16"/>
                <w:szCs w:val="16"/>
              </w:rPr>
            </w:pPr>
            <w:r w:rsidRPr="0034391E">
              <w:rPr>
                <w:sz w:val="16"/>
                <w:szCs w:val="16"/>
              </w:rPr>
              <w:t>0,64</w:t>
            </w:r>
          </w:p>
        </w:tc>
        <w:tc>
          <w:tcPr>
            <w:tcW w:w="991" w:type="dxa"/>
            <w:tcBorders>
              <w:top w:val="nil"/>
              <w:left w:val="nil"/>
              <w:bottom w:val="single" w:sz="4" w:space="0" w:color="auto"/>
              <w:right w:val="single" w:sz="4" w:space="0" w:color="auto"/>
            </w:tcBorders>
            <w:shd w:val="clear" w:color="000000" w:fill="CCFFFF"/>
            <w:noWrap/>
            <w:vAlign w:val="bottom"/>
            <w:hideMark/>
          </w:tcPr>
          <w:p w14:paraId="23B848B3" w14:textId="77777777" w:rsidR="00B56301" w:rsidRPr="0034391E" w:rsidRDefault="00B56301" w:rsidP="00B37B65">
            <w:pPr>
              <w:jc w:val="right"/>
              <w:rPr>
                <w:rFonts w:asciiTheme="minorHAnsi" w:hAnsiTheme="minorHAnsi"/>
                <w:sz w:val="16"/>
                <w:szCs w:val="16"/>
              </w:rPr>
            </w:pPr>
            <w:r w:rsidRPr="0034391E">
              <w:rPr>
                <w:sz w:val="16"/>
                <w:szCs w:val="16"/>
              </w:rPr>
              <w:t>0,64</w:t>
            </w:r>
          </w:p>
        </w:tc>
        <w:tc>
          <w:tcPr>
            <w:tcW w:w="991" w:type="dxa"/>
            <w:tcBorders>
              <w:top w:val="nil"/>
              <w:left w:val="nil"/>
              <w:bottom w:val="single" w:sz="4" w:space="0" w:color="auto"/>
              <w:right w:val="single" w:sz="4" w:space="0" w:color="auto"/>
            </w:tcBorders>
            <w:shd w:val="clear" w:color="000000" w:fill="CCFFFF"/>
            <w:noWrap/>
            <w:vAlign w:val="bottom"/>
            <w:hideMark/>
          </w:tcPr>
          <w:p w14:paraId="6FC9BF96" w14:textId="77777777" w:rsidR="00B56301" w:rsidRPr="0034391E" w:rsidRDefault="00B56301" w:rsidP="00B37B65">
            <w:pPr>
              <w:jc w:val="right"/>
              <w:rPr>
                <w:rFonts w:asciiTheme="minorHAnsi" w:hAnsiTheme="minorHAnsi"/>
                <w:sz w:val="16"/>
                <w:szCs w:val="16"/>
              </w:rPr>
            </w:pPr>
            <w:r w:rsidRPr="0034391E">
              <w:rPr>
                <w:sz w:val="16"/>
                <w:szCs w:val="16"/>
              </w:rPr>
              <w:t>0,68</w:t>
            </w:r>
          </w:p>
        </w:tc>
        <w:tc>
          <w:tcPr>
            <w:tcW w:w="991" w:type="dxa"/>
            <w:tcBorders>
              <w:top w:val="nil"/>
              <w:left w:val="nil"/>
              <w:bottom w:val="single" w:sz="4" w:space="0" w:color="auto"/>
              <w:right w:val="single" w:sz="4" w:space="0" w:color="auto"/>
            </w:tcBorders>
            <w:shd w:val="clear" w:color="000000" w:fill="CCFFFF"/>
            <w:noWrap/>
            <w:vAlign w:val="bottom"/>
            <w:hideMark/>
          </w:tcPr>
          <w:p w14:paraId="29C7BF0D" w14:textId="77777777" w:rsidR="00B56301" w:rsidRPr="0034391E" w:rsidRDefault="00B56301" w:rsidP="00B37B65">
            <w:pPr>
              <w:jc w:val="right"/>
              <w:rPr>
                <w:rFonts w:asciiTheme="minorHAnsi" w:hAnsiTheme="minorHAnsi"/>
                <w:sz w:val="16"/>
                <w:szCs w:val="16"/>
              </w:rPr>
            </w:pPr>
            <w:r w:rsidRPr="0034391E">
              <w:rPr>
                <w:sz w:val="16"/>
                <w:szCs w:val="16"/>
              </w:rPr>
              <w:t>0,66</w:t>
            </w:r>
          </w:p>
        </w:tc>
      </w:tr>
      <w:tr w:rsidR="00B56301" w:rsidRPr="00D85A26" w14:paraId="7505649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C29A17"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759E5113" w14:textId="77777777" w:rsidR="00B56301" w:rsidRPr="0034391E" w:rsidRDefault="00B56301" w:rsidP="00B37B65">
            <w:pPr>
              <w:jc w:val="right"/>
              <w:rPr>
                <w:rFonts w:asciiTheme="minorHAnsi" w:hAnsiTheme="minorHAnsi"/>
                <w:sz w:val="16"/>
                <w:szCs w:val="16"/>
              </w:rPr>
            </w:pPr>
            <w:r w:rsidRPr="0034391E">
              <w:rPr>
                <w:sz w:val="16"/>
                <w:szCs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5599353F" w14:textId="77777777" w:rsidR="00B56301" w:rsidRPr="0034391E" w:rsidRDefault="00B56301" w:rsidP="00B37B65">
            <w:pPr>
              <w:jc w:val="right"/>
              <w:rPr>
                <w:rFonts w:asciiTheme="minorHAnsi" w:hAnsiTheme="minorHAnsi"/>
                <w:sz w:val="16"/>
                <w:szCs w:val="16"/>
              </w:rPr>
            </w:pPr>
            <w:r w:rsidRPr="0034391E">
              <w:rPr>
                <w:sz w:val="16"/>
                <w:szCs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719C88BA" w14:textId="77777777" w:rsidR="00B56301" w:rsidRPr="0034391E" w:rsidRDefault="00B56301" w:rsidP="00B37B65">
            <w:pPr>
              <w:jc w:val="right"/>
              <w:rPr>
                <w:rFonts w:asciiTheme="minorHAnsi" w:hAnsiTheme="minorHAnsi"/>
                <w:sz w:val="16"/>
                <w:szCs w:val="16"/>
              </w:rPr>
            </w:pPr>
            <w:r w:rsidRPr="0034391E">
              <w:rPr>
                <w:sz w:val="16"/>
                <w:szCs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1D36356B" w14:textId="77777777" w:rsidR="00B56301" w:rsidRPr="0034391E" w:rsidRDefault="00B56301" w:rsidP="00B37B65">
            <w:pPr>
              <w:jc w:val="right"/>
              <w:rPr>
                <w:rFonts w:asciiTheme="minorHAnsi" w:hAnsiTheme="minorHAnsi"/>
                <w:sz w:val="16"/>
                <w:szCs w:val="16"/>
              </w:rPr>
            </w:pPr>
            <w:r w:rsidRPr="0034391E">
              <w:rPr>
                <w:sz w:val="16"/>
                <w:szCs w:val="16"/>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43AC0870" w14:textId="77777777" w:rsidR="00B56301" w:rsidRPr="0034391E" w:rsidRDefault="00B56301" w:rsidP="00B37B65">
            <w:pPr>
              <w:jc w:val="right"/>
              <w:rPr>
                <w:rFonts w:asciiTheme="minorHAnsi" w:hAnsiTheme="minorHAnsi"/>
                <w:sz w:val="16"/>
                <w:szCs w:val="16"/>
              </w:rPr>
            </w:pPr>
            <w:r w:rsidRPr="0034391E">
              <w:rPr>
                <w:sz w:val="16"/>
                <w:szCs w:val="16"/>
              </w:rPr>
              <w:t>0,46</w:t>
            </w:r>
          </w:p>
        </w:tc>
        <w:tc>
          <w:tcPr>
            <w:tcW w:w="991" w:type="dxa"/>
            <w:tcBorders>
              <w:top w:val="nil"/>
              <w:left w:val="nil"/>
              <w:bottom w:val="single" w:sz="4" w:space="0" w:color="auto"/>
              <w:right w:val="single" w:sz="4" w:space="0" w:color="auto"/>
            </w:tcBorders>
            <w:shd w:val="clear" w:color="000000" w:fill="FFFFFF"/>
            <w:noWrap/>
            <w:vAlign w:val="bottom"/>
            <w:hideMark/>
          </w:tcPr>
          <w:p w14:paraId="39CC7DDD" w14:textId="77777777" w:rsidR="00B56301" w:rsidRPr="0034391E" w:rsidRDefault="00B56301" w:rsidP="00B37B65">
            <w:pPr>
              <w:jc w:val="right"/>
              <w:rPr>
                <w:rFonts w:asciiTheme="minorHAnsi" w:hAnsiTheme="minorHAnsi"/>
                <w:sz w:val="16"/>
                <w:szCs w:val="16"/>
              </w:rPr>
            </w:pPr>
            <w:r w:rsidRPr="0034391E">
              <w:rPr>
                <w:sz w:val="16"/>
                <w:szCs w:val="16"/>
              </w:rPr>
              <w:t>0,45</w:t>
            </w:r>
          </w:p>
        </w:tc>
      </w:tr>
      <w:tr w:rsidR="00B56301" w:rsidRPr="00D85A26" w14:paraId="643007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F01458"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174975F9" w14:textId="77777777" w:rsidR="00B56301" w:rsidRPr="0034391E" w:rsidRDefault="00B56301" w:rsidP="00B37B65">
            <w:pPr>
              <w:jc w:val="right"/>
              <w:rPr>
                <w:rFonts w:asciiTheme="minorHAnsi" w:hAnsiTheme="minorHAnsi"/>
                <w:sz w:val="16"/>
                <w:szCs w:val="16"/>
              </w:rPr>
            </w:pPr>
            <w:r w:rsidRPr="0034391E">
              <w:rPr>
                <w:sz w:val="16"/>
                <w:szCs w:val="16"/>
              </w:rPr>
              <w:t>0,24</w:t>
            </w:r>
          </w:p>
        </w:tc>
        <w:tc>
          <w:tcPr>
            <w:tcW w:w="991" w:type="dxa"/>
            <w:tcBorders>
              <w:top w:val="nil"/>
              <w:left w:val="nil"/>
              <w:bottom w:val="single" w:sz="4" w:space="0" w:color="auto"/>
              <w:right w:val="single" w:sz="4" w:space="0" w:color="auto"/>
            </w:tcBorders>
            <w:shd w:val="clear" w:color="000000" w:fill="FFFFFF"/>
            <w:noWrap/>
            <w:vAlign w:val="bottom"/>
            <w:hideMark/>
          </w:tcPr>
          <w:p w14:paraId="783F8AA0" w14:textId="77777777" w:rsidR="00B56301" w:rsidRPr="0034391E" w:rsidRDefault="00B56301" w:rsidP="00B37B65">
            <w:pPr>
              <w:jc w:val="right"/>
              <w:rPr>
                <w:rFonts w:asciiTheme="minorHAnsi" w:hAnsiTheme="minorHAnsi"/>
                <w:sz w:val="16"/>
                <w:szCs w:val="16"/>
              </w:rPr>
            </w:pPr>
            <w:r w:rsidRPr="0034391E">
              <w:rPr>
                <w:sz w:val="16"/>
                <w:szCs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8B60CAB" w14:textId="77777777" w:rsidR="00B56301" w:rsidRPr="0034391E" w:rsidRDefault="00B56301" w:rsidP="00B37B65">
            <w:pPr>
              <w:jc w:val="right"/>
              <w:rPr>
                <w:rFonts w:asciiTheme="minorHAnsi" w:hAnsiTheme="minorHAnsi"/>
                <w:sz w:val="16"/>
                <w:szCs w:val="16"/>
              </w:rPr>
            </w:pPr>
            <w:r w:rsidRPr="0034391E">
              <w:rPr>
                <w:sz w:val="16"/>
                <w:szCs w:val="16"/>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3B10CF5E" w14:textId="77777777" w:rsidR="00B56301" w:rsidRPr="0034391E" w:rsidRDefault="00B56301" w:rsidP="00B37B65">
            <w:pPr>
              <w:jc w:val="right"/>
              <w:rPr>
                <w:rFonts w:asciiTheme="minorHAnsi" w:hAnsiTheme="minorHAnsi"/>
                <w:sz w:val="16"/>
                <w:szCs w:val="16"/>
              </w:rPr>
            </w:pPr>
            <w:r w:rsidRPr="0034391E">
              <w:rPr>
                <w:sz w:val="16"/>
                <w:szCs w:val="16"/>
              </w:rPr>
              <w:t>0,20</w:t>
            </w:r>
          </w:p>
        </w:tc>
        <w:tc>
          <w:tcPr>
            <w:tcW w:w="991" w:type="dxa"/>
            <w:tcBorders>
              <w:top w:val="nil"/>
              <w:left w:val="nil"/>
              <w:bottom w:val="single" w:sz="4" w:space="0" w:color="auto"/>
              <w:right w:val="single" w:sz="4" w:space="0" w:color="auto"/>
            </w:tcBorders>
            <w:shd w:val="clear" w:color="000000" w:fill="FFFFFF"/>
            <w:noWrap/>
            <w:vAlign w:val="bottom"/>
            <w:hideMark/>
          </w:tcPr>
          <w:p w14:paraId="0EF01B6C" w14:textId="77777777" w:rsidR="00B56301" w:rsidRPr="0034391E" w:rsidRDefault="00B56301" w:rsidP="00B37B65">
            <w:pPr>
              <w:jc w:val="right"/>
              <w:rPr>
                <w:rFonts w:asciiTheme="minorHAnsi" w:hAnsiTheme="minorHAnsi"/>
                <w:sz w:val="16"/>
                <w:szCs w:val="16"/>
              </w:rPr>
            </w:pPr>
            <w:r w:rsidRPr="0034391E">
              <w:rPr>
                <w:sz w:val="16"/>
                <w:szCs w:val="16"/>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2C58C2A5" w14:textId="77777777" w:rsidR="00B56301" w:rsidRPr="0034391E" w:rsidRDefault="00B56301" w:rsidP="00B37B65">
            <w:pPr>
              <w:jc w:val="right"/>
              <w:rPr>
                <w:rFonts w:asciiTheme="minorHAnsi" w:hAnsiTheme="minorHAnsi"/>
                <w:sz w:val="16"/>
                <w:szCs w:val="16"/>
              </w:rPr>
            </w:pPr>
            <w:r w:rsidRPr="0034391E">
              <w:rPr>
                <w:sz w:val="16"/>
                <w:szCs w:val="16"/>
              </w:rPr>
              <w:t>0,21</w:t>
            </w:r>
          </w:p>
        </w:tc>
      </w:tr>
      <w:tr w:rsidR="00B56301" w:rsidRPr="00D85A26" w14:paraId="069417E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19EEE10"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691FB1FA"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FFBBFAC"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7F53359"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4BFE5EE"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20E49409"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C0FD610" w14:textId="77777777" w:rsidR="00B56301" w:rsidRPr="0034391E" w:rsidRDefault="00B56301" w:rsidP="00B37B65">
            <w:pPr>
              <w:jc w:val="right"/>
              <w:rPr>
                <w:rFonts w:asciiTheme="minorHAnsi" w:hAnsiTheme="minorHAnsi"/>
                <w:sz w:val="16"/>
                <w:szCs w:val="16"/>
              </w:rPr>
            </w:pPr>
            <w:r w:rsidRPr="0034391E">
              <w:rPr>
                <w:sz w:val="16"/>
                <w:szCs w:val="16"/>
              </w:rPr>
              <w:t>NE</w:t>
            </w:r>
          </w:p>
        </w:tc>
      </w:tr>
      <w:tr w:rsidR="00B56301" w:rsidRPr="00D85A26" w14:paraId="71430C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A64D426" w14:textId="7AD8B63D"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092BA59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7CB8B8"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C75863"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396BD3B"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E6768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5DB059"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07833CF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44AAB48" w14:textId="75D5149E"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2F99C00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867877B"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C55E76"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CC5BA79"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88F732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404AD2"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833C38" w14:paraId="4217000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0C6D866"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7768A6E1"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D7002D"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72E6A55"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B20A41"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405579"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E1BF871"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r>
      <w:tr w:rsidR="00B56301" w:rsidRPr="00D85A26" w14:paraId="7B2F78D8"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076A26C7" w14:textId="4B8B123C"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0E5E6648"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6867E4B"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0A7EE8C"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5772888"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75AC1AD"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FC4C7BD" w14:textId="77777777" w:rsidR="00B56301" w:rsidRPr="0034391E" w:rsidRDefault="00B56301" w:rsidP="00B37B65">
            <w:pPr>
              <w:jc w:val="right"/>
              <w:rPr>
                <w:rFonts w:asciiTheme="minorHAnsi" w:hAnsiTheme="minorHAnsi"/>
                <w:sz w:val="16"/>
                <w:szCs w:val="16"/>
              </w:rPr>
            </w:pPr>
            <w:r w:rsidRPr="0034391E">
              <w:rPr>
                <w:sz w:val="16"/>
                <w:szCs w:val="16"/>
              </w:rPr>
              <w:t>NO,NE</w:t>
            </w:r>
          </w:p>
        </w:tc>
      </w:tr>
      <w:tr w:rsidR="00B56301" w:rsidRPr="00D85A26" w14:paraId="1EC7BAB1"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73BF8D8" w14:textId="2943D1F9"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CO</w:t>
            </w:r>
            <w:r w:rsidR="007F09F7" w:rsidRPr="0034391E">
              <w:rPr>
                <w:sz w:val="16"/>
                <w:szCs w:val="16"/>
                <w:vertAlign w:val="subscript"/>
              </w:rPr>
              <w:t>2</w:t>
            </w:r>
            <w:r w:rsidRPr="0034391E">
              <w:rPr>
                <w:rFonts w:asciiTheme="minorHAnsi" w:hAnsiTheme="minorHAnsi"/>
                <w:b/>
                <w:bCs/>
                <w:sz w:val="16"/>
                <w:szCs w:val="16"/>
                <w:vertAlign w:val="subscript"/>
              </w:rPr>
              <w:t xml:space="preserve"> </w:t>
            </w:r>
            <w:r w:rsidRPr="0034391E">
              <w:rPr>
                <w:rFonts w:asciiTheme="minorHAnsi" w:hAnsiTheme="minorHAnsi"/>
                <w:b/>
                <w:bCs/>
                <w:sz w:val="16"/>
                <w:szCs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02C65269"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D5434C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27882D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4061D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4F552E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2799EA3"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5FF4ED82"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21191DB" w14:textId="0FB043D8" w:rsidR="00B56301" w:rsidRPr="00D85A26" w:rsidRDefault="00B56301" w:rsidP="00B37B65">
            <w:pPr>
              <w:jc w:val="center"/>
              <w:rPr>
                <w:rFonts w:asciiTheme="minorHAnsi" w:hAnsiTheme="minorHAnsi"/>
                <w:b/>
                <w:bCs/>
                <w:sz w:val="16"/>
                <w:szCs w:val="16"/>
                <w:lang w:val="en-GB"/>
              </w:rPr>
            </w:pPr>
            <w:r w:rsidRPr="0034391E">
              <w:rPr>
                <w:rFonts w:cs="Arial"/>
                <w:lang w:val="en-US"/>
              </w:rPr>
              <w:br w:type="page"/>
            </w:r>
            <w:r w:rsidRPr="00D85A26">
              <w:rPr>
                <w:rFonts w:asciiTheme="minorHAnsi" w:hAnsiTheme="minorHAnsi"/>
                <w:b/>
                <w:bCs/>
                <w:sz w:val="16"/>
                <w:szCs w:val="16"/>
                <w:lang w:val="en-GB"/>
              </w:rPr>
              <w:t>GREENHOUSE GAS SOURCE AND SINK CATEGORIES</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7153628" w14:textId="77777777" w:rsidR="00B56301" w:rsidRPr="00D85A26" w:rsidRDefault="00B56301" w:rsidP="00B37B65">
            <w:pPr>
              <w:jc w:val="center"/>
              <w:rPr>
                <w:rFonts w:asciiTheme="minorHAnsi" w:hAnsiTheme="minorHAnsi"/>
                <w:b/>
                <w:bCs/>
                <w:sz w:val="16"/>
                <w:szCs w:val="16"/>
              </w:rPr>
            </w:pPr>
            <w:r>
              <w:rPr>
                <w:b/>
                <w:bCs/>
                <w:sz w:val="16"/>
                <w:szCs w:val="18"/>
              </w:rPr>
              <w:t>2013</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3CB6DD5" w14:textId="77777777" w:rsidR="00B56301" w:rsidRPr="00D85A26" w:rsidRDefault="00B56301" w:rsidP="00B37B65">
            <w:pPr>
              <w:jc w:val="center"/>
              <w:rPr>
                <w:rFonts w:asciiTheme="minorHAnsi" w:hAnsiTheme="minorHAnsi"/>
                <w:b/>
                <w:bCs/>
                <w:sz w:val="16"/>
                <w:szCs w:val="16"/>
              </w:rPr>
            </w:pPr>
            <w:r>
              <w:rPr>
                <w:b/>
                <w:bCs/>
                <w:sz w:val="16"/>
                <w:szCs w:val="18"/>
              </w:rPr>
              <w:t>2014</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7E413AEC" w14:textId="77777777" w:rsidR="00B56301" w:rsidRPr="00D85A26" w:rsidRDefault="00B56301" w:rsidP="00B37B65">
            <w:pPr>
              <w:jc w:val="center"/>
              <w:rPr>
                <w:rFonts w:asciiTheme="minorHAnsi" w:hAnsiTheme="minorHAnsi"/>
                <w:b/>
                <w:bCs/>
                <w:sz w:val="16"/>
                <w:szCs w:val="16"/>
              </w:rPr>
            </w:pPr>
            <w:r>
              <w:rPr>
                <w:b/>
                <w:bCs/>
                <w:sz w:val="16"/>
                <w:szCs w:val="18"/>
              </w:rPr>
              <w:t>2015</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277E78EE" w14:textId="77777777" w:rsidR="00B56301" w:rsidRPr="00D85A26" w:rsidRDefault="00B56301" w:rsidP="00B37B65">
            <w:pPr>
              <w:jc w:val="center"/>
              <w:rPr>
                <w:rFonts w:asciiTheme="minorHAnsi" w:hAnsiTheme="minorHAnsi"/>
                <w:b/>
                <w:bCs/>
                <w:sz w:val="16"/>
                <w:szCs w:val="16"/>
              </w:rPr>
            </w:pPr>
            <w:r>
              <w:rPr>
                <w:b/>
                <w:bCs/>
                <w:sz w:val="16"/>
                <w:szCs w:val="18"/>
              </w:rPr>
              <w:t>2016</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39F20C6A" w14:textId="77777777" w:rsidR="00B56301" w:rsidRPr="00D85A26" w:rsidRDefault="00B56301" w:rsidP="00B37B65">
            <w:pPr>
              <w:jc w:val="center"/>
              <w:rPr>
                <w:rFonts w:asciiTheme="minorHAnsi" w:hAnsiTheme="minorHAnsi"/>
                <w:b/>
                <w:bCs/>
                <w:sz w:val="16"/>
                <w:szCs w:val="16"/>
              </w:rPr>
            </w:pPr>
            <w:r>
              <w:rPr>
                <w:b/>
                <w:bCs/>
                <w:sz w:val="16"/>
                <w:szCs w:val="18"/>
              </w:rPr>
              <w:t>2017</w:t>
            </w:r>
          </w:p>
        </w:tc>
        <w:tc>
          <w:tcPr>
            <w:tcW w:w="991" w:type="dxa"/>
            <w:tcBorders>
              <w:top w:val="single" w:sz="4" w:space="0" w:color="auto"/>
              <w:left w:val="nil"/>
              <w:bottom w:val="single" w:sz="4" w:space="0" w:color="auto"/>
              <w:right w:val="single" w:sz="4" w:space="0" w:color="auto"/>
            </w:tcBorders>
            <w:shd w:val="clear" w:color="000000" w:fill="CCFFFF"/>
            <w:noWrap/>
            <w:vAlign w:val="center"/>
            <w:hideMark/>
          </w:tcPr>
          <w:p w14:paraId="15D32311" w14:textId="77777777" w:rsidR="00B56301" w:rsidRPr="00D85A26" w:rsidRDefault="00B56301" w:rsidP="00B37B65">
            <w:pPr>
              <w:jc w:val="center"/>
              <w:rPr>
                <w:rFonts w:asciiTheme="minorHAnsi" w:hAnsiTheme="minorHAnsi"/>
                <w:b/>
                <w:bCs/>
                <w:sz w:val="16"/>
                <w:szCs w:val="16"/>
              </w:rPr>
            </w:pPr>
            <w:r>
              <w:rPr>
                <w:b/>
                <w:bCs/>
                <w:sz w:val="16"/>
                <w:szCs w:val="18"/>
              </w:rPr>
              <w:t>2018</w:t>
            </w:r>
          </w:p>
        </w:tc>
      </w:tr>
      <w:tr w:rsidR="00B56301" w:rsidRPr="00D85A26" w14:paraId="5400481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48861E" w14:textId="7777777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1. Energy</w:t>
            </w:r>
          </w:p>
        </w:tc>
        <w:tc>
          <w:tcPr>
            <w:tcW w:w="991"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34E0A56" w14:textId="77777777" w:rsidR="00B56301" w:rsidRPr="00D85A26" w:rsidRDefault="00B56301" w:rsidP="00B37B65">
            <w:pPr>
              <w:jc w:val="right"/>
              <w:rPr>
                <w:rFonts w:asciiTheme="minorHAnsi" w:hAnsiTheme="minorHAnsi"/>
                <w:sz w:val="16"/>
                <w:szCs w:val="16"/>
              </w:rPr>
            </w:pPr>
            <w:r w:rsidRPr="00D85A26">
              <w:rPr>
                <w:sz w:val="16"/>
                <w:szCs w:val="18"/>
              </w:rPr>
              <w:t>12,76</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3EF4C20" w14:textId="77777777" w:rsidR="00B56301" w:rsidRPr="00D85A26" w:rsidRDefault="00B56301" w:rsidP="00B37B65">
            <w:pPr>
              <w:jc w:val="right"/>
              <w:rPr>
                <w:rFonts w:asciiTheme="minorHAnsi" w:hAnsiTheme="minorHAnsi"/>
                <w:sz w:val="16"/>
                <w:szCs w:val="16"/>
              </w:rPr>
            </w:pPr>
            <w:r w:rsidRPr="00D85A26">
              <w:rPr>
                <w:sz w:val="16"/>
                <w:szCs w:val="18"/>
              </w:rPr>
              <w:t>12,32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E483B06" w14:textId="77777777" w:rsidR="00B56301" w:rsidRPr="00D85A26" w:rsidRDefault="00B56301" w:rsidP="00B37B65">
            <w:pPr>
              <w:jc w:val="right"/>
              <w:rPr>
                <w:rFonts w:asciiTheme="minorHAnsi" w:hAnsiTheme="minorHAnsi"/>
                <w:sz w:val="16"/>
                <w:szCs w:val="16"/>
              </w:rPr>
            </w:pPr>
            <w:r w:rsidRPr="00D85A26">
              <w:rPr>
                <w:sz w:val="16"/>
                <w:szCs w:val="18"/>
              </w:rPr>
              <w:t>12,52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40D0F07" w14:textId="77777777" w:rsidR="00B56301" w:rsidRPr="00D85A26" w:rsidRDefault="00B56301" w:rsidP="00B37B65">
            <w:pPr>
              <w:jc w:val="right"/>
              <w:rPr>
                <w:rFonts w:asciiTheme="minorHAnsi" w:hAnsiTheme="minorHAnsi"/>
                <w:sz w:val="16"/>
                <w:szCs w:val="16"/>
              </w:rPr>
            </w:pPr>
            <w:r w:rsidRPr="00D85A26">
              <w:rPr>
                <w:sz w:val="16"/>
                <w:szCs w:val="18"/>
              </w:rPr>
              <w:t>12,52</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24063BB6" w14:textId="77777777" w:rsidR="00B56301" w:rsidRPr="00D85A26" w:rsidRDefault="00B56301" w:rsidP="00B37B65">
            <w:pPr>
              <w:jc w:val="right"/>
              <w:rPr>
                <w:rFonts w:asciiTheme="minorHAnsi" w:hAnsiTheme="minorHAnsi"/>
                <w:sz w:val="16"/>
                <w:szCs w:val="16"/>
              </w:rPr>
            </w:pPr>
            <w:r w:rsidRPr="00D85A26">
              <w:rPr>
                <w:sz w:val="16"/>
                <w:szCs w:val="18"/>
              </w:rPr>
              <w:t>12,43</w:t>
            </w:r>
          </w:p>
        </w:tc>
        <w:tc>
          <w:tcPr>
            <w:tcW w:w="991" w:type="dxa"/>
            <w:tcBorders>
              <w:top w:val="single" w:sz="4" w:space="0" w:color="auto"/>
              <w:left w:val="nil"/>
              <w:bottom w:val="single" w:sz="4" w:space="0" w:color="auto"/>
              <w:right w:val="single" w:sz="4" w:space="0" w:color="auto"/>
            </w:tcBorders>
            <w:shd w:val="clear" w:color="000000" w:fill="CCFFFF"/>
            <w:noWrap/>
            <w:vAlign w:val="bottom"/>
            <w:hideMark/>
          </w:tcPr>
          <w:p w14:paraId="1E2D897D" w14:textId="77777777" w:rsidR="00B56301" w:rsidRPr="00D85A26" w:rsidRDefault="00B56301" w:rsidP="00B37B65">
            <w:pPr>
              <w:jc w:val="right"/>
              <w:rPr>
                <w:rFonts w:asciiTheme="minorHAnsi" w:hAnsiTheme="minorHAnsi"/>
                <w:sz w:val="16"/>
                <w:szCs w:val="16"/>
              </w:rPr>
            </w:pPr>
            <w:r w:rsidRPr="00D85A26">
              <w:rPr>
                <w:sz w:val="16"/>
                <w:szCs w:val="18"/>
              </w:rPr>
              <w:t>11,99</w:t>
            </w:r>
          </w:p>
        </w:tc>
      </w:tr>
      <w:tr w:rsidR="00B56301" w:rsidRPr="00D85A26" w14:paraId="26D84B9A"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9DB7A38" w14:textId="7777777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A. Fuel combustion (sectoral approach)</w:t>
            </w:r>
          </w:p>
        </w:tc>
        <w:tc>
          <w:tcPr>
            <w:tcW w:w="991" w:type="dxa"/>
            <w:tcBorders>
              <w:top w:val="nil"/>
              <w:left w:val="nil"/>
              <w:bottom w:val="single" w:sz="4" w:space="0" w:color="auto"/>
              <w:right w:val="single" w:sz="4" w:space="0" w:color="auto"/>
            </w:tcBorders>
            <w:shd w:val="clear" w:color="000000" w:fill="CCFFFF"/>
            <w:noWrap/>
            <w:vAlign w:val="bottom"/>
            <w:hideMark/>
          </w:tcPr>
          <w:p w14:paraId="63EC8F95" w14:textId="77777777" w:rsidR="00B56301" w:rsidRPr="00D85A26" w:rsidRDefault="00B56301" w:rsidP="00B37B65">
            <w:pPr>
              <w:jc w:val="right"/>
              <w:rPr>
                <w:rFonts w:asciiTheme="minorHAnsi" w:hAnsiTheme="minorHAnsi"/>
                <w:sz w:val="16"/>
                <w:szCs w:val="16"/>
              </w:rPr>
            </w:pPr>
            <w:r w:rsidRPr="00D85A26">
              <w:rPr>
                <w:sz w:val="16"/>
                <w:szCs w:val="18"/>
              </w:rPr>
              <w:t>12,71</w:t>
            </w:r>
          </w:p>
        </w:tc>
        <w:tc>
          <w:tcPr>
            <w:tcW w:w="991" w:type="dxa"/>
            <w:tcBorders>
              <w:top w:val="nil"/>
              <w:left w:val="nil"/>
              <w:bottom w:val="single" w:sz="4" w:space="0" w:color="auto"/>
              <w:right w:val="single" w:sz="4" w:space="0" w:color="auto"/>
            </w:tcBorders>
            <w:shd w:val="clear" w:color="000000" w:fill="CCFFFF"/>
            <w:noWrap/>
            <w:vAlign w:val="bottom"/>
            <w:hideMark/>
          </w:tcPr>
          <w:p w14:paraId="054D2DC9" w14:textId="77777777" w:rsidR="00B56301" w:rsidRPr="00D85A26" w:rsidRDefault="00B56301" w:rsidP="00B37B65">
            <w:pPr>
              <w:jc w:val="right"/>
              <w:rPr>
                <w:rFonts w:asciiTheme="minorHAnsi" w:hAnsiTheme="minorHAnsi"/>
                <w:sz w:val="16"/>
                <w:szCs w:val="16"/>
              </w:rPr>
            </w:pPr>
            <w:r w:rsidRPr="00D85A26">
              <w:rPr>
                <w:sz w:val="16"/>
                <w:szCs w:val="18"/>
              </w:rPr>
              <w:t>12,27</w:t>
            </w:r>
          </w:p>
        </w:tc>
        <w:tc>
          <w:tcPr>
            <w:tcW w:w="991" w:type="dxa"/>
            <w:tcBorders>
              <w:top w:val="nil"/>
              <w:left w:val="nil"/>
              <w:bottom w:val="single" w:sz="4" w:space="0" w:color="auto"/>
              <w:right w:val="single" w:sz="4" w:space="0" w:color="auto"/>
            </w:tcBorders>
            <w:shd w:val="clear" w:color="000000" w:fill="CCFFFF"/>
            <w:noWrap/>
            <w:vAlign w:val="bottom"/>
            <w:hideMark/>
          </w:tcPr>
          <w:p w14:paraId="7CE225A6" w14:textId="77777777" w:rsidR="00B56301" w:rsidRPr="00D85A26" w:rsidRDefault="00B56301" w:rsidP="00B37B65">
            <w:pPr>
              <w:jc w:val="right"/>
              <w:rPr>
                <w:rFonts w:asciiTheme="minorHAnsi" w:hAnsiTheme="minorHAnsi"/>
                <w:sz w:val="16"/>
                <w:szCs w:val="16"/>
              </w:rPr>
            </w:pPr>
            <w:r w:rsidRPr="00D85A26">
              <w:rPr>
                <w:sz w:val="16"/>
                <w:szCs w:val="18"/>
              </w:rPr>
              <w:t>12,47</w:t>
            </w:r>
          </w:p>
        </w:tc>
        <w:tc>
          <w:tcPr>
            <w:tcW w:w="991" w:type="dxa"/>
            <w:tcBorders>
              <w:top w:val="nil"/>
              <w:left w:val="nil"/>
              <w:bottom w:val="single" w:sz="4" w:space="0" w:color="auto"/>
              <w:right w:val="single" w:sz="4" w:space="0" w:color="auto"/>
            </w:tcBorders>
            <w:shd w:val="clear" w:color="000000" w:fill="CCFFFF"/>
            <w:noWrap/>
            <w:vAlign w:val="bottom"/>
            <w:hideMark/>
          </w:tcPr>
          <w:p w14:paraId="0ACB42E6" w14:textId="77777777" w:rsidR="00B56301" w:rsidRPr="00D85A26" w:rsidRDefault="00B56301" w:rsidP="00B37B65">
            <w:pPr>
              <w:jc w:val="right"/>
              <w:rPr>
                <w:rFonts w:asciiTheme="minorHAnsi" w:hAnsiTheme="minorHAnsi"/>
                <w:sz w:val="16"/>
                <w:szCs w:val="16"/>
              </w:rPr>
            </w:pPr>
            <w:r w:rsidRPr="00D85A26">
              <w:rPr>
                <w:sz w:val="16"/>
                <w:szCs w:val="18"/>
              </w:rPr>
              <w:t>12,48</w:t>
            </w:r>
          </w:p>
        </w:tc>
        <w:tc>
          <w:tcPr>
            <w:tcW w:w="991" w:type="dxa"/>
            <w:tcBorders>
              <w:top w:val="nil"/>
              <w:left w:val="nil"/>
              <w:bottom w:val="single" w:sz="4" w:space="0" w:color="auto"/>
              <w:right w:val="single" w:sz="4" w:space="0" w:color="auto"/>
            </w:tcBorders>
            <w:shd w:val="clear" w:color="000000" w:fill="CCFFFF"/>
            <w:noWrap/>
            <w:vAlign w:val="bottom"/>
            <w:hideMark/>
          </w:tcPr>
          <w:p w14:paraId="32D2331E" w14:textId="77777777" w:rsidR="00B56301" w:rsidRPr="00D85A26" w:rsidRDefault="00B56301" w:rsidP="00B37B65">
            <w:pPr>
              <w:jc w:val="right"/>
              <w:rPr>
                <w:rFonts w:asciiTheme="minorHAnsi" w:hAnsiTheme="minorHAnsi"/>
                <w:sz w:val="16"/>
                <w:szCs w:val="16"/>
              </w:rPr>
            </w:pPr>
            <w:r w:rsidRPr="00D85A26">
              <w:rPr>
                <w:sz w:val="16"/>
                <w:szCs w:val="18"/>
              </w:rPr>
              <w:t>12,39</w:t>
            </w:r>
          </w:p>
        </w:tc>
        <w:tc>
          <w:tcPr>
            <w:tcW w:w="991" w:type="dxa"/>
            <w:tcBorders>
              <w:top w:val="nil"/>
              <w:left w:val="nil"/>
              <w:bottom w:val="single" w:sz="4" w:space="0" w:color="auto"/>
              <w:right w:val="single" w:sz="4" w:space="0" w:color="auto"/>
            </w:tcBorders>
            <w:shd w:val="clear" w:color="000000" w:fill="CCFFFF"/>
            <w:noWrap/>
            <w:vAlign w:val="bottom"/>
            <w:hideMark/>
          </w:tcPr>
          <w:p w14:paraId="44FFDD44" w14:textId="77777777" w:rsidR="00B56301" w:rsidRPr="00D85A26" w:rsidRDefault="00B56301" w:rsidP="00B37B65">
            <w:pPr>
              <w:jc w:val="right"/>
              <w:rPr>
                <w:rFonts w:asciiTheme="minorHAnsi" w:hAnsiTheme="minorHAnsi"/>
                <w:sz w:val="16"/>
                <w:szCs w:val="16"/>
              </w:rPr>
            </w:pPr>
            <w:r w:rsidRPr="00D85A26">
              <w:rPr>
                <w:sz w:val="16"/>
                <w:szCs w:val="18"/>
              </w:rPr>
              <w:t>11,94</w:t>
            </w:r>
          </w:p>
        </w:tc>
      </w:tr>
      <w:tr w:rsidR="00B56301" w:rsidRPr="00D85A26" w14:paraId="39B21F0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2D91AE0" w14:textId="7660123D"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Energy industries</w:t>
            </w:r>
          </w:p>
        </w:tc>
        <w:tc>
          <w:tcPr>
            <w:tcW w:w="991" w:type="dxa"/>
            <w:tcBorders>
              <w:top w:val="nil"/>
              <w:left w:val="nil"/>
              <w:bottom w:val="single" w:sz="4" w:space="0" w:color="auto"/>
              <w:right w:val="single" w:sz="4" w:space="0" w:color="auto"/>
            </w:tcBorders>
            <w:shd w:val="clear" w:color="000000" w:fill="FFFFFF"/>
            <w:noWrap/>
            <w:vAlign w:val="bottom"/>
            <w:hideMark/>
          </w:tcPr>
          <w:p w14:paraId="6DE8EB99" w14:textId="77777777" w:rsidR="00B56301" w:rsidRPr="00D85A26" w:rsidRDefault="00B56301" w:rsidP="00B37B65">
            <w:pPr>
              <w:jc w:val="right"/>
              <w:rPr>
                <w:rFonts w:asciiTheme="minorHAnsi" w:hAnsiTheme="minorHAnsi"/>
                <w:sz w:val="16"/>
                <w:szCs w:val="16"/>
              </w:rPr>
            </w:pPr>
            <w:r w:rsidRPr="00D85A26">
              <w:rPr>
                <w:sz w:val="16"/>
                <w:szCs w:val="18"/>
              </w:rPr>
              <w:t>1,12</w:t>
            </w:r>
          </w:p>
        </w:tc>
        <w:tc>
          <w:tcPr>
            <w:tcW w:w="991" w:type="dxa"/>
            <w:tcBorders>
              <w:top w:val="nil"/>
              <w:left w:val="nil"/>
              <w:bottom w:val="single" w:sz="4" w:space="0" w:color="auto"/>
              <w:right w:val="single" w:sz="4" w:space="0" w:color="auto"/>
            </w:tcBorders>
            <w:shd w:val="clear" w:color="000000" w:fill="FFFFFF"/>
            <w:noWrap/>
            <w:vAlign w:val="bottom"/>
            <w:hideMark/>
          </w:tcPr>
          <w:p w14:paraId="1BA33FD3" w14:textId="77777777" w:rsidR="00B56301" w:rsidRPr="00D85A26" w:rsidRDefault="00B56301" w:rsidP="00B37B65">
            <w:pPr>
              <w:jc w:val="right"/>
              <w:rPr>
                <w:rFonts w:asciiTheme="minorHAnsi" w:hAnsiTheme="minorHAnsi"/>
                <w:sz w:val="16"/>
                <w:szCs w:val="16"/>
              </w:rPr>
            </w:pPr>
            <w:r w:rsidRPr="00D85A26">
              <w:rPr>
                <w:sz w:val="16"/>
                <w:szCs w:val="18"/>
              </w:rPr>
              <w:t>0,86</w:t>
            </w:r>
          </w:p>
        </w:tc>
        <w:tc>
          <w:tcPr>
            <w:tcW w:w="991" w:type="dxa"/>
            <w:tcBorders>
              <w:top w:val="nil"/>
              <w:left w:val="nil"/>
              <w:bottom w:val="single" w:sz="4" w:space="0" w:color="auto"/>
              <w:right w:val="single" w:sz="4" w:space="0" w:color="auto"/>
            </w:tcBorders>
            <w:shd w:val="clear" w:color="000000" w:fill="FFFFFF"/>
            <w:noWrap/>
            <w:vAlign w:val="bottom"/>
            <w:hideMark/>
          </w:tcPr>
          <w:p w14:paraId="60D44337" w14:textId="77777777" w:rsidR="00B56301" w:rsidRPr="00D85A26" w:rsidRDefault="00B56301" w:rsidP="00B37B65">
            <w:pPr>
              <w:jc w:val="right"/>
              <w:rPr>
                <w:rFonts w:asciiTheme="minorHAnsi" w:hAnsiTheme="minorHAnsi"/>
                <w:sz w:val="16"/>
                <w:szCs w:val="16"/>
              </w:rPr>
            </w:pPr>
            <w:r w:rsidRPr="00D85A26">
              <w:rPr>
                <w:sz w:val="16"/>
                <w:szCs w:val="18"/>
              </w:rPr>
              <w:t>0,88</w:t>
            </w:r>
          </w:p>
        </w:tc>
        <w:tc>
          <w:tcPr>
            <w:tcW w:w="991" w:type="dxa"/>
            <w:tcBorders>
              <w:top w:val="nil"/>
              <w:left w:val="nil"/>
              <w:bottom w:val="single" w:sz="4" w:space="0" w:color="auto"/>
              <w:right w:val="single" w:sz="4" w:space="0" w:color="auto"/>
            </w:tcBorders>
            <w:shd w:val="clear" w:color="000000" w:fill="FFFFFF"/>
            <w:noWrap/>
            <w:vAlign w:val="bottom"/>
            <w:hideMark/>
          </w:tcPr>
          <w:p w14:paraId="4A236C59" w14:textId="77777777" w:rsidR="00B56301" w:rsidRPr="00D85A26" w:rsidRDefault="00B56301" w:rsidP="00B37B65">
            <w:pPr>
              <w:jc w:val="right"/>
              <w:rPr>
                <w:rFonts w:asciiTheme="minorHAnsi" w:hAnsiTheme="minorHAnsi"/>
                <w:sz w:val="16"/>
                <w:szCs w:val="16"/>
              </w:rPr>
            </w:pPr>
            <w:r w:rsidRPr="00D85A26">
              <w:rPr>
                <w:sz w:val="16"/>
                <w:szCs w:val="18"/>
              </w:rPr>
              <w:t>1,01</w:t>
            </w:r>
          </w:p>
        </w:tc>
        <w:tc>
          <w:tcPr>
            <w:tcW w:w="991" w:type="dxa"/>
            <w:tcBorders>
              <w:top w:val="nil"/>
              <w:left w:val="nil"/>
              <w:bottom w:val="single" w:sz="4" w:space="0" w:color="auto"/>
              <w:right w:val="single" w:sz="4" w:space="0" w:color="auto"/>
            </w:tcBorders>
            <w:shd w:val="clear" w:color="000000" w:fill="FFFFFF"/>
            <w:noWrap/>
            <w:vAlign w:val="bottom"/>
            <w:hideMark/>
          </w:tcPr>
          <w:p w14:paraId="4C00643A" w14:textId="77777777" w:rsidR="00B56301" w:rsidRPr="00D85A26" w:rsidRDefault="00B56301" w:rsidP="00B37B65">
            <w:pPr>
              <w:jc w:val="right"/>
              <w:rPr>
                <w:rFonts w:asciiTheme="minorHAnsi" w:hAnsiTheme="minorHAnsi"/>
                <w:sz w:val="16"/>
                <w:szCs w:val="16"/>
              </w:rPr>
            </w:pPr>
            <w:r w:rsidRPr="00D85A26">
              <w:rPr>
                <w:sz w:val="16"/>
                <w:szCs w:val="18"/>
              </w:rPr>
              <w:t>1,11</w:t>
            </w:r>
          </w:p>
        </w:tc>
        <w:tc>
          <w:tcPr>
            <w:tcW w:w="991" w:type="dxa"/>
            <w:tcBorders>
              <w:top w:val="nil"/>
              <w:left w:val="nil"/>
              <w:bottom w:val="single" w:sz="4" w:space="0" w:color="auto"/>
              <w:right w:val="single" w:sz="4" w:space="0" w:color="auto"/>
            </w:tcBorders>
            <w:shd w:val="clear" w:color="000000" w:fill="FFFFFF"/>
            <w:noWrap/>
            <w:vAlign w:val="bottom"/>
            <w:hideMark/>
          </w:tcPr>
          <w:p w14:paraId="4611F35D" w14:textId="77777777" w:rsidR="00B56301" w:rsidRPr="00D85A26" w:rsidRDefault="00B56301" w:rsidP="00B37B65">
            <w:pPr>
              <w:jc w:val="right"/>
              <w:rPr>
                <w:rFonts w:asciiTheme="minorHAnsi" w:hAnsiTheme="minorHAnsi"/>
                <w:sz w:val="16"/>
                <w:szCs w:val="16"/>
              </w:rPr>
            </w:pPr>
            <w:r w:rsidRPr="00D85A26">
              <w:rPr>
                <w:sz w:val="16"/>
                <w:szCs w:val="18"/>
              </w:rPr>
              <w:t>0,87</w:t>
            </w:r>
          </w:p>
        </w:tc>
      </w:tr>
      <w:tr w:rsidR="00B56301" w:rsidRPr="00D85A26" w14:paraId="587B49B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15C82F8" w14:textId="5EA896FC"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2.</w:t>
            </w:r>
            <w:r w:rsidR="00260E0B">
              <w:rPr>
                <w:rFonts w:asciiTheme="minorHAnsi" w:hAnsiTheme="minorHAnsi"/>
                <w:sz w:val="16"/>
                <w:szCs w:val="16"/>
              </w:rPr>
              <w:t xml:space="preserve"> </w:t>
            </w:r>
            <w:r w:rsidRPr="00D85A26">
              <w:rPr>
                <w:rFonts w:asciiTheme="minorHAnsi" w:hAnsiTheme="minorHAnsi"/>
                <w:sz w:val="16"/>
                <w:szCs w:val="16"/>
              </w:rPr>
              <w:t>Manufacturing industries and construction</w:t>
            </w:r>
          </w:p>
        </w:tc>
        <w:tc>
          <w:tcPr>
            <w:tcW w:w="991" w:type="dxa"/>
            <w:tcBorders>
              <w:top w:val="nil"/>
              <w:left w:val="nil"/>
              <w:bottom w:val="single" w:sz="4" w:space="0" w:color="auto"/>
              <w:right w:val="single" w:sz="4" w:space="0" w:color="auto"/>
            </w:tcBorders>
            <w:shd w:val="clear" w:color="000000" w:fill="FFFFFF"/>
            <w:noWrap/>
            <w:vAlign w:val="bottom"/>
            <w:hideMark/>
          </w:tcPr>
          <w:p w14:paraId="55192581" w14:textId="77777777" w:rsidR="00B56301" w:rsidRPr="00D85A26" w:rsidRDefault="00B56301" w:rsidP="00B37B65">
            <w:pPr>
              <w:jc w:val="right"/>
              <w:rPr>
                <w:rFonts w:asciiTheme="minorHAnsi" w:hAnsiTheme="minorHAnsi"/>
                <w:sz w:val="16"/>
                <w:szCs w:val="16"/>
              </w:rPr>
            </w:pPr>
            <w:r w:rsidRPr="00D85A26">
              <w:rPr>
                <w:sz w:val="16"/>
                <w:szCs w:val="18"/>
              </w:rPr>
              <w:t>1,82</w:t>
            </w:r>
          </w:p>
        </w:tc>
        <w:tc>
          <w:tcPr>
            <w:tcW w:w="991" w:type="dxa"/>
            <w:tcBorders>
              <w:top w:val="nil"/>
              <w:left w:val="nil"/>
              <w:bottom w:val="single" w:sz="4" w:space="0" w:color="auto"/>
              <w:right w:val="single" w:sz="4" w:space="0" w:color="auto"/>
            </w:tcBorders>
            <w:shd w:val="clear" w:color="000000" w:fill="FFFFFF"/>
            <w:noWrap/>
            <w:vAlign w:val="bottom"/>
            <w:hideMark/>
          </w:tcPr>
          <w:p w14:paraId="40C0B5A8" w14:textId="77777777" w:rsidR="00B56301" w:rsidRPr="00D85A26" w:rsidRDefault="00B56301" w:rsidP="00B37B65">
            <w:pPr>
              <w:jc w:val="right"/>
              <w:rPr>
                <w:rFonts w:asciiTheme="minorHAnsi" w:hAnsiTheme="minorHAnsi"/>
                <w:sz w:val="16"/>
                <w:szCs w:val="16"/>
              </w:rPr>
            </w:pPr>
            <w:r w:rsidRPr="00D85A26">
              <w:rPr>
                <w:sz w:val="16"/>
                <w:szCs w:val="18"/>
              </w:rPr>
              <w:t>1,76</w:t>
            </w:r>
          </w:p>
        </w:tc>
        <w:tc>
          <w:tcPr>
            <w:tcW w:w="991" w:type="dxa"/>
            <w:tcBorders>
              <w:top w:val="nil"/>
              <w:left w:val="nil"/>
              <w:bottom w:val="single" w:sz="4" w:space="0" w:color="auto"/>
              <w:right w:val="single" w:sz="4" w:space="0" w:color="auto"/>
            </w:tcBorders>
            <w:shd w:val="clear" w:color="000000" w:fill="FFFFFF"/>
            <w:noWrap/>
            <w:vAlign w:val="bottom"/>
            <w:hideMark/>
          </w:tcPr>
          <w:p w14:paraId="3C05D3A2" w14:textId="77777777" w:rsidR="00B56301" w:rsidRPr="00D85A26" w:rsidRDefault="00B56301" w:rsidP="00B37B65">
            <w:pPr>
              <w:jc w:val="right"/>
              <w:rPr>
                <w:rFonts w:asciiTheme="minorHAnsi" w:hAnsiTheme="minorHAnsi"/>
                <w:sz w:val="16"/>
                <w:szCs w:val="16"/>
              </w:rPr>
            </w:pPr>
            <w:r w:rsidRPr="00D85A26">
              <w:rPr>
                <w:sz w:val="16"/>
                <w:szCs w:val="18"/>
              </w:rPr>
              <w:t>1,78</w:t>
            </w:r>
          </w:p>
        </w:tc>
        <w:tc>
          <w:tcPr>
            <w:tcW w:w="991" w:type="dxa"/>
            <w:tcBorders>
              <w:top w:val="nil"/>
              <w:left w:val="nil"/>
              <w:bottom w:val="single" w:sz="4" w:space="0" w:color="auto"/>
              <w:right w:val="single" w:sz="4" w:space="0" w:color="auto"/>
            </w:tcBorders>
            <w:shd w:val="clear" w:color="000000" w:fill="FFFFFF"/>
            <w:noWrap/>
            <w:vAlign w:val="bottom"/>
            <w:hideMark/>
          </w:tcPr>
          <w:p w14:paraId="4694D361" w14:textId="77777777" w:rsidR="00B56301" w:rsidRPr="00D85A26" w:rsidRDefault="00B56301" w:rsidP="00B37B65">
            <w:pPr>
              <w:jc w:val="right"/>
              <w:rPr>
                <w:rFonts w:asciiTheme="minorHAnsi" w:hAnsiTheme="minorHAnsi"/>
                <w:sz w:val="16"/>
                <w:szCs w:val="16"/>
              </w:rPr>
            </w:pPr>
            <w:r w:rsidRPr="00D85A26">
              <w:rPr>
                <w:sz w:val="16"/>
                <w:szCs w:val="18"/>
              </w:rPr>
              <w:t>1,79</w:t>
            </w:r>
          </w:p>
        </w:tc>
        <w:tc>
          <w:tcPr>
            <w:tcW w:w="991" w:type="dxa"/>
            <w:tcBorders>
              <w:top w:val="nil"/>
              <w:left w:val="nil"/>
              <w:bottom w:val="single" w:sz="4" w:space="0" w:color="auto"/>
              <w:right w:val="single" w:sz="4" w:space="0" w:color="auto"/>
            </w:tcBorders>
            <w:shd w:val="clear" w:color="000000" w:fill="FFFFFF"/>
            <w:noWrap/>
            <w:vAlign w:val="bottom"/>
            <w:hideMark/>
          </w:tcPr>
          <w:p w14:paraId="567E0ECC" w14:textId="77777777" w:rsidR="00B56301" w:rsidRPr="00D85A26" w:rsidRDefault="00B56301" w:rsidP="00B37B65">
            <w:pPr>
              <w:jc w:val="right"/>
              <w:rPr>
                <w:rFonts w:asciiTheme="minorHAnsi" w:hAnsiTheme="minorHAnsi"/>
                <w:sz w:val="16"/>
                <w:szCs w:val="16"/>
              </w:rPr>
            </w:pPr>
            <w:r w:rsidRPr="00D85A26">
              <w:rPr>
                <w:sz w:val="16"/>
                <w:szCs w:val="18"/>
              </w:rPr>
              <w:t>1,75</w:t>
            </w:r>
          </w:p>
        </w:tc>
        <w:tc>
          <w:tcPr>
            <w:tcW w:w="991" w:type="dxa"/>
            <w:tcBorders>
              <w:top w:val="nil"/>
              <w:left w:val="nil"/>
              <w:bottom w:val="single" w:sz="4" w:space="0" w:color="auto"/>
              <w:right w:val="single" w:sz="4" w:space="0" w:color="auto"/>
            </w:tcBorders>
            <w:shd w:val="clear" w:color="000000" w:fill="FFFFFF"/>
            <w:noWrap/>
            <w:vAlign w:val="bottom"/>
            <w:hideMark/>
          </w:tcPr>
          <w:p w14:paraId="3D0A8ACA" w14:textId="77777777" w:rsidR="00B56301" w:rsidRPr="00D85A26" w:rsidRDefault="00B56301" w:rsidP="00B37B65">
            <w:pPr>
              <w:jc w:val="right"/>
              <w:rPr>
                <w:rFonts w:asciiTheme="minorHAnsi" w:hAnsiTheme="minorHAnsi"/>
                <w:sz w:val="16"/>
                <w:szCs w:val="16"/>
              </w:rPr>
            </w:pPr>
            <w:r w:rsidRPr="00D85A26">
              <w:rPr>
                <w:sz w:val="16"/>
                <w:szCs w:val="18"/>
              </w:rPr>
              <w:t>1,76</w:t>
            </w:r>
          </w:p>
        </w:tc>
      </w:tr>
      <w:tr w:rsidR="00B56301" w:rsidRPr="00D85A26" w14:paraId="55AFBA5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CC6CAC5" w14:textId="04B51FE3"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3.</w:t>
            </w:r>
            <w:r w:rsidR="00260E0B">
              <w:rPr>
                <w:rFonts w:asciiTheme="minorHAnsi" w:hAnsiTheme="minorHAnsi"/>
                <w:sz w:val="16"/>
                <w:szCs w:val="16"/>
              </w:rPr>
              <w:t xml:space="preserve"> </w:t>
            </w:r>
            <w:r w:rsidRPr="00D85A26">
              <w:rPr>
                <w:rFonts w:asciiTheme="minorHAnsi" w:hAnsiTheme="minorHAnsi"/>
                <w:sz w:val="16"/>
                <w:szCs w:val="16"/>
              </w:rPr>
              <w:t>Transport</w:t>
            </w:r>
          </w:p>
        </w:tc>
        <w:tc>
          <w:tcPr>
            <w:tcW w:w="991" w:type="dxa"/>
            <w:tcBorders>
              <w:top w:val="nil"/>
              <w:left w:val="nil"/>
              <w:bottom w:val="single" w:sz="4" w:space="0" w:color="auto"/>
              <w:right w:val="single" w:sz="4" w:space="0" w:color="auto"/>
            </w:tcBorders>
            <w:shd w:val="clear" w:color="000000" w:fill="FFFFFF"/>
            <w:noWrap/>
            <w:vAlign w:val="bottom"/>
            <w:hideMark/>
          </w:tcPr>
          <w:p w14:paraId="415D9546" w14:textId="77777777" w:rsidR="00B56301" w:rsidRPr="00D85A26" w:rsidRDefault="00B56301" w:rsidP="00B37B65">
            <w:pPr>
              <w:jc w:val="right"/>
              <w:rPr>
                <w:rFonts w:asciiTheme="minorHAnsi" w:hAnsiTheme="minorHAnsi"/>
                <w:sz w:val="16"/>
                <w:szCs w:val="16"/>
              </w:rPr>
            </w:pPr>
            <w:r w:rsidRPr="00D85A26">
              <w:rPr>
                <w:sz w:val="16"/>
                <w:szCs w:val="18"/>
              </w:rPr>
              <w:t>4,59</w:t>
            </w:r>
          </w:p>
        </w:tc>
        <w:tc>
          <w:tcPr>
            <w:tcW w:w="991" w:type="dxa"/>
            <w:tcBorders>
              <w:top w:val="nil"/>
              <w:left w:val="nil"/>
              <w:bottom w:val="single" w:sz="4" w:space="0" w:color="auto"/>
              <w:right w:val="single" w:sz="4" w:space="0" w:color="auto"/>
            </w:tcBorders>
            <w:shd w:val="clear" w:color="000000" w:fill="FFFFFF"/>
            <w:noWrap/>
            <w:vAlign w:val="bottom"/>
            <w:hideMark/>
          </w:tcPr>
          <w:p w14:paraId="3E3470A0" w14:textId="77777777" w:rsidR="00B56301" w:rsidRPr="00D85A26" w:rsidRDefault="00B56301" w:rsidP="00B37B65">
            <w:pPr>
              <w:jc w:val="right"/>
              <w:rPr>
                <w:rFonts w:asciiTheme="minorHAnsi" w:hAnsiTheme="minorHAnsi"/>
                <w:sz w:val="16"/>
                <w:szCs w:val="16"/>
              </w:rPr>
            </w:pPr>
            <w:r w:rsidRPr="00D85A26">
              <w:rPr>
                <w:sz w:val="16"/>
                <w:szCs w:val="18"/>
              </w:rPr>
              <w:t>4,70</w:t>
            </w:r>
          </w:p>
        </w:tc>
        <w:tc>
          <w:tcPr>
            <w:tcW w:w="991" w:type="dxa"/>
            <w:tcBorders>
              <w:top w:val="nil"/>
              <w:left w:val="nil"/>
              <w:bottom w:val="single" w:sz="4" w:space="0" w:color="auto"/>
              <w:right w:val="single" w:sz="4" w:space="0" w:color="auto"/>
            </w:tcBorders>
            <w:shd w:val="clear" w:color="000000" w:fill="FFFFFF"/>
            <w:noWrap/>
            <w:vAlign w:val="bottom"/>
            <w:hideMark/>
          </w:tcPr>
          <w:p w14:paraId="7CD18DED" w14:textId="77777777" w:rsidR="00B56301" w:rsidRPr="00D85A26" w:rsidRDefault="00B56301" w:rsidP="00B37B65">
            <w:pPr>
              <w:jc w:val="right"/>
              <w:rPr>
                <w:rFonts w:asciiTheme="minorHAnsi" w:hAnsiTheme="minorHAnsi"/>
                <w:sz w:val="16"/>
                <w:szCs w:val="16"/>
              </w:rPr>
            </w:pPr>
            <w:r w:rsidRPr="00D85A26">
              <w:rPr>
                <w:sz w:val="16"/>
                <w:szCs w:val="18"/>
              </w:rPr>
              <w:t>4,80</w:t>
            </w:r>
          </w:p>
        </w:tc>
        <w:tc>
          <w:tcPr>
            <w:tcW w:w="991" w:type="dxa"/>
            <w:tcBorders>
              <w:top w:val="nil"/>
              <w:left w:val="nil"/>
              <w:bottom w:val="single" w:sz="4" w:space="0" w:color="auto"/>
              <w:right w:val="single" w:sz="4" w:space="0" w:color="auto"/>
            </w:tcBorders>
            <w:shd w:val="clear" w:color="000000" w:fill="FFFFFF"/>
            <w:noWrap/>
            <w:vAlign w:val="bottom"/>
            <w:hideMark/>
          </w:tcPr>
          <w:p w14:paraId="0E3EBB35" w14:textId="77777777" w:rsidR="00B56301" w:rsidRPr="00D85A26" w:rsidRDefault="00B56301" w:rsidP="00B37B65">
            <w:pPr>
              <w:jc w:val="right"/>
              <w:rPr>
                <w:rFonts w:asciiTheme="minorHAnsi" w:hAnsiTheme="minorHAnsi"/>
                <w:sz w:val="16"/>
                <w:szCs w:val="16"/>
              </w:rPr>
            </w:pPr>
            <w:r w:rsidRPr="00D85A26">
              <w:rPr>
                <w:sz w:val="16"/>
                <w:szCs w:val="18"/>
              </w:rPr>
              <w:t>4,86</w:t>
            </w:r>
          </w:p>
        </w:tc>
        <w:tc>
          <w:tcPr>
            <w:tcW w:w="991" w:type="dxa"/>
            <w:tcBorders>
              <w:top w:val="nil"/>
              <w:left w:val="nil"/>
              <w:bottom w:val="single" w:sz="4" w:space="0" w:color="auto"/>
              <w:right w:val="single" w:sz="4" w:space="0" w:color="auto"/>
            </w:tcBorders>
            <w:shd w:val="clear" w:color="000000" w:fill="FFFFFF"/>
            <w:noWrap/>
            <w:vAlign w:val="bottom"/>
            <w:hideMark/>
          </w:tcPr>
          <w:p w14:paraId="17A08858" w14:textId="77777777" w:rsidR="00B56301" w:rsidRPr="00D85A26" w:rsidRDefault="00B56301" w:rsidP="00B37B65">
            <w:pPr>
              <w:jc w:val="right"/>
              <w:rPr>
                <w:rFonts w:asciiTheme="minorHAnsi" w:hAnsiTheme="minorHAnsi"/>
                <w:sz w:val="16"/>
                <w:szCs w:val="16"/>
              </w:rPr>
            </w:pPr>
            <w:r w:rsidRPr="00D85A26">
              <w:rPr>
                <w:sz w:val="16"/>
                <w:szCs w:val="18"/>
              </w:rPr>
              <w:t>4,87</w:t>
            </w:r>
          </w:p>
        </w:tc>
        <w:tc>
          <w:tcPr>
            <w:tcW w:w="991" w:type="dxa"/>
            <w:tcBorders>
              <w:top w:val="nil"/>
              <w:left w:val="nil"/>
              <w:bottom w:val="single" w:sz="4" w:space="0" w:color="auto"/>
              <w:right w:val="single" w:sz="4" w:space="0" w:color="auto"/>
            </w:tcBorders>
            <w:shd w:val="clear" w:color="000000" w:fill="FFFFFF"/>
            <w:noWrap/>
            <w:vAlign w:val="bottom"/>
            <w:hideMark/>
          </w:tcPr>
          <w:p w14:paraId="049B5244" w14:textId="77777777" w:rsidR="00B56301" w:rsidRPr="00D85A26" w:rsidRDefault="00B56301" w:rsidP="00B37B65">
            <w:pPr>
              <w:jc w:val="right"/>
              <w:rPr>
                <w:rFonts w:asciiTheme="minorHAnsi" w:hAnsiTheme="minorHAnsi"/>
                <w:sz w:val="16"/>
                <w:szCs w:val="16"/>
              </w:rPr>
            </w:pPr>
            <w:r w:rsidRPr="00D85A26">
              <w:rPr>
                <w:sz w:val="16"/>
                <w:szCs w:val="18"/>
              </w:rPr>
              <w:t>4,70</w:t>
            </w:r>
          </w:p>
        </w:tc>
      </w:tr>
      <w:tr w:rsidR="00B56301" w:rsidRPr="00D85A26" w14:paraId="248739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18B976E" w14:textId="3394EEE1"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4.</w:t>
            </w:r>
            <w:r w:rsidR="00260E0B">
              <w:rPr>
                <w:rFonts w:asciiTheme="minorHAnsi" w:hAnsiTheme="minorHAnsi"/>
                <w:sz w:val="16"/>
                <w:szCs w:val="16"/>
              </w:rPr>
              <w:t xml:space="preserve"> </w:t>
            </w:r>
            <w:r w:rsidRPr="00D85A26">
              <w:rPr>
                <w:rFonts w:asciiTheme="minorHAnsi" w:hAnsiTheme="minorHAnsi"/>
                <w:sz w:val="16"/>
                <w:szCs w:val="16"/>
              </w:rPr>
              <w:t>Other sectors</w:t>
            </w:r>
          </w:p>
        </w:tc>
        <w:tc>
          <w:tcPr>
            <w:tcW w:w="991" w:type="dxa"/>
            <w:tcBorders>
              <w:top w:val="nil"/>
              <w:left w:val="nil"/>
              <w:bottom w:val="single" w:sz="4" w:space="0" w:color="auto"/>
              <w:right w:val="single" w:sz="4" w:space="0" w:color="auto"/>
            </w:tcBorders>
            <w:shd w:val="clear" w:color="000000" w:fill="FFFFFF"/>
            <w:noWrap/>
            <w:vAlign w:val="bottom"/>
            <w:hideMark/>
          </w:tcPr>
          <w:p w14:paraId="733D4747" w14:textId="77777777" w:rsidR="00B56301" w:rsidRPr="00D85A26" w:rsidRDefault="00B56301" w:rsidP="00B37B65">
            <w:pPr>
              <w:jc w:val="right"/>
              <w:rPr>
                <w:rFonts w:asciiTheme="minorHAnsi" w:hAnsiTheme="minorHAnsi"/>
                <w:sz w:val="16"/>
                <w:szCs w:val="16"/>
              </w:rPr>
            </w:pPr>
            <w:r w:rsidRPr="00D85A26">
              <w:rPr>
                <w:sz w:val="16"/>
                <w:szCs w:val="18"/>
              </w:rPr>
              <w:t>5,14</w:t>
            </w:r>
          </w:p>
        </w:tc>
        <w:tc>
          <w:tcPr>
            <w:tcW w:w="991" w:type="dxa"/>
            <w:tcBorders>
              <w:top w:val="nil"/>
              <w:left w:val="nil"/>
              <w:bottom w:val="single" w:sz="4" w:space="0" w:color="auto"/>
              <w:right w:val="single" w:sz="4" w:space="0" w:color="auto"/>
            </w:tcBorders>
            <w:shd w:val="clear" w:color="000000" w:fill="FFFFFF"/>
            <w:noWrap/>
            <w:vAlign w:val="bottom"/>
            <w:hideMark/>
          </w:tcPr>
          <w:p w14:paraId="10E4535A" w14:textId="77777777" w:rsidR="00B56301" w:rsidRPr="00D85A26" w:rsidRDefault="00B56301" w:rsidP="00B37B65">
            <w:pPr>
              <w:jc w:val="right"/>
              <w:rPr>
                <w:rFonts w:asciiTheme="minorHAnsi" w:hAnsiTheme="minorHAnsi"/>
                <w:sz w:val="16"/>
                <w:szCs w:val="16"/>
              </w:rPr>
            </w:pPr>
            <w:r w:rsidRPr="00D85A26">
              <w:rPr>
                <w:sz w:val="16"/>
                <w:szCs w:val="18"/>
              </w:rPr>
              <w:t>4,91</w:t>
            </w:r>
          </w:p>
        </w:tc>
        <w:tc>
          <w:tcPr>
            <w:tcW w:w="991" w:type="dxa"/>
            <w:tcBorders>
              <w:top w:val="nil"/>
              <w:left w:val="nil"/>
              <w:bottom w:val="single" w:sz="4" w:space="0" w:color="auto"/>
              <w:right w:val="single" w:sz="4" w:space="0" w:color="auto"/>
            </w:tcBorders>
            <w:shd w:val="clear" w:color="000000" w:fill="FFFFFF"/>
            <w:noWrap/>
            <w:vAlign w:val="bottom"/>
            <w:hideMark/>
          </w:tcPr>
          <w:p w14:paraId="225E4E2F" w14:textId="77777777" w:rsidR="00B56301" w:rsidRPr="00D85A26" w:rsidRDefault="00B56301" w:rsidP="00B37B65">
            <w:pPr>
              <w:jc w:val="right"/>
              <w:rPr>
                <w:rFonts w:asciiTheme="minorHAnsi" w:hAnsiTheme="minorHAnsi"/>
                <w:sz w:val="16"/>
                <w:szCs w:val="16"/>
              </w:rPr>
            </w:pPr>
            <w:r w:rsidRPr="00D85A26">
              <w:rPr>
                <w:sz w:val="16"/>
                <w:szCs w:val="18"/>
              </w:rPr>
              <w:t>4,97</w:t>
            </w:r>
          </w:p>
        </w:tc>
        <w:tc>
          <w:tcPr>
            <w:tcW w:w="991" w:type="dxa"/>
            <w:tcBorders>
              <w:top w:val="nil"/>
              <w:left w:val="nil"/>
              <w:bottom w:val="single" w:sz="4" w:space="0" w:color="auto"/>
              <w:right w:val="single" w:sz="4" w:space="0" w:color="auto"/>
            </w:tcBorders>
            <w:shd w:val="clear" w:color="000000" w:fill="FFFFFF"/>
            <w:noWrap/>
            <w:vAlign w:val="bottom"/>
            <w:hideMark/>
          </w:tcPr>
          <w:p w14:paraId="16EA142E" w14:textId="77777777" w:rsidR="00B56301" w:rsidRPr="00D85A26" w:rsidRDefault="00B56301" w:rsidP="00B37B65">
            <w:pPr>
              <w:jc w:val="right"/>
              <w:rPr>
                <w:rFonts w:asciiTheme="minorHAnsi" w:hAnsiTheme="minorHAnsi"/>
                <w:sz w:val="16"/>
                <w:szCs w:val="16"/>
              </w:rPr>
            </w:pPr>
            <w:r w:rsidRPr="00D85A26">
              <w:rPr>
                <w:sz w:val="16"/>
                <w:szCs w:val="18"/>
              </w:rPr>
              <w:t>4,79</w:t>
            </w:r>
          </w:p>
        </w:tc>
        <w:tc>
          <w:tcPr>
            <w:tcW w:w="991" w:type="dxa"/>
            <w:tcBorders>
              <w:top w:val="nil"/>
              <w:left w:val="nil"/>
              <w:bottom w:val="single" w:sz="4" w:space="0" w:color="auto"/>
              <w:right w:val="single" w:sz="4" w:space="0" w:color="auto"/>
            </w:tcBorders>
            <w:shd w:val="clear" w:color="000000" w:fill="FFFFFF"/>
            <w:noWrap/>
            <w:vAlign w:val="bottom"/>
            <w:hideMark/>
          </w:tcPr>
          <w:p w14:paraId="2D14D78B" w14:textId="77777777" w:rsidR="00B56301" w:rsidRPr="00D85A26" w:rsidRDefault="00B56301" w:rsidP="00B37B65">
            <w:pPr>
              <w:jc w:val="right"/>
              <w:rPr>
                <w:rFonts w:asciiTheme="minorHAnsi" w:hAnsiTheme="minorHAnsi"/>
                <w:sz w:val="16"/>
                <w:szCs w:val="16"/>
              </w:rPr>
            </w:pPr>
            <w:r w:rsidRPr="00D85A26">
              <w:rPr>
                <w:sz w:val="16"/>
                <w:szCs w:val="18"/>
              </w:rPr>
              <w:t>4,63</w:t>
            </w:r>
          </w:p>
        </w:tc>
        <w:tc>
          <w:tcPr>
            <w:tcW w:w="991" w:type="dxa"/>
            <w:tcBorders>
              <w:top w:val="nil"/>
              <w:left w:val="nil"/>
              <w:bottom w:val="single" w:sz="4" w:space="0" w:color="auto"/>
              <w:right w:val="single" w:sz="4" w:space="0" w:color="auto"/>
            </w:tcBorders>
            <w:shd w:val="clear" w:color="000000" w:fill="FFFFFF"/>
            <w:noWrap/>
            <w:vAlign w:val="bottom"/>
            <w:hideMark/>
          </w:tcPr>
          <w:p w14:paraId="139DB721" w14:textId="77777777" w:rsidR="00B56301" w:rsidRPr="00D85A26" w:rsidRDefault="00B56301" w:rsidP="00B37B65">
            <w:pPr>
              <w:jc w:val="right"/>
              <w:rPr>
                <w:rFonts w:asciiTheme="minorHAnsi" w:hAnsiTheme="minorHAnsi"/>
                <w:sz w:val="16"/>
                <w:szCs w:val="16"/>
              </w:rPr>
            </w:pPr>
            <w:r w:rsidRPr="00D85A26">
              <w:rPr>
                <w:sz w:val="16"/>
                <w:szCs w:val="18"/>
              </w:rPr>
              <w:t>4,58</w:t>
            </w:r>
          </w:p>
        </w:tc>
      </w:tr>
      <w:tr w:rsidR="00B56301" w:rsidRPr="00D85A26" w14:paraId="7DA9DF0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2AF9BF7" w14:textId="739CF60B"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5.</w:t>
            </w:r>
            <w:r w:rsidR="00260E0B">
              <w:rPr>
                <w:rFonts w:asciiTheme="minorHAnsi" w:hAnsiTheme="minorHAnsi"/>
                <w:sz w:val="16"/>
                <w:szCs w:val="16"/>
              </w:rPr>
              <w:t xml:space="preserve"> </w:t>
            </w:r>
            <w:r w:rsidRPr="00D85A26">
              <w:rPr>
                <w:rFonts w:asciiTheme="minorHAnsi" w:hAnsiTheme="minorHAnsi"/>
                <w:sz w:val="16"/>
                <w:szCs w:val="16"/>
              </w:rPr>
              <w:t>Other</w:t>
            </w:r>
          </w:p>
        </w:tc>
        <w:tc>
          <w:tcPr>
            <w:tcW w:w="991" w:type="dxa"/>
            <w:tcBorders>
              <w:top w:val="nil"/>
              <w:left w:val="nil"/>
              <w:bottom w:val="single" w:sz="4" w:space="0" w:color="auto"/>
              <w:right w:val="single" w:sz="4" w:space="0" w:color="auto"/>
            </w:tcBorders>
            <w:shd w:val="clear" w:color="000000" w:fill="FFFFFF"/>
            <w:noWrap/>
            <w:vAlign w:val="bottom"/>
            <w:hideMark/>
          </w:tcPr>
          <w:p w14:paraId="55FF3902"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3B3AD951"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5BAFDF3A"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05139601"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B6E6759"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357FAA02" w14:textId="77777777" w:rsidR="00B56301" w:rsidRPr="00D85A26" w:rsidRDefault="00B56301" w:rsidP="00B37B65">
            <w:pPr>
              <w:jc w:val="right"/>
              <w:rPr>
                <w:rFonts w:asciiTheme="minorHAnsi" w:hAnsiTheme="minorHAnsi"/>
                <w:sz w:val="16"/>
                <w:szCs w:val="16"/>
              </w:rPr>
            </w:pPr>
            <w:r w:rsidRPr="00D85A26">
              <w:rPr>
                <w:sz w:val="16"/>
                <w:szCs w:val="18"/>
              </w:rPr>
              <w:t>0,03</w:t>
            </w:r>
          </w:p>
        </w:tc>
      </w:tr>
      <w:tr w:rsidR="00B56301" w:rsidRPr="00D85A26" w14:paraId="68EE62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8DEC4C5" w14:textId="7777777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 Fugitive emissions from fuels</w:t>
            </w:r>
          </w:p>
        </w:tc>
        <w:tc>
          <w:tcPr>
            <w:tcW w:w="991" w:type="dxa"/>
            <w:tcBorders>
              <w:top w:val="nil"/>
              <w:left w:val="nil"/>
              <w:bottom w:val="single" w:sz="4" w:space="0" w:color="auto"/>
              <w:right w:val="single" w:sz="4" w:space="0" w:color="auto"/>
            </w:tcBorders>
            <w:shd w:val="clear" w:color="000000" w:fill="CCFFFF"/>
            <w:noWrap/>
            <w:vAlign w:val="bottom"/>
            <w:hideMark/>
          </w:tcPr>
          <w:p w14:paraId="152FABAF"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60DA24A0"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2BBBF5FA"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64D84837"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CCFFFF"/>
            <w:noWrap/>
            <w:vAlign w:val="bottom"/>
            <w:hideMark/>
          </w:tcPr>
          <w:p w14:paraId="5857625C"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CCFFFF"/>
            <w:noWrap/>
            <w:vAlign w:val="bottom"/>
            <w:hideMark/>
          </w:tcPr>
          <w:p w14:paraId="2B655158"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D85A26" w14:paraId="042815C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C3FF82E" w14:textId="6797E8B3"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Solid fuels</w:t>
            </w:r>
          </w:p>
        </w:tc>
        <w:tc>
          <w:tcPr>
            <w:tcW w:w="991" w:type="dxa"/>
            <w:tcBorders>
              <w:top w:val="nil"/>
              <w:left w:val="nil"/>
              <w:bottom w:val="single" w:sz="4" w:space="0" w:color="auto"/>
              <w:right w:val="single" w:sz="4" w:space="0" w:color="auto"/>
            </w:tcBorders>
            <w:shd w:val="clear" w:color="000000" w:fill="FFFFFF"/>
            <w:noWrap/>
            <w:vAlign w:val="bottom"/>
            <w:hideMark/>
          </w:tcPr>
          <w:p w14:paraId="5D20BC40"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BE2BE4A"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4AAEAF5"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C049D2F"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180EE84C"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0EF26562"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388EBE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0D931F7" w14:textId="49C6F9A9" w:rsidR="00B56301" w:rsidRPr="00D85A26" w:rsidRDefault="00B56301" w:rsidP="00B37B65">
            <w:pPr>
              <w:ind w:firstLineChars="500" w:firstLine="800"/>
              <w:jc w:val="left"/>
              <w:rPr>
                <w:rFonts w:asciiTheme="minorHAnsi" w:hAnsiTheme="minorHAnsi"/>
                <w:sz w:val="16"/>
                <w:szCs w:val="16"/>
                <w:lang w:val="en-GB"/>
              </w:rPr>
            </w:pPr>
            <w:r w:rsidRPr="00D85A26">
              <w:rPr>
                <w:rFonts w:asciiTheme="minorHAnsi" w:hAnsiTheme="minorHAnsi"/>
                <w:sz w:val="16"/>
                <w:szCs w:val="16"/>
                <w:lang w:val="en-GB"/>
              </w:rPr>
              <w:t>2.</w:t>
            </w:r>
            <w:r w:rsidR="00260E0B">
              <w:rPr>
                <w:rFonts w:asciiTheme="minorHAnsi" w:hAnsiTheme="minorHAnsi"/>
                <w:sz w:val="16"/>
                <w:szCs w:val="16"/>
                <w:lang w:val="en-GB"/>
              </w:rPr>
              <w:t xml:space="preserve"> </w:t>
            </w:r>
            <w:r w:rsidRPr="00D85A26">
              <w:rPr>
                <w:rFonts w:asciiTheme="minorHAnsi" w:hAnsiTheme="minorHAnsi"/>
                <w:sz w:val="16"/>
                <w:szCs w:val="16"/>
                <w:lang w:val="en-GB"/>
              </w:rPr>
              <w:t>Oil and natural gas and other emissions from energy production</w:t>
            </w:r>
          </w:p>
        </w:tc>
        <w:tc>
          <w:tcPr>
            <w:tcW w:w="991" w:type="dxa"/>
            <w:tcBorders>
              <w:top w:val="nil"/>
              <w:left w:val="nil"/>
              <w:bottom w:val="single" w:sz="4" w:space="0" w:color="auto"/>
              <w:right w:val="single" w:sz="4" w:space="0" w:color="auto"/>
            </w:tcBorders>
            <w:shd w:val="clear" w:color="000000" w:fill="FFFFFF"/>
            <w:noWrap/>
            <w:vAlign w:val="bottom"/>
            <w:hideMark/>
          </w:tcPr>
          <w:p w14:paraId="775E980F"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02FC74A9"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2A141897"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60001E3D" w14:textId="77777777" w:rsidR="00B56301" w:rsidRPr="00D85A26" w:rsidRDefault="00B56301" w:rsidP="00B37B65">
            <w:pPr>
              <w:jc w:val="right"/>
              <w:rPr>
                <w:rFonts w:asciiTheme="minorHAnsi" w:hAnsiTheme="minorHAnsi"/>
                <w:sz w:val="16"/>
                <w:szCs w:val="16"/>
              </w:rPr>
            </w:pPr>
            <w:r w:rsidRPr="00D85A26">
              <w:rPr>
                <w:sz w:val="16"/>
                <w:szCs w:val="18"/>
              </w:rPr>
              <w:t>0,05</w:t>
            </w:r>
          </w:p>
        </w:tc>
        <w:tc>
          <w:tcPr>
            <w:tcW w:w="991" w:type="dxa"/>
            <w:tcBorders>
              <w:top w:val="nil"/>
              <w:left w:val="nil"/>
              <w:bottom w:val="single" w:sz="4" w:space="0" w:color="auto"/>
              <w:right w:val="single" w:sz="4" w:space="0" w:color="auto"/>
            </w:tcBorders>
            <w:shd w:val="clear" w:color="000000" w:fill="FFFFFF"/>
            <w:noWrap/>
            <w:vAlign w:val="bottom"/>
            <w:hideMark/>
          </w:tcPr>
          <w:p w14:paraId="7F9502A4"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129350C8" w14:textId="77777777" w:rsidR="00B56301" w:rsidRPr="00D85A26" w:rsidRDefault="00B56301" w:rsidP="00B37B65">
            <w:pPr>
              <w:jc w:val="right"/>
              <w:rPr>
                <w:rFonts w:asciiTheme="minorHAnsi" w:hAnsiTheme="minorHAnsi"/>
                <w:sz w:val="16"/>
                <w:szCs w:val="16"/>
              </w:rPr>
            </w:pPr>
            <w:r w:rsidRPr="00D85A26">
              <w:rPr>
                <w:sz w:val="16"/>
                <w:szCs w:val="18"/>
              </w:rPr>
              <w:t>0,05</w:t>
            </w:r>
          </w:p>
        </w:tc>
      </w:tr>
      <w:tr w:rsidR="00B56301" w:rsidRPr="00833C38" w14:paraId="21D8F8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724B267" w14:textId="51F1D49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 xml:space="preserve">C. </w:t>
            </w:r>
            <w:r w:rsidR="007F09F7" w:rsidRPr="006C251B">
              <w:rPr>
                <w:lang w:val="en-GB"/>
              </w:rPr>
              <w:t>CO</w:t>
            </w:r>
            <w:r w:rsidR="007F09F7" w:rsidRPr="006C251B">
              <w:rPr>
                <w:vertAlign w:val="subscript"/>
                <w:lang w:val="en-GB"/>
              </w:rPr>
              <w:t>2</w:t>
            </w:r>
            <w:r w:rsidRPr="00D85A26">
              <w:rPr>
                <w:rFonts w:asciiTheme="minorHAnsi" w:hAnsiTheme="minorHAnsi"/>
                <w:sz w:val="16"/>
                <w:szCs w:val="16"/>
                <w:lang w:val="en-GB"/>
              </w:rPr>
              <w:t xml:space="preserve"> transport and storage</w:t>
            </w:r>
          </w:p>
        </w:tc>
        <w:tc>
          <w:tcPr>
            <w:tcW w:w="991" w:type="dxa"/>
            <w:tcBorders>
              <w:top w:val="nil"/>
              <w:left w:val="nil"/>
              <w:bottom w:val="single" w:sz="4" w:space="0" w:color="auto"/>
              <w:right w:val="single" w:sz="4" w:space="0" w:color="auto"/>
            </w:tcBorders>
            <w:shd w:val="clear" w:color="000000" w:fill="969696"/>
            <w:noWrap/>
            <w:vAlign w:val="bottom"/>
            <w:hideMark/>
          </w:tcPr>
          <w:p w14:paraId="35DCF28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8503DF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522CA"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F469EF"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690EBC2"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0B16E15"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1262B59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B5499D" w14:textId="7164B20A"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2.</w:t>
            </w:r>
            <w:r w:rsidR="00260E0B">
              <w:rPr>
                <w:rFonts w:asciiTheme="minorHAnsi" w:hAnsiTheme="minorHAnsi"/>
                <w:b/>
                <w:bCs/>
                <w:sz w:val="16"/>
                <w:szCs w:val="16"/>
              </w:rPr>
              <w:t xml:space="preserve"> </w:t>
            </w:r>
            <w:r w:rsidRPr="00D85A26">
              <w:rPr>
                <w:rFonts w:asciiTheme="minorHAnsi" w:hAnsiTheme="minorHAnsi"/>
                <w:b/>
                <w:bCs/>
                <w:sz w:val="16"/>
                <w:szCs w:val="16"/>
              </w:rPr>
              <w:t>Industrial processes</w:t>
            </w:r>
          </w:p>
        </w:tc>
        <w:tc>
          <w:tcPr>
            <w:tcW w:w="991" w:type="dxa"/>
            <w:tcBorders>
              <w:top w:val="nil"/>
              <w:left w:val="nil"/>
              <w:bottom w:val="single" w:sz="4" w:space="0" w:color="auto"/>
              <w:right w:val="single" w:sz="4" w:space="0" w:color="auto"/>
            </w:tcBorders>
            <w:shd w:val="clear" w:color="000000" w:fill="CCFFFF"/>
            <w:noWrap/>
            <w:vAlign w:val="bottom"/>
            <w:hideMark/>
          </w:tcPr>
          <w:p w14:paraId="14D5C429" w14:textId="77777777" w:rsidR="00B56301" w:rsidRPr="00D85A26" w:rsidRDefault="00B56301" w:rsidP="00B37B65">
            <w:pPr>
              <w:jc w:val="right"/>
              <w:rPr>
                <w:rFonts w:asciiTheme="minorHAnsi" w:hAnsiTheme="minorHAnsi"/>
                <w:sz w:val="16"/>
                <w:szCs w:val="16"/>
              </w:rPr>
            </w:pPr>
            <w:r w:rsidRPr="00D85A26">
              <w:rPr>
                <w:sz w:val="16"/>
                <w:szCs w:val="18"/>
              </w:rPr>
              <w:t>3,36</w:t>
            </w:r>
          </w:p>
        </w:tc>
        <w:tc>
          <w:tcPr>
            <w:tcW w:w="991" w:type="dxa"/>
            <w:tcBorders>
              <w:top w:val="nil"/>
              <w:left w:val="nil"/>
              <w:bottom w:val="single" w:sz="4" w:space="0" w:color="auto"/>
              <w:right w:val="single" w:sz="4" w:space="0" w:color="auto"/>
            </w:tcBorders>
            <w:shd w:val="clear" w:color="000000" w:fill="CCFFFF"/>
            <w:noWrap/>
            <w:vAlign w:val="bottom"/>
            <w:hideMark/>
          </w:tcPr>
          <w:p w14:paraId="67D30E3E" w14:textId="77777777" w:rsidR="00B56301" w:rsidRPr="00D85A26" w:rsidRDefault="00B56301" w:rsidP="00B37B65">
            <w:pPr>
              <w:jc w:val="right"/>
              <w:rPr>
                <w:rFonts w:asciiTheme="minorHAnsi" w:hAnsiTheme="minorHAnsi"/>
                <w:sz w:val="16"/>
                <w:szCs w:val="16"/>
              </w:rPr>
            </w:pPr>
            <w:r w:rsidRPr="00D85A26">
              <w:rPr>
                <w:sz w:val="16"/>
                <w:szCs w:val="18"/>
              </w:rPr>
              <w:t>3,97</w:t>
            </w:r>
          </w:p>
        </w:tc>
        <w:tc>
          <w:tcPr>
            <w:tcW w:w="991" w:type="dxa"/>
            <w:tcBorders>
              <w:top w:val="nil"/>
              <w:left w:val="nil"/>
              <w:bottom w:val="single" w:sz="4" w:space="0" w:color="auto"/>
              <w:right w:val="single" w:sz="4" w:space="0" w:color="auto"/>
            </w:tcBorders>
            <w:shd w:val="clear" w:color="000000" w:fill="CCFFFF"/>
            <w:noWrap/>
            <w:vAlign w:val="bottom"/>
            <w:hideMark/>
          </w:tcPr>
          <w:p w14:paraId="26D646F4" w14:textId="77777777" w:rsidR="00B56301" w:rsidRPr="00D85A26" w:rsidRDefault="00B56301" w:rsidP="00B37B65">
            <w:pPr>
              <w:jc w:val="right"/>
              <w:rPr>
                <w:rFonts w:asciiTheme="minorHAnsi" w:hAnsiTheme="minorHAnsi"/>
                <w:sz w:val="16"/>
                <w:szCs w:val="16"/>
              </w:rPr>
            </w:pPr>
            <w:r w:rsidRPr="00D85A26">
              <w:rPr>
                <w:sz w:val="16"/>
                <w:szCs w:val="18"/>
              </w:rPr>
              <w:t>4,33</w:t>
            </w:r>
          </w:p>
        </w:tc>
        <w:tc>
          <w:tcPr>
            <w:tcW w:w="991" w:type="dxa"/>
            <w:tcBorders>
              <w:top w:val="nil"/>
              <w:left w:val="nil"/>
              <w:bottom w:val="single" w:sz="4" w:space="0" w:color="auto"/>
              <w:right w:val="single" w:sz="4" w:space="0" w:color="auto"/>
            </w:tcBorders>
            <w:shd w:val="clear" w:color="000000" w:fill="CCFFFF"/>
            <w:noWrap/>
            <w:vAlign w:val="bottom"/>
            <w:hideMark/>
          </w:tcPr>
          <w:p w14:paraId="056CBDBC" w14:textId="77777777" w:rsidR="00B56301" w:rsidRPr="00D85A26" w:rsidRDefault="00B56301" w:rsidP="00B37B65">
            <w:pPr>
              <w:jc w:val="right"/>
              <w:rPr>
                <w:rFonts w:asciiTheme="minorHAnsi" w:hAnsiTheme="minorHAnsi"/>
                <w:sz w:val="16"/>
                <w:szCs w:val="16"/>
              </w:rPr>
            </w:pPr>
            <w:r w:rsidRPr="00D85A26">
              <w:rPr>
                <w:sz w:val="16"/>
                <w:szCs w:val="18"/>
              </w:rPr>
              <w:t>3,45</w:t>
            </w:r>
          </w:p>
        </w:tc>
        <w:tc>
          <w:tcPr>
            <w:tcW w:w="991" w:type="dxa"/>
            <w:tcBorders>
              <w:top w:val="nil"/>
              <w:left w:val="nil"/>
              <w:bottom w:val="single" w:sz="4" w:space="0" w:color="auto"/>
              <w:right w:val="single" w:sz="4" w:space="0" w:color="auto"/>
            </w:tcBorders>
            <w:shd w:val="clear" w:color="000000" w:fill="CCFFFF"/>
            <w:noWrap/>
            <w:vAlign w:val="bottom"/>
            <w:hideMark/>
          </w:tcPr>
          <w:p w14:paraId="37B78687" w14:textId="77777777" w:rsidR="00B56301" w:rsidRPr="00D85A26" w:rsidRDefault="00B56301" w:rsidP="00B37B65">
            <w:pPr>
              <w:jc w:val="right"/>
              <w:rPr>
                <w:rFonts w:asciiTheme="minorHAnsi" w:hAnsiTheme="minorHAnsi"/>
                <w:sz w:val="16"/>
                <w:szCs w:val="16"/>
              </w:rPr>
            </w:pPr>
            <w:r w:rsidRPr="00D85A26">
              <w:rPr>
                <w:sz w:val="16"/>
                <w:szCs w:val="18"/>
              </w:rPr>
              <w:t>5,57</w:t>
            </w:r>
          </w:p>
        </w:tc>
        <w:tc>
          <w:tcPr>
            <w:tcW w:w="991" w:type="dxa"/>
            <w:tcBorders>
              <w:top w:val="nil"/>
              <w:left w:val="nil"/>
              <w:bottom w:val="single" w:sz="4" w:space="0" w:color="auto"/>
              <w:right w:val="single" w:sz="4" w:space="0" w:color="auto"/>
            </w:tcBorders>
            <w:shd w:val="clear" w:color="000000" w:fill="CCFFFF"/>
            <w:noWrap/>
            <w:vAlign w:val="bottom"/>
            <w:hideMark/>
          </w:tcPr>
          <w:p w14:paraId="16B0A97C" w14:textId="77777777" w:rsidR="00B56301" w:rsidRPr="00D85A26" w:rsidRDefault="00B56301" w:rsidP="00B37B65">
            <w:pPr>
              <w:jc w:val="right"/>
              <w:rPr>
                <w:rFonts w:asciiTheme="minorHAnsi" w:hAnsiTheme="minorHAnsi"/>
                <w:sz w:val="16"/>
                <w:szCs w:val="16"/>
              </w:rPr>
            </w:pPr>
            <w:r w:rsidRPr="00D85A26">
              <w:rPr>
                <w:sz w:val="16"/>
                <w:szCs w:val="18"/>
              </w:rPr>
              <w:t>3,66</w:t>
            </w:r>
          </w:p>
        </w:tc>
      </w:tr>
      <w:tr w:rsidR="00B56301" w:rsidRPr="00D85A26" w14:paraId="5DB02AC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FDE3162" w14:textId="3F0F2E2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Mineral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3A19654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B4F253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6529ED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AA3A5D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1E3B3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D28E76"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61DCB11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A65B99B" w14:textId="446B80F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Chemical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B8E5AAE" w14:textId="77777777" w:rsidR="00B56301" w:rsidRPr="00D85A26" w:rsidRDefault="00B56301" w:rsidP="00B37B65">
            <w:pPr>
              <w:jc w:val="right"/>
              <w:rPr>
                <w:rFonts w:asciiTheme="minorHAnsi" w:hAnsiTheme="minorHAnsi"/>
                <w:sz w:val="16"/>
                <w:szCs w:val="16"/>
              </w:rPr>
            </w:pPr>
            <w:r w:rsidRPr="00D85A26">
              <w:rPr>
                <w:sz w:val="16"/>
                <w:szCs w:val="18"/>
              </w:rPr>
              <w:t>2,91</w:t>
            </w:r>
          </w:p>
        </w:tc>
        <w:tc>
          <w:tcPr>
            <w:tcW w:w="991" w:type="dxa"/>
            <w:tcBorders>
              <w:top w:val="nil"/>
              <w:left w:val="nil"/>
              <w:bottom w:val="single" w:sz="4" w:space="0" w:color="auto"/>
              <w:right w:val="single" w:sz="4" w:space="0" w:color="auto"/>
            </w:tcBorders>
            <w:shd w:val="clear" w:color="000000" w:fill="FFFFFF"/>
            <w:noWrap/>
            <w:vAlign w:val="bottom"/>
            <w:hideMark/>
          </w:tcPr>
          <w:p w14:paraId="5F39AA36" w14:textId="77777777" w:rsidR="00B56301" w:rsidRPr="00D85A26" w:rsidRDefault="00B56301" w:rsidP="00B37B65">
            <w:pPr>
              <w:jc w:val="right"/>
              <w:rPr>
                <w:rFonts w:asciiTheme="minorHAnsi" w:hAnsiTheme="minorHAnsi"/>
                <w:sz w:val="16"/>
                <w:szCs w:val="16"/>
              </w:rPr>
            </w:pPr>
            <w:r w:rsidRPr="00D85A26">
              <w:rPr>
                <w:sz w:val="16"/>
                <w:szCs w:val="18"/>
              </w:rPr>
              <w:t>3,52</w:t>
            </w:r>
          </w:p>
        </w:tc>
        <w:tc>
          <w:tcPr>
            <w:tcW w:w="991" w:type="dxa"/>
            <w:tcBorders>
              <w:top w:val="nil"/>
              <w:left w:val="nil"/>
              <w:bottom w:val="single" w:sz="4" w:space="0" w:color="auto"/>
              <w:right w:val="single" w:sz="4" w:space="0" w:color="auto"/>
            </w:tcBorders>
            <w:shd w:val="clear" w:color="000000" w:fill="FFFFFF"/>
            <w:noWrap/>
            <w:vAlign w:val="bottom"/>
            <w:hideMark/>
          </w:tcPr>
          <w:p w14:paraId="4243D420" w14:textId="77777777" w:rsidR="00B56301" w:rsidRPr="00D85A26" w:rsidRDefault="00B56301" w:rsidP="00B37B65">
            <w:pPr>
              <w:jc w:val="right"/>
              <w:rPr>
                <w:rFonts w:asciiTheme="minorHAnsi" w:hAnsiTheme="minorHAnsi"/>
                <w:sz w:val="16"/>
                <w:szCs w:val="16"/>
              </w:rPr>
            </w:pPr>
            <w:r w:rsidRPr="00D85A26">
              <w:rPr>
                <w:sz w:val="16"/>
                <w:szCs w:val="18"/>
              </w:rPr>
              <w:t>3,88</w:t>
            </w:r>
          </w:p>
        </w:tc>
        <w:tc>
          <w:tcPr>
            <w:tcW w:w="991" w:type="dxa"/>
            <w:tcBorders>
              <w:top w:val="nil"/>
              <w:left w:val="nil"/>
              <w:bottom w:val="single" w:sz="4" w:space="0" w:color="auto"/>
              <w:right w:val="single" w:sz="4" w:space="0" w:color="auto"/>
            </w:tcBorders>
            <w:shd w:val="clear" w:color="000000" w:fill="FFFFFF"/>
            <w:noWrap/>
            <w:vAlign w:val="bottom"/>
            <w:hideMark/>
          </w:tcPr>
          <w:p w14:paraId="3F2DA8CA" w14:textId="77777777" w:rsidR="00B56301" w:rsidRPr="00D85A26" w:rsidRDefault="00B56301" w:rsidP="00B37B65">
            <w:pPr>
              <w:jc w:val="right"/>
              <w:rPr>
                <w:rFonts w:asciiTheme="minorHAnsi" w:hAnsiTheme="minorHAnsi"/>
                <w:sz w:val="16"/>
                <w:szCs w:val="16"/>
              </w:rPr>
            </w:pPr>
            <w:r w:rsidRPr="00D85A26">
              <w:rPr>
                <w:sz w:val="16"/>
                <w:szCs w:val="18"/>
              </w:rPr>
              <w:t>2,99</w:t>
            </w:r>
          </w:p>
        </w:tc>
        <w:tc>
          <w:tcPr>
            <w:tcW w:w="991" w:type="dxa"/>
            <w:tcBorders>
              <w:top w:val="nil"/>
              <w:left w:val="nil"/>
              <w:bottom w:val="single" w:sz="4" w:space="0" w:color="auto"/>
              <w:right w:val="single" w:sz="4" w:space="0" w:color="auto"/>
            </w:tcBorders>
            <w:shd w:val="clear" w:color="000000" w:fill="FFFFFF"/>
            <w:noWrap/>
            <w:vAlign w:val="bottom"/>
            <w:hideMark/>
          </w:tcPr>
          <w:p w14:paraId="55B12D11" w14:textId="77777777" w:rsidR="00B56301" w:rsidRPr="00D85A26" w:rsidRDefault="00B56301" w:rsidP="00B37B65">
            <w:pPr>
              <w:jc w:val="right"/>
              <w:rPr>
                <w:rFonts w:asciiTheme="minorHAnsi" w:hAnsiTheme="minorHAnsi"/>
                <w:sz w:val="16"/>
                <w:szCs w:val="16"/>
              </w:rPr>
            </w:pPr>
            <w:r w:rsidRPr="00D85A26">
              <w:rPr>
                <w:sz w:val="16"/>
                <w:szCs w:val="18"/>
              </w:rPr>
              <w:t>5,11</w:t>
            </w:r>
          </w:p>
        </w:tc>
        <w:tc>
          <w:tcPr>
            <w:tcW w:w="991" w:type="dxa"/>
            <w:tcBorders>
              <w:top w:val="nil"/>
              <w:left w:val="nil"/>
              <w:bottom w:val="single" w:sz="4" w:space="0" w:color="auto"/>
              <w:right w:val="single" w:sz="4" w:space="0" w:color="auto"/>
            </w:tcBorders>
            <w:shd w:val="clear" w:color="000000" w:fill="FFFFFF"/>
            <w:noWrap/>
            <w:vAlign w:val="bottom"/>
            <w:hideMark/>
          </w:tcPr>
          <w:p w14:paraId="091ABD4C" w14:textId="77777777" w:rsidR="00B56301" w:rsidRPr="00D85A26" w:rsidRDefault="00B56301" w:rsidP="00B37B65">
            <w:pPr>
              <w:jc w:val="right"/>
              <w:rPr>
                <w:rFonts w:asciiTheme="minorHAnsi" w:hAnsiTheme="minorHAnsi"/>
                <w:sz w:val="16"/>
                <w:szCs w:val="16"/>
              </w:rPr>
            </w:pPr>
            <w:r w:rsidRPr="00D85A26">
              <w:rPr>
                <w:sz w:val="16"/>
                <w:szCs w:val="18"/>
              </w:rPr>
              <w:t>3,20</w:t>
            </w:r>
          </w:p>
        </w:tc>
      </w:tr>
      <w:tr w:rsidR="00B56301" w:rsidRPr="00D85A26" w14:paraId="2850EAE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A82F787" w14:textId="6B40416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Metal industry</w:t>
            </w:r>
          </w:p>
        </w:tc>
        <w:tc>
          <w:tcPr>
            <w:tcW w:w="991" w:type="dxa"/>
            <w:tcBorders>
              <w:top w:val="nil"/>
              <w:left w:val="nil"/>
              <w:bottom w:val="single" w:sz="4" w:space="0" w:color="auto"/>
              <w:right w:val="single" w:sz="4" w:space="0" w:color="auto"/>
            </w:tcBorders>
            <w:shd w:val="clear" w:color="000000" w:fill="FFFFFF"/>
            <w:noWrap/>
            <w:vAlign w:val="bottom"/>
            <w:hideMark/>
          </w:tcPr>
          <w:p w14:paraId="3D5EE20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C11837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EDB8DC"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28D9AC2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1AE6B60"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B5A0A7B"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5522F74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435047B4" w14:textId="1B1AD26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Non-energy products from fuels and solvent use</w:t>
            </w:r>
          </w:p>
        </w:tc>
        <w:tc>
          <w:tcPr>
            <w:tcW w:w="991" w:type="dxa"/>
            <w:tcBorders>
              <w:top w:val="nil"/>
              <w:left w:val="nil"/>
              <w:bottom w:val="single" w:sz="4" w:space="0" w:color="auto"/>
              <w:right w:val="single" w:sz="4" w:space="0" w:color="auto"/>
            </w:tcBorders>
            <w:shd w:val="clear" w:color="000000" w:fill="FFFFFF"/>
            <w:noWrap/>
            <w:vAlign w:val="bottom"/>
            <w:hideMark/>
          </w:tcPr>
          <w:p w14:paraId="79DBAF89"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BEA113A"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5DA3E504"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7395A989"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F95D9DD"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1" w:type="dxa"/>
            <w:tcBorders>
              <w:top w:val="nil"/>
              <w:left w:val="nil"/>
              <w:bottom w:val="single" w:sz="4" w:space="0" w:color="auto"/>
              <w:right w:val="single" w:sz="4" w:space="0" w:color="auto"/>
            </w:tcBorders>
            <w:shd w:val="clear" w:color="000000" w:fill="FFFFFF"/>
            <w:noWrap/>
            <w:vAlign w:val="bottom"/>
            <w:hideMark/>
          </w:tcPr>
          <w:p w14:paraId="42D3DF1B" w14:textId="77777777" w:rsidR="00B56301" w:rsidRPr="00D85A26" w:rsidRDefault="00B56301" w:rsidP="00B37B65">
            <w:pPr>
              <w:jc w:val="right"/>
              <w:rPr>
                <w:rFonts w:asciiTheme="minorHAnsi" w:hAnsiTheme="minorHAnsi"/>
                <w:sz w:val="16"/>
                <w:szCs w:val="16"/>
              </w:rPr>
            </w:pPr>
            <w:r w:rsidRPr="00D85A26">
              <w:rPr>
                <w:sz w:val="16"/>
                <w:szCs w:val="18"/>
              </w:rPr>
              <w:t>0,01</w:t>
            </w:r>
          </w:p>
        </w:tc>
      </w:tr>
      <w:tr w:rsidR="00B56301" w:rsidRPr="00D85A26" w14:paraId="77C42F6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97480C2" w14:textId="6F07AC1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Electronic industry</w:t>
            </w:r>
          </w:p>
        </w:tc>
        <w:tc>
          <w:tcPr>
            <w:tcW w:w="991" w:type="dxa"/>
            <w:tcBorders>
              <w:top w:val="nil"/>
              <w:left w:val="nil"/>
              <w:bottom w:val="single" w:sz="4" w:space="0" w:color="auto"/>
              <w:right w:val="single" w:sz="4" w:space="0" w:color="auto"/>
            </w:tcBorders>
            <w:shd w:val="clear" w:color="000000" w:fill="969696"/>
            <w:noWrap/>
            <w:vAlign w:val="bottom"/>
            <w:hideMark/>
          </w:tcPr>
          <w:p w14:paraId="457C6DE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1908E6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B3152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E40357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4EFE9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1893508"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7A9D059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C5B3E70" w14:textId="1461B7F0"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Product uses as ODS substitutes</w:t>
            </w:r>
          </w:p>
        </w:tc>
        <w:tc>
          <w:tcPr>
            <w:tcW w:w="991" w:type="dxa"/>
            <w:tcBorders>
              <w:top w:val="nil"/>
              <w:left w:val="nil"/>
              <w:bottom w:val="single" w:sz="4" w:space="0" w:color="auto"/>
              <w:right w:val="single" w:sz="4" w:space="0" w:color="auto"/>
            </w:tcBorders>
            <w:shd w:val="clear" w:color="000000" w:fill="969696"/>
            <w:noWrap/>
            <w:vAlign w:val="bottom"/>
            <w:hideMark/>
          </w:tcPr>
          <w:p w14:paraId="13771533"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A74F61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411521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86A9E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431A8B6"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23020"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0C8AC2C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4EBE351" w14:textId="03DA340E"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G.</w:t>
            </w:r>
            <w:r w:rsidR="00260E0B">
              <w:rPr>
                <w:rFonts w:asciiTheme="minorHAnsi" w:hAnsiTheme="minorHAnsi"/>
                <w:sz w:val="16"/>
                <w:szCs w:val="16"/>
                <w:lang w:val="en-GB"/>
              </w:rPr>
              <w:t xml:space="preserve"> </w:t>
            </w:r>
            <w:r w:rsidRPr="00D85A26">
              <w:rPr>
                <w:rFonts w:asciiTheme="minorHAnsi" w:hAnsiTheme="minorHAnsi"/>
                <w:sz w:val="16"/>
                <w:szCs w:val="16"/>
                <w:lang w:val="en-GB"/>
              </w:rPr>
              <w:t xml:space="preserve">Other product manufacture and use </w:t>
            </w:r>
          </w:p>
        </w:tc>
        <w:tc>
          <w:tcPr>
            <w:tcW w:w="991" w:type="dxa"/>
            <w:tcBorders>
              <w:top w:val="nil"/>
              <w:left w:val="nil"/>
              <w:bottom w:val="single" w:sz="4" w:space="0" w:color="auto"/>
              <w:right w:val="single" w:sz="4" w:space="0" w:color="auto"/>
            </w:tcBorders>
            <w:shd w:val="clear" w:color="000000" w:fill="FFFFFF"/>
            <w:noWrap/>
            <w:vAlign w:val="bottom"/>
            <w:hideMark/>
          </w:tcPr>
          <w:p w14:paraId="187C91A4"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7DEBF3C0"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5FF30F46"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0A9DDA75" w14:textId="77777777" w:rsidR="00B56301" w:rsidRPr="00D85A26" w:rsidRDefault="00B56301" w:rsidP="00B37B65">
            <w:pPr>
              <w:jc w:val="right"/>
              <w:rPr>
                <w:rFonts w:asciiTheme="minorHAnsi" w:hAnsiTheme="minorHAnsi"/>
                <w:sz w:val="16"/>
                <w:szCs w:val="16"/>
              </w:rPr>
            </w:pPr>
            <w:r w:rsidRPr="00D85A26">
              <w:rPr>
                <w:sz w:val="16"/>
                <w:szCs w:val="18"/>
              </w:rPr>
              <w:t>0,44</w:t>
            </w:r>
          </w:p>
        </w:tc>
        <w:tc>
          <w:tcPr>
            <w:tcW w:w="991" w:type="dxa"/>
            <w:tcBorders>
              <w:top w:val="nil"/>
              <w:left w:val="nil"/>
              <w:bottom w:val="single" w:sz="4" w:space="0" w:color="auto"/>
              <w:right w:val="single" w:sz="4" w:space="0" w:color="auto"/>
            </w:tcBorders>
            <w:shd w:val="clear" w:color="000000" w:fill="FFFFFF"/>
            <w:noWrap/>
            <w:vAlign w:val="bottom"/>
            <w:hideMark/>
          </w:tcPr>
          <w:p w14:paraId="64D26ECD" w14:textId="77777777" w:rsidR="00B56301" w:rsidRPr="00D85A26" w:rsidRDefault="00B56301" w:rsidP="00B37B65">
            <w:pPr>
              <w:jc w:val="right"/>
              <w:rPr>
                <w:rFonts w:asciiTheme="minorHAnsi" w:hAnsiTheme="minorHAnsi"/>
                <w:sz w:val="16"/>
                <w:szCs w:val="16"/>
              </w:rPr>
            </w:pPr>
            <w:r w:rsidRPr="00D85A26">
              <w:rPr>
                <w:sz w:val="16"/>
                <w:szCs w:val="18"/>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77F1A66E" w14:textId="77777777" w:rsidR="00B56301" w:rsidRPr="00D85A26" w:rsidRDefault="00B56301" w:rsidP="00B37B65">
            <w:pPr>
              <w:jc w:val="right"/>
              <w:rPr>
                <w:rFonts w:asciiTheme="minorHAnsi" w:hAnsiTheme="minorHAnsi"/>
                <w:sz w:val="16"/>
                <w:szCs w:val="16"/>
              </w:rPr>
            </w:pPr>
            <w:r w:rsidRPr="00D85A26">
              <w:rPr>
                <w:sz w:val="16"/>
                <w:szCs w:val="18"/>
              </w:rPr>
              <w:t>0,45</w:t>
            </w:r>
          </w:p>
        </w:tc>
      </w:tr>
      <w:tr w:rsidR="00B56301" w:rsidRPr="00D85A26" w14:paraId="4CDDC49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25DEBBC" w14:textId="650BA39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282956AD"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54EEFA58"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6F06F774"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9501626"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106E9722"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1" w:type="dxa"/>
            <w:tcBorders>
              <w:top w:val="nil"/>
              <w:left w:val="nil"/>
              <w:bottom w:val="single" w:sz="4" w:space="0" w:color="auto"/>
              <w:right w:val="single" w:sz="4" w:space="0" w:color="auto"/>
            </w:tcBorders>
            <w:shd w:val="clear" w:color="000000" w:fill="FFFFFF"/>
            <w:noWrap/>
            <w:vAlign w:val="bottom"/>
            <w:hideMark/>
          </w:tcPr>
          <w:p w14:paraId="7DA8B968" w14:textId="77777777" w:rsidR="00B56301" w:rsidRPr="00D85A26" w:rsidRDefault="00B56301" w:rsidP="00B37B65">
            <w:pPr>
              <w:jc w:val="right"/>
              <w:rPr>
                <w:rFonts w:asciiTheme="minorHAnsi" w:hAnsiTheme="minorHAnsi"/>
                <w:sz w:val="16"/>
                <w:szCs w:val="16"/>
              </w:rPr>
            </w:pPr>
            <w:r w:rsidRPr="00D85A26">
              <w:rPr>
                <w:sz w:val="16"/>
                <w:szCs w:val="18"/>
              </w:rPr>
              <w:t>NO,NA</w:t>
            </w:r>
          </w:p>
        </w:tc>
      </w:tr>
      <w:tr w:rsidR="00B56301" w:rsidRPr="00D85A26" w14:paraId="035AAA0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72CCA25C" w14:textId="0A900C5C"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3.</w:t>
            </w:r>
            <w:r w:rsidR="00260E0B">
              <w:rPr>
                <w:rFonts w:asciiTheme="minorHAnsi" w:hAnsiTheme="minorHAnsi"/>
                <w:b/>
                <w:bCs/>
                <w:sz w:val="16"/>
                <w:szCs w:val="16"/>
              </w:rPr>
              <w:t xml:space="preserve"> </w:t>
            </w:r>
            <w:r w:rsidRPr="00D85A26">
              <w:rPr>
                <w:rFonts w:asciiTheme="minorHAnsi" w:hAnsiTheme="minorHAnsi"/>
                <w:b/>
                <w:bCs/>
                <w:sz w:val="16"/>
                <w:szCs w:val="16"/>
              </w:rPr>
              <w:t>Agriculture</w:t>
            </w:r>
          </w:p>
        </w:tc>
        <w:tc>
          <w:tcPr>
            <w:tcW w:w="991" w:type="dxa"/>
            <w:tcBorders>
              <w:top w:val="nil"/>
              <w:left w:val="nil"/>
              <w:bottom w:val="single" w:sz="4" w:space="0" w:color="auto"/>
              <w:right w:val="single" w:sz="4" w:space="0" w:color="auto"/>
            </w:tcBorders>
            <w:shd w:val="clear" w:color="000000" w:fill="CCFFFF"/>
            <w:noWrap/>
            <w:vAlign w:val="bottom"/>
            <w:hideMark/>
          </w:tcPr>
          <w:p w14:paraId="2F7D8FC5" w14:textId="77777777" w:rsidR="00B56301" w:rsidRPr="00D85A26" w:rsidRDefault="00B56301" w:rsidP="00B37B65">
            <w:pPr>
              <w:jc w:val="right"/>
              <w:rPr>
                <w:rFonts w:asciiTheme="minorHAnsi" w:hAnsiTheme="minorHAnsi"/>
                <w:sz w:val="16"/>
                <w:szCs w:val="16"/>
              </w:rPr>
            </w:pPr>
            <w:r w:rsidRPr="00D85A26">
              <w:rPr>
                <w:sz w:val="16"/>
                <w:szCs w:val="18"/>
              </w:rPr>
              <w:t>112,41</w:t>
            </w:r>
          </w:p>
        </w:tc>
        <w:tc>
          <w:tcPr>
            <w:tcW w:w="991" w:type="dxa"/>
            <w:tcBorders>
              <w:top w:val="nil"/>
              <w:left w:val="nil"/>
              <w:bottom w:val="single" w:sz="4" w:space="0" w:color="auto"/>
              <w:right w:val="single" w:sz="4" w:space="0" w:color="auto"/>
            </w:tcBorders>
            <w:shd w:val="clear" w:color="000000" w:fill="CCFFFF"/>
            <w:noWrap/>
            <w:vAlign w:val="bottom"/>
            <w:hideMark/>
          </w:tcPr>
          <w:p w14:paraId="7F014537" w14:textId="77777777" w:rsidR="00B56301" w:rsidRPr="00D85A26" w:rsidRDefault="00B56301" w:rsidP="00B37B65">
            <w:pPr>
              <w:jc w:val="right"/>
              <w:rPr>
                <w:rFonts w:asciiTheme="minorHAnsi" w:hAnsiTheme="minorHAnsi"/>
                <w:sz w:val="16"/>
                <w:szCs w:val="16"/>
              </w:rPr>
            </w:pPr>
            <w:r w:rsidRPr="00D85A26">
              <w:rPr>
                <w:sz w:val="16"/>
                <w:szCs w:val="18"/>
              </w:rPr>
              <w:t>116,13</w:t>
            </w:r>
          </w:p>
        </w:tc>
        <w:tc>
          <w:tcPr>
            <w:tcW w:w="991" w:type="dxa"/>
            <w:tcBorders>
              <w:top w:val="nil"/>
              <w:left w:val="nil"/>
              <w:bottom w:val="single" w:sz="4" w:space="0" w:color="auto"/>
              <w:right w:val="single" w:sz="4" w:space="0" w:color="auto"/>
            </w:tcBorders>
            <w:shd w:val="clear" w:color="000000" w:fill="CCFFFF"/>
            <w:noWrap/>
            <w:vAlign w:val="bottom"/>
            <w:hideMark/>
          </w:tcPr>
          <w:p w14:paraId="6EC94836" w14:textId="77777777" w:rsidR="00B56301" w:rsidRPr="00D85A26" w:rsidRDefault="00B56301" w:rsidP="00B37B65">
            <w:pPr>
              <w:jc w:val="right"/>
              <w:rPr>
                <w:rFonts w:asciiTheme="minorHAnsi" w:hAnsiTheme="minorHAnsi"/>
                <w:sz w:val="16"/>
                <w:szCs w:val="16"/>
              </w:rPr>
            </w:pPr>
            <w:r w:rsidRPr="00D85A26">
              <w:rPr>
                <w:sz w:val="16"/>
                <w:szCs w:val="18"/>
              </w:rPr>
              <w:t>114,98</w:t>
            </w:r>
          </w:p>
        </w:tc>
        <w:tc>
          <w:tcPr>
            <w:tcW w:w="991" w:type="dxa"/>
            <w:tcBorders>
              <w:top w:val="nil"/>
              <w:left w:val="nil"/>
              <w:bottom w:val="single" w:sz="4" w:space="0" w:color="auto"/>
              <w:right w:val="single" w:sz="4" w:space="0" w:color="auto"/>
            </w:tcBorders>
            <w:shd w:val="clear" w:color="000000" w:fill="CCFFFF"/>
            <w:noWrap/>
            <w:vAlign w:val="bottom"/>
            <w:hideMark/>
          </w:tcPr>
          <w:p w14:paraId="3AE43BED" w14:textId="77777777" w:rsidR="00B56301" w:rsidRPr="00D85A26" w:rsidRDefault="00B56301" w:rsidP="00B37B65">
            <w:pPr>
              <w:jc w:val="right"/>
              <w:rPr>
                <w:rFonts w:asciiTheme="minorHAnsi" w:hAnsiTheme="minorHAnsi"/>
                <w:sz w:val="16"/>
                <w:szCs w:val="16"/>
              </w:rPr>
            </w:pPr>
            <w:r w:rsidRPr="00D85A26">
              <w:rPr>
                <w:sz w:val="16"/>
                <w:szCs w:val="18"/>
              </w:rPr>
              <w:t>112,23</w:t>
            </w:r>
          </w:p>
        </w:tc>
        <w:tc>
          <w:tcPr>
            <w:tcW w:w="991" w:type="dxa"/>
            <w:tcBorders>
              <w:top w:val="nil"/>
              <w:left w:val="nil"/>
              <w:bottom w:val="single" w:sz="4" w:space="0" w:color="auto"/>
              <w:right w:val="single" w:sz="4" w:space="0" w:color="auto"/>
            </w:tcBorders>
            <w:shd w:val="clear" w:color="000000" w:fill="CCFFFF"/>
            <w:noWrap/>
            <w:vAlign w:val="bottom"/>
            <w:hideMark/>
          </w:tcPr>
          <w:p w14:paraId="60DBB3C2" w14:textId="77777777" w:rsidR="00B56301" w:rsidRPr="00D85A26" w:rsidRDefault="00B56301" w:rsidP="00B37B65">
            <w:pPr>
              <w:jc w:val="right"/>
              <w:rPr>
                <w:rFonts w:asciiTheme="minorHAnsi" w:hAnsiTheme="minorHAnsi"/>
                <w:sz w:val="16"/>
                <w:szCs w:val="16"/>
              </w:rPr>
            </w:pPr>
            <w:r w:rsidRPr="00D85A26">
              <w:rPr>
                <w:sz w:val="16"/>
                <w:szCs w:val="18"/>
              </w:rPr>
              <w:t>114,77</w:t>
            </w:r>
          </w:p>
        </w:tc>
        <w:tc>
          <w:tcPr>
            <w:tcW w:w="991" w:type="dxa"/>
            <w:tcBorders>
              <w:top w:val="nil"/>
              <w:left w:val="nil"/>
              <w:bottom w:val="single" w:sz="4" w:space="0" w:color="auto"/>
              <w:right w:val="single" w:sz="4" w:space="0" w:color="auto"/>
            </w:tcBorders>
            <w:shd w:val="clear" w:color="000000" w:fill="CCFFFF"/>
            <w:noWrap/>
            <w:vAlign w:val="bottom"/>
            <w:hideMark/>
          </w:tcPr>
          <w:p w14:paraId="678C1050" w14:textId="77777777" w:rsidR="00B56301" w:rsidRPr="00D85A26" w:rsidRDefault="00B56301" w:rsidP="00B37B65">
            <w:pPr>
              <w:jc w:val="right"/>
              <w:rPr>
                <w:rFonts w:asciiTheme="minorHAnsi" w:hAnsiTheme="minorHAnsi"/>
                <w:sz w:val="16"/>
                <w:szCs w:val="16"/>
              </w:rPr>
            </w:pPr>
            <w:r w:rsidRPr="00D85A26">
              <w:rPr>
                <w:sz w:val="16"/>
                <w:szCs w:val="18"/>
              </w:rPr>
              <w:t>111,63</w:t>
            </w:r>
          </w:p>
        </w:tc>
      </w:tr>
      <w:tr w:rsidR="00B56301" w:rsidRPr="00D85A26" w14:paraId="056D573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83A7828" w14:textId="5336EEDA"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Enteric fermentation</w:t>
            </w:r>
          </w:p>
        </w:tc>
        <w:tc>
          <w:tcPr>
            <w:tcW w:w="991" w:type="dxa"/>
            <w:tcBorders>
              <w:top w:val="nil"/>
              <w:left w:val="nil"/>
              <w:bottom w:val="single" w:sz="4" w:space="0" w:color="auto"/>
              <w:right w:val="single" w:sz="4" w:space="0" w:color="auto"/>
            </w:tcBorders>
            <w:shd w:val="clear" w:color="000000" w:fill="969696"/>
            <w:noWrap/>
            <w:vAlign w:val="bottom"/>
            <w:hideMark/>
          </w:tcPr>
          <w:p w14:paraId="062082A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8411EA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540D7C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A316E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B38B4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F38620"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52FE3AE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EB7876F" w14:textId="7D75FB5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Manure management</w:t>
            </w:r>
          </w:p>
        </w:tc>
        <w:tc>
          <w:tcPr>
            <w:tcW w:w="991" w:type="dxa"/>
            <w:tcBorders>
              <w:top w:val="nil"/>
              <w:left w:val="nil"/>
              <w:bottom w:val="single" w:sz="4" w:space="0" w:color="auto"/>
              <w:right w:val="single" w:sz="4" w:space="0" w:color="auto"/>
            </w:tcBorders>
            <w:shd w:val="clear" w:color="000000" w:fill="FFFFFF"/>
            <w:noWrap/>
            <w:vAlign w:val="bottom"/>
            <w:hideMark/>
          </w:tcPr>
          <w:p w14:paraId="71D39ED6" w14:textId="77777777" w:rsidR="00B56301" w:rsidRPr="00D85A26" w:rsidRDefault="00B56301" w:rsidP="00B37B65">
            <w:pPr>
              <w:jc w:val="right"/>
              <w:rPr>
                <w:rFonts w:asciiTheme="minorHAnsi" w:hAnsiTheme="minorHAnsi"/>
                <w:sz w:val="16"/>
                <w:szCs w:val="16"/>
              </w:rPr>
            </w:pPr>
            <w:r w:rsidRPr="00D85A26">
              <w:rPr>
                <w:sz w:val="16"/>
                <w:szCs w:val="18"/>
              </w:rPr>
              <w:t>8,47</w:t>
            </w:r>
          </w:p>
        </w:tc>
        <w:tc>
          <w:tcPr>
            <w:tcW w:w="991" w:type="dxa"/>
            <w:tcBorders>
              <w:top w:val="nil"/>
              <w:left w:val="nil"/>
              <w:bottom w:val="single" w:sz="4" w:space="0" w:color="auto"/>
              <w:right w:val="single" w:sz="4" w:space="0" w:color="auto"/>
            </w:tcBorders>
            <w:shd w:val="clear" w:color="000000" w:fill="FFFFFF"/>
            <w:noWrap/>
            <w:vAlign w:val="bottom"/>
            <w:hideMark/>
          </w:tcPr>
          <w:p w14:paraId="5E817F10" w14:textId="77777777" w:rsidR="00B56301" w:rsidRPr="00D85A26" w:rsidRDefault="00B56301" w:rsidP="00B37B65">
            <w:pPr>
              <w:jc w:val="right"/>
              <w:rPr>
                <w:rFonts w:asciiTheme="minorHAnsi" w:hAnsiTheme="minorHAnsi"/>
                <w:sz w:val="16"/>
                <w:szCs w:val="16"/>
              </w:rPr>
            </w:pPr>
            <w:r w:rsidRPr="00D85A26">
              <w:rPr>
                <w:sz w:val="16"/>
                <w:szCs w:val="18"/>
              </w:rPr>
              <w:t>8,53</w:t>
            </w:r>
          </w:p>
        </w:tc>
        <w:tc>
          <w:tcPr>
            <w:tcW w:w="991" w:type="dxa"/>
            <w:tcBorders>
              <w:top w:val="nil"/>
              <w:left w:val="nil"/>
              <w:bottom w:val="single" w:sz="4" w:space="0" w:color="auto"/>
              <w:right w:val="single" w:sz="4" w:space="0" w:color="auto"/>
            </w:tcBorders>
            <w:shd w:val="clear" w:color="000000" w:fill="FFFFFF"/>
            <w:noWrap/>
            <w:vAlign w:val="bottom"/>
            <w:hideMark/>
          </w:tcPr>
          <w:p w14:paraId="28F46474" w14:textId="77777777" w:rsidR="00B56301" w:rsidRPr="00D85A26" w:rsidRDefault="00B56301" w:rsidP="00B37B65">
            <w:pPr>
              <w:jc w:val="right"/>
              <w:rPr>
                <w:rFonts w:asciiTheme="minorHAnsi" w:hAnsiTheme="minorHAnsi"/>
                <w:sz w:val="16"/>
                <w:szCs w:val="16"/>
              </w:rPr>
            </w:pPr>
            <w:r w:rsidRPr="00D85A26">
              <w:rPr>
                <w:sz w:val="16"/>
                <w:szCs w:val="18"/>
              </w:rPr>
              <w:t>8,54</w:t>
            </w:r>
          </w:p>
        </w:tc>
        <w:tc>
          <w:tcPr>
            <w:tcW w:w="991" w:type="dxa"/>
            <w:tcBorders>
              <w:top w:val="nil"/>
              <w:left w:val="nil"/>
              <w:bottom w:val="single" w:sz="4" w:space="0" w:color="auto"/>
              <w:right w:val="single" w:sz="4" w:space="0" w:color="auto"/>
            </w:tcBorders>
            <w:shd w:val="clear" w:color="000000" w:fill="FFFFFF"/>
            <w:noWrap/>
            <w:vAlign w:val="bottom"/>
            <w:hideMark/>
          </w:tcPr>
          <w:p w14:paraId="42BE6F3C" w14:textId="77777777" w:rsidR="00B56301" w:rsidRPr="00D85A26" w:rsidRDefault="00B56301" w:rsidP="00B37B65">
            <w:pPr>
              <w:jc w:val="right"/>
              <w:rPr>
                <w:rFonts w:asciiTheme="minorHAnsi" w:hAnsiTheme="minorHAnsi"/>
                <w:sz w:val="16"/>
                <w:szCs w:val="16"/>
              </w:rPr>
            </w:pPr>
            <w:r w:rsidRPr="00D85A26">
              <w:rPr>
                <w:sz w:val="16"/>
                <w:szCs w:val="18"/>
              </w:rPr>
              <w:t>8,45</w:t>
            </w:r>
          </w:p>
        </w:tc>
        <w:tc>
          <w:tcPr>
            <w:tcW w:w="991" w:type="dxa"/>
            <w:tcBorders>
              <w:top w:val="nil"/>
              <w:left w:val="nil"/>
              <w:bottom w:val="single" w:sz="4" w:space="0" w:color="auto"/>
              <w:right w:val="single" w:sz="4" w:space="0" w:color="auto"/>
            </w:tcBorders>
            <w:shd w:val="clear" w:color="000000" w:fill="FFFFFF"/>
            <w:noWrap/>
            <w:vAlign w:val="bottom"/>
            <w:hideMark/>
          </w:tcPr>
          <w:p w14:paraId="1EBE3A60" w14:textId="77777777" w:rsidR="00B56301" w:rsidRPr="00D85A26" w:rsidRDefault="00B56301" w:rsidP="00B37B65">
            <w:pPr>
              <w:jc w:val="right"/>
              <w:rPr>
                <w:rFonts w:asciiTheme="minorHAnsi" w:hAnsiTheme="minorHAnsi"/>
                <w:sz w:val="16"/>
                <w:szCs w:val="16"/>
              </w:rPr>
            </w:pPr>
            <w:r w:rsidRPr="00D85A26">
              <w:rPr>
                <w:sz w:val="16"/>
                <w:szCs w:val="18"/>
              </w:rPr>
              <w:t>8,29</w:t>
            </w:r>
          </w:p>
        </w:tc>
        <w:tc>
          <w:tcPr>
            <w:tcW w:w="991" w:type="dxa"/>
            <w:tcBorders>
              <w:top w:val="nil"/>
              <w:left w:val="nil"/>
              <w:bottom w:val="single" w:sz="4" w:space="0" w:color="auto"/>
              <w:right w:val="single" w:sz="4" w:space="0" w:color="auto"/>
            </w:tcBorders>
            <w:shd w:val="clear" w:color="000000" w:fill="FFFFFF"/>
            <w:noWrap/>
            <w:vAlign w:val="bottom"/>
            <w:hideMark/>
          </w:tcPr>
          <w:p w14:paraId="02D225BB" w14:textId="77777777" w:rsidR="00B56301" w:rsidRPr="00D85A26" w:rsidRDefault="00B56301" w:rsidP="00B37B65">
            <w:pPr>
              <w:jc w:val="right"/>
              <w:rPr>
                <w:rFonts w:asciiTheme="minorHAnsi" w:hAnsiTheme="minorHAnsi"/>
                <w:sz w:val="16"/>
                <w:szCs w:val="16"/>
              </w:rPr>
            </w:pPr>
            <w:r w:rsidRPr="00D85A26">
              <w:rPr>
                <w:sz w:val="16"/>
                <w:szCs w:val="18"/>
              </w:rPr>
              <w:t>8,20</w:t>
            </w:r>
          </w:p>
        </w:tc>
      </w:tr>
      <w:tr w:rsidR="00B56301" w:rsidRPr="00D85A26" w14:paraId="012B744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E26335D" w14:textId="3237D96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Rice cultivation</w:t>
            </w:r>
          </w:p>
        </w:tc>
        <w:tc>
          <w:tcPr>
            <w:tcW w:w="991" w:type="dxa"/>
            <w:tcBorders>
              <w:top w:val="nil"/>
              <w:left w:val="nil"/>
              <w:bottom w:val="single" w:sz="4" w:space="0" w:color="auto"/>
              <w:right w:val="single" w:sz="4" w:space="0" w:color="auto"/>
            </w:tcBorders>
            <w:shd w:val="clear" w:color="000000" w:fill="969696"/>
            <w:noWrap/>
            <w:vAlign w:val="bottom"/>
            <w:hideMark/>
          </w:tcPr>
          <w:p w14:paraId="1A8D754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D87C8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2F3F0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29201E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65EE4D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17DC640"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1B28060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B194293" w14:textId="239CF3A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Agricultural soils</w:t>
            </w:r>
          </w:p>
        </w:tc>
        <w:tc>
          <w:tcPr>
            <w:tcW w:w="991" w:type="dxa"/>
            <w:tcBorders>
              <w:top w:val="nil"/>
              <w:left w:val="nil"/>
              <w:bottom w:val="single" w:sz="4" w:space="0" w:color="auto"/>
              <w:right w:val="single" w:sz="4" w:space="0" w:color="auto"/>
            </w:tcBorders>
            <w:shd w:val="clear" w:color="000000" w:fill="FFFFFF"/>
            <w:noWrap/>
            <w:vAlign w:val="bottom"/>
            <w:hideMark/>
          </w:tcPr>
          <w:p w14:paraId="131BFFBC" w14:textId="77777777" w:rsidR="00B56301" w:rsidRPr="00D85A26" w:rsidRDefault="00B56301" w:rsidP="00B37B65">
            <w:pPr>
              <w:jc w:val="right"/>
              <w:rPr>
                <w:rFonts w:asciiTheme="minorHAnsi" w:hAnsiTheme="minorHAnsi"/>
                <w:sz w:val="16"/>
                <w:szCs w:val="16"/>
              </w:rPr>
            </w:pPr>
            <w:r w:rsidRPr="00D85A26">
              <w:rPr>
                <w:sz w:val="16"/>
                <w:szCs w:val="18"/>
              </w:rPr>
              <w:t>103,90</w:t>
            </w:r>
          </w:p>
        </w:tc>
        <w:tc>
          <w:tcPr>
            <w:tcW w:w="991" w:type="dxa"/>
            <w:tcBorders>
              <w:top w:val="nil"/>
              <w:left w:val="nil"/>
              <w:bottom w:val="single" w:sz="4" w:space="0" w:color="auto"/>
              <w:right w:val="single" w:sz="4" w:space="0" w:color="auto"/>
            </w:tcBorders>
            <w:shd w:val="clear" w:color="000000" w:fill="FFFFFF"/>
            <w:noWrap/>
            <w:vAlign w:val="bottom"/>
            <w:hideMark/>
          </w:tcPr>
          <w:p w14:paraId="342E97C1" w14:textId="77777777" w:rsidR="00B56301" w:rsidRPr="00D85A26" w:rsidRDefault="00B56301" w:rsidP="00B37B65">
            <w:pPr>
              <w:jc w:val="right"/>
              <w:rPr>
                <w:rFonts w:asciiTheme="minorHAnsi" w:hAnsiTheme="minorHAnsi"/>
                <w:sz w:val="16"/>
                <w:szCs w:val="16"/>
              </w:rPr>
            </w:pPr>
            <w:r w:rsidRPr="00D85A26">
              <w:rPr>
                <w:sz w:val="16"/>
                <w:szCs w:val="18"/>
              </w:rPr>
              <w:t>107,57</w:t>
            </w:r>
          </w:p>
        </w:tc>
        <w:tc>
          <w:tcPr>
            <w:tcW w:w="991" w:type="dxa"/>
            <w:tcBorders>
              <w:top w:val="nil"/>
              <w:left w:val="nil"/>
              <w:bottom w:val="single" w:sz="4" w:space="0" w:color="auto"/>
              <w:right w:val="single" w:sz="4" w:space="0" w:color="auto"/>
            </w:tcBorders>
            <w:shd w:val="clear" w:color="000000" w:fill="FFFFFF"/>
            <w:noWrap/>
            <w:vAlign w:val="bottom"/>
            <w:hideMark/>
          </w:tcPr>
          <w:p w14:paraId="7A809363" w14:textId="77777777" w:rsidR="00B56301" w:rsidRPr="00D85A26" w:rsidRDefault="00B56301" w:rsidP="00B37B65">
            <w:pPr>
              <w:jc w:val="right"/>
              <w:rPr>
                <w:rFonts w:asciiTheme="minorHAnsi" w:hAnsiTheme="minorHAnsi"/>
                <w:sz w:val="16"/>
                <w:szCs w:val="16"/>
              </w:rPr>
            </w:pPr>
            <w:r w:rsidRPr="00D85A26">
              <w:rPr>
                <w:sz w:val="16"/>
                <w:szCs w:val="18"/>
              </w:rPr>
              <w:t>106,41</w:t>
            </w:r>
          </w:p>
        </w:tc>
        <w:tc>
          <w:tcPr>
            <w:tcW w:w="991" w:type="dxa"/>
            <w:tcBorders>
              <w:top w:val="nil"/>
              <w:left w:val="nil"/>
              <w:bottom w:val="single" w:sz="4" w:space="0" w:color="auto"/>
              <w:right w:val="single" w:sz="4" w:space="0" w:color="auto"/>
            </w:tcBorders>
            <w:shd w:val="clear" w:color="000000" w:fill="FFFFFF"/>
            <w:noWrap/>
            <w:vAlign w:val="bottom"/>
            <w:hideMark/>
          </w:tcPr>
          <w:p w14:paraId="31A339B9" w14:textId="77777777" w:rsidR="00B56301" w:rsidRPr="00D85A26" w:rsidRDefault="00B56301" w:rsidP="00B37B65">
            <w:pPr>
              <w:jc w:val="right"/>
              <w:rPr>
                <w:rFonts w:asciiTheme="minorHAnsi" w:hAnsiTheme="minorHAnsi"/>
                <w:sz w:val="16"/>
                <w:szCs w:val="16"/>
              </w:rPr>
            </w:pPr>
            <w:r w:rsidRPr="00D85A26">
              <w:rPr>
                <w:sz w:val="16"/>
                <w:szCs w:val="18"/>
              </w:rPr>
              <w:t>103,75</w:t>
            </w:r>
          </w:p>
        </w:tc>
        <w:tc>
          <w:tcPr>
            <w:tcW w:w="991" w:type="dxa"/>
            <w:tcBorders>
              <w:top w:val="nil"/>
              <w:left w:val="nil"/>
              <w:bottom w:val="single" w:sz="4" w:space="0" w:color="auto"/>
              <w:right w:val="single" w:sz="4" w:space="0" w:color="auto"/>
            </w:tcBorders>
            <w:shd w:val="clear" w:color="000000" w:fill="FFFFFF"/>
            <w:noWrap/>
            <w:vAlign w:val="bottom"/>
            <w:hideMark/>
          </w:tcPr>
          <w:p w14:paraId="5DEA3251" w14:textId="77777777" w:rsidR="00B56301" w:rsidRPr="00D85A26" w:rsidRDefault="00B56301" w:rsidP="00B37B65">
            <w:pPr>
              <w:jc w:val="right"/>
              <w:rPr>
                <w:rFonts w:asciiTheme="minorHAnsi" w:hAnsiTheme="minorHAnsi"/>
                <w:sz w:val="16"/>
                <w:szCs w:val="16"/>
              </w:rPr>
            </w:pPr>
            <w:r w:rsidRPr="00D85A26">
              <w:rPr>
                <w:sz w:val="16"/>
                <w:szCs w:val="18"/>
              </w:rPr>
              <w:t>106,44</w:t>
            </w:r>
          </w:p>
        </w:tc>
        <w:tc>
          <w:tcPr>
            <w:tcW w:w="991" w:type="dxa"/>
            <w:tcBorders>
              <w:top w:val="nil"/>
              <w:left w:val="nil"/>
              <w:bottom w:val="single" w:sz="4" w:space="0" w:color="auto"/>
              <w:right w:val="single" w:sz="4" w:space="0" w:color="auto"/>
            </w:tcBorders>
            <w:shd w:val="clear" w:color="000000" w:fill="FFFFFF"/>
            <w:noWrap/>
            <w:vAlign w:val="bottom"/>
            <w:hideMark/>
          </w:tcPr>
          <w:p w14:paraId="7C992B88" w14:textId="77777777" w:rsidR="00B56301" w:rsidRPr="00D85A26" w:rsidRDefault="00B56301" w:rsidP="00B37B65">
            <w:pPr>
              <w:jc w:val="right"/>
              <w:rPr>
                <w:rFonts w:asciiTheme="minorHAnsi" w:hAnsiTheme="minorHAnsi"/>
                <w:sz w:val="16"/>
                <w:szCs w:val="16"/>
              </w:rPr>
            </w:pPr>
            <w:r w:rsidRPr="00D85A26">
              <w:rPr>
                <w:sz w:val="16"/>
                <w:szCs w:val="18"/>
              </w:rPr>
              <w:t>103,40</w:t>
            </w:r>
          </w:p>
        </w:tc>
      </w:tr>
      <w:tr w:rsidR="00B56301" w:rsidRPr="00D85A26" w14:paraId="022314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97B291B" w14:textId="573C2B54"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E.</w:t>
            </w:r>
            <w:r w:rsidR="00260E0B">
              <w:rPr>
                <w:rFonts w:asciiTheme="minorHAnsi" w:hAnsiTheme="minorHAnsi"/>
                <w:sz w:val="16"/>
                <w:szCs w:val="16"/>
                <w:lang w:val="en-GB"/>
              </w:rPr>
              <w:t xml:space="preserve"> </w:t>
            </w:r>
            <w:r w:rsidRPr="00D85A26">
              <w:rPr>
                <w:rFonts w:asciiTheme="minorHAnsi" w:hAnsiTheme="minorHAnsi"/>
                <w:sz w:val="16"/>
                <w:szCs w:val="16"/>
                <w:lang w:val="en-GB"/>
              </w:rPr>
              <w:t>Prescribed burning of savannas</w:t>
            </w:r>
          </w:p>
        </w:tc>
        <w:tc>
          <w:tcPr>
            <w:tcW w:w="991" w:type="dxa"/>
            <w:tcBorders>
              <w:top w:val="nil"/>
              <w:left w:val="nil"/>
              <w:bottom w:val="single" w:sz="4" w:space="0" w:color="auto"/>
              <w:right w:val="single" w:sz="4" w:space="0" w:color="auto"/>
            </w:tcBorders>
            <w:shd w:val="clear" w:color="000000" w:fill="FFFFFF"/>
            <w:noWrap/>
            <w:vAlign w:val="bottom"/>
            <w:hideMark/>
          </w:tcPr>
          <w:p w14:paraId="34E4DB5C"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AC01723"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64474D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B42BE0F"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A822582"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4DE5C0D2"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01ED8CF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6E5A8E1" w14:textId="3A57114E"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Field burning of agricultural residues</w:t>
            </w:r>
          </w:p>
        </w:tc>
        <w:tc>
          <w:tcPr>
            <w:tcW w:w="991" w:type="dxa"/>
            <w:tcBorders>
              <w:top w:val="nil"/>
              <w:left w:val="nil"/>
              <w:bottom w:val="single" w:sz="4" w:space="0" w:color="auto"/>
              <w:right w:val="single" w:sz="4" w:space="0" w:color="auto"/>
            </w:tcBorders>
            <w:shd w:val="clear" w:color="000000" w:fill="FFFFFF"/>
            <w:noWrap/>
            <w:vAlign w:val="bottom"/>
            <w:hideMark/>
          </w:tcPr>
          <w:p w14:paraId="038C73BF"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1" w:type="dxa"/>
            <w:tcBorders>
              <w:top w:val="nil"/>
              <w:left w:val="nil"/>
              <w:bottom w:val="single" w:sz="4" w:space="0" w:color="auto"/>
              <w:right w:val="single" w:sz="4" w:space="0" w:color="auto"/>
            </w:tcBorders>
            <w:shd w:val="clear" w:color="000000" w:fill="FFFFFF"/>
            <w:noWrap/>
            <w:vAlign w:val="bottom"/>
            <w:hideMark/>
          </w:tcPr>
          <w:p w14:paraId="3E410CC0"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6092FB96"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01CAA188"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55A3916E"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1" w:type="dxa"/>
            <w:tcBorders>
              <w:top w:val="nil"/>
              <w:left w:val="nil"/>
              <w:bottom w:val="single" w:sz="4" w:space="0" w:color="auto"/>
              <w:right w:val="single" w:sz="4" w:space="0" w:color="auto"/>
            </w:tcBorders>
            <w:shd w:val="clear" w:color="000000" w:fill="FFFFFF"/>
            <w:noWrap/>
            <w:vAlign w:val="bottom"/>
            <w:hideMark/>
          </w:tcPr>
          <w:p w14:paraId="7F0F1D8C" w14:textId="77777777" w:rsidR="00B56301" w:rsidRPr="00D85A26" w:rsidRDefault="00B56301" w:rsidP="00B37B65">
            <w:pPr>
              <w:jc w:val="right"/>
              <w:rPr>
                <w:rFonts w:asciiTheme="minorHAnsi" w:hAnsiTheme="minorHAnsi"/>
                <w:sz w:val="16"/>
                <w:szCs w:val="16"/>
              </w:rPr>
            </w:pPr>
            <w:r w:rsidRPr="00D85A26">
              <w:rPr>
                <w:sz w:val="16"/>
                <w:szCs w:val="18"/>
              </w:rPr>
              <w:t>0,03</w:t>
            </w:r>
          </w:p>
        </w:tc>
      </w:tr>
      <w:tr w:rsidR="00B56301" w:rsidRPr="00D85A26" w14:paraId="12EB74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1463C3F" w14:textId="393FA45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Liming</w:t>
            </w:r>
          </w:p>
        </w:tc>
        <w:tc>
          <w:tcPr>
            <w:tcW w:w="991" w:type="dxa"/>
            <w:tcBorders>
              <w:top w:val="nil"/>
              <w:left w:val="nil"/>
              <w:bottom w:val="single" w:sz="4" w:space="0" w:color="auto"/>
              <w:right w:val="single" w:sz="4" w:space="0" w:color="auto"/>
            </w:tcBorders>
            <w:shd w:val="clear" w:color="000000" w:fill="969696"/>
            <w:noWrap/>
            <w:vAlign w:val="bottom"/>
            <w:hideMark/>
          </w:tcPr>
          <w:p w14:paraId="4E82062B"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3382D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C2EC55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956BCE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9AD43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1CB64EC"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2D68752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DEC7F63" w14:textId="59918B7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Urea application</w:t>
            </w:r>
          </w:p>
        </w:tc>
        <w:tc>
          <w:tcPr>
            <w:tcW w:w="991" w:type="dxa"/>
            <w:tcBorders>
              <w:top w:val="nil"/>
              <w:left w:val="nil"/>
              <w:bottom w:val="single" w:sz="4" w:space="0" w:color="auto"/>
              <w:right w:val="single" w:sz="4" w:space="0" w:color="auto"/>
            </w:tcBorders>
            <w:shd w:val="clear" w:color="000000" w:fill="969696"/>
            <w:noWrap/>
            <w:vAlign w:val="bottom"/>
            <w:hideMark/>
          </w:tcPr>
          <w:p w14:paraId="24DFEB8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5B8FE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AC866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1AD166E"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8423AE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FDB5C15"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3131D0D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B627B96" w14:textId="3FA0C5A6"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I.</w:t>
            </w:r>
            <w:r w:rsidR="00260E0B">
              <w:rPr>
                <w:rFonts w:asciiTheme="minorHAnsi" w:hAnsiTheme="minorHAnsi"/>
                <w:sz w:val="16"/>
                <w:szCs w:val="16"/>
                <w:lang w:val="en-GB"/>
              </w:rPr>
              <w:t xml:space="preserve"> </w:t>
            </w:r>
            <w:r w:rsidRPr="00D85A26">
              <w:rPr>
                <w:rFonts w:asciiTheme="minorHAnsi" w:hAnsiTheme="minorHAnsi"/>
                <w:sz w:val="16"/>
                <w:szCs w:val="16"/>
                <w:lang w:val="en-GB"/>
              </w:rPr>
              <w:t>Other carbon containing fertlizers</w:t>
            </w:r>
          </w:p>
        </w:tc>
        <w:tc>
          <w:tcPr>
            <w:tcW w:w="991" w:type="dxa"/>
            <w:tcBorders>
              <w:top w:val="nil"/>
              <w:left w:val="nil"/>
              <w:bottom w:val="single" w:sz="4" w:space="0" w:color="auto"/>
              <w:right w:val="single" w:sz="4" w:space="0" w:color="auto"/>
            </w:tcBorders>
            <w:shd w:val="clear" w:color="000000" w:fill="969696"/>
            <w:noWrap/>
            <w:vAlign w:val="bottom"/>
            <w:hideMark/>
          </w:tcPr>
          <w:p w14:paraId="2C2BE1FD"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897F1A"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DDDA4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50B4A08"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D23DAF6"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3940934" w14:textId="77777777" w:rsidR="00B56301" w:rsidRPr="00D85A26" w:rsidRDefault="00B56301" w:rsidP="00B37B65">
            <w:pPr>
              <w:jc w:val="right"/>
              <w:rPr>
                <w:rFonts w:asciiTheme="minorHAnsi" w:hAnsiTheme="minorHAnsi"/>
                <w:sz w:val="16"/>
                <w:szCs w:val="16"/>
                <w:lang w:val="en-GB"/>
              </w:rPr>
            </w:pPr>
            <w:r w:rsidRPr="00D85A26">
              <w:rPr>
                <w:sz w:val="16"/>
                <w:szCs w:val="18"/>
                <w:lang w:val="en-GB"/>
              </w:rPr>
              <w:t> </w:t>
            </w:r>
          </w:p>
        </w:tc>
      </w:tr>
      <w:tr w:rsidR="00B56301" w:rsidRPr="00D85A26" w14:paraId="4D79D65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F26278A" w14:textId="15CB549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J.</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1" w:type="dxa"/>
            <w:tcBorders>
              <w:top w:val="nil"/>
              <w:left w:val="nil"/>
              <w:bottom w:val="single" w:sz="4" w:space="0" w:color="auto"/>
              <w:right w:val="single" w:sz="4" w:space="0" w:color="auto"/>
            </w:tcBorders>
            <w:shd w:val="clear" w:color="000000" w:fill="FFFFFF"/>
            <w:noWrap/>
            <w:vAlign w:val="bottom"/>
            <w:hideMark/>
          </w:tcPr>
          <w:p w14:paraId="55C7CBFF"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CE9E0EE"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63670EDB"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03B1E644"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ADB781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09B362B" w14:textId="77777777" w:rsidR="00B56301" w:rsidRPr="00D85A26" w:rsidRDefault="00B56301" w:rsidP="00B37B65">
            <w:pPr>
              <w:jc w:val="right"/>
              <w:rPr>
                <w:rFonts w:asciiTheme="minorHAnsi" w:hAnsiTheme="minorHAnsi"/>
                <w:sz w:val="16"/>
                <w:szCs w:val="16"/>
              </w:rPr>
            </w:pPr>
            <w:r w:rsidRPr="00D85A26">
              <w:rPr>
                <w:sz w:val="16"/>
                <w:szCs w:val="18"/>
              </w:rPr>
              <w:t>NO</w:t>
            </w:r>
          </w:p>
        </w:tc>
      </w:tr>
      <w:tr w:rsidR="00B56301" w:rsidRPr="00D85A26" w14:paraId="342F413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bottom"/>
            <w:hideMark/>
          </w:tcPr>
          <w:p w14:paraId="56212684" w14:textId="77777777" w:rsidR="00B56301" w:rsidRPr="00D85A26" w:rsidRDefault="00B56301" w:rsidP="00B37B65">
            <w:pPr>
              <w:jc w:val="left"/>
              <w:rPr>
                <w:rFonts w:asciiTheme="minorHAnsi" w:hAnsiTheme="minorHAnsi"/>
                <w:b/>
                <w:bCs/>
                <w:sz w:val="16"/>
                <w:szCs w:val="16"/>
                <w:lang w:val="en-GB"/>
              </w:rPr>
            </w:pPr>
            <w:r w:rsidRPr="00D85A26">
              <w:rPr>
                <w:rFonts w:asciiTheme="minorHAnsi" w:hAnsiTheme="minorHAnsi"/>
                <w:b/>
                <w:bCs/>
                <w:sz w:val="16"/>
                <w:szCs w:val="16"/>
                <w:lang w:val="en-GB"/>
              </w:rPr>
              <w:t>4. Land use, land-use change and forestry</w:t>
            </w:r>
          </w:p>
        </w:tc>
        <w:tc>
          <w:tcPr>
            <w:tcW w:w="991" w:type="dxa"/>
            <w:tcBorders>
              <w:top w:val="nil"/>
              <w:left w:val="nil"/>
              <w:bottom w:val="single" w:sz="4" w:space="0" w:color="auto"/>
              <w:right w:val="single" w:sz="4" w:space="0" w:color="auto"/>
            </w:tcBorders>
            <w:shd w:val="clear" w:color="000000" w:fill="CCFFFF"/>
            <w:noWrap/>
            <w:vAlign w:val="bottom"/>
            <w:hideMark/>
          </w:tcPr>
          <w:p w14:paraId="50CF7E67" w14:textId="77777777" w:rsidR="00B56301" w:rsidRPr="00D85A26" w:rsidRDefault="00B56301" w:rsidP="00B37B65">
            <w:pPr>
              <w:jc w:val="right"/>
              <w:rPr>
                <w:rFonts w:asciiTheme="minorHAnsi" w:hAnsiTheme="minorHAnsi"/>
                <w:sz w:val="16"/>
                <w:szCs w:val="16"/>
              </w:rPr>
            </w:pPr>
            <w:r w:rsidRPr="00D85A26">
              <w:rPr>
                <w:sz w:val="16"/>
                <w:szCs w:val="18"/>
              </w:rPr>
              <w:t>10,06</w:t>
            </w:r>
          </w:p>
        </w:tc>
        <w:tc>
          <w:tcPr>
            <w:tcW w:w="991" w:type="dxa"/>
            <w:tcBorders>
              <w:top w:val="nil"/>
              <w:left w:val="nil"/>
              <w:bottom w:val="single" w:sz="4" w:space="0" w:color="auto"/>
              <w:right w:val="single" w:sz="4" w:space="0" w:color="auto"/>
            </w:tcBorders>
            <w:shd w:val="clear" w:color="000000" w:fill="CCFFFF"/>
            <w:noWrap/>
            <w:vAlign w:val="bottom"/>
            <w:hideMark/>
          </w:tcPr>
          <w:p w14:paraId="43311733" w14:textId="77777777" w:rsidR="00B56301" w:rsidRPr="00D85A26" w:rsidRDefault="00B56301" w:rsidP="00B37B65">
            <w:pPr>
              <w:jc w:val="right"/>
              <w:rPr>
                <w:rFonts w:asciiTheme="minorHAnsi" w:hAnsiTheme="minorHAnsi"/>
                <w:sz w:val="16"/>
                <w:szCs w:val="16"/>
              </w:rPr>
            </w:pPr>
            <w:r w:rsidRPr="00D85A26">
              <w:rPr>
                <w:sz w:val="16"/>
                <w:szCs w:val="18"/>
              </w:rPr>
              <w:t>9,97</w:t>
            </w:r>
          </w:p>
        </w:tc>
        <w:tc>
          <w:tcPr>
            <w:tcW w:w="991" w:type="dxa"/>
            <w:tcBorders>
              <w:top w:val="nil"/>
              <w:left w:val="nil"/>
              <w:bottom w:val="single" w:sz="4" w:space="0" w:color="auto"/>
              <w:right w:val="single" w:sz="4" w:space="0" w:color="auto"/>
            </w:tcBorders>
            <w:shd w:val="clear" w:color="000000" w:fill="CCFFFF"/>
            <w:noWrap/>
            <w:vAlign w:val="bottom"/>
            <w:hideMark/>
          </w:tcPr>
          <w:p w14:paraId="4D53DAF0" w14:textId="77777777" w:rsidR="00B56301" w:rsidRPr="00D85A26" w:rsidRDefault="00B56301" w:rsidP="00B37B65">
            <w:pPr>
              <w:jc w:val="right"/>
              <w:rPr>
                <w:rFonts w:asciiTheme="minorHAnsi" w:hAnsiTheme="minorHAnsi"/>
                <w:sz w:val="16"/>
                <w:szCs w:val="16"/>
              </w:rPr>
            </w:pPr>
            <w:r w:rsidRPr="00D85A26">
              <w:rPr>
                <w:sz w:val="16"/>
                <w:szCs w:val="18"/>
              </w:rPr>
              <w:t>9,88</w:t>
            </w:r>
          </w:p>
        </w:tc>
        <w:tc>
          <w:tcPr>
            <w:tcW w:w="991" w:type="dxa"/>
            <w:tcBorders>
              <w:top w:val="nil"/>
              <w:left w:val="nil"/>
              <w:bottom w:val="single" w:sz="4" w:space="0" w:color="auto"/>
              <w:right w:val="single" w:sz="4" w:space="0" w:color="auto"/>
            </w:tcBorders>
            <w:shd w:val="clear" w:color="000000" w:fill="CCFFFF"/>
            <w:noWrap/>
            <w:vAlign w:val="bottom"/>
            <w:hideMark/>
          </w:tcPr>
          <w:p w14:paraId="25031A1B" w14:textId="77777777" w:rsidR="00B56301" w:rsidRPr="00D85A26" w:rsidRDefault="00B56301" w:rsidP="00B37B65">
            <w:pPr>
              <w:jc w:val="right"/>
              <w:rPr>
                <w:rFonts w:asciiTheme="minorHAnsi" w:hAnsiTheme="minorHAnsi"/>
                <w:sz w:val="16"/>
                <w:szCs w:val="16"/>
              </w:rPr>
            </w:pPr>
            <w:r w:rsidRPr="00D85A26">
              <w:rPr>
                <w:sz w:val="16"/>
                <w:szCs w:val="18"/>
              </w:rPr>
              <w:t>9,78</w:t>
            </w:r>
          </w:p>
        </w:tc>
        <w:tc>
          <w:tcPr>
            <w:tcW w:w="991" w:type="dxa"/>
            <w:tcBorders>
              <w:top w:val="nil"/>
              <w:left w:val="nil"/>
              <w:bottom w:val="single" w:sz="4" w:space="0" w:color="auto"/>
              <w:right w:val="single" w:sz="4" w:space="0" w:color="auto"/>
            </w:tcBorders>
            <w:shd w:val="clear" w:color="000000" w:fill="CCFFFF"/>
            <w:noWrap/>
            <w:vAlign w:val="bottom"/>
            <w:hideMark/>
          </w:tcPr>
          <w:p w14:paraId="030D4D63" w14:textId="77777777" w:rsidR="00B56301" w:rsidRPr="00D85A26" w:rsidRDefault="00B56301" w:rsidP="00B37B65">
            <w:pPr>
              <w:jc w:val="right"/>
              <w:rPr>
                <w:rFonts w:asciiTheme="minorHAnsi" w:hAnsiTheme="minorHAnsi"/>
                <w:sz w:val="16"/>
                <w:szCs w:val="16"/>
              </w:rPr>
            </w:pPr>
            <w:r w:rsidRPr="00D85A26">
              <w:rPr>
                <w:sz w:val="16"/>
                <w:szCs w:val="18"/>
              </w:rPr>
              <w:t>9,73</w:t>
            </w:r>
          </w:p>
        </w:tc>
        <w:tc>
          <w:tcPr>
            <w:tcW w:w="991" w:type="dxa"/>
            <w:tcBorders>
              <w:top w:val="nil"/>
              <w:left w:val="nil"/>
              <w:bottom w:val="single" w:sz="4" w:space="0" w:color="auto"/>
              <w:right w:val="single" w:sz="4" w:space="0" w:color="auto"/>
            </w:tcBorders>
            <w:shd w:val="clear" w:color="000000" w:fill="CCFFFF"/>
            <w:noWrap/>
            <w:vAlign w:val="bottom"/>
            <w:hideMark/>
          </w:tcPr>
          <w:p w14:paraId="305E7EB2" w14:textId="77777777" w:rsidR="00B56301" w:rsidRPr="00D85A26" w:rsidRDefault="00B56301" w:rsidP="00B37B65">
            <w:pPr>
              <w:jc w:val="right"/>
              <w:rPr>
                <w:rFonts w:asciiTheme="minorHAnsi" w:hAnsiTheme="minorHAnsi"/>
                <w:sz w:val="16"/>
                <w:szCs w:val="16"/>
              </w:rPr>
            </w:pPr>
            <w:r w:rsidRPr="00D85A26">
              <w:rPr>
                <w:sz w:val="16"/>
                <w:szCs w:val="18"/>
              </w:rPr>
              <w:t>9,61</w:t>
            </w:r>
          </w:p>
        </w:tc>
      </w:tr>
      <w:tr w:rsidR="00B56301" w:rsidRPr="00D85A26" w14:paraId="05308D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3E4CD12" w14:textId="3478CBD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Forest land</w:t>
            </w:r>
          </w:p>
        </w:tc>
        <w:tc>
          <w:tcPr>
            <w:tcW w:w="991" w:type="dxa"/>
            <w:tcBorders>
              <w:top w:val="nil"/>
              <w:left w:val="nil"/>
              <w:bottom w:val="single" w:sz="4" w:space="0" w:color="auto"/>
              <w:right w:val="single" w:sz="4" w:space="0" w:color="auto"/>
            </w:tcBorders>
            <w:shd w:val="clear" w:color="000000" w:fill="FFFFFF"/>
            <w:noWrap/>
            <w:vAlign w:val="bottom"/>
            <w:hideMark/>
          </w:tcPr>
          <w:p w14:paraId="4B9BDDF7" w14:textId="77777777" w:rsidR="00B56301" w:rsidRPr="00D85A26" w:rsidRDefault="00B56301" w:rsidP="00B37B65">
            <w:pPr>
              <w:jc w:val="right"/>
              <w:rPr>
                <w:rFonts w:asciiTheme="minorHAnsi" w:hAnsiTheme="minorHAnsi"/>
                <w:sz w:val="16"/>
                <w:szCs w:val="16"/>
              </w:rPr>
            </w:pPr>
            <w:r w:rsidRPr="00D85A26">
              <w:rPr>
                <w:sz w:val="16"/>
                <w:szCs w:val="18"/>
              </w:rPr>
              <w:t>1,07</w:t>
            </w:r>
          </w:p>
        </w:tc>
        <w:tc>
          <w:tcPr>
            <w:tcW w:w="991" w:type="dxa"/>
            <w:tcBorders>
              <w:top w:val="nil"/>
              <w:left w:val="nil"/>
              <w:bottom w:val="single" w:sz="4" w:space="0" w:color="auto"/>
              <w:right w:val="single" w:sz="4" w:space="0" w:color="auto"/>
            </w:tcBorders>
            <w:shd w:val="clear" w:color="000000" w:fill="FFFFFF"/>
            <w:noWrap/>
            <w:vAlign w:val="bottom"/>
            <w:hideMark/>
          </w:tcPr>
          <w:p w14:paraId="359F2FF0" w14:textId="77777777" w:rsidR="00B56301" w:rsidRPr="00D85A26" w:rsidRDefault="00B56301" w:rsidP="00B37B65">
            <w:pPr>
              <w:jc w:val="right"/>
              <w:rPr>
                <w:rFonts w:asciiTheme="minorHAnsi" w:hAnsiTheme="minorHAnsi"/>
                <w:sz w:val="16"/>
                <w:szCs w:val="16"/>
              </w:rPr>
            </w:pPr>
            <w:r w:rsidRPr="00D85A26">
              <w:rPr>
                <w:sz w:val="16"/>
                <w:szCs w:val="18"/>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36FED08C" w14:textId="77777777" w:rsidR="00B56301" w:rsidRPr="00D85A26" w:rsidRDefault="00B56301" w:rsidP="00B37B65">
            <w:pPr>
              <w:jc w:val="right"/>
              <w:rPr>
                <w:rFonts w:asciiTheme="minorHAnsi" w:hAnsiTheme="minorHAnsi"/>
                <w:sz w:val="16"/>
                <w:szCs w:val="16"/>
              </w:rPr>
            </w:pPr>
            <w:r w:rsidRPr="00D85A26">
              <w:rPr>
                <w:sz w:val="16"/>
                <w:szCs w:val="18"/>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689353D6" w14:textId="77777777" w:rsidR="00B56301" w:rsidRPr="00D85A26" w:rsidRDefault="00B56301" w:rsidP="00B37B65">
            <w:pPr>
              <w:jc w:val="right"/>
              <w:rPr>
                <w:rFonts w:asciiTheme="minorHAnsi" w:hAnsiTheme="minorHAnsi"/>
                <w:sz w:val="16"/>
                <w:szCs w:val="16"/>
              </w:rPr>
            </w:pPr>
            <w:r w:rsidRPr="00D85A26">
              <w:rPr>
                <w:sz w:val="16"/>
                <w:szCs w:val="18"/>
              </w:rPr>
              <w:t>1,19</w:t>
            </w:r>
          </w:p>
        </w:tc>
        <w:tc>
          <w:tcPr>
            <w:tcW w:w="991" w:type="dxa"/>
            <w:tcBorders>
              <w:top w:val="nil"/>
              <w:left w:val="nil"/>
              <w:bottom w:val="single" w:sz="4" w:space="0" w:color="auto"/>
              <w:right w:val="single" w:sz="4" w:space="0" w:color="auto"/>
            </w:tcBorders>
            <w:shd w:val="clear" w:color="000000" w:fill="FFFFFF"/>
            <w:noWrap/>
            <w:vAlign w:val="bottom"/>
            <w:hideMark/>
          </w:tcPr>
          <w:p w14:paraId="770435CB" w14:textId="77777777" w:rsidR="00B56301" w:rsidRPr="00D85A26" w:rsidRDefault="00B56301" w:rsidP="00B37B65">
            <w:pPr>
              <w:jc w:val="right"/>
              <w:rPr>
                <w:rFonts w:asciiTheme="minorHAnsi" w:hAnsiTheme="minorHAnsi"/>
                <w:sz w:val="16"/>
                <w:szCs w:val="16"/>
              </w:rPr>
            </w:pPr>
            <w:r w:rsidRPr="00D85A26">
              <w:rPr>
                <w:sz w:val="16"/>
                <w:szCs w:val="18"/>
              </w:rPr>
              <w:t>1,24</w:t>
            </w:r>
          </w:p>
        </w:tc>
        <w:tc>
          <w:tcPr>
            <w:tcW w:w="991" w:type="dxa"/>
            <w:tcBorders>
              <w:top w:val="nil"/>
              <w:left w:val="nil"/>
              <w:bottom w:val="single" w:sz="4" w:space="0" w:color="auto"/>
              <w:right w:val="single" w:sz="4" w:space="0" w:color="auto"/>
            </w:tcBorders>
            <w:shd w:val="clear" w:color="000000" w:fill="FFFFFF"/>
            <w:noWrap/>
            <w:vAlign w:val="bottom"/>
            <w:hideMark/>
          </w:tcPr>
          <w:p w14:paraId="7790B304" w14:textId="77777777" w:rsidR="00B56301" w:rsidRPr="00D85A26" w:rsidRDefault="00B56301" w:rsidP="00B37B65">
            <w:pPr>
              <w:jc w:val="right"/>
              <w:rPr>
                <w:rFonts w:asciiTheme="minorHAnsi" w:hAnsiTheme="minorHAnsi"/>
                <w:sz w:val="16"/>
                <w:szCs w:val="16"/>
              </w:rPr>
            </w:pPr>
            <w:r w:rsidRPr="00D85A26">
              <w:rPr>
                <w:sz w:val="16"/>
                <w:szCs w:val="18"/>
              </w:rPr>
              <w:t>1,21</w:t>
            </w:r>
          </w:p>
        </w:tc>
      </w:tr>
      <w:tr w:rsidR="00B56301" w:rsidRPr="00D85A26" w14:paraId="4805D8A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2B03FE3" w14:textId="192FFC2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Cropland</w:t>
            </w:r>
          </w:p>
        </w:tc>
        <w:tc>
          <w:tcPr>
            <w:tcW w:w="991" w:type="dxa"/>
            <w:tcBorders>
              <w:top w:val="nil"/>
              <w:left w:val="nil"/>
              <w:bottom w:val="single" w:sz="4" w:space="0" w:color="auto"/>
              <w:right w:val="single" w:sz="4" w:space="0" w:color="auto"/>
            </w:tcBorders>
            <w:shd w:val="clear" w:color="000000" w:fill="FFFFFF"/>
            <w:noWrap/>
            <w:vAlign w:val="bottom"/>
            <w:hideMark/>
          </w:tcPr>
          <w:p w14:paraId="2E8FB4A4" w14:textId="77777777" w:rsidR="00B56301" w:rsidRPr="00D85A26" w:rsidRDefault="00B56301" w:rsidP="00B37B65">
            <w:pPr>
              <w:jc w:val="right"/>
              <w:rPr>
                <w:rFonts w:asciiTheme="minorHAnsi" w:hAnsiTheme="minorHAnsi"/>
                <w:sz w:val="16"/>
                <w:szCs w:val="16"/>
              </w:rPr>
            </w:pPr>
            <w:r w:rsidRPr="00D85A26">
              <w:rPr>
                <w:sz w:val="16"/>
                <w:szCs w:val="18"/>
              </w:rPr>
              <w:t>4,79</w:t>
            </w:r>
          </w:p>
        </w:tc>
        <w:tc>
          <w:tcPr>
            <w:tcW w:w="991" w:type="dxa"/>
            <w:tcBorders>
              <w:top w:val="nil"/>
              <w:left w:val="nil"/>
              <w:bottom w:val="single" w:sz="4" w:space="0" w:color="auto"/>
              <w:right w:val="single" w:sz="4" w:space="0" w:color="auto"/>
            </w:tcBorders>
            <w:shd w:val="clear" w:color="000000" w:fill="FFFFFF"/>
            <w:noWrap/>
            <w:vAlign w:val="bottom"/>
            <w:hideMark/>
          </w:tcPr>
          <w:p w14:paraId="5A11D4DD" w14:textId="77777777" w:rsidR="00B56301" w:rsidRPr="00D85A26" w:rsidRDefault="00B56301" w:rsidP="00B37B65">
            <w:pPr>
              <w:jc w:val="right"/>
              <w:rPr>
                <w:rFonts w:asciiTheme="minorHAnsi" w:hAnsiTheme="minorHAnsi"/>
                <w:sz w:val="16"/>
                <w:szCs w:val="16"/>
              </w:rPr>
            </w:pPr>
            <w:r w:rsidRPr="00D85A26">
              <w:rPr>
                <w:sz w:val="16"/>
                <w:szCs w:val="18"/>
              </w:rPr>
              <w:t>4,73</w:t>
            </w:r>
          </w:p>
        </w:tc>
        <w:tc>
          <w:tcPr>
            <w:tcW w:w="991" w:type="dxa"/>
            <w:tcBorders>
              <w:top w:val="nil"/>
              <w:left w:val="nil"/>
              <w:bottom w:val="single" w:sz="4" w:space="0" w:color="auto"/>
              <w:right w:val="single" w:sz="4" w:space="0" w:color="auto"/>
            </w:tcBorders>
            <w:shd w:val="clear" w:color="000000" w:fill="FFFFFF"/>
            <w:noWrap/>
            <w:vAlign w:val="bottom"/>
            <w:hideMark/>
          </w:tcPr>
          <w:p w14:paraId="79200197" w14:textId="77777777" w:rsidR="00B56301" w:rsidRPr="00D85A26" w:rsidRDefault="00B56301" w:rsidP="00B37B65">
            <w:pPr>
              <w:jc w:val="right"/>
              <w:rPr>
                <w:rFonts w:asciiTheme="minorHAnsi" w:hAnsiTheme="minorHAnsi"/>
                <w:sz w:val="16"/>
                <w:szCs w:val="16"/>
              </w:rPr>
            </w:pPr>
            <w:r w:rsidRPr="00D85A26">
              <w:rPr>
                <w:sz w:val="16"/>
                <w:szCs w:val="18"/>
              </w:rPr>
              <w:t>4,70</w:t>
            </w:r>
          </w:p>
        </w:tc>
        <w:tc>
          <w:tcPr>
            <w:tcW w:w="991" w:type="dxa"/>
            <w:tcBorders>
              <w:top w:val="nil"/>
              <w:left w:val="nil"/>
              <w:bottom w:val="single" w:sz="4" w:space="0" w:color="auto"/>
              <w:right w:val="single" w:sz="4" w:space="0" w:color="auto"/>
            </w:tcBorders>
            <w:shd w:val="clear" w:color="000000" w:fill="FFFFFF"/>
            <w:noWrap/>
            <w:vAlign w:val="bottom"/>
            <w:hideMark/>
          </w:tcPr>
          <w:p w14:paraId="5BE9FFDB" w14:textId="77777777" w:rsidR="00B56301" w:rsidRPr="00D85A26" w:rsidRDefault="00B56301" w:rsidP="00B37B65">
            <w:pPr>
              <w:jc w:val="right"/>
              <w:rPr>
                <w:rFonts w:asciiTheme="minorHAnsi" w:hAnsiTheme="minorHAnsi"/>
                <w:sz w:val="16"/>
                <w:szCs w:val="16"/>
              </w:rPr>
            </w:pPr>
            <w:r w:rsidRPr="00D85A26">
              <w:rPr>
                <w:sz w:val="16"/>
                <w:szCs w:val="18"/>
              </w:rPr>
              <w:t>4,62</w:t>
            </w:r>
          </w:p>
        </w:tc>
        <w:tc>
          <w:tcPr>
            <w:tcW w:w="991" w:type="dxa"/>
            <w:tcBorders>
              <w:top w:val="nil"/>
              <w:left w:val="nil"/>
              <w:bottom w:val="single" w:sz="4" w:space="0" w:color="auto"/>
              <w:right w:val="single" w:sz="4" w:space="0" w:color="auto"/>
            </w:tcBorders>
            <w:shd w:val="clear" w:color="000000" w:fill="FFFFFF"/>
            <w:noWrap/>
            <w:vAlign w:val="bottom"/>
            <w:hideMark/>
          </w:tcPr>
          <w:p w14:paraId="3B095418" w14:textId="77777777" w:rsidR="00B56301" w:rsidRPr="00D85A26" w:rsidRDefault="00B56301" w:rsidP="00B37B65">
            <w:pPr>
              <w:jc w:val="right"/>
              <w:rPr>
                <w:rFonts w:asciiTheme="minorHAnsi" w:hAnsiTheme="minorHAnsi"/>
                <w:sz w:val="16"/>
                <w:szCs w:val="16"/>
              </w:rPr>
            </w:pPr>
            <w:r w:rsidRPr="00D85A26">
              <w:rPr>
                <w:sz w:val="16"/>
                <w:szCs w:val="18"/>
              </w:rPr>
              <w:t>4,57</w:t>
            </w:r>
          </w:p>
        </w:tc>
        <w:tc>
          <w:tcPr>
            <w:tcW w:w="991" w:type="dxa"/>
            <w:tcBorders>
              <w:top w:val="nil"/>
              <w:left w:val="nil"/>
              <w:bottom w:val="single" w:sz="4" w:space="0" w:color="auto"/>
              <w:right w:val="single" w:sz="4" w:space="0" w:color="auto"/>
            </w:tcBorders>
            <w:shd w:val="clear" w:color="000000" w:fill="FFFFFF"/>
            <w:noWrap/>
            <w:vAlign w:val="bottom"/>
            <w:hideMark/>
          </w:tcPr>
          <w:p w14:paraId="6FEBE6E5" w14:textId="77777777" w:rsidR="00B56301" w:rsidRPr="00D85A26" w:rsidRDefault="00B56301" w:rsidP="00B37B65">
            <w:pPr>
              <w:jc w:val="right"/>
              <w:rPr>
                <w:rFonts w:asciiTheme="minorHAnsi" w:hAnsiTheme="minorHAnsi"/>
                <w:sz w:val="16"/>
                <w:szCs w:val="16"/>
              </w:rPr>
            </w:pPr>
            <w:r w:rsidRPr="00D85A26">
              <w:rPr>
                <w:sz w:val="16"/>
                <w:szCs w:val="18"/>
              </w:rPr>
              <w:t>4,51</w:t>
            </w:r>
          </w:p>
        </w:tc>
      </w:tr>
      <w:tr w:rsidR="00B56301" w:rsidRPr="00D85A26" w14:paraId="5455FE7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3554314" w14:textId="60E914DF"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Grassland</w:t>
            </w:r>
          </w:p>
        </w:tc>
        <w:tc>
          <w:tcPr>
            <w:tcW w:w="991" w:type="dxa"/>
            <w:tcBorders>
              <w:top w:val="nil"/>
              <w:left w:val="nil"/>
              <w:bottom w:val="single" w:sz="4" w:space="0" w:color="auto"/>
              <w:right w:val="single" w:sz="4" w:space="0" w:color="auto"/>
            </w:tcBorders>
            <w:shd w:val="clear" w:color="000000" w:fill="FFFFFF"/>
            <w:noWrap/>
            <w:vAlign w:val="bottom"/>
            <w:hideMark/>
          </w:tcPr>
          <w:p w14:paraId="18FB29E3" w14:textId="77777777" w:rsidR="00B56301" w:rsidRPr="00D85A26" w:rsidRDefault="00B56301" w:rsidP="00B37B65">
            <w:pPr>
              <w:jc w:val="right"/>
              <w:rPr>
                <w:rFonts w:asciiTheme="minorHAnsi" w:hAnsiTheme="minorHAnsi"/>
                <w:sz w:val="16"/>
                <w:szCs w:val="16"/>
              </w:rPr>
            </w:pPr>
            <w:r w:rsidRPr="00D85A26">
              <w:rPr>
                <w:sz w:val="16"/>
                <w:szCs w:val="18"/>
              </w:rPr>
              <w:t>0,43</w:t>
            </w:r>
          </w:p>
        </w:tc>
        <w:tc>
          <w:tcPr>
            <w:tcW w:w="991" w:type="dxa"/>
            <w:tcBorders>
              <w:top w:val="nil"/>
              <w:left w:val="nil"/>
              <w:bottom w:val="single" w:sz="4" w:space="0" w:color="auto"/>
              <w:right w:val="single" w:sz="4" w:space="0" w:color="auto"/>
            </w:tcBorders>
            <w:shd w:val="clear" w:color="000000" w:fill="FFFFFF"/>
            <w:noWrap/>
            <w:vAlign w:val="bottom"/>
            <w:hideMark/>
          </w:tcPr>
          <w:p w14:paraId="7682B836" w14:textId="77777777" w:rsidR="00B56301" w:rsidRPr="00D85A26" w:rsidRDefault="00B56301" w:rsidP="00B37B65">
            <w:pPr>
              <w:jc w:val="right"/>
              <w:rPr>
                <w:rFonts w:asciiTheme="minorHAnsi" w:hAnsiTheme="minorHAnsi"/>
                <w:sz w:val="16"/>
                <w:szCs w:val="16"/>
              </w:rPr>
            </w:pPr>
            <w:r w:rsidRPr="00D85A26">
              <w:rPr>
                <w:sz w:val="16"/>
                <w:szCs w:val="18"/>
              </w:rPr>
              <w:t>0,40</w:t>
            </w:r>
          </w:p>
        </w:tc>
        <w:tc>
          <w:tcPr>
            <w:tcW w:w="991" w:type="dxa"/>
            <w:tcBorders>
              <w:top w:val="nil"/>
              <w:left w:val="nil"/>
              <w:bottom w:val="single" w:sz="4" w:space="0" w:color="auto"/>
              <w:right w:val="single" w:sz="4" w:space="0" w:color="auto"/>
            </w:tcBorders>
            <w:shd w:val="clear" w:color="000000" w:fill="FFFFFF"/>
            <w:noWrap/>
            <w:vAlign w:val="bottom"/>
            <w:hideMark/>
          </w:tcPr>
          <w:p w14:paraId="0FE1EC27" w14:textId="77777777" w:rsidR="00B56301" w:rsidRPr="00D85A26" w:rsidRDefault="00B56301" w:rsidP="00B37B65">
            <w:pPr>
              <w:jc w:val="right"/>
              <w:rPr>
                <w:rFonts w:asciiTheme="minorHAnsi" w:hAnsiTheme="minorHAnsi"/>
                <w:sz w:val="16"/>
                <w:szCs w:val="16"/>
              </w:rPr>
            </w:pPr>
            <w:r w:rsidRPr="00D85A26">
              <w:rPr>
                <w:sz w:val="16"/>
                <w:szCs w:val="18"/>
              </w:rPr>
              <w:t>0,38</w:t>
            </w:r>
          </w:p>
        </w:tc>
        <w:tc>
          <w:tcPr>
            <w:tcW w:w="991" w:type="dxa"/>
            <w:tcBorders>
              <w:top w:val="nil"/>
              <w:left w:val="nil"/>
              <w:bottom w:val="single" w:sz="4" w:space="0" w:color="auto"/>
              <w:right w:val="single" w:sz="4" w:space="0" w:color="auto"/>
            </w:tcBorders>
            <w:shd w:val="clear" w:color="000000" w:fill="FFFFFF"/>
            <w:noWrap/>
            <w:vAlign w:val="bottom"/>
            <w:hideMark/>
          </w:tcPr>
          <w:p w14:paraId="692D4372" w14:textId="77777777" w:rsidR="00B56301" w:rsidRPr="00D85A26" w:rsidRDefault="00B56301" w:rsidP="00B37B65">
            <w:pPr>
              <w:jc w:val="right"/>
              <w:rPr>
                <w:rFonts w:asciiTheme="minorHAnsi" w:hAnsiTheme="minorHAnsi"/>
                <w:sz w:val="16"/>
                <w:szCs w:val="16"/>
              </w:rPr>
            </w:pPr>
            <w:r w:rsidRPr="00D85A26">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08815DDC" w14:textId="77777777" w:rsidR="00B56301" w:rsidRPr="00D85A26" w:rsidRDefault="00B56301" w:rsidP="00B37B65">
            <w:pPr>
              <w:jc w:val="right"/>
              <w:rPr>
                <w:rFonts w:asciiTheme="minorHAnsi" w:hAnsiTheme="minorHAnsi"/>
                <w:sz w:val="16"/>
                <w:szCs w:val="16"/>
              </w:rPr>
            </w:pPr>
            <w:r w:rsidRPr="00D85A26">
              <w:rPr>
                <w:sz w:val="16"/>
                <w:szCs w:val="18"/>
              </w:rPr>
              <w:t>0,36</w:t>
            </w:r>
          </w:p>
        </w:tc>
        <w:tc>
          <w:tcPr>
            <w:tcW w:w="991" w:type="dxa"/>
            <w:tcBorders>
              <w:top w:val="nil"/>
              <w:left w:val="nil"/>
              <w:bottom w:val="single" w:sz="4" w:space="0" w:color="auto"/>
              <w:right w:val="single" w:sz="4" w:space="0" w:color="auto"/>
            </w:tcBorders>
            <w:shd w:val="clear" w:color="000000" w:fill="FFFFFF"/>
            <w:noWrap/>
            <w:vAlign w:val="bottom"/>
            <w:hideMark/>
          </w:tcPr>
          <w:p w14:paraId="65FA748C" w14:textId="77777777" w:rsidR="00B56301" w:rsidRPr="00D85A26" w:rsidRDefault="00B56301" w:rsidP="00B37B65">
            <w:pPr>
              <w:jc w:val="right"/>
              <w:rPr>
                <w:rFonts w:asciiTheme="minorHAnsi" w:hAnsiTheme="minorHAnsi"/>
                <w:sz w:val="16"/>
                <w:szCs w:val="16"/>
              </w:rPr>
            </w:pPr>
            <w:r w:rsidRPr="00D85A26">
              <w:rPr>
                <w:sz w:val="16"/>
                <w:szCs w:val="18"/>
              </w:rPr>
              <w:t>0,36</w:t>
            </w:r>
          </w:p>
        </w:tc>
      </w:tr>
      <w:tr w:rsidR="00B56301" w:rsidRPr="00D85A26" w14:paraId="6C0199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21012BF" w14:textId="68D28B6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Wetlands</w:t>
            </w:r>
          </w:p>
        </w:tc>
        <w:tc>
          <w:tcPr>
            <w:tcW w:w="991" w:type="dxa"/>
            <w:tcBorders>
              <w:top w:val="nil"/>
              <w:left w:val="nil"/>
              <w:bottom w:val="single" w:sz="4" w:space="0" w:color="auto"/>
              <w:right w:val="single" w:sz="4" w:space="0" w:color="auto"/>
            </w:tcBorders>
            <w:shd w:val="clear" w:color="000000" w:fill="FFFFFF"/>
            <w:noWrap/>
            <w:vAlign w:val="bottom"/>
            <w:hideMark/>
          </w:tcPr>
          <w:p w14:paraId="3DABD200"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03A40EB7"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47D53C40"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A753ED0"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EF78A0D"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1" w:type="dxa"/>
            <w:tcBorders>
              <w:top w:val="nil"/>
              <w:left w:val="nil"/>
              <w:bottom w:val="single" w:sz="4" w:space="0" w:color="auto"/>
              <w:right w:val="single" w:sz="4" w:space="0" w:color="auto"/>
            </w:tcBorders>
            <w:shd w:val="clear" w:color="000000" w:fill="FFFFFF"/>
            <w:noWrap/>
            <w:vAlign w:val="bottom"/>
            <w:hideMark/>
          </w:tcPr>
          <w:p w14:paraId="5978026B"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64365B2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72C8F7" w14:textId="703AA07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 xml:space="preserve">Settlements </w:t>
            </w:r>
          </w:p>
        </w:tc>
        <w:tc>
          <w:tcPr>
            <w:tcW w:w="991" w:type="dxa"/>
            <w:tcBorders>
              <w:top w:val="nil"/>
              <w:left w:val="nil"/>
              <w:bottom w:val="single" w:sz="4" w:space="0" w:color="auto"/>
              <w:right w:val="single" w:sz="4" w:space="0" w:color="auto"/>
            </w:tcBorders>
            <w:shd w:val="clear" w:color="000000" w:fill="FFFFFF"/>
            <w:noWrap/>
            <w:vAlign w:val="bottom"/>
            <w:hideMark/>
          </w:tcPr>
          <w:p w14:paraId="12946A4C" w14:textId="77777777" w:rsidR="00B56301" w:rsidRPr="00D85A26" w:rsidRDefault="00B56301" w:rsidP="00B37B65">
            <w:pPr>
              <w:jc w:val="right"/>
              <w:rPr>
                <w:rFonts w:asciiTheme="minorHAnsi" w:hAnsiTheme="minorHAnsi"/>
                <w:sz w:val="16"/>
                <w:szCs w:val="16"/>
              </w:rPr>
            </w:pPr>
            <w:r w:rsidRPr="00D85A26">
              <w:rPr>
                <w:sz w:val="16"/>
                <w:szCs w:val="18"/>
              </w:rPr>
              <w:t>2,15</w:t>
            </w:r>
          </w:p>
        </w:tc>
        <w:tc>
          <w:tcPr>
            <w:tcW w:w="991" w:type="dxa"/>
            <w:tcBorders>
              <w:top w:val="nil"/>
              <w:left w:val="nil"/>
              <w:bottom w:val="single" w:sz="4" w:space="0" w:color="auto"/>
              <w:right w:val="single" w:sz="4" w:space="0" w:color="auto"/>
            </w:tcBorders>
            <w:shd w:val="clear" w:color="000000" w:fill="FFFFFF"/>
            <w:noWrap/>
            <w:vAlign w:val="bottom"/>
            <w:hideMark/>
          </w:tcPr>
          <w:p w14:paraId="62BEB2C9" w14:textId="77777777" w:rsidR="00B56301" w:rsidRPr="00D85A26" w:rsidRDefault="00B56301" w:rsidP="00B37B65">
            <w:pPr>
              <w:jc w:val="right"/>
              <w:rPr>
                <w:rFonts w:asciiTheme="minorHAnsi" w:hAnsiTheme="minorHAnsi"/>
                <w:sz w:val="16"/>
                <w:szCs w:val="16"/>
              </w:rPr>
            </w:pPr>
            <w:r w:rsidRPr="00D85A26">
              <w:rPr>
                <w:sz w:val="16"/>
                <w:szCs w:val="18"/>
              </w:rPr>
              <w:t>2,10</w:t>
            </w:r>
          </w:p>
        </w:tc>
        <w:tc>
          <w:tcPr>
            <w:tcW w:w="991" w:type="dxa"/>
            <w:tcBorders>
              <w:top w:val="nil"/>
              <w:left w:val="nil"/>
              <w:bottom w:val="single" w:sz="4" w:space="0" w:color="auto"/>
              <w:right w:val="single" w:sz="4" w:space="0" w:color="auto"/>
            </w:tcBorders>
            <w:shd w:val="clear" w:color="000000" w:fill="FFFFFF"/>
            <w:noWrap/>
            <w:vAlign w:val="bottom"/>
            <w:hideMark/>
          </w:tcPr>
          <w:p w14:paraId="48DDA64E" w14:textId="77777777" w:rsidR="00B56301" w:rsidRPr="00D85A26" w:rsidRDefault="00B56301" w:rsidP="00B37B65">
            <w:pPr>
              <w:jc w:val="right"/>
              <w:rPr>
                <w:rFonts w:asciiTheme="minorHAnsi" w:hAnsiTheme="minorHAnsi"/>
                <w:sz w:val="16"/>
                <w:szCs w:val="16"/>
              </w:rPr>
            </w:pPr>
            <w:r w:rsidRPr="00D85A26">
              <w:rPr>
                <w:sz w:val="16"/>
                <w:szCs w:val="18"/>
              </w:rPr>
              <w:t>2,09</w:t>
            </w:r>
          </w:p>
        </w:tc>
        <w:tc>
          <w:tcPr>
            <w:tcW w:w="991" w:type="dxa"/>
            <w:tcBorders>
              <w:top w:val="nil"/>
              <w:left w:val="nil"/>
              <w:bottom w:val="single" w:sz="4" w:space="0" w:color="auto"/>
              <w:right w:val="single" w:sz="4" w:space="0" w:color="auto"/>
            </w:tcBorders>
            <w:shd w:val="clear" w:color="000000" w:fill="FFFFFF"/>
            <w:noWrap/>
            <w:vAlign w:val="bottom"/>
            <w:hideMark/>
          </w:tcPr>
          <w:p w14:paraId="7A41DDA4" w14:textId="77777777" w:rsidR="00B56301" w:rsidRPr="00D85A26" w:rsidRDefault="00B56301" w:rsidP="00B37B65">
            <w:pPr>
              <w:jc w:val="right"/>
              <w:rPr>
                <w:rFonts w:asciiTheme="minorHAnsi" w:hAnsiTheme="minorHAnsi"/>
                <w:sz w:val="16"/>
                <w:szCs w:val="16"/>
              </w:rPr>
            </w:pPr>
            <w:r w:rsidRPr="00D85A26">
              <w:rPr>
                <w:sz w:val="16"/>
                <w:szCs w:val="18"/>
              </w:rPr>
              <w:t>2,06</w:t>
            </w:r>
          </w:p>
        </w:tc>
        <w:tc>
          <w:tcPr>
            <w:tcW w:w="991" w:type="dxa"/>
            <w:tcBorders>
              <w:top w:val="nil"/>
              <w:left w:val="nil"/>
              <w:bottom w:val="single" w:sz="4" w:space="0" w:color="auto"/>
              <w:right w:val="single" w:sz="4" w:space="0" w:color="auto"/>
            </w:tcBorders>
            <w:shd w:val="clear" w:color="000000" w:fill="FFFFFF"/>
            <w:noWrap/>
            <w:vAlign w:val="bottom"/>
            <w:hideMark/>
          </w:tcPr>
          <w:p w14:paraId="4BE0DE94" w14:textId="77777777" w:rsidR="00B56301" w:rsidRPr="00D85A26" w:rsidRDefault="00B56301" w:rsidP="00B37B65">
            <w:pPr>
              <w:jc w:val="right"/>
              <w:rPr>
                <w:rFonts w:asciiTheme="minorHAnsi" w:hAnsiTheme="minorHAnsi"/>
                <w:sz w:val="16"/>
                <w:szCs w:val="16"/>
              </w:rPr>
            </w:pPr>
            <w:r w:rsidRPr="00D85A26">
              <w:rPr>
                <w:sz w:val="16"/>
                <w:szCs w:val="18"/>
              </w:rPr>
              <w:t>2,04</w:t>
            </w:r>
          </w:p>
        </w:tc>
        <w:tc>
          <w:tcPr>
            <w:tcW w:w="991" w:type="dxa"/>
            <w:tcBorders>
              <w:top w:val="nil"/>
              <w:left w:val="nil"/>
              <w:bottom w:val="single" w:sz="4" w:space="0" w:color="auto"/>
              <w:right w:val="single" w:sz="4" w:space="0" w:color="auto"/>
            </w:tcBorders>
            <w:shd w:val="clear" w:color="000000" w:fill="FFFFFF"/>
            <w:noWrap/>
            <w:vAlign w:val="bottom"/>
            <w:hideMark/>
          </w:tcPr>
          <w:p w14:paraId="0CC7B34D" w14:textId="77777777" w:rsidR="00B56301" w:rsidRPr="00D85A26" w:rsidRDefault="00B56301" w:rsidP="00B37B65">
            <w:pPr>
              <w:jc w:val="right"/>
              <w:rPr>
                <w:rFonts w:asciiTheme="minorHAnsi" w:hAnsiTheme="minorHAnsi"/>
                <w:sz w:val="16"/>
                <w:szCs w:val="16"/>
              </w:rPr>
            </w:pPr>
            <w:r w:rsidRPr="00D85A26">
              <w:rPr>
                <w:sz w:val="16"/>
                <w:szCs w:val="18"/>
              </w:rPr>
              <w:t>2,02</w:t>
            </w:r>
          </w:p>
        </w:tc>
      </w:tr>
      <w:tr w:rsidR="00B56301" w:rsidRPr="00D85A26" w14:paraId="537CACD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453BA44" w14:textId="142B0253"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F.</w:t>
            </w:r>
            <w:r w:rsidR="00260E0B">
              <w:rPr>
                <w:rFonts w:asciiTheme="minorHAnsi" w:hAnsiTheme="minorHAnsi"/>
                <w:sz w:val="16"/>
                <w:szCs w:val="16"/>
              </w:rPr>
              <w:t xml:space="preserve"> </w:t>
            </w:r>
            <w:r w:rsidRPr="00D85A26">
              <w:rPr>
                <w:rFonts w:asciiTheme="minorHAnsi" w:hAnsiTheme="minorHAnsi"/>
                <w:sz w:val="16"/>
                <w:szCs w:val="16"/>
              </w:rPr>
              <w:t>Other land</w:t>
            </w:r>
          </w:p>
        </w:tc>
        <w:tc>
          <w:tcPr>
            <w:tcW w:w="991" w:type="dxa"/>
            <w:tcBorders>
              <w:top w:val="nil"/>
              <w:left w:val="nil"/>
              <w:bottom w:val="single" w:sz="4" w:space="0" w:color="auto"/>
              <w:right w:val="single" w:sz="4" w:space="0" w:color="auto"/>
            </w:tcBorders>
            <w:shd w:val="clear" w:color="000000" w:fill="FFFFFF"/>
            <w:noWrap/>
            <w:vAlign w:val="bottom"/>
            <w:hideMark/>
          </w:tcPr>
          <w:p w14:paraId="6B1D8709"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6D25748"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2E6B5E77"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813D7FD"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C52002A"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50DD43BE" w14:textId="77777777" w:rsidR="00B56301" w:rsidRPr="00D85A26" w:rsidRDefault="00B56301" w:rsidP="00B37B65">
            <w:pPr>
              <w:jc w:val="right"/>
              <w:rPr>
                <w:rFonts w:asciiTheme="minorHAnsi" w:hAnsiTheme="minorHAnsi"/>
                <w:sz w:val="16"/>
                <w:szCs w:val="16"/>
              </w:rPr>
            </w:pPr>
            <w:r w:rsidRPr="00D85A26">
              <w:rPr>
                <w:sz w:val="16"/>
                <w:szCs w:val="18"/>
              </w:rPr>
              <w:t>NO,NE</w:t>
            </w:r>
          </w:p>
        </w:tc>
      </w:tr>
      <w:tr w:rsidR="00B56301" w:rsidRPr="00D85A26" w14:paraId="06833B3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1004FC8" w14:textId="5104DED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Harvested wood products</w:t>
            </w:r>
          </w:p>
        </w:tc>
        <w:tc>
          <w:tcPr>
            <w:tcW w:w="991" w:type="dxa"/>
            <w:tcBorders>
              <w:top w:val="nil"/>
              <w:left w:val="nil"/>
              <w:bottom w:val="single" w:sz="4" w:space="0" w:color="auto"/>
              <w:right w:val="single" w:sz="4" w:space="0" w:color="auto"/>
            </w:tcBorders>
            <w:shd w:val="clear" w:color="000000" w:fill="969696"/>
            <w:noWrap/>
            <w:vAlign w:val="bottom"/>
            <w:hideMark/>
          </w:tcPr>
          <w:p w14:paraId="3401A00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D64BD1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5CB76DC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3FA60C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75E853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0292BD4"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05018E0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38430C1" w14:textId="41267C0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Other</w:t>
            </w:r>
            <w:r w:rsidR="00260E0B">
              <w:rPr>
                <w:rFonts w:asciiTheme="minorHAnsi" w:hAnsiTheme="minorHAnsi"/>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314F52A7"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4B2291E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08453952"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62B4BACE"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4A6F5DA2"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1" w:type="dxa"/>
            <w:tcBorders>
              <w:top w:val="nil"/>
              <w:left w:val="nil"/>
              <w:bottom w:val="single" w:sz="4" w:space="0" w:color="auto"/>
              <w:right w:val="single" w:sz="4" w:space="0" w:color="auto"/>
            </w:tcBorders>
            <w:shd w:val="clear" w:color="000000" w:fill="FFFFFF"/>
            <w:noWrap/>
            <w:vAlign w:val="bottom"/>
            <w:hideMark/>
          </w:tcPr>
          <w:p w14:paraId="2D67DFCD" w14:textId="77777777" w:rsidR="00B56301" w:rsidRPr="00D85A26" w:rsidRDefault="00B56301" w:rsidP="00B37B65">
            <w:pPr>
              <w:jc w:val="right"/>
              <w:rPr>
                <w:rFonts w:asciiTheme="minorHAnsi" w:hAnsiTheme="minorHAnsi"/>
                <w:sz w:val="16"/>
                <w:szCs w:val="16"/>
              </w:rPr>
            </w:pPr>
            <w:r w:rsidRPr="00D85A26">
              <w:rPr>
                <w:sz w:val="16"/>
                <w:szCs w:val="18"/>
              </w:rPr>
              <w:t>NA</w:t>
            </w:r>
          </w:p>
        </w:tc>
      </w:tr>
      <w:tr w:rsidR="00B56301" w:rsidRPr="00D85A26" w14:paraId="47A219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B31C48" w14:textId="7C718D8E"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5.</w:t>
            </w:r>
            <w:r w:rsidR="00260E0B">
              <w:rPr>
                <w:rFonts w:asciiTheme="minorHAnsi" w:hAnsiTheme="minorHAnsi"/>
                <w:b/>
                <w:bCs/>
                <w:sz w:val="16"/>
                <w:szCs w:val="16"/>
              </w:rPr>
              <w:t xml:space="preserve"> </w:t>
            </w:r>
            <w:r w:rsidRPr="00D85A26">
              <w:rPr>
                <w:rFonts w:asciiTheme="minorHAnsi" w:hAnsiTheme="minorHAnsi"/>
                <w:b/>
                <w:bCs/>
                <w:sz w:val="16"/>
                <w:szCs w:val="16"/>
              </w:rPr>
              <w:t>Waste</w:t>
            </w:r>
          </w:p>
        </w:tc>
        <w:tc>
          <w:tcPr>
            <w:tcW w:w="991" w:type="dxa"/>
            <w:tcBorders>
              <w:top w:val="nil"/>
              <w:left w:val="nil"/>
              <w:bottom w:val="single" w:sz="4" w:space="0" w:color="auto"/>
              <w:right w:val="single" w:sz="4" w:space="0" w:color="auto"/>
            </w:tcBorders>
            <w:shd w:val="clear" w:color="000000" w:fill="CCFFFF"/>
            <w:noWrap/>
            <w:vAlign w:val="bottom"/>
            <w:hideMark/>
          </w:tcPr>
          <w:p w14:paraId="1D50B94B" w14:textId="77777777" w:rsidR="00B56301" w:rsidRPr="00D85A26" w:rsidRDefault="00B56301" w:rsidP="00B37B65">
            <w:pPr>
              <w:jc w:val="right"/>
              <w:rPr>
                <w:rFonts w:asciiTheme="minorHAnsi" w:hAnsiTheme="minorHAnsi"/>
                <w:sz w:val="16"/>
                <w:szCs w:val="16"/>
              </w:rPr>
            </w:pPr>
            <w:r w:rsidRPr="00D85A26">
              <w:rPr>
                <w:sz w:val="16"/>
                <w:szCs w:val="18"/>
              </w:rPr>
              <w:t>2,11</w:t>
            </w:r>
          </w:p>
        </w:tc>
        <w:tc>
          <w:tcPr>
            <w:tcW w:w="991" w:type="dxa"/>
            <w:tcBorders>
              <w:top w:val="nil"/>
              <w:left w:val="nil"/>
              <w:bottom w:val="single" w:sz="4" w:space="0" w:color="auto"/>
              <w:right w:val="single" w:sz="4" w:space="0" w:color="auto"/>
            </w:tcBorders>
            <w:shd w:val="clear" w:color="000000" w:fill="CCFFFF"/>
            <w:noWrap/>
            <w:vAlign w:val="bottom"/>
            <w:hideMark/>
          </w:tcPr>
          <w:p w14:paraId="3CE1427F" w14:textId="77777777" w:rsidR="00B56301" w:rsidRPr="00D85A26" w:rsidRDefault="00B56301" w:rsidP="00B37B65">
            <w:pPr>
              <w:jc w:val="right"/>
              <w:rPr>
                <w:rFonts w:asciiTheme="minorHAnsi" w:hAnsiTheme="minorHAnsi"/>
                <w:sz w:val="16"/>
                <w:szCs w:val="16"/>
              </w:rPr>
            </w:pPr>
            <w:r w:rsidRPr="00D85A26">
              <w:rPr>
                <w:sz w:val="16"/>
                <w:szCs w:val="18"/>
              </w:rPr>
              <w:t>2,01</w:t>
            </w:r>
          </w:p>
        </w:tc>
        <w:tc>
          <w:tcPr>
            <w:tcW w:w="991" w:type="dxa"/>
            <w:tcBorders>
              <w:top w:val="nil"/>
              <w:left w:val="nil"/>
              <w:bottom w:val="single" w:sz="4" w:space="0" w:color="auto"/>
              <w:right w:val="single" w:sz="4" w:space="0" w:color="auto"/>
            </w:tcBorders>
            <w:shd w:val="clear" w:color="000000" w:fill="CCFFFF"/>
            <w:noWrap/>
            <w:vAlign w:val="bottom"/>
            <w:hideMark/>
          </w:tcPr>
          <w:p w14:paraId="28C0CA38" w14:textId="77777777" w:rsidR="00B56301" w:rsidRPr="00D85A26" w:rsidRDefault="00B56301" w:rsidP="00B37B65">
            <w:pPr>
              <w:jc w:val="right"/>
              <w:rPr>
                <w:rFonts w:asciiTheme="minorHAnsi" w:hAnsiTheme="minorHAnsi"/>
                <w:sz w:val="16"/>
                <w:szCs w:val="16"/>
              </w:rPr>
            </w:pPr>
            <w:r w:rsidRPr="00D85A26">
              <w:rPr>
                <w:sz w:val="16"/>
                <w:szCs w:val="18"/>
              </w:rPr>
              <w:t>2,05</w:t>
            </w:r>
          </w:p>
        </w:tc>
        <w:tc>
          <w:tcPr>
            <w:tcW w:w="991" w:type="dxa"/>
            <w:tcBorders>
              <w:top w:val="nil"/>
              <w:left w:val="nil"/>
              <w:bottom w:val="single" w:sz="4" w:space="0" w:color="auto"/>
              <w:right w:val="single" w:sz="4" w:space="0" w:color="auto"/>
            </w:tcBorders>
            <w:shd w:val="clear" w:color="000000" w:fill="CCFFFF"/>
            <w:noWrap/>
            <w:vAlign w:val="bottom"/>
            <w:hideMark/>
          </w:tcPr>
          <w:p w14:paraId="071A9625" w14:textId="77777777" w:rsidR="00B56301" w:rsidRPr="00D85A26" w:rsidRDefault="00B56301" w:rsidP="00B37B65">
            <w:pPr>
              <w:jc w:val="right"/>
              <w:rPr>
                <w:rFonts w:asciiTheme="minorHAnsi" w:hAnsiTheme="minorHAnsi"/>
                <w:sz w:val="16"/>
                <w:szCs w:val="16"/>
              </w:rPr>
            </w:pPr>
            <w:r w:rsidRPr="00D85A26">
              <w:rPr>
                <w:sz w:val="16"/>
                <w:szCs w:val="18"/>
              </w:rPr>
              <w:t>1,97</w:t>
            </w:r>
          </w:p>
        </w:tc>
        <w:tc>
          <w:tcPr>
            <w:tcW w:w="991" w:type="dxa"/>
            <w:tcBorders>
              <w:top w:val="nil"/>
              <w:left w:val="nil"/>
              <w:bottom w:val="single" w:sz="4" w:space="0" w:color="auto"/>
              <w:right w:val="single" w:sz="4" w:space="0" w:color="auto"/>
            </w:tcBorders>
            <w:shd w:val="clear" w:color="000000" w:fill="CCFFFF"/>
            <w:noWrap/>
            <w:vAlign w:val="bottom"/>
            <w:hideMark/>
          </w:tcPr>
          <w:p w14:paraId="21FECE14" w14:textId="77777777" w:rsidR="00B56301" w:rsidRPr="00D85A26" w:rsidRDefault="00B56301" w:rsidP="00B37B65">
            <w:pPr>
              <w:jc w:val="right"/>
              <w:rPr>
                <w:rFonts w:asciiTheme="minorHAnsi" w:hAnsiTheme="minorHAnsi"/>
                <w:sz w:val="16"/>
                <w:szCs w:val="16"/>
              </w:rPr>
            </w:pPr>
            <w:r w:rsidRPr="00D85A26">
              <w:rPr>
                <w:sz w:val="16"/>
                <w:szCs w:val="18"/>
              </w:rPr>
              <w:t>2,01</w:t>
            </w:r>
          </w:p>
        </w:tc>
        <w:tc>
          <w:tcPr>
            <w:tcW w:w="991" w:type="dxa"/>
            <w:tcBorders>
              <w:top w:val="nil"/>
              <w:left w:val="nil"/>
              <w:bottom w:val="single" w:sz="4" w:space="0" w:color="auto"/>
              <w:right w:val="single" w:sz="4" w:space="0" w:color="auto"/>
            </w:tcBorders>
            <w:shd w:val="clear" w:color="000000" w:fill="CCFFFF"/>
            <w:noWrap/>
            <w:vAlign w:val="bottom"/>
            <w:hideMark/>
          </w:tcPr>
          <w:p w14:paraId="4734976D" w14:textId="77777777" w:rsidR="00B56301" w:rsidRPr="00D85A26" w:rsidRDefault="00B56301" w:rsidP="00B37B65">
            <w:pPr>
              <w:jc w:val="right"/>
              <w:rPr>
                <w:rFonts w:asciiTheme="minorHAnsi" w:hAnsiTheme="minorHAnsi"/>
                <w:sz w:val="16"/>
                <w:szCs w:val="16"/>
              </w:rPr>
            </w:pPr>
            <w:r w:rsidRPr="00D85A26">
              <w:rPr>
                <w:sz w:val="16"/>
                <w:szCs w:val="18"/>
              </w:rPr>
              <w:t>1,91</w:t>
            </w:r>
          </w:p>
        </w:tc>
      </w:tr>
      <w:tr w:rsidR="00B56301" w:rsidRPr="00D85A26" w14:paraId="4331C06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0B342A0" w14:textId="2B507F71"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Solid waste disposal</w:t>
            </w:r>
            <w:r w:rsidRPr="00D85A26">
              <w:rPr>
                <w:rFonts w:asciiTheme="minorHAnsi" w:hAnsiTheme="minorHAnsi"/>
                <w:b/>
                <w:bCs/>
                <w:sz w:val="16"/>
                <w:szCs w:val="16"/>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680FBF0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F214823"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AD94E9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A7E11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726BF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CA5E43D"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5E4EA3AD"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6AE9A10" w14:textId="4A35D975"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B.</w:t>
            </w:r>
            <w:r w:rsidR="00260E0B">
              <w:rPr>
                <w:rFonts w:asciiTheme="minorHAnsi" w:hAnsiTheme="minorHAnsi"/>
                <w:sz w:val="16"/>
                <w:szCs w:val="16"/>
                <w:lang w:val="en-GB"/>
              </w:rPr>
              <w:t xml:space="preserve"> </w:t>
            </w:r>
            <w:r w:rsidRPr="00D85A26">
              <w:rPr>
                <w:rFonts w:asciiTheme="minorHAnsi" w:hAnsiTheme="minorHAnsi"/>
                <w:sz w:val="16"/>
                <w:szCs w:val="16"/>
                <w:lang w:val="en-GB"/>
              </w:rPr>
              <w:t>Biological treatment of solid waste</w:t>
            </w:r>
          </w:p>
        </w:tc>
        <w:tc>
          <w:tcPr>
            <w:tcW w:w="991" w:type="dxa"/>
            <w:tcBorders>
              <w:top w:val="nil"/>
              <w:left w:val="nil"/>
              <w:bottom w:val="single" w:sz="4" w:space="0" w:color="auto"/>
              <w:right w:val="single" w:sz="4" w:space="0" w:color="auto"/>
            </w:tcBorders>
            <w:shd w:val="clear" w:color="000000" w:fill="FFFFFF"/>
            <w:noWrap/>
            <w:vAlign w:val="bottom"/>
            <w:hideMark/>
          </w:tcPr>
          <w:p w14:paraId="53593A91" w14:textId="77777777" w:rsidR="00B56301" w:rsidRPr="00D85A26" w:rsidRDefault="00B56301" w:rsidP="00B37B65">
            <w:pPr>
              <w:jc w:val="right"/>
              <w:rPr>
                <w:rFonts w:asciiTheme="minorHAnsi" w:hAnsiTheme="minorHAnsi"/>
                <w:sz w:val="16"/>
                <w:szCs w:val="16"/>
              </w:rPr>
            </w:pPr>
            <w:r w:rsidRPr="00D85A26">
              <w:rPr>
                <w:sz w:val="16"/>
                <w:szCs w:val="18"/>
              </w:rPr>
              <w:t>0,63</w:t>
            </w:r>
          </w:p>
        </w:tc>
        <w:tc>
          <w:tcPr>
            <w:tcW w:w="991" w:type="dxa"/>
            <w:tcBorders>
              <w:top w:val="nil"/>
              <w:left w:val="nil"/>
              <w:bottom w:val="single" w:sz="4" w:space="0" w:color="auto"/>
              <w:right w:val="single" w:sz="4" w:space="0" w:color="auto"/>
            </w:tcBorders>
            <w:shd w:val="clear" w:color="000000" w:fill="FFFFFF"/>
            <w:noWrap/>
            <w:vAlign w:val="bottom"/>
            <w:hideMark/>
          </w:tcPr>
          <w:p w14:paraId="2128B5F4" w14:textId="77777777" w:rsidR="00B56301" w:rsidRPr="00D85A26" w:rsidRDefault="00B56301" w:rsidP="00B37B65">
            <w:pPr>
              <w:jc w:val="right"/>
              <w:rPr>
                <w:rFonts w:asciiTheme="minorHAnsi" w:hAnsiTheme="minorHAnsi"/>
                <w:sz w:val="16"/>
                <w:szCs w:val="16"/>
              </w:rPr>
            </w:pPr>
            <w:r w:rsidRPr="00D85A26">
              <w:rPr>
                <w:sz w:val="16"/>
                <w:szCs w:val="18"/>
              </w:rPr>
              <w:t>0,66</w:t>
            </w:r>
          </w:p>
        </w:tc>
        <w:tc>
          <w:tcPr>
            <w:tcW w:w="991" w:type="dxa"/>
            <w:tcBorders>
              <w:top w:val="nil"/>
              <w:left w:val="nil"/>
              <w:bottom w:val="single" w:sz="4" w:space="0" w:color="auto"/>
              <w:right w:val="single" w:sz="4" w:space="0" w:color="auto"/>
            </w:tcBorders>
            <w:shd w:val="clear" w:color="000000" w:fill="FFFFFF"/>
            <w:noWrap/>
            <w:vAlign w:val="bottom"/>
            <w:hideMark/>
          </w:tcPr>
          <w:p w14:paraId="31D90CFC" w14:textId="77777777" w:rsidR="00B56301" w:rsidRPr="00D85A26" w:rsidRDefault="00B56301" w:rsidP="00B37B65">
            <w:pPr>
              <w:jc w:val="right"/>
              <w:rPr>
                <w:rFonts w:asciiTheme="minorHAnsi" w:hAnsiTheme="minorHAnsi"/>
                <w:sz w:val="16"/>
                <w:szCs w:val="16"/>
              </w:rPr>
            </w:pPr>
            <w:r w:rsidRPr="00D85A26">
              <w:rPr>
                <w:sz w:val="16"/>
                <w:szCs w:val="18"/>
              </w:rPr>
              <w:t>0,66</w:t>
            </w:r>
          </w:p>
        </w:tc>
        <w:tc>
          <w:tcPr>
            <w:tcW w:w="991" w:type="dxa"/>
            <w:tcBorders>
              <w:top w:val="nil"/>
              <w:left w:val="nil"/>
              <w:bottom w:val="single" w:sz="4" w:space="0" w:color="auto"/>
              <w:right w:val="single" w:sz="4" w:space="0" w:color="auto"/>
            </w:tcBorders>
            <w:shd w:val="clear" w:color="000000" w:fill="FFFFFF"/>
            <w:noWrap/>
            <w:vAlign w:val="bottom"/>
            <w:hideMark/>
          </w:tcPr>
          <w:p w14:paraId="6ED3F3FD" w14:textId="77777777" w:rsidR="00B56301" w:rsidRPr="00D85A26" w:rsidRDefault="00B56301" w:rsidP="00B37B65">
            <w:pPr>
              <w:jc w:val="right"/>
              <w:rPr>
                <w:rFonts w:asciiTheme="minorHAnsi" w:hAnsiTheme="minorHAnsi"/>
                <w:sz w:val="16"/>
                <w:szCs w:val="16"/>
              </w:rPr>
            </w:pPr>
            <w:r w:rsidRPr="00D85A26">
              <w:rPr>
                <w:sz w:val="16"/>
                <w:szCs w:val="18"/>
              </w:rPr>
              <w:t>0,67</w:t>
            </w:r>
          </w:p>
        </w:tc>
        <w:tc>
          <w:tcPr>
            <w:tcW w:w="991" w:type="dxa"/>
            <w:tcBorders>
              <w:top w:val="nil"/>
              <w:left w:val="nil"/>
              <w:bottom w:val="single" w:sz="4" w:space="0" w:color="auto"/>
              <w:right w:val="single" w:sz="4" w:space="0" w:color="auto"/>
            </w:tcBorders>
            <w:shd w:val="clear" w:color="000000" w:fill="FFFFFF"/>
            <w:noWrap/>
            <w:vAlign w:val="bottom"/>
            <w:hideMark/>
          </w:tcPr>
          <w:p w14:paraId="544425F2" w14:textId="77777777" w:rsidR="00B56301" w:rsidRPr="00D85A26" w:rsidRDefault="00B56301" w:rsidP="00B37B65">
            <w:pPr>
              <w:jc w:val="right"/>
              <w:rPr>
                <w:rFonts w:asciiTheme="minorHAnsi" w:hAnsiTheme="minorHAnsi"/>
                <w:sz w:val="16"/>
                <w:szCs w:val="16"/>
              </w:rPr>
            </w:pPr>
            <w:r w:rsidRPr="00D85A26">
              <w:rPr>
                <w:sz w:val="16"/>
                <w:szCs w:val="18"/>
              </w:rPr>
              <w:t>0,69</w:t>
            </w:r>
          </w:p>
        </w:tc>
        <w:tc>
          <w:tcPr>
            <w:tcW w:w="991" w:type="dxa"/>
            <w:tcBorders>
              <w:top w:val="nil"/>
              <w:left w:val="nil"/>
              <w:bottom w:val="single" w:sz="4" w:space="0" w:color="auto"/>
              <w:right w:val="single" w:sz="4" w:space="0" w:color="auto"/>
            </w:tcBorders>
            <w:shd w:val="clear" w:color="000000" w:fill="FFFFFF"/>
            <w:noWrap/>
            <w:vAlign w:val="bottom"/>
            <w:hideMark/>
          </w:tcPr>
          <w:p w14:paraId="5570AAA0" w14:textId="77777777" w:rsidR="00B56301" w:rsidRPr="00D85A26" w:rsidRDefault="00B56301" w:rsidP="00B37B65">
            <w:pPr>
              <w:jc w:val="right"/>
              <w:rPr>
                <w:rFonts w:asciiTheme="minorHAnsi" w:hAnsiTheme="minorHAnsi"/>
                <w:sz w:val="16"/>
                <w:szCs w:val="16"/>
              </w:rPr>
            </w:pPr>
            <w:r w:rsidRPr="00D85A26">
              <w:rPr>
                <w:sz w:val="16"/>
                <w:szCs w:val="18"/>
              </w:rPr>
              <w:t>0,72</w:t>
            </w:r>
          </w:p>
        </w:tc>
      </w:tr>
      <w:tr w:rsidR="00B56301" w:rsidRPr="00D85A26" w14:paraId="08E7992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E9FEBD" w14:textId="0EE43B51"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C.</w:t>
            </w:r>
            <w:r w:rsidR="00260E0B">
              <w:rPr>
                <w:rFonts w:asciiTheme="minorHAnsi" w:hAnsiTheme="minorHAnsi"/>
                <w:sz w:val="16"/>
                <w:szCs w:val="16"/>
                <w:lang w:val="en-GB"/>
              </w:rPr>
              <w:t xml:space="preserve"> </w:t>
            </w:r>
            <w:r w:rsidRPr="00D85A26">
              <w:rPr>
                <w:rFonts w:asciiTheme="minorHAnsi" w:hAnsiTheme="minorHAnsi"/>
                <w:sz w:val="16"/>
                <w:szCs w:val="16"/>
                <w:lang w:val="en-GB"/>
              </w:rPr>
              <w:t>Incineration and open burning of waste</w:t>
            </w:r>
          </w:p>
        </w:tc>
        <w:tc>
          <w:tcPr>
            <w:tcW w:w="991" w:type="dxa"/>
            <w:tcBorders>
              <w:top w:val="nil"/>
              <w:left w:val="nil"/>
              <w:bottom w:val="single" w:sz="4" w:space="0" w:color="auto"/>
              <w:right w:val="single" w:sz="4" w:space="0" w:color="auto"/>
            </w:tcBorders>
            <w:shd w:val="clear" w:color="000000" w:fill="FFFFFF"/>
            <w:noWrap/>
            <w:vAlign w:val="bottom"/>
            <w:hideMark/>
          </w:tcPr>
          <w:p w14:paraId="70DE58CC" w14:textId="77777777" w:rsidR="00B56301" w:rsidRPr="00D85A26" w:rsidRDefault="00B56301" w:rsidP="00B37B65">
            <w:pPr>
              <w:jc w:val="right"/>
              <w:rPr>
                <w:rFonts w:asciiTheme="minorHAnsi" w:hAnsiTheme="minorHAnsi"/>
                <w:sz w:val="16"/>
                <w:szCs w:val="16"/>
              </w:rPr>
            </w:pPr>
            <w:r w:rsidRPr="00D85A26">
              <w:rPr>
                <w:sz w:val="16"/>
                <w:szCs w:val="18"/>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1D017688" w14:textId="77777777" w:rsidR="00B56301" w:rsidRPr="00D85A26" w:rsidRDefault="00B56301" w:rsidP="00B37B65">
            <w:pPr>
              <w:jc w:val="right"/>
              <w:rPr>
                <w:rFonts w:asciiTheme="minorHAnsi" w:hAnsiTheme="minorHAnsi"/>
                <w:sz w:val="16"/>
                <w:szCs w:val="16"/>
              </w:rPr>
            </w:pPr>
            <w:r w:rsidRPr="00D85A26">
              <w:rPr>
                <w:sz w:val="16"/>
                <w:szCs w:val="18"/>
              </w:rPr>
              <w:t>0,18</w:t>
            </w:r>
          </w:p>
        </w:tc>
        <w:tc>
          <w:tcPr>
            <w:tcW w:w="991" w:type="dxa"/>
            <w:tcBorders>
              <w:top w:val="nil"/>
              <w:left w:val="nil"/>
              <w:bottom w:val="single" w:sz="4" w:space="0" w:color="auto"/>
              <w:right w:val="single" w:sz="4" w:space="0" w:color="auto"/>
            </w:tcBorders>
            <w:shd w:val="clear" w:color="000000" w:fill="FFFFFF"/>
            <w:noWrap/>
            <w:vAlign w:val="bottom"/>
            <w:hideMark/>
          </w:tcPr>
          <w:p w14:paraId="5C2D12F3"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991" w:type="dxa"/>
            <w:tcBorders>
              <w:top w:val="nil"/>
              <w:left w:val="nil"/>
              <w:bottom w:val="single" w:sz="4" w:space="0" w:color="auto"/>
              <w:right w:val="single" w:sz="4" w:space="0" w:color="auto"/>
            </w:tcBorders>
            <w:shd w:val="clear" w:color="000000" w:fill="FFFFFF"/>
            <w:noWrap/>
            <w:vAlign w:val="bottom"/>
            <w:hideMark/>
          </w:tcPr>
          <w:p w14:paraId="483CE26C" w14:textId="77777777" w:rsidR="00B56301" w:rsidRPr="00D85A26" w:rsidRDefault="00B56301" w:rsidP="00B37B65">
            <w:pPr>
              <w:jc w:val="right"/>
              <w:rPr>
                <w:rFonts w:asciiTheme="minorHAnsi" w:hAnsiTheme="minorHAnsi"/>
                <w:sz w:val="16"/>
                <w:szCs w:val="16"/>
              </w:rPr>
            </w:pPr>
            <w:r w:rsidRPr="00D85A26">
              <w:rPr>
                <w:sz w:val="16"/>
                <w:szCs w:val="18"/>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62C72385" w14:textId="77777777" w:rsidR="00B56301" w:rsidRPr="00D85A26" w:rsidRDefault="00B56301" w:rsidP="00B37B65">
            <w:pPr>
              <w:jc w:val="right"/>
              <w:rPr>
                <w:rFonts w:asciiTheme="minorHAnsi" w:hAnsiTheme="minorHAnsi"/>
                <w:sz w:val="16"/>
                <w:szCs w:val="16"/>
              </w:rPr>
            </w:pPr>
            <w:r w:rsidRPr="00D85A26">
              <w:rPr>
                <w:sz w:val="16"/>
                <w:szCs w:val="18"/>
              </w:rPr>
              <w:t>0,22</w:t>
            </w:r>
          </w:p>
        </w:tc>
        <w:tc>
          <w:tcPr>
            <w:tcW w:w="991" w:type="dxa"/>
            <w:tcBorders>
              <w:top w:val="nil"/>
              <w:left w:val="nil"/>
              <w:bottom w:val="single" w:sz="4" w:space="0" w:color="auto"/>
              <w:right w:val="single" w:sz="4" w:space="0" w:color="auto"/>
            </w:tcBorders>
            <w:shd w:val="clear" w:color="000000" w:fill="FFFFFF"/>
            <w:noWrap/>
            <w:vAlign w:val="bottom"/>
            <w:hideMark/>
          </w:tcPr>
          <w:p w14:paraId="0CAAA0CD" w14:textId="77777777" w:rsidR="00B56301" w:rsidRPr="00D85A26" w:rsidRDefault="00B56301" w:rsidP="00B37B65">
            <w:pPr>
              <w:jc w:val="right"/>
              <w:rPr>
                <w:rFonts w:asciiTheme="minorHAnsi" w:hAnsiTheme="minorHAnsi"/>
                <w:sz w:val="16"/>
                <w:szCs w:val="16"/>
              </w:rPr>
            </w:pPr>
            <w:r w:rsidRPr="00D85A26">
              <w:rPr>
                <w:sz w:val="16"/>
                <w:szCs w:val="18"/>
              </w:rPr>
              <w:t>0,12</w:t>
            </w:r>
          </w:p>
        </w:tc>
      </w:tr>
      <w:tr w:rsidR="00B56301" w:rsidRPr="00D85A26" w14:paraId="3A17CCA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7EAA430" w14:textId="64C455C9" w:rsidR="00B56301" w:rsidRPr="0034391E" w:rsidRDefault="00B56301" w:rsidP="00B37B65">
            <w:pPr>
              <w:ind w:firstLineChars="200" w:firstLine="320"/>
              <w:jc w:val="left"/>
              <w:rPr>
                <w:rFonts w:asciiTheme="minorHAnsi" w:hAnsiTheme="minorHAnsi"/>
                <w:sz w:val="16"/>
                <w:szCs w:val="16"/>
                <w:lang w:val="en-GB"/>
              </w:rPr>
            </w:pPr>
            <w:r w:rsidRPr="0034391E">
              <w:rPr>
                <w:rFonts w:asciiTheme="minorHAnsi" w:hAnsiTheme="minorHAnsi"/>
                <w:sz w:val="16"/>
                <w:szCs w:val="16"/>
                <w:lang w:val="en-GB"/>
              </w:rPr>
              <w:t>D.</w:t>
            </w:r>
            <w:r w:rsidR="00260E0B">
              <w:rPr>
                <w:rFonts w:asciiTheme="minorHAnsi" w:hAnsiTheme="minorHAnsi"/>
                <w:sz w:val="16"/>
                <w:szCs w:val="16"/>
                <w:lang w:val="en-GB"/>
              </w:rPr>
              <w:t xml:space="preserve"> </w:t>
            </w:r>
            <w:r w:rsidRPr="0034391E">
              <w:rPr>
                <w:rFonts w:asciiTheme="minorHAnsi" w:hAnsiTheme="minorHAnsi"/>
                <w:sz w:val="16"/>
                <w:szCs w:val="16"/>
                <w:lang w:val="en-GB"/>
              </w:rPr>
              <w:t>Waste water treatment and discharge</w:t>
            </w:r>
          </w:p>
        </w:tc>
        <w:tc>
          <w:tcPr>
            <w:tcW w:w="991" w:type="dxa"/>
            <w:tcBorders>
              <w:top w:val="nil"/>
              <w:left w:val="nil"/>
              <w:bottom w:val="single" w:sz="4" w:space="0" w:color="auto"/>
              <w:right w:val="single" w:sz="4" w:space="0" w:color="auto"/>
            </w:tcBorders>
            <w:shd w:val="clear" w:color="000000" w:fill="FFFFFF"/>
            <w:noWrap/>
            <w:vAlign w:val="bottom"/>
            <w:hideMark/>
          </w:tcPr>
          <w:p w14:paraId="3FA9A26D" w14:textId="77777777" w:rsidR="00B56301" w:rsidRPr="0034391E" w:rsidRDefault="00B56301" w:rsidP="00B37B65">
            <w:pPr>
              <w:jc w:val="right"/>
              <w:rPr>
                <w:rFonts w:asciiTheme="minorHAnsi" w:hAnsiTheme="minorHAnsi"/>
                <w:sz w:val="16"/>
                <w:szCs w:val="16"/>
              </w:rPr>
            </w:pPr>
            <w:r w:rsidRPr="0034391E">
              <w:rPr>
                <w:sz w:val="16"/>
                <w:szCs w:val="16"/>
              </w:rPr>
              <w:t>1,32</w:t>
            </w:r>
          </w:p>
        </w:tc>
        <w:tc>
          <w:tcPr>
            <w:tcW w:w="991" w:type="dxa"/>
            <w:tcBorders>
              <w:top w:val="nil"/>
              <w:left w:val="nil"/>
              <w:bottom w:val="single" w:sz="4" w:space="0" w:color="auto"/>
              <w:right w:val="single" w:sz="4" w:space="0" w:color="auto"/>
            </w:tcBorders>
            <w:shd w:val="clear" w:color="000000" w:fill="FFFFFF"/>
            <w:noWrap/>
            <w:vAlign w:val="bottom"/>
            <w:hideMark/>
          </w:tcPr>
          <w:p w14:paraId="69C8F308" w14:textId="77777777" w:rsidR="00B56301" w:rsidRPr="0034391E" w:rsidRDefault="00B56301" w:rsidP="00B37B65">
            <w:pPr>
              <w:jc w:val="right"/>
              <w:rPr>
                <w:rFonts w:asciiTheme="minorHAnsi" w:hAnsiTheme="minorHAnsi"/>
                <w:sz w:val="16"/>
                <w:szCs w:val="16"/>
              </w:rPr>
            </w:pPr>
            <w:r w:rsidRPr="0034391E">
              <w:rPr>
                <w:sz w:val="16"/>
                <w:szCs w:val="16"/>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5D206607" w14:textId="77777777" w:rsidR="00B56301" w:rsidRPr="0034391E" w:rsidRDefault="00B56301" w:rsidP="00B37B65">
            <w:pPr>
              <w:jc w:val="right"/>
              <w:rPr>
                <w:rFonts w:asciiTheme="minorHAnsi" w:hAnsiTheme="minorHAnsi"/>
                <w:sz w:val="16"/>
                <w:szCs w:val="16"/>
              </w:rPr>
            </w:pPr>
            <w:r w:rsidRPr="0034391E">
              <w:rPr>
                <w:sz w:val="16"/>
                <w:szCs w:val="16"/>
              </w:rPr>
              <w:t>1,17</w:t>
            </w:r>
          </w:p>
        </w:tc>
        <w:tc>
          <w:tcPr>
            <w:tcW w:w="991" w:type="dxa"/>
            <w:tcBorders>
              <w:top w:val="nil"/>
              <w:left w:val="nil"/>
              <w:bottom w:val="single" w:sz="4" w:space="0" w:color="auto"/>
              <w:right w:val="single" w:sz="4" w:space="0" w:color="auto"/>
            </w:tcBorders>
            <w:shd w:val="clear" w:color="000000" w:fill="FFFFFF"/>
            <w:noWrap/>
            <w:vAlign w:val="bottom"/>
            <w:hideMark/>
          </w:tcPr>
          <w:p w14:paraId="3EF6F881" w14:textId="77777777" w:rsidR="00B56301" w:rsidRPr="0034391E" w:rsidRDefault="00B56301" w:rsidP="00B37B65">
            <w:pPr>
              <w:jc w:val="right"/>
              <w:rPr>
                <w:rFonts w:asciiTheme="minorHAnsi" w:hAnsiTheme="minorHAnsi"/>
                <w:sz w:val="16"/>
                <w:szCs w:val="16"/>
              </w:rPr>
            </w:pPr>
            <w:r w:rsidRPr="0034391E">
              <w:rPr>
                <w:sz w:val="16"/>
                <w:szCs w:val="16"/>
              </w:rPr>
              <w:t>1,14</w:t>
            </w:r>
          </w:p>
        </w:tc>
        <w:tc>
          <w:tcPr>
            <w:tcW w:w="991" w:type="dxa"/>
            <w:tcBorders>
              <w:top w:val="nil"/>
              <w:left w:val="nil"/>
              <w:bottom w:val="single" w:sz="4" w:space="0" w:color="auto"/>
              <w:right w:val="single" w:sz="4" w:space="0" w:color="auto"/>
            </w:tcBorders>
            <w:shd w:val="clear" w:color="000000" w:fill="FFFFFF"/>
            <w:noWrap/>
            <w:vAlign w:val="bottom"/>
            <w:hideMark/>
          </w:tcPr>
          <w:p w14:paraId="23A83E2A" w14:textId="77777777" w:rsidR="00B56301" w:rsidRPr="0034391E" w:rsidRDefault="00B56301" w:rsidP="00B37B65">
            <w:pPr>
              <w:jc w:val="right"/>
              <w:rPr>
                <w:rFonts w:asciiTheme="minorHAnsi" w:hAnsiTheme="minorHAnsi"/>
                <w:sz w:val="16"/>
                <w:szCs w:val="16"/>
              </w:rPr>
            </w:pPr>
            <w:r w:rsidRPr="0034391E">
              <w:rPr>
                <w:sz w:val="16"/>
                <w:szCs w:val="16"/>
              </w:rPr>
              <w:t>1,09</w:t>
            </w:r>
          </w:p>
        </w:tc>
        <w:tc>
          <w:tcPr>
            <w:tcW w:w="991" w:type="dxa"/>
            <w:tcBorders>
              <w:top w:val="nil"/>
              <w:left w:val="nil"/>
              <w:bottom w:val="single" w:sz="4" w:space="0" w:color="auto"/>
              <w:right w:val="single" w:sz="4" w:space="0" w:color="auto"/>
            </w:tcBorders>
            <w:shd w:val="clear" w:color="000000" w:fill="FFFFFF"/>
            <w:noWrap/>
            <w:vAlign w:val="bottom"/>
            <w:hideMark/>
          </w:tcPr>
          <w:p w14:paraId="086587CF" w14:textId="77777777" w:rsidR="00B56301" w:rsidRPr="0034391E" w:rsidRDefault="00B56301" w:rsidP="00B37B65">
            <w:pPr>
              <w:jc w:val="right"/>
              <w:rPr>
                <w:rFonts w:asciiTheme="minorHAnsi" w:hAnsiTheme="minorHAnsi"/>
                <w:sz w:val="16"/>
                <w:szCs w:val="16"/>
              </w:rPr>
            </w:pPr>
            <w:r w:rsidRPr="0034391E">
              <w:rPr>
                <w:sz w:val="16"/>
                <w:szCs w:val="16"/>
              </w:rPr>
              <w:t>1,08</w:t>
            </w:r>
          </w:p>
        </w:tc>
      </w:tr>
      <w:tr w:rsidR="00B56301" w:rsidRPr="00D85A26" w14:paraId="6D1993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3E138600" w14:textId="5B1BE52C" w:rsidR="00B56301" w:rsidRPr="0034391E" w:rsidRDefault="00B56301" w:rsidP="00B37B65">
            <w:pPr>
              <w:ind w:firstLineChars="200" w:firstLine="320"/>
              <w:jc w:val="left"/>
              <w:rPr>
                <w:rFonts w:asciiTheme="minorHAnsi" w:hAnsiTheme="minorHAnsi"/>
                <w:sz w:val="16"/>
                <w:szCs w:val="16"/>
              </w:rPr>
            </w:pPr>
            <w:r w:rsidRPr="0034391E">
              <w:rPr>
                <w:rFonts w:asciiTheme="minorHAnsi" w:hAnsiTheme="minorHAnsi"/>
                <w:sz w:val="16"/>
                <w:szCs w:val="16"/>
              </w:rPr>
              <w:t>E.</w:t>
            </w:r>
            <w:r w:rsidR="00260E0B">
              <w:rPr>
                <w:rFonts w:asciiTheme="minorHAnsi" w:hAnsiTheme="minorHAnsi"/>
                <w:sz w:val="16"/>
                <w:szCs w:val="16"/>
              </w:rPr>
              <w:t xml:space="preserve"> </w:t>
            </w:r>
            <w:r w:rsidRPr="0034391E">
              <w:rPr>
                <w:rFonts w:asciiTheme="minorHAnsi" w:hAnsiTheme="minorHAnsi"/>
                <w:sz w:val="16"/>
                <w:szCs w:val="16"/>
              </w:rPr>
              <w:t>Other</w:t>
            </w:r>
            <w:r w:rsidRPr="0034391E">
              <w:rPr>
                <w:rFonts w:asciiTheme="minorHAnsi" w:hAnsiTheme="minorHAnsi"/>
                <w:b/>
                <w:bCs/>
                <w:i/>
                <w:iCs/>
                <w:sz w:val="16"/>
                <w:szCs w:val="16"/>
              </w:rPr>
              <w:t xml:space="preserve"> </w:t>
            </w:r>
          </w:p>
        </w:tc>
        <w:tc>
          <w:tcPr>
            <w:tcW w:w="991" w:type="dxa"/>
            <w:tcBorders>
              <w:top w:val="nil"/>
              <w:left w:val="nil"/>
              <w:bottom w:val="single" w:sz="4" w:space="0" w:color="auto"/>
              <w:right w:val="single" w:sz="4" w:space="0" w:color="auto"/>
            </w:tcBorders>
            <w:shd w:val="clear" w:color="000000" w:fill="FFFFFF"/>
            <w:noWrap/>
            <w:vAlign w:val="bottom"/>
            <w:hideMark/>
          </w:tcPr>
          <w:p w14:paraId="0E088B9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8DFCE4F"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3CFA9E37"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75948502"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5DBFA68B"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FFFFFF"/>
            <w:noWrap/>
            <w:vAlign w:val="bottom"/>
            <w:hideMark/>
          </w:tcPr>
          <w:p w14:paraId="1C65166A"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7CC3C88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094C1C5A" w14:textId="5833AB10"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1" w:type="dxa"/>
            <w:tcBorders>
              <w:top w:val="nil"/>
              <w:left w:val="nil"/>
              <w:bottom w:val="single" w:sz="4" w:space="0" w:color="auto"/>
              <w:right w:val="single" w:sz="4" w:space="0" w:color="auto"/>
            </w:tcBorders>
            <w:shd w:val="clear" w:color="000000" w:fill="CCFFFF"/>
            <w:noWrap/>
            <w:vAlign w:val="bottom"/>
            <w:hideMark/>
          </w:tcPr>
          <w:p w14:paraId="47E85FEB"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38B48F31"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1E615F5"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72E51298"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59075312"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1" w:type="dxa"/>
            <w:tcBorders>
              <w:top w:val="nil"/>
              <w:left w:val="nil"/>
              <w:bottom w:val="single" w:sz="4" w:space="0" w:color="auto"/>
              <w:right w:val="single" w:sz="4" w:space="0" w:color="auto"/>
            </w:tcBorders>
            <w:shd w:val="clear" w:color="000000" w:fill="CCFFFF"/>
            <w:noWrap/>
            <w:vAlign w:val="bottom"/>
            <w:hideMark/>
          </w:tcPr>
          <w:p w14:paraId="090AC211" w14:textId="77777777" w:rsidR="00B56301" w:rsidRPr="0034391E" w:rsidRDefault="00B56301" w:rsidP="00B37B65">
            <w:pPr>
              <w:jc w:val="right"/>
              <w:rPr>
                <w:rFonts w:asciiTheme="minorHAnsi" w:hAnsiTheme="minorHAnsi"/>
                <w:sz w:val="16"/>
                <w:szCs w:val="16"/>
              </w:rPr>
            </w:pPr>
            <w:r w:rsidRPr="0034391E">
              <w:rPr>
                <w:sz w:val="16"/>
                <w:szCs w:val="16"/>
              </w:rPr>
              <w:t>NO</w:t>
            </w:r>
          </w:p>
        </w:tc>
      </w:tr>
      <w:tr w:rsidR="00B56301" w:rsidRPr="00D85A26" w14:paraId="033FDF7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7DF2139A" w14:textId="14AA579F"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without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nil"/>
              <w:bottom w:val="single" w:sz="4" w:space="0" w:color="auto"/>
              <w:right w:val="single" w:sz="4" w:space="0" w:color="auto"/>
            </w:tcBorders>
            <w:shd w:val="clear" w:color="000000" w:fill="CCFFFF"/>
            <w:noWrap/>
            <w:vAlign w:val="bottom"/>
            <w:hideMark/>
          </w:tcPr>
          <w:p w14:paraId="4AE6EC50" w14:textId="77777777" w:rsidR="00B56301" w:rsidRPr="0034391E" w:rsidRDefault="00B56301" w:rsidP="00B37B65">
            <w:pPr>
              <w:jc w:val="right"/>
              <w:rPr>
                <w:rFonts w:asciiTheme="minorHAnsi" w:hAnsiTheme="minorHAnsi"/>
                <w:sz w:val="16"/>
                <w:szCs w:val="16"/>
              </w:rPr>
            </w:pPr>
            <w:r w:rsidRPr="0034391E">
              <w:rPr>
                <w:sz w:val="16"/>
                <w:szCs w:val="16"/>
              </w:rPr>
              <w:t>130,64</w:t>
            </w:r>
          </w:p>
        </w:tc>
        <w:tc>
          <w:tcPr>
            <w:tcW w:w="991" w:type="dxa"/>
            <w:tcBorders>
              <w:top w:val="nil"/>
              <w:left w:val="nil"/>
              <w:bottom w:val="single" w:sz="4" w:space="0" w:color="auto"/>
              <w:right w:val="single" w:sz="4" w:space="0" w:color="auto"/>
            </w:tcBorders>
            <w:shd w:val="clear" w:color="000000" w:fill="CCFFFF"/>
            <w:noWrap/>
            <w:vAlign w:val="bottom"/>
            <w:hideMark/>
          </w:tcPr>
          <w:p w14:paraId="18048C29" w14:textId="77777777" w:rsidR="00B56301" w:rsidRPr="0034391E" w:rsidRDefault="00B56301" w:rsidP="00B37B65">
            <w:pPr>
              <w:jc w:val="right"/>
              <w:rPr>
                <w:rFonts w:asciiTheme="minorHAnsi" w:hAnsiTheme="minorHAnsi"/>
                <w:sz w:val="16"/>
                <w:szCs w:val="16"/>
              </w:rPr>
            </w:pPr>
            <w:r w:rsidRPr="0034391E">
              <w:rPr>
                <w:sz w:val="16"/>
                <w:szCs w:val="16"/>
              </w:rPr>
              <w:t>134,44</w:t>
            </w:r>
          </w:p>
        </w:tc>
        <w:tc>
          <w:tcPr>
            <w:tcW w:w="991" w:type="dxa"/>
            <w:tcBorders>
              <w:top w:val="nil"/>
              <w:left w:val="nil"/>
              <w:bottom w:val="single" w:sz="4" w:space="0" w:color="auto"/>
              <w:right w:val="single" w:sz="4" w:space="0" w:color="auto"/>
            </w:tcBorders>
            <w:shd w:val="clear" w:color="000000" w:fill="CCFFFF"/>
            <w:noWrap/>
            <w:vAlign w:val="bottom"/>
            <w:hideMark/>
          </w:tcPr>
          <w:p w14:paraId="0181C53C" w14:textId="77777777" w:rsidR="00B56301" w:rsidRPr="0034391E" w:rsidRDefault="00B56301" w:rsidP="00B37B65">
            <w:pPr>
              <w:jc w:val="right"/>
              <w:rPr>
                <w:rFonts w:asciiTheme="minorHAnsi" w:hAnsiTheme="minorHAnsi"/>
                <w:sz w:val="16"/>
                <w:szCs w:val="16"/>
              </w:rPr>
            </w:pPr>
            <w:r w:rsidRPr="0034391E">
              <w:rPr>
                <w:sz w:val="16"/>
                <w:szCs w:val="16"/>
              </w:rPr>
              <w:t>133,88</w:t>
            </w:r>
          </w:p>
        </w:tc>
        <w:tc>
          <w:tcPr>
            <w:tcW w:w="991" w:type="dxa"/>
            <w:tcBorders>
              <w:top w:val="nil"/>
              <w:left w:val="nil"/>
              <w:bottom w:val="single" w:sz="4" w:space="0" w:color="auto"/>
              <w:right w:val="single" w:sz="4" w:space="0" w:color="auto"/>
            </w:tcBorders>
            <w:shd w:val="clear" w:color="000000" w:fill="CCFFFF"/>
            <w:noWrap/>
            <w:vAlign w:val="bottom"/>
            <w:hideMark/>
          </w:tcPr>
          <w:p w14:paraId="6A783515" w14:textId="77777777" w:rsidR="00B56301" w:rsidRPr="0034391E" w:rsidRDefault="00B56301" w:rsidP="00B37B65">
            <w:pPr>
              <w:jc w:val="right"/>
              <w:rPr>
                <w:rFonts w:asciiTheme="minorHAnsi" w:hAnsiTheme="minorHAnsi"/>
                <w:sz w:val="16"/>
                <w:szCs w:val="16"/>
              </w:rPr>
            </w:pPr>
            <w:r w:rsidRPr="0034391E">
              <w:rPr>
                <w:sz w:val="16"/>
                <w:szCs w:val="16"/>
              </w:rPr>
              <w:t>130,17</w:t>
            </w:r>
          </w:p>
        </w:tc>
        <w:tc>
          <w:tcPr>
            <w:tcW w:w="991" w:type="dxa"/>
            <w:tcBorders>
              <w:top w:val="nil"/>
              <w:left w:val="nil"/>
              <w:bottom w:val="single" w:sz="4" w:space="0" w:color="auto"/>
              <w:right w:val="single" w:sz="4" w:space="0" w:color="auto"/>
            </w:tcBorders>
            <w:shd w:val="clear" w:color="000000" w:fill="CCFFFF"/>
            <w:noWrap/>
            <w:vAlign w:val="bottom"/>
            <w:hideMark/>
          </w:tcPr>
          <w:p w14:paraId="20995FDE" w14:textId="77777777" w:rsidR="00B56301" w:rsidRPr="0034391E" w:rsidRDefault="00B56301" w:rsidP="00B37B65">
            <w:pPr>
              <w:jc w:val="right"/>
              <w:rPr>
                <w:rFonts w:asciiTheme="minorHAnsi" w:hAnsiTheme="minorHAnsi"/>
                <w:sz w:val="16"/>
                <w:szCs w:val="16"/>
              </w:rPr>
            </w:pPr>
            <w:r w:rsidRPr="0034391E">
              <w:rPr>
                <w:sz w:val="16"/>
                <w:szCs w:val="16"/>
              </w:rPr>
              <w:t>134,77</w:t>
            </w:r>
          </w:p>
        </w:tc>
        <w:tc>
          <w:tcPr>
            <w:tcW w:w="991" w:type="dxa"/>
            <w:tcBorders>
              <w:top w:val="nil"/>
              <w:left w:val="nil"/>
              <w:bottom w:val="single" w:sz="4" w:space="0" w:color="auto"/>
              <w:right w:val="single" w:sz="4" w:space="0" w:color="auto"/>
            </w:tcBorders>
            <w:shd w:val="clear" w:color="000000" w:fill="CCFFFF"/>
            <w:noWrap/>
            <w:vAlign w:val="bottom"/>
            <w:hideMark/>
          </w:tcPr>
          <w:p w14:paraId="36FF828B" w14:textId="77777777" w:rsidR="00B56301" w:rsidRPr="0034391E" w:rsidRDefault="00B56301" w:rsidP="00B37B65">
            <w:pPr>
              <w:jc w:val="right"/>
              <w:rPr>
                <w:rFonts w:asciiTheme="minorHAnsi" w:hAnsiTheme="minorHAnsi"/>
                <w:sz w:val="16"/>
                <w:szCs w:val="16"/>
              </w:rPr>
            </w:pPr>
            <w:r w:rsidRPr="0034391E">
              <w:rPr>
                <w:sz w:val="16"/>
                <w:szCs w:val="16"/>
              </w:rPr>
              <w:t>129,19</w:t>
            </w:r>
          </w:p>
        </w:tc>
      </w:tr>
      <w:tr w:rsidR="00B56301" w:rsidRPr="00D85A26" w14:paraId="2D008263"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446DCC2D" w14:textId="3DCD78F1"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1" w:type="dxa"/>
            <w:tcBorders>
              <w:top w:val="nil"/>
              <w:left w:val="single" w:sz="4" w:space="0" w:color="auto"/>
              <w:bottom w:val="single" w:sz="4" w:space="0" w:color="auto"/>
              <w:right w:val="single" w:sz="4" w:space="0" w:color="auto"/>
            </w:tcBorders>
            <w:shd w:val="clear" w:color="000000" w:fill="CCFFFF"/>
            <w:noWrap/>
            <w:vAlign w:val="bottom"/>
            <w:hideMark/>
          </w:tcPr>
          <w:p w14:paraId="433EA74D" w14:textId="77777777" w:rsidR="00B56301" w:rsidRPr="0034391E" w:rsidRDefault="00B56301" w:rsidP="00B37B65">
            <w:pPr>
              <w:jc w:val="right"/>
              <w:rPr>
                <w:rFonts w:asciiTheme="minorHAnsi" w:hAnsiTheme="minorHAnsi"/>
                <w:sz w:val="16"/>
                <w:szCs w:val="16"/>
              </w:rPr>
            </w:pPr>
            <w:r w:rsidRPr="0034391E">
              <w:rPr>
                <w:sz w:val="16"/>
                <w:szCs w:val="16"/>
              </w:rPr>
              <w:t>140,70</w:t>
            </w:r>
          </w:p>
        </w:tc>
        <w:tc>
          <w:tcPr>
            <w:tcW w:w="991" w:type="dxa"/>
            <w:tcBorders>
              <w:top w:val="nil"/>
              <w:left w:val="nil"/>
              <w:bottom w:val="single" w:sz="4" w:space="0" w:color="auto"/>
              <w:right w:val="single" w:sz="4" w:space="0" w:color="auto"/>
            </w:tcBorders>
            <w:shd w:val="clear" w:color="000000" w:fill="CCFFFF"/>
            <w:noWrap/>
            <w:vAlign w:val="bottom"/>
            <w:hideMark/>
          </w:tcPr>
          <w:p w14:paraId="55A5145B" w14:textId="77777777" w:rsidR="00B56301" w:rsidRPr="0034391E" w:rsidRDefault="00B56301" w:rsidP="00B37B65">
            <w:pPr>
              <w:jc w:val="right"/>
              <w:rPr>
                <w:rFonts w:asciiTheme="minorHAnsi" w:hAnsiTheme="minorHAnsi"/>
                <w:sz w:val="16"/>
                <w:szCs w:val="16"/>
              </w:rPr>
            </w:pPr>
            <w:r w:rsidRPr="0034391E">
              <w:rPr>
                <w:sz w:val="16"/>
                <w:szCs w:val="16"/>
              </w:rPr>
              <w:t>144,41</w:t>
            </w:r>
          </w:p>
        </w:tc>
        <w:tc>
          <w:tcPr>
            <w:tcW w:w="991" w:type="dxa"/>
            <w:tcBorders>
              <w:top w:val="nil"/>
              <w:left w:val="nil"/>
              <w:bottom w:val="single" w:sz="4" w:space="0" w:color="auto"/>
              <w:right w:val="single" w:sz="4" w:space="0" w:color="auto"/>
            </w:tcBorders>
            <w:shd w:val="clear" w:color="000000" w:fill="CCFFFF"/>
            <w:noWrap/>
            <w:vAlign w:val="bottom"/>
            <w:hideMark/>
          </w:tcPr>
          <w:p w14:paraId="390AC9AA" w14:textId="77777777" w:rsidR="00B56301" w:rsidRPr="0034391E" w:rsidRDefault="00B56301" w:rsidP="00B37B65">
            <w:pPr>
              <w:jc w:val="right"/>
              <w:rPr>
                <w:rFonts w:asciiTheme="minorHAnsi" w:hAnsiTheme="minorHAnsi"/>
                <w:sz w:val="16"/>
                <w:szCs w:val="16"/>
              </w:rPr>
            </w:pPr>
            <w:r w:rsidRPr="0034391E">
              <w:rPr>
                <w:sz w:val="16"/>
                <w:szCs w:val="16"/>
              </w:rPr>
              <w:t>143,76</w:t>
            </w:r>
          </w:p>
        </w:tc>
        <w:tc>
          <w:tcPr>
            <w:tcW w:w="991" w:type="dxa"/>
            <w:tcBorders>
              <w:top w:val="nil"/>
              <w:left w:val="nil"/>
              <w:bottom w:val="single" w:sz="4" w:space="0" w:color="auto"/>
              <w:right w:val="single" w:sz="4" w:space="0" w:color="auto"/>
            </w:tcBorders>
            <w:shd w:val="clear" w:color="000000" w:fill="CCFFFF"/>
            <w:noWrap/>
            <w:vAlign w:val="bottom"/>
            <w:hideMark/>
          </w:tcPr>
          <w:p w14:paraId="6DE75A18" w14:textId="77777777" w:rsidR="00B56301" w:rsidRPr="0034391E" w:rsidRDefault="00B56301" w:rsidP="00B37B65">
            <w:pPr>
              <w:jc w:val="right"/>
              <w:rPr>
                <w:rFonts w:asciiTheme="minorHAnsi" w:hAnsiTheme="minorHAnsi"/>
                <w:sz w:val="16"/>
                <w:szCs w:val="16"/>
              </w:rPr>
            </w:pPr>
            <w:r w:rsidRPr="0034391E">
              <w:rPr>
                <w:sz w:val="16"/>
                <w:szCs w:val="16"/>
              </w:rPr>
              <w:t>139,95</w:t>
            </w:r>
          </w:p>
        </w:tc>
        <w:tc>
          <w:tcPr>
            <w:tcW w:w="991" w:type="dxa"/>
            <w:tcBorders>
              <w:top w:val="nil"/>
              <w:left w:val="nil"/>
              <w:bottom w:val="single" w:sz="4" w:space="0" w:color="auto"/>
              <w:right w:val="single" w:sz="4" w:space="0" w:color="auto"/>
            </w:tcBorders>
            <w:shd w:val="clear" w:color="000000" w:fill="CCFFFF"/>
            <w:noWrap/>
            <w:vAlign w:val="bottom"/>
            <w:hideMark/>
          </w:tcPr>
          <w:p w14:paraId="5F7834AA" w14:textId="77777777" w:rsidR="00B56301" w:rsidRPr="0034391E" w:rsidRDefault="00B56301" w:rsidP="00B37B65">
            <w:pPr>
              <w:jc w:val="right"/>
              <w:rPr>
                <w:rFonts w:asciiTheme="minorHAnsi" w:hAnsiTheme="minorHAnsi"/>
                <w:sz w:val="16"/>
                <w:szCs w:val="16"/>
              </w:rPr>
            </w:pPr>
            <w:r w:rsidRPr="0034391E">
              <w:rPr>
                <w:sz w:val="16"/>
                <w:szCs w:val="16"/>
              </w:rPr>
              <w:t>144,50</w:t>
            </w:r>
          </w:p>
        </w:tc>
        <w:tc>
          <w:tcPr>
            <w:tcW w:w="991" w:type="dxa"/>
            <w:tcBorders>
              <w:top w:val="nil"/>
              <w:left w:val="nil"/>
              <w:bottom w:val="single" w:sz="4" w:space="0" w:color="auto"/>
              <w:right w:val="single" w:sz="4" w:space="0" w:color="auto"/>
            </w:tcBorders>
            <w:shd w:val="clear" w:color="000000" w:fill="CCFFFF"/>
            <w:noWrap/>
            <w:vAlign w:val="bottom"/>
            <w:hideMark/>
          </w:tcPr>
          <w:p w14:paraId="218957F8" w14:textId="77777777" w:rsidR="00B56301" w:rsidRPr="0034391E" w:rsidRDefault="00B56301" w:rsidP="00B37B65">
            <w:pPr>
              <w:jc w:val="right"/>
              <w:rPr>
                <w:rFonts w:asciiTheme="minorHAnsi" w:hAnsiTheme="minorHAnsi"/>
                <w:sz w:val="16"/>
                <w:szCs w:val="16"/>
              </w:rPr>
            </w:pPr>
            <w:r w:rsidRPr="0034391E">
              <w:rPr>
                <w:sz w:val="16"/>
                <w:szCs w:val="16"/>
              </w:rPr>
              <w:t>138,80</w:t>
            </w:r>
          </w:p>
        </w:tc>
      </w:tr>
      <w:tr w:rsidR="00B56301" w:rsidRPr="00D85A26" w14:paraId="263F49E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796D9C6"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r w:rsidRPr="0034391E">
              <w:rPr>
                <w:rFonts w:asciiTheme="minorHAnsi" w:hAnsiTheme="minorHAnsi"/>
                <w:b/>
                <w:bCs/>
                <w:sz w:val="16"/>
                <w:szCs w:val="16"/>
                <w:vertAlign w:val="superscript"/>
              </w:rPr>
              <w:t xml:space="preserve"> </w:t>
            </w:r>
          </w:p>
        </w:tc>
        <w:tc>
          <w:tcPr>
            <w:tcW w:w="991" w:type="dxa"/>
            <w:tcBorders>
              <w:top w:val="nil"/>
              <w:left w:val="nil"/>
              <w:bottom w:val="single" w:sz="4" w:space="0" w:color="auto"/>
              <w:right w:val="single" w:sz="4" w:space="0" w:color="auto"/>
            </w:tcBorders>
            <w:shd w:val="clear" w:color="000000" w:fill="969696"/>
            <w:noWrap/>
            <w:vAlign w:val="bottom"/>
            <w:hideMark/>
          </w:tcPr>
          <w:p w14:paraId="412D312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C4B103"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DC7B13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0E7090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A53828D"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0C4500A"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3E3548A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503EF13"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1" w:type="dxa"/>
            <w:tcBorders>
              <w:top w:val="nil"/>
              <w:left w:val="nil"/>
              <w:bottom w:val="single" w:sz="4" w:space="0" w:color="auto"/>
              <w:right w:val="single" w:sz="4" w:space="0" w:color="auto"/>
            </w:tcBorders>
            <w:shd w:val="clear" w:color="000000" w:fill="CCFFFF"/>
            <w:noWrap/>
            <w:vAlign w:val="bottom"/>
            <w:hideMark/>
          </w:tcPr>
          <w:p w14:paraId="62F78DE8" w14:textId="77777777" w:rsidR="00B56301" w:rsidRPr="0034391E" w:rsidRDefault="00B56301" w:rsidP="00B37B65">
            <w:pPr>
              <w:jc w:val="right"/>
              <w:rPr>
                <w:rFonts w:asciiTheme="minorHAnsi" w:hAnsiTheme="minorHAnsi"/>
                <w:sz w:val="16"/>
                <w:szCs w:val="16"/>
              </w:rPr>
            </w:pPr>
            <w:r w:rsidRPr="0034391E">
              <w:rPr>
                <w:sz w:val="16"/>
                <w:szCs w:val="16"/>
              </w:rPr>
              <w:t>0,63</w:t>
            </w:r>
          </w:p>
        </w:tc>
        <w:tc>
          <w:tcPr>
            <w:tcW w:w="991" w:type="dxa"/>
            <w:tcBorders>
              <w:top w:val="nil"/>
              <w:left w:val="nil"/>
              <w:bottom w:val="single" w:sz="4" w:space="0" w:color="auto"/>
              <w:right w:val="single" w:sz="4" w:space="0" w:color="auto"/>
            </w:tcBorders>
            <w:shd w:val="clear" w:color="000000" w:fill="CCFFFF"/>
            <w:noWrap/>
            <w:vAlign w:val="bottom"/>
            <w:hideMark/>
          </w:tcPr>
          <w:p w14:paraId="4E0BED99" w14:textId="77777777" w:rsidR="00B56301" w:rsidRPr="0034391E" w:rsidRDefault="00B56301" w:rsidP="00B37B65">
            <w:pPr>
              <w:jc w:val="right"/>
              <w:rPr>
                <w:rFonts w:asciiTheme="minorHAnsi" w:hAnsiTheme="minorHAnsi"/>
                <w:sz w:val="16"/>
                <w:szCs w:val="16"/>
              </w:rPr>
            </w:pPr>
            <w:r w:rsidRPr="0034391E">
              <w:rPr>
                <w:sz w:val="16"/>
                <w:szCs w:val="16"/>
              </w:rPr>
              <w:t>0,61</w:t>
            </w:r>
          </w:p>
        </w:tc>
        <w:tc>
          <w:tcPr>
            <w:tcW w:w="991" w:type="dxa"/>
            <w:tcBorders>
              <w:top w:val="nil"/>
              <w:left w:val="nil"/>
              <w:bottom w:val="single" w:sz="4" w:space="0" w:color="auto"/>
              <w:right w:val="single" w:sz="4" w:space="0" w:color="auto"/>
            </w:tcBorders>
            <w:shd w:val="clear" w:color="000000" w:fill="CCFFFF"/>
            <w:noWrap/>
            <w:vAlign w:val="bottom"/>
            <w:hideMark/>
          </w:tcPr>
          <w:p w14:paraId="3AA6EB23" w14:textId="77777777" w:rsidR="00B56301" w:rsidRPr="0034391E" w:rsidRDefault="00B56301" w:rsidP="00B37B65">
            <w:pPr>
              <w:jc w:val="right"/>
              <w:rPr>
                <w:rFonts w:asciiTheme="minorHAnsi" w:hAnsiTheme="minorHAnsi"/>
                <w:sz w:val="16"/>
                <w:szCs w:val="16"/>
              </w:rPr>
            </w:pPr>
            <w:r w:rsidRPr="0034391E">
              <w:rPr>
                <w:sz w:val="16"/>
                <w:szCs w:val="16"/>
              </w:rPr>
              <w:t>0,62</w:t>
            </w:r>
          </w:p>
        </w:tc>
        <w:tc>
          <w:tcPr>
            <w:tcW w:w="991" w:type="dxa"/>
            <w:tcBorders>
              <w:top w:val="nil"/>
              <w:left w:val="nil"/>
              <w:bottom w:val="single" w:sz="4" w:space="0" w:color="auto"/>
              <w:right w:val="single" w:sz="4" w:space="0" w:color="auto"/>
            </w:tcBorders>
            <w:shd w:val="clear" w:color="000000" w:fill="CCFFFF"/>
            <w:noWrap/>
            <w:vAlign w:val="bottom"/>
            <w:hideMark/>
          </w:tcPr>
          <w:p w14:paraId="30976E6A" w14:textId="77777777" w:rsidR="00B56301" w:rsidRPr="0034391E" w:rsidRDefault="00B56301" w:rsidP="00B37B65">
            <w:pPr>
              <w:jc w:val="right"/>
              <w:rPr>
                <w:rFonts w:asciiTheme="minorHAnsi" w:hAnsiTheme="minorHAnsi"/>
                <w:sz w:val="16"/>
                <w:szCs w:val="16"/>
              </w:rPr>
            </w:pPr>
            <w:r w:rsidRPr="0034391E">
              <w:rPr>
                <w:sz w:val="16"/>
                <w:szCs w:val="16"/>
              </w:rPr>
              <w:t>0,60</w:t>
            </w:r>
          </w:p>
        </w:tc>
        <w:tc>
          <w:tcPr>
            <w:tcW w:w="991" w:type="dxa"/>
            <w:tcBorders>
              <w:top w:val="nil"/>
              <w:left w:val="nil"/>
              <w:bottom w:val="single" w:sz="4" w:space="0" w:color="auto"/>
              <w:right w:val="single" w:sz="4" w:space="0" w:color="auto"/>
            </w:tcBorders>
            <w:shd w:val="clear" w:color="000000" w:fill="CCFFFF"/>
            <w:noWrap/>
            <w:vAlign w:val="bottom"/>
            <w:hideMark/>
          </w:tcPr>
          <w:p w14:paraId="3C73A409" w14:textId="77777777" w:rsidR="00B56301" w:rsidRPr="0034391E" w:rsidRDefault="00B56301" w:rsidP="00B37B65">
            <w:pPr>
              <w:jc w:val="right"/>
              <w:rPr>
                <w:rFonts w:asciiTheme="minorHAnsi" w:hAnsiTheme="minorHAnsi"/>
                <w:sz w:val="16"/>
                <w:szCs w:val="16"/>
              </w:rPr>
            </w:pPr>
            <w:r w:rsidRPr="0034391E">
              <w:rPr>
                <w:sz w:val="16"/>
                <w:szCs w:val="16"/>
              </w:rPr>
              <w:t>0,62</w:t>
            </w:r>
          </w:p>
        </w:tc>
        <w:tc>
          <w:tcPr>
            <w:tcW w:w="991" w:type="dxa"/>
            <w:tcBorders>
              <w:top w:val="nil"/>
              <w:left w:val="nil"/>
              <w:bottom w:val="single" w:sz="4" w:space="0" w:color="auto"/>
              <w:right w:val="single" w:sz="4" w:space="0" w:color="auto"/>
            </w:tcBorders>
            <w:shd w:val="clear" w:color="000000" w:fill="CCFFFF"/>
            <w:noWrap/>
            <w:vAlign w:val="bottom"/>
            <w:hideMark/>
          </w:tcPr>
          <w:p w14:paraId="3B68CAB5" w14:textId="77777777" w:rsidR="00B56301" w:rsidRPr="0034391E" w:rsidRDefault="00B56301" w:rsidP="00B37B65">
            <w:pPr>
              <w:jc w:val="right"/>
              <w:rPr>
                <w:rFonts w:asciiTheme="minorHAnsi" w:hAnsiTheme="minorHAnsi"/>
                <w:sz w:val="16"/>
                <w:szCs w:val="16"/>
              </w:rPr>
            </w:pPr>
            <w:r w:rsidRPr="0034391E">
              <w:rPr>
                <w:sz w:val="16"/>
                <w:szCs w:val="16"/>
              </w:rPr>
              <w:t>0,65</w:t>
            </w:r>
          </w:p>
        </w:tc>
      </w:tr>
      <w:tr w:rsidR="00B56301" w:rsidRPr="00D85A26" w14:paraId="3EEA842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1D30689D"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1" w:type="dxa"/>
            <w:tcBorders>
              <w:top w:val="nil"/>
              <w:left w:val="nil"/>
              <w:bottom w:val="single" w:sz="4" w:space="0" w:color="auto"/>
              <w:right w:val="single" w:sz="4" w:space="0" w:color="auto"/>
            </w:tcBorders>
            <w:shd w:val="clear" w:color="000000" w:fill="FFFFFF"/>
            <w:noWrap/>
            <w:vAlign w:val="bottom"/>
            <w:hideMark/>
          </w:tcPr>
          <w:p w14:paraId="652A08E1" w14:textId="77777777" w:rsidR="00B56301" w:rsidRPr="0034391E" w:rsidRDefault="00B56301" w:rsidP="00B37B65">
            <w:pPr>
              <w:jc w:val="right"/>
              <w:rPr>
                <w:rFonts w:asciiTheme="minorHAnsi" w:hAnsiTheme="minorHAnsi"/>
                <w:sz w:val="16"/>
                <w:szCs w:val="16"/>
              </w:rPr>
            </w:pPr>
            <w:r w:rsidRPr="0034391E">
              <w:rPr>
                <w:sz w:val="16"/>
                <w:szCs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18A38246" w14:textId="77777777" w:rsidR="00B56301" w:rsidRPr="0034391E" w:rsidRDefault="00B56301" w:rsidP="00B37B65">
            <w:pPr>
              <w:jc w:val="right"/>
              <w:rPr>
                <w:rFonts w:asciiTheme="minorHAnsi" w:hAnsiTheme="minorHAnsi"/>
                <w:sz w:val="16"/>
                <w:szCs w:val="16"/>
              </w:rPr>
            </w:pPr>
            <w:r w:rsidRPr="0034391E">
              <w:rPr>
                <w:sz w:val="16"/>
                <w:szCs w:val="16"/>
              </w:rPr>
              <w:t>0,45</w:t>
            </w:r>
          </w:p>
        </w:tc>
        <w:tc>
          <w:tcPr>
            <w:tcW w:w="991" w:type="dxa"/>
            <w:tcBorders>
              <w:top w:val="nil"/>
              <w:left w:val="nil"/>
              <w:bottom w:val="single" w:sz="4" w:space="0" w:color="auto"/>
              <w:right w:val="single" w:sz="4" w:space="0" w:color="auto"/>
            </w:tcBorders>
            <w:shd w:val="clear" w:color="000000" w:fill="FFFFFF"/>
            <w:noWrap/>
            <w:vAlign w:val="bottom"/>
            <w:hideMark/>
          </w:tcPr>
          <w:p w14:paraId="53C9656F" w14:textId="77777777" w:rsidR="00B56301" w:rsidRPr="0034391E" w:rsidRDefault="00B56301" w:rsidP="00B37B65">
            <w:pPr>
              <w:jc w:val="right"/>
              <w:rPr>
                <w:rFonts w:asciiTheme="minorHAnsi" w:hAnsiTheme="minorHAnsi"/>
                <w:sz w:val="16"/>
                <w:szCs w:val="16"/>
              </w:rPr>
            </w:pPr>
            <w:r w:rsidRPr="0034391E">
              <w:rPr>
                <w:sz w:val="16"/>
                <w:szCs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70454164" w14:textId="77777777" w:rsidR="00B56301" w:rsidRPr="0034391E" w:rsidRDefault="00B56301" w:rsidP="00B37B65">
            <w:pPr>
              <w:jc w:val="right"/>
              <w:rPr>
                <w:rFonts w:asciiTheme="minorHAnsi" w:hAnsiTheme="minorHAnsi"/>
                <w:sz w:val="16"/>
                <w:szCs w:val="16"/>
              </w:rPr>
            </w:pPr>
            <w:r w:rsidRPr="0034391E">
              <w:rPr>
                <w:sz w:val="16"/>
                <w:szCs w:val="16"/>
              </w:rPr>
              <w:t>0,47</w:t>
            </w:r>
          </w:p>
        </w:tc>
        <w:tc>
          <w:tcPr>
            <w:tcW w:w="991" w:type="dxa"/>
            <w:tcBorders>
              <w:top w:val="nil"/>
              <w:left w:val="nil"/>
              <w:bottom w:val="single" w:sz="4" w:space="0" w:color="auto"/>
              <w:right w:val="single" w:sz="4" w:space="0" w:color="auto"/>
            </w:tcBorders>
            <w:shd w:val="clear" w:color="000000" w:fill="FFFFFF"/>
            <w:noWrap/>
            <w:vAlign w:val="bottom"/>
            <w:hideMark/>
          </w:tcPr>
          <w:p w14:paraId="2BEA9303" w14:textId="77777777" w:rsidR="00B56301" w:rsidRPr="0034391E" w:rsidRDefault="00B56301" w:rsidP="00B37B65">
            <w:pPr>
              <w:jc w:val="right"/>
              <w:rPr>
                <w:rFonts w:asciiTheme="minorHAnsi" w:hAnsiTheme="minorHAnsi"/>
                <w:sz w:val="16"/>
                <w:szCs w:val="16"/>
              </w:rPr>
            </w:pPr>
            <w:r w:rsidRPr="0034391E">
              <w:rPr>
                <w:sz w:val="16"/>
                <w:szCs w:val="16"/>
              </w:rPr>
              <w:t>0,48</w:t>
            </w:r>
          </w:p>
        </w:tc>
        <w:tc>
          <w:tcPr>
            <w:tcW w:w="991" w:type="dxa"/>
            <w:tcBorders>
              <w:top w:val="nil"/>
              <w:left w:val="nil"/>
              <w:bottom w:val="single" w:sz="4" w:space="0" w:color="auto"/>
              <w:right w:val="single" w:sz="4" w:space="0" w:color="auto"/>
            </w:tcBorders>
            <w:shd w:val="clear" w:color="000000" w:fill="FFFFFF"/>
            <w:noWrap/>
            <w:vAlign w:val="bottom"/>
            <w:hideMark/>
          </w:tcPr>
          <w:p w14:paraId="6116B354" w14:textId="77777777" w:rsidR="00B56301" w:rsidRPr="0034391E" w:rsidRDefault="00B56301" w:rsidP="00B37B65">
            <w:pPr>
              <w:jc w:val="right"/>
              <w:rPr>
                <w:rFonts w:asciiTheme="minorHAnsi" w:hAnsiTheme="minorHAnsi"/>
                <w:sz w:val="16"/>
                <w:szCs w:val="16"/>
              </w:rPr>
            </w:pPr>
            <w:r w:rsidRPr="0034391E">
              <w:rPr>
                <w:sz w:val="16"/>
                <w:szCs w:val="16"/>
              </w:rPr>
              <w:t>0,49</w:t>
            </w:r>
          </w:p>
        </w:tc>
      </w:tr>
      <w:tr w:rsidR="00B56301" w:rsidRPr="00D85A26" w14:paraId="1DE51C1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45DD399E"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1" w:type="dxa"/>
            <w:tcBorders>
              <w:top w:val="nil"/>
              <w:left w:val="nil"/>
              <w:bottom w:val="single" w:sz="4" w:space="0" w:color="auto"/>
              <w:right w:val="single" w:sz="4" w:space="0" w:color="auto"/>
            </w:tcBorders>
            <w:shd w:val="clear" w:color="000000" w:fill="FFFFFF"/>
            <w:noWrap/>
            <w:vAlign w:val="bottom"/>
            <w:hideMark/>
          </w:tcPr>
          <w:p w14:paraId="52F82DA0" w14:textId="77777777" w:rsidR="00B56301" w:rsidRPr="0034391E" w:rsidRDefault="00B56301" w:rsidP="00B37B65">
            <w:pPr>
              <w:jc w:val="right"/>
              <w:rPr>
                <w:rFonts w:asciiTheme="minorHAnsi" w:hAnsiTheme="minorHAnsi"/>
                <w:sz w:val="16"/>
                <w:szCs w:val="16"/>
              </w:rPr>
            </w:pPr>
            <w:r w:rsidRPr="0034391E">
              <w:rPr>
                <w:sz w:val="16"/>
                <w:szCs w:val="16"/>
              </w:rPr>
              <w:t>0,19</w:t>
            </w:r>
          </w:p>
        </w:tc>
        <w:tc>
          <w:tcPr>
            <w:tcW w:w="991" w:type="dxa"/>
            <w:tcBorders>
              <w:top w:val="nil"/>
              <w:left w:val="nil"/>
              <w:bottom w:val="single" w:sz="4" w:space="0" w:color="auto"/>
              <w:right w:val="single" w:sz="4" w:space="0" w:color="auto"/>
            </w:tcBorders>
            <w:shd w:val="clear" w:color="000000" w:fill="FFFFFF"/>
            <w:noWrap/>
            <w:vAlign w:val="bottom"/>
            <w:hideMark/>
          </w:tcPr>
          <w:p w14:paraId="15FB3B0E" w14:textId="77777777" w:rsidR="00B56301" w:rsidRPr="0034391E" w:rsidRDefault="00B56301" w:rsidP="00B37B65">
            <w:pPr>
              <w:jc w:val="right"/>
              <w:rPr>
                <w:rFonts w:asciiTheme="minorHAnsi" w:hAnsiTheme="minorHAnsi"/>
                <w:sz w:val="16"/>
                <w:szCs w:val="16"/>
              </w:rPr>
            </w:pPr>
            <w:r w:rsidRPr="0034391E">
              <w:rPr>
                <w:sz w:val="16"/>
                <w:szCs w:val="16"/>
              </w:rPr>
              <w:t>0,16</w:t>
            </w:r>
          </w:p>
        </w:tc>
        <w:tc>
          <w:tcPr>
            <w:tcW w:w="991" w:type="dxa"/>
            <w:tcBorders>
              <w:top w:val="nil"/>
              <w:left w:val="nil"/>
              <w:bottom w:val="single" w:sz="4" w:space="0" w:color="auto"/>
              <w:right w:val="single" w:sz="4" w:space="0" w:color="auto"/>
            </w:tcBorders>
            <w:shd w:val="clear" w:color="000000" w:fill="FFFFFF"/>
            <w:noWrap/>
            <w:vAlign w:val="bottom"/>
            <w:hideMark/>
          </w:tcPr>
          <w:p w14:paraId="62153916" w14:textId="77777777" w:rsidR="00B56301" w:rsidRPr="0034391E" w:rsidRDefault="00B56301" w:rsidP="00B37B65">
            <w:pPr>
              <w:jc w:val="right"/>
              <w:rPr>
                <w:rFonts w:asciiTheme="minorHAnsi" w:hAnsiTheme="minorHAnsi"/>
                <w:sz w:val="16"/>
                <w:szCs w:val="16"/>
              </w:rPr>
            </w:pPr>
            <w:r w:rsidRPr="0034391E">
              <w:rPr>
                <w:sz w:val="16"/>
                <w:szCs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633BF940" w14:textId="77777777" w:rsidR="00B56301" w:rsidRPr="0034391E" w:rsidRDefault="00B56301" w:rsidP="00B37B65">
            <w:pPr>
              <w:jc w:val="right"/>
              <w:rPr>
                <w:rFonts w:asciiTheme="minorHAnsi" w:hAnsiTheme="minorHAnsi"/>
                <w:sz w:val="16"/>
                <w:szCs w:val="16"/>
              </w:rPr>
            </w:pPr>
            <w:r w:rsidRPr="0034391E">
              <w:rPr>
                <w:sz w:val="16"/>
                <w:szCs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0ED5FA8C" w14:textId="77777777" w:rsidR="00B56301" w:rsidRPr="0034391E" w:rsidRDefault="00B56301" w:rsidP="00B37B65">
            <w:pPr>
              <w:jc w:val="right"/>
              <w:rPr>
                <w:rFonts w:asciiTheme="minorHAnsi" w:hAnsiTheme="minorHAnsi"/>
                <w:sz w:val="16"/>
                <w:szCs w:val="16"/>
              </w:rPr>
            </w:pPr>
            <w:r w:rsidRPr="0034391E">
              <w:rPr>
                <w:sz w:val="16"/>
                <w:szCs w:val="16"/>
              </w:rPr>
              <w:t>0,14</w:t>
            </w:r>
          </w:p>
        </w:tc>
        <w:tc>
          <w:tcPr>
            <w:tcW w:w="991" w:type="dxa"/>
            <w:tcBorders>
              <w:top w:val="nil"/>
              <w:left w:val="nil"/>
              <w:bottom w:val="single" w:sz="4" w:space="0" w:color="auto"/>
              <w:right w:val="single" w:sz="4" w:space="0" w:color="auto"/>
            </w:tcBorders>
            <w:shd w:val="clear" w:color="000000" w:fill="FFFFFF"/>
            <w:noWrap/>
            <w:vAlign w:val="bottom"/>
            <w:hideMark/>
          </w:tcPr>
          <w:p w14:paraId="41F98EB9" w14:textId="77777777" w:rsidR="00B56301" w:rsidRPr="0034391E" w:rsidRDefault="00B56301" w:rsidP="00B37B65">
            <w:pPr>
              <w:jc w:val="right"/>
              <w:rPr>
                <w:rFonts w:asciiTheme="minorHAnsi" w:hAnsiTheme="minorHAnsi"/>
                <w:sz w:val="16"/>
                <w:szCs w:val="16"/>
              </w:rPr>
            </w:pPr>
            <w:r w:rsidRPr="0034391E">
              <w:rPr>
                <w:sz w:val="16"/>
                <w:szCs w:val="16"/>
              </w:rPr>
              <w:t>0,16</w:t>
            </w:r>
          </w:p>
        </w:tc>
      </w:tr>
      <w:tr w:rsidR="00B56301" w:rsidRPr="00D85A26" w14:paraId="58306A05"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79733967"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1" w:type="dxa"/>
            <w:tcBorders>
              <w:top w:val="nil"/>
              <w:left w:val="nil"/>
              <w:bottom w:val="single" w:sz="4" w:space="0" w:color="auto"/>
              <w:right w:val="single" w:sz="4" w:space="0" w:color="auto"/>
            </w:tcBorders>
            <w:shd w:val="clear" w:color="000000" w:fill="FFFFFF"/>
            <w:noWrap/>
            <w:vAlign w:val="bottom"/>
            <w:hideMark/>
          </w:tcPr>
          <w:p w14:paraId="546E1436"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1E0A35C2"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08BD1AAA"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59B48E4C"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7EC3EFB1"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1" w:type="dxa"/>
            <w:tcBorders>
              <w:top w:val="nil"/>
              <w:left w:val="nil"/>
              <w:bottom w:val="single" w:sz="4" w:space="0" w:color="auto"/>
              <w:right w:val="single" w:sz="4" w:space="0" w:color="auto"/>
            </w:tcBorders>
            <w:shd w:val="clear" w:color="000000" w:fill="FFFFFF"/>
            <w:noWrap/>
            <w:vAlign w:val="bottom"/>
            <w:hideMark/>
          </w:tcPr>
          <w:p w14:paraId="3DCF63B2" w14:textId="77777777" w:rsidR="00B56301" w:rsidRPr="0034391E" w:rsidRDefault="00B56301" w:rsidP="00B37B65">
            <w:pPr>
              <w:jc w:val="right"/>
              <w:rPr>
                <w:rFonts w:asciiTheme="minorHAnsi" w:hAnsiTheme="minorHAnsi"/>
                <w:sz w:val="16"/>
                <w:szCs w:val="16"/>
              </w:rPr>
            </w:pPr>
            <w:r w:rsidRPr="0034391E">
              <w:rPr>
                <w:sz w:val="16"/>
                <w:szCs w:val="16"/>
              </w:rPr>
              <w:t>NE</w:t>
            </w:r>
          </w:p>
        </w:tc>
      </w:tr>
      <w:tr w:rsidR="00B56301" w:rsidRPr="00D85A26" w14:paraId="2D7AFAE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54603129" w14:textId="7688071B"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1" w:type="dxa"/>
            <w:tcBorders>
              <w:top w:val="nil"/>
              <w:left w:val="nil"/>
              <w:bottom w:val="single" w:sz="4" w:space="0" w:color="auto"/>
              <w:right w:val="single" w:sz="4" w:space="0" w:color="auto"/>
            </w:tcBorders>
            <w:shd w:val="clear" w:color="000000" w:fill="969696"/>
            <w:noWrap/>
            <w:vAlign w:val="bottom"/>
            <w:hideMark/>
          </w:tcPr>
          <w:p w14:paraId="094AC89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14FE026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FAEF013"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53CEDC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D79F1D6"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A3F67B9"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15ACF67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61F82976" w14:textId="2BB4E5CE"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1" w:type="dxa"/>
            <w:tcBorders>
              <w:top w:val="nil"/>
              <w:left w:val="nil"/>
              <w:bottom w:val="single" w:sz="4" w:space="0" w:color="auto"/>
              <w:right w:val="single" w:sz="4" w:space="0" w:color="auto"/>
            </w:tcBorders>
            <w:shd w:val="clear" w:color="000000" w:fill="969696"/>
            <w:noWrap/>
            <w:vAlign w:val="bottom"/>
            <w:hideMark/>
          </w:tcPr>
          <w:p w14:paraId="085B80E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96C695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F113500"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22AFC0C"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61410EE"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ADA599F"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833C38" w14:paraId="2CCBEC0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noWrap/>
            <w:vAlign w:val="center"/>
            <w:hideMark/>
          </w:tcPr>
          <w:p w14:paraId="2777F492"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1" w:type="dxa"/>
            <w:tcBorders>
              <w:top w:val="nil"/>
              <w:left w:val="nil"/>
              <w:bottom w:val="single" w:sz="4" w:space="0" w:color="auto"/>
              <w:right w:val="single" w:sz="4" w:space="0" w:color="auto"/>
            </w:tcBorders>
            <w:shd w:val="clear" w:color="000000" w:fill="969696"/>
            <w:noWrap/>
            <w:vAlign w:val="bottom"/>
            <w:hideMark/>
          </w:tcPr>
          <w:p w14:paraId="3FEE4780"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3339D7C3"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4D171AA6"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661EBC"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AB5D044"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C037C7E"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r>
      <w:tr w:rsidR="00B56301" w:rsidRPr="00D85A26" w14:paraId="053F14FB"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noWrap/>
            <w:vAlign w:val="center"/>
            <w:hideMark/>
          </w:tcPr>
          <w:p w14:paraId="262AA4EE" w14:textId="0C7D6E48"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1" w:type="dxa"/>
            <w:tcBorders>
              <w:top w:val="nil"/>
              <w:left w:val="single" w:sz="4" w:space="0" w:color="auto"/>
              <w:bottom w:val="single" w:sz="4" w:space="0" w:color="auto"/>
              <w:right w:val="single" w:sz="4" w:space="0" w:color="auto"/>
            </w:tcBorders>
            <w:shd w:val="clear" w:color="000000" w:fill="FFFFFF"/>
            <w:noWrap/>
            <w:vAlign w:val="bottom"/>
            <w:hideMark/>
          </w:tcPr>
          <w:p w14:paraId="4D0616E0"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DA87619"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42C79E69"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7F14E966"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604AE44A"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1" w:type="dxa"/>
            <w:tcBorders>
              <w:top w:val="nil"/>
              <w:left w:val="nil"/>
              <w:bottom w:val="single" w:sz="4" w:space="0" w:color="auto"/>
              <w:right w:val="single" w:sz="4" w:space="0" w:color="auto"/>
            </w:tcBorders>
            <w:shd w:val="clear" w:color="000000" w:fill="FFFFFF"/>
            <w:noWrap/>
            <w:vAlign w:val="bottom"/>
            <w:hideMark/>
          </w:tcPr>
          <w:p w14:paraId="3424DD00" w14:textId="77777777" w:rsidR="00B56301" w:rsidRPr="0034391E" w:rsidRDefault="00B56301" w:rsidP="00B37B65">
            <w:pPr>
              <w:jc w:val="right"/>
              <w:rPr>
                <w:rFonts w:asciiTheme="minorHAnsi" w:hAnsiTheme="minorHAnsi"/>
                <w:sz w:val="16"/>
                <w:szCs w:val="16"/>
              </w:rPr>
            </w:pPr>
            <w:r w:rsidRPr="0034391E">
              <w:rPr>
                <w:sz w:val="16"/>
                <w:szCs w:val="16"/>
              </w:rPr>
              <w:t>NO,NE</w:t>
            </w:r>
          </w:p>
        </w:tc>
      </w:tr>
      <w:tr w:rsidR="00B56301" w:rsidRPr="00D85A26" w14:paraId="79086EEE"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0149BB3" w14:textId="2F718F08"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CO</w:t>
            </w:r>
            <w:r w:rsidR="007F09F7" w:rsidRPr="0034391E">
              <w:rPr>
                <w:sz w:val="16"/>
                <w:szCs w:val="16"/>
                <w:vertAlign w:val="subscript"/>
              </w:rPr>
              <w:t>2</w:t>
            </w:r>
            <w:r w:rsidRPr="0034391E">
              <w:rPr>
                <w:rFonts w:asciiTheme="minorHAnsi" w:hAnsiTheme="minorHAnsi"/>
                <w:b/>
                <w:bCs/>
                <w:sz w:val="16"/>
                <w:szCs w:val="16"/>
                <w:vertAlign w:val="subscript"/>
              </w:rPr>
              <w:t xml:space="preserve"> </w:t>
            </w:r>
            <w:r w:rsidRPr="0034391E">
              <w:rPr>
                <w:rFonts w:asciiTheme="minorHAnsi" w:hAnsiTheme="minorHAnsi"/>
                <w:b/>
                <w:bCs/>
                <w:sz w:val="16"/>
                <w:szCs w:val="16"/>
                <w:vertAlign w:val="superscript"/>
              </w:rPr>
              <w:t>(3)</w:t>
            </w:r>
          </w:p>
        </w:tc>
        <w:tc>
          <w:tcPr>
            <w:tcW w:w="991" w:type="dxa"/>
            <w:tcBorders>
              <w:top w:val="nil"/>
              <w:left w:val="nil"/>
              <w:bottom w:val="single" w:sz="4" w:space="0" w:color="auto"/>
              <w:right w:val="single" w:sz="4" w:space="0" w:color="auto"/>
            </w:tcBorders>
            <w:shd w:val="clear" w:color="000000" w:fill="969696"/>
            <w:noWrap/>
            <w:vAlign w:val="bottom"/>
            <w:hideMark/>
          </w:tcPr>
          <w:p w14:paraId="11A61CE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2CAFEC4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4089DF5"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09A0C05C"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770042BD"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1" w:type="dxa"/>
            <w:tcBorders>
              <w:top w:val="nil"/>
              <w:left w:val="nil"/>
              <w:bottom w:val="single" w:sz="4" w:space="0" w:color="auto"/>
              <w:right w:val="single" w:sz="4" w:space="0" w:color="auto"/>
            </w:tcBorders>
            <w:shd w:val="clear" w:color="000000" w:fill="969696"/>
            <w:noWrap/>
            <w:vAlign w:val="bottom"/>
            <w:hideMark/>
          </w:tcPr>
          <w:p w14:paraId="600D4B23" w14:textId="77777777" w:rsidR="00B56301" w:rsidRPr="0034391E" w:rsidRDefault="00B56301" w:rsidP="00B37B65">
            <w:pPr>
              <w:jc w:val="right"/>
              <w:rPr>
                <w:rFonts w:asciiTheme="minorHAnsi" w:hAnsiTheme="minorHAnsi"/>
                <w:sz w:val="16"/>
                <w:szCs w:val="16"/>
              </w:rPr>
            </w:pPr>
            <w:r w:rsidRPr="0034391E">
              <w:rPr>
                <w:sz w:val="16"/>
                <w:szCs w:val="16"/>
              </w:rPr>
              <w:t> </w:t>
            </w:r>
          </w:p>
        </w:tc>
      </w:tr>
    </w:tbl>
    <w:p w14:paraId="53948BE8" w14:textId="77777777" w:rsidR="00B56301" w:rsidRDefault="00B56301" w:rsidP="00B56301">
      <w:pPr>
        <w:spacing w:line="240" w:lineRule="atLeast"/>
        <w:jc w:val="left"/>
        <w:rPr>
          <w:rFonts w:cs="Arial"/>
        </w:rPr>
      </w:pPr>
      <w:r>
        <w:rPr>
          <w:rFonts w:cs="Arial"/>
        </w:rPr>
        <w:br w:type="page"/>
      </w:r>
    </w:p>
    <w:tbl>
      <w:tblPr>
        <w:tblW w:w="7535" w:type="dxa"/>
        <w:jc w:val="center"/>
        <w:tblLayout w:type="fixed"/>
        <w:tblCellMar>
          <w:left w:w="70" w:type="dxa"/>
          <w:right w:w="70" w:type="dxa"/>
        </w:tblCellMar>
        <w:tblLook w:val="04A0" w:firstRow="1" w:lastRow="0" w:firstColumn="1" w:lastColumn="0" w:noHBand="0" w:noVBand="1"/>
      </w:tblPr>
      <w:tblGrid>
        <w:gridCol w:w="3802"/>
        <w:gridCol w:w="993"/>
        <w:gridCol w:w="993"/>
        <w:gridCol w:w="1747"/>
      </w:tblGrid>
      <w:tr w:rsidR="00B56301" w:rsidRPr="00833C38" w14:paraId="6B8B73E0" w14:textId="77777777" w:rsidTr="0034391E">
        <w:trPr>
          <w:trHeight w:val="68"/>
          <w:jc w:val="center"/>
        </w:trPr>
        <w:tc>
          <w:tcPr>
            <w:tcW w:w="3802"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ECF6062" w14:textId="77777777" w:rsidR="00B56301" w:rsidRPr="00D85A26" w:rsidRDefault="00B56301" w:rsidP="00B37B65">
            <w:pPr>
              <w:jc w:val="center"/>
              <w:rPr>
                <w:rFonts w:asciiTheme="minorHAnsi" w:hAnsiTheme="minorHAnsi"/>
                <w:b/>
                <w:bCs/>
                <w:sz w:val="16"/>
                <w:szCs w:val="16"/>
                <w:lang w:val="en-GB"/>
              </w:rPr>
            </w:pPr>
            <w:r w:rsidRPr="00D85A26">
              <w:rPr>
                <w:rFonts w:asciiTheme="minorHAnsi" w:hAnsiTheme="minorHAnsi"/>
                <w:b/>
                <w:bCs/>
                <w:sz w:val="16"/>
                <w:szCs w:val="16"/>
                <w:lang w:val="en-GB"/>
              </w:rPr>
              <w:t>GREENHOUSE GAS SOURCE AND SINK CATEGORIES</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4B13A89" w14:textId="77777777" w:rsidR="00B56301" w:rsidRPr="0004747E" w:rsidRDefault="00B56301" w:rsidP="00B37B65">
            <w:pPr>
              <w:jc w:val="center"/>
              <w:rPr>
                <w:rFonts w:asciiTheme="minorHAnsi" w:hAnsiTheme="minorHAnsi"/>
                <w:b/>
                <w:bCs/>
                <w:sz w:val="16"/>
                <w:szCs w:val="16"/>
              </w:rPr>
            </w:pPr>
            <w:r w:rsidRPr="0004747E">
              <w:rPr>
                <w:b/>
                <w:bCs/>
                <w:sz w:val="16"/>
                <w:szCs w:val="18"/>
              </w:rPr>
              <w:t>2019</w:t>
            </w:r>
          </w:p>
        </w:tc>
        <w:tc>
          <w:tcPr>
            <w:tcW w:w="993" w:type="dxa"/>
            <w:tcBorders>
              <w:top w:val="single" w:sz="4" w:space="0" w:color="auto"/>
              <w:left w:val="nil"/>
              <w:bottom w:val="single" w:sz="4" w:space="0" w:color="auto"/>
              <w:right w:val="single" w:sz="4" w:space="0" w:color="auto"/>
            </w:tcBorders>
            <w:shd w:val="clear" w:color="000000" w:fill="CCFFFF"/>
            <w:noWrap/>
            <w:vAlign w:val="center"/>
            <w:hideMark/>
          </w:tcPr>
          <w:p w14:paraId="5E1F76AE" w14:textId="77777777" w:rsidR="00B56301" w:rsidRPr="0004747E" w:rsidRDefault="00B56301" w:rsidP="00B37B65">
            <w:pPr>
              <w:jc w:val="center"/>
              <w:rPr>
                <w:rFonts w:asciiTheme="minorHAnsi" w:hAnsiTheme="minorHAnsi"/>
                <w:b/>
                <w:bCs/>
                <w:sz w:val="16"/>
                <w:szCs w:val="16"/>
              </w:rPr>
            </w:pPr>
            <w:r w:rsidRPr="0004747E">
              <w:rPr>
                <w:b/>
                <w:bCs/>
                <w:sz w:val="16"/>
                <w:szCs w:val="18"/>
              </w:rPr>
              <w:t>2020</w:t>
            </w:r>
          </w:p>
        </w:tc>
        <w:tc>
          <w:tcPr>
            <w:tcW w:w="1747" w:type="dxa"/>
            <w:tcBorders>
              <w:top w:val="single" w:sz="4" w:space="0" w:color="auto"/>
              <w:left w:val="nil"/>
              <w:bottom w:val="single" w:sz="4" w:space="0" w:color="auto"/>
              <w:right w:val="single" w:sz="4" w:space="0" w:color="auto"/>
            </w:tcBorders>
            <w:shd w:val="clear" w:color="000000" w:fill="CCFFFF"/>
            <w:noWrap/>
            <w:vAlign w:val="center"/>
            <w:hideMark/>
          </w:tcPr>
          <w:p w14:paraId="7818D40A" w14:textId="77777777" w:rsidR="00B56301" w:rsidRPr="0004747E" w:rsidRDefault="00B56301" w:rsidP="00B37B65">
            <w:pPr>
              <w:jc w:val="center"/>
              <w:rPr>
                <w:rFonts w:asciiTheme="minorHAnsi" w:hAnsiTheme="minorHAnsi"/>
                <w:b/>
                <w:bCs/>
                <w:sz w:val="16"/>
                <w:szCs w:val="16"/>
                <w:lang w:val="en-GB"/>
              </w:rPr>
            </w:pPr>
            <w:r w:rsidRPr="0004747E">
              <w:rPr>
                <w:b/>
                <w:bCs/>
                <w:sz w:val="16"/>
                <w:szCs w:val="18"/>
                <w:lang w:val="en-GB"/>
              </w:rPr>
              <w:t>Change from base to latest reported year</w:t>
            </w:r>
            <w:r>
              <w:rPr>
                <w:b/>
                <w:bCs/>
                <w:sz w:val="16"/>
                <w:szCs w:val="18"/>
                <w:lang w:val="en-GB"/>
              </w:rPr>
              <w:t xml:space="preserve"> (%)</w:t>
            </w:r>
          </w:p>
        </w:tc>
      </w:tr>
      <w:tr w:rsidR="00B56301" w:rsidRPr="00D85A26" w14:paraId="27427DF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FE9361C" w14:textId="77777777"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1. Energy</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0CDB301" w14:textId="77777777" w:rsidR="00B56301" w:rsidRPr="00D85A26" w:rsidRDefault="00B56301" w:rsidP="00B37B65">
            <w:pPr>
              <w:jc w:val="right"/>
              <w:rPr>
                <w:rFonts w:asciiTheme="minorHAnsi" w:hAnsiTheme="minorHAnsi"/>
                <w:sz w:val="16"/>
                <w:szCs w:val="16"/>
              </w:rPr>
            </w:pPr>
            <w:r w:rsidRPr="00D85A26">
              <w:rPr>
                <w:sz w:val="16"/>
                <w:szCs w:val="18"/>
              </w:rPr>
              <w:t>11,87</w:t>
            </w:r>
          </w:p>
        </w:tc>
        <w:tc>
          <w:tcPr>
            <w:tcW w:w="993" w:type="dxa"/>
            <w:tcBorders>
              <w:top w:val="single" w:sz="4" w:space="0" w:color="auto"/>
              <w:left w:val="nil"/>
              <w:bottom w:val="single" w:sz="4" w:space="0" w:color="auto"/>
              <w:right w:val="single" w:sz="4" w:space="0" w:color="auto"/>
            </w:tcBorders>
            <w:shd w:val="clear" w:color="000000" w:fill="CCFFFF"/>
            <w:noWrap/>
            <w:vAlign w:val="bottom"/>
            <w:hideMark/>
          </w:tcPr>
          <w:p w14:paraId="3E58F73E" w14:textId="77777777" w:rsidR="00B56301" w:rsidRPr="00D85A26" w:rsidRDefault="00B56301" w:rsidP="00B37B65">
            <w:pPr>
              <w:jc w:val="right"/>
              <w:rPr>
                <w:rFonts w:asciiTheme="minorHAnsi" w:hAnsiTheme="minorHAnsi"/>
                <w:sz w:val="16"/>
                <w:szCs w:val="16"/>
              </w:rPr>
            </w:pPr>
            <w:r w:rsidRPr="00D85A26">
              <w:rPr>
                <w:sz w:val="16"/>
                <w:szCs w:val="18"/>
              </w:rPr>
              <w:t>11,51</w:t>
            </w:r>
          </w:p>
        </w:tc>
        <w:tc>
          <w:tcPr>
            <w:tcW w:w="1747" w:type="dxa"/>
            <w:tcBorders>
              <w:top w:val="single" w:sz="4" w:space="0" w:color="auto"/>
              <w:left w:val="nil"/>
              <w:bottom w:val="single" w:sz="4" w:space="0" w:color="auto"/>
              <w:right w:val="single" w:sz="4" w:space="0" w:color="auto"/>
            </w:tcBorders>
            <w:shd w:val="clear" w:color="000000" w:fill="CCFFFF"/>
            <w:noWrap/>
            <w:vAlign w:val="bottom"/>
            <w:hideMark/>
          </w:tcPr>
          <w:p w14:paraId="7611E31B" w14:textId="77777777" w:rsidR="00B56301" w:rsidRPr="00D85A26" w:rsidRDefault="00B56301" w:rsidP="00B37B65">
            <w:pPr>
              <w:jc w:val="right"/>
              <w:rPr>
                <w:rFonts w:asciiTheme="minorHAnsi" w:hAnsiTheme="minorHAnsi"/>
                <w:sz w:val="16"/>
                <w:szCs w:val="16"/>
              </w:rPr>
            </w:pPr>
            <w:r w:rsidRPr="00D85A26">
              <w:rPr>
                <w:sz w:val="16"/>
                <w:szCs w:val="18"/>
              </w:rPr>
              <w:t>-0,07</w:t>
            </w:r>
          </w:p>
        </w:tc>
      </w:tr>
      <w:tr w:rsidR="00B56301" w:rsidRPr="00D85A26" w14:paraId="6A6BF00C"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E8446D" w14:textId="77777777"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A. Fuel combustion (sectoral approach)</w:t>
            </w:r>
          </w:p>
        </w:tc>
        <w:tc>
          <w:tcPr>
            <w:tcW w:w="993" w:type="dxa"/>
            <w:tcBorders>
              <w:top w:val="nil"/>
              <w:left w:val="nil"/>
              <w:bottom w:val="single" w:sz="4" w:space="0" w:color="auto"/>
              <w:right w:val="single" w:sz="4" w:space="0" w:color="auto"/>
            </w:tcBorders>
            <w:shd w:val="clear" w:color="000000" w:fill="CCFFFF"/>
            <w:noWrap/>
            <w:vAlign w:val="bottom"/>
            <w:hideMark/>
          </w:tcPr>
          <w:p w14:paraId="3595EA8E" w14:textId="77777777" w:rsidR="00B56301" w:rsidRPr="00D85A26" w:rsidRDefault="00B56301" w:rsidP="00B37B65">
            <w:pPr>
              <w:jc w:val="right"/>
              <w:rPr>
                <w:rFonts w:asciiTheme="minorHAnsi" w:hAnsiTheme="minorHAnsi"/>
                <w:sz w:val="16"/>
                <w:szCs w:val="16"/>
              </w:rPr>
            </w:pPr>
            <w:r w:rsidRPr="00D85A26">
              <w:rPr>
                <w:sz w:val="16"/>
                <w:szCs w:val="18"/>
              </w:rPr>
              <w:t>11,83</w:t>
            </w:r>
          </w:p>
        </w:tc>
        <w:tc>
          <w:tcPr>
            <w:tcW w:w="993" w:type="dxa"/>
            <w:tcBorders>
              <w:top w:val="nil"/>
              <w:left w:val="nil"/>
              <w:bottom w:val="single" w:sz="4" w:space="0" w:color="auto"/>
              <w:right w:val="single" w:sz="4" w:space="0" w:color="auto"/>
            </w:tcBorders>
            <w:shd w:val="clear" w:color="000000" w:fill="CCFFFF"/>
            <w:noWrap/>
            <w:vAlign w:val="bottom"/>
            <w:hideMark/>
          </w:tcPr>
          <w:p w14:paraId="53542513" w14:textId="77777777" w:rsidR="00B56301" w:rsidRPr="00D85A26" w:rsidRDefault="00B56301" w:rsidP="00B37B65">
            <w:pPr>
              <w:jc w:val="right"/>
              <w:rPr>
                <w:rFonts w:asciiTheme="minorHAnsi" w:hAnsiTheme="minorHAnsi"/>
                <w:sz w:val="16"/>
                <w:szCs w:val="16"/>
              </w:rPr>
            </w:pPr>
            <w:r w:rsidRPr="00D85A26">
              <w:rPr>
                <w:sz w:val="16"/>
                <w:szCs w:val="18"/>
              </w:rPr>
              <w:t>11,00</w:t>
            </w:r>
          </w:p>
        </w:tc>
        <w:tc>
          <w:tcPr>
            <w:tcW w:w="1747" w:type="dxa"/>
            <w:tcBorders>
              <w:top w:val="nil"/>
              <w:left w:val="nil"/>
              <w:bottom w:val="single" w:sz="4" w:space="0" w:color="auto"/>
              <w:right w:val="single" w:sz="4" w:space="0" w:color="auto"/>
            </w:tcBorders>
            <w:shd w:val="clear" w:color="000000" w:fill="CCFFFF"/>
            <w:noWrap/>
            <w:vAlign w:val="bottom"/>
            <w:hideMark/>
          </w:tcPr>
          <w:p w14:paraId="5E1F1B6C" w14:textId="77777777" w:rsidR="00B56301" w:rsidRPr="00D85A26" w:rsidRDefault="00B56301" w:rsidP="00B37B65">
            <w:pPr>
              <w:jc w:val="right"/>
              <w:rPr>
                <w:rFonts w:asciiTheme="minorHAnsi" w:hAnsiTheme="minorHAnsi"/>
                <w:sz w:val="16"/>
                <w:szCs w:val="16"/>
              </w:rPr>
            </w:pPr>
            <w:r w:rsidRPr="00D85A26">
              <w:rPr>
                <w:sz w:val="16"/>
                <w:szCs w:val="18"/>
              </w:rPr>
              <w:t>-3,73</w:t>
            </w:r>
          </w:p>
        </w:tc>
      </w:tr>
      <w:tr w:rsidR="00B56301" w:rsidRPr="00D85A26" w14:paraId="459E94A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9E4F931" w14:textId="51367C19"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Energy industries</w:t>
            </w:r>
          </w:p>
        </w:tc>
        <w:tc>
          <w:tcPr>
            <w:tcW w:w="993" w:type="dxa"/>
            <w:tcBorders>
              <w:top w:val="nil"/>
              <w:left w:val="nil"/>
              <w:bottom w:val="single" w:sz="4" w:space="0" w:color="auto"/>
              <w:right w:val="single" w:sz="4" w:space="0" w:color="auto"/>
            </w:tcBorders>
            <w:shd w:val="clear" w:color="000000" w:fill="FFFFFF"/>
            <w:noWrap/>
            <w:vAlign w:val="bottom"/>
            <w:hideMark/>
          </w:tcPr>
          <w:p w14:paraId="703897CD" w14:textId="77777777" w:rsidR="00B56301" w:rsidRPr="00D85A26" w:rsidRDefault="00B56301" w:rsidP="00B37B65">
            <w:pPr>
              <w:jc w:val="right"/>
              <w:rPr>
                <w:rFonts w:asciiTheme="minorHAnsi" w:hAnsiTheme="minorHAnsi"/>
                <w:sz w:val="16"/>
                <w:szCs w:val="16"/>
              </w:rPr>
            </w:pPr>
            <w:r w:rsidRPr="00D85A26">
              <w:rPr>
                <w:sz w:val="16"/>
                <w:szCs w:val="18"/>
              </w:rPr>
              <w:t>0,91</w:t>
            </w:r>
          </w:p>
        </w:tc>
        <w:tc>
          <w:tcPr>
            <w:tcW w:w="993" w:type="dxa"/>
            <w:tcBorders>
              <w:top w:val="nil"/>
              <w:left w:val="nil"/>
              <w:bottom w:val="single" w:sz="4" w:space="0" w:color="auto"/>
              <w:right w:val="single" w:sz="4" w:space="0" w:color="auto"/>
            </w:tcBorders>
            <w:shd w:val="clear" w:color="000000" w:fill="FFFFFF"/>
            <w:noWrap/>
            <w:vAlign w:val="bottom"/>
            <w:hideMark/>
          </w:tcPr>
          <w:p w14:paraId="46248CDB" w14:textId="77777777" w:rsidR="00B56301" w:rsidRPr="00D85A26" w:rsidRDefault="00B56301" w:rsidP="00B37B65">
            <w:pPr>
              <w:jc w:val="right"/>
              <w:rPr>
                <w:rFonts w:asciiTheme="minorHAnsi" w:hAnsiTheme="minorHAnsi"/>
                <w:sz w:val="16"/>
                <w:szCs w:val="16"/>
              </w:rPr>
            </w:pPr>
            <w:r w:rsidRPr="00D85A26">
              <w:rPr>
                <w:sz w:val="16"/>
                <w:szCs w:val="18"/>
              </w:rPr>
              <w:t>0,83</w:t>
            </w:r>
          </w:p>
        </w:tc>
        <w:tc>
          <w:tcPr>
            <w:tcW w:w="1747" w:type="dxa"/>
            <w:tcBorders>
              <w:top w:val="nil"/>
              <w:left w:val="nil"/>
              <w:bottom w:val="single" w:sz="4" w:space="0" w:color="auto"/>
              <w:right w:val="single" w:sz="4" w:space="0" w:color="auto"/>
            </w:tcBorders>
            <w:shd w:val="clear" w:color="000000" w:fill="FFFFFF"/>
            <w:noWrap/>
            <w:vAlign w:val="bottom"/>
            <w:hideMark/>
          </w:tcPr>
          <w:p w14:paraId="033C914B" w14:textId="77777777" w:rsidR="00B56301" w:rsidRPr="00D85A26" w:rsidRDefault="00B56301" w:rsidP="00B37B65">
            <w:pPr>
              <w:jc w:val="right"/>
              <w:rPr>
                <w:rFonts w:asciiTheme="minorHAnsi" w:hAnsiTheme="minorHAnsi"/>
                <w:sz w:val="16"/>
                <w:szCs w:val="16"/>
              </w:rPr>
            </w:pPr>
            <w:r w:rsidRPr="00D85A26">
              <w:rPr>
                <w:sz w:val="16"/>
                <w:szCs w:val="18"/>
              </w:rPr>
              <w:t>-44,60</w:t>
            </w:r>
          </w:p>
        </w:tc>
      </w:tr>
      <w:tr w:rsidR="00B56301" w:rsidRPr="00D85A26" w14:paraId="243ACDB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FB9C387" w14:textId="3243AB84"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2.</w:t>
            </w:r>
            <w:r w:rsidR="00260E0B">
              <w:rPr>
                <w:rFonts w:asciiTheme="minorHAnsi" w:hAnsiTheme="minorHAnsi"/>
                <w:sz w:val="16"/>
                <w:szCs w:val="16"/>
              </w:rPr>
              <w:t xml:space="preserve"> </w:t>
            </w:r>
            <w:r w:rsidRPr="00D85A26">
              <w:rPr>
                <w:rFonts w:asciiTheme="minorHAnsi" w:hAnsiTheme="minorHAnsi"/>
                <w:sz w:val="16"/>
                <w:szCs w:val="16"/>
              </w:rPr>
              <w:t>Manufacturing industries and construction</w:t>
            </w:r>
          </w:p>
        </w:tc>
        <w:tc>
          <w:tcPr>
            <w:tcW w:w="993" w:type="dxa"/>
            <w:tcBorders>
              <w:top w:val="nil"/>
              <w:left w:val="nil"/>
              <w:bottom w:val="single" w:sz="4" w:space="0" w:color="auto"/>
              <w:right w:val="single" w:sz="4" w:space="0" w:color="auto"/>
            </w:tcBorders>
            <w:shd w:val="clear" w:color="000000" w:fill="FFFFFF"/>
            <w:noWrap/>
            <w:vAlign w:val="bottom"/>
            <w:hideMark/>
          </w:tcPr>
          <w:p w14:paraId="448F025C" w14:textId="77777777" w:rsidR="00B56301" w:rsidRPr="00D85A26" w:rsidRDefault="00B56301" w:rsidP="00B37B65">
            <w:pPr>
              <w:jc w:val="right"/>
              <w:rPr>
                <w:rFonts w:asciiTheme="minorHAnsi" w:hAnsiTheme="minorHAnsi"/>
                <w:sz w:val="16"/>
                <w:szCs w:val="16"/>
              </w:rPr>
            </w:pPr>
            <w:r w:rsidRPr="00D85A26">
              <w:rPr>
                <w:sz w:val="16"/>
                <w:szCs w:val="18"/>
              </w:rPr>
              <w:t>1,75</w:t>
            </w:r>
          </w:p>
        </w:tc>
        <w:tc>
          <w:tcPr>
            <w:tcW w:w="993" w:type="dxa"/>
            <w:tcBorders>
              <w:top w:val="nil"/>
              <w:left w:val="nil"/>
              <w:bottom w:val="single" w:sz="4" w:space="0" w:color="auto"/>
              <w:right w:val="single" w:sz="4" w:space="0" w:color="auto"/>
            </w:tcBorders>
            <w:shd w:val="clear" w:color="000000" w:fill="FFFFFF"/>
            <w:noWrap/>
            <w:vAlign w:val="bottom"/>
            <w:hideMark/>
          </w:tcPr>
          <w:p w14:paraId="3D5A680D" w14:textId="77777777" w:rsidR="00B56301" w:rsidRPr="00D85A26" w:rsidRDefault="00B56301" w:rsidP="00B37B65">
            <w:pPr>
              <w:jc w:val="right"/>
              <w:rPr>
                <w:rFonts w:asciiTheme="minorHAnsi" w:hAnsiTheme="minorHAnsi"/>
                <w:sz w:val="16"/>
                <w:szCs w:val="16"/>
              </w:rPr>
            </w:pPr>
            <w:r w:rsidRPr="00D85A26">
              <w:rPr>
                <w:sz w:val="16"/>
                <w:szCs w:val="18"/>
              </w:rPr>
              <w:t>1,69</w:t>
            </w:r>
          </w:p>
        </w:tc>
        <w:tc>
          <w:tcPr>
            <w:tcW w:w="1747" w:type="dxa"/>
            <w:tcBorders>
              <w:top w:val="nil"/>
              <w:left w:val="nil"/>
              <w:bottom w:val="single" w:sz="4" w:space="0" w:color="auto"/>
              <w:right w:val="single" w:sz="4" w:space="0" w:color="auto"/>
            </w:tcBorders>
            <w:shd w:val="clear" w:color="000000" w:fill="FFFFFF"/>
            <w:noWrap/>
            <w:vAlign w:val="bottom"/>
            <w:hideMark/>
          </w:tcPr>
          <w:p w14:paraId="50569263" w14:textId="77777777" w:rsidR="00B56301" w:rsidRPr="00D85A26" w:rsidRDefault="00B56301" w:rsidP="00B37B65">
            <w:pPr>
              <w:jc w:val="right"/>
              <w:rPr>
                <w:rFonts w:asciiTheme="minorHAnsi" w:hAnsiTheme="minorHAnsi"/>
                <w:sz w:val="16"/>
                <w:szCs w:val="16"/>
              </w:rPr>
            </w:pPr>
            <w:r w:rsidRPr="00D85A26">
              <w:rPr>
                <w:sz w:val="16"/>
                <w:szCs w:val="18"/>
              </w:rPr>
              <w:t>5,27</w:t>
            </w:r>
          </w:p>
        </w:tc>
      </w:tr>
      <w:tr w:rsidR="00B56301" w:rsidRPr="00D85A26" w14:paraId="48B92FB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EF3831B" w14:textId="6917B806"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3.</w:t>
            </w:r>
            <w:r w:rsidR="00260E0B">
              <w:rPr>
                <w:rFonts w:asciiTheme="minorHAnsi" w:hAnsiTheme="minorHAnsi"/>
                <w:sz w:val="16"/>
                <w:szCs w:val="16"/>
              </w:rPr>
              <w:t xml:space="preserve"> </w:t>
            </w:r>
            <w:r w:rsidRPr="00D85A26">
              <w:rPr>
                <w:rFonts w:asciiTheme="minorHAnsi" w:hAnsiTheme="minorHAnsi"/>
                <w:sz w:val="16"/>
                <w:szCs w:val="16"/>
              </w:rPr>
              <w:t>Transport</w:t>
            </w:r>
          </w:p>
        </w:tc>
        <w:tc>
          <w:tcPr>
            <w:tcW w:w="993" w:type="dxa"/>
            <w:tcBorders>
              <w:top w:val="nil"/>
              <w:left w:val="nil"/>
              <w:bottom w:val="single" w:sz="4" w:space="0" w:color="auto"/>
              <w:right w:val="single" w:sz="4" w:space="0" w:color="auto"/>
            </w:tcBorders>
            <w:shd w:val="clear" w:color="000000" w:fill="FFFFFF"/>
            <w:noWrap/>
            <w:vAlign w:val="bottom"/>
            <w:hideMark/>
          </w:tcPr>
          <w:p w14:paraId="5EF98C88" w14:textId="77777777" w:rsidR="00B56301" w:rsidRPr="00D85A26" w:rsidRDefault="00B56301" w:rsidP="00B37B65">
            <w:pPr>
              <w:jc w:val="right"/>
              <w:rPr>
                <w:rFonts w:asciiTheme="minorHAnsi" w:hAnsiTheme="minorHAnsi"/>
                <w:sz w:val="16"/>
                <w:szCs w:val="16"/>
              </w:rPr>
            </w:pPr>
            <w:r w:rsidRPr="00D85A26">
              <w:rPr>
                <w:sz w:val="16"/>
                <w:szCs w:val="18"/>
              </w:rPr>
              <w:t>4,63</w:t>
            </w:r>
          </w:p>
        </w:tc>
        <w:tc>
          <w:tcPr>
            <w:tcW w:w="993" w:type="dxa"/>
            <w:tcBorders>
              <w:top w:val="nil"/>
              <w:left w:val="nil"/>
              <w:bottom w:val="single" w:sz="4" w:space="0" w:color="auto"/>
              <w:right w:val="single" w:sz="4" w:space="0" w:color="auto"/>
            </w:tcBorders>
            <w:shd w:val="clear" w:color="000000" w:fill="FFFFFF"/>
            <w:noWrap/>
            <w:vAlign w:val="bottom"/>
            <w:hideMark/>
          </w:tcPr>
          <w:p w14:paraId="269122A3" w14:textId="77777777" w:rsidR="00B56301" w:rsidRPr="00D85A26" w:rsidRDefault="00B56301" w:rsidP="00B37B65">
            <w:pPr>
              <w:jc w:val="right"/>
              <w:rPr>
                <w:rFonts w:asciiTheme="minorHAnsi" w:hAnsiTheme="minorHAnsi"/>
                <w:sz w:val="16"/>
                <w:szCs w:val="16"/>
              </w:rPr>
            </w:pPr>
            <w:r w:rsidRPr="00D85A26">
              <w:rPr>
                <w:sz w:val="16"/>
                <w:szCs w:val="18"/>
              </w:rPr>
              <w:t>3,85</w:t>
            </w:r>
          </w:p>
        </w:tc>
        <w:tc>
          <w:tcPr>
            <w:tcW w:w="1747" w:type="dxa"/>
            <w:tcBorders>
              <w:top w:val="nil"/>
              <w:left w:val="nil"/>
              <w:bottom w:val="single" w:sz="4" w:space="0" w:color="auto"/>
              <w:right w:val="single" w:sz="4" w:space="0" w:color="auto"/>
            </w:tcBorders>
            <w:shd w:val="clear" w:color="000000" w:fill="FFFFFF"/>
            <w:noWrap/>
            <w:vAlign w:val="bottom"/>
            <w:hideMark/>
          </w:tcPr>
          <w:p w14:paraId="28EA89E7" w14:textId="77777777" w:rsidR="00B56301" w:rsidRPr="00D85A26" w:rsidRDefault="00B56301" w:rsidP="00B37B65">
            <w:pPr>
              <w:jc w:val="right"/>
              <w:rPr>
                <w:rFonts w:asciiTheme="minorHAnsi" w:hAnsiTheme="minorHAnsi"/>
                <w:sz w:val="16"/>
                <w:szCs w:val="16"/>
              </w:rPr>
            </w:pPr>
            <w:r w:rsidRPr="00D85A26">
              <w:rPr>
                <w:sz w:val="16"/>
                <w:szCs w:val="18"/>
              </w:rPr>
              <w:t>17,60</w:t>
            </w:r>
          </w:p>
        </w:tc>
      </w:tr>
      <w:tr w:rsidR="00B56301" w:rsidRPr="00D85A26" w14:paraId="11D232E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36886A8" w14:textId="4DFBAC8C"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4.</w:t>
            </w:r>
            <w:r w:rsidR="00260E0B">
              <w:rPr>
                <w:rFonts w:asciiTheme="minorHAnsi" w:hAnsiTheme="minorHAnsi"/>
                <w:sz w:val="16"/>
                <w:szCs w:val="16"/>
              </w:rPr>
              <w:t xml:space="preserve"> </w:t>
            </w:r>
            <w:r w:rsidRPr="00D85A26">
              <w:rPr>
                <w:rFonts w:asciiTheme="minorHAnsi" w:hAnsiTheme="minorHAnsi"/>
                <w:sz w:val="16"/>
                <w:szCs w:val="16"/>
              </w:rPr>
              <w:t>Other sectors</w:t>
            </w:r>
          </w:p>
        </w:tc>
        <w:tc>
          <w:tcPr>
            <w:tcW w:w="993" w:type="dxa"/>
            <w:tcBorders>
              <w:top w:val="nil"/>
              <w:left w:val="nil"/>
              <w:bottom w:val="single" w:sz="4" w:space="0" w:color="auto"/>
              <w:right w:val="single" w:sz="4" w:space="0" w:color="auto"/>
            </w:tcBorders>
            <w:shd w:val="clear" w:color="000000" w:fill="FFFFFF"/>
            <w:noWrap/>
            <w:vAlign w:val="bottom"/>
            <w:hideMark/>
          </w:tcPr>
          <w:p w14:paraId="5C028238" w14:textId="77777777" w:rsidR="00B56301" w:rsidRPr="00D85A26" w:rsidRDefault="00B56301" w:rsidP="00B37B65">
            <w:pPr>
              <w:jc w:val="right"/>
              <w:rPr>
                <w:rFonts w:asciiTheme="minorHAnsi" w:hAnsiTheme="minorHAnsi"/>
                <w:sz w:val="16"/>
                <w:szCs w:val="16"/>
              </w:rPr>
            </w:pPr>
            <w:r w:rsidRPr="00D85A26">
              <w:rPr>
                <w:sz w:val="16"/>
                <w:szCs w:val="18"/>
              </w:rPr>
              <w:t>4,51</w:t>
            </w:r>
          </w:p>
        </w:tc>
        <w:tc>
          <w:tcPr>
            <w:tcW w:w="993" w:type="dxa"/>
            <w:tcBorders>
              <w:top w:val="nil"/>
              <w:left w:val="nil"/>
              <w:bottom w:val="single" w:sz="4" w:space="0" w:color="auto"/>
              <w:right w:val="single" w:sz="4" w:space="0" w:color="auto"/>
            </w:tcBorders>
            <w:shd w:val="clear" w:color="000000" w:fill="FFFFFF"/>
            <w:noWrap/>
            <w:vAlign w:val="bottom"/>
            <w:hideMark/>
          </w:tcPr>
          <w:p w14:paraId="674A781B" w14:textId="77777777" w:rsidR="00B56301" w:rsidRPr="00D85A26" w:rsidRDefault="00B56301" w:rsidP="00B37B65">
            <w:pPr>
              <w:jc w:val="right"/>
              <w:rPr>
                <w:rFonts w:asciiTheme="minorHAnsi" w:hAnsiTheme="minorHAnsi"/>
                <w:sz w:val="16"/>
                <w:szCs w:val="16"/>
              </w:rPr>
            </w:pPr>
            <w:r w:rsidRPr="00D85A26">
              <w:rPr>
                <w:sz w:val="16"/>
                <w:szCs w:val="18"/>
              </w:rPr>
              <w:t>4,61</w:t>
            </w:r>
          </w:p>
        </w:tc>
        <w:tc>
          <w:tcPr>
            <w:tcW w:w="1747" w:type="dxa"/>
            <w:tcBorders>
              <w:top w:val="nil"/>
              <w:left w:val="nil"/>
              <w:bottom w:val="single" w:sz="4" w:space="0" w:color="auto"/>
              <w:right w:val="single" w:sz="4" w:space="0" w:color="auto"/>
            </w:tcBorders>
            <w:shd w:val="clear" w:color="000000" w:fill="FFFFFF"/>
            <w:noWrap/>
            <w:vAlign w:val="bottom"/>
            <w:hideMark/>
          </w:tcPr>
          <w:p w14:paraId="2EEE94E0" w14:textId="77777777" w:rsidR="00B56301" w:rsidRPr="00D85A26" w:rsidRDefault="00B56301" w:rsidP="00B37B65">
            <w:pPr>
              <w:jc w:val="right"/>
              <w:rPr>
                <w:rFonts w:asciiTheme="minorHAnsi" w:hAnsiTheme="minorHAnsi"/>
                <w:sz w:val="16"/>
                <w:szCs w:val="16"/>
              </w:rPr>
            </w:pPr>
            <w:r w:rsidRPr="00D85A26">
              <w:rPr>
                <w:sz w:val="16"/>
                <w:szCs w:val="18"/>
              </w:rPr>
              <w:t>-6,60</w:t>
            </w:r>
          </w:p>
        </w:tc>
      </w:tr>
      <w:tr w:rsidR="00B56301" w:rsidRPr="00D85A26" w14:paraId="2192DD5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7F6FC51" w14:textId="4B17660D"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5.</w:t>
            </w:r>
            <w:r w:rsidR="00260E0B">
              <w:rPr>
                <w:rFonts w:asciiTheme="minorHAnsi" w:hAnsiTheme="minorHAnsi"/>
                <w:sz w:val="16"/>
                <w:szCs w:val="16"/>
              </w:rPr>
              <w:t xml:space="preserve"> </w:t>
            </w:r>
            <w:r w:rsidRPr="00D85A26">
              <w:rPr>
                <w:rFonts w:asciiTheme="minorHAnsi" w:hAnsiTheme="minorHAnsi"/>
                <w:sz w:val="16"/>
                <w:szCs w:val="16"/>
              </w:rPr>
              <w:t>Other</w:t>
            </w:r>
          </w:p>
        </w:tc>
        <w:tc>
          <w:tcPr>
            <w:tcW w:w="993" w:type="dxa"/>
            <w:tcBorders>
              <w:top w:val="nil"/>
              <w:left w:val="nil"/>
              <w:bottom w:val="single" w:sz="4" w:space="0" w:color="auto"/>
              <w:right w:val="single" w:sz="4" w:space="0" w:color="auto"/>
            </w:tcBorders>
            <w:shd w:val="clear" w:color="000000" w:fill="FFFFFF"/>
            <w:noWrap/>
            <w:vAlign w:val="bottom"/>
            <w:hideMark/>
          </w:tcPr>
          <w:p w14:paraId="693A7EB3"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3" w:type="dxa"/>
            <w:tcBorders>
              <w:top w:val="nil"/>
              <w:left w:val="nil"/>
              <w:bottom w:val="single" w:sz="4" w:space="0" w:color="auto"/>
              <w:right w:val="single" w:sz="4" w:space="0" w:color="auto"/>
            </w:tcBorders>
            <w:shd w:val="clear" w:color="000000" w:fill="FFFFFF"/>
            <w:noWrap/>
            <w:vAlign w:val="bottom"/>
            <w:hideMark/>
          </w:tcPr>
          <w:p w14:paraId="041B799D"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1747" w:type="dxa"/>
            <w:tcBorders>
              <w:top w:val="nil"/>
              <w:left w:val="nil"/>
              <w:bottom w:val="single" w:sz="4" w:space="0" w:color="auto"/>
              <w:right w:val="single" w:sz="4" w:space="0" w:color="auto"/>
            </w:tcBorders>
            <w:shd w:val="clear" w:color="000000" w:fill="FFFFFF"/>
            <w:noWrap/>
            <w:vAlign w:val="bottom"/>
            <w:hideMark/>
          </w:tcPr>
          <w:p w14:paraId="2D1534AF" w14:textId="77777777" w:rsidR="00B56301" w:rsidRPr="00D85A26" w:rsidRDefault="00B56301" w:rsidP="00B37B65">
            <w:pPr>
              <w:jc w:val="right"/>
              <w:rPr>
                <w:rFonts w:asciiTheme="minorHAnsi" w:hAnsiTheme="minorHAnsi"/>
                <w:sz w:val="16"/>
                <w:szCs w:val="16"/>
              </w:rPr>
            </w:pPr>
            <w:r w:rsidRPr="00D85A26">
              <w:rPr>
                <w:sz w:val="16"/>
                <w:szCs w:val="18"/>
              </w:rPr>
              <w:t>-76,89</w:t>
            </w:r>
          </w:p>
        </w:tc>
      </w:tr>
      <w:tr w:rsidR="00B56301" w:rsidRPr="00D85A26" w14:paraId="0925E6B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A421C30" w14:textId="7777777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 Fugitive emissions from fuels</w:t>
            </w:r>
          </w:p>
        </w:tc>
        <w:tc>
          <w:tcPr>
            <w:tcW w:w="993" w:type="dxa"/>
            <w:tcBorders>
              <w:top w:val="nil"/>
              <w:left w:val="nil"/>
              <w:bottom w:val="single" w:sz="4" w:space="0" w:color="auto"/>
              <w:right w:val="single" w:sz="4" w:space="0" w:color="auto"/>
            </w:tcBorders>
            <w:shd w:val="clear" w:color="000000" w:fill="CCFFFF"/>
            <w:noWrap/>
            <w:vAlign w:val="bottom"/>
            <w:hideMark/>
          </w:tcPr>
          <w:p w14:paraId="75401F26"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3" w:type="dxa"/>
            <w:tcBorders>
              <w:top w:val="nil"/>
              <w:left w:val="nil"/>
              <w:bottom w:val="single" w:sz="4" w:space="0" w:color="auto"/>
              <w:right w:val="single" w:sz="4" w:space="0" w:color="auto"/>
            </w:tcBorders>
            <w:shd w:val="clear" w:color="000000" w:fill="CCFFFF"/>
            <w:noWrap/>
            <w:vAlign w:val="bottom"/>
            <w:hideMark/>
          </w:tcPr>
          <w:p w14:paraId="37F7DA1C" w14:textId="77777777" w:rsidR="00B56301" w:rsidRPr="00D85A26" w:rsidRDefault="00B56301" w:rsidP="00B37B65">
            <w:pPr>
              <w:jc w:val="right"/>
              <w:rPr>
                <w:rFonts w:asciiTheme="minorHAnsi" w:hAnsiTheme="minorHAnsi"/>
                <w:sz w:val="16"/>
                <w:szCs w:val="16"/>
              </w:rPr>
            </w:pPr>
            <w:r w:rsidRPr="00D85A26">
              <w:rPr>
                <w:sz w:val="16"/>
                <w:szCs w:val="18"/>
              </w:rPr>
              <w:t>0,51</w:t>
            </w:r>
          </w:p>
        </w:tc>
        <w:tc>
          <w:tcPr>
            <w:tcW w:w="1747" w:type="dxa"/>
            <w:tcBorders>
              <w:top w:val="nil"/>
              <w:left w:val="nil"/>
              <w:bottom w:val="single" w:sz="4" w:space="0" w:color="auto"/>
              <w:right w:val="single" w:sz="4" w:space="0" w:color="auto"/>
            </w:tcBorders>
            <w:shd w:val="clear" w:color="000000" w:fill="CCFFFF"/>
            <w:noWrap/>
            <w:vAlign w:val="bottom"/>
            <w:hideMark/>
          </w:tcPr>
          <w:p w14:paraId="3A772DD4" w14:textId="77777777" w:rsidR="00B56301" w:rsidRPr="00D85A26" w:rsidRDefault="00B56301" w:rsidP="00B37B65">
            <w:pPr>
              <w:jc w:val="right"/>
              <w:rPr>
                <w:rFonts w:asciiTheme="minorHAnsi" w:hAnsiTheme="minorHAnsi"/>
                <w:sz w:val="16"/>
                <w:szCs w:val="16"/>
              </w:rPr>
            </w:pPr>
            <w:r w:rsidRPr="00D85A26">
              <w:rPr>
                <w:sz w:val="16"/>
                <w:szCs w:val="18"/>
              </w:rPr>
              <w:t>472,65</w:t>
            </w:r>
          </w:p>
        </w:tc>
      </w:tr>
      <w:tr w:rsidR="00B56301" w:rsidRPr="00D85A26" w14:paraId="05E7652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E101BD9" w14:textId="5BB2EFD7" w:rsidR="00B56301" w:rsidRPr="00D85A26" w:rsidRDefault="00B56301" w:rsidP="00B37B65">
            <w:pPr>
              <w:ind w:firstLineChars="500" w:firstLine="800"/>
              <w:jc w:val="left"/>
              <w:rPr>
                <w:rFonts w:asciiTheme="minorHAnsi" w:hAnsiTheme="minorHAnsi"/>
                <w:sz w:val="16"/>
                <w:szCs w:val="16"/>
              </w:rPr>
            </w:pPr>
            <w:r w:rsidRPr="00D85A26">
              <w:rPr>
                <w:rFonts w:asciiTheme="minorHAnsi" w:hAnsiTheme="minorHAnsi"/>
                <w:sz w:val="16"/>
                <w:szCs w:val="16"/>
              </w:rPr>
              <w:t>1.</w:t>
            </w:r>
            <w:r w:rsidR="00260E0B">
              <w:rPr>
                <w:rFonts w:asciiTheme="minorHAnsi" w:hAnsiTheme="minorHAnsi"/>
                <w:sz w:val="16"/>
                <w:szCs w:val="16"/>
              </w:rPr>
              <w:t xml:space="preserve"> </w:t>
            </w:r>
            <w:r w:rsidRPr="00D85A26">
              <w:rPr>
                <w:rFonts w:asciiTheme="minorHAnsi" w:hAnsiTheme="minorHAnsi"/>
                <w:sz w:val="16"/>
                <w:szCs w:val="16"/>
              </w:rPr>
              <w:t>Solid fuels</w:t>
            </w:r>
          </w:p>
        </w:tc>
        <w:tc>
          <w:tcPr>
            <w:tcW w:w="993" w:type="dxa"/>
            <w:tcBorders>
              <w:top w:val="nil"/>
              <w:left w:val="nil"/>
              <w:bottom w:val="single" w:sz="4" w:space="0" w:color="auto"/>
              <w:right w:val="single" w:sz="4" w:space="0" w:color="auto"/>
            </w:tcBorders>
            <w:shd w:val="clear" w:color="000000" w:fill="FFFFFF"/>
            <w:noWrap/>
            <w:vAlign w:val="bottom"/>
            <w:hideMark/>
          </w:tcPr>
          <w:p w14:paraId="1B091DDD"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47CB6C72"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620C1DFD"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4D943641"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9214944" w14:textId="7AA7F341" w:rsidR="00B56301" w:rsidRPr="00D85A26" w:rsidRDefault="00B56301" w:rsidP="00B37B65">
            <w:pPr>
              <w:ind w:firstLineChars="500" w:firstLine="800"/>
              <w:jc w:val="left"/>
              <w:rPr>
                <w:rFonts w:asciiTheme="minorHAnsi" w:hAnsiTheme="minorHAnsi"/>
                <w:sz w:val="16"/>
                <w:szCs w:val="16"/>
                <w:lang w:val="en-GB"/>
              </w:rPr>
            </w:pPr>
            <w:r w:rsidRPr="00D85A26">
              <w:rPr>
                <w:rFonts w:asciiTheme="minorHAnsi" w:hAnsiTheme="minorHAnsi"/>
                <w:sz w:val="16"/>
                <w:szCs w:val="16"/>
                <w:lang w:val="en-GB"/>
              </w:rPr>
              <w:t>2.</w:t>
            </w:r>
            <w:r w:rsidR="00260E0B">
              <w:rPr>
                <w:rFonts w:asciiTheme="minorHAnsi" w:hAnsiTheme="minorHAnsi"/>
                <w:sz w:val="16"/>
                <w:szCs w:val="16"/>
                <w:lang w:val="en-GB"/>
              </w:rPr>
              <w:t xml:space="preserve"> </w:t>
            </w:r>
            <w:r w:rsidRPr="00D85A26">
              <w:rPr>
                <w:rFonts w:asciiTheme="minorHAnsi" w:hAnsiTheme="minorHAnsi"/>
                <w:sz w:val="16"/>
                <w:szCs w:val="16"/>
                <w:lang w:val="en-GB"/>
              </w:rPr>
              <w:t>Oil and natural gas and other emissions from energy production</w:t>
            </w:r>
          </w:p>
        </w:tc>
        <w:tc>
          <w:tcPr>
            <w:tcW w:w="993" w:type="dxa"/>
            <w:tcBorders>
              <w:top w:val="nil"/>
              <w:left w:val="nil"/>
              <w:bottom w:val="single" w:sz="4" w:space="0" w:color="auto"/>
              <w:right w:val="single" w:sz="4" w:space="0" w:color="auto"/>
            </w:tcBorders>
            <w:shd w:val="clear" w:color="000000" w:fill="FFFFFF"/>
            <w:noWrap/>
            <w:vAlign w:val="bottom"/>
            <w:hideMark/>
          </w:tcPr>
          <w:p w14:paraId="2D0467FB" w14:textId="77777777" w:rsidR="00B56301" w:rsidRPr="00D85A26" w:rsidRDefault="00B56301" w:rsidP="00B37B65">
            <w:pPr>
              <w:jc w:val="right"/>
              <w:rPr>
                <w:rFonts w:asciiTheme="minorHAnsi" w:hAnsiTheme="minorHAnsi"/>
                <w:sz w:val="16"/>
                <w:szCs w:val="16"/>
              </w:rPr>
            </w:pPr>
            <w:r w:rsidRPr="00D85A26">
              <w:rPr>
                <w:sz w:val="16"/>
                <w:szCs w:val="18"/>
              </w:rPr>
              <w:t>0,04</w:t>
            </w:r>
          </w:p>
        </w:tc>
        <w:tc>
          <w:tcPr>
            <w:tcW w:w="993" w:type="dxa"/>
            <w:tcBorders>
              <w:top w:val="nil"/>
              <w:left w:val="nil"/>
              <w:bottom w:val="single" w:sz="4" w:space="0" w:color="auto"/>
              <w:right w:val="single" w:sz="4" w:space="0" w:color="auto"/>
            </w:tcBorders>
            <w:shd w:val="clear" w:color="000000" w:fill="FFFFFF"/>
            <w:noWrap/>
            <w:vAlign w:val="bottom"/>
            <w:hideMark/>
          </w:tcPr>
          <w:p w14:paraId="1D15DD74" w14:textId="77777777" w:rsidR="00B56301" w:rsidRPr="00D85A26" w:rsidRDefault="00B56301" w:rsidP="00B37B65">
            <w:pPr>
              <w:jc w:val="right"/>
              <w:rPr>
                <w:rFonts w:asciiTheme="minorHAnsi" w:hAnsiTheme="minorHAnsi"/>
                <w:sz w:val="16"/>
                <w:szCs w:val="16"/>
              </w:rPr>
            </w:pPr>
            <w:r w:rsidRPr="00D85A26">
              <w:rPr>
                <w:sz w:val="16"/>
                <w:szCs w:val="18"/>
              </w:rPr>
              <w:t>0,51</w:t>
            </w:r>
          </w:p>
        </w:tc>
        <w:tc>
          <w:tcPr>
            <w:tcW w:w="1747" w:type="dxa"/>
            <w:tcBorders>
              <w:top w:val="nil"/>
              <w:left w:val="nil"/>
              <w:bottom w:val="single" w:sz="4" w:space="0" w:color="auto"/>
              <w:right w:val="single" w:sz="4" w:space="0" w:color="auto"/>
            </w:tcBorders>
            <w:shd w:val="clear" w:color="000000" w:fill="FFFFFF"/>
            <w:noWrap/>
            <w:vAlign w:val="bottom"/>
            <w:hideMark/>
          </w:tcPr>
          <w:p w14:paraId="6ADD79BD" w14:textId="77777777" w:rsidR="00B56301" w:rsidRPr="00D85A26" w:rsidRDefault="00B56301" w:rsidP="00B37B65">
            <w:pPr>
              <w:jc w:val="right"/>
              <w:rPr>
                <w:rFonts w:asciiTheme="minorHAnsi" w:hAnsiTheme="minorHAnsi"/>
                <w:sz w:val="16"/>
                <w:szCs w:val="16"/>
              </w:rPr>
            </w:pPr>
            <w:r w:rsidRPr="00D85A26">
              <w:rPr>
                <w:sz w:val="16"/>
                <w:szCs w:val="18"/>
              </w:rPr>
              <w:t>472,65</w:t>
            </w:r>
          </w:p>
        </w:tc>
      </w:tr>
      <w:tr w:rsidR="00B56301" w:rsidRPr="00833C38" w14:paraId="13C23D76"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9F23959" w14:textId="4A3011E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 xml:space="preserve">C. </w:t>
            </w:r>
            <w:r w:rsidR="007F09F7" w:rsidRPr="006C251B">
              <w:rPr>
                <w:lang w:val="en-GB"/>
              </w:rPr>
              <w:t>CO</w:t>
            </w:r>
            <w:r w:rsidR="007F09F7" w:rsidRPr="006C251B">
              <w:rPr>
                <w:vertAlign w:val="subscript"/>
                <w:lang w:val="en-GB"/>
              </w:rPr>
              <w:t>2</w:t>
            </w:r>
            <w:r w:rsidRPr="00D85A26">
              <w:rPr>
                <w:rFonts w:asciiTheme="minorHAnsi" w:hAnsiTheme="minorHAnsi"/>
                <w:sz w:val="16"/>
                <w:szCs w:val="16"/>
                <w:lang w:val="en-GB"/>
              </w:rPr>
              <w:t xml:space="preserve"> transport and storage</w:t>
            </w:r>
          </w:p>
        </w:tc>
        <w:tc>
          <w:tcPr>
            <w:tcW w:w="993" w:type="dxa"/>
            <w:tcBorders>
              <w:top w:val="nil"/>
              <w:left w:val="nil"/>
              <w:bottom w:val="single" w:sz="4" w:space="0" w:color="auto"/>
              <w:right w:val="single" w:sz="4" w:space="0" w:color="auto"/>
            </w:tcBorders>
            <w:shd w:val="clear" w:color="000000" w:fill="969696"/>
            <w:noWrap/>
            <w:vAlign w:val="bottom"/>
            <w:hideMark/>
          </w:tcPr>
          <w:p w14:paraId="6C8EEE16"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4250AB44"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BC7317C"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r>
      <w:tr w:rsidR="00B56301" w:rsidRPr="00D85A26" w14:paraId="13D5973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DBCA26C" w14:textId="182BF0E3"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2.</w:t>
            </w:r>
            <w:r w:rsidR="00260E0B">
              <w:rPr>
                <w:rFonts w:asciiTheme="minorHAnsi" w:hAnsiTheme="minorHAnsi"/>
                <w:b/>
                <w:bCs/>
                <w:sz w:val="16"/>
                <w:szCs w:val="16"/>
              </w:rPr>
              <w:t xml:space="preserve"> </w:t>
            </w:r>
            <w:r w:rsidRPr="00D85A26">
              <w:rPr>
                <w:rFonts w:asciiTheme="minorHAnsi" w:hAnsiTheme="minorHAnsi"/>
                <w:b/>
                <w:bCs/>
                <w:sz w:val="16"/>
                <w:szCs w:val="16"/>
              </w:rPr>
              <w:t>Industrial processes</w:t>
            </w:r>
          </w:p>
        </w:tc>
        <w:tc>
          <w:tcPr>
            <w:tcW w:w="993" w:type="dxa"/>
            <w:tcBorders>
              <w:top w:val="nil"/>
              <w:left w:val="nil"/>
              <w:bottom w:val="single" w:sz="4" w:space="0" w:color="auto"/>
              <w:right w:val="single" w:sz="4" w:space="0" w:color="auto"/>
            </w:tcBorders>
            <w:shd w:val="clear" w:color="000000" w:fill="CCFFFF"/>
            <w:noWrap/>
            <w:vAlign w:val="bottom"/>
            <w:hideMark/>
          </w:tcPr>
          <w:p w14:paraId="68AFD8CE" w14:textId="77777777" w:rsidR="00B56301" w:rsidRPr="00D85A26" w:rsidRDefault="00B56301" w:rsidP="00B37B65">
            <w:pPr>
              <w:jc w:val="right"/>
              <w:rPr>
                <w:rFonts w:asciiTheme="minorHAnsi" w:hAnsiTheme="minorHAnsi"/>
                <w:sz w:val="16"/>
                <w:szCs w:val="16"/>
              </w:rPr>
            </w:pPr>
            <w:r w:rsidRPr="00D85A26">
              <w:rPr>
                <w:sz w:val="16"/>
                <w:szCs w:val="18"/>
              </w:rPr>
              <w:t>3,08</w:t>
            </w:r>
          </w:p>
        </w:tc>
        <w:tc>
          <w:tcPr>
            <w:tcW w:w="993" w:type="dxa"/>
            <w:tcBorders>
              <w:top w:val="nil"/>
              <w:left w:val="nil"/>
              <w:bottom w:val="single" w:sz="4" w:space="0" w:color="auto"/>
              <w:right w:val="single" w:sz="4" w:space="0" w:color="auto"/>
            </w:tcBorders>
            <w:shd w:val="clear" w:color="000000" w:fill="CCFFFF"/>
            <w:noWrap/>
            <w:vAlign w:val="bottom"/>
            <w:hideMark/>
          </w:tcPr>
          <w:p w14:paraId="3D1D534B" w14:textId="77777777" w:rsidR="00B56301" w:rsidRPr="00D85A26" w:rsidRDefault="00B56301" w:rsidP="00B37B65">
            <w:pPr>
              <w:jc w:val="right"/>
              <w:rPr>
                <w:rFonts w:asciiTheme="minorHAnsi" w:hAnsiTheme="minorHAnsi"/>
                <w:sz w:val="16"/>
                <w:szCs w:val="16"/>
              </w:rPr>
            </w:pPr>
            <w:r w:rsidRPr="00D85A26">
              <w:rPr>
                <w:sz w:val="16"/>
                <w:szCs w:val="18"/>
              </w:rPr>
              <w:t>2,49</w:t>
            </w:r>
          </w:p>
        </w:tc>
        <w:tc>
          <w:tcPr>
            <w:tcW w:w="1747" w:type="dxa"/>
            <w:tcBorders>
              <w:top w:val="nil"/>
              <w:left w:val="nil"/>
              <w:bottom w:val="single" w:sz="4" w:space="0" w:color="auto"/>
              <w:right w:val="single" w:sz="4" w:space="0" w:color="auto"/>
            </w:tcBorders>
            <w:shd w:val="clear" w:color="000000" w:fill="CCFFFF"/>
            <w:noWrap/>
            <w:vAlign w:val="bottom"/>
            <w:hideMark/>
          </w:tcPr>
          <w:p w14:paraId="291132C6" w14:textId="77777777" w:rsidR="00B56301" w:rsidRPr="00D85A26" w:rsidRDefault="00B56301" w:rsidP="00B37B65">
            <w:pPr>
              <w:jc w:val="right"/>
              <w:rPr>
                <w:rFonts w:asciiTheme="minorHAnsi" w:hAnsiTheme="minorHAnsi"/>
                <w:sz w:val="16"/>
                <w:szCs w:val="16"/>
              </w:rPr>
            </w:pPr>
            <w:r w:rsidRPr="00D85A26">
              <w:rPr>
                <w:sz w:val="16"/>
                <w:szCs w:val="18"/>
              </w:rPr>
              <w:t>-96,89</w:t>
            </w:r>
          </w:p>
        </w:tc>
      </w:tr>
      <w:tr w:rsidR="00B56301" w:rsidRPr="00D85A26" w14:paraId="6124A11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41614A9" w14:textId="68C4FA1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Mineral industry</w:t>
            </w:r>
          </w:p>
        </w:tc>
        <w:tc>
          <w:tcPr>
            <w:tcW w:w="993" w:type="dxa"/>
            <w:tcBorders>
              <w:top w:val="nil"/>
              <w:left w:val="nil"/>
              <w:bottom w:val="single" w:sz="4" w:space="0" w:color="auto"/>
              <w:right w:val="single" w:sz="4" w:space="0" w:color="auto"/>
            </w:tcBorders>
            <w:shd w:val="clear" w:color="000000" w:fill="969696"/>
            <w:noWrap/>
            <w:vAlign w:val="bottom"/>
            <w:hideMark/>
          </w:tcPr>
          <w:p w14:paraId="5E235369"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C43CFF2"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08D2080"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4B4E57C6"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5440FD2" w14:textId="67BA7AE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Chemical industry</w:t>
            </w:r>
          </w:p>
        </w:tc>
        <w:tc>
          <w:tcPr>
            <w:tcW w:w="993" w:type="dxa"/>
            <w:tcBorders>
              <w:top w:val="nil"/>
              <w:left w:val="nil"/>
              <w:bottom w:val="single" w:sz="4" w:space="0" w:color="auto"/>
              <w:right w:val="single" w:sz="4" w:space="0" w:color="auto"/>
            </w:tcBorders>
            <w:shd w:val="clear" w:color="000000" w:fill="FFFFFF"/>
            <w:noWrap/>
            <w:vAlign w:val="bottom"/>
            <w:hideMark/>
          </w:tcPr>
          <w:p w14:paraId="2F1FD4CA" w14:textId="77777777" w:rsidR="00B56301" w:rsidRPr="00D85A26" w:rsidRDefault="00B56301" w:rsidP="00B37B65">
            <w:pPr>
              <w:jc w:val="right"/>
              <w:rPr>
                <w:rFonts w:asciiTheme="minorHAnsi" w:hAnsiTheme="minorHAnsi"/>
                <w:sz w:val="16"/>
                <w:szCs w:val="16"/>
              </w:rPr>
            </w:pPr>
            <w:r w:rsidRPr="00D85A26">
              <w:rPr>
                <w:sz w:val="16"/>
                <w:szCs w:val="18"/>
              </w:rPr>
              <w:t>2,62</w:t>
            </w:r>
          </w:p>
        </w:tc>
        <w:tc>
          <w:tcPr>
            <w:tcW w:w="993" w:type="dxa"/>
            <w:tcBorders>
              <w:top w:val="nil"/>
              <w:left w:val="nil"/>
              <w:bottom w:val="single" w:sz="4" w:space="0" w:color="auto"/>
              <w:right w:val="single" w:sz="4" w:space="0" w:color="auto"/>
            </w:tcBorders>
            <w:shd w:val="clear" w:color="000000" w:fill="FFFFFF"/>
            <w:noWrap/>
            <w:vAlign w:val="bottom"/>
            <w:hideMark/>
          </w:tcPr>
          <w:p w14:paraId="733319A1" w14:textId="77777777" w:rsidR="00B56301" w:rsidRPr="00D85A26" w:rsidRDefault="00B56301" w:rsidP="00B37B65">
            <w:pPr>
              <w:jc w:val="right"/>
              <w:rPr>
                <w:rFonts w:asciiTheme="minorHAnsi" w:hAnsiTheme="minorHAnsi"/>
                <w:sz w:val="16"/>
                <w:szCs w:val="16"/>
              </w:rPr>
            </w:pPr>
            <w:r w:rsidRPr="00D85A26">
              <w:rPr>
                <w:sz w:val="16"/>
                <w:szCs w:val="18"/>
              </w:rPr>
              <w:t>2,03</w:t>
            </w:r>
          </w:p>
        </w:tc>
        <w:tc>
          <w:tcPr>
            <w:tcW w:w="1747" w:type="dxa"/>
            <w:tcBorders>
              <w:top w:val="nil"/>
              <w:left w:val="nil"/>
              <w:bottom w:val="single" w:sz="4" w:space="0" w:color="auto"/>
              <w:right w:val="single" w:sz="4" w:space="0" w:color="auto"/>
            </w:tcBorders>
            <w:shd w:val="clear" w:color="000000" w:fill="FFFFFF"/>
            <w:noWrap/>
            <w:vAlign w:val="bottom"/>
            <w:hideMark/>
          </w:tcPr>
          <w:p w14:paraId="0A6B23F0" w14:textId="77777777" w:rsidR="00B56301" w:rsidRPr="00D85A26" w:rsidRDefault="00B56301" w:rsidP="00B37B65">
            <w:pPr>
              <w:jc w:val="right"/>
              <w:rPr>
                <w:rFonts w:asciiTheme="minorHAnsi" w:hAnsiTheme="minorHAnsi"/>
                <w:sz w:val="16"/>
                <w:szCs w:val="16"/>
              </w:rPr>
            </w:pPr>
            <w:r w:rsidRPr="00D85A26">
              <w:rPr>
                <w:sz w:val="16"/>
                <w:szCs w:val="18"/>
              </w:rPr>
              <w:t>-97,44</w:t>
            </w:r>
          </w:p>
        </w:tc>
      </w:tr>
      <w:tr w:rsidR="00B56301" w:rsidRPr="00D85A26" w14:paraId="5B76B7B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78A1981" w14:textId="780AAFA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Metal industry</w:t>
            </w:r>
          </w:p>
        </w:tc>
        <w:tc>
          <w:tcPr>
            <w:tcW w:w="993" w:type="dxa"/>
            <w:tcBorders>
              <w:top w:val="nil"/>
              <w:left w:val="nil"/>
              <w:bottom w:val="single" w:sz="4" w:space="0" w:color="auto"/>
              <w:right w:val="single" w:sz="4" w:space="0" w:color="auto"/>
            </w:tcBorders>
            <w:shd w:val="clear" w:color="000000" w:fill="FFFFFF"/>
            <w:noWrap/>
            <w:vAlign w:val="bottom"/>
            <w:hideMark/>
          </w:tcPr>
          <w:p w14:paraId="280123C9"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4EC69928"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33EE63C8"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72F3D2C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74739D75" w14:textId="4D00DC60"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Non-energy products from fuels and solvent use</w:t>
            </w:r>
          </w:p>
        </w:tc>
        <w:tc>
          <w:tcPr>
            <w:tcW w:w="993" w:type="dxa"/>
            <w:tcBorders>
              <w:top w:val="nil"/>
              <w:left w:val="nil"/>
              <w:bottom w:val="single" w:sz="4" w:space="0" w:color="auto"/>
              <w:right w:val="single" w:sz="4" w:space="0" w:color="auto"/>
            </w:tcBorders>
            <w:shd w:val="clear" w:color="000000" w:fill="FFFFFF"/>
            <w:noWrap/>
            <w:vAlign w:val="bottom"/>
            <w:hideMark/>
          </w:tcPr>
          <w:p w14:paraId="126C7C81"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66F12306" w14:textId="77777777" w:rsidR="00B56301" w:rsidRPr="00D85A26" w:rsidRDefault="00B56301" w:rsidP="00B37B65">
            <w:pPr>
              <w:jc w:val="right"/>
              <w:rPr>
                <w:rFonts w:asciiTheme="minorHAnsi" w:hAnsiTheme="minorHAnsi"/>
                <w:sz w:val="16"/>
                <w:szCs w:val="16"/>
              </w:rPr>
            </w:pPr>
            <w:r w:rsidRPr="00D85A26">
              <w:rPr>
                <w:sz w:val="16"/>
                <w:szCs w:val="18"/>
              </w:rPr>
              <w:t>0,01</w:t>
            </w:r>
          </w:p>
        </w:tc>
        <w:tc>
          <w:tcPr>
            <w:tcW w:w="1747" w:type="dxa"/>
            <w:tcBorders>
              <w:top w:val="nil"/>
              <w:left w:val="nil"/>
              <w:bottom w:val="single" w:sz="4" w:space="0" w:color="auto"/>
              <w:right w:val="single" w:sz="4" w:space="0" w:color="auto"/>
            </w:tcBorders>
            <w:shd w:val="clear" w:color="000000" w:fill="FFFFFF"/>
            <w:noWrap/>
            <w:vAlign w:val="bottom"/>
            <w:hideMark/>
          </w:tcPr>
          <w:p w14:paraId="4BD985EE" w14:textId="77777777" w:rsidR="00B56301" w:rsidRPr="00D85A26" w:rsidRDefault="00B56301" w:rsidP="00B37B65">
            <w:pPr>
              <w:jc w:val="right"/>
              <w:rPr>
                <w:rFonts w:asciiTheme="minorHAnsi" w:hAnsiTheme="minorHAnsi"/>
                <w:sz w:val="16"/>
                <w:szCs w:val="16"/>
              </w:rPr>
            </w:pPr>
            <w:r w:rsidRPr="00D85A26">
              <w:rPr>
                <w:sz w:val="16"/>
                <w:szCs w:val="18"/>
              </w:rPr>
              <w:t>40,35</w:t>
            </w:r>
          </w:p>
        </w:tc>
      </w:tr>
      <w:tr w:rsidR="00B56301" w:rsidRPr="00D85A26" w14:paraId="437E167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EE9010B" w14:textId="351338E6"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Electronic industry</w:t>
            </w:r>
          </w:p>
        </w:tc>
        <w:tc>
          <w:tcPr>
            <w:tcW w:w="993" w:type="dxa"/>
            <w:tcBorders>
              <w:top w:val="nil"/>
              <w:left w:val="nil"/>
              <w:bottom w:val="single" w:sz="4" w:space="0" w:color="auto"/>
              <w:right w:val="single" w:sz="4" w:space="0" w:color="auto"/>
            </w:tcBorders>
            <w:shd w:val="clear" w:color="000000" w:fill="969696"/>
            <w:noWrap/>
            <w:vAlign w:val="bottom"/>
            <w:hideMark/>
          </w:tcPr>
          <w:p w14:paraId="1BD9CF0D"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DE8E73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3AFAD304"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72040C3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5730E783" w14:textId="3D7AAA38"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Product uses as ODS substitutes</w:t>
            </w:r>
          </w:p>
        </w:tc>
        <w:tc>
          <w:tcPr>
            <w:tcW w:w="993" w:type="dxa"/>
            <w:tcBorders>
              <w:top w:val="nil"/>
              <w:left w:val="nil"/>
              <w:bottom w:val="single" w:sz="4" w:space="0" w:color="auto"/>
              <w:right w:val="single" w:sz="4" w:space="0" w:color="auto"/>
            </w:tcBorders>
            <w:shd w:val="clear" w:color="000000" w:fill="969696"/>
            <w:noWrap/>
            <w:vAlign w:val="bottom"/>
            <w:hideMark/>
          </w:tcPr>
          <w:p w14:paraId="0A2E7857"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33CB5CBA"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BB10B1D"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r>
      <w:tr w:rsidR="00B56301" w:rsidRPr="00D85A26" w14:paraId="2F3740B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205541B2" w14:textId="25E0F7F1"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G.</w:t>
            </w:r>
            <w:r w:rsidR="00260E0B">
              <w:rPr>
                <w:rFonts w:asciiTheme="minorHAnsi" w:hAnsiTheme="minorHAnsi"/>
                <w:sz w:val="16"/>
                <w:szCs w:val="16"/>
                <w:lang w:val="en-GB"/>
              </w:rPr>
              <w:t xml:space="preserve"> </w:t>
            </w:r>
            <w:r w:rsidRPr="00D85A26">
              <w:rPr>
                <w:rFonts w:asciiTheme="minorHAnsi" w:hAnsiTheme="minorHAnsi"/>
                <w:sz w:val="16"/>
                <w:szCs w:val="16"/>
                <w:lang w:val="en-GB"/>
              </w:rPr>
              <w:t xml:space="preserve">Other product manufacture and use </w:t>
            </w:r>
          </w:p>
        </w:tc>
        <w:tc>
          <w:tcPr>
            <w:tcW w:w="993" w:type="dxa"/>
            <w:tcBorders>
              <w:top w:val="nil"/>
              <w:left w:val="nil"/>
              <w:bottom w:val="single" w:sz="4" w:space="0" w:color="auto"/>
              <w:right w:val="single" w:sz="4" w:space="0" w:color="auto"/>
            </w:tcBorders>
            <w:shd w:val="clear" w:color="000000" w:fill="FFFFFF"/>
            <w:noWrap/>
            <w:vAlign w:val="bottom"/>
            <w:hideMark/>
          </w:tcPr>
          <w:p w14:paraId="01C607A2" w14:textId="77777777" w:rsidR="00B56301" w:rsidRPr="00D85A26" w:rsidRDefault="00B56301" w:rsidP="00B37B65">
            <w:pPr>
              <w:jc w:val="right"/>
              <w:rPr>
                <w:rFonts w:asciiTheme="minorHAnsi" w:hAnsiTheme="minorHAnsi"/>
                <w:sz w:val="16"/>
                <w:szCs w:val="16"/>
              </w:rPr>
            </w:pPr>
            <w:r w:rsidRPr="00D85A26">
              <w:rPr>
                <w:sz w:val="16"/>
                <w:szCs w:val="18"/>
              </w:rPr>
              <w:t>0,45</w:t>
            </w:r>
          </w:p>
        </w:tc>
        <w:tc>
          <w:tcPr>
            <w:tcW w:w="993" w:type="dxa"/>
            <w:tcBorders>
              <w:top w:val="nil"/>
              <w:left w:val="nil"/>
              <w:bottom w:val="single" w:sz="4" w:space="0" w:color="auto"/>
              <w:right w:val="single" w:sz="4" w:space="0" w:color="auto"/>
            </w:tcBorders>
            <w:shd w:val="clear" w:color="000000" w:fill="FFFFFF"/>
            <w:noWrap/>
            <w:vAlign w:val="bottom"/>
            <w:hideMark/>
          </w:tcPr>
          <w:p w14:paraId="251F8DA5" w14:textId="77777777" w:rsidR="00B56301" w:rsidRPr="00D85A26" w:rsidRDefault="00B56301" w:rsidP="00B37B65">
            <w:pPr>
              <w:jc w:val="right"/>
              <w:rPr>
                <w:rFonts w:asciiTheme="minorHAnsi" w:hAnsiTheme="minorHAnsi"/>
                <w:sz w:val="16"/>
                <w:szCs w:val="16"/>
              </w:rPr>
            </w:pPr>
            <w:r w:rsidRPr="00D85A26">
              <w:rPr>
                <w:sz w:val="16"/>
                <w:szCs w:val="18"/>
              </w:rPr>
              <w:t>0,45</w:t>
            </w:r>
          </w:p>
        </w:tc>
        <w:tc>
          <w:tcPr>
            <w:tcW w:w="1747" w:type="dxa"/>
            <w:tcBorders>
              <w:top w:val="nil"/>
              <w:left w:val="nil"/>
              <w:bottom w:val="single" w:sz="4" w:space="0" w:color="auto"/>
              <w:right w:val="single" w:sz="4" w:space="0" w:color="auto"/>
            </w:tcBorders>
            <w:shd w:val="clear" w:color="000000" w:fill="FFFFFF"/>
            <w:noWrap/>
            <w:vAlign w:val="bottom"/>
            <w:hideMark/>
          </w:tcPr>
          <w:p w14:paraId="4689CAD6" w14:textId="77777777" w:rsidR="00B56301" w:rsidRPr="00D85A26" w:rsidRDefault="00B56301" w:rsidP="00B37B65">
            <w:pPr>
              <w:jc w:val="right"/>
              <w:rPr>
                <w:rFonts w:asciiTheme="minorHAnsi" w:hAnsiTheme="minorHAnsi"/>
                <w:sz w:val="16"/>
                <w:szCs w:val="16"/>
              </w:rPr>
            </w:pPr>
            <w:r w:rsidRPr="00D85A26">
              <w:rPr>
                <w:sz w:val="16"/>
                <w:szCs w:val="18"/>
              </w:rPr>
              <w:t>9,95</w:t>
            </w:r>
          </w:p>
        </w:tc>
      </w:tr>
      <w:tr w:rsidR="00B56301" w:rsidRPr="00D85A26" w14:paraId="0A6289CE"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B9B50B" w14:textId="4294AAF9"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3" w:type="dxa"/>
            <w:tcBorders>
              <w:top w:val="nil"/>
              <w:left w:val="nil"/>
              <w:bottom w:val="single" w:sz="4" w:space="0" w:color="auto"/>
              <w:right w:val="single" w:sz="4" w:space="0" w:color="auto"/>
            </w:tcBorders>
            <w:shd w:val="clear" w:color="000000" w:fill="FFFFFF"/>
            <w:noWrap/>
            <w:vAlign w:val="bottom"/>
            <w:hideMark/>
          </w:tcPr>
          <w:p w14:paraId="706352AA"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2D6744B6" w14:textId="77777777" w:rsidR="00B56301" w:rsidRPr="00D85A26" w:rsidRDefault="00B56301" w:rsidP="00B37B65">
            <w:pPr>
              <w:jc w:val="right"/>
              <w:rPr>
                <w:rFonts w:asciiTheme="minorHAnsi" w:hAnsiTheme="minorHAnsi"/>
                <w:sz w:val="16"/>
                <w:szCs w:val="16"/>
              </w:rPr>
            </w:pPr>
            <w:r w:rsidRPr="00D85A26">
              <w:rPr>
                <w:sz w:val="16"/>
                <w:szCs w:val="18"/>
              </w:rPr>
              <w:t>NO,NA</w:t>
            </w:r>
          </w:p>
        </w:tc>
        <w:tc>
          <w:tcPr>
            <w:tcW w:w="1747" w:type="dxa"/>
            <w:tcBorders>
              <w:top w:val="nil"/>
              <w:left w:val="nil"/>
              <w:bottom w:val="single" w:sz="4" w:space="0" w:color="auto"/>
              <w:right w:val="single" w:sz="4" w:space="0" w:color="auto"/>
            </w:tcBorders>
            <w:shd w:val="clear" w:color="000000" w:fill="FFFFFF"/>
            <w:noWrap/>
            <w:vAlign w:val="bottom"/>
            <w:hideMark/>
          </w:tcPr>
          <w:p w14:paraId="6DC3C4D1"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3DCC681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bottom"/>
            <w:hideMark/>
          </w:tcPr>
          <w:p w14:paraId="014D4B54" w14:textId="5C6FE4CD"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3.</w:t>
            </w:r>
            <w:r w:rsidR="00260E0B">
              <w:rPr>
                <w:rFonts w:asciiTheme="minorHAnsi" w:hAnsiTheme="minorHAnsi"/>
                <w:b/>
                <w:bCs/>
                <w:sz w:val="16"/>
                <w:szCs w:val="16"/>
              </w:rPr>
              <w:t xml:space="preserve"> </w:t>
            </w:r>
            <w:r w:rsidRPr="00D85A26">
              <w:rPr>
                <w:rFonts w:asciiTheme="minorHAnsi" w:hAnsiTheme="minorHAnsi"/>
                <w:b/>
                <w:bCs/>
                <w:sz w:val="16"/>
                <w:szCs w:val="16"/>
              </w:rPr>
              <w:t>Agriculture</w:t>
            </w:r>
          </w:p>
        </w:tc>
        <w:tc>
          <w:tcPr>
            <w:tcW w:w="993" w:type="dxa"/>
            <w:tcBorders>
              <w:top w:val="nil"/>
              <w:left w:val="nil"/>
              <w:bottom w:val="single" w:sz="4" w:space="0" w:color="auto"/>
              <w:right w:val="single" w:sz="4" w:space="0" w:color="auto"/>
            </w:tcBorders>
            <w:shd w:val="clear" w:color="000000" w:fill="CCFFFF"/>
            <w:noWrap/>
            <w:vAlign w:val="bottom"/>
            <w:hideMark/>
          </w:tcPr>
          <w:p w14:paraId="0D4F7E6E" w14:textId="77777777" w:rsidR="00B56301" w:rsidRPr="00D85A26" w:rsidRDefault="00B56301" w:rsidP="00B37B65">
            <w:pPr>
              <w:jc w:val="right"/>
              <w:rPr>
                <w:rFonts w:asciiTheme="minorHAnsi" w:hAnsiTheme="minorHAnsi"/>
                <w:sz w:val="16"/>
                <w:szCs w:val="16"/>
              </w:rPr>
            </w:pPr>
            <w:r w:rsidRPr="00D85A26">
              <w:rPr>
                <w:sz w:val="16"/>
                <w:szCs w:val="18"/>
              </w:rPr>
              <w:t>110,81</w:t>
            </w:r>
          </w:p>
        </w:tc>
        <w:tc>
          <w:tcPr>
            <w:tcW w:w="993" w:type="dxa"/>
            <w:tcBorders>
              <w:top w:val="nil"/>
              <w:left w:val="nil"/>
              <w:bottom w:val="single" w:sz="4" w:space="0" w:color="auto"/>
              <w:right w:val="single" w:sz="4" w:space="0" w:color="auto"/>
            </w:tcBorders>
            <w:shd w:val="clear" w:color="000000" w:fill="CCFFFF"/>
            <w:noWrap/>
            <w:vAlign w:val="bottom"/>
            <w:hideMark/>
          </w:tcPr>
          <w:p w14:paraId="3DB1FC2F" w14:textId="77777777" w:rsidR="00B56301" w:rsidRPr="00D85A26" w:rsidRDefault="00B56301" w:rsidP="00B37B65">
            <w:pPr>
              <w:jc w:val="right"/>
              <w:rPr>
                <w:rFonts w:asciiTheme="minorHAnsi" w:hAnsiTheme="minorHAnsi"/>
                <w:sz w:val="16"/>
                <w:szCs w:val="16"/>
              </w:rPr>
            </w:pPr>
            <w:r w:rsidRPr="00D85A26">
              <w:rPr>
                <w:sz w:val="16"/>
                <w:szCs w:val="18"/>
              </w:rPr>
              <w:t>105,80</w:t>
            </w:r>
          </w:p>
        </w:tc>
        <w:tc>
          <w:tcPr>
            <w:tcW w:w="1747" w:type="dxa"/>
            <w:tcBorders>
              <w:top w:val="nil"/>
              <w:left w:val="nil"/>
              <w:bottom w:val="single" w:sz="4" w:space="0" w:color="auto"/>
              <w:right w:val="single" w:sz="4" w:space="0" w:color="auto"/>
            </w:tcBorders>
            <w:shd w:val="clear" w:color="000000" w:fill="CCFFFF"/>
            <w:noWrap/>
            <w:vAlign w:val="bottom"/>
            <w:hideMark/>
          </w:tcPr>
          <w:p w14:paraId="70245B38" w14:textId="77777777" w:rsidR="00B56301" w:rsidRPr="00D85A26" w:rsidRDefault="00B56301" w:rsidP="00B37B65">
            <w:pPr>
              <w:jc w:val="right"/>
              <w:rPr>
                <w:rFonts w:asciiTheme="minorHAnsi" w:hAnsiTheme="minorHAnsi"/>
                <w:sz w:val="16"/>
                <w:szCs w:val="16"/>
              </w:rPr>
            </w:pPr>
            <w:r w:rsidRPr="00D85A26">
              <w:rPr>
                <w:sz w:val="16"/>
                <w:szCs w:val="18"/>
              </w:rPr>
              <w:t>-14,07</w:t>
            </w:r>
          </w:p>
        </w:tc>
      </w:tr>
      <w:tr w:rsidR="00B56301" w:rsidRPr="00D85A26" w14:paraId="15C96F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5C1C777" w14:textId="4BA97E37"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Enteric fermentation</w:t>
            </w:r>
          </w:p>
        </w:tc>
        <w:tc>
          <w:tcPr>
            <w:tcW w:w="993" w:type="dxa"/>
            <w:tcBorders>
              <w:top w:val="nil"/>
              <w:left w:val="nil"/>
              <w:bottom w:val="single" w:sz="4" w:space="0" w:color="auto"/>
              <w:right w:val="single" w:sz="4" w:space="0" w:color="auto"/>
            </w:tcBorders>
            <w:shd w:val="clear" w:color="000000" w:fill="969696"/>
            <w:noWrap/>
            <w:vAlign w:val="bottom"/>
            <w:hideMark/>
          </w:tcPr>
          <w:p w14:paraId="560E1844"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75C5C21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3EB3E0F2"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3E9A642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BCDBF19" w14:textId="405BD37B"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Manure management</w:t>
            </w:r>
          </w:p>
        </w:tc>
        <w:tc>
          <w:tcPr>
            <w:tcW w:w="993" w:type="dxa"/>
            <w:tcBorders>
              <w:top w:val="nil"/>
              <w:left w:val="nil"/>
              <w:bottom w:val="single" w:sz="4" w:space="0" w:color="auto"/>
              <w:right w:val="single" w:sz="4" w:space="0" w:color="auto"/>
            </w:tcBorders>
            <w:shd w:val="clear" w:color="000000" w:fill="FFFFFF"/>
            <w:noWrap/>
            <w:vAlign w:val="bottom"/>
            <w:hideMark/>
          </w:tcPr>
          <w:p w14:paraId="4F2902F7" w14:textId="77777777" w:rsidR="00B56301" w:rsidRPr="00D85A26" w:rsidRDefault="00B56301" w:rsidP="00B37B65">
            <w:pPr>
              <w:jc w:val="right"/>
              <w:rPr>
                <w:rFonts w:asciiTheme="minorHAnsi" w:hAnsiTheme="minorHAnsi"/>
                <w:sz w:val="16"/>
                <w:szCs w:val="16"/>
              </w:rPr>
            </w:pPr>
            <w:r w:rsidRPr="00D85A26">
              <w:rPr>
                <w:sz w:val="16"/>
                <w:szCs w:val="18"/>
              </w:rPr>
              <w:t>8,02</w:t>
            </w:r>
          </w:p>
        </w:tc>
        <w:tc>
          <w:tcPr>
            <w:tcW w:w="993" w:type="dxa"/>
            <w:tcBorders>
              <w:top w:val="nil"/>
              <w:left w:val="nil"/>
              <w:bottom w:val="single" w:sz="4" w:space="0" w:color="auto"/>
              <w:right w:val="single" w:sz="4" w:space="0" w:color="auto"/>
            </w:tcBorders>
            <w:shd w:val="clear" w:color="000000" w:fill="FFFFFF"/>
            <w:noWrap/>
            <w:vAlign w:val="bottom"/>
            <w:hideMark/>
          </w:tcPr>
          <w:p w14:paraId="73639252" w14:textId="77777777" w:rsidR="00B56301" w:rsidRPr="00D85A26" w:rsidRDefault="00B56301" w:rsidP="00B37B65">
            <w:pPr>
              <w:jc w:val="right"/>
              <w:rPr>
                <w:rFonts w:asciiTheme="minorHAnsi" w:hAnsiTheme="minorHAnsi"/>
                <w:sz w:val="16"/>
                <w:szCs w:val="16"/>
              </w:rPr>
            </w:pPr>
            <w:r w:rsidRPr="00D85A26">
              <w:rPr>
                <w:sz w:val="16"/>
                <w:szCs w:val="18"/>
              </w:rPr>
              <w:t>7,89</w:t>
            </w:r>
          </w:p>
        </w:tc>
        <w:tc>
          <w:tcPr>
            <w:tcW w:w="1747" w:type="dxa"/>
            <w:tcBorders>
              <w:top w:val="nil"/>
              <w:left w:val="nil"/>
              <w:bottom w:val="single" w:sz="4" w:space="0" w:color="auto"/>
              <w:right w:val="single" w:sz="4" w:space="0" w:color="auto"/>
            </w:tcBorders>
            <w:shd w:val="clear" w:color="000000" w:fill="FFFFFF"/>
            <w:noWrap/>
            <w:vAlign w:val="bottom"/>
            <w:hideMark/>
          </w:tcPr>
          <w:p w14:paraId="4DF156C3" w14:textId="77777777" w:rsidR="00B56301" w:rsidRPr="00D85A26" w:rsidRDefault="00B56301" w:rsidP="00B37B65">
            <w:pPr>
              <w:jc w:val="right"/>
              <w:rPr>
                <w:rFonts w:asciiTheme="minorHAnsi" w:hAnsiTheme="minorHAnsi"/>
                <w:sz w:val="16"/>
                <w:szCs w:val="16"/>
              </w:rPr>
            </w:pPr>
            <w:r w:rsidRPr="00D85A26">
              <w:rPr>
                <w:sz w:val="16"/>
                <w:szCs w:val="18"/>
              </w:rPr>
              <w:t>-16,63</w:t>
            </w:r>
          </w:p>
        </w:tc>
      </w:tr>
      <w:tr w:rsidR="00B56301" w:rsidRPr="00D85A26" w14:paraId="319878C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4015342" w14:textId="1DCCE4CF"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Rice cultivation</w:t>
            </w:r>
          </w:p>
        </w:tc>
        <w:tc>
          <w:tcPr>
            <w:tcW w:w="993" w:type="dxa"/>
            <w:tcBorders>
              <w:top w:val="nil"/>
              <w:left w:val="nil"/>
              <w:bottom w:val="single" w:sz="4" w:space="0" w:color="auto"/>
              <w:right w:val="single" w:sz="4" w:space="0" w:color="auto"/>
            </w:tcBorders>
            <w:shd w:val="clear" w:color="000000" w:fill="969696"/>
            <w:noWrap/>
            <w:vAlign w:val="bottom"/>
            <w:hideMark/>
          </w:tcPr>
          <w:p w14:paraId="01E3E711"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F2433B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4AE0EAB2"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709C2E1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15DE9B2" w14:textId="5872ABD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Agricultural soils</w:t>
            </w:r>
          </w:p>
        </w:tc>
        <w:tc>
          <w:tcPr>
            <w:tcW w:w="993" w:type="dxa"/>
            <w:tcBorders>
              <w:top w:val="nil"/>
              <w:left w:val="nil"/>
              <w:bottom w:val="single" w:sz="4" w:space="0" w:color="auto"/>
              <w:right w:val="single" w:sz="4" w:space="0" w:color="auto"/>
            </w:tcBorders>
            <w:shd w:val="clear" w:color="000000" w:fill="FFFFFF"/>
            <w:noWrap/>
            <w:vAlign w:val="bottom"/>
            <w:hideMark/>
          </w:tcPr>
          <w:p w14:paraId="4ADB1A1F" w14:textId="77777777" w:rsidR="00B56301" w:rsidRPr="00D85A26" w:rsidRDefault="00B56301" w:rsidP="00B37B65">
            <w:pPr>
              <w:jc w:val="right"/>
              <w:rPr>
                <w:rFonts w:asciiTheme="minorHAnsi" w:hAnsiTheme="minorHAnsi"/>
                <w:sz w:val="16"/>
                <w:szCs w:val="16"/>
              </w:rPr>
            </w:pPr>
            <w:r w:rsidRPr="00D85A26">
              <w:rPr>
                <w:sz w:val="16"/>
                <w:szCs w:val="18"/>
              </w:rPr>
              <w:t>102,75</w:t>
            </w:r>
          </w:p>
        </w:tc>
        <w:tc>
          <w:tcPr>
            <w:tcW w:w="993" w:type="dxa"/>
            <w:tcBorders>
              <w:top w:val="nil"/>
              <w:left w:val="nil"/>
              <w:bottom w:val="single" w:sz="4" w:space="0" w:color="auto"/>
              <w:right w:val="single" w:sz="4" w:space="0" w:color="auto"/>
            </w:tcBorders>
            <w:shd w:val="clear" w:color="000000" w:fill="FFFFFF"/>
            <w:noWrap/>
            <w:vAlign w:val="bottom"/>
            <w:hideMark/>
          </w:tcPr>
          <w:p w14:paraId="5285E38A" w14:textId="77777777" w:rsidR="00B56301" w:rsidRPr="00D85A26" w:rsidRDefault="00B56301" w:rsidP="00B37B65">
            <w:pPr>
              <w:jc w:val="right"/>
              <w:rPr>
                <w:rFonts w:asciiTheme="minorHAnsi" w:hAnsiTheme="minorHAnsi"/>
                <w:sz w:val="16"/>
                <w:szCs w:val="16"/>
              </w:rPr>
            </w:pPr>
            <w:r w:rsidRPr="00D85A26">
              <w:rPr>
                <w:sz w:val="16"/>
                <w:szCs w:val="18"/>
              </w:rPr>
              <w:t>97,88</w:t>
            </w:r>
          </w:p>
        </w:tc>
        <w:tc>
          <w:tcPr>
            <w:tcW w:w="1747" w:type="dxa"/>
            <w:tcBorders>
              <w:top w:val="nil"/>
              <w:left w:val="nil"/>
              <w:bottom w:val="single" w:sz="4" w:space="0" w:color="auto"/>
              <w:right w:val="single" w:sz="4" w:space="0" w:color="auto"/>
            </w:tcBorders>
            <w:shd w:val="clear" w:color="000000" w:fill="FFFFFF"/>
            <w:noWrap/>
            <w:vAlign w:val="bottom"/>
            <w:hideMark/>
          </w:tcPr>
          <w:p w14:paraId="7576FB86" w14:textId="77777777" w:rsidR="00B56301" w:rsidRPr="00D85A26" w:rsidRDefault="00B56301" w:rsidP="00B37B65">
            <w:pPr>
              <w:jc w:val="right"/>
              <w:rPr>
                <w:rFonts w:asciiTheme="minorHAnsi" w:hAnsiTheme="minorHAnsi"/>
                <w:sz w:val="16"/>
                <w:szCs w:val="16"/>
              </w:rPr>
            </w:pPr>
            <w:r w:rsidRPr="00D85A26">
              <w:rPr>
                <w:sz w:val="16"/>
                <w:szCs w:val="18"/>
              </w:rPr>
              <w:t>-13,83</w:t>
            </w:r>
          </w:p>
        </w:tc>
      </w:tr>
      <w:tr w:rsidR="00B56301" w:rsidRPr="00D85A26" w14:paraId="1C8B07AA"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32A08C69" w14:textId="423764B8"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E.</w:t>
            </w:r>
            <w:r w:rsidR="00260E0B">
              <w:rPr>
                <w:rFonts w:asciiTheme="minorHAnsi" w:hAnsiTheme="minorHAnsi"/>
                <w:sz w:val="16"/>
                <w:szCs w:val="16"/>
                <w:lang w:val="en-GB"/>
              </w:rPr>
              <w:t xml:space="preserve"> </w:t>
            </w:r>
            <w:r w:rsidRPr="00D85A26">
              <w:rPr>
                <w:rFonts w:asciiTheme="minorHAnsi" w:hAnsiTheme="minorHAnsi"/>
                <w:sz w:val="16"/>
                <w:szCs w:val="16"/>
                <w:lang w:val="en-GB"/>
              </w:rPr>
              <w:t>Prescribed burning of savannas</w:t>
            </w:r>
          </w:p>
        </w:tc>
        <w:tc>
          <w:tcPr>
            <w:tcW w:w="993" w:type="dxa"/>
            <w:tcBorders>
              <w:top w:val="nil"/>
              <w:left w:val="nil"/>
              <w:bottom w:val="single" w:sz="4" w:space="0" w:color="auto"/>
              <w:right w:val="single" w:sz="4" w:space="0" w:color="auto"/>
            </w:tcBorders>
            <w:shd w:val="clear" w:color="000000" w:fill="FFFFFF"/>
            <w:noWrap/>
            <w:vAlign w:val="bottom"/>
            <w:hideMark/>
          </w:tcPr>
          <w:p w14:paraId="54375536"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69CCD3E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71E941B7"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4659618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CB1B3BE" w14:textId="621FCC38"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F.</w:t>
            </w:r>
            <w:r w:rsidR="00260E0B">
              <w:rPr>
                <w:rFonts w:asciiTheme="minorHAnsi" w:hAnsiTheme="minorHAnsi"/>
                <w:sz w:val="16"/>
                <w:szCs w:val="16"/>
                <w:lang w:val="en-GB"/>
              </w:rPr>
              <w:t xml:space="preserve"> </w:t>
            </w:r>
            <w:r w:rsidRPr="00D85A26">
              <w:rPr>
                <w:rFonts w:asciiTheme="minorHAnsi" w:hAnsiTheme="minorHAnsi"/>
                <w:sz w:val="16"/>
                <w:szCs w:val="16"/>
                <w:lang w:val="en-GB"/>
              </w:rPr>
              <w:t>Field burning of agricultural residues</w:t>
            </w:r>
          </w:p>
        </w:tc>
        <w:tc>
          <w:tcPr>
            <w:tcW w:w="993" w:type="dxa"/>
            <w:tcBorders>
              <w:top w:val="nil"/>
              <w:left w:val="nil"/>
              <w:bottom w:val="single" w:sz="4" w:space="0" w:color="auto"/>
              <w:right w:val="single" w:sz="4" w:space="0" w:color="auto"/>
            </w:tcBorders>
            <w:shd w:val="clear" w:color="000000" w:fill="FFFFFF"/>
            <w:noWrap/>
            <w:vAlign w:val="bottom"/>
            <w:hideMark/>
          </w:tcPr>
          <w:p w14:paraId="68492F3A"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993" w:type="dxa"/>
            <w:tcBorders>
              <w:top w:val="nil"/>
              <w:left w:val="nil"/>
              <w:bottom w:val="single" w:sz="4" w:space="0" w:color="auto"/>
              <w:right w:val="single" w:sz="4" w:space="0" w:color="auto"/>
            </w:tcBorders>
            <w:shd w:val="clear" w:color="000000" w:fill="FFFFFF"/>
            <w:noWrap/>
            <w:vAlign w:val="bottom"/>
            <w:hideMark/>
          </w:tcPr>
          <w:p w14:paraId="5AA5AE8B" w14:textId="77777777" w:rsidR="00B56301" w:rsidRPr="00D85A26" w:rsidRDefault="00B56301" w:rsidP="00B37B65">
            <w:pPr>
              <w:jc w:val="right"/>
              <w:rPr>
                <w:rFonts w:asciiTheme="minorHAnsi" w:hAnsiTheme="minorHAnsi"/>
                <w:sz w:val="16"/>
                <w:szCs w:val="16"/>
              </w:rPr>
            </w:pPr>
            <w:r w:rsidRPr="00D85A26">
              <w:rPr>
                <w:sz w:val="16"/>
                <w:szCs w:val="18"/>
              </w:rPr>
              <w:t>0,03</w:t>
            </w:r>
          </w:p>
        </w:tc>
        <w:tc>
          <w:tcPr>
            <w:tcW w:w="1747" w:type="dxa"/>
            <w:tcBorders>
              <w:top w:val="nil"/>
              <w:left w:val="nil"/>
              <w:bottom w:val="single" w:sz="4" w:space="0" w:color="auto"/>
              <w:right w:val="single" w:sz="4" w:space="0" w:color="auto"/>
            </w:tcBorders>
            <w:shd w:val="clear" w:color="000000" w:fill="FFFFFF"/>
            <w:noWrap/>
            <w:vAlign w:val="bottom"/>
            <w:hideMark/>
          </w:tcPr>
          <w:p w14:paraId="2125E89C" w14:textId="77777777" w:rsidR="00B56301" w:rsidRPr="00D85A26" w:rsidRDefault="00B56301" w:rsidP="00B37B65">
            <w:pPr>
              <w:jc w:val="right"/>
              <w:rPr>
                <w:rFonts w:asciiTheme="minorHAnsi" w:hAnsiTheme="minorHAnsi"/>
                <w:sz w:val="16"/>
                <w:szCs w:val="16"/>
              </w:rPr>
            </w:pPr>
            <w:r w:rsidRPr="00D85A26">
              <w:rPr>
                <w:sz w:val="16"/>
                <w:szCs w:val="18"/>
              </w:rPr>
              <w:t>-59,16</w:t>
            </w:r>
          </w:p>
        </w:tc>
      </w:tr>
      <w:tr w:rsidR="00B56301" w:rsidRPr="00D85A26" w14:paraId="309F675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DFFE62A" w14:textId="78EA775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Liming</w:t>
            </w:r>
          </w:p>
        </w:tc>
        <w:tc>
          <w:tcPr>
            <w:tcW w:w="993" w:type="dxa"/>
            <w:tcBorders>
              <w:top w:val="nil"/>
              <w:left w:val="nil"/>
              <w:bottom w:val="single" w:sz="4" w:space="0" w:color="auto"/>
              <w:right w:val="single" w:sz="4" w:space="0" w:color="auto"/>
            </w:tcBorders>
            <w:shd w:val="clear" w:color="000000" w:fill="969696"/>
            <w:noWrap/>
            <w:vAlign w:val="bottom"/>
            <w:hideMark/>
          </w:tcPr>
          <w:p w14:paraId="0D2DBCD7"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2EB24705"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085B462A"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2A1C278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E4C4347" w14:textId="55F0BC70"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Urea application</w:t>
            </w:r>
          </w:p>
        </w:tc>
        <w:tc>
          <w:tcPr>
            <w:tcW w:w="993" w:type="dxa"/>
            <w:tcBorders>
              <w:top w:val="nil"/>
              <w:left w:val="nil"/>
              <w:bottom w:val="single" w:sz="4" w:space="0" w:color="auto"/>
              <w:right w:val="single" w:sz="4" w:space="0" w:color="auto"/>
            </w:tcBorders>
            <w:shd w:val="clear" w:color="000000" w:fill="969696"/>
            <w:noWrap/>
            <w:vAlign w:val="bottom"/>
            <w:hideMark/>
          </w:tcPr>
          <w:p w14:paraId="7EBDF05A"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7BAACBF"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F820590"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833C38" w14:paraId="55939C7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5261595" w14:textId="0F79F653"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I.</w:t>
            </w:r>
            <w:r w:rsidR="00260E0B">
              <w:rPr>
                <w:rFonts w:asciiTheme="minorHAnsi" w:hAnsiTheme="minorHAnsi"/>
                <w:sz w:val="16"/>
                <w:szCs w:val="16"/>
                <w:lang w:val="en-GB"/>
              </w:rPr>
              <w:t xml:space="preserve"> </w:t>
            </w:r>
            <w:r w:rsidRPr="00D85A26">
              <w:rPr>
                <w:rFonts w:asciiTheme="minorHAnsi" w:hAnsiTheme="minorHAnsi"/>
                <w:sz w:val="16"/>
                <w:szCs w:val="16"/>
                <w:lang w:val="en-GB"/>
              </w:rPr>
              <w:t>Other carbon containing fertlizers</w:t>
            </w:r>
          </w:p>
        </w:tc>
        <w:tc>
          <w:tcPr>
            <w:tcW w:w="993" w:type="dxa"/>
            <w:tcBorders>
              <w:top w:val="nil"/>
              <w:left w:val="nil"/>
              <w:bottom w:val="single" w:sz="4" w:space="0" w:color="auto"/>
              <w:right w:val="single" w:sz="4" w:space="0" w:color="auto"/>
            </w:tcBorders>
            <w:shd w:val="clear" w:color="000000" w:fill="969696"/>
            <w:noWrap/>
            <w:vAlign w:val="bottom"/>
            <w:hideMark/>
          </w:tcPr>
          <w:p w14:paraId="7116A1EF"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0C4F3F7E"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57438D61" w14:textId="77777777" w:rsidR="00B56301" w:rsidRPr="00D85A26" w:rsidRDefault="00B56301" w:rsidP="00B37B65">
            <w:pPr>
              <w:jc w:val="right"/>
              <w:rPr>
                <w:rFonts w:asciiTheme="minorHAnsi" w:hAnsiTheme="minorHAnsi"/>
                <w:sz w:val="16"/>
                <w:szCs w:val="16"/>
                <w:lang w:val="en-GB"/>
              </w:rPr>
            </w:pPr>
            <w:r w:rsidRPr="00B56301">
              <w:rPr>
                <w:sz w:val="16"/>
                <w:szCs w:val="18"/>
                <w:lang w:val="en-GB"/>
              </w:rPr>
              <w:t> </w:t>
            </w:r>
          </w:p>
        </w:tc>
      </w:tr>
      <w:tr w:rsidR="00B56301" w:rsidRPr="00D85A26" w14:paraId="113C520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AE5DC4B" w14:textId="54EB754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J.</w:t>
            </w:r>
            <w:r w:rsidR="00260E0B">
              <w:rPr>
                <w:rFonts w:asciiTheme="minorHAnsi" w:hAnsiTheme="minorHAnsi"/>
                <w:sz w:val="16"/>
                <w:szCs w:val="16"/>
              </w:rPr>
              <w:t xml:space="preserve"> </w:t>
            </w:r>
            <w:r w:rsidRPr="00D85A26">
              <w:rPr>
                <w:rFonts w:asciiTheme="minorHAnsi" w:hAnsiTheme="minorHAnsi"/>
                <w:sz w:val="16"/>
                <w:szCs w:val="16"/>
              </w:rPr>
              <w:t xml:space="preserve">Other </w:t>
            </w:r>
          </w:p>
        </w:tc>
        <w:tc>
          <w:tcPr>
            <w:tcW w:w="993" w:type="dxa"/>
            <w:tcBorders>
              <w:top w:val="nil"/>
              <w:left w:val="nil"/>
              <w:bottom w:val="single" w:sz="4" w:space="0" w:color="auto"/>
              <w:right w:val="single" w:sz="4" w:space="0" w:color="auto"/>
            </w:tcBorders>
            <w:shd w:val="clear" w:color="000000" w:fill="FFFFFF"/>
            <w:noWrap/>
            <w:vAlign w:val="bottom"/>
            <w:hideMark/>
          </w:tcPr>
          <w:p w14:paraId="7F40EE07"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78F87900"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6F46FBF1"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1951E2A7"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bottom"/>
            <w:hideMark/>
          </w:tcPr>
          <w:p w14:paraId="522290CE" w14:textId="77777777" w:rsidR="00B56301" w:rsidRPr="00D85A26" w:rsidRDefault="00B56301" w:rsidP="00B37B65">
            <w:pPr>
              <w:jc w:val="left"/>
              <w:rPr>
                <w:rFonts w:asciiTheme="minorHAnsi" w:hAnsiTheme="minorHAnsi"/>
                <w:b/>
                <w:bCs/>
                <w:sz w:val="16"/>
                <w:szCs w:val="16"/>
                <w:lang w:val="en-GB"/>
              </w:rPr>
            </w:pPr>
            <w:r w:rsidRPr="00D85A26">
              <w:rPr>
                <w:rFonts w:asciiTheme="minorHAnsi" w:hAnsiTheme="minorHAnsi"/>
                <w:b/>
                <w:bCs/>
                <w:sz w:val="16"/>
                <w:szCs w:val="16"/>
                <w:lang w:val="en-GB"/>
              </w:rPr>
              <w:t>4. Land use, land-use change and forestry</w:t>
            </w:r>
          </w:p>
        </w:tc>
        <w:tc>
          <w:tcPr>
            <w:tcW w:w="993" w:type="dxa"/>
            <w:tcBorders>
              <w:top w:val="nil"/>
              <w:left w:val="nil"/>
              <w:bottom w:val="single" w:sz="4" w:space="0" w:color="auto"/>
              <w:right w:val="single" w:sz="4" w:space="0" w:color="auto"/>
            </w:tcBorders>
            <w:shd w:val="clear" w:color="000000" w:fill="CCFFFF"/>
            <w:noWrap/>
            <w:vAlign w:val="bottom"/>
            <w:hideMark/>
          </w:tcPr>
          <w:p w14:paraId="131A21A1" w14:textId="77777777" w:rsidR="00B56301" w:rsidRPr="00D85A26" w:rsidRDefault="00B56301" w:rsidP="00B37B65">
            <w:pPr>
              <w:jc w:val="right"/>
              <w:rPr>
                <w:rFonts w:asciiTheme="minorHAnsi" w:hAnsiTheme="minorHAnsi"/>
                <w:sz w:val="16"/>
                <w:szCs w:val="16"/>
              </w:rPr>
            </w:pPr>
            <w:r w:rsidRPr="00D85A26">
              <w:rPr>
                <w:sz w:val="16"/>
                <w:szCs w:val="18"/>
              </w:rPr>
              <w:t>9,62</w:t>
            </w:r>
          </w:p>
        </w:tc>
        <w:tc>
          <w:tcPr>
            <w:tcW w:w="993" w:type="dxa"/>
            <w:tcBorders>
              <w:top w:val="nil"/>
              <w:left w:val="nil"/>
              <w:bottom w:val="single" w:sz="4" w:space="0" w:color="auto"/>
              <w:right w:val="single" w:sz="4" w:space="0" w:color="auto"/>
            </w:tcBorders>
            <w:shd w:val="clear" w:color="000000" w:fill="CCFFFF"/>
            <w:noWrap/>
            <w:vAlign w:val="bottom"/>
            <w:hideMark/>
          </w:tcPr>
          <w:p w14:paraId="6C88DB74" w14:textId="77777777" w:rsidR="00B56301" w:rsidRPr="00D85A26" w:rsidRDefault="00B56301" w:rsidP="00B37B65">
            <w:pPr>
              <w:jc w:val="right"/>
              <w:rPr>
                <w:rFonts w:asciiTheme="minorHAnsi" w:hAnsiTheme="minorHAnsi"/>
                <w:sz w:val="16"/>
                <w:szCs w:val="16"/>
              </w:rPr>
            </w:pPr>
            <w:r w:rsidRPr="00D85A26">
              <w:rPr>
                <w:sz w:val="16"/>
                <w:szCs w:val="18"/>
              </w:rPr>
              <w:t>9,56</w:t>
            </w:r>
          </w:p>
        </w:tc>
        <w:tc>
          <w:tcPr>
            <w:tcW w:w="1747" w:type="dxa"/>
            <w:tcBorders>
              <w:top w:val="nil"/>
              <w:left w:val="nil"/>
              <w:bottom w:val="single" w:sz="4" w:space="0" w:color="auto"/>
              <w:right w:val="single" w:sz="4" w:space="0" w:color="auto"/>
            </w:tcBorders>
            <w:shd w:val="clear" w:color="000000" w:fill="CCFFFF"/>
            <w:noWrap/>
            <w:vAlign w:val="bottom"/>
            <w:hideMark/>
          </w:tcPr>
          <w:p w14:paraId="5957D34C" w14:textId="77777777" w:rsidR="00B56301" w:rsidRPr="00D85A26" w:rsidRDefault="00B56301" w:rsidP="00B37B65">
            <w:pPr>
              <w:jc w:val="right"/>
              <w:rPr>
                <w:rFonts w:asciiTheme="minorHAnsi" w:hAnsiTheme="minorHAnsi"/>
                <w:sz w:val="16"/>
                <w:szCs w:val="16"/>
              </w:rPr>
            </w:pPr>
            <w:r w:rsidRPr="00D85A26">
              <w:rPr>
                <w:sz w:val="16"/>
                <w:szCs w:val="18"/>
              </w:rPr>
              <w:t>-11,66</w:t>
            </w:r>
          </w:p>
        </w:tc>
      </w:tr>
      <w:tr w:rsidR="00B56301" w:rsidRPr="00D85A26" w14:paraId="0FCB0B9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70E48D" w14:textId="67FE847F"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Forest land</w:t>
            </w:r>
          </w:p>
        </w:tc>
        <w:tc>
          <w:tcPr>
            <w:tcW w:w="993" w:type="dxa"/>
            <w:tcBorders>
              <w:top w:val="nil"/>
              <w:left w:val="nil"/>
              <w:bottom w:val="single" w:sz="4" w:space="0" w:color="auto"/>
              <w:right w:val="single" w:sz="4" w:space="0" w:color="auto"/>
            </w:tcBorders>
            <w:shd w:val="clear" w:color="000000" w:fill="FFFFFF"/>
            <w:noWrap/>
            <w:vAlign w:val="bottom"/>
            <w:hideMark/>
          </w:tcPr>
          <w:p w14:paraId="06FCE4CB" w14:textId="77777777" w:rsidR="00B56301" w:rsidRPr="00D85A26" w:rsidRDefault="00B56301" w:rsidP="00B37B65">
            <w:pPr>
              <w:jc w:val="right"/>
              <w:rPr>
                <w:rFonts w:asciiTheme="minorHAnsi" w:hAnsiTheme="minorHAnsi"/>
                <w:sz w:val="16"/>
                <w:szCs w:val="16"/>
              </w:rPr>
            </w:pPr>
            <w:r w:rsidRPr="00D85A26">
              <w:rPr>
                <w:sz w:val="16"/>
                <w:szCs w:val="18"/>
              </w:rPr>
              <w:t>1,26</w:t>
            </w:r>
          </w:p>
        </w:tc>
        <w:tc>
          <w:tcPr>
            <w:tcW w:w="993" w:type="dxa"/>
            <w:tcBorders>
              <w:top w:val="nil"/>
              <w:left w:val="nil"/>
              <w:bottom w:val="single" w:sz="4" w:space="0" w:color="auto"/>
              <w:right w:val="single" w:sz="4" w:space="0" w:color="auto"/>
            </w:tcBorders>
            <w:shd w:val="clear" w:color="000000" w:fill="FFFFFF"/>
            <w:noWrap/>
            <w:vAlign w:val="bottom"/>
            <w:hideMark/>
          </w:tcPr>
          <w:p w14:paraId="2EE2050E" w14:textId="77777777" w:rsidR="00B56301" w:rsidRPr="00D85A26" w:rsidRDefault="00B56301" w:rsidP="00B37B65">
            <w:pPr>
              <w:jc w:val="right"/>
              <w:rPr>
                <w:rFonts w:asciiTheme="minorHAnsi" w:hAnsiTheme="minorHAnsi"/>
                <w:sz w:val="16"/>
                <w:szCs w:val="16"/>
              </w:rPr>
            </w:pPr>
            <w:r w:rsidRPr="00D85A26">
              <w:rPr>
                <w:sz w:val="16"/>
                <w:szCs w:val="18"/>
              </w:rPr>
              <w:t>1,22</w:t>
            </w:r>
          </w:p>
        </w:tc>
        <w:tc>
          <w:tcPr>
            <w:tcW w:w="1747" w:type="dxa"/>
            <w:tcBorders>
              <w:top w:val="nil"/>
              <w:left w:val="nil"/>
              <w:bottom w:val="single" w:sz="4" w:space="0" w:color="auto"/>
              <w:right w:val="single" w:sz="4" w:space="0" w:color="auto"/>
            </w:tcBorders>
            <w:shd w:val="clear" w:color="000000" w:fill="FFFFFF"/>
            <w:noWrap/>
            <w:vAlign w:val="bottom"/>
            <w:hideMark/>
          </w:tcPr>
          <w:p w14:paraId="2FE8C49A" w14:textId="77777777" w:rsidR="00B56301" w:rsidRPr="00D85A26" w:rsidRDefault="00B56301" w:rsidP="00B37B65">
            <w:pPr>
              <w:jc w:val="right"/>
              <w:rPr>
                <w:rFonts w:asciiTheme="minorHAnsi" w:hAnsiTheme="minorHAnsi"/>
                <w:sz w:val="16"/>
                <w:szCs w:val="16"/>
              </w:rPr>
            </w:pPr>
            <w:r w:rsidRPr="00D85A26">
              <w:rPr>
                <w:sz w:val="16"/>
                <w:szCs w:val="18"/>
              </w:rPr>
              <w:t>-17,80</w:t>
            </w:r>
          </w:p>
        </w:tc>
      </w:tr>
      <w:tr w:rsidR="00B56301" w:rsidRPr="00D85A26" w14:paraId="60E0E5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B8913F8" w14:textId="2A2DF154"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B.</w:t>
            </w:r>
            <w:r w:rsidR="00260E0B">
              <w:rPr>
                <w:rFonts w:asciiTheme="minorHAnsi" w:hAnsiTheme="minorHAnsi"/>
                <w:sz w:val="16"/>
                <w:szCs w:val="16"/>
              </w:rPr>
              <w:t xml:space="preserve"> </w:t>
            </w:r>
            <w:r w:rsidRPr="00D85A26">
              <w:rPr>
                <w:rFonts w:asciiTheme="minorHAnsi" w:hAnsiTheme="minorHAnsi"/>
                <w:sz w:val="16"/>
                <w:szCs w:val="16"/>
              </w:rPr>
              <w:t>Cropland</w:t>
            </w:r>
          </w:p>
        </w:tc>
        <w:tc>
          <w:tcPr>
            <w:tcW w:w="993" w:type="dxa"/>
            <w:tcBorders>
              <w:top w:val="nil"/>
              <w:left w:val="nil"/>
              <w:bottom w:val="single" w:sz="4" w:space="0" w:color="auto"/>
              <w:right w:val="single" w:sz="4" w:space="0" w:color="auto"/>
            </w:tcBorders>
            <w:shd w:val="clear" w:color="000000" w:fill="FFFFFF"/>
            <w:noWrap/>
            <w:vAlign w:val="bottom"/>
            <w:hideMark/>
          </w:tcPr>
          <w:p w14:paraId="54D0090E" w14:textId="77777777" w:rsidR="00B56301" w:rsidRPr="00D85A26" w:rsidRDefault="00B56301" w:rsidP="00B37B65">
            <w:pPr>
              <w:jc w:val="right"/>
              <w:rPr>
                <w:rFonts w:asciiTheme="minorHAnsi" w:hAnsiTheme="minorHAnsi"/>
                <w:sz w:val="16"/>
                <w:szCs w:val="16"/>
              </w:rPr>
            </w:pPr>
            <w:r w:rsidRPr="00D85A26">
              <w:rPr>
                <w:sz w:val="16"/>
                <w:szCs w:val="18"/>
              </w:rPr>
              <w:t>4,51</w:t>
            </w:r>
          </w:p>
        </w:tc>
        <w:tc>
          <w:tcPr>
            <w:tcW w:w="993" w:type="dxa"/>
            <w:tcBorders>
              <w:top w:val="nil"/>
              <w:left w:val="nil"/>
              <w:bottom w:val="single" w:sz="4" w:space="0" w:color="auto"/>
              <w:right w:val="single" w:sz="4" w:space="0" w:color="auto"/>
            </w:tcBorders>
            <w:shd w:val="clear" w:color="000000" w:fill="FFFFFF"/>
            <w:noWrap/>
            <w:vAlign w:val="bottom"/>
            <w:hideMark/>
          </w:tcPr>
          <w:p w14:paraId="4BF83095" w14:textId="77777777" w:rsidR="00B56301" w:rsidRPr="00D85A26" w:rsidRDefault="00B56301" w:rsidP="00B37B65">
            <w:pPr>
              <w:jc w:val="right"/>
              <w:rPr>
                <w:rFonts w:asciiTheme="minorHAnsi" w:hAnsiTheme="minorHAnsi"/>
                <w:sz w:val="16"/>
                <w:szCs w:val="16"/>
              </w:rPr>
            </w:pPr>
            <w:r w:rsidRPr="00D85A26">
              <w:rPr>
                <w:sz w:val="16"/>
                <w:szCs w:val="18"/>
              </w:rPr>
              <w:t>4,52</w:t>
            </w:r>
          </w:p>
        </w:tc>
        <w:tc>
          <w:tcPr>
            <w:tcW w:w="1747" w:type="dxa"/>
            <w:tcBorders>
              <w:top w:val="nil"/>
              <w:left w:val="nil"/>
              <w:bottom w:val="single" w:sz="4" w:space="0" w:color="auto"/>
              <w:right w:val="single" w:sz="4" w:space="0" w:color="auto"/>
            </w:tcBorders>
            <w:shd w:val="clear" w:color="000000" w:fill="FFFFFF"/>
            <w:noWrap/>
            <w:vAlign w:val="bottom"/>
            <w:hideMark/>
          </w:tcPr>
          <w:p w14:paraId="0B6C9D72" w14:textId="77777777" w:rsidR="00B56301" w:rsidRPr="00D85A26" w:rsidRDefault="00B56301" w:rsidP="00B37B65">
            <w:pPr>
              <w:jc w:val="right"/>
              <w:rPr>
                <w:rFonts w:asciiTheme="minorHAnsi" w:hAnsiTheme="minorHAnsi"/>
                <w:sz w:val="16"/>
                <w:szCs w:val="16"/>
              </w:rPr>
            </w:pPr>
            <w:r w:rsidRPr="00D85A26">
              <w:rPr>
                <w:sz w:val="16"/>
                <w:szCs w:val="18"/>
              </w:rPr>
              <w:t>-13,26</w:t>
            </w:r>
          </w:p>
        </w:tc>
      </w:tr>
      <w:tr w:rsidR="00B56301" w:rsidRPr="00D85A26" w14:paraId="5E0EB47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ED7C75C" w14:textId="3F8FDA4A"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C.</w:t>
            </w:r>
            <w:r w:rsidR="00260E0B">
              <w:rPr>
                <w:rFonts w:asciiTheme="minorHAnsi" w:hAnsiTheme="minorHAnsi"/>
                <w:sz w:val="16"/>
                <w:szCs w:val="16"/>
              </w:rPr>
              <w:t xml:space="preserve"> </w:t>
            </w:r>
            <w:r w:rsidRPr="00D85A26">
              <w:rPr>
                <w:rFonts w:asciiTheme="minorHAnsi" w:hAnsiTheme="minorHAnsi"/>
                <w:sz w:val="16"/>
                <w:szCs w:val="16"/>
              </w:rPr>
              <w:t>Grassland</w:t>
            </w:r>
          </w:p>
        </w:tc>
        <w:tc>
          <w:tcPr>
            <w:tcW w:w="993" w:type="dxa"/>
            <w:tcBorders>
              <w:top w:val="nil"/>
              <w:left w:val="nil"/>
              <w:bottom w:val="single" w:sz="4" w:space="0" w:color="auto"/>
              <w:right w:val="single" w:sz="4" w:space="0" w:color="auto"/>
            </w:tcBorders>
            <w:shd w:val="clear" w:color="000000" w:fill="FFFFFF"/>
            <w:noWrap/>
            <w:vAlign w:val="bottom"/>
            <w:hideMark/>
          </w:tcPr>
          <w:p w14:paraId="2707E007" w14:textId="77777777" w:rsidR="00B56301" w:rsidRPr="00D85A26" w:rsidRDefault="00B56301" w:rsidP="00B37B65">
            <w:pPr>
              <w:jc w:val="right"/>
              <w:rPr>
                <w:rFonts w:asciiTheme="minorHAnsi" w:hAnsiTheme="minorHAnsi"/>
                <w:sz w:val="16"/>
                <w:szCs w:val="16"/>
              </w:rPr>
            </w:pPr>
            <w:r w:rsidRPr="00D85A26">
              <w:rPr>
                <w:sz w:val="16"/>
                <w:szCs w:val="18"/>
              </w:rPr>
              <w:t>0,35</w:t>
            </w:r>
          </w:p>
        </w:tc>
        <w:tc>
          <w:tcPr>
            <w:tcW w:w="993" w:type="dxa"/>
            <w:tcBorders>
              <w:top w:val="nil"/>
              <w:left w:val="nil"/>
              <w:bottom w:val="single" w:sz="4" w:space="0" w:color="auto"/>
              <w:right w:val="single" w:sz="4" w:space="0" w:color="auto"/>
            </w:tcBorders>
            <w:shd w:val="clear" w:color="000000" w:fill="FFFFFF"/>
            <w:noWrap/>
            <w:vAlign w:val="bottom"/>
            <w:hideMark/>
          </w:tcPr>
          <w:p w14:paraId="742A2A95" w14:textId="77777777" w:rsidR="00B56301" w:rsidRPr="00D85A26" w:rsidRDefault="00B56301" w:rsidP="00B37B65">
            <w:pPr>
              <w:jc w:val="right"/>
              <w:rPr>
                <w:rFonts w:asciiTheme="minorHAnsi" w:hAnsiTheme="minorHAnsi"/>
                <w:sz w:val="16"/>
                <w:szCs w:val="16"/>
              </w:rPr>
            </w:pPr>
            <w:r w:rsidRPr="00D85A26">
              <w:rPr>
                <w:sz w:val="16"/>
                <w:szCs w:val="18"/>
              </w:rPr>
              <w:t>0,34</w:t>
            </w:r>
          </w:p>
        </w:tc>
        <w:tc>
          <w:tcPr>
            <w:tcW w:w="1747" w:type="dxa"/>
            <w:tcBorders>
              <w:top w:val="nil"/>
              <w:left w:val="nil"/>
              <w:bottom w:val="single" w:sz="4" w:space="0" w:color="auto"/>
              <w:right w:val="single" w:sz="4" w:space="0" w:color="auto"/>
            </w:tcBorders>
            <w:shd w:val="clear" w:color="000000" w:fill="FFFFFF"/>
            <w:noWrap/>
            <w:vAlign w:val="bottom"/>
            <w:hideMark/>
          </w:tcPr>
          <w:p w14:paraId="10B07F42" w14:textId="77777777" w:rsidR="00B56301" w:rsidRPr="00D85A26" w:rsidRDefault="00B56301" w:rsidP="00B37B65">
            <w:pPr>
              <w:jc w:val="right"/>
              <w:rPr>
                <w:rFonts w:asciiTheme="minorHAnsi" w:hAnsiTheme="minorHAnsi"/>
                <w:sz w:val="16"/>
                <w:szCs w:val="16"/>
              </w:rPr>
            </w:pPr>
            <w:r w:rsidRPr="00D85A26">
              <w:rPr>
                <w:sz w:val="16"/>
                <w:szCs w:val="18"/>
              </w:rPr>
              <w:t>-28,72</w:t>
            </w:r>
          </w:p>
        </w:tc>
      </w:tr>
      <w:tr w:rsidR="00B56301" w:rsidRPr="00D85A26" w14:paraId="3F1823A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52DD028" w14:textId="0CB61A42"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D.</w:t>
            </w:r>
            <w:r w:rsidR="00260E0B">
              <w:rPr>
                <w:rFonts w:asciiTheme="minorHAnsi" w:hAnsiTheme="minorHAnsi"/>
                <w:sz w:val="16"/>
                <w:szCs w:val="16"/>
              </w:rPr>
              <w:t xml:space="preserve"> </w:t>
            </w:r>
            <w:r w:rsidRPr="00D85A26">
              <w:rPr>
                <w:rFonts w:asciiTheme="minorHAnsi" w:hAnsiTheme="minorHAnsi"/>
                <w:sz w:val="16"/>
                <w:szCs w:val="16"/>
              </w:rPr>
              <w:t>Wetlands</w:t>
            </w:r>
          </w:p>
        </w:tc>
        <w:tc>
          <w:tcPr>
            <w:tcW w:w="993" w:type="dxa"/>
            <w:tcBorders>
              <w:top w:val="nil"/>
              <w:left w:val="nil"/>
              <w:bottom w:val="single" w:sz="4" w:space="0" w:color="auto"/>
              <w:right w:val="single" w:sz="4" w:space="0" w:color="auto"/>
            </w:tcBorders>
            <w:shd w:val="clear" w:color="000000" w:fill="FFFFFF"/>
            <w:noWrap/>
            <w:vAlign w:val="bottom"/>
            <w:hideMark/>
          </w:tcPr>
          <w:p w14:paraId="79977EB2"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43E46FB8" w14:textId="77777777" w:rsidR="00B56301" w:rsidRPr="00D85A26" w:rsidRDefault="00B56301" w:rsidP="00B37B65">
            <w:pPr>
              <w:jc w:val="right"/>
              <w:rPr>
                <w:rFonts w:asciiTheme="minorHAnsi" w:hAnsiTheme="minorHAnsi"/>
                <w:sz w:val="16"/>
                <w:szCs w:val="16"/>
              </w:rPr>
            </w:pPr>
            <w:r w:rsidRPr="00D85A26">
              <w:rPr>
                <w:sz w:val="16"/>
                <w:szCs w:val="18"/>
              </w:rPr>
              <w:t>0,00</w:t>
            </w:r>
          </w:p>
        </w:tc>
        <w:tc>
          <w:tcPr>
            <w:tcW w:w="1747" w:type="dxa"/>
            <w:tcBorders>
              <w:top w:val="nil"/>
              <w:left w:val="nil"/>
              <w:bottom w:val="single" w:sz="4" w:space="0" w:color="auto"/>
              <w:right w:val="single" w:sz="4" w:space="0" w:color="auto"/>
            </w:tcBorders>
            <w:shd w:val="clear" w:color="000000" w:fill="FFFFFF"/>
            <w:noWrap/>
            <w:vAlign w:val="bottom"/>
            <w:hideMark/>
          </w:tcPr>
          <w:p w14:paraId="2D9EC5D4" w14:textId="77777777" w:rsidR="00B56301" w:rsidRPr="00D85A26" w:rsidRDefault="00B56301" w:rsidP="00B37B65">
            <w:pPr>
              <w:jc w:val="right"/>
              <w:rPr>
                <w:rFonts w:asciiTheme="minorHAnsi" w:hAnsiTheme="minorHAnsi"/>
                <w:sz w:val="16"/>
                <w:szCs w:val="16"/>
              </w:rPr>
            </w:pPr>
            <w:r w:rsidRPr="00D85A26">
              <w:rPr>
                <w:sz w:val="16"/>
                <w:szCs w:val="18"/>
              </w:rPr>
              <w:t>29,50</w:t>
            </w:r>
          </w:p>
        </w:tc>
      </w:tr>
      <w:tr w:rsidR="00B56301" w:rsidRPr="00D85A26" w14:paraId="12A55CE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C1C2B50" w14:textId="411A137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 xml:space="preserve">Settlements </w:t>
            </w:r>
          </w:p>
        </w:tc>
        <w:tc>
          <w:tcPr>
            <w:tcW w:w="993" w:type="dxa"/>
            <w:tcBorders>
              <w:top w:val="nil"/>
              <w:left w:val="nil"/>
              <w:bottom w:val="single" w:sz="4" w:space="0" w:color="auto"/>
              <w:right w:val="single" w:sz="4" w:space="0" w:color="auto"/>
            </w:tcBorders>
            <w:shd w:val="clear" w:color="000000" w:fill="FFFFFF"/>
            <w:noWrap/>
            <w:vAlign w:val="bottom"/>
            <w:hideMark/>
          </w:tcPr>
          <w:p w14:paraId="7FB662A4" w14:textId="77777777" w:rsidR="00B56301" w:rsidRPr="00D85A26" w:rsidRDefault="00B56301" w:rsidP="00B37B65">
            <w:pPr>
              <w:jc w:val="right"/>
              <w:rPr>
                <w:rFonts w:asciiTheme="minorHAnsi" w:hAnsiTheme="minorHAnsi"/>
                <w:sz w:val="16"/>
                <w:szCs w:val="16"/>
              </w:rPr>
            </w:pPr>
            <w:r w:rsidRPr="00D85A26">
              <w:rPr>
                <w:sz w:val="16"/>
                <w:szCs w:val="18"/>
              </w:rPr>
              <w:t>1,99</w:t>
            </w:r>
          </w:p>
        </w:tc>
        <w:tc>
          <w:tcPr>
            <w:tcW w:w="993" w:type="dxa"/>
            <w:tcBorders>
              <w:top w:val="nil"/>
              <w:left w:val="nil"/>
              <w:bottom w:val="single" w:sz="4" w:space="0" w:color="auto"/>
              <w:right w:val="single" w:sz="4" w:space="0" w:color="auto"/>
            </w:tcBorders>
            <w:shd w:val="clear" w:color="000000" w:fill="FFFFFF"/>
            <w:noWrap/>
            <w:vAlign w:val="bottom"/>
            <w:hideMark/>
          </w:tcPr>
          <w:p w14:paraId="12F331D4" w14:textId="77777777" w:rsidR="00B56301" w:rsidRPr="00D85A26" w:rsidRDefault="00B56301" w:rsidP="00B37B65">
            <w:pPr>
              <w:jc w:val="right"/>
              <w:rPr>
                <w:rFonts w:asciiTheme="minorHAnsi" w:hAnsiTheme="minorHAnsi"/>
                <w:sz w:val="16"/>
                <w:szCs w:val="16"/>
              </w:rPr>
            </w:pPr>
            <w:r w:rsidRPr="00D85A26">
              <w:rPr>
                <w:sz w:val="16"/>
                <w:szCs w:val="18"/>
              </w:rPr>
              <w:t>1,99</w:t>
            </w:r>
          </w:p>
        </w:tc>
        <w:tc>
          <w:tcPr>
            <w:tcW w:w="1747" w:type="dxa"/>
            <w:tcBorders>
              <w:top w:val="nil"/>
              <w:left w:val="nil"/>
              <w:bottom w:val="single" w:sz="4" w:space="0" w:color="auto"/>
              <w:right w:val="single" w:sz="4" w:space="0" w:color="auto"/>
            </w:tcBorders>
            <w:shd w:val="clear" w:color="000000" w:fill="FFFFFF"/>
            <w:noWrap/>
            <w:vAlign w:val="bottom"/>
            <w:hideMark/>
          </w:tcPr>
          <w:p w14:paraId="16CB5C6C" w14:textId="77777777" w:rsidR="00B56301" w:rsidRPr="00D85A26" w:rsidRDefault="00B56301" w:rsidP="00B37B65">
            <w:pPr>
              <w:jc w:val="right"/>
              <w:rPr>
                <w:rFonts w:asciiTheme="minorHAnsi" w:hAnsiTheme="minorHAnsi"/>
                <w:sz w:val="16"/>
                <w:szCs w:val="16"/>
              </w:rPr>
            </w:pPr>
            <w:r w:rsidRPr="00D85A26">
              <w:rPr>
                <w:sz w:val="16"/>
                <w:szCs w:val="18"/>
              </w:rPr>
              <w:t>0,06</w:t>
            </w:r>
          </w:p>
        </w:tc>
      </w:tr>
      <w:tr w:rsidR="00B56301" w:rsidRPr="00D85A26" w14:paraId="0BF3B49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CE8B558" w14:textId="206AA77C"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F.</w:t>
            </w:r>
            <w:r w:rsidR="00260E0B">
              <w:rPr>
                <w:rFonts w:asciiTheme="minorHAnsi" w:hAnsiTheme="minorHAnsi"/>
                <w:sz w:val="16"/>
                <w:szCs w:val="16"/>
              </w:rPr>
              <w:t xml:space="preserve"> </w:t>
            </w:r>
            <w:r w:rsidRPr="00D85A26">
              <w:rPr>
                <w:rFonts w:asciiTheme="minorHAnsi" w:hAnsiTheme="minorHAnsi"/>
                <w:sz w:val="16"/>
                <w:szCs w:val="16"/>
              </w:rPr>
              <w:t>Other land</w:t>
            </w:r>
          </w:p>
        </w:tc>
        <w:tc>
          <w:tcPr>
            <w:tcW w:w="993" w:type="dxa"/>
            <w:tcBorders>
              <w:top w:val="nil"/>
              <w:left w:val="nil"/>
              <w:bottom w:val="single" w:sz="4" w:space="0" w:color="auto"/>
              <w:right w:val="single" w:sz="4" w:space="0" w:color="auto"/>
            </w:tcBorders>
            <w:shd w:val="clear" w:color="000000" w:fill="FFFFFF"/>
            <w:noWrap/>
            <w:vAlign w:val="bottom"/>
            <w:hideMark/>
          </w:tcPr>
          <w:p w14:paraId="3681E51C"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303F2BA1" w14:textId="77777777" w:rsidR="00B56301" w:rsidRPr="00D85A26" w:rsidRDefault="00B56301" w:rsidP="00B37B65">
            <w:pPr>
              <w:jc w:val="right"/>
              <w:rPr>
                <w:rFonts w:asciiTheme="minorHAnsi" w:hAnsiTheme="minorHAnsi"/>
                <w:sz w:val="16"/>
                <w:szCs w:val="16"/>
              </w:rPr>
            </w:pPr>
            <w:r w:rsidRPr="00D85A26">
              <w:rPr>
                <w:sz w:val="16"/>
                <w:szCs w:val="18"/>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02798BC5"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7B21670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1F64159F" w14:textId="36A80A4D"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G.</w:t>
            </w:r>
            <w:r w:rsidR="00260E0B">
              <w:rPr>
                <w:rFonts w:asciiTheme="minorHAnsi" w:hAnsiTheme="minorHAnsi"/>
                <w:sz w:val="16"/>
                <w:szCs w:val="16"/>
              </w:rPr>
              <w:t xml:space="preserve"> </w:t>
            </w:r>
            <w:r w:rsidRPr="00D85A26">
              <w:rPr>
                <w:rFonts w:asciiTheme="minorHAnsi" w:hAnsiTheme="minorHAnsi"/>
                <w:sz w:val="16"/>
                <w:szCs w:val="16"/>
              </w:rPr>
              <w:t>Harvested wood products</w:t>
            </w:r>
          </w:p>
        </w:tc>
        <w:tc>
          <w:tcPr>
            <w:tcW w:w="993" w:type="dxa"/>
            <w:tcBorders>
              <w:top w:val="nil"/>
              <w:left w:val="nil"/>
              <w:bottom w:val="single" w:sz="4" w:space="0" w:color="auto"/>
              <w:right w:val="single" w:sz="4" w:space="0" w:color="auto"/>
            </w:tcBorders>
            <w:shd w:val="clear" w:color="000000" w:fill="969696"/>
            <w:noWrap/>
            <w:vAlign w:val="bottom"/>
            <w:hideMark/>
          </w:tcPr>
          <w:p w14:paraId="5D9E3C88"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A851ED0"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FFBD4D8"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0DBAEE63"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B79EABB" w14:textId="752CC945"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H.</w:t>
            </w:r>
            <w:r w:rsidR="00260E0B">
              <w:rPr>
                <w:rFonts w:asciiTheme="minorHAnsi" w:hAnsiTheme="minorHAnsi"/>
                <w:sz w:val="16"/>
                <w:szCs w:val="16"/>
              </w:rPr>
              <w:t xml:space="preserve"> </w:t>
            </w:r>
            <w:r w:rsidRPr="00D85A26">
              <w:rPr>
                <w:rFonts w:asciiTheme="minorHAnsi" w:hAnsiTheme="minorHAnsi"/>
                <w:sz w:val="16"/>
                <w:szCs w:val="16"/>
              </w:rPr>
              <w:t>Other</w:t>
            </w:r>
            <w:r w:rsidR="00260E0B">
              <w:rPr>
                <w:rFonts w:asciiTheme="minorHAnsi" w:hAnsiTheme="minorHAnsi"/>
                <w:sz w:val="16"/>
                <w:szCs w:val="16"/>
              </w:rPr>
              <w:t xml:space="preserve">   </w:t>
            </w:r>
          </w:p>
        </w:tc>
        <w:tc>
          <w:tcPr>
            <w:tcW w:w="993" w:type="dxa"/>
            <w:tcBorders>
              <w:top w:val="nil"/>
              <w:left w:val="nil"/>
              <w:bottom w:val="single" w:sz="4" w:space="0" w:color="auto"/>
              <w:right w:val="single" w:sz="4" w:space="0" w:color="auto"/>
            </w:tcBorders>
            <w:shd w:val="clear" w:color="000000" w:fill="FFFFFF"/>
            <w:noWrap/>
            <w:vAlign w:val="bottom"/>
            <w:hideMark/>
          </w:tcPr>
          <w:p w14:paraId="1F2EDF87"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993" w:type="dxa"/>
            <w:tcBorders>
              <w:top w:val="nil"/>
              <w:left w:val="nil"/>
              <w:bottom w:val="single" w:sz="4" w:space="0" w:color="auto"/>
              <w:right w:val="single" w:sz="4" w:space="0" w:color="auto"/>
            </w:tcBorders>
            <w:shd w:val="clear" w:color="000000" w:fill="FFFFFF"/>
            <w:noWrap/>
            <w:vAlign w:val="bottom"/>
            <w:hideMark/>
          </w:tcPr>
          <w:p w14:paraId="6441FE7B" w14:textId="77777777" w:rsidR="00B56301" w:rsidRPr="00D85A26" w:rsidRDefault="00B56301" w:rsidP="00B37B65">
            <w:pPr>
              <w:jc w:val="right"/>
              <w:rPr>
                <w:rFonts w:asciiTheme="minorHAnsi" w:hAnsiTheme="minorHAnsi"/>
                <w:sz w:val="16"/>
                <w:szCs w:val="16"/>
              </w:rPr>
            </w:pPr>
            <w:r w:rsidRPr="00D85A26">
              <w:rPr>
                <w:sz w:val="16"/>
                <w:szCs w:val="18"/>
              </w:rPr>
              <w:t>NA</w:t>
            </w:r>
          </w:p>
        </w:tc>
        <w:tc>
          <w:tcPr>
            <w:tcW w:w="1747" w:type="dxa"/>
            <w:tcBorders>
              <w:top w:val="nil"/>
              <w:left w:val="nil"/>
              <w:bottom w:val="single" w:sz="4" w:space="0" w:color="auto"/>
              <w:right w:val="single" w:sz="4" w:space="0" w:color="auto"/>
            </w:tcBorders>
            <w:shd w:val="clear" w:color="000000" w:fill="FFFFFF"/>
            <w:noWrap/>
            <w:vAlign w:val="bottom"/>
            <w:hideMark/>
          </w:tcPr>
          <w:p w14:paraId="52CC969D"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35F8E42A"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7580E46" w14:textId="52324F1E" w:rsidR="00B56301" w:rsidRPr="00D85A26" w:rsidRDefault="00B56301" w:rsidP="00B37B65">
            <w:pPr>
              <w:jc w:val="left"/>
              <w:rPr>
                <w:rFonts w:asciiTheme="minorHAnsi" w:hAnsiTheme="minorHAnsi"/>
                <w:b/>
                <w:bCs/>
                <w:sz w:val="16"/>
                <w:szCs w:val="16"/>
              </w:rPr>
            </w:pPr>
            <w:r w:rsidRPr="00D85A26">
              <w:rPr>
                <w:rFonts w:asciiTheme="minorHAnsi" w:hAnsiTheme="minorHAnsi"/>
                <w:b/>
                <w:bCs/>
                <w:sz w:val="16"/>
                <w:szCs w:val="16"/>
              </w:rPr>
              <w:t>5.</w:t>
            </w:r>
            <w:r w:rsidR="00260E0B">
              <w:rPr>
                <w:rFonts w:asciiTheme="minorHAnsi" w:hAnsiTheme="minorHAnsi"/>
                <w:b/>
                <w:bCs/>
                <w:sz w:val="16"/>
                <w:szCs w:val="16"/>
              </w:rPr>
              <w:t xml:space="preserve"> </w:t>
            </w:r>
            <w:r w:rsidRPr="00D85A26">
              <w:rPr>
                <w:rFonts w:asciiTheme="minorHAnsi" w:hAnsiTheme="minorHAnsi"/>
                <w:b/>
                <w:bCs/>
                <w:sz w:val="16"/>
                <w:szCs w:val="16"/>
              </w:rPr>
              <w:t>Waste</w:t>
            </w:r>
          </w:p>
        </w:tc>
        <w:tc>
          <w:tcPr>
            <w:tcW w:w="993" w:type="dxa"/>
            <w:tcBorders>
              <w:top w:val="nil"/>
              <w:left w:val="nil"/>
              <w:bottom w:val="single" w:sz="4" w:space="0" w:color="auto"/>
              <w:right w:val="single" w:sz="4" w:space="0" w:color="auto"/>
            </w:tcBorders>
            <w:shd w:val="clear" w:color="000000" w:fill="CCFFFF"/>
            <w:noWrap/>
            <w:vAlign w:val="bottom"/>
            <w:hideMark/>
          </w:tcPr>
          <w:p w14:paraId="68288A1D" w14:textId="77777777" w:rsidR="00B56301" w:rsidRPr="00D85A26" w:rsidRDefault="00B56301" w:rsidP="00B37B65">
            <w:pPr>
              <w:jc w:val="right"/>
              <w:rPr>
                <w:rFonts w:asciiTheme="minorHAnsi" w:hAnsiTheme="minorHAnsi"/>
                <w:sz w:val="16"/>
                <w:szCs w:val="16"/>
              </w:rPr>
            </w:pPr>
            <w:r w:rsidRPr="00D85A26">
              <w:rPr>
                <w:sz w:val="16"/>
                <w:szCs w:val="18"/>
              </w:rPr>
              <w:t>2,00</w:t>
            </w:r>
          </w:p>
        </w:tc>
        <w:tc>
          <w:tcPr>
            <w:tcW w:w="993" w:type="dxa"/>
            <w:tcBorders>
              <w:top w:val="nil"/>
              <w:left w:val="nil"/>
              <w:bottom w:val="single" w:sz="4" w:space="0" w:color="auto"/>
              <w:right w:val="single" w:sz="4" w:space="0" w:color="auto"/>
            </w:tcBorders>
            <w:shd w:val="clear" w:color="000000" w:fill="CCFFFF"/>
            <w:noWrap/>
            <w:vAlign w:val="bottom"/>
            <w:hideMark/>
          </w:tcPr>
          <w:p w14:paraId="76476FF2" w14:textId="77777777" w:rsidR="00B56301" w:rsidRPr="00D85A26" w:rsidRDefault="00B56301" w:rsidP="00B37B65">
            <w:pPr>
              <w:jc w:val="right"/>
              <w:rPr>
                <w:rFonts w:asciiTheme="minorHAnsi" w:hAnsiTheme="minorHAnsi"/>
                <w:sz w:val="16"/>
                <w:szCs w:val="16"/>
              </w:rPr>
            </w:pPr>
            <w:r w:rsidRPr="00D85A26">
              <w:rPr>
                <w:sz w:val="16"/>
                <w:szCs w:val="18"/>
              </w:rPr>
              <w:t>2,00</w:t>
            </w:r>
          </w:p>
        </w:tc>
        <w:tc>
          <w:tcPr>
            <w:tcW w:w="1747" w:type="dxa"/>
            <w:tcBorders>
              <w:top w:val="nil"/>
              <w:left w:val="nil"/>
              <w:bottom w:val="single" w:sz="4" w:space="0" w:color="auto"/>
              <w:right w:val="single" w:sz="4" w:space="0" w:color="auto"/>
            </w:tcBorders>
            <w:shd w:val="clear" w:color="000000" w:fill="CCFFFF"/>
            <w:noWrap/>
            <w:vAlign w:val="bottom"/>
            <w:hideMark/>
          </w:tcPr>
          <w:p w14:paraId="2D9E88F5" w14:textId="77777777" w:rsidR="00B56301" w:rsidRPr="00D85A26" w:rsidRDefault="00B56301" w:rsidP="00B37B65">
            <w:pPr>
              <w:jc w:val="right"/>
              <w:rPr>
                <w:rFonts w:asciiTheme="minorHAnsi" w:hAnsiTheme="minorHAnsi"/>
                <w:sz w:val="16"/>
                <w:szCs w:val="16"/>
              </w:rPr>
            </w:pPr>
            <w:r w:rsidRPr="00D85A26">
              <w:rPr>
                <w:sz w:val="16"/>
                <w:szCs w:val="18"/>
              </w:rPr>
              <w:t>-22,54</w:t>
            </w:r>
          </w:p>
        </w:tc>
      </w:tr>
      <w:tr w:rsidR="00B56301" w:rsidRPr="00D85A26" w14:paraId="1828E9CD"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855EBD6" w14:textId="6F121B78"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A.</w:t>
            </w:r>
            <w:r w:rsidR="00260E0B">
              <w:rPr>
                <w:rFonts w:asciiTheme="minorHAnsi" w:hAnsiTheme="minorHAnsi"/>
                <w:sz w:val="16"/>
                <w:szCs w:val="16"/>
              </w:rPr>
              <w:t xml:space="preserve"> </w:t>
            </w:r>
            <w:r w:rsidRPr="00D85A26">
              <w:rPr>
                <w:rFonts w:asciiTheme="minorHAnsi" w:hAnsiTheme="minorHAnsi"/>
                <w:sz w:val="16"/>
                <w:szCs w:val="16"/>
              </w:rPr>
              <w:t>Solid waste disposal</w:t>
            </w:r>
            <w:r w:rsidRPr="00D85A26">
              <w:rPr>
                <w:rFonts w:asciiTheme="minorHAnsi" w:hAnsiTheme="minorHAnsi"/>
                <w:b/>
                <w:bCs/>
                <w:sz w:val="16"/>
                <w:szCs w:val="16"/>
              </w:rPr>
              <w:t xml:space="preserve"> </w:t>
            </w:r>
          </w:p>
        </w:tc>
        <w:tc>
          <w:tcPr>
            <w:tcW w:w="993" w:type="dxa"/>
            <w:tcBorders>
              <w:top w:val="nil"/>
              <w:left w:val="nil"/>
              <w:bottom w:val="single" w:sz="4" w:space="0" w:color="auto"/>
              <w:right w:val="single" w:sz="4" w:space="0" w:color="auto"/>
            </w:tcBorders>
            <w:shd w:val="clear" w:color="000000" w:fill="969696"/>
            <w:noWrap/>
            <w:vAlign w:val="bottom"/>
            <w:hideMark/>
          </w:tcPr>
          <w:p w14:paraId="03453CA6"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2345FDC" w14:textId="77777777" w:rsidR="00B56301" w:rsidRPr="00D85A26" w:rsidRDefault="00B56301" w:rsidP="00B37B65">
            <w:pPr>
              <w:jc w:val="right"/>
              <w:rPr>
                <w:rFonts w:asciiTheme="minorHAnsi" w:hAnsiTheme="minorHAnsi"/>
                <w:sz w:val="16"/>
                <w:szCs w:val="16"/>
              </w:rPr>
            </w:pPr>
            <w:r w:rsidRPr="00D85A26">
              <w:rPr>
                <w:sz w:val="16"/>
                <w:szCs w:val="18"/>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E4E2D33" w14:textId="77777777" w:rsidR="00B56301" w:rsidRPr="00D85A26" w:rsidRDefault="00B56301" w:rsidP="00B37B65">
            <w:pPr>
              <w:jc w:val="right"/>
              <w:rPr>
                <w:rFonts w:asciiTheme="minorHAnsi" w:hAnsiTheme="minorHAnsi"/>
                <w:sz w:val="16"/>
                <w:szCs w:val="16"/>
              </w:rPr>
            </w:pPr>
            <w:r w:rsidRPr="00D85A26">
              <w:rPr>
                <w:sz w:val="16"/>
                <w:szCs w:val="18"/>
              </w:rPr>
              <w:t> </w:t>
            </w:r>
          </w:p>
        </w:tc>
      </w:tr>
      <w:tr w:rsidR="00B56301" w:rsidRPr="00D85A26" w14:paraId="12206141"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49E2314" w14:textId="24B4C82D"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B.</w:t>
            </w:r>
            <w:r w:rsidR="00260E0B">
              <w:rPr>
                <w:rFonts w:asciiTheme="minorHAnsi" w:hAnsiTheme="minorHAnsi"/>
                <w:sz w:val="16"/>
                <w:szCs w:val="16"/>
                <w:lang w:val="en-GB"/>
              </w:rPr>
              <w:t xml:space="preserve"> </w:t>
            </w:r>
            <w:r w:rsidRPr="00D85A26">
              <w:rPr>
                <w:rFonts w:asciiTheme="minorHAnsi" w:hAnsiTheme="minorHAnsi"/>
                <w:sz w:val="16"/>
                <w:szCs w:val="16"/>
                <w:lang w:val="en-GB"/>
              </w:rPr>
              <w:t>Biological treatment of solid waste</w:t>
            </w:r>
          </w:p>
        </w:tc>
        <w:tc>
          <w:tcPr>
            <w:tcW w:w="993" w:type="dxa"/>
            <w:tcBorders>
              <w:top w:val="nil"/>
              <w:left w:val="nil"/>
              <w:bottom w:val="single" w:sz="4" w:space="0" w:color="auto"/>
              <w:right w:val="single" w:sz="4" w:space="0" w:color="auto"/>
            </w:tcBorders>
            <w:shd w:val="clear" w:color="000000" w:fill="FFFFFF"/>
            <w:noWrap/>
            <w:vAlign w:val="bottom"/>
            <w:hideMark/>
          </w:tcPr>
          <w:p w14:paraId="71B4ACA6" w14:textId="77777777" w:rsidR="00B56301" w:rsidRPr="00D85A26" w:rsidRDefault="00B56301" w:rsidP="00B37B65">
            <w:pPr>
              <w:jc w:val="right"/>
              <w:rPr>
                <w:rFonts w:asciiTheme="minorHAnsi" w:hAnsiTheme="minorHAnsi"/>
                <w:sz w:val="16"/>
                <w:szCs w:val="16"/>
              </w:rPr>
            </w:pPr>
            <w:r w:rsidRPr="00D85A26">
              <w:rPr>
                <w:sz w:val="16"/>
                <w:szCs w:val="18"/>
              </w:rPr>
              <w:t>0,72</w:t>
            </w:r>
          </w:p>
        </w:tc>
        <w:tc>
          <w:tcPr>
            <w:tcW w:w="993" w:type="dxa"/>
            <w:tcBorders>
              <w:top w:val="nil"/>
              <w:left w:val="nil"/>
              <w:bottom w:val="single" w:sz="4" w:space="0" w:color="auto"/>
              <w:right w:val="single" w:sz="4" w:space="0" w:color="auto"/>
            </w:tcBorders>
            <w:shd w:val="clear" w:color="000000" w:fill="FFFFFF"/>
            <w:noWrap/>
            <w:vAlign w:val="bottom"/>
            <w:hideMark/>
          </w:tcPr>
          <w:p w14:paraId="3B505C35" w14:textId="77777777" w:rsidR="00B56301" w:rsidRPr="00D85A26" w:rsidRDefault="00B56301" w:rsidP="00B37B65">
            <w:pPr>
              <w:jc w:val="right"/>
              <w:rPr>
                <w:rFonts w:asciiTheme="minorHAnsi" w:hAnsiTheme="minorHAnsi"/>
                <w:sz w:val="16"/>
                <w:szCs w:val="16"/>
              </w:rPr>
            </w:pPr>
            <w:r w:rsidRPr="00D85A26">
              <w:rPr>
                <w:sz w:val="16"/>
                <w:szCs w:val="18"/>
              </w:rPr>
              <w:t>0,72</w:t>
            </w:r>
          </w:p>
        </w:tc>
        <w:tc>
          <w:tcPr>
            <w:tcW w:w="1747" w:type="dxa"/>
            <w:tcBorders>
              <w:top w:val="nil"/>
              <w:left w:val="nil"/>
              <w:bottom w:val="single" w:sz="4" w:space="0" w:color="auto"/>
              <w:right w:val="single" w:sz="4" w:space="0" w:color="auto"/>
            </w:tcBorders>
            <w:shd w:val="clear" w:color="000000" w:fill="FFFFFF"/>
            <w:noWrap/>
            <w:vAlign w:val="bottom"/>
            <w:hideMark/>
          </w:tcPr>
          <w:p w14:paraId="14EE397E" w14:textId="77777777" w:rsidR="00B56301" w:rsidRPr="00D85A26" w:rsidRDefault="00B56301" w:rsidP="00B37B65">
            <w:pPr>
              <w:jc w:val="right"/>
              <w:rPr>
                <w:rFonts w:asciiTheme="minorHAnsi" w:hAnsiTheme="minorHAnsi"/>
                <w:sz w:val="16"/>
                <w:szCs w:val="16"/>
              </w:rPr>
            </w:pPr>
            <w:r w:rsidRPr="00D85A26">
              <w:rPr>
                <w:sz w:val="16"/>
                <w:szCs w:val="18"/>
              </w:rPr>
              <w:t>334,93</w:t>
            </w:r>
          </w:p>
        </w:tc>
      </w:tr>
      <w:tr w:rsidR="00B56301" w:rsidRPr="00D85A26" w14:paraId="65E9EE8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F3FC337" w14:textId="46702A4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C.</w:t>
            </w:r>
            <w:r w:rsidR="00260E0B">
              <w:rPr>
                <w:rFonts w:asciiTheme="minorHAnsi" w:hAnsiTheme="minorHAnsi"/>
                <w:sz w:val="16"/>
                <w:szCs w:val="16"/>
                <w:lang w:val="en-GB"/>
              </w:rPr>
              <w:t xml:space="preserve"> </w:t>
            </w:r>
            <w:r w:rsidRPr="00D85A26">
              <w:rPr>
                <w:rFonts w:asciiTheme="minorHAnsi" w:hAnsiTheme="minorHAnsi"/>
                <w:sz w:val="16"/>
                <w:szCs w:val="16"/>
                <w:lang w:val="en-GB"/>
              </w:rPr>
              <w:t>Incineration and open burning of waste</w:t>
            </w:r>
          </w:p>
        </w:tc>
        <w:tc>
          <w:tcPr>
            <w:tcW w:w="993" w:type="dxa"/>
            <w:tcBorders>
              <w:top w:val="nil"/>
              <w:left w:val="nil"/>
              <w:bottom w:val="single" w:sz="4" w:space="0" w:color="auto"/>
              <w:right w:val="single" w:sz="4" w:space="0" w:color="auto"/>
            </w:tcBorders>
            <w:shd w:val="clear" w:color="000000" w:fill="FFFFFF"/>
            <w:noWrap/>
            <w:vAlign w:val="bottom"/>
            <w:hideMark/>
          </w:tcPr>
          <w:p w14:paraId="4C31158F"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993" w:type="dxa"/>
            <w:tcBorders>
              <w:top w:val="nil"/>
              <w:left w:val="nil"/>
              <w:bottom w:val="single" w:sz="4" w:space="0" w:color="auto"/>
              <w:right w:val="single" w:sz="4" w:space="0" w:color="auto"/>
            </w:tcBorders>
            <w:shd w:val="clear" w:color="000000" w:fill="FFFFFF"/>
            <w:noWrap/>
            <w:vAlign w:val="bottom"/>
            <w:hideMark/>
          </w:tcPr>
          <w:p w14:paraId="1214DD1A" w14:textId="77777777" w:rsidR="00B56301" w:rsidRPr="00D85A26" w:rsidRDefault="00B56301" w:rsidP="00B37B65">
            <w:pPr>
              <w:jc w:val="right"/>
              <w:rPr>
                <w:rFonts w:asciiTheme="minorHAnsi" w:hAnsiTheme="minorHAnsi"/>
                <w:sz w:val="16"/>
                <w:szCs w:val="16"/>
              </w:rPr>
            </w:pPr>
            <w:r w:rsidRPr="00D85A26">
              <w:rPr>
                <w:sz w:val="16"/>
                <w:szCs w:val="18"/>
              </w:rPr>
              <w:t>0,21</w:t>
            </w:r>
          </w:p>
        </w:tc>
        <w:tc>
          <w:tcPr>
            <w:tcW w:w="1747" w:type="dxa"/>
            <w:tcBorders>
              <w:top w:val="nil"/>
              <w:left w:val="nil"/>
              <w:bottom w:val="single" w:sz="4" w:space="0" w:color="auto"/>
              <w:right w:val="single" w:sz="4" w:space="0" w:color="auto"/>
            </w:tcBorders>
            <w:shd w:val="clear" w:color="000000" w:fill="FFFFFF"/>
            <w:noWrap/>
            <w:vAlign w:val="bottom"/>
            <w:hideMark/>
          </w:tcPr>
          <w:p w14:paraId="4572F33B" w14:textId="77777777" w:rsidR="00B56301" w:rsidRPr="00D85A26" w:rsidRDefault="00B56301" w:rsidP="00B37B65">
            <w:pPr>
              <w:jc w:val="right"/>
              <w:rPr>
                <w:rFonts w:asciiTheme="minorHAnsi" w:hAnsiTheme="minorHAnsi"/>
                <w:sz w:val="16"/>
                <w:szCs w:val="16"/>
              </w:rPr>
            </w:pPr>
            <w:r w:rsidRPr="00D85A26">
              <w:rPr>
                <w:sz w:val="16"/>
                <w:szCs w:val="18"/>
              </w:rPr>
              <w:t>-58,11</w:t>
            </w:r>
          </w:p>
        </w:tc>
      </w:tr>
      <w:tr w:rsidR="00B56301" w:rsidRPr="00D85A26" w14:paraId="4AF03BF9"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A70B7EA" w14:textId="5813E8DF" w:rsidR="00B56301" w:rsidRPr="00D85A26" w:rsidRDefault="00B56301" w:rsidP="00B37B65">
            <w:pPr>
              <w:ind w:firstLineChars="200" w:firstLine="320"/>
              <w:jc w:val="left"/>
              <w:rPr>
                <w:rFonts w:asciiTheme="minorHAnsi" w:hAnsiTheme="minorHAnsi"/>
                <w:sz w:val="16"/>
                <w:szCs w:val="16"/>
                <w:lang w:val="en-GB"/>
              </w:rPr>
            </w:pPr>
            <w:r w:rsidRPr="00D85A26">
              <w:rPr>
                <w:rFonts w:asciiTheme="minorHAnsi" w:hAnsiTheme="minorHAnsi"/>
                <w:sz w:val="16"/>
                <w:szCs w:val="16"/>
                <w:lang w:val="en-GB"/>
              </w:rPr>
              <w:t>D.</w:t>
            </w:r>
            <w:r w:rsidR="00260E0B">
              <w:rPr>
                <w:rFonts w:asciiTheme="minorHAnsi" w:hAnsiTheme="minorHAnsi"/>
                <w:sz w:val="16"/>
                <w:szCs w:val="16"/>
                <w:lang w:val="en-GB"/>
              </w:rPr>
              <w:t xml:space="preserve"> </w:t>
            </w:r>
            <w:r w:rsidRPr="00D85A26">
              <w:rPr>
                <w:rFonts w:asciiTheme="minorHAnsi" w:hAnsiTheme="minorHAnsi"/>
                <w:sz w:val="16"/>
                <w:szCs w:val="16"/>
                <w:lang w:val="en-GB"/>
              </w:rPr>
              <w:t>Waste water treatment and discharge</w:t>
            </w:r>
          </w:p>
        </w:tc>
        <w:tc>
          <w:tcPr>
            <w:tcW w:w="993" w:type="dxa"/>
            <w:tcBorders>
              <w:top w:val="nil"/>
              <w:left w:val="nil"/>
              <w:bottom w:val="single" w:sz="4" w:space="0" w:color="auto"/>
              <w:right w:val="single" w:sz="4" w:space="0" w:color="auto"/>
            </w:tcBorders>
            <w:shd w:val="clear" w:color="000000" w:fill="FFFFFF"/>
            <w:noWrap/>
            <w:vAlign w:val="bottom"/>
            <w:hideMark/>
          </w:tcPr>
          <w:p w14:paraId="314C640D" w14:textId="77777777" w:rsidR="00B56301" w:rsidRPr="00D85A26" w:rsidRDefault="00B56301" w:rsidP="00B37B65">
            <w:pPr>
              <w:jc w:val="right"/>
              <w:rPr>
                <w:rFonts w:asciiTheme="minorHAnsi" w:hAnsiTheme="minorHAnsi"/>
                <w:sz w:val="16"/>
                <w:szCs w:val="16"/>
              </w:rPr>
            </w:pPr>
            <w:r w:rsidRPr="00D85A26">
              <w:rPr>
                <w:sz w:val="16"/>
                <w:szCs w:val="18"/>
              </w:rPr>
              <w:t>1,07</w:t>
            </w:r>
          </w:p>
        </w:tc>
        <w:tc>
          <w:tcPr>
            <w:tcW w:w="993" w:type="dxa"/>
            <w:tcBorders>
              <w:top w:val="nil"/>
              <w:left w:val="nil"/>
              <w:bottom w:val="single" w:sz="4" w:space="0" w:color="auto"/>
              <w:right w:val="single" w:sz="4" w:space="0" w:color="auto"/>
            </w:tcBorders>
            <w:shd w:val="clear" w:color="000000" w:fill="FFFFFF"/>
            <w:noWrap/>
            <w:vAlign w:val="bottom"/>
            <w:hideMark/>
          </w:tcPr>
          <w:p w14:paraId="5AA70A9B" w14:textId="77777777" w:rsidR="00B56301" w:rsidRPr="00D85A26" w:rsidRDefault="00B56301" w:rsidP="00B37B65">
            <w:pPr>
              <w:jc w:val="right"/>
              <w:rPr>
                <w:rFonts w:asciiTheme="minorHAnsi" w:hAnsiTheme="minorHAnsi"/>
                <w:sz w:val="16"/>
                <w:szCs w:val="16"/>
              </w:rPr>
            </w:pPr>
            <w:r w:rsidRPr="00D85A26">
              <w:rPr>
                <w:sz w:val="16"/>
                <w:szCs w:val="18"/>
              </w:rPr>
              <w:t>1,07</w:t>
            </w:r>
          </w:p>
        </w:tc>
        <w:tc>
          <w:tcPr>
            <w:tcW w:w="1747" w:type="dxa"/>
            <w:tcBorders>
              <w:top w:val="nil"/>
              <w:left w:val="nil"/>
              <w:bottom w:val="single" w:sz="4" w:space="0" w:color="auto"/>
              <w:right w:val="single" w:sz="4" w:space="0" w:color="auto"/>
            </w:tcBorders>
            <w:shd w:val="clear" w:color="000000" w:fill="FFFFFF"/>
            <w:noWrap/>
            <w:vAlign w:val="bottom"/>
            <w:hideMark/>
          </w:tcPr>
          <w:p w14:paraId="554ECBE0" w14:textId="77777777" w:rsidR="00B56301" w:rsidRPr="00D85A26" w:rsidRDefault="00B56301" w:rsidP="00B37B65">
            <w:pPr>
              <w:jc w:val="right"/>
              <w:rPr>
                <w:rFonts w:asciiTheme="minorHAnsi" w:hAnsiTheme="minorHAnsi"/>
                <w:sz w:val="16"/>
                <w:szCs w:val="16"/>
              </w:rPr>
            </w:pPr>
            <w:r w:rsidRPr="00D85A26">
              <w:rPr>
                <w:sz w:val="16"/>
                <w:szCs w:val="18"/>
              </w:rPr>
              <w:t>-44,15</w:t>
            </w:r>
          </w:p>
        </w:tc>
      </w:tr>
      <w:tr w:rsidR="00B56301" w:rsidRPr="00D85A26" w14:paraId="284E3288"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7D399300" w14:textId="0ED99A7E" w:rsidR="00B56301" w:rsidRPr="00D85A26" w:rsidRDefault="00B56301" w:rsidP="00B37B65">
            <w:pPr>
              <w:ind w:firstLineChars="200" w:firstLine="320"/>
              <w:jc w:val="left"/>
              <w:rPr>
                <w:rFonts w:asciiTheme="minorHAnsi" w:hAnsiTheme="minorHAnsi"/>
                <w:sz w:val="16"/>
                <w:szCs w:val="16"/>
              </w:rPr>
            </w:pPr>
            <w:r w:rsidRPr="00D85A26">
              <w:rPr>
                <w:rFonts w:asciiTheme="minorHAnsi" w:hAnsiTheme="minorHAnsi"/>
                <w:sz w:val="16"/>
                <w:szCs w:val="16"/>
              </w:rPr>
              <w:t>E.</w:t>
            </w:r>
            <w:r w:rsidR="00260E0B">
              <w:rPr>
                <w:rFonts w:asciiTheme="minorHAnsi" w:hAnsiTheme="minorHAnsi"/>
                <w:sz w:val="16"/>
                <w:szCs w:val="16"/>
              </w:rPr>
              <w:t xml:space="preserve"> </w:t>
            </w:r>
            <w:r w:rsidRPr="00D85A26">
              <w:rPr>
                <w:rFonts w:asciiTheme="minorHAnsi" w:hAnsiTheme="minorHAnsi"/>
                <w:sz w:val="16"/>
                <w:szCs w:val="16"/>
              </w:rPr>
              <w:t>Other</w:t>
            </w:r>
            <w:r w:rsidRPr="00D85A26">
              <w:rPr>
                <w:rFonts w:asciiTheme="minorHAnsi" w:hAnsiTheme="minorHAnsi"/>
                <w:b/>
                <w:bCs/>
                <w:i/>
                <w:iCs/>
                <w:sz w:val="16"/>
                <w:szCs w:val="16"/>
              </w:rPr>
              <w:t xml:space="preserve"> </w:t>
            </w:r>
          </w:p>
        </w:tc>
        <w:tc>
          <w:tcPr>
            <w:tcW w:w="993" w:type="dxa"/>
            <w:tcBorders>
              <w:top w:val="nil"/>
              <w:left w:val="nil"/>
              <w:bottom w:val="single" w:sz="4" w:space="0" w:color="auto"/>
              <w:right w:val="single" w:sz="4" w:space="0" w:color="auto"/>
            </w:tcBorders>
            <w:shd w:val="clear" w:color="000000" w:fill="FFFFFF"/>
            <w:noWrap/>
            <w:vAlign w:val="bottom"/>
            <w:hideMark/>
          </w:tcPr>
          <w:p w14:paraId="24C95526"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993" w:type="dxa"/>
            <w:tcBorders>
              <w:top w:val="nil"/>
              <w:left w:val="nil"/>
              <w:bottom w:val="single" w:sz="4" w:space="0" w:color="auto"/>
              <w:right w:val="single" w:sz="4" w:space="0" w:color="auto"/>
            </w:tcBorders>
            <w:shd w:val="clear" w:color="000000" w:fill="FFFFFF"/>
            <w:noWrap/>
            <w:vAlign w:val="bottom"/>
            <w:hideMark/>
          </w:tcPr>
          <w:p w14:paraId="5AD446E1" w14:textId="77777777" w:rsidR="00B56301" w:rsidRPr="00D85A26" w:rsidRDefault="00B56301" w:rsidP="00B37B65">
            <w:pPr>
              <w:jc w:val="right"/>
              <w:rPr>
                <w:rFonts w:asciiTheme="minorHAnsi" w:hAnsiTheme="minorHAnsi"/>
                <w:sz w:val="16"/>
                <w:szCs w:val="16"/>
              </w:rPr>
            </w:pPr>
            <w:r w:rsidRPr="00D85A26">
              <w:rPr>
                <w:sz w:val="16"/>
                <w:szCs w:val="18"/>
              </w:rPr>
              <w:t>NO</w:t>
            </w:r>
          </w:p>
        </w:tc>
        <w:tc>
          <w:tcPr>
            <w:tcW w:w="1747" w:type="dxa"/>
            <w:tcBorders>
              <w:top w:val="nil"/>
              <w:left w:val="nil"/>
              <w:bottom w:val="single" w:sz="4" w:space="0" w:color="auto"/>
              <w:right w:val="single" w:sz="4" w:space="0" w:color="auto"/>
            </w:tcBorders>
            <w:shd w:val="clear" w:color="000000" w:fill="FFFFFF"/>
            <w:noWrap/>
            <w:vAlign w:val="bottom"/>
            <w:hideMark/>
          </w:tcPr>
          <w:p w14:paraId="1CB008CC" w14:textId="77777777" w:rsidR="00B56301" w:rsidRPr="00D85A26" w:rsidRDefault="00B56301" w:rsidP="00B37B65">
            <w:pPr>
              <w:jc w:val="right"/>
              <w:rPr>
                <w:rFonts w:asciiTheme="minorHAnsi" w:hAnsiTheme="minorHAnsi"/>
                <w:sz w:val="16"/>
                <w:szCs w:val="16"/>
              </w:rPr>
            </w:pPr>
            <w:r w:rsidRPr="00D85A26">
              <w:rPr>
                <w:sz w:val="16"/>
                <w:szCs w:val="18"/>
              </w:rPr>
              <w:t>0,00</w:t>
            </w:r>
          </w:p>
        </w:tc>
      </w:tr>
      <w:tr w:rsidR="00B56301" w:rsidRPr="00D85A26" w14:paraId="538790B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5AF55CA1" w14:textId="4D088154"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6.</w:t>
            </w:r>
            <w:r w:rsidR="00260E0B">
              <w:rPr>
                <w:rFonts w:asciiTheme="minorHAnsi" w:hAnsiTheme="minorHAnsi"/>
                <w:b/>
                <w:bCs/>
                <w:sz w:val="16"/>
                <w:szCs w:val="16"/>
                <w:lang w:val="en-GB"/>
              </w:rPr>
              <w:t xml:space="preserve"> </w:t>
            </w:r>
            <w:r w:rsidRPr="0034391E">
              <w:rPr>
                <w:rFonts w:asciiTheme="minorHAnsi" w:hAnsiTheme="minorHAnsi"/>
                <w:b/>
                <w:bCs/>
                <w:sz w:val="16"/>
                <w:szCs w:val="16"/>
                <w:lang w:val="en-GB"/>
              </w:rPr>
              <w:t xml:space="preserve">Other </w:t>
            </w:r>
            <w:r w:rsidRPr="0034391E">
              <w:rPr>
                <w:rFonts w:asciiTheme="minorHAnsi" w:hAnsiTheme="minorHAnsi"/>
                <w:b/>
                <w:bCs/>
                <w:i/>
                <w:iCs/>
                <w:sz w:val="16"/>
                <w:szCs w:val="16"/>
                <w:lang w:val="en-GB"/>
              </w:rPr>
              <w:t>(as specified in summary 1.A)</w:t>
            </w:r>
          </w:p>
        </w:tc>
        <w:tc>
          <w:tcPr>
            <w:tcW w:w="993" w:type="dxa"/>
            <w:tcBorders>
              <w:top w:val="nil"/>
              <w:left w:val="nil"/>
              <w:bottom w:val="single" w:sz="4" w:space="0" w:color="auto"/>
              <w:right w:val="single" w:sz="4" w:space="0" w:color="auto"/>
            </w:tcBorders>
            <w:shd w:val="clear" w:color="000000" w:fill="CCFFFF"/>
            <w:noWrap/>
            <w:vAlign w:val="bottom"/>
            <w:hideMark/>
          </w:tcPr>
          <w:p w14:paraId="11EF626F"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993" w:type="dxa"/>
            <w:tcBorders>
              <w:top w:val="nil"/>
              <w:left w:val="nil"/>
              <w:bottom w:val="single" w:sz="4" w:space="0" w:color="auto"/>
              <w:right w:val="single" w:sz="4" w:space="0" w:color="auto"/>
            </w:tcBorders>
            <w:shd w:val="clear" w:color="000000" w:fill="CCFFFF"/>
            <w:noWrap/>
            <w:vAlign w:val="bottom"/>
            <w:hideMark/>
          </w:tcPr>
          <w:p w14:paraId="279FFCEA" w14:textId="77777777" w:rsidR="00B56301" w:rsidRPr="0034391E" w:rsidRDefault="00B56301" w:rsidP="00B37B65">
            <w:pPr>
              <w:jc w:val="right"/>
              <w:rPr>
                <w:rFonts w:asciiTheme="minorHAnsi" w:hAnsiTheme="minorHAnsi"/>
                <w:sz w:val="16"/>
                <w:szCs w:val="16"/>
              </w:rPr>
            </w:pPr>
            <w:r w:rsidRPr="0034391E">
              <w:rPr>
                <w:sz w:val="16"/>
                <w:szCs w:val="16"/>
              </w:rPr>
              <w:t>NO</w:t>
            </w:r>
          </w:p>
        </w:tc>
        <w:tc>
          <w:tcPr>
            <w:tcW w:w="1747" w:type="dxa"/>
            <w:tcBorders>
              <w:top w:val="nil"/>
              <w:left w:val="nil"/>
              <w:bottom w:val="single" w:sz="4" w:space="0" w:color="auto"/>
              <w:right w:val="single" w:sz="4" w:space="0" w:color="auto"/>
            </w:tcBorders>
            <w:shd w:val="clear" w:color="000000" w:fill="CCFFFF"/>
            <w:noWrap/>
            <w:vAlign w:val="bottom"/>
            <w:hideMark/>
          </w:tcPr>
          <w:p w14:paraId="3FB66683" w14:textId="77777777" w:rsidR="00B56301" w:rsidRPr="0034391E" w:rsidRDefault="00B56301" w:rsidP="00B37B65">
            <w:pPr>
              <w:jc w:val="right"/>
              <w:rPr>
                <w:rFonts w:asciiTheme="minorHAnsi" w:hAnsiTheme="minorHAnsi"/>
                <w:sz w:val="16"/>
                <w:szCs w:val="16"/>
              </w:rPr>
            </w:pPr>
            <w:r w:rsidRPr="0034391E">
              <w:rPr>
                <w:sz w:val="16"/>
                <w:szCs w:val="16"/>
              </w:rPr>
              <w:t>0,00</w:t>
            </w:r>
          </w:p>
        </w:tc>
      </w:tr>
      <w:tr w:rsidR="00B56301" w:rsidRPr="00D85A26" w14:paraId="004931A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vAlign w:val="center"/>
            <w:hideMark/>
          </w:tcPr>
          <w:p w14:paraId="12C6E617" w14:textId="3240F793"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without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3" w:type="dxa"/>
            <w:tcBorders>
              <w:top w:val="nil"/>
              <w:left w:val="nil"/>
              <w:bottom w:val="single" w:sz="4" w:space="0" w:color="auto"/>
              <w:right w:val="single" w:sz="4" w:space="0" w:color="auto"/>
            </w:tcBorders>
            <w:shd w:val="clear" w:color="000000" w:fill="CCFFFF"/>
            <w:noWrap/>
            <w:vAlign w:val="bottom"/>
            <w:hideMark/>
          </w:tcPr>
          <w:p w14:paraId="7375C9A2" w14:textId="77777777" w:rsidR="00B56301" w:rsidRPr="0034391E" w:rsidRDefault="00B56301" w:rsidP="00B37B65">
            <w:pPr>
              <w:jc w:val="right"/>
              <w:rPr>
                <w:rFonts w:asciiTheme="minorHAnsi" w:hAnsiTheme="minorHAnsi"/>
                <w:sz w:val="16"/>
                <w:szCs w:val="16"/>
              </w:rPr>
            </w:pPr>
            <w:r w:rsidRPr="0034391E">
              <w:rPr>
                <w:sz w:val="16"/>
                <w:szCs w:val="16"/>
              </w:rPr>
              <w:t>127,76</w:t>
            </w:r>
          </w:p>
        </w:tc>
        <w:tc>
          <w:tcPr>
            <w:tcW w:w="993" w:type="dxa"/>
            <w:tcBorders>
              <w:top w:val="nil"/>
              <w:left w:val="nil"/>
              <w:bottom w:val="single" w:sz="4" w:space="0" w:color="auto"/>
              <w:right w:val="single" w:sz="4" w:space="0" w:color="auto"/>
            </w:tcBorders>
            <w:shd w:val="clear" w:color="000000" w:fill="CCFFFF"/>
            <w:noWrap/>
            <w:vAlign w:val="bottom"/>
            <w:hideMark/>
          </w:tcPr>
          <w:p w14:paraId="08C53E6C" w14:textId="77777777" w:rsidR="00B56301" w:rsidRPr="0034391E" w:rsidRDefault="00B56301" w:rsidP="00B37B65">
            <w:pPr>
              <w:jc w:val="right"/>
              <w:rPr>
                <w:rFonts w:asciiTheme="minorHAnsi" w:hAnsiTheme="minorHAnsi"/>
                <w:sz w:val="16"/>
                <w:szCs w:val="16"/>
              </w:rPr>
            </w:pPr>
            <w:r w:rsidRPr="0034391E">
              <w:rPr>
                <w:sz w:val="16"/>
                <w:szCs w:val="16"/>
              </w:rPr>
              <w:t>121,80</w:t>
            </w:r>
          </w:p>
        </w:tc>
        <w:tc>
          <w:tcPr>
            <w:tcW w:w="1747" w:type="dxa"/>
            <w:tcBorders>
              <w:top w:val="nil"/>
              <w:left w:val="nil"/>
              <w:bottom w:val="single" w:sz="4" w:space="0" w:color="auto"/>
              <w:right w:val="single" w:sz="4" w:space="0" w:color="auto"/>
            </w:tcBorders>
            <w:shd w:val="clear" w:color="000000" w:fill="CCFFFF"/>
            <w:noWrap/>
            <w:vAlign w:val="bottom"/>
            <w:hideMark/>
          </w:tcPr>
          <w:p w14:paraId="11F85E60" w14:textId="77777777" w:rsidR="00B56301" w:rsidRPr="0034391E" w:rsidRDefault="00B56301" w:rsidP="00B37B65">
            <w:pPr>
              <w:jc w:val="right"/>
              <w:rPr>
                <w:rFonts w:asciiTheme="minorHAnsi" w:hAnsiTheme="minorHAnsi"/>
                <w:sz w:val="16"/>
                <w:szCs w:val="16"/>
              </w:rPr>
            </w:pPr>
            <w:r w:rsidRPr="0034391E">
              <w:rPr>
                <w:sz w:val="16"/>
                <w:szCs w:val="16"/>
              </w:rPr>
              <w:t>-43,92</w:t>
            </w:r>
          </w:p>
        </w:tc>
      </w:tr>
      <w:tr w:rsidR="00B56301" w:rsidRPr="00D85A26" w14:paraId="70C61534" w14:textId="77777777" w:rsidTr="0034391E">
        <w:trPr>
          <w:trHeight w:val="68"/>
          <w:jc w:val="center"/>
        </w:trPr>
        <w:tc>
          <w:tcPr>
            <w:tcW w:w="3802" w:type="dxa"/>
            <w:tcBorders>
              <w:top w:val="single" w:sz="4" w:space="0" w:color="auto"/>
              <w:left w:val="single" w:sz="4" w:space="0" w:color="auto"/>
              <w:bottom w:val="nil"/>
              <w:right w:val="single" w:sz="4" w:space="0" w:color="auto"/>
            </w:tcBorders>
            <w:shd w:val="clear" w:color="000000" w:fill="CCFFFF"/>
            <w:vAlign w:val="center"/>
            <w:hideMark/>
          </w:tcPr>
          <w:p w14:paraId="13020CDD" w14:textId="50E56F88"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 xml:space="preserve">Total direct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 xml:space="preserve">emissions with </w:t>
            </w:r>
            <w:r w:rsidR="00F80CAB" w:rsidRPr="0034391E">
              <w:rPr>
                <w:sz w:val="16"/>
                <w:szCs w:val="16"/>
                <w:lang w:val="en-GB"/>
              </w:rPr>
              <w:t>N</w:t>
            </w:r>
            <w:r w:rsidR="00F80CAB" w:rsidRPr="0034391E">
              <w:rPr>
                <w:sz w:val="16"/>
                <w:szCs w:val="16"/>
                <w:vertAlign w:val="subscript"/>
                <w:lang w:val="en-GB"/>
              </w:rPr>
              <w:t>2</w:t>
            </w:r>
            <w:r w:rsidR="00F80CAB" w:rsidRPr="0034391E">
              <w:rPr>
                <w:sz w:val="16"/>
                <w:szCs w:val="16"/>
                <w:lang w:val="en-GB"/>
              </w:rPr>
              <w:t xml:space="preserve">O </w:t>
            </w:r>
            <w:r w:rsidRPr="0034391E">
              <w:rPr>
                <w:rFonts w:asciiTheme="minorHAnsi" w:hAnsiTheme="minorHAnsi"/>
                <w:b/>
                <w:bCs/>
                <w:sz w:val="16"/>
                <w:szCs w:val="16"/>
                <w:lang w:val="en-GB"/>
              </w:rPr>
              <w:t>from LULUCF</w:t>
            </w:r>
          </w:p>
        </w:tc>
        <w:tc>
          <w:tcPr>
            <w:tcW w:w="993" w:type="dxa"/>
            <w:tcBorders>
              <w:top w:val="nil"/>
              <w:left w:val="single" w:sz="4" w:space="0" w:color="auto"/>
              <w:bottom w:val="single" w:sz="4" w:space="0" w:color="auto"/>
              <w:right w:val="single" w:sz="4" w:space="0" w:color="auto"/>
            </w:tcBorders>
            <w:shd w:val="clear" w:color="000000" w:fill="CCFFFF"/>
            <w:noWrap/>
            <w:vAlign w:val="bottom"/>
            <w:hideMark/>
          </w:tcPr>
          <w:p w14:paraId="50B43B2D" w14:textId="77777777" w:rsidR="00B56301" w:rsidRPr="0034391E" w:rsidRDefault="00B56301" w:rsidP="00B37B65">
            <w:pPr>
              <w:jc w:val="right"/>
              <w:rPr>
                <w:rFonts w:asciiTheme="minorHAnsi" w:hAnsiTheme="minorHAnsi"/>
                <w:sz w:val="16"/>
                <w:szCs w:val="16"/>
              </w:rPr>
            </w:pPr>
            <w:r w:rsidRPr="0034391E">
              <w:rPr>
                <w:sz w:val="16"/>
                <w:szCs w:val="16"/>
              </w:rPr>
              <w:t>137,38</w:t>
            </w:r>
          </w:p>
        </w:tc>
        <w:tc>
          <w:tcPr>
            <w:tcW w:w="993" w:type="dxa"/>
            <w:tcBorders>
              <w:top w:val="nil"/>
              <w:left w:val="nil"/>
              <w:bottom w:val="single" w:sz="4" w:space="0" w:color="auto"/>
              <w:right w:val="single" w:sz="4" w:space="0" w:color="auto"/>
            </w:tcBorders>
            <w:shd w:val="clear" w:color="000000" w:fill="CCFFFF"/>
            <w:noWrap/>
            <w:vAlign w:val="bottom"/>
            <w:hideMark/>
          </w:tcPr>
          <w:p w14:paraId="2D4EFABB" w14:textId="77777777" w:rsidR="00B56301" w:rsidRPr="0034391E" w:rsidRDefault="00B56301" w:rsidP="00B37B65">
            <w:pPr>
              <w:jc w:val="right"/>
              <w:rPr>
                <w:rFonts w:asciiTheme="minorHAnsi" w:hAnsiTheme="minorHAnsi"/>
                <w:sz w:val="16"/>
                <w:szCs w:val="16"/>
              </w:rPr>
            </w:pPr>
            <w:r w:rsidRPr="0034391E">
              <w:rPr>
                <w:sz w:val="16"/>
                <w:szCs w:val="16"/>
              </w:rPr>
              <w:t>131,37</w:t>
            </w:r>
          </w:p>
        </w:tc>
        <w:tc>
          <w:tcPr>
            <w:tcW w:w="1747" w:type="dxa"/>
            <w:tcBorders>
              <w:top w:val="nil"/>
              <w:left w:val="nil"/>
              <w:bottom w:val="single" w:sz="4" w:space="0" w:color="auto"/>
              <w:right w:val="single" w:sz="4" w:space="0" w:color="auto"/>
            </w:tcBorders>
            <w:shd w:val="clear" w:color="000000" w:fill="CCFFFF"/>
            <w:noWrap/>
            <w:vAlign w:val="bottom"/>
            <w:hideMark/>
          </w:tcPr>
          <w:p w14:paraId="49F5ABA1" w14:textId="77777777" w:rsidR="00B56301" w:rsidRPr="0034391E" w:rsidRDefault="00B56301" w:rsidP="00B37B65">
            <w:pPr>
              <w:jc w:val="right"/>
              <w:rPr>
                <w:rFonts w:asciiTheme="minorHAnsi" w:hAnsiTheme="minorHAnsi"/>
                <w:sz w:val="16"/>
                <w:szCs w:val="16"/>
              </w:rPr>
            </w:pPr>
            <w:r w:rsidRPr="0034391E">
              <w:rPr>
                <w:sz w:val="16"/>
                <w:szCs w:val="16"/>
              </w:rPr>
              <w:t>-42,39</w:t>
            </w:r>
          </w:p>
        </w:tc>
      </w:tr>
      <w:tr w:rsidR="00B56301" w:rsidRPr="00D85A26" w14:paraId="2E1051E2"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A28644C"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Memo items:</w:t>
            </w:r>
            <w:r w:rsidRPr="0034391E">
              <w:rPr>
                <w:rFonts w:asciiTheme="minorHAnsi" w:hAnsiTheme="minorHAnsi"/>
                <w:b/>
                <w:bCs/>
                <w:sz w:val="16"/>
                <w:szCs w:val="16"/>
                <w:vertAlign w:val="superscript"/>
              </w:rPr>
              <w:t xml:space="preserve"> </w:t>
            </w:r>
          </w:p>
        </w:tc>
        <w:tc>
          <w:tcPr>
            <w:tcW w:w="993" w:type="dxa"/>
            <w:tcBorders>
              <w:top w:val="nil"/>
              <w:left w:val="nil"/>
              <w:bottom w:val="single" w:sz="4" w:space="0" w:color="auto"/>
              <w:right w:val="single" w:sz="4" w:space="0" w:color="auto"/>
            </w:tcBorders>
            <w:shd w:val="clear" w:color="000000" w:fill="969696"/>
            <w:noWrap/>
            <w:vAlign w:val="bottom"/>
            <w:hideMark/>
          </w:tcPr>
          <w:p w14:paraId="7A9CB3EA"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68AEFF08"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C7ACCD2"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30479DD4"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3220A6B"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International bunkers</w:t>
            </w:r>
          </w:p>
        </w:tc>
        <w:tc>
          <w:tcPr>
            <w:tcW w:w="993" w:type="dxa"/>
            <w:tcBorders>
              <w:top w:val="nil"/>
              <w:left w:val="nil"/>
              <w:bottom w:val="single" w:sz="4" w:space="0" w:color="auto"/>
              <w:right w:val="single" w:sz="4" w:space="0" w:color="auto"/>
            </w:tcBorders>
            <w:shd w:val="clear" w:color="000000" w:fill="CCFFFF"/>
            <w:noWrap/>
            <w:vAlign w:val="bottom"/>
            <w:hideMark/>
          </w:tcPr>
          <w:p w14:paraId="0BF67102" w14:textId="77777777" w:rsidR="00B56301" w:rsidRPr="0034391E" w:rsidRDefault="00B56301" w:rsidP="00B37B65">
            <w:pPr>
              <w:jc w:val="right"/>
              <w:rPr>
                <w:rFonts w:asciiTheme="minorHAnsi" w:hAnsiTheme="minorHAnsi"/>
                <w:sz w:val="16"/>
                <w:szCs w:val="16"/>
              </w:rPr>
            </w:pPr>
            <w:r w:rsidRPr="0034391E">
              <w:rPr>
                <w:sz w:val="16"/>
                <w:szCs w:val="16"/>
              </w:rPr>
              <w:t>0,66</w:t>
            </w:r>
          </w:p>
        </w:tc>
        <w:tc>
          <w:tcPr>
            <w:tcW w:w="993" w:type="dxa"/>
            <w:tcBorders>
              <w:top w:val="nil"/>
              <w:left w:val="nil"/>
              <w:bottom w:val="single" w:sz="4" w:space="0" w:color="auto"/>
              <w:right w:val="single" w:sz="4" w:space="0" w:color="auto"/>
            </w:tcBorders>
            <w:shd w:val="clear" w:color="000000" w:fill="CCFFFF"/>
            <w:noWrap/>
            <w:vAlign w:val="bottom"/>
            <w:hideMark/>
          </w:tcPr>
          <w:p w14:paraId="085A0DCE" w14:textId="77777777" w:rsidR="00B56301" w:rsidRPr="0034391E" w:rsidRDefault="00B56301" w:rsidP="00B37B65">
            <w:pPr>
              <w:jc w:val="right"/>
              <w:rPr>
                <w:rFonts w:asciiTheme="minorHAnsi" w:hAnsiTheme="minorHAnsi"/>
                <w:sz w:val="16"/>
                <w:szCs w:val="16"/>
              </w:rPr>
            </w:pPr>
            <w:r w:rsidRPr="0034391E">
              <w:rPr>
                <w:sz w:val="16"/>
                <w:szCs w:val="16"/>
              </w:rPr>
              <w:t>0,30</w:t>
            </w:r>
          </w:p>
        </w:tc>
        <w:tc>
          <w:tcPr>
            <w:tcW w:w="1747" w:type="dxa"/>
            <w:tcBorders>
              <w:top w:val="nil"/>
              <w:left w:val="nil"/>
              <w:bottom w:val="single" w:sz="4" w:space="0" w:color="auto"/>
              <w:right w:val="single" w:sz="4" w:space="0" w:color="auto"/>
            </w:tcBorders>
            <w:shd w:val="clear" w:color="000000" w:fill="CCFFFF"/>
            <w:noWrap/>
            <w:vAlign w:val="bottom"/>
            <w:hideMark/>
          </w:tcPr>
          <w:p w14:paraId="01D05488" w14:textId="77777777" w:rsidR="00B56301" w:rsidRPr="0034391E" w:rsidRDefault="00B56301" w:rsidP="00B37B65">
            <w:pPr>
              <w:jc w:val="right"/>
              <w:rPr>
                <w:rFonts w:asciiTheme="minorHAnsi" w:hAnsiTheme="minorHAnsi"/>
                <w:sz w:val="16"/>
                <w:szCs w:val="16"/>
              </w:rPr>
            </w:pPr>
            <w:r w:rsidRPr="0034391E">
              <w:rPr>
                <w:sz w:val="16"/>
                <w:szCs w:val="16"/>
              </w:rPr>
              <w:t>-32,54</w:t>
            </w:r>
          </w:p>
        </w:tc>
      </w:tr>
      <w:tr w:rsidR="00B56301" w:rsidRPr="00D85A26" w14:paraId="0E67FB50"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67E9F3D"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Aviation</w:t>
            </w:r>
          </w:p>
        </w:tc>
        <w:tc>
          <w:tcPr>
            <w:tcW w:w="993" w:type="dxa"/>
            <w:tcBorders>
              <w:top w:val="nil"/>
              <w:left w:val="nil"/>
              <w:bottom w:val="single" w:sz="4" w:space="0" w:color="auto"/>
              <w:right w:val="single" w:sz="4" w:space="0" w:color="auto"/>
            </w:tcBorders>
            <w:shd w:val="clear" w:color="000000" w:fill="FFFFFF"/>
            <w:noWrap/>
            <w:vAlign w:val="bottom"/>
            <w:hideMark/>
          </w:tcPr>
          <w:p w14:paraId="02AFD41C" w14:textId="77777777" w:rsidR="00B56301" w:rsidRPr="0034391E" w:rsidRDefault="00B56301" w:rsidP="00B37B65">
            <w:pPr>
              <w:jc w:val="right"/>
              <w:rPr>
                <w:rFonts w:asciiTheme="minorHAnsi" w:hAnsiTheme="minorHAnsi"/>
                <w:sz w:val="16"/>
                <w:szCs w:val="16"/>
              </w:rPr>
            </w:pPr>
            <w:r w:rsidRPr="0034391E">
              <w:rPr>
                <w:sz w:val="16"/>
                <w:szCs w:val="16"/>
              </w:rPr>
              <w:t>0,52</w:t>
            </w:r>
          </w:p>
        </w:tc>
        <w:tc>
          <w:tcPr>
            <w:tcW w:w="993" w:type="dxa"/>
            <w:tcBorders>
              <w:top w:val="nil"/>
              <w:left w:val="nil"/>
              <w:bottom w:val="single" w:sz="4" w:space="0" w:color="auto"/>
              <w:right w:val="single" w:sz="4" w:space="0" w:color="auto"/>
            </w:tcBorders>
            <w:shd w:val="clear" w:color="000000" w:fill="FFFFFF"/>
            <w:noWrap/>
            <w:vAlign w:val="bottom"/>
            <w:hideMark/>
          </w:tcPr>
          <w:p w14:paraId="2E68EDB2" w14:textId="77777777" w:rsidR="00B56301" w:rsidRPr="0034391E" w:rsidRDefault="00B56301" w:rsidP="00B37B65">
            <w:pPr>
              <w:jc w:val="right"/>
              <w:rPr>
                <w:rFonts w:asciiTheme="minorHAnsi" w:hAnsiTheme="minorHAnsi"/>
                <w:sz w:val="16"/>
                <w:szCs w:val="16"/>
              </w:rPr>
            </w:pPr>
            <w:r w:rsidRPr="0034391E">
              <w:rPr>
                <w:sz w:val="16"/>
                <w:szCs w:val="16"/>
              </w:rPr>
              <w:t>0,22</w:t>
            </w:r>
          </w:p>
        </w:tc>
        <w:tc>
          <w:tcPr>
            <w:tcW w:w="1747" w:type="dxa"/>
            <w:tcBorders>
              <w:top w:val="nil"/>
              <w:left w:val="nil"/>
              <w:bottom w:val="single" w:sz="4" w:space="0" w:color="auto"/>
              <w:right w:val="single" w:sz="4" w:space="0" w:color="auto"/>
            </w:tcBorders>
            <w:shd w:val="clear" w:color="000000" w:fill="FFFFFF"/>
            <w:noWrap/>
            <w:vAlign w:val="bottom"/>
            <w:hideMark/>
          </w:tcPr>
          <w:p w14:paraId="0A739000" w14:textId="77777777" w:rsidR="00B56301" w:rsidRPr="0034391E" w:rsidRDefault="00B56301" w:rsidP="00B37B65">
            <w:pPr>
              <w:jc w:val="right"/>
              <w:rPr>
                <w:rFonts w:asciiTheme="minorHAnsi" w:hAnsiTheme="minorHAnsi"/>
                <w:sz w:val="16"/>
                <w:szCs w:val="16"/>
              </w:rPr>
            </w:pPr>
            <w:r w:rsidRPr="0034391E">
              <w:rPr>
                <w:sz w:val="16"/>
                <w:szCs w:val="16"/>
              </w:rPr>
              <w:t>-8,62</w:t>
            </w:r>
          </w:p>
        </w:tc>
      </w:tr>
      <w:tr w:rsidR="00B56301" w:rsidRPr="00D85A26" w14:paraId="19992805"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4620DF17" w14:textId="77777777" w:rsidR="00B56301" w:rsidRPr="0034391E" w:rsidRDefault="00B56301" w:rsidP="00B37B65">
            <w:pPr>
              <w:jc w:val="left"/>
              <w:rPr>
                <w:rFonts w:asciiTheme="minorHAnsi" w:hAnsiTheme="minorHAnsi"/>
                <w:sz w:val="16"/>
                <w:szCs w:val="16"/>
              </w:rPr>
            </w:pPr>
            <w:r w:rsidRPr="0034391E">
              <w:rPr>
                <w:rFonts w:asciiTheme="minorHAnsi" w:hAnsiTheme="minorHAnsi"/>
                <w:sz w:val="16"/>
                <w:szCs w:val="16"/>
              </w:rPr>
              <w:t>Navigation</w:t>
            </w:r>
          </w:p>
        </w:tc>
        <w:tc>
          <w:tcPr>
            <w:tcW w:w="993" w:type="dxa"/>
            <w:tcBorders>
              <w:top w:val="nil"/>
              <w:left w:val="nil"/>
              <w:bottom w:val="single" w:sz="4" w:space="0" w:color="auto"/>
              <w:right w:val="single" w:sz="4" w:space="0" w:color="auto"/>
            </w:tcBorders>
            <w:shd w:val="clear" w:color="000000" w:fill="FFFFFF"/>
            <w:noWrap/>
            <w:vAlign w:val="bottom"/>
            <w:hideMark/>
          </w:tcPr>
          <w:p w14:paraId="761B4394" w14:textId="77777777" w:rsidR="00B56301" w:rsidRPr="0034391E" w:rsidRDefault="00B56301" w:rsidP="00B37B65">
            <w:pPr>
              <w:jc w:val="right"/>
              <w:rPr>
                <w:rFonts w:asciiTheme="minorHAnsi" w:hAnsiTheme="minorHAnsi"/>
                <w:sz w:val="16"/>
                <w:szCs w:val="16"/>
              </w:rPr>
            </w:pPr>
            <w:r w:rsidRPr="0034391E">
              <w:rPr>
                <w:sz w:val="16"/>
                <w:szCs w:val="16"/>
              </w:rPr>
              <w:t>0,14</w:t>
            </w:r>
          </w:p>
        </w:tc>
        <w:tc>
          <w:tcPr>
            <w:tcW w:w="993" w:type="dxa"/>
            <w:tcBorders>
              <w:top w:val="nil"/>
              <w:left w:val="nil"/>
              <w:bottom w:val="single" w:sz="4" w:space="0" w:color="auto"/>
              <w:right w:val="single" w:sz="4" w:space="0" w:color="auto"/>
            </w:tcBorders>
            <w:shd w:val="clear" w:color="000000" w:fill="FFFFFF"/>
            <w:noWrap/>
            <w:vAlign w:val="bottom"/>
            <w:hideMark/>
          </w:tcPr>
          <w:p w14:paraId="0EFC76E2" w14:textId="77777777" w:rsidR="00B56301" w:rsidRPr="0034391E" w:rsidRDefault="00B56301" w:rsidP="00B37B65">
            <w:pPr>
              <w:jc w:val="right"/>
              <w:rPr>
                <w:rFonts w:asciiTheme="minorHAnsi" w:hAnsiTheme="minorHAnsi"/>
                <w:sz w:val="16"/>
                <w:szCs w:val="16"/>
              </w:rPr>
            </w:pPr>
            <w:r w:rsidRPr="0034391E">
              <w:rPr>
                <w:sz w:val="16"/>
                <w:szCs w:val="16"/>
              </w:rPr>
              <w:t>0,08</w:t>
            </w:r>
          </w:p>
        </w:tc>
        <w:tc>
          <w:tcPr>
            <w:tcW w:w="1747" w:type="dxa"/>
            <w:tcBorders>
              <w:top w:val="nil"/>
              <w:left w:val="nil"/>
              <w:bottom w:val="single" w:sz="4" w:space="0" w:color="auto"/>
              <w:right w:val="single" w:sz="4" w:space="0" w:color="auto"/>
            </w:tcBorders>
            <w:shd w:val="clear" w:color="000000" w:fill="FFFFFF"/>
            <w:noWrap/>
            <w:vAlign w:val="bottom"/>
            <w:hideMark/>
          </w:tcPr>
          <w:p w14:paraId="06698828" w14:textId="77777777" w:rsidR="00B56301" w:rsidRPr="0034391E" w:rsidRDefault="00B56301" w:rsidP="00B37B65">
            <w:pPr>
              <w:jc w:val="right"/>
              <w:rPr>
                <w:rFonts w:asciiTheme="minorHAnsi" w:hAnsiTheme="minorHAnsi"/>
                <w:sz w:val="16"/>
                <w:szCs w:val="16"/>
              </w:rPr>
            </w:pPr>
            <w:r w:rsidRPr="0034391E">
              <w:rPr>
                <w:sz w:val="16"/>
                <w:szCs w:val="16"/>
              </w:rPr>
              <w:t>-60,65</w:t>
            </w:r>
          </w:p>
        </w:tc>
      </w:tr>
      <w:tr w:rsidR="00B56301" w:rsidRPr="00D85A26" w14:paraId="1144403C"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23A11837" w14:textId="7777777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Multilateral operations</w:t>
            </w:r>
          </w:p>
        </w:tc>
        <w:tc>
          <w:tcPr>
            <w:tcW w:w="993" w:type="dxa"/>
            <w:tcBorders>
              <w:top w:val="nil"/>
              <w:left w:val="nil"/>
              <w:bottom w:val="single" w:sz="4" w:space="0" w:color="auto"/>
              <w:right w:val="single" w:sz="4" w:space="0" w:color="auto"/>
            </w:tcBorders>
            <w:shd w:val="clear" w:color="000000" w:fill="FFFFFF"/>
            <w:noWrap/>
            <w:vAlign w:val="bottom"/>
            <w:hideMark/>
          </w:tcPr>
          <w:p w14:paraId="762ACBFF"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993" w:type="dxa"/>
            <w:tcBorders>
              <w:top w:val="nil"/>
              <w:left w:val="nil"/>
              <w:bottom w:val="single" w:sz="4" w:space="0" w:color="auto"/>
              <w:right w:val="single" w:sz="4" w:space="0" w:color="auto"/>
            </w:tcBorders>
            <w:shd w:val="clear" w:color="000000" w:fill="FFFFFF"/>
            <w:noWrap/>
            <w:vAlign w:val="bottom"/>
            <w:hideMark/>
          </w:tcPr>
          <w:p w14:paraId="62E0E38E" w14:textId="77777777" w:rsidR="00B56301" w:rsidRPr="0034391E" w:rsidRDefault="00B56301" w:rsidP="00B37B65">
            <w:pPr>
              <w:jc w:val="right"/>
              <w:rPr>
                <w:rFonts w:asciiTheme="minorHAnsi" w:hAnsiTheme="minorHAnsi"/>
                <w:sz w:val="16"/>
                <w:szCs w:val="16"/>
              </w:rPr>
            </w:pPr>
            <w:r w:rsidRPr="0034391E">
              <w:rPr>
                <w:sz w:val="16"/>
                <w:szCs w:val="16"/>
              </w:rPr>
              <w:t>NE</w:t>
            </w:r>
          </w:p>
        </w:tc>
        <w:tc>
          <w:tcPr>
            <w:tcW w:w="1747" w:type="dxa"/>
            <w:tcBorders>
              <w:top w:val="nil"/>
              <w:left w:val="nil"/>
              <w:bottom w:val="single" w:sz="4" w:space="0" w:color="auto"/>
              <w:right w:val="single" w:sz="4" w:space="0" w:color="auto"/>
            </w:tcBorders>
            <w:shd w:val="clear" w:color="000000" w:fill="FFFFFF"/>
            <w:noWrap/>
            <w:vAlign w:val="bottom"/>
            <w:hideMark/>
          </w:tcPr>
          <w:p w14:paraId="6886AA68" w14:textId="77777777" w:rsidR="00B56301" w:rsidRPr="0034391E" w:rsidRDefault="00B56301" w:rsidP="00B37B65">
            <w:pPr>
              <w:jc w:val="right"/>
              <w:rPr>
                <w:rFonts w:asciiTheme="minorHAnsi" w:hAnsiTheme="minorHAnsi"/>
                <w:sz w:val="16"/>
                <w:szCs w:val="16"/>
              </w:rPr>
            </w:pPr>
            <w:r w:rsidRPr="0034391E">
              <w:rPr>
                <w:sz w:val="16"/>
                <w:szCs w:val="16"/>
              </w:rPr>
              <w:t>0,00</w:t>
            </w:r>
          </w:p>
        </w:tc>
      </w:tr>
      <w:tr w:rsidR="00B56301" w:rsidRPr="00D85A26" w14:paraId="30581842"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0260F938" w14:textId="1F38137E"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emissions from biomass</w:t>
            </w:r>
          </w:p>
        </w:tc>
        <w:tc>
          <w:tcPr>
            <w:tcW w:w="993" w:type="dxa"/>
            <w:tcBorders>
              <w:top w:val="nil"/>
              <w:left w:val="nil"/>
              <w:bottom w:val="single" w:sz="4" w:space="0" w:color="auto"/>
              <w:right w:val="single" w:sz="4" w:space="0" w:color="auto"/>
            </w:tcBorders>
            <w:shd w:val="clear" w:color="000000" w:fill="969696"/>
            <w:noWrap/>
            <w:vAlign w:val="bottom"/>
            <w:hideMark/>
          </w:tcPr>
          <w:p w14:paraId="5D458E6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074833F"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20DBEE77"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D85A26" w14:paraId="421CCDA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3EA76B53" w14:textId="408C9D71" w:rsidR="00B56301" w:rsidRPr="0034391E" w:rsidRDefault="007F09F7" w:rsidP="00B37B65">
            <w:pPr>
              <w:jc w:val="left"/>
              <w:rPr>
                <w:rFonts w:asciiTheme="minorHAnsi" w:hAnsiTheme="minorHAnsi"/>
                <w:b/>
                <w:bCs/>
                <w:sz w:val="16"/>
                <w:szCs w:val="16"/>
              </w:rPr>
            </w:pPr>
            <w:r w:rsidRPr="0034391E">
              <w:rPr>
                <w:sz w:val="16"/>
                <w:szCs w:val="16"/>
              </w:rPr>
              <w:t>CO</w:t>
            </w:r>
            <w:r w:rsidRPr="0034391E">
              <w:rPr>
                <w:sz w:val="16"/>
                <w:szCs w:val="16"/>
                <w:vertAlign w:val="subscript"/>
              </w:rPr>
              <w:t>2</w:t>
            </w:r>
            <w:r w:rsidR="00B56301" w:rsidRPr="0034391E">
              <w:rPr>
                <w:rFonts w:asciiTheme="minorHAnsi" w:hAnsiTheme="minorHAnsi"/>
                <w:b/>
                <w:bCs/>
                <w:sz w:val="16"/>
                <w:szCs w:val="16"/>
              </w:rPr>
              <w:t xml:space="preserve"> captured</w:t>
            </w:r>
          </w:p>
        </w:tc>
        <w:tc>
          <w:tcPr>
            <w:tcW w:w="993" w:type="dxa"/>
            <w:tcBorders>
              <w:top w:val="nil"/>
              <w:left w:val="nil"/>
              <w:bottom w:val="single" w:sz="4" w:space="0" w:color="auto"/>
              <w:right w:val="single" w:sz="4" w:space="0" w:color="auto"/>
            </w:tcBorders>
            <w:shd w:val="clear" w:color="000000" w:fill="969696"/>
            <w:noWrap/>
            <w:vAlign w:val="bottom"/>
            <w:hideMark/>
          </w:tcPr>
          <w:p w14:paraId="37CD36B4"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56B87247"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7D04F44B" w14:textId="77777777" w:rsidR="00B56301" w:rsidRPr="0034391E" w:rsidRDefault="00B56301" w:rsidP="00B37B65">
            <w:pPr>
              <w:jc w:val="right"/>
              <w:rPr>
                <w:rFonts w:asciiTheme="minorHAnsi" w:hAnsiTheme="minorHAnsi"/>
                <w:sz w:val="16"/>
                <w:szCs w:val="16"/>
              </w:rPr>
            </w:pPr>
            <w:r w:rsidRPr="0034391E">
              <w:rPr>
                <w:sz w:val="16"/>
                <w:szCs w:val="16"/>
              </w:rPr>
              <w:t> </w:t>
            </w:r>
          </w:p>
        </w:tc>
      </w:tr>
      <w:tr w:rsidR="00B56301" w:rsidRPr="00833C38" w14:paraId="13FEF88B" w14:textId="77777777" w:rsidTr="0034391E">
        <w:trPr>
          <w:trHeight w:val="68"/>
          <w:jc w:val="center"/>
        </w:trPr>
        <w:tc>
          <w:tcPr>
            <w:tcW w:w="3802" w:type="dxa"/>
            <w:tcBorders>
              <w:top w:val="nil"/>
              <w:left w:val="single" w:sz="4" w:space="0" w:color="auto"/>
              <w:bottom w:val="single" w:sz="4" w:space="0" w:color="auto"/>
              <w:right w:val="single" w:sz="4" w:space="0" w:color="auto"/>
            </w:tcBorders>
            <w:shd w:val="clear" w:color="000000" w:fill="CCFFFF"/>
            <w:noWrap/>
            <w:vAlign w:val="center"/>
            <w:hideMark/>
          </w:tcPr>
          <w:p w14:paraId="660AECAA" w14:textId="77777777" w:rsidR="00B56301" w:rsidRPr="0034391E" w:rsidRDefault="00B56301" w:rsidP="00B37B65">
            <w:pPr>
              <w:jc w:val="left"/>
              <w:rPr>
                <w:rFonts w:asciiTheme="minorHAnsi" w:hAnsiTheme="minorHAnsi"/>
                <w:b/>
                <w:bCs/>
                <w:sz w:val="16"/>
                <w:szCs w:val="16"/>
                <w:lang w:val="en-GB"/>
              </w:rPr>
            </w:pPr>
            <w:r w:rsidRPr="0034391E">
              <w:rPr>
                <w:rFonts w:asciiTheme="minorHAnsi" w:hAnsiTheme="minorHAnsi"/>
                <w:b/>
                <w:bCs/>
                <w:sz w:val="16"/>
                <w:szCs w:val="16"/>
                <w:lang w:val="en-GB"/>
              </w:rPr>
              <w:t>Long-term storage of C in waste disposal sites</w:t>
            </w:r>
          </w:p>
        </w:tc>
        <w:tc>
          <w:tcPr>
            <w:tcW w:w="993" w:type="dxa"/>
            <w:tcBorders>
              <w:top w:val="nil"/>
              <w:left w:val="nil"/>
              <w:bottom w:val="single" w:sz="4" w:space="0" w:color="auto"/>
              <w:right w:val="single" w:sz="4" w:space="0" w:color="auto"/>
            </w:tcBorders>
            <w:shd w:val="clear" w:color="000000" w:fill="969696"/>
            <w:noWrap/>
            <w:vAlign w:val="bottom"/>
            <w:hideMark/>
          </w:tcPr>
          <w:p w14:paraId="4C2623E7"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6E3C2F34"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5EBD960" w14:textId="77777777" w:rsidR="00B56301" w:rsidRPr="0034391E" w:rsidRDefault="00B56301" w:rsidP="00B37B65">
            <w:pPr>
              <w:jc w:val="right"/>
              <w:rPr>
                <w:rFonts w:asciiTheme="minorHAnsi" w:hAnsiTheme="minorHAnsi"/>
                <w:sz w:val="16"/>
                <w:szCs w:val="16"/>
                <w:lang w:val="en-GB"/>
              </w:rPr>
            </w:pPr>
            <w:r w:rsidRPr="0034391E">
              <w:rPr>
                <w:sz w:val="16"/>
                <w:szCs w:val="16"/>
                <w:lang w:val="en-GB"/>
              </w:rPr>
              <w:t> </w:t>
            </w:r>
          </w:p>
        </w:tc>
      </w:tr>
      <w:tr w:rsidR="00B56301" w:rsidRPr="00D85A26" w14:paraId="2CABEEDC" w14:textId="77777777" w:rsidTr="0034391E">
        <w:trPr>
          <w:trHeight w:val="68"/>
          <w:jc w:val="center"/>
        </w:trPr>
        <w:tc>
          <w:tcPr>
            <w:tcW w:w="3802" w:type="dxa"/>
            <w:tcBorders>
              <w:top w:val="single" w:sz="4" w:space="0" w:color="auto"/>
              <w:left w:val="single" w:sz="4" w:space="0" w:color="auto"/>
              <w:bottom w:val="nil"/>
              <w:right w:val="single" w:sz="4" w:space="0" w:color="auto"/>
            </w:tcBorders>
            <w:shd w:val="clear" w:color="000000" w:fill="CCFFFF"/>
            <w:noWrap/>
            <w:vAlign w:val="center"/>
            <w:hideMark/>
          </w:tcPr>
          <w:p w14:paraId="3791969B" w14:textId="5E2154D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N</w:t>
            </w:r>
            <w:r w:rsidR="007F09F7" w:rsidRPr="0034391E">
              <w:rPr>
                <w:sz w:val="16"/>
                <w:szCs w:val="16"/>
                <w:vertAlign w:val="subscript"/>
              </w:rPr>
              <w:t>2</w:t>
            </w:r>
            <w:r w:rsidR="007F09F7" w:rsidRPr="0034391E">
              <w:rPr>
                <w:sz w:val="16"/>
                <w:szCs w:val="16"/>
              </w:rPr>
              <w:t xml:space="preserve">O </w:t>
            </w:r>
          </w:p>
        </w:tc>
        <w:tc>
          <w:tcPr>
            <w:tcW w:w="993" w:type="dxa"/>
            <w:tcBorders>
              <w:top w:val="nil"/>
              <w:left w:val="single" w:sz="4" w:space="0" w:color="auto"/>
              <w:bottom w:val="single" w:sz="4" w:space="0" w:color="auto"/>
              <w:right w:val="single" w:sz="4" w:space="0" w:color="auto"/>
            </w:tcBorders>
            <w:shd w:val="clear" w:color="000000" w:fill="FFFFFF"/>
            <w:noWrap/>
            <w:vAlign w:val="bottom"/>
            <w:hideMark/>
          </w:tcPr>
          <w:p w14:paraId="674B954B"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993" w:type="dxa"/>
            <w:tcBorders>
              <w:top w:val="nil"/>
              <w:left w:val="nil"/>
              <w:bottom w:val="single" w:sz="4" w:space="0" w:color="auto"/>
              <w:right w:val="single" w:sz="4" w:space="0" w:color="auto"/>
            </w:tcBorders>
            <w:shd w:val="clear" w:color="000000" w:fill="FFFFFF"/>
            <w:noWrap/>
            <w:vAlign w:val="bottom"/>
            <w:hideMark/>
          </w:tcPr>
          <w:p w14:paraId="59AB480B" w14:textId="77777777" w:rsidR="00B56301" w:rsidRPr="0034391E" w:rsidRDefault="00B56301" w:rsidP="00B37B65">
            <w:pPr>
              <w:jc w:val="right"/>
              <w:rPr>
                <w:rFonts w:asciiTheme="minorHAnsi" w:hAnsiTheme="minorHAnsi"/>
                <w:sz w:val="16"/>
                <w:szCs w:val="16"/>
              </w:rPr>
            </w:pPr>
            <w:r w:rsidRPr="0034391E">
              <w:rPr>
                <w:sz w:val="16"/>
                <w:szCs w:val="16"/>
              </w:rPr>
              <w:t>NO,NE</w:t>
            </w:r>
          </w:p>
        </w:tc>
        <w:tc>
          <w:tcPr>
            <w:tcW w:w="1747" w:type="dxa"/>
            <w:tcBorders>
              <w:top w:val="nil"/>
              <w:left w:val="nil"/>
              <w:bottom w:val="single" w:sz="4" w:space="0" w:color="auto"/>
              <w:right w:val="single" w:sz="4" w:space="0" w:color="auto"/>
            </w:tcBorders>
            <w:shd w:val="clear" w:color="000000" w:fill="FFFFFF"/>
            <w:noWrap/>
            <w:vAlign w:val="bottom"/>
            <w:hideMark/>
          </w:tcPr>
          <w:p w14:paraId="1AF7BA1F" w14:textId="77777777" w:rsidR="00B56301" w:rsidRPr="0034391E" w:rsidRDefault="00B56301" w:rsidP="00B37B65">
            <w:pPr>
              <w:jc w:val="right"/>
              <w:rPr>
                <w:rFonts w:asciiTheme="minorHAnsi" w:hAnsiTheme="minorHAnsi"/>
                <w:sz w:val="16"/>
                <w:szCs w:val="16"/>
              </w:rPr>
            </w:pPr>
            <w:r w:rsidRPr="0034391E">
              <w:rPr>
                <w:sz w:val="16"/>
                <w:szCs w:val="16"/>
              </w:rPr>
              <w:t>0,00</w:t>
            </w:r>
          </w:p>
        </w:tc>
      </w:tr>
      <w:tr w:rsidR="00B56301" w:rsidRPr="00D85A26" w14:paraId="105571D6" w14:textId="77777777" w:rsidTr="0034391E">
        <w:trPr>
          <w:trHeight w:val="68"/>
          <w:jc w:val="center"/>
        </w:trPr>
        <w:tc>
          <w:tcPr>
            <w:tcW w:w="380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AF73F38" w14:textId="01740FD7" w:rsidR="00B56301" w:rsidRPr="0034391E" w:rsidRDefault="00B56301" w:rsidP="00B37B65">
            <w:pPr>
              <w:jc w:val="left"/>
              <w:rPr>
                <w:rFonts w:asciiTheme="minorHAnsi" w:hAnsiTheme="minorHAnsi"/>
                <w:b/>
                <w:bCs/>
                <w:sz w:val="16"/>
                <w:szCs w:val="16"/>
              </w:rPr>
            </w:pPr>
            <w:r w:rsidRPr="0034391E">
              <w:rPr>
                <w:rFonts w:asciiTheme="minorHAnsi" w:hAnsiTheme="minorHAnsi"/>
                <w:b/>
                <w:bCs/>
                <w:sz w:val="16"/>
                <w:szCs w:val="16"/>
              </w:rPr>
              <w:t xml:space="preserve">Indirect </w:t>
            </w:r>
            <w:r w:rsidR="007F09F7" w:rsidRPr="0034391E">
              <w:rPr>
                <w:sz w:val="16"/>
                <w:szCs w:val="16"/>
              </w:rPr>
              <w:t>CO</w:t>
            </w:r>
            <w:r w:rsidR="007F09F7" w:rsidRPr="0034391E">
              <w:rPr>
                <w:sz w:val="16"/>
                <w:szCs w:val="16"/>
                <w:vertAlign w:val="subscript"/>
              </w:rPr>
              <w:t>2</w:t>
            </w:r>
            <w:r w:rsidRPr="0034391E">
              <w:rPr>
                <w:rFonts w:asciiTheme="minorHAnsi" w:hAnsiTheme="minorHAnsi"/>
                <w:b/>
                <w:bCs/>
                <w:sz w:val="16"/>
                <w:szCs w:val="16"/>
                <w:vertAlign w:val="subscript"/>
              </w:rPr>
              <w:t xml:space="preserve"> </w:t>
            </w:r>
            <w:r w:rsidRPr="0034391E">
              <w:rPr>
                <w:rFonts w:asciiTheme="minorHAnsi" w:hAnsiTheme="minorHAnsi"/>
                <w:b/>
                <w:bCs/>
                <w:sz w:val="16"/>
                <w:szCs w:val="16"/>
                <w:vertAlign w:val="superscript"/>
              </w:rPr>
              <w:t>(3)</w:t>
            </w:r>
          </w:p>
        </w:tc>
        <w:tc>
          <w:tcPr>
            <w:tcW w:w="993" w:type="dxa"/>
            <w:tcBorders>
              <w:top w:val="nil"/>
              <w:left w:val="nil"/>
              <w:bottom w:val="single" w:sz="4" w:space="0" w:color="auto"/>
              <w:right w:val="single" w:sz="4" w:space="0" w:color="auto"/>
            </w:tcBorders>
            <w:shd w:val="clear" w:color="000000" w:fill="969696"/>
            <w:noWrap/>
            <w:vAlign w:val="bottom"/>
            <w:hideMark/>
          </w:tcPr>
          <w:p w14:paraId="5A412441"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993" w:type="dxa"/>
            <w:tcBorders>
              <w:top w:val="nil"/>
              <w:left w:val="nil"/>
              <w:bottom w:val="single" w:sz="4" w:space="0" w:color="auto"/>
              <w:right w:val="single" w:sz="4" w:space="0" w:color="auto"/>
            </w:tcBorders>
            <w:shd w:val="clear" w:color="000000" w:fill="969696"/>
            <w:noWrap/>
            <w:vAlign w:val="bottom"/>
            <w:hideMark/>
          </w:tcPr>
          <w:p w14:paraId="1018B472" w14:textId="77777777" w:rsidR="00B56301" w:rsidRPr="0034391E" w:rsidRDefault="00B56301" w:rsidP="00B37B65">
            <w:pPr>
              <w:jc w:val="right"/>
              <w:rPr>
                <w:rFonts w:asciiTheme="minorHAnsi" w:hAnsiTheme="minorHAnsi"/>
                <w:sz w:val="16"/>
                <w:szCs w:val="16"/>
              </w:rPr>
            </w:pPr>
            <w:r w:rsidRPr="0034391E">
              <w:rPr>
                <w:sz w:val="16"/>
                <w:szCs w:val="16"/>
              </w:rPr>
              <w:t> </w:t>
            </w:r>
          </w:p>
        </w:tc>
        <w:tc>
          <w:tcPr>
            <w:tcW w:w="1747" w:type="dxa"/>
            <w:tcBorders>
              <w:top w:val="nil"/>
              <w:left w:val="nil"/>
              <w:bottom w:val="single" w:sz="4" w:space="0" w:color="auto"/>
              <w:right w:val="single" w:sz="4" w:space="0" w:color="auto"/>
            </w:tcBorders>
            <w:shd w:val="clear" w:color="000000" w:fill="969696"/>
            <w:noWrap/>
            <w:vAlign w:val="bottom"/>
            <w:hideMark/>
          </w:tcPr>
          <w:p w14:paraId="1ECF434C" w14:textId="77777777" w:rsidR="00B56301" w:rsidRPr="0034391E" w:rsidRDefault="00B56301" w:rsidP="00B37B65">
            <w:pPr>
              <w:jc w:val="right"/>
              <w:rPr>
                <w:rFonts w:asciiTheme="minorHAnsi" w:hAnsiTheme="minorHAnsi"/>
                <w:sz w:val="16"/>
                <w:szCs w:val="16"/>
              </w:rPr>
            </w:pPr>
            <w:r w:rsidRPr="0034391E">
              <w:rPr>
                <w:sz w:val="16"/>
                <w:szCs w:val="16"/>
              </w:rPr>
              <w:t> </w:t>
            </w:r>
          </w:p>
        </w:tc>
      </w:tr>
    </w:tbl>
    <w:p w14:paraId="38FCCD33" w14:textId="77777777" w:rsidR="00B56301" w:rsidRDefault="00B56301" w:rsidP="00B56301">
      <w:pPr>
        <w:spacing w:line="240" w:lineRule="atLeast"/>
        <w:jc w:val="left"/>
        <w:rPr>
          <w:rFonts w:cs="Arial"/>
        </w:rPr>
        <w:sectPr w:rsidR="00B56301" w:rsidSect="00A8610E">
          <w:pgSz w:w="11906" w:h="16838" w:code="9"/>
          <w:pgMar w:top="1230" w:right="907" w:bottom="1650" w:left="1049" w:header="284" w:footer="284" w:gutter="0"/>
          <w:cols w:space="708"/>
          <w:titlePg/>
          <w:docGrid w:linePitch="360"/>
        </w:sectPr>
      </w:pPr>
    </w:p>
    <w:p w14:paraId="463818B2" w14:textId="78EE0060" w:rsidR="00B56301" w:rsidRPr="0034391E" w:rsidRDefault="00B56301" w:rsidP="003F57EA">
      <w:pPr>
        <w:pStyle w:val="Titre2Niveau2"/>
        <w:numPr>
          <w:ilvl w:val="0"/>
          <w:numId w:val="62"/>
        </w:numPr>
      </w:pPr>
      <w:bookmarkStart w:id="821" w:name="_Toc138344565"/>
      <w:r w:rsidRPr="00A9751B">
        <w:t>Tendance pour le</w:t>
      </w:r>
      <w:r>
        <w:t>s</w:t>
      </w:r>
      <w:r w:rsidRPr="00A9751B">
        <w:t xml:space="preserve"> </w:t>
      </w:r>
      <w:r>
        <w:t>gaz fluorés</w:t>
      </w:r>
      <w:r w:rsidRPr="003246AE">
        <w:t xml:space="preserve"> (</w:t>
      </w:r>
      <w:r>
        <w:t>périmètre « Kyoto » - kt</w:t>
      </w:r>
      <w:r w:rsidR="007F09F7">
        <w:t>CO</w:t>
      </w:r>
      <w:r w:rsidR="007F09F7" w:rsidRPr="007F09F7">
        <w:rPr>
          <w:vertAlign w:val="subscript"/>
        </w:rPr>
        <w:t>2</w:t>
      </w:r>
      <w:r w:rsidR="004F1EC8" w:rsidRPr="004F1EC8">
        <w:rPr>
          <w:vertAlign w:val="subscript"/>
        </w:rPr>
        <w:t>e</w:t>
      </w:r>
      <w:r w:rsidRPr="003246AE">
        <w:t>)</w:t>
      </w:r>
      <w:bookmarkEnd w:id="821"/>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AE5F1B" w14:paraId="515A91F8" w14:textId="77777777" w:rsidTr="00B37B65">
        <w:trPr>
          <w:trHeight w:val="68"/>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7118301D" w14:textId="77777777" w:rsidR="00B56301" w:rsidRPr="00AE5F1B" w:rsidRDefault="00B56301" w:rsidP="00B37B65">
            <w:pPr>
              <w:jc w:val="center"/>
              <w:rPr>
                <w:rFonts w:ascii="Times New Roman" w:hAnsi="Times New Roman"/>
                <w:b/>
                <w:bCs/>
                <w:sz w:val="20"/>
                <w:szCs w:val="18"/>
                <w:lang w:val="en-GB"/>
              </w:rPr>
            </w:pPr>
            <w:bookmarkStart w:id="822" w:name="RANGE!A5:AH44"/>
            <w:r w:rsidRPr="00AE5F1B">
              <w:rPr>
                <w:rFonts w:ascii="Times New Roman" w:hAnsi="Times New Roman"/>
                <w:b/>
                <w:bCs/>
                <w:sz w:val="20"/>
                <w:szCs w:val="18"/>
                <w:lang w:val="en-GB"/>
              </w:rPr>
              <w:t>GREENHOUSE GAS SOURCE AND SINK CATEGORIES</w:t>
            </w:r>
            <w:bookmarkEnd w:id="822"/>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7FAC55E"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Base year</w:t>
            </w:r>
            <w:r w:rsidRPr="00AE5F1B">
              <w:rPr>
                <w:rFonts w:ascii="Times New Roman" w:hAnsi="Times New Roman"/>
                <w:b/>
                <w:bCs/>
                <w:sz w:val="18"/>
                <w:szCs w:val="18"/>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72724C"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397D4EF"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2D08A19"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54EC08A"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93D57B5" w14:textId="77777777" w:rsidR="00B56301" w:rsidRPr="00AE5F1B" w:rsidRDefault="00B56301" w:rsidP="00B37B65">
            <w:pPr>
              <w:jc w:val="center"/>
              <w:rPr>
                <w:rFonts w:ascii="Times New Roman" w:hAnsi="Times New Roman"/>
                <w:b/>
                <w:bCs/>
                <w:sz w:val="18"/>
                <w:szCs w:val="18"/>
              </w:rPr>
            </w:pPr>
            <w:r w:rsidRPr="00AE5F1B">
              <w:rPr>
                <w:rFonts w:ascii="Times New Roman" w:hAnsi="Times New Roman"/>
                <w:b/>
                <w:bCs/>
                <w:sz w:val="18"/>
                <w:szCs w:val="18"/>
              </w:rPr>
              <w:t>1994</w:t>
            </w:r>
          </w:p>
        </w:tc>
      </w:tr>
      <w:tr w:rsidR="00B56301" w:rsidRPr="00AE5F1B" w14:paraId="41870D1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A9EC16B" w14:textId="5A565E2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576EF60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9604,67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6E1EB7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9604,67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41354E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9946,92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4ABFFF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9336,33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588C5A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7709,85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B14A19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6079,17</w:t>
            </w:r>
          </w:p>
        </w:tc>
      </w:tr>
      <w:tr w:rsidR="00B56301" w:rsidRPr="00AE5F1B" w14:paraId="09210175" w14:textId="77777777" w:rsidTr="00B37B65">
        <w:trPr>
          <w:trHeight w:val="68"/>
          <w:jc w:val="center"/>
        </w:trPr>
        <w:tc>
          <w:tcPr>
            <w:tcW w:w="3805" w:type="dxa"/>
            <w:tcBorders>
              <w:top w:val="nil"/>
              <w:left w:val="single" w:sz="4" w:space="0" w:color="auto"/>
              <w:bottom w:val="nil"/>
              <w:right w:val="single" w:sz="4" w:space="0" w:color="auto"/>
            </w:tcBorders>
            <w:shd w:val="clear" w:color="000000" w:fill="CCFFFF"/>
            <w:vAlign w:val="center"/>
            <w:hideMark/>
          </w:tcPr>
          <w:p w14:paraId="750E2E41" w14:textId="3E6650C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3C1159F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00B5375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4319D46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5124,38</w:t>
            </w:r>
          </w:p>
        </w:tc>
        <w:tc>
          <w:tcPr>
            <w:tcW w:w="992" w:type="dxa"/>
            <w:tcBorders>
              <w:top w:val="nil"/>
              <w:left w:val="nil"/>
              <w:bottom w:val="single" w:sz="4" w:space="0" w:color="auto"/>
              <w:right w:val="single" w:sz="4" w:space="0" w:color="auto"/>
            </w:tcBorders>
            <w:shd w:val="clear" w:color="000000" w:fill="CCFFFF"/>
            <w:noWrap/>
            <w:vAlign w:val="bottom"/>
            <w:hideMark/>
          </w:tcPr>
          <w:p w14:paraId="50F7848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4418,01</w:t>
            </w:r>
          </w:p>
        </w:tc>
        <w:tc>
          <w:tcPr>
            <w:tcW w:w="992" w:type="dxa"/>
            <w:tcBorders>
              <w:top w:val="nil"/>
              <w:left w:val="nil"/>
              <w:bottom w:val="single" w:sz="4" w:space="0" w:color="auto"/>
              <w:right w:val="single" w:sz="4" w:space="0" w:color="auto"/>
            </w:tcBorders>
            <w:shd w:val="clear" w:color="000000" w:fill="CCFFFF"/>
            <w:noWrap/>
            <w:vAlign w:val="bottom"/>
            <w:hideMark/>
          </w:tcPr>
          <w:p w14:paraId="42A360E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2865,79</w:t>
            </w:r>
          </w:p>
        </w:tc>
        <w:tc>
          <w:tcPr>
            <w:tcW w:w="992" w:type="dxa"/>
            <w:tcBorders>
              <w:top w:val="nil"/>
              <w:left w:val="nil"/>
              <w:bottom w:val="single" w:sz="4" w:space="0" w:color="auto"/>
              <w:right w:val="single" w:sz="4" w:space="0" w:color="auto"/>
            </w:tcBorders>
            <w:shd w:val="clear" w:color="000000" w:fill="CCFFFF"/>
            <w:noWrap/>
            <w:vAlign w:val="bottom"/>
            <w:hideMark/>
          </w:tcPr>
          <w:p w14:paraId="10C8F9B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1753,69</w:t>
            </w:r>
          </w:p>
        </w:tc>
      </w:tr>
      <w:tr w:rsidR="00B56301" w:rsidRPr="00AE5F1B" w14:paraId="6AD7F5C3"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hideMark/>
          </w:tcPr>
          <w:p w14:paraId="5241916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387453E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61C431F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3EBEAC0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33DA385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0,17</w:t>
            </w:r>
          </w:p>
        </w:tc>
        <w:tc>
          <w:tcPr>
            <w:tcW w:w="992" w:type="dxa"/>
            <w:tcBorders>
              <w:top w:val="nil"/>
              <w:left w:val="nil"/>
              <w:bottom w:val="single" w:sz="4" w:space="0" w:color="auto"/>
              <w:right w:val="single" w:sz="4" w:space="0" w:color="auto"/>
            </w:tcBorders>
            <w:shd w:val="clear" w:color="000000" w:fill="FFFFFF"/>
            <w:noWrap/>
            <w:vAlign w:val="bottom"/>
            <w:hideMark/>
          </w:tcPr>
          <w:p w14:paraId="55B083D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6FBE192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0,08</w:t>
            </w:r>
          </w:p>
        </w:tc>
      </w:tr>
      <w:tr w:rsidR="00B56301" w:rsidRPr="00AE5F1B" w14:paraId="0E556E8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9FC18C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574F432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6D0770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672258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1750E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88E24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75E790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r>
      <w:tr w:rsidR="00B56301" w:rsidRPr="00AE5F1B" w14:paraId="3EF224D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E7D6C2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2CAC23B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E1DDE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0A748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2647A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98746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B5F12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17942AA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A7B14C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0ED81E1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07E48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D6C60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37853E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A37E92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F8A9B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0881CD8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A33FEB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27C05E7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9F5ECB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A86829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54BD1F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8C2A9A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EF42D7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0,05</w:t>
            </w:r>
          </w:p>
        </w:tc>
      </w:tr>
      <w:tr w:rsidR="00B56301" w:rsidRPr="00AE5F1B" w14:paraId="54B9BEE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6B5B76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344B1AE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053FA3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B3ECB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8C502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EB491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5F292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27BE2AB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4DDEE5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010EAAC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ABA35F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4B4010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897F11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808366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E1ADDD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0,15</w:t>
            </w:r>
          </w:p>
        </w:tc>
      </w:tr>
      <w:tr w:rsidR="00B56301" w:rsidRPr="00AE5F1B" w14:paraId="09E52B5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4579C0F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6AECA1B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03D49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FFCE9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A47A7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4FB601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A1BD3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01E15BC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7BD920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E992C4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544900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4256870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0,53</w:t>
            </w:r>
          </w:p>
        </w:tc>
        <w:tc>
          <w:tcPr>
            <w:tcW w:w="992" w:type="dxa"/>
            <w:tcBorders>
              <w:top w:val="nil"/>
              <w:left w:val="nil"/>
              <w:bottom w:val="single" w:sz="4" w:space="0" w:color="auto"/>
              <w:right w:val="single" w:sz="4" w:space="0" w:color="auto"/>
            </w:tcBorders>
            <w:shd w:val="clear" w:color="000000" w:fill="FFFFFF"/>
            <w:noWrap/>
            <w:vAlign w:val="bottom"/>
            <w:hideMark/>
          </w:tcPr>
          <w:p w14:paraId="0C86141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0,40</w:t>
            </w:r>
          </w:p>
        </w:tc>
        <w:tc>
          <w:tcPr>
            <w:tcW w:w="992" w:type="dxa"/>
            <w:tcBorders>
              <w:top w:val="nil"/>
              <w:left w:val="nil"/>
              <w:bottom w:val="single" w:sz="4" w:space="0" w:color="auto"/>
              <w:right w:val="single" w:sz="4" w:space="0" w:color="auto"/>
            </w:tcBorders>
            <w:shd w:val="clear" w:color="000000" w:fill="FFFFFF"/>
            <w:noWrap/>
            <w:vAlign w:val="bottom"/>
            <w:hideMark/>
          </w:tcPr>
          <w:p w14:paraId="0EBEAC2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3DFF5B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0,04</w:t>
            </w:r>
          </w:p>
        </w:tc>
      </w:tr>
      <w:tr w:rsidR="00B56301" w:rsidRPr="00AE5F1B" w14:paraId="60C4D6F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D897D1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5E8F9E0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ADC9B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1FFED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7F7E8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24E7E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AE0E52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60693951"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A77F04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64B0F7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9C4EE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F8C8AA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AFF71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A81A8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0F9F9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00C884E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FC8C8B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14CA059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44CF7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D7D3C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1E396E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2155E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E8DF3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3143B53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7A004D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40E6666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1F495F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29FA9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87F9F9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194B6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6D899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308BDCA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D8C505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5AF293A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18935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DA3B1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31AA9B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ECC35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0ECAE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36CE86F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09C1A7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7FB09C2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644CB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3E073F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CE3A0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95E4B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F73C16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599D169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2C1CC50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66BFEE8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C2E2EA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C050F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EF42F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3E9B84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4F69D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120DECD8"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7A79118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11A30E8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708BB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3AD847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BF828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00336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AC13B5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4A2D9843"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B43E07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36068EA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9B14E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C7CB36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6FB9B6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85E3E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4862B0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35BA8C1C"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23731A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A79DD4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02A599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BCA2B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BA452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FBD5B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43951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02A2687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09DED55" w14:textId="76351FD4"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55A6A39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4DE4C7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285A0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13A96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F57620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7,79</w:t>
            </w:r>
          </w:p>
        </w:tc>
        <w:tc>
          <w:tcPr>
            <w:tcW w:w="992" w:type="dxa"/>
            <w:tcBorders>
              <w:top w:val="nil"/>
              <w:left w:val="nil"/>
              <w:bottom w:val="single" w:sz="4" w:space="0" w:color="auto"/>
              <w:right w:val="single" w:sz="4" w:space="0" w:color="auto"/>
            </w:tcBorders>
            <w:shd w:val="clear" w:color="000000" w:fill="FFFFFF"/>
            <w:noWrap/>
            <w:vAlign w:val="bottom"/>
            <w:hideMark/>
          </w:tcPr>
          <w:p w14:paraId="5657D56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21,11</w:t>
            </w:r>
          </w:p>
        </w:tc>
      </w:tr>
      <w:tr w:rsidR="00B56301" w:rsidRPr="00AE5F1B" w14:paraId="48F7A1C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B8EA933" w14:textId="6F1303CB"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1AFDC8B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50923D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AB1AEE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4822,54</w:t>
            </w:r>
          </w:p>
        </w:tc>
        <w:tc>
          <w:tcPr>
            <w:tcW w:w="992" w:type="dxa"/>
            <w:tcBorders>
              <w:top w:val="nil"/>
              <w:left w:val="nil"/>
              <w:bottom w:val="single" w:sz="4" w:space="0" w:color="auto"/>
              <w:right w:val="single" w:sz="4" w:space="0" w:color="auto"/>
            </w:tcBorders>
            <w:shd w:val="clear" w:color="000000" w:fill="CCFFFF"/>
            <w:noWrap/>
            <w:vAlign w:val="bottom"/>
            <w:hideMark/>
          </w:tcPr>
          <w:p w14:paraId="2D8F90B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4918,32</w:t>
            </w:r>
          </w:p>
        </w:tc>
        <w:tc>
          <w:tcPr>
            <w:tcW w:w="992" w:type="dxa"/>
            <w:tcBorders>
              <w:top w:val="nil"/>
              <w:left w:val="nil"/>
              <w:bottom w:val="single" w:sz="4" w:space="0" w:color="auto"/>
              <w:right w:val="single" w:sz="4" w:space="0" w:color="auto"/>
            </w:tcBorders>
            <w:shd w:val="clear" w:color="000000" w:fill="CCFFFF"/>
            <w:noWrap/>
            <w:vAlign w:val="bottom"/>
            <w:hideMark/>
          </w:tcPr>
          <w:p w14:paraId="77AE6F5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4844,06</w:t>
            </w:r>
          </w:p>
        </w:tc>
        <w:tc>
          <w:tcPr>
            <w:tcW w:w="992" w:type="dxa"/>
            <w:tcBorders>
              <w:top w:val="nil"/>
              <w:left w:val="nil"/>
              <w:bottom w:val="single" w:sz="4" w:space="0" w:color="auto"/>
              <w:right w:val="single" w:sz="4" w:space="0" w:color="auto"/>
            </w:tcBorders>
            <w:shd w:val="clear" w:color="000000" w:fill="CCFFFF"/>
            <w:noWrap/>
            <w:vAlign w:val="bottom"/>
            <w:hideMark/>
          </w:tcPr>
          <w:p w14:paraId="79F1B69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4325,49</w:t>
            </w:r>
          </w:p>
        </w:tc>
      </w:tr>
      <w:tr w:rsidR="00B56301" w:rsidRPr="00AE5F1B" w14:paraId="04C88A0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F06ACD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1E222BA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0,39</w:t>
            </w:r>
          </w:p>
        </w:tc>
        <w:tc>
          <w:tcPr>
            <w:tcW w:w="992" w:type="dxa"/>
            <w:tcBorders>
              <w:top w:val="nil"/>
              <w:left w:val="nil"/>
              <w:bottom w:val="single" w:sz="4" w:space="0" w:color="auto"/>
              <w:right w:val="single" w:sz="4" w:space="0" w:color="auto"/>
            </w:tcBorders>
            <w:shd w:val="clear" w:color="000000" w:fill="FFFFFF"/>
            <w:noWrap/>
            <w:vAlign w:val="bottom"/>
            <w:hideMark/>
          </w:tcPr>
          <w:p w14:paraId="1FF21E5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0,39</w:t>
            </w:r>
          </w:p>
        </w:tc>
        <w:tc>
          <w:tcPr>
            <w:tcW w:w="992" w:type="dxa"/>
            <w:tcBorders>
              <w:top w:val="nil"/>
              <w:left w:val="nil"/>
              <w:bottom w:val="single" w:sz="4" w:space="0" w:color="auto"/>
              <w:right w:val="single" w:sz="4" w:space="0" w:color="auto"/>
            </w:tcBorders>
            <w:shd w:val="clear" w:color="000000" w:fill="FFFFFF"/>
            <w:noWrap/>
            <w:vAlign w:val="bottom"/>
            <w:hideMark/>
          </w:tcPr>
          <w:p w14:paraId="26835DB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0,35</w:t>
            </w:r>
          </w:p>
        </w:tc>
        <w:tc>
          <w:tcPr>
            <w:tcW w:w="992" w:type="dxa"/>
            <w:tcBorders>
              <w:top w:val="nil"/>
              <w:left w:val="nil"/>
              <w:bottom w:val="single" w:sz="4" w:space="0" w:color="auto"/>
              <w:right w:val="single" w:sz="4" w:space="0" w:color="auto"/>
            </w:tcBorders>
            <w:shd w:val="clear" w:color="000000" w:fill="FFFFFF"/>
            <w:noWrap/>
            <w:vAlign w:val="bottom"/>
            <w:hideMark/>
          </w:tcPr>
          <w:p w14:paraId="18AF8C2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21A0770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0,32</w:t>
            </w:r>
          </w:p>
        </w:tc>
        <w:tc>
          <w:tcPr>
            <w:tcW w:w="992" w:type="dxa"/>
            <w:tcBorders>
              <w:top w:val="nil"/>
              <w:left w:val="nil"/>
              <w:bottom w:val="single" w:sz="4" w:space="0" w:color="auto"/>
              <w:right w:val="single" w:sz="4" w:space="0" w:color="auto"/>
            </w:tcBorders>
            <w:shd w:val="clear" w:color="000000" w:fill="FFFFFF"/>
            <w:noWrap/>
            <w:vAlign w:val="bottom"/>
            <w:hideMark/>
          </w:tcPr>
          <w:p w14:paraId="24023C1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0,28</w:t>
            </w:r>
          </w:p>
        </w:tc>
      </w:tr>
      <w:tr w:rsidR="00B56301" w:rsidRPr="00AE5F1B" w14:paraId="4AE5B2D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1C63636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2BE8C60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1C02A89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2D0A170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7722122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71202FB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7AD4A5B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0,16</w:t>
            </w:r>
          </w:p>
        </w:tc>
      </w:tr>
      <w:tr w:rsidR="00B56301" w:rsidRPr="00AE5F1B" w14:paraId="7A7F615A"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90AFB2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6553176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FB6E39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646627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53C28B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FF2411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B7853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r>
      <w:tr w:rsidR="00B56301" w:rsidRPr="00AE5F1B" w14:paraId="3805EB3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03C6C4F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7B7FEB2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56D682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41552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26C301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B7E301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3087F3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r>
      <w:tr w:rsidR="00B56301" w:rsidRPr="00AE5F1B" w14:paraId="7A310294"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61CEB8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2E84786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B0AEF0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D8034C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1A74DB2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009525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0A8E39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0,01</w:t>
            </w:r>
          </w:p>
        </w:tc>
      </w:tr>
      <w:tr w:rsidR="00B56301" w:rsidRPr="00AE5F1B" w14:paraId="689F3136"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453CF45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4E76316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753068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72F34E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90D480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D91F52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7708F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r>
      <w:tr w:rsidR="00B56301" w:rsidRPr="00AE5F1B" w14:paraId="787CBD69"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3E2FC3C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497676F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BFD5F9"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A809A4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AB9A6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C4FC1A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AC5FCB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r>
      <w:tr w:rsidR="00B56301" w:rsidRPr="00AE5F1B" w14:paraId="0D9D172B"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647B698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6D8CD1D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E5ADE8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16B3B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4FA07F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710725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CFE29F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r>
      <w:tr w:rsidR="00B56301" w:rsidRPr="00AE5F1B" w14:paraId="063FC3FF"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E8E7AB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1B061A1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422CD6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62DB57D"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2985F8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9616E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AF8CF9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NO,IE,NA</w:t>
            </w:r>
          </w:p>
        </w:tc>
      </w:tr>
      <w:tr w:rsidR="00B56301" w:rsidRPr="00AE5F1B" w14:paraId="0C546DF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574ECAB4" w14:textId="478585A5"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04C336A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241,29</w:t>
            </w:r>
          </w:p>
        </w:tc>
        <w:tc>
          <w:tcPr>
            <w:tcW w:w="992" w:type="dxa"/>
            <w:tcBorders>
              <w:top w:val="nil"/>
              <w:left w:val="nil"/>
              <w:bottom w:val="single" w:sz="4" w:space="0" w:color="auto"/>
              <w:right w:val="single" w:sz="4" w:space="0" w:color="auto"/>
            </w:tcBorders>
            <w:shd w:val="clear" w:color="000000" w:fill="FFFFFF"/>
            <w:noWrap/>
            <w:vAlign w:val="bottom"/>
            <w:hideMark/>
          </w:tcPr>
          <w:p w14:paraId="501487A6"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241,29</w:t>
            </w:r>
          </w:p>
        </w:tc>
        <w:tc>
          <w:tcPr>
            <w:tcW w:w="992" w:type="dxa"/>
            <w:tcBorders>
              <w:top w:val="nil"/>
              <w:left w:val="nil"/>
              <w:bottom w:val="single" w:sz="4" w:space="0" w:color="auto"/>
              <w:right w:val="single" w:sz="4" w:space="0" w:color="auto"/>
            </w:tcBorders>
            <w:shd w:val="clear" w:color="000000" w:fill="FFFFFF"/>
            <w:noWrap/>
            <w:vAlign w:val="bottom"/>
            <w:hideMark/>
          </w:tcPr>
          <w:p w14:paraId="3EA4C31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241,83</w:t>
            </w:r>
          </w:p>
        </w:tc>
        <w:tc>
          <w:tcPr>
            <w:tcW w:w="992" w:type="dxa"/>
            <w:tcBorders>
              <w:top w:val="nil"/>
              <w:left w:val="nil"/>
              <w:bottom w:val="single" w:sz="4" w:space="0" w:color="auto"/>
              <w:right w:val="single" w:sz="4" w:space="0" w:color="auto"/>
            </w:tcBorders>
            <w:shd w:val="clear" w:color="000000" w:fill="FFFFFF"/>
            <w:noWrap/>
            <w:vAlign w:val="bottom"/>
            <w:hideMark/>
          </w:tcPr>
          <w:p w14:paraId="51DE519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242,35</w:t>
            </w:r>
          </w:p>
        </w:tc>
        <w:tc>
          <w:tcPr>
            <w:tcW w:w="992" w:type="dxa"/>
            <w:tcBorders>
              <w:top w:val="nil"/>
              <w:left w:val="nil"/>
              <w:bottom w:val="single" w:sz="4" w:space="0" w:color="auto"/>
              <w:right w:val="single" w:sz="4" w:space="0" w:color="auto"/>
            </w:tcBorders>
            <w:shd w:val="clear" w:color="000000" w:fill="FFFFFF"/>
            <w:noWrap/>
            <w:vAlign w:val="bottom"/>
            <w:hideMark/>
          </w:tcPr>
          <w:p w14:paraId="58ED7CE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270,08</w:t>
            </w:r>
          </w:p>
        </w:tc>
        <w:tc>
          <w:tcPr>
            <w:tcW w:w="992" w:type="dxa"/>
            <w:tcBorders>
              <w:top w:val="nil"/>
              <w:left w:val="nil"/>
              <w:bottom w:val="single" w:sz="4" w:space="0" w:color="auto"/>
              <w:right w:val="single" w:sz="4" w:space="0" w:color="auto"/>
            </w:tcBorders>
            <w:shd w:val="clear" w:color="000000" w:fill="FFFFFF"/>
            <w:noWrap/>
            <w:vAlign w:val="bottom"/>
            <w:hideMark/>
          </w:tcPr>
          <w:p w14:paraId="29DC87D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222,03</w:t>
            </w:r>
          </w:p>
        </w:tc>
      </w:tr>
      <w:tr w:rsidR="00B56301" w:rsidRPr="00AE5F1B" w14:paraId="65C5841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hideMark/>
          </w:tcPr>
          <w:p w14:paraId="1E0A95C9" w14:textId="2CE27D28"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6C251B">
              <w:rPr>
                <w:lang w:val="en-GB"/>
              </w:rPr>
              <w:t>CO</w:t>
            </w:r>
            <w:r w:rsidR="007F09F7" w:rsidRPr="006C251B">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172114B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B23878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D12BC2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2C8FEE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3E7E2D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1F66D2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NO,NA</w:t>
            </w:r>
          </w:p>
        </w:tc>
      </w:tr>
      <w:tr w:rsidR="00B56301" w:rsidRPr="00AE5F1B" w14:paraId="02771F12"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6894C2" w14:textId="038C889B"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6C251B">
              <w:rPr>
                <w:lang w:val="en-GB"/>
              </w:rPr>
              <w:t>SF</w:t>
            </w:r>
            <w:r w:rsidR="007F09F7" w:rsidRPr="006C251B">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6C251B">
              <w:rPr>
                <w:lang w:val="en-GB"/>
              </w:rPr>
              <w:t>CO</w:t>
            </w:r>
            <w:r w:rsidR="007F09F7" w:rsidRPr="006C251B">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781FCEB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774AF09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10FCB915"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2217,46</w:t>
            </w:r>
          </w:p>
        </w:tc>
        <w:tc>
          <w:tcPr>
            <w:tcW w:w="992" w:type="dxa"/>
            <w:tcBorders>
              <w:top w:val="nil"/>
              <w:left w:val="nil"/>
              <w:bottom w:val="single" w:sz="4" w:space="0" w:color="auto"/>
              <w:right w:val="single" w:sz="4" w:space="0" w:color="auto"/>
            </w:tcBorders>
            <w:shd w:val="clear" w:color="000000" w:fill="CCFFFF"/>
            <w:noWrap/>
            <w:vAlign w:val="bottom"/>
            <w:hideMark/>
          </w:tcPr>
          <w:p w14:paraId="4A552794"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2256,21</w:t>
            </w:r>
          </w:p>
        </w:tc>
        <w:tc>
          <w:tcPr>
            <w:tcW w:w="992" w:type="dxa"/>
            <w:tcBorders>
              <w:top w:val="nil"/>
              <w:left w:val="nil"/>
              <w:bottom w:val="single" w:sz="4" w:space="0" w:color="auto"/>
              <w:right w:val="single" w:sz="4" w:space="0" w:color="auto"/>
            </w:tcBorders>
            <w:shd w:val="clear" w:color="000000" w:fill="CCFFFF"/>
            <w:noWrap/>
            <w:vAlign w:val="bottom"/>
            <w:hideMark/>
          </w:tcPr>
          <w:p w14:paraId="3FDC478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2295,58</w:t>
            </w:r>
          </w:p>
        </w:tc>
        <w:tc>
          <w:tcPr>
            <w:tcW w:w="992" w:type="dxa"/>
            <w:tcBorders>
              <w:top w:val="nil"/>
              <w:left w:val="nil"/>
              <w:bottom w:val="single" w:sz="4" w:space="0" w:color="auto"/>
              <w:right w:val="single" w:sz="4" w:space="0" w:color="auto"/>
            </w:tcBorders>
            <w:shd w:val="clear" w:color="000000" w:fill="CCFFFF"/>
            <w:noWrap/>
            <w:vAlign w:val="bottom"/>
            <w:hideMark/>
          </w:tcPr>
          <w:p w14:paraId="00B031E7"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2443,88</w:t>
            </w:r>
          </w:p>
        </w:tc>
      </w:tr>
      <w:tr w:rsidR="00B56301" w:rsidRPr="00AE5F1B" w14:paraId="1AF9BDE0" w14:textId="77777777" w:rsidTr="00B37B65">
        <w:trPr>
          <w:trHeight w:val="68"/>
          <w:jc w:val="center"/>
        </w:trPr>
        <w:tc>
          <w:tcPr>
            <w:tcW w:w="3805" w:type="dxa"/>
            <w:tcBorders>
              <w:top w:val="single" w:sz="4" w:space="0" w:color="auto"/>
              <w:left w:val="single" w:sz="4" w:space="0" w:color="auto"/>
              <w:bottom w:val="nil"/>
              <w:right w:val="single" w:sz="4" w:space="0" w:color="auto"/>
            </w:tcBorders>
            <w:shd w:val="clear" w:color="000000" w:fill="CCFFFF"/>
            <w:vAlign w:val="center"/>
            <w:hideMark/>
          </w:tcPr>
          <w:p w14:paraId="2EEFB934" w14:textId="2770E4D8"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3DA0BFB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AE6B28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F5C5A5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7503496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1A24917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07EC9AC2"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0,11</w:t>
            </w:r>
          </w:p>
        </w:tc>
      </w:tr>
      <w:tr w:rsidR="00B56301" w:rsidRPr="00AE5F1B" w14:paraId="236D1647" w14:textId="77777777" w:rsidTr="00B37B65">
        <w:trPr>
          <w:trHeight w:val="68"/>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79F5F318" w14:textId="39FF6830"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6C251B">
              <w:rPr>
                <w:sz w:val="18"/>
                <w:lang w:val="en-GB"/>
              </w:rPr>
              <w:t>NF</w:t>
            </w:r>
            <w:r w:rsidR="007F09F7" w:rsidRPr="006C251B">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B7BCCD0"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76D336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3591F2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18,13</w:t>
            </w:r>
          </w:p>
        </w:tc>
        <w:tc>
          <w:tcPr>
            <w:tcW w:w="992" w:type="dxa"/>
            <w:tcBorders>
              <w:top w:val="nil"/>
              <w:left w:val="nil"/>
              <w:bottom w:val="single" w:sz="4" w:space="0" w:color="auto"/>
              <w:right w:val="single" w:sz="4" w:space="0" w:color="auto"/>
            </w:tcBorders>
            <w:shd w:val="clear" w:color="000000" w:fill="CCFFFF"/>
            <w:noWrap/>
            <w:vAlign w:val="bottom"/>
            <w:hideMark/>
          </w:tcPr>
          <w:p w14:paraId="0D0BF761"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19,94</w:t>
            </w:r>
          </w:p>
        </w:tc>
        <w:tc>
          <w:tcPr>
            <w:tcW w:w="992" w:type="dxa"/>
            <w:tcBorders>
              <w:top w:val="nil"/>
              <w:left w:val="nil"/>
              <w:bottom w:val="single" w:sz="4" w:space="0" w:color="auto"/>
              <w:right w:val="single" w:sz="4" w:space="0" w:color="auto"/>
            </w:tcBorders>
            <w:shd w:val="clear" w:color="000000" w:fill="CCFFFF"/>
            <w:noWrap/>
            <w:vAlign w:val="bottom"/>
            <w:hideMark/>
          </w:tcPr>
          <w:p w14:paraId="1F1DF52B"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21,94</w:t>
            </w:r>
          </w:p>
        </w:tc>
        <w:tc>
          <w:tcPr>
            <w:tcW w:w="992" w:type="dxa"/>
            <w:tcBorders>
              <w:top w:val="nil"/>
              <w:left w:val="nil"/>
              <w:bottom w:val="single" w:sz="4" w:space="0" w:color="auto"/>
              <w:right w:val="single" w:sz="4" w:space="0" w:color="auto"/>
            </w:tcBorders>
            <w:shd w:val="clear" w:color="000000" w:fill="CCFFFF"/>
            <w:noWrap/>
            <w:vAlign w:val="bottom"/>
            <w:hideMark/>
          </w:tcPr>
          <w:p w14:paraId="5B533D8C"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24,13</w:t>
            </w:r>
          </w:p>
        </w:tc>
      </w:tr>
      <w:tr w:rsidR="00B56301" w:rsidRPr="00AE5F1B" w14:paraId="42E6C7B0" w14:textId="77777777" w:rsidTr="00B37B65">
        <w:trPr>
          <w:trHeight w:val="68"/>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AFC6348" w14:textId="1C663B90"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2F79918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5D1CA9A"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C5663DE"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9420108"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42E7163"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4C0C8DF" w14:textId="77777777" w:rsidR="00B56301" w:rsidRPr="00AE5F1B" w:rsidRDefault="00B56301" w:rsidP="00B37B65">
            <w:pPr>
              <w:jc w:val="right"/>
              <w:rPr>
                <w:rFonts w:ascii="Times New Roman" w:hAnsi="Times New Roman"/>
                <w:sz w:val="18"/>
                <w:szCs w:val="18"/>
              </w:rPr>
            </w:pPr>
            <w:r w:rsidRPr="00AE5F1B">
              <w:rPr>
                <w:rFonts w:ascii="Times New Roman" w:hAnsi="Times New Roman"/>
                <w:sz w:val="18"/>
                <w:szCs w:val="18"/>
              </w:rPr>
              <w:t>0,00</w:t>
            </w:r>
          </w:p>
        </w:tc>
      </w:tr>
    </w:tbl>
    <w:p w14:paraId="2A877904" w14:textId="77777777" w:rsidR="00B56301" w:rsidRDefault="00B56301" w:rsidP="00B56301">
      <w:pPr>
        <w:rPr>
          <w:rFonts w:cs="Arial"/>
        </w:rPr>
        <w:sectPr w:rsidR="00B56301" w:rsidSect="00B37B65">
          <w:type w:val="continuous"/>
          <w:pgSz w:w="11906" w:h="16838" w:code="9"/>
          <w:pgMar w:top="1230" w:right="907" w:bottom="1650" w:left="1049" w:header="284" w:footer="284" w:gutter="0"/>
          <w:cols w:space="708"/>
          <w:titlePg/>
          <w:docGrid w:linePitch="360"/>
        </w:sectPr>
      </w:pPr>
    </w:p>
    <w:p w14:paraId="2A3A4C45" w14:textId="77777777" w:rsidR="00B56301"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AE5F1B" w14:paraId="076D526A"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98CC74A" w14:textId="77777777" w:rsidR="00B56301" w:rsidRPr="00AE5F1B" w:rsidRDefault="00B56301" w:rsidP="00B37B65">
            <w:pPr>
              <w:jc w:val="center"/>
              <w:rPr>
                <w:rFonts w:ascii="Times New Roman" w:hAnsi="Times New Roman"/>
                <w:b/>
                <w:bCs/>
                <w:sz w:val="20"/>
                <w:szCs w:val="18"/>
                <w:lang w:val="en-GB"/>
              </w:rPr>
            </w:pPr>
            <w:r w:rsidRPr="00AE5F1B">
              <w:rPr>
                <w:rFonts w:ascii="Times New Roman" w:hAnsi="Times New Roman"/>
                <w:b/>
                <w:bCs/>
                <w:sz w:val="20"/>
                <w:szCs w:val="18"/>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C61BA7"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1995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31FB13A"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1996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DEFCED"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1997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299D782"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1998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2ED4DAC"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1999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4C9A936"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2000</w:t>
            </w:r>
          </w:p>
        </w:tc>
      </w:tr>
      <w:tr w:rsidR="00B56301" w:rsidRPr="00AE5F1B" w14:paraId="016361D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07FF5F2A" w14:textId="41615389"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AF279A4" w14:textId="77777777" w:rsidR="00B56301" w:rsidRPr="00AE5F1B" w:rsidRDefault="00B56301" w:rsidP="00B37B65">
            <w:pPr>
              <w:jc w:val="right"/>
              <w:rPr>
                <w:rFonts w:ascii="Times New Roman" w:hAnsi="Times New Roman"/>
                <w:sz w:val="18"/>
                <w:szCs w:val="18"/>
              </w:rPr>
            </w:pPr>
            <w:r>
              <w:rPr>
                <w:sz w:val="18"/>
                <w:szCs w:val="18"/>
              </w:rPr>
              <w:t>4766,90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33168EF" w14:textId="77777777" w:rsidR="00B56301" w:rsidRPr="00AE5F1B" w:rsidRDefault="00B56301" w:rsidP="00B37B65">
            <w:pPr>
              <w:jc w:val="right"/>
              <w:rPr>
                <w:rFonts w:ascii="Times New Roman" w:hAnsi="Times New Roman"/>
                <w:sz w:val="18"/>
                <w:szCs w:val="18"/>
              </w:rPr>
            </w:pPr>
            <w:r>
              <w:rPr>
                <w:sz w:val="18"/>
                <w:szCs w:val="18"/>
              </w:rPr>
              <w:t>5857,05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9938971" w14:textId="77777777" w:rsidR="00B56301" w:rsidRPr="00AE5F1B" w:rsidRDefault="00B56301" w:rsidP="00B37B65">
            <w:pPr>
              <w:jc w:val="right"/>
              <w:rPr>
                <w:rFonts w:ascii="Times New Roman" w:hAnsi="Times New Roman"/>
                <w:sz w:val="18"/>
                <w:szCs w:val="18"/>
              </w:rPr>
            </w:pPr>
            <w:r>
              <w:rPr>
                <w:sz w:val="18"/>
                <w:szCs w:val="18"/>
              </w:rPr>
              <w:t>6813,42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C0C8E31" w14:textId="77777777" w:rsidR="00B56301" w:rsidRPr="00AE5F1B" w:rsidRDefault="00B56301" w:rsidP="00B37B65">
            <w:pPr>
              <w:jc w:val="right"/>
              <w:rPr>
                <w:rFonts w:ascii="Times New Roman" w:hAnsi="Times New Roman"/>
                <w:sz w:val="18"/>
                <w:szCs w:val="18"/>
              </w:rPr>
            </w:pPr>
            <w:r>
              <w:rPr>
                <w:sz w:val="18"/>
                <w:szCs w:val="18"/>
              </w:rPr>
              <w:t>7696,03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8B7B4FC" w14:textId="77777777" w:rsidR="00B56301" w:rsidRPr="00AE5F1B" w:rsidRDefault="00B56301" w:rsidP="00B37B65">
            <w:pPr>
              <w:jc w:val="right"/>
              <w:rPr>
                <w:rFonts w:ascii="Times New Roman" w:hAnsi="Times New Roman"/>
                <w:sz w:val="18"/>
                <w:szCs w:val="18"/>
              </w:rPr>
            </w:pPr>
            <w:r>
              <w:rPr>
                <w:sz w:val="18"/>
                <w:szCs w:val="18"/>
              </w:rPr>
              <w:t>9752,69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AA6F074" w14:textId="77777777" w:rsidR="00B56301" w:rsidRPr="00AE5F1B" w:rsidRDefault="00B56301" w:rsidP="00B37B65">
            <w:pPr>
              <w:jc w:val="right"/>
              <w:rPr>
                <w:rFonts w:ascii="Times New Roman" w:hAnsi="Times New Roman"/>
                <w:sz w:val="18"/>
                <w:szCs w:val="18"/>
              </w:rPr>
            </w:pPr>
            <w:r>
              <w:rPr>
                <w:sz w:val="18"/>
                <w:szCs w:val="18"/>
              </w:rPr>
              <w:t>9733,20</w:t>
            </w:r>
          </w:p>
        </w:tc>
      </w:tr>
      <w:tr w:rsidR="00B56301" w:rsidRPr="00AE5F1B" w14:paraId="0C114343"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5CAE3F50" w14:textId="4DCE9592"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23BFCCB6" w14:textId="77777777" w:rsidR="00B56301" w:rsidRPr="00AE5F1B" w:rsidRDefault="00B56301" w:rsidP="00B37B65">
            <w:pPr>
              <w:jc w:val="right"/>
              <w:rPr>
                <w:rFonts w:ascii="Times New Roman" w:hAnsi="Times New Roman"/>
                <w:sz w:val="18"/>
                <w:szCs w:val="18"/>
              </w:rPr>
            </w:pPr>
            <w:r>
              <w:rPr>
                <w:sz w:val="18"/>
                <w:szCs w:val="18"/>
              </w:rPr>
              <w:t>1702,34</w:t>
            </w:r>
          </w:p>
        </w:tc>
        <w:tc>
          <w:tcPr>
            <w:tcW w:w="992" w:type="dxa"/>
            <w:tcBorders>
              <w:top w:val="nil"/>
              <w:left w:val="nil"/>
              <w:bottom w:val="single" w:sz="4" w:space="0" w:color="auto"/>
              <w:right w:val="single" w:sz="4" w:space="0" w:color="auto"/>
            </w:tcBorders>
            <w:shd w:val="clear" w:color="000000" w:fill="CCFFFF"/>
            <w:noWrap/>
            <w:vAlign w:val="bottom"/>
            <w:hideMark/>
          </w:tcPr>
          <w:p w14:paraId="101D2F99" w14:textId="77777777" w:rsidR="00B56301" w:rsidRPr="00AE5F1B" w:rsidRDefault="00B56301" w:rsidP="00B37B65">
            <w:pPr>
              <w:jc w:val="right"/>
              <w:rPr>
                <w:rFonts w:ascii="Times New Roman" w:hAnsi="Times New Roman"/>
                <w:sz w:val="18"/>
                <w:szCs w:val="18"/>
              </w:rPr>
            </w:pPr>
            <w:r>
              <w:rPr>
                <w:sz w:val="18"/>
                <w:szCs w:val="18"/>
              </w:rPr>
              <w:t>3060,80</w:t>
            </w:r>
          </w:p>
        </w:tc>
        <w:tc>
          <w:tcPr>
            <w:tcW w:w="992" w:type="dxa"/>
            <w:tcBorders>
              <w:top w:val="nil"/>
              <w:left w:val="nil"/>
              <w:bottom w:val="single" w:sz="4" w:space="0" w:color="auto"/>
              <w:right w:val="single" w:sz="4" w:space="0" w:color="auto"/>
            </w:tcBorders>
            <w:shd w:val="clear" w:color="000000" w:fill="CCFFFF"/>
            <w:noWrap/>
            <w:vAlign w:val="bottom"/>
            <w:hideMark/>
          </w:tcPr>
          <w:p w14:paraId="4AB7AD04" w14:textId="77777777" w:rsidR="00B56301" w:rsidRPr="00AE5F1B" w:rsidRDefault="00B56301" w:rsidP="00B37B65">
            <w:pPr>
              <w:jc w:val="right"/>
              <w:rPr>
                <w:rFonts w:ascii="Times New Roman" w:hAnsi="Times New Roman"/>
                <w:sz w:val="18"/>
                <w:szCs w:val="18"/>
              </w:rPr>
            </w:pPr>
            <w:r>
              <w:rPr>
                <w:sz w:val="18"/>
                <w:szCs w:val="18"/>
              </w:rPr>
              <w:t>3917,44</w:t>
            </w:r>
          </w:p>
        </w:tc>
        <w:tc>
          <w:tcPr>
            <w:tcW w:w="992" w:type="dxa"/>
            <w:tcBorders>
              <w:top w:val="nil"/>
              <w:left w:val="nil"/>
              <w:bottom w:val="single" w:sz="4" w:space="0" w:color="auto"/>
              <w:right w:val="single" w:sz="4" w:space="0" w:color="auto"/>
            </w:tcBorders>
            <w:shd w:val="clear" w:color="000000" w:fill="CCFFFF"/>
            <w:noWrap/>
            <w:vAlign w:val="bottom"/>
            <w:hideMark/>
          </w:tcPr>
          <w:p w14:paraId="03754148" w14:textId="77777777" w:rsidR="00B56301" w:rsidRPr="00AE5F1B" w:rsidRDefault="00B56301" w:rsidP="00B37B65">
            <w:pPr>
              <w:jc w:val="right"/>
              <w:rPr>
                <w:rFonts w:ascii="Times New Roman" w:hAnsi="Times New Roman"/>
                <w:sz w:val="18"/>
                <w:szCs w:val="18"/>
              </w:rPr>
            </w:pPr>
            <w:r>
              <w:rPr>
                <w:sz w:val="18"/>
                <w:szCs w:val="18"/>
              </w:rPr>
              <w:t>4304,32</w:t>
            </w:r>
          </w:p>
        </w:tc>
        <w:tc>
          <w:tcPr>
            <w:tcW w:w="992" w:type="dxa"/>
            <w:tcBorders>
              <w:top w:val="nil"/>
              <w:left w:val="nil"/>
              <w:bottom w:val="single" w:sz="4" w:space="0" w:color="auto"/>
              <w:right w:val="single" w:sz="4" w:space="0" w:color="auto"/>
            </w:tcBorders>
            <w:shd w:val="clear" w:color="000000" w:fill="CCFFFF"/>
            <w:noWrap/>
            <w:vAlign w:val="bottom"/>
            <w:hideMark/>
          </w:tcPr>
          <w:p w14:paraId="44561DEE" w14:textId="77777777" w:rsidR="00B56301" w:rsidRPr="00AE5F1B" w:rsidRDefault="00B56301" w:rsidP="00B37B65">
            <w:pPr>
              <w:jc w:val="right"/>
              <w:rPr>
                <w:rFonts w:ascii="Times New Roman" w:hAnsi="Times New Roman"/>
                <w:sz w:val="18"/>
                <w:szCs w:val="18"/>
              </w:rPr>
            </w:pPr>
            <w:r>
              <w:rPr>
                <w:sz w:val="18"/>
                <w:szCs w:val="18"/>
              </w:rPr>
              <w:t>5534,29</w:t>
            </w:r>
          </w:p>
        </w:tc>
        <w:tc>
          <w:tcPr>
            <w:tcW w:w="992" w:type="dxa"/>
            <w:tcBorders>
              <w:top w:val="nil"/>
              <w:left w:val="nil"/>
              <w:bottom w:val="single" w:sz="4" w:space="0" w:color="auto"/>
              <w:right w:val="single" w:sz="4" w:space="0" w:color="auto"/>
            </w:tcBorders>
            <w:shd w:val="clear" w:color="000000" w:fill="CCFFFF"/>
            <w:noWrap/>
            <w:vAlign w:val="bottom"/>
            <w:hideMark/>
          </w:tcPr>
          <w:p w14:paraId="36C704D5" w14:textId="77777777" w:rsidR="00B56301" w:rsidRPr="00AE5F1B" w:rsidRDefault="00B56301" w:rsidP="00B37B65">
            <w:pPr>
              <w:jc w:val="right"/>
              <w:rPr>
                <w:rFonts w:ascii="Times New Roman" w:hAnsi="Times New Roman"/>
                <w:sz w:val="18"/>
                <w:szCs w:val="18"/>
              </w:rPr>
            </w:pPr>
            <w:r>
              <w:rPr>
                <w:sz w:val="18"/>
                <w:szCs w:val="18"/>
              </w:rPr>
              <w:t>6735,71</w:t>
            </w:r>
          </w:p>
        </w:tc>
      </w:tr>
      <w:tr w:rsidR="00B56301" w:rsidRPr="00AE5F1B" w14:paraId="7A3F498D"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0D4E19B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083C3F32"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A5114DE"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39A48DC"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0EA1350"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1EF3B36A"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636AAB3" w14:textId="77777777" w:rsidR="00B56301" w:rsidRPr="00AE5F1B" w:rsidRDefault="00B56301" w:rsidP="00B37B65">
            <w:pPr>
              <w:jc w:val="right"/>
              <w:rPr>
                <w:rFonts w:ascii="Times New Roman" w:hAnsi="Times New Roman"/>
                <w:sz w:val="18"/>
                <w:szCs w:val="18"/>
              </w:rPr>
            </w:pPr>
            <w:r>
              <w:rPr>
                <w:sz w:val="18"/>
                <w:szCs w:val="18"/>
              </w:rPr>
              <w:t>0,03</w:t>
            </w:r>
          </w:p>
        </w:tc>
      </w:tr>
      <w:tr w:rsidR="00B56301" w:rsidRPr="00AE5F1B" w14:paraId="5DF1D22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8F58CB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2F2481A1"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8DD0F6"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9962E2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1767920"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9116F02"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DC63E9" w14:textId="77777777" w:rsidR="00B56301" w:rsidRPr="00AE5F1B" w:rsidRDefault="00B56301" w:rsidP="00B37B65">
            <w:pPr>
              <w:jc w:val="right"/>
              <w:rPr>
                <w:rFonts w:ascii="Times New Roman" w:hAnsi="Times New Roman"/>
                <w:sz w:val="18"/>
                <w:szCs w:val="18"/>
              </w:rPr>
            </w:pPr>
            <w:r>
              <w:rPr>
                <w:sz w:val="18"/>
                <w:szCs w:val="18"/>
              </w:rPr>
              <w:t>0,02</w:t>
            </w:r>
          </w:p>
        </w:tc>
      </w:tr>
      <w:tr w:rsidR="00B56301" w:rsidRPr="00AE5F1B" w14:paraId="1771A400"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1194EA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62EC61D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72863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94CC2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68763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8B0BF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F56FE97"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77EB4F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AD4FD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7CDDD68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57B119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5DC78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BBAC4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D08C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D63365"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06E5C7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2F1F4C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07491A5E"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1A853CFA"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480F879" w14:textId="77777777" w:rsidR="00B56301" w:rsidRPr="00AE5F1B" w:rsidRDefault="00B56301" w:rsidP="00B37B65">
            <w:pPr>
              <w:jc w:val="right"/>
              <w:rPr>
                <w:rFonts w:ascii="Times New Roman" w:hAnsi="Times New Roman"/>
                <w:sz w:val="18"/>
                <w:szCs w:val="18"/>
              </w:rPr>
            </w:pPr>
            <w:r>
              <w:rPr>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62C8EF87" w14:textId="77777777" w:rsidR="00B56301" w:rsidRPr="00AE5F1B" w:rsidRDefault="00B56301" w:rsidP="00B37B65">
            <w:pPr>
              <w:jc w:val="right"/>
              <w:rPr>
                <w:rFonts w:ascii="Times New Roman" w:hAnsi="Times New Roman"/>
                <w:sz w:val="18"/>
                <w:szCs w:val="18"/>
              </w:rPr>
            </w:pPr>
            <w:r>
              <w:rPr>
                <w:sz w:val="18"/>
                <w:szCs w:val="18"/>
              </w:rPr>
              <w:t>0,13</w:t>
            </w:r>
          </w:p>
        </w:tc>
        <w:tc>
          <w:tcPr>
            <w:tcW w:w="992" w:type="dxa"/>
            <w:tcBorders>
              <w:top w:val="nil"/>
              <w:left w:val="nil"/>
              <w:bottom w:val="single" w:sz="4" w:space="0" w:color="auto"/>
              <w:right w:val="single" w:sz="4" w:space="0" w:color="auto"/>
            </w:tcBorders>
            <w:shd w:val="clear" w:color="000000" w:fill="FFFFFF"/>
            <w:noWrap/>
            <w:vAlign w:val="bottom"/>
            <w:hideMark/>
          </w:tcPr>
          <w:p w14:paraId="519A0960" w14:textId="77777777" w:rsidR="00B56301" w:rsidRPr="00AE5F1B" w:rsidRDefault="00B56301" w:rsidP="00B37B65">
            <w:pPr>
              <w:jc w:val="right"/>
              <w:rPr>
                <w:rFonts w:ascii="Times New Roman" w:hAnsi="Times New Roman"/>
                <w:sz w:val="18"/>
                <w:szCs w:val="18"/>
              </w:rPr>
            </w:pPr>
            <w:r>
              <w:rPr>
                <w:sz w:val="18"/>
                <w:szCs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1D6680F8" w14:textId="77777777" w:rsidR="00B56301" w:rsidRPr="00AE5F1B" w:rsidRDefault="00B56301" w:rsidP="00B37B65">
            <w:pPr>
              <w:jc w:val="right"/>
              <w:rPr>
                <w:rFonts w:ascii="Times New Roman" w:hAnsi="Times New Roman"/>
                <w:sz w:val="18"/>
                <w:szCs w:val="18"/>
              </w:rPr>
            </w:pPr>
            <w:r>
              <w:rPr>
                <w:sz w:val="18"/>
                <w:szCs w:val="18"/>
              </w:rPr>
              <w:t>0,26</w:t>
            </w:r>
          </w:p>
        </w:tc>
      </w:tr>
      <w:tr w:rsidR="00B56301" w:rsidRPr="00AE5F1B" w14:paraId="0758E01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4DD5DA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5B5E9A2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4C77E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A10E8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CB7CFB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2A8D54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0A11C6"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01EDB3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9A12F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6CD79A66" w14:textId="77777777" w:rsidR="00B56301" w:rsidRPr="00AE5F1B" w:rsidRDefault="00B56301" w:rsidP="00B37B65">
            <w:pPr>
              <w:jc w:val="right"/>
              <w:rPr>
                <w:rFonts w:ascii="Times New Roman" w:hAnsi="Times New Roman"/>
                <w:sz w:val="18"/>
                <w:szCs w:val="18"/>
              </w:rPr>
            </w:pPr>
            <w:r>
              <w:rPr>
                <w:sz w:val="18"/>
                <w:szCs w:val="18"/>
              </w:rPr>
              <w:t>0,64</w:t>
            </w:r>
          </w:p>
        </w:tc>
        <w:tc>
          <w:tcPr>
            <w:tcW w:w="992" w:type="dxa"/>
            <w:tcBorders>
              <w:top w:val="nil"/>
              <w:left w:val="nil"/>
              <w:bottom w:val="single" w:sz="4" w:space="0" w:color="auto"/>
              <w:right w:val="single" w:sz="4" w:space="0" w:color="auto"/>
            </w:tcBorders>
            <w:shd w:val="clear" w:color="000000" w:fill="FFFFFF"/>
            <w:noWrap/>
            <w:vAlign w:val="bottom"/>
            <w:hideMark/>
          </w:tcPr>
          <w:p w14:paraId="264B2C46" w14:textId="77777777" w:rsidR="00B56301" w:rsidRPr="00AE5F1B" w:rsidRDefault="00B56301" w:rsidP="00B37B65">
            <w:pPr>
              <w:jc w:val="right"/>
              <w:rPr>
                <w:rFonts w:ascii="Times New Roman" w:hAnsi="Times New Roman"/>
                <w:sz w:val="18"/>
                <w:szCs w:val="18"/>
              </w:rPr>
            </w:pPr>
            <w:r>
              <w:rPr>
                <w:sz w:val="18"/>
                <w:szCs w:val="18"/>
              </w:rPr>
              <w:t>1,35</w:t>
            </w:r>
          </w:p>
        </w:tc>
        <w:tc>
          <w:tcPr>
            <w:tcW w:w="992" w:type="dxa"/>
            <w:tcBorders>
              <w:top w:val="nil"/>
              <w:left w:val="nil"/>
              <w:bottom w:val="single" w:sz="4" w:space="0" w:color="auto"/>
              <w:right w:val="single" w:sz="4" w:space="0" w:color="auto"/>
            </w:tcBorders>
            <w:shd w:val="clear" w:color="000000" w:fill="FFFFFF"/>
            <w:noWrap/>
            <w:vAlign w:val="bottom"/>
            <w:hideMark/>
          </w:tcPr>
          <w:p w14:paraId="2CEE3E97" w14:textId="77777777" w:rsidR="00B56301" w:rsidRPr="00AE5F1B" w:rsidRDefault="00B56301" w:rsidP="00B37B65">
            <w:pPr>
              <w:jc w:val="right"/>
              <w:rPr>
                <w:rFonts w:ascii="Times New Roman" w:hAnsi="Times New Roman"/>
                <w:sz w:val="18"/>
                <w:szCs w:val="18"/>
              </w:rPr>
            </w:pPr>
            <w:r>
              <w:rPr>
                <w:sz w:val="18"/>
                <w:szCs w:val="18"/>
              </w:rPr>
              <w:t>1,77</w:t>
            </w:r>
          </w:p>
        </w:tc>
        <w:tc>
          <w:tcPr>
            <w:tcW w:w="992" w:type="dxa"/>
            <w:tcBorders>
              <w:top w:val="nil"/>
              <w:left w:val="nil"/>
              <w:bottom w:val="single" w:sz="4" w:space="0" w:color="auto"/>
              <w:right w:val="single" w:sz="4" w:space="0" w:color="auto"/>
            </w:tcBorders>
            <w:shd w:val="clear" w:color="000000" w:fill="FFFFFF"/>
            <w:noWrap/>
            <w:vAlign w:val="bottom"/>
            <w:hideMark/>
          </w:tcPr>
          <w:p w14:paraId="4AE3F36F" w14:textId="77777777" w:rsidR="00B56301" w:rsidRPr="00AE5F1B" w:rsidRDefault="00B56301" w:rsidP="00B37B65">
            <w:pPr>
              <w:jc w:val="right"/>
              <w:rPr>
                <w:rFonts w:ascii="Times New Roman" w:hAnsi="Times New Roman"/>
                <w:sz w:val="18"/>
                <w:szCs w:val="18"/>
              </w:rPr>
            </w:pPr>
            <w:r>
              <w:rPr>
                <w:sz w:val="18"/>
                <w:szCs w:val="18"/>
              </w:rPr>
              <w:t>1,91</w:t>
            </w:r>
          </w:p>
        </w:tc>
        <w:tc>
          <w:tcPr>
            <w:tcW w:w="992" w:type="dxa"/>
            <w:tcBorders>
              <w:top w:val="nil"/>
              <w:left w:val="nil"/>
              <w:bottom w:val="single" w:sz="4" w:space="0" w:color="auto"/>
              <w:right w:val="single" w:sz="4" w:space="0" w:color="auto"/>
            </w:tcBorders>
            <w:shd w:val="clear" w:color="000000" w:fill="FFFFFF"/>
            <w:noWrap/>
            <w:vAlign w:val="bottom"/>
            <w:hideMark/>
          </w:tcPr>
          <w:p w14:paraId="25FEB53A" w14:textId="77777777" w:rsidR="00B56301" w:rsidRPr="00AE5F1B" w:rsidRDefault="00B56301" w:rsidP="00B37B65">
            <w:pPr>
              <w:jc w:val="right"/>
              <w:rPr>
                <w:rFonts w:ascii="Times New Roman" w:hAnsi="Times New Roman"/>
                <w:sz w:val="18"/>
                <w:szCs w:val="18"/>
              </w:rPr>
            </w:pPr>
            <w:r>
              <w:rPr>
                <w:sz w:val="18"/>
                <w:szCs w:val="18"/>
              </w:rPr>
              <w:t>2,18</w:t>
            </w:r>
          </w:p>
        </w:tc>
        <w:tc>
          <w:tcPr>
            <w:tcW w:w="992" w:type="dxa"/>
            <w:tcBorders>
              <w:top w:val="nil"/>
              <w:left w:val="nil"/>
              <w:bottom w:val="single" w:sz="4" w:space="0" w:color="auto"/>
              <w:right w:val="single" w:sz="4" w:space="0" w:color="auto"/>
            </w:tcBorders>
            <w:shd w:val="clear" w:color="000000" w:fill="FFFFFF"/>
            <w:noWrap/>
            <w:vAlign w:val="bottom"/>
            <w:hideMark/>
          </w:tcPr>
          <w:p w14:paraId="377B4BFC" w14:textId="77777777" w:rsidR="00B56301" w:rsidRPr="00AE5F1B" w:rsidRDefault="00B56301" w:rsidP="00B37B65">
            <w:pPr>
              <w:jc w:val="right"/>
              <w:rPr>
                <w:rFonts w:ascii="Times New Roman" w:hAnsi="Times New Roman"/>
                <w:sz w:val="18"/>
                <w:szCs w:val="18"/>
              </w:rPr>
            </w:pPr>
            <w:r>
              <w:rPr>
                <w:sz w:val="18"/>
                <w:szCs w:val="18"/>
              </w:rPr>
              <w:t>2,64</w:t>
            </w:r>
          </w:p>
        </w:tc>
      </w:tr>
      <w:tr w:rsidR="00B56301" w:rsidRPr="00AE5F1B" w14:paraId="310389E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ACB95B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3F3B0F5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C8DE4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049A9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AC822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09FB7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DFFFFC3"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943B73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CEF16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1101857" w14:textId="77777777" w:rsidR="00B56301" w:rsidRPr="00AE5F1B" w:rsidRDefault="00B56301" w:rsidP="00B37B65">
            <w:pPr>
              <w:jc w:val="right"/>
              <w:rPr>
                <w:rFonts w:ascii="Times New Roman" w:hAnsi="Times New Roman"/>
                <w:sz w:val="18"/>
                <w:szCs w:val="18"/>
              </w:rPr>
            </w:pPr>
            <w:r>
              <w:rPr>
                <w:sz w:val="18"/>
                <w:szCs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1182C1A9"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04C3434"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667B977D" w14:textId="77777777" w:rsidR="00B56301" w:rsidRPr="00AE5F1B" w:rsidRDefault="00B56301" w:rsidP="00B37B65">
            <w:pPr>
              <w:jc w:val="right"/>
              <w:rPr>
                <w:rFonts w:ascii="Times New Roman" w:hAnsi="Times New Roman"/>
                <w:sz w:val="18"/>
                <w:szCs w:val="18"/>
              </w:rPr>
            </w:pPr>
            <w:r>
              <w:rPr>
                <w:sz w:val="18"/>
                <w:szCs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2E6F8621" w14:textId="77777777" w:rsidR="00B56301" w:rsidRPr="00AE5F1B" w:rsidRDefault="00B56301" w:rsidP="00B37B65">
            <w:pPr>
              <w:jc w:val="right"/>
              <w:rPr>
                <w:rFonts w:ascii="Times New Roman" w:hAnsi="Times New Roman"/>
                <w:sz w:val="18"/>
                <w:szCs w:val="18"/>
              </w:rPr>
            </w:pPr>
            <w:r>
              <w:rPr>
                <w:sz w:val="18"/>
                <w:szCs w:val="18"/>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0779732A" w14:textId="77777777" w:rsidR="00B56301" w:rsidRPr="00AE5F1B" w:rsidRDefault="00B56301" w:rsidP="00B37B65">
            <w:pPr>
              <w:jc w:val="right"/>
              <w:rPr>
                <w:rFonts w:ascii="Times New Roman" w:hAnsi="Times New Roman"/>
                <w:sz w:val="18"/>
                <w:szCs w:val="18"/>
              </w:rPr>
            </w:pPr>
            <w:r>
              <w:rPr>
                <w:sz w:val="18"/>
                <w:szCs w:val="18"/>
              </w:rPr>
              <w:t>0,33</w:t>
            </w:r>
          </w:p>
        </w:tc>
      </w:tr>
      <w:tr w:rsidR="00B56301" w:rsidRPr="00AE5F1B" w14:paraId="4C769AE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5D7E81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16EE5AB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11A30E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D42B9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99603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0C79A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EA35EBF"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3F820A8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208D3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4D765C1"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6677C0C"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B0EB785"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EA33704"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6827C28"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E1CCFF"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54770AB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ADAF09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3C4C2A3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FB7E2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229A2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980555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567A3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9A7B40"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19C86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5E3A8E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39D2D718"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8928A42"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8CEFE4F"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7FF11F7"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F60EE79"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4A96536" w14:textId="77777777" w:rsidR="00B56301" w:rsidRPr="00AE5F1B" w:rsidRDefault="00B56301" w:rsidP="00B37B65">
            <w:pPr>
              <w:jc w:val="right"/>
              <w:rPr>
                <w:rFonts w:ascii="Times New Roman" w:hAnsi="Times New Roman"/>
                <w:sz w:val="18"/>
                <w:szCs w:val="18"/>
              </w:rPr>
            </w:pPr>
            <w:r>
              <w:rPr>
                <w:sz w:val="18"/>
                <w:szCs w:val="18"/>
              </w:rPr>
              <w:t>0,02</w:t>
            </w:r>
          </w:p>
        </w:tc>
      </w:tr>
      <w:tr w:rsidR="00B56301" w:rsidRPr="00AE5F1B" w14:paraId="2792ACC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CE1046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6F73328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65F44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5836A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35AB1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3F165F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E0F7E3"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723AB4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0FB756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09D30CB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9A9ED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CC955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891DE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4C947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E93F06"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CA8405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6DFA4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3C26BCC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24C90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3FF35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3684C5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4594B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67655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B2AC73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B8C26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3407259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138E30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6B261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A20FC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74559E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96EDB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B8990F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32A8B1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6226A49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F85B16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F4FB7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F5EEB4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75CD3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4F0542"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083CF60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78C15D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42EFAC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58639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F0640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3A3CC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03A8F2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91FA51"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696A9F2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5B65284" w14:textId="094CE3F9"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5E8856BC" w14:textId="77777777" w:rsidR="00B56301" w:rsidRPr="00AE5F1B" w:rsidRDefault="00B56301" w:rsidP="00B37B65">
            <w:pPr>
              <w:jc w:val="right"/>
              <w:rPr>
                <w:rFonts w:ascii="Times New Roman" w:hAnsi="Times New Roman"/>
                <w:sz w:val="18"/>
                <w:szCs w:val="18"/>
              </w:rPr>
            </w:pPr>
            <w:r>
              <w:rPr>
                <w:sz w:val="18"/>
                <w:szCs w:val="18"/>
              </w:rPr>
              <w:t>36,10</w:t>
            </w:r>
          </w:p>
        </w:tc>
        <w:tc>
          <w:tcPr>
            <w:tcW w:w="992" w:type="dxa"/>
            <w:tcBorders>
              <w:top w:val="nil"/>
              <w:left w:val="nil"/>
              <w:bottom w:val="single" w:sz="4" w:space="0" w:color="auto"/>
              <w:right w:val="single" w:sz="4" w:space="0" w:color="auto"/>
            </w:tcBorders>
            <w:shd w:val="clear" w:color="000000" w:fill="FFFFFF"/>
            <w:noWrap/>
            <w:vAlign w:val="bottom"/>
            <w:hideMark/>
          </w:tcPr>
          <w:p w14:paraId="2F7460C3" w14:textId="77777777" w:rsidR="00B56301" w:rsidRPr="00AE5F1B" w:rsidRDefault="00B56301" w:rsidP="00B37B65">
            <w:pPr>
              <w:jc w:val="right"/>
              <w:rPr>
                <w:rFonts w:ascii="Times New Roman" w:hAnsi="Times New Roman"/>
                <w:sz w:val="18"/>
                <w:szCs w:val="18"/>
              </w:rPr>
            </w:pPr>
            <w:r>
              <w:rPr>
                <w:sz w:val="18"/>
                <w:szCs w:val="18"/>
              </w:rPr>
              <w:t>61,73</w:t>
            </w:r>
          </w:p>
        </w:tc>
        <w:tc>
          <w:tcPr>
            <w:tcW w:w="992" w:type="dxa"/>
            <w:tcBorders>
              <w:top w:val="nil"/>
              <w:left w:val="nil"/>
              <w:bottom w:val="single" w:sz="4" w:space="0" w:color="auto"/>
              <w:right w:val="single" w:sz="4" w:space="0" w:color="auto"/>
            </w:tcBorders>
            <w:shd w:val="clear" w:color="000000" w:fill="FFFFFF"/>
            <w:noWrap/>
            <w:vAlign w:val="bottom"/>
            <w:hideMark/>
          </w:tcPr>
          <w:p w14:paraId="1EB0D2FD" w14:textId="77777777" w:rsidR="00B56301" w:rsidRPr="00AE5F1B" w:rsidRDefault="00B56301" w:rsidP="00B37B65">
            <w:pPr>
              <w:jc w:val="right"/>
              <w:rPr>
                <w:rFonts w:ascii="Times New Roman" w:hAnsi="Times New Roman"/>
                <w:sz w:val="18"/>
                <w:szCs w:val="18"/>
              </w:rPr>
            </w:pPr>
            <w:r>
              <w:rPr>
                <w:sz w:val="18"/>
                <w:szCs w:val="18"/>
              </w:rPr>
              <w:t>62,32</w:t>
            </w:r>
          </w:p>
        </w:tc>
        <w:tc>
          <w:tcPr>
            <w:tcW w:w="992" w:type="dxa"/>
            <w:tcBorders>
              <w:top w:val="nil"/>
              <w:left w:val="nil"/>
              <w:bottom w:val="single" w:sz="4" w:space="0" w:color="auto"/>
              <w:right w:val="single" w:sz="4" w:space="0" w:color="auto"/>
            </w:tcBorders>
            <w:shd w:val="clear" w:color="000000" w:fill="FFFFFF"/>
            <w:noWrap/>
            <w:vAlign w:val="bottom"/>
            <w:hideMark/>
          </w:tcPr>
          <w:p w14:paraId="009AE598" w14:textId="77777777" w:rsidR="00B56301" w:rsidRPr="00AE5F1B" w:rsidRDefault="00B56301" w:rsidP="00B37B65">
            <w:pPr>
              <w:jc w:val="right"/>
              <w:rPr>
                <w:rFonts w:ascii="Times New Roman" w:hAnsi="Times New Roman"/>
                <w:sz w:val="18"/>
                <w:szCs w:val="18"/>
              </w:rPr>
            </w:pPr>
            <w:r>
              <w:rPr>
                <w:sz w:val="18"/>
                <w:szCs w:val="18"/>
              </w:rPr>
              <w:t>34,61</w:t>
            </w:r>
          </w:p>
        </w:tc>
        <w:tc>
          <w:tcPr>
            <w:tcW w:w="992" w:type="dxa"/>
            <w:tcBorders>
              <w:top w:val="nil"/>
              <w:left w:val="nil"/>
              <w:bottom w:val="single" w:sz="4" w:space="0" w:color="auto"/>
              <w:right w:val="single" w:sz="4" w:space="0" w:color="auto"/>
            </w:tcBorders>
            <w:shd w:val="clear" w:color="000000" w:fill="FFFFFF"/>
            <w:noWrap/>
            <w:vAlign w:val="bottom"/>
            <w:hideMark/>
          </w:tcPr>
          <w:p w14:paraId="516695BD" w14:textId="77777777" w:rsidR="00B56301" w:rsidRPr="00AE5F1B" w:rsidRDefault="00B56301" w:rsidP="00B37B65">
            <w:pPr>
              <w:jc w:val="right"/>
              <w:rPr>
                <w:rFonts w:ascii="Times New Roman" w:hAnsi="Times New Roman"/>
                <w:sz w:val="18"/>
                <w:szCs w:val="18"/>
              </w:rPr>
            </w:pPr>
            <w:r>
              <w:rPr>
                <w:sz w:val="18"/>
                <w:szCs w:val="18"/>
              </w:rPr>
              <w:t>30,48</w:t>
            </w:r>
          </w:p>
        </w:tc>
        <w:tc>
          <w:tcPr>
            <w:tcW w:w="992" w:type="dxa"/>
            <w:tcBorders>
              <w:top w:val="nil"/>
              <w:left w:val="nil"/>
              <w:bottom w:val="single" w:sz="4" w:space="0" w:color="auto"/>
              <w:right w:val="single" w:sz="4" w:space="0" w:color="auto"/>
            </w:tcBorders>
            <w:shd w:val="clear" w:color="000000" w:fill="FFFFFF"/>
            <w:noWrap/>
            <w:vAlign w:val="bottom"/>
            <w:hideMark/>
          </w:tcPr>
          <w:p w14:paraId="678B633A" w14:textId="77777777" w:rsidR="00B56301" w:rsidRPr="00AE5F1B" w:rsidRDefault="00B56301" w:rsidP="00B37B65">
            <w:pPr>
              <w:jc w:val="right"/>
              <w:rPr>
                <w:rFonts w:ascii="Times New Roman" w:hAnsi="Times New Roman"/>
                <w:sz w:val="18"/>
                <w:szCs w:val="18"/>
              </w:rPr>
            </w:pPr>
            <w:r>
              <w:rPr>
                <w:sz w:val="18"/>
                <w:szCs w:val="18"/>
              </w:rPr>
              <w:t>39,66</w:t>
            </w:r>
          </w:p>
        </w:tc>
      </w:tr>
      <w:tr w:rsidR="00B56301" w:rsidRPr="00AE5F1B" w14:paraId="162D04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3A67A6E1" w14:textId="65D28A71"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3579E32D" w14:textId="77777777" w:rsidR="00B56301" w:rsidRPr="00AE5F1B" w:rsidRDefault="00B56301" w:rsidP="00B37B65">
            <w:pPr>
              <w:jc w:val="right"/>
              <w:rPr>
                <w:rFonts w:ascii="Times New Roman" w:hAnsi="Times New Roman"/>
                <w:sz w:val="18"/>
                <w:szCs w:val="18"/>
              </w:rPr>
            </w:pPr>
            <w:r>
              <w:rPr>
                <w:sz w:val="18"/>
                <w:szCs w:val="18"/>
              </w:rPr>
              <w:t>3064,56</w:t>
            </w:r>
          </w:p>
        </w:tc>
        <w:tc>
          <w:tcPr>
            <w:tcW w:w="992" w:type="dxa"/>
            <w:tcBorders>
              <w:top w:val="nil"/>
              <w:left w:val="nil"/>
              <w:bottom w:val="single" w:sz="4" w:space="0" w:color="auto"/>
              <w:right w:val="single" w:sz="4" w:space="0" w:color="auto"/>
            </w:tcBorders>
            <w:shd w:val="clear" w:color="000000" w:fill="CCFFFF"/>
            <w:noWrap/>
            <w:vAlign w:val="bottom"/>
            <w:hideMark/>
          </w:tcPr>
          <w:p w14:paraId="200CFC3B" w14:textId="77777777" w:rsidR="00B56301" w:rsidRPr="00AE5F1B" w:rsidRDefault="00B56301" w:rsidP="00B37B65">
            <w:pPr>
              <w:jc w:val="right"/>
              <w:rPr>
                <w:rFonts w:ascii="Times New Roman" w:hAnsi="Times New Roman"/>
                <w:sz w:val="18"/>
                <w:szCs w:val="18"/>
              </w:rPr>
            </w:pPr>
            <w:r>
              <w:rPr>
                <w:sz w:val="18"/>
                <w:szCs w:val="18"/>
              </w:rPr>
              <w:t>2796,25</w:t>
            </w:r>
          </w:p>
        </w:tc>
        <w:tc>
          <w:tcPr>
            <w:tcW w:w="992" w:type="dxa"/>
            <w:tcBorders>
              <w:top w:val="nil"/>
              <w:left w:val="nil"/>
              <w:bottom w:val="single" w:sz="4" w:space="0" w:color="auto"/>
              <w:right w:val="single" w:sz="4" w:space="0" w:color="auto"/>
            </w:tcBorders>
            <w:shd w:val="clear" w:color="000000" w:fill="CCFFFF"/>
            <w:noWrap/>
            <w:vAlign w:val="bottom"/>
            <w:hideMark/>
          </w:tcPr>
          <w:p w14:paraId="2D3536D5" w14:textId="77777777" w:rsidR="00B56301" w:rsidRPr="00AE5F1B" w:rsidRDefault="00B56301" w:rsidP="00B37B65">
            <w:pPr>
              <w:jc w:val="right"/>
              <w:rPr>
                <w:rFonts w:ascii="Times New Roman" w:hAnsi="Times New Roman"/>
                <w:sz w:val="18"/>
                <w:szCs w:val="18"/>
              </w:rPr>
            </w:pPr>
            <w:r>
              <w:rPr>
                <w:sz w:val="18"/>
                <w:szCs w:val="18"/>
              </w:rPr>
              <w:t>2895,97</w:t>
            </w:r>
          </w:p>
        </w:tc>
        <w:tc>
          <w:tcPr>
            <w:tcW w:w="992" w:type="dxa"/>
            <w:tcBorders>
              <w:top w:val="nil"/>
              <w:left w:val="nil"/>
              <w:bottom w:val="single" w:sz="4" w:space="0" w:color="auto"/>
              <w:right w:val="single" w:sz="4" w:space="0" w:color="auto"/>
            </w:tcBorders>
            <w:shd w:val="clear" w:color="000000" w:fill="CCFFFF"/>
            <w:noWrap/>
            <w:vAlign w:val="bottom"/>
            <w:hideMark/>
          </w:tcPr>
          <w:p w14:paraId="6D854339" w14:textId="77777777" w:rsidR="00B56301" w:rsidRPr="00AE5F1B" w:rsidRDefault="00B56301" w:rsidP="00B37B65">
            <w:pPr>
              <w:jc w:val="right"/>
              <w:rPr>
                <w:rFonts w:ascii="Times New Roman" w:hAnsi="Times New Roman"/>
                <w:sz w:val="18"/>
                <w:szCs w:val="18"/>
              </w:rPr>
            </w:pPr>
            <w:r>
              <w:rPr>
                <w:sz w:val="18"/>
                <w:szCs w:val="18"/>
              </w:rPr>
              <w:t>3391,71</w:t>
            </w:r>
          </w:p>
        </w:tc>
        <w:tc>
          <w:tcPr>
            <w:tcW w:w="992" w:type="dxa"/>
            <w:tcBorders>
              <w:top w:val="nil"/>
              <w:left w:val="nil"/>
              <w:bottom w:val="single" w:sz="4" w:space="0" w:color="auto"/>
              <w:right w:val="single" w:sz="4" w:space="0" w:color="auto"/>
            </w:tcBorders>
            <w:shd w:val="clear" w:color="000000" w:fill="CCFFFF"/>
            <w:noWrap/>
            <w:vAlign w:val="bottom"/>
            <w:hideMark/>
          </w:tcPr>
          <w:p w14:paraId="2C70C43D" w14:textId="77777777" w:rsidR="00B56301" w:rsidRPr="00AE5F1B" w:rsidRDefault="00B56301" w:rsidP="00B37B65">
            <w:pPr>
              <w:jc w:val="right"/>
              <w:rPr>
                <w:rFonts w:ascii="Times New Roman" w:hAnsi="Times New Roman"/>
                <w:sz w:val="18"/>
                <w:szCs w:val="18"/>
              </w:rPr>
            </w:pPr>
            <w:r>
              <w:rPr>
                <w:sz w:val="18"/>
                <w:szCs w:val="18"/>
              </w:rPr>
              <w:t>4218,40</w:t>
            </w:r>
          </w:p>
        </w:tc>
        <w:tc>
          <w:tcPr>
            <w:tcW w:w="992" w:type="dxa"/>
            <w:tcBorders>
              <w:top w:val="nil"/>
              <w:left w:val="nil"/>
              <w:bottom w:val="single" w:sz="4" w:space="0" w:color="auto"/>
              <w:right w:val="single" w:sz="4" w:space="0" w:color="auto"/>
            </w:tcBorders>
            <w:shd w:val="clear" w:color="000000" w:fill="CCFFFF"/>
            <w:noWrap/>
            <w:vAlign w:val="bottom"/>
            <w:hideMark/>
          </w:tcPr>
          <w:p w14:paraId="7D252C9A" w14:textId="77777777" w:rsidR="00B56301" w:rsidRPr="00AE5F1B" w:rsidRDefault="00B56301" w:rsidP="00B37B65">
            <w:pPr>
              <w:jc w:val="right"/>
              <w:rPr>
                <w:rFonts w:ascii="Times New Roman" w:hAnsi="Times New Roman"/>
                <w:sz w:val="18"/>
                <w:szCs w:val="18"/>
              </w:rPr>
            </w:pPr>
            <w:r>
              <w:rPr>
                <w:sz w:val="18"/>
                <w:szCs w:val="18"/>
              </w:rPr>
              <w:t>2997,49</w:t>
            </w:r>
          </w:p>
        </w:tc>
      </w:tr>
      <w:tr w:rsidR="00B56301" w:rsidRPr="00AE5F1B" w14:paraId="43B692B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82506E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1F8666BF" w14:textId="77777777" w:rsidR="00B56301" w:rsidRPr="00AE5F1B" w:rsidRDefault="00B56301" w:rsidP="00B37B65">
            <w:pPr>
              <w:jc w:val="right"/>
              <w:rPr>
                <w:rFonts w:ascii="Times New Roman" w:hAnsi="Times New Roman"/>
                <w:sz w:val="18"/>
                <w:szCs w:val="18"/>
              </w:rPr>
            </w:pPr>
            <w:r>
              <w:rPr>
                <w:sz w:val="18"/>
                <w:szCs w:val="18"/>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022061EA" w14:textId="77777777" w:rsidR="00B56301" w:rsidRPr="00AE5F1B" w:rsidRDefault="00B56301" w:rsidP="00B37B65">
            <w:pPr>
              <w:jc w:val="right"/>
              <w:rPr>
                <w:rFonts w:ascii="Times New Roman" w:hAnsi="Times New Roman"/>
                <w:sz w:val="18"/>
                <w:szCs w:val="18"/>
              </w:rPr>
            </w:pPr>
            <w:r>
              <w:rPr>
                <w:sz w:val="18"/>
                <w:szCs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2F590E26" w14:textId="77777777" w:rsidR="00B56301" w:rsidRPr="00AE5F1B" w:rsidRDefault="00B56301" w:rsidP="00B37B65">
            <w:pPr>
              <w:jc w:val="right"/>
              <w:rPr>
                <w:rFonts w:ascii="Times New Roman" w:hAnsi="Times New Roman"/>
                <w:sz w:val="18"/>
                <w:szCs w:val="18"/>
              </w:rPr>
            </w:pPr>
            <w:r>
              <w:rPr>
                <w:sz w:val="18"/>
                <w:szCs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06808DDE" w14:textId="77777777" w:rsidR="00B56301" w:rsidRPr="00AE5F1B" w:rsidRDefault="00B56301" w:rsidP="00B37B65">
            <w:pPr>
              <w:jc w:val="right"/>
              <w:rPr>
                <w:rFonts w:ascii="Times New Roman" w:hAnsi="Times New Roman"/>
                <w:sz w:val="18"/>
                <w:szCs w:val="18"/>
              </w:rPr>
            </w:pPr>
            <w:r>
              <w:rPr>
                <w:sz w:val="18"/>
                <w:szCs w:val="18"/>
              </w:rPr>
              <w:t>0,28</w:t>
            </w:r>
          </w:p>
        </w:tc>
        <w:tc>
          <w:tcPr>
            <w:tcW w:w="992" w:type="dxa"/>
            <w:tcBorders>
              <w:top w:val="nil"/>
              <w:left w:val="nil"/>
              <w:bottom w:val="single" w:sz="4" w:space="0" w:color="auto"/>
              <w:right w:val="single" w:sz="4" w:space="0" w:color="auto"/>
            </w:tcBorders>
            <w:shd w:val="clear" w:color="000000" w:fill="FFFFFF"/>
            <w:noWrap/>
            <w:vAlign w:val="bottom"/>
            <w:hideMark/>
          </w:tcPr>
          <w:p w14:paraId="0CCF41C3" w14:textId="77777777" w:rsidR="00B56301" w:rsidRPr="00AE5F1B" w:rsidRDefault="00B56301" w:rsidP="00B37B65">
            <w:pPr>
              <w:jc w:val="right"/>
              <w:rPr>
                <w:rFonts w:ascii="Times New Roman" w:hAnsi="Times New Roman"/>
                <w:sz w:val="18"/>
                <w:szCs w:val="18"/>
              </w:rPr>
            </w:pPr>
            <w:r>
              <w:rPr>
                <w:sz w:val="18"/>
                <w:szCs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061A8D97" w14:textId="77777777" w:rsidR="00B56301" w:rsidRPr="00AE5F1B" w:rsidRDefault="00B56301" w:rsidP="00B37B65">
            <w:pPr>
              <w:jc w:val="right"/>
              <w:rPr>
                <w:rFonts w:ascii="Times New Roman" w:hAnsi="Times New Roman"/>
                <w:sz w:val="18"/>
                <w:szCs w:val="18"/>
              </w:rPr>
            </w:pPr>
            <w:r>
              <w:rPr>
                <w:sz w:val="18"/>
                <w:szCs w:val="18"/>
              </w:rPr>
              <w:t>0,24</w:t>
            </w:r>
          </w:p>
        </w:tc>
      </w:tr>
      <w:tr w:rsidR="00B56301" w:rsidRPr="00AE5F1B" w14:paraId="52C7005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E27BE3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5BA0DBD"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DADF4DC"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59776AA"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1EB009F6" w14:textId="77777777" w:rsidR="00B56301" w:rsidRPr="00AE5F1B" w:rsidRDefault="00B56301" w:rsidP="00B37B65">
            <w:pPr>
              <w:jc w:val="right"/>
              <w:rPr>
                <w:rFonts w:ascii="Times New Roman" w:hAnsi="Times New Roman"/>
                <w:sz w:val="18"/>
                <w:szCs w:val="18"/>
              </w:rPr>
            </w:pPr>
            <w:r>
              <w:rPr>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627AF0AA" w14:textId="77777777" w:rsidR="00B56301" w:rsidRPr="00AE5F1B" w:rsidRDefault="00B56301" w:rsidP="00B37B65">
            <w:pPr>
              <w:jc w:val="right"/>
              <w:rPr>
                <w:rFonts w:ascii="Times New Roman" w:hAnsi="Times New Roman"/>
                <w:sz w:val="18"/>
                <w:szCs w:val="18"/>
              </w:rPr>
            </w:pPr>
            <w:r>
              <w:rPr>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216FA2D8" w14:textId="77777777" w:rsidR="00B56301" w:rsidRPr="00AE5F1B" w:rsidRDefault="00B56301" w:rsidP="00B37B65">
            <w:pPr>
              <w:jc w:val="right"/>
              <w:rPr>
                <w:rFonts w:ascii="Times New Roman" w:hAnsi="Times New Roman"/>
                <w:sz w:val="18"/>
                <w:szCs w:val="18"/>
              </w:rPr>
            </w:pPr>
            <w:r>
              <w:rPr>
                <w:sz w:val="18"/>
                <w:szCs w:val="18"/>
              </w:rPr>
              <w:t>0,08</w:t>
            </w:r>
          </w:p>
        </w:tc>
      </w:tr>
      <w:tr w:rsidR="00B56301" w:rsidRPr="00AE5F1B" w14:paraId="689C546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764516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1E93FA25"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DF01E7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CE21A2"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1ED3298"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BADD0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2BEB116"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6D8E893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5F1B8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6BB11E8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EC27B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BD2E4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EA5A24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3504083"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8C7A195"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59F4793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03437F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3E53BECB"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DCB5733"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DD171E"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8CCC0B2"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20974F5"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FD8C46E"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0ECB652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DC0BB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1EBAADF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AB1D7C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3B05D8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000519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47EAD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D0A4A25"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559C9320"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BF5536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7D8C768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0ABB4B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63FC53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77CA8F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69EB9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E809337"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3B9BE3A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2C50D1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0C9301D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EBB809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A40B34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F2AEBBC"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CA25AA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7C537F"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12F2525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679B0E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5842D9C"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AD6B38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B1430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65B50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8DF3BB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703AC35"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292A3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54D61FD" w14:textId="5915F9B9"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34B52251" w14:textId="77777777" w:rsidR="00B56301" w:rsidRPr="00AE5F1B" w:rsidRDefault="00B56301" w:rsidP="00B37B65">
            <w:pPr>
              <w:jc w:val="right"/>
              <w:rPr>
                <w:rFonts w:ascii="Times New Roman" w:hAnsi="Times New Roman"/>
                <w:sz w:val="18"/>
                <w:szCs w:val="18"/>
              </w:rPr>
            </w:pPr>
            <w:r>
              <w:rPr>
                <w:sz w:val="18"/>
                <w:szCs w:val="18"/>
              </w:rPr>
              <w:t>335,32</w:t>
            </w:r>
          </w:p>
        </w:tc>
        <w:tc>
          <w:tcPr>
            <w:tcW w:w="992" w:type="dxa"/>
            <w:tcBorders>
              <w:top w:val="nil"/>
              <w:left w:val="nil"/>
              <w:bottom w:val="single" w:sz="4" w:space="0" w:color="auto"/>
              <w:right w:val="single" w:sz="4" w:space="0" w:color="auto"/>
            </w:tcBorders>
            <w:shd w:val="clear" w:color="000000" w:fill="FFFFFF"/>
            <w:noWrap/>
            <w:vAlign w:val="bottom"/>
            <w:hideMark/>
          </w:tcPr>
          <w:p w14:paraId="23F25D90" w14:textId="77777777" w:rsidR="00B56301" w:rsidRPr="00AE5F1B" w:rsidRDefault="00B56301" w:rsidP="00B37B65">
            <w:pPr>
              <w:jc w:val="right"/>
              <w:rPr>
                <w:rFonts w:ascii="Times New Roman" w:hAnsi="Times New Roman"/>
                <w:sz w:val="18"/>
                <w:szCs w:val="18"/>
              </w:rPr>
            </w:pPr>
            <w:r>
              <w:rPr>
                <w:sz w:val="18"/>
                <w:szCs w:val="18"/>
              </w:rPr>
              <w:t>264,34</w:t>
            </w:r>
          </w:p>
        </w:tc>
        <w:tc>
          <w:tcPr>
            <w:tcW w:w="992" w:type="dxa"/>
            <w:tcBorders>
              <w:top w:val="nil"/>
              <w:left w:val="nil"/>
              <w:bottom w:val="single" w:sz="4" w:space="0" w:color="auto"/>
              <w:right w:val="single" w:sz="4" w:space="0" w:color="auto"/>
            </w:tcBorders>
            <w:shd w:val="clear" w:color="000000" w:fill="FFFFFF"/>
            <w:noWrap/>
            <w:vAlign w:val="bottom"/>
            <w:hideMark/>
          </w:tcPr>
          <w:p w14:paraId="23FC1283" w14:textId="77777777" w:rsidR="00B56301" w:rsidRPr="00AE5F1B" w:rsidRDefault="00B56301" w:rsidP="00B37B65">
            <w:pPr>
              <w:jc w:val="right"/>
              <w:rPr>
                <w:rFonts w:ascii="Times New Roman" w:hAnsi="Times New Roman"/>
                <w:sz w:val="18"/>
                <w:szCs w:val="18"/>
              </w:rPr>
            </w:pPr>
            <w:r>
              <w:rPr>
                <w:sz w:val="18"/>
                <w:szCs w:val="18"/>
              </w:rPr>
              <w:t>159,22</w:t>
            </w:r>
          </w:p>
        </w:tc>
        <w:tc>
          <w:tcPr>
            <w:tcW w:w="992" w:type="dxa"/>
            <w:tcBorders>
              <w:top w:val="nil"/>
              <w:left w:val="nil"/>
              <w:bottom w:val="single" w:sz="4" w:space="0" w:color="auto"/>
              <w:right w:val="single" w:sz="4" w:space="0" w:color="auto"/>
            </w:tcBorders>
            <w:shd w:val="clear" w:color="000000" w:fill="FFFFFF"/>
            <w:noWrap/>
            <w:vAlign w:val="bottom"/>
            <w:hideMark/>
          </w:tcPr>
          <w:p w14:paraId="185F0415" w14:textId="77777777" w:rsidR="00B56301" w:rsidRPr="00AE5F1B" w:rsidRDefault="00B56301" w:rsidP="00B37B65">
            <w:pPr>
              <w:jc w:val="right"/>
              <w:rPr>
                <w:rFonts w:ascii="Times New Roman" w:hAnsi="Times New Roman"/>
                <w:sz w:val="18"/>
                <w:szCs w:val="18"/>
              </w:rPr>
            </w:pPr>
            <w:r>
              <w:rPr>
                <w:sz w:val="18"/>
                <w:szCs w:val="18"/>
              </w:rPr>
              <w:t>176,64</w:t>
            </w:r>
          </w:p>
        </w:tc>
        <w:tc>
          <w:tcPr>
            <w:tcW w:w="992" w:type="dxa"/>
            <w:tcBorders>
              <w:top w:val="nil"/>
              <w:left w:val="nil"/>
              <w:bottom w:val="single" w:sz="4" w:space="0" w:color="auto"/>
              <w:right w:val="single" w:sz="4" w:space="0" w:color="auto"/>
            </w:tcBorders>
            <w:shd w:val="clear" w:color="000000" w:fill="FFFFFF"/>
            <w:noWrap/>
            <w:vAlign w:val="bottom"/>
            <w:hideMark/>
          </w:tcPr>
          <w:p w14:paraId="102C60F7" w14:textId="77777777" w:rsidR="00B56301" w:rsidRPr="00AE5F1B" w:rsidRDefault="00B56301" w:rsidP="00B37B65">
            <w:pPr>
              <w:jc w:val="right"/>
              <w:rPr>
                <w:rFonts w:ascii="Times New Roman" w:hAnsi="Times New Roman"/>
                <w:sz w:val="18"/>
                <w:szCs w:val="18"/>
              </w:rPr>
            </w:pPr>
            <w:r>
              <w:rPr>
                <w:sz w:val="18"/>
                <w:szCs w:val="18"/>
              </w:rPr>
              <w:t>181,77</w:t>
            </w:r>
          </w:p>
        </w:tc>
        <w:tc>
          <w:tcPr>
            <w:tcW w:w="992" w:type="dxa"/>
            <w:tcBorders>
              <w:top w:val="nil"/>
              <w:left w:val="nil"/>
              <w:bottom w:val="single" w:sz="4" w:space="0" w:color="auto"/>
              <w:right w:val="single" w:sz="4" w:space="0" w:color="auto"/>
            </w:tcBorders>
            <w:shd w:val="clear" w:color="000000" w:fill="FFFFFF"/>
            <w:noWrap/>
            <w:vAlign w:val="bottom"/>
            <w:hideMark/>
          </w:tcPr>
          <w:p w14:paraId="11909436" w14:textId="77777777" w:rsidR="00B56301" w:rsidRPr="00AE5F1B" w:rsidRDefault="00B56301" w:rsidP="00B37B65">
            <w:pPr>
              <w:jc w:val="right"/>
              <w:rPr>
                <w:rFonts w:ascii="Times New Roman" w:hAnsi="Times New Roman"/>
                <w:sz w:val="18"/>
                <w:szCs w:val="18"/>
              </w:rPr>
            </w:pPr>
            <w:r>
              <w:rPr>
                <w:sz w:val="18"/>
                <w:szCs w:val="18"/>
              </w:rPr>
              <w:t>151,32</w:t>
            </w:r>
          </w:p>
        </w:tc>
      </w:tr>
      <w:tr w:rsidR="00B56301" w:rsidRPr="00AE5F1B" w14:paraId="78A9B19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E87DADB" w14:textId="7FD123B7"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3CE40F9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4374D2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897B29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EAA905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070126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67EC71E"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C1A575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10F2369" w14:textId="7506343D"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7F09F7">
              <w:rPr>
                <w:lang w:val="en-GB"/>
              </w:rPr>
              <w:t>SF</w:t>
            </w:r>
            <w:r w:rsidR="007F09F7" w:rsidRPr="007F09F7">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CCE2B1D" w14:textId="77777777" w:rsidR="00B56301" w:rsidRPr="00AE5F1B" w:rsidRDefault="00B56301" w:rsidP="00B37B65">
            <w:pPr>
              <w:jc w:val="right"/>
              <w:rPr>
                <w:rFonts w:ascii="Times New Roman" w:hAnsi="Times New Roman"/>
                <w:sz w:val="18"/>
                <w:szCs w:val="18"/>
              </w:rPr>
            </w:pPr>
            <w:r>
              <w:rPr>
                <w:sz w:val="18"/>
                <w:szCs w:val="18"/>
              </w:rPr>
              <w:t>2466,60</w:t>
            </w:r>
          </w:p>
        </w:tc>
        <w:tc>
          <w:tcPr>
            <w:tcW w:w="992" w:type="dxa"/>
            <w:tcBorders>
              <w:top w:val="nil"/>
              <w:left w:val="nil"/>
              <w:bottom w:val="single" w:sz="4" w:space="0" w:color="auto"/>
              <w:right w:val="single" w:sz="4" w:space="0" w:color="auto"/>
            </w:tcBorders>
            <w:shd w:val="clear" w:color="000000" w:fill="CCFFFF"/>
            <w:noWrap/>
            <w:vAlign w:val="bottom"/>
            <w:hideMark/>
          </w:tcPr>
          <w:p w14:paraId="6C58EBAC" w14:textId="77777777" w:rsidR="00B56301" w:rsidRPr="00AE5F1B" w:rsidRDefault="00B56301" w:rsidP="00B37B65">
            <w:pPr>
              <w:jc w:val="right"/>
              <w:rPr>
                <w:rFonts w:ascii="Times New Roman" w:hAnsi="Times New Roman"/>
                <w:sz w:val="18"/>
                <w:szCs w:val="18"/>
              </w:rPr>
            </w:pPr>
            <w:r>
              <w:rPr>
                <w:sz w:val="18"/>
                <w:szCs w:val="18"/>
              </w:rPr>
              <w:t>2494,64</w:t>
            </w:r>
          </w:p>
        </w:tc>
        <w:tc>
          <w:tcPr>
            <w:tcW w:w="992" w:type="dxa"/>
            <w:tcBorders>
              <w:top w:val="nil"/>
              <w:left w:val="nil"/>
              <w:bottom w:val="single" w:sz="4" w:space="0" w:color="auto"/>
              <w:right w:val="single" w:sz="4" w:space="0" w:color="auto"/>
            </w:tcBorders>
            <w:shd w:val="clear" w:color="000000" w:fill="CCFFFF"/>
            <w:noWrap/>
            <w:vAlign w:val="bottom"/>
            <w:hideMark/>
          </w:tcPr>
          <w:p w14:paraId="2A561428" w14:textId="77777777" w:rsidR="00B56301" w:rsidRPr="00AE5F1B" w:rsidRDefault="00B56301" w:rsidP="00B37B65">
            <w:pPr>
              <w:jc w:val="right"/>
              <w:rPr>
                <w:rFonts w:ascii="Times New Roman" w:hAnsi="Times New Roman"/>
                <w:sz w:val="18"/>
                <w:szCs w:val="18"/>
              </w:rPr>
            </w:pPr>
            <w:r>
              <w:rPr>
                <w:sz w:val="18"/>
                <w:szCs w:val="18"/>
              </w:rPr>
              <w:t>2475,92</w:t>
            </w:r>
          </w:p>
        </w:tc>
        <w:tc>
          <w:tcPr>
            <w:tcW w:w="992" w:type="dxa"/>
            <w:tcBorders>
              <w:top w:val="nil"/>
              <w:left w:val="nil"/>
              <w:bottom w:val="single" w:sz="4" w:space="0" w:color="auto"/>
              <w:right w:val="single" w:sz="4" w:space="0" w:color="auto"/>
            </w:tcBorders>
            <w:shd w:val="clear" w:color="000000" w:fill="CCFFFF"/>
            <w:noWrap/>
            <w:vAlign w:val="bottom"/>
            <w:hideMark/>
          </w:tcPr>
          <w:p w14:paraId="435000F2" w14:textId="77777777" w:rsidR="00B56301" w:rsidRPr="00AE5F1B" w:rsidRDefault="00B56301" w:rsidP="00B37B65">
            <w:pPr>
              <w:jc w:val="right"/>
              <w:rPr>
                <w:rFonts w:ascii="Times New Roman" w:hAnsi="Times New Roman"/>
                <w:sz w:val="18"/>
                <w:szCs w:val="18"/>
              </w:rPr>
            </w:pPr>
            <w:r>
              <w:rPr>
                <w:sz w:val="18"/>
                <w:szCs w:val="18"/>
              </w:rPr>
              <w:t>2593,70</w:t>
            </w:r>
          </w:p>
        </w:tc>
        <w:tc>
          <w:tcPr>
            <w:tcW w:w="992" w:type="dxa"/>
            <w:tcBorders>
              <w:top w:val="nil"/>
              <w:left w:val="nil"/>
              <w:bottom w:val="single" w:sz="4" w:space="0" w:color="auto"/>
              <w:right w:val="single" w:sz="4" w:space="0" w:color="auto"/>
            </w:tcBorders>
            <w:shd w:val="clear" w:color="000000" w:fill="CCFFFF"/>
            <w:noWrap/>
            <w:vAlign w:val="bottom"/>
            <w:hideMark/>
          </w:tcPr>
          <w:p w14:paraId="6F412984" w14:textId="77777777" w:rsidR="00B56301" w:rsidRPr="00AE5F1B" w:rsidRDefault="00B56301" w:rsidP="00B37B65">
            <w:pPr>
              <w:jc w:val="right"/>
              <w:rPr>
                <w:rFonts w:ascii="Times New Roman" w:hAnsi="Times New Roman"/>
                <w:sz w:val="18"/>
                <w:szCs w:val="18"/>
              </w:rPr>
            </w:pPr>
            <w:r>
              <w:rPr>
                <w:sz w:val="18"/>
                <w:szCs w:val="18"/>
              </w:rPr>
              <w:t>2292,74</w:t>
            </w:r>
          </w:p>
        </w:tc>
        <w:tc>
          <w:tcPr>
            <w:tcW w:w="992" w:type="dxa"/>
            <w:tcBorders>
              <w:top w:val="nil"/>
              <w:left w:val="nil"/>
              <w:bottom w:val="single" w:sz="4" w:space="0" w:color="auto"/>
              <w:right w:val="single" w:sz="4" w:space="0" w:color="auto"/>
            </w:tcBorders>
            <w:shd w:val="clear" w:color="000000" w:fill="CCFFFF"/>
            <w:noWrap/>
            <w:vAlign w:val="bottom"/>
            <w:hideMark/>
          </w:tcPr>
          <w:p w14:paraId="31E2927B" w14:textId="77777777" w:rsidR="00B56301" w:rsidRPr="00AE5F1B" w:rsidRDefault="00B56301" w:rsidP="00B37B65">
            <w:pPr>
              <w:jc w:val="right"/>
              <w:rPr>
                <w:rFonts w:ascii="Times New Roman" w:hAnsi="Times New Roman"/>
                <w:sz w:val="18"/>
                <w:szCs w:val="18"/>
              </w:rPr>
            </w:pPr>
            <w:r>
              <w:rPr>
                <w:sz w:val="18"/>
                <w:szCs w:val="18"/>
              </w:rPr>
              <w:t>2180,33</w:t>
            </w:r>
          </w:p>
        </w:tc>
      </w:tr>
      <w:tr w:rsidR="00B56301" w:rsidRPr="00AE5F1B" w14:paraId="5A6F70BD"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7994A812" w14:textId="0B1ECB10"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5700BF16"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2AF9545"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34FE4F95"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1B3FE6F7"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7D8C516B" w14:textId="77777777" w:rsidR="00B56301" w:rsidRPr="00AE5F1B" w:rsidRDefault="00B56301" w:rsidP="00B37B65">
            <w:pPr>
              <w:jc w:val="right"/>
              <w:rPr>
                <w:rFonts w:ascii="Times New Roman" w:hAnsi="Times New Roman"/>
                <w:sz w:val="18"/>
                <w:szCs w:val="18"/>
              </w:rPr>
            </w:pPr>
            <w:r>
              <w:rPr>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0B1C5ED9" w14:textId="77777777" w:rsidR="00B56301" w:rsidRPr="00AE5F1B" w:rsidRDefault="00B56301" w:rsidP="00B37B65">
            <w:pPr>
              <w:jc w:val="right"/>
              <w:rPr>
                <w:rFonts w:ascii="Times New Roman" w:hAnsi="Times New Roman"/>
                <w:sz w:val="18"/>
                <w:szCs w:val="18"/>
              </w:rPr>
            </w:pPr>
            <w:r>
              <w:rPr>
                <w:sz w:val="18"/>
                <w:szCs w:val="18"/>
              </w:rPr>
              <w:t>0,10</w:t>
            </w:r>
          </w:p>
        </w:tc>
      </w:tr>
      <w:tr w:rsidR="00B56301" w:rsidRPr="00AE5F1B" w14:paraId="02051560"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044EE90" w14:textId="59580568"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6C251B">
              <w:rPr>
                <w:sz w:val="18"/>
                <w:lang w:val="en-GB"/>
              </w:rPr>
              <w:t>NF</w:t>
            </w:r>
            <w:r w:rsidR="007F09F7" w:rsidRPr="006C251B">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F80AD00" w14:textId="77777777" w:rsidR="00B56301" w:rsidRPr="00AE5F1B" w:rsidRDefault="00B56301" w:rsidP="00B37B65">
            <w:pPr>
              <w:jc w:val="right"/>
              <w:rPr>
                <w:rFonts w:ascii="Times New Roman" w:hAnsi="Times New Roman"/>
                <w:sz w:val="18"/>
                <w:szCs w:val="18"/>
              </w:rPr>
            </w:pPr>
            <w:r>
              <w:rPr>
                <w:sz w:val="18"/>
                <w:szCs w:val="18"/>
              </w:rPr>
              <w:t>6,26</w:t>
            </w:r>
          </w:p>
        </w:tc>
        <w:tc>
          <w:tcPr>
            <w:tcW w:w="992" w:type="dxa"/>
            <w:tcBorders>
              <w:top w:val="nil"/>
              <w:left w:val="nil"/>
              <w:bottom w:val="single" w:sz="4" w:space="0" w:color="auto"/>
              <w:right w:val="single" w:sz="4" w:space="0" w:color="auto"/>
            </w:tcBorders>
            <w:shd w:val="clear" w:color="000000" w:fill="CCFFFF"/>
            <w:noWrap/>
            <w:vAlign w:val="bottom"/>
            <w:hideMark/>
          </w:tcPr>
          <w:p w14:paraId="3679DD07" w14:textId="77777777" w:rsidR="00B56301" w:rsidRPr="00AE5F1B" w:rsidRDefault="00B56301" w:rsidP="00B37B65">
            <w:pPr>
              <w:jc w:val="right"/>
              <w:rPr>
                <w:rFonts w:ascii="Times New Roman" w:hAnsi="Times New Roman"/>
                <w:sz w:val="18"/>
                <w:szCs w:val="18"/>
              </w:rPr>
            </w:pPr>
            <w:r>
              <w:rPr>
                <w:sz w:val="18"/>
                <w:szCs w:val="18"/>
              </w:rPr>
              <w:t>11,46</w:t>
            </w:r>
          </w:p>
        </w:tc>
        <w:tc>
          <w:tcPr>
            <w:tcW w:w="992" w:type="dxa"/>
            <w:tcBorders>
              <w:top w:val="nil"/>
              <w:left w:val="nil"/>
              <w:bottom w:val="single" w:sz="4" w:space="0" w:color="auto"/>
              <w:right w:val="single" w:sz="4" w:space="0" w:color="auto"/>
            </w:tcBorders>
            <w:shd w:val="clear" w:color="000000" w:fill="CCFFFF"/>
            <w:noWrap/>
            <w:vAlign w:val="bottom"/>
            <w:hideMark/>
          </w:tcPr>
          <w:p w14:paraId="7C21195A" w14:textId="77777777" w:rsidR="00B56301" w:rsidRPr="00AE5F1B" w:rsidRDefault="00B56301" w:rsidP="00B37B65">
            <w:pPr>
              <w:jc w:val="right"/>
              <w:rPr>
                <w:rFonts w:ascii="Times New Roman" w:hAnsi="Times New Roman"/>
                <w:sz w:val="18"/>
                <w:szCs w:val="18"/>
              </w:rPr>
            </w:pPr>
            <w:r>
              <w:rPr>
                <w:sz w:val="18"/>
                <w:szCs w:val="18"/>
              </w:rPr>
              <w:t>17,18</w:t>
            </w:r>
          </w:p>
        </w:tc>
        <w:tc>
          <w:tcPr>
            <w:tcW w:w="992" w:type="dxa"/>
            <w:tcBorders>
              <w:top w:val="nil"/>
              <w:left w:val="nil"/>
              <w:bottom w:val="single" w:sz="4" w:space="0" w:color="auto"/>
              <w:right w:val="single" w:sz="4" w:space="0" w:color="auto"/>
            </w:tcBorders>
            <w:shd w:val="clear" w:color="000000" w:fill="CCFFFF"/>
            <w:noWrap/>
            <w:vAlign w:val="bottom"/>
            <w:hideMark/>
          </w:tcPr>
          <w:p w14:paraId="1CD67A4C" w14:textId="77777777" w:rsidR="00B56301" w:rsidRPr="00AE5F1B" w:rsidRDefault="00B56301" w:rsidP="00B37B65">
            <w:pPr>
              <w:jc w:val="right"/>
              <w:rPr>
                <w:rFonts w:ascii="Times New Roman" w:hAnsi="Times New Roman"/>
                <w:sz w:val="18"/>
                <w:szCs w:val="18"/>
              </w:rPr>
            </w:pPr>
            <w:r>
              <w:rPr>
                <w:sz w:val="18"/>
                <w:szCs w:val="18"/>
              </w:rPr>
              <w:t>21,16</w:t>
            </w:r>
          </w:p>
        </w:tc>
        <w:tc>
          <w:tcPr>
            <w:tcW w:w="992" w:type="dxa"/>
            <w:tcBorders>
              <w:top w:val="nil"/>
              <w:left w:val="nil"/>
              <w:bottom w:val="single" w:sz="4" w:space="0" w:color="auto"/>
              <w:right w:val="single" w:sz="4" w:space="0" w:color="auto"/>
            </w:tcBorders>
            <w:shd w:val="clear" w:color="000000" w:fill="CCFFFF"/>
            <w:noWrap/>
            <w:vAlign w:val="bottom"/>
            <w:hideMark/>
          </w:tcPr>
          <w:p w14:paraId="6B1E7EF6" w14:textId="77777777" w:rsidR="00B56301" w:rsidRPr="00AE5F1B" w:rsidRDefault="00B56301" w:rsidP="00B37B65">
            <w:pPr>
              <w:jc w:val="right"/>
              <w:rPr>
                <w:rFonts w:ascii="Times New Roman" w:hAnsi="Times New Roman"/>
                <w:sz w:val="18"/>
                <w:szCs w:val="18"/>
              </w:rPr>
            </w:pPr>
            <w:r>
              <w:rPr>
                <w:sz w:val="18"/>
                <w:szCs w:val="18"/>
              </w:rPr>
              <w:t>28,41</w:t>
            </w:r>
          </w:p>
        </w:tc>
        <w:tc>
          <w:tcPr>
            <w:tcW w:w="992" w:type="dxa"/>
            <w:tcBorders>
              <w:top w:val="nil"/>
              <w:left w:val="nil"/>
              <w:bottom w:val="single" w:sz="4" w:space="0" w:color="auto"/>
              <w:right w:val="single" w:sz="4" w:space="0" w:color="auto"/>
            </w:tcBorders>
            <w:shd w:val="clear" w:color="000000" w:fill="CCFFFF"/>
            <w:noWrap/>
            <w:vAlign w:val="bottom"/>
            <w:hideMark/>
          </w:tcPr>
          <w:p w14:paraId="0BF99CE8" w14:textId="77777777" w:rsidR="00B56301" w:rsidRPr="00AE5F1B" w:rsidRDefault="00B56301" w:rsidP="00B37B65">
            <w:pPr>
              <w:jc w:val="right"/>
              <w:rPr>
                <w:rFonts w:ascii="Times New Roman" w:hAnsi="Times New Roman"/>
                <w:sz w:val="18"/>
                <w:szCs w:val="18"/>
              </w:rPr>
            </w:pPr>
            <w:r>
              <w:rPr>
                <w:sz w:val="18"/>
                <w:szCs w:val="18"/>
              </w:rPr>
              <w:t>19,89</w:t>
            </w:r>
          </w:p>
        </w:tc>
      </w:tr>
      <w:tr w:rsidR="00B56301" w:rsidRPr="00AE5F1B" w14:paraId="7B0D65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811B3FB" w14:textId="09B18615"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7A326F30"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BE06E75"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BFA7F9A"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3FE35F4"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A68809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61B2955" w14:textId="77777777" w:rsidR="00B56301" w:rsidRPr="00AE5F1B" w:rsidRDefault="00B56301" w:rsidP="00B37B65">
            <w:pPr>
              <w:jc w:val="right"/>
              <w:rPr>
                <w:rFonts w:ascii="Times New Roman" w:hAnsi="Times New Roman"/>
                <w:sz w:val="18"/>
                <w:szCs w:val="18"/>
              </w:rPr>
            </w:pPr>
            <w:r>
              <w:rPr>
                <w:sz w:val="18"/>
                <w:szCs w:val="18"/>
              </w:rPr>
              <w:t>0,00</w:t>
            </w:r>
          </w:p>
        </w:tc>
      </w:tr>
    </w:tbl>
    <w:p w14:paraId="4C0E7905" w14:textId="77777777" w:rsidR="00B56301" w:rsidRDefault="00B56301" w:rsidP="00B56301">
      <w:pPr>
        <w:spacing w:line="240" w:lineRule="atLeast"/>
        <w:jc w:val="left"/>
        <w:rPr>
          <w:rFonts w:cs="Arial"/>
        </w:rPr>
      </w:pPr>
      <w:r>
        <w:rPr>
          <w:rFonts w:cs="Arial"/>
        </w:rPr>
        <w:br w:type="page"/>
      </w:r>
    </w:p>
    <w:p w14:paraId="6245940C" w14:textId="77777777" w:rsidR="00B56301"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AE5F1B" w14:paraId="39FC2DBA"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24D8B65" w14:textId="77777777" w:rsidR="00B56301" w:rsidRPr="00AE5F1B" w:rsidRDefault="00B56301" w:rsidP="00B37B65">
            <w:pPr>
              <w:jc w:val="center"/>
              <w:rPr>
                <w:rFonts w:ascii="Times New Roman" w:hAnsi="Times New Roman"/>
                <w:b/>
                <w:bCs/>
                <w:sz w:val="20"/>
                <w:szCs w:val="18"/>
                <w:lang w:val="en-GB"/>
              </w:rPr>
            </w:pPr>
            <w:r w:rsidRPr="00AE5F1B">
              <w:rPr>
                <w:rFonts w:ascii="Times New Roman" w:hAnsi="Times New Roman"/>
                <w:b/>
                <w:bCs/>
                <w:sz w:val="20"/>
                <w:szCs w:val="18"/>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3E95EE9"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AEAD37A"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DBFF06D"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77737DF"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3A761A4"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759C58B"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2006</w:t>
            </w:r>
          </w:p>
        </w:tc>
      </w:tr>
      <w:tr w:rsidR="00B56301" w:rsidRPr="00AE5F1B" w14:paraId="4CBE370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A73164F" w14:textId="0A0EFA34"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4C2B9117" w14:textId="77777777" w:rsidR="00B56301" w:rsidRPr="00AE5F1B" w:rsidRDefault="00B56301" w:rsidP="00B37B65">
            <w:pPr>
              <w:jc w:val="right"/>
              <w:rPr>
                <w:rFonts w:ascii="Times New Roman" w:hAnsi="Times New Roman"/>
                <w:sz w:val="18"/>
                <w:szCs w:val="18"/>
              </w:rPr>
            </w:pPr>
            <w:r>
              <w:rPr>
                <w:sz w:val="18"/>
                <w:szCs w:val="18"/>
              </w:rPr>
              <w:t>10613,91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E6A08A1" w14:textId="77777777" w:rsidR="00B56301" w:rsidRPr="00AE5F1B" w:rsidRDefault="00B56301" w:rsidP="00B37B65">
            <w:pPr>
              <w:jc w:val="right"/>
              <w:rPr>
                <w:rFonts w:ascii="Times New Roman" w:hAnsi="Times New Roman"/>
                <w:sz w:val="18"/>
                <w:szCs w:val="18"/>
              </w:rPr>
            </w:pPr>
            <w:r>
              <w:rPr>
                <w:sz w:val="18"/>
                <w:szCs w:val="18"/>
              </w:rPr>
              <w:t>13297,23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4D9EA33" w14:textId="77777777" w:rsidR="00B56301" w:rsidRPr="00AE5F1B" w:rsidRDefault="00B56301" w:rsidP="00B37B65">
            <w:pPr>
              <w:jc w:val="right"/>
              <w:rPr>
                <w:rFonts w:ascii="Times New Roman" w:hAnsi="Times New Roman"/>
                <w:sz w:val="18"/>
                <w:szCs w:val="18"/>
              </w:rPr>
            </w:pPr>
            <w:r>
              <w:rPr>
                <w:sz w:val="18"/>
                <w:szCs w:val="18"/>
              </w:rPr>
              <w:t>14236,71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6FA549C" w14:textId="77777777" w:rsidR="00B56301" w:rsidRPr="00AE5F1B" w:rsidRDefault="00B56301" w:rsidP="00B37B65">
            <w:pPr>
              <w:jc w:val="right"/>
              <w:rPr>
                <w:rFonts w:ascii="Times New Roman" w:hAnsi="Times New Roman"/>
                <w:sz w:val="18"/>
                <w:szCs w:val="18"/>
              </w:rPr>
            </w:pPr>
            <w:r>
              <w:rPr>
                <w:sz w:val="18"/>
                <w:szCs w:val="18"/>
              </w:rPr>
              <w:t>14507,18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C8CB359" w14:textId="77777777" w:rsidR="00B56301" w:rsidRPr="00AE5F1B" w:rsidRDefault="00B56301" w:rsidP="00B37B65">
            <w:pPr>
              <w:jc w:val="right"/>
              <w:rPr>
                <w:rFonts w:ascii="Times New Roman" w:hAnsi="Times New Roman"/>
                <w:sz w:val="18"/>
                <w:szCs w:val="18"/>
              </w:rPr>
            </w:pPr>
            <w:r>
              <w:rPr>
                <w:sz w:val="18"/>
                <w:szCs w:val="18"/>
              </w:rPr>
              <w:t>14622,49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CC92C87" w14:textId="77777777" w:rsidR="00B56301" w:rsidRPr="00AE5F1B" w:rsidRDefault="00B56301" w:rsidP="00B37B65">
            <w:pPr>
              <w:jc w:val="right"/>
              <w:rPr>
                <w:rFonts w:ascii="Times New Roman" w:hAnsi="Times New Roman"/>
                <w:sz w:val="18"/>
                <w:szCs w:val="18"/>
              </w:rPr>
            </w:pPr>
            <w:r>
              <w:rPr>
                <w:sz w:val="18"/>
                <w:szCs w:val="18"/>
              </w:rPr>
              <w:t>15815,02</w:t>
            </w:r>
          </w:p>
        </w:tc>
      </w:tr>
      <w:tr w:rsidR="00B56301" w:rsidRPr="00AE5F1B" w14:paraId="3D18F9A7"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38519DF3" w14:textId="7BA1620C"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2E2532AB" w14:textId="77777777" w:rsidR="00B56301" w:rsidRPr="00AE5F1B" w:rsidRDefault="00B56301" w:rsidP="00B37B65">
            <w:pPr>
              <w:jc w:val="right"/>
              <w:rPr>
                <w:rFonts w:ascii="Times New Roman" w:hAnsi="Times New Roman"/>
                <w:sz w:val="18"/>
                <w:szCs w:val="18"/>
              </w:rPr>
            </w:pPr>
            <w:r>
              <w:rPr>
                <w:sz w:val="18"/>
                <w:szCs w:val="18"/>
              </w:rPr>
              <w:t>7960,94</w:t>
            </w:r>
          </w:p>
        </w:tc>
        <w:tc>
          <w:tcPr>
            <w:tcW w:w="992" w:type="dxa"/>
            <w:tcBorders>
              <w:top w:val="nil"/>
              <w:left w:val="nil"/>
              <w:bottom w:val="single" w:sz="4" w:space="0" w:color="auto"/>
              <w:right w:val="single" w:sz="4" w:space="0" w:color="auto"/>
            </w:tcBorders>
            <w:shd w:val="clear" w:color="000000" w:fill="CCFFFF"/>
            <w:noWrap/>
            <w:vAlign w:val="bottom"/>
            <w:hideMark/>
          </w:tcPr>
          <w:p w14:paraId="64159738" w14:textId="77777777" w:rsidR="00B56301" w:rsidRPr="00AE5F1B" w:rsidRDefault="00B56301" w:rsidP="00B37B65">
            <w:pPr>
              <w:jc w:val="right"/>
              <w:rPr>
                <w:rFonts w:ascii="Times New Roman" w:hAnsi="Times New Roman"/>
                <w:sz w:val="18"/>
                <w:szCs w:val="18"/>
              </w:rPr>
            </w:pPr>
            <w:r>
              <w:rPr>
                <w:sz w:val="18"/>
                <w:szCs w:val="18"/>
              </w:rPr>
              <w:t>9123,07</w:t>
            </w:r>
          </w:p>
        </w:tc>
        <w:tc>
          <w:tcPr>
            <w:tcW w:w="992" w:type="dxa"/>
            <w:tcBorders>
              <w:top w:val="nil"/>
              <w:left w:val="nil"/>
              <w:bottom w:val="single" w:sz="4" w:space="0" w:color="auto"/>
              <w:right w:val="single" w:sz="4" w:space="0" w:color="auto"/>
            </w:tcBorders>
            <w:shd w:val="clear" w:color="000000" w:fill="CCFFFF"/>
            <w:noWrap/>
            <w:vAlign w:val="bottom"/>
            <w:hideMark/>
          </w:tcPr>
          <w:p w14:paraId="2B573C07" w14:textId="77777777" w:rsidR="00B56301" w:rsidRPr="00AE5F1B" w:rsidRDefault="00B56301" w:rsidP="00B37B65">
            <w:pPr>
              <w:jc w:val="right"/>
              <w:rPr>
                <w:rFonts w:ascii="Times New Roman" w:hAnsi="Times New Roman"/>
                <w:sz w:val="18"/>
                <w:szCs w:val="18"/>
              </w:rPr>
            </w:pPr>
            <w:r>
              <w:rPr>
                <w:sz w:val="18"/>
                <w:szCs w:val="18"/>
              </w:rPr>
              <w:t>10385,85</w:t>
            </w:r>
          </w:p>
        </w:tc>
        <w:tc>
          <w:tcPr>
            <w:tcW w:w="992" w:type="dxa"/>
            <w:tcBorders>
              <w:top w:val="nil"/>
              <w:left w:val="nil"/>
              <w:bottom w:val="single" w:sz="4" w:space="0" w:color="auto"/>
              <w:right w:val="single" w:sz="4" w:space="0" w:color="auto"/>
            </w:tcBorders>
            <w:shd w:val="clear" w:color="000000" w:fill="CCFFFF"/>
            <w:noWrap/>
            <w:vAlign w:val="bottom"/>
            <w:hideMark/>
          </w:tcPr>
          <w:p w14:paraId="4CA6959C" w14:textId="77777777" w:rsidR="00B56301" w:rsidRPr="00AE5F1B" w:rsidRDefault="00B56301" w:rsidP="00B37B65">
            <w:pPr>
              <w:jc w:val="right"/>
              <w:rPr>
                <w:rFonts w:ascii="Times New Roman" w:hAnsi="Times New Roman"/>
                <w:sz w:val="18"/>
                <w:szCs w:val="18"/>
              </w:rPr>
            </w:pPr>
            <w:r>
              <w:rPr>
                <w:sz w:val="18"/>
                <w:szCs w:val="18"/>
              </w:rPr>
              <w:t>11868,33</w:t>
            </w:r>
          </w:p>
        </w:tc>
        <w:tc>
          <w:tcPr>
            <w:tcW w:w="992" w:type="dxa"/>
            <w:tcBorders>
              <w:top w:val="nil"/>
              <w:left w:val="nil"/>
              <w:bottom w:val="single" w:sz="4" w:space="0" w:color="auto"/>
              <w:right w:val="single" w:sz="4" w:space="0" w:color="auto"/>
            </w:tcBorders>
            <w:shd w:val="clear" w:color="000000" w:fill="CCFFFF"/>
            <w:noWrap/>
            <w:vAlign w:val="bottom"/>
            <w:hideMark/>
          </w:tcPr>
          <w:p w14:paraId="2DC65CF0" w14:textId="77777777" w:rsidR="00B56301" w:rsidRPr="00AE5F1B" w:rsidRDefault="00B56301" w:rsidP="00B37B65">
            <w:pPr>
              <w:jc w:val="right"/>
              <w:rPr>
                <w:rFonts w:ascii="Times New Roman" w:hAnsi="Times New Roman"/>
                <w:sz w:val="18"/>
                <w:szCs w:val="18"/>
              </w:rPr>
            </w:pPr>
            <w:r>
              <w:rPr>
                <w:sz w:val="18"/>
                <w:szCs w:val="18"/>
              </w:rPr>
              <w:t>12862,16</w:t>
            </w:r>
          </w:p>
        </w:tc>
        <w:tc>
          <w:tcPr>
            <w:tcW w:w="992" w:type="dxa"/>
            <w:tcBorders>
              <w:top w:val="nil"/>
              <w:left w:val="nil"/>
              <w:bottom w:val="single" w:sz="4" w:space="0" w:color="auto"/>
              <w:right w:val="single" w:sz="4" w:space="0" w:color="auto"/>
            </w:tcBorders>
            <w:shd w:val="clear" w:color="000000" w:fill="CCFFFF"/>
            <w:noWrap/>
            <w:vAlign w:val="bottom"/>
            <w:hideMark/>
          </w:tcPr>
          <w:p w14:paraId="2DE81FCE" w14:textId="77777777" w:rsidR="00B56301" w:rsidRPr="00AE5F1B" w:rsidRDefault="00B56301" w:rsidP="00B37B65">
            <w:pPr>
              <w:jc w:val="right"/>
              <w:rPr>
                <w:rFonts w:ascii="Times New Roman" w:hAnsi="Times New Roman"/>
                <w:sz w:val="18"/>
                <w:szCs w:val="18"/>
              </w:rPr>
            </w:pPr>
            <w:r>
              <w:rPr>
                <w:sz w:val="18"/>
                <w:szCs w:val="18"/>
              </w:rPr>
              <w:t>14352,62</w:t>
            </w:r>
          </w:p>
        </w:tc>
      </w:tr>
      <w:tr w:rsidR="00B56301" w:rsidRPr="00AE5F1B" w14:paraId="42560DF7"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022E510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45E6B5A8"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ED3D882"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025C1F9"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238F69FD"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FE1E467"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280426ED" w14:textId="77777777" w:rsidR="00B56301" w:rsidRPr="00AE5F1B" w:rsidRDefault="00B56301" w:rsidP="00B37B65">
            <w:pPr>
              <w:jc w:val="right"/>
              <w:rPr>
                <w:rFonts w:ascii="Times New Roman" w:hAnsi="Times New Roman"/>
                <w:sz w:val="18"/>
                <w:szCs w:val="18"/>
              </w:rPr>
            </w:pPr>
            <w:r>
              <w:rPr>
                <w:sz w:val="18"/>
                <w:szCs w:val="18"/>
              </w:rPr>
              <w:t>0,04</w:t>
            </w:r>
          </w:p>
        </w:tc>
      </w:tr>
      <w:tr w:rsidR="00B56301" w:rsidRPr="00AE5F1B" w14:paraId="68FE1A3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A629B9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33F7C80C"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3C24642"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0F0E19E9"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B04C182"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7080651A" w14:textId="77777777" w:rsidR="00B56301" w:rsidRPr="00AE5F1B" w:rsidRDefault="00B56301" w:rsidP="00B37B65">
            <w:pPr>
              <w:jc w:val="right"/>
              <w:rPr>
                <w:rFonts w:ascii="Times New Roman" w:hAnsi="Times New Roman"/>
                <w:sz w:val="18"/>
                <w:szCs w:val="18"/>
              </w:rPr>
            </w:pPr>
            <w:r>
              <w:rPr>
                <w:sz w:val="18"/>
                <w:szCs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08B37E3A" w14:textId="77777777" w:rsidR="00B56301" w:rsidRPr="00AE5F1B" w:rsidRDefault="00B56301" w:rsidP="00B37B65">
            <w:pPr>
              <w:jc w:val="right"/>
              <w:rPr>
                <w:rFonts w:ascii="Times New Roman" w:hAnsi="Times New Roman"/>
                <w:sz w:val="18"/>
                <w:szCs w:val="18"/>
              </w:rPr>
            </w:pPr>
            <w:r>
              <w:rPr>
                <w:sz w:val="18"/>
                <w:szCs w:val="18"/>
              </w:rPr>
              <w:t>0,19</w:t>
            </w:r>
          </w:p>
        </w:tc>
      </w:tr>
      <w:tr w:rsidR="00B56301" w:rsidRPr="00AE5F1B" w14:paraId="3863F0B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406AB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7D4B24A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6C9243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D7ED88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4478C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BDA085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7EC54D"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3FCEED3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15885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6E1C943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96E48A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E6570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DA5AD5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7F8B28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E50A74"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4D05411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06E3DC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2043DD7F" w14:textId="77777777" w:rsidR="00B56301" w:rsidRPr="00AE5F1B" w:rsidRDefault="00B56301" w:rsidP="00B37B65">
            <w:pPr>
              <w:jc w:val="right"/>
              <w:rPr>
                <w:rFonts w:ascii="Times New Roman" w:hAnsi="Times New Roman"/>
                <w:sz w:val="18"/>
                <w:szCs w:val="18"/>
              </w:rPr>
            </w:pPr>
            <w:r>
              <w:rPr>
                <w:sz w:val="18"/>
                <w:szCs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66951672" w14:textId="77777777" w:rsidR="00B56301" w:rsidRPr="00AE5F1B" w:rsidRDefault="00B56301" w:rsidP="00B37B65">
            <w:pPr>
              <w:jc w:val="right"/>
              <w:rPr>
                <w:rFonts w:ascii="Times New Roman" w:hAnsi="Times New Roman"/>
                <w:sz w:val="18"/>
                <w:szCs w:val="18"/>
              </w:rPr>
            </w:pPr>
            <w:r>
              <w:rPr>
                <w:sz w:val="18"/>
                <w:szCs w:val="18"/>
              </w:rPr>
              <w:t>0,45</w:t>
            </w:r>
          </w:p>
        </w:tc>
        <w:tc>
          <w:tcPr>
            <w:tcW w:w="992" w:type="dxa"/>
            <w:tcBorders>
              <w:top w:val="nil"/>
              <w:left w:val="nil"/>
              <w:bottom w:val="single" w:sz="4" w:space="0" w:color="auto"/>
              <w:right w:val="single" w:sz="4" w:space="0" w:color="auto"/>
            </w:tcBorders>
            <w:shd w:val="clear" w:color="000000" w:fill="FFFFFF"/>
            <w:noWrap/>
            <w:vAlign w:val="bottom"/>
            <w:hideMark/>
          </w:tcPr>
          <w:p w14:paraId="008AF96F" w14:textId="77777777" w:rsidR="00B56301" w:rsidRPr="00AE5F1B" w:rsidRDefault="00B56301" w:rsidP="00B37B65">
            <w:pPr>
              <w:jc w:val="right"/>
              <w:rPr>
                <w:rFonts w:ascii="Times New Roman" w:hAnsi="Times New Roman"/>
                <w:sz w:val="18"/>
                <w:szCs w:val="18"/>
              </w:rPr>
            </w:pPr>
            <w:r>
              <w:rPr>
                <w:sz w:val="18"/>
                <w:szCs w:val="18"/>
              </w:rPr>
              <w:t>0,58</w:t>
            </w:r>
          </w:p>
        </w:tc>
        <w:tc>
          <w:tcPr>
            <w:tcW w:w="992" w:type="dxa"/>
            <w:tcBorders>
              <w:top w:val="nil"/>
              <w:left w:val="nil"/>
              <w:bottom w:val="single" w:sz="4" w:space="0" w:color="auto"/>
              <w:right w:val="single" w:sz="4" w:space="0" w:color="auto"/>
            </w:tcBorders>
            <w:shd w:val="clear" w:color="000000" w:fill="FFFFFF"/>
            <w:noWrap/>
            <w:vAlign w:val="bottom"/>
            <w:hideMark/>
          </w:tcPr>
          <w:p w14:paraId="6E8FC33B" w14:textId="77777777" w:rsidR="00B56301" w:rsidRPr="00AE5F1B" w:rsidRDefault="00B56301" w:rsidP="00B37B65">
            <w:pPr>
              <w:jc w:val="right"/>
              <w:rPr>
                <w:rFonts w:ascii="Times New Roman" w:hAnsi="Times New Roman"/>
                <w:sz w:val="18"/>
                <w:szCs w:val="18"/>
              </w:rPr>
            </w:pPr>
            <w:r>
              <w:rPr>
                <w:sz w:val="18"/>
                <w:szCs w:val="18"/>
              </w:rPr>
              <w:t>0,70</w:t>
            </w:r>
          </w:p>
        </w:tc>
        <w:tc>
          <w:tcPr>
            <w:tcW w:w="992" w:type="dxa"/>
            <w:tcBorders>
              <w:top w:val="nil"/>
              <w:left w:val="nil"/>
              <w:bottom w:val="single" w:sz="4" w:space="0" w:color="auto"/>
              <w:right w:val="single" w:sz="4" w:space="0" w:color="auto"/>
            </w:tcBorders>
            <w:shd w:val="clear" w:color="000000" w:fill="FFFFFF"/>
            <w:noWrap/>
            <w:vAlign w:val="bottom"/>
            <w:hideMark/>
          </w:tcPr>
          <w:p w14:paraId="1C419936" w14:textId="77777777" w:rsidR="00B56301" w:rsidRPr="00AE5F1B" w:rsidRDefault="00B56301" w:rsidP="00B37B65">
            <w:pPr>
              <w:jc w:val="right"/>
              <w:rPr>
                <w:rFonts w:ascii="Times New Roman" w:hAnsi="Times New Roman"/>
                <w:sz w:val="18"/>
                <w:szCs w:val="18"/>
              </w:rPr>
            </w:pPr>
            <w:r>
              <w:rPr>
                <w:sz w:val="18"/>
                <w:szCs w:val="18"/>
              </w:rPr>
              <w:t>0,79</w:t>
            </w:r>
          </w:p>
        </w:tc>
        <w:tc>
          <w:tcPr>
            <w:tcW w:w="992" w:type="dxa"/>
            <w:tcBorders>
              <w:top w:val="nil"/>
              <w:left w:val="nil"/>
              <w:bottom w:val="single" w:sz="4" w:space="0" w:color="auto"/>
              <w:right w:val="single" w:sz="4" w:space="0" w:color="auto"/>
            </w:tcBorders>
            <w:shd w:val="clear" w:color="000000" w:fill="FFFFFF"/>
            <w:noWrap/>
            <w:vAlign w:val="bottom"/>
            <w:hideMark/>
          </w:tcPr>
          <w:p w14:paraId="1B9F657E" w14:textId="77777777" w:rsidR="00B56301" w:rsidRPr="00AE5F1B" w:rsidRDefault="00B56301" w:rsidP="00B37B65">
            <w:pPr>
              <w:jc w:val="right"/>
              <w:rPr>
                <w:rFonts w:ascii="Times New Roman" w:hAnsi="Times New Roman"/>
                <w:sz w:val="18"/>
                <w:szCs w:val="18"/>
              </w:rPr>
            </w:pPr>
            <w:r>
              <w:rPr>
                <w:sz w:val="18"/>
                <w:szCs w:val="18"/>
              </w:rPr>
              <w:t>0,92</w:t>
            </w:r>
          </w:p>
        </w:tc>
      </w:tr>
      <w:tr w:rsidR="00B56301" w:rsidRPr="00AE5F1B" w14:paraId="7370A30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D9E7FD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249B6AA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957FCD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F8C5C7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6C4F5D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18D99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5FE8BE"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7DD2A25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32B33D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6B71638C" w14:textId="77777777" w:rsidR="00B56301" w:rsidRPr="00AE5F1B" w:rsidRDefault="00B56301" w:rsidP="00B37B65">
            <w:pPr>
              <w:jc w:val="right"/>
              <w:rPr>
                <w:rFonts w:ascii="Times New Roman" w:hAnsi="Times New Roman"/>
                <w:sz w:val="18"/>
                <w:szCs w:val="18"/>
              </w:rPr>
            </w:pPr>
            <w:r>
              <w:rPr>
                <w:sz w:val="18"/>
                <w:szCs w:val="18"/>
              </w:rPr>
              <w:t>2,87</w:t>
            </w:r>
          </w:p>
        </w:tc>
        <w:tc>
          <w:tcPr>
            <w:tcW w:w="992" w:type="dxa"/>
            <w:tcBorders>
              <w:top w:val="nil"/>
              <w:left w:val="nil"/>
              <w:bottom w:val="single" w:sz="4" w:space="0" w:color="auto"/>
              <w:right w:val="single" w:sz="4" w:space="0" w:color="auto"/>
            </w:tcBorders>
            <w:shd w:val="clear" w:color="000000" w:fill="FFFFFF"/>
            <w:noWrap/>
            <w:vAlign w:val="bottom"/>
            <w:hideMark/>
          </w:tcPr>
          <w:p w14:paraId="7804EFE3" w14:textId="77777777" w:rsidR="00B56301" w:rsidRPr="00AE5F1B" w:rsidRDefault="00B56301" w:rsidP="00B37B65">
            <w:pPr>
              <w:jc w:val="right"/>
              <w:rPr>
                <w:rFonts w:ascii="Times New Roman" w:hAnsi="Times New Roman"/>
                <w:sz w:val="18"/>
                <w:szCs w:val="18"/>
              </w:rPr>
            </w:pPr>
            <w:r>
              <w:rPr>
                <w:sz w:val="18"/>
                <w:szCs w:val="18"/>
              </w:rPr>
              <w:t>3,15</w:t>
            </w:r>
          </w:p>
        </w:tc>
        <w:tc>
          <w:tcPr>
            <w:tcW w:w="992" w:type="dxa"/>
            <w:tcBorders>
              <w:top w:val="nil"/>
              <w:left w:val="nil"/>
              <w:bottom w:val="single" w:sz="4" w:space="0" w:color="auto"/>
              <w:right w:val="single" w:sz="4" w:space="0" w:color="auto"/>
            </w:tcBorders>
            <w:shd w:val="clear" w:color="000000" w:fill="FFFFFF"/>
            <w:noWrap/>
            <w:vAlign w:val="bottom"/>
            <w:hideMark/>
          </w:tcPr>
          <w:p w14:paraId="7073C562" w14:textId="77777777" w:rsidR="00B56301" w:rsidRPr="00AE5F1B" w:rsidRDefault="00B56301" w:rsidP="00B37B65">
            <w:pPr>
              <w:jc w:val="right"/>
              <w:rPr>
                <w:rFonts w:ascii="Times New Roman" w:hAnsi="Times New Roman"/>
                <w:sz w:val="18"/>
                <w:szCs w:val="18"/>
              </w:rPr>
            </w:pPr>
            <w:r>
              <w:rPr>
                <w:sz w:val="18"/>
                <w:szCs w:val="18"/>
              </w:rPr>
              <w:t>3,55</w:t>
            </w:r>
          </w:p>
        </w:tc>
        <w:tc>
          <w:tcPr>
            <w:tcW w:w="992" w:type="dxa"/>
            <w:tcBorders>
              <w:top w:val="nil"/>
              <w:left w:val="nil"/>
              <w:bottom w:val="single" w:sz="4" w:space="0" w:color="auto"/>
              <w:right w:val="single" w:sz="4" w:space="0" w:color="auto"/>
            </w:tcBorders>
            <w:shd w:val="clear" w:color="000000" w:fill="FFFFFF"/>
            <w:noWrap/>
            <w:vAlign w:val="bottom"/>
            <w:hideMark/>
          </w:tcPr>
          <w:p w14:paraId="24682C6D" w14:textId="77777777" w:rsidR="00B56301" w:rsidRPr="00AE5F1B" w:rsidRDefault="00B56301" w:rsidP="00B37B65">
            <w:pPr>
              <w:jc w:val="right"/>
              <w:rPr>
                <w:rFonts w:ascii="Times New Roman" w:hAnsi="Times New Roman"/>
                <w:sz w:val="18"/>
                <w:szCs w:val="18"/>
              </w:rPr>
            </w:pPr>
            <w:r>
              <w:rPr>
                <w:sz w:val="18"/>
                <w:szCs w:val="18"/>
              </w:rPr>
              <w:t>3,89</w:t>
            </w:r>
          </w:p>
        </w:tc>
        <w:tc>
          <w:tcPr>
            <w:tcW w:w="992" w:type="dxa"/>
            <w:tcBorders>
              <w:top w:val="nil"/>
              <w:left w:val="nil"/>
              <w:bottom w:val="single" w:sz="4" w:space="0" w:color="auto"/>
              <w:right w:val="single" w:sz="4" w:space="0" w:color="auto"/>
            </w:tcBorders>
            <w:shd w:val="clear" w:color="000000" w:fill="FFFFFF"/>
            <w:noWrap/>
            <w:vAlign w:val="bottom"/>
            <w:hideMark/>
          </w:tcPr>
          <w:p w14:paraId="4B7D13C2" w14:textId="77777777" w:rsidR="00B56301" w:rsidRPr="00AE5F1B" w:rsidRDefault="00B56301" w:rsidP="00B37B65">
            <w:pPr>
              <w:jc w:val="right"/>
              <w:rPr>
                <w:rFonts w:ascii="Times New Roman" w:hAnsi="Times New Roman"/>
                <w:sz w:val="18"/>
                <w:szCs w:val="18"/>
              </w:rPr>
            </w:pPr>
            <w:r>
              <w:rPr>
                <w:sz w:val="18"/>
                <w:szCs w:val="18"/>
              </w:rPr>
              <w:t>3,97</w:t>
            </w:r>
          </w:p>
        </w:tc>
        <w:tc>
          <w:tcPr>
            <w:tcW w:w="992" w:type="dxa"/>
            <w:tcBorders>
              <w:top w:val="nil"/>
              <w:left w:val="nil"/>
              <w:bottom w:val="single" w:sz="4" w:space="0" w:color="auto"/>
              <w:right w:val="single" w:sz="4" w:space="0" w:color="auto"/>
            </w:tcBorders>
            <w:shd w:val="clear" w:color="000000" w:fill="FFFFFF"/>
            <w:noWrap/>
            <w:vAlign w:val="bottom"/>
            <w:hideMark/>
          </w:tcPr>
          <w:p w14:paraId="186BE23B" w14:textId="77777777" w:rsidR="00B56301" w:rsidRPr="00AE5F1B" w:rsidRDefault="00B56301" w:rsidP="00B37B65">
            <w:pPr>
              <w:jc w:val="right"/>
              <w:rPr>
                <w:rFonts w:ascii="Times New Roman" w:hAnsi="Times New Roman"/>
                <w:sz w:val="18"/>
                <w:szCs w:val="18"/>
              </w:rPr>
            </w:pPr>
            <w:r>
              <w:rPr>
                <w:sz w:val="18"/>
                <w:szCs w:val="18"/>
              </w:rPr>
              <w:t>4,34</w:t>
            </w:r>
          </w:p>
        </w:tc>
      </w:tr>
      <w:tr w:rsidR="00B56301" w:rsidRPr="00AE5F1B" w14:paraId="1A538DD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AB94B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1574FC8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08D54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EA156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C42D9E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ADEDC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86A421"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BE7BD8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750A5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2F1B2711" w14:textId="77777777" w:rsidR="00B56301" w:rsidRPr="00AE5F1B" w:rsidRDefault="00B56301" w:rsidP="00B37B65">
            <w:pPr>
              <w:jc w:val="right"/>
              <w:rPr>
                <w:rFonts w:ascii="Times New Roman" w:hAnsi="Times New Roman"/>
                <w:sz w:val="18"/>
                <w:szCs w:val="18"/>
              </w:rPr>
            </w:pPr>
            <w:r>
              <w:rPr>
                <w:sz w:val="18"/>
                <w:szCs w:val="18"/>
              </w:rPr>
              <w:t>0,43</w:t>
            </w:r>
          </w:p>
        </w:tc>
        <w:tc>
          <w:tcPr>
            <w:tcW w:w="992" w:type="dxa"/>
            <w:tcBorders>
              <w:top w:val="nil"/>
              <w:left w:val="nil"/>
              <w:bottom w:val="single" w:sz="4" w:space="0" w:color="auto"/>
              <w:right w:val="single" w:sz="4" w:space="0" w:color="auto"/>
            </w:tcBorders>
            <w:shd w:val="clear" w:color="000000" w:fill="FFFFFF"/>
            <w:noWrap/>
            <w:vAlign w:val="bottom"/>
            <w:hideMark/>
          </w:tcPr>
          <w:p w14:paraId="3FB68121" w14:textId="77777777" w:rsidR="00B56301" w:rsidRPr="00AE5F1B" w:rsidRDefault="00B56301" w:rsidP="00B37B65">
            <w:pPr>
              <w:jc w:val="right"/>
              <w:rPr>
                <w:rFonts w:ascii="Times New Roman" w:hAnsi="Times New Roman"/>
                <w:sz w:val="18"/>
                <w:szCs w:val="18"/>
              </w:rPr>
            </w:pPr>
            <w:r>
              <w:rPr>
                <w:sz w:val="18"/>
                <w:szCs w:val="18"/>
              </w:rPr>
              <w:t>0,51</w:t>
            </w:r>
          </w:p>
        </w:tc>
        <w:tc>
          <w:tcPr>
            <w:tcW w:w="992" w:type="dxa"/>
            <w:tcBorders>
              <w:top w:val="nil"/>
              <w:left w:val="nil"/>
              <w:bottom w:val="single" w:sz="4" w:space="0" w:color="auto"/>
              <w:right w:val="single" w:sz="4" w:space="0" w:color="auto"/>
            </w:tcBorders>
            <w:shd w:val="clear" w:color="000000" w:fill="FFFFFF"/>
            <w:noWrap/>
            <w:vAlign w:val="bottom"/>
            <w:hideMark/>
          </w:tcPr>
          <w:p w14:paraId="5784B38A" w14:textId="77777777" w:rsidR="00B56301" w:rsidRPr="00AE5F1B" w:rsidRDefault="00B56301" w:rsidP="00B37B65">
            <w:pPr>
              <w:jc w:val="right"/>
              <w:rPr>
                <w:rFonts w:ascii="Times New Roman" w:hAnsi="Times New Roman"/>
                <w:sz w:val="18"/>
                <w:szCs w:val="18"/>
              </w:rPr>
            </w:pPr>
            <w:r>
              <w:rPr>
                <w:sz w:val="18"/>
                <w:szCs w:val="18"/>
              </w:rPr>
              <w:t>0,60</w:t>
            </w:r>
          </w:p>
        </w:tc>
        <w:tc>
          <w:tcPr>
            <w:tcW w:w="992" w:type="dxa"/>
            <w:tcBorders>
              <w:top w:val="nil"/>
              <w:left w:val="nil"/>
              <w:bottom w:val="single" w:sz="4" w:space="0" w:color="auto"/>
              <w:right w:val="single" w:sz="4" w:space="0" w:color="auto"/>
            </w:tcBorders>
            <w:shd w:val="clear" w:color="000000" w:fill="FFFFFF"/>
            <w:noWrap/>
            <w:vAlign w:val="bottom"/>
            <w:hideMark/>
          </w:tcPr>
          <w:p w14:paraId="18E8AC32" w14:textId="77777777" w:rsidR="00B56301" w:rsidRPr="00AE5F1B" w:rsidRDefault="00B56301" w:rsidP="00B37B65">
            <w:pPr>
              <w:jc w:val="right"/>
              <w:rPr>
                <w:rFonts w:ascii="Times New Roman" w:hAnsi="Times New Roman"/>
                <w:sz w:val="18"/>
                <w:szCs w:val="18"/>
              </w:rPr>
            </w:pPr>
            <w:r>
              <w:rPr>
                <w:sz w:val="18"/>
                <w:szCs w:val="18"/>
              </w:rPr>
              <w:t>0,69</w:t>
            </w:r>
          </w:p>
        </w:tc>
        <w:tc>
          <w:tcPr>
            <w:tcW w:w="992" w:type="dxa"/>
            <w:tcBorders>
              <w:top w:val="nil"/>
              <w:left w:val="nil"/>
              <w:bottom w:val="single" w:sz="4" w:space="0" w:color="auto"/>
              <w:right w:val="single" w:sz="4" w:space="0" w:color="auto"/>
            </w:tcBorders>
            <w:shd w:val="clear" w:color="000000" w:fill="FFFFFF"/>
            <w:noWrap/>
            <w:vAlign w:val="bottom"/>
            <w:hideMark/>
          </w:tcPr>
          <w:p w14:paraId="3122C5B1" w14:textId="77777777" w:rsidR="00B56301" w:rsidRPr="00AE5F1B" w:rsidRDefault="00B56301" w:rsidP="00B37B65">
            <w:pPr>
              <w:jc w:val="right"/>
              <w:rPr>
                <w:rFonts w:ascii="Times New Roman" w:hAnsi="Times New Roman"/>
                <w:sz w:val="18"/>
                <w:szCs w:val="18"/>
              </w:rPr>
            </w:pPr>
            <w:r>
              <w:rPr>
                <w:sz w:val="18"/>
                <w:szCs w:val="18"/>
              </w:rPr>
              <w:t>0,77</w:t>
            </w:r>
          </w:p>
        </w:tc>
        <w:tc>
          <w:tcPr>
            <w:tcW w:w="992" w:type="dxa"/>
            <w:tcBorders>
              <w:top w:val="nil"/>
              <w:left w:val="nil"/>
              <w:bottom w:val="single" w:sz="4" w:space="0" w:color="auto"/>
              <w:right w:val="single" w:sz="4" w:space="0" w:color="auto"/>
            </w:tcBorders>
            <w:shd w:val="clear" w:color="000000" w:fill="FFFFFF"/>
            <w:noWrap/>
            <w:vAlign w:val="bottom"/>
            <w:hideMark/>
          </w:tcPr>
          <w:p w14:paraId="1E06F4BD" w14:textId="77777777" w:rsidR="00B56301" w:rsidRPr="00AE5F1B" w:rsidRDefault="00B56301" w:rsidP="00B37B65">
            <w:pPr>
              <w:jc w:val="right"/>
              <w:rPr>
                <w:rFonts w:ascii="Times New Roman" w:hAnsi="Times New Roman"/>
                <w:sz w:val="18"/>
                <w:szCs w:val="18"/>
              </w:rPr>
            </w:pPr>
            <w:r>
              <w:rPr>
                <w:sz w:val="18"/>
                <w:szCs w:val="18"/>
              </w:rPr>
              <w:t>0,85</w:t>
            </w:r>
          </w:p>
        </w:tc>
      </w:tr>
      <w:tr w:rsidR="00B56301" w:rsidRPr="00AE5F1B" w14:paraId="6B71CA1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45F50E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7AF1B0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AD0AC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0842ED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A05DC2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DC7DA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ECDE25C"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3C1C3D3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7620F0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57E81899"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E048C3B" w14:textId="77777777" w:rsidR="00B56301" w:rsidRPr="00AE5F1B" w:rsidRDefault="00B56301" w:rsidP="00B37B65">
            <w:pPr>
              <w:jc w:val="right"/>
              <w:rPr>
                <w:rFonts w:ascii="Times New Roman" w:hAnsi="Times New Roman"/>
                <w:sz w:val="18"/>
                <w:szCs w:val="18"/>
              </w:rPr>
            </w:pPr>
            <w:r>
              <w:rPr>
                <w:sz w:val="18"/>
                <w:szCs w:val="18"/>
              </w:rPr>
              <w:t>0,18</w:t>
            </w:r>
          </w:p>
        </w:tc>
        <w:tc>
          <w:tcPr>
            <w:tcW w:w="992" w:type="dxa"/>
            <w:tcBorders>
              <w:top w:val="nil"/>
              <w:left w:val="nil"/>
              <w:bottom w:val="single" w:sz="4" w:space="0" w:color="auto"/>
              <w:right w:val="single" w:sz="4" w:space="0" w:color="auto"/>
            </w:tcBorders>
            <w:shd w:val="clear" w:color="000000" w:fill="FFFFFF"/>
            <w:noWrap/>
            <w:vAlign w:val="bottom"/>
            <w:hideMark/>
          </w:tcPr>
          <w:p w14:paraId="0F84ADCB" w14:textId="77777777" w:rsidR="00B56301" w:rsidRPr="00AE5F1B" w:rsidRDefault="00B56301" w:rsidP="00B37B65">
            <w:pPr>
              <w:jc w:val="right"/>
              <w:rPr>
                <w:rFonts w:ascii="Times New Roman" w:hAnsi="Times New Roman"/>
                <w:sz w:val="18"/>
                <w:szCs w:val="18"/>
              </w:rPr>
            </w:pPr>
            <w:r>
              <w:rPr>
                <w:sz w:val="18"/>
                <w:szCs w:val="18"/>
              </w:rPr>
              <w:t>0,26</w:t>
            </w:r>
          </w:p>
        </w:tc>
        <w:tc>
          <w:tcPr>
            <w:tcW w:w="992" w:type="dxa"/>
            <w:tcBorders>
              <w:top w:val="nil"/>
              <w:left w:val="nil"/>
              <w:bottom w:val="single" w:sz="4" w:space="0" w:color="auto"/>
              <w:right w:val="single" w:sz="4" w:space="0" w:color="auto"/>
            </w:tcBorders>
            <w:shd w:val="clear" w:color="000000" w:fill="FFFFFF"/>
            <w:noWrap/>
            <w:vAlign w:val="bottom"/>
            <w:hideMark/>
          </w:tcPr>
          <w:p w14:paraId="700C100C" w14:textId="77777777" w:rsidR="00B56301" w:rsidRPr="00AE5F1B" w:rsidRDefault="00B56301" w:rsidP="00B37B65">
            <w:pPr>
              <w:jc w:val="right"/>
              <w:rPr>
                <w:rFonts w:ascii="Times New Roman" w:hAnsi="Times New Roman"/>
                <w:sz w:val="18"/>
                <w:szCs w:val="18"/>
              </w:rPr>
            </w:pPr>
            <w:r>
              <w:rPr>
                <w:sz w:val="18"/>
                <w:szCs w:val="18"/>
              </w:rPr>
              <w:t>0,31</w:t>
            </w:r>
          </w:p>
        </w:tc>
        <w:tc>
          <w:tcPr>
            <w:tcW w:w="992" w:type="dxa"/>
            <w:tcBorders>
              <w:top w:val="nil"/>
              <w:left w:val="nil"/>
              <w:bottom w:val="single" w:sz="4" w:space="0" w:color="auto"/>
              <w:right w:val="single" w:sz="4" w:space="0" w:color="auto"/>
            </w:tcBorders>
            <w:shd w:val="clear" w:color="000000" w:fill="FFFFFF"/>
            <w:noWrap/>
            <w:vAlign w:val="bottom"/>
            <w:hideMark/>
          </w:tcPr>
          <w:p w14:paraId="19D08B42" w14:textId="77777777" w:rsidR="00B56301" w:rsidRPr="00AE5F1B" w:rsidRDefault="00B56301" w:rsidP="00B37B65">
            <w:pPr>
              <w:jc w:val="right"/>
              <w:rPr>
                <w:rFonts w:ascii="Times New Roman" w:hAnsi="Times New Roman"/>
                <w:sz w:val="18"/>
                <w:szCs w:val="18"/>
              </w:rPr>
            </w:pPr>
            <w:r>
              <w:rPr>
                <w:sz w:val="18"/>
                <w:szCs w:val="18"/>
              </w:rPr>
              <w:t>0,32</w:t>
            </w:r>
          </w:p>
        </w:tc>
        <w:tc>
          <w:tcPr>
            <w:tcW w:w="992" w:type="dxa"/>
            <w:tcBorders>
              <w:top w:val="nil"/>
              <w:left w:val="nil"/>
              <w:bottom w:val="single" w:sz="4" w:space="0" w:color="auto"/>
              <w:right w:val="single" w:sz="4" w:space="0" w:color="auto"/>
            </w:tcBorders>
            <w:shd w:val="clear" w:color="000000" w:fill="FFFFFF"/>
            <w:noWrap/>
            <w:vAlign w:val="bottom"/>
            <w:hideMark/>
          </w:tcPr>
          <w:p w14:paraId="707B0FDB" w14:textId="77777777" w:rsidR="00B56301" w:rsidRPr="00AE5F1B" w:rsidRDefault="00B56301" w:rsidP="00B37B65">
            <w:pPr>
              <w:jc w:val="right"/>
              <w:rPr>
                <w:rFonts w:ascii="Times New Roman" w:hAnsi="Times New Roman"/>
                <w:sz w:val="18"/>
                <w:szCs w:val="18"/>
              </w:rPr>
            </w:pPr>
            <w:r>
              <w:rPr>
                <w:sz w:val="18"/>
                <w:szCs w:val="18"/>
              </w:rPr>
              <w:t>0,30</w:t>
            </w:r>
          </w:p>
        </w:tc>
      </w:tr>
      <w:tr w:rsidR="00B56301" w:rsidRPr="00AE5F1B" w14:paraId="1002918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2646BB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018579C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9D1AB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E168F0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27A264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1A919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4FF8A4"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22F5FF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D96D69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2EB34F2D"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2FF12F8A"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52B991D4"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41C63E8"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03198B8"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9BC91BA" w14:textId="77777777" w:rsidR="00B56301" w:rsidRPr="00AE5F1B" w:rsidRDefault="00B56301" w:rsidP="00B37B65">
            <w:pPr>
              <w:jc w:val="right"/>
              <w:rPr>
                <w:rFonts w:ascii="Times New Roman" w:hAnsi="Times New Roman"/>
                <w:sz w:val="18"/>
                <w:szCs w:val="18"/>
              </w:rPr>
            </w:pPr>
            <w:r>
              <w:rPr>
                <w:sz w:val="18"/>
                <w:szCs w:val="18"/>
              </w:rPr>
              <w:t>0,05</w:t>
            </w:r>
          </w:p>
        </w:tc>
      </w:tr>
      <w:tr w:rsidR="00B56301" w:rsidRPr="00AE5F1B" w14:paraId="7B45F82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E8166F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5556E7B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204523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D2CFA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76664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3DE24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1F3BCC"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EB7946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64E7B8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4BE52E0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223896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85BEDF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C6097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66963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9D905A"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8DDDD8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3C506B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28A059E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A5B33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D8CC4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5207E7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AA0F63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C13A640"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7BF50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87B29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7ADB606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0E8B4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01719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C6E948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945CD0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5D6426F"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CFC3DC8"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170BCA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3D013565"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26A336A"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434D89"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4026D7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C2F43D3"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C49F9AC" w14:textId="77777777" w:rsidR="00B56301" w:rsidRPr="00AE5F1B" w:rsidRDefault="00B56301" w:rsidP="00B37B65">
            <w:pPr>
              <w:jc w:val="right"/>
              <w:rPr>
                <w:rFonts w:ascii="Times New Roman" w:hAnsi="Times New Roman"/>
                <w:sz w:val="18"/>
                <w:szCs w:val="18"/>
              </w:rPr>
            </w:pPr>
            <w:r>
              <w:rPr>
                <w:sz w:val="18"/>
                <w:szCs w:val="18"/>
              </w:rPr>
              <w:t>0,02</w:t>
            </w:r>
          </w:p>
        </w:tc>
      </w:tr>
      <w:tr w:rsidR="00B56301" w:rsidRPr="00AE5F1B" w14:paraId="4B865D8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DB1D1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27F6CEF3"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26DF57A"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F6F21D0"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570EFE5"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48AFFB08"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223E4FC1" w14:textId="77777777" w:rsidR="00B56301" w:rsidRPr="00AE5F1B" w:rsidRDefault="00B56301" w:rsidP="00B37B65">
            <w:pPr>
              <w:jc w:val="right"/>
              <w:rPr>
                <w:rFonts w:ascii="Times New Roman" w:hAnsi="Times New Roman"/>
                <w:sz w:val="18"/>
                <w:szCs w:val="18"/>
              </w:rPr>
            </w:pPr>
            <w:r>
              <w:rPr>
                <w:sz w:val="18"/>
                <w:szCs w:val="18"/>
              </w:rPr>
              <w:t>0,04</w:t>
            </w:r>
          </w:p>
        </w:tc>
      </w:tr>
      <w:tr w:rsidR="00B56301" w:rsidRPr="00AE5F1B" w14:paraId="70146EC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CBEE9A4" w14:textId="793B594C"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43164478" w14:textId="77777777" w:rsidR="00B56301" w:rsidRPr="00AE5F1B" w:rsidRDefault="00B56301" w:rsidP="00B37B65">
            <w:pPr>
              <w:jc w:val="right"/>
              <w:rPr>
                <w:rFonts w:ascii="Times New Roman" w:hAnsi="Times New Roman"/>
                <w:sz w:val="18"/>
                <w:szCs w:val="18"/>
              </w:rPr>
            </w:pPr>
            <w:r>
              <w:rPr>
                <w:sz w:val="18"/>
                <w:szCs w:val="18"/>
              </w:rPr>
              <w:t>83,10</w:t>
            </w:r>
          </w:p>
        </w:tc>
        <w:tc>
          <w:tcPr>
            <w:tcW w:w="992" w:type="dxa"/>
            <w:tcBorders>
              <w:top w:val="nil"/>
              <w:left w:val="nil"/>
              <w:bottom w:val="single" w:sz="4" w:space="0" w:color="auto"/>
              <w:right w:val="single" w:sz="4" w:space="0" w:color="auto"/>
            </w:tcBorders>
            <w:shd w:val="clear" w:color="000000" w:fill="FFFFFF"/>
            <w:noWrap/>
            <w:vAlign w:val="bottom"/>
            <w:hideMark/>
          </w:tcPr>
          <w:p w14:paraId="484D8E3A" w14:textId="77777777" w:rsidR="00B56301" w:rsidRPr="00AE5F1B" w:rsidRDefault="00B56301" w:rsidP="00B37B65">
            <w:pPr>
              <w:jc w:val="right"/>
              <w:rPr>
                <w:rFonts w:ascii="Times New Roman" w:hAnsi="Times New Roman"/>
                <w:sz w:val="18"/>
                <w:szCs w:val="18"/>
              </w:rPr>
            </w:pPr>
            <w:r>
              <w:rPr>
                <w:sz w:val="18"/>
                <w:szCs w:val="18"/>
              </w:rPr>
              <w:t>106,78</w:t>
            </w:r>
          </w:p>
        </w:tc>
        <w:tc>
          <w:tcPr>
            <w:tcW w:w="992" w:type="dxa"/>
            <w:tcBorders>
              <w:top w:val="nil"/>
              <w:left w:val="nil"/>
              <w:bottom w:val="single" w:sz="4" w:space="0" w:color="auto"/>
              <w:right w:val="single" w:sz="4" w:space="0" w:color="auto"/>
            </w:tcBorders>
            <w:shd w:val="clear" w:color="000000" w:fill="FFFFFF"/>
            <w:noWrap/>
            <w:vAlign w:val="bottom"/>
            <w:hideMark/>
          </w:tcPr>
          <w:p w14:paraId="625630B8" w14:textId="77777777" w:rsidR="00B56301" w:rsidRPr="00AE5F1B" w:rsidRDefault="00B56301" w:rsidP="00B37B65">
            <w:pPr>
              <w:jc w:val="right"/>
              <w:rPr>
                <w:rFonts w:ascii="Times New Roman" w:hAnsi="Times New Roman"/>
                <w:sz w:val="18"/>
                <w:szCs w:val="18"/>
              </w:rPr>
            </w:pPr>
            <w:r>
              <w:rPr>
                <w:sz w:val="18"/>
                <w:szCs w:val="18"/>
              </w:rPr>
              <w:t>99,92</w:t>
            </w:r>
          </w:p>
        </w:tc>
        <w:tc>
          <w:tcPr>
            <w:tcW w:w="992" w:type="dxa"/>
            <w:tcBorders>
              <w:top w:val="nil"/>
              <w:left w:val="nil"/>
              <w:bottom w:val="single" w:sz="4" w:space="0" w:color="auto"/>
              <w:right w:val="single" w:sz="4" w:space="0" w:color="auto"/>
            </w:tcBorders>
            <w:shd w:val="clear" w:color="000000" w:fill="FFFFFF"/>
            <w:noWrap/>
            <w:vAlign w:val="bottom"/>
            <w:hideMark/>
          </w:tcPr>
          <w:p w14:paraId="1F97E108" w14:textId="77777777" w:rsidR="00B56301" w:rsidRPr="00AE5F1B" w:rsidRDefault="00B56301" w:rsidP="00B37B65">
            <w:pPr>
              <w:jc w:val="right"/>
              <w:rPr>
                <w:rFonts w:ascii="Times New Roman" w:hAnsi="Times New Roman"/>
                <w:sz w:val="18"/>
                <w:szCs w:val="18"/>
              </w:rPr>
            </w:pPr>
            <w:r>
              <w:rPr>
                <w:sz w:val="18"/>
                <w:szCs w:val="18"/>
              </w:rPr>
              <w:t>109,45</w:t>
            </w:r>
          </w:p>
        </w:tc>
        <w:tc>
          <w:tcPr>
            <w:tcW w:w="992" w:type="dxa"/>
            <w:tcBorders>
              <w:top w:val="nil"/>
              <w:left w:val="nil"/>
              <w:bottom w:val="single" w:sz="4" w:space="0" w:color="auto"/>
              <w:right w:val="single" w:sz="4" w:space="0" w:color="auto"/>
            </w:tcBorders>
            <w:shd w:val="clear" w:color="000000" w:fill="FFFFFF"/>
            <w:noWrap/>
            <w:vAlign w:val="bottom"/>
            <w:hideMark/>
          </w:tcPr>
          <w:p w14:paraId="20A0AFBF" w14:textId="77777777" w:rsidR="00B56301" w:rsidRPr="00AE5F1B" w:rsidRDefault="00B56301" w:rsidP="00B37B65">
            <w:pPr>
              <w:jc w:val="right"/>
              <w:rPr>
                <w:rFonts w:ascii="Times New Roman" w:hAnsi="Times New Roman"/>
                <w:sz w:val="18"/>
                <w:szCs w:val="18"/>
              </w:rPr>
            </w:pPr>
            <w:r>
              <w:rPr>
                <w:sz w:val="18"/>
                <w:szCs w:val="18"/>
              </w:rPr>
              <w:t>140,40</w:t>
            </w:r>
          </w:p>
        </w:tc>
        <w:tc>
          <w:tcPr>
            <w:tcW w:w="992" w:type="dxa"/>
            <w:tcBorders>
              <w:top w:val="nil"/>
              <w:left w:val="nil"/>
              <w:bottom w:val="single" w:sz="4" w:space="0" w:color="auto"/>
              <w:right w:val="single" w:sz="4" w:space="0" w:color="auto"/>
            </w:tcBorders>
            <w:shd w:val="clear" w:color="000000" w:fill="FFFFFF"/>
            <w:noWrap/>
            <w:vAlign w:val="bottom"/>
            <w:hideMark/>
          </w:tcPr>
          <w:p w14:paraId="4F8302EF" w14:textId="77777777" w:rsidR="00B56301" w:rsidRPr="00AE5F1B" w:rsidRDefault="00B56301" w:rsidP="00B37B65">
            <w:pPr>
              <w:jc w:val="right"/>
              <w:rPr>
                <w:rFonts w:ascii="Times New Roman" w:hAnsi="Times New Roman"/>
                <w:sz w:val="18"/>
                <w:szCs w:val="18"/>
              </w:rPr>
            </w:pPr>
            <w:r>
              <w:rPr>
                <w:sz w:val="18"/>
                <w:szCs w:val="18"/>
              </w:rPr>
              <w:t>123,43</w:t>
            </w:r>
          </w:p>
        </w:tc>
      </w:tr>
      <w:tr w:rsidR="00B56301" w:rsidRPr="00AE5F1B" w14:paraId="08F9723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AEAADF8" w14:textId="74DDAB06"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7820EFA9" w14:textId="77777777" w:rsidR="00B56301" w:rsidRPr="00AE5F1B" w:rsidRDefault="00B56301" w:rsidP="00B37B65">
            <w:pPr>
              <w:jc w:val="right"/>
              <w:rPr>
                <w:rFonts w:ascii="Times New Roman" w:hAnsi="Times New Roman"/>
                <w:sz w:val="18"/>
                <w:szCs w:val="18"/>
              </w:rPr>
            </w:pPr>
            <w:r>
              <w:rPr>
                <w:sz w:val="18"/>
                <w:szCs w:val="18"/>
              </w:rPr>
              <w:t>2652,97</w:t>
            </w:r>
          </w:p>
        </w:tc>
        <w:tc>
          <w:tcPr>
            <w:tcW w:w="992" w:type="dxa"/>
            <w:tcBorders>
              <w:top w:val="nil"/>
              <w:left w:val="nil"/>
              <w:bottom w:val="single" w:sz="4" w:space="0" w:color="auto"/>
              <w:right w:val="single" w:sz="4" w:space="0" w:color="auto"/>
            </w:tcBorders>
            <w:shd w:val="clear" w:color="000000" w:fill="CCFFFF"/>
            <w:noWrap/>
            <w:vAlign w:val="bottom"/>
            <w:hideMark/>
          </w:tcPr>
          <w:p w14:paraId="22972E2B" w14:textId="77777777" w:rsidR="00B56301" w:rsidRPr="00AE5F1B" w:rsidRDefault="00B56301" w:rsidP="00B37B65">
            <w:pPr>
              <w:jc w:val="right"/>
              <w:rPr>
                <w:rFonts w:ascii="Times New Roman" w:hAnsi="Times New Roman"/>
                <w:sz w:val="18"/>
                <w:szCs w:val="18"/>
              </w:rPr>
            </w:pPr>
            <w:r>
              <w:rPr>
                <w:sz w:val="18"/>
                <w:szCs w:val="18"/>
              </w:rPr>
              <w:t>4174,16</w:t>
            </w:r>
          </w:p>
        </w:tc>
        <w:tc>
          <w:tcPr>
            <w:tcW w:w="992" w:type="dxa"/>
            <w:tcBorders>
              <w:top w:val="nil"/>
              <w:left w:val="nil"/>
              <w:bottom w:val="single" w:sz="4" w:space="0" w:color="auto"/>
              <w:right w:val="single" w:sz="4" w:space="0" w:color="auto"/>
            </w:tcBorders>
            <w:shd w:val="clear" w:color="000000" w:fill="CCFFFF"/>
            <w:noWrap/>
            <w:vAlign w:val="bottom"/>
            <w:hideMark/>
          </w:tcPr>
          <w:p w14:paraId="1CD2E032" w14:textId="77777777" w:rsidR="00B56301" w:rsidRPr="00AE5F1B" w:rsidRDefault="00B56301" w:rsidP="00B37B65">
            <w:pPr>
              <w:jc w:val="right"/>
              <w:rPr>
                <w:rFonts w:ascii="Times New Roman" w:hAnsi="Times New Roman"/>
                <w:sz w:val="18"/>
                <w:szCs w:val="18"/>
              </w:rPr>
            </w:pPr>
            <w:r>
              <w:rPr>
                <w:sz w:val="18"/>
                <w:szCs w:val="18"/>
              </w:rPr>
              <w:t>3850,86</w:t>
            </w:r>
          </w:p>
        </w:tc>
        <w:tc>
          <w:tcPr>
            <w:tcW w:w="992" w:type="dxa"/>
            <w:tcBorders>
              <w:top w:val="nil"/>
              <w:left w:val="nil"/>
              <w:bottom w:val="single" w:sz="4" w:space="0" w:color="auto"/>
              <w:right w:val="single" w:sz="4" w:space="0" w:color="auto"/>
            </w:tcBorders>
            <w:shd w:val="clear" w:color="000000" w:fill="CCFFFF"/>
            <w:noWrap/>
            <w:vAlign w:val="bottom"/>
            <w:hideMark/>
          </w:tcPr>
          <w:p w14:paraId="60EF96F5" w14:textId="77777777" w:rsidR="00B56301" w:rsidRPr="00AE5F1B" w:rsidRDefault="00B56301" w:rsidP="00B37B65">
            <w:pPr>
              <w:jc w:val="right"/>
              <w:rPr>
                <w:rFonts w:ascii="Times New Roman" w:hAnsi="Times New Roman"/>
                <w:sz w:val="18"/>
                <w:szCs w:val="18"/>
              </w:rPr>
            </w:pPr>
            <w:r>
              <w:rPr>
                <w:sz w:val="18"/>
                <w:szCs w:val="18"/>
              </w:rPr>
              <w:t>2638,86</w:t>
            </w:r>
          </w:p>
        </w:tc>
        <w:tc>
          <w:tcPr>
            <w:tcW w:w="992" w:type="dxa"/>
            <w:tcBorders>
              <w:top w:val="nil"/>
              <w:left w:val="nil"/>
              <w:bottom w:val="single" w:sz="4" w:space="0" w:color="auto"/>
              <w:right w:val="single" w:sz="4" w:space="0" w:color="auto"/>
            </w:tcBorders>
            <w:shd w:val="clear" w:color="000000" w:fill="CCFFFF"/>
            <w:noWrap/>
            <w:vAlign w:val="bottom"/>
            <w:hideMark/>
          </w:tcPr>
          <w:p w14:paraId="627F2911" w14:textId="77777777" w:rsidR="00B56301" w:rsidRPr="00AE5F1B" w:rsidRDefault="00B56301" w:rsidP="00B37B65">
            <w:pPr>
              <w:jc w:val="right"/>
              <w:rPr>
                <w:rFonts w:ascii="Times New Roman" w:hAnsi="Times New Roman"/>
                <w:sz w:val="18"/>
                <w:szCs w:val="18"/>
              </w:rPr>
            </w:pPr>
            <w:r>
              <w:rPr>
                <w:sz w:val="18"/>
                <w:szCs w:val="18"/>
              </w:rPr>
              <w:t>1760,33</w:t>
            </w:r>
          </w:p>
        </w:tc>
        <w:tc>
          <w:tcPr>
            <w:tcW w:w="992" w:type="dxa"/>
            <w:tcBorders>
              <w:top w:val="nil"/>
              <w:left w:val="nil"/>
              <w:bottom w:val="single" w:sz="4" w:space="0" w:color="auto"/>
              <w:right w:val="single" w:sz="4" w:space="0" w:color="auto"/>
            </w:tcBorders>
            <w:shd w:val="clear" w:color="000000" w:fill="CCFFFF"/>
            <w:noWrap/>
            <w:vAlign w:val="bottom"/>
            <w:hideMark/>
          </w:tcPr>
          <w:p w14:paraId="435758E0" w14:textId="77777777" w:rsidR="00B56301" w:rsidRPr="00AE5F1B" w:rsidRDefault="00B56301" w:rsidP="00B37B65">
            <w:pPr>
              <w:jc w:val="right"/>
              <w:rPr>
                <w:rFonts w:ascii="Times New Roman" w:hAnsi="Times New Roman"/>
                <w:sz w:val="18"/>
                <w:szCs w:val="18"/>
              </w:rPr>
            </w:pPr>
            <w:r>
              <w:rPr>
                <w:sz w:val="18"/>
                <w:szCs w:val="18"/>
              </w:rPr>
              <w:t>1462,40</w:t>
            </w:r>
          </w:p>
        </w:tc>
      </w:tr>
      <w:tr w:rsidR="00B56301" w:rsidRPr="00AE5F1B" w14:paraId="2E4B199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49EECC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3FEEC831" w14:textId="77777777" w:rsidR="00B56301" w:rsidRPr="00AE5F1B" w:rsidRDefault="00B56301" w:rsidP="00B37B65">
            <w:pPr>
              <w:jc w:val="right"/>
              <w:rPr>
                <w:rFonts w:ascii="Times New Roman" w:hAnsi="Times New Roman"/>
                <w:sz w:val="18"/>
                <w:szCs w:val="18"/>
              </w:rPr>
            </w:pPr>
            <w:r>
              <w:rPr>
                <w:sz w:val="18"/>
                <w:szCs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682CC3A" w14:textId="77777777" w:rsidR="00B56301" w:rsidRPr="00AE5F1B" w:rsidRDefault="00B56301" w:rsidP="00B37B65">
            <w:pPr>
              <w:jc w:val="right"/>
              <w:rPr>
                <w:rFonts w:ascii="Times New Roman" w:hAnsi="Times New Roman"/>
                <w:sz w:val="18"/>
                <w:szCs w:val="18"/>
              </w:rPr>
            </w:pPr>
            <w:r>
              <w:rPr>
                <w:sz w:val="18"/>
                <w:szCs w:val="18"/>
              </w:rPr>
              <w:t>0,35</w:t>
            </w:r>
          </w:p>
        </w:tc>
        <w:tc>
          <w:tcPr>
            <w:tcW w:w="992" w:type="dxa"/>
            <w:tcBorders>
              <w:top w:val="nil"/>
              <w:left w:val="nil"/>
              <w:bottom w:val="single" w:sz="4" w:space="0" w:color="auto"/>
              <w:right w:val="single" w:sz="4" w:space="0" w:color="auto"/>
            </w:tcBorders>
            <w:shd w:val="clear" w:color="000000" w:fill="FFFFFF"/>
            <w:noWrap/>
            <w:vAlign w:val="bottom"/>
            <w:hideMark/>
          </w:tcPr>
          <w:p w14:paraId="22E1B167" w14:textId="77777777" w:rsidR="00B56301" w:rsidRPr="00AE5F1B" w:rsidRDefault="00B56301" w:rsidP="00B37B65">
            <w:pPr>
              <w:jc w:val="right"/>
              <w:rPr>
                <w:rFonts w:ascii="Times New Roman" w:hAnsi="Times New Roman"/>
                <w:sz w:val="18"/>
                <w:szCs w:val="18"/>
              </w:rPr>
            </w:pPr>
            <w:r>
              <w:rPr>
                <w:sz w:val="18"/>
                <w:szCs w:val="18"/>
              </w:rPr>
              <w:t>0,34</w:t>
            </w:r>
          </w:p>
        </w:tc>
        <w:tc>
          <w:tcPr>
            <w:tcW w:w="992" w:type="dxa"/>
            <w:tcBorders>
              <w:top w:val="nil"/>
              <w:left w:val="nil"/>
              <w:bottom w:val="single" w:sz="4" w:space="0" w:color="auto"/>
              <w:right w:val="single" w:sz="4" w:space="0" w:color="auto"/>
            </w:tcBorders>
            <w:shd w:val="clear" w:color="000000" w:fill="FFFFFF"/>
            <w:noWrap/>
            <w:vAlign w:val="bottom"/>
            <w:hideMark/>
          </w:tcPr>
          <w:p w14:paraId="475F7836" w14:textId="77777777" w:rsidR="00B56301" w:rsidRPr="00AE5F1B" w:rsidRDefault="00B56301" w:rsidP="00B37B65">
            <w:pPr>
              <w:jc w:val="right"/>
              <w:rPr>
                <w:rFonts w:ascii="Times New Roman" w:hAnsi="Times New Roman"/>
                <w:sz w:val="18"/>
                <w:szCs w:val="18"/>
              </w:rPr>
            </w:pPr>
            <w:r>
              <w:rPr>
                <w:sz w:val="18"/>
                <w:szCs w:val="18"/>
              </w:rPr>
              <w:t>0,22</w:t>
            </w:r>
          </w:p>
        </w:tc>
        <w:tc>
          <w:tcPr>
            <w:tcW w:w="992" w:type="dxa"/>
            <w:tcBorders>
              <w:top w:val="nil"/>
              <w:left w:val="nil"/>
              <w:bottom w:val="single" w:sz="4" w:space="0" w:color="auto"/>
              <w:right w:val="single" w:sz="4" w:space="0" w:color="auto"/>
            </w:tcBorders>
            <w:shd w:val="clear" w:color="000000" w:fill="FFFFFF"/>
            <w:noWrap/>
            <w:vAlign w:val="bottom"/>
            <w:hideMark/>
          </w:tcPr>
          <w:p w14:paraId="34938782" w14:textId="77777777" w:rsidR="00B56301" w:rsidRPr="00AE5F1B" w:rsidRDefault="00B56301" w:rsidP="00B37B65">
            <w:pPr>
              <w:jc w:val="right"/>
              <w:rPr>
                <w:rFonts w:ascii="Times New Roman" w:hAnsi="Times New Roman"/>
                <w:sz w:val="18"/>
                <w:szCs w:val="18"/>
              </w:rPr>
            </w:pPr>
            <w:r>
              <w:rPr>
                <w:sz w:val="18"/>
                <w:szCs w:val="18"/>
              </w:rPr>
              <w:t>0,13</w:t>
            </w:r>
          </w:p>
        </w:tc>
        <w:tc>
          <w:tcPr>
            <w:tcW w:w="992" w:type="dxa"/>
            <w:tcBorders>
              <w:top w:val="nil"/>
              <w:left w:val="nil"/>
              <w:bottom w:val="single" w:sz="4" w:space="0" w:color="auto"/>
              <w:right w:val="single" w:sz="4" w:space="0" w:color="auto"/>
            </w:tcBorders>
            <w:shd w:val="clear" w:color="000000" w:fill="FFFFFF"/>
            <w:noWrap/>
            <w:vAlign w:val="bottom"/>
            <w:hideMark/>
          </w:tcPr>
          <w:p w14:paraId="1AC2628A" w14:textId="77777777" w:rsidR="00B56301" w:rsidRPr="00AE5F1B" w:rsidRDefault="00B56301" w:rsidP="00B37B65">
            <w:pPr>
              <w:jc w:val="right"/>
              <w:rPr>
                <w:rFonts w:ascii="Times New Roman" w:hAnsi="Times New Roman"/>
                <w:sz w:val="18"/>
                <w:szCs w:val="18"/>
              </w:rPr>
            </w:pPr>
            <w:r>
              <w:rPr>
                <w:sz w:val="18"/>
                <w:szCs w:val="18"/>
              </w:rPr>
              <w:t>0,10</w:t>
            </w:r>
          </w:p>
        </w:tc>
      </w:tr>
      <w:tr w:rsidR="00B56301" w:rsidRPr="00AE5F1B" w14:paraId="3DE1B0A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212D9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1DDFBAA0"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B0756C1" w14:textId="77777777" w:rsidR="00B56301" w:rsidRPr="00AE5F1B" w:rsidRDefault="00B56301" w:rsidP="00B37B65">
            <w:pPr>
              <w:jc w:val="right"/>
              <w:rPr>
                <w:rFonts w:ascii="Times New Roman" w:hAnsi="Times New Roman"/>
                <w:sz w:val="18"/>
                <w:szCs w:val="18"/>
              </w:rPr>
            </w:pPr>
            <w:r>
              <w:rPr>
                <w:sz w:val="18"/>
                <w:szCs w:val="18"/>
              </w:rPr>
              <w:t>0,10</w:t>
            </w:r>
          </w:p>
        </w:tc>
        <w:tc>
          <w:tcPr>
            <w:tcW w:w="992" w:type="dxa"/>
            <w:tcBorders>
              <w:top w:val="nil"/>
              <w:left w:val="nil"/>
              <w:bottom w:val="single" w:sz="4" w:space="0" w:color="auto"/>
              <w:right w:val="single" w:sz="4" w:space="0" w:color="auto"/>
            </w:tcBorders>
            <w:shd w:val="clear" w:color="000000" w:fill="FFFFFF"/>
            <w:noWrap/>
            <w:vAlign w:val="bottom"/>
            <w:hideMark/>
          </w:tcPr>
          <w:p w14:paraId="539800A8" w14:textId="77777777" w:rsidR="00B56301" w:rsidRPr="00AE5F1B" w:rsidRDefault="00B56301" w:rsidP="00B37B65">
            <w:pPr>
              <w:jc w:val="right"/>
              <w:rPr>
                <w:rFonts w:ascii="Times New Roman" w:hAnsi="Times New Roman"/>
                <w:sz w:val="18"/>
                <w:szCs w:val="18"/>
              </w:rPr>
            </w:pPr>
            <w:r>
              <w:rPr>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095DFF02"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760C9843"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5C3A2671" w14:textId="77777777" w:rsidR="00B56301" w:rsidRPr="00AE5F1B" w:rsidRDefault="00B56301" w:rsidP="00B37B65">
            <w:pPr>
              <w:jc w:val="right"/>
              <w:rPr>
                <w:rFonts w:ascii="Times New Roman" w:hAnsi="Times New Roman"/>
                <w:sz w:val="18"/>
                <w:szCs w:val="18"/>
              </w:rPr>
            </w:pPr>
            <w:r>
              <w:rPr>
                <w:sz w:val="18"/>
                <w:szCs w:val="18"/>
              </w:rPr>
              <w:t>0,03</w:t>
            </w:r>
          </w:p>
        </w:tc>
      </w:tr>
      <w:tr w:rsidR="00B56301" w:rsidRPr="00AE5F1B" w14:paraId="5AE0A83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6434E0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2F14A447"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5EF13CE"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FD7A1C5"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E65FDE7"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9CA39C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E180765"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648063B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7A185B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0A92B6F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82B9B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71C597B"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5A1AB0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62A581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819D69"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2F905CB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C7E418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2A448B0"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3853258"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57E952D4"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D1B7F56"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2F0C470"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9ACA706"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5B3B8E6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41693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786D43A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2CA63F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96A016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2C3A95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45981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3E9CBC8"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089FE8D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6D3AC1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517E971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07672C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B1DB24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D4C346B"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83B2C8"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A6E6830"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26A54C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9B4F73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2E7CFB2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BB0E7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22686C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B0E60A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19FD6D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C02CC74"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444B4B0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4426F6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33B926B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10F72B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B13C83"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26B397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68970B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1B4E893"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2672351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78A6706" w14:textId="76F6ED1A"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339F00FC" w14:textId="77777777" w:rsidR="00B56301" w:rsidRPr="00AE5F1B" w:rsidRDefault="00B56301" w:rsidP="00B37B65">
            <w:pPr>
              <w:jc w:val="right"/>
              <w:rPr>
                <w:rFonts w:ascii="Times New Roman" w:hAnsi="Times New Roman"/>
                <w:sz w:val="18"/>
                <w:szCs w:val="18"/>
              </w:rPr>
            </w:pPr>
            <w:r>
              <w:rPr>
                <w:sz w:val="18"/>
                <w:szCs w:val="18"/>
              </w:rPr>
              <w:t>188,26</w:t>
            </w:r>
          </w:p>
        </w:tc>
        <w:tc>
          <w:tcPr>
            <w:tcW w:w="992" w:type="dxa"/>
            <w:tcBorders>
              <w:top w:val="nil"/>
              <w:left w:val="nil"/>
              <w:bottom w:val="single" w:sz="4" w:space="0" w:color="auto"/>
              <w:right w:val="single" w:sz="4" w:space="0" w:color="auto"/>
            </w:tcBorders>
            <w:shd w:val="clear" w:color="000000" w:fill="FFFFFF"/>
            <w:noWrap/>
            <w:vAlign w:val="bottom"/>
            <w:hideMark/>
          </w:tcPr>
          <w:p w14:paraId="75F59909" w14:textId="77777777" w:rsidR="00B56301" w:rsidRPr="00AE5F1B" w:rsidRDefault="00B56301" w:rsidP="00B37B65">
            <w:pPr>
              <w:jc w:val="right"/>
              <w:rPr>
                <w:rFonts w:ascii="Times New Roman" w:hAnsi="Times New Roman"/>
                <w:sz w:val="18"/>
                <w:szCs w:val="18"/>
              </w:rPr>
            </w:pPr>
            <w:r>
              <w:rPr>
                <w:sz w:val="18"/>
                <w:szCs w:val="18"/>
              </w:rPr>
              <w:t>207,11</w:t>
            </w:r>
          </w:p>
        </w:tc>
        <w:tc>
          <w:tcPr>
            <w:tcW w:w="992" w:type="dxa"/>
            <w:tcBorders>
              <w:top w:val="nil"/>
              <w:left w:val="nil"/>
              <w:bottom w:val="single" w:sz="4" w:space="0" w:color="auto"/>
              <w:right w:val="single" w:sz="4" w:space="0" w:color="auto"/>
            </w:tcBorders>
            <w:shd w:val="clear" w:color="000000" w:fill="FFFFFF"/>
            <w:noWrap/>
            <w:vAlign w:val="bottom"/>
            <w:hideMark/>
          </w:tcPr>
          <w:p w14:paraId="69FCF823" w14:textId="77777777" w:rsidR="00B56301" w:rsidRPr="00AE5F1B" w:rsidRDefault="00B56301" w:rsidP="00B37B65">
            <w:pPr>
              <w:jc w:val="right"/>
              <w:rPr>
                <w:rFonts w:ascii="Times New Roman" w:hAnsi="Times New Roman"/>
                <w:sz w:val="18"/>
                <w:szCs w:val="18"/>
              </w:rPr>
            </w:pPr>
            <w:r>
              <w:rPr>
                <w:sz w:val="18"/>
                <w:szCs w:val="18"/>
              </w:rPr>
              <w:t>224,92</w:t>
            </w:r>
          </w:p>
        </w:tc>
        <w:tc>
          <w:tcPr>
            <w:tcW w:w="992" w:type="dxa"/>
            <w:tcBorders>
              <w:top w:val="nil"/>
              <w:left w:val="nil"/>
              <w:bottom w:val="single" w:sz="4" w:space="0" w:color="auto"/>
              <w:right w:val="single" w:sz="4" w:space="0" w:color="auto"/>
            </w:tcBorders>
            <w:shd w:val="clear" w:color="000000" w:fill="FFFFFF"/>
            <w:noWrap/>
            <w:vAlign w:val="bottom"/>
            <w:hideMark/>
          </w:tcPr>
          <w:p w14:paraId="28C838F3" w14:textId="77777777" w:rsidR="00B56301" w:rsidRPr="00AE5F1B" w:rsidRDefault="00B56301" w:rsidP="00B37B65">
            <w:pPr>
              <w:jc w:val="right"/>
              <w:rPr>
                <w:rFonts w:ascii="Times New Roman" w:hAnsi="Times New Roman"/>
                <w:sz w:val="18"/>
                <w:szCs w:val="18"/>
              </w:rPr>
            </w:pPr>
            <w:r>
              <w:rPr>
                <w:sz w:val="18"/>
                <w:szCs w:val="18"/>
              </w:rPr>
              <w:t>253,25</w:t>
            </w:r>
          </w:p>
        </w:tc>
        <w:tc>
          <w:tcPr>
            <w:tcW w:w="992" w:type="dxa"/>
            <w:tcBorders>
              <w:top w:val="nil"/>
              <w:left w:val="nil"/>
              <w:bottom w:val="single" w:sz="4" w:space="0" w:color="auto"/>
              <w:right w:val="single" w:sz="4" w:space="0" w:color="auto"/>
            </w:tcBorders>
            <w:shd w:val="clear" w:color="000000" w:fill="FFFFFF"/>
            <w:noWrap/>
            <w:vAlign w:val="bottom"/>
            <w:hideMark/>
          </w:tcPr>
          <w:p w14:paraId="243D7AC6" w14:textId="77777777" w:rsidR="00B56301" w:rsidRPr="00AE5F1B" w:rsidRDefault="00B56301" w:rsidP="00B37B65">
            <w:pPr>
              <w:jc w:val="right"/>
              <w:rPr>
                <w:rFonts w:ascii="Times New Roman" w:hAnsi="Times New Roman"/>
                <w:sz w:val="18"/>
                <w:szCs w:val="18"/>
              </w:rPr>
            </w:pPr>
            <w:r>
              <w:rPr>
                <w:sz w:val="18"/>
                <w:szCs w:val="18"/>
              </w:rPr>
              <w:t>318,21</w:t>
            </w:r>
          </w:p>
        </w:tc>
        <w:tc>
          <w:tcPr>
            <w:tcW w:w="992" w:type="dxa"/>
            <w:tcBorders>
              <w:top w:val="nil"/>
              <w:left w:val="nil"/>
              <w:bottom w:val="single" w:sz="4" w:space="0" w:color="auto"/>
              <w:right w:val="single" w:sz="4" w:space="0" w:color="auto"/>
            </w:tcBorders>
            <w:shd w:val="clear" w:color="000000" w:fill="FFFFFF"/>
            <w:noWrap/>
            <w:vAlign w:val="bottom"/>
            <w:hideMark/>
          </w:tcPr>
          <w:p w14:paraId="659BD61E" w14:textId="77777777" w:rsidR="00B56301" w:rsidRPr="00AE5F1B" w:rsidRDefault="00B56301" w:rsidP="00B37B65">
            <w:pPr>
              <w:jc w:val="right"/>
              <w:rPr>
                <w:rFonts w:ascii="Times New Roman" w:hAnsi="Times New Roman"/>
                <w:sz w:val="18"/>
                <w:szCs w:val="18"/>
              </w:rPr>
            </w:pPr>
            <w:r>
              <w:rPr>
                <w:sz w:val="18"/>
                <w:szCs w:val="18"/>
              </w:rPr>
              <w:t>287,27</w:t>
            </w:r>
          </w:p>
        </w:tc>
      </w:tr>
      <w:tr w:rsidR="00B56301" w:rsidRPr="00AE5F1B" w14:paraId="34A7156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66B4DF5" w14:textId="09974BF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D9A75F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9AD376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533A27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8EBA71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375CF4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99CEFC5"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771D41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08ED2382" w14:textId="79C3FC30"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7F09F7">
              <w:rPr>
                <w:lang w:val="en-GB"/>
              </w:rPr>
              <w:t>SF</w:t>
            </w:r>
            <w:r w:rsidR="007F09F7" w:rsidRPr="007F09F7">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0C77D4D9" w14:textId="77777777" w:rsidR="00B56301" w:rsidRPr="00AE5F1B" w:rsidRDefault="00B56301" w:rsidP="00B37B65">
            <w:pPr>
              <w:jc w:val="right"/>
              <w:rPr>
                <w:rFonts w:ascii="Times New Roman" w:hAnsi="Times New Roman"/>
                <w:sz w:val="18"/>
                <w:szCs w:val="18"/>
              </w:rPr>
            </w:pPr>
            <w:r>
              <w:rPr>
                <w:sz w:val="18"/>
                <w:szCs w:val="18"/>
              </w:rPr>
              <w:t>1825,40</w:t>
            </w:r>
          </w:p>
        </w:tc>
        <w:tc>
          <w:tcPr>
            <w:tcW w:w="992" w:type="dxa"/>
            <w:tcBorders>
              <w:top w:val="nil"/>
              <w:left w:val="nil"/>
              <w:bottom w:val="single" w:sz="4" w:space="0" w:color="auto"/>
              <w:right w:val="single" w:sz="4" w:space="0" w:color="auto"/>
            </w:tcBorders>
            <w:shd w:val="clear" w:color="000000" w:fill="CCFFFF"/>
            <w:noWrap/>
            <w:vAlign w:val="bottom"/>
            <w:hideMark/>
          </w:tcPr>
          <w:p w14:paraId="6C2D3929" w14:textId="77777777" w:rsidR="00B56301" w:rsidRPr="00AE5F1B" w:rsidRDefault="00B56301" w:rsidP="00B37B65">
            <w:pPr>
              <w:jc w:val="right"/>
              <w:rPr>
                <w:rFonts w:ascii="Times New Roman" w:hAnsi="Times New Roman"/>
                <w:sz w:val="18"/>
                <w:szCs w:val="18"/>
              </w:rPr>
            </w:pPr>
            <w:r>
              <w:rPr>
                <w:sz w:val="18"/>
                <w:szCs w:val="18"/>
              </w:rPr>
              <w:t>1597,54</w:t>
            </w:r>
          </w:p>
        </w:tc>
        <w:tc>
          <w:tcPr>
            <w:tcW w:w="992" w:type="dxa"/>
            <w:tcBorders>
              <w:top w:val="nil"/>
              <w:left w:val="nil"/>
              <w:bottom w:val="single" w:sz="4" w:space="0" w:color="auto"/>
              <w:right w:val="single" w:sz="4" w:space="0" w:color="auto"/>
            </w:tcBorders>
            <w:shd w:val="clear" w:color="000000" w:fill="CCFFFF"/>
            <w:noWrap/>
            <w:vAlign w:val="bottom"/>
            <w:hideMark/>
          </w:tcPr>
          <w:p w14:paraId="1DF6B9CE" w14:textId="77777777" w:rsidR="00B56301" w:rsidRPr="00AE5F1B" w:rsidRDefault="00B56301" w:rsidP="00B37B65">
            <w:pPr>
              <w:jc w:val="right"/>
              <w:rPr>
                <w:rFonts w:ascii="Times New Roman" w:hAnsi="Times New Roman"/>
                <w:sz w:val="18"/>
                <w:szCs w:val="18"/>
              </w:rPr>
            </w:pPr>
            <w:r>
              <w:rPr>
                <w:sz w:val="18"/>
                <w:szCs w:val="18"/>
              </w:rPr>
              <w:t>1579,79</w:t>
            </w:r>
          </w:p>
        </w:tc>
        <w:tc>
          <w:tcPr>
            <w:tcW w:w="992" w:type="dxa"/>
            <w:tcBorders>
              <w:top w:val="nil"/>
              <w:left w:val="nil"/>
              <w:bottom w:val="single" w:sz="4" w:space="0" w:color="auto"/>
              <w:right w:val="single" w:sz="4" w:space="0" w:color="auto"/>
            </w:tcBorders>
            <w:shd w:val="clear" w:color="000000" w:fill="CCFFFF"/>
            <w:noWrap/>
            <w:vAlign w:val="bottom"/>
            <w:hideMark/>
          </w:tcPr>
          <w:p w14:paraId="1D42DA7F" w14:textId="77777777" w:rsidR="00B56301" w:rsidRPr="00AE5F1B" w:rsidRDefault="00B56301" w:rsidP="00B37B65">
            <w:pPr>
              <w:jc w:val="right"/>
              <w:rPr>
                <w:rFonts w:ascii="Times New Roman" w:hAnsi="Times New Roman"/>
                <w:sz w:val="18"/>
                <w:szCs w:val="18"/>
              </w:rPr>
            </w:pPr>
            <w:r>
              <w:rPr>
                <w:sz w:val="18"/>
                <w:szCs w:val="18"/>
              </w:rPr>
              <w:t>1611,08</w:t>
            </w:r>
          </w:p>
        </w:tc>
        <w:tc>
          <w:tcPr>
            <w:tcW w:w="992" w:type="dxa"/>
            <w:tcBorders>
              <w:top w:val="nil"/>
              <w:left w:val="nil"/>
              <w:bottom w:val="single" w:sz="4" w:space="0" w:color="auto"/>
              <w:right w:val="single" w:sz="4" w:space="0" w:color="auto"/>
            </w:tcBorders>
            <w:shd w:val="clear" w:color="000000" w:fill="CCFFFF"/>
            <w:noWrap/>
            <w:vAlign w:val="bottom"/>
            <w:hideMark/>
          </w:tcPr>
          <w:p w14:paraId="28C4F8A1" w14:textId="77777777" w:rsidR="00B56301" w:rsidRPr="00AE5F1B" w:rsidRDefault="00B56301" w:rsidP="00B37B65">
            <w:pPr>
              <w:jc w:val="right"/>
              <w:rPr>
                <w:rFonts w:ascii="Times New Roman" w:hAnsi="Times New Roman"/>
                <w:sz w:val="18"/>
                <w:szCs w:val="18"/>
              </w:rPr>
            </w:pPr>
            <w:r>
              <w:rPr>
                <w:sz w:val="18"/>
                <w:szCs w:val="18"/>
              </w:rPr>
              <w:t>1354,85</w:t>
            </w:r>
          </w:p>
        </w:tc>
        <w:tc>
          <w:tcPr>
            <w:tcW w:w="992" w:type="dxa"/>
            <w:tcBorders>
              <w:top w:val="nil"/>
              <w:left w:val="nil"/>
              <w:bottom w:val="single" w:sz="4" w:space="0" w:color="auto"/>
              <w:right w:val="single" w:sz="4" w:space="0" w:color="auto"/>
            </w:tcBorders>
            <w:shd w:val="clear" w:color="000000" w:fill="CCFFFF"/>
            <w:noWrap/>
            <w:vAlign w:val="bottom"/>
            <w:hideMark/>
          </w:tcPr>
          <w:p w14:paraId="2782FEB3" w14:textId="77777777" w:rsidR="00B56301" w:rsidRPr="00AE5F1B" w:rsidRDefault="00B56301" w:rsidP="00B37B65">
            <w:pPr>
              <w:jc w:val="right"/>
              <w:rPr>
                <w:rFonts w:ascii="Times New Roman" w:hAnsi="Times New Roman"/>
                <w:sz w:val="18"/>
                <w:szCs w:val="18"/>
              </w:rPr>
            </w:pPr>
            <w:r>
              <w:rPr>
                <w:sz w:val="18"/>
                <w:szCs w:val="18"/>
              </w:rPr>
              <w:t>1252,21</w:t>
            </w:r>
          </w:p>
        </w:tc>
      </w:tr>
      <w:tr w:rsidR="00B56301" w:rsidRPr="00AE5F1B" w14:paraId="55A8E322"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14E1957A" w14:textId="5E0F4D31"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2D30221E"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2A99A69A"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3992348"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04EB69FC"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564DA071"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7B10FC38" w14:textId="77777777" w:rsidR="00B56301" w:rsidRPr="00AE5F1B" w:rsidRDefault="00B56301" w:rsidP="00B37B65">
            <w:pPr>
              <w:jc w:val="right"/>
              <w:rPr>
                <w:rFonts w:ascii="Times New Roman" w:hAnsi="Times New Roman"/>
                <w:sz w:val="18"/>
                <w:szCs w:val="18"/>
              </w:rPr>
            </w:pPr>
            <w:r>
              <w:rPr>
                <w:sz w:val="18"/>
                <w:szCs w:val="18"/>
              </w:rPr>
              <w:t>0,05</w:t>
            </w:r>
          </w:p>
        </w:tc>
      </w:tr>
      <w:tr w:rsidR="00B56301" w:rsidRPr="00AE5F1B" w14:paraId="63F77EA8"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4B1E73AE" w14:textId="735E25B0"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6C251B">
              <w:rPr>
                <w:sz w:val="18"/>
                <w:lang w:val="en-GB"/>
              </w:rPr>
              <w:t>NF</w:t>
            </w:r>
            <w:r w:rsidR="007F09F7" w:rsidRPr="006C251B">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6A48BC5D" w14:textId="77777777" w:rsidR="00B56301" w:rsidRPr="00AE5F1B" w:rsidRDefault="00B56301" w:rsidP="00B37B65">
            <w:pPr>
              <w:jc w:val="right"/>
              <w:rPr>
                <w:rFonts w:ascii="Times New Roman" w:hAnsi="Times New Roman"/>
                <w:sz w:val="18"/>
                <w:szCs w:val="18"/>
              </w:rPr>
            </w:pPr>
            <w:r>
              <w:rPr>
                <w:sz w:val="18"/>
                <w:szCs w:val="18"/>
              </w:rPr>
              <w:t>28,45</w:t>
            </w:r>
          </w:p>
        </w:tc>
        <w:tc>
          <w:tcPr>
            <w:tcW w:w="992" w:type="dxa"/>
            <w:tcBorders>
              <w:top w:val="nil"/>
              <w:left w:val="nil"/>
              <w:bottom w:val="single" w:sz="4" w:space="0" w:color="auto"/>
              <w:right w:val="single" w:sz="4" w:space="0" w:color="auto"/>
            </w:tcBorders>
            <w:shd w:val="clear" w:color="000000" w:fill="CCFFFF"/>
            <w:noWrap/>
            <w:vAlign w:val="bottom"/>
            <w:hideMark/>
          </w:tcPr>
          <w:p w14:paraId="036F3A0B" w14:textId="77777777" w:rsidR="00B56301" w:rsidRPr="00AE5F1B" w:rsidRDefault="00B56301" w:rsidP="00B37B65">
            <w:pPr>
              <w:jc w:val="right"/>
              <w:rPr>
                <w:rFonts w:ascii="Times New Roman" w:hAnsi="Times New Roman"/>
                <w:sz w:val="18"/>
                <w:szCs w:val="18"/>
              </w:rPr>
            </w:pPr>
            <w:r>
              <w:rPr>
                <w:sz w:val="18"/>
                <w:szCs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5D126DF1" w14:textId="77777777" w:rsidR="00B56301" w:rsidRPr="00AE5F1B" w:rsidRDefault="00B56301" w:rsidP="00B37B65">
            <w:pPr>
              <w:jc w:val="right"/>
              <w:rPr>
                <w:rFonts w:ascii="Times New Roman" w:hAnsi="Times New Roman"/>
                <w:sz w:val="18"/>
                <w:szCs w:val="18"/>
              </w:rPr>
            </w:pPr>
            <w:r>
              <w:rPr>
                <w:sz w:val="18"/>
                <w:szCs w:val="18"/>
              </w:rPr>
              <w:t>30,47</w:t>
            </w:r>
          </w:p>
        </w:tc>
        <w:tc>
          <w:tcPr>
            <w:tcW w:w="992" w:type="dxa"/>
            <w:tcBorders>
              <w:top w:val="nil"/>
              <w:left w:val="nil"/>
              <w:bottom w:val="single" w:sz="4" w:space="0" w:color="auto"/>
              <w:right w:val="single" w:sz="4" w:space="0" w:color="auto"/>
            </w:tcBorders>
            <w:shd w:val="clear" w:color="000000" w:fill="CCFFFF"/>
            <w:noWrap/>
            <w:vAlign w:val="bottom"/>
            <w:hideMark/>
          </w:tcPr>
          <w:p w14:paraId="2710AE5D" w14:textId="77777777" w:rsidR="00B56301" w:rsidRPr="00AE5F1B" w:rsidRDefault="00B56301" w:rsidP="00B37B65">
            <w:pPr>
              <w:jc w:val="right"/>
              <w:rPr>
                <w:rFonts w:ascii="Times New Roman" w:hAnsi="Times New Roman"/>
                <w:sz w:val="18"/>
                <w:szCs w:val="18"/>
              </w:rPr>
            </w:pPr>
            <w:r>
              <w:rPr>
                <w:sz w:val="18"/>
                <w:szCs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45FDEA45" w14:textId="77777777" w:rsidR="00B56301" w:rsidRPr="00AE5F1B" w:rsidRDefault="00B56301" w:rsidP="00B37B65">
            <w:pPr>
              <w:jc w:val="right"/>
              <w:rPr>
                <w:rFonts w:ascii="Times New Roman" w:hAnsi="Times New Roman"/>
                <w:sz w:val="18"/>
                <w:szCs w:val="18"/>
              </w:rPr>
            </w:pPr>
            <w:r>
              <w:rPr>
                <w:sz w:val="18"/>
                <w:szCs w:val="18"/>
              </w:rPr>
              <w:t>31,27</w:t>
            </w:r>
          </w:p>
        </w:tc>
        <w:tc>
          <w:tcPr>
            <w:tcW w:w="992" w:type="dxa"/>
            <w:tcBorders>
              <w:top w:val="nil"/>
              <w:left w:val="nil"/>
              <w:bottom w:val="single" w:sz="4" w:space="0" w:color="auto"/>
              <w:right w:val="single" w:sz="4" w:space="0" w:color="auto"/>
            </w:tcBorders>
            <w:shd w:val="clear" w:color="000000" w:fill="CCFFFF"/>
            <w:noWrap/>
            <w:vAlign w:val="bottom"/>
            <w:hideMark/>
          </w:tcPr>
          <w:p w14:paraId="391133A8" w14:textId="77777777" w:rsidR="00B56301" w:rsidRPr="00AE5F1B" w:rsidRDefault="00B56301" w:rsidP="00B37B65">
            <w:pPr>
              <w:jc w:val="right"/>
              <w:rPr>
                <w:rFonts w:ascii="Times New Roman" w:hAnsi="Times New Roman"/>
                <w:sz w:val="18"/>
                <w:szCs w:val="18"/>
              </w:rPr>
            </w:pPr>
            <w:r>
              <w:rPr>
                <w:sz w:val="18"/>
                <w:szCs w:val="18"/>
              </w:rPr>
              <w:t>29,76</w:t>
            </w:r>
          </w:p>
        </w:tc>
      </w:tr>
      <w:tr w:rsidR="00B56301" w:rsidRPr="00AE5F1B" w14:paraId="2E4BECB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8C2EFF0" w14:textId="02661D9F"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597B9C28"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6229FC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95912DA"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9350272"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1ABB3A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188250" w14:textId="77777777" w:rsidR="00B56301" w:rsidRPr="00AE5F1B" w:rsidRDefault="00B56301" w:rsidP="00B37B65">
            <w:pPr>
              <w:jc w:val="right"/>
              <w:rPr>
                <w:rFonts w:ascii="Times New Roman" w:hAnsi="Times New Roman"/>
                <w:sz w:val="18"/>
                <w:szCs w:val="18"/>
              </w:rPr>
            </w:pPr>
            <w:r>
              <w:rPr>
                <w:sz w:val="18"/>
                <w:szCs w:val="18"/>
              </w:rPr>
              <w:t>0,00</w:t>
            </w:r>
          </w:p>
        </w:tc>
      </w:tr>
    </w:tbl>
    <w:p w14:paraId="31C4DE0E" w14:textId="77777777" w:rsidR="00B56301" w:rsidRDefault="00B56301" w:rsidP="00B56301">
      <w:pPr>
        <w:spacing w:line="240" w:lineRule="atLeast"/>
        <w:jc w:val="left"/>
        <w:rPr>
          <w:rFonts w:cs="Arial"/>
        </w:rPr>
      </w:pPr>
      <w:r>
        <w:rPr>
          <w:rFonts w:cs="Arial"/>
        </w:rPr>
        <w:br w:type="page"/>
      </w:r>
    </w:p>
    <w:p w14:paraId="6887940D" w14:textId="77777777" w:rsidR="00B56301" w:rsidRDefault="00B56301" w:rsidP="00B56301">
      <w:pPr>
        <w:spacing w:line="240" w:lineRule="atLeast"/>
        <w:jc w:val="left"/>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AE5F1B" w14:paraId="4228909E"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3447B62D" w14:textId="77777777" w:rsidR="00B56301" w:rsidRPr="00AE5F1B" w:rsidRDefault="00B56301" w:rsidP="00B37B65">
            <w:pPr>
              <w:jc w:val="center"/>
              <w:rPr>
                <w:rFonts w:ascii="Times New Roman" w:hAnsi="Times New Roman"/>
                <w:b/>
                <w:bCs/>
                <w:sz w:val="20"/>
                <w:szCs w:val="18"/>
                <w:lang w:val="en-GB"/>
              </w:rPr>
            </w:pPr>
            <w:r w:rsidRPr="00AE5F1B">
              <w:rPr>
                <w:rFonts w:ascii="Times New Roman" w:hAnsi="Times New Roman"/>
                <w:b/>
                <w:bCs/>
                <w:sz w:val="20"/>
                <w:szCs w:val="18"/>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E24B510"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43030D"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2D8D434"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2009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351977E"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C2DBD5A"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1C5F3D9"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2012</w:t>
            </w:r>
          </w:p>
        </w:tc>
      </w:tr>
      <w:tr w:rsidR="00B56301" w:rsidRPr="00AE5F1B" w14:paraId="0437D86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940CD80" w14:textId="6EAEAEA7"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61861A5" w14:textId="77777777" w:rsidR="00B56301" w:rsidRPr="00AE5F1B" w:rsidRDefault="00B56301" w:rsidP="00B37B65">
            <w:pPr>
              <w:jc w:val="right"/>
              <w:rPr>
                <w:rFonts w:ascii="Times New Roman" w:hAnsi="Times New Roman"/>
                <w:sz w:val="18"/>
                <w:szCs w:val="18"/>
              </w:rPr>
            </w:pPr>
            <w:r>
              <w:rPr>
                <w:sz w:val="18"/>
                <w:szCs w:val="18"/>
              </w:rPr>
              <w:t>16378,69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066CEFB" w14:textId="77777777" w:rsidR="00B56301" w:rsidRPr="00AE5F1B" w:rsidRDefault="00B56301" w:rsidP="00B37B65">
            <w:pPr>
              <w:jc w:val="right"/>
              <w:rPr>
                <w:rFonts w:ascii="Times New Roman" w:hAnsi="Times New Roman"/>
                <w:sz w:val="18"/>
                <w:szCs w:val="18"/>
              </w:rPr>
            </w:pPr>
            <w:r>
              <w:rPr>
                <w:sz w:val="18"/>
                <w:szCs w:val="18"/>
              </w:rPr>
              <w:t>17085,28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31F5D6E" w14:textId="77777777" w:rsidR="00B56301" w:rsidRPr="00AE5F1B" w:rsidRDefault="00B56301" w:rsidP="00B37B65">
            <w:pPr>
              <w:jc w:val="right"/>
              <w:rPr>
                <w:rFonts w:ascii="Times New Roman" w:hAnsi="Times New Roman"/>
                <w:sz w:val="18"/>
                <w:szCs w:val="18"/>
              </w:rPr>
            </w:pPr>
            <w:r>
              <w:rPr>
                <w:sz w:val="18"/>
                <w:szCs w:val="18"/>
              </w:rPr>
              <w:t>16765,68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5503487" w14:textId="77777777" w:rsidR="00B56301" w:rsidRPr="00AE5F1B" w:rsidRDefault="00B56301" w:rsidP="00B37B65">
            <w:pPr>
              <w:jc w:val="right"/>
              <w:rPr>
                <w:rFonts w:ascii="Times New Roman" w:hAnsi="Times New Roman"/>
                <w:sz w:val="18"/>
                <w:szCs w:val="18"/>
              </w:rPr>
            </w:pPr>
            <w:r>
              <w:rPr>
                <w:sz w:val="18"/>
                <w:szCs w:val="18"/>
              </w:rPr>
              <w:t>17547,47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0FC0AA4" w14:textId="77777777" w:rsidR="00B56301" w:rsidRPr="00AE5F1B" w:rsidRDefault="00B56301" w:rsidP="00B37B65">
            <w:pPr>
              <w:jc w:val="right"/>
              <w:rPr>
                <w:rFonts w:ascii="Times New Roman" w:hAnsi="Times New Roman"/>
                <w:sz w:val="18"/>
                <w:szCs w:val="18"/>
              </w:rPr>
            </w:pPr>
            <w:r>
              <w:rPr>
                <w:sz w:val="18"/>
                <w:szCs w:val="18"/>
              </w:rPr>
              <w:t>18402,84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031091F" w14:textId="77777777" w:rsidR="00B56301" w:rsidRPr="00AE5F1B" w:rsidRDefault="00B56301" w:rsidP="00B37B65">
            <w:pPr>
              <w:jc w:val="right"/>
              <w:rPr>
                <w:rFonts w:ascii="Times New Roman" w:hAnsi="Times New Roman"/>
                <w:sz w:val="18"/>
                <w:szCs w:val="18"/>
              </w:rPr>
            </w:pPr>
            <w:r>
              <w:rPr>
                <w:sz w:val="18"/>
                <w:szCs w:val="18"/>
              </w:rPr>
              <w:t>18652,42</w:t>
            </w:r>
          </w:p>
        </w:tc>
      </w:tr>
      <w:tr w:rsidR="00B56301" w:rsidRPr="00AE5F1B" w14:paraId="3FF44BFD"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6D75E811" w14:textId="3E6F2831"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5F54CFA8" w14:textId="77777777" w:rsidR="00B56301" w:rsidRPr="00AE5F1B" w:rsidRDefault="00B56301" w:rsidP="00B37B65">
            <w:pPr>
              <w:jc w:val="right"/>
              <w:rPr>
                <w:rFonts w:ascii="Times New Roman" w:hAnsi="Times New Roman"/>
                <w:sz w:val="18"/>
                <w:szCs w:val="18"/>
              </w:rPr>
            </w:pPr>
            <w:r>
              <w:rPr>
                <w:sz w:val="18"/>
                <w:szCs w:val="18"/>
              </w:rPr>
              <w:t>15199,26</w:t>
            </w:r>
          </w:p>
        </w:tc>
        <w:tc>
          <w:tcPr>
            <w:tcW w:w="992" w:type="dxa"/>
            <w:tcBorders>
              <w:top w:val="nil"/>
              <w:left w:val="nil"/>
              <w:bottom w:val="single" w:sz="4" w:space="0" w:color="auto"/>
              <w:right w:val="single" w:sz="4" w:space="0" w:color="auto"/>
            </w:tcBorders>
            <w:shd w:val="clear" w:color="000000" w:fill="CCFFFF"/>
            <w:noWrap/>
            <w:vAlign w:val="bottom"/>
            <w:hideMark/>
          </w:tcPr>
          <w:p w14:paraId="53AF470F" w14:textId="77777777" w:rsidR="00B56301" w:rsidRPr="00AE5F1B" w:rsidRDefault="00B56301" w:rsidP="00B37B65">
            <w:pPr>
              <w:jc w:val="right"/>
              <w:rPr>
                <w:rFonts w:ascii="Times New Roman" w:hAnsi="Times New Roman"/>
                <w:sz w:val="18"/>
                <w:szCs w:val="18"/>
              </w:rPr>
            </w:pPr>
            <w:r>
              <w:rPr>
                <w:sz w:val="18"/>
                <w:szCs w:val="18"/>
              </w:rPr>
              <w:t>16307,53</w:t>
            </w:r>
          </w:p>
        </w:tc>
        <w:tc>
          <w:tcPr>
            <w:tcW w:w="992" w:type="dxa"/>
            <w:tcBorders>
              <w:top w:val="nil"/>
              <w:left w:val="nil"/>
              <w:bottom w:val="single" w:sz="4" w:space="0" w:color="auto"/>
              <w:right w:val="single" w:sz="4" w:space="0" w:color="auto"/>
            </w:tcBorders>
            <w:shd w:val="clear" w:color="000000" w:fill="CCFFFF"/>
            <w:noWrap/>
            <w:vAlign w:val="bottom"/>
            <w:hideMark/>
          </w:tcPr>
          <w:p w14:paraId="0645DAED" w14:textId="77777777" w:rsidR="00B56301" w:rsidRPr="00AE5F1B" w:rsidRDefault="00B56301" w:rsidP="00B37B65">
            <w:pPr>
              <w:jc w:val="right"/>
              <w:rPr>
                <w:rFonts w:ascii="Times New Roman" w:hAnsi="Times New Roman"/>
                <w:sz w:val="18"/>
                <w:szCs w:val="18"/>
              </w:rPr>
            </w:pPr>
            <w:r>
              <w:rPr>
                <w:sz w:val="18"/>
                <w:szCs w:val="18"/>
              </w:rPr>
              <w:t>16206,87</w:t>
            </w:r>
          </w:p>
        </w:tc>
        <w:tc>
          <w:tcPr>
            <w:tcW w:w="992" w:type="dxa"/>
            <w:tcBorders>
              <w:top w:val="nil"/>
              <w:left w:val="nil"/>
              <w:bottom w:val="single" w:sz="4" w:space="0" w:color="auto"/>
              <w:right w:val="single" w:sz="4" w:space="0" w:color="auto"/>
            </w:tcBorders>
            <w:shd w:val="clear" w:color="000000" w:fill="CCFFFF"/>
            <w:noWrap/>
            <w:vAlign w:val="bottom"/>
            <w:hideMark/>
          </w:tcPr>
          <w:p w14:paraId="40EC6CB8" w14:textId="77777777" w:rsidR="00B56301" w:rsidRPr="00AE5F1B" w:rsidRDefault="00B56301" w:rsidP="00B37B65">
            <w:pPr>
              <w:jc w:val="right"/>
              <w:rPr>
                <w:rFonts w:ascii="Times New Roman" w:hAnsi="Times New Roman"/>
                <w:sz w:val="18"/>
                <w:szCs w:val="18"/>
              </w:rPr>
            </w:pPr>
            <w:r>
              <w:rPr>
                <w:sz w:val="18"/>
                <w:szCs w:val="18"/>
              </w:rPr>
              <w:t>16930,10</w:t>
            </w:r>
          </w:p>
        </w:tc>
        <w:tc>
          <w:tcPr>
            <w:tcW w:w="992" w:type="dxa"/>
            <w:tcBorders>
              <w:top w:val="nil"/>
              <w:left w:val="nil"/>
              <w:bottom w:val="single" w:sz="4" w:space="0" w:color="auto"/>
              <w:right w:val="single" w:sz="4" w:space="0" w:color="auto"/>
            </w:tcBorders>
            <w:shd w:val="clear" w:color="000000" w:fill="CCFFFF"/>
            <w:noWrap/>
            <w:vAlign w:val="bottom"/>
            <w:hideMark/>
          </w:tcPr>
          <w:p w14:paraId="4913B8A4" w14:textId="77777777" w:rsidR="00B56301" w:rsidRPr="00AE5F1B" w:rsidRDefault="00B56301" w:rsidP="00B37B65">
            <w:pPr>
              <w:jc w:val="right"/>
              <w:rPr>
                <w:rFonts w:ascii="Times New Roman" w:hAnsi="Times New Roman"/>
                <w:sz w:val="18"/>
                <w:szCs w:val="18"/>
              </w:rPr>
            </w:pPr>
            <w:r>
              <w:rPr>
                <w:sz w:val="18"/>
                <w:szCs w:val="18"/>
              </w:rPr>
              <w:t>17628,80</w:t>
            </w:r>
          </w:p>
        </w:tc>
        <w:tc>
          <w:tcPr>
            <w:tcW w:w="992" w:type="dxa"/>
            <w:tcBorders>
              <w:top w:val="nil"/>
              <w:left w:val="nil"/>
              <w:bottom w:val="single" w:sz="4" w:space="0" w:color="auto"/>
              <w:right w:val="single" w:sz="4" w:space="0" w:color="auto"/>
            </w:tcBorders>
            <w:shd w:val="clear" w:color="000000" w:fill="CCFFFF"/>
            <w:noWrap/>
            <w:vAlign w:val="bottom"/>
            <w:hideMark/>
          </w:tcPr>
          <w:p w14:paraId="149F57B4" w14:textId="77777777" w:rsidR="00B56301" w:rsidRPr="00AE5F1B" w:rsidRDefault="00B56301" w:rsidP="00B37B65">
            <w:pPr>
              <w:jc w:val="right"/>
              <w:rPr>
                <w:rFonts w:ascii="Times New Roman" w:hAnsi="Times New Roman"/>
                <w:sz w:val="18"/>
                <w:szCs w:val="18"/>
              </w:rPr>
            </w:pPr>
            <w:r>
              <w:rPr>
                <w:sz w:val="18"/>
                <w:szCs w:val="18"/>
              </w:rPr>
              <w:t>17862,07</w:t>
            </w:r>
          </w:p>
        </w:tc>
      </w:tr>
      <w:tr w:rsidR="00B56301" w:rsidRPr="00AE5F1B" w14:paraId="5D72A5EC"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1A13FA3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0B72A02B"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7774E17"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6FB923C"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3C25E562"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4DDB56C"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1885BB64"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21CE5B2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2542A3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41E49E3B" w14:textId="77777777" w:rsidR="00B56301" w:rsidRPr="00AE5F1B" w:rsidRDefault="00B56301" w:rsidP="00B37B65">
            <w:pPr>
              <w:jc w:val="right"/>
              <w:rPr>
                <w:rFonts w:ascii="Times New Roman" w:hAnsi="Times New Roman"/>
                <w:sz w:val="18"/>
                <w:szCs w:val="18"/>
              </w:rPr>
            </w:pPr>
            <w:r>
              <w:rPr>
                <w:sz w:val="18"/>
                <w:szCs w:val="18"/>
              </w:rPr>
              <w:t>0,24</w:t>
            </w:r>
          </w:p>
        </w:tc>
        <w:tc>
          <w:tcPr>
            <w:tcW w:w="992" w:type="dxa"/>
            <w:tcBorders>
              <w:top w:val="nil"/>
              <w:left w:val="nil"/>
              <w:bottom w:val="single" w:sz="4" w:space="0" w:color="auto"/>
              <w:right w:val="single" w:sz="4" w:space="0" w:color="auto"/>
            </w:tcBorders>
            <w:shd w:val="clear" w:color="000000" w:fill="FFFFFF"/>
            <w:noWrap/>
            <w:vAlign w:val="bottom"/>
            <w:hideMark/>
          </w:tcPr>
          <w:p w14:paraId="7A9708E2" w14:textId="77777777" w:rsidR="00B56301" w:rsidRPr="00AE5F1B" w:rsidRDefault="00B56301" w:rsidP="00B37B65">
            <w:pPr>
              <w:jc w:val="right"/>
              <w:rPr>
                <w:rFonts w:ascii="Times New Roman" w:hAnsi="Times New Roman"/>
                <w:sz w:val="18"/>
                <w:szCs w:val="18"/>
              </w:rPr>
            </w:pPr>
            <w:r>
              <w:rPr>
                <w:sz w:val="18"/>
                <w:szCs w:val="18"/>
              </w:rPr>
              <w:t>0,29</w:t>
            </w:r>
          </w:p>
        </w:tc>
        <w:tc>
          <w:tcPr>
            <w:tcW w:w="992" w:type="dxa"/>
            <w:tcBorders>
              <w:top w:val="nil"/>
              <w:left w:val="nil"/>
              <w:bottom w:val="single" w:sz="4" w:space="0" w:color="auto"/>
              <w:right w:val="single" w:sz="4" w:space="0" w:color="auto"/>
            </w:tcBorders>
            <w:shd w:val="clear" w:color="000000" w:fill="FFFFFF"/>
            <w:noWrap/>
            <w:vAlign w:val="bottom"/>
            <w:hideMark/>
          </w:tcPr>
          <w:p w14:paraId="0F3CC2EF" w14:textId="77777777" w:rsidR="00B56301" w:rsidRPr="00AE5F1B" w:rsidRDefault="00B56301" w:rsidP="00B37B65">
            <w:pPr>
              <w:jc w:val="right"/>
              <w:rPr>
                <w:rFonts w:ascii="Times New Roman" w:hAnsi="Times New Roman"/>
                <w:sz w:val="18"/>
                <w:szCs w:val="18"/>
              </w:rPr>
            </w:pPr>
            <w:r>
              <w:rPr>
                <w:sz w:val="18"/>
                <w:szCs w:val="18"/>
              </w:rPr>
              <w:t>0,33</w:t>
            </w:r>
          </w:p>
        </w:tc>
        <w:tc>
          <w:tcPr>
            <w:tcW w:w="992" w:type="dxa"/>
            <w:tcBorders>
              <w:top w:val="nil"/>
              <w:left w:val="nil"/>
              <w:bottom w:val="single" w:sz="4" w:space="0" w:color="auto"/>
              <w:right w:val="single" w:sz="4" w:space="0" w:color="auto"/>
            </w:tcBorders>
            <w:shd w:val="clear" w:color="000000" w:fill="FFFFFF"/>
            <w:noWrap/>
            <w:vAlign w:val="bottom"/>
            <w:hideMark/>
          </w:tcPr>
          <w:p w14:paraId="290F15FB" w14:textId="77777777" w:rsidR="00B56301" w:rsidRPr="00AE5F1B" w:rsidRDefault="00B56301" w:rsidP="00B37B65">
            <w:pPr>
              <w:jc w:val="right"/>
              <w:rPr>
                <w:rFonts w:ascii="Times New Roman" w:hAnsi="Times New Roman"/>
                <w:sz w:val="18"/>
                <w:szCs w:val="18"/>
              </w:rPr>
            </w:pPr>
            <w:r>
              <w:rPr>
                <w:sz w:val="18"/>
                <w:szCs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42CAF8C7" w14:textId="77777777" w:rsidR="00B56301" w:rsidRPr="00AE5F1B" w:rsidRDefault="00B56301" w:rsidP="00B37B65">
            <w:pPr>
              <w:jc w:val="right"/>
              <w:rPr>
                <w:rFonts w:ascii="Times New Roman" w:hAnsi="Times New Roman"/>
                <w:sz w:val="18"/>
                <w:szCs w:val="18"/>
              </w:rPr>
            </w:pPr>
            <w:r>
              <w:rPr>
                <w:sz w:val="18"/>
                <w:szCs w:val="18"/>
              </w:rPr>
              <w:t>0,41</w:t>
            </w:r>
          </w:p>
        </w:tc>
        <w:tc>
          <w:tcPr>
            <w:tcW w:w="992" w:type="dxa"/>
            <w:tcBorders>
              <w:top w:val="nil"/>
              <w:left w:val="nil"/>
              <w:bottom w:val="single" w:sz="4" w:space="0" w:color="auto"/>
              <w:right w:val="single" w:sz="4" w:space="0" w:color="auto"/>
            </w:tcBorders>
            <w:shd w:val="clear" w:color="000000" w:fill="FFFFFF"/>
            <w:noWrap/>
            <w:vAlign w:val="bottom"/>
            <w:hideMark/>
          </w:tcPr>
          <w:p w14:paraId="7FB6C5C7" w14:textId="77777777" w:rsidR="00B56301" w:rsidRPr="00AE5F1B" w:rsidRDefault="00B56301" w:rsidP="00B37B65">
            <w:pPr>
              <w:jc w:val="right"/>
              <w:rPr>
                <w:rFonts w:ascii="Times New Roman" w:hAnsi="Times New Roman"/>
                <w:sz w:val="18"/>
                <w:szCs w:val="18"/>
              </w:rPr>
            </w:pPr>
            <w:r>
              <w:rPr>
                <w:sz w:val="18"/>
                <w:szCs w:val="18"/>
              </w:rPr>
              <w:t>0,44</w:t>
            </w:r>
          </w:p>
        </w:tc>
      </w:tr>
      <w:tr w:rsidR="00B56301" w:rsidRPr="00AE5F1B" w14:paraId="2AF045A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48CBF2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268E84B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869E9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7E406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7A52F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0CD9E9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496D3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3AAE2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ABF91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0680E69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A1BF26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D2EF2F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D2BEB9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8FA9F8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C5FDE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5F76B3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D2A36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34D2A52B" w14:textId="77777777" w:rsidR="00B56301" w:rsidRPr="00AE5F1B" w:rsidRDefault="00B56301" w:rsidP="00B37B65">
            <w:pPr>
              <w:jc w:val="right"/>
              <w:rPr>
                <w:rFonts w:ascii="Times New Roman" w:hAnsi="Times New Roman"/>
                <w:sz w:val="18"/>
                <w:szCs w:val="18"/>
              </w:rPr>
            </w:pPr>
            <w:r>
              <w:rPr>
                <w:sz w:val="18"/>
                <w:szCs w:val="18"/>
              </w:rPr>
              <w:t>1,04</w:t>
            </w:r>
          </w:p>
        </w:tc>
        <w:tc>
          <w:tcPr>
            <w:tcW w:w="992" w:type="dxa"/>
            <w:tcBorders>
              <w:top w:val="nil"/>
              <w:left w:val="nil"/>
              <w:bottom w:val="single" w:sz="4" w:space="0" w:color="auto"/>
              <w:right w:val="single" w:sz="4" w:space="0" w:color="auto"/>
            </w:tcBorders>
            <w:shd w:val="clear" w:color="000000" w:fill="FFFFFF"/>
            <w:noWrap/>
            <w:vAlign w:val="bottom"/>
            <w:hideMark/>
          </w:tcPr>
          <w:p w14:paraId="10172FCD" w14:textId="77777777" w:rsidR="00B56301" w:rsidRPr="00AE5F1B" w:rsidRDefault="00B56301" w:rsidP="00B37B65">
            <w:pPr>
              <w:jc w:val="right"/>
              <w:rPr>
                <w:rFonts w:ascii="Times New Roman" w:hAnsi="Times New Roman"/>
                <w:sz w:val="18"/>
                <w:szCs w:val="18"/>
              </w:rPr>
            </w:pPr>
            <w:r>
              <w:rPr>
                <w:sz w:val="18"/>
                <w:szCs w:val="18"/>
              </w:rPr>
              <w:t>1,13</w:t>
            </w:r>
          </w:p>
        </w:tc>
        <w:tc>
          <w:tcPr>
            <w:tcW w:w="992" w:type="dxa"/>
            <w:tcBorders>
              <w:top w:val="nil"/>
              <w:left w:val="nil"/>
              <w:bottom w:val="single" w:sz="4" w:space="0" w:color="auto"/>
              <w:right w:val="single" w:sz="4" w:space="0" w:color="auto"/>
            </w:tcBorders>
            <w:shd w:val="clear" w:color="000000" w:fill="FFFFFF"/>
            <w:noWrap/>
            <w:vAlign w:val="bottom"/>
            <w:hideMark/>
          </w:tcPr>
          <w:p w14:paraId="64918265" w14:textId="77777777" w:rsidR="00B56301" w:rsidRPr="00AE5F1B" w:rsidRDefault="00B56301" w:rsidP="00B37B65">
            <w:pPr>
              <w:jc w:val="right"/>
              <w:rPr>
                <w:rFonts w:ascii="Times New Roman" w:hAnsi="Times New Roman"/>
                <w:sz w:val="18"/>
                <w:szCs w:val="18"/>
              </w:rPr>
            </w:pPr>
            <w:r>
              <w:rPr>
                <w:sz w:val="18"/>
                <w:szCs w:val="18"/>
              </w:rPr>
              <w:t>1,22</w:t>
            </w:r>
          </w:p>
        </w:tc>
        <w:tc>
          <w:tcPr>
            <w:tcW w:w="992" w:type="dxa"/>
            <w:tcBorders>
              <w:top w:val="nil"/>
              <w:left w:val="nil"/>
              <w:bottom w:val="single" w:sz="4" w:space="0" w:color="auto"/>
              <w:right w:val="single" w:sz="4" w:space="0" w:color="auto"/>
            </w:tcBorders>
            <w:shd w:val="clear" w:color="000000" w:fill="FFFFFF"/>
            <w:noWrap/>
            <w:vAlign w:val="bottom"/>
            <w:hideMark/>
          </w:tcPr>
          <w:p w14:paraId="3D443C00" w14:textId="77777777" w:rsidR="00B56301" w:rsidRPr="00AE5F1B" w:rsidRDefault="00B56301" w:rsidP="00B37B65">
            <w:pPr>
              <w:jc w:val="right"/>
              <w:rPr>
                <w:rFonts w:ascii="Times New Roman" w:hAnsi="Times New Roman"/>
                <w:sz w:val="18"/>
                <w:szCs w:val="18"/>
              </w:rPr>
            </w:pPr>
            <w:r>
              <w:rPr>
                <w:sz w:val="18"/>
                <w:szCs w:val="18"/>
              </w:rPr>
              <w:t>1,29</w:t>
            </w:r>
          </w:p>
        </w:tc>
        <w:tc>
          <w:tcPr>
            <w:tcW w:w="992" w:type="dxa"/>
            <w:tcBorders>
              <w:top w:val="nil"/>
              <w:left w:val="nil"/>
              <w:bottom w:val="single" w:sz="4" w:space="0" w:color="auto"/>
              <w:right w:val="single" w:sz="4" w:space="0" w:color="auto"/>
            </w:tcBorders>
            <w:shd w:val="clear" w:color="000000" w:fill="FFFFFF"/>
            <w:noWrap/>
            <w:vAlign w:val="bottom"/>
            <w:hideMark/>
          </w:tcPr>
          <w:p w14:paraId="7DBEA7A2" w14:textId="77777777" w:rsidR="00B56301" w:rsidRPr="00AE5F1B" w:rsidRDefault="00B56301" w:rsidP="00B37B65">
            <w:pPr>
              <w:jc w:val="right"/>
              <w:rPr>
                <w:rFonts w:ascii="Times New Roman" w:hAnsi="Times New Roman"/>
                <w:sz w:val="18"/>
                <w:szCs w:val="18"/>
              </w:rPr>
            </w:pPr>
            <w:r>
              <w:rPr>
                <w:sz w:val="18"/>
                <w:szCs w:val="18"/>
              </w:rPr>
              <w:t>1,36</w:t>
            </w:r>
          </w:p>
        </w:tc>
        <w:tc>
          <w:tcPr>
            <w:tcW w:w="992" w:type="dxa"/>
            <w:tcBorders>
              <w:top w:val="nil"/>
              <w:left w:val="nil"/>
              <w:bottom w:val="single" w:sz="4" w:space="0" w:color="auto"/>
              <w:right w:val="single" w:sz="4" w:space="0" w:color="auto"/>
            </w:tcBorders>
            <w:shd w:val="clear" w:color="000000" w:fill="FFFFFF"/>
            <w:noWrap/>
            <w:vAlign w:val="bottom"/>
            <w:hideMark/>
          </w:tcPr>
          <w:p w14:paraId="1631F7AD" w14:textId="77777777" w:rsidR="00B56301" w:rsidRPr="00AE5F1B" w:rsidRDefault="00B56301" w:rsidP="00B37B65">
            <w:pPr>
              <w:jc w:val="right"/>
              <w:rPr>
                <w:rFonts w:ascii="Times New Roman" w:hAnsi="Times New Roman"/>
                <w:sz w:val="18"/>
                <w:szCs w:val="18"/>
              </w:rPr>
            </w:pPr>
            <w:r>
              <w:rPr>
                <w:sz w:val="18"/>
                <w:szCs w:val="18"/>
              </w:rPr>
              <w:t>1,39</w:t>
            </w:r>
          </w:p>
        </w:tc>
      </w:tr>
      <w:tr w:rsidR="00B56301" w:rsidRPr="00AE5F1B" w14:paraId="4A023C6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FD8B56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47B438D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F6473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E169CA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85DD0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7C843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EA3BB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629DC5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2D4934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40233D1F" w14:textId="77777777" w:rsidR="00B56301" w:rsidRPr="00AE5F1B" w:rsidRDefault="00B56301" w:rsidP="00B37B65">
            <w:pPr>
              <w:jc w:val="right"/>
              <w:rPr>
                <w:rFonts w:ascii="Times New Roman" w:hAnsi="Times New Roman"/>
                <w:sz w:val="18"/>
                <w:szCs w:val="18"/>
              </w:rPr>
            </w:pPr>
            <w:r>
              <w:rPr>
                <w:sz w:val="18"/>
                <w:szCs w:val="18"/>
              </w:rPr>
              <w:t>4,53</w:t>
            </w:r>
          </w:p>
        </w:tc>
        <w:tc>
          <w:tcPr>
            <w:tcW w:w="992" w:type="dxa"/>
            <w:tcBorders>
              <w:top w:val="nil"/>
              <w:left w:val="nil"/>
              <w:bottom w:val="single" w:sz="4" w:space="0" w:color="auto"/>
              <w:right w:val="single" w:sz="4" w:space="0" w:color="auto"/>
            </w:tcBorders>
            <w:shd w:val="clear" w:color="000000" w:fill="FFFFFF"/>
            <w:noWrap/>
            <w:vAlign w:val="bottom"/>
            <w:hideMark/>
          </w:tcPr>
          <w:p w14:paraId="22ECB3CB" w14:textId="77777777" w:rsidR="00B56301" w:rsidRPr="00AE5F1B" w:rsidRDefault="00B56301" w:rsidP="00B37B65">
            <w:pPr>
              <w:jc w:val="right"/>
              <w:rPr>
                <w:rFonts w:ascii="Times New Roman" w:hAnsi="Times New Roman"/>
                <w:sz w:val="18"/>
                <w:szCs w:val="18"/>
              </w:rPr>
            </w:pPr>
            <w:r>
              <w:rPr>
                <w:sz w:val="18"/>
                <w:szCs w:val="18"/>
              </w:rPr>
              <w:t>4,74</w:t>
            </w:r>
          </w:p>
        </w:tc>
        <w:tc>
          <w:tcPr>
            <w:tcW w:w="992" w:type="dxa"/>
            <w:tcBorders>
              <w:top w:val="nil"/>
              <w:left w:val="nil"/>
              <w:bottom w:val="single" w:sz="4" w:space="0" w:color="auto"/>
              <w:right w:val="single" w:sz="4" w:space="0" w:color="auto"/>
            </w:tcBorders>
            <w:shd w:val="clear" w:color="000000" w:fill="FFFFFF"/>
            <w:noWrap/>
            <w:vAlign w:val="bottom"/>
            <w:hideMark/>
          </w:tcPr>
          <w:p w14:paraId="6DBA2AF1" w14:textId="77777777" w:rsidR="00B56301" w:rsidRPr="00AE5F1B" w:rsidRDefault="00B56301" w:rsidP="00B37B65">
            <w:pPr>
              <w:jc w:val="right"/>
              <w:rPr>
                <w:rFonts w:ascii="Times New Roman" w:hAnsi="Times New Roman"/>
                <w:sz w:val="18"/>
                <w:szCs w:val="18"/>
              </w:rPr>
            </w:pPr>
            <w:r>
              <w:rPr>
                <w:sz w:val="18"/>
                <w:szCs w:val="18"/>
              </w:rPr>
              <w:t>4,50</w:t>
            </w:r>
          </w:p>
        </w:tc>
        <w:tc>
          <w:tcPr>
            <w:tcW w:w="992" w:type="dxa"/>
            <w:tcBorders>
              <w:top w:val="nil"/>
              <w:left w:val="nil"/>
              <w:bottom w:val="single" w:sz="4" w:space="0" w:color="auto"/>
              <w:right w:val="single" w:sz="4" w:space="0" w:color="auto"/>
            </w:tcBorders>
            <w:shd w:val="clear" w:color="000000" w:fill="FFFFFF"/>
            <w:noWrap/>
            <w:vAlign w:val="bottom"/>
            <w:hideMark/>
          </w:tcPr>
          <w:p w14:paraId="1A0E423C" w14:textId="77777777" w:rsidR="00B56301" w:rsidRPr="00AE5F1B" w:rsidRDefault="00B56301" w:rsidP="00B37B65">
            <w:pPr>
              <w:jc w:val="right"/>
              <w:rPr>
                <w:rFonts w:ascii="Times New Roman" w:hAnsi="Times New Roman"/>
                <w:sz w:val="18"/>
                <w:szCs w:val="18"/>
              </w:rPr>
            </w:pPr>
            <w:r>
              <w:rPr>
                <w:sz w:val="18"/>
                <w:szCs w:val="18"/>
              </w:rPr>
              <w:t>4,80</w:t>
            </w:r>
          </w:p>
        </w:tc>
        <w:tc>
          <w:tcPr>
            <w:tcW w:w="992" w:type="dxa"/>
            <w:tcBorders>
              <w:top w:val="nil"/>
              <w:left w:val="nil"/>
              <w:bottom w:val="single" w:sz="4" w:space="0" w:color="auto"/>
              <w:right w:val="single" w:sz="4" w:space="0" w:color="auto"/>
            </w:tcBorders>
            <w:shd w:val="clear" w:color="000000" w:fill="FFFFFF"/>
            <w:noWrap/>
            <w:vAlign w:val="bottom"/>
            <w:hideMark/>
          </w:tcPr>
          <w:p w14:paraId="300FB3D1" w14:textId="77777777" w:rsidR="00B56301" w:rsidRPr="00AE5F1B" w:rsidRDefault="00B56301" w:rsidP="00B37B65">
            <w:pPr>
              <w:jc w:val="right"/>
              <w:rPr>
                <w:rFonts w:ascii="Times New Roman" w:hAnsi="Times New Roman"/>
                <w:sz w:val="18"/>
                <w:szCs w:val="18"/>
              </w:rPr>
            </w:pPr>
            <w:r>
              <w:rPr>
                <w:sz w:val="18"/>
                <w:szCs w:val="18"/>
              </w:rPr>
              <w:t>4,94</w:t>
            </w:r>
          </w:p>
        </w:tc>
        <w:tc>
          <w:tcPr>
            <w:tcW w:w="992" w:type="dxa"/>
            <w:tcBorders>
              <w:top w:val="nil"/>
              <w:left w:val="nil"/>
              <w:bottom w:val="single" w:sz="4" w:space="0" w:color="auto"/>
              <w:right w:val="single" w:sz="4" w:space="0" w:color="auto"/>
            </w:tcBorders>
            <w:shd w:val="clear" w:color="000000" w:fill="FFFFFF"/>
            <w:noWrap/>
            <w:vAlign w:val="bottom"/>
            <w:hideMark/>
          </w:tcPr>
          <w:p w14:paraId="65721F5B" w14:textId="77777777" w:rsidR="00B56301" w:rsidRPr="00AE5F1B" w:rsidRDefault="00B56301" w:rsidP="00B37B65">
            <w:pPr>
              <w:jc w:val="right"/>
              <w:rPr>
                <w:rFonts w:ascii="Times New Roman" w:hAnsi="Times New Roman"/>
                <w:sz w:val="18"/>
                <w:szCs w:val="18"/>
              </w:rPr>
            </w:pPr>
            <w:r>
              <w:rPr>
                <w:sz w:val="18"/>
                <w:szCs w:val="18"/>
              </w:rPr>
              <w:t>4,94</w:t>
            </w:r>
          </w:p>
        </w:tc>
      </w:tr>
      <w:tr w:rsidR="00B56301" w:rsidRPr="00AE5F1B" w14:paraId="6B77E22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EF7FB1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3A6834E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AC2B83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B22139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5553F4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269309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7A6B6C"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6AAED96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12BDCC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3AC21D81" w14:textId="77777777" w:rsidR="00B56301" w:rsidRPr="00AE5F1B" w:rsidRDefault="00B56301" w:rsidP="00B37B65">
            <w:pPr>
              <w:jc w:val="right"/>
              <w:rPr>
                <w:rFonts w:ascii="Times New Roman" w:hAnsi="Times New Roman"/>
                <w:sz w:val="18"/>
                <w:szCs w:val="18"/>
              </w:rPr>
            </w:pPr>
            <w:r>
              <w:rPr>
                <w:sz w:val="18"/>
                <w:szCs w:val="18"/>
              </w:rPr>
              <w:t>0,91</w:t>
            </w:r>
          </w:p>
        </w:tc>
        <w:tc>
          <w:tcPr>
            <w:tcW w:w="992" w:type="dxa"/>
            <w:tcBorders>
              <w:top w:val="nil"/>
              <w:left w:val="nil"/>
              <w:bottom w:val="single" w:sz="4" w:space="0" w:color="auto"/>
              <w:right w:val="single" w:sz="4" w:space="0" w:color="auto"/>
            </w:tcBorders>
            <w:shd w:val="clear" w:color="000000" w:fill="FFFFFF"/>
            <w:noWrap/>
            <w:vAlign w:val="bottom"/>
            <w:hideMark/>
          </w:tcPr>
          <w:p w14:paraId="43F2BBE6" w14:textId="77777777" w:rsidR="00B56301" w:rsidRPr="00AE5F1B" w:rsidRDefault="00B56301" w:rsidP="00B37B65">
            <w:pPr>
              <w:jc w:val="right"/>
              <w:rPr>
                <w:rFonts w:ascii="Times New Roman" w:hAnsi="Times New Roman"/>
                <w:sz w:val="18"/>
                <w:szCs w:val="18"/>
              </w:rPr>
            </w:pPr>
            <w:r>
              <w:rPr>
                <w:sz w:val="18"/>
                <w:szCs w:val="18"/>
              </w:rPr>
              <w:t>0,99</w:t>
            </w:r>
          </w:p>
        </w:tc>
        <w:tc>
          <w:tcPr>
            <w:tcW w:w="992" w:type="dxa"/>
            <w:tcBorders>
              <w:top w:val="nil"/>
              <w:left w:val="nil"/>
              <w:bottom w:val="single" w:sz="4" w:space="0" w:color="auto"/>
              <w:right w:val="single" w:sz="4" w:space="0" w:color="auto"/>
            </w:tcBorders>
            <w:shd w:val="clear" w:color="000000" w:fill="FFFFFF"/>
            <w:noWrap/>
            <w:vAlign w:val="bottom"/>
            <w:hideMark/>
          </w:tcPr>
          <w:p w14:paraId="521F3ED2" w14:textId="77777777" w:rsidR="00B56301" w:rsidRPr="00AE5F1B" w:rsidRDefault="00B56301" w:rsidP="00B37B65">
            <w:pPr>
              <w:jc w:val="right"/>
              <w:rPr>
                <w:rFonts w:ascii="Times New Roman" w:hAnsi="Times New Roman"/>
                <w:sz w:val="18"/>
                <w:szCs w:val="18"/>
              </w:rPr>
            </w:pPr>
            <w:r>
              <w:rPr>
                <w:sz w:val="18"/>
                <w:szCs w:val="18"/>
              </w:rPr>
              <w:t>1,02</w:t>
            </w:r>
          </w:p>
        </w:tc>
        <w:tc>
          <w:tcPr>
            <w:tcW w:w="992" w:type="dxa"/>
            <w:tcBorders>
              <w:top w:val="nil"/>
              <w:left w:val="nil"/>
              <w:bottom w:val="single" w:sz="4" w:space="0" w:color="auto"/>
              <w:right w:val="single" w:sz="4" w:space="0" w:color="auto"/>
            </w:tcBorders>
            <w:shd w:val="clear" w:color="000000" w:fill="FFFFFF"/>
            <w:noWrap/>
            <w:vAlign w:val="bottom"/>
            <w:hideMark/>
          </w:tcPr>
          <w:p w14:paraId="13B9D715" w14:textId="77777777" w:rsidR="00B56301" w:rsidRPr="00AE5F1B" w:rsidRDefault="00B56301" w:rsidP="00B37B65">
            <w:pPr>
              <w:jc w:val="right"/>
              <w:rPr>
                <w:rFonts w:ascii="Times New Roman" w:hAnsi="Times New Roman"/>
                <w:sz w:val="18"/>
                <w:szCs w:val="18"/>
              </w:rPr>
            </w:pPr>
            <w:r>
              <w:rPr>
                <w:sz w:val="18"/>
                <w:szCs w:val="18"/>
              </w:rPr>
              <w:t>1,04</w:t>
            </w:r>
          </w:p>
        </w:tc>
        <w:tc>
          <w:tcPr>
            <w:tcW w:w="992" w:type="dxa"/>
            <w:tcBorders>
              <w:top w:val="nil"/>
              <w:left w:val="nil"/>
              <w:bottom w:val="single" w:sz="4" w:space="0" w:color="auto"/>
              <w:right w:val="single" w:sz="4" w:space="0" w:color="auto"/>
            </w:tcBorders>
            <w:shd w:val="clear" w:color="000000" w:fill="FFFFFF"/>
            <w:noWrap/>
            <w:vAlign w:val="bottom"/>
            <w:hideMark/>
          </w:tcPr>
          <w:p w14:paraId="5B7CFD78" w14:textId="77777777" w:rsidR="00B56301" w:rsidRPr="00AE5F1B" w:rsidRDefault="00B56301" w:rsidP="00B37B65">
            <w:pPr>
              <w:jc w:val="right"/>
              <w:rPr>
                <w:rFonts w:ascii="Times New Roman" w:hAnsi="Times New Roman"/>
                <w:sz w:val="18"/>
                <w:szCs w:val="18"/>
              </w:rPr>
            </w:pPr>
            <w:r>
              <w:rPr>
                <w:sz w:val="18"/>
                <w:szCs w:val="18"/>
              </w:rPr>
              <w:t>1,07</w:t>
            </w:r>
          </w:p>
        </w:tc>
        <w:tc>
          <w:tcPr>
            <w:tcW w:w="992" w:type="dxa"/>
            <w:tcBorders>
              <w:top w:val="nil"/>
              <w:left w:val="nil"/>
              <w:bottom w:val="single" w:sz="4" w:space="0" w:color="auto"/>
              <w:right w:val="single" w:sz="4" w:space="0" w:color="auto"/>
            </w:tcBorders>
            <w:shd w:val="clear" w:color="000000" w:fill="FFFFFF"/>
            <w:noWrap/>
            <w:vAlign w:val="bottom"/>
            <w:hideMark/>
          </w:tcPr>
          <w:p w14:paraId="6514D150" w14:textId="77777777" w:rsidR="00B56301" w:rsidRPr="00AE5F1B" w:rsidRDefault="00B56301" w:rsidP="00B37B65">
            <w:pPr>
              <w:jc w:val="right"/>
              <w:rPr>
                <w:rFonts w:ascii="Times New Roman" w:hAnsi="Times New Roman"/>
                <w:sz w:val="18"/>
                <w:szCs w:val="18"/>
              </w:rPr>
            </w:pPr>
            <w:r>
              <w:rPr>
                <w:sz w:val="18"/>
                <w:szCs w:val="18"/>
              </w:rPr>
              <w:t>1,06</w:t>
            </w:r>
          </w:p>
        </w:tc>
      </w:tr>
      <w:tr w:rsidR="00B56301" w:rsidRPr="00AE5F1B" w14:paraId="69A667F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0D7417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CF79ED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96714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085A24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AED7F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B9F8FE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3601F88"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9AC21F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FF04EF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311255D0" w14:textId="77777777" w:rsidR="00B56301" w:rsidRPr="00AE5F1B" w:rsidRDefault="00B56301" w:rsidP="00B37B65">
            <w:pPr>
              <w:jc w:val="right"/>
              <w:rPr>
                <w:rFonts w:ascii="Times New Roman" w:hAnsi="Times New Roman"/>
                <w:sz w:val="18"/>
                <w:szCs w:val="18"/>
              </w:rPr>
            </w:pPr>
            <w:r>
              <w:rPr>
                <w:sz w:val="18"/>
                <w:szCs w:val="18"/>
              </w:rPr>
              <w:t>0,33</w:t>
            </w:r>
          </w:p>
        </w:tc>
        <w:tc>
          <w:tcPr>
            <w:tcW w:w="992" w:type="dxa"/>
            <w:tcBorders>
              <w:top w:val="nil"/>
              <w:left w:val="nil"/>
              <w:bottom w:val="single" w:sz="4" w:space="0" w:color="auto"/>
              <w:right w:val="single" w:sz="4" w:space="0" w:color="auto"/>
            </w:tcBorders>
            <w:shd w:val="clear" w:color="000000" w:fill="FFFFFF"/>
            <w:noWrap/>
            <w:vAlign w:val="bottom"/>
            <w:hideMark/>
          </w:tcPr>
          <w:p w14:paraId="2772DE9C" w14:textId="77777777" w:rsidR="00B56301" w:rsidRPr="00AE5F1B" w:rsidRDefault="00B56301" w:rsidP="00B37B65">
            <w:pPr>
              <w:jc w:val="right"/>
              <w:rPr>
                <w:rFonts w:ascii="Times New Roman" w:hAnsi="Times New Roman"/>
                <w:sz w:val="18"/>
                <w:szCs w:val="18"/>
              </w:rPr>
            </w:pPr>
            <w:r>
              <w:rPr>
                <w:sz w:val="18"/>
                <w:szCs w:val="18"/>
              </w:rPr>
              <w:t>0,37</w:t>
            </w:r>
          </w:p>
        </w:tc>
        <w:tc>
          <w:tcPr>
            <w:tcW w:w="992" w:type="dxa"/>
            <w:tcBorders>
              <w:top w:val="nil"/>
              <w:left w:val="nil"/>
              <w:bottom w:val="single" w:sz="4" w:space="0" w:color="auto"/>
              <w:right w:val="single" w:sz="4" w:space="0" w:color="auto"/>
            </w:tcBorders>
            <w:shd w:val="clear" w:color="000000" w:fill="FFFFFF"/>
            <w:noWrap/>
            <w:vAlign w:val="bottom"/>
            <w:hideMark/>
          </w:tcPr>
          <w:p w14:paraId="7CD2DC89" w14:textId="77777777" w:rsidR="00B56301" w:rsidRPr="00AE5F1B" w:rsidRDefault="00B56301" w:rsidP="00B37B65">
            <w:pPr>
              <w:jc w:val="right"/>
              <w:rPr>
                <w:rFonts w:ascii="Times New Roman" w:hAnsi="Times New Roman"/>
                <w:sz w:val="18"/>
                <w:szCs w:val="18"/>
              </w:rPr>
            </w:pPr>
            <w:r>
              <w:rPr>
                <w:sz w:val="18"/>
                <w:szCs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40637A1E" w14:textId="77777777" w:rsidR="00B56301" w:rsidRPr="00AE5F1B" w:rsidRDefault="00B56301" w:rsidP="00B37B65">
            <w:pPr>
              <w:jc w:val="right"/>
              <w:rPr>
                <w:rFonts w:ascii="Times New Roman" w:hAnsi="Times New Roman"/>
                <w:sz w:val="18"/>
                <w:szCs w:val="18"/>
              </w:rPr>
            </w:pPr>
            <w:r>
              <w:rPr>
                <w:sz w:val="18"/>
                <w:szCs w:val="18"/>
              </w:rPr>
              <w:t>0,36</w:t>
            </w:r>
          </w:p>
        </w:tc>
        <w:tc>
          <w:tcPr>
            <w:tcW w:w="992" w:type="dxa"/>
            <w:tcBorders>
              <w:top w:val="nil"/>
              <w:left w:val="nil"/>
              <w:bottom w:val="single" w:sz="4" w:space="0" w:color="auto"/>
              <w:right w:val="single" w:sz="4" w:space="0" w:color="auto"/>
            </w:tcBorders>
            <w:shd w:val="clear" w:color="000000" w:fill="FFFFFF"/>
            <w:noWrap/>
            <w:vAlign w:val="bottom"/>
            <w:hideMark/>
          </w:tcPr>
          <w:p w14:paraId="43509E99" w14:textId="77777777" w:rsidR="00B56301" w:rsidRPr="00AE5F1B" w:rsidRDefault="00B56301" w:rsidP="00B37B65">
            <w:pPr>
              <w:jc w:val="right"/>
              <w:rPr>
                <w:rFonts w:ascii="Times New Roman" w:hAnsi="Times New Roman"/>
                <w:sz w:val="18"/>
                <w:szCs w:val="18"/>
              </w:rPr>
            </w:pPr>
            <w:r>
              <w:rPr>
                <w:sz w:val="18"/>
                <w:szCs w:val="18"/>
              </w:rPr>
              <w:t>0,38</w:t>
            </w:r>
          </w:p>
        </w:tc>
        <w:tc>
          <w:tcPr>
            <w:tcW w:w="992" w:type="dxa"/>
            <w:tcBorders>
              <w:top w:val="nil"/>
              <w:left w:val="nil"/>
              <w:bottom w:val="single" w:sz="4" w:space="0" w:color="auto"/>
              <w:right w:val="single" w:sz="4" w:space="0" w:color="auto"/>
            </w:tcBorders>
            <w:shd w:val="clear" w:color="000000" w:fill="FFFFFF"/>
            <w:noWrap/>
            <w:vAlign w:val="bottom"/>
            <w:hideMark/>
          </w:tcPr>
          <w:p w14:paraId="06E13B49" w14:textId="77777777" w:rsidR="00B56301" w:rsidRPr="00AE5F1B" w:rsidRDefault="00B56301" w:rsidP="00B37B65">
            <w:pPr>
              <w:jc w:val="right"/>
              <w:rPr>
                <w:rFonts w:ascii="Times New Roman" w:hAnsi="Times New Roman"/>
                <w:sz w:val="18"/>
                <w:szCs w:val="18"/>
              </w:rPr>
            </w:pPr>
            <w:r>
              <w:rPr>
                <w:sz w:val="18"/>
                <w:szCs w:val="18"/>
              </w:rPr>
              <w:t>0,38</w:t>
            </w:r>
          </w:p>
        </w:tc>
      </w:tr>
      <w:tr w:rsidR="00B56301" w:rsidRPr="00AE5F1B" w14:paraId="3784665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BA0787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4639743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52C7B2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67CABA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D3145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1320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9A985F2"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5A1FD5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57C24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5AC4ABA7"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5FA16BC"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264707CF"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0E035E0E"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323BE7FF"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3F400238" w14:textId="77777777" w:rsidR="00B56301" w:rsidRPr="00AE5F1B" w:rsidRDefault="00B56301" w:rsidP="00B37B65">
            <w:pPr>
              <w:jc w:val="right"/>
              <w:rPr>
                <w:rFonts w:ascii="Times New Roman" w:hAnsi="Times New Roman"/>
                <w:sz w:val="18"/>
                <w:szCs w:val="18"/>
              </w:rPr>
            </w:pPr>
            <w:r>
              <w:rPr>
                <w:sz w:val="18"/>
                <w:szCs w:val="18"/>
              </w:rPr>
              <w:t>0,08</w:t>
            </w:r>
          </w:p>
        </w:tc>
      </w:tr>
      <w:tr w:rsidR="00B56301" w:rsidRPr="00AE5F1B" w14:paraId="32E4C84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2814BD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3546A73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8A6A8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24F98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C85BD6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1C11BC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543E3E"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5B78A3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DE36FD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6947034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455385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45E7BD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C240C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3BB8F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8335E5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748CF3A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3F6DC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05632B6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886076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8D60E1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6E6AFB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AEFDDE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F204892"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0C1BEE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E6C867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046E743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6C5F2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48B55D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6866C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03AD18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860D87"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433BBAD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C542A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619A5330"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787633F6"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9B44C84"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44E85060"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1F604659"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4B778525" w14:textId="77777777" w:rsidR="00B56301" w:rsidRPr="00AE5F1B" w:rsidRDefault="00B56301" w:rsidP="00B37B65">
            <w:pPr>
              <w:jc w:val="right"/>
              <w:rPr>
                <w:rFonts w:ascii="Times New Roman" w:hAnsi="Times New Roman"/>
                <w:sz w:val="18"/>
                <w:szCs w:val="18"/>
              </w:rPr>
            </w:pPr>
            <w:r>
              <w:rPr>
                <w:sz w:val="18"/>
                <w:szCs w:val="18"/>
              </w:rPr>
              <w:t>0,04</w:t>
            </w:r>
          </w:p>
        </w:tc>
      </w:tr>
      <w:tr w:rsidR="00B56301" w:rsidRPr="00AE5F1B" w14:paraId="7D8FE95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57C11F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63C90EBC" w14:textId="77777777" w:rsidR="00B56301" w:rsidRPr="00AE5F1B" w:rsidRDefault="00B56301" w:rsidP="00B37B65">
            <w:pPr>
              <w:jc w:val="right"/>
              <w:rPr>
                <w:rFonts w:ascii="Times New Roman" w:hAnsi="Times New Roman"/>
                <w:sz w:val="18"/>
                <w:szCs w:val="18"/>
              </w:rPr>
            </w:pPr>
            <w:r>
              <w:rPr>
                <w:sz w:val="18"/>
                <w:szCs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33472760" w14:textId="77777777" w:rsidR="00B56301" w:rsidRPr="00AE5F1B" w:rsidRDefault="00B56301" w:rsidP="00B37B65">
            <w:pPr>
              <w:jc w:val="right"/>
              <w:rPr>
                <w:rFonts w:ascii="Times New Roman" w:hAnsi="Times New Roman"/>
                <w:sz w:val="18"/>
                <w:szCs w:val="18"/>
              </w:rPr>
            </w:pPr>
            <w:r>
              <w:rPr>
                <w:sz w:val="18"/>
                <w:szCs w:val="18"/>
              </w:rPr>
              <w:t>0,06</w:t>
            </w:r>
          </w:p>
        </w:tc>
        <w:tc>
          <w:tcPr>
            <w:tcW w:w="992" w:type="dxa"/>
            <w:tcBorders>
              <w:top w:val="nil"/>
              <w:left w:val="nil"/>
              <w:bottom w:val="single" w:sz="4" w:space="0" w:color="auto"/>
              <w:right w:val="single" w:sz="4" w:space="0" w:color="auto"/>
            </w:tcBorders>
            <w:shd w:val="clear" w:color="000000" w:fill="FFFFFF"/>
            <w:noWrap/>
            <w:vAlign w:val="bottom"/>
            <w:hideMark/>
          </w:tcPr>
          <w:p w14:paraId="4BBE68FD"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62CE86F4" w14:textId="77777777" w:rsidR="00B56301" w:rsidRPr="00AE5F1B" w:rsidRDefault="00B56301" w:rsidP="00B37B65">
            <w:pPr>
              <w:jc w:val="right"/>
              <w:rPr>
                <w:rFonts w:ascii="Times New Roman" w:hAnsi="Times New Roman"/>
                <w:sz w:val="18"/>
                <w:szCs w:val="18"/>
              </w:rPr>
            </w:pPr>
            <w:r>
              <w:rPr>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281C1EB3"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9D28D9F" w14:textId="77777777" w:rsidR="00B56301" w:rsidRPr="00AE5F1B" w:rsidRDefault="00B56301" w:rsidP="00B37B65">
            <w:pPr>
              <w:jc w:val="right"/>
              <w:rPr>
                <w:rFonts w:ascii="Times New Roman" w:hAnsi="Times New Roman"/>
                <w:sz w:val="18"/>
                <w:szCs w:val="18"/>
              </w:rPr>
            </w:pPr>
            <w:r>
              <w:rPr>
                <w:sz w:val="18"/>
                <w:szCs w:val="18"/>
              </w:rPr>
              <w:t>0,11</w:t>
            </w:r>
          </w:p>
        </w:tc>
      </w:tr>
      <w:tr w:rsidR="00B56301" w:rsidRPr="00AE5F1B" w14:paraId="13BB6C0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F8CED6" w14:textId="4965AC74"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28239BD2" w14:textId="77777777" w:rsidR="00B56301" w:rsidRPr="00AE5F1B" w:rsidRDefault="00B56301" w:rsidP="00B37B65">
            <w:pPr>
              <w:jc w:val="right"/>
              <w:rPr>
                <w:rFonts w:ascii="Times New Roman" w:hAnsi="Times New Roman"/>
                <w:sz w:val="18"/>
                <w:szCs w:val="18"/>
              </w:rPr>
            </w:pPr>
            <w:r>
              <w:rPr>
                <w:sz w:val="18"/>
                <w:szCs w:val="18"/>
              </w:rPr>
              <w:t>214,10</w:t>
            </w:r>
          </w:p>
        </w:tc>
        <w:tc>
          <w:tcPr>
            <w:tcW w:w="992" w:type="dxa"/>
            <w:tcBorders>
              <w:top w:val="nil"/>
              <w:left w:val="nil"/>
              <w:bottom w:val="single" w:sz="4" w:space="0" w:color="auto"/>
              <w:right w:val="single" w:sz="4" w:space="0" w:color="auto"/>
            </w:tcBorders>
            <w:shd w:val="clear" w:color="000000" w:fill="FFFFFF"/>
            <w:noWrap/>
            <w:vAlign w:val="bottom"/>
            <w:hideMark/>
          </w:tcPr>
          <w:p w14:paraId="791D83FA" w14:textId="77777777" w:rsidR="00B56301" w:rsidRPr="00AE5F1B" w:rsidRDefault="00B56301" w:rsidP="00B37B65">
            <w:pPr>
              <w:jc w:val="right"/>
              <w:rPr>
                <w:rFonts w:ascii="Times New Roman" w:hAnsi="Times New Roman"/>
                <w:sz w:val="18"/>
                <w:szCs w:val="18"/>
              </w:rPr>
            </w:pPr>
            <w:r>
              <w:rPr>
                <w:sz w:val="18"/>
                <w:szCs w:val="18"/>
              </w:rPr>
              <w:t>235,99</w:t>
            </w:r>
          </w:p>
        </w:tc>
        <w:tc>
          <w:tcPr>
            <w:tcW w:w="992" w:type="dxa"/>
            <w:tcBorders>
              <w:top w:val="nil"/>
              <w:left w:val="nil"/>
              <w:bottom w:val="single" w:sz="4" w:space="0" w:color="auto"/>
              <w:right w:val="single" w:sz="4" w:space="0" w:color="auto"/>
            </w:tcBorders>
            <w:shd w:val="clear" w:color="000000" w:fill="FFFFFF"/>
            <w:noWrap/>
            <w:vAlign w:val="bottom"/>
            <w:hideMark/>
          </w:tcPr>
          <w:p w14:paraId="7C5D12F7" w14:textId="77777777" w:rsidR="00B56301" w:rsidRPr="00AE5F1B" w:rsidRDefault="00B56301" w:rsidP="00B37B65">
            <w:pPr>
              <w:jc w:val="right"/>
              <w:rPr>
                <w:rFonts w:ascii="Times New Roman" w:hAnsi="Times New Roman"/>
                <w:sz w:val="18"/>
                <w:szCs w:val="18"/>
              </w:rPr>
            </w:pPr>
            <w:r>
              <w:rPr>
                <w:sz w:val="18"/>
                <w:szCs w:val="18"/>
              </w:rPr>
              <w:t>191,47</w:t>
            </w:r>
          </w:p>
        </w:tc>
        <w:tc>
          <w:tcPr>
            <w:tcW w:w="992" w:type="dxa"/>
            <w:tcBorders>
              <w:top w:val="nil"/>
              <w:left w:val="nil"/>
              <w:bottom w:val="single" w:sz="4" w:space="0" w:color="auto"/>
              <w:right w:val="single" w:sz="4" w:space="0" w:color="auto"/>
            </w:tcBorders>
            <w:shd w:val="clear" w:color="000000" w:fill="FFFFFF"/>
            <w:noWrap/>
            <w:vAlign w:val="bottom"/>
            <w:hideMark/>
          </w:tcPr>
          <w:p w14:paraId="19AD8565" w14:textId="77777777" w:rsidR="00B56301" w:rsidRPr="00AE5F1B" w:rsidRDefault="00B56301" w:rsidP="00B37B65">
            <w:pPr>
              <w:jc w:val="right"/>
              <w:rPr>
                <w:rFonts w:ascii="Times New Roman" w:hAnsi="Times New Roman"/>
                <w:sz w:val="18"/>
                <w:szCs w:val="18"/>
              </w:rPr>
            </w:pPr>
            <w:r>
              <w:rPr>
                <w:sz w:val="18"/>
                <w:szCs w:val="18"/>
              </w:rPr>
              <w:t>158,61</w:t>
            </w:r>
          </w:p>
        </w:tc>
        <w:tc>
          <w:tcPr>
            <w:tcW w:w="992" w:type="dxa"/>
            <w:tcBorders>
              <w:top w:val="nil"/>
              <w:left w:val="nil"/>
              <w:bottom w:val="single" w:sz="4" w:space="0" w:color="auto"/>
              <w:right w:val="single" w:sz="4" w:space="0" w:color="auto"/>
            </w:tcBorders>
            <w:shd w:val="clear" w:color="000000" w:fill="FFFFFF"/>
            <w:noWrap/>
            <w:vAlign w:val="bottom"/>
            <w:hideMark/>
          </w:tcPr>
          <w:p w14:paraId="30E32A51" w14:textId="77777777" w:rsidR="00B56301" w:rsidRPr="00AE5F1B" w:rsidRDefault="00B56301" w:rsidP="00B37B65">
            <w:pPr>
              <w:jc w:val="right"/>
              <w:rPr>
                <w:rFonts w:ascii="Times New Roman" w:hAnsi="Times New Roman"/>
                <w:sz w:val="18"/>
                <w:szCs w:val="18"/>
              </w:rPr>
            </w:pPr>
            <w:r>
              <w:rPr>
                <w:sz w:val="18"/>
                <w:szCs w:val="18"/>
              </w:rPr>
              <w:t>263,02</w:t>
            </w:r>
          </w:p>
        </w:tc>
        <w:tc>
          <w:tcPr>
            <w:tcW w:w="992" w:type="dxa"/>
            <w:tcBorders>
              <w:top w:val="nil"/>
              <w:left w:val="nil"/>
              <w:bottom w:val="single" w:sz="4" w:space="0" w:color="auto"/>
              <w:right w:val="single" w:sz="4" w:space="0" w:color="auto"/>
            </w:tcBorders>
            <w:shd w:val="clear" w:color="000000" w:fill="FFFFFF"/>
            <w:noWrap/>
            <w:vAlign w:val="bottom"/>
            <w:hideMark/>
          </w:tcPr>
          <w:p w14:paraId="15DB28DD" w14:textId="77777777" w:rsidR="00B56301" w:rsidRPr="00AE5F1B" w:rsidRDefault="00B56301" w:rsidP="00B37B65">
            <w:pPr>
              <w:jc w:val="right"/>
              <w:rPr>
                <w:rFonts w:ascii="Times New Roman" w:hAnsi="Times New Roman"/>
                <w:sz w:val="18"/>
                <w:szCs w:val="18"/>
              </w:rPr>
            </w:pPr>
            <w:r>
              <w:rPr>
                <w:sz w:val="18"/>
                <w:szCs w:val="18"/>
              </w:rPr>
              <w:t>329,18</w:t>
            </w:r>
          </w:p>
        </w:tc>
      </w:tr>
      <w:tr w:rsidR="00B56301" w:rsidRPr="00AE5F1B" w14:paraId="74F0C6B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182CBFF5" w14:textId="5C95B10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07CCEB4E" w14:textId="77777777" w:rsidR="00B56301" w:rsidRPr="00AE5F1B" w:rsidRDefault="00B56301" w:rsidP="00B37B65">
            <w:pPr>
              <w:jc w:val="right"/>
              <w:rPr>
                <w:rFonts w:ascii="Times New Roman" w:hAnsi="Times New Roman"/>
                <w:sz w:val="18"/>
                <w:szCs w:val="18"/>
              </w:rPr>
            </w:pPr>
            <w:r>
              <w:rPr>
                <w:sz w:val="18"/>
                <w:szCs w:val="18"/>
              </w:rPr>
              <w:t>1179,43</w:t>
            </w:r>
          </w:p>
        </w:tc>
        <w:tc>
          <w:tcPr>
            <w:tcW w:w="992" w:type="dxa"/>
            <w:tcBorders>
              <w:top w:val="nil"/>
              <w:left w:val="nil"/>
              <w:bottom w:val="single" w:sz="4" w:space="0" w:color="auto"/>
              <w:right w:val="single" w:sz="4" w:space="0" w:color="auto"/>
            </w:tcBorders>
            <w:shd w:val="clear" w:color="000000" w:fill="CCFFFF"/>
            <w:noWrap/>
            <w:vAlign w:val="bottom"/>
            <w:hideMark/>
          </w:tcPr>
          <w:p w14:paraId="5B6BC5E2" w14:textId="77777777" w:rsidR="00B56301" w:rsidRPr="00AE5F1B" w:rsidRDefault="00B56301" w:rsidP="00B37B65">
            <w:pPr>
              <w:jc w:val="right"/>
              <w:rPr>
                <w:rFonts w:ascii="Times New Roman" w:hAnsi="Times New Roman"/>
                <w:sz w:val="18"/>
                <w:szCs w:val="18"/>
              </w:rPr>
            </w:pPr>
            <w:r>
              <w:rPr>
                <w:sz w:val="18"/>
                <w:szCs w:val="18"/>
              </w:rPr>
              <w:t>777,75</w:t>
            </w:r>
          </w:p>
        </w:tc>
        <w:tc>
          <w:tcPr>
            <w:tcW w:w="992" w:type="dxa"/>
            <w:tcBorders>
              <w:top w:val="nil"/>
              <w:left w:val="nil"/>
              <w:bottom w:val="single" w:sz="4" w:space="0" w:color="auto"/>
              <w:right w:val="single" w:sz="4" w:space="0" w:color="auto"/>
            </w:tcBorders>
            <w:shd w:val="clear" w:color="000000" w:fill="CCFFFF"/>
            <w:noWrap/>
            <w:vAlign w:val="bottom"/>
            <w:hideMark/>
          </w:tcPr>
          <w:p w14:paraId="509351EE" w14:textId="77777777" w:rsidR="00B56301" w:rsidRPr="00AE5F1B" w:rsidRDefault="00B56301" w:rsidP="00B37B65">
            <w:pPr>
              <w:jc w:val="right"/>
              <w:rPr>
                <w:rFonts w:ascii="Times New Roman" w:hAnsi="Times New Roman"/>
                <w:sz w:val="18"/>
                <w:szCs w:val="18"/>
              </w:rPr>
            </w:pPr>
            <w:r>
              <w:rPr>
                <w:sz w:val="18"/>
                <w:szCs w:val="18"/>
              </w:rPr>
              <w:t>558,81</w:t>
            </w:r>
          </w:p>
        </w:tc>
        <w:tc>
          <w:tcPr>
            <w:tcW w:w="992" w:type="dxa"/>
            <w:tcBorders>
              <w:top w:val="nil"/>
              <w:left w:val="nil"/>
              <w:bottom w:val="single" w:sz="4" w:space="0" w:color="auto"/>
              <w:right w:val="single" w:sz="4" w:space="0" w:color="auto"/>
            </w:tcBorders>
            <w:shd w:val="clear" w:color="000000" w:fill="CCFFFF"/>
            <w:noWrap/>
            <w:vAlign w:val="bottom"/>
            <w:hideMark/>
          </w:tcPr>
          <w:p w14:paraId="3EBB07B4" w14:textId="77777777" w:rsidR="00B56301" w:rsidRPr="00AE5F1B" w:rsidRDefault="00B56301" w:rsidP="00B37B65">
            <w:pPr>
              <w:jc w:val="right"/>
              <w:rPr>
                <w:rFonts w:ascii="Times New Roman" w:hAnsi="Times New Roman"/>
                <w:sz w:val="18"/>
                <w:szCs w:val="18"/>
              </w:rPr>
            </w:pPr>
            <w:r>
              <w:rPr>
                <w:sz w:val="18"/>
                <w:szCs w:val="18"/>
              </w:rPr>
              <w:t>617,37</w:t>
            </w:r>
          </w:p>
        </w:tc>
        <w:tc>
          <w:tcPr>
            <w:tcW w:w="992" w:type="dxa"/>
            <w:tcBorders>
              <w:top w:val="nil"/>
              <w:left w:val="nil"/>
              <w:bottom w:val="single" w:sz="4" w:space="0" w:color="auto"/>
              <w:right w:val="single" w:sz="4" w:space="0" w:color="auto"/>
            </w:tcBorders>
            <w:shd w:val="clear" w:color="000000" w:fill="CCFFFF"/>
            <w:noWrap/>
            <w:vAlign w:val="bottom"/>
            <w:hideMark/>
          </w:tcPr>
          <w:p w14:paraId="282361FA" w14:textId="77777777" w:rsidR="00B56301" w:rsidRPr="00AE5F1B" w:rsidRDefault="00B56301" w:rsidP="00B37B65">
            <w:pPr>
              <w:jc w:val="right"/>
              <w:rPr>
                <w:rFonts w:ascii="Times New Roman" w:hAnsi="Times New Roman"/>
                <w:sz w:val="18"/>
                <w:szCs w:val="18"/>
              </w:rPr>
            </w:pPr>
            <w:r>
              <w:rPr>
                <w:sz w:val="18"/>
                <w:szCs w:val="18"/>
              </w:rPr>
              <w:t>774,04</w:t>
            </w:r>
          </w:p>
        </w:tc>
        <w:tc>
          <w:tcPr>
            <w:tcW w:w="992" w:type="dxa"/>
            <w:tcBorders>
              <w:top w:val="nil"/>
              <w:left w:val="nil"/>
              <w:bottom w:val="single" w:sz="4" w:space="0" w:color="auto"/>
              <w:right w:val="single" w:sz="4" w:space="0" w:color="auto"/>
            </w:tcBorders>
            <w:shd w:val="clear" w:color="000000" w:fill="CCFFFF"/>
            <w:noWrap/>
            <w:vAlign w:val="bottom"/>
            <w:hideMark/>
          </w:tcPr>
          <w:p w14:paraId="707288A3" w14:textId="77777777" w:rsidR="00B56301" w:rsidRPr="00AE5F1B" w:rsidRDefault="00B56301" w:rsidP="00B37B65">
            <w:pPr>
              <w:jc w:val="right"/>
              <w:rPr>
                <w:rFonts w:ascii="Times New Roman" w:hAnsi="Times New Roman"/>
                <w:sz w:val="18"/>
                <w:szCs w:val="18"/>
              </w:rPr>
            </w:pPr>
            <w:r>
              <w:rPr>
                <w:sz w:val="18"/>
                <w:szCs w:val="18"/>
              </w:rPr>
              <w:t>790,35</w:t>
            </w:r>
          </w:p>
        </w:tc>
      </w:tr>
      <w:tr w:rsidR="00B56301" w:rsidRPr="00AE5F1B" w14:paraId="73CAC19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404D4F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586AEA43"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18A9E0B6"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81E6DD3"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52680AF9"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7C79CBB1"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67885250" w14:textId="77777777" w:rsidR="00B56301" w:rsidRPr="00AE5F1B" w:rsidRDefault="00B56301" w:rsidP="00B37B65">
            <w:pPr>
              <w:jc w:val="right"/>
              <w:rPr>
                <w:rFonts w:ascii="Times New Roman" w:hAnsi="Times New Roman"/>
                <w:sz w:val="18"/>
                <w:szCs w:val="18"/>
              </w:rPr>
            </w:pPr>
            <w:r>
              <w:rPr>
                <w:sz w:val="18"/>
                <w:szCs w:val="18"/>
              </w:rPr>
              <w:t>0,02</w:t>
            </w:r>
          </w:p>
        </w:tc>
      </w:tr>
      <w:tr w:rsidR="00B56301" w:rsidRPr="00AE5F1B" w14:paraId="19390E2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470D73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37FCC5BA"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773A3042"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E5A3CF4"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6E1228D"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75F740C1"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97C1B89"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12A15BB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CE05DD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67C9DA8"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5B8F15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310C45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5484C8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AD204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9BCFF77"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439CBD0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349348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3A711B33"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02D4C8B"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4DE423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DA024E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B3BC3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1480963"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2551B8F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0DB4B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7BDB256C"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137A921"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F602B6E"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76F0FF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5AC59F59"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A7F00E1"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610E5B19"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B32A86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7173B09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E497E2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47938C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983A3A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A290498"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2A22265"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D4937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EC9C93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1E3820F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A5648C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B32BCFC"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488B5FC"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BBA655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8CF219C"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6807F90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CE36E4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3C09D9E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0F868F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4E0094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1D1979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0B0E2FB"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D008556"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59521A7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4E951A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55EDE11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1E0E10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B25DA27"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62EF9BD"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32F8CE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3D00BC"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9506BA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DCD3B57" w14:textId="75B495E1"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056A4DBA" w14:textId="77777777" w:rsidR="00B56301" w:rsidRPr="00AE5F1B" w:rsidRDefault="00B56301" w:rsidP="00B37B65">
            <w:pPr>
              <w:jc w:val="right"/>
              <w:rPr>
                <w:rFonts w:ascii="Times New Roman" w:hAnsi="Times New Roman"/>
                <w:sz w:val="18"/>
                <w:szCs w:val="18"/>
              </w:rPr>
            </w:pPr>
            <w:r>
              <w:rPr>
                <w:sz w:val="18"/>
                <w:szCs w:val="18"/>
              </w:rPr>
              <w:t>295,44</w:t>
            </w:r>
          </w:p>
        </w:tc>
        <w:tc>
          <w:tcPr>
            <w:tcW w:w="992" w:type="dxa"/>
            <w:tcBorders>
              <w:top w:val="nil"/>
              <w:left w:val="nil"/>
              <w:bottom w:val="single" w:sz="4" w:space="0" w:color="auto"/>
              <w:right w:val="single" w:sz="4" w:space="0" w:color="auto"/>
            </w:tcBorders>
            <w:shd w:val="clear" w:color="000000" w:fill="FFFFFF"/>
            <w:noWrap/>
            <w:vAlign w:val="bottom"/>
            <w:hideMark/>
          </w:tcPr>
          <w:p w14:paraId="5A34993B" w14:textId="77777777" w:rsidR="00B56301" w:rsidRPr="00AE5F1B" w:rsidRDefault="00B56301" w:rsidP="00B37B65">
            <w:pPr>
              <w:jc w:val="right"/>
              <w:rPr>
                <w:rFonts w:ascii="Times New Roman" w:hAnsi="Times New Roman"/>
                <w:sz w:val="18"/>
                <w:szCs w:val="18"/>
              </w:rPr>
            </w:pPr>
            <w:r>
              <w:rPr>
                <w:sz w:val="18"/>
                <w:szCs w:val="18"/>
              </w:rPr>
              <w:t>329,12</w:t>
            </w:r>
          </w:p>
        </w:tc>
        <w:tc>
          <w:tcPr>
            <w:tcW w:w="992" w:type="dxa"/>
            <w:tcBorders>
              <w:top w:val="nil"/>
              <w:left w:val="nil"/>
              <w:bottom w:val="single" w:sz="4" w:space="0" w:color="auto"/>
              <w:right w:val="single" w:sz="4" w:space="0" w:color="auto"/>
            </w:tcBorders>
            <w:shd w:val="clear" w:color="000000" w:fill="FFFFFF"/>
            <w:noWrap/>
            <w:vAlign w:val="bottom"/>
            <w:hideMark/>
          </w:tcPr>
          <w:p w14:paraId="2EE76345" w14:textId="77777777" w:rsidR="00B56301" w:rsidRPr="00AE5F1B" w:rsidRDefault="00B56301" w:rsidP="00B37B65">
            <w:pPr>
              <w:jc w:val="right"/>
              <w:rPr>
                <w:rFonts w:ascii="Times New Roman" w:hAnsi="Times New Roman"/>
                <w:sz w:val="18"/>
                <w:szCs w:val="18"/>
              </w:rPr>
            </w:pPr>
            <w:r>
              <w:rPr>
                <w:sz w:val="18"/>
                <w:szCs w:val="18"/>
              </w:rPr>
              <w:t>338,40</w:t>
            </w:r>
          </w:p>
        </w:tc>
        <w:tc>
          <w:tcPr>
            <w:tcW w:w="992" w:type="dxa"/>
            <w:tcBorders>
              <w:top w:val="nil"/>
              <w:left w:val="nil"/>
              <w:bottom w:val="single" w:sz="4" w:space="0" w:color="auto"/>
              <w:right w:val="single" w:sz="4" w:space="0" w:color="auto"/>
            </w:tcBorders>
            <w:shd w:val="clear" w:color="000000" w:fill="FFFFFF"/>
            <w:noWrap/>
            <w:vAlign w:val="bottom"/>
            <w:hideMark/>
          </w:tcPr>
          <w:p w14:paraId="7DD82B0D" w14:textId="77777777" w:rsidR="00B56301" w:rsidRPr="00AE5F1B" w:rsidRDefault="00B56301" w:rsidP="00B37B65">
            <w:pPr>
              <w:jc w:val="right"/>
              <w:rPr>
                <w:rFonts w:ascii="Times New Roman" w:hAnsi="Times New Roman"/>
                <w:sz w:val="18"/>
                <w:szCs w:val="18"/>
              </w:rPr>
            </w:pPr>
            <w:r>
              <w:rPr>
                <w:sz w:val="18"/>
                <w:szCs w:val="18"/>
              </w:rPr>
              <w:t>380,92</w:t>
            </w:r>
          </w:p>
        </w:tc>
        <w:tc>
          <w:tcPr>
            <w:tcW w:w="992" w:type="dxa"/>
            <w:tcBorders>
              <w:top w:val="nil"/>
              <w:left w:val="nil"/>
              <w:bottom w:val="single" w:sz="4" w:space="0" w:color="auto"/>
              <w:right w:val="single" w:sz="4" w:space="0" w:color="auto"/>
            </w:tcBorders>
            <w:shd w:val="clear" w:color="000000" w:fill="FFFFFF"/>
            <w:noWrap/>
            <w:vAlign w:val="bottom"/>
            <w:hideMark/>
          </w:tcPr>
          <w:p w14:paraId="68F87B85" w14:textId="77777777" w:rsidR="00B56301" w:rsidRPr="00AE5F1B" w:rsidRDefault="00B56301" w:rsidP="00B37B65">
            <w:pPr>
              <w:jc w:val="right"/>
              <w:rPr>
                <w:rFonts w:ascii="Times New Roman" w:hAnsi="Times New Roman"/>
                <w:sz w:val="18"/>
                <w:szCs w:val="18"/>
              </w:rPr>
            </w:pPr>
            <w:r>
              <w:rPr>
                <w:sz w:val="18"/>
                <w:szCs w:val="18"/>
              </w:rPr>
              <w:t>477,10</w:t>
            </w:r>
          </w:p>
        </w:tc>
        <w:tc>
          <w:tcPr>
            <w:tcW w:w="992" w:type="dxa"/>
            <w:tcBorders>
              <w:top w:val="nil"/>
              <w:left w:val="nil"/>
              <w:bottom w:val="single" w:sz="4" w:space="0" w:color="auto"/>
              <w:right w:val="single" w:sz="4" w:space="0" w:color="auto"/>
            </w:tcBorders>
            <w:shd w:val="clear" w:color="000000" w:fill="FFFFFF"/>
            <w:noWrap/>
            <w:vAlign w:val="bottom"/>
            <w:hideMark/>
          </w:tcPr>
          <w:p w14:paraId="1FA78971" w14:textId="77777777" w:rsidR="00B56301" w:rsidRPr="00AE5F1B" w:rsidRDefault="00B56301" w:rsidP="00B37B65">
            <w:pPr>
              <w:jc w:val="right"/>
              <w:rPr>
                <w:rFonts w:ascii="Times New Roman" w:hAnsi="Times New Roman"/>
                <w:sz w:val="18"/>
                <w:szCs w:val="18"/>
              </w:rPr>
            </w:pPr>
            <w:r>
              <w:rPr>
                <w:sz w:val="18"/>
                <w:szCs w:val="18"/>
              </w:rPr>
              <w:t>529,74</w:t>
            </w:r>
          </w:p>
        </w:tc>
      </w:tr>
      <w:tr w:rsidR="00B56301" w:rsidRPr="00AE5F1B" w14:paraId="1EF1C73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3E909B" w14:textId="2AEFA055"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043E40E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34DD44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BD4D41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ED9A10A"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E03F44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8BFBE3B"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53F421E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3C750E8E" w14:textId="51FDC8A5"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7F09F7">
              <w:rPr>
                <w:lang w:val="en-GB"/>
              </w:rPr>
              <w:t>SF</w:t>
            </w:r>
            <w:r w:rsidR="007F09F7" w:rsidRPr="007F09F7">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71BC3B8B" w14:textId="77777777" w:rsidR="00B56301" w:rsidRPr="00AE5F1B" w:rsidRDefault="00B56301" w:rsidP="00B37B65">
            <w:pPr>
              <w:jc w:val="right"/>
              <w:rPr>
                <w:rFonts w:ascii="Times New Roman" w:hAnsi="Times New Roman"/>
                <w:sz w:val="18"/>
                <w:szCs w:val="18"/>
              </w:rPr>
            </w:pPr>
            <w:r>
              <w:rPr>
                <w:sz w:val="18"/>
                <w:szCs w:val="18"/>
              </w:rPr>
              <w:t>1149,05</w:t>
            </w:r>
          </w:p>
        </w:tc>
        <w:tc>
          <w:tcPr>
            <w:tcW w:w="992" w:type="dxa"/>
            <w:tcBorders>
              <w:top w:val="nil"/>
              <w:left w:val="nil"/>
              <w:bottom w:val="single" w:sz="4" w:space="0" w:color="auto"/>
              <w:right w:val="single" w:sz="4" w:space="0" w:color="auto"/>
            </w:tcBorders>
            <w:shd w:val="clear" w:color="000000" w:fill="CCFFFF"/>
            <w:noWrap/>
            <w:vAlign w:val="bottom"/>
            <w:hideMark/>
          </w:tcPr>
          <w:p w14:paraId="5D453B28" w14:textId="77777777" w:rsidR="00B56301" w:rsidRPr="00AE5F1B" w:rsidRDefault="00B56301" w:rsidP="00B37B65">
            <w:pPr>
              <w:jc w:val="right"/>
              <w:rPr>
                <w:rFonts w:ascii="Times New Roman" w:hAnsi="Times New Roman"/>
                <w:sz w:val="18"/>
                <w:szCs w:val="18"/>
              </w:rPr>
            </w:pPr>
            <w:r>
              <w:rPr>
                <w:sz w:val="18"/>
                <w:szCs w:val="18"/>
              </w:rPr>
              <w:t>1136,14</w:t>
            </w:r>
          </w:p>
        </w:tc>
        <w:tc>
          <w:tcPr>
            <w:tcW w:w="992" w:type="dxa"/>
            <w:tcBorders>
              <w:top w:val="nil"/>
              <w:left w:val="nil"/>
              <w:bottom w:val="single" w:sz="4" w:space="0" w:color="auto"/>
              <w:right w:val="single" w:sz="4" w:space="0" w:color="auto"/>
            </w:tcBorders>
            <w:shd w:val="clear" w:color="000000" w:fill="CCFFFF"/>
            <w:noWrap/>
            <w:vAlign w:val="bottom"/>
            <w:hideMark/>
          </w:tcPr>
          <w:p w14:paraId="43FB4A84" w14:textId="77777777" w:rsidR="00B56301" w:rsidRPr="00AE5F1B" w:rsidRDefault="00B56301" w:rsidP="00B37B65">
            <w:pPr>
              <w:jc w:val="right"/>
              <w:rPr>
                <w:rFonts w:ascii="Times New Roman" w:hAnsi="Times New Roman"/>
                <w:sz w:val="18"/>
                <w:szCs w:val="18"/>
              </w:rPr>
            </w:pPr>
            <w:r>
              <w:rPr>
                <w:sz w:val="18"/>
                <w:szCs w:val="18"/>
              </w:rPr>
              <w:t>951,45</w:t>
            </w:r>
          </w:p>
        </w:tc>
        <w:tc>
          <w:tcPr>
            <w:tcW w:w="992" w:type="dxa"/>
            <w:tcBorders>
              <w:top w:val="nil"/>
              <w:left w:val="nil"/>
              <w:bottom w:val="single" w:sz="4" w:space="0" w:color="auto"/>
              <w:right w:val="single" w:sz="4" w:space="0" w:color="auto"/>
            </w:tcBorders>
            <w:shd w:val="clear" w:color="000000" w:fill="CCFFFF"/>
            <w:noWrap/>
            <w:vAlign w:val="bottom"/>
            <w:hideMark/>
          </w:tcPr>
          <w:p w14:paraId="1A6693C1" w14:textId="77777777" w:rsidR="00B56301" w:rsidRPr="00AE5F1B" w:rsidRDefault="00B56301" w:rsidP="00B37B65">
            <w:pPr>
              <w:jc w:val="right"/>
              <w:rPr>
                <w:rFonts w:ascii="Times New Roman" w:hAnsi="Times New Roman"/>
                <w:sz w:val="18"/>
                <w:szCs w:val="18"/>
              </w:rPr>
            </w:pPr>
            <w:r>
              <w:rPr>
                <w:sz w:val="18"/>
                <w:szCs w:val="18"/>
              </w:rPr>
              <w:t>875,10</w:t>
            </w:r>
          </w:p>
        </w:tc>
        <w:tc>
          <w:tcPr>
            <w:tcW w:w="992" w:type="dxa"/>
            <w:tcBorders>
              <w:top w:val="nil"/>
              <w:left w:val="nil"/>
              <w:bottom w:val="single" w:sz="4" w:space="0" w:color="auto"/>
              <w:right w:val="single" w:sz="4" w:space="0" w:color="auto"/>
            </w:tcBorders>
            <w:shd w:val="clear" w:color="000000" w:fill="CCFFFF"/>
            <w:noWrap/>
            <w:vAlign w:val="bottom"/>
            <w:hideMark/>
          </w:tcPr>
          <w:p w14:paraId="6C3F18DF" w14:textId="77777777" w:rsidR="00B56301" w:rsidRPr="00AE5F1B" w:rsidRDefault="00B56301" w:rsidP="00B37B65">
            <w:pPr>
              <w:jc w:val="right"/>
              <w:rPr>
                <w:rFonts w:ascii="Times New Roman" w:hAnsi="Times New Roman"/>
                <w:sz w:val="18"/>
                <w:szCs w:val="18"/>
              </w:rPr>
            </w:pPr>
            <w:r>
              <w:rPr>
                <w:sz w:val="18"/>
                <w:szCs w:val="18"/>
              </w:rPr>
              <w:t>650,96</w:t>
            </w:r>
          </w:p>
        </w:tc>
        <w:tc>
          <w:tcPr>
            <w:tcW w:w="992" w:type="dxa"/>
            <w:tcBorders>
              <w:top w:val="nil"/>
              <w:left w:val="nil"/>
              <w:bottom w:val="single" w:sz="4" w:space="0" w:color="auto"/>
              <w:right w:val="single" w:sz="4" w:space="0" w:color="auto"/>
            </w:tcBorders>
            <w:shd w:val="clear" w:color="000000" w:fill="CCFFFF"/>
            <w:noWrap/>
            <w:vAlign w:val="bottom"/>
            <w:hideMark/>
          </w:tcPr>
          <w:p w14:paraId="4BAA00F9" w14:textId="77777777" w:rsidR="00B56301" w:rsidRPr="00AE5F1B" w:rsidRDefault="00B56301" w:rsidP="00B37B65">
            <w:pPr>
              <w:jc w:val="right"/>
              <w:rPr>
                <w:rFonts w:ascii="Times New Roman" w:hAnsi="Times New Roman"/>
                <w:sz w:val="18"/>
                <w:szCs w:val="18"/>
              </w:rPr>
            </w:pPr>
            <w:r>
              <w:rPr>
                <w:sz w:val="18"/>
                <w:szCs w:val="18"/>
              </w:rPr>
              <w:t>655,26</w:t>
            </w:r>
          </w:p>
        </w:tc>
      </w:tr>
      <w:tr w:rsidR="00B56301" w:rsidRPr="00AE5F1B" w14:paraId="7E10F4DC"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57C585C4" w14:textId="5B5920A8"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4FA98ACA" w14:textId="77777777" w:rsidR="00B56301" w:rsidRPr="00AE5F1B" w:rsidRDefault="00B56301" w:rsidP="00B37B65">
            <w:pPr>
              <w:jc w:val="right"/>
              <w:rPr>
                <w:rFonts w:ascii="Times New Roman" w:hAnsi="Times New Roman"/>
                <w:sz w:val="18"/>
                <w:szCs w:val="18"/>
              </w:rPr>
            </w:pPr>
            <w:r>
              <w:rPr>
                <w:sz w:val="18"/>
                <w:szCs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363E5860" w14:textId="77777777" w:rsidR="00B56301" w:rsidRPr="00AE5F1B" w:rsidRDefault="00B56301" w:rsidP="00B37B65">
            <w:pPr>
              <w:jc w:val="right"/>
              <w:rPr>
                <w:rFonts w:ascii="Times New Roman" w:hAnsi="Times New Roman"/>
                <w:sz w:val="18"/>
                <w:szCs w:val="18"/>
              </w:rPr>
            </w:pPr>
            <w:r>
              <w:rPr>
                <w:sz w:val="18"/>
                <w:szCs w:val="18"/>
              </w:rPr>
              <w:t>0,05</w:t>
            </w:r>
          </w:p>
        </w:tc>
        <w:tc>
          <w:tcPr>
            <w:tcW w:w="992" w:type="dxa"/>
            <w:tcBorders>
              <w:top w:val="nil"/>
              <w:left w:val="nil"/>
              <w:bottom w:val="single" w:sz="4" w:space="0" w:color="auto"/>
              <w:right w:val="single" w:sz="4" w:space="0" w:color="auto"/>
            </w:tcBorders>
            <w:shd w:val="clear" w:color="000000" w:fill="FFFFFF"/>
            <w:noWrap/>
            <w:vAlign w:val="bottom"/>
            <w:hideMark/>
          </w:tcPr>
          <w:p w14:paraId="10D1316C"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4461A7D8"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7170D85E"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11297241" w14:textId="77777777" w:rsidR="00B56301" w:rsidRPr="00AE5F1B" w:rsidRDefault="00B56301" w:rsidP="00B37B65">
            <w:pPr>
              <w:jc w:val="right"/>
              <w:rPr>
                <w:rFonts w:ascii="Times New Roman" w:hAnsi="Times New Roman"/>
                <w:sz w:val="18"/>
                <w:szCs w:val="18"/>
              </w:rPr>
            </w:pPr>
            <w:r>
              <w:rPr>
                <w:sz w:val="18"/>
                <w:szCs w:val="18"/>
              </w:rPr>
              <w:t>0,03</w:t>
            </w:r>
          </w:p>
        </w:tc>
      </w:tr>
      <w:tr w:rsidR="00B56301" w:rsidRPr="00AE5F1B" w14:paraId="5EE3838E"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6B8EA689" w14:textId="4C11C4CD"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6C251B">
              <w:rPr>
                <w:sz w:val="18"/>
                <w:lang w:val="en-GB"/>
              </w:rPr>
              <w:t>NF</w:t>
            </w:r>
            <w:r w:rsidR="007F09F7" w:rsidRPr="006C251B">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A97D778" w14:textId="77777777" w:rsidR="00B56301" w:rsidRPr="00AE5F1B" w:rsidRDefault="00B56301" w:rsidP="00B37B65">
            <w:pPr>
              <w:jc w:val="right"/>
              <w:rPr>
                <w:rFonts w:ascii="Times New Roman" w:hAnsi="Times New Roman"/>
                <w:sz w:val="18"/>
                <w:szCs w:val="18"/>
              </w:rPr>
            </w:pPr>
            <w:r>
              <w:rPr>
                <w:sz w:val="18"/>
                <w:szCs w:val="18"/>
              </w:rPr>
              <w:t>42,11</w:t>
            </w:r>
          </w:p>
        </w:tc>
        <w:tc>
          <w:tcPr>
            <w:tcW w:w="992" w:type="dxa"/>
            <w:tcBorders>
              <w:top w:val="nil"/>
              <w:left w:val="nil"/>
              <w:bottom w:val="single" w:sz="4" w:space="0" w:color="auto"/>
              <w:right w:val="single" w:sz="4" w:space="0" w:color="auto"/>
            </w:tcBorders>
            <w:shd w:val="clear" w:color="000000" w:fill="CCFFFF"/>
            <w:noWrap/>
            <w:vAlign w:val="bottom"/>
            <w:hideMark/>
          </w:tcPr>
          <w:p w14:paraId="0E32009F" w14:textId="77777777" w:rsidR="00B56301" w:rsidRPr="00AE5F1B" w:rsidRDefault="00B56301" w:rsidP="00B37B65">
            <w:pPr>
              <w:jc w:val="right"/>
              <w:rPr>
                <w:rFonts w:ascii="Times New Roman" w:hAnsi="Times New Roman"/>
                <w:sz w:val="18"/>
                <w:szCs w:val="18"/>
              </w:rPr>
            </w:pPr>
            <w:r>
              <w:rPr>
                <w:sz w:val="18"/>
                <w:szCs w:val="18"/>
              </w:rPr>
              <w:t>46,35</w:t>
            </w:r>
          </w:p>
        </w:tc>
        <w:tc>
          <w:tcPr>
            <w:tcW w:w="992" w:type="dxa"/>
            <w:tcBorders>
              <w:top w:val="nil"/>
              <w:left w:val="nil"/>
              <w:bottom w:val="single" w:sz="4" w:space="0" w:color="auto"/>
              <w:right w:val="single" w:sz="4" w:space="0" w:color="auto"/>
            </w:tcBorders>
            <w:shd w:val="clear" w:color="000000" w:fill="CCFFFF"/>
            <w:noWrap/>
            <w:vAlign w:val="bottom"/>
            <w:hideMark/>
          </w:tcPr>
          <w:p w14:paraId="2F4E8810" w14:textId="77777777" w:rsidR="00B56301" w:rsidRPr="00AE5F1B" w:rsidRDefault="00B56301" w:rsidP="00B37B65">
            <w:pPr>
              <w:jc w:val="right"/>
              <w:rPr>
                <w:rFonts w:ascii="Times New Roman" w:hAnsi="Times New Roman"/>
                <w:sz w:val="18"/>
                <w:szCs w:val="18"/>
              </w:rPr>
            </w:pPr>
            <w:r>
              <w:rPr>
                <w:sz w:val="18"/>
                <w:szCs w:val="18"/>
              </w:rPr>
              <w:t>24,96</w:t>
            </w:r>
          </w:p>
        </w:tc>
        <w:tc>
          <w:tcPr>
            <w:tcW w:w="992" w:type="dxa"/>
            <w:tcBorders>
              <w:top w:val="nil"/>
              <w:left w:val="nil"/>
              <w:bottom w:val="single" w:sz="4" w:space="0" w:color="auto"/>
              <w:right w:val="single" w:sz="4" w:space="0" w:color="auto"/>
            </w:tcBorders>
            <w:shd w:val="clear" w:color="000000" w:fill="CCFFFF"/>
            <w:noWrap/>
            <w:vAlign w:val="bottom"/>
            <w:hideMark/>
          </w:tcPr>
          <w:p w14:paraId="72C69F68" w14:textId="77777777" w:rsidR="00B56301" w:rsidRPr="00AE5F1B" w:rsidRDefault="00B56301" w:rsidP="00B37B65">
            <w:pPr>
              <w:jc w:val="right"/>
              <w:rPr>
                <w:rFonts w:ascii="Times New Roman" w:hAnsi="Times New Roman"/>
                <w:sz w:val="18"/>
                <w:szCs w:val="18"/>
              </w:rPr>
            </w:pPr>
            <w:r>
              <w:rPr>
                <w:sz w:val="18"/>
                <w:szCs w:val="18"/>
              </w:rPr>
              <w:t>32,13</w:t>
            </w:r>
          </w:p>
        </w:tc>
        <w:tc>
          <w:tcPr>
            <w:tcW w:w="992" w:type="dxa"/>
            <w:tcBorders>
              <w:top w:val="nil"/>
              <w:left w:val="nil"/>
              <w:bottom w:val="single" w:sz="4" w:space="0" w:color="auto"/>
              <w:right w:val="single" w:sz="4" w:space="0" w:color="auto"/>
            </w:tcBorders>
            <w:shd w:val="clear" w:color="000000" w:fill="CCFFFF"/>
            <w:noWrap/>
            <w:vAlign w:val="bottom"/>
            <w:hideMark/>
          </w:tcPr>
          <w:p w14:paraId="48DE5191" w14:textId="77777777" w:rsidR="00B56301" w:rsidRPr="00AE5F1B" w:rsidRDefault="00B56301" w:rsidP="00B37B65">
            <w:pPr>
              <w:jc w:val="right"/>
              <w:rPr>
                <w:rFonts w:ascii="Times New Roman" w:hAnsi="Times New Roman"/>
                <w:sz w:val="18"/>
                <w:szCs w:val="18"/>
              </w:rPr>
            </w:pPr>
            <w:r>
              <w:rPr>
                <w:sz w:val="18"/>
                <w:szCs w:val="18"/>
              </w:rPr>
              <w:t>31,36</w:t>
            </w:r>
          </w:p>
        </w:tc>
        <w:tc>
          <w:tcPr>
            <w:tcW w:w="992" w:type="dxa"/>
            <w:tcBorders>
              <w:top w:val="nil"/>
              <w:left w:val="nil"/>
              <w:bottom w:val="single" w:sz="4" w:space="0" w:color="auto"/>
              <w:right w:val="single" w:sz="4" w:space="0" w:color="auto"/>
            </w:tcBorders>
            <w:shd w:val="clear" w:color="000000" w:fill="CCFFFF"/>
            <w:noWrap/>
            <w:vAlign w:val="bottom"/>
            <w:hideMark/>
          </w:tcPr>
          <w:p w14:paraId="13EBFA06" w14:textId="77777777" w:rsidR="00B56301" w:rsidRPr="00AE5F1B" w:rsidRDefault="00B56301" w:rsidP="00B37B65">
            <w:pPr>
              <w:jc w:val="right"/>
              <w:rPr>
                <w:rFonts w:ascii="Times New Roman" w:hAnsi="Times New Roman"/>
                <w:sz w:val="18"/>
                <w:szCs w:val="18"/>
              </w:rPr>
            </w:pPr>
            <w:r>
              <w:rPr>
                <w:sz w:val="18"/>
                <w:szCs w:val="18"/>
              </w:rPr>
              <w:t>20,40</w:t>
            </w:r>
          </w:p>
        </w:tc>
      </w:tr>
      <w:tr w:rsidR="00B56301" w:rsidRPr="00AE5F1B" w14:paraId="1F11929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93AD472" w14:textId="75E8715A"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40F50EE7"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4498691"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3BC2990"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4935EB1"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4A47CEC"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55954A9" w14:textId="77777777" w:rsidR="00B56301" w:rsidRPr="00AE5F1B" w:rsidRDefault="00B56301" w:rsidP="00B37B65">
            <w:pPr>
              <w:jc w:val="right"/>
              <w:rPr>
                <w:rFonts w:ascii="Times New Roman" w:hAnsi="Times New Roman"/>
                <w:sz w:val="18"/>
                <w:szCs w:val="18"/>
              </w:rPr>
            </w:pPr>
            <w:r>
              <w:rPr>
                <w:sz w:val="18"/>
                <w:szCs w:val="18"/>
              </w:rPr>
              <w:t>0,00</w:t>
            </w:r>
          </w:p>
        </w:tc>
      </w:tr>
    </w:tbl>
    <w:p w14:paraId="0031715E" w14:textId="77777777" w:rsidR="00B56301" w:rsidRDefault="00B56301" w:rsidP="00B56301">
      <w:pPr>
        <w:spacing w:line="240" w:lineRule="atLeast"/>
        <w:jc w:val="left"/>
        <w:rPr>
          <w:rFonts w:cs="Arial"/>
        </w:rPr>
      </w:pPr>
      <w:r>
        <w:rPr>
          <w:rFonts w:cs="Arial"/>
        </w:rPr>
        <w:br w:type="page"/>
      </w:r>
    </w:p>
    <w:p w14:paraId="03D6D3B5" w14:textId="77777777" w:rsidR="00B56301" w:rsidRDefault="00B56301" w:rsidP="00B56301">
      <w:pPr>
        <w:rPr>
          <w:rFonts w:cs="Arial"/>
        </w:rPr>
      </w:pPr>
    </w:p>
    <w:tbl>
      <w:tblPr>
        <w:tblW w:w="9747" w:type="dxa"/>
        <w:jc w:val="center"/>
        <w:tblCellMar>
          <w:left w:w="70" w:type="dxa"/>
          <w:right w:w="70" w:type="dxa"/>
        </w:tblCellMar>
        <w:tblLook w:val="04A0" w:firstRow="1" w:lastRow="0" w:firstColumn="1" w:lastColumn="0" w:noHBand="0" w:noVBand="1"/>
      </w:tblPr>
      <w:tblGrid>
        <w:gridCol w:w="3795"/>
        <w:gridCol w:w="992"/>
        <w:gridCol w:w="992"/>
        <w:gridCol w:w="992"/>
        <w:gridCol w:w="992"/>
        <w:gridCol w:w="992"/>
        <w:gridCol w:w="992"/>
      </w:tblGrid>
      <w:tr w:rsidR="00B56301" w:rsidRPr="00AE5F1B" w14:paraId="696D879D" w14:textId="77777777" w:rsidTr="00B37B65">
        <w:trPr>
          <w:trHeight w:val="68"/>
          <w:jc w:val="center"/>
        </w:trPr>
        <w:tc>
          <w:tcPr>
            <w:tcW w:w="379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63846ED7" w14:textId="77777777" w:rsidR="00B56301" w:rsidRPr="00AE5F1B" w:rsidRDefault="00B56301" w:rsidP="00B37B65">
            <w:pPr>
              <w:jc w:val="center"/>
              <w:rPr>
                <w:rFonts w:ascii="Times New Roman" w:hAnsi="Times New Roman"/>
                <w:b/>
                <w:bCs/>
                <w:sz w:val="20"/>
                <w:szCs w:val="18"/>
                <w:lang w:val="en-GB"/>
              </w:rPr>
            </w:pPr>
            <w:r w:rsidRPr="00AE5F1B">
              <w:rPr>
                <w:rFonts w:ascii="Times New Roman" w:hAnsi="Times New Roman"/>
                <w:b/>
                <w:bCs/>
                <w:sz w:val="20"/>
                <w:szCs w:val="18"/>
                <w:lang w:val="en-GB"/>
              </w:rPr>
              <w:t>GREENHOUSE GAS SOURCE AND SINK CATEGORIES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A9D1D22"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873920C"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4B69106"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AE69C00"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BFB798E"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972EFFD"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2018</w:t>
            </w:r>
          </w:p>
        </w:tc>
      </w:tr>
      <w:tr w:rsidR="00B56301" w:rsidRPr="00AE5F1B" w14:paraId="229B400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29F86F8C" w14:textId="1007424D"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ADC1BB6" w14:textId="77777777" w:rsidR="00B56301" w:rsidRPr="00AE5F1B" w:rsidRDefault="00B56301" w:rsidP="00B37B65">
            <w:pPr>
              <w:jc w:val="right"/>
              <w:rPr>
                <w:rFonts w:ascii="Times New Roman" w:hAnsi="Times New Roman"/>
                <w:sz w:val="18"/>
                <w:szCs w:val="18"/>
              </w:rPr>
            </w:pPr>
            <w:r>
              <w:rPr>
                <w:sz w:val="18"/>
                <w:szCs w:val="18"/>
              </w:rPr>
              <w:t>18442,08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91FE465" w14:textId="77777777" w:rsidR="00B56301" w:rsidRPr="00AE5F1B" w:rsidRDefault="00B56301" w:rsidP="00B37B65">
            <w:pPr>
              <w:jc w:val="right"/>
              <w:rPr>
                <w:rFonts w:ascii="Times New Roman" w:hAnsi="Times New Roman"/>
                <w:sz w:val="18"/>
                <w:szCs w:val="18"/>
              </w:rPr>
            </w:pPr>
            <w:r>
              <w:rPr>
                <w:sz w:val="18"/>
                <w:szCs w:val="18"/>
              </w:rPr>
              <w:t>18277,64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789B0E9" w14:textId="77777777" w:rsidR="00B56301" w:rsidRPr="00AE5F1B" w:rsidRDefault="00B56301" w:rsidP="00B37B65">
            <w:pPr>
              <w:jc w:val="right"/>
              <w:rPr>
                <w:rFonts w:ascii="Times New Roman" w:hAnsi="Times New Roman"/>
                <w:sz w:val="18"/>
                <w:szCs w:val="18"/>
              </w:rPr>
            </w:pPr>
            <w:r>
              <w:rPr>
                <w:sz w:val="18"/>
                <w:szCs w:val="18"/>
              </w:rPr>
              <w:t>18030,87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854B9A8" w14:textId="77777777" w:rsidR="00B56301" w:rsidRPr="00AE5F1B" w:rsidRDefault="00B56301" w:rsidP="00B37B65">
            <w:pPr>
              <w:jc w:val="right"/>
              <w:rPr>
                <w:rFonts w:ascii="Times New Roman" w:hAnsi="Times New Roman"/>
                <w:sz w:val="18"/>
                <w:szCs w:val="18"/>
              </w:rPr>
            </w:pPr>
            <w:r>
              <w:rPr>
                <w:sz w:val="18"/>
                <w:szCs w:val="18"/>
              </w:rPr>
              <w:t>17871,18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56321CC" w14:textId="77777777" w:rsidR="00B56301" w:rsidRPr="00AE5F1B" w:rsidRDefault="00B56301" w:rsidP="00B37B65">
            <w:pPr>
              <w:jc w:val="right"/>
              <w:rPr>
                <w:rFonts w:ascii="Times New Roman" w:hAnsi="Times New Roman"/>
                <w:sz w:val="18"/>
                <w:szCs w:val="18"/>
              </w:rPr>
            </w:pPr>
            <w:r>
              <w:rPr>
                <w:sz w:val="18"/>
                <w:szCs w:val="18"/>
              </w:rPr>
              <w:t>17344,90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71458B1" w14:textId="77777777" w:rsidR="00B56301" w:rsidRPr="00AE5F1B" w:rsidRDefault="00B56301" w:rsidP="00B37B65">
            <w:pPr>
              <w:jc w:val="right"/>
              <w:rPr>
                <w:rFonts w:ascii="Times New Roman" w:hAnsi="Times New Roman"/>
                <w:sz w:val="18"/>
                <w:szCs w:val="18"/>
              </w:rPr>
            </w:pPr>
            <w:r>
              <w:rPr>
                <w:sz w:val="18"/>
                <w:szCs w:val="18"/>
              </w:rPr>
              <w:t>15524,17</w:t>
            </w:r>
          </w:p>
        </w:tc>
      </w:tr>
      <w:tr w:rsidR="00B56301" w:rsidRPr="00AE5F1B" w14:paraId="307AAF33" w14:textId="77777777" w:rsidTr="00B37B65">
        <w:trPr>
          <w:trHeight w:val="68"/>
          <w:jc w:val="center"/>
        </w:trPr>
        <w:tc>
          <w:tcPr>
            <w:tcW w:w="3795" w:type="dxa"/>
            <w:tcBorders>
              <w:top w:val="nil"/>
              <w:left w:val="single" w:sz="4" w:space="0" w:color="auto"/>
              <w:bottom w:val="nil"/>
              <w:right w:val="single" w:sz="4" w:space="0" w:color="auto"/>
            </w:tcBorders>
            <w:shd w:val="clear" w:color="000000" w:fill="CCFFFF"/>
            <w:vAlign w:val="center"/>
            <w:hideMark/>
          </w:tcPr>
          <w:p w14:paraId="38F39865" w14:textId="01874E15"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single" w:sz="4" w:space="0" w:color="auto"/>
              <w:bottom w:val="single" w:sz="4" w:space="0" w:color="auto"/>
              <w:right w:val="single" w:sz="4" w:space="0" w:color="auto"/>
            </w:tcBorders>
            <w:shd w:val="clear" w:color="000000" w:fill="CCFFFF"/>
            <w:noWrap/>
            <w:vAlign w:val="bottom"/>
            <w:hideMark/>
          </w:tcPr>
          <w:p w14:paraId="742A2458" w14:textId="77777777" w:rsidR="00B56301" w:rsidRPr="00AE5F1B" w:rsidRDefault="00B56301" w:rsidP="00B37B65">
            <w:pPr>
              <w:jc w:val="right"/>
              <w:rPr>
                <w:rFonts w:ascii="Times New Roman" w:hAnsi="Times New Roman"/>
                <w:sz w:val="18"/>
                <w:szCs w:val="18"/>
              </w:rPr>
            </w:pPr>
            <w:r>
              <w:rPr>
                <w:sz w:val="18"/>
                <w:szCs w:val="18"/>
              </w:rPr>
              <w:t>17771,58</w:t>
            </w:r>
          </w:p>
        </w:tc>
        <w:tc>
          <w:tcPr>
            <w:tcW w:w="992" w:type="dxa"/>
            <w:tcBorders>
              <w:top w:val="nil"/>
              <w:left w:val="nil"/>
              <w:bottom w:val="single" w:sz="4" w:space="0" w:color="auto"/>
              <w:right w:val="single" w:sz="4" w:space="0" w:color="auto"/>
            </w:tcBorders>
            <w:shd w:val="clear" w:color="000000" w:fill="CCFFFF"/>
            <w:noWrap/>
            <w:vAlign w:val="bottom"/>
            <w:hideMark/>
          </w:tcPr>
          <w:p w14:paraId="0FC13304" w14:textId="77777777" w:rsidR="00B56301" w:rsidRPr="00AE5F1B" w:rsidRDefault="00B56301" w:rsidP="00B37B65">
            <w:pPr>
              <w:jc w:val="right"/>
              <w:rPr>
                <w:rFonts w:ascii="Times New Roman" w:hAnsi="Times New Roman"/>
                <w:sz w:val="18"/>
                <w:szCs w:val="18"/>
              </w:rPr>
            </w:pPr>
            <w:r>
              <w:rPr>
                <w:sz w:val="18"/>
                <w:szCs w:val="18"/>
              </w:rPr>
              <w:t>17661,76</w:t>
            </w:r>
          </w:p>
        </w:tc>
        <w:tc>
          <w:tcPr>
            <w:tcW w:w="992" w:type="dxa"/>
            <w:tcBorders>
              <w:top w:val="nil"/>
              <w:left w:val="nil"/>
              <w:bottom w:val="single" w:sz="4" w:space="0" w:color="auto"/>
              <w:right w:val="single" w:sz="4" w:space="0" w:color="auto"/>
            </w:tcBorders>
            <w:shd w:val="clear" w:color="000000" w:fill="CCFFFF"/>
            <w:noWrap/>
            <w:vAlign w:val="bottom"/>
            <w:hideMark/>
          </w:tcPr>
          <w:p w14:paraId="01CEDB6D" w14:textId="77777777" w:rsidR="00B56301" w:rsidRPr="00AE5F1B" w:rsidRDefault="00B56301" w:rsidP="00B37B65">
            <w:pPr>
              <w:jc w:val="right"/>
              <w:rPr>
                <w:rFonts w:ascii="Times New Roman" w:hAnsi="Times New Roman"/>
                <w:sz w:val="18"/>
                <w:szCs w:val="18"/>
              </w:rPr>
            </w:pPr>
            <w:r>
              <w:rPr>
                <w:sz w:val="18"/>
                <w:szCs w:val="18"/>
              </w:rPr>
              <w:t>17494,30</w:t>
            </w:r>
          </w:p>
        </w:tc>
        <w:tc>
          <w:tcPr>
            <w:tcW w:w="992" w:type="dxa"/>
            <w:tcBorders>
              <w:top w:val="nil"/>
              <w:left w:val="nil"/>
              <w:bottom w:val="single" w:sz="4" w:space="0" w:color="auto"/>
              <w:right w:val="single" w:sz="4" w:space="0" w:color="auto"/>
            </w:tcBorders>
            <w:shd w:val="clear" w:color="000000" w:fill="CCFFFF"/>
            <w:noWrap/>
            <w:vAlign w:val="bottom"/>
            <w:hideMark/>
          </w:tcPr>
          <w:p w14:paraId="77C49632" w14:textId="77777777" w:rsidR="00B56301" w:rsidRPr="00AE5F1B" w:rsidRDefault="00B56301" w:rsidP="00B37B65">
            <w:pPr>
              <w:jc w:val="right"/>
              <w:rPr>
                <w:rFonts w:ascii="Times New Roman" w:hAnsi="Times New Roman"/>
                <w:sz w:val="18"/>
                <w:szCs w:val="18"/>
              </w:rPr>
            </w:pPr>
            <w:r>
              <w:rPr>
                <w:sz w:val="18"/>
                <w:szCs w:val="18"/>
              </w:rPr>
              <w:t>17205,17</w:t>
            </w:r>
          </w:p>
        </w:tc>
        <w:tc>
          <w:tcPr>
            <w:tcW w:w="992" w:type="dxa"/>
            <w:tcBorders>
              <w:top w:val="nil"/>
              <w:left w:val="nil"/>
              <w:bottom w:val="single" w:sz="4" w:space="0" w:color="auto"/>
              <w:right w:val="single" w:sz="4" w:space="0" w:color="auto"/>
            </w:tcBorders>
            <w:shd w:val="clear" w:color="000000" w:fill="CCFFFF"/>
            <w:noWrap/>
            <w:vAlign w:val="bottom"/>
            <w:hideMark/>
          </w:tcPr>
          <w:p w14:paraId="4BC305CF" w14:textId="77777777" w:rsidR="00B56301" w:rsidRPr="00AE5F1B" w:rsidRDefault="00B56301" w:rsidP="00B37B65">
            <w:pPr>
              <w:jc w:val="right"/>
              <w:rPr>
                <w:rFonts w:ascii="Times New Roman" w:hAnsi="Times New Roman"/>
                <w:sz w:val="18"/>
                <w:szCs w:val="18"/>
              </w:rPr>
            </w:pPr>
            <w:r>
              <w:rPr>
                <w:sz w:val="18"/>
                <w:szCs w:val="18"/>
              </w:rPr>
              <w:t>16637,22</w:t>
            </w:r>
          </w:p>
        </w:tc>
        <w:tc>
          <w:tcPr>
            <w:tcW w:w="992" w:type="dxa"/>
            <w:tcBorders>
              <w:top w:val="nil"/>
              <w:left w:val="nil"/>
              <w:bottom w:val="single" w:sz="4" w:space="0" w:color="auto"/>
              <w:right w:val="single" w:sz="4" w:space="0" w:color="auto"/>
            </w:tcBorders>
            <w:shd w:val="clear" w:color="000000" w:fill="CCFFFF"/>
            <w:noWrap/>
            <w:vAlign w:val="bottom"/>
            <w:hideMark/>
          </w:tcPr>
          <w:p w14:paraId="13C2BA88" w14:textId="77777777" w:rsidR="00B56301" w:rsidRPr="00AE5F1B" w:rsidRDefault="00B56301" w:rsidP="00B37B65">
            <w:pPr>
              <w:jc w:val="right"/>
              <w:rPr>
                <w:rFonts w:ascii="Times New Roman" w:hAnsi="Times New Roman"/>
                <w:sz w:val="18"/>
                <w:szCs w:val="18"/>
              </w:rPr>
            </w:pPr>
            <w:r>
              <w:rPr>
                <w:sz w:val="18"/>
                <w:szCs w:val="18"/>
              </w:rPr>
              <w:t>14847,44</w:t>
            </w:r>
          </w:p>
        </w:tc>
      </w:tr>
      <w:tr w:rsidR="00B56301" w:rsidRPr="00AE5F1B" w14:paraId="5AD60C1D"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hideMark/>
          </w:tcPr>
          <w:p w14:paraId="6DA00F6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2" w:type="dxa"/>
            <w:tcBorders>
              <w:top w:val="nil"/>
              <w:left w:val="nil"/>
              <w:bottom w:val="single" w:sz="4" w:space="0" w:color="auto"/>
              <w:right w:val="single" w:sz="4" w:space="0" w:color="auto"/>
            </w:tcBorders>
            <w:shd w:val="clear" w:color="000000" w:fill="FFFFFF"/>
            <w:noWrap/>
            <w:vAlign w:val="bottom"/>
            <w:hideMark/>
          </w:tcPr>
          <w:p w14:paraId="307C582F"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D4FD486"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A98DD29"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05696EDA"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38CE4576"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5C4B9668"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280BB52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09BA9C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2" w:type="dxa"/>
            <w:tcBorders>
              <w:top w:val="nil"/>
              <w:left w:val="nil"/>
              <w:bottom w:val="single" w:sz="4" w:space="0" w:color="auto"/>
              <w:right w:val="single" w:sz="4" w:space="0" w:color="auto"/>
            </w:tcBorders>
            <w:shd w:val="clear" w:color="000000" w:fill="FFFFFF"/>
            <w:noWrap/>
            <w:vAlign w:val="bottom"/>
            <w:hideMark/>
          </w:tcPr>
          <w:p w14:paraId="4ECDDB37" w14:textId="77777777" w:rsidR="00B56301" w:rsidRPr="00AE5F1B" w:rsidRDefault="00B56301" w:rsidP="00B37B65">
            <w:pPr>
              <w:jc w:val="right"/>
              <w:rPr>
                <w:rFonts w:ascii="Times New Roman" w:hAnsi="Times New Roman"/>
                <w:sz w:val="18"/>
                <w:szCs w:val="18"/>
              </w:rPr>
            </w:pPr>
            <w:r>
              <w:rPr>
                <w:sz w:val="18"/>
                <w:szCs w:val="18"/>
              </w:rPr>
              <w:t>0,48</w:t>
            </w:r>
          </w:p>
        </w:tc>
        <w:tc>
          <w:tcPr>
            <w:tcW w:w="992" w:type="dxa"/>
            <w:tcBorders>
              <w:top w:val="nil"/>
              <w:left w:val="nil"/>
              <w:bottom w:val="single" w:sz="4" w:space="0" w:color="auto"/>
              <w:right w:val="single" w:sz="4" w:space="0" w:color="auto"/>
            </w:tcBorders>
            <w:shd w:val="clear" w:color="000000" w:fill="FFFFFF"/>
            <w:noWrap/>
            <w:vAlign w:val="bottom"/>
            <w:hideMark/>
          </w:tcPr>
          <w:p w14:paraId="4A5F9A3B" w14:textId="77777777" w:rsidR="00B56301" w:rsidRPr="00AE5F1B" w:rsidRDefault="00B56301" w:rsidP="00B37B65">
            <w:pPr>
              <w:jc w:val="right"/>
              <w:rPr>
                <w:rFonts w:ascii="Times New Roman" w:hAnsi="Times New Roman"/>
                <w:sz w:val="18"/>
                <w:szCs w:val="18"/>
              </w:rPr>
            </w:pPr>
            <w:r>
              <w:rPr>
                <w:sz w:val="18"/>
                <w:szCs w:val="18"/>
              </w:rPr>
              <w:t>0,52</w:t>
            </w:r>
          </w:p>
        </w:tc>
        <w:tc>
          <w:tcPr>
            <w:tcW w:w="992" w:type="dxa"/>
            <w:tcBorders>
              <w:top w:val="nil"/>
              <w:left w:val="nil"/>
              <w:bottom w:val="single" w:sz="4" w:space="0" w:color="auto"/>
              <w:right w:val="single" w:sz="4" w:space="0" w:color="auto"/>
            </w:tcBorders>
            <w:shd w:val="clear" w:color="000000" w:fill="FFFFFF"/>
            <w:noWrap/>
            <w:vAlign w:val="bottom"/>
            <w:hideMark/>
          </w:tcPr>
          <w:p w14:paraId="50ACADB0" w14:textId="77777777" w:rsidR="00B56301" w:rsidRPr="00AE5F1B" w:rsidRDefault="00B56301" w:rsidP="00B37B65">
            <w:pPr>
              <w:jc w:val="right"/>
              <w:rPr>
                <w:rFonts w:ascii="Times New Roman" w:hAnsi="Times New Roman"/>
                <w:sz w:val="18"/>
                <w:szCs w:val="18"/>
              </w:rPr>
            </w:pPr>
            <w:r>
              <w:rPr>
                <w:sz w:val="18"/>
                <w:szCs w:val="18"/>
              </w:rPr>
              <w:t>0,57</w:t>
            </w:r>
          </w:p>
        </w:tc>
        <w:tc>
          <w:tcPr>
            <w:tcW w:w="992" w:type="dxa"/>
            <w:tcBorders>
              <w:top w:val="nil"/>
              <w:left w:val="nil"/>
              <w:bottom w:val="single" w:sz="4" w:space="0" w:color="auto"/>
              <w:right w:val="single" w:sz="4" w:space="0" w:color="auto"/>
            </w:tcBorders>
            <w:shd w:val="clear" w:color="000000" w:fill="FFFFFF"/>
            <w:noWrap/>
            <w:vAlign w:val="bottom"/>
            <w:hideMark/>
          </w:tcPr>
          <w:p w14:paraId="0B901421" w14:textId="77777777" w:rsidR="00B56301" w:rsidRPr="00AE5F1B" w:rsidRDefault="00B56301" w:rsidP="00B37B65">
            <w:pPr>
              <w:jc w:val="right"/>
              <w:rPr>
                <w:rFonts w:ascii="Times New Roman" w:hAnsi="Times New Roman"/>
                <w:sz w:val="18"/>
                <w:szCs w:val="18"/>
              </w:rPr>
            </w:pPr>
            <w:r>
              <w:rPr>
                <w:sz w:val="18"/>
                <w:szCs w:val="18"/>
              </w:rPr>
              <w:t>0,61</w:t>
            </w:r>
          </w:p>
        </w:tc>
        <w:tc>
          <w:tcPr>
            <w:tcW w:w="992" w:type="dxa"/>
            <w:tcBorders>
              <w:top w:val="nil"/>
              <w:left w:val="nil"/>
              <w:bottom w:val="single" w:sz="4" w:space="0" w:color="auto"/>
              <w:right w:val="single" w:sz="4" w:space="0" w:color="auto"/>
            </w:tcBorders>
            <w:shd w:val="clear" w:color="000000" w:fill="FFFFFF"/>
            <w:noWrap/>
            <w:vAlign w:val="bottom"/>
            <w:hideMark/>
          </w:tcPr>
          <w:p w14:paraId="3160EBA3" w14:textId="77777777" w:rsidR="00B56301" w:rsidRPr="00AE5F1B" w:rsidRDefault="00B56301" w:rsidP="00B37B65">
            <w:pPr>
              <w:jc w:val="right"/>
              <w:rPr>
                <w:rFonts w:ascii="Times New Roman" w:hAnsi="Times New Roman"/>
                <w:sz w:val="18"/>
                <w:szCs w:val="18"/>
              </w:rPr>
            </w:pPr>
            <w:r>
              <w:rPr>
                <w:sz w:val="18"/>
                <w:szCs w:val="18"/>
              </w:rPr>
              <w:t>0,65</w:t>
            </w:r>
          </w:p>
        </w:tc>
        <w:tc>
          <w:tcPr>
            <w:tcW w:w="992" w:type="dxa"/>
            <w:tcBorders>
              <w:top w:val="nil"/>
              <w:left w:val="nil"/>
              <w:bottom w:val="single" w:sz="4" w:space="0" w:color="auto"/>
              <w:right w:val="single" w:sz="4" w:space="0" w:color="auto"/>
            </w:tcBorders>
            <w:shd w:val="clear" w:color="000000" w:fill="FFFFFF"/>
            <w:noWrap/>
            <w:vAlign w:val="bottom"/>
            <w:hideMark/>
          </w:tcPr>
          <w:p w14:paraId="6E3CA826" w14:textId="77777777" w:rsidR="00B56301" w:rsidRPr="00AE5F1B" w:rsidRDefault="00B56301" w:rsidP="00B37B65">
            <w:pPr>
              <w:jc w:val="right"/>
              <w:rPr>
                <w:rFonts w:ascii="Times New Roman" w:hAnsi="Times New Roman"/>
                <w:sz w:val="18"/>
                <w:szCs w:val="18"/>
              </w:rPr>
            </w:pPr>
            <w:r>
              <w:rPr>
                <w:sz w:val="18"/>
                <w:szCs w:val="18"/>
              </w:rPr>
              <w:t>0,70</w:t>
            </w:r>
          </w:p>
        </w:tc>
      </w:tr>
      <w:tr w:rsidR="00B56301" w:rsidRPr="00AE5F1B" w14:paraId="519770AB"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430D8F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2" w:type="dxa"/>
            <w:tcBorders>
              <w:top w:val="nil"/>
              <w:left w:val="nil"/>
              <w:bottom w:val="single" w:sz="4" w:space="0" w:color="auto"/>
              <w:right w:val="single" w:sz="4" w:space="0" w:color="auto"/>
            </w:tcBorders>
            <w:shd w:val="clear" w:color="000000" w:fill="FFFFFF"/>
            <w:noWrap/>
            <w:vAlign w:val="bottom"/>
            <w:hideMark/>
          </w:tcPr>
          <w:p w14:paraId="40FFEF4B"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8BE43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2BFE9C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7752A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7AB8E3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7BA5E0"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580A3B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9CA385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2" w:type="dxa"/>
            <w:tcBorders>
              <w:top w:val="nil"/>
              <w:left w:val="nil"/>
              <w:bottom w:val="single" w:sz="4" w:space="0" w:color="auto"/>
              <w:right w:val="single" w:sz="4" w:space="0" w:color="auto"/>
            </w:tcBorders>
            <w:shd w:val="clear" w:color="000000" w:fill="FFFFFF"/>
            <w:noWrap/>
            <w:vAlign w:val="bottom"/>
            <w:hideMark/>
          </w:tcPr>
          <w:p w14:paraId="1DE07B3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7E3880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EE6645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7A4116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C3BA3D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709FECC"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328A6EF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315618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2" w:type="dxa"/>
            <w:tcBorders>
              <w:top w:val="nil"/>
              <w:left w:val="nil"/>
              <w:bottom w:val="single" w:sz="4" w:space="0" w:color="auto"/>
              <w:right w:val="single" w:sz="4" w:space="0" w:color="auto"/>
            </w:tcBorders>
            <w:shd w:val="clear" w:color="000000" w:fill="FFFFFF"/>
            <w:noWrap/>
            <w:vAlign w:val="bottom"/>
            <w:hideMark/>
          </w:tcPr>
          <w:p w14:paraId="664B1470" w14:textId="77777777" w:rsidR="00B56301" w:rsidRPr="00AE5F1B" w:rsidRDefault="00B56301" w:rsidP="00B37B65">
            <w:pPr>
              <w:jc w:val="right"/>
              <w:rPr>
                <w:rFonts w:ascii="Times New Roman" w:hAnsi="Times New Roman"/>
                <w:sz w:val="18"/>
                <w:szCs w:val="18"/>
              </w:rPr>
            </w:pPr>
            <w:r>
              <w:rPr>
                <w:sz w:val="18"/>
                <w:szCs w:val="18"/>
              </w:rPr>
              <w:t>1,42</w:t>
            </w:r>
          </w:p>
        </w:tc>
        <w:tc>
          <w:tcPr>
            <w:tcW w:w="992" w:type="dxa"/>
            <w:tcBorders>
              <w:top w:val="nil"/>
              <w:left w:val="nil"/>
              <w:bottom w:val="single" w:sz="4" w:space="0" w:color="auto"/>
              <w:right w:val="single" w:sz="4" w:space="0" w:color="auto"/>
            </w:tcBorders>
            <w:shd w:val="clear" w:color="000000" w:fill="FFFFFF"/>
            <w:noWrap/>
            <w:vAlign w:val="bottom"/>
            <w:hideMark/>
          </w:tcPr>
          <w:p w14:paraId="695C06D2" w14:textId="77777777" w:rsidR="00B56301" w:rsidRPr="00AE5F1B" w:rsidRDefault="00B56301" w:rsidP="00B37B65">
            <w:pPr>
              <w:jc w:val="right"/>
              <w:rPr>
                <w:rFonts w:ascii="Times New Roman" w:hAnsi="Times New Roman"/>
                <w:sz w:val="18"/>
                <w:szCs w:val="18"/>
              </w:rPr>
            </w:pPr>
            <w:r>
              <w:rPr>
                <w:sz w:val="18"/>
                <w:szCs w:val="18"/>
              </w:rPr>
              <w:t>1,43</w:t>
            </w:r>
          </w:p>
        </w:tc>
        <w:tc>
          <w:tcPr>
            <w:tcW w:w="992" w:type="dxa"/>
            <w:tcBorders>
              <w:top w:val="nil"/>
              <w:left w:val="nil"/>
              <w:bottom w:val="single" w:sz="4" w:space="0" w:color="auto"/>
              <w:right w:val="single" w:sz="4" w:space="0" w:color="auto"/>
            </w:tcBorders>
            <w:shd w:val="clear" w:color="000000" w:fill="FFFFFF"/>
            <w:noWrap/>
            <w:vAlign w:val="bottom"/>
            <w:hideMark/>
          </w:tcPr>
          <w:p w14:paraId="0A7E99FB" w14:textId="77777777" w:rsidR="00B56301" w:rsidRPr="00AE5F1B" w:rsidRDefault="00B56301" w:rsidP="00B37B65">
            <w:pPr>
              <w:jc w:val="right"/>
              <w:rPr>
                <w:rFonts w:ascii="Times New Roman" w:hAnsi="Times New Roman"/>
                <w:sz w:val="18"/>
                <w:szCs w:val="18"/>
              </w:rPr>
            </w:pPr>
            <w:r>
              <w:rPr>
                <w:sz w:val="18"/>
                <w:szCs w:val="18"/>
              </w:rPr>
              <w:t>1,45</w:t>
            </w:r>
          </w:p>
        </w:tc>
        <w:tc>
          <w:tcPr>
            <w:tcW w:w="992" w:type="dxa"/>
            <w:tcBorders>
              <w:top w:val="nil"/>
              <w:left w:val="nil"/>
              <w:bottom w:val="single" w:sz="4" w:space="0" w:color="auto"/>
              <w:right w:val="single" w:sz="4" w:space="0" w:color="auto"/>
            </w:tcBorders>
            <w:shd w:val="clear" w:color="000000" w:fill="FFFFFF"/>
            <w:noWrap/>
            <w:vAlign w:val="bottom"/>
            <w:hideMark/>
          </w:tcPr>
          <w:p w14:paraId="35E5F70B" w14:textId="77777777" w:rsidR="00B56301" w:rsidRPr="00AE5F1B" w:rsidRDefault="00B56301" w:rsidP="00B37B65">
            <w:pPr>
              <w:jc w:val="right"/>
              <w:rPr>
                <w:rFonts w:ascii="Times New Roman" w:hAnsi="Times New Roman"/>
                <w:sz w:val="18"/>
                <w:szCs w:val="18"/>
              </w:rPr>
            </w:pPr>
            <w:r>
              <w:rPr>
                <w:sz w:val="18"/>
                <w:szCs w:val="18"/>
              </w:rPr>
              <w:t>1,44</w:t>
            </w:r>
          </w:p>
        </w:tc>
        <w:tc>
          <w:tcPr>
            <w:tcW w:w="992" w:type="dxa"/>
            <w:tcBorders>
              <w:top w:val="nil"/>
              <w:left w:val="nil"/>
              <w:bottom w:val="single" w:sz="4" w:space="0" w:color="auto"/>
              <w:right w:val="single" w:sz="4" w:space="0" w:color="auto"/>
            </w:tcBorders>
            <w:shd w:val="clear" w:color="000000" w:fill="FFFFFF"/>
            <w:noWrap/>
            <w:vAlign w:val="bottom"/>
            <w:hideMark/>
          </w:tcPr>
          <w:p w14:paraId="52433810" w14:textId="77777777" w:rsidR="00B56301" w:rsidRPr="00AE5F1B" w:rsidRDefault="00B56301" w:rsidP="00B37B65">
            <w:pPr>
              <w:jc w:val="right"/>
              <w:rPr>
                <w:rFonts w:ascii="Times New Roman" w:hAnsi="Times New Roman"/>
                <w:sz w:val="18"/>
                <w:szCs w:val="18"/>
              </w:rPr>
            </w:pPr>
            <w:r>
              <w:rPr>
                <w:sz w:val="18"/>
                <w:szCs w:val="18"/>
              </w:rPr>
              <w:t>1,42</w:t>
            </w:r>
          </w:p>
        </w:tc>
        <w:tc>
          <w:tcPr>
            <w:tcW w:w="992" w:type="dxa"/>
            <w:tcBorders>
              <w:top w:val="nil"/>
              <w:left w:val="nil"/>
              <w:bottom w:val="single" w:sz="4" w:space="0" w:color="auto"/>
              <w:right w:val="single" w:sz="4" w:space="0" w:color="auto"/>
            </w:tcBorders>
            <w:shd w:val="clear" w:color="000000" w:fill="FFFFFF"/>
            <w:noWrap/>
            <w:vAlign w:val="bottom"/>
            <w:hideMark/>
          </w:tcPr>
          <w:p w14:paraId="77CA9A32" w14:textId="77777777" w:rsidR="00B56301" w:rsidRPr="00AE5F1B" w:rsidRDefault="00B56301" w:rsidP="00B37B65">
            <w:pPr>
              <w:jc w:val="right"/>
              <w:rPr>
                <w:rFonts w:ascii="Times New Roman" w:hAnsi="Times New Roman"/>
                <w:sz w:val="18"/>
                <w:szCs w:val="18"/>
              </w:rPr>
            </w:pPr>
            <w:r>
              <w:rPr>
                <w:sz w:val="18"/>
                <w:szCs w:val="18"/>
              </w:rPr>
              <w:t>1,35</w:t>
            </w:r>
          </w:p>
        </w:tc>
      </w:tr>
      <w:tr w:rsidR="00B56301" w:rsidRPr="00AE5F1B" w14:paraId="29B3B16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3CEFA4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2" w:type="dxa"/>
            <w:tcBorders>
              <w:top w:val="nil"/>
              <w:left w:val="nil"/>
              <w:bottom w:val="single" w:sz="4" w:space="0" w:color="auto"/>
              <w:right w:val="single" w:sz="4" w:space="0" w:color="auto"/>
            </w:tcBorders>
            <w:shd w:val="clear" w:color="000000" w:fill="FFFFFF"/>
            <w:noWrap/>
            <w:vAlign w:val="bottom"/>
            <w:hideMark/>
          </w:tcPr>
          <w:p w14:paraId="366450C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17AE99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35FE16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0580CC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CF01E7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2CE9193"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41EC5A8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DA8D58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2" w:type="dxa"/>
            <w:tcBorders>
              <w:top w:val="nil"/>
              <w:left w:val="nil"/>
              <w:bottom w:val="single" w:sz="4" w:space="0" w:color="auto"/>
              <w:right w:val="single" w:sz="4" w:space="0" w:color="auto"/>
            </w:tcBorders>
            <w:shd w:val="clear" w:color="000000" w:fill="FFFFFF"/>
            <w:noWrap/>
            <w:vAlign w:val="bottom"/>
            <w:hideMark/>
          </w:tcPr>
          <w:p w14:paraId="01150047" w14:textId="77777777" w:rsidR="00B56301" w:rsidRPr="00AE5F1B" w:rsidRDefault="00B56301" w:rsidP="00B37B65">
            <w:pPr>
              <w:jc w:val="right"/>
              <w:rPr>
                <w:rFonts w:ascii="Times New Roman" w:hAnsi="Times New Roman"/>
                <w:sz w:val="18"/>
                <w:szCs w:val="18"/>
              </w:rPr>
            </w:pPr>
            <w:r>
              <w:rPr>
                <w:sz w:val="18"/>
                <w:szCs w:val="18"/>
              </w:rPr>
              <w:t>4,93</w:t>
            </w:r>
          </w:p>
        </w:tc>
        <w:tc>
          <w:tcPr>
            <w:tcW w:w="992" w:type="dxa"/>
            <w:tcBorders>
              <w:top w:val="nil"/>
              <w:left w:val="nil"/>
              <w:bottom w:val="single" w:sz="4" w:space="0" w:color="auto"/>
              <w:right w:val="single" w:sz="4" w:space="0" w:color="auto"/>
            </w:tcBorders>
            <w:shd w:val="clear" w:color="000000" w:fill="FFFFFF"/>
            <w:noWrap/>
            <w:vAlign w:val="bottom"/>
            <w:hideMark/>
          </w:tcPr>
          <w:p w14:paraId="1DB86210" w14:textId="77777777" w:rsidR="00B56301" w:rsidRPr="00AE5F1B" w:rsidRDefault="00B56301" w:rsidP="00B37B65">
            <w:pPr>
              <w:jc w:val="right"/>
              <w:rPr>
                <w:rFonts w:ascii="Times New Roman" w:hAnsi="Times New Roman"/>
                <w:sz w:val="18"/>
                <w:szCs w:val="18"/>
              </w:rPr>
            </w:pPr>
            <w:r>
              <w:rPr>
                <w:sz w:val="18"/>
                <w:szCs w:val="18"/>
              </w:rPr>
              <w:t>4,94</w:t>
            </w:r>
          </w:p>
        </w:tc>
        <w:tc>
          <w:tcPr>
            <w:tcW w:w="992" w:type="dxa"/>
            <w:tcBorders>
              <w:top w:val="nil"/>
              <w:left w:val="nil"/>
              <w:bottom w:val="single" w:sz="4" w:space="0" w:color="auto"/>
              <w:right w:val="single" w:sz="4" w:space="0" w:color="auto"/>
            </w:tcBorders>
            <w:shd w:val="clear" w:color="000000" w:fill="FFFFFF"/>
            <w:noWrap/>
            <w:vAlign w:val="bottom"/>
            <w:hideMark/>
          </w:tcPr>
          <w:p w14:paraId="4596B11E" w14:textId="77777777" w:rsidR="00B56301" w:rsidRPr="00AE5F1B" w:rsidRDefault="00B56301" w:rsidP="00B37B65">
            <w:pPr>
              <w:jc w:val="right"/>
              <w:rPr>
                <w:rFonts w:ascii="Times New Roman" w:hAnsi="Times New Roman"/>
                <w:sz w:val="18"/>
                <w:szCs w:val="18"/>
              </w:rPr>
            </w:pPr>
            <w:r>
              <w:rPr>
                <w:sz w:val="18"/>
                <w:szCs w:val="18"/>
              </w:rPr>
              <w:t>4,90</w:t>
            </w:r>
          </w:p>
        </w:tc>
        <w:tc>
          <w:tcPr>
            <w:tcW w:w="992" w:type="dxa"/>
            <w:tcBorders>
              <w:top w:val="nil"/>
              <w:left w:val="nil"/>
              <w:bottom w:val="single" w:sz="4" w:space="0" w:color="auto"/>
              <w:right w:val="single" w:sz="4" w:space="0" w:color="auto"/>
            </w:tcBorders>
            <w:shd w:val="clear" w:color="000000" w:fill="FFFFFF"/>
            <w:noWrap/>
            <w:vAlign w:val="bottom"/>
            <w:hideMark/>
          </w:tcPr>
          <w:p w14:paraId="41159ECF" w14:textId="77777777" w:rsidR="00B56301" w:rsidRPr="00AE5F1B" w:rsidRDefault="00B56301" w:rsidP="00B37B65">
            <w:pPr>
              <w:jc w:val="right"/>
              <w:rPr>
                <w:rFonts w:ascii="Times New Roman" w:hAnsi="Times New Roman"/>
                <w:sz w:val="18"/>
                <w:szCs w:val="18"/>
              </w:rPr>
            </w:pPr>
            <w:r>
              <w:rPr>
                <w:sz w:val="18"/>
                <w:szCs w:val="18"/>
              </w:rPr>
              <w:t>4,89</w:t>
            </w:r>
          </w:p>
        </w:tc>
        <w:tc>
          <w:tcPr>
            <w:tcW w:w="992" w:type="dxa"/>
            <w:tcBorders>
              <w:top w:val="nil"/>
              <w:left w:val="nil"/>
              <w:bottom w:val="single" w:sz="4" w:space="0" w:color="auto"/>
              <w:right w:val="single" w:sz="4" w:space="0" w:color="auto"/>
            </w:tcBorders>
            <w:shd w:val="clear" w:color="000000" w:fill="FFFFFF"/>
            <w:noWrap/>
            <w:vAlign w:val="bottom"/>
            <w:hideMark/>
          </w:tcPr>
          <w:p w14:paraId="757A3154" w14:textId="77777777" w:rsidR="00B56301" w:rsidRPr="00AE5F1B" w:rsidRDefault="00B56301" w:rsidP="00B37B65">
            <w:pPr>
              <w:jc w:val="right"/>
              <w:rPr>
                <w:rFonts w:ascii="Times New Roman" w:hAnsi="Times New Roman"/>
                <w:sz w:val="18"/>
                <w:szCs w:val="18"/>
              </w:rPr>
            </w:pPr>
            <w:r>
              <w:rPr>
                <w:sz w:val="18"/>
                <w:szCs w:val="18"/>
              </w:rPr>
              <w:t>4,74</w:t>
            </w:r>
          </w:p>
        </w:tc>
        <w:tc>
          <w:tcPr>
            <w:tcW w:w="992" w:type="dxa"/>
            <w:tcBorders>
              <w:top w:val="nil"/>
              <w:left w:val="nil"/>
              <w:bottom w:val="single" w:sz="4" w:space="0" w:color="auto"/>
              <w:right w:val="single" w:sz="4" w:space="0" w:color="auto"/>
            </w:tcBorders>
            <w:shd w:val="clear" w:color="000000" w:fill="FFFFFF"/>
            <w:noWrap/>
            <w:vAlign w:val="bottom"/>
            <w:hideMark/>
          </w:tcPr>
          <w:p w14:paraId="6BC36451" w14:textId="77777777" w:rsidR="00B56301" w:rsidRPr="00AE5F1B" w:rsidRDefault="00B56301" w:rsidP="00B37B65">
            <w:pPr>
              <w:jc w:val="right"/>
              <w:rPr>
                <w:rFonts w:ascii="Times New Roman" w:hAnsi="Times New Roman"/>
                <w:sz w:val="18"/>
                <w:szCs w:val="18"/>
              </w:rPr>
            </w:pPr>
            <w:r>
              <w:rPr>
                <w:sz w:val="18"/>
                <w:szCs w:val="18"/>
              </w:rPr>
              <w:t>4,09</w:t>
            </w:r>
          </w:p>
        </w:tc>
      </w:tr>
      <w:tr w:rsidR="00B56301" w:rsidRPr="00AE5F1B" w14:paraId="66DB639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35ADF6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2" w:type="dxa"/>
            <w:tcBorders>
              <w:top w:val="nil"/>
              <w:left w:val="nil"/>
              <w:bottom w:val="single" w:sz="4" w:space="0" w:color="auto"/>
              <w:right w:val="single" w:sz="4" w:space="0" w:color="auto"/>
            </w:tcBorders>
            <w:shd w:val="clear" w:color="000000" w:fill="FFFFFF"/>
            <w:noWrap/>
            <w:vAlign w:val="bottom"/>
            <w:hideMark/>
          </w:tcPr>
          <w:p w14:paraId="7039B99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19134F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AA9A53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93540A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AFED7B5"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DA610B1"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25134B6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9896E0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2" w:type="dxa"/>
            <w:tcBorders>
              <w:top w:val="nil"/>
              <w:left w:val="nil"/>
              <w:bottom w:val="single" w:sz="4" w:space="0" w:color="auto"/>
              <w:right w:val="single" w:sz="4" w:space="0" w:color="auto"/>
            </w:tcBorders>
            <w:shd w:val="clear" w:color="000000" w:fill="FFFFFF"/>
            <w:noWrap/>
            <w:vAlign w:val="bottom"/>
            <w:hideMark/>
          </w:tcPr>
          <w:p w14:paraId="784FD7C3" w14:textId="77777777" w:rsidR="00B56301" w:rsidRPr="00AE5F1B" w:rsidRDefault="00B56301" w:rsidP="00B37B65">
            <w:pPr>
              <w:jc w:val="right"/>
              <w:rPr>
                <w:rFonts w:ascii="Times New Roman" w:hAnsi="Times New Roman"/>
                <w:sz w:val="18"/>
                <w:szCs w:val="18"/>
              </w:rPr>
            </w:pPr>
            <w:r>
              <w:rPr>
                <w:sz w:val="18"/>
                <w:szCs w:val="18"/>
              </w:rPr>
              <w:t>1,03</w:t>
            </w:r>
          </w:p>
        </w:tc>
        <w:tc>
          <w:tcPr>
            <w:tcW w:w="992" w:type="dxa"/>
            <w:tcBorders>
              <w:top w:val="nil"/>
              <w:left w:val="nil"/>
              <w:bottom w:val="single" w:sz="4" w:space="0" w:color="auto"/>
              <w:right w:val="single" w:sz="4" w:space="0" w:color="auto"/>
            </w:tcBorders>
            <w:shd w:val="clear" w:color="000000" w:fill="FFFFFF"/>
            <w:noWrap/>
            <w:vAlign w:val="bottom"/>
            <w:hideMark/>
          </w:tcPr>
          <w:p w14:paraId="2A155B63" w14:textId="77777777" w:rsidR="00B56301" w:rsidRPr="00AE5F1B" w:rsidRDefault="00B56301" w:rsidP="00B37B65">
            <w:pPr>
              <w:jc w:val="right"/>
              <w:rPr>
                <w:rFonts w:ascii="Times New Roman" w:hAnsi="Times New Roman"/>
                <w:sz w:val="18"/>
                <w:szCs w:val="18"/>
              </w:rPr>
            </w:pPr>
            <w:r>
              <w:rPr>
                <w:sz w:val="18"/>
                <w:szCs w:val="18"/>
              </w:rPr>
              <w:t>0,99</w:t>
            </w:r>
          </w:p>
        </w:tc>
        <w:tc>
          <w:tcPr>
            <w:tcW w:w="992" w:type="dxa"/>
            <w:tcBorders>
              <w:top w:val="nil"/>
              <w:left w:val="nil"/>
              <w:bottom w:val="single" w:sz="4" w:space="0" w:color="auto"/>
              <w:right w:val="single" w:sz="4" w:space="0" w:color="auto"/>
            </w:tcBorders>
            <w:shd w:val="clear" w:color="000000" w:fill="FFFFFF"/>
            <w:noWrap/>
            <w:vAlign w:val="bottom"/>
            <w:hideMark/>
          </w:tcPr>
          <w:p w14:paraId="105FAF12" w14:textId="77777777" w:rsidR="00B56301" w:rsidRPr="00AE5F1B" w:rsidRDefault="00B56301" w:rsidP="00B37B65">
            <w:pPr>
              <w:jc w:val="right"/>
              <w:rPr>
                <w:rFonts w:ascii="Times New Roman" w:hAnsi="Times New Roman"/>
                <w:sz w:val="18"/>
                <w:szCs w:val="18"/>
              </w:rPr>
            </w:pPr>
            <w:r>
              <w:rPr>
                <w:sz w:val="18"/>
                <w:szCs w:val="18"/>
              </w:rPr>
              <w:t>0,96</w:t>
            </w:r>
          </w:p>
        </w:tc>
        <w:tc>
          <w:tcPr>
            <w:tcW w:w="992" w:type="dxa"/>
            <w:tcBorders>
              <w:top w:val="nil"/>
              <w:left w:val="nil"/>
              <w:bottom w:val="single" w:sz="4" w:space="0" w:color="auto"/>
              <w:right w:val="single" w:sz="4" w:space="0" w:color="auto"/>
            </w:tcBorders>
            <w:shd w:val="clear" w:color="000000" w:fill="FFFFFF"/>
            <w:noWrap/>
            <w:vAlign w:val="bottom"/>
            <w:hideMark/>
          </w:tcPr>
          <w:p w14:paraId="41CC11AB" w14:textId="77777777" w:rsidR="00B56301" w:rsidRPr="00AE5F1B" w:rsidRDefault="00B56301" w:rsidP="00B37B65">
            <w:pPr>
              <w:jc w:val="right"/>
              <w:rPr>
                <w:rFonts w:ascii="Times New Roman" w:hAnsi="Times New Roman"/>
                <w:sz w:val="18"/>
                <w:szCs w:val="18"/>
              </w:rPr>
            </w:pPr>
            <w:r>
              <w:rPr>
                <w:sz w:val="18"/>
                <w:szCs w:val="18"/>
              </w:rPr>
              <w:t>0,89</w:t>
            </w:r>
          </w:p>
        </w:tc>
        <w:tc>
          <w:tcPr>
            <w:tcW w:w="992" w:type="dxa"/>
            <w:tcBorders>
              <w:top w:val="nil"/>
              <w:left w:val="nil"/>
              <w:bottom w:val="single" w:sz="4" w:space="0" w:color="auto"/>
              <w:right w:val="single" w:sz="4" w:space="0" w:color="auto"/>
            </w:tcBorders>
            <w:shd w:val="clear" w:color="000000" w:fill="FFFFFF"/>
            <w:noWrap/>
            <w:vAlign w:val="bottom"/>
            <w:hideMark/>
          </w:tcPr>
          <w:p w14:paraId="4CCE9594" w14:textId="77777777" w:rsidR="00B56301" w:rsidRPr="00AE5F1B" w:rsidRDefault="00B56301" w:rsidP="00B37B65">
            <w:pPr>
              <w:jc w:val="right"/>
              <w:rPr>
                <w:rFonts w:ascii="Times New Roman" w:hAnsi="Times New Roman"/>
                <w:sz w:val="18"/>
                <w:szCs w:val="18"/>
              </w:rPr>
            </w:pPr>
            <w:r>
              <w:rPr>
                <w:sz w:val="18"/>
                <w:szCs w:val="18"/>
              </w:rPr>
              <w:t>0,81</w:t>
            </w:r>
          </w:p>
        </w:tc>
        <w:tc>
          <w:tcPr>
            <w:tcW w:w="992" w:type="dxa"/>
            <w:tcBorders>
              <w:top w:val="nil"/>
              <w:left w:val="nil"/>
              <w:bottom w:val="single" w:sz="4" w:space="0" w:color="auto"/>
              <w:right w:val="single" w:sz="4" w:space="0" w:color="auto"/>
            </w:tcBorders>
            <w:shd w:val="clear" w:color="000000" w:fill="FFFFFF"/>
            <w:noWrap/>
            <w:vAlign w:val="bottom"/>
            <w:hideMark/>
          </w:tcPr>
          <w:p w14:paraId="2C4D1B0B" w14:textId="77777777" w:rsidR="00B56301" w:rsidRPr="00AE5F1B" w:rsidRDefault="00B56301" w:rsidP="00B37B65">
            <w:pPr>
              <w:jc w:val="right"/>
              <w:rPr>
                <w:rFonts w:ascii="Times New Roman" w:hAnsi="Times New Roman"/>
                <w:sz w:val="18"/>
                <w:szCs w:val="18"/>
              </w:rPr>
            </w:pPr>
            <w:r>
              <w:rPr>
                <w:sz w:val="18"/>
                <w:szCs w:val="18"/>
              </w:rPr>
              <w:t>0,70</w:t>
            </w:r>
          </w:p>
        </w:tc>
      </w:tr>
      <w:tr w:rsidR="00B56301" w:rsidRPr="00AE5F1B" w14:paraId="43CEE13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03FFF5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2" w:type="dxa"/>
            <w:tcBorders>
              <w:top w:val="nil"/>
              <w:left w:val="nil"/>
              <w:bottom w:val="single" w:sz="4" w:space="0" w:color="auto"/>
              <w:right w:val="single" w:sz="4" w:space="0" w:color="auto"/>
            </w:tcBorders>
            <w:shd w:val="clear" w:color="000000" w:fill="FFFFFF"/>
            <w:noWrap/>
            <w:vAlign w:val="bottom"/>
            <w:hideMark/>
          </w:tcPr>
          <w:p w14:paraId="623469E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FD08C8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EABF24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7B7D5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83643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4A973DF"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2A313CE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2A2E57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2" w:type="dxa"/>
            <w:tcBorders>
              <w:top w:val="nil"/>
              <w:left w:val="nil"/>
              <w:bottom w:val="single" w:sz="4" w:space="0" w:color="auto"/>
              <w:right w:val="single" w:sz="4" w:space="0" w:color="auto"/>
            </w:tcBorders>
            <w:shd w:val="clear" w:color="000000" w:fill="FFFFFF"/>
            <w:noWrap/>
            <w:vAlign w:val="bottom"/>
            <w:hideMark/>
          </w:tcPr>
          <w:p w14:paraId="6E497140" w14:textId="77777777" w:rsidR="00B56301" w:rsidRPr="00AE5F1B" w:rsidRDefault="00B56301" w:rsidP="00B37B65">
            <w:pPr>
              <w:jc w:val="right"/>
              <w:rPr>
                <w:rFonts w:ascii="Times New Roman" w:hAnsi="Times New Roman"/>
                <w:sz w:val="18"/>
                <w:szCs w:val="18"/>
              </w:rPr>
            </w:pPr>
            <w:r>
              <w:rPr>
                <w:sz w:val="18"/>
                <w:szCs w:val="18"/>
              </w:rPr>
              <w:t>0,30</w:t>
            </w:r>
          </w:p>
        </w:tc>
        <w:tc>
          <w:tcPr>
            <w:tcW w:w="992" w:type="dxa"/>
            <w:tcBorders>
              <w:top w:val="nil"/>
              <w:left w:val="nil"/>
              <w:bottom w:val="single" w:sz="4" w:space="0" w:color="auto"/>
              <w:right w:val="single" w:sz="4" w:space="0" w:color="auto"/>
            </w:tcBorders>
            <w:shd w:val="clear" w:color="000000" w:fill="FFFFFF"/>
            <w:noWrap/>
            <w:vAlign w:val="bottom"/>
            <w:hideMark/>
          </w:tcPr>
          <w:p w14:paraId="128A837D" w14:textId="77777777" w:rsidR="00B56301" w:rsidRPr="00AE5F1B" w:rsidRDefault="00B56301" w:rsidP="00B37B65">
            <w:pPr>
              <w:jc w:val="right"/>
              <w:rPr>
                <w:rFonts w:ascii="Times New Roman" w:hAnsi="Times New Roman"/>
                <w:sz w:val="18"/>
                <w:szCs w:val="18"/>
              </w:rPr>
            </w:pPr>
            <w:r>
              <w:rPr>
                <w:sz w:val="18"/>
                <w:szCs w:val="18"/>
              </w:rPr>
              <w:t>0,27</w:t>
            </w:r>
          </w:p>
        </w:tc>
        <w:tc>
          <w:tcPr>
            <w:tcW w:w="992" w:type="dxa"/>
            <w:tcBorders>
              <w:top w:val="nil"/>
              <w:left w:val="nil"/>
              <w:bottom w:val="single" w:sz="4" w:space="0" w:color="auto"/>
              <w:right w:val="single" w:sz="4" w:space="0" w:color="auto"/>
            </w:tcBorders>
            <w:shd w:val="clear" w:color="000000" w:fill="FFFFFF"/>
            <w:noWrap/>
            <w:vAlign w:val="bottom"/>
            <w:hideMark/>
          </w:tcPr>
          <w:p w14:paraId="66E300CA" w14:textId="77777777" w:rsidR="00B56301" w:rsidRPr="00AE5F1B" w:rsidRDefault="00B56301" w:rsidP="00B37B65">
            <w:pPr>
              <w:jc w:val="right"/>
              <w:rPr>
                <w:rFonts w:ascii="Times New Roman" w:hAnsi="Times New Roman"/>
                <w:sz w:val="18"/>
                <w:szCs w:val="18"/>
              </w:rPr>
            </w:pPr>
            <w:r>
              <w:rPr>
                <w:sz w:val="18"/>
                <w:szCs w:val="18"/>
              </w:rPr>
              <w:t>0,23</w:t>
            </w:r>
          </w:p>
        </w:tc>
        <w:tc>
          <w:tcPr>
            <w:tcW w:w="992" w:type="dxa"/>
            <w:tcBorders>
              <w:top w:val="nil"/>
              <w:left w:val="nil"/>
              <w:bottom w:val="single" w:sz="4" w:space="0" w:color="auto"/>
              <w:right w:val="single" w:sz="4" w:space="0" w:color="auto"/>
            </w:tcBorders>
            <w:shd w:val="clear" w:color="000000" w:fill="FFFFFF"/>
            <w:noWrap/>
            <w:vAlign w:val="bottom"/>
            <w:hideMark/>
          </w:tcPr>
          <w:p w14:paraId="2DA22FEF" w14:textId="77777777" w:rsidR="00B56301" w:rsidRPr="00AE5F1B" w:rsidRDefault="00B56301" w:rsidP="00B37B65">
            <w:pPr>
              <w:jc w:val="right"/>
              <w:rPr>
                <w:rFonts w:ascii="Times New Roman" w:hAnsi="Times New Roman"/>
                <w:sz w:val="18"/>
                <w:szCs w:val="18"/>
              </w:rPr>
            </w:pPr>
            <w:r>
              <w:rPr>
                <w:sz w:val="18"/>
                <w:szCs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4215A28A" w14:textId="77777777" w:rsidR="00B56301" w:rsidRPr="00AE5F1B" w:rsidRDefault="00B56301" w:rsidP="00B37B65">
            <w:pPr>
              <w:jc w:val="right"/>
              <w:rPr>
                <w:rFonts w:ascii="Times New Roman" w:hAnsi="Times New Roman"/>
                <w:sz w:val="18"/>
                <w:szCs w:val="18"/>
              </w:rPr>
            </w:pPr>
            <w:r>
              <w:rPr>
                <w:sz w:val="18"/>
                <w:szCs w:val="18"/>
              </w:rPr>
              <w:t>0,20</w:t>
            </w:r>
          </w:p>
        </w:tc>
        <w:tc>
          <w:tcPr>
            <w:tcW w:w="992" w:type="dxa"/>
            <w:tcBorders>
              <w:top w:val="nil"/>
              <w:left w:val="nil"/>
              <w:bottom w:val="single" w:sz="4" w:space="0" w:color="auto"/>
              <w:right w:val="single" w:sz="4" w:space="0" w:color="auto"/>
            </w:tcBorders>
            <w:shd w:val="clear" w:color="000000" w:fill="FFFFFF"/>
            <w:noWrap/>
            <w:vAlign w:val="bottom"/>
            <w:hideMark/>
          </w:tcPr>
          <w:p w14:paraId="5309633F" w14:textId="77777777" w:rsidR="00B56301" w:rsidRPr="00AE5F1B" w:rsidRDefault="00B56301" w:rsidP="00B37B65">
            <w:pPr>
              <w:jc w:val="right"/>
              <w:rPr>
                <w:rFonts w:ascii="Times New Roman" w:hAnsi="Times New Roman"/>
                <w:sz w:val="18"/>
                <w:szCs w:val="18"/>
              </w:rPr>
            </w:pPr>
            <w:r>
              <w:rPr>
                <w:sz w:val="18"/>
                <w:szCs w:val="18"/>
              </w:rPr>
              <w:t>0,19</w:t>
            </w:r>
          </w:p>
        </w:tc>
      </w:tr>
      <w:tr w:rsidR="00B56301" w:rsidRPr="00AE5F1B" w14:paraId="4EEA975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3DFB568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2" w:type="dxa"/>
            <w:tcBorders>
              <w:top w:val="nil"/>
              <w:left w:val="nil"/>
              <w:bottom w:val="single" w:sz="4" w:space="0" w:color="auto"/>
              <w:right w:val="single" w:sz="4" w:space="0" w:color="auto"/>
            </w:tcBorders>
            <w:shd w:val="clear" w:color="000000" w:fill="FFFFFF"/>
            <w:noWrap/>
            <w:vAlign w:val="bottom"/>
            <w:hideMark/>
          </w:tcPr>
          <w:p w14:paraId="6E3300E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B6C742"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006F5E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15AC30"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87B898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657BC95"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23E29A2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8BCBE1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2" w:type="dxa"/>
            <w:tcBorders>
              <w:top w:val="nil"/>
              <w:left w:val="nil"/>
              <w:bottom w:val="single" w:sz="4" w:space="0" w:color="auto"/>
              <w:right w:val="single" w:sz="4" w:space="0" w:color="auto"/>
            </w:tcBorders>
            <w:shd w:val="clear" w:color="000000" w:fill="FFFFFF"/>
            <w:noWrap/>
            <w:vAlign w:val="bottom"/>
            <w:hideMark/>
          </w:tcPr>
          <w:p w14:paraId="1BD48DBC"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444E2CEE"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061E72D1"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92772EC"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970AE03" w14:textId="77777777" w:rsidR="00B56301" w:rsidRPr="00AE5F1B" w:rsidRDefault="00B56301" w:rsidP="00B37B65">
            <w:pPr>
              <w:jc w:val="right"/>
              <w:rPr>
                <w:rFonts w:ascii="Times New Roman" w:hAnsi="Times New Roman"/>
                <w:sz w:val="18"/>
                <w:szCs w:val="18"/>
              </w:rPr>
            </w:pPr>
            <w:r>
              <w:rPr>
                <w:sz w:val="18"/>
                <w:szCs w:val="18"/>
              </w:rPr>
              <w:t>0,08</w:t>
            </w:r>
          </w:p>
        </w:tc>
        <w:tc>
          <w:tcPr>
            <w:tcW w:w="992" w:type="dxa"/>
            <w:tcBorders>
              <w:top w:val="nil"/>
              <w:left w:val="nil"/>
              <w:bottom w:val="single" w:sz="4" w:space="0" w:color="auto"/>
              <w:right w:val="single" w:sz="4" w:space="0" w:color="auto"/>
            </w:tcBorders>
            <w:shd w:val="clear" w:color="000000" w:fill="FFFFFF"/>
            <w:noWrap/>
            <w:vAlign w:val="bottom"/>
            <w:hideMark/>
          </w:tcPr>
          <w:p w14:paraId="52D0809B" w14:textId="77777777" w:rsidR="00B56301" w:rsidRPr="00AE5F1B" w:rsidRDefault="00B56301" w:rsidP="00B37B65">
            <w:pPr>
              <w:jc w:val="right"/>
              <w:rPr>
                <w:rFonts w:ascii="Times New Roman" w:hAnsi="Times New Roman"/>
                <w:sz w:val="18"/>
                <w:szCs w:val="18"/>
              </w:rPr>
            </w:pPr>
            <w:r>
              <w:rPr>
                <w:sz w:val="18"/>
                <w:szCs w:val="18"/>
              </w:rPr>
              <w:t>0,07</w:t>
            </w:r>
          </w:p>
        </w:tc>
      </w:tr>
      <w:tr w:rsidR="00B56301" w:rsidRPr="00AE5F1B" w14:paraId="6819E02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7403D2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2" w:type="dxa"/>
            <w:tcBorders>
              <w:top w:val="nil"/>
              <w:left w:val="nil"/>
              <w:bottom w:val="single" w:sz="4" w:space="0" w:color="auto"/>
              <w:right w:val="single" w:sz="4" w:space="0" w:color="auto"/>
            </w:tcBorders>
            <w:shd w:val="clear" w:color="000000" w:fill="FFFFFF"/>
            <w:noWrap/>
            <w:vAlign w:val="bottom"/>
            <w:hideMark/>
          </w:tcPr>
          <w:p w14:paraId="067603F7"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882E08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FEDD93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2B3ECC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B8F4C2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36A8269"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0EC1163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3B9AC4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2" w:type="dxa"/>
            <w:tcBorders>
              <w:top w:val="nil"/>
              <w:left w:val="nil"/>
              <w:bottom w:val="single" w:sz="4" w:space="0" w:color="auto"/>
              <w:right w:val="single" w:sz="4" w:space="0" w:color="auto"/>
            </w:tcBorders>
            <w:shd w:val="clear" w:color="000000" w:fill="FFFFFF"/>
            <w:noWrap/>
            <w:vAlign w:val="bottom"/>
            <w:hideMark/>
          </w:tcPr>
          <w:p w14:paraId="45133E1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E42D75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54B372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18F0518"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6C33939"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A76E879"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3014C2A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07F096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2" w:type="dxa"/>
            <w:tcBorders>
              <w:top w:val="nil"/>
              <w:left w:val="nil"/>
              <w:bottom w:val="single" w:sz="4" w:space="0" w:color="auto"/>
              <w:right w:val="single" w:sz="4" w:space="0" w:color="auto"/>
            </w:tcBorders>
            <w:shd w:val="clear" w:color="000000" w:fill="FFFFFF"/>
            <w:noWrap/>
            <w:vAlign w:val="bottom"/>
            <w:hideMark/>
          </w:tcPr>
          <w:p w14:paraId="4498E68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38D0734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2FE43BE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61DAA1BF"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B7C0943"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007BFFE6"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1280BBFA"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77BEE3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2" w:type="dxa"/>
            <w:tcBorders>
              <w:top w:val="nil"/>
              <w:left w:val="nil"/>
              <w:bottom w:val="single" w:sz="4" w:space="0" w:color="auto"/>
              <w:right w:val="single" w:sz="4" w:space="0" w:color="auto"/>
            </w:tcBorders>
            <w:shd w:val="clear" w:color="000000" w:fill="FFFFFF"/>
            <w:noWrap/>
            <w:vAlign w:val="bottom"/>
            <w:hideMark/>
          </w:tcPr>
          <w:p w14:paraId="586F654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448D1F16"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4EE595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76E57FD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5D657DD1"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FFFFFF"/>
            <w:noWrap/>
            <w:vAlign w:val="bottom"/>
            <w:hideMark/>
          </w:tcPr>
          <w:p w14:paraId="1998B5BC"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77AAF7CE"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FB80EA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2" w:type="dxa"/>
            <w:tcBorders>
              <w:top w:val="nil"/>
              <w:left w:val="nil"/>
              <w:bottom w:val="single" w:sz="4" w:space="0" w:color="auto"/>
              <w:right w:val="single" w:sz="4" w:space="0" w:color="auto"/>
            </w:tcBorders>
            <w:shd w:val="clear" w:color="000000" w:fill="FFFFFF"/>
            <w:noWrap/>
            <w:vAlign w:val="bottom"/>
            <w:hideMark/>
          </w:tcPr>
          <w:p w14:paraId="03171CA6"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28B2C913" w14:textId="77777777" w:rsidR="00B56301" w:rsidRPr="00AE5F1B" w:rsidRDefault="00B56301" w:rsidP="00B37B65">
            <w:pPr>
              <w:jc w:val="right"/>
              <w:rPr>
                <w:rFonts w:ascii="Times New Roman" w:hAnsi="Times New Roman"/>
                <w:sz w:val="18"/>
                <w:szCs w:val="18"/>
              </w:rPr>
            </w:pPr>
            <w:r>
              <w:rPr>
                <w:sz w:val="18"/>
                <w:szCs w:val="18"/>
              </w:rPr>
              <w:t>0,04</w:t>
            </w:r>
          </w:p>
        </w:tc>
        <w:tc>
          <w:tcPr>
            <w:tcW w:w="992" w:type="dxa"/>
            <w:tcBorders>
              <w:top w:val="nil"/>
              <w:left w:val="nil"/>
              <w:bottom w:val="single" w:sz="4" w:space="0" w:color="auto"/>
              <w:right w:val="single" w:sz="4" w:space="0" w:color="auto"/>
            </w:tcBorders>
            <w:shd w:val="clear" w:color="000000" w:fill="FFFFFF"/>
            <w:noWrap/>
            <w:vAlign w:val="bottom"/>
            <w:hideMark/>
          </w:tcPr>
          <w:p w14:paraId="6DD89D4B" w14:textId="77777777" w:rsidR="00B56301" w:rsidRPr="00AE5F1B" w:rsidRDefault="00B56301" w:rsidP="00B37B65">
            <w:pPr>
              <w:jc w:val="right"/>
              <w:rPr>
                <w:rFonts w:ascii="Times New Roman" w:hAnsi="Times New Roman"/>
                <w:sz w:val="18"/>
                <w:szCs w:val="18"/>
              </w:rPr>
            </w:pPr>
            <w:r>
              <w:rPr>
                <w:sz w:val="18"/>
                <w:szCs w:val="18"/>
              </w:rPr>
              <w:t>0,07</w:t>
            </w:r>
          </w:p>
        </w:tc>
        <w:tc>
          <w:tcPr>
            <w:tcW w:w="992" w:type="dxa"/>
            <w:tcBorders>
              <w:top w:val="nil"/>
              <w:left w:val="nil"/>
              <w:bottom w:val="single" w:sz="4" w:space="0" w:color="auto"/>
              <w:right w:val="single" w:sz="4" w:space="0" w:color="auto"/>
            </w:tcBorders>
            <w:shd w:val="clear" w:color="000000" w:fill="FFFFFF"/>
            <w:noWrap/>
            <w:vAlign w:val="bottom"/>
            <w:hideMark/>
          </w:tcPr>
          <w:p w14:paraId="2A172A5A" w14:textId="77777777" w:rsidR="00B56301" w:rsidRPr="00AE5F1B" w:rsidRDefault="00B56301" w:rsidP="00B37B65">
            <w:pPr>
              <w:jc w:val="right"/>
              <w:rPr>
                <w:rFonts w:ascii="Times New Roman" w:hAnsi="Times New Roman"/>
                <w:sz w:val="18"/>
                <w:szCs w:val="18"/>
              </w:rPr>
            </w:pPr>
            <w:r>
              <w:rPr>
                <w:sz w:val="18"/>
                <w:szCs w:val="18"/>
              </w:rPr>
              <w:t>0,09</w:t>
            </w:r>
          </w:p>
        </w:tc>
        <w:tc>
          <w:tcPr>
            <w:tcW w:w="992" w:type="dxa"/>
            <w:tcBorders>
              <w:top w:val="nil"/>
              <w:left w:val="nil"/>
              <w:bottom w:val="single" w:sz="4" w:space="0" w:color="auto"/>
              <w:right w:val="single" w:sz="4" w:space="0" w:color="auto"/>
            </w:tcBorders>
            <w:shd w:val="clear" w:color="000000" w:fill="FFFFFF"/>
            <w:noWrap/>
            <w:vAlign w:val="bottom"/>
            <w:hideMark/>
          </w:tcPr>
          <w:p w14:paraId="55C08BF2" w14:textId="77777777" w:rsidR="00B56301" w:rsidRPr="00AE5F1B" w:rsidRDefault="00B56301" w:rsidP="00B37B65">
            <w:pPr>
              <w:jc w:val="right"/>
              <w:rPr>
                <w:rFonts w:ascii="Times New Roman" w:hAnsi="Times New Roman"/>
                <w:sz w:val="18"/>
                <w:szCs w:val="18"/>
              </w:rPr>
            </w:pPr>
            <w:r>
              <w:rPr>
                <w:sz w:val="18"/>
                <w:szCs w:val="18"/>
              </w:rPr>
              <w:t>0,11</w:t>
            </w:r>
          </w:p>
        </w:tc>
        <w:tc>
          <w:tcPr>
            <w:tcW w:w="992" w:type="dxa"/>
            <w:tcBorders>
              <w:top w:val="nil"/>
              <w:left w:val="nil"/>
              <w:bottom w:val="single" w:sz="4" w:space="0" w:color="auto"/>
              <w:right w:val="single" w:sz="4" w:space="0" w:color="auto"/>
            </w:tcBorders>
            <w:shd w:val="clear" w:color="000000" w:fill="FFFFFF"/>
            <w:noWrap/>
            <w:vAlign w:val="bottom"/>
            <w:hideMark/>
          </w:tcPr>
          <w:p w14:paraId="56C5A72B" w14:textId="77777777" w:rsidR="00B56301" w:rsidRPr="00AE5F1B" w:rsidRDefault="00B56301" w:rsidP="00B37B65">
            <w:pPr>
              <w:jc w:val="right"/>
              <w:rPr>
                <w:rFonts w:ascii="Times New Roman" w:hAnsi="Times New Roman"/>
                <w:sz w:val="18"/>
                <w:szCs w:val="18"/>
              </w:rPr>
            </w:pPr>
            <w:r>
              <w:rPr>
                <w:sz w:val="18"/>
                <w:szCs w:val="18"/>
              </w:rPr>
              <w:t>0,11</w:t>
            </w:r>
          </w:p>
        </w:tc>
      </w:tr>
      <w:tr w:rsidR="00B56301" w:rsidRPr="00AE5F1B" w14:paraId="6F18974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4F19C35"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2" w:type="dxa"/>
            <w:tcBorders>
              <w:top w:val="nil"/>
              <w:left w:val="nil"/>
              <w:bottom w:val="single" w:sz="4" w:space="0" w:color="auto"/>
              <w:right w:val="single" w:sz="4" w:space="0" w:color="auto"/>
            </w:tcBorders>
            <w:shd w:val="clear" w:color="000000" w:fill="FFFFFF"/>
            <w:noWrap/>
            <w:vAlign w:val="bottom"/>
            <w:hideMark/>
          </w:tcPr>
          <w:p w14:paraId="74029F8D" w14:textId="77777777" w:rsidR="00B56301" w:rsidRPr="00AE5F1B" w:rsidRDefault="00B56301" w:rsidP="00B37B65">
            <w:pPr>
              <w:jc w:val="right"/>
              <w:rPr>
                <w:rFonts w:ascii="Times New Roman" w:hAnsi="Times New Roman"/>
                <w:sz w:val="18"/>
                <w:szCs w:val="18"/>
              </w:rPr>
            </w:pPr>
            <w:r>
              <w:rPr>
                <w:sz w:val="18"/>
                <w:szCs w:val="18"/>
              </w:rPr>
              <w:t>0,12</w:t>
            </w:r>
          </w:p>
        </w:tc>
        <w:tc>
          <w:tcPr>
            <w:tcW w:w="992" w:type="dxa"/>
            <w:tcBorders>
              <w:top w:val="nil"/>
              <w:left w:val="nil"/>
              <w:bottom w:val="single" w:sz="4" w:space="0" w:color="auto"/>
              <w:right w:val="single" w:sz="4" w:space="0" w:color="auto"/>
            </w:tcBorders>
            <w:shd w:val="clear" w:color="000000" w:fill="FFFFFF"/>
            <w:noWrap/>
            <w:vAlign w:val="bottom"/>
            <w:hideMark/>
          </w:tcPr>
          <w:p w14:paraId="23AFDFA2" w14:textId="77777777" w:rsidR="00B56301" w:rsidRPr="00AE5F1B" w:rsidRDefault="00B56301" w:rsidP="00B37B65">
            <w:pPr>
              <w:jc w:val="right"/>
              <w:rPr>
                <w:rFonts w:ascii="Times New Roman" w:hAnsi="Times New Roman"/>
                <w:sz w:val="18"/>
                <w:szCs w:val="18"/>
              </w:rPr>
            </w:pPr>
            <w:r>
              <w:rPr>
                <w:sz w:val="18"/>
                <w:szCs w:val="18"/>
              </w:rPr>
              <w:t>0,14</w:t>
            </w:r>
          </w:p>
        </w:tc>
        <w:tc>
          <w:tcPr>
            <w:tcW w:w="992" w:type="dxa"/>
            <w:tcBorders>
              <w:top w:val="nil"/>
              <w:left w:val="nil"/>
              <w:bottom w:val="single" w:sz="4" w:space="0" w:color="auto"/>
              <w:right w:val="single" w:sz="4" w:space="0" w:color="auto"/>
            </w:tcBorders>
            <w:shd w:val="clear" w:color="000000" w:fill="FFFFFF"/>
            <w:noWrap/>
            <w:vAlign w:val="bottom"/>
            <w:hideMark/>
          </w:tcPr>
          <w:p w14:paraId="2D23039F" w14:textId="77777777" w:rsidR="00B56301" w:rsidRPr="00AE5F1B" w:rsidRDefault="00B56301" w:rsidP="00B37B65">
            <w:pPr>
              <w:jc w:val="right"/>
              <w:rPr>
                <w:rFonts w:ascii="Times New Roman" w:hAnsi="Times New Roman"/>
                <w:sz w:val="18"/>
                <w:szCs w:val="18"/>
              </w:rPr>
            </w:pPr>
            <w:r>
              <w:rPr>
                <w:sz w:val="18"/>
                <w:szCs w:val="18"/>
              </w:rPr>
              <w:t>0,16</w:t>
            </w:r>
          </w:p>
        </w:tc>
        <w:tc>
          <w:tcPr>
            <w:tcW w:w="992" w:type="dxa"/>
            <w:tcBorders>
              <w:top w:val="nil"/>
              <w:left w:val="nil"/>
              <w:bottom w:val="single" w:sz="4" w:space="0" w:color="auto"/>
              <w:right w:val="single" w:sz="4" w:space="0" w:color="auto"/>
            </w:tcBorders>
            <w:shd w:val="clear" w:color="000000" w:fill="FFFFFF"/>
            <w:noWrap/>
            <w:vAlign w:val="bottom"/>
            <w:hideMark/>
          </w:tcPr>
          <w:p w14:paraId="334EC653" w14:textId="77777777" w:rsidR="00B56301" w:rsidRPr="00AE5F1B" w:rsidRDefault="00B56301" w:rsidP="00B37B65">
            <w:pPr>
              <w:jc w:val="right"/>
              <w:rPr>
                <w:rFonts w:ascii="Times New Roman" w:hAnsi="Times New Roman"/>
                <w:sz w:val="18"/>
                <w:szCs w:val="18"/>
              </w:rPr>
            </w:pPr>
            <w:r>
              <w:rPr>
                <w:sz w:val="18"/>
                <w:szCs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701B36A4" w14:textId="77777777" w:rsidR="00B56301" w:rsidRPr="00AE5F1B" w:rsidRDefault="00B56301" w:rsidP="00B37B65">
            <w:pPr>
              <w:jc w:val="right"/>
              <w:rPr>
                <w:rFonts w:ascii="Times New Roman" w:hAnsi="Times New Roman"/>
                <w:sz w:val="18"/>
                <w:szCs w:val="18"/>
              </w:rPr>
            </w:pPr>
            <w:r>
              <w:rPr>
                <w:sz w:val="18"/>
                <w:szCs w:val="18"/>
              </w:rPr>
              <w:t>0,15</w:t>
            </w:r>
          </w:p>
        </w:tc>
        <w:tc>
          <w:tcPr>
            <w:tcW w:w="992" w:type="dxa"/>
            <w:tcBorders>
              <w:top w:val="nil"/>
              <w:left w:val="nil"/>
              <w:bottom w:val="single" w:sz="4" w:space="0" w:color="auto"/>
              <w:right w:val="single" w:sz="4" w:space="0" w:color="auto"/>
            </w:tcBorders>
            <w:shd w:val="clear" w:color="000000" w:fill="FFFFFF"/>
            <w:noWrap/>
            <w:vAlign w:val="bottom"/>
            <w:hideMark/>
          </w:tcPr>
          <w:p w14:paraId="5F0C1F46" w14:textId="77777777" w:rsidR="00B56301" w:rsidRPr="00AE5F1B" w:rsidRDefault="00B56301" w:rsidP="00B37B65">
            <w:pPr>
              <w:jc w:val="right"/>
              <w:rPr>
                <w:rFonts w:ascii="Times New Roman" w:hAnsi="Times New Roman"/>
                <w:sz w:val="18"/>
                <w:szCs w:val="18"/>
              </w:rPr>
            </w:pPr>
            <w:r>
              <w:rPr>
                <w:sz w:val="18"/>
                <w:szCs w:val="18"/>
              </w:rPr>
              <w:t>0,16</w:t>
            </w:r>
          </w:p>
        </w:tc>
      </w:tr>
      <w:tr w:rsidR="00B56301" w:rsidRPr="00AE5F1B" w14:paraId="1D1F1CBD"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701FEA" w14:textId="3ECB2165"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71851292" w14:textId="77777777" w:rsidR="00B56301" w:rsidRPr="00AE5F1B" w:rsidRDefault="00B56301" w:rsidP="00B37B65">
            <w:pPr>
              <w:jc w:val="right"/>
              <w:rPr>
                <w:rFonts w:ascii="Times New Roman" w:hAnsi="Times New Roman"/>
                <w:sz w:val="18"/>
                <w:szCs w:val="18"/>
              </w:rPr>
            </w:pPr>
            <w:r>
              <w:rPr>
                <w:sz w:val="18"/>
                <w:szCs w:val="18"/>
              </w:rPr>
              <w:t>292,69</w:t>
            </w:r>
          </w:p>
        </w:tc>
        <w:tc>
          <w:tcPr>
            <w:tcW w:w="992" w:type="dxa"/>
            <w:tcBorders>
              <w:top w:val="nil"/>
              <w:left w:val="nil"/>
              <w:bottom w:val="single" w:sz="4" w:space="0" w:color="auto"/>
              <w:right w:val="single" w:sz="4" w:space="0" w:color="auto"/>
            </w:tcBorders>
            <w:shd w:val="clear" w:color="000000" w:fill="FFFFFF"/>
            <w:noWrap/>
            <w:vAlign w:val="bottom"/>
            <w:hideMark/>
          </w:tcPr>
          <w:p w14:paraId="19265E95" w14:textId="77777777" w:rsidR="00B56301" w:rsidRPr="00AE5F1B" w:rsidRDefault="00B56301" w:rsidP="00B37B65">
            <w:pPr>
              <w:jc w:val="right"/>
              <w:rPr>
                <w:rFonts w:ascii="Times New Roman" w:hAnsi="Times New Roman"/>
                <w:sz w:val="18"/>
                <w:szCs w:val="18"/>
              </w:rPr>
            </w:pPr>
            <w:r>
              <w:rPr>
                <w:sz w:val="18"/>
                <w:szCs w:val="18"/>
              </w:rPr>
              <w:t>207,39</w:t>
            </w:r>
          </w:p>
        </w:tc>
        <w:tc>
          <w:tcPr>
            <w:tcW w:w="992" w:type="dxa"/>
            <w:tcBorders>
              <w:top w:val="nil"/>
              <w:left w:val="nil"/>
              <w:bottom w:val="single" w:sz="4" w:space="0" w:color="auto"/>
              <w:right w:val="single" w:sz="4" w:space="0" w:color="auto"/>
            </w:tcBorders>
            <w:shd w:val="clear" w:color="000000" w:fill="FFFFFF"/>
            <w:noWrap/>
            <w:vAlign w:val="bottom"/>
            <w:hideMark/>
          </w:tcPr>
          <w:p w14:paraId="70073133" w14:textId="77777777" w:rsidR="00B56301" w:rsidRPr="00AE5F1B" w:rsidRDefault="00B56301" w:rsidP="00B37B65">
            <w:pPr>
              <w:jc w:val="right"/>
              <w:rPr>
                <w:rFonts w:ascii="Times New Roman" w:hAnsi="Times New Roman"/>
                <w:sz w:val="18"/>
                <w:szCs w:val="18"/>
              </w:rPr>
            </w:pPr>
            <w:r>
              <w:rPr>
                <w:sz w:val="18"/>
                <w:szCs w:val="18"/>
              </w:rPr>
              <w:t>151,19</w:t>
            </w:r>
          </w:p>
        </w:tc>
        <w:tc>
          <w:tcPr>
            <w:tcW w:w="992" w:type="dxa"/>
            <w:tcBorders>
              <w:top w:val="nil"/>
              <w:left w:val="nil"/>
              <w:bottom w:val="single" w:sz="4" w:space="0" w:color="auto"/>
              <w:right w:val="single" w:sz="4" w:space="0" w:color="auto"/>
            </w:tcBorders>
            <w:shd w:val="clear" w:color="000000" w:fill="FFFFFF"/>
            <w:noWrap/>
            <w:vAlign w:val="bottom"/>
            <w:hideMark/>
          </w:tcPr>
          <w:p w14:paraId="5EF75EC5" w14:textId="77777777" w:rsidR="00B56301" w:rsidRPr="00AE5F1B" w:rsidRDefault="00B56301" w:rsidP="00B37B65">
            <w:pPr>
              <w:jc w:val="right"/>
              <w:rPr>
                <w:rFonts w:ascii="Times New Roman" w:hAnsi="Times New Roman"/>
                <w:sz w:val="18"/>
                <w:szCs w:val="18"/>
              </w:rPr>
            </w:pPr>
            <w:r>
              <w:rPr>
                <w:sz w:val="18"/>
                <w:szCs w:val="18"/>
              </w:rPr>
              <w:t>64,78</w:t>
            </w:r>
          </w:p>
        </w:tc>
        <w:tc>
          <w:tcPr>
            <w:tcW w:w="992" w:type="dxa"/>
            <w:tcBorders>
              <w:top w:val="nil"/>
              <w:left w:val="nil"/>
              <w:bottom w:val="single" w:sz="4" w:space="0" w:color="auto"/>
              <w:right w:val="single" w:sz="4" w:space="0" w:color="auto"/>
            </w:tcBorders>
            <w:shd w:val="clear" w:color="000000" w:fill="FFFFFF"/>
            <w:noWrap/>
            <w:vAlign w:val="bottom"/>
            <w:hideMark/>
          </w:tcPr>
          <w:p w14:paraId="52FBA579" w14:textId="77777777" w:rsidR="00B56301" w:rsidRPr="00AE5F1B" w:rsidRDefault="00B56301" w:rsidP="00B37B65">
            <w:pPr>
              <w:jc w:val="right"/>
              <w:rPr>
                <w:rFonts w:ascii="Times New Roman" w:hAnsi="Times New Roman"/>
                <w:sz w:val="18"/>
                <w:szCs w:val="18"/>
              </w:rPr>
            </w:pPr>
            <w:r>
              <w:rPr>
                <w:sz w:val="18"/>
                <w:szCs w:val="18"/>
              </w:rPr>
              <w:t>63,55</w:t>
            </w:r>
          </w:p>
        </w:tc>
        <w:tc>
          <w:tcPr>
            <w:tcW w:w="992" w:type="dxa"/>
            <w:tcBorders>
              <w:top w:val="nil"/>
              <w:left w:val="nil"/>
              <w:bottom w:val="single" w:sz="4" w:space="0" w:color="auto"/>
              <w:right w:val="single" w:sz="4" w:space="0" w:color="auto"/>
            </w:tcBorders>
            <w:shd w:val="clear" w:color="000000" w:fill="FFFFFF"/>
            <w:noWrap/>
            <w:vAlign w:val="bottom"/>
            <w:hideMark/>
          </w:tcPr>
          <w:p w14:paraId="1B08011B" w14:textId="77777777" w:rsidR="00B56301" w:rsidRPr="00AE5F1B" w:rsidRDefault="00B56301" w:rsidP="00B37B65">
            <w:pPr>
              <w:jc w:val="right"/>
              <w:rPr>
                <w:rFonts w:ascii="Times New Roman" w:hAnsi="Times New Roman"/>
                <w:sz w:val="18"/>
                <w:szCs w:val="18"/>
              </w:rPr>
            </w:pPr>
            <w:r>
              <w:rPr>
                <w:sz w:val="18"/>
                <w:szCs w:val="18"/>
              </w:rPr>
              <w:t>44,69</w:t>
            </w:r>
          </w:p>
        </w:tc>
      </w:tr>
      <w:tr w:rsidR="00B56301" w:rsidRPr="00AE5F1B" w14:paraId="3D07891F"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4D9E2D6A" w14:textId="11CCE827"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CCFFFF"/>
            <w:noWrap/>
            <w:vAlign w:val="bottom"/>
            <w:hideMark/>
          </w:tcPr>
          <w:p w14:paraId="48412289" w14:textId="77777777" w:rsidR="00B56301" w:rsidRPr="00AE5F1B" w:rsidRDefault="00B56301" w:rsidP="00B37B65">
            <w:pPr>
              <w:jc w:val="right"/>
              <w:rPr>
                <w:rFonts w:ascii="Times New Roman" w:hAnsi="Times New Roman"/>
                <w:sz w:val="18"/>
                <w:szCs w:val="18"/>
              </w:rPr>
            </w:pPr>
            <w:r>
              <w:rPr>
                <w:sz w:val="18"/>
                <w:szCs w:val="18"/>
              </w:rPr>
              <w:t>670,50</w:t>
            </w:r>
          </w:p>
        </w:tc>
        <w:tc>
          <w:tcPr>
            <w:tcW w:w="992" w:type="dxa"/>
            <w:tcBorders>
              <w:top w:val="nil"/>
              <w:left w:val="nil"/>
              <w:bottom w:val="single" w:sz="4" w:space="0" w:color="auto"/>
              <w:right w:val="single" w:sz="4" w:space="0" w:color="auto"/>
            </w:tcBorders>
            <w:shd w:val="clear" w:color="000000" w:fill="CCFFFF"/>
            <w:noWrap/>
            <w:vAlign w:val="bottom"/>
            <w:hideMark/>
          </w:tcPr>
          <w:p w14:paraId="05D6B23F" w14:textId="77777777" w:rsidR="00B56301" w:rsidRPr="00AE5F1B" w:rsidRDefault="00B56301" w:rsidP="00B37B65">
            <w:pPr>
              <w:jc w:val="right"/>
              <w:rPr>
                <w:rFonts w:ascii="Times New Roman" w:hAnsi="Times New Roman"/>
                <w:sz w:val="18"/>
                <w:szCs w:val="18"/>
              </w:rPr>
            </w:pPr>
            <w:r>
              <w:rPr>
                <w:sz w:val="18"/>
                <w:szCs w:val="18"/>
              </w:rPr>
              <w:t>615,88</w:t>
            </w:r>
          </w:p>
        </w:tc>
        <w:tc>
          <w:tcPr>
            <w:tcW w:w="992" w:type="dxa"/>
            <w:tcBorders>
              <w:top w:val="nil"/>
              <w:left w:val="nil"/>
              <w:bottom w:val="single" w:sz="4" w:space="0" w:color="auto"/>
              <w:right w:val="single" w:sz="4" w:space="0" w:color="auto"/>
            </w:tcBorders>
            <w:shd w:val="clear" w:color="000000" w:fill="CCFFFF"/>
            <w:noWrap/>
            <w:vAlign w:val="bottom"/>
            <w:hideMark/>
          </w:tcPr>
          <w:p w14:paraId="1880D183" w14:textId="77777777" w:rsidR="00B56301" w:rsidRPr="00AE5F1B" w:rsidRDefault="00B56301" w:rsidP="00B37B65">
            <w:pPr>
              <w:jc w:val="right"/>
              <w:rPr>
                <w:rFonts w:ascii="Times New Roman" w:hAnsi="Times New Roman"/>
                <w:sz w:val="18"/>
                <w:szCs w:val="18"/>
              </w:rPr>
            </w:pPr>
            <w:r>
              <w:rPr>
                <w:sz w:val="18"/>
                <w:szCs w:val="18"/>
              </w:rPr>
              <w:t>536,57</w:t>
            </w:r>
          </w:p>
        </w:tc>
        <w:tc>
          <w:tcPr>
            <w:tcW w:w="992" w:type="dxa"/>
            <w:tcBorders>
              <w:top w:val="nil"/>
              <w:left w:val="nil"/>
              <w:bottom w:val="single" w:sz="4" w:space="0" w:color="auto"/>
              <w:right w:val="single" w:sz="4" w:space="0" w:color="auto"/>
            </w:tcBorders>
            <w:shd w:val="clear" w:color="000000" w:fill="CCFFFF"/>
            <w:noWrap/>
            <w:vAlign w:val="bottom"/>
            <w:hideMark/>
          </w:tcPr>
          <w:p w14:paraId="20F25207" w14:textId="77777777" w:rsidR="00B56301" w:rsidRPr="00AE5F1B" w:rsidRDefault="00B56301" w:rsidP="00B37B65">
            <w:pPr>
              <w:jc w:val="right"/>
              <w:rPr>
                <w:rFonts w:ascii="Times New Roman" w:hAnsi="Times New Roman"/>
                <w:sz w:val="18"/>
                <w:szCs w:val="18"/>
              </w:rPr>
            </w:pPr>
            <w:r>
              <w:rPr>
                <w:sz w:val="18"/>
                <w:szCs w:val="18"/>
              </w:rPr>
              <w:t>666,01</w:t>
            </w:r>
          </w:p>
        </w:tc>
        <w:tc>
          <w:tcPr>
            <w:tcW w:w="992" w:type="dxa"/>
            <w:tcBorders>
              <w:top w:val="nil"/>
              <w:left w:val="nil"/>
              <w:bottom w:val="single" w:sz="4" w:space="0" w:color="auto"/>
              <w:right w:val="single" w:sz="4" w:space="0" w:color="auto"/>
            </w:tcBorders>
            <w:shd w:val="clear" w:color="000000" w:fill="CCFFFF"/>
            <w:noWrap/>
            <w:vAlign w:val="bottom"/>
            <w:hideMark/>
          </w:tcPr>
          <w:p w14:paraId="0B419C4E" w14:textId="77777777" w:rsidR="00B56301" w:rsidRPr="00AE5F1B" w:rsidRDefault="00B56301" w:rsidP="00B37B65">
            <w:pPr>
              <w:jc w:val="right"/>
              <w:rPr>
                <w:rFonts w:ascii="Times New Roman" w:hAnsi="Times New Roman"/>
                <w:sz w:val="18"/>
                <w:szCs w:val="18"/>
              </w:rPr>
            </w:pPr>
            <w:r>
              <w:rPr>
                <w:sz w:val="18"/>
                <w:szCs w:val="18"/>
              </w:rPr>
              <w:t>707,68</w:t>
            </w:r>
          </w:p>
        </w:tc>
        <w:tc>
          <w:tcPr>
            <w:tcW w:w="992" w:type="dxa"/>
            <w:tcBorders>
              <w:top w:val="nil"/>
              <w:left w:val="nil"/>
              <w:bottom w:val="single" w:sz="4" w:space="0" w:color="auto"/>
              <w:right w:val="single" w:sz="4" w:space="0" w:color="auto"/>
            </w:tcBorders>
            <w:shd w:val="clear" w:color="000000" w:fill="CCFFFF"/>
            <w:noWrap/>
            <w:vAlign w:val="bottom"/>
            <w:hideMark/>
          </w:tcPr>
          <w:p w14:paraId="6F1613EE" w14:textId="77777777" w:rsidR="00B56301" w:rsidRPr="00AE5F1B" w:rsidRDefault="00B56301" w:rsidP="00B37B65">
            <w:pPr>
              <w:jc w:val="right"/>
              <w:rPr>
                <w:rFonts w:ascii="Times New Roman" w:hAnsi="Times New Roman"/>
                <w:sz w:val="18"/>
                <w:szCs w:val="18"/>
              </w:rPr>
            </w:pPr>
            <w:r>
              <w:rPr>
                <w:sz w:val="18"/>
                <w:szCs w:val="18"/>
              </w:rPr>
              <w:t>676,73</w:t>
            </w:r>
          </w:p>
        </w:tc>
      </w:tr>
      <w:tr w:rsidR="00B56301" w:rsidRPr="00AE5F1B" w14:paraId="6518C8B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6524473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2" w:type="dxa"/>
            <w:tcBorders>
              <w:top w:val="nil"/>
              <w:left w:val="nil"/>
              <w:bottom w:val="single" w:sz="4" w:space="0" w:color="auto"/>
              <w:right w:val="single" w:sz="4" w:space="0" w:color="auto"/>
            </w:tcBorders>
            <w:shd w:val="clear" w:color="000000" w:fill="FFFFFF"/>
            <w:noWrap/>
            <w:vAlign w:val="bottom"/>
            <w:hideMark/>
          </w:tcPr>
          <w:p w14:paraId="3BCE25B0"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E8896B1"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90A08A1"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0F9B392"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666AD2E3"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B29290E" w14:textId="77777777" w:rsidR="00B56301" w:rsidRPr="00AE5F1B" w:rsidRDefault="00B56301" w:rsidP="00B37B65">
            <w:pPr>
              <w:jc w:val="right"/>
              <w:rPr>
                <w:rFonts w:ascii="Times New Roman" w:hAnsi="Times New Roman"/>
                <w:sz w:val="18"/>
                <w:szCs w:val="18"/>
              </w:rPr>
            </w:pPr>
            <w:r>
              <w:rPr>
                <w:sz w:val="18"/>
                <w:szCs w:val="18"/>
              </w:rPr>
              <w:t>0,01</w:t>
            </w:r>
          </w:p>
        </w:tc>
      </w:tr>
      <w:tr w:rsidR="00B56301" w:rsidRPr="00AE5F1B" w14:paraId="5E7795C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2D8EB0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56BD1726"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F2E0212"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3124149"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3E5F51B4"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69CE4B77" w14:textId="77777777" w:rsidR="00B56301" w:rsidRPr="00AE5F1B" w:rsidRDefault="00B56301" w:rsidP="00B37B65">
            <w:pPr>
              <w:jc w:val="right"/>
              <w:rPr>
                <w:rFonts w:ascii="Times New Roman" w:hAnsi="Times New Roman"/>
                <w:sz w:val="18"/>
                <w:szCs w:val="18"/>
              </w:rPr>
            </w:pPr>
            <w:r>
              <w:rPr>
                <w:sz w:val="18"/>
                <w:szCs w:val="18"/>
              </w:rPr>
              <w:t>0,01</w:t>
            </w:r>
          </w:p>
        </w:tc>
        <w:tc>
          <w:tcPr>
            <w:tcW w:w="992" w:type="dxa"/>
            <w:tcBorders>
              <w:top w:val="nil"/>
              <w:left w:val="nil"/>
              <w:bottom w:val="single" w:sz="4" w:space="0" w:color="auto"/>
              <w:right w:val="single" w:sz="4" w:space="0" w:color="auto"/>
            </w:tcBorders>
            <w:shd w:val="clear" w:color="000000" w:fill="FFFFFF"/>
            <w:noWrap/>
            <w:vAlign w:val="bottom"/>
            <w:hideMark/>
          </w:tcPr>
          <w:p w14:paraId="2A3215B5"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5151CAF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2CBA932B"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0CACAD38"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7DF397"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5F6D52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95CF9B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3EE4973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8988CB"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4E45608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9E3F27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2" w:type="dxa"/>
            <w:tcBorders>
              <w:top w:val="nil"/>
              <w:left w:val="nil"/>
              <w:bottom w:val="single" w:sz="4" w:space="0" w:color="auto"/>
              <w:right w:val="single" w:sz="4" w:space="0" w:color="auto"/>
            </w:tcBorders>
            <w:shd w:val="clear" w:color="000000" w:fill="FFFFFF"/>
            <w:noWrap/>
            <w:vAlign w:val="bottom"/>
            <w:hideMark/>
          </w:tcPr>
          <w:p w14:paraId="48D9BAC9"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3DF9F03"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14E428C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FFE4433"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8B187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B357E90"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64CD7F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694415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2" w:type="dxa"/>
            <w:tcBorders>
              <w:top w:val="nil"/>
              <w:left w:val="nil"/>
              <w:bottom w:val="single" w:sz="4" w:space="0" w:color="auto"/>
              <w:right w:val="single" w:sz="4" w:space="0" w:color="auto"/>
            </w:tcBorders>
            <w:shd w:val="clear" w:color="000000" w:fill="FFFFFF"/>
            <w:noWrap/>
            <w:vAlign w:val="bottom"/>
            <w:hideMark/>
          </w:tcPr>
          <w:p w14:paraId="109C09A4"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D2A9A4A"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66DEE2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72577117"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1F9A6E7A"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28D0030"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7AADFCC7"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D056D0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2" w:type="dxa"/>
            <w:tcBorders>
              <w:top w:val="nil"/>
              <w:left w:val="nil"/>
              <w:bottom w:val="single" w:sz="4" w:space="0" w:color="auto"/>
              <w:right w:val="single" w:sz="4" w:space="0" w:color="auto"/>
            </w:tcBorders>
            <w:shd w:val="clear" w:color="000000" w:fill="FFFFFF"/>
            <w:noWrap/>
            <w:vAlign w:val="bottom"/>
            <w:hideMark/>
          </w:tcPr>
          <w:p w14:paraId="5435928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642C977"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B37A934"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1631AF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20E3EE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91426C"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06C217A6"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7FC74C6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2" w:type="dxa"/>
            <w:tcBorders>
              <w:top w:val="nil"/>
              <w:left w:val="nil"/>
              <w:bottom w:val="single" w:sz="4" w:space="0" w:color="auto"/>
              <w:right w:val="single" w:sz="4" w:space="0" w:color="auto"/>
            </w:tcBorders>
            <w:shd w:val="clear" w:color="000000" w:fill="FFFFFF"/>
            <w:noWrap/>
            <w:vAlign w:val="bottom"/>
            <w:hideMark/>
          </w:tcPr>
          <w:p w14:paraId="1BCC3F2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59E91C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F4A7ED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7F1D7C0"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73EEB71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7F1EA9C"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2542CD5C"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5F11FEE3"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2" w:type="dxa"/>
            <w:tcBorders>
              <w:top w:val="nil"/>
              <w:left w:val="nil"/>
              <w:bottom w:val="single" w:sz="4" w:space="0" w:color="auto"/>
              <w:right w:val="single" w:sz="4" w:space="0" w:color="auto"/>
            </w:tcBorders>
            <w:shd w:val="clear" w:color="000000" w:fill="FFFFFF"/>
            <w:noWrap/>
            <w:vAlign w:val="bottom"/>
            <w:hideMark/>
          </w:tcPr>
          <w:p w14:paraId="506C4486"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48D9E6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802811A"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31F9851"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6E23150B"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2EB3AFD"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2888A8D2"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0ECD06E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2" w:type="dxa"/>
            <w:tcBorders>
              <w:top w:val="nil"/>
              <w:left w:val="nil"/>
              <w:bottom w:val="single" w:sz="4" w:space="0" w:color="auto"/>
              <w:right w:val="single" w:sz="4" w:space="0" w:color="auto"/>
            </w:tcBorders>
            <w:shd w:val="clear" w:color="000000" w:fill="FFFFFF"/>
            <w:noWrap/>
            <w:vAlign w:val="bottom"/>
            <w:hideMark/>
          </w:tcPr>
          <w:p w14:paraId="6A8ECCDE"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035651A5"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2186D71F"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4CF7923C"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0B1D6B2" w14:textId="77777777" w:rsidR="00B56301" w:rsidRPr="00AE5F1B" w:rsidRDefault="00B56301" w:rsidP="00B37B65">
            <w:pPr>
              <w:jc w:val="right"/>
              <w:rPr>
                <w:rFonts w:ascii="Times New Roman" w:hAnsi="Times New Roman"/>
                <w:sz w:val="18"/>
                <w:szCs w:val="18"/>
              </w:rPr>
            </w:pPr>
            <w:r>
              <w:rPr>
                <w:sz w:val="18"/>
                <w:szCs w:val="18"/>
              </w:rPr>
              <w:t>NO,IE,NA</w:t>
            </w:r>
          </w:p>
        </w:tc>
        <w:tc>
          <w:tcPr>
            <w:tcW w:w="992" w:type="dxa"/>
            <w:tcBorders>
              <w:top w:val="nil"/>
              <w:left w:val="nil"/>
              <w:bottom w:val="single" w:sz="4" w:space="0" w:color="auto"/>
              <w:right w:val="single" w:sz="4" w:space="0" w:color="auto"/>
            </w:tcBorders>
            <w:shd w:val="clear" w:color="000000" w:fill="FFFFFF"/>
            <w:noWrap/>
            <w:vAlign w:val="bottom"/>
            <w:hideMark/>
          </w:tcPr>
          <w:p w14:paraId="51864EC4" w14:textId="77777777" w:rsidR="00B56301" w:rsidRPr="00AE5F1B" w:rsidRDefault="00B56301" w:rsidP="00B37B65">
            <w:pPr>
              <w:jc w:val="right"/>
              <w:rPr>
                <w:rFonts w:ascii="Times New Roman" w:hAnsi="Times New Roman"/>
                <w:sz w:val="18"/>
                <w:szCs w:val="18"/>
              </w:rPr>
            </w:pPr>
            <w:r>
              <w:rPr>
                <w:sz w:val="18"/>
                <w:szCs w:val="18"/>
              </w:rPr>
              <w:t>NO,IE,NA</w:t>
            </w:r>
          </w:p>
        </w:tc>
      </w:tr>
      <w:tr w:rsidR="00B56301" w:rsidRPr="00AE5F1B" w14:paraId="737093D5"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1DC13E2F" w14:textId="7CF2D18B"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2" w:type="dxa"/>
            <w:tcBorders>
              <w:top w:val="nil"/>
              <w:left w:val="nil"/>
              <w:bottom w:val="single" w:sz="4" w:space="0" w:color="auto"/>
              <w:right w:val="single" w:sz="4" w:space="0" w:color="auto"/>
            </w:tcBorders>
            <w:shd w:val="clear" w:color="000000" w:fill="FFFFFF"/>
            <w:noWrap/>
            <w:vAlign w:val="bottom"/>
            <w:hideMark/>
          </w:tcPr>
          <w:p w14:paraId="197B45E7" w14:textId="77777777" w:rsidR="00B56301" w:rsidRPr="00AE5F1B" w:rsidRDefault="00B56301" w:rsidP="00B37B65">
            <w:pPr>
              <w:jc w:val="right"/>
              <w:rPr>
                <w:rFonts w:ascii="Times New Roman" w:hAnsi="Times New Roman"/>
                <w:sz w:val="18"/>
                <w:szCs w:val="18"/>
              </w:rPr>
            </w:pPr>
            <w:r>
              <w:rPr>
                <w:sz w:val="18"/>
                <w:szCs w:val="18"/>
              </w:rPr>
              <w:t>490,91</w:t>
            </w:r>
          </w:p>
        </w:tc>
        <w:tc>
          <w:tcPr>
            <w:tcW w:w="992" w:type="dxa"/>
            <w:tcBorders>
              <w:top w:val="nil"/>
              <w:left w:val="nil"/>
              <w:bottom w:val="single" w:sz="4" w:space="0" w:color="auto"/>
              <w:right w:val="single" w:sz="4" w:space="0" w:color="auto"/>
            </w:tcBorders>
            <w:shd w:val="clear" w:color="000000" w:fill="FFFFFF"/>
            <w:noWrap/>
            <w:vAlign w:val="bottom"/>
            <w:hideMark/>
          </w:tcPr>
          <w:p w14:paraId="29356491" w14:textId="77777777" w:rsidR="00B56301" w:rsidRPr="00AE5F1B" w:rsidRDefault="00B56301" w:rsidP="00B37B65">
            <w:pPr>
              <w:jc w:val="right"/>
              <w:rPr>
                <w:rFonts w:ascii="Times New Roman" w:hAnsi="Times New Roman"/>
                <w:sz w:val="18"/>
                <w:szCs w:val="18"/>
              </w:rPr>
            </w:pPr>
            <w:r>
              <w:rPr>
                <w:sz w:val="18"/>
                <w:szCs w:val="18"/>
              </w:rPr>
              <w:t>446,93</w:t>
            </w:r>
          </w:p>
        </w:tc>
        <w:tc>
          <w:tcPr>
            <w:tcW w:w="992" w:type="dxa"/>
            <w:tcBorders>
              <w:top w:val="nil"/>
              <w:left w:val="nil"/>
              <w:bottom w:val="single" w:sz="4" w:space="0" w:color="auto"/>
              <w:right w:val="single" w:sz="4" w:space="0" w:color="auto"/>
            </w:tcBorders>
            <w:shd w:val="clear" w:color="000000" w:fill="FFFFFF"/>
            <w:noWrap/>
            <w:vAlign w:val="bottom"/>
            <w:hideMark/>
          </w:tcPr>
          <w:p w14:paraId="005FEA9E" w14:textId="77777777" w:rsidR="00B56301" w:rsidRPr="00AE5F1B" w:rsidRDefault="00B56301" w:rsidP="00B37B65">
            <w:pPr>
              <w:jc w:val="right"/>
              <w:rPr>
                <w:rFonts w:ascii="Times New Roman" w:hAnsi="Times New Roman"/>
                <w:sz w:val="18"/>
                <w:szCs w:val="18"/>
              </w:rPr>
            </w:pPr>
            <w:r>
              <w:rPr>
                <w:sz w:val="18"/>
                <w:szCs w:val="18"/>
              </w:rPr>
              <w:t>401,87</w:t>
            </w:r>
          </w:p>
        </w:tc>
        <w:tc>
          <w:tcPr>
            <w:tcW w:w="992" w:type="dxa"/>
            <w:tcBorders>
              <w:top w:val="nil"/>
              <w:left w:val="nil"/>
              <w:bottom w:val="single" w:sz="4" w:space="0" w:color="auto"/>
              <w:right w:val="single" w:sz="4" w:space="0" w:color="auto"/>
            </w:tcBorders>
            <w:shd w:val="clear" w:color="000000" w:fill="FFFFFF"/>
            <w:noWrap/>
            <w:vAlign w:val="bottom"/>
            <w:hideMark/>
          </w:tcPr>
          <w:p w14:paraId="7AB85E00" w14:textId="77777777" w:rsidR="00B56301" w:rsidRPr="00AE5F1B" w:rsidRDefault="00B56301" w:rsidP="00B37B65">
            <w:pPr>
              <w:jc w:val="right"/>
              <w:rPr>
                <w:rFonts w:ascii="Times New Roman" w:hAnsi="Times New Roman"/>
                <w:sz w:val="18"/>
                <w:szCs w:val="18"/>
              </w:rPr>
            </w:pPr>
            <w:r>
              <w:rPr>
                <w:sz w:val="18"/>
                <w:szCs w:val="18"/>
              </w:rPr>
              <w:t>456,91</w:t>
            </w:r>
          </w:p>
        </w:tc>
        <w:tc>
          <w:tcPr>
            <w:tcW w:w="992" w:type="dxa"/>
            <w:tcBorders>
              <w:top w:val="nil"/>
              <w:left w:val="nil"/>
              <w:bottom w:val="single" w:sz="4" w:space="0" w:color="auto"/>
              <w:right w:val="single" w:sz="4" w:space="0" w:color="auto"/>
            </w:tcBorders>
            <w:shd w:val="clear" w:color="000000" w:fill="FFFFFF"/>
            <w:noWrap/>
            <w:vAlign w:val="bottom"/>
            <w:hideMark/>
          </w:tcPr>
          <w:p w14:paraId="0DFB2575" w14:textId="77777777" w:rsidR="00B56301" w:rsidRPr="00AE5F1B" w:rsidRDefault="00B56301" w:rsidP="00B37B65">
            <w:pPr>
              <w:jc w:val="right"/>
              <w:rPr>
                <w:rFonts w:ascii="Times New Roman" w:hAnsi="Times New Roman"/>
                <w:sz w:val="18"/>
                <w:szCs w:val="18"/>
              </w:rPr>
            </w:pPr>
            <w:r>
              <w:rPr>
                <w:sz w:val="18"/>
                <w:szCs w:val="18"/>
              </w:rPr>
              <w:t>551,56</w:t>
            </w:r>
          </w:p>
        </w:tc>
        <w:tc>
          <w:tcPr>
            <w:tcW w:w="992" w:type="dxa"/>
            <w:tcBorders>
              <w:top w:val="nil"/>
              <w:left w:val="nil"/>
              <w:bottom w:val="single" w:sz="4" w:space="0" w:color="auto"/>
              <w:right w:val="single" w:sz="4" w:space="0" w:color="auto"/>
            </w:tcBorders>
            <w:shd w:val="clear" w:color="000000" w:fill="FFFFFF"/>
            <w:noWrap/>
            <w:vAlign w:val="bottom"/>
            <w:hideMark/>
          </w:tcPr>
          <w:p w14:paraId="76D8BA50" w14:textId="77777777" w:rsidR="00B56301" w:rsidRPr="00AE5F1B" w:rsidRDefault="00B56301" w:rsidP="00B37B65">
            <w:pPr>
              <w:jc w:val="right"/>
              <w:rPr>
                <w:rFonts w:ascii="Times New Roman" w:hAnsi="Times New Roman"/>
                <w:sz w:val="18"/>
                <w:szCs w:val="18"/>
              </w:rPr>
            </w:pPr>
            <w:r>
              <w:rPr>
                <w:sz w:val="18"/>
                <w:szCs w:val="18"/>
              </w:rPr>
              <w:t>531,38</w:t>
            </w:r>
          </w:p>
        </w:tc>
      </w:tr>
      <w:tr w:rsidR="00B56301" w:rsidRPr="00AE5F1B" w14:paraId="5491C003"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hideMark/>
          </w:tcPr>
          <w:p w14:paraId="40E44D7D" w14:textId="2114BEE9"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117D78A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8B242C"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F75C9E"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DA8C874"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5F1EE6AD" w14:textId="77777777" w:rsidR="00B56301" w:rsidRPr="00AE5F1B"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F846133" w14:textId="77777777" w:rsidR="00B56301" w:rsidRPr="00AE5F1B" w:rsidRDefault="00B56301" w:rsidP="00B37B65">
            <w:pPr>
              <w:jc w:val="right"/>
              <w:rPr>
                <w:rFonts w:ascii="Times New Roman" w:hAnsi="Times New Roman"/>
                <w:sz w:val="18"/>
                <w:szCs w:val="18"/>
              </w:rPr>
            </w:pPr>
            <w:r>
              <w:rPr>
                <w:sz w:val="18"/>
                <w:szCs w:val="18"/>
              </w:rPr>
              <w:t>NO,NA</w:t>
            </w:r>
          </w:p>
        </w:tc>
      </w:tr>
      <w:tr w:rsidR="00B56301" w:rsidRPr="00AE5F1B" w14:paraId="4EF57551"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76800ECD" w14:textId="4824F5A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7F09F7">
              <w:rPr>
                <w:lang w:val="en-GB"/>
              </w:rPr>
              <w:t>SF</w:t>
            </w:r>
            <w:r w:rsidR="007F09F7" w:rsidRPr="007F09F7">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29C4B4E7" w14:textId="77777777" w:rsidR="00B56301" w:rsidRPr="00AE5F1B" w:rsidRDefault="00B56301" w:rsidP="00B37B65">
            <w:pPr>
              <w:jc w:val="right"/>
              <w:rPr>
                <w:rFonts w:ascii="Times New Roman" w:hAnsi="Times New Roman"/>
                <w:sz w:val="18"/>
                <w:szCs w:val="18"/>
              </w:rPr>
            </w:pPr>
            <w:r>
              <w:rPr>
                <w:sz w:val="18"/>
                <w:szCs w:val="18"/>
              </w:rPr>
              <w:t>583,57</w:t>
            </w:r>
          </w:p>
        </w:tc>
        <w:tc>
          <w:tcPr>
            <w:tcW w:w="992" w:type="dxa"/>
            <w:tcBorders>
              <w:top w:val="nil"/>
              <w:left w:val="nil"/>
              <w:bottom w:val="single" w:sz="4" w:space="0" w:color="auto"/>
              <w:right w:val="single" w:sz="4" w:space="0" w:color="auto"/>
            </w:tcBorders>
            <w:shd w:val="clear" w:color="000000" w:fill="CCFFFF"/>
            <w:noWrap/>
            <w:vAlign w:val="bottom"/>
            <w:hideMark/>
          </w:tcPr>
          <w:p w14:paraId="7A5CC114" w14:textId="77777777" w:rsidR="00B56301" w:rsidRPr="00AE5F1B" w:rsidRDefault="00B56301" w:rsidP="00B37B65">
            <w:pPr>
              <w:jc w:val="right"/>
              <w:rPr>
                <w:rFonts w:ascii="Times New Roman" w:hAnsi="Times New Roman"/>
                <w:sz w:val="18"/>
                <w:szCs w:val="18"/>
              </w:rPr>
            </w:pPr>
            <w:r>
              <w:rPr>
                <w:sz w:val="18"/>
                <w:szCs w:val="18"/>
              </w:rPr>
              <w:t>474,26</w:t>
            </w:r>
          </w:p>
        </w:tc>
        <w:tc>
          <w:tcPr>
            <w:tcW w:w="992" w:type="dxa"/>
            <w:tcBorders>
              <w:top w:val="nil"/>
              <w:left w:val="nil"/>
              <w:bottom w:val="single" w:sz="4" w:space="0" w:color="auto"/>
              <w:right w:val="single" w:sz="4" w:space="0" w:color="auto"/>
            </w:tcBorders>
            <w:shd w:val="clear" w:color="000000" w:fill="CCFFFF"/>
            <w:noWrap/>
            <w:vAlign w:val="bottom"/>
            <w:hideMark/>
          </w:tcPr>
          <w:p w14:paraId="53682130" w14:textId="77777777" w:rsidR="00B56301" w:rsidRPr="00AE5F1B" w:rsidRDefault="00B56301" w:rsidP="00B37B65">
            <w:pPr>
              <w:jc w:val="right"/>
              <w:rPr>
                <w:rFonts w:ascii="Times New Roman" w:hAnsi="Times New Roman"/>
                <w:sz w:val="18"/>
                <w:szCs w:val="18"/>
              </w:rPr>
            </w:pPr>
            <w:r>
              <w:rPr>
                <w:sz w:val="18"/>
                <w:szCs w:val="18"/>
              </w:rPr>
              <w:t>498,11</w:t>
            </w:r>
          </w:p>
        </w:tc>
        <w:tc>
          <w:tcPr>
            <w:tcW w:w="992" w:type="dxa"/>
            <w:tcBorders>
              <w:top w:val="nil"/>
              <w:left w:val="nil"/>
              <w:bottom w:val="single" w:sz="4" w:space="0" w:color="auto"/>
              <w:right w:val="single" w:sz="4" w:space="0" w:color="auto"/>
            </w:tcBorders>
            <w:shd w:val="clear" w:color="000000" w:fill="CCFFFF"/>
            <w:noWrap/>
            <w:vAlign w:val="bottom"/>
            <w:hideMark/>
          </w:tcPr>
          <w:p w14:paraId="5CCE1144" w14:textId="77777777" w:rsidR="00B56301" w:rsidRPr="00AE5F1B" w:rsidRDefault="00B56301" w:rsidP="00B37B65">
            <w:pPr>
              <w:jc w:val="right"/>
              <w:rPr>
                <w:rFonts w:ascii="Times New Roman" w:hAnsi="Times New Roman"/>
                <w:sz w:val="18"/>
                <w:szCs w:val="18"/>
              </w:rPr>
            </w:pPr>
            <w:r>
              <w:rPr>
                <w:sz w:val="18"/>
                <w:szCs w:val="18"/>
              </w:rPr>
              <w:t>506,58</w:t>
            </w:r>
          </w:p>
        </w:tc>
        <w:tc>
          <w:tcPr>
            <w:tcW w:w="992" w:type="dxa"/>
            <w:tcBorders>
              <w:top w:val="nil"/>
              <w:left w:val="nil"/>
              <w:bottom w:val="single" w:sz="4" w:space="0" w:color="auto"/>
              <w:right w:val="single" w:sz="4" w:space="0" w:color="auto"/>
            </w:tcBorders>
            <w:shd w:val="clear" w:color="000000" w:fill="CCFFFF"/>
            <w:noWrap/>
            <w:vAlign w:val="bottom"/>
            <w:hideMark/>
          </w:tcPr>
          <w:p w14:paraId="68794DF2" w14:textId="77777777" w:rsidR="00B56301" w:rsidRPr="00AE5F1B" w:rsidRDefault="00B56301" w:rsidP="00B37B65">
            <w:pPr>
              <w:jc w:val="right"/>
              <w:rPr>
                <w:rFonts w:ascii="Times New Roman" w:hAnsi="Times New Roman"/>
                <w:sz w:val="18"/>
                <w:szCs w:val="18"/>
              </w:rPr>
            </w:pPr>
            <w:r>
              <w:rPr>
                <w:sz w:val="18"/>
                <w:szCs w:val="18"/>
              </w:rPr>
              <w:t>461,05</w:t>
            </w:r>
          </w:p>
        </w:tc>
        <w:tc>
          <w:tcPr>
            <w:tcW w:w="992" w:type="dxa"/>
            <w:tcBorders>
              <w:top w:val="nil"/>
              <w:left w:val="nil"/>
              <w:bottom w:val="single" w:sz="4" w:space="0" w:color="auto"/>
              <w:right w:val="single" w:sz="4" w:space="0" w:color="auto"/>
            </w:tcBorders>
            <w:shd w:val="clear" w:color="000000" w:fill="CCFFFF"/>
            <w:noWrap/>
            <w:vAlign w:val="bottom"/>
            <w:hideMark/>
          </w:tcPr>
          <w:p w14:paraId="10B01A81" w14:textId="77777777" w:rsidR="00B56301" w:rsidRPr="00AE5F1B" w:rsidRDefault="00B56301" w:rsidP="00B37B65">
            <w:pPr>
              <w:jc w:val="right"/>
              <w:rPr>
                <w:rFonts w:ascii="Times New Roman" w:hAnsi="Times New Roman"/>
                <w:sz w:val="18"/>
                <w:szCs w:val="18"/>
              </w:rPr>
            </w:pPr>
            <w:r>
              <w:rPr>
                <w:sz w:val="18"/>
                <w:szCs w:val="18"/>
              </w:rPr>
              <w:t>432,82</w:t>
            </w:r>
          </w:p>
        </w:tc>
      </w:tr>
      <w:tr w:rsidR="00B56301" w:rsidRPr="00AE5F1B" w14:paraId="6694F8AF" w14:textId="77777777" w:rsidTr="00B37B65">
        <w:trPr>
          <w:trHeight w:val="68"/>
          <w:jc w:val="center"/>
        </w:trPr>
        <w:tc>
          <w:tcPr>
            <w:tcW w:w="3795" w:type="dxa"/>
            <w:tcBorders>
              <w:top w:val="single" w:sz="4" w:space="0" w:color="auto"/>
              <w:left w:val="single" w:sz="4" w:space="0" w:color="auto"/>
              <w:bottom w:val="nil"/>
              <w:right w:val="single" w:sz="4" w:space="0" w:color="auto"/>
            </w:tcBorders>
            <w:shd w:val="clear" w:color="000000" w:fill="CCFFFF"/>
            <w:vAlign w:val="center"/>
            <w:hideMark/>
          </w:tcPr>
          <w:p w14:paraId="39A295F1" w14:textId="6BF4B2B6"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2" w:type="dxa"/>
            <w:tcBorders>
              <w:top w:val="nil"/>
              <w:left w:val="single" w:sz="4" w:space="0" w:color="auto"/>
              <w:bottom w:val="single" w:sz="4" w:space="0" w:color="auto"/>
              <w:right w:val="single" w:sz="4" w:space="0" w:color="auto"/>
            </w:tcBorders>
            <w:shd w:val="clear" w:color="000000" w:fill="FFFFFF"/>
            <w:noWrap/>
            <w:vAlign w:val="bottom"/>
            <w:hideMark/>
          </w:tcPr>
          <w:p w14:paraId="2D5F1F82" w14:textId="77777777" w:rsidR="00B56301" w:rsidRPr="00AE5F1B" w:rsidRDefault="00B56301" w:rsidP="00B37B65">
            <w:pPr>
              <w:jc w:val="right"/>
              <w:rPr>
                <w:rFonts w:ascii="Times New Roman" w:hAnsi="Times New Roman"/>
                <w:sz w:val="18"/>
                <w:szCs w:val="18"/>
              </w:rPr>
            </w:pPr>
            <w:r>
              <w:rPr>
                <w:sz w:val="18"/>
                <w:szCs w:val="18"/>
              </w:rPr>
              <w:t>0,03</w:t>
            </w:r>
          </w:p>
        </w:tc>
        <w:tc>
          <w:tcPr>
            <w:tcW w:w="992" w:type="dxa"/>
            <w:tcBorders>
              <w:top w:val="nil"/>
              <w:left w:val="nil"/>
              <w:bottom w:val="single" w:sz="4" w:space="0" w:color="auto"/>
              <w:right w:val="single" w:sz="4" w:space="0" w:color="auto"/>
            </w:tcBorders>
            <w:shd w:val="clear" w:color="000000" w:fill="FFFFFF"/>
            <w:noWrap/>
            <w:vAlign w:val="bottom"/>
            <w:hideMark/>
          </w:tcPr>
          <w:p w14:paraId="354899B7"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3D3DD301"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7D498D2"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1F76066" w14:textId="77777777" w:rsidR="00B56301" w:rsidRPr="00AE5F1B" w:rsidRDefault="00B56301" w:rsidP="00B37B65">
            <w:pPr>
              <w:jc w:val="right"/>
              <w:rPr>
                <w:rFonts w:ascii="Times New Roman" w:hAnsi="Times New Roman"/>
                <w:sz w:val="18"/>
                <w:szCs w:val="18"/>
              </w:rPr>
            </w:pPr>
            <w:r>
              <w:rPr>
                <w:sz w:val="18"/>
                <w:szCs w:val="18"/>
              </w:rPr>
              <w:t>0,02</w:t>
            </w:r>
          </w:p>
        </w:tc>
        <w:tc>
          <w:tcPr>
            <w:tcW w:w="992" w:type="dxa"/>
            <w:tcBorders>
              <w:top w:val="nil"/>
              <w:left w:val="nil"/>
              <w:bottom w:val="single" w:sz="4" w:space="0" w:color="auto"/>
              <w:right w:val="single" w:sz="4" w:space="0" w:color="auto"/>
            </w:tcBorders>
            <w:shd w:val="clear" w:color="000000" w:fill="FFFFFF"/>
            <w:noWrap/>
            <w:vAlign w:val="bottom"/>
            <w:hideMark/>
          </w:tcPr>
          <w:p w14:paraId="0A39CDB3" w14:textId="77777777" w:rsidR="00B56301" w:rsidRPr="00AE5F1B" w:rsidRDefault="00B56301" w:rsidP="00B37B65">
            <w:pPr>
              <w:jc w:val="right"/>
              <w:rPr>
                <w:rFonts w:ascii="Times New Roman" w:hAnsi="Times New Roman"/>
                <w:sz w:val="18"/>
                <w:szCs w:val="18"/>
              </w:rPr>
            </w:pPr>
            <w:r>
              <w:rPr>
                <w:sz w:val="18"/>
                <w:szCs w:val="18"/>
              </w:rPr>
              <w:t>0,02</w:t>
            </w:r>
          </w:p>
        </w:tc>
      </w:tr>
      <w:tr w:rsidR="00B56301" w:rsidRPr="00AE5F1B" w14:paraId="57D64151" w14:textId="77777777" w:rsidTr="00B37B65">
        <w:trPr>
          <w:trHeight w:val="68"/>
          <w:jc w:val="center"/>
        </w:trPr>
        <w:tc>
          <w:tcPr>
            <w:tcW w:w="379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7C154C4B" w14:textId="5F6EF65F"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7F09F7">
              <w:rPr>
                <w:sz w:val="18"/>
                <w:lang w:val="en-GB"/>
              </w:rPr>
              <w:t>NF</w:t>
            </w:r>
            <w:r w:rsidR="007F09F7" w:rsidRPr="007F09F7">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2" w:type="dxa"/>
            <w:tcBorders>
              <w:top w:val="nil"/>
              <w:left w:val="nil"/>
              <w:bottom w:val="single" w:sz="4" w:space="0" w:color="auto"/>
              <w:right w:val="single" w:sz="4" w:space="0" w:color="auto"/>
            </w:tcBorders>
            <w:shd w:val="clear" w:color="000000" w:fill="CCFFFF"/>
            <w:noWrap/>
            <w:vAlign w:val="bottom"/>
            <w:hideMark/>
          </w:tcPr>
          <w:p w14:paraId="581CDE64" w14:textId="77777777" w:rsidR="00B56301" w:rsidRPr="00AE5F1B" w:rsidRDefault="00B56301" w:rsidP="00B37B65">
            <w:pPr>
              <w:jc w:val="right"/>
              <w:rPr>
                <w:rFonts w:ascii="Times New Roman" w:hAnsi="Times New Roman"/>
                <w:sz w:val="18"/>
                <w:szCs w:val="18"/>
              </w:rPr>
            </w:pPr>
            <w:r>
              <w:rPr>
                <w:sz w:val="18"/>
                <w:szCs w:val="18"/>
              </w:rPr>
              <w:t>10,63</w:t>
            </w:r>
          </w:p>
        </w:tc>
        <w:tc>
          <w:tcPr>
            <w:tcW w:w="992" w:type="dxa"/>
            <w:tcBorders>
              <w:top w:val="nil"/>
              <w:left w:val="nil"/>
              <w:bottom w:val="single" w:sz="4" w:space="0" w:color="auto"/>
              <w:right w:val="single" w:sz="4" w:space="0" w:color="auto"/>
            </w:tcBorders>
            <w:shd w:val="clear" w:color="000000" w:fill="CCFFFF"/>
            <w:noWrap/>
            <w:vAlign w:val="bottom"/>
            <w:hideMark/>
          </w:tcPr>
          <w:p w14:paraId="668C99FD" w14:textId="77777777" w:rsidR="00B56301" w:rsidRPr="00AE5F1B" w:rsidRDefault="00B56301" w:rsidP="00B37B65">
            <w:pPr>
              <w:jc w:val="right"/>
              <w:rPr>
                <w:rFonts w:ascii="Times New Roman" w:hAnsi="Times New Roman"/>
                <w:sz w:val="18"/>
                <w:szCs w:val="18"/>
              </w:rPr>
            </w:pPr>
            <w:r>
              <w:rPr>
                <w:sz w:val="18"/>
                <w:szCs w:val="18"/>
              </w:rPr>
              <w:t>6,37</w:t>
            </w:r>
          </w:p>
        </w:tc>
        <w:tc>
          <w:tcPr>
            <w:tcW w:w="992" w:type="dxa"/>
            <w:tcBorders>
              <w:top w:val="nil"/>
              <w:left w:val="nil"/>
              <w:bottom w:val="single" w:sz="4" w:space="0" w:color="auto"/>
              <w:right w:val="single" w:sz="4" w:space="0" w:color="auto"/>
            </w:tcBorders>
            <w:shd w:val="clear" w:color="000000" w:fill="CCFFFF"/>
            <w:noWrap/>
            <w:vAlign w:val="bottom"/>
            <w:hideMark/>
          </w:tcPr>
          <w:p w14:paraId="3AFC5BD2" w14:textId="77777777" w:rsidR="00B56301" w:rsidRPr="00AE5F1B" w:rsidRDefault="00B56301" w:rsidP="00B37B65">
            <w:pPr>
              <w:jc w:val="right"/>
              <w:rPr>
                <w:rFonts w:ascii="Times New Roman" w:hAnsi="Times New Roman"/>
                <w:sz w:val="18"/>
                <w:szCs w:val="18"/>
              </w:rPr>
            </w:pPr>
            <w:r>
              <w:rPr>
                <w:sz w:val="18"/>
                <w:szCs w:val="18"/>
              </w:rPr>
              <w:t>6,23</w:t>
            </w:r>
          </w:p>
        </w:tc>
        <w:tc>
          <w:tcPr>
            <w:tcW w:w="992" w:type="dxa"/>
            <w:tcBorders>
              <w:top w:val="nil"/>
              <w:left w:val="nil"/>
              <w:bottom w:val="single" w:sz="4" w:space="0" w:color="auto"/>
              <w:right w:val="single" w:sz="4" w:space="0" w:color="auto"/>
            </w:tcBorders>
            <w:shd w:val="clear" w:color="000000" w:fill="CCFFFF"/>
            <w:noWrap/>
            <w:vAlign w:val="bottom"/>
            <w:hideMark/>
          </w:tcPr>
          <w:p w14:paraId="7E5B6A1E" w14:textId="77777777" w:rsidR="00B56301" w:rsidRPr="00AE5F1B" w:rsidRDefault="00B56301" w:rsidP="00B37B65">
            <w:pPr>
              <w:jc w:val="right"/>
              <w:rPr>
                <w:rFonts w:ascii="Times New Roman" w:hAnsi="Times New Roman"/>
                <w:sz w:val="18"/>
                <w:szCs w:val="18"/>
              </w:rPr>
            </w:pPr>
            <w:r>
              <w:rPr>
                <w:sz w:val="18"/>
                <w:szCs w:val="18"/>
              </w:rPr>
              <w:t>5,84</w:t>
            </w:r>
          </w:p>
        </w:tc>
        <w:tc>
          <w:tcPr>
            <w:tcW w:w="992" w:type="dxa"/>
            <w:tcBorders>
              <w:top w:val="nil"/>
              <w:left w:val="nil"/>
              <w:bottom w:val="single" w:sz="4" w:space="0" w:color="auto"/>
              <w:right w:val="single" w:sz="4" w:space="0" w:color="auto"/>
            </w:tcBorders>
            <w:shd w:val="clear" w:color="000000" w:fill="CCFFFF"/>
            <w:noWrap/>
            <w:vAlign w:val="bottom"/>
            <w:hideMark/>
          </w:tcPr>
          <w:p w14:paraId="1402F125" w14:textId="77777777" w:rsidR="00B56301" w:rsidRPr="00AE5F1B" w:rsidRDefault="00B56301" w:rsidP="00B37B65">
            <w:pPr>
              <w:jc w:val="right"/>
              <w:rPr>
                <w:rFonts w:ascii="Times New Roman" w:hAnsi="Times New Roman"/>
                <w:sz w:val="18"/>
                <w:szCs w:val="18"/>
              </w:rPr>
            </w:pPr>
            <w:r>
              <w:rPr>
                <w:sz w:val="18"/>
                <w:szCs w:val="18"/>
              </w:rPr>
              <w:t>7,64</w:t>
            </w:r>
          </w:p>
        </w:tc>
        <w:tc>
          <w:tcPr>
            <w:tcW w:w="992" w:type="dxa"/>
            <w:tcBorders>
              <w:top w:val="nil"/>
              <w:left w:val="nil"/>
              <w:bottom w:val="single" w:sz="4" w:space="0" w:color="auto"/>
              <w:right w:val="single" w:sz="4" w:space="0" w:color="auto"/>
            </w:tcBorders>
            <w:shd w:val="clear" w:color="000000" w:fill="CCFFFF"/>
            <w:noWrap/>
            <w:vAlign w:val="bottom"/>
            <w:hideMark/>
          </w:tcPr>
          <w:p w14:paraId="4FE9CFD0" w14:textId="77777777" w:rsidR="00B56301" w:rsidRPr="00AE5F1B" w:rsidRDefault="00B56301" w:rsidP="00B37B65">
            <w:pPr>
              <w:jc w:val="right"/>
              <w:rPr>
                <w:rFonts w:ascii="Times New Roman" w:hAnsi="Times New Roman"/>
                <w:sz w:val="18"/>
                <w:szCs w:val="18"/>
              </w:rPr>
            </w:pPr>
            <w:r>
              <w:rPr>
                <w:sz w:val="18"/>
                <w:szCs w:val="18"/>
              </w:rPr>
              <w:t>12,25</w:t>
            </w:r>
          </w:p>
        </w:tc>
      </w:tr>
      <w:tr w:rsidR="00B56301" w:rsidRPr="00AE5F1B" w14:paraId="5358F724" w14:textId="77777777" w:rsidTr="00B37B65">
        <w:trPr>
          <w:trHeight w:val="68"/>
          <w:jc w:val="center"/>
        </w:trPr>
        <w:tc>
          <w:tcPr>
            <w:tcW w:w="3795" w:type="dxa"/>
            <w:tcBorders>
              <w:top w:val="nil"/>
              <w:left w:val="single" w:sz="4" w:space="0" w:color="auto"/>
              <w:bottom w:val="single" w:sz="4" w:space="0" w:color="auto"/>
              <w:right w:val="single" w:sz="4" w:space="0" w:color="auto"/>
            </w:tcBorders>
            <w:shd w:val="clear" w:color="000000" w:fill="CCFFFF"/>
            <w:vAlign w:val="center"/>
            <w:hideMark/>
          </w:tcPr>
          <w:p w14:paraId="5194A9B3" w14:textId="614DC030"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FFFFFF"/>
            <w:noWrap/>
            <w:vAlign w:val="bottom"/>
            <w:hideMark/>
          </w:tcPr>
          <w:p w14:paraId="4F3F19BC"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2CB15BE"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040DE8B4"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24A4EA3B"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65BA8CAF" w14:textId="77777777" w:rsidR="00B56301" w:rsidRPr="00AE5F1B" w:rsidRDefault="00B56301" w:rsidP="00B37B65">
            <w:pPr>
              <w:jc w:val="right"/>
              <w:rPr>
                <w:rFonts w:ascii="Times New Roman" w:hAnsi="Times New Roman"/>
                <w:sz w:val="18"/>
                <w:szCs w:val="18"/>
              </w:rPr>
            </w:pPr>
            <w:r>
              <w:rPr>
                <w:sz w:val="18"/>
                <w:szCs w:val="18"/>
              </w:rPr>
              <w:t>0,00</w:t>
            </w:r>
          </w:p>
        </w:tc>
        <w:tc>
          <w:tcPr>
            <w:tcW w:w="992" w:type="dxa"/>
            <w:tcBorders>
              <w:top w:val="nil"/>
              <w:left w:val="nil"/>
              <w:bottom w:val="single" w:sz="4" w:space="0" w:color="auto"/>
              <w:right w:val="single" w:sz="4" w:space="0" w:color="auto"/>
            </w:tcBorders>
            <w:shd w:val="clear" w:color="000000" w:fill="FFFFFF"/>
            <w:noWrap/>
            <w:vAlign w:val="bottom"/>
            <w:hideMark/>
          </w:tcPr>
          <w:p w14:paraId="40B3F8B4" w14:textId="77777777" w:rsidR="00B56301" w:rsidRPr="00AE5F1B" w:rsidRDefault="00B56301" w:rsidP="00B37B65">
            <w:pPr>
              <w:jc w:val="right"/>
              <w:rPr>
                <w:rFonts w:ascii="Times New Roman" w:hAnsi="Times New Roman"/>
                <w:sz w:val="18"/>
                <w:szCs w:val="18"/>
              </w:rPr>
            </w:pPr>
            <w:r>
              <w:rPr>
                <w:sz w:val="18"/>
                <w:szCs w:val="18"/>
              </w:rPr>
              <w:t>0,00</w:t>
            </w:r>
          </w:p>
        </w:tc>
      </w:tr>
    </w:tbl>
    <w:p w14:paraId="170E138C" w14:textId="77777777" w:rsidR="00B56301" w:rsidRDefault="00B56301" w:rsidP="00B56301">
      <w:pPr>
        <w:rPr>
          <w:rFonts w:cs="Arial"/>
        </w:rPr>
      </w:pPr>
    </w:p>
    <w:p w14:paraId="121091D1" w14:textId="77777777" w:rsidR="00B56301" w:rsidRDefault="00B56301" w:rsidP="00B56301">
      <w:pPr>
        <w:spacing w:line="240" w:lineRule="atLeast"/>
        <w:jc w:val="left"/>
        <w:rPr>
          <w:rFonts w:cs="Arial"/>
        </w:rPr>
      </w:pPr>
      <w:r>
        <w:rPr>
          <w:rFonts w:cs="Arial"/>
        </w:rPr>
        <w:br w:type="page"/>
      </w:r>
    </w:p>
    <w:tbl>
      <w:tblPr>
        <w:tblW w:w="7535" w:type="dxa"/>
        <w:jc w:val="center"/>
        <w:tblCellMar>
          <w:left w:w="70" w:type="dxa"/>
          <w:right w:w="70" w:type="dxa"/>
        </w:tblCellMar>
        <w:tblLook w:val="04A0" w:firstRow="1" w:lastRow="0" w:firstColumn="1" w:lastColumn="0" w:noHBand="0" w:noVBand="1"/>
      </w:tblPr>
      <w:tblGrid>
        <w:gridCol w:w="3801"/>
        <w:gridCol w:w="993"/>
        <w:gridCol w:w="993"/>
        <w:gridCol w:w="1748"/>
      </w:tblGrid>
      <w:tr w:rsidR="00B56301" w:rsidRPr="00833C38" w14:paraId="500F1505" w14:textId="77777777" w:rsidTr="00B37B65">
        <w:trPr>
          <w:trHeight w:val="68"/>
          <w:jc w:val="center"/>
        </w:trPr>
        <w:tc>
          <w:tcPr>
            <w:tcW w:w="3801"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B6BBFF" w14:textId="77777777" w:rsidR="00B56301" w:rsidRPr="00AE5F1B" w:rsidRDefault="00B56301" w:rsidP="00B37B65">
            <w:pPr>
              <w:jc w:val="center"/>
              <w:rPr>
                <w:rFonts w:ascii="Times New Roman" w:hAnsi="Times New Roman"/>
                <w:b/>
                <w:bCs/>
                <w:sz w:val="20"/>
                <w:szCs w:val="18"/>
                <w:lang w:val="en-GB"/>
              </w:rPr>
            </w:pPr>
            <w:r w:rsidRPr="00AE5F1B">
              <w:rPr>
                <w:rFonts w:ascii="Times New Roman" w:hAnsi="Times New Roman"/>
                <w:b/>
                <w:bCs/>
                <w:sz w:val="20"/>
                <w:szCs w:val="18"/>
                <w:lang w:val="en-GB"/>
              </w:rPr>
              <w:t>GREENHOUSE GAS SOURCE AND SINK CATEGORIES</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D56DA8A"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2019</w:t>
            </w:r>
          </w:p>
        </w:tc>
        <w:tc>
          <w:tcPr>
            <w:tcW w:w="993" w:type="dxa"/>
            <w:tcBorders>
              <w:top w:val="single" w:sz="4" w:space="0" w:color="auto"/>
              <w:left w:val="nil"/>
              <w:bottom w:val="single" w:sz="4" w:space="0" w:color="auto"/>
              <w:right w:val="single" w:sz="4" w:space="0" w:color="auto"/>
            </w:tcBorders>
            <w:shd w:val="clear" w:color="000000" w:fill="CCFFFF"/>
            <w:noWrap/>
            <w:vAlign w:val="center"/>
            <w:hideMark/>
          </w:tcPr>
          <w:p w14:paraId="280A9CC0" w14:textId="77777777" w:rsidR="00B56301" w:rsidRPr="00AE5F1B" w:rsidRDefault="00B56301" w:rsidP="00B37B65">
            <w:pPr>
              <w:jc w:val="center"/>
              <w:rPr>
                <w:rFonts w:ascii="Times New Roman" w:hAnsi="Times New Roman"/>
                <w:b/>
                <w:bCs/>
                <w:sz w:val="18"/>
                <w:szCs w:val="18"/>
              </w:rPr>
            </w:pPr>
            <w:r>
              <w:rPr>
                <w:rFonts w:ascii="Times New Roman" w:hAnsi="Times New Roman"/>
                <w:b/>
                <w:bCs/>
                <w:sz w:val="18"/>
                <w:szCs w:val="18"/>
              </w:rPr>
              <w:t>2020</w:t>
            </w:r>
          </w:p>
        </w:tc>
        <w:tc>
          <w:tcPr>
            <w:tcW w:w="1748" w:type="dxa"/>
            <w:tcBorders>
              <w:top w:val="single" w:sz="4" w:space="0" w:color="auto"/>
              <w:left w:val="nil"/>
              <w:bottom w:val="single" w:sz="4" w:space="0" w:color="auto"/>
              <w:right w:val="single" w:sz="4" w:space="0" w:color="auto"/>
            </w:tcBorders>
            <w:shd w:val="clear" w:color="000000" w:fill="CCFFFF"/>
            <w:noWrap/>
            <w:vAlign w:val="center"/>
            <w:hideMark/>
          </w:tcPr>
          <w:p w14:paraId="3A2C4991" w14:textId="77777777" w:rsidR="00B56301" w:rsidRPr="005A16E3" w:rsidRDefault="00B56301" w:rsidP="00B37B65">
            <w:pPr>
              <w:jc w:val="center"/>
              <w:rPr>
                <w:rFonts w:ascii="Times New Roman" w:hAnsi="Times New Roman"/>
                <w:b/>
                <w:bCs/>
                <w:sz w:val="18"/>
                <w:szCs w:val="18"/>
                <w:lang w:val="en-GB"/>
              </w:rPr>
            </w:pPr>
            <w:r w:rsidRPr="005A16E3">
              <w:rPr>
                <w:b/>
                <w:bCs/>
                <w:sz w:val="18"/>
                <w:szCs w:val="18"/>
                <w:lang w:val="en-GB"/>
              </w:rPr>
              <w:t>Change from base to latest reported year</w:t>
            </w:r>
            <w:r>
              <w:rPr>
                <w:rFonts w:ascii="Times New Roman" w:hAnsi="Times New Roman"/>
                <w:b/>
                <w:bCs/>
                <w:sz w:val="18"/>
                <w:szCs w:val="18"/>
                <w:lang w:val="en-GB"/>
              </w:rPr>
              <w:t xml:space="preserve"> (%)</w:t>
            </w:r>
          </w:p>
        </w:tc>
      </w:tr>
      <w:tr w:rsidR="00B56301" w:rsidRPr="00AE5F1B" w14:paraId="641A3FB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6DA63662" w14:textId="4CF03FE3"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and PFCs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C813814" w14:textId="77777777" w:rsidR="00B56301" w:rsidRPr="00AE5F1B" w:rsidRDefault="00B56301" w:rsidP="00B37B65">
            <w:pPr>
              <w:jc w:val="right"/>
              <w:rPr>
                <w:rFonts w:ascii="Times New Roman" w:hAnsi="Times New Roman"/>
                <w:sz w:val="18"/>
                <w:szCs w:val="18"/>
              </w:rPr>
            </w:pPr>
            <w:r>
              <w:rPr>
                <w:sz w:val="18"/>
                <w:szCs w:val="18"/>
              </w:rPr>
              <w:t>13607,82</w:t>
            </w:r>
          </w:p>
        </w:tc>
        <w:tc>
          <w:tcPr>
            <w:tcW w:w="993" w:type="dxa"/>
            <w:tcBorders>
              <w:top w:val="single" w:sz="4" w:space="0" w:color="auto"/>
              <w:left w:val="nil"/>
              <w:bottom w:val="single" w:sz="4" w:space="0" w:color="auto"/>
              <w:right w:val="single" w:sz="4" w:space="0" w:color="auto"/>
            </w:tcBorders>
            <w:shd w:val="clear" w:color="000000" w:fill="CCFFFF"/>
            <w:noWrap/>
            <w:vAlign w:val="bottom"/>
            <w:hideMark/>
          </w:tcPr>
          <w:p w14:paraId="24510F17" w14:textId="77777777" w:rsidR="00B56301" w:rsidRPr="00AE5F1B" w:rsidRDefault="00B56301" w:rsidP="00B37B65">
            <w:pPr>
              <w:jc w:val="right"/>
              <w:rPr>
                <w:rFonts w:ascii="Times New Roman" w:hAnsi="Times New Roman"/>
                <w:sz w:val="18"/>
                <w:szCs w:val="18"/>
              </w:rPr>
            </w:pPr>
            <w:r>
              <w:rPr>
                <w:sz w:val="18"/>
                <w:szCs w:val="18"/>
              </w:rPr>
              <w:t>12278,82</w:t>
            </w:r>
          </w:p>
        </w:tc>
        <w:tc>
          <w:tcPr>
            <w:tcW w:w="1748" w:type="dxa"/>
            <w:tcBorders>
              <w:top w:val="single" w:sz="4" w:space="0" w:color="auto"/>
              <w:left w:val="nil"/>
              <w:bottom w:val="single" w:sz="4" w:space="0" w:color="auto"/>
              <w:right w:val="single" w:sz="4" w:space="0" w:color="auto"/>
            </w:tcBorders>
            <w:shd w:val="clear" w:color="000000" w:fill="CCFFFF"/>
            <w:noWrap/>
            <w:vAlign w:val="bottom"/>
            <w:hideMark/>
          </w:tcPr>
          <w:p w14:paraId="54BCA532" w14:textId="77777777" w:rsidR="00B56301" w:rsidRPr="00AE5F1B" w:rsidRDefault="00B56301" w:rsidP="00B37B65">
            <w:pPr>
              <w:jc w:val="right"/>
              <w:rPr>
                <w:rFonts w:ascii="Times New Roman" w:hAnsi="Times New Roman"/>
                <w:sz w:val="18"/>
                <w:szCs w:val="18"/>
              </w:rPr>
            </w:pPr>
            <w:r>
              <w:rPr>
                <w:sz w:val="18"/>
                <w:szCs w:val="18"/>
              </w:rPr>
              <w:t>27,84</w:t>
            </w:r>
          </w:p>
        </w:tc>
      </w:tr>
      <w:tr w:rsidR="00B56301" w:rsidRPr="00AE5F1B" w14:paraId="2573DE9C" w14:textId="77777777" w:rsidTr="00B37B65">
        <w:trPr>
          <w:trHeight w:val="68"/>
          <w:jc w:val="center"/>
        </w:trPr>
        <w:tc>
          <w:tcPr>
            <w:tcW w:w="3801" w:type="dxa"/>
            <w:tcBorders>
              <w:top w:val="nil"/>
              <w:left w:val="single" w:sz="4" w:space="0" w:color="auto"/>
              <w:bottom w:val="nil"/>
              <w:right w:val="single" w:sz="4" w:space="0" w:color="auto"/>
            </w:tcBorders>
            <w:shd w:val="clear" w:color="000000" w:fill="CCFFFF"/>
            <w:vAlign w:val="center"/>
            <w:hideMark/>
          </w:tcPr>
          <w:p w14:paraId="5E0B0D12" w14:textId="37CFC0DB"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HFCs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3" w:type="dxa"/>
            <w:tcBorders>
              <w:top w:val="nil"/>
              <w:left w:val="single" w:sz="4" w:space="0" w:color="auto"/>
              <w:bottom w:val="single" w:sz="4" w:space="0" w:color="auto"/>
              <w:right w:val="single" w:sz="4" w:space="0" w:color="auto"/>
            </w:tcBorders>
            <w:shd w:val="clear" w:color="000000" w:fill="CCFFFF"/>
            <w:noWrap/>
            <w:vAlign w:val="bottom"/>
            <w:hideMark/>
          </w:tcPr>
          <w:p w14:paraId="69015137" w14:textId="77777777" w:rsidR="00B56301" w:rsidRPr="00AE5F1B" w:rsidRDefault="00B56301" w:rsidP="00B37B65">
            <w:pPr>
              <w:jc w:val="right"/>
              <w:rPr>
                <w:rFonts w:ascii="Times New Roman" w:hAnsi="Times New Roman"/>
                <w:sz w:val="18"/>
                <w:szCs w:val="18"/>
              </w:rPr>
            </w:pPr>
            <w:r>
              <w:rPr>
                <w:sz w:val="18"/>
                <w:szCs w:val="18"/>
              </w:rPr>
              <w:t>12992,42</w:t>
            </w:r>
          </w:p>
        </w:tc>
        <w:tc>
          <w:tcPr>
            <w:tcW w:w="993" w:type="dxa"/>
            <w:tcBorders>
              <w:top w:val="nil"/>
              <w:left w:val="nil"/>
              <w:bottom w:val="single" w:sz="4" w:space="0" w:color="auto"/>
              <w:right w:val="single" w:sz="4" w:space="0" w:color="auto"/>
            </w:tcBorders>
            <w:shd w:val="clear" w:color="000000" w:fill="CCFFFF"/>
            <w:noWrap/>
            <w:vAlign w:val="bottom"/>
            <w:hideMark/>
          </w:tcPr>
          <w:p w14:paraId="72959779" w14:textId="77777777" w:rsidR="00B56301" w:rsidRPr="00AE5F1B" w:rsidRDefault="00B56301" w:rsidP="00B37B65">
            <w:pPr>
              <w:jc w:val="right"/>
              <w:rPr>
                <w:rFonts w:ascii="Times New Roman" w:hAnsi="Times New Roman"/>
                <w:sz w:val="18"/>
                <w:szCs w:val="18"/>
              </w:rPr>
            </w:pPr>
            <w:r>
              <w:rPr>
                <w:sz w:val="18"/>
                <w:szCs w:val="18"/>
              </w:rPr>
              <w:t>11735,32</w:t>
            </w:r>
          </w:p>
        </w:tc>
        <w:tc>
          <w:tcPr>
            <w:tcW w:w="1748" w:type="dxa"/>
            <w:tcBorders>
              <w:top w:val="nil"/>
              <w:left w:val="nil"/>
              <w:bottom w:val="single" w:sz="4" w:space="0" w:color="auto"/>
              <w:right w:val="single" w:sz="4" w:space="0" w:color="auto"/>
            </w:tcBorders>
            <w:shd w:val="clear" w:color="000000" w:fill="CCFFFF"/>
            <w:noWrap/>
            <w:vAlign w:val="bottom"/>
            <w:hideMark/>
          </w:tcPr>
          <w:p w14:paraId="6FE0FDC2" w14:textId="77777777" w:rsidR="00B56301" w:rsidRPr="00AE5F1B" w:rsidRDefault="00B56301" w:rsidP="00B37B65">
            <w:pPr>
              <w:jc w:val="right"/>
              <w:rPr>
                <w:rFonts w:ascii="Times New Roman" w:hAnsi="Times New Roman"/>
                <w:sz w:val="18"/>
                <w:szCs w:val="18"/>
              </w:rPr>
            </w:pPr>
            <w:r>
              <w:rPr>
                <w:sz w:val="18"/>
                <w:szCs w:val="18"/>
              </w:rPr>
              <w:t>166,58</w:t>
            </w:r>
          </w:p>
        </w:tc>
      </w:tr>
      <w:tr w:rsidR="00B56301" w:rsidRPr="00AE5F1B" w14:paraId="40772CC3"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hideMark/>
          </w:tcPr>
          <w:p w14:paraId="692FC62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w:t>
            </w:r>
          </w:p>
        </w:tc>
        <w:tc>
          <w:tcPr>
            <w:tcW w:w="993" w:type="dxa"/>
            <w:tcBorders>
              <w:top w:val="nil"/>
              <w:left w:val="nil"/>
              <w:bottom w:val="single" w:sz="4" w:space="0" w:color="auto"/>
              <w:right w:val="single" w:sz="4" w:space="0" w:color="auto"/>
            </w:tcBorders>
            <w:shd w:val="clear" w:color="000000" w:fill="FFFFFF"/>
            <w:noWrap/>
            <w:vAlign w:val="bottom"/>
            <w:hideMark/>
          </w:tcPr>
          <w:p w14:paraId="68D100C8" w14:textId="77777777" w:rsidR="00B56301" w:rsidRPr="00AE5F1B" w:rsidRDefault="00B56301" w:rsidP="00B37B65">
            <w:pPr>
              <w:jc w:val="right"/>
              <w:rPr>
                <w:rFonts w:ascii="Times New Roman" w:hAnsi="Times New Roman"/>
                <w:sz w:val="18"/>
                <w:szCs w:val="18"/>
              </w:rPr>
            </w:pPr>
            <w:r>
              <w:rPr>
                <w:sz w:val="18"/>
                <w:szCs w:val="18"/>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3517F138" w14:textId="77777777" w:rsidR="00B56301" w:rsidRPr="00AE5F1B" w:rsidRDefault="00B56301" w:rsidP="00B37B65">
            <w:pPr>
              <w:jc w:val="right"/>
              <w:rPr>
                <w:rFonts w:ascii="Times New Roman" w:hAnsi="Times New Roman"/>
                <w:sz w:val="18"/>
                <w:szCs w:val="18"/>
              </w:rPr>
            </w:pPr>
            <w:r>
              <w:rPr>
                <w:sz w:val="18"/>
                <w:szCs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728DAEC8" w14:textId="77777777" w:rsidR="00B56301" w:rsidRPr="00AE5F1B" w:rsidRDefault="00B56301" w:rsidP="00B37B65">
            <w:pPr>
              <w:jc w:val="right"/>
              <w:rPr>
                <w:rFonts w:ascii="Times New Roman" w:hAnsi="Times New Roman"/>
                <w:sz w:val="18"/>
                <w:szCs w:val="18"/>
              </w:rPr>
            </w:pPr>
            <w:r>
              <w:rPr>
                <w:sz w:val="18"/>
                <w:szCs w:val="18"/>
              </w:rPr>
              <w:t>-97,03</w:t>
            </w:r>
          </w:p>
        </w:tc>
      </w:tr>
      <w:tr w:rsidR="00B56301" w:rsidRPr="00AE5F1B" w14:paraId="63156CA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6FD034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HFC-32</w:t>
            </w:r>
          </w:p>
        </w:tc>
        <w:tc>
          <w:tcPr>
            <w:tcW w:w="993" w:type="dxa"/>
            <w:tcBorders>
              <w:top w:val="nil"/>
              <w:left w:val="nil"/>
              <w:bottom w:val="single" w:sz="4" w:space="0" w:color="auto"/>
              <w:right w:val="single" w:sz="4" w:space="0" w:color="auto"/>
            </w:tcBorders>
            <w:shd w:val="clear" w:color="000000" w:fill="FFFFFF"/>
            <w:noWrap/>
            <w:vAlign w:val="bottom"/>
            <w:hideMark/>
          </w:tcPr>
          <w:p w14:paraId="23740E8B" w14:textId="77777777" w:rsidR="00B56301" w:rsidRPr="00AE5F1B" w:rsidRDefault="00B56301" w:rsidP="00B37B65">
            <w:pPr>
              <w:jc w:val="right"/>
              <w:rPr>
                <w:rFonts w:ascii="Times New Roman" w:hAnsi="Times New Roman"/>
                <w:sz w:val="18"/>
                <w:szCs w:val="18"/>
              </w:rPr>
            </w:pPr>
            <w:r>
              <w:rPr>
                <w:sz w:val="18"/>
                <w:szCs w:val="18"/>
              </w:rPr>
              <w:t>0,75</w:t>
            </w:r>
          </w:p>
        </w:tc>
        <w:tc>
          <w:tcPr>
            <w:tcW w:w="993" w:type="dxa"/>
            <w:tcBorders>
              <w:top w:val="nil"/>
              <w:left w:val="nil"/>
              <w:bottom w:val="single" w:sz="4" w:space="0" w:color="auto"/>
              <w:right w:val="single" w:sz="4" w:space="0" w:color="auto"/>
            </w:tcBorders>
            <w:shd w:val="clear" w:color="000000" w:fill="FFFFFF"/>
            <w:noWrap/>
            <w:vAlign w:val="bottom"/>
            <w:hideMark/>
          </w:tcPr>
          <w:p w14:paraId="365EAA1C" w14:textId="77777777" w:rsidR="00B56301" w:rsidRPr="00AE5F1B" w:rsidRDefault="00B56301" w:rsidP="00B37B65">
            <w:pPr>
              <w:jc w:val="right"/>
              <w:rPr>
                <w:rFonts w:ascii="Times New Roman" w:hAnsi="Times New Roman"/>
                <w:sz w:val="18"/>
                <w:szCs w:val="18"/>
              </w:rPr>
            </w:pPr>
            <w:r>
              <w:rPr>
                <w:sz w:val="18"/>
                <w:szCs w:val="18"/>
              </w:rPr>
              <w:t>0,80</w:t>
            </w:r>
          </w:p>
        </w:tc>
        <w:tc>
          <w:tcPr>
            <w:tcW w:w="1748" w:type="dxa"/>
            <w:tcBorders>
              <w:top w:val="nil"/>
              <w:left w:val="nil"/>
              <w:bottom w:val="single" w:sz="4" w:space="0" w:color="auto"/>
              <w:right w:val="single" w:sz="4" w:space="0" w:color="auto"/>
            </w:tcBorders>
            <w:shd w:val="clear" w:color="000000" w:fill="FFFFFF"/>
            <w:noWrap/>
            <w:vAlign w:val="bottom"/>
            <w:hideMark/>
          </w:tcPr>
          <w:p w14:paraId="68B0D62D"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5FDE675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47F69A5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HFC-41</w:t>
            </w:r>
          </w:p>
        </w:tc>
        <w:tc>
          <w:tcPr>
            <w:tcW w:w="993" w:type="dxa"/>
            <w:tcBorders>
              <w:top w:val="nil"/>
              <w:left w:val="nil"/>
              <w:bottom w:val="single" w:sz="4" w:space="0" w:color="auto"/>
              <w:right w:val="single" w:sz="4" w:space="0" w:color="auto"/>
            </w:tcBorders>
            <w:shd w:val="clear" w:color="000000" w:fill="FFFFFF"/>
            <w:noWrap/>
            <w:vAlign w:val="bottom"/>
            <w:hideMark/>
          </w:tcPr>
          <w:p w14:paraId="5A8ABFC2"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7EB675F"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3CE95E96"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2DDF82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30A14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HFC-43-10mee</w:t>
            </w:r>
          </w:p>
        </w:tc>
        <w:tc>
          <w:tcPr>
            <w:tcW w:w="993" w:type="dxa"/>
            <w:tcBorders>
              <w:top w:val="nil"/>
              <w:left w:val="nil"/>
              <w:bottom w:val="single" w:sz="4" w:space="0" w:color="auto"/>
              <w:right w:val="single" w:sz="4" w:space="0" w:color="auto"/>
            </w:tcBorders>
            <w:shd w:val="clear" w:color="000000" w:fill="FFFFFF"/>
            <w:noWrap/>
            <w:vAlign w:val="bottom"/>
            <w:hideMark/>
          </w:tcPr>
          <w:p w14:paraId="4EA7B446"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2BBC3F7"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485988BC"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730479E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99237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HFC-125</w:t>
            </w:r>
          </w:p>
        </w:tc>
        <w:tc>
          <w:tcPr>
            <w:tcW w:w="993" w:type="dxa"/>
            <w:tcBorders>
              <w:top w:val="nil"/>
              <w:left w:val="nil"/>
              <w:bottom w:val="single" w:sz="4" w:space="0" w:color="auto"/>
              <w:right w:val="single" w:sz="4" w:space="0" w:color="auto"/>
            </w:tcBorders>
            <w:shd w:val="clear" w:color="000000" w:fill="FFFFFF"/>
            <w:noWrap/>
            <w:vAlign w:val="bottom"/>
            <w:hideMark/>
          </w:tcPr>
          <w:p w14:paraId="77F28BD5" w14:textId="77777777" w:rsidR="00B56301" w:rsidRPr="00AE5F1B" w:rsidRDefault="00B56301" w:rsidP="00B37B65">
            <w:pPr>
              <w:jc w:val="right"/>
              <w:rPr>
                <w:rFonts w:ascii="Times New Roman" w:hAnsi="Times New Roman"/>
                <w:sz w:val="18"/>
                <w:szCs w:val="18"/>
              </w:rPr>
            </w:pPr>
            <w:r>
              <w:rPr>
                <w:sz w:val="18"/>
                <w:szCs w:val="18"/>
              </w:rPr>
              <w:t>1,27</w:t>
            </w:r>
          </w:p>
        </w:tc>
        <w:tc>
          <w:tcPr>
            <w:tcW w:w="993" w:type="dxa"/>
            <w:tcBorders>
              <w:top w:val="nil"/>
              <w:left w:val="nil"/>
              <w:bottom w:val="single" w:sz="4" w:space="0" w:color="auto"/>
              <w:right w:val="single" w:sz="4" w:space="0" w:color="auto"/>
            </w:tcBorders>
            <w:shd w:val="clear" w:color="000000" w:fill="FFFFFF"/>
            <w:noWrap/>
            <w:vAlign w:val="bottom"/>
            <w:hideMark/>
          </w:tcPr>
          <w:p w14:paraId="2EEB511B" w14:textId="77777777" w:rsidR="00B56301" w:rsidRPr="00AE5F1B" w:rsidRDefault="00B56301" w:rsidP="00B37B65">
            <w:pPr>
              <w:jc w:val="right"/>
              <w:rPr>
                <w:rFonts w:ascii="Times New Roman" w:hAnsi="Times New Roman"/>
                <w:sz w:val="18"/>
                <w:szCs w:val="18"/>
              </w:rPr>
            </w:pPr>
            <w:r>
              <w:rPr>
                <w:sz w:val="18"/>
                <w:szCs w:val="18"/>
              </w:rPr>
              <w:t>1,17</w:t>
            </w:r>
          </w:p>
        </w:tc>
        <w:tc>
          <w:tcPr>
            <w:tcW w:w="1748" w:type="dxa"/>
            <w:tcBorders>
              <w:top w:val="nil"/>
              <w:left w:val="nil"/>
              <w:bottom w:val="single" w:sz="4" w:space="0" w:color="auto"/>
              <w:right w:val="single" w:sz="4" w:space="0" w:color="auto"/>
            </w:tcBorders>
            <w:shd w:val="clear" w:color="000000" w:fill="FFFFFF"/>
            <w:noWrap/>
            <w:vAlign w:val="bottom"/>
            <w:hideMark/>
          </w:tcPr>
          <w:p w14:paraId="149353D9" w14:textId="77777777" w:rsidR="00B56301" w:rsidRPr="00AE5F1B" w:rsidRDefault="00B56301" w:rsidP="00B37B65">
            <w:pPr>
              <w:jc w:val="right"/>
              <w:rPr>
                <w:rFonts w:ascii="Times New Roman" w:hAnsi="Times New Roman"/>
                <w:sz w:val="18"/>
                <w:szCs w:val="18"/>
              </w:rPr>
            </w:pPr>
            <w:r>
              <w:rPr>
                <w:sz w:val="18"/>
                <w:szCs w:val="18"/>
              </w:rPr>
              <w:t>13514,17</w:t>
            </w:r>
          </w:p>
        </w:tc>
      </w:tr>
      <w:tr w:rsidR="00B56301" w:rsidRPr="00AE5F1B" w14:paraId="4E334D2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DC59D7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w:t>
            </w:r>
          </w:p>
        </w:tc>
        <w:tc>
          <w:tcPr>
            <w:tcW w:w="993" w:type="dxa"/>
            <w:tcBorders>
              <w:top w:val="nil"/>
              <w:left w:val="nil"/>
              <w:bottom w:val="single" w:sz="4" w:space="0" w:color="auto"/>
              <w:right w:val="single" w:sz="4" w:space="0" w:color="auto"/>
            </w:tcBorders>
            <w:shd w:val="clear" w:color="000000" w:fill="FFFFFF"/>
            <w:noWrap/>
            <w:vAlign w:val="bottom"/>
            <w:hideMark/>
          </w:tcPr>
          <w:p w14:paraId="71368C29"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54ABE7FF"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61EFF914"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345FB25E"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122D52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HFC-134a</w:t>
            </w:r>
          </w:p>
        </w:tc>
        <w:tc>
          <w:tcPr>
            <w:tcW w:w="993" w:type="dxa"/>
            <w:tcBorders>
              <w:top w:val="nil"/>
              <w:left w:val="nil"/>
              <w:bottom w:val="single" w:sz="4" w:space="0" w:color="auto"/>
              <w:right w:val="single" w:sz="4" w:space="0" w:color="auto"/>
            </w:tcBorders>
            <w:shd w:val="clear" w:color="000000" w:fill="FFFFFF"/>
            <w:noWrap/>
            <w:vAlign w:val="bottom"/>
            <w:hideMark/>
          </w:tcPr>
          <w:p w14:paraId="50586E7E" w14:textId="77777777" w:rsidR="00B56301" w:rsidRPr="00AE5F1B" w:rsidRDefault="00B56301" w:rsidP="00B37B65">
            <w:pPr>
              <w:jc w:val="right"/>
              <w:rPr>
                <w:rFonts w:ascii="Times New Roman" w:hAnsi="Times New Roman"/>
                <w:sz w:val="18"/>
                <w:szCs w:val="18"/>
              </w:rPr>
            </w:pPr>
            <w:r>
              <w:rPr>
                <w:sz w:val="18"/>
                <w:szCs w:val="18"/>
              </w:rPr>
              <w:t>3,40</w:t>
            </w:r>
          </w:p>
        </w:tc>
        <w:tc>
          <w:tcPr>
            <w:tcW w:w="993" w:type="dxa"/>
            <w:tcBorders>
              <w:top w:val="nil"/>
              <w:left w:val="nil"/>
              <w:bottom w:val="single" w:sz="4" w:space="0" w:color="auto"/>
              <w:right w:val="single" w:sz="4" w:space="0" w:color="auto"/>
            </w:tcBorders>
            <w:shd w:val="clear" w:color="000000" w:fill="FFFFFF"/>
            <w:noWrap/>
            <w:vAlign w:val="bottom"/>
            <w:hideMark/>
          </w:tcPr>
          <w:p w14:paraId="6B93C77D" w14:textId="77777777" w:rsidR="00B56301" w:rsidRPr="00AE5F1B" w:rsidRDefault="00B56301" w:rsidP="00B37B65">
            <w:pPr>
              <w:jc w:val="right"/>
              <w:rPr>
                <w:rFonts w:ascii="Times New Roman" w:hAnsi="Times New Roman"/>
                <w:sz w:val="18"/>
                <w:szCs w:val="18"/>
              </w:rPr>
            </w:pPr>
            <w:r>
              <w:rPr>
                <w:sz w:val="18"/>
                <w:szCs w:val="18"/>
              </w:rPr>
              <w:t>3,13</w:t>
            </w:r>
          </w:p>
        </w:tc>
        <w:tc>
          <w:tcPr>
            <w:tcW w:w="1748" w:type="dxa"/>
            <w:tcBorders>
              <w:top w:val="nil"/>
              <w:left w:val="nil"/>
              <w:bottom w:val="single" w:sz="4" w:space="0" w:color="auto"/>
              <w:right w:val="single" w:sz="4" w:space="0" w:color="auto"/>
            </w:tcBorders>
            <w:shd w:val="clear" w:color="000000" w:fill="FFFFFF"/>
            <w:noWrap/>
            <w:vAlign w:val="bottom"/>
            <w:hideMark/>
          </w:tcPr>
          <w:p w14:paraId="1F58FFF2"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630AF5A4"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64A969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w:t>
            </w:r>
          </w:p>
        </w:tc>
        <w:tc>
          <w:tcPr>
            <w:tcW w:w="993" w:type="dxa"/>
            <w:tcBorders>
              <w:top w:val="nil"/>
              <w:left w:val="nil"/>
              <w:bottom w:val="single" w:sz="4" w:space="0" w:color="auto"/>
              <w:right w:val="single" w:sz="4" w:space="0" w:color="auto"/>
            </w:tcBorders>
            <w:shd w:val="clear" w:color="000000" w:fill="FFFFFF"/>
            <w:noWrap/>
            <w:vAlign w:val="bottom"/>
            <w:hideMark/>
          </w:tcPr>
          <w:p w14:paraId="0680F668"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1C79A071"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10CCC6C"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3791BAD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67E8D7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HFC-143a</w:t>
            </w:r>
          </w:p>
        </w:tc>
        <w:tc>
          <w:tcPr>
            <w:tcW w:w="993" w:type="dxa"/>
            <w:tcBorders>
              <w:top w:val="nil"/>
              <w:left w:val="nil"/>
              <w:bottom w:val="single" w:sz="4" w:space="0" w:color="auto"/>
              <w:right w:val="single" w:sz="4" w:space="0" w:color="auto"/>
            </w:tcBorders>
            <w:shd w:val="clear" w:color="000000" w:fill="FFFFFF"/>
            <w:noWrap/>
            <w:vAlign w:val="bottom"/>
            <w:hideMark/>
          </w:tcPr>
          <w:p w14:paraId="3004E678" w14:textId="77777777" w:rsidR="00B56301" w:rsidRPr="00AE5F1B" w:rsidRDefault="00B56301" w:rsidP="00B37B65">
            <w:pPr>
              <w:jc w:val="right"/>
              <w:rPr>
                <w:rFonts w:ascii="Times New Roman" w:hAnsi="Times New Roman"/>
                <w:sz w:val="18"/>
                <w:szCs w:val="18"/>
              </w:rPr>
            </w:pPr>
            <w:r>
              <w:rPr>
                <w:sz w:val="18"/>
                <w:szCs w:val="18"/>
              </w:rPr>
              <w:t>0,59</w:t>
            </w:r>
          </w:p>
        </w:tc>
        <w:tc>
          <w:tcPr>
            <w:tcW w:w="993" w:type="dxa"/>
            <w:tcBorders>
              <w:top w:val="nil"/>
              <w:left w:val="nil"/>
              <w:bottom w:val="single" w:sz="4" w:space="0" w:color="auto"/>
              <w:right w:val="single" w:sz="4" w:space="0" w:color="auto"/>
            </w:tcBorders>
            <w:shd w:val="clear" w:color="000000" w:fill="FFFFFF"/>
            <w:noWrap/>
            <w:vAlign w:val="bottom"/>
            <w:hideMark/>
          </w:tcPr>
          <w:p w14:paraId="470A48D5" w14:textId="77777777" w:rsidR="00B56301" w:rsidRPr="00AE5F1B" w:rsidRDefault="00B56301" w:rsidP="00B37B65">
            <w:pPr>
              <w:jc w:val="right"/>
              <w:rPr>
                <w:rFonts w:ascii="Times New Roman" w:hAnsi="Times New Roman"/>
                <w:sz w:val="18"/>
                <w:szCs w:val="18"/>
              </w:rPr>
            </w:pPr>
            <w:r>
              <w:rPr>
                <w:sz w:val="18"/>
                <w:szCs w:val="18"/>
              </w:rPr>
              <w:t>0,48</w:t>
            </w:r>
          </w:p>
        </w:tc>
        <w:tc>
          <w:tcPr>
            <w:tcW w:w="1748" w:type="dxa"/>
            <w:tcBorders>
              <w:top w:val="nil"/>
              <w:left w:val="nil"/>
              <w:bottom w:val="single" w:sz="4" w:space="0" w:color="auto"/>
              <w:right w:val="single" w:sz="4" w:space="0" w:color="auto"/>
            </w:tcBorders>
            <w:shd w:val="clear" w:color="000000" w:fill="FFFFFF"/>
            <w:noWrap/>
            <w:vAlign w:val="bottom"/>
            <w:hideMark/>
          </w:tcPr>
          <w:p w14:paraId="7098F8E7" w14:textId="77777777" w:rsidR="00B56301" w:rsidRPr="00AE5F1B" w:rsidRDefault="00B56301" w:rsidP="00B37B65">
            <w:pPr>
              <w:jc w:val="right"/>
              <w:rPr>
                <w:rFonts w:ascii="Times New Roman" w:hAnsi="Times New Roman"/>
                <w:sz w:val="18"/>
                <w:szCs w:val="18"/>
              </w:rPr>
            </w:pPr>
            <w:r>
              <w:rPr>
                <w:sz w:val="18"/>
                <w:szCs w:val="18"/>
              </w:rPr>
              <w:t>-5,06</w:t>
            </w:r>
          </w:p>
        </w:tc>
      </w:tr>
      <w:tr w:rsidR="00B56301" w:rsidRPr="00AE5F1B" w14:paraId="340B4D7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CB9ACEF"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w:t>
            </w:r>
          </w:p>
        </w:tc>
        <w:tc>
          <w:tcPr>
            <w:tcW w:w="993" w:type="dxa"/>
            <w:tcBorders>
              <w:top w:val="nil"/>
              <w:left w:val="nil"/>
              <w:bottom w:val="single" w:sz="4" w:space="0" w:color="auto"/>
              <w:right w:val="single" w:sz="4" w:space="0" w:color="auto"/>
            </w:tcBorders>
            <w:shd w:val="clear" w:color="000000" w:fill="FFFFFF"/>
            <w:noWrap/>
            <w:vAlign w:val="bottom"/>
            <w:hideMark/>
          </w:tcPr>
          <w:p w14:paraId="2A2C3D12"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7E2F92E8"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223D767"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4B78F8C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0A830F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HFC-152a</w:t>
            </w:r>
          </w:p>
        </w:tc>
        <w:tc>
          <w:tcPr>
            <w:tcW w:w="993" w:type="dxa"/>
            <w:tcBorders>
              <w:top w:val="nil"/>
              <w:left w:val="nil"/>
              <w:bottom w:val="single" w:sz="4" w:space="0" w:color="auto"/>
              <w:right w:val="single" w:sz="4" w:space="0" w:color="auto"/>
            </w:tcBorders>
            <w:shd w:val="clear" w:color="000000" w:fill="FFFFFF"/>
            <w:noWrap/>
            <w:vAlign w:val="bottom"/>
            <w:hideMark/>
          </w:tcPr>
          <w:p w14:paraId="3F6B56F0" w14:textId="77777777" w:rsidR="00B56301" w:rsidRPr="00AE5F1B" w:rsidRDefault="00B56301" w:rsidP="00B37B65">
            <w:pPr>
              <w:jc w:val="right"/>
              <w:rPr>
                <w:rFonts w:ascii="Times New Roman" w:hAnsi="Times New Roman"/>
                <w:sz w:val="18"/>
                <w:szCs w:val="18"/>
              </w:rPr>
            </w:pPr>
            <w:r>
              <w:rPr>
                <w:sz w:val="18"/>
                <w:szCs w:val="18"/>
              </w:rPr>
              <w:t>0,16</w:t>
            </w:r>
          </w:p>
        </w:tc>
        <w:tc>
          <w:tcPr>
            <w:tcW w:w="993" w:type="dxa"/>
            <w:tcBorders>
              <w:top w:val="nil"/>
              <w:left w:val="nil"/>
              <w:bottom w:val="single" w:sz="4" w:space="0" w:color="auto"/>
              <w:right w:val="single" w:sz="4" w:space="0" w:color="auto"/>
            </w:tcBorders>
            <w:shd w:val="clear" w:color="000000" w:fill="FFFFFF"/>
            <w:noWrap/>
            <w:vAlign w:val="bottom"/>
            <w:hideMark/>
          </w:tcPr>
          <w:p w14:paraId="13F2FB8C" w14:textId="77777777" w:rsidR="00B56301" w:rsidRPr="00AE5F1B" w:rsidRDefault="00B56301" w:rsidP="00B37B65">
            <w:pPr>
              <w:jc w:val="right"/>
              <w:rPr>
                <w:rFonts w:ascii="Times New Roman" w:hAnsi="Times New Roman"/>
                <w:sz w:val="18"/>
                <w:szCs w:val="18"/>
              </w:rPr>
            </w:pPr>
            <w:r>
              <w:rPr>
                <w:sz w:val="18"/>
                <w:szCs w:val="18"/>
              </w:rPr>
              <w:t>0,12</w:t>
            </w:r>
          </w:p>
        </w:tc>
        <w:tc>
          <w:tcPr>
            <w:tcW w:w="1748" w:type="dxa"/>
            <w:tcBorders>
              <w:top w:val="nil"/>
              <w:left w:val="nil"/>
              <w:bottom w:val="single" w:sz="4" w:space="0" w:color="auto"/>
              <w:right w:val="single" w:sz="4" w:space="0" w:color="auto"/>
            </w:tcBorders>
            <w:shd w:val="clear" w:color="000000" w:fill="FFFFFF"/>
            <w:noWrap/>
            <w:vAlign w:val="bottom"/>
            <w:hideMark/>
          </w:tcPr>
          <w:p w14:paraId="6BA8F2D6"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6BB8C95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AED8A1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HFC-161</w:t>
            </w:r>
          </w:p>
        </w:tc>
        <w:tc>
          <w:tcPr>
            <w:tcW w:w="993" w:type="dxa"/>
            <w:tcBorders>
              <w:top w:val="nil"/>
              <w:left w:val="nil"/>
              <w:bottom w:val="single" w:sz="4" w:space="0" w:color="auto"/>
              <w:right w:val="single" w:sz="4" w:space="0" w:color="auto"/>
            </w:tcBorders>
            <w:shd w:val="clear" w:color="000000" w:fill="FFFFFF"/>
            <w:noWrap/>
            <w:vAlign w:val="bottom"/>
            <w:hideMark/>
          </w:tcPr>
          <w:p w14:paraId="05D78859"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389678B4"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7FA157F8"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7D75B0E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B10FF60"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HFC-227ea</w:t>
            </w:r>
          </w:p>
        </w:tc>
        <w:tc>
          <w:tcPr>
            <w:tcW w:w="993" w:type="dxa"/>
            <w:tcBorders>
              <w:top w:val="nil"/>
              <w:left w:val="nil"/>
              <w:bottom w:val="single" w:sz="4" w:space="0" w:color="auto"/>
              <w:right w:val="single" w:sz="4" w:space="0" w:color="auto"/>
            </w:tcBorders>
            <w:shd w:val="clear" w:color="000000" w:fill="FFFFFF"/>
            <w:noWrap/>
            <w:vAlign w:val="bottom"/>
            <w:hideMark/>
          </w:tcPr>
          <w:p w14:paraId="4621C796" w14:textId="77777777" w:rsidR="00B56301" w:rsidRPr="00AE5F1B" w:rsidRDefault="00B56301" w:rsidP="00B37B65">
            <w:pPr>
              <w:jc w:val="right"/>
              <w:rPr>
                <w:rFonts w:ascii="Times New Roman" w:hAnsi="Times New Roman"/>
                <w:sz w:val="18"/>
                <w:szCs w:val="18"/>
              </w:rPr>
            </w:pPr>
            <w:r>
              <w:rPr>
                <w:sz w:val="18"/>
                <w:szCs w:val="18"/>
              </w:rPr>
              <w:t>0,07</w:t>
            </w:r>
          </w:p>
        </w:tc>
        <w:tc>
          <w:tcPr>
            <w:tcW w:w="993" w:type="dxa"/>
            <w:tcBorders>
              <w:top w:val="nil"/>
              <w:left w:val="nil"/>
              <w:bottom w:val="single" w:sz="4" w:space="0" w:color="auto"/>
              <w:right w:val="single" w:sz="4" w:space="0" w:color="auto"/>
            </w:tcBorders>
            <w:shd w:val="clear" w:color="000000" w:fill="FFFFFF"/>
            <w:noWrap/>
            <w:vAlign w:val="bottom"/>
            <w:hideMark/>
          </w:tcPr>
          <w:p w14:paraId="18F2AACC" w14:textId="77777777" w:rsidR="00B56301" w:rsidRPr="00AE5F1B" w:rsidRDefault="00B56301" w:rsidP="00B37B65">
            <w:pPr>
              <w:jc w:val="right"/>
              <w:rPr>
                <w:rFonts w:ascii="Times New Roman" w:hAnsi="Times New Roman"/>
                <w:sz w:val="18"/>
                <w:szCs w:val="18"/>
              </w:rPr>
            </w:pPr>
            <w:r>
              <w:rPr>
                <w:sz w:val="18"/>
                <w:szCs w:val="18"/>
              </w:rPr>
              <w:t>0,07</w:t>
            </w:r>
          </w:p>
        </w:tc>
        <w:tc>
          <w:tcPr>
            <w:tcW w:w="1748" w:type="dxa"/>
            <w:tcBorders>
              <w:top w:val="nil"/>
              <w:left w:val="nil"/>
              <w:bottom w:val="single" w:sz="4" w:space="0" w:color="auto"/>
              <w:right w:val="single" w:sz="4" w:space="0" w:color="auto"/>
            </w:tcBorders>
            <w:shd w:val="clear" w:color="000000" w:fill="FFFFFF"/>
            <w:noWrap/>
            <w:vAlign w:val="bottom"/>
            <w:hideMark/>
          </w:tcPr>
          <w:p w14:paraId="308F1DC4"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6C2D23D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70FAF4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HFC-236cb</w:t>
            </w:r>
          </w:p>
        </w:tc>
        <w:tc>
          <w:tcPr>
            <w:tcW w:w="993" w:type="dxa"/>
            <w:tcBorders>
              <w:top w:val="nil"/>
              <w:left w:val="nil"/>
              <w:bottom w:val="single" w:sz="4" w:space="0" w:color="auto"/>
              <w:right w:val="single" w:sz="4" w:space="0" w:color="auto"/>
            </w:tcBorders>
            <w:shd w:val="clear" w:color="000000" w:fill="FFFFFF"/>
            <w:noWrap/>
            <w:vAlign w:val="bottom"/>
            <w:hideMark/>
          </w:tcPr>
          <w:p w14:paraId="1FC44DA0"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48E2BF40"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3DCFE912"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3762E9F1"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AC3DF5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HFC-236ea</w:t>
            </w:r>
          </w:p>
        </w:tc>
        <w:tc>
          <w:tcPr>
            <w:tcW w:w="993" w:type="dxa"/>
            <w:tcBorders>
              <w:top w:val="nil"/>
              <w:left w:val="nil"/>
              <w:bottom w:val="single" w:sz="4" w:space="0" w:color="auto"/>
              <w:right w:val="single" w:sz="4" w:space="0" w:color="auto"/>
            </w:tcBorders>
            <w:shd w:val="clear" w:color="000000" w:fill="FFFFFF"/>
            <w:noWrap/>
            <w:vAlign w:val="bottom"/>
            <w:hideMark/>
          </w:tcPr>
          <w:p w14:paraId="675B10E6"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2BA425AB"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5345C9FE"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2AB296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8B5A62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HFC-236fa</w:t>
            </w:r>
          </w:p>
        </w:tc>
        <w:tc>
          <w:tcPr>
            <w:tcW w:w="993" w:type="dxa"/>
            <w:tcBorders>
              <w:top w:val="nil"/>
              <w:left w:val="nil"/>
              <w:bottom w:val="single" w:sz="4" w:space="0" w:color="auto"/>
              <w:right w:val="single" w:sz="4" w:space="0" w:color="auto"/>
            </w:tcBorders>
            <w:shd w:val="clear" w:color="000000" w:fill="FFFFFF"/>
            <w:noWrap/>
            <w:vAlign w:val="bottom"/>
            <w:hideMark/>
          </w:tcPr>
          <w:p w14:paraId="1BB32931"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433FF12D"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071423EB"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2090E74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03D276C"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HFC-245ca</w:t>
            </w:r>
          </w:p>
        </w:tc>
        <w:tc>
          <w:tcPr>
            <w:tcW w:w="993" w:type="dxa"/>
            <w:tcBorders>
              <w:top w:val="nil"/>
              <w:left w:val="nil"/>
              <w:bottom w:val="single" w:sz="4" w:space="0" w:color="auto"/>
              <w:right w:val="single" w:sz="4" w:space="0" w:color="auto"/>
            </w:tcBorders>
            <w:shd w:val="clear" w:color="000000" w:fill="FFFFFF"/>
            <w:noWrap/>
            <w:vAlign w:val="bottom"/>
            <w:hideMark/>
          </w:tcPr>
          <w:p w14:paraId="651E2217"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FFFFFF"/>
            <w:noWrap/>
            <w:vAlign w:val="bottom"/>
            <w:hideMark/>
          </w:tcPr>
          <w:p w14:paraId="500EAD9D"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FFFFFF"/>
            <w:noWrap/>
            <w:vAlign w:val="bottom"/>
            <w:hideMark/>
          </w:tcPr>
          <w:p w14:paraId="5E273108"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6F09FC23"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2068EA6"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HFC-245fa</w:t>
            </w:r>
          </w:p>
        </w:tc>
        <w:tc>
          <w:tcPr>
            <w:tcW w:w="993" w:type="dxa"/>
            <w:tcBorders>
              <w:top w:val="nil"/>
              <w:left w:val="nil"/>
              <w:bottom w:val="single" w:sz="4" w:space="0" w:color="auto"/>
              <w:right w:val="single" w:sz="4" w:space="0" w:color="auto"/>
            </w:tcBorders>
            <w:shd w:val="clear" w:color="000000" w:fill="FFFFFF"/>
            <w:noWrap/>
            <w:vAlign w:val="bottom"/>
            <w:hideMark/>
          </w:tcPr>
          <w:p w14:paraId="009B650E" w14:textId="77777777" w:rsidR="00B56301" w:rsidRPr="00AE5F1B" w:rsidRDefault="00B56301" w:rsidP="00B37B65">
            <w:pPr>
              <w:jc w:val="right"/>
              <w:rPr>
                <w:rFonts w:ascii="Times New Roman" w:hAnsi="Times New Roman"/>
                <w:sz w:val="18"/>
                <w:szCs w:val="18"/>
              </w:rPr>
            </w:pPr>
            <w:r>
              <w:rPr>
                <w:sz w:val="18"/>
                <w:szCs w:val="18"/>
              </w:rPr>
              <w:t>0,10</w:t>
            </w:r>
          </w:p>
        </w:tc>
        <w:tc>
          <w:tcPr>
            <w:tcW w:w="993" w:type="dxa"/>
            <w:tcBorders>
              <w:top w:val="nil"/>
              <w:left w:val="nil"/>
              <w:bottom w:val="single" w:sz="4" w:space="0" w:color="auto"/>
              <w:right w:val="single" w:sz="4" w:space="0" w:color="auto"/>
            </w:tcBorders>
            <w:shd w:val="clear" w:color="000000" w:fill="FFFFFF"/>
            <w:noWrap/>
            <w:vAlign w:val="bottom"/>
            <w:hideMark/>
          </w:tcPr>
          <w:p w14:paraId="6480692E" w14:textId="77777777" w:rsidR="00B56301" w:rsidRPr="00AE5F1B" w:rsidRDefault="00B56301" w:rsidP="00B37B65">
            <w:pPr>
              <w:jc w:val="right"/>
              <w:rPr>
                <w:rFonts w:ascii="Times New Roman" w:hAnsi="Times New Roman"/>
                <w:sz w:val="18"/>
                <w:szCs w:val="18"/>
              </w:rPr>
            </w:pPr>
            <w:r>
              <w:rPr>
                <w:sz w:val="18"/>
                <w:szCs w:val="18"/>
              </w:rPr>
              <w:t>0,07</w:t>
            </w:r>
          </w:p>
        </w:tc>
        <w:tc>
          <w:tcPr>
            <w:tcW w:w="1748" w:type="dxa"/>
            <w:tcBorders>
              <w:top w:val="nil"/>
              <w:left w:val="nil"/>
              <w:bottom w:val="single" w:sz="4" w:space="0" w:color="auto"/>
              <w:right w:val="single" w:sz="4" w:space="0" w:color="auto"/>
            </w:tcBorders>
            <w:shd w:val="clear" w:color="000000" w:fill="FFFFFF"/>
            <w:noWrap/>
            <w:vAlign w:val="bottom"/>
            <w:hideMark/>
          </w:tcPr>
          <w:p w14:paraId="2D4FF22A"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0D42E5E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D1AC47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HFC-365mfc</w:t>
            </w:r>
          </w:p>
        </w:tc>
        <w:tc>
          <w:tcPr>
            <w:tcW w:w="993" w:type="dxa"/>
            <w:tcBorders>
              <w:top w:val="nil"/>
              <w:left w:val="nil"/>
              <w:bottom w:val="single" w:sz="4" w:space="0" w:color="auto"/>
              <w:right w:val="single" w:sz="4" w:space="0" w:color="auto"/>
            </w:tcBorders>
            <w:shd w:val="clear" w:color="000000" w:fill="FFFFFF"/>
            <w:noWrap/>
            <w:vAlign w:val="bottom"/>
            <w:hideMark/>
          </w:tcPr>
          <w:p w14:paraId="36F0363E" w14:textId="77777777" w:rsidR="00B56301" w:rsidRPr="00AE5F1B" w:rsidRDefault="00B56301" w:rsidP="00B37B65">
            <w:pPr>
              <w:jc w:val="right"/>
              <w:rPr>
                <w:rFonts w:ascii="Times New Roman" w:hAnsi="Times New Roman"/>
                <w:sz w:val="18"/>
                <w:szCs w:val="18"/>
              </w:rPr>
            </w:pPr>
            <w:r>
              <w:rPr>
                <w:sz w:val="18"/>
                <w:szCs w:val="18"/>
              </w:rPr>
              <w:t>0,13</w:t>
            </w:r>
          </w:p>
        </w:tc>
        <w:tc>
          <w:tcPr>
            <w:tcW w:w="993" w:type="dxa"/>
            <w:tcBorders>
              <w:top w:val="nil"/>
              <w:left w:val="nil"/>
              <w:bottom w:val="single" w:sz="4" w:space="0" w:color="auto"/>
              <w:right w:val="single" w:sz="4" w:space="0" w:color="auto"/>
            </w:tcBorders>
            <w:shd w:val="clear" w:color="000000" w:fill="FFFFFF"/>
            <w:noWrap/>
            <w:vAlign w:val="bottom"/>
            <w:hideMark/>
          </w:tcPr>
          <w:p w14:paraId="385DABBC" w14:textId="77777777" w:rsidR="00B56301" w:rsidRPr="00AE5F1B" w:rsidRDefault="00B56301" w:rsidP="00B37B65">
            <w:pPr>
              <w:jc w:val="right"/>
              <w:rPr>
                <w:rFonts w:ascii="Times New Roman" w:hAnsi="Times New Roman"/>
                <w:sz w:val="18"/>
                <w:szCs w:val="18"/>
              </w:rPr>
            </w:pPr>
            <w:r>
              <w:rPr>
                <w:sz w:val="18"/>
                <w:szCs w:val="18"/>
              </w:rPr>
              <w:t>0,09</w:t>
            </w:r>
          </w:p>
        </w:tc>
        <w:tc>
          <w:tcPr>
            <w:tcW w:w="1748" w:type="dxa"/>
            <w:tcBorders>
              <w:top w:val="nil"/>
              <w:left w:val="nil"/>
              <w:bottom w:val="single" w:sz="4" w:space="0" w:color="auto"/>
              <w:right w:val="single" w:sz="4" w:space="0" w:color="auto"/>
            </w:tcBorders>
            <w:shd w:val="clear" w:color="000000" w:fill="FFFFFF"/>
            <w:noWrap/>
            <w:vAlign w:val="bottom"/>
            <w:hideMark/>
          </w:tcPr>
          <w:p w14:paraId="7C922283"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763EAAA0"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A7B1241" w14:textId="38265FC9"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HFCs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3" w:type="dxa"/>
            <w:tcBorders>
              <w:top w:val="nil"/>
              <w:left w:val="nil"/>
              <w:bottom w:val="single" w:sz="4" w:space="0" w:color="auto"/>
              <w:right w:val="single" w:sz="4" w:space="0" w:color="auto"/>
            </w:tcBorders>
            <w:shd w:val="clear" w:color="000000" w:fill="FFFFFF"/>
            <w:noWrap/>
            <w:vAlign w:val="bottom"/>
            <w:hideMark/>
          </w:tcPr>
          <w:p w14:paraId="3E78360F" w14:textId="77777777" w:rsidR="00B56301" w:rsidRPr="00AE5F1B" w:rsidRDefault="00B56301" w:rsidP="00B37B65">
            <w:pPr>
              <w:jc w:val="right"/>
              <w:rPr>
                <w:rFonts w:ascii="Times New Roman" w:hAnsi="Times New Roman"/>
                <w:sz w:val="18"/>
                <w:szCs w:val="18"/>
              </w:rPr>
            </w:pPr>
            <w:r>
              <w:rPr>
                <w:sz w:val="18"/>
                <w:szCs w:val="18"/>
              </w:rPr>
              <w:t>34,12</w:t>
            </w:r>
          </w:p>
        </w:tc>
        <w:tc>
          <w:tcPr>
            <w:tcW w:w="993" w:type="dxa"/>
            <w:tcBorders>
              <w:top w:val="nil"/>
              <w:left w:val="nil"/>
              <w:bottom w:val="single" w:sz="4" w:space="0" w:color="auto"/>
              <w:right w:val="single" w:sz="4" w:space="0" w:color="auto"/>
            </w:tcBorders>
            <w:shd w:val="clear" w:color="000000" w:fill="FFFFFF"/>
            <w:noWrap/>
            <w:vAlign w:val="bottom"/>
            <w:hideMark/>
          </w:tcPr>
          <w:p w14:paraId="24BEAD40" w14:textId="77777777" w:rsidR="00B56301" w:rsidRPr="00AE5F1B" w:rsidRDefault="00B56301" w:rsidP="00B37B65">
            <w:pPr>
              <w:jc w:val="right"/>
              <w:rPr>
                <w:rFonts w:ascii="Times New Roman" w:hAnsi="Times New Roman"/>
                <w:sz w:val="18"/>
                <w:szCs w:val="18"/>
              </w:rPr>
            </w:pPr>
            <w:r>
              <w:rPr>
                <w:sz w:val="18"/>
                <w:szCs w:val="18"/>
              </w:rPr>
              <w:t>35,89</w:t>
            </w:r>
          </w:p>
        </w:tc>
        <w:tc>
          <w:tcPr>
            <w:tcW w:w="1748" w:type="dxa"/>
            <w:tcBorders>
              <w:top w:val="nil"/>
              <w:left w:val="nil"/>
              <w:bottom w:val="single" w:sz="4" w:space="0" w:color="auto"/>
              <w:right w:val="single" w:sz="4" w:space="0" w:color="auto"/>
            </w:tcBorders>
            <w:shd w:val="clear" w:color="000000" w:fill="FFFFFF"/>
            <w:noWrap/>
            <w:vAlign w:val="bottom"/>
            <w:hideMark/>
          </w:tcPr>
          <w:p w14:paraId="420934E2" w14:textId="77777777" w:rsidR="00B56301" w:rsidRPr="00AE5F1B" w:rsidRDefault="00B56301" w:rsidP="00B37B65">
            <w:pPr>
              <w:jc w:val="right"/>
              <w:rPr>
                <w:rFonts w:ascii="Times New Roman" w:hAnsi="Times New Roman"/>
                <w:sz w:val="18"/>
                <w:szCs w:val="18"/>
              </w:rPr>
            </w:pPr>
            <w:r>
              <w:rPr>
                <w:sz w:val="18"/>
                <w:szCs w:val="18"/>
              </w:rPr>
              <w:t>100,00</w:t>
            </w:r>
          </w:p>
        </w:tc>
      </w:tr>
      <w:tr w:rsidR="00B56301" w:rsidRPr="00AE5F1B" w14:paraId="7389292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D24A4E0" w14:textId="33356DC6"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 PFCs</w:t>
            </w:r>
            <w:r w:rsidRPr="00AE5F1B">
              <w:rPr>
                <w:rFonts w:ascii="Times New Roman" w:hAnsi="Times New Roman"/>
                <w:b/>
                <w:bCs/>
                <w:sz w:val="20"/>
                <w:szCs w:val="18"/>
                <w:vertAlign w:val="superscript"/>
                <w:lang w:val="en-GB"/>
              </w:rPr>
              <w:t xml:space="preserve"> </w:t>
            </w:r>
            <w:r w:rsidRPr="00AE5F1B">
              <w:rPr>
                <w:rFonts w:ascii="Times New Roman" w:hAnsi="Times New Roman"/>
                <w:b/>
                <w:bCs/>
                <w:sz w:val="20"/>
                <w:szCs w:val="18"/>
                <w:lang w:val="en-GB"/>
              </w:rPr>
              <w:t>-</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 </w:t>
            </w:r>
          </w:p>
        </w:tc>
        <w:tc>
          <w:tcPr>
            <w:tcW w:w="993" w:type="dxa"/>
            <w:tcBorders>
              <w:top w:val="nil"/>
              <w:left w:val="nil"/>
              <w:bottom w:val="single" w:sz="4" w:space="0" w:color="auto"/>
              <w:right w:val="single" w:sz="4" w:space="0" w:color="auto"/>
            </w:tcBorders>
            <w:shd w:val="clear" w:color="000000" w:fill="CCFFFF"/>
            <w:noWrap/>
            <w:vAlign w:val="bottom"/>
            <w:hideMark/>
          </w:tcPr>
          <w:p w14:paraId="61D5FCD1" w14:textId="77777777" w:rsidR="00B56301" w:rsidRPr="00AE5F1B" w:rsidRDefault="00B56301" w:rsidP="00B37B65">
            <w:pPr>
              <w:jc w:val="right"/>
              <w:rPr>
                <w:rFonts w:ascii="Times New Roman" w:hAnsi="Times New Roman"/>
                <w:sz w:val="18"/>
                <w:szCs w:val="18"/>
              </w:rPr>
            </w:pPr>
            <w:r>
              <w:rPr>
                <w:sz w:val="18"/>
                <w:szCs w:val="18"/>
              </w:rPr>
              <w:t>615,40</w:t>
            </w:r>
          </w:p>
        </w:tc>
        <w:tc>
          <w:tcPr>
            <w:tcW w:w="993" w:type="dxa"/>
            <w:tcBorders>
              <w:top w:val="nil"/>
              <w:left w:val="nil"/>
              <w:bottom w:val="single" w:sz="4" w:space="0" w:color="auto"/>
              <w:right w:val="single" w:sz="4" w:space="0" w:color="auto"/>
            </w:tcBorders>
            <w:shd w:val="clear" w:color="000000" w:fill="CCFFFF"/>
            <w:noWrap/>
            <w:vAlign w:val="bottom"/>
            <w:hideMark/>
          </w:tcPr>
          <w:p w14:paraId="6950B6CA" w14:textId="77777777" w:rsidR="00B56301" w:rsidRPr="00AE5F1B" w:rsidRDefault="00B56301" w:rsidP="00B37B65">
            <w:pPr>
              <w:jc w:val="right"/>
              <w:rPr>
                <w:rFonts w:ascii="Times New Roman" w:hAnsi="Times New Roman"/>
                <w:sz w:val="18"/>
                <w:szCs w:val="18"/>
              </w:rPr>
            </w:pPr>
            <w:r>
              <w:rPr>
                <w:sz w:val="18"/>
                <w:szCs w:val="18"/>
              </w:rPr>
              <w:t>543,49</w:t>
            </w:r>
          </w:p>
        </w:tc>
        <w:tc>
          <w:tcPr>
            <w:tcW w:w="1748" w:type="dxa"/>
            <w:tcBorders>
              <w:top w:val="nil"/>
              <w:left w:val="nil"/>
              <w:bottom w:val="single" w:sz="4" w:space="0" w:color="auto"/>
              <w:right w:val="single" w:sz="4" w:space="0" w:color="auto"/>
            </w:tcBorders>
            <w:shd w:val="clear" w:color="000000" w:fill="CCFFFF"/>
            <w:noWrap/>
            <w:vAlign w:val="bottom"/>
            <w:hideMark/>
          </w:tcPr>
          <w:p w14:paraId="58814D8E" w14:textId="77777777" w:rsidR="00B56301" w:rsidRPr="00AE5F1B" w:rsidRDefault="00B56301" w:rsidP="00B37B65">
            <w:pPr>
              <w:jc w:val="right"/>
              <w:rPr>
                <w:rFonts w:ascii="Times New Roman" w:hAnsi="Times New Roman"/>
                <w:sz w:val="18"/>
                <w:szCs w:val="18"/>
              </w:rPr>
            </w:pPr>
            <w:r>
              <w:rPr>
                <w:sz w:val="18"/>
                <w:szCs w:val="18"/>
              </w:rPr>
              <w:t>-89,55</w:t>
            </w:r>
          </w:p>
        </w:tc>
      </w:tr>
      <w:tr w:rsidR="00B56301" w:rsidRPr="00AE5F1B" w14:paraId="4E0E8E7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6FFDDFCA"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CF</w:t>
            </w:r>
            <w:r w:rsidRPr="00AE5F1B">
              <w:rPr>
                <w:rFonts w:ascii="Times New Roman" w:hAnsi="Times New Roman"/>
                <w:sz w:val="20"/>
                <w:szCs w:val="18"/>
                <w:vertAlign w:val="subscript"/>
              </w:rPr>
              <w:t>4</w:t>
            </w:r>
          </w:p>
        </w:tc>
        <w:tc>
          <w:tcPr>
            <w:tcW w:w="993" w:type="dxa"/>
            <w:tcBorders>
              <w:top w:val="nil"/>
              <w:left w:val="nil"/>
              <w:bottom w:val="single" w:sz="4" w:space="0" w:color="auto"/>
              <w:right w:val="single" w:sz="4" w:space="0" w:color="auto"/>
            </w:tcBorders>
            <w:shd w:val="clear" w:color="000000" w:fill="FFFFFF"/>
            <w:noWrap/>
            <w:vAlign w:val="bottom"/>
            <w:hideMark/>
          </w:tcPr>
          <w:p w14:paraId="797F41FD" w14:textId="77777777" w:rsidR="00B56301" w:rsidRPr="00AE5F1B" w:rsidRDefault="00B56301" w:rsidP="00B37B65">
            <w:pPr>
              <w:jc w:val="right"/>
              <w:rPr>
                <w:rFonts w:ascii="Times New Roman" w:hAnsi="Times New Roman"/>
                <w:sz w:val="18"/>
                <w:szCs w:val="18"/>
              </w:rPr>
            </w:pPr>
            <w:r>
              <w:rPr>
                <w:sz w:val="18"/>
                <w:szCs w:val="18"/>
              </w:rPr>
              <w:t>0,01</w:t>
            </w:r>
          </w:p>
        </w:tc>
        <w:tc>
          <w:tcPr>
            <w:tcW w:w="993" w:type="dxa"/>
            <w:tcBorders>
              <w:top w:val="nil"/>
              <w:left w:val="nil"/>
              <w:bottom w:val="single" w:sz="4" w:space="0" w:color="auto"/>
              <w:right w:val="single" w:sz="4" w:space="0" w:color="auto"/>
            </w:tcBorders>
            <w:shd w:val="clear" w:color="000000" w:fill="FFFFFF"/>
            <w:noWrap/>
            <w:vAlign w:val="bottom"/>
            <w:hideMark/>
          </w:tcPr>
          <w:p w14:paraId="22137F9F" w14:textId="77777777" w:rsidR="00B56301" w:rsidRPr="00AE5F1B" w:rsidRDefault="00B56301" w:rsidP="00B37B65">
            <w:pPr>
              <w:jc w:val="right"/>
              <w:rPr>
                <w:rFonts w:ascii="Times New Roman" w:hAnsi="Times New Roman"/>
                <w:sz w:val="18"/>
                <w:szCs w:val="18"/>
              </w:rPr>
            </w:pPr>
            <w:r>
              <w:rPr>
                <w:sz w:val="18"/>
                <w:szCs w:val="18"/>
              </w:rPr>
              <w:t>0,01</w:t>
            </w:r>
          </w:p>
        </w:tc>
        <w:tc>
          <w:tcPr>
            <w:tcW w:w="1748" w:type="dxa"/>
            <w:tcBorders>
              <w:top w:val="nil"/>
              <w:left w:val="nil"/>
              <w:bottom w:val="single" w:sz="4" w:space="0" w:color="auto"/>
              <w:right w:val="single" w:sz="4" w:space="0" w:color="auto"/>
            </w:tcBorders>
            <w:shd w:val="clear" w:color="000000" w:fill="FFFFFF"/>
            <w:noWrap/>
            <w:vAlign w:val="bottom"/>
            <w:hideMark/>
          </w:tcPr>
          <w:p w14:paraId="6113C236" w14:textId="77777777" w:rsidR="00B56301" w:rsidRPr="00AE5F1B" w:rsidRDefault="00B56301" w:rsidP="00B37B65">
            <w:pPr>
              <w:jc w:val="right"/>
              <w:rPr>
                <w:rFonts w:ascii="Times New Roman" w:hAnsi="Times New Roman"/>
                <w:sz w:val="18"/>
                <w:szCs w:val="18"/>
              </w:rPr>
            </w:pPr>
            <w:r>
              <w:rPr>
                <w:sz w:val="18"/>
                <w:szCs w:val="18"/>
              </w:rPr>
              <w:t>-96,78</w:t>
            </w:r>
          </w:p>
        </w:tc>
      </w:tr>
      <w:tr w:rsidR="00B56301" w:rsidRPr="00AE5F1B" w14:paraId="08B169A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F7B9CC8"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2</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3" w:type="dxa"/>
            <w:tcBorders>
              <w:top w:val="nil"/>
              <w:left w:val="nil"/>
              <w:bottom w:val="single" w:sz="4" w:space="0" w:color="auto"/>
              <w:right w:val="single" w:sz="4" w:space="0" w:color="auto"/>
            </w:tcBorders>
            <w:shd w:val="clear" w:color="000000" w:fill="FFFFFF"/>
            <w:noWrap/>
            <w:vAlign w:val="bottom"/>
            <w:hideMark/>
          </w:tcPr>
          <w:p w14:paraId="643A77AD" w14:textId="77777777" w:rsidR="00B56301" w:rsidRPr="00AE5F1B" w:rsidRDefault="00B56301" w:rsidP="00B37B65">
            <w:pPr>
              <w:jc w:val="right"/>
              <w:rPr>
                <w:rFonts w:ascii="Times New Roman" w:hAnsi="Times New Roman"/>
                <w:sz w:val="18"/>
                <w:szCs w:val="18"/>
              </w:rPr>
            </w:pPr>
            <w:r>
              <w:rPr>
                <w:sz w:val="18"/>
                <w:szCs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320E0B94" w14:textId="77777777" w:rsidR="00B56301" w:rsidRPr="00AE5F1B" w:rsidRDefault="00B56301" w:rsidP="00B37B65">
            <w:pPr>
              <w:jc w:val="right"/>
              <w:rPr>
                <w:rFonts w:ascii="Times New Roman" w:hAnsi="Times New Roman"/>
                <w:sz w:val="18"/>
                <w:szCs w:val="18"/>
              </w:rPr>
            </w:pPr>
            <w:r>
              <w:rPr>
                <w:sz w:val="18"/>
                <w:szCs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5FDEFD89" w14:textId="77777777" w:rsidR="00B56301" w:rsidRPr="00AE5F1B" w:rsidRDefault="00B56301" w:rsidP="00B37B65">
            <w:pPr>
              <w:jc w:val="right"/>
              <w:rPr>
                <w:rFonts w:ascii="Times New Roman" w:hAnsi="Times New Roman"/>
                <w:sz w:val="18"/>
                <w:szCs w:val="18"/>
              </w:rPr>
            </w:pPr>
            <w:r>
              <w:rPr>
                <w:sz w:val="18"/>
                <w:szCs w:val="18"/>
              </w:rPr>
              <w:t>-97,78</w:t>
            </w:r>
          </w:p>
        </w:tc>
      </w:tr>
      <w:tr w:rsidR="00B56301" w:rsidRPr="00AE5F1B" w14:paraId="03B0CAB2"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192E1ECE"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3" w:type="dxa"/>
            <w:tcBorders>
              <w:top w:val="nil"/>
              <w:left w:val="nil"/>
              <w:bottom w:val="single" w:sz="4" w:space="0" w:color="auto"/>
              <w:right w:val="single" w:sz="4" w:space="0" w:color="auto"/>
            </w:tcBorders>
            <w:shd w:val="clear" w:color="000000" w:fill="FFFFFF"/>
            <w:noWrap/>
            <w:vAlign w:val="bottom"/>
            <w:hideMark/>
          </w:tcPr>
          <w:p w14:paraId="19608C18"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27EB4498"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07B346D3" w14:textId="77777777" w:rsidR="00B56301" w:rsidRPr="00AE5F1B" w:rsidRDefault="00B56301" w:rsidP="00B37B65">
            <w:pPr>
              <w:jc w:val="right"/>
              <w:rPr>
                <w:rFonts w:ascii="Times New Roman" w:hAnsi="Times New Roman"/>
                <w:sz w:val="18"/>
                <w:szCs w:val="18"/>
              </w:rPr>
            </w:pPr>
            <w:r>
              <w:rPr>
                <w:sz w:val="18"/>
                <w:szCs w:val="18"/>
              </w:rPr>
              <w:t> </w:t>
            </w:r>
          </w:p>
        </w:tc>
      </w:tr>
      <w:tr w:rsidR="00B56301" w:rsidRPr="00AE5F1B" w14:paraId="6CD9C93B"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05CD16D"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10</w:t>
            </w:r>
          </w:p>
        </w:tc>
        <w:tc>
          <w:tcPr>
            <w:tcW w:w="993" w:type="dxa"/>
            <w:tcBorders>
              <w:top w:val="nil"/>
              <w:left w:val="nil"/>
              <w:bottom w:val="single" w:sz="4" w:space="0" w:color="auto"/>
              <w:right w:val="single" w:sz="4" w:space="0" w:color="auto"/>
            </w:tcBorders>
            <w:shd w:val="clear" w:color="000000" w:fill="FFFFFF"/>
            <w:noWrap/>
            <w:vAlign w:val="bottom"/>
            <w:hideMark/>
          </w:tcPr>
          <w:p w14:paraId="73DB165D"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36F5F0D6"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14250FBF"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5508EB7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A09DB22"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4</w:t>
            </w:r>
            <w:r w:rsidRPr="00AE5F1B">
              <w:rPr>
                <w:rFonts w:ascii="Times New Roman" w:hAnsi="Times New Roman"/>
                <w:sz w:val="20"/>
                <w:szCs w:val="18"/>
              </w:rPr>
              <w:t>F</w:t>
            </w:r>
            <w:r w:rsidRPr="00AE5F1B">
              <w:rPr>
                <w:rFonts w:ascii="Times New Roman" w:hAnsi="Times New Roman"/>
                <w:sz w:val="20"/>
                <w:szCs w:val="18"/>
                <w:vertAlign w:val="subscript"/>
              </w:rPr>
              <w:t>8</w:t>
            </w:r>
          </w:p>
        </w:tc>
        <w:tc>
          <w:tcPr>
            <w:tcW w:w="993" w:type="dxa"/>
            <w:tcBorders>
              <w:top w:val="nil"/>
              <w:left w:val="nil"/>
              <w:bottom w:val="single" w:sz="4" w:space="0" w:color="auto"/>
              <w:right w:val="single" w:sz="4" w:space="0" w:color="auto"/>
            </w:tcBorders>
            <w:shd w:val="clear" w:color="000000" w:fill="FFFFFF"/>
            <w:noWrap/>
            <w:vAlign w:val="bottom"/>
            <w:hideMark/>
          </w:tcPr>
          <w:p w14:paraId="6728AD8C" w14:textId="77777777" w:rsidR="00B56301" w:rsidRPr="00AE5F1B" w:rsidRDefault="00B56301" w:rsidP="00B37B65">
            <w:pPr>
              <w:jc w:val="right"/>
              <w:rPr>
                <w:rFonts w:ascii="Times New Roman" w:hAnsi="Times New Roman"/>
                <w:sz w:val="18"/>
                <w:szCs w:val="18"/>
              </w:rPr>
            </w:pPr>
            <w:r>
              <w:rPr>
                <w:sz w:val="18"/>
                <w:szCs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1E96B9FD" w14:textId="77777777" w:rsidR="00B56301" w:rsidRPr="00AE5F1B" w:rsidRDefault="00B56301" w:rsidP="00B37B65">
            <w:pPr>
              <w:jc w:val="right"/>
              <w:rPr>
                <w:rFonts w:ascii="Times New Roman" w:hAnsi="Times New Roman"/>
                <w:sz w:val="18"/>
                <w:szCs w:val="18"/>
              </w:rPr>
            </w:pPr>
            <w:r>
              <w:rPr>
                <w:sz w:val="18"/>
                <w:szCs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1769E87E" w14:textId="77777777" w:rsidR="00B56301" w:rsidRPr="00AE5F1B" w:rsidRDefault="00B56301" w:rsidP="00B37B65">
            <w:pPr>
              <w:jc w:val="right"/>
              <w:rPr>
                <w:rFonts w:ascii="Times New Roman" w:hAnsi="Times New Roman"/>
                <w:sz w:val="18"/>
                <w:szCs w:val="18"/>
              </w:rPr>
            </w:pPr>
            <w:r>
              <w:rPr>
                <w:sz w:val="18"/>
                <w:szCs w:val="18"/>
              </w:rPr>
              <w:t>-98,10</w:t>
            </w:r>
          </w:p>
        </w:tc>
      </w:tr>
      <w:tr w:rsidR="00B56301" w:rsidRPr="00AE5F1B" w14:paraId="7671717A"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523ED959"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5</w:t>
            </w:r>
            <w:r w:rsidRPr="00AE5F1B">
              <w:rPr>
                <w:rFonts w:ascii="Times New Roman" w:hAnsi="Times New Roman"/>
                <w:sz w:val="20"/>
                <w:szCs w:val="18"/>
              </w:rPr>
              <w:t>F</w:t>
            </w:r>
            <w:r w:rsidRPr="00AE5F1B">
              <w:rPr>
                <w:rFonts w:ascii="Times New Roman" w:hAnsi="Times New Roman"/>
                <w:sz w:val="20"/>
                <w:szCs w:val="18"/>
                <w:vertAlign w:val="subscript"/>
              </w:rPr>
              <w:t>12</w:t>
            </w:r>
          </w:p>
        </w:tc>
        <w:tc>
          <w:tcPr>
            <w:tcW w:w="993" w:type="dxa"/>
            <w:tcBorders>
              <w:top w:val="nil"/>
              <w:left w:val="nil"/>
              <w:bottom w:val="single" w:sz="4" w:space="0" w:color="auto"/>
              <w:right w:val="single" w:sz="4" w:space="0" w:color="auto"/>
            </w:tcBorders>
            <w:shd w:val="clear" w:color="000000" w:fill="FFFFFF"/>
            <w:noWrap/>
            <w:vAlign w:val="bottom"/>
            <w:hideMark/>
          </w:tcPr>
          <w:p w14:paraId="50251B59"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3A971460"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50F5880E"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4EF89359"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791B40D7"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6</w:t>
            </w:r>
            <w:r w:rsidRPr="00AE5F1B">
              <w:rPr>
                <w:rFonts w:ascii="Times New Roman" w:hAnsi="Times New Roman"/>
                <w:sz w:val="20"/>
                <w:szCs w:val="18"/>
              </w:rPr>
              <w:t>F</w:t>
            </w:r>
            <w:r w:rsidRPr="00AE5F1B">
              <w:rPr>
                <w:rFonts w:ascii="Times New Roman" w:hAnsi="Times New Roman"/>
                <w:sz w:val="20"/>
                <w:szCs w:val="18"/>
                <w:vertAlign w:val="subscript"/>
              </w:rPr>
              <w:t>14</w:t>
            </w:r>
          </w:p>
        </w:tc>
        <w:tc>
          <w:tcPr>
            <w:tcW w:w="993" w:type="dxa"/>
            <w:tcBorders>
              <w:top w:val="nil"/>
              <w:left w:val="nil"/>
              <w:bottom w:val="single" w:sz="4" w:space="0" w:color="auto"/>
              <w:right w:val="single" w:sz="4" w:space="0" w:color="auto"/>
            </w:tcBorders>
            <w:shd w:val="clear" w:color="000000" w:fill="FFFFFF"/>
            <w:noWrap/>
            <w:vAlign w:val="bottom"/>
            <w:hideMark/>
          </w:tcPr>
          <w:p w14:paraId="25936B1F"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23815736"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33FB6904"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6CF4C69C"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31398F74"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w:t>
            </w:r>
            <w:r w:rsidRPr="00AE5F1B">
              <w:rPr>
                <w:rFonts w:ascii="Times New Roman" w:hAnsi="Times New Roman"/>
                <w:sz w:val="20"/>
                <w:szCs w:val="18"/>
                <w:vertAlign w:val="subscript"/>
              </w:rPr>
              <w:t>10</w:t>
            </w:r>
            <w:r w:rsidRPr="00AE5F1B">
              <w:rPr>
                <w:rFonts w:ascii="Times New Roman" w:hAnsi="Times New Roman"/>
                <w:sz w:val="20"/>
                <w:szCs w:val="18"/>
              </w:rPr>
              <w:t>F</w:t>
            </w:r>
            <w:r w:rsidRPr="00AE5F1B">
              <w:rPr>
                <w:rFonts w:ascii="Times New Roman" w:hAnsi="Times New Roman"/>
                <w:sz w:val="20"/>
                <w:szCs w:val="18"/>
                <w:vertAlign w:val="subscript"/>
              </w:rPr>
              <w:t>18</w:t>
            </w:r>
          </w:p>
        </w:tc>
        <w:tc>
          <w:tcPr>
            <w:tcW w:w="993" w:type="dxa"/>
            <w:tcBorders>
              <w:top w:val="nil"/>
              <w:left w:val="nil"/>
              <w:bottom w:val="single" w:sz="4" w:space="0" w:color="auto"/>
              <w:right w:val="single" w:sz="4" w:space="0" w:color="auto"/>
            </w:tcBorders>
            <w:shd w:val="clear" w:color="000000" w:fill="FFFFFF"/>
            <w:noWrap/>
            <w:vAlign w:val="bottom"/>
            <w:hideMark/>
          </w:tcPr>
          <w:p w14:paraId="084131FB"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48271FAF"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1FF74A94"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2AC050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5744D61" w14:textId="77777777" w:rsidR="00B56301" w:rsidRPr="00AE5F1B" w:rsidRDefault="00B56301" w:rsidP="00B37B65">
            <w:pPr>
              <w:jc w:val="left"/>
              <w:rPr>
                <w:rFonts w:ascii="Times New Roman" w:hAnsi="Times New Roman"/>
                <w:sz w:val="20"/>
                <w:szCs w:val="18"/>
              </w:rPr>
            </w:pPr>
            <w:r w:rsidRPr="00AE5F1B">
              <w:rPr>
                <w:rFonts w:ascii="Times New Roman" w:hAnsi="Times New Roman"/>
                <w:sz w:val="20"/>
                <w:szCs w:val="18"/>
              </w:rPr>
              <w:t>c-C</w:t>
            </w:r>
            <w:r w:rsidRPr="00AE5F1B">
              <w:rPr>
                <w:rFonts w:ascii="Times New Roman" w:hAnsi="Times New Roman"/>
                <w:sz w:val="20"/>
                <w:szCs w:val="18"/>
                <w:vertAlign w:val="subscript"/>
              </w:rPr>
              <w:t>3</w:t>
            </w:r>
            <w:r w:rsidRPr="00AE5F1B">
              <w:rPr>
                <w:rFonts w:ascii="Times New Roman" w:hAnsi="Times New Roman"/>
                <w:sz w:val="20"/>
                <w:szCs w:val="18"/>
              </w:rPr>
              <w:t>F</w:t>
            </w:r>
            <w:r w:rsidRPr="00AE5F1B">
              <w:rPr>
                <w:rFonts w:ascii="Times New Roman" w:hAnsi="Times New Roman"/>
                <w:sz w:val="20"/>
                <w:szCs w:val="18"/>
                <w:vertAlign w:val="subscript"/>
              </w:rPr>
              <w:t>6</w:t>
            </w:r>
          </w:p>
        </w:tc>
        <w:tc>
          <w:tcPr>
            <w:tcW w:w="993" w:type="dxa"/>
            <w:tcBorders>
              <w:top w:val="nil"/>
              <w:left w:val="nil"/>
              <w:bottom w:val="single" w:sz="4" w:space="0" w:color="auto"/>
              <w:right w:val="single" w:sz="4" w:space="0" w:color="auto"/>
            </w:tcBorders>
            <w:shd w:val="clear" w:color="000000" w:fill="FFFFFF"/>
            <w:noWrap/>
            <w:vAlign w:val="bottom"/>
            <w:hideMark/>
          </w:tcPr>
          <w:p w14:paraId="59C93BB5" w14:textId="77777777" w:rsidR="00B56301" w:rsidRPr="00AE5F1B" w:rsidRDefault="00B56301" w:rsidP="00B37B65">
            <w:pPr>
              <w:jc w:val="right"/>
              <w:rPr>
                <w:rFonts w:ascii="Times New Roman" w:hAnsi="Times New Roman"/>
                <w:sz w:val="18"/>
                <w:szCs w:val="18"/>
              </w:rPr>
            </w:pPr>
            <w:r>
              <w:rPr>
                <w:sz w:val="18"/>
                <w:szCs w:val="18"/>
              </w:rPr>
              <w:t>NO,IE,NA</w:t>
            </w:r>
          </w:p>
        </w:tc>
        <w:tc>
          <w:tcPr>
            <w:tcW w:w="993" w:type="dxa"/>
            <w:tcBorders>
              <w:top w:val="nil"/>
              <w:left w:val="nil"/>
              <w:bottom w:val="single" w:sz="4" w:space="0" w:color="auto"/>
              <w:right w:val="single" w:sz="4" w:space="0" w:color="auto"/>
            </w:tcBorders>
            <w:shd w:val="clear" w:color="000000" w:fill="FFFFFF"/>
            <w:noWrap/>
            <w:vAlign w:val="bottom"/>
            <w:hideMark/>
          </w:tcPr>
          <w:p w14:paraId="180474CF" w14:textId="77777777" w:rsidR="00B56301" w:rsidRPr="00AE5F1B" w:rsidRDefault="00B56301" w:rsidP="00B37B65">
            <w:pPr>
              <w:jc w:val="right"/>
              <w:rPr>
                <w:rFonts w:ascii="Times New Roman" w:hAnsi="Times New Roman"/>
                <w:sz w:val="18"/>
                <w:szCs w:val="18"/>
              </w:rPr>
            </w:pPr>
            <w:r>
              <w:rPr>
                <w:sz w:val="18"/>
                <w:szCs w:val="18"/>
              </w:rPr>
              <w:t>NO,IE,NA</w:t>
            </w:r>
          </w:p>
        </w:tc>
        <w:tc>
          <w:tcPr>
            <w:tcW w:w="1748" w:type="dxa"/>
            <w:tcBorders>
              <w:top w:val="nil"/>
              <w:left w:val="nil"/>
              <w:bottom w:val="single" w:sz="4" w:space="0" w:color="auto"/>
              <w:right w:val="single" w:sz="4" w:space="0" w:color="auto"/>
            </w:tcBorders>
            <w:shd w:val="clear" w:color="000000" w:fill="FFFFFF"/>
            <w:noWrap/>
            <w:vAlign w:val="bottom"/>
            <w:hideMark/>
          </w:tcPr>
          <w:p w14:paraId="7E01EBCF"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1D8EC458"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2ED9179F" w14:textId="23C110E9" w:rsidR="00B56301" w:rsidRPr="00AE5F1B" w:rsidRDefault="00B56301" w:rsidP="00B37B65">
            <w:pPr>
              <w:jc w:val="left"/>
              <w:rPr>
                <w:rFonts w:ascii="Times New Roman" w:hAnsi="Times New Roman"/>
                <w:sz w:val="20"/>
                <w:szCs w:val="18"/>
                <w:lang w:val="en-GB"/>
              </w:rPr>
            </w:pPr>
            <w:r w:rsidRPr="00AE5F1B">
              <w:rPr>
                <w:rFonts w:ascii="Times New Roman" w:hAnsi="Times New Roman"/>
                <w:sz w:val="20"/>
                <w:szCs w:val="18"/>
                <w:lang w:val="en-GB"/>
              </w:rPr>
              <w:t>Unspecified mix of PFCs</w:t>
            </w:r>
            <w:r w:rsidRPr="00AE5F1B">
              <w:rPr>
                <w:rFonts w:ascii="Times New Roman" w:hAnsi="Times New Roman"/>
                <w:sz w:val="20"/>
                <w:szCs w:val="18"/>
                <w:vertAlign w:val="superscript"/>
                <w:lang w:val="en-GB"/>
              </w:rPr>
              <w:t>(4)</w:t>
            </w:r>
            <w:r w:rsidRPr="00AE5F1B">
              <w:rPr>
                <w:rFonts w:ascii="Times New Roman" w:hAnsi="Times New Roman"/>
                <w:sz w:val="20"/>
                <w:szCs w:val="18"/>
                <w:lang w:val="en-GB"/>
              </w:rPr>
              <w:t xml:space="preserve"> -</w:t>
            </w:r>
            <w:r w:rsidR="00260E0B">
              <w:rPr>
                <w:rFonts w:ascii="Times New Roman" w:hAnsi="Times New Roman"/>
                <w:sz w:val="20"/>
                <w:szCs w:val="18"/>
                <w:lang w:val="en-GB"/>
              </w:rPr>
              <w:t xml:space="preserve"> </w:t>
            </w:r>
            <w:r w:rsidRPr="00AE5F1B">
              <w:rPr>
                <w:rFonts w:ascii="Times New Roman" w:hAnsi="Times New Roman"/>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sz w:val="20"/>
                <w:szCs w:val="18"/>
                <w:lang w:val="en-GB"/>
              </w:rPr>
              <w:t xml:space="preserve"> equivalent) </w:t>
            </w:r>
          </w:p>
        </w:tc>
        <w:tc>
          <w:tcPr>
            <w:tcW w:w="993" w:type="dxa"/>
            <w:tcBorders>
              <w:top w:val="nil"/>
              <w:left w:val="nil"/>
              <w:bottom w:val="single" w:sz="4" w:space="0" w:color="auto"/>
              <w:right w:val="single" w:sz="4" w:space="0" w:color="auto"/>
            </w:tcBorders>
            <w:shd w:val="clear" w:color="000000" w:fill="FFFFFF"/>
            <w:noWrap/>
            <w:vAlign w:val="bottom"/>
            <w:hideMark/>
          </w:tcPr>
          <w:p w14:paraId="596BFBF0" w14:textId="77777777" w:rsidR="00B56301" w:rsidRPr="00AE5F1B" w:rsidRDefault="00B56301" w:rsidP="00B37B65">
            <w:pPr>
              <w:jc w:val="right"/>
              <w:rPr>
                <w:rFonts w:ascii="Times New Roman" w:hAnsi="Times New Roman"/>
                <w:sz w:val="18"/>
                <w:szCs w:val="18"/>
              </w:rPr>
            </w:pPr>
            <w:r>
              <w:rPr>
                <w:sz w:val="18"/>
                <w:szCs w:val="18"/>
              </w:rPr>
              <w:t>467,23</w:t>
            </w:r>
          </w:p>
        </w:tc>
        <w:tc>
          <w:tcPr>
            <w:tcW w:w="993" w:type="dxa"/>
            <w:tcBorders>
              <w:top w:val="nil"/>
              <w:left w:val="nil"/>
              <w:bottom w:val="single" w:sz="4" w:space="0" w:color="auto"/>
              <w:right w:val="single" w:sz="4" w:space="0" w:color="auto"/>
            </w:tcBorders>
            <w:shd w:val="clear" w:color="000000" w:fill="FFFFFF"/>
            <w:noWrap/>
            <w:vAlign w:val="bottom"/>
            <w:hideMark/>
          </w:tcPr>
          <w:p w14:paraId="1EAD037A" w14:textId="77777777" w:rsidR="00B56301" w:rsidRPr="00AE5F1B" w:rsidRDefault="00B56301" w:rsidP="00B37B65">
            <w:pPr>
              <w:jc w:val="right"/>
              <w:rPr>
                <w:rFonts w:ascii="Times New Roman" w:hAnsi="Times New Roman"/>
                <w:sz w:val="18"/>
                <w:szCs w:val="18"/>
              </w:rPr>
            </w:pPr>
            <w:r>
              <w:rPr>
                <w:sz w:val="18"/>
                <w:szCs w:val="18"/>
              </w:rPr>
              <w:t>404,76</w:t>
            </w:r>
          </w:p>
        </w:tc>
        <w:tc>
          <w:tcPr>
            <w:tcW w:w="1748" w:type="dxa"/>
            <w:tcBorders>
              <w:top w:val="nil"/>
              <w:left w:val="nil"/>
              <w:bottom w:val="single" w:sz="4" w:space="0" w:color="auto"/>
              <w:right w:val="single" w:sz="4" w:space="0" w:color="auto"/>
            </w:tcBorders>
            <w:shd w:val="clear" w:color="000000" w:fill="FFFFFF"/>
            <w:noWrap/>
            <w:vAlign w:val="bottom"/>
            <w:hideMark/>
          </w:tcPr>
          <w:p w14:paraId="6E6B1843" w14:textId="77777777" w:rsidR="00B56301" w:rsidRPr="00AE5F1B" w:rsidRDefault="00B56301" w:rsidP="00B37B65">
            <w:pPr>
              <w:jc w:val="right"/>
              <w:rPr>
                <w:rFonts w:ascii="Times New Roman" w:hAnsi="Times New Roman"/>
                <w:sz w:val="18"/>
                <w:szCs w:val="18"/>
              </w:rPr>
            </w:pPr>
            <w:r>
              <w:rPr>
                <w:sz w:val="18"/>
                <w:szCs w:val="18"/>
              </w:rPr>
              <w:t>67,75</w:t>
            </w:r>
          </w:p>
        </w:tc>
      </w:tr>
      <w:tr w:rsidR="00B56301" w:rsidRPr="00AE5F1B" w14:paraId="671540CF"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hideMark/>
          </w:tcPr>
          <w:p w14:paraId="090F1D25" w14:textId="0E38A15E"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Unspecified mix of HFCs and PFCs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23DDB842" w14:textId="77777777" w:rsidR="00B56301" w:rsidRPr="00AE5F1B" w:rsidRDefault="00B56301" w:rsidP="00B37B65">
            <w:pPr>
              <w:jc w:val="right"/>
              <w:rPr>
                <w:rFonts w:ascii="Times New Roman" w:hAnsi="Times New Roman"/>
                <w:sz w:val="18"/>
                <w:szCs w:val="18"/>
              </w:rPr>
            </w:pPr>
            <w:r>
              <w:rPr>
                <w:sz w:val="18"/>
                <w:szCs w:val="18"/>
              </w:rPr>
              <w:t>NO,NA</w:t>
            </w:r>
          </w:p>
        </w:tc>
        <w:tc>
          <w:tcPr>
            <w:tcW w:w="993" w:type="dxa"/>
            <w:tcBorders>
              <w:top w:val="nil"/>
              <w:left w:val="nil"/>
              <w:bottom w:val="single" w:sz="4" w:space="0" w:color="auto"/>
              <w:right w:val="single" w:sz="4" w:space="0" w:color="auto"/>
            </w:tcBorders>
            <w:shd w:val="clear" w:color="000000" w:fill="CCFFFF"/>
            <w:noWrap/>
            <w:vAlign w:val="bottom"/>
            <w:hideMark/>
          </w:tcPr>
          <w:p w14:paraId="0BF28F13" w14:textId="77777777" w:rsidR="00B56301" w:rsidRPr="00AE5F1B" w:rsidRDefault="00B56301" w:rsidP="00B37B65">
            <w:pPr>
              <w:jc w:val="right"/>
              <w:rPr>
                <w:rFonts w:ascii="Times New Roman" w:hAnsi="Times New Roman"/>
                <w:sz w:val="18"/>
                <w:szCs w:val="18"/>
              </w:rPr>
            </w:pPr>
            <w:r>
              <w:rPr>
                <w:sz w:val="18"/>
                <w:szCs w:val="18"/>
              </w:rPr>
              <w:t>NO,NA</w:t>
            </w:r>
          </w:p>
        </w:tc>
        <w:tc>
          <w:tcPr>
            <w:tcW w:w="1748" w:type="dxa"/>
            <w:tcBorders>
              <w:top w:val="nil"/>
              <w:left w:val="nil"/>
              <w:bottom w:val="single" w:sz="4" w:space="0" w:color="auto"/>
              <w:right w:val="single" w:sz="4" w:space="0" w:color="auto"/>
            </w:tcBorders>
            <w:shd w:val="clear" w:color="000000" w:fill="CCFFFF"/>
            <w:noWrap/>
            <w:vAlign w:val="bottom"/>
            <w:hideMark/>
          </w:tcPr>
          <w:p w14:paraId="7367903C" w14:textId="77777777" w:rsidR="00B56301" w:rsidRPr="00AE5F1B" w:rsidRDefault="00B56301" w:rsidP="00B37B65">
            <w:pPr>
              <w:jc w:val="right"/>
              <w:rPr>
                <w:rFonts w:ascii="Times New Roman" w:hAnsi="Times New Roman"/>
                <w:sz w:val="18"/>
                <w:szCs w:val="18"/>
              </w:rPr>
            </w:pPr>
            <w:r>
              <w:rPr>
                <w:sz w:val="18"/>
                <w:szCs w:val="18"/>
              </w:rPr>
              <w:t>0,00</w:t>
            </w:r>
          </w:p>
        </w:tc>
      </w:tr>
      <w:tr w:rsidR="00B56301" w:rsidRPr="00AE5F1B" w14:paraId="35B002D7"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35643E82" w14:textId="1945A0C8"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Emissions of</w:t>
            </w:r>
            <w:r w:rsidR="00260E0B">
              <w:rPr>
                <w:rFonts w:ascii="Times New Roman" w:hAnsi="Times New Roman"/>
                <w:b/>
                <w:bCs/>
                <w:sz w:val="20"/>
                <w:szCs w:val="18"/>
                <w:lang w:val="en-GB"/>
              </w:rPr>
              <w:t xml:space="preserve"> </w:t>
            </w:r>
            <w:r w:rsidR="007F09F7" w:rsidRPr="007F09F7">
              <w:rPr>
                <w:lang w:val="en-GB"/>
              </w:rPr>
              <w:t>SF</w:t>
            </w:r>
            <w:r w:rsidR="007F09F7" w:rsidRPr="007F09F7">
              <w:rPr>
                <w:vertAlign w:val="subscript"/>
                <w:lang w:val="en-GB"/>
              </w:rPr>
              <w:t>6</w:t>
            </w:r>
            <w:r w:rsidRPr="00AE5F1B">
              <w:rPr>
                <w:rFonts w:ascii="Times New Roman" w:hAnsi="Times New Roman"/>
                <w:b/>
                <w:bCs/>
                <w:sz w:val="20"/>
                <w:szCs w:val="18"/>
                <w:lang w:val="en-GB"/>
              </w:rPr>
              <w:t xml:space="preserve"> -</w:t>
            </w:r>
            <w:r w:rsidR="00260E0B">
              <w:rPr>
                <w:rFonts w:ascii="Times New Roman" w:hAnsi="Times New Roman"/>
                <w:b/>
                <w:bCs/>
                <w:sz w:val="20"/>
                <w:szCs w:val="18"/>
                <w:lang w:val="en-GB"/>
              </w:rPr>
              <w:t xml:space="preserve"> </w:t>
            </w:r>
            <w:r w:rsidRPr="00AE5F1B">
              <w:rPr>
                <w:rFonts w:ascii="Times New Roman" w:hAnsi="Times New Roman"/>
                <w:b/>
                <w:bCs/>
                <w:sz w:val="20"/>
                <w:szCs w:val="18"/>
                <w:lang w:val="en-GB"/>
              </w:rPr>
              <w:t xml:space="preserve">(kt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61BEDDFC" w14:textId="77777777" w:rsidR="00B56301" w:rsidRPr="00AE5F1B" w:rsidRDefault="00B56301" w:rsidP="00B37B65">
            <w:pPr>
              <w:jc w:val="right"/>
              <w:rPr>
                <w:rFonts w:ascii="Times New Roman" w:hAnsi="Times New Roman"/>
                <w:sz w:val="18"/>
                <w:szCs w:val="18"/>
              </w:rPr>
            </w:pPr>
            <w:r>
              <w:rPr>
                <w:sz w:val="18"/>
                <w:szCs w:val="18"/>
              </w:rPr>
              <w:t>385,40</w:t>
            </w:r>
          </w:p>
        </w:tc>
        <w:tc>
          <w:tcPr>
            <w:tcW w:w="993" w:type="dxa"/>
            <w:tcBorders>
              <w:top w:val="nil"/>
              <w:left w:val="nil"/>
              <w:bottom w:val="single" w:sz="4" w:space="0" w:color="auto"/>
              <w:right w:val="single" w:sz="4" w:space="0" w:color="auto"/>
            </w:tcBorders>
            <w:shd w:val="clear" w:color="000000" w:fill="CCFFFF"/>
            <w:noWrap/>
            <w:vAlign w:val="bottom"/>
            <w:hideMark/>
          </w:tcPr>
          <w:p w14:paraId="725707CD" w14:textId="77777777" w:rsidR="00B56301" w:rsidRPr="00AE5F1B" w:rsidRDefault="00B56301" w:rsidP="00B37B65">
            <w:pPr>
              <w:jc w:val="right"/>
              <w:rPr>
                <w:rFonts w:ascii="Times New Roman" w:hAnsi="Times New Roman"/>
                <w:sz w:val="18"/>
                <w:szCs w:val="18"/>
              </w:rPr>
            </w:pPr>
            <w:r>
              <w:rPr>
                <w:sz w:val="18"/>
                <w:szCs w:val="18"/>
              </w:rPr>
              <w:t>346,60</w:t>
            </w:r>
          </w:p>
        </w:tc>
        <w:tc>
          <w:tcPr>
            <w:tcW w:w="1748" w:type="dxa"/>
            <w:tcBorders>
              <w:top w:val="nil"/>
              <w:left w:val="nil"/>
              <w:bottom w:val="single" w:sz="4" w:space="0" w:color="auto"/>
              <w:right w:val="single" w:sz="4" w:space="0" w:color="auto"/>
            </w:tcBorders>
            <w:shd w:val="clear" w:color="000000" w:fill="CCFFFF"/>
            <w:noWrap/>
            <w:vAlign w:val="bottom"/>
            <w:hideMark/>
          </w:tcPr>
          <w:p w14:paraId="0FD33BF6" w14:textId="77777777" w:rsidR="00B56301" w:rsidRPr="00AE5F1B" w:rsidRDefault="00B56301" w:rsidP="00B37B65">
            <w:pPr>
              <w:jc w:val="right"/>
              <w:rPr>
                <w:rFonts w:ascii="Times New Roman" w:hAnsi="Times New Roman"/>
                <w:sz w:val="18"/>
                <w:szCs w:val="18"/>
              </w:rPr>
            </w:pPr>
            <w:r>
              <w:rPr>
                <w:sz w:val="18"/>
                <w:szCs w:val="18"/>
              </w:rPr>
              <w:t>-83,91</w:t>
            </w:r>
          </w:p>
        </w:tc>
      </w:tr>
      <w:tr w:rsidR="00B56301" w:rsidRPr="00AE5F1B" w14:paraId="5DF8E43B" w14:textId="77777777" w:rsidTr="00B37B65">
        <w:trPr>
          <w:trHeight w:val="68"/>
          <w:jc w:val="center"/>
        </w:trPr>
        <w:tc>
          <w:tcPr>
            <w:tcW w:w="3801" w:type="dxa"/>
            <w:tcBorders>
              <w:top w:val="single" w:sz="4" w:space="0" w:color="auto"/>
              <w:left w:val="single" w:sz="4" w:space="0" w:color="auto"/>
              <w:bottom w:val="nil"/>
              <w:right w:val="single" w:sz="4" w:space="0" w:color="auto"/>
            </w:tcBorders>
            <w:shd w:val="clear" w:color="000000" w:fill="CCFFFF"/>
            <w:vAlign w:val="center"/>
            <w:hideMark/>
          </w:tcPr>
          <w:p w14:paraId="3C69CDF8" w14:textId="5CD0E1F5" w:rsidR="00B56301" w:rsidRPr="00AE5F1B" w:rsidRDefault="007F09F7" w:rsidP="00B37B65">
            <w:pPr>
              <w:jc w:val="left"/>
              <w:rPr>
                <w:rFonts w:ascii="Times New Roman" w:hAnsi="Times New Roman"/>
                <w:sz w:val="20"/>
                <w:szCs w:val="18"/>
              </w:rPr>
            </w:pPr>
            <w:r>
              <w:t>SF</w:t>
            </w:r>
            <w:r w:rsidRPr="007F09F7">
              <w:rPr>
                <w:vertAlign w:val="subscript"/>
              </w:rPr>
              <w:t>6</w:t>
            </w:r>
          </w:p>
        </w:tc>
        <w:tc>
          <w:tcPr>
            <w:tcW w:w="993" w:type="dxa"/>
            <w:tcBorders>
              <w:top w:val="nil"/>
              <w:left w:val="single" w:sz="4" w:space="0" w:color="auto"/>
              <w:bottom w:val="single" w:sz="4" w:space="0" w:color="auto"/>
              <w:right w:val="single" w:sz="4" w:space="0" w:color="auto"/>
            </w:tcBorders>
            <w:shd w:val="clear" w:color="000000" w:fill="FFFFFF"/>
            <w:noWrap/>
            <w:vAlign w:val="bottom"/>
            <w:hideMark/>
          </w:tcPr>
          <w:p w14:paraId="420F7118" w14:textId="77777777" w:rsidR="00B56301" w:rsidRPr="00AE5F1B" w:rsidRDefault="00B56301" w:rsidP="00B37B65">
            <w:pPr>
              <w:jc w:val="right"/>
              <w:rPr>
                <w:rFonts w:ascii="Times New Roman" w:hAnsi="Times New Roman"/>
                <w:sz w:val="18"/>
                <w:szCs w:val="18"/>
              </w:rPr>
            </w:pPr>
            <w:r>
              <w:rPr>
                <w:sz w:val="18"/>
                <w:szCs w:val="18"/>
              </w:rPr>
              <w:t>0,02</w:t>
            </w:r>
          </w:p>
        </w:tc>
        <w:tc>
          <w:tcPr>
            <w:tcW w:w="993" w:type="dxa"/>
            <w:tcBorders>
              <w:top w:val="nil"/>
              <w:left w:val="nil"/>
              <w:bottom w:val="single" w:sz="4" w:space="0" w:color="auto"/>
              <w:right w:val="single" w:sz="4" w:space="0" w:color="auto"/>
            </w:tcBorders>
            <w:shd w:val="clear" w:color="000000" w:fill="FFFFFF"/>
            <w:noWrap/>
            <w:vAlign w:val="bottom"/>
            <w:hideMark/>
          </w:tcPr>
          <w:p w14:paraId="657282ED" w14:textId="77777777" w:rsidR="00B56301" w:rsidRPr="00AE5F1B" w:rsidRDefault="00B56301" w:rsidP="00B37B65">
            <w:pPr>
              <w:jc w:val="right"/>
              <w:rPr>
                <w:rFonts w:ascii="Times New Roman" w:hAnsi="Times New Roman"/>
                <w:sz w:val="18"/>
                <w:szCs w:val="18"/>
              </w:rPr>
            </w:pPr>
            <w:r>
              <w:rPr>
                <w:sz w:val="18"/>
                <w:szCs w:val="18"/>
              </w:rPr>
              <w:t>0,02</w:t>
            </w:r>
          </w:p>
        </w:tc>
        <w:tc>
          <w:tcPr>
            <w:tcW w:w="1748" w:type="dxa"/>
            <w:tcBorders>
              <w:top w:val="nil"/>
              <w:left w:val="nil"/>
              <w:bottom w:val="single" w:sz="4" w:space="0" w:color="auto"/>
              <w:right w:val="single" w:sz="4" w:space="0" w:color="auto"/>
            </w:tcBorders>
            <w:shd w:val="clear" w:color="000000" w:fill="FFFFFF"/>
            <w:noWrap/>
            <w:vAlign w:val="bottom"/>
            <w:hideMark/>
          </w:tcPr>
          <w:p w14:paraId="7515BCCC" w14:textId="77777777" w:rsidR="00B56301" w:rsidRPr="00AE5F1B" w:rsidRDefault="00B56301" w:rsidP="00B37B65">
            <w:pPr>
              <w:jc w:val="right"/>
              <w:rPr>
                <w:rFonts w:ascii="Times New Roman" w:hAnsi="Times New Roman"/>
                <w:sz w:val="18"/>
                <w:szCs w:val="18"/>
              </w:rPr>
            </w:pPr>
            <w:r>
              <w:rPr>
                <w:sz w:val="18"/>
                <w:szCs w:val="18"/>
              </w:rPr>
              <w:t>-83,91</w:t>
            </w:r>
          </w:p>
        </w:tc>
      </w:tr>
      <w:tr w:rsidR="00B56301" w:rsidRPr="00AE5F1B" w14:paraId="6F34D969" w14:textId="77777777" w:rsidTr="00B37B65">
        <w:trPr>
          <w:trHeight w:val="68"/>
          <w:jc w:val="center"/>
        </w:trPr>
        <w:tc>
          <w:tcPr>
            <w:tcW w:w="3801"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30588AAB" w14:textId="79936007" w:rsidR="00B56301" w:rsidRPr="00AE5F1B" w:rsidRDefault="00B56301" w:rsidP="00B37B65">
            <w:pPr>
              <w:jc w:val="left"/>
              <w:rPr>
                <w:rFonts w:ascii="Times New Roman" w:hAnsi="Times New Roman"/>
                <w:b/>
                <w:bCs/>
                <w:sz w:val="20"/>
                <w:szCs w:val="18"/>
                <w:lang w:val="en-GB"/>
              </w:rPr>
            </w:pPr>
            <w:r w:rsidRPr="00AE5F1B">
              <w:rPr>
                <w:rFonts w:ascii="Times New Roman" w:hAnsi="Times New Roman"/>
                <w:b/>
                <w:bCs/>
                <w:sz w:val="20"/>
                <w:szCs w:val="18"/>
                <w:lang w:val="en-GB"/>
              </w:rPr>
              <w:t xml:space="preserve">Emissions of </w:t>
            </w:r>
            <w:r w:rsidR="007F09F7" w:rsidRPr="007F09F7">
              <w:rPr>
                <w:sz w:val="18"/>
                <w:lang w:val="en-GB"/>
              </w:rPr>
              <w:t>NF</w:t>
            </w:r>
            <w:r w:rsidR="007F09F7" w:rsidRPr="007F09F7">
              <w:rPr>
                <w:sz w:val="18"/>
                <w:vertAlign w:val="subscript"/>
                <w:lang w:val="en-GB"/>
              </w:rPr>
              <w:t>3</w:t>
            </w:r>
            <w:r w:rsidRPr="00AE5F1B">
              <w:rPr>
                <w:rFonts w:ascii="Times New Roman" w:hAnsi="Times New Roman"/>
                <w:b/>
                <w:bCs/>
                <w:sz w:val="20"/>
                <w:szCs w:val="18"/>
                <w:lang w:val="en-GB"/>
              </w:rPr>
              <w:t xml:space="preserve"> - (kt </w:t>
            </w:r>
            <w:r w:rsidR="007F09F7" w:rsidRPr="007F09F7">
              <w:rPr>
                <w:lang w:val="en-GB"/>
              </w:rPr>
              <w:t>CO</w:t>
            </w:r>
            <w:r w:rsidR="007F09F7" w:rsidRPr="007F09F7">
              <w:rPr>
                <w:vertAlign w:val="subscript"/>
                <w:lang w:val="en-GB"/>
              </w:rPr>
              <w:t>2</w:t>
            </w:r>
            <w:r w:rsidRPr="00AE5F1B">
              <w:rPr>
                <w:rFonts w:ascii="Times New Roman" w:hAnsi="Times New Roman"/>
                <w:b/>
                <w:bCs/>
                <w:sz w:val="20"/>
                <w:szCs w:val="18"/>
                <w:lang w:val="en-GB"/>
              </w:rPr>
              <w:t xml:space="preserve"> equivalent)</w:t>
            </w:r>
          </w:p>
        </w:tc>
        <w:tc>
          <w:tcPr>
            <w:tcW w:w="993" w:type="dxa"/>
            <w:tcBorders>
              <w:top w:val="nil"/>
              <w:left w:val="nil"/>
              <w:bottom w:val="single" w:sz="4" w:space="0" w:color="auto"/>
              <w:right w:val="single" w:sz="4" w:space="0" w:color="auto"/>
            </w:tcBorders>
            <w:shd w:val="clear" w:color="000000" w:fill="CCFFFF"/>
            <w:noWrap/>
            <w:vAlign w:val="bottom"/>
            <w:hideMark/>
          </w:tcPr>
          <w:p w14:paraId="4FCC96CA" w14:textId="77777777" w:rsidR="00B56301" w:rsidRPr="00AE5F1B" w:rsidRDefault="00B56301" w:rsidP="00B37B65">
            <w:pPr>
              <w:jc w:val="right"/>
              <w:rPr>
                <w:rFonts w:ascii="Times New Roman" w:hAnsi="Times New Roman"/>
                <w:sz w:val="18"/>
                <w:szCs w:val="18"/>
              </w:rPr>
            </w:pPr>
            <w:r>
              <w:rPr>
                <w:sz w:val="18"/>
                <w:szCs w:val="18"/>
              </w:rPr>
              <w:t>10,29</w:t>
            </w:r>
          </w:p>
        </w:tc>
        <w:tc>
          <w:tcPr>
            <w:tcW w:w="993" w:type="dxa"/>
            <w:tcBorders>
              <w:top w:val="nil"/>
              <w:left w:val="nil"/>
              <w:bottom w:val="single" w:sz="4" w:space="0" w:color="auto"/>
              <w:right w:val="single" w:sz="4" w:space="0" w:color="auto"/>
            </w:tcBorders>
            <w:shd w:val="clear" w:color="000000" w:fill="CCFFFF"/>
            <w:noWrap/>
            <w:vAlign w:val="bottom"/>
            <w:hideMark/>
          </w:tcPr>
          <w:p w14:paraId="76C1A6F6" w14:textId="77777777" w:rsidR="00B56301" w:rsidRPr="00AE5F1B" w:rsidRDefault="00B56301" w:rsidP="00B37B65">
            <w:pPr>
              <w:jc w:val="right"/>
              <w:rPr>
                <w:rFonts w:ascii="Times New Roman" w:hAnsi="Times New Roman"/>
                <w:sz w:val="18"/>
                <w:szCs w:val="18"/>
              </w:rPr>
            </w:pPr>
            <w:r>
              <w:rPr>
                <w:sz w:val="18"/>
                <w:szCs w:val="18"/>
              </w:rPr>
              <w:t>8,54</w:t>
            </w:r>
          </w:p>
        </w:tc>
        <w:tc>
          <w:tcPr>
            <w:tcW w:w="1748" w:type="dxa"/>
            <w:tcBorders>
              <w:top w:val="nil"/>
              <w:left w:val="nil"/>
              <w:bottom w:val="single" w:sz="4" w:space="0" w:color="auto"/>
              <w:right w:val="single" w:sz="4" w:space="0" w:color="auto"/>
            </w:tcBorders>
            <w:shd w:val="clear" w:color="000000" w:fill="CCFFFF"/>
            <w:noWrap/>
            <w:vAlign w:val="bottom"/>
            <w:hideMark/>
          </w:tcPr>
          <w:p w14:paraId="7E2F1490" w14:textId="77777777" w:rsidR="00B56301" w:rsidRPr="00AE5F1B" w:rsidRDefault="00B56301" w:rsidP="00B37B65">
            <w:pPr>
              <w:jc w:val="right"/>
              <w:rPr>
                <w:rFonts w:ascii="Times New Roman" w:hAnsi="Times New Roman"/>
                <w:sz w:val="18"/>
                <w:szCs w:val="18"/>
              </w:rPr>
            </w:pPr>
            <w:r>
              <w:rPr>
                <w:sz w:val="18"/>
                <w:szCs w:val="18"/>
              </w:rPr>
              <w:t>-48,18</w:t>
            </w:r>
          </w:p>
        </w:tc>
      </w:tr>
      <w:tr w:rsidR="00B56301" w:rsidRPr="00AE5F1B" w14:paraId="3CBF6166" w14:textId="77777777" w:rsidTr="00B37B65">
        <w:trPr>
          <w:trHeight w:val="68"/>
          <w:jc w:val="center"/>
        </w:trPr>
        <w:tc>
          <w:tcPr>
            <w:tcW w:w="3801" w:type="dxa"/>
            <w:tcBorders>
              <w:top w:val="nil"/>
              <w:left w:val="single" w:sz="4" w:space="0" w:color="auto"/>
              <w:bottom w:val="single" w:sz="4" w:space="0" w:color="auto"/>
              <w:right w:val="single" w:sz="4" w:space="0" w:color="auto"/>
            </w:tcBorders>
            <w:shd w:val="clear" w:color="000000" w:fill="CCFFFF"/>
            <w:vAlign w:val="center"/>
            <w:hideMark/>
          </w:tcPr>
          <w:p w14:paraId="59859026" w14:textId="67B92C19" w:rsidR="00B56301" w:rsidRPr="00AE5F1B" w:rsidRDefault="007F09F7" w:rsidP="00B37B65">
            <w:pPr>
              <w:jc w:val="left"/>
              <w:rPr>
                <w:rFonts w:ascii="Times New Roman" w:hAnsi="Times New Roman"/>
                <w:sz w:val="20"/>
                <w:szCs w:val="18"/>
              </w:rPr>
            </w:pPr>
            <w:r>
              <w:rPr>
                <w:sz w:val="18"/>
              </w:rPr>
              <w:t>NF</w:t>
            </w:r>
            <w:r w:rsidRPr="007F09F7">
              <w:rPr>
                <w:sz w:val="18"/>
                <w:vertAlign w:val="subscript"/>
              </w:rPr>
              <w:t>3</w:t>
            </w:r>
          </w:p>
        </w:tc>
        <w:tc>
          <w:tcPr>
            <w:tcW w:w="993" w:type="dxa"/>
            <w:tcBorders>
              <w:top w:val="nil"/>
              <w:left w:val="nil"/>
              <w:bottom w:val="single" w:sz="4" w:space="0" w:color="auto"/>
              <w:right w:val="single" w:sz="4" w:space="0" w:color="auto"/>
            </w:tcBorders>
            <w:shd w:val="clear" w:color="000000" w:fill="FFFFFF"/>
            <w:noWrap/>
            <w:vAlign w:val="bottom"/>
            <w:hideMark/>
          </w:tcPr>
          <w:p w14:paraId="73F7D725" w14:textId="77777777" w:rsidR="00B56301" w:rsidRPr="00AE5F1B" w:rsidRDefault="00B56301" w:rsidP="00B37B65">
            <w:pPr>
              <w:jc w:val="right"/>
              <w:rPr>
                <w:rFonts w:ascii="Times New Roman" w:hAnsi="Times New Roman"/>
                <w:sz w:val="18"/>
                <w:szCs w:val="18"/>
              </w:rPr>
            </w:pPr>
            <w:r>
              <w:rPr>
                <w:sz w:val="18"/>
                <w:szCs w:val="18"/>
              </w:rPr>
              <w:t>0,00</w:t>
            </w:r>
          </w:p>
        </w:tc>
        <w:tc>
          <w:tcPr>
            <w:tcW w:w="993" w:type="dxa"/>
            <w:tcBorders>
              <w:top w:val="nil"/>
              <w:left w:val="nil"/>
              <w:bottom w:val="single" w:sz="4" w:space="0" w:color="auto"/>
              <w:right w:val="single" w:sz="4" w:space="0" w:color="auto"/>
            </w:tcBorders>
            <w:shd w:val="clear" w:color="000000" w:fill="FFFFFF"/>
            <w:noWrap/>
            <w:vAlign w:val="bottom"/>
            <w:hideMark/>
          </w:tcPr>
          <w:p w14:paraId="0605A260" w14:textId="77777777" w:rsidR="00B56301" w:rsidRPr="00AE5F1B" w:rsidRDefault="00B56301" w:rsidP="00B37B65">
            <w:pPr>
              <w:jc w:val="right"/>
              <w:rPr>
                <w:rFonts w:ascii="Times New Roman" w:hAnsi="Times New Roman"/>
                <w:sz w:val="18"/>
                <w:szCs w:val="18"/>
              </w:rPr>
            </w:pPr>
            <w:r>
              <w:rPr>
                <w:sz w:val="18"/>
                <w:szCs w:val="18"/>
              </w:rPr>
              <w:t>0,00</w:t>
            </w:r>
          </w:p>
        </w:tc>
        <w:tc>
          <w:tcPr>
            <w:tcW w:w="1748" w:type="dxa"/>
            <w:tcBorders>
              <w:top w:val="nil"/>
              <w:left w:val="nil"/>
              <w:bottom w:val="single" w:sz="4" w:space="0" w:color="auto"/>
              <w:right w:val="single" w:sz="4" w:space="0" w:color="auto"/>
            </w:tcBorders>
            <w:shd w:val="clear" w:color="000000" w:fill="FFFFFF"/>
            <w:noWrap/>
            <w:vAlign w:val="bottom"/>
            <w:hideMark/>
          </w:tcPr>
          <w:p w14:paraId="21330123" w14:textId="77777777" w:rsidR="00B56301" w:rsidRPr="00AE5F1B" w:rsidRDefault="00B56301" w:rsidP="00B37B65">
            <w:pPr>
              <w:jc w:val="right"/>
              <w:rPr>
                <w:rFonts w:ascii="Times New Roman" w:hAnsi="Times New Roman"/>
                <w:sz w:val="18"/>
                <w:szCs w:val="18"/>
              </w:rPr>
            </w:pPr>
            <w:r>
              <w:rPr>
                <w:sz w:val="18"/>
                <w:szCs w:val="18"/>
              </w:rPr>
              <w:t>-48,18</w:t>
            </w:r>
          </w:p>
        </w:tc>
      </w:tr>
    </w:tbl>
    <w:p w14:paraId="15085D0D" w14:textId="77777777" w:rsidR="00B56301" w:rsidRDefault="00B56301" w:rsidP="00B56301">
      <w:pPr>
        <w:spacing w:line="240" w:lineRule="atLeast"/>
        <w:jc w:val="left"/>
        <w:rPr>
          <w:rFonts w:cs="Arial"/>
        </w:rPr>
      </w:pPr>
    </w:p>
    <w:p w14:paraId="7CE66AC6" w14:textId="77777777" w:rsidR="00B56301" w:rsidRDefault="00B56301" w:rsidP="00B56301">
      <w:pPr>
        <w:spacing w:line="240" w:lineRule="atLeast"/>
        <w:jc w:val="left"/>
        <w:rPr>
          <w:rFonts w:cs="Arial"/>
        </w:rPr>
      </w:pPr>
      <w:r>
        <w:rPr>
          <w:rFonts w:cs="Arial"/>
        </w:rPr>
        <w:br w:type="page"/>
      </w:r>
    </w:p>
    <w:p w14:paraId="2E9B30D5" w14:textId="6CDE6855" w:rsidR="00B56301" w:rsidRDefault="00B56301" w:rsidP="003F57EA">
      <w:pPr>
        <w:pStyle w:val="Titre2Niveau2"/>
        <w:numPr>
          <w:ilvl w:val="0"/>
          <w:numId w:val="62"/>
        </w:numPr>
      </w:pPr>
      <w:bookmarkStart w:id="823" w:name="_Toc138344566"/>
      <w:r>
        <w:t>Résumé (périmètre « Kyoto » - kt</w:t>
      </w:r>
      <w:r w:rsidR="007F09F7">
        <w:t>CO</w:t>
      </w:r>
      <w:r w:rsidR="007F09F7" w:rsidRPr="007F09F7">
        <w:rPr>
          <w:vertAlign w:val="subscript"/>
        </w:rPr>
        <w:t>2</w:t>
      </w:r>
      <w:r w:rsidR="004F1EC8" w:rsidRPr="004F1EC8">
        <w:rPr>
          <w:vertAlign w:val="subscript"/>
        </w:rPr>
        <w:t>e</w:t>
      </w:r>
      <w:r>
        <w:t>)</w:t>
      </w:r>
      <w:bookmarkEnd w:id="823"/>
    </w:p>
    <w:p w14:paraId="12AD1B72" w14:textId="77777777" w:rsidR="00B56301" w:rsidRPr="008B7747" w:rsidRDefault="00B56301" w:rsidP="00B56301"/>
    <w:tbl>
      <w:tblPr>
        <w:tblW w:w="974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CD6B25" w14:paraId="5D86920F"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1602A382" w14:textId="77777777" w:rsidR="00B56301" w:rsidRPr="00CD6B25" w:rsidRDefault="00B56301" w:rsidP="00B37B65">
            <w:pPr>
              <w:jc w:val="left"/>
              <w:rPr>
                <w:rFonts w:ascii="Times New Roman" w:hAnsi="Times New Roman"/>
                <w:b/>
                <w:bCs/>
                <w:sz w:val="18"/>
                <w:szCs w:val="18"/>
              </w:rPr>
            </w:pPr>
            <w:bookmarkStart w:id="824" w:name="RANGE!A5:AH21"/>
            <w:r w:rsidRPr="00CD6B25">
              <w:rPr>
                <w:rFonts w:ascii="Times New Roman" w:hAnsi="Times New Roman"/>
                <w:b/>
                <w:bCs/>
                <w:sz w:val="18"/>
                <w:szCs w:val="18"/>
              </w:rPr>
              <w:t>GREENHOUSE GAS EMISSIONS</w:t>
            </w:r>
            <w:bookmarkEnd w:id="824"/>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E476373"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Base year</w:t>
            </w:r>
            <w:r w:rsidRPr="00CD6B25">
              <w:rPr>
                <w:rFonts w:ascii="Times New Roman" w:hAnsi="Times New Roman"/>
                <w:b/>
                <w:bCs/>
                <w:sz w:val="18"/>
                <w:szCs w:val="18"/>
                <w:vertAlign w:val="superscript"/>
              </w:rPr>
              <w:t>(1)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3BF3FF2"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1990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2B04E27C"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1991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5717208"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1992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C308595"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1993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C817588" w14:textId="77777777" w:rsidR="00B56301" w:rsidRPr="00CD6B25" w:rsidRDefault="00B56301" w:rsidP="00B37B65">
            <w:pPr>
              <w:jc w:val="center"/>
              <w:rPr>
                <w:rFonts w:ascii="Times New Roman" w:hAnsi="Times New Roman"/>
                <w:b/>
                <w:bCs/>
                <w:sz w:val="18"/>
                <w:szCs w:val="18"/>
              </w:rPr>
            </w:pPr>
            <w:r w:rsidRPr="00CD6B25">
              <w:rPr>
                <w:rFonts w:ascii="Times New Roman" w:hAnsi="Times New Roman"/>
                <w:b/>
                <w:bCs/>
                <w:sz w:val="18"/>
                <w:szCs w:val="18"/>
              </w:rPr>
              <w:t>1994</w:t>
            </w:r>
          </w:p>
        </w:tc>
      </w:tr>
      <w:tr w:rsidR="00B56301" w:rsidRPr="00CD6B25" w14:paraId="6D35EFDE"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E9E375F" w14:textId="41F200B2"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6BEFCE5"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398424,79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7F8BEAC"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398424,79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CB7B263"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423829,90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E435B0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412416,79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907037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394185,24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D1BC3D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388285,64</w:t>
            </w:r>
          </w:p>
        </w:tc>
      </w:tr>
      <w:tr w:rsidR="00B56301" w:rsidRPr="00CD6B25" w14:paraId="7770ED39"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493FF7C8" w14:textId="11F2172F"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6118F4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370279,74</w:t>
            </w:r>
          </w:p>
        </w:tc>
        <w:tc>
          <w:tcPr>
            <w:tcW w:w="992" w:type="dxa"/>
            <w:tcBorders>
              <w:top w:val="nil"/>
              <w:left w:val="nil"/>
              <w:bottom w:val="single" w:sz="4" w:space="0" w:color="auto"/>
              <w:right w:val="single" w:sz="4" w:space="0" w:color="auto"/>
            </w:tcBorders>
            <w:shd w:val="clear" w:color="000000" w:fill="CCFFFF"/>
            <w:noWrap/>
            <w:vAlign w:val="bottom"/>
            <w:hideMark/>
          </w:tcPr>
          <w:p w14:paraId="5AB30FB4"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370279,74</w:t>
            </w:r>
          </w:p>
        </w:tc>
        <w:tc>
          <w:tcPr>
            <w:tcW w:w="992" w:type="dxa"/>
            <w:tcBorders>
              <w:top w:val="nil"/>
              <w:left w:val="nil"/>
              <w:bottom w:val="single" w:sz="4" w:space="0" w:color="auto"/>
              <w:right w:val="single" w:sz="4" w:space="0" w:color="auto"/>
            </w:tcBorders>
            <w:shd w:val="clear" w:color="000000" w:fill="CCFFFF"/>
            <w:noWrap/>
            <w:vAlign w:val="bottom"/>
            <w:hideMark/>
          </w:tcPr>
          <w:p w14:paraId="226E55F7"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395564,35</w:t>
            </w:r>
          </w:p>
        </w:tc>
        <w:tc>
          <w:tcPr>
            <w:tcW w:w="992" w:type="dxa"/>
            <w:tcBorders>
              <w:top w:val="nil"/>
              <w:left w:val="nil"/>
              <w:bottom w:val="single" w:sz="4" w:space="0" w:color="auto"/>
              <w:right w:val="single" w:sz="4" w:space="0" w:color="auto"/>
            </w:tcBorders>
            <w:shd w:val="clear" w:color="000000" w:fill="CCFFFF"/>
            <w:noWrap/>
            <w:vAlign w:val="bottom"/>
            <w:hideMark/>
          </w:tcPr>
          <w:p w14:paraId="7DE4BBF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386207,36</w:t>
            </w:r>
          </w:p>
        </w:tc>
        <w:tc>
          <w:tcPr>
            <w:tcW w:w="992" w:type="dxa"/>
            <w:tcBorders>
              <w:top w:val="nil"/>
              <w:left w:val="nil"/>
              <w:bottom w:val="single" w:sz="4" w:space="0" w:color="auto"/>
              <w:right w:val="single" w:sz="4" w:space="0" w:color="auto"/>
            </w:tcBorders>
            <w:shd w:val="clear" w:color="000000" w:fill="CCFFFF"/>
            <w:noWrap/>
            <w:vAlign w:val="bottom"/>
            <w:hideMark/>
          </w:tcPr>
          <w:p w14:paraId="4B0B1D3D"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364902,59</w:t>
            </w:r>
          </w:p>
        </w:tc>
        <w:tc>
          <w:tcPr>
            <w:tcW w:w="992" w:type="dxa"/>
            <w:tcBorders>
              <w:top w:val="nil"/>
              <w:left w:val="nil"/>
              <w:bottom w:val="single" w:sz="4" w:space="0" w:color="auto"/>
              <w:right w:val="single" w:sz="4" w:space="0" w:color="auto"/>
            </w:tcBorders>
            <w:shd w:val="clear" w:color="000000" w:fill="CCFFFF"/>
            <w:noWrap/>
            <w:vAlign w:val="bottom"/>
            <w:hideMark/>
          </w:tcPr>
          <w:p w14:paraId="046D7D6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359027,48</w:t>
            </w:r>
          </w:p>
        </w:tc>
      </w:tr>
      <w:tr w:rsidR="00B56301" w:rsidRPr="00CD6B25" w14:paraId="79EFC2FA"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24999DE" w14:textId="19093CFD"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CA0C4B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69160,89</w:t>
            </w:r>
          </w:p>
        </w:tc>
        <w:tc>
          <w:tcPr>
            <w:tcW w:w="992" w:type="dxa"/>
            <w:tcBorders>
              <w:top w:val="nil"/>
              <w:left w:val="nil"/>
              <w:bottom w:val="single" w:sz="4" w:space="0" w:color="auto"/>
              <w:right w:val="single" w:sz="4" w:space="0" w:color="auto"/>
            </w:tcBorders>
            <w:shd w:val="clear" w:color="000000" w:fill="CCFFFF"/>
            <w:noWrap/>
            <w:vAlign w:val="bottom"/>
            <w:hideMark/>
          </w:tcPr>
          <w:p w14:paraId="5EA7B656"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69160,89</w:t>
            </w:r>
          </w:p>
        </w:tc>
        <w:tc>
          <w:tcPr>
            <w:tcW w:w="992" w:type="dxa"/>
            <w:tcBorders>
              <w:top w:val="nil"/>
              <w:left w:val="nil"/>
              <w:bottom w:val="single" w:sz="4" w:space="0" w:color="auto"/>
              <w:right w:val="single" w:sz="4" w:space="0" w:color="auto"/>
            </w:tcBorders>
            <w:shd w:val="clear" w:color="000000" w:fill="CCFFFF"/>
            <w:noWrap/>
            <w:vAlign w:val="bottom"/>
            <w:hideMark/>
          </w:tcPr>
          <w:p w14:paraId="630AE5D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69635,13</w:t>
            </w:r>
          </w:p>
        </w:tc>
        <w:tc>
          <w:tcPr>
            <w:tcW w:w="992" w:type="dxa"/>
            <w:tcBorders>
              <w:top w:val="nil"/>
              <w:left w:val="nil"/>
              <w:bottom w:val="single" w:sz="4" w:space="0" w:color="auto"/>
              <w:right w:val="single" w:sz="4" w:space="0" w:color="auto"/>
            </w:tcBorders>
            <w:shd w:val="clear" w:color="000000" w:fill="CCFFFF"/>
            <w:noWrap/>
            <w:vAlign w:val="bottom"/>
            <w:hideMark/>
          </w:tcPr>
          <w:p w14:paraId="342173A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69725,10</w:t>
            </w:r>
          </w:p>
        </w:tc>
        <w:tc>
          <w:tcPr>
            <w:tcW w:w="992" w:type="dxa"/>
            <w:tcBorders>
              <w:top w:val="nil"/>
              <w:left w:val="nil"/>
              <w:bottom w:val="single" w:sz="4" w:space="0" w:color="auto"/>
              <w:right w:val="single" w:sz="4" w:space="0" w:color="auto"/>
            </w:tcBorders>
            <w:shd w:val="clear" w:color="000000" w:fill="CCFFFF"/>
            <w:noWrap/>
            <w:vAlign w:val="bottom"/>
            <w:hideMark/>
          </w:tcPr>
          <w:p w14:paraId="025FA19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70132,03</w:t>
            </w:r>
          </w:p>
        </w:tc>
        <w:tc>
          <w:tcPr>
            <w:tcW w:w="992" w:type="dxa"/>
            <w:tcBorders>
              <w:top w:val="nil"/>
              <w:left w:val="nil"/>
              <w:bottom w:val="single" w:sz="4" w:space="0" w:color="auto"/>
              <w:right w:val="single" w:sz="4" w:space="0" w:color="auto"/>
            </w:tcBorders>
            <w:shd w:val="clear" w:color="000000" w:fill="CCFFFF"/>
            <w:noWrap/>
            <w:vAlign w:val="bottom"/>
            <w:hideMark/>
          </w:tcPr>
          <w:p w14:paraId="29C80836"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70008,34</w:t>
            </w:r>
          </w:p>
        </w:tc>
      </w:tr>
      <w:tr w:rsidR="00B56301" w:rsidRPr="00CD6B25" w14:paraId="03180D5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E17ECF9" w14:textId="218B6DDF"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6EB0BE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70093,52</w:t>
            </w:r>
          </w:p>
        </w:tc>
        <w:tc>
          <w:tcPr>
            <w:tcW w:w="992" w:type="dxa"/>
            <w:tcBorders>
              <w:top w:val="nil"/>
              <w:left w:val="nil"/>
              <w:bottom w:val="single" w:sz="4" w:space="0" w:color="auto"/>
              <w:right w:val="single" w:sz="4" w:space="0" w:color="auto"/>
            </w:tcBorders>
            <w:shd w:val="clear" w:color="000000" w:fill="CCFFFF"/>
            <w:noWrap/>
            <w:vAlign w:val="bottom"/>
            <w:hideMark/>
          </w:tcPr>
          <w:p w14:paraId="3234C27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70093,52</w:t>
            </w:r>
          </w:p>
        </w:tc>
        <w:tc>
          <w:tcPr>
            <w:tcW w:w="992" w:type="dxa"/>
            <w:tcBorders>
              <w:top w:val="nil"/>
              <w:left w:val="nil"/>
              <w:bottom w:val="single" w:sz="4" w:space="0" w:color="auto"/>
              <w:right w:val="single" w:sz="4" w:space="0" w:color="auto"/>
            </w:tcBorders>
            <w:shd w:val="clear" w:color="000000" w:fill="CCFFFF"/>
            <w:noWrap/>
            <w:vAlign w:val="bottom"/>
            <w:hideMark/>
          </w:tcPr>
          <w:p w14:paraId="2D13FF9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70627,10</w:t>
            </w:r>
          </w:p>
        </w:tc>
        <w:tc>
          <w:tcPr>
            <w:tcW w:w="992" w:type="dxa"/>
            <w:tcBorders>
              <w:top w:val="nil"/>
              <w:left w:val="nil"/>
              <w:bottom w:val="single" w:sz="4" w:space="0" w:color="auto"/>
              <w:right w:val="single" w:sz="4" w:space="0" w:color="auto"/>
            </w:tcBorders>
            <w:shd w:val="clear" w:color="000000" w:fill="CCFFFF"/>
            <w:noWrap/>
            <w:vAlign w:val="bottom"/>
            <w:hideMark/>
          </w:tcPr>
          <w:p w14:paraId="7341AAA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70750,23</w:t>
            </w:r>
          </w:p>
        </w:tc>
        <w:tc>
          <w:tcPr>
            <w:tcW w:w="992" w:type="dxa"/>
            <w:tcBorders>
              <w:top w:val="nil"/>
              <w:left w:val="nil"/>
              <w:bottom w:val="single" w:sz="4" w:space="0" w:color="auto"/>
              <w:right w:val="single" w:sz="4" w:space="0" w:color="auto"/>
            </w:tcBorders>
            <w:shd w:val="clear" w:color="000000" w:fill="CCFFFF"/>
            <w:noWrap/>
            <w:vAlign w:val="bottom"/>
            <w:hideMark/>
          </w:tcPr>
          <w:p w14:paraId="393BF413"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71140,07</w:t>
            </w:r>
          </w:p>
        </w:tc>
        <w:tc>
          <w:tcPr>
            <w:tcW w:w="992" w:type="dxa"/>
            <w:tcBorders>
              <w:top w:val="nil"/>
              <w:left w:val="nil"/>
              <w:bottom w:val="single" w:sz="4" w:space="0" w:color="auto"/>
              <w:right w:val="single" w:sz="4" w:space="0" w:color="auto"/>
            </w:tcBorders>
            <w:shd w:val="clear" w:color="000000" w:fill="CCFFFF"/>
            <w:noWrap/>
            <w:vAlign w:val="bottom"/>
            <w:hideMark/>
          </w:tcPr>
          <w:p w14:paraId="4C0F540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73454,86</w:t>
            </w:r>
          </w:p>
        </w:tc>
      </w:tr>
      <w:tr w:rsidR="00B56301" w:rsidRPr="00CD6B25" w14:paraId="4ECC4AD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CC509FD" w14:textId="15228876"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E1D1604"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64724,84</w:t>
            </w:r>
          </w:p>
        </w:tc>
        <w:tc>
          <w:tcPr>
            <w:tcW w:w="992" w:type="dxa"/>
            <w:tcBorders>
              <w:top w:val="nil"/>
              <w:left w:val="nil"/>
              <w:bottom w:val="single" w:sz="4" w:space="0" w:color="auto"/>
              <w:right w:val="single" w:sz="4" w:space="0" w:color="auto"/>
            </w:tcBorders>
            <w:shd w:val="clear" w:color="000000" w:fill="CCFFFF"/>
            <w:noWrap/>
            <w:vAlign w:val="bottom"/>
            <w:hideMark/>
          </w:tcPr>
          <w:p w14:paraId="7CE25F8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64724,84</w:t>
            </w:r>
          </w:p>
        </w:tc>
        <w:tc>
          <w:tcPr>
            <w:tcW w:w="992" w:type="dxa"/>
            <w:tcBorders>
              <w:top w:val="nil"/>
              <w:left w:val="nil"/>
              <w:bottom w:val="single" w:sz="4" w:space="0" w:color="auto"/>
              <w:right w:val="single" w:sz="4" w:space="0" w:color="auto"/>
            </w:tcBorders>
            <w:shd w:val="clear" w:color="000000" w:fill="CCFFFF"/>
            <w:noWrap/>
            <w:vAlign w:val="bottom"/>
            <w:hideMark/>
          </w:tcPr>
          <w:p w14:paraId="1377DA9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65314,49</w:t>
            </w:r>
          </w:p>
        </w:tc>
        <w:tc>
          <w:tcPr>
            <w:tcW w:w="992" w:type="dxa"/>
            <w:tcBorders>
              <w:top w:val="nil"/>
              <w:left w:val="nil"/>
              <w:bottom w:val="single" w:sz="4" w:space="0" w:color="auto"/>
              <w:right w:val="single" w:sz="4" w:space="0" w:color="auto"/>
            </w:tcBorders>
            <w:shd w:val="clear" w:color="000000" w:fill="CCFFFF"/>
            <w:noWrap/>
            <w:vAlign w:val="bottom"/>
            <w:hideMark/>
          </w:tcPr>
          <w:p w14:paraId="7808D7B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65007,10</w:t>
            </w:r>
          </w:p>
        </w:tc>
        <w:tc>
          <w:tcPr>
            <w:tcW w:w="992" w:type="dxa"/>
            <w:tcBorders>
              <w:top w:val="nil"/>
              <w:left w:val="nil"/>
              <w:bottom w:val="single" w:sz="4" w:space="0" w:color="auto"/>
              <w:right w:val="single" w:sz="4" w:space="0" w:color="auto"/>
            </w:tcBorders>
            <w:shd w:val="clear" w:color="000000" w:fill="CCFFFF"/>
            <w:noWrap/>
            <w:vAlign w:val="bottom"/>
            <w:hideMark/>
          </w:tcPr>
          <w:p w14:paraId="0649A9E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64262,37</w:t>
            </w:r>
          </w:p>
        </w:tc>
        <w:tc>
          <w:tcPr>
            <w:tcW w:w="992" w:type="dxa"/>
            <w:tcBorders>
              <w:top w:val="nil"/>
              <w:left w:val="nil"/>
              <w:bottom w:val="single" w:sz="4" w:space="0" w:color="auto"/>
              <w:right w:val="single" w:sz="4" w:space="0" w:color="auto"/>
            </w:tcBorders>
            <w:shd w:val="clear" w:color="000000" w:fill="CCFFFF"/>
            <w:noWrap/>
            <w:vAlign w:val="bottom"/>
            <w:hideMark/>
          </w:tcPr>
          <w:p w14:paraId="5307015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64384,75</w:t>
            </w:r>
          </w:p>
        </w:tc>
      </w:tr>
      <w:tr w:rsidR="00B56301" w:rsidRPr="00CD6B25" w14:paraId="0BD8C70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E5EFB56" w14:textId="4094EB52"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CDCC9B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67951,07</w:t>
            </w:r>
          </w:p>
        </w:tc>
        <w:tc>
          <w:tcPr>
            <w:tcW w:w="992" w:type="dxa"/>
            <w:tcBorders>
              <w:top w:val="nil"/>
              <w:left w:val="nil"/>
              <w:bottom w:val="single" w:sz="4" w:space="0" w:color="auto"/>
              <w:right w:val="single" w:sz="4" w:space="0" w:color="auto"/>
            </w:tcBorders>
            <w:shd w:val="clear" w:color="000000" w:fill="CCFFFF"/>
            <w:noWrap/>
            <w:vAlign w:val="bottom"/>
            <w:hideMark/>
          </w:tcPr>
          <w:p w14:paraId="6D324EA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67951,07</w:t>
            </w:r>
          </w:p>
        </w:tc>
        <w:tc>
          <w:tcPr>
            <w:tcW w:w="992" w:type="dxa"/>
            <w:tcBorders>
              <w:top w:val="nil"/>
              <w:left w:val="nil"/>
              <w:bottom w:val="single" w:sz="4" w:space="0" w:color="auto"/>
              <w:right w:val="single" w:sz="4" w:space="0" w:color="auto"/>
            </w:tcBorders>
            <w:shd w:val="clear" w:color="000000" w:fill="CCFFFF"/>
            <w:noWrap/>
            <w:vAlign w:val="bottom"/>
            <w:hideMark/>
          </w:tcPr>
          <w:p w14:paraId="3E008EA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68516,90</w:t>
            </w:r>
          </w:p>
        </w:tc>
        <w:tc>
          <w:tcPr>
            <w:tcW w:w="992" w:type="dxa"/>
            <w:tcBorders>
              <w:top w:val="nil"/>
              <w:left w:val="nil"/>
              <w:bottom w:val="single" w:sz="4" w:space="0" w:color="auto"/>
              <w:right w:val="single" w:sz="4" w:space="0" w:color="auto"/>
            </w:tcBorders>
            <w:shd w:val="clear" w:color="000000" w:fill="CCFFFF"/>
            <w:noWrap/>
            <w:vAlign w:val="bottom"/>
            <w:hideMark/>
          </w:tcPr>
          <w:p w14:paraId="366C52E3"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68258,19</w:t>
            </w:r>
          </w:p>
        </w:tc>
        <w:tc>
          <w:tcPr>
            <w:tcW w:w="992" w:type="dxa"/>
            <w:tcBorders>
              <w:top w:val="nil"/>
              <w:left w:val="nil"/>
              <w:bottom w:val="single" w:sz="4" w:space="0" w:color="auto"/>
              <w:right w:val="single" w:sz="4" w:space="0" w:color="auto"/>
            </w:tcBorders>
            <w:shd w:val="clear" w:color="000000" w:fill="CCFFFF"/>
            <w:noWrap/>
            <w:vAlign w:val="bottom"/>
            <w:hideMark/>
          </w:tcPr>
          <w:p w14:paraId="74B4A23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67540,59</w:t>
            </w:r>
          </w:p>
        </w:tc>
        <w:tc>
          <w:tcPr>
            <w:tcW w:w="992" w:type="dxa"/>
            <w:tcBorders>
              <w:top w:val="nil"/>
              <w:left w:val="nil"/>
              <w:bottom w:val="single" w:sz="4" w:space="0" w:color="auto"/>
              <w:right w:val="single" w:sz="4" w:space="0" w:color="auto"/>
            </w:tcBorders>
            <w:shd w:val="clear" w:color="000000" w:fill="CCFFFF"/>
            <w:noWrap/>
            <w:vAlign w:val="bottom"/>
            <w:hideMark/>
          </w:tcPr>
          <w:p w14:paraId="50C0B47C"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67659,22</w:t>
            </w:r>
          </w:p>
        </w:tc>
      </w:tr>
      <w:tr w:rsidR="00B56301" w:rsidRPr="00CD6B25" w14:paraId="252DC7DE"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58F493"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6DAB5D6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622A31F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4402,20</w:t>
            </w:r>
          </w:p>
        </w:tc>
        <w:tc>
          <w:tcPr>
            <w:tcW w:w="992" w:type="dxa"/>
            <w:tcBorders>
              <w:top w:val="nil"/>
              <w:left w:val="nil"/>
              <w:bottom w:val="single" w:sz="4" w:space="0" w:color="auto"/>
              <w:right w:val="single" w:sz="4" w:space="0" w:color="auto"/>
            </w:tcBorders>
            <w:shd w:val="clear" w:color="000000" w:fill="CCFFFF"/>
            <w:noWrap/>
            <w:vAlign w:val="bottom"/>
            <w:hideMark/>
          </w:tcPr>
          <w:p w14:paraId="07CCE2E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5124,38</w:t>
            </w:r>
          </w:p>
        </w:tc>
        <w:tc>
          <w:tcPr>
            <w:tcW w:w="992" w:type="dxa"/>
            <w:tcBorders>
              <w:top w:val="nil"/>
              <w:left w:val="nil"/>
              <w:bottom w:val="single" w:sz="4" w:space="0" w:color="auto"/>
              <w:right w:val="single" w:sz="4" w:space="0" w:color="auto"/>
            </w:tcBorders>
            <w:shd w:val="clear" w:color="000000" w:fill="CCFFFF"/>
            <w:noWrap/>
            <w:vAlign w:val="bottom"/>
            <w:hideMark/>
          </w:tcPr>
          <w:p w14:paraId="5A2859A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4418,01</w:t>
            </w:r>
          </w:p>
        </w:tc>
        <w:tc>
          <w:tcPr>
            <w:tcW w:w="992" w:type="dxa"/>
            <w:tcBorders>
              <w:top w:val="nil"/>
              <w:left w:val="nil"/>
              <w:bottom w:val="single" w:sz="4" w:space="0" w:color="auto"/>
              <w:right w:val="single" w:sz="4" w:space="0" w:color="auto"/>
            </w:tcBorders>
            <w:shd w:val="clear" w:color="000000" w:fill="CCFFFF"/>
            <w:noWrap/>
            <w:vAlign w:val="bottom"/>
            <w:hideMark/>
          </w:tcPr>
          <w:p w14:paraId="59054BC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2865,79</w:t>
            </w:r>
          </w:p>
        </w:tc>
        <w:tc>
          <w:tcPr>
            <w:tcW w:w="992" w:type="dxa"/>
            <w:tcBorders>
              <w:top w:val="nil"/>
              <w:left w:val="nil"/>
              <w:bottom w:val="single" w:sz="4" w:space="0" w:color="auto"/>
              <w:right w:val="single" w:sz="4" w:space="0" w:color="auto"/>
            </w:tcBorders>
            <w:shd w:val="clear" w:color="000000" w:fill="CCFFFF"/>
            <w:noWrap/>
            <w:vAlign w:val="bottom"/>
            <w:hideMark/>
          </w:tcPr>
          <w:p w14:paraId="3B396D95"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1753,69</w:t>
            </w:r>
          </w:p>
        </w:tc>
      </w:tr>
      <w:tr w:rsidR="00B56301" w:rsidRPr="00CD6B25" w14:paraId="4848FA5A"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8596836"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48FFD44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197FA0E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5202,47</w:t>
            </w:r>
          </w:p>
        </w:tc>
        <w:tc>
          <w:tcPr>
            <w:tcW w:w="992" w:type="dxa"/>
            <w:tcBorders>
              <w:top w:val="nil"/>
              <w:left w:val="nil"/>
              <w:bottom w:val="single" w:sz="4" w:space="0" w:color="auto"/>
              <w:right w:val="single" w:sz="4" w:space="0" w:color="auto"/>
            </w:tcBorders>
            <w:shd w:val="clear" w:color="000000" w:fill="CCFFFF"/>
            <w:noWrap/>
            <w:vAlign w:val="bottom"/>
            <w:hideMark/>
          </w:tcPr>
          <w:p w14:paraId="504B9F9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4822,54</w:t>
            </w:r>
          </w:p>
        </w:tc>
        <w:tc>
          <w:tcPr>
            <w:tcW w:w="992" w:type="dxa"/>
            <w:tcBorders>
              <w:top w:val="nil"/>
              <w:left w:val="nil"/>
              <w:bottom w:val="single" w:sz="4" w:space="0" w:color="auto"/>
              <w:right w:val="single" w:sz="4" w:space="0" w:color="auto"/>
            </w:tcBorders>
            <w:shd w:val="clear" w:color="000000" w:fill="CCFFFF"/>
            <w:noWrap/>
            <w:vAlign w:val="bottom"/>
            <w:hideMark/>
          </w:tcPr>
          <w:p w14:paraId="00366B7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4918,32</w:t>
            </w:r>
          </w:p>
        </w:tc>
        <w:tc>
          <w:tcPr>
            <w:tcW w:w="992" w:type="dxa"/>
            <w:tcBorders>
              <w:top w:val="nil"/>
              <w:left w:val="nil"/>
              <w:bottom w:val="single" w:sz="4" w:space="0" w:color="auto"/>
              <w:right w:val="single" w:sz="4" w:space="0" w:color="auto"/>
            </w:tcBorders>
            <w:shd w:val="clear" w:color="000000" w:fill="CCFFFF"/>
            <w:noWrap/>
            <w:vAlign w:val="bottom"/>
            <w:hideMark/>
          </w:tcPr>
          <w:p w14:paraId="42C5F85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4844,06</w:t>
            </w:r>
          </w:p>
        </w:tc>
        <w:tc>
          <w:tcPr>
            <w:tcW w:w="992" w:type="dxa"/>
            <w:tcBorders>
              <w:top w:val="nil"/>
              <w:left w:val="nil"/>
              <w:bottom w:val="single" w:sz="4" w:space="0" w:color="auto"/>
              <w:right w:val="single" w:sz="4" w:space="0" w:color="auto"/>
            </w:tcBorders>
            <w:shd w:val="clear" w:color="000000" w:fill="CCFFFF"/>
            <w:noWrap/>
            <w:vAlign w:val="bottom"/>
            <w:hideMark/>
          </w:tcPr>
          <w:p w14:paraId="3FD422D4"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4325,49</w:t>
            </w:r>
          </w:p>
        </w:tc>
      </w:tr>
      <w:tr w:rsidR="00B56301" w:rsidRPr="00CD6B25" w14:paraId="664D021C"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2B938A5" w14:textId="77777777" w:rsidR="00B56301" w:rsidRPr="00CD6B25" w:rsidRDefault="00B56301" w:rsidP="00B37B65">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06BEE5A4"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47C73E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57869E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78265E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08B48B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A71AED6"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NO,NA</w:t>
            </w:r>
          </w:p>
        </w:tc>
      </w:tr>
      <w:tr w:rsidR="00B56301" w:rsidRPr="00CD6B25" w14:paraId="1846980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356D91E" w14:textId="50AE5AF8" w:rsidR="00B56301" w:rsidRPr="00CD6B25" w:rsidRDefault="007F09F7" w:rsidP="00B37B65">
            <w:pPr>
              <w:jc w:val="left"/>
              <w:rPr>
                <w:rFonts w:ascii="Times New Roman" w:hAnsi="Times New Roman"/>
                <w:sz w:val="18"/>
                <w:szCs w:val="18"/>
              </w:rPr>
            </w:pPr>
            <w:r>
              <w:t>SF</w:t>
            </w:r>
            <w:r w:rsidRPr="007F09F7">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25D431C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5886B65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2154,74</w:t>
            </w:r>
          </w:p>
        </w:tc>
        <w:tc>
          <w:tcPr>
            <w:tcW w:w="992" w:type="dxa"/>
            <w:tcBorders>
              <w:top w:val="nil"/>
              <w:left w:val="nil"/>
              <w:bottom w:val="single" w:sz="4" w:space="0" w:color="auto"/>
              <w:right w:val="single" w:sz="4" w:space="0" w:color="auto"/>
            </w:tcBorders>
            <w:shd w:val="clear" w:color="000000" w:fill="CCFFFF"/>
            <w:noWrap/>
            <w:vAlign w:val="bottom"/>
            <w:hideMark/>
          </w:tcPr>
          <w:p w14:paraId="430E555D"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2217,46</w:t>
            </w:r>
          </w:p>
        </w:tc>
        <w:tc>
          <w:tcPr>
            <w:tcW w:w="992" w:type="dxa"/>
            <w:tcBorders>
              <w:top w:val="nil"/>
              <w:left w:val="nil"/>
              <w:bottom w:val="single" w:sz="4" w:space="0" w:color="auto"/>
              <w:right w:val="single" w:sz="4" w:space="0" w:color="auto"/>
            </w:tcBorders>
            <w:shd w:val="clear" w:color="000000" w:fill="CCFFFF"/>
            <w:noWrap/>
            <w:vAlign w:val="bottom"/>
            <w:hideMark/>
          </w:tcPr>
          <w:p w14:paraId="17EDB33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2256,21</w:t>
            </w:r>
          </w:p>
        </w:tc>
        <w:tc>
          <w:tcPr>
            <w:tcW w:w="992" w:type="dxa"/>
            <w:tcBorders>
              <w:top w:val="nil"/>
              <w:left w:val="nil"/>
              <w:bottom w:val="single" w:sz="4" w:space="0" w:color="auto"/>
              <w:right w:val="single" w:sz="4" w:space="0" w:color="auto"/>
            </w:tcBorders>
            <w:shd w:val="clear" w:color="000000" w:fill="CCFFFF"/>
            <w:noWrap/>
            <w:vAlign w:val="bottom"/>
            <w:hideMark/>
          </w:tcPr>
          <w:p w14:paraId="15021EED"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2295,58</w:t>
            </w:r>
          </w:p>
        </w:tc>
        <w:tc>
          <w:tcPr>
            <w:tcW w:w="992" w:type="dxa"/>
            <w:tcBorders>
              <w:top w:val="nil"/>
              <w:left w:val="nil"/>
              <w:bottom w:val="single" w:sz="4" w:space="0" w:color="auto"/>
              <w:right w:val="single" w:sz="4" w:space="0" w:color="auto"/>
            </w:tcBorders>
            <w:shd w:val="clear" w:color="000000" w:fill="CCFFFF"/>
            <w:noWrap/>
            <w:vAlign w:val="bottom"/>
            <w:hideMark/>
          </w:tcPr>
          <w:p w14:paraId="0D6935E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2443,88</w:t>
            </w:r>
          </w:p>
        </w:tc>
      </w:tr>
      <w:tr w:rsidR="00B56301" w:rsidRPr="00CD6B25" w14:paraId="589CA3F6"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743BAC1" w14:textId="626FFED7" w:rsidR="00B56301" w:rsidRPr="00CD6B25" w:rsidRDefault="007F09F7" w:rsidP="00B37B65">
            <w:pPr>
              <w:jc w:val="left"/>
              <w:rPr>
                <w:rFonts w:ascii="Times New Roman" w:hAnsi="Times New Roman"/>
                <w:sz w:val="18"/>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2C60795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0C1D03A3"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16,48</w:t>
            </w:r>
          </w:p>
        </w:tc>
        <w:tc>
          <w:tcPr>
            <w:tcW w:w="992" w:type="dxa"/>
            <w:tcBorders>
              <w:top w:val="nil"/>
              <w:left w:val="nil"/>
              <w:bottom w:val="single" w:sz="4" w:space="0" w:color="auto"/>
              <w:right w:val="single" w:sz="4" w:space="0" w:color="auto"/>
            </w:tcBorders>
            <w:shd w:val="clear" w:color="000000" w:fill="CCFFFF"/>
            <w:noWrap/>
            <w:vAlign w:val="bottom"/>
            <w:hideMark/>
          </w:tcPr>
          <w:p w14:paraId="50213AB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18,13</w:t>
            </w:r>
          </w:p>
        </w:tc>
        <w:tc>
          <w:tcPr>
            <w:tcW w:w="992" w:type="dxa"/>
            <w:tcBorders>
              <w:top w:val="nil"/>
              <w:left w:val="nil"/>
              <w:bottom w:val="single" w:sz="4" w:space="0" w:color="auto"/>
              <w:right w:val="single" w:sz="4" w:space="0" w:color="auto"/>
            </w:tcBorders>
            <w:shd w:val="clear" w:color="000000" w:fill="CCFFFF"/>
            <w:noWrap/>
            <w:vAlign w:val="bottom"/>
            <w:hideMark/>
          </w:tcPr>
          <w:p w14:paraId="25D54DCD"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19,94</w:t>
            </w:r>
          </w:p>
        </w:tc>
        <w:tc>
          <w:tcPr>
            <w:tcW w:w="992" w:type="dxa"/>
            <w:tcBorders>
              <w:top w:val="nil"/>
              <w:left w:val="nil"/>
              <w:bottom w:val="single" w:sz="4" w:space="0" w:color="auto"/>
              <w:right w:val="single" w:sz="4" w:space="0" w:color="auto"/>
            </w:tcBorders>
            <w:shd w:val="clear" w:color="000000" w:fill="CCFFFF"/>
            <w:noWrap/>
            <w:vAlign w:val="bottom"/>
            <w:hideMark/>
          </w:tcPr>
          <w:p w14:paraId="03167F7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21,94</w:t>
            </w:r>
          </w:p>
        </w:tc>
        <w:tc>
          <w:tcPr>
            <w:tcW w:w="992" w:type="dxa"/>
            <w:tcBorders>
              <w:top w:val="nil"/>
              <w:left w:val="nil"/>
              <w:bottom w:val="single" w:sz="4" w:space="0" w:color="auto"/>
              <w:right w:val="single" w:sz="4" w:space="0" w:color="auto"/>
            </w:tcBorders>
            <w:shd w:val="clear" w:color="000000" w:fill="CCFFFF"/>
            <w:noWrap/>
            <w:vAlign w:val="bottom"/>
            <w:hideMark/>
          </w:tcPr>
          <w:p w14:paraId="1125222C"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24,13</w:t>
            </w:r>
          </w:p>
        </w:tc>
      </w:tr>
      <w:tr w:rsidR="00B56301" w:rsidRPr="00CD6B25" w14:paraId="40BACF1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C4B0B22"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5F6C70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544086,41</w:t>
            </w:r>
          </w:p>
        </w:tc>
        <w:tc>
          <w:tcPr>
            <w:tcW w:w="992" w:type="dxa"/>
            <w:tcBorders>
              <w:top w:val="nil"/>
              <w:left w:val="nil"/>
              <w:bottom w:val="single" w:sz="4" w:space="0" w:color="auto"/>
              <w:right w:val="single" w:sz="4" w:space="0" w:color="auto"/>
            </w:tcBorders>
            <w:shd w:val="clear" w:color="000000" w:fill="CCFFFF"/>
            <w:noWrap/>
            <w:vAlign w:val="bottom"/>
            <w:hideMark/>
          </w:tcPr>
          <w:p w14:paraId="573D5F48"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544086,41</w:t>
            </w:r>
          </w:p>
        </w:tc>
        <w:tc>
          <w:tcPr>
            <w:tcW w:w="992" w:type="dxa"/>
            <w:tcBorders>
              <w:top w:val="nil"/>
              <w:left w:val="nil"/>
              <w:bottom w:val="single" w:sz="4" w:space="0" w:color="auto"/>
              <w:right w:val="single" w:sz="4" w:space="0" w:color="auto"/>
            </w:tcBorders>
            <w:shd w:val="clear" w:color="000000" w:fill="CCFFFF"/>
            <w:noWrap/>
            <w:vAlign w:val="bottom"/>
            <w:hideMark/>
          </w:tcPr>
          <w:p w14:paraId="687D38E7"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570962,03</w:t>
            </w:r>
          </w:p>
        </w:tc>
        <w:tc>
          <w:tcPr>
            <w:tcW w:w="992" w:type="dxa"/>
            <w:tcBorders>
              <w:top w:val="nil"/>
              <w:left w:val="nil"/>
              <w:bottom w:val="single" w:sz="4" w:space="0" w:color="auto"/>
              <w:right w:val="single" w:sz="4" w:space="0" w:color="auto"/>
            </w:tcBorders>
            <w:shd w:val="clear" w:color="000000" w:fill="CCFFFF"/>
            <w:noWrap/>
            <w:vAlign w:val="bottom"/>
            <w:hideMark/>
          </w:tcPr>
          <w:p w14:paraId="26FCD767"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558761,48</w:t>
            </w:r>
          </w:p>
        </w:tc>
        <w:tc>
          <w:tcPr>
            <w:tcW w:w="992" w:type="dxa"/>
            <w:tcBorders>
              <w:top w:val="nil"/>
              <w:left w:val="nil"/>
              <w:bottom w:val="single" w:sz="4" w:space="0" w:color="auto"/>
              <w:right w:val="single" w:sz="4" w:space="0" w:color="auto"/>
            </w:tcBorders>
            <w:shd w:val="clear" w:color="000000" w:fill="CCFFFF"/>
            <w:noWrap/>
            <w:vAlign w:val="bottom"/>
            <w:hideMark/>
          </w:tcPr>
          <w:p w14:paraId="4CE049F5"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538607,01</w:t>
            </w:r>
          </w:p>
        </w:tc>
        <w:tc>
          <w:tcPr>
            <w:tcW w:w="992" w:type="dxa"/>
            <w:tcBorders>
              <w:top w:val="nil"/>
              <w:left w:val="nil"/>
              <w:bottom w:val="single" w:sz="4" w:space="0" w:color="auto"/>
              <w:right w:val="single" w:sz="4" w:space="0" w:color="auto"/>
            </w:tcBorders>
            <w:shd w:val="clear" w:color="000000" w:fill="CCFFFF"/>
            <w:noWrap/>
            <w:vAlign w:val="bottom"/>
            <w:hideMark/>
          </w:tcPr>
          <w:p w14:paraId="5382170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531225,91</w:t>
            </w:r>
          </w:p>
        </w:tc>
      </w:tr>
      <w:tr w:rsidR="00B56301" w:rsidRPr="00CD6B25" w14:paraId="51D3985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9A6C9B8"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E956C1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520100,22</w:t>
            </w:r>
          </w:p>
        </w:tc>
        <w:tc>
          <w:tcPr>
            <w:tcW w:w="992" w:type="dxa"/>
            <w:tcBorders>
              <w:top w:val="nil"/>
              <w:left w:val="nil"/>
              <w:bottom w:val="single" w:sz="4" w:space="0" w:color="auto"/>
              <w:right w:val="single" w:sz="4" w:space="0" w:color="auto"/>
            </w:tcBorders>
            <w:shd w:val="clear" w:color="000000" w:fill="CCFFFF"/>
            <w:noWrap/>
            <w:vAlign w:val="bottom"/>
            <w:hideMark/>
          </w:tcPr>
          <w:p w14:paraId="755F81F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520100,22</w:t>
            </w:r>
          </w:p>
        </w:tc>
        <w:tc>
          <w:tcPr>
            <w:tcW w:w="992" w:type="dxa"/>
            <w:tcBorders>
              <w:top w:val="nil"/>
              <w:left w:val="nil"/>
              <w:bottom w:val="single" w:sz="4" w:space="0" w:color="auto"/>
              <w:right w:val="single" w:sz="4" w:space="0" w:color="auto"/>
            </w:tcBorders>
            <w:shd w:val="clear" w:color="000000" w:fill="CCFFFF"/>
            <w:noWrap/>
            <w:vAlign w:val="bottom"/>
            <w:hideMark/>
          </w:tcPr>
          <w:p w14:paraId="6C08FC8D"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546890,85</w:t>
            </w:r>
          </w:p>
        </w:tc>
        <w:tc>
          <w:tcPr>
            <w:tcW w:w="992" w:type="dxa"/>
            <w:tcBorders>
              <w:top w:val="nil"/>
              <w:left w:val="nil"/>
              <w:bottom w:val="single" w:sz="4" w:space="0" w:color="auto"/>
              <w:right w:val="single" w:sz="4" w:space="0" w:color="auto"/>
            </w:tcBorders>
            <w:shd w:val="clear" w:color="000000" w:fill="CCFFFF"/>
            <w:noWrap/>
            <w:vAlign w:val="bottom"/>
            <w:hideMark/>
          </w:tcPr>
          <w:p w14:paraId="2FCD8CC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536828,27</w:t>
            </w:r>
          </w:p>
        </w:tc>
        <w:tc>
          <w:tcPr>
            <w:tcW w:w="992" w:type="dxa"/>
            <w:tcBorders>
              <w:top w:val="nil"/>
              <w:left w:val="nil"/>
              <w:bottom w:val="single" w:sz="4" w:space="0" w:color="auto"/>
              <w:right w:val="single" w:sz="4" w:space="0" w:color="auto"/>
            </w:tcBorders>
            <w:shd w:val="clear" w:color="000000" w:fill="CCFFFF"/>
            <w:noWrap/>
            <w:vAlign w:val="bottom"/>
            <w:hideMark/>
          </w:tcPr>
          <w:p w14:paraId="7B9DB8B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513610,62</w:t>
            </w:r>
          </w:p>
        </w:tc>
        <w:tc>
          <w:tcPr>
            <w:tcW w:w="992" w:type="dxa"/>
            <w:tcBorders>
              <w:top w:val="nil"/>
              <w:left w:val="nil"/>
              <w:bottom w:val="single" w:sz="4" w:space="0" w:color="auto"/>
              <w:right w:val="single" w:sz="4" w:space="0" w:color="auto"/>
            </w:tcBorders>
            <w:shd w:val="clear" w:color="000000" w:fill="CCFFFF"/>
            <w:noWrap/>
            <w:vAlign w:val="bottom"/>
            <w:hideMark/>
          </w:tcPr>
          <w:p w14:paraId="6CC4B7F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508688,75</w:t>
            </w:r>
          </w:p>
        </w:tc>
      </w:tr>
      <w:tr w:rsidR="00B56301" w:rsidRPr="00CD6B25" w14:paraId="4EAE3E0B"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D8902D3"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4C3E26BA"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76091C1"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EC446F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AE37839"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38824A2"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F2337F"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r>
      <w:tr w:rsidR="00B56301" w:rsidRPr="00CD6B25" w14:paraId="55E1FFE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D8EFA99"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413087D0"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DD7144B"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F328A5E"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0F2FB36"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49C0FE5"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21AB6C3" w14:textId="77777777" w:rsidR="00B56301" w:rsidRPr="00CD6B25" w:rsidRDefault="00B56301" w:rsidP="00B37B65">
            <w:pPr>
              <w:jc w:val="right"/>
              <w:rPr>
                <w:rFonts w:ascii="Times New Roman" w:hAnsi="Times New Roman"/>
                <w:sz w:val="18"/>
                <w:szCs w:val="18"/>
              </w:rPr>
            </w:pPr>
            <w:r w:rsidRPr="00CD6B25">
              <w:rPr>
                <w:rFonts w:ascii="Times New Roman" w:hAnsi="Times New Roman"/>
                <w:sz w:val="18"/>
                <w:szCs w:val="18"/>
              </w:rPr>
              <w:t>NA</w:t>
            </w:r>
          </w:p>
        </w:tc>
      </w:tr>
    </w:tbl>
    <w:p w14:paraId="5A230913" w14:textId="77777777" w:rsidR="00B56301"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CD6B25" w14:paraId="164CCF8A"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0D200BAD"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16CA34C"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1995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FC15DF8"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1996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83ED840"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1997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3DFACAF8"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1998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9495D04"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1999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E8242E2"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2000</w:t>
            </w:r>
          </w:p>
        </w:tc>
      </w:tr>
      <w:tr w:rsidR="00B56301" w:rsidRPr="00CD6B25" w14:paraId="63A8F0FA"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BC2A94B" w14:textId="692383C2"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15E552A7" w14:textId="77777777" w:rsidR="00B56301" w:rsidRPr="00CD6B25" w:rsidRDefault="00B56301" w:rsidP="00B37B65">
            <w:pPr>
              <w:jc w:val="right"/>
              <w:rPr>
                <w:rFonts w:ascii="Times New Roman" w:hAnsi="Times New Roman"/>
                <w:sz w:val="18"/>
                <w:szCs w:val="18"/>
              </w:rPr>
            </w:pPr>
            <w:r>
              <w:rPr>
                <w:sz w:val="18"/>
                <w:szCs w:val="18"/>
              </w:rPr>
              <w:t>392915,77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9A0912F" w14:textId="77777777" w:rsidR="00B56301" w:rsidRPr="00CD6B25" w:rsidRDefault="00B56301" w:rsidP="00B37B65">
            <w:pPr>
              <w:jc w:val="right"/>
              <w:rPr>
                <w:rFonts w:ascii="Times New Roman" w:hAnsi="Times New Roman"/>
                <w:sz w:val="18"/>
                <w:szCs w:val="18"/>
              </w:rPr>
            </w:pPr>
            <w:r>
              <w:rPr>
                <w:sz w:val="18"/>
                <w:szCs w:val="18"/>
              </w:rPr>
              <w:t>408192,69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FEE7A9C" w14:textId="77777777" w:rsidR="00B56301" w:rsidRPr="00CD6B25" w:rsidRDefault="00B56301" w:rsidP="00B37B65">
            <w:pPr>
              <w:jc w:val="right"/>
              <w:rPr>
                <w:rFonts w:ascii="Times New Roman" w:hAnsi="Times New Roman"/>
                <w:sz w:val="18"/>
                <w:szCs w:val="18"/>
              </w:rPr>
            </w:pPr>
            <w:r>
              <w:rPr>
                <w:sz w:val="18"/>
                <w:szCs w:val="18"/>
              </w:rPr>
              <w:t>400997,00</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AE297E7" w14:textId="77777777" w:rsidR="00B56301" w:rsidRPr="00CD6B25" w:rsidRDefault="00B56301" w:rsidP="00B37B65">
            <w:pPr>
              <w:jc w:val="right"/>
              <w:rPr>
                <w:rFonts w:ascii="Times New Roman" w:hAnsi="Times New Roman"/>
                <w:sz w:val="18"/>
                <w:szCs w:val="18"/>
              </w:rPr>
            </w:pPr>
            <w:r>
              <w:rPr>
                <w:sz w:val="18"/>
                <w:szCs w:val="18"/>
              </w:rPr>
              <w:t>421028,68</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1EA3B9B" w14:textId="77777777" w:rsidR="00B56301" w:rsidRPr="00CD6B25" w:rsidRDefault="00B56301" w:rsidP="00B37B65">
            <w:pPr>
              <w:jc w:val="right"/>
              <w:rPr>
                <w:rFonts w:ascii="Times New Roman" w:hAnsi="Times New Roman"/>
                <w:sz w:val="18"/>
                <w:szCs w:val="18"/>
              </w:rPr>
            </w:pPr>
            <w:r>
              <w:rPr>
                <w:sz w:val="18"/>
                <w:szCs w:val="18"/>
              </w:rPr>
              <w:t>419846,19</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1FD761C" w14:textId="77777777" w:rsidR="00B56301" w:rsidRPr="00CD6B25" w:rsidRDefault="00B56301" w:rsidP="00B37B65">
            <w:pPr>
              <w:jc w:val="right"/>
              <w:rPr>
                <w:rFonts w:ascii="Times New Roman" w:hAnsi="Times New Roman"/>
                <w:sz w:val="18"/>
                <w:szCs w:val="18"/>
              </w:rPr>
            </w:pPr>
            <w:r>
              <w:rPr>
                <w:sz w:val="18"/>
                <w:szCs w:val="18"/>
              </w:rPr>
              <w:t>414788,47</w:t>
            </w:r>
          </w:p>
        </w:tc>
      </w:tr>
      <w:tr w:rsidR="00B56301" w:rsidRPr="00CD6B25" w14:paraId="2E6B32BD"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63319ABC" w14:textId="27A422D2"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109F811" w14:textId="77777777" w:rsidR="00B56301" w:rsidRPr="00CD6B25" w:rsidRDefault="00B56301" w:rsidP="00B37B65">
            <w:pPr>
              <w:jc w:val="right"/>
              <w:rPr>
                <w:rFonts w:ascii="Times New Roman" w:hAnsi="Times New Roman"/>
                <w:sz w:val="18"/>
                <w:szCs w:val="18"/>
              </w:rPr>
            </w:pPr>
            <w:r>
              <w:rPr>
                <w:sz w:val="18"/>
                <w:szCs w:val="18"/>
              </w:rPr>
              <w:t>361120,67</w:t>
            </w:r>
          </w:p>
        </w:tc>
        <w:tc>
          <w:tcPr>
            <w:tcW w:w="992" w:type="dxa"/>
            <w:tcBorders>
              <w:top w:val="nil"/>
              <w:left w:val="nil"/>
              <w:bottom w:val="single" w:sz="4" w:space="0" w:color="auto"/>
              <w:right w:val="single" w:sz="4" w:space="0" w:color="auto"/>
            </w:tcBorders>
            <w:shd w:val="clear" w:color="000000" w:fill="CCFFFF"/>
            <w:noWrap/>
            <w:vAlign w:val="bottom"/>
            <w:hideMark/>
          </w:tcPr>
          <w:p w14:paraId="767E4883" w14:textId="77777777" w:rsidR="00B56301" w:rsidRPr="00CD6B25" w:rsidRDefault="00B56301" w:rsidP="00B37B65">
            <w:pPr>
              <w:jc w:val="right"/>
              <w:rPr>
                <w:rFonts w:ascii="Times New Roman" w:hAnsi="Times New Roman"/>
                <w:sz w:val="18"/>
                <w:szCs w:val="18"/>
              </w:rPr>
            </w:pPr>
            <w:r>
              <w:rPr>
                <w:sz w:val="18"/>
                <w:szCs w:val="18"/>
              </w:rPr>
              <w:t>370782,17</w:t>
            </w:r>
          </w:p>
        </w:tc>
        <w:tc>
          <w:tcPr>
            <w:tcW w:w="992" w:type="dxa"/>
            <w:tcBorders>
              <w:top w:val="nil"/>
              <w:left w:val="nil"/>
              <w:bottom w:val="single" w:sz="4" w:space="0" w:color="auto"/>
              <w:right w:val="single" w:sz="4" w:space="0" w:color="auto"/>
            </w:tcBorders>
            <w:shd w:val="clear" w:color="000000" w:fill="CCFFFF"/>
            <w:noWrap/>
            <w:vAlign w:val="bottom"/>
            <w:hideMark/>
          </w:tcPr>
          <w:p w14:paraId="65B0CD76" w14:textId="77777777" w:rsidR="00B56301" w:rsidRPr="00CD6B25" w:rsidRDefault="00B56301" w:rsidP="00B37B65">
            <w:pPr>
              <w:jc w:val="right"/>
              <w:rPr>
                <w:rFonts w:ascii="Times New Roman" w:hAnsi="Times New Roman"/>
                <w:sz w:val="18"/>
                <w:szCs w:val="18"/>
              </w:rPr>
            </w:pPr>
            <w:r>
              <w:rPr>
                <w:sz w:val="18"/>
                <w:szCs w:val="18"/>
              </w:rPr>
              <w:t>363788,94</w:t>
            </w:r>
          </w:p>
        </w:tc>
        <w:tc>
          <w:tcPr>
            <w:tcW w:w="992" w:type="dxa"/>
            <w:tcBorders>
              <w:top w:val="nil"/>
              <w:left w:val="nil"/>
              <w:bottom w:val="single" w:sz="4" w:space="0" w:color="auto"/>
              <w:right w:val="single" w:sz="4" w:space="0" w:color="auto"/>
            </w:tcBorders>
            <w:shd w:val="clear" w:color="000000" w:fill="CCFFFF"/>
            <w:noWrap/>
            <w:vAlign w:val="bottom"/>
            <w:hideMark/>
          </w:tcPr>
          <w:p w14:paraId="4AC7279F" w14:textId="77777777" w:rsidR="00B56301" w:rsidRPr="00CD6B25" w:rsidRDefault="00B56301" w:rsidP="00B37B65">
            <w:pPr>
              <w:jc w:val="right"/>
              <w:rPr>
                <w:rFonts w:ascii="Times New Roman" w:hAnsi="Times New Roman"/>
                <w:sz w:val="18"/>
                <w:szCs w:val="18"/>
              </w:rPr>
            </w:pPr>
            <w:r>
              <w:rPr>
                <w:sz w:val="18"/>
                <w:szCs w:val="18"/>
              </w:rPr>
              <w:t>382286,23</w:t>
            </w:r>
          </w:p>
        </w:tc>
        <w:tc>
          <w:tcPr>
            <w:tcW w:w="992" w:type="dxa"/>
            <w:tcBorders>
              <w:top w:val="nil"/>
              <w:left w:val="nil"/>
              <w:bottom w:val="single" w:sz="4" w:space="0" w:color="auto"/>
              <w:right w:val="single" w:sz="4" w:space="0" w:color="auto"/>
            </w:tcBorders>
            <w:shd w:val="clear" w:color="000000" w:fill="CCFFFF"/>
            <w:noWrap/>
            <w:vAlign w:val="bottom"/>
            <w:hideMark/>
          </w:tcPr>
          <w:p w14:paraId="5547CCFC" w14:textId="77777777" w:rsidR="00B56301" w:rsidRPr="00CD6B25" w:rsidRDefault="00B56301" w:rsidP="00B37B65">
            <w:pPr>
              <w:jc w:val="right"/>
              <w:rPr>
                <w:rFonts w:ascii="Times New Roman" w:hAnsi="Times New Roman"/>
                <w:sz w:val="18"/>
                <w:szCs w:val="18"/>
              </w:rPr>
            </w:pPr>
            <w:r>
              <w:rPr>
                <w:sz w:val="18"/>
                <w:szCs w:val="18"/>
              </w:rPr>
              <w:t>378132,88</w:t>
            </w:r>
          </w:p>
        </w:tc>
        <w:tc>
          <w:tcPr>
            <w:tcW w:w="992" w:type="dxa"/>
            <w:tcBorders>
              <w:top w:val="nil"/>
              <w:left w:val="nil"/>
              <w:bottom w:val="single" w:sz="4" w:space="0" w:color="auto"/>
              <w:right w:val="single" w:sz="4" w:space="0" w:color="auto"/>
            </w:tcBorders>
            <w:shd w:val="clear" w:color="000000" w:fill="CCFFFF"/>
            <w:noWrap/>
            <w:vAlign w:val="bottom"/>
            <w:hideMark/>
          </w:tcPr>
          <w:p w14:paraId="3E8FD1AA" w14:textId="77777777" w:rsidR="00B56301" w:rsidRPr="00CD6B25" w:rsidRDefault="00B56301" w:rsidP="00B37B65">
            <w:pPr>
              <w:jc w:val="right"/>
              <w:rPr>
                <w:rFonts w:ascii="Times New Roman" w:hAnsi="Times New Roman"/>
                <w:sz w:val="18"/>
                <w:szCs w:val="18"/>
              </w:rPr>
            </w:pPr>
            <w:r>
              <w:rPr>
                <w:sz w:val="18"/>
                <w:szCs w:val="18"/>
              </w:rPr>
              <w:t>390193,77</w:t>
            </w:r>
          </w:p>
        </w:tc>
      </w:tr>
      <w:tr w:rsidR="00B56301" w:rsidRPr="00CD6B25" w14:paraId="05AF436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186372D" w14:textId="6731B63D"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4FFB43A" w14:textId="77777777" w:rsidR="00B56301" w:rsidRPr="00CD6B25" w:rsidRDefault="00B56301" w:rsidP="00B37B65">
            <w:pPr>
              <w:jc w:val="right"/>
              <w:rPr>
                <w:rFonts w:ascii="Times New Roman" w:hAnsi="Times New Roman"/>
                <w:sz w:val="18"/>
                <w:szCs w:val="18"/>
              </w:rPr>
            </w:pPr>
            <w:r>
              <w:rPr>
                <w:sz w:val="18"/>
                <w:szCs w:val="18"/>
              </w:rPr>
              <w:t>70382,89</w:t>
            </w:r>
          </w:p>
        </w:tc>
        <w:tc>
          <w:tcPr>
            <w:tcW w:w="992" w:type="dxa"/>
            <w:tcBorders>
              <w:top w:val="nil"/>
              <w:left w:val="nil"/>
              <w:bottom w:val="single" w:sz="4" w:space="0" w:color="auto"/>
              <w:right w:val="single" w:sz="4" w:space="0" w:color="auto"/>
            </w:tcBorders>
            <w:shd w:val="clear" w:color="000000" w:fill="CCFFFF"/>
            <w:noWrap/>
            <w:vAlign w:val="bottom"/>
            <w:hideMark/>
          </w:tcPr>
          <w:p w14:paraId="10B21114" w14:textId="77777777" w:rsidR="00B56301" w:rsidRPr="00CD6B25" w:rsidRDefault="00B56301" w:rsidP="00B37B65">
            <w:pPr>
              <w:jc w:val="right"/>
              <w:rPr>
                <w:rFonts w:ascii="Times New Roman" w:hAnsi="Times New Roman"/>
                <w:sz w:val="18"/>
                <w:szCs w:val="18"/>
              </w:rPr>
            </w:pPr>
            <w:r>
              <w:rPr>
                <w:sz w:val="18"/>
                <w:szCs w:val="18"/>
              </w:rPr>
              <w:t>69469,14</w:t>
            </w:r>
          </w:p>
        </w:tc>
        <w:tc>
          <w:tcPr>
            <w:tcW w:w="992" w:type="dxa"/>
            <w:tcBorders>
              <w:top w:val="nil"/>
              <w:left w:val="nil"/>
              <w:bottom w:val="single" w:sz="4" w:space="0" w:color="auto"/>
              <w:right w:val="single" w:sz="4" w:space="0" w:color="auto"/>
            </w:tcBorders>
            <w:shd w:val="clear" w:color="000000" w:fill="CCFFFF"/>
            <w:noWrap/>
            <w:vAlign w:val="bottom"/>
            <w:hideMark/>
          </w:tcPr>
          <w:p w14:paraId="1A45F76C" w14:textId="77777777" w:rsidR="00B56301" w:rsidRPr="00CD6B25" w:rsidRDefault="00B56301" w:rsidP="00B37B65">
            <w:pPr>
              <w:jc w:val="right"/>
              <w:rPr>
                <w:rFonts w:ascii="Times New Roman" w:hAnsi="Times New Roman"/>
                <w:sz w:val="18"/>
                <w:szCs w:val="18"/>
              </w:rPr>
            </w:pPr>
            <w:r>
              <w:rPr>
                <w:sz w:val="18"/>
                <w:szCs w:val="18"/>
              </w:rPr>
              <w:t>68227,26</w:t>
            </w:r>
          </w:p>
        </w:tc>
        <w:tc>
          <w:tcPr>
            <w:tcW w:w="992" w:type="dxa"/>
            <w:tcBorders>
              <w:top w:val="nil"/>
              <w:left w:val="nil"/>
              <w:bottom w:val="single" w:sz="4" w:space="0" w:color="auto"/>
              <w:right w:val="single" w:sz="4" w:space="0" w:color="auto"/>
            </w:tcBorders>
            <w:shd w:val="clear" w:color="000000" w:fill="CCFFFF"/>
            <w:noWrap/>
            <w:vAlign w:val="bottom"/>
            <w:hideMark/>
          </w:tcPr>
          <w:p w14:paraId="0931A4D5" w14:textId="77777777" w:rsidR="00B56301" w:rsidRPr="00CD6B25" w:rsidRDefault="00B56301" w:rsidP="00B37B65">
            <w:pPr>
              <w:jc w:val="right"/>
              <w:rPr>
                <w:rFonts w:ascii="Times New Roman" w:hAnsi="Times New Roman"/>
                <w:sz w:val="18"/>
                <w:szCs w:val="18"/>
              </w:rPr>
            </w:pPr>
            <w:r>
              <w:rPr>
                <w:sz w:val="18"/>
                <w:szCs w:val="18"/>
              </w:rPr>
              <w:t>68272,56</w:t>
            </w:r>
          </w:p>
        </w:tc>
        <w:tc>
          <w:tcPr>
            <w:tcW w:w="992" w:type="dxa"/>
            <w:tcBorders>
              <w:top w:val="nil"/>
              <w:left w:val="nil"/>
              <w:bottom w:val="single" w:sz="4" w:space="0" w:color="auto"/>
              <w:right w:val="single" w:sz="4" w:space="0" w:color="auto"/>
            </w:tcBorders>
            <w:shd w:val="clear" w:color="000000" w:fill="CCFFFF"/>
            <w:noWrap/>
            <w:vAlign w:val="bottom"/>
            <w:hideMark/>
          </w:tcPr>
          <w:p w14:paraId="508D3481" w14:textId="77777777" w:rsidR="00B56301" w:rsidRPr="00CD6B25" w:rsidRDefault="00B56301" w:rsidP="00B37B65">
            <w:pPr>
              <w:jc w:val="right"/>
              <w:rPr>
                <w:rFonts w:ascii="Times New Roman" w:hAnsi="Times New Roman"/>
                <w:sz w:val="18"/>
                <w:szCs w:val="18"/>
              </w:rPr>
            </w:pPr>
            <w:r>
              <w:rPr>
                <w:sz w:val="18"/>
                <w:szCs w:val="18"/>
              </w:rPr>
              <w:t>68230,62</w:t>
            </w:r>
          </w:p>
        </w:tc>
        <w:tc>
          <w:tcPr>
            <w:tcW w:w="992" w:type="dxa"/>
            <w:tcBorders>
              <w:top w:val="nil"/>
              <w:left w:val="nil"/>
              <w:bottom w:val="single" w:sz="4" w:space="0" w:color="auto"/>
              <w:right w:val="single" w:sz="4" w:space="0" w:color="auto"/>
            </w:tcBorders>
            <w:shd w:val="clear" w:color="000000" w:fill="CCFFFF"/>
            <w:noWrap/>
            <w:vAlign w:val="bottom"/>
            <w:hideMark/>
          </w:tcPr>
          <w:p w14:paraId="54240A62" w14:textId="77777777" w:rsidR="00B56301" w:rsidRPr="00CD6B25" w:rsidRDefault="00B56301" w:rsidP="00B37B65">
            <w:pPr>
              <w:jc w:val="right"/>
              <w:rPr>
                <w:rFonts w:ascii="Times New Roman" w:hAnsi="Times New Roman"/>
                <w:sz w:val="18"/>
                <w:szCs w:val="18"/>
              </w:rPr>
            </w:pPr>
            <w:r>
              <w:rPr>
                <w:sz w:val="18"/>
                <w:szCs w:val="18"/>
              </w:rPr>
              <w:t>68602,74</w:t>
            </w:r>
          </w:p>
        </w:tc>
      </w:tr>
      <w:tr w:rsidR="00B56301" w:rsidRPr="00CD6B25" w14:paraId="0B478DA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FBA3657" w14:textId="3DF65395"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5C3729D" w14:textId="77777777" w:rsidR="00B56301" w:rsidRPr="00CD6B25" w:rsidRDefault="00B56301" w:rsidP="00B37B65">
            <w:pPr>
              <w:jc w:val="right"/>
              <w:rPr>
                <w:rFonts w:ascii="Times New Roman" w:hAnsi="Times New Roman"/>
                <w:sz w:val="18"/>
                <w:szCs w:val="18"/>
              </w:rPr>
            </w:pPr>
            <w:r>
              <w:rPr>
                <w:sz w:val="18"/>
                <w:szCs w:val="18"/>
              </w:rPr>
              <w:t>74052,93</w:t>
            </w:r>
          </w:p>
        </w:tc>
        <w:tc>
          <w:tcPr>
            <w:tcW w:w="992" w:type="dxa"/>
            <w:tcBorders>
              <w:top w:val="nil"/>
              <w:left w:val="nil"/>
              <w:bottom w:val="single" w:sz="4" w:space="0" w:color="auto"/>
              <w:right w:val="single" w:sz="4" w:space="0" w:color="auto"/>
            </w:tcBorders>
            <w:shd w:val="clear" w:color="000000" w:fill="CCFFFF"/>
            <w:noWrap/>
            <w:vAlign w:val="bottom"/>
            <w:hideMark/>
          </w:tcPr>
          <w:p w14:paraId="06109DB2" w14:textId="77777777" w:rsidR="00B56301" w:rsidRPr="00CD6B25" w:rsidRDefault="00B56301" w:rsidP="00B37B65">
            <w:pPr>
              <w:jc w:val="right"/>
              <w:rPr>
                <w:rFonts w:ascii="Times New Roman" w:hAnsi="Times New Roman"/>
                <w:sz w:val="18"/>
                <w:szCs w:val="18"/>
              </w:rPr>
            </w:pPr>
            <w:r>
              <w:rPr>
                <w:sz w:val="18"/>
                <w:szCs w:val="18"/>
              </w:rPr>
              <w:t>72393,16</w:t>
            </w:r>
          </w:p>
        </w:tc>
        <w:tc>
          <w:tcPr>
            <w:tcW w:w="992" w:type="dxa"/>
            <w:tcBorders>
              <w:top w:val="nil"/>
              <w:left w:val="nil"/>
              <w:bottom w:val="single" w:sz="4" w:space="0" w:color="auto"/>
              <w:right w:val="single" w:sz="4" w:space="0" w:color="auto"/>
            </w:tcBorders>
            <w:shd w:val="clear" w:color="000000" w:fill="CCFFFF"/>
            <w:noWrap/>
            <w:vAlign w:val="bottom"/>
            <w:hideMark/>
          </w:tcPr>
          <w:p w14:paraId="467E7308" w14:textId="77777777" w:rsidR="00B56301" w:rsidRPr="00CD6B25" w:rsidRDefault="00B56301" w:rsidP="00B37B65">
            <w:pPr>
              <w:jc w:val="right"/>
              <w:rPr>
                <w:rFonts w:ascii="Times New Roman" w:hAnsi="Times New Roman"/>
                <w:sz w:val="18"/>
                <w:szCs w:val="18"/>
              </w:rPr>
            </w:pPr>
            <w:r>
              <w:rPr>
                <w:sz w:val="18"/>
                <w:szCs w:val="18"/>
              </w:rPr>
              <w:t>70676,78</w:t>
            </w:r>
          </w:p>
        </w:tc>
        <w:tc>
          <w:tcPr>
            <w:tcW w:w="992" w:type="dxa"/>
            <w:tcBorders>
              <w:top w:val="nil"/>
              <w:left w:val="nil"/>
              <w:bottom w:val="single" w:sz="4" w:space="0" w:color="auto"/>
              <w:right w:val="single" w:sz="4" w:space="0" w:color="auto"/>
            </w:tcBorders>
            <w:shd w:val="clear" w:color="000000" w:fill="CCFFFF"/>
            <w:noWrap/>
            <w:vAlign w:val="bottom"/>
            <w:hideMark/>
          </w:tcPr>
          <w:p w14:paraId="7C0FCAAD" w14:textId="77777777" w:rsidR="00B56301" w:rsidRPr="00CD6B25" w:rsidRDefault="00B56301" w:rsidP="00B37B65">
            <w:pPr>
              <w:jc w:val="right"/>
              <w:rPr>
                <w:rFonts w:ascii="Times New Roman" w:hAnsi="Times New Roman"/>
                <w:sz w:val="18"/>
                <w:szCs w:val="18"/>
              </w:rPr>
            </w:pPr>
            <w:r>
              <w:rPr>
                <w:sz w:val="18"/>
                <w:szCs w:val="18"/>
              </w:rPr>
              <w:t>70356,30</w:t>
            </w:r>
          </w:p>
        </w:tc>
        <w:tc>
          <w:tcPr>
            <w:tcW w:w="992" w:type="dxa"/>
            <w:tcBorders>
              <w:top w:val="nil"/>
              <w:left w:val="nil"/>
              <w:bottom w:val="single" w:sz="4" w:space="0" w:color="auto"/>
              <w:right w:val="single" w:sz="4" w:space="0" w:color="auto"/>
            </w:tcBorders>
            <w:shd w:val="clear" w:color="000000" w:fill="CCFFFF"/>
            <w:noWrap/>
            <w:vAlign w:val="bottom"/>
            <w:hideMark/>
          </w:tcPr>
          <w:p w14:paraId="04DF47B6" w14:textId="77777777" w:rsidR="00B56301" w:rsidRPr="00CD6B25" w:rsidRDefault="00B56301" w:rsidP="00B37B65">
            <w:pPr>
              <w:jc w:val="right"/>
              <w:rPr>
                <w:rFonts w:ascii="Times New Roman" w:hAnsi="Times New Roman"/>
                <w:sz w:val="18"/>
                <w:szCs w:val="18"/>
              </w:rPr>
            </w:pPr>
            <w:r>
              <w:rPr>
                <w:sz w:val="18"/>
                <w:szCs w:val="18"/>
              </w:rPr>
              <w:t>70040,80</w:t>
            </w:r>
          </w:p>
        </w:tc>
        <w:tc>
          <w:tcPr>
            <w:tcW w:w="992" w:type="dxa"/>
            <w:tcBorders>
              <w:top w:val="nil"/>
              <w:left w:val="nil"/>
              <w:bottom w:val="single" w:sz="4" w:space="0" w:color="auto"/>
              <w:right w:val="single" w:sz="4" w:space="0" w:color="auto"/>
            </w:tcBorders>
            <w:shd w:val="clear" w:color="000000" w:fill="CCFFFF"/>
            <w:noWrap/>
            <w:vAlign w:val="bottom"/>
            <w:hideMark/>
          </w:tcPr>
          <w:p w14:paraId="04CEC426" w14:textId="77777777" w:rsidR="00B56301" w:rsidRPr="00CD6B25" w:rsidRDefault="00B56301" w:rsidP="00B37B65">
            <w:pPr>
              <w:jc w:val="right"/>
              <w:rPr>
                <w:rFonts w:ascii="Times New Roman" w:hAnsi="Times New Roman"/>
                <w:sz w:val="18"/>
                <w:szCs w:val="18"/>
              </w:rPr>
            </w:pPr>
            <w:r>
              <w:rPr>
                <w:sz w:val="18"/>
                <w:szCs w:val="18"/>
              </w:rPr>
              <w:t>70295,53</w:t>
            </w:r>
          </w:p>
        </w:tc>
      </w:tr>
      <w:tr w:rsidR="00B56301" w:rsidRPr="00CD6B25" w14:paraId="312FC81E"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12A4DF" w14:textId="4D6C285E"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D4BF15B" w14:textId="77777777" w:rsidR="00B56301" w:rsidRPr="00CD6B25" w:rsidRDefault="00B56301" w:rsidP="00B37B65">
            <w:pPr>
              <w:jc w:val="right"/>
              <w:rPr>
                <w:rFonts w:ascii="Times New Roman" w:hAnsi="Times New Roman"/>
                <w:sz w:val="18"/>
                <w:szCs w:val="18"/>
              </w:rPr>
            </w:pPr>
            <w:r>
              <w:rPr>
                <w:sz w:val="18"/>
                <w:szCs w:val="18"/>
              </w:rPr>
              <w:t>65937,12</w:t>
            </w:r>
          </w:p>
        </w:tc>
        <w:tc>
          <w:tcPr>
            <w:tcW w:w="992" w:type="dxa"/>
            <w:tcBorders>
              <w:top w:val="nil"/>
              <w:left w:val="nil"/>
              <w:bottom w:val="single" w:sz="4" w:space="0" w:color="auto"/>
              <w:right w:val="single" w:sz="4" w:space="0" w:color="auto"/>
            </w:tcBorders>
            <w:shd w:val="clear" w:color="000000" w:fill="CCFFFF"/>
            <w:noWrap/>
            <w:vAlign w:val="bottom"/>
            <w:hideMark/>
          </w:tcPr>
          <w:p w14:paraId="3576EA94" w14:textId="77777777" w:rsidR="00B56301" w:rsidRPr="00CD6B25" w:rsidRDefault="00B56301" w:rsidP="00B37B65">
            <w:pPr>
              <w:jc w:val="right"/>
              <w:rPr>
                <w:rFonts w:ascii="Times New Roman" w:hAnsi="Times New Roman"/>
                <w:sz w:val="18"/>
                <w:szCs w:val="18"/>
              </w:rPr>
            </w:pPr>
            <w:r>
              <w:rPr>
                <w:sz w:val="18"/>
                <w:szCs w:val="18"/>
              </w:rPr>
              <w:t>67460,96</w:t>
            </w:r>
          </w:p>
        </w:tc>
        <w:tc>
          <w:tcPr>
            <w:tcW w:w="992" w:type="dxa"/>
            <w:tcBorders>
              <w:top w:val="nil"/>
              <w:left w:val="nil"/>
              <w:bottom w:val="single" w:sz="4" w:space="0" w:color="auto"/>
              <w:right w:val="single" w:sz="4" w:space="0" w:color="auto"/>
            </w:tcBorders>
            <w:shd w:val="clear" w:color="000000" w:fill="CCFFFF"/>
            <w:noWrap/>
            <w:vAlign w:val="bottom"/>
            <w:hideMark/>
          </w:tcPr>
          <w:p w14:paraId="2E120449" w14:textId="77777777" w:rsidR="00B56301" w:rsidRPr="00CD6B25" w:rsidRDefault="00B56301" w:rsidP="00B37B65">
            <w:pPr>
              <w:jc w:val="right"/>
              <w:rPr>
                <w:rFonts w:ascii="Times New Roman" w:hAnsi="Times New Roman"/>
                <w:sz w:val="18"/>
                <w:szCs w:val="18"/>
              </w:rPr>
            </w:pPr>
            <w:r>
              <w:rPr>
                <w:sz w:val="18"/>
                <w:szCs w:val="18"/>
              </w:rPr>
              <w:t>67391,90</w:t>
            </w:r>
          </w:p>
        </w:tc>
        <w:tc>
          <w:tcPr>
            <w:tcW w:w="992" w:type="dxa"/>
            <w:tcBorders>
              <w:top w:val="nil"/>
              <w:left w:val="nil"/>
              <w:bottom w:val="single" w:sz="4" w:space="0" w:color="auto"/>
              <w:right w:val="single" w:sz="4" w:space="0" w:color="auto"/>
            </w:tcBorders>
            <w:shd w:val="clear" w:color="000000" w:fill="CCFFFF"/>
            <w:noWrap/>
            <w:vAlign w:val="bottom"/>
            <w:hideMark/>
          </w:tcPr>
          <w:p w14:paraId="043B3A2B" w14:textId="77777777" w:rsidR="00B56301" w:rsidRPr="00CD6B25" w:rsidRDefault="00B56301" w:rsidP="00B37B65">
            <w:pPr>
              <w:jc w:val="right"/>
              <w:rPr>
                <w:rFonts w:ascii="Times New Roman" w:hAnsi="Times New Roman"/>
                <w:sz w:val="18"/>
                <w:szCs w:val="18"/>
              </w:rPr>
            </w:pPr>
            <w:r>
              <w:rPr>
                <w:sz w:val="18"/>
                <w:szCs w:val="18"/>
              </w:rPr>
              <w:t>60774,01</w:t>
            </w:r>
          </w:p>
        </w:tc>
        <w:tc>
          <w:tcPr>
            <w:tcW w:w="992" w:type="dxa"/>
            <w:tcBorders>
              <w:top w:val="nil"/>
              <w:left w:val="nil"/>
              <w:bottom w:val="single" w:sz="4" w:space="0" w:color="auto"/>
              <w:right w:val="single" w:sz="4" w:space="0" w:color="auto"/>
            </w:tcBorders>
            <w:shd w:val="clear" w:color="000000" w:fill="CCFFFF"/>
            <w:noWrap/>
            <w:vAlign w:val="bottom"/>
            <w:hideMark/>
          </w:tcPr>
          <w:p w14:paraId="6F332855" w14:textId="77777777" w:rsidR="00B56301" w:rsidRPr="00CD6B25" w:rsidRDefault="00B56301" w:rsidP="00B37B65">
            <w:pPr>
              <w:jc w:val="right"/>
              <w:rPr>
                <w:rFonts w:ascii="Times New Roman" w:hAnsi="Times New Roman"/>
                <w:sz w:val="18"/>
                <w:szCs w:val="18"/>
              </w:rPr>
            </w:pPr>
            <w:r>
              <w:rPr>
                <w:sz w:val="18"/>
                <w:szCs w:val="18"/>
              </w:rPr>
              <w:t>54716,47</w:t>
            </w:r>
          </w:p>
        </w:tc>
        <w:tc>
          <w:tcPr>
            <w:tcW w:w="992" w:type="dxa"/>
            <w:tcBorders>
              <w:top w:val="nil"/>
              <w:left w:val="nil"/>
              <w:bottom w:val="single" w:sz="4" w:space="0" w:color="auto"/>
              <w:right w:val="single" w:sz="4" w:space="0" w:color="auto"/>
            </w:tcBorders>
            <w:shd w:val="clear" w:color="000000" w:fill="CCFFFF"/>
            <w:noWrap/>
            <w:vAlign w:val="bottom"/>
            <w:hideMark/>
          </w:tcPr>
          <w:p w14:paraId="189F453C" w14:textId="77777777" w:rsidR="00B56301" w:rsidRPr="00CD6B25" w:rsidRDefault="00B56301" w:rsidP="00B37B65">
            <w:pPr>
              <w:jc w:val="right"/>
              <w:rPr>
                <w:rFonts w:ascii="Times New Roman" w:hAnsi="Times New Roman"/>
                <w:sz w:val="18"/>
                <w:szCs w:val="18"/>
              </w:rPr>
            </w:pPr>
            <w:r>
              <w:rPr>
                <w:sz w:val="18"/>
                <w:szCs w:val="18"/>
              </w:rPr>
              <w:t>53680,54</w:t>
            </w:r>
          </w:p>
        </w:tc>
      </w:tr>
      <w:tr w:rsidR="00B56301" w:rsidRPr="00CD6B25" w14:paraId="1BCAEE0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11CFF04" w14:textId="09CDB66F"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070074F" w14:textId="77777777" w:rsidR="00B56301" w:rsidRPr="00CD6B25" w:rsidRDefault="00B56301" w:rsidP="00B37B65">
            <w:pPr>
              <w:jc w:val="right"/>
              <w:rPr>
                <w:rFonts w:ascii="Times New Roman" w:hAnsi="Times New Roman"/>
                <w:sz w:val="18"/>
                <w:szCs w:val="18"/>
              </w:rPr>
            </w:pPr>
            <w:r>
              <w:rPr>
                <w:sz w:val="18"/>
                <w:szCs w:val="18"/>
              </w:rPr>
              <w:t>69182,91</w:t>
            </w:r>
          </w:p>
        </w:tc>
        <w:tc>
          <w:tcPr>
            <w:tcW w:w="992" w:type="dxa"/>
            <w:tcBorders>
              <w:top w:val="nil"/>
              <w:left w:val="nil"/>
              <w:bottom w:val="single" w:sz="4" w:space="0" w:color="auto"/>
              <w:right w:val="single" w:sz="4" w:space="0" w:color="auto"/>
            </w:tcBorders>
            <w:shd w:val="clear" w:color="000000" w:fill="CCFFFF"/>
            <w:noWrap/>
            <w:vAlign w:val="bottom"/>
            <w:hideMark/>
          </w:tcPr>
          <w:p w14:paraId="04D526C9" w14:textId="77777777" w:rsidR="00B56301" w:rsidRPr="00CD6B25" w:rsidRDefault="00B56301" w:rsidP="00B37B65">
            <w:pPr>
              <w:jc w:val="right"/>
              <w:rPr>
                <w:rFonts w:ascii="Times New Roman" w:hAnsi="Times New Roman"/>
                <w:sz w:val="18"/>
                <w:szCs w:val="18"/>
              </w:rPr>
            </w:pPr>
            <w:r>
              <w:rPr>
                <w:sz w:val="18"/>
                <w:szCs w:val="18"/>
              </w:rPr>
              <w:t>70680,40</w:t>
            </w:r>
          </w:p>
        </w:tc>
        <w:tc>
          <w:tcPr>
            <w:tcW w:w="992" w:type="dxa"/>
            <w:tcBorders>
              <w:top w:val="nil"/>
              <w:left w:val="nil"/>
              <w:bottom w:val="single" w:sz="4" w:space="0" w:color="auto"/>
              <w:right w:val="single" w:sz="4" w:space="0" w:color="auto"/>
            </w:tcBorders>
            <w:shd w:val="clear" w:color="000000" w:fill="CCFFFF"/>
            <w:noWrap/>
            <w:vAlign w:val="bottom"/>
            <w:hideMark/>
          </w:tcPr>
          <w:p w14:paraId="003DB2A2" w14:textId="77777777" w:rsidR="00B56301" w:rsidRPr="00CD6B25" w:rsidRDefault="00B56301" w:rsidP="00B37B65">
            <w:pPr>
              <w:jc w:val="right"/>
              <w:rPr>
                <w:rFonts w:ascii="Times New Roman" w:hAnsi="Times New Roman"/>
                <w:sz w:val="18"/>
                <w:szCs w:val="18"/>
              </w:rPr>
            </w:pPr>
            <w:r>
              <w:rPr>
                <w:sz w:val="18"/>
                <w:szCs w:val="18"/>
              </w:rPr>
              <w:t>70621,20</w:t>
            </w:r>
          </w:p>
        </w:tc>
        <w:tc>
          <w:tcPr>
            <w:tcW w:w="992" w:type="dxa"/>
            <w:tcBorders>
              <w:top w:val="nil"/>
              <w:left w:val="nil"/>
              <w:bottom w:val="single" w:sz="4" w:space="0" w:color="auto"/>
              <w:right w:val="single" w:sz="4" w:space="0" w:color="auto"/>
            </w:tcBorders>
            <w:shd w:val="clear" w:color="000000" w:fill="CCFFFF"/>
            <w:noWrap/>
            <w:vAlign w:val="bottom"/>
            <w:hideMark/>
          </w:tcPr>
          <w:p w14:paraId="59FA9A83" w14:textId="77777777" w:rsidR="00B56301" w:rsidRPr="00CD6B25" w:rsidRDefault="00B56301" w:rsidP="00B37B65">
            <w:pPr>
              <w:jc w:val="right"/>
              <w:rPr>
                <w:rFonts w:ascii="Times New Roman" w:hAnsi="Times New Roman"/>
                <w:sz w:val="18"/>
                <w:szCs w:val="18"/>
              </w:rPr>
            </w:pPr>
            <w:r>
              <w:rPr>
                <w:sz w:val="18"/>
                <w:szCs w:val="18"/>
              </w:rPr>
              <w:t>63993,18</w:t>
            </w:r>
          </w:p>
        </w:tc>
        <w:tc>
          <w:tcPr>
            <w:tcW w:w="992" w:type="dxa"/>
            <w:tcBorders>
              <w:top w:val="nil"/>
              <w:left w:val="nil"/>
              <w:bottom w:val="single" w:sz="4" w:space="0" w:color="auto"/>
              <w:right w:val="single" w:sz="4" w:space="0" w:color="auto"/>
            </w:tcBorders>
            <w:shd w:val="clear" w:color="000000" w:fill="CCFFFF"/>
            <w:noWrap/>
            <w:vAlign w:val="bottom"/>
            <w:hideMark/>
          </w:tcPr>
          <w:p w14:paraId="7E066D21" w14:textId="77777777" w:rsidR="00B56301" w:rsidRPr="00CD6B25" w:rsidRDefault="00B56301" w:rsidP="00B37B65">
            <w:pPr>
              <w:jc w:val="right"/>
              <w:rPr>
                <w:rFonts w:ascii="Times New Roman" w:hAnsi="Times New Roman"/>
                <w:sz w:val="18"/>
                <w:szCs w:val="18"/>
              </w:rPr>
            </w:pPr>
            <w:r>
              <w:rPr>
                <w:sz w:val="18"/>
                <w:szCs w:val="18"/>
              </w:rPr>
              <w:t>57887,73</w:t>
            </w:r>
          </w:p>
        </w:tc>
        <w:tc>
          <w:tcPr>
            <w:tcW w:w="992" w:type="dxa"/>
            <w:tcBorders>
              <w:top w:val="nil"/>
              <w:left w:val="nil"/>
              <w:bottom w:val="single" w:sz="4" w:space="0" w:color="auto"/>
              <w:right w:val="single" w:sz="4" w:space="0" w:color="auto"/>
            </w:tcBorders>
            <w:shd w:val="clear" w:color="000000" w:fill="CCFFFF"/>
            <w:noWrap/>
            <w:vAlign w:val="bottom"/>
            <w:hideMark/>
          </w:tcPr>
          <w:p w14:paraId="57957589" w14:textId="77777777" w:rsidR="00B56301" w:rsidRPr="00CD6B25" w:rsidRDefault="00B56301" w:rsidP="00B37B65">
            <w:pPr>
              <w:jc w:val="right"/>
              <w:rPr>
                <w:rFonts w:ascii="Times New Roman" w:hAnsi="Times New Roman"/>
                <w:sz w:val="18"/>
                <w:szCs w:val="18"/>
              </w:rPr>
            </w:pPr>
            <w:r>
              <w:rPr>
                <w:sz w:val="18"/>
                <w:szCs w:val="18"/>
              </w:rPr>
              <w:t>56873,23</w:t>
            </w:r>
          </w:p>
        </w:tc>
      </w:tr>
      <w:tr w:rsidR="00B56301" w:rsidRPr="00CD6B25" w14:paraId="3E87AA0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1938AF"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09A084BE" w14:textId="77777777" w:rsidR="00B56301" w:rsidRPr="00CD6B25" w:rsidRDefault="00B56301" w:rsidP="00B37B65">
            <w:pPr>
              <w:jc w:val="right"/>
              <w:rPr>
                <w:rFonts w:ascii="Times New Roman" w:hAnsi="Times New Roman"/>
                <w:sz w:val="18"/>
                <w:szCs w:val="18"/>
              </w:rPr>
            </w:pPr>
            <w:r>
              <w:rPr>
                <w:sz w:val="18"/>
                <w:szCs w:val="18"/>
              </w:rPr>
              <w:t>1702,34</w:t>
            </w:r>
          </w:p>
        </w:tc>
        <w:tc>
          <w:tcPr>
            <w:tcW w:w="992" w:type="dxa"/>
            <w:tcBorders>
              <w:top w:val="nil"/>
              <w:left w:val="nil"/>
              <w:bottom w:val="single" w:sz="4" w:space="0" w:color="auto"/>
              <w:right w:val="single" w:sz="4" w:space="0" w:color="auto"/>
            </w:tcBorders>
            <w:shd w:val="clear" w:color="000000" w:fill="CCFFFF"/>
            <w:noWrap/>
            <w:vAlign w:val="bottom"/>
            <w:hideMark/>
          </w:tcPr>
          <w:p w14:paraId="6E112777" w14:textId="77777777" w:rsidR="00B56301" w:rsidRPr="00CD6B25" w:rsidRDefault="00B56301" w:rsidP="00B37B65">
            <w:pPr>
              <w:jc w:val="right"/>
              <w:rPr>
                <w:rFonts w:ascii="Times New Roman" w:hAnsi="Times New Roman"/>
                <w:sz w:val="18"/>
                <w:szCs w:val="18"/>
              </w:rPr>
            </w:pPr>
            <w:r>
              <w:rPr>
                <w:sz w:val="18"/>
                <w:szCs w:val="18"/>
              </w:rPr>
              <w:t>3060,80</w:t>
            </w:r>
          </w:p>
        </w:tc>
        <w:tc>
          <w:tcPr>
            <w:tcW w:w="992" w:type="dxa"/>
            <w:tcBorders>
              <w:top w:val="nil"/>
              <w:left w:val="nil"/>
              <w:bottom w:val="single" w:sz="4" w:space="0" w:color="auto"/>
              <w:right w:val="single" w:sz="4" w:space="0" w:color="auto"/>
            </w:tcBorders>
            <w:shd w:val="clear" w:color="000000" w:fill="CCFFFF"/>
            <w:noWrap/>
            <w:vAlign w:val="bottom"/>
            <w:hideMark/>
          </w:tcPr>
          <w:p w14:paraId="2323F426" w14:textId="77777777" w:rsidR="00B56301" w:rsidRPr="00CD6B25" w:rsidRDefault="00B56301" w:rsidP="00B37B65">
            <w:pPr>
              <w:jc w:val="right"/>
              <w:rPr>
                <w:rFonts w:ascii="Times New Roman" w:hAnsi="Times New Roman"/>
                <w:sz w:val="18"/>
                <w:szCs w:val="18"/>
              </w:rPr>
            </w:pPr>
            <w:r>
              <w:rPr>
                <w:sz w:val="18"/>
                <w:szCs w:val="18"/>
              </w:rPr>
              <w:t>3917,44</w:t>
            </w:r>
          </w:p>
        </w:tc>
        <w:tc>
          <w:tcPr>
            <w:tcW w:w="992" w:type="dxa"/>
            <w:tcBorders>
              <w:top w:val="nil"/>
              <w:left w:val="nil"/>
              <w:bottom w:val="single" w:sz="4" w:space="0" w:color="auto"/>
              <w:right w:val="single" w:sz="4" w:space="0" w:color="auto"/>
            </w:tcBorders>
            <w:shd w:val="clear" w:color="000000" w:fill="CCFFFF"/>
            <w:noWrap/>
            <w:vAlign w:val="bottom"/>
            <w:hideMark/>
          </w:tcPr>
          <w:p w14:paraId="355A0948" w14:textId="77777777" w:rsidR="00B56301" w:rsidRPr="00CD6B25" w:rsidRDefault="00B56301" w:rsidP="00B37B65">
            <w:pPr>
              <w:jc w:val="right"/>
              <w:rPr>
                <w:rFonts w:ascii="Times New Roman" w:hAnsi="Times New Roman"/>
                <w:sz w:val="18"/>
                <w:szCs w:val="18"/>
              </w:rPr>
            </w:pPr>
            <w:r>
              <w:rPr>
                <w:sz w:val="18"/>
                <w:szCs w:val="18"/>
              </w:rPr>
              <w:t>4304,32</w:t>
            </w:r>
          </w:p>
        </w:tc>
        <w:tc>
          <w:tcPr>
            <w:tcW w:w="992" w:type="dxa"/>
            <w:tcBorders>
              <w:top w:val="nil"/>
              <w:left w:val="nil"/>
              <w:bottom w:val="single" w:sz="4" w:space="0" w:color="auto"/>
              <w:right w:val="single" w:sz="4" w:space="0" w:color="auto"/>
            </w:tcBorders>
            <w:shd w:val="clear" w:color="000000" w:fill="CCFFFF"/>
            <w:noWrap/>
            <w:vAlign w:val="bottom"/>
            <w:hideMark/>
          </w:tcPr>
          <w:p w14:paraId="5A22E0D4" w14:textId="77777777" w:rsidR="00B56301" w:rsidRPr="00CD6B25" w:rsidRDefault="00B56301" w:rsidP="00B37B65">
            <w:pPr>
              <w:jc w:val="right"/>
              <w:rPr>
                <w:rFonts w:ascii="Times New Roman" w:hAnsi="Times New Roman"/>
                <w:sz w:val="18"/>
                <w:szCs w:val="18"/>
              </w:rPr>
            </w:pPr>
            <w:r>
              <w:rPr>
                <w:sz w:val="18"/>
                <w:szCs w:val="18"/>
              </w:rPr>
              <w:t>5534,29</w:t>
            </w:r>
          </w:p>
        </w:tc>
        <w:tc>
          <w:tcPr>
            <w:tcW w:w="992" w:type="dxa"/>
            <w:tcBorders>
              <w:top w:val="nil"/>
              <w:left w:val="nil"/>
              <w:bottom w:val="single" w:sz="4" w:space="0" w:color="auto"/>
              <w:right w:val="single" w:sz="4" w:space="0" w:color="auto"/>
            </w:tcBorders>
            <w:shd w:val="clear" w:color="000000" w:fill="CCFFFF"/>
            <w:noWrap/>
            <w:vAlign w:val="bottom"/>
            <w:hideMark/>
          </w:tcPr>
          <w:p w14:paraId="0717FE69" w14:textId="77777777" w:rsidR="00B56301" w:rsidRPr="00CD6B25" w:rsidRDefault="00B56301" w:rsidP="00B37B65">
            <w:pPr>
              <w:jc w:val="right"/>
              <w:rPr>
                <w:rFonts w:ascii="Times New Roman" w:hAnsi="Times New Roman"/>
                <w:sz w:val="18"/>
                <w:szCs w:val="18"/>
              </w:rPr>
            </w:pPr>
            <w:r>
              <w:rPr>
                <w:sz w:val="18"/>
                <w:szCs w:val="18"/>
              </w:rPr>
              <w:t>6735,71</w:t>
            </w:r>
          </w:p>
        </w:tc>
      </w:tr>
      <w:tr w:rsidR="00B56301" w:rsidRPr="00CD6B25" w14:paraId="7F175FEF"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591DA7A"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77776CA8" w14:textId="77777777" w:rsidR="00B56301" w:rsidRPr="00CD6B25" w:rsidRDefault="00B56301" w:rsidP="00B37B65">
            <w:pPr>
              <w:jc w:val="right"/>
              <w:rPr>
                <w:rFonts w:ascii="Times New Roman" w:hAnsi="Times New Roman"/>
                <w:sz w:val="18"/>
                <w:szCs w:val="18"/>
              </w:rPr>
            </w:pPr>
            <w:r>
              <w:rPr>
                <w:sz w:val="18"/>
                <w:szCs w:val="18"/>
              </w:rPr>
              <w:t>3064,56</w:t>
            </w:r>
          </w:p>
        </w:tc>
        <w:tc>
          <w:tcPr>
            <w:tcW w:w="992" w:type="dxa"/>
            <w:tcBorders>
              <w:top w:val="nil"/>
              <w:left w:val="nil"/>
              <w:bottom w:val="single" w:sz="4" w:space="0" w:color="auto"/>
              <w:right w:val="single" w:sz="4" w:space="0" w:color="auto"/>
            </w:tcBorders>
            <w:shd w:val="clear" w:color="000000" w:fill="CCFFFF"/>
            <w:noWrap/>
            <w:vAlign w:val="bottom"/>
            <w:hideMark/>
          </w:tcPr>
          <w:p w14:paraId="3B90706D" w14:textId="77777777" w:rsidR="00B56301" w:rsidRPr="00CD6B25" w:rsidRDefault="00B56301" w:rsidP="00B37B65">
            <w:pPr>
              <w:jc w:val="right"/>
              <w:rPr>
                <w:rFonts w:ascii="Times New Roman" w:hAnsi="Times New Roman"/>
                <w:sz w:val="18"/>
                <w:szCs w:val="18"/>
              </w:rPr>
            </w:pPr>
            <w:r>
              <w:rPr>
                <w:sz w:val="18"/>
                <w:szCs w:val="18"/>
              </w:rPr>
              <w:t>2796,25</w:t>
            </w:r>
          </w:p>
        </w:tc>
        <w:tc>
          <w:tcPr>
            <w:tcW w:w="992" w:type="dxa"/>
            <w:tcBorders>
              <w:top w:val="nil"/>
              <w:left w:val="nil"/>
              <w:bottom w:val="single" w:sz="4" w:space="0" w:color="auto"/>
              <w:right w:val="single" w:sz="4" w:space="0" w:color="auto"/>
            </w:tcBorders>
            <w:shd w:val="clear" w:color="000000" w:fill="CCFFFF"/>
            <w:noWrap/>
            <w:vAlign w:val="bottom"/>
            <w:hideMark/>
          </w:tcPr>
          <w:p w14:paraId="2F35E821" w14:textId="77777777" w:rsidR="00B56301" w:rsidRPr="00CD6B25" w:rsidRDefault="00B56301" w:rsidP="00B37B65">
            <w:pPr>
              <w:jc w:val="right"/>
              <w:rPr>
                <w:rFonts w:ascii="Times New Roman" w:hAnsi="Times New Roman"/>
                <w:sz w:val="18"/>
                <w:szCs w:val="18"/>
              </w:rPr>
            </w:pPr>
            <w:r>
              <w:rPr>
                <w:sz w:val="18"/>
                <w:szCs w:val="18"/>
              </w:rPr>
              <w:t>2895,97</w:t>
            </w:r>
          </w:p>
        </w:tc>
        <w:tc>
          <w:tcPr>
            <w:tcW w:w="992" w:type="dxa"/>
            <w:tcBorders>
              <w:top w:val="nil"/>
              <w:left w:val="nil"/>
              <w:bottom w:val="single" w:sz="4" w:space="0" w:color="auto"/>
              <w:right w:val="single" w:sz="4" w:space="0" w:color="auto"/>
            </w:tcBorders>
            <w:shd w:val="clear" w:color="000000" w:fill="CCFFFF"/>
            <w:noWrap/>
            <w:vAlign w:val="bottom"/>
            <w:hideMark/>
          </w:tcPr>
          <w:p w14:paraId="42170E5C" w14:textId="77777777" w:rsidR="00B56301" w:rsidRPr="00CD6B25" w:rsidRDefault="00B56301" w:rsidP="00B37B65">
            <w:pPr>
              <w:jc w:val="right"/>
              <w:rPr>
                <w:rFonts w:ascii="Times New Roman" w:hAnsi="Times New Roman"/>
                <w:sz w:val="18"/>
                <w:szCs w:val="18"/>
              </w:rPr>
            </w:pPr>
            <w:r>
              <w:rPr>
                <w:sz w:val="18"/>
                <w:szCs w:val="18"/>
              </w:rPr>
              <w:t>3391,71</w:t>
            </w:r>
          </w:p>
        </w:tc>
        <w:tc>
          <w:tcPr>
            <w:tcW w:w="992" w:type="dxa"/>
            <w:tcBorders>
              <w:top w:val="nil"/>
              <w:left w:val="nil"/>
              <w:bottom w:val="single" w:sz="4" w:space="0" w:color="auto"/>
              <w:right w:val="single" w:sz="4" w:space="0" w:color="auto"/>
            </w:tcBorders>
            <w:shd w:val="clear" w:color="000000" w:fill="CCFFFF"/>
            <w:noWrap/>
            <w:vAlign w:val="bottom"/>
            <w:hideMark/>
          </w:tcPr>
          <w:p w14:paraId="098EA722" w14:textId="77777777" w:rsidR="00B56301" w:rsidRPr="00CD6B25" w:rsidRDefault="00B56301" w:rsidP="00B37B65">
            <w:pPr>
              <w:jc w:val="right"/>
              <w:rPr>
                <w:rFonts w:ascii="Times New Roman" w:hAnsi="Times New Roman"/>
                <w:sz w:val="18"/>
                <w:szCs w:val="18"/>
              </w:rPr>
            </w:pPr>
            <w:r>
              <w:rPr>
                <w:sz w:val="18"/>
                <w:szCs w:val="18"/>
              </w:rPr>
              <w:t>4218,40</w:t>
            </w:r>
          </w:p>
        </w:tc>
        <w:tc>
          <w:tcPr>
            <w:tcW w:w="992" w:type="dxa"/>
            <w:tcBorders>
              <w:top w:val="nil"/>
              <w:left w:val="nil"/>
              <w:bottom w:val="single" w:sz="4" w:space="0" w:color="auto"/>
              <w:right w:val="single" w:sz="4" w:space="0" w:color="auto"/>
            </w:tcBorders>
            <w:shd w:val="clear" w:color="000000" w:fill="CCFFFF"/>
            <w:noWrap/>
            <w:vAlign w:val="bottom"/>
            <w:hideMark/>
          </w:tcPr>
          <w:p w14:paraId="40AE704F" w14:textId="77777777" w:rsidR="00B56301" w:rsidRPr="00CD6B25" w:rsidRDefault="00B56301" w:rsidP="00B37B65">
            <w:pPr>
              <w:jc w:val="right"/>
              <w:rPr>
                <w:rFonts w:ascii="Times New Roman" w:hAnsi="Times New Roman"/>
                <w:sz w:val="18"/>
                <w:szCs w:val="18"/>
              </w:rPr>
            </w:pPr>
            <w:r>
              <w:rPr>
                <w:sz w:val="18"/>
                <w:szCs w:val="18"/>
              </w:rPr>
              <w:t>2997,49</w:t>
            </w:r>
          </w:p>
        </w:tc>
      </w:tr>
      <w:tr w:rsidR="00B56301" w:rsidRPr="00CD6B25" w14:paraId="0E6F3D25"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EC860D7" w14:textId="77777777" w:rsidR="00B56301" w:rsidRPr="00CD6B25" w:rsidRDefault="00B56301" w:rsidP="00B37B65">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2837EC40"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46F2C6B"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807BE31"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C1835EB"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7D94339"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4F4CD28" w14:textId="77777777" w:rsidR="00B56301" w:rsidRPr="00CD6B25" w:rsidRDefault="00B56301" w:rsidP="00B37B65">
            <w:pPr>
              <w:jc w:val="right"/>
              <w:rPr>
                <w:rFonts w:ascii="Times New Roman" w:hAnsi="Times New Roman"/>
                <w:sz w:val="18"/>
                <w:szCs w:val="18"/>
              </w:rPr>
            </w:pPr>
            <w:r>
              <w:rPr>
                <w:sz w:val="18"/>
                <w:szCs w:val="18"/>
              </w:rPr>
              <w:t>NO,NA</w:t>
            </w:r>
          </w:p>
        </w:tc>
      </w:tr>
      <w:tr w:rsidR="00B56301" w:rsidRPr="00CD6B25" w14:paraId="07C1BBC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C895E1A" w14:textId="23D05935" w:rsidR="00B56301" w:rsidRPr="00CD6B25" w:rsidRDefault="007F09F7" w:rsidP="00B37B65">
            <w:pPr>
              <w:jc w:val="left"/>
              <w:rPr>
                <w:rFonts w:ascii="Times New Roman" w:hAnsi="Times New Roman"/>
                <w:sz w:val="18"/>
                <w:szCs w:val="18"/>
              </w:rPr>
            </w:pPr>
            <w:r>
              <w:t>SF</w:t>
            </w:r>
            <w:r w:rsidRPr="007F09F7">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1CEBE4FD" w14:textId="77777777" w:rsidR="00B56301" w:rsidRPr="00CD6B25" w:rsidRDefault="00B56301" w:rsidP="00B37B65">
            <w:pPr>
              <w:jc w:val="right"/>
              <w:rPr>
                <w:rFonts w:ascii="Times New Roman" w:hAnsi="Times New Roman"/>
                <w:sz w:val="18"/>
                <w:szCs w:val="18"/>
              </w:rPr>
            </w:pPr>
            <w:r>
              <w:rPr>
                <w:sz w:val="18"/>
                <w:szCs w:val="18"/>
              </w:rPr>
              <w:t>2466,60</w:t>
            </w:r>
          </w:p>
        </w:tc>
        <w:tc>
          <w:tcPr>
            <w:tcW w:w="992" w:type="dxa"/>
            <w:tcBorders>
              <w:top w:val="nil"/>
              <w:left w:val="nil"/>
              <w:bottom w:val="single" w:sz="4" w:space="0" w:color="auto"/>
              <w:right w:val="single" w:sz="4" w:space="0" w:color="auto"/>
            </w:tcBorders>
            <w:shd w:val="clear" w:color="000000" w:fill="CCFFFF"/>
            <w:noWrap/>
            <w:vAlign w:val="bottom"/>
            <w:hideMark/>
          </w:tcPr>
          <w:p w14:paraId="20BC73B6" w14:textId="77777777" w:rsidR="00B56301" w:rsidRPr="00CD6B25" w:rsidRDefault="00B56301" w:rsidP="00B37B65">
            <w:pPr>
              <w:jc w:val="right"/>
              <w:rPr>
                <w:rFonts w:ascii="Times New Roman" w:hAnsi="Times New Roman"/>
                <w:sz w:val="18"/>
                <w:szCs w:val="18"/>
              </w:rPr>
            </w:pPr>
            <w:r>
              <w:rPr>
                <w:sz w:val="18"/>
                <w:szCs w:val="18"/>
              </w:rPr>
              <w:t>2494,64</w:t>
            </w:r>
          </w:p>
        </w:tc>
        <w:tc>
          <w:tcPr>
            <w:tcW w:w="992" w:type="dxa"/>
            <w:tcBorders>
              <w:top w:val="nil"/>
              <w:left w:val="nil"/>
              <w:bottom w:val="single" w:sz="4" w:space="0" w:color="auto"/>
              <w:right w:val="single" w:sz="4" w:space="0" w:color="auto"/>
            </w:tcBorders>
            <w:shd w:val="clear" w:color="000000" w:fill="CCFFFF"/>
            <w:noWrap/>
            <w:vAlign w:val="bottom"/>
            <w:hideMark/>
          </w:tcPr>
          <w:p w14:paraId="78AFD0A0" w14:textId="77777777" w:rsidR="00B56301" w:rsidRPr="00CD6B25" w:rsidRDefault="00B56301" w:rsidP="00B37B65">
            <w:pPr>
              <w:jc w:val="right"/>
              <w:rPr>
                <w:rFonts w:ascii="Times New Roman" w:hAnsi="Times New Roman"/>
                <w:sz w:val="18"/>
                <w:szCs w:val="18"/>
              </w:rPr>
            </w:pPr>
            <w:r>
              <w:rPr>
                <w:sz w:val="18"/>
                <w:szCs w:val="18"/>
              </w:rPr>
              <w:t>2475,92</w:t>
            </w:r>
          </w:p>
        </w:tc>
        <w:tc>
          <w:tcPr>
            <w:tcW w:w="992" w:type="dxa"/>
            <w:tcBorders>
              <w:top w:val="nil"/>
              <w:left w:val="nil"/>
              <w:bottom w:val="single" w:sz="4" w:space="0" w:color="auto"/>
              <w:right w:val="single" w:sz="4" w:space="0" w:color="auto"/>
            </w:tcBorders>
            <w:shd w:val="clear" w:color="000000" w:fill="CCFFFF"/>
            <w:noWrap/>
            <w:vAlign w:val="bottom"/>
            <w:hideMark/>
          </w:tcPr>
          <w:p w14:paraId="0BE37D38" w14:textId="77777777" w:rsidR="00B56301" w:rsidRPr="00CD6B25" w:rsidRDefault="00B56301" w:rsidP="00B37B65">
            <w:pPr>
              <w:jc w:val="right"/>
              <w:rPr>
                <w:rFonts w:ascii="Times New Roman" w:hAnsi="Times New Roman"/>
                <w:sz w:val="18"/>
                <w:szCs w:val="18"/>
              </w:rPr>
            </w:pPr>
            <w:r>
              <w:rPr>
                <w:sz w:val="18"/>
                <w:szCs w:val="18"/>
              </w:rPr>
              <w:t>2593,70</w:t>
            </w:r>
          </w:p>
        </w:tc>
        <w:tc>
          <w:tcPr>
            <w:tcW w:w="992" w:type="dxa"/>
            <w:tcBorders>
              <w:top w:val="nil"/>
              <w:left w:val="nil"/>
              <w:bottom w:val="single" w:sz="4" w:space="0" w:color="auto"/>
              <w:right w:val="single" w:sz="4" w:space="0" w:color="auto"/>
            </w:tcBorders>
            <w:shd w:val="clear" w:color="000000" w:fill="CCFFFF"/>
            <w:noWrap/>
            <w:vAlign w:val="bottom"/>
            <w:hideMark/>
          </w:tcPr>
          <w:p w14:paraId="314780D2" w14:textId="77777777" w:rsidR="00B56301" w:rsidRPr="00CD6B25" w:rsidRDefault="00B56301" w:rsidP="00B37B65">
            <w:pPr>
              <w:jc w:val="right"/>
              <w:rPr>
                <w:rFonts w:ascii="Times New Roman" w:hAnsi="Times New Roman"/>
                <w:sz w:val="18"/>
                <w:szCs w:val="18"/>
              </w:rPr>
            </w:pPr>
            <w:r>
              <w:rPr>
                <w:sz w:val="18"/>
                <w:szCs w:val="18"/>
              </w:rPr>
              <w:t>2292,74</w:t>
            </w:r>
          </w:p>
        </w:tc>
        <w:tc>
          <w:tcPr>
            <w:tcW w:w="992" w:type="dxa"/>
            <w:tcBorders>
              <w:top w:val="nil"/>
              <w:left w:val="nil"/>
              <w:bottom w:val="single" w:sz="4" w:space="0" w:color="auto"/>
              <w:right w:val="single" w:sz="4" w:space="0" w:color="auto"/>
            </w:tcBorders>
            <w:shd w:val="clear" w:color="000000" w:fill="CCFFFF"/>
            <w:noWrap/>
            <w:vAlign w:val="bottom"/>
            <w:hideMark/>
          </w:tcPr>
          <w:p w14:paraId="1F25C9F7" w14:textId="77777777" w:rsidR="00B56301" w:rsidRPr="00CD6B25" w:rsidRDefault="00B56301" w:rsidP="00B37B65">
            <w:pPr>
              <w:jc w:val="right"/>
              <w:rPr>
                <w:rFonts w:ascii="Times New Roman" w:hAnsi="Times New Roman"/>
                <w:sz w:val="18"/>
                <w:szCs w:val="18"/>
              </w:rPr>
            </w:pPr>
            <w:r>
              <w:rPr>
                <w:sz w:val="18"/>
                <w:szCs w:val="18"/>
              </w:rPr>
              <w:t>2180,33</w:t>
            </w:r>
          </w:p>
        </w:tc>
      </w:tr>
      <w:tr w:rsidR="00B56301" w:rsidRPr="00CD6B25" w14:paraId="0CEE828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E4CCFB4" w14:textId="2AC35473" w:rsidR="00B56301" w:rsidRPr="00CD6B25" w:rsidRDefault="007F09F7" w:rsidP="00B37B65">
            <w:pPr>
              <w:jc w:val="left"/>
              <w:rPr>
                <w:rFonts w:ascii="Times New Roman" w:hAnsi="Times New Roman"/>
                <w:sz w:val="18"/>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53C8F824" w14:textId="77777777" w:rsidR="00B56301" w:rsidRPr="00CD6B25" w:rsidRDefault="00B56301" w:rsidP="00B37B65">
            <w:pPr>
              <w:jc w:val="right"/>
              <w:rPr>
                <w:rFonts w:ascii="Times New Roman" w:hAnsi="Times New Roman"/>
                <w:sz w:val="18"/>
                <w:szCs w:val="18"/>
              </w:rPr>
            </w:pPr>
            <w:r>
              <w:rPr>
                <w:sz w:val="18"/>
                <w:szCs w:val="18"/>
              </w:rPr>
              <w:t>6,26</w:t>
            </w:r>
          </w:p>
        </w:tc>
        <w:tc>
          <w:tcPr>
            <w:tcW w:w="992" w:type="dxa"/>
            <w:tcBorders>
              <w:top w:val="nil"/>
              <w:left w:val="nil"/>
              <w:bottom w:val="single" w:sz="4" w:space="0" w:color="auto"/>
              <w:right w:val="single" w:sz="4" w:space="0" w:color="auto"/>
            </w:tcBorders>
            <w:shd w:val="clear" w:color="000000" w:fill="CCFFFF"/>
            <w:noWrap/>
            <w:vAlign w:val="bottom"/>
            <w:hideMark/>
          </w:tcPr>
          <w:p w14:paraId="5FE46F6B" w14:textId="77777777" w:rsidR="00B56301" w:rsidRPr="00CD6B25" w:rsidRDefault="00B56301" w:rsidP="00B37B65">
            <w:pPr>
              <w:jc w:val="right"/>
              <w:rPr>
                <w:rFonts w:ascii="Times New Roman" w:hAnsi="Times New Roman"/>
                <w:sz w:val="18"/>
                <w:szCs w:val="18"/>
              </w:rPr>
            </w:pPr>
            <w:r>
              <w:rPr>
                <w:sz w:val="18"/>
                <w:szCs w:val="18"/>
              </w:rPr>
              <w:t>11,46</w:t>
            </w:r>
          </w:p>
        </w:tc>
        <w:tc>
          <w:tcPr>
            <w:tcW w:w="992" w:type="dxa"/>
            <w:tcBorders>
              <w:top w:val="nil"/>
              <w:left w:val="nil"/>
              <w:bottom w:val="single" w:sz="4" w:space="0" w:color="auto"/>
              <w:right w:val="single" w:sz="4" w:space="0" w:color="auto"/>
            </w:tcBorders>
            <w:shd w:val="clear" w:color="000000" w:fill="CCFFFF"/>
            <w:noWrap/>
            <w:vAlign w:val="bottom"/>
            <w:hideMark/>
          </w:tcPr>
          <w:p w14:paraId="59933CC1" w14:textId="77777777" w:rsidR="00B56301" w:rsidRPr="00CD6B25" w:rsidRDefault="00B56301" w:rsidP="00B37B65">
            <w:pPr>
              <w:jc w:val="right"/>
              <w:rPr>
                <w:rFonts w:ascii="Times New Roman" w:hAnsi="Times New Roman"/>
                <w:sz w:val="18"/>
                <w:szCs w:val="18"/>
              </w:rPr>
            </w:pPr>
            <w:r>
              <w:rPr>
                <w:sz w:val="18"/>
                <w:szCs w:val="18"/>
              </w:rPr>
              <w:t>17,18</w:t>
            </w:r>
          </w:p>
        </w:tc>
        <w:tc>
          <w:tcPr>
            <w:tcW w:w="992" w:type="dxa"/>
            <w:tcBorders>
              <w:top w:val="nil"/>
              <w:left w:val="nil"/>
              <w:bottom w:val="single" w:sz="4" w:space="0" w:color="auto"/>
              <w:right w:val="single" w:sz="4" w:space="0" w:color="auto"/>
            </w:tcBorders>
            <w:shd w:val="clear" w:color="000000" w:fill="CCFFFF"/>
            <w:noWrap/>
            <w:vAlign w:val="bottom"/>
            <w:hideMark/>
          </w:tcPr>
          <w:p w14:paraId="008E8CA3" w14:textId="77777777" w:rsidR="00B56301" w:rsidRPr="00CD6B25" w:rsidRDefault="00B56301" w:rsidP="00B37B65">
            <w:pPr>
              <w:jc w:val="right"/>
              <w:rPr>
                <w:rFonts w:ascii="Times New Roman" w:hAnsi="Times New Roman"/>
                <w:sz w:val="18"/>
                <w:szCs w:val="18"/>
              </w:rPr>
            </w:pPr>
            <w:r>
              <w:rPr>
                <w:sz w:val="18"/>
                <w:szCs w:val="18"/>
              </w:rPr>
              <w:t>21,16</w:t>
            </w:r>
          </w:p>
        </w:tc>
        <w:tc>
          <w:tcPr>
            <w:tcW w:w="992" w:type="dxa"/>
            <w:tcBorders>
              <w:top w:val="nil"/>
              <w:left w:val="nil"/>
              <w:bottom w:val="single" w:sz="4" w:space="0" w:color="auto"/>
              <w:right w:val="single" w:sz="4" w:space="0" w:color="auto"/>
            </w:tcBorders>
            <w:shd w:val="clear" w:color="000000" w:fill="CCFFFF"/>
            <w:noWrap/>
            <w:vAlign w:val="bottom"/>
            <w:hideMark/>
          </w:tcPr>
          <w:p w14:paraId="77B5F87E" w14:textId="77777777" w:rsidR="00B56301" w:rsidRPr="00CD6B25" w:rsidRDefault="00B56301" w:rsidP="00B37B65">
            <w:pPr>
              <w:jc w:val="right"/>
              <w:rPr>
                <w:rFonts w:ascii="Times New Roman" w:hAnsi="Times New Roman"/>
                <w:sz w:val="18"/>
                <w:szCs w:val="18"/>
              </w:rPr>
            </w:pPr>
            <w:r>
              <w:rPr>
                <w:sz w:val="18"/>
                <w:szCs w:val="18"/>
              </w:rPr>
              <w:t>28,41</w:t>
            </w:r>
          </w:p>
        </w:tc>
        <w:tc>
          <w:tcPr>
            <w:tcW w:w="992" w:type="dxa"/>
            <w:tcBorders>
              <w:top w:val="nil"/>
              <w:left w:val="nil"/>
              <w:bottom w:val="single" w:sz="4" w:space="0" w:color="auto"/>
              <w:right w:val="single" w:sz="4" w:space="0" w:color="auto"/>
            </w:tcBorders>
            <w:shd w:val="clear" w:color="000000" w:fill="CCFFFF"/>
            <w:noWrap/>
            <w:vAlign w:val="bottom"/>
            <w:hideMark/>
          </w:tcPr>
          <w:p w14:paraId="1B0AEB38" w14:textId="77777777" w:rsidR="00B56301" w:rsidRPr="00CD6B25" w:rsidRDefault="00B56301" w:rsidP="00B37B65">
            <w:pPr>
              <w:jc w:val="right"/>
              <w:rPr>
                <w:rFonts w:ascii="Times New Roman" w:hAnsi="Times New Roman"/>
                <w:sz w:val="18"/>
                <w:szCs w:val="18"/>
              </w:rPr>
            </w:pPr>
            <w:r>
              <w:rPr>
                <w:sz w:val="18"/>
                <w:szCs w:val="18"/>
              </w:rPr>
              <w:t>19,89</w:t>
            </w:r>
          </w:p>
        </w:tc>
      </w:tr>
      <w:tr w:rsidR="00B56301" w:rsidRPr="00CD6B25" w14:paraId="59E2B6F4"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51193C9"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E5F68B2" w14:textId="77777777" w:rsidR="00B56301" w:rsidRPr="00CD6B25" w:rsidRDefault="00B56301" w:rsidP="00B37B65">
            <w:pPr>
              <w:jc w:val="right"/>
              <w:rPr>
                <w:rFonts w:ascii="Times New Roman" w:hAnsi="Times New Roman"/>
                <w:sz w:val="18"/>
                <w:szCs w:val="18"/>
              </w:rPr>
            </w:pPr>
            <w:r>
              <w:rPr>
                <w:sz w:val="18"/>
                <w:szCs w:val="18"/>
              </w:rPr>
              <w:t>536475,53</w:t>
            </w:r>
          </w:p>
        </w:tc>
        <w:tc>
          <w:tcPr>
            <w:tcW w:w="992" w:type="dxa"/>
            <w:tcBorders>
              <w:top w:val="nil"/>
              <w:left w:val="nil"/>
              <w:bottom w:val="single" w:sz="4" w:space="0" w:color="auto"/>
              <w:right w:val="single" w:sz="4" w:space="0" w:color="auto"/>
            </w:tcBorders>
            <w:shd w:val="clear" w:color="000000" w:fill="CCFFFF"/>
            <w:noWrap/>
            <w:vAlign w:val="bottom"/>
            <w:hideMark/>
          </w:tcPr>
          <w:p w14:paraId="2D407D56" w14:textId="77777777" w:rsidR="00B56301" w:rsidRPr="00CD6B25" w:rsidRDefault="00B56301" w:rsidP="00B37B65">
            <w:pPr>
              <w:jc w:val="right"/>
              <w:rPr>
                <w:rFonts w:ascii="Times New Roman" w:hAnsi="Times New Roman"/>
                <w:sz w:val="18"/>
                <w:szCs w:val="18"/>
              </w:rPr>
            </w:pPr>
            <w:r>
              <w:rPr>
                <w:sz w:val="18"/>
                <w:szCs w:val="18"/>
              </w:rPr>
              <w:t>553485,94</w:t>
            </w:r>
          </w:p>
        </w:tc>
        <w:tc>
          <w:tcPr>
            <w:tcW w:w="992" w:type="dxa"/>
            <w:tcBorders>
              <w:top w:val="nil"/>
              <w:left w:val="nil"/>
              <w:bottom w:val="single" w:sz="4" w:space="0" w:color="auto"/>
              <w:right w:val="single" w:sz="4" w:space="0" w:color="auto"/>
            </w:tcBorders>
            <w:shd w:val="clear" w:color="000000" w:fill="CCFFFF"/>
            <w:noWrap/>
            <w:vAlign w:val="bottom"/>
            <w:hideMark/>
          </w:tcPr>
          <w:p w14:paraId="1E150BB5" w14:textId="77777777" w:rsidR="00B56301" w:rsidRPr="00CD6B25" w:rsidRDefault="00B56301" w:rsidP="00B37B65">
            <w:pPr>
              <w:jc w:val="right"/>
              <w:rPr>
                <w:rFonts w:ascii="Times New Roman" w:hAnsi="Times New Roman"/>
                <w:sz w:val="18"/>
                <w:szCs w:val="18"/>
              </w:rPr>
            </w:pPr>
            <w:r>
              <w:rPr>
                <w:sz w:val="18"/>
                <w:szCs w:val="18"/>
              </w:rPr>
              <w:t>545922,67</w:t>
            </w:r>
          </w:p>
        </w:tc>
        <w:tc>
          <w:tcPr>
            <w:tcW w:w="992" w:type="dxa"/>
            <w:tcBorders>
              <w:top w:val="nil"/>
              <w:left w:val="nil"/>
              <w:bottom w:val="single" w:sz="4" w:space="0" w:color="auto"/>
              <w:right w:val="single" w:sz="4" w:space="0" w:color="auto"/>
            </w:tcBorders>
            <w:shd w:val="clear" w:color="000000" w:fill="CCFFFF"/>
            <w:noWrap/>
            <w:vAlign w:val="bottom"/>
            <w:hideMark/>
          </w:tcPr>
          <w:p w14:paraId="286EF2D3" w14:textId="77777777" w:rsidR="00B56301" w:rsidRPr="00CD6B25" w:rsidRDefault="00B56301" w:rsidP="00B37B65">
            <w:pPr>
              <w:jc w:val="right"/>
              <w:rPr>
                <w:rFonts w:ascii="Times New Roman" w:hAnsi="Times New Roman"/>
                <w:sz w:val="18"/>
                <w:szCs w:val="18"/>
              </w:rPr>
            </w:pPr>
            <w:r>
              <w:rPr>
                <w:sz w:val="18"/>
                <w:szCs w:val="18"/>
              </w:rPr>
              <w:t>560386,15</w:t>
            </w:r>
          </w:p>
        </w:tc>
        <w:tc>
          <w:tcPr>
            <w:tcW w:w="992" w:type="dxa"/>
            <w:tcBorders>
              <w:top w:val="nil"/>
              <w:left w:val="nil"/>
              <w:bottom w:val="single" w:sz="4" w:space="0" w:color="auto"/>
              <w:right w:val="single" w:sz="4" w:space="0" w:color="auto"/>
            </w:tcBorders>
            <w:shd w:val="clear" w:color="000000" w:fill="CCFFFF"/>
            <w:noWrap/>
            <w:vAlign w:val="bottom"/>
            <w:hideMark/>
          </w:tcPr>
          <w:p w14:paraId="43665AD9" w14:textId="77777777" w:rsidR="00B56301" w:rsidRPr="00CD6B25" w:rsidRDefault="00B56301" w:rsidP="00B37B65">
            <w:pPr>
              <w:jc w:val="right"/>
              <w:rPr>
                <w:rFonts w:ascii="Times New Roman" w:hAnsi="Times New Roman"/>
                <w:sz w:val="18"/>
                <w:szCs w:val="18"/>
              </w:rPr>
            </w:pPr>
            <w:r>
              <w:rPr>
                <w:sz w:val="18"/>
                <w:szCs w:val="18"/>
              </w:rPr>
              <w:t>554867,12</w:t>
            </w:r>
          </w:p>
        </w:tc>
        <w:tc>
          <w:tcPr>
            <w:tcW w:w="992" w:type="dxa"/>
            <w:tcBorders>
              <w:top w:val="nil"/>
              <w:left w:val="nil"/>
              <w:bottom w:val="single" w:sz="4" w:space="0" w:color="auto"/>
              <w:right w:val="single" w:sz="4" w:space="0" w:color="auto"/>
            </w:tcBorders>
            <w:shd w:val="clear" w:color="000000" w:fill="CCFFFF"/>
            <w:noWrap/>
            <w:vAlign w:val="bottom"/>
            <w:hideMark/>
          </w:tcPr>
          <w:p w14:paraId="48B81AA3" w14:textId="77777777" w:rsidR="00B56301" w:rsidRPr="00CD6B25" w:rsidRDefault="00B56301" w:rsidP="00B37B65">
            <w:pPr>
              <w:jc w:val="right"/>
              <w:rPr>
                <w:rFonts w:ascii="Times New Roman" w:hAnsi="Times New Roman"/>
                <w:sz w:val="18"/>
                <w:szCs w:val="18"/>
              </w:rPr>
            </w:pPr>
            <w:r>
              <w:rPr>
                <w:sz w:val="18"/>
                <w:szCs w:val="18"/>
              </w:rPr>
              <w:t>549005,17</w:t>
            </w:r>
          </w:p>
        </w:tc>
      </w:tr>
      <w:tr w:rsidR="00B56301" w:rsidRPr="00CD6B25" w14:paraId="7C09879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991A360"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33599EE" w14:textId="77777777" w:rsidR="00B56301" w:rsidRPr="00CD6B25" w:rsidRDefault="00B56301" w:rsidP="00B37B65">
            <w:pPr>
              <w:jc w:val="right"/>
              <w:rPr>
                <w:rFonts w:ascii="Times New Roman" w:hAnsi="Times New Roman"/>
                <w:sz w:val="18"/>
                <w:szCs w:val="18"/>
              </w:rPr>
            </w:pPr>
            <w:r>
              <w:rPr>
                <w:sz w:val="18"/>
                <w:szCs w:val="18"/>
              </w:rPr>
              <w:t>511596,26</w:t>
            </w:r>
          </w:p>
        </w:tc>
        <w:tc>
          <w:tcPr>
            <w:tcW w:w="992" w:type="dxa"/>
            <w:tcBorders>
              <w:top w:val="nil"/>
              <w:left w:val="nil"/>
              <w:bottom w:val="single" w:sz="4" w:space="0" w:color="auto"/>
              <w:right w:val="single" w:sz="4" w:space="0" w:color="auto"/>
            </w:tcBorders>
            <w:shd w:val="clear" w:color="000000" w:fill="CCFFFF"/>
            <w:noWrap/>
            <w:vAlign w:val="bottom"/>
            <w:hideMark/>
          </w:tcPr>
          <w:p w14:paraId="0A5F0333" w14:textId="77777777" w:rsidR="00B56301" w:rsidRPr="00CD6B25" w:rsidRDefault="00B56301" w:rsidP="00B37B65">
            <w:pPr>
              <w:jc w:val="right"/>
              <w:rPr>
                <w:rFonts w:ascii="Times New Roman" w:hAnsi="Times New Roman"/>
                <w:sz w:val="18"/>
                <w:szCs w:val="18"/>
              </w:rPr>
            </w:pPr>
            <w:r>
              <w:rPr>
                <w:sz w:val="18"/>
                <w:szCs w:val="18"/>
              </w:rPr>
              <w:t>522218,87</w:t>
            </w:r>
          </w:p>
        </w:tc>
        <w:tc>
          <w:tcPr>
            <w:tcW w:w="992" w:type="dxa"/>
            <w:tcBorders>
              <w:top w:val="nil"/>
              <w:left w:val="nil"/>
              <w:bottom w:val="single" w:sz="4" w:space="0" w:color="auto"/>
              <w:right w:val="single" w:sz="4" w:space="0" w:color="auto"/>
            </w:tcBorders>
            <w:shd w:val="clear" w:color="000000" w:fill="CCFFFF"/>
            <w:noWrap/>
            <w:vAlign w:val="bottom"/>
            <w:hideMark/>
          </w:tcPr>
          <w:p w14:paraId="7A0A76CB" w14:textId="77777777" w:rsidR="00B56301" w:rsidRPr="00CD6B25" w:rsidRDefault="00B56301" w:rsidP="00B37B65">
            <w:pPr>
              <w:jc w:val="right"/>
              <w:rPr>
                <w:rFonts w:ascii="Times New Roman" w:hAnsi="Times New Roman"/>
                <w:sz w:val="18"/>
                <w:szCs w:val="18"/>
              </w:rPr>
            </w:pPr>
            <w:r>
              <w:rPr>
                <w:sz w:val="18"/>
                <w:szCs w:val="18"/>
              </w:rPr>
              <w:t>514393,43</w:t>
            </w:r>
          </w:p>
        </w:tc>
        <w:tc>
          <w:tcPr>
            <w:tcW w:w="992" w:type="dxa"/>
            <w:tcBorders>
              <w:top w:val="nil"/>
              <w:left w:val="nil"/>
              <w:bottom w:val="single" w:sz="4" w:space="0" w:color="auto"/>
              <w:right w:val="single" w:sz="4" w:space="0" w:color="auto"/>
            </w:tcBorders>
            <w:shd w:val="clear" w:color="000000" w:fill="CCFFFF"/>
            <w:noWrap/>
            <w:vAlign w:val="bottom"/>
            <w:hideMark/>
          </w:tcPr>
          <w:p w14:paraId="7E7C3D95" w14:textId="77777777" w:rsidR="00B56301" w:rsidRPr="00CD6B25" w:rsidRDefault="00B56301" w:rsidP="00B37B65">
            <w:pPr>
              <w:jc w:val="right"/>
              <w:rPr>
                <w:rFonts w:ascii="Times New Roman" w:hAnsi="Times New Roman"/>
                <w:sz w:val="18"/>
                <w:szCs w:val="18"/>
              </w:rPr>
            </w:pPr>
            <w:r>
              <w:rPr>
                <w:sz w:val="18"/>
                <w:szCs w:val="18"/>
              </w:rPr>
              <w:t>526946,60</w:t>
            </w:r>
          </w:p>
        </w:tc>
        <w:tc>
          <w:tcPr>
            <w:tcW w:w="992" w:type="dxa"/>
            <w:tcBorders>
              <w:top w:val="nil"/>
              <w:left w:val="nil"/>
              <w:bottom w:val="single" w:sz="4" w:space="0" w:color="auto"/>
              <w:right w:val="single" w:sz="4" w:space="0" w:color="auto"/>
            </w:tcBorders>
            <w:shd w:val="clear" w:color="000000" w:fill="CCFFFF"/>
            <w:noWrap/>
            <w:vAlign w:val="bottom"/>
            <w:hideMark/>
          </w:tcPr>
          <w:p w14:paraId="7F53766F" w14:textId="77777777" w:rsidR="00B56301" w:rsidRPr="00CD6B25" w:rsidRDefault="00B56301" w:rsidP="00B37B65">
            <w:pPr>
              <w:jc w:val="right"/>
              <w:rPr>
                <w:rFonts w:ascii="Times New Roman" w:hAnsi="Times New Roman"/>
                <w:sz w:val="18"/>
                <w:szCs w:val="18"/>
              </w:rPr>
            </w:pPr>
            <w:r>
              <w:rPr>
                <w:sz w:val="18"/>
                <w:szCs w:val="18"/>
              </w:rPr>
              <w:t>518135,24</w:t>
            </w:r>
          </w:p>
        </w:tc>
        <w:tc>
          <w:tcPr>
            <w:tcW w:w="992" w:type="dxa"/>
            <w:tcBorders>
              <w:top w:val="nil"/>
              <w:left w:val="nil"/>
              <w:bottom w:val="single" w:sz="4" w:space="0" w:color="auto"/>
              <w:right w:val="single" w:sz="4" w:space="0" w:color="auto"/>
            </w:tcBorders>
            <w:shd w:val="clear" w:color="000000" w:fill="CCFFFF"/>
            <w:noWrap/>
            <w:vAlign w:val="bottom"/>
            <w:hideMark/>
          </w:tcPr>
          <w:p w14:paraId="3FF38386" w14:textId="77777777" w:rsidR="00B56301" w:rsidRPr="00CD6B25" w:rsidRDefault="00B56301" w:rsidP="00B37B65">
            <w:pPr>
              <w:jc w:val="right"/>
              <w:rPr>
                <w:rFonts w:ascii="Times New Roman" w:hAnsi="Times New Roman"/>
                <w:sz w:val="18"/>
                <w:szCs w:val="18"/>
              </w:rPr>
            </w:pPr>
            <w:r>
              <w:rPr>
                <w:sz w:val="18"/>
                <w:szCs w:val="18"/>
              </w:rPr>
              <w:t>529295,95</w:t>
            </w:r>
          </w:p>
        </w:tc>
      </w:tr>
      <w:tr w:rsidR="00B56301" w:rsidRPr="00CD6B25" w14:paraId="1F3F97B8"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4A48D5F"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07D02864"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7AA449E"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A173565"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27682EEC"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2DCD54B"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CEF9BFA" w14:textId="77777777" w:rsidR="00B56301" w:rsidRPr="00CD6B25" w:rsidRDefault="00B56301" w:rsidP="00B37B65">
            <w:pPr>
              <w:jc w:val="right"/>
              <w:rPr>
                <w:rFonts w:ascii="Times New Roman" w:hAnsi="Times New Roman"/>
                <w:sz w:val="18"/>
                <w:szCs w:val="18"/>
              </w:rPr>
            </w:pPr>
            <w:r>
              <w:rPr>
                <w:sz w:val="18"/>
                <w:szCs w:val="18"/>
              </w:rPr>
              <w:t>NA</w:t>
            </w:r>
          </w:p>
        </w:tc>
      </w:tr>
      <w:tr w:rsidR="00B56301" w:rsidRPr="00CD6B25" w14:paraId="26117F0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5AC35C6"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1A97D528"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DD92C68"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F89798F"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8092C60"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2F85F61"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D6FD37E" w14:textId="77777777" w:rsidR="00B56301" w:rsidRPr="00CD6B25" w:rsidRDefault="00B56301" w:rsidP="00B37B65">
            <w:pPr>
              <w:jc w:val="right"/>
              <w:rPr>
                <w:rFonts w:ascii="Times New Roman" w:hAnsi="Times New Roman"/>
                <w:sz w:val="18"/>
                <w:szCs w:val="18"/>
              </w:rPr>
            </w:pPr>
            <w:r>
              <w:rPr>
                <w:sz w:val="18"/>
                <w:szCs w:val="18"/>
              </w:rPr>
              <w:t>NA</w:t>
            </w:r>
          </w:p>
        </w:tc>
      </w:tr>
    </w:tbl>
    <w:p w14:paraId="084261B2" w14:textId="77777777" w:rsidR="00B56301" w:rsidRDefault="00B56301" w:rsidP="00B56301">
      <w:pPr>
        <w:spacing w:line="240" w:lineRule="atLeast"/>
        <w:jc w:val="left"/>
        <w:rPr>
          <w:rFonts w:cs="Arial"/>
        </w:rPr>
      </w:pPr>
    </w:p>
    <w:p w14:paraId="75AAA7B4" w14:textId="77777777" w:rsidR="00B56301" w:rsidRDefault="00B56301" w:rsidP="00B56301">
      <w:pPr>
        <w:spacing w:line="240" w:lineRule="atLeast"/>
        <w:jc w:val="left"/>
        <w:rPr>
          <w:rFonts w:cs="Arial"/>
        </w:rPr>
      </w:pPr>
    </w:p>
    <w:p w14:paraId="2EF08D84" w14:textId="77777777" w:rsidR="00B56301" w:rsidRDefault="00B56301" w:rsidP="00B56301">
      <w:pPr>
        <w:spacing w:line="240" w:lineRule="atLeast"/>
        <w:jc w:val="left"/>
        <w:rPr>
          <w:rFonts w:cs="Arial"/>
        </w:rPr>
      </w:pPr>
      <w:r>
        <w:rPr>
          <w:rFonts w:cs="Arial"/>
        </w:rPr>
        <w:br w:type="page"/>
      </w: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CD6B25" w14:paraId="7765259C"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D71D4CC"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2FD79C3"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1351E03"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2002</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CD096B"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EF2DC7"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0BBC23DB"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4BB84613"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2006</w:t>
            </w:r>
          </w:p>
        </w:tc>
      </w:tr>
      <w:tr w:rsidR="00B56301" w:rsidRPr="00CD6B25" w14:paraId="2F6407D6"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7E60C249" w14:textId="36C04E5D"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10A6B05" w14:textId="77777777" w:rsidR="00B56301" w:rsidRPr="00CD6B25" w:rsidRDefault="00B56301" w:rsidP="00B37B65">
            <w:pPr>
              <w:jc w:val="right"/>
              <w:rPr>
                <w:rFonts w:ascii="Times New Roman" w:hAnsi="Times New Roman"/>
                <w:sz w:val="18"/>
                <w:szCs w:val="18"/>
              </w:rPr>
            </w:pPr>
            <w:r>
              <w:rPr>
                <w:sz w:val="18"/>
                <w:szCs w:val="18"/>
              </w:rPr>
              <w:t>419885,47</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67B88C6F" w14:textId="77777777" w:rsidR="00B56301" w:rsidRPr="00CD6B25" w:rsidRDefault="00B56301" w:rsidP="00B37B65">
            <w:pPr>
              <w:jc w:val="right"/>
              <w:rPr>
                <w:rFonts w:ascii="Times New Roman" w:hAnsi="Times New Roman"/>
                <w:sz w:val="18"/>
                <w:szCs w:val="18"/>
              </w:rPr>
            </w:pPr>
            <w:r>
              <w:rPr>
                <w:sz w:val="18"/>
                <w:szCs w:val="18"/>
              </w:rPr>
              <w:t>416153,26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DF07490" w14:textId="77777777" w:rsidR="00B56301" w:rsidRPr="00CD6B25" w:rsidRDefault="00B56301" w:rsidP="00B37B65">
            <w:pPr>
              <w:jc w:val="right"/>
              <w:rPr>
                <w:rFonts w:ascii="Times New Roman" w:hAnsi="Times New Roman"/>
                <w:sz w:val="18"/>
                <w:szCs w:val="18"/>
              </w:rPr>
            </w:pPr>
            <w:r>
              <w:rPr>
                <w:sz w:val="18"/>
                <w:szCs w:val="18"/>
              </w:rPr>
              <w:t>421022,75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CB483E9" w14:textId="77777777" w:rsidR="00B56301" w:rsidRPr="00CD6B25" w:rsidRDefault="00B56301" w:rsidP="00B37B65">
            <w:pPr>
              <w:jc w:val="right"/>
              <w:rPr>
                <w:rFonts w:ascii="Times New Roman" w:hAnsi="Times New Roman"/>
                <w:sz w:val="18"/>
                <w:szCs w:val="18"/>
              </w:rPr>
            </w:pPr>
            <w:r>
              <w:rPr>
                <w:sz w:val="18"/>
                <w:szCs w:val="18"/>
              </w:rPr>
              <w:t>422718,52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34358C6A" w14:textId="77777777" w:rsidR="00B56301" w:rsidRPr="00CD6B25" w:rsidRDefault="00B56301" w:rsidP="00B37B65">
            <w:pPr>
              <w:jc w:val="right"/>
              <w:rPr>
                <w:rFonts w:ascii="Times New Roman" w:hAnsi="Times New Roman"/>
                <w:sz w:val="18"/>
                <w:szCs w:val="18"/>
              </w:rPr>
            </w:pPr>
            <w:r>
              <w:rPr>
                <w:sz w:val="18"/>
                <w:szCs w:val="18"/>
              </w:rPr>
              <w:t>425443,53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5588146" w14:textId="77777777" w:rsidR="00B56301" w:rsidRPr="00CD6B25" w:rsidRDefault="00B56301" w:rsidP="00B37B65">
            <w:pPr>
              <w:jc w:val="right"/>
              <w:rPr>
                <w:rFonts w:ascii="Times New Roman" w:hAnsi="Times New Roman"/>
                <w:sz w:val="18"/>
                <w:szCs w:val="18"/>
              </w:rPr>
            </w:pPr>
            <w:r>
              <w:rPr>
                <w:sz w:val="18"/>
                <w:szCs w:val="18"/>
              </w:rPr>
              <w:t>415775,70</w:t>
            </w:r>
          </w:p>
        </w:tc>
      </w:tr>
      <w:tr w:rsidR="00B56301" w:rsidRPr="00CD6B25" w14:paraId="66976513"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2B8D796E" w14:textId="37445008"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D783EE2" w14:textId="77777777" w:rsidR="00B56301" w:rsidRPr="00CD6B25" w:rsidRDefault="00B56301" w:rsidP="00B37B65">
            <w:pPr>
              <w:jc w:val="right"/>
              <w:rPr>
                <w:rFonts w:ascii="Times New Roman" w:hAnsi="Times New Roman"/>
                <w:sz w:val="18"/>
                <w:szCs w:val="18"/>
              </w:rPr>
            </w:pPr>
            <w:r>
              <w:rPr>
                <w:sz w:val="18"/>
                <w:szCs w:val="18"/>
              </w:rPr>
              <w:t>383657,73</w:t>
            </w:r>
          </w:p>
        </w:tc>
        <w:tc>
          <w:tcPr>
            <w:tcW w:w="992" w:type="dxa"/>
            <w:tcBorders>
              <w:top w:val="nil"/>
              <w:left w:val="nil"/>
              <w:bottom w:val="single" w:sz="4" w:space="0" w:color="auto"/>
              <w:right w:val="single" w:sz="4" w:space="0" w:color="auto"/>
            </w:tcBorders>
            <w:shd w:val="clear" w:color="000000" w:fill="CCFFFF"/>
            <w:noWrap/>
            <w:vAlign w:val="bottom"/>
            <w:hideMark/>
          </w:tcPr>
          <w:p w14:paraId="391160B5" w14:textId="77777777" w:rsidR="00B56301" w:rsidRPr="00CD6B25" w:rsidRDefault="00B56301" w:rsidP="00B37B65">
            <w:pPr>
              <w:jc w:val="right"/>
              <w:rPr>
                <w:rFonts w:ascii="Times New Roman" w:hAnsi="Times New Roman"/>
                <w:sz w:val="18"/>
                <w:szCs w:val="18"/>
              </w:rPr>
            </w:pPr>
            <w:r>
              <w:rPr>
                <w:sz w:val="18"/>
                <w:szCs w:val="18"/>
              </w:rPr>
              <w:t>371250,08</w:t>
            </w:r>
          </w:p>
        </w:tc>
        <w:tc>
          <w:tcPr>
            <w:tcW w:w="992" w:type="dxa"/>
            <w:tcBorders>
              <w:top w:val="nil"/>
              <w:left w:val="nil"/>
              <w:bottom w:val="single" w:sz="4" w:space="0" w:color="auto"/>
              <w:right w:val="single" w:sz="4" w:space="0" w:color="auto"/>
            </w:tcBorders>
            <w:shd w:val="clear" w:color="000000" w:fill="CCFFFF"/>
            <w:noWrap/>
            <w:vAlign w:val="bottom"/>
            <w:hideMark/>
          </w:tcPr>
          <w:p w14:paraId="6AB7DC4A" w14:textId="77777777" w:rsidR="00B56301" w:rsidRPr="00CD6B25" w:rsidRDefault="00B56301" w:rsidP="00B37B65">
            <w:pPr>
              <w:jc w:val="right"/>
              <w:rPr>
                <w:rFonts w:ascii="Times New Roman" w:hAnsi="Times New Roman"/>
                <w:sz w:val="18"/>
                <w:szCs w:val="18"/>
              </w:rPr>
            </w:pPr>
            <w:r>
              <w:rPr>
                <w:sz w:val="18"/>
                <w:szCs w:val="18"/>
              </w:rPr>
              <w:t>373223,76</w:t>
            </w:r>
          </w:p>
        </w:tc>
        <w:tc>
          <w:tcPr>
            <w:tcW w:w="992" w:type="dxa"/>
            <w:tcBorders>
              <w:top w:val="nil"/>
              <w:left w:val="nil"/>
              <w:bottom w:val="single" w:sz="4" w:space="0" w:color="auto"/>
              <w:right w:val="single" w:sz="4" w:space="0" w:color="auto"/>
            </w:tcBorders>
            <w:shd w:val="clear" w:color="000000" w:fill="CCFFFF"/>
            <w:noWrap/>
            <w:vAlign w:val="bottom"/>
            <w:hideMark/>
          </w:tcPr>
          <w:p w14:paraId="2A8AE93D" w14:textId="77777777" w:rsidR="00B56301" w:rsidRPr="00CD6B25" w:rsidRDefault="00B56301" w:rsidP="00B37B65">
            <w:pPr>
              <w:jc w:val="right"/>
              <w:rPr>
                <w:rFonts w:ascii="Times New Roman" w:hAnsi="Times New Roman"/>
                <w:sz w:val="18"/>
                <w:szCs w:val="18"/>
              </w:rPr>
            </w:pPr>
            <w:r>
              <w:rPr>
                <w:sz w:val="18"/>
                <w:szCs w:val="18"/>
              </w:rPr>
              <w:t>371943,09</w:t>
            </w:r>
          </w:p>
        </w:tc>
        <w:tc>
          <w:tcPr>
            <w:tcW w:w="992" w:type="dxa"/>
            <w:tcBorders>
              <w:top w:val="nil"/>
              <w:left w:val="nil"/>
              <w:bottom w:val="single" w:sz="4" w:space="0" w:color="auto"/>
              <w:right w:val="single" w:sz="4" w:space="0" w:color="auto"/>
            </w:tcBorders>
            <w:shd w:val="clear" w:color="000000" w:fill="CCFFFF"/>
            <w:noWrap/>
            <w:vAlign w:val="bottom"/>
            <w:hideMark/>
          </w:tcPr>
          <w:p w14:paraId="2E228148" w14:textId="77777777" w:rsidR="00B56301" w:rsidRPr="00CD6B25" w:rsidRDefault="00B56301" w:rsidP="00B37B65">
            <w:pPr>
              <w:jc w:val="right"/>
              <w:rPr>
                <w:rFonts w:ascii="Times New Roman" w:hAnsi="Times New Roman"/>
                <w:sz w:val="18"/>
                <w:szCs w:val="18"/>
              </w:rPr>
            </w:pPr>
            <w:r>
              <w:rPr>
                <w:sz w:val="18"/>
                <w:szCs w:val="18"/>
              </w:rPr>
              <w:t>373972,04</w:t>
            </w:r>
          </w:p>
        </w:tc>
        <w:tc>
          <w:tcPr>
            <w:tcW w:w="992" w:type="dxa"/>
            <w:tcBorders>
              <w:top w:val="nil"/>
              <w:left w:val="nil"/>
              <w:bottom w:val="single" w:sz="4" w:space="0" w:color="auto"/>
              <w:right w:val="single" w:sz="4" w:space="0" w:color="auto"/>
            </w:tcBorders>
            <w:shd w:val="clear" w:color="000000" w:fill="CCFFFF"/>
            <w:noWrap/>
            <w:vAlign w:val="bottom"/>
            <w:hideMark/>
          </w:tcPr>
          <w:p w14:paraId="7CC682DD" w14:textId="77777777" w:rsidR="00B56301" w:rsidRPr="00CD6B25" w:rsidRDefault="00B56301" w:rsidP="00B37B65">
            <w:pPr>
              <w:jc w:val="right"/>
              <w:rPr>
                <w:rFonts w:ascii="Times New Roman" w:hAnsi="Times New Roman"/>
                <w:sz w:val="18"/>
                <w:szCs w:val="18"/>
              </w:rPr>
            </w:pPr>
            <w:r>
              <w:rPr>
                <w:sz w:val="18"/>
                <w:szCs w:val="18"/>
              </w:rPr>
              <w:t>362637,76</w:t>
            </w:r>
          </w:p>
        </w:tc>
      </w:tr>
      <w:tr w:rsidR="00B56301" w:rsidRPr="00CD6B25" w14:paraId="5E4B8591"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90D6F6E" w14:textId="49C5FA4E"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378AD85" w14:textId="77777777" w:rsidR="00B56301" w:rsidRPr="00CD6B25" w:rsidRDefault="00B56301" w:rsidP="00B37B65">
            <w:pPr>
              <w:jc w:val="right"/>
              <w:rPr>
                <w:rFonts w:ascii="Times New Roman" w:hAnsi="Times New Roman"/>
                <w:sz w:val="18"/>
                <w:szCs w:val="18"/>
              </w:rPr>
            </w:pPr>
            <w:r>
              <w:rPr>
                <w:sz w:val="18"/>
                <w:szCs w:val="18"/>
              </w:rPr>
              <w:t>68469,11</w:t>
            </w:r>
          </w:p>
        </w:tc>
        <w:tc>
          <w:tcPr>
            <w:tcW w:w="992" w:type="dxa"/>
            <w:tcBorders>
              <w:top w:val="nil"/>
              <w:left w:val="nil"/>
              <w:bottom w:val="single" w:sz="4" w:space="0" w:color="auto"/>
              <w:right w:val="single" w:sz="4" w:space="0" w:color="auto"/>
            </w:tcBorders>
            <w:shd w:val="clear" w:color="000000" w:fill="CCFFFF"/>
            <w:noWrap/>
            <w:vAlign w:val="bottom"/>
            <w:hideMark/>
          </w:tcPr>
          <w:p w14:paraId="77A5A9FE" w14:textId="77777777" w:rsidR="00B56301" w:rsidRPr="00CD6B25" w:rsidRDefault="00B56301" w:rsidP="00B37B65">
            <w:pPr>
              <w:jc w:val="right"/>
              <w:rPr>
                <w:rFonts w:ascii="Times New Roman" w:hAnsi="Times New Roman"/>
                <w:sz w:val="18"/>
                <w:szCs w:val="18"/>
              </w:rPr>
            </w:pPr>
            <w:r>
              <w:rPr>
                <w:sz w:val="18"/>
                <w:szCs w:val="18"/>
              </w:rPr>
              <w:t>66886,64</w:t>
            </w:r>
          </w:p>
        </w:tc>
        <w:tc>
          <w:tcPr>
            <w:tcW w:w="992" w:type="dxa"/>
            <w:tcBorders>
              <w:top w:val="nil"/>
              <w:left w:val="nil"/>
              <w:bottom w:val="single" w:sz="4" w:space="0" w:color="auto"/>
              <w:right w:val="single" w:sz="4" w:space="0" w:color="auto"/>
            </w:tcBorders>
            <w:shd w:val="clear" w:color="000000" w:fill="CCFFFF"/>
            <w:noWrap/>
            <w:vAlign w:val="bottom"/>
            <w:hideMark/>
          </w:tcPr>
          <w:p w14:paraId="29777E05" w14:textId="77777777" w:rsidR="00B56301" w:rsidRPr="00CD6B25" w:rsidRDefault="00B56301" w:rsidP="00B37B65">
            <w:pPr>
              <w:jc w:val="right"/>
              <w:rPr>
                <w:rFonts w:ascii="Times New Roman" w:hAnsi="Times New Roman"/>
                <w:sz w:val="18"/>
                <w:szCs w:val="18"/>
              </w:rPr>
            </w:pPr>
            <w:r>
              <w:rPr>
                <w:sz w:val="18"/>
                <w:szCs w:val="18"/>
              </w:rPr>
              <w:t>65915,61</w:t>
            </w:r>
          </w:p>
        </w:tc>
        <w:tc>
          <w:tcPr>
            <w:tcW w:w="992" w:type="dxa"/>
            <w:tcBorders>
              <w:top w:val="nil"/>
              <w:left w:val="nil"/>
              <w:bottom w:val="single" w:sz="4" w:space="0" w:color="auto"/>
              <w:right w:val="single" w:sz="4" w:space="0" w:color="auto"/>
            </w:tcBorders>
            <w:shd w:val="clear" w:color="000000" w:fill="CCFFFF"/>
            <w:noWrap/>
            <w:vAlign w:val="bottom"/>
            <w:hideMark/>
          </w:tcPr>
          <w:p w14:paraId="682A4C52" w14:textId="77777777" w:rsidR="00B56301" w:rsidRPr="00CD6B25" w:rsidRDefault="00B56301" w:rsidP="00B37B65">
            <w:pPr>
              <w:jc w:val="right"/>
              <w:rPr>
                <w:rFonts w:ascii="Times New Roman" w:hAnsi="Times New Roman"/>
                <w:sz w:val="18"/>
                <w:szCs w:val="18"/>
              </w:rPr>
            </w:pPr>
            <w:r>
              <w:rPr>
                <w:sz w:val="18"/>
                <w:szCs w:val="18"/>
              </w:rPr>
              <w:t>64547,96</w:t>
            </w:r>
          </w:p>
        </w:tc>
        <w:tc>
          <w:tcPr>
            <w:tcW w:w="992" w:type="dxa"/>
            <w:tcBorders>
              <w:top w:val="nil"/>
              <w:left w:val="nil"/>
              <w:bottom w:val="single" w:sz="4" w:space="0" w:color="auto"/>
              <w:right w:val="single" w:sz="4" w:space="0" w:color="auto"/>
            </w:tcBorders>
            <w:shd w:val="clear" w:color="000000" w:fill="CCFFFF"/>
            <w:noWrap/>
            <w:vAlign w:val="bottom"/>
            <w:hideMark/>
          </w:tcPr>
          <w:p w14:paraId="39BEE312" w14:textId="77777777" w:rsidR="00B56301" w:rsidRPr="00CD6B25" w:rsidRDefault="00B56301" w:rsidP="00B37B65">
            <w:pPr>
              <w:jc w:val="right"/>
              <w:rPr>
                <w:rFonts w:ascii="Times New Roman" w:hAnsi="Times New Roman"/>
                <w:sz w:val="18"/>
                <w:szCs w:val="18"/>
              </w:rPr>
            </w:pPr>
            <w:r>
              <w:rPr>
                <w:sz w:val="18"/>
                <w:szCs w:val="18"/>
              </w:rPr>
              <w:t>63631,54</w:t>
            </w:r>
          </w:p>
        </w:tc>
        <w:tc>
          <w:tcPr>
            <w:tcW w:w="992" w:type="dxa"/>
            <w:tcBorders>
              <w:top w:val="nil"/>
              <w:left w:val="nil"/>
              <w:bottom w:val="single" w:sz="4" w:space="0" w:color="auto"/>
              <w:right w:val="single" w:sz="4" w:space="0" w:color="auto"/>
            </w:tcBorders>
            <w:shd w:val="clear" w:color="000000" w:fill="CCFFFF"/>
            <w:noWrap/>
            <w:vAlign w:val="bottom"/>
            <w:hideMark/>
          </w:tcPr>
          <w:p w14:paraId="6B19F7FD" w14:textId="77777777" w:rsidR="00B56301" w:rsidRPr="00CD6B25" w:rsidRDefault="00B56301" w:rsidP="00B37B65">
            <w:pPr>
              <w:jc w:val="right"/>
              <w:rPr>
                <w:rFonts w:ascii="Times New Roman" w:hAnsi="Times New Roman"/>
                <w:sz w:val="18"/>
                <w:szCs w:val="18"/>
              </w:rPr>
            </w:pPr>
            <w:r>
              <w:rPr>
                <w:sz w:val="18"/>
                <w:szCs w:val="18"/>
              </w:rPr>
              <w:t>63117,29</w:t>
            </w:r>
          </w:p>
        </w:tc>
      </w:tr>
      <w:tr w:rsidR="00B56301" w:rsidRPr="00CD6B25" w14:paraId="7E5C849F"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24FF1CE" w14:textId="22E4E799"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FFC356B" w14:textId="77777777" w:rsidR="00B56301" w:rsidRPr="00CD6B25" w:rsidRDefault="00B56301" w:rsidP="00B37B65">
            <w:pPr>
              <w:jc w:val="right"/>
              <w:rPr>
                <w:rFonts w:ascii="Times New Roman" w:hAnsi="Times New Roman"/>
                <w:sz w:val="18"/>
                <w:szCs w:val="18"/>
              </w:rPr>
            </w:pPr>
            <w:r>
              <w:rPr>
                <w:sz w:val="18"/>
                <w:szCs w:val="18"/>
              </w:rPr>
              <w:t>69939,44</w:t>
            </w:r>
          </w:p>
        </w:tc>
        <w:tc>
          <w:tcPr>
            <w:tcW w:w="992" w:type="dxa"/>
            <w:tcBorders>
              <w:top w:val="nil"/>
              <w:left w:val="nil"/>
              <w:bottom w:val="single" w:sz="4" w:space="0" w:color="auto"/>
              <w:right w:val="single" w:sz="4" w:space="0" w:color="auto"/>
            </w:tcBorders>
            <w:shd w:val="clear" w:color="000000" w:fill="CCFFFF"/>
            <w:noWrap/>
            <w:vAlign w:val="bottom"/>
            <w:hideMark/>
          </w:tcPr>
          <w:p w14:paraId="299A0B96" w14:textId="77777777" w:rsidR="00B56301" w:rsidRPr="00CD6B25" w:rsidRDefault="00B56301" w:rsidP="00B37B65">
            <w:pPr>
              <w:jc w:val="right"/>
              <w:rPr>
                <w:rFonts w:ascii="Times New Roman" w:hAnsi="Times New Roman"/>
                <w:sz w:val="18"/>
                <w:szCs w:val="18"/>
              </w:rPr>
            </w:pPr>
            <w:r>
              <w:rPr>
                <w:sz w:val="18"/>
                <w:szCs w:val="18"/>
              </w:rPr>
              <w:t>68214,93</w:t>
            </w:r>
          </w:p>
        </w:tc>
        <w:tc>
          <w:tcPr>
            <w:tcW w:w="992" w:type="dxa"/>
            <w:tcBorders>
              <w:top w:val="nil"/>
              <w:left w:val="nil"/>
              <w:bottom w:val="single" w:sz="4" w:space="0" w:color="auto"/>
              <w:right w:val="single" w:sz="4" w:space="0" w:color="auto"/>
            </w:tcBorders>
            <w:shd w:val="clear" w:color="000000" w:fill="CCFFFF"/>
            <w:noWrap/>
            <w:vAlign w:val="bottom"/>
            <w:hideMark/>
          </w:tcPr>
          <w:p w14:paraId="15BB386F" w14:textId="77777777" w:rsidR="00B56301" w:rsidRPr="00CD6B25" w:rsidRDefault="00B56301" w:rsidP="00B37B65">
            <w:pPr>
              <w:jc w:val="right"/>
              <w:rPr>
                <w:rFonts w:ascii="Times New Roman" w:hAnsi="Times New Roman"/>
                <w:sz w:val="18"/>
                <w:szCs w:val="18"/>
              </w:rPr>
            </w:pPr>
            <w:r>
              <w:rPr>
                <w:sz w:val="18"/>
                <w:szCs w:val="18"/>
              </w:rPr>
              <w:t>67255,80</w:t>
            </w:r>
          </w:p>
        </w:tc>
        <w:tc>
          <w:tcPr>
            <w:tcW w:w="992" w:type="dxa"/>
            <w:tcBorders>
              <w:top w:val="nil"/>
              <w:left w:val="nil"/>
              <w:bottom w:val="single" w:sz="4" w:space="0" w:color="auto"/>
              <w:right w:val="single" w:sz="4" w:space="0" w:color="auto"/>
            </w:tcBorders>
            <w:shd w:val="clear" w:color="000000" w:fill="CCFFFF"/>
            <w:noWrap/>
            <w:vAlign w:val="bottom"/>
            <w:hideMark/>
          </w:tcPr>
          <w:p w14:paraId="4A70C3FA" w14:textId="77777777" w:rsidR="00B56301" w:rsidRPr="00CD6B25" w:rsidRDefault="00B56301" w:rsidP="00B37B65">
            <w:pPr>
              <w:jc w:val="right"/>
              <w:rPr>
                <w:rFonts w:ascii="Times New Roman" w:hAnsi="Times New Roman"/>
                <w:sz w:val="18"/>
                <w:szCs w:val="18"/>
              </w:rPr>
            </w:pPr>
            <w:r>
              <w:rPr>
                <w:sz w:val="18"/>
                <w:szCs w:val="18"/>
              </w:rPr>
              <w:t>65740,98</w:t>
            </w:r>
          </w:p>
        </w:tc>
        <w:tc>
          <w:tcPr>
            <w:tcW w:w="992" w:type="dxa"/>
            <w:tcBorders>
              <w:top w:val="nil"/>
              <w:left w:val="nil"/>
              <w:bottom w:val="single" w:sz="4" w:space="0" w:color="auto"/>
              <w:right w:val="single" w:sz="4" w:space="0" w:color="auto"/>
            </w:tcBorders>
            <w:shd w:val="clear" w:color="000000" w:fill="CCFFFF"/>
            <w:noWrap/>
            <w:vAlign w:val="bottom"/>
            <w:hideMark/>
          </w:tcPr>
          <w:p w14:paraId="631B3CDD" w14:textId="77777777" w:rsidR="00B56301" w:rsidRPr="00CD6B25" w:rsidRDefault="00B56301" w:rsidP="00B37B65">
            <w:pPr>
              <w:jc w:val="right"/>
              <w:rPr>
                <w:rFonts w:ascii="Times New Roman" w:hAnsi="Times New Roman"/>
                <w:sz w:val="18"/>
                <w:szCs w:val="18"/>
              </w:rPr>
            </w:pPr>
            <w:r>
              <w:rPr>
                <w:sz w:val="18"/>
                <w:szCs w:val="18"/>
              </w:rPr>
              <w:t>64820,40</w:t>
            </w:r>
          </w:p>
        </w:tc>
        <w:tc>
          <w:tcPr>
            <w:tcW w:w="992" w:type="dxa"/>
            <w:tcBorders>
              <w:top w:val="nil"/>
              <w:left w:val="nil"/>
              <w:bottom w:val="single" w:sz="4" w:space="0" w:color="auto"/>
              <w:right w:val="single" w:sz="4" w:space="0" w:color="auto"/>
            </w:tcBorders>
            <w:shd w:val="clear" w:color="000000" w:fill="CCFFFF"/>
            <w:noWrap/>
            <w:vAlign w:val="bottom"/>
            <w:hideMark/>
          </w:tcPr>
          <w:p w14:paraId="26FACB78" w14:textId="77777777" w:rsidR="00B56301" w:rsidRPr="00CD6B25" w:rsidRDefault="00B56301" w:rsidP="00B37B65">
            <w:pPr>
              <w:jc w:val="right"/>
              <w:rPr>
                <w:rFonts w:ascii="Times New Roman" w:hAnsi="Times New Roman"/>
                <w:sz w:val="18"/>
                <w:szCs w:val="18"/>
              </w:rPr>
            </w:pPr>
            <w:r>
              <w:rPr>
                <w:sz w:val="18"/>
                <w:szCs w:val="18"/>
              </w:rPr>
              <w:t>64259,42</w:t>
            </w:r>
          </w:p>
        </w:tc>
      </w:tr>
      <w:tr w:rsidR="00B56301" w:rsidRPr="00CD6B25" w14:paraId="062A1DF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E58B349" w14:textId="66826C7C"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BE2C42B" w14:textId="77777777" w:rsidR="00B56301" w:rsidRPr="00CD6B25" w:rsidRDefault="00B56301" w:rsidP="00B37B65">
            <w:pPr>
              <w:jc w:val="right"/>
              <w:rPr>
                <w:rFonts w:ascii="Times New Roman" w:hAnsi="Times New Roman"/>
                <w:sz w:val="18"/>
                <w:szCs w:val="18"/>
              </w:rPr>
            </w:pPr>
            <w:r>
              <w:rPr>
                <w:sz w:val="18"/>
                <w:szCs w:val="18"/>
              </w:rPr>
              <w:t>53370,79</w:t>
            </w:r>
          </w:p>
        </w:tc>
        <w:tc>
          <w:tcPr>
            <w:tcW w:w="992" w:type="dxa"/>
            <w:tcBorders>
              <w:top w:val="nil"/>
              <w:left w:val="nil"/>
              <w:bottom w:val="single" w:sz="4" w:space="0" w:color="auto"/>
              <w:right w:val="single" w:sz="4" w:space="0" w:color="auto"/>
            </w:tcBorders>
            <w:shd w:val="clear" w:color="000000" w:fill="CCFFFF"/>
            <w:noWrap/>
            <w:vAlign w:val="bottom"/>
            <w:hideMark/>
          </w:tcPr>
          <w:p w14:paraId="758C9EDA" w14:textId="77777777" w:rsidR="00B56301" w:rsidRPr="00CD6B25" w:rsidRDefault="00B56301" w:rsidP="00B37B65">
            <w:pPr>
              <w:jc w:val="right"/>
              <w:rPr>
                <w:rFonts w:ascii="Times New Roman" w:hAnsi="Times New Roman"/>
                <w:sz w:val="18"/>
                <w:szCs w:val="18"/>
              </w:rPr>
            </w:pPr>
            <w:r>
              <w:rPr>
                <w:sz w:val="18"/>
                <w:szCs w:val="18"/>
              </w:rPr>
              <w:t>50639,52</w:t>
            </w:r>
          </w:p>
        </w:tc>
        <w:tc>
          <w:tcPr>
            <w:tcW w:w="992" w:type="dxa"/>
            <w:tcBorders>
              <w:top w:val="nil"/>
              <w:left w:val="nil"/>
              <w:bottom w:val="single" w:sz="4" w:space="0" w:color="auto"/>
              <w:right w:val="single" w:sz="4" w:space="0" w:color="auto"/>
            </w:tcBorders>
            <w:shd w:val="clear" w:color="000000" w:fill="CCFFFF"/>
            <w:noWrap/>
            <w:vAlign w:val="bottom"/>
            <w:hideMark/>
          </w:tcPr>
          <w:p w14:paraId="2EB70D81" w14:textId="77777777" w:rsidR="00B56301" w:rsidRPr="00CD6B25" w:rsidRDefault="00B56301" w:rsidP="00B37B65">
            <w:pPr>
              <w:jc w:val="right"/>
              <w:rPr>
                <w:rFonts w:ascii="Times New Roman" w:hAnsi="Times New Roman"/>
                <w:sz w:val="18"/>
                <w:szCs w:val="18"/>
              </w:rPr>
            </w:pPr>
            <w:r>
              <w:rPr>
                <w:sz w:val="18"/>
                <w:szCs w:val="18"/>
              </w:rPr>
              <w:t>48860,84</w:t>
            </w:r>
          </w:p>
        </w:tc>
        <w:tc>
          <w:tcPr>
            <w:tcW w:w="992" w:type="dxa"/>
            <w:tcBorders>
              <w:top w:val="nil"/>
              <w:left w:val="nil"/>
              <w:bottom w:val="single" w:sz="4" w:space="0" w:color="auto"/>
              <w:right w:val="single" w:sz="4" w:space="0" w:color="auto"/>
            </w:tcBorders>
            <w:shd w:val="clear" w:color="000000" w:fill="CCFFFF"/>
            <w:noWrap/>
            <w:vAlign w:val="bottom"/>
            <w:hideMark/>
          </w:tcPr>
          <w:p w14:paraId="3F8DCE87" w14:textId="77777777" w:rsidR="00B56301" w:rsidRPr="00CD6B25" w:rsidRDefault="00B56301" w:rsidP="00B37B65">
            <w:pPr>
              <w:jc w:val="right"/>
              <w:rPr>
                <w:rFonts w:ascii="Times New Roman" w:hAnsi="Times New Roman"/>
                <w:sz w:val="18"/>
                <w:szCs w:val="18"/>
              </w:rPr>
            </w:pPr>
            <w:r>
              <w:rPr>
                <w:sz w:val="18"/>
                <w:szCs w:val="18"/>
              </w:rPr>
              <w:t>47200,39</w:t>
            </w:r>
          </w:p>
        </w:tc>
        <w:tc>
          <w:tcPr>
            <w:tcW w:w="992" w:type="dxa"/>
            <w:tcBorders>
              <w:top w:val="nil"/>
              <w:left w:val="nil"/>
              <w:bottom w:val="single" w:sz="4" w:space="0" w:color="auto"/>
              <w:right w:val="single" w:sz="4" w:space="0" w:color="auto"/>
            </w:tcBorders>
            <w:shd w:val="clear" w:color="000000" w:fill="CCFFFF"/>
            <w:noWrap/>
            <w:vAlign w:val="bottom"/>
            <w:hideMark/>
          </w:tcPr>
          <w:p w14:paraId="3E38E184" w14:textId="77777777" w:rsidR="00B56301" w:rsidRPr="00CD6B25" w:rsidRDefault="00B56301" w:rsidP="00B37B65">
            <w:pPr>
              <w:jc w:val="right"/>
              <w:rPr>
                <w:rFonts w:ascii="Times New Roman" w:hAnsi="Times New Roman"/>
                <w:sz w:val="18"/>
                <w:szCs w:val="18"/>
              </w:rPr>
            </w:pPr>
            <w:r>
              <w:rPr>
                <w:sz w:val="18"/>
                <w:szCs w:val="18"/>
              </w:rPr>
              <w:t>46307,45</w:t>
            </w:r>
          </w:p>
        </w:tc>
        <w:tc>
          <w:tcPr>
            <w:tcW w:w="992" w:type="dxa"/>
            <w:tcBorders>
              <w:top w:val="nil"/>
              <w:left w:val="nil"/>
              <w:bottom w:val="single" w:sz="4" w:space="0" w:color="auto"/>
              <w:right w:val="single" w:sz="4" w:space="0" w:color="auto"/>
            </w:tcBorders>
            <w:shd w:val="clear" w:color="000000" w:fill="CCFFFF"/>
            <w:noWrap/>
            <w:vAlign w:val="bottom"/>
            <w:hideMark/>
          </w:tcPr>
          <w:p w14:paraId="273061F1" w14:textId="77777777" w:rsidR="00B56301" w:rsidRPr="00CD6B25" w:rsidRDefault="00B56301" w:rsidP="00B37B65">
            <w:pPr>
              <w:jc w:val="right"/>
              <w:rPr>
                <w:rFonts w:ascii="Times New Roman" w:hAnsi="Times New Roman"/>
                <w:sz w:val="18"/>
                <w:szCs w:val="18"/>
              </w:rPr>
            </w:pPr>
            <w:r>
              <w:rPr>
                <w:sz w:val="18"/>
                <w:szCs w:val="18"/>
              </w:rPr>
              <w:t>44917,83</w:t>
            </w:r>
          </w:p>
        </w:tc>
      </w:tr>
      <w:tr w:rsidR="00B56301" w:rsidRPr="00CD6B25" w14:paraId="490DBD3A"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8CD38AC" w14:textId="7E0D24D3"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403D616" w14:textId="77777777" w:rsidR="00B56301" w:rsidRPr="00CD6B25" w:rsidRDefault="00B56301" w:rsidP="00B37B65">
            <w:pPr>
              <w:jc w:val="right"/>
              <w:rPr>
                <w:rFonts w:ascii="Times New Roman" w:hAnsi="Times New Roman"/>
                <w:sz w:val="18"/>
                <w:szCs w:val="18"/>
              </w:rPr>
            </w:pPr>
            <w:r>
              <w:rPr>
                <w:sz w:val="18"/>
                <w:szCs w:val="18"/>
              </w:rPr>
              <w:t>56471,43</w:t>
            </w:r>
          </w:p>
        </w:tc>
        <w:tc>
          <w:tcPr>
            <w:tcW w:w="992" w:type="dxa"/>
            <w:tcBorders>
              <w:top w:val="nil"/>
              <w:left w:val="nil"/>
              <w:bottom w:val="single" w:sz="4" w:space="0" w:color="auto"/>
              <w:right w:val="single" w:sz="4" w:space="0" w:color="auto"/>
            </w:tcBorders>
            <w:shd w:val="clear" w:color="000000" w:fill="CCFFFF"/>
            <w:noWrap/>
            <w:vAlign w:val="bottom"/>
            <w:hideMark/>
          </w:tcPr>
          <w:p w14:paraId="7238B4EC" w14:textId="77777777" w:rsidR="00B56301" w:rsidRPr="00CD6B25" w:rsidRDefault="00B56301" w:rsidP="00B37B65">
            <w:pPr>
              <w:jc w:val="right"/>
              <w:rPr>
                <w:rFonts w:ascii="Times New Roman" w:hAnsi="Times New Roman"/>
                <w:sz w:val="18"/>
                <w:szCs w:val="18"/>
              </w:rPr>
            </w:pPr>
            <w:r>
              <w:rPr>
                <w:sz w:val="18"/>
                <w:szCs w:val="18"/>
              </w:rPr>
              <w:t>53687,08</w:t>
            </w:r>
          </w:p>
        </w:tc>
        <w:tc>
          <w:tcPr>
            <w:tcW w:w="992" w:type="dxa"/>
            <w:tcBorders>
              <w:top w:val="nil"/>
              <w:left w:val="nil"/>
              <w:bottom w:val="single" w:sz="4" w:space="0" w:color="auto"/>
              <w:right w:val="single" w:sz="4" w:space="0" w:color="auto"/>
            </w:tcBorders>
            <w:shd w:val="clear" w:color="000000" w:fill="CCFFFF"/>
            <w:noWrap/>
            <w:vAlign w:val="bottom"/>
            <w:hideMark/>
          </w:tcPr>
          <w:p w14:paraId="0481C503" w14:textId="77777777" w:rsidR="00B56301" w:rsidRPr="00CD6B25" w:rsidRDefault="00B56301" w:rsidP="00B37B65">
            <w:pPr>
              <w:jc w:val="right"/>
              <w:rPr>
                <w:rFonts w:ascii="Times New Roman" w:hAnsi="Times New Roman"/>
                <w:sz w:val="18"/>
                <w:szCs w:val="18"/>
              </w:rPr>
            </w:pPr>
            <w:r>
              <w:rPr>
                <w:sz w:val="18"/>
                <w:szCs w:val="18"/>
              </w:rPr>
              <w:t>51932,90</w:t>
            </w:r>
          </w:p>
        </w:tc>
        <w:tc>
          <w:tcPr>
            <w:tcW w:w="992" w:type="dxa"/>
            <w:tcBorders>
              <w:top w:val="nil"/>
              <w:left w:val="nil"/>
              <w:bottom w:val="single" w:sz="4" w:space="0" w:color="auto"/>
              <w:right w:val="single" w:sz="4" w:space="0" w:color="auto"/>
            </w:tcBorders>
            <w:shd w:val="clear" w:color="000000" w:fill="CCFFFF"/>
            <w:noWrap/>
            <w:vAlign w:val="bottom"/>
            <w:hideMark/>
          </w:tcPr>
          <w:p w14:paraId="016FC090" w14:textId="77777777" w:rsidR="00B56301" w:rsidRPr="00CD6B25" w:rsidRDefault="00B56301" w:rsidP="00B37B65">
            <w:pPr>
              <w:jc w:val="right"/>
              <w:rPr>
                <w:rFonts w:ascii="Times New Roman" w:hAnsi="Times New Roman"/>
                <w:sz w:val="18"/>
                <w:szCs w:val="18"/>
              </w:rPr>
            </w:pPr>
            <w:r>
              <w:rPr>
                <w:sz w:val="18"/>
                <w:szCs w:val="18"/>
              </w:rPr>
              <w:t>50152,65</w:t>
            </w:r>
          </w:p>
        </w:tc>
        <w:tc>
          <w:tcPr>
            <w:tcW w:w="992" w:type="dxa"/>
            <w:tcBorders>
              <w:top w:val="nil"/>
              <w:left w:val="nil"/>
              <w:bottom w:val="single" w:sz="4" w:space="0" w:color="auto"/>
              <w:right w:val="single" w:sz="4" w:space="0" w:color="auto"/>
            </w:tcBorders>
            <w:shd w:val="clear" w:color="000000" w:fill="CCFFFF"/>
            <w:noWrap/>
            <w:vAlign w:val="bottom"/>
            <w:hideMark/>
          </w:tcPr>
          <w:p w14:paraId="373AF7D4" w14:textId="77777777" w:rsidR="00B56301" w:rsidRPr="00CD6B25" w:rsidRDefault="00B56301" w:rsidP="00B37B65">
            <w:pPr>
              <w:jc w:val="right"/>
              <w:rPr>
                <w:rFonts w:ascii="Times New Roman" w:hAnsi="Times New Roman"/>
                <w:sz w:val="18"/>
                <w:szCs w:val="18"/>
              </w:rPr>
            </w:pPr>
            <w:r>
              <w:rPr>
                <w:sz w:val="18"/>
                <w:szCs w:val="18"/>
              </w:rPr>
              <w:t>49278,89</w:t>
            </w:r>
          </w:p>
        </w:tc>
        <w:tc>
          <w:tcPr>
            <w:tcW w:w="992" w:type="dxa"/>
            <w:tcBorders>
              <w:top w:val="nil"/>
              <w:left w:val="nil"/>
              <w:bottom w:val="single" w:sz="4" w:space="0" w:color="auto"/>
              <w:right w:val="single" w:sz="4" w:space="0" w:color="auto"/>
            </w:tcBorders>
            <w:shd w:val="clear" w:color="000000" w:fill="CCFFFF"/>
            <w:noWrap/>
            <w:vAlign w:val="bottom"/>
            <w:hideMark/>
          </w:tcPr>
          <w:p w14:paraId="6C425D9A" w14:textId="77777777" w:rsidR="00B56301" w:rsidRPr="00CD6B25" w:rsidRDefault="00B56301" w:rsidP="00B37B65">
            <w:pPr>
              <w:jc w:val="right"/>
              <w:rPr>
                <w:rFonts w:ascii="Times New Roman" w:hAnsi="Times New Roman"/>
                <w:sz w:val="18"/>
                <w:szCs w:val="18"/>
              </w:rPr>
            </w:pPr>
            <w:r>
              <w:rPr>
                <w:sz w:val="18"/>
                <w:szCs w:val="18"/>
              </w:rPr>
              <w:t>47913,09</w:t>
            </w:r>
          </w:p>
        </w:tc>
      </w:tr>
      <w:tr w:rsidR="00B56301" w:rsidRPr="00CD6B25" w14:paraId="4F0A305F"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F2143A5"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2A2CE829" w14:textId="77777777" w:rsidR="00B56301" w:rsidRPr="00CD6B25" w:rsidRDefault="00B56301" w:rsidP="00B37B65">
            <w:pPr>
              <w:jc w:val="right"/>
              <w:rPr>
                <w:rFonts w:ascii="Times New Roman" w:hAnsi="Times New Roman"/>
                <w:sz w:val="18"/>
                <w:szCs w:val="18"/>
              </w:rPr>
            </w:pPr>
            <w:r>
              <w:rPr>
                <w:sz w:val="18"/>
                <w:szCs w:val="18"/>
              </w:rPr>
              <w:t>7960,94</w:t>
            </w:r>
          </w:p>
        </w:tc>
        <w:tc>
          <w:tcPr>
            <w:tcW w:w="992" w:type="dxa"/>
            <w:tcBorders>
              <w:top w:val="nil"/>
              <w:left w:val="nil"/>
              <w:bottom w:val="single" w:sz="4" w:space="0" w:color="auto"/>
              <w:right w:val="single" w:sz="4" w:space="0" w:color="auto"/>
            </w:tcBorders>
            <w:shd w:val="clear" w:color="000000" w:fill="CCFFFF"/>
            <w:noWrap/>
            <w:vAlign w:val="bottom"/>
            <w:hideMark/>
          </w:tcPr>
          <w:p w14:paraId="17D330DB" w14:textId="77777777" w:rsidR="00B56301" w:rsidRPr="00CD6B25" w:rsidRDefault="00B56301" w:rsidP="00B37B65">
            <w:pPr>
              <w:jc w:val="right"/>
              <w:rPr>
                <w:rFonts w:ascii="Times New Roman" w:hAnsi="Times New Roman"/>
                <w:sz w:val="18"/>
                <w:szCs w:val="18"/>
              </w:rPr>
            </w:pPr>
            <w:r>
              <w:rPr>
                <w:sz w:val="18"/>
                <w:szCs w:val="18"/>
              </w:rPr>
              <w:t>9123,07</w:t>
            </w:r>
          </w:p>
        </w:tc>
        <w:tc>
          <w:tcPr>
            <w:tcW w:w="992" w:type="dxa"/>
            <w:tcBorders>
              <w:top w:val="nil"/>
              <w:left w:val="nil"/>
              <w:bottom w:val="single" w:sz="4" w:space="0" w:color="auto"/>
              <w:right w:val="single" w:sz="4" w:space="0" w:color="auto"/>
            </w:tcBorders>
            <w:shd w:val="clear" w:color="000000" w:fill="CCFFFF"/>
            <w:noWrap/>
            <w:vAlign w:val="bottom"/>
            <w:hideMark/>
          </w:tcPr>
          <w:p w14:paraId="1C0611BC" w14:textId="77777777" w:rsidR="00B56301" w:rsidRPr="00CD6B25" w:rsidRDefault="00B56301" w:rsidP="00B37B65">
            <w:pPr>
              <w:jc w:val="right"/>
              <w:rPr>
                <w:rFonts w:ascii="Times New Roman" w:hAnsi="Times New Roman"/>
                <w:sz w:val="18"/>
                <w:szCs w:val="18"/>
              </w:rPr>
            </w:pPr>
            <w:r>
              <w:rPr>
                <w:sz w:val="18"/>
                <w:szCs w:val="18"/>
              </w:rPr>
              <w:t>10385,85</w:t>
            </w:r>
          </w:p>
        </w:tc>
        <w:tc>
          <w:tcPr>
            <w:tcW w:w="992" w:type="dxa"/>
            <w:tcBorders>
              <w:top w:val="nil"/>
              <w:left w:val="nil"/>
              <w:bottom w:val="single" w:sz="4" w:space="0" w:color="auto"/>
              <w:right w:val="single" w:sz="4" w:space="0" w:color="auto"/>
            </w:tcBorders>
            <w:shd w:val="clear" w:color="000000" w:fill="CCFFFF"/>
            <w:noWrap/>
            <w:vAlign w:val="bottom"/>
            <w:hideMark/>
          </w:tcPr>
          <w:p w14:paraId="2FE31A69" w14:textId="77777777" w:rsidR="00B56301" w:rsidRPr="00CD6B25" w:rsidRDefault="00B56301" w:rsidP="00B37B65">
            <w:pPr>
              <w:jc w:val="right"/>
              <w:rPr>
                <w:rFonts w:ascii="Times New Roman" w:hAnsi="Times New Roman"/>
                <w:sz w:val="18"/>
                <w:szCs w:val="18"/>
              </w:rPr>
            </w:pPr>
            <w:r>
              <w:rPr>
                <w:sz w:val="18"/>
                <w:szCs w:val="18"/>
              </w:rPr>
              <w:t>11868,33</w:t>
            </w:r>
          </w:p>
        </w:tc>
        <w:tc>
          <w:tcPr>
            <w:tcW w:w="992" w:type="dxa"/>
            <w:tcBorders>
              <w:top w:val="nil"/>
              <w:left w:val="nil"/>
              <w:bottom w:val="single" w:sz="4" w:space="0" w:color="auto"/>
              <w:right w:val="single" w:sz="4" w:space="0" w:color="auto"/>
            </w:tcBorders>
            <w:shd w:val="clear" w:color="000000" w:fill="CCFFFF"/>
            <w:noWrap/>
            <w:vAlign w:val="bottom"/>
            <w:hideMark/>
          </w:tcPr>
          <w:p w14:paraId="36790211" w14:textId="77777777" w:rsidR="00B56301" w:rsidRPr="00CD6B25" w:rsidRDefault="00B56301" w:rsidP="00B37B65">
            <w:pPr>
              <w:jc w:val="right"/>
              <w:rPr>
                <w:rFonts w:ascii="Times New Roman" w:hAnsi="Times New Roman"/>
                <w:sz w:val="18"/>
                <w:szCs w:val="18"/>
              </w:rPr>
            </w:pPr>
            <w:r>
              <w:rPr>
                <w:sz w:val="18"/>
                <w:szCs w:val="18"/>
              </w:rPr>
              <w:t>12862,16</w:t>
            </w:r>
          </w:p>
        </w:tc>
        <w:tc>
          <w:tcPr>
            <w:tcW w:w="992" w:type="dxa"/>
            <w:tcBorders>
              <w:top w:val="nil"/>
              <w:left w:val="nil"/>
              <w:bottom w:val="single" w:sz="4" w:space="0" w:color="auto"/>
              <w:right w:val="single" w:sz="4" w:space="0" w:color="auto"/>
            </w:tcBorders>
            <w:shd w:val="clear" w:color="000000" w:fill="CCFFFF"/>
            <w:noWrap/>
            <w:vAlign w:val="bottom"/>
            <w:hideMark/>
          </w:tcPr>
          <w:p w14:paraId="5B510A6F" w14:textId="77777777" w:rsidR="00B56301" w:rsidRPr="00CD6B25" w:rsidRDefault="00B56301" w:rsidP="00B37B65">
            <w:pPr>
              <w:jc w:val="right"/>
              <w:rPr>
                <w:rFonts w:ascii="Times New Roman" w:hAnsi="Times New Roman"/>
                <w:sz w:val="18"/>
                <w:szCs w:val="18"/>
              </w:rPr>
            </w:pPr>
            <w:r>
              <w:rPr>
                <w:sz w:val="18"/>
                <w:szCs w:val="18"/>
              </w:rPr>
              <w:t>14352,62</w:t>
            </w:r>
          </w:p>
        </w:tc>
      </w:tr>
      <w:tr w:rsidR="00B56301" w:rsidRPr="00CD6B25" w14:paraId="5FA34DB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4EE8381"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5D37C148" w14:textId="77777777" w:rsidR="00B56301" w:rsidRPr="00CD6B25" w:rsidRDefault="00B56301" w:rsidP="00B37B65">
            <w:pPr>
              <w:jc w:val="right"/>
              <w:rPr>
                <w:rFonts w:ascii="Times New Roman" w:hAnsi="Times New Roman"/>
                <w:sz w:val="18"/>
                <w:szCs w:val="18"/>
              </w:rPr>
            </w:pPr>
            <w:r>
              <w:rPr>
                <w:sz w:val="18"/>
                <w:szCs w:val="18"/>
              </w:rPr>
              <w:t>2652,97</w:t>
            </w:r>
          </w:p>
        </w:tc>
        <w:tc>
          <w:tcPr>
            <w:tcW w:w="992" w:type="dxa"/>
            <w:tcBorders>
              <w:top w:val="nil"/>
              <w:left w:val="nil"/>
              <w:bottom w:val="single" w:sz="4" w:space="0" w:color="auto"/>
              <w:right w:val="single" w:sz="4" w:space="0" w:color="auto"/>
            </w:tcBorders>
            <w:shd w:val="clear" w:color="000000" w:fill="CCFFFF"/>
            <w:noWrap/>
            <w:vAlign w:val="bottom"/>
            <w:hideMark/>
          </w:tcPr>
          <w:p w14:paraId="3EFEC3B1" w14:textId="77777777" w:rsidR="00B56301" w:rsidRPr="00CD6B25" w:rsidRDefault="00B56301" w:rsidP="00B37B65">
            <w:pPr>
              <w:jc w:val="right"/>
              <w:rPr>
                <w:rFonts w:ascii="Times New Roman" w:hAnsi="Times New Roman"/>
                <w:sz w:val="18"/>
                <w:szCs w:val="18"/>
              </w:rPr>
            </w:pPr>
            <w:r>
              <w:rPr>
                <w:sz w:val="18"/>
                <w:szCs w:val="18"/>
              </w:rPr>
              <w:t>4174,16</w:t>
            </w:r>
          </w:p>
        </w:tc>
        <w:tc>
          <w:tcPr>
            <w:tcW w:w="992" w:type="dxa"/>
            <w:tcBorders>
              <w:top w:val="nil"/>
              <w:left w:val="nil"/>
              <w:bottom w:val="single" w:sz="4" w:space="0" w:color="auto"/>
              <w:right w:val="single" w:sz="4" w:space="0" w:color="auto"/>
            </w:tcBorders>
            <w:shd w:val="clear" w:color="000000" w:fill="CCFFFF"/>
            <w:noWrap/>
            <w:vAlign w:val="bottom"/>
            <w:hideMark/>
          </w:tcPr>
          <w:p w14:paraId="4EA643A7" w14:textId="77777777" w:rsidR="00B56301" w:rsidRPr="00CD6B25" w:rsidRDefault="00B56301" w:rsidP="00B37B65">
            <w:pPr>
              <w:jc w:val="right"/>
              <w:rPr>
                <w:rFonts w:ascii="Times New Roman" w:hAnsi="Times New Roman"/>
                <w:sz w:val="18"/>
                <w:szCs w:val="18"/>
              </w:rPr>
            </w:pPr>
            <w:r>
              <w:rPr>
                <w:sz w:val="18"/>
                <w:szCs w:val="18"/>
              </w:rPr>
              <w:t>3850,86</w:t>
            </w:r>
          </w:p>
        </w:tc>
        <w:tc>
          <w:tcPr>
            <w:tcW w:w="992" w:type="dxa"/>
            <w:tcBorders>
              <w:top w:val="nil"/>
              <w:left w:val="nil"/>
              <w:bottom w:val="single" w:sz="4" w:space="0" w:color="auto"/>
              <w:right w:val="single" w:sz="4" w:space="0" w:color="auto"/>
            </w:tcBorders>
            <w:shd w:val="clear" w:color="000000" w:fill="CCFFFF"/>
            <w:noWrap/>
            <w:vAlign w:val="bottom"/>
            <w:hideMark/>
          </w:tcPr>
          <w:p w14:paraId="5B7E3C27" w14:textId="77777777" w:rsidR="00B56301" w:rsidRPr="00CD6B25" w:rsidRDefault="00B56301" w:rsidP="00B37B65">
            <w:pPr>
              <w:jc w:val="right"/>
              <w:rPr>
                <w:rFonts w:ascii="Times New Roman" w:hAnsi="Times New Roman"/>
                <w:sz w:val="18"/>
                <w:szCs w:val="18"/>
              </w:rPr>
            </w:pPr>
            <w:r>
              <w:rPr>
                <w:sz w:val="18"/>
                <w:szCs w:val="18"/>
              </w:rPr>
              <w:t>2638,86</w:t>
            </w:r>
          </w:p>
        </w:tc>
        <w:tc>
          <w:tcPr>
            <w:tcW w:w="992" w:type="dxa"/>
            <w:tcBorders>
              <w:top w:val="nil"/>
              <w:left w:val="nil"/>
              <w:bottom w:val="single" w:sz="4" w:space="0" w:color="auto"/>
              <w:right w:val="single" w:sz="4" w:space="0" w:color="auto"/>
            </w:tcBorders>
            <w:shd w:val="clear" w:color="000000" w:fill="CCFFFF"/>
            <w:noWrap/>
            <w:vAlign w:val="bottom"/>
            <w:hideMark/>
          </w:tcPr>
          <w:p w14:paraId="14D67FE2" w14:textId="77777777" w:rsidR="00B56301" w:rsidRPr="00CD6B25" w:rsidRDefault="00B56301" w:rsidP="00B37B65">
            <w:pPr>
              <w:jc w:val="right"/>
              <w:rPr>
                <w:rFonts w:ascii="Times New Roman" w:hAnsi="Times New Roman"/>
                <w:sz w:val="18"/>
                <w:szCs w:val="18"/>
              </w:rPr>
            </w:pPr>
            <w:r>
              <w:rPr>
                <w:sz w:val="18"/>
                <w:szCs w:val="18"/>
              </w:rPr>
              <w:t>1760,33</w:t>
            </w:r>
          </w:p>
        </w:tc>
        <w:tc>
          <w:tcPr>
            <w:tcW w:w="992" w:type="dxa"/>
            <w:tcBorders>
              <w:top w:val="nil"/>
              <w:left w:val="nil"/>
              <w:bottom w:val="single" w:sz="4" w:space="0" w:color="auto"/>
              <w:right w:val="single" w:sz="4" w:space="0" w:color="auto"/>
            </w:tcBorders>
            <w:shd w:val="clear" w:color="000000" w:fill="CCFFFF"/>
            <w:noWrap/>
            <w:vAlign w:val="bottom"/>
            <w:hideMark/>
          </w:tcPr>
          <w:p w14:paraId="03F4C12B" w14:textId="77777777" w:rsidR="00B56301" w:rsidRPr="00CD6B25" w:rsidRDefault="00B56301" w:rsidP="00B37B65">
            <w:pPr>
              <w:jc w:val="right"/>
              <w:rPr>
                <w:rFonts w:ascii="Times New Roman" w:hAnsi="Times New Roman"/>
                <w:sz w:val="18"/>
                <w:szCs w:val="18"/>
              </w:rPr>
            </w:pPr>
            <w:r>
              <w:rPr>
                <w:sz w:val="18"/>
                <w:szCs w:val="18"/>
              </w:rPr>
              <w:t>1462,40</w:t>
            </w:r>
          </w:p>
        </w:tc>
      </w:tr>
      <w:tr w:rsidR="00B56301" w:rsidRPr="00CD6B25" w14:paraId="156C90E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E916B6" w14:textId="77777777" w:rsidR="00B56301" w:rsidRPr="00CD6B25" w:rsidRDefault="00B56301" w:rsidP="00B37B65">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0719048F"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5D09D84"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F37BA4E"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7F304A5"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10624A0"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13B8038A" w14:textId="77777777" w:rsidR="00B56301" w:rsidRPr="00CD6B25" w:rsidRDefault="00B56301" w:rsidP="00B37B65">
            <w:pPr>
              <w:jc w:val="right"/>
              <w:rPr>
                <w:rFonts w:ascii="Times New Roman" w:hAnsi="Times New Roman"/>
                <w:sz w:val="18"/>
                <w:szCs w:val="18"/>
              </w:rPr>
            </w:pPr>
            <w:r>
              <w:rPr>
                <w:sz w:val="18"/>
                <w:szCs w:val="18"/>
              </w:rPr>
              <w:t>NO,NA</w:t>
            </w:r>
          </w:p>
        </w:tc>
      </w:tr>
      <w:tr w:rsidR="00B56301" w:rsidRPr="00CD6B25" w14:paraId="0AF5CC7D"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0FF2072" w14:textId="5E3EF392" w:rsidR="00B56301" w:rsidRPr="00CD6B25" w:rsidRDefault="007F09F7" w:rsidP="00B37B65">
            <w:pPr>
              <w:jc w:val="left"/>
              <w:rPr>
                <w:rFonts w:ascii="Times New Roman" w:hAnsi="Times New Roman"/>
                <w:sz w:val="18"/>
                <w:szCs w:val="18"/>
              </w:rPr>
            </w:pPr>
            <w:r>
              <w:t>SF</w:t>
            </w:r>
            <w:r w:rsidRPr="007F09F7">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568C6FEF" w14:textId="77777777" w:rsidR="00B56301" w:rsidRPr="00CD6B25" w:rsidRDefault="00B56301" w:rsidP="00B37B65">
            <w:pPr>
              <w:jc w:val="right"/>
              <w:rPr>
                <w:rFonts w:ascii="Times New Roman" w:hAnsi="Times New Roman"/>
                <w:sz w:val="18"/>
                <w:szCs w:val="18"/>
              </w:rPr>
            </w:pPr>
            <w:r>
              <w:rPr>
                <w:sz w:val="18"/>
                <w:szCs w:val="18"/>
              </w:rPr>
              <w:t>1825,40</w:t>
            </w:r>
          </w:p>
        </w:tc>
        <w:tc>
          <w:tcPr>
            <w:tcW w:w="992" w:type="dxa"/>
            <w:tcBorders>
              <w:top w:val="nil"/>
              <w:left w:val="nil"/>
              <w:bottom w:val="single" w:sz="4" w:space="0" w:color="auto"/>
              <w:right w:val="single" w:sz="4" w:space="0" w:color="auto"/>
            </w:tcBorders>
            <w:shd w:val="clear" w:color="000000" w:fill="CCFFFF"/>
            <w:noWrap/>
            <w:vAlign w:val="bottom"/>
            <w:hideMark/>
          </w:tcPr>
          <w:p w14:paraId="64AEF858" w14:textId="77777777" w:rsidR="00B56301" w:rsidRPr="00CD6B25" w:rsidRDefault="00B56301" w:rsidP="00B37B65">
            <w:pPr>
              <w:jc w:val="right"/>
              <w:rPr>
                <w:rFonts w:ascii="Times New Roman" w:hAnsi="Times New Roman"/>
                <w:sz w:val="18"/>
                <w:szCs w:val="18"/>
              </w:rPr>
            </w:pPr>
            <w:r>
              <w:rPr>
                <w:sz w:val="18"/>
                <w:szCs w:val="18"/>
              </w:rPr>
              <w:t>1597,54</w:t>
            </w:r>
          </w:p>
        </w:tc>
        <w:tc>
          <w:tcPr>
            <w:tcW w:w="992" w:type="dxa"/>
            <w:tcBorders>
              <w:top w:val="nil"/>
              <w:left w:val="nil"/>
              <w:bottom w:val="single" w:sz="4" w:space="0" w:color="auto"/>
              <w:right w:val="single" w:sz="4" w:space="0" w:color="auto"/>
            </w:tcBorders>
            <w:shd w:val="clear" w:color="000000" w:fill="CCFFFF"/>
            <w:noWrap/>
            <w:vAlign w:val="bottom"/>
            <w:hideMark/>
          </w:tcPr>
          <w:p w14:paraId="277A2914" w14:textId="77777777" w:rsidR="00B56301" w:rsidRPr="00CD6B25" w:rsidRDefault="00B56301" w:rsidP="00B37B65">
            <w:pPr>
              <w:jc w:val="right"/>
              <w:rPr>
                <w:rFonts w:ascii="Times New Roman" w:hAnsi="Times New Roman"/>
                <w:sz w:val="18"/>
                <w:szCs w:val="18"/>
              </w:rPr>
            </w:pPr>
            <w:r>
              <w:rPr>
                <w:sz w:val="18"/>
                <w:szCs w:val="18"/>
              </w:rPr>
              <w:t>1579,79</w:t>
            </w:r>
          </w:p>
        </w:tc>
        <w:tc>
          <w:tcPr>
            <w:tcW w:w="992" w:type="dxa"/>
            <w:tcBorders>
              <w:top w:val="nil"/>
              <w:left w:val="nil"/>
              <w:bottom w:val="single" w:sz="4" w:space="0" w:color="auto"/>
              <w:right w:val="single" w:sz="4" w:space="0" w:color="auto"/>
            </w:tcBorders>
            <w:shd w:val="clear" w:color="000000" w:fill="CCFFFF"/>
            <w:noWrap/>
            <w:vAlign w:val="bottom"/>
            <w:hideMark/>
          </w:tcPr>
          <w:p w14:paraId="1486A754" w14:textId="77777777" w:rsidR="00B56301" w:rsidRPr="00CD6B25" w:rsidRDefault="00B56301" w:rsidP="00B37B65">
            <w:pPr>
              <w:jc w:val="right"/>
              <w:rPr>
                <w:rFonts w:ascii="Times New Roman" w:hAnsi="Times New Roman"/>
                <w:sz w:val="18"/>
                <w:szCs w:val="18"/>
              </w:rPr>
            </w:pPr>
            <w:r>
              <w:rPr>
                <w:sz w:val="18"/>
                <w:szCs w:val="18"/>
              </w:rPr>
              <w:t>1611,08</w:t>
            </w:r>
          </w:p>
        </w:tc>
        <w:tc>
          <w:tcPr>
            <w:tcW w:w="992" w:type="dxa"/>
            <w:tcBorders>
              <w:top w:val="nil"/>
              <w:left w:val="nil"/>
              <w:bottom w:val="single" w:sz="4" w:space="0" w:color="auto"/>
              <w:right w:val="single" w:sz="4" w:space="0" w:color="auto"/>
            </w:tcBorders>
            <w:shd w:val="clear" w:color="000000" w:fill="CCFFFF"/>
            <w:noWrap/>
            <w:vAlign w:val="bottom"/>
            <w:hideMark/>
          </w:tcPr>
          <w:p w14:paraId="0CCE0ACD" w14:textId="77777777" w:rsidR="00B56301" w:rsidRPr="00CD6B25" w:rsidRDefault="00B56301" w:rsidP="00B37B65">
            <w:pPr>
              <w:jc w:val="right"/>
              <w:rPr>
                <w:rFonts w:ascii="Times New Roman" w:hAnsi="Times New Roman"/>
                <w:sz w:val="18"/>
                <w:szCs w:val="18"/>
              </w:rPr>
            </w:pPr>
            <w:r>
              <w:rPr>
                <w:sz w:val="18"/>
                <w:szCs w:val="18"/>
              </w:rPr>
              <w:t>1354,85</w:t>
            </w:r>
          </w:p>
        </w:tc>
        <w:tc>
          <w:tcPr>
            <w:tcW w:w="992" w:type="dxa"/>
            <w:tcBorders>
              <w:top w:val="nil"/>
              <w:left w:val="nil"/>
              <w:bottom w:val="single" w:sz="4" w:space="0" w:color="auto"/>
              <w:right w:val="single" w:sz="4" w:space="0" w:color="auto"/>
            </w:tcBorders>
            <w:shd w:val="clear" w:color="000000" w:fill="CCFFFF"/>
            <w:noWrap/>
            <w:vAlign w:val="bottom"/>
            <w:hideMark/>
          </w:tcPr>
          <w:p w14:paraId="5781004F" w14:textId="77777777" w:rsidR="00B56301" w:rsidRPr="00CD6B25" w:rsidRDefault="00B56301" w:rsidP="00B37B65">
            <w:pPr>
              <w:jc w:val="right"/>
              <w:rPr>
                <w:rFonts w:ascii="Times New Roman" w:hAnsi="Times New Roman"/>
                <w:sz w:val="18"/>
                <w:szCs w:val="18"/>
              </w:rPr>
            </w:pPr>
            <w:r>
              <w:rPr>
                <w:sz w:val="18"/>
                <w:szCs w:val="18"/>
              </w:rPr>
              <w:t>1252,21</w:t>
            </w:r>
          </w:p>
        </w:tc>
      </w:tr>
      <w:tr w:rsidR="00B56301" w:rsidRPr="00CD6B25" w14:paraId="34DDCD8C"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2B29F92" w14:textId="60CA917B" w:rsidR="00B56301" w:rsidRPr="00CD6B25" w:rsidRDefault="007F09F7" w:rsidP="00B37B65">
            <w:pPr>
              <w:jc w:val="left"/>
              <w:rPr>
                <w:rFonts w:ascii="Times New Roman" w:hAnsi="Times New Roman"/>
                <w:sz w:val="18"/>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69A05471" w14:textId="77777777" w:rsidR="00B56301" w:rsidRPr="00CD6B25" w:rsidRDefault="00B56301" w:rsidP="00B37B65">
            <w:pPr>
              <w:jc w:val="right"/>
              <w:rPr>
                <w:rFonts w:ascii="Times New Roman" w:hAnsi="Times New Roman"/>
                <w:sz w:val="18"/>
                <w:szCs w:val="18"/>
              </w:rPr>
            </w:pPr>
            <w:r>
              <w:rPr>
                <w:sz w:val="18"/>
                <w:szCs w:val="18"/>
              </w:rPr>
              <w:t>28,45</w:t>
            </w:r>
          </w:p>
        </w:tc>
        <w:tc>
          <w:tcPr>
            <w:tcW w:w="992" w:type="dxa"/>
            <w:tcBorders>
              <w:top w:val="nil"/>
              <w:left w:val="nil"/>
              <w:bottom w:val="single" w:sz="4" w:space="0" w:color="auto"/>
              <w:right w:val="single" w:sz="4" w:space="0" w:color="auto"/>
            </w:tcBorders>
            <w:shd w:val="clear" w:color="000000" w:fill="CCFFFF"/>
            <w:noWrap/>
            <w:vAlign w:val="bottom"/>
            <w:hideMark/>
          </w:tcPr>
          <w:p w14:paraId="46D459ED" w14:textId="77777777" w:rsidR="00B56301" w:rsidRPr="00CD6B25" w:rsidRDefault="00B56301" w:rsidP="00B37B65">
            <w:pPr>
              <w:jc w:val="right"/>
              <w:rPr>
                <w:rFonts w:ascii="Times New Roman" w:hAnsi="Times New Roman"/>
                <w:sz w:val="18"/>
                <w:szCs w:val="18"/>
              </w:rPr>
            </w:pPr>
            <w:r>
              <w:rPr>
                <w:sz w:val="18"/>
                <w:szCs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5B8AC1FF" w14:textId="77777777" w:rsidR="00B56301" w:rsidRPr="00CD6B25" w:rsidRDefault="00B56301" w:rsidP="00B37B65">
            <w:pPr>
              <w:jc w:val="right"/>
              <w:rPr>
                <w:rFonts w:ascii="Times New Roman" w:hAnsi="Times New Roman"/>
                <w:sz w:val="18"/>
                <w:szCs w:val="18"/>
              </w:rPr>
            </w:pPr>
            <w:r>
              <w:rPr>
                <w:sz w:val="18"/>
                <w:szCs w:val="18"/>
              </w:rPr>
              <w:t>30,47</w:t>
            </w:r>
          </w:p>
        </w:tc>
        <w:tc>
          <w:tcPr>
            <w:tcW w:w="992" w:type="dxa"/>
            <w:tcBorders>
              <w:top w:val="nil"/>
              <w:left w:val="nil"/>
              <w:bottom w:val="single" w:sz="4" w:space="0" w:color="auto"/>
              <w:right w:val="single" w:sz="4" w:space="0" w:color="auto"/>
            </w:tcBorders>
            <w:shd w:val="clear" w:color="000000" w:fill="CCFFFF"/>
            <w:noWrap/>
            <w:vAlign w:val="bottom"/>
            <w:hideMark/>
          </w:tcPr>
          <w:p w14:paraId="754138DD" w14:textId="77777777" w:rsidR="00B56301" w:rsidRPr="00CD6B25" w:rsidRDefault="00B56301" w:rsidP="00B37B65">
            <w:pPr>
              <w:jc w:val="right"/>
              <w:rPr>
                <w:rFonts w:ascii="Times New Roman" w:hAnsi="Times New Roman"/>
                <w:sz w:val="18"/>
                <w:szCs w:val="18"/>
              </w:rPr>
            </w:pPr>
            <w:r>
              <w:rPr>
                <w:sz w:val="18"/>
                <w:szCs w:val="18"/>
              </w:rPr>
              <w:t>35,54</w:t>
            </w:r>
          </w:p>
        </w:tc>
        <w:tc>
          <w:tcPr>
            <w:tcW w:w="992" w:type="dxa"/>
            <w:tcBorders>
              <w:top w:val="nil"/>
              <w:left w:val="nil"/>
              <w:bottom w:val="single" w:sz="4" w:space="0" w:color="auto"/>
              <w:right w:val="single" w:sz="4" w:space="0" w:color="auto"/>
            </w:tcBorders>
            <w:shd w:val="clear" w:color="000000" w:fill="CCFFFF"/>
            <w:noWrap/>
            <w:vAlign w:val="bottom"/>
            <w:hideMark/>
          </w:tcPr>
          <w:p w14:paraId="622F5F55" w14:textId="77777777" w:rsidR="00B56301" w:rsidRPr="00CD6B25" w:rsidRDefault="00B56301" w:rsidP="00B37B65">
            <w:pPr>
              <w:jc w:val="right"/>
              <w:rPr>
                <w:rFonts w:ascii="Times New Roman" w:hAnsi="Times New Roman"/>
                <w:sz w:val="18"/>
                <w:szCs w:val="18"/>
              </w:rPr>
            </w:pPr>
            <w:r>
              <w:rPr>
                <w:sz w:val="18"/>
                <w:szCs w:val="18"/>
              </w:rPr>
              <w:t>31,27</w:t>
            </w:r>
          </w:p>
        </w:tc>
        <w:tc>
          <w:tcPr>
            <w:tcW w:w="992" w:type="dxa"/>
            <w:tcBorders>
              <w:top w:val="nil"/>
              <w:left w:val="nil"/>
              <w:bottom w:val="single" w:sz="4" w:space="0" w:color="auto"/>
              <w:right w:val="single" w:sz="4" w:space="0" w:color="auto"/>
            </w:tcBorders>
            <w:shd w:val="clear" w:color="000000" w:fill="CCFFFF"/>
            <w:noWrap/>
            <w:vAlign w:val="bottom"/>
            <w:hideMark/>
          </w:tcPr>
          <w:p w14:paraId="4E693331" w14:textId="77777777" w:rsidR="00B56301" w:rsidRPr="00CD6B25" w:rsidRDefault="00B56301" w:rsidP="00B37B65">
            <w:pPr>
              <w:jc w:val="right"/>
              <w:rPr>
                <w:rFonts w:ascii="Times New Roman" w:hAnsi="Times New Roman"/>
                <w:sz w:val="18"/>
                <w:szCs w:val="18"/>
              </w:rPr>
            </w:pPr>
            <w:r>
              <w:rPr>
                <w:sz w:val="18"/>
                <w:szCs w:val="18"/>
              </w:rPr>
              <w:t>29,76</w:t>
            </w:r>
          </w:p>
        </w:tc>
      </w:tr>
      <w:tr w:rsidR="00B56301" w:rsidRPr="00CD6B25" w14:paraId="49CF1F0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C23392B"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E550123" w14:textId="77777777" w:rsidR="00B56301" w:rsidRPr="00CD6B25" w:rsidRDefault="00B56301" w:rsidP="00B37B65">
            <w:pPr>
              <w:jc w:val="right"/>
              <w:rPr>
                <w:rFonts w:ascii="Times New Roman" w:hAnsi="Times New Roman"/>
                <w:sz w:val="18"/>
                <w:szCs w:val="18"/>
              </w:rPr>
            </w:pPr>
            <w:r>
              <w:rPr>
                <w:sz w:val="18"/>
                <w:szCs w:val="18"/>
              </w:rPr>
              <w:t>554193,13</w:t>
            </w:r>
          </w:p>
        </w:tc>
        <w:tc>
          <w:tcPr>
            <w:tcW w:w="992" w:type="dxa"/>
            <w:tcBorders>
              <w:top w:val="nil"/>
              <w:left w:val="nil"/>
              <w:bottom w:val="single" w:sz="4" w:space="0" w:color="auto"/>
              <w:right w:val="single" w:sz="4" w:space="0" w:color="auto"/>
            </w:tcBorders>
            <w:shd w:val="clear" w:color="000000" w:fill="CCFFFF"/>
            <w:noWrap/>
            <w:vAlign w:val="bottom"/>
            <w:hideMark/>
          </w:tcPr>
          <w:p w14:paraId="0E195F61" w14:textId="77777777" w:rsidR="00B56301" w:rsidRPr="00CD6B25" w:rsidRDefault="00B56301" w:rsidP="00B37B65">
            <w:pPr>
              <w:jc w:val="right"/>
              <w:rPr>
                <w:rFonts w:ascii="Times New Roman" w:hAnsi="Times New Roman"/>
                <w:sz w:val="18"/>
                <w:szCs w:val="18"/>
              </w:rPr>
            </w:pPr>
            <w:r>
              <w:rPr>
                <w:sz w:val="18"/>
                <w:szCs w:val="18"/>
              </w:rPr>
              <w:t>548609,74</w:t>
            </w:r>
          </w:p>
        </w:tc>
        <w:tc>
          <w:tcPr>
            <w:tcW w:w="992" w:type="dxa"/>
            <w:tcBorders>
              <w:top w:val="nil"/>
              <w:left w:val="nil"/>
              <w:bottom w:val="single" w:sz="4" w:space="0" w:color="auto"/>
              <w:right w:val="single" w:sz="4" w:space="0" w:color="auto"/>
            </w:tcBorders>
            <w:shd w:val="clear" w:color="000000" w:fill="CCFFFF"/>
            <w:noWrap/>
            <w:vAlign w:val="bottom"/>
            <w:hideMark/>
          </w:tcPr>
          <w:p w14:paraId="7E6CC089" w14:textId="77777777" w:rsidR="00B56301" w:rsidRPr="00CD6B25" w:rsidRDefault="00B56301" w:rsidP="00B37B65">
            <w:pPr>
              <w:jc w:val="right"/>
              <w:rPr>
                <w:rFonts w:ascii="Times New Roman" w:hAnsi="Times New Roman"/>
                <w:sz w:val="18"/>
                <w:szCs w:val="18"/>
              </w:rPr>
            </w:pPr>
            <w:r>
              <w:rPr>
                <w:sz w:val="18"/>
                <w:szCs w:val="18"/>
              </w:rPr>
              <w:t>551646,16</w:t>
            </w:r>
          </w:p>
        </w:tc>
        <w:tc>
          <w:tcPr>
            <w:tcW w:w="992" w:type="dxa"/>
            <w:tcBorders>
              <w:top w:val="nil"/>
              <w:left w:val="nil"/>
              <w:bottom w:val="single" w:sz="4" w:space="0" w:color="auto"/>
              <w:right w:val="single" w:sz="4" w:space="0" w:color="auto"/>
            </w:tcBorders>
            <w:shd w:val="clear" w:color="000000" w:fill="CCFFFF"/>
            <w:noWrap/>
            <w:vAlign w:val="bottom"/>
            <w:hideMark/>
          </w:tcPr>
          <w:p w14:paraId="2D233FBB" w14:textId="77777777" w:rsidR="00B56301" w:rsidRPr="00CD6B25" w:rsidRDefault="00B56301" w:rsidP="00B37B65">
            <w:pPr>
              <w:jc w:val="right"/>
              <w:rPr>
                <w:rFonts w:ascii="Times New Roman" w:hAnsi="Times New Roman"/>
                <w:sz w:val="18"/>
                <w:szCs w:val="18"/>
              </w:rPr>
            </w:pPr>
            <w:r>
              <w:rPr>
                <w:sz w:val="18"/>
                <w:szCs w:val="18"/>
              </w:rPr>
              <w:t>550620,67</w:t>
            </w:r>
          </w:p>
        </w:tc>
        <w:tc>
          <w:tcPr>
            <w:tcW w:w="992" w:type="dxa"/>
            <w:tcBorders>
              <w:top w:val="nil"/>
              <w:left w:val="nil"/>
              <w:bottom w:val="single" w:sz="4" w:space="0" w:color="auto"/>
              <w:right w:val="single" w:sz="4" w:space="0" w:color="auto"/>
            </w:tcBorders>
            <w:shd w:val="clear" w:color="000000" w:fill="CCFFFF"/>
            <w:noWrap/>
            <w:vAlign w:val="bottom"/>
            <w:hideMark/>
          </w:tcPr>
          <w:p w14:paraId="3C50BB6E" w14:textId="77777777" w:rsidR="00B56301" w:rsidRPr="00CD6B25" w:rsidRDefault="00B56301" w:rsidP="00B37B65">
            <w:pPr>
              <w:jc w:val="right"/>
              <w:rPr>
                <w:rFonts w:ascii="Times New Roman" w:hAnsi="Times New Roman"/>
                <w:sz w:val="18"/>
                <w:szCs w:val="18"/>
              </w:rPr>
            </w:pPr>
            <w:r>
              <w:rPr>
                <w:sz w:val="18"/>
                <w:szCs w:val="18"/>
              </w:rPr>
              <w:t>551391,13</w:t>
            </w:r>
          </w:p>
        </w:tc>
        <w:tc>
          <w:tcPr>
            <w:tcW w:w="992" w:type="dxa"/>
            <w:tcBorders>
              <w:top w:val="nil"/>
              <w:left w:val="nil"/>
              <w:bottom w:val="single" w:sz="4" w:space="0" w:color="auto"/>
              <w:right w:val="single" w:sz="4" w:space="0" w:color="auto"/>
            </w:tcBorders>
            <w:shd w:val="clear" w:color="000000" w:fill="CCFFFF"/>
            <w:noWrap/>
            <w:vAlign w:val="bottom"/>
            <w:hideMark/>
          </w:tcPr>
          <w:p w14:paraId="00334448" w14:textId="77777777" w:rsidR="00B56301" w:rsidRPr="00CD6B25" w:rsidRDefault="00B56301" w:rsidP="00B37B65">
            <w:pPr>
              <w:jc w:val="right"/>
              <w:rPr>
                <w:rFonts w:ascii="Times New Roman" w:hAnsi="Times New Roman"/>
                <w:sz w:val="18"/>
                <w:szCs w:val="18"/>
              </w:rPr>
            </w:pPr>
            <w:r>
              <w:rPr>
                <w:sz w:val="18"/>
                <w:szCs w:val="18"/>
              </w:rPr>
              <w:t>540907,81</w:t>
            </w:r>
          </w:p>
        </w:tc>
      </w:tr>
      <w:tr w:rsidR="00B56301" w:rsidRPr="00CD6B25" w14:paraId="43697B4E"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9E70599"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ECE9893" w14:textId="77777777" w:rsidR="00B56301" w:rsidRPr="00CD6B25" w:rsidRDefault="00B56301" w:rsidP="00B37B65">
            <w:pPr>
              <w:jc w:val="right"/>
              <w:rPr>
                <w:rFonts w:ascii="Times New Roman" w:hAnsi="Times New Roman"/>
                <w:sz w:val="18"/>
                <w:szCs w:val="18"/>
              </w:rPr>
            </w:pPr>
            <w:r>
              <w:rPr>
                <w:sz w:val="18"/>
                <w:szCs w:val="18"/>
              </w:rPr>
              <w:t>522536,36</w:t>
            </w:r>
          </w:p>
        </w:tc>
        <w:tc>
          <w:tcPr>
            <w:tcW w:w="992" w:type="dxa"/>
            <w:tcBorders>
              <w:top w:val="nil"/>
              <w:left w:val="nil"/>
              <w:bottom w:val="single" w:sz="4" w:space="0" w:color="auto"/>
              <w:right w:val="single" w:sz="4" w:space="0" w:color="auto"/>
            </w:tcBorders>
            <w:shd w:val="clear" w:color="000000" w:fill="CCFFFF"/>
            <w:noWrap/>
            <w:vAlign w:val="bottom"/>
            <w:hideMark/>
          </w:tcPr>
          <w:p w14:paraId="76BFF8A5" w14:textId="77777777" w:rsidR="00B56301" w:rsidRPr="00CD6B25" w:rsidRDefault="00B56301" w:rsidP="00B37B65">
            <w:pPr>
              <w:jc w:val="right"/>
              <w:rPr>
                <w:rFonts w:ascii="Times New Roman" w:hAnsi="Times New Roman"/>
                <w:sz w:val="18"/>
                <w:szCs w:val="18"/>
              </w:rPr>
            </w:pPr>
            <w:r>
              <w:rPr>
                <w:sz w:val="18"/>
                <w:szCs w:val="18"/>
              </w:rPr>
              <w:t>508082,41</w:t>
            </w:r>
          </w:p>
        </w:tc>
        <w:tc>
          <w:tcPr>
            <w:tcW w:w="992" w:type="dxa"/>
            <w:tcBorders>
              <w:top w:val="nil"/>
              <w:left w:val="nil"/>
              <w:bottom w:val="single" w:sz="4" w:space="0" w:color="auto"/>
              <w:right w:val="single" w:sz="4" w:space="0" w:color="auto"/>
            </w:tcBorders>
            <w:shd w:val="clear" w:color="000000" w:fill="CCFFFF"/>
            <w:noWrap/>
            <w:vAlign w:val="bottom"/>
            <w:hideMark/>
          </w:tcPr>
          <w:p w14:paraId="3DB2C974" w14:textId="77777777" w:rsidR="00B56301" w:rsidRPr="00CD6B25" w:rsidRDefault="00B56301" w:rsidP="00B37B65">
            <w:pPr>
              <w:jc w:val="right"/>
              <w:rPr>
                <w:rFonts w:ascii="Times New Roman" w:hAnsi="Times New Roman"/>
                <w:sz w:val="18"/>
                <w:szCs w:val="18"/>
              </w:rPr>
            </w:pPr>
            <w:r>
              <w:rPr>
                <w:sz w:val="18"/>
                <w:szCs w:val="18"/>
              </w:rPr>
              <w:t>508259,43</w:t>
            </w:r>
          </w:p>
        </w:tc>
        <w:tc>
          <w:tcPr>
            <w:tcW w:w="992" w:type="dxa"/>
            <w:tcBorders>
              <w:top w:val="nil"/>
              <w:left w:val="nil"/>
              <w:bottom w:val="single" w:sz="4" w:space="0" w:color="auto"/>
              <w:right w:val="single" w:sz="4" w:space="0" w:color="auto"/>
            </w:tcBorders>
            <w:shd w:val="clear" w:color="000000" w:fill="CCFFFF"/>
            <w:noWrap/>
            <w:vAlign w:val="bottom"/>
            <w:hideMark/>
          </w:tcPr>
          <w:p w14:paraId="0EE73631" w14:textId="77777777" w:rsidR="00B56301" w:rsidRPr="00CD6B25" w:rsidRDefault="00B56301" w:rsidP="00B37B65">
            <w:pPr>
              <w:jc w:val="right"/>
              <w:rPr>
                <w:rFonts w:ascii="Times New Roman" w:hAnsi="Times New Roman"/>
                <w:sz w:val="18"/>
                <w:szCs w:val="18"/>
              </w:rPr>
            </w:pPr>
            <w:r>
              <w:rPr>
                <w:sz w:val="18"/>
                <w:szCs w:val="18"/>
              </w:rPr>
              <w:t>503990,53</w:t>
            </w:r>
          </w:p>
        </w:tc>
        <w:tc>
          <w:tcPr>
            <w:tcW w:w="992" w:type="dxa"/>
            <w:tcBorders>
              <w:top w:val="nil"/>
              <w:left w:val="nil"/>
              <w:bottom w:val="single" w:sz="4" w:space="0" w:color="auto"/>
              <w:right w:val="single" w:sz="4" w:space="0" w:color="auto"/>
            </w:tcBorders>
            <w:shd w:val="clear" w:color="000000" w:fill="CCFFFF"/>
            <w:noWrap/>
            <w:vAlign w:val="bottom"/>
            <w:hideMark/>
          </w:tcPr>
          <w:p w14:paraId="5716C17A" w14:textId="77777777" w:rsidR="00B56301" w:rsidRPr="00CD6B25" w:rsidRDefault="00B56301" w:rsidP="00B37B65">
            <w:pPr>
              <w:jc w:val="right"/>
              <w:rPr>
                <w:rFonts w:ascii="Times New Roman" w:hAnsi="Times New Roman"/>
                <w:sz w:val="18"/>
                <w:szCs w:val="18"/>
              </w:rPr>
            </w:pPr>
            <w:r>
              <w:rPr>
                <w:sz w:val="18"/>
                <w:szCs w:val="18"/>
              </w:rPr>
              <w:t>504079,94</w:t>
            </w:r>
          </w:p>
        </w:tc>
        <w:tc>
          <w:tcPr>
            <w:tcW w:w="992" w:type="dxa"/>
            <w:tcBorders>
              <w:top w:val="nil"/>
              <w:left w:val="nil"/>
              <w:bottom w:val="single" w:sz="4" w:space="0" w:color="auto"/>
              <w:right w:val="single" w:sz="4" w:space="0" w:color="auto"/>
            </w:tcBorders>
            <w:shd w:val="clear" w:color="000000" w:fill="CCFFFF"/>
            <w:noWrap/>
            <w:vAlign w:val="bottom"/>
            <w:hideMark/>
          </w:tcPr>
          <w:p w14:paraId="1F0950B2" w14:textId="77777777" w:rsidR="00B56301" w:rsidRPr="00CD6B25" w:rsidRDefault="00B56301" w:rsidP="00B37B65">
            <w:pPr>
              <w:jc w:val="right"/>
              <w:rPr>
                <w:rFonts w:ascii="Times New Roman" w:hAnsi="Times New Roman"/>
                <w:sz w:val="18"/>
                <w:szCs w:val="18"/>
              </w:rPr>
            </w:pPr>
            <w:r>
              <w:rPr>
                <w:sz w:val="18"/>
                <w:szCs w:val="18"/>
              </w:rPr>
              <w:t>491907,26</w:t>
            </w:r>
          </w:p>
        </w:tc>
      </w:tr>
      <w:tr w:rsidR="00B56301" w:rsidRPr="00CD6B25" w14:paraId="508E6AF1"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0AC337B"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293FCEDA"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FEF3A85"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7A4B211"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4502765"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20412C8"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15121E6" w14:textId="77777777" w:rsidR="00B56301" w:rsidRPr="00CD6B25" w:rsidRDefault="00B56301" w:rsidP="00B37B65">
            <w:pPr>
              <w:jc w:val="right"/>
              <w:rPr>
                <w:rFonts w:ascii="Times New Roman" w:hAnsi="Times New Roman"/>
                <w:sz w:val="18"/>
                <w:szCs w:val="18"/>
              </w:rPr>
            </w:pPr>
            <w:r>
              <w:rPr>
                <w:sz w:val="18"/>
                <w:szCs w:val="18"/>
              </w:rPr>
              <w:t>NA</w:t>
            </w:r>
          </w:p>
        </w:tc>
      </w:tr>
      <w:tr w:rsidR="00B56301" w:rsidRPr="00CD6B25" w14:paraId="0659714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2A9902C"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3E0C9BAF"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4BD6F28"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25E0F32"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D79DDD0"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73F36B9"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F233FF4" w14:textId="77777777" w:rsidR="00B56301" w:rsidRPr="00CD6B25" w:rsidRDefault="00B56301" w:rsidP="00B37B65">
            <w:pPr>
              <w:jc w:val="right"/>
              <w:rPr>
                <w:rFonts w:ascii="Times New Roman" w:hAnsi="Times New Roman"/>
                <w:sz w:val="18"/>
                <w:szCs w:val="18"/>
              </w:rPr>
            </w:pPr>
            <w:r>
              <w:rPr>
                <w:sz w:val="18"/>
                <w:szCs w:val="18"/>
              </w:rPr>
              <w:t>NA</w:t>
            </w:r>
          </w:p>
        </w:tc>
      </w:tr>
    </w:tbl>
    <w:p w14:paraId="305C3B9D" w14:textId="77777777" w:rsidR="00B56301"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CD6B25" w14:paraId="17D6654D"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5D67C90E"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19901D0"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15E77FB4"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2008</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D1AC8AC"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2009</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379155BD"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2010</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D92F2D3"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2011</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97A6736"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2012</w:t>
            </w:r>
          </w:p>
        </w:tc>
      </w:tr>
      <w:tr w:rsidR="00B56301" w:rsidRPr="00CD6B25" w14:paraId="57A8DE5A"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6F8F6EB" w14:textId="5D71137A"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82554D5" w14:textId="77777777" w:rsidR="00B56301" w:rsidRPr="00CD6B25" w:rsidRDefault="00B56301" w:rsidP="00B37B65">
            <w:pPr>
              <w:jc w:val="right"/>
              <w:rPr>
                <w:rFonts w:ascii="Times New Roman" w:hAnsi="Times New Roman"/>
                <w:sz w:val="18"/>
                <w:szCs w:val="18"/>
              </w:rPr>
            </w:pPr>
            <w:r>
              <w:rPr>
                <w:sz w:val="18"/>
                <w:szCs w:val="18"/>
              </w:rPr>
              <w:t>406199,84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B3469CF" w14:textId="77777777" w:rsidR="00B56301" w:rsidRPr="00CD6B25" w:rsidRDefault="00B56301" w:rsidP="00B37B65">
            <w:pPr>
              <w:jc w:val="right"/>
              <w:rPr>
                <w:rFonts w:ascii="Times New Roman" w:hAnsi="Times New Roman"/>
                <w:sz w:val="18"/>
                <w:szCs w:val="18"/>
              </w:rPr>
            </w:pPr>
            <w:r>
              <w:rPr>
                <w:sz w:val="18"/>
                <w:szCs w:val="18"/>
              </w:rPr>
              <w:t>400458,76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4CC22C3" w14:textId="77777777" w:rsidR="00B56301" w:rsidRPr="00CD6B25" w:rsidRDefault="00B56301" w:rsidP="00B37B65">
            <w:pPr>
              <w:jc w:val="right"/>
              <w:rPr>
                <w:rFonts w:ascii="Times New Roman" w:hAnsi="Times New Roman"/>
                <w:sz w:val="18"/>
                <w:szCs w:val="18"/>
              </w:rPr>
            </w:pPr>
            <w:r>
              <w:rPr>
                <w:sz w:val="18"/>
                <w:szCs w:val="18"/>
              </w:rPr>
              <w:t>381064,55</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465E505B" w14:textId="77777777" w:rsidR="00B56301" w:rsidRPr="00CD6B25" w:rsidRDefault="00B56301" w:rsidP="00B37B65">
            <w:pPr>
              <w:jc w:val="right"/>
              <w:rPr>
                <w:rFonts w:ascii="Times New Roman" w:hAnsi="Times New Roman"/>
                <w:sz w:val="18"/>
                <w:szCs w:val="18"/>
              </w:rPr>
            </w:pPr>
            <w:r>
              <w:rPr>
                <w:sz w:val="18"/>
                <w:szCs w:val="18"/>
              </w:rPr>
              <w:t>386872,04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2B3D91C5" w14:textId="77777777" w:rsidR="00B56301" w:rsidRPr="00CD6B25" w:rsidRDefault="00B56301" w:rsidP="00B37B65">
            <w:pPr>
              <w:jc w:val="right"/>
              <w:rPr>
                <w:rFonts w:ascii="Times New Roman" w:hAnsi="Times New Roman"/>
                <w:sz w:val="18"/>
                <w:szCs w:val="18"/>
              </w:rPr>
            </w:pPr>
            <w:r>
              <w:rPr>
                <w:sz w:val="18"/>
                <w:szCs w:val="18"/>
              </w:rPr>
              <w:t>364820,42</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740DFCD1" w14:textId="77777777" w:rsidR="00B56301" w:rsidRPr="00CD6B25" w:rsidRDefault="00B56301" w:rsidP="00B37B65">
            <w:pPr>
              <w:jc w:val="right"/>
              <w:rPr>
                <w:rFonts w:ascii="Times New Roman" w:hAnsi="Times New Roman"/>
                <w:sz w:val="18"/>
                <w:szCs w:val="18"/>
              </w:rPr>
            </w:pPr>
            <w:r>
              <w:rPr>
                <w:sz w:val="18"/>
                <w:szCs w:val="18"/>
              </w:rPr>
              <w:t>367030,67</w:t>
            </w:r>
          </w:p>
        </w:tc>
      </w:tr>
      <w:tr w:rsidR="00B56301" w:rsidRPr="00CD6B25" w14:paraId="48341FF0"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467096D" w14:textId="61891038"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FE14F32" w14:textId="77777777" w:rsidR="00B56301" w:rsidRPr="00CD6B25" w:rsidRDefault="00B56301" w:rsidP="00B37B65">
            <w:pPr>
              <w:jc w:val="right"/>
              <w:rPr>
                <w:rFonts w:ascii="Times New Roman" w:hAnsi="Times New Roman"/>
                <w:sz w:val="18"/>
                <w:szCs w:val="18"/>
              </w:rPr>
            </w:pPr>
            <w:r>
              <w:rPr>
                <w:sz w:val="18"/>
                <w:szCs w:val="18"/>
              </w:rPr>
              <w:t>353644,62</w:t>
            </w:r>
          </w:p>
        </w:tc>
        <w:tc>
          <w:tcPr>
            <w:tcW w:w="992" w:type="dxa"/>
            <w:tcBorders>
              <w:top w:val="nil"/>
              <w:left w:val="nil"/>
              <w:bottom w:val="single" w:sz="4" w:space="0" w:color="auto"/>
              <w:right w:val="single" w:sz="4" w:space="0" w:color="auto"/>
            </w:tcBorders>
            <w:shd w:val="clear" w:color="000000" w:fill="CCFFFF"/>
            <w:noWrap/>
            <w:vAlign w:val="bottom"/>
            <w:hideMark/>
          </w:tcPr>
          <w:p w14:paraId="01A81EA3" w14:textId="77777777" w:rsidR="00B56301" w:rsidRPr="00CD6B25" w:rsidRDefault="00B56301" w:rsidP="00B37B65">
            <w:pPr>
              <w:jc w:val="right"/>
              <w:rPr>
                <w:rFonts w:ascii="Times New Roman" w:hAnsi="Times New Roman"/>
                <w:sz w:val="18"/>
                <w:szCs w:val="18"/>
              </w:rPr>
            </w:pPr>
            <w:r>
              <w:rPr>
                <w:sz w:val="18"/>
                <w:szCs w:val="18"/>
              </w:rPr>
              <w:t>348048,72</w:t>
            </w:r>
          </w:p>
        </w:tc>
        <w:tc>
          <w:tcPr>
            <w:tcW w:w="992" w:type="dxa"/>
            <w:tcBorders>
              <w:top w:val="nil"/>
              <w:left w:val="nil"/>
              <w:bottom w:val="single" w:sz="4" w:space="0" w:color="auto"/>
              <w:right w:val="single" w:sz="4" w:space="0" w:color="auto"/>
            </w:tcBorders>
            <w:shd w:val="clear" w:color="000000" w:fill="CCFFFF"/>
            <w:noWrap/>
            <w:vAlign w:val="bottom"/>
            <w:hideMark/>
          </w:tcPr>
          <w:p w14:paraId="29AC153A" w14:textId="77777777" w:rsidR="00B56301" w:rsidRPr="00CD6B25" w:rsidRDefault="00B56301" w:rsidP="00B37B65">
            <w:pPr>
              <w:jc w:val="right"/>
              <w:rPr>
                <w:rFonts w:ascii="Times New Roman" w:hAnsi="Times New Roman"/>
                <w:sz w:val="18"/>
                <w:szCs w:val="18"/>
              </w:rPr>
            </w:pPr>
            <w:r>
              <w:rPr>
                <w:sz w:val="18"/>
                <w:szCs w:val="18"/>
              </w:rPr>
              <w:t>339132,78</w:t>
            </w:r>
          </w:p>
        </w:tc>
        <w:tc>
          <w:tcPr>
            <w:tcW w:w="992" w:type="dxa"/>
            <w:tcBorders>
              <w:top w:val="nil"/>
              <w:left w:val="nil"/>
              <w:bottom w:val="single" w:sz="4" w:space="0" w:color="auto"/>
              <w:right w:val="single" w:sz="4" w:space="0" w:color="auto"/>
            </w:tcBorders>
            <w:shd w:val="clear" w:color="000000" w:fill="CCFFFF"/>
            <w:noWrap/>
            <w:vAlign w:val="bottom"/>
            <w:hideMark/>
          </w:tcPr>
          <w:p w14:paraId="49B72CE2" w14:textId="77777777" w:rsidR="00B56301" w:rsidRPr="00CD6B25" w:rsidRDefault="00B56301" w:rsidP="00B37B65">
            <w:pPr>
              <w:jc w:val="right"/>
              <w:rPr>
                <w:rFonts w:ascii="Times New Roman" w:hAnsi="Times New Roman"/>
                <w:sz w:val="18"/>
                <w:szCs w:val="18"/>
              </w:rPr>
            </w:pPr>
            <w:r>
              <w:rPr>
                <w:sz w:val="18"/>
                <w:szCs w:val="18"/>
              </w:rPr>
              <w:t>344170,77</w:t>
            </w:r>
          </w:p>
        </w:tc>
        <w:tc>
          <w:tcPr>
            <w:tcW w:w="992" w:type="dxa"/>
            <w:tcBorders>
              <w:top w:val="nil"/>
              <w:left w:val="nil"/>
              <w:bottom w:val="single" w:sz="4" w:space="0" w:color="auto"/>
              <w:right w:val="single" w:sz="4" w:space="0" w:color="auto"/>
            </w:tcBorders>
            <w:shd w:val="clear" w:color="000000" w:fill="CCFFFF"/>
            <w:noWrap/>
            <w:vAlign w:val="bottom"/>
            <w:hideMark/>
          </w:tcPr>
          <w:p w14:paraId="1341C524" w14:textId="77777777" w:rsidR="00B56301" w:rsidRPr="00CD6B25" w:rsidRDefault="00B56301" w:rsidP="00B37B65">
            <w:pPr>
              <w:jc w:val="right"/>
              <w:rPr>
                <w:rFonts w:ascii="Times New Roman" w:hAnsi="Times New Roman"/>
                <w:sz w:val="18"/>
                <w:szCs w:val="18"/>
              </w:rPr>
            </w:pPr>
            <w:r>
              <w:rPr>
                <w:sz w:val="18"/>
                <w:szCs w:val="18"/>
              </w:rPr>
              <w:t>322088,69</w:t>
            </w:r>
          </w:p>
        </w:tc>
        <w:tc>
          <w:tcPr>
            <w:tcW w:w="992" w:type="dxa"/>
            <w:tcBorders>
              <w:top w:val="nil"/>
              <w:left w:val="nil"/>
              <w:bottom w:val="single" w:sz="4" w:space="0" w:color="auto"/>
              <w:right w:val="single" w:sz="4" w:space="0" w:color="auto"/>
            </w:tcBorders>
            <w:shd w:val="clear" w:color="000000" w:fill="CCFFFF"/>
            <w:noWrap/>
            <w:vAlign w:val="bottom"/>
            <w:hideMark/>
          </w:tcPr>
          <w:p w14:paraId="5D34A894" w14:textId="77777777" w:rsidR="00B56301" w:rsidRPr="00CD6B25" w:rsidRDefault="00B56301" w:rsidP="00B37B65">
            <w:pPr>
              <w:jc w:val="right"/>
              <w:rPr>
                <w:rFonts w:ascii="Times New Roman" w:hAnsi="Times New Roman"/>
                <w:sz w:val="18"/>
                <w:szCs w:val="18"/>
              </w:rPr>
            </w:pPr>
            <w:r>
              <w:rPr>
                <w:sz w:val="18"/>
                <w:szCs w:val="18"/>
              </w:rPr>
              <w:t>321847,33</w:t>
            </w:r>
          </w:p>
        </w:tc>
      </w:tr>
      <w:tr w:rsidR="00B56301" w:rsidRPr="00CD6B25" w14:paraId="34F20CF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2BA22CA" w14:textId="3F1D41D0"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9D568BE" w14:textId="77777777" w:rsidR="00B56301" w:rsidRPr="00CD6B25" w:rsidRDefault="00B56301" w:rsidP="00B37B65">
            <w:pPr>
              <w:jc w:val="right"/>
              <w:rPr>
                <w:rFonts w:ascii="Times New Roman" w:hAnsi="Times New Roman"/>
                <w:sz w:val="18"/>
                <w:szCs w:val="18"/>
              </w:rPr>
            </w:pPr>
            <w:r>
              <w:rPr>
                <w:sz w:val="18"/>
                <w:szCs w:val="18"/>
              </w:rPr>
              <w:t>62829,66</w:t>
            </w:r>
          </w:p>
        </w:tc>
        <w:tc>
          <w:tcPr>
            <w:tcW w:w="992" w:type="dxa"/>
            <w:tcBorders>
              <w:top w:val="nil"/>
              <w:left w:val="nil"/>
              <w:bottom w:val="single" w:sz="4" w:space="0" w:color="auto"/>
              <w:right w:val="single" w:sz="4" w:space="0" w:color="auto"/>
            </w:tcBorders>
            <w:shd w:val="clear" w:color="000000" w:fill="CCFFFF"/>
            <w:noWrap/>
            <w:vAlign w:val="bottom"/>
            <w:hideMark/>
          </w:tcPr>
          <w:p w14:paraId="5B1FEDD4" w14:textId="77777777" w:rsidR="00B56301" w:rsidRPr="00CD6B25" w:rsidRDefault="00B56301" w:rsidP="00B37B65">
            <w:pPr>
              <w:jc w:val="right"/>
              <w:rPr>
                <w:rFonts w:ascii="Times New Roman" w:hAnsi="Times New Roman"/>
                <w:sz w:val="18"/>
                <w:szCs w:val="18"/>
              </w:rPr>
            </w:pPr>
            <w:r>
              <w:rPr>
                <w:sz w:val="18"/>
                <w:szCs w:val="18"/>
              </w:rPr>
              <w:t>63099,53</w:t>
            </w:r>
          </w:p>
        </w:tc>
        <w:tc>
          <w:tcPr>
            <w:tcW w:w="992" w:type="dxa"/>
            <w:tcBorders>
              <w:top w:val="nil"/>
              <w:left w:val="nil"/>
              <w:bottom w:val="single" w:sz="4" w:space="0" w:color="auto"/>
              <w:right w:val="single" w:sz="4" w:space="0" w:color="auto"/>
            </w:tcBorders>
            <w:shd w:val="clear" w:color="000000" w:fill="CCFFFF"/>
            <w:noWrap/>
            <w:vAlign w:val="bottom"/>
            <w:hideMark/>
          </w:tcPr>
          <w:p w14:paraId="72F3CFAE" w14:textId="77777777" w:rsidR="00B56301" w:rsidRPr="00CD6B25" w:rsidRDefault="00B56301" w:rsidP="00B37B65">
            <w:pPr>
              <w:jc w:val="right"/>
              <w:rPr>
                <w:rFonts w:ascii="Times New Roman" w:hAnsi="Times New Roman"/>
                <w:sz w:val="18"/>
                <w:szCs w:val="18"/>
              </w:rPr>
            </w:pPr>
            <w:r>
              <w:rPr>
                <w:sz w:val="18"/>
                <w:szCs w:val="18"/>
              </w:rPr>
              <w:t>61973,75</w:t>
            </w:r>
          </w:p>
        </w:tc>
        <w:tc>
          <w:tcPr>
            <w:tcW w:w="992" w:type="dxa"/>
            <w:tcBorders>
              <w:top w:val="nil"/>
              <w:left w:val="nil"/>
              <w:bottom w:val="single" w:sz="4" w:space="0" w:color="auto"/>
              <w:right w:val="single" w:sz="4" w:space="0" w:color="auto"/>
            </w:tcBorders>
            <w:shd w:val="clear" w:color="000000" w:fill="CCFFFF"/>
            <w:noWrap/>
            <w:vAlign w:val="bottom"/>
            <w:hideMark/>
          </w:tcPr>
          <w:p w14:paraId="0E73351C" w14:textId="77777777" w:rsidR="00B56301" w:rsidRPr="00CD6B25" w:rsidRDefault="00B56301" w:rsidP="00B37B65">
            <w:pPr>
              <w:jc w:val="right"/>
              <w:rPr>
                <w:rFonts w:ascii="Times New Roman" w:hAnsi="Times New Roman"/>
                <w:sz w:val="18"/>
                <w:szCs w:val="18"/>
              </w:rPr>
            </w:pPr>
            <w:r>
              <w:rPr>
                <w:sz w:val="18"/>
                <w:szCs w:val="18"/>
              </w:rPr>
              <w:t>61663,32</w:t>
            </w:r>
          </w:p>
        </w:tc>
        <w:tc>
          <w:tcPr>
            <w:tcW w:w="992" w:type="dxa"/>
            <w:tcBorders>
              <w:top w:val="nil"/>
              <w:left w:val="nil"/>
              <w:bottom w:val="single" w:sz="4" w:space="0" w:color="auto"/>
              <w:right w:val="single" w:sz="4" w:space="0" w:color="auto"/>
            </w:tcBorders>
            <w:shd w:val="clear" w:color="000000" w:fill="CCFFFF"/>
            <w:noWrap/>
            <w:vAlign w:val="bottom"/>
            <w:hideMark/>
          </w:tcPr>
          <w:p w14:paraId="74C9200D" w14:textId="77777777" w:rsidR="00B56301" w:rsidRPr="00CD6B25" w:rsidRDefault="00B56301" w:rsidP="00B37B65">
            <w:pPr>
              <w:jc w:val="right"/>
              <w:rPr>
                <w:rFonts w:ascii="Times New Roman" w:hAnsi="Times New Roman"/>
                <w:sz w:val="18"/>
                <w:szCs w:val="18"/>
              </w:rPr>
            </w:pPr>
            <w:r>
              <w:rPr>
                <w:sz w:val="18"/>
                <w:szCs w:val="18"/>
              </w:rPr>
              <w:t>60479,26</w:t>
            </w:r>
          </w:p>
        </w:tc>
        <w:tc>
          <w:tcPr>
            <w:tcW w:w="992" w:type="dxa"/>
            <w:tcBorders>
              <w:top w:val="nil"/>
              <w:left w:val="nil"/>
              <w:bottom w:val="single" w:sz="4" w:space="0" w:color="auto"/>
              <w:right w:val="single" w:sz="4" w:space="0" w:color="auto"/>
            </w:tcBorders>
            <w:shd w:val="clear" w:color="000000" w:fill="CCFFFF"/>
            <w:noWrap/>
            <w:vAlign w:val="bottom"/>
            <w:hideMark/>
          </w:tcPr>
          <w:p w14:paraId="62DF8B5B" w14:textId="77777777" w:rsidR="00B56301" w:rsidRPr="00CD6B25" w:rsidRDefault="00B56301" w:rsidP="00B37B65">
            <w:pPr>
              <w:jc w:val="right"/>
              <w:rPr>
                <w:rFonts w:ascii="Times New Roman" w:hAnsi="Times New Roman"/>
                <w:sz w:val="18"/>
                <w:szCs w:val="18"/>
              </w:rPr>
            </w:pPr>
            <w:r>
              <w:rPr>
                <w:sz w:val="18"/>
                <w:szCs w:val="18"/>
              </w:rPr>
              <w:t>59243,34</w:t>
            </w:r>
          </w:p>
        </w:tc>
      </w:tr>
      <w:tr w:rsidR="00B56301" w:rsidRPr="00CD6B25" w14:paraId="0676E9F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4E8DABE" w14:textId="38F1943D"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41C7188" w14:textId="77777777" w:rsidR="00B56301" w:rsidRPr="00CD6B25" w:rsidRDefault="00B56301" w:rsidP="00B37B65">
            <w:pPr>
              <w:jc w:val="right"/>
              <w:rPr>
                <w:rFonts w:ascii="Times New Roman" w:hAnsi="Times New Roman"/>
                <w:sz w:val="18"/>
                <w:szCs w:val="18"/>
              </w:rPr>
            </w:pPr>
            <w:r>
              <w:rPr>
                <w:sz w:val="18"/>
                <w:szCs w:val="18"/>
              </w:rPr>
              <w:t>63964,95</w:t>
            </w:r>
          </w:p>
        </w:tc>
        <w:tc>
          <w:tcPr>
            <w:tcW w:w="992" w:type="dxa"/>
            <w:tcBorders>
              <w:top w:val="nil"/>
              <w:left w:val="nil"/>
              <w:bottom w:val="single" w:sz="4" w:space="0" w:color="auto"/>
              <w:right w:val="single" w:sz="4" w:space="0" w:color="auto"/>
            </w:tcBorders>
            <w:shd w:val="clear" w:color="000000" w:fill="CCFFFF"/>
            <w:noWrap/>
            <w:vAlign w:val="bottom"/>
            <w:hideMark/>
          </w:tcPr>
          <w:p w14:paraId="423C4553" w14:textId="77777777" w:rsidR="00B56301" w:rsidRPr="00CD6B25" w:rsidRDefault="00B56301" w:rsidP="00B37B65">
            <w:pPr>
              <w:jc w:val="right"/>
              <w:rPr>
                <w:rFonts w:ascii="Times New Roman" w:hAnsi="Times New Roman"/>
                <w:sz w:val="18"/>
                <w:szCs w:val="18"/>
              </w:rPr>
            </w:pPr>
            <w:r>
              <w:rPr>
                <w:sz w:val="18"/>
                <w:szCs w:val="18"/>
              </w:rPr>
              <w:t>64199,20</w:t>
            </w:r>
          </w:p>
        </w:tc>
        <w:tc>
          <w:tcPr>
            <w:tcW w:w="992" w:type="dxa"/>
            <w:tcBorders>
              <w:top w:val="nil"/>
              <w:left w:val="nil"/>
              <w:bottom w:val="single" w:sz="4" w:space="0" w:color="auto"/>
              <w:right w:val="single" w:sz="4" w:space="0" w:color="auto"/>
            </w:tcBorders>
            <w:shd w:val="clear" w:color="000000" w:fill="CCFFFF"/>
            <w:noWrap/>
            <w:vAlign w:val="bottom"/>
            <w:hideMark/>
          </w:tcPr>
          <w:p w14:paraId="1D3C4F9B" w14:textId="77777777" w:rsidR="00B56301" w:rsidRPr="00CD6B25" w:rsidRDefault="00B56301" w:rsidP="00B37B65">
            <w:pPr>
              <w:jc w:val="right"/>
              <w:rPr>
                <w:rFonts w:ascii="Times New Roman" w:hAnsi="Times New Roman"/>
                <w:sz w:val="18"/>
                <w:szCs w:val="18"/>
              </w:rPr>
            </w:pPr>
            <w:r>
              <w:rPr>
                <w:sz w:val="18"/>
                <w:szCs w:val="18"/>
              </w:rPr>
              <w:t>63092,13</w:t>
            </w:r>
          </w:p>
        </w:tc>
        <w:tc>
          <w:tcPr>
            <w:tcW w:w="992" w:type="dxa"/>
            <w:tcBorders>
              <w:top w:val="nil"/>
              <w:left w:val="nil"/>
              <w:bottom w:val="single" w:sz="4" w:space="0" w:color="auto"/>
              <w:right w:val="single" w:sz="4" w:space="0" w:color="auto"/>
            </w:tcBorders>
            <w:shd w:val="clear" w:color="000000" w:fill="CCFFFF"/>
            <w:noWrap/>
            <w:vAlign w:val="bottom"/>
            <w:hideMark/>
          </w:tcPr>
          <w:p w14:paraId="2DC6A79B" w14:textId="77777777" w:rsidR="00B56301" w:rsidRPr="00CD6B25" w:rsidRDefault="00B56301" w:rsidP="00B37B65">
            <w:pPr>
              <w:jc w:val="right"/>
              <w:rPr>
                <w:rFonts w:ascii="Times New Roman" w:hAnsi="Times New Roman"/>
                <w:sz w:val="18"/>
                <w:szCs w:val="18"/>
              </w:rPr>
            </w:pPr>
            <w:r>
              <w:rPr>
                <w:sz w:val="18"/>
                <w:szCs w:val="18"/>
              </w:rPr>
              <w:t>62793,19</w:t>
            </w:r>
          </w:p>
        </w:tc>
        <w:tc>
          <w:tcPr>
            <w:tcW w:w="992" w:type="dxa"/>
            <w:tcBorders>
              <w:top w:val="nil"/>
              <w:left w:val="nil"/>
              <w:bottom w:val="single" w:sz="4" w:space="0" w:color="auto"/>
              <w:right w:val="single" w:sz="4" w:space="0" w:color="auto"/>
            </w:tcBorders>
            <w:shd w:val="clear" w:color="000000" w:fill="CCFFFF"/>
            <w:noWrap/>
            <w:vAlign w:val="bottom"/>
            <w:hideMark/>
          </w:tcPr>
          <w:p w14:paraId="3918A4EC" w14:textId="77777777" w:rsidR="00B56301" w:rsidRPr="00CD6B25" w:rsidRDefault="00B56301" w:rsidP="00B37B65">
            <w:pPr>
              <w:jc w:val="right"/>
              <w:rPr>
                <w:rFonts w:ascii="Times New Roman" w:hAnsi="Times New Roman"/>
                <w:sz w:val="18"/>
                <w:szCs w:val="18"/>
              </w:rPr>
            </w:pPr>
            <w:r>
              <w:rPr>
                <w:sz w:val="18"/>
                <w:szCs w:val="18"/>
              </w:rPr>
              <w:t>61586,19</w:t>
            </w:r>
          </w:p>
        </w:tc>
        <w:tc>
          <w:tcPr>
            <w:tcW w:w="992" w:type="dxa"/>
            <w:tcBorders>
              <w:top w:val="nil"/>
              <w:left w:val="nil"/>
              <w:bottom w:val="single" w:sz="4" w:space="0" w:color="auto"/>
              <w:right w:val="single" w:sz="4" w:space="0" w:color="auto"/>
            </w:tcBorders>
            <w:shd w:val="clear" w:color="000000" w:fill="CCFFFF"/>
            <w:noWrap/>
            <w:vAlign w:val="bottom"/>
            <w:hideMark/>
          </w:tcPr>
          <w:p w14:paraId="017BD3BF" w14:textId="77777777" w:rsidR="00B56301" w:rsidRPr="00CD6B25" w:rsidRDefault="00B56301" w:rsidP="00B37B65">
            <w:pPr>
              <w:jc w:val="right"/>
              <w:rPr>
                <w:rFonts w:ascii="Times New Roman" w:hAnsi="Times New Roman"/>
                <w:sz w:val="18"/>
                <w:szCs w:val="18"/>
              </w:rPr>
            </w:pPr>
            <w:r>
              <w:rPr>
                <w:sz w:val="18"/>
                <w:szCs w:val="18"/>
              </w:rPr>
              <w:t>60332,74</w:t>
            </w:r>
          </w:p>
        </w:tc>
      </w:tr>
      <w:tr w:rsidR="00B56301" w:rsidRPr="00CD6B25" w14:paraId="42364AB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AFB0061" w14:textId="016EC707"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A4A3F12" w14:textId="77777777" w:rsidR="00B56301" w:rsidRPr="00CD6B25" w:rsidRDefault="00B56301" w:rsidP="00B37B65">
            <w:pPr>
              <w:jc w:val="right"/>
              <w:rPr>
                <w:rFonts w:ascii="Times New Roman" w:hAnsi="Times New Roman"/>
                <w:sz w:val="18"/>
                <w:szCs w:val="18"/>
              </w:rPr>
            </w:pPr>
            <w:r>
              <w:rPr>
                <w:sz w:val="18"/>
                <w:szCs w:val="18"/>
              </w:rPr>
              <w:t>44974,63</w:t>
            </w:r>
          </w:p>
        </w:tc>
        <w:tc>
          <w:tcPr>
            <w:tcW w:w="992" w:type="dxa"/>
            <w:tcBorders>
              <w:top w:val="nil"/>
              <w:left w:val="nil"/>
              <w:bottom w:val="single" w:sz="4" w:space="0" w:color="auto"/>
              <w:right w:val="single" w:sz="4" w:space="0" w:color="auto"/>
            </w:tcBorders>
            <w:shd w:val="clear" w:color="000000" w:fill="CCFFFF"/>
            <w:noWrap/>
            <w:vAlign w:val="bottom"/>
            <w:hideMark/>
          </w:tcPr>
          <w:p w14:paraId="7D626812" w14:textId="77777777" w:rsidR="00B56301" w:rsidRPr="00CD6B25" w:rsidRDefault="00B56301" w:rsidP="00B37B65">
            <w:pPr>
              <w:jc w:val="right"/>
              <w:rPr>
                <w:rFonts w:ascii="Times New Roman" w:hAnsi="Times New Roman"/>
                <w:sz w:val="18"/>
                <w:szCs w:val="18"/>
              </w:rPr>
            </w:pPr>
            <w:r>
              <w:rPr>
                <w:sz w:val="18"/>
                <w:szCs w:val="18"/>
              </w:rPr>
              <w:t>44234,60</w:t>
            </w:r>
          </w:p>
        </w:tc>
        <w:tc>
          <w:tcPr>
            <w:tcW w:w="992" w:type="dxa"/>
            <w:tcBorders>
              <w:top w:val="nil"/>
              <w:left w:val="nil"/>
              <w:bottom w:val="single" w:sz="4" w:space="0" w:color="auto"/>
              <w:right w:val="single" w:sz="4" w:space="0" w:color="auto"/>
            </w:tcBorders>
            <w:shd w:val="clear" w:color="000000" w:fill="CCFFFF"/>
            <w:noWrap/>
            <w:vAlign w:val="bottom"/>
            <w:hideMark/>
          </w:tcPr>
          <w:p w14:paraId="433F6A85" w14:textId="77777777" w:rsidR="00B56301" w:rsidRPr="00CD6B25" w:rsidRDefault="00B56301" w:rsidP="00B37B65">
            <w:pPr>
              <w:jc w:val="right"/>
              <w:rPr>
                <w:rFonts w:ascii="Times New Roman" w:hAnsi="Times New Roman"/>
                <w:sz w:val="18"/>
                <w:szCs w:val="18"/>
              </w:rPr>
            </w:pPr>
            <w:r>
              <w:rPr>
                <w:sz w:val="18"/>
                <w:szCs w:val="18"/>
              </w:rPr>
              <w:t>42654,64</w:t>
            </w:r>
          </w:p>
        </w:tc>
        <w:tc>
          <w:tcPr>
            <w:tcW w:w="992" w:type="dxa"/>
            <w:tcBorders>
              <w:top w:val="nil"/>
              <w:left w:val="nil"/>
              <w:bottom w:val="single" w:sz="4" w:space="0" w:color="auto"/>
              <w:right w:val="single" w:sz="4" w:space="0" w:color="auto"/>
            </w:tcBorders>
            <w:shd w:val="clear" w:color="000000" w:fill="CCFFFF"/>
            <w:noWrap/>
            <w:vAlign w:val="bottom"/>
            <w:hideMark/>
          </w:tcPr>
          <w:p w14:paraId="72E648CE" w14:textId="77777777" w:rsidR="00B56301" w:rsidRPr="00CD6B25" w:rsidRDefault="00B56301" w:rsidP="00B37B65">
            <w:pPr>
              <w:jc w:val="right"/>
              <w:rPr>
                <w:rFonts w:ascii="Times New Roman" w:hAnsi="Times New Roman"/>
                <w:sz w:val="18"/>
                <w:szCs w:val="18"/>
              </w:rPr>
            </w:pPr>
            <w:r>
              <w:rPr>
                <w:sz w:val="18"/>
                <w:szCs w:val="18"/>
              </w:rPr>
              <w:t>40477,95</w:t>
            </w:r>
          </w:p>
        </w:tc>
        <w:tc>
          <w:tcPr>
            <w:tcW w:w="992" w:type="dxa"/>
            <w:tcBorders>
              <w:top w:val="nil"/>
              <w:left w:val="nil"/>
              <w:bottom w:val="single" w:sz="4" w:space="0" w:color="auto"/>
              <w:right w:val="single" w:sz="4" w:space="0" w:color="auto"/>
            </w:tcBorders>
            <w:shd w:val="clear" w:color="000000" w:fill="CCFFFF"/>
            <w:noWrap/>
            <w:vAlign w:val="bottom"/>
            <w:hideMark/>
          </w:tcPr>
          <w:p w14:paraId="0783F489" w14:textId="77777777" w:rsidR="00B56301" w:rsidRPr="00CD6B25" w:rsidRDefault="00B56301" w:rsidP="00B37B65">
            <w:pPr>
              <w:jc w:val="right"/>
              <w:rPr>
                <w:rFonts w:ascii="Times New Roman" w:hAnsi="Times New Roman"/>
                <w:sz w:val="18"/>
                <w:szCs w:val="18"/>
              </w:rPr>
            </w:pPr>
            <w:r>
              <w:rPr>
                <w:sz w:val="18"/>
                <w:szCs w:val="18"/>
              </w:rPr>
              <w:t>38878,98</w:t>
            </w:r>
          </w:p>
        </w:tc>
        <w:tc>
          <w:tcPr>
            <w:tcW w:w="992" w:type="dxa"/>
            <w:tcBorders>
              <w:top w:val="nil"/>
              <w:left w:val="nil"/>
              <w:bottom w:val="single" w:sz="4" w:space="0" w:color="auto"/>
              <w:right w:val="single" w:sz="4" w:space="0" w:color="auto"/>
            </w:tcBorders>
            <w:shd w:val="clear" w:color="000000" w:fill="CCFFFF"/>
            <w:noWrap/>
            <w:vAlign w:val="bottom"/>
            <w:hideMark/>
          </w:tcPr>
          <w:p w14:paraId="6C48DC3F" w14:textId="77777777" w:rsidR="00B56301" w:rsidRPr="00CD6B25" w:rsidRDefault="00B56301" w:rsidP="00B37B65">
            <w:pPr>
              <w:jc w:val="right"/>
              <w:rPr>
                <w:rFonts w:ascii="Times New Roman" w:hAnsi="Times New Roman"/>
                <w:sz w:val="18"/>
                <w:szCs w:val="18"/>
              </w:rPr>
            </w:pPr>
            <w:r>
              <w:rPr>
                <w:sz w:val="18"/>
                <w:szCs w:val="18"/>
              </w:rPr>
              <w:t>39163,80</w:t>
            </w:r>
          </w:p>
        </w:tc>
      </w:tr>
      <w:tr w:rsidR="00B56301" w:rsidRPr="00CD6B25" w14:paraId="5C02E502"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7DDCCDD" w14:textId="1DC640EA"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3090776" w14:textId="77777777" w:rsidR="00B56301" w:rsidRPr="00CD6B25" w:rsidRDefault="00B56301" w:rsidP="00B37B65">
            <w:pPr>
              <w:jc w:val="right"/>
              <w:rPr>
                <w:rFonts w:ascii="Times New Roman" w:hAnsi="Times New Roman"/>
                <w:sz w:val="18"/>
                <w:szCs w:val="18"/>
              </w:rPr>
            </w:pPr>
            <w:r>
              <w:rPr>
                <w:sz w:val="18"/>
                <w:szCs w:val="18"/>
              </w:rPr>
              <w:t>48032,86</w:t>
            </w:r>
          </w:p>
        </w:tc>
        <w:tc>
          <w:tcPr>
            <w:tcW w:w="992" w:type="dxa"/>
            <w:tcBorders>
              <w:top w:val="nil"/>
              <w:left w:val="nil"/>
              <w:bottom w:val="single" w:sz="4" w:space="0" w:color="auto"/>
              <w:right w:val="single" w:sz="4" w:space="0" w:color="auto"/>
            </w:tcBorders>
            <w:shd w:val="clear" w:color="000000" w:fill="CCFFFF"/>
            <w:noWrap/>
            <w:vAlign w:val="bottom"/>
            <w:hideMark/>
          </w:tcPr>
          <w:p w14:paraId="1C701728" w14:textId="77777777" w:rsidR="00B56301" w:rsidRPr="00CD6B25" w:rsidRDefault="00B56301" w:rsidP="00B37B65">
            <w:pPr>
              <w:jc w:val="right"/>
              <w:rPr>
                <w:rFonts w:ascii="Times New Roman" w:hAnsi="Times New Roman"/>
                <w:sz w:val="18"/>
                <w:szCs w:val="18"/>
              </w:rPr>
            </w:pPr>
            <w:r>
              <w:rPr>
                <w:sz w:val="18"/>
                <w:szCs w:val="18"/>
              </w:rPr>
              <w:t>47391,61</w:t>
            </w:r>
          </w:p>
        </w:tc>
        <w:tc>
          <w:tcPr>
            <w:tcW w:w="992" w:type="dxa"/>
            <w:tcBorders>
              <w:top w:val="nil"/>
              <w:left w:val="nil"/>
              <w:bottom w:val="single" w:sz="4" w:space="0" w:color="auto"/>
              <w:right w:val="single" w:sz="4" w:space="0" w:color="auto"/>
            </w:tcBorders>
            <w:shd w:val="clear" w:color="000000" w:fill="CCFFFF"/>
            <w:noWrap/>
            <w:vAlign w:val="bottom"/>
            <w:hideMark/>
          </w:tcPr>
          <w:p w14:paraId="1335127B" w14:textId="77777777" w:rsidR="00B56301" w:rsidRPr="00CD6B25" w:rsidRDefault="00B56301" w:rsidP="00B37B65">
            <w:pPr>
              <w:jc w:val="right"/>
              <w:rPr>
                <w:rFonts w:ascii="Times New Roman" w:hAnsi="Times New Roman"/>
                <w:sz w:val="18"/>
                <w:szCs w:val="18"/>
              </w:rPr>
            </w:pPr>
            <w:r>
              <w:rPr>
                <w:sz w:val="18"/>
                <w:szCs w:val="18"/>
              </w:rPr>
              <w:t>45860,40</w:t>
            </w:r>
          </w:p>
        </w:tc>
        <w:tc>
          <w:tcPr>
            <w:tcW w:w="992" w:type="dxa"/>
            <w:tcBorders>
              <w:top w:val="nil"/>
              <w:left w:val="nil"/>
              <w:bottom w:val="single" w:sz="4" w:space="0" w:color="auto"/>
              <w:right w:val="single" w:sz="4" w:space="0" w:color="auto"/>
            </w:tcBorders>
            <w:shd w:val="clear" w:color="000000" w:fill="CCFFFF"/>
            <w:noWrap/>
            <w:vAlign w:val="bottom"/>
            <w:hideMark/>
          </w:tcPr>
          <w:p w14:paraId="7612ADF4" w14:textId="77777777" w:rsidR="00B56301" w:rsidRPr="00CD6B25" w:rsidRDefault="00B56301" w:rsidP="00B37B65">
            <w:pPr>
              <w:jc w:val="right"/>
              <w:rPr>
                <w:rFonts w:ascii="Times New Roman" w:hAnsi="Times New Roman"/>
                <w:sz w:val="18"/>
                <w:szCs w:val="18"/>
              </w:rPr>
            </w:pPr>
            <w:r>
              <w:rPr>
                <w:sz w:val="18"/>
                <w:szCs w:val="18"/>
              </w:rPr>
              <w:t>43694,32</w:t>
            </w:r>
          </w:p>
        </w:tc>
        <w:tc>
          <w:tcPr>
            <w:tcW w:w="992" w:type="dxa"/>
            <w:tcBorders>
              <w:top w:val="nil"/>
              <w:left w:val="nil"/>
              <w:bottom w:val="single" w:sz="4" w:space="0" w:color="auto"/>
              <w:right w:val="single" w:sz="4" w:space="0" w:color="auto"/>
            </w:tcBorders>
            <w:shd w:val="clear" w:color="000000" w:fill="CCFFFF"/>
            <w:noWrap/>
            <w:vAlign w:val="bottom"/>
            <w:hideMark/>
          </w:tcPr>
          <w:p w14:paraId="45A86F76" w14:textId="77777777" w:rsidR="00B56301" w:rsidRPr="00CD6B25" w:rsidRDefault="00B56301" w:rsidP="00B37B65">
            <w:pPr>
              <w:jc w:val="right"/>
              <w:rPr>
                <w:rFonts w:ascii="Times New Roman" w:hAnsi="Times New Roman"/>
                <w:sz w:val="18"/>
                <w:szCs w:val="18"/>
              </w:rPr>
            </w:pPr>
            <w:r>
              <w:rPr>
                <w:sz w:val="18"/>
                <w:szCs w:val="18"/>
              </w:rPr>
              <w:t>42046,41</w:t>
            </w:r>
          </w:p>
        </w:tc>
        <w:tc>
          <w:tcPr>
            <w:tcW w:w="992" w:type="dxa"/>
            <w:tcBorders>
              <w:top w:val="nil"/>
              <w:left w:val="nil"/>
              <w:bottom w:val="single" w:sz="4" w:space="0" w:color="auto"/>
              <w:right w:val="single" w:sz="4" w:space="0" w:color="auto"/>
            </w:tcBorders>
            <w:shd w:val="clear" w:color="000000" w:fill="CCFFFF"/>
            <w:noWrap/>
            <w:vAlign w:val="bottom"/>
            <w:hideMark/>
          </w:tcPr>
          <w:p w14:paraId="69C8EB97" w14:textId="77777777" w:rsidR="00B56301" w:rsidRPr="00CD6B25" w:rsidRDefault="00B56301" w:rsidP="00B37B65">
            <w:pPr>
              <w:jc w:val="right"/>
              <w:rPr>
                <w:rFonts w:ascii="Times New Roman" w:hAnsi="Times New Roman"/>
                <w:sz w:val="18"/>
                <w:szCs w:val="18"/>
              </w:rPr>
            </w:pPr>
            <w:r>
              <w:rPr>
                <w:sz w:val="18"/>
                <w:szCs w:val="18"/>
              </w:rPr>
              <w:t>42263,79</w:t>
            </w:r>
          </w:p>
        </w:tc>
      </w:tr>
      <w:tr w:rsidR="00B56301" w:rsidRPr="00CD6B25" w14:paraId="4F317457"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6185FCE"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20205920" w14:textId="77777777" w:rsidR="00B56301" w:rsidRPr="00CD6B25" w:rsidRDefault="00B56301" w:rsidP="00B37B65">
            <w:pPr>
              <w:jc w:val="right"/>
              <w:rPr>
                <w:rFonts w:ascii="Times New Roman" w:hAnsi="Times New Roman"/>
                <w:sz w:val="18"/>
                <w:szCs w:val="18"/>
              </w:rPr>
            </w:pPr>
            <w:r>
              <w:rPr>
                <w:sz w:val="18"/>
                <w:szCs w:val="18"/>
              </w:rPr>
              <w:t>15199,26</w:t>
            </w:r>
          </w:p>
        </w:tc>
        <w:tc>
          <w:tcPr>
            <w:tcW w:w="992" w:type="dxa"/>
            <w:tcBorders>
              <w:top w:val="nil"/>
              <w:left w:val="nil"/>
              <w:bottom w:val="single" w:sz="4" w:space="0" w:color="auto"/>
              <w:right w:val="single" w:sz="4" w:space="0" w:color="auto"/>
            </w:tcBorders>
            <w:shd w:val="clear" w:color="000000" w:fill="CCFFFF"/>
            <w:noWrap/>
            <w:vAlign w:val="bottom"/>
            <w:hideMark/>
          </w:tcPr>
          <w:p w14:paraId="1407DAB3" w14:textId="77777777" w:rsidR="00B56301" w:rsidRPr="00CD6B25" w:rsidRDefault="00B56301" w:rsidP="00B37B65">
            <w:pPr>
              <w:jc w:val="right"/>
              <w:rPr>
                <w:rFonts w:ascii="Times New Roman" w:hAnsi="Times New Roman"/>
                <w:sz w:val="18"/>
                <w:szCs w:val="18"/>
              </w:rPr>
            </w:pPr>
            <w:r>
              <w:rPr>
                <w:sz w:val="18"/>
                <w:szCs w:val="18"/>
              </w:rPr>
              <w:t>16307,53</w:t>
            </w:r>
          </w:p>
        </w:tc>
        <w:tc>
          <w:tcPr>
            <w:tcW w:w="992" w:type="dxa"/>
            <w:tcBorders>
              <w:top w:val="nil"/>
              <w:left w:val="nil"/>
              <w:bottom w:val="single" w:sz="4" w:space="0" w:color="auto"/>
              <w:right w:val="single" w:sz="4" w:space="0" w:color="auto"/>
            </w:tcBorders>
            <w:shd w:val="clear" w:color="000000" w:fill="CCFFFF"/>
            <w:noWrap/>
            <w:vAlign w:val="bottom"/>
            <w:hideMark/>
          </w:tcPr>
          <w:p w14:paraId="0C5DAFBD" w14:textId="77777777" w:rsidR="00B56301" w:rsidRPr="00CD6B25" w:rsidRDefault="00B56301" w:rsidP="00B37B65">
            <w:pPr>
              <w:jc w:val="right"/>
              <w:rPr>
                <w:rFonts w:ascii="Times New Roman" w:hAnsi="Times New Roman"/>
                <w:sz w:val="18"/>
                <w:szCs w:val="18"/>
              </w:rPr>
            </w:pPr>
            <w:r>
              <w:rPr>
                <w:sz w:val="18"/>
                <w:szCs w:val="18"/>
              </w:rPr>
              <w:t>16206,87</w:t>
            </w:r>
          </w:p>
        </w:tc>
        <w:tc>
          <w:tcPr>
            <w:tcW w:w="992" w:type="dxa"/>
            <w:tcBorders>
              <w:top w:val="nil"/>
              <w:left w:val="nil"/>
              <w:bottom w:val="single" w:sz="4" w:space="0" w:color="auto"/>
              <w:right w:val="single" w:sz="4" w:space="0" w:color="auto"/>
            </w:tcBorders>
            <w:shd w:val="clear" w:color="000000" w:fill="CCFFFF"/>
            <w:noWrap/>
            <w:vAlign w:val="bottom"/>
            <w:hideMark/>
          </w:tcPr>
          <w:p w14:paraId="012BADAC" w14:textId="77777777" w:rsidR="00B56301" w:rsidRPr="00CD6B25" w:rsidRDefault="00B56301" w:rsidP="00B37B65">
            <w:pPr>
              <w:jc w:val="right"/>
              <w:rPr>
                <w:rFonts w:ascii="Times New Roman" w:hAnsi="Times New Roman"/>
                <w:sz w:val="18"/>
                <w:szCs w:val="18"/>
              </w:rPr>
            </w:pPr>
            <w:r>
              <w:rPr>
                <w:sz w:val="18"/>
                <w:szCs w:val="18"/>
              </w:rPr>
              <w:t>16930,10</w:t>
            </w:r>
          </w:p>
        </w:tc>
        <w:tc>
          <w:tcPr>
            <w:tcW w:w="992" w:type="dxa"/>
            <w:tcBorders>
              <w:top w:val="nil"/>
              <w:left w:val="nil"/>
              <w:bottom w:val="single" w:sz="4" w:space="0" w:color="auto"/>
              <w:right w:val="single" w:sz="4" w:space="0" w:color="auto"/>
            </w:tcBorders>
            <w:shd w:val="clear" w:color="000000" w:fill="CCFFFF"/>
            <w:noWrap/>
            <w:vAlign w:val="bottom"/>
            <w:hideMark/>
          </w:tcPr>
          <w:p w14:paraId="03B241F5" w14:textId="77777777" w:rsidR="00B56301" w:rsidRPr="00CD6B25" w:rsidRDefault="00B56301" w:rsidP="00B37B65">
            <w:pPr>
              <w:jc w:val="right"/>
              <w:rPr>
                <w:rFonts w:ascii="Times New Roman" w:hAnsi="Times New Roman"/>
                <w:sz w:val="18"/>
                <w:szCs w:val="18"/>
              </w:rPr>
            </w:pPr>
            <w:r>
              <w:rPr>
                <w:sz w:val="18"/>
                <w:szCs w:val="18"/>
              </w:rPr>
              <w:t>17628,80</w:t>
            </w:r>
          </w:p>
        </w:tc>
        <w:tc>
          <w:tcPr>
            <w:tcW w:w="992" w:type="dxa"/>
            <w:tcBorders>
              <w:top w:val="nil"/>
              <w:left w:val="nil"/>
              <w:bottom w:val="single" w:sz="4" w:space="0" w:color="auto"/>
              <w:right w:val="single" w:sz="4" w:space="0" w:color="auto"/>
            </w:tcBorders>
            <w:shd w:val="clear" w:color="000000" w:fill="CCFFFF"/>
            <w:noWrap/>
            <w:vAlign w:val="bottom"/>
            <w:hideMark/>
          </w:tcPr>
          <w:p w14:paraId="6898F665" w14:textId="77777777" w:rsidR="00B56301" w:rsidRPr="00CD6B25" w:rsidRDefault="00B56301" w:rsidP="00B37B65">
            <w:pPr>
              <w:jc w:val="right"/>
              <w:rPr>
                <w:rFonts w:ascii="Times New Roman" w:hAnsi="Times New Roman"/>
                <w:sz w:val="18"/>
                <w:szCs w:val="18"/>
              </w:rPr>
            </w:pPr>
            <w:r>
              <w:rPr>
                <w:sz w:val="18"/>
                <w:szCs w:val="18"/>
              </w:rPr>
              <w:t>17862,07</w:t>
            </w:r>
          </w:p>
        </w:tc>
      </w:tr>
      <w:tr w:rsidR="00B56301" w:rsidRPr="00CD6B25" w14:paraId="78B1C8FB"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748FA8F"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05C10855" w14:textId="77777777" w:rsidR="00B56301" w:rsidRPr="00CD6B25" w:rsidRDefault="00B56301" w:rsidP="00B37B65">
            <w:pPr>
              <w:jc w:val="right"/>
              <w:rPr>
                <w:rFonts w:ascii="Times New Roman" w:hAnsi="Times New Roman"/>
                <w:sz w:val="18"/>
                <w:szCs w:val="18"/>
              </w:rPr>
            </w:pPr>
            <w:r>
              <w:rPr>
                <w:sz w:val="18"/>
                <w:szCs w:val="18"/>
              </w:rPr>
              <w:t>1179,43</w:t>
            </w:r>
          </w:p>
        </w:tc>
        <w:tc>
          <w:tcPr>
            <w:tcW w:w="992" w:type="dxa"/>
            <w:tcBorders>
              <w:top w:val="nil"/>
              <w:left w:val="nil"/>
              <w:bottom w:val="single" w:sz="4" w:space="0" w:color="auto"/>
              <w:right w:val="single" w:sz="4" w:space="0" w:color="auto"/>
            </w:tcBorders>
            <w:shd w:val="clear" w:color="000000" w:fill="CCFFFF"/>
            <w:noWrap/>
            <w:vAlign w:val="bottom"/>
            <w:hideMark/>
          </w:tcPr>
          <w:p w14:paraId="59696A30" w14:textId="77777777" w:rsidR="00B56301" w:rsidRPr="00CD6B25" w:rsidRDefault="00B56301" w:rsidP="00B37B65">
            <w:pPr>
              <w:jc w:val="right"/>
              <w:rPr>
                <w:rFonts w:ascii="Times New Roman" w:hAnsi="Times New Roman"/>
                <w:sz w:val="18"/>
                <w:szCs w:val="18"/>
              </w:rPr>
            </w:pPr>
            <w:r>
              <w:rPr>
                <w:sz w:val="18"/>
                <w:szCs w:val="18"/>
              </w:rPr>
              <w:t>777,75</w:t>
            </w:r>
          </w:p>
        </w:tc>
        <w:tc>
          <w:tcPr>
            <w:tcW w:w="992" w:type="dxa"/>
            <w:tcBorders>
              <w:top w:val="nil"/>
              <w:left w:val="nil"/>
              <w:bottom w:val="single" w:sz="4" w:space="0" w:color="auto"/>
              <w:right w:val="single" w:sz="4" w:space="0" w:color="auto"/>
            </w:tcBorders>
            <w:shd w:val="clear" w:color="000000" w:fill="CCFFFF"/>
            <w:noWrap/>
            <w:vAlign w:val="bottom"/>
            <w:hideMark/>
          </w:tcPr>
          <w:p w14:paraId="3C1B8DF4" w14:textId="77777777" w:rsidR="00B56301" w:rsidRPr="00CD6B25" w:rsidRDefault="00B56301" w:rsidP="00B37B65">
            <w:pPr>
              <w:jc w:val="right"/>
              <w:rPr>
                <w:rFonts w:ascii="Times New Roman" w:hAnsi="Times New Roman"/>
                <w:sz w:val="18"/>
                <w:szCs w:val="18"/>
              </w:rPr>
            </w:pPr>
            <w:r>
              <w:rPr>
                <w:sz w:val="18"/>
                <w:szCs w:val="18"/>
              </w:rPr>
              <w:t>558,81</w:t>
            </w:r>
          </w:p>
        </w:tc>
        <w:tc>
          <w:tcPr>
            <w:tcW w:w="992" w:type="dxa"/>
            <w:tcBorders>
              <w:top w:val="nil"/>
              <w:left w:val="nil"/>
              <w:bottom w:val="single" w:sz="4" w:space="0" w:color="auto"/>
              <w:right w:val="single" w:sz="4" w:space="0" w:color="auto"/>
            </w:tcBorders>
            <w:shd w:val="clear" w:color="000000" w:fill="CCFFFF"/>
            <w:noWrap/>
            <w:vAlign w:val="bottom"/>
            <w:hideMark/>
          </w:tcPr>
          <w:p w14:paraId="08218D4E" w14:textId="77777777" w:rsidR="00B56301" w:rsidRPr="00CD6B25" w:rsidRDefault="00B56301" w:rsidP="00B37B65">
            <w:pPr>
              <w:jc w:val="right"/>
              <w:rPr>
                <w:rFonts w:ascii="Times New Roman" w:hAnsi="Times New Roman"/>
                <w:sz w:val="18"/>
                <w:szCs w:val="18"/>
              </w:rPr>
            </w:pPr>
            <w:r>
              <w:rPr>
                <w:sz w:val="18"/>
                <w:szCs w:val="18"/>
              </w:rPr>
              <w:t>617,37</w:t>
            </w:r>
          </w:p>
        </w:tc>
        <w:tc>
          <w:tcPr>
            <w:tcW w:w="992" w:type="dxa"/>
            <w:tcBorders>
              <w:top w:val="nil"/>
              <w:left w:val="nil"/>
              <w:bottom w:val="single" w:sz="4" w:space="0" w:color="auto"/>
              <w:right w:val="single" w:sz="4" w:space="0" w:color="auto"/>
            </w:tcBorders>
            <w:shd w:val="clear" w:color="000000" w:fill="CCFFFF"/>
            <w:noWrap/>
            <w:vAlign w:val="bottom"/>
            <w:hideMark/>
          </w:tcPr>
          <w:p w14:paraId="0A369DA4" w14:textId="77777777" w:rsidR="00B56301" w:rsidRPr="00CD6B25" w:rsidRDefault="00B56301" w:rsidP="00B37B65">
            <w:pPr>
              <w:jc w:val="right"/>
              <w:rPr>
                <w:rFonts w:ascii="Times New Roman" w:hAnsi="Times New Roman"/>
                <w:sz w:val="18"/>
                <w:szCs w:val="18"/>
              </w:rPr>
            </w:pPr>
            <w:r>
              <w:rPr>
                <w:sz w:val="18"/>
                <w:szCs w:val="18"/>
              </w:rPr>
              <w:t>774,04</w:t>
            </w:r>
          </w:p>
        </w:tc>
        <w:tc>
          <w:tcPr>
            <w:tcW w:w="992" w:type="dxa"/>
            <w:tcBorders>
              <w:top w:val="nil"/>
              <w:left w:val="nil"/>
              <w:bottom w:val="single" w:sz="4" w:space="0" w:color="auto"/>
              <w:right w:val="single" w:sz="4" w:space="0" w:color="auto"/>
            </w:tcBorders>
            <w:shd w:val="clear" w:color="000000" w:fill="CCFFFF"/>
            <w:noWrap/>
            <w:vAlign w:val="bottom"/>
            <w:hideMark/>
          </w:tcPr>
          <w:p w14:paraId="6C4A47CF" w14:textId="77777777" w:rsidR="00B56301" w:rsidRPr="00CD6B25" w:rsidRDefault="00B56301" w:rsidP="00B37B65">
            <w:pPr>
              <w:jc w:val="right"/>
              <w:rPr>
                <w:rFonts w:ascii="Times New Roman" w:hAnsi="Times New Roman"/>
                <w:sz w:val="18"/>
                <w:szCs w:val="18"/>
              </w:rPr>
            </w:pPr>
            <w:r>
              <w:rPr>
                <w:sz w:val="18"/>
                <w:szCs w:val="18"/>
              </w:rPr>
              <w:t>790,35</w:t>
            </w:r>
          </w:p>
        </w:tc>
      </w:tr>
      <w:tr w:rsidR="00B56301" w:rsidRPr="00CD6B25" w14:paraId="4B423956"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7783DE4" w14:textId="77777777" w:rsidR="00B56301" w:rsidRPr="00CD6B25" w:rsidRDefault="00B56301" w:rsidP="00B37B65">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3AEB45A5"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EDBA168"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ACC0425"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7FC7F8E6"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5A47A54"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01F5BC37" w14:textId="77777777" w:rsidR="00B56301" w:rsidRPr="00CD6B25" w:rsidRDefault="00B56301" w:rsidP="00B37B65">
            <w:pPr>
              <w:jc w:val="right"/>
              <w:rPr>
                <w:rFonts w:ascii="Times New Roman" w:hAnsi="Times New Roman"/>
                <w:sz w:val="18"/>
                <w:szCs w:val="18"/>
              </w:rPr>
            </w:pPr>
            <w:r>
              <w:rPr>
                <w:sz w:val="18"/>
                <w:szCs w:val="18"/>
              </w:rPr>
              <w:t>NO,NA</w:t>
            </w:r>
          </w:p>
        </w:tc>
      </w:tr>
      <w:tr w:rsidR="00B56301" w:rsidRPr="00CD6B25" w14:paraId="7EBAEDA3"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69E6A4A" w14:textId="67C55DAC" w:rsidR="00B56301" w:rsidRPr="00CD6B25" w:rsidRDefault="007F09F7" w:rsidP="00B37B65">
            <w:pPr>
              <w:jc w:val="left"/>
              <w:rPr>
                <w:rFonts w:ascii="Times New Roman" w:hAnsi="Times New Roman"/>
                <w:sz w:val="18"/>
                <w:szCs w:val="18"/>
              </w:rPr>
            </w:pPr>
            <w:r>
              <w:t>SF</w:t>
            </w:r>
            <w:r w:rsidRPr="007F09F7">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466085C1" w14:textId="77777777" w:rsidR="00B56301" w:rsidRPr="00CD6B25" w:rsidRDefault="00B56301" w:rsidP="00B37B65">
            <w:pPr>
              <w:jc w:val="right"/>
              <w:rPr>
                <w:rFonts w:ascii="Times New Roman" w:hAnsi="Times New Roman"/>
                <w:sz w:val="18"/>
                <w:szCs w:val="18"/>
              </w:rPr>
            </w:pPr>
            <w:r>
              <w:rPr>
                <w:sz w:val="18"/>
                <w:szCs w:val="18"/>
              </w:rPr>
              <w:t>1149,05</w:t>
            </w:r>
          </w:p>
        </w:tc>
        <w:tc>
          <w:tcPr>
            <w:tcW w:w="992" w:type="dxa"/>
            <w:tcBorders>
              <w:top w:val="nil"/>
              <w:left w:val="nil"/>
              <w:bottom w:val="single" w:sz="4" w:space="0" w:color="auto"/>
              <w:right w:val="single" w:sz="4" w:space="0" w:color="auto"/>
            </w:tcBorders>
            <w:shd w:val="clear" w:color="000000" w:fill="CCFFFF"/>
            <w:noWrap/>
            <w:vAlign w:val="bottom"/>
            <w:hideMark/>
          </w:tcPr>
          <w:p w14:paraId="7FF81407" w14:textId="77777777" w:rsidR="00B56301" w:rsidRPr="00CD6B25" w:rsidRDefault="00B56301" w:rsidP="00B37B65">
            <w:pPr>
              <w:jc w:val="right"/>
              <w:rPr>
                <w:rFonts w:ascii="Times New Roman" w:hAnsi="Times New Roman"/>
                <w:sz w:val="18"/>
                <w:szCs w:val="18"/>
              </w:rPr>
            </w:pPr>
            <w:r>
              <w:rPr>
                <w:sz w:val="18"/>
                <w:szCs w:val="18"/>
              </w:rPr>
              <w:t>1136,14</w:t>
            </w:r>
          </w:p>
        </w:tc>
        <w:tc>
          <w:tcPr>
            <w:tcW w:w="992" w:type="dxa"/>
            <w:tcBorders>
              <w:top w:val="nil"/>
              <w:left w:val="nil"/>
              <w:bottom w:val="single" w:sz="4" w:space="0" w:color="auto"/>
              <w:right w:val="single" w:sz="4" w:space="0" w:color="auto"/>
            </w:tcBorders>
            <w:shd w:val="clear" w:color="000000" w:fill="CCFFFF"/>
            <w:noWrap/>
            <w:vAlign w:val="bottom"/>
            <w:hideMark/>
          </w:tcPr>
          <w:p w14:paraId="6B25455B" w14:textId="77777777" w:rsidR="00B56301" w:rsidRPr="00CD6B25" w:rsidRDefault="00B56301" w:rsidP="00B37B65">
            <w:pPr>
              <w:jc w:val="right"/>
              <w:rPr>
                <w:rFonts w:ascii="Times New Roman" w:hAnsi="Times New Roman"/>
                <w:sz w:val="18"/>
                <w:szCs w:val="18"/>
              </w:rPr>
            </w:pPr>
            <w:r>
              <w:rPr>
                <w:sz w:val="18"/>
                <w:szCs w:val="18"/>
              </w:rPr>
              <w:t>951,45</w:t>
            </w:r>
          </w:p>
        </w:tc>
        <w:tc>
          <w:tcPr>
            <w:tcW w:w="992" w:type="dxa"/>
            <w:tcBorders>
              <w:top w:val="nil"/>
              <w:left w:val="nil"/>
              <w:bottom w:val="single" w:sz="4" w:space="0" w:color="auto"/>
              <w:right w:val="single" w:sz="4" w:space="0" w:color="auto"/>
            </w:tcBorders>
            <w:shd w:val="clear" w:color="000000" w:fill="CCFFFF"/>
            <w:noWrap/>
            <w:vAlign w:val="bottom"/>
            <w:hideMark/>
          </w:tcPr>
          <w:p w14:paraId="0FE294CB" w14:textId="77777777" w:rsidR="00B56301" w:rsidRPr="00CD6B25" w:rsidRDefault="00B56301" w:rsidP="00B37B65">
            <w:pPr>
              <w:jc w:val="right"/>
              <w:rPr>
                <w:rFonts w:ascii="Times New Roman" w:hAnsi="Times New Roman"/>
                <w:sz w:val="18"/>
                <w:szCs w:val="18"/>
              </w:rPr>
            </w:pPr>
            <w:r>
              <w:rPr>
                <w:sz w:val="18"/>
                <w:szCs w:val="18"/>
              </w:rPr>
              <w:t>875,10</w:t>
            </w:r>
          </w:p>
        </w:tc>
        <w:tc>
          <w:tcPr>
            <w:tcW w:w="992" w:type="dxa"/>
            <w:tcBorders>
              <w:top w:val="nil"/>
              <w:left w:val="nil"/>
              <w:bottom w:val="single" w:sz="4" w:space="0" w:color="auto"/>
              <w:right w:val="single" w:sz="4" w:space="0" w:color="auto"/>
            </w:tcBorders>
            <w:shd w:val="clear" w:color="000000" w:fill="CCFFFF"/>
            <w:noWrap/>
            <w:vAlign w:val="bottom"/>
            <w:hideMark/>
          </w:tcPr>
          <w:p w14:paraId="0272F668" w14:textId="77777777" w:rsidR="00B56301" w:rsidRPr="00CD6B25" w:rsidRDefault="00B56301" w:rsidP="00B37B65">
            <w:pPr>
              <w:jc w:val="right"/>
              <w:rPr>
                <w:rFonts w:ascii="Times New Roman" w:hAnsi="Times New Roman"/>
                <w:sz w:val="18"/>
                <w:szCs w:val="18"/>
              </w:rPr>
            </w:pPr>
            <w:r>
              <w:rPr>
                <w:sz w:val="18"/>
                <w:szCs w:val="18"/>
              </w:rPr>
              <w:t>650,96</w:t>
            </w:r>
          </w:p>
        </w:tc>
        <w:tc>
          <w:tcPr>
            <w:tcW w:w="992" w:type="dxa"/>
            <w:tcBorders>
              <w:top w:val="nil"/>
              <w:left w:val="nil"/>
              <w:bottom w:val="single" w:sz="4" w:space="0" w:color="auto"/>
              <w:right w:val="single" w:sz="4" w:space="0" w:color="auto"/>
            </w:tcBorders>
            <w:shd w:val="clear" w:color="000000" w:fill="CCFFFF"/>
            <w:noWrap/>
            <w:vAlign w:val="bottom"/>
            <w:hideMark/>
          </w:tcPr>
          <w:p w14:paraId="0F63B246" w14:textId="77777777" w:rsidR="00B56301" w:rsidRPr="00CD6B25" w:rsidRDefault="00B56301" w:rsidP="00B37B65">
            <w:pPr>
              <w:jc w:val="right"/>
              <w:rPr>
                <w:rFonts w:ascii="Times New Roman" w:hAnsi="Times New Roman"/>
                <w:sz w:val="18"/>
                <w:szCs w:val="18"/>
              </w:rPr>
            </w:pPr>
            <w:r>
              <w:rPr>
                <w:sz w:val="18"/>
                <w:szCs w:val="18"/>
              </w:rPr>
              <w:t>655,26</w:t>
            </w:r>
          </w:p>
        </w:tc>
      </w:tr>
      <w:tr w:rsidR="00B56301" w:rsidRPr="00CD6B25" w14:paraId="4683B956"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643B7E9F" w14:textId="5A1AEFBD" w:rsidR="00B56301" w:rsidRPr="00CD6B25" w:rsidRDefault="007F09F7" w:rsidP="00B37B65">
            <w:pPr>
              <w:jc w:val="left"/>
              <w:rPr>
                <w:rFonts w:ascii="Times New Roman" w:hAnsi="Times New Roman"/>
                <w:sz w:val="18"/>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59759611" w14:textId="77777777" w:rsidR="00B56301" w:rsidRPr="00CD6B25" w:rsidRDefault="00B56301" w:rsidP="00B37B65">
            <w:pPr>
              <w:jc w:val="right"/>
              <w:rPr>
                <w:rFonts w:ascii="Times New Roman" w:hAnsi="Times New Roman"/>
                <w:sz w:val="18"/>
                <w:szCs w:val="18"/>
              </w:rPr>
            </w:pPr>
            <w:r>
              <w:rPr>
                <w:sz w:val="18"/>
                <w:szCs w:val="18"/>
              </w:rPr>
              <w:t>42,11</w:t>
            </w:r>
          </w:p>
        </w:tc>
        <w:tc>
          <w:tcPr>
            <w:tcW w:w="992" w:type="dxa"/>
            <w:tcBorders>
              <w:top w:val="nil"/>
              <w:left w:val="nil"/>
              <w:bottom w:val="single" w:sz="4" w:space="0" w:color="auto"/>
              <w:right w:val="single" w:sz="4" w:space="0" w:color="auto"/>
            </w:tcBorders>
            <w:shd w:val="clear" w:color="000000" w:fill="CCFFFF"/>
            <w:noWrap/>
            <w:vAlign w:val="bottom"/>
            <w:hideMark/>
          </w:tcPr>
          <w:p w14:paraId="0F0AF121" w14:textId="77777777" w:rsidR="00B56301" w:rsidRPr="00CD6B25" w:rsidRDefault="00B56301" w:rsidP="00B37B65">
            <w:pPr>
              <w:jc w:val="right"/>
              <w:rPr>
                <w:rFonts w:ascii="Times New Roman" w:hAnsi="Times New Roman"/>
                <w:sz w:val="18"/>
                <w:szCs w:val="18"/>
              </w:rPr>
            </w:pPr>
            <w:r>
              <w:rPr>
                <w:sz w:val="18"/>
                <w:szCs w:val="18"/>
              </w:rPr>
              <w:t>46,35</w:t>
            </w:r>
          </w:p>
        </w:tc>
        <w:tc>
          <w:tcPr>
            <w:tcW w:w="992" w:type="dxa"/>
            <w:tcBorders>
              <w:top w:val="nil"/>
              <w:left w:val="nil"/>
              <w:bottom w:val="single" w:sz="4" w:space="0" w:color="auto"/>
              <w:right w:val="single" w:sz="4" w:space="0" w:color="auto"/>
            </w:tcBorders>
            <w:shd w:val="clear" w:color="000000" w:fill="CCFFFF"/>
            <w:noWrap/>
            <w:vAlign w:val="bottom"/>
            <w:hideMark/>
          </w:tcPr>
          <w:p w14:paraId="31D1487E" w14:textId="77777777" w:rsidR="00B56301" w:rsidRPr="00CD6B25" w:rsidRDefault="00B56301" w:rsidP="00B37B65">
            <w:pPr>
              <w:jc w:val="right"/>
              <w:rPr>
                <w:rFonts w:ascii="Times New Roman" w:hAnsi="Times New Roman"/>
                <w:sz w:val="18"/>
                <w:szCs w:val="18"/>
              </w:rPr>
            </w:pPr>
            <w:r>
              <w:rPr>
                <w:sz w:val="18"/>
                <w:szCs w:val="18"/>
              </w:rPr>
              <w:t>24,96</w:t>
            </w:r>
          </w:p>
        </w:tc>
        <w:tc>
          <w:tcPr>
            <w:tcW w:w="992" w:type="dxa"/>
            <w:tcBorders>
              <w:top w:val="nil"/>
              <w:left w:val="nil"/>
              <w:bottom w:val="single" w:sz="4" w:space="0" w:color="auto"/>
              <w:right w:val="single" w:sz="4" w:space="0" w:color="auto"/>
            </w:tcBorders>
            <w:shd w:val="clear" w:color="000000" w:fill="CCFFFF"/>
            <w:noWrap/>
            <w:vAlign w:val="bottom"/>
            <w:hideMark/>
          </w:tcPr>
          <w:p w14:paraId="44D6EAE1" w14:textId="77777777" w:rsidR="00B56301" w:rsidRPr="00CD6B25" w:rsidRDefault="00B56301" w:rsidP="00B37B65">
            <w:pPr>
              <w:jc w:val="right"/>
              <w:rPr>
                <w:rFonts w:ascii="Times New Roman" w:hAnsi="Times New Roman"/>
                <w:sz w:val="18"/>
                <w:szCs w:val="18"/>
              </w:rPr>
            </w:pPr>
            <w:r>
              <w:rPr>
                <w:sz w:val="18"/>
                <w:szCs w:val="18"/>
              </w:rPr>
              <w:t>32,13</w:t>
            </w:r>
          </w:p>
        </w:tc>
        <w:tc>
          <w:tcPr>
            <w:tcW w:w="992" w:type="dxa"/>
            <w:tcBorders>
              <w:top w:val="nil"/>
              <w:left w:val="nil"/>
              <w:bottom w:val="single" w:sz="4" w:space="0" w:color="auto"/>
              <w:right w:val="single" w:sz="4" w:space="0" w:color="auto"/>
            </w:tcBorders>
            <w:shd w:val="clear" w:color="000000" w:fill="CCFFFF"/>
            <w:noWrap/>
            <w:vAlign w:val="bottom"/>
            <w:hideMark/>
          </w:tcPr>
          <w:p w14:paraId="03FDA32B" w14:textId="77777777" w:rsidR="00B56301" w:rsidRPr="00CD6B25" w:rsidRDefault="00B56301" w:rsidP="00B37B65">
            <w:pPr>
              <w:jc w:val="right"/>
              <w:rPr>
                <w:rFonts w:ascii="Times New Roman" w:hAnsi="Times New Roman"/>
                <w:sz w:val="18"/>
                <w:szCs w:val="18"/>
              </w:rPr>
            </w:pPr>
            <w:r>
              <w:rPr>
                <w:sz w:val="18"/>
                <w:szCs w:val="18"/>
              </w:rPr>
              <w:t>31,36</w:t>
            </w:r>
          </w:p>
        </w:tc>
        <w:tc>
          <w:tcPr>
            <w:tcW w:w="992" w:type="dxa"/>
            <w:tcBorders>
              <w:top w:val="nil"/>
              <w:left w:val="nil"/>
              <w:bottom w:val="single" w:sz="4" w:space="0" w:color="auto"/>
              <w:right w:val="single" w:sz="4" w:space="0" w:color="auto"/>
            </w:tcBorders>
            <w:shd w:val="clear" w:color="000000" w:fill="CCFFFF"/>
            <w:noWrap/>
            <w:vAlign w:val="bottom"/>
            <w:hideMark/>
          </w:tcPr>
          <w:p w14:paraId="34694B8A" w14:textId="77777777" w:rsidR="00B56301" w:rsidRPr="00CD6B25" w:rsidRDefault="00B56301" w:rsidP="00B37B65">
            <w:pPr>
              <w:jc w:val="right"/>
              <w:rPr>
                <w:rFonts w:ascii="Times New Roman" w:hAnsi="Times New Roman"/>
                <w:sz w:val="18"/>
                <w:szCs w:val="18"/>
              </w:rPr>
            </w:pPr>
            <w:r>
              <w:rPr>
                <w:sz w:val="18"/>
                <w:szCs w:val="18"/>
              </w:rPr>
              <w:t>20,40</w:t>
            </w:r>
          </w:p>
        </w:tc>
      </w:tr>
      <w:tr w:rsidR="00B56301" w:rsidRPr="00CD6B25" w14:paraId="7B9EF017"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4669E7AB"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67E95346" w14:textId="77777777" w:rsidR="00B56301" w:rsidRPr="00CD6B25" w:rsidRDefault="00B56301" w:rsidP="00B37B65">
            <w:pPr>
              <w:jc w:val="right"/>
              <w:rPr>
                <w:rFonts w:ascii="Times New Roman" w:hAnsi="Times New Roman"/>
                <w:sz w:val="18"/>
                <w:szCs w:val="18"/>
              </w:rPr>
            </w:pPr>
            <w:r>
              <w:rPr>
                <w:sz w:val="18"/>
                <w:szCs w:val="18"/>
              </w:rPr>
              <w:t>531573,97</w:t>
            </w:r>
          </w:p>
        </w:tc>
        <w:tc>
          <w:tcPr>
            <w:tcW w:w="992" w:type="dxa"/>
            <w:tcBorders>
              <w:top w:val="nil"/>
              <w:left w:val="nil"/>
              <w:bottom w:val="single" w:sz="4" w:space="0" w:color="auto"/>
              <w:right w:val="single" w:sz="4" w:space="0" w:color="auto"/>
            </w:tcBorders>
            <w:shd w:val="clear" w:color="000000" w:fill="CCFFFF"/>
            <w:noWrap/>
            <w:vAlign w:val="bottom"/>
            <w:hideMark/>
          </w:tcPr>
          <w:p w14:paraId="7D2CA18E" w14:textId="77777777" w:rsidR="00B56301" w:rsidRPr="00CD6B25" w:rsidRDefault="00B56301" w:rsidP="00B37B65">
            <w:pPr>
              <w:jc w:val="right"/>
              <w:rPr>
                <w:rFonts w:ascii="Times New Roman" w:hAnsi="Times New Roman"/>
                <w:sz w:val="18"/>
                <w:szCs w:val="18"/>
              </w:rPr>
            </w:pPr>
            <w:r>
              <w:rPr>
                <w:sz w:val="18"/>
                <w:szCs w:val="18"/>
              </w:rPr>
              <w:t>526060,65</w:t>
            </w:r>
          </w:p>
        </w:tc>
        <w:tc>
          <w:tcPr>
            <w:tcW w:w="992" w:type="dxa"/>
            <w:tcBorders>
              <w:top w:val="nil"/>
              <w:left w:val="nil"/>
              <w:bottom w:val="single" w:sz="4" w:space="0" w:color="auto"/>
              <w:right w:val="single" w:sz="4" w:space="0" w:color="auto"/>
            </w:tcBorders>
            <w:shd w:val="clear" w:color="000000" w:fill="CCFFFF"/>
            <w:noWrap/>
            <w:vAlign w:val="bottom"/>
            <w:hideMark/>
          </w:tcPr>
          <w:p w14:paraId="343ED1D4" w14:textId="77777777" w:rsidR="00B56301" w:rsidRPr="00CD6B25" w:rsidRDefault="00B56301" w:rsidP="00B37B65">
            <w:pPr>
              <w:jc w:val="right"/>
              <w:rPr>
                <w:rFonts w:ascii="Times New Roman" w:hAnsi="Times New Roman"/>
                <w:sz w:val="18"/>
                <w:szCs w:val="18"/>
              </w:rPr>
            </w:pPr>
            <w:r>
              <w:rPr>
                <w:sz w:val="18"/>
                <w:szCs w:val="18"/>
              </w:rPr>
              <w:t>503435,02</w:t>
            </w:r>
          </w:p>
        </w:tc>
        <w:tc>
          <w:tcPr>
            <w:tcW w:w="992" w:type="dxa"/>
            <w:tcBorders>
              <w:top w:val="nil"/>
              <w:left w:val="nil"/>
              <w:bottom w:val="single" w:sz="4" w:space="0" w:color="auto"/>
              <w:right w:val="single" w:sz="4" w:space="0" w:color="auto"/>
            </w:tcBorders>
            <w:shd w:val="clear" w:color="000000" w:fill="CCFFFF"/>
            <w:noWrap/>
            <w:vAlign w:val="bottom"/>
            <w:hideMark/>
          </w:tcPr>
          <w:p w14:paraId="690474A0" w14:textId="77777777" w:rsidR="00B56301" w:rsidRPr="00CD6B25" w:rsidRDefault="00B56301" w:rsidP="00B37B65">
            <w:pPr>
              <w:jc w:val="right"/>
              <w:rPr>
                <w:rFonts w:ascii="Times New Roman" w:hAnsi="Times New Roman"/>
                <w:sz w:val="18"/>
                <w:szCs w:val="18"/>
              </w:rPr>
            </w:pPr>
            <w:r>
              <w:rPr>
                <w:sz w:val="18"/>
                <w:szCs w:val="18"/>
              </w:rPr>
              <w:t>507468,01</w:t>
            </w:r>
          </w:p>
        </w:tc>
        <w:tc>
          <w:tcPr>
            <w:tcW w:w="992" w:type="dxa"/>
            <w:tcBorders>
              <w:top w:val="nil"/>
              <w:left w:val="nil"/>
              <w:bottom w:val="single" w:sz="4" w:space="0" w:color="auto"/>
              <w:right w:val="single" w:sz="4" w:space="0" w:color="auto"/>
            </w:tcBorders>
            <w:shd w:val="clear" w:color="000000" w:fill="CCFFFF"/>
            <w:noWrap/>
            <w:vAlign w:val="bottom"/>
            <w:hideMark/>
          </w:tcPr>
          <w:p w14:paraId="6AFB0A52" w14:textId="77777777" w:rsidR="00B56301" w:rsidRPr="00CD6B25" w:rsidRDefault="00B56301" w:rsidP="00B37B65">
            <w:pPr>
              <w:jc w:val="right"/>
              <w:rPr>
                <w:rFonts w:ascii="Times New Roman" w:hAnsi="Times New Roman"/>
                <w:sz w:val="18"/>
                <w:szCs w:val="18"/>
              </w:rPr>
            </w:pPr>
            <w:r>
              <w:rPr>
                <w:sz w:val="18"/>
                <w:szCs w:val="18"/>
              </w:rPr>
              <w:t>483263,82</w:t>
            </w:r>
          </w:p>
        </w:tc>
        <w:tc>
          <w:tcPr>
            <w:tcW w:w="992" w:type="dxa"/>
            <w:tcBorders>
              <w:top w:val="nil"/>
              <w:left w:val="nil"/>
              <w:bottom w:val="single" w:sz="4" w:space="0" w:color="auto"/>
              <w:right w:val="single" w:sz="4" w:space="0" w:color="auto"/>
            </w:tcBorders>
            <w:shd w:val="clear" w:color="000000" w:fill="CCFFFF"/>
            <w:noWrap/>
            <w:vAlign w:val="bottom"/>
            <w:hideMark/>
          </w:tcPr>
          <w:p w14:paraId="3BC7D0B8" w14:textId="77777777" w:rsidR="00B56301" w:rsidRPr="00CD6B25" w:rsidRDefault="00B56301" w:rsidP="00B37B65">
            <w:pPr>
              <w:jc w:val="right"/>
              <w:rPr>
                <w:rFonts w:ascii="Times New Roman" w:hAnsi="Times New Roman"/>
                <w:sz w:val="18"/>
                <w:szCs w:val="18"/>
              </w:rPr>
            </w:pPr>
            <w:r>
              <w:rPr>
                <w:sz w:val="18"/>
                <w:szCs w:val="18"/>
              </w:rPr>
              <w:t>484765,90</w:t>
            </w:r>
          </w:p>
        </w:tc>
      </w:tr>
      <w:tr w:rsidR="00B56301" w:rsidRPr="00CD6B25" w14:paraId="554508E8"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B6DACFA"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991A7CB" w14:textId="77777777" w:rsidR="00B56301" w:rsidRPr="00CD6B25" w:rsidRDefault="00B56301" w:rsidP="00B37B65">
            <w:pPr>
              <w:jc w:val="right"/>
              <w:rPr>
                <w:rFonts w:ascii="Times New Roman" w:hAnsi="Times New Roman"/>
                <w:sz w:val="18"/>
                <w:szCs w:val="18"/>
              </w:rPr>
            </w:pPr>
            <w:r>
              <w:rPr>
                <w:sz w:val="18"/>
                <w:szCs w:val="18"/>
              </w:rPr>
              <w:t>483212,28</w:t>
            </w:r>
          </w:p>
        </w:tc>
        <w:tc>
          <w:tcPr>
            <w:tcW w:w="992" w:type="dxa"/>
            <w:tcBorders>
              <w:top w:val="nil"/>
              <w:left w:val="nil"/>
              <w:bottom w:val="single" w:sz="4" w:space="0" w:color="auto"/>
              <w:right w:val="single" w:sz="4" w:space="0" w:color="auto"/>
            </w:tcBorders>
            <w:shd w:val="clear" w:color="000000" w:fill="CCFFFF"/>
            <w:noWrap/>
            <w:vAlign w:val="bottom"/>
            <w:hideMark/>
          </w:tcPr>
          <w:p w14:paraId="43DF00B2" w14:textId="77777777" w:rsidR="00B56301" w:rsidRPr="00CD6B25" w:rsidRDefault="00B56301" w:rsidP="00B37B65">
            <w:pPr>
              <w:jc w:val="right"/>
              <w:rPr>
                <w:rFonts w:ascii="Times New Roman" w:hAnsi="Times New Roman"/>
                <w:sz w:val="18"/>
                <w:szCs w:val="18"/>
              </w:rPr>
            </w:pPr>
            <w:r>
              <w:rPr>
                <w:sz w:val="18"/>
                <w:szCs w:val="18"/>
              </w:rPr>
              <w:t>477907,30</w:t>
            </w:r>
          </w:p>
        </w:tc>
        <w:tc>
          <w:tcPr>
            <w:tcW w:w="992" w:type="dxa"/>
            <w:tcBorders>
              <w:top w:val="nil"/>
              <w:left w:val="nil"/>
              <w:bottom w:val="single" w:sz="4" w:space="0" w:color="auto"/>
              <w:right w:val="single" w:sz="4" w:space="0" w:color="auto"/>
            </w:tcBorders>
            <w:shd w:val="clear" w:color="000000" w:fill="CCFFFF"/>
            <w:noWrap/>
            <w:vAlign w:val="bottom"/>
            <w:hideMark/>
          </w:tcPr>
          <w:p w14:paraId="5D2A805C" w14:textId="77777777" w:rsidR="00B56301" w:rsidRPr="00CD6B25" w:rsidRDefault="00B56301" w:rsidP="00B37B65">
            <w:pPr>
              <w:jc w:val="right"/>
              <w:rPr>
                <w:rFonts w:ascii="Times New Roman" w:hAnsi="Times New Roman"/>
                <w:sz w:val="18"/>
                <w:szCs w:val="18"/>
              </w:rPr>
            </w:pPr>
            <w:r>
              <w:rPr>
                <w:sz w:val="18"/>
                <w:szCs w:val="18"/>
              </w:rPr>
              <w:t>465827,40</w:t>
            </w:r>
          </w:p>
        </w:tc>
        <w:tc>
          <w:tcPr>
            <w:tcW w:w="992" w:type="dxa"/>
            <w:tcBorders>
              <w:top w:val="nil"/>
              <w:left w:val="nil"/>
              <w:bottom w:val="single" w:sz="4" w:space="0" w:color="auto"/>
              <w:right w:val="single" w:sz="4" w:space="0" w:color="auto"/>
            </w:tcBorders>
            <w:shd w:val="clear" w:color="000000" w:fill="CCFFFF"/>
            <w:noWrap/>
            <w:vAlign w:val="bottom"/>
            <w:hideMark/>
          </w:tcPr>
          <w:p w14:paraId="428B1F24" w14:textId="77777777" w:rsidR="00B56301" w:rsidRPr="00CD6B25" w:rsidRDefault="00B56301" w:rsidP="00B37B65">
            <w:pPr>
              <w:jc w:val="right"/>
              <w:rPr>
                <w:rFonts w:ascii="Times New Roman" w:hAnsi="Times New Roman"/>
                <w:sz w:val="18"/>
                <w:szCs w:val="18"/>
              </w:rPr>
            </w:pPr>
            <w:r>
              <w:rPr>
                <w:sz w:val="18"/>
                <w:szCs w:val="18"/>
              </w:rPr>
              <w:t>469112,97</w:t>
            </w:r>
          </w:p>
        </w:tc>
        <w:tc>
          <w:tcPr>
            <w:tcW w:w="992" w:type="dxa"/>
            <w:tcBorders>
              <w:top w:val="nil"/>
              <w:left w:val="nil"/>
              <w:bottom w:val="single" w:sz="4" w:space="0" w:color="auto"/>
              <w:right w:val="single" w:sz="4" w:space="0" w:color="auto"/>
            </w:tcBorders>
            <w:shd w:val="clear" w:color="000000" w:fill="CCFFFF"/>
            <w:noWrap/>
            <w:vAlign w:val="bottom"/>
            <w:hideMark/>
          </w:tcPr>
          <w:p w14:paraId="6E367A1F" w14:textId="77777777" w:rsidR="00B56301" w:rsidRPr="00CD6B25" w:rsidRDefault="00B56301" w:rsidP="00B37B65">
            <w:pPr>
              <w:jc w:val="right"/>
              <w:rPr>
                <w:rFonts w:ascii="Times New Roman" w:hAnsi="Times New Roman"/>
                <w:sz w:val="18"/>
                <w:szCs w:val="18"/>
              </w:rPr>
            </w:pPr>
            <w:r>
              <w:rPr>
                <w:sz w:val="18"/>
                <w:szCs w:val="18"/>
              </w:rPr>
              <w:t>444806,44</w:t>
            </w:r>
          </w:p>
        </w:tc>
        <w:tc>
          <w:tcPr>
            <w:tcW w:w="992" w:type="dxa"/>
            <w:tcBorders>
              <w:top w:val="nil"/>
              <w:left w:val="nil"/>
              <w:bottom w:val="single" w:sz="4" w:space="0" w:color="auto"/>
              <w:right w:val="single" w:sz="4" w:space="0" w:color="auto"/>
            </w:tcBorders>
            <w:shd w:val="clear" w:color="000000" w:fill="CCFFFF"/>
            <w:noWrap/>
            <w:vAlign w:val="bottom"/>
            <w:hideMark/>
          </w:tcPr>
          <w:p w14:paraId="3AF7F37E" w14:textId="77777777" w:rsidR="00B56301" w:rsidRPr="00CD6B25" w:rsidRDefault="00B56301" w:rsidP="00B37B65">
            <w:pPr>
              <w:jc w:val="right"/>
              <w:rPr>
                <w:rFonts w:ascii="Times New Roman" w:hAnsi="Times New Roman"/>
                <w:sz w:val="18"/>
                <w:szCs w:val="18"/>
              </w:rPr>
            </w:pPr>
            <w:r>
              <w:rPr>
                <w:sz w:val="18"/>
                <w:szCs w:val="18"/>
              </w:rPr>
              <w:t>443771,93</w:t>
            </w:r>
          </w:p>
        </w:tc>
      </w:tr>
      <w:tr w:rsidR="00B56301" w:rsidRPr="00CD6B25" w14:paraId="635D6380"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47387D8"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F2F41F5"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30241B4"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9F46DF"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16EA07E"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C0FFD8B"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C7EB11C" w14:textId="77777777" w:rsidR="00B56301" w:rsidRPr="00CD6B25" w:rsidRDefault="00B56301" w:rsidP="00B37B65">
            <w:pPr>
              <w:jc w:val="right"/>
              <w:rPr>
                <w:rFonts w:ascii="Times New Roman" w:hAnsi="Times New Roman"/>
                <w:sz w:val="18"/>
                <w:szCs w:val="18"/>
              </w:rPr>
            </w:pPr>
            <w:r>
              <w:rPr>
                <w:sz w:val="18"/>
                <w:szCs w:val="18"/>
              </w:rPr>
              <w:t>NA</w:t>
            </w:r>
          </w:p>
        </w:tc>
      </w:tr>
      <w:tr w:rsidR="00B56301" w:rsidRPr="00CD6B25" w14:paraId="50B2F302"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0BF07A9"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0B958FED"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3BF2D0D"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82FF6CE"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31C27AF"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2A2B3F2A"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822F8E3" w14:textId="77777777" w:rsidR="00B56301" w:rsidRPr="00CD6B25" w:rsidRDefault="00B56301" w:rsidP="00B37B65">
            <w:pPr>
              <w:jc w:val="right"/>
              <w:rPr>
                <w:rFonts w:ascii="Times New Roman" w:hAnsi="Times New Roman"/>
                <w:sz w:val="18"/>
                <w:szCs w:val="18"/>
              </w:rPr>
            </w:pPr>
            <w:r>
              <w:rPr>
                <w:sz w:val="18"/>
                <w:szCs w:val="18"/>
              </w:rPr>
              <w:t>NA</w:t>
            </w:r>
          </w:p>
        </w:tc>
      </w:tr>
    </w:tbl>
    <w:p w14:paraId="7C2165B2" w14:textId="77777777" w:rsidR="00B56301" w:rsidRDefault="00B56301" w:rsidP="00B56301">
      <w:pPr>
        <w:spacing w:line="240" w:lineRule="atLeast"/>
        <w:jc w:val="left"/>
        <w:rPr>
          <w:rFonts w:cs="Arial"/>
        </w:rPr>
      </w:pPr>
    </w:p>
    <w:p w14:paraId="284752EE" w14:textId="77777777" w:rsidR="00B56301" w:rsidRDefault="00B56301" w:rsidP="00B56301">
      <w:pPr>
        <w:spacing w:line="240" w:lineRule="atLeast"/>
        <w:jc w:val="left"/>
        <w:rPr>
          <w:rFonts w:cs="Arial"/>
        </w:rPr>
      </w:pPr>
      <w:r>
        <w:rPr>
          <w:rFonts w:cs="Arial"/>
        </w:rPr>
        <w:br w:type="page"/>
      </w:r>
    </w:p>
    <w:p w14:paraId="53453247" w14:textId="77777777" w:rsidR="00B56301" w:rsidRDefault="00B56301" w:rsidP="00B56301">
      <w:pPr>
        <w:spacing w:line="240" w:lineRule="atLeast"/>
        <w:jc w:val="left"/>
        <w:rPr>
          <w:rFonts w:cs="Arial"/>
        </w:rPr>
      </w:pPr>
    </w:p>
    <w:tbl>
      <w:tblPr>
        <w:tblW w:w="9757" w:type="dxa"/>
        <w:jc w:val="center"/>
        <w:tblCellMar>
          <w:left w:w="70" w:type="dxa"/>
          <w:right w:w="70" w:type="dxa"/>
        </w:tblCellMar>
        <w:tblLook w:val="04A0" w:firstRow="1" w:lastRow="0" w:firstColumn="1" w:lastColumn="0" w:noHBand="0" w:noVBand="1"/>
      </w:tblPr>
      <w:tblGrid>
        <w:gridCol w:w="3805"/>
        <w:gridCol w:w="992"/>
        <w:gridCol w:w="992"/>
        <w:gridCol w:w="992"/>
        <w:gridCol w:w="992"/>
        <w:gridCol w:w="992"/>
        <w:gridCol w:w="992"/>
      </w:tblGrid>
      <w:tr w:rsidR="00B56301" w:rsidRPr="00CD6B25" w14:paraId="2C51FC8F" w14:textId="77777777" w:rsidTr="00B37B65">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20A6A204"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GREENHOUSE GAS EMISSIONS</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A22D39"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2013</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6FADBF44"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2014</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778F928E"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2015</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9F63F5B"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2016</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6E963F1"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2017</w:t>
            </w:r>
          </w:p>
        </w:tc>
        <w:tc>
          <w:tcPr>
            <w:tcW w:w="992" w:type="dxa"/>
            <w:tcBorders>
              <w:top w:val="single" w:sz="4" w:space="0" w:color="auto"/>
              <w:left w:val="nil"/>
              <w:bottom w:val="single" w:sz="4" w:space="0" w:color="auto"/>
              <w:right w:val="single" w:sz="4" w:space="0" w:color="auto"/>
            </w:tcBorders>
            <w:shd w:val="clear" w:color="000000" w:fill="CCFFFF"/>
            <w:noWrap/>
            <w:vAlign w:val="center"/>
            <w:hideMark/>
          </w:tcPr>
          <w:p w14:paraId="52AC053E"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2018</w:t>
            </w:r>
          </w:p>
        </w:tc>
      </w:tr>
      <w:tr w:rsidR="00B56301" w:rsidRPr="00CD6B25" w14:paraId="27C7B882" w14:textId="77777777" w:rsidTr="00B37B65">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052B60A" w14:textId="2CFC4115"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601E9165" w14:textId="77777777" w:rsidR="00B56301" w:rsidRPr="00CD6B25" w:rsidRDefault="00B56301" w:rsidP="00B37B65">
            <w:pPr>
              <w:jc w:val="right"/>
              <w:rPr>
                <w:rFonts w:ascii="Times New Roman" w:hAnsi="Times New Roman"/>
                <w:sz w:val="18"/>
                <w:szCs w:val="18"/>
              </w:rPr>
            </w:pPr>
            <w:r>
              <w:rPr>
                <w:sz w:val="18"/>
                <w:szCs w:val="18"/>
              </w:rPr>
              <w:t>368559,43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FBCC1E3" w14:textId="77777777" w:rsidR="00B56301" w:rsidRPr="00CD6B25" w:rsidRDefault="00B56301" w:rsidP="00B37B65">
            <w:pPr>
              <w:jc w:val="right"/>
              <w:rPr>
                <w:rFonts w:ascii="Times New Roman" w:hAnsi="Times New Roman"/>
                <w:sz w:val="18"/>
                <w:szCs w:val="18"/>
              </w:rPr>
            </w:pPr>
            <w:r>
              <w:rPr>
                <w:sz w:val="18"/>
                <w:szCs w:val="18"/>
              </w:rPr>
              <w:t>337005,91</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766CE0C" w14:textId="77777777" w:rsidR="00B56301" w:rsidRPr="00CD6B25" w:rsidRDefault="00B56301" w:rsidP="00B37B65">
            <w:pPr>
              <w:jc w:val="right"/>
              <w:rPr>
                <w:rFonts w:ascii="Times New Roman" w:hAnsi="Times New Roman"/>
                <w:sz w:val="18"/>
                <w:szCs w:val="18"/>
              </w:rPr>
            </w:pPr>
            <w:r>
              <w:rPr>
                <w:sz w:val="18"/>
                <w:szCs w:val="18"/>
              </w:rPr>
              <w:t>341630,94</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1DFB7F1F" w14:textId="77777777" w:rsidR="00B56301" w:rsidRPr="00CD6B25" w:rsidRDefault="00B56301" w:rsidP="00B37B65">
            <w:pPr>
              <w:jc w:val="right"/>
              <w:rPr>
                <w:rFonts w:ascii="Times New Roman" w:hAnsi="Times New Roman"/>
                <w:sz w:val="18"/>
                <w:szCs w:val="18"/>
              </w:rPr>
            </w:pPr>
            <w:r>
              <w:rPr>
                <w:sz w:val="18"/>
                <w:szCs w:val="18"/>
              </w:rPr>
              <w:t>344723,13</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54489D28" w14:textId="77777777" w:rsidR="00B56301" w:rsidRPr="00CD6B25" w:rsidRDefault="00B56301" w:rsidP="00B37B65">
            <w:pPr>
              <w:jc w:val="right"/>
              <w:rPr>
                <w:rFonts w:ascii="Times New Roman" w:hAnsi="Times New Roman"/>
                <w:sz w:val="18"/>
                <w:szCs w:val="18"/>
              </w:rPr>
            </w:pPr>
            <w:r>
              <w:rPr>
                <w:sz w:val="18"/>
                <w:szCs w:val="18"/>
              </w:rPr>
              <w:t>347604,96</w:t>
            </w:r>
          </w:p>
        </w:tc>
        <w:tc>
          <w:tcPr>
            <w:tcW w:w="992" w:type="dxa"/>
            <w:tcBorders>
              <w:top w:val="single" w:sz="4" w:space="0" w:color="auto"/>
              <w:left w:val="nil"/>
              <w:bottom w:val="single" w:sz="4" w:space="0" w:color="auto"/>
              <w:right w:val="single" w:sz="4" w:space="0" w:color="auto"/>
            </w:tcBorders>
            <w:shd w:val="clear" w:color="000000" w:fill="CCFFFF"/>
            <w:noWrap/>
            <w:vAlign w:val="bottom"/>
            <w:hideMark/>
          </w:tcPr>
          <w:p w14:paraId="00C1D9A8" w14:textId="77777777" w:rsidR="00B56301" w:rsidRPr="00CD6B25" w:rsidRDefault="00B56301" w:rsidP="00B37B65">
            <w:pPr>
              <w:jc w:val="right"/>
              <w:rPr>
                <w:rFonts w:ascii="Times New Roman" w:hAnsi="Times New Roman"/>
                <w:sz w:val="18"/>
                <w:szCs w:val="18"/>
              </w:rPr>
            </w:pPr>
            <w:r>
              <w:rPr>
                <w:sz w:val="18"/>
                <w:szCs w:val="18"/>
              </w:rPr>
              <w:t>332613,39</w:t>
            </w:r>
          </w:p>
        </w:tc>
      </w:tr>
      <w:tr w:rsidR="00B56301" w:rsidRPr="00CD6B25" w14:paraId="2916E2E8" w14:textId="77777777" w:rsidTr="00B37B65">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33FE08BA" w14:textId="5560E980" w:rsidR="00B56301" w:rsidRPr="00CD6B25" w:rsidRDefault="007F09F7" w:rsidP="00B37B65">
            <w:pPr>
              <w:jc w:val="left"/>
              <w:rPr>
                <w:rFonts w:ascii="Times New Roman" w:hAnsi="Times New Roman"/>
                <w:sz w:val="18"/>
                <w:szCs w:val="18"/>
                <w:lang w:val="en-GB"/>
              </w:rPr>
            </w:pP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00B56301" w:rsidRPr="00CD6B25">
              <w:rPr>
                <w:rFonts w:ascii="Times New Roman" w:hAnsi="Times New Roman"/>
                <w:sz w:val="18"/>
                <w:szCs w:val="18"/>
                <w:lang w:val="en-GB"/>
              </w:rPr>
              <w:t xml:space="preserve"> 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33A1A113" w14:textId="77777777" w:rsidR="00B56301" w:rsidRPr="00CD6B25" w:rsidRDefault="00B56301" w:rsidP="00B37B65">
            <w:pPr>
              <w:jc w:val="right"/>
              <w:rPr>
                <w:rFonts w:ascii="Times New Roman" w:hAnsi="Times New Roman"/>
                <w:sz w:val="18"/>
                <w:szCs w:val="18"/>
              </w:rPr>
            </w:pPr>
            <w:r>
              <w:rPr>
                <w:sz w:val="18"/>
                <w:szCs w:val="18"/>
              </w:rPr>
              <w:t>319936,58</w:t>
            </w:r>
          </w:p>
        </w:tc>
        <w:tc>
          <w:tcPr>
            <w:tcW w:w="992" w:type="dxa"/>
            <w:tcBorders>
              <w:top w:val="nil"/>
              <w:left w:val="nil"/>
              <w:bottom w:val="single" w:sz="4" w:space="0" w:color="auto"/>
              <w:right w:val="single" w:sz="4" w:space="0" w:color="auto"/>
            </w:tcBorders>
            <w:shd w:val="clear" w:color="000000" w:fill="CCFFFF"/>
            <w:noWrap/>
            <w:vAlign w:val="bottom"/>
            <w:hideMark/>
          </w:tcPr>
          <w:p w14:paraId="5AAD1B66" w14:textId="77777777" w:rsidR="00B56301" w:rsidRPr="00CD6B25" w:rsidRDefault="00B56301" w:rsidP="00B37B65">
            <w:pPr>
              <w:jc w:val="right"/>
              <w:rPr>
                <w:rFonts w:ascii="Times New Roman" w:hAnsi="Times New Roman"/>
                <w:sz w:val="18"/>
                <w:szCs w:val="18"/>
              </w:rPr>
            </w:pPr>
            <w:r>
              <w:rPr>
                <w:sz w:val="18"/>
                <w:szCs w:val="18"/>
              </w:rPr>
              <w:t>294542,44</w:t>
            </w:r>
          </w:p>
        </w:tc>
        <w:tc>
          <w:tcPr>
            <w:tcW w:w="992" w:type="dxa"/>
            <w:tcBorders>
              <w:top w:val="nil"/>
              <w:left w:val="nil"/>
              <w:bottom w:val="single" w:sz="4" w:space="0" w:color="auto"/>
              <w:right w:val="single" w:sz="4" w:space="0" w:color="auto"/>
            </w:tcBorders>
            <w:shd w:val="clear" w:color="000000" w:fill="CCFFFF"/>
            <w:noWrap/>
            <w:vAlign w:val="bottom"/>
            <w:hideMark/>
          </w:tcPr>
          <w:p w14:paraId="3E00F0CF" w14:textId="77777777" w:rsidR="00B56301" w:rsidRPr="00CD6B25" w:rsidRDefault="00B56301" w:rsidP="00B37B65">
            <w:pPr>
              <w:jc w:val="right"/>
              <w:rPr>
                <w:rFonts w:ascii="Times New Roman" w:hAnsi="Times New Roman"/>
                <w:sz w:val="18"/>
                <w:szCs w:val="18"/>
              </w:rPr>
            </w:pPr>
            <w:r>
              <w:rPr>
                <w:sz w:val="18"/>
                <w:szCs w:val="18"/>
              </w:rPr>
              <w:t>303031,73</w:t>
            </w:r>
          </w:p>
        </w:tc>
        <w:tc>
          <w:tcPr>
            <w:tcW w:w="992" w:type="dxa"/>
            <w:tcBorders>
              <w:top w:val="nil"/>
              <w:left w:val="nil"/>
              <w:bottom w:val="single" w:sz="4" w:space="0" w:color="auto"/>
              <w:right w:val="single" w:sz="4" w:space="0" w:color="auto"/>
            </w:tcBorders>
            <w:shd w:val="clear" w:color="000000" w:fill="CCFFFF"/>
            <w:noWrap/>
            <w:vAlign w:val="bottom"/>
            <w:hideMark/>
          </w:tcPr>
          <w:p w14:paraId="452301C7" w14:textId="77777777" w:rsidR="00B56301" w:rsidRPr="00CD6B25" w:rsidRDefault="00B56301" w:rsidP="00B37B65">
            <w:pPr>
              <w:jc w:val="right"/>
              <w:rPr>
                <w:rFonts w:ascii="Times New Roman" w:hAnsi="Times New Roman"/>
                <w:sz w:val="18"/>
                <w:szCs w:val="18"/>
              </w:rPr>
            </w:pPr>
            <w:r>
              <w:rPr>
                <w:sz w:val="18"/>
                <w:szCs w:val="18"/>
              </w:rPr>
              <w:t>315143,19</w:t>
            </w:r>
          </w:p>
        </w:tc>
        <w:tc>
          <w:tcPr>
            <w:tcW w:w="992" w:type="dxa"/>
            <w:tcBorders>
              <w:top w:val="nil"/>
              <w:left w:val="nil"/>
              <w:bottom w:val="single" w:sz="4" w:space="0" w:color="auto"/>
              <w:right w:val="single" w:sz="4" w:space="0" w:color="auto"/>
            </w:tcBorders>
            <w:shd w:val="clear" w:color="000000" w:fill="CCFFFF"/>
            <w:noWrap/>
            <w:vAlign w:val="bottom"/>
            <w:hideMark/>
          </w:tcPr>
          <w:p w14:paraId="6B07FB31" w14:textId="77777777" w:rsidR="00B56301" w:rsidRPr="00CD6B25" w:rsidRDefault="00B56301" w:rsidP="00B37B65">
            <w:pPr>
              <w:jc w:val="right"/>
              <w:rPr>
                <w:rFonts w:ascii="Times New Roman" w:hAnsi="Times New Roman"/>
                <w:sz w:val="18"/>
                <w:szCs w:val="18"/>
              </w:rPr>
            </w:pPr>
            <w:r>
              <w:rPr>
                <w:sz w:val="18"/>
                <w:szCs w:val="18"/>
              </w:rPr>
              <w:t>326837,62</w:t>
            </w:r>
          </w:p>
        </w:tc>
        <w:tc>
          <w:tcPr>
            <w:tcW w:w="992" w:type="dxa"/>
            <w:tcBorders>
              <w:top w:val="nil"/>
              <w:left w:val="nil"/>
              <w:bottom w:val="single" w:sz="4" w:space="0" w:color="auto"/>
              <w:right w:val="single" w:sz="4" w:space="0" w:color="auto"/>
            </w:tcBorders>
            <w:shd w:val="clear" w:color="000000" w:fill="CCFFFF"/>
            <w:noWrap/>
            <w:vAlign w:val="bottom"/>
            <w:hideMark/>
          </w:tcPr>
          <w:p w14:paraId="2C3C8714" w14:textId="77777777" w:rsidR="00B56301" w:rsidRPr="00CD6B25" w:rsidRDefault="00B56301" w:rsidP="00B37B65">
            <w:pPr>
              <w:jc w:val="right"/>
              <w:rPr>
                <w:rFonts w:ascii="Times New Roman" w:hAnsi="Times New Roman"/>
                <w:sz w:val="18"/>
                <w:szCs w:val="18"/>
              </w:rPr>
            </w:pPr>
            <w:r>
              <w:rPr>
                <w:sz w:val="18"/>
                <w:szCs w:val="18"/>
              </w:rPr>
              <w:t>314544,00</w:t>
            </w:r>
          </w:p>
        </w:tc>
      </w:tr>
      <w:tr w:rsidR="00B56301" w:rsidRPr="00CD6B25" w14:paraId="6AE1E78B"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E0BB38C" w14:textId="40B1183D"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51F3F6D2" w14:textId="77777777" w:rsidR="00B56301" w:rsidRPr="00CD6B25" w:rsidRDefault="00B56301" w:rsidP="00B37B65">
            <w:pPr>
              <w:jc w:val="right"/>
              <w:rPr>
                <w:rFonts w:ascii="Times New Roman" w:hAnsi="Times New Roman"/>
                <w:sz w:val="18"/>
                <w:szCs w:val="18"/>
              </w:rPr>
            </w:pPr>
            <w:r>
              <w:rPr>
                <w:sz w:val="18"/>
                <w:szCs w:val="18"/>
              </w:rPr>
              <w:t>59079,34</w:t>
            </w:r>
          </w:p>
        </w:tc>
        <w:tc>
          <w:tcPr>
            <w:tcW w:w="992" w:type="dxa"/>
            <w:tcBorders>
              <w:top w:val="nil"/>
              <w:left w:val="nil"/>
              <w:bottom w:val="single" w:sz="4" w:space="0" w:color="auto"/>
              <w:right w:val="single" w:sz="4" w:space="0" w:color="auto"/>
            </w:tcBorders>
            <w:shd w:val="clear" w:color="000000" w:fill="CCFFFF"/>
            <w:noWrap/>
            <w:vAlign w:val="bottom"/>
            <w:hideMark/>
          </w:tcPr>
          <w:p w14:paraId="1750C4F6" w14:textId="77777777" w:rsidR="00B56301" w:rsidRPr="00CD6B25" w:rsidRDefault="00B56301" w:rsidP="00B37B65">
            <w:pPr>
              <w:jc w:val="right"/>
              <w:rPr>
                <w:rFonts w:ascii="Times New Roman" w:hAnsi="Times New Roman"/>
                <w:sz w:val="18"/>
                <w:szCs w:val="18"/>
              </w:rPr>
            </w:pPr>
            <w:r>
              <w:rPr>
                <w:sz w:val="18"/>
                <w:szCs w:val="18"/>
              </w:rPr>
              <w:t>58786,53</w:t>
            </w:r>
          </w:p>
        </w:tc>
        <w:tc>
          <w:tcPr>
            <w:tcW w:w="992" w:type="dxa"/>
            <w:tcBorders>
              <w:top w:val="nil"/>
              <w:left w:val="nil"/>
              <w:bottom w:val="single" w:sz="4" w:space="0" w:color="auto"/>
              <w:right w:val="single" w:sz="4" w:space="0" w:color="auto"/>
            </w:tcBorders>
            <w:shd w:val="clear" w:color="000000" w:fill="CCFFFF"/>
            <w:noWrap/>
            <w:vAlign w:val="bottom"/>
            <w:hideMark/>
          </w:tcPr>
          <w:p w14:paraId="10A0CFB6" w14:textId="77777777" w:rsidR="00B56301" w:rsidRPr="00CD6B25" w:rsidRDefault="00B56301" w:rsidP="00B37B65">
            <w:pPr>
              <w:jc w:val="right"/>
              <w:rPr>
                <w:rFonts w:ascii="Times New Roman" w:hAnsi="Times New Roman"/>
                <w:sz w:val="18"/>
                <w:szCs w:val="18"/>
              </w:rPr>
            </w:pPr>
            <w:r>
              <w:rPr>
                <w:sz w:val="18"/>
                <w:szCs w:val="18"/>
              </w:rPr>
              <w:t>57862,11</w:t>
            </w:r>
          </w:p>
        </w:tc>
        <w:tc>
          <w:tcPr>
            <w:tcW w:w="992" w:type="dxa"/>
            <w:tcBorders>
              <w:top w:val="nil"/>
              <w:left w:val="nil"/>
              <w:bottom w:val="single" w:sz="4" w:space="0" w:color="auto"/>
              <w:right w:val="single" w:sz="4" w:space="0" w:color="auto"/>
            </w:tcBorders>
            <w:shd w:val="clear" w:color="000000" w:fill="CCFFFF"/>
            <w:noWrap/>
            <w:vAlign w:val="bottom"/>
            <w:hideMark/>
          </w:tcPr>
          <w:p w14:paraId="044D3164" w14:textId="77777777" w:rsidR="00B56301" w:rsidRPr="00CD6B25" w:rsidRDefault="00B56301" w:rsidP="00B37B65">
            <w:pPr>
              <w:jc w:val="right"/>
              <w:rPr>
                <w:rFonts w:ascii="Times New Roman" w:hAnsi="Times New Roman"/>
                <w:sz w:val="18"/>
                <w:szCs w:val="18"/>
              </w:rPr>
            </w:pPr>
            <w:r>
              <w:rPr>
                <w:sz w:val="18"/>
                <w:szCs w:val="18"/>
              </w:rPr>
              <w:t>57432,21</w:t>
            </w:r>
          </w:p>
        </w:tc>
        <w:tc>
          <w:tcPr>
            <w:tcW w:w="992" w:type="dxa"/>
            <w:tcBorders>
              <w:top w:val="nil"/>
              <w:left w:val="nil"/>
              <w:bottom w:val="single" w:sz="4" w:space="0" w:color="auto"/>
              <w:right w:val="single" w:sz="4" w:space="0" w:color="auto"/>
            </w:tcBorders>
            <w:shd w:val="clear" w:color="000000" w:fill="CCFFFF"/>
            <w:noWrap/>
            <w:vAlign w:val="bottom"/>
            <w:hideMark/>
          </w:tcPr>
          <w:p w14:paraId="206C8C9E" w14:textId="77777777" w:rsidR="00B56301" w:rsidRPr="00CD6B25" w:rsidRDefault="00B56301" w:rsidP="00B37B65">
            <w:pPr>
              <w:jc w:val="right"/>
              <w:rPr>
                <w:rFonts w:ascii="Times New Roman" w:hAnsi="Times New Roman"/>
                <w:sz w:val="18"/>
                <w:szCs w:val="18"/>
              </w:rPr>
            </w:pPr>
            <w:r>
              <w:rPr>
                <w:sz w:val="18"/>
                <w:szCs w:val="18"/>
              </w:rPr>
              <w:t>57010,64</w:t>
            </w:r>
          </w:p>
        </w:tc>
        <w:tc>
          <w:tcPr>
            <w:tcW w:w="992" w:type="dxa"/>
            <w:tcBorders>
              <w:top w:val="nil"/>
              <w:left w:val="nil"/>
              <w:bottom w:val="single" w:sz="4" w:space="0" w:color="auto"/>
              <w:right w:val="single" w:sz="4" w:space="0" w:color="auto"/>
            </w:tcBorders>
            <w:shd w:val="clear" w:color="000000" w:fill="CCFFFF"/>
            <w:noWrap/>
            <w:vAlign w:val="bottom"/>
            <w:hideMark/>
          </w:tcPr>
          <w:p w14:paraId="7F5B4137" w14:textId="77777777" w:rsidR="00B56301" w:rsidRPr="00CD6B25" w:rsidRDefault="00B56301" w:rsidP="00B37B65">
            <w:pPr>
              <w:jc w:val="right"/>
              <w:rPr>
                <w:rFonts w:ascii="Times New Roman" w:hAnsi="Times New Roman"/>
                <w:sz w:val="18"/>
                <w:szCs w:val="18"/>
              </w:rPr>
            </w:pPr>
            <w:r>
              <w:rPr>
                <w:sz w:val="18"/>
                <w:szCs w:val="18"/>
              </w:rPr>
              <w:t>56238,67</w:t>
            </w:r>
          </w:p>
        </w:tc>
      </w:tr>
      <w:tr w:rsidR="00B56301" w:rsidRPr="00CD6B25" w14:paraId="12B764B0"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77CB667" w14:textId="44B9DF68" w:rsidR="00B56301" w:rsidRPr="00CD6B25" w:rsidRDefault="007F09F7" w:rsidP="00B37B65">
            <w:pPr>
              <w:jc w:val="left"/>
              <w:rPr>
                <w:rFonts w:ascii="Times New Roman" w:hAnsi="Times New Roman"/>
                <w:sz w:val="18"/>
                <w:szCs w:val="18"/>
                <w:lang w:val="en-GB"/>
              </w:rPr>
            </w:pP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sidR="00260E0B">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066E97D0" w14:textId="77777777" w:rsidR="00B56301" w:rsidRPr="00CD6B25" w:rsidRDefault="00B56301" w:rsidP="00B37B65">
            <w:pPr>
              <w:jc w:val="right"/>
              <w:rPr>
                <w:rFonts w:ascii="Times New Roman" w:hAnsi="Times New Roman"/>
                <w:sz w:val="18"/>
                <w:szCs w:val="18"/>
              </w:rPr>
            </w:pPr>
            <w:r>
              <w:rPr>
                <w:sz w:val="18"/>
                <w:szCs w:val="18"/>
              </w:rPr>
              <w:t>60113,60</w:t>
            </w:r>
          </w:p>
        </w:tc>
        <w:tc>
          <w:tcPr>
            <w:tcW w:w="992" w:type="dxa"/>
            <w:tcBorders>
              <w:top w:val="nil"/>
              <w:left w:val="nil"/>
              <w:bottom w:val="single" w:sz="4" w:space="0" w:color="auto"/>
              <w:right w:val="single" w:sz="4" w:space="0" w:color="auto"/>
            </w:tcBorders>
            <w:shd w:val="clear" w:color="000000" w:fill="CCFFFF"/>
            <w:noWrap/>
            <w:vAlign w:val="bottom"/>
            <w:hideMark/>
          </w:tcPr>
          <w:p w14:paraId="5BC2CCEB" w14:textId="77777777" w:rsidR="00B56301" w:rsidRPr="00CD6B25" w:rsidRDefault="00B56301" w:rsidP="00B37B65">
            <w:pPr>
              <w:jc w:val="right"/>
              <w:rPr>
                <w:rFonts w:ascii="Times New Roman" w:hAnsi="Times New Roman"/>
                <w:sz w:val="18"/>
                <w:szCs w:val="18"/>
              </w:rPr>
            </w:pPr>
            <w:r>
              <w:rPr>
                <w:sz w:val="18"/>
                <w:szCs w:val="18"/>
              </w:rPr>
              <w:t>59864,18</w:t>
            </w:r>
          </w:p>
        </w:tc>
        <w:tc>
          <w:tcPr>
            <w:tcW w:w="992" w:type="dxa"/>
            <w:tcBorders>
              <w:top w:val="nil"/>
              <w:left w:val="nil"/>
              <w:bottom w:val="single" w:sz="4" w:space="0" w:color="auto"/>
              <w:right w:val="single" w:sz="4" w:space="0" w:color="auto"/>
            </w:tcBorders>
            <w:shd w:val="clear" w:color="000000" w:fill="CCFFFF"/>
            <w:noWrap/>
            <w:vAlign w:val="bottom"/>
            <w:hideMark/>
          </w:tcPr>
          <w:p w14:paraId="5B3C42B7" w14:textId="77777777" w:rsidR="00B56301" w:rsidRPr="00CD6B25" w:rsidRDefault="00B56301" w:rsidP="00B37B65">
            <w:pPr>
              <w:jc w:val="right"/>
              <w:rPr>
                <w:rFonts w:ascii="Times New Roman" w:hAnsi="Times New Roman"/>
                <w:sz w:val="18"/>
                <w:szCs w:val="18"/>
              </w:rPr>
            </w:pPr>
            <w:r>
              <w:rPr>
                <w:sz w:val="18"/>
                <w:szCs w:val="18"/>
              </w:rPr>
              <w:t>58939,84</w:t>
            </w:r>
          </w:p>
        </w:tc>
        <w:tc>
          <w:tcPr>
            <w:tcW w:w="992" w:type="dxa"/>
            <w:tcBorders>
              <w:top w:val="nil"/>
              <w:left w:val="nil"/>
              <w:bottom w:val="single" w:sz="4" w:space="0" w:color="auto"/>
              <w:right w:val="single" w:sz="4" w:space="0" w:color="auto"/>
            </w:tcBorders>
            <w:shd w:val="clear" w:color="000000" w:fill="CCFFFF"/>
            <w:noWrap/>
            <w:vAlign w:val="bottom"/>
            <w:hideMark/>
          </w:tcPr>
          <w:p w14:paraId="31D83D2C" w14:textId="77777777" w:rsidR="00B56301" w:rsidRPr="00CD6B25" w:rsidRDefault="00B56301" w:rsidP="00B37B65">
            <w:pPr>
              <w:jc w:val="right"/>
              <w:rPr>
                <w:rFonts w:ascii="Times New Roman" w:hAnsi="Times New Roman"/>
                <w:sz w:val="18"/>
                <w:szCs w:val="18"/>
              </w:rPr>
            </w:pPr>
            <w:r>
              <w:rPr>
                <w:sz w:val="18"/>
                <w:szCs w:val="18"/>
              </w:rPr>
              <w:t>58532,38</w:t>
            </w:r>
          </w:p>
        </w:tc>
        <w:tc>
          <w:tcPr>
            <w:tcW w:w="992" w:type="dxa"/>
            <w:tcBorders>
              <w:top w:val="nil"/>
              <w:left w:val="nil"/>
              <w:bottom w:val="single" w:sz="4" w:space="0" w:color="auto"/>
              <w:right w:val="single" w:sz="4" w:space="0" w:color="auto"/>
            </w:tcBorders>
            <w:shd w:val="clear" w:color="000000" w:fill="CCFFFF"/>
            <w:noWrap/>
            <w:vAlign w:val="bottom"/>
            <w:hideMark/>
          </w:tcPr>
          <w:p w14:paraId="4FAFA0E4" w14:textId="77777777" w:rsidR="00B56301" w:rsidRPr="00CD6B25" w:rsidRDefault="00B56301" w:rsidP="00B37B65">
            <w:pPr>
              <w:jc w:val="right"/>
              <w:rPr>
                <w:rFonts w:ascii="Times New Roman" w:hAnsi="Times New Roman"/>
                <w:sz w:val="18"/>
                <w:szCs w:val="18"/>
              </w:rPr>
            </w:pPr>
            <w:r>
              <w:rPr>
                <w:sz w:val="18"/>
                <w:szCs w:val="18"/>
              </w:rPr>
              <w:t>58136,06</w:t>
            </w:r>
          </w:p>
        </w:tc>
        <w:tc>
          <w:tcPr>
            <w:tcW w:w="992" w:type="dxa"/>
            <w:tcBorders>
              <w:top w:val="nil"/>
              <w:left w:val="nil"/>
              <w:bottom w:val="single" w:sz="4" w:space="0" w:color="auto"/>
              <w:right w:val="single" w:sz="4" w:space="0" w:color="auto"/>
            </w:tcBorders>
            <w:shd w:val="clear" w:color="000000" w:fill="CCFFFF"/>
            <w:noWrap/>
            <w:vAlign w:val="bottom"/>
            <w:hideMark/>
          </w:tcPr>
          <w:p w14:paraId="1FBC37DA" w14:textId="77777777" w:rsidR="00B56301" w:rsidRPr="00CD6B25" w:rsidRDefault="00B56301" w:rsidP="00B37B65">
            <w:pPr>
              <w:jc w:val="right"/>
              <w:rPr>
                <w:rFonts w:ascii="Times New Roman" w:hAnsi="Times New Roman"/>
                <w:sz w:val="18"/>
                <w:szCs w:val="18"/>
              </w:rPr>
            </w:pPr>
            <w:r>
              <w:rPr>
                <w:sz w:val="18"/>
                <w:szCs w:val="18"/>
              </w:rPr>
              <w:t>57353,99</w:t>
            </w:r>
          </w:p>
        </w:tc>
      </w:tr>
      <w:tr w:rsidR="00B56301" w:rsidRPr="00CD6B25" w14:paraId="6BC8153E"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09E7A26" w14:textId="7F190EB1"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7AC0BED8" w14:textId="77777777" w:rsidR="00B56301" w:rsidRPr="00CD6B25" w:rsidRDefault="00B56301" w:rsidP="00B37B65">
            <w:pPr>
              <w:jc w:val="right"/>
              <w:rPr>
                <w:rFonts w:ascii="Times New Roman" w:hAnsi="Times New Roman"/>
                <w:sz w:val="18"/>
                <w:szCs w:val="18"/>
              </w:rPr>
            </w:pPr>
            <w:r>
              <w:rPr>
                <w:sz w:val="18"/>
                <w:szCs w:val="18"/>
              </w:rPr>
              <w:t>38930,28</w:t>
            </w:r>
          </w:p>
        </w:tc>
        <w:tc>
          <w:tcPr>
            <w:tcW w:w="992" w:type="dxa"/>
            <w:tcBorders>
              <w:top w:val="nil"/>
              <w:left w:val="nil"/>
              <w:bottom w:val="single" w:sz="4" w:space="0" w:color="auto"/>
              <w:right w:val="single" w:sz="4" w:space="0" w:color="auto"/>
            </w:tcBorders>
            <w:shd w:val="clear" w:color="000000" w:fill="CCFFFF"/>
            <w:noWrap/>
            <w:vAlign w:val="bottom"/>
            <w:hideMark/>
          </w:tcPr>
          <w:p w14:paraId="4F6669C4" w14:textId="77777777" w:rsidR="00B56301" w:rsidRPr="00CD6B25" w:rsidRDefault="00B56301" w:rsidP="00B37B65">
            <w:pPr>
              <w:jc w:val="right"/>
              <w:rPr>
                <w:rFonts w:ascii="Times New Roman" w:hAnsi="Times New Roman"/>
                <w:sz w:val="18"/>
                <w:szCs w:val="18"/>
              </w:rPr>
            </w:pPr>
            <w:r>
              <w:rPr>
                <w:sz w:val="18"/>
                <w:szCs w:val="18"/>
              </w:rPr>
              <w:t>40062,96</w:t>
            </w:r>
          </w:p>
        </w:tc>
        <w:tc>
          <w:tcPr>
            <w:tcW w:w="992" w:type="dxa"/>
            <w:tcBorders>
              <w:top w:val="nil"/>
              <w:left w:val="nil"/>
              <w:bottom w:val="single" w:sz="4" w:space="0" w:color="auto"/>
              <w:right w:val="single" w:sz="4" w:space="0" w:color="auto"/>
            </w:tcBorders>
            <w:shd w:val="clear" w:color="000000" w:fill="CCFFFF"/>
            <w:noWrap/>
            <w:vAlign w:val="bottom"/>
            <w:hideMark/>
          </w:tcPr>
          <w:p w14:paraId="26F46370" w14:textId="77777777" w:rsidR="00B56301" w:rsidRPr="00CD6B25" w:rsidRDefault="00B56301" w:rsidP="00B37B65">
            <w:pPr>
              <w:jc w:val="right"/>
              <w:rPr>
                <w:rFonts w:ascii="Times New Roman" w:hAnsi="Times New Roman"/>
                <w:sz w:val="18"/>
                <w:szCs w:val="18"/>
              </w:rPr>
            </w:pPr>
            <w:r>
              <w:rPr>
                <w:sz w:val="18"/>
                <w:szCs w:val="18"/>
              </w:rPr>
              <w:t>39895,49</w:t>
            </w:r>
          </w:p>
        </w:tc>
        <w:tc>
          <w:tcPr>
            <w:tcW w:w="992" w:type="dxa"/>
            <w:tcBorders>
              <w:top w:val="nil"/>
              <w:left w:val="nil"/>
              <w:bottom w:val="single" w:sz="4" w:space="0" w:color="auto"/>
              <w:right w:val="single" w:sz="4" w:space="0" w:color="auto"/>
            </w:tcBorders>
            <w:shd w:val="clear" w:color="000000" w:fill="CCFFFF"/>
            <w:noWrap/>
            <w:vAlign w:val="bottom"/>
            <w:hideMark/>
          </w:tcPr>
          <w:p w14:paraId="0897945C" w14:textId="77777777" w:rsidR="00B56301" w:rsidRPr="00CD6B25" w:rsidRDefault="00B56301" w:rsidP="00B37B65">
            <w:pPr>
              <w:jc w:val="right"/>
              <w:rPr>
                <w:rFonts w:ascii="Times New Roman" w:hAnsi="Times New Roman"/>
                <w:sz w:val="18"/>
                <w:szCs w:val="18"/>
              </w:rPr>
            </w:pPr>
            <w:r>
              <w:rPr>
                <w:sz w:val="18"/>
                <w:szCs w:val="18"/>
              </w:rPr>
              <w:t>38789,93</w:t>
            </w:r>
          </w:p>
        </w:tc>
        <w:tc>
          <w:tcPr>
            <w:tcW w:w="992" w:type="dxa"/>
            <w:tcBorders>
              <w:top w:val="nil"/>
              <w:left w:val="nil"/>
              <w:bottom w:val="single" w:sz="4" w:space="0" w:color="auto"/>
              <w:right w:val="single" w:sz="4" w:space="0" w:color="auto"/>
            </w:tcBorders>
            <w:shd w:val="clear" w:color="000000" w:fill="CCFFFF"/>
            <w:noWrap/>
            <w:vAlign w:val="bottom"/>
            <w:hideMark/>
          </w:tcPr>
          <w:p w14:paraId="3A234AA4" w14:textId="77777777" w:rsidR="00B56301" w:rsidRPr="00CD6B25" w:rsidRDefault="00B56301" w:rsidP="00B37B65">
            <w:pPr>
              <w:jc w:val="right"/>
              <w:rPr>
                <w:rFonts w:ascii="Times New Roman" w:hAnsi="Times New Roman"/>
                <w:sz w:val="18"/>
                <w:szCs w:val="18"/>
              </w:rPr>
            </w:pPr>
            <w:r>
              <w:rPr>
                <w:sz w:val="18"/>
                <w:szCs w:val="18"/>
              </w:rPr>
              <w:t>40162,03</w:t>
            </w:r>
          </w:p>
        </w:tc>
        <w:tc>
          <w:tcPr>
            <w:tcW w:w="992" w:type="dxa"/>
            <w:tcBorders>
              <w:top w:val="nil"/>
              <w:left w:val="nil"/>
              <w:bottom w:val="single" w:sz="4" w:space="0" w:color="auto"/>
              <w:right w:val="single" w:sz="4" w:space="0" w:color="auto"/>
            </w:tcBorders>
            <w:shd w:val="clear" w:color="000000" w:fill="CCFFFF"/>
            <w:noWrap/>
            <w:vAlign w:val="bottom"/>
            <w:hideMark/>
          </w:tcPr>
          <w:p w14:paraId="76F33869" w14:textId="77777777" w:rsidR="00B56301" w:rsidRPr="00CD6B25" w:rsidRDefault="00B56301" w:rsidP="00B37B65">
            <w:pPr>
              <w:jc w:val="right"/>
              <w:rPr>
                <w:rFonts w:ascii="Times New Roman" w:hAnsi="Times New Roman"/>
                <w:sz w:val="18"/>
                <w:szCs w:val="18"/>
              </w:rPr>
            </w:pPr>
            <w:r>
              <w:rPr>
                <w:sz w:val="18"/>
                <w:szCs w:val="18"/>
              </w:rPr>
              <w:t>38500,05</w:t>
            </w:r>
          </w:p>
        </w:tc>
      </w:tr>
      <w:tr w:rsidR="00B56301" w:rsidRPr="00CD6B25" w14:paraId="032787D9"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75E3EA86" w14:textId="6C79D93D" w:rsidR="00B56301" w:rsidRPr="00CD6B25" w:rsidRDefault="00F80CAB" w:rsidP="00B37B65">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00B56301" w:rsidRPr="00CD6B25">
              <w:rPr>
                <w:rFonts w:ascii="Times New Roman" w:hAnsi="Times New Roman"/>
                <w:sz w:val="18"/>
                <w:szCs w:val="18"/>
                <w:lang w:val="en-GB"/>
              </w:rPr>
              <w:t>from LULUCF</w:t>
            </w:r>
          </w:p>
        </w:tc>
        <w:tc>
          <w:tcPr>
            <w:tcW w:w="992" w:type="dxa"/>
            <w:tcBorders>
              <w:top w:val="nil"/>
              <w:left w:val="nil"/>
              <w:bottom w:val="single" w:sz="4" w:space="0" w:color="auto"/>
              <w:right w:val="single" w:sz="4" w:space="0" w:color="auto"/>
            </w:tcBorders>
            <w:shd w:val="clear" w:color="000000" w:fill="CCFFFF"/>
            <w:noWrap/>
            <w:vAlign w:val="bottom"/>
            <w:hideMark/>
          </w:tcPr>
          <w:p w14:paraId="43A91263" w14:textId="77777777" w:rsidR="00B56301" w:rsidRPr="00CD6B25" w:rsidRDefault="00B56301" w:rsidP="00B37B65">
            <w:pPr>
              <w:jc w:val="right"/>
              <w:rPr>
                <w:rFonts w:ascii="Times New Roman" w:hAnsi="Times New Roman"/>
                <w:sz w:val="18"/>
                <w:szCs w:val="18"/>
              </w:rPr>
            </w:pPr>
            <w:r>
              <w:rPr>
                <w:sz w:val="18"/>
                <w:szCs w:val="18"/>
              </w:rPr>
              <w:t>41927,96</w:t>
            </w:r>
          </w:p>
        </w:tc>
        <w:tc>
          <w:tcPr>
            <w:tcW w:w="992" w:type="dxa"/>
            <w:tcBorders>
              <w:top w:val="nil"/>
              <w:left w:val="nil"/>
              <w:bottom w:val="single" w:sz="4" w:space="0" w:color="auto"/>
              <w:right w:val="single" w:sz="4" w:space="0" w:color="auto"/>
            </w:tcBorders>
            <w:shd w:val="clear" w:color="000000" w:fill="CCFFFF"/>
            <w:noWrap/>
            <w:vAlign w:val="bottom"/>
            <w:hideMark/>
          </w:tcPr>
          <w:p w14:paraId="4833359C" w14:textId="77777777" w:rsidR="00B56301" w:rsidRPr="00CD6B25" w:rsidRDefault="00B56301" w:rsidP="00B37B65">
            <w:pPr>
              <w:jc w:val="right"/>
              <w:rPr>
                <w:rFonts w:ascii="Times New Roman" w:hAnsi="Times New Roman"/>
                <w:sz w:val="18"/>
                <w:szCs w:val="18"/>
              </w:rPr>
            </w:pPr>
            <w:r>
              <w:rPr>
                <w:sz w:val="18"/>
                <w:szCs w:val="18"/>
              </w:rPr>
              <w:t>43034,40</w:t>
            </w:r>
          </w:p>
        </w:tc>
        <w:tc>
          <w:tcPr>
            <w:tcW w:w="992" w:type="dxa"/>
            <w:tcBorders>
              <w:top w:val="nil"/>
              <w:left w:val="nil"/>
              <w:bottom w:val="single" w:sz="4" w:space="0" w:color="auto"/>
              <w:right w:val="single" w:sz="4" w:space="0" w:color="auto"/>
            </w:tcBorders>
            <w:shd w:val="clear" w:color="000000" w:fill="CCFFFF"/>
            <w:noWrap/>
            <w:vAlign w:val="bottom"/>
            <w:hideMark/>
          </w:tcPr>
          <w:p w14:paraId="6F9C6CBF" w14:textId="77777777" w:rsidR="00B56301" w:rsidRPr="00CD6B25" w:rsidRDefault="00B56301" w:rsidP="00B37B65">
            <w:pPr>
              <w:jc w:val="right"/>
              <w:rPr>
                <w:rFonts w:ascii="Times New Roman" w:hAnsi="Times New Roman"/>
                <w:sz w:val="18"/>
                <w:szCs w:val="18"/>
              </w:rPr>
            </w:pPr>
            <w:r>
              <w:rPr>
                <w:sz w:val="18"/>
                <w:szCs w:val="18"/>
              </w:rPr>
              <w:t>42839,63</w:t>
            </w:r>
          </w:p>
        </w:tc>
        <w:tc>
          <w:tcPr>
            <w:tcW w:w="992" w:type="dxa"/>
            <w:tcBorders>
              <w:top w:val="nil"/>
              <w:left w:val="nil"/>
              <w:bottom w:val="single" w:sz="4" w:space="0" w:color="auto"/>
              <w:right w:val="single" w:sz="4" w:space="0" w:color="auto"/>
            </w:tcBorders>
            <w:shd w:val="clear" w:color="000000" w:fill="CCFFFF"/>
            <w:noWrap/>
            <w:vAlign w:val="bottom"/>
            <w:hideMark/>
          </w:tcPr>
          <w:p w14:paraId="5F04DBBD" w14:textId="77777777" w:rsidR="00B56301" w:rsidRPr="00CD6B25" w:rsidRDefault="00B56301" w:rsidP="00B37B65">
            <w:pPr>
              <w:jc w:val="right"/>
              <w:rPr>
                <w:rFonts w:ascii="Times New Roman" w:hAnsi="Times New Roman"/>
                <w:sz w:val="18"/>
                <w:szCs w:val="18"/>
              </w:rPr>
            </w:pPr>
            <w:r>
              <w:rPr>
                <w:sz w:val="18"/>
                <w:szCs w:val="18"/>
              </w:rPr>
              <w:t>41704,64</w:t>
            </w:r>
          </w:p>
        </w:tc>
        <w:tc>
          <w:tcPr>
            <w:tcW w:w="992" w:type="dxa"/>
            <w:tcBorders>
              <w:top w:val="nil"/>
              <w:left w:val="nil"/>
              <w:bottom w:val="single" w:sz="4" w:space="0" w:color="auto"/>
              <w:right w:val="single" w:sz="4" w:space="0" w:color="auto"/>
            </w:tcBorders>
            <w:shd w:val="clear" w:color="000000" w:fill="CCFFFF"/>
            <w:noWrap/>
            <w:vAlign w:val="bottom"/>
            <w:hideMark/>
          </w:tcPr>
          <w:p w14:paraId="586EC158" w14:textId="77777777" w:rsidR="00B56301" w:rsidRPr="00CD6B25" w:rsidRDefault="00B56301" w:rsidP="00B37B65">
            <w:pPr>
              <w:jc w:val="right"/>
              <w:rPr>
                <w:rFonts w:ascii="Times New Roman" w:hAnsi="Times New Roman"/>
                <w:sz w:val="18"/>
                <w:szCs w:val="18"/>
              </w:rPr>
            </w:pPr>
            <w:r>
              <w:rPr>
                <w:sz w:val="18"/>
                <w:szCs w:val="18"/>
              </w:rPr>
              <w:t>43061,13</w:t>
            </w:r>
          </w:p>
        </w:tc>
        <w:tc>
          <w:tcPr>
            <w:tcW w:w="992" w:type="dxa"/>
            <w:tcBorders>
              <w:top w:val="nil"/>
              <w:left w:val="nil"/>
              <w:bottom w:val="single" w:sz="4" w:space="0" w:color="auto"/>
              <w:right w:val="single" w:sz="4" w:space="0" w:color="auto"/>
            </w:tcBorders>
            <w:shd w:val="clear" w:color="000000" w:fill="CCFFFF"/>
            <w:noWrap/>
            <w:vAlign w:val="bottom"/>
            <w:hideMark/>
          </w:tcPr>
          <w:p w14:paraId="2BFC2516" w14:textId="77777777" w:rsidR="00B56301" w:rsidRPr="00CD6B25" w:rsidRDefault="00B56301" w:rsidP="00B37B65">
            <w:pPr>
              <w:jc w:val="right"/>
              <w:rPr>
                <w:rFonts w:ascii="Times New Roman" w:hAnsi="Times New Roman"/>
                <w:sz w:val="18"/>
                <w:szCs w:val="18"/>
              </w:rPr>
            </w:pPr>
            <w:r>
              <w:rPr>
                <w:sz w:val="18"/>
                <w:szCs w:val="18"/>
              </w:rPr>
              <w:t>41362,67</w:t>
            </w:r>
          </w:p>
        </w:tc>
      </w:tr>
      <w:tr w:rsidR="00B56301" w:rsidRPr="00CD6B25" w14:paraId="56500D18"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E9354EB"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HFCs</w:t>
            </w:r>
          </w:p>
        </w:tc>
        <w:tc>
          <w:tcPr>
            <w:tcW w:w="992" w:type="dxa"/>
            <w:tcBorders>
              <w:top w:val="nil"/>
              <w:left w:val="nil"/>
              <w:bottom w:val="single" w:sz="4" w:space="0" w:color="auto"/>
              <w:right w:val="single" w:sz="4" w:space="0" w:color="auto"/>
            </w:tcBorders>
            <w:shd w:val="clear" w:color="000000" w:fill="CCFFFF"/>
            <w:noWrap/>
            <w:vAlign w:val="bottom"/>
            <w:hideMark/>
          </w:tcPr>
          <w:p w14:paraId="152D80FC" w14:textId="77777777" w:rsidR="00B56301" w:rsidRPr="00CD6B25" w:rsidRDefault="00B56301" w:rsidP="00B37B65">
            <w:pPr>
              <w:jc w:val="right"/>
              <w:rPr>
                <w:rFonts w:ascii="Times New Roman" w:hAnsi="Times New Roman"/>
                <w:sz w:val="18"/>
                <w:szCs w:val="18"/>
              </w:rPr>
            </w:pPr>
            <w:r>
              <w:rPr>
                <w:sz w:val="18"/>
                <w:szCs w:val="18"/>
              </w:rPr>
              <w:t>17771,58</w:t>
            </w:r>
          </w:p>
        </w:tc>
        <w:tc>
          <w:tcPr>
            <w:tcW w:w="992" w:type="dxa"/>
            <w:tcBorders>
              <w:top w:val="nil"/>
              <w:left w:val="nil"/>
              <w:bottom w:val="single" w:sz="4" w:space="0" w:color="auto"/>
              <w:right w:val="single" w:sz="4" w:space="0" w:color="auto"/>
            </w:tcBorders>
            <w:shd w:val="clear" w:color="000000" w:fill="CCFFFF"/>
            <w:noWrap/>
            <w:vAlign w:val="bottom"/>
            <w:hideMark/>
          </w:tcPr>
          <w:p w14:paraId="0DBA0437" w14:textId="77777777" w:rsidR="00B56301" w:rsidRPr="00CD6B25" w:rsidRDefault="00B56301" w:rsidP="00B37B65">
            <w:pPr>
              <w:jc w:val="right"/>
              <w:rPr>
                <w:rFonts w:ascii="Times New Roman" w:hAnsi="Times New Roman"/>
                <w:sz w:val="18"/>
                <w:szCs w:val="18"/>
              </w:rPr>
            </w:pPr>
            <w:r>
              <w:rPr>
                <w:sz w:val="18"/>
                <w:szCs w:val="18"/>
              </w:rPr>
              <w:t>17661,76</w:t>
            </w:r>
          </w:p>
        </w:tc>
        <w:tc>
          <w:tcPr>
            <w:tcW w:w="992" w:type="dxa"/>
            <w:tcBorders>
              <w:top w:val="nil"/>
              <w:left w:val="nil"/>
              <w:bottom w:val="single" w:sz="4" w:space="0" w:color="auto"/>
              <w:right w:val="single" w:sz="4" w:space="0" w:color="auto"/>
            </w:tcBorders>
            <w:shd w:val="clear" w:color="000000" w:fill="CCFFFF"/>
            <w:noWrap/>
            <w:vAlign w:val="bottom"/>
            <w:hideMark/>
          </w:tcPr>
          <w:p w14:paraId="34405C17" w14:textId="77777777" w:rsidR="00B56301" w:rsidRPr="00CD6B25" w:rsidRDefault="00B56301" w:rsidP="00B37B65">
            <w:pPr>
              <w:jc w:val="right"/>
              <w:rPr>
                <w:rFonts w:ascii="Times New Roman" w:hAnsi="Times New Roman"/>
                <w:sz w:val="18"/>
                <w:szCs w:val="18"/>
              </w:rPr>
            </w:pPr>
            <w:r>
              <w:rPr>
                <w:sz w:val="18"/>
                <w:szCs w:val="18"/>
              </w:rPr>
              <w:t>17494,30</w:t>
            </w:r>
          </w:p>
        </w:tc>
        <w:tc>
          <w:tcPr>
            <w:tcW w:w="992" w:type="dxa"/>
            <w:tcBorders>
              <w:top w:val="nil"/>
              <w:left w:val="nil"/>
              <w:bottom w:val="single" w:sz="4" w:space="0" w:color="auto"/>
              <w:right w:val="single" w:sz="4" w:space="0" w:color="auto"/>
            </w:tcBorders>
            <w:shd w:val="clear" w:color="000000" w:fill="CCFFFF"/>
            <w:noWrap/>
            <w:vAlign w:val="bottom"/>
            <w:hideMark/>
          </w:tcPr>
          <w:p w14:paraId="2419BB58" w14:textId="77777777" w:rsidR="00B56301" w:rsidRPr="00CD6B25" w:rsidRDefault="00B56301" w:rsidP="00B37B65">
            <w:pPr>
              <w:jc w:val="right"/>
              <w:rPr>
                <w:rFonts w:ascii="Times New Roman" w:hAnsi="Times New Roman"/>
                <w:sz w:val="18"/>
                <w:szCs w:val="18"/>
              </w:rPr>
            </w:pPr>
            <w:r>
              <w:rPr>
                <w:sz w:val="18"/>
                <w:szCs w:val="18"/>
              </w:rPr>
              <w:t>17205,17</w:t>
            </w:r>
          </w:p>
        </w:tc>
        <w:tc>
          <w:tcPr>
            <w:tcW w:w="992" w:type="dxa"/>
            <w:tcBorders>
              <w:top w:val="nil"/>
              <w:left w:val="nil"/>
              <w:bottom w:val="single" w:sz="4" w:space="0" w:color="auto"/>
              <w:right w:val="single" w:sz="4" w:space="0" w:color="auto"/>
            </w:tcBorders>
            <w:shd w:val="clear" w:color="000000" w:fill="CCFFFF"/>
            <w:noWrap/>
            <w:vAlign w:val="bottom"/>
            <w:hideMark/>
          </w:tcPr>
          <w:p w14:paraId="0A34E268" w14:textId="77777777" w:rsidR="00B56301" w:rsidRPr="00CD6B25" w:rsidRDefault="00B56301" w:rsidP="00B37B65">
            <w:pPr>
              <w:jc w:val="right"/>
              <w:rPr>
                <w:rFonts w:ascii="Times New Roman" w:hAnsi="Times New Roman"/>
                <w:sz w:val="18"/>
                <w:szCs w:val="18"/>
              </w:rPr>
            </w:pPr>
            <w:r>
              <w:rPr>
                <w:sz w:val="18"/>
                <w:szCs w:val="18"/>
              </w:rPr>
              <w:t>16637,22</w:t>
            </w:r>
          </w:p>
        </w:tc>
        <w:tc>
          <w:tcPr>
            <w:tcW w:w="992" w:type="dxa"/>
            <w:tcBorders>
              <w:top w:val="nil"/>
              <w:left w:val="nil"/>
              <w:bottom w:val="single" w:sz="4" w:space="0" w:color="auto"/>
              <w:right w:val="single" w:sz="4" w:space="0" w:color="auto"/>
            </w:tcBorders>
            <w:shd w:val="clear" w:color="000000" w:fill="CCFFFF"/>
            <w:noWrap/>
            <w:vAlign w:val="bottom"/>
            <w:hideMark/>
          </w:tcPr>
          <w:p w14:paraId="29DE758B" w14:textId="77777777" w:rsidR="00B56301" w:rsidRPr="00CD6B25" w:rsidRDefault="00B56301" w:rsidP="00B37B65">
            <w:pPr>
              <w:jc w:val="right"/>
              <w:rPr>
                <w:rFonts w:ascii="Times New Roman" w:hAnsi="Times New Roman"/>
                <w:sz w:val="18"/>
                <w:szCs w:val="18"/>
              </w:rPr>
            </w:pPr>
            <w:r>
              <w:rPr>
                <w:sz w:val="18"/>
                <w:szCs w:val="18"/>
              </w:rPr>
              <w:t>14847,44</w:t>
            </w:r>
          </w:p>
        </w:tc>
      </w:tr>
      <w:tr w:rsidR="00B56301" w:rsidRPr="00CD6B25" w14:paraId="461C9724"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8132304" w14:textId="77777777" w:rsidR="00B56301" w:rsidRPr="00CD6B25" w:rsidRDefault="00B56301" w:rsidP="00B37B65">
            <w:pPr>
              <w:jc w:val="left"/>
              <w:rPr>
                <w:rFonts w:ascii="Times New Roman" w:hAnsi="Times New Roman"/>
                <w:sz w:val="18"/>
                <w:szCs w:val="18"/>
              </w:rPr>
            </w:pPr>
            <w:r w:rsidRPr="00CD6B25">
              <w:rPr>
                <w:rFonts w:ascii="Times New Roman" w:hAnsi="Times New Roman"/>
                <w:sz w:val="18"/>
                <w:szCs w:val="18"/>
              </w:rPr>
              <w:t>PFCs</w:t>
            </w:r>
          </w:p>
        </w:tc>
        <w:tc>
          <w:tcPr>
            <w:tcW w:w="992" w:type="dxa"/>
            <w:tcBorders>
              <w:top w:val="nil"/>
              <w:left w:val="nil"/>
              <w:bottom w:val="single" w:sz="4" w:space="0" w:color="auto"/>
              <w:right w:val="single" w:sz="4" w:space="0" w:color="auto"/>
            </w:tcBorders>
            <w:shd w:val="clear" w:color="000000" w:fill="CCFFFF"/>
            <w:noWrap/>
            <w:vAlign w:val="bottom"/>
            <w:hideMark/>
          </w:tcPr>
          <w:p w14:paraId="71332D5D" w14:textId="77777777" w:rsidR="00B56301" w:rsidRPr="00CD6B25" w:rsidRDefault="00B56301" w:rsidP="00B37B65">
            <w:pPr>
              <w:jc w:val="right"/>
              <w:rPr>
                <w:rFonts w:ascii="Times New Roman" w:hAnsi="Times New Roman"/>
                <w:sz w:val="18"/>
                <w:szCs w:val="18"/>
              </w:rPr>
            </w:pPr>
            <w:r>
              <w:rPr>
                <w:sz w:val="18"/>
                <w:szCs w:val="18"/>
              </w:rPr>
              <w:t>670,50</w:t>
            </w:r>
          </w:p>
        </w:tc>
        <w:tc>
          <w:tcPr>
            <w:tcW w:w="992" w:type="dxa"/>
            <w:tcBorders>
              <w:top w:val="nil"/>
              <w:left w:val="nil"/>
              <w:bottom w:val="single" w:sz="4" w:space="0" w:color="auto"/>
              <w:right w:val="single" w:sz="4" w:space="0" w:color="auto"/>
            </w:tcBorders>
            <w:shd w:val="clear" w:color="000000" w:fill="CCFFFF"/>
            <w:noWrap/>
            <w:vAlign w:val="bottom"/>
            <w:hideMark/>
          </w:tcPr>
          <w:p w14:paraId="53602B9D" w14:textId="77777777" w:rsidR="00B56301" w:rsidRPr="00CD6B25" w:rsidRDefault="00B56301" w:rsidP="00B37B65">
            <w:pPr>
              <w:jc w:val="right"/>
              <w:rPr>
                <w:rFonts w:ascii="Times New Roman" w:hAnsi="Times New Roman"/>
                <w:sz w:val="18"/>
                <w:szCs w:val="18"/>
              </w:rPr>
            </w:pPr>
            <w:r>
              <w:rPr>
                <w:sz w:val="18"/>
                <w:szCs w:val="18"/>
              </w:rPr>
              <w:t>615,88</w:t>
            </w:r>
          </w:p>
        </w:tc>
        <w:tc>
          <w:tcPr>
            <w:tcW w:w="992" w:type="dxa"/>
            <w:tcBorders>
              <w:top w:val="nil"/>
              <w:left w:val="nil"/>
              <w:bottom w:val="single" w:sz="4" w:space="0" w:color="auto"/>
              <w:right w:val="single" w:sz="4" w:space="0" w:color="auto"/>
            </w:tcBorders>
            <w:shd w:val="clear" w:color="000000" w:fill="CCFFFF"/>
            <w:noWrap/>
            <w:vAlign w:val="bottom"/>
            <w:hideMark/>
          </w:tcPr>
          <w:p w14:paraId="2B76165B" w14:textId="77777777" w:rsidR="00B56301" w:rsidRPr="00CD6B25" w:rsidRDefault="00B56301" w:rsidP="00B37B65">
            <w:pPr>
              <w:jc w:val="right"/>
              <w:rPr>
                <w:rFonts w:ascii="Times New Roman" w:hAnsi="Times New Roman"/>
                <w:sz w:val="18"/>
                <w:szCs w:val="18"/>
              </w:rPr>
            </w:pPr>
            <w:r>
              <w:rPr>
                <w:sz w:val="18"/>
                <w:szCs w:val="18"/>
              </w:rPr>
              <w:t>536,57</w:t>
            </w:r>
          </w:p>
        </w:tc>
        <w:tc>
          <w:tcPr>
            <w:tcW w:w="992" w:type="dxa"/>
            <w:tcBorders>
              <w:top w:val="nil"/>
              <w:left w:val="nil"/>
              <w:bottom w:val="single" w:sz="4" w:space="0" w:color="auto"/>
              <w:right w:val="single" w:sz="4" w:space="0" w:color="auto"/>
            </w:tcBorders>
            <w:shd w:val="clear" w:color="000000" w:fill="CCFFFF"/>
            <w:noWrap/>
            <w:vAlign w:val="bottom"/>
            <w:hideMark/>
          </w:tcPr>
          <w:p w14:paraId="6C445F3F" w14:textId="77777777" w:rsidR="00B56301" w:rsidRPr="00CD6B25" w:rsidRDefault="00B56301" w:rsidP="00B37B65">
            <w:pPr>
              <w:jc w:val="right"/>
              <w:rPr>
                <w:rFonts w:ascii="Times New Roman" w:hAnsi="Times New Roman"/>
                <w:sz w:val="18"/>
                <w:szCs w:val="18"/>
              </w:rPr>
            </w:pPr>
            <w:r>
              <w:rPr>
                <w:sz w:val="18"/>
                <w:szCs w:val="18"/>
              </w:rPr>
              <w:t>666,01</w:t>
            </w:r>
          </w:p>
        </w:tc>
        <w:tc>
          <w:tcPr>
            <w:tcW w:w="992" w:type="dxa"/>
            <w:tcBorders>
              <w:top w:val="nil"/>
              <w:left w:val="nil"/>
              <w:bottom w:val="single" w:sz="4" w:space="0" w:color="auto"/>
              <w:right w:val="single" w:sz="4" w:space="0" w:color="auto"/>
            </w:tcBorders>
            <w:shd w:val="clear" w:color="000000" w:fill="CCFFFF"/>
            <w:noWrap/>
            <w:vAlign w:val="bottom"/>
            <w:hideMark/>
          </w:tcPr>
          <w:p w14:paraId="1606EAF3" w14:textId="77777777" w:rsidR="00B56301" w:rsidRPr="00CD6B25" w:rsidRDefault="00B56301" w:rsidP="00B37B65">
            <w:pPr>
              <w:jc w:val="right"/>
              <w:rPr>
                <w:rFonts w:ascii="Times New Roman" w:hAnsi="Times New Roman"/>
                <w:sz w:val="18"/>
                <w:szCs w:val="18"/>
              </w:rPr>
            </w:pPr>
            <w:r>
              <w:rPr>
                <w:sz w:val="18"/>
                <w:szCs w:val="18"/>
              </w:rPr>
              <w:t>707,68</w:t>
            </w:r>
          </w:p>
        </w:tc>
        <w:tc>
          <w:tcPr>
            <w:tcW w:w="992" w:type="dxa"/>
            <w:tcBorders>
              <w:top w:val="nil"/>
              <w:left w:val="nil"/>
              <w:bottom w:val="single" w:sz="4" w:space="0" w:color="auto"/>
              <w:right w:val="single" w:sz="4" w:space="0" w:color="auto"/>
            </w:tcBorders>
            <w:shd w:val="clear" w:color="000000" w:fill="CCFFFF"/>
            <w:noWrap/>
            <w:vAlign w:val="bottom"/>
            <w:hideMark/>
          </w:tcPr>
          <w:p w14:paraId="227037E2" w14:textId="77777777" w:rsidR="00B56301" w:rsidRPr="00CD6B25" w:rsidRDefault="00B56301" w:rsidP="00B37B65">
            <w:pPr>
              <w:jc w:val="right"/>
              <w:rPr>
                <w:rFonts w:ascii="Times New Roman" w:hAnsi="Times New Roman"/>
                <w:sz w:val="18"/>
                <w:szCs w:val="18"/>
              </w:rPr>
            </w:pPr>
            <w:r>
              <w:rPr>
                <w:sz w:val="18"/>
                <w:szCs w:val="18"/>
              </w:rPr>
              <w:t>676,73</w:t>
            </w:r>
          </w:p>
        </w:tc>
      </w:tr>
      <w:tr w:rsidR="00B56301" w:rsidRPr="00CD6B25" w14:paraId="59DB765D"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1DF2934" w14:textId="77777777" w:rsidR="00B56301" w:rsidRPr="00CD6B25" w:rsidRDefault="00B56301" w:rsidP="00B37B65">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992" w:type="dxa"/>
            <w:tcBorders>
              <w:top w:val="nil"/>
              <w:left w:val="nil"/>
              <w:bottom w:val="single" w:sz="4" w:space="0" w:color="auto"/>
              <w:right w:val="single" w:sz="4" w:space="0" w:color="auto"/>
            </w:tcBorders>
            <w:shd w:val="clear" w:color="000000" w:fill="CCFFFF"/>
            <w:noWrap/>
            <w:vAlign w:val="bottom"/>
            <w:hideMark/>
          </w:tcPr>
          <w:p w14:paraId="793C83A8"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2193C715"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D493EA1"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3DF483B3"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686D425E" w14:textId="77777777" w:rsidR="00B56301" w:rsidRPr="00CD6B25" w:rsidRDefault="00B56301" w:rsidP="00B37B65">
            <w:pPr>
              <w:jc w:val="right"/>
              <w:rPr>
                <w:rFonts w:ascii="Times New Roman" w:hAnsi="Times New Roman"/>
                <w:sz w:val="18"/>
                <w:szCs w:val="18"/>
              </w:rPr>
            </w:pPr>
            <w:r>
              <w:rPr>
                <w:sz w:val="18"/>
                <w:szCs w:val="18"/>
              </w:rPr>
              <w:t>NO,NA</w:t>
            </w:r>
          </w:p>
        </w:tc>
        <w:tc>
          <w:tcPr>
            <w:tcW w:w="992" w:type="dxa"/>
            <w:tcBorders>
              <w:top w:val="nil"/>
              <w:left w:val="nil"/>
              <w:bottom w:val="single" w:sz="4" w:space="0" w:color="auto"/>
              <w:right w:val="single" w:sz="4" w:space="0" w:color="auto"/>
            </w:tcBorders>
            <w:shd w:val="clear" w:color="000000" w:fill="CCFFFF"/>
            <w:noWrap/>
            <w:vAlign w:val="bottom"/>
            <w:hideMark/>
          </w:tcPr>
          <w:p w14:paraId="4297EFE8" w14:textId="77777777" w:rsidR="00B56301" w:rsidRPr="00CD6B25" w:rsidRDefault="00B56301" w:rsidP="00B37B65">
            <w:pPr>
              <w:jc w:val="right"/>
              <w:rPr>
                <w:rFonts w:ascii="Times New Roman" w:hAnsi="Times New Roman"/>
                <w:sz w:val="18"/>
                <w:szCs w:val="18"/>
              </w:rPr>
            </w:pPr>
            <w:r>
              <w:rPr>
                <w:sz w:val="18"/>
                <w:szCs w:val="18"/>
              </w:rPr>
              <w:t>NO,NA</w:t>
            </w:r>
          </w:p>
        </w:tc>
      </w:tr>
      <w:tr w:rsidR="00B56301" w:rsidRPr="00CD6B25" w14:paraId="56ACE6C4"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358BAE1" w14:textId="475DBCDE" w:rsidR="00B56301" w:rsidRPr="00CD6B25" w:rsidRDefault="007F09F7" w:rsidP="00B37B65">
            <w:pPr>
              <w:jc w:val="left"/>
              <w:rPr>
                <w:rFonts w:ascii="Times New Roman" w:hAnsi="Times New Roman"/>
                <w:sz w:val="18"/>
                <w:szCs w:val="18"/>
              </w:rPr>
            </w:pPr>
            <w:r>
              <w:t>SF</w:t>
            </w:r>
            <w:r w:rsidRPr="007F09F7">
              <w:rPr>
                <w:vertAlign w:val="subscript"/>
              </w:rPr>
              <w:t>6</w:t>
            </w:r>
          </w:p>
        </w:tc>
        <w:tc>
          <w:tcPr>
            <w:tcW w:w="992" w:type="dxa"/>
            <w:tcBorders>
              <w:top w:val="nil"/>
              <w:left w:val="nil"/>
              <w:bottom w:val="single" w:sz="4" w:space="0" w:color="auto"/>
              <w:right w:val="single" w:sz="4" w:space="0" w:color="auto"/>
            </w:tcBorders>
            <w:shd w:val="clear" w:color="000000" w:fill="CCFFFF"/>
            <w:noWrap/>
            <w:vAlign w:val="bottom"/>
            <w:hideMark/>
          </w:tcPr>
          <w:p w14:paraId="0E063590" w14:textId="77777777" w:rsidR="00B56301" w:rsidRPr="00CD6B25" w:rsidRDefault="00B56301" w:rsidP="00B37B65">
            <w:pPr>
              <w:jc w:val="right"/>
              <w:rPr>
                <w:rFonts w:ascii="Times New Roman" w:hAnsi="Times New Roman"/>
                <w:sz w:val="18"/>
                <w:szCs w:val="18"/>
              </w:rPr>
            </w:pPr>
            <w:r>
              <w:rPr>
                <w:sz w:val="18"/>
                <w:szCs w:val="18"/>
              </w:rPr>
              <w:t>583,57</w:t>
            </w:r>
          </w:p>
        </w:tc>
        <w:tc>
          <w:tcPr>
            <w:tcW w:w="992" w:type="dxa"/>
            <w:tcBorders>
              <w:top w:val="nil"/>
              <w:left w:val="nil"/>
              <w:bottom w:val="single" w:sz="4" w:space="0" w:color="auto"/>
              <w:right w:val="single" w:sz="4" w:space="0" w:color="auto"/>
            </w:tcBorders>
            <w:shd w:val="clear" w:color="000000" w:fill="CCFFFF"/>
            <w:noWrap/>
            <w:vAlign w:val="bottom"/>
            <w:hideMark/>
          </w:tcPr>
          <w:p w14:paraId="1F419767" w14:textId="77777777" w:rsidR="00B56301" w:rsidRPr="00CD6B25" w:rsidRDefault="00B56301" w:rsidP="00B37B65">
            <w:pPr>
              <w:jc w:val="right"/>
              <w:rPr>
                <w:rFonts w:ascii="Times New Roman" w:hAnsi="Times New Roman"/>
                <w:sz w:val="18"/>
                <w:szCs w:val="18"/>
              </w:rPr>
            </w:pPr>
            <w:r>
              <w:rPr>
                <w:sz w:val="18"/>
                <w:szCs w:val="18"/>
              </w:rPr>
              <w:t>474,26</w:t>
            </w:r>
          </w:p>
        </w:tc>
        <w:tc>
          <w:tcPr>
            <w:tcW w:w="992" w:type="dxa"/>
            <w:tcBorders>
              <w:top w:val="nil"/>
              <w:left w:val="nil"/>
              <w:bottom w:val="single" w:sz="4" w:space="0" w:color="auto"/>
              <w:right w:val="single" w:sz="4" w:space="0" w:color="auto"/>
            </w:tcBorders>
            <w:shd w:val="clear" w:color="000000" w:fill="CCFFFF"/>
            <w:noWrap/>
            <w:vAlign w:val="bottom"/>
            <w:hideMark/>
          </w:tcPr>
          <w:p w14:paraId="325A05D6" w14:textId="77777777" w:rsidR="00B56301" w:rsidRPr="00CD6B25" w:rsidRDefault="00B56301" w:rsidP="00B37B65">
            <w:pPr>
              <w:jc w:val="right"/>
              <w:rPr>
                <w:rFonts w:ascii="Times New Roman" w:hAnsi="Times New Roman"/>
                <w:sz w:val="18"/>
                <w:szCs w:val="18"/>
              </w:rPr>
            </w:pPr>
            <w:r>
              <w:rPr>
                <w:sz w:val="18"/>
                <w:szCs w:val="18"/>
              </w:rPr>
              <w:t>498,11</w:t>
            </w:r>
          </w:p>
        </w:tc>
        <w:tc>
          <w:tcPr>
            <w:tcW w:w="992" w:type="dxa"/>
            <w:tcBorders>
              <w:top w:val="nil"/>
              <w:left w:val="nil"/>
              <w:bottom w:val="single" w:sz="4" w:space="0" w:color="auto"/>
              <w:right w:val="single" w:sz="4" w:space="0" w:color="auto"/>
            </w:tcBorders>
            <w:shd w:val="clear" w:color="000000" w:fill="CCFFFF"/>
            <w:noWrap/>
            <w:vAlign w:val="bottom"/>
            <w:hideMark/>
          </w:tcPr>
          <w:p w14:paraId="429EBE28" w14:textId="77777777" w:rsidR="00B56301" w:rsidRPr="00CD6B25" w:rsidRDefault="00B56301" w:rsidP="00B37B65">
            <w:pPr>
              <w:jc w:val="right"/>
              <w:rPr>
                <w:rFonts w:ascii="Times New Roman" w:hAnsi="Times New Roman"/>
                <w:sz w:val="18"/>
                <w:szCs w:val="18"/>
              </w:rPr>
            </w:pPr>
            <w:r>
              <w:rPr>
                <w:sz w:val="18"/>
                <w:szCs w:val="18"/>
              </w:rPr>
              <w:t>506,58</w:t>
            </w:r>
          </w:p>
        </w:tc>
        <w:tc>
          <w:tcPr>
            <w:tcW w:w="992" w:type="dxa"/>
            <w:tcBorders>
              <w:top w:val="nil"/>
              <w:left w:val="nil"/>
              <w:bottom w:val="single" w:sz="4" w:space="0" w:color="auto"/>
              <w:right w:val="single" w:sz="4" w:space="0" w:color="auto"/>
            </w:tcBorders>
            <w:shd w:val="clear" w:color="000000" w:fill="CCFFFF"/>
            <w:noWrap/>
            <w:vAlign w:val="bottom"/>
            <w:hideMark/>
          </w:tcPr>
          <w:p w14:paraId="5EF1CF15" w14:textId="77777777" w:rsidR="00B56301" w:rsidRPr="00CD6B25" w:rsidRDefault="00B56301" w:rsidP="00B37B65">
            <w:pPr>
              <w:jc w:val="right"/>
              <w:rPr>
                <w:rFonts w:ascii="Times New Roman" w:hAnsi="Times New Roman"/>
                <w:sz w:val="18"/>
                <w:szCs w:val="18"/>
              </w:rPr>
            </w:pPr>
            <w:r>
              <w:rPr>
                <w:sz w:val="18"/>
                <w:szCs w:val="18"/>
              </w:rPr>
              <w:t>461,05</w:t>
            </w:r>
          </w:p>
        </w:tc>
        <w:tc>
          <w:tcPr>
            <w:tcW w:w="992" w:type="dxa"/>
            <w:tcBorders>
              <w:top w:val="nil"/>
              <w:left w:val="nil"/>
              <w:bottom w:val="single" w:sz="4" w:space="0" w:color="auto"/>
              <w:right w:val="single" w:sz="4" w:space="0" w:color="auto"/>
            </w:tcBorders>
            <w:shd w:val="clear" w:color="000000" w:fill="CCFFFF"/>
            <w:noWrap/>
            <w:vAlign w:val="bottom"/>
            <w:hideMark/>
          </w:tcPr>
          <w:p w14:paraId="7DA24E90" w14:textId="77777777" w:rsidR="00B56301" w:rsidRPr="00CD6B25" w:rsidRDefault="00B56301" w:rsidP="00B37B65">
            <w:pPr>
              <w:jc w:val="right"/>
              <w:rPr>
                <w:rFonts w:ascii="Times New Roman" w:hAnsi="Times New Roman"/>
                <w:sz w:val="18"/>
                <w:szCs w:val="18"/>
              </w:rPr>
            </w:pPr>
            <w:r>
              <w:rPr>
                <w:sz w:val="18"/>
                <w:szCs w:val="18"/>
              </w:rPr>
              <w:t>432,82</w:t>
            </w:r>
          </w:p>
        </w:tc>
      </w:tr>
      <w:tr w:rsidR="00B56301" w:rsidRPr="00CD6B25" w14:paraId="63786C78" w14:textId="77777777" w:rsidTr="00B37B65">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421DE22B" w14:textId="0CCA6E69" w:rsidR="00B56301" w:rsidRPr="00CD6B25" w:rsidRDefault="007F09F7" w:rsidP="00B37B65">
            <w:pPr>
              <w:jc w:val="left"/>
              <w:rPr>
                <w:rFonts w:ascii="Times New Roman" w:hAnsi="Times New Roman"/>
                <w:sz w:val="18"/>
                <w:szCs w:val="18"/>
              </w:rPr>
            </w:pPr>
            <w:r>
              <w:rPr>
                <w:sz w:val="18"/>
              </w:rPr>
              <w:t>NF</w:t>
            </w:r>
            <w:r w:rsidRPr="007F09F7">
              <w:rPr>
                <w:sz w:val="18"/>
                <w:vertAlign w:val="subscript"/>
              </w:rPr>
              <w:t>3</w:t>
            </w:r>
          </w:p>
        </w:tc>
        <w:tc>
          <w:tcPr>
            <w:tcW w:w="992" w:type="dxa"/>
            <w:tcBorders>
              <w:top w:val="nil"/>
              <w:left w:val="nil"/>
              <w:bottom w:val="single" w:sz="4" w:space="0" w:color="auto"/>
              <w:right w:val="single" w:sz="4" w:space="0" w:color="auto"/>
            </w:tcBorders>
            <w:shd w:val="clear" w:color="000000" w:fill="CCFFFF"/>
            <w:noWrap/>
            <w:vAlign w:val="bottom"/>
            <w:hideMark/>
          </w:tcPr>
          <w:p w14:paraId="0F7A53DB" w14:textId="77777777" w:rsidR="00B56301" w:rsidRPr="00CD6B25" w:rsidRDefault="00B56301" w:rsidP="00B37B65">
            <w:pPr>
              <w:jc w:val="right"/>
              <w:rPr>
                <w:rFonts w:ascii="Times New Roman" w:hAnsi="Times New Roman"/>
                <w:sz w:val="18"/>
                <w:szCs w:val="18"/>
              </w:rPr>
            </w:pPr>
            <w:r>
              <w:rPr>
                <w:sz w:val="18"/>
                <w:szCs w:val="18"/>
              </w:rPr>
              <w:t>10,63</w:t>
            </w:r>
          </w:p>
        </w:tc>
        <w:tc>
          <w:tcPr>
            <w:tcW w:w="992" w:type="dxa"/>
            <w:tcBorders>
              <w:top w:val="nil"/>
              <w:left w:val="nil"/>
              <w:bottom w:val="single" w:sz="4" w:space="0" w:color="auto"/>
              <w:right w:val="single" w:sz="4" w:space="0" w:color="auto"/>
            </w:tcBorders>
            <w:shd w:val="clear" w:color="000000" w:fill="CCFFFF"/>
            <w:noWrap/>
            <w:vAlign w:val="bottom"/>
            <w:hideMark/>
          </w:tcPr>
          <w:p w14:paraId="62EFAFEE" w14:textId="77777777" w:rsidR="00B56301" w:rsidRPr="00CD6B25" w:rsidRDefault="00B56301" w:rsidP="00B37B65">
            <w:pPr>
              <w:jc w:val="right"/>
              <w:rPr>
                <w:rFonts w:ascii="Times New Roman" w:hAnsi="Times New Roman"/>
                <w:sz w:val="18"/>
                <w:szCs w:val="18"/>
              </w:rPr>
            </w:pPr>
            <w:r>
              <w:rPr>
                <w:sz w:val="18"/>
                <w:szCs w:val="18"/>
              </w:rPr>
              <w:t>6,37</w:t>
            </w:r>
          </w:p>
        </w:tc>
        <w:tc>
          <w:tcPr>
            <w:tcW w:w="992" w:type="dxa"/>
            <w:tcBorders>
              <w:top w:val="nil"/>
              <w:left w:val="nil"/>
              <w:bottom w:val="single" w:sz="4" w:space="0" w:color="auto"/>
              <w:right w:val="single" w:sz="4" w:space="0" w:color="auto"/>
            </w:tcBorders>
            <w:shd w:val="clear" w:color="000000" w:fill="CCFFFF"/>
            <w:noWrap/>
            <w:vAlign w:val="bottom"/>
            <w:hideMark/>
          </w:tcPr>
          <w:p w14:paraId="203D2038" w14:textId="77777777" w:rsidR="00B56301" w:rsidRPr="00CD6B25" w:rsidRDefault="00B56301" w:rsidP="00B37B65">
            <w:pPr>
              <w:jc w:val="right"/>
              <w:rPr>
                <w:rFonts w:ascii="Times New Roman" w:hAnsi="Times New Roman"/>
                <w:sz w:val="18"/>
                <w:szCs w:val="18"/>
              </w:rPr>
            </w:pPr>
            <w:r>
              <w:rPr>
                <w:sz w:val="18"/>
                <w:szCs w:val="18"/>
              </w:rPr>
              <w:t>6,23</w:t>
            </w:r>
          </w:p>
        </w:tc>
        <w:tc>
          <w:tcPr>
            <w:tcW w:w="992" w:type="dxa"/>
            <w:tcBorders>
              <w:top w:val="nil"/>
              <w:left w:val="nil"/>
              <w:bottom w:val="single" w:sz="4" w:space="0" w:color="auto"/>
              <w:right w:val="single" w:sz="4" w:space="0" w:color="auto"/>
            </w:tcBorders>
            <w:shd w:val="clear" w:color="000000" w:fill="CCFFFF"/>
            <w:noWrap/>
            <w:vAlign w:val="bottom"/>
            <w:hideMark/>
          </w:tcPr>
          <w:p w14:paraId="6409C741" w14:textId="77777777" w:rsidR="00B56301" w:rsidRPr="00CD6B25" w:rsidRDefault="00B56301" w:rsidP="00B37B65">
            <w:pPr>
              <w:jc w:val="right"/>
              <w:rPr>
                <w:rFonts w:ascii="Times New Roman" w:hAnsi="Times New Roman"/>
                <w:sz w:val="18"/>
                <w:szCs w:val="18"/>
              </w:rPr>
            </w:pPr>
            <w:r>
              <w:rPr>
                <w:sz w:val="18"/>
                <w:szCs w:val="18"/>
              </w:rPr>
              <w:t>5,84</w:t>
            </w:r>
          </w:p>
        </w:tc>
        <w:tc>
          <w:tcPr>
            <w:tcW w:w="992" w:type="dxa"/>
            <w:tcBorders>
              <w:top w:val="nil"/>
              <w:left w:val="nil"/>
              <w:bottom w:val="single" w:sz="4" w:space="0" w:color="auto"/>
              <w:right w:val="single" w:sz="4" w:space="0" w:color="auto"/>
            </w:tcBorders>
            <w:shd w:val="clear" w:color="000000" w:fill="CCFFFF"/>
            <w:noWrap/>
            <w:vAlign w:val="bottom"/>
            <w:hideMark/>
          </w:tcPr>
          <w:p w14:paraId="662DEA51" w14:textId="77777777" w:rsidR="00B56301" w:rsidRPr="00CD6B25" w:rsidRDefault="00B56301" w:rsidP="00B37B65">
            <w:pPr>
              <w:jc w:val="right"/>
              <w:rPr>
                <w:rFonts w:ascii="Times New Roman" w:hAnsi="Times New Roman"/>
                <w:sz w:val="18"/>
                <w:szCs w:val="18"/>
              </w:rPr>
            </w:pPr>
            <w:r>
              <w:rPr>
                <w:sz w:val="18"/>
                <w:szCs w:val="18"/>
              </w:rPr>
              <w:t>7,64</w:t>
            </w:r>
          </w:p>
        </w:tc>
        <w:tc>
          <w:tcPr>
            <w:tcW w:w="992" w:type="dxa"/>
            <w:tcBorders>
              <w:top w:val="nil"/>
              <w:left w:val="nil"/>
              <w:bottom w:val="single" w:sz="4" w:space="0" w:color="auto"/>
              <w:right w:val="single" w:sz="4" w:space="0" w:color="auto"/>
            </w:tcBorders>
            <w:shd w:val="clear" w:color="000000" w:fill="CCFFFF"/>
            <w:noWrap/>
            <w:vAlign w:val="bottom"/>
            <w:hideMark/>
          </w:tcPr>
          <w:p w14:paraId="0A83203D" w14:textId="77777777" w:rsidR="00B56301" w:rsidRPr="00CD6B25" w:rsidRDefault="00B56301" w:rsidP="00B37B65">
            <w:pPr>
              <w:jc w:val="right"/>
              <w:rPr>
                <w:rFonts w:ascii="Times New Roman" w:hAnsi="Times New Roman"/>
                <w:sz w:val="18"/>
                <w:szCs w:val="18"/>
              </w:rPr>
            </w:pPr>
            <w:r>
              <w:rPr>
                <w:sz w:val="18"/>
                <w:szCs w:val="18"/>
              </w:rPr>
              <w:t>12,25</w:t>
            </w:r>
          </w:p>
        </w:tc>
      </w:tr>
      <w:tr w:rsidR="00B56301" w:rsidRPr="00CD6B25" w14:paraId="4A69B24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DE62D29"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992" w:type="dxa"/>
            <w:tcBorders>
              <w:top w:val="nil"/>
              <w:left w:val="nil"/>
              <w:bottom w:val="single" w:sz="4" w:space="0" w:color="auto"/>
              <w:right w:val="single" w:sz="4" w:space="0" w:color="auto"/>
            </w:tcBorders>
            <w:shd w:val="clear" w:color="000000" w:fill="CCFFFF"/>
            <w:noWrap/>
            <w:vAlign w:val="bottom"/>
            <w:hideMark/>
          </w:tcPr>
          <w:p w14:paraId="225F3126" w14:textId="77777777" w:rsidR="00B56301" w:rsidRPr="00CD6B25" w:rsidRDefault="00B56301" w:rsidP="00B37B65">
            <w:pPr>
              <w:jc w:val="right"/>
              <w:rPr>
                <w:rFonts w:ascii="Times New Roman" w:hAnsi="Times New Roman"/>
                <w:sz w:val="18"/>
                <w:szCs w:val="18"/>
              </w:rPr>
            </w:pPr>
            <w:r>
              <w:rPr>
                <w:sz w:val="18"/>
                <w:szCs w:val="18"/>
              </w:rPr>
              <w:t>485605,33</w:t>
            </w:r>
          </w:p>
        </w:tc>
        <w:tc>
          <w:tcPr>
            <w:tcW w:w="992" w:type="dxa"/>
            <w:tcBorders>
              <w:top w:val="nil"/>
              <w:left w:val="nil"/>
              <w:bottom w:val="single" w:sz="4" w:space="0" w:color="auto"/>
              <w:right w:val="single" w:sz="4" w:space="0" w:color="auto"/>
            </w:tcBorders>
            <w:shd w:val="clear" w:color="000000" w:fill="CCFFFF"/>
            <w:noWrap/>
            <w:vAlign w:val="bottom"/>
            <w:hideMark/>
          </w:tcPr>
          <w:p w14:paraId="38ED3B93" w14:textId="77777777" w:rsidR="00B56301" w:rsidRPr="00CD6B25" w:rsidRDefault="00B56301" w:rsidP="00B37B65">
            <w:pPr>
              <w:jc w:val="right"/>
              <w:rPr>
                <w:rFonts w:ascii="Times New Roman" w:hAnsi="Times New Roman"/>
                <w:sz w:val="18"/>
                <w:szCs w:val="18"/>
              </w:rPr>
            </w:pPr>
            <w:r>
              <w:rPr>
                <w:sz w:val="18"/>
                <w:szCs w:val="18"/>
              </w:rPr>
              <w:t>454613,68</w:t>
            </w:r>
          </w:p>
        </w:tc>
        <w:tc>
          <w:tcPr>
            <w:tcW w:w="992" w:type="dxa"/>
            <w:tcBorders>
              <w:top w:val="nil"/>
              <w:left w:val="nil"/>
              <w:bottom w:val="single" w:sz="4" w:space="0" w:color="auto"/>
              <w:right w:val="single" w:sz="4" w:space="0" w:color="auto"/>
            </w:tcBorders>
            <w:shd w:val="clear" w:color="000000" w:fill="CCFFFF"/>
            <w:noWrap/>
            <w:vAlign w:val="bottom"/>
            <w:hideMark/>
          </w:tcPr>
          <w:p w14:paraId="001335CC" w14:textId="77777777" w:rsidR="00B56301" w:rsidRPr="00CD6B25" w:rsidRDefault="00B56301" w:rsidP="00B37B65">
            <w:pPr>
              <w:jc w:val="right"/>
              <w:rPr>
                <w:rFonts w:ascii="Times New Roman" w:hAnsi="Times New Roman"/>
                <w:sz w:val="18"/>
                <w:szCs w:val="18"/>
              </w:rPr>
            </w:pPr>
            <w:r>
              <w:rPr>
                <w:sz w:val="18"/>
                <w:szCs w:val="18"/>
              </w:rPr>
              <w:t>457923,75</w:t>
            </w:r>
          </w:p>
        </w:tc>
        <w:tc>
          <w:tcPr>
            <w:tcW w:w="992" w:type="dxa"/>
            <w:tcBorders>
              <w:top w:val="nil"/>
              <w:left w:val="nil"/>
              <w:bottom w:val="single" w:sz="4" w:space="0" w:color="auto"/>
              <w:right w:val="single" w:sz="4" w:space="0" w:color="auto"/>
            </w:tcBorders>
            <w:shd w:val="clear" w:color="000000" w:fill="CCFFFF"/>
            <w:noWrap/>
            <w:vAlign w:val="bottom"/>
            <w:hideMark/>
          </w:tcPr>
          <w:p w14:paraId="7C0379D8" w14:textId="77777777" w:rsidR="00B56301" w:rsidRPr="00CD6B25" w:rsidRDefault="00B56301" w:rsidP="00B37B65">
            <w:pPr>
              <w:jc w:val="right"/>
              <w:rPr>
                <w:rFonts w:ascii="Times New Roman" w:hAnsi="Times New Roman"/>
                <w:sz w:val="18"/>
                <w:szCs w:val="18"/>
              </w:rPr>
            </w:pPr>
            <w:r>
              <w:rPr>
                <w:sz w:val="18"/>
                <w:szCs w:val="18"/>
              </w:rPr>
              <w:t>459328,86</w:t>
            </w:r>
          </w:p>
        </w:tc>
        <w:tc>
          <w:tcPr>
            <w:tcW w:w="992" w:type="dxa"/>
            <w:tcBorders>
              <w:top w:val="nil"/>
              <w:left w:val="nil"/>
              <w:bottom w:val="single" w:sz="4" w:space="0" w:color="auto"/>
              <w:right w:val="single" w:sz="4" w:space="0" w:color="auto"/>
            </w:tcBorders>
            <w:shd w:val="clear" w:color="000000" w:fill="CCFFFF"/>
            <w:noWrap/>
            <w:vAlign w:val="bottom"/>
            <w:hideMark/>
          </w:tcPr>
          <w:p w14:paraId="2C665027" w14:textId="77777777" w:rsidR="00B56301" w:rsidRPr="00CD6B25" w:rsidRDefault="00B56301" w:rsidP="00B37B65">
            <w:pPr>
              <w:jc w:val="right"/>
              <w:rPr>
                <w:rFonts w:ascii="Times New Roman" w:hAnsi="Times New Roman"/>
                <w:sz w:val="18"/>
                <w:szCs w:val="18"/>
              </w:rPr>
            </w:pPr>
            <w:r>
              <w:rPr>
                <w:sz w:val="18"/>
                <w:szCs w:val="18"/>
              </w:rPr>
              <w:t>462591,22</w:t>
            </w:r>
          </w:p>
        </w:tc>
        <w:tc>
          <w:tcPr>
            <w:tcW w:w="992" w:type="dxa"/>
            <w:tcBorders>
              <w:top w:val="nil"/>
              <w:left w:val="nil"/>
              <w:bottom w:val="single" w:sz="4" w:space="0" w:color="auto"/>
              <w:right w:val="single" w:sz="4" w:space="0" w:color="auto"/>
            </w:tcBorders>
            <w:shd w:val="clear" w:color="000000" w:fill="CCFFFF"/>
            <w:noWrap/>
            <w:vAlign w:val="bottom"/>
            <w:hideMark/>
          </w:tcPr>
          <w:p w14:paraId="6C1DB305" w14:textId="77777777" w:rsidR="00B56301" w:rsidRPr="00CD6B25" w:rsidRDefault="00B56301" w:rsidP="00B37B65">
            <w:pPr>
              <w:jc w:val="right"/>
              <w:rPr>
                <w:rFonts w:ascii="Times New Roman" w:hAnsi="Times New Roman"/>
                <w:sz w:val="18"/>
                <w:szCs w:val="18"/>
              </w:rPr>
            </w:pPr>
            <w:r>
              <w:rPr>
                <w:sz w:val="18"/>
                <w:szCs w:val="18"/>
              </w:rPr>
              <w:t>443321,36</w:t>
            </w:r>
          </w:p>
        </w:tc>
      </w:tr>
      <w:tr w:rsidR="00B56301" w:rsidRPr="00CD6B25" w14:paraId="7FD4DA6A"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53E8A076"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992" w:type="dxa"/>
            <w:tcBorders>
              <w:top w:val="nil"/>
              <w:left w:val="nil"/>
              <w:bottom w:val="single" w:sz="4" w:space="0" w:color="auto"/>
              <w:right w:val="single" w:sz="4" w:space="0" w:color="auto"/>
            </w:tcBorders>
            <w:shd w:val="clear" w:color="000000" w:fill="CCFFFF"/>
            <w:noWrap/>
            <w:vAlign w:val="bottom"/>
            <w:hideMark/>
          </w:tcPr>
          <w:p w14:paraId="1E60ACD4" w14:textId="77777777" w:rsidR="00B56301" w:rsidRPr="00CD6B25" w:rsidRDefault="00B56301" w:rsidP="00B37B65">
            <w:pPr>
              <w:jc w:val="right"/>
              <w:rPr>
                <w:rFonts w:ascii="Times New Roman" w:hAnsi="Times New Roman"/>
                <w:sz w:val="18"/>
                <w:szCs w:val="18"/>
              </w:rPr>
            </w:pPr>
            <w:r>
              <w:rPr>
                <w:sz w:val="18"/>
                <w:szCs w:val="18"/>
              </w:rPr>
              <w:t>441014,42</w:t>
            </w:r>
          </w:p>
        </w:tc>
        <w:tc>
          <w:tcPr>
            <w:tcW w:w="992" w:type="dxa"/>
            <w:tcBorders>
              <w:top w:val="nil"/>
              <w:left w:val="nil"/>
              <w:bottom w:val="single" w:sz="4" w:space="0" w:color="auto"/>
              <w:right w:val="single" w:sz="4" w:space="0" w:color="auto"/>
            </w:tcBorders>
            <w:shd w:val="clear" w:color="000000" w:fill="CCFFFF"/>
            <w:noWrap/>
            <w:vAlign w:val="bottom"/>
            <w:hideMark/>
          </w:tcPr>
          <w:p w14:paraId="7DD3124F" w14:textId="77777777" w:rsidR="00B56301" w:rsidRPr="00CD6B25" w:rsidRDefault="00B56301" w:rsidP="00B37B65">
            <w:pPr>
              <w:jc w:val="right"/>
              <w:rPr>
                <w:rFonts w:ascii="Times New Roman" w:hAnsi="Times New Roman"/>
                <w:sz w:val="18"/>
                <w:szCs w:val="18"/>
              </w:rPr>
            </w:pPr>
            <w:r>
              <w:rPr>
                <w:sz w:val="18"/>
                <w:szCs w:val="18"/>
              </w:rPr>
              <w:t>416199,30</w:t>
            </w:r>
          </w:p>
        </w:tc>
        <w:tc>
          <w:tcPr>
            <w:tcW w:w="992" w:type="dxa"/>
            <w:tcBorders>
              <w:top w:val="nil"/>
              <w:left w:val="nil"/>
              <w:bottom w:val="single" w:sz="4" w:space="0" w:color="auto"/>
              <w:right w:val="single" w:sz="4" w:space="0" w:color="auto"/>
            </w:tcBorders>
            <w:shd w:val="clear" w:color="000000" w:fill="CCFFFF"/>
            <w:noWrap/>
            <w:vAlign w:val="bottom"/>
            <w:hideMark/>
          </w:tcPr>
          <w:p w14:paraId="257263FA" w14:textId="77777777" w:rsidR="00B56301" w:rsidRPr="00CD6B25" w:rsidRDefault="00B56301" w:rsidP="00B37B65">
            <w:pPr>
              <w:jc w:val="right"/>
              <w:rPr>
                <w:rFonts w:ascii="Times New Roman" w:hAnsi="Times New Roman"/>
                <w:sz w:val="18"/>
                <w:szCs w:val="18"/>
              </w:rPr>
            </w:pPr>
            <w:r>
              <w:rPr>
                <w:sz w:val="18"/>
                <w:szCs w:val="18"/>
              </w:rPr>
              <w:t>423346,42</w:t>
            </w:r>
          </w:p>
        </w:tc>
        <w:tc>
          <w:tcPr>
            <w:tcW w:w="992" w:type="dxa"/>
            <w:tcBorders>
              <w:top w:val="nil"/>
              <w:left w:val="nil"/>
              <w:bottom w:val="single" w:sz="4" w:space="0" w:color="auto"/>
              <w:right w:val="single" w:sz="4" w:space="0" w:color="auto"/>
            </w:tcBorders>
            <w:shd w:val="clear" w:color="000000" w:fill="CCFFFF"/>
            <w:noWrap/>
            <w:vAlign w:val="bottom"/>
            <w:hideMark/>
          </w:tcPr>
          <w:p w14:paraId="30722A4A" w14:textId="77777777" w:rsidR="00B56301" w:rsidRPr="00CD6B25" w:rsidRDefault="00B56301" w:rsidP="00B37B65">
            <w:pPr>
              <w:jc w:val="right"/>
              <w:rPr>
                <w:rFonts w:ascii="Times New Roman" w:hAnsi="Times New Roman"/>
                <w:sz w:val="18"/>
                <w:szCs w:val="18"/>
              </w:rPr>
            </w:pPr>
            <w:r>
              <w:rPr>
                <w:sz w:val="18"/>
                <w:szCs w:val="18"/>
              </w:rPr>
              <w:t>433763,80</w:t>
            </w:r>
          </w:p>
        </w:tc>
        <w:tc>
          <w:tcPr>
            <w:tcW w:w="992" w:type="dxa"/>
            <w:tcBorders>
              <w:top w:val="nil"/>
              <w:left w:val="nil"/>
              <w:bottom w:val="single" w:sz="4" w:space="0" w:color="auto"/>
              <w:right w:val="single" w:sz="4" w:space="0" w:color="auto"/>
            </w:tcBorders>
            <w:shd w:val="clear" w:color="000000" w:fill="CCFFFF"/>
            <w:noWrap/>
            <w:vAlign w:val="bottom"/>
            <w:hideMark/>
          </w:tcPr>
          <w:p w14:paraId="26CD22C4" w14:textId="77777777" w:rsidR="00B56301" w:rsidRPr="00CD6B25" w:rsidRDefault="00B56301" w:rsidP="00B37B65">
            <w:pPr>
              <w:jc w:val="right"/>
              <w:rPr>
                <w:rFonts w:ascii="Times New Roman" w:hAnsi="Times New Roman"/>
                <w:sz w:val="18"/>
                <w:szCs w:val="18"/>
              </w:rPr>
            </w:pPr>
            <w:r>
              <w:rPr>
                <w:sz w:val="18"/>
                <w:szCs w:val="18"/>
              </w:rPr>
              <w:t>445848,40</w:t>
            </w:r>
          </w:p>
        </w:tc>
        <w:tc>
          <w:tcPr>
            <w:tcW w:w="992" w:type="dxa"/>
            <w:tcBorders>
              <w:top w:val="nil"/>
              <w:left w:val="nil"/>
              <w:bottom w:val="single" w:sz="4" w:space="0" w:color="auto"/>
              <w:right w:val="single" w:sz="4" w:space="0" w:color="auto"/>
            </w:tcBorders>
            <w:shd w:val="clear" w:color="000000" w:fill="CCFFFF"/>
            <w:noWrap/>
            <w:vAlign w:val="bottom"/>
            <w:hideMark/>
          </w:tcPr>
          <w:p w14:paraId="26BB706D" w14:textId="77777777" w:rsidR="00B56301" w:rsidRPr="00CD6B25" w:rsidRDefault="00B56301" w:rsidP="00B37B65">
            <w:pPr>
              <w:jc w:val="right"/>
              <w:rPr>
                <w:rFonts w:ascii="Times New Roman" w:hAnsi="Times New Roman"/>
                <w:sz w:val="18"/>
                <w:szCs w:val="18"/>
              </w:rPr>
            </w:pPr>
            <w:r>
              <w:rPr>
                <w:sz w:val="18"/>
                <w:szCs w:val="18"/>
              </w:rPr>
              <w:t>429229,91</w:t>
            </w:r>
          </w:p>
        </w:tc>
      </w:tr>
      <w:tr w:rsidR="00B56301" w:rsidRPr="00CD6B25" w14:paraId="48266590" w14:textId="77777777" w:rsidTr="00B37B65">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23CC0607"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50FF536"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303EFB13"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B32D54D"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682DDD29"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28A6734"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2A612A7" w14:textId="77777777" w:rsidR="00B56301" w:rsidRPr="00CD6B25" w:rsidRDefault="00B56301" w:rsidP="00B37B65">
            <w:pPr>
              <w:jc w:val="right"/>
              <w:rPr>
                <w:rFonts w:ascii="Times New Roman" w:hAnsi="Times New Roman"/>
                <w:sz w:val="18"/>
                <w:szCs w:val="18"/>
              </w:rPr>
            </w:pPr>
            <w:r>
              <w:rPr>
                <w:sz w:val="18"/>
                <w:szCs w:val="18"/>
              </w:rPr>
              <w:t>NA</w:t>
            </w:r>
          </w:p>
        </w:tc>
      </w:tr>
      <w:tr w:rsidR="00B56301" w:rsidRPr="00CD6B25" w14:paraId="4291E043" w14:textId="77777777" w:rsidTr="00B37B65">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4131770" w14:textId="77777777" w:rsidR="00B56301" w:rsidRPr="00CD6B25" w:rsidRDefault="00B56301" w:rsidP="00B37B65">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992" w:type="dxa"/>
            <w:tcBorders>
              <w:top w:val="nil"/>
              <w:left w:val="nil"/>
              <w:bottom w:val="single" w:sz="4" w:space="0" w:color="auto"/>
              <w:right w:val="single" w:sz="4" w:space="0" w:color="auto"/>
            </w:tcBorders>
            <w:shd w:val="clear" w:color="000000" w:fill="CCFFFF"/>
            <w:noWrap/>
            <w:vAlign w:val="bottom"/>
            <w:hideMark/>
          </w:tcPr>
          <w:p w14:paraId="6B76DA28"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499C32C2"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08540AA1"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1B288746"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7CDA5886" w14:textId="77777777" w:rsidR="00B56301" w:rsidRPr="00CD6B25" w:rsidRDefault="00B56301" w:rsidP="00B37B65">
            <w:pPr>
              <w:jc w:val="right"/>
              <w:rPr>
                <w:rFonts w:ascii="Times New Roman" w:hAnsi="Times New Roman"/>
                <w:sz w:val="18"/>
                <w:szCs w:val="18"/>
              </w:rPr>
            </w:pPr>
            <w:r>
              <w:rPr>
                <w:sz w:val="18"/>
                <w:szCs w:val="18"/>
              </w:rPr>
              <w:t>NA</w:t>
            </w:r>
          </w:p>
        </w:tc>
        <w:tc>
          <w:tcPr>
            <w:tcW w:w="992" w:type="dxa"/>
            <w:tcBorders>
              <w:top w:val="nil"/>
              <w:left w:val="nil"/>
              <w:bottom w:val="single" w:sz="4" w:space="0" w:color="auto"/>
              <w:right w:val="single" w:sz="4" w:space="0" w:color="auto"/>
            </w:tcBorders>
            <w:shd w:val="clear" w:color="000000" w:fill="CCFFFF"/>
            <w:noWrap/>
            <w:vAlign w:val="bottom"/>
            <w:hideMark/>
          </w:tcPr>
          <w:p w14:paraId="5F83138D" w14:textId="77777777" w:rsidR="00B56301" w:rsidRPr="00CD6B25" w:rsidRDefault="00B56301" w:rsidP="00B37B65">
            <w:pPr>
              <w:jc w:val="right"/>
              <w:rPr>
                <w:rFonts w:ascii="Times New Roman" w:hAnsi="Times New Roman"/>
                <w:sz w:val="18"/>
                <w:szCs w:val="18"/>
              </w:rPr>
            </w:pPr>
            <w:r>
              <w:rPr>
                <w:sz w:val="18"/>
                <w:szCs w:val="18"/>
              </w:rPr>
              <w:t>NA</w:t>
            </w:r>
          </w:p>
        </w:tc>
      </w:tr>
    </w:tbl>
    <w:p w14:paraId="71555496" w14:textId="77777777" w:rsidR="00B56301" w:rsidRDefault="00B56301" w:rsidP="00B56301">
      <w:pPr>
        <w:spacing w:line="240" w:lineRule="atLeast"/>
        <w:jc w:val="left"/>
        <w:rPr>
          <w:rFonts w:cs="Arial"/>
        </w:rPr>
      </w:pPr>
    </w:p>
    <w:tbl>
      <w:tblPr>
        <w:tblW w:w="7657" w:type="dxa"/>
        <w:jc w:val="center"/>
        <w:tblCellMar>
          <w:left w:w="70" w:type="dxa"/>
          <w:right w:w="70" w:type="dxa"/>
        </w:tblCellMar>
        <w:tblLook w:val="04A0" w:firstRow="1" w:lastRow="0" w:firstColumn="1" w:lastColumn="0" w:noHBand="0" w:noVBand="1"/>
      </w:tblPr>
      <w:tblGrid>
        <w:gridCol w:w="3805"/>
        <w:gridCol w:w="1053"/>
        <w:gridCol w:w="1053"/>
        <w:gridCol w:w="1746"/>
      </w:tblGrid>
      <w:tr w:rsidR="00B56301" w:rsidRPr="00833C38" w14:paraId="4DAFD232" w14:textId="77777777" w:rsidTr="001D4AFA">
        <w:trPr>
          <w:trHeight w:val="720"/>
          <w:jc w:val="center"/>
        </w:trPr>
        <w:tc>
          <w:tcPr>
            <w:tcW w:w="3805" w:type="dxa"/>
            <w:tcBorders>
              <w:top w:val="single" w:sz="4" w:space="0" w:color="auto"/>
              <w:left w:val="single" w:sz="4" w:space="0" w:color="auto"/>
              <w:bottom w:val="double" w:sz="6" w:space="0" w:color="000000"/>
              <w:right w:val="single" w:sz="4" w:space="0" w:color="auto"/>
            </w:tcBorders>
            <w:shd w:val="clear" w:color="000000" w:fill="CCFFFF"/>
            <w:vAlign w:val="center"/>
            <w:hideMark/>
          </w:tcPr>
          <w:p w14:paraId="719AEE0F" w14:textId="77777777" w:rsidR="00B56301" w:rsidRPr="00CD6B25" w:rsidRDefault="00B56301" w:rsidP="00B37B65">
            <w:pPr>
              <w:jc w:val="left"/>
              <w:rPr>
                <w:rFonts w:ascii="Times New Roman" w:hAnsi="Times New Roman"/>
                <w:b/>
                <w:bCs/>
                <w:sz w:val="18"/>
                <w:szCs w:val="18"/>
              </w:rPr>
            </w:pPr>
            <w:r w:rsidRPr="00CD6B25">
              <w:rPr>
                <w:rFonts w:ascii="Times New Roman" w:hAnsi="Times New Roman"/>
                <w:b/>
                <w:bCs/>
                <w:sz w:val="18"/>
                <w:szCs w:val="18"/>
              </w:rPr>
              <w:t>GREENHOUSE GAS EMISSIONS</w:t>
            </w:r>
          </w:p>
        </w:tc>
        <w:tc>
          <w:tcPr>
            <w:tcW w:w="1053"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FABA11F"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2019</w:t>
            </w:r>
          </w:p>
        </w:tc>
        <w:tc>
          <w:tcPr>
            <w:tcW w:w="1053" w:type="dxa"/>
            <w:tcBorders>
              <w:top w:val="single" w:sz="4" w:space="0" w:color="auto"/>
              <w:left w:val="nil"/>
              <w:bottom w:val="single" w:sz="4" w:space="0" w:color="auto"/>
              <w:right w:val="single" w:sz="4" w:space="0" w:color="auto"/>
            </w:tcBorders>
            <w:shd w:val="clear" w:color="000000" w:fill="CCFFFF"/>
            <w:noWrap/>
            <w:vAlign w:val="center"/>
            <w:hideMark/>
          </w:tcPr>
          <w:p w14:paraId="5650FCD9" w14:textId="77777777" w:rsidR="00B56301" w:rsidRPr="00CD6B25" w:rsidRDefault="00B56301" w:rsidP="00B37B65">
            <w:pPr>
              <w:jc w:val="center"/>
              <w:rPr>
                <w:rFonts w:ascii="Times New Roman" w:hAnsi="Times New Roman"/>
                <w:b/>
                <w:bCs/>
                <w:sz w:val="18"/>
                <w:szCs w:val="18"/>
              </w:rPr>
            </w:pPr>
            <w:r>
              <w:rPr>
                <w:rFonts w:ascii="Times New Roman" w:hAnsi="Times New Roman"/>
                <w:b/>
                <w:bCs/>
                <w:sz w:val="18"/>
                <w:szCs w:val="18"/>
              </w:rPr>
              <w:t>2020</w:t>
            </w:r>
          </w:p>
        </w:tc>
        <w:tc>
          <w:tcPr>
            <w:tcW w:w="1746" w:type="dxa"/>
            <w:tcBorders>
              <w:top w:val="single" w:sz="4" w:space="0" w:color="auto"/>
              <w:left w:val="nil"/>
              <w:bottom w:val="single" w:sz="4" w:space="0" w:color="auto"/>
              <w:right w:val="single" w:sz="4" w:space="0" w:color="auto"/>
            </w:tcBorders>
            <w:shd w:val="clear" w:color="000000" w:fill="CCFFFF"/>
            <w:noWrap/>
            <w:vAlign w:val="center"/>
            <w:hideMark/>
          </w:tcPr>
          <w:p w14:paraId="7C0101D2" w14:textId="77777777" w:rsidR="00B56301" w:rsidRPr="0033611E" w:rsidRDefault="00B56301" w:rsidP="00B37B65">
            <w:pPr>
              <w:jc w:val="center"/>
              <w:rPr>
                <w:rFonts w:ascii="Times New Roman" w:hAnsi="Times New Roman"/>
                <w:b/>
                <w:bCs/>
                <w:sz w:val="18"/>
                <w:szCs w:val="18"/>
                <w:lang w:val="en-GB"/>
              </w:rPr>
            </w:pPr>
            <w:r w:rsidRPr="0033611E">
              <w:rPr>
                <w:b/>
                <w:bCs/>
                <w:sz w:val="18"/>
                <w:szCs w:val="18"/>
                <w:lang w:val="en-GB"/>
              </w:rPr>
              <w:t>Change from base to latest reported year</w:t>
            </w:r>
            <w:r>
              <w:rPr>
                <w:rFonts w:ascii="Times New Roman" w:hAnsi="Times New Roman"/>
                <w:b/>
                <w:bCs/>
                <w:sz w:val="18"/>
                <w:szCs w:val="18"/>
                <w:lang w:val="en-GB"/>
              </w:rPr>
              <w:t xml:space="preserve"> (%)</w:t>
            </w:r>
          </w:p>
        </w:tc>
      </w:tr>
      <w:tr w:rsidR="001D4AFA" w:rsidRPr="00CD6B25" w14:paraId="752E2DDD" w14:textId="77777777" w:rsidTr="001D4AFA">
        <w:trPr>
          <w:trHeight w:val="28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D1F9A35" w14:textId="46C70E8E" w:rsidR="001D4AFA" w:rsidRPr="00CD6B25" w:rsidRDefault="001D4AFA" w:rsidP="001D4AFA">
            <w:pPr>
              <w:jc w:val="left"/>
              <w:rPr>
                <w:rFonts w:ascii="Times New Roman" w:hAnsi="Times New Roman"/>
                <w:sz w:val="18"/>
                <w:szCs w:val="18"/>
                <w:lang w:val="en-GB"/>
              </w:rPr>
            </w:pPr>
            <w:r w:rsidRPr="007F09F7">
              <w:rPr>
                <w:lang w:val="en-GB"/>
              </w:rPr>
              <w:t>CO</w:t>
            </w:r>
            <w:r w:rsidRPr="007F09F7">
              <w:rPr>
                <w:vertAlign w:val="subscript"/>
                <w:lang w:val="en-GB"/>
              </w:rPr>
              <w:t>2</w:t>
            </w:r>
            <w:r w:rsidRPr="00CD6B25">
              <w:rPr>
                <w:rFonts w:ascii="Times New Roman" w:hAnsi="Times New Roman"/>
                <w:sz w:val="18"/>
                <w:szCs w:val="18"/>
                <w:lang w:val="en-GB"/>
              </w:rPr>
              <w:t xml:space="preserve"> emissions without net </w:t>
            </w:r>
            <w:r w:rsidRPr="007F09F7">
              <w:rPr>
                <w:lang w:val="en-GB"/>
              </w:rPr>
              <w:t>CO</w:t>
            </w:r>
            <w:r w:rsidRPr="007F09F7">
              <w:rPr>
                <w:vertAlign w:val="subscript"/>
                <w:lang w:val="en-GB"/>
              </w:rPr>
              <w:t>2</w:t>
            </w:r>
            <w:r w:rsidRPr="00CD6B25">
              <w:rPr>
                <w:rFonts w:ascii="Times New Roman" w:hAnsi="Times New Roman"/>
                <w:sz w:val="18"/>
                <w:szCs w:val="18"/>
                <w:lang w:val="en-GB"/>
              </w:rPr>
              <w:t xml:space="preserve"> from LULUCF</w:t>
            </w:r>
          </w:p>
        </w:tc>
        <w:tc>
          <w:tcPr>
            <w:tcW w:w="1053"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706BDF7B" w14:textId="226E78A8" w:rsidR="001D4AFA" w:rsidRPr="00CD6B25" w:rsidRDefault="001D4AFA" w:rsidP="001D4AFA">
            <w:pPr>
              <w:jc w:val="right"/>
              <w:rPr>
                <w:rFonts w:ascii="Times New Roman" w:hAnsi="Times New Roman"/>
                <w:sz w:val="18"/>
                <w:szCs w:val="18"/>
              </w:rPr>
            </w:pPr>
            <w:r>
              <w:rPr>
                <w:sz w:val="18"/>
                <w:szCs w:val="18"/>
              </w:rPr>
              <w:t>326725,13</w:t>
            </w:r>
          </w:p>
        </w:tc>
        <w:tc>
          <w:tcPr>
            <w:tcW w:w="1053" w:type="dxa"/>
            <w:tcBorders>
              <w:top w:val="single" w:sz="4" w:space="0" w:color="auto"/>
              <w:left w:val="nil"/>
              <w:bottom w:val="single" w:sz="4" w:space="0" w:color="auto"/>
              <w:right w:val="single" w:sz="4" w:space="0" w:color="auto"/>
            </w:tcBorders>
            <w:shd w:val="clear" w:color="000000" w:fill="CCFFFF"/>
            <w:noWrap/>
            <w:vAlign w:val="bottom"/>
            <w:hideMark/>
          </w:tcPr>
          <w:p w14:paraId="7569782D" w14:textId="03178B8B" w:rsidR="001D4AFA" w:rsidRPr="00CD6B25" w:rsidRDefault="001D4AFA" w:rsidP="001D4AFA">
            <w:pPr>
              <w:jc w:val="right"/>
              <w:rPr>
                <w:rFonts w:ascii="Times New Roman" w:hAnsi="Times New Roman"/>
                <w:sz w:val="18"/>
                <w:szCs w:val="18"/>
              </w:rPr>
            </w:pPr>
            <w:r>
              <w:rPr>
                <w:sz w:val="18"/>
                <w:szCs w:val="18"/>
              </w:rPr>
              <w:t>289389,57</w:t>
            </w:r>
          </w:p>
        </w:tc>
        <w:tc>
          <w:tcPr>
            <w:tcW w:w="1746" w:type="dxa"/>
            <w:tcBorders>
              <w:top w:val="single" w:sz="4" w:space="0" w:color="auto"/>
              <w:left w:val="nil"/>
              <w:bottom w:val="single" w:sz="4" w:space="0" w:color="auto"/>
              <w:right w:val="single" w:sz="4" w:space="0" w:color="auto"/>
            </w:tcBorders>
            <w:shd w:val="clear" w:color="000000" w:fill="CCFFFF"/>
            <w:noWrap/>
            <w:vAlign w:val="bottom"/>
            <w:hideMark/>
          </w:tcPr>
          <w:p w14:paraId="6A345859" w14:textId="3951040D" w:rsidR="001D4AFA" w:rsidRPr="00CD6B25" w:rsidRDefault="001D4AFA" w:rsidP="001D4AFA">
            <w:pPr>
              <w:jc w:val="right"/>
              <w:rPr>
                <w:rFonts w:ascii="Times New Roman" w:hAnsi="Times New Roman"/>
                <w:sz w:val="18"/>
                <w:szCs w:val="18"/>
              </w:rPr>
            </w:pPr>
            <w:r>
              <w:rPr>
                <w:sz w:val="18"/>
                <w:szCs w:val="18"/>
              </w:rPr>
              <w:t>-27,37</w:t>
            </w:r>
          </w:p>
        </w:tc>
      </w:tr>
      <w:tr w:rsidR="001D4AFA" w:rsidRPr="00CD6B25" w14:paraId="3D79B2C7" w14:textId="77777777" w:rsidTr="001D4AFA">
        <w:trPr>
          <w:trHeight w:val="270"/>
          <w:jc w:val="center"/>
        </w:trPr>
        <w:tc>
          <w:tcPr>
            <w:tcW w:w="3805" w:type="dxa"/>
            <w:tcBorders>
              <w:top w:val="single" w:sz="4" w:space="0" w:color="auto"/>
              <w:left w:val="single" w:sz="4" w:space="0" w:color="auto"/>
              <w:bottom w:val="single" w:sz="4" w:space="0" w:color="auto"/>
              <w:right w:val="single" w:sz="4" w:space="0" w:color="auto"/>
            </w:tcBorders>
            <w:shd w:val="clear" w:color="000000" w:fill="CCFFFF"/>
            <w:vAlign w:val="center"/>
            <w:hideMark/>
          </w:tcPr>
          <w:p w14:paraId="07A267D5" w14:textId="111B4C38" w:rsidR="001D4AFA" w:rsidRPr="00CD6B25" w:rsidRDefault="001D4AFA" w:rsidP="001D4AFA">
            <w:pPr>
              <w:jc w:val="left"/>
              <w:rPr>
                <w:rFonts w:ascii="Times New Roman" w:hAnsi="Times New Roman"/>
                <w:sz w:val="18"/>
                <w:szCs w:val="18"/>
                <w:lang w:val="en-GB"/>
              </w:rPr>
            </w:pPr>
            <w:r w:rsidRPr="007F09F7">
              <w:rPr>
                <w:lang w:val="en-GB"/>
              </w:rPr>
              <w:t>CO</w:t>
            </w:r>
            <w:r w:rsidRPr="007F09F7">
              <w:rPr>
                <w:vertAlign w:val="subscript"/>
                <w:lang w:val="en-GB"/>
              </w:rPr>
              <w:t>2</w:t>
            </w:r>
            <w:r w:rsidRPr="00CD6B25">
              <w:rPr>
                <w:rFonts w:ascii="Times New Roman" w:hAnsi="Times New Roman"/>
                <w:sz w:val="18"/>
                <w:szCs w:val="18"/>
                <w:lang w:val="en-GB"/>
              </w:rPr>
              <w:t xml:space="preserve"> emissions with net </w:t>
            </w:r>
            <w:r w:rsidRPr="007F09F7">
              <w:rPr>
                <w:lang w:val="en-GB"/>
              </w:rPr>
              <w:t>CO</w:t>
            </w:r>
            <w:r w:rsidRPr="007F09F7">
              <w:rPr>
                <w:vertAlign w:val="subscript"/>
                <w:lang w:val="en-GB"/>
              </w:rPr>
              <w:t>2</w:t>
            </w:r>
            <w:r w:rsidRPr="00CD6B25">
              <w:rPr>
                <w:rFonts w:ascii="Times New Roman" w:hAnsi="Times New Roman"/>
                <w:sz w:val="18"/>
                <w:szCs w:val="18"/>
                <w:lang w:val="en-GB"/>
              </w:rPr>
              <w:t xml:space="preserve"> 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7C760342" w14:textId="7415352C" w:rsidR="001D4AFA" w:rsidRPr="00CD6B25" w:rsidRDefault="001D4AFA" w:rsidP="001D4AFA">
            <w:pPr>
              <w:jc w:val="right"/>
              <w:rPr>
                <w:rFonts w:ascii="Times New Roman" w:hAnsi="Times New Roman"/>
                <w:sz w:val="18"/>
                <w:szCs w:val="18"/>
              </w:rPr>
            </w:pPr>
            <w:r>
              <w:rPr>
                <w:sz w:val="18"/>
                <w:szCs w:val="18"/>
              </w:rPr>
              <w:t>310432,09</w:t>
            </w:r>
          </w:p>
        </w:tc>
        <w:tc>
          <w:tcPr>
            <w:tcW w:w="1053" w:type="dxa"/>
            <w:tcBorders>
              <w:top w:val="nil"/>
              <w:left w:val="nil"/>
              <w:bottom w:val="single" w:sz="4" w:space="0" w:color="auto"/>
              <w:right w:val="single" w:sz="4" w:space="0" w:color="auto"/>
            </w:tcBorders>
            <w:shd w:val="clear" w:color="000000" w:fill="CCFFFF"/>
            <w:noWrap/>
            <w:vAlign w:val="bottom"/>
            <w:hideMark/>
          </w:tcPr>
          <w:p w14:paraId="5667F39C" w14:textId="6CA5D0A4" w:rsidR="001D4AFA" w:rsidRPr="00CD6B25" w:rsidRDefault="001D4AFA" w:rsidP="001D4AFA">
            <w:pPr>
              <w:jc w:val="right"/>
              <w:rPr>
                <w:rFonts w:ascii="Times New Roman" w:hAnsi="Times New Roman"/>
                <w:sz w:val="18"/>
                <w:szCs w:val="18"/>
              </w:rPr>
            </w:pPr>
            <w:r>
              <w:rPr>
                <w:sz w:val="18"/>
                <w:szCs w:val="18"/>
              </w:rPr>
              <w:t>271428,23</w:t>
            </w:r>
          </w:p>
        </w:tc>
        <w:tc>
          <w:tcPr>
            <w:tcW w:w="1746" w:type="dxa"/>
            <w:tcBorders>
              <w:top w:val="nil"/>
              <w:left w:val="nil"/>
              <w:bottom w:val="single" w:sz="4" w:space="0" w:color="auto"/>
              <w:right w:val="single" w:sz="4" w:space="0" w:color="auto"/>
            </w:tcBorders>
            <w:shd w:val="clear" w:color="000000" w:fill="CCFFFF"/>
            <w:noWrap/>
            <w:vAlign w:val="bottom"/>
            <w:hideMark/>
          </w:tcPr>
          <w:p w14:paraId="6CF99298" w14:textId="304226EE" w:rsidR="001D4AFA" w:rsidRPr="00CD6B25" w:rsidRDefault="001D4AFA" w:rsidP="001D4AFA">
            <w:pPr>
              <w:jc w:val="right"/>
              <w:rPr>
                <w:rFonts w:ascii="Times New Roman" w:hAnsi="Times New Roman"/>
                <w:sz w:val="18"/>
                <w:szCs w:val="18"/>
              </w:rPr>
            </w:pPr>
            <w:r>
              <w:rPr>
                <w:sz w:val="18"/>
                <w:szCs w:val="18"/>
              </w:rPr>
              <w:t>-26,70</w:t>
            </w:r>
          </w:p>
        </w:tc>
      </w:tr>
      <w:tr w:rsidR="001D4AFA" w:rsidRPr="00CD6B25" w14:paraId="63EEBC47"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00CC42F4" w14:textId="292D3E7A" w:rsidR="001D4AFA" w:rsidRPr="00CD6B25" w:rsidRDefault="001D4AFA" w:rsidP="001D4AFA">
            <w:pPr>
              <w:jc w:val="left"/>
              <w:rPr>
                <w:rFonts w:ascii="Times New Roman" w:hAnsi="Times New Roman"/>
                <w:sz w:val="18"/>
                <w:szCs w:val="18"/>
                <w:lang w:val="en-GB"/>
              </w:rPr>
            </w:pPr>
            <w:r w:rsidRPr="007F09F7">
              <w:rPr>
                <w:lang w:val="en-GB"/>
              </w:rPr>
              <w:t>CH</w:t>
            </w:r>
            <w:r w:rsidRPr="007F09F7">
              <w:rPr>
                <w:vertAlign w:val="subscript"/>
                <w:lang w:val="en-GB"/>
              </w:rPr>
              <w:t>4</w:t>
            </w:r>
            <w:r>
              <w:rPr>
                <w:lang w:val="en-GB"/>
              </w:rPr>
              <w:t xml:space="preserve"> </w:t>
            </w:r>
            <w:r w:rsidRPr="00CD6B25">
              <w:rPr>
                <w:rFonts w:ascii="Times New Roman" w:hAnsi="Times New Roman"/>
                <w:sz w:val="18"/>
                <w:szCs w:val="18"/>
                <w:lang w:val="en-GB"/>
              </w:rPr>
              <w:t xml:space="preserve">emissions without </w:t>
            </w:r>
            <w:r w:rsidRPr="007F09F7">
              <w:rPr>
                <w:lang w:val="en-GB"/>
              </w:rPr>
              <w:t>CH</w:t>
            </w:r>
            <w:r w:rsidRPr="007F09F7">
              <w:rPr>
                <w:vertAlign w:val="subscript"/>
                <w:lang w:val="en-GB"/>
              </w:rPr>
              <w:t>4</w:t>
            </w:r>
            <w:r>
              <w:rPr>
                <w:lang w:val="en-GB"/>
              </w:rPr>
              <w:t xml:space="preserve"> </w:t>
            </w:r>
            <w:r w:rsidRPr="00CD6B25">
              <w:rPr>
                <w:rFonts w:ascii="Times New Roman" w:hAnsi="Times New Roman"/>
                <w:sz w:val="18"/>
                <w:szCs w:val="18"/>
                <w:lang w:val="en-GB"/>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37314922" w14:textId="74DC3BF8" w:rsidR="001D4AFA" w:rsidRPr="00CD6B25" w:rsidRDefault="001D4AFA" w:rsidP="001D4AFA">
            <w:pPr>
              <w:jc w:val="right"/>
              <w:rPr>
                <w:rFonts w:ascii="Times New Roman" w:hAnsi="Times New Roman"/>
                <w:sz w:val="18"/>
                <w:szCs w:val="18"/>
              </w:rPr>
            </w:pPr>
            <w:r>
              <w:rPr>
                <w:sz w:val="18"/>
                <w:szCs w:val="18"/>
              </w:rPr>
              <w:t>55739,70</w:t>
            </w:r>
          </w:p>
        </w:tc>
        <w:tc>
          <w:tcPr>
            <w:tcW w:w="1053" w:type="dxa"/>
            <w:tcBorders>
              <w:top w:val="nil"/>
              <w:left w:val="nil"/>
              <w:bottom w:val="single" w:sz="4" w:space="0" w:color="auto"/>
              <w:right w:val="single" w:sz="4" w:space="0" w:color="auto"/>
            </w:tcBorders>
            <w:shd w:val="clear" w:color="000000" w:fill="CCFFFF"/>
            <w:noWrap/>
            <w:vAlign w:val="bottom"/>
            <w:hideMark/>
          </w:tcPr>
          <w:p w14:paraId="78CF638F" w14:textId="3FF58C2F" w:rsidR="001D4AFA" w:rsidRPr="00CD6B25" w:rsidRDefault="001D4AFA" w:rsidP="001D4AFA">
            <w:pPr>
              <w:jc w:val="right"/>
              <w:rPr>
                <w:rFonts w:ascii="Times New Roman" w:hAnsi="Times New Roman"/>
                <w:sz w:val="18"/>
                <w:szCs w:val="18"/>
              </w:rPr>
            </w:pPr>
            <w:r>
              <w:rPr>
                <w:sz w:val="18"/>
                <w:szCs w:val="18"/>
              </w:rPr>
              <w:t>54641,71</w:t>
            </w:r>
          </w:p>
        </w:tc>
        <w:tc>
          <w:tcPr>
            <w:tcW w:w="1746" w:type="dxa"/>
            <w:tcBorders>
              <w:top w:val="nil"/>
              <w:left w:val="nil"/>
              <w:bottom w:val="single" w:sz="4" w:space="0" w:color="auto"/>
              <w:right w:val="single" w:sz="4" w:space="0" w:color="auto"/>
            </w:tcBorders>
            <w:shd w:val="clear" w:color="000000" w:fill="CCFFFF"/>
            <w:noWrap/>
            <w:vAlign w:val="bottom"/>
            <w:hideMark/>
          </w:tcPr>
          <w:p w14:paraId="472B51D2" w14:textId="4A0FC0EA" w:rsidR="001D4AFA" w:rsidRPr="00CD6B25" w:rsidRDefault="001D4AFA" w:rsidP="001D4AFA">
            <w:pPr>
              <w:jc w:val="right"/>
              <w:rPr>
                <w:rFonts w:ascii="Times New Roman" w:hAnsi="Times New Roman"/>
                <w:sz w:val="18"/>
                <w:szCs w:val="18"/>
              </w:rPr>
            </w:pPr>
            <w:r>
              <w:rPr>
                <w:sz w:val="18"/>
                <w:szCs w:val="18"/>
              </w:rPr>
              <w:t>-20,99</w:t>
            </w:r>
          </w:p>
        </w:tc>
      </w:tr>
      <w:tr w:rsidR="001D4AFA" w:rsidRPr="00CD6B25" w14:paraId="4004F3DA"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58B9EB93" w14:textId="7A98374B" w:rsidR="001D4AFA" w:rsidRPr="00CD6B25" w:rsidRDefault="001D4AFA" w:rsidP="001D4AFA">
            <w:pPr>
              <w:jc w:val="left"/>
              <w:rPr>
                <w:rFonts w:ascii="Times New Roman" w:hAnsi="Times New Roman"/>
                <w:sz w:val="18"/>
                <w:szCs w:val="18"/>
                <w:lang w:val="en-GB"/>
              </w:rPr>
            </w:pPr>
            <w:r w:rsidRPr="007F09F7">
              <w:rPr>
                <w:lang w:val="en-GB"/>
              </w:rPr>
              <w:t>CH</w:t>
            </w:r>
            <w:r w:rsidRPr="007F09F7">
              <w:rPr>
                <w:vertAlign w:val="subscript"/>
                <w:lang w:val="en-GB"/>
              </w:rPr>
              <w:t>4</w:t>
            </w:r>
            <w:r>
              <w:rPr>
                <w:lang w:val="en-GB"/>
              </w:rPr>
              <w:t xml:space="preserve"> </w:t>
            </w:r>
            <w:r w:rsidRPr="00CD6B25">
              <w:rPr>
                <w:rFonts w:ascii="Times New Roman" w:hAnsi="Times New Roman"/>
                <w:sz w:val="18"/>
                <w:szCs w:val="18"/>
                <w:lang w:val="en-GB"/>
              </w:rPr>
              <w:t xml:space="preserve">emissions with </w:t>
            </w:r>
            <w:r w:rsidRPr="007F09F7">
              <w:rPr>
                <w:lang w:val="en-GB"/>
              </w:rPr>
              <w:t>CH</w:t>
            </w:r>
            <w:r w:rsidRPr="007F09F7">
              <w:rPr>
                <w:vertAlign w:val="subscript"/>
                <w:lang w:val="en-GB"/>
              </w:rPr>
              <w:t>4</w:t>
            </w:r>
            <w:r>
              <w:rPr>
                <w:lang w:val="en-GB"/>
              </w:rPr>
              <w:t xml:space="preserve"> </w:t>
            </w:r>
            <w:r w:rsidRPr="00CD6B25">
              <w:rPr>
                <w:rFonts w:ascii="Times New Roman" w:hAnsi="Times New Roman"/>
                <w:sz w:val="18"/>
                <w:szCs w:val="18"/>
                <w:lang w:val="en-GB"/>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6F8F42F0" w14:textId="5968A2AE" w:rsidR="001D4AFA" w:rsidRPr="00CD6B25" w:rsidRDefault="001D4AFA" w:rsidP="001D4AFA">
            <w:pPr>
              <w:jc w:val="right"/>
              <w:rPr>
                <w:rFonts w:ascii="Times New Roman" w:hAnsi="Times New Roman"/>
                <w:sz w:val="18"/>
                <w:szCs w:val="18"/>
              </w:rPr>
            </w:pPr>
            <w:r>
              <w:rPr>
                <w:sz w:val="18"/>
                <w:szCs w:val="18"/>
              </w:rPr>
              <w:t>56877,21</w:t>
            </w:r>
          </w:p>
        </w:tc>
        <w:tc>
          <w:tcPr>
            <w:tcW w:w="1053" w:type="dxa"/>
            <w:tcBorders>
              <w:top w:val="nil"/>
              <w:left w:val="nil"/>
              <w:bottom w:val="single" w:sz="4" w:space="0" w:color="auto"/>
              <w:right w:val="single" w:sz="4" w:space="0" w:color="auto"/>
            </w:tcBorders>
            <w:shd w:val="clear" w:color="000000" w:fill="CCFFFF"/>
            <w:noWrap/>
            <w:vAlign w:val="bottom"/>
            <w:hideMark/>
          </w:tcPr>
          <w:p w14:paraId="6607D78A" w14:textId="1E35C69A" w:rsidR="001D4AFA" w:rsidRPr="00CD6B25" w:rsidRDefault="001D4AFA" w:rsidP="001D4AFA">
            <w:pPr>
              <w:jc w:val="right"/>
              <w:rPr>
                <w:rFonts w:ascii="Times New Roman" w:hAnsi="Times New Roman"/>
                <w:sz w:val="18"/>
                <w:szCs w:val="18"/>
              </w:rPr>
            </w:pPr>
            <w:r>
              <w:rPr>
                <w:sz w:val="18"/>
                <w:szCs w:val="18"/>
              </w:rPr>
              <w:t>55747,40</w:t>
            </w:r>
          </w:p>
        </w:tc>
        <w:tc>
          <w:tcPr>
            <w:tcW w:w="1746" w:type="dxa"/>
            <w:tcBorders>
              <w:top w:val="nil"/>
              <w:left w:val="nil"/>
              <w:bottom w:val="single" w:sz="4" w:space="0" w:color="auto"/>
              <w:right w:val="single" w:sz="4" w:space="0" w:color="auto"/>
            </w:tcBorders>
            <w:shd w:val="clear" w:color="000000" w:fill="CCFFFF"/>
            <w:noWrap/>
            <w:vAlign w:val="bottom"/>
            <w:hideMark/>
          </w:tcPr>
          <w:p w14:paraId="55E4A7C4" w14:textId="1010D02C" w:rsidR="001D4AFA" w:rsidRPr="00CD6B25" w:rsidRDefault="001D4AFA" w:rsidP="001D4AFA">
            <w:pPr>
              <w:jc w:val="right"/>
              <w:rPr>
                <w:rFonts w:ascii="Times New Roman" w:hAnsi="Times New Roman"/>
                <w:sz w:val="18"/>
                <w:szCs w:val="18"/>
              </w:rPr>
            </w:pPr>
            <w:r>
              <w:rPr>
                <w:sz w:val="18"/>
                <w:szCs w:val="18"/>
              </w:rPr>
              <w:t>-20,47</w:t>
            </w:r>
          </w:p>
        </w:tc>
      </w:tr>
      <w:tr w:rsidR="001D4AFA" w:rsidRPr="00CD6B25" w14:paraId="30212C52"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90BD062" w14:textId="160284EA" w:rsidR="001D4AFA" w:rsidRPr="00CD6B25" w:rsidRDefault="001D4AFA" w:rsidP="001D4AFA">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Pr="00CD6B25">
              <w:rPr>
                <w:rFonts w:ascii="Times New Roman" w:hAnsi="Times New Roman"/>
                <w:sz w:val="18"/>
                <w:szCs w:val="18"/>
                <w:lang w:val="en-GB"/>
              </w:rPr>
              <w:t xml:space="preserve">emissions without </w:t>
            </w:r>
            <w:r w:rsidRPr="00F80CAB">
              <w:rPr>
                <w:lang w:val="en-GB"/>
              </w:rPr>
              <w:t>N</w:t>
            </w:r>
            <w:r w:rsidRPr="00F80CAB">
              <w:rPr>
                <w:vertAlign w:val="subscript"/>
                <w:lang w:val="en-GB"/>
              </w:rPr>
              <w:t>2</w:t>
            </w:r>
            <w:r w:rsidRPr="00F80CAB">
              <w:rPr>
                <w:lang w:val="en-GB"/>
              </w:rPr>
              <w:t>O</w:t>
            </w:r>
            <w:r>
              <w:rPr>
                <w:lang w:val="en-GB"/>
              </w:rPr>
              <w:t xml:space="preserve"> </w:t>
            </w:r>
            <w:r w:rsidRPr="00CD6B25">
              <w:rPr>
                <w:rFonts w:ascii="Times New Roman" w:hAnsi="Times New Roman"/>
                <w:sz w:val="18"/>
                <w:szCs w:val="18"/>
                <w:lang w:val="en-GB"/>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7545FF70" w14:textId="700EF3BC" w:rsidR="001D4AFA" w:rsidRPr="00CD6B25" w:rsidRDefault="001D4AFA" w:rsidP="001D4AFA">
            <w:pPr>
              <w:jc w:val="right"/>
              <w:rPr>
                <w:rFonts w:ascii="Times New Roman" w:hAnsi="Times New Roman"/>
                <w:sz w:val="18"/>
                <w:szCs w:val="18"/>
              </w:rPr>
            </w:pPr>
            <w:r>
              <w:rPr>
                <w:sz w:val="18"/>
                <w:szCs w:val="18"/>
              </w:rPr>
              <w:t>38071,44</w:t>
            </w:r>
          </w:p>
        </w:tc>
        <w:tc>
          <w:tcPr>
            <w:tcW w:w="1053" w:type="dxa"/>
            <w:tcBorders>
              <w:top w:val="nil"/>
              <w:left w:val="nil"/>
              <w:bottom w:val="single" w:sz="4" w:space="0" w:color="auto"/>
              <w:right w:val="single" w:sz="4" w:space="0" w:color="auto"/>
            </w:tcBorders>
            <w:shd w:val="clear" w:color="000000" w:fill="CCFFFF"/>
            <w:noWrap/>
            <w:vAlign w:val="bottom"/>
            <w:hideMark/>
          </w:tcPr>
          <w:p w14:paraId="1965629A" w14:textId="08A965A4" w:rsidR="001D4AFA" w:rsidRPr="00CD6B25" w:rsidRDefault="001D4AFA" w:rsidP="001D4AFA">
            <w:pPr>
              <w:jc w:val="right"/>
              <w:rPr>
                <w:rFonts w:ascii="Times New Roman" w:hAnsi="Times New Roman"/>
                <w:sz w:val="18"/>
                <w:szCs w:val="18"/>
              </w:rPr>
            </w:pPr>
            <w:r>
              <w:rPr>
                <w:sz w:val="18"/>
                <w:szCs w:val="18"/>
              </w:rPr>
              <w:t>36297,32</w:t>
            </w:r>
          </w:p>
        </w:tc>
        <w:tc>
          <w:tcPr>
            <w:tcW w:w="1746" w:type="dxa"/>
            <w:tcBorders>
              <w:top w:val="nil"/>
              <w:left w:val="nil"/>
              <w:bottom w:val="single" w:sz="4" w:space="0" w:color="auto"/>
              <w:right w:val="single" w:sz="4" w:space="0" w:color="auto"/>
            </w:tcBorders>
            <w:shd w:val="clear" w:color="000000" w:fill="CCFFFF"/>
            <w:noWrap/>
            <w:vAlign w:val="bottom"/>
            <w:hideMark/>
          </w:tcPr>
          <w:p w14:paraId="61846B9C" w14:textId="65ACFF3F" w:rsidR="001D4AFA" w:rsidRPr="00CD6B25" w:rsidRDefault="001D4AFA" w:rsidP="001D4AFA">
            <w:pPr>
              <w:jc w:val="right"/>
              <w:rPr>
                <w:rFonts w:ascii="Times New Roman" w:hAnsi="Times New Roman"/>
                <w:sz w:val="18"/>
                <w:szCs w:val="18"/>
              </w:rPr>
            </w:pPr>
            <w:r>
              <w:rPr>
                <w:sz w:val="18"/>
                <w:szCs w:val="18"/>
              </w:rPr>
              <w:t>-43,92</w:t>
            </w:r>
          </w:p>
        </w:tc>
      </w:tr>
      <w:tr w:rsidR="001D4AFA" w:rsidRPr="00CD6B25" w14:paraId="510A60CC"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03AE07CE" w14:textId="299105E8" w:rsidR="001D4AFA" w:rsidRPr="00CD6B25" w:rsidRDefault="001D4AFA" w:rsidP="001D4AFA">
            <w:pPr>
              <w:jc w:val="left"/>
              <w:rPr>
                <w:rFonts w:ascii="Times New Roman" w:hAnsi="Times New Roman"/>
                <w:sz w:val="18"/>
                <w:szCs w:val="18"/>
                <w:lang w:val="en-GB"/>
              </w:rPr>
            </w:pPr>
            <w:r w:rsidRPr="00F80CAB">
              <w:rPr>
                <w:lang w:val="en-GB"/>
              </w:rPr>
              <w:t>N</w:t>
            </w:r>
            <w:r w:rsidRPr="00F80CAB">
              <w:rPr>
                <w:vertAlign w:val="subscript"/>
                <w:lang w:val="en-GB"/>
              </w:rPr>
              <w:t>2</w:t>
            </w:r>
            <w:r w:rsidRPr="00F80CAB">
              <w:rPr>
                <w:lang w:val="en-GB"/>
              </w:rPr>
              <w:t>O</w:t>
            </w:r>
            <w:r>
              <w:rPr>
                <w:lang w:val="en-GB"/>
              </w:rPr>
              <w:t xml:space="preserve"> </w:t>
            </w:r>
            <w:r w:rsidRPr="00CD6B25">
              <w:rPr>
                <w:rFonts w:ascii="Times New Roman" w:hAnsi="Times New Roman"/>
                <w:sz w:val="18"/>
                <w:szCs w:val="18"/>
                <w:lang w:val="en-GB"/>
              </w:rPr>
              <w:t xml:space="preserve">emissions with </w:t>
            </w:r>
            <w:r w:rsidRPr="00F80CAB">
              <w:rPr>
                <w:lang w:val="en-GB"/>
              </w:rPr>
              <w:t>N</w:t>
            </w:r>
            <w:r w:rsidRPr="00F80CAB">
              <w:rPr>
                <w:vertAlign w:val="subscript"/>
                <w:lang w:val="en-GB"/>
              </w:rPr>
              <w:t>2</w:t>
            </w:r>
            <w:r w:rsidRPr="00F80CAB">
              <w:rPr>
                <w:lang w:val="en-GB"/>
              </w:rPr>
              <w:t>O</w:t>
            </w:r>
            <w:r>
              <w:rPr>
                <w:lang w:val="en-GB"/>
              </w:rPr>
              <w:t xml:space="preserve"> </w:t>
            </w:r>
            <w:r w:rsidRPr="00CD6B25">
              <w:rPr>
                <w:rFonts w:ascii="Times New Roman" w:hAnsi="Times New Roman"/>
                <w:sz w:val="18"/>
                <w:szCs w:val="18"/>
                <w:lang w:val="en-GB"/>
              </w:rPr>
              <w:t>from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466E1E49" w14:textId="38C8F658" w:rsidR="001D4AFA" w:rsidRPr="00CD6B25" w:rsidRDefault="001D4AFA" w:rsidP="001D4AFA">
            <w:pPr>
              <w:jc w:val="right"/>
              <w:rPr>
                <w:rFonts w:ascii="Times New Roman" w:hAnsi="Times New Roman"/>
                <w:sz w:val="18"/>
                <w:szCs w:val="18"/>
              </w:rPr>
            </w:pPr>
            <w:r>
              <w:rPr>
                <w:sz w:val="18"/>
                <w:szCs w:val="18"/>
              </w:rPr>
              <w:t>40938,80</w:t>
            </w:r>
          </w:p>
        </w:tc>
        <w:tc>
          <w:tcPr>
            <w:tcW w:w="1053" w:type="dxa"/>
            <w:tcBorders>
              <w:top w:val="nil"/>
              <w:left w:val="nil"/>
              <w:bottom w:val="single" w:sz="4" w:space="0" w:color="auto"/>
              <w:right w:val="single" w:sz="4" w:space="0" w:color="auto"/>
            </w:tcBorders>
            <w:shd w:val="clear" w:color="000000" w:fill="CCFFFF"/>
            <w:noWrap/>
            <w:vAlign w:val="bottom"/>
            <w:hideMark/>
          </w:tcPr>
          <w:p w14:paraId="098CB60F" w14:textId="109F5B5F" w:rsidR="001D4AFA" w:rsidRPr="00CD6B25" w:rsidRDefault="001D4AFA" w:rsidP="001D4AFA">
            <w:pPr>
              <w:jc w:val="right"/>
              <w:rPr>
                <w:rFonts w:ascii="Times New Roman" w:hAnsi="Times New Roman"/>
                <w:sz w:val="18"/>
                <w:szCs w:val="18"/>
              </w:rPr>
            </w:pPr>
            <w:r>
              <w:rPr>
                <w:sz w:val="18"/>
                <w:szCs w:val="18"/>
              </w:rPr>
              <w:t>39147,49</w:t>
            </w:r>
          </w:p>
        </w:tc>
        <w:tc>
          <w:tcPr>
            <w:tcW w:w="1746" w:type="dxa"/>
            <w:tcBorders>
              <w:top w:val="nil"/>
              <w:left w:val="nil"/>
              <w:bottom w:val="single" w:sz="4" w:space="0" w:color="auto"/>
              <w:right w:val="single" w:sz="4" w:space="0" w:color="auto"/>
            </w:tcBorders>
            <w:shd w:val="clear" w:color="000000" w:fill="CCFFFF"/>
            <w:noWrap/>
            <w:vAlign w:val="bottom"/>
            <w:hideMark/>
          </w:tcPr>
          <w:p w14:paraId="76310143" w14:textId="4C811757" w:rsidR="001D4AFA" w:rsidRPr="00CD6B25" w:rsidRDefault="001D4AFA" w:rsidP="001D4AFA">
            <w:pPr>
              <w:jc w:val="right"/>
              <w:rPr>
                <w:rFonts w:ascii="Times New Roman" w:hAnsi="Times New Roman"/>
                <w:sz w:val="18"/>
                <w:szCs w:val="18"/>
              </w:rPr>
            </w:pPr>
            <w:r>
              <w:rPr>
                <w:sz w:val="18"/>
                <w:szCs w:val="18"/>
              </w:rPr>
              <w:t>-42,39</w:t>
            </w:r>
          </w:p>
        </w:tc>
      </w:tr>
      <w:tr w:rsidR="001D4AFA" w:rsidRPr="00CD6B25" w14:paraId="462F367A"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6305CE3" w14:textId="77777777" w:rsidR="001D4AFA" w:rsidRPr="00CD6B25" w:rsidRDefault="001D4AFA" w:rsidP="001D4AFA">
            <w:pPr>
              <w:jc w:val="left"/>
              <w:rPr>
                <w:rFonts w:ascii="Times New Roman" w:hAnsi="Times New Roman"/>
                <w:sz w:val="18"/>
                <w:szCs w:val="18"/>
              </w:rPr>
            </w:pPr>
            <w:r w:rsidRPr="00CD6B25">
              <w:rPr>
                <w:rFonts w:ascii="Times New Roman" w:hAnsi="Times New Roman"/>
                <w:sz w:val="18"/>
                <w:szCs w:val="18"/>
              </w:rPr>
              <w:t>HFCs</w:t>
            </w:r>
          </w:p>
        </w:tc>
        <w:tc>
          <w:tcPr>
            <w:tcW w:w="1053" w:type="dxa"/>
            <w:tcBorders>
              <w:top w:val="nil"/>
              <w:left w:val="nil"/>
              <w:bottom w:val="single" w:sz="4" w:space="0" w:color="auto"/>
              <w:right w:val="single" w:sz="4" w:space="0" w:color="auto"/>
            </w:tcBorders>
            <w:shd w:val="clear" w:color="000000" w:fill="CCFFFF"/>
            <w:noWrap/>
            <w:vAlign w:val="bottom"/>
            <w:hideMark/>
          </w:tcPr>
          <w:p w14:paraId="58681DB8" w14:textId="0F69378E" w:rsidR="001D4AFA" w:rsidRPr="00CD6B25" w:rsidRDefault="001D4AFA" w:rsidP="001D4AFA">
            <w:pPr>
              <w:jc w:val="right"/>
              <w:rPr>
                <w:rFonts w:ascii="Times New Roman" w:hAnsi="Times New Roman"/>
                <w:sz w:val="18"/>
                <w:szCs w:val="18"/>
              </w:rPr>
            </w:pPr>
            <w:r>
              <w:rPr>
                <w:sz w:val="18"/>
                <w:szCs w:val="18"/>
              </w:rPr>
              <w:t>12992,42</w:t>
            </w:r>
          </w:p>
        </w:tc>
        <w:tc>
          <w:tcPr>
            <w:tcW w:w="1053" w:type="dxa"/>
            <w:tcBorders>
              <w:top w:val="nil"/>
              <w:left w:val="nil"/>
              <w:bottom w:val="single" w:sz="4" w:space="0" w:color="auto"/>
              <w:right w:val="single" w:sz="4" w:space="0" w:color="auto"/>
            </w:tcBorders>
            <w:shd w:val="clear" w:color="000000" w:fill="CCFFFF"/>
            <w:noWrap/>
            <w:vAlign w:val="bottom"/>
            <w:hideMark/>
          </w:tcPr>
          <w:p w14:paraId="2D4910F5" w14:textId="5284F8FC" w:rsidR="001D4AFA" w:rsidRPr="00CD6B25" w:rsidRDefault="001D4AFA" w:rsidP="001D4AFA">
            <w:pPr>
              <w:jc w:val="right"/>
              <w:rPr>
                <w:rFonts w:ascii="Times New Roman" w:hAnsi="Times New Roman"/>
                <w:sz w:val="18"/>
                <w:szCs w:val="18"/>
              </w:rPr>
            </w:pPr>
            <w:r>
              <w:rPr>
                <w:sz w:val="18"/>
                <w:szCs w:val="18"/>
              </w:rPr>
              <w:t>11735,32</w:t>
            </w:r>
          </w:p>
        </w:tc>
        <w:tc>
          <w:tcPr>
            <w:tcW w:w="1746" w:type="dxa"/>
            <w:tcBorders>
              <w:top w:val="nil"/>
              <w:left w:val="nil"/>
              <w:bottom w:val="single" w:sz="4" w:space="0" w:color="auto"/>
              <w:right w:val="single" w:sz="4" w:space="0" w:color="auto"/>
            </w:tcBorders>
            <w:shd w:val="clear" w:color="000000" w:fill="CCFFFF"/>
            <w:noWrap/>
            <w:vAlign w:val="bottom"/>
            <w:hideMark/>
          </w:tcPr>
          <w:p w14:paraId="671C5D2B" w14:textId="5250B071" w:rsidR="001D4AFA" w:rsidRPr="00CD6B25" w:rsidRDefault="001D4AFA" w:rsidP="001D4AFA">
            <w:pPr>
              <w:jc w:val="right"/>
              <w:rPr>
                <w:rFonts w:ascii="Times New Roman" w:hAnsi="Times New Roman"/>
                <w:sz w:val="18"/>
                <w:szCs w:val="18"/>
              </w:rPr>
            </w:pPr>
            <w:r>
              <w:rPr>
                <w:sz w:val="18"/>
                <w:szCs w:val="18"/>
              </w:rPr>
              <w:t>166,58</w:t>
            </w:r>
          </w:p>
        </w:tc>
      </w:tr>
      <w:tr w:rsidR="001D4AFA" w:rsidRPr="00CD6B25" w14:paraId="2D8735C6"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C49C9D4" w14:textId="77777777" w:rsidR="001D4AFA" w:rsidRPr="00CD6B25" w:rsidRDefault="001D4AFA" w:rsidP="001D4AFA">
            <w:pPr>
              <w:jc w:val="left"/>
              <w:rPr>
                <w:rFonts w:ascii="Times New Roman" w:hAnsi="Times New Roman"/>
                <w:sz w:val="18"/>
                <w:szCs w:val="18"/>
              </w:rPr>
            </w:pPr>
            <w:r w:rsidRPr="00CD6B25">
              <w:rPr>
                <w:rFonts w:ascii="Times New Roman" w:hAnsi="Times New Roman"/>
                <w:sz w:val="18"/>
                <w:szCs w:val="18"/>
              </w:rPr>
              <w:t>PFCs</w:t>
            </w:r>
          </w:p>
        </w:tc>
        <w:tc>
          <w:tcPr>
            <w:tcW w:w="1053" w:type="dxa"/>
            <w:tcBorders>
              <w:top w:val="nil"/>
              <w:left w:val="nil"/>
              <w:bottom w:val="single" w:sz="4" w:space="0" w:color="auto"/>
              <w:right w:val="single" w:sz="4" w:space="0" w:color="auto"/>
            </w:tcBorders>
            <w:shd w:val="clear" w:color="000000" w:fill="CCFFFF"/>
            <w:noWrap/>
            <w:vAlign w:val="bottom"/>
            <w:hideMark/>
          </w:tcPr>
          <w:p w14:paraId="55D085E2" w14:textId="7C8DB12B" w:rsidR="001D4AFA" w:rsidRPr="00CD6B25" w:rsidRDefault="001D4AFA" w:rsidP="001D4AFA">
            <w:pPr>
              <w:jc w:val="right"/>
              <w:rPr>
                <w:rFonts w:ascii="Times New Roman" w:hAnsi="Times New Roman"/>
                <w:sz w:val="18"/>
                <w:szCs w:val="18"/>
              </w:rPr>
            </w:pPr>
            <w:r>
              <w:rPr>
                <w:sz w:val="18"/>
                <w:szCs w:val="18"/>
              </w:rPr>
              <w:t>615,40</w:t>
            </w:r>
          </w:p>
        </w:tc>
        <w:tc>
          <w:tcPr>
            <w:tcW w:w="1053" w:type="dxa"/>
            <w:tcBorders>
              <w:top w:val="nil"/>
              <w:left w:val="nil"/>
              <w:bottom w:val="single" w:sz="4" w:space="0" w:color="auto"/>
              <w:right w:val="single" w:sz="4" w:space="0" w:color="auto"/>
            </w:tcBorders>
            <w:shd w:val="clear" w:color="000000" w:fill="CCFFFF"/>
            <w:noWrap/>
            <w:vAlign w:val="bottom"/>
            <w:hideMark/>
          </w:tcPr>
          <w:p w14:paraId="3BAD0DF6" w14:textId="62D2C1D2" w:rsidR="001D4AFA" w:rsidRPr="00CD6B25" w:rsidRDefault="001D4AFA" w:rsidP="001D4AFA">
            <w:pPr>
              <w:jc w:val="right"/>
              <w:rPr>
                <w:rFonts w:ascii="Times New Roman" w:hAnsi="Times New Roman"/>
                <w:sz w:val="18"/>
                <w:szCs w:val="18"/>
              </w:rPr>
            </w:pPr>
            <w:r>
              <w:rPr>
                <w:sz w:val="18"/>
                <w:szCs w:val="18"/>
              </w:rPr>
              <w:t>543,49</w:t>
            </w:r>
          </w:p>
        </w:tc>
        <w:tc>
          <w:tcPr>
            <w:tcW w:w="1746" w:type="dxa"/>
            <w:tcBorders>
              <w:top w:val="nil"/>
              <w:left w:val="nil"/>
              <w:bottom w:val="single" w:sz="4" w:space="0" w:color="auto"/>
              <w:right w:val="single" w:sz="4" w:space="0" w:color="auto"/>
            </w:tcBorders>
            <w:shd w:val="clear" w:color="000000" w:fill="CCFFFF"/>
            <w:noWrap/>
            <w:vAlign w:val="bottom"/>
            <w:hideMark/>
          </w:tcPr>
          <w:p w14:paraId="78FD6E8E" w14:textId="4A62713A" w:rsidR="001D4AFA" w:rsidRPr="00CD6B25" w:rsidRDefault="001D4AFA" w:rsidP="001D4AFA">
            <w:pPr>
              <w:jc w:val="right"/>
              <w:rPr>
                <w:rFonts w:ascii="Times New Roman" w:hAnsi="Times New Roman"/>
                <w:sz w:val="18"/>
                <w:szCs w:val="18"/>
              </w:rPr>
            </w:pPr>
            <w:r>
              <w:rPr>
                <w:sz w:val="18"/>
                <w:szCs w:val="18"/>
              </w:rPr>
              <w:t>-89,55</w:t>
            </w:r>
          </w:p>
        </w:tc>
      </w:tr>
      <w:tr w:rsidR="001D4AFA" w:rsidRPr="00CD6B25" w14:paraId="5B7E8A06"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3726ADE5" w14:textId="77777777" w:rsidR="001D4AFA" w:rsidRPr="00CD6B25" w:rsidRDefault="001D4AFA" w:rsidP="001D4AFA">
            <w:pPr>
              <w:jc w:val="left"/>
              <w:rPr>
                <w:rFonts w:ascii="Times New Roman" w:hAnsi="Times New Roman"/>
                <w:sz w:val="18"/>
                <w:szCs w:val="18"/>
                <w:lang w:val="en-GB"/>
              </w:rPr>
            </w:pPr>
            <w:r w:rsidRPr="00CD6B25">
              <w:rPr>
                <w:rFonts w:ascii="Times New Roman" w:hAnsi="Times New Roman"/>
                <w:sz w:val="18"/>
                <w:szCs w:val="18"/>
                <w:lang w:val="en-GB"/>
              </w:rPr>
              <w:t>Unspecified mix of HFCs and PFCs</w:t>
            </w:r>
          </w:p>
        </w:tc>
        <w:tc>
          <w:tcPr>
            <w:tcW w:w="1053" w:type="dxa"/>
            <w:tcBorders>
              <w:top w:val="nil"/>
              <w:left w:val="nil"/>
              <w:bottom w:val="single" w:sz="4" w:space="0" w:color="auto"/>
              <w:right w:val="single" w:sz="4" w:space="0" w:color="auto"/>
            </w:tcBorders>
            <w:shd w:val="clear" w:color="000000" w:fill="CCFFFF"/>
            <w:noWrap/>
            <w:vAlign w:val="bottom"/>
            <w:hideMark/>
          </w:tcPr>
          <w:p w14:paraId="61E9F02C" w14:textId="3D9E930A" w:rsidR="001D4AFA" w:rsidRPr="00CD6B25" w:rsidRDefault="001D4AFA" w:rsidP="001D4AFA">
            <w:pPr>
              <w:jc w:val="right"/>
              <w:rPr>
                <w:rFonts w:ascii="Times New Roman" w:hAnsi="Times New Roman"/>
                <w:sz w:val="18"/>
                <w:szCs w:val="18"/>
              </w:rPr>
            </w:pPr>
            <w:r>
              <w:rPr>
                <w:sz w:val="18"/>
                <w:szCs w:val="18"/>
              </w:rPr>
              <w:t>NO,NA</w:t>
            </w:r>
          </w:p>
        </w:tc>
        <w:tc>
          <w:tcPr>
            <w:tcW w:w="1053" w:type="dxa"/>
            <w:tcBorders>
              <w:top w:val="nil"/>
              <w:left w:val="nil"/>
              <w:bottom w:val="single" w:sz="4" w:space="0" w:color="auto"/>
              <w:right w:val="single" w:sz="4" w:space="0" w:color="auto"/>
            </w:tcBorders>
            <w:shd w:val="clear" w:color="000000" w:fill="CCFFFF"/>
            <w:noWrap/>
            <w:vAlign w:val="bottom"/>
            <w:hideMark/>
          </w:tcPr>
          <w:p w14:paraId="66AFBAD9" w14:textId="077BBFBA" w:rsidR="001D4AFA" w:rsidRPr="00CD6B25" w:rsidRDefault="001D4AFA" w:rsidP="001D4AFA">
            <w:pPr>
              <w:jc w:val="right"/>
              <w:rPr>
                <w:rFonts w:ascii="Times New Roman" w:hAnsi="Times New Roman"/>
                <w:sz w:val="18"/>
                <w:szCs w:val="18"/>
              </w:rPr>
            </w:pPr>
            <w:r>
              <w:rPr>
                <w:sz w:val="18"/>
                <w:szCs w:val="18"/>
              </w:rPr>
              <w:t>NO,NA</w:t>
            </w:r>
          </w:p>
        </w:tc>
        <w:tc>
          <w:tcPr>
            <w:tcW w:w="1746" w:type="dxa"/>
            <w:tcBorders>
              <w:top w:val="nil"/>
              <w:left w:val="nil"/>
              <w:bottom w:val="single" w:sz="4" w:space="0" w:color="auto"/>
              <w:right w:val="single" w:sz="4" w:space="0" w:color="auto"/>
            </w:tcBorders>
            <w:shd w:val="clear" w:color="000000" w:fill="CCFFFF"/>
            <w:noWrap/>
            <w:vAlign w:val="bottom"/>
            <w:hideMark/>
          </w:tcPr>
          <w:p w14:paraId="7EA00220" w14:textId="3176F4EC" w:rsidR="001D4AFA" w:rsidRPr="00CD6B25" w:rsidRDefault="001D4AFA" w:rsidP="001D4AFA">
            <w:pPr>
              <w:jc w:val="right"/>
              <w:rPr>
                <w:rFonts w:ascii="Times New Roman" w:hAnsi="Times New Roman"/>
                <w:sz w:val="18"/>
                <w:szCs w:val="18"/>
              </w:rPr>
            </w:pPr>
            <w:r>
              <w:rPr>
                <w:sz w:val="18"/>
                <w:szCs w:val="18"/>
              </w:rPr>
              <w:t>0,00</w:t>
            </w:r>
          </w:p>
        </w:tc>
      </w:tr>
      <w:tr w:rsidR="001D4AFA" w:rsidRPr="00CD6B25" w14:paraId="22DD0467"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2081E086" w14:textId="521841D5" w:rsidR="001D4AFA" w:rsidRPr="00CD6B25" w:rsidRDefault="001D4AFA" w:rsidP="001D4AFA">
            <w:pPr>
              <w:jc w:val="left"/>
              <w:rPr>
                <w:rFonts w:ascii="Times New Roman" w:hAnsi="Times New Roman"/>
                <w:sz w:val="18"/>
                <w:szCs w:val="18"/>
              </w:rPr>
            </w:pPr>
            <w:r>
              <w:t>SF</w:t>
            </w:r>
            <w:r w:rsidRPr="007F09F7">
              <w:rPr>
                <w:vertAlign w:val="subscript"/>
              </w:rPr>
              <w:t>6</w:t>
            </w:r>
          </w:p>
        </w:tc>
        <w:tc>
          <w:tcPr>
            <w:tcW w:w="1053" w:type="dxa"/>
            <w:tcBorders>
              <w:top w:val="nil"/>
              <w:left w:val="nil"/>
              <w:bottom w:val="single" w:sz="4" w:space="0" w:color="auto"/>
              <w:right w:val="single" w:sz="4" w:space="0" w:color="auto"/>
            </w:tcBorders>
            <w:shd w:val="clear" w:color="000000" w:fill="CCFFFF"/>
            <w:noWrap/>
            <w:vAlign w:val="bottom"/>
            <w:hideMark/>
          </w:tcPr>
          <w:p w14:paraId="318F2E13" w14:textId="3B9EDDF9" w:rsidR="001D4AFA" w:rsidRPr="00CD6B25" w:rsidRDefault="001D4AFA" w:rsidP="001D4AFA">
            <w:pPr>
              <w:jc w:val="right"/>
              <w:rPr>
                <w:rFonts w:ascii="Times New Roman" w:hAnsi="Times New Roman"/>
                <w:sz w:val="18"/>
                <w:szCs w:val="18"/>
              </w:rPr>
            </w:pPr>
            <w:r>
              <w:rPr>
                <w:sz w:val="18"/>
                <w:szCs w:val="18"/>
              </w:rPr>
              <w:t>385,40</w:t>
            </w:r>
          </w:p>
        </w:tc>
        <w:tc>
          <w:tcPr>
            <w:tcW w:w="1053" w:type="dxa"/>
            <w:tcBorders>
              <w:top w:val="nil"/>
              <w:left w:val="nil"/>
              <w:bottom w:val="single" w:sz="4" w:space="0" w:color="auto"/>
              <w:right w:val="single" w:sz="4" w:space="0" w:color="auto"/>
            </w:tcBorders>
            <w:shd w:val="clear" w:color="000000" w:fill="CCFFFF"/>
            <w:noWrap/>
            <w:vAlign w:val="bottom"/>
            <w:hideMark/>
          </w:tcPr>
          <w:p w14:paraId="5CE76DFC" w14:textId="58B663EF" w:rsidR="001D4AFA" w:rsidRPr="00CD6B25" w:rsidRDefault="001D4AFA" w:rsidP="001D4AFA">
            <w:pPr>
              <w:jc w:val="right"/>
              <w:rPr>
                <w:rFonts w:ascii="Times New Roman" w:hAnsi="Times New Roman"/>
                <w:sz w:val="18"/>
                <w:szCs w:val="18"/>
              </w:rPr>
            </w:pPr>
            <w:r>
              <w:rPr>
                <w:sz w:val="18"/>
                <w:szCs w:val="18"/>
              </w:rPr>
              <w:t>346,60</w:t>
            </w:r>
          </w:p>
        </w:tc>
        <w:tc>
          <w:tcPr>
            <w:tcW w:w="1746" w:type="dxa"/>
            <w:tcBorders>
              <w:top w:val="nil"/>
              <w:left w:val="nil"/>
              <w:bottom w:val="single" w:sz="4" w:space="0" w:color="auto"/>
              <w:right w:val="single" w:sz="4" w:space="0" w:color="auto"/>
            </w:tcBorders>
            <w:shd w:val="clear" w:color="000000" w:fill="CCFFFF"/>
            <w:noWrap/>
            <w:vAlign w:val="bottom"/>
            <w:hideMark/>
          </w:tcPr>
          <w:p w14:paraId="357349A5" w14:textId="6824B6CA" w:rsidR="001D4AFA" w:rsidRPr="00CD6B25" w:rsidRDefault="001D4AFA" w:rsidP="001D4AFA">
            <w:pPr>
              <w:jc w:val="right"/>
              <w:rPr>
                <w:rFonts w:ascii="Times New Roman" w:hAnsi="Times New Roman"/>
                <w:sz w:val="18"/>
                <w:szCs w:val="18"/>
              </w:rPr>
            </w:pPr>
            <w:r>
              <w:rPr>
                <w:sz w:val="18"/>
                <w:szCs w:val="18"/>
              </w:rPr>
              <w:t>-83,91</w:t>
            </w:r>
          </w:p>
        </w:tc>
      </w:tr>
      <w:tr w:rsidR="001D4AFA" w:rsidRPr="00CD6B25" w14:paraId="3587AF9C" w14:textId="77777777" w:rsidTr="001D4AFA">
        <w:trPr>
          <w:trHeight w:val="270"/>
          <w:jc w:val="center"/>
        </w:trPr>
        <w:tc>
          <w:tcPr>
            <w:tcW w:w="3805" w:type="dxa"/>
            <w:tcBorders>
              <w:top w:val="nil"/>
              <w:left w:val="single" w:sz="4" w:space="0" w:color="auto"/>
              <w:bottom w:val="single" w:sz="4" w:space="0" w:color="auto"/>
              <w:right w:val="single" w:sz="4" w:space="0" w:color="auto"/>
            </w:tcBorders>
            <w:shd w:val="clear" w:color="000000" w:fill="CCFFFF"/>
            <w:noWrap/>
            <w:vAlign w:val="center"/>
            <w:hideMark/>
          </w:tcPr>
          <w:p w14:paraId="13FEA582" w14:textId="3E050BD4" w:rsidR="001D4AFA" w:rsidRPr="00CD6B25" w:rsidRDefault="001D4AFA" w:rsidP="001D4AFA">
            <w:pPr>
              <w:jc w:val="left"/>
              <w:rPr>
                <w:rFonts w:ascii="Times New Roman" w:hAnsi="Times New Roman"/>
                <w:sz w:val="18"/>
                <w:szCs w:val="18"/>
              </w:rPr>
            </w:pPr>
            <w:r>
              <w:rPr>
                <w:sz w:val="18"/>
              </w:rPr>
              <w:t>NF</w:t>
            </w:r>
            <w:r w:rsidRPr="007F09F7">
              <w:rPr>
                <w:sz w:val="18"/>
                <w:vertAlign w:val="subscript"/>
              </w:rPr>
              <w:t>3</w:t>
            </w:r>
          </w:p>
        </w:tc>
        <w:tc>
          <w:tcPr>
            <w:tcW w:w="1053" w:type="dxa"/>
            <w:tcBorders>
              <w:top w:val="nil"/>
              <w:left w:val="nil"/>
              <w:bottom w:val="single" w:sz="4" w:space="0" w:color="auto"/>
              <w:right w:val="single" w:sz="4" w:space="0" w:color="auto"/>
            </w:tcBorders>
            <w:shd w:val="clear" w:color="000000" w:fill="CCFFFF"/>
            <w:noWrap/>
            <w:vAlign w:val="bottom"/>
            <w:hideMark/>
          </w:tcPr>
          <w:p w14:paraId="2B2027A5" w14:textId="638563F5" w:rsidR="001D4AFA" w:rsidRPr="00CD6B25" w:rsidRDefault="001D4AFA" w:rsidP="001D4AFA">
            <w:pPr>
              <w:jc w:val="right"/>
              <w:rPr>
                <w:rFonts w:ascii="Times New Roman" w:hAnsi="Times New Roman"/>
                <w:sz w:val="18"/>
                <w:szCs w:val="18"/>
              </w:rPr>
            </w:pPr>
            <w:r>
              <w:rPr>
                <w:sz w:val="18"/>
                <w:szCs w:val="18"/>
              </w:rPr>
              <w:t>10,29</w:t>
            </w:r>
          </w:p>
        </w:tc>
        <w:tc>
          <w:tcPr>
            <w:tcW w:w="1053" w:type="dxa"/>
            <w:tcBorders>
              <w:top w:val="nil"/>
              <w:left w:val="nil"/>
              <w:bottom w:val="single" w:sz="4" w:space="0" w:color="auto"/>
              <w:right w:val="single" w:sz="4" w:space="0" w:color="auto"/>
            </w:tcBorders>
            <w:shd w:val="clear" w:color="000000" w:fill="CCFFFF"/>
            <w:noWrap/>
            <w:vAlign w:val="bottom"/>
            <w:hideMark/>
          </w:tcPr>
          <w:p w14:paraId="0B9DC05C" w14:textId="0F58A285" w:rsidR="001D4AFA" w:rsidRPr="00CD6B25" w:rsidRDefault="001D4AFA" w:rsidP="001D4AFA">
            <w:pPr>
              <w:jc w:val="right"/>
              <w:rPr>
                <w:rFonts w:ascii="Times New Roman" w:hAnsi="Times New Roman"/>
                <w:sz w:val="18"/>
                <w:szCs w:val="18"/>
              </w:rPr>
            </w:pPr>
            <w:r>
              <w:rPr>
                <w:sz w:val="18"/>
                <w:szCs w:val="18"/>
              </w:rPr>
              <w:t>8,54</w:t>
            </w:r>
          </w:p>
        </w:tc>
        <w:tc>
          <w:tcPr>
            <w:tcW w:w="1746" w:type="dxa"/>
            <w:tcBorders>
              <w:top w:val="nil"/>
              <w:left w:val="nil"/>
              <w:bottom w:val="single" w:sz="4" w:space="0" w:color="auto"/>
              <w:right w:val="single" w:sz="4" w:space="0" w:color="auto"/>
            </w:tcBorders>
            <w:shd w:val="clear" w:color="000000" w:fill="CCFFFF"/>
            <w:noWrap/>
            <w:vAlign w:val="bottom"/>
            <w:hideMark/>
          </w:tcPr>
          <w:p w14:paraId="3DE92D9D" w14:textId="565F8D19" w:rsidR="001D4AFA" w:rsidRPr="00CD6B25" w:rsidRDefault="001D4AFA" w:rsidP="001D4AFA">
            <w:pPr>
              <w:jc w:val="right"/>
              <w:rPr>
                <w:rFonts w:ascii="Times New Roman" w:hAnsi="Times New Roman"/>
                <w:sz w:val="18"/>
                <w:szCs w:val="18"/>
              </w:rPr>
            </w:pPr>
            <w:r>
              <w:rPr>
                <w:sz w:val="18"/>
                <w:szCs w:val="18"/>
              </w:rPr>
              <w:t>-48,18</w:t>
            </w:r>
          </w:p>
        </w:tc>
      </w:tr>
      <w:tr w:rsidR="001D4AFA" w:rsidRPr="00CD6B25" w14:paraId="1009BB33"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3168C9C4" w14:textId="77777777" w:rsidR="001D4AFA" w:rsidRPr="00CD6B25" w:rsidRDefault="001D4AFA" w:rsidP="001D4AFA">
            <w:pPr>
              <w:jc w:val="left"/>
              <w:rPr>
                <w:rFonts w:ascii="Times New Roman" w:hAnsi="Times New Roman"/>
                <w:b/>
                <w:bCs/>
                <w:sz w:val="18"/>
                <w:szCs w:val="18"/>
              </w:rPr>
            </w:pPr>
            <w:r w:rsidRPr="00CD6B25">
              <w:rPr>
                <w:rFonts w:ascii="Times New Roman" w:hAnsi="Times New Roman"/>
                <w:b/>
                <w:bCs/>
                <w:sz w:val="18"/>
                <w:szCs w:val="18"/>
              </w:rPr>
              <w:t>Total (without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1C1132BB" w14:textId="2AB4EE8C" w:rsidR="001D4AFA" w:rsidRPr="00CD6B25" w:rsidRDefault="001D4AFA" w:rsidP="001D4AFA">
            <w:pPr>
              <w:jc w:val="right"/>
              <w:rPr>
                <w:rFonts w:ascii="Times New Roman" w:hAnsi="Times New Roman"/>
                <w:sz w:val="18"/>
                <w:szCs w:val="18"/>
              </w:rPr>
            </w:pPr>
            <w:r>
              <w:rPr>
                <w:sz w:val="18"/>
                <w:szCs w:val="18"/>
              </w:rPr>
              <w:t>434539,77</w:t>
            </w:r>
          </w:p>
        </w:tc>
        <w:tc>
          <w:tcPr>
            <w:tcW w:w="1053" w:type="dxa"/>
            <w:tcBorders>
              <w:top w:val="nil"/>
              <w:left w:val="nil"/>
              <w:bottom w:val="single" w:sz="4" w:space="0" w:color="auto"/>
              <w:right w:val="single" w:sz="4" w:space="0" w:color="auto"/>
            </w:tcBorders>
            <w:shd w:val="clear" w:color="000000" w:fill="CCFFFF"/>
            <w:noWrap/>
            <w:vAlign w:val="bottom"/>
            <w:hideMark/>
          </w:tcPr>
          <w:p w14:paraId="5AD3F132" w14:textId="7A302B00" w:rsidR="001D4AFA" w:rsidRPr="00CD6B25" w:rsidRDefault="001D4AFA" w:rsidP="001D4AFA">
            <w:pPr>
              <w:jc w:val="right"/>
              <w:rPr>
                <w:rFonts w:ascii="Times New Roman" w:hAnsi="Times New Roman"/>
                <w:sz w:val="18"/>
                <w:szCs w:val="18"/>
              </w:rPr>
            </w:pPr>
            <w:r>
              <w:rPr>
                <w:sz w:val="18"/>
                <w:szCs w:val="18"/>
              </w:rPr>
              <w:t>392962,57</w:t>
            </w:r>
          </w:p>
        </w:tc>
        <w:tc>
          <w:tcPr>
            <w:tcW w:w="1746" w:type="dxa"/>
            <w:tcBorders>
              <w:top w:val="nil"/>
              <w:left w:val="nil"/>
              <w:bottom w:val="single" w:sz="4" w:space="0" w:color="auto"/>
              <w:right w:val="single" w:sz="4" w:space="0" w:color="auto"/>
            </w:tcBorders>
            <w:shd w:val="clear" w:color="000000" w:fill="CCFFFF"/>
            <w:noWrap/>
            <w:vAlign w:val="bottom"/>
            <w:hideMark/>
          </w:tcPr>
          <w:p w14:paraId="0FD8ED06" w14:textId="24EE9D68" w:rsidR="001D4AFA" w:rsidRPr="00CD6B25" w:rsidRDefault="001D4AFA" w:rsidP="001D4AFA">
            <w:pPr>
              <w:jc w:val="right"/>
              <w:rPr>
                <w:rFonts w:ascii="Times New Roman" w:hAnsi="Times New Roman"/>
                <w:sz w:val="18"/>
                <w:szCs w:val="18"/>
              </w:rPr>
            </w:pPr>
            <w:r>
              <w:rPr>
                <w:sz w:val="18"/>
                <w:szCs w:val="18"/>
              </w:rPr>
              <w:t>-27,78</w:t>
            </w:r>
          </w:p>
        </w:tc>
      </w:tr>
      <w:tr w:rsidR="001D4AFA" w:rsidRPr="00CD6B25" w14:paraId="294385DF"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605F59F5" w14:textId="77777777" w:rsidR="001D4AFA" w:rsidRPr="00CD6B25" w:rsidRDefault="001D4AFA" w:rsidP="001D4AFA">
            <w:pPr>
              <w:jc w:val="left"/>
              <w:rPr>
                <w:rFonts w:ascii="Times New Roman" w:hAnsi="Times New Roman"/>
                <w:b/>
                <w:bCs/>
                <w:sz w:val="18"/>
                <w:szCs w:val="18"/>
              </w:rPr>
            </w:pPr>
            <w:r w:rsidRPr="00CD6B25">
              <w:rPr>
                <w:rFonts w:ascii="Times New Roman" w:hAnsi="Times New Roman"/>
                <w:b/>
                <w:bCs/>
                <w:sz w:val="18"/>
                <w:szCs w:val="18"/>
              </w:rPr>
              <w:t>Total (with LULUCF)</w:t>
            </w:r>
          </w:p>
        </w:tc>
        <w:tc>
          <w:tcPr>
            <w:tcW w:w="1053" w:type="dxa"/>
            <w:tcBorders>
              <w:top w:val="nil"/>
              <w:left w:val="nil"/>
              <w:bottom w:val="single" w:sz="4" w:space="0" w:color="auto"/>
              <w:right w:val="single" w:sz="4" w:space="0" w:color="auto"/>
            </w:tcBorders>
            <w:shd w:val="clear" w:color="000000" w:fill="CCFFFF"/>
            <w:noWrap/>
            <w:vAlign w:val="bottom"/>
            <w:hideMark/>
          </w:tcPr>
          <w:p w14:paraId="450B0251" w14:textId="711962BD" w:rsidR="001D4AFA" w:rsidRPr="00CD6B25" w:rsidRDefault="001D4AFA" w:rsidP="001D4AFA">
            <w:pPr>
              <w:jc w:val="right"/>
              <w:rPr>
                <w:rFonts w:ascii="Times New Roman" w:hAnsi="Times New Roman"/>
                <w:sz w:val="18"/>
                <w:szCs w:val="18"/>
              </w:rPr>
            </w:pPr>
            <w:r>
              <w:rPr>
                <w:sz w:val="18"/>
                <w:szCs w:val="18"/>
              </w:rPr>
              <w:t>422251,61</w:t>
            </w:r>
          </w:p>
        </w:tc>
        <w:tc>
          <w:tcPr>
            <w:tcW w:w="1053" w:type="dxa"/>
            <w:tcBorders>
              <w:top w:val="nil"/>
              <w:left w:val="nil"/>
              <w:bottom w:val="single" w:sz="4" w:space="0" w:color="auto"/>
              <w:right w:val="single" w:sz="4" w:space="0" w:color="auto"/>
            </w:tcBorders>
            <w:shd w:val="clear" w:color="000000" w:fill="CCFFFF"/>
            <w:noWrap/>
            <w:vAlign w:val="bottom"/>
            <w:hideMark/>
          </w:tcPr>
          <w:p w14:paraId="5264AFFF" w14:textId="75EDE332" w:rsidR="001D4AFA" w:rsidRPr="00CD6B25" w:rsidRDefault="001D4AFA" w:rsidP="001D4AFA">
            <w:pPr>
              <w:jc w:val="right"/>
              <w:rPr>
                <w:rFonts w:ascii="Times New Roman" w:hAnsi="Times New Roman"/>
                <w:sz w:val="18"/>
                <w:szCs w:val="18"/>
              </w:rPr>
            </w:pPr>
            <w:r>
              <w:rPr>
                <w:sz w:val="18"/>
                <w:szCs w:val="18"/>
              </w:rPr>
              <w:t>378957,08</w:t>
            </w:r>
          </w:p>
        </w:tc>
        <w:tc>
          <w:tcPr>
            <w:tcW w:w="1746" w:type="dxa"/>
            <w:tcBorders>
              <w:top w:val="nil"/>
              <w:left w:val="nil"/>
              <w:bottom w:val="single" w:sz="4" w:space="0" w:color="auto"/>
              <w:right w:val="single" w:sz="4" w:space="0" w:color="auto"/>
            </w:tcBorders>
            <w:shd w:val="clear" w:color="000000" w:fill="CCFFFF"/>
            <w:noWrap/>
            <w:vAlign w:val="bottom"/>
            <w:hideMark/>
          </w:tcPr>
          <w:p w14:paraId="7BC0A9EB" w14:textId="4231DCCA" w:rsidR="001D4AFA" w:rsidRPr="00CD6B25" w:rsidRDefault="001D4AFA" w:rsidP="001D4AFA">
            <w:pPr>
              <w:jc w:val="right"/>
              <w:rPr>
                <w:rFonts w:ascii="Times New Roman" w:hAnsi="Times New Roman"/>
                <w:sz w:val="18"/>
                <w:szCs w:val="18"/>
              </w:rPr>
            </w:pPr>
            <w:r>
              <w:rPr>
                <w:sz w:val="18"/>
                <w:szCs w:val="18"/>
              </w:rPr>
              <w:t>-27,14</w:t>
            </w:r>
          </w:p>
        </w:tc>
      </w:tr>
      <w:tr w:rsidR="001D4AFA" w:rsidRPr="00CD6B25" w14:paraId="45D0AC72" w14:textId="77777777" w:rsidTr="001D4AFA">
        <w:trPr>
          <w:trHeight w:val="495"/>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1E738C43" w14:textId="77777777" w:rsidR="001D4AFA" w:rsidRPr="00CD6B25" w:rsidRDefault="001D4AFA" w:rsidP="001D4AFA">
            <w:pPr>
              <w:jc w:val="left"/>
              <w:rPr>
                <w:rFonts w:ascii="Times New Roman" w:hAnsi="Times New Roman"/>
                <w:b/>
                <w:bCs/>
                <w:sz w:val="18"/>
                <w:szCs w:val="18"/>
                <w:lang w:val="en-GB"/>
              </w:rPr>
            </w:pPr>
            <w:r w:rsidRPr="00CD6B25">
              <w:rPr>
                <w:rFonts w:ascii="Times New Roman" w:hAnsi="Times New Roman"/>
                <w:b/>
                <w:bCs/>
                <w:sz w:val="18"/>
                <w:szCs w:val="18"/>
                <w:lang w:val="en-GB"/>
              </w:rPr>
              <w:t>Total (without LULUCF, with indirect)</w:t>
            </w:r>
          </w:p>
        </w:tc>
        <w:tc>
          <w:tcPr>
            <w:tcW w:w="1053" w:type="dxa"/>
            <w:tcBorders>
              <w:top w:val="nil"/>
              <w:left w:val="nil"/>
              <w:bottom w:val="single" w:sz="4" w:space="0" w:color="auto"/>
              <w:right w:val="single" w:sz="4" w:space="0" w:color="auto"/>
            </w:tcBorders>
            <w:shd w:val="clear" w:color="000000" w:fill="CCFFFF"/>
            <w:noWrap/>
            <w:vAlign w:val="bottom"/>
            <w:hideMark/>
          </w:tcPr>
          <w:p w14:paraId="51D8AE6C" w14:textId="0DF01351" w:rsidR="001D4AFA" w:rsidRPr="00CD6B25" w:rsidRDefault="001D4AFA" w:rsidP="001D4AFA">
            <w:pPr>
              <w:jc w:val="right"/>
              <w:rPr>
                <w:rFonts w:ascii="Times New Roman" w:hAnsi="Times New Roman"/>
                <w:sz w:val="18"/>
                <w:szCs w:val="18"/>
              </w:rPr>
            </w:pPr>
            <w:r>
              <w:rPr>
                <w:sz w:val="18"/>
                <w:szCs w:val="18"/>
              </w:rPr>
              <w:t>NA</w:t>
            </w:r>
          </w:p>
        </w:tc>
        <w:tc>
          <w:tcPr>
            <w:tcW w:w="1053" w:type="dxa"/>
            <w:tcBorders>
              <w:top w:val="nil"/>
              <w:left w:val="nil"/>
              <w:bottom w:val="single" w:sz="4" w:space="0" w:color="auto"/>
              <w:right w:val="single" w:sz="4" w:space="0" w:color="auto"/>
            </w:tcBorders>
            <w:shd w:val="clear" w:color="000000" w:fill="CCFFFF"/>
            <w:noWrap/>
            <w:vAlign w:val="bottom"/>
            <w:hideMark/>
          </w:tcPr>
          <w:p w14:paraId="00A8350A" w14:textId="4E21CD69" w:rsidR="001D4AFA" w:rsidRPr="00CD6B25" w:rsidRDefault="001D4AFA" w:rsidP="001D4AFA">
            <w:pPr>
              <w:jc w:val="right"/>
              <w:rPr>
                <w:rFonts w:ascii="Times New Roman" w:hAnsi="Times New Roman"/>
                <w:sz w:val="18"/>
                <w:szCs w:val="18"/>
              </w:rPr>
            </w:pPr>
            <w:r>
              <w:rPr>
                <w:sz w:val="18"/>
                <w:szCs w:val="18"/>
              </w:rPr>
              <w:t>NA</w:t>
            </w:r>
          </w:p>
        </w:tc>
        <w:tc>
          <w:tcPr>
            <w:tcW w:w="1746" w:type="dxa"/>
            <w:tcBorders>
              <w:top w:val="nil"/>
              <w:left w:val="nil"/>
              <w:bottom w:val="single" w:sz="4" w:space="0" w:color="auto"/>
              <w:right w:val="single" w:sz="4" w:space="0" w:color="auto"/>
            </w:tcBorders>
            <w:shd w:val="clear" w:color="000000" w:fill="CCFFFF"/>
            <w:noWrap/>
            <w:vAlign w:val="bottom"/>
            <w:hideMark/>
          </w:tcPr>
          <w:p w14:paraId="50075EE7" w14:textId="01D21DD3" w:rsidR="001D4AFA" w:rsidRPr="00CD6B25" w:rsidRDefault="001D4AFA" w:rsidP="001D4AFA">
            <w:pPr>
              <w:jc w:val="right"/>
              <w:rPr>
                <w:rFonts w:ascii="Times New Roman" w:hAnsi="Times New Roman"/>
                <w:sz w:val="18"/>
                <w:szCs w:val="18"/>
              </w:rPr>
            </w:pPr>
            <w:r>
              <w:rPr>
                <w:sz w:val="18"/>
                <w:szCs w:val="18"/>
              </w:rPr>
              <w:t>0,00</w:t>
            </w:r>
          </w:p>
        </w:tc>
      </w:tr>
      <w:tr w:rsidR="001D4AFA" w:rsidRPr="00CD6B25" w14:paraId="702D3E81" w14:textId="77777777" w:rsidTr="001D4AFA">
        <w:trPr>
          <w:trHeight w:val="240"/>
          <w:jc w:val="center"/>
        </w:trPr>
        <w:tc>
          <w:tcPr>
            <w:tcW w:w="3805" w:type="dxa"/>
            <w:tcBorders>
              <w:top w:val="nil"/>
              <w:left w:val="single" w:sz="4" w:space="0" w:color="auto"/>
              <w:bottom w:val="single" w:sz="4" w:space="0" w:color="auto"/>
              <w:right w:val="single" w:sz="4" w:space="0" w:color="auto"/>
            </w:tcBorders>
            <w:shd w:val="clear" w:color="000000" w:fill="CCFFFF"/>
            <w:vAlign w:val="center"/>
            <w:hideMark/>
          </w:tcPr>
          <w:p w14:paraId="71745F43" w14:textId="77777777" w:rsidR="001D4AFA" w:rsidRPr="00CD6B25" w:rsidRDefault="001D4AFA" w:rsidP="001D4AFA">
            <w:pPr>
              <w:jc w:val="left"/>
              <w:rPr>
                <w:rFonts w:ascii="Times New Roman" w:hAnsi="Times New Roman"/>
                <w:b/>
                <w:bCs/>
                <w:sz w:val="18"/>
                <w:szCs w:val="18"/>
                <w:lang w:val="en-GB"/>
              </w:rPr>
            </w:pPr>
            <w:r w:rsidRPr="00CD6B25">
              <w:rPr>
                <w:rFonts w:ascii="Times New Roman" w:hAnsi="Times New Roman"/>
                <w:b/>
                <w:bCs/>
                <w:sz w:val="18"/>
                <w:szCs w:val="18"/>
                <w:lang w:val="en-GB"/>
              </w:rPr>
              <w:t>Total (with LULUCF, with indirect)</w:t>
            </w:r>
          </w:p>
        </w:tc>
        <w:tc>
          <w:tcPr>
            <w:tcW w:w="1053" w:type="dxa"/>
            <w:tcBorders>
              <w:top w:val="nil"/>
              <w:left w:val="nil"/>
              <w:bottom w:val="single" w:sz="4" w:space="0" w:color="auto"/>
              <w:right w:val="single" w:sz="4" w:space="0" w:color="auto"/>
            </w:tcBorders>
            <w:shd w:val="clear" w:color="000000" w:fill="CCFFFF"/>
            <w:noWrap/>
            <w:vAlign w:val="bottom"/>
            <w:hideMark/>
          </w:tcPr>
          <w:p w14:paraId="187782FB" w14:textId="74CED19C" w:rsidR="001D4AFA" w:rsidRPr="00CD6B25" w:rsidRDefault="001D4AFA" w:rsidP="001D4AFA">
            <w:pPr>
              <w:jc w:val="right"/>
              <w:rPr>
                <w:rFonts w:ascii="Times New Roman" w:hAnsi="Times New Roman"/>
                <w:sz w:val="18"/>
                <w:szCs w:val="18"/>
              </w:rPr>
            </w:pPr>
            <w:r>
              <w:rPr>
                <w:sz w:val="18"/>
                <w:szCs w:val="18"/>
              </w:rPr>
              <w:t>NA</w:t>
            </w:r>
          </w:p>
        </w:tc>
        <w:tc>
          <w:tcPr>
            <w:tcW w:w="1053" w:type="dxa"/>
            <w:tcBorders>
              <w:top w:val="nil"/>
              <w:left w:val="nil"/>
              <w:bottom w:val="single" w:sz="4" w:space="0" w:color="auto"/>
              <w:right w:val="single" w:sz="4" w:space="0" w:color="auto"/>
            </w:tcBorders>
            <w:shd w:val="clear" w:color="000000" w:fill="CCFFFF"/>
            <w:noWrap/>
            <w:vAlign w:val="bottom"/>
            <w:hideMark/>
          </w:tcPr>
          <w:p w14:paraId="3BE8918E" w14:textId="3D4C4316" w:rsidR="001D4AFA" w:rsidRPr="00CD6B25" w:rsidRDefault="001D4AFA" w:rsidP="001D4AFA">
            <w:pPr>
              <w:jc w:val="right"/>
              <w:rPr>
                <w:rFonts w:ascii="Times New Roman" w:hAnsi="Times New Roman"/>
                <w:sz w:val="18"/>
                <w:szCs w:val="18"/>
              </w:rPr>
            </w:pPr>
            <w:r>
              <w:rPr>
                <w:sz w:val="18"/>
                <w:szCs w:val="18"/>
              </w:rPr>
              <w:t>NA</w:t>
            </w:r>
          </w:p>
        </w:tc>
        <w:tc>
          <w:tcPr>
            <w:tcW w:w="1746" w:type="dxa"/>
            <w:tcBorders>
              <w:top w:val="nil"/>
              <w:left w:val="nil"/>
              <w:bottom w:val="single" w:sz="4" w:space="0" w:color="auto"/>
              <w:right w:val="single" w:sz="4" w:space="0" w:color="auto"/>
            </w:tcBorders>
            <w:shd w:val="clear" w:color="000000" w:fill="CCFFFF"/>
            <w:noWrap/>
            <w:vAlign w:val="bottom"/>
            <w:hideMark/>
          </w:tcPr>
          <w:p w14:paraId="6424BB2B" w14:textId="31B685AD" w:rsidR="001D4AFA" w:rsidRPr="00CD6B25" w:rsidRDefault="001D4AFA" w:rsidP="001D4AFA">
            <w:pPr>
              <w:jc w:val="right"/>
              <w:rPr>
                <w:rFonts w:ascii="Times New Roman" w:hAnsi="Times New Roman"/>
                <w:sz w:val="18"/>
                <w:szCs w:val="18"/>
              </w:rPr>
            </w:pPr>
            <w:r>
              <w:rPr>
                <w:sz w:val="18"/>
                <w:szCs w:val="18"/>
              </w:rPr>
              <w:t>0,00</w:t>
            </w:r>
          </w:p>
        </w:tc>
      </w:tr>
    </w:tbl>
    <w:p w14:paraId="12C3CB8F" w14:textId="77777777" w:rsidR="00B56301" w:rsidRDefault="00B56301" w:rsidP="00B56301">
      <w:pPr>
        <w:spacing w:line="240" w:lineRule="atLeast"/>
        <w:jc w:val="left"/>
        <w:rPr>
          <w:rFonts w:cs="Arial"/>
        </w:rPr>
      </w:pPr>
    </w:p>
    <w:p w14:paraId="7C64E79D" w14:textId="77777777" w:rsidR="00B56301" w:rsidRDefault="00B56301" w:rsidP="00B56301">
      <w:pPr>
        <w:spacing w:line="240" w:lineRule="atLeast"/>
        <w:jc w:val="left"/>
        <w:rPr>
          <w:rFonts w:cs="Arial"/>
        </w:rPr>
      </w:pPr>
      <w:r>
        <w:rPr>
          <w:rFonts w:cs="Arial"/>
        </w:rPr>
        <w:br w:type="page"/>
      </w:r>
    </w:p>
    <w:p w14:paraId="46167ADB" w14:textId="77777777" w:rsidR="00B56301" w:rsidRDefault="00B56301" w:rsidP="00B56301">
      <w:pPr>
        <w:spacing w:line="240" w:lineRule="atLeast"/>
        <w:jc w:val="left"/>
        <w:rPr>
          <w:rFonts w:cs="Arial"/>
        </w:rPr>
      </w:pPr>
    </w:p>
    <w:p w14:paraId="6773F11B" w14:textId="77777777" w:rsidR="00B56301" w:rsidRDefault="00B56301" w:rsidP="003F57EA">
      <w:pPr>
        <w:pStyle w:val="Titre2Niveau2"/>
        <w:numPr>
          <w:ilvl w:val="0"/>
          <w:numId w:val="62"/>
        </w:numPr>
      </w:pPr>
      <w:bookmarkStart w:id="825" w:name="_Toc138344567"/>
      <w:r>
        <w:t>Format SECTEN</w:t>
      </w:r>
      <w:bookmarkEnd w:id="825"/>
    </w:p>
    <w:p w14:paraId="65F598EF" w14:textId="77777777" w:rsidR="00B56301"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7253FC" w14:paraId="7F977D56" w14:textId="77777777" w:rsidTr="00B37B65">
        <w:trPr>
          <w:trHeight w:val="68"/>
          <w:jc w:val="center"/>
        </w:trPr>
        <w:tc>
          <w:tcPr>
            <w:tcW w:w="10704" w:type="dxa"/>
            <w:gridSpan w:val="9"/>
            <w:tcBorders>
              <w:top w:val="nil"/>
              <w:left w:val="nil"/>
              <w:bottom w:val="nil"/>
            </w:tcBorders>
            <w:shd w:val="clear" w:color="auto" w:fill="auto"/>
            <w:vAlign w:val="center"/>
          </w:tcPr>
          <w:p w14:paraId="19F8F9E5"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Emissions dans l'air - Source Citepa édition 2022 - inventaire national d'émissions de gaz à effet de serre et de polluants atmosphériques - citepa.org</w:t>
            </w:r>
          </w:p>
        </w:tc>
      </w:tr>
      <w:tr w:rsidR="00B56301" w:rsidRPr="007253FC" w14:paraId="11A597DB" w14:textId="77777777" w:rsidTr="00B37B65">
        <w:trPr>
          <w:trHeight w:val="68"/>
          <w:jc w:val="center"/>
        </w:trPr>
        <w:tc>
          <w:tcPr>
            <w:tcW w:w="10704" w:type="dxa"/>
            <w:gridSpan w:val="9"/>
            <w:tcBorders>
              <w:top w:val="nil"/>
              <w:left w:val="nil"/>
            </w:tcBorders>
            <w:shd w:val="clear" w:color="auto" w:fill="auto"/>
            <w:vAlign w:val="center"/>
          </w:tcPr>
          <w:p w14:paraId="71B04074"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Méthodologie d'estimation : citepa.org/ominea</w:t>
            </w:r>
          </w:p>
        </w:tc>
      </w:tr>
      <w:tr w:rsidR="00B56301" w:rsidRPr="007253FC" w14:paraId="02E4F326" w14:textId="77777777" w:rsidTr="00B37B65">
        <w:trPr>
          <w:trHeight w:val="68"/>
          <w:jc w:val="center"/>
        </w:trPr>
        <w:tc>
          <w:tcPr>
            <w:tcW w:w="10704" w:type="dxa"/>
            <w:gridSpan w:val="9"/>
            <w:tcBorders>
              <w:top w:val="nil"/>
              <w:left w:val="nil"/>
              <w:bottom w:val="nil"/>
            </w:tcBorders>
            <w:shd w:val="clear" w:color="auto" w:fill="auto"/>
            <w:vAlign w:val="center"/>
          </w:tcPr>
          <w:p w14:paraId="18BF6DD3" w14:textId="77777777" w:rsidR="00B56301" w:rsidRPr="007253FC" w:rsidRDefault="00B56301" w:rsidP="00B37B65">
            <w:pPr>
              <w:jc w:val="center"/>
              <w:rPr>
                <w:rFonts w:ascii="Trebuchet MS" w:hAnsi="Trebuchet MS" w:cs="Arial"/>
                <w:b/>
                <w:bCs/>
                <w:sz w:val="18"/>
                <w:szCs w:val="18"/>
              </w:rPr>
            </w:pPr>
          </w:p>
        </w:tc>
      </w:tr>
      <w:tr w:rsidR="00B56301" w:rsidRPr="007253FC" w14:paraId="3F99BBB3" w14:textId="77777777" w:rsidTr="00B37B65">
        <w:trPr>
          <w:trHeight w:val="68"/>
          <w:jc w:val="center"/>
        </w:trPr>
        <w:tc>
          <w:tcPr>
            <w:tcW w:w="5680" w:type="dxa"/>
            <w:tcBorders>
              <w:top w:val="nil"/>
              <w:left w:val="nil"/>
              <w:bottom w:val="nil"/>
              <w:right w:val="nil"/>
            </w:tcBorders>
            <w:shd w:val="clear" w:color="auto" w:fill="auto"/>
            <w:vAlign w:val="center"/>
            <w:hideMark/>
          </w:tcPr>
          <w:p w14:paraId="2450B4D3" w14:textId="60C8C023" w:rsidR="00B56301" w:rsidRPr="007253FC" w:rsidRDefault="00B56301" w:rsidP="00B37B65">
            <w:pPr>
              <w:jc w:val="center"/>
              <w:rPr>
                <w:rFonts w:ascii="Trebuchet MS" w:hAnsi="Trebuchet MS" w:cs="Arial"/>
                <w:b/>
                <w:bCs/>
                <w:i/>
                <w:iCs/>
                <w:sz w:val="16"/>
                <w:szCs w:val="18"/>
              </w:rPr>
            </w:pPr>
            <w:r w:rsidRPr="007253FC">
              <w:rPr>
                <w:rFonts w:ascii="Trebuchet MS" w:hAnsi="Trebuchet MS" w:cs="Arial"/>
                <w:b/>
                <w:bCs/>
                <w:i/>
                <w:iCs/>
                <w:sz w:val="16"/>
                <w:szCs w:val="18"/>
              </w:rPr>
              <w:t xml:space="preserve">Emissions de </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 xml:space="preserve"> (Mt</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/an)</w:t>
            </w:r>
            <w:r w:rsidRPr="007253FC">
              <w:rPr>
                <w:rFonts w:ascii="Trebuchet MS" w:hAnsi="Trebuchet MS" w:cs="Arial"/>
                <w:b/>
                <w:bCs/>
                <w:i/>
                <w:iCs/>
                <w:sz w:val="16"/>
                <w:szCs w:val="18"/>
              </w:rPr>
              <w:br/>
              <w:t>Périmètre : Métropole et Outre-mer inclus dans l'UE</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35C916"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57037F1"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D1F086B"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A92D20D"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1993</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D912D31"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57F7CED"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1995</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16E87EEB"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059C9A5" w14:textId="77777777" w:rsidR="00B56301" w:rsidRPr="007253FC" w:rsidRDefault="00B56301" w:rsidP="00B37B65">
            <w:pPr>
              <w:jc w:val="center"/>
              <w:rPr>
                <w:rFonts w:ascii="Trebuchet MS" w:hAnsi="Trebuchet MS" w:cs="Arial"/>
                <w:b/>
                <w:bCs/>
                <w:sz w:val="16"/>
                <w:szCs w:val="18"/>
              </w:rPr>
            </w:pPr>
            <w:r w:rsidRPr="007253FC">
              <w:rPr>
                <w:rFonts w:ascii="Trebuchet MS" w:hAnsi="Trebuchet MS" w:cs="Arial"/>
                <w:b/>
                <w:bCs/>
                <w:sz w:val="16"/>
                <w:szCs w:val="18"/>
              </w:rPr>
              <w:t>1997</w:t>
            </w:r>
          </w:p>
        </w:tc>
      </w:tr>
      <w:tr w:rsidR="00B56301" w:rsidRPr="007253FC" w14:paraId="6CBCA9B4"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07C28624"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Industrie de l'énergie</w:t>
            </w:r>
          </w:p>
        </w:tc>
        <w:tc>
          <w:tcPr>
            <w:tcW w:w="628" w:type="dxa"/>
            <w:tcBorders>
              <w:top w:val="nil"/>
              <w:left w:val="nil"/>
              <w:bottom w:val="single" w:sz="4" w:space="0" w:color="auto"/>
              <w:right w:val="single" w:sz="4" w:space="0" w:color="auto"/>
            </w:tcBorders>
            <w:shd w:val="clear" w:color="000000" w:fill="DDEBF7"/>
            <w:noWrap/>
            <w:vAlign w:val="bottom"/>
            <w:hideMark/>
          </w:tcPr>
          <w:p w14:paraId="4CA0CAD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78,1</w:t>
            </w:r>
          </w:p>
        </w:tc>
        <w:tc>
          <w:tcPr>
            <w:tcW w:w="628" w:type="dxa"/>
            <w:tcBorders>
              <w:top w:val="nil"/>
              <w:left w:val="nil"/>
              <w:bottom w:val="single" w:sz="4" w:space="0" w:color="auto"/>
              <w:right w:val="single" w:sz="4" w:space="0" w:color="auto"/>
            </w:tcBorders>
            <w:shd w:val="clear" w:color="000000" w:fill="DDEBF7"/>
            <w:noWrap/>
            <w:vAlign w:val="bottom"/>
            <w:hideMark/>
          </w:tcPr>
          <w:p w14:paraId="4F91DFE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79,4</w:t>
            </w:r>
          </w:p>
        </w:tc>
        <w:tc>
          <w:tcPr>
            <w:tcW w:w="628" w:type="dxa"/>
            <w:tcBorders>
              <w:top w:val="nil"/>
              <w:left w:val="nil"/>
              <w:bottom w:val="single" w:sz="4" w:space="0" w:color="auto"/>
              <w:right w:val="single" w:sz="4" w:space="0" w:color="auto"/>
            </w:tcBorders>
            <w:shd w:val="clear" w:color="000000" w:fill="DDEBF7"/>
            <w:noWrap/>
            <w:vAlign w:val="bottom"/>
            <w:hideMark/>
          </w:tcPr>
          <w:p w14:paraId="2A46DC2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80,6</w:t>
            </w:r>
          </w:p>
        </w:tc>
        <w:tc>
          <w:tcPr>
            <w:tcW w:w="628" w:type="dxa"/>
            <w:tcBorders>
              <w:top w:val="nil"/>
              <w:left w:val="nil"/>
              <w:bottom w:val="single" w:sz="4" w:space="0" w:color="auto"/>
              <w:right w:val="single" w:sz="4" w:space="0" w:color="auto"/>
            </w:tcBorders>
            <w:shd w:val="clear" w:color="000000" w:fill="DDEBF7"/>
            <w:noWrap/>
            <w:vAlign w:val="bottom"/>
            <w:hideMark/>
          </w:tcPr>
          <w:p w14:paraId="7B77E7EE"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68,3</w:t>
            </w:r>
          </w:p>
        </w:tc>
        <w:tc>
          <w:tcPr>
            <w:tcW w:w="628" w:type="dxa"/>
            <w:tcBorders>
              <w:top w:val="nil"/>
              <w:left w:val="nil"/>
              <w:bottom w:val="single" w:sz="4" w:space="0" w:color="auto"/>
              <w:right w:val="single" w:sz="4" w:space="0" w:color="auto"/>
            </w:tcBorders>
            <w:shd w:val="clear" w:color="000000" w:fill="DDEBF7"/>
            <w:noWrap/>
            <w:vAlign w:val="bottom"/>
            <w:hideMark/>
          </w:tcPr>
          <w:p w14:paraId="42097EA9"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65,2</w:t>
            </w:r>
          </w:p>
        </w:tc>
        <w:tc>
          <w:tcPr>
            <w:tcW w:w="628" w:type="dxa"/>
            <w:tcBorders>
              <w:top w:val="nil"/>
              <w:left w:val="nil"/>
              <w:bottom w:val="single" w:sz="4" w:space="0" w:color="auto"/>
              <w:right w:val="single" w:sz="4" w:space="0" w:color="auto"/>
            </w:tcBorders>
            <w:shd w:val="clear" w:color="000000" w:fill="DDEBF7"/>
            <w:noWrap/>
            <w:vAlign w:val="bottom"/>
            <w:hideMark/>
          </w:tcPr>
          <w:p w14:paraId="014CF42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67,8</w:t>
            </w:r>
          </w:p>
        </w:tc>
        <w:tc>
          <w:tcPr>
            <w:tcW w:w="628" w:type="dxa"/>
            <w:tcBorders>
              <w:top w:val="nil"/>
              <w:left w:val="nil"/>
              <w:bottom w:val="single" w:sz="4" w:space="0" w:color="auto"/>
              <w:right w:val="single" w:sz="4" w:space="0" w:color="auto"/>
            </w:tcBorders>
            <w:shd w:val="clear" w:color="000000" w:fill="DDEBF7"/>
            <w:noWrap/>
            <w:vAlign w:val="bottom"/>
            <w:hideMark/>
          </w:tcPr>
          <w:p w14:paraId="003E94EC"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71,5</w:t>
            </w:r>
          </w:p>
        </w:tc>
        <w:tc>
          <w:tcPr>
            <w:tcW w:w="628" w:type="dxa"/>
            <w:tcBorders>
              <w:top w:val="nil"/>
              <w:left w:val="nil"/>
              <w:bottom w:val="single" w:sz="4" w:space="0" w:color="auto"/>
              <w:right w:val="single" w:sz="4" w:space="0" w:color="auto"/>
            </w:tcBorders>
            <w:shd w:val="clear" w:color="000000" w:fill="DDEBF7"/>
            <w:noWrap/>
            <w:vAlign w:val="bottom"/>
            <w:hideMark/>
          </w:tcPr>
          <w:p w14:paraId="7BE3C9AB"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67,2</w:t>
            </w:r>
          </w:p>
        </w:tc>
      </w:tr>
      <w:tr w:rsidR="00B56301" w:rsidRPr="007253FC" w14:paraId="5AA5765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CC74738"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Production d'électricité</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403E75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41,4</w:t>
            </w:r>
          </w:p>
        </w:tc>
        <w:tc>
          <w:tcPr>
            <w:tcW w:w="628" w:type="dxa"/>
            <w:tcBorders>
              <w:top w:val="nil"/>
              <w:left w:val="nil"/>
              <w:bottom w:val="single" w:sz="4" w:space="0" w:color="auto"/>
              <w:right w:val="single" w:sz="4" w:space="0" w:color="auto"/>
            </w:tcBorders>
            <w:shd w:val="clear" w:color="auto" w:fill="auto"/>
            <w:noWrap/>
            <w:vAlign w:val="center"/>
            <w:hideMark/>
          </w:tcPr>
          <w:p w14:paraId="44CDDC3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41,5</w:t>
            </w:r>
          </w:p>
        </w:tc>
        <w:tc>
          <w:tcPr>
            <w:tcW w:w="628" w:type="dxa"/>
            <w:tcBorders>
              <w:top w:val="nil"/>
              <w:left w:val="nil"/>
              <w:bottom w:val="single" w:sz="4" w:space="0" w:color="auto"/>
              <w:right w:val="single" w:sz="4" w:space="0" w:color="auto"/>
            </w:tcBorders>
            <w:shd w:val="clear" w:color="auto" w:fill="auto"/>
            <w:noWrap/>
            <w:vAlign w:val="center"/>
            <w:hideMark/>
          </w:tcPr>
          <w:p w14:paraId="28857F3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42,4</w:t>
            </w:r>
          </w:p>
        </w:tc>
        <w:tc>
          <w:tcPr>
            <w:tcW w:w="628" w:type="dxa"/>
            <w:tcBorders>
              <w:top w:val="nil"/>
              <w:left w:val="nil"/>
              <w:bottom w:val="single" w:sz="4" w:space="0" w:color="auto"/>
              <w:right w:val="single" w:sz="4" w:space="0" w:color="auto"/>
            </w:tcBorders>
            <w:shd w:val="clear" w:color="auto" w:fill="auto"/>
            <w:noWrap/>
            <w:vAlign w:val="center"/>
            <w:hideMark/>
          </w:tcPr>
          <w:p w14:paraId="246D85D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30,1</w:t>
            </w:r>
          </w:p>
        </w:tc>
        <w:tc>
          <w:tcPr>
            <w:tcW w:w="628" w:type="dxa"/>
            <w:tcBorders>
              <w:top w:val="nil"/>
              <w:left w:val="nil"/>
              <w:bottom w:val="single" w:sz="4" w:space="0" w:color="auto"/>
              <w:right w:val="single" w:sz="4" w:space="0" w:color="auto"/>
            </w:tcBorders>
            <w:shd w:val="clear" w:color="auto" w:fill="auto"/>
            <w:noWrap/>
            <w:vAlign w:val="center"/>
            <w:hideMark/>
          </w:tcPr>
          <w:p w14:paraId="18B5744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26,6</w:t>
            </w:r>
          </w:p>
        </w:tc>
        <w:tc>
          <w:tcPr>
            <w:tcW w:w="628" w:type="dxa"/>
            <w:tcBorders>
              <w:top w:val="nil"/>
              <w:left w:val="nil"/>
              <w:bottom w:val="single" w:sz="4" w:space="0" w:color="auto"/>
              <w:right w:val="single" w:sz="4" w:space="0" w:color="auto"/>
            </w:tcBorders>
            <w:shd w:val="clear" w:color="auto" w:fill="auto"/>
            <w:noWrap/>
            <w:vAlign w:val="center"/>
            <w:hideMark/>
          </w:tcPr>
          <w:p w14:paraId="043AD7C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29,2</w:t>
            </w:r>
          </w:p>
        </w:tc>
        <w:tc>
          <w:tcPr>
            <w:tcW w:w="628" w:type="dxa"/>
            <w:tcBorders>
              <w:top w:val="nil"/>
              <w:left w:val="nil"/>
              <w:bottom w:val="single" w:sz="4" w:space="0" w:color="auto"/>
              <w:right w:val="single" w:sz="4" w:space="0" w:color="auto"/>
            </w:tcBorders>
            <w:shd w:val="clear" w:color="auto" w:fill="auto"/>
            <w:noWrap/>
            <w:vAlign w:val="center"/>
            <w:hideMark/>
          </w:tcPr>
          <w:p w14:paraId="6075D80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32,6</w:t>
            </w:r>
          </w:p>
        </w:tc>
        <w:tc>
          <w:tcPr>
            <w:tcW w:w="628" w:type="dxa"/>
            <w:tcBorders>
              <w:top w:val="nil"/>
              <w:left w:val="nil"/>
              <w:bottom w:val="single" w:sz="4" w:space="0" w:color="auto"/>
              <w:right w:val="single" w:sz="4" w:space="0" w:color="auto"/>
            </w:tcBorders>
            <w:shd w:val="clear" w:color="auto" w:fill="auto"/>
            <w:noWrap/>
            <w:vAlign w:val="center"/>
            <w:hideMark/>
          </w:tcPr>
          <w:p w14:paraId="23ED1E0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28,7</w:t>
            </w:r>
          </w:p>
        </w:tc>
      </w:tr>
      <w:tr w:rsidR="00B56301" w:rsidRPr="007253FC" w14:paraId="099201F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8BAB1B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Chauffage urbain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D41855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65A520B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6,7</w:t>
            </w:r>
          </w:p>
        </w:tc>
        <w:tc>
          <w:tcPr>
            <w:tcW w:w="628" w:type="dxa"/>
            <w:tcBorders>
              <w:top w:val="nil"/>
              <w:left w:val="nil"/>
              <w:bottom w:val="single" w:sz="4" w:space="0" w:color="auto"/>
              <w:right w:val="single" w:sz="4" w:space="0" w:color="auto"/>
            </w:tcBorders>
            <w:shd w:val="clear" w:color="auto" w:fill="auto"/>
            <w:noWrap/>
            <w:vAlign w:val="center"/>
            <w:hideMark/>
          </w:tcPr>
          <w:p w14:paraId="0AE5CD1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2CFA1B2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11EFEC8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3C50BBB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003E7E2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787A5EC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6,6</w:t>
            </w:r>
          </w:p>
        </w:tc>
      </w:tr>
      <w:tr w:rsidR="00B56301" w:rsidRPr="007253FC" w14:paraId="5F030D7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4162E9C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Raffinage du pétrole</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AAE565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15,3</w:t>
            </w:r>
          </w:p>
        </w:tc>
        <w:tc>
          <w:tcPr>
            <w:tcW w:w="628" w:type="dxa"/>
            <w:tcBorders>
              <w:top w:val="nil"/>
              <w:left w:val="nil"/>
              <w:bottom w:val="single" w:sz="4" w:space="0" w:color="auto"/>
              <w:right w:val="single" w:sz="4" w:space="0" w:color="auto"/>
            </w:tcBorders>
            <w:shd w:val="clear" w:color="auto" w:fill="auto"/>
            <w:noWrap/>
            <w:vAlign w:val="center"/>
            <w:hideMark/>
          </w:tcPr>
          <w:p w14:paraId="5D3367E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15,5</w:t>
            </w:r>
          </w:p>
        </w:tc>
        <w:tc>
          <w:tcPr>
            <w:tcW w:w="628" w:type="dxa"/>
            <w:tcBorders>
              <w:top w:val="nil"/>
              <w:left w:val="nil"/>
              <w:bottom w:val="single" w:sz="4" w:space="0" w:color="auto"/>
              <w:right w:val="single" w:sz="4" w:space="0" w:color="auto"/>
            </w:tcBorders>
            <w:shd w:val="clear" w:color="auto" w:fill="auto"/>
            <w:noWrap/>
            <w:vAlign w:val="center"/>
            <w:hideMark/>
          </w:tcPr>
          <w:p w14:paraId="1824EA8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15,7</w:t>
            </w:r>
          </w:p>
        </w:tc>
        <w:tc>
          <w:tcPr>
            <w:tcW w:w="628" w:type="dxa"/>
            <w:tcBorders>
              <w:top w:val="nil"/>
              <w:left w:val="nil"/>
              <w:bottom w:val="single" w:sz="4" w:space="0" w:color="auto"/>
              <w:right w:val="single" w:sz="4" w:space="0" w:color="auto"/>
            </w:tcBorders>
            <w:shd w:val="clear" w:color="auto" w:fill="auto"/>
            <w:noWrap/>
            <w:vAlign w:val="center"/>
            <w:hideMark/>
          </w:tcPr>
          <w:p w14:paraId="5B45CA9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15,7</w:t>
            </w:r>
          </w:p>
        </w:tc>
        <w:tc>
          <w:tcPr>
            <w:tcW w:w="628" w:type="dxa"/>
            <w:tcBorders>
              <w:top w:val="nil"/>
              <w:left w:val="nil"/>
              <w:bottom w:val="single" w:sz="4" w:space="0" w:color="auto"/>
              <w:right w:val="single" w:sz="4" w:space="0" w:color="auto"/>
            </w:tcBorders>
            <w:shd w:val="clear" w:color="auto" w:fill="auto"/>
            <w:noWrap/>
            <w:vAlign w:val="center"/>
            <w:hideMark/>
          </w:tcPr>
          <w:p w14:paraId="1F7A716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375E49A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16,5</w:t>
            </w:r>
          </w:p>
        </w:tc>
        <w:tc>
          <w:tcPr>
            <w:tcW w:w="628" w:type="dxa"/>
            <w:tcBorders>
              <w:top w:val="nil"/>
              <w:left w:val="nil"/>
              <w:bottom w:val="single" w:sz="4" w:space="0" w:color="auto"/>
              <w:right w:val="single" w:sz="4" w:space="0" w:color="auto"/>
            </w:tcBorders>
            <w:shd w:val="clear" w:color="auto" w:fill="auto"/>
            <w:noWrap/>
            <w:vAlign w:val="center"/>
            <w:hideMark/>
          </w:tcPr>
          <w:p w14:paraId="373B4F9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17,3</w:t>
            </w:r>
          </w:p>
        </w:tc>
        <w:tc>
          <w:tcPr>
            <w:tcW w:w="628" w:type="dxa"/>
            <w:tcBorders>
              <w:top w:val="nil"/>
              <w:left w:val="nil"/>
              <w:bottom w:val="single" w:sz="4" w:space="0" w:color="auto"/>
              <w:right w:val="single" w:sz="4" w:space="0" w:color="auto"/>
            </w:tcBorders>
            <w:shd w:val="clear" w:color="auto" w:fill="auto"/>
            <w:noWrap/>
            <w:vAlign w:val="center"/>
            <w:hideMark/>
          </w:tcPr>
          <w:p w14:paraId="79697D9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18,1</w:t>
            </w:r>
          </w:p>
        </w:tc>
      </w:tr>
      <w:tr w:rsidR="00B56301" w:rsidRPr="007253FC" w14:paraId="2B9AA04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328C71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Transformation des combustibles minéraux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E6A283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69960A5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3C18950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161B434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2EF0EB0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6B7595D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1902C76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1AA79F6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r>
      <w:tr w:rsidR="00B56301" w:rsidRPr="007253FC" w14:paraId="49D27BDF"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6603EC0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F81DA4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739E94B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25BB93D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28242A1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0E6EFBD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52C1026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518647A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2778369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w:t>
            </w:r>
          </w:p>
        </w:tc>
      </w:tr>
      <w:tr w:rsidR="00B56301" w:rsidRPr="007253FC" w14:paraId="3105B32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AE6E504"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liquides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6EC9D7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6E620EA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42DA46C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4ADA668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379D581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2A4A140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center"/>
            <w:hideMark/>
          </w:tcPr>
          <w:p w14:paraId="76EFDD1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center"/>
            <w:hideMark/>
          </w:tcPr>
          <w:p w14:paraId="6B016ED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0,3</w:t>
            </w:r>
          </w:p>
        </w:tc>
      </w:tr>
      <w:tr w:rsidR="00B56301" w:rsidRPr="007253FC" w14:paraId="3AC653F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42B5B30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gazeux</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FA3178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3ECA37B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6EC723C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68B4055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5D3D030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08A97D5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939E74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6D6AF1A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w:t>
            </w:r>
          </w:p>
        </w:tc>
      </w:tr>
      <w:tr w:rsidR="00B56301" w:rsidRPr="007253FC" w14:paraId="557CD23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6590D82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Fabrication de charbon de bois par pyrolyse</w:t>
            </w:r>
          </w:p>
        </w:tc>
        <w:tc>
          <w:tcPr>
            <w:tcW w:w="628" w:type="dxa"/>
            <w:tcBorders>
              <w:top w:val="nil"/>
              <w:left w:val="nil"/>
              <w:bottom w:val="single" w:sz="4" w:space="0" w:color="auto"/>
              <w:right w:val="single" w:sz="4" w:space="0" w:color="auto"/>
            </w:tcBorders>
            <w:shd w:val="clear" w:color="auto" w:fill="auto"/>
            <w:noWrap/>
            <w:vAlign w:val="center"/>
            <w:hideMark/>
          </w:tcPr>
          <w:p w14:paraId="00C1B98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2F608B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3BA1F1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6469D7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E12B42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E95BCD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17A765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21BF46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r>
      <w:tr w:rsidR="00B56301" w:rsidRPr="007253FC" w14:paraId="10D3C3A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309A436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Valorisation énergétique des déchets</w:t>
            </w:r>
          </w:p>
        </w:tc>
        <w:tc>
          <w:tcPr>
            <w:tcW w:w="628" w:type="dxa"/>
            <w:tcBorders>
              <w:top w:val="nil"/>
              <w:left w:val="nil"/>
              <w:bottom w:val="single" w:sz="4" w:space="0" w:color="auto"/>
              <w:right w:val="single" w:sz="4" w:space="0" w:color="auto"/>
            </w:tcBorders>
            <w:shd w:val="clear" w:color="auto" w:fill="auto"/>
            <w:noWrap/>
            <w:vAlign w:val="center"/>
            <w:hideMark/>
          </w:tcPr>
          <w:p w14:paraId="2919A19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5757D98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041873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4CEDC53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58B2ABB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597246D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1013E11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65AF4AC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w:t>
            </w:r>
          </w:p>
        </w:tc>
      </w:tr>
      <w:tr w:rsidR="00B56301" w:rsidRPr="007253FC" w14:paraId="78F66E2F"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27069D77"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Industrie manufacturière et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43D39AFF"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142,8</w:t>
            </w:r>
          </w:p>
        </w:tc>
        <w:tc>
          <w:tcPr>
            <w:tcW w:w="628" w:type="dxa"/>
            <w:tcBorders>
              <w:top w:val="nil"/>
              <w:left w:val="nil"/>
              <w:bottom w:val="single" w:sz="4" w:space="0" w:color="auto"/>
              <w:right w:val="single" w:sz="4" w:space="0" w:color="auto"/>
            </w:tcBorders>
            <w:shd w:val="clear" w:color="000000" w:fill="0070C0"/>
            <w:noWrap/>
            <w:vAlign w:val="bottom"/>
            <w:hideMark/>
          </w:tcPr>
          <w:p w14:paraId="27EE0E64"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155,4</w:t>
            </w:r>
          </w:p>
        </w:tc>
        <w:tc>
          <w:tcPr>
            <w:tcW w:w="628" w:type="dxa"/>
            <w:tcBorders>
              <w:top w:val="nil"/>
              <w:left w:val="nil"/>
              <w:bottom w:val="single" w:sz="4" w:space="0" w:color="auto"/>
              <w:right w:val="single" w:sz="4" w:space="0" w:color="auto"/>
            </w:tcBorders>
            <w:shd w:val="clear" w:color="000000" w:fill="0070C0"/>
            <w:noWrap/>
            <w:vAlign w:val="bottom"/>
            <w:hideMark/>
          </w:tcPr>
          <w:p w14:paraId="72AADF6D"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143,4</w:t>
            </w:r>
          </w:p>
        </w:tc>
        <w:tc>
          <w:tcPr>
            <w:tcW w:w="628" w:type="dxa"/>
            <w:tcBorders>
              <w:top w:val="nil"/>
              <w:left w:val="nil"/>
              <w:bottom w:val="single" w:sz="4" w:space="0" w:color="auto"/>
              <w:right w:val="single" w:sz="4" w:space="0" w:color="auto"/>
            </w:tcBorders>
            <w:shd w:val="clear" w:color="000000" w:fill="0070C0"/>
            <w:noWrap/>
            <w:vAlign w:val="bottom"/>
            <w:hideMark/>
          </w:tcPr>
          <w:p w14:paraId="204A5548"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138,4</w:t>
            </w:r>
          </w:p>
        </w:tc>
        <w:tc>
          <w:tcPr>
            <w:tcW w:w="628" w:type="dxa"/>
            <w:tcBorders>
              <w:top w:val="nil"/>
              <w:left w:val="nil"/>
              <w:bottom w:val="single" w:sz="4" w:space="0" w:color="auto"/>
              <w:right w:val="single" w:sz="4" w:space="0" w:color="auto"/>
            </w:tcBorders>
            <w:shd w:val="clear" w:color="000000" w:fill="0070C0"/>
            <w:noWrap/>
            <w:vAlign w:val="bottom"/>
            <w:hideMark/>
          </w:tcPr>
          <w:p w14:paraId="5EB66839"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139,2</w:t>
            </w:r>
          </w:p>
        </w:tc>
        <w:tc>
          <w:tcPr>
            <w:tcW w:w="628" w:type="dxa"/>
            <w:tcBorders>
              <w:top w:val="nil"/>
              <w:left w:val="nil"/>
              <w:bottom w:val="single" w:sz="4" w:space="0" w:color="auto"/>
              <w:right w:val="single" w:sz="4" w:space="0" w:color="auto"/>
            </w:tcBorders>
            <w:shd w:val="clear" w:color="000000" w:fill="0070C0"/>
            <w:noWrap/>
            <w:vAlign w:val="bottom"/>
            <w:hideMark/>
          </w:tcPr>
          <w:p w14:paraId="16C92DF9"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139,5</w:t>
            </w:r>
          </w:p>
        </w:tc>
        <w:tc>
          <w:tcPr>
            <w:tcW w:w="628" w:type="dxa"/>
            <w:tcBorders>
              <w:top w:val="nil"/>
              <w:left w:val="nil"/>
              <w:bottom w:val="single" w:sz="4" w:space="0" w:color="auto"/>
              <w:right w:val="single" w:sz="4" w:space="0" w:color="auto"/>
            </w:tcBorders>
            <w:shd w:val="clear" w:color="000000" w:fill="0070C0"/>
            <w:noWrap/>
            <w:vAlign w:val="bottom"/>
            <w:hideMark/>
          </w:tcPr>
          <w:p w14:paraId="3EF56613"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141,8</w:t>
            </w:r>
          </w:p>
        </w:tc>
        <w:tc>
          <w:tcPr>
            <w:tcW w:w="628" w:type="dxa"/>
            <w:tcBorders>
              <w:top w:val="nil"/>
              <w:left w:val="nil"/>
              <w:bottom w:val="single" w:sz="4" w:space="0" w:color="auto"/>
              <w:right w:val="single" w:sz="4" w:space="0" w:color="auto"/>
            </w:tcBorders>
            <w:shd w:val="clear" w:color="000000" w:fill="0070C0"/>
            <w:noWrap/>
            <w:vAlign w:val="bottom"/>
            <w:hideMark/>
          </w:tcPr>
          <w:p w14:paraId="6759BEB7"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140,5</w:t>
            </w:r>
          </w:p>
        </w:tc>
      </w:tr>
      <w:tr w:rsidR="00B56301" w:rsidRPr="007253FC" w14:paraId="76BA349F"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EDFD0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Chimie</w:t>
            </w:r>
          </w:p>
        </w:tc>
        <w:tc>
          <w:tcPr>
            <w:tcW w:w="628" w:type="dxa"/>
            <w:tcBorders>
              <w:top w:val="nil"/>
              <w:left w:val="nil"/>
              <w:bottom w:val="single" w:sz="4" w:space="0" w:color="auto"/>
              <w:right w:val="single" w:sz="4" w:space="0" w:color="auto"/>
            </w:tcBorders>
            <w:shd w:val="clear" w:color="auto" w:fill="auto"/>
            <w:noWrap/>
            <w:vAlign w:val="center"/>
            <w:hideMark/>
          </w:tcPr>
          <w:p w14:paraId="650FF9F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52,7</w:t>
            </w:r>
          </w:p>
        </w:tc>
        <w:tc>
          <w:tcPr>
            <w:tcW w:w="628" w:type="dxa"/>
            <w:tcBorders>
              <w:top w:val="nil"/>
              <w:left w:val="nil"/>
              <w:bottom w:val="single" w:sz="4" w:space="0" w:color="auto"/>
              <w:right w:val="single" w:sz="4" w:space="0" w:color="auto"/>
            </w:tcBorders>
            <w:shd w:val="clear" w:color="auto" w:fill="auto"/>
            <w:noWrap/>
            <w:vAlign w:val="center"/>
            <w:hideMark/>
          </w:tcPr>
          <w:p w14:paraId="30F6249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57,8</w:t>
            </w:r>
          </w:p>
        </w:tc>
        <w:tc>
          <w:tcPr>
            <w:tcW w:w="628" w:type="dxa"/>
            <w:tcBorders>
              <w:top w:val="nil"/>
              <w:left w:val="nil"/>
              <w:bottom w:val="single" w:sz="4" w:space="0" w:color="auto"/>
              <w:right w:val="single" w:sz="4" w:space="0" w:color="auto"/>
            </w:tcBorders>
            <w:shd w:val="clear" w:color="auto" w:fill="auto"/>
            <w:noWrap/>
            <w:vAlign w:val="center"/>
            <w:hideMark/>
          </w:tcPr>
          <w:p w14:paraId="6DE6B23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54,8</w:t>
            </w:r>
          </w:p>
        </w:tc>
        <w:tc>
          <w:tcPr>
            <w:tcW w:w="628" w:type="dxa"/>
            <w:tcBorders>
              <w:top w:val="nil"/>
              <w:left w:val="nil"/>
              <w:bottom w:val="single" w:sz="4" w:space="0" w:color="auto"/>
              <w:right w:val="single" w:sz="4" w:space="0" w:color="auto"/>
            </w:tcBorders>
            <w:shd w:val="clear" w:color="auto" w:fill="auto"/>
            <w:noWrap/>
            <w:vAlign w:val="center"/>
            <w:hideMark/>
          </w:tcPr>
          <w:p w14:paraId="464F970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53,0</w:t>
            </w:r>
          </w:p>
        </w:tc>
        <w:tc>
          <w:tcPr>
            <w:tcW w:w="628" w:type="dxa"/>
            <w:tcBorders>
              <w:top w:val="nil"/>
              <w:left w:val="nil"/>
              <w:bottom w:val="single" w:sz="4" w:space="0" w:color="auto"/>
              <w:right w:val="single" w:sz="4" w:space="0" w:color="auto"/>
            </w:tcBorders>
            <w:shd w:val="clear" w:color="auto" w:fill="auto"/>
            <w:noWrap/>
            <w:vAlign w:val="center"/>
            <w:hideMark/>
          </w:tcPr>
          <w:p w14:paraId="766210C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54,6</w:t>
            </w:r>
          </w:p>
        </w:tc>
        <w:tc>
          <w:tcPr>
            <w:tcW w:w="628" w:type="dxa"/>
            <w:tcBorders>
              <w:top w:val="nil"/>
              <w:left w:val="nil"/>
              <w:bottom w:val="single" w:sz="4" w:space="0" w:color="auto"/>
              <w:right w:val="single" w:sz="4" w:space="0" w:color="auto"/>
            </w:tcBorders>
            <w:shd w:val="clear" w:color="auto" w:fill="auto"/>
            <w:noWrap/>
            <w:vAlign w:val="center"/>
            <w:hideMark/>
          </w:tcPr>
          <w:p w14:paraId="2B2B953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54,1</w:t>
            </w:r>
          </w:p>
        </w:tc>
        <w:tc>
          <w:tcPr>
            <w:tcW w:w="628" w:type="dxa"/>
            <w:tcBorders>
              <w:top w:val="nil"/>
              <w:left w:val="nil"/>
              <w:bottom w:val="single" w:sz="4" w:space="0" w:color="auto"/>
              <w:right w:val="single" w:sz="4" w:space="0" w:color="auto"/>
            </w:tcBorders>
            <w:shd w:val="clear" w:color="auto" w:fill="auto"/>
            <w:noWrap/>
            <w:vAlign w:val="center"/>
            <w:hideMark/>
          </w:tcPr>
          <w:p w14:paraId="4207311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56,1</w:t>
            </w:r>
          </w:p>
        </w:tc>
        <w:tc>
          <w:tcPr>
            <w:tcW w:w="628" w:type="dxa"/>
            <w:tcBorders>
              <w:top w:val="nil"/>
              <w:left w:val="nil"/>
              <w:bottom w:val="single" w:sz="4" w:space="0" w:color="auto"/>
              <w:right w:val="single" w:sz="4" w:space="0" w:color="auto"/>
            </w:tcBorders>
            <w:shd w:val="clear" w:color="auto" w:fill="auto"/>
            <w:noWrap/>
            <w:vAlign w:val="center"/>
            <w:hideMark/>
          </w:tcPr>
          <w:p w14:paraId="28F2693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55,7</w:t>
            </w:r>
          </w:p>
        </w:tc>
      </w:tr>
      <w:tr w:rsidR="00B56301" w:rsidRPr="007253FC" w14:paraId="600AA9F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0819DF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6795DD4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center"/>
            <w:hideMark/>
          </w:tcPr>
          <w:p w14:paraId="7B56D0B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4C93151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419BF36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16D4D80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7E6FA3A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1BE6698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716C3A6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w:t>
            </w:r>
          </w:p>
        </w:tc>
      </w:tr>
      <w:tr w:rsidR="00B56301" w:rsidRPr="007253FC" w14:paraId="4BFB0E4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27231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Biens d'équipements, matériels de transport</w:t>
            </w:r>
          </w:p>
        </w:tc>
        <w:tc>
          <w:tcPr>
            <w:tcW w:w="628" w:type="dxa"/>
            <w:tcBorders>
              <w:top w:val="nil"/>
              <w:left w:val="nil"/>
              <w:bottom w:val="single" w:sz="4" w:space="0" w:color="auto"/>
              <w:right w:val="single" w:sz="4" w:space="0" w:color="auto"/>
            </w:tcBorders>
            <w:shd w:val="clear" w:color="auto" w:fill="auto"/>
            <w:noWrap/>
            <w:vAlign w:val="center"/>
            <w:hideMark/>
          </w:tcPr>
          <w:p w14:paraId="3C7A630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3E35E16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3416034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4B890EE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640E097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098DE7A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23FBFDA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153FCF2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6,3</w:t>
            </w:r>
          </w:p>
        </w:tc>
      </w:tr>
      <w:tr w:rsidR="00B56301" w:rsidRPr="007253FC" w14:paraId="7301C16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960282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Agro-alimentaire</w:t>
            </w:r>
          </w:p>
        </w:tc>
        <w:tc>
          <w:tcPr>
            <w:tcW w:w="628" w:type="dxa"/>
            <w:tcBorders>
              <w:top w:val="nil"/>
              <w:left w:val="nil"/>
              <w:bottom w:val="single" w:sz="4" w:space="0" w:color="auto"/>
              <w:right w:val="single" w:sz="4" w:space="0" w:color="auto"/>
            </w:tcBorders>
            <w:shd w:val="clear" w:color="auto" w:fill="auto"/>
            <w:noWrap/>
            <w:vAlign w:val="center"/>
            <w:hideMark/>
          </w:tcPr>
          <w:p w14:paraId="78F0BF3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8,7</w:t>
            </w:r>
          </w:p>
        </w:tc>
        <w:tc>
          <w:tcPr>
            <w:tcW w:w="628" w:type="dxa"/>
            <w:tcBorders>
              <w:top w:val="nil"/>
              <w:left w:val="nil"/>
              <w:bottom w:val="single" w:sz="4" w:space="0" w:color="auto"/>
              <w:right w:val="single" w:sz="4" w:space="0" w:color="auto"/>
            </w:tcBorders>
            <w:shd w:val="clear" w:color="auto" w:fill="auto"/>
            <w:noWrap/>
            <w:vAlign w:val="center"/>
            <w:hideMark/>
          </w:tcPr>
          <w:p w14:paraId="46E3E45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10,6</w:t>
            </w:r>
          </w:p>
        </w:tc>
        <w:tc>
          <w:tcPr>
            <w:tcW w:w="628" w:type="dxa"/>
            <w:tcBorders>
              <w:top w:val="nil"/>
              <w:left w:val="nil"/>
              <w:bottom w:val="single" w:sz="4" w:space="0" w:color="auto"/>
              <w:right w:val="single" w:sz="4" w:space="0" w:color="auto"/>
            </w:tcBorders>
            <w:shd w:val="clear" w:color="auto" w:fill="auto"/>
            <w:noWrap/>
            <w:vAlign w:val="center"/>
            <w:hideMark/>
          </w:tcPr>
          <w:p w14:paraId="2FBC9FB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9,7</w:t>
            </w:r>
          </w:p>
        </w:tc>
        <w:tc>
          <w:tcPr>
            <w:tcW w:w="628" w:type="dxa"/>
            <w:tcBorders>
              <w:top w:val="nil"/>
              <w:left w:val="nil"/>
              <w:bottom w:val="single" w:sz="4" w:space="0" w:color="auto"/>
              <w:right w:val="single" w:sz="4" w:space="0" w:color="auto"/>
            </w:tcBorders>
            <w:shd w:val="clear" w:color="auto" w:fill="auto"/>
            <w:noWrap/>
            <w:vAlign w:val="center"/>
            <w:hideMark/>
          </w:tcPr>
          <w:p w14:paraId="7248512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5B5F047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673A157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3A56CC8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2EF11D6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10,7</w:t>
            </w:r>
          </w:p>
        </w:tc>
      </w:tr>
      <w:tr w:rsidR="00B56301" w:rsidRPr="007253FC" w14:paraId="3B69F39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5653CC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ferreux</w:t>
            </w:r>
          </w:p>
        </w:tc>
        <w:tc>
          <w:tcPr>
            <w:tcW w:w="628" w:type="dxa"/>
            <w:tcBorders>
              <w:top w:val="nil"/>
              <w:left w:val="nil"/>
              <w:bottom w:val="single" w:sz="4" w:space="0" w:color="auto"/>
              <w:right w:val="single" w:sz="4" w:space="0" w:color="auto"/>
            </w:tcBorders>
            <w:shd w:val="clear" w:color="auto" w:fill="auto"/>
            <w:noWrap/>
            <w:vAlign w:val="center"/>
            <w:hideMark/>
          </w:tcPr>
          <w:p w14:paraId="37D84B5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7FD0492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7492A47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23,9</w:t>
            </w:r>
          </w:p>
        </w:tc>
        <w:tc>
          <w:tcPr>
            <w:tcW w:w="628" w:type="dxa"/>
            <w:tcBorders>
              <w:top w:val="nil"/>
              <w:left w:val="nil"/>
              <w:bottom w:val="single" w:sz="4" w:space="0" w:color="auto"/>
              <w:right w:val="single" w:sz="4" w:space="0" w:color="auto"/>
            </w:tcBorders>
            <w:shd w:val="clear" w:color="auto" w:fill="auto"/>
            <w:noWrap/>
            <w:vAlign w:val="center"/>
            <w:hideMark/>
          </w:tcPr>
          <w:p w14:paraId="38BB966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0F87054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22,8</w:t>
            </w:r>
          </w:p>
        </w:tc>
        <w:tc>
          <w:tcPr>
            <w:tcW w:w="628" w:type="dxa"/>
            <w:tcBorders>
              <w:top w:val="nil"/>
              <w:left w:val="nil"/>
              <w:bottom w:val="single" w:sz="4" w:space="0" w:color="auto"/>
              <w:right w:val="single" w:sz="4" w:space="0" w:color="auto"/>
            </w:tcBorders>
            <w:shd w:val="clear" w:color="auto" w:fill="auto"/>
            <w:noWrap/>
            <w:vAlign w:val="center"/>
            <w:hideMark/>
          </w:tcPr>
          <w:p w14:paraId="49E15BC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21,9</w:t>
            </w:r>
          </w:p>
        </w:tc>
        <w:tc>
          <w:tcPr>
            <w:tcW w:w="628" w:type="dxa"/>
            <w:tcBorders>
              <w:top w:val="nil"/>
              <w:left w:val="nil"/>
              <w:bottom w:val="single" w:sz="4" w:space="0" w:color="auto"/>
              <w:right w:val="single" w:sz="4" w:space="0" w:color="auto"/>
            </w:tcBorders>
            <w:shd w:val="clear" w:color="auto" w:fill="auto"/>
            <w:noWrap/>
            <w:vAlign w:val="center"/>
            <w:hideMark/>
          </w:tcPr>
          <w:p w14:paraId="658B31A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21,4</w:t>
            </w:r>
          </w:p>
        </w:tc>
        <w:tc>
          <w:tcPr>
            <w:tcW w:w="628" w:type="dxa"/>
            <w:tcBorders>
              <w:top w:val="nil"/>
              <w:left w:val="nil"/>
              <w:bottom w:val="single" w:sz="4" w:space="0" w:color="auto"/>
              <w:right w:val="single" w:sz="4" w:space="0" w:color="auto"/>
            </w:tcBorders>
            <w:shd w:val="clear" w:color="auto" w:fill="auto"/>
            <w:noWrap/>
            <w:vAlign w:val="center"/>
            <w:hideMark/>
          </w:tcPr>
          <w:p w14:paraId="27FD4C6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22,9</w:t>
            </w:r>
          </w:p>
        </w:tc>
      </w:tr>
      <w:tr w:rsidR="00B56301" w:rsidRPr="007253FC" w14:paraId="5D8BA9F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AB3140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non-ferreux</w:t>
            </w:r>
          </w:p>
        </w:tc>
        <w:tc>
          <w:tcPr>
            <w:tcW w:w="628" w:type="dxa"/>
            <w:tcBorders>
              <w:top w:val="nil"/>
              <w:left w:val="nil"/>
              <w:bottom w:val="single" w:sz="4" w:space="0" w:color="auto"/>
              <w:right w:val="single" w:sz="4" w:space="0" w:color="auto"/>
            </w:tcBorders>
            <w:shd w:val="clear" w:color="auto" w:fill="auto"/>
            <w:noWrap/>
            <w:vAlign w:val="center"/>
            <w:hideMark/>
          </w:tcPr>
          <w:p w14:paraId="7314AD3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8,0</w:t>
            </w:r>
          </w:p>
        </w:tc>
        <w:tc>
          <w:tcPr>
            <w:tcW w:w="628" w:type="dxa"/>
            <w:tcBorders>
              <w:top w:val="nil"/>
              <w:left w:val="nil"/>
              <w:bottom w:val="single" w:sz="4" w:space="0" w:color="auto"/>
              <w:right w:val="single" w:sz="4" w:space="0" w:color="auto"/>
            </w:tcBorders>
            <w:shd w:val="clear" w:color="auto" w:fill="auto"/>
            <w:noWrap/>
            <w:vAlign w:val="center"/>
            <w:hideMark/>
          </w:tcPr>
          <w:p w14:paraId="7B45A17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8,6</w:t>
            </w:r>
          </w:p>
        </w:tc>
        <w:tc>
          <w:tcPr>
            <w:tcW w:w="628" w:type="dxa"/>
            <w:tcBorders>
              <w:top w:val="nil"/>
              <w:left w:val="nil"/>
              <w:bottom w:val="single" w:sz="4" w:space="0" w:color="auto"/>
              <w:right w:val="single" w:sz="4" w:space="0" w:color="auto"/>
            </w:tcBorders>
            <w:shd w:val="clear" w:color="auto" w:fill="auto"/>
            <w:noWrap/>
            <w:vAlign w:val="center"/>
            <w:hideMark/>
          </w:tcPr>
          <w:p w14:paraId="395062E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8,6</w:t>
            </w:r>
          </w:p>
        </w:tc>
        <w:tc>
          <w:tcPr>
            <w:tcW w:w="628" w:type="dxa"/>
            <w:tcBorders>
              <w:top w:val="nil"/>
              <w:left w:val="nil"/>
              <w:bottom w:val="single" w:sz="4" w:space="0" w:color="auto"/>
              <w:right w:val="single" w:sz="4" w:space="0" w:color="auto"/>
            </w:tcBorders>
            <w:shd w:val="clear" w:color="auto" w:fill="auto"/>
            <w:noWrap/>
            <w:vAlign w:val="center"/>
            <w:hideMark/>
          </w:tcPr>
          <w:p w14:paraId="5BEFA19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6,9</w:t>
            </w:r>
          </w:p>
        </w:tc>
        <w:tc>
          <w:tcPr>
            <w:tcW w:w="628" w:type="dxa"/>
            <w:tcBorders>
              <w:top w:val="nil"/>
              <w:left w:val="nil"/>
              <w:bottom w:val="single" w:sz="4" w:space="0" w:color="auto"/>
              <w:right w:val="single" w:sz="4" w:space="0" w:color="auto"/>
            </w:tcBorders>
            <w:shd w:val="clear" w:color="auto" w:fill="auto"/>
            <w:noWrap/>
            <w:vAlign w:val="center"/>
            <w:hideMark/>
          </w:tcPr>
          <w:p w14:paraId="131818D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1E7DE64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6,3</w:t>
            </w:r>
          </w:p>
        </w:tc>
        <w:tc>
          <w:tcPr>
            <w:tcW w:w="628" w:type="dxa"/>
            <w:tcBorders>
              <w:top w:val="nil"/>
              <w:left w:val="nil"/>
              <w:bottom w:val="single" w:sz="4" w:space="0" w:color="auto"/>
              <w:right w:val="single" w:sz="4" w:space="0" w:color="auto"/>
            </w:tcBorders>
            <w:shd w:val="clear" w:color="auto" w:fill="auto"/>
            <w:noWrap/>
            <w:vAlign w:val="center"/>
            <w:hideMark/>
          </w:tcPr>
          <w:p w14:paraId="5EF7A9B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5E36208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6,1</w:t>
            </w:r>
          </w:p>
        </w:tc>
      </w:tr>
      <w:tr w:rsidR="00B56301" w:rsidRPr="007253FC" w14:paraId="3980449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2048CB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Minéraux non-métalliques, matériaux de 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13986CA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30,1</w:t>
            </w:r>
          </w:p>
        </w:tc>
        <w:tc>
          <w:tcPr>
            <w:tcW w:w="628" w:type="dxa"/>
            <w:tcBorders>
              <w:top w:val="nil"/>
              <w:left w:val="nil"/>
              <w:bottom w:val="single" w:sz="4" w:space="0" w:color="auto"/>
              <w:right w:val="single" w:sz="4" w:space="0" w:color="auto"/>
            </w:tcBorders>
            <w:shd w:val="clear" w:color="auto" w:fill="auto"/>
            <w:noWrap/>
            <w:vAlign w:val="center"/>
            <w:hideMark/>
          </w:tcPr>
          <w:p w14:paraId="598E1B4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32,6</w:t>
            </w:r>
          </w:p>
        </w:tc>
        <w:tc>
          <w:tcPr>
            <w:tcW w:w="628" w:type="dxa"/>
            <w:tcBorders>
              <w:top w:val="nil"/>
              <w:left w:val="nil"/>
              <w:bottom w:val="single" w:sz="4" w:space="0" w:color="auto"/>
              <w:right w:val="single" w:sz="4" w:space="0" w:color="auto"/>
            </w:tcBorders>
            <w:shd w:val="clear" w:color="auto" w:fill="auto"/>
            <w:noWrap/>
            <w:vAlign w:val="center"/>
            <w:hideMark/>
          </w:tcPr>
          <w:p w14:paraId="3BB8C13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27,6</w:t>
            </w:r>
          </w:p>
        </w:tc>
        <w:tc>
          <w:tcPr>
            <w:tcW w:w="628" w:type="dxa"/>
            <w:tcBorders>
              <w:top w:val="nil"/>
              <w:left w:val="nil"/>
              <w:bottom w:val="single" w:sz="4" w:space="0" w:color="auto"/>
              <w:right w:val="single" w:sz="4" w:space="0" w:color="auto"/>
            </w:tcBorders>
            <w:shd w:val="clear" w:color="auto" w:fill="auto"/>
            <w:noWrap/>
            <w:vAlign w:val="center"/>
            <w:hideMark/>
          </w:tcPr>
          <w:p w14:paraId="39D8453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25,5</w:t>
            </w:r>
          </w:p>
        </w:tc>
        <w:tc>
          <w:tcPr>
            <w:tcW w:w="628" w:type="dxa"/>
            <w:tcBorders>
              <w:top w:val="nil"/>
              <w:left w:val="nil"/>
              <w:bottom w:val="single" w:sz="4" w:space="0" w:color="auto"/>
              <w:right w:val="single" w:sz="4" w:space="0" w:color="auto"/>
            </w:tcBorders>
            <w:shd w:val="clear" w:color="auto" w:fill="auto"/>
            <w:noWrap/>
            <w:vAlign w:val="center"/>
            <w:hideMark/>
          </w:tcPr>
          <w:p w14:paraId="38E38B8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27,1</w:t>
            </w:r>
          </w:p>
        </w:tc>
        <w:tc>
          <w:tcPr>
            <w:tcW w:w="628" w:type="dxa"/>
            <w:tcBorders>
              <w:top w:val="nil"/>
              <w:left w:val="nil"/>
              <w:bottom w:val="single" w:sz="4" w:space="0" w:color="auto"/>
              <w:right w:val="single" w:sz="4" w:space="0" w:color="auto"/>
            </w:tcBorders>
            <w:shd w:val="clear" w:color="auto" w:fill="auto"/>
            <w:noWrap/>
            <w:vAlign w:val="center"/>
            <w:hideMark/>
          </w:tcPr>
          <w:p w14:paraId="0C6D416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26,6</w:t>
            </w:r>
          </w:p>
        </w:tc>
        <w:tc>
          <w:tcPr>
            <w:tcW w:w="628" w:type="dxa"/>
            <w:tcBorders>
              <w:top w:val="nil"/>
              <w:left w:val="nil"/>
              <w:bottom w:val="single" w:sz="4" w:space="0" w:color="auto"/>
              <w:right w:val="single" w:sz="4" w:space="0" w:color="auto"/>
            </w:tcBorders>
            <w:shd w:val="clear" w:color="auto" w:fill="auto"/>
            <w:noWrap/>
            <w:vAlign w:val="center"/>
            <w:hideMark/>
          </w:tcPr>
          <w:p w14:paraId="56736B4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26,2</w:t>
            </w:r>
          </w:p>
        </w:tc>
        <w:tc>
          <w:tcPr>
            <w:tcW w:w="628" w:type="dxa"/>
            <w:tcBorders>
              <w:top w:val="nil"/>
              <w:left w:val="nil"/>
              <w:bottom w:val="single" w:sz="4" w:space="0" w:color="auto"/>
              <w:right w:val="single" w:sz="4" w:space="0" w:color="auto"/>
            </w:tcBorders>
            <w:shd w:val="clear" w:color="auto" w:fill="auto"/>
            <w:noWrap/>
            <w:vAlign w:val="center"/>
            <w:hideMark/>
          </w:tcPr>
          <w:p w14:paraId="24E67E1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25,1</w:t>
            </w:r>
          </w:p>
        </w:tc>
      </w:tr>
      <w:tr w:rsidR="00B56301" w:rsidRPr="007253FC" w14:paraId="1831F4A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8D562C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Papier, carton</w:t>
            </w:r>
          </w:p>
        </w:tc>
        <w:tc>
          <w:tcPr>
            <w:tcW w:w="628" w:type="dxa"/>
            <w:tcBorders>
              <w:top w:val="nil"/>
              <w:left w:val="nil"/>
              <w:bottom w:val="single" w:sz="4" w:space="0" w:color="auto"/>
              <w:right w:val="single" w:sz="4" w:space="0" w:color="auto"/>
            </w:tcBorders>
            <w:shd w:val="clear" w:color="auto" w:fill="auto"/>
            <w:noWrap/>
            <w:vAlign w:val="center"/>
            <w:hideMark/>
          </w:tcPr>
          <w:p w14:paraId="7D3C208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06B97F0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154B76E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0B1E493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23EB00F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099102F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1B2B5B2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6955B5F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5,5</w:t>
            </w:r>
          </w:p>
        </w:tc>
      </w:tr>
      <w:tr w:rsidR="00B56301" w:rsidRPr="007253FC" w14:paraId="0FB260C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82BE0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industries manufacturières</w:t>
            </w:r>
          </w:p>
        </w:tc>
        <w:tc>
          <w:tcPr>
            <w:tcW w:w="628" w:type="dxa"/>
            <w:tcBorders>
              <w:top w:val="nil"/>
              <w:left w:val="nil"/>
              <w:bottom w:val="single" w:sz="4" w:space="0" w:color="auto"/>
              <w:right w:val="single" w:sz="4" w:space="0" w:color="auto"/>
            </w:tcBorders>
            <w:shd w:val="clear" w:color="auto" w:fill="auto"/>
            <w:noWrap/>
            <w:vAlign w:val="center"/>
            <w:hideMark/>
          </w:tcPr>
          <w:p w14:paraId="65C0B77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2D4BD89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51C0790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5FEF3A5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779EC63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21263FC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5369D0C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1D7AEBB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5,2</w:t>
            </w:r>
          </w:p>
        </w:tc>
      </w:tr>
      <w:tr w:rsidR="00B56301" w:rsidRPr="007253FC" w14:paraId="52F4D4D6"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493808E3"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Traitement centralisé des déchets</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05B9CEB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15,2</w:t>
            </w:r>
          </w:p>
        </w:tc>
        <w:tc>
          <w:tcPr>
            <w:tcW w:w="628" w:type="dxa"/>
            <w:tcBorders>
              <w:top w:val="nil"/>
              <w:left w:val="nil"/>
              <w:bottom w:val="single" w:sz="4" w:space="0" w:color="auto"/>
              <w:right w:val="single" w:sz="4" w:space="0" w:color="auto"/>
            </w:tcBorders>
            <w:shd w:val="clear" w:color="000000" w:fill="B3A2C7"/>
            <w:noWrap/>
            <w:vAlign w:val="bottom"/>
            <w:hideMark/>
          </w:tcPr>
          <w:p w14:paraId="443B6186"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15,8</w:t>
            </w:r>
          </w:p>
        </w:tc>
        <w:tc>
          <w:tcPr>
            <w:tcW w:w="628" w:type="dxa"/>
            <w:tcBorders>
              <w:top w:val="nil"/>
              <w:left w:val="nil"/>
              <w:bottom w:val="single" w:sz="4" w:space="0" w:color="auto"/>
              <w:right w:val="single" w:sz="4" w:space="0" w:color="auto"/>
            </w:tcBorders>
            <w:shd w:val="clear" w:color="000000" w:fill="B3A2C7"/>
            <w:noWrap/>
            <w:vAlign w:val="bottom"/>
            <w:hideMark/>
          </w:tcPr>
          <w:p w14:paraId="351929DF"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16,5</w:t>
            </w:r>
          </w:p>
        </w:tc>
        <w:tc>
          <w:tcPr>
            <w:tcW w:w="628" w:type="dxa"/>
            <w:tcBorders>
              <w:top w:val="nil"/>
              <w:left w:val="nil"/>
              <w:bottom w:val="single" w:sz="4" w:space="0" w:color="auto"/>
              <w:right w:val="single" w:sz="4" w:space="0" w:color="auto"/>
            </w:tcBorders>
            <w:shd w:val="clear" w:color="000000" w:fill="B3A2C7"/>
            <w:noWrap/>
            <w:vAlign w:val="bottom"/>
            <w:hideMark/>
          </w:tcPr>
          <w:p w14:paraId="216821D6"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17,2</w:t>
            </w:r>
          </w:p>
        </w:tc>
        <w:tc>
          <w:tcPr>
            <w:tcW w:w="628" w:type="dxa"/>
            <w:tcBorders>
              <w:top w:val="nil"/>
              <w:left w:val="nil"/>
              <w:bottom w:val="single" w:sz="4" w:space="0" w:color="auto"/>
              <w:right w:val="single" w:sz="4" w:space="0" w:color="auto"/>
            </w:tcBorders>
            <w:shd w:val="clear" w:color="000000" w:fill="B3A2C7"/>
            <w:noWrap/>
            <w:vAlign w:val="bottom"/>
            <w:hideMark/>
          </w:tcPr>
          <w:p w14:paraId="32E6CFB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17,4</w:t>
            </w:r>
          </w:p>
        </w:tc>
        <w:tc>
          <w:tcPr>
            <w:tcW w:w="628" w:type="dxa"/>
            <w:tcBorders>
              <w:top w:val="nil"/>
              <w:left w:val="nil"/>
              <w:bottom w:val="single" w:sz="4" w:space="0" w:color="auto"/>
              <w:right w:val="single" w:sz="4" w:space="0" w:color="auto"/>
            </w:tcBorders>
            <w:shd w:val="clear" w:color="000000" w:fill="B3A2C7"/>
            <w:noWrap/>
            <w:vAlign w:val="bottom"/>
            <w:hideMark/>
          </w:tcPr>
          <w:p w14:paraId="5BBB18BC"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17,6</w:t>
            </w:r>
          </w:p>
        </w:tc>
        <w:tc>
          <w:tcPr>
            <w:tcW w:w="628" w:type="dxa"/>
            <w:tcBorders>
              <w:top w:val="nil"/>
              <w:left w:val="nil"/>
              <w:bottom w:val="single" w:sz="4" w:space="0" w:color="auto"/>
              <w:right w:val="single" w:sz="4" w:space="0" w:color="auto"/>
            </w:tcBorders>
            <w:shd w:val="clear" w:color="000000" w:fill="B3A2C7"/>
            <w:noWrap/>
            <w:vAlign w:val="bottom"/>
            <w:hideMark/>
          </w:tcPr>
          <w:p w14:paraId="33B0D72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17,6</w:t>
            </w:r>
          </w:p>
        </w:tc>
        <w:tc>
          <w:tcPr>
            <w:tcW w:w="628" w:type="dxa"/>
            <w:tcBorders>
              <w:top w:val="nil"/>
              <w:left w:val="nil"/>
              <w:bottom w:val="single" w:sz="4" w:space="0" w:color="auto"/>
              <w:right w:val="single" w:sz="4" w:space="0" w:color="auto"/>
            </w:tcBorders>
            <w:shd w:val="clear" w:color="000000" w:fill="B3A2C7"/>
            <w:noWrap/>
            <w:vAlign w:val="bottom"/>
            <w:hideMark/>
          </w:tcPr>
          <w:p w14:paraId="223B2B32"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17,5</w:t>
            </w:r>
          </w:p>
        </w:tc>
      </w:tr>
      <w:tr w:rsidR="00B56301" w:rsidRPr="007253FC" w14:paraId="75B4027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1595EE0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Stockage des déchets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D89B8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12,6</w:t>
            </w:r>
          </w:p>
        </w:tc>
        <w:tc>
          <w:tcPr>
            <w:tcW w:w="628" w:type="dxa"/>
            <w:tcBorders>
              <w:top w:val="nil"/>
              <w:left w:val="nil"/>
              <w:bottom w:val="single" w:sz="4" w:space="0" w:color="auto"/>
              <w:right w:val="single" w:sz="4" w:space="0" w:color="auto"/>
            </w:tcBorders>
            <w:shd w:val="clear" w:color="auto" w:fill="auto"/>
            <w:noWrap/>
            <w:vAlign w:val="bottom"/>
            <w:hideMark/>
          </w:tcPr>
          <w:p w14:paraId="17D2FA2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13,1</w:t>
            </w:r>
          </w:p>
        </w:tc>
        <w:tc>
          <w:tcPr>
            <w:tcW w:w="628" w:type="dxa"/>
            <w:tcBorders>
              <w:top w:val="nil"/>
              <w:left w:val="nil"/>
              <w:bottom w:val="single" w:sz="4" w:space="0" w:color="auto"/>
              <w:right w:val="single" w:sz="4" w:space="0" w:color="auto"/>
            </w:tcBorders>
            <w:shd w:val="clear" w:color="auto" w:fill="auto"/>
            <w:noWrap/>
            <w:vAlign w:val="bottom"/>
            <w:hideMark/>
          </w:tcPr>
          <w:p w14:paraId="13D3BD4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13,8</w:t>
            </w:r>
          </w:p>
        </w:tc>
        <w:tc>
          <w:tcPr>
            <w:tcW w:w="628" w:type="dxa"/>
            <w:tcBorders>
              <w:top w:val="nil"/>
              <w:left w:val="nil"/>
              <w:bottom w:val="single" w:sz="4" w:space="0" w:color="auto"/>
              <w:right w:val="single" w:sz="4" w:space="0" w:color="auto"/>
            </w:tcBorders>
            <w:shd w:val="clear" w:color="auto" w:fill="auto"/>
            <w:noWrap/>
            <w:vAlign w:val="bottom"/>
            <w:hideMark/>
          </w:tcPr>
          <w:p w14:paraId="3D102F9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14,5</w:t>
            </w:r>
          </w:p>
        </w:tc>
        <w:tc>
          <w:tcPr>
            <w:tcW w:w="628" w:type="dxa"/>
            <w:tcBorders>
              <w:top w:val="nil"/>
              <w:left w:val="nil"/>
              <w:bottom w:val="single" w:sz="4" w:space="0" w:color="auto"/>
              <w:right w:val="single" w:sz="4" w:space="0" w:color="auto"/>
            </w:tcBorders>
            <w:shd w:val="clear" w:color="auto" w:fill="auto"/>
            <w:noWrap/>
            <w:vAlign w:val="bottom"/>
            <w:hideMark/>
          </w:tcPr>
          <w:p w14:paraId="30FEB0E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14,7</w:t>
            </w:r>
          </w:p>
        </w:tc>
        <w:tc>
          <w:tcPr>
            <w:tcW w:w="628" w:type="dxa"/>
            <w:tcBorders>
              <w:top w:val="nil"/>
              <w:left w:val="nil"/>
              <w:bottom w:val="single" w:sz="4" w:space="0" w:color="auto"/>
              <w:right w:val="single" w:sz="4" w:space="0" w:color="auto"/>
            </w:tcBorders>
            <w:shd w:val="clear" w:color="auto" w:fill="auto"/>
            <w:noWrap/>
            <w:vAlign w:val="bottom"/>
            <w:hideMark/>
          </w:tcPr>
          <w:p w14:paraId="35D5BA8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14,9</w:t>
            </w:r>
          </w:p>
        </w:tc>
        <w:tc>
          <w:tcPr>
            <w:tcW w:w="628" w:type="dxa"/>
            <w:tcBorders>
              <w:top w:val="nil"/>
              <w:left w:val="nil"/>
              <w:bottom w:val="single" w:sz="4" w:space="0" w:color="auto"/>
              <w:right w:val="single" w:sz="4" w:space="0" w:color="auto"/>
            </w:tcBorders>
            <w:shd w:val="clear" w:color="auto" w:fill="auto"/>
            <w:noWrap/>
            <w:vAlign w:val="bottom"/>
            <w:hideMark/>
          </w:tcPr>
          <w:p w14:paraId="6362A03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15,0</w:t>
            </w:r>
          </w:p>
        </w:tc>
        <w:tc>
          <w:tcPr>
            <w:tcW w:w="628" w:type="dxa"/>
            <w:tcBorders>
              <w:top w:val="nil"/>
              <w:left w:val="nil"/>
              <w:bottom w:val="single" w:sz="4" w:space="0" w:color="auto"/>
              <w:right w:val="single" w:sz="4" w:space="0" w:color="auto"/>
            </w:tcBorders>
            <w:shd w:val="clear" w:color="auto" w:fill="auto"/>
            <w:noWrap/>
            <w:vAlign w:val="bottom"/>
            <w:hideMark/>
          </w:tcPr>
          <w:p w14:paraId="59AA4F6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15,2</w:t>
            </w:r>
          </w:p>
        </w:tc>
      </w:tr>
      <w:tr w:rsidR="00B56301" w:rsidRPr="007253FC" w14:paraId="3A551CB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5CEB0D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Incinération sans récupération d'énergie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562473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165334D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111FF65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123A9C0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6D80C7B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w:t>
            </w:r>
          </w:p>
        </w:tc>
        <w:tc>
          <w:tcPr>
            <w:tcW w:w="628" w:type="dxa"/>
            <w:tcBorders>
              <w:top w:val="nil"/>
              <w:left w:val="nil"/>
              <w:bottom w:val="single" w:sz="4" w:space="0" w:color="auto"/>
              <w:right w:val="single" w:sz="4" w:space="0" w:color="auto"/>
            </w:tcBorders>
            <w:shd w:val="clear" w:color="auto" w:fill="auto"/>
            <w:noWrap/>
            <w:vAlign w:val="bottom"/>
            <w:hideMark/>
          </w:tcPr>
          <w:p w14:paraId="007B2F3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10CE582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571777A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1,7</w:t>
            </w:r>
          </w:p>
        </w:tc>
      </w:tr>
      <w:tr w:rsidR="00B56301" w:rsidRPr="007253FC" w14:paraId="390531D3"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E3B63B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traitements des déchets solides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76CFEA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B7330A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D1E4F9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EE0DE7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3C2C66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42425B7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06BB123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51B572E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0,2</w:t>
            </w:r>
          </w:p>
        </w:tc>
      </w:tr>
      <w:tr w:rsidR="00B56301" w:rsidRPr="007253FC" w14:paraId="4BF9F1E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75550C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Traitement des eaux usées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F09D0E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6A0984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9FF55A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386C55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44E296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596F2C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AEC125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D882B8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0,5</w:t>
            </w:r>
          </w:p>
        </w:tc>
      </w:tr>
      <w:tr w:rsidR="00B56301" w:rsidRPr="007253FC" w14:paraId="67A2AC15"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4EC1A599"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Usage des bâtiments et activités résidentiels/tertiaires</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75FABC6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92,8</w:t>
            </w:r>
          </w:p>
        </w:tc>
        <w:tc>
          <w:tcPr>
            <w:tcW w:w="628" w:type="dxa"/>
            <w:tcBorders>
              <w:top w:val="nil"/>
              <w:left w:val="nil"/>
              <w:bottom w:val="single" w:sz="4" w:space="0" w:color="auto"/>
              <w:right w:val="single" w:sz="4" w:space="0" w:color="auto"/>
            </w:tcBorders>
            <w:shd w:val="clear" w:color="000000" w:fill="E0E5B3"/>
            <w:noWrap/>
            <w:vAlign w:val="bottom"/>
            <w:hideMark/>
          </w:tcPr>
          <w:p w14:paraId="2F1A320E"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102,4</w:t>
            </w:r>
          </w:p>
        </w:tc>
        <w:tc>
          <w:tcPr>
            <w:tcW w:w="628" w:type="dxa"/>
            <w:tcBorders>
              <w:top w:val="nil"/>
              <w:left w:val="nil"/>
              <w:bottom w:val="single" w:sz="4" w:space="0" w:color="auto"/>
              <w:right w:val="single" w:sz="4" w:space="0" w:color="auto"/>
            </w:tcBorders>
            <w:shd w:val="clear" w:color="000000" w:fill="E0E5B3"/>
            <w:noWrap/>
            <w:vAlign w:val="bottom"/>
            <w:hideMark/>
          </w:tcPr>
          <w:p w14:paraId="1AFF01F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98,6</w:t>
            </w:r>
          </w:p>
        </w:tc>
        <w:tc>
          <w:tcPr>
            <w:tcW w:w="628" w:type="dxa"/>
            <w:tcBorders>
              <w:top w:val="nil"/>
              <w:left w:val="nil"/>
              <w:bottom w:val="single" w:sz="4" w:space="0" w:color="auto"/>
              <w:right w:val="single" w:sz="4" w:space="0" w:color="auto"/>
            </w:tcBorders>
            <w:shd w:val="clear" w:color="000000" w:fill="E0E5B3"/>
            <w:noWrap/>
            <w:vAlign w:val="bottom"/>
            <w:hideMark/>
          </w:tcPr>
          <w:p w14:paraId="43FAB05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95,0</w:t>
            </w:r>
          </w:p>
        </w:tc>
        <w:tc>
          <w:tcPr>
            <w:tcW w:w="628" w:type="dxa"/>
            <w:tcBorders>
              <w:top w:val="nil"/>
              <w:left w:val="nil"/>
              <w:bottom w:val="single" w:sz="4" w:space="0" w:color="auto"/>
              <w:right w:val="single" w:sz="4" w:space="0" w:color="auto"/>
            </w:tcBorders>
            <w:shd w:val="clear" w:color="000000" w:fill="E0E5B3"/>
            <w:noWrap/>
            <w:vAlign w:val="bottom"/>
            <w:hideMark/>
          </w:tcPr>
          <w:p w14:paraId="034B5352"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88,6</w:t>
            </w:r>
          </w:p>
        </w:tc>
        <w:tc>
          <w:tcPr>
            <w:tcW w:w="628" w:type="dxa"/>
            <w:tcBorders>
              <w:top w:val="nil"/>
              <w:left w:val="nil"/>
              <w:bottom w:val="single" w:sz="4" w:space="0" w:color="auto"/>
              <w:right w:val="single" w:sz="4" w:space="0" w:color="auto"/>
            </w:tcBorders>
            <w:shd w:val="clear" w:color="000000" w:fill="E0E5B3"/>
            <w:noWrap/>
            <w:vAlign w:val="bottom"/>
            <w:hideMark/>
          </w:tcPr>
          <w:p w14:paraId="7BC82B3B"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88,6</w:t>
            </w:r>
          </w:p>
        </w:tc>
        <w:tc>
          <w:tcPr>
            <w:tcW w:w="628" w:type="dxa"/>
            <w:tcBorders>
              <w:top w:val="nil"/>
              <w:left w:val="nil"/>
              <w:bottom w:val="single" w:sz="4" w:space="0" w:color="auto"/>
              <w:right w:val="single" w:sz="4" w:space="0" w:color="auto"/>
            </w:tcBorders>
            <w:shd w:val="clear" w:color="000000" w:fill="E0E5B3"/>
            <w:noWrap/>
            <w:vAlign w:val="bottom"/>
            <w:hideMark/>
          </w:tcPr>
          <w:p w14:paraId="492F6A5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98,5</w:t>
            </w:r>
          </w:p>
        </w:tc>
        <w:tc>
          <w:tcPr>
            <w:tcW w:w="628" w:type="dxa"/>
            <w:tcBorders>
              <w:top w:val="nil"/>
              <w:left w:val="nil"/>
              <w:bottom w:val="single" w:sz="4" w:space="0" w:color="auto"/>
              <w:right w:val="single" w:sz="4" w:space="0" w:color="auto"/>
            </w:tcBorders>
            <w:shd w:val="clear" w:color="000000" w:fill="E0E5B3"/>
            <w:noWrap/>
            <w:vAlign w:val="bottom"/>
            <w:hideMark/>
          </w:tcPr>
          <w:p w14:paraId="3B0FC91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93,6</w:t>
            </w:r>
          </w:p>
        </w:tc>
      </w:tr>
      <w:tr w:rsidR="00B56301" w:rsidRPr="007253FC" w14:paraId="29DE6B3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66B07FF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résidentiels et activités domestiques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C29F48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61,4</w:t>
            </w:r>
          </w:p>
        </w:tc>
        <w:tc>
          <w:tcPr>
            <w:tcW w:w="628" w:type="dxa"/>
            <w:tcBorders>
              <w:top w:val="nil"/>
              <w:left w:val="nil"/>
              <w:bottom w:val="single" w:sz="4" w:space="0" w:color="auto"/>
              <w:right w:val="single" w:sz="4" w:space="0" w:color="auto"/>
            </w:tcBorders>
            <w:shd w:val="clear" w:color="auto" w:fill="auto"/>
            <w:noWrap/>
            <w:vAlign w:val="bottom"/>
            <w:hideMark/>
          </w:tcPr>
          <w:p w14:paraId="1095E78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69,0</w:t>
            </w:r>
          </w:p>
        </w:tc>
        <w:tc>
          <w:tcPr>
            <w:tcW w:w="628" w:type="dxa"/>
            <w:tcBorders>
              <w:top w:val="nil"/>
              <w:left w:val="nil"/>
              <w:bottom w:val="single" w:sz="4" w:space="0" w:color="auto"/>
              <w:right w:val="single" w:sz="4" w:space="0" w:color="auto"/>
            </w:tcBorders>
            <w:shd w:val="clear" w:color="auto" w:fill="auto"/>
            <w:noWrap/>
            <w:vAlign w:val="bottom"/>
            <w:hideMark/>
          </w:tcPr>
          <w:p w14:paraId="61E0311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67,9</w:t>
            </w:r>
          </w:p>
        </w:tc>
        <w:tc>
          <w:tcPr>
            <w:tcW w:w="628" w:type="dxa"/>
            <w:tcBorders>
              <w:top w:val="nil"/>
              <w:left w:val="nil"/>
              <w:bottom w:val="single" w:sz="4" w:space="0" w:color="auto"/>
              <w:right w:val="single" w:sz="4" w:space="0" w:color="auto"/>
            </w:tcBorders>
            <w:shd w:val="clear" w:color="auto" w:fill="auto"/>
            <w:noWrap/>
            <w:vAlign w:val="bottom"/>
            <w:hideMark/>
          </w:tcPr>
          <w:p w14:paraId="70C8DDC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66,1</w:t>
            </w:r>
          </w:p>
        </w:tc>
        <w:tc>
          <w:tcPr>
            <w:tcW w:w="628" w:type="dxa"/>
            <w:tcBorders>
              <w:top w:val="nil"/>
              <w:left w:val="nil"/>
              <w:bottom w:val="single" w:sz="4" w:space="0" w:color="auto"/>
              <w:right w:val="single" w:sz="4" w:space="0" w:color="auto"/>
            </w:tcBorders>
            <w:shd w:val="clear" w:color="auto" w:fill="auto"/>
            <w:noWrap/>
            <w:vAlign w:val="bottom"/>
            <w:hideMark/>
          </w:tcPr>
          <w:p w14:paraId="64F2117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62,3</w:t>
            </w:r>
          </w:p>
        </w:tc>
        <w:tc>
          <w:tcPr>
            <w:tcW w:w="628" w:type="dxa"/>
            <w:tcBorders>
              <w:top w:val="nil"/>
              <w:left w:val="nil"/>
              <w:bottom w:val="single" w:sz="4" w:space="0" w:color="auto"/>
              <w:right w:val="single" w:sz="4" w:space="0" w:color="auto"/>
            </w:tcBorders>
            <w:shd w:val="clear" w:color="auto" w:fill="auto"/>
            <w:noWrap/>
            <w:vAlign w:val="bottom"/>
            <w:hideMark/>
          </w:tcPr>
          <w:p w14:paraId="3595A06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62,2</w:t>
            </w:r>
          </w:p>
        </w:tc>
        <w:tc>
          <w:tcPr>
            <w:tcW w:w="628" w:type="dxa"/>
            <w:tcBorders>
              <w:top w:val="nil"/>
              <w:left w:val="nil"/>
              <w:bottom w:val="single" w:sz="4" w:space="0" w:color="auto"/>
              <w:right w:val="single" w:sz="4" w:space="0" w:color="auto"/>
            </w:tcBorders>
            <w:shd w:val="clear" w:color="auto" w:fill="auto"/>
            <w:noWrap/>
            <w:vAlign w:val="bottom"/>
            <w:hideMark/>
          </w:tcPr>
          <w:p w14:paraId="48369D6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68,9</w:t>
            </w:r>
          </w:p>
        </w:tc>
        <w:tc>
          <w:tcPr>
            <w:tcW w:w="628" w:type="dxa"/>
            <w:tcBorders>
              <w:top w:val="nil"/>
              <w:left w:val="nil"/>
              <w:bottom w:val="single" w:sz="4" w:space="0" w:color="auto"/>
              <w:right w:val="single" w:sz="4" w:space="0" w:color="auto"/>
            </w:tcBorders>
            <w:shd w:val="clear" w:color="auto" w:fill="auto"/>
            <w:noWrap/>
            <w:vAlign w:val="bottom"/>
            <w:hideMark/>
          </w:tcPr>
          <w:p w14:paraId="72405A8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64,9</w:t>
            </w:r>
          </w:p>
        </w:tc>
      </w:tr>
      <w:tr w:rsidR="00B56301" w:rsidRPr="007253FC" w14:paraId="7F6FD9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4C3622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tertiaires et activités tertiaires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699A88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31,4</w:t>
            </w:r>
          </w:p>
        </w:tc>
        <w:tc>
          <w:tcPr>
            <w:tcW w:w="628" w:type="dxa"/>
            <w:tcBorders>
              <w:top w:val="nil"/>
              <w:left w:val="nil"/>
              <w:bottom w:val="single" w:sz="4" w:space="0" w:color="auto"/>
              <w:right w:val="single" w:sz="4" w:space="0" w:color="auto"/>
            </w:tcBorders>
            <w:shd w:val="clear" w:color="auto" w:fill="auto"/>
            <w:noWrap/>
            <w:vAlign w:val="bottom"/>
            <w:hideMark/>
          </w:tcPr>
          <w:p w14:paraId="2FE3BAA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4E7D8B6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415A320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28,9</w:t>
            </w:r>
          </w:p>
        </w:tc>
        <w:tc>
          <w:tcPr>
            <w:tcW w:w="628" w:type="dxa"/>
            <w:tcBorders>
              <w:top w:val="nil"/>
              <w:left w:val="nil"/>
              <w:bottom w:val="single" w:sz="4" w:space="0" w:color="auto"/>
              <w:right w:val="single" w:sz="4" w:space="0" w:color="auto"/>
            </w:tcBorders>
            <w:shd w:val="clear" w:color="auto" w:fill="auto"/>
            <w:noWrap/>
            <w:vAlign w:val="bottom"/>
            <w:hideMark/>
          </w:tcPr>
          <w:p w14:paraId="3C3F270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26,3</w:t>
            </w:r>
          </w:p>
        </w:tc>
        <w:tc>
          <w:tcPr>
            <w:tcW w:w="628" w:type="dxa"/>
            <w:tcBorders>
              <w:top w:val="nil"/>
              <w:left w:val="nil"/>
              <w:bottom w:val="single" w:sz="4" w:space="0" w:color="auto"/>
              <w:right w:val="single" w:sz="4" w:space="0" w:color="auto"/>
            </w:tcBorders>
            <w:shd w:val="clear" w:color="auto" w:fill="auto"/>
            <w:noWrap/>
            <w:vAlign w:val="bottom"/>
            <w:hideMark/>
          </w:tcPr>
          <w:p w14:paraId="5DC9904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26,3</w:t>
            </w:r>
          </w:p>
        </w:tc>
        <w:tc>
          <w:tcPr>
            <w:tcW w:w="628" w:type="dxa"/>
            <w:tcBorders>
              <w:top w:val="nil"/>
              <w:left w:val="nil"/>
              <w:bottom w:val="single" w:sz="4" w:space="0" w:color="auto"/>
              <w:right w:val="single" w:sz="4" w:space="0" w:color="auto"/>
            </w:tcBorders>
            <w:shd w:val="clear" w:color="auto" w:fill="auto"/>
            <w:noWrap/>
            <w:vAlign w:val="bottom"/>
            <w:hideMark/>
          </w:tcPr>
          <w:p w14:paraId="18B2133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29,6</w:t>
            </w:r>
          </w:p>
        </w:tc>
        <w:tc>
          <w:tcPr>
            <w:tcW w:w="628" w:type="dxa"/>
            <w:tcBorders>
              <w:top w:val="nil"/>
              <w:left w:val="nil"/>
              <w:bottom w:val="single" w:sz="4" w:space="0" w:color="auto"/>
              <w:right w:val="single" w:sz="4" w:space="0" w:color="auto"/>
            </w:tcBorders>
            <w:shd w:val="clear" w:color="auto" w:fill="auto"/>
            <w:noWrap/>
            <w:vAlign w:val="bottom"/>
            <w:hideMark/>
          </w:tcPr>
          <w:p w14:paraId="02973F9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28,7</w:t>
            </w:r>
          </w:p>
        </w:tc>
      </w:tr>
      <w:tr w:rsidR="00B56301" w:rsidRPr="007253FC" w14:paraId="693E6921"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010B10CA"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208FD73F"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91,5</w:t>
            </w:r>
          </w:p>
        </w:tc>
        <w:tc>
          <w:tcPr>
            <w:tcW w:w="628" w:type="dxa"/>
            <w:tcBorders>
              <w:top w:val="nil"/>
              <w:left w:val="nil"/>
              <w:bottom w:val="single" w:sz="4" w:space="0" w:color="auto"/>
              <w:right w:val="single" w:sz="4" w:space="0" w:color="auto"/>
            </w:tcBorders>
            <w:shd w:val="clear" w:color="000000" w:fill="92D050"/>
            <w:noWrap/>
            <w:vAlign w:val="bottom"/>
            <w:hideMark/>
          </w:tcPr>
          <w:p w14:paraId="494158C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91,1</w:t>
            </w:r>
          </w:p>
        </w:tc>
        <w:tc>
          <w:tcPr>
            <w:tcW w:w="628" w:type="dxa"/>
            <w:tcBorders>
              <w:top w:val="nil"/>
              <w:left w:val="nil"/>
              <w:bottom w:val="single" w:sz="4" w:space="0" w:color="auto"/>
              <w:right w:val="single" w:sz="4" w:space="0" w:color="auto"/>
            </w:tcBorders>
            <w:shd w:val="clear" w:color="000000" w:fill="92D050"/>
            <w:noWrap/>
            <w:vAlign w:val="bottom"/>
            <w:hideMark/>
          </w:tcPr>
          <w:p w14:paraId="6AF7241D"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89,9</w:t>
            </w:r>
          </w:p>
        </w:tc>
        <w:tc>
          <w:tcPr>
            <w:tcW w:w="628" w:type="dxa"/>
            <w:tcBorders>
              <w:top w:val="nil"/>
              <w:left w:val="nil"/>
              <w:bottom w:val="single" w:sz="4" w:space="0" w:color="auto"/>
              <w:right w:val="single" w:sz="4" w:space="0" w:color="auto"/>
            </w:tcBorders>
            <w:shd w:val="clear" w:color="000000" w:fill="92D050"/>
            <w:noWrap/>
            <w:vAlign w:val="bottom"/>
            <w:hideMark/>
          </w:tcPr>
          <w:p w14:paraId="26316B0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89,0</w:t>
            </w:r>
          </w:p>
        </w:tc>
        <w:tc>
          <w:tcPr>
            <w:tcW w:w="628" w:type="dxa"/>
            <w:tcBorders>
              <w:top w:val="nil"/>
              <w:left w:val="nil"/>
              <w:bottom w:val="single" w:sz="4" w:space="0" w:color="auto"/>
              <w:right w:val="single" w:sz="4" w:space="0" w:color="auto"/>
            </w:tcBorders>
            <w:shd w:val="clear" w:color="000000" w:fill="92D050"/>
            <w:noWrap/>
            <w:vAlign w:val="bottom"/>
            <w:hideMark/>
          </w:tcPr>
          <w:p w14:paraId="50E3434E"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88,5</w:t>
            </w:r>
          </w:p>
        </w:tc>
        <w:tc>
          <w:tcPr>
            <w:tcW w:w="628" w:type="dxa"/>
            <w:tcBorders>
              <w:top w:val="nil"/>
              <w:left w:val="nil"/>
              <w:bottom w:val="single" w:sz="4" w:space="0" w:color="auto"/>
              <w:right w:val="single" w:sz="4" w:space="0" w:color="auto"/>
            </w:tcBorders>
            <w:shd w:val="clear" w:color="000000" w:fill="92D050"/>
            <w:noWrap/>
            <w:vAlign w:val="bottom"/>
            <w:hideMark/>
          </w:tcPr>
          <w:p w14:paraId="3999F2C9"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89,3</w:t>
            </w:r>
          </w:p>
        </w:tc>
        <w:tc>
          <w:tcPr>
            <w:tcW w:w="628" w:type="dxa"/>
            <w:tcBorders>
              <w:top w:val="nil"/>
              <w:left w:val="nil"/>
              <w:bottom w:val="single" w:sz="4" w:space="0" w:color="auto"/>
              <w:right w:val="single" w:sz="4" w:space="0" w:color="auto"/>
            </w:tcBorders>
            <w:shd w:val="clear" w:color="000000" w:fill="92D050"/>
            <w:noWrap/>
            <w:vAlign w:val="bottom"/>
            <w:hideMark/>
          </w:tcPr>
          <w:p w14:paraId="6203CEA0"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90,0</w:t>
            </w:r>
          </w:p>
        </w:tc>
        <w:tc>
          <w:tcPr>
            <w:tcW w:w="628" w:type="dxa"/>
            <w:tcBorders>
              <w:top w:val="nil"/>
              <w:left w:val="nil"/>
              <w:bottom w:val="single" w:sz="4" w:space="0" w:color="auto"/>
              <w:right w:val="single" w:sz="4" w:space="0" w:color="auto"/>
            </w:tcBorders>
            <w:shd w:val="clear" w:color="000000" w:fill="92D050"/>
            <w:noWrap/>
            <w:vAlign w:val="bottom"/>
            <w:hideMark/>
          </w:tcPr>
          <w:p w14:paraId="471AC68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90,3</w:t>
            </w:r>
          </w:p>
        </w:tc>
      </w:tr>
      <w:tr w:rsidR="00B56301" w:rsidRPr="007253FC" w14:paraId="63D28EED"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3F327"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Culture</w:t>
            </w:r>
          </w:p>
        </w:tc>
        <w:tc>
          <w:tcPr>
            <w:tcW w:w="628" w:type="dxa"/>
            <w:tcBorders>
              <w:top w:val="nil"/>
              <w:left w:val="nil"/>
              <w:bottom w:val="single" w:sz="4" w:space="0" w:color="auto"/>
              <w:right w:val="single" w:sz="4" w:space="0" w:color="auto"/>
            </w:tcBorders>
            <w:shd w:val="clear" w:color="auto" w:fill="auto"/>
            <w:noWrap/>
            <w:vAlign w:val="bottom"/>
            <w:hideMark/>
          </w:tcPr>
          <w:p w14:paraId="21A3E2A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35,9</w:t>
            </w:r>
          </w:p>
        </w:tc>
        <w:tc>
          <w:tcPr>
            <w:tcW w:w="628" w:type="dxa"/>
            <w:tcBorders>
              <w:top w:val="nil"/>
              <w:left w:val="nil"/>
              <w:bottom w:val="single" w:sz="4" w:space="0" w:color="auto"/>
              <w:right w:val="single" w:sz="4" w:space="0" w:color="auto"/>
            </w:tcBorders>
            <w:shd w:val="clear" w:color="auto" w:fill="auto"/>
            <w:noWrap/>
            <w:vAlign w:val="bottom"/>
            <w:hideMark/>
          </w:tcPr>
          <w:p w14:paraId="273BF9F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36,2</w:t>
            </w:r>
          </w:p>
        </w:tc>
        <w:tc>
          <w:tcPr>
            <w:tcW w:w="628" w:type="dxa"/>
            <w:tcBorders>
              <w:top w:val="nil"/>
              <w:left w:val="nil"/>
              <w:bottom w:val="single" w:sz="4" w:space="0" w:color="auto"/>
              <w:right w:val="single" w:sz="4" w:space="0" w:color="auto"/>
            </w:tcBorders>
            <w:shd w:val="clear" w:color="auto" w:fill="auto"/>
            <w:noWrap/>
            <w:vAlign w:val="bottom"/>
            <w:hideMark/>
          </w:tcPr>
          <w:p w14:paraId="42F0460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35,3</w:t>
            </w:r>
          </w:p>
        </w:tc>
        <w:tc>
          <w:tcPr>
            <w:tcW w:w="628" w:type="dxa"/>
            <w:tcBorders>
              <w:top w:val="nil"/>
              <w:left w:val="nil"/>
              <w:bottom w:val="single" w:sz="4" w:space="0" w:color="auto"/>
              <w:right w:val="single" w:sz="4" w:space="0" w:color="auto"/>
            </w:tcBorders>
            <w:shd w:val="clear" w:color="auto" w:fill="auto"/>
            <w:noWrap/>
            <w:vAlign w:val="bottom"/>
            <w:hideMark/>
          </w:tcPr>
          <w:p w14:paraId="16BB4C3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2A67B35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675911B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5F0A4B6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35,1</w:t>
            </w:r>
          </w:p>
        </w:tc>
        <w:tc>
          <w:tcPr>
            <w:tcW w:w="628" w:type="dxa"/>
            <w:tcBorders>
              <w:top w:val="nil"/>
              <w:left w:val="nil"/>
              <w:bottom w:val="single" w:sz="4" w:space="0" w:color="auto"/>
              <w:right w:val="single" w:sz="4" w:space="0" w:color="auto"/>
            </w:tcBorders>
            <w:shd w:val="clear" w:color="auto" w:fill="auto"/>
            <w:noWrap/>
            <w:vAlign w:val="bottom"/>
            <w:hideMark/>
          </w:tcPr>
          <w:p w14:paraId="28FBED7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35,6</w:t>
            </w:r>
          </w:p>
        </w:tc>
      </w:tr>
      <w:tr w:rsidR="00B56301" w:rsidRPr="007253FC" w14:paraId="0453ADD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1FC214FB"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Elevage</w:t>
            </w:r>
          </w:p>
        </w:tc>
        <w:tc>
          <w:tcPr>
            <w:tcW w:w="628" w:type="dxa"/>
            <w:tcBorders>
              <w:top w:val="nil"/>
              <w:left w:val="nil"/>
              <w:bottom w:val="single" w:sz="4" w:space="0" w:color="auto"/>
              <w:right w:val="single" w:sz="4" w:space="0" w:color="auto"/>
            </w:tcBorders>
            <w:shd w:val="clear" w:color="auto" w:fill="auto"/>
            <w:noWrap/>
            <w:vAlign w:val="bottom"/>
            <w:hideMark/>
          </w:tcPr>
          <w:p w14:paraId="73ABB6D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1D91AE1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44,2</w:t>
            </w:r>
          </w:p>
        </w:tc>
        <w:tc>
          <w:tcPr>
            <w:tcW w:w="628" w:type="dxa"/>
            <w:tcBorders>
              <w:top w:val="nil"/>
              <w:left w:val="nil"/>
              <w:bottom w:val="single" w:sz="4" w:space="0" w:color="auto"/>
              <w:right w:val="single" w:sz="4" w:space="0" w:color="auto"/>
            </w:tcBorders>
            <w:shd w:val="clear" w:color="auto" w:fill="auto"/>
            <w:noWrap/>
            <w:vAlign w:val="bottom"/>
            <w:hideMark/>
          </w:tcPr>
          <w:p w14:paraId="78D0A8D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43,6</w:t>
            </w:r>
          </w:p>
        </w:tc>
        <w:tc>
          <w:tcPr>
            <w:tcW w:w="628" w:type="dxa"/>
            <w:tcBorders>
              <w:top w:val="nil"/>
              <w:left w:val="nil"/>
              <w:bottom w:val="single" w:sz="4" w:space="0" w:color="auto"/>
              <w:right w:val="single" w:sz="4" w:space="0" w:color="auto"/>
            </w:tcBorders>
            <w:shd w:val="clear" w:color="auto" w:fill="auto"/>
            <w:noWrap/>
            <w:vAlign w:val="bottom"/>
            <w:hideMark/>
          </w:tcPr>
          <w:p w14:paraId="77EAC71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43,3</w:t>
            </w:r>
          </w:p>
        </w:tc>
        <w:tc>
          <w:tcPr>
            <w:tcW w:w="628" w:type="dxa"/>
            <w:tcBorders>
              <w:top w:val="nil"/>
              <w:left w:val="nil"/>
              <w:bottom w:val="single" w:sz="4" w:space="0" w:color="auto"/>
              <w:right w:val="single" w:sz="4" w:space="0" w:color="auto"/>
            </w:tcBorders>
            <w:shd w:val="clear" w:color="auto" w:fill="auto"/>
            <w:noWrap/>
            <w:vAlign w:val="bottom"/>
            <w:hideMark/>
          </w:tcPr>
          <w:p w14:paraId="04E51FD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43,5</w:t>
            </w:r>
          </w:p>
        </w:tc>
        <w:tc>
          <w:tcPr>
            <w:tcW w:w="628" w:type="dxa"/>
            <w:tcBorders>
              <w:top w:val="nil"/>
              <w:left w:val="nil"/>
              <w:bottom w:val="single" w:sz="4" w:space="0" w:color="auto"/>
              <w:right w:val="single" w:sz="4" w:space="0" w:color="auto"/>
            </w:tcBorders>
            <w:shd w:val="clear" w:color="auto" w:fill="auto"/>
            <w:noWrap/>
            <w:vAlign w:val="bottom"/>
            <w:hideMark/>
          </w:tcPr>
          <w:p w14:paraId="65043F0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43,7</w:t>
            </w:r>
          </w:p>
        </w:tc>
        <w:tc>
          <w:tcPr>
            <w:tcW w:w="628" w:type="dxa"/>
            <w:tcBorders>
              <w:top w:val="nil"/>
              <w:left w:val="nil"/>
              <w:bottom w:val="single" w:sz="4" w:space="0" w:color="auto"/>
              <w:right w:val="single" w:sz="4" w:space="0" w:color="auto"/>
            </w:tcBorders>
            <w:shd w:val="clear" w:color="auto" w:fill="auto"/>
            <w:noWrap/>
            <w:vAlign w:val="bottom"/>
            <w:hideMark/>
          </w:tcPr>
          <w:p w14:paraId="6EF2859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43,6</w:t>
            </w:r>
          </w:p>
        </w:tc>
        <w:tc>
          <w:tcPr>
            <w:tcW w:w="628" w:type="dxa"/>
            <w:tcBorders>
              <w:top w:val="nil"/>
              <w:left w:val="nil"/>
              <w:bottom w:val="single" w:sz="4" w:space="0" w:color="auto"/>
              <w:right w:val="single" w:sz="4" w:space="0" w:color="auto"/>
            </w:tcBorders>
            <w:shd w:val="clear" w:color="auto" w:fill="auto"/>
            <w:noWrap/>
            <w:vAlign w:val="bottom"/>
            <w:hideMark/>
          </w:tcPr>
          <w:p w14:paraId="68FB1B5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43,4</w:t>
            </w:r>
          </w:p>
        </w:tc>
      </w:tr>
      <w:tr w:rsidR="00B56301" w:rsidRPr="007253FC" w14:paraId="5D00F68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194112E2"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Engins, moteurs et chaudières en agriculture/sylviculture</w:t>
            </w:r>
          </w:p>
        </w:tc>
        <w:tc>
          <w:tcPr>
            <w:tcW w:w="628" w:type="dxa"/>
            <w:tcBorders>
              <w:top w:val="nil"/>
              <w:left w:val="nil"/>
              <w:bottom w:val="single" w:sz="4" w:space="0" w:color="auto"/>
              <w:right w:val="single" w:sz="4" w:space="0" w:color="auto"/>
            </w:tcBorders>
            <w:shd w:val="clear" w:color="auto" w:fill="auto"/>
            <w:noWrap/>
            <w:vAlign w:val="center"/>
            <w:hideMark/>
          </w:tcPr>
          <w:p w14:paraId="707E32A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346A269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6757DE8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3101A3A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26F14FF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12954C9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04A8D80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5C73AEA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11,3</w:t>
            </w:r>
          </w:p>
        </w:tc>
      </w:tr>
      <w:tr w:rsidR="00B56301" w:rsidRPr="007253FC" w14:paraId="3F3FCCB9"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08FF0838"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3AEAF807"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123,7</w:t>
            </w:r>
          </w:p>
        </w:tc>
        <w:tc>
          <w:tcPr>
            <w:tcW w:w="628" w:type="dxa"/>
            <w:tcBorders>
              <w:top w:val="nil"/>
              <w:left w:val="nil"/>
              <w:bottom w:val="single" w:sz="4" w:space="0" w:color="auto"/>
              <w:right w:val="single" w:sz="4" w:space="0" w:color="auto"/>
            </w:tcBorders>
            <w:shd w:val="clear" w:color="000000" w:fill="7030A0"/>
            <w:noWrap/>
            <w:vAlign w:val="bottom"/>
            <w:hideMark/>
          </w:tcPr>
          <w:p w14:paraId="6339FA69"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127,0</w:t>
            </w:r>
          </w:p>
        </w:tc>
        <w:tc>
          <w:tcPr>
            <w:tcW w:w="628" w:type="dxa"/>
            <w:tcBorders>
              <w:top w:val="nil"/>
              <w:left w:val="nil"/>
              <w:bottom w:val="single" w:sz="4" w:space="0" w:color="auto"/>
              <w:right w:val="single" w:sz="4" w:space="0" w:color="auto"/>
            </w:tcBorders>
            <w:shd w:val="clear" w:color="000000" w:fill="7030A0"/>
            <w:noWrap/>
            <w:vAlign w:val="bottom"/>
            <w:hideMark/>
          </w:tcPr>
          <w:p w14:paraId="42486E21"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129,7</w:t>
            </w:r>
          </w:p>
        </w:tc>
        <w:tc>
          <w:tcPr>
            <w:tcW w:w="628" w:type="dxa"/>
            <w:tcBorders>
              <w:top w:val="nil"/>
              <w:left w:val="nil"/>
              <w:bottom w:val="single" w:sz="4" w:space="0" w:color="auto"/>
              <w:right w:val="single" w:sz="4" w:space="0" w:color="auto"/>
            </w:tcBorders>
            <w:shd w:val="clear" w:color="000000" w:fill="7030A0"/>
            <w:noWrap/>
            <w:vAlign w:val="bottom"/>
            <w:hideMark/>
          </w:tcPr>
          <w:p w14:paraId="6FB5B59D"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130,7</w:t>
            </w:r>
          </w:p>
        </w:tc>
        <w:tc>
          <w:tcPr>
            <w:tcW w:w="628" w:type="dxa"/>
            <w:tcBorders>
              <w:top w:val="nil"/>
              <w:left w:val="nil"/>
              <w:bottom w:val="single" w:sz="4" w:space="0" w:color="auto"/>
              <w:right w:val="single" w:sz="4" w:space="0" w:color="auto"/>
            </w:tcBorders>
            <w:shd w:val="clear" w:color="000000" w:fill="7030A0"/>
            <w:noWrap/>
            <w:vAlign w:val="bottom"/>
            <w:hideMark/>
          </w:tcPr>
          <w:p w14:paraId="290528C5"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132,3</w:t>
            </w:r>
          </w:p>
        </w:tc>
        <w:tc>
          <w:tcPr>
            <w:tcW w:w="628" w:type="dxa"/>
            <w:tcBorders>
              <w:top w:val="nil"/>
              <w:left w:val="nil"/>
              <w:bottom w:val="single" w:sz="4" w:space="0" w:color="auto"/>
              <w:right w:val="single" w:sz="4" w:space="0" w:color="auto"/>
            </w:tcBorders>
            <w:shd w:val="clear" w:color="000000" w:fill="7030A0"/>
            <w:noWrap/>
            <w:vAlign w:val="bottom"/>
            <w:hideMark/>
          </w:tcPr>
          <w:p w14:paraId="45F9D439"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133,8</w:t>
            </w:r>
          </w:p>
        </w:tc>
        <w:tc>
          <w:tcPr>
            <w:tcW w:w="628" w:type="dxa"/>
            <w:tcBorders>
              <w:top w:val="nil"/>
              <w:left w:val="nil"/>
              <w:bottom w:val="single" w:sz="4" w:space="0" w:color="auto"/>
              <w:right w:val="single" w:sz="4" w:space="0" w:color="auto"/>
            </w:tcBorders>
            <w:shd w:val="clear" w:color="000000" w:fill="7030A0"/>
            <w:noWrap/>
            <w:vAlign w:val="bottom"/>
            <w:hideMark/>
          </w:tcPr>
          <w:p w14:paraId="1C4F7390"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134,1</w:t>
            </w:r>
          </w:p>
        </w:tc>
        <w:tc>
          <w:tcPr>
            <w:tcW w:w="628" w:type="dxa"/>
            <w:tcBorders>
              <w:top w:val="nil"/>
              <w:left w:val="nil"/>
              <w:bottom w:val="single" w:sz="4" w:space="0" w:color="auto"/>
              <w:right w:val="single" w:sz="4" w:space="0" w:color="auto"/>
            </w:tcBorders>
            <w:shd w:val="clear" w:color="000000" w:fill="7030A0"/>
            <w:noWrap/>
            <w:vAlign w:val="bottom"/>
            <w:hideMark/>
          </w:tcPr>
          <w:p w14:paraId="2F112186"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136,8</w:t>
            </w:r>
          </w:p>
        </w:tc>
      </w:tr>
      <w:tr w:rsidR="00B56301" w:rsidRPr="007253FC" w14:paraId="52D19628"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0D9DB42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VP</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614A83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67,7</w:t>
            </w:r>
          </w:p>
        </w:tc>
        <w:tc>
          <w:tcPr>
            <w:tcW w:w="628" w:type="dxa"/>
            <w:tcBorders>
              <w:top w:val="nil"/>
              <w:left w:val="nil"/>
              <w:bottom w:val="single" w:sz="4" w:space="0" w:color="auto"/>
              <w:right w:val="single" w:sz="4" w:space="0" w:color="auto"/>
            </w:tcBorders>
            <w:shd w:val="clear" w:color="auto" w:fill="auto"/>
            <w:noWrap/>
            <w:vAlign w:val="bottom"/>
            <w:hideMark/>
          </w:tcPr>
          <w:p w14:paraId="1186F9D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68,7</w:t>
            </w:r>
          </w:p>
        </w:tc>
        <w:tc>
          <w:tcPr>
            <w:tcW w:w="628" w:type="dxa"/>
            <w:tcBorders>
              <w:top w:val="nil"/>
              <w:left w:val="nil"/>
              <w:bottom w:val="single" w:sz="4" w:space="0" w:color="auto"/>
              <w:right w:val="single" w:sz="4" w:space="0" w:color="auto"/>
            </w:tcBorders>
            <w:shd w:val="clear" w:color="auto" w:fill="auto"/>
            <w:noWrap/>
            <w:vAlign w:val="bottom"/>
            <w:hideMark/>
          </w:tcPr>
          <w:p w14:paraId="022C54B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70,5</w:t>
            </w:r>
          </w:p>
        </w:tc>
        <w:tc>
          <w:tcPr>
            <w:tcW w:w="628" w:type="dxa"/>
            <w:tcBorders>
              <w:top w:val="nil"/>
              <w:left w:val="nil"/>
              <w:bottom w:val="single" w:sz="4" w:space="0" w:color="auto"/>
              <w:right w:val="single" w:sz="4" w:space="0" w:color="auto"/>
            </w:tcBorders>
            <w:shd w:val="clear" w:color="auto" w:fill="auto"/>
            <w:noWrap/>
            <w:vAlign w:val="bottom"/>
            <w:hideMark/>
          </w:tcPr>
          <w:p w14:paraId="79BA207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71,1</w:t>
            </w:r>
          </w:p>
        </w:tc>
        <w:tc>
          <w:tcPr>
            <w:tcW w:w="628" w:type="dxa"/>
            <w:tcBorders>
              <w:top w:val="nil"/>
              <w:left w:val="nil"/>
              <w:bottom w:val="single" w:sz="4" w:space="0" w:color="auto"/>
              <w:right w:val="single" w:sz="4" w:space="0" w:color="auto"/>
            </w:tcBorders>
            <w:shd w:val="clear" w:color="auto" w:fill="auto"/>
            <w:noWrap/>
            <w:vAlign w:val="bottom"/>
            <w:hideMark/>
          </w:tcPr>
          <w:p w14:paraId="747C02A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71,7</w:t>
            </w:r>
          </w:p>
        </w:tc>
        <w:tc>
          <w:tcPr>
            <w:tcW w:w="628" w:type="dxa"/>
            <w:tcBorders>
              <w:top w:val="nil"/>
              <w:left w:val="nil"/>
              <w:bottom w:val="single" w:sz="4" w:space="0" w:color="auto"/>
              <w:right w:val="single" w:sz="4" w:space="0" w:color="auto"/>
            </w:tcBorders>
            <w:shd w:val="clear" w:color="auto" w:fill="auto"/>
            <w:noWrap/>
            <w:vAlign w:val="bottom"/>
            <w:hideMark/>
          </w:tcPr>
          <w:p w14:paraId="547E522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72,6</w:t>
            </w:r>
          </w:p>
        </w:tc>
        <w:tc>
          <w:tcPr>
            <w:tcW w:w="628" w:type="dxa"/>
            <w:tcBorders>
              <w:top w:val="nil"/>
              <w:left w:val="nil"/>
              <w:bottom w:val="single" w:sz="4" w:space="0" w:color="auto"/>
              <w:right w:val="single" w:sz="4" w:space="0" w:color="auto"/>
            </w:tcBorders>
            <w:shd w:val="clear" w:color="auto" w:fill="auto"/>
            <w:noWrap/>
            <w:vAlign w:val="bottom"/>
            <w:hideMark/>
          </w:tcPr>
          <w:p w14:paraId="0D217BE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72,4</w:t>
            </w:r>
          </w:p>
        </w:tc>
        <w:tc>
          <w:tcPr>
            <w:tcW w:w="628" w:type="dxa"/>
            <w:tcBorders>
              <w:top w:val="nil"/>
              <w:left w:val="nil"/>
              <w:bottom w:val="single" w:sz="4" w:space="0" w:color="auto"/>
              <w:right w:val="single" w:sz="4" w:space="0" w:color="auto"/>
            </w:tcBorders>
            <w:shd w:val="clear" w:color="auto" w:fill="auto"/>
            <w:noWrap/>
            <w:vAlign w:val="bottom"/>
            <w:hideMark/>
          </w:tcPr>
          <w:p w14:paraId="589B246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72,9</w:t>
            </w:r>
          </w:p>
        </w:tc>
      </w:tr>
      <w:tr w:rsidR="00B56301" w:rsidRPr="007253FC" w14:paraId="67D1747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4D7A629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VUL</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B24D71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18,5</w:t>
            </w:r>
          </w:p>
        </w:tc>
        <w:tc>
          <w:tcPr>
            <w:tcW w:w="628" w:type="dxa"/>
            <w:tcBorders>
              <w:top w:val="nil"/>
              <w:left w:val="nil"/>
              <w:bottom w:val="single" w:sz="4" w:space="0" w:color="auto"/>
              <w:right w:val="single" w:sz="4" w:space="0" w:color="auto"/>
            </w:tcBorders>
            <w:shd w:val="clear" w:color="auto" w:fill="auto"/>
            <w:noWrap/>
            <w:vAlign w:val="bottom"/>
            <w:hideMark/>
          </w:tcPr>
          <w:p w14:paraId="7F5CECA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19,4</w:t>
            </w:r>
          </w:p>
        </w:tc>
        <w:tc>
          <w:tcPr>
            <w:tcW w:w="628" w:type="dxa"/>
            <w:tcBorders>
              <w:top w:val="nil"/>
              <w:left w:val="nil"/>
              <w:bottom w:val="single" w:sz="4" w:space="0" w:color="auto"/>
              <w:right w:val="single" w:sz="4" w:space="0" w:color="auto"/>
            </w:tcBorders>
            <w:shd w:val="clear" w:color="auto" w:fill="auto"/>
            <w:noWrap/>
            <w:vAlign w:val="bottom"/>
            <w:hideMark/>
          </w:tcPr>
          <w:p w14:paraId="2AEF348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19,7</w:t>
            </w:r>
          </w:p>
        </w:tc>
        <w:tc>
          <w:tcPr>
            <w:tcW w:w="628" w:type="dxa"/>
            <w:tcBorders>
              <w:top w:val="nil"/>
              <w:left w:val="nil"/>
              <w:bottom w:val="single" w:sz="4" w:space="0" w:color="auto"/>
              <w:right w:val="single" w:sz="4" w:space="0" w:color="auto"/>
            </w:tcBorders>
            <w:shd w:val="clear" w:color="auto" w:fill="auto"/>
            <w:noWrap/>
            <w:vAlign w:val="bottom"/>
            <w:hideMark/>
          </w:tcPr>
          <w:p w14:paraId="35BE2C7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5BBD289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02CA6A9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20,2</w:t>
            </w:r>
          </w:p>
        </w:tc>
        <w:tc>
          <w:tcPr>
            <w:tcW w:w="628" w:type="dxa"/>
            <w:tcBorders>
              <w:top w:val="nil"/>
              <w:left w:val="nil"/>
              <w:bottom w:val="single" w:sz="4" w:space="0" w:color="auto"/>
              <w:right w:val="single" w:sz="4" w:space="0" w:color="auto"/>
            </w:tcBorders>
            <w:shd w:val="clear" w:color="auto" w:fill="auto"/>
            <w:noWrap/>
            <w:vAlign w:val="bottom"/>
            <w:hideMark/>
          </w:tcPr>
          <w:p w14:paraId="2A67FED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20,3</w:t>
            </w:r>
          </w:p>
        </w:tc>
        <w:tc>
          <w:tcPr>
            <w:tcW w:w="628" w:type="dxa"/>
            <w:tcBorders>
              <w:top w:val="nil"/>
              <w:left w:val="nil"/>
              <w:bottom w:val="single" w:sz="4" w:space="0" w:color="auto"/>
              <w:right w:val="single" w:sz="4" w:space="0" w:color="auto"/>
            </w:tcBorders>
            <w:shd w:val="clear" w:color="auto" w:fill="auto"/>
            <w:noWrap/>
            <w:vAlign w:val="bottom"/>
            <w:hideMark/>
          </w:tcPr>
          <w:p w14:paraId="72A9669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21,0</w:t>
            </w:r>
          </w:p>
        </w:tc>
      </w:tr>
      <w:tr w:rsidR="00B56301" w:rsidRPr="007253FC" w14:paraId="09B93EAA"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696DC954" w14:textId="77777777" w:rsidR="00B56301" w:rsidRPr="007253FC" w:rsidRDefault="00B56301" w:rsidP="00B37B65">
            <w:pPr>
              <w:jc w:val="left"/>
              <w:rPr>
                <w:rFonts w:ascii="Trebuchet MS" w:hAnsi="Trebuchet MS" w:cs="Arial"/>
                <w:sz w:val="16"/>
                <w:szCs w:val="16"/>
                <w:lang w:val="en-GB"/>
              </w:rPr>
            </w:pPr>
            <w:r w:rsidRPr="007253FC">
              <w:rPr>
                <w:rFonts w:ascii="Trebuchet MS" w:hAnsi="Trebuchet MS" w:cs="Arial"/>
                <w:sz w:val="16"/>
                <w:szCs w:val="16"/>
                <w:lang w:val="en-GB"/>
              </w:rPr>
              <w:t>PL (y.c. bus et cars)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D17C0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29,1</w:t>
            </w:r>
          </w:p>
        </w:tc>
        <w:tc>
          <w:tcPr>
            <w:tcW w:w="628" w:type="dxa"/>
            <w:tcBorders>
              <w:top w:val="nil"/>
              <w:left w:val="nil"/>
              <w:bottom w:val="single" w:sz="4" w:space="0" w:color="auto"/>
              <w:right w:val="single" w:sz="4" w:space="0" w:color="auto"/>
            </w:tcBorders>
            <w:shd w:val="clear" w:color="auto" w:fill="auto"/>
            <w:noWrap/>
            <w:vAlign w:val="bottom"/>
            <w:hideMark/>
          </w:tcPr>
          <w:p w14:paraId="068FCA3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30,2</w:t>
            </w:r>
          </w:p>
        </w:tc>
        <w:tc>
          <w:tcPr>
            <w:tcW w:w="628" w:type="dxa"/>
            <w:tcBorders>
              <w:top w:val="nil"/>
              <w:left w:val="nil"/>
              <w:bottom w:val="single" w:sz="4" w:space="0" w:color="auto"/>
              <w:right w:val="single" w:sz="4" w:space="0" w:color="auto"/>
            </w:tcBorders>
            <w:shd w:val="clear" w:color="auto" w:fill="auto"/>
            <w:noWrap/>
            <w:vAlign w:val="bottom"/>
            <w:hideMark/>
          </w:tcPr>
          <w:p w14:paraId="554DB09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31,1</w:t>
            </w:r>
          </w:p>
        </w:tc>
        <w:tc>
          <w:tcPr>
            <w:tcW w:w="628" w:type="dxa"/>
            <w:tcBorders>
              <w:top w:val="nil"/>
              <w:left w:val="nil"/>
              <w:bottom w:val="single" w:sz="4" w:space="0" w:color="auto"/>
              <w:right w:val="single" w:sz="4" w:space="0" w:color="auto"/>
            </w:tcBorders>
            <w:shd w:val="clear" w:color="auto" w:fill="auto"/>
            <w:noWrap/>
            <w:vAlign w:val="bottom"/>
            <w:hideMark/>
          </w:tcPr>
          <w:p w14:paraId="207C806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63579AD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31,6</w:t>
            </w:r>
          </w:p>
        </w:tc>
        <w:tc>
          <w:tcPr>
            <w:tcW w:w="628" w:type="dxa"/>
            <w:tcBorders>
              <w:top w:val="nil"/>
              <w:left w:val="nil"/>
              <w:bottom w:val="single" w:sz="4" w:space="0" w:color="auto"/>
              <w:right w:val="single" w:sz="4" w:space="0" w:color="auto"/>
            </w:tcBorders>
            <w:shd w:val="clear" w:color="auto" w:fill="auto"/>
            <w:noWrap/>
            <w:vAlign w:val="bottom"/>
            <w:hideMark/>
          </w:tcPr>
          <w:p w14:paraId="32DBB0E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31,8</w:t>
            </w:r>
          </w:p>
        </w:tc>
        <w:tc>
          <w:tcPr>
            <w:tcW w:w="628" w:type="dxa"/>
            <w:tcBorders>
              <w:top w:val="nil"/>
              <w:left w:val="nil"/>
              <w:bottom w:val="single" w:sz="4" w:space="0" w:color="auto"/>
              <w:right w:val="single" w:sz="4" w:space="0" w:color="auto"/>
            </w:tcBorders>
            <w:shd w:val="clear" w:color="auto" w:fill="auto"/>
            <w:noWrap/>
            <w:vAlign w:val="bottom"/>
            <w:hideMark/>
          </w:tcPr>
          <w:p w14:paraId="311F3BE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31,8</w:t>
            </w:r>
          </w:p>
        </w:tc>
        <w:tc>
          <w:tcPr>
            <w:tcW w:w="628" w:type="dxa"/>
            <w:tcBorders>
              <w:top w:val="nil"/>
              <w:left w:val="nil"/>
              <w:bottom w:val="single" w:sz="4" w:space="0" w:color="auto"/>
              <w:right w:val="single" w:sz="4" w:space="0" w:color="auto"/>
            </w:tcBorders>
            <w:shd w:val="clear" w:color="auto" w:fill="auto"/>
            <w:noWrap/>
            <w:vAlign w:val="bottom"/>
            <w:hideMark/>
          </w:tcPr>
          <w:p w14:paraId="1649010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32,9</w:t>
            </w:r>
          </w:p>
        </w:tc>
      </w:tr>
      <w:tr w:rsidR="00B56301" w:rsidRPr="007253FC" w14:paraId="0D69768A"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2A5C06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Deux roues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D3BFB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56E5FB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65BBF7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8CCD7A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7578F31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3C12644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89E47D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5B37F97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r>
      <w:tr w:rsidR="00B56301" w:rsidRPr="007253FC" w14:paraId="418FF1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1F543B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ferroviaire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9342E3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41DE6A5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0CA294C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5433465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4E1EC84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DF646F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3C0DAFF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7424C46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r>
      <w:tr w:rsidR="00B56301" w:rsidRPr="007253FC" w14:paraId="37EEE3F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A43953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fluvial de marchandises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DC0F13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DF2C3B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54A28A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9076AB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C95973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1D7F82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55870D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CEF006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0,1</w:t>
            </w:r>
          </w:p>
        </w:tc>
      </w:tr>
      <w:tr w:rsidR="00B56301" w:rsidRPr="007253FC" w14:paraId="5EBA2F8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2ABE97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maritime domestique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8298F8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D73A7B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08F740B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1079E5A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F6CDEB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7EA9B7A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4FF8387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009B3E8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w:t>
            </w:r>
          </w:p>
        </w:tc>
      </w:tr>
      <w:tr w:rsidR="00B56301" w:rsidRPr="007253FC" w14:paraId="00C5C50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7BD7B1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autres navigations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B28507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44A3ABA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55FD68B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75A6BA5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846E27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7269A5E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A0E3FC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6FB152E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0,8</w:t>
            </w:r>
          </w:p>
        </w:tc>
      </w:tr>
      <w:tr w:rsidR="00B56301" w:rsidRPr="007253FC" w14:paraId="7385A57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E2378A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aérien français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1D773F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7189520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w:t>
            </w:r>
          </w:p>
        </w:tc>
        <w:tc>
          <w:tcPr>
            <w:tcW w:w="628" w:type="dxa"/>
            <w:tcBorders>
              <w:top w:val="nil"/>
              <w:left w:val="nil"/>
              <w:bottom w:val="single" w:sz="4" w:space="0" w:color="auto"/>
              <w:right w:val="single" w:sz="4" w:space="0" w:color="auto"/>
            </w:tcBorders>
            <w:shd w:val="clear" w:color="auto" w:fill="auto"/>
            <w:noWrap/>
            <w:vAlign w:val="bottom"/>
            <w:hideMark/>
          </w:tcPr>
          <w:p w14:paraId="3C1CBB7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3550DE3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bottom"/>
            <w:hideMark/>
          </w:tcPr>
          <w:p w14:paraId="7A697B8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3BB4056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5,0</w:t>
            </w:r>
          </w:p>
        </w:tc>
        <w:tc>
          <w:tcPr>
            <w:tcW w:w="628" w:type="dxa"/>
            <w:tcBorders>
              <w:top w:val="nil"/>
              <w:left w:val="nil"/>
              <w:bottom w:val="single" w:sz="4" w:space="0" w:color="auto"/>
              <w:right w:val="single" w:sz="4" w:space="0" w:color="auto"/>
            </w:tcBorders>
            <w:shd w:val="clear" w:color="auto" w:fill="auto"/>
            <w:noWrap/>
            <w:vAlign w:val="bottom"/>
            <w:hideMark/>
          </w:tcPr>
          <w:p w14:paraId="04408F9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5,6</w:t>
            </w:r>
          </w:p>
        </w:tc>
        <w:tc>
          <w:tcPr>
            <w:tcW w:w="628" w:type="dxa"/>
            <w:tcBorders>
              <w:top w:val="nil"/>
              <w:left w:val="nil"/>
              <w:bottom w:val="single" w:sz="4" w:space="0" w:color="auto"/>
              <w:right w:val="single" w:sz="4" w:space="0" w:color="auto"/>
            </w:tcBorders>
            <w:shd w:val="clear" w:color="auto" w:fill="auto"/>
            <w:noWrap/>
            <w:vAlign w:val="bottom"/>
            <w:hideMark/>
          </w:tcPr>
          <w:p w14:paraId="3BD19D2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5,7</w:t>
            </w:r>
          </w:p>
        </w:tc>
      </w:tr>
      <w:tr w:rsidR="00B56301" w:rsidRPr="007253FC" w14:paraId="1B62E18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6929EC6B"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hors UTCATF</w:t>
            </w:r>
          </w:p>
        </w:tc>
        <w:tc>
          <w:tcPr>
            <w:tcW w:w="628" w:type="dxa"/>
            <w:tcBorders>
              <w:top w:val="nil"/>
              <w:left w:val="nil"/>
              <w:bottom w:val="single" w:sz="4" w:space="0" w:color="auto"/>
              <w:right w:val="single" w:sz="4" w:space="0" w:color="auto"/>
            </w:tcBorders>
            <w:shd w:val="clear" w:color="000000" w:fill="D9D9D9"/>
            <w:noWrap/>
            <w:vAlign w:val="bottom"/>
            <w:hideMark/>
          </w:tcPr>
          <w:p w14:paraId="085FC09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544,1</w:t>
            </w:r>
          </w:p>
        </w:tc>
        <w:tc>
          <w:tcPr>
            <w:tcW w:w="628" w:type="dxa"/>
            <w:tcBorders>
              <w:top w:val="nil"/>
              <w:left w:val="nil"/>
              <w:bottom w:val="single" w:sz="4" w:space="0" w:color="auto"/>
              <w:right w:val="single" w:sz="4" w:space="0" w:color="auto"/>
            </w:tcBorders>
            <w:shd w:val="clear" w:color="000000" w:fill="D9D9D9"/>
            <w:noWrap/>
            <w:vAlign w:val="bottom"/>
            <w:hideMark/>
          </w:tcPr>
          <w:p w14:paraId="5C6BC35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571,0</w:t>
            </w:r>
          </w:p>
        </w:tc>
        <w:tc>
          <w:tcPr>
            <w:tcW w:w="628" w:type="dxa"/>
            <w:tcBorders>
              <w:top w:val="nil"/>
              <w:left w:val="nil"/>
              <w:bottom w:val="single" w:sz="4" w:space="0" w:color="auto"/>
              <w:right w:val="single" w:sz="4" w:space="0" w:color="auto"/>
            </w:tcBorders>
            <w:shd w:val="clear" w:color="000000" w:fill="D9D9D9"/>
            <w:noWrap/>
            <w:vAlign w:val="bottom"/>
            <w:hideMark/>
          </w:tcPr>
          <w:p w14:paraId="2D317E5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558,8</w:t>
            </w:r>
          </w:p>
        </w:tc>
        <w:tc>
          <w:tcPr>
            <w:tcW w:w="628" w:type="dxa"/>
            <w:tcBorders>
              <w:top w:val="nil"/>
              <w:left w:val="nil"/>
              <w:bottom w:val="single" w:sz="4" w:space="0" w:color="auto"/>
              <w:right w:val="single" w:sz="4" w:space="0" w:color="auto"/>
            </w:tcBorders>
            <w:shd w:val="clear" w:color="000000" w:fill="D9D9D9"/>
            <w:noWrap/>
            <w:vAlign w:val="bottom"/>
            <w:hideMark/>
          </w:tcPr>
          <w:p w14:paraId="5EC920CE"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538,6</w:t>
            </w:r>
          </w:p>
        </w:tc>
        <w:tc>
          <w:tcPr>
            <w:tcW w:w="628" w:type="dxa"/>
            <w:tcBorders>
              <w:top w:val="nil"/>
              <w:left w:val="nil"/>
              <w:bottom w:val="single" w:sz="4" w:space="0" w:color="auto"/>
              <w:right w:val="single" w:sz="4" w:space="0" w:color="auto"/>
            </w:tcBorders>
            <w:shd w:val="clear" w:color="000000" w:fill="D9D9D9"/>
            <w:noWrap/>
            <w:vAlign w:val="bottom"/>
            <w:hideMark/>
          </w:tcPr>
          <w:p w14:paraId="64FC5E11"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531,2</w:t>
            </w:r>
          </w:p>
        </w:tc>
        <w:tc>
          <w:tcPr>
            <w:tcW w:w="628" w:type="dxa"/>
            <w:tcBorders>
              <w:top w:val="nil"/>
              <w:left w:val="nil"/>
              <w:bottom w:val="single" w:sz="4" w:space="0" w:color="auto"/>
              <w:right w:val="single" w:sz="4" w:space="0" w:color="auto"/>
            </w:tcBorders>
            <w:shd w:val="clear" w:color="000000" w:fill="D9D9D9"/>
            <w:noWrap/>
            <w:vAlign w:val="bottom"/>
            <w:hideMark/>
          </w:tcPr>
          <w:p w14:paraId="40B1AD3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536,5</w:t>
            </w:r>
          </w:p>
        </w:tc>
        <w:tc>
          <w:tcPr>
            <w:tcW w:w="628" w:type="dxa"/>
            <w:tcBorders>
              <w:top w:val="nil"/>
              <w:left w:val="nil"/>
              <w:bottom w:val="single" w:sz="4" w:space="0" w:color="auto"/>
              <w:right w:val="single" w:sz="4" w:space="0" w:color="auto"/>
            </w:tcBorders>
            <w:shd w:val="clear" w:color="000000" w:fill="D9D9D9"/>
            <w:noWrap/>
            <w:vAlign w:val="bottom"/>
            <w:hideMark/>
          </w:tcPr>
          <w:p w14:paraId="7B4EADD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553,5</w:t>
            </w:r>
          </w:p>
        </w:tc>
        <w:tc>
          <w:tcPr>
            <w:tcW w:w="628" w:type="dxa"/>
            <w:tcBorders>
              <w:top w:val="nil"/>
              <w:left w:val="nil"/>
              <w:bottom w:val="single" w:sz="4" w:space="0" w:color="auto"/>
              <w:right w:val="single" w:sz="4" w:space="0" w:color="auto"/>
            </w:tcBorders>
            <w:shd w:val="clear" w:color="000000" w:fill="D9D9D9"/>
            <w:noWrap/>
            <w:vAlign w:val="bottom"/>
            <w:hideMark/>
          </w:tcPr>
          <w:p w14:paraId="146FAD9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545,9</w:t>
            </w:r>
          </w:p>
        </w:tc>
      </w:tr>
      <w:tr w:rsidR="00B56301" w:rsidRPr="007253FC" w14:paraId="0016663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B71EA6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Forêts</w:t>
            </w:r>
          </w:p>
        </w:tc>
        <w:tc>
          <w:tcPr>
            <w:tcW w:w="628" w:type="dxa"/>
            <w:tcBorders>
              <w:top w:val="nil"/>
              <w:left w:val="nil"/>
              <w:bottom w:val="single" w:sz="4" w:space="0" w:color="auto"/>
              <w:right w:val="single" w:sz="4" w:space="0" w:color="auto"/>
            </w:tcBorders>
            <w:shd w:val="clear" w:color="auto" w:fill="auto"/>
            <w:noWrap/>
            <w:vAlign w:val="bottom"/>
            <w:hideMark/>
          </w:tcPr>
          <w:p w14:paraId="1C3B4C4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-38,6</w:t>
            </w:r>
          </w:p>
        </w:tc>
        <w:tc>
          <w:tcPr>
            <w:tcW w:w="628" w:type="dxa"/>
            <w:tcBorders>
              <w:top w:val="nil"/>
              <w:left w:val="nil"/>
              <w:bottom w:val="single" w:sz="4" w:space="0" w:color="auto"/>
              <w:right w:val="single" w:sz="4" w:space="0" w:color="auto"/>
            </w:tcBorders>
            <w:shd w:val="clear" w:color="auto" w:fill="auto"/>
            <w:noWrap/>
            <w:vAlign w:val="bottom"/>
            <w:hideMark/>
          </w:tcPr>
          <w:p w14:paraId="29E9791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-38,5</w:t>
            </w:r>
          </w:p>
        </w:tc>
        <w:tc>
          <w:tcPr>
            <w:tcW w:w="628" w:type="dxa"/>
            <w:tcBorders>
              <w:top w:val="nil"/>
              <w:left w:val="nil"/>
              <w:bottom w:val="single" w:sz="4" w:space="0" w:color="auto"/>
              <w:right w:val="single" w:sz="4" w:space="0" w:color="auto"/>
            </w:tcBorders>
            <w:shd w:val="clear" w:color="auto" w:fill="auto"/>
            <w:noWrap/>
            <w:vAlign w:val="bottom"/>
            <w:hideMark/>
          </w:tcPr>
          <w:p w14:paraId="7CD622A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-38,0</w:t>
            </w:r>
          </w:p>
        </w:tc>
        <w:tc>
          <w:tcPr>
            <w:tcW w:w="628" w:type="dxa"/>
            <w:tcBorders>
              <w:top w:val="nil"/>
              <w:left w:val="nil"/>
              <w:bottom w:val="single" w:sz="4" w:space="0" w:color="auto"/>
              <w:right w:val="single" w:sz="4" w:space="0" w:color="auto"/>
            </w:tcBorders>
            <w:shd w:val="clear" w:color="auto" w:fill="auto"/>
            <w:noWrap/>
            <w:vAlign w:val="bottom"/>
            <w:hideMark/>
          </w:tcPr>
          <w:p w14:paraId="3DFCDB6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2878E96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-43,1</w:t>
            </w:r>
          </w:p>
        </w:tc>
        <w:tc>
          <w:tcPr>
            <w:tcW w:w="628" w:type="dxa"/>
            <w:tcBorders>
              <w:top w:val="nil"/>
              <w:left w:val="nil"/>
              <w:bottom w:val="single" w:sz="4" w:space="0" w:color="auto"/>
              <w:right w:val="single" w:sz="4" w:space="0" w:color="auto"/>
            </w:tcBorders>
            <w:shd w:val="clear" w:color="auto" w:fill="auto"/>
            <w:noWrap/>
            <w:vAlign w:val="bottom"/>
            <w:hideMark/>
          </w:tcPr>
          <w:p w14:paraId="419E49F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-43,8</w:t>
            </w:r>
          </w:p>
        </w:tc>
        <w:tc>
          <w:tcPr>
            <w:tcW w:w="628" w:type="dxa"/>
            <w:tcBorders>
              <w:top w:val="nil"/>
              <w:left w:val="nil"/>
              <w:bottom w:val="single" w:sz="4" w:space="0" w:color="auto"/>
              <w:right w:val="single" w:sz="4" w:space="0" w:color="auto"/>
            </w:tcBorders>
            <w:shd w:val="clear" w:color="auto" w:fill="auto"/>
            <w:noWrap/>
            <w:vAlign w:val="bottom"/>
            <w:hideMark/>
          </w:tcPr>
          <w:p w14:paraId="7087674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-50,5</w:t>
            </w:r>
          </w:p>
        </w:tc>
        <w:tc>
          <w:tcPr>
            <w:tcW w:w="628" w:type="dxa"/>
            <w:tcBorders>
              <w:top w:val="nil"/>
              <w:left w:val="nil"/>
              <w:bottom w:val="single" w:sz="4" w:space="0" w:color="auto"/>
              <w:right w:val="single" w:sz="4" w:space="0" w:color="auto"/>
            </w:tcBorders>
            <w:shd w:val="clear" w:color="auto" w:fill="auto"/>
            <w:noWrap/>
            <w:vAlign w:val="bottom"/>
            <w:hideMark/>
          </w:tcPr>
          <w:p w14:paraId="15913E7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-49,9</w:t>
            </w:r>
          </w:p>
        </w:tc>
      </w:tr>
      <w:tr w:rsidR="00B56301" w:rsidRPr="007253FC" w14:paraId="7D38ADB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65C705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Terres cultivées</w:t>
            </w:r>
          </w:p>
        </w:tc>
        <w:tc>
          <w:tcPr>
            <w:tcW w:w="628" w:type="dxa"/>
            <w:tcBorders>
              <w:top w:val="nil"/>
              <w:left w:val="nil"/>
              <w:bottom w:val="single" w:sz="4" w:space="0" w:color="auto"/>
              <w:right w:val="single" w:sz="4" w:space="0" w:color="auto"/>
            </w:tcBorders>
            <w:shd w:val="clear" w:color="auto" w:fill="auto"/>
            <w:noWrap/>
            <w:vAlign w:val="bottom"/>
            <w:hideMark/>
          </w:tcPr>
          <w:p w14:paraId="534FDA48"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23,2</w:t>
            </w:r>
          </w:p>
        </w:tc>
        <w:tc>
          <w:tcPr>
            <w:tcW w:w="628" w:type="dxa"/>
            <w:tcBorders>
              <w:top w:val="nil"/>
              <w:left w:val="nil"/>
              <w:bottom w:val="single" w:sz="4" w:space="0" w:color="auto"/>
              <w:right w:val="single" w:sz="4" w:space="0" w:color="auto"/>
            </w:tcBorders>
            <w:shd w:val="clear" w:color="auto" w:fill="auto"/>
            <w:noWrap/>
            <w:vAlign w:val="bottom"/>
            <w:hideMark/>
          </w:tcPr>
          <w:p w14:paraId="3975E7A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7B45CAC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3F81734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23,2</w:t>
            </w:r>
          </w:p>
        </w:tc>
        <w:tc>
          <w:tcPr>
            <w:tcW w:w="628" w:type="dxa"/>
            <w:tcBorders>
              <w:top w:val="nil"/>
              <w:left w:val="nil"/>
              <w:bottom w:val="single" w:sz="4" w:space="0" w:color="auto"/>
              <w:right w:val="single" w:sz="4" w:space="0" w:color="auto"/>
            </w:tcBorders>
            <w:shd w:val="clear" w:color="auto" w:fill="auto"/>
            <w:noWrap/>
            <w:vAlign w:val="bottom"/>
            <w:hideMark/>
          </w:tcPr>
          <w:p w14:paraId="6430918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bottom"/>
            <w:hideMark/>
          </w:tcPr>
          <w:p w14:paraId="364B07D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22,6</w:t>
            </w:r>
          </w:p>
        </w:tc>
        <w:tc>
          <w:tcPr>
            <w:tcW w:w="628" w:type="dxa"/>
            <w:tcBorders>
              <w:top w:val="nil"/>
              <w:left w:val="nil"/>
              <w:bottom w:val="single" w:sz="4" w:space="0" w:color="auto"/>
              <w:right w:val="single" w:sz="4" w:space="0" w:color="auto"/>
            </w:tcBorders>
            <w:shd w:val="clear" w:color="auto" w:fill="auto"/>
            <w:noWrap/>
            <w:vAlign w:val="bottom"/>
            <w:hideMark/>
          </w:tcPr>
          <w:p w14:paraId="77786DE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22,9</w:t>
            </w:r>
          </w:p>
        </w:tc>
        <w:tc>
          <w:tcPr>
            <w:tcW w:w="628" w:type="dxa"/>
            <w:tcBorders>
              <w:top w:val="nil"/>
              <w:left w:val="nil"/>
              <w:bottom w:val="single" w:sz="4" w:space="0" w:color="auto"/>
              <w:right w:val="single" w:sz="4" w:space="0" w:color="auto"/>
            </w:tcBorders>
            <w:shd w:val="clear" w:color="auto" w:fill="auto"/>
            <w:noWrap/>
            <w:vAlign w:val="bottom"/>
            <w:hideMark/>
          </w:tcPr>
          <w:p w14:paraId="621C92C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22,4</w:t>
            </w:r>
          </w:p>
        </w:tc>
      </w:tr>
      <w:tr w:rsidR="00B56301" w:rsidRPr="007253FC" w14:paraId="45E03C2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26C5CB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Prairies</w:t>
            </w:r>
          </w:p>
        </w:tc>
        <w:tc>
          <w:tcPr>
            <w:tcW w:w="628" w:type="dxa"/>
            <w:tcBorders>
              <w:top w:val="nil"/>
              <w:left w:val="nil"/>
              <w:bottom w:val="single" w:sz="4" w:space="0" w:color="auto"/>
              <w:right w:val="single" w:sz="4" w:space="0" w:color="auto"/>
            </w:tcBorders>
            <w:shd w:val="clear" w:color="auto" w:fill="auto"/>
            <w:noWrap/>
            <w:vAlign w:val="bottom"/>
            <w:hideMark/>
          </w:tcPr>
          <w:p w14:paraId="122E4E7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-13,7</w:t>
            </w:r>
          </w:p>
        </w:tc>
        <w:tc>
          <w:tcPr>
            <w:tcW w:w="628" w:type="dxa"/>
            <w:tcBorders>
              <w:top w:val="nil"/>
              <w:left w:val="nil"/>
              <w:bottom w:val="single" w:sz="4" w:space="0" w:color="auto"/>
              <w:right w:val="single" w:sz="4" w:space="0" w:color="auto"/>
            </w:tcBorders>
            <w:shd w:val="clear" w:color="auto" w:fill="auto"/>
            <w:noWrap/>
            <w:vAlign w:val="bottom"/>
            <w:hideMark/>
          </w:tcPr>
          <w:p w14:paraId="158537F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-14,0</w:t>
            </w:r>
          </w:p>
        </w:tc>
        <w:tc>
          <w:tcPr>
            <w:tcW w:w="628" w:type="dxa"/>
            <w:tcBorders>
              <w:top w:val="nil"/>
              <w:left w:val="nil"/>
              <w:bottom w:val="single" w:sz="4" w:space="0" w:color="auto"/>
              <w:right w:val="single" w:sz="4" w:space="0" w:color="auto"/>
            </w:tcBorders>
            <w:shd w:val="clear" w:color="auto" w:fill="auto"/>
            <w:noWrap/>
            <w:vAlign w:val="bottom"/>
            <w:hideMark/>
          </w:tcPr>
          <w:p w14:paraId="32C0346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-14,2</w:t>
            </w:r>
          </w:p>
        </w:tc>
        <w:tc>
          <w:tcPr>
            <w:tcW w:w="628" w:type="dxa"/>
            <w:tcBorders>
              <w:top w:val="nil"/>
              <w:left w:val="nil"/>
              <w:bottom w:val="single" w:sz="4" w:space="0" w:color="auto"/>
              <w:right w:val="single" w:sz="4" w:space="0" w:color="auto"/>
            </w:tcBorders>
            <w:shd w:val="clear" w:color="auto" w:fill="auto"/>
            <w:noWrap/>
            <w:vAlign w:val="bottom"/>
            <w:hideMark/>
          </w:tcPr>
          <w:p w14:paraId="12A7261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-14,4</w:t>
            </w:r>
          </w:p>
        </w:tc>
        <w:tc>
          <w:tcPr>
            <w:tcW w:w="628" w:type="dxa"/>
            <w:tcBorders>
              <w:top w:val="nil"/>
              <w:left w:val="nil"/>
              <w:bottom w:val="single" w:sz="4" w:space="0" w:color="auto"/>
              <w:right w:val="single" w:sz="4" w:space="0" w:color="auto"/>
            </w:tcBorders>
            <w:shd w:val="clear" w:color="auto" w:fill="auto"/>
            <w:noWrap/>
            <w:vAlign w:val="bottom"/>
            <w:hideMark/>
          </w:tcPr>
          <w:p w14:paraId="316C1B1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-14,0</w:t>
            </w:r>
          </w:p>
        </w:tc>
        <w:tc>
          <w:tcPr>
            <w:tcW w:w="628" w:type="dxa"/>
            <w:tcBorders>
              <w:top w:val="nil"/>
              <w:left w:val="nil"/>
              <w:bottom w:val="single" w:sz="4" w:space="0" w:color="auto"/>
              <w:right w:val="single" w:sz="4" w:space="0" w:color="auto"/>
            </w:tcBorders>
            <w:shd w:val="clear" w:color="auto" w:fill="auto"/>
            <w:noWrap/>
            <w:vAlign w:val="bottom"/>
            <w:hideMark/>
          </w:tcPr>
          <w:p w14:paraId="1B571A3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-14,8</w:t>
            </w:r>
          </w:p>
        </w:tc>
        <w:tc>
          <w:tcPr>
            <w:tcW w:w="628" w:type="dxa"/>
            <w:tcBorders>
              <w:top w:val="nil"/>
              <w:left w:val="nil"/>
              <w:bottom w:val="single" w:sz="4" w:space="0" w:color="auto"/>
              <w:right w:val="single" w:sz="4" w:space="0" w:color="auto"/>
            </w:tcBorders>
            <w:shd w:val="clear" w:color="auto" w:fill="auto"/>
            <w:noWrap/>
            <w:vAlign w:val="bottom"/>
            <w:hideMark/>
          </w:tcPr>
          <w:p w14:paraId="77949A6C"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-14,3</w:t>
            </w:r>
          </w:p>
        </w:tc>
        <w:tc>
          <w:tcPr>
            <w:tcW w:w="628" w:type="dxa"/>
            <w:tcBorders>
              <w:top w:val="nil"/>
              <w:left w:val="nil"/>
              <w:bottom w:val="single" w:sz="4" w:space="0" w:color="auto"/>
              <w:right w:val="single" w:sz="4" w:space="0" w:color="auto"/>
            </w:tcBorders>
            <w:shd w:val="clear" w:color="auto" w:fill="auto"/>
            <w:noWrap/>
            <w:vAlign w:val="bottom"/>
            <w:hideMark/>
          </w:tcPr>
          <w:p w14:paraId="1AF50C2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-14,2</w:t>
            </w:r>
          </w:p>
        </w:tc>
      </w:tr>
      <w:tr w:rsidR="00B56301" w:rsidRPr="007253FC" w14:paraId="45931B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670E4B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humides</w:t>
            </w:r>
          </w:p>
        </w:tc>
        <w:tc>
          <w:tcPr>
            <w:tcW w:w="628" w:type="dxa"/>
            <w:tcBorders>
              <w:top w:val="nil"/>
              <w:left w:val="nil"/>
              <w:bottom w:val="single" w:sz="4" w:space="0" w:color="auto"/>
              <w:right w:val="single" w:sz="4" w:space="0" w:color="auto"/>
            </w:tcBorders>
            <w:shd w:val="clear" w:color="auto" w:fill="auto"/>
            <w:noWrap/>
            <w:vAlign w:val="bottom"/>
            <w:hideMark/>
          </w:tcPr>
          <w:p w14:paraId="7403D31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1C60E8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3628C7A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557F633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30E659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A5C0A3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2800372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B50608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0,4</w:t>
            </w:r>
          </w:p>
        </w:tc>
      </w:tr>
      <w:tr w:rsidR="00B56301" w:rsidRPr="007253FC" w14:paraId="6BE52994"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7908B14"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artificialisées</w:t>
            </w:r>
          </w:p>
        </w:tc>
        <w:tc>
          <w:tcPr>
            <w:tcW w:w="628" w:type="dxa"/>
            <w:tcBorders>
              <w:top w:val="nil"/>
              <w:left w:val="nil"/>
              <w:bottom w:val="single" w:sz="4" w:space="0" w:color="auto"/>
              <w:right w:val="single" w:sz="4" w:space="0" w:color="auto"/>
            </w:tcBorders>
            <w:shd w:val="clear" w:color="auto" w:fill="auto"/>
            <w:noWrap/>
            <w:vAlign w:val="bottom"/>
            <w:hideMark/>
          </w:tcPr>
          <w:p w14:paraId="3F344D9D"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bottom"/>
            <w:hideMark/>
          </w:tcPr>
          <w:p w14:paraId="5492679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9,8</w:t>
            </w:r>
          </w:p>
        </w:tc>
        <w:tc>
          <w:tcPr>
            <w:tcW w:w="628" w:type="dxa"/>
            <w:tcBorders>
              <w:top w:val="nil"/>
              <w:left w:val="nil"/>
              <w:bottom w:val="single" w:sz="4" w:space="0" w:color="auto"/>
              <w:right w:val="single" w:sz="4" w:space="0" w:color="auto"/>
            </w:tcBorders>
            <w:shd w:val="clear" w:color="auto" w:fill="auto"/>
            <w:noWrap/>
            <w:vAlign w:val="bottom"/>
            <w:hideMark/>
          </w:tcPr>
          <w:p w14:paraId="0F9CC06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0B8D2FB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426D521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10,2</w:t>
            </w:r>
          </w:p>
        </w:tc>
        <w:tc>
          <w:tcPr>
            <w:tcW w:w="628" w:type="dxa"/>
            <w:tcBorders>
              <w:top w:val="nil"/>
              <w:left w:val="nil"/>
              <w:bottom w:val="single" w:sz="4" w:space="0" w:color="auto"/>
              <w:right w:val="single" w:sz="4" w:space="0" w:color="auto"/>
            </w:tcBorders>
            <w:shd w:val="clear" w:color="auto" w:fill="auto"/>
            <w:noWrap/>
            <w:vAlign w:val="bottom"/>
            <w:hideMark/>
          </w:tcPr>
          <w:p w14:paraId="76F2C31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10,1</w:t>
            </w:r>
          </w:p>
        </w:tc>
        <w:tc>
          <w:tcPr>
            <w:tcW w:w="628" w:type="dxa"/>
            <w:tcBorders>
              <w:top w:val="nil"/>
              <w:left w:val="nil"/>
              <w:bottom w:val="single" w:sz="4" w:space="0" w:color="auto"/>
              <w:right w:val="single" w:sz="4" w:space="0" w:color="auto"/>
            </w:tcBorders>
            <w:shd w:val="clear" w:color="auto" w:fill="auto"/>
            <w:noWrap/>
            <w:vAlign w:val="bottom"/>
            <w:hideMark/>
          </w:tcPr>
          <w:p w14:paraId="5A337D4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9,8</w:t>
            </w:r>
          </w:p>
        </w:tc>
        <w:tc>
          <w:tcPr>
            <w:tcW w:w="628" w:type="dxa"/>
            <w:tcBorders>
              <w:top w:val="nil"/>
              <w:left w:val="nil"/>
              <w:bottom w:val="single" w:sz="4" w:space="0" w:color="auto"/>
              <w:right w:val="single" w:sz="4" w:space="0" w:color="auto"/>
            </w:tcBorders>
            <w:shd w:val="clear" w:color="auto" w:fill="auto"/>
            <w:noWrap/>
            <w:vAlign w:val="bottom"/>
            <w:hideMark/>
          </w:tcPr>
          <w:p w14:paraId="04592B77"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10,5</w:t>
            </w:r>
          </w:p>
        </w:tc>
      </w:tr>
      <w:tr w:rsidR="00B56301" w:rsidRPr="007253FC" w14:paraId="7B4AB17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178F93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terres</w:t>
            </w:r>
          </w:p>
        </w:tc>
        <w:tc>
          <w:tcPr>
            <w:tcW w:w="628" w:type="dxa"/>
            <w:tcBorders>
              <w:top w:val="nil"/>
              <w:left w:val="nil"/>
              <w:bottom w:val="single" w:sz="4" w:space="0" w:color="auto"/>
              <w:right w:val="single" w:sz="4" w:space="0" w:color="auto"/>
            </w:tcBorders>
            <w:shd w:val="clear" w:color="auto" w:fill="auto"/>
            <w:noWrap/>
            <w:vAlign w:val="bottom"/>
            <w:hideMark/>
          </w:tcPr>
          <w:p w14:paraId="28FCB25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1521F1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67EFE9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0F97C70"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E279F9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1233C7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FD2EFA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A3FC3E2"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r>
      <w:tr w:rsidR="00B56301" w:rsidRPr="007253FC" w14:paraId="54E2893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B87A99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Produits bois</w:t>
            </w:r>
          </w:p>
        </w:tc>
        <w:tc>
          <w:tcPr>
            <w:tcW w:w="628" w:type="dxa"/>
            <w:tcBorders>
              <w:top w:val="nil"/>
              <w:left w:val="nil"/>
              <w:bottom w:val="single" w:sz="4" w:space="0" w:color="auto"/>
              <w:right w:val="single" w:sz="4" w:space="0" w:color="auto"/>
            </w:tcBorders>
            <w:shd w:val="clear" w:color="auto" w:fill="auto"/>
            <w:noWrap/>
            <w:vAlign w:val="bottom"/>
            <w:hideMark/>
          </w:tcPr>
          <w:p w14:paraId="1E8264C5"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0B609BBB"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14431753"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bottom"/>
            <w:hideMark/>
          </w:tcPr>
          <w:p w14:paraId="6CE27C1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47BEFC8F"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bottom"/>
            <w:hideMark/>
          </w:tcPr>
          <w:p w14:paraId="04EBC60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bottom"/>
            <w:hideMark/>
          </w:tcPr>
          <w:p w14:paraId="6417D5D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-2,5</w:t>
            </w:r>
          </w:p>
        </w:tc>
        <w:tc>
          <w:tcPr>
            <w:tcW w:w="628" w:type="dxa"/>
            <w:tcBorders>
              <w:top w:val="nil"/>
              <w:left w:val="nil"/>
              <w:bottom w:val="single" w:sz="4" w:space="0" w:color="auto"/>
              <w:right w:val="single" w:sz="4" w:space="0" w:color="auto"/>
            </w:tcBorders>
            <w:shd w:val="clear" w:color="auto" w:fill="auto"/>
            <w:noWrap/>
            <w:vAlign w:val="bottom"/>
            <w:hideMark/>
          </w:tcPr>
          <w:p w14:paraId="0173DC99"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-3,2</w:t>
            </w:r>
          </w:p>
        </w:tc>
      </w:tr>
      <w:tr w:rsidR="00B56301" w:rsidRPr="007253FC" w14:paraId="73A9DE9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1B7B0B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Barrages</w:t>
            </w:r>
          </w:p>
        </w:tc>
        <w:tc>
          <w:tcPr>
            <w:tcW w:w="628" w:type="dxa"/>
            <w:tcBorders>
              <w:top w:val="nil"/>
              <w:left w:val="nil"/>
              <w:bottom w:val="single" w:sz="4" w:space="0" w:color="auto"/>
              <w:right w:val="single" w:sz="4" w:space="0" w:color="auto"/>
            </w:tcBorders>
            <w:shd w:val="clear" w:color="auto" w:fill="auto"/>
            <w:noWrap/>
            <w:vAlign w:val="bottom"/>
            <w:hideMark/>
          </w:tcPr>
          <w:p w14:paraId="4F0353B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DAE86C4"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B74E266"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E1E2AB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6586E4A"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3,5</w:t>
            </w:r>
          </w:p>
        </w:tc>
        <w:tc>
          <w:tcPr>
            <w:tcW w:w="628" w:type="dxa"/>
            <w:tcBorders>
              <w:top w:val="nil"/>
              <w:left w:val="nil"/>
              <w:bottom w:val="single" w:sz="4" w:space="0" w:color="auto"/>
              <w:right w:val="single" w:sz="4" w:space="0" w:color="auto"/>
            </w:tcBorders>
            <w:shd w:val="clear" w:color="auto" w:fill="auto"/>
            <w:noWrap/>
            <w:vAlign w:val="bottom"/>
            <w:hideMark/>
          </w:tcPr>
          <w:p w14:paraId="798BEA3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bottom"/>
            <w:hideMark/>
          </w:tcPr>
          <w:p w14:paraId="07A632CE"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3,1</w:t>
            </w:r>
          </w:p>
        </w:tc>
        <w:tc>
          <w:tcPr>
            <w:tcW w:w="628" w:type="dxa"/>
            <w:tcBorders>
              <w:top w:val="nil"/>
              <w:left w:val="nil"/>
              <w:bottom w:val="single" w:sz="4" w:space="0" w:color="auto"/>
              <w:right w:val="single" w:sz="4" w:space="0" w:color="auto"/>
            </w:tcBorders>
            <w:shd w:val="clear" w:color="auto" w:fill="auto"/>
            <w:noWrap/>
            <w:vAlign w:val="bottom"/>
            <w:hideMark/>
          </w:tcPr>
          <w:p w14:paraId="0DF7BA11" w14:textId="77777777" w:rsidR="00B56301" w:rsidRPr="007253FC" w:rsidRDefault="00B56301" w:rsidP="00B37B65">
            <w:pPr>
              <w:jc w:val="right"/>
              <w:rPr>
                <w:rFonts w:ascii="Trebuchet MS" w:hAnsi="Trebuchet MS" w:cs="Arial"/>
                <w:sz w:val="16"/>
                <w:szCs w:val="16"/>
              </w:rPr>
            </w:pPr>
            <w:r w:rsidRPr="007253FC">
              <w:rPr>
                <w:rFonts w:ascii="Trebuchet MS" w:hAnsi="Trebuchet MS" w:cs="Arial"/>
                <w:sz w:val="16"/>
                <w:szCs w:val="16"/>
              </w:rPr>
              <w:t>2,4</w:t>
            </w:r>
          </w:p>
        </w:tc>
      </w:tr>
      <w:tr w:rsidR="00B56301" w:rsidRPr="007253FC" w14:paraId="74D02965"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56CE0EF7"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UTCATF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3A210328"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-24,0</w:t>
            </w:r>
          </w:p>
        </w:tc>
        <w:tc>
          <w:tcPr>
            <w:tcW w:w="628" w:type="dxa"/>
            <w:tcBorders>
              <w:top w:val="nil"/>
              <w:left w:val="nil"/>
              <w:bottom w:val="single" w:sz="4" w:space="0" w:color="auto"/>
              <w:right w:val="single" w:sz="4" w:space="0" w:color="auto"/>
            </w:tcBorders>
            <w:shd w:val="clear" w:color="000000" w:fill="00B050"/>
            <w:noWrap/>
            <w:vAlign w:val="bottom"/>
            <w:hideMark/>
          </w:tcPr>
          <w:p w14:paraId="1F82DED0"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-24,1</w:t>
            </w:r>
          </w:p>
        </w:tc>
        <w:tc>
          <w:tcPr>
            <w:tcW w:w="628" w:type="dxa"/>
            <w:tcBorders>
              <w:top w:val="nil"/>
              <w:left w:val="nil"/>
              <w:bottom w:val="single" w:sz="4" w:space="0" w:color="auto"/>
              <w:right w:val="single" w:sz="4" w:space="0" w:color="auto"/>
            </w:tcBorders>
            <w:shd w:val="clear" w:color="000000" w:fill="00B050"/>
            <w:noWrap/>
            <w:vAlign w:val="bottom"/>
            <w:hideMark/>
          </w:tcPr>
          <w:p w14:paraId="7AAA9DC3"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-21,9</w:t>
            </w:r>
          </w:p>
        </w:tc>
        <w:tc>
          <w:tcPr>
            <w:tcW w:w="628" w:type="dxa"/>
            <w:tcBorders>
              <w:top w:val="nil"/>
              <w:left w:val="nil"/>
              <w:bottom w:val="single" w:sz="4" w:space="0" w:color="auto"/>
              <w:right w:val="single" w:sz="4" w:space="0" w:color="auto"/>
            </w:tcBorders>
            <w:shd w:val="clear" w:color="000000" w:fill="00B050"/>
            <w:noWrap/>
            <w:vAlign w:val="bottom"/>
            <w:hideMark/>
          </w:tcPr>
          <w:p w14:paraId="7E7337A0"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-25,0</w:t>
            </w:r>
          </w:p>
        </w:tc>
        <w:tc>
          <w:tcPr>
            <w:tcW w:w="628" w:type="dxa"/>
            <w:tcBorders>
              <w:top w:val="nil"/>
              <w:left w:val="nil"/>
              <w:bottom w:val="single" w:sz="4" w:space="0" w:color="auto"/>
              <w:right w:val="single" w:sz="4" w:space="0" w:color="auto"/>
            </w:tcBorders>
            <w:shd w:val="clear" w:color="000000" w:fill="00B050"/>
            <w:noWrap/>
            <w:vAlign w:val="bottom"/>
            <w:hideMark/>
          </w:tcPr>
          <w:p w14:paraId="2529E3A5"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-22,5</w:t>
            </w:r>
          </w:p>
        </w:tc>
        <w:tc>
          <w:tcPr>
            <w:tcW w:w="628" w:type="dxa"/>
            <w:tcBorders>
              <w:top w:val="nil"/>
              <w:left w:val="nil"/>
              <w:bottom w:val="single" w:sz="4" w:space="0" w:color="auto"/>
              <w:right w:val="single" w:sz="4" w:space="0" w:color="auto"/>
            </w:tcBorders>
            <w:shd w:val="clear" w:color="000000" w:fill="00B050"/>
            <w:noWrap/>
            <w:vAlign w:val="bottom"/>
            <w:hideMark/>
          </w:tcPr>
          <w:p w14:paraId="530F07C8"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-24,9</w:t>
            </w:r>
          </w:p>
        </w:tc>
        <w:tc>
          <w:tcPr>
            <w:tcW w:w="628" w:type="dxa"/>
            <w:tcBorders>
              <w:top w:val="nil"/>
              <w:left w:val="nil"/>
              <w:bottom w:val="single" w:sz="4" w:space="0" w:color="auto"/>
              <w:right w:val="single" w:sz="4" w:space="0" w:color="auto"/>
            </w:tcBorders>
            <w:shd w:val="clear" w:color="000000" w:fill="00B050"/>
            <w:noWrap/>
            <w:vAlign w:val="bottom"/>
            <w:hideMark/>
          </w:tcPr>
          <w:p w14:paraId="02AA7181"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-31,3</w:t>
            </w:r>
          </w:p>
        </w:tc>
        <w:tc>
          <w:tcPr>
            <w:tcW w:w="628" w:type="dxa"/>
            <w:tcBorders>
              <w:top w:val="nil"/>
              <w:left w:val="nil"/>
              <w:bottom w:val="single" w:sz="4" w:space="0" w:color="auto"/>
              <w:right w:val="single" w:sz="4" w:space="0" w:color="auto"/>
            </w:tcBorders>
            <w:shd w:val="clear" w:color="000000" w:fill="00B050"/>
            <w:noWrap/>
            <w:vAlign w:val="bottom"/>
            <w:hideMark/>
          </w:tcPr>
          <w:p w14:paraId="5FD12047"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-31,5</w:t>
            </w:r>
          </w:p>
        </w:tc>
      </w:tr>
      <w:tr w:rsidR="00B56301" w:rsidRPr="007253FC" w14:paraId="5692AE6F"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0D10438"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avec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D9BD45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520,1</w:t>
            </w:r>
          </w:p>
        </w:tc>
        <w:tc>
          <w:tcPr>
            <w:tcW w:w="628" w:type="dxa"/>
            <w:tcBorders>
              <w:top w:val="nil"/>
              <w:left w:val="nil"/>
              <w:bottom w:val="single" w:sz="4" w:space="0" w:color="auto"/>
              <w:right w:val="single" w:sz="4" w:space="0" w:color="auto"/>
            </w:tcBorders>
            <w:shd w:val="clear" w:color="000000" w:fill="D9D9D9"/>
            <w:noWrap/>
            <w:vAlign w:val="bottom"/>
            <w:hideMark/>
          </w:tcPr>
          <w:p w14:paraId="7E2E4BD8"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546,9</w:t>
            </w:r>
          </w:p>
        </w:tc>
        <w:tc>
          <w:tcPr>
            <w:tcW w:w="628" w:type="dxa"/>
            <w:tcBorders>
              <w:top w:val="nil"/>
              <w:left w:val="nil"/>
              <w:bottom w:val="single" w:sz="4" w:space="0" w:color="auto"/>
              <w:right w:val="single" w:sz="4" w:space="0" w:color="auto"/>
            </w:tcBorders>
            <w:shd w:val="clear" w:color="000000" w:fill="D9D9D9"/>
            <w:noWrap/>
            <w:vAlign w:val="bottom"/>
            <w:hideMark/>
          </w:tcPr>
          <w:p w14:paraId="5120A4CA"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536,8</w:t>
            </w:r>
          </w:p>
        </w:tc>
        <w:tc>
          <w:tcPr>
            <w:tcW w:w="628" w:type="dxa"/>
            <w:tcBorders>
              <w:top w:val="nil"/>
              <w:left w:val="nil"/>
              <w:bottom w:val="single" w:sz="4" w:space="0" w:color="auto"/>
              <w:right w:val="single" w:sz="4" w:space="0" w:color="auto"/>
            </w:tcBorders>
            <w:shd w:val="clear" w:color="000000" w:fill="D9D9D9"/>
            <w:noWrap/>
            <w:vAlign w:val="bottom"/>
            <w:hideMark/>
          </w:tcPr>
          <w:p w14:paraId="6C5EB50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513,6</w:t>
            </w:r>
          </w:p>
        </w:tc>
        <w:tc>
          <w:tcPr>
            <w:tcW w:w="628" w:type="dxa"/>
            <w:tcBorders>
              <w:top w:val="nil"/>
              <w:left w:val="nil"/>
              <w:bottom w:val="single" w:sz="4" w:space="0" w:color="auto"/>
              <w:right w:val="single" w:sz="4" w:space="0" w:color="auto"/>
            </w:tcBorders>
            <w:shd w:val="clear" w:color="000000" w:fill="D9D9D9"/>
            <w:noWrap/>
            <w:vAlign w:val="bottom"/>
            <w:hideMark/>
          </w:tcPr>
          <w:p w14:paraId="08536047"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508,7</w:t>
            </w:r>
          </w:p>
        </w:tc>
        <w:tc>
          <w:tcPr>
            <w:tcW w:w="628" w:type="dxa"/>
            <w:tcBorders>
              <w:top w:val="nil"/>
              <w:left w:val="nil"/>
              <w:bottom w:val="single" w:sz="4" w:space="0" w:color="auto"/>
              <w:right w:val="single" w:sz="4" w:space="0" w:color="auto"/>
            </w:tcBorders>
            <w:shd w:val="clear" w:color="000000" w:fill="D9D9D9"/>
            <w:noWrap/>
            <w:vAlign w:val="bottom"/>
            <w:hideMark/>
          </w:tcPr>
          <w:p w14:paraId="01A14728"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511,6</w:t>
            </w:r>
          </w:p>
        </w:tc>
        <w:tc>
          <w:tcPr>
            <w:tcW w:w="628" w:type="dxa"/>
            <w:tcBorders>
              <w:top w:val="nil"/>
              <w:left w:val="nil"/>
              <w:bottom w:val="single" w:sz="4" w:space="0" w:color="auto"/>
              <w:right w:val="single" w:sz="4" w:space="0" w:color="auto"/>
            </w:tcBorders>
            <w:shd w:val="clear" w:color="000000" w:fill="D9D9D9"/>
            <w:noWrap/>
            <w:vAlign w:val="bottom"/>
            <w:hideMark/>
          </w:tcPr>
          <w:p w14:paraId="2333885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522,2</w:t>
            </w:r>
          </w:p>
        </w:tc>
        <w:tc>
          <w:tcPr>
            <w:tcW w:w="628" w:type="dxa"/>
            <w:tcBorders>
              <w:top w:val="nil"/>
              <w:left w:val="nil"/>
              <w:bottom w:val="single" w:sz="4" w:space="0" w:color="auto"/>
              <w:right w:val="single" w:sz="4" w:space="0" w:color="auto"/>
            </w:tcBorders>
            <w:shd w:val="clear" w:color="000000" w:fill="D9D9D9"/>
            <w:noWrap/>
            <w:vAlign w:val="bottom"/>
            <w:hideMark/>
          </w:tcPr>
          <w:p w14:paraId="0B0193E0"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cs="Arial"/>
                <w:b/>
                <w:bCs/>
                <w:sz w:val="16"/>
                <w:szCs w:val="16"/>
              </w:rPr>
              <w:t>514,4</w:t>
            </w:r>
          </w:p>
        </w:tc>
      </w:tr>
    </w:tbl>
    <w:p w14:paraId="543AC768" w14:textId="77777777" w:rsidR="00B56301"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7253FC" w14:paraId="2BC525CA" w14:textId="77777777" w:rsidTr="00B37B65">
        <w:trPr>
          <w:trHeight w:val="68"/>
          <w:jc w:val="center"/>
        </w:trPr>
        <w:tc>
          <w:tcPr>
            <w:tcW w:w="10704" w:type="dxa"/>
            <w:gridSpan w:val="9"/>
            <w:tcBorders>
              <w:top w:val="nil"/>
              <w:left w:val="nil"/>
              <w:bottom w:val="nil"/>
            </w:tcBorders>
            <w:shd w:val="clear" w:color="auto" w:fill="auto"/>
            <w:vAlign w:val="center"/>
          </w:tcPr>
          <w:p w14:paraId="6E00B24D"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Emissions dans l'air - Source Citepa édition 2022 - inventaire national d'émissions de gaz à effet de serre et de polluants atmosphériques - citepa.org</w:t>
            </w:r>
          </w:p>
        </w:tc>
      </w:tr>
      <w:tr w:rsidR="00B56301" w:rsidRPr="007253FC" w14:paraId="64F63211" w14:textId="77777777" w:rsidTr="00B37B65">
        <w:trPr>
          <w:trHeight w:val="68"/>
          <w:jc w:val="center"/>
        </w:trPr>
        <w:tc>
          <w:tcPr>
            <w:tcW w:w="10704" w:type="dxa"/>
            <w:gridSpan w:val="9"/>
            <w:tcBorders>
              <w:top w:val="nil"/>
              <w:left w:val="nil"/>
            </w:tcBorders>
            <w:shd w:val="clear" w:color="auto" w:fill="auto"/>
            <w:vAlign w:val="center"/>
          </w:tcPr>
          <w:p w14:paraId="45478CED"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Méthodologie d'estimation : citepa.org/ominea</w:t>
            </w:r>
          </w:p>
        </w:tc>
      </w:tr>
      <w:tr w:rsidR="00B56301" w:rsidRPr="007253FC" w14:paraId="131CCBCB" w14:textId="77777777" w:rsidTr="00B37B65">
        <w:trPr>
          <w:trHeight w:val="68"/>
          <w:jc w:val="center"/>
        </w:trPr>
        <w:tc>
          <w:tcPr>
            <w:tcW w:w="10704" w:type="dxa"/>
            <w:gridSpan w:val="9"/>
            <w:tcBorders>
              <w:top w:val="nil"/>
              <w:left w:val="nil"/>
              <w:bottom w:val="nil"/>
            </w:tcBorders>
            <w:shd w:val="clear" w:color="auto" w:fill="auto"/>
            <w:vAlign w:val="center"/>
          </w:tcPr>
          <w:p w14:paraId="53EBAB70" w14:textId="77777777" w:rsidR="00B56301" w:rsidRPr="007253FC" w:rsidRDefault="00B56301" w:rsidP="00B37B65">
            <w:pPr>
              <w:jc w:val="center"/>
              <w:rPr>
                <w:rFonts w:ascii="Trebuchet MS" w:hAnsi="Trebuchet MS" w:cs="Arial"/>
                <w:b/>
                <w:bCs/>
                <w:sz w:val="18"/>
                <w:szCs w:val="18"/>
              </w:rPr>
            </w:pPr>
          </w:p>
        </w:tc>
      </w:tr>
      <w:tr w:rsidR="00B56301" w:rsidRPr="007253FC" w14:paraId="6965496A" w14:textId="77777777" w:rsidTr="00B37B65">
        <w:trPr>
          <w:trHeight w:val="68"/>
          <w:jc w:val="center"/>
        </w:trPr>
        <w:tc>
          <w:tcPr>
            <w:tcW w:w="5680" w:type="dxa"/>
            <w:tcBorders>
              <w:top w:val="nil"/>
              <w:left w:val="nil"/>
              <w:bottom w:val="nil"/>
              <w:right w:val="nil"/>
            </w:tcBorders>
            <w:shd w:val="clear" w:color="auto" w:fill="auto"/>
            <w:vAlign w:val="center"/>
            <w:hideMark/>
          </w:tcPr>
          <w:p w14:paraId="52C2F7FF" w14:textId="0D93D306" w:rsidR="00B56301" w:rsidRPr="007253FC" w:rsidRDefault="00B56301" w:rsidP="00B37B65">
            <w:pPr>
              <w:jc w:val="center"/>
              <w:rPr>
                <w:rFonts w:ascii="Trebuchet MS" w:hAnsi="Trebuchet MS" w:cs="Arial"/>
                <w:b/>
                <w:bCs/>
                <w:i/>
                <w:iCs/>
                <w:sz w:val="16"/>
                <w:szCs w:val="18"/>
              </w:rPr>
            </w:pPr>
            <w:r w:rsidRPr="007253FC">
              <w:rPr>
                <w:rFonts w:ascii="Trebuchet MS" w:hAnsi="Trebuchet MS" w:cs="Arial"/>
                <w:b/>
                <w:bCs/>
                <w:i/>
                <w:iCs/>
                <w:sz w:val="16"/>
                <w:szCs w:val="18"/>
              </w:rPr>
              <w:t xml:space="preserve">Emissions de </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 xml:space="preserve"> (Mt</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/an)</w:t>
            </w:r>
            <w:r w:rsidRPr="007253FC">
              <w:rPr>
                <w:rFonts w:ascii="Trebuchet MS" w:hAnsi="Trebuchet MS" w:cs="Arial"/>
                <w:b/>
                <w:bCs/>
                <w:i/>
                <w:iCs/>
                <w:sz w:val="16"/>
                <w:szCs w:val="18"/>
              </w:rPr>
              <w:br/>
              <w:t>Périmètre : Métropole et Outre-mer inclus dans l'UE</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B0D5E5"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1998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70A6704"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1999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51EE076"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3C96112B"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41D73AA"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8EB20D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2003</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56C685"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0AB8ED"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2005</w:t>
            </w:r>
          </w:p>
        </w:tc>
      </w:tr>
      <w:tr w:rsidR="00B56301" w:rsidRPr="007253FC" w14:paraId="4955B6AF"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6DBE683B"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Industrie de l'énergie</w:t>
            </w:r>
          </w:p>
        </w:tc>
        <w:tc>
          <w:tcPr>
            <w:tcW w:w="628" w:type="dxa"/>
            <w:tcBorders>
              <w:top w:val="nil"/>
              <w:left w:val="nil"/>
              <w:bottom w:val="single" w:sz="4" w:space="0" w:color="auto"/>
              <w:right w:val="single" w:sz="4" w:space="0" w:color="auto"/>
            </w:tcBorders>
            <w:shd w:val="clear" w:color="000000" w:fill="DDEBF7"/>
            <w:noWrap/>
            <w:vAlign w:val="bottom"/>
            <w:hideMark/>
          </w:tcPr>
          <w:p w14:paraId="3CB1A1E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79,6</w:t>
            </w:r>
          </w:p>
        </w:tc>
        <w:tc>
          <w:tcPr>
            <w:tcW w:w="628" w:type="dxa"/>
            <w:tcBorders>
              <w:top w:val="nil"/>
              <w:left w:val="nil"/>
              <w:bottom w:val="single" w:sz="4" w:space="0" w:color="auto"/>
              <w:right w:val="single" w:sz="4" w:space="0" w:color="auto"/>
            </w:tcBorders>
            <w:shd w:val="clear" w:color="000000" w:fill="DDEBF7"/>
            <w:noWrap/>
            <w:vAlign w:val="bottom"/>
            <w:hideMark/>
          </w:tcPr>
          <w:p w14:paraId="059C3E16"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72,6</w:t>
            </w:r>
          </w:p>
        </w:tc>
        <w:tc>
          <w:tcPr>
            <w:tcW w:w="628" w:type="dxa"/>
            <w:tcBorders>
              <w:top w:val="nil"/>
              <w:left w:val="nil"/>
              <w:bottom w:val="single" w:sz="4" w:space="0" w:color="auto"/>
              <w:right w:val="single" w:sz="4" w:space="0" w:color="auto"/>
            </w:tcBorders>
            <w:shd w:val="clear" w:color="000000" w:fill="DDEBF7"/>
            <w:noWrap/>
            <w:vAlign w:val="bottom"/>
            <w:hideMark/>
          </w:tcPr>
          <w:p w14:paraId="5606837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71,3</w:t>
            </w:r>
          </w:p>
        </w:tc>
        <w:tc>
          <w:tcPr>
            <w:tcW w:w="628" w:type="dxa"/>
            <w:tcBorders>
              <w:top w:val="nil"/>
              <w:left w:val="nil"/>
              <w:bottom w:val="single" w:sz="4" w:space="0" w:color="auto"/>
              <w:right w:val="single" w:sz="4" w:space="0" w:color="auto"/>
            </w:tcBorders>
            <w:shd w:val="clear" w:color="000000" w:fill="DDEBF7"/>
            <w:noWrap/>
            <w:vAlign w:val="bottom"/>
            <w:hideMark/>
          </w:tcPr>
          <w:p w14:paraId="52ED81C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64,5</w:t>
            </w:r>
          </w:p>
        </w:tc>
        <w:tc>
          <w:tcPr>
            <w:tcW w:w="628" w:type="dxa"/>
            <w:tcBorders>
              <w:top w:val="nil"/>
              <w:left w:val="nil"/>
              <w:bottom w:val="single" w:sz="4" w:space="0" w:color="auto"/>
              <w:right w:val="single" w:sz="4" w:space="0" w:color="auto"/>
            </w:tcBorders>
            <w:shd w:val="clear" w:color="000000" w:fill="DDEBF7"/>
            <w:noWrap/>
            <w:vAlign w:val="bottom"/>
            <w:hideMark/>
          </w:tcPr>
          <w:p w14:paraId="7C97C50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67,1</w:t>
            </w:r>
          </w:p>
        </w:tc>
        <w:tc>
          <w:tcPr>
            <w:tcW w:w="628" w:type="dxa"/>
            <w:tcBorders>
              <w:top w:val="nil"/>
              <w:left w:val="nil"/>
              <w:bottom w:val="single" w:sz="4" w:space="0" w:color="auto"/>
              <w:right w:val="single" w:sz="4" w:space="0" w:color="auto"/>
            </w:tcBorders>
            <w:shd w:val="clear" w:color="000000" w:fill="DDEBF7"/>
            <w:noWrap/>
            <w:vAlign w:val="bottom"/>
            <w:hideMark/>
          </w:tcPr>
          <w:p w14:paraId="656F217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70,5</w:t>
            </w:r>
          </w:p>
        </w:tc>
        <w:tc>
          <w:tcPr>
            <w:tcW w:w="628" w:type="dxa"/>
            <w:tcBorders>
              <w:top w:val="nil"/>
              <w:left w:val="nil"/>
              <w:bottom w:val="single" w:sz="4" w:space="0" w:color="auto"/>
              <w:right w:val="single" w:sz="4" w:space="0" w:color="auto"/>
            </w:tcBorders>
            <w:shd w:val="clear" w:color="000000" w:fill="DDEBF7"/>
            <w:noWrap/>
            <w:vAlign w:val="bottom"/>
            <w:hideMark/>
          </w:tcPr>
          <w:p w14:paraId="7363D6C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69,1</w:t>
            </w:r>
          </w:p>
        </w:tc>
        <w:tc>
          <w:tcPr>
            <w:tcW w:w="628" w:type="dxa"/>
            <w:tcBorders>
              <w:top w:val="nil"/>
              <w:left w:val="nil"/>
              <w:bottom w:val="single" w:sz="4" w:space="0" w:color="auto"/>
              <w:right w:val="single" w:sz="4" w:space="0" w:color="auto"/>
            </w:tcBorders>
            <w:shd w:val="clear" w:color="000000" w:fill="DDEBF7"/>
            <w:noWrap/>
            <w:vAlign w:val="bottom"/>
            <w:hideMark/>
          </w:tcPr>
          <w:p w14:paraId="5833767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74,2</w:t>
            </w:r>
          </w:p>
        </w:tc>
      </w:tr>
      <w:tr w:rsidR="00B56301" w:rsidRPr="007253FC" w14:paraId="51BEA6B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84E3B8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Production d'électricité</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6C4E8FB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41,3</w:t>
            </w:r>
          </w:p>
        </w:tc>
        <w:tc>
          <w:tcPr>
            <w:tcW w:w="628" w:type="dxa"/>
            <w:tcBorders>
              <w:top w:val="nil"/>
              <w:left w:val="nil"/>
              <w:bottom w:val="single" w:sz="4" w:space="0" w:color="auto"/>
              <w:right w:val="single" w:sz="4" w:space="0" w:color="auto"/>
            </w:tcBorders>
            <w:shd w:val="clear" w:color="auto" w:fill="auto"/>
            <w:noWrap/>
            <w:vAlign w:val="center"/>
            <w:hideMark/>
          </w:tcPr>
          <w:p w14:paraId="1CEC726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34,9</w:t>
            </w:r>
          </w:p>
        </w:tc>
        <w:tc>
          <w:tcPr>
            <w:tcW w:w="628" w:type="dxa"/>
            <w:tcBorders>
              <w:top w:val="nil"/>
              <w:left w:val="nil"/>
              <w:bottom w:val="single" w:sz="4" w:space="0" w:color="auto"/>
              <w:right w:val="single" w:sz="4" w:space="0" w:color="auto"/>
            </w:tcBorders>
            <w:shd w:val="clear" w:color="auto" w:fill="auto"/>
            <w:noWrap/>
            <w:vAlign w:val="center"/>
            <w:hideMark/>
          </w:tcPr>
          <w:p w14:paraId="35EE2DF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0D6728D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27,7</w:t>
            </w:r>
          </w:p>
        </w:tc>
        <w:tc>
          <w:tcPr>
            <w:tcW w:w="628" w:type="dxa"/>
            <w:tcBorders>
              <w:top w:val="nil"/>
              <w:left w:val="nil"/>
              <w:bottom w:val="single" w:sz="4" w:space="0" w:color="auto"/>
              <w:right w:val="single" w:sz="4" w:space="0" w:color="auto"/>
            </w:tcBorders>
            <w:shd w:val="clear" w:color="auto" w:fill="auto"/>
            <w:noWrap/>
            <w:vAlign w:val="center"/>
            <w:hideMark/>
          </w:tcPr>
          <w:p w14:paraId="49958E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31,4</w:t>
            </w:r>
          </w:p>
        </w:tc>
        <w:tc>
          <w:tcPr>
            <w:tcW w:w="628" w:type="dxa"/>
            <w:tcBorders>
              <w:top w:val="nil"/>
              <w:left w:val="nil"/>
              <w:bottom w:val="single" w:sz="4" w:space="0" w:color="auto"/>
              <w:right w:val="single" w:sz="4" w:space="0" w:color="auto"/>
            </w:tcBorders>
            <w:shd w:val="clear" w:color="auto" w:fill="auto"/>
            <w:noWrap/>
            <w:vAlign w:val="center"/>
            <w:hideMark/>
          </w:tcPr>
          <w:p w14:paraId="098C78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6CE53BF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32,9</w:t>
            </w:r>
          </w:p>
        </w:tc>
        <w:tc>
          <w:tcPr>
            <w:tcW w:w="628" w:type="dxa"/>
            <w:tcBorders>
              <w:top w:val="nil"/>
              <w:left w:val="nil"/>
              <w:bottom w:val="single" w:sz="4" w:space="0" w:color="auto"/>
              <w:right w:val="single" w:sz="4" w:space="0" w:color="auto"/>
            </w:tcBorders>
            <w:shd w:val="clear" w:color="auto" w:fill="auto"/>
            <w:noWrap/>
            <w:vAlign w:val="center"/>
            <w:hideMark/>
          </w:tcPr>
          <w:p w14:paraId="313B79D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38,7</w:t>
            </w:r>
          </w:p>
        </w:tc>
      </w:tr>
      <w:tr w:rsidR="00B56301" w:rsidRPr="007253FC" w14:paraId="21E35E1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A0DAFD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Chauffage urbain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1A2089C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6D525E9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0C04F6F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35834FA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09937F0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7A7DF73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4D816B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791125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w:t>
            </w:r>
          </w:p>
        </w:tc>
      </w:tr>
      <w:tr w:rsidR="00B56301" w:rsidRPr="007253FC" w14:paraId="77544D35"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A9DA30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Raffinage du pétrole</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C84E58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17,9</w:t>
            </w:r>
          </w:p>
        </w:tc>
        <w:tc>
          <w:tcPr>
            <w:tcW w:w="628" w:type="dxa"/>
            <w:tcBorders>
              <w:top w:val="nil"/>
              <w:left w:val="nil"/>
              <w:bottom w:val="single" w:sz="4" w:space="0" w:color="auto"/>
              <w:right w:val="single" w:sz="4" w:space="0" w:color="auto"/>
            </w:tcBorders>
            <w:shd w:val="clear" w:color="auto" w:fill="auto"/>
            <w:noWrap/>
            <w:vAlign w:val="center"/>
            <w:hideMark/>
          </w:tcPr>
          <w:p w14:paraId="1165D0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17,2</w:t>
            </w:r>
          </w:p>
        </w:tc>
        <w:tc>
          <w:tcPr>
            <w:tcW w:w="628" w:type="dxa"/>
            <w:tcBorders>
              <w:top w:val="nil"/>
              <w:left w:val="nil"/>
              <w:bottom w:val="single" w:sz="4" w:space="0" w:color="auto"/>
              <w:right w:val="single" w:sz="4" w:space="0" w:color="auto"/>
            </w:tcBorders>
            <w:shd w:val="clear" w:color="auto" w:fill="auto"/>
            <w:noWrap/>
            <w:vAlign w:val="center"/>
            <w:hideMark/>
          </w:tcPr>
          <w:p w14:paraId="0A09CAD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17,2</w:t>
            </w:r>
          </w:p>
        </w:tc>
        <w:tc>
          <w:tcPr>
            <w:tcW w:w="628" w:type="dxa"/>
            <w:tcBorders>
              <w:top w:val="nil"/>
              <w:left w:val="nil"/>
              <w:bottom w:val="single" w:sz="4" w:space="0" w:color="auto"/>
              <w:right w:val="single" w:sz="4" w:space="0" w:color="auto"/>
            </w:tcBorders>
            <w:shd w:val="clear" w:color="auto" w:fill="auto"/>
            <w:noWrap/>
            <w:vAlign w:val="center"/>
            <w:hideMark/>
          </w:tcPr>
          <w:p w14:paraId="34B80BF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17,3</w:t>
            </w:r>
          </w:p>
        </w:tc>
        <w:tc>
          <w:tcPr>
            <w:tcW w:w="628" w:type="dxa"/>
            <w:tcBorders>
              <w:top w:val="nil"/>
              <w:left w:val="nil"/>
              <w:bottom w:val="single" w:sz="4" w:space="0" w:color="auto"/>
              <w:right w:val="single" w:sz="4" w:space="0" w:color="auto"/>
            </w:tcBorders>
            <w:shd w:val="clear" w:color="auto" w:fill="auto"/>
            <w:noWrap/>
            <w:vAlign w:val="center"/>
            <w:hideMark/>
          </w:tcPr>
          <w:p w14:paraId="13B0363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6A1B840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16,4</w:t>
            </w:r>
          </w:p>
        </w:tc>
        <w:tc>
          <w:tcPr>
            <w:tcW w:w="628" w:type="dxa"/>
            <w:tcBorders>
              <w:top w:val="nil"/>
              <w:left w:val="nil"/>
              <w:bottom w:val="single" w:sz="4" w:space="0" w:color="auto"/>
              <w:right w:val="single" w:sz="4" w:space="0" w:color="auto"/>
            </w:tcBorders>
            <w:shd w:val="clear" w:color="auto" w:fill="auto"/>
            <w:noWrap/>
            <w:vAlign w:val="center"/>
            <w:hideMark/>
          </w:tcPr>
          <w:p w14:paraId="3CA53AB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29CB4C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16,9</w:t>
            </w:r>
          </w:p>
        </w:tc>
      </w:tr>
      <w:tr w:rsidR="00B56301" w:rsidRPr="007253FC" w14:paraId="5A7F22C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822F44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Transformation des combustibles minéraux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001EB6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14AFF33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D12F6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1B7AEAB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558B94E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66DBFF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20DD9B8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center"/>
            <w:hideMark/>
          </w:tcPr>
          <w:p w14:paraId="70A3E46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r>
      <w:tr w:rsidR="00B56301" w:rsidRPr="007253FC" w14:paraId="37D99F1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5A653B6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8A3B5F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B892B6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85425A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center"/>
            <w:hideMark/>
          </w:tcPr>
          <w:p w14:paraId="6F3559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center"/>
            <w:hideMark/>
          </w:tcPr>
          <w:p w14:paraId="6CC3CB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628" w:type="dxa"/>
            <w:tcBorders>
              <w:top w:val="nil"/>
              <w:left w:val="nil"/>
              <w:bottom w:val="single" w:sz="4" w:space="0" w:color="auto"/>
              <w:right w:val="single" w:sz="4" w:space="0" w:color="auto"/>
            </w:tcBorders>
            <w:shd w:val="clear" w:color="auto" w:fill="auto"/>
            <w:noWrap/>
            <w:vAlign w:val="center"/>
            <w:hideMark/>
          </w:tcPr>
          <w:p w14:paraId="2E646FE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center"/>
            <w:hideMark/>
          </w:tcPr>
          <w:p w14:paraId="5E25099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center"/>
            <w:hideMark/>
          </w:tcPr>
          <w:p w14:paraId="4DEDD3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r>
      <w:tr w:rsidR="00B56301" w:rsidRPr="007253FC" w14:paraId="6338EB0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2B816A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liquides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5B4A0FC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center"/>
            <w:hideMark/>
          </w:tcPr>
          <w:p w14:paraId="434D5DC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0A1467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4BC049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AD2D5A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755A63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7B3489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23F403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r>
      <w:tr w:rsidR="00B56301" w:rsidRPr="007253FC" w14:paraId="1D367EF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99D24D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gazeux</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C9C0A6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4947DC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4DA2E8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2137439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6027BB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6F4AABC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EACF3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C1282F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r>
      <w:tr w:rsidR="00B56301" w:rsidRPr="007253FC" w14:paraId="5E4373D0"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4EB0B54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Fabrication de charbon de bois par pyrolyse</w:t>
            </w:r>
          </w:p>
        </w:tc>
        <w:tc>
          <w:tcPr>
            <w:tcW w:w="628" w:type="dxa"/>
            <w:tcBorders>
              <w:top w:val="nil"/>
              <w:left w:val="nil"/>
              <w:bottom w:val="single" w:sz="4" w:space="0" w:color="auto"/>
              <w:right w:val="single" w:sz="4" w:space="0" w:color="auto"/>
            </w:tcBorders>
            <w:shd w:val="clear" w:color="auto" w:fill="auto"/>
            <w:noWrap/>
            <w:vAlign w:val="center"/>
            <w:hideMark/>
          </w:tcPr>
          <w:p w14:paraId="6C2804F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653683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8D138B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D7A2D5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32AEA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07606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AE8562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E3E11F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r>
      <w:tr w:rsidR="00B56301" w:rsidRPr="007253FC" w14:paraId="3BD6E4B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5CBED8F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Valorisation énergétique des déchets</w:t>
            </w:r>
          </w:p>
        </w:tc>
        <w:tc>
          <w:tcPr>
            <w:tcW w:w="628" w:type="dxa"/>
            <w:tcBorders>
              <w:top w:val="nil"/>
              <w:left w:val="nil"/>
              <w:bottom w:val="single" w:sz="4" w:space="0" w:color="auto"/>
              <w:right w:val="single" w:sz="4" w:space="0" w:color="auto"/>
            </w:tcBorders>
            <w:shd w:val="clear" w:color="auto" w:fill="auto"/>
            <w:noWrap/>
            <w:vAlign w:val="center"/>
            <w:hideMark/>
          </w:tcPr>
          <w:p w14:paraId="2097475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center"/>
            <w:hideMark/>
          </w:tcPr>
          <w:p w14:paraId="669992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2C9153A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5E43F5C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7038BCA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4BA9C84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4B74360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4448E7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r>
      <w:tr w:rsidR="00B56301" w:rsidRPr="007253FC" w14:paraId="661D9EB7"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3E119F51"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Industrie manufacturière et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4519C7E8"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133,8</w:t>
            </w:r>
          </w:p>
        </w:tc>
        <w:tc>
          <w:tcPr>
            <w:tcW w:w="628" w:type="dxa"/>
            <w:tcBorders>
              <w:top w:val="nil"/>
              <w:left w:val="nil"/>
              <w:bottom w:val="single" w:sz="4" w:space="0" w:color="auto"/>
              <w:right w:val="single" w:sz="4" w:space="0" w:color="auto"/>
            </w:tcBorders>
            <w:shd w:val="clear" w:color="000000" w:fill="0070C0"/>
            <w:noWrap/>
            <w:vAlign w:val="bottom"/>
            <w:hideMark/>
          </w:tcPr>
          <w:p w14:paraId="0916F53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130,2</w:t>
            </w:r>
          </w:p>
        </w:tc>
        <w:tc>
          <w:tcPr>
            <w:tcW w:w="628" w:type="dxa"/>
            <w:tcBorders>
              <w:top w:val="nil"/>
              <w:left w:val="nil"/>
              <w:bottom w:val="single" w:sz="4" w:space="0" w:color="auto"/>
              <w:right w:val="single" w:sz="4" w:space="0" w:color="auto"/>
            </w:tcBorders>
            <w:shd w:val="clear" w:color="000000" w:fill="0070C0"/>
            <w:noWrap/>
            <w:vAlign w:val="bottom"/>
            <w:hideMark/>
          </w:tcPr>
          <w:p w14:paraId="50C8E71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126,6</w:t>
            </w:r>
          </w:p>
        </w:tc>
        <w:tc>
          <w:tcPr>
            <w:tcW w:w="628" w:type="dxa"/>
            <w:tcBorders>
              <w:top w:val="nil"/>
              <w:left w:val="nil"/>
              <w:bottom w:val="single" w:sz="4" w:space="0" w:color="auto"/>
              <w:right w:val="single" w:sz="4" w:space="0" w:color="auto"/>
            </w:tcBorders>
            <w:shd w:val="clear" w:color="000000" w:fill="0070C0"/>
            <w:noWrap/>
            <w:vAlign w:val="bottom"/>
            <w:hideMark/>
          </w:tcPr>
          <w:p w14:paraId="4657119C"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129,9</w:t>
            </w:r>
          </w:p>
        </w:tc>
        <w:tc>
          <w:tcPr>
            <w:tcW w:w="628" w:type="dxa"/>
            <w:tcBorders>
              <w:top w:val="nil"/>
              <w:left w:val="nil"/>
              <w:bottom w:val="single" w:sz="4" w:space="0" w:color="auto"/>
              <w:right w:val="single" w:sz="4" w:space="0" w:color="auto"/>
            </w:tcBorders>
            <w:shd w:val="clear" w:color="000000" w:fill="0070C0"/>
            <w:noWrap/>
            <w:vAlign w:val="bottom"/>
            <w:hideMark/>
          </w:tcPr>
          <w:p w14:paraId="154B71D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125,8</w:t>
            </w:r>
          </w:p>
        </w:tc>
        <w:tc>
          <w:tcPr>
            <w:tcW w:w="628" w:type="dxa"/>
            <w:tcBorders>
              <w:top w:val="nil"/>
              <w:left w:val="nil"/>
              <w:bottom w:val="single" w:sz="4" w:space="0" w:color="auto"/>
              <w:right w:val="single" w:sz="4" w:space="0" w:color="auto"/>
            </w:tcBorders>
            <w:shd w:val="clear" w:color="000000" w:fill="0070C0"/>
            <w:noWrap/>
            <w:vAlign w:val="bottom"/>
            <w:hideMark/>
          </w:tcPr>
          <w:p w14:paraId="0A5B8C6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124,3</w:t>
            </w:r>
          </w:p>
        </w:tc>
        <w:tc>
          <w:tcPr>
            <w:tcW w:w="628" w:type="dxa"/>
            <w:tcBorders>
              <w:top w:val="nil"/>
              <w:left w:val="nil"/>
              <w:bottom w:val="single" w:sz="4" w:space="0" w:color="auto"/>
              <w:right w:val="single" w:sz="4" w:space="0" w:color="auto"/>
            </w:tcBorders>
            <w:shd w:val="clear" w:color="000000" w:fill="0070C0"/>
            <w:noWrap/>
            <w:vAlign w:val="bottom"/>
            <w:hideMark/>
          </w:tcPr>
          <w:p w14:paraId="75269EA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118,6</w:t>
            </w:r>
          </w:p>
        </w:tc>
        <w:tc>
          <w:tcPr>
            <w:tcW w:w="628" w:type="dxa"/>
            <w:tcBorders>
              <w:top w:val="nil"/>
              <w:left w:val="nil"/>
              <w:bottom w:val="single" w:sz="4" w:space="0" w:color="auto"/>
              <w:right w:val="single" w:sz="4" w:space="0" w:color="auto"/>
            </w:tcBorders>
            <w:shd w:val="clear" w:color="000000" w:fill="0070C0"/>
            <w:noWrap/>
            <w:vAlign w:val="bottom"/>
            <w:hideMark/>
          </w:tcPr>
          <w:p w14:paraId="65A0D52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119,2</w:t>
            </w:r>
          </w:p>
        </w:tc>
      </w:tr>
      <w:tr w:rsidR="00B56301" w:rsidRPr="007253FC" w14:paraId="6B766210"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5ECE1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Chimie</w:t>
            </w:r>
          </w:p>
        </w:tc>
        <w:tc>
          <w:tcPr>
            <w:tcW w:w="628" w:type="dxa"/>
            <w:tcBorders>
              <w:top w:val="nil"/>
              <w:left w:val="nil"/>
              <w:bottom w:val="single" w:sz="4" w:space="0" w:color="auto"/>
              <w:right w:val="single" w:sz="4" w:space="0" w:color="auto"/>
            </w:tcBorders>
            <w:shd w:val="clear" w:color="auto" w:fill="auto"/>
            <w:noWrap/>
            <w:vAlign w:val="center"/>
            <w:hideMark/>
          </w:tcPr>
          <w:p w14:paraId="6515FD2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45,8</w:t>
            </w:r>
          </w:p>
        </w:tc>
        <w:tc>
          <w:tcPr>
            <w:tcW w:w="628" w:type="dxa"/>
            <w:tcBorders>
              <w:top w:val="nil"/>
              <w:left w:val="nil"/>
              <w:bottom w:val="single" w:sz="4" w:space="0" w:color="auto"/>
              <w:right w:val="single" w:sz="4" w:space="0" w:color="auto"/>
            </w:tcBorders>
            <w:shd w:val="clear" w:color="auto" w:fill="auto"/>
            <w:noWrap/>
            <w:vAlign w:val="center"/>
            <w:hideMark/>
          </w:tcPr>
          <w:p w14:paraId="179CEFF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41,1</w:t>
            </w:r>
          </w:p>
        </w:tc>
        <w:tc>
          <w:tcPr>
            <w:tcW w:w="628" w:type="dxa"/>
            <w:tcBorders>
              <w:top w:val="nil"/>
              <w:left w:val="nil"/>
              <w:bottom w:val="single" w:sz="4" w:space="0" w:color="auto"/>
              <w:right w:val="single" w:sz="4" w:space="0" w:color="auto"/>
            </w:tcBorders>
            <w:shd w:val="clear" w:color="auto" w:fill="auto"/>
            <w:noWrap/>
            <w:vAlign w:val="center"/>
            <w:hideMark/>
          </w:tcPr>
          <w:p w14:paraId="7AADF4A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39,8</w:t>
            </w:r>
          </w:p>
        </w:tc>
        <w:tc>
          <w:tcPr>
            <w:tcW w:w="628" w:type="dxa"/>
            <w:tcBorders>
              <w:top w:val="nil"/>
              <w:left w:val="nil"/>
              <w:bottom w:val="single" w:sz="4" w:space="0" w:color="auto"/>
              <w:right w:val="single" w:sz="4" w:space="0" w:color="auto"/>
            </w:tcBorders>
            <w:shd w:val="clear" w:color="auto" w:fill="auto"/>
            <w:noWrap/>
            <w:vAlign w:val="center"/>
            <w:hideMark/>
          </w:tcPr>
          <w:p w14:paraId="7E8F67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42,7</w:t>
            </w:r>
          </w:p>
        </w:tc>
        <w:tc>
          <w:tcPr>
            <w:tcW w:w="628" w:type="dxa"/>
            <w:tcBorders>
              <w:top w:val="nil"/>
              <w:left w:val="nil"/>
              <w:bottom w:val="single" w:sz="4" w:space="0" w:color="auto"/>
              <w:right w:val="single" w:sz="4" w:space="0" w:color="auto"/>
            </w:tcBorders>
            <w:shd w:val="clear" w:color="auto" w:fill="auto"/>
            <w:noWrap/>
            <w:vAlign w:val="center"/>
            <w:hideMark/>
          </w:tcPr>
          <w:p w14:paraId="5E7193D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37,4</w:t>
            </w:r>
          </w:p>
        </w:tc>
        <w:tc>
          <w:tcPr>
            <w:tcW w:w="628" w:type="dxa"/>
            <w:tcBorders>
              <w:top w:val="nil"/>
              <w:left w:val="nil"/>
              <w:bottom w:val="single" w:sz="4" w:space="0" w:color="auto"/>
              <w:right w:val="single" w:sz="4" w:space="0" w:color="auto"/>
            </w:tcBorders>
            <w:shd w:val="clear" w:color="auto" w:fill="auto"/>
            <w:noWrap/>
            <w:vAlign w:val="center"/>
            <w:hideMark/>
          </w:tcPr>
          <w:p w14:paraId="4642C1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37,4</w:t>
            </w:r>
          </w:p>
        </w:tc>
        <w:tc>
          <w:tcPr>
            <w:tcW w:w="628" w:type="dxa"/>
            <w:tcBorders>
              <w:top w:val="nil"/>
              <w:left w:val="nil"/>
              <w:bottom w:val="single" w:sz="4" w:space="0" w:color="auto"/>
              <w:right w:val="single" w:sz="4" w:space="0" w:color="auto"/>
            </w:tcBorders>
            <w:shd w:val="clear" w:color="auto" w:fill="auto"/>
            <w:noWrap/>
            <w:vAlign w:val="center"/>
            <w:hideMark/>
          </w:tcPr>
          <w:p w14:paraId="0A0EF6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33,7</w:t>
            </w:r>
          </w:p>
        </w:tc>
        <w:tc>
          <w:tcPr>
            <w:tcW w:w="628" w:type="dxa"/>
            <w:tcBorders>
              <w:top w:val="nil"/>
              <w:left w:val="nil"/>
              <w:bottom w:val="single" w:sz="4" w:space="0" w:color="auto"/>
              <w:right w:val="single" w:sz="4" w:space="0" w:color="auto"/>
            </w:tcBorders>
            <w:shd w:val="clear" w:color="auto" w:fill="auto"/>
            <w:noWrap/>
            <w:vAlign w:val="center"/>
            <w:hideMark/>
          </w:tcPr>
          <w:p w14:paraId="7B0435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35,0</w:t>
            </w:r>
          </w:p>
        </w:tc>
      </w:tr>
      <w:tr w:rsidR="00B56301" w:rsidRPr="007253FC" w14:paraId="39C4529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79CF96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1C1976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5,0</w:t>
            </w:r>
          </w:p>
        </w:tc>
        <w:tc>
          <w:tcPr>
            <w:tcW w:w="628" w:type="dxa"/>
            <w:tcBorders>
              <w:top w:val="nil"/>
              <w:left w:val="nil"/>
              <w:bottom w:val="single" w:sz="4" w:space="0" w:color="auto"/>
              <w:right w:val="single" w:sz="4" w:space="0" w:color="auto"/>
            </w:tcBorders>
            <w:shd w:val="clear" w:color="auto" w:fill="auto"/>
            <w:noWrap/>
            <w:vAlign w:val="center"/>
            <w:hideMark/>
          </w:tcPr>
          <w:p w14:paraId="17E6FD8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4,5</w:t>
            </w:r>
          </w:p>
        </w:tc>
        <w:tc>
          <w:tcPr>
            <w:tcW w:w="628" w:type="dxa"/>
            <w:tcBorders>
              <w:top w:val="nil"/>
              <w:left w:val="nil"/>
              <w:bottom w:val="single" w:sz="4" w:space="0" w:color="auto"/>
              <w:right w:val="single" w:sz="4" w:space="0" w:color="auto"/>
            </w:tcBorders>
            <w:shd w:val="clear" w:color="auto" w:fill="auto"/>
            <w:noWrap/>
            <w:vAlign w:val="center"/>
            <w:hideMark/>
          </w:tcPr>
          <w:p w14:paraId="139833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510535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4FE9C04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6,3</w:t>
            </w:r>
          </w:p>
        </w:tc>
        <w:tc>
          <w:tcPr>
            <w:tcW w:w="628" w:type="dxa"/>
            <w:tcBorders>
              <w:top w:val="nil"/>
              <w:left w:val="nil"/>
              <w:bottom w:val="single" w:sz="4" w:space="0" w:color="auto"/>
              <w:right w:val="single" w:sz="4" w:space="0" w:color="auto"/>
            </w:tcBorders>
            <w:shd w:val="clear" w:color="auto" w:fill="auto"/>
            <w:noWrap/>
            <w:vAlign w:val="center"/>
            <w:hideMark/>
          </w:tcPr>
          <w:p w14:paraId="55837DF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3083B8A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484FD5A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5,3</w:t>
            </w:r>
          </w:p>
        </w:tc>
      </w:tr>
      <w:tr w:rsidR="00B56301" w:rsidRPr="007253FC" w14:paraId="188824C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BA14C6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Biens d'équipements, matériels de transport</w:t>
            </w:r>
          </w:p>
        </w:tc>
        <w:tc>
          <w:tcPr>
            <w:tcW w:w="628" w:type="dxa"/>
            <w:tcBorders>
              <w:top w:val="nil"/>
              <w:left w:val="nil"/>
              <w:bottom w:val="single" w:sz="4" w:space="0" w:color="auto"/>
              <w:right w:val="single" w:sz="4" w:space="0" w:color="auto"/>
            </w:tcBorders>
            <w:shd w:val="clear" w:color="auto" w:fill="auto"/>
            <w:noWrap/>
            <w:vAlign w:val="center"/>
            <w:hideMark/>
          </w:tcPr>
          <w:p w14:paraId="35FD450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504D815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6,1</w:t>
            </w:r>
          </w:p>
        </w:tc>
        <w:tc>
          <w:tcPr>
            <w:tcW w:w="628" w:type="dxa"/>
            <w:tcBorders>
              <w:top w:val="nil"/>
              <w:left w:val="nil"/>
              <w:bottom w:val="single" w:sz="4" w:space="0" w:color="auto"/>
              <w:right w:val="single" w:sz="4" w:space="0" w:color="auto"/>
            </w:tcBorders>
            <w:shd w:val="clear" w:color="auto" w:fill="auto"/>
            <w:noWrap/>
            <w:vAlign w:val="center"/>
            <w:hideMark/>
          </w:tcPr>
          <w:p w14:paraId="4868E7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7B97A90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6,4</w:t>
            </w:r>
          </w:p>
        </w:tc>
        <w:tc>
          <w:tcPr>
            <w:tcW w:w="628" w:type="dxa"/>
            <w:tcBorders>
              <w:top w:val="nil"/>
              <w:left w:val="nil"/>
              <w:bottom w:val="single" w:sz="4" w:space="0" w:color="auto"/>
              <w:right w:val="single" w:sz="4" w:space="0" w:color="auto"/>
            </w:tcBorders>
            <w:shd w:val="clear" w:color="auto" w:fill="auto"/>
            <w:noWrap/>
            <w:vAlign w:val="center"/>
            <w:hideMark/>
          </w:tcPr>
          <w:p w14:paraId="043C312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5,9</w:t>
            </w:r>
          </w:p>
        </w:tc>
        <w:tc>
          <w:tcPr>
            <w:tcW w:w="628" w:type="dxa"/>
            <w:tcBorders>
              <w:top w:val="nil"/>
              <w:left w:val="nil"/>
              <w:bottom w:val="single" w:sz="4" w:space="0" w:color="auto"/>
              <w:right w:val="single" w:sz="4" w:space="0" w:color="auto"/>
            </w:tcBorders>
            <w:shd w:val="clear" w:color="auto" w:fill="auto"/>
            <w:noWrap/>
            <w:vAlign w:val="center"/>
            <w:hideMark/>
          </w:tcPr>
          <w:p w14:paraId="1436AD9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center"/>
            <w:hideMark/>
          </w:tcPr>
          <w:p w14:paraId="10AF30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2BF6077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5,9</w:t>
            </w:r>
          </w:p>
        </w:tc>
      </w:tr>
      <w:tr w:rsidR="00B56301" w:rsidRPr="007253FC" w14:paraId="4E6B2E3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9F714D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Agro-alimentaire</w:t>
            </w:r>
          </w:p>
        </w:tc>
        <w:tc>
          <w:tcPr>
            <w:tcW w:w="628" w:type="dxa"/>
            <w:tcBorders>
              <w:top w:val="nil"/>
              <w:left w:val="nil"/>
              <w:bottom w:val="single" w:sz="4" w:space="0" w:color="auto"/>
              <w:right w:val="single" w:sz="4" w:space="0" w:color="auto"/>
            </w:tcBorders>
            <w:shd w:val="clear" w:color="auto" w:fill="auto"/>
            <w:noWrap/>
            <w:vAlign w:val="center"/>
            <w:hideMark/>
          </w:tcPr>
          <w:p w14:paraId="56E791A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10,7</w:t>
            </w:r>
          </w:p>
        </w:tc>
        <w:tc>
          <w:tcPr>
            <w:tcW w:w="628" w:type="dxa"/>
            <w:tcBorders>
              <w:top w:val="nil"/>
              <w:left w:val="nil"/>
              <w:bottom w:val="single" w:sz="4" w:space="0" w:color="auto"/>
              <w:right w:val="single" w:sz="4" w:space="0" w:color="auto"/>
            </w:tcBorders>
            <w:shd w:val="clear" w:color="auto" w:fill="auto"/>
            <w:noWrap/>
            <w:vAlign w:val="center"/>
            <w:hideMark/>
          </w:tcPr>
          <w:p w14:paraId="0CCBEF8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06B05CB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10,5</w:t>
            </w:r>
          </w:p>
        </w:tc>
        <w:tc>
          <w:tcPr>
            <w:tcW w:w="628" w:type="dxa"/>
            <w:tcBorders>
              <w:top w:val="nil"/>
              <w:left w:val="nil"/>
              <w:bottom w:val="single" w:sz="4" w:space="0" w:color="auto"/>
              <w:right w:val="single" w:sz="4" w:space="0" w:color="auto"/>
            </w:tcBorders>
            <w:shd w:val="clear" w:color="auto" w:fill="auto"/>
            <w:noWrap/>
            <w:vAlign w:val="center"/>
            <w:hideMark/>
          </w:tcPr>
          <w:p w14:paraId="36E2AAE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30C458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777E8A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4C9347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10,4</w:t>
            </w:r>
          </w:p>
        </w:tc>
        <w:tc>
          <w:tcPr>
            <w:tcW w:w="628" w:type="dxa"/>
            <w:tcBorders>
              <w:top w:val="nil"/>
              <w:left w:val="nil"/>
              <w:bottom w:val="single" w:sz="4" w:space="0" w:color="auto"/>
              <w:right w:val="single" w:sz="4" w:space="0" w:color="auto"/>
            </w:tcBorders>
            <w:shd w:val="clear" w:color="auto" w:fill="auto"/>
            <w:noWrap/>
            <w:vAlign w:val="center"/>
            <w:hideMark/>
          </w:tcPr>
          <w:p w14:paraId="493D441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r>
      <w:tr w:rsidR="00B56301" w:rsidRPr="007253FC" w14:paraId="1865CFD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0D9668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ferreux</w:t>
            </w:r>
          </w:p>
        </w:tc>
        <w:tc>
          <w:tcPr>
            <w:tcW w:w="628" w:type="dxa"/>
            <w:tcBorders>
              <w:top w:val="nil"/>
              <w:left w:val="nil"/>
              <w:bottom w:val="single" w:sz="4" w:space="0" w:color="auto"/>
              <w:right w:val="single" w:sz="4" w:space="0" w:color="auto"/>
            </w:tcBorders>
            <w:shd w:val="clear" w:color="auto" w:fill="auto"/>
            <w:noWrap/>
            <w:vAlign w:val="center"/>
            <w:hideMark/>
          </w:tcPr>
          <w:p w14:paraId="2F3EFB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23,2</w:t>
            </w:r>
          </w:p>
        </w:tc>
        <w:tc>
          <w:tcPr>
            <w:tcW w:w="628" w:type="dxa"/>
            <w:tcBorders>
              <w:top w:val="nil"/>
              <w:left w:val="nil"/>
              <w:bottom w:val="single" w:sz="4" w:space="0" w:color="auto"/>
              <w:right w:val="single" w:sz="4" w:space="0" w:color="auto"/>
            </w:tcBorders>
            <w:shd w:val="clear" w:color="auto" w:fill="auto"/>
            <w:noWrap/>
            <w:vAlign w:val="center"/>
            <w:hideMark/>
          </w:tcPr>
          <w:p w14:paraId="1E3F2DE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23,7</w:t>
            </w:r>
          </w:p>
        </w:tc>
        <w:tc>
          <w:tcPr>
            <w:tcW w:w="628" w:type="dxa"/>
            <w:tcBorders>
              <w:top w:val="nil"/>
              <w:left w:val="nil"/>
              <w:bottom w:val="single" w:sz="4" w:space="0" w:color="auto"/>
              <w:right w:val="single" w:sz="4" w:space="0" w:color="auto"/>
            </w:tcBorders>
            <w:shd w:val="clear" w:color="auto" w:fill="auto"/>
            <w:noWrap/>
            <w:vAlign w:val="center"/>
            <w:hideMark/>
          </w:tcPr>
          <w:p w14:paraId="78D1D97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25,0</w:t>
            </w:r>
          </w:p>
        </w:tc>
        <w:tc>
          <w:tcPr>
            <w:tcW w:w="628" w:type="dxa"/>
            <w:tcBorders>
              <w:top w:val="nil"/>
              <w:left w:val="nil"/>
              <w:bottom w:val="single" w:sz="4" w:space="0" w:color="auto"/>
              <w:right w:val="single" w:sz="4" w:space="0" w:color="auto"/>
            </w:tcBorders>
            <w:shd w:val="clear" w:color="auto" w:fill="auto"/>
            <w:noWrap/>
            <w:vAlign w:val="center"/>
            <w:hideMark/>
          </w:tcPr>
          <w:p w14:paraId="258F9B4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1145DA1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24,4</w:t>
            </w:r>
          </w:p>
        </w:tc>
        <w:tc>
          <w:tcPr>
            <w:tcW w:w="628" w:type="dxa"/>
            <w:tcBorders>
              <w:top w:val="nil"/>
              <w:left w:val="nil"/>
              <w:bottom w:val="single" w:sz="4" w:space="0" w:color="auto"/>
              <w:right w:val="single" w:sz="4" w:space="0" w:color="auto"/>
            </w:tcBorders>
            <w:shd w:val="clear" w:color="auto" w:fill="auto"/>
            <w:noWrap/>
            <w:vAlign w:val="center"/>
            <w:hideMark/>
          </w:tcPr>
          <w:p w14:paraId="3FCBE3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24,1</w:t>
            </w:r>
          </w:p>
        </w:tc>
        <w:tc>
          <w:tcPr>
            <w:tcW w:w="628" w:type="dxa"/>
            <w:tcBorders>
              <w:top w:val="nil"/>
              <w:left w:val="nil"/>
              <w:bottom w:val="single" w:sz="4" w:space="0" w:color="auto"/>
              <w:right w:val="single" w:sz="4" w:space="0" w:color="auto"/>
            </w:tcBorders>
            <w:shd w:val="clear" w:color="auto" w:fill="auto"/>
            <w:noWrap/>
            <w:vAlign w:val="center"/>
            <w:hideMark/>
          </w:tcPr>
          <w:p w14:paraId="0BE240E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24,2</w:t>
            </w:r>
          </w:p>
        </w:tc>
        <w:tc>
          <w:tcPr>
            <w:tcW w:w="628" w:type="dxa"/>
            <w:tcBorders>
              <w:top w:val="nil"/>
              <w:left w:val="nil"/>
              <w:bottom w:val="single" w:sz="4" w:space="0" w:color="auto"/>
              <w:right w:val="single" w:sz="4" w:space="0" w:color="auto"/>
            </w:tcBorders>
            <w:shd w:val="clear" w:color="auto" w:fill="auto"/>
            <w:noWrap/>
            <w:vAlign w:val="center"/>
            <w:hideMark/>
          </w:tcPr>
          <w:p w14:paraId="01E063E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24,7</w:t>
            </w:r>
          </w:p>
        </w:tc>
      </w:tr>
      <w:tr w:rsidR="00B56301" w:rsidRPr="007253FC" w14:paraId="42EFCA0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E4328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non-ferreux</w:t>
            </w:r>
          </w:p>
        </w:tc>
        <w:tc>
          <w:tcPr>
            <w:tcW w:w="628" w:type="dxa"/>
            <w:tcBorders>
              <w:top w:val="nil"/>
              <w:left w:val="nil"/>
              <w:bottom w:val="single" w:sz="4" w:space="0" w:color="auto"/>
              <w:right w:val="single" w:sz="4" w:space="0" w:color="auto"/>
            </w:tcBorders>
            <w:shd w:val="clear" w:color="auto" w:fill="auto"/>
            <w:noWrap/>
            <w:vAlign w:val="center"/>
            <w:hideMark/>
          </w:tcPr>
          <w:p w14:paraId="1173E68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6,7</w:t>
            </w:r>
          </w:p>
        </w:tc>
        <w:tc>
          <w:tcPr>
            <w:tcW w:w="628" w:type="dxa"/>
            <w:tcBorders>
              <w:top w:val="nil"/>
              <w:left w:val="nil"/>
              <w:bottom w:val="single" w:sz="4" w:space="0" w:color="auto"/>
              <w:right w:val="single" w:sz="4" w:space="0" w:color="auto"/>
            </w:tcBorders>
            <w:shd w:val="clear" w:color="auto" w:fill="auto"/>
            <w:noWrap/>
            <w:vAlign w:val="center"/>
            <w:hideMark/>
          </w:tcPr>
          <w:p w14:paraId="265E74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w:t>
            </w:r>
          </w:p>
        </w:tc>
        <w:tc>
          <w:tcPr>
            <w:tcW w:w="628" w:type="dxa"/>
            <w:tcBorders>
              <w:top w:val="nil"/>
              <w:left w:val="nil"/>
              <w:bottom w:val="single" w:sz="4" w:space="0" w:color="auto"/>
              <w:right w:val="single" w:sz="4" w:space="0" w:color="auto"/>
            </w:tcBorders>
            <w:shd w:val="clear" w:color="auto" w:fill="auto"/>
            <w:noWrap/>
            <w:vAlign w:val="center"/>
            <w:hideMark/>
          </w:tcPr>
          <w:p w14:paraId="10A713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6,1</w:t>
            </w:r>
          </w:p>
        </w:tc>
        <w:tc>
          <w:tcPr>
            <w:tcW w:w="628" w:type="dxa"/>
            <w:tcBorders>
              <w:top w:val="nil"/>
              <w:left w:val="nil"/>
              <w:bottom w:val="single" w:sz="4" w:space="0" w:color="auto"/>
              <w:right w:val="single" w:sz="4" w:space="0" w:color="auto"/>
            </w:tcBorders>
            <w:shd w:val="clear" w:color="auto" w:fill="auto"/>
            <w:noWrap/>
            <w:vAlign w:val="center"/>
            <w:hideMark/>
          </w:tcPr>
          <w:p w14:paraId="74ACDB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267187A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6C6DC9F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4AE8E5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63C6211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r>
      <w:tr w:rsidR="00B56301" w:rsidRPr="007253FC" w14:paraId="459B9A4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426D04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Minéraux non-métalliques, matériaux de 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6011FEA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25,6</w:t>
            </w:r>
          </w:p>
        </w:tc>
        <w:tc>
          <w:tcPr>
            <w:tcW w:w="628" w:type="dxa"/>
            <w:tcBorders>
              <w:top w:val="nil"/>
              <w:left w:val="nil"/>
              <w:bottom w:val="single" w:sz="4" w:space="0" w:color="auto"/>
              <w:right w:val="single" w:sz="4" w:space="0" w:color="auto"/>
            </w:tcBorders>
            <w:shd w:val="clear" w:color="auto" w:fill="auto"/>
            <w:noWrap/>
            <w:vAlign w:val="center"/>
            <w:hideMark/>
          </w:tcPr>
          <w:p w14:paraId="2D64117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25,7</w:t>
            </w:r>
          </w:p>
        </w:tc>
        <w:tc>
          <w:tcPr>
            <w:tcW w:w="628" w:type="dxa"/>
            <w:tcBorders>
              <w:top w:val="nil"/>
              <w:left w:val="nil"/>
              <w:bottom w:val="single" w:sz="4" w:space="0" w:color="auto"/>
              <w:right w:val="single" w:sz="4" w:space="0" w:color="auto"/>
            </w:tcBorders>
            <w:shd w:val="clear" w:color="auto" w:fill="auto"/>
            <w:noWrap/>
            <w:vAlign w:val="center"/>
            <w:hideMark/>
          </w:tcPr>
          <w:p w14:paraId="72FF855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25,3</w:t>
            </w:r>
          </w:p>
        </w:tc>
        <w:tc>
          <w:tcPr>
            <w:tcW w:w="628" w:type="dxa"/>
            <w:tcBorders>
              <w:top w:val="nil"/>
              <w:left w:val="nil"/>
              <w:bottom w:val="single" w:sz="4" w:space="0" w:color="auto"/>
              <w:right w:val="single" w:sz="4" w:space="0" w:color="auto"/>
            </w:tcBorders>
            <w:shd w:val="clear" w:color="auto" w:fill="auto"/>
            <w:noWrap/>
            <w:vAlign w:val="center"/>
            <w:hideMark/>
          </w:tcPr>
          <w:p w14:paraId="4FAAEC1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26,1</w:t>
            </w:r>
          </w:p>
        </w:tc>
        <w:tc>
          <w:tcPr>
            <w:tcW w:w="628" w:type="dxa"/>
            <w:tcBorders>
              <w:top w:val="nil"/>
              <w:left w:val="nil"/>
              <w:bottom w:val="single" w:sz="4" w:space="0" w:color="auto"/>
              <w:right w:val="single" w:sz="4" w:space="0" w:color="auto"/>
            </w:tcBorders>
            <w:shd w:val="clear" w:color="auto" w:fill="auto"/>
            <w:noWrap/>
            <w:vAlign w:val="center"/>
            <w:hideMark/>
          </w:tcPr>
          <w:p w14:paraId="6B2F08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24,9</w:t>
            </w:r>
          </w:p>
        </w:tc>
        <w:tc>
          <w:tcPr>
            <w:tcW w:w="628" w:type="dxa"/>
            <w:tcBorders>
              <w:top w:val="nil"/>
              <w:left w:val="nil"/>
              <w:bottom w:val="single" w:sz="4" w:space="0" w:color="auto"/>
              <w:right w:val="single" w:sz="4" w:space="0" w:color="auto"/>
            </w:tcBorders>
            <w:shd w:val="clear" w:color="auto" w:fill="auto"/>
            <w:noWrap/>
            <w:vAlign w:val="center"/>
            <w:hideMark/>
          </w:tcPr>
          <w:p w14:paraId="065631E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24,7</w:t>
            </w:r>
          </w:p>
        </w:tc>
        <w:tc>
          <w:tcPr>
            <w:tcW w:w="628" w:type="dxa"/>
            <w:tcBorders>
              <w:top w:val="nil"/>
              <w:left w:val="nil"/>
              <w:bottom w:val="single" w:sz="4" w:space="0" w:color="auto"/>
              <w:right w:val="single" w:sz="4" w:space="0" w:color="auto"/>
            </w:tcBorders>
            <w:shd w:val="clear" w:color="auto" w:fill="auto"/>
            <w:noWrap/>
            <w:vAlign w:val="center"/>
            <w:hideMark/>
          </w:tcPr>
          <w:p w14:paraId="33C417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25,4</w:t>
            </w:r>
          </w:p>
        </w:tc>
        <w:tc>
          <w:tcPr>
            <w:tcW w:w="628" w:type="dxa"/>
            <w:tcBorders>
              <w:top w:val="nil"/>
              <w:left w:val="nil"/>
              <w:bottom w:val="single" w:sz="4" w:space="0" w:color="auto"/>
              <w:right w:val="single" w:sz="4" w:space="0" w:color="auto"/>
            </w:tcBorders>
            <w:shd w:val="clear" w:color="auto" w:fill="auto"/>
            <w:noWrap/>
            <w:vAlign w:val="center"/>
            <w:hideMark/>
          </w:tcPr>
          <w:p w14:paraId="04D39F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25,1</w:t>
            </w:r>
          </w:p>
        </w:tc>
      </w:tr>
      <w:tr w:rsidR="00B56301" w:rsidRPr="007253FC" w14:paraId="0830AD4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D7AF51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Papier, carton</w:t>
            </w:r>
          </w:p>
        </w:tc>
        <w:tc>
          <w:tcPr>
            <w:tcW w:w="628" w:type="dxa"/>
            <w:tcBorders>
              <w:top w:val="nil"/>
              <w:left w:val="nil"/>
              <w:bottom w:val="single" w:sz="4" w:space="0" w:color="auto"/>
              <w:right w:val="single" w:sz="4" w:space="0" w:color="auto"/>
            </w:tcBorders>
            <w:shd w:val="clear" w:color="auto" w:fill="auto"/>
            <w:noWrap/>
            <w:vAlign w:val="center"/>
            <w:hideMark/>
          </w:tcPr>
          <w:p w14:paraId="7118E53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w:t>
            </w:r>
          </w:p>
        </w:tc>
        <w:tc>
          <w:tcPr>
            <w:tcW w:w="628" w:type="dxa"/>
            <w:tcBorders>
              <w:top w:val="nil"/>
              <w:left w:val="nil"/>
              <w:bottom w:val="single" w:sz="4" w:space="0" w:color="auto"/>
              <w:right w:val="single" w:sz="4" w:space="0" w:color="auto"/>
            </w:tcBorders>
            <w:shd w:val="clear" w:color="auto" w:fill="auto"/>
            <w:noWrap/>
            <w:vAlign w:val="center"/>
            <w:hideMark/>
          </w:tcPr>
          <w:p w14:paraId="631D7C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7D3AD2D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54B73DE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14CE789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4FF5497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center"/>
            <w:hideMark/>
          </w:tcPr>
          <w:p w14:paraId="101049C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4,3</w:t>
            </w:r>
          </w:p>
        </w:tc>
        <w:tc>
          <w:tcPr>
            <w:tcW w:w="628" w:type="dxa"/>
            <w:tcBorders>
              <w:top w:val="nil"/>
              <w:left w:val="nil"/>
              <w:bottom w:val="single" w:sz="4" w:space="0" w:color="auto"/>
              <w:right w:val="single" w:sz="4" w:space="0" w:color="auto"/>
            </w:tcBorders>
            <w:shd w:val="clear" w:color="auto" w:fill="auto"/>
            <w:noWrap/>
            <w:vAlign w:val="center"/>
            <w:hideMark/>
          </w:tcPr>
          <w:p w14:paraId="5BEC02B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r>
      <w:tr w:rsidR="00B56301" w:rsidRPr="007253FC" w14:paraId="607D07A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E752AC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industries manufacturières</w:t>
            </w:r>
          </w:p>
        </w:tc>
        <w:tc>
          <w:tcPr>
            <w:tcW w:w="628" w:type="dxa"/>
            <w:tcBorders>
              <w:top w:val="nil"/>
              <w:left w:val="nil"/>
              <w:bottom w:val="single" w:sz="4" w:space="0" w:color="auto"/>
              <w:right w:val="single" w:sz="4" w:space="0" w:color="auto"/>
            </w:tcBorders>
            <w:shd w:val="clear" w:color="auto" w:fill="auto"/>
            <w:noWrap/>
            <w:vAlign w:val="center"/>
            <w:hideMark/>
          </w:tcPr>
          <w:p w14:paraId="7FF6086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5,3</w:t>
            </w:r>
          </w:p>
        </w:tc>
        <w:tc>
          <w:tcPr>
            <w:tcW w:w="628" w:type="dxa"/>
            <w:tcBorders>
              <w:top w:val="nil"/>
              <w:left w:val="nil"/>
              <w:bottom w:val="single" w:sz="4" w:space="0" w:color="auto"/>
              <w:right w:val="single" w:sz="4" w:space="0" w:color="auto"/>
            </w:tcBorders>
            <w:shd w:val="clear" w:color="auto" w:fill="auto"/>
            <w:noWrap/>
            <w:vAlign w:val="center"/>
            <w:hideMark/>
          </w:tcPr>
          <w:p w14:paraId="1CAD2C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3A926AC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1E17E49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15A905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103613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059090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15F12DF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r>
      <w:tr w:rsidR="00B56301" w:rsidRPr="007253FC" w14:paraId="2A151D2F"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379BE1AB"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Traitement centralisé des déchets</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722D3FF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17,7</w:t>
            </w:r>
          </w:p>
        </w:tc>
        <w:tc>
          <w:tcPr>
            <w:tcW w:w="628" w:type="dxa"/>
            <w:tcBorders>
              <w:top w:val="nil"/>
              <w:left w:val="nil"/>
              <w:bottom w:val="single" w:sz="4" w:space="0" w:color="auto"/>
              <w:right w:val="single" w:sz="4" w:space="0" w:color="auto"/>
            </w:tcBorders>
            <w:shd w:val="clear" w:color="000000" w:fill="B3A2C7"/>
            <w:noWrap/>
            <w:vAlign w:val="bottom"/>
            <w:hideMark/>
          </w:tcPr>
          <w:p w14:paraId="4CFB3D8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17,9</w:t>
            </w:r>
          </w:p>
        </w:tc>
        <w:tc>
          <w:tcPr>
            <w:tcW w:w="628" w:type="dxa"/>
            <w:tcBorders>
              <w:top w:val="nil"/>
              <w:left w:val="nil"/>
              <w:bottom w:val="single" w:sz="4" w:space="0" w:color="auto"/>
              <w:right w:val="single" w:sz="4" w:space="0" w:color="auto"/>
            </w:tcBorders>
            <w:shd w:val="clear" w:color="000000" w:fill="B3A2C7"/>
            <w:noWrap/>
            <w:vAlign w:val="bottom"/>
            <w:hideMark/>
          </w:tcPr>
          <w:p w14:paraId="5D73F50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18,3</w:t>
            </w:r>
          </w:p>
        </w:tc>
        <w:tc>
          <w:tcPr>
            <w:tcW w:w="628" w:type="dxa"/>
            <w:tcBorders>
              <w:top w:val="nil"/>
              <w:left w:val="nil"/>
              <w:bottom w:val="single" w:sz="4" w:space="0" w:color="auto"/>
              <w:right w:val="single" w:sz="4" w:space="0" w:color="auto"/>
            </w:tcBorders>
            <w:shd w:val="clear" w:color="000000" w:fill="B3A2C7"/>
            <w:noWrap/>
            <w:vAlign w:val="bottom"/>
            <w:hideMark/>
          </w:tcPr>
          <w:p w14:paraId="448CD67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18,4</w:t>
            </w:r>
          </w:p>
        </w:tc>
        <w:tc>
          <w:tcPr>
            <w:tcW w:w="628" w:type="dxa"/>
            <w:tcBorders>
              <w:top w:val="nil"/>
              <w:left w:val="nil"/>
              <w:bottom w:val="single" w:sz="4" w:space="0" w:color="auto"/>
              <w:right w:val="single" w:sz="4" w:space="0" w:color="auto"/>
            </w:tcBorders>
            <w:shd w:val="clear" w:color="000000" w:fill="B3A2C7"/>
            <w:noWrap/>
            <w:vAlign w:val="bottom"/>
            <w:hideMark/>
          </w:tcPr>
          <w:p w14:paraId="6A0CEF9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18,6</w:t>
            </w:r>
          </w:p>
        </w:tc>
        <w:tc>
          <w:tcPr>
            <w:tcW w:w="628" w:type="dxa"/>
            <w:tcBorders>
              <w:top w:val="nil"/>
              <w:left w:val="nil"/>
              <w:bottom w:val="single" w:sz="4" w:space="0" w:color="auto"/>
              <w:right w:val="single" w:sz="4" w:space="0" w:color="auto"/>
            </w:tcBorders>
            <w:shd w:val="clear" w:color="000000" w:fill="B3A2C7"/>
            <w:noWrap/>
            <w:vAlign w:val="bottom"/>
            <w:hideMark/>
          </w:tcPr>
          <w:p w14:paraId="0D507BE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18,8</w:t>
            </w:r>
          </w:p>
        </w:tc>
        <w:tc>
          <w:tcPr>
            <w:tcW w:w="628" w:type="dxa"/>
            <w:tcBorders>
              <w:top w:val="nil"/>
              <w:left w:val="nil"/>
              <w:bottom w:val="single" w:sz="4" w:space="0" w:color="auto"/>
              <w:right w:val="single" w:sz="4" w:space="0" w:color="auto"/>
            </w:tcBorders>
            <w:shd w:val="clear" w:color="000000" w:fill="B3A2C7"/>
            <w:noWrap/>
            <w:vAlign w:val="bottom"/>
            <w:hideMark/>
          </w:tcPr>
          <w:p w14:paraId="63AF078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18,7</w:t>
            </w:r>
          </w:p>
        </w:tc>
        <w:tc>
          <w:tcPr>
            <w:tcW w:w="628" w:type="dxa"/>
            <w:tcBorders>
              <w:top w:val="nil"/>
              <w:left w:val="nil"/>
              <w:bottom w:val="single" w:sz="4" w:space="0" w:color="auto"/>
              <w:right w:val="single" w:sz="4" w:space="0" w:color="auto"/>
            </w:tcBorders>
            <w:shd w:val="clear" w:color="000000" w:fill="B3A2C7"/>
            <w:noWrap/>
            <w:vAlign w:val="bottom"/>
            <w:hideMark/>
          </w:tcPr>
          <w:p w14:paraId="4CC12E2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18,7</w:t>
            </w:r>
          </w:p>
        </w:tc>
      </w:tr>
      <w:tr w:rsidR="00B56301" w:rsidRPr="007253FC" w14:paraId="6FEA8A8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070D6DB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Stockage des déchets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35DC1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12485D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15,8</w:t>
            </w:r>
          </w:p>
        </w:tc>
        <w:tc>
          <w:tcPr>
            <w:tcW w:w="628" w:type="dxa"/>
            <w:tcBorders>
              <w:top w:val="nil"/>
              <w:left w:val="nil"/>
              <w:bottom w:val="single" w:sz="4" w:space="0" w:color="auto"/>
              <w:right w:val="single" w:sz="4" w:space="0" w:color="auto"/>
            </w:tcBorders>
            <w:shd w:val="clear" w:color="auto" w:fill="auto"/>
            <w:noWrap/>
            <w:vAlign w:val="bottom"/>
            <w:hideMark/>
          </w:tcPr>
          <w:p w14:paraId="7D4840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16,0</w:t>
            </w:r>
          </w:p>
        </w:tc>
        <w:tc>
          <w:tcPr>
            <w:tcW w:w="628" w:type="dxa"/>
            <w:tcBorders>
              <w:top w:val="nil"/>
              <w:left w:val="nil"/>
              <w:bottom w:val="single" w:sz="4" w:space="0" w:color="auto"/>
              <w:right w:val="single" w:sz="4" w:space="0" w:color="auto"/>
            </w:tcBorders>
            <w:shd w:val="clear" w:color="auto" w:fill="auto"/>
            <w:noWrap/>
            <w:vAlign w:val="bottom"/>
            <w:hideMark/>
          </w:tcPr>
          <w:p w14:paraId="57E1AA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16,2</w:t>
            </w:r>
          </w:p>
        </w:tc>
        <w:tc>
          <w:tcPr>
            <w:tcW w:w="628" w:type="dxa"/>
            <w:tcBorders>
              <w:top w:val="nil"/>
              <w:left w:val="nil"/>
              <w:bottom w:val="single" w:sz="4" w:space="0" w:color="auto"/>
              <w:right w:val="single" w:sz="4" w:space="0" w:color="auto"/>
            </w:tcBorders>
            <w:shd w:val="clear" w:color="auto" w:fill="auto"/>
            <w:noWrap/>
            <w:vAlign w:val="bottom"/>
            <w:hideMark/>
          </w:tcPr>
          <w:p w14:paraId="075BC5E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16,4</w:t>
            </w:r>
          </w:p>
        </w:tc>
        <w:tc>
          <w:tcPr>
            <w:tcW w:w="628" w:type="dxa"/>
            <w:tcBorders>
              <w:top w:val="nil"/>
              <w:left w:val="nil"/>
              <w:bottom w:val="single" w:sz="4" w:space="0" w:color="auto"/>
              <w:right w:val="single" w:sz="4" w:space="0" w:color="auto"/>
            </w:tcBorders>
            <w:shd w:val="clear" w:color="auto" w:fill="auto"/>
            <w:noWrap/>
            <w:vAlign w:val="bottom"/>
            <w:hideMark/>
          </w:tcPr>
          <w:p w14:paraId="66C4A3A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16,6</w:t>
            </w:r>
          </w:p>
        </w:tc>
        <w:tc>
          <w:tcPr>
            <w:tcW w:w="628" w:type="dxa"/>
            <w:tcBorders>
              <w:top w:val="nil"/>
              <w:left w:val="nil"/>
              <w:bottom w:val="single" w:sz="4" w:space="0" w:color="auto"/>
              <w:right w:val="single" w:sz="4" w:space="0" w:color="auto"/>
            </w:tcBorders>
            <w:shd w:val="clear" w:color="auto" w:fill="auto"/>
            <w:noWrap/>
            <w:vAlign w:val="bottom"/>
            <w:hideMark/>
          </w:tcPr>
          <w:p w14:paraId="20C660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16,6</w:t>
            </w:r>
          </w:p>
        </w:tc>
        <w:tc>
          <w:tcPr>
            <w:tcW w:w="628" w:type="dxa"/>
            <w:tcBorders>
              <w:top w:val="nil"/>
              <w:left w:val="nil"/>
              <w:bottom w:val="single" w:sz="4" w:space="0" w:color="auto"/>
              <w:right w:val="single" w:sz="4" w:space="0" w:color="auto"/>
            </w:tcBorders>
            <w:shd w:val="clear" w:color="auto" w:fill="auto"/>
            <w:noWrap/>
            <w:vAlign w:val="bottom"/>
            <w:hideMark/>
          </w:tcPr>
          <w:p w14:paraId="757DA33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16,4</w:t>
            </w:r>
          </w:p>
        </w:tc>
      </w:tr>
      <w:tr w:rsidR="00B56301" w:rsidRPr="007253FC" w14:paraId="155DBB2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3D072D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Incinération sans récupération d'énergie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ED3A02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7B44C3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ADCB5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402A8E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B9AE0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3F9DB32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1FEF1D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342665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r>
      <w:tr w:rsidR="00B56301" w:rsidRPr="007253FC" w14:paraId="6A957D20"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7E197F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traitements des déchets solides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48ECB0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651064A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40F3081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68AC3A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481DC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4E88E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8B944E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69419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r>
      <w:tr w:rsidR="00B56301" w:rsidRPr="007253FC" w14:paraId="5EB050E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3EE28E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Traitement des eaux usées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2A46F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94CC6B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170138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3A8F81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442FF2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094318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E0E67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9B48DC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r>
      <w:tr w:rsidR="00B56301" w:rsidRPr="007253FC" w14:paraId="35E5829D"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2D1BA10E"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Usage des bâtiments et activités résidentiels/tertiaires</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17FE5D5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98,3</w:t>
            </w:r>
          </w:p>
        </w:tc>
        <w:tc>
          <w:tcPr>
            <w:tcW w:w="628" w:type="dxa"/>
            <w:tcBorders>
              <w:top w:val="nil"/>
              <w:left w:val="nil"/>
              <w:bottom w:val="single" w:sz="4" w:space="0" w:color="auto"/>
              <w:right w:val="single" w:sz="4" w:space="0" w:color="auto"/>
            </w:tcBorders>
            <w:shd w:val="clear" w:color="000000" w:fill="E0E5B3"/>
            <w:noWrap/>
            <w:vAlign w:val="bottom"/>
            <w:hideMark/>
          </w:tcPr>
          <w:p w14:paraId="144FC8D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100,0</w:t>
            </w:r>
          </w:p>
        </w:tc>
        <w:tc>
          <w:tcPr>
            <w:tcW w:w="628" w:type="dxa"/>
            <w:tcBorders>
              <w:top w:val="nil"/>
              <w:left w:val="nil"/>
              <w:bottom w:val="single" w:sz="4" w:space="0" w:color="auto"/>
              <w:right w:val="single" w:sz="4" w:space="0" w:color="auto"/>
            </w:tcBorders>
            <w:shd w:val="clear" w:color="000000" w:fill="E0E5B3"/>
            <w:noWrap/>
            <w:vAlign w:val="bottom"/>
            <w:hideMark/>
          </w:tcPr>
          <w:p w14:paraId="53D8D21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96,4</w:t>
            </w:r>
          </w:p>
        </w:tc>
        <w:tc>
          <w:tcPr>
            <w:tcW w:w="628" w:type="dxa"/>
            <w:tcBorders>
              <w:top w:val="nil"/>
              <w:left w:val="nil"/>
              <w:bottom w:val="single" w:sz="4" w:space="0" w:color="auto"/>
              <w:right w:val="single" w:sz="4" w:space="0" w:color="auto"/>
            </w:tcBorders>
            <w:shd w:val="clear" w:color="000000" w:fill="E0E5B3"/>
            <w:noWrap/>
            <w:vAlign w:val="bottom"/>
            <w:hideMark/>
          </w:tcPr>
          <w:p w14:paraId="3FFFE0F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101,9</w:t>
            </w:r>
          </w:p>
        </w:tc>
        <w:tc>
          <w:tcPr>
            <w:tcW w:w="628" w:type="dxa"/>
            <w:tcBorders>
              <w:top w:val="nil"/>
              <w:left w:val="nil"/>
              <w:bottom w:val="single" w:sz="4" w:space="0" w:color="auto"/>
              <w:right w:val="single" w:sz="4" w:space="0" w:color="auto"/>
            </w:tcBorders>
            <w:shd w:val="clear" w:color="000000" w:fill="E0E5B3"/>
            <w:noWrap/>
            <w:vAlign w:val="bottom"/>
            <w:hideMark/>
          </w:tcPr>
          <w:p w14:paraId="566566A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97,6</w:t>
            </w:r>
          </w:p>
        </w:tc>
        <w:tc>
          <w:tcPr>
            <w:tcW w:w="628" w:type="dxa"/>
            <w:tcBorders>
              <w:top w:val="nil"/>
              <w:left w:val="nil"/>
              <w:bottom w:val="single" w:sz="4" w:space="0" w:color="auto"/>
              <w:right w:val="single" w:sz="4" w:space="0" w:color="auto"/>
            </w:tcBorders>
            <w:shd w:val="clear" w:color="000000" w:fill="E0E5B3"/>
            <w:noWrap/>
            <w:vAlign w:val="bottom"/>
            <w:hideMark/>
          </w:tcPr>
          <w:p w14:paraId="0B20CE9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103,0</w:t>
            </w:r>
          </w:p>
        </w:tc>
        <w:tc>
          <w:tcPr>
            <w:tcW w:w="628" w:type="dxa"/>
            <w:tcBorders>
              <w:top w:val="nil"/>
              <w:left w:val="nil"/>
              <w:bottom w:val="single" w:sz="4" w:space="0" w:color="auto"/>
              <w:right w:val="single" w:sz="4" w:space="0" w:color="auto"/>
            </w:tcBorders>
            <w:shd w:val="clear" w:color="000000" w:fill="E0E5B3"/>
            <w:noWrap/>
            <w:vAlign w:val="bottom"/>
            <w:hideMark/>
          </w:tcPr>
          <w:p w14:paraId="04A3601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107,7</w:t>
            </w:r>
          </w:p>
        </w:tc>
        <w:tc>
          <w:tcPr>
            <w:tcW w:w="628" w:type="dxa"/>
            <w:tcBorders>
              <w:top w:val="nil"/>
              <w:left w:val="nil"/>
              <w:bottom w:val="single" w:sz="4" w:space="0" w:color="auto"/>
              <w:right w:val="single" w:sz="4" w:space="0" w:color="auto"/>
            </w:tcBorders>
            <w:shd w:val="clear" w:color="000000" w:fill="E0E5B3"/>
            <w:noWrap/>
            <w:vAlign w:val="bottom"/>
            <w:hideMark/>
          </w:tcPr>
          <w:p w14:paraId="0AA9F9E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106,5</w:t>
            </w:r>
          </w:p>
        </w:tc>
      </w:tr>
      <w:tr w:rsidR="00B56301" w:rsidRPr="007253FC" w14:paraId="469BE8B1"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40D09D7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résidentiels et activités domestiques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E36F0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67,3</w:t>
            </w:r>
          </w:p>
        </w:tc>
        <w:tc>
          <w:tcPr>
            <w:tcW w:w="628" w:type="dxa"/>
            <w:tcBorders>
              <w:top w:val="nil"/>
              <w:left w:val="nil"/>
              <w:bottom w:val="single" w:sz="4" w:space="0" w:color="auto"/>
              <w:right w:val="single" w:sz="4" w:space="0" w:color="auto"/>
            </w:tcBorders>
            <w:shd w:val="clear" w:color="auto" w:fill="auto"/>
            <w:noWrap/>
            <w:vAlign w:val="bottom"/>
            <w:hideMark/>
          </w:tcPr>
          <w:p w14:paraId="3CB600E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68,0</w:t>
            </w:r>
          </w:p>
        </w:tc>
        <w:tc>
          <w:tcPr>
            <w:tcW w:w="628" w:type="dxa"/>
            <w:tcBorders>
              <w:top w:val="nil"/>
              <w:left w:val="nil"/>
              <w:bottom w:val="single" w:sz="4" w:space="0" w:color="auto"/>
              <w:right w:val="single" w:sz="4" w:space="0" w:color="auto"/>
            </w:tcBorders>
            <w:shd w:val="clear" w:color="auto" w:fill="auto"/>
            <w:noWrap/>
            <w:vAlign w:val="bottom"/>
            <w:hideMark/>
          </w:tcPr>
          <w:p w14:paraId="2D4E391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66,0</w:t>
            </w:r>
          </w:p>
        </w:tc>
        <w:tc>
          <w:tcPr>
            <w:tcW w:w="628" w:type="dxa"/>
            <w:tcBorders>
              <w:top w:val="nil"/>
              <w:left w:val="nil"/>
              <w:bottom w:val="single" w:sz="4" w:space="0" w:color="auto"/>
              <w:right w:val="single" w:sz="4" w:space="0" w:color="auto"/>
            </w:tcBorders>
            <w:shd w:val="clear" w:color="auto" w:fill="auto"/>
            <w:noWrap/>
            <w:vAlign w:val="bottom"/>
            <w:hideMark/>
          </w:tcPr>
          <w:p w14:paraId="2CF051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69,7</w:t>
            </w:r>
          </w:p>
        </w:tc>
        <w:tc>
          <w:tcPr>
            <w:tcW w:w="628" w:type="dxa"/>
            <w:tcBorders>
              <w:top w:val="nil"/>
              <w:left w:val="nil"/>
              <w:bottom w:val="single" w:sz="4" w:space="0" w:color="auto"/>
              <w:right w:val="single" w:sz="4" w:space="0" w:color="auto"/>
            </w:tcBorders>
            <w:shd w:val="clear" w:color="auto" w:fill="auto"/>
            <w:noWrap/>
            <w:vAlign w:val="bottom"/>
            <w:hideMark/>
          </w:tcPr>
          <w:p w14:paraId="1A72FC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66,9</w:t>
            </w:r>
          </w:p>
        </w:tc>
        <w:tc>
          <w:tcPr>
            <w:tcW w:w="628" w:type="dxa"/>
            <w:tcBorders>
              <w:top w:val="nil"/>
              <w:left w:val="nil"/>
              <w:bottom w:val="single" w:sz="4" w:space="0" w:color="auto"/>
              <w:right w:val="single" w:sz="4" w:space="0" w:color="auto"/>
            </w:tcBorders>
            <w:shd w:val="clear" w:color="auto" w:fill="auto"/>
            <w:noWrap/>
            <w:vAlign w:val="bottom"/>
            <w:hideMark/>
          </w:tcPr>
          <w:p w14:paraId="483E6D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68,2</w:t>
            </w:r>
          </w:p>
        </w:tc>
        <w:tc>
          <w:tcPr>
            <w:tcW w:w="628" w:type="dxa"/>
            <w:tcBorders>
              <w:top w:val="nil"/>
              <w:left w:val="nil"/>
              <w:bottom w:val="single" w:sz="4" w:space="0" w:color="auto"/>
              <w:right w:val="single" w:sz="4" w:space="0" w:color="auto"/>
            </w:tcBorders>
            <w:shd w:val="clear" w:color="auto" w:fill="auto"/>
            <w:noWrap/>
            <w:vAlign w:val="bottom"/>
            <w:hideMark/>
          </w:tcPr>
          <w:p w14:paraId="1DFCA61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72,0</w:t>
            </w:r>
          </w:p>
        </w:tc>
        <w:tc>
          <w:tcPr>
            <w:tcW w:w="628" w:type="dxa"/>
            <w:tcBorders>
              <w:top w:val="nil"/>
              <w:left w:val="nil"/>
              <w:bottom w:val="single" w:sz="4" w:space="0" w:color="auto"/>
              <w:right w:val="single" w:sz="4" w:space="0" w:color="auto"/>
            </w:tcBorders>
            <w:shd w:val="clear" w:color="auto" w:fill="auto"/>
            <w:noWrap/>
            <w:vAlign w:val="bottom"/>
            <w:hideMark/>
          </w:tcPr>
          <w:p w14:paraId="007C963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71,1</w:t>
            </w:r>
          </w:p>
        </w:tc>
      </w:tr>
      <w:tr w:rsidR="00B56301" w:rsidRPr="007253FC" w14:paraId="7ACAB42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63A9BE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tertiaires et activités tertiaires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17CBF4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31,0</w:t>
            </w:r>
          </w:p>
        </w:tc>
        <w:tc>
          <w:tcPr>
            <w:tcW w:w="628" w:type="dxa"/>
            <w:tcBorders>
              <w:top w:val="nil"/>
              <w:left w:val="nil"/>
              <w:bottom w:val="single" w:sz="4" w:space="0" w:color="auto"/>
              <w:right w:val="single" w:sz="4" w:space="0" w:color="auto"/>
            </w:tcBorders>
            <w:shd w:val="clear" w:color="auto" w:fill="auto"/>
            <w:noWrap/>
            <w:vAlign w:val="bottom"/>
            <w:hideMark/>
          </w:tcPr>
          <w:p w14:paraId="59C3852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32,0</w:t>
            </w:r>
          </w:p>
        </w:tc>
        <w:tc>
          <w:tcPr>
            <w:tcW w:w="628" w:type="dxa"/>
            <w:tcBorders>
              <w:top w:val="nil"/>
              <w:left w:val="nil"/>
              <w:bottom w:val="single" w:sz="4" w:space="0" w:color="auto"/>
              <w:right w:val="single" w:sz="4" w:space="0" w:color="auto"/>
            </w:tcBorders>
            <w:shd w:val="clear" w:color="auto" w:fill="auto"/>
            <w:noWrap/>
            <w:vAlign w:val="bottom"/>
            <w:hideMark/>
          </w:tcPr>
          <w:p w14:paraId="3CD8DC9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30,4</w:t>
            </w:r>
          </w:p>
        </w:tc>
        <w:tc>
          <w:tcPr>
            <w:tcW w:w="628" w:type="dxa"/>
            <w:tcBorders>
              <w:top w:val="nil"/>
              <w:left w:val="nil"/>
              <w:bottom w:val="single" w:sz="4" w:space="0" w:color="auto"/>
              <w:right w:val="single" w:sz="4" w:space="0" w:color="auto"/>
            </w:tcBorders>
            <w:shd w:val="clear" w:color="auto" w:fill="auto"/>
            <w:noWrap/>
            <w:vAlign w:val="bottom"/>
            <w:hideMark/>
          </w:tcPr>
          <w:p w14:paraId="6693BD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32,2</w:t>
            </w:r>
          </w:p>
        </w:tc>
        <w:tc>
          <w:tcPr>
            <w:tcW w:w="628" w:type="dxa"/>
            <w:tcBorders>
              <w:top w:val="nil"/>
              <w:left w:val="nil"/>
              <w:bottom w:val="single" w:sz="4" w:space="0" w:color="auto"/>
              <w:right w:val="single" w:sz="4" w:space="0" w:color="auto"/>
            </w:tcBorders>
            <w:shd w:val="clear" w:color="auto" w:fill="auto"/>
            <w:noWrap/>
            <w:vAlign w:val="bottom"/>
            <w:hideMark/>
          </w:tcPr>
          <w:p w14:paraId="4CE695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30,7</w:t>
            </w:r>
          </w:p>
        </w:tc>
        <w:tc>
          <w:tcPr>
            <w:tcW w:w="628" w:type="dxa"/>
            <w:tcBorders>
              <w:top w:val="nil"/>
              <w:left w:val="nil"/>
              <w:bottom w:val="single" w:sz="4" w:space="0" w:color="auto"/>
              <w:right w:val="single" w:sz="4" w:space="0" w:color="auto"/>
            </w:tcBorders>
            <w:shd w:val="clear" w:color="auto" w:fill="auto"/>
            <w:noWrap/>
            <w:vAlign w:val="bottom"/>
            <w:hideMark/>
          </w:tcPr>
          <w:p w14:paraId="4512A7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34,8</w:t>
            </w:r>
          </w:p>
        </w:tc>
        <w:tc>
          <w:tcPr>
            <w:tcW w:w="628" w:type="dxa"/>
            <w:tcBorders>
              <w:top w:val="nil"/>
              <w:left w:val="nil"/>
              <w:bottom w:val="single" w:sz="4" w:space="0" w:color="auto"/>
              <w:right w:val="single" w:sz="4" w:space="0" w:color="auto"/>
            </w:tcBorders>
            <w:shd w:val="clear" w:color="auto" w:fill="auto"/>
            <w:noWrap/>
            <w:vAlign w:val="bottom"/>
            <w:hideMark/>
          </w:tcPr>
          <w:p w14:paraId="77AFA8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35,7</w:t>
            </w:r>
          </w:p>
        </w:tc>
        <w:tc>
          <w:tcPr>
            <w:tcW w:w="628" w:type="dxa"/>
            <w:tcBorders>
              <w:top w:val="nil"/>
              <w:left w:val="nil"/>
              <w:bottom w:val="single" w:sz="4" w:space="0" w:color="auto"/>
              <w:right w:val="single" w:sz="4" w:space="0" w:color="auto"/>
            </w:tcBorders>
            <w:shd w:val="clear" w:color="auto" w:fill="auto"/>
            <w:noWrap/>
            <w:vAlign w:val="bottom"/>
            <w:hideMark/>
          </w:tcPr>
          <w:p w14:paraId="28EF2E2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35,4</w:t>
            </w:r>
          </w:p>
        </w:tc>
      </w:tr>
      <w:tr w:rsidR="00B56301" w:rsidRPr="007253FC" w14:paraId="443E63CD"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4D6D6301"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787BF18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90,5</w:t>
            </w:r>
          </w:p>
        </w:tc>
        <w:tc>
          <w:tcPr>
            <w:tcW w:w="628" w:type="dxa"/>
            <w:tcBorders>
              <w:top w:val="nil"/>
              <w:left w:val="nil"/>
              <w:bottom w:val="single" w:sz="4" w:space="0" w:color="auto"/>
              <w:right w:val="single" w:sz="4" w:space="0" w:color="auto"/>
            </w:tcBorders>
            <w:shd w:val="clear" w:color="000000" w:fill="92D050"/>
            <w:noWrap/>
            <w:vAlign w:val="bottom"/>
            <w:hideMark/>
          </w:tcPr>
          <w:p w14:paraId="45ECE16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91,0</w:t>
            </w:r>
          </w:p>
        </w:tc>
        <w:tc>
          <w:tcPr>
            <w:tcW w:w="628" w:type="dxa"/>
            <w:tcBorders>
              <w:top w:val="nil"/>
              <w:left w:val="nil"/>
              <w:bottom w:val="single" w:sz="4" w:space="0" w:color="auto"/>
              <w:right w:val="single" w:sz="4" w:space="0" w:color="auto"/>
            </w:tcBorders>
            <w:shd w:val="clear" w:color="000000" w:fill="92D050"/>
            <w:noWrap/>
            <w:vAlign w:val="bottom"/>
            <w:hideMark/>
          </w:tcPr>
          <w:p w14:paraId="2B8F992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93,0</w:t>
            </w:r>
          </w:p>
        </w:tc>
        <w:tc>
          <w:tcPr>
            <w:tcW w:w="628" w:type="dxa"/>
            <w:tcBorders>
              <w:top w:val="nil"/>
              <w:left w:val="nil"/>
              <w:bottom w:val="single" w:sz="4" w:space="0" w:color="auto"/>
              <w:right w:val="single" w:sz="4" w:space="0" w:color="auto"/>
            </w:tcBorders>
            <w:shd w:val="clear" w:color="000000" w:fill="92D050"/>
            <w:noWrap/>
            <w:vAlign w:val="bottom"/>
            <w:hideMark/>
          </w:tcPr>
          <w:p w14:paraId="3EF39FF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92,6</w:t>
            </w:r>
          </w:p>
        </w:tc>
        <w:tc>
          <w:tcPr>
            <w:tcW w:w="628" w:type="dxa"/>
            <w:tcBorders>
              <w:top w:val="nil"/>
              <w:left w:val="nil"/>
              <w:bottom w:val="single" w:sz="4" w:space="0" w:color="auto"/>
              <w:right w:val="single" w:sz="4" w:space="0" w:color="auto"/>
            </w:tcBorders>
            <w:shd w:val="clear" w:color="000000" w:fill="92D050"/>
            <w:noWrap/>
            <w:vAlign w:val="bottom"/>
            <w:hideMark/>
          </w:tcPr>
          <w:p w14:paraId="234BEFE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90,9</w:t>
            </w:r>
          </w:p>
        </w:tc>
        <w:tc>
          <w:tcPr>
            <w:tcW w:w="628" w:type="dxa"/>
            <w:tcBorders>
              <w:top w:val="nil"/>
              <w:left w:val="nil"/>
              <w:bottom w:val="single" w:sz="4" w:space="0" w:color="auto"/>
              <w:right w:val="single" w:sz="4" w:space="0" w:color="auto"/>
            </w:tcBorders>
            <w:shd w:val="clear" w:color="000000" w:fill="92D050"/>
            <w:noWrap/>
            <w:vAlign w:val="bottom"/>
            <w:hideMark/>
          </w:tcPr>
          <w:p w14:paraId="333EC3A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88,1</w:t>
            </w:r>
          </w:p>
        </w:tc>
        <w:tc>
          <w:tcPr>
            <w:tcW w:w="628" w:type="dxa"/>
            <w:tcBorders>
              <w:top w:val="nil"/>
              <w:left w:val="nil"/>
              <w:bottom w:val="single" w:sz="4" w:space="0" w:color="auto"/>
              <w:right w:val="single" w:sz="4" w:space="0" w:color="auto"/>
            </w:tcBorders>
            <w:shd w:val="clear" w:color="000000" w:fill="92D050"/>
            <w:noWrap/>
            <w:vAlign w:val="bottom"/>
            <w:hideMark/>
          </w:tcPr>
          <w:p w14:paraId="09E50F5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89,1</w:t>
            </w:r>
          </w:p>
        </w:tc>
        <w:tc>
          <w:tcPr>
            <w:tcW w:w="628" w:type="dxa"/>
            <w:tcBorders>
              <w:top w:val="nil"/>
              <w:left w:val="nil"/>
              <w:bottom w:val="single" w:sz="4" w:space="0" w:color="auto"/>
              <w:right w:val="single" w:sz="4" w:space="0" w:color="auto"/>
            </w:tcBorders>
            <w:shd w:val="clear" w:color="000000" w:fill="92D050"/>
            <w:noWrap/>
            <w:vAlign w:val="bottom"/>
            <w:hideMark/>
          </w:tcPr>
          <w:p w14:paraId="3389B05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87,7</w:t>
            </w:r>
          </w:p>
        </w:tc>
      </w:tr>
      <w:tr w:rsidR="00B56301" w:rsidRPr="007253FC" w14:paraId="57670007"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78EC8"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Culture</w:t>
            </w:r>
          </w:p>
        </w:tc>
        <w:tc>
          <w:tcPr>
            <w:tcW w:w="628" w:type="dxa"/>
            <w:tcBorders>
              <w:top w:val="nil"/>
              <w:left w:val="nil"/>
              <w:bottom w:val="single" w:sz="4" w:space="0" w:color="auto"/>
              <w:right w:val="single" w:sz="4" w:space="0" w:color="auto"/>
            </w:tcBorders>
            <w:shd w:val="clear" w:color="auto" w:fill="auto"/>
            <w:noWrap/>
            <w:vAlign w:val="bottom"/>
            <w:hideMark/>
          </w:tcPr>
          <w:p w14:paraId="737D6A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35,8</w:t>
            </w:r>
          </w:p>
        </w:tc>
        <w:tc>
          <w:tcPr>
            <w:tcW w:w="628" w:type="dxa"/>
            <w:tcBorders>
              <w:top w:val="nil"/>
              <w:left w:val="nil"/>
              <w:bottom w:val="single" w:sz="4" w:space="0" w:color="auto"/>
              <w:right w:val="single" w:sz="4" w:space="0" w:color="auto"/>
            </w:tcBorders>
            <w:shd w:val="clear" w:color="auto" w:fill="auto"/>
            <w:noWrap/>
            <w:vAlign w:val="bottom"/>
            <w:hideMark/>
          </w:tcPr>
          <w:p w14:paraId="2D639E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36,1</w:t>
            </w:r>
          </w:p>
        </w:tc>
        <w:tc>
          <w:tcPr>
            <w:tcW w:w="628" w:type="dxa"/>
            <w:tcBorders>
              <w:top w:val="nil"/>
              <w:left w:val="nil"/>
              <w:bottom w:val="single" w:sz="4" w:space="0" w:color="auto"/>
              <w:right w:val="single" w:sz="4" w:space="0" w:color="auto"/>
            </w:tcBorders>
            <w:shd w:val="clear" w:color="auto" w:fill="auto"/>
            <w:noWrap/>
            <w:vAlign w:val="bottom"/>
            <w:hideMark/>
          </w:tcPr>
          <w:p w14:paraId="61CC491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36,5</w:t>
            </w:r>
          </w:p>
        </w:tc>
        <w:tc>
          <w:tcPr>
            <w:tcW w:w="628" w:type="dxa"/>
            <w:tcBorders>
              <w:top w:val="nil"/>
              <w:left w:val="nil"/>
              <w:bottom w:val="single" w:sz="4" w:space="0" w:color="auto"/>
              <w:right w:val="single" w:sz="4" w:space="0" w:color="auto"/>
            </w:tcBorders>
            <w:shd w:val="clear" w:color="auto" w:fill="auto"/>
            <w:noWrap/>
            <w:vAlign w:val="bottom"/>
            <w:hideMark/>
          </w:tcPr>
          <w:p w14:paraId="751DC2A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36,0</w:t>
            </w:r>
          </w:p>
        </w:tc>
        <w:tc>
          <w:tcPr>
            <w:tcW w:w="628" w:type="dxa"/>
            <w:tcBorders>
              <w:top w:val="nil"/>
              <w:left w:val="nil"/>
              <w:bottom w:val="single" w:sz="4" w:space="0" w:color="auto"/>
              <w:right w:val="single" w:sz="4" w:space="0" w:color="auto"/>
            </w:tcBorders>
            <w:shd w:val="clear" w:color="auto" w:fill="auto"/>
            <w:noWrap/>
            <w:vAlign w:val="bottom"/>
            <w:hideMark/>
          </w:tcPr>
          <w:p w14:paraId="11C2BC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35,5</w:t>
            </w:r>
          </w:p>
        </w:tc>
        <w:tc>
          <w:tcPr>
            <w:tcW w:w="628" w:type="dxa"/>
            <w:tcBorders>
              <w:top w:val="nil"/>
              <w:left w:val="nil"/>
              <w:bottom w:val="single" w:sz="4" w:space="0" w:color="auto"/>
              <w:right w:val="single" w:sz="4" w:space="0" w:color="auto"/>
            </w:tcBorders>
            <w:shd w:val="clear" w:color="auto" w:fill="auto"/>
            <w:noWrap/>
            <w:vAlign w:val="bottom"/>
            <w:hideMark/>
          </w:tcPr>
          <w:p w14:paraId="76B3DCD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34,0</w:t>
            </w:r>
          </w:p>
        </w:tc>
        <w:tc>
          <w:tcPr>
            <w:tcW w:w="628" w:type="dxa"/>
            <w:tcBorders>
              <w:top w:val="nil"/>
              <w:left w:val="nil"/>
              <w:bottom w:val="single" w:sz="4" w:space="0" w:color="auto"/>
              <w:right w:val="single" w:sz="4" w:space="0" w:color="auto"/>
            </w:tcBorders>
            <w:shd w:val="clear" w:color="auto" w:fill="auto"/>
            <w:noWrap/>
            <w:vAlign w:val="bottom"/>
            <w:hideMark/>
          </w:tcPr>
          <w:p w14:paraId="6D2AFE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35,1</w:t>
            </w:r>
          </w:p>
        </w:tc>
        <w:tc>
          <w:tcPr>
            <w:tcW w:w="628" w:type="dxa"/>
            <w:tcBorders>
              <w:top w:val="nil"/>
              <w:left w:val="nil"/>
              <w:bottom w:val="single" w:sz="4" w:space="0" w:color="auto"/>
              <w:right w:val="single" w:sz="4" w:space="0" w:color="auto"/>
            </w:tcBorders>
            <w:shd w:val="clear" w:color="auto" w:fill="auto"/>
            <w:noWrap/>
            <w:vAlign w:val="bottom"/>
            <w:hideMark/>
          </w:tcPr>
          <w:p w14:paraId="258416A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34,2</w:t>
            </w:r>
          </w:p>
        </w:tc>
      </w:tr>
      <w:tr w:rsidR="00B56301" w:rsidRPr="007253FC" w14:paraId="21DB43C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2578FF2F"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Elevage</w:t>
            </w:r>
          </w:p>
        </w:tc>
        <w:tc>
          <w:tcPr>
            <w:tcW w:w="628" w:type="dxa"/>
            <w:tcBorders>
              <w:top w:val="nil"/>
              <w:left w:val="nil"/>
              <w:bottom w:val="single" w:sz="4" w:space="0" w:color="auto"/>
              <w:right w:val="single" w:sz="4" w:space="0" w:color="auto"/>
            </w:tcBorders>
            <w:shd w:val="clear" w:color="auto" w:fill="auto"/>
            <w:noWrap/>
            <w:vAlign w:val="bottom"/>
            <w:hideMark/>
          </w:tcPr>
          <w:p w14:paraId="2DE284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43,2</w:t>
            </w:r>
          </w:p>
        </w:tc>
        <w:tc>
          <w:tcPr>
            <w:tcW w:w="628" w:type="dxa"/>
            <w:tcBorders>
              <w:top w:val="nil"/>
              <w:left w:val="nil"/>
              <w:bottom w:val="single" w:sz="4" w:space="0" w:color="auto"/>
              <w:right w:val="single" w:sz="4" w:space="0" w:color="auto"/>
            </w:tcBorders>
            <w:shd w:val="clear" w:color="auto" w:fill="auto"/>
            <w:noWrap/>
            <w:vAlign w:val="bottom"/>
            <w:hideMark/>
          </w:tcPr>
          <w:p w14:paraId="6600B3A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43,4</w:t>
            </w:r>
          </w:p>
        </w:tc>
        <w:tc>
          <w:tcPr>
            <w:tcW w:w="628" w:type="dxa"/>
            <w:tcBorders>
              <w:top w:val="nil"/>
              <w:left w:val="nil"/>
              <w:bottom w:val="single" w:sz="4" w:space="0" w:color="auto"/>
              <w:right w:val="single" w:sz="4" w:space="0" w:color="auto"/>
            </w:tcBorders>
            <w:shd w:val="clear" w:color="auto" w:fill="auto"/>
            <w:noWrap/>
            <w:vAlign w:val="bottom"/>
            <w:hideMark/>
          </w:tcPr>
          <w:p w14:paraId="43F7FE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1BF049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44,9</w:t>
            </w:r>
          </w:p>
        </w:tc>
        <w:tc>
          <w:tcPr>
            <w:tcW w:w="628" w:type="dxa"/>
            <w:tcBorders>
              <w:top w:val="nil"/>
              <w:left w:val="nil"/>
              <w:bottom w:val="single" w:sz="4" w:space="0" w:color="auto"/>
              <w:right w:val="single" w:sz="4" w:space="0" w:color="auto"/>
            </w:tcBorders>
            <w:shd w:val="clear" w:color="auto" w:fill="auto"/>
            <w:noWrap/>
            <w:vAlign w:val="bottom"/>
            <w:hideMark/>
          </w:tcPr>
          <w:p w14:paraId="6C4DB7C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44,0</w:t>
            </w:r>
          </w:p>
        </w:tc>
        <w:tc>
          <w:tcPr>
            <w:tcW w:w="628" w:type="dxa"/>
            <w:tcBorders>
              <w:top w:val="nil"/>
              <w:left w:val="nil"/>
              <w:bottom w:val="single" w:sz="4" w:space="0" w:color="auto"/>
              <w:right w:val="single" w:sz="4" w:space="0" w:color="auto"/>
            </w:tcBorders>
            <w:shd w:val="clear" w:color="auto" w:fill="auto"/>
            <w:noWrap/>
            <w:vAlign w:val="bottom"/>
            <w:hideMark/>
          </w:tcPr>
          <w:p w14:paraId="7C8F9AF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42,9</w:t>
            </w:r>
          </w:p>
        </w:tc>
        <w:tc>
          <w:tcPr>
            <w:tcW w:w="628" w:type="dxa"/>
            <w:tcBorders>
              <w:top w:val="nil"/>
              <w:left w:val="nil"/>
              <w:bottom w:val="single" w:sz="4" w:space="0" w:color="auto"/>
              <w:right w:val="single" w:sz="4" w:space="0" w:color="auto"/>
            </w:tcBorders>
            <w:shd w:val="clear" w:color="auto" w:fill="auto"/>
            <w:noWrap/>
            <w:vAlign w:val="bottom"/>
            <w:hideMark/>
          </w:tcPr>
          <w:p w14:paraId="2C37E6F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77A5773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42,0</w:t>
            </w:r>
          </w:p>
        </w:tc>
      </w:tr>
      <w:tr w:rsidR="00B56301" w:rsidRPr="007253FC" w14:paraId="5226559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73C34E1A"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Engins, moteurs et chaudières en agriculture/sylviculture</w:t>
            </w:r>
          </w:p>
        </w:tc>
        <w:tc>
          <w:tcPr>
            <w:tcW w:w="628" w:type="dxa"/>
            <w:tcBorders>
              <w:top w:val="nil"/>
              <w:left w:val="nil"/>
              <w:bottom w:val="single" w:sz="4" w:space="0" w:color="auto"/>
              <w:right w:val="single" w:sz="4" w:space="0" w:color="auto"/>
            </w:tcBorders>
            <w:shd w:val="clear" w:color="auto" w:fill="auto"/>
            <w:noWrap/>
            <w:vAlign w:val="center"/>
            <w:hideMark/>
          </w:tcPr>
          <w:p w14:paraId="2698397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38E1C4E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484AB11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7479D3B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00BD05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11,4</w:t>
            </w:r>
          </w:p>
        </w:tc>
        <w:tc>
          <w:tcPr>
            <w:tcW w:w="628" w:type="dxa"/>
            <w:tcBorders>
              <w:top w:val="nil"/>
              <w:left w:val="nil"/>
              <w:bottom w:val="single" w:sz="4" w:space="0" w:color="auto"/>
              <w:right w:val="single" w:sz="4" w:space="0" w:color="auto"/>
            </w:tcBorders>
            <w:shd w:val="clear" w:color="auto" w:fill="auto"/>
            <w:noWrap/>
            <w:vAlign w:val="center"/>
            <w:hideMark/>
          </w:tcPr>
          <w:p w14:paraId="6E99302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11,2</w:t>
            </w:r>
          </w:p>
        </w:tc>
        <w:tc>
          <w:tcPr>
            <w:tcW w:w="628" w:type="dxa"/>
            <w:tcBorders>
              <w:top w:val="nil"/>
              <w:left w:val="nil"/>
              <w:bottom w:val="single" w:sz="4" w:space="0" w:color="auto"/>
              <w:right w:val="single" w:sz="4" w:space="0" w:color="auto"/>
            </w:tcBorders>
            <w:shd w:val="clear" w:color="auto" w:fill="auto"/>
            <w:noWrap/>
            <w:vAlign w:val="center"/>
            <w:hideMark/>
          </w:tcPr>
          <w:p w14:paraId="05D87CC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11,9</w:t>
            </w:r>
          </w:p>
        </w:tc>
        <w:tc>
          <w:tcPr>
            <w:tcW w:w="628" w:type="dxa"/>
            <w:tcBorders>
              <w:top w:val="nil"/>
              <w:left w:val="nil"/>
              <w:bottom w:val="single" w:sz="4" w:space="0" w:color="auto"/>
              <w:right w:val="single" w:sz="4" w:space="0" w:color="auto"/>
            </w:tcBorders>
            <w:shd w:val="clear" w:color="auto" w:fill="auto"/>
            <w:noWrap/>
            <w:vAlign w:val="center"/>
            <w:hideMark/>
          </w:tcPr>
          <w:p w14:paraId="5D38411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11,6</w:t>
            </w:r>
          </w:p>
        </w:tc>
      </w:tr>
      <w:tr w:rsidR="00B56301" w:rsidRPr="007253FC" w14:paraId="51767E3B"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23AF59B4"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191116E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140,5</w:t>
            </w:r>
          </w:p>
        </w:tc>
        <w:tc>
          <w:tcPr>
            <w:tcW w:w="628" w:type="dxa"/>
            <w:tcBorders>
              <w:top w:val="nil"/>
              <w:left w:val="nil"/>
              <w:bottom w:val="single" w:sz="4" w:space="0" w:color="auto"/>
              <w:right w:val="single" w:sz="4" w:space="0" w:color="auto"/>
            </w:tcBorders>
            <w:shd w:val="clear" w:color="000000" w:fill="7030A0"/>
            <w:noWrap/>
            <w:vAlign w:val="bottom"/>
            <w:hideMark/>
          </w:tcPr>
          <w:p w14:paraId="3FA92EF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143,1</w:t>
            </w:r>
          </w:p>
        </w:tc>
        <w:tc>
          <w:tcPr>
            <w:tcW w:w="628" w:type="dxa"/>
            <w:tcBorders>
              <w:top w:val="nil"/>
              <w:left w:val="nil"/>
              <w:bottom w:val="single" w:sz="4" w:space="0" w:color="auto"/>
              <w:right w:val="single" w:sz="4" w:space="0" w:color="auto"/>
            </w:tcBorders>
            <w:shd w:val="clear" w:color="000000" w:fill="7030A0"/>
            <w:noWrap/>
            <w:vAlign w:val="bottom"/>
            <w:hideMark/>
          </w:tcPr>
          <w:p w14:paraId="587C2574"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143,4</w:t>
            </w:r>
          </w:p>
        </w:tc>
        <w:tc>
          <w:tcPr>
            <w:tcW w:w="628" w:type="dxa"/>
            <w:tcBorders>
              <w:top w:val="nil"/>
              <w:left w:val="nil"/>
              <w:bottom w:val="single" w:sz="4" w:space="0" w:color="auto"/>
              <w:right w:val="single" w:sz="4" w:space="0" w:color="auto"/>
            </w:tcBorders>
            <w:shd w:val="clear" w:color="000000" w:fill="7030A0"/>
            <w:noWrap/>
            <w:vAlign w:val="bottom"/>
            <w:hideMark/>
          </w:tcPr>
          <w:p w14:paraId="2DB5BDEA"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146,9</w:t>
            </w:r>
          </w:p>
        </w:tc>
        <w:tc>
          <w:tcPr>
            <w:tcW w:w="628" w:type="dxa"/>
            <w:tcBorders>
              <w:top w:val="nil"/>
              <w:left w:val="nil"/>
              <w:bottom w:val="single" w:sz="4" w:space="0" w:color="auto"/>
              <w:right w:val="single" w:sz="4" w:space="0" w:color="auto"/>
            </w:tcBorders>
            <w:shd w:val="clear" w:color="000000" w:fill="7030A0"/>
            <w:noWrap/>
            <w:vAlign w:val="bottom"/>
            <w:hideMark/>
          </w:tcPr>
          <w:p w14:paraId="30438DA1"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148,6</w:t>
            </w:r>
          </w:p>
        </w:tc>
        <w:tc>
          <w:tcPr>
            <w:tcW w:w="628" w:type="dxa"/>
            <w:tcBorders>
              <w:top w:val="nil"/>
              <w:left w:val="nil"/>
              <w:bottom w:val="single" w:sz="4" w:space="0" w:color="auto"/>
              <w:right w:val="single" w:sz="4" w:space="0" w:color="auto"/>
            </w:tcBorders>
            <w:shd w:val="clear" w:color="000000" w:fill="7030A0"/>
            <w:noWrap/>
            <w:vAlign w:val="bottom"/>
            <w:hideMark/>
          </w:tcPr>
          <w:p w14:paraId="2A9D283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147,0</w:t>
            </w:r>
          </w:p>
        </w:tc>
        <w:tc>
          <w:tcPr>
            <w:tcW w:w="628" w:type="dxa"/>
            <w:tcBorders>
              <w:top w:val="nil"/>
              <w:left w:val="nil"/>
              <w:bottom w:val="single" w:sz="4" w:space="0" w:color="auto"/>
              <w:right w:val="single" w:sz="4" w:space="0" w:color="auto"/>
            </w:tcBorders>
            <w:shd w:val="clear" w:color="000000" w:fill="7030A0"/>
            <w:noWrap/>
            <w:vAlign w:val="bottom"/>
            <w:hideMark/>
          </w:tcPr>
          <w:p w14:paraId="6A1D825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147,5</w:t>
            </w:r>
          </w:p>
        </w:tc>
        <w:tc>
          <w:tcPr>
            <w:tcW w:w="628" w:type="dxa"/>
            <w:tcBorders>
              <w:top w:val="nil"/>
              <w:left w:val="nil"/>
              <w:bottom w:val="single" w:sz="4" w:space="0" w:color="auto"/>
              <w:right w:val="single" w:sz="4" w:space="0" w:color="auto"/>
            </w:tcBorders>
            <w:shd w:val="clear" w:color="000000" w:fill="7030A0"/>
            <w:noWrap/>
            <w:vAlign w:val="bottom"/>
            <w:hideMark/>
          </w:tcPr>
          <w:p w14:paraId="091DA60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145,1</w:t>
            </w:r>
          </w:p>
        </w:tc>
      </w:tr>
      <w:tr w:rsidR="00B56301" w:rsidRPr="007253FC" w14:paraId="0CA4720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49D57FA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VP</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E8F7B9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75,0</w:t>
            </w:r>
          </w:p>
        </w:tc>
        <w:tc>
          <w:tcPr>
            <w:tcW w:w="628" w:type="dxa"/>
            <w:tcBorders>
              <w:top w:val="nil"/>
              <w:left w:val="nil"/>
              <w:bottom w:val="single" w:sz="4" w:space="0" w:color="auto"/>
              <w:right w:val="single" w:sz="4" w:space="0" w:color="auto"/>
            </w:tcBorders>
            <w:shd w:val="clear" w:color="auto" w:fill="auto"/>
            <w:noWrap/>
            <w:vAlign w:val="bottom"/>
            <w:hideMark/>
          </w:tcPr>
          <w:p w14:paraId="0186349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75,9</w:t>
            </w:r>
          </w:p>
        </w:tc>
        <w:tc>
          <w:tcPr>
            <w:tcW w:w="628" w:type="dxa"/>
            <w:tcBorders>
              <w:top w:val="nil"/>
              <w:left w:val="nil"/>
              <w:bottom w:val="single" w:sz="4" w:space="0" w:color="auto"/>
              <w:right w:val="single" w:sz="4" w:space="0" w:color="auto"/>
            </w:tcBorders>
            <w:shd w:val="clear" w:color="auto" w:fill="auto"/>
            <w:noWrap/>
            <w:vAlign w:val="bottom"/>
            <w:hideMark/>
          </w:tcPr>
          <w:p w14:paraId="149C56A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76,2</w:t>
            </w:r>
          </w:p>
        </w:tc>
        <w:tc>
          <w:tcPr>
            <w:tcW w:w="628" w:type="dxa"/>
            <w:tcBorders>
              <w:top w:val="nil"/>
              <w:left w:val="nil"/>
              <w:bottom w:val="single" w:sz="4" w:space="0" w:color="auto"/>
              <w:right w:val="single" w:sz="4" w:space="0" w:color="auto"/>
            </w:tcBorders>
            <w:shd w:val="clear" w:color="auto" w:fill="auto"/>
            <w:noWrap/>
            <w:vAlign w:val="bottom"/>
            <w:hideMark/>
          </w:tcPr>
          <w:p w14:paraId="4CB612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79,1</w:t>
            </w:r>
          </w:p>
        </w:tc>
        <w:tc>
          <w:tcPr>
            <w:tcW w:w="628" w:type="dxa"/>
            <w:tcBorders>
              <w:top w:val="nil"/>
              <w:left w:val="nil"/>
              <w:bottom w:val="single" w:sz="4" w:space="0" w:color="auto"/>
              <w:right w:val="single" w:sz="4" w:space="0" w:color="auto"/>
            </w:tcBorders>
            <w:shd w:val="clear" w:color="auto" w:fill="auto"/>
            <w:noWrap/>
            <w:vAlign w:val="bottom"/>
            <w:hideMark/>
          </w:tcPr>
          <w:p w14:paraId="7FE419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80,2</w:t>
            </w:r>
          </w:p>
        </w:tc>
        <w:tc>
          <w:tcPr>
            <w:tcW w:w="628" w:type="dxa"/>
            <w:tcBorders>
              <w:top w:val="nil"/>
              <w:left w:val="nil"/>
              <w:bottom w:val="single" w:sz="4" w:space="0" w:color="auto"/>
              <w:right w:val="single" w:sz="4" w:space="0" w:color="auto"/>
            </w:tcBorders>
            <w:shd w:val="clear" w:color="auto" w:fill="auto"/>
            <w:noWrap/>
            <w:vAlign w:val="bottom"/>
            <w:hideMark/>
          </w:tcPr>
          <w:p w14:paraId="6CBFDB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80,1</w:t>
            </w:r>
          </w:p>
        </w:tc>
        <w:tc>
          <w:tcPr>
            <w:tcW w:w="628" w:type="dxa"/>
            <w:tcBorders>
              <w:top w:val="nil"/>
              <w:left w:val="nil"/>
              <w:bottom w:val="single" w:sz="4" w:space="0" w:color="auto"/>
              <w:right w:val="single" w:sz="4" w:space="0" w:color="auto"/>
            </w:tcBorders>
            <w:shd w:val="clear" w:color="auto" w:fill="auto"/>
            <w:noWrap/>
            <w:vAlign w:val="bottom"/>
            <w:hideMark/>
          </w:tcPr>
          <w:p w14:paraId="175445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79,6</w:t>
            </w:r>
          </w:p>
        </w:tc>
        <w:tc>
          <w:tcPr>
            <w:tcW w:w="628" w:type="dxa"/>
            <w:tcBorders>
              <w:top w:val="nil"/>
              <w:left w:val="nil"/>
              <w:bottom w:val="single" w:sz="4" w:space="0" w:color="auto"/>
              <w:right w:val="single" w:sz="4" w:space="0" w:color="auto"/>
            </w:tcBorders>
            <w:shd w:val="clear" w:color="auto" w:fill="auto"/>
            <w:noWrap/>
            <w:vAlign w:val="bottom"/>
            <w:hideMark/>
          </w:tcPr>
          <w:p w14:paraId="1707431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78,1</w:t>
            </w:r>
          </w:p>
        </w:tc>
      </w:tr>
      <w:tr w:rsidR="00B56301" w:rsidRPr="007253FC" w14:paraId="3A389654"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1BB6B59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VUL</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60DC7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21,5</w:t>
            </w:r>
          </w:p>
        </w:tc>
        <w:tc>
          <w:tcPr>
            <w:tcW w:w="628" w:type="dxa"/>
            <w:tcBorders>
              <w:top w:val="nil"/>
              <w:left w:val="nil"/>
              <w:bottom w:val="single" w:sz="4" w:space="0" w:color="auto"/>
              <w:right w:val="single" w:sz="4" w:space="0" w:color="auto"/>
            </w:tcBorders>
            <w:shd w:val="clear" w:color="auto" w:fill="auto"/>
            <w:noWrap/>
            <w:vAlign w:val="bottom"/>
            <w:hideMark/>
          </w:tcPr>
          <w:p w14:paraId="5DF671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21,6</w:t>
            </w:r>
          </w:p>
        </w:tc>
        <w:tc>
          <w:tcPr>
            <w:tcW w:w="628" w:type="dxa"/>
            <w:tcBorders>
              <w:top w:val="nil"/>
              <w:left w:val="nil"/>
              <w:bottom w:val="single" w:sz="4" w:space="0" w:color="auto"/>
              <w:right w:val="single" w:sz="4" w:space="0" w:color="auto"/>
            </w:tcBorders>
            <w:shd w:val="clear" w:color="auto" w:fill="auto"/>
            <w:noWrap/>
            <w:vAlign w:val="bottom"/>
            <w:hideMark/>
          </w:tcPr>
          <w:p w14:paraId="52751A9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21,0</w:t>
            </w:r>
          </w:p>
        </w:tc>
        <w:tc>
          <w:tcPr>
            <w:tcW w:w="628" w:type="dxa"/>
            <w:tcBorders>
              <w:top w:val="nil"/>
              <w:left w:val="nil"/>
              <w:bottom w:val="single" w:sz="4" w:space="0" w:color="auto"/>
              <w:right w:val="single" w:sz="4" w:space="0" w:color="auto"/>
            </w:tcBorders>
            <w:shd w:val="clear" w:color="auto" w:fill="auto"/>
            <w:noWrap/>
            <w:vAlign w:val="bottom"/>
            <w:hideMark/>
          </w:tcPr>
          <w:p w14:paraId="718A44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21,4</w:t>
            </w:r>
          </w:p>
        </w:tc>
        <w:tc>
          <w:tcPr>
            <w:tcW w:w="628" w:type="dxa"/>
            <w:tcBorders>
              <w:top w:val="nil"/>
              <w:left w:val="nil"/>
              <w:bottom w:val="single" w:sz="4" w:space="0" w:color="auto"/>
              <w:right w:val="single" w:sz="4" w:space="0" w:color="auto"/>
            </w:tcBorders>
            <w:shd w:val="clear" w:color="auto" w:fill="auto"/>
            <w:noWrap/>
            <w:vAlign w:val="bottom"/>
            <w:hideMark/>
          </w:tcPr>
          <w:p w14:paraId="606D63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21,6</w:t>
            </w:r>
          </w:p>
        </w:tc>
        <w:tc>
          <w:tcPr>
            <w:tcW w:w="628" w:type="dxa"/>
            <w:tcBorders>
              <w:top w:val="nil"/>
              <w:left w:val="nil"/>
              <w:bottom w:val="single" w:sz="4" w:space="0" w:color="auto"/>
              <w:right w:val="single" w:sz="4" w:space="0" w:color="auto"/>
            </w:tcBorders>
            <w:shd w:val="clear" w:color="auto" w:fill="auto"/>
            <w:noWrap/>
            <w:vAlign w:val="bottom"/>
            <w:hideMark/>
          </w:tcPr>
          <w:p w14:paraId="5F7CC2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21,4</w:t>
            </w:r>
          </w:p>
        </w:tc>
        <w:tc>
          <w:tcPr>
            <w:tcW w:w="628" w:type="dxa"/>
            <w:tcBorders>
              <w:top w:val="nil"/>
              <w:left w:val="nil"/>
              <w:bottom w:val="single" w:sz="4" w:space="0" w:color="auto"/>
              <w:right w:val="single" w:sz="4" w:space="0" w:color="auto"/>
            </w:tcBorders>
            <w:shd w:val="clear" w:color="auto" w:fill="auto"/>
            <w:noWrap/>
            <w:vAlign w:val="bottom"/>
            <w:hideMark/>
          </w:tcPr>
          <w:p w14:paraId="504678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21,1</w:t>
            </w:r>
          </w:p>
        </w:tc>
        <w:tc>
          <w:tcPr>
            <w:tcW w:w="628" w:type="dxa"/>
            <w:tcBorders>
              <w:top w:val="nil"/>
              <w:left w:val="nil"/>
              <w:bottom w:val="single" w:sz="4" w:space="0" w:color="auto"/>
              <w:right w:val="single" w:sz="4" w:space="0" w:color="auto"/>
            </w:tcBorders>
            <w:shd w:val="clear" w:color="auto" w:fill="auto"/>
            <w:noWrap/>
            <w:vAlign w:val="bottom"/>
            <w:hideMark/>
          </w:tcPr>
          <w:p w14:paraId="3A8277B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20,7</w:t>
            </w:r>
          </w:p>
        </w:tc>
      </w:tr>
      <w:tr w:rsidR="00B56301" w:rsidRPr="007253FC" w14:paraId="5EA6F51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7EBFA58" w14:textId="77777777" w:rsidR="00B56301" w:rsidRPr="007253FC" w:rsidRDefault="00B56301" w:rsidP="00B37B65">
            <w:pPr>
              <w:jc w:val="left"/>
              <w:rPr>
                <w:rFonts w:ascii="Trebuchet MS" w:hAnsi="Trebuchet MS" w:cs="Arial"/>
                <w:sz w:val="16"/>
                <w:szCs w:val="16"/>
                <w:lang w:val="en-GB"/>
              </w:rPr>
            </w:pPr>
            <w:r w:rsidRPr="007253FC">
              <w:rPr>
                <w:rFonts w:ascii="Trebuchet MS" w:hAnsi="Trebuchet MS" w:cs="Arial"/>
                <w:sz w:val="16"/>
                <w:szCs w:val="16"/>
                <w:lang w:val="en-GB"/>
              </w:rPr>
              <w:t>PL (y.c. bus et cars)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2EFD60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33,6</w:t>
            </w:r>
          </w:p>
        </w:tc>
        <w:tc>
          <w:tcPr>
            <w:tcW w:w="628" w:type="dxa"/>
            <w:tcBorders>
              <w:top w:val="nil"/>
              <w:left w:val="nil"/>
              <w:bottom w:val="single" w:sz="4" w:space="0" w:color="auto"/>
              <w:right w:val="single" w:sz="4" w:space="0" w:color="auto"/>
            </w:tcBorders>
            <w:shd w:val="clear" w:color="auto" w:fill="auto"/>
            <w:noWrap/>
            <w:vAlign w:val="bottom"/>
            <w:hideMark/>
          </w:tcPr>
          <w:p w14:paraId="65F30F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34,8</w:t>
            </w:r>
          </w:p>
        </w:tc>
        <w:tc>
          <w:tcPr>
            <w:tcW w:w="628" w:type="dxa"/>
            <w:tcBorders>
              <w:top w:val="nil"/>
              <w:left w:val="nil"/>
              <w:bottom w:val="single" w:sz="4" w:space="0" w:color="auto"/>
              <w:right w:val="single" w:sz="4" w:space="0" w:color="auto"/>
            </w:tcBorders>
            <w:shd w:val="clear" w:color="auto" w:fill="auto"/>
            <w:noWrap/>
            <w:vAlign w:val="bottom"/>
            <w:hideMark/>
          </w:tcPr>
          <w:p w14:paraId="38B31B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35,3</w:t>
            </w:r>
          </w:p>
        </w:tc>
        <w:tc>
          <w:tcPr>
            <w:tcW w:w="628" w:type="dxa"/>
            <w:tcBorders>
              <w:top w:val="nil"/>
              <w:left w:val="nil"/>
              <w:bottom w:val="single" w:sz="4" w:space="0" w:color="auto"/>
              <w:right w:val="single" w:sz="4" w:space="0" w:color="auto"/>
            </w:tcBorders>
            <w:shd w:val="clear" w:color="auto" w:fill="auto"/>
            <w:noWrap/>
            <w:vAlign w:val="bottom"/>
            <w:hideMark/>
          </w:tcPr>
          <w:p w14:paraId="4A3F1F0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35,6</w:t>
            </w:r>
          </w:p>
        </w:tc>
        <w:tc>
          <w:tcPr>
            <w:tcW w:w="628" w:type="dxa"/>
            <w:tcBorders>
              <w:top w:val="nil"/>
              <w:left w:val="nil"/>
              <w:bottom w:val="single" w:sz="4" w:space="0" w:color="auto"/>
              <w:right w:val="single" w:sz="4" w:space="0" w:color="auto"/>
            </w:tcBorders>
            <w:shd w:val="clear" w:color="auto" w:fill="auto"/>
            <w:noWrap/>
            <w:vAlign w:val="bottom"/>
            <w:hideMark/>
          </w:tcPr>
          <w:p w14:paraId="7296444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36,0</w:t>
            </w:r>
          </w:p>
        </w:tc>
        <w:tc>
          <w:tcPr>
            <w:tcW w:w="628" w:type="dxa"/>
            <w:tcBorders>
              <w:top w:val="nil"/>
              <w:left w:val="nil"/>
              <w:bottom w:val="single" w:sz="4" w:space="0" w:color="auto"/>
              <w:right w:val="single" w:sz="4" w:space="0" w:color="auto"/>
            </w:tcBorders>
            <w:shd w:val="clear" w:color="auto" w:fill="auto"/>
            <w:noWrap/>
            <w:vAlign w:val="bottom"/>
            <w:hideMark/>
          </w:tcPr>
          <w:p w14:paraId="09C657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35,2</w:t>
            </w:r>
          </w:p>
        </w:tc>
        <w:tc>
          <w:tcPr>
            <w:tcW w:w="628" w:type="dxa"/>
            <w:tcBorders>
              <w:top w:val="nil"/>
              <w:left w:val="nil"/>
              <w:bottom w:val="single" w:sz="4" w:space="0" w:color="auto"/>
              <w:right w:val="single" w:sz="4" w:space="0" w:color="auto"/>
            </w:tcBorders>
            <w:shd w:val="clear" w:color="auto" w:fill="auto"/>
            <w:noWrap/>
            <w:vAlign w:val="bottom"/>
            <w:hideMark/>
          </w:tcPr>
          <w:p w14:paraId="1924E3A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36,6</w:t>
            </w:r>
          </w:p>
        </w:tc>
        <w:tc>
          <w:tcPr>
            <w:tcW w:w="628" w:type="dxa"/>
            <w:tcBorders>
              <w:top w:val="nil"/>
              <w:left w:val="nil"/>
              <w:bottom w:val="single" w:sz="4" w:space="0" w:color="auto"/>
              <w:right w:val="single" w:sz="4" w:space="0" w:color="auto"/>
            </w:tcBorders>
            <w:shd w:val="clear" w:color="auto" w:fill="auto"/>
            <w:noWrap/>
            <w:vAlign w:val="bottom"/>
            <w:hideMark/>
          </w:tcPr>
          <w:p w14:paraId="373DF32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36,3</w:t>
            </w:r>
          </w:p>
        </w:tc>
      </w:tr>
      <w:tr w:rsidR="00B56301" w:rsidRPr="007253FC" w14:paraId="3F3980A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4614605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Deux roues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6C101A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56892C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7D27CA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0104252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1711010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26189E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2F3CA1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D9C46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r>
      <w:tr w:rsidR="00B56301" w:rsidRPr="007253FC" w14:paraId="48B31AA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C09452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ferroviaire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AAEFC1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60A52D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2519542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7BD55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578608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461B1C9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1923A92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081C81F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r>
      <w:tr w:rsidR="00B56301" w:rsidRPr="007253FC" w14:paraId="48DE2098"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1A115EE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fluvial de marchandises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7731B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5EC946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005E4F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D2CF43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0A2268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7AC80C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FD613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52A6177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r>
      <w:tr w:rsidR="00B56301" w:rsidRPr="007253FC" w14:paraId="0B89B32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C95393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maritime domestique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3BFDB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025C462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8FB539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4CC31F3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7490D9B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73FD3AC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w:t>
            </w:r>
          </w:p>
        </w:tc>
        <w:tc>
          <w:tcPr>
            <w:tcW w:w="628" w:type="dxa"/>
            <w:tcBorders>
              <w:top w:val="nil"/>
              <w:left w:val="nil"/>
              <w:bottom w:val="single" w:sz="4" w:space="0" w:color="auto"/>
              <w:right w:val="single" w:sz="4" w:space="0" w:color="auto"/>
            </w:tcBorders>
            <w:shd w:val="clear" w:color="auto" w:fill="auto"/>
            <w:noWrap/>
            <w:vAlign w:val="bottom"/>
            <w:hideMark/>
          </w:tcPr>
          <w:p w14:paraId="54C5343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2C7124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w:t>
            </w:r>
          </w:p>
        </w:tc>
      </w:tr>
      <w:tr w:rsidR="00B56301" w:rsidRPr="007253FC" w14:paraId="76F1BBD6"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CA9ABB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autres navigations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42D643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C69AE6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D546FE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B5593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3D0125D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015E21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28FEB5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364458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r>
      <w:tr w:rsidR="00B56301" w:rsidRPr="007253FC" w14:paraId="550424F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2C002E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aérien français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B3BD24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5,9</w:t>
            </w:r>
          </w:p>
        </w:tc>
        <w:tc>
          <w:tcPr>
            <w:tcW w:w="628" w:type="dxa"/>
            <w:tcBorders>
              <w:top w:val="nil"/>
              <w:left w:val="nil"/>
              <w:bottom w:val="single" w:sz="4" w:space="0" w:color="auto"/>
              <w:right w:val="single" w:sz="4" w:space="0" w:color="auto"/>
            </w:tcBorders>
            <w:shd w:val="clear" w:color="auto" w:fill="auto"/>
            <w:noWrap/>
            <w:vAlign w:val="bottom"/>
            <w:hideMark/>
          </w:tcPr>
          <w:p w14:paraId="10FF95E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bottom"/>
            <w:hideMark/>
          </w:tcPr>
          <w:p w14:paraId="3826DF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6,2</w:t>
            </w:r>
          </w:p>
        </w:tc>
        <w:tc>
          <w:tcPr>
            <w:tcW w:w="628" w:type="dxa"/>
            <w:tcBorders>
              <w:top w:val="nil"/>
              <w:left w:val="nil"/>
              <w:bottom w:val="single" w:sz="4" w:space="0" w:color="auto"/>
              <w:right w:val="single" w:sz="4" w:space="0" w:color="auto"/>
            </w:tcBorders>
            <w:shd w:val="clear" w:color="auto" w:fill="auto"/>
            <w:noWrap/>
            <w:vAlign w:val="bottom"/>
            <w:hideMark/>
          </w:tcPr>
          <w:p w14:paraId="4658A21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5,8</w:t>
            </w:r>
          </w:p>
        </w:tc>
        <w:tc>
          <w:tcPr>
            <w:tcW w:w="628" w:type="dxa"/>
            <w:tcBorders>
              <w:top w:val="nil"/>
              <w:left w:val="nil"/>
              <w:bottom w:val="single" w:sz="4" w:space="0" w:color="auto"/>
              <w:right w:val="single" w:sz="4" w:space="0" w:color="auto"/>
            </w:tcBorders>
            <w:shd w:val="clear" w:color="auto" w:fill="auto"/>
            <w:noWrap/>
            <w:vAlign w:val="bottom"/>
            <w:hideMark/>
          </w:tcPr>
          <w:p w14:paraId="514E2F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5,6</w:t>
            </w:r>
          </w:p>
        </w:tc>
        <w:tc>
          <w:tcPr>
            <w:tcW w:w="628" w:type="dxa"/>
            <w:tcBorders>
              <w:top w:val="nil"/>
              <w:left w:val="nil"/>
              <w:bottom w:val="single" w:sz="4" w:space="0" w:color="auto"/>
              <w:right w:val="single" w:sz="4" w:space="0" w:color="auto"/>
            </w:tcBorders>
            <w:shd w:val="clear" w:color="auto" w:fill="auto"/>
            <w:noWrap/>
            <w:vAlign w:val="bottom"/>
            <w:hideMark/>
          </w:tcPr>
          <w:p w14:paraId="3F9386C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19A73F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bottom"/>
            <w:hideMark/>
          </w:tcPr>
          <w:p w14:paraId="4038904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5,0</w:t>
            </w:r>
          </w:p>
        </w:tc>
      </w:tr>
      <w:tr w:rsidR="00B56301" w:rsidRPr="007253FC" w14:paraId="4972CD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1B0C3ABB"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hors UTCATF</w:t>
            </w:r>
          </w:p>
        </w:tc>
        <w:tc>
          <w:tcPr>
            <w:tcW w:w="628" w:type="dxa"/>
            <w:tcBorders>
              <w:top w:val="nil"/>
              <w:left w:val="nil"/>
              <w:bottom w:val="single" w:sz="4" w:space="0" w:color="auto"/>
              <w:right w:val="single" w:sz="4" w:space="0" w:color="auto"/>
            </w:tcBorders>
            <w:shd w:val="clear" w:color="000000" w:fill="D9D9D9"/>
            <w:noWrap/>
            <w:vAlign w:val="bottom"/>
            <w:hideMark/>
          </w:tcPr>
          <w:p w14:paraId="3F35E79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560,4</w:t>
            </w:r>
          </w:p>
        </w:tc>
        <w:tc>
          <w:tcPr>
            <w:tcW w:w="628" w:type="dxa"/>
            <w:tcBorders>
              <w:top w:val="nil"/>
              <w:left w:val="nil"/>
              <w:bottom w:val="single" w:sz="4" w:space="0" w:color="auto"/>
              <w:right w:val="single" w:sz="4" w:space="0" w:color="auto"/>
            </w:tcBorders>
            <w:shd w:val="clear" w:color="000000" w:fill="D9D9D9"/>
            <w:noWrap/>
            <w:vAlign w:val="bottom"/>
            <w:hideMark/>
          </w:tcPr>
          <w:p w14:paraId="12021C3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554,9</w:t>
            </w:r>
          </w:p>
        </w:tc>
        <w:tc>
          <w:tcPr>
            <w:tcW w:w="628" w:type="dxa"/>
            <w:tcBorders>
              <w:top w:val="nil"/>
              <w:left w:val="nil"/>
              <w:bottom w:val="single" w:sz="4" w:space="0" w:color="auto"/>
              <w:right w:val="single" w:sz="4" w:space="0" w:color="auto"/>
            </w:tcBorders>
            <w:shd w:val="clear" w:color="000000" w:fill="D9D9D9"/>
            <w:noWrap/>
            <w:vAlign w:val="bottom"/>
            <w:hideMark/>
          </w:tcPr>
          <w:p w14:paraId="76004E3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549,0</w:t>
            </w:r>
          </w:p>
        </w:tc>
        <w:tc>
          <w:tcPr>
            <w:tcW w:w="628" w:type="dxa"/>
            <w:tcBorders>
              <w:top w:val="nil"/>
              <w:left w:val="nil"/>
              <w:bottom w:val="single" w:sz="4" w:space="0" w:color="auto"/>
              <w:right w:val="single" w:sz="4" w:space="0" w:color="auto"/>
            </w:tcBorders>
            <w:shd w:val="clear" w:color="000000" w:fill="D9D9D9"/>
            <w:noWrap/>
            <w:vAlign w:val="bottom"/>
            <w:hideMark/>
          </w:tcPr>
          <w:p w14:paraId="04C508E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554,2</w:t>
            </w:r>
          </w:p>
        </w:tc>
        <w:tc>
          <w:tcPr>
            <w:tcW w:w="628" w:type="dxa"/>
            <w:tcBorders>
              <w:top w:val="nil"/>
              <w:left w:val="nil"/>
              <w:bottom w:val="single" w:sz="4" w:space="0" w:color="auto"/>
              <w:right w:val="single" w:sz="4" w:space="0" w:color="auto"/>
            </w:tcBorders>
            <w:shd w:val="clear" w:color="000000" w:fill="D9D9D9"/>
            <w:noWrap/>
            <w:vAlign w:val="bottom"/>
            <w:hideMark/>
          </w:tcPr>
          <w:p w14:paraId="15F2F12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548,6</w:t>
            </w:r>
          </w:p>
        </w:tc>
        <w:tc>
          <w:tcPr>
            <w:tcW w:w="628" w:type="dxa"/>
            <w:tcBorders>
              <w:top w:val="nil"/>
              <w:left w:val="nil"/>
              <w:bottom w:val="single" w:sz="4" w:space="0" w:color="auto"/>
              <w:right w:val="single" w:sz="4" w:space="0" w:color="auto"/>
            </w:tcBorders>
            <w:shd w:val="clear" w:color="000000" w:fill="D9D9D9"/>
            <w:noWrap/>
            <w:vAlign w:val="bottom"/>
            <w:hideMark/>
          </w:tcPr>
          <w:p w14:paraId="241AA60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551,6</w:t>
            </w:r>
          </w:p>
        </w:tc>
        <w:tc>
          <w:tcPr>
            <w:tcW w:w="628" w:type="dxa"/>
            <w:tcBorders>
              <w:top w:val="nil"/>
              <w:left w:val="nil"/>
              <w:bottom w:val="single" w:sz="4" w:space="0" w:color="auto"/>
              <w:right w:val="single" w:sz="4" w:space="0" w:color="auto"/>
            </w:tcBorders>
            <w:shd w:val="clear" w:color="000000" w:fill="D9D9D9"/>
            <w:noWrap/>
            <w:vAlign w:val="bottom"/>
            <w:hideMark/>
          </w:tcPr>
          <w:p w14:paraId="2D606F9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550,6</w:t>
            </w:r>
          </w:p>
        </w:tc>
        <w:tc>
          <w:tcPr>
            <w:tcW w:w="628" w:type="dxa"/>
            <w:tcBorders>
              <w:top w:val="nil"/>
              <w:left w:val="nil"/>
              <w:bottom w:val="single" w:sz="4" w:space="0" w:color="auto"/>
              <w:right w:val="single" w:sz="4" w:space="0" w:color="auto"/>
            </w:tcBorders>
            <w:shd w:val="clear" w:color="000000" w:fill="D9D9D9"/>
            <w:noWrap/>
            <w:vAlign w:val="bottom"/>
            <w:hideMark/>
          </w:tcPr>
          <w:p w14:paraId="67A53F1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551,4</w:t>
            </w:r>
          </w:p>
        </w:tc>
      </w:tr>
      <w:tr w:rsidR="00B56301" w:rsidRPr="007253FC" w14:paraId="52F9AC4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44051B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Forêts</w:t>
            </w:r>
          </w:p>
        </w:tc>
        <w:tc>
          <w:tcPr>
            <w:tcW w:w="628" w:type="dxa"/>
            <w:tcBorders>
              <w:top w:val="nil"/>
              <w:left w:val="nil"/>
              <w:bottom w:val="single" w:sz="4" w:space="0" w:color="auto"/>
              <w:right w:val="single" w:sz="4" w:space="0" w:color="auto"/>
            </w:tcBorders>
            <w:shd w:val="clear" w:color="auto" w:fill="auto"/>
            <w:noWrap/>
            <w:vAlign w:val="bottom"/>
            <w:hideMark/>
          </w:tcPr>
          <w:p w14:paraId="428B1E3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-50,3</w:t>
            </w:r>
          </w:p>
        </w:tc>
        <w:tc>
          <w:tcPr>
            <w:tcW w:w="628" w:type="dxa"/>
            <w:tcBorders>
              <w:top w:val="nil"/>
              <w:left w:val="nil"/>
              <w:bottom w:val="single" w:sz="4" w:space="0" w:color="auto"/>
              <w:right w:val="single" w:sz="4" w:space="0" w:color="auto"/>
            </w:tcBorders>
            <w:shd w:val="clear" w:color="auto" w:fill="auto"/>
            <w:noWrap/>
            <w:vAlign w:val="bottom"/>
            <w:hideMark/>
          </w:tcPr>
          <w:p w14:paraId="6E12E3D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-55,4</w:t>
            </w:r>
          </w:p>
        </w:tc>
        <w:tc>
          <w:tcPr>
            <w:tcW w:w="628" w:type="dxa"/>
            <w:tcBorders>
              <w:top w:val="nil"/>
              <w:left w:val="nil"/>
              <w:bottom w:val="single" w:sz="4" w:space="0" w:color="auto"/>
              <w:right w:val="single" w:sz="4" w:space="0" w:color="auto"/>
            </w:tcBorders>
            <w:shd w:val="clear" w:color="auto" w:fill="auto"/>
            <w:noWrap/>
            <w:vAlign w:val="bottom"/>
            <w:hideMark/>
          </w:tcPr>
          <w:p w14:paraId="65BABF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-32,8</w:t>
            </w:r>
          </w:p>
        </w:tc>
        <w:tc>
          <w:tcPr>
            <w:tcW w:w="628" w:type="dxa"/>
            <w:tcBorders>
              <w:top w:val="nil"/>
              <w:left w:val="nil"/>
              <w:bottom w:val="single" w:sz="4" w:space="0" w:color="auto"/>
              <w:right w:val="single" w:sz="4" w:space="0" w:color="auto"/>
            </w:tcBorders>
            <w:shd w:val="clear" w:color="auto" w:fill="auto"/>
            <w:noWrap/>
            <w:vAlign w:val="bottom"/>
            <w:hideMark/>
          </w:tcPr>
          <w:p w14:paraId="485E58C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-46,2</w:t>
            </w:r>
          </w:p>
        </w:tc>
        <w:tc>
          <w:tcPr>
            <w:tcW w:w="628" w:type="dxa"/>
            <w:tcBorders>
              <w:top w:val="nil"/>
              <w:left w:val="nil"/>
              <w:bottom w:val="single" w:sz="4" w:space="0" w:color="auto"/>
              <w:right w:val="single" w:sz="4" w:space="0" w:color="auto"/>
            </w:tcBorders>
            <w:shd w:val="clear" w:color="auto" w:fill="auto"/>
            <w:noWrap/>
            <w:vAlign w:val="bottom"/>
            <w:hideMark/>
          </w:tcPr>
          <w:p w14:paraId="66806A3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-55,8</w:t>
            </w:r>
          </w:p>
        </w:tc>
        <w:tc>
          <w:tcPr>
            <w:tcW w:w="628" w:type="dxa"/>
            <w:tcBorders>
              <w:top w:val="nil"/>
              <w:left w:val="nil"/>
              <w:bottom w:val="single" w:sz="4" w:space="0" w:color="auto"/>
              <w:right w:val="single" w:sz="4" w:space="0" w:color="auto"/>
            </w:tcBorders>
            <w:shd w:val="clear" w:color="auto" w:fill="auto"/>
            <w:noWrap/>
            <w:vAlign w:val="bottom"/>
            <w:hideMark/>
          </w:tcPr>
          <w:p w14:paraId="677781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-58,0</w:t>
            </w:r>
          </w:p>
        </w:tc>
        <w:tc>
          <w:tcPr>
            <w:tcW w:w="628" w:type="dxa"/>
            <w:tcBorders>
              <w:top w:val="nil"/>
              <w:left w:val="nil"/>
              <w:bottom w:val="single" w:sz="4" w:space="0" w:color="auto"/>
              <w:right w:val="single" w:sz="4" w:space="0" w:color="auto"/>
            </w:tcBorders>
            <w:shd w:val="clear" w:color="auto" w:fill="auto"/>
            <w:noWrap/>
            <w:vAlign w:val="bottom"/>
            <w:hideMark/>
          </w:tcPr>
          <w:p w14:paraId="6EC2C8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-62,2</w:t>
            </w:r>
          </w:p>
        </w:tc>
        <w:tc>
          <w:tcPr>
            <w:tcW w:w="628" w:type="dxa"/>
            <w:tcBorders>
              <w:top w:val="nil"/>
              <w:left w:val="nil"/>
              <w:bottom w:val="single" w:sz="4" w:space="0" w:color="auto"/>
              <w:right w:val="single" w:sz="4" w:space="0" w:color="auto"/>
            </w:tcBorders>
            <w:shd w:val="clear" w:color="auto" w:fill="auto"/>
            <w:noWrap/>
            <w:vAlign w:val="bottom"/>
            <w:hideMark/>
          </w:tcPr>
          <w:p w14:paraId="4182D3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-64,7</w:t>
            </w:r>
          </w:p>
        </w:tc>
      </w:tr>
      <w:tr w:rsidR="00B56301" w:rsidRPr="007253FC" w14:paraId="34E08F4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53B9A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Terres cultivées</w:t>
            </w:r>
          </w:p>
        </w:tc>
        <w:tc>
          <w:tcPr>
            <w:tcW w:w="628" w:type="dxa"/>
            <w:tcBorders>
              <w:top w:val="nil"/>
              <w:left w:val="nil"/>
              <w:bottom w:val="single" w:sz="4" w:space="0" w:color="auto"/>
              <w:right w:val="single" w:sz="4" w:space="0" w:color="auto"/>
            </w:tcBorders>
            <w:shd w:val="clear" w:color="auto" w:fill="auto"/>
            <w:noWrap/>
            <w:vAlign w:val="bottom"/>
            <w:hideMark/>
          </w:tcPr>
          <w:p w14:paraId="5A06E2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22,4</w:t>
            </w:r>
          </w:p>
        </w:tc>
        <w:tc>
          <w:tcPr>
            <w:tcW w:w="628" w:type="dxa"/>
            <w:tcBorders>
              <w:top w:val="nil"/>
              <w:left w:val="nil"/>
              <w:bottom w:val="single" w:sz="4" w:space="0" w:color="auto"/>
              <w:right w:val="single" w:sz="4" w:space="0" w:color="auto"/>
            </w:tcBorders>
            <w:shd w:val="clear" w:color="auto" w:fill="auto"/>
            <w:noWrap/>
            <w:vAlign w:val="bottom"/>
            <w:hideMark/>
          </w:tcPr>
          <w:p w14:paraId="551B4C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22,4</w:t>
            </w:r>
          </w:p>
        </w:tc>
        <w:tc>
          <w:tcPr>
            <w:tcW w:w="628" w:type="dxa"/>
            <w:tcBorders>
              <w:top w:val="nil"/>
              <w:left w:val="nil"/>
              <w:bottom w:val="single" w:sz="4" w:space="0" w:color="auto"/>
              <w:right w:val="single" w:sz="4" w:space="0" w:color="auto"/>
            </w:tcBorders>
            <w:shd w:val="clear" w:color="auto" w:fill="auto"/>
            <w:noWrap/>
            <w:vAlign w:val="bottom"/>
            <w:hideMark/>
          </w:tcPr>
          <w:p w14:paraId="135FA37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21,0</w:t>
            </w:r>
          </w:p>
        </w:tc>
        <w:tc>
          <w:tcPr>
            <w:tcW w:w="628" w:type="dxa"/>
            <w:tcBorders>
              <w:top w:val="nil"/>
              <w:left w:val="nil"/>
              <w:bottom w:val="single" w:sz="4" w:space="0" w:color="auto"/>
              <w:right w:val="single" w:sz="4" w:space="0" w:color="auto"/>
            </w:tcBorders>
            <w:shd w:val="clear" w:color="auto" w:fill="auto"/>
            <w:noWrap/>
            <w:vAlign w:val="bottom"/>
            <w:hideMark/>
          </w:tcPr>
          <w:p w14:paraId="570E80B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20,8</w:t>
            </w:r>
          </w:p>
        </w:tc>
        <w:tc>
          <w:tcPr>
            <w:tcW w:w="628" w:type="dxa"/>
            <w:tcBorders>
              <w:top w:val="nil"/>
              <w:left w:val="nil"/>
              <w:bottom w:val="single" w:sz="4" w:space="0" w:color="auto"/>
              <w:right w:val="single" w:sz="4" w:space="0" w:color="auto"/>
            </w:tcBorders>
            <w:shd w:val="clear" w:color="auto" w:fill="auto"/>
            <w:noWrap/>
            <w:vAlign w:val="bottom"/>
            <w:hideMark/>
          </w:tcPr>
          <w:p w14:paraId="626BE13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5FAAD4F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18,9</w:t>
            </w:r>
          </w:p>
        </w:tc>
        <w:tc>
          <w:tcPr>
            <w:tcW w:w="628" w:type="dxa"/>
            <w:tcBorders>
              <w:top w:val="nil"/>
              <w:left w:val="nil"/>
              <w:bottom w:val="single" w:sz="4" w:space="0" w:color="auto"/>
              <w:right w:val="single" w:sz="4" w:space="0" w:color="auto"/>
            </w:tcBorders>
            <w:shd w:val="clear" w:color="auto" w:fill="auto"/>
            <w:noWrap/>
            <w:vAlign w:val="bottom"/>
            <w:hideMark/>
          </w:tcPr>
          <w:p w14:paraId="37B7E7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18,5</w:t>
            </w:r>
          </w:p>
        </w:tc>
        <w:tc>
          <w:tcPr>
            <w:tcW w:w="628" w:type="dxa"/>
            <w:tcBorders>
              <w:top w:val="nil"/>
              <w:left w:val="nil"/>
              <w:bottom w:val="single" w:sz="4" w:space="0" w:color="auto"/>
              <w:right w:val="single" w:sz="4" w:space="0" w:color="auto"/>
            </w:tcBorders>
            <w:shd w:val="clear" w:color="auto" w:fill="auto"/>
            <w:noWrap/>
            <w:vAlign w:val="bottom"/>
            <w:hideMark/>
          </w:tcPr>
          <w:p w14:paraId="253D1F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18,4</w:t>
            </w:r>
          </w:p>
        </w:tc>
      </w:tr>
      <w:tr w:rsidR="00B56301" w:rsidRPr="007253FC" w14:paraId="2980767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5E48F0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Prairies</w:t>
            </w:r>
          </w:p>
        </w:tc>
        <w:tc>
          <w:tcPr>
            <w:tcW w:w="628" w:type="dxa"/>
            <w:tcBorders>
              <w:top w:val="nil"/>
              <w:left w:val="nil"/>
              <w:bottom w:val="single" w:sz="4" w:space="0" w:color="auto"/>
              <w:right w:val="single" w:sz="4" w:space="0" w:color="auto"/>
            </w:tcBorders>
            <w:shd w:val="clear" w:color="auto" w:fill="auto"/>
            <w:noWrap/>
            <w:vAlign w:val="bottom"/>
            <w:hideMark/>
          </w:tcPr>
          <w:p w14:paraId="4C4FADE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-14,4</w:t>
            </w:r>
          </w:p>
        </w:tc>
        <w:tc>
          <w:tcPr>
            <w:tcW w:w="628" w:type="dxa"/>
            <w:tcBorders>
              <w:top w:val="nil"/>
              <w:left w:val="nil"/>
              <w:bottom w:val="single" w:sz="4" w:space="0" w:color="auto"/>
              <w:right w:val="single" w:sz="4" w:space="0" w:color="auto"/>
            </w:tcBorders>
            <w:shd w:val="clear" w:color="auto" w:fill="auto"/>
            <w:noWrap/>
            <w:vAlign w:val="bottom"/>
            <w:hideMark/>
          </w:tcPr>
          <w:p w14:paraId="27D0214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-13,1</w:t>
            </w:r>
          </w:p>
        </w:tc>
        <w:tc>
          <w:tcPr>
            <w:tcW w:w="628" w:type="dxa"/>
            <w:tcBorders>
              <w:top w:val="nil"/>
              <w:left w:val="nil"/>
              <w:bottom w:val="single" w:sz="4" w:space="0" w:color="auto"/>
              <w:right w:val="single" w:sz="4" w:space="0" w:color="auto"/>
            </w:tcBorders>
            <w:shd w:val="clear" w:color="auto" w:fill="auto"/>
            <w:noWrap/>
            <w:vAlign w:val="bottom"/>
            <w:hideMark/>
          </w:tcPr>
          <w:p w14:paraId="7699AC3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-14,2</w:t>
            </w:r>
          </w:p>
        </w:tc>
        <w:tc>
          <w:tcPr>
            <w:tcW w:w="628" w:type="dxa"/>
            <w:tcBorders>
              <w:top w:val="nil"/>
              <w:left w:val="nil"/>
              <w:bottom w:val="single" w:sz="4" w:space="0" w:color="auto"/>
              <w:right w:val="single" w:sz="4" w:space="0" w:color="auto"/>
            </w:tcBorders>
            <w:shd w:val="clear" w:color="auto" w:fill="auto"/>
            <w:noWrap/>
            <w:vAlign w:val="bottom"/>
            <w:hideMark/>
          </w:tcPr>
          <w:p w14:paraId="007154E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-13,2</w:t>
            </w:r>
          </w:p>
        </w:tc>
        <w:tc>
          <w:tcPr>
            <w:tcW w:w="628" w:type="dxa"/>
            <w:tcBorders>
              <w:top w:val="nil"/>
              <w:left w:val="nil"/>
              <w:bottom w:val="single" w:sz="4" w:space="0" w:color="auto"/>
              <w:right w:val="single" w:sz="4" w:space="0" w:color="auto"/>
            </w:tcBorders>
            <w:shd w:val="clear" w:color="auto" w:fill="auto"/>
            <w:noWrap/>
            <w:vAlign w:val="bottom"/>
            <w:hideMark/>
          </w:tcPr>
          <w:p w14:paraId="16D343B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-12,6</w:t>
            </w:r>
          </w:p>
        </w:tc>
        <w:tc>
          <w:tcPr>
            <w:tcW w:w="628" w:type="dxa"/>
            <w:tcBorders>
              <w:top w:val="nil"/>
              <w:left w:val="nil"/>
              <w:bottom w:val="single" w:sz="4" w:space="0" w:color="auto"/>
              <w:right w:val="single" w:sz="4" w:space="0" w:color="auto"/>
            </w:tcBorders>
            <w:shd w:val="clear" w:color="auto" w:fill="auto"/>
            <w:noWrap/>
            <w:vAlign w:val="bottom"/>
            <w:hideMark/>
          </w:tcPr>
          <w:p w14:paraId="41D896F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-12,0</w:t>
            </w:r>
          </w:p>
        </w:tc>
        <w:tc>
          <w:tcPr>
            <w:tcW w:w="628" w:type="dxa"/>
            <w:tcBorders>
              <w:top w:val="nil"/>
              <w:left w:val="nil"/>
              <w:bottom w:val="single" w:sz="4" w:space="0" w:color="auto"/>
              <w:right w:val="single" w:sz="4" w:space="0" w:color="auto"/>
            </w:tcBorders>
            <w:shd w:val="clear" w:color="auto" w:fill="auto"/>
            <w:noWrap/>
            <w:vAlign w:val="bottom"/>
            <w:hideMark/>
          </w:tcPr>
          <w:p w14:paraId="2D2594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-10,5</w:t>
            </w:r>
          </w:p>
        </w:tc>
        <w:tc>
          <w:tcPr>
            <w:tcW w:w="628" w:type="dxa"/>
            <w:tcBorders>
              <w:top w:val="nil"/>
              <w:left w:val="nil"/>
              <w:bottom w:val="single" w:sz="4" w:space="0" w:color="auto"/>
              <w:right w:val="single" w:sz="4" w:space="0" w:color="auto"/>
            </w:tcBorders>
            <w:shd w:val="clear" w:color="auto" w:fill="auto"/>
            <w:noWrap/>
            <w:vAlign w:val="bottom"/>
            <w:hideMark/>
          </w:tcPr>
          <w:p w14:paraId="15C7B53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-9,4</w:t>
            </w:r>
          </w:p>
        </w:tc>
      </w:tr>
      <w:tr w:rsidR="00B56301" w:rsidRPr="007253FC" w14:paraId="4596140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04DB1D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humides</w:t>
            </w:r>
          </w:p>
        </w:tc>
        <w:tc>
          <w:tcPr>
            <w:tcW w:w="628" w:type="dxa"/>
            <w:tcBorders>
              <w:top w:val="nil"/>
              <w:left w:val="nil"/>
              <w:bottom w:val="single" w:sz="4" w:space="0" w:color="auto"/>
              <w:right w:val="single" w:sz="4" w:space="0" w:color="auto"/>
            </w:tcBorders>
            <w:shd w:val="clear" w:color="auto" w:fill="auto"/>
            <w:noWrap/>
            <w:vAlign w:val="bottom"/>
            <w:hideMark/>
          </w:tcPr>
          <w:p w14:paraId="7FAD1D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F59B25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F1AE08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6523CA9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91F19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292AFAD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bottom"/>
            <w:hideMark/>
          </w:tcPr>
          <w:p w14:paraId="70E5F72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1466B7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r>
      <w:tr w:rsidR="00B56301" w:rsidRPr="007253FC" w14:paraId="5309937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98BB2F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artificialisées</w:t>
            </w:r>
          </w:p>
        </w:tc>
        <w:tc>
          <w:tcPr>
            <w:tcW w:w="628" w:type="dxa"/>
            <w:tcBorders>
              <w:top w:val="nil"/>
              <w:left w:val="nil"/>
              <w:bottom w:val="single" w:sz="4" w:space="0" w:color="auto"/>
              <w:right w:val="single" w:sz="4" w:space="0" w:color="auto"/>
            </w:tcBorders>
            <w:shd w:val="clear" w:color="auto" w:fill="auto"/>
            <w:noWrap/>
            <w:vAlign w:val="bottom"/>
            <w:hideMark/>
          </w:tcPr>
          <w:p w14:paraId="6F5DF78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10,3</w:t>
            </w:r>
          </w:p>
        </w:tc>
        <w:tc>
          <w:tcPr>
            <w:tcW w:w="628" w:type="dxa"/>
            <w:tcBorders>
              <w:top w:val="nil"/>
              <w:left w:val="nil"/>
              <w:bottom w:val="single" w:sz="4" w:space="0" w:color="auto"/>
              <w:right w:val="single" w:sz="4" w:space="0" w:color="auto"/>
            </w:tcBorders>
            <w:shd w:val="clear" w:color="auto" w:fill="auto"/>
            <w:noWrap/>
            <w:vAlign w:val="bottom"/>
            <w:hideMark/>
          </w:tcPr>
          <w:p w14:paraId="02ED3C8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11,4</w:t>
            </w:r>
          </w:p>
        </w:tc>
        <w:tc>
          <w:tcPr>
            <w:tcW w:w="628" w:type="dxa"/>
            <w:tcBorders>
              <w:top w:val="nil"/>
              <w:left w:val="nil"/>
              <w:bottom w:val="single" w:sz="4" w:space="0" w:color="auto"/>
              <w:right w:val="single" w:sz="4" w:space="0" w:color="auto"/>
            </w:tcBorders>
            <w:shd w:val="clear" w:color="auto" w:fill="auto"/>
            <w:noWrap/>
            <w:vAlign w:val="bottom"/>
            <w:hideMark/>
          </w:tcPr>
          <w:p w14:paraId="6236C12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bottom"/>
            <w:hideMark/>
          </w:tcPr>
          <w:p w14:paraId="699D006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10,2</w:t>
            </w:r>
          </w:p>
        </w:tc>
        <w:tc>
          <w:tcPr>
            <w:tcW w:w="628" w:type="dxa"/>
            <w:tcBorders>
              <w:top w:val="nil"/>
              <w:left w:val="nil"/>
              <w:bottom w:val="single" w:sz="4" w:space="0" w:color="auto"/>
              <w:right w:val="single" w:sz="4" w:space="0" w:color="auto"/>
            </w:tcBorders>
            <w:shd w:val="clear" w:color="auto" w:fill="auto"/>
            <w:noWrap/>
            <w:vAlign w:val="bottom"/>
            <w:hideMark/>
          </w:tcPr>
          <w:p w14:paraId="4724B3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10,5</w:t>
            </w:r>
          </w:p>
        </w:tc>
        <w:tc>
          <w:tcPr>
            <w:tcW w:w="628" w:type="dxa"/>
            <w:tcBorders>
              <w:top w:val="nil"/>
              <w:left w:val="nil"/>
              <w:bottom w:val="single" w:sz="4" w:space="0" w:color="auto"/>
              <w:right w:val="single" w:sz="4" w:space="0" w:color="auto"/>
            </w:tcBorders>
            <w:shd w:val="clear" w:color="auto" w:fill="auto"/>
            <w:noWrap/>
            <w:vAlign w:val="bottom"/>
            <w:hideMark/>
          </w:tcPr>
          <w:p w14:paraId="65FA9DB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10,1</w:t>
            </w:r>
          </w:p>
        </w:tc>
        <w:tc>
          <w:tcPr>
            <w:tcW w:w="628" w:type="dxa"/>
            <w:tcBorders>
              <w:top w:val="nil"/>
              <w:left w:val="nil"/>
              <w:bottom w:val="single" w:sz="4" w:space="0" w:color="auto"/>
              <w:right w:val="single" w:sz="4" w:space="0" w:color="auto"/>
            </w:tcBorders>
            <w:shd w:val="clear" w:color="auto" w:fill="auto"/>
            <w:noWrap/>
            <w:vAlign w:val="bottom"/>
            <w:hideMark/>
          </w:tcPr>
          <w:p w14:paraId="5A8048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10,7</w:t>
            </w:r>
          </w:p>
        </w:tc>
        <w:tc>
          <w:tcPr>
            <w:tcW w:w="628" w:type="dxa"/>
            <w:tcBorders>
              <w:top w:val="nil"/>
              <w:left w:val="nil"/>
              <w:bottom w:val="single" w:sz="4" w:space="0" w:color="auto"/>
              <w:right w:val="single" w:sz="4" w:space="0" w:color="auto"/>
            </w:tcBorders>
            <w:shd w:val="clear" w:color="auto" w:fill="auto"/>
            <w:noWrap/>
            <w:vAlign w:val="bottom"/>
            <w:hideMark/>
          </w:tcPr>
          <w:p w14:paraId="0671B3C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11,3</w:t>
            </w:r>
          </w:p>
        </w:tc>
      </w:tr>
      <w:tr w:rsidR="00B56301" w:rsidRPr="007253FC" w14:paraId="69DD229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16BC18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terres</w:t>
            </w:r>
          </w:p>
        </w:tc>
        <w:tc>
          <w:tcPr>
            <w:tcW w:w="628" w:type="dxa"/>
            <w:tcBorders>
              <w:top w:val="nil"/>
              <w:left w:val="nil"/>
              <w:bottom w:val="single" w:sz="4" w:space="0" w:color="auto"/>
              <w:right w:val="single" w:sz="4" w:space="0" w:color="auto"/>
            </w:tcBorders>
            <w:shd w:val="clear" w:color="auto" w:fill="auto"/>
            <w:noWrap/>
            <w:vAlign w:val="bottom"/>
            <w:hideMark/>
          </w:tcPr>
          <w:p w14:paraId="0DEB5A5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8F490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96589E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47676DA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5E695A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5A0911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28E874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8D6F7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r>
      <w:tr w:rsidR="00B56301" w:rsidRPr="007253FC" w14:paraId="27A645F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3842F4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Produits bois</w:t>
            </w:r>
          </w:p>
        </w:tc>
        <w:tc>
          <w:tcPr>
            <w:tcW w:w="628" w:type="dxa"/>
            <w:tcBorders>
              <w:top w:val="nil"/>
              <w:left w:val="nil"/>
              <w:bottom w:val="single" w:sz="4" w:space="0" w:color="auto"/>
              <w:right w:val="single" w:sz="4" w:space="0" w:color="auto"/>
            </w:tcBorders>
            <w:shd w:val="clear" w:color="auto" w:fill="auto"/>
            <w:noWrap/>
            <w:vAlign w:val="bottom"/>
            <w:hideMark/>
          </w:tcPr>
          <w:p w14:paraId="61159FE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bottom"/>
            <w:hideMark/>
          </w:tcPr>
          <w:p w14:paraId="15A3A80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bottom"/>
            <w:hideMark/>
          </w:tcPr>
          <w:p w14:paraId="4272B35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bottom"/>
            <w:hideMark/>
          </w:tcPr>
          <w:p w14:paraId="4558034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5C82845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w:t>
            </w:r>
          </w:p>
        </w:tc>
        <w:tc>
          <w:tcPr>
            <w:tcW w:w="628" w:type="dxa"/>
            <w:tcBorders>
              <w:top w:val="nil"/>
              <w:left w:val="nil"/>
              <w:bottom w:val="single" w:sz="4" w:space="0" w:color="auto"/>
              <w:right w:val="single" w:sz="4" w:space="0" w:color="auto"/>
            </w:tcBorders>
            <w:shd w:val="clear" w:color="auto" w:fill="auto"/>
            <w:noWrap/>
            <w:vAlign w:val="bottom"/>
            <w:hideMark/>
          </w:tcPr>
          <w:p w14:paraId="161D189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754517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c>
          <w:tcPr>
            <w:tcW w:w="628" w:type="dxa"/>
            <w:tcBorders>
              <w:top w:val="nil"/>
              <w:left w:val="nil"/>
              <w:bottom w:val="single" w:sz="4" w:space="0" w:color="auto"/>
              <w:right w:val="single" w:sz="4" w:space="0" w:color="auto"/>
            </w:tcBorders>
            <w:shd w:val="clear" w:color="auto" w:fill="auto"/>
            <w:noWrap/>
            <w:vAlign w:val="bottom"/>
            <w:hideMark/>
          </w:tcPr>
          <w:p w14:paraId="76AEB6C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r>
      <w:tr w:rsidR="00B56301" w:rsidRPr="007253FC" w14:paraId="50C5CDC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0D6B03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Barrages</w:t>
            </w:r>
          </w:p>
        </w:tc>
        <w:tc>
          <w:tcPr>
            <w:tcW w:w="628" w:type="dxa"/>
            <w:tcBorders>
              <w:top w:val="nil"/>
              <w:left w:val="nil"/>
              <w:bottom w:val="single" w:sz="4" w:space="0" w:color="auto"/>
              <w:right w:val="single" w:sz="4" w:space="0" w:color="auto"/>
            </w:tcBorders>
            <w:shd w:val="clear" w:color="auto" w:fill="auto"/>
            <w:noWrap/>
            <w:vAlign w:val="bottom"/>
            <w:hideMark/>
          </w:tcPr>
          <w:p w14:paraId="373394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w:t>
            </w:r>
          </w:p>
        </w:tc>
        <w:tc>
          <w:tcPr>
            <w:tcW w:w="628" w:type="dxa"/>
            <w:tcBorders>
              <w:top w:val="nil"/>
              <w:left w:val="nil"/>
              <w:bottom w:val="single" w:sz="4" w:space="0" w:color="auto"/>
              <w:right w:val="single" w:sz="4" w:space="0" w:color="auto"/>
            </w:tcBorders>
            <w:shd w:val="clear" w:color="auto" w:fill="auto"/>
            <w:noWrap/>
            <w:vAlign w:val="bottom"/>
            <w:hideMark/>
          </w:tcPr>
          <w:p w14:paraId="50CD82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77134BB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A4DDE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586C98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591353D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58537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72A576A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r>
      <w:tr w:rsidR="00B56301" w:rsidRPr="007253FC" w14:paraId="1D8A8DE3"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4F74B897"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UTCATF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4BDA5C8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-33,4</w:t>
            </w:r>
          </w:p>
        </w:tc>
        <w:tc>
          <w:tcPr>
            <w:tcW w:w="628" w:type="dxa"/>
            <w:tcBorders>
              <w:top w:val="nil"/>
              <w:left w:val="nil"/>
              <w:bottom w:val="single" w:sz="4" w:space="0" w:color="auto"/>
              <w:right w:val="single" w:sz="4" w:space="0" w:color="auto"/>
            </w:tcBorders>
            <w:shd w:val="clear" w:color="000000" w:fill="00B050"/>
            <w:noWrap/>
            <w:vAlign w:val="bottom"/>
            <w:hideMark/>
          </w:tcPr>
          <w:p w14:paraId="131BD766"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-36,7</w:t>
            </w:r>
          </w:p>
        </w:tc>
        <w:tc>
          <w:tcPr>
            <w:tcW w:w="628" w:type="dxa"/>
            <w:tcBorders>
              <w:top w:val="nil"/>
              <w:left w:val="nil"/>
              <w:bottom w:val="single" w:sz="4" w:space="0" w:color="auto"/>
              <w:right w:val="single" w:sz="4" w:space="0" w:color="auto"/>
            </w:tcBorders>
            <w:shd w:val="clear" w:color="000000" w:fill="00B050"/>
            <w:noWrap/>
            <w:vAlign w:val="bottom"/>
            <w:hideMark/>
          </w:tcPr>
          <w:p w14:paraId="2E23144F"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-19,7</w:t>
            </w:r>
          </w:p>
        </w:tc>
        <w:tc>
          <w:tcPr>
            <w:tcW w:w="628" w:type="dxa"/>
            <w:tcBorders>
              <w:top w:val="nil"/>
              <w:left w:val="nil"/>
              <w:bottom w:val="single" w:sz="4" w:space="0" w:color="auto"/>
              <w:right w:val="single" w:sz="4" w:space="0" w:color="auto"/>
            </w:tcBorders>
            <w:shd w:val="clear" w:color="000000" w:fill="00B050"/>
            <w:noWrap/>
            <w:vAlign w:val="bottom"/>
            <w:hideMark/>
          </w:tcPr>
          <w:p w14:paraId="12CEF3A4"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-31,7</w:t>
            </w:r>
          </w:p>
        </w:tc>
        <w:tc>
          <w:tcPr>
            <w:tcW w:w="628" w:type="dxa"/>
            <w:tcBorders>
              <w:top w:val="nil"/>
              <w:left w:val="nil"/>
              <w:bottom w:val="single" w:sz="4" w:space="0" w:color="auto"/>
              <w:right w:val="single" w:sz="4" w:space="0" w:color="auto"/>
            </w:tcBorders>
            <w:shd w:val="clear" w:color="000000" w:fill="00B050"/>
            <w:noWrap/>
            <w:vAlign w:val="bottom"/>
            <w:hideMark/>
          </w:tcPr>
          <w:p w14:paraId="2865A55C"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-40,5</w:t>
            </w:r>
          </w:p>
        </w:tc>
        <w:tc>
          <w:tcPr>
            <w:tcW w:w="628" w:type="dxa"/>
            <w:tcBorders>
              <w:top w:val="nil"/>
              <w:left w:val="nil"/>
              <w:bottom w:val="single" w:sz="4" w:space="0" w:color="auto"/>
              <w:right w:val="single" w:sz="4" w:space="0" w:color="auto"/>
            </w:tcBorders>
            <w:shd w:val="clear" w:color="000000" w:fill="00B050"/>
            <w:noWrap/>
            <w:vAlign w:val="bottom"/>
            <w:hideMark/>
          </w:tcPr>
          <w:p w14:paraId="5E857889"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-43,4</w:t>
            </w:r>
          </w:p>
        </w:tc>
        <w:tc>
          <w:tcPr>
            <w:tcW w:w="628" w:type="dxa"/>
            <w:tcBorders>
              <w:top w:val="nil"/>
              <w:left w:val="nil"/>
              <w:bottom w:val="single" w:sz="4" w:space="0" w:color="auto"/>
              <w:right w:val="single" w:sz="4" w:space="0" w:color="auto"/>
            </w:tcBorders>
            <w:shd w:val="clear" w:color="000000" w:fill="00B050"/>
            <w:noWrap/>
            <w:vAlign w:val="bottom"/>
            <w:hideMark/>
          </w:tcPr>
          <w:p w14:paraId="416E0FD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-46,6</w:t>
            </w:r>
          </w:p>
        </w:tc>
        <w:tc>
          <w:tcPr>
            <w:tcW w:w="628" w:type="dxa"/>
            <w:tcBorders>
              <w:top w:val="nil"/>
              <w:left w:val="nil"/>
              <w:bottom w:val="single" w:sz="4" w:space="0" w:color="auto"/>
              <w:right w:val="single" w:sz="4" w:space="0" w:color="auto"/>
            </w:tcBorders>
            <w:shd w:val="clear" w:color="000000" w:fill="00B050"/>
            <w:noWrap/>
            <w:vAlign w:val="bottom"/>
            <w:hideMark/>
          </w:tcPr>
          <w:p w14:paraId="366360EF"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-47,3</w:t>
            </w:r>
          </w:p>
        </w:tc>
      </w:tr>
      <w:tr w:rsidR="00B56301" w:rsidRPr="007253FC" w14:paraId="7D7201A3"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77207DE"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avec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CA4B7A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526,9</w:t>
            </w:r>
          </w:p>
        </w:tc>
        <w:tc>
          <w:tcPr>
            <w:tcW w:w="628" w:type="dxa"/>
            <w:tcBorders>
              <w:top w:val="nil"/>
              <w:left w:val="nil"/>
              <w:bottom w:val="single" w:sz="4" w:space="0" w:color="auto"/>
              <w:right w:val="single" w:sz="4" w:space="0" w:color="auto"/>
            </w:tcBorders>
            <w:shd w:val="clear" w:color="000000" w:fill="D9D9D9"/>
            <w:noWrap/>
            <w:vAlign w:val="bottom"/>
            <w:hideMark/>
          </w:tcPr>
          <w:p w14:paraId="762639A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518,1</w:t>
            </w:r>
          </w:p>
        </w:tc>
        <w:tc>
          <w:tcPr>
            <w:tcW w:w="628" w:type="dxa"/>
            <w:tcBorders>
              <w:top w:val="nil"/>
              <w:left w:val="nil"/>
              <w:bottom w:val="single" w:sz="4" w:space="0" w:color="auto"/>
              <w:right w:val="single" w:sz="4" w:space="0" w:color="auto"/>
            </w:tcBorders>
            <w:shd w:val="clear" w:color="000000" w:fill="D9D9D9"/>
            <w:noWrap/>
            <w:vAlign w:val="bottom"/>
            <w:hideMark/>
          </w:tcPr>
          <w:p w14:paraId="337E165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529,3</w:t>
            </w:r>
          </w:p>
        </w:tc>
        <w:tc>
          <w:tcPr>
            <w:tcW w:w="628" w:type="dxa"/>
            <w:tcBorders>
              <w:top w:val="nil"/>
              <w:left w:val="nil"/>
              <w:bottom w:val="single" w:sz="4" w:space="0" w:color="auto"/>
              <w:right w:val="single" w:sz="4" w:space="0" w:color="auto"/>
            </w:tcBorders>
            <w:shd w:val="clear" w:color="000000" w:fill="D9D9D9"/>
            <w:noWrap/>
            <w:vAlign w:val="bottom"/>
            <w:hideMark/>
          </w:tcPr>
          <w:p w14:paraId="072C698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522,5</w:t>
            </w:r>
          </w:p>
        </w:tc>
        <w:tc>
          <w:tcPr>
            <w:tcW w:w="628" w:type="dxa"/>
            <w:tcBorders>
              <w:top w:val="nil"/>
              <w:left w:val="nil"/>
              <w:bottom w:val="single" w:sz="4" w:space="0" w:color="auto"/>
              <w:right w:val="single" w:sz="4" w:space="0" w:color="auto"/>
            </w:tcBorders>
            <w:shd w:val="clear" w:color="000000" w:fill="D9D9D9"/>
            <w:noWrap/>
            <w:vAlign w:val="bottom"/>
            <w:hideMark/>
          </w:tcPr>
          <w:p w14:paraId="4DD8B93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508,1</w:t>
            </w:r>
          </w:p>
        </w:tc>
        <w:tc>
          <w:tcPr>
            <w:tcW w:w="628" w:type="dxa"/>
            <w:tcBorders>
              <w:top w:val="nil"/>
              <w:left w:val="nil"/>
              <w:bottom w:val="single" w:sz="4" w:space="0" w:color="auto"/>
              <w:right w:val="single" w:sz="4" w:space="0" w:color="auto"/>
            </w:tcBorders>
            <w:shd w:val="clear" w:color="000000" w:fill="D9D9D9"/>
            <w:noWrap/>
            <w:vAlign w:val="bottom"/>
            <w:hideMark/>
          </w:tcPr>
          <w:p w14:paraId="0E46E2D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508,3</w:t>
            </w:r>
          </w:p>
        </w:tc>
        <w:tc>
          <w:tcPr>
            <w:tcW w:w="628" w:type="dxa"/>
            <w:tcBorders>
              <w:top w:val="nil"/>
              <w:left w:val="nil"/>
              <w:bottom w:val="single" w:sz="4" w:space="0" w:color="auto"/>
              <w:right w:val="single" w:sz="4" w:space="0" w:color="auto"/>
            </w:tcBorders>
            <w:shd w:val="clear" w:color="000000" w:fill="D9D9D9"/>
            <w:noWrap/>
            <w:vAlign w:val="bottom"/>
            <w:hideMark/>
          </w:tcPr>
          <w:p w14:paraId="5078A30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504,0</w:t>
            </w:r>
          </w:p>
        </w:tc>
        <w:tc>
          <w:tcPr>
            <w:tcW w:w="628" w:type="dxa"/>
            <w:tcBorders>
              <w:top w:val="nil"/>
              <w:left w:val="nil"/>
              <w:bottom w:val="single" w:sz="4" w:space="0" w:color="auto"/>
              <w:right w:val="single" w:sz="4" w:space="0" w:color="auto"/>
            </w:tcBorders>
            <w:shd w:val="clear" w:color="000000" w:fill="D9D9D9"/>
            <w:noWrap/>
            <w:vAlign w:val="bottom"/>
            <w:hideMark/>
          </w:tcPr>
          <w:p w14:paraId="3F1400D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504,1</w:t>
            </w:r>
          </w:p>
        </w:tc>
      </w:tr>
    </w:tbl>
    <w:p w14:paraId="19B5C4E0" w14:textId="77777777" w:rsidR="00B56301" w:rsidRDefault="00B56301" w:rsidP="00B56301">
      <w:pPr>
        <w:spacing w:line="240" w:lineRule="atLeast"/>
        <w:jc w:val="left"/>
      </w:pPr>
    </w:p>
    <w:p w14:paraId="6D4E862F" w14:textId="77777777" w:rsidR="00B56301" w:rsidRDefault="00B56301" w:rsidP="00B56301">
      <w:pPr>
        <w:spacing w:line="240" w:lineRule="atLeast"/>
        <w:jc w:val="left"/>
      </w:pPr>
      <w:r>
        <w:br w:type="page"/>
      </w:r>
    </w:p>
    <w:p w14:paraId="787EBDD8" w14:textId="77777777" w:rsidR="00B56301" w:rsidRDefault="00B56301" w:rsidP="00B56301">
      <w:pPr>
        <w:spacing w:line="240" w:lineRule="atLeast"/>
        <w:jc w:val="left"/>
      </w:pPr>
    </w:p>
    <w:tbl>
      <w:tblPr>
        <w:tblW w:w="10704"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628"/>
      </w:tblGrid>
      <w:tr w:rsidR="00B56301" w:rsidRPr="007253FC" w14:paraId="65DDAC06" w14:textId="77777777" w:rsidTr="00B37B65">
        <w:trPr>
          <w:trHeight w:val="68"/>
          <w:jc w:val="center"/>
        </w:trPr>
        <w:tc>
          <w:tcPr>
            <w:tcW w:w="10704" w:type="dxa"/>
            <w:gridSpan w:val="9"/>
            <w:tcBorders>
              <w:top w:val="nil"/>
              <w:left w:val="nil"/>
              <w:bottom w:val="nil"/>
            </w:tcBorders>
            <w:shd w:val="clear" w:color="auto" w:fill="auto"/>
            <w:vAlign w:val="center"/>
          </w:tcPr>
          <w:p w14:paraId="31460294"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Emissions dans l'air - Source Citepa édition 2022 - inventaire national d'émissions de gaz à effet de serre et de polluants atmosphériques - citepa.org</w:t>
            </w:r>
          </w:p>
        </w:tc>
      </w:tr>
      <w:tr w:rsidR="00B56301" w:rsidRPr="007253FC" w14:paraId="734EDE0F" w14:textId="77777777" w:rsidTr="00B37B65">
        <w:trPr>
          <w:trHeight w:val="68"/>
          <w:jc w:val="center"/>
        </w:trPr>
        <w:tc>
          <w:tcPr>
            <w:tcW w:w="10704" w:type="dxa"/>
            <w:gridSpan w:val="9"/>
            <w:tcBorders>
              <w:top w:val="nil"/>
              <w:left w:val="nil"/>
            </w:tcBorders>
            <w:shd w:val="clear" w:color="auto" w:fill="auto"/>
            <w:vAlign w:val="center"/>
          </w:tcPr>
          <w:p w14:paraId="041D4E3B"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Méthodologie d'estimation : citepa.org/ominea</w:t>
            </w:r>
          </w:p>
        </w:tc>
      </w:tr>
      <w:tr w:rsidR="00B56301" w:rsidRPr="007253FC" w14:paraId="173270F9" w14:textId="77777777" w:rsidTr="00B37B65">
        <w:trPr>
          <w:trHeight w:val="68"/>
          <w:jc w:val="center"/>
        </w:trPr>
        <w:tc>
          <w:tcPr>
            <w:tcW w:w="10704" w:type="dxa"/>
            <w:gridSpan w:val="9"/>
            <w:tcBorders>
              <w:top w:val="nil"/>
              <w:left w:val="nil"/>
              <w:bottom w:val="nil"/>
            </w:tcBorders>
            <w:shd w:val="clear" w:color="auto" w:fill="auto"/>
            <w:vAlign w:val="center"/>
          </w:tcPr>
          <w:p w14:paraId="33A9E13B" w14:textId="77777777" w:rsidR="00B56301" w:rsidRPr="007253FC" w:rsidRDefault="00B56301" w:rsidP="00B37B65">
            <w:pPr>
              <w:jc w:val="center"/>
              <w:rPr>
                <w:rFonts w:ascii="Trebuchet MS" w:hAnsi="Trebuchet MS" w:cs="Arial"/>
                <w:b/>
                <w:bCs/>
                <w:sz w:val="18"/>
                <w:szCs w:val="18"/>
              </w:rPr>
            </w:pPr>
          </w:p>
        </w:tc>
      </w:tr>
      <w:tr w:rsidR="00B56301" w:rsidRPr="007253FC" w14:paraId="45C77BC5" w14:textId="77777777" w:rsidTr="00B37B65">
        <w:trPr>
          <w:trHeight w:val="68"/>
          <w:jc w:val="center"/>
        </w:trPr>
        <w:tc>
          <w:tcPr>
            <w:tcW w:w="5680" w:type="dxa"/>
            <w:tcBorders>
              <w:top w:val="nil"/>
              <w:left w:val="nil"/>
              <w:bottom w:val="nil"/>
              <w:right w:val="nil"/>
            </w:tcBorders>
            <w:shd w:val="clear" w:color="auto" w:fill="auto"/>
            <w:vAlign w:val="center"/>
            <w:hideMark/>
          </w:tcPr>
          <w:p w14:paraId="0524C073" w14:textId="026617FE" w:rsidR="00B56301" w:rsidRPr="007253FC" w:rsidRDefault="00B56301" w:rsidP="00B37B65">
            <w:pPr>
              <w:jc w:val="center"/>
              <w:rPr>
                <w:rFonts w:ascii="Trebuchet MS" w:hAnsi="Trebuchet MS" w:cs="Arial"/>
                <w:b/>
                <w:bCs/>
                <w:i/>
                <w:iCs/>
                <w:sz w:val="16"/>
                <w:szCs w:val="18"/>
              </w:rPr>
            </w:pPr>
            <w:r w:rsidRPr="007253FC">
              <w:rPr>
                <w:rFonts w:ascii="Trebuchet MS" w:hAnsi="Trebuchet MS" w:cs="Arial"/>
                <w:b/>
                <w:bCs/>
                <w:i/>
                <w:iCs/>
                <w:sz w:val="16"/>
                <w:szCs w:val="18"/>
              </w:rPr>
              <w:t xml:space="preserve">Emissions de </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 xml:space="preserve"> (Mt</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/an)</w:t>
            </w:r>
            <w:r w:rsidRPr="007253FC">
              <w:rPr>
                <w:rFonts w:ascii="Trebuchet MS" w:hAnsi="Trebuchet MS" w:cs="Arial"/>
                <w:b/>
                <w:bCs/>
                <w:i/>
                <w:iCs/>
                <w:sz w:val="16"/>
                <w:szCs w:val="18"/>
              </w:rPr>
              <w:br/>
              <w:t>Périmètre : Métropole et Outre-mer inclus dans l'UE</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7B3E5"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2BD5A44"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2007</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53CC92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7FCDC7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2009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AA1B2A4"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384F246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F337F2B"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05A27DF9"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2013</w:t>
            </w:r>
          </w:p>
        </w:tc>
      </w:tr>
      <w:tr w:rsidR="00B56301" w:rsidRPr="007253FC" w14:paraId="2074AD15"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10E404E5"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Industrie de l'énergie</w:t>
            </w:r>
          </w:p>
        </w:tc>
        <w:tc>
          <w:tcPr>
            <w:tcW w:w="628" w:type="dxa"/>
            <w:tcBorders>
              <w:top w:val="nil"/>
              <w:left w:val="nil"/>
              <w:bottom w:val="single" w:sz="4" w:space="0" w:color="auto"/>
              <w:right w:val="single" w:sz="4" w:space="0" w:color="auto"/>
            </w:tcBorders>
            <w:shd w:val="clear" w:color="000000" w:fill="DDEBF7"/>
            <w:noWrap/>
            <w:vAlign w:val="bottom"/>
            <w:hideMark/>
          </w:tcPr>
          <w:p w14:paraId="169C6DE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70,1</w:t>
            </w:r>
          </w:p>
        </w:tc>
        <w:tc>
          <w:tcPr>
            <w:tcW w:w="628" w:type="dxa"/>
            <w:tcBorders>
              <w:top w:val="nil"/>
              <w:left w:val="nil"/>
              <w:bottom w:val="single" w:sz="4" w:space="0" w:color="auto"/>
              <w:right w:val="single" w:sz="4" w:space="0" w:color="auto"/>
            </w:tcBorders>
            <w:shd w:val="clear" w:color="000000" w:fill="DDEBF7"/>
            <w:noWrap/>
            <w:vAlign w:val="bottom"/>
            <w:hideMark/>
          </w:tcPr>
          <w:p w14:paraId="0A301C6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69,6</w:t>
            </w:r>
          </w:p>
        </w:tc>
        <w:tc>
          <w:tcPr>
            <w:tcW w:w="628" w:type="dxa"/>
            <w:tcBorders>
              <w:top w:val="nil"/>
              <w:left w:val="nil"/>
              <w:bottom w:val="single" w:sz="4" w:space="0" w:color="auto"/>
              <w:right w:val="single" w:sz="4" w:space="0" w:color="auto"/>
            </w:tcBorders>
            <w:shd w:val="clear" w:color="000000" w:fill="DDEBF7"/>
            <w:noWrap/>
            <w:vAlign w:val="bottom"/>
            <w:hideMark/>
          </w:tcPr>
          <w:p w14:paraId="72BEF9E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68,8</w:t>
            </w:r>
          </w:p>
        </w:tc>
        <w:tc>
          <w:tcPr>
            <w:tcW w:w="628" w:type="dxa"/>
            <w:tcBorders>
              <w:top w:val="nil"/>
              <w:left w:val="nil"/>
              <w:bottom w:val="single" w:sz="4" w:space="0" w:color="auto"/>
              <w:right w:val="single" w:sz="4" w:space="0" w:color="auto"/>
            </w:tcBorders>
            <w:shd w:val="clear" w:color="000000" w:fill="DDEBF7"/>
            <w:noWrap/>
            <w:vAlign w:val="bottom"/>
            <w:hideMark/>
          </w:tcPr>
          <w:p w14:paraId="238511B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66,6</w:t>
            </w:r>
          </w:p>
        </w:tc>
        <w:tc>
          <w:tcPr>
            <w:tcW w:w="628" w:type="dxa"/>
            <w:tcBorders>
              <w:top w:val="nil"/>
              <w:left w:val="nil"/>
              <w:bottom w:val="single" w:sz="4" w:space="0" w:color="auto"/>
              <w:right w:val="single" w:sz="4" w:space="0" w:color="auto"/>
            </w:tcBorders>
            <w:shd w:val="clear" w:color="000000" w:fill="DDEBF7"/>
            <w:noWrap/>
            <w:vAlign w:val="bottom"/>
            <w:hideMark/>
          </w:tcPr>
          <w:p w14:paraId="43067A2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66,8</w:t>
            </w:r>
          </w:p>
        </w:tc>
        <w:tc>
          <w:tcPr>
            <w:tcW w:w="628" w:type="dxa"/>
            <w:tcBorders>
              <w:top w:val="nil"/>
              <w:left w:val="nil"/>
              <w:bottom w:val="single" w:sz="4" w:space="0" w:color="auto"/>
              <w:right w:val="single" w:sz="4" w:space="0" w:color="auto"/>
            </w:tcBorders>
            <w:shd w:val="clear" w:color="000000" w:fill="DDEBF7"/>
            <w:noWrap/>
            <w:vAlign w:val="bottom"/>
            <w:hideMark/>
          </w:tcPr>
          <w:p w14:paraId="6A899CC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61,1</w:t>
            </w:r>
          </w:p>
        </w:tc>
        <w:tc>
          <w:tcPr>
            <w:tcW w:w="628" w:type="dxa"/>
            <w:tcBorders>
              <w:top w:val="nil"/>
              <w:left w:val="nil"/>
              <w:bottom w:val="single" w:sz="4" w:space="0" w:color="auto"/>
              <w:right w:val="single" w:sz="4" w:space="0" w:color="auto"/>
            </w:tcBorders>
            <w:shd w:val="clear" w:color="000000" w:fill="DDEBF7"/>
            <w:noWrap/>
            <w:vAlign w:val="bottom"/>
            <w:hideMark/>
          </w:tcPr>
          <w:p w14:paraId="3C50AAB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62,7</w:t>
            </w:r>
          </w:p>
        </w:tc>
        <w:tc>
          <w:tcPr>
            <w:tcW w:w="628" w:type="dxa"/>
            <w:tcBorders>
              <w:top w:val="nil"/>
              <w:left w:val="nil"/>
              <w:bottom w:val="single" w:sz="4" w:space="0" w:color="auto"/>
              <w:right w:val="single" w:sz="4" w:space="0" w:color="auto"/>
            </w:tcBorders>
            <w:shd w:val="clear" w:color="000000" w:fill="DDEBF7"/>
            <w:noWrap/>
            <w:vAlign w:val="bottom"/>
            <w:hideMark/>
          </w:tcPr>
          <w:p w14:paraId="7DB1938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60,7</w:t>
            </w:r>
          </w:p>
        </w:tc>
      </w:tr>
      <w:tr w:rsidR="00B56301" w:rsidRPr="007253FC" w14:paraId="278067F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720C3C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Production d'électricité</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F03E8F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34,4</w:t>
            </w:r>
          </w:p>
        </w:tc>
        <w:tc>
          <w:tcPr>
            <w:tcW w:w="628" w:type="dxa"/>
            <w:tcBorders>
              <w:top w:val="nil"/>
              <w:left w:val="nil"/>
              <w:bottom w:val="single" w:sz="4" w:space="0" w:color="auto"/>
              <w:right w:val="single" w:sz="4" w:space="0" w:color="auto"/>
            </w:tcBorders>
            <w:shd w:val="clear" w:color="auto" w:fill="auto"/>
            <w:noWrap/>
            <w:vAlign w:val="center"/>
            <w:hideMark/>
          </w:tcPr>
          <w:p w14:paraId="540CF1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34,8</w:t>
            </w:r>
          </w:p>
        </w:tc>
        <w:tc>
          <w:tcPr>
            <w:tcW w:w="628" w:type="dxa"/>
            <w:tcBorders>
              <w:top w:val="nil"/>
              <w:left w:val="nil"/>
              <w:bottom w:val="single" w:sz="4" w:space="0" w:color="auto"/>
              <w:right w:val="single" w:sz="4" w:space="0" w:color="auto"/>
            </w:tcBorders>
            <w:shd w:val="clear" w:color="auto" w:fill="auto"/>
            <w:noWrap/>
            <w:vAlign w:val="center"/>
            <w:hideMark/>
          </w:tcPr>
          <w:p w14:paraId="0F90BE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33,8</w:t>
            </w:r>
          </w:p>
        </w:tc>
        <w:tc>
          <w:tcPr>
            <w:tcW w:w="628" w:type="dxa"/>
            <w:tcBorders>
              <w:top w:val="nil"/>
              <w:left w:val="nil"/>
              <w:bottom w:val="single" w:sz="4" w:space="0" w:color="auto"/>
              <w:right w:val="single" w:sz="4" w:space="0" w:color="auto"/>
            </w:tcBorders>
            <w:shd w:val="clear" w:color="auto" w:fill="auto"/>
            <w:noWrap/>
            <w:vAlign w:val="center"/>
            <w:hideMark/>
          </w:tcPr>
          <w:p w14:paraId="3ED7FE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33,3</w:t>
            </w:r>
          </w:p>
        </w:tc>
        <w:tc>
          <w:tcPr>
            <w:tcW w:w="628" w:type="dxa"/>
            <w:tcBorders>
              <w:top w:val="nil"/>
              <w:left w:val="nil"/>
              <w:bottom w:val="single" w:sz="4" w:space="0" w:color="auto"/>
              <w:right w:val="single" w:sz="4" w:space="0" w:color="auto"/>
            </w:tcBorders>
            <w:shd w:val="clear" w:color="auto" w:fill="auto"/>
            <w:noWrap/>
            <w:vAlign w:val="center"/>
            <w:hideMark/>
          </w:tcPr>
          <w:p w14:paraId="7F52C3C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34,5</w:t>
            </w:r>
          </w:p>
        </w:tc>
        <w:tc>
          <w:tcPr>
            <w:tcW w:w="628" w:type="dxa"/>
            <w:tcBorders>
              <w:top w:val="nil"/>
              <w:left w:val="nil"/>
              <w:bottom w:val="single" w:sz="4" w:space="0" w:color="auto"/>
              <w:right w:val="single" w:sz="4" w:space="0" w:color="auto"/>
            </w:tcBorders>
            <w:shd w:val="clear" w:color="auto" w:fill="auto"/>
            <w:noWrap/>
            <w:vAlign w:val="center"/>
            <w:hideMark/>
          </w:tcPr>
          <w:p w14:paraId="252ED1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27,7</w:t>
            </w:r>
          </w:p>
        </w:tc>
        <w:tc>
          <w:tcPr>
            <w:tcW w:w="628" w:type="dxa"/>
            <w:tcBorders>
              <w:top w:val="nil"/>
              <w:left w:val="nil"/>
              <w:bottom w:val="single" w:sz="4" w:space="0" w:color="auto"/>
              <w:right w:val="single" w:sz="4" w:space="0" w:color="auto"/>
            </w:tcBorders>
            <w:shd w:val="clear" w:color="auto" w:fill="auto"/>
            <w:noWrap/>
            <w:vAlign w:val="center"/>
            <w:hideMark/>
          </w:tcPr>
          <w:p w14:paraId="10295FF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30,5</w:t>
            </w:r>
          </w:p>
        </w:tc>
        <w:tc>
          <w:tcPr>
            <w:tcW w:w="628" w:type="dxa"/>
            <w:tcBorders>
              <w:top w:val="nil"/>
              <w:left w:val="nil"/>
              <w:bottom w:val="single" w:sz="4" w:space="0" w:color="auto"/>
              <w:right w:val="single" w:sz="4" w:space="0" w:color="auto"/>
            </w:tcBorders>
            <w:shd w:val="clear" w:color="auto" w:fill="auto"/>
            <w:noWrap/>
            <w:vAlign w:val="center"/>
            <w:hideMark/>
          </w:tcPr>
          <w:p w14:paraId="1E546A5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30,7</w:t>
            </w:r>
          </w:p>
        </w:tc>
      </w:tr>
      <w:tr w:rsidR="00B56301" w:rsidRPr="007253FC" w14:paraId="57B5DDE6"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42253B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Chauffage urbain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3F16DA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6,9</w:t>
            </w:r>
          </w:p>
        </w:tc>
        <w:tc>
          <w:tcPr>
            <w:tcW w:w="628" w:type="dxa"/>
            <w:tcBorders>
              <w:top w:val="nil"/>
              <w:left w:val="nil"/>
              <w:bottom w:val="single" w:sz="4" w:space="0" w:color="auto"/>
              <w:right w:val="single" w:sz="4" w:space="0" w:color="auto"/>
            </w:tcBorders>
            <w:shd w:val="clear" w:color="auto" w:fill="auto"/>
            <w:noWrap/>
            <w:vAlign w:val="center"/>
            <w:hideMark/>
          </w:tcPr>
          <w:p w14:paraId="5008EDB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0194995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3CCA7A5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3EC515A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29DBB0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8,1</w:t>
            </w:r>
          </w:p>
        </w:tc>
        <w:tc>
          <w:tcPr>
            <w:tcW w:w="628" w:type="dxa"/>
            <w:tcBorders>
              <w:top w:val="nil"/>
              <w:left w:val="nil"/>
              <w:bottom w:val="single" w:sz="4" w:space="0" w:color="auto"/>
              <w:right w:val="single" w:sz="4" w:space="0" w:color="auto"/>
            </w:tcBorders>
            <w:shd w:val="clear" w:color="auto" w:fill="auto"/>
            <w:noWrap/>
            <w:vAlign w:val="center"/>
            <w:hideMark/>
          </w:tcPr>
          <w:p w14:paraId="6C13127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9,5</w:t>
            </w:r>
          </w:p>
        </w:tc>
        <w:tc>
          <w:tcPr>
            <w:tcW w:w="628" w:type="dxa"/>
            <w:tcBorders>
              <w:top w:val="nil"/>
              <w:left w:val="nil"/>
              <w:bottom w:val="single" w:sz="4" w:space="0" w:color="auto"/>
              <w:right w:val="single" w:sz="4" w:space="0" w:color="auto"/>
            </w:tcBorders>
            <w:shd w:val="clear" w:color="auto" w:fill="auto"/>
            <w:noWrap/>
            <w:vAlign w:val="center"/>
            <w:hideMark/>
          </w:tcPr>
          <w:p w14:paraId="32B7FEC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7,8</w:t>
            </w:r>
          </w:p>
        </w:tc>
      </w:tr>
      <w:tr w:rsidR="00B56301" w:rsidRPr="007253FC" w14:paraId="1A1ED5B2"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770EB6F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Raffinage du pétrole</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A8D151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17,4</w:t>
            </w:r>
          </w:p>
        </w:tc>
        <w:tc>
          <w:tcPr>
            <w:tcW w:w="628" w:type="dxa"/>
            <w:tcBorders>
              <w:top w:val="nil"/>
              <w:left w:val="nil"/>
              <w:bottom w:val="single" w:sz="4" w:space="0" w:color="auto"/>
              <w:right w:val="single" w:sz="4" w:space="0" w:color="auto"/>
            </w:tcBorders>
            <w:shd w:val="clear" w:color="auto" w:fill="auto"/>
            <w:noWrap/>
            <w:vAlign w:val="center"/>
            <w:hideMark/>
          </w:tcPr>
          <w:p w14:paraId="616EEF9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17,5</w:t>
            </w:r>
          </w:p>
        </w:tc>
        <w:tc>
          <w:tcPr>
            <w:tcW w:w="628" w:type="dxa"/>
            <w:tcBorders>
              <w:top w:val="nil"/>
              <w:left w:val="nil"/>
              <w:bottom w:val="single" w:sz="4" w:space="0" w:color="auto"/>
              <w:right w:val="single" w:sz="4" w:space="0" w:color="auto"/>
            </w:tcBorders>
            <w:shd w:val="clear" w:color="auto" w:fill="auto"/>
            <w:noWrap/>
            <w:vAlign w:val="center"/>
            <w:hideMark/>
          </w:tcPr>
          <w:p w14:paraId="77EA64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17,6</w:t>
            </w:r>
          </w:p>
        </w:tc>
        <w:tc>
          <w:tcPr>
            <w:tcW w:w="628" w:type="dxa"/>
            <w:tcBorders>
              <w:top w:val="nil"/>
              <w:left w:val="nil"/>
              <w:bottom w:val="single" w:sz="4" w:space="0" w:color="auto"/>
              <w:right w:val="single" w:sz="4" w:space="0" w:color="auto"/>
            </w:tcBorders>
            <w:shd w:val="clear" w:color="auto" w:fill="auto"/>
            <w:noWrap/>
            <w:vAlign w:val="center"/>
            <w:hideMark/>
          </w:tcPr>
          <w:p w14:paraId="7625EF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16,6</w:t>
            </w:r>
          </w:p>
        </w:tc>
        <w:tc>
          <w:tcPr>
            <w:tcW w:w="628" w:type="dxa"/>
            <w:tcBorders>
              <w:top w:val="nil"/>
              <w:left w:val="nil"/>
              <w:bottom w:val="single" w:sz="4" w:space="0" w:color="auto"/>
              <w:right w:val="single" w:sz="4" w:space="0" w:color="auto"/>
            </w:tcBorders>
            <w:shd w:val="clear" w:color="auto" w:fill="auto"/>
            <w:noWrap/>
            <w:vAlign w:val="center"/>
            <w:hideMark/>
          </w:tcPr>
          <w:p w14:paraId="2866F42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14,8</w:t>
            </w:r>
          </w:p>
        </w:tc>
        <w:tc>
          <w:tcPr>
            <w:tcW w:w="628" w:type="dxa"/>
            <w:tcBorders>
              <w:top w:val="nil"/>
              <w:left w:val="nil"/>
              <w:bottom w:val="single" w:sz="4" w:space="0" w:color="auto"/>
              <w:right w:val="single" w:sz="4" w:space="0" w:color="auto"/>
            </w:tcBorders>
            <w:shd w:val="clear" w:color="auto" w:fill="auto"/>
            <w:noWrap/>
            <w:vAlign w:val="center"/>
            <w:hideMark/>
          </w:tcPr>
          <w:p w14:paraId="10B0DE4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14,3</w:t>
            </w:r>
          </w:p>
        </w:tc>
        <w:tc>
          <w:tcPr>
            <w:tcW w:w="628" w:type="dxa"/>
            <w:tcBorders>
              <w:top w:val="nil"/>
              <w:left w:val="nil"/>
              <w:bottom w:val="single" w:sz="4" w:space="0" w:color="auto"/>
              <w:right w:val="single" w:sz="4" w:space="0" w:color="auto"/>
            </w:tcBorders>
            <w:shd w:val="clear" w:color="auto" w:fill="auto"/>
            <w:noWrap/>
            <w:vAlign w:val="center"/>
            <w:hideMark/>
          </w:tcPr>
          <w:p w14:paraId="6C4BEB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11,7</w:t>
            </w:r>
          </w:p>
        </w:tc>
        <w:tc>
          <w:tcPr>
            <w:tcW w:w="628" w:type="dxa"/>
            <w:tcBorders>
              <w:top w:val="nil"/>
              <w:left w:val="nil"/>
              <w:bottom w:val="single" w:sz="4" w:space="0" w:color="auto"/>
              <w:right w:val="single" w:sz="4" w:space="0" w:color="auto"/>
            </w:tcBorders>
            <w:shd w:val="clear" w:color="auto" w:fill="auto"/>
            <w:noWrap/>
            <w:vAlign w:val="center"/>
            <w:hideMark/>
          </w:tcPr>
          <w:p w14:paraId="3785912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10,9</w:t>
            </w:r>
          </w:p>
        </w:tc>
      </w:tr>
      <w:tr w:rsidR="00B56301" w:rsidRPr="007253FC" w14:paraId="4C2DE289"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BF8D48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Transformation des combustibles minéraux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3FED24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1D4E7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FCE45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7595DA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6A6AE41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21BD8CC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7FCE147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1FF319B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r>
      <w:tr w:rsidR="00B56301" w:rsidRPr="007253FC" w14:paraId="2C3F1E83"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17587AF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871028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627A0D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F5EB3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F256A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97C9A6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C3CD8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55A14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BD317A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r>
      <w:tr w:rsidR="00B56301" w:rsidRPr="007253FC" w14:paraId="03B44BF0"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C824DF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liquides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DF52C4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0,2</w:t>
            </w:r>
          </w:p>
        </w:tc>
        <w:tc>
          <w:tcPr>
            <w:tcW w:w="628" w:type="dxa"/>
            <w:tcBorders>
              <w:top w:val="nil"/>
              <w:left w:val="nil"/>
              <w:bottom w:val="single" w:sz="4" w:space="0" w:color="auto"/>
              <w:right w:val="single" w:sz="4" w:space="0" w:color="auto"/>
            </w:tcBorders>
            <w:shd w:val="clear" w:color="auto" w:fill="auto"/>
            <w:noWrap/>
            <w:vAlign w:val="center"/>
            <w:hideMark/>
          </w:tcPr>
          <w:p w14:paraId="41AFB6A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CFF9E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5613F6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3ECB66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1C17140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3C6854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989BA1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r>
      <w:tr w:rsidR="00B56301" w:rsidRPr="007253FC" w14:paraId="6226E61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6D1F248"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gazeux</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2F4881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0B9F16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7139A33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B3837E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6C62DC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w:t>
            </w:r>
          </w:p>
        </w:tc>
        <w:tc>
          <w:tcPr>
            <w:tcW w:w="628" w:type="dxa"/>
            <w:tcBorders>
              <w:top w:val="nil"/>
              <w:left w:val="nil"/>
              <w:bottom w:val="single" w:sz="4" w:space="0" w:color="auto"/>
              <w:right w:val="single" w:sz="4" w:space="0" w:color="auto"/>
            </w:tcBorders>
            <w:shd w:val="clear" w:color="auto" w:fill="auto"/>
            <w:noWrap/>
            <w:vAlign w:val="center"/>
            <w:hideMark/>
          </w:tcPr>
          <w:p w14:paraId="3BD70B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w:t>
            </w:r>
          </w:p>
        </w:tc>
        <w:tc>
          <w:tcPr>
            <w:tcW w:w="628" w:type="dxa"/>
            <w:tcBorders>
              <w:top w:val="nil"/>
              <w:left w:val="nil"/>
              <w:bottom w:val="single" w:sz="4" w:space="0" w:color="auto"/>
              <w:right w:val="single" w:sz="4" w:space="0" w:color="auto"/>
            </w:tcBorders>
            <w:shd w:val="clear" w:color="auto" w:fill="auto"/>
            <w:noWrap/>
            <w:vAlign w:val="center"/>
            <w:hideMark/>
          </w:tcPr>
          <w:p w14:paraId="43DB50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w:t>
            </w:r>
          </w:p>
        </w:tc>
        <w:tc>
          <w:tcPr>
            <w:tcW w:w="628" w:type="dxa"/>
            <w:tcBorders>
              <w:top w:val="nil"/>
              <w:left w:val="nil"/>
              <w:bottom w:val="single" w:sz="4" w:space="0" w:color="auto"/>
              <w:right w:val="single" w:sz="4" w:space="0" w:color="auto"/>
            </w:tcBorders>
            <w:shd w:val="clear" w:color="auto" w:fill="auto"/>
            <w:noWrap/>
            <w:vAlign w:val="center"/>
            <w:hideMark/>
          </w:tcPr>
          <w:p w14:paraId="4FA4037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w:t>
            </w:r>
          </w:p>
        </w:tc>
      </w:tr>
      <w:tr w:rsidR="00B56301" w:rsidRPr="007253FC" w14:paraId="1E1AC89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0956011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Fabrication de charbon de bois par pyrolyse</w:t>
            </w:r>
          </w:p>
        </w:tc>
        <w:tc>
          <w:tcPr>
            <w:tcW w:w="628" w:type="dxa"/>
            <w:tcBorders>
              <w:top w:val="nil"/>
              <w:left w:val="nil"/>
              <w:bottom w:val="single" w:sz="4" w:space="0" w:color="auto"/>
              <w:right w:val="single" w:sz="4" w:space="0" w:color="auto"/>
            </w:tcBorders>
            <w:shd w:val="clear" w:color="auto" w:fill="auto"/>
            <w:noWrap/>
            <w:vAlign w:val="center"/>
            <w:hideMark/>
          </w:tcPr>
          <w:p w14:paraId="43745EB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262756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763E27C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98A300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56151E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18F470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0A4E8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173AF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r>
      <w:tr w:rsidR="00B56301" w:rsidRPr="007253FC" w14:paraId="633FA6D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048D375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Valorisation énergétique des déchets</w:t>
            </w:r>
          </w:p>
        </w:tc>
        <w:tc>
          <w:tcPr>
            <w:tcW w:w="628" w:type="dxa"/>
            <w:tcBorders>
              <w:top w:val="nil"/>
              <w:left w:val="nil"/>
              <w:bottom w:val="single" w:sz="4" w:space="0" w:color="auto"/>
              <w:right w:val="single" w:sz="4" w:space="0" w:color="auto"/>
            </w:tcBorders>
            <w:shd w:val="clear" w:color="auto" w:fill="auto"/>
            <w:noWrap/>
            <w:vAlign w:val="center"/>
            <w:hideMark/>
          </w:tcPr>
          <w:p w14:paraId="38910E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5,0</w:t>
            </w:r>
          </w:p>
        </w:tc>
        <w:tc>
          <w:tcPr>
            <w:tcW w:w="628" w:type="dxa"/>
            <w:tcBorders>
              <w:top w:val="nil"/>
              <w:left w:val="nil"/>
              <w:bottom w:val="single" w:sz="4" w:space="0" w:color="auto"/>
              <w:right w:val="single" w:sz="4" w:space="0" w:color="auto"/>
            </w:tcBorders>
            <w:shd w:val="clear" w:color="auto" w:fill="auto"/>
            <w:noWrap/>
            <w:vAlign w:val="center"/>
            <w:hideMark/>
          </w:tcPr>
          <w:p w14:paraId="2FE7FA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7170EC2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center"/>
            <w:hideMark/>
          </w:tcPr>
          <w:p w14:paraId="1421C6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6EB5E2D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5,6</w:t>
            </w:r>
          </w:p>
        </w:tc>
        <w:tc>
          <w:tcPr>
            <w:tcW w:w="628" w:type="dxa"/>
            <w:tcBorders>
              <w:top w:val="nil"/>
              <w:left w:val="nil"/>
              <w:bottom w:val="single" w:sz="4" w:space="0" w:color="auto"/>
              <w:right w:val="single" w:sz="4" w:space="0" w:color="auto"/>
            </w:tcBorders>
            <w:shd w:val="clear" w:color="auto" w:fill="auto"/>
            <w:noWrap/>
            <w:vAlign w:val="center"/>
            <w:hideMark/>
          </w:tcPr>
          <w:p w14:paraId="52CB263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568618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w:t>
            </w:r>
          </w:p>
        </w:tc>
        <w:tc>
          <w:tcPr>
            <w:tcW w:w="628" w:type="dxa"/>
            <w:tcBorders>
              <w:top w:val="nil"/>
              <w:left w:val="nil"/>
              <w:bottom w:val="single" w:sz="4" w:space="0" w:color="auto"/>
              <w:right w:val="single" w:sz="4" w:space="0" w:color="auto"/>
            </w:tcBorders>
            <w:shd w:val="clear" w:color="auto" w:fill="auto"/>
            <w:noWrap/>
            <w:vAlign w:val="center"/>
            <w:hideMark/>
          </w:tcPr>
          <w:p w14:paraId="7165A38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6,3</w:t>
            </w:r>
          </w:p>
        </w:tc>
      </w:tr>
      <w:tr w:rsidR="00B56301" w:rsidRPr="007253FC" w14:paraId="0FA7D587"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1BF091D9"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Industrie manufacturière et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77180274"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118,1</w:t>
            </w:r>
          </w:p>
        </w:tc>
        <w:tc>
          <w:tcPr>
            <w:tcW w:w="628" w:type="dxa"/>
            <w:tcBorders>
              <w:top w:val="nil"/>
              <w:left w:val="nil"/>
              <w:bottom w:val="single" w:sz="4" w:space="0" w:color="auto"/>
              <w:right w:val="single" w:sz="4" w:space="0" w:color="auto"/>
            </w:tcBorders>
            <w:shd w:val="clear" w:color="000000" w:fill="0070C0"/>
            <w:noWrap/>
            <w:vAlign w:val="bottom"/>
            <w:hideMark/>
          </w:tcPr>
          <w:p w14:paraId="6F23071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116,9</w:t>
            </w:r>
          </w:p>
        </w:tc>
        <w:tc>
          <w:tcPr>
            <w:tcW w:w="628" w:type="dxa"/>
            <w:tcBorders>
              <w:top w:val="nil"/>
              <w:left w:val="nil"/>
              <w:bottom w:val="single" w:sz="4" w:space="0" w:color="auto"/>
              <w:right w:val="single" w:sz="4" w:space="0" w:color="auto"/>
            </w:tcBorders>
            <w:shd w:val="clear" w:color="000000" w:fill="0070C0"/>
            <w:noWrap/>
            <w:vAlign w:val="bottom"/>
            <w:hideMark/>
          </w:tcPr>
          <w:p w14:paraId="2DD2D27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109,6</w:t>
            </w:r>
          </w:p>
        </w:tc>
        <w:tc>
          <w:tcPr>
            <w:tcW w:w="628" w:type="dxa"/>
            <w:tcBorders>
              <w:top w:val="nil"/>
              <w:left w:val="nil"/>
              <w:bottom w:val="single" w:sz="4" w:space="0" w:color="auto"/>
              <w:right w:val="single" w:sz="4" w:space="0" w:color="auto"/>
            </w:tcBorders>
            <w:shd w:val="clear" w:color="000000" w:fill="0070C0"/>
            <w:noWrap/>
            <w:vAlign w:val="bottom"/>
            <w:hideMark/>
          </w:tcPr>
          <w:p w14:paraId="0BE02CF8"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90,2</w:t>
            </w:r>
          </w:p>
        </w:tc>
        <w:tc>
          <w:tcPr>
            <w:tcW w:w="628" w:type="dxa"/>
            <w:tcBorders>
              <w:top w:val="nil"/>
              <w:left w:val="nil"/>
              <w:bottom w:val="single" w:sz="4" w:space="0" w:color="auto"/>
              <w:right w:val="single" w:sz="4" w:space="0" w:color="auto"/>
            </w:tcBorders>
            <w:shd w:val="clear" w:color="000000" w:fill="0070C0"/>
            <w:noWrap/>
            <w:vAlign w:val="bottom"/>
            <w:hideMark/>
          </w:tcPr>
          <w:p w14:paraId="3229D97F"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95,8</w:t>
            </w:r>
          </w:p>
        </w:tc>
        <w:tc>
          <w:tcPr>
            <w:tcW w:w="628" w:type="dxa"/>
            <w:tcBorders>
              <w:top w:val="nil"/>
              <w:left w:val="nil"/>
              <w:bottom w:val="single" w:sz="4" w:space="0" w:color="auto"/>
              <w:right w:val="single" w:sz="4" w:space="0" w:color="auto"/>
            </w:tcBorders>
            <w:shd w:val="clear" w:color="000000" w:fill="0070C0"/>
            <w:noWrap/>
            <w:vAlign w:val="bottom"/>
            <w:hideMark/>
          </w:tcPr>
          <w:p w14:paraId="0A89A7D8"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91,5</w:t>
            </w:r>
          </w:p>
        </w:tc>
        <w:tc>
          <w:tcPr>
            <w:tcW w:w="628" w:type="dxa"/>
            <w:tcBorders>
              <w:top w:val="nil"/>
              <w:left w:val="nil"/>
              <w:bottom w:val="single" w:sz="4" w:space="0" w:color="auto"/>
              <w:right w:val="single" w:sz="4" w:space="0" w:color="auto"/>
            </w:tcBorders>
            <w:shd w:val="clear" w:color="000000" w:fill="0070C0"/>
            <w:noWrap/>
            <w:vAlign w:val="bottom"/>
            <w:hideMark/>
          </w:tcPr>
          <w:p w14:paraId="5DF8C09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88,0</w:t>
            </w:r>
          </w:p>
        </w:tc>
        <w:tc>
          <w:tcPr>
            <w:tcW w:w="628" w:type="dxa"/>
            <w:tcBorders>
              <w:top w:val="nil"/>
              <w:left w:val="nil"/>
              <w:bottom w:val="single" w:sz="4" w:space="0" w:color="auto"/>
              <w:right w:val="single" w:sz="4" w:space="0" w:color="auto"/>
            </w:tcBorders>
            <w:shd w:val="clear" w:color="000000" w:fill="0070C0"/>
            <w:noWrap/>
            <w:vAlign w:val="bottom"/>
            <w:hideMark/>
          </w:tcPr>
          <w:p w14:paraId="2B023B4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89,1</w:t>
            </w:r>
          </w:p>
        </w:tc>
      </w:tr>
      <w:tr w:rsidR="00B56301" w:rsidRPr="007253FC" w14:paraId="67735BB2"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B7564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Chimie</w:t>
            </w:r>
          </w:p>
        </w:tc>
        <w:tc>
          <w:tcPr>
            <w:tcW w:w="628" w:type="dxa"/>
            <w:tcBorders>
              <w:top w:val="nil"/>
              <w:left w:val="nil"/>
              <w:bottom w:val="single" w:sz="4" w:space="0" w:color="auto"/>
              <w:right w:val="single" w:sz="4" w:space="0" w:color="auto"/>
            </w:tcBorders>
            <w:shd w:val="clear" w:color="auto" w:fill="auto"/>
            <w:noWrap/>
            <w:vAlign w:val="center"/>
            <w:hideMark/>
          </w:tcPr>
          <w:p w14:paraId="7875275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32,5</w:t>
            </w:r>
          </w:p>
        </w:tc>
        <w:tc>
          <w:tcPr>
            <w:tcW w:w="628" w:type="dxa"/>
            <w:tcBorders>
              <w:top w:val="nil"/>
              <w:left w:val="nil"/>
              <w:bottom w:val="single" w:sz="4" w:space="0" w:color="auto"/>
              <w:right w:val="single" w:sz="4" w:space="0" w:color="auto"/>
            </w:tcBorders>
            <w:shd w:val="clear" w:color="auto" w:fill="auto"/>
            <w:noWrap/>
            <w:vAlign w:val="center"/>
            <w:hideMark/>
          </w:tcPr>
          <w:p w14:paraId="4173677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32,0</w:t>
            </w:r>
          </w:p>
        </w:tc>
        <w:tc>
          <w:tcPr>
            <w:tcW w:w="628" w:type="dxa"/>
            <w:tcBorders>
              <w:top w:val="nil"/>
              <w:left w:val="nil"/>
              <w:bottom w:val="single" w:sz="4" w:space="0" w:color="auto"/>
              <w:right w:val="single" w:sz="4" w:space="0" w:color="auto"/>
            </w:tcBorders>
            <w:shd w:val="clear" w:color="auto" w:fill="auto"/>
            <w:noWrap/>
            <w:vAlign w:val="center"/>
            <w:hideMark/>
          </w:tcPr>
          <w:p w14:paraId="0354E3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30,4</w:t>
            </w:r>
          </w:p>
        </w:tc>
        <w:tc>
          <w:tcPr>
            <w:tcW w:w="628" w:type="dxa"/>
            <w:tcBorders>
              <w:top w:val="nil"/>
              <w:left w:val="nil"/>
              <w:bottom w:val="single" w:sz="4" w:space="0" w:color="auto"/>
              <w:right w:val="single" w:sz="4" w:space="0" w:color="auto"/>
            </w:tcBorders>
            <w:shd w:val="clear" w:color="auto" w:fill="auto"/>
            <w:noWrap/>
            <w:vAlign w:val="center"/>
            <w:hideMark/>
          </w:tcPr>
          <w:p w14:paraId="6AA954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27,4</w:t>
            </w:r>
          </w:p>
        </w:tc>
        <w:tc>
          <w:tcPr>
            <w:tcW w:w="628" w:type="dxa"/>
            <w:tcBorders>
              <w:top w:val="nil"/>
              <w:left w:val="nil"/>
              <w:bottom w:val="single" w:sz="4" w:space="0" w:color="auto"/>
              <w:right w:val="single" w:sz="4" w:space="0" w:color="auto"/>
            </w:tcBorders>
            <w:shd w:val="clear" w:color="auto" w:fill="auto"/>
            <w:noWrap/>
            <w:vAlign w:val="center"/>
            <w:hideMark/>
          </w:tcPr>
          <w:p w14:paraId="7D162E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26,3</w:t>
            </w:r>
          </w:p>
        </w:tc>
        <w:tc>
          <w:tcPr>
            <w:tcW w:w="628" w:type="dxa"/>
            <w:tcBorders>
              <w:top w:val="nil"/>
              <w:left w:val="nil"/>
              <w:bottom w:val="single" w:sz="4" w:space="0" w:color="auto"/>
              <w:right w:val="single" w:sz="4" w:space="0" w:color="auto"/>
            </w:tcBorders>
            <w:shd w:val="clear" w:color="auto" w:fill="auto"/>
            <w:noWrap/>
            <w:vAlign w:val="center"/>
            <w:hideMark/>
          </w:tcPr>
          <w:p w14:paraId="5706D1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24,8</w:t>
            </w:r>
          </w:p>
        </w:tc>
        <w:tc>
          <w:tcPr>
            <w:tcW w:w="628" w:type="dxa"/>
            <w:tcBorders>
              <w:top w:val="nil"/>
              <w:left w:val="nil"/>
              <w:bottom w:val="single" w:sz="4" w:space="0" w:color="auto"/>
              <w:right w:val="single" w:sz="4" w:space="0" w:color="auto"/>
            </w:tcBorders>
            <w:shd w:val="clear" w:color="auto" w:fill="auto"/>
            <w:noWrap/>
            <w:vAlign w:val="center"/>
            <w:hideMark/>
          </w:tcPr>
          <w:p w14:paraId="3B99D92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24,0</w:t>
            </w:r>
          </w:p>
        </w:tc>
        <w:tc>
          <w:tcPr>
            <w:tcW w:w="628" w:type="dxa"/>
            <w:tcBorders>
              <w:top w:val="nil"/>
              <w:left w:val="nil"/>
              <w:bottom w:val="single" w:sz="4" w:space="0" w:color="auto"/>
              <w:right w:val="single" w:sz="4" w:space="0" w:color="auto"/>
            </w:tcBorders>
            <w:shd w:val="clear" w:color="auto" w:fill="auto"/>
            <w:noWrap/>
            <w:vAlign w:val="center"/>
            <w:hideMark/>
          </w:tcPr>
          <w:p w14:paraId="182BE8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23,6</w:t>
            </w:r>
          </w:p>
        </w:tc>
      </w:tr>
      <w:tr w:rsidR="00B56301" w:rsidRPr="007253FC" w14:paraId="114B51B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F91B55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23E6F09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6DA7F7B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center"/>
            <w:hideMark/>
          </w:tcPr>
          <w:p w14:paraId="5FD6154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2FBCFE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01640C8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7641DD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w:t>
            </w:r>
          </w:p>
        </w:tc>
        <w:tc>
          <w:tcPr>
            <w:tcW w:w="628" w:type="dxa"/>
            <w:tcBorders>
              <w:top w:val="nil"/>
              <w:left w:val="nil"/>
              <w:bottom w:val="single" w:sz="4" w:space="0" w:color="auto"/>
              <w:right w:val="single" w:sz="4" w:space="0" w:color="auto"/>
            </w:tcBorders>
            <w:shd w:val="clear" w:color="auto" w:fill="auto"/>
            <w:noWrap/>
            <w:vAlign w:val="center"/>
            <w:hideMark/>
          </w:tcPr>
          <w:p w14:paraId="57D6A48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6072058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r>
      <w:tr w:rsidR="00B56301" w:rsidRPr="007253FC" w14:paraId="3408DE3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18A46A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Biens d'équipements, matériels de transport</w:t>
            </w:r>
          </w:p>
        </w:tc>
        <w:tc>
          <w:tcPr>
            <w:tcW w:w="628" w:type="dxa"/>
            <w:tcBorders>
              <w:top w:val="nil"/>
              <w:left w:val="nil"/>
              <w:bottom w:val="single" w:sz="4" w:space="0" w:color="auto"/>
              <w:right w:val="single" w:sz="4" w:space="0" w:color="auto"/>
            </w:tcBorders>
            <w:shd w:val="clear" w:color="auto" w:fill="auto"/>
            <w:noWrap/>
            <w:vAlign w:val="center"/>
            <w:hideMark/>
          </w:tcPr>
          <w:p w14:paraId="00C61D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w:t>
            </w:r>
          </w:p>
        </w:tc>
        <w:tc>
          <w:tcPr>
            <w:tcW w:w="628" w:type="dxa"/>
            <w:tcBorders>
              <w:top w:val="nil"/>
              <w:left w:val="nil"/>
              <w:bottom w:val="single" w:sz="4" w:space="0" w:color="auto"/>
              <w:right w:val="single" w:sz="4" w:space="0" w:color="auto"/>
            </w:tcBorders>
            <w:shd w:val="clear" w:color="auto" w:fill="auto"/>
            <w:noWrap/>
            <w:vAlign w:val="center"/>
            <w:hideMark/>
          </w:tcPr>
          <w:p w14:paraId="4B791C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center"/>
            <w:hideMark/>
          </w:tcPr>
          <w:p w14:paraId="0052863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w:t>
            </w:r>
          </w:p>
        </w:tc>
        <w:tc>
          <w:tcPr>
            <w:tcW w:w="628" w:type="dxa"/>
            <w:tcBorders>
              <w:top w:val="nil"/>
              <w:left w:val="nil"/>
              <w:bottom w:val="single" w:sz="4" w:space="0" w:color="auto"/>
              <w:right w:val="single" w:sz="4" w:space="0" w:color="auto"/>
            </w:tcBorders>
            <w:shd w:val="clear" w:color="auto" w:fill="auto"/>
            <w:noWrap/>
            <w:vAlign w:val="center"/>
            <w:hideMark/>
          </w:tcPr>
          <w:p w14:paraId="78F2E1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c>
          <w:tcPr>
            <w:tcW w:w="628" w:type="dxa"/>
            <w:tcBorders>
              <w:top w:val="nil"/>
              <w:left w:val="nil"/>
              <w:bottom w:val="single" w:sz="4" w:space="0" w:color="auto"/>
              <w:right w:val="single" w:sz="4" w:space="0" w:color="auto"/>
            </w:tcBorders>
            <w:shd w:val="clear" w:color="auto" w:fill="auto"/>
            <w:noWrap/>
            <w:vAlign w:val="center"/>
            <w:hideMark/>
          </w:tcPr>
          <w:p w14:paraId="18B105C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center"/>
            <w:hideMark/>
          </w:tcPr>
          <w:p w14:paraId="5A3823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36A474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5E1DB07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r>
      <w:tr w:rsidR="00B56301" w:rsidRPr="007253FC" w14:paraId="66C8248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340C06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Agro-alimentaire</w:t>
            </w:r>
          </w:p>
        </w:tc>
        <w:tc>
          <w:tcPr>
            <w:tcW w:w="628" w:type="dxa"/>
            <w:tcBorders>
              <w:top w:val="nil"/>
              <w:left w:val="nil"/>
              <w:bottom w:val="single" w:sz="4" w:space="0" w:color="auto"/>
              <w:right w:val="single" w:sz="4" w:space="0" w:color="auto"/>
            </w:tcBorders>
            <w:shd w:val="clear" w:color="auto" w:fill="auto"/>
            <w:noWrap/>
            <w:vAlign w:val="center"/>
            <w:hideMark/>
          </w:tcPr>
          <w:p w14:paraId="762268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11,4</w:t>
            </w:r>
          </w:p>
        </w:tc>
        <w:tc>
          <w:tcPr>
            <w:tcW w:w="628" w:type="dxa"/>
            <w:tcBorders>
              <w:top w:val="nil"/>
              <w:left w:val="nil"/>
              <w:bottom w:val="single" w:sz="4" w:space="0" w:color="auto"/>
              <w:right w:val="single" w:sz="4" w:space="0" w:color="auto"/>
            </w:tcBorders>
            <w:shd w:val="clear" w:color="auto" w:fill="auto"/>
            <w:noWrap/>
            <w:vAlign w:val="center"/>
            <w:hideMark/>
          </w:tcPr>
          <w:p w14:paraId="2109B68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0CAC73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10,8</w:t>
            </w:r>
          </w:p>
        </w:tc>
        <w:tc>
          <w:tcPr>
            <w:tcW w:w="628" w:type="dxa"/>
            <w:tcBorders>
              <w:top w:val="nil"/>
              <w:left w:val="nil"/>
              <w:bottom w:val="single" w:sz="4" w:space="0" w:color="auto"/>
              <w:right w:val="single" w:sz="4" w:space="0" w:color="auto"/>
            </w:tcBorders>
            <w:shd w:val="clear" w:color="auto" w:fill="auto"/>
            <w:noWrap/>
            <w:vAlign w:val="center"/>
            <w:hideMark/>
          </w:tcPr>
          <w:p w14:paraId="4EC56B1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10,0</w:t>
            </w:r>
          </w:p>
        </w:tc>
        <w:tc>
          <w:tcPr>
            <w:tcW w:w="628" w:type="dxa"/>
            <w:tcBorders>
              <w:top w:val="nil"/>
              <w:left w:val="nil"/>
              <w:bottom w:val="single" w:sz="4" w:space="0" w:color="auto"/>
              <w:right w:val="single" w:sz="4" w:space="0" w:color="auto"/>
            </w:tcBorders>
            <w:shd w:val="clear" w:color="auto" w:fill="auto"/>
            <w:noWrap/>
            <w:vAlign w:val="center"/>
            <w:hideMark/>
          </w:tcPr>
          <w:p w14:paraId="06A96C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2CBCF7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10,6</w:t>
            </w:r>
          </w:p>
        </w:tc>
        <w:tc>
          <w:tcPr>
            <w:tcW w:w="628" w:type="dxa"/>
            <w:tcBorders>
              <w:top w:val="nil"/>
              <w:left w:val="nil"/>
              <w:bottom w:val="single" w:sz="4" w:space="0" w:color="auto"/>
              <w:right w:val="single" w:sz="4" w:space="0" w:color="auto"/>
            </w:tcBorders>
            <w:shd w:val="clear" w:color="auto" w:fill="auto"/>
            <w:noWrap/>
            <w:vAlign w:val="center"/>
            <w:hideMark/>
          </w:tcPr>
          <w:p w14:paraId="6872EB1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10,1</w:t>
            </w:r>
          </w:p>
        </w:tc>
        <w:tc>
          <w:tcPr>
            <w:tcW w:w="628" w:type="dxa"/>
            <w:tcBorders>
              <w:top w:val="nil"/>
              <w:left w:val="nil"/>
              <w:bottom w:val="single" w:sz="4" w:space="0" w:color="auto"/>
              <w:right w:val="single" w:sz="4" w:space="0" w:color="auto"/>
            </w:tcBorders>
            <w:shd w:val="clear" w:color="auto" w:fill="auto"/>
            <w:noWrap/>
            <w:vAlign w:val="center"/>
            <w:hideMark/>
          </w:tcPr>
          <w:p w14:paraId="1BB0C02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10,3</w:t>
            </w:r>
          </w:p>
        </w:tc>
      </w:tr>
      <w:tr w:rsidR="00B56301" w:rsidRPr="007253FC" w14:paraId="12DC734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72E4E2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ferreux</w:t>
            </w:r>
          </w:p>
        </w:tc>
        <w:tc>
          <w:tcPr>
            <w:tcW w:w="628" w:type="dxa"/>
            <w:tcBorders>
              <w:top w:val="nil"/>
              <w:left w:val="nil"/>
              <w:bottom w:val="single" w:sz="4" w:space="0" w:color="auto"/>
              <w:right w:val="single" w:sz="4" w:space="0" w:color="auto"/>
            </w:tcBorders>
            <w:shd w:val="clear" w:color="auto" w:fill="auto"/>
            <w:noWrap/>
            <w:vAlign w:val="center"/>
            <w:hideMark/>
          </w:tcPr>
          <w:p w14:paraId="3677D78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25,6</w:t>
            </w:r>
          </w:p>
        </w:tc>
        <w:tc>
          <w:tcPr>
            <w:tcW w:w="628" w:type="dxa"/>
            <w:tcBorders>
              <w:top w:val="nil"/>
              <w:left w:val="nil"/>
              <w:bottom w:val="single" w:sz="4" w:space="0" w:color="auto"/>
              <w:right w:val="single" w:sz="4" w:space="0" w:color="auto"/>
            </w:tcBorders>
            <w:shd w:val="clear" w:color="auto" w:fill="auto"/>
            <w:noWrap/>
            <w:vAlign w:val="center"/>
            <w:hideMark/>
          </w:tcPr>
          <w:p w14:paraId="2E9313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26,4</w:t>
            </w:r>
          </w:p>
        </w:tc>
        <w:tc>
          <w:tcPr>
            <w:tcW w:w="628" w:type="dxa"/>
            <w:tcBorders>
              <w:top w:val="nil"/>
              <w:left w:val="nil"/>
              <w:bottom w:val="single" w:sz="4" w:space="0" w:color="auto"/>
              <w:right w:val="single" w:sz="4" w:space="0" w:color="auto"/>
            </w:tcBorders>
            <w:shd w:val="clear" w:color="auto" w:fill="auto"/>
            <w:noWrap/>
            <w:vAlign w:val="center"/>
            <w:hideMark/>
          </w:tcPr>
          <w:p w14:paraId="5B724CC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24,0</w:t>
            </w:r>
          </w:p>
        </w:tc>
        <w:tc>
          <w:tcPr>
            <w:tcW w:w="628" w:type="dxa"/>
            <w:tcBorders>
              <w:top w:val="nil"/>
              <w:left w:val="nil"/>
              <w:bottom w:val="single" w:sz="4" w:space="0" w:color="auto"/>
              <w:right w:val="single" w:sz="4" w:space="0" w:color="auto"/>
            </w:tcBorders>
            <w:shd w:val="clear" w:color="auto" w:fill="auto"/>
            <w:noWrap/>
            <w:vAlign w:val="center"/>
            <w:hideMark/>
          </w:tcPr>
          <w:p w14:paraId="4AF8BB9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15,1</w:t>
            </w:r>
          </w:p>
        </w:tc>
        <w:tc>
          <w:tcPr>
            <w:tcW w:w="628" w:type="dxa"/>
            <w:tcBorders>
              <w:top w:val="nil"/>
              <w:left w:val="nil"/>
              <w:bottom w:val="single" w:sz="4" w:space="0" w:color="auto"/>
              <w:right w:val="single" w:sz="4" w:space="0" w:color="auto"/>
            </w:tcBorders>
            <w:shd w:val="clear" w:color="auto" w:fill="auto"/>
            <w:noWrap/>
            <w:vAlign w:val="center"/>
            <w:hideMark/>
          </w:tcPr>
          <w:p w14:paraId="4341AA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19,2</w:t>
            </w:r>
          </w:p>
        </w:tc>
        <w:tc>
          <w:tcPr>
            <w:tcW w:w="628" w:type="dxa"/>
            <w:tcBorders>
              <w:top w:val="nil"/>
              <w:left w:val="nil"/>
              <w:bottom w:val="single" w:sz="4" w:space="0" w:color="auto"/>
              <w:right w:val="single" w:sz="4" w:space="0" w:color="auto"/>
            </w:tcBorders>
            <w:shd w:val="clear" w:color="auto" w:fill="auto"/>
            <w:noWrap/>
            <w:vAlign w:val="center"/>
            <w:hideMark/>
          </w:tcPr>
          <w:p w14:paraId="493FB3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17,5</w:t>
            </w:r>
          </w:p>
        </w:tc>
        <w:tc>
          <w:tcPr>
            <w:tcW w:w="628" w:type="dxa"/>
            <w:tcBorders>
              <w:top w:val="nil"/>
              <w:left w:val="nil"/>
              <w:bottom w:val="single" w:sz="4" w:space="0" w:color="auto"/>
              <w:right w:val="single" w:sz="4" w:space="0" w:color="auto"/>
            </w:tcBorders>
            <w:shd w:val="clear" w:color="auto" w:fill="auto"/>
            <w:noWrap/>
            <w:vAlign w:val="center"/>
            <w:hideMark/>
          </w:tcPr>
          <w:p w14:paraId="2BC5FC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657D4C1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18,4</w:t>
            </w:r>
          </w:p>
        </w:tc>
      </w:tr>
      <w:tr w:rsidR="00B56301" w:rsidRPr="007253FC" w14:paraId="046F9BC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E40619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non-ferreux</w:t>
            </w:r>
          </w:p>
        </w:tc>
        <w:tc>
          <w:tcPr>
            <w:tcW w:w="628" w:type="dxa"/>
            <w:tcBorders>
              <w:top w:val="nil"/>
              <w:left w:val="nil"/>
              <w:bottom w:val="single" w:sz="4" w:space="0" w:color="auto"/>
              <w:right w:val="single" w:sz="4" w:space="0" w:color="auto"/>
            </w:tcBorders>
            <w:shd w:val="clear" w:color="auto" w:fill="auto"/>
            <w:noWrap/>
            <w:vAlign w:val="center"/>
            <w:hideMark/>
          </w:tcPr>
          <w:p w14:paraId="76EC80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w:t>
            </w:r>
          </w:p>
        </w:tc>
        <w:tc>
          <w:tcPr>
            <w:tcW w:w="628" w:type="dxa"/>
            <w:tcBorders>
              <w:top w:val="nil"/>
              <w:left w:val="nil"/>
              <w:bottom w:val="single" w:sz="4" w:space="0" w:color="auto"/>
              <w:right w:val="single" w:sz="4" w:space="0" w:color="auto"/>
            </w:tcBorders>
            <w:shd w:val="clear" w:color="auto" w:fill="auto"/>
            <w:noWrap/>
            <w:vAlign w:val="center"/>
            <w:hideMark/>
          </w:tcPr>
          <w:p w14:paraId="6A12184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533995E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337ED3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7395642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4530E77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02CA7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4C195F7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w:t>
            </w:r>
          </w:p>
        </w:tc>
      </w:tr>
      <w:tr w:rsidR="00B56301" w:rsidRPr="007253FC" w14:paraId="5BE9A6F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8B7800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Minéraux non-métalliques, matériaux de 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42B74D8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26,3</w:t>
            </w:r>
          </w:p>
        </w:tc>
        <w:tc>
          <w:tcPr>
            <w:tcW w:w="628" w:type="dxa"/>
            <w:tcBorders>
              <w:top w:val="nil"/>
              <w:left w:val="nil"/>
              <w:bottom w:val="single" w:sz="4" w:space="0" w:color="auto"/>
              <w:right w:val="single" w:sz="4" w:space="0" w:color="auto"/>
            </w:tcBorders>
            <w:shd w:val="clear" w:color="auto" w:fill="auto"/>
            <w:noWrap/>
            <w:vAlign w:val="center"/>
            <w:hideMark/>
          </w:tcPr>
          <w:p w14:paraId="0D253A3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26,4</w:t>
            </w:r>
          </w:p>
        </w:tc>
        <w:tc>
          <w:tcPr>
            <w:tcW w:w="628" w:type="dxa"/>
            <w:tcBorders>
              <w:top w:val="nil"/>
              <w:left w:val="nil"/>
              <w:bottom w:val="single" w:sz="4" w:space="0" w:color="auto"/>
              <w:right w:val="single" w:sz="4" w:space="0" w:color="auto"/>
            </w:tcBorders>
            <w:shd w:val="clear" w:color="auto" w:fill="auto"/>
            <w:noWrap/>
            <w:vAlign w:val="center"/>
            <w:hideMark/>
          </w:tcPr>
          <w:p w14:paraId="6836F6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25,1</w:t>
            </w:r>
          </w:p>
        </w:tc>
        <w:tc>
          <w:tcPr>
            <w:tcW w:w="628" w:type="dxa"/>
            <w:tcBorders>
              <w:top w:val="nil"/>
              <w:left w:val="nil"/>
              <w:bottom w:val="single" w:sz="4" w:space="0" w:color="auto"/>
              <w:right w:val="single" w:sz="4" w:space="0" w:color="auto"/>
            </w:tcBorders>
            <w:shd w:val="clear" w:color="auto" w:fill="auto"/>
            <w:noWrap/>
            <w:vAlign w:val="center"/>
            <w:hideMark/>
          </w:tcPr>
          <w:p w14:paraId="1F8CC83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22,0</w:t>
            </w:r>
          </w:p>
        </w:tc>
        <w:tc>
          <w:tcPr>
            <w:tcW w:w="628" w:type="dxa"/>
            <w:tcBorders>
              <w:top w:val="nil"/>
              <w:left w:val="nil"/>
              <w:bottom w:val="single" w:sz="4" w:space="0" w:color="auto"/>
              <w:right w:val="single" w:sz="4" w:space="0" w:color="auto"/>
            </w:tcBorders>
            <w:shd w:val="clear" w:color="auto" w:fill="auto"/>
            <w:noWrap/>
            <w:vAlign w:val="center"/>
            <w:hideMark/>
          </w:tcPr>
          <w:p w14:paraId="76E9043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22,8</w:t>
            </w:r>
          </w:p>
        </w:tc>
        <w:tc>
          <w:tcPr>
            <w:tcW w:w="628" w:type="dxa"/>
            <w:tcBorders>
              <w:top w:val="nil"/>
              <w:left w:val="nil"/>
              <w:bottom w:val="single" w:sz="4" w:space="0" w:color="auto"/>
              <w:right w:val="single" w:sz="4" w:space="0" w:color="auto"/>
            </w:tcBorders>
            <w:shd w:val="clear" w:color="auto" w:fill="auto"/>
            <w:noWrap/>
            <w:vAlign w:val="center"/>
            <w:hideMark/>
          </w:tcPr>
          <w:p w14:paraId="6452F0C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22,6</w:t>
            </w:r>
          </w:p>
        </w:tc>
        <w:tc>
          <w:tcPr>
            <w:tcW w:w="628" w:type="dxa"/>
            <w:tcBorders>
              <w:top w:val="nil"/>
              <w:left w:val="nil"/>
              <w:bottom w:val="single" w:sz="4" w:space="0" w:color="auto"/>
              <w:right w:val="single" w:sz="4" w:space="0" w:color="auto"/>
            </w:tcBorders>
            <w:shd w:val="clear" w:color="auto" w:fill="auto"/>
            <w:noWrap/>
            <w:vAlign w:val="center"/>
            <w:hideMark/>
          </w:tcPr>
          <w:p w14:paraId="5CEC74A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21,3</w:t>
            </w:r>
          </w:p>
        </w:tc>
        <w:tc>
          <w:tcPr>
            <w:tcW w:w="628" w:type="dxa"/>
            <w:tcBorders>
              <w:top w:val="nil"/>
              <w:left w:val="nil"/>
              <w:bottom w:val="single" w:sz="4" w:space="0" w:color="auto"/>
              <w:right w:val="single" w:sz="4" w:space="0" w:color="auto"/>
            </w:tcBorders>
            <w:shd w:val="clear" w:color="auto" w:fill="auto"/>
            <w:noWrap/>
            <w:vAlign w:val="center"/>
            <w:hideMark/>
          </w:tcPr>
          <w:p w14:paraId="76454EB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20,8</w:t>
            </w:r>
          </w:p>
        </w:tc>
      </w:tr>
      <w:tr w:rsidR="00B56301" w:rsidRPr="007253FC" w14:paraId="1FDD69E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DB6F52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Papier, carton</w:t>
            </w:r>
          </w:p>
        </w:tc>
        <w:tc>
          <w:tcPr>
            <w:tcW w:w="628" w:type="dxa"/>
            <w:tcBorders>
              <w:top w:val="nil"/>
              <w:left w:val="nil"/>
              <w:bottom w:val="single" w:sz="4" w:space="0" w:color="auto"/>
              <w:right w:val="single" w:sz="4" w:space="0" w:color="auto"/>
            </w:tcBorders>
            <w:shd w:val="clear" w:color="auto" w:fill="auto"/>
            <w:noWrap/>
            <w:vAlign w:val="center"/>
            <w:hideMark/>
          </w:tcPr>
          <w:p w14:paraId="5EE86F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160E3FE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3BB5B23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4483D9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1128C51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641DF95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6CF4683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774EAA0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r>
      <w:tr w:rsidR="00B56301" w:rsidRPr="007253FC" w14:paraId="4C26366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C34353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industries manufacturières</w:t>
            </w:r>
          </w:p>
        </w:tc>
        <w:tc>
          <w:tcPr>
            <w:tcW w:w="628" w:type="dxa"/>
            <w:tcBorders>
              <w:top w:val="nil"/>
              <w:left w:val="nil"/>
              <w:bottom w:val="single" w:sz="4" w:space="0" w:color="auto"/>
              <w:right w:val="single" w:sz="4" w:space="0" w:color="auto"/>
            </w:tcBorders>
            <w:shd w:val="clear" w:color="auto" w:fill="auto"/>
            <w:noWrap/>
            <w:vAlign w:val="center"/>
            <w:hideMark/>
          </w:tcPr>
          <w:p w14:paraId="49EA02E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317D364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2B98E32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234FAF2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42FE5BE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3318A1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5301639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77567D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r>
      <w:tr w:rsidR="00B56301" w:rsidRPr="007253FC" w14:paraId="166D6711"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71013DEB"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Traitement centralisé des déchets</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57B144E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18,7</w:t>
            </w:r>
          </w:p>
        </w:tc>
        <w:tc>
          <w:tcPr>
            <w:tcW w:w="628" w:type="dxa"/>
            <w:tcBorders>
              <w:top w:val="nil"/>
              <w:left w:val="nil"/>
              <w:bottom w:val="single" w:sz="4" w:space="0" w:color="auto"/>
              <w:right w:val="single" w:sz="4" w:space="0" w:color="auto"/>
            </w:tcBorders>
            <w:shd w:val="clear" w:color="000000" w:fill="B3A2C7"/>
            <w:noWrap/>
            <w:vAlign w:val="bottom"/>
            <w:hideMark/>
          </w:tcPr>
          <w:p w14:paraId="46AE08F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18,6</w:t>
            </w:r>
          </w:p>
        </w:tc>
        <w:tc>
          <w:tcPr>
            <w:tcW w:w="628" w:type="dxa"/>
            <w:tcBorders>
              <w:top w:val="nil"/>
              <w:left w:val="nil"/>
              <w:bottom w:val="single" w:sz="4" w:space="0" w:color="auto"/>
              <w:right w:val="single" w:sz="4" w:space="0" w:color="auto"/>
            </w:tcBorders>
            <w:shd w:val="clear" w:color="000000" w:fill="B3A2C7"/>
            <w:noWrap/>
            <w:vAlign w:val="bottom"/>
            <w:hideMark/>
          </w:tcPr>
          <w:p w14:paraId="1D9A056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18,5</w:t>
            </w:r>
          </w:p>
        </w:tc>
        <w:tc>
          <w:tcPr>
            <w:tcW w:w="628" w:type="dxa"/>
            <w:tcBorders>
              <w:top w:val="nil"/>
              <w:left w:val="nil"/>
              <w:bottom w:val="single" w:sz="4" w:space="0" w:color="auto"/>
              <w:right w:val="single" w:sz="4" w:space="0" w:color="auto"/>
            </w:tcBorders>
            <w:shd w:val="clear" w:color="000000" w:fill="B3A2C7"/>
            <w:noWrap/>
            <w:vAlign w:val="bottom"/>
            <w:hideMark/>
          </w:tcPr>
          <w:p w14:paraId="38CD2F6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17,9</w:t>
            </w:r>
          </w:p>
        </w:tc>
        <w:tc>
          <w:tcPr>
            <w:tcW w:w="628" w:type="dxa"/>
            <w:tcBorders>
              <w:top w:val="nil"/>
              <w:left w:val="nil"/>
              <w:bottom w:val="single" w:sz="4" w:space="0" w:color="auto"/>
              <w:right w:val="single" w:sz="4" w:space="0" w:color="auto"/>
            </w:tcBorders>
            <w:shd w:val="clear" w:color="000000" w:fill="B3A2C7"/>
            <w:noWrap/>
            <w:vAlign w:val="bottom"/>
            <w:hideMark/>
          </w:tcPr>
          <w:p w14:paraId="32A17CF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18,0</w:t>
            </w:r>
          </w:p>
        </w:tc>
        <w:tc>
          <w:tcPr>
            <w:tcW w:w="628" w:type="dxa"/>
            <w:tcBorders>
              <w:top w:val="nil"/>
              <w:left w:val="nil"/>
              <w:bottom w:val="single" w:sz="4" w:space="0" w:color="auto"/>
              <w:right w:val="single" w:sz="4" w:space="0" w:color="auto"/>
            </w:tcBorders>
            <w:shd w:val="clear" w:color="000000" w:fill="B3A2C7"/>
            <w:noWrap/>
            <w:vAlign w:val="bottom"/>
            <w:hideMark/>
          </w:tcPr>
          <w:p w14:paraId="78438F5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17,5</w:t>
            </w:r>
          </w:p>
        </w:tc>
        <w:tc>
          <w:tcPr>
            <w:tcW w:w="628" w:type="dxa"/>
            <w:tcBorders>
              <w:top w:val="nil"/>
              <w:left w:val="nil"/>
              <w:bottom w:val="single" w:sz="4" w:space="0" w:color="auto"/>
              <w:right w:val="single" w:sz="4" w:space="0" w:color="auto"/>
            </w:tcBorders>
            <w:shd w:val="clear" w:color="000000" w:fill="B3A2C7"/>
            <w:noWrap/>
            <w:vAlign w:val="bottom"/>
            <w:hideMark/>
          </w:tcPr>
          <w:p w14:paraId="52DF736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16,8</w:t>
            </w:r>
          </w:p>
        </w:tc>
        <w:tc>
          <w:tcPr>
            <w:tcW w:w="628" w:type="dxa"/>
            <w:tcBorders>
              <w:top w:val="nil"/>
              <w:left w:val="nil"/>
              <w:bottom w:val="single" w:sz="4" w:space="0" w:color="auto"/>
              <w:right w:val="single" w:sz="4" w:space="0" w:color="auto"/>
            </w:tcBorders>
            <w:shd w:val="clear" w:color="000000" w:fill="B3A2C7"/>
            <w:noWrap/>
            <w:vAlign w:val="bottom"/>
            <w:hideMark/>
          </w:tcPr>
          <w:p w14:paraId="615BB64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16,7</w:t>
            </w:r>
          </w:p>
        </w:tc>
      </w:tr>
      <w:tr w:rsidR="00B56301" w:rsidRPr="007253FC" w14:paraId="5E25DD04"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7E17A86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Stockage des déchets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CA45E3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78BF6C4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62A9A2D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16,3</w:t>
            </w:r>
          </w:p>
        </w:tc>
        <w:tc>
          <w:tcPr>
            <w:tcW w:w="628" w:type="dxa"/>
            <w:tcBorders>
              <w:top w:val="nil"/>
              <w:left w:val="nil"/>
              <w:bottom w:val="single" w:sz="4" w:space="0" w:color="auto"/>
              <w:right w:val="single" w:sz="4" w:space="0" w:color="auto"/>
            </w:tcBorders>
            <w:shd w:val="clear" w:color="auto" w:fill="auto"/>
            <w:noWrap/>
            <w:vAlign w:val="bottom"/>
            <w:hideMark/>
          </w:tcPr>
          <w:p w14:paraId="20D974E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516708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15,6</w:t>
            </w:r>
          </w:p>
        </w:tc>
        <w:tc>
          <w:tcPr>
            <w:tcW w:w="628" w:type="dxa"/>
            <w:tcBorders>
              <w:top w:val="nil"/>
              <w:left w:val="nil"/>
              <w:bottom w:val="single" w:sz="4" w:space="0" w:color="auto"/>
              <w:right w:val="single" w:sz="4" w:space="0" w:color="auto"/>
            </w:tcBorders>
            <w:shd w:val="clear" w:color="auto" w:fill="auto"/>
            <w:noWrap/>
            <w:vAlign w:val="bottom"/>
            <w:hideMark/>
          </w:tcPr>
          <w:p w14:paraId="78B1980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15,0</w:t>
            </w:r>
          </w:p>
        </w:tc>
        <w:tc>
          <w:tcPr>
            <w:tcW w:w="628" w:type="dxa"/>
            <w:tcBorders>
              <w:top w:val="nil"/>
              <w:left w:val="nil"/>
              <w:bottom w:val="single" w:sz="4" w:space="0" w:color="auto"/>
              <w:right w:val="single" w:sz="4" w:space="0" w:color="auto"/>
            </w:tcBorders>
            <w:shd w:val="clear" w:color="auto" w:fill="auto"/>
            <w:noWrap/>
            <w:vAlign w:val="bottom"/>
            <w:hideMark/>
          </w:tcPr>
          <w:p w14:paraId="502199F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14,3</w:t>
            </w:r>
          </w:p>
        </w:tc>
        <w:tc>
          <w:tcPr>
            <w:tcW w:w="628" w:type="dxa"/>
            <w:tcBorders>
              <w:top w:val="nil"/>
              <w:left w:val="nil"/>
              <w:bottom w:val="single" w:sz="4" w:space="0" w:color="auto"/>
              <w:right w:val="single" w:sz="4" w:space="0" w:color="auto"/>
            </w:tcBorders>
            <w:shd w:val="clear" w:color="auto" w:fill="auto"/>
            <w:noWrap/>
            <w:vAlign w:val="bottom"/>
            <w:hideMark/>
          </w:tcPr>
          <w:p w14:paraId="341D2B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14,1</w:t>
            </w:r>
          </w:p>
        </w:tc>
      </w:tr>
      <w:tr w:rsidR="00B56301" w:rsidRPr="007253FC" w14:paraId="6DFC107B"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D9CCD3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Incinération sans récupération d'énergie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379FDB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A063E0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C874EE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DEA565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61FE6B4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866FE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223D6D2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2992560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r>
      <w:tr w:rsidR="00B56301" w:rsidRPr="007253FC" w14:paraId="63E6FA21"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A111DC4"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traitements des déchets solides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DAFD55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D9990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67449E3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4E77BB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626FEDF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B09429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D4DAD7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1803C6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r>
      <w:tr w:rsidR="00B56301" w:rsidRPr="007253FC" w14:paraId="2B870AC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2F16AB5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Traitement des eaux usées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3B7086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FCA70A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450553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8E2E33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332CD6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EFFCD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68521F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C747A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r>
      <w:tr w:rsidR="00B56301" w:rsidRPr="007253FC" w14:paraId="4FC61C73"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76B4D7E4"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Usage des bâtiments et activités résidentiels/tertiaires</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12CB4C1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101,9</w:t>
            </w:r>
          </w:p>
        </w:tc>
        <w:tc>
          <w:tcPr>
            <w:tcW w:w="628" w:type="dxa"/>
            <w:tcBorders>
              <w:top w:val="nil"/>
              <w:left w:val="nil"/>
              <w:bottom w:val="single" w:sz="4" w:space="0" w:color="auto"/>
              <w:right w:val="single" w:sz="4" w:space="0" w:color="auto"/>
            </w:tcBorders>
            <w:shd w:val="clear" w:color="000000" w:fill="E0E5B3"/>
            <w:noWrap/>
            <w:vAlign w:val="bottom"/>
            <w:hideMark/>
          </w:tcPr>
          <w:p w14:paraId="1C33481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94,6</w:t>
            </w:r>
          </w:p>
        </w:tc>
        <w:tc>
          <w:tcPr>
            <w:tcW w:w="628" w:type="dxa"/>
            <w:tcBorders>
              <w:top w:val="nil"/>
              <w:left w:val="nil"/>
              <w:bottom w:val="single" w:sz="4" w:space="0" w:color="auto"/>
              <w:right w:val="single" w:sz="4" w:space="0" w:color="auto"/>
            </w:tcBorders>
            <w:shd w:val="clear" w:color="000000" w:fill="E0E5B3"/>
            <w:noWrap/>
            <w:vAlign w:val="bottom"/>
            <w:hideMark/>
          </w:tcPr>
          <w:p w14:paraId="7661F24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101,8</w:t>
            </w:r>
          </w:p>
        </w:tc>
        <w:tc>
          <w:tcPr>
            <w:tcW w:w="628" w:type="dxa"/>
            <w:tcBorders>
              <w:top w:val="nil"/>
              <w:left w:val="nil"/>
              <w:bottom w:val="single" w:sz="4" w:space="0" w:color="auto"/>
              <w:right w:val="single" w:sz="4" w:space="0" w:color="auto"/>
            </w:tcBorders>
            <w:shd w:val="clear" w:color="000000" w:fill="E0E5B3"/>
            <w:noWrap/>
            <w:vAlign w:val="bottom"/>
            <w:hideMark/>
          </w:tcPr>
          <w:p w14:paraId="26993A2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103,7</w:t>
            </w:r>
          </w:p>
        </w:tc>
        <w:tc>
          <w:tcPr>
            <w:tcW w:w="628" w:type="dxa"/>
            <w:tcBorders>
              <w:top w:val="nil"/>
              <w:left w:val="nil"/>
              <w:bottom w:val="single" w:sz="4" w:space="0" w:color="auto"/>
              <w:right w:val="single" w:sz="4" w:space="0" w:color="auto"/>
            </w:tcBorders>
            <w:shd w:val="clear" w:color="000000" w:fill="E0E5B3"/>
            <w:noWrap/>
            <w:vAlign w:val="bottom"/>
            <w:hideMark/>
          </w:tcPr>
          <w:p w14:paraId="5F59D83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102,3</w:t>
            </w:r>
          </w:p>
        </w:tc>
        <w:tc>
          <w:tcPr>
            <w:tcW w:w="628" w:type="dxa"/>
            <w:tcBorders>
              <w:top w:val="nil"/>
              <w:left w:val="nil"/>
              <w:bottom w:val="single" w:sz="4" w:space="0" w:color="auto"/>
              <w:right w:val="single" w:sz="4" w:space="0" w:color="auto"/>
            </w:tcBorders>
            <w:shd w:val="clear" w:color="000000" w:fill="E0E5B3"/>
            <w:noWrap/>
            <w:vAlign w:val="bottom"/>
            <w:hideMark/>
          </w:tcPr>
          <w:p w14:paraId="14C7B5B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88,3</w:t>
            </w:r>
          </w:p>
        </w:tc>
        <w:tc>
          <w:tcPr>
            <w:tcW w:w="628" w:type="dxa"/>
            <w:tcBorders>
              <w:top w:val="nil"/>
              <w:left w:val="nil"/>
              <w:bottom w:val="single" w:sz="4" w:space="0" w:color="auto"/>
              <w:right w:val="single" w:sz="4" w:space="0" w:color="auto"/>
            </w:tcBorders>
            <w:shd w:val="clear" w:color="000000" w:fill="E0E5B3"/>
            <w:noWrap/>
            <w:vAlign w:val="bottom"/>
            <w:hideMark/>
          </w:tcPr>
          <w:p w14:paraId="4C92956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94,6</w:t>
            </w:r>
          </w:p>
        </w:tc>
        <w:tc>
          <w:tcPr>
            <w:tcW w:w="628" w:type="dxa"/>
            <w:tcBorders>
              <w:top w:val="nil"/>
              <w:left w:val="nil"/>
              <w:bottom w:val="single" w:sz="4" w:space="0" w:color="auto"/>
              <w:right w:val="single" w:sz="4" w:space="0" w:color="auto"/>
            </w:tcBorders>
            <w:shd w:val="clear" w:color="000000" w:fill="E0E5B3"/>
            <w:noWrap/>
            <w:vAlign w:val="bottom"/>
            <w:hideMark/>
          </w:tcPr>
          <w:p w14:paraId="2E7B6B0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97,1</w:t>
            </w:r>
          </w:p>
        </w:tc>
      </w:tr>
      <w:tr w:rsidR="00B56301" w:rsidRPr="007253FC" w14:paraId="500FCB76"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7E3E3BF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résidentiels et activités domestiques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49085C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68,3</w:t>
            </w:r>
          </w:p>
        </w:tc>
        <w:tc>
          <w:tcPr>
            <w:tcW w:w="628" w:type="dxa"/>
            <w:tcBorders>
              <w:top w:val="nil"/>
              <w:left w:val="nil"/>
              <w:bottom w:val="single" w:sz="4" w:space="0" w:color="auto"/>
              <w:right w:val="single" w:sz="4" w:space="0" w:color="auto"/>
            </w:tcBorders>
            <w:shd w:val="clear" w:color="auto" w:fill="auto"/>
            <w:noWrap/>
            <w:vAlign w:val="bottom"/>
            <w:hideMark/>
          </w:tcPr>
          <w:p w14:paraId="2768B23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60,8</w:t>
            </w:r>
          </w:p>
        </w:tc>
        <w:tc>
          <w:tcPr>
            <w:tcW w:w="628" w:type="dxa"/>
            <w:tcBorders>
              <w:top w:val="nil"/>
              <w:left w:val="nil"/>
              <w:bottom w:val="single" w:sz="4" w:space="0" w:color="auto"/>
              <w:right w:val="single" w:sz="4" w:space="0" w:color="auto"/>
            </w:tcBorders>
            <w:shd w:val="clear" w:color="auto" w:fill="auto"/>
            <w:noWrap/>
            <w:vAlign w:val="bottom"/>
            <w:hideMark/>
          </w:tcPr>
          <w:p w14:paraId="7689545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65,9</w:t>
            </w:r>
          </w:p>
        </w:tc>
        <w:tc>
          <w:tcPr>
            <w:tcW w:w="628" w:type="dxa"/>
            <w:tcBorders>
              <w:top w:val="nil"/>
              <w:left w:val="nil"/>
              <w:bottom w:val="single" w:sz="4" w:space="0" w:color="auto"/>
              <w:right w:val="single" w:sz="4" w:space="0" w:color="auto"/>
            </w:tcBorders>
            <w:shd w:val="clear" w:color="auto" w:fill="auto"/>
            <w:noWrap/>
            <w:vAlign w:val="bottom"/>
            <w:hideMark/>
          </w:tcPr>
          <w:p w14:paraId="0D75C3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65,5</w:t>
            </w:r>
          </w:p>
        </w:tc>
        <w:tc>
          <w:tcPr>
            <w:tcW w:w="628" w:type="dxa"/>
            <w:tcBorders>
              <w:top w:val="nil"/>
              <w:left w:val="nil"/>
              <w:bottom w:val="single" w:sz="4" w:space="0" w:color="auto"/>
              <w:right w:val="single" w:sz="4" w:space="0" w:color="auto"/>
            </w:tcBorders>
            <w:shd w:val="clear" w:color="auto" w:fill="auto"/>
            <w:noWrap/>
            <w:vAlign w:val="bottom"/>
            <w:hideMark/>
          </w:tcPr>
          <w:p w14:paraId="79E9729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63,5</w:t>
            </w:r>
          </w:p>
        </w:tc>
        <w:tc>
          <w:tcPr>
            <w:tcW w:w="628" w:type="dxa"/>
            <w:tcBorders>
              <w:top w:val="nil"/>
              <w:left w:val="nil"/>
              <w:bottom w:val="single" w:sz="4" w:space="0" w:color="auto"/>
              <w:right w:val="single" w:sz="4" w:space="0" w:color="auto"/>
            </w:tcBorders>
            <w:shd w:val="clear" w:color="auto" w:fill="auto"/>
            <w:noWrap/>
            <w:vAlign w:val="bottom"/>
            <w:hideMark/>
          </w:tcPr>
          <w:p w14:paraId="0BDD3C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56,1</w:t>
            </w:r>
          </w:p>
        </w:tc>
        <w:tc>
          <w:tcPr>
            <w:tcW w:w="628" w:type="dxa"/>
            <w:tcBorders>
              <w:top w:val="nil"/>
              <w:left w:val="nil"/>
              <w:bottom w:val="single" w:sz="4" w:space="0" w:color="auto"/>
              <w:right w:val="single" w:sz="4" w:space="0" w:color="auto"/>
            </w:tcBorders>
            <w:shd w:val="clear" w:color="auto" w:fill="auto"/>
            <w:noWrap/>
            <w:vAlign w:val="bottom"/>
            <w:hideMark/>
          </w:tcPr>
          <w:p w14:paraId="416054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60,5</w:t>
            </w:r>
          </w:p>
        </w:tc>
        <w:tc>
          <w:tcPr>
            <w:tcW w:w="628" w:type="dxa"/>
            <w:tcBorders>
              <w:top w:val="nil"/>
              <w:left w:val="nil"/>
              <w:bottom w:val="single" w:sz="4" w:space="0" w:color="auto"/>
              <w:right w:val="single" w:sz="4" w:space="0" w:color="auto"/>
            </w:tcBorders>
            <w:shd w:val="clear" w:color="auto" w:fill="auto"/>
            <w:noWrap/>
            <w:vAlign w:val="bottom"/>
            <w:hideMark/>
          </w:tcPr>
          <w:p w14:paraId="27A716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61,8</w:t>
            </w:r>
          </w:p>
        </w:tc>
      </w:tr>
      <w:tr w:rsidR="00B56301" w:rsidRPr="007253FC" w14:paraId="37AAD706"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8FD43E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tertiaires et activités tertiaires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7722230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33,6</w:t>
            </w:r>
          </w:p>
        </w:tc>
        <w:tc>
          <w:tcPr>
            <w:tcW w:w="628" w:type="dxa"/>
            <w:tcBorders>
              <w:top w:val="nil"/>
              <w:left w:val="nil"/>
              <w:bottom w:val="single" w:sz="4" w:space="0" w:color="auto"/>
              <w:right w:val="single" w:sz="4" w:space="0" w:color="auto"/>
            </w:tcBorders>
            <w:shd w:val="clear" w:color="auto" w:fill="auto"/>
            <w:noWrap/>
            <w:vAlign w:val="bottom"/>
            <w:hideMark/>
          </w:tcPr>
          <w:p w14:paraId="73A662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33,9</w:t>
            </w:r>
          </w:p>
        </w:tc>
        <w:tc>
          <w:tcPr>
            <w:tcW w:w="628" w:type="dxa"/>
            <w:tcBorders>
              <w:top w:val="nil"/>
              <w:left w:val="nil"/>
              <w:bottom w:val="single" w:sz="4" w:space="0" w:color="auto"/>
              <w:right w:val="single" w:sz="4" w:space="0" w:color="auto"/>
            </w:tcBorders>
            <w:shd w:val="clear" w:color="auto" w:fill="auto"/>
            <w:noWrap/>
            <w:vAlign w:val="bottom"/>
            <w:hideMark/>
          </w:tcPr>
          <w:p w14:paraId="51200FF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35,9</w:t>
            </w:r>
          </w:p>
        </w:tc>
        <w:tc>
          <w:tcPr>
            <w:tcW w:w="628" w:type="dxa"/>
            <w:tcBorders>
              <w:top w:val="nil"/>
              <w:left w:val="nil"/>
              <w:bottom w:val="single" w:sz="4" w:space="0" w:color="auto"/>
              <w:right w:val="single" w:sz="4" w:space="0" w:color="auto"/>
            </w:tcBorders>
            <w:shd w:val="clear" w:color="auto" w:fill="auto"/>
            <w:noWrap/>
            <w:vAlign w:val="bottom"/>
            <w:hideMark/>
          </w:tcPr>
          <w:p w14:paraId="5610847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38,2</w:t>
            </w:r>
          </w:p>
        </w:tc>
        <w:tc>
          <w:tcPr>
            <w:tcW w:w="628" w:type="dxa"/>
            <w:tcBorders>
              <w:top w:val="nil"/>
              <w:left w:val="nil"/>
              <w:bottom w:val="single" w:sz="4" w:space="0" w:color="auto"/>
              <w:right w:val="single" w:sz="4" w:space="0" w:color="auto"/>
            </w:tcBorders>
            <w:shd w:val="clear" w:color="auto" w:fill="auto"/>
            <w:noWrap/>
            <w:vAlign w:val="bottom"/>
            <w:hideMark/>
          </w:tcPr>
          <w:p w14:paraId="52B6A2F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38,8</w:t>
            </w:r>
          </w:p>
        </w:tc>
        <w:tc>
          <w:tcPr>
            <w:tcW w:w="628" w:type="dxa"/>
            <w:tcBorders>
              <w:top w:val="nil"/>
              <w:left w:val="nil"/>
              <w:bottom w:val="single" w:sz="4" w:space="0" w:color="auto"/>
              <w:right w:val="single" w:sz="4" w:space="0" w:color="auto"/>
            </w:tcBorders>
            <w:shd w:val="clear" w:color="auto" w:fill="auto"/>
            <w:noWrap/>
            <w:vAlign w:val="bottom"/>
            <w:hideMark/>
          </w:tcPr>
          <w:p w14:paraId="4397DB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32,2</w:t>
            </w:r>
          </w:p>
        </w:tc>
        <w:tc>
          <w:tcPr>
            <w:tcW w:w="628" w:type="dxa"/>
            <w:tcBorders>
              <w:top w:val="nil"/>
              <w:left w:val="nil"/>
              <w:bottom w:val="single" w:sz="4" w:space="0" w:color="auto"/>
              <w:right w:val="single" w:sz="4" w:space="0" w:color="auto"/>
            </w:tcBorders>
            <w:shd w:val="clear" w:color="auto" w:fill="auto"/>
            <w:noWrap/>
            <w:vAlign w:val="bottom"/>
            <w:hideMark/>
          </w:tcPr>
          <w:p w14:paraId="33C676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5FAE2AB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35,2</w:t>
            </w:r>
          </w:p>
        </w:tc>
      </w:tr>
      <w:tr w:rsidR="00B56301" w:rsidRPr="007253FC" w14:paraId="313C20E8"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3007E1C3"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396CD4D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87,0</w:t>
            </w:r>
          </w:p>
        </w:tc>
        <w:tc>
          <w:tcPr>
            <w:tcW w:w="628" w:type="dxa"/>
            <w:tcBorders>
              <w:top w:val="nil"/>
              <w:left w:val="nil"/>
              <w:bottom w:val="single" w:sz="4" w:space="0" w:color="auto"/>
              <w:right w:val="single" w:sz="4" w:space="0" w:color="auto"/>
            </w:tcBorders>
            <w:shd w:val="clear" w:color="000000" w:fill="92D050"/>
            <w:noWrap/>
            <w:vAlign w:val="bottom"/>
            <w:hideMark/>
          </w:tcPr>
          <w:p w14:paraId="1F2E6EF6"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87,8</w:t>
            </w:r>
          </w:p>
        </w:tc>
        <w:tc>
          <w:tcPr>
            <w:tcW w:w="628" w:type="dxa"/>
            <w:tcBorders>
              <w:top w:val="nil"/>
              <w:left w:val="nil"/>
              <w:bottom w:val="single" w:sz="4" w:space="0" w:color="auto"/>
              <w:right w:val="single" w:sz="4" w:space="0" w:color="auto"/>
            </w:tcBorders>
            <w:shd w:val="clear" w:color="000000" w:fill="92D050"/>
            <w:noWrap/>
            <w:vAlign w:val="bottom"/>
            <w:hideMark/>
          </w:tcPr>
          <w:p w14:paraId="53639CF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88,9</w:t>
            </w:r>
          </w:p>
        </w:tc>
        <w:tc>
          <w:tcPr>
            <w:tcW w:w="628" w:type="dxa"/>
            <w:tcBorders>
              <w:top w:val="nil"/>
              <w:left w:val="nil"/>
              <w:bottom w:val="single" w:sz="4" w:space="0" w:color="auto"/>
              <w:right w:val="single" w:sz="4" w:space="0" w:color="auto"/>
            </w:tcBorders>
            <w:shd w:val="clear" w:color="000000" w:fill="92D050"/>
            <w:noWrap/>
            <w:vAlign w:val="bottom"/>
            <w:hideMark/>
          </w:tcPr>
          <w:p w14:paraId="2F88D7F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88,1</w:t>
            </w:r>
          </w:p>
        </w:tc>
        <w:tc>
          <w:tcPr>
            <w:tcW w:w="628" w:type="dxa"/>
            <w:tcBorders>
              <w:top w:val="nil"/>
              <w:left w:val="nil"/>
              <w:bottom w:val="single" w:sz="4" w:space="0" w:color="auto"/>
              <w:right w:val="single" w:sz="4" w:space="0" w:color="auto"/>
            </w:tcBorders>
            <w:shd w:val="clear" w:color="000000" w:fill="92D050"/>
            <w:noWrap/>
            <w:vAlign w:val="bottom"/>
            <w:hideMark/>
          </w:tcPr>
          <w:p w14:paraId="2FD2EA3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86,5</w:t>
            </w:r>
          </w:p>
        </w:tc>
        <w:tc>
          <w:tcPr>
            <w:tcW w:w="628" w:type="dxa"/>
            <w:tcBorders>
              <w:top w:val="nil"/>
              <w:left w:val="nil"/>
              <w:bottom w:val="single" w:sz="4" w:space="0" w:color="auto"/>
              <w:right w:val="single" w:sz="4" w:space="0" w:color="auto"/>
            </w:tcBorders>
            <w:shd w:val="clear" w:color="000000" w:fill="92D050"/>
            <w:noWrap/>
            <w:vAlign w:val="bottom"/>
            <w:hideMark/>
          </w:tcPr>
          <w:p w14:paraId="497009A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85,7</w:t>
            </w:r>
          </w:p>
        </w:tc>
        <w:tc>
          <w:tcPr>
            <w:tcW w:w="628" w:type="dxa"/>
            <w:tcBorders>
              <w:top w:val="nil"/>
              <w:left w:val="nil"/>
              <w:bottom w:val="single" w:sz="4" w:space="0" w:color="auto"/>
              <w:right w:val="single" w:sz="4" w:space="0" w:color="auto"/>
            </w:tcBorders>
            <w:shd w:val="clear" w:color="000000" w:fill="92D050"/>
            <w:noWrap/>
            <w:vAlign w:val="bottom"/>
            <w:hideMark/>
          </w:tcPr>
          <w:p w14:paraId="6A2E7AE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85,0</w:t>
            </w:r>
          </w:p>
        </w:tc>
        <w:tc>
          <w:tcPr>
            <w:tcW w:w="628" w:type="dxa"/>
            <w:tcBorders>
              <w:top w:val="nil"/>
              <w:left w:val="nil"/>
              <w:bottom w:val="single" w:sz="4" w:space="0" w:color="auto"/>
              <w:right w:val="single" w:sz="4" w:space="0" w:color="auto"/>
            </w:tcBorders>
            <w:shd w:val="clear" w:color="000000" w:fill="92D050"/>
            <w:noWrap/>
            <w:vAlign w:val="bottom"/>
            <w:hideMark/>
          </w:tcPr>
          <w:p w14:paraId="142D846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85,3</w:t>
            </w:r>
          </w:p>
        </w:tc>
      </w:tr>
      <w:tr w:rsidR="00B56301" w:rsidRPr="007253FC" w14:paraId="301AB89A"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72970"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Culture</w:t>
            </w:r>
          </w:p>
        </w:tc>
        <w:tc>
          <w:tcPr>
            <w:tcW w:w="628" w:type="dxa"/>
            <w:tcBorders>
              <w:top w:val="nil"/>
              <w:left w:val="nil"/>
              <w:bottom w:val="single" w:sz="4" w:space="0" w:color="auto"/>
              <w:right w:val="single" w:sz="4" w:space="0" w:color="auto"/>
            </w:tcBorders>
            <w:shd w:val="clear" w:color="auto" w:fill="auto"/>
            <w:noWrap/>
            <w:vAlign w:val="bottom"/>
            <w:hideMark/>
          </w:tcPr>
          <w:p w14:paraId="758DA0A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33,7</w:t>
            </w:r>
          </w:p>
        </w:tc>
        <w:tc>
          <w:tcPr>
            <w:tcW w:w="628" w:type="dxa"/>
            <w:tcBorders>
              <w:top w:val="nil"/>
              <w:left w:val="nil"/>
              <w:bottom w:val="single" w:sz="4" w:space="0" w:color="auto"/>
              <w:right w:val="single" w:sz="4" w:space="0" w:color="auto"/>
            </w:tcBorders>
            <w:shd w:val="clear" w:color="auto" w:fill="auto"/>
            <w:noWrap/>
            <w:vAlign w:val="bottom"/>
            <w:hideMark/>
          </w:tcPr>
          <w:p w14:paraId="55580C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2DE5F20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34,6</w:t>
            </w:r>
          </w:p>
        </w:tc>
        <w:tc>
          <w:tcPr>
            <w:tcW w:w="628" w:type="dxa"/>
            <w:tcBorders>
              <w:top w:val="nil"/>
              <w:left w:val="nil"/>
              <w:bottom w:val="single" w:sz="4" w:space="0" w:color="auto"/>
              <w:right w:val="single" w:sz="4" w:space="0" w:color="auto"/>
            </w:tcBorders>
            <w:shd w:val="clear" w:color="auto" w:fill="auto"/>
            <w:noWrap/>
            <w:vAlign w:val="bottom"/>
            <w:hideMark/>
          </w:tcPr>
          <w:p w14:paraId="698400D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34,1</w:t>
            </w:r>
          </w:p>
        </w:tc>
        <w:tc>
          <w:tcPr>
            <w:tcW w:w="628" w:type="dxa"/>
            <w:tcBorders>
              <w:top w:val="nil"/>
              <w:left w:val="nil"/>
              <w:bottom w:val="single" w:sz="4" w:space="0" w:color="auto"/>
              <w:right w:val="single" w:sz="4" w:space="0" w:color="auto"/>
            </w:tcBorders>
            <w:shd w:val="clear" w:color="auto" w:fill="auto"/>
            <w:noWrap/>
            <w:vAlign w:val="bottom"/>
            <w:hideMark/>
          </w:tcPr>
          <w:p w14:paraId="082023D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540B1D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32,9</w:t>
            </w:r>
          </w:p>
        </w:tc>
        <w:tc>
          <w:tcPr>
            <w:tcW w:w="628" w:type="dxa"/>
            <w:tcBorders>
              <w:top w:val="nil"/>
              <w:left w:val="nil"/>
              <w:bottom w:val="single" w:sz="4" w:space="0" w:color="auto"/>
              <w:right w:val="single" w:sz="4" w:space="0" w:color="auto"/>
            </w:tcBorders>
            <w:shd w:val="clear" w:color="auto" w:fill="auto"/>
            <w:noWrap/>
            <w:vAlign w:val="bottom"/>
            <w:hideMark/>
          </w:tcPr>
          <w:p w14:paraId="497AC55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5F200F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33,1</w:t>
            </w:r>
          </w:p>
        </w:tc>
      </w:tr>
      <w:tr w:rsidR="00B56301" w:rsidRPr="007253FC" w14:paraId="3DD153B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0C28B561"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Elevage</w:t>
            </w:r>
          </w:p>
        </w:tc>
        <w:tc>
          <w:tcPr>
            <w:tcW w:w="628" w:type="dxa"/>
            <w:tcBorders>
              <w:top w:val="nil"/>
              <w:left w:val="nil"/>
              <w:bottom w:val="single" w:sz="4" w:space="0" w:color="auto"/>
              <w:right w:val="single" w:sz="4" w:space="0" w:color="auto"/>
            </w:tcBorders>
            <w:shd w:val="clear" w:color="auto" w:fill="auto"/>
            <w:noWrap/>
            <w:vAlign w:val="bottom"/>
            <w:hideMark/>
          </w:tcPr>
          <w:p w14:paraId="10C2FE0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42,1</w:t>
            </w:r>
          </w:p>
        </w:tc>
        <w:tc>
          <w:tcPr>
            <w:tcW w:w="628" w:type="dxa"/>
            <w:tcBorders>
              <w:top w:val="nil"/>
              <w:left w:val="nil"/>
              <w:bottom w:val="single" w:sz="4" w:space="0" w:color="auto"/>
              <w:right w:val="single" w:sz="4" w:space="0" w:color="auto"/>
            </w:tcBorders>
            <w:shd w:val="clear" w:color="auto" w:fill="auto"/>
            <w:noWrap/>
            <w:vAlign w:val="bottom"/>
            <w:hideMark/>
          </w:tcPr>
          <w:p w14:paraId="2397A6A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42,3</w:t>
            </w:r>
          </w:p>
        </w:tc>
        <w:tc>
          <w:tcPr>
            <w:tcW w:w="628" w:type="dxa"/>
            <w:tcBorders>
              <w:top w:val="nil"/>
              <w:left w:val="nil"/>
              <w:bottom w:val="single" w:sz="4" w:space="0" w:color="auto"/>
              <w:right w:val="single" w:sz="4" w:space="0" w:color="auto"/>
            </w:tcBorders>
            <w:shd w:val="clear" w:color="auto" w:fill="auto"/>
            <w:noWrap/>
            <w:vAlign w:val="bottom"/>
            <w:hideMark/>
          </w:tcPr>
          <w:p w14:paraId="0BE0842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42,8</w:t>
            </w:r>
          </w:p>
        </w:tc>
        <w:tc>
          <w:tcPr>
            <w:tcW w:w="628" w:type="dxa"/>
            <w:tcBorders>
              <w:top w:val="nil"/>
              <w:left w:val="nil"/>
              <w:bottom w:val="single" w:sz="4" w:space="0" w:color="auto"/>
              <w:right w:val="single" w:sz="4" w:space="0" w:color="auto"/>
            </w:tcBorders>
            <w:shd w:val="clear" w:color="auto" w:fill="auto"/>
            <w:noWrap/>
            <w:vAlign w:val="bottom"/>
            <w:hideMark/>
          </w:tcPr>
          <w:p w14:paraId="3F3968F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42,4</w:t>
            </w:r>
          </w:p>
        </w:tc>
        <w:tc>
          <w:tcPr>
            <w:tcW w:w="628" w:type="dxa"/>
            <w:tcBorders>
              <w:top w:val="nil"/>
              <w:left w:val="nil"/>
              <w:bottom w:val="single" w:sz="4" w:space="0" w:color="auto"/>
              <w:right w:val="single" w:sz="4" w:space="0" w:color="auto"/>
            </w:tcBorders>
            <w:shd w:val="clear" w:color="auto" w:fill="auto"/>
            <w:noWrap/>
            <w:vAlign w:val="bottom"/>
            <w:hideMark/>
          </w:tcPr>
          <w:p w14:paraId="187D6F9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42,0</w:t>
            </w:r>
          </w:p>
        </w:tc>
        <w:tc>
          <w:tcPr>
            <w:tcW w:w="628" w:type="dxa"/>
            <w:tcBorders>
              <w:top w:val="nil"/>
              <w:left w:val="nil"/>
              <w:bottom w:val="single" w:sz="4" w:space="0" w:color="auto"/>
              <w:right w:val="single" w:sz="4" w:space="0" w:color="auto"/>
            </w:tcBorders>
            <w:shd w:val="clear" w:color="auto" w:fill="auto"/>
            <w:noWrap/>
            <w:vAlign w:val="bottom"/>
            <w:hideMark/>
          </w:tcPr>
          <w:p w14:paraId="1F2E470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41,8</w:t>
            </w:r>
          </w:p>
        </w:tc>
        <w:tc>
          <w:tcPr>
            <w:tcW w:w="628" w:type="dxa"/>
            <w:tcBorders>
              <w:top w:val="nil"/>
              <w:left w:val="nil"/>
              <w:bottom w:val="single" w:sz="4" w:space="0" w:color="auto"/>
              <w:right w:val="single" w:sz="4" w:space="0" w:color="auto"/>
            </w:tcBorders>
            <w:shd w:val="clear" w:color="auto" w:fill="auto"/>
            <w:noWrap/>
            <w:vAlign w:val="bottom"/>
            <w:hideMark/>
          </w:tcPr>
          <w:p w14:paraId="4D687F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41,1</w:t>
            </w:r>
          </w:p>
        </w:tc>
        <w:tc>
          <w:tcPr>
            <w:tcW w:w="628" w:type="dxa"/>
            <w:tcBorders>
              <w:top w:val="nil"/>
              <w:left w:val="nil"/>
              <w:bottom w:val="single" w:sz="4" w:space="0" w:color="auto"/>
              <w:right w:val="single" w:sz="4" w:space="0" w:color="auto"/>
            </w:tcBorders>
            <w:shd w:val="clear" w:color="auto" w:fill="auto"/>
            <w:noWrap/>
            <w:vAlign w:val="bottom"/>
            <w:hideMark/>
          </w:tcPr>
          <w:p w14:paraId="3CF92A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41,0</w:t>
            </w:r>
          </w:p>
        </w:tc>
      </w:tr>
      <w:tr w:rsidR="00B56301" w:rsidRPr="007253FC" w14:paraId="46F5D27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228510EF"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Engins, moteurs et chaudières en agriculture/sylviculture</w:t>
            </w:r>
          </w:p>
        </w:tc>
        <w:tc>
          <w:tcPr>
            <w:tcW w:w="628" w:type="dxa"/>
            <w:tcBorders>
              <w:top w:val="nil"/>
              <w:left w:val="nil"/>
              <w:bottom w:val="single" w:sz="4" w:space="0" w:color="auto"/>
              <w:right w:val="single" w:sz="4" w:space="0" w:color="auto"/>
            </w:tcBorders>
            <w:shd w:val="clear" w:color="auto" w:fill="auto"/>
            <w:noWrap/>
            <w:vAlign w:val="center"/>
            <w:hideMark/>
          </w:tcPr>
          <w:p w14:paraId="65E773E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11,3</w:t>
            </w:r>
          </w:p>
        </w:tc>
        <w:tc>
          <w:tcPr>
            <w:tcW w:w="628" w:type="dxa"/>
            <w:tcBorders>
              <w:top w:val="nil"/>
              <w:left w:val="nil"/>
              <w:bottom w:val="single" w:sz="4" w:space="0" w:color="auto"/>
              <w:right w:val="single" w:sz="4" w:space="0" w:color="auto"/>
            </w:tcBorders>
            <w:shd w:val="clear" w:color="auto" w:fill="auto"/>
            <w:noWrap/>
            <w:vAlign w:val="center"/>
            <w:hideMark/>
          </w:tcPr>
          <w:p w14:paraId="7B56E91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5038243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628" w:type="dxa"/>
            <w:tcBorders>
              <w:top w:val="nil"/>
              <w:left w:val="nil"/>
              <w:bottom w:val="single" w:sz="4" w:space="0" w:color="auto"/>
              <w:right w:val="single" w:sz="4" w:space="0" w:color="auto"/>
            </w:tcBorders>
            <w:shd w:val="clear" w:color="auto" w:fill="auto"/>
            <w:noWrap/>
            <w:vAlign w:val="center"/>
            <w:hideMark/>
          </w:tcPr>
          <w:p w14:paraId="14D13EC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11,6</w:t>
            </w:r>
          </w:p>
        </w:tc>
        <w:tc>
          <w:tcPr>
            <w:tcW w:w="628" w:type="dxa"/>
            <w:tcBorders>
              <w:top w:val="nil"/>
              <w:left w:val="nil"/>
              <w:bottom w:val="single" w:sz="4" w:space="0" w:color="auto"/>
              <w:right w:val="single" w:sz="4" w:space="0" w:color="auto"/>
            </w:tcBorders>
            <w:shd w:val="clear" w:color="auto" w:fill="auto"/>
            <w:noWrap/>
            <w:vAlign w:val="center"/>
            <w:hideMark/>
          </w:tcPr>
          <w:p w14:paraId="3A61022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11,2</w:t>
            </w:r>
          </w:p>
        </w:tc>
        <w:tc>
          <w:tcPr>
            <w:tcW w:w="628" w:type="dxa"/>
            <w:tcBorders>
              <w:top w:val="nil"/>
              <w:left w:val="nil"/>
              <w:bottom w:val="single" w:sz="4" w:space="0" w:color="auto"/>
              <w:right w:val="single" w:sz="4" w:space="0" w:color="auto"/>
            </w:tcBorders>
            <w:shd w:val="clear" w:color="auto" w:fill="auto"/>
            <w:noWrap/>
            <w:vAlign w:val="center"/>
            <w:hideMark/>
          </w:tcPr>
          <w:p w14:paraId="369C40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236AE52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10,4</w:t>
            </w:r>
          </w:p>
        </w:tc>
        <w:tc>
          <w:tcPr>
            <w:tcW w:w="628" w:type="dxa"/>
            <w:tcBorders>
              <w:top w:val="nil"/>
              <w:left w:val="nil"/>
              <w:bottom w:val="single" w:sz="4" w:space="0" w:color="auto"/>
              <w:right w:val="single" w:sz="4" w:space="0" w:color="auto"/>
            </w:tcBorders>
            <w:shd w:val="clear" w:color="auto" w:fill="auto"/>
            <w:noWrap/>
            <w:vAlign w:val="center"/>
            <w:hideMark/>
          </w:tcPr>
          <w:p w14:paraId="56E5BFA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r>
      <w:tr w:rsidR="00B56301" w:rsidRPr="007253FC" w14:paraId="31DE9242"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5F97070D"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3FF65AEF"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145,1</w:t>
            </w:r>
          </w:p>
        </w:tc>
        <w:tc>
          <w:tcPr>
            <w:tcW w:w="628" w:type="dxa"/>
            <w:tcBorders>
              <w:top w:val="nil"/>
              <w:left w:val="nil"/>
              <w:bottom w:val="single" w:sz="4" w:space="0" w:color="auto"/>
              <w:right w:val="single" w:sz="4" w:space="0" w:color="auto"/>
            </w:tcBorders>
            <w:shd w:val="clear" w:color="000000" w:fill="7030A0"/>
            <w:noWrap/>
            <w:vAlign w:val="bottom"/>
            <w:hideMark/>
          </w:tcPr>
          <w:p w14:paraId="690B5B2A"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144,1</w:t>
            </w:r>
          </w:p>
        </w:tc>
        <w:tc>
          <w:tcPr>
            <w:tcW w:w="628" w:type="dxa"/>
            <w:tcBorders>
              <w:top w:val="nil"/>
              <w:left w:val="nil"/>
              <w:bottom w:val="single" w:sz="4" w:space="0" w:color="auto"/>
              <w:right w:val="single" w:sz="4" w:space="0" w:color="auto"/>
            </w:tcBorders>
            <w:shd w:val="clear" w:color="000000" w:fill="7030A0"/>
            <w:noWrap/>
            <w:vAlign w:val="bottom"/>
            <w:hideMark/>
          </w:tcPr>
          <w:p w14:paraId="73B53A0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138,5</w:t>
            </w:r>
          </w:p>
        </w:tc>
        <w:tc>
          <w:tcPr>
            <w:tcW w:w="628" w:type="dxa"/>
            <w:tcBorders>
              <w:top w:val="nil"/>
              <w:left w:val="nil"/>
              <w:bottom w:val="single" w:sz="4" w:space="0" w:color="auto"/>
              <w:right w:val="single" w:sz="4" w:space="0" w:color="auto"/>
            </w:tcBorders>
            <w:shd w:val="clear" w:color="000000" w:fill="7030A0"/>
            <w:noWrap/>
            <w:vAlign w:val="bottom"/>
            <w:hideMark/>
          </w:tcPr>
          <w:p w14:paraId="0A7F8A8A"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136,9</w:t>
            </w:r>
          </w:p>
        </w:tc>
        <w:tc>
          <w:tcPr>
            <w:tcW w:w="628" w:type="dxa"/>
            <w:tcBorders>
              <w:top w:val="nil"/>
              <w:left w:val="nil"/>
              <w:bottom w:val="single" w:sz="4" w:space="0" w:color="auto"/>
              <w:right w:val="single" w:sz="4" w:space="0" w:color="auto"/>
            </w:tcBorders>
            <w:shd w:val="clear" w:color="000000" w:fill="7030A0"/>
            <w:noWrap/>
            <w:vAlign w:val="bottom"/>
            <w:hideMark/>
          </w:tcPr>
          <w:p w14:paraId="59F296F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138,0</w:t>
            </w:r>
          </w:p>
        </w:tc>
        <w:tc>
          <w:tcPr>
            <w:tcW w:w="628" w:type="dxa"/>
            <w:tcBorders>
              <w:top w:val="nil"/>
              <w:left w:val="nil"/>
              <w:bottom w:val="single" w:sz="4" w:space="0" w:color="auto"/>
              <w:right w:val="single" w:sz="4" w:space="0" w:color="auto"/>
            </w:tcBorders>
            <w:shd w:val="clear" w:color="000000" w:fill="7030A0"/>
            <w:noWrap/>
            <w:vAlign w:val="bottom"/>
            <w:hideMark/>
          </w:tcPr>
          <w:p w14:paraId="4A9567FA"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139,2</w:t>
            </w:r>
          </w:p>
        </w:tc>
        <w:tc>
          <w:tcPr>
            <w:tcW w:w="628" w:type="dxa"/>
            <w:tcBorders>
              <w:top w:val="nil"/>
              <w:left w:val="nil"/>
              <w:bottom w:val="single" w:sz="4" w:space="0" w:color="auto"/>
              <w:right w:val="single" w:sz="4" w:space="0" w:color="auto"/>
            </w:tcBorders>
            <w:shd w:val="clear" w:color="000000" w:fill="7030A0"/>
            <w:noWrap/>
            <w:vAlign w:val="bottom"/>
            <w:hideMark/>
          </w:tcPr>
          <w:p w14:paraId="60C2C626"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137,6</w:t>
            </w:r>
          </w:p>
        </w:tc>
        <w:tc>
          <w:tcPr>
            <w:tcW w:w="628" w:type="dxa"/>
            <w:tcBorders>
              <w:top w:val="nil"/>
              <w:left w:val="nil"/>
              <w:bottom w:val="single" w:sz="4" w:space="0" w:color="auto"/>
              <w:right w:val="single" w:sz="4" w:space="0" w:color="auto"/>
            </w:tcBorders>
            <w:shd w:val="clear" w:color="000000" w:fill="7030A0"/>
            <w:noWrap/>
            <w:vAlign w:val="bottom"/>
            <w:hideMark/>
          </w:tcPr>
          <w:p w14:paraId="2B3881F6"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136,8</w:t>
            </w:r>
          </w:p>
        </w:tc>
      </w:tr>
      <w:tr w:rsidR="00B56301" w:rsidRPr="007253FC" w14:paraId="74FE10F2"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429DCA4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VP</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A664A5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78,2</w:t>
            </w:r>
          </w:p>
        </w:tc>
        <w:tc>
          <w:tcPr>
            <w:tcW w:w="628" w:type="dxa"/>
            <w:tcBorders>
              <w:top w:val="nil"/>
              <w:left w:val="nil"/>
              <w:bottom w:val="single" w:sz="4" w:space="0" w:color="auto"/>
              <w:right w:val="single" w:sz="4" w:space="0" w:color="auto"/>
            </w:tcBorders>
            <w:shd w:val="clear" w:color="auto" w:fill="auto"/>
            <w:noWrap/>
            <w:vAlign w:val="bottom"/>
            <w:hideMark/>
          </w:tcPr>
          <w:p w14:paraId="013E635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77,9</w:t>
            </w:r>
          </w:p>
        </w:tc>
        <w:tc>
          <w:tcPr>
            <w:tcW w:w="628" w:type="dxa"/>
            <w:tcBorders>
              <w:top w:val="nil"/>
              <w:left w:val="nil"/>
              <w:bottom w:val="single" w:sz="4" w:space="0" w:color="auto"/>
              <w:right w:val="single" w:sz="4" w:space="0" w:color="auto"/>
            </w:tcBorders>
            <w:shd w:val="clear" w:color="auto" w:fill="auto"/>
            <w:noWrap/>
            <w:vAlign w:val="bottom"/>
            <w:hideMark/>
          </w:tcPr>
          <w:p w14:paraId="5176C15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75,2</w:t>
            </w:r>
          </w:p>
        </w:tc>
        <w:tc>
          <w:tcPr>
            <w:tcW w:w="628" w:type="dxa"/>
            <w:tcBorders>
              <w:top w:val="nil"/>
              <w:left w:val="nil"/>
              <w:bottom w:val="single" w:sz="4" w:space="0" w:color="auto"/>
              <w:right w:val="single" w:sz="4" w:space="0" w:color="auto"/>
            </w:tcBorders>
            <w:shd w:val="clear" w:color="auto" w:fill="auto"/>
            <w:noWrap/>
            <w:vAlign w:val="bottom"/>
            <w:hideMark/>
          </w:tcPr>
          <w:p w14:paraId="53E54A8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75,3</w:t>
            </w:r>
          </w:p>
        </w:tc>
        <w:tc>
          <w:tcPr>
            <w:tcW w:w="628" w:type="dxa"/>
            <w:tcBorders>
              <w:top w:val="nil"/>
              <w:left w:val="nil"/>
              <w:bottom w:val="single" w:sz="4" w:space="0" w:color="auto"/>
              <w:right w:val="single" w:sz="4" w:space="0" w:color="auto"/>
            </w:tcBorders>
            <w:shd w:val="clear" w:color="auto" w:fill="auto"/>
            <w:noWrap/>
            <w:vAlign w:val="bottom"/>
            <w:hideMark/>
          </w:tcPr>
          <w:p w14:paraId="1E6818D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75,4</w:t>
            </w:r>
          </w:p>
        </w:tc>
        <w:tc>
          <w:tcPr>
            <w:tcW w:w="628" w:type="dxa"/>
            <w:tcBorders>
              <w:top w:val="nil"/>
              <w:left w:val="nil"/>
              <w:bottom w:val="single" w:sz="4" w:space="0" w:color="auto"/>
              <w:right w:val="single" w:sz="4" w:space="0" w:color="auto"/>
            </w:tcBorders>
            <w:shd w:val="clear" w:color="auto" w:fill="auto"/>
            <w:noWrap/>
            <w:vAlign w:val="bottom"/>
            <w:hideMark/>
          </w:tcPr>
          <w:p w14:paraId="1A8EECF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75,1</w:t>
            </w:r>
          </w:p>
        </w:tc>
        <w:tc>
          <w:tcPr>
            <w:tcW w:w="628" w:type="dxa"/>
            <w:tcBorders>
              <w:top w:val="nil"/>
              <w:left w:val="nil"/>
              <w:bottom w:val="single" w:sz="4" w:space="0" w:color="auto"/>
              <w:right w:val="single" w:sz="4" w:space="0" w:color="auto"/>
            </w:tcBorders>
            <w:shd w:val="clear" w:color="auto" w:fill="auto"/>
            <w:noWrap/>
            <w:vAlign w:val="bottom"/>
            <w:hideMark/>
          </w:tcPr>
          <w:p w14:paraId="7825A4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74,7</w:t>
            </w:r>
          </w:p>
        </w:tc>
        <w:tc>
          <w:tcPr>
            <w:tcW w:w="628" w:type="dxa"/>
            <w:tcBorders>
              <w:top w:val="nil"/>
              <w:left w:val="nil"/>
              <w:bottom w:val="single" w:sz="4" w:space="0" w:color="auto"/>
              <w:right w:val="single" w:sz="4" w:space="0" w:color="auto"/>
            </w:tcBorders>
            <w:shd w:val="clear" w:color="auto" w:fill="auto"/>
            <w:noWrap/>
            <w:vAlign w:val="bottom"/>
            <w:hideMark/>
          </w:tcPr>
          <w:p w14:paraId="571C553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74,2</w:t>
            </w:r>
          </w:p>
        </w:tc>
      </w:tr>
      <w:tr w:rsidR="00B56301" w:rsidRPr="007253FC" w14:paraId="1543A2F3"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1DCF85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VUL</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52F24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20,8</w:t>
            </w:r>
          </w:p>
        </w:tc>
        <w:tc>
          <w:tcPr>
            <w:tcW w:w="628" w:type="dxa"/>
            <w:tcBorders>
              <w:top w:val="nil"/>
              <w:left w:val="nil"/>
              <w:bottom w:val="single" w:sz="4" w:space="0" w:color="auto"/>
              <w:right w:val="single" w:sz="4" w:space="0" w:color="auto"/>
            </w:tcBorders>
            <w:shd w:val="clear" w:color="auto" w:fill="auto"/>
            <w:noWrap/>
            <w:vAlign w:val="bottom"/>
            <w:hideMark/>
          </w:tcPr>
          <w:p w14:paraId="1C9A08F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5C57D4F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19,3</w:t>
            </w:r>
          </w:p>
        </w:tc>
        <w:tc>
          <w:tcPr>
            <w:tcW w:w="628" w:type="dxa"/>
            <w:tcBorders>
              <w:top w:val="nil"/>
              <w:left w:val="nil"/>
              <w:bottom w:val="single" w:sz="4" w:space="0" w:color="auto"/>
              <w:right w:val="single" w:sz="4" w:space="0" w:color="auto"/>
            </w:tcBorders>
            <w:shd w:val="clear" w:color="auto" w:fill="auto"/>
            <w:noWrap/>
            <w:vAlign w:val="bottom"/>
            <w:hideMark/>
          </w:tcPr>
          <w:p w14:paraId="3091AF4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19,4</w:t>
            </w:r>
          </w:p>
        </w:tc>
        <w:tc>
          <w:tcPr>
            <w:tcW w:w="628" w:type="dxa"/>
            <w:tcBorders>
              <w:top w:val="nil"/>
              <w:left w:val="nil"/>
              <w:bottom w:val="single" w:sz="4" w:space="0" w:color="auto"/>
              <w:right w:val="single" w:sz="4" w:space="0" w:color="auto"/>
            </w:tcBorders>
            <w:shd w:val="clear" w:color="auto" w:fill="auto"/>
            <w:noWrap/>
            <w:vAlign w:val="bottom"/>
            <w:hideMark/>
          </w:tcPr>
          <w:p w14:paraId="5FFEA6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20,0</w:t>
            </w:r>
          </w:p>
        </w:tc>
        <w:tc>
          <w:tcPr>
            <w:tcW w:w="628" w:type="dxa"/>
            <w:tcBorders>
              <w:top w:val="nil"/>
              <w:left w:val="nil"/>
              <w:bottom w:val="single" w:sz="4" w:space="0" w:color="auto"/>
              <w:right w:val="single" w:sz="4" w:space="0" w:color="auto"/>
            </w:tcBorders>
            <w:shd w:val="clear" w:color="auto" w:fill="auto"/>
            <w:noWrap/>
            <w:vAlign w:val="bottom"/>
            <w:hideMark/>
          </w:tcPr>
          <w:p w14:paraId="4745E5D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5F907B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44DAB44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20,3</w:t>
            </w:r>
          </w:p>
        </w:tc>
      </w:tr>
      <w:tr w:rsidR="00B56301" w:rsidRPr="007253FC" w14:paraId="68EE7FFF"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ECF07DC" w14:textId="77777777" w:rsidR="00B56301" w:rsidRPr="007253FC" w:rsidRDefault="00B56301" w:rsidP="00B37B65">
            <w:pPr>
              <w:jc w:val="left"/>
              <w:rPr>
                <w:rFonts w:ascii="Trebuchet MS" w:hAnsi="Trebuchet MS" w:cs="Arial"/>
                <w:sz w:val="16"/>
                <w:szCs w:val="16"/>
                <w:lang w:val="en-GB"/>
              </w:rPr>
            </w:pPr>
            <w:r w:rsidRPr="007253FC">
              <w:rPr>
                <w:rFonts w:ascii="Trebuchet MS" w:hAnsi="Trebuchet MS" w:cs="Arial"/>
                <w:sz w:val="16"/>
                <w:szCs w:val="16"/>
                <w:lang w:val="en-GB"/>
              </w:rPr>
              <w:t>PL (y.c. bus et cars)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76D7C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36,6</w:t>
            </w:r>
          </w:p>
        </w:tc>
        <w:tc>
          <w:tcPr>
            <w:tcW w:w="628" w:type="dxa"/>
            <w:tcBorders>
              <w:top w:val="nil"/>
              <w:left w:val="nil"/>
              <w:bottom w:val="single" w:sz="4" w:space="0" w:color="auto"/>
              <w:right w:val="single" w:sz="4" w:space="0" w:color="auto"/>
            </w:tcBorders>
            <w:shd w:val="clear" w:color="auto" w:fill="auto"/>
            <w:noWrap/>
            <w:vAlign w:val="bottom"/>
            <w:hideMark/>
          </w:tcPr>
          <w:p w14:paraId="4E607EE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36,5</w:t>
            </w:r>
          </w:p>
        </w:tc>
        <w:tc>
          <w:tcPr>
            <w:tcW w:w="628" w:type="dxa"/>
            <w:tcBorders>
              <w:top w:val="nil"/>
              <w:left w:val="nil"/>
              <w:bottom w:val="single" w:sz="4" w:space="0" w:color="auto"/>
              <w:right w:val="single" w:sz="4" w:space="0" w:color="auto"/>
            </w:tcBorders>
            <w:shd w:val="clear" w:color="auto" w:fill="auto"/>
            <w:noWrap/>
            <w:vAlign w:val="bottom"/>
            <w:hideMark/>
          </w:tcPr>
          <w:p w14:paraId="66F135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34,7</w:t>
            </w:r>
          </w:p>
        </w:tc>
        <w:tc>
          <w:tcPr>
            <w:tcW w:w="628" w:type="dxa"/>
            <w:tcBorders>
              <w:top w:val="nil"/>
              <w:left w:val="nil"/>
              <w:bottom w:val="single" w:sz="4" w:space="0" w:color="auto"/>
              <w:right w:val="single" w:sz="4" w:space="0" w:color="auto"/>
            </w:tcBorders>
            <w:shd w:val="clear" w:color="auto" w:fill="auto"/>
            <w:noWrap/>
            <w:vAlign w:val="bottom"/>
            <w:hideMark/>
          </w:tcPr>
          <w:p w14:paraId="4EB01A9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32,9</w:t>
            </w:r>
          </w:p>
        </w:tc>
        <w:tc>
          <w:tcPr>
            <w:tcW w:w="628" w:type="dxa"/>
            <w:tcBorders>
              <w:top w:val="nil"/>
              <w:left w:val="nil"/>
              <w:bottom w:val="single" w:sz="4" w:space="0" w:color="auto"/>
              <w:right w:val="single" w:sz="4" w:space="0" w:color="auto"/>
            </w:tcBorders>
            <w:shd w:val="clear" w:color="auto" w:fill="auto"/>
            <w:noWrap/>
            <w:vAlign w:val="bottom"/>
            <w:hideMark/>
          </w:tcPr>
          <w:p w14:paraId="54F93F9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33,4</w:t>
            </w:r>
          </w:p>
        </w:tc>
        <w:tc>
          <w:tcPr>
            <w:tcW w:w="628" w:type="dxa"/>
            <w:tcBorders>
              <w:top w:val="nil"/>
              <w:left w:val="nil"/>
              <w:bottom w:val="single" w:sz="4" w:space="0" w:color="auto"/>
              <w:right w:val="single" w:sz="4" w:space="0" w:color="auto"/>
            </w:tcBorders>
            <w:shd w:val="clear" w:color="auto" w:fill="auto"/>
            <w:noWrap/>
            <w:vAlign w:val="bottom"/>
            <w:hideMark/>
          </w:tcPr>
          <w:p w14:paraId="79086B4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530949B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33,3</w:t>
            </w:r>
          </w:p>
        </w:tc>
        <w:tc>
          <w:tcPr>
            <w:tcW w:w="628" w:type="dxa"/>
            <w:tcBorders>
              <w:top w:val="nil"/>
              <w:left w:val="nil"/>
              <w:bottom w:val="single" w:sz="4" w:space="0" w:color="auto"/>
              <w:right w:val="single" w:sz="4" w:space="0" w:color="auto"/>
            </w:tcBorders>
            <w:shd w:val="clear" w:color="auto" w:fill="auto"/>
            <w:noWrap/>
            <w:vAlign w:val="bottom"/>
            <w:hideMark/>
          </w:tcPr>
          <w:p w14:paraId="265D6B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33,1</w:t>
            </w:r>
          </w:p>
        </w:tc>
      </w:tr>
      <w:tr w:rsidR="00B56301" w:rsidRPr="007253FC" w14:paraId="49E1DFDC"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20B1463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Deux roues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4BDF40A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4EC0725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47EEDFA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207BD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DFF8B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F99D5C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4BAAEB4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7105D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r>
      <w:tr w:rsidR="00B56301" w:rsidRPr="007253FC" w14:paraId="0672243E"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955DBA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ferroviaire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DD882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6179F1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33E4DE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383E907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533A375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7B6B0C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54BF24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43E0142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r>
      <w:tr w:rsidR="00B56301" w:rsidRPr="007253FC" w14:paraId="161D065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3E50C9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fluvial de marchandises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52164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D2BE6B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284007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B596E2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0E2CDB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7FBBF2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1FE0050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02D54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r>
      <w:tr w:rsidR="00B56301" w:rsidRPr="007253FC" w14:paraId="07DB0427"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288F4A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maritime domestique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B1F45C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49C3938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EFF14B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ACA30D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9C117F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0FC0AFA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E2056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bottom"/>
            <w:hideMark/>
          </w:tcPr>
          <w:p w14:paraId="69B60B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r>
      <w:tr w:rsidR="00B56301" w:rsidRPr="007253FC" w14:paraId="4BAFCA5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783AF47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autres navigations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8C1E1E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110374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CA4537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572377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6A52BE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09920FB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371AE4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B38C3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r>
      <w:tr w:rsidR="00B56301" w:rsidRPr="007253FC" w14:paraId="4405B3C4"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1F1DC8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aérien français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6A6AD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4,8</w:t>
            </w:r>
          </w:p>
        </w:tc>
        <w:tc>
          <w:tcPr>
            <w:tcW w:w="628" w:type="dxa"/>
            <w:tcBorders>
              <w:top w:val="nil"/>
              <w:left w:val="nil"/>
              <w:bottom w:val="single" w:sz="4" w:space="0" w:color="auto"/>
              <w:right w:val="single" w:sz="4" w:space="0" w:color="auto"/>
            </w:tcBorders>
            <w:shd w:val="clear" w:color="auto" w:fill="auto"/>
            <w:noWrap/>
            <w:vAlign w:val="bottom"/>
            <w:hideMark/>
          </w:tcPr>
          <w:p w14:paraId="634D267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21C90AF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8B612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BE412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37A7982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338461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7899EC2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r>
      <w:tr w:rsidR="00B56301" w:rsidRPr="007253FC" w14:paraId="0ADAC0E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29CE3C26"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hors UTCATF</w:t>
            </w:r>
          </w:p>
        </w:tc>
        <w:tc>
          <w:tcPr>
            <w:tcW w:w="628" w:type="dxa"/>
            <w:tcBorders>
              <w:top w:val="nil"/>
              <w:left w:val="nil"/>
              <w:bottom w:val="single" w:sz="4" w:space="0" w:color="auto"/>
              <w:right w:val="single" w:sz="4" w:space="0" w:color="auto"/>
            </w:tcBorders>
            <w:shd w:val="clear" w:color="000000" w:fill="D9D9D9"/>
            <w:noWrap/>
            <w:vAlign w:val="bottom"/>
            <w:hideMark/>
          </w:tcPr>
          <w:p w14:paraId="67E63E6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540,9</w:t>
            </w:r>
          </w:p>
        </w:tc>
        <w:tc>
          <w:tcPr>
            <w:tcW w:w="628" w:type="dxa"/>
            <w:tcBorders>
              <w:top w:val="nil"/>
              <w:left w:val="nil"/>
              <w:bottom w:val="single" w:sz="4" w:space="0" w:color="auto"/>
              <w:right w:val="single" w:sz="4" w:space="0" w:color="auto"/>
            </w:tcBorders>
            <w:shd w:val="clear" w:color="000000" w:fill="D9D9D9"/>
            <w:noWrap/>
            <w:vAlign w:val="bottom"/>
            <w:hideMark/>
          </w:tcPr>
          <w:p w14:paraId="06F4723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531,6</w:t>
            </w:r>
          </w:p>
        </w:tc>
        <w:tc>
          <w:tcPr>
            <w:tcW w:w="628" w:type="dxa"/>
            <w:tcBorders>
              <w:top w:val="nil"/>
              <w:left w:val="nil"/>
              <w:bottom w:val="single" w:sz="4" w:space="0" w:color="auto"/>
              <w:right w:val="single" w:sz="4" w:space="0" w:color="auto"/>
            </w:tcBorders>
            <w:shd w:val="clear" w:color="000000" w:fill="D9D9D9"/>
            <w:noWrap/>
            <w:vAlign w:val="bottom"/>
            <w:hideMark/>
          </w:tcPr>
          <w:p w14:paraId="6ACDC94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526,1</w:t>
            </w:r>
          </w:p>
        </w:tc>
        <w:tc>
          <w:tcPr>
            <w:tcW w:w="628" w:type="dxa"/>
            <w:tcBorders>
              <w:top w:val="nil"/>
              <w:left w:val="nil"/>
              <w:bottom w:val="single" w:sz="4" w:space="0" w:color="auto"/>
              <w:right w:val="single" w:sz="4" w:space="0" w:color="auto"/>
            </w:tcBorders>
            <w:shd w:val="clear" w:color="000000" w:fill="D9D9D9"/>
            <w:noWrap/>
            <w:vAlign w:val="bottom"/>
            <w:hideMark/>
          </w:tcPr>
          <w:p w14:paraId="73AF457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503,4</w:t>
            </w:r>
          </w:p>
        </w:tc>
        <w:tc>
          <w:tcPr>
            <w:tcW w:w="628" w:type="dxa"/>
            <w:tcBorders>
              <w:top w:val="nil"/>
              <w:left w:val="nil"/>
              <w:bottom w:val="single" w:sz="4" w:space="0" w:color="auto"/>
              <w:right w:val="single" w:sz="4" w:space="0" w:color="auto"/>
            </w:tcBorders>
            <w:shd w:val="clear" w:color="000000" w:fill="D9D9D9"/>
            <w:noWrap/>
            <w:vAlign w:val="bottom"/>
            <w:hideMark/>
          </w:tcPr>
          <w:p w14:paraId="2609BC2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507,5</w:t>
            </w:r>
          </w:p>
        </w:tc>
        <w:tc>
          <w:tcPr>
            <w:tcW w:w="628" w:type="dxa"/>
            <w:tcBorders>
              <w:top w:val="nil"/>
              <w:left w:val="nil"/>
              <w:bottom w:val="single" w:sz="4" w:space="0" w:color="auto"/>
              <w:right w:val="single" w:sz="4" w:space="0" w:color="auto"/>
            </w:tcBorders>
            <w:shd w:val="clear" w:color="000000" w:fill="D9D9D9"/>
            <w:noWrap/>
            <w:vAlign w:val="bottom"/>
            <w:hideMark/>
          </w:tcPr>
          <w:p w14:paraId="5E83113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483,3</w:t>
            </w:r>
          </w:p>
        </w:tc>
        <w:tc>
          <w:tcPr>
            <w:tcW w:w="628" w:type="dxa"/>
            <w:tcBorders>
              <w:top w:val="nil"/>
              <w:left w:val="nil"/>
              <w:bottom w:val="single" w:sz="4" w:space="0" w:color="auto"/>
              <w:right w:val="single" w:sz="4" w:space="0" w:color="auto"/>
            </w:tcBorders>
            <w:shd w:val="clear" w:color="000000" w:fill="D9D9D9"/>
            <w:noWrap/>
            <w:vAlign w:val="bottom"/>
            <w:hideMark/>
          </w:tcPr>
          <w:p w14:paraId="6538FD1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484,8</w:t>
            </w:r>
          </w:p>
        </w:tc>
        <w:tc>
          <w:tcPr>
            <w:tcW w:w="628" w:type="dxa"/>
            <w:tcBorders>
              <w:top w:val="nil"/>
              <w:left w:val="nil"/>
              <w:bottom w:val="single" w:sz="4" w:space="0" w:color="auto"/>
              <w:right w:val="single" w:sz="4" w:space="0" w:color="auto"/>
            </w:tcBorders>
            <w:shd w:val="clear" w:color="000000" w:fill="D9D9D9"/>
            <w:noWrap/>
            <w:vAlign w:val="bottom"/>
            <w:hideMark/>
          </w:tcPr>
          <w:p w14:paraId="56515FF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485,6</w:t>
            </w:r>
          </w:p>
        </w:tc>
      </w:tr>
      <w:tr w:rsidR="00B56301" w:rsidRPr="007253FC" w14:paraId="5FD0FE8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527064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Forêts</w:t>
            </w:r>
          </w:p>
        </w:tc>
        <w:tc>
          <w:tcPr>
            <w:tcW w:w="628" w:type="dxa"/>
            <w:tcBorders>
              <w:top w:val="nil"/>
              <w:left w:val="nil"/>
              <w:bottom w:val="single" w:sz="4" w:space="0" w:color="auto"/>
              <w:right w:val="single" w:sz="4" w:space="0" w:color="auto"/>
            </w:tcBorders>
            <w:shd w:val="clear" w:color="auto" w:fill="auto"/>
            <w:noWrap/>
            <w:vAlign w:val="bottom"/>
            <w:hideMark/>
          </w:tcPr>
          <w:p w14:paraId="4529B48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-68,3</w:t>
            </w:r>
          </w:p>
        </w:tc>
        <w:tc>
          <w:tcPr>
            <w:tcW w:w="628" w:type="dxa"/>
            <w:tcBorders>
              <w:top w:val="nil"/>
              <w:left w:val="nil"/>
              <w:bottom w:val="single" w:sz="4" w:space="0" w:color="auto"/>
              <w:right w:val="single" w:sz="4" w:space="0" w:color="auto"/>
            </w:tcBorders>
            <w:shd w:val="clear" w:color="auto" w:fill="auto"/>
            <w:noWrap/>
            <w:vAlign w:val="bottom"/>
            <w:hideMark/>
          </w:tcPr>
          <w:p w14:paraId="6BFE8E5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-69,7</w:t>
            </w:r>
          </w:p>
        </w:tc>
        <w:tc>
          <w:tcPr>
            <w:tcW w:w="628" w:type="dxa"/>
            <w:tcBorders>
              <w:top w:val="nil"/>
              <w:left w:val="nil"/>
              <w:bottom w:val="single" w:sz="4" w:space="0" w:color="auto"/>
              <w:right w:val="single" w:sz="4" w:space="0" w:color="auto"/>
            </w:tcBorders>
            <w:shd w:val="clear" w:color="auto" w:fill="auto"/>
            <w:noWrap/>
            <w:vAlign w:val="bottom"/>
            <w:hideMark/>
          </w:tcPr>
          <w:p w14:paraId="1FA81C9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-71,9</w:t>
            </w:r>
          </w:p>
        </w:tc>
        <w:tc>
          <w:tcPr>
            <w:tcW w:w="628" w:type="dxa"/>
            <w:tcBorders>
              <w:top w:val="nil"/>
              <w:left w:val="nil"/>
              <w:bottom w:val="single" w:sz="4" w:space="0" w:color="auto"/>
              <w:right w:val="single" w:sz="4" w:space="0" w:color="auto"/>
            </w:tcBorders>
            <w:shd w:val="clear" w:color="auto" w:fill="auto"/>
            <w:noWrap/>
            <w:vAlign w:val="bottom"/>
            <w:hideMark/>
          </w:tcPr>
          <w:p w14:paraId="0F5CA28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-61,9</w:t>
            </w:r>
          </w:p>
        </w:tc>
        <w:tc>
          <w:tcPr>
            <w:tcW w:w="628" w:type="dxa"/>
            <w:tcBorders>
              <w:top w:val="nil"/>
              <w:left w:val="nil"/>
              <w:bottom w:val="single" w:sz="4" w:space="0" w:color="auto"/>
              <w:right w:val="single" w:sz="4" w:space="0" w:color="auto"/>
            </w:tcBorders>
            <w:shd w:val="clear" w:color="auto" w:fill="auto"/>
            <w:noWrap/>
            <w:vAlign w:val="bottom"/>
            <w:hideMark/>
          </w:tcPr>
          <w:p w14:paraId="6FD48D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-58,5</w:t>
            </w:r>
          </w:p>
        </w:tc>
        <w:tc>
          <w:tcPr>
            <w:tcW w:w="628" w:type="dxa"/>
            <w:tcBorders>
              <w:top w:val="nil"/>
              <w:left w:val="nil"/>
              <w:bottom w:val="single" w:sz="4" w:space="0" w:color="auto"/>
              <w:right w:val="single" w:sz="4" w:space="0" w:color="auto"/>
            </w:tcBorders>
            <w:shd w:val="clear" w:color="auto" w:fill="auto"/>
            <w:noWrap/>
            <w:vAlign w:val="bottom"/>
            <w:hideMark/>
          </w:tcPr>
          <w:p w14:paraId="483FB4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-56,8</w:t>
            </w:r>
          </w:p>
        </w:tc>
        <w:tc>
          <w:tcPr>
            <w:tcW w:w="628" w:type="dxa"/>
            <w:tcBorders>
              <w:top w:val="nil"/>
              <w:left w:val="nil"/>
              <w:bottom w:val="single" w:sz="4" w:space="0" w:color="auto"/>
              <w:right w:val="single" w:sz="4" w:space="0" w:color="auto"/>
            </w:tcBorders>
            <w:shd w:val="clear" w:color="auto" w:fill="auto"/>
            <w:noWrap/>
            <w:vAlign w:val="bottom"/>
            <w:hideMark/>
          </w:tcPr>
          <w:p w14:paraId="4EF2CD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-59,3</w:t>
            </w:r>
          </w:p>
        </w:tc>
        <w:tc>
          <w:tcPr>
            <w:tcW w:w="628" w:type="dxa"/>
            <w:tcBorders>
              <w:top w:val="nil"/>
              <w:left w:val="nil"/>
              <w:bottom w:val="single" w:sz="4" w:space="0" w:color="auto"/>
              <w:right w:val="single" w:sz="4" w:space="0" w:color="auto"/>
            </w:tcBorders>
            <w:shd w:val="clear" w:color="auto" w:fill="auto"/>
            <w:noWrap/>
            <w:vAlign w:val="bottom"/>
            <w:hideMark/>
          </w:tcPr>
          <w:p w14:paraId="53B4F2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-62,2</w:t>
            </w:r>
          </w:p>
        </w:tc>
      </w:tr>
      <w:tr w:rsidR="00B56301" w:rsidRPr="007253FC" w14:paraId="48A1704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FC1278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Terres cultivées</w:t>
            </w:r>
          </w:p>
        </w:tc>
        <w:tc>
          <w:tcPr>
            <w:tcW w:w="628" w:type="dxa"/>
            <w:tcBorders>
              <w:top w:val="nil"/>
              <w:left w:val="nil"/>
              <w:bottom w:val="single" w:sz="4" w:space="0" w:color="auto"/>
              <w:right w:val="single" w:sz="4" w:space="0" w:color="auto"/>
            </w:tcBorders>
            <w:shd w:val="clear" w:color="auto" w:fill="auto"/>
            <w:noWrap/>
            <w:vAlign w:val="bottom"/>
            <w:hideMark/>
          </w:tcPr>
          <w:p w14:paraId="60175A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18,7</w:t>
            </w:r>
          </w:p>
        </w:tc>
        <w:tc>
          <w:tcPr>
            <w:tcW w:w="628" w:type="dxa"/>
            <w:tcBorders>
              <w:top w:val="nil"/>
              <w:left w:val="nil"/>
              <w:bottom w:val="single" w:sz="4" w:space="0" w:color="auto"/>
              <w:right w:val="single" w:sz="4" w:space="0" w:color="auto"/>
            </w:tcBorders>
            <w:shd w:val="clear" w:color="auto" w:fill="auto"/>
            <w:noWrap/>
            <w:vAlign w:val="bottom"/>
            <w:hideMark/>
          </w:tcPr>
          <w:p w14:paraId="7AF26B4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19,3</w:t>
            </w:r>
          </w:p>
        </w:tc>
        <w:tc>
          <w:tcPr>
            <w:tcW w:w="628" w:type="dxa"/>
            <w:tcBorders>
              <w:top w:val="nil"/>
              <w:left w:val="nil"/>
              <w:bottom w:val="single" w:sz="4" w:space="0" w:color="auto"/>
              <w:right w:val="single" w:sz="4" w:space="0" w:color="auto"/>
            </w:tcBorders>
            <w:shd w:val="clear" w:color="auto" w:fill="auto"/>
            <w:noWrap/>
            <w:vAlign w:val="bottom"/>
            <w:hideMark/>
          </w:tcPr>
          <w:p w14:paraId="410AD6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20,7</w:t>
            </w:r>
          </w:p>
        </w:tc>
        <w:tc>
          <w:tcPr>
            <w:tcW w:w="628" w:type="dxa"/>
            <w:tcBorders>
              <w:top w:val="nil"/>
              <w:left w:val="nil"/>
              <w:bottom w:val="single" w:sz="4" w:space="0" w:color="auto"/>
              <w:right w:val="single" w:sz="4" w:space="0" w:color="auto"/>
            </w:tcBorders>
            <w:shd w:val="clear" w:color="auto" w:fill="auto"/>
            <w:noWrap/>
            <w:vAlign w:val="bottom"/>
            <w:hideMark/>
          </w:tcPr>
          <w:p w14:paraId="57E6915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436259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2F1135E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18,8</w:t>
            </w:r>
          </w:p>
        </w:tc>
        <w:tc>
          <w:tcPr>
            <w:tcW w:w="628" w:type="dxa"/>
            <w:tcBorders>
              <w:top w:val="nil"/>
              <w:left w:val="nil"/>
              <w:bottom w:val="single" w:sz="4" w:space="0" w:color="auto"/>
              <w:right w:val="single" w:sz="4" w:space="0" w:color="auto"/>
            </w:tcBorders>
            <w:shd w:val="clear" w:color="auto" w:fill="auto"/>
            <w:noWrap/>
            <w:vAlign w:val="bottom"/>
            <w:hideMark/>
          </w:tcPr>
          <w:p w14:paraId="424CEE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17,3</w:t>
            </w:r>
          </w:p>
        </w:tc>
        <w:tc>
          <w:tcPr>
            <w:tcW w:w="628" w:type="dxa"/>
            <w:tcBorders>
              <w:top w:val="nil"/>
              <w:left w:val="nil"/>
              <w:bottom w:val="single" w:sz="4" w:space="0" w:color="auto"/>
              <w:right w:val="single" w:sz="4" w:space="0" w:color="auto"/>
            </w:tcBorders>
            <w:shd w:val="clear" w:color="auto" w:fill="auto"/>
            <w:noWrap/>
            <w:vAlign w:val="bottom"/>
            <w:hideMark/>
          </w:tcPr>
          <w:p w14:paraId="1C67793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16,0</w:t>
            </w:r>
          </w:p>
        </w:tc>
      </w:tr>
      <w:tr w:rsidR="00B56301" w:rsidRPr="007253FC" w14:paraId="51F49537"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45DD41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Prairies</w:t>
            </w:r>
          </w:p>
        </w:tc>
        <w:tc>
          <w:tcPr>
            <w:tcW w:w="628" w:type="dxa"/>
            <w:tcBorders>
              <w:top w:val="nil"/>
              <w:left w:val="nil"/>
              <w:bottom w:val="single" w:sz="4" w:space="0" w:color="auto"/>
              <w:right w:val="single" w:sz="4" w:space="0" w:color="auto"/>
            </w:tcBorders>
            <w:shd w:val="clear" w:color="auto" w:fill="auto"/>
            <w:noWrap/>
            <w:vAlign w:val="bottom"/>
            <w:hideMark/>
          </w:tcPr>
          <w:p w14:paraId="4E9F922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-8,5</w:t>
            </w:r>
          </w:p>
        </w:tc>
        <w:tc>
          <w:tcPr>
            <w:tcW w:w="628" w:type="dxa"/>
            <w:tcBorders>
              <w:top w:val="nil"/>
              <w:left w:val="nil"/>
              <w:bottom w:val="single" w:sz="4" w:space="0" w:color="auto"/>
              <w:right w:val="single" w:sz="4" w:space="0" w:color="auto"/>
            </w:tcBorders>
            <w:shd w:val="clear" w:color="auto" w:fill="auto"/>
            <w:noWrap/>
            <w:vAlign w:val="bottom"/>
            <w:hideMark/>
          </w:tcPr>
          <w:p w14:paraId="5AB7141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-7,7</w:t>
            </w:r>
          </w:p>
        </w:tc>
        <w:tc>
          <w:tcPr>
            <w:tcW w:w="628" w:type="dxa"/>
            <w:tcBorders>
              <w:top w:val="nil"/>
              <w:left w:val="nil"/>
              <w:bottom w:val="single" w:sz="4" w:space="0" w:color="auto"/>
              <w:right w:val="single" w:sz="4" w:space="0" w:color="auto"/>
            </w:tcBorders>
            <w:shd w:val="clear" w:color="auto" w:fill="auto"/>
            <w:noWrap/>
            <w:vAlign w:val="bottom"/>
            <w:hideMark/>
          </w:tcPr>
          <w:p w14:paraId="3C8BD2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-8,2</w:t>
            </w:r>
          </w:p>
        </w:tc>
        <w:tc>
          <w:tcPr>
            <w:tcW w:w="628" w:type="dxa"/>
            <w:tcBorders>
              <w:top w:val="nil"/>
              <w:left w:val="nil"/>
              <w:bottom w:val="single" w:sz="4" w:space="0" w:color="auto"/>
              <w:right w:val="single" w:sz="4" w:space="0" w:color="auto"/>
            </w:tcBorders>
            <w:shd w:val="clear" w:color="auto" w:fill="auto"/>
            <w:noWrap/>
            <w:vAlign w:val="bottom"/>
            <w:hideMark/>
          </w:tcPr>
          <w:p w14:paraId="5B1013D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-8,8</w:t>
            </w:r>
          </w:p>
        </w:tc>
        <w:tc>
          <w:tcPr>
            <w:tcW w:w="628" w:type="dxa"/>
            <w:tcBorders>
              <w:top w:val="nil"/>
              <w:left w:val="nil"/>
              <w:bottom w:val="single" w:sz="4" w:space="0" w:color="auto"/>
              <w:right w:val="single" w:sz="4" w:space="0" w:color="auto"/>
            </w:tcBorders>
            <w:shd w:val="clear" w:color="auto" w:fill="auto"/>
            <w:noWrap/>
            <w:vAlign w:val="bottom"/>
            <w:hideMark/>
          </w:tcPr>
          <w:p w14:paraId="12D6E61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-9,7</w:t>
            </w:r>
          </w:p>
        </w:tc>
        <w:tc>
          <w:tcPr>
            <w:tcW w:w="628" w:type="dxa"/>
            <w:tcBorders>
              <w:top w:val="nil"/>
              <w:left w:val="nil"/>
              <w:bottom w:val="single" w:sz="4" w:space="0" w:color="auto"/>
              <w:right w:val="single" w:sz="4" w:space="0" w:color="auto"/>
            </w:tcBorders>
            <w:shd w:val="clear" w:color="auto" w:fill="auto"/>
            <w:noWrap/>
            <w:vAlign w:val="bottom"/>
            <w:hideMark/>
          </w:tcPr>
          <w:p w14:paraId="5945F4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-10,3</w:t>
            </w:r>
          </w:p>
        </w:tc>
        <w:tc>
          <w:tcPr>
            <w:tcW w:w="628" w:type="dxa"/>
            <w:tcBorders>
              <w:top w:val="nil"/>
              <w:left w:val="nil"/>
              <w:bottom w:val="single" w:sz="4" w:space="0" w:color="auto"/>
              <w:right w:val="single" w:sz="4" w:space="0" w:color="auto"/>
            </w:tcBorders>
            <w:shd w:val="clear" w:color="auto" w:fill="auto"/>
            <w:noWrap/>
            <w:vAlign w:val="bottom"/>
            <w:hideMark/>
          </w:tcPr>
          <w:p w14:paraId="6BB8D4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-10,0</w:t>
            </w:r>
          </w:p>
        </w:tc>
        <w:tc>
          <w:tcPr>
            <w:tcW w:w="628" w:type="dxa"/>
            <w:tcBorders>
              <w:top w:val="nil"/>
              <w:left w:val="nil"/>
              <w:bottom w:val="single" w:sz="4" w:space="0" w:color="auto"/>
              <w:right w:val="single" w:sz="4" w:space="0" w:color="auto"/>
            </w:tcBorders>
            <w:shd w:val="clear" w:color="auto" w:fill="auto"/>
            <w:noWrap/>
            <w:vAlign w:val="bottom"/>
            <w:hideMark/>
          </w:tcPr>
          <w:p w14:paraId="2CC9BA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-9,6</w:t>
            </w:r>
          </w:p>
        </w:tc>
      </w:tr>
      <w:tr w:rsidR="00B56301" w:rsidRPr="007253FC" w14:paraId="6F4F3F5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2F0D33C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humides</w:t>
            </w:r>
          </w:p>
        </w:tc>
        <w:tc>
          <w:tcPr>
            <w:tcW w:w="628" w:type="dxa"/>
            <w:tcBorders>
              <w:top w:val="nil"/>
              <w:left w:val="nil"/>
              <w:bottom w:val="single" w:sz="4" w:space="0" w:color="auto"/>
              <w:right w:val="single" w:sz="4" w:space="0" w:color="auto"/>
            </w:tcBorders>
            <w:shd w:val="clear" w:color="auto" w:fill="auto"/>
            <w:noWrap/>
            <w:vAlign w:val="bottom"/>
            <w:hideMark/>
          </w:tcPr>
          <w:p w14:paraId="28890A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0,7</w:t>
            </w:r>
          </w:p>
        </w:tc>
        <w:tc>
          <w:tcPr>
            <w:tcW w:w="628" w:type="dxa"/>
            <w:tcBorders>
              <w:top w:val="nil"/>
              <w:left w:val="nil"/>
              <w:bottom w:val="single" w:sz="4" w:space="0" w:color="auto"/>
              <w:right w:val="single" w:sz="4" w:space="0" w:color="auto"/>
            </w:tcBorders>
            <w:shd w:val="clear" w:color="auto" w:fill="auto"/>
            <w:noWrap/>
            <w:vAlign w:val="bottom"/>
            <w:hideMark/>
          </w:tcPr>
          <w:p w14:paraId="2C697D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5F06A1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5323D26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04C44B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8F3EA6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07462C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7BFE8C0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r>
      <w:tr w:rsidR="00B56301" w:rsidRPr="007253FC" w14:paraId="656CC28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E3EA3A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artificialisées</w:t>
            </w:r>
          </w:p>
        </w:tc>
        <w:tc>
          <w:tcPr>
            <w:tcW w:w="628" w:type="dxa"/>
            <w:tcBorders>
              <w:top w:val="nil"/>
              <w:left w:val="nil"/>
              <w:bottom w:val="single" w:sz="4" w:space="0" w:color="auto"/>
              <w:right w:val="single" w:sz="4" w:space="0" w:color="auto"/>
            </w:tcBorders>
            <w:shd w:val="clear" w:color="auto" w:fill="auto"/>
            <w:noWrap/>
            <w:vAlign w:val="bottom"/>
            <w:hideMark/>
          </w:tcPr>
          <w:p w14:paraId="5418576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12,1</w:t>
            </w:r>
          </w:p>
        </w:tc>
        <w:tc>
          <w:tcPr>
            <w:tcW w:w="628" w:type="dxa"/>
            <w:tcBorders>
              <w:top w:val="nil"/>
              <w:left w:val="nil"/>
              <w:bottom w:val="single" w:sz="4" w:space="0" w:color="auto"/>
              <w:right w:val="single" w:sz="4" w:space="0" w:color="auto"/>
            </w:tcBorders>
            <w:shd w:val="clear" w:color="auto" w:fill="auto"/>
            <w:noWrap/>
            <w:vAlign w:val="bottom"/>
            <w:hideMark/>
          </w:tcPr>
          <w:p w14:paraId="44DD73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12,8</w:t>
            </w:r>
          </w:p>
        </w:tc>
        <w:tc>
          <w:tcPr>
            <w:tcW w:w="628" w:type="dxa"/>
            <w:tcBorders>
              <w:top w:val="nil"/>
              <w:left w:val="nil"/>
              <w:bottom w:val="single" w:sz="4" w:space="0" w:color="auto"/>
              <w:right w:val="single" w:sz="4" w:space="0" w:color="auto"/>
            </w:tcBorders>
            <w:shd w:val="clear" w:color="auto" w:fill="auto"/>
            <w:noWrap/>
            <w:vAlign w:val="bottom"/>
            <w:hideMark/>
          </w:tcPr>
          <w:p w14:paraId="7EA46C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13,9</w:t>
            </w:r>
          </w:p>
        </w:tc>
        <w:tc>
          <w:tcPr>
            <w:tcW w:w="628" w:type="dxa"/>
            <w:tcBorders>
              <w:top w:val="nil"/>
              <w:left w:val="nil"/>
              <w:bottom w:val="single" w:sz="4" w:space="0" w:color="auto"/>
              <w:right w:val="single" w:sz="4" w:space="0" w:color="auto"/>
            </w:tcBorders>
            <w:shd w:val="clear" w:color="auto" w:fill="auto"/>
            <w:noWrap/>
            <w:vAlign w:val="bottom"/>
            <w:hideMark/>
          </w:tcPr>
          <w:p w14:paraId="04DAF9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F98BFB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12,7</w:t>
            </w:r>
          </w:p>
        </w:tc>
        <w:tc>
          <w:tcPr>
            <w:tcW w:w="628" w:type="dxa"/>
            <w:tcBorders>
              <w:top w:val="nil"/>
              <w:left w:val="nil"/>
              <w:bottom w:val="single" w:sz="4" w:space="0" w:color="auto"/>
              <w:right w:val="single" w:sz="4" w:space="0" w:color="auto"/>
            </w:tcBorders>
            <w:shd w:val="clear" w:color="auto" w:fill="auto"/>
            <w:noWrap/>
            <w:vAlign w:val="bottom"/>
            <w:hideMark/>
          </w:tcPr>
          <w:p w14:paraId="0200143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581567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12,3</w:t>
            </w:r>
          </w:p>
        </w:tc>
        <w:tc>
          <w:tcPr>
            <w:tcW w:w="628" w:type="dxa"/>
            <w:tcBorders>
              <w:top w:val="nil"/>
              <w:left w:val="nil"/>
              <w:bottom w:val="single" w:sz="4" w:space="0" w:color="auto"/>
              <w:right w:val="single" w:sz="4" w:space="0" w:color="auto"/>
            </w:tcBorders>
            <w:shd w:val="clear" w:color="auto" w:fill="auto"/>
            <w:noWrap/>
            <w:vAlign w:val="bottom"/>
            <w:hideMark/>
          </w:tcPr>
          <w:p w14:paraId="48404A3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12,2</w:t>
            </w:r>
          </w:p>
        </w:tc>
      </w:tr>
      <w:tr w:rsidR="00B56301" w:rsidRPr="007253FC" w14:paraId="202A772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870848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terres</w:t>
            </w:r>
          </w:p>
        </w:tc>
        <w:tc>
          <w:tcPr>
            <w:tcW w:w="628" w:type="dxa"/>
            <w:tcBorders>
              <w:top w:val="nil"/>
              <w:left w:val="nil"/>
              <w:bottom w:val="single" w:sz="4" w:space="0" w:color="auto"/>
              <w:right w:val="single" w:sz="4" w:space="0" w:color="auto"/>
            </w:tcBorders>
            <w:shd w:val="clear" w:color="auto" w:fill="auto"/>
            <w:noWrap/>
            <w:vAlign w:val="bottom"/>
            <w:hideMark/>
          </w:tcPr>
          <w:p w14:paraId="2F97DDD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0267B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F6C8EB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52AA9EE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69FAB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67AEA6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47F7E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7A1F5C7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r>
      <w:tr w:rsidR="00B56301" w:rsidRPr="007253FC" w14:paraId="2A7EB4B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828EE4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Produits bois</w:t>
            </w:r>
          </w:p>
        </w:tc>
        <w:tc>
          <w:tcPr>
            <w:tcW w:w="628" w:type="dxa"/>
            <w:tcBorders>
              <w:top w:val="nil"/>
              <w:left w:val="nil"/>
              <w:bottom w:val="single" w:sz="4" w:space="0" w:color="auto"/>
              <w:right w:val="single" w:sz="4" w:space="0" w:color="auto"/>
            </w:tcBorders>
            <w:shd w:val="clear" w:color="auto" w:fill="auto"/>
            <w:noWrap/>
            <w:vAlign w:val="bottom"/>
            <w:hideMark/>
          </w:tcPr>
          <w:p w14:paraId="7548EF1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-4,3</w:t>
            </w:r>
          </w:p>
        </w:tc>
        <w:tc>
          <w:tcPr>
            <w:tcW w:w="628" w:type="dxa"/>
            <w:tcBorders>
              <w:top w:val="nil"/>
              <w:left w:val="nil"/>
              <w:bottom w:val="single" w:sz="4" w:space="0" w:color="auto"/>
              <w:right w:val="single" w:sz="4" w:space="0" w:color="auto"/>
            </w:tcBorders>
            <w:shd w:val="clear" w:color="auto" w:fill="auto"/>
            <w:noWrap/>
            <w:vAlign w:val="bottom"/>
            <w:hideMark/>
          </w:tcPr>
          <w:p w14:paraId="0A09C13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-4,5</w:t>
            </w:r>
          </w:p>
        </w:tc>
        <w:tc>
          <w:tcPr>
            <w:tcW w:w="628" w:type="dxa"/>
            <w:tcBorders>
              <w:top w:val="nil"/>
              <w:left w:val="nil"/>
              <w:bottom w:val="single" w:sz="4" w:space="0" w:color="auto"/>
              <w:right w:val="single" w:sz="4" w:space="0" w:color="auto"/>
            </w:tcBorders>
            <w:shd w:val="clear" w:color="auto" w:fill="auto"/>
            <w:noWrap/>
            <w:vAlign w:val="bottom"/>
            <w:hideMark/>
          </w:tcPr>
          <w:p w14:paraId="33453B4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02011C9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FB3A7D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2A3B107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w:t>
            </w:r>
          </w:p>
        </w:tc>
        <w:tc>
          <w:tcPr>
            <w:tcW w:w="628" w:type="dxa"/>
            <w:tcBorders>
              <w:top w:val="nil"/>
              <w:left w:val="nil"/>
              <w:bottom w:val="single" w:sz="4" w:space="0" w:color="auto"/>
              <w:right w:val="single" w:sz="4" w:space="0" w:color="auto"/>
            </w:tcBorders>
            <w:shd w:val="clear" w:color="auto" w:fill="auto"/>
            <w:noWrap/>
            <w:vAlign w:val="bottom"/>
            <w:hideMark/>
          </w:tcPr>
          <w:p w14:paraId="36F4887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w:t>
            </w:r>
          </w:p>
        </w:tc>
        <w:tc>
          <w:tcPr>
            <w:tcW w:w="628" w:type="dxa"/>
            <w:tcBorders>
              <w:top w:val="nil"/>
              <w:left w:val="nil"/>
              <w:bottom w:val="single" w:sz="4" w:space="0" w:color="auto"/>
              <w:right w:val="single" w:sz="4" w:space="0" w:color="auto"/>
            </w:tcBorders>
            <w:shd w:val="clear" w:color="auto" w:fill="auto"/>
            <w:noWrap/>
            <w:vAlign w:val="bottom"/>
            <w:hideMark/>
          </w:tcPr>
          <w:p w14:paraId="5E241D2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w:t>
            </w:r>
          </w:p>
        </w:tc>
      </w:tr>
      <w:tr w:rsidR="00B56301" w:rsidRPr="007253FC" w14:paraId="22E2A9D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9E8752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Barrages</w:t>
            </w:r>
          </w:p>
        </w:tc>
        <w:tc>
          <w:tcPr>
            <w:tcW w:w="628" w:type="dxa"/>
            <w:tcBorders>
              <w:top w:val="nil"/>
              <w:left w:val="nil"/>
              <w:bottom w:val="single" w:sz="4" w:space="0" w:color="auto"/>
              <w:right w:val="single" w:sz="4" w:space="0" w:color="auto"/>
            </w:tcBorders>
            <w:shd w:val="clear" w:color="auto" w:fill="auto"/>
            <w:noWrap/>
            <w:vAlign w:val="bottom"/>
            <w:hideMark/>
          </w:tcPr>
          <w:p w14:paraId="45E31F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0,6</w:t>
            </w:r>
          </w:p>
        </w:tc>
        <w:tc>
          <w:tcPr>
            <w:tcW w:w="628" w:type="dxa"/>
            <w:tcBorders>
              <w:top w:val="nil"/>
              <w:left w:val="nil"/>
              <w:bottom w:val="single" w:sz="4" w:space="0" w:color="auto"/>
              <w:right w:val="single" w:sz="4" w:space="0" w:color="auto"/>
            </w:tcBorders>
            <w:shd w:val="clear" w:color="auto" w:fill="auto"/>
            <w:noWrap/>
            <w:vAlign w:val="bottom"/>
            <w:hideMark/>
          </w:tcPr>
          <w:p w14:paraId="353787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E4DB41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7602B58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0FA56A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7EDB2C7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3944DAD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18C6A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r>
      <w:tr w:rsidR="00B56301" w:rsidRPr="007253FC" w14:paraId="6DD6C038"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6C9AFF76"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UTCATF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114747F5"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-49,0</w:t>
            </w:r>
          </w:p>
        </w:tc>
        <w:tc>
          <w:tcPr>
            <w:tcW w:w="628" w:type="dxa"/>
            <w:tcBorders>
              <w:top w:val="nil"/>
              <w:left w:val="nil"/>
              <w:bottom w:val="single" w:sz="4" w:space="0" w:color="auto"/>
              <w:right w:val="single" w:sz="4" w:space="0" w:color="auto"/>
            </w:tcBorders>
            <w:shd w:val="clear" w:color="000000" w:fill="00B050"/>
            <w:noWrap/>
            <w:vAlign w:val="bottom"/>
            <w:hideMark/>
          </w:tcPr>
          <w:p w14:paraId="76A03FA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-48,4</w:t>
            </w:r>
          </w:p>
        </w:tc>
        <w:tc>
          <w:tcPr>
            <w:tcW w:w="628" w:type="dxa"/>
            <w:tcBorders>
              <w:top w:val="nil"/>
              <w:left w:val="nil"/>
              <w:bottom w:val="single" w:sz="4" w:space="0" w:color="auto"/>
              <w:right w:val="single" w:sz="4" w:space="0" w:color="auto"/>
            </w:tcBorders>
            <w:shd w:val="clear" w:color="000000" w:fill="00B050"/>
            <w:noWrap/>
            <w:vAlign w:val="bottom"/>
            <w:hideMark/>
          </w:tcPr>
          <w:p w14:paraId="7CB76FC4"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-48,2</w:t>
            </w:r>
          </w:p>
        </w:tc>
        <w:tc>
          <w:tcPr>
            <w:tcW w:w="628" w:type="dxa"/>
            <w:tcBorders>
              <w:top w:val="nil"/>
              <w:left w:val="nil"/>
              <w:bottom w:val="single" w:sz="4" w:space="0" w:color="auto"/>
              <w:right w:val="single" w:sz="4" w:space="0" w:color="auto"/>
            </w:tcBorders>
            <w:shd w:val="clear" w:color="000000" w:fill="00B050"/>
            <w:noWrap/>
            <w:vAlign w:val="bottom"/>
            <w:hideMark/>
          </w:tcPr>
          <w:p w14:paraId="24479AB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-37,6</w:t>
            </w:r>
          </w:p>
        </w:tc>
        <w:tc>
          <w:tcPr>
            <w:tcW w:w="628" w:type="dxa"/>
            <w:tcBorders>
              <w:top w:val="nil"/>
              <w:left w:val="nil"/>
              <w:bottom w:val="single" w:sz="4" w:space="0" w:color="auto"/>
              <w:right w:val="single" w:sz="4" w:space="0" w:color="auto"/>
            </w:tcBorders>
            <w:shd w:val="clear" w:color="000000" w:fill="00B050"/>
            <w:noWrap/>
            <w:vAlign w:val="bottom"/>
            <w:hideMark/>
          </w:tcPr>
          <w:p w14:paraId="6A07BA65"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-38,4</w:t>
            </w:r>
          </w:p>
        </w:tc>
        <w:tc>
          <w:tcPr>
            <w:tcW w:w="628" w:type="dxa"/>
            <w:tcBorders>
              <w:top w:val="nil"/>
              <w:left w:val="nil"/>
              <w:bottom w:val="single" w:sz="4" w:space="0" w:color="auto"/>
              <w:right w:val="single" w:sz="4" w:space="0" w:color="auto"/>
            </w:tcBorders>
            <w:shd w:val="clear" w:color="000000" w:fill="00B050"/>
            <w:noWrap/>
            <w:vAlign w:val="bottom"/>
            <w:hideMark/>
          </w:tcPr>
          <w:p w14:paraId="458692F4"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-38,5</w:t>
            </w:r>
          </w:p>
        </w:tc>
        <w:tc>
          <w:tcPr>
            <w:tcW w:w="628" w:type="dxa"/>
            <w:tcBorders>
              <w:top w:val="nil"/>
              <w:left w:val="nil"/>
              <w:bottom w:val="single" w:sz="4" w:space="0" w:color="auto"/>
              <w:right w:val="single" w:sz="4" w:space="0" w:color="auto"/>
            </w:tcBorders>
            <w:shd w:val="clear" w:color="000000" w:fill="00B050"/>
            <w:noWrap/>
            <w:vAlign w:val="bottom"/>
            <w:hideMark/>
          </w:tcPr>
          <w:p w14:paraId="56C0617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-41,0</w:t>
            </w:r>
          </w:p>
        </w:tc>
        <w:tc>
          <w:tcPr>
            <w:tcW w:w="628" w:type="dxa"/>
            <w:tcBorders>
              <w:top w:val="nil"/>
              <w:left w:val="nil"/>
              <w:bottom w:val="single" w:sz="4" w:space="0" w:color="auto"/>
              <w:right w:val="single" w:sz="4" w:space="0" w:color="auto"/>
            </w:tcBorders>
            <w:shd w:val="clear" w:color="000000" w:fill="00B050"/>
            <w:noWrap/>
            <w:vAlign w:val="bottom"/>
            <w:hideMark/>
          </w:tcPr>
          <w:p w14:paraId="2D674535"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-44,6</w:t>
            </w:r>
          </w:p>
        </w:tc>
      </w:tr>
      <w:tr w:rsidR="00B56301" w:rsidRPr="007253FC" w14:paraId="6D0ACDFD"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299067F"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avec UTCATF</w:t>
            </w:r>
          </w:p>
        </w:tc>
        <w:tc>
          <w:tcPr>
            <w:tcW w:w="628" w:type="dxa"/>
            <w:tcBorders>
              <w:top w:val="nil"/>
              <w:left w:val="nil"/>
              <w:bottom w:val="single" w:sz="4" w:space="0" w:color="auto"/>
              <w:right w:val="single" w:sz="4" w:space="0" w:color="auto"/>
            </w:tcBorders>
            <w:shd w:val="clear" w:color="000000" w:fill="D9D9D9"/>
            <w:noWrap/>
            <w:vAlign w:val="bottom"/>
            <w:hideMark/>
          </w:tcPr>
          <w:p w14:paraId="239B348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491,9</w:t>
            </w:r>
          </w:p>
        </w:tc>
        <w:tc>
          <w:tcPr>
            <w:tcW w:w="628" w:type="dxa"/>
            <w:tcBorders>
              <w:top w:val="nil"/>
              <w:left w:val="nil"/>
              <w:bottom w:val="single" w:sz="4" w:space="0" w:color="auto"/>
              <w:right w:val="single" w:sz="4" w:space="0" w:color="auto"/>
            </w:tcBorders>
            <w:shd w:val="clear" w:color="000000" w:fill="D9D9D9"/>
            <w:noWrap/>
            <w:vAlign w:val="bottom"/>
            <w:hideMark/>
          </w:tcPr>
          <w:p w14:paraId="143B7C62"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483,2</w:t>
            </w:r>
          </w:p>
        </w:tc>
        <w:tc>
          <w:tcPr>
            <w:tcW w:w="628" w:type="dxa"/>
            <w:tcBorders>
              <w:top w:val="nil"/>
              <w:left w:val="nil"/>
              <w:bottom w:val="single" w:sz="4" w:space="0" w:color="auto"/>
              <w:right w:val="single" w:sz="4" w:space="0" w:color="auto"/>
            </w:tcBorders>
            <w:shd w:val="clear" w:color="000000" w:fill="D9D9D9"/>
            <w:noWrap/>
            <w:vAlign w:val="bottom"/>
            <w:hideMark/>
          </w:tcPr>
          <w:p w14:paraId="491F84C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477,9</w:t>
            </w:r>
          </w:p>
        </w:tc>
        <w:tc>
          <w:tcPr>
            <w:tcW w:w="628" w:type="dxa"/>
            <w:tcBorders>
              <w:top w:val="nil"/>
              <w:left w:val="nil"/>
              <w:bottom w:val="single" w:sz="4" w:space="0" w:color="auto"/>
              <w:right w:val="single" w:sz="4" w:space="0" w:color="auto"/>
            </w:tcBorders>
            <w:shd w:val="clear" w:color="000000" w:fill="D9D9D9"/>
            <w:noWrap/>
            <w:vAlign w:val="bottom"/>
            <w:hideMark/>
          </w:tcPr>
          <w:p w14:paraId="5936BE6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465,8</w:t>
            </w:r>
          </w:p>
        </w:tc>
        <w:tc>
          <w:tcPr>
            <w:tcW w:w="628" w:type="dxa"/>
            <w:tcBorders>
              <w:top w:val="nil"/>
              <w:left w:val="nil"/>
              <w:bottom w:val="single" w:sz="4" w:space="0" w:color="auto"/>
              <w:right w:val="single" w:sz="4" w:space="0" w:color="auto"/>
            </w:tcBorders>
            <w:shd w:val="clear" w:color="000000" w:fill="D9D9D9"/>
            <w:noWrap/>
            <w:vAlign w:val="bottom"/>
            <w:hideMark/>
          </w:tcPr>
          <w:p w14:paraId="24347BD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469,1</w:t>
            </w:r>
          </w:p>
        </w:tc>
        <w:tc>
          <w:tcPr>
            <w:tcW w:w="628" w:type="dxa"/>
            <w:tcBorders>
              <w:top w:val="nil"/>
              <w:left w:val="nil"/>
              <w:bottom w:val="single" w:sz="4" w:space="0" w:color="auto"/>
              <w:right w:val="single" w:sz="4" w:space="0" w:color="auto"/>
            </w:tcBorders>
            <w:shd w:val="clear" w:color="000000" w:fill="D9D9D9"/>
            <w:noWrap/>
            <w:vAlign w:val="bottom"/>
            <w:hideMark/>
          </w:tcPr>
          <w:p w14:paraId="0C80E1C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444,8</w:t>
            </w:r>
          </w:p>
        </w:tc>
        <w:tc>
          <w:tcPr>
            <w:tcW w:w="628" w:type="dxa"/>
            <w:tcBorders>
              <w:top w:val="nil"/>
              <w:left w:val="nil"/>
              <w:bottom w:val="single" w:sz="4" w:space="0" w:color="auto"/>
              <w:right w:val="single" w:sz="4" w:space="0" w:color="auto"/>
            </w:tcBorders>
            <w:shd w:val="clear" w:color="000000" w:fill="D9D9D9"/>
            <w:noWrap/>
            <w:vAlign w:val="bottom"/>
            <w:hideMark/>
          </w:tcPr>
          <w:p w14:paraId="4763030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443,8</w:t>
            </w:r>
          </w:p>
        </w:tc>
        <w:tc>
          <w:tcPr>
            <w:tcW w:w="628" w:type="dxa"/>
            <w:tcBorders>
              <w:top w:val="nil"/>
              <w:left w:val="nil"/>
              <w:bottom w:val="single" w:sz="4" w:space="0" w:color="auto"/>
              <w:right w:val="single" w:sz="4" w:space="0" w:color="auto"/>
            </w:tcBorders>
            <w:shd w:val="clear" w:color="000000" w:fill="D9D9D9"/>
            <w:noWrap/>
            <w:vAlign w:val="bottom"/>
            <w:hideMark/>
          </w:tcPr>
          <w:p w14:paraId="3C78456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441,0</w:t>
            </w:r>
          </w:p>
        </w:tc>
      </w:tr>
    </w:tbl>
    <w:p w14:paraId="528D59BF" w14:textId="77777777" w:rsidR="00B56301" w:rsidRDefault="00B56301" w:rsidP="00B56301">
      <w:pPr>
        <w:spacing w:line="240" w:lineRule="atLeast"/>
        <w:jc w:val="left"/>
      </w:pPr>
      <w:r>
        <w:br w:type="page"/>
      </w:r>
    </w:p>
    <w:p w14:paraId="13B8D187" w14:textId="77777777" w:rsidR="00B56301" w:rsidRDefault="00B56301" w:rsidP="00B56301">
      <w:pPr>
        <w:spacing w:line="240" w:lineRule="atLeast"/>
        <w:jc w:val="left"/>
      </w:pPr>
    </w:p>
    <w:tbl>
      <w:tblPr>
        <w:tblW w:w="10920" w:type="dxa"/>
        <w:jc w:val="center"/>
        <w:tblCellMar>
          <w:left w:w="70" w:type="dxa"/>
          <w:right w:w="70" w:type="dxa"/>
        </w:tblCellMar>
        <w:tblLook w:val="04A0" w:firstRow="1" w:lastRow="0" w:firstColumn="1" w:lastColumn="0" w:noHBand="0" w:noVBand="1"/>
      </w:tblPr>
      <w:tblGrid>
        <w:gridCol w:w="5680"/>
        <w:gridCol w:w="628"/>
        <w:gridCol w:w="628"/>
        <w:gridCol w:w="628"/>
        <w:gridCol w:w="628"/>
        <w:gridCol w:w="628"/>
        <w:gridCol w:w="628"/>
        <w:gridCol w:w="628"/>
        <w:gridCol w:w="844"/>
      </w:tblGrid>
      <w:tr w:rsidR="00B56301" w:rsidRPr="007253FC" w14:paraId="358F7D9A" w14:textId="77777777" w:rsidTr="00B37B65">
        <w:trPr>
          <w:trHeight w:val="68"/>
          <w:jc w:val="center"/>
        </w:trPr>
        <w:tc>
          <w:tcPr>
            <w:tcW w:w="10920" w:type="dxa"/>
            <w:gridSpan w:val="9"/>
            <w:tcBorders>
              <w:top w:val="nil"/>
              <w:left w:val="nil"/>
              <w:bottom w:val="nil"/>
            </w:tcBorders>
            <w:shd w:val="clear" w:color="auto" w:fill="auto"/>
            <w:vAlign w:val="center"/>
          </w:tcPr>
          <w:p w14:paraId="344AD30E"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Emissions dans l'air - Source Citepa édition 2022 - inventaire national d'émissions de gaz à effet de serre et de polluants atmosphériques - citepa.org</w:t>
            </w:r>
          </w:p>
        </w:tc>
      </w:tr>
      <w:tr w:rsidR="00B56301" w:rsidRPr="007253FC" w14:paraId="0D13064A" w14:textId="77777777" w:rsidTr="00B37B65">
        <w:trPr>
          <w:trHeight w:val="68"/>
          <w:jc w:val="center"/>
        </w:trPr>
        <w:tc>
          <w:tcPr>
            <w:tcW w:w="10920" w:type="dxa"/>
            <w:gridSpan w:val="9"/>
            <w:tcBorders>
              <w:top w:val="nil"/>
              <w:left w:val="nil"/>
            </w:tcBorders>
            <w:shd w:val="clear" w:color="auto" w:fill="auto"/>
            <w:vAlign w:val="center"/>
          </w:tcPr>
          <w:p w14:paraId="5CD25BA7" w14:textId="77777777" w:rsidR="00B56301" w:rsidRPr="007253FC" w:rsidRDefault="00B56301" w:rsidP="00B37B65">
            <w:pPr>
              <w:jc w:val="left"/>
              <w:rPr>
                <w:rFonts w:ascii="Trebuchet MS" w:hAnsi="Trebuchet MS" w:cs="Arial"/>
                <w:b/>
                <w:bCs/>
                <w:sz w:val="16"/>
                <w:szCs w:val="18"/>
              </w:rPr>
            </w:pPr>
            <w:r w:rsidRPr="007253FC">
              <w:rPr>
                <w:rFonts w:ascii="Trebuchet MS" w:hAnsi="Trebuchet MS" w:cs="Arial"/>
                <w:b/>
                <w:bCs/>
                <w:sz w:val="16"/>
                <w:szCs w:val="18"/>
              </w:rPr>
              <w:t>Méthodologie d'estimation : citepa.org/ominea</w:t>
            </w:r>
          </w:p>
        </w:tc>
      </w:tr>
      <w:tr w:rsidR="00B56301" w:rsidRPr="007253FC" w14:paraId="442152B5" w14:textId="77777777" w:rsidTr="00B37B65">
        <w:trPr>
          <w:trHeight w:val="68"/>
          <w:jc w:val="center"/>
        </w:trPr>
        <w:tc>
          <w:tcPr>
            <w:tcW w:w="10920" w:type="dxa"/>
            <w:gridSpan w:val="9"/>
            <w:tcBorders>
              <w:top w:val="nil"/>
              <w:left w:val="nil"/>
              <w:bottom w:val="nil"/>
            </w:tcBorders>
            <w:shd w:val="clear" w:color="auto" w:fill="auto"/>
            <w:vAlign w:val="center"/>
          </w:tcPr>
          <w:p w14:paraId="2DE4F896" w14:textId="77777777" w:rsidR="00B56301" w:rsidRPr="007253FC" w:rsidRDefault="00B56301" w:rsidP="00B37B65">
            <w:pPr>
              <w:jc w:val="center"/>
              <w:rPr>
                <w:rFonts w:ascii="Trebuchet MS" w:hAnsi="Trebuchet MS" w:cs="Arial"/>
                <w:b/>
                <w:bCs/>
                <w:sz w:val="18"/>
                <w:szCs w:val="18"/>
              </w:rPr>
            </w:pPr>
          </w:p>
        </w:tc>
      </w:tr>
      <w:tr w:rsidR="00B56301" w:rsidRPr="007253FC" w14:paraId="4258D0CD" w14:textId="77777777" w:rsidTr="00B37B65">
        <w:trPr>
          <w:trHeight w:val="68"/>
          <w:jc w:val="center"/>
        </w:trPr>
        <w:tc>
          <w:tcPr>
            <w:tcW w:w="5680" w:type="dxa"/>
            <w:tcBorders>
              <w:top w:val="nil"/>
              <w:left w:val="nil"/>
              <w:bottom w:val="nil"/>
              <w:right w:val="nil"/>
            </w:tcBorders>
            <w:shd w:val="clear" w:color="auto" w:fill="auto"/>
            <w:vAlign w:val="center"/>
            <w:hideMark/>
          </w:tcPr>
          <w:p w14:paraId="4D6EB6C8" w14:textId="2AD5D440" w:rsidR="00B56301" w:rsidRPr="007253FC" w:rsidRDefault="00B56301" w:rsidP="00B37B65">
            <w:pPr>
              <w:jc w:val="center"/>
              <w:rPr>
                <w:rFonts w:ascii="Trebuchet MS" w:hAnsi="Trebuchet MS" w:cs="Arial"/>
                <w:b/>
                <w:bCs/>
                <w:i/>
                <w:iCs/>
                <w:sz w:val="16"/>
                <w:szCs w:val="18"/>
              </w:rPr>
            </w:pPr>
            <w:r w:rsidRPr="007253FC">
              <w:rPr>
                <w:rFonts w:ascii="Trebuchet MS" w:hAnsi="Trebuchet MS" w:cs="Arial"/>
                <w:b/>
                <w:bCs/>
                <w:i/>
                <w:iCs/>
                <w:sz w:val="16"/>
                <w:szCs w:val="18"/>
              </w:rPr>
              <w:t xml:space="preserve">Emissions de </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 xml:space="preserve"> (Mt</w:t>
            </w:r>
            <w:r w:rsidR="007F09F7">
              <w:t>CO</w:t>
            </w:r>
            <w:r w:rsidR="007F09F7" w:rsidRPr="007F09F7">
              <w:rPr>
                <w:vertAlign w:val="subscript"/>
              </w:rPr>
              <w:t>2</w:t>
            </w:r>
            <w:r w:rsidR="004F1EC8" w:rsidRPr="004F1EC8">
              <w:rPr>
                <w:rFonts w:ascii="Trebuchet MS" w:hAnsi="Trebuchet MS" w:cs="Arial"/>
                <w:b/>
                <w:bCs/>
                <w:i/>
                <w:iCs/>
                <w:sz w:val="16"/>
                <w:szCs w:val="18"/>
                <w:vertAlign w:val="subscript"/>
              </w:rPr>
              <w:t>e</w:t>
            </w:r>
            <w:r w:rsidRPr="007253FC">
              <w:rPr>
                <w:rFonts w:ascii="Trebuchet MS" w:hAnsi="Trebuchet MS" w:cs="Arial"/>
                <w:b/>
                <w:bCs/>
                <w:i/>
                <w:iCs/>
                <w:sz w:val="16"/>
                <w:szCs w:val="18"/>
              </w:rPr>
              <w:t>/an)</w:t>
            </w:r>
            <w:r w:rsidRPr="007253FC">
              <w:rPr>
                <w:rFonts w:ascii="Trebuchet MS" w:hAnsi="Trebuchet MS" w:cs="Arial"/>
                <w:b/>
                <w:bCs/>
                <w:i/>
                <w:iCs/>
                <w:sz w:val="16"/>
                <w:szCs w:val="18"/>
              </w:rPr>
              <w:br/>
              <w:t>Périmètre : Métropole et Outre-mer inclus dans l'UE</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6E602"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25929BEB"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2015</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04743AE6"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7A0449B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2017</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118BF7BA"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41AB47C1"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2019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62EC7EE5"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2020</w:t>
            </w:r>
          </w:p>
        </w:tc>
        <w:tc>
          <w:tcPr>
            <w:tcW w:w="844" w:type="dxa"/>
            <w:tcBorders>
              <w:top w:val="single" w:sz="4" w:space="0" w:color="auto"/>
              <w:left w:val="nil"/>
              <w:bottom w:val="single" w:sz="4" w:space="0" w:color="auto"/>
              <w:right w:val="single" w:sz="4" w:space="0" w:color="auto"/>
            </w:tcBorders>
            <w:shd w:val="clear" w:color="auto" w:fill="auto"/>
            <w:noWrap/>
            <w:vAlign w:val="bottom"/>
            <w:hideMark/>
          </w:tcPr>
          <w:p w14:paraId="25CCF17B" w14:textId="77777777" w:rsidR="00B56301" w:rsidRPr="007253FC" w:rsidRDefault="00B56301" w:rsidP="00B37B65">
            <w:pPr>
              <w:jc w:val="center"/>
              <w:rPr>
                <w:rFonts w:ascii="Trebuchet MS" w:hAnsi="Trebuchet MS" w:cs="Arial"/>
                <w:b/>
                <w:bCs/>
                <w:sz w:val="16"/>
                <w:szCs w:val="18"/>
              </w:rPr>
            </w:pPr>
            <w:r>
              <w:rPr>
                <w:rFonts w:ascii="Trebuchet MS" w:hAnsi="Trebuchet MS" w:cs="Arial"/>
                <w:b/>
                <w:bCs/>
                <w:sz w:val="16"/>
                <w:szCs w:val="18"/>
              </w:rPr>
              <w:t>Evolution 2019-2020</w:t>
            </w:r>
          </w:p>
        </w:tc>
      </w:tr>
      <w:tr w:rsidR="00B56301" w:rsidRPr="007253FC" w14:paraId="5851E0A6" w14:textId="77777777" w:rsidTr="00B37B65">
        <w:trPr>
          <w:trHeight w:val="68"/>
          <w:jc w:val="center"/>
        </w:trPr>
        <w:tc>
          <w:tcPr>
            <w:tcW w:w="5680" w:type="dxa"/>
            <w:tcBorders>
              <w:top w:val="single" w:sz="4" w:space="0" w:color="auto"/>
              <w:left w:val="nil"/>
              <w:bottom w:val="single" w:sz="4" w:space="0" w:color="auto"/>
              <w:right w:val="single" w:sz="4" w:space="0" w:color="auto"/>
            </w:tcBorders>
            <w:shd w:val="clear" w:color="000000" w:fill="DDEBF7"/>
            <w:noWrap/>
            <w:vAlign w:val="bottom"/>
            <w:hideMark/>
          </w:tcPr>
          <w:p w14:paraId="644F2F7F"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Industrie de l'énergie</w:t>
            </w:r>
          </w:p>
        </w:tc>
        <w:tc>
          <w:tcPr>
            <w:tcW w:w="628" w:type="dxa"/>
            <w:tcBorders>
              <w:top w:val="nil"/>
              <w:left w:val="nil"/>
              <w:bottom w:val="single" w:sz="4" w:space="0" w:color="auto"/>
              <w:right w:val="single" w:sz="4" w:space="0" w:color="auto"/>
            </w:tcBorders>
            <w:shd w:val="clear" w:color="000000" w:fill="DDEBF7"/>
            <w:noWrap/>
            <w:vAlign w:val="bottom"/>
            <w:hideMark/>
          </w:tcPr>
          <w:p w14:paraId="4CDE11F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47,1</w:t>
            </w:r>
          </w:p>
        </w:tc>
        <w:tc>
          <w:tcPr>
            <w:tcW w:w="628" w:type="dxa"/>
            <w:tcBorders>
              <w:top w:val="nil"/>
              <w:left w:val="nil"/>
              <w:bottom w:val="single" w:sz="4" w:space="0" w:color="auto"/>
              <w:right w:val="single" w:sz="4" w:space="0" w:color="auto"/>
            </w:tcBorders>
            <w:shd w:val="clear" w:color="000000" w:fill="DDEBF7"/>
            <w:noWrap/>
            <w:vAlign w:val="bottom"/>
            <w:hideMark/>
          </w:tcPr>
          <w:p w14:paraId="7E645A71"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49,8</w:t>
            </w:r>
          </w:p>
        </w:tc>
        <w:tc>
          <w:tcPr>
            <w:tcW w:w="628" w:type="dxa"/>
            <w:tcBorders>
              <w:top w:val="nil"/>
              <w:left w:val="nil"/>
              <w:bottom w:val="single" w:sz="4" w:space="0" w:color="auto"/>
              <w:right w:val="single" w:sz="4" w:space="0" w:color="auto"/>
            </w:tcBorders>
            <w:shd w:val="clear" w:color="000000" w:fill="DDEBF7"/>
            <w:noWrap/>
            <w:vAlign w:val="bottom"/>
            <w:hideMark/>
          </w:tcPr>
          <w:p w14:paraId="6AEE8AD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53,4</w:t>
            </w:r>
          </w:p>
        </w:tc>
        <w:tc>
          <w:tcPr>
            <w:tcW w:w="628" w:type="dxa"/>
            <w:tcBorders>
              <w:top w:val="nil"/>
              <w:left w:val="nil"/>
              <w:bottom w:val="single" w:sz="4" w:space="0" w:color="auto"/>
              <w:right w:val="single" w:sz="4" w:space="0" w:color="auto"/>
            </w:tcBorders>
            <w:shd w:val="clear" w:color="000000" w:fill="DDEBF7"/>
            <w:noWrap/>
            <w:vAlign w:val="bottom"/>
            <w:hideMark/>
          </w:tcPr>
          <w:p w14:paraId="5C5192F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57,2</w:t>
            </w:r>
          </w:p>
        </w:tc>
        <w:tc>
          <w:tcPr>
            <w:tcW w:w="628" w:type="dxa"/>
            <w:tcBorders>
              <w:top w:val="nil"/>
              <w:left w:val="nil"/>
              <w:bottom w:val="single" w:sz="4" w:space="0" w:color="auto"/>
              <w:right w:val="single" w:sz="4" w:space="0" w:color="auto"/>
            </w:tcBorders>
            <w:shd w:val="clear" w:color="000000" w:fill="DDEBF7"/>
            <w:noWrap/>
            <w:vAlign w:val="bottom"/>
            <w:hideMark/>
          </w:tcPr>
          <w:p w14:paraId="407F78A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47,9</w:t>
            </w:r>
          </w:p>
        </w:tc>
        <w:tc>
          <w:tcPr>
            <w:tcW w:w="628" w:type="dxa"/>
            <w:tcBorders>
              <w:top w:val="nil"/>
              <w:left w:val="nil"/>
              <w:bottom w:val="single" w:sz="4" w:space="0" w:color="auto"/>
              <w:right w:val="single" w:sz="4" w:space="0" w:color="auto"/>
            </w:tcBorders>
            <w:shd w:val="clear" w:color="000000" w:fill="DDEBF7"/>
            <w:noWrap/>
            <w:vAlign w:val="bottom"/>
            <w:hideMark/>
          </w:tcPr>
          <w:p w14:paraId="75455D1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46,0</w:t>
            </w:r>
          </w:p>
        </w:tc>
        <w:tc>
          <w:tcPr>
            <w:tcW w:w="628" w:type="dxa"/>
            <w:tcBorders>
              <w:top w:val="nil"/>
              <w:left w:val="nil"/>
              <w:bottom w:val="single" w:sz="4" w:space="0" w:color="auto"/>
              <w:right w:val="single" w:sz="4" w:space="0" w:color="auto"/>
            </w:tcBorders>
            <w:shd w:val="clear" w:color="000000" w:fill="DDEBF7"/>
            <w:noWrap/>
            <w:vAlign w:val="bottom"/>
            <w:hideMark/>
          </w:tcPr>
          <w:p w14:paraId="0111FA5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40,8</w:t>
            </w:r>
          </w:p>
        </w:tc>
        <w:tc>
          <w:tcPr>
            <w:tcW w:w="844" w:type="dxa"/>
            <w:tcBorders>
              <w:top w:val="nil"/>
              <w:left w:val="nil"/>
              <w:bottom w:val="single" w:sz="4" w:space="0" w:color="auto"/>
              <w:right w:val="single" w:sz="4" w:space="0" w:color="auto"/>
            </w:tcBorders>
            <w:shd w:val="clear" w:color="000000" w:fill="DDEBF7"/>
            <w:noWrap/>
            <w:hideMark/>
          </w:tcPr>
          <w:p w14:paraId="29BD256F"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-11,1%</w:t>
            </w:r>
          </w:p>
        </w:tc>
      </w:tr>
      <w:tr w:rsidR="00B56301" w:rsidRPr="007253FC" w14:paraId="3E99F251"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5824370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Production d'électricité</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05FED4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19,1</w:t>
            </w:r>
          </w:p>
        </w:tc>
        <w:tc>
          <w:tcPr>
            <w:tcW w:w="628" w:type="dxa"/>
            <w:tcBorders>
              <w:top w:val="nil"/>
              <w:left w:val="nil"/>
              <w:bottom w:val="single" w:sz="4" w:space="0" w:color="auto"/>
              <w:right w:val="single" w:sz="4" w:space="0" w:color="auto"/>
            </w:tcBorders>
            <w:shd w:val="clear" w:color="auto" w:fill="auto"/>
            <w:noWrap/>
            <w:vAlign w:val="center"/>
            <w:hideMark/>
          </w:tcPr>
          <w:p w14:paraId="7B1F49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21,4</w:t>
            </w:r>
          </w:p>
        </w:tc>
        <w:tc>
          <w:tcPr>
            <w:tcW w:w="628" w:type="dxa"/>
            <w:tcBorders>
              <w:top w:val="nil"/>
              <w:left w:val="nil"/>
              <w:bottom w:val="single" w:sz="4" w:space="0" w:color="auto"/>
              <w:right w:val="single" w:sz="4" w:space="0" w:color="auto"/>
            </w:tcBorders>
            <w:shd w:val="clear" w:color="auto" w:fill="auto"/>
            <w:noWrap/>
            <w:vAlign w:val="center"/>
            <w:hideMark/>
          </w:tcPr>
          <w:p w14:paraId="7A5BA16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25,0</w:t>
            </w:r>
          </w:p>
        </w:tc>
        <w:tc>
          <w:tcPr>
            <w:tcW w:w="628" w:type="dxa"/>
            <w:tcBorders>
              <w:top w:val="nil"/>
              <w:left w:val="nil"/>
              <w:bottom w:val="single" w:sz="4" w:space="0" w:color="auto"/>
              <w:right w:val="single" w:sz="4" w:space="0" w:color="auto"/>
            </w:tcBorders>
            <w:shd w:val="clear" w:color="auto" w:fill="auto"/>
            <w:noWrap/>
            <w:vAlign w:val="center"/>
            <w:hideMark/>
          </w:tcPr>
          <w:p w14:paraId="284D112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29,2</w:t>
            </w:r>
          </w:p>
        </w:tc>
        <w:tc>
          <w:tcPr>
            <w:tcW w:w="628" w:type="dxa"/>
            <w:tcBorders>
              <w:top w:val="nil"/>
              <w:left w:val="nil"/>
              <w:bottom w:val="single" w:sz="4" w:space="0" w:color="auto"/>
              <w:right w:val="single" w:sz="4" w:space="0" w:color="auto"/>
            </w:tcBorders>
            <w:shd w:val="clear" w:color="auto" w:fill="auto"/>
            <w:noWrap/>
            <w:vAlign w:val="center"/>
            <w:hideMark/>
          </w:tcPr>
          <w:p w14:paraId="2F97689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21,2</w:t>
            </w:r>
          </w:p>
        </w:tc>
        <w:tc>
          <w:tcPr>
            <w:tcW w:w="628" w:type="dxa"/>
            <w:tcBorders>
              <w:top w:val="nil"/>
              <w:left w:val="nil"/>
              <w:bottom w:val="single" w:sz="4" w:space="0" w:color="auto"/>
              <w:right w:val="single" w:sz="4" w:space="0" w:color="auto"/>
            </w:tcBorders>
            <w:shd w:val="clear" w:color="auto" w:fill="auto"/>
            <w:noWrap/>
            <w:vAlign w:val="center"/>
            <w:hideMark/>
          </w:tcPr>
          <w:p w14:paraId="5E956DB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19,9</w:t>
            </w:r>
          </w:p>
        </w:tc>
        <w:tc>
          <w:tcPr>
            <w:tcW w:w="628" w:type="dxa"/>
            <w:tcBorders>
              <w:top w:val="nil"/>
              <w:left w:val="nil"/>
              <w:bottom w:val="single" w:sz="4" w:space="0" w:color="auto"/>
              <w:right w:val="single" w:sz="4" w:space="0" w:color="auto"/>
            </w:tcBorders>
            <w:shd w:val="clear" w:color="auto" w:fill="auto"/>
            <w:noWrap/>
            <w:vAlign w:val="center"/>
            <w:hideMark/>
          </w:tcPr>
          <w:p w14:paraId="259F943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17,7</w:t>
            </w:r>
          </w:p>
        </w:tc>
        <w:tc>
          <w:tcPr>
            <w:tcW w:w="844" w:type="dxa"/>
            <w:tcBorders>
              <w:top w:val="nil"/>
              <w:left w:val="nil"/>
              <w:bottom w:val="single" w:sz="4" w:space="0" w:color="auto"/>
              <w:right w:val="single" w:sz="4" w:space="0" w:color="auto"/>
            </w:tcBorders>
            <w:shd w:val="clear" w:color="auto" w:fill="auto"/>
            <w:noWrap/>
            <w:hideMark/>
          </w:tcPr>
          <w:p w14:paraId="76052644"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-11,3%</w:t>
            </w:r>
          </w:p>
        </w:tc>
      </w:tr>
      <w:tr w:rsidR="00B56301" w:rsidRPr="007253FC" w14:paraId="594D4AC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2F1F1C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Chauffage urbain</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06D45B4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1BBE3DF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6,5</w:t>
            </w:r>
          </w:p>
        </w:tc>
        <w:tc>
          <w:tcPr>
            <w:tcW w:w="628" w:type="dxa"/>
            <w:tcBorders>
              <w:top w:val="nil"/>
              <w:left w:val="nil"/>
              <w:bottom w:val="single" w:sz="4" w:space="0" w:color="auto"/>
              <w:right w:val="single" w:sz="4" w:space="0" w:color="auto"/>
            </w:tcBorders>
            <w:shd w:val="clear" w:color="auto" w:fill="auto"/>
            <w:noWrap/>
            <w:vAlign w:val="center"/>
            <w:hideMark/>
          </w:tcPr>
          <w:p w14:paraId="6C5BBC5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165440E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394995E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5,8</w:t>
            </w:r>
          </w:p>
        </w:tc>
        <w:tc>
          <w:tcPr>
            <w:tcW w:w="628" w:type="dxa"/>
            <w:tcBorders>
              <w:top w:val="nil"/>
              <w:left w:val="nil"/>
              <w:bottom w:val="single" w:sz="4" w:space="0" w:color="auto"/>
              <w:right w:val="single" w:sz="4" w:space="0" w:color="auto"/>
            </w:tcBorders>
            <w:shd w:val="clear" w:color="auto" w:fill="auto"/>
            <w:noWrap/>
            <w:vAlign w:val="center"/>
            <w:hideMark/>
          </w:tcPr>
          <w:p w14:paraId="5709D3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5,7</w:t>
            </w:r>
          </w:p>
        </w:tc>
        <w:tc>
          <w:tcPr>
            <w:tcW w:w="628" w:type="dxa"/>
            <w:tcBorders>
              <w:top w:val="nil"/>
              <w:left w:val="nil"/>
              <w:bottom w:val="single" w:sz="4" w:space="0" w:color="auto"/>
              <w:right w:val="single" w:sz="4" w:space="0" w:color="auto"/>
            </w:tcBorders>
            <w:shd w:val="clear" w:color="auto" w:fill="auto"/>
            <w:noWrap/>
            <w:vAlign w:val="center"/>
            <w:hideMark/>
          </w:tcPr>
          <w:p w14:paraId="2EFF1D1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w:t>
            </w:r>
          </w:p>
        </w:tc>
        <w:tc>
          <w:tcPr>
            <w:tcW w:w="844" w:type="dxa"/>
            <w:tcBorders>
              <w:top w:val="nil"/>
              <w:left w:val="nil"/>
              <w:bottom w:val="single" w:sz="4" w:space="0" w:color="auto"/>
              <w:right w:val="single" w:sz="4" w:space="0" w:color="auto"/>
            </w:tcBorders>
            <w:shd w:val="clear" w:color="auto" w:fill="auto"/>
            <w:noWrap/>
            <w:hideMark/>
          </w:tcPr>
          <w:p w14:paraId="0C0C9218"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-4,7%</w:t>
            </w:r>
          </w:p>
        </w:tc>
      </w:tr>
      <w:tr w:rsidR="00B56301" w:rsidRPr="007253FC" w14:paraId="53C69C52"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53BA17F"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Raffinage du pétrole</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5BAF44C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10,9</w:t>
            </w:r>
          </w:p>
        </w:tc>
        <w:tc>
          <w:tcPr>
            <w:tcW w:w="628" w:type="dxa"/>
            <w:tcBorders>
              <w:top w:val="nil"/>
              <w:left w:val="nil"/>
              <w:bottom w:val="single" w:sz="4" w:space="0" w:color="auto"/>
              <w:right w:val="single" w:sz="4" w:space="0" w:color="auto"/>
            </w:tcBorders>
            <w:shd w:val="clear" w:color="auto" w:fill="auto"/>
            <w:noWrap/>
            <w:vAlign w:val="center"/>
            <w:hideMark/>
          </w:tcPr>
          <w:p w14:paraId="6DED5B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10,5</w:t>
            </w:r>
          </w:p>
        </w:tc>
        <w:tc>
          <w:tcPr>
            <w:tcW w:w="628" w:type="dxa"/>
            <w:tcBorders>
              <w:top w:val="nil"/>
              <w:left w:val="nil"/>
              <w:bottom w:val="single" w:sz="4" w:space="0" w:color="auto"/>
              <w:right w:val="single" w:sz="4" w:space="0" w:color="auto"/>
            </w:tcBorders>
            <w:shd w:val="clear" w:color="auto" w:fill="auto"/>
            <w:noWrap/>
            <w:vAlign w:val="center"/>
            <w:hideMark/>
          </w:tcPr>
          <w:p w14:paraId="45E5EB6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10,2</w:t>
            </w:r>
          </w:p>
        </w:tc>
        <w:tc>
          <w:tcPr>
            <w:tcW w:w="628" w:type="dxa"/>
            <w:tcBorders>
              <w:top w:val="nil"/>
              <w:left w:val="nil"/>
              <w:bottom w:val="single" w:sz="4" w:space="0" w:color="auto"/>
              <w:right w:val="single" w:sz="4" w:space="0" w:color="auto"/>
            </w:tcBorders>
            <w:shd w:val="clear" w:color="auto" w:fill="auto"/>
            <w:noWrap/>
            <w:vAlign w:val="center"/>
            <w:hideMark/>
          </w:tcPr>
          <w:p w14:paraId="2085BF9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9,6</w:t>
            </w:r>
          </w:p>
        </w:tc>
        <w:tc>
          <w:tcPr>
            <w:tcW w:w="628" w:type="dxa"/>
            <w:tcBorders>
              <w:top w:val="nil"/>
              <w:left w:val="nil"/>
              <w:bottom w:val="single" w:sz="4" w:space="0" w:color="auto"/>
              <w:right w:val="single" w:sz="4" w:space="0" w:color="auto"/>
            </w:tcBorders>
            <w:shd w:val="clear" w:color="auto" w:fill="auto"/>
            <w:noWrap/>
            <w:vAlign w:val="center"/>
            <w:hideMark/>
          </w:tcPr>
          <w:p w14:paraId="4613DB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9,1</w:t>
            </w:r>
          </w:p>
        </w:tc>
        <w:tc>
          <w:tcPr>
            <w:tcW w:w="628" w:type="dxa"/>
            <w:tcBorders>
              <w:top w:val="nil"/>
              <w:left w:val="nil"/>
              <w:bottom w:val="single" w:sz="4" w:space="0" w:color="auto"/>
              <w:right w:val="single" w:sz="4" w:space="0" w:color="auto"/>
            </w:tcBorders>
            <w:shd w:val="clear" w:color="auto" w:fill="auto"/>
            <w:noWrap/>
            <w:vAlign w:val="center"/>
            <w:hideMark/>
          </w:tcPr>
          <w:p w14:paraId="02D96B1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8,7</w:t>
            </w:r>
          </w:p>
        </w:tc>
        <w:tc>
          <w:tcPr>
            <w:tcW w:w="628" w:type="dxa"/>
            <w:tcBorders>
              <w:top w:val="nil"/>
              <w:left w:val="nil"/>
              <w:bottom w:val="single" w:sz="4" w:space="0" w:color="auto"/>
              <w:right w:val="single" w:sz="4" w:space="0" w:color="auto"/>
            </w:tcBorders>
            <w:shd w:val="clear" w:color="auto" w:fill="auto"/>
            <w:noWrap/>
            <w:vAlign w:val="center"/>
            <w:hideMark/>
          </w:tcPr>
          <w:p w14:paraId="69EE08C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7,3</w:t>
            </w:r>
          </w:p>
        </w:tc>
        <w:tc>
          <w:tcPr>
            <w:tcW w:w="844" w:type="dxa"/>
            <w:tcBorders>
              <w:top w:val="nil"/>
              <w:left w:val="nil"/>
              <w:bottom w:val="single" w:sz="4" w:space="0" w:color="auto"/>
              <w:right w:val="single" w:sz="4" w:space="0" w:color="auto"/>
            </w:tcBorders>
            <w:shd w:val="clear" w:color="auto" w:fill="auto"/>
            <w:noWrap/>
            <w:hideMark/>
          </w:tcPr>
          <w:p w14:paraId="6BD48A32"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-15,8%</w:t>
            </w:r>
          </w:p>
        </w:tc>
      </w:tr>
      <w:tr w:rsidR="00B56301" w:rsidRPr="007253FC" w14:paraId="4FA6549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0567CEE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Transformation des combustibles minéraux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A78667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77FF4C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1821EF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68F90E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35AA15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w:t>
            </w:r>
          </w:p>
        </w:tc>
        <w:tc>
          <w:tcPr>
            <w:tcW w:w="628" w:type="dxa"/>
            <w:tcBorders>
              <w:top w:val="nil"/>
              <w:left w:val="nil"/>
              <w:bottom w:val="single" w:sz="4" w:space="0" w:color="auto"/>
              <w:right w:val="single" w:sz="4" w:space="0" w:color="auto"/>
            </w:tcBorders>
            <w:shd w:val="clear" w:color="auto" w:fill="auto"/>
            <w:noWrap/>
            <w:vAlign w:val="center"/>
            <w:hideMark/>
          </w:tcPr>
          <w:p w14:paraId="5911578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9574AF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w:t>
            </w:r>
          </w:p>
        </w:tc>
        <w:tc>
          <w:tcPr>
            <w:tcW w:w="844" w:type="dxa"/>
            <w:tcBorders>
              <w:top w:val="nil"/>
              <w:left w:val="nil"/>
              <w:bottom w:val="single" w:sz="4" w:space="0" w:color="auto"/>
              <w:right w:val="single" w:sz="4" w:space="0" w:color="auto"/>
            </w:tcBorders>
            <w:shd w:val="clear" w:color="auto" w:fill="auto"/>
            <w:noWrap/>
            <w:hideMark/>
          </w:tcPr>
          <w:p w14:paraId="74E350F9"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-25,6%</w:t>
            </w:r>
          </w:p>
        </w:tc>
      </w:tr>
      <w:tr w:rsidR="00B56301" w:rsidRPr="007253FC" w14:paraId="4965FA1D"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3B083A0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solides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45A75D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0CA8A0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51E65A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A2F28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2E2875B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613801F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CAFFB1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844" w:type="dxa"/>
            <w:tcBorders>
              <w:top w:val="nil"/>
              <w:left w:val="nil"/>
              <w:bottom w:val="single" w:sz="4" w:space="0" w:color="auto"/>
              <w:right w:val="single" w:sz="4" w:space="0" w:color="auto"/>
            </w:tcBorders>
            <w:shd w:val="clear" w:color="auto" w:fill="auto"/>
            <w:noWrap/>
            <w:hideMark/>
          </w:tcPr>
          <w:p w14:paraId="46411240"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0,0%</w:t>
            </w:r>
          </w:p>
        </w:tc>
      </w:tr>
      <w:tr w:rsidR="00B56301" w:rsidRPr="007253FC" w14:paraId="48EF5758"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683914B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liquides</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70DC4C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E6A08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54D19D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89DC76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27F6E5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45CA677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center"/>
            <w:hideMark/>
          </w:tcPr>
          <w:p w14:paraId="00F141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844" w:type="dxa"/>
            <w:tcBorders>
              <w:top w:val="nil"/>
              <w:left w:val="nil"/>
              <w:bottom w:val="single" w:sz="4" w:space="0" w:color="auto"/>
              <w:right w:val="single" w:sz="4" w:space="0" w:color="auto"/>
            </w:tcBorders>
            <w:shd w:val="clear" w:color="auto" w:fill="auto"/>
            <w:noWrap/>
            <w:hideMark/>
          </w:tcPr>
          <w:p w14:paraId="427977A2"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-11,2%</w:t>
            </w:r>
          </w:p>
        </w:tc>
      </w:tr>
      <w:tr w:rsidR="00B56301" w:rsidRPr="007253FC" w14:paraId="7FB1B38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vAlign w:val="center"/>
            <w:hideMark/>
          </w:tcPr>
          <w:p w14:paraId="20F6B9F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Extraction et distribution de combustibles gazeux</w:t>
            </w:r>
          </w:p>
        </w:tc>
        <w:tc>
          <w:tcPr>
            <w:tcW w:w="628" w:type="dxa"/>
            <w:tcBorders>
              <w:top w:val="nil"/>
              <w:left w:val="single" w:sz="4" w:space="0" w:color="auto"/>
              <w:bottom w:val="single" w:sz="4" w:space="0" w:color="auto"/>
              <w:right w:val="single" w:sz="4" w:space="0" w:color="auto"/>
            </w:tcBorders>
            <w:shd w:val="clear" w:color="auto" w:fill="auto"/>
            <w:noWrap/>
            <w:vAlign w:val="center"/>
            <w:hideMark/>
          </w:tcPr>
          <w:p w14:paraId="3448066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w:t>
            </w:r>
          </w:p>
        </w:tc>
        <w:tc>
          <w:tcPr>
            <w:tcW w:w="628" w:type="dxa"/>
            <w:tcBorders>
              <w:top w:val="nil"/>
              <w:left w:val="nil"/>
              <w:bottom w:val="single" w:sz="4" w:space="0" w:color="auto"/>
              <w:right w:val="single" w:sz="4" w:space="0" w:color="auto"/>
            </w:tcBorders>
            <w:shd w:val="clear" w:color="auto" w:fill="auto"/>
            <w:noWrap/>
            <w:vAlign w:val="center"/>
            <w:hideMark/>
          </w:tcPr>
          <w:p w14:paraId="4A2A6B9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center"/>
            <w:hideMark/>
          </w:tcPr>
          <w:p w14:paraId="586D84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center"/>
            <w:hideMark/>
          </w:tcPr>
          <w:p w14:paraId="7C8D62B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5712404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7237FC0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center"/>
            <w:hideMark/>
          </w:tcPr>
          <w:p w14:paraId="68CC0F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844" w:type="dxa"/>
            <w:tcBorders>
              <w:top w:val="nil"/>
              <w:left w:val="nil"/>
              <w:bottom w:val="single" w:sz="4" w:space="0" w:color="auto"/>
              <w:right w:val="single" w:sz="4" w:space="0" w:color="auto"/>
            </w:tcBorders>
            <w:shd w:val="clear" w:color="auto" w:fill="auto"/>
            <w:noWrap/>
            <w:hideMark/>
          </w:tcPr>
          <w:p w14:paraId="778335BE"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-20,4%</w:t>
            </w:r>
          </w:p>
        </w:tc>
      </w:tr>
      <w:tr w:rsidR="00B56301" w:rsidRPr="007253FC" w14:paraId="37F847D4"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5F42406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Fabrication de charbon de bois par pyrolyse</w:t>
            </w:r>
          </w:p>
        </w:tc>
        <w:tc>
          <w:tcPr>
            <w:tcW w:w="628" w:type="dxa"/>
            <w:tcBorders>
              <w:top w:val="nil"/>
              <w:left w:val="nil"/>
              <w:bottom w:val="single" w:sz="4" w:space="0" w:color="auto"/>
              <w:right w:val="single" w:sz="4" w:space="0" w:color="auto"/>
            </w:tcBorders>
            <w:shd w:val="clear" w:color="auto" w:fill="auto"/>
            <w:noWrap/>
            <w:vAlign w:val="center"/>
            <w:hideMark/>
          </w:tcPr>
          <w:p w14:paraId="0BAD85F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1AF9005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D8ED88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4C14B0F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50D5E75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3918FF3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center"/>
            <w:hideMark/>
          </w:tcPr>
          <w:p w14:paraId="0F0408E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844" w:type="dxa"/>
            <w:tcBorders>
              <w:top w:val="nil"/>
              <w:left w:val="nil"/>
              <w:bottom w:val="single" w:sz="4" w:space="0" w:color="auto"/>
              <w:right w:val="single" w:sz="4" w:space="0" w:color="auto"/>
            </w:tcBorders>
            <w:shd w:val="clear" w:color="auto" w:fill="auto"/>
            <w:noWrap/>
            <w:hideMark/>
          </w:tcPr>
          <w:p w14:paraId="28D61535"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0,0%</w:t>
            </w:r>
          </w:p>
        </w:tc>
      </w:tr>
      <w:tr w:rsidR="00B56301" w:rsidRPr="007253FC" w14:paraId="21B47B9F"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4AE864F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Valorisation énergétique des déchets</w:t>
            </w:r>
          </w:p>
        </w:tc>
        <w:tc>
          <w:tcPr>
            <w:tcW w:w="628" w:type="dxa"/>
            <w:tcBorders>
              <w:top w:val="nil"/>
              <w:left w:val="nil"/>
              <w:bottom w:val="single" w:sz="4" w:space="0" w:color="auto"/>
              <w:right w:val="single" w:sz="4" w:space="0" w:color="auto"/>
            </w:tcBorders>
            <w:shd w:val="clear" w:color="auto" w:fill="auto"/>
            <w:noWrap/>
            <w:vAlign w:val="center"/>
            <w:hideMark/>
          </w:tcPr>
          <w:p w14:paraId="5076F0A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6,6</w:t>
            </w:r>
          </w:p>
        </w:tc>
        <w:tc>
          <w:tcPr>
            <w:tcW w:w="628" w:type="dxa"/>
            <w:tcBorders>
              <w:top w:val="nil"/>
              <w:left w:val="nil"/>
              <w:bottom w:val="single" w:sz="4" w:space="0" w:color="auto"/>
              <w:right w:val="single" w:sz="4" w:space="0" w:color="auto"/>
            </w:tcBorders>
            <w:shd w:val="clear" w:color="auto" w:fill="auto"/>
            <w:noWrap/>
            <w:vAlign w:val="center"/>
            <w:hideMark/>
          </w:tcPr>
          <w:p w14:paraId="7DFA75E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6,8</w:t>
            </w:r>
          </w:p>
        </w:tc>
        <w:tc>
          <w:tcPr>
            <w:tcW w:w="628" w:type="dxa"/>
            <w:tcBorders>
              <w:top w:val="nil"/>
              <w:left w:val="nil"/>
              <w:bottom w:val="single" w:sz="4" w:space="0" w:color="auto"/>
              <w:right w:val="single" w:sz="4" w:space="0" w:color="auto"/>
            </w:tcBorders>
            <w:shd w:val="clear" w:color="auto" w:fill="auto"/>
            <w:noWrap/>
            <w:vAlign w:val="center"/>
            <w:hideMark/>
          </w:tcPr>
          <w:p w14:paraId="0C8B07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7,0</w:t>
            </w:r>
          </w:p>
        </w:tc>
        <w:tc>
          <w:tcPr>
            <w:tcW w:w="628" w:type="dxa"/>
            <w:tcBorders>
              <w:top w:val="nil"/>
              <w:left w:val="nil"/>
              <w:bottom w:val="single" w:sz="4" w:space="0" w:color="auto"/>
              <w:right w:val="single" w:sz="4" w:space="0" w:color="auto"/>
            </w:tcBorders>
            <w:shd w:val="clear" w:color="auto" w:fill="auto"/>
            <w:noWrap/>
            <w:vAlign w:val="center"/>
            <w:hideMark/>
          </w:tcPr>
          <w:p w14:paraId="4CB328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7,1</w:t>
            </w:r>
          </w:p>
        </w:tc>
        <w:tc>
          <w:tcPr>
            <w:tcW w:w="628" w:type="dxa"/>
            <w:tcBorders>
              <w:top w:val="nil"/>
              <w:left w:val="nil"/>
              <w:bottom w:val="single" w:sz="4" w:space="0" w:color="auto"/>
              <w:right w:val="single" w:sz="4" w:space="0" w:color="auto"/>
            </w:tcBorders>
            <w:shd w:val="clear" w:color="auto" w:fill="auto"/>
            <w:noWrap/>
            <w:vAlign w:val="center"/>
            <w:hideMark/>
          </w:tcPr>
          <w:p w14:paraId="1028ABB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7,2</w:t>
            </w:r>
          </w:p>
        </w:tc>
        <w:tc>
          <w:tcPr>
            <w:tcW w:w="628" w:type="dxa"/>
            <w:tcBorders>
              <w:top w:val="nil"/>
              <w:left w:val="nil"/>
              <w:bottom w:val="single" w:sz="4" w:space="0" w:color="auto"/>
              <w:right w:val="single" w:sz="4" w:space="0" w:color="auto"/>
            </w:tcBorders>
            <w:shd w:val="clear" w:color="auto" w:fill="auto"/>
            <w:noWrap/>
            <w:vAlign w:val="center"/>
            <w:hideMark/>
          </w:tcPr>
          <w:p w14:paraId="034FEE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7,1</w:t>
            </w:r>
          </w:p>
        </w:tc>
        <w:tc>
          <w:tcPr>
            <w:tcW w:w="628" w:type="dxa"/>
            <w:tcBorders>
              <w:top w:val="nil"/>
              <w:left w:val="nil"/>
              <w:bottom w:val="single" w:sz="4" w:space="0" w:color="auto"/>
              <w:right w:val="single" w:sz="4" w:space="0" w:color="auto"/>
            </w:tcBorders>
            <w:shd w:val="clear" w:color="auto" w:fill="auto"/>
            <w:noWrap/>
            <w:vAlign w:val="center"/>
            <w:hideMark/>
          </w:tcPr>
          <w:p w14:paraId="2C7CD99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7,0</w:t>
            </w:r>
          </w:p>
        </w:tc>
        <w:tc>
          <w:tcPr>
            <w:tcW w:w="844" w:type="dxa"/>
            <w:tcBorders>
              <w:top w:val="nil"/>
              <w:left w:val="nil"/>
              <w:bottom w:val="single" w:sz="4" w:space="0" w:color="auto"/>
              <w:right w:val="single" w:sz="4" w:space="0" w:color="auto"/>
            </w:tcBorders>
            <w:shd w:val="clear" w:color="auto" w:fill="auto"/>
            <w:noWrap/>
            <w:hideMark/>
          </w:tcPr>
          <w:p w14:paraId="4CB39DAB"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-2,4%</w:t>
            </w:r>
          </w:p>
        </w:tc>
      </w:tr>
      <w:tr w:rsidR="00B56301" w:rsidRPr="007253FC" w14:paraId="22675115" w14:textId="77777777" w:rsidTr="00B37B65">
        <w:trPr>
          <w:trHeight w:val="68"/>
          <w:jc w:val="center"/>
        </w:trPr>
        <w:tc>
          <w:tcPr>
            <w:tcW w:w="5680" w:type="dxa"/>
            <w:tcBorders>
              <w:top w:val="nil"/>
              <w:left w:val="nil"/>
              <w:bottom w:val="nil"/>
              <w:right w:val="nil"/>
            </w:tcBorders>
            <w:shd w:val="clear" w:color="000000" w:fill="0070C0"/>
            <w:noWrap/>
            <w:vAlign w:val="bottom"/>
            <w:hideMark/>
          </w:tcPr>
          <w:p w14:paraId="23F735B7"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Industrie manufacturière et construction</w:t>
            </w:r>
          </w:p>
        </w:tc>
        <w:tc>
          <w:tcPr>
            <w:tcW w:w="628" w:type="dxa"/>
            <w:tcBorders>
              <w:top w:val="nil"/>
              <w:left w:val="single" w:sz="4" w:space="0" w:color="auto"/>
              <w:bottom w:val="single" w:sz="4" w:space="0" w:color="auto"/>
              <w:right w:val="single" w:sz="4" w:space="0" w:color="auto"/>
            </w:tcBorders>
            <w:shd w:val="clear" w:color="000000" w:fill="0070C0"/>
            <w:noWrap/>
            <w:vAlign w:val="bottom"/>
            <w:hideMark/>
          </w:tcPr>
          <w:p w14:paraId="5DD474BC"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86,1</w:t>
            </w:r>
          </w:p>
        </w:tc>
        <w:tc>
          <w:tcPr>
            <w:tcW w:w="628" w:type="dxa"/>
            <w:tcBorders>
              <w:top w:val="nil"/>
              <w:left w:val="nil"/>
              <w:bottom w:val="single" w:sz="4" w:space="0" w:color="auto"/>
              <w:right w:val="single" w:sz="4" w:space="0" w:color="auto"/>
            </w:tcBorders>
            <w:shd w:val="clear" w:color="000000" w:fill="0070C0"/>
            <w:noWrap/>
            <w:vAlign w:val="bottom"/>
            <w:hideMark/>
          </w:tcPr>
          <w:p w14:paraId="3A8F4689"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83,8</w:t>
            </w:r>
          </w:p>
        </w:tc>
        <w:tc>
          <w:tcPr>
            <w:tcW w:w="628" w:type="dxa"/>
            <w:tcBorders>
              <w:top w:val="nil"/>
              <w:left w:val="nil"/>
              <w:bottom w:val="single" w:sz="4" w:space="0" w:color="auto"/>
              <w:right w:val="single" w:sz="4" w:space="0" w:color="auto"/>
            </w:tcBorders>
            <w:shd w:val="clear" w:color="000000" w:fill="0070C0"/>
            <w:noWrap/>
            <w:vAlign w:val="bottom"/>
            <w:hideMark/>
          </w:tcPr>
          <w:p w14:paraId="2591C16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83,7</w:t>
            </w:r>
          </w:p>
        </w:tc>
        <w:tc>
          <w:tcPr>
            <w:tcW w:w="628" w:type="dxa"/>
            <w:tcBorders>
              <w:top w:val="nil"/>
              <w:left w:val="nil"/>
              <w:bottom w:val="single" w:sz="4" w:space="0" w:color="auto"/>
              <w:right w:val="single" w:sz="4" w:space="0" w:color="auto"/>
            </w:tcBorders>
            <w:shd w:val="clear" w:color="000000" w:fill="0070C0"/>
            <w:noWrap/>
            <w:vAlign w:val="bottom"/>
            <w:hideMark/>
          </w:tcPr>
          <w:p w14:paraId="63B43DEA"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83,4</w:t>
            </w:r>
          </w:p>
        </w:tc>
        <w:tc>
          <w:tcPr>
            <w:tcW w:w="628" w:type="dxa"/>
            <w:tcBorders>
              <w:top w:val="nil"/>
              <w:left w:val="nil"/>
              <w:bottom w:val="single" w:sz="4" w:space="0" w:color="auto"/>
              <w:right w:val="single" w:sz="4" w:space="0" w:color="auto"/>
            </w:tcBorders>
            <w:shd w:val="clear" w:color="000000" w:fill="0070C0"/>
            <w:noWrap/>
            <w:vAlign w:val="bottom"/>
            <w:hideMark/>
          </w:tcPr>
          <w:p w14:paraId="14B82323"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83,1</w:t>
            </w:r>
          </w:p>
        </w:tc>
        <w:tc>
          <w:tcPr>
            <w:tcW w:w="628" w:type="dxa"/>
            <w:tcBorders>
              <w:top w:val="nil"/>
              <w:left w:val="nil"/>
              <w:bottom w:val="single" w:sz="4" w:space="0" w:color="auto"/>
              <w:right w:val="single" w:sz="4" w:space="0" w:color="auto"/>
            </w:tcBorders>
            <w:shd w:val="clear" w:color="000000" w:fill="0070C0"/>
            <w:noWrap/>
            <w:vAlign w:val="bottom"/>
            <w:hideMark/>
          </w:tcPr>
          <w:p w14:paraId="7728A31E"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80,1</w:t>
            </w:r>
          </w:p>
        </w:tc>
        <w:tc>
          <w:tcPr>
            <w:tcW w:w="628" w:type="dxa"/>
            <w:tcBorders>
              <w:top w:val="nil"/>
              <w:left w:val="nil"/>
              <w:bottom w:val="single" w:sz="4" w:space="0" w:color="auto"/>
              <w:right w:val="single" w:sz="4" w:space="0" w:color="auto"/>
            </w:tcBorders>
            <w:shd w:val="clear" w:color="000000" w:fill="0070C0"/>
            <w:noWrap/>
            <w:vAlign w:val="bottom"/>
            <w:hideMark/>
          </w:tcPr>
          <w:p w14:paraId="6D06B8F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72,5</w:t>
            </w:r>
          </w:p>
        </w:tc>
        <w:tc>
          <w:tcPr>
            <w:tcW w:w="844" w:type="dxa"/>
            <w:tcBorders>
              <w:top w:val="nil"/>
              <w:left w:val="nil"/>
              <w:bottom w:val="single" w:sz="4" w:space="0" w:color="auto"/>
              <w:right w:val="single" w:sz="4" w:space="0" w:color="auto"/>
            </w:tcBorders>
            <w:shd w:val="clear" w:color="000000" w:fill="0070C0"/>
            <w:noWrap/>
            <w:hideMark/>
          </w:tcPr>
          <w:p w14:paraId="35F21047"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sz w:val="16"/>
                <w:szCs w:val="16"/>
              </w:rPr>
              <w:t>-9,5%</w:t>
            </w:r>
          </w:p>
        </w:tc>
      </w:tr>
      <w:tr w:rsidR="00B56301" w:rsidRPr="007253FC" w14:paraId="442C9390"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09E4B9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Chimie</w:t>
            </w:r>
          </w:p>
        </w:tc>
        <w:tc>
          <w:tcPr>
            <w:tcW w:w="628" w:type="dxa"/>
            <w:tcBorders>
              <w:top w:val="nil"/>
              <w:left w:val="nil"/>
              <w:bottom w:val="single" w:sz="4" w:space="0" w:color="auto"/>
              <w:right w:val="single" w:sz="4" w:space="0" w:color="auto"/>
            </w:tcBorders>
            <w:shd w:val="clear" w:color="auto" w:fill="auto"/>
            <w:noWrap/>
            <w:vAlign w:val="center"/>
            <w:hideMark/>
          </w:tcPr>
          <w:p w14:paraId="03C6220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23,1</w:t>
            </w:r>
          </w:p>
        </w:tc>
        <w:tc>
          <w:tcPr>
            <w:tcW w:w="628" w:type="dxa"/>
            <w:tcBorders>
              <w:top w:val="nil"/>
              <w:left w:val="nil"/>
              <w:bottom w:val="single" w:sz="4" w:space="0" w:color="auto"/>
              <w:right w:val="single" w:sz="4" w:space="0" w:color="auto"/>
            </w:tcBorders>
            <w:shd w:val="clear" w:color="auto" w:fill="auto"/>
            <w:noWrap/>
            <w:vAlign w:val="center"/>
            <w:hideMark/>
          </w:tcPr>
          <w:p w14:paraId="6314B92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22,1</w:t>
            </w:r>
          </w:p>
        </w:tc>
        <w:tc>
          <w:tcPr>
            <w:tcW w:w="628" w:type="dxa"/>
            <w:tcBorders>
              <w:top w:val="nil"/>
              <w:left w:val="nil"/>
              <w:bottom w:val="single" w:sz="4" w:space="0" w:color="auto"/>
              <w:right w:val="single" w:sz="4" w:space="0" w:color="auto"/>
            </w:tcBorders>
            <w:shd w:val="clear" w:color="auto" w:fill="auto"/>
            <w:noWrap/>
            <w:vAlign w:val="center"/>
            <w:hideMark/>
          </w:tcPr>
          <w:p w14:paraId="2D1070C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21,5</w:t>
            </w:r>
          </w:p>
        </w:tc>
        <w:tc>
          <w:tcPr>
            <w:tcW w:w="628" w:type="dxa"/>
            <w:tcBorders>
              <w:top w:val="nil"/>
              <w:left w:val="nil"/>
              <w:bottom w:val="single" w:sz="4" w:space="0" w:color="auto"/>
              <w:right w:val="single" w:sz="4" w:space="0" w:color="auto"/>
            </w:tcBorders>
            <w:shd w:val="clear" w:color="auto" w:fill="auto"/>
            <w:noWrap/>
            <w:vAlign w:val="center"/>
            <w:hideMark/>
          </w:tcPr>
          <w:p w14:paraId="6AC43B9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21,5</w:t>
            </w:r>
          </w:p>
        </w:tc>
        <w:tc>
          <w:tcPr>
            <w:tcW w:w="628" w:type="dxa"/>
            <w:tcBorders>
              <w:top w:val="nil"/>
              <w:left w:val="nil"/>
              <w:bottom w:val="single" w:sz="4" w:space="0" w:color="auto"/>
              <w:right w:val="single" w:sz="4" w:space="0" w:color="auto"/>
            </w:tcBorders>
            <w:shd w:val="clear" w:color="auto" w:fill="auto"/>
            <w:noWrap/>
            <w:vAlign w:val="center"/>
            <w:hideMark/>
          </w:tcPr>
          <w:p w14:paraId="052E14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21,0</w:t>
            </w:r>
          </w:p>
        </w:tc>
        <w:tc>
          <w:tcPr>
            <w:tcW w:w="628" w:type="dxa"/>
            <w:tcBorders>
              <w:top w:val="nil"/>
              <w:left w:val="nil"/>
              <w:bottom w:val="single" w:sz="4" w:space="0" w:color="auto"/>
              <w:right w:val="single" w:sz="4" w:space="0" w:color="auto"/>
            </w:tcBorders>
            <w:shd w:val="clear" w:color="auto" w:fill="auto"/>
            <w:noWrap/>
            <w:vAlign w:val="center"/>
            <w:hideMark/>
          </w:tcPr>
          <w:p w14:paraId="53D073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20,0</w:t>
            </w:r>
          </w:p>
        </w:tc>
        <w:tc>
          <w:tcPr>
            <w:tcW w:w="628" w:type="dxa"/>
            <w:tcBorders>
              <w:top w:val="nil"/>
              <w:left w:val="nil"/>
              <w:bottom w:val="single" w:sz="4" w:space="0" w:color="auto"/>
              <w:right w:val="single" w:sz="4" w:space="0" w:color="auto"/>
            </w:tcBorders>
            <w:shd w:val="clear" w:color="auto" w:fill="auto"/>
            <w:noWrap/>
            <w:vAlign w:val="center"/>
            <w:hideMark/>
          </w:tcPr>
          <w:p w14:paraId="7EECD4E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18,7</w:t>
            </w:r>
          </w:p>
        </w:tc>
        <w:tc>
          <w:tcPr>
            <w:tcW w:w="844" w:type="dxa"/>
            <w:tcBorders>
              <w:top w:val="nil"/>
              <w:left w:val="nil"/>
              <w:bottom w:val="single" w:sz="4" w:space="0" w:color="auto"/>
              <w:right w:val="single" w:sz="4" w:space="0" w:color="auto"/>
            </w:tcBorders>
            <w:shd w:val="clear" w:color="auto" w:fill="auto"/>
            <w:noWrap/>
            <w:hideMark/>
          </w:tcPr>
          <w:p w14:paraId="5EB0EACD"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-6,9%</w:t>
            </w:r>
          </w:p>
        </w:tc>
      </w:tr>
      <w:tr w:rsidR="00B56301" w:rsidRPr="007253FC" w14:paraId="2642429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D25D40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2F43EC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w:t>
            </w:r>
          </w:p>
        </w:tc>
        <w:tc>
          <w:tcPr>
            <w:tcW w:w="628" w:type="dxa"/>
            <w:tcBorders>
              <w:top w:val="nil"/>
              <w:left w:val="nil"/>
              <w:bottom w:val="single" w:sz="4" w:space="0" w:color="auto"/>
              <w:right w:val="single" w:sz="4" w:space="0" w:color="auto"/>
            </w:tcBorders>
            <w:shd w:val="clear" w:color="auto" w:fill="auto"/>
            <w:noWrap/>
            <w:vAlign w:val="center"/>
            <w:hideMark/>
          </w:tcPr>
          <w:p w14:paraId="5BDF7F3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w:t>
            </w:r>
          </w:p>
        </w:tc>
        <w:tc>
          <w:tcPr>
            <w:tcW w:w="628" w:type="dxa"/>
            <w:tcBorders>
              <w:top w:val="nil"/>
              <w:left w:val="nil"/>
              <w:bottom w:val="single" w:sz="4" w:space="0" w:color="auto"/>
              <w:right w:val="single" w:sz="4" w:space="0" w:color="auto"/>
            </w:tcBorders>
            <w:shd w:val="clear" w:color="auto" w:fill="auto"/>
            <w:noWrap/>
            <w:vAlign w:val="center"/>
            <w:hideMark/>
          </w:tcPr>
          <w:p w14:paraId="28200A3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7033CF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0EBB52B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3,7</w:t>
            </w:r>
          </w:p>
        </w:tc>
        <w:tc>
          <w:tcPr>
            <w:tcW w:w="628" w:type="dxa"/>
            <w:tcBorders>
              <w:top w:val="nil"/>
              <w:left w:val="nil"/>
              <w:bottom w:val="single" w:sz="4" w:space="0" w:color="auto"/>
              <w:right w:val="single" w:sz="4" w:space="0" w:color="auto"/>
            </w:tcBorders>
            <w:shd w:val="clear" w:color="auto" w:fill="auto"/>
            <w:noWrap/>
            <w:vAlign w:val="center"/>
            <w:hideMark/>
          </w:tcPr>
          <w:p w14:paraId="43611E1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3,8</w:t>
            </w:r>
          </w:p>
        </w:tc>
        <w:tc>
          <w:tcPr>
            <w:tcW w:w="628" w:type="dxa"/>
            <w:tcBorders>
              <w:top w:val="nil"/>
              <w:left w:val="nil"/>
              <w:bottom w:val="single" w:sz="4" w:space="0" w:color="auto"/>
              <w:right w:val="single" w:sz="4" w:space="0" w:color="auto"/>
            </w:tcBorders>
            <w:shd w:val="clear" w:color="auto" w:fill="auto"/>
            <w:noWrap/>
            <w:vAlign w:val="center"/>
            <w:hideMark/>
          </w:tcPr>
          <w:p w14:paraId="7FCCD3A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3,6</w:t>
            </w:r>
          </w:p>
        </w:tc>
        <w:tc>
          <w:tcPr>
            <w:tcW w:w="844" w:type="dxa"/>
            <w:tcBorders>
              <w:top w:val="nil"/>
              <w:left w:val="nil"/>
              <w:bottom w:val="single" w:sz="4" w:space="0" w:color="auto"/>
              <w:right w:val="single" w:sz="4" w:space="0" w:color="auto"/>
            </w:tcBorders>
            <w:shd w:val="clear" w:color="auto" w:fill="auto"/>
            <w:noWrap/>
            <w:hideMark/>
          </w:tcPr>
          <w:p w14:paraId="6FE10323"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-4,7%</w:t>
            </w:r>
          </w:p>
        </w:tc>
      </w:tr>
      <w:tr w:rsidR="00B56301" w:rsidRPr="007253FC" w14:paraId="16511C02"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7014B7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Biens d'équipements, matériels de transport</w:t>
            </w:r>
          </w:p>
        </w:tc>
        <w:tc>
          <w:tcPr>
            <w:tcW w:w="628" w:type="dxa"/>
            <w:tcBorders>
              <w:top w:val="nil"/>
              <w:left w:val="nil"/>
              <w:bottom w:val="single" w:sz="4" w:space="0" w:color="auto"/>
              <w:right w:val="single" w:sz="4" w:space="0" w:color="auto"/>
            </w:tcBorders>
            <w:shd w:val="clear" w:color="auto" w:fill="auto"/>
            <w:noWrap/>
            <w:vAlign w:val="center"/>
            <w:hideMark/>
          </w:tcPr>
          <w:p w14:paraId="67B9A97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58A716C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1D21438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20297D1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w:t>
            </w:r>
          </w:p>
        </w:tc>
        <w:tc>
          <w:tcPr>
            <w:tcW w:w="628" w:type="dxa"/>
            <w:tcBorders>
              <w:top w:val="nil"/>
              <w:left w:val="nil"/>
              <w:bottom w:val="single" w:sz="4" w:space="0" w:color="auto"/>
              <w:right w:val="single" w:sz="4" w:space="0" w:color="auto"/>
            </w:tcBorders>
            <w:shd w:val="clear" w:color="auto" w:fill="auto"/>
            <w:noWrap/>
            <w:vAlign w:val="center"/>
            <w:hideMark/>
          </w:tcPr>
          <w:p w14:paraId="72AFF7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63AD38A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07642A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844" w:type="dxa"/>
            <w:tcBorders>
              <w:top w:val="nil"/>
              <w:left w:val="nil"/>
              <w:bottom w:val="single" w:sz="4" w:space="0" w:color="auto"/>
              <w:right w:val="single" w:sz="4" w:space="0" w:color="auto"/>
            </w:tcBorders>
            <w:shd w:val="clear" w:color="auto" w:fill="auto"/>
            <w:noWrap/>
            <w:hideMark/>
          </w:tcPr>
          <w:p w14:paraId="28BA8370"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-7,4%</w:t>
            </w:r>
          </w:p>
        </w:tc>
      </w:tr>
      <w:tr w:rsidR="00B56301" w:rsidRPr="007253FC" w14:paraId="71B00BC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0AC34A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Agro-alimentaire</w:t>
            </w:r>
          </w:p>
        </w:tc>
        <w:tc>
          <w:tcPr>
            <w:tcW w:w="628" w:type="dxa"/>
            <w:tcBorders>
              <w:top w:val="nil"/>
              <w:left w:val="nil"/>
              <w:bottom w:val="single" w:sz="4" w:space="0" w:color="auto"/>
              <w:right w:val="single" w:sz="4" w:space="0" w:color="auto"/>
            </w:tcBorders>
            <w:shd w:val="clear" w:color="auto" w:fill="auto"/>
            <w:noWrap/>
            <w:vAlign w:val="center"/>
            <w:hideMark/>
          </w:tcPr>
          <w:p w14:paraId="296D69F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10,0</w:t>
            </w:r>
          </w:p>
        </w:tc>
        <w:tc>
          <w:tcPr>
            <w:tcW w:w="628" w:type="dxa"/>
            <w:tcBorders>
              <w:top w:val="nil"/>
              <w:left w:val="nil"/>
              <w:bottom w:val="single" w:sz="4" w:space="0" w:color="auto"/>
              <w:right w:val="single" w:sz="4" w:space="0" w:color="auto"/>
            </w:tcBorders>
            <w:shd w:val="clear" w:color="auto" w:fill="auto"/>
            <w:noWrap/>
            <w:vAlign w:val="center"/>
            <w:hideMark/>
          </w:tcPr>
          <w:p w14:paraId="6586635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6F9E1F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202C61D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9,3</w:t>
            </w:r>
          </w:p>
        </w:tc>
        <w:tc>
          <w:tcPr>
            <w:tcW w:w="628" w:type="dxa"/>
            <w:tcBorders>
              <w:top w:val="nil"/>
              <w:left w:val="nil"/>
              <w:bottom w:val="single" w:sz="4" w:space="0" w:color="auto"/>
              <w:right w:val="single" w:sz="4" w:space="0" w:color="auto"/>
            </w:tcBorders>
            <w:shd w:val="clear" w:color="auto" w:fill="auto"/>
            <w:noWrap/>
            <w:vAlign w:val="center"/>
            <w:hideMark/>
          </w:tcPr>
          <w:p w14:paraId="61B2999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9,4</w:t>
            </w:r>
          </w:p>
        </w:tc>
        <w:tc>
          <w:tcPr>
            <w:tcW w:w="628" w:type="dxa"/>
            <w:tcBorders>
              <w:top w:val="nil"/>
              <w:left w:val="nil"/>
              <w:bottom w:val="single" w:sz="4" w:space="0" w:color="auto"/>
              <w:right w:val="single" w:sz="4" w:space="0" w:color="auto"/>
            </w:tcBorders>
            <w:shd w:val="clear" w:color="auto" w:fill="auto"/>
            <w:noWrap/>
            <w:vAlign w:val="center"/>
            <w:hideMark/>
          </w:tcPr>
          <w:p w14:paraId="1BBA6A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9,3</w:t>
            </w:r>
          </w:p>
        </w:tc>
        <w:tc>
          <w:tcPr>
            <w:tcW w:w="628" w:type="dxa"/>
            <w:tcBorders>
              <w:top w:val="nil"/>
              <w:left w:val="nil"/>
              <w:bottom w:val="single" w:sz="4" w:space="0" w:color="auto"/>
              <w:right w:val="single" w:sz="4" w:space="0" w:color="auto"/>
            </w:tcBorders>
            <w:shd w:val="clear" w:color="auto" w:fill="auto"/>
            <w:noWrap/>
            <w:vAlign w:val="center"/>
            <w:hideMark/>
          </w:tcPr>
          <w:p w14:paraId="599F2D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8,3</w:t>
            </w:r>
          </w:p>
        </w:tc>
        <w:tc>
          <w:tcPr>
            <w:tcW w:w="844" w:type="dxa"/>
            <w:tcBorders>
              <w:top w:val="nil"/>
              <w:left w:val="nil"/>
              <w:bottom w:val="single" w:sz="4" w:space="0" w:color="auto"/>
              <w:right w:val="single" w:sz="4" w:space="0" w:color="auto"/>
            </w:tcBorders>
            <w:shd w:val="clear" w:color="auto" w:fill="auto"/>
            <w:noWrap/>
            <w:hideMark/>
          </w:tcPr>
          <w:p w14:paraId="4AB3E048"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-11,0%</w:t>
            </w:r>
          </w:p>
        </w:tc>
      </w:tr>
      <w:tr w:rsidR="00B56301" w:rsidRPr="007253FC" w14:paraId="579DEFA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9C111D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ferreux</w:t>
            </w:r>
          </w:p>
        </w:tc>
        <w:tc>
          <w:tcPr>
            <w:tcW w:w="628" w:type="dxa"/>
            <w:tcBorders>
              <w:top w:val="nil"/>
              <w:left w:val="nil"/>
              <w:bottom w:val="single" w:sz="4" w:space="0" w:color="auto"/>
              <w:right w:val="single" w:sz="4" w:space="0" w:color="auto"/>
            </w:tcBorders>
            <w:shd w:val="clear" w:color="auto" w:fill="auto"/>
            <w:noWrap/>
            <w:vAlign w:val="center"/>
            <w:hideMark/>
          </w:tcPr>
          <w:p w14:paraId="4ED6F7D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17,9</w:t>
            </w:r>
          </w:p>
        </w:tc>
        <w:tc>
          <w:tcPr>
            <w:tcW w:w="628" w:type="dxa"/>
            <w:tcBorders>
              <w:top w:val="nil"/>
              <w:left w:val="nil"/>
              <w:bottom w:val="single" w:sz="4" w:space="0" w:color="auto"/>
              <w:right w:val="single" w:sz="4" w:space="0" w:color="auto"/>
            </w:tcBorders>
            <w:shd w:val="clear" w:color="auto" w:fill="auto"/>
            <w:noWrap/>
            <w:vAlign w:val="center"/>
            <w:hideMark/>
          </w:tcPr>
          <w:p w14:paraId="27EFDC6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17,6</w:t>
            </w:r>
          </w:p>
        </w:tc>
        <w:tc>
          <w:tcPr>
            <w:tcW w:w="628" w:type="dxa"/>
            <w:tcBorders>
              <w:top w:val="nil"/>
              <w:left w:val="nil"/>
              <w:bottom w:val="single" w:sz="4" w:space="0" w:color="auto"/>
              <w:right w:val="single" w:sz="4" w:space="0" w:color="auto"/>
            </w:tcBorders>
            <w:shd w:val="clear" w:color="auto" w:fill="auto"/>
            <w:noWrap/>
            <w:vAlign w:val="center"/>
            <w:hideMark/>
          </w:tcPr>
          <w:p w14:paraId="37E77D0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17,1</w:t>
            </w:r>
          </w:p>
        </w:tc>
        <w:tc>
          <w:tcPr>
            <w:tcW w:w="628" w:type="dxa"/>
            <w:tcBorders>
              <w:top w:val="nil"/>
              <w:left w:val="nil"/>
              <w:bottom w:val="single" w:sz="4" w:space="0" w:color="auto"/>
              <w:right w:val="single" w:sz="4" w:space="0" w:color="auto"/>
            </w:tcBorders>
            <w:shd w:val="clear" w:color="auto" w:fill="auto"/>
            <w:noWrap/>
            <w:vAlign w:val="center"/>
            <w:hideMark/>
          </w:tcPr>
          <w:p w14:paraId="46B4BA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18,5</w:t>
            </w:r>
          </w:p>
        </w:tc>
        <w:tc>
          <w:tcPr>
            <w:tcW w:w="628" w:type="dxa"/>
            <w:tcBorders>
              <w:top w:val="nil"/>
              <w:left w:val="nil"/>
              <w:bottom w:val="single" w:sz="4" w:space="0" w:color="auto"/>
              <w:right w:val="single" w:sz="4" w:space="0" w:color="auto"/>
            </w:tcBorders>
            <w:shd w:val="clear" w:color="auto" w:fill="auto"/>
            <w:noWrap/>
            <w:vAlign w:val="center"/>
            <w:hideMark/>
          </w:tcPr>
          <w:p w14:paraId="1E6D5AF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18,2</w:t>
            </w:r>
          </w:p>
        </w:tc>
        <w:tc>
          <w:tcPr>
            <w:tcW w:w="628" w:type="dxa"/>
            <w:tcBorders>
              <w:top w:val="nil"/>
              <w:left w:val="nil"/>
              <w:bottom w:val="single" w:sz="4" w:space="0" w:color="auto"/>
              <w:right w:val="single" w:sz="4" w:space="0" w:color="auto"/>
            </w:tcBorders>
            <w:shd w:val="clear" w:color="auto" w:fill="auto"/>
            <w:noWrap/>
            <w:vAlign w:val="center"/>
            <w:hideMark/>
          </w:tcPr>
          <w:p w14:paraId="6446F82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16,8</w:t>
            </w:r>
          </w:p>
        </w:tc>
        <w:tc>
          <w:tcPr>
            <w:tcW w:w="628" w:type="dxa"/>
            <w:tcBorders>
              <w:top w:val="nil"/>
              <w:left w:val="nil"/>
              <w:bottom w:val="single" w:sz="4" w:space="0" w:color="auto"/>
              <w:right w:val="single" w:sz="4" w:space="0" w:color="auto"/>
            </w:tcBorders>
            <w:shd w:val="clear" w:color="auto" w:fill="auto"/>
            <w:noWrap/>
            <w:vAlign w:val="center"/>
            <w:hideMark/>
          </w:tcPr>
          <w:p w14:paraId="11AA4B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14,4</w:t>
            </w:r>
          </w:p>
        </w:tc>
        <w:tc>
          <w:tcPr>
            <w:tcW w:w="844" w:type="dxa"/>
            <w:tcBorders>
              <w:top w:val="nil"/>
              <w:left w:val="nil"/>
              <w:bottom w:val="single" w:sz="4" w:space="0" w:color="auto"/>
              <w:right w:val="single" w:sz="4" w:space="0" w:color="auto"/>
            </w:tcBorders>
            <w:shd w:val="clear" w:color="auto" w:fill="auto"/>
            <w:noWrap/>
            <w:hideMark/>
          </w:tcPr>
          <w:p w14:paraId="4D0F1B7A"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-14,4%</w:t>
            </w:r>
          </w:p>
        </w:tc>
      </w:tr>
      <w:tr w:rsidR="00B56301" w:rsidRPr="007253FC" w14:paraId="27AA2B88"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100062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Métallurgie des métaux non-ferreux</w:t>
            </w:r>
          </w:p>
        </w:tc>
        <w:tc>
          <w:tcPr>
            <w:tcW w:w="628" w:type="dxa"/>
            <w:tcBorders>
              <w:top w:val="nil"/>
              <w:left w:val="nil"/>
              <w:bottom w:val="single" w:sz="4" w:space="0" w:color="auto"/>
              <w:right w:val="single" w:sz="4" w:space="0" w:color="auto"/>
            </w:tcBorders>
            <w:shd w:val="clear" w:color="auto" w:fill="auto"/>
            <w:noWrap/>
            <w:vAlign w:val="center"/>
            <w:hideMark/>
          </w:tcPr>
          <w:p w14:paraId="58F8E5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5F7FB55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415CDCC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w:t>
            </w:r>
          </w:p>
        </w:tc>
        <w:tc>
          <w:tcPr>
            <w:tcW w:w="628" w:type="dxa"/>
            <w:tcBorders>
              <w:top w:val="nil"/>
              <w:left w:val="nil"/>
              <w:bottom w:val="single" w:sz="4" w:space="0" w:color="auto"/>
              <w:right w:val="single" w:sz="4" w:space="0" w:color="auto"/>
            </w:tcBorders>
            <w:shd w:val="clear" w:color="auto" w:fill="auto"/>
            <w:noWrap/>
            <w:vAlign w:val="center"/>
            <w:hideMark/>
          </w:tcPr>
          <w:p w14:paraId="228F19D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w:t>
            </w:r>
          </w:p>
        </w:tc>
        <w:tc>
          <w:tcPr>
            <w:tcW w:w="628" w:type="dxa"/>
            <w:tcBorders>
              <w:top w:val="nil"/>
              <w:left w:val="nil"/>
              <w:bottom w:val="single" w:sz="4" w:space="0" w:color="auto"/>
              <w:right w:val="single" w:sz="4" w:space="0" w:color="auto"/>
            </w:tcBorders>
            <w:shd w:val="clear" w:color="auto" w:fill="auto"/>
            <w:noWrap/>
            <w:vAlign w:val="center"/>
            <w:hideMark/>
          </w:tcPr>
          <w:p w14:paraId="66DEE22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F971A4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32D9134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w:t>
            </w:r>
          </w:p>
        </w:tc>
        <w:tc>
          <w:tcPr>
            <w:tcW w:w="844" w:type="dxa"/>
            <w:tcBorders>
              <w:top w:val="nil"/>
              <w:left w:val="nil"/>
              <w:bottom w:val="single" w:sz="4" w:space="0" w:color="auto"/>
              <w:right w:val="single" w:sz="4" w:space="0" w:color="auto"/>
            </w:tcBorders>
            <w:shd w:val="clear" w:color="auto" w:fill="auto"/>
            <w:noWrap/>
            <w:hideMark/>
          </w:tcPr>
          <w:p w14:paraId="4CC47430"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-11,7%</w:t>
            </w:r>
          </w:p>
        </w:tc>
      </w:tr>
      <w:tr w:rsidR="00B56301" w:rsidRPr="007253FC" w14:paraId="3401654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654CEE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Minéraux non-métalliques, matériaux de construction</w:t>
            </w:r>
          </w:p>
        </w:tc>
        <w:tc>
          <w:tcPr>
            <w:tcW w:w="628" w:type="dxa"/>
            <w:tcBorders>
              <w:top w:val="nil"/>
              <w:left w:val="nil"/>
              <w:bottom w:val="single" w:sz="4" w:space="0" w:color="auto"/>
              <w:right w:val="single" w:sz="4" w:space="0" w:color="auto"/>
            </w:tcBorders>
            <w:shd w:val="clear" w:color="auto" w:fill="auto"/>
            <w:noWrap/>
            <w:vAlign w:val="center"/>
            <w:hideMark/>
          </w:tcPr>
          <w:p w14:paraId="3E9368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20,2</w:t>
            </w:r>
          </w:p>
        </w:tc>
        <w:tc>
          <w:tcPr>
            <w:tcW w:w="628" w:type="dxa"/>
            <w:tcBorders>
              <w:top w:val="nil"/>
              <w:left w:val="nil"/>
              <w:bottom w:val="single" w:sz="4" w:space="0" w:color="auto"/>
              <w:right w:val="single" w:sz="4" w:space="0" w:color="auto"/>
            </w:tcBorders>
            <w:shd w:val="clear" w:color="auto" w:fill="auto"/>
            <w:noWrap/>
            <w:vAlign w:val="center"/>
            <w:hideMark/>
          </w:tcPr>
          <w:p w14:paraId="380CF5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19,1</w:t>
            </w:r>
          </w:p>
        </w:tc>
        <w:tc>
          <w:tcPr>
            <w:tcW w:w="628" w:type="dxa"/>
            <w:tcBorders>
              <w:top w:val="nil"/>
              <w:left w:val="nil"/>
              <w:bottom w:val="single" w:sz="4" w:space="0" w:color="auto"/>
              <w:right w:val="single" w:sz="4" w:space="0" w:color="auto"/>
            </w:tcBorders>
            <w:shd w:val="clear" w:color="auto" w:fill="auto"/>
            <w:noWrap/>
            <w:vAlign w:val="center"/>
            <w:hideMark/>
          </w:tcPr>
          <w:p w14:paraId="6440683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19,3</w:t>
            </w:r>
          </w:p>
        </w:tc>
        <w:tc>
          <w:tcPr>
            <w:tcW w:w="628" w:type="dxa"/>
            <w:tcBorders>
              <w:top w:val="nil"/>
              <w:left w:val="nil"/>
              <w:bottom w:val="single" w:sz="4" w:space="0" w:color="auto"/>
              <w:right w:val="single" w:sz="4" w:space="0" w:color="auto"/>
            </w:tcBorders>
            <w:shd w:val="clear" w:color="auto" w:fill="auto"/>
            <w:noWrap/>
            <w:vAlign w:val="center"/>
            <w:hideMark/>
          </w:tcPr>
          <w:p w14:paraId="15EACC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18,6</w:t>
            </w:r>
          </w:p>
        </w:tc>
        <w:tc>
          <w:tcPr>
            <w:tcW w:w="628" w:type="dxa"/>
            <w:tcBorders>
              <w:top w:val="nil"/>
              <w:left w:val="nil"/>
              <w:bottom w:val="single" w:sz="4" w:space="0" w:color="auto"/>
              <w:right w:val="single" w:sz="4" w:space="0" w:color="auto"/>
            </w:tcBorders>
            <w:shd w:val="clear" w:color="auto" w:fill="auto"/>
            <w:noWrap/>
            <w:vAlign w:val="center"/>
            <w:hideMark/>
          </w:tcPr>
          <w:p w14:paraId="6BB0CE7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19,4</w:t>
            </w:r>
          </w:p>
        </w:tc>
        <w:tc>
          <w:tcPr>
            <w:tcW w:w="628" w:type="dxa"/>
            <w:tcBorders>
              <w:top w:val="nil"/>
              <w:left w:val="nil"/>
              <w:bottom w:val="single" w:sz="4" w:space="0" w:color="auto"/>
              <w:right w:val="single" w:sz="4" w:space="0" w:color="auto"/>
            </w:tcBorders>
            <w:shd w:val="clear" w:color="auto" w:fill="auto"/>
            <w:noWrap/>
            <w:vAlign w:val="center"/>
            <w:hideMark/>
          </w:tcPr>
          <w:p w14:paraId="78ED311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19,4</w:t>
            </w:r>
          </w:p>
        </w:tc>
        <w:tc>
          <w:tcPr>
            <w:tcW w:w="628" w:type="dxa"/>
            <w:tcBorders>
              <w:top w:val="nil"/>
              <w:left w:val="nil"/>
              <w:bottom w:val="single" w:sz="4" w:space="0" w:color="auto"/>
              <w:right w:val="single" w:sz="4" w:space="0" w:color="auto"/>
            </w:tcBorders>
            <w:shd w:val="clear" w:color="auto" w:fill="auto"/>
            <w:noWrap/>
            <w:vAlign w:val="center"/>
            <w:hideMark/>
          </w:tcPr>
          <w:p w14:paraId="3E8086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17,7</w:t>
            </w:r>
          </w:p>
        </w:tc>
        <w:tc>
          <w:tcPr>
            <w:tcW w:w="844" w:type="dxa"/>
            <w:tcBorders>
              <w:top w:val="nil"/>
              <w:left w:val="nil"/>
              <w:bottom w:val="single" w:sz="4" w:space="0" w:color="auto"/>
              <w:right w:val="single" w:sz="4" w:space="0" w:color="auto"/>
            </w:tcBorders>
            <w:shd w:val="clear" w:color="auto" w:fill="auto"/>
            <w:noWrap/>
            <w:hideMark/>
          </w:tcPr>
          <w:p w14:paraId="63AE6263"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-8,9%</w:t>
            </w:r>
          </w:p>
        </w:tc>
      </w:tr>
      <w:tr w:rsidR="00B56301" w:rsidRPr="007253FC" w14:paraId="3125B395"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3498260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Papier, carton</w:t>
            </w:r>
          </w:p>
        </w:tc>
        <w:tc>
          <w:tcPr>
            <w:tcW w:w="628" w:type="dxa"/>
            <w:tcBorders>
              <w:top w:val="nil"/>
              <w:left w:val="nil"/>
              <w:bottom w:val="single" w:sz="4" w:space="0" w:color="auto"/>
              <w:right w:val="single" w:sz="4" w:space="0" w:color="auto"/>
            </w:tcBorders>
            <w:shd w:val="clear" w:color="auto" w:fill="auto"/>
            <w:noWrap/>
            <w:vAlign w:val="center"/>
            <w:hideMark/>
          </w:tcPr>
          <w:p w14:paraId="4BF8637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130D970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0B68324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375E7B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2,5</w:t>
            </w:r>
          </w:p>
        </w:tc>
        <w:tc>
          <w:tcPr>
            <w:tcW w:w="628" w:type="dxa"/>
            <w:tcBorders>
              <w:top w:val="nil"/>
              <w:left w:val="nil"/>
              <w:bottom w:val="single" w:sz="4" w:space="0" w:color="auto"/>
              <w:right w:val="single" w:sz="4" w:space="0" w:color="auto"/>
            </w:tcBorders>
            <w:shd w:val="clear" w:color="auto" w:fill="auto"/>
            <w:noWrap/>
            <w:vAlign w:val="center"/>
            <w:hideMark/>
          </w:tcPr>
          <w:p w14:paraId="3EB0160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044AB4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w:t>
            </w:r>
          </w:p>
        </w:tc>
        <w:tc>
          <w:tcPr>
            <w:tcW w:w="628" w:type="dxa"/>
            <w:tcBorders>
              <w:top w:val="nil"/>
              <w:left w:val="nil"/>
              <w:bottom w:val="single" w:sz="4" w:space="0" w:color="auto"/>
              <w:right w:val="single" w:sz="4" w:space="0" w:color="auto"/>
            </w:tcBorders>
            <w:shd w:val="clear" w:color="auto" w:fill="auto"/>
            <w:noWrap/>
            <w:vAlign w:val="center"/>
            <w:hideMark/>
          </w:tcPr>
          <w:p w14:paraId="40EB6E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2,3</w:t>
            </w:r>
          </w:p>
        </w:tc>
        <w:tc>
          <w:tcPr>
            <w:tcW w:w="844" w:type="dxa"/>
            <w:tcBorders>
              <w:top w:val="nil"/>
              <w:left w:val="nil"/>
              <w:bottom w:val="single" w:sz="4" w:space="0" w:color="auto"/>
              <w:right w:val="single" w:sz="4" w:space="0" w:color="auto"/>
            </w:tcBorders>
            <w:shd w:val="clear" w:color="auto" w:fill="auto"/>
            <w:noWrap/>
            <w:hideMark/>
          </w:tcPr>
          <w:p w14:paraId="2305D0BD"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-5,3%</w:t>
            </w:r>
          </w:p>
        </w:tc>
      </w:tr>
      <w:tr w:rsidR="00B56301" w:rsidRPr="007253FC" w14:paraId="0A2CBB9C"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E673B9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industries manufacturières</w:t>
            </w:r>
          </w:p>
        </w:tc>
        <w:tc>
          <w:tcPr>
            <w:tcW w:w="628" w:type="dxa"/>
            <w:tcBorders>
              <w:top w:val="nil"/>
              <w:left w:val="nil"/>
              <w:bottom w:val="single" w:sz="4" w:space="0" w:color="auto"/>
              <w:right w:val="single" w:sz="4" w:space="0" w:color="auto"/>
            </w:tcBorders>
            <w:shd w:val="clear" w:color="auto" w:fill="auto"/>
            <w:noWrap/>
            <w:vAlign w:val="center"/>
            <w:hideMark/>
          </w:tcPr>
          <w:p w14:paraId="2964D46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1C34A1F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2A3696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w:t>
            </w:r>
          </w:p>
        </w:tc>
        <w:tc>
          <w:tcPr>
            <w:tcW w:w="628" w:type="dxa"/>
            <w:tcBorders>
              <w:top w:val="nil"/>
              <w:left w:val="nil"/>
              <w:bottom w:val="single" w:sz="4" w:space="0" w:color="auto"/>
              <w:right w:val="single" w:sz="4" w:space="0" w:color="auto"/>
            </w:tcBorders>
            <w:shd w:val="clear" w:color="auto" w:fill="auto"/>
            <w:noWrap/>
            <w:vAlign w:val="center"/>
            <w:hideMark/>
          </w:tcPr>
          <w:p w14:paraId="0B305DA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w:t>
            </w:r>
          </w:p>
        </w:tc>
        <w:tc>
          <w:tcPr>
            <w:tcW w:w="628" w:type="dxa"/>
            <w:tcBorders>
              <w:top w:val="nil"/>
              <w:left w:val="nil"/>
              <w:bottom w:val="single" w:sz="4" w:space="0" w:color="auto"/>
              <w:right w:val="single" w:sz="4" w:space="0" w:color="auto"/>
            </w:tcBorders>
            <w:shd w:val="clear" w:color="auto" w:fill="auto"/>
            <w:noWrap/>
            <w:vAlign w:val="center"/>
            <w:hideMark/>
          </w:tcPr>
          <w:p w14:paraId="59851E5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2,7</w:t>
            </w:r>
          </w:p>
        </w:tc>
        <w:tc>
          <w:tcPr>
            <w:tcW w:w="628" w:type="dxa"/>
            <w:tcBorders>
              <w:top w:val="nil"/>
              <w:left w:val="nil"/>
              <w:bottom w:val="single" w:sz="4" w:space="0" w:color="auto"/>
              <w:right w:val="single" w:sz="4" w:space="0" w:color="auto"/>
            </w:tcBorders>
            <w:shd w:val="clear" w:color="auto" w:fill="auto"/>
            <w:noWrap/>
            <w:vAlign w:val="center"/>
            <w:hideMark/>
          </w:tcPr>
          <w:p w14:paraId="62EAC20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w:t>
            </w:r>
          </w:p>
        </w:tc>
        <w:tc>
          <w:tcPr>
            <w:tcW w:w="628" w:type="dxa"/>
            <w:tcBorders>
              <w:top w:val="nil"/>
              <w:left w:val="nil"/>
              <w:bottom w:val="single" w:sz="4" w:space="0" w:color="auto"/>
              <w:right w:val="single" w:sz="4" w:space="0" w:color="auto"/>
            </w:tcBorders>
            <w:shd w:val="clear" w:color="auto" w:fill="auto"/>
            <w:noWrap/>
            <w:vAlign w:val="center"/>
            <w:hideMark/>
          </w:tcPr>
          <w:p w14:paraId="63237E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2,4</w:t>
            </w:r>
          </w:p>
        </w:tc>
        <w:tc>
          <w:tcPr>
            <w:tcW w:w="844" w:type="dxa"/>
            <w:tcBorders>
              <w:top w:val="nil"/>
              <w:left w:val="nil"/>
              <w:bottom w:val="single" w:sz="4" w:space="0" w:color="auto"/>
              <w:right w:val="single" w:sz="4" w:space="0" w:color="auto"/>
            </w:tcBorders>
            <w:shd w:val="clear" w:color="auto" w:fill="auto"/>
            <w:noWrap/>
            <w:hideMark/>
          </w:tcPr>
          <w:p w14:paraId="63CB529A"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-7,3%</w:t>
            </w:r>
          </w:p>
        </w:tc>
      </w:tr>
      <w:tr w:rsidR="00B56301" w:rsidRPr="007253FC" w14:paraId="22EE5A2A" w14:textId="77777777" w:rsidTr="00B37B65">
        <w:trPr>
          <w:trHeight w:val="68"/>
          <w:jc w:val="center"/>
        </w:trPr>
        <w:tc>
          <w:tcPr>
            <w:tcW w:w="5680" w:type="dxa"/>
            <w:tcBorders>
              <w:top w:val="nil"/>
              <w:left w:val="nil"/>
              <w:bottom w:val="nil"/>
              <w:right w:val="nil"/>
            </w:tcBorders>
            <w:shd w:val="clear" w:color="000000" w:fill="B3A2C7"/>
            <w:noWrap/>
            <w:vAlign w:val="bottom"/>
            <w:hideMark/>
          </w:tcPr>
          <w:p w14:paraId="71260518"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Traitement centralisé des déchets</w:t>
            </w:r>
          </w:p>
        </w:tc>
        <w:tc>
          <w:tcPr>
            <w:tcW w:w="628" w:type="dxa"/>
            <w:tcBorders>
              <w:top w:val="nil"/>
              <w:left w:val="single" w:sz="4" w:space="0" w:color="auto"/>
              <w:bottom w:val="single" w:sz="4" w:space="0" w:color="auto"/>
              <w:right w:val="single" w:sz="4" w:space="0" w:color="auto"/>
            </w:tcBorders>
            <w:shd w:val="clear" w:color="000000" w:fill="B3A2C7"/>
            <w:noWrap/>
            <w:vAlign w:val="bottom"/>
            <w:hideMark/>
          </w:tcPr>
          <w:p w14:paraId="5A9E571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16,3</w:t>
            </w:r>
          </w:p>
        </w:tc>
        <w:tc>
          <w:tcPr>
            <w:tcW w:w="628" w:type="dxa"/>
            <w:tcBorders>
              <w:top w:val="nil"/>
              <w:left w:val="nil"/>
              <w:bottom w:val="single" w:sz="4" w:space="0" w:color="auto"/>
              <w:right w:val="single" w:sz="4" w:space="0" w:color="auto"/>
            </w:tcBorders>
            <w:shd w:val="clear" w:color="000000" w:fill="B3A2C7"/>
            <w:noWrap/>
            <w:vAlign w:val="bottom"/>
            <w:hideMark/>
          </w:tcPr>
          <w:p w14:paraId="0780D4D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15,0</w:t>
            </w:r>
          </w:p>
        </w:tc>
        <w:tc>
          <w:tcPr>
            <w:tcW w:w="628" w:type="dxa"/>
            <w:tcBorders>
              <w:top w:val="nil"/>
              <w:left w:val="nil"/>
              <w:bottom w:val="single" w:sz="4" w:space="0" w:color="auto"/>
              <w:right w:val="single" w:sz="4" w:space="0" w:color="auto"/>
            </w:tcBorders>
            <w:shd w:val="clear" w:color="000000" w:fill="B3A2C7"/>
            <w:noWrap/>
            <w:vAlign w:val="bottom"/>
            <w:hideMark/>
          </w:tcPr>
          <w:p w14:paraId="7473209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14,9</w:t>
            </w:r>
          </w:p>
        </w:tc>
        <w:tc>
          <w:tcPr>
            <w:tcW w:w="628" w:type="dxa"/>
            <w:tcBorders>
              <w:top w:val="nil"/>
              <w:left w:val="nil"/>
              <w:bottom w:val="single" w:sz="4" w:space="0" w:color="auto"/>
              <w:right w:val="single" w:sz="4" w:space="0" w:color="auto"/>
            </w:tcBorders>
            <w:shd w:val="clear" w:color="000000" w:fill="B3A2C7"/>
            <w:noWrap/>
            <w:vAlign w:val="bottom"/>
            <w:hideMark/>
          </w:tcPr>
          <w:p w14:paraId="7FB70A5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15,0</w:t>
            </w:r>
          </w:p>
        </w:tc>
        <w:tc>
          <w:tcPr>
            <w:tcW w:w="628" w:type="dxa"/>
            <w:tcBorders>
              <w:top w:val="nil"/>
              <w:left w:val="nil"/>
              <w:bottom w:val="single" w:sz="4" w:space="0" w:color="auto"/>
              <w:right w:val="single" w:sz="4" w:space="0" w:color="auto"/>
            </w:tcBorders>
            <w:shd w:val="clear" w:color="000000" w:fill="B3A2C7"/>
            <w:noWrap/>
            <w:vAlign w:val="bottom"/>
            <w:hideMark/>
          </w:tcPr>
          <w:p w14:paraId="2C1392D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14,7</w:t>
            </w:r>
          </w:p>
        </w:tc>
        <w:tc>
          <w:tcPr>
            <w:tcW w:w="628" w:type="dxa"/>
            <w:tcBorders>
              <w:top w:val="nil"/>
              <w:left w:val="nil"/>
              <w:bottom w:val="single" w:sz="4" w:space="0" w:color="auto"/>
              <w:right w:val="single" w:sz="4" w:space="0" w:color="auto"/>
            </w:tcBorders>
            <w:shd w:val="clear" w:color="000000" w:fill="B3A2C7"/>
            <w:noWrap/>
            <w:vAlign w:val="bottom"/>
            <w:hideMark/>
          </w:tcPr>
          <w:p w14:paraId="05F49AE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15,2</w:t>
            </w:r>
          </w:p>
        </w:tc>
        <w:tc>
          <w:tcPr>
            <w:tcW w:w="628" w:type="dxa"/>
            <w:tcBorders>
              <w:top w:val="nil"/>
              <w:left w:val="nil"/>
              <w:bottom w:val="single" w:sz="4" w:space="0" w:color="auto"/>
              <w:right w:val="single" w:sz="4" w:space="0" w:color="auto"/>
            </w:tcBorders>
            <w:shd w:val="clear" w:color="000000" w:fill="B3A2C7"/>
            <w:noWrap/>
            <w:vAlign w:val="bottom"/>
            <w:hideMark/>
          </w:tcPr>
          <w:p w14:paraId="13E8034A"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14,7</w:t>
            </w:r>
          </w:p>
        </w:tc>
        <w:tc>
          <w:tcPr>
            <w:tcW w:w="844" w:type="dxa"/>
            <w:tcBorders>
              <w:top w:val="nil"/>
              <w:left w:val="nil"/>
              <w:bottom w:val="single" w:sz="4" w:space="0" w:color="auto"/>
              <w:right w:val="single" w:sz="4" w:space="0" w:color="auto"/>
            </w:tcBorders>
            <w:shd w:val="clear" w:color="000000" w:fill="B3A2C7"/>
            <w:noWrap/>
            <w:hideMark/>
          </w:tcPr>
          <w:p w14:paraId="46D2E029"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-3,4%</w:t>
            </w:r>
          </w:p>
        </w:tc>
      </w:tr>
      <w:tr w:rsidR="00B56301" w:rsidRPr="007253FC" w14:paraId="2EFECE9D"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2D05CBDC"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Stockage des déchets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26A7F2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A9CD8E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4E39F8A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2105C7C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75CD3F2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12,2</w:t>
            </w:r>
          </w:p>
        </w:tc>
        <w:tc>
          <w:tcPr>
            <w:tcW w:w="628" w:type="dxa"/>
            <w:tcBorders>
              <w:top w:val="nil"/>
              <w:left w:val="nil"/>
              <w:bottom w:val="single" w:sz="4" w:space="0" w:color="auto"/>
              <w:right w:val="single" w:sz="4" w:space="0" w:color="auto"/>
            </w:tcBorders>
            <w:shd w:val="clear" w:color="auto" w:fill="auto"/>
            <w:noWrap/>
            <w:vAlign w:val="bottom"/>
            <w:hideMark/>
          </w:tcPr>
          <w:p w14:paraId="5DFDC28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12,4</w:t>
            </w:r>
          </w:p>
        </w:tc>
        <w:tc>
          <w:tcPr>
            <w:tcW w:w="628" w:type="dxa"/>
            <w:tcBorders>
              <w:top w:val="nil"/>
              <w:left w:val="nil"/>
              <w:bottom w:val="single" w:sz="4" w:space="0" w:color="auto"/>
              <w:right w:val="single" w:sz="4" w:space="0" w:color="auto"/>
            </w:tcBorders>
            <w:shd w:val="clear" w:color="auto" w:fill="auto"/>
            <w:noWrap/>
            <w:vAlign w:val="bottom"/>
            <w:hideMark/>
          </w:tcPr>
          <w:p w14:paraId="6B1C371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12,0</w:t>
            </w:r>
          </w:p>
        </w:tc>
        <w:tc>
          <w:tcPr>
            <w:tcW w:w="844" w:type="dxa"/>
            <w:tcBorders>
              <w:top w:val="nil"/>
              <w:left w:val="nil"/>
              <w:bottom w:val="single" w:sz="4" w:space="0" w:color="auto"/>
              <w:right w:val="single" w:sz="4" w:space="0" w:color="auto"/>
            </w:tcBorders>
            <w:shd w:val="clear" w:color="auto" w:fill="auto"/>
            <w:noWrap/>
            <w:hideMark/>
          </w:tcPr>
          <w:p w14:paraId="34795D58"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-3,3%</w:t>
            </w:r>
          </w:p>
        </w:tc>
      </w:tr>
      <w:tr w:rsidR="00B56301" w:rsidRPr="007253FC" w14:paraId="64EEBDA2"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0049281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Incinération sans récupération d'énergie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194BA8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11C4864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3B60A46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058FAF1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w:t>
            </w:r>
          </w:p>
        </w:tc>
        <w:tc>
          <w:tcPr>
            <w:tcW w:w="628" w:type="dxa"/>
            <w:tcBorders>
              <w:top w:val="nil"/>
              <w:left w:val="nil"/>
              <w:bottom w:val="single" w:sz="4" w:space="0" w:color="auto"/>
              <w:right w:val="single" w:sz="4" w:space="0" w:color="auto"/>
            </w:tcBorders>
            <w:shd w:val="clear" w:color="auto" w:fill="auto"/>
            <w:noWrap/>
            <w:vAlign w:val="bottom"/>
            <w:hideMark/>
          </w:tcPr>
          <w:p w14:paraId="743C965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536150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75BA78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844" w:type="dxa"/>
            <w:tcBorders>
              <w:top w:val="nil"/>
              <w:left w:val="nil"/>
              <w:bottom w:val="single" w:sz="4" w:space="0" w:color="auto"/>
              <w:right w:val="single" w:sz="4" w:space="0" w:color="auto"/>
            </w:tcBorders>
            <w:shd w:val="clear" w:color="auto" w:fill="auto"/>
            <w:noWrap/>
            <w:hideMark/>
          </w:tcPr>
          <w:p w14:paraId="7237E23A"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-7,2%</w:t>
            </w:r>
          </w:p>
        </w:tc>
      </w:tr>
      <w:tr w:rsidR="00B56301" w:rsidRPr="007253FC" w14:paraId="4114DE2F"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35EDE5B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traitements des déchets solides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2926C9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465D48F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3C49FE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936EA3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3AC3E1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07A240B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769A276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844" w:type="dxa"/>
            <w:tcBorders>
              <w:top w:val="nil"/>
              <w:left w:val="nil"/>
              <w:bottom w:val="single" w:sz="4" w:space="0" w:color="auto"/>
              <w:right w:val="single" w:sz="4" w:space="0" w:color="auto"/>
            </w:tcBorders>
            <w:shd w:val="clear" w:color="auto" w:fill="auto"/>
            <w:noWrap/>
            <w:hideMark/>
          </w:tcPr>
          <w:p w14:paraId="12E6F36A"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0,2%</w:t>
            </w:r>
          </w:p>
        </w:tc>
      </w:tr>
      <w:tr w:rsidR="00B56301" w:rsidRPr="007253FC" w14:paraId="28CAB24C"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89C7F2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Traitement des eaux usées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6C6B8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10B36FC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ED392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5A1C8C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4AA15F5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2BD2E0D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408BBA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844" w:type="dxa"/>
            <w:tcBorders>
              <w:top w:val="nil"/>
              <w:left w:val="nil"/>
              <w:bottom w:val="single" w:sz="4" w:space="0" w:color="auto"/>
              <w:right w:val="single" w:sz="4" w:space="0" w:color="auto"/>
            </w:tcBorders>
            <w:shd w:val="clear" w:color="auto" w:fill="auto"/>
            <w:noWrap/>
            <w:hideMark/>
          </w:tcPr>
          <w:p w14:paraId="6E14A354"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0,3%</w:t>
            </w:r>
          </w:p>
        </w:tc>
      </w:tr>
      <w:tr w:rsidR="00B56301" w:rsidRPr="007253FC" w14:paraId="0A148333" w14:textId="77777777" w:rsidTr="00B37B65">
        <w:trPr>
          <w:trHeight w:val="68"/>
          <w:jc w:val="center"/>
        </w:trPr>
        <w:tc>
          <w:tcPr>
            <w:tcW w:w="5680" w:type="dxa"/>
            <w:tcBorders>
              <w:top w:val="nil"/>
              <w:left w:val="nil"/>
              <w:bottom w:val="nil"/>
              <w:right w:val="nil"/>
            </w:tcBorders>
            <w:shd w:val="clear" w:color="000000" w:fill="E0E5B3"/>
            <w:noWrap/>
            <w:vAlign w:val="bottom"/>
            <w:hideMark/>
          </w:tcPr>
          <w:p w14:paraId="0326CCEE"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Usage des bâtiments et activités résidentiels/tertiaires</w:t>
            </w:r>
          </w:p>
        </w:tc>
        <w:tc>
          <w:tcPr>
            <w:tcW w:w="628" w:type="dxa"/>
            <w:tcBorders>
              <w:top w:val="nil"/>
              <w:left w:val="single" w:sz="4" w:space="0" w:color="auto"/>
              <w:bottom w:val="single" w:sz="4" w:space="0" w:color="auto"/>
              <w:right w:val="single" w:sz="4" w:space="0" w:color="auto"/>
            </w:tcBorders>
            <w:shd w:val="clear" w:color="000000" w:fill="E0E5B3"/>
            <w:noWrap/>
            <w:vAlign w:val="bottom"/>
            <w:hideMark/>
          </w:tcPr>
          <w:p w14:paraId="0290663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81,1</w:t>
            </w:r>
          </w:p>
        </w:tc>
        <w:tc>
          <w:tcPr>
            <w:tcW w:w="628" w:type="dxa"/>
            <w:tcBorders>
              <w:top w:val="nil"/>
              <w:left w:val="nil"/>
              <w:bottom w:val="single" w:sz="4" w:space="0" w:color="auto"/>
              <w:right w:val="single" w:sz="4" w:space="0" w:color="auto"/>
            </w:tcBorders>
            <w:shd w:val="clear" w:color="000000" w:fill="E0E5B3"/>
            <w:noWrap/>
            <w:vAlign w:val="bottom"/>
            <w:hideMark/>
          </w:tcPr>
          <w:p w14:paraId="78AEBFDF"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84,1</w:t>
            </w:r>
          </w:p>
        </w:tc>
        <w:tc>
          <w:tcPr>
            <w:tcW w:w="628" w:type="dxa"/>
            <w:tcBorders>
              <w:top w:val="nil"/>
              <w:left w:val="nil"/>
              <w:bottom w:val="single" w:sz="4" w:space="0" w:color="auto"/>
              <w:right w:val="single" w:sz="4" w:space="0" w:color="auto"/>
            </w:tcBorders>
            <w:shd w:val="clear" w:color="000000" w:fill="E0E5B3"/>
            <w:noWrap/>
            <w:vAlign w:val="bottom"/>
            <w:hideMark/>
          </w:tcPr>
          <w:p w14:paraId="6303C81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84,0</w:t>
            </w:r>
          </w:p>
        </w:tc>
        <w:tc>
          <w:tcPr>
            <w:tcW w:w="628" w:type="dxa"/>
            <w:tcBorders>
              <w:top w:val="nil"/>
              <w:left w:val="nil"/>
              <w:bottom w:val="single" w:sz="4" w:space="0" w:color="auto"/>
              <w:right w:val="single" w:sz="4" w:space="0" w:color="auto"/>
            </w:tcBorders>
            <w:shd w:val="clear" w:color="000000" w:fill="E0E5B3"/>
            <w:noWrap/>
            <w:vAlign w:val="bottom"/>
            <w:hideMark/>
          </w:tcPr>
          <w:p w14:paraId="231F025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83,4</w:t>
            </w:r>
          </w:p>
        </w:tc>
        <w:tc>
          <w:tcPr>
            <w:tcW w:w="628" w:type="dxa"/>
            <w:tcBorders>
              <w:top w:val="nil"/>
              <w:left w:val="nil"/>
              <w:bottom w:val="single" w:sz="4" w:space="0" w:color="auto"/>
              <w:right w:val="single" w:sz="4" w:space="0" w:color="auto"/>
            </w:tcBorders>
            <w:shd w:val="clear" w:color="000000" w:fill="E0E5B3"/>
            <w:noWrap/>
            <w:vAlign w:val="bottom"/>
            <w:hideMark/>
          </w:tcPr>
          <w:p w14:paraId="77A9154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78,3</w:t>
            </w:r>
          </w:p>
        </w:tc>
        <w:tc>
          <w:tcPr>
            <w:tcW w:w="628" w:type="dxa"/>
            <w:tcBorders>
              <w:top w:val="nil"/>
              <w:left w:val="nil"/>
              <w:bottom w:val="single" w:sz="4" w:space="0" w:color="auto"/>
              <w:right w:val="single" w:sz="4" w:space="0" w:color="auto"/>
            </w:tcBorders>
            <w:shd w:val="clear" w:color="000000" w:fill="E0E5B3"/>
            <w:noWrap/>
            <w:vAlign w:val="bottom"/>
            <w:hideMark/>
          </w:tcPr>
          <w:p w14:paraId="2CA2FB13"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75,4</w:t>
            </w:r>
          </w:p>
        </w:tc>
        <w:tc>
          <w:tcPr>
            <w:tcW w:w="628" w:type="dxa"/>
            <w:tcBorders>
              <w:top w:val="nil"/>
              <w:left w:val="nil"/>
              <w:bottom w:val="single" w:sz="4" w:space="0" w:color="auto"/>
              <w:right w:val="single" w:sz="4" w:space="0" w:color="auto"/>
            </w:tcBorders>
            <w:shd w:val="clear" w:color="000000" w:fill="E0E5B3"/>
            <w:noWrap/>
            <w:vAlign w:val="bottom"/>
            <w:hideMark/>
          </w:tcPr>
          <w:p w14:paraId="0386C22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71,0</w:t>
            </w:r>
          </w:p>
        </w:tc>
        <w:tc>
          <w:tcPr>
            <w:tcW w:w="844" w:type="dxa"/>
            <w:tcBorders>
              <w:top w:val="nil"/>
              <w:left w:val="nil"/>
              <w:bottom w:val="single" w:sz="4" w:space="0" w:color="auto"/>
              <w:right w:val="single" w:sz="4" w:space="0" w:color="auto"/>
            </w:tcBorders>
            <w:shd w:val="clear" w:color="000000" w:fill="E0E5B3"/>
            <w:noWrap/>
            <w:hideMark/>
          </w:tcPr>
          <w:p w14:paraId="63D1FE45"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-5,9%</w:t>
            </w:r>
          </w:p>
        </w:tc>
      </w:tr>
      <w:tr w:rsidR="00B56301" w:rsidRPr="007253FC" w14:paraId="7A8B4CFF"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000000" w:fill="FFFFFF"/>
            <w:vAlign w:val="center"/>
            <w:hideMark/>
          </w:tcPr>
          <w:p w14:paraId="4FF9DEB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résidentiels et activités domestiques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FE3071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49,4</w:t>
            </w:r>
          </w:p>
        </w:tc>
        <w:tc>
          <w:tcPr>
            <w:tcW w:w="628" w:type="dxa"/>
            <w:tcBorders>
              <w:top w:val="nil"/>
              <w:left w:val="nil"/>
              <w:bottom w:val="single" w:sz="4" w:space="0" w:color="auto"/>
              <w:right w:val="single" w:sz="4" w:space="0" w:color="auto"/>
            </w:tcBorders>
            <w:shd w:val="clear" w:color="auto" w:fill="auto"/>
            <w:noWrap/>
            <w:vAlign w:val="bottom"/>
            <w:hideMark/>
          </w:tcPr>
          <w:p w14:paraId="03942F6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51,6</w:t>
            </w:r>
          </w:p>
        </w:tc>
        <w:tc>
          <w:tcPr>
            <w:tcW w:w="628" w:type="dxa"/>
            <w:tcBorders>
              <w:top w:val="nil"/>
              <w:left w:val="nil"/>
              <w:bottom w:val="single" w:sz="4" w:space="0" w:color="auto"/>
              <w:right w:val="single" w:sz="4" w:space="0" w:color="auto"/>
            </w:tcBorders>
            <w:shd w:val="clear" w:color="auto" w:fill="auto"/>
            <w:noWrap/>
            <w:vAlign w:val="bottom"/>
            <w:hideMark/>
          </w:tcPr>
          <w:p w14:paraId="66EAB29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52,9</w:t>
            </w:r>
          </w:p>
        </w:tc>
        <w:tc>
          <w:tcPr>
            <w:tcW w:w="628" w:type="dxa"/>
            <w:tcBorders>
              <w:top w:val="nil"/>
              <w:left w:val="nil"/>
              <w:bottom w:val="single" w:sz="4" w:space="0" w:color="auto"/>
              <w:right w:val="single" w:sz="4" w:space="0" w:color="auto"/>
            </w:tcBorders>
            <w:shd w:val="clear" w:color="auto" w:fill="auto"/>
            <w:noWrap/>
            <w:vAlign w:val="bottom"/>
            <w:hideMark/>
          </w:tcPr>
          <w:p w14:paraId="54D3467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51,8</w:t>
            </w:r>
          </w:p>
        </w:tc>
        <w:tc>
          <w:tcPr>
            <w:tcW w:w="628" w:type="dxa"/>
            <w:tcBorders>
              <w:top w:val="nil"/>
              <w:left w:val="nil"/>
              <w:bottom w:val="single" w:sz="4" w:space="0" w:color="auto"/>
              <w:right w:val="single" w:sz="4" w:space="0" w:color="auto"/>
            </w:tcBorders>
            <w:shd w:val="clear" w:color="auto" w:fill="auto"/>
            <w:noWrap/>
            <w:vAlign w:val="bottom"/>
            <w:hideMark/>
          </w:tcPr>
          <w:p w14:paraId="48423E3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48,2</w:t>
            </w:r>
          </w:p>
        </w:tc>
        <w:tc>
          <w:tcPr>
            <w:tcW w:w="628" w:type="dxa"/>
            <w:tcBorders>
              <w:top w:val="nil"/>
              <w:left w:val="nil"/>
              <w:bottom w:val="single" w:sz="4" w:space="0" w:color="auto"/>
              <w:right w:val="single" w:sz="4" w:space="0" w:color="auto"/>
            </w:tcBorders>
            <w:shd w:val="clear" w:color="auto" w:fill="auto"/>
            <w:noWrap/>
            <w:vAlign w:val="bottom"/>
            <w:hideMark/>
          </w:tcPr>
          <w:p w14:paraId="305A4D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46,6</w:t>
            </w:r>
          </w:p>
        </w:tc>
        <w:tc>
          <w:tcPr>
            <w:tcW w:w="628" w:type="dxa"/>
            <w:tcBorders>
              <w:top w:val="nil"/>
              <w:left w:val="nil"/>
              <w:bottom w:val="single" w:sz="4" w:space="0" w:color="auto"/>
              <w:right w:val="single" w:sz="4" w:space="0" w:color="auto"/>
            </w:tcBorders>
            <w:shd w:val="clear" w:color="auto" w:fill="auto"/>
            <w:noWrap/>
            <w:vAlign w:val="bottom"/>
            <w:hideMark/>
          </w:tcPr>
          <w:p w14:paraId="136883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44,8</w:t>
            </w:r>
          </w:p>
        </w:tc>
        <w:tc>
          <w:tcPr>
            <w:tcW w:w="844" w:type="dxa"/>
            <w:tcBorders>
              <w:top w:val="nil"/>
              <w:left w:val="nil"/>
              <w:bottom w:val="single" w:sz="4" w:space="0" w:color="auto"/>
              <w:right w:val="single" w:sz="4" w:space="0" w:color="auto"/>
            </w:tcBorders>
            <w:shd w:val="clear" w:color="auto" w:fill="auto"/>
            <w:noWrap/>
            <w:hideMark/>
          </w:tcPr>
          <w:p w14:paraId="2B7D21ED"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-3,8%</w:t>
            </w:r>
          </w:p>
        </w:tc>
      </w:tr>
      <w:tr w:rsidR="00B56301" w:rsidRPr="007253FC" w14:paraId="56DB8FE9"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D15D2EA"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Usage des bâtiments tertiaires et activités tertiaires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594933A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31,7</w:t>
            </w:r>
          </w:p>
        </w:tc>
        <w:tc>
          <w:tcPr>
            <w:tcW w:w="628" w:type="dxa"/>
            <w:tcBorders>
              <w:top w:val="nil"/>
              <w:left w:val="nil"/>
              <w:bottom w:val="single" w:sz="4" w:space="0" w:color="auto"/>
              <w:right w:val="single" w:sz="4" w:space="0" w:color="auto"/>
            </w:tcBorders>
            <w:shd w:val="clear" w:color="auto" w:fill="auto"/>
            <w:noWrap/>
            <w:vAlign w:val="bottom"/>
            <w:hideMark/>
          </w:tcPr>
          <w:p w14:paraId="684F3C9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32,5</w:t>
            </w:r>
          </w:p>
        </w:tc>
        <w:tc>
          <w:tcPr>
            <w:tcW w:w="628" w:type="dxa"/>
            <w:tcBorders>
              <w:top w:val="nil"/>
              <w:left w:val="nil"/>
              <w:bottom w:val="single" w:sz="4" w:space="0" w:color="auto"/>
              <w:right w:val="single" w:sz="4" w:space="0" w:color="auto"/>
            </w:tcBorders>
            <w:shd w:val="clear" w:color="auto" w:fill="auto"/>
            <w:noWrap/>
            <w:vAlign w:val="bottom"/>
            <w:hideMark/>
          </w:tcPr>
          <w:p w14:paraId="42D3A2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31,2</w:t>
            </w:r>
          </w:p>
        </w:tc>
        <w:tc>
          <w:tcPr>
            <w:tcW w:w="628" w:type="dxa"/>
            <w:tcBorders>
              <w:top w:val="nil"/>
              <w:left w:val="nil"/>
              <w:bottom w:val="single" w:sz="4" w:space="0" w:color="auto"/>
              <w:right w:val="single" w:sz="4" w:space="0" w:color="auto"/>
            </w:tcBorders>
            <w:shd w:val="clear" w:color="auto" w:fill="auto"/>
            <w:noWrap/>
            <w:vAlign w:val="bottom"/>
            <w:hideMark/>
          </w:tcPr>
          <w:p w14:paraId="4BFAC89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31,6</w:t>
            </w:r>
          </w:p>
        </w:tc>
        <w:tc>
          <w:tcPr>
            <w:tcW w:w="628" w:type="dxa"/>
            <w:tcBorders>
              <w:top w:val="nil"/>
              <w:left w:val="nil"/>
              <w:bottom w:val="single" w:sz="4" w:space="0" w:color="auto"/>
              <w:right w:val="single" w:sz="4" w:space="0" w:color="auto"/>
            </w:tcBorders>
            <w:shd w:val="clear" w:color="auto" w:fill="auto"/>
            <w:noWrap/>
            <w:vAlign w:val="bottom"/>
            <w:hideMark/>
          </w:tcPr>
          <w:p w14:paraId="6EEE4CF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30,1</w:t>
            </w:r>
          </w:p>
        </w:tc>
        <w:tc>
          <w:tcPr>
            <w:tcW w:w="628" w:type="dxa"/>
            <w:tcBorders>
              <w:top w:val="nil"/>
              <w:left w:val="nil"/>
              <w:bottom w:val="single" w:sz="4" w:space="0" w:color="auto"/>
              <w:right w:val="single" w:sz="4" w:space="0" w:color="auto"/>
            </w:tcBorders>
            <w:shd w:val="clear" w:color="auto" w:fill="auto"/>
            <w:noWrap/>
            <w:vAlign w:val="bottom"/>
            <w:hideMark/>
          </w:tcPr>
          <w:p w14:paraId="470B0F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28,8</w:t>
            </w:r>
          </w:p>
        </w:tc>
        <w:tc>
          <w:tcPr>
            <w:tcW w:w="628" w:type="dxa"/>
            <w:tcBorders>
              <w:top w:val="nil"/>
              <w:left w:val="nil"/>
              <w:bottom w:val="single" w:sz="4" w:space="0" w:color="auto"/>
              <w:right w:val="single" w:sz="4" w:space="0" w:color="auto"/>
            </w:tcBorders>
            <w:shd w:val="clear" w:color="auto" w:fill="auto"/>
            <w:noWrap/>
            <w:vAlign w:val="bottom"/>
            <w:hideMark/>
          </w:tcPr>
          <w:p w14:paraId="0E5A7F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26,2</w:t>
            </w:r>
          </w:p>
        </w:tc>
        <w:tc>
          <w:tcPr>
            <w:tcW w:w="844" w:type="dxa"/>
            <w:tcBorders>
              <w:top w:val="nil"/>
              <w:left w:val="nil"/>
              <w:bottom w:val="single" w:sz="4" w:space="0" w:color="auto"/>
              <w:right w:val="single" w:sz="4" w:space="0" w:color="auto"/>
            </w:tcBorders>
            <w:shd w:val="clear" w:color="auto" w:fill="auto"/>
            <w:noWrap/>
            <w:hideMark/>
          </w:tcPr>
          <w:p w14:paraId="40CB6B2E"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-9,2%</w:t>
            </w:r>
          </w:p>
        </w:tc>
      </w:tr>
      <w:tr w:rsidR="00B56301" w:rsidRPr="007253FC" w14:paraId="6EC6C9C0" w14:textId="77777777" w:rsidTr="00B37B65">
        <w:trPr>
          <w:trHeight w:val="68"/>
          <w:jc w:val="center"/>
        </w:trPr>
        <w:tc>
          <w:tcPr>
            <w:tcW w:w="5680" w:type="dxa"/>
            <w:tcBorders>
              <w:top w:val="nil"/>
              <w:left w:val="nil"/>
              <w:bottom w:val="nil"/>
              <w:right w:val="nil"/>
            </w:tcBorders>
            <w:shd w:val="clear" w:color="000000" w:fill="92D050"/>
            <w:noWrap/>
            <w:vAlign w:val="bottom"/>
            <w:hideMark/>
          </w:tcPr>
          <w:p w14:paraId="402CD36F"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Agriculture</w:t>
            </w:r>
          </w:p>
        </w:tc>
        <w:tc>
          <w:tcPr>
            <w:tcW w:w="628" w:type="dxa"/>
            <w:tcBorders>
              <w:top w:val="nil"/>
              <w:left w:val="single" w:sz="4" w:space="0" w:color="auto"/>
              <w:bottom w:val="single" w:sz="4" w:space="0" w:color="auto"/>
              <w:right w:val="single" w:sz="4" w:space="0" w:color="auto"/>
            </w:tcBorders>
            <w:shd w:val="clear" w:color="000000" w:fill="92D050"/>
            <w:noWrap/>
            <w:vAlign w:val="bottom"/>
            <w:hideMark/>
          </w:tcPr>
          <w:p w14:paraId="12B8117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87,2</w:t>
            </w:r>
          </w:p>
        </w:tc>
        <w:tc>
          <w:tcPr>
            <w:tcW w:w="628" w:type="dxa"/>
            <w:tcBorders>
              <w:top w:val="nil"/>
              <w:left w:val="nil"/>
              <w:bottom w:val="single" w:sz="4" w:space="0" w:color="auto"/>
              <w:right w:val="single" w:sz="4" w:space="0" w:color="auto"/>
            </w:tcBorders>
            <w:shd w:val="clear" w:color="000000" w:fill="92D050"/>
            <w:noWrap/>
            <w:vAlign w:val="bottom"/>
            <w:hideMark/>
          </w:tcPr>
          <w:p w14:paraId="3A83727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86,9</w:t>
            </w:r>
          </w:p>
        </w:tc>
        <w:tc>
          <w:tcPr>
            <w:tcW w:w="628" w:type="dxa"/>
            <w:tcBorders>
              <w:top w:val="nil"/>
              <w:left w:val="nil"/>
              <w:bottom w:val="single" w:sz="4" w:space="0" w:color="auto"/>
              <w:right w:val="single" w:sz="4" w:space="0" w:color="auto"/>
            </w:tcBorders>
            <w:shd w:val="clear" w:color="000000" w:fill="92D050"/>
            <w:noWrap/>
            <w:vAlign w:val="bottom"/>
            <w:hideMark/>
          </w:tcPr>
          <w:p w14:paraId="5FCA8CA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84,9</w:t>
            </w:r>
          </w:p>
        </w:tc>
        <w:tc>
          <w:tcPr>
            <w:tcW w:w="628" w:type="dxa"/>
            <w:tcBorders>
              <w:top w:val="nil"/>
              <w:left w:val="nil"/>
              <w:bottom w:val="single" w:sz="4" w:space="0" w:color="auto"/>
              <w:right w:val="single" w:sz="4" w:space="0" w:color="auto"/>
            </w:tcBorders>
            <w:shd w:val="clear" w:color="000000" w:fill="92D050"/>
            <w:noWrap/>
            <w:vAlign w:val="bottom"/>
            <w:hideMark/>
          </w:tcPr>
          <w:p w14:paraId="7882CB9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84,9</w:t>
            </w:r>
          </w:p>
        </w:tc>
        <w:tc>
          <w:tcPr>
            <w:tcW w:w="628" w:type="dxa"/>
            <w:tcBorders>
              <w:top w:val="nil"/>
              <w:left w:val="nil"/>
              <w:bottom w:val="single" w:sz="4" w:space="0" w:color="auto"/>
              <w:right w:val="single" w:sz="4" w:space="0" w:color="auto"/>
            </w:tcBorders>
            <w:shd w:val="clear" w:color="000000" w:fill="92D050"/>
            <w:noWrap/>
            <w:vAlign w:val="bottom"/>
            <w:hideMark/>
          </w:tcPr>
          <w:p w14:paraId="4CC85EE7"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83,7</w:t>
            </w:r>
          </w:p>
        </w:tc>
        <w:tc>
          <w:tcPr>
            <w:tcW w:w="628" w:type="dxa"/>
            <w:tcBorders>
              <w:top w:val="nil"/>
              <w:left w:val="nil"/>
              <w:bottom w:val="single" w:sz="4" w:space="0" w:color="auto"/>
              <w:right w:val="single" w:sz="4" w:space="0" w:color="auto"/>
            </w:tcBorders>
            <w:shd w:val="clear" w:color="000000" w:fill="92D050"/>
            <w:noWrap/>
            <w:vAlign w:val="bottom"/>
            <w:hideMark/>
          </w:tcPr>
          <w:p w14:paraId="3DEDAD0B"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82,5</w:t>
            </w:r>
          </w:p>
        </w:tc>
        <w:tc>
          <w:tcPr>
            <w:tcW w:w="628" w:type="dxa"/>
            <w:tcBorders>
              <w:top w:val="nil"/>
              <w:left w:val="nil"/>
              <w:bottom w:val="single" w:sz="4" w:space="0" w:color="auto"/>
              <w:right w:val="single" w:sz="4" w:space="0" w:color="auto"/>
            </w:tcBorders>
            <w:shd w:val="clear" w:color="000000" w:fill="92D050"/>
            <w:noWrap/>
            <w:vAlign w:val="bottom"/>
            <w:hideMark/>
          </w:tcPr>
          <w:p w14:paraId="621452C4"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80,9</w:t>
            </w:r>
          </w:p>
        </w:tc>
        <w:tc>
          <w:tcPr>
            <w:tcW w:w="844" w:type="dxa"/>
            <w:tcBorders>
              <w:top w:val="nil"/>
              <w:left w:val="nil"/>
              <w:bottom w:val="single" w:sz="4" w:space="0" w:color="auto"/>
              <w:right w:val="single" w:sz="4" w:space="0" w:color="auto"/>
            </w:tcBorders>
            <w:shd w:val="clear" w:color="000000" w:fill="92D050"/>
            <w:noWrap/>
            <w:hideMark/>
          </w:tcPr>
          <w:p w14:paraId="40B805E4"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-1,9%</w:t>
            </w:r>
          </w:p>
        </w:tc>
      </w:tr>
      <w:tr w:rsidR="00B56301" w:rsidRPr="007253FC" w14:paraId="6302DCCB"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6C75B"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Culture</w:t>
            </w:r>
          </w:p>
        </w:tc>
        <w:tc>
          <w:tcPr>
            <w:tcW w:w="628" w:type="dxa"/>
            <w:tcBorders>
              <w:top w:val="nil"/>
              <w:left w:val="nil"/>
              <w:bottom w:val="single" w:sz="4" w:space="0" w:color="auto"/>
              <w:right w:val="single" w:sz="4" w:space="0" w:color="auto"/>
            </w:tcBorders>
            <w:shd w:val="clear" w:color="auto" w:fill="auto"/>
            <w:noWrap/>
            <w:vAlign w:val="bottom"/>
            <w:hideMark/>
          </w:tcPr>
          <w:p w14:paraId="5F8ACA9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6A8B0F9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34,0</w:t>
            </w:r>
          </w:p>
        </w:tc>
        <w:tc>
          <w:tcPr>
            <w:tcW w:w="628" w:type="dxa"/>
            <w:tcBorders>
              <w:top w:val="nil"/>
              <w:left w:val="nil"/>
              <w:bottom w:val="single" w:sz="4" w:space="0" w:color="auto"/>
              <w:right w:val="single" w:sz="4" w:space="0" w:color="auto"/>
            </w:tcBorders>
            <w:shd w:val="clear" w:color="auto" w:fill="auto"/>
            <w:noWrap/>
            <w:vAlign w:val="bottom"/>
            <w:hideMark/>
          </w:tcPr>
          <w:p w14:paraId="73E1328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33,2</w:t>
            </w:r>
          </w:p>
        </w:tc>
        <w:tc>
          <w:tcPr>
            <w:tcW w:w="628" w:type="dxa"/>
            <w:tcBorders>
              <w:top w:val="nil"/>
              <w:left w:val="nil"/>
              <w:bottom w:val="single" w:sz="4" w:space="0" w:color="auto"/>
              <w:right w:val="single" w:sz="4" w:space="0" w:color="auto"/>
            </w:tcBorders>
            <w:shd w:val="clear" w:color="auto" w:fill="auto"/>
            <w:noWrap/>
            <w:vAlign w:val="bottom"/>
            <w:hideMark/>
          </w:tcPr>
          <w:p w14:paraId="215C1A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33,9</w:t>
            </w:r>
          </w:p>
        </w:tc>
        <w:tc>
          <w:tcPr>
            <w:tcW w:w="628" w:type="dxa"/>
            <w:tcBorders>
              <w:top w:val="nil"/>
              <w:left w:val="nil"/>
              <w:bottom w:val="single" w:sz="4" w:space="0" w:color="auto"/>
              <w:right w:val="single" w:sz="4" w:space="0" w:color="auto"/>
            </w:tcBorders>
            <w:shd w:val="clear" w:color="auto" w:fill="auto"/>
            <w:noWrap/>
            <w:vAlign w:val="bottom"/>
            <w:hideMark/>
          </w:tcPr>
          <w:p w14:paraId="656D54C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33,1</w:t>
            </w:r>
          </w:p>
        </w:tc>
        <w:tc>
          <w:tcPr>
            <w:tcW w:w="628" w:type="dxa"/>
            <w:tcBorders>
              <w:top w:val="nil"/>
              <w:left w:val="nil"/>
              <w:bottom w:val="single" w:sz="4" w:space="0" w:color="auto"/>
              <w:right w:val="single" w:sz="4" w:space="0" w:color="auto"/>
            </w:tcBorders>
            <w:shd w:val="clear" w:color="auto" w:fill="auto"/>
            <w:noWrap/>
            <w:vAlign w:val="bottom"/>
            <w:hideMark/>
          </w:tcPr>
          <w:p w14:paraId="2E59559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32,7</w:t>
            </w:r>
          </w:p>
        </w:tc>
        <w:tc>
          <w:tcPr>
            <w:tcW w:w="628" w:type="dxa"/>
            <w:tcBorders>
              <w:top w:val="nil"/>
              <w:left w:val="nil"/>
              <w:bottom w:val="single" w:sz="4" w:space="0" w:color="auto"/>
              <w:right w:val="single" w:sz="4" w:space="0" w:color="auto"/>
            </w:tcBorders>
            <w:shd w:val="clear" w:color="auto" w:fill="auto"/>
            <w:noWrap/>
            <w:vAlign w:val="bottom"/>
            <w:hideMark/>
          </w:tcPr>
          <w:p w14:paraId="343473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31,1</w:t>
            </w:r>
          </w:p>
        </w:tc>
        <w:tc>
          <w:tcPr>
            <w:tcW w:w="844" w:type="dxa"/>
            <w:tcBorders>
              <w:top w:val="nil"/>
              <w:left w:val="nil"/>
              <w:bottom w:val="single" w:sz="4" w:space="0" w:color="auto"/>
              <w:right w:val="single" w:sz="4" w:space="0" w:color="auto"/>
            </w:tcBorders>
            <w:shd w:val="clear" w:color="auto" w:fill="auto"/>
            <w:noWrap/>
            <w:hideMark/>
          </w:tcPr>
          <w:p w14:paraId="5B36DE81"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-5,0%</w:t>
            </w:r>
          </w:p>
        </w:tc>
      </w:tr>
      <w:tr w:rsidR="00B56301" w:rsidRPr="007253FC" w14:paraId="744C9E40"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noWrap/>
            <w:vAlign w:val="center"/>
            <w:hideMark/>
          </w:tcPr>
          <w:p w14:paraId="7FDD4117"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Elevage</w:t>
            </w:r>
          </w:p>
        </w:tc>
        <w:tc>
          <w:tcPr>
            <w:tcW w:w="628" w:type="dxa"/>
            <w:tcBorders>
              <w:top w:val="nil"/>
              <w:left w:val="nil"/>
              <w:bottom w:val="single" w:sz="4" w:space="0" w:color="auto"/>
              <w:right w:val="single" w:sz="4" w:space="0" w:color="auto"/>
            </w:tcBorders>
            <w:shd w:val="clear" w:color="auto" w:fill="auto"/>
            <w:noWrap/>
            <w:vAlign w:val="bottom"/>
            <w:hideMark/>
          </w:tcPr>
          <w:p w14:paraId="66171E6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41,8</w:t>
            </w:r>
          </w:p>
        </w:tc>
        <w:tc>
          <w:tcPr>
            <w:tcW w:w="628" w:type="dxa"/>
            <w:tcBorders>
              <w:top w:val="nil"/>
              <w:left w:val="nil"/>
              <w:bottom w:val="single" w:sz="4" w:space="0" w:color="auto"/>
              <w:right w:val="single" w:sz="4" w:space="0" w:color="auto"/>
            </w:tcBorders>
            <w:shd w:val="clear" w:color="auto" w:fill="auto"/>
            <w:noWrap/>
            <w:vAlign w:val="bottom"/>
            <w:hideMark/>
          </w:tcPr>
          <w:p w14:paraId="1FF5D91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41,9</w:t>
            </w:r>
          </w:p>
        </w:tc>
        <w:tc>
          <w:tcPr>
            <w:tcW w:w="628" w:type="dxa"/>
            <w:tcBorders>
              <w:top w:val="nil"/>
              <w:left w:val="nil"/>
              <w:bottom w:val="single" w:sz="4" w:space="0" w:color="auto"/>
              <w:right w:val="single" w:sz="4" w:space="0" w:color="auto"/>
            </w:tcBorders>
            <w:shd w:val="clear" w:color="auto" w:fill="auto"/>
            <w:noWrap/>
            <w:vAlign w:val="bottom"/>
            <w:hideMark/>
          </w:tcPr>
          <w:p w14:paraId="35961D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41,5</w:t>
            </w:r>
          </w:p>
        </w:tc>
        <w:tc>
          <w:tcPr>
            <w:tcW w:w="628" w:type="dxa"/>
            <w:tcBorders>
              <w:top w:val="nil"/>
              <w:left w:val="nil"/>
              <w:bottom w:val="single" w:sz="4" w:space="0" w:color="auto"/>
              <w:right w:val="single" w:sz="4" w:space="0" w:color="auto"/>
            </w:tcBorders>
            <w:shd w:val="clear" w:color="auto" w:fill="auto"/>
            <w:noWrap/>
            <w:vAlign w:val="bottom"/>
            <w:hideMark/>
          </w:tcPr>
          <w:p w14:paraId="5AF1B36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41,1</w:t>
            </w:r>
          </w:p>
        </w:tc>
        <w:tc>
          <w:tcPr>
            <w:tcW w:w="628" w:type="dxa"/>
            <w:tcBorders>
              <w:top w:val="nil"/>
              <w:left w:val="nil"/>
              <w:bottom w:val="single" w:sz="4" w:space="0" w:color="auto"/>
              <w:right w:val="single" w:sz="4" w:space="0" w:color="auto"/>
            </w:tcBorders>
            <w:shd w:val="clear" w:color="auto" w:fill="auto"/>
            <w:noWrap/>
            <w:vAlign w:val="bottom"/>
            <w:hideMark/>
          </w:tcPr>
          <w:p w14:paraId="057D6EB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40,7</w:t>
            </w:r>
          </w:p>
        </w:tc>
        <w:tc>
          <w:tcPr>
            <w:tcW w:w="628" w:type="dxa"/>
            <w:tcBorders>
              <w:top w:val="nil"/>
              <w:left w:val="nil"/>
              <w:bottom w:val="single" w:sz="4" w:space="0" w:color="auto"/>
              <w:right w:val="single" w:sz="4" w:space="0" w:color="auto"/>
            </w:tcBorders>
            <w:shd w:val="clear" w:color="auto" w:fill="auto"/>
            <w:noWrap/>
            <w:vAlign w:val="bottom"/>
            <w:hideMark/>
          </w:tcPr>
          <w:p w14:paraId="380CF73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39,9</w:t>
            </w:r>
          </w:p>
        </w:tc>
        <w:tc>
          <w:tcPr>
            <w:tcW w:w="628" w:type="dxa"/>
            <w:tcBorders>
              <w:top w:val="nil"/>
              <w:left w:val="nil"/>
              <w:bottom w:val="single" w:sz="4" w:space="0" w:color="auto"/>
              <w:right w:val="single" w:sz="4" w:space="0" w:color="auto"/>
            </w:tcBorders>
            <w:shd w:val="clear" w:color="auto" w:fill="auto"/>
            <w:noWrap/>
            <w:vAlign w:val="bottom"/>
            <w:hideMark/>
          </w:tcPr>
          <w:p w14:paraId="64759E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39,4</w:t>
            </w:r>
          </w:p>
        </w:tc>
        <w:tc>
          <w:tcPr>
            <w:tcW w:w="844" w:type="dxa"/>
            <w:tcBorders>
              <w:top w:val="nil"/>
              <w:left w:val="nil"/>
              <w:bottom w:val="single" w:sz="4" w:space="0" w:color="auto"/>
              <w:right w:val="single" w:sz="4" w:space="0" w:color="auto"/>
            </w:tcBorders>
            <w:shd w:val="clear" w:color="auto" w:fill="auto"/>
            <w:noWrap/>
            <w:hideMark/>
          </w:tcPr>
          <w:p w14:paraId="0F561412"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-1,2%</w:t>
            </w:r>
          </w:p>
        </w:tc>
      </w:tr>
      <w:tr w:rsidR="00B56301" w:rsidRPr="007253FC" w14:paraId="3EFAB0E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auto" w:fill="auto"/>
            <w:vAlign w:val="center"/>
            <w:hideMark/>
          </w:tcPr>
          <w:p w14:paraId="3A5FE16E" w14:textId="77777777" w:rsidR="00B56301" w:rsidRPr="007253FC" w:rsidRDefault="00B56301" w:rsidP="00B37B65">
            <w:pPr>
              <w:jc w:val="left"/>
              <w:rPr>
                <w:rFonts w:ascii="Trebuchet MS" w:hAnsi="Trebuchet MS" w:cs="Arial"/>
                <w:sz w:val="16"/>
                <w:szCs w:val="18"/>
              </w:rPr>
            </w:pPr>
            <w:r w:rsidRPr="007253FC">
              <w:rPr>
                <w:rFonts w:ascii="Trebuchet MS" w:hAnsi="Trebuchet MS" w:cs="Arial"/>
                <w:sz w:val="16"/>
                <w:szCs w:val="18"/>
              </w:rPr>
              <w:t>Engins, moteurs et chaudières en agriculture/sylviculture</w:t>
            </w:r>
          </w:p>
        </w:tc>
        <w:tc>
          <w:tcPr>
            <w:tcW w:w="628" w:type="dxa"/>
            <w:tcBorders>
              <w:top w:val="nil"/>
              <w:left w:val="nil"/>
              <w:bottom w:val="single" w:sz="4" w:space="0" w:color="auto"/>
              <w:right w:val="single" w:sz="4" w:space="0" w:color="auto"/>
            </w:tcBorders>
            <w:shd w:val="clear" w:color="auto" w:fill="auto"/>
            <w:noWrap/>
            <w:vAlign w:val="center"/>
            <w:hideMark/>
          </w:tcPr>
          <w:p w14:paraId="0B580D4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11,1</w:t>
            </w:r>
          </w:p>
        </w:tc>
        <w:tc>
          <w:tcPr>
            <w:tcW w:w="628" w:type="dxa"/>
            <w:tcBorders>
              <w:top w:val="nil"/>
              <w:left w:val="nil"/>
              <w:bottom w:val="single" w:sz="4" w:space="0" w:color="auto"/>
              <w:right w:val="single" w:sz="4" w:space="0" w:color="auto"/>
            </w:tcBorders>
            <w:shd w:val="clear" w:color="auto" w:fill="auto"/>
            <w:noWrap/>
            <w:vAlign w:val="center"/>
            <w:hideMark/>
          </w:tcPr>
          <w:p w14:paraId="4C015DB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11,0</w:t>
            </w:r>
          </w:p>
        </w:tc>
        <w:tc>
          <w:tcPr>
            <w:tcW w:w="628" w:type="dxa"/>
            <w:tcBorders>
              <w:top w:val="nil"/>
              <w:left w:val="nil"/>
              <w:bottom w:val="single" w:sz="4" w:space="0" w:color="auto"/>
              <w:right w:val="single" w:sz="4" w:space="0" w:color="auto"/>
            </w:tcBorders>
            <w:shd w:val="clear" w:color="auto" w:fill="auto"/>
            <w:noWrap/>
            <w:vAlign w:val="center"/>
            <w:hideMark/>
          </w:tcPr>
          <w:p w14:paraId="6B750CE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10,3</w:t>
            </w:r>
          </w:p>
        </w:tc>
        <w:tc>
          <w:tcPr>
            <w:tcW w:w="628" w:type="dxa"/>
            <w:tcBorders>
              <w:top w:val="nil"/>
              <w:left w:val="nil"/>
              <w:bottom w:val="single" w:sz="4" w:space="0" w:color="auto"/>
              <w:right w:val="single" w:sz="4" w:space="0" w:color="auto"/>
            </w:tcBorders>
            <w:shd w:val="clear" w:color="auto" w:fill="auto"/>
            <w:noWrap/>
            <w:vAlign w:val="center"/>
            <w:hideMark/>
          </w:tcPr>
          <w:p w14:paraId="047D92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606DE1E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9,9</w:t>
            </w:r>
          </w:p>
        </w:tc>
        <w:tc>
          <w:tcPr>
            <w:tcW w:w="628" w:type="dxa"/>
            <w:tcBorders>
              <w:top w:val="nil"/>
              <w:left w:val="nil"/>
              <w:bottom w:val="single" w:sz="4" w:space="0" w:color="auto"/>
              <w:right w:val="single" w:sz="4" w:space="0" w:color="auto"/>
            </w:tcBorders>
            <w:shd w:val="clear" w:color="auto" w:fill="auto"/>
            <w:noWrap/>
            <w:vAlign w:val="center"/>
            <w:hideMark/>
          </w:tcPr>
          <w:p w14:paraId="7280517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9,8</w:t>
            </w:r>
          </w:p>
        </w:tc>
        <w:tc>
          <w:tcPr>
            <w:tcW w:w="628" w:type="dxa"/>
            <w:tcBorders>
              <w:top w:val="nil"/>
              <w:left w:val="nil"/>
              <w:bottom w:val="single" w:sz="4" w:space="0" w:color="auto"/>
              <w:right w:val="single" w:sz="4" w:space="0" w:color="auto"/>
            </w:tcBorders>
            <w:shd w:val="clear" w:color="auto" w:fill="auto"/>
            <w:noWrap/>
            <w:vAlign w:val="center"/>
            <w:hideMark/>
          </w:tcPr>
          <w:p w14:paraId="3FC1B69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10,3</w:t>
            </w:r>
          </w:p>
        </w:tc>
        <w:tc>
          <w:tcPr>
            <w:tcW w:w="844" w:type="dxa"/>
            <w:tcBorders>
              <w:top w:val="nil"/>
              <w:left w:val="nil"/>
              <w:bottom w:val="single" w:sz="4" w:space="0" w:color="auto"/>
              <w:right w:val="single" w:sz="4" w:space="0" w:color="auto"/>
            </w:tcBorders>
            <w:shd w:val="clear" w:color="auto" w:fill="auto"/>
            <w:noWrap/>
            <w:hideMark/>
          </w:tcPr>
          <w:p w14:paraId="05879F66"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5,5%</w:t>
            </w:r>
          </w:p>
        </w:tc>
      </w:tr>
      <w:tr w:rsidR="00B56301" w:rsidRPr="007253FC" w14:paraId="4501E593" w14:textId="77777777" w:rsidTr="00B37B65">
        <w:trPr>
          <w:trHeight w:val="68"/>
          <w:jc w:val="center"/>
        </w:trPr>
        <w:tc>
          <w:tcPr>
            <w:tcW w:w="5680" w:type="dxa"/>
            <w:tcBorders>
              <w:top w:val="nil"/>
              <w:left w:val="nil"/>
              <w:bottom w:val="nil"/>
              <w:right w:val="nil"/>
            </w:tcBorders>
            <w:shd w:val="clear" w:color="000000" w:fill="7030A0"/>
            <w:noWrap/>
            <w:vAlign w:val="bottom"/>
            <w:hideMark/>
          </w:tcPr>
          <w:p w14:paraId="32620F4C"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Transport</w:t>
            </w:r>
          </w:p>
        </w:tc>
        <w:tc>
          <w:tcPr>
            <w:tcW w:w="628" w:type="dxa"/>
            <w:tcBorders>
              <w:top w:val="nil"/>
              <w:left w:val="single" w:sz="4" w:space="0" w:color="auto"/>
              <w:bottom w:val="single" w:sz="4" w:space="0" w:color="auto"/>
              <w:right w:val="single" w:sz="4" w:space="0" w:color="auto"/>
            </w:tcBorders>
            <w:shd w:val="clear" w:color="000000" w:fill="7030A0"/>
            <w:noWrap/>
            <w:vAlign w:val="bottom"/>
            <w:hideMark/>
          </w:tcPr>
          <w:p w14:paraId="76F1ADF9"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136,8</w:t>
            </w:r>
          </w:p>
        </w:tc>
        <w:tc>
          <w:tcPr>
            <w:tcW w:w="628" w:type="dxa"/>
            <w:tcBorders>
              <w:top w:val="nil"/>
              <w:left w:val="nil"/>
              <w:bottom w:val="single" w:sz="4" w:space="0" w:color="auto"/>
              <w:right w:val="single" w:sz="4" w:space="0" w:color="auto"/>
            </w:tcBorders>
            <w:shd w:val="clear" w:color="000000" w:fill="7030A0"/>
            <w:noWrap/>
            <w:vAlign w:val="bottom"/>
            <w:hideMark/>
          </w:tcPr>
          <w:p w14:paraId="30AC21B8"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138,2</w:t>
            </w:r>
          </w:p>
        </w:tc>
        <w:tc>
          <w:tcPr>
            <w:tcW w:w="628" w:type="dxa"/>
            <w:tcBorders>
              <w:top w:val="nil"/>
              <w:left w:val="nil"/>
              <w:bottom w:val="single" w:sz="4" w:space="0" w:color="auto"/>
              <w:right w:val="single" w:sz="4" w:space="0" w:color="auto"/>
            </w:tcBorders>
            <w:shd w:val="clear" w:color="000000" w:fill="7030A0"/>
            <w:noWrap/>
            <w:vAlign w:val="bottom"/>
            <w:hideMark/>
          </w:tcPr>
          <w:p w14:paraId="569657D9"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138,3</w:t>
            </w:r>
          </w:p>
        </w:tc>
        <w:tc>
          <w:tcPr>
            <w:tcW w:w="628" w:type="dxa"/>
            <w:tcBorders>
              <w:top w:val="nil"/>
              <w:left w:val="nil"/>
              <w:bottom w:val="single" w:sz="4" w:space="0" w:color="auto"/>
              <w:right w:val="single" w:sz="4" w:space="0" w:color="auto"/>
            </w:tcBorders>
            <w:shd w:val="clear" w:color="000000" w:fill="7030A0"/>
            <w:noWrap/>
            <w:vAlign w:val="bottom"/>
            <w:hideMark/>
          </w:tcPr>
          <w:p w14:paraId="60B50F06"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138,7</w:t>
            </w:r>
          </w:p>
        </w:tc>
        <w:tc>
          <w:tcPr>
            <w:tcW w:w="628" w:type="dxa"/>
            <w:tcBorders>
              <w:top w:val="nil"/>
              <w:left w:val="nil"/>
              <w:bottom w:val="single" w:sz="4" w:space="0" w:color="auto"/>
              <w:right w:val="single" w:sz="4" w:space="0" w:color="auto"/>
            </w:tcBorders>
            <w:shd w:val="clear" w:color="000000" w:fill="7030A0"/>
            <w:noWrap/>
            <w:vAlign w:val="bottom"/>
            <w:hideMark/>
          </w:tcPr>
          <w:p w14:paraId="1D0E484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135,7</w:t>
            </w:r>
          </w:p>
        </w:tc>
        <w:tc>
          <w:tcPr>
            <w:tcW w:w="628" w:type="dxa"/>
            <w:tcBorders>
              <w:top w:val="nil"/>
              <w:left w:val="nil"/>
              <w:bottom w:val="single" w:sz="4" w:space="0" w:color="auto"/>
              <w:right w:val="single" w:sz="4" w:space="0" w:color="auto"/>
            </w:tcBorders>
            <w:shd w:val="clear" w:color="000000" w:fill="7030A0"/>
            <w:noWrap/>
            <w:vAlign w:val="bottom"/>
            <w:hideMark/>
          </w:tcPr>
          <w:p w14:paraId="47F873C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135,4</w:t>
            </w:r>
          </w:p>
        </w:tc>
        <w:tc>
          <w:tcPr>
            <w:tcW w:w="628" w:type="dxa"/>
            <w:tcBorders>
              <w:top w:val="nil"/>
              <w:left w:val="nil"/>
              <w:bottom w:val="single" w:sz="4" w:space="0" w:color="auto"/>
              <w:right w:val="single" w:sz="4" w:space="0" w:color="auto"/>
            </w:tcBorders>
            <w:shd w:val="clear" w:color="000000" w:fill="7030A0"/>
            <w:noWrap/>
            <w:vAlign w:val="bottom"/>
            <w:hideMark/>
          </w:tcPr>
          <w:p w14:paraId="217DC5C0"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113,1</w:t>
            </w:r>
          </w:p>
        </w:tc>
        <w:tc>
          <w:tcPr>
            <w:tcW w:w="844" w:type="dxa"/>
            <w:tcBorders>
              <w:top w:val="nil"/>
              <w:left w:val="nil"/>
              <w:bottom w:val="single" w:sz="4" w:space="0" w:color="auto"/>
              <w:right w:val="single" w:sz="4" w:space="0" w:color="auto"/>
            </w:tcBorders>
            <w:shd w:val="clear" w:color="000000" w:fill="7030A0"/>
            <w:noWrap/>
            <w:hideMark/>
          </w:tcPr>
          <w:p w14:paraId="71181C48"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sz w:val="16"/>
                <w:szCs w:val="16"/>
              </w:rPr>
              <w:t>-16,5%</w:t>
            </w:r>
          </w:p>
        </w:tc>
      </w:tr>
      <w:tr w:rsidR="00B56301" w:rsidRPr="007253FC" w14:paraId="6D3E5968" w14:textId="77777777" w:rsidTr="00B37B65">
        <w:trPr>
          <w:trHeight w:val="68"/>
          <w:jc w:val="center"/>
        </w:trPr>
        <w:tc>
          <w:tcPr>
            <w:tcW w:w="5680" w:type="dxa"/>
            <w:tcBorders>
              <w:top w:val="single" w:sz="4" w:space="0" w:color="auto"/>
              <w:left w:val="single" w:sz="4" w:space="0" w:color="auto"/>
              <w:bottom w:val="single" w:sz="4" w:space="0" w:color="auto"/>
              <w:right w:val="nil"/>
            </w:tcBorders>
            <w:shd w:val="clear" w:color="auto" w:fill="auto"/>
            <w:noWrap/>
            <w:vAlign w:val="bottom"/>
            <w:hideMark/>
          </w:tcPr>
          <w:p w14:paraId="74D1162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VP</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44B1F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74,9</w:t>
            </w:r>
          </w:p>
        </w:tc>
        <w:tc>
          <w:tcPr>
            <w:tcW w:w="628" w:type="dxa"/>
            <w:tcBorders>
              <w:top w:val="nil"/>
              <w:left w:val="nil"/>
              <w:bottom w:val="single" w:sz="4" w:space="0" w:color="auto"/>
              <w:right w:val="single" w:sz="4" w:space="0" w:color="auto"/>
            </w:tcBorders>
            <w:shd w:val="clear" w:color="auto" w:fill="auto"/>
            <w:noWrap/>
            <w:vAlign w:val="bottom"/>
            <w:hideMark/>
          </w:tcPr>
          <w:p w14:paraId="2103280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75,2</w:t>
            </w:r>
          </w:p>
        </w:tc>
        <w:tc>
          <w:tcPr>
            <w:tcW w:w="628" w:type="dxa"/>
            <w:tcBorders>
              <w:top w:val="nil"/>
              <w:left w:val="nil"/>
              <w:bottom w:val="single" w:sz="4" w:space="0" w:color="auto"/>
              <w:right w:val="single" w:sz="4" w:space="0" w:color="auto"/>
            </w:tcBorders>
            <w:shd w:val="clear" w:color="auto" w:fill="auto"/>
            <w:noWrap/>
            <w:vAlign w:val="bottom"/>
            <w:hideMark/>
          </w:tcPr>
          <w:p w14:paraId="1123111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75,8</w:t>
            </w:r>
          </w:p>
        </w:tc>
        <w:tc>
          <w:tcPr>
            <w:tcW w:w="628" w:type="dxa"/>
            <w:tcBorders>
              <w:top w:val="nil"/>
              <w:left w:val="nil"/>
              <w:bottom w:val="single" w:sz="4" w:space="0" w:color="auto"/>
              <w:right w:val="single" w:sz="4" w:space="0" w:color="auto"/>
            </w:tcBorders>
            <w:shd w:val="clear" w:color="auto" w:fill="auto"/>
            <w:noWrap/>
            <w:vAlign w:val="bottom"/>
            <w:hideMark/>
          </w:tcPr>
          <w:p w14:paraId="0953B84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74,6</w:t>
            </w:r>
          </w:p>
        </w:tc>
        <w:tc>
          <w:tcPr>
            <w:tcW w:w="628" w:type="dxa"/>
            <w:tcBorders>
              <w:top w:val="nil"/>
              <w:left w:val="nil"/>
              <w:bottom w:val="single" w:sz="4" w:space="0" w:color="auto"/>
              <w:right w:val="single" w:sz="4" w:space="0" w:color="auto"/>
            </w:tcBorders>
            <w:shd w:val="clear" w:color="auto" w:fill="auto"/>
            <w:noWrap/>
            <w:vAlign w:val="bottom"/>
            <w:hideMark/>
          </w:tcPr>
          <w:p w14:paraId="6BD197F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72,5</w:t>
            </w:r>
          </w:p>
        </w:tc>
        <w:tc>
          <w:tcPr>
            <w:tcW w:w="628" w:type="dxa"/>
            <w:tcBorders>
              <w:top w:val="nil"/>
              <w:left w:val="nil"/>
              <w:bottom w:val="single" w:sz="4" w:space="0" w:color="auto"/>
              <w:right w:val="single" w:sz="4" w:space="0" w:color="auto"/>
            </w:tcBorders>
            <w:shd w:val="clear" w:color="auto" w:fill="auto"/>
            <w:noWrap/>
            <w:vAlign w:val="bottom"/>
            <w:hideMark/>
          </w:tcPr>
          <w:p w14:paraId="62BEE71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72,6</w:t>
            </w:r>
          </w:p>
        </w:tc>
        <w:tc>
          <w:tcPr>
            <w:tcW w:w="628" w:type="dxa"/>
            <w:tcBorders>
              <w:top w:val="nil"/>
              <w:left w:val="nil"/>
              <w:bottom w:val="single" w:sz="4" w:space="0" w:color="auto"/>
              <w:right w:val="single" w:sz="4" w:space="0" w:color="auto"/>
            </w:tcBorders>
            <w:shd w:val="clear" w:color="auto" w:fill="auto"/>
            <w:noWrap/>
            <w:vAlign w:val="bottom"/>
            <w:hideMark/>
          </w:tcPr>
          <w:p w14:paraId="50B374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58,7</w:t>
            </w:r>
          </w:p>
        </w:tc>
        <w:tc>
          <w:tcPr>
            <w:tcW w:w="844" w:type="dxa"/>
            <w:tcBorders>
              <w:top w:val="nil"/>
              <w:left w:val="nil"/>
              <w:bottom w:val="single" w:sz="4" w:space="0" w:color="auto"/>
              <w:right w:val="single" w:sz="4" w:space="0" w:color="auto"/>
            </w:tcBorders>
            <w:shd w:val="clear" w:color="auto" w:fill="auto"/>
            <w:noWrap/>
            <w:hideMark/>
          </w:tcPr>
          <w:p w14:paraId="0F849B16"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-19,1%</w:t>
            </w:r>
          </w:p>
        </w:tc>
      </w:tr>
      <w:tr w:rsidR="00B56301" w:rsidRPr="007253FC" w14:paraId="0A3624F5"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0BF8D06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VUL</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35F252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20,0</w:t>
            </w:r>
          </w:p>
        </w:tc>
        <w:tc>
          <w:tcPr>
            <w:tcW w:w="628" w:type="dxa"/>
            <w:tcBorders>
              <w:top w:val="nil"/>
              <w:left w:val="nil"/>
              <w:bottom w:val="single" w:sz="4" w:space="0" w:color="auto"/>
              <w:right w:val="single" w:sz="4" w:space="0" w:color="auto"/>
            </w:tcBorders>
            <w:shd w:val="clear" w:color="auto" w:fill="auto"/>
            <w:noWrap/>
            <w:vAlign w:val="bottom"/>
            <w:hideMark/>
          </w:tcPr>
          <w:p w14:paraId="5420418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20,5</w:t>
            </w:r>
          </w:p>
        </w:tc>
        <w:tc>
          <w:tcPr>
            <w:tcW w:w="628" w:type="dxa"/>
            <w:tcBorders>
              <w:top w:val="nil"/>
              <w:left w:val="nil"/>
              <w:bottom w:val="single" w:sz="4" w:space="0" w:color="auto"/>
              <w:right w:val="single" w:sz="4" w:space="0" w:color="auto"/>
            </w:tcBorders>
            <w:shd w:val="clear" w:color="auto" w:fill="auto"/>
            <w:noWrap/>
            <w:vAlign w:val="bottom"/>
            <w:hideMark/>
          </w:tcPr>
          <w:p w14:paraId="747F7A8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20,1</w:t>
            </w:r>
          </w:p>
        </w:tc>
        <w:tc>
          <w:tcPr>
            <w:tcW w:w="628" w:type="dxa"/>
            <w:tcBorders>
              <w:top w:val="nil"/>
              <w:left w:val="nil"/>
              <w:bottom w:val="single" w:sz="4" w:space="0" w:color="auto"/>
              <w:right w:val="single" w:sz="4" w:space="0" w:color="auto"/>
            </w:tcBorders>
            <w:shd w:val="clear" w:color="auto" w:fill="auto"/>
            <w:noWrap/>
            <w:vAlign w:val="bottom"/>
            <w:hideMark/>
          </w:tcPr>
          <w:p w14:paraId="598CE27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20,4</w:t>
            </w:r>
          </w:p>
        </w:tc>
        <w:tc>
          <w:tcPr>
            <w:tcW w:w="628" w:type="dxa"/>
            <w:tcBorders>
              <w:top w:val="nil"/>
              <w:left w:val="nil"/>
              <w:bottom w:val="single" w:sz="4" w:space="0" w:color="auto"/>
              <w:right w:val="single" w:sz="4" w:space="0" w:color="auto"/>
            </w:tcBorders>
            <w:shd w:val="clear" w:color="auto" w:fill="auto"/>
            <w:noWrap/>
            <w:vAlign w:val="bottom"/>
            <w:hideMark/>
          </w:tcPr>
          <w:p w14:paraId="0CD7C88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19,9</w:t>
            </w:r>
          </w:p>
        </w:tc>
        <w:tc>
          <w:tcPr>
            <w:tcW w:w="628" w:type="dxa"/>
            <w:tcBorders>
              <w:top w:val="nil"/>
              <w:left w:val="nil"/>
              <w:bottom w:val="single" w:sz="4" w:space="0" w:color="auto"/>
              <w:right w:val="single" w:sz="4" w:space="0" w:color="auto"/>
            </w:tcBorders>
            <w:shd w:val="clear" w:color="auto" w:fill="auto"/>
            <w:noWrap/>
            <w:vAlign w:val="bottom"/>
            <w:hideMark/>
          </w:tcPr>
          <w:p w14:paraId="4D3444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19,8</w:t>
            </w:r>
          </w:p>
        </w:tc>
        <w:tc>
          <w:tcPr>
            <w:tcW w:w="628" w:type="dxa"/>
            <w:tcBorders>
              <w:top w:val="nil"/>
              <w:left w:val="nil"/>
              <w:bottom w:val="single" w:sz="4" w:space="0" w:color="auto"/>
              <w:right w:val="single" w:sz="4" w:space="0" w:color="auto"/>
            </w:tcBorders>
            <w:shd w:val="clear" w:color="auto" w:fill="auto"/>
            <w:noWrap/>
            <w:vAlign w:val="bottom"/>
            <w:hideMark/>
          </w:tcPr>
          <w:p w14:paraId="69226C6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16,6</w:t>
            </w:r>
          </w:p>
        </w:tc>
        <w:tc>
          <w:tcPr>
            <w:tcW w:w="844" w:type="dxa"/>
            <w:tcBorders>
              <w:top w:val="nil"/>
              <w:left w:val="nil"/>
              <w:bottom w:val="single" w:sz="4" w:space="0" w:color="auto"/>
              <w:right w:val="single" w:sz="4" w:space="0" w:color="auto"/>
            </w:tcBorders>
            <w:shd w:val="clear" w:color="auto" w:fill="auto"/>
            <w:noWrap/>
            <w:hideMark/>
          </w:tcPr>
          <w:p w14:paraId="68A482AD"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-16,4%</w:t>
            </w:r>
          </w:p>
        </w:tc>
      </w:tr>
      <w:tr w:rsidR="00B56301" w:rsidRPr="007253FC" w14:paraId="6375E66E"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5A347304" w14:textId="77777777" w:rsidR="00B56301" w:rsidRPr="007253FC" w:rsidRDefault="00B56301" w:rsidP="00B37B65">
            <w:pPr>
              <w:jc w:val="left"/>
              <w:rPr>
                <w:rFonts w:ascii="Trebuchet MS" w:hAnsi="Trebuchet MS" w:cs="Arial"/>
                <w:sz w:val="16"/>
                <w:szCs w:val="16"/>
                <w:lang w:val="en-GB"/>
              </w:rPr>
            </w:pPr>
            <w:r w:rsidRPr="007253FC">
              <w:rPr>
                <w:rFonts w:ascii="Trebuchet MS" w:hAnsi="Trebuchet MS" w:cs="Arial"/>
                <w:sz w:val="16"/>
                <w:szCs w:val="16"/>
                <w:lang w:val="en-GB"/>
              </w:rPr>
              <w:t>PL (y.c. bus et cars)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2D3A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33,0</w:t>
            </w:r>
          </w:p>
        </w:tc>
        <w:tc>
          <w:tcPr>
            <w:tcW w:w="628" w:type="dxa"/>
            <w:tcBorders>
              <w:top w:val="nil"/>
              <w:left w:val="nil"/>
              <w:bottom w:val="single" w:sz="4" w:space="0" w:color="auto"/>
              <w:right w:val="single" w:sz="4" w:space="0" w:color="auto"/>
            </w:tcBorders>
            <w:shd w:val="clear" w:color="auto" w:fill="auto"/>
            <w:noWrap/>
            <w:vAlign w:val="bottom"/>
            <w:hideMark/>
          </w:tcPr>
          <w:p w14:paraId="471C612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26C8DC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2D256A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34,3</w:t>
            </w:r>
          </w:p>
        </w:tc>
        <w:tc>
          <w:tcPr>
            <w:tcW w:w="628" w:type="dxa"/>
            <w:tcBorders>
              <w:top w:val="nil"/>
              <w:left w:val="nil"/>
              <w:bottom w:val="single" w:sz="4" w:space="0" w:color="auto"/>
              <w:right w:val="single" w:sz="4" w:space="0" w:color="auto"/>
            </w:tcBorders>
            <w:shd w:val="clear" w:color="auto" w:fill="auto"/>
            <w:noWrap/>
            <w:vAlign w:val="bottom"/>
            <w:hideMark/>
          </w:tcPr>
          <w:p w14:paraId="5A53643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33,8</w:t>
            </w:r>
          </w:p>
        </w:tc>
        <w:tc>
          <w:tcPr>
            <w:tcW w:w="628" w:type="dxa"/>
            <w:tcBorders>
              <w:top w:val="nil"/>
              <w:left w:val="nil"/>
              <w:bottom w:val="single" w:sz="4" w:space="0" w:color="auto"/>
              <w:right w:val="single" w:sz="4" w:space="0" w:color="auto"/>
            </w:tcBorders>
            <w:shd w:val="clear" w:color="auto" w:fill="auto"/>
            <w:noWrap/>
            <w:vAlign w:val="bottom"/>
            <w:hideMark/>
          </w:tcPr>
          <w:p w14:paraId="4C377A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33,5</w:t>
            </w:r>
          </w:p>
        </w:tc>
        <w:tc>
          <w:tcPr>
            <w:tcW w:w="628" w:type="dxa"/>
            <w:tcBorders>
              <w:top w:val="nil"/>
              <w:left w:val="nil"/>
              <w:bottom w:val="single" w:sz="4" w:space="0" w:color="auto"/>
              <w:right w:val="single" w:sz="4" w:space="0" w:color="auto"/>
            </w:tcBorders>
            <w:shd w:val="clear" w:color="auto" w:fill="auto"/>
            <w:noWrap/>
            <w:vAlign w:val="bottom"/>
            <w:hideMark/>
          </w:tcPr>
          <w:p w14:paraId="076840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30,4</w:t>
            </w:r>
          </w:p>
        </w:tc>
        <w:tc>
          <w:tcPr>
            <w:tcW w:w="844" w:type="dxa"/>
            <w:tcBorders>
              <w:top w:val="nil"/>
              <w:left w:val="nil"/>
              <w:bottom w:val="single" w:sz="4" w:space="0" w:color="auto"/>
              <w:right w:val="single" w:sz="4" w:space="0" w:color="auto"/>
            </w:tcBorders>
            <w:shd w:val="clear" w:color="auto" w:fill="auto"/>
            <w:noWrap/>
            <w:hideMark/>
          </w:tcPr>
          <w:p w14:paraId="45763902"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-9,1%</w:t>
            </w:r>
          </w:p>
        </w:tc>
      </w:tr>
      <w:tr w:rsidR="00B56301" w:rsidRPr="007253FC" w14:paraId="2ED8D017" w14:textId="77777777" w:rsidTr="00B37B65">
        <w:trPr>
          <w:trHeight w:val="68"/>
          <w:jc w:val="center"/>
        </w:trPr>
        <w:tc>
          <w:tcPr>
            <w:tcW w:w="5680" w:type="dxa"/>
            <w:tcBorders>
              <w:top w:val="nil"/>
              <w:left w:val="single" w:sz="4" w:space="0" w:color="auto"/>
              <w:bottom w:val="single" w:sz="4" w:space="0" w:color="auto"/>
              <w:right w:val="nil"/>
            </w:tcBorders>
            <w:shd w:val="clear" w:color="auto" w:fill="auto"/>
            <w:noWrap/>
            <w:vAlign w:val="bottom"/>
            <w:hideMark/>
          </w:tcPr>
          <w:p w14:paraId="3D15E899"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Deux roues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0C88F8D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DC03AD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529DE39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0E309BA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79D11FC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66BDE12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w:t>
            </w:r>
          </w:p>
        </w:tc>
        <w:tc>
          <w:tcPr>
            <w:tcW w:w="628" w:type="dxa"/>
            <w:tcBorders>
              <w:top w:val="nil"/>
              <w:left w:val="nil"/>
              <w:bottom w:val="single" w:sz="4" w:space="0" w:color="auto"/>
              <w:right w:val="single" w:sz="4" w:space="0" w:color="auto"/>
            </w:tcBorders>
            <w:shd w:val="clear" w:color="auto" w:fill="auto"/>
            <w:noWrap/>
            <w:vAlign w:val="bottom"/>
            <w:hideMark/>
          </w:tcPr>
          <w:p w14:paraId="1D735B6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844" w:type="dxa"/>
            <w:tcBorders>
              <w:top w:val="nil"/>
              <w:left w:val="nil"/>
              <w:bottom w:val="single" w:sz="4" w:space="0" w:color="auto"/>
              <w:right w:val="single" w:sz="4" w:space="0" w:color="auto"/>
            </w:tcBorders>
            <w:shd w:val="clear" w:color="auto" w:fill="auto"/>
            <w:noWrap/>
            <w:hideMark/>
          </w:tcPr>
          <w:p w14:paraId="6D855348"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-15,0%</w:t>
            </w:r>
          </w:p>
        </w:tc>
      </w:tr>
      <w:tr w:rsidR="00B56301" w:rsidRPr="007253FC" w14:paraId="40BEABBA"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EB3E197"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ferroviaire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65E232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1B922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2664272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6B3FC41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852589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5A1C346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628" w:type="dxa"/>
            <w:tcBorders>
              <w:top w:val="nil"/>
              <w:left w:val="nil"/>
              <w:bottom w:val="single" w:sz="4" w:space="0" w:color="auto"/>
              <w:right w:val="single" w:sz="4" w:space="0" w:color="auto"/>
            </w:tcBorders>
            <w:shd w:val="clear" w:color="auto" w:fill="auto"/>
            <w:noWrap/>
            <w:vAlign w:val="bottom"/>
            <w:hideMark/>
          </w:tcPr>
          <w:p w14:paraId="07130DB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0,4</w:t>
            </w:r>
          </w:p>
        </w:tc>
        <w:tc>
          <w:tcPr>
            <w:tcW w:w="844" w:type="dxa"/>
            <w:tcBorders>
              <w:top w:val="nil"/>
              <w:left w:val="nil"/>
              <w:bottom w:val="single" w:sz="4" w:space="0" w:color="auto"/>
              <w:right w:val="single" w:sz="4" w:space="0" w:color="auto"/>
            </w:tcBorders>
            <w:shd w:val="clear" w:color="auto" w:fill="auto"/>
            <w:noWrap/>
            <w:hideMark/>
          </w:tcPr>
          <w:p w14:paraId="0101E519"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-14,8%</w:t>
            </w:r>
          </w:p>
        </w:tc>
      </w:tr>
      <w:tr w:rsidR="00B56301" w:rsidRPr="007253FC" w14:paraId="10AC898C"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DCEC886"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fluvial de marchandises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30EFAC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75C117C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BBA3BC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02953A4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31E8C97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4A85019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628" w:type="dxa"/>
            <w:tcBorders>
              <w:top w:val="nil"/>
              <w:left w:val="nil"/>
              <w:bottom w:val="single" w:sz="4" w:space="0" w:color="auto"/>
              <w:right w:val="single" w:sz="4" w:space="0" w:color="auto"/>
            </w:tcBorders>
            <w:shd w:val="clear" w:color="auto" w:fill="auto"/>
            <w:noWrap/>
            <w:vAlign w:val="bottom"/>
            <w:hideMark/>
          </w:tcPr>
          <w:p w14:paraId="6B9AF34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0,1</w:t>
            </w:r>
          </w:p>
        </w:tc>
        <w:tc>
          <w:tcPr>
            <w:tcW w:w="844" w:type="dxa"/>
            <w:tcBorders>
              <w:top w:val="nil"/>
              <w:left w:val="nil"/>
              <w:bottom w:val="single" w:sz="4" w:space="0" w:color="auto"/>
              <w:right w:val="single" w:sz="4" w:space="0" w:color="auto"/>
            </w:tcBorders>
            <w:shd w:val="clear" w:color="auto" w:fill="auto"/>
            <w:noWrap/>
            <w:hideMark/>
          </w:tcPr>
          <w:p w14:paraId="327369BF"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7,6%</w:t>
            </w:r>
          </w:p>
        </w:tc>
      </w:tr>
      <w:tr w:rsidR="00B56301" w:rsidRPr="007253FC" w14:paraId="32B828CD"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46258C7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maritime domestique</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2989709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18B12AC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5FC2A03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w:t>
            </w:r>
          </w:p>
        </w:tc>
        <w:tc>
          <w:tcPr>
            <w:tcW w:w="628" w:type="dxa"/>
            <w:tcBorders>
              <w:top w:val="nil"/>
              <w:left w:val="nil"/>
              <w:bottom w:val="single" w:sz="4" w:space="0" w:color="auto"/>
              <w:right w:val="single" w:sz="4" w:space="0" w:color="auto"/>
            </w:tcBorders>
            <w:shd w:val="clear" w:color="auto" w:fill="auto"/>
            <w:noWrap/>
            <w:vAlign w:val="bottom"/>
            <w:hideMark/>
          </w:tcPr>
          <w:p w14:paraId="4888E68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4700714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77069F6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628" w:type="dxa"/>
            <w:tcBorders>
              <w:top w:val="nil"/>
              <w:left w:val="nil"/>
              <w:bottom w:val="single" w:sz="4" w:space="0" w:color="auto"/>
              <w:right w:val="single" w:sz="4" w:space="0" w:color="auto"/>
            </w:tcBorders>
            <w:shd w:val="clear" w:color="auto" w:fill="auto"/>
            <w:noWrap/>
            <w:vAlign w:val="bottom"/>
            <w:hideMark/>
          </w:tcPr>
          <w:p w14:paraId="541D76B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1,6</w:t>
            </w:r>
          </w:p>
        </w:tc>
        <w:tc>
          <w:tcPr>
            <w:tcW w:w="844" w:type="dxa"/>
            <w:tcBorders>
              <w:top w:val="nil"/>
              <w:left w:val="nil"/>
              <w:bottom w:val="single" w:sz="4" w:space="0" w:color="auto"/>
              <w:right w:val="single" w:sz="4" w:space="0" w:color="auto"/>
            </w:tcBorders>
            <w:shd w:val="clear" w:color="auto" w:fill="auto"/>
            <w:noWrap/>
            <w:hideMark/>
          </w:tcPr>
          <w:p w14:paraId="095F93DD"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0,4%</w:t>
            </w:r>
          </w:p>
        </w:tc>
      </w:tr>
      <w:tr w:rsidR="00B56301" w:rsidRPr="007253FC" w14:paraId="1A87C3BB"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5E021E0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autres navigations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247FA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E58F43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59DE94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760C0A9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46FFE22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6192F5B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628" w:type="dxa"/>
            <w:tcBorders>
              <w:top w:val="nil"/>
              <w:left w:val="nil"/>
              <w:bottom w:val="single" w:sz="4" w:space="0" w:color="auto"/>
              <w:right w:val="single" w:sz="4" w:space="0" w:color="auto"/>
            </w:tcBorders>
            <w:shd w:val="clear" w:color="auto" w:fill="auto"/>
            <w:noWrap/>
            <w:vAlign w:val="bottom"/>
            <w:hideMark/>
          </w:tcPr>
          <w:p w14:paraId="5DE92C4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1,0</w:t>
            </w:r>
          </w:p>
        </w:tc>
        <w:tc>
          <w:tcPr>
            <w:tcW w:w="844" w:type="dxa"/>
            <w:tcBorders>
              <w:top w:val="nil"/>
              <w:left w:val="nil"/>
              <w:bottom w:val="single" w:sz="4" w:space="0" w:color="auto"/>
              <w:right w:val="single" w:sz="4" w:space="0" w:color="auto"/>
            </w:tcBorders>
            <w:shd w:val="clear" w:color="auto" w:fill="auto"/>
            <w:noWrap/>
            <w:hideMark/>
          </w:tcPr>
          <w:p w14:paraId="55543526"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-1,0%</w:t>
            </w:r>
          </w:p>
        </w:tc>
      </w:tr>
      <w:tr w:rsidR="00B56301" w:rsidRPr="007253FC" w14:paraId="68491A43" w14:textId="77777777" w:rsidTr="00B37B65">
        <w:trPr>
          <w:trHeight w:val="68"/>
          <w:jc w:val="center"/>
        </w:trPr>
        <w:tc>
          <w:tcPr>
            <w:tcW w:w="5680" w:type="dxa"/>
            <w:tcBorders>
              <w:top w:val="nil"/>
              <w:left w:val="single" w:sz="4" w:space="0" w:color="auto"/>
              <w:bottom w:val="single" w:sz="4" w:space="0" w:color="auto"/>
              <w:right w:val="nil"/>
            </w:tcBorders>
            <w:shd w:val="clear" w:color="000000" w:fill="FFFFFF"/>
            <w:vAlign w:val="center"/>
            <w:hideMark/>
          </w:tcPr>
          <w:p w14:paraId="656C9700"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Transport aérien français</w:t>
            </w:r>
          </w:p>
        </w:tc>
        <w:tc>
          <w:tcPr>
            <w:tcW w:w="628" w:type="dxa"/>
            <w:tcBorders>
              <w:top w:val="nil"/>
              <w:left w:val="single" w:sz="4" w:space="0" w:color="auto"/>
              <w:bottom w:val="single" w:sz="4" w:space="0" w:color="auto"/>
              <w:right w:val="single" w:sz="4" w:space="0" w:color="auto"/>
            </w:tcBorders>
            <w:shd w:val="clear" w:color="auto" w:fill="auto"/>
            <w:noWrap/>
            <w:vAlign w:val="bottom"/>
            <w:hideMark/>
          </w:tcPr>
          <w:p w14:paraId="11E9D27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523ADAB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4,4</w:t>
            </w:r>
          </w:p>
        </w:tc>
        <w:tc>
          <w:tcPr>
            <w:tcW w:w="628" w:type="dxa"/>
            <w:tcBorders>
              <w:top w:val="nil"/>
              <w:left w:val="nil"/>
              <w:bottom w:val="single" w:sz="4" w:space="0" w:color="auto"/>
              <w:right w:val="single" w:sz="4" w:space="0" w:color="auto"/>
            </w:tcBorders>
            <w:shd w:val="clear" w:color="auto" w:fill="auto"/>
            <w:noWrap/>
            <w:vAlign w:val="bottom"/>
            <w:hideMark/>
          </w:tcPr>
          <w:p w14:paraId="36E4A77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4,6</w:t>
            </w:r>
          </w:p>
        </w:tc>
        <w:tc>
          <w:tcPr>
            <w:tcW w:w="628" w:type="dxa"/>
            <w:tcBorders>
              <w:top w:val="nil"/>
              <w:left w:val="nil"/>
              <w:bottom w:val="single" w:sz="4" w:space="0" w:color="auto"/>
              <w:right w:val="single" w:sz="4" w:space="0" w:color="auto"/>
            </w:tcBorders>
            <w:shd w:val="clear" w:color="auto" w:fill="auto"/>
            <w:noWrap/>
            <w:vAlign w:val="bottom"/>
            <w:hideMark/>
          </w:tcPr>
          <w:p w14:paraId="7CFA7B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4,7</w:t>
            </w:r>
          </w:p>
        </w:tc>
        <w:tc>
          <w:tcPr>
            <w:tcW w:w="628" w:type="dxa"/>
            <w:tcBorders>
              <w:top w:val="nil"/>
              <w:left w:val="nil"/>
              <w:bottom w:val="single" w:sz="4" w:space="0" w:color="auto"/>
              <w:right w:val="single" w:sz="4" w:space="0" w:color="auto"/>
            </w:tcBorders>
            <w:shd w:val="clear" w:color="auto" w:fill="auto"/>
            <w:noWrap/>
            <w:vAlign w:val="bottom"/>
            <w:hideMark/>
          </w:tcPr>
          <w:p w14:paraId="306FC1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4,9</w:t>
            </w:r>
          </w:p>
        </w:tc>
        <w:tc>
          <w:tcPr>
            <w:tcW w:w="628" w:type="dxa"/>
            <w:tcBorders>
              <w:top w:val="nil"/>
              <w:left w:val="nil"/>
              <w:bottom w:val="single" w:sz="4" w:space="0" w:color="auto"/>
              <w:right w:val="single" w:sz="4" w:space="0" w:color="auto"/>
            </w:tcBorders>
            <w:shd w:val="clear" w:color="auto" w:fill="auto"/>
            <w:noWrap/>
            <w:vAlign w:val="bottom"/>
            <w:hideMark/>
          </w:tcPr>
          <w:p w14:paraId="4A71803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5,0</w:t>
            </w:r>
          </w:p>
        </w:tc>
        <w:tc>
          <w:tcPr>
            <w:tcW w:w="628" w:type="dxa"/>
            <w:tcBorders>
              <w:top w:val="nil"/>
              <w:left w:val="nil"/>
              <w:bottom w:val="single" w:sz="4" w:space="0" w:color="auto"/>
              <w:right w:val="single" w:sz="4" w:space="0" w:color="auto"/>
            </w:tcBorders>
            <w:shd w:val="clear" w:color="auto" w:fill="auto"/>
            <w:noWrap/>
            <w:vAlign w:val="bottom"/>
            <w:hideMark/>
          </w:tcPr>
          <w:p w14:paraId="7F519DF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3,1</w:t>
            </w:r>
          </w:p>
        </w:tc>
        <w:tc>
          <w:tcPr>
            <w:tcW w:w="844" w:type="dxa"/>
            <w:tcBorders>
              <w:top w:val="nil"/>
              <w:left w:val="nil"/>
              <w:bottom w:val="single" w:sz="4" w:space="0" w:color="auto"/>
              <w:right w:val="single" w:sz="4" w:space="0" w:color="auto"/>
            </w:tcBorders>
            <w:shd w:val="clear" w:color="auto" w:fill="auto"/>
            <w:noWrap/>
            <w:hideMark/>
          </w:tcPr>
          <w:p w14:paraId="79270072"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-38,7%</w:t>
            </w:r>
          </w:p>
        </w:tc>
      </w:tr>
      <w:tr w:rsidR="00B56301" w:rsidRPr="007253FC" w14:paraId="71E90D9B"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D9D9D9"/>
            <w:noWrap/>
            <w:vAlign w:val="bottom"/>
            <w:hideMark/>
          </w:tcPr>
          <w:p w14:paraId="57815820"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hors UTCATF</w:t>
            </w:r>
          </w:p>
        </w:tc>
        <w:tc>
          <w:tcPr>
            <w:tcW w:w="628" w:type="dxa"/>
            <w:tcBorders>
              <w:top w:val="nil"/>
              <w:left w:val="nil"/>
              <w:bottom w:val="single" w:sz="4" w:space="0" w:color="auto"/>
              <w:right w:val="single" w:sz="4" w:space="0" w:color="auto"/>
            </w:tcBorders>
            <w:shd w:val="clear" w:color="000000" w:fill="D9D9D9"/>
            <w:noWrap/>
            <w:vAlign w:val="bottom"/>
            <w:hideMark/>
          </w:tcPr>
          <w:p w14:paraId="181EB106"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454,6</w:t>
            </w:r>
          </w:p>
        </w:tc>
        <w:tc>
          <w:tcPr>
            <w:tcW w:w="628" w:type="dxa"/>
            <w:tcBorders>
              <w:top w:val="nil"/>
              <w:left w:val="nil"/>
              <w:bottom w:val="single" w:sz="4" w:space="0" w:color="auto"/>
              <w:right w:val="single" w:sz="4" w:space="0" w:color="auto"/>
            </w:tcBorders>
            <w:shd w:val="clear" w:color="000000" w:fill="D9D9D9"/>
            <w:noWrap/>
            <w:vAlign w:val="bottom"/>
            <w:hideMark/>
          </w:tcPr>
          <w:p w14:paraId="6C79EE2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457,9</w:t>
            </w:r>
          </w:p>
        </w:tc>
        <w:tc>
          <w:tcPr>
            <w:tcW w:w="628" w:type="dxa"/>
            <w:tcBorders>
              <w:top w:val="nil"/>
              <w:left w:val="nil"/>
              <w:bottom w:val="single" w:sz="4" w:space="0" w:color="auto"/>
              <w:right w:val="single" w:sz="4" w:space="0" w:color="auto"/>
            </w:tcBorders>
            <w:shd w:val="clear" w:color="000000" w:fill="D9D9D9"/>
            <w:noWrap/>
            <w:vAlign w:val="bottom"/>
            <w:hideMark/>
          </w:tcPr>
          <w:p w14:paraId="1CB1FFC6"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459,3</w:t>
            </w:r>
          </w:p>
        </w:tc>
        <w:tc>
          <w:tcPr>
            <w:tcW w:w="628" w:type="dxa"/>
            <w:tcBorders>
              <w:top w:val="nil"/>
              <w:left w:val="nil"/>
              <w:bottom w:val="single" w:sz="4" w:space="0" w:color="auto"/>
              <w:right w:val="single" w:sz="4" w:space="0" w:color="auto"/>
            </w:tcBorders>
            <w:shd w:val="clear" w:color="000000" w:fill="D9D9D9"/>
            <w:noWrap/>
            <w:vAlign w:val="bottom"/>
            <w:hideMark/>
          </w:tcPr>
          <w:p w14:paraId="73AE0BF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462,6</w:t>
            </w:r>
          </w:p>
        </w:tc>
        <w:tc>
          <w:tcPr>
            <w:tcW w:w="628" w:type="dxa"/>
            <w:tcBorders>
              <w:top w:val="nil"/>
              <w:left w:val="nil"/>
              <w:bottom w:val="single" w:sz="4" w:space="0" w:color="auto"/>
              <w:right w:val="single" w:sz="4" w:space="0" w:color="auto"/>
            </w:tcBorders>
            <w:shd w:val="clear" w:color="000000" w:fill="D9D9D9"/>
            <w:noWrap/>
            <w:vAlign w:val="bottom"/>
            <w:hideMark/>
          </w:tcPr>
          <w:p w14:paraId="770F10E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443,3</w:t>
            </w:r>
          </w:p>
        </w:tc>
        <w:tc>
          <w:tcPr>
            <w:tcW w:w="628" w:type="dxa"/>
            <w:tcBorders>
              <w:top w:val="nil"/>
              <w:left w:val="nil"/>
              <w:bottom w:val="single" w:sz="4" w:space="0" w:color="auto"/>
              <w:right w:val="single" w:sz="4" w:space="0" w:color="auto"/>
            </w:tcBorders>
            <w:shd w:val="clear" w:color="000000" w:fill="D9D9D9"/>
            <w:noWrap/>
            <w:vAlign w:val="bottom"/>
            <w:hideMark/>
          </w:tcPr>
          <w:p w14:paraId="18082AB0"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434,5</w:t>
            </w:r>
          </w:p>
        </w:tc>
        <w:tc>
          <w:tcPr>
            <w:tcW w:w="628" w:type="dxa"/>
            <w:tcBorders>
              <w:top w:val="nil"/>
              <w:left w:val="nil"/>
              <w:bottom w:val="single" w:sz="4" w:space="0" w:color="auto"/>
              <w:right w:val="single" w:sz="4" w:space="0" w:color="auto"/>
            </w:tcBorders>
            <w:shd w:val="clear" w:color="000000" w:fill="D9D9D9"/>
            <w:noWrap/>
            <w:vAlign w:val="bottom"/>
            <w:hideMark/>
          </w:tcPr>
          <w:p w14:paraId="0C5A616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393,0</w:t>
            </w:r>
          </w:p>
        </w:tc>
        <w:tc>
          <w:tcPr>
            <w:tcW w:w="844" w:type="dxa"/>
            <w:tcBorders>
              <w:top w:val="nil"/>
              <w:left w:val="nil"/>
              <w:bottom w:val="single" w:sz="4" w:space="0" w:color="auto"/>
              <w:right w:val="single" w:sz="4" w:space="0" w:color="auto"/>
            </w:tcBorders>
            <w:shd w:val="clear" w:color="000000" w:fill="D9D9D9"/>
            <w:noWrap/>
            <w:hideMark/>
          </w:tcPr>
          <w:p w14:paraId="0257807E"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-9,6%</w:t>
            </w:r>
          </w:p>
        </w:tc>
      </w:tr>
      <w:tr w:rsidR="00B56301" w:rsidRPr="007253FC" w14:paraId="63B7C531"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4BBD71E"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Forêts</w:t>
            </w:r>
          </w:p>
        </w:tc>
        <w:tc>
          <w:tcPr>
            <w:tcW w:w="628" w:type="dxa"/>
            <w:tcBorders>
              <w:top w:val="nil"/>
              <w:left w:val="nil"/>
              <w:bottom w:val="single" w:sz="4" w:space="0" w:color="auto"/>
              <w:right w:val="single" w:sz="4" w:space="0" w:color="auto"/>
            </w:tcBorders>
            <w:shd w:val="clear" w:color="auto" w:fill="auto"/>
            <w:noWrap/>
            <w:vAlign w:val="bottom"/>
            <w:hideMark/>
          </w:tcPr>
          <w:p w14:paraId="0538625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-55,5</w:t>
            </w:r>
          </w:p>
        </w:tc>
        <w:tc>
          <w:tcPr>
            <w:tcW w:w="628" w:type="dxa"/>
            <w:tcBorders>
              <w:top w:val="nil"/>
              <w:left w:val="nil"/>
              <w:bottom w:val="single" w:sz="4" w:space="0" w:color="auto"/>
              <w:right w:val="single" w:sz="4" w:space="0" w:color="auto"/>
            </w:tcBorders>
            <w:shd w:val="clear" w:color="auto" w:fill="auto"/>
            <w:noWrap/>
            <w:vAlign w:val="bottom"/>
            <w:hideMark/>
          </w:tcPr>
          <w:p w14:paraId="5F22095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-52,0</w:t>
            </w:r>
          </w:p>
        </w:tc>
        <w:tc>
          <w:tcPr>
            <w:tcW w:w="628" w:type="dxa"/>
            <w:tcBorders>
              <w:top w:val="nil"/>
              <w:left w:val="nil"/>
              <w:bottom w:val="single" w:sz="4" w:space="0" w:color="auto"/>
              <w:right w:val="single" w:sz="4" w:space="0" w:color="auto"/>
            </w:tcBorders>
            <w:shd w:val="clear" w:color="auto" w:fill="auto"/>
            <w:noWrap/>
            <w:vAlign w:val="bottom"/>
            <w:hideMark/>
          </w:tcPr>
          <w:p w14:paraId="37CCFEA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-42,6</w:t>
            </w:r>
          </w:p>
        </w:tc>
        <w:tc>
          <w:tcPr>
            <w:tcW w:w="628" w:type="dxa"/>
            <w:tcBorders>
              <w:top w:val="nil"/>
              <w:left w:val="nil"/>
              <w:bottom w:val="single" w:sz="4" w:space="0" w:color="auto"/>
              <w:right w:val="single" w:sz="4" w:space="0" w:color="auto"/>
            </w:tcBorders>
            <w:shd w:val="clear" w:color="auto" w:fill="auto"/>
            <w:noWrap/>
            <w:vAlign w:val="bottom"/>
            <w:hideMark/>
          </w:tcPr>
          <w:p w14:paraId="4E51774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-33,1</w:t>
            </w:r>
          </w:p>
        </w:tc>
        <w:tc>
          <w:tcPr>
            <w:tcW w:w="628" w:type="dxa"/>
            <w:tcBorders>
              <w:top w:val="nil"/>
              <w:left w:val="nil"/>
              <w:bottom w:val="single" w:sz="4" w:space="0" w:color="auto"/>
              <w:right w:val="single" w:sz="4" w:space="0" w:color="auto"/>
            </w:tcBorders>
            <w:shd w:val="clear" w:color="auto" w:fill="auto"/>
            <w:noWrap/>
            <w:vAlign w:val="bottom"/>
            <w:hideMark/>
          </w:tcPr>
          <w:p w14:paraId="2658A96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-30,5</w:t>
            </w:r>
          </w:p>
        </w:tc>
        <w:tc>
          <w:tcPr>
            <w:tcW w:w="628" w:type="dxa"/>
            <w:tcBorders>
              <w:top w:val="nil"/>
              <w:left w:val="nil"/>
              <w:bottom w:val="single" w:sz="4" w:space="0" w:color="auto"/>
              <w:right w:val="single" w:sz="4" w:space="0" w:color="auto"/>
            </w:tcBorders>
            <w:shd w:val="clear" w:color="auto" w:fill="auto"/>
            <w:noWrap/>
            <w:vAlign w:val="bottom"/>
            <w:hideMark/>
          </w:tcPr>
          <w:p w14:paraId="326744A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-29,1</w:t>
            </w:r>
          </w:p>
        </w:tc>
        <w:tc>
          <w:tcPr>
            <w:tcW w:w="628" w:type="dxa"/>
            <w:tcBorders>
              <w:top w:val="nil"/>
              <w:left w:val="nil"/>
              <w:bottom w:val="single" w:sz="4" w:space="0" w:color="auto"/>
              <w:right w:val="single" w:sz="4" w:space="0" w:color="auto"/>
            </w:tcBorders>
            <w:shd w:val="clear" w:color="auto" w:fill="auto"/>
            <w:noWrap/>
            <w:vAlign w:val="bottom"/>
            <w:hideMark/>
          </w:tcPr>
          <w:p w14:paraId="3EC2C1D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-30,4</w:t>
            </w:r>
          </w:p>
        </w:tc>
        <w:tc>
          <w:tcPr>
            <w:tcW w:w="844" w:type="dxa"/>
            <w:tcBorders>
              <w:top w:val="nil"/>
              <w:left w:val="nil"/>
              <w:bottom w:val="single" w:sz="4" w:space="0" w:color="auto"/>
              <w:right w:val="single" w:sz="4" w:space="0" w:color="auto"/>
            </w:tcBorders>
            <w:shd w:val="clear" w:color="auto" w:fill="auto"/>
            <w:noWrap/>
            <w:hideMark/>
          </w:tcPr>
          <w:p w14:paraId="509448C0"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4,7%</w:t>
            </w:r>
          </w:p>
        </w:tc>
      </w:tr>
      <w:tr w:rsidR="00B56301" w:rsidRPr="007253FC" w14:paraId="41B55C93"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1C14C1AB"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Terres cultivées</w:t>
            </w:r>
          </w:p>
        </w:tc>
        <w:tc>
          <w:tcPr>
            <w:tcW w:w="628" w:type="dxa"/>
            <w:tcBorders>
              <w:top w:val="nil"/>
              <w:left w:val="nil"/>
              <w:bottom w:val="single" w:sz="4" w:space="0" w:color="auto"/>
              <w:right w:val="single" w:sz="4" w:space="0" w:color="auto"/>
            </w:tcBorders>
            <w:shd w:val="clear" w:color="auto" w:fill="auto"/>
            <w:noWrap/>
            <w:vAlign w:val="bottom"/>
            <w:hideMark/>
          </w:tcPr>
          <w:p w14:paraId="635680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15,3</w:t>
            </w:r>
          </w:p>
        </w:tc>
        <w:tc>
          <w:tcPr>
            <w:tcW w:w="628" w:type="dxa"/>
            <w:tcBorders>
              <w:top w:val="nil"/>
              <w:left w:val="nil"/>
              <w:bottom w:val="single" w:sz="4" w:space="0" w:color="auto"/>
              <w:right w:val="single" w:sz="4" w:space="0" w:color="auto"/>
            </w:tcBorders>
            <w:shd w:val="clear" w:color="auto" w:fill="auto"/>
            <w:noWrap/>
            <w:vAlign w:val="bottom"/>
            <w:hideMark/>
          </w:tcPr>
          <w:p w14:paraId="089D131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14,8</w:t>
            </w:r>
          </w:p>
        </w:tc>
        <w:tc>
          <w:tcPr>
            <w:tcW w:w="628" w:type="dxa"/>
            <w:tcBorders>
              <w:top w:val="nil"/>
              <w:left w:val="nil"/>
              <w:bottom w:val="single" w:sz="4" w:space="0" w:color="auto"/>
              <w:right w:val="single" w:sz="4" w:space="0" w:color="auto"/>
            </w:tcBorders>
            <w:shd w:val="clear" w:color="auto" w:fill="auto"/>
            <w:noWrap/>
            <w:vAlign w:val="bottom"/>
            <w:hideMark/>
          </w:tcPr>
          <w:p w14:paraId="0CF1162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14,1</w:t>
            </w:r>
          </w:p>
        </w:tc>
        <w:tc>
          <w:tcPr>
            <w:tcW w:w="628" w:type="dxa"/>
            <w:tcBorders>
              <w:top w:val="nil"/>
              <w:left w:val="nil"/>
              <w:bottom w:val="single" w:sz="4" w:space="0" w:color="auto"/>
              <w:right w:val="single" w:sz="4" w:space="0" w:color="auto"/>
            </w:tcBorders>
            <w:shd w:val="clear" w:color="auto" w:fill="auto"/>
            <w:noWrap/>
            <w:vAlign w:val="bottom"/>
            <w:hideMark/>
          </w:tcPr>
          <w:p w14:paraId="17EC42C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DCB310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13,2</w:t>
            </w:r>
          </w:p>
        </w:tc>
        <w:tc>
          <w:tcPr>
            <w:tcW w:w="628" w:type="dxa"/>
            <w:tcBorders>
              <w:top w:val="nil"/>
              <w:left w:val="nil"/>
              <w:bottom w:val="single" w:sz="4" w:space="0" w:color="auto"/>
              <w:right w:val="single" w:sz="4" w:space="0" w:color="auto"/>
            </w:tcBorders>
            <w:shd w:val="clear" w:color="auto" w:fill="auto"/>
            <w:noWrap/>
            <w:vAlign w:val="bottom"/>
            <w:hideMark/>
          </w:tcPr>
          <w:p w14:paraId="5725884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13,5</w:t>
            </w:r>
          </w:p>
        </w:tc>
        <w:tc>
          <w:tcPr>
            <w:tcW w:w="628" w:type="dxa"/>
            <w:tcBorders>
              <w:top w:val="nil"/>
              <w:left w:val="nil"/>
              <w:bottom w:val="single" w:sz="4" w:space="0" w:color="auto"/>
              <w:right w:val="single" w:sz="4" w:space="0" w:color="auto"/>
            </w:tcBorders>
            <w:shd w:val="clear" w:color="auto" w:fill="auto"/>
            <w:noWrap/>
            <w:vAlign w:val="bottom"/>
            <w:hideMark/>
          </w:tcPr>
          <w:p w14:paraId="55E8F8D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13,3</w:t>
            </w:r>
          </w:p>
        </w:tc>
        <w:tc>
          <w:tcPr>
            <w:tcW w:w="844" w:type="dxa"/>
            <w:tcBorders>
              <w:top w:val="nil"/>
              <w:left w:val="nil"/>
              <w:bottom w:val="single" w:sz="4" w:space="0" w:color="auto"/>
              <w:right w:val="single" w:sz="4" w:space="0" w:color="auto"/>
            </w:tcBorders>
            <w:shd w:val="clear" w:color="auto" w:fill="auto"/>
            <w:noWrap/>
            <w:hideMark/>
          </w:tcPr>
          <w:p w14:paraId="659FE231"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-1,7%</w:t>
            </w:r>
          </w:p>
        </w:tc>
      </w:tr>
      <w:tr w:rsidR="00B56301" w:rsidRPr="007253FC" w14:paraId="2780907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65AD4705"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Prairies</w:t>
            </w:r>
          </w:p>
        </w:tc>
        <w:tc>
          <w:tcPr>
            <w:tcW w:w="628" w:type="dxa"/>
            <w:tcBorders>
              <w:top w:val="nil"/>
              <w:left w:val="nil"/>
              <w:bottom w:val="single" w:sz="4" w:space="0" w:color="auto"/>
              <w:right w:val="single" w:sz="4" w:space="0" w:color="auto"/>
            </w:tcBorders>
            <w:shd w:val="clear" w:color="auto" w:fill="auto"/>
            <w:noWrap/>
            <w:vAlign w:val="bottom"/>
            <w:hideMark/>
          </w:tcPr>
          <w:p w14:paraId="438A7F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-9,2</w:t>
            </w:r>
          </w:p>
        </w:tc>
        <w:tc>
          <w:tcPr>
            <w:tcW w:w="628" w:type="dxa"/>
            <w:tcBorders>
              <w:top w:val="nil"/>
              <w:left w:val="nil"/>
              <w:bottom w:val="single" w:sz="4" w:space="0" w:color="auto"/>
              <w:right w:val="single" w:sz="4" w:space="0" w:color="auto"/>
            </w:tcBorders>
            <w:shd w:val="clear" w:color="auto" w:fill="auto"/>
            <w:noWrap/>
            <w:vAlign w:val="bottom"/>
            <w:hideMark/>
          </w:tcPr>
          <w:p w14:paraId="335AA3A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-8,9</w:t>
            </w:r>
          </w:p>
        </w:tc>
        <w:tc>
          <w:tcPr>
            <w:tcW w:w="628" w:type="dxa"/>
            <w:tcBorders>
              <w:top w:val="nil"/>
              <w:left w:val="nil"/>
              <w:bottom w:val="single" w:sz="4" w:space="0" w:color="auto"/>
              <w:right w:val="single" w:sz="4" w:space="0" w:color="auto"/>
            </w:tcBorders>
            <w:shd w:val="clear" w:color="auto" w:fill="auto"/>
            <w:noWrap/>
            <w:vAlign w:val="bottom"/>
            <w:hideMark/>
          </w:tcPr>
          <w:p w14:paraId="37442C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-8,7</w:t>
            </w:r>
          </w:p>
        </w:tc>
        <w:tc>
          <w:tcPr>
            <w:tcW w:w="628" w:type="dxa"/>
            <w:tcBorders>
              <w:top w:val="nil"/>
              <w:left w:val="nil"/>
              <w:bottom w:val="single" w:sz="4" w:space="0" w:color="auto"/>
              <w:right w:val="single" w:sz="4" w:space="0" w:color="auto"/>
            </w:tcBorders>
            <w:shd w:val="clear" w:color="auto" w:fill="auto"/>
            <w:noWrap/>
            <w:vAlign w:val="bottom"/>
            <w:hideMark/>
          </w:tcPr>
          <w:p w14:paraId="4D7E7CB0"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-8,5</w:t>
            </w:r>
          </w:p>
        </w:tc>
        <w:tc>
          <w:tcPr>
            <w:tcW w:w="628" w:type="dxa"/>
            <w:tcBorders>
              <w:top w:val="nil"/>
              <w:left w:val="nil"/>
              <w:bottom w:val="single" w:sz="4" w:space="0" w:color="auto"/>
              <w:right w:val="single" w:sz="4" w:space="0" w:color="auto"/>
            </w:tcBorders>
            <w:shd w:val="clear" w:color="auto" w:fill="auto"/>
            <w:noWrap/>
            <w:vAlign w:val="bottom"/>
            <w:hideMark/>
          </w:tcPr>
          <w:p w14:paraId="08824E2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-8,3</w:t>
            </w:r>
          </w:p>
        </w:tc>
        <w:tc>
          <w:tcPr>
            <w:tcW w:w="628" w:type="dxa"/>
            <w:tcBorders>
              <w:top w:val="nil"/>
              <w:left w:val="nil"/>
              <w:bottom w:val="single" w:sz="4" w:space="0" w:color="auto"/>
              <w:right w:val="single" w:sz="4" w:space="0" w:color="auto"/>
            </w:tcBorders>
            <w:shd w:val="clear" w:color="auto" w:fill="auto"/>
            <w:noWrap/>
            <w:vAlign w:val="bottom"/>
            <w:hideMark/>
          </w:tcPr>
          <w:p w14:paraId="09FDA67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-8,2</w:t>
            </w:r>
          </w:p>
        </w:tc>
        <w:tc>
          <w:tcPr>
            <w:tcW w:w="628" w:type="dxa"/>
            <w:tcBorders>
              <w:top w:val="nil"/>
              <w:left w:val="nil"/>
              <w:bottom w:val="single" w:sz="4" w:space="0" w:color="auto"/>
              <w:right w:val="single" w:sz="4" w:space="0" w:color="auto"/>
            </w:tcBorders>
            <w:shd w:val="clear" w:color="auto" w:fill="auto"/>
            <w:noWrap/>
            <w:vAlign w:val="bottom"/>
            <w:hideMark/>
          </w:tcPr>
          <w:p w14:paraId="62E894D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-8,3</w:t>
            </w:r>
          </w:p>
        </w:tc>
        <w:tc>
          <w:tcPr>
            <w:tcW w:w="844" w:type="dxa"/>
            <w:tcBorders>
              <w:top w:val="nil"/>
              <w:left w:val="nil"/>
              <w:bottom w:val="single" w:sz="4" w:space="0" w:color="auto"/>
              <w:right w:val="single" w:sz="4" w:space="0" w:color="auto"/>
            </w:tcBorders>
            <w:shd w:val="clear" w:color="auto" w:fill="auto"/>
            <w:noWrap/>
            <w:hideMark/>
          </w:tcPr>
          <w:p w14:paraId="0FA42733"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0,8%</w:t>
            </w:r>
          </w:p>
        </w:tc>
      </w:tr>
      <w:tr w:rsidR="00B56301" w:rsidRPr="007253FC" w14:paraId="5AD68AC9"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0A33F7C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humides</w:t>
            </w:r>
          </w:p>
        </w:tc>
        <w:tc>
          <w:tcPr>
            <w:tcW w:w="628" w:type="dxa"/>
            <w:tcBorders>
              <w:top w:val="nil"/>
              <w:left w:val="nil"/>
              <w:bottom w:val="single" w:sz="4" w:space="0" w:color="auto"/>
              <w:right w:val="single" w:sz="4" w:space="0" w:color="auto"/>
            </w:tcBorders>
            <w:shd w:val="clear" w:color="auto" w:fill="auto"/>
            <w:noWrap/>
            <w:vAlign w:val="bottom"/>
            <w:hideMark/>
          </w:tcPr>
          <w:p w14:paraId="06B499F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983F71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6AC17EF"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31F041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57ECBF2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306DD1A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628" w:type="dxa"/>
            <w:tcBorders>
              <w:top w:val="nil"/>
              <w:left w:val="nil"/>
              <w:bottom w:val="single" w:sz="4" w:space="0" w:color="auto"/>
              <w:right w:val="single" w:sz="4" w:space="0" w:color="auto"/>
            </w:tcBorders>
            <w:shd w:val="clear" w:color="auto" w:fill="auto"/>
            <w:noWrap/>
            <w:vAlign w:val="bottom"/>
            <w:hideMark/>
          </w:tcPr>
          <w:p w14:paraId="0010AAAB"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0,5</w:t>
            </w:r>
          </w:p>
        </w:tc>
        <w:tc>
          <w:tcPr>
            <w:tcW w:w="844" w:type="dxa"/>
            <w:tcBorders>
              <w:top w:val="nil"/>
              <w:left w:val="nil"/>
              <w:bottom w:val="single" w:sz="4" w:space="0" w:color="auto"/>
              <w:right w:val="single" w:sz="4" w:space="0" w:color="auto"/>
            </w:tcBorders>
            <w:shd w:val="clear" w:color="auto" w:fill="auto"/>
            <w:noWrap/>
            <w:hideMark/>
          </w:tcPr>
          <w:p w14:paraId="1A70220A"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0,0%</w:t>
            </w:r>
          </w:p>
        </w:tc>
      </w:tr>
      <w:tr w:rsidR="00B56301" w:rsidRPr="007253FC" w14:paraId="579D1A6E"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3972E81"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Zones artificialisées</w:t>
            </w:r>
          </w:p>
        </w:tc>
        <w:tc>
          <w:tcPr>
            <w:tcW w:w="628" w:type="dxa"/>
            <w:tcBorders>
              <w:top w:val="nil"/>
              <w:left w:val="nil"/>
              <w:bottom w:val="single" w:sz="4" w:space="0" w:color="auto"/>
              <w:right w:val="single" w:sz="4" w:space="0" w:color="auto"/>
            </w:tcBorders>
            <w:shd w:val="clear" w:color="auto" w:fill="auto"/>
            <w:noWrap/>
            <w:vAlign w:val="bottom"/>
            <w:hideMark/>
          </w:tcPr>
          <w:p w14:paraId="09E011A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12,0</w:t>
            </w:r>
          </w:p>
        </w:tc>
        <w:tc>
          <w:tcPr>
            <w:tcW w:w="628" w:type="dxa"/>
            <w:tcBorders>
              <w:top w:val="nil"/>
              <w:left w:val="nil"/>
              <w:bottom w:val="single" w:sz="4" w:space="0" w:color="auto"/>
              <w:right w:val="single" w:sz="4" w:space="0" w:color="auto"/>
            </w:tcBorders>
            <w:shd w:val="clear" w:color="auto" w:fill="auto"/>
            <w:noWrap/>
            <w:vAlign w:val="bottom"/>
            <w:hideMark/>
          </w:tcPr>
          <w:p w14:paraId="7412518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11,9</w:t>
            </w:r>
          </w:p>
        </w:tc>
        <w:tc>
          <w:tcPr>
            <w:tcW w:w="628" w:type="dxa"/>
            <w:tcBorders>
              <w:top w:val="nil"/>
              <w:left w:val="nil"/>
              <w:bottom w:val="single" w:sz="4" w:space="0" w:color="auto"/>
              <w:right w:val="single" w:sz="4" w:space="0" w:color="auto"/>
            </w:tcBorders>
            <w:shd w:val="clear" w:color="auto" w:fill="auto"/>
            <w:noWrap/>
            <w:vAlign w:val="bottom"/>
            <w:hideMark/>
          </w:tcPr>
          <w:p w14:paraId="7DCF107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11,8</w:t>
            </w:r>
          </w:p>
        </w:tc>
        <w:tc>
          <w:tcPr>
            <w:tcW w:w="628" w:type="dxa"/>
            <w:tcBorders>
              <w:top w:val="nil"/>
              <w:left w:val="nil"/>
              <w:bottom w:val="single" w:sz="4" w:space="0" w:color="auto"/>
              <w:right w:val="single" w:sz="4" w:space="0" w:color="auto"/>
            </w:tcBorders>
            <w:shd w:val="clear" w:color="auto" w:fill="auto"/>
            <w:noWrap/>
            <w:vAlign w:val="bottom"/>
            <w:hideMark/>
          </w:tcPr>
          <w:p w14:paraId="0BB7B6D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11,7</w:t>
            </w:r>
          </w:p>
        </w:tc>
        <w:tc>
          <w:tcPr>
            <w:tcW w:w="628" w:type="dxa"/>
            <w:tcBorders>
              <w:top w:val="nil"/>
              <w:left w:val="nil"/>
              <w:bottom w:val="single" w:sz="4" w:space="0" w:color="auto"/>
              <w:right w:val="single" w:sz="4" w:space="0" w:color="auto"/>
            </w:tcBorders>
            <w:shd w:val="clear" w:color="auto" w:fill="auto"/>
            <w:noWrap/>
            <w:vAlign w:val="bottom"/>
            <w:hideMark/>
          </w:tcPr>
          <w:p w14:paraId="21ED4712"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11,7</w:t>
            </w:r>
          </w:p>
        </w:tc>
        <w:tc>
          <w:tcPr>
            <w:tcW w:w="628" w:type="dxa"/>
            <w:tcBorders>
              <w:top w:val="nil"/>
              <w:left w:val="nil"/>
              <w:bottom w:val="single" w:sz="4" w:space="0" w:color="auto"/>
              <w:right w:val="single" w:sz="4" w:space="0" w:color="auto"/>
            </w:tcBorders>
            <w:shd w:val="clear" w:color="auto" w:fill="auto"/>
            <w:noWrap/>
            <w:vAlign w:val="bottom"/>
            <w:hideMark/>
          </w:tcPr>
          <w:p w14:paraId="26CC3A88"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628" w:type="dxa"/>
            <w:tcBorders>
              <w:top w:val="nil"/>
              <w:left w:val="nil"/>
              <w:bottom w:val="single" w:sz="4" w:space="0" w:color="auto"/>
              <w:right w:val="single" w:sz="4" w:space="0" w:color="auto"/>
            </w:tcBorders>
            <w:shd w:val="clear" w:color="auto" w:fill="auto"/>
            <w:noWrap/>
            <w:vAlign w:val="bottom"/>
            <w:hideMark/>
          </w:tcPr>
          <w:p w14:paraId="03EE47B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11,5</w:t>
            </w:r>
          </w:p>
        </w:tc>
        <w:tc>
          <w:tcPr>
            <w:tcW w:w="844" w:type="dxa"/>
            <w:tcBorders>
              <w:top w:val="nil"/>
              <w:left w:val="nil"/>
              <w:bottom w:val="single" w:sz="4" w:space="0" w:color="auto"/>
              <w:right w:val="single" w:sz="4" w:space="0" w:color="auto"/>
            </w:tcBorders>
            <w:shd w:val="clear" w:color="auto" w:fill="auto"/>
            <w:noWrap/>
            <w:hideMark/>
          </w:tcPr>
          <w:p w14:paraId="67418520"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-0,2%</w:t>
            </w:r>
          </w:p>
        </w:tc>
      </w:tr>
      <w:tr w:rsidR="00B56301" w:rsidRPr="007253FC" w14:paraId="3F27FF56"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410BC6D3"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Autres terres</w:t>
            </w:r>
          </w:p>
        </w:tc>
        <w:tc>
          <w:tcPr>
            <w:tcW w:w="628" w:type="dxa"/>
            <w:tcBorders>
              <w:top w:val="nil"/>
              <w:left w:val="nil"/>
              <w:bottom w:val="single" w:sz="4" w:space="0" w:color="auto"/>
              <w:right w:val="single" w:sz="4" w:space="0" w:color="auto"/>
            </w:tcBorders>
            <w:shd w:val="clear" w:color="auto" w:fill="auto"/>
            <w:noWrap/>
            <w:vAlign w:val="bottom"/>
            <w:hideMark/>
          </w:tcPr>
          <w:p w14:paraId="7BD776D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3F6654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E9737F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3A4AF84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6923142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01C919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628" w:type="dxa"/>
            <w:tcBorders>
              <w:top w:val="nil"/>
              <w:left w:val="nil"/>
              <w:bottom w:val="single" w:sz="4" w:space="0" w:color="auto"/>
              <w:right w:val="single" w:sz="4" w:space="0" w:color="auto"/>
            </w:tcBorders>
            <w:shd w:val="clear" w:color="auto" w:fill="auto"/>
            <w:noWrap/>
            <w:vAlign w:val="bottom"/>
            <w:hideMark/>
          </w:tcPr>
          <w:p w14:paraId="1AD0E00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0,0</w:t>
            </w:r>
          </w:p>
        </w:tc>
        <w:tc>
          <w:tcPr>
            <w:tcW w:w="844" w:type="dxa"/>
            <w:tcBorders>
              <w:top w:val="nil"/>
              <w:left w:val="nil"/>
              <w:bottom w:val="single" w:sz="4" w:space="0" w:color="auto"/>
              <w:right w:val="single" w:sz="4" w:space="0" w:color="auto"/>
            </w:tcBorders>
            <w:shd w:val="clear" w:color="auto" w:fill="auto"/>
            <w:noWrap/>
            <w:hideMark/>
          </w:tcPr>
          <w:p w14:paraId="5A2E5963" w14:textId="77777777" w:rsidR="00B56301" w:rsidRPr="007253FC" w:rsidRDefault="00B56301" w:rsidP="00B37B65">
            <w:pPr>
              <w:jc w:val="right"/>
              <w:rPr>
                <w:rFonts w:ascii="Trebuchet MS" w:hAnsi="Trebuchet MS" w:cs="Arial"/>
                <w:sz w:val="16"/>
                <w:szCs w:val="16"/>
              </w:rPr>
            </w:pPr>
            <w:r>
              <w:rPr>
                <w:rFonts w:ascii="Trebuchet MS" w:hAnsi="Trebuchet MS"/>
                <w:sz w:val="16"/>
                <w:szCs w:val="16"/>
              </w:rPr>
              <w:t>0,0%</w:t>
            </w:r>
          </w:p>
        </w:tc>
      </w:tr>
      <w:tr w:rsidR="00B56301" w:rsidRPr="007253FC" w14:paraId="222AB22A"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7C7B4DF2"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Produits bois</w:t>
            </w:r>
          </w:p>
        </w:tc>
        <w:tc>
          <w:tcPr>
            <w:tcW w:w="628" w:type="dxa"/>
            <w:tcBorders>
              <w:top w:val="nil"/>
              <w:left w:val="nil"/>
              <w:bottom w:val="single" w:sz="4" w:space="0" w:color="auto"/>
              <w:right w:val="single" w:sz="4" w:space="0" w:color="auto"/>
            </w:tcBorders>
            <w:shd w:val="clear" w:color="auto" w:fill="auto"/>
            <w:noWrap/>
            <w:vAlign w:val="bottom"/>
            <w:hideMark/>
          </w:tcPr>
          <w:p w14:paraId="216A369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-1,8</w:t>
            </w:r>
          </w:p>
        </w:tc>
        <w:tc>
          <w:tcPr>
            <w:tcW w:w="628" w:type="dxa"/>
            <w:tcBorders>
              <w:top w:val="nil"/>
              <w:left w:val="nil"/>
              <w:bottom w:val="single" w:sz="4" w:space="0" w:color="auto"/>
              <w:right w:val="single" w:sz="4" w:space="0" w:color="auto"/>
            </w:tcBorders>
            <w:shd w:val="clear" w:color="auto" w:fill="auto"/>
            <w:noWrap/>
            <w:vAlign w:val="bottom"/>
            <w:hideMark/>
          </w:tcPr>
          <w:p w14:paraId="02BD64D3"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-1,2</w:t>
            </w:r>
          </w:p>
        </w:tc>
        <w:tc>
          <w:tcPr>
            <w:tcW w:w="628" w:type="dxa"/>
            <w:tcBorders>
              <w:top w:val="nil"/>
              <w:left w:val="nil"/>
              <w:bottom w:val="single" w:sz="4" w:space="0" w:color="auto"/>
              <w:right w:val="single" w:sz="4" w:space="0" w:color="auto"/>
            </w:tcBorders>
            <w:shd w:val="clear" w:color="auto" w:fill="auto"/>
            <w:noWrap/>
            <w:vAlign w:val="bottom"/>
            <w:hideMark/>
          </w:tcPr>
          <w:p w14:paraId="36D1B2F1"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25CA9B8D"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-1,1</w:t>
            </w:r>
          </w:p>
        </w:tc>
        <w:tc>
          <w:tcPr>
            <w:tcW w:w="628" w:type="dxa"/>
            <w:tcBorders>
              <w:top w:val="nil"/>
              <w:left w:val="nil"/>
              <w:bottom w:val="single" w:sz="4" w:space="0" w:color="auto"/>
              <w:right w:val="single" w:sz="4" w:space="0" w:color="auto"/>
            </w:tcBorders>
            <w:shd w:val="clear" w:color="auto" w:fill="auto"/>
            <w:noWrap/>
            <w:vAlign w:val="bottom"/>
            <w:hideMark/>
          </w:tcPr>
          <w:p w14:paraId="68BE2C1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-0,9</w:t>
            </w:r>
          </w:p>
        </w:tc>
        <w:tc>
          <w:tcPr>
            <w:tcW w:w="628" w:type="dxa"/>
            <w:tcBorders>
              <w:top w:val="nil"/>
              <w:left w:val="nil"/>
              <w:bottom w:val="single" w:sz="4" w:space="0" w:color="auto"/>
              <w:right w:val="single" w:sz="4" w:space="0" w:color="auto"/>
            </w:tcBorders>
            <w:shd w:val="clear" w:color="auto" w:fill="auto"/>
            <w:noWrap/>
            <w:vAlign w:val="bottom"/>
            <w:hideMark/>
          </w:tcPr>
          <w:p w14:paraId="62AE4D3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628" w:type="dxa"/>
            <w:tcBorders>
              <w:top w:val="nil"/>
              <w:left w:val="nil"/>
              <w:bottom w:val="single" w:sz="4" w:space="0" w:color="auto"/>
              <w:right w:val="single" w:sz="4" w:space="0" w:color="auto"/>
            </w:tcBorders>
            <w:shd w:val="clear" w:color="auto" w:fill="auto"/>
            <w:noWrap/>
            <w:vAlign w:val="bottom"/>
            <w:hideMark/>
          </w:tcPr>
          <w:p w14:paraId="53D50F2C"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-0,8</w:t>
            </w:r>
          </w:p>
        </w:tc>
        <w:tc>
          <w:tcPr>
            <w:tcW w:w="844" w:type="dxa"/>
            <w:tcBorders>
              <w:top w:val="nil"/>
              <w:left w:val="nil"/>
              <w:bottom w:val="single" w:sz="4" w:space="0" w:color="auto"/>
              <w:right w:val="single" w:sz="4" w:space="0" w:color="auto"/>
            </w:tcBorders>
            <w:shd w:val="clear" w:color="auto" w:fill="auto"/>
            <w:noWrap/>
            <w:hideMark/>
          </w:tcPr>
          <w:p w14:paraId="2FB3DCCF"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6,1%</w:t>
            </w:r>
          </w:p>
        </w:tc>
      </w:tr>
      <w:tr w:rsidR="00B56301" w:rsidRPr="007253FC" w14:paraId="2B4ABC2D" w14:textId="77777777" w:rsidTr="00B37B65">
        <w:trPr>
          <w:trHeight w:val="68"/>
          <w:jc w:val="center"/>
        </w:trPr>
        <w:tc>
          <w:tcPr>
            <w:tcW w:w="5680" w:type="dxa"/>
            <w:tcBorders>
              <w:top w:val="nil"/>
              <w:left w:val="single" w:sz="4" w:space="0" w:color="auto"/>
              <w:bottom w:val="single" w:sz="4" w:space="0" w:color="auto"/>
              <w:right w:val="single" w:sz="4" w:space="0" w:color="auto"/>
            </w:tcBorders>
            <w:shd w:val="clear" w:color="000000" w:fill="FFFFFF"/>
            <w:vAlign w:val="center"/>
            <w:hideMark/>
          </w:tcPr>
          <w:p w14:paraId="5B01BB3D" w14:textId="77777777" w:rsidR="00B56301" w:rsidRPr="007253FC" w:rsidRDefault="00B56301" w:rsidP="00B37B65">
            <w:pPr>
              <w:jc w:val="left"/>
              <w:rPr>
                <w:rFonts w:ascii="Trebuchet MS" w:hAnsi="Trebuchet MS" w:cs="Arial"/>
                <w:sz w:val="16"/>
                <w:szCs w:val="16"/>
              </w:rPr>
            </w:pPr>
            <w:r w:rsidRPr="007253FC">
              <w:rPr>
                <w:rFonts w:ascii="Trebuchet MS" w:hAnsi="Trebuchet MS" w:cs="Arial"/>
                <w:sz w:val="16"/>
                <w:szCs w:val="16"/>
              </w:rPr>
              <w:t>Barrages</w:t>
            </w:r>
          </w:p>
        </w:tc>
        <w:tc>
          <w:tcPr>
            <w:tcW w:w="628" w:type="dxa"/>
            <w:tcBorders>
              <w:top w:val="nil"/>
              <w:left w:val="nil"/>
              <w:bottom w:val="single" w:sz="4" w:space="0" w:color="auto"/>
              <w:right w:val="single" w:sz="4" w:space="0" w:color="auto"/>
            </w:tcBorders>
            <w:shd w:val="clear" w:color="auto" w:fill="auto"/>
            <w:noWrap/>
            <w:vAlign w:val="bottom"/>
            <w:hideMark/>
          </w:tcPr>
          <w:p w14:paraId="6C790606"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79E8FF79"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7A9DC95A"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2428067"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C44A8E4"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110FF285"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628" w:type="dxa"/>
            <w:tcBorders>
              <w:top w:val="nil"/>
              <w:left w:val="nil"/>
              <w:bottom w:val="single" w:sz="4" w:space="0" w:color="auto"/>
              <w:right w:val="single" w:sz="4" w:space="0" w:color="auto"/>
            </w:tcBorders>
            <w:shd w:val="clear" w:color="auto" w:fill="auto"/>
            <w:noWrap/>
            <w:vAlign w:val="bottom"/>
            <w:hideMark/>
          </w:tcPr>
          <w:p w14:paraId="2BD79AEE" w14:textId="77777777" w:rsidR="00B56301" w:rsidRPr="007253FC" w:rsidRDefault="00B56301" w:rsidP="00B37B65">
            <w:pPr>
              <w:jc w:val="right"/>
              <w:rPr>
                <w:rFonts w:ascii="Trebuchet MS" w:hAnsi="Trebuchet MS" w:cs="Arial"/>
                <w:sz w:val="16"/>
                <w:szCs w:val="16"/>
              </w:rPr>
            </w:pPr>
            <w:r>
              <w:rPr>
                <w:rFonts w:ascii="Trebuchet MS" w:hAnsi="Trebuchet MS" w:cs="Arial"/>
                <w:sz w:val="16"/>
                <w:szCs w:val="16"/>
              </w:rPr>
              <w:t>0,3</w:t>
            </w:r>
          </w:p>
        </w:tc>
        <w:tc>
          <w:tcPr>
            <w:tcW w:w="844" w:type="dxa"/>
            <w:tcBorders>
              <w:top w:val="nil"/>
              <w:left w:val="nil"/>
              <w:bottom w:val="single" w:sz="4" w:space="0" w:color="auto"/>
              <w:right w:val="single" w:sz="4" w:space="0" w:color="auto"/>
            </w:tcBorders>
            <w:shd w:val="clear" w:color="auto" w:fill="auto"/>
            <w:noWrap/>
            <w:hideMark/>
          </w:tcPr>
          <w:p w14:paraId="095F624C" w14:textId="77777777" w:rsidR="00B56301" w:rsidRPr="007253FC" w:rsidRDefault="00B56301" w:rsidP="00B37B65">
            <w:pPr>
              <w:jc w:val="right"/>
              <w:rPr>
                <w:rFonts w:ascii="Trebuchet MS" w:hAnsi="Trebuchet MS" w:cs="Arial"/>
                <w:sz w:val="16"/>
                <w:szCs w:val="16"/>
              </w:rPr>
            </w:pPr>
            <w:r w:rsidRPr="007253FC">
              <w:rPr>
                <w:rFonts w:ascii="Trebuchet MS" w:hAnsi="Trebuchet MS"/>
                <w:sz w:val="16"/>
                <w:szCs w:val="16"/>
              </w:rPr>
              <w:t>-2,3%</w:t>
            </w:r>
          </w:p>
        </w:tc>
      </w:tr>
      <w:tr w:rsidR="00B56301" w:rsidRPr="007253FC" w14:paraId="582CF0B1" w14:textId="77777777" w:rsidTr="00B37B65">
        <w:trPr>
          <w:trHeight w:val="68"/>
          <w:jc w:val="center"/>
        </w:trPr>
        <w:tc>
          <w:tcPr>
            <w:tcW w:w="5680" w:type="dxa"/>
            <w:tcBorders>
              <w:top w:val="nil"/>
              <w:left w:val="nil"/>
              <w:bottom w:val="nil"/>
              <w:right w:val="nil"/>
            </w:tcBorders>
            <w:shd w:val="clear" w:color="000000" w:fill="00B050"/>
            <w:noWrap/>
            <w:vAlign w:val="bottom"/>
            <w:hideMark/>
          </w:tcPr>
          <w:p w14:paraId="6D21D785" w14:textId="77777777" w:rsidR="00B56301" w:rsidRPr="007253FC" w:rsidRDefault="00B56301" w:rsidP="00B37B65">
            <w:pPr>
              <w:jc w:val="left"/>
              <w:rPr>
                <w:rFonts w:ascii="Trebuchet MS" w:hAnsi="Trebuchet MS" w:cs="Arial"/>
                <w:b/>
                <w:bCs/>
                <w:color w:val="FFFFFF"/>
                <w:sz w:val="16"/>
                <w:szCs w:val="22"/>
              </w:rPr>
            </w:pPr>
            <w:r w:rsidRPr="007253FC">
              <w:rPr>
                <w:rFonts w:ascii="Trebuchet MS" w:hAnsi="Trebuchet MS" w:cs="Arial"/>
                <w:b/>
                <w:bCs/>
                <w:color w:val="FFFFFF"/>
                <w:sz w:val="16"/>
                <w:szCs w:val="22"/>
              </w:rPr>
              <w:t>UTCATF</w:t>
            </w:r>
          </w:p>
        </w:tc>
        <w:tc>
          <w:tcPr>
            <w:tcW w:w="628" w:type="dxa"/>
            <w:tcBorders>
              <w:top w:val="nil"/>
              <w:left w:val="single" w:sz="4" w:space="0" w:color="auto"/>
              <w:bottom w:val="single" w:sz="4" w:space="0" w:color="auto"/>
              <w:right w:val="single" w:sz="4" w:space="0" w:color="auto"/>
            </w:tcBorders>
            <w:shd w:val="clear" w:color="000000" w:fill="00B050"/>
            <w:noWrap/>
            <w:vAlign w:val="bottom"/>
            <w:hideMark/>
          </w:tcPr>
          <w:p w14:paraId="46560CF7"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-38,4</w:t>
            </w:r>
          </w:p>
        </w:tc>
        <w:tc>
          <w:tcPr>
            <w:tcW w:w="628" w:type="dxa"/>
            <w:tcBorders>
              <w:top w:val="nil"/>
              <w:left w:val="nil"/>
              <w:bottom w:val="single" w:sz="4" w:space="0" w:color="auto"/>
              <w:right w:val="single" w:sz="4" w:space="0" w:color="auto"/>
            </w:tcBorders>
            <w:shd w:val="clear" w:color="000000" w:fill="00B050"/>
            <w:noWrap/>
            <w:vAlign w:val="bottom"/>
            <w:hideMark/>
          </w:tcPr>
          <w:p w14:paraId="6E3C3F1D"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-34,6</w:t>
            </w:r>
          </w:p>
        </w:tc>
        <w:tc>
          <w:tcPr>
            <w:tcW w:w="628" w:type="dxa"/>
            <w:tcBorders>
              <w:top w:val="nil"/>
              <w:left w:val="nil"/>
              <w:bottom w:val="single" w:sz="4" w:space="0" w:color="auto"/>
              <w:right w:val="single" w:sz="4" w:space="0" w:color="auto"/>
            </w:tcBorders>
            <w:shd w:val="clear" w:color="000000" w:fill="00B050"/>
            <w:noWrap/>
            <w:vAlign w:val="bottom"/>
            <w:hideMark/>
          </w:tcPr>
          <w:p w14:paraId="184E1E25"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-25,6</w:t>
            </w:r>
          </w:p>
        </w:tc>
        <w:tc>
          <w:tcPr>
            <w:tcW w:w="628" w:type="dxa"/>
            <w:tcBorders>
              <w:top w:val="nil"/>
              <w:left w:val="nil"/>
              <w:bottom w:val="single" w:sz="4" w:space="0" w:color="auto"/>
              <w:right w:val="single" w:sz="4" w:space="0" w:color="auto"/>
            </w:tcBorders>
            <w:shd w:val="clear" w:color="000000" w:fill="00B050"/>
            <w:noWrap/>
            <w:vAlign w:val="bottom"/>
            <w:hideMark/>
          </w:tcPr>
          <w:p w14:paraId="07E7266B"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-16,7</w:t>
            </w:r>
          </w:p>
        </w:tc>
        <w:tc>
          <w:tcPr>
            <w:tcW w:w="628" w:type="dxa"/>
            <w:tcBorders>
              <w:top w:val="nil"/>
              <w:left w:val="nil"/>
              <w:bottom w:val="single" w:sz="4" w:space="0" w:color="auto"/>
              <w:right w:val="single" w:sz="4" w:space="0" w:color="auto"/>
            </w:tcBorders>
            <w:shd w:val="clear" w:color="000000" w:fill="00B050"/>
            <w:noWrap/>
            <w:vAlign w:val="bottom"/>
            <w:hideMark/>
          </w:tcPr>
          <w:p w14:paraId="49B99A75"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-14,1</w:t>
            </w:r>
          </w:p>
        </w:tc>
        <w:tc>
          <w:tcPr>
            <w:tcW w:w="628" w:type="dxa"/>
            <w:tcBorders>
              <w:top w:val="nil"/>
              <w:left w:val="nil"/>
              <w:bottom w:val="single" w:sz="4" w:space="0" w:color="auto"/>
              <w:right w:val="single" w:sz="4" w:space="0" w:color="auto"/>
            </w:tcBorders>
            <w:shd w:val="clear" w:color="000000" w:fill="00B050"/>
            <w:noWrap/>
            <w:vAlign w:val="bottom"/>
            <w:hideMark/>
          </w:tcPr>
          <w:p w14:paraId="70674E32"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-12,3</w:t>
            </w:r>
          </w:p>
        </w:tc>
        <w:tc>
          <w:tcPr>
            <w:tcW w:w="628" w:type="dxa"/>
            <w:tcBorders>
              <w:top w:val="nil"/>
              <w:left w:val="nil"/>
              <w:bottom w:val="single" w:sz="4" w:space="0" w:color="auto"/>
              <w:right w:val="single" w:sz="4" w:space="0" w:color="auto"/>
            </w:tcBorders>
            <w:shd w:val="clear" w:color="000000" w:fill="00B050"/>
            <w:noWrap/>
            <w:vAlign w:val="bottom"/>
            <w:hideMark/>
          </w:tcPr>
          <w:p w14:paraId="462FD03F" w14:textId="77777777" w:rsidR="00B56301" w:rsidRPr="007253FC" w:rsidRDefault="00B56301" w:rsidP="00B37B65">
            <w:pPr>
              <w:jc w:val="right"/>
              <w:rPr>
                <w:rFonts w:ascii="Trebuchet MS" w:hAnsi="Trebuchet MS" w:cs="Arial"/>
                <w:b/>
                <w:bCs/>
                <w:color w:val="FFFFFF"/>
                <w:sz w:val="16"/>
                <w:szCs w:val="16"/>
              </w:rPr>
            </w:pPr>
            <w:r>
              <w:rPr>
                <w:rFonts w:ascii="Trebuchet MS" w:hAnsi="Trebuchet MS" w:cs="Arial"/>
                <w:b/>
                <w:bCs/>
                <w:color w:val="FFFFFF"/>
                <w:sz w:val="16"/>
                <w:szCs w:val="16"/>
              </w:rPr>
              <w:t>-14,0</w:t>
            </w:r>
          </w:p>
        </w:tc>
        <w:tc>
          <w:tcPr>
            <w:tcW w:w="844" w:type="dxa"/>
            <w:tcBorders>
              <w:top w:val="nil"/>
              <w:left w:val="nil"/>
              <w:bottom w:val="single" w:sz="4" w:space="0" w:color="auto"/>
              <w:right w:val="single" w:sz="4" w:space="0" w:color="auto"/>
            </w:tcBorders>
            <w:shd w:val="clear" w:color="000000" w:fill="00B050"/>
            <w:noWrap/>
            <w:hideMark/>
          </w:tcPr>
          <w:p w14:paraId="3354D2EF" w14:textId="77777777" w:rsidR="00B56301" w:rsidRPr="007253FC" w:rsidRDefault="00B56301" w:rsidP="00B37B65">
            <w:pPr>
              <w:jc w:val="right"/>
              <w:rPr>
                <w:rFonts w:ascii="Trebuchet MS" w:hAnsi="Trebuchet MS" w:cs="Arial"/>
                <w:b/>
                <w:bCs/>
                <w:color w:val="FFFFFF"/>
                <w:sz w:val="16"/>
                <w:szCs w:val="16"/>
              </w:rPr>
            </w:pPr>
            <w:r w:rsidRPr="007253FC">
              <w:rPr>
                <w:rFonts w:ascii="Trebuchet MS" w:hAnsi="Trebuchet MS" w:cs="Arial"/>
                <w:b/>
                <w:bCs/>
                <w:color w:val="FFFFFF"/>
                <w:sz w:val="16"/>
                <w:szCs w:val="16"/>
              </w:rPr>
              <w:t>14,0%</w:t>
            </w:r>
          </w:p>
        </w:tc>
      </w:tr>
      <w:tr w:rsidR="00B56301" w:rsidRPr="007253FC" w14:paraId="60A554FA" w14:textId="77777777" w:rsidTr="00B37B65">
        <w:trPr>
          <w:trHeight w:val="68"/>
          <w:jc w:val="center"/>
        </w:trPr>
        <w:tc>
          <w:tcPr>
            <w:tcW w:w="56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F1A9649" w14:textId="77777777" w:rsidR="00B56301" w:rsidRPr="007253FC" w:rsidRDefault="00B56301" w:rsidP="00B37B65">
            <w:pPr>
              <w:jc w:val="left"/>
              <w:rPr>
                <w:rFonts w:ascii="Trebuchet MS" w:hAnsi="Trebuchet MS" w:cs="Arial"/>
                <w:b/>
                <w:bCs/>
                <w:sz w:val="16"/>
                <w:szCs w:val="22"/>
              </w:rPr>
            </w:pPr>
            <w:r w:rsidRPr="007253FC">
              <w:rPr>
                <w:rFonts w:ascii="Trebuchet MS" w:hAnsi="Trebuchet MS" w:cs="Arial"/>
                <w:b/>
                <w:bCs/>
                <w:sz w:val="16"/>
                <w:szCs w:val="22"/>
              </w:rPr>
              <w:t>TOTAL national avec UTCATF</w:t>
            </w:r>
          </w:p>
        </w:tc>
        <w:tc>
          <w:tcPr>
            <w:tcW w:w="628" w:type="dxa"/>
            <w:tcBorders>
              <w:top w:val="nil"/>
              <w:left w:val="nil"/>
              <w:bottom w:val="single" w:sz="4" w:space="0" w:color="auto"/>
              <w:right w:val="single" w:sz="4" w:space="0" w:color="auto"/>
            </w:tcBorders>
            <w:shd w:val="clear" w:color="000000" w:fill="D9D9D9"/>
            <w:noWrap/>
            <w:vAlign w:val="bottom"/>
            <w:hideMark/>
          </w:tcPr>
          <w:p w14:paraId="4A043C25"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416,2</w:t>
            </w:r>
          </w:p>
        </w:tc>
        <w:tc>
          <w:tcPr>
            <w:tcW w:w="628" w:type="dxa"/>
            <w:tcBorders>
              <w:top w:val="nil"/>
              <w:left w:val="nil"/>
              <w:bottom w:val="single" w:sz="4" w:space="0" w:color="auto"/>
              <w:right w:val="single" w:sz="4" w:space="0" w:color="auto"/>
            </w:tcBorders>
            <w:shd w:val="clear" w:color="000000" w:fill="D9D9D9"/>
            <w:noWrap/>
            <w:vAlign w:val="bottom"/>
            <w:hideMark/>
          </w:tcPr>
          <w:p w14:paraId="1F84382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423,3</w:t>
            </w:r>
          </w:p>
        </w:tc>
        <w:tc>
          <w:tcPr>
            <w:tcW w:w="628" w:type="dxa"/>
            <w:tcBorders>
              <w:top w:val="nil"/>
              <w:left w:val="nil"/>
              <w:bottom w:val="single" w:sz="4" w:space="0" w:color="auto"/>
              <w:right w:val="single" w:sz="4" w:space="0" w:color="auto"/>
            </w:tcBorders>
            <w:shd w:val="clear" w:color="000000" w:fill="D9D9D9"/>
            <w:noWrap/>
            <w:vAlign w:val="bottom"/>
            <w:hideMark/>
          </w:tcPr>
          <w:p w14:paraId="2E6BDCEE"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433,8</w:t>
            </w:r>
          </w:p>
        </w:tc>
        <w:tc>
          <w:tcPr>
            <w:tcW w:w="628" w:type="dxa"/>
            <w:tcBorders>
              <w:top w:val="nil"/>
              <w:left w:val="nil"/>
              <w:bottom w:val="single" w:sz="4" w:space="0" w:color="auto"/>
              <w:right w:val="single" w:sz="4" w:space="0" w:color="auto"/>
            </w:tcBorders>
            <w:shd w:val="clear" w:color="000000" w:fill="D9D9D9"/>
            <w:noWrap/>
            <w:vAlign w:val="bottom"/>
            <w:hideMark/>
          </w:tcPr>
          <w:p w14:paraId="7B077458"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445,8</w:t>
            </w:r>
          </w:p>
        </w:tc>
        <w:tc>
          <w:tcPr>
            <w:tcW w:w="628" w:type="dxa"/>
            <w:tcBorders>
              <w:top w:val="nil"/>
              <w:left w:val="nil"/>
              <w:bottom w:val="single" w:sz="4" w:space="0" w:color="auto"/>
              <w:right w:val="single" w:sz="4" w:space="0" w:color="auto"/>
            </w:tcBorders>
            <w:shd w:val="clear" w:color="000000" w:fill="D9D9D9"/>
            <w:noWrap/>
            <w:vAlign w:val="bottom"/>
            <w:hideMark/>
          </w:tcPr>
          <w:p w14:paraId="680744A9"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429,2</w:t>
            </w:r>
          </w:p>
        </w:tc>
        <w:tc>
          <w:tcPr>
            <w:tcW w:w="628" w:type="dxa"/>
            <w:tcBorders>
              <w:top w:val="nil"/>
              <w:left w:val="nil"/>
              <w:bottom w:val="single" w:sz="4" w:space="0" w:color="auto"/>
              <w:right w:val="single" w:sz="4" w:space="0" w:color="auto"/>
            </w:tcBorders>
            <w:shd w:val="clear" w:color="000000" w:fill="D9D9D9"/>
            <w:noWrap/>
            <w:vAlign w:val="bottom"/>
            <w:hideMark/>
          </w:tcPr>
          <w:p w14:paraId="79E1E86C"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422,3</w:t>
            </w:r>
          </w:p>
        </w:tc>
        <w:tc>
          <w:tcPr>
            <w:tcW w:w="628" w:type="dxa"/>
            <w:tcBorders>
              <w:top w:val="nil"/>
              <w:left w:val="nil"/>
              <w:bottom w:val="single" w:sz="4" w:space="0" w:color="auto"/>
              <w:right w:val="single" w:sz="4" w:space="0" w:color="auto"/>
            </w:tcBorders>
            <w:shd w:val="clear" w:color="000000" w:fill="D9D9D9"/>
            <w:noWrap/>
            <w:vAlign w:val="bottom"/>
            <w:hideMark/>
          </w:tcPr>
          <w:p w14:paraId="6A9E800D" w14:textId="77777777" w:rsidR="00B56301" w:rsidRPr="007253FC" w:rsidRDefault="00B56301" w:rsidP="00B37B65">
            <w:pPr>
              <w:jc w:val="right"/>
              <w:rPr>
                <w:rFonts w:ascii="Trebuchet MS" w:hAnsi="Trebuchet MS" w:cs="Arial"/>
                <w:b/>
                <w:bCs/>
                <w:sz w:val="16"/>
                <w:szCs w:val="16"/>
              </w:rPr>
            </w:pPr>
            <w:r>
              <w:rPr>
                <w:rFonts w:ascii="Trebuchet MS" w:hAnsi="Trebuchet MS" w:cs="Arial"/>
                <w:b/>
                <w:bCs/>
                <w:sz w:val="16"/>
                <w:szCs w:val="16"/>
              </w:rPr>
              <w:t>379,0</w:t>
            </w:r>
          </w:p>
        </w:tc>
        <w:tc>
          <w:tcPr>
            <w:tcW w:w="844" w:type="dxa"/>
            <w:tcBorders>
              <w:top w:val="nil"/>
              <w:left w:val="nil"/>
              <w:bottom w:val="single" w:sz="4" w:space="0" w:color="auto"/>
              <w:right w:val="single" w:sz="4" w:space="0" w:color="auto"/>
            </w:tcBorders>
            <w:shd w:val="clear" w:color="000000" w:fill="D9D9D9"/>
            <w:noWrap/>
            <w:hideMark/>
          </w:tcPr>
          <w:p w14:paraId="5DA366A3" w14:textId="77777777" w:rsidR="00B56301" w:rsidRPr="007253FC" w:rsidRDefault="00B56301" w:rsidP="00B37B65">
            <w:pPr>
              <w:jc w:val="right"/>
              <w:rPr>
                <w:rFonts w:ascii="Trebuchet MS" w:hAnsi="Trebuchet MS" w:cs="Arial"/>
                <w:b/>
                <w:bCs/>
                <w:sz w:val="16"/>
                <w:szCs w:val="16"/>
              </w:rPr>
            </w:pPr>
            <w:r w:rsidRPr="007253FC">
              <w:rPr>
                <w:rFonts w:ascii="Trebuchet MS" w:hAnsi="Trebuchet MS"/>
                <w:sz w:val="16"/>
                <w:szCs w:val="16"/>
              </w:rPr>
              <w:t>-10,3%</w:t>
            </w:r>
          </w:p>
        </w:tc>
      </w:tr>
    </w:tbl>
    <w:p w14:paraId="41B9EBE3" w14:textId="77777777" w:rsidR="00B56301" w:rsidRDefault="00B56301" w:rsidP="00B56301">
      <w:pPr>
        <w:pStyle w:val="Titre1Niveau1"/>
      </w:pPr>
      <w:r>
        <w:br w:type="page"/>
      </w:r>
      <w:bookmarkStart w:id="826" w:name="_Toc138344568"/>
      <w:r>
        <w:t xml:space="preserve">Annexe III - </w:t>
      </w:r>
      <w:r w:rsidRPr="007253FC">
        <w:t xml:space="preserve">Evaluations des sources clés et analyse associée </w:t>
      </w:r>
      <w:r>
        <w:t>hors</w:t>
      </w:r>
      <w:r w:rsidRPr="007253FC">
        <w:t xml:space="preserve"> UTC</w:t>
      </w:r>
      <w:r>
        <w:t>AT</w:t>
      </w:r>
      <w:r w:rsidRPr="007253FC">
        <w:t>F</w:t>
      </w:r>
      <w:bookmarkEnd w:id="826"/>
    </w:p>
    <w:p w14:paraId="149B40FA" w14:textId="77777777" w:rsidR="00B56301" w:rsidRPr="00962AB2" w:rsidRDefault="00B56301" w:rsidP="0071419C">
      <w:pPr>
        <w:pStyle w:val="Titre2Niveau2"/>
        <w:numPr>
          <w:ilvl w:val="0"/>
          <w:numId w:val="0"/>
        </w:numPr>
      </w:pPr>
      <w:bookmarkStart w:id="827" w:name="_Toc138344569"/>
      <w:r w:rsidRPr="00962AB2">
        <w:t>Eléments supplémentaires requis dans le cadre de l’article 7.2 du Protocole de Kyoto</w:t>
      </w:r>
      <w:bookmarkEnd w:id="827"/>
    </w:p>
    <w:tbl>
      <w:tblPr>
        <w:tblStyle w:val="GridTable5Dark-Accent4"/>
        <w:tblW w:w="0" w:type="auto"/>
        <w:tblLook w:val="04A0" w:firstRow="1" w:lastRow="0" w:firstColumn="1" w:lastColumn="0" w:noHBand="0" w:noVBand="1"/>
      </w:tblPr>
      <w:tblGrid>
        <w:gridCol w:w="4970"/>
        <w:gridCol w:w="4970"/>
      </w:tblGrid>
      <w:tr w:rsidR="00B56301" w14:paraId="55FFB80F" w14:textId="77777777" w:rsidTr="00B37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231884AC" w14:textId="77777777" w:rsidR="00B56301" w:rsidRDefault="00B56301" w:rsidP="00B37B65">
            <w:r>
              <w:t>I</w:t>
            </w:r>
            <w:r w:rsidRPr="00AF2797">
              <w:t>nformation</w:t>
            </w:r>
            <w:r>
              <w:t>s rapportées sous l’article 7.2</w:t>
            </w:r>
          </w:p>
        </w:tc>
        <w:tc>
          <w:tcPr>
            <w:tcW w:w="4970" w:type="dxa"/>
          </w:tcPr>
          <w:p w14:paraId="7EA689C1" w14:textId="77777777" w:rsidR="00B56301" w:rsidRDefault="00B56301" w:rsidP="00B37B65">
            <w:pPr>
              <w:cnfStyle w:val="100000000000" w:firstRow="1" w:lastRow="0" w:firstColumn="0" w:lastColumn="0" w:oddVBand="0" w:evenVBand="0" w:oddHBand="0" w:evenHBand="0" w:firstRowFirstColumn="0" w:firstRowLastColumn="0" w:lastRowFirstColumn="0" w:lastRowLastColumn="0"/>
            </w:pPr>
            <w:r w:rsidRPr="00AF2797">
              <w:t xml:space="preserve">Paragraphes de la </w:t>
            </w:r>
            <w:r>
              <w:t>8</w:t>
            </w:r>
            <w:r w:rsidRPr="00E624BE">
              <w:rPr>
                <w:vertAlign w:val="superscript"/>
              </w:rPr>
              <w:t>e</w:t>
            </w:r>
            <w:r>
              <w:t xml:space="preserve"> C</w:t>
            </w:r>
            <w:r w:rsidRPr="00AF2797">
              <w:t xml:space="preserve">ommunication </w:t>
            </w:r>
            <w:r>
              <w:t>N</w:t>
            </w:r>
            <w:r w:rsidRPr="00AF2797">
              <w:t>ationale</w:t>
            </w:r>
          </w:p>
        </w:tc>
      </w:tr>
      <w:tr w:rsidR="00B56301" w14:paraId="4F909652"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4E44F688" w14:textId="77777777" w:rsidR="00B56301" w:rsidRDefault="00B56301" w:rsidP="00B37B65">
            <w:r w:rsidRPr="00AF2797">
              <w:t>Système national – articl</w:t>
            </w:r>
            <w:r>
              <w:t>e 5.1</w:t>
            </w:r>
          </w:p>
        </w:tc>
        <w:tc>
          <w:tcPr>
            <w:tcW w:w="4970" w:type="dxa"/>
          </w:tcPr>
          <w:p w14:paraId="46B2AC80" w14:textId="77777777" w:rsidR="00B56301" w:rsidRPr="00897CDA" w:rsidRDefault="00B56301" w:rsidP="00B37B65">
            <w:pPr>
              <w:cnfStyle w:val="000000100000" w:firstRow="0" w:lastRow="0" w:firstColumn="0" w:lastColumn="0" w:oddVBand="0" w:evenVBand="0" w:oddHBand="1" w:evenHBand="0" w:firstRowFirstColumn="0" w:firstRowLastColumn="0" w:lastRowFirstColumn="0" w:lastRowLastColumn="0"/>
              <w:rPr>
                <w:highlight w:val="yellow"/>
              </w:rPr>
            </w:pPr>
            <w:r w:rsidRPr="00B37B65">
              <w:t>III.C</w:t>
            </w:r>
          </w:p>
        </w:tc>
      </w:tr>
      <w:tr w:rsidR="00B56301" w14:paraId="0AA3FA0B" w14:textId="77777777" w:rsidTr="00B37B65">
        <w:tc>
          <w:tcPr>
            <w:cnfStyle w:val="001000000000" w:firstRow="0" w:lastRow="0" w:firstColumn="1" w:lastColumn="0" w:oddVBand="0" w:evenVBand="0" w:oddHBand="0" w:evenHBand="0" w:firstRowFirstColumn="0" w:firstRowLastColumn="0" w:lastRowFirstColumn="0" w:lastRowLastColumn="0"/>
            <w:tcW w:w="4970" w:type="dxa"/>
          </w:tcPr>
          <w:p w14:paraId="78E3B03C" w14:textId="77777777" w:rsidR="00B56301" w:rsidRDefault="00B56301" w:rsidP="00B37B65">
            <w:r w:rsidRPr="00AF2797">
              <w:t>Eléments relatifs aux mécanismes désignés dans les</w:t>
            </w:r>
            <w:r>
              <w:t xml:space="preserve"> </w:t>
            </w:r>
            <w:r w:rsidRPr="00AF2797">
              <w:t>articles 6, 12, 17</w:t>
            </w:r>
          </w:p>
        </w:tc>
        <w:tc>
          <w:tcPr>
            <w:tcW w:w="4970" w:type="dxa"/>
          </w:tcPr>
          <w:p w14:paraId="51ECF5F1" w14:textId="77777777" w:rsidR="00B56301" w:rsidRPr="00B37B65" w:rsidRDefault="00B56301" w:rsidP="00B37B65">
            <w:pPr>
              <w:cnfStyle w:val="000000000000" w:firstRow="0" w:lastRow="0" w:firstColumn="0" w:lastColumn="0" w:oddVBand="0" w:evenVBand="0" w:oddHBand="0" w:evenHBand="0" w:firstRowFirstColumn="0" w:firstRowLastColumn="0" w:lastRowFirstColumn="0" w:lastRowLastColumn="0"/>
            </w:pPr>
            <w:r w:rsidRPr="00B37B65">
              <w:t>III.D</w:t>
            </w:r>
          </w:p>
        </w:tc>
      </w:tr>
      <w:tr w:rsidR="00B56301" w14:paraId="586A1A03"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4FBC2327" w14:textId="77777777" w:rsidR="00B56301" w:rsidRPr="00962AB2" w:rsidRDefault="00B56301" w:rsidP="00B37B65">
            <w:r w:rsidRPr="00962AB2">
              <w:t>Effets adverses des politiques et mesures</w:t>
            </w:r>
          </w:p>
        </w:tc>
        <w:tc>
          <w:tcPr>
            <w:tcW w:w="4970" w:type="dxa"/>
          </w:tcPr>
          <w:p w14:paraId="7F9D80FB" w14:textId="401B6EFA" w:rsidR="00B56301" w:rsidRPr="00962AB2" w:rsidRDefault="00962AB2" w:rsidP="00B37B65">
            <w:pPr>
              <w:cnfStyle w:val="000000100000" w:firstRow="0" w:lastRow="0" w:firstColumn="0" w:lastColumn="0" w:oddVBand="0" w:evenVBand="0" w:oddHBand="1" w:evenHBand="0" w:firstRowFirstColumn="0" w:firstRowLastColumn="0" w:lastRowFirstColumn="0" w:lastRowLastColumn="0"/>
            </w:pPr>
            <w:r w:rsidRPr="00962AB2">
              <w:t>IV.C</w:t>
            </w:r>
            <w:r w:rsidR="00B56301" w:rsidRPr="00962AB2">
              <w:t>.2</w:t>
            </w:r>
          </w:p>
        </w:tc>
      </w:tr>
      <w:tr w:rsidR="00B56301" w14:paraId="1BF0E158" w14:textId="77777777" w:rsidTr="00B37B65">
        <w:tc>
          <w:tcPr>
            <w:cnfStyle w:val="001000000000" w:firstRow="0" w:lastRow="0" w:firstColumn="1" w:lastColumn="0" w:oddVBand="0" w:evenVBand="0" w:oddHBand="0" w:evenHBand="0" w:firstRowFirstColumn="0" w:firstRowLastColumn="0" w:lastRowFirstColumn="0" w:lastRowLastColumn="0"/>
            <w:tcW w:w="4970" w:type="dxa"/>
          </w:tcPr>
          <w:p w14:paraId="7974D69A" w14:textId="77777777" w:rsidR="00B56301" w:rsidRDefault="00B56301" w:rsidP="00B37B65">
            <w:r>
              <w:t>Plans régionaux domestiques</w:t>
            </w:r>
          </w:p>
        </w:tc>
        <w:tc>
          <w:tcPr>
            <w:tcW w:w="4970" w:type="dxa"/>
          </w:tcPr>
          <w:p w14:paraId="1259D945" w14:textId="7C4B77A0" w:rsidR="00B56301" w:rsidRPr="00897CDA" w:rsidRDefault="00B56301" w:rsidP="00B37B65">
            <w:pPr>
              <w:cnfStyle w:val="000000000000" w:firstRow="0" w:lastRow="0" w:firstColumn="0" w:lastColumn="0" w:oddVBand="0" w:evenVBand="0" w:oddHBand="0" w:evenHBand="0" w:firstRowFirstColumn="0" w:firstRowLastColumn="0" w:lastRowFirstColumn="0" w:lastRowLastColumn="0"/>
              <w:rPr>
                <w:highlight w:val="yellow"/>
              </w:rPr>
            </w:pPr>
            <w:r w:rsidRPr="00B37B65">
              <w:t>IV.A.1</w:t>
            </w:r>
            <w:r w:rsidR="00B37B65" w:rsidRPr="00B37B65">
              <w:t>.2</w:t>
            </w:r>
          </w:p>
        </w:tc>
      </w:tr>
      <w:tr w:rsidR="00B56301" w14:paraId="233EB630" w14:textId="77777777" w:rsidTr="00B37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0" w:type="dxa"/>
          </w:tcPr>
          <w:p w14:paraId="0301A611" w14:textId="77777777" w:rsidR="00B56301" w:rsidRDefault="00B56301" w:rsidP="00B37B65">
            <w:r>
              <w:t>Informations – article 10</w:t>
            </w:r>
          </w:p>
        </w:tc>
        <w:tc>
          <w:tcPr>
            <w:tcW w:w="4970" w:type="dxa"/>
          </w:tcPr>
          <w:p w14:paraId="714C9D62" w14:textId="77777777" w:rsidR="00B56301" w:rsidRPr="00897CDA" w:rsidRDefault="00B56301" w:rsidP="00B37B65">
            <w:pPr>
              <w:cnfStyle w:val="000000100000" w:firstRow="0" w:lastRow="0" w:firstColumn="0" w:lastColumn="0" w:oddVBand="0" w:evenVBand="0" w:oddHBand="1" w:evenHBand="0" w:firstRowFirstColumn="0" w:firstRowLastColumn="0" w:lastRowFirstColumn="0" w:lastRowLastColumn="0"/>
              <w:rPr>
                <w:highlight w:val="yellow"/>
              </w:rPr>
            </w:pPr>
            <w:r w:rsidRPr="00B37B65">
              <w:t>VII</w:t>
            </w:r>
          </w:p>
        </w:tc>
      </w:tr>
    </w:tbl>
    <w:p w14:paraId="37E0041D" w14:textId="77777777" w:rsidR="00B56301" w:rsidRPr="00E624BE" w:rsidRDefault="00B56301" w:rsidP="00B56301"/>
    <w:p w14:paraId="280A9A9D" w14:textId="77777777" w:rsidR="00B56301" w:rsidRDefault="00B56301" w:rsidP="00B56301"/>
    <w:p w14:paraId="39DA36DA" w14:textId="77777777" w:rsidR="00B56301" w:rsidRDefault="00B56301" w:rsidP="003F57EA">
      <w:pPr>
        <w:pStyle w:val="titreencadre"/>
        <w:numPr>
          <w:ilvl w:val="3"/>
          <w:numId w:val="62"/>
        </w:numPr>
      </w:pPr>
      <w:r w:rsidRPr="00E624BE">
        <w:t>Informations requises par l’ar</w:t>
      </w:r>
      <w:r>
        <w:t>ticle 11 du Protocole de Kyoto</w:t>
      </w:r>
    </w:p>
    <w:p w14:paraId="03771D6B" w14:textId="2E2ECD9F" w:rsidR="00B56301" w:rsidRDefault="00B56301" w:rsidP="00B56301">
      <w:r>
        <w:t xml:space="preserve">Les ressources financières qui relèvent de l’aide publique au développement requises dans le cadre de l’article 11 du protocole de Kyoto sont décrites dans le paragraphe </w:t>
      </w:r>
      <w:r w:rsidR="00B37B65">
        <w:t>VII.</w:t>
      </w:r>
      <w:r w:rsidR="00B37B65">
        <w:rPr>
          <w:highlight w:val="yellow"/>
        </w:rPr>
        <w:fldChar w:fldCharType="begin"/>
      </w:r>
      <w:r w:rsidR="00B37B65">
        <w:instrText xml:space="preserve"> REF _Ref122366346 \r \h </w:instrText>
      </w:r>
      <w:r w:rsidR="00B37B65">
        <w:rPr>
          <w:highlight w:val="yellow"/>
        </w:rPr>
      </w:r>
      <w:r w:rsidR="00B37B65">
        <w:rPr>
          <w:highlight w:val="yellow"/>
        </w:rPr>
        <w:fldChar w:fldCharType="separate"/>
      </w:r>
      <w:r w:rsidR="00AB51D9">
        <w:t>A</w:t>
      </w:r>
      <w:r w:rsidR="00B37B65">
        <w:rPr>
          <w:highlight w:val="yellow"/>
        </w:rPr>
        <w:fldChar w:fldCharType="end"/>
      </w:r>
      <w:r>
        <w:t xml:space="preserve">. Les autres ressources financières répondant à l’article 11 du protocole de Kyoto sont présentées dans le para graphe </w:t>
      </w:r>
      <w:r w:rsidR="00B37B65">
        <w:t>VII.</w:t>
      </w:r>
      <w:r w:rsidR="00B37B65">
        <w:rPr>
          <w:highlight w:val="yellow"/>
        </w:rPr>
        <w:fldChar w:fldCharType="begin"/>
      </w:r>
      <w:r w:rsidR="00B37B65">
        <w:instrText xml:space="preserve"> REF _Ref122366382 \w \h </w:instrText>
      </w:r>
      <w:r w:rsidR="00B37B65">
        <w:rPr>
          <w:highlight w:val="yellow"/>
        </w:rPr>
      </w:r>
      <w:r w:rsidR="00B37B65">
        <w:rPr>
          <w:highlight w:val="yellow"/>
        </w:rPr>
        <w:fldChar w:fldCharType="separate"/>
      </w:r>
      <w:r w:rsidR="00AB51D9">
        <w:t>B</w:t>
      </w:r>
      <w:r w:rsidR="00B37B65">
        <w:rPr>
          <w:highlight w:val="yellow"/>
        </w:rPr>
        <w:fldChar w:fldCharType="end"/>
      </w:r>
      <w:r>
        <w:t>.</w:t>
      </w:r>
    </w:p>
    <w:p w14:paraId="0BB04BA5" w14:textId="77777777" w:rsidR="00B56301" w:rsidRDefault="00B56301" w:rsidP="00B56301">
      <w:pPr>
        <w:spacing w:line="240" w:lineRule="atLeast"/>
        <w:jc w:val="left"/>
      </w:pPr>
      <w:r>
        <w:br w:type="page"/>
      </w:r>
    </w:p>
    <w:p w14:paraId="0552AE25" w14:textId="77777777" w:rsidR="00B56301" w:rsidRDefault="00B56301" w:rsidP="00B56301">
      <w:pPr>
        <w:spacing w:line="240" w:lineRule="atLeast"/>
        <w:jc w:val="center"/>
      </w:pPr>
      <w:r w:rsidRPr="009B423B">
        <w:rPr>
          <w:noProof/>
        </w:rPr>
        <w:drawing>
          <wp:inline distT="0" distB="0" distL="0" distR="0" wp14:anchorId="0EEA8E6D" wp14:editId="57669C86">
            <wp:extent cx="5760720" cy="7445375"/>
            <wp:effectExtent l="0" t="0" r="0" b="3175"/>
            <wp:docPr id="1437" name="Imag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60720" cy="7445375"/>
                    </a:xfrm>
                    <a:prstGeom prst="rect">
                      <a:avLst/>
                    </a:prstGeom>
                    <a:noFill/>
                    <a:ln>
                      <a:noFill/>
                    </a:ln>
                  </pic:spPr>
                </pic:pic>
              </a:graphicData>
            </a:graphic>
          </wp:inline>
        </w:drawing>
      </w:r>
      <w:r>
        <w:br w:type="page"/>
      </w:r>
    </w:p>
    <w:p w14:paraId="4FEF7391" w14:textId="77777777" w:rsidR="00B56301" w:rsidRDefault="00B56301" w:rsidP="00B56301">
      <w:pPr>
        <w:pStyle w:val="Titre1Niveau1"/>
      </w:pPr>
      <w:bookmarkStart w:id="828" w:name="_Toc138344570"/>
      <w:r>
        <w:t xml:space="preserve">Annexe IV - </w:t>
      </w:r>
      <w:r w:rsidRPr="007253FC">
        <w:t xml:space="preserve">Evaluations des sources clés et analyse associée </w:t>
      </w:r>
      <w:r>
        <w:t>avec</w:t>
      </w:r>
      <w:r w:rsidRPr="007253FC">
        <w:t xml:space="preserve"> UTC</w:t>
      </w:r>
      <w:r>
        <w:t>AT</w:t>
      </w:r>
      <w:r w:rsidRPr="007253FC">
        <w:t>F</w:t>
      </w:r>
      <w:bookmarkEnd w:id="828"/>
    </w:p>
    <w:p w14:paraId="30316F5F" w14:textId="77777777" w:rsidR="00B56301" w:rsidRPr="00D318BB" w:rsidRDefault="00B56301" w:rsidP="00B56301">
      <w:pPr>
        <w:jc w:val="center"/>
      </w:pPr>
      <w:r w:rsidRPr="00E7673C">
        <w:rPr>
          <w:noProof/>
        </w:rPr>
        <w:drawing>
          <wp:inline distT="0" distB="0" distL="0" distR="0" wp14:anchorId="168FB1F9" wp14:editId="7192BCD2">
            <wp:extent cx="4841991" cy="7172325"/>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46052" cy="7178341"/>
                    </a:xfrm>
                    <a:prstGeom prst="rect">
                      <a:avLst/>
                    </a:prstGeom>
                    <a:noFill/>
                    <a:ln>
                      <a:noFill/>
                    </a:ln>
                  </pic:spPr>
                </pic:pic>
              </a:graphicData>
            </a:graphic>
          </wp:inline>
        </w:drawing>
      </w:r>
    </w:p>
    <w:p w14:paraId="738A665A" w14:textId="77777777" w:rsidR="00B56301" w:rsidRDefault="00B56301" w:rsidP="00B56301">
      <w:pPr>
        <w:spacing w:line="240" w:lineRule="atLeast"/>
        <w:jc w:val="left"/>
      </w:pPr>
    </w:p>
    <w:p w14:paraId="1F85788B" w14:textId="77777777" w:rsidR="00B56301" w:rsidRDefault="00B56301" w:rsidP="00B56301">
      <w:pPr>
        <w:spacing w:line="240" w:lineRule="atLeast"/>
        <w:jc w:val="left"/>
      </w:pPr>
    </w:p>
    <w:p w14:paraId="5E6E2B0F" w14:textId="77777777" w:rsidR="00B56301" w:rsidRPr="00E20D7B" w:rsidRDefault="00B56301" w:rsidP="00B56301"/>
    <w:p w14:paraId="4376D1FD" w14:textId="77777777" w:rsidR="00B56301" w:rsidRDefault="00B56301" w:rsidP="00B56301">
      <w:pPr>
        <w:spacing w:line="240" w:lineRule="atLeast"/>
        <w:jc w:val="left"/>
        <w:rPr>
          <w:rFonts w:cs="Arial"/>
        </w:rPr>
      </w:pPr>
    </w:p>
    <w:p w14:paraId="4062B432" w14:textId="77777777" w:rsidR="00B56301" w:rsidRDefault="00B56301" w:rsidP="00B56301">
      <w:pPr>
        <w:spacing w:line="240" w:lineRule="atLeast"/>
        <w:jc w:val="left"/>
        <w:rPr>
          <w:rFonts w:cs="Arial"/>
        </w:rPr>
      </w:pPr>
    </w:p>
    <w:p w14:paraId="25A7C17A" w14:textId="77777777" w:rsidR="00B56301" w:rsidRDefault="00B56301" w:rsidP="00B56301">
      <w:pPr>
        <w:spacing w:line="240" w:lineRule="atLeast"/>
        <w:jc w:val="left"/>
        <w:rPr>
          <w:rFonts w:cs="Arial"/>
        </w:rPr>
      </w:pPr>
    </w:p>
    <w:p w14:paraId="2FB61A98" w14:textId="77777777" w:rsidR="00B56301" w:rsidRDefault="00B56301" w:rsidP="00B56301">
      <w:pPr>
        <w:spacing w:line="240" w:lineRule="atLeast"/>
        <w:jc w:val="left"/>
        <w:rPr>
          <w:rFonts w:cs="Arial"/>
        </w:rPr>
      </w:pPr>
    </w:p>
    <w:p w14:paraId="782718AD" w14:textId="77777777" w:rsidR="00B56301" w:rsidRPr="001F63F5" w:rsidRDefault="00B56301" w:rsidP="00B56301">
      <w:pPr>
        <w:rPr>
          <w:rFonts w:cs="Arial"/>
        </w:rPr>
      </w:pPr>
      <w:r>
        <w:rPr>
          <w:noProof/>
        </w:rPr>
        <w:drawing>
          <wp:anchor distT="0" distB="0" distL="114300" distR="114300" simplePos="0" relativeHeight="251858432" behindDoc="0" locked="0" layoutInCell="1" allowOverlap="1" wp14:anchorId="47FB8814" wp14:editId="17A037AB">
            <wp:simplePos x="0" y="0"/>
            <wp:positionH relativeFrom="page">
              <wp:posOffset>520700</wp:posOffset>
            </wp:positionH>
            <wp:positionV relativeFrom="page">
              <wp:posOffset>8324215</wp:posOffset>
            </wp:positionV>
            <wp:extent cx="1907540" cy="1381760"/>
            <wp:effectExtent l="0" t="0" r="0" b="8890"/>
            <wp:wrapNone/>
            <wp:docPr id="28681" name="Image 28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a:blip r:embed="rId11"/>
                    <a:stretch>
                      <a:fillRect/>
                    </a:stretch>
                  </pic:blipFill>
                  <pic:spPr bwMode="auto">
                    <a:xfrm>
                      <a:off x="0" y="0"/>
                      <a:ext cx="1907540"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57408" behindDoc="0" locked="0" layoutInCell="1" allowOverlap="1" wp14:anchorId="78844AC6" wp14:editId="06357BDA">
                <wp:simplePos x="0" y="0"/>
                <wp:positionH relativeFrom="column">
                  <wp:posOffset>-4445</wp:posOffset>
                </wp:positionH>
                <wp:positionV relativeFrom="paragraph">
                  <wp:posOffset>5974715</wp:posOffset>
                </wp:positionV>
                <wp:extent cx="6290945" cy="4445"/>
                <wp:effectExtent l="0" t="0" r="20955" b="20955"/>
                <wp:wrapNone/>
                <wp:docPr id="31" name="Connecteur droit 31"/>
                <wp:cNvGraphicFramePr/>
                <a:graphic xmlns:a="http://schemas.openxmlformats.org/drawingml/2006/main">
                  <a:graphicData uri="http://schemas.microsoft.com/office/word/2010/wordprocessingShape">
                    <wps:wsp>
                      <wps:cNvCnPr/>
                      <wps:spPr>
                        <a:xfrm>
                          <a:off x="0" y="0"/>
                          <a:ext cx="6290945"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E56247" id="Connecteur droit 31" o:spid="_x0000_s1026" style="position:absolute;z-index:251857408;visibility:visible;mso-wrap-style:square;mso-wrap-distance-left:9pt;mso-wrap-distance-top:0;mso-wrap-distance-right:9pt;mso-wrap-distance-bottom:0;mso-position-horizontal:absolute;mso-position-horizontal-relative:text;mso-position-vertical:absolute;mso-position-vertical-relative:text" from="-.35pt,470.45pt" to="49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" strokecolor="black [3213]"/>
            </w:pict>
          </mc:Fallback>
        </mc:AlternateContent>
      </w:r>
      <w:r>
        <w:rPr>
          <w:noProof/>
        </w:rPr>
        <mc:AlternateContent>
          <mc:Choice Requires="wps">
            <w:drawing>
              <wp:anchor distT="0" distB="0" distL="114300" distR="114300" simplePos="0" relativeHeight="251856384" behindDoc="0" locked="0" layoutInCell="1" allowOverlap="1" wp14:anchorId="4CDD1FA7" wp14:editId="5A14321E">
                <wp:simplePos x="0" y="0"/>
                <wp:positionH relativeFrom="column">
                  <wp:posOffset>8255</wp:posOffset>
                </wp:positionH>
                <wp:positionV relativeFrom="paragraph">
                  <wp:posOffset>9372600</wp:posOffset>
                </wp:positionV>
                <wp:extent cx="6299200" cy="0"/>
                <wp:effectExtent l="0" t="0" r="25400" b="19050"/>
                <wp:wrapNone/>
                <wp:docPr id="28679" name="Connecteur droit 28679"/>
                <wp:cNvGraphicFramePr/>
                <a:graphic xmlns:a="http://schemas.openxmlformats.org/drawingml/2006/main">
                  <a:graphicData uri="http://schemas.microsoft.com/office/word/2010/wordprocessingShape">
                    <wps:wsp>
                      <wps:cNvCnPr/>
                      <wps:spPr>
                        <a:xfrm>
                          <a:off x="0" y="0"/>
                          <a:ext cx="6299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C83CCF" id="Connecteur droit 28679" o:spid="_x0000_s1026" style="position:absolute;z-index:251856384;visibility:visible;mso-wrap-style:square;mso-wrap-distance-left:9pt;mso-wrap-distance-top:0;mso-wrap-distance-right:9pt;mso-wrap-distance-bottom:0;mso-position-horizontal:absolute;mso-position-horizontal-relative:text;mso-position-vertical:absolute;mso-position-vertical-relative:text" from=".65pt,738pt" to="496.6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" strokecolor="black [3213]"/>
            </w:pict>
          </mc:Fallback>
        </mc:AlternateContent>
      </w:r>
    </w:p>
    <w:p w14:paraId="1FBBAF72" w14:textId="77777777" w:rsidR="00CA43A0" w:rsidRDefault="00CA43A0" w:rsidP="0067185C">
      <w:pPr>
        <w:rPr>
          <w:rFonts w:cs="Arial"/>
        </w:rPr>
      </w:pPr>
    </w:p>
    <w:p w14:paraId="0EF3EE3C" w14:textId="77777777" w:rsidR="00CA43A0" w:rsidRDefault="00CA43A0" w:rsidP="004D72D0">
      <w:pPr>
        <w:jc w:val="center"/>
        <w:rPr>
          <w:rFonts w:cs="Arial"/>
        </w:rPr>
      </w:pPr>
    </w:p>
    <w:p w14:paraId="3F073F2D" w14:textId="77777777" w:rsidR="00CA43A0" w:rsidRDefault="00CA43A0" w:rsidP="004D72D0">
      <w:pPr>
        <w:jc w:val="center"/>
        <w:rPr>
          <w:rFonts w:cs="Arial"/>
        </w:rPr>
      </w:pPr>
    </w:p>
    <w:p w14:paraId="140F70D9" w14:textId="1DF1D77B" w:rsidR="003E4D7F" w:rsidRPr="001F63F5" w:rsidRDefault="006B4DCF" w:rsidP="004D72D0">
      <w:pPr>
        <w:jc w:val="center"/>
        <w:rPr>
          <w:rFonts w:cs="Arial"/>
        </w:rPr>
      </w:pPr>
      <w:r>
        <w:rPr>
          <w:noProof/>
        </w:rPr>
        <w:drawing>
          <wp:anchor distT="0" distB="0" distL="114300" distR="114300" simplePos="0" relativeHeight="251841024" behindDoc="0" locked="0" layoutInCell="1" allowOverlap="1" wp14:anchorId="52A7F8CC" wp14:editId="08C686CA">
            <wp:simplePos x="0" y="0"/>
            <wp:positionH relativeFrom="page">
              <wp:posOffset>520700</wp:posOffset>
            </wp:positionH>
            <wp:positionV relativeFrom="page">
              <wp:posOffset>8324215</wp:posOffset>
            </wp:positionV>
            <wp:extent cx="1907540" cy="1381760"/>
            <wp:effectExtent l="0" t="0" r="0" b="889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a:blip r:embed="rId11"/>
                    <a:stretch>
                      <a:fillRect/>
                    </a:stretch>
                  </pic:blipFill>
                  <pic:spPr bwMode="auto">
                    <a:xfrm>
                      <a:off x="0" y="0"/>
                      <a:ext cx="1907540" cy="1381760"/>
                    </a:xfrm>
                    <a:prstGeom prst="rect">
                      <a:avLst/>
                    </a:prstGeom>
                    <a:noFill/>
                    <a:ln>
                      <a:noFill/>
                    </a:ln>
                  </pic:spPr>
                </pic:pic>
              </a:graphicData>
            </a:graphic>
            <wp14:sizeRelH relativeFrom="page">
              <wp14:pctWidth>0</wp14:pctWidth>
            </wp14:sizeRelH>
            <wp14:sizeRelV relativeFrom="page">
              <wp14:pctHeight>0</wp14:pctHeight>
            </wp14:sizeRelV>
          </wp:anchor>
        </w:drawing>
      </w:r>
      <w:r w:rsidR="00325A04">
        <w:rPr>
          <w:noProof/>
        </w:rPr>
        <mc:AlternateContent>
          <mc:Choice Requires="wps">
            <w:drawing>
              <wp:anchor distT="0" distB="0" distL="114300" distR="114300" simplePos="0" relativeHeight="251690496" behindDoc="0" locked="0" layoutInCell="1" allowOverlap="1" wp14:anchorId="5C514D42" wp14:editId="61E449F8">
                <wp:simplePos x="0" y="0"/>
                <wp:positionH relativeFrom="column">
                  <wp:posOffset>-4445</wp:posOffset>
                </wp:positionH>
                <wp:positionV relativeFrom="paragraph">
                  <wp:posOffset>5974715</wp:posOffset>
                </wp:positionV>
                <wp:extent cx="6290945" cy="4445"/>
                <wp:effectExtent l="0" t="0" r="20955" b="20955"/>
                <wp:wrapNone/>
                <wp:docPr id="9" name="Connecteur droit 9"/>
                <wp:cNvGraphicFramePr/>
                <a:graphic xmlns:a="http://schemas.openxmlformats.org/drawingml/2006/main">
                  <a:graphicData uri="http://schemas.microsoft.com/office/word/2010/wordprocessingShape">
                    <wps:wsp>
                      <wps:cNvCnPr/>
                      <wps:spPr>
                        <a:xfrm>
                          <a:off x="0" y="0"/>
                          <a:ext cx="6290945" cy="44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8C4A37" id="Connecteur droit 9"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35pt,470.45pt" to="49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" strokecolor="black [3213]"/>
            </w:pict>
          </mc:Fallback>
        </mc:AlternateContent>
      </w:r>
      <w:r w:rsidR="002A2AE3">
        <w:rPr>
          <w:noProof/>
        </w:rPr>
        <mc:AlternateContent>
          <mc:Choice Requires="wps">
            <w:drawing>
              <wp:anchor distT="0" distB="0" distL="114300" distR="114300" simplePos="0" relativeHeight="251685376" behindDoc="0" locked="0" layoutInCell="1" allowOverlap="1" wp14:anchorId="48AC7045" wp14:editId="1A5BD153">
                <wp:simplePos x="0" y="0"/>
                <wp:positionH relativeFrom="column">
                  <wp:posOffset>8255</wp:posOffset>
                </wp:positionH>
                <wp:positionV relativeFrom="paragraph">
                  <wp:posOffset>9372600</wp:posOffset>
                </wp:positionV>
                <wp:extent cx="6299200" cy="0"/>
                <wp:effectExtent l="0" t="0" r="25400" b="19050"/>
                <wp:wrapNone/>
                <wp:docPr id="3" name="Connecteur droit 3"/>
                <wp:cNvGraphicFramePr/>
                <a:graphic xmlns:a="http://schemas.openxmlformats.org/drawingml/2006/main">
                  <a:graphicData uri="http://schemas.microsoft.com/office/word/2010/wordprocessingShape">
                    <wps:wsp>
                      <wps:cNvCnPr/>
                      <wps:spPr>
                        <a:xfrm>
                          <a:off x="0" y="0"/>
                          <a:ext cx="62992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BB0B57" id="Connecteur droit 3"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65pt,738pt" to="496.65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" strokecolor="black [3213]"/>
            </w:pict>
          </mc:Fallback>
        </mc:AlternateContent>
      </w:r>
    </w:p>
    <w:sectPr w:rsidR="003E4D7F" w:rsidRPr="001F63F5" w:rsidSect="00A8610E">
      <w:pgSz w:w="11906" w:h="16838" w:code="9"/>
      <w:pgMar w:top="1230" w:right="907" w:bottom="1650" w:left="1049"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A68FF" w14:textId="77777777" w:rsidR="000046E5" w:rsidRDefault="000046E5" w:rsidP="00F51D4C">
      <w:r>
        <w:separator/>
      </w:r>
    </w:p>
    <w:p w14:paraId="71FAED9A" w14:textId="77777777" w:rsidR="000046E5" w:rsidRDefault="000046E5"/>
    <w:p w14:paraId="427A2D86" w14:textId="77777777" w:rsidR="000046E5" w:rsidRDefault="000046E5"/>
    <w:p w14:paraId="64313BD4" w14:textId="77777777" w:rsidR="000046E5" w:rsidRDefault="000046E5"/>
  </w:endnote>
  <w:endnote w:type="continuationSeparator" w:id="0">
    <w:p w14:paraId="24A55E5C" w14:textId="77777777" w:rsidR="000046E5" w:rsidRDefault="000046E5" w:rsidP="00F51D4C">
      <w:r>
        <w:continuationSeparator/>
      </w:r>
    </w:p>
    <w:p w14:paraId="7721A990" w14:textId="77777777" w:rsidR="000046E5" w:rsidRDefault="000046E5"/>
    <w:p w14:paraId="6172F7B7" w14:textId="77777777" w:rsidR="000046E5" w:rsidRDefault="000046E5"/>
    <w:p w14:paraId="129611CF" w14:textId="77777777" w:rsidR="000046E5" w:rsidRDefault="000046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ianne">
    <w:altName w:val="Times New Roman"/>
    <w:panose1 w:val="00000000000000000000"/>
    <w:charset w:val="00"/>
    <w:family w:val="modern"/>
    <w:notTrueType/>
    <w:pitch w:val="variable"/>
    <w:sig w:usb0="0000000F" w:usb1="00000000" w:usb2="00000000" w:usb3="00000000" w:csb0="00000003" w:csb1="00000000"/>
  </w:font>
  <w:font w:name="StarSymbol">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Marianne Light">
    <w:altName w:val="Times New Roman"/>
    <w:panose1 w:val="00000000000000000000"/>
    <w:charset w:val="00"/>
    <w:family w:val="modern"/>
    <w:notTrueType/>
    <w:pitch w:val="variable"/>
    <w:sig w:usb0="0000000F"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Marianne Medium">
    <w:altName w:val="Times New Roman"/>
    <w:panose1 w:val="00000000000000000000"/>
    <w:charset w:val="00"/>
    <w:family w:val="modern"/>
    <w:notTrueType/>
    <w:pitch w:val="variable"/>
    <w:sig w:usb0="0000000F"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Liberation Sans;Arial">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Mangal">
    <w:panose1 w:val="00000400000000000000"/>
    <w:charset w:val="00"/>
    <w:family w:val="roman"/>
    <w:pitch w:val="variable"/>
    <w:sig w:usb0="00008003" w:usb1="00000000" w:usb2="00000000" w:usb3="00000000" w:csb0="00000001" w:csb1="00000000"/>
  </w:font>
  <w:font w:name="Marianne ExtraBold">
    <w:altName w:val="Times New Roman"/>
    <w:panose1 w:val="00000000000000000000"/>
    <w:charset w:val="00"/>
    <w:family w:val="modern"/>
    <w:notTrueType/>
    <w:pitch w:val="variable"/>
    <w:sig w:usb0="0000000F" w:usb1="00000000" w:usb2="00000000" w:usb3="00000000" w:csb0="00000003" w:csb1="00000000"/>
  </w:font>
  <w:font w:name="Times New Roman (Titres CS)">
    <w:altName w:val="Times New Roman"/>
    <w:panose1 w:val="00000000000000000000"/>
    <w:charset w:val="00"/>
    <w:family w:val="roman"/>
    <w:notTrueType/>
    <w:pitch w:val="default"/>
  </w:font>
  <w:font w:name="CIDFont+F1">
    <w:altName w:val="Calibri"/>
    <w:panose1 w:val="00000000000000000000"/>
    <w:charset w:val="00"/>
    <w:family w:val="auto"/>
    <w:notTrueType/>
    <w:pitch w:val="default"/>
    <w:sig w:usb0="00000003" w:usb1="00000000" w:usb2="00000000" w:usb3="00000000" w:csb0="00000001" w:csb1="00000000"/>
  </w:font>
  <w:font w:name="Marianne-Regular">
    <w:altName w:val="Times New Roman"/>
    <w:panose1 w:val="00000000000000000000"/>
    <w:charset w:val="00"/>
    <w:family w:val="auto"/>
    <w:notTrueType/>
    <w:pitch w:val="default"/>
    <w:sig w:usb0="00000003" w:usb1="00000000" w:usb2="00000000" w:usb3="00000000" w:csb0="00000001" w:csb1="00000000"/>
  </w:font>
  <w:font w:name="TrebuchetMS">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428B1" w14:textId="6B3D2B29" w:rsidR="000046E5" w:rsidRDefault="000046E5" w:rsidP="003E4D7F">
    <w:pPr>
      <w:pStyle w:val="Footer"/>
      <w:jc w:val="right"/>
    </w:pPr>
    <w:r>
      <w:rPr>
        <w:noProof/>
        <w:lang w:eastAsia="fr-FR"/>
      </w:rPr>
      <mc:AlternateContent>
        <mc:Choice Requires="wps">
          <w:drawing>
            <wp:anchor distT="45720" distB="45720" distL="114300" distR="114300" simplePos="0" relativeHeight="251663360" behindDoc="0" locked="0" layoutInCell="1" allowOverlap="1" wp14:anchorId="008060D3" wp14:editId="252D489C">
              <wp:simplePos x="0" y="0"/>
              <wp:positionH relativeFrom="margin">
                <wp:align>left</wp:align>
              </wp:positionH>
              <wp:positionV relativeFrom="paragraph">
                <wp:posOffset>13335</wp:posOffset>
              </wp:positionV>
              <wp:extent cx="4248150" cy="180975"/>
              <wp:effectExtent l="0" t="0" r="0" b="952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180975"/>
                      </a:xfrm>
                      <a:prstGeom prst="rect">
                        <a:avLst/>
                      </a:prstGeom>
                      <a:solidFill>
                        <a:srgbClr val="FFFFFF"/>
                      </a:solidFill>
                      <a:ln w="9525">
                        <a:noFill/>
                        <a:miter lim="800000"/>
                        <a:headEnd/>
                        <a:tailEnd/>
                      </a:ln>
                    </wps:spPr>
                    <wps:txbx>
                      <w:txbxContent>
                        <w:p w14:paraId="22569C69" w14:textId="51C31B2D" w:rsidR="000046E5" w:rsidRPr="009C6A8D" w:rsidRDefault="000046E5">
                          <w:pPr>
                            <w:rPr>
                              <w:rFonts w:cs="Arial"/>
                              <w:sz w:val="16"/>
                              <w:szCs w:val="16"/>
                            </w:rPr>
                          </w:pPr>
                          <w:r>
                            <w:rPr>
                              <w:rFonts w:cs="Arial"/>
                              <w:b/>
                              <w:sz w:val="16"/>
                              <w:szCs w:val="16"/>
                            </w:rPr>
                            <w:t xml:space="preserve">Huitième Communication nationale de la France à la CCNUCC </w:t>
                          </w:r>
                          <w:r w:rsidRPr="00E51095">
                            <w:rPr>
                              <w:rFonts w:ascii="Calibri" w:hAnsi="Calibri" w:cs="Calibri"/>
                              <w:b/>
                              <w:sz w:val="16"/>
                              <w:szCs w:val="16"/>
                            </w:rPr>
                            <w:t>ǀ</w:t>
                          </w:r>
                          <w:r w:rsidRPr="00E51095">
                            <w:rPr>
                              <w:rFonts w:cs="Arial"/>
                              <w:sz w:val="16"/>
                              <w:szCs w:val="16"/>
                            </w:rPr>
                            <w:t xml:space="preserve"> </w:t>
                          </w:r>
                          <w:r>
                            <w:rPr>
                              <w:rFonts w:cs="Arial"/>
                              <w:sz w:val="16"/>
                              <w:szCs w:val="16"/>
                            </w:rPr>
                            <w:t>Décembre 2022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8060D3" id="_x0000_t202" coordsize="21600,21600" o:spt="202" path="m,l,21600r21600,l21600,xe">
              <v:stroke joinstyle="miter"/>
              <v:path gradientshapeok="t" o:connecttype="rect"/>
            </v:shapetype>
            <v:shape id="_x0000_s1028" type="#_x0000_t202" style="position:absolute;left:0;text-align:left;margin-left:0;margin-top:1.05pt;width:334.5pt;height:14.2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" stroked="f">
              <v:textbox inset="0,0,0,0">
                <w:txbxContent>
                  <w:p w14:paraId="22569C69" w14:textId="51C31B2D" w:rsidR="000046E5" w:rsidRPr="009C6A8D" w:rsidRDefault="000046E5">
                    <w:pPr>
                      <w:rPr>
                        <w:rFonts w:cs="Arial"/>
                        <w:sz w:val="16"/>
                        <w:szCs w:val="16"/>
                      </w:rPr>
                    </w:pPr>
                    <w:r>
                      <w:rPr>
                        <w:rFonts w:cs="Arial"/>
                        <w:b/>
                        <w:sz w:val="16"/>
                        <w:szCs w:val="16"/>
                      </w:rPr>
                      <w:t xml:space="preserve">Huitième Communication nationale de la France à la CCNUCC </w:t>
                    </w:r>
                    <w:r w:rsidRPr="00E51095">
                      <w:rPr>
                        <w:rFonts w:ascii="Calibri" w:hAnsi="Calibri" w:cs="Calibri"/>
                        <w:b/>
                        <w:sz w:val="16"/>
                        <w:szCs w:val="16"/>
                      </w:rPr>
                      <w:t>ǀ</w:t>
                    </w:r>
                    <w:r w:rsidRPr="00E51095">
                      <w:rPr>
                        <w:rFonts w:cs="Arial"/>
                        <w:sz w:val="16"/>
                        <w:szCs w:val="16"/>
                      </w:rPr>
                      <w:t xml:space="preserve"> </w:t>
                    </w:r>
                    <w:r>
                      <w:rPr>
                        <w:rFonts w:cs="Arial"/>
                        <w:sz w:val="16"/>
                        <w:szCs w:val="16"/>
                      </w:rPr>
                      <w:t>Décembre 2022</w:t>
                    </w:r>
                  </w:p>
                </w:txbxContent>
              </v:textbox>
              <w10:wrap anchorx="margin"/>
            </v:shape>
          </w:pict>
        </mc:Fallback>
      </mc:AlternateContent>
    </w:r>
    <w:sdt>
      <w:sdtPr>
        <w:id w:val="-1550528615"/>
        <w:docPartObj>
          <w:docPartGallery w:val="Page Numbers (Bottom of Page)"/>
          <w:docPartUnique/>
        </w:docPartObj>
      </w:sdtPr>
      <w:sdtEndPr/>
      <w:sdtContent>
        <w:r>
          <w:fldChar w:fldCharType="begin"/>
        </w:r>
        <w:r>
          <w:instrText>PAGE   \* MERGEFORMAT</w:instrText>
        </w:r>
        <w:r>
          <w:fldChar w:fldCharType="separate"/>
        </w:r>
        <w:r w:rsidR="00261D3D">
          <w:rPr>
            <w:noProof/>
          </w:rPr>
          <w:t>35</w:t>
        </w:r>
        <w:r>
          <w:fldChar w:fldCharType="end"/>
        </w:r>
      </w:sdtContent>
    </w:sdt>
  </w:p>
  <w:p w14:paraId="7419CAEA" w14:textId="77777777" w:rsidR="000046E5" w:rsidRDefault="000046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1191B" w14:textId="77777777" w:rsidR="000046E5" w:rsidRDefault="000046E5" w:rsidP="00F51D4C">
      <w:r>
        <w:separator/>
      </w:r>
    </w:p>
    <w:p w14:paraId="2B0CFF98" w14:textId="77777777" w:rsidR="000046E5" w:rsidRDefault="000046E5"/>
    <w:p w14:paraId="2CB63B71" w14:textId="77777777" w:rsidR="000046E5" w:rsidRDefault="000046E5"/>
    <w:p w14:paraId="661333FE" w14:textId="77777777" w:rsidR="000046E5" w:rsidRDefault="000046E5"/>
  </w:footnote>
  <w:footnote w:type="continuationSeparator" w:id="0">
    <w:p w14:paraId="6BFD4093" w14:textId="77777777" w:rsidR="000046E5" w:rsidRDefault="000046E5" w:rsidP="00F51D4C">
      <w:r>
        <w:continuationSeparator/>
      </w:r>
    </w:p>
    <w:p w14:paraId="6DA32882" w14:textId="77777777" w:rsidR="000046E5" w:rsidRDefault="000046E5"/>
    <w:p w14:paraId="2755ECA7" w14:textId="77777777" w:rsidR="000046E5" w:rsidRDefault="000046E5"/>
    <w:p w14:paraId="26648C06" w14:textId="77777777" w:rsidR="000046E5" w:rsidRDefault="000046E5"/>
  </w:footnote>
  <w:footnote w:id="1">
    <w:p w14:paraId="33C62579" w14:textId="77777777" w:rsidR="000046E5" w:rsidRDefault="000046E5" w:rsidP="00133BB6">
      <w:pPr>
        <w:pStyle w:val="FootnoteText"/>
      </w:pPr>
      <w:r>
        <w:rPr>
          <w:rStyle w:val="FootnoteReference"/>
        </w:rPr>
        <w:footnoteRef/>
      </w:r>
      <w:r>
        <w:t xml:space="preserve"> </w:t>
      </w:r>
      <w:hyperlink r:id="rId1" w:history="1">
        <w:r w:rsidRPr="007461CB">
          <w:rPr>
            <w:rStyle w:val="Hyperlink"/>
          </w:rPr>
          <w:t>https://www.legifrance.gouv.fr/loda/id/JORFTEXT000024556265/</w:t>
        </w:r>
      </w:hyperlink>
    </w:p>
  </w:footnote>
  <w:footnote w:id="2">
    <w:p w14:paraId="7B90DFD9" w14:textId="38548AD6" w:rsidR="000046E5" w:rsidRDefault="000046E5">
      <w:pPr>
        <w:pStyle w:val="FootnoteText"/>
      </w:pPr>
      <w:r>
        <w:rPr>
          <w:rStyle w:val="FootnoteReference"/>
        </w:rPr>
        <w:footnoteRef/>
      </w:r>
      <w:r>
        <w:t xml:space="preserve"> </w:t>
      </w:r>
      <w:r w:rsidRPr="00E73BD6">
        <w:t>Source : Bilan d'activité climat du groupe AFD en 2021</w:t>
      </w:r>
    </w:p>
  </w:footnote>
  <w:footnote w:id="3">
    <w:p w14:paraId="6979E100" w14:textId="1A0D9796" w:rsidR="000046E5" w:rsidRDefault="000046E5">
      <w:pPr>
        <w:pStyle w:val="FootnoteText"/>
      </w:pPr>
      <w:r>
        <w:rPr>
          <w:rStyle w:val="FootnoteReference"/>
        </w:rPr>
        <w:footnoteRef/>
      </w:r>
      <w:r>
        <w:t xml:space="preserve"> L</w:t>
      </w:r>
      <w:r w:rsidRPr="00AE6339">
        <w:t>a reconstitution a eu lieu à l’automne 2019, mais la période commence en 2020 pour 4 ans jusqu’en 2023</w:t>
      </w:r>
    </w:p>
  </w:footnote>
  <w:footnote w:id="4">
    <w:p w14:paraId="1C2341BC" w14:textId="59B10609" w:rsidR="000046E5" w:rsidRDefault="000046E5">
      <w:pPr>
        <w:pStyle w:val="FootnoteText"/>
      </w:pPr>
      <w:r>
        <w:rPr>
          <w:rStyle w:val="FootnoteReference"/>
        </w:rPr>
        <w:footnoteRef/>
      </w:r>
      <w:r>
        <w:t xml:space="preserve"> </w:t>
      </w:r>
      <w:r w:rsidRPr="000E2F47">
        <w:t>Etats-Uni</w:t>
      </w:r>
      <w:r>
        <w:t>s, le Japon, Canada et la Suède</w:t>
      </w:r>
    </w:p>
  </w:footnote>
  <w:footnote w:id="5">
    <w:p w14:paraId="687E8099" w14:textId="77777777" w:rsidR="000046E5" w:rsidRDefault="000046E5" w:rsidP="00501FA3">
      <w:pPr>
        <w:pStyle w:val="FootnoteText"/>
      </w:pPr>
      <w:r>
        <w:rPr>
          <w:rStyle w:val="FootnoteReference"/>
        </w:rPr>
        <w:footnoteRef/>
      </w:r>
      <w:r>
        <w:t xml:space="preserve"> </w:t>
      </w:r>
      <w:hyperlink r:id="rId2" w:history="1">
        <w:r w:rsidRPr="00E51AB8">
          <w:rPr>
            <w:rStyle w:val="Hyperlink"/>
          </w:rPr>
          <w:t>https://www2.assemblee-nationale.fr/decouvrir-l-assemblee/role-et-pouvoirs-de-l-assemblee-nationale/les-institutions-francaises-generalites/l-organisation-territoriale-de-la-france</w:t>
        </w:r>
      </w:hyperlink>
    </w:p>
  </w:footnote>
  <w:footnote w:id="6">
    <w:p w14:paraId="5818598D" w14:textId="77777777" w:rsidR="000046E5" w:rsidRDefault="000046E5" w:rsidP="00501FA3">
      <w:pPr>
        <w:pStyle w:val="FootnoteText"/>
      </w:pPr>
      <w:r>
        <w:rPr>
          <w:rStyle w:val="FootnoteReference"/>
        </w:rPr>
        <w:footnoteRef/>
      </w:r>
      <w:r>
        <w:t xml:space="preserve"> </w:t>
      </w:r>
      <w:r w:rsidRPr="009F4180">
        <w:t>Cette nouvelle carte acte le rattachement des régions :</w:t>
      </w:r>
      <w:r>
        <w:t xml:space="preserve"> </w:t>
      </w:r>
      <w:r w:rsidRPr="009F4180">
        <w:t>Alsace, Champagne-Ardenne et Lorraine</w:t>
      </w:r>
      <w:r>
        <w:t> ;</w:t>
      </w:r>
      <w:r w:rsidRPr="009F4180">
        <w:t xml:space="preserve"> Aquitaine, Limousin et Poitou-Charentes</w:t>
      </w:r>
      <w:r>
        <w:t> ;</w:t>
      </w:r>
      <w:r w:rsidRPr="009F4180">
        <w:t xml:space="preserve"> Auvergne et Rhône-Alpes</w:t>
      </w:r>
      <w:r>
        <w:t> ;</w:t>
      </w:r>
      <w:r w:rsidRPr="009F4180">
        <w:t xml:space="preserve"> Bourgogne et Franche Comté</w:t>
      </w:r>
      <w:r>
        <w:t> ;</w:t>
      </w:r>
      <w:r w:rsidRPr="009F4180">
        <w:t xml:space="preserve"> Languedoc-Roussillon et Midi-Pyrénées</w:t>
      </w:r>
      <w:r>
        <w:t> ;</w:t>
      </w:r>
      <w:r w:rsidRPr="009F4180">
        <w:t xml:space="preserve"> Nord-Pas-de-Calais et Picardie</w:t>
      </w:r>
      <w:r>
        <w:t> ;</w:t>
      </w:r>
      <w:r w:rsidRPr="009F4180">
        <w:t xml:space="preserve"> Basse-Normandie et Haute-Normandie</w:t>
      </w:r>
      <w:r>
        <w:t>.</w:t>
      </w:r>
      <w:r w:rsidRPr="009F4180">
        <w:t xml:space="preserve"> 6 régions restent inchangées :</w:t>
      </w:r>
      <w:r>
        <w:t xml:space="preserve"> </w:t>
      </w:r>
      <w:r w:rsidRPr="009F4180">
        <w:t>Bretagne, Centre,</w:t>
      </w:r>
      <w:r>
        <w:t xml:space="preserve"> </w:t>
      </w:r>
      <w:r w:rsidRPr="009F4180">
        <w:t>Île-de-France, Pays de la Loire, Provence-Alpes-Côte d'Azur</w:t>
      </w:r>
    </w:p>
  </w:footnote>
  <w:footnote w:id="7">
    <w:p w14:paraId="39306C9C" w14:textId="77777777" w:rsidR="000046E5" w:rsidRDefault="000046E5" w:rsidP="00501FA3">
      <w:pPr>
        <w:pStyle w:val="FootnoteText"/>
      </w:pPr>
      <w:r>
        <w:rPr>
          <w:rStyle w:val="FootnoteReference"/>
        </w:rPr>
        <w:footnoteRef/>
      </w:r>
      <w:r>
        <w:t xml:space="preserve"> </w:t>
      </w:r>
      <w:hyperlink r:id="rId3" w:history="1">
        <w:r w:rsidRPr="00E51AB8">
          <w:rPr>
            <w:rStyle w:val="Hyperlink"/>
          </w:rPr>
          <w:t>https://www.insee.fr/fr/statistiques/2496716?sommaire=2496793</w:t>
        </w:r>
      </w:hyperlink>
    </w:p>
  </w:footnote>
  <w:footnote w:id="8">
    <w:p w14:paraId="11C37637" w14:textId="77777777" w:rsidR="000046E5" w:rsidRDefault="000046E5" w:rsidP="00501FA3">
      <w:pPr>
        <w:pStyle w:val="FootnoteText"/>
      </w:pPr>
      <w:r>
        <w:rPr>
          <w:rStyle w:val="FootnoteReference"/>
        </w:rPr>
        <w:footnoteRef/>
      </w:r>
      <w:r>
        <w:t xml:space="preserve"> </w:t>
      </w:r>
      <w:hyperlink r:id="rId4" w:history="1">
        <w:r w:rsidRPr="00E51AB8">
          <w:rPr>
            <w:rStyle w:val="Hyperlink"/>
          </w:rPr>
          <w:t>https://artificialisation.developpement-durable.gouv.fr/bases-donnees/teruti-lucas</w:t>
        </w:r>
      </w:hyperlink>
    </w:p>
  </w:footnote>
  <w:footnote w:id="9">
    <w:p w14:paraId="5D2B956E" w14:textId="77777777" w:rsidR="000046E5" w:rsidRDefault="000046E5" w:rsidP="00D15C46">
      <w:pPr>
        <w:pStyle w:val="FootnoteText"/>
      </w:pPr>
      <w:r>
        <w:rPr>
          <w:rStyle w:val="FootnoteReference"/>
        </w:rPr>
        <w:footnoteRef/>
      </w:r>
      <w:r>
        <w:t xml:space="preserve"> </w:t>
      </w:r>
      <w:r w:rsidRPr="00B20C15">
        <w:t>https://www.ign.fr/reperes/la-foret-en-france-portrait-robot</w:t>
      </w:r>
    </w:p>
  </w:footnote>
  <w:footnote w:id="10">
    <w:p w14:paraId="6C108B8D" w14:textId="77777777" w:rsidR="000046E5" w:rsidRDefault="000046E5" w:rsidP="00D15C46">
      <w:pPr>
        <w:pStyle w:val="FootnoteText"/>
      </w:pPr>
      <w:r>
        <w:rPr>
          <w:rStyle w:val="FootnoteReference"/>
        </w:rPr>
        <w:footnoteRef/>
      </w:r>
      <w:r>
        <w:t xml:space="preserve"> </w:t>
      </w:r>
      <w:r w:rsidRPr="005B1E06">
        <w:t>https://inventaire-forestier.ign.fr/IMG/pdf/memento_2021.pdf</w:t>
      </w:r>
    </w:p>
  </w:footnote>
  <w:footnote w:id="11">
    <w:p w14:paraId="51C6A452" w14:textId="77A6669E" w:rsidR="000046E5" w:rsidRDefault="000046E5" w:rsidP="00D15C46">
      <w:pPr>
        <w:pStyle w:val="FootnoteText"/>
      </w:pPr>
      <w:r>
        <w:rPr>
          <w:rStyle w:val="FootnoteReference"/>
        </w:rPr>
        <w:footnoteRef/>
      </w:r>
      <w:r w:rsidRPr="00D414A4">
        <w:t>https://www.cnpf.fr/le-cnpf-et-la-foret-privee/la-foret-et-les-proprietaires-forestiers/les-chiffres-cles-de-la-foret</w:t>
      </w:r>
    </w:p>
  </w:footnote>
  <w:footnote w:id="12">
    <w:p w14:paraId="4C9AC09E" w14:textId="6AC0C556" w:rsidR="000046E5" w:rsidRDefault="000046E5" w:rsidP="00D15C46">
      <w:pPr>
        <w:pStyle w:val="FootnoteText"/>
      </w:pPr>
      <w:r>
        <w:rPr>
          <w:rStyle w:val="FootnoteReference"/>
        </w:rPr>
        <w:footnoteRef/>
      </w:r>
      <w:r>
        <w:t xml:space="preserve"> </w:t>
      </w:r>
      <w:r w:rsidRPr="00D15C46">
        <w:t>https://www.fcba.fr/wp-content/uploads/2022/11/Memento-2022-WEB.pdf</w:t>
      </w:r>
    </w:p>
  </w:footnote>
  <w:footnote w:id="13">
    <w:p w14:paraId="67DC5DA4" w14:textId="77777777" w:rsidR="000046E5" w:rsidRDefault="000046E5" w:rsidP="00D15C46">
      <w:pPr>
        <w:pStyle w:val="FootnoteText"/>
      </w:pPr>
      <w:r>
        <w:rPr>
          <w:rStyle w:val="FootnoteReference"/>
        </w:rPr>
        <w:footnoteRef/>
      </w:r>
      <w:r>
        <w:t xml:space="preserve"> </w:t>
      </w:r>
      <w:r w:rsidRPr="006B5E0A">
        <w:t>https://agreste.agriculture.gouv.fr/agreste-web/disaron/SynBoi22390/detail/</w:t>
      </w:r>
    </w:p>
  </w:footnote>
  <w:footnote w:id="14">
    <w:p w14:paraId="520C7559" w14:textId="77777777" w:rsidR="000046E5" w:rsidRDefault="000046E5" w:rsidP="00977B34">
      <w:pPr>
        <w:pStyle w:val="FootnoteText"/>
      </w:pPr>
      <w:r>
        <w:rPr>
          <w:rStyle w:val="FootnoteReference"/>
        </w:rPr>
        <w:footnoteRef/>
      </w:r>
      <w:r>
        <w:t xml:space="preserve"> Accroissement forestier, récolte forestière, mortalité, perturbations naturelles et changement d’affectation des sols</w:t>
      </w:r>
    </w:p>
  </w:footnote>
  <w:footnote w:id="15">
    <w:p w14:paraId="42FEC447" w14:textId="77777777" w:rsidR="000046E5" w:rsidRDefault="000046E5" w:rsidP="00977B34">
      <w:pPr>
        <w:pStyle w:val="FootnoteText"/>
      </w:pPr>
      <w:r>
        <w:rPr>
          <w:rStyle w:val="FootnoteReference"/>
        </w:rPr>
        <w:footnoteRef/>
      </w:r>
      <w:r>
        <w:t xml:space="preserve"> </w:t>
      </w:r>
      <w:r w:rsidRPr="00CA4BC3">
        <w:t>Le rapport national d’inventaire de la France « NIR 20</w:t>
      </w:r>
      <w:r>
        <w:t>22</w:t>
      </w:r>
      <w:r w:rsidRPr="00CA4BC3">
        <w:t xml:space="preserve"> » comporte de nombreus</w:t>
      </w:r>
      <w:r>
        <w:t>es informations complémentaires. Voir en particulier le chapitre 1.2 en page 45</w:t>
      </w:r>
      <w:r w:rsidRPr="00CA4BC3">
        <w:t>:</w:t>
      </w:r>
      <w:r>
        <w:t xml:space="preserve"> </w:t>
      </w:r>
      <w:hyperlink r:id="rId5" w:history="1">
        <w:r w:rsidRPr="006A60F6">
          <w:rPr>
            <w:rStyle w:val="Hyperlink"/>
          </w:rPr>
          <w:t>https://unfccc.int/documents/461899</w:t>
        </w:r>
      </w:hyperlink>
    </w:p>
  </w:footnote>
  <w:footnote w:id="16">
    <w:p w14:paraId="42BCB5AE" w14:textId="77777777" w:rsidR="000046E5" w:rsidRDefault="000046E5" w:rsidP="00977B34">
      <w:pPr>
        <w:pStyle w:val="FootnoteText"/>
      </w:pPr>
      <w:r>
        <w:rPr>
          <w:rStyle w:val="FootnoteReference"/>
        </w:rPr>
        <w:footnoteRef/>
      </w:r>
      <w:r>
        <w:t xml:space="preserve"> </w:t>
      </w:r>
      <w:hyperlink r:id="rId6" w:history="1">
        <w:r w:rsidRPr="006A60F6">
          <w:rPr>
            <w:rStyle w:val="Hyperlink"/>
          </w:rPr>
          <w:t>https://www.legifrance.gouv.fr/loda/id/JORFTEXT000024556265/</w:t>
        </w:r>
      </w:hyperlink>
    </w:p>
  </w:footnote>
  <w:footnote w:id="17">
    <w:p w14:paraId="5C929E8A" w14:textId="77777777" w:rsidR="000046E5" w:rsidRDefault="000046E5" w:rsidP="00977B34">
      <w:pPr>
        <w:pStyle w:val="FootnoteText"/>
      </w:pPr>
      <w:r>
        <w:rPr>
          <w:rStyle w:val="FootnoteReference"/>
        </w:rPr>
        <w:footnoteRef/>
      </w:r>
      <w:r>
        <w:t xml:space="preserve"> </w:t>
      </w:r>
      <w:hyperlink r:id="rId7" w:history="1">
        <w:r w:rsidRPr="006A60F6">
          <w:rPr>
            <w:rStyle w:val="Hyperlink"/>
          </w:rPr>
          <w:t>https://www.citepa.org/fr/</w:t>
        </w:r>
      </w:hyperlink>
    </w:p>
  </w:footnote>
  <w:footnote w:id="18">
    <w:p w14:paraId="7FD8F529" w14:textId="77777777" w:rsidR="000046E5" w:rsidRPr="004B7F51" w:rsidRDefault="000046E5" w:rsidP="00977B34">
      <w:pPr>
        <w:pStyle w:val="FootnoteText"/>
        <w:rPr>
          <w:rFonts w:ascii="Arial" w:hAnsi="Arial"/>
          <w:sz w:val="18"/>
          <w:szCs w:val="18"/>
        </w:rPr>
      </w:pPr>
      <w:r w:rsidRPr="004B7F51">
        <w:rPr>
          <w:rStyle w:val="FootnoteReference"/>
          <w:rFonts w:ascii="Arial" w:hAnsi="Arial"/>
          <w:sz w:val="18"/>
          <w:szCs w:val="18"/>
        </w:rPr>
        <w:footnoteRef/>
      </w:r>
      <w:r w:rsidRPr="004B7F51">
        <w:rPr>
          <w:rFonts w:ascii="Arial" w:hAnsi="Arial"/>
          <w:sz w:val="18"/>
          <w:szCs w:val="18"/>
        </w:rPr>
        <w:t xml:space="preserve"> </w:t>
      </w:r>
      <w:r>
        <w:rPr>
          <w:rFonts w:ascii="Arial" w:hAnsi="Arial"/>
          <w:sz w:val="18"/>
          <w:szCs w:val="18"/>
        </w:rPr>
        <w:t xml:space="preserve">VESUVE : </w:t>
      </w:r>
      <w:r w:rsidRPr="004B7F51">
        <w:rPr>
          <w:rFonts w:ascii="Arial" w:hAnsi="Arial"/>
          <w:sz w:val="18"/>
          <w:szCs w:val="18"/>
        </w:rPr>
        <w:t>VErification et SUivi des fiches de l’inVEntaire</w:t>
      </w:r>
    </w:p>
  </w:footnote>
  <w:footnote w:id="19">
    <w:p w14:paraId="41422EB7" w14:textId="77777777" w:rsidR="000046E5" w:rsidRPr="006452CA" w:rsidRDefault="000046E5" w:rsidP="00977B34">
      <w:pPr>
        <w:pStyle w:val="FootnoteText"/>
        <w:rPr>
          <w:rFonts w:ascii="Arial" w:hAnsi="Arial"/>
          <w:sz w:val="18"/>
          <w:szCs w:val="18"/>
        </w:rPr>
      </w:pPr>
      <w:r w:rsidRPr="006452CA">
        <w:rPr>
          <w:rStyle w:val="FootnoteReference"/>
          <w:rFonts w:ascii="Arial" w:hAnsi="Arial"/>
          <w:sz w:val="18"/>
          <w:szCs w:val="18"/>
        </w:rPr>
        <w:footnoteRef/>
      </w:r>
      <w:r w:rsidRPr="006452CA">
        <w:rPr>
          <w:rFonts w:ascii="Arial" w:hAnsi="Arial"/>
          <w:sz w:val="18"/>
          <w:szCs w:val="18"/>
        </w:rPr>
        <w:t xml:space="preserve"> RISQ : Réseau Intégré du Système Qualité</w:t>
      </w:r>
    </w:p>
  </w:footnote>
  <w:footnote w:id="20">
    <w:p w14:paraId="47F0E0EC" w14:textId="7FB7A991" w:rsidR="000046E5" w:rsidRDefault="000046E5" w:rsidP="009A642D">
      <w:pPr>
        <w:autoSpaceDE w:val="0"/>
        <w:autoSpaceDN w:val="0"/>
        <w:adjustRightInd w:val="0"/>
      </w:pPr>
      <w:r>
        <w:rPr>
          <w:rStyle w:val="FootnoteReference"/>
        </w:rPr>
        <w:footnoteRef/>
      </w:r>
      <w:r>
        <w:t xml:space="preserve"> </w:t>
      </w:r>
      <w:hyperlink r:id="rId8" w:history="1">
        <w:r w:rsidRPr="00730361">
          <w:rPr>
            <w:rStyle w:val="Hyperlink"/>
            <w:rFonts w:asciiTheme="majorHAnsi" w:eastAsiaTheme="minorHAnsi" w:hAnsiTheme="majorHAnsi" w:cs="CIDFont+F1"/>
            <w:sz w:val="16"/>
            <w:szCs w:val="16"/>
            <w:u w:val="none"/>
            <w:lang w:eastAsia="en-US"/>
          </w:rPr>
          <w:t>https://www.legifrance.gouv.fr/affichCodeArticle.do?cidTexte=LEGITEXT000006074220&amp;idArticle=LEGIARTI000022476854&amp;</w:t>
        </w:r>
      </w:hyperlink>
      <w:r w:rsidRPr="00730361">
        <w:rPr>
          <w:rFonts w:asciiTheme="majorHAnsi" w:eastAsiaTheme="minorHAnsi" w:hAnsiTheme="majorHAnsi" w:cs="CIDFont+F1"/>
          <w:sz w:val="16"/>
          <w:szCs w:val="16"/>
          <w:lang w:eastAsia="en-US"/>
        </w:rPr>
        <w:t xml:space="preserve"> dateTexte=&amp;categorieLien=cid</w:t>
      </w:r>
    </w:p>
  </w:footnote>
  <w:footnote w:id="21">
    <w:p w14:paraId="2C1DDB7D" w14:textId="77777777" w:rsidR="000046E5" w:rsidRPr="00052DCE" w:rsidRDefault="000046E5" w:rsidP="00A47B71">
      <w:pPr>
        <w:pStyle w:val="FootnoteText"/>
        <w:rPr>
          <w:sz w:val="16"/>
          <w:szCs w:val="16"/>
        </w:rPr>
      </w:pPr>
      <w:r w:rsidRPr="00052DCE">
        <w:rPr>
          <w:rStyle w:val="FootnoteReference"/>
          <w:sz w:val="16"/>
          <w:szCs w:val="16"/>
        </w:rPr>
        <w:footnoteRef/>
      </w:r>
      <w:r w:rsidRPr="00052DCE">
        <w:rPr>
          <w:sz w:val="16"/>
          <w:szCs w:val="16"/>
        </w:rPr>
        <w:t xml:space="preserve"> https://www.ecologie.gouv.fr/suivi-strategie-nationale-bas-carbone</w:t>
      </w:r>
    </w:p>
  </w:footnote>
  <w:footnote w:id="22">
    <w:p w14:paraId="7D0BFE15" w14:textId="5BD9137C" w:rsidR="000046E5" w:rsidRDefault="000046E5">
      <w:pPr>
        <w:pStyle w:val="FootnoteText"/>
      </w:pPr>
      <w:r w:rsidRPr="00052DCE">
        <w:rPr>
          <w:rStyle w:val="FootnoteReference"/>
          <w:sz w:val="16"/>
          <w:szCs w:val="16"/>
        </w:rPr>
        <w:footnoteRef/>
      </w:r>
      <w:r w:rsidRPr="00052DCE">
        <w:rPr>
          <w:sz w:val="16"/>
          <w:szCs w:val="16"/>
        </w:rPr>
        <w:t xml:space="preserve"> </w:t>
      </w:r>
      <w:hyperlink r:id="rId9" w:history="1">
        <w:r w:rsidRPr="004973C1">
          <w:rPr>
            <w:rStyle w:val="Hyperlink"/>
            <w:sz w:val="16"/>
            <w:szCs w:val="16"/>
          </w:rPr>
          <w:t>https://www.ecologie.gouv.fr/rapportages-climat-france</w:t>
        </w:r>
      </w:hyperlink>
    </w:p>
  </w:footnote>
  <w:footnote w:id="23">
    <w:p w14:paraId="3D4C1A57" w14:textId="77777777" w:rsidR="000046E5" w:rsidRPr="00A17C42" w:rsidRDefault="000046E5" w:rsidP="00A5513E">
      <w:pPr>
        <w:pStyle w:val="FootnoteText"/>
        <w:rPr>
          <w:sz w:val="16"/>
          <w:szCs w:val="16"/>
        </w:rPr>
      </w:pPr>
      <w:r w:rsidRPr="00052DCE">
        <w:rPr>
          <w:rStyle w:val="FootnoteReference"/>
          <w:sz w:val="16"/>
          <w:szCs w:val="16"/>
        </w:rPr>
        <w:footnoteRef/>
      </w:r>
      <w:r w:rsidRPr="00052DCE">
        <w:rPr>
          <w:sz w:val="16"/>
          <w:szCs w:val="16"/>
        </w:rPr>
        <w:t xml:space="preserve"> </w:t>
      </w:r>
      <w:r w:rsidRPr="00A17C42">
        <w:rPr>
          <w:sz w:val="16"/>
          <w:szCs w:val="16"/>
        </w:rPr>
        <w:t>Citepa, juin 2022. Inventaire des émissions de polluants atmosphériques et de gaz à effet de serre en France –</w:t>
      </w:r>
    </w:p>
    <w:p w14:paraId="2B9B47A9" w14:textId="77777777" w:rsidR="000046E5" w:rsidRPr="00052DCE" w:rsidRDefault="000046E5" w:rsidP="00A5513E">
      <w:pPr>
        <w:pStyle w:val="FootnoteText"/>
        <w:rPr>
          <w:sz w:val="16"/>
          <w:szCs w:val="16"/>
        </w:rPr>
      </w:pPr>
      <w:r w:rsidRPr="00A17C42">
        <w:rPr>
          <w:sz w:val="16"/>
          <w:szCs w:val="16"/>
        </w:rPr>
        <w:t>Format Secten.</w:t>
      </w:r>
    </w:p>
  </w:footnote>
  <w:footnote w:id="24">
    <w:p w14:paraId="687E3E4B" w14:textId="3F004BBD" w:rsidR="000046E5" w:rsidRDefault="000046E5">
      <w:pPr>
        <w:pStyle w:val="FootnoteText"/>
      </w:pPr>
      <w:r>
        <w:rPr>
          <w:rStyle w:val="FootnoteReference"/>
        </w:rPr>
        <w:footnoteRef/>
      </w:r>
      <w:r>
        <w:t xml:space="preserve"> </w:t>
      </w:r>
      <w:hyperlink r:id="rId10" w:history="1">
        <w:r w:rsidRPr="00AB0E3E">
          <w:rPr>
            <w:rStyle w:val="Hyperlink"/>
          </w:rPr>
          <w:t>https://www.legifrance.gouv.fr/jorf/id/JORFTEXT000038812251</w:t>
        </w:r>
      </w:hyperlink>
    </w:p>
  </w:footnote>
  <w:footnote w:id="25">
    <w:p w14:paraId="7F18DFE1" w14:textId="77777777" w:rsidR="000046E5" w:rsidRPr="00A17C42" w:rsidRDefault="000046E5" w:rsidP="00A5513E">
      <w:pPr>
        <w:pStyle w:val="FootnoteText"/>
        <w:rPr>
          <w:sz w:val="16"/>
          <w:szCs w:val="16"/>
        </w:rPr>
      </w:pPr>
      <w:r>
        <w:rPr>
          <w:rStyle w:val="FootnoteReference"/>
        </w:rPr>
        <w:footnoteRef/>
      </w:r>
      <w:r>
        <w:t xml:space="preserve"> </w:t>
      </w:r>
      <w:r w:rsidRPr="00A17C42">
        <w:rPr>
          <w:sz w:val="16"/>
          <w:szCs w:val="16"/>
        </w:rPr>
        <w:t>Citepa, juin 2022. Inventaire des émissions de polluants atmosphériques et de gaz à effet de serre en France –</w:t>
      </w:r>
    </w:p>
    <w:p w14:paraId="7851B17F" w14:textId="77777777" w:rsidR="000046E5" w:rsidRDefault="000046E5" w:rsidP="00A5513E">
      <w:pPr>
        <w:pStyle w:val="FootnoteText"/>
      </w:pPr>
      <w:r w:rsidRPr="00A17C42">
        <w:rPr>
          <w:sz w:val="16"/>
          <w:szCs w:val="16"/>
        </w:rPr>
        <w:t>Format Secten.</w:t>
      </w:r>
    </w:p>
  </w:footnote>
  <w:footnote w:id="26">
    <w:p w14:paraId="71135197" w14:textId="77777777" w:rsidR="000046E5" w:rsidRDefault="000046E5" w:rsidP="00A5513E">
      <w:pPr>
        <w:pStyle w:val="CommentText"/>
      </w:pPr>
      <w:r>
        <w:rPr>
          <w:rStyle w:val="FootnoteReference"/>
        </w:rPr>
        <w:footnoteRef/>
      </w:r>
      <w:r>
        <w:t xml:space="preserve"> </w:t>
      </w:r>
      <w:hyperlink r:id="rId11" w:history="1">
        <w:r w:rsidRPr="0098743A">
          <w:rPr>
            <w:rStyle w:val="Hyperlink"/>
            <w:sz w:val="16"/>
            <w:szCs w:val="16"/>
          </w:rPr>
          <w:t>https://eur-lex.europa.eu/legal-content/FR/TXT/PDF/?uri=CELEX:32019R0807&amp;from=EN</w:t>
        </w:r>
      </w:hyperlink>
    </w:p>
    <w:p w14:paraId="0D2E02D2" w14:textId="77777777" w:rsidR="000046E5" w:rsidRDefault="000046E5" w:rsidP="00A5513E">
      <w:pPr>
        <w:pStyle w:val="FootnoteText"/>
      </w:pPr>
    </w:p>
  </w:footnote>
  <w:footnote w:id="27">
    <w:p w14:paraId="49ECE8C2" w14:textId="77777777" w:rsidR="000046E5" w:rsidRDefault="000046E5" w:rsidP="00426FA6">
      <w:pPr>
        <w:pStyle w:val="FootnoteText"/>
      </w:pPr>
      <w:r w:rsidRPr="00701678">
        <w:rPr>
          <w:rStyle w:val="FootnoteReference"/>
          <w:sz w:val="16"/>
          <w:szCs w:val="16"/>
        </w:rPr>
        <w:footnoteRef/>
      </w:r>
      <w:r w:rsidRPr="00701678">
        <w:rPr>
          <w:sz w:val="16"/>
          <w:szCs w:val="16"/>
        </w:rPr>
        <w:t xml:space="preserve"> https://agriculture.gouv.fr/telecharger/118602</w:t>
      </w:r>
    </w:p>
  </w:footnote>
  <w:footnote w:id="28">
    <w:p w14:paraId="20AA30CC" w14:textId="77777777" w:rsidR="000046E5" w:rsidRDefault="000046E5" w:rsidP="00426FA6">
      <w:pPr>
        <w:pStyle w:val="FootnoteText"/>
      </w:pPr>
      <w:r>
        <w:rPr>
          <w:rStyle w:val="FootnoteReference"/>
        </w:rPr>
        <w:footnoteRef/>
      </w:r>
      <w:r>
        <w:t xml:space="preserve"> </w:t>
      </w:r>
      <w:r w:rsidRPr="00E73F11">
        <w:t>https://www.gouvernement.fr/action/le-grand-plan-d-investissement-2018-2022</w:t>
      </w:r>
    </w:p>
  </w:footnote>
  <w:footnote w:id="29">
    <w:p w14:paraId="3C1EBF2D" w14:textId="77777777" w:rsidR="000046E5" w:rsidRDefault="000046E5" w:rsidP="00426FA6">
      <w:pPr>
        <w:pStyle w:val="FootnoteText"/>
      </w:pPr>
      <w:r>
        <w:rPr>
          <w:rStyle w:val="FootnoteReference"/>
        </w:rPr>
        <w:footnoteRef/>
      </w:r>
      <w:r w:rsidRPr="00C16405">
        <w:t>https://draaf.grand-est.agriculture.gouv.fr/IMG/pdf/20180920-GPI-Presentation_Grand_Est_cle068139.pdf</w:t>
      </w:r>
    </w:p>
  </w:footnote>
  <w:footnote w:id="30">
    <w:p w14:paraId="0298FC9D" w14:textId="77777777" w:rsidR="000046E5" w:rsidRDefault="000046E5" w:rsidP="00426FA6">
      <w:pPr>
        <w:pStyle w:val="FootnoteText"/>
      </w:pPr>
      <w:r>
        <w:rPr>
          <w:rStyle w:val="FootnoteReference"/>
          <w:rFonts w:eastAsiaTheme="majorEastAsia"/>
        </w:rPr>
        <w:footnoteRef/>
      </w:r>
      <w:r>
        <w:t xml:space="preserve"> </w:t>
      </w:r>
      <w:hyperlink r:id="rId12" w:history="1">
        <w:r w:rsidRPr="0083326E">
          <w:rPr>
            <w:rStyle w:val="Hyperlink"/>
          </w:rPr>
          <w:t>https://agriculture.gouv.fr/tous-les-travaux-autour-des-3-thematiques-du-varenne-agricole-de-leau-et-de-ladaptation-au</w:t>
        </w:r>
      </w:hyperlink>
      <w:r>
        <w:t xml:space="preserve"> </w:t>
      </w:r>
    </w:p>
  </w:footnote>
  <w:footnote w:id="31">
    <w:p w14:paraId="35D8D8EC" w14:textId="77777777" w:rsidR="000046E5" w:rsidRDefault="000046E5" w:rsidP="00426FA6">
      <w:pPr>
        <w:pStyle w:val="FootnoteText"/>
        <w:rPr>
          <w:rFonts w:ascii="Arial" w:hAnsi="Arial" w:cstheme="minorBidi"/>
          <w:sz w:val="16"/>
          <w:lang w:eastAsia="en-US"/>
        </w:rPr>
      </w:pPr>
      <w:r>
        <w:rPr>
          <w:rStyle w:val="FootnoteReference"/>
          <w:szCs w:val="16"/>
        </w:rPr>
        <w:footnoteRef/>
      </w:r>
      <w:r>
        <w:t xml:space="preserve"> https://www.ecologie.gouv.fr/programmations-pluriannuelles-lenergie-ppe</w:t>
      </w:r>
    </w:p>
  </w:footnote>
  <w:footnote w:id="32">
    <w:p w14:paraId="5B06B14C" w14:textId="77777777" w:rsidR="000046E5" w:rsidRDefault="000046E5" w:rsidP="00426FA6">
      <w:pPr>
        <w:pStyle w:val="FootnoteText"/>
      </w:pPr>
      <w:r>
        <w:rPr>
          <w:rStyle w:val="FootnoteReference"/>
        </w:rPr>
        <w:footnoteRef/>
      </w:r>
      <w:r>
        <w:t xml:space="preserve"> </w:t>
      </w:r>
      <w:r w:rsidRPr="002B67E5">
        <w:t>https://agriculture.gouv.fr/plan-de-competitivite-et-dadaptation-des-exploitations-agricoles</w:t>
      </w:r>
    </w:p>
  </w:footnote>
  <w:footnote w:id="33">
    <w:p w14:paraId="2ACC891A" w14:textId="77777777" w:rsidR="000046E5" w:rsidRPr="009954D3" w:rsidRDefault="000046E5" w:rsidP="00426FA6">
      <w:pPr>
        <w:pStyle w:val="FootnoteText"/>
      </w:pPr>
      <w:r w:rsidRPr="009954D3">
        <w:rPr>
          <w:rStyle w:val="FootnoteReference"/>
          <w:rFonts w:eastAsiaTheme="majorEastAsia"/>
          <w:szCs w:val="16"/>
        </w:rPr>
        <w:footnoteRef/>
      </w:r>
      <w:r w:rsidRPr="009954D3">
        <w:t xml:space="preserve"> https://agriculture.gouv.fr/programme-national-pour-lalimentation-2019-2023-territoires-en-action</w:t>
      </w:r>
    </w:p>
  </w:footnote>
  <w:footnote w:id="34">
    <w:p w14:paraId="03B471C8" w14:textId="77777777" w:rsidR="000046E5" w:rsidRPr="009954D3" w:rsidRDefault="000046E5" w:rsidP="00426FA6">
      <w:pPr>
        <w:pStyle w:val="FootnoteText"/>
      </w:pPr>
      <w:r w:rsidRPr="009954D3">
        <w:rPr>
          <w:rStyle w:val="FootnoteReference"/>
          <w:rFonts w:eastAsiaTheme="majorEastAsia"/>
          <w:szCs w:val="16"/>
        </w:rPr>
        <w:footnoteRef/>
      </w:r>
      <w:r w:rsidRPr="009954D3">
        <w:t xml:space="preserve"> https://www.legifrance.gouv.fr/jorf/id/JORFTEXT000037547946/</w:t>
      </w:r>
    </w:p>
  </w:footnote>
  <w:footnote w:id="35">
    <w:p w14:paraId="3C7DB623" w14:textId="77777777" w:rsidR="000046E5" w:rsidRDefault="000046E5" w:rsidP="00426FA6">
      <w:pPr>
        <w:pStyle w:val="FootnoteText"/>
        <w:rPr>
          <w:rFonts w:eastAsiaTheme="minorHAnsi"/>
        </w:rPr>
      </w:pPr>
      <w:r>
        <w:rPr>
          <w:rStyle w:val="FootnoteReference"/>
        </w:rPr>
        <w:footnoteRef/>
      </w:r>
      <w:r>
        <w:t xml:space="preserve"> https://agriculture.gouv.fr/lancement-de-la-strategie-nationale-en-faveur-du-developpement-des-proteines-vegetales</w:t>
      </w:r>
    </w:p>
  </w:footnote>
  <w:footnote w:id="36">
    <w:p w14:paraId="3DC12432" w14:textId="77777777" w:rsidR="000046E5" w:rsidRDefault="000046E5" w:rsidP="00426FA6">
      <w:pPr>
        <w:pStyle w:val="FootnoteText"/>
      </w:pPr>
      <w:r>
        <w:rPr>
          <w:rStyle w:val="FootnoteReference"/>
        </w:rPr>
        <w:footnoteRef/>
      </w:r>
      <w:r w:rsidRPr="0013006F">
        <w:t>https://agriculture.gouv.fr/ambition-bio-2022-plan-dactions-des-acteurs-de-lagriculture-et-de-lalimentation</w:t>
      </w:r>
    </w:p>
  </w:footnote>
  <w:footnote w:id="37">
    <w:p w14:paraId="359676F2" w14:textId="77777777" w:rsidR="000046E5" w:rsidRDefault="000046E5" w:rsidP="00426FA6">
      <w:pPr>
        <w:pStyle w:val="FootnoteText"/>
      </w:pPr>
      <w:r>
        <w:rPr>
          <w:rStyle w:val="FootnoteReference"/>
        </w:rPr>
        <w:footnoteRef/>
      </w:r>
      <w:r w:rsidRPr="00E86AA3">
        <w:t>https://agriculture.gouv.fr/lancement-du-nouveau-plan-semences-et-plants-pour-une-agriculture-durable</w:t>
      </w:r>
    </w:p>
  </w:footnote>
  <w:footnote w:id="38">
    <w:p w14:paraId="685DE127" w14:textId="77777777" w:rsidR="000046E5" w:rsidRPr="0098743A" w:rsidRDefault="000046E5" w:rsidP="00426FA6">
      <w:pPr>
        <w:pStyle w:val="FootnoteText"/>
        <w:rPr>
          <w:sz w:val="16"/>
          <w:szCs w:val="16"/>
        </w:rPr>
      </w:pPr>
      <w:r w:rsidRPr="0098743A">
        <w:rPr>
          <w:rStyle w:val="FootnoteReference"/>
          <w:sz w:val="16"/>
          <w:szCs w:val="16"/>
        </w:rPr>
        <w:footnoteRef/>
      </w:r>
      <w:r w:rsidRPr="0098743A">
        <w:rPr>
          <w:sz w:val="16"/>
          <w:szCs w:val="16"/>
        </w:rPr>
        <w:t xml:space="preserve"> https://www.ecologie.gouv.fr/sites/default/files/strategie%20Biodiversit%C3%A9%202030_1er%20volet.pdf</w:t>
      </w:r>
    </w:p>
  </w:footnote>
  <w:footnote w:id="39">
    <w:p w14:paraId="74937AB1" w14:textId="77777777" w:rsidR="000046E5" w:rsidRDefault="000046E5" w:rsidP="00426FA6">
      <w:pPr>
        <w:pStyle w:val="FootnoteText"/>
      </w:pPr>
      <w:r w:rsidRPr="0098743A">
        <w:rPr>
          <w:rStyle w:val="FootnoteReference"/>
          <w:sz w:val="16"/>
          <w:szCs w:val="16"/>
        </w:rPr>
        <w:footnoteRef/>
      </w:r>
      <w:r w:rsidRPr="0098743A">
        <w:rPr>
          <w:sz w:val="16"/>
          <w:szCs w:val="16"/>
        </w:rPr>
        <w:t xml:space="preserve"> https://www.ecologie.gouv.fr/label-bas-carbone</w:t>
      </w:r>
    </w:p>
  </w:footnote>
  <w:footnote w:id="40">
    <w:p w14:paraId="58D6DD39" w14:textId="77777777" w:rsidR="000046E5" w:rsidRDefault="000046E5" w:rsidP="00426FA6">
      <w:pPr>
        <w:pStyle w:val="FootnoteText"/>
      </w:pPr>
      <w:r>
        <w:rPr>
          <w:rStyle w:val="FootnoteReference"/>
        </w:rPr>
        <w:footnoteRef/>
      </w:r>
      <w:r w:rsidRPr="00AA4E83">
        <w:t>https://www.ecologie.gouv.fr/loi-climat-et-resilience-compensation-des-emissions-gaz-effet-serre-des-vols-nationaux</w:t>
      </w:r>
    </w:p>
  </w:footnote>
  <w:footnote w:id="41">
    <w:p w14:paraId="45F1B68A" w14:textId="77777777" w:rsidR="000046E5" w:rsidRDefault="000046E5" w:rsidP="00426FA6">
      <w:pPr>
        <w:pStyle w:val="FootnoteText"/>
      </w:pPr>
      <w:r>
        <w:rPr>
          <w:rStyle w:val="FootnoteReference"/>
          <w:rFonts w:eastAsiaTheme="majorEastAsia"/>
        </w:rPr>
        <w:footnoteRef/>
      </w:r>
      <w:r>
        <w:t xml:space="preserve"> Barbier et al., 2019. L’empreinte énergétique et carbone de l’alimentation en France, de la production à la consommation.</w:t>
      </w:r>
    </w:p>
  </w:footnote>
  <w:footnote w:id="42">
    <w:p w14:paraId="64F49603" w14:textId="77777777" w:rsidR="000046E5" w:rsidRDefault="000046E5" w:rsidP="00426FA6">
      <w:pPr>
        <w:pStyle w:val="FootnoteText"/>
      </w:pPr>
      <w:r>
        <w:rPr>
          <w:rStyle w:val="FootnoteReference"/>
          <w:rFonts w:eastAsiaTheme="majorEastAsia"/>
        </w:rPr>
        <w:footnoteRef/>
      </w:r>
      <w:r>
        <w:t xml:space="preserve"> </w:t>
      </w:r>
      <w:r w:rsidRPr="00E84BE6">
        <w:t>En France, la consommation de légumes secs (lentilles, haricots, fèves, pois chiche, etc.) a été divisée par 4 en vingt ans, atteignant 1,7 kg/pers/an contre 3,9 kg en moyenne européenne. Le Programme national nutrition santé (PNNS) recommande d'augmenter la consommation de légumineuses (au moins 2 fois par semaine), en raison de leur richesse en fibres</w:t>
      </w:r>
      <w:r>
        <w:rPr>
          <w:rFonts w:ascii="Marianne-Regular" w:hAnsi="Marianne-Regular" w:cs="Marianne-Regular"/>
          <w:sz w:val="18"/>
          <w:szCs w:val="18"/>
        </w:rPr>
        <w:t>.</w:t>
      </w:r>
    </w:p>
  </w:footnote>
  <w:footnote w:id="43">
    <w:p w14:paraId="162BCEAE" w14:textId="77777777" w:rsidR="000046E5" w:rsidRDefault="000046E5" w:rsidP="00426FA6">
      <w:pPr>
        <w:pStyle w:val="FootnoteText"/>
      </w:pPr>
      <w:r>
        <w:rPr>
          <w:rStyle w:val="FootnoteReference"/>
          <w:rFonts w:eastAsiaTheme="majorEastAsia"/>
        </w:rPr>
        <w:footnoteRef/>
      </w:r>
      <w:r>
        <w:t xml:space="preserve"> </w:t>
      </w:r>
      <w:r w:rsidRPr="00321C55">
        <w:t>https://www.legifrance.gouv.fr/loda/id/JORFTEXT000032036289/</w:t>
      </w:r>
    </w:p>
  </w:footnote>
  <w:footnote w:id="44">
    <w:p w14:paraId="29A497AB" w14:textId="77777777" w:rsidR="000046E5" w:rsidRDefault="000046E5" w:rsidP="00426FA6">
      <w:pPr>
        <w:pStyle w:val="FootnoteText"/>
      </w:pPr>
      <w:r>
        <w:rPr>
          <w:rStyle w:val="FootnoteReference"/>
          <w:rFonts w:eastAsiaTheme="majorEastAsia"/>
        </w:rPr>
        <w:footnoteRef/>
      </w:r>
      <w:r>
        <w:t xml:space="preserve"> </w:t>
      </w:r>
      <w:r w:rsidRPr="002A61C0">
        <w:t>https://www.legifrance.gouv.fr/loda/id/JORFTEXT000041553759/</w:t>
      </w:r>
    </w:p>
  </w:footnote>
  <w:footnote w:id="45">
    <w:p w14:paraId="2A5B4647" w14:textId="77777777" w:rsidR="000046E5" w:rsidRDefault="000046E5" w:rsidP="00426FA6">
      <w:pPr>
        <w:pStyle w:val="FootnoteText"/>
      </w:pPr>
      <w:r>
        <w:rPr>
          <w:rStyle w:val="FootnoteReference"/>
          <w:rFonts w:eastAsiaTheme="majorEastAsia"/>
        </w:rPr>
        <w:footnoteRef/>
      </w:r>
      <w:r>
        <w:t xml:space="preserve"> </w:t>
      </w:r>
      <w:hyperlink r:id="rId13" w:history="1">
        <w:r w:rsidRPr="0076539A">
          <w:rPr>
            <w:rStyle w:val="Hyperlink"/>
          </w:rPr>
          <w:t>https://www.4p1000.org/fr</w:t>
        </w:r>
      </w:hyperlink>
      <w:r>
        <w:t xml:space="preserve"> </w:t>
      </w:r>
    </w:p>
  </w:footnote>
  <w:footnote w:id="46">
    <w:p w14:paraId="0AA3CC64" w14:textId="77777777" w:rsidR="000046E5" w:rsidRDefault="000046E5" w:rsidP="00426FA6">
      <w:pPr>
        <w:pStyle w:val="FootnoteText"/>
      </w:pPr>
      <w:r>
        <w:rPr>
          <w:rStyle w:val="FootnoteReference"/>
          <w:rFonts w:eastAsiaTheme="majorEastAsia"/>
        </w:rPr>
        <w:footnoteRef/>
      </w:r>
      <w:r>
        <w:t xml:space="preserve"> </w:t>
      </w:r>
      <w:r w:rsidRPr="009954D3">
        <w:t>https://agriculture.gouv.fr/un-plan-national-de-developpement-pour-lagroforesterie</w:t>
      </w:r>
    </w:p>
  </w:footnote>
  <w:footnote w:id="47">
    <w:p w14:paraId="48E4CD74" w14:textId="77777777" w:rsidR="000046E5" w:rsidRPr="009954D3" w:rsidRDefault="000046E5" w:rsidP="00426FA6">
      <w:pPr>
        <w:pStyle w:val="FootnoteText"/>
      </w:pPr>
      <w:r w:rsidRPr="009954D3">
        <w:rPr>
          <w:rStyle w:val="FootnoteReference"/>
          <w:rFonts w:eastAsiaTheme="majorEastAsia"/>
          <w:szCs w:val="16"/>
        </w:rPr>
        <w:footnoteRef/>
      </w:r>
      <w:r w:rsidRPr="009954D3">
        <w:t xml:space="preserve"> https://agriculture.gouv.fr/francerelance-50-meu-pour-planter-7-000-km-de-haies-en-2-ans</w:t>
      </w:r>
    </w:p>
  </w:footnote>
  <w:footnote w:id="48">
    <w:p w14:paraId="0CAAACAB" w14:textId="77777777" w:rsidR="000046E5" w:rsidRDefault="000046E5" w:rsidP="00426FA6">
      <w:pPr>
        <w:pStyle w:val="FootnoteText"/>
      </w:pPr>
      <w:r>
        <w:rPr>
          <w:rStyle w:val="FootnoteReference"/>
        </w:rPr>
        <w:footnoteRef/>
      </w:r>
      <w:r>
        <w:t xml:space="preserve"> </w:t>
      </w:r>
      <w:r w:rsidRPr="00880175">
        <w:t>https://agriculture.gouv.fr/filiere-graines-et-plants-forestiers-plus-de-50-millions-deuros-pour-batir-lavenir-de-la-foret</w:t>
      </w:r>
    </w:p>
  </w:footnote>
  <w:footnote w:id="49">
    <w:p w14:paraId="0AAEC137" w14:textId="77777777" w:rsidR="000046E5" w:rsidRPr="009E30DE" w:rsidRDefault="000046E5" w:rsidP="00426FA6">
      <w:pPr>
        <w:pStyle w:val="FootnoteText"/>
        <w:rPr>
          <w:sz w:val="16"/>
          <w:szCs w:val="16"/>
        </w:rPr>
      </w:pPr>
      <w:r w:rsidRPr="009E30DE">
        <w:rPr>
          <w:rStyle w:val="FootnoteReference"/>
          <w:sz w:val="16"/>
          <w:szCs w:val="16"/>
        </w:rPr>
        <w:footnoteRef/>
      </w:r>
      <w:r w:rsidRPr="009E30DE">
        <w:rPr>
          <w:sz w:val="16"/>
          <w:szCs w:val="16"/>
        </w:rPr>
        <w:t xml:space="preserve"> http://bois.bpifrance.fr/</w:t>
      </w:r>
    </w:p>
  </w:footnote>
  <w:footnote w:id="50">
    <w:p w14:paraId="6D370B15" w14:textId="77777777" w:rsidR="000046E5" w:rsidRPr="00052DCE" w:rsidRDefault="000046E5" w:rsidP="00426FA6">
      <w:pPr>
        <w:pStyle w:val="FootnoteText"/>
        <w:rPr>
          <w:sz w:val="16"/>
          <w:szCs w:val="16"/>
        </w:rPr>
      </w:pPr>
      <w:r w:rsidRPr="00052DCE">
        <w:rPr>
          <w:rStyle w:val="FootnoteReference"/>
          <w:sz w:val="16"/>
          <w:szCs w:val="16"/>
        </w:rPr>
        <w:footnoteRef/>
      </w:r>
      <w:r w:rsidRPr="00052DCE">
        <w:rPr>
          <w:sz w:val="16"/>
          <w:szCs w:val="16"/>
        </w:rPr>
        <w:t xml:space="preserve"> https://fondschaleur.ademe.fr/</w:t>
      </w:r>
    </w:p>
  </w:footnote>
  <w:footnote w:id="51">
    <w:p w14:paraId="086C307D" w14:textId="77777777" w:rsidR="000046E5" w:rsidRPr="00A17C42" w:rsidRDefault="000046E5" w:rsidP="00A5513E">
      <w:pPr>
        <w:autoSpaceDE w:val="0"/>
        <w:autoSpaceDN w:val="0"/>
        <w:adjustRightInd w:val="0"/>
        <w:rPr>
          <w:rFonts w:asciiTheme="majorHAnsi" w:eastAsiaTheme="minorHAnsi" w:hAnsiTheme="majorHAnsi" w:cs="TrebuchetMS"/>
          <w:sz w:val="16"/>
          <w:szCs w:val="16"/>
          <w:lang w:eastAsia="en-US"/>
        </w:rPr>
      </w:pPr>
      <w:r w:rsidRPr="00A17C42">
        <w:rPr>
          <w:rStyle w:val="FootnoteReference"/>
          <w:rFonts w:asciiTheme="majorHAnsi" w:hAnsiTheme="majorHAnsi"/>
          <w:sz w:val="16"/>
          <w:szCs w:val="16"/>
        </w:rPr>
        <w:footnoteRef/>
      </w:r>
      <w:r w:rsidRPr="00A17C42">
        <w:rPr>
          <w:rFonts w:asciiTheme="majorHAnsi" w:hAnsiTheme="majorHAnsi"/>
          <w:sz w:val="16"/>
          <w:szCs w:val="16"/>
        </w:rPr>
        <w:t xml:space="preserve"> </w:t>
      </w:r>
      <w:r w:rsidRPr="00A17C42">
        <w:rPr>
          <w:rFonts w:asciiTheme="majorHAnsi" w:eastAsiaTheme="minorHAnsi" w:hAnsiTheme="majorHAnsi" w:cs="TrebuchetMS"/>
          <w:sz w:val="16"/>
          <w:szCs w:val="16"/>
          <w:lang w:eastAsia="en-US"/>
        </w:rPr>
        <w:t>Citepa, juin 2022. Inventaire des émissions de polluants atmosphériques et de gaz à effet de serre en France –</w:t>
      </w:r>
    </w:p>
    <w:p w14:paraId="398CF18B" w14:textId="77777777" w:rsidR="000046E5" w:rsidRDefault="000046E5" w:rsidP="00A5513E">
      <w:pPr>
        <w:pStyle w:val="FootnoteText"/>
      </w:pPr>
      <w:r w:rsidRPr="00A17C42">
        <w:rPr>
          <w:rFonts w:asciiTheme="majorHAnsi" w:eastAsiaTheme="minorHAnsi" w:hAnsiTheme="majorHAnsi" w:cs="TrebuchetMS"/>
          <w:sz w:val="16"/>
          <w:szCs w:val="16"/>
          <w:lang w:eastAsia="en-US"/>
        </w:rPr>
        <w:t>Format Secten.</w:t>
      </w:r>
    </w:p>
  </w:footnote>
  <w:footnote w:id="52">
    <w:p w14:paraId="6F1B3BEF" w14:textId="77777777" w:rsidR="000046E5" w:rsidRDefault="000046E5" w:rsidP="00A5513E">
      <w:pPr>
        <w:pStyle w:val="FootnoteText"/>
      </w:pPr>
      <w:r>
        <w:rPr>
          <w:rStyle w:val="FootnoteReference"/>
        </w:rPr>
        <w:footnoteRef/>
      </w:r>
      <w:r>
        <w:t xml:space="preserve"> </w:t>
      </w:r>
      <w:r w:rsidRPr="00E76F76">
        <w:t>https://www.ecologie.gouv.fr/sites/default/files/Projet%20de%20FAQ.pdf</w:t>
      </w:r>
    </w:p>
  </w:footnote>
  <w:footnote w:id="53">
    <w:p w14:paraId="02D722E2" w14:textId="77777777" w:rsidR="000046E5" w:rsidRDefault="000046E5" w:rsidP="00A5513E">
      <w:pPr>
        <w:pStyle w:val="FootnoteText"/>
      </w:pPr>
      <w:r>
        <w:rPr>
          <w:rStyle w:val="FootnoteReference"/>
        </w:rPr>
        <w:footnoteRef/>
      </w:r>
      <w:r>
        <w:t xml:space="preserve"> les emballages professionnels (2025), y compris pour les emballages utilisés par les professionnels de la restauration (2023), Les produits ou matériaux de construction du secteur du bâtiment (2022),</w:t>
      </w:r>
      <w:r>
        <w:rPr>
          <w:rFonts w:ascii="Calibri" w:hAnsi="Calibri" w:cs="Calibri"/>
        </w:rPr>
        <w:t> </w:t>
      </w:r>
      <w:r>
        <w:t>les jouets (2022), les articles de sport et de loisirs (2022), les articles de bricolage et de jardin (2022), les huiles minérales ou synthétiques (2022), les produits du tabac (2021), les gommes à mâcher (2024), les textiles sanitaires à usage unique (2024), les engins de pêche contenant du plastique (2025) les aides techniques médicales (possibilité)</w:t>
      </w:r>
    </w:p>
  </w:footnote>
  <w:footnote w:id="54">
    <w:p w14:paraId="4F09FFBF" w14:textId="77777777" w:rsidR="000046E5" w:rsidRDefault="000046E5" w:rsidP="001B5E15">
      <w:pPr>
        <w:pStyle w:val="FootnoteText"/>
      </w:pPr>
      <w:r>
        <w:rPr>
          <w:rStyle w:val="FootnoteReference"/>
        </w:rPr>
        <w:footnoteRef/>
      </w:r>
      <w:r>
        <w:t xml:space="preserve"> </w:t>
      </w:r>
      <w:hyperlink r:id="rId14" w:history="1">
        <w:r w:rsidRPr="00837EEF">
          <w:rPr>
            <w:rStyle w:val="Hyperlink"/>
          </w:rPr>
          <w:t>https://www.ecologie.gouv.fr/sites/default/files/Synth%C3%A8se_du_sc%C3%A9nario_AME2021_postQAQC%5B1%5D.pdf</w:t>
        </w:r>
      </w:hyperlink>
    </w:p>
  </w:footnote>
  <w:footnote w:id="55">
    <w:p w14:paraId="58BF8683" w14:textId="77777777" w:rsidR="000046E5" w:rsidRPr="00C14DCA" w:rsidRDefault="000046E5" w:rsidP="001B5E15">
      <w:pPr>
        <w:pStyle w:val="Footnote"/>
        <w:rPr>
          <w:rFonts w:asciiTheme="majorHAnsi" w:hAnsiTheme="majorHAnsi"/>
        </w:rPr>
      </w:pPr>
      <w:r w:rsidRPr="00C14DCA">
        <w:rPr>
          <w:rStyle w:val="FootnoteReference"/>
          <w:rFonts w:asciiTheme="majorHAnsi" w:hAnsiTheme="majorHAnsi"/>
        </w:rPr>
        <w:footnoteRef/>
      </w:r>
      <w:hyperlink r:id="rId15" w:anchor="e2" w:history="1">
        <w:r w:rsidRPr="00C14DCA">
          <w:rPr>
            <w:rStyle w:val="Hyperlink"/>
            <w:rFonts w:asciiTheme="majorHAnsi" w:hAnsiTheme="majorHAnsi"/>
          </w:rPr>
          <w:t>https://www.ecologique-solidaire.gouv.fr/scenarios-prospectifs-energie-climat-air#e2</w:t>
        </w:r>
      </w:hyperlink>
    </w:p>
  </w:footnote>
  <w:footnote w:id="56">
    <w:p w14:paraId="5B384793" w14:textId="77777777" w:rsidR="000046E5" w:rsidRDefault="000046E5" w:rsidP="006D5177">
      <w:pPr>
        <w:pStyle w:val="FootnoteText"/>
      </w:pPr>
      <w:r>
        <w:rPr>
          <w:rStyle w:val="FootnoteReference"/>
        </w:rPr>
        <w:footnoteRef/>
      </w:r>
      <w:r>
        <w:t xml:space="preserve"> </w:t>
      </w:r>
      <w:r w:rsidRPr="0006294A">
        <w:rPr>
          <w:sz w:val="16"/>
        </w:rPr>
        <w:t>https://www.ecologie.gouv.fr/sites/default/files/ONERC_Rapport_2018_Evenements_meteorologiques_extremes_et_CC_WEB.pdf</w:t>
      </w:r>
    </w:p>
  </w:footnote>
  <w:footnote w:id="57">
    <w:p w14:paraId="191EBA8F" w14:textId="77777777" w:rsidR="000046E5" w:rsidRPr="0006294A" w:rsidRDefault="000046E5" w:rsidP="006D5177">
      <w:pPr>
        <w:pStyle w:val="FootnoteText"/>
        <w:rPr>
          <w:sz w:val="16"/>
        </w:rPr>
      </w:pPr>
      <w:r>
        <w:rPr>
          <w:rStyle w:val="FootnoteReference"/>
        </w:rPr>
        <w:footnoteRef/>
      </w:r>
      <w:r>
        <w:t xml:space="preserve"> </w:t>
      </w:r>
      <w:hyperlink r:id="rId16" w:history="1">
        <w:r w:rsidRPr="0006294A">
          <w:rPr>
            <w:rStyle w:val="Hyperlink"/>
            <w:sz w:val="16"/>
          </w:rPr>
          <w:t>https://www.ecologie.gouv.fr/sites/default/files/ONERC_Rapport_2019_SfN_WEB.pdf</w:t>
        </w:r>
      </w:hyperlink>
    </w:p>
  </w:footnote>
  <w:footnote w:id="58">
    <w:p w14:paraId="4AE7B67F" w14:textId="77777777" w:rsidR="000046E5" w:rsidRDefault="000046E5" w:rsidP="006D5177">
      <w:pPr>
        <w:pStyle w:val="FootnoteText"/>
      </w:pPr>
      <w:r w:rsidRPr="0006294A">
        <w:rPr>
          <w:rStyle w:val="FootnoteReference"/>
          <w:sz w:val="16"/>
        </w:rPr>
        <w:footnoteRef/>
      </w:r>
      <w:r w:rsidRPr="0006294A">
        <w:rPr>
          <w:sz w:val="16"/>
        </w:rPr>
        <w:t xml:space="preserve"> </w:t>
      </w:r>
      <w:hyperlink r:id="rId17" w:history="1">
        <w:r w:rsidRPr="0006294A">
          <w:rPr>
            <w:rStyle w:val="Hyperlink"/>
            <w:sz w:val="16"/>
          </w:rPr>
          <w:t>https://www.ecologie.gouv.fr/sites/default/files/9782111573567_ONERC_EtudesProspectives_Web_VF.pdf</w:t>
        </w:r>
      </w:hyperlink>
    </w:p>
  </w:footnote>
  <w:footnote w:id="59">
    <w:p w14:paraId="27DBEE2A" w14:textId="77777777" w:rsidR="000046E5" w:rsidRDefault="000046E5" w:rsidP="00A845C2">
      <w:pPr>
        <w:pStyle w:val="FootnoteText"/>
      </w:pPr>
      <w:r>
        <w:rPr>
          <w:rStyle w:val="FootnoteReference"/>
        </w:rPr>
        <w:footnoteRef/>
      </w:r>
      <w:r>
        <w:t xml:space="preserve"> </w:t>
      </w:r>
      <w:hyperlink r:id="rId18" w:history="1">
        <w:r w:rsidRPr="008F7055">
          <w:rPr>
            <w:rStyle w:val="Hyperlink"/>
            <w:sz w:val="16"/>
            <w:szCs w:val="16"/>
          </w:rPr>
          <w:t>https://www.ecologique-solidaire.gouv.fr/observatoire-national-sur-effets-du-rechauffement-climatique-onerc</w:t>
        </w:r>
      </w:hyperlink>
    </w:p>
  </w:footnote>
  <w:footnote w:id="60">
    <w:p w14:paraId="5DD1DBF9" w14:textId="77777777" w:rsidR="000046E5" w:rsidRDefault="000046E5" w:rsidP="006D5177">
      <w:pPr>
        <w:pStyle w:val="FootnoteText"/>
      </w:pPr>
      <w:r>
        <w:rPr>
          <w:rStyle w:val="FootnoteReference"/>
        </w:rPr>
        <w:footnoteRef/>
      </w:r>
      <w:r>
        <w:t xml:space="preserve"> </w:t>
      </w:r>
      <w:r>
        <w:rPr>
          <w:sz w:val="16"/>
          <w:szCs w:val="16"/>
        </w:rPr>
        <w:t xml:space="preserve">http://www.developpement-durable.gouv.fr/IMG/pdf/ONERC-PNACC-complet.pdf </w:t>
      </w:r>
      <w:r>
        <w:t xml:space="preserve"> </w:t>
      </w:r>
    </w:p>
  </w:footnote>
  <w:footnote w:id="61">
    <w:p w14:paraId="56F0BD0B" w14:textId="77777777" w:rsidR="000046E5" w:rsidRPr="00445995" w:rsidRDefault="000046E5" w:rsidP="006D5177">
      <w:pPr>
        <w:pStyle w:val="FootnoteText"/>
        <w:rPr>
          <w:lang w:val="en-GB"/>
        </w:rPr>
      </w:pPr>
      <w:r>
        <w:rPr>
          <w:rStyle w:val="FootnoteReference"/>
        </w:rPr>
        <w:footnoteRef/>
      </w:r>
      <w:r w:rsidRPr="00445995">
        <w:rPr>
          <w:lang w:val="en-GB"/>
        </w:rPr>
        <w:t xml:space="preserve"> </w:t>
      </w:r>
      <w:r w:rsidRPr="00445995">
        <w:rPr>
          <w:sz w:val="16"/>
          <w:lang w:val="en-GB"/>
        </w:rPr>
        <w:t xml:space="preserve">Lord Nicholas Stern, « The Economics of Climate Change », Cambridge University Press, 2006 </w:t>
      </w:r>
      <w:r w:rsidRPr="00445995">
        <w:rPr>
          <w:lang w:val="en-GB"/>
        </w:rPr>
        <w:t xml:space="preserve"> </w:t>
      </w:r>
    </w:p>
  </w:footnote>
  <w:footnote w:id="62">
    <w:p w14:paraId="6C9123D0" w14:textId="77777777" w:rsidR="000046E5" w:rsidRPr="00445995" w:rsidRDefault="000046E5" w:rsidP="006D5177">
      <w:pPr>
        <w:pStyle w:val="FootnoteText"/>
        <w:rPr>
          <w:lang w:val="en-GB"/>
        </w:rPr>
      </w:pPr>
      <w:r>
        <w:rPr>
          <w:rStyle w:val="FootnoteReference"/>
        </w:rPr>
        <w:footnoteRef/>
      </w:r>
      <w:r w:rsidRPr="00445995">
        <w:rPr>
          <w:lang w:val="en-GB"/>
        </w:rPr>
        <w:t xml:space="preserve"> </w:t>
      </w:r>
      <w:r w:rsidRPr="00445995">
        <w:rPr>
          <w:sz w:val="16"/>
          <w:lang w:val="en-GB"/>
        </w:rPr>
        <w:t xml:space="preserve">http://www.developpement-durable.gouv.fr/IMG/spipwwwmedad/pdf/rapport_onerc_cle098a8d-1.pdf </w:t>
      </w:r>
      <w:r w:rsidRPr="00445995">
        <w:rPr>
          <w:lang w:val="en-GB"/>
        </w:rPr>
        <w:t xml:space="preserve"> </w:t>
      </w:r>
    </w:p>
  </w:footnote>
  <w:footnote w:id="63">
    <w:p w14:paraId="1717D415" w14:textId="77777777" w:rsidR="000046E5" w:rsidRPr="009C7B89" w:rsidRDefault="000046E5" w:rsidP="006D5177">
      <w:pPr>
        <w:pStyle w:val="FootnoteText"/>
        <w:rPr>
          <w:lang w:val="en-GB"/>
        </w:rPr>
      </w:pPr>
      <w:r>
        <w:rPr>
          <w:rStyle w:val="FootnoteReference"/>
        </w:rPr>
        <w:footnoteRef/>
      </w:r>
      <w:r w:rsidRPr="009C7B89">
        <w:rPr>
          <w:lang w:val="en-GB"/>
        </w:rPr>
        <w:t xml:space="preserve"> https://www.adaptation-changement-climatique.gouv.fr/deuxieme-plan-national-dadaptation-au-changement-climatique</w:t>
      </w:r>
    </w:p>
  </w:footnote>
  <w:footnote w:id="64">
    <w:p w14:paraId="160F7B30" w14:textId="77777777" w:rsidR="000046E5" w:rsidRPr="00AE7BDB" w:rsidRDefault="000046E5" w:rsidP="00DC248F">
      <w:pPr>
        <w:pStyle w:val="FootnoteText"/>
        <w:rPr>
          <w:lang w:val="en-GB"/>
        </w:rPr>
      </w:pPr>
      <w:r>
        <w:rPr>
          <w:rStyle w:val="FootnoteReference"/>
        </w:rPr>
        <w:footnoteRef/>
      </w:r>
      <w:r w:rsidRPr="00AE7BDB">
        <w:rPr>
          <w:lang w:val="en-GB"/>
        </w:rPr>
        <w:t xml:space="preserve"> https://suivi-pnacc.din.developpement-durable.gouv.fr</w:t>
      </w:r>
    </w:p>
  </w:footnote>
  <w:footnote w:id="65">
    <w:p w14:paraId="66F49EB5" w14:textId="5A3A703D" w:rsidR="000046E5" w:rsidRPr="00EA1889" w:rsidRDefault="000046E5" w:rsidP="006D5177">
      <w:pPr>
        <w:pStyle w:val="FootnoteText"/>
        <w:rPr>
          <w:lang w:val="en-GB"/>
        </w:rPr>
      </w:pPr>
      <w:r>
        <w:rPr>
          <w:rStyle w:val="FootnoteReference"/>
        </w:rPr>
        <w:footnoteRef/>
      </w:r>
      <w:r w:rsidRPr="00EA1889">
        <w:rPr>
          <w:lang w:val="en-GB"/>
        </w:rPr>
        <w:t xml:space="preserve"> </w:t>
      </w:r>
      <w:hyperlink r:id="rId19" w:history="1">
        <w:r w:rsidRPr="007364D7">
          <w:rPr>
            <w:rStyle w:val="Hyperlink"/>
            <w:lang w:val="en-GB"/>
          </w:rPr>
          <w:t>https://www.adaptation-changement-climatique.gouv.fr</w:t>
        </w:r>
      </w:hyperlink>
    </w:p>
  </w:footnote>
  <w:footnote w:id="66">
    <w:p w14:paraId="51797E3D" w14:textId="77777777" w:rsidR="000046E5" w:rsidRPr="00664ED0" w:rsidRDefault="000046E5" w:rsidP="006D5177">
      <w:pPr>
        <w:pStyle w:val="FootnoteText"/>
        <w:rPr>
          <w:lang w:val="en-GB"/>
        </w:rPr>
      </w:pPr>
      <w:r>
        <w:rPr>
          <w:rStyle w:val="FootnoteReference"/>
        </w:rPr>
        <w:footnoteRef/>
      </w:r>
      <w:r w:rsidRPr="00664ED0">
        <w:rPr>
          <w:lang w:val="en-GB"/>
        </w:rPr>
        <w:t xml:space="preserve"> </w:t>
      </w:r>
      <w:hyperlink r:id="rId20" w:history="1">
        <w:r w:rsidRPr="00664ED0">
          <w:rPr>
            <w:rStyle w:val="Hyperlink"/>
            <w:lang w:val="en-GB"/>
          </w:rPr>
          <w:t>http://www.drias-climat.fr</w:t>
        </w:r>
      </w:hyperlink>
    </w:p>
  </w:footnote>
  <w:footnote w:id="67">
    <w:p w14:paraId="3CECC6FF" w14:textId="6CD421BE" w:rsidR="000046E5" w:rsidRPr="00664ED0" w:rsidRDefault="000046E5" w:rsidP="006D5177">
      <w:pPr>
        <w:pStyle w:val="FootnoteText"/>
        <w:rPr>
          <w:lang w:val="en-GB"/>
        </w:rPr>
      </w:pPr>
      <w:r>
        <w:rPr>
          <w:rStyle w:val="FootnoteReference"/>
        </w:rPr>
        <w:footnoteRef/>
      </w:r>
      <w:r w:rsidRPr="00664ED0">
        <w:rPr>
          <w:lang w:val="en-GB"/>
        </w:rPr>
        <w:t xml:space="preserve"> </w:t>
      </w:r>
      <w:hyperlink r:id="rId21" w:history="1">
        <w:r w:rsidRPr="00664ED0">
          <w:rPr>
            <w:rStyle w:val="Hyperlink"/>
            <w:lang w:val="en-GB"/>
          </w:rPr>
          <w:t>https://www.i4ce.org/wp-content/uploads/2022/07/Juin-2022_I4CE_besoins_adaptation.pdf</w:t>
        </w:r>
      </w:hyperlink>
    </w:p>
  </w:footnote>
  <w:footnote w:id="68">
    <w:p w14:paraId="629B007F" w14:textId="7B0344EC" w:rsidR="000046E5" w:rsidRPr="00664ED0" w:rsidRDefault="000046E5" w:rsidP="006D5177">
      <w:pPr>
        <w:pStyle w:val="FootnoteText"/>
        <w:rPr>
          <w:lang w:val="en-GB"/>
        </w:rPr>
      </w:pPr>
      <w:r>
        <w:rPr>
          <w:rStyle w:val="FootnoteReference"/>
        </w:rPr>
        <w:footnoteRef/>
      </w:r>
      <w:r w:rsidRPr="00664ED0">
        <w:rPr>
          <w:lang w:val="en-GB"/>
        </w:rPr>
        <w:t xml:space="preserve"> </w:t>
      </w:r>
      <w:hyperlink r:id="rId22" w:history="1">
        <w:r w:rsidRPr="00664ED0">
          <w:rPr>
            <w:rStyle w:val="Hyperlink"/>
            <w:lang w:val="en-GB"/>
          </w:rPr>
          <w:t>https://www.strategie.gouv.fr/sites/strategie.gouv.fr/files/atoms/files/fs-2022-na108-risques_climatiques-mai.pdf%22</w:t>
        </w:r>
      </w:hyperlink>
    </w:p>
  </w:footnote>
  <w:footnote w:id="69">
    <w:p w14:paraId="326090C0" w14:textId="77777777" w:rsidR="000046E5" w:rsidRDefault="000046E5" w:rsidP="00880CF0">
      <w:pPr>
        <w:pStyle w:val="FootnoteText"/>
      </w:pPr>
      <w:r>
        <w:rPr>
          <w:rStyle w:val="FootnoteReference"/>
        </w:rPr>
        <w:footnoteRef/>
      </w:r>
      <w:r>
        <w:t xml:space="preserve"> </w:t>
      </w:r>
      <w:r w:rsidRPr="009A5D51">
        <w:t>Source</w:t>
      </w:r>
      <w:r w:rsidRPr="009A5D51">
        <w:rPr>
          <w:rFonts w:ascii="Calibri" w:hAnsi="Calibri" w:cs="Calibri"/>
        </w:rPr>
        <w:t> </w:t>
      </w:r>
      <w:r w:rsidRPr="009A5D51">
        <w:t xml:space="preserve">: </w:t>
      </w:r>
      <w:r w:rsidRPr="009A5D51">
        <w:rPr>
          <w:bCs/>
        </w:rPr>
        <w:t>Bilan d'activité climat du groupe AFD en 2021</w:t>
      </w:r>
    </w:p>
  </w:footnote>
  <w:footnote w:id="70">
    <w:p w14:paraId="3D9DE6AC" w14:textId="77777777" w:rsidR="000046E5" w:rsidRDefault="000046E5" w:rsidP="00880CF0">
      <w:pPr>
        <w:pStyle w:val="FootnoteText"/>
      </w:pPr>
      <w:r>
        <w:rPr>
          <w:rStyle w:val="FootnoteReference"/>
        </w:rPr>
        <w:footnoteRef/>
      </w:r>
      <w:r>
        <w:t xml:space="preserve"> </w:t>
      </w:r>
      <w:r>
        <w:rPr>
          <w:sz w:val="18"/>
          <w:szCs w:val="18"/>
        </w:rPr>
        <w:t>https://www.afd.fr/fr/ressources/plan-dorientation-strategique-2018-2022-synthese</w:t>
      </w:r>
    </w:p>
  </w:footnote>
  <w:footnote w:id="71">
    <w:p w14:paraId="4C7FF136" w14:textId="77777777" w:rsidR="000046E5" w:rsidRDefault="000046E5" w:rsidP="0092053B">
      <w:pPr>
        <w:pStyle w:val="FootnoteText"/>
      </w:pPr>
      <w:r>
        <w:rPr>
          <w:rStyle w:val="FootnoteReference"/>
        </w:rPr>
        <w:footnoteRef/>
      </w:r>
      <w:r>
        <w:t xml:space="preserve"> </w:t>
      </w:r>
      <w:hyperlink r:id="rId23" w:history="1">
        <w:r w:rsidRPr="004973C1">
          <w:rPr>
            <w:rStyle w:val="Hyperlink"/>
          </w:rPr>
          <w:t>https://www.idfc.org/wp-content/uploads/2021/10/cp-mit-update-final-2021-10-18.pdf</w:t>
        </w:r>
      </w:hyperlink>
    </w:p>
  </w:footnote>
  <w:footnote w:id="72">
    <w:p w14:paraId="63557550" w14:textId="77777777" w:rsidR="000046E5" w:rsidRDefault="000046E5" w:rsidP="0092053B">
      <w:pPr>
        <w:pStyle w:val="FootnoteText"/>
        <w:jc w:val="left"/>
      </w:pPr>
      <w:r>
        <w:rPr>
          <w:rStyle w:val="FootnoteReference"/>
        </w:rPr>
        <w:footnoteRef/>
      </w:r>
      <w:r>
        <w:t xml:space="preserve"> </w:t>
      </w:r>
      <w:hyperlink r:id="rId24" w:history="1">
        <w:r w:rsidRPr="004973C1">
          <w:rPr>
            <w:rStyle w:val="Hyperlink"/>
          </w:rPr>
          <w:t>https://www.idfc.org/wp-content/uploads/2019/04/common_principles_for_climate_adaption_finance_tracking_jul_09.pdf</w:t>
        </w:r>
      </w:hyperlink>
    </w:p>
  </w:footnote>
  <w:footnote w:id="73">
    <w:p w14:paraId="726C9991" w14:textId="77777777" w:rsidR="000046E5" w:rsidRPr="00C3107B" w:rsidRDefault="000046E5" w:rsidP="00880CF0">
      <w:pPr>
        <w:pStyle w:val="FootnoteText"/>
        <w:rPr>
          <w:rFonts w:ascii="Times New Roman" w:hAnsi="Times New Roman"/>
        </w:rPr>
      </w:pPr>
      <w:r w:rsidRPr="00C3107B">
        <w:rPr>
          <w:rStyle w:val="FootnoteReference"/>
          <w:rFonts w:ascii="Times New Roman" w:hAnsi="Times New Roman"/>
        </w:rPr>
        <w:footnoteRef/>
      </w:r>
      <w:r w:rsidRPr="00C3107B">
        <w:rPr>
          <w:rStyle w:val="FootnoteReference"/>
          <w:rFonts w:ascii="Times New Roman" w:hAnsi="Times New Roman"/>
        </w:rPr>
        <w:t xml:space="preserve"> </w:t>
      </w:r>
      <w:r w:rsidRPr="00F2628A">
        <w:t>Lorsqu’il s’agit de prêts non concessionnels, cet instrument n’est pas comptabilisé dans les flux français d’aide publique au développement mais dans les Autres apports du secteur public (AASP).</w:t>
      </w:r>
    </w:p>
  </w:footnote>
  <w:footnote w:id="74">
    <w:p w14:paraId="10FED762" w14:textId="77777777" w:rsidR="000046E5" w:rsidRPr="00CC4C75" w:rsidRDefault="000046E5" w:rsidP="0092053B">
      <w:pPr>
        <w:pStyle w:val="FootnoteText"/>
        <w:rPr>
          <w:sz w:val="16"/>
        </w:rPr>
      </w:pPr>
      <w:r w:rsidRPr="00CC4C75">
        <w:rPr>
          <w:vertAlign w:val="superscript"/>
        </w:rPr>
        <w:footnoteRef/>
      </w:r>
      <w:r w:rsidRPr="00CC4C75">
        <w:rPr>
          <w:vertAlign w:val="superscript"/>
        </w:rPr>
        <w:t xml:space="preserve"> </w:t>
      </w:r>
      <w:r w:rsidRPr="00CC4C75">
        <w:rPr>
          <w:sz w:val="16"/>
        </w:rPr>
        <w:t>Si la contribution totale était prise en compte et non l’élément-don uniquement, la France se placerait devant l’Allemagne dans ces classements.</w:t>
      </w:r>
    </w:p>
  </w:footnote>
  <w:footnote w:id="75">
    <w:p w14:paraId="6DEE40E3" w14:textId="5B40376D" w:rsidR="000046E5" w:rsidRDefault="000046E5" w:rsidP="007E76D2">
      <w:pPr>
        <w:pStyle w:val="FootnoteText"/>
        <w:rPr>
          <w:rStyle w:val="Strong"/>
          <w:rFonts w:ascii="Times New Roman" w:hAnsi="Times New Roman"/>
          <w:b w:val="0"/>
          <w:bCs w:val="0"/>
          <w:color w:val="000000"/>
          <w:sz w:val="18"/>
          <w:szCs w:val="18"/>
        </w:rPr>
      </w:pPr>
      <w:r>
        <w:rPr>
          <w:rStyle w:val="Caractresdenotedebasdepage"/>
          <w:rFonts w:ascii="Times New Roman" w:hAnsi="Times New Roman"/>
        </w:rPr>
        <w:footnoteRef/>
      </w:r>
      <w:r>
        <w:rPr>
          <w:rFonts w:eastAsia="Arial"/>
          <w:sz w:val="18"/>
          <w:szCs w:val="18"/>
        </w:rPr>
        <w:tab/>
      </w:r>
      <w:r>
        <w:rPr>
          <w:rStyle w:val="Strong"/>
          <w:rFonts w:ascii="Times New Roman" w:hAnsi="Times New Roman"/>
          <w:b w:val="0"/>
          <w:bCs w:val="0"/>
          <w:color w:val="000000"/>
          <w:sz w:val="18"/>
          <w:szCs w:val="18"/>
        </w:rPr>
        <w:t xml:space="preserve">JPND : maladies neurodégéneratives, en particulier Alzheimer </w:t>
      </w:r>
    </w:p>
    <w:p w14:paraId="683C2CB0"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 xml:space="preserve">FACCE : agriculture, sécurité alimentaire et changement climatique ; </w:t>
      </w:r>
    </w:p>
    <w:p w14:paraId="678B4F40"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 xml:space="preserve">HDHL : un régime alimentaire sain pour une vie saine </w:t>
      </w:r>
    </w:p>
    <w:p w14:paraId="666C38FE"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Cultural Heritage : patrimoine culturel et changement global : un nouveau défi pour l'Europe</w:t>
      </w:r>
    </w:p>
    <w:p w14:paraId="60D353F2"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MYBL : vivre plus longtemps, et mieux - les enjeux et les défis de l'évolution démographique</w:t>
      </w:r>
    </w:p>
    <w:p w14:paraId="2648456E"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JPIAMR : la résistance microbienne - une nouvelle menace pour la santé humaine</w:t>
      </w:r>
    </w:p>
    <w:p w14:paraId="3D9C509F"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CLIMATE : le développement coordonné des connaissances sur le climat au bénéfice de l'Europe</w:t>
      </w:r>
    </w:p>
    <w:p w14:paraId="30CDBE6D" w14:textId="6E2769D4"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 xml:space="preserve">Urban Europe : l'Europe urbaine - défis mondiaux, solutions locales </w:t>
      </w:r>
    </w:p>
    <w:p w14:paraId="600F2D31" w14:textId="77777777" w:rsidR="000046E5" w:rsidRDefault="000046E5" w:rsidP="007E76D2">
      <w:pPr>
        <w:pStyle w:val="FootnoteText"/>
        <w:rPr>
          <w:rStyle w:val="Strong"/>
          <w:rFonts w:ascii="Times New Roman" w:hAnsi="Times New Roman"/>
          <w:b w:val="0"/>
          <w:bCs w:val="0"/>
          <w:color w:val="000000"/>
          <w:sz w:val="18"/>
          <w:szCs w:val="18"/>
        </w:rPr>
      </w:pPr>
      <w:r>
        <w:rPr>
          <w:rStyle w:val="Strong"/>
          <w:rFonts w:ascii="Times New Roman" w:hAnsi="Times New Roman"/>
          <w:b w:val="0"/>
          <w:bCs w:val="0"/>
          <w:color w:val="000000"/>
          <w:sz w:val="18"/>
          <w:szCs w:val="18"/>
        </w:rPr>
        <w:tab/>
        <w:t>WATER :  les défis liés à l'eau dans un monde en mutation</w:t>
      </w:r>
    </w:p>
    <w:p w14:paraId="4145A996" w14:textId="77777777" w:rsidR="000046E5" w:rsidRDefault="000046E5" w:rsidP="007E76D2">
      <w:pPr>
        <w:pStyle w:val="FootnoteText"/>
      </w:pPr>
      <w:r>
        <w:rPr>
          <w:rStyle w:val="Strong"/>
          <w:rFonts w:ascii="Times New Roman" w:hAnsi="Times New Roman"/>
          <w:b w:val="0"/>
          <w:bCs w:val="0"/>
          <w:color w:val="000000"/>
          <w:sz w:val="18"/>
          <w:szCs w:val="18"/>
        </w:rPr>
        <w:tab/>
        <w:t>OCEANS : des mers et des océans sains et productifs)</w:t>
      </w:r>
    </w:p>
    <w:p w14:paraId="2887B1D7" w14:textId="77777777" w:rsidR="000046E5" w:rsidRDefault="000046E5" w:rsidP="007E76D2">
      <w:pPr>
        <w:pStyle w:val="FootnoteText"/>
      </w:pPr>
    </w:p>
  </w:footnote>
  <w:footnote w:id="76">
    <w:p w14:paraId="78BE507B" w14:textId="5F578F5E" w:rsidR="000046E5" w:rsidRDefault="000046E5" w:rsidP="007E76D2">
      <w:pPr>
        <w:pStyle w:val="FootnoteText"/>
      </w:pPr>
      <w:r>
        <w:rPr>
          <w:rStyle w:val="Caractresdenotedebasdepage"/>
          <w:rFonts w:ascii="Times New Roman" w:hAnsi="Times New Roman"/>
        </w:rPr>
        <w:footnoteRef/>
      </w:r>
      <w:r>
        <w:rPr>
          <w:rFonts w:eastAsia="Arial"/>
        </w:rPr>
        <w:t xml:space="preserve"> </w:t>
      </w:r>
      <w:hyperlink r:id="rId25" w:history="1">
        <w:r>
          <w:rPr>
            <w:rStyle w:val="Hyperlink"/>
            <w:rFonts w:ascii="Times New Roman" w:hAnsi="Times New Roman"/>
            <w:sz w:val="18"/>
          </w:rPr>
          <w:t>http://cache.media.enseignementsup-recherche.gouv.fr/file/Strategie_Recherche/26/9/strategie_nationale_recherche_397269.pdf</w:t>
        </w:r>
      </w:hyperlink>
    </w:p>
  </w:footnote>
  <w:footnote w:id="77">
    <w:p w14:paraId="3822748C" w14:textId="40EBF3EF" w:rsidR="000046E5" w:rsidRDefault="000046E5" w:rsidP="00AF3E15">
      <w:pPr>
        <w:pStyle w:val="FootnoteText"/>
        <w:jc w:val="left"/>
        <w:rPr>
          <w:rFonts w:ascii="Times New Roman" w:hAnsi="Times New Roman"/>
          <w:sz w:val="18"/>
          <w:szCs w:val="18"/>
        </w:rPr>
      </w:pPr>
      <w:r>
        <w:rPr>
          <w:rStyle w:val="Caractresdenotedebasdepage"/>
          <w:rFonts w:ascii="Times New Roman" w:hAnsi="Times New Roman"/>
        </w:rPr>
        <w:footnoteRef/>
      </w:r>
      <w:r>
        <w:rPr>
          <w:rFonts w:eastAsia="Arial"/>
        </w:rPr>
        <w:t xml:space="preserve"> </w:t>
      </w:r>
      <w:r>
        <w:rPr>
          <w:rFonts w:ascii="Times New Roman" w:hAnsi="Times New Roman"/>
          <w:sz w:val="18"/>
          <w:szCs w:val="18"/>
        </w:rPr>
        <w:t xml:space="preserve">En Français : </w:t>
      </w:r>
      <w:hyperlink r:id="rId26" w:history="1">
        <w:r w:rsidRPr="00D31C54">
          <w:rPr>
            <w:rStyle w:val="Hyperlink"/>
            <w:rFonts w:ascii="Times New Roman" w:hAnsi="Times New Roman"/>
            <w:sz w:val="18"/>
            <w:szCs w:val="18"/>
          </w:rPr>
          <w:t>http://cache.media.enseignementsup-recherche.gouv.fr/file/Infrastructures_de_recherche/74/5/feuille_route_infrastructures_recherche_2016_555745.pdf</w:t>
        </w:r>
      </w:hyperlink>
    </w:p>
    <w:p w14:paraId="1CDDEE10" w14:textId="7FFAF3E8" w:rsidR="000046E5" w:rsidRDefault="000046E5" w:rsidP="00AF3E15">
      <w:pPr>
        <w:pStyle w:val="FootnoteText"/>
        <w:jc w:val="left"/>
      </w:pPr>
      <w:r>
        <w:rPr>
          <w:rFonts w:ascii="Times New Roman" w:hAnsi="Times New Roman"/>
          <w:sz w:val="18"/>
          <w:szCs w:val="18"/>
        </w:rPr>
        <w:t xml:space="preserve">En anglais : </w:t>
      </w:r>
      <w:hyperlink r:id="rId27" w:history="1">
        <w:r>
          <w:rPr>
            <w:rStyle w:val="Hyperlink"/>
            <w:rFonts w:ascii="Times New Roman" w:hAnsi="Times New Roman"/>
            <w:sz w:val="18"/>
            <w:szCs w:val="18"/>
          </w:rPr>
          <w:t>http://cache.media.enseignementsup-recherche.gouv.fr/file/Infrastructures_de_recherche/16/4/infrastructures_UK_web_615164.pdf</w:t>
        </w:r>
      </w:hyperlink>
      <w:r>
        <w:rPr>
          <w:rFonts w:ascii="Times New Roman" w:hAnsi="Times New Roman"/>
          <w:sz w:val="18"/>
          <w:szCs w:val="18"/>
        </w:rPr>
        <w:t xml:space="preserve">                                               190</w:t>
      </w:r>
    </w:p>
  </w:footnote>
  <w:footnote w:id="78">
    <w:p w14:paraId="09028F11" w14:textId="77777777" w:rsidR="000046E5" w:rsidRDefault="000046E5" w:rsidP="007E76D2">
      <w:pPr>
        <w:pStyle w:val="FootnoteText"/>
      </w:pPr>
      <w:r>
        <w:rPr>
          <w:rStyle w:val="Caractresdenotedebasdepage"/>
          <w:rFonts w:ascii="Times New Roman" w:hAnsi="Times New Roman"/>
        </w:rPr>
        <w:footnoteRef/>
      </w:r>
      <w:r>
        <w:rPr>
          <w:rFonts w:eastAsia="Arial"/>
        </w:rPr>
        <w:tab/>
        <w:t xml:space="preserve"> </w:t>
      </w:r>
      <w:hyperlink r:id="rId28" w:history="1">
        <w:r>
          <w:rPr>
            <w:rStyle w:val="Hyperlink"/>
            <w:rFonts w:ascii="Times New Roman" w:hAnsi="Times New Roman"/>
            <w:sz w:val="18"/>
            <w:szCs w:val="18"/>
          </w:rPr>
          <w:t>https://www.performance-publique.budget.gouv.fr/sites/performance_publique/files/farandole/ressources/2016/pap/pdf/jaunes/jaune2016_investissements_avenir.pdf</w:t>
        </w:r>
      </w:hyperlink>
      <w:r>
        <w:rPr>
          <w:rFonts w:ascii="Times New Roman" w:hAnsi="Times New Roman"/>
          <w:sz w:val="18"/>
          <w:szCs w:val="18"/>
        </w:rPr>
        <w:t xml:space="preserve">                                                                                                                                                                                    191</w:t>
      </w:r>
    </w:p>
  </w:footnote>
  <w:footnote w:id="79">
    <w:p w14:paraId="42373BF1" w14:textId="77777777" w:rsidR="000046E5" w:rsidRDefault="000046E5" w:rsidP="007E76D2">
      <w:pPr>
        <w:pStyle w:val="FootnoteText"/>
        <w:rPr>
          <w:rFonts w:ascii="Times New Roman" w:hAnsi="Times New Roman"/>
          <w:sz w:val="18"/>
        </w:rPr>
      </w:pPr>
      <w:r>
        <w:rPr>
          <w:rStyle w:val="Caractresdenotedebasdepage"/>
          <w:rFonts w:ascii="Times New Roman" w:hAnsi="Times New Roman"/>
        </w:rPr>
        <w:footnoteRef/>
      </w:r>
      <w:r>
        <w:rPr>
          <w:rFonts w:ascii="Times New Roman" w:eastAsia="Arial" w:hAnsi="Times New Roman"/>
          <w:sz w:val="18"/>
        </w:rPr>
        <w:tab/>
        <w:t xml:space="preserve"> </w:t>
      </w:r>
      <w:r>
        <w:rPr>
          <w:rFonts w:ascii="Times New Roman" w:hAnsi="Times New Roman"/>
          <w:sz w:val="18"/>
        </w:rPr>
        <w:t>le Centre d'Enseignement et de Recherche en Environnement Atmosphérique (CEREA)</w:t>
      </w:r>
    </w:p>
    <w:p w14:paraId="5C03724D" w14:textId="77777777" w:rsidR="000046E5" w:rsidRDefault="000046E5" w:rsidP="007E76D2">
      <w:pPr>
        <w:pStyle w:val="FootnoteText"/>
        <w:rPr>
          <w:rFonts w:ascii="Times New Roman" w:hAnsi="Times New Roman"/>
          <w:sz w:val="18"/>
        </w:rPr>
      </w:pPr>
      <w:r>
        <w:rPr>
          <w:rFonts w:ascii="Times New Roman" w:hAnsi="Times New Roman"/>
          <w:sz w:val="18"/>
        </w:rPr>
        <w:tab/>
        <w:t>le laboratoire Géosciences Paris-Sud (GEOPS)</w:t>
      </w:r>
    </w:p>
    <w:p w14:paraId="0B44E771" w14:textId="77777777" w:rsidR="000046E5" w:rsidRDefault="000046E5" w:rsidP="007E76D2">
      <w:pPr>
        <w:pStyle w:val="FootnoteText"/>
        <w:rPr>
          <w:rFonts w:ascii="Times New Roman" w:hAnsi="Times New Roman"/>
          <w:sz w:val="18"/>
        </w:rPr>
      </w:pPr>
      <w:r>
        <w:rPr>
          <w:rFonts w:ascii="Times New Roman" w:hAnsi="Times New Roman"/>
          <w:sz w:val="18"/>
        </w:rPr>
        <w:tab/>
        <w:t>le Laboratoire Atmosphères, Milieux, Observations spatiales (LATMOS)</w:t>
      </w:r>
    </w:p>
    <w:p w14:paraId="6D6F8A01" w14:textId="77777777" w:rsidR="000046E5" w:rsidRDefault="000046E5" w:rsidP="007E76D2">
      <w:pPr>
        <w:pStyle w:val="FootnoteText"/>
        <w:rPr>
          <w:rFonts w:ascii="Times New Roman" w:hAnsi="Times New Roman"/>
          <w:sz w:val="18"/>
        </w:rPr>
      </w:pPr>
      <w:r>
        <w:rPr>
          <w:rFonts w:ascii="Times New Roman" w:hAnsi="Times New Roman"/>
          <w:sz w:val="18"/>
        </w:rPr>
        <w:tab/>
        <w:t>une équipe du Laboratoire d’Études du Rayonnement et de la Matière en Astrophysique et Atmosphères (LERMA)</w:t>
      </w:r>
    </w:p>
    <w:p w14:paraId="6B0E2BCA" w14:textId="77777777" w:rsidR="000046E5" w:rsidRDefault="000046E5" w:rsidP="007E76D2">
      <w:pPr>
        <w:pStyle w:val="FootnoteText"/>
        <w:rPr>
          <w:rFonts w:ascii="Times New Roman" w:hAnsi="Times New Roman"/>
          <w:sz w:val="18"/>
        </w:rPr>
      </w:pPr>
      <w:r>
        <w:rPr>
          <w:rFonts w:ascii="Times New Roman" w:hAnsi="Times New Roman"/>
          <w:sz w:val="18"/>
        </w:rPr>
        <w:tab/>
        <w:t>le Laboratoire inter-universitaire des systèmes atmosphériques (LISA)</w:t>
      </w:r>
    </w:p>
    <w:p w14:paraId="19B2E616" w14:textId="77777777" w:rsidR="000046E5" w:rsidRDefault="000046E5" w:rsidP="007E76D2">
      <w:pPr>
        <w:pStyle w:val="FootnoteText"/>
        <w:rPr>
          <w:rFonts w:ascii="Times New Roman" w:hAnsi="Times New Roman"/>
          <w:sz w:val="18"/>
        </w:rPr>
      </w:pPr>
      <w:r>
        <w:rPr>
          <w:rFonts w:ascii="Times New Roman" w:hAnsi="Times New Roman"/>
          <w:sz w:val="18"/>
        </w:rPr>
        <w:tab/>
        <w:t>le Laboratoire de météorologie dynamique (LMD)</w:t>
      </w:r>
    </w:p>
    <w:p w14:paraId="7F319DA6" w14:textId="77777777" w:rsidR="000046E5" w:rsidRDefault="000046E5" w:rsidP="007E76D2">
      <w:pPr>
        <w:pStyle w:val="FootnoteText"/>
        <w:rPr>
          <w:rFonts w:ascii="Times New Roman" w:hAnsi="Times New Roman"/>
          <w:sz w:val="18"/>
        </w:rPr>
      </w:pPr>
      <w:r>
        <w:rPr>
          <w:rFonts w:ascii="Times New Roman" w:hAnsi="Times New Roman"/>
          <w:sz w:val="18"/>
        </w:rPr>
        <w:tab/>
        <w:t>le Laboratoire d'océanographie et du climat : expérimentation et approches numériques (LOCEAN)</w:t>
      </w:r>
    </w:p>
    <w:p w14:paraId="2D79EA55" w14:textId="77777777" w:rsidR="000046E5" w:rsidRDefault="000046E5" w:rsidP="007E76D2">
      <w:pPr>
        <w:pStyle w:val="FootnoteText"/>
        <w:rPr>
          <w:rFonts w:ascii="Times New Roman" w:hAnsi="Times New Roman"/>
          <w:sz w:val="18"/>
        </w:rPr>
      </w:pPr>
      <w:r>
        <w:rPr>
          <w:rFonts w:ascii="Times New Roman" w:hAnsi="Times New Roman"/>
          <w:sz w:val="18"/>
        </w:rPr>
        <w:tab/>
        <w:t>le Laboratoire des sciences du climat et de l'environnement (LSCE)</w:t>
      </w:r>
    </w:p>
    <w:p w14:paraId="391F90A0" w14:textId="77777777" w:rsidR="000046E5" w:rsidRDefault="000046E5" w:rsidP="007E76D2">
      <w:pPr>
        <w:pStyle w:val="FootnoteText"/>
      </w:pPr>
      <w:r>
        <w:rPr>
          <w:rFonts w:ascii="Times New Roman" w:hAnsi="Times New Roman"/>
          <w:sz w:val="18"/>
        </w:rPr>
        <w:tab/>
        <w:t>le laboratoire Milieux environnementaux, transferts et interactions dans les hydrosystèmes et les sols (METIS)   193</w:t>
      </w:r>
    </w:p>
  </w:footnote>
  <w:footnote w:id="80">
    <w:p w14:paraId="0AFC2A7D" w14:textId="5AC835A5" w:rsidR="000046E5" w:rsidRDefault="000046E5" w:rsidP="007E76D2">
      <w:pPr>
        <w:pStyle w:val="FootnoteText"/>
      </w:pPr>
      <w:r>
        <w:rPr>
          <w:rStyle w:val="Caractresdenotedebasdepage"/>
          <w:rFonts w:ascii="Times New Roman" w:hAnsi="Times New Roman"/>
        </w:rPr>
        <w:footnoteRef/>
      </w:r>
      <w:r>
        <w:rPr>
          <w:rFonts w:eastAsia="Arial"/>
          <w:color w:val="000000"/>
        </w:rPr>
        <w:t xml:space="preserve"> </w:t>
      </w:r>
      <w:r>
        <w:rPr>
          <w:rFonts w:ascii="Times New Roman" w:hAnsi="Times New Roman"/>
          <w:color w:val="000000"/>
          <w:sz w:val="18"/>
          <w:szCs w:val="18"/>
        </w:rPr>
        <w:t>Fine pellicule de la planète qui inclut tout le vivant et qui s’étend des roches non altérées et des aquifères à la canopée des arbres et la basse atmosphère. La zone critique est donc la zone d’interactions entre l’atmosphère, la biosphère, l’hydrosphère et la croûte terrestre.                                                                                                                                                                         195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513C9" w14:textId="77777777" w:rsidR="000046E5" w:rsidRDefault="000046E5" w:rsidP="00466AA3">
    <w:pPr>
      <w:pStyle w:val="Header"/>
      <w:ind w:left="-14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color w:val="000000"/>
        <w:sz w:val="22"/>
        <w:szCs w:val="18"/>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1353" w:hanging="360"/>
      </w:pPr>
      <w:rPr>
        <w:rFonts w:ascii="Symbol" w:hAnsi="Symbol" w:cs="Symbol" w:hint="default"/>
        <w:color w:val="000000"/>
        <w:sz w:val="22"/>
        <w:szCs w:val="22"/>
        <w:lang w:val="en-US"/>
      </w:rPr>
    </w:lvl>
  </w:abstractNum>
  <w:abstractNum w:abstractNumId="2" w15:restartNumberingAfterBreak="0">
    <w:nsid w:val="00000004"/>
    <w:multiLevelType w:val="multilevel"/>
    <w:tmpl w:val="00000004"/>
    <w:name w:val="WW8Num4"/>
    <w:lvl w:ilvl="0">
      <w:start w:val="1"/>
      <w:numFmt w:val="bullet"/>
      <w:lvlText w:val=""/>
      <w:lvlJc w:val="left"/>
      <w:pPr>
        <w:tabs>
          <w:tab w:val="num" w:pos="0"/>
        </w:tabs>
        <w:ind w:left="1353" w:hanging="360"/>
      </w:pPr>
      <w:rPr>
        <w:rFonts w:ascii="Symbol" w:hAnsi="Symbol" w:cs="Symbol" w:hint="default"/>
        <w:color w:val="000000"/>
        <w:sz w:val="22"/>
        <w:szCs w:val="22"/>
      </w:rPr>
    </w:lvl>
    <w:lvl w:ilvl="1">
      <w:start w:val="1"/>
      <w:numFmt w:val="bullet"/>
      <w:lvlText w:val=""/>
      <w:lvlJc w:val="left"/>
      <w:pPr>
        <w:tabs>
          <w:tab w:val="num" w:pos="0"/>
        </w:tabs>
        <w:ind w:left="1440" w:hanging="360"/>
      </w:pPr>
      <w:rPr>
        <w:rFonts w:ascii="Symbol" w:hAnsi="Symbol" w:cs="Symbol" w:hint="default"/>
        <w:color w:val="000000"/>
        <w:sz w:val="22"/>
        <w:szCs w:val="22"/>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color w:val="000000"/>
        <w:sz w:val="22"/>
        <w:szCs w:val="22"/>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color w:val="000000"/>
        <w:sz w:val="22"/>
        <w:szCs w:val="22"/>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0283B34"/>
    <w:multiLevelType w:val="hybridMultilevel"/>
    <w:tmpl w:val="DA6CED58"/>
    <w:lvl w:ilvl="0" w:tplc="0018DB8A">
      <w:start w:val="1"/>
      <w:numFmt w:val="bullet"/>
      <w:pStyle w:val="Textepuce1"/>
      <w:lvlText w:val=""/>
      <w:lvlJc w:val="left"/>
      <w:pPr>
        <w:ind w:left="927"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B22477"/>
    <w:multiLevelType w:val="hybridMultilevel"/>
    <w:tmpl w:val="60505D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3C2CFF"/>
    <w:multiLevelType w:val="hybridMultilevel"/>
    <w:tmpl w:val="4CD4C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95704CE"/>
    <w:multiLevelType w:val="multilevel"/>
    <w:tmpl w:val="51C2F876"/>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15:restartNumberingAfterBreak="0">
    <w:nsid w:val="09F52CFD"/>
    <w:multiLevelType w:val="hybridMultilevel"/>
    <w:tmpl w:val="304E98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A087C5F"/>
    <w:multiLevelType w:val="multilevel"/>
    <w:tmpl w:val="3ED00128"/>
    <w:styleLink w:val="List1"/>
    <w:lvl w:ilvl="0">
      <w:numFmt w:val="bullet"/>
      <w:lvlText w:val="•"/>
      <w:lvlJc w:val="left"/>
      <w:pPr>
        <w:ind w:left="227" w:hanging="227"/>
      </w:pPr>
      <w:rPr>
        <w:rFonts w:ascii="StarSymbol" w:hAnsi="StarSymbol"/>
      </w:rPr>
    </w:lvl>
    <w:lvl w:ilvl="1">
      <w:numFmt w:val="bullet"/>
      <w:lvlText w:val="•"/>
      <w:lvlJc w:val="left"/>
      <w:pPr>
        <w:ind w:left="454" w:hanging="227"/>
      </w:pPr>
      <w:rPr>
        <w:rFonts w:ascii="StarSymbol" w:hAnsi="StarSymbol"/>
      </w:rPr>
    </w:lvl>
    <w:lvl w:ilvl="2">
      <w:numFmt w:val="bullet"/>
      <w:lvlText w:val="•"/>
      <w:lvlJc w:val="left"/>
      <w:pPr>
        <w:ind w:left="680" w:hanging="227"/>
      </w:pPr>
      <w:rPr>
        <w:rFonts w:ascii="StarSymbol" w:hAnsi="StarSymbol"/>
      </w:rPr>
    </w:lvl>
    <w:lvl w:ilvl="3">
      <w:numFmt w:val="bullet"/>
      <w:lvlText w:val="•"/>
      <w:lvlJc w:val="left"/>
      <w:pPr>
        <w:ind w:left="907" w:hanging="227"/>
      </w:pPr>
      <w:rPr>
        <w:rFonts w:ascii="StarSymbol" w:hAnsi="StarSymbol"/>
      </w:rPr>
    </w:lvl>
    <w:lvl w:ilvl="4">
      <w:numFmt w:val="bullet"/>
      <w:lvlText w:val="•"/>
      <w:lvlJc w:val="left"/>
      <w:pPr>
        <w:ind w:left="1134" w:hanging="227"/>
      </w:pPr>
      <w:rPr>
        <w:rFonts w:ascii="StarSymbol" w:hAnsi="StarSymbol"/>
      </w:rPr>
    </w:lvl>
    <w:lvl w:ilvl="5">
      <w:numFmt w:val="bullet"/>
      <w:lvlText w:val="•"/>
      <w:lvlJc w:val="left"/>
      <w:pPr>
        <w:ind w:left="1361" w:hanging="227"/>
      </w:pPr>
      <w:rPr>
        <w:rFonts w:ascii="StarSymbol" w:hAnsi="StarSymbol"/>
      </w:rPr>
    </w:lvl>
    <w:lvl w:ilvl="6">
      <w:numFmt w:val="bullet"/>
      <w:lvlText w:val="•"/>
      <w:lvlJc w:val="left"/>
      <w:pPr>
        <w:ind w:left="1587" w:hanging="227"/>
      </w:pPr>
      <w:rPr>
        <w:rFonts w:ascii="StarSymbol" w:hAnsi="StarSymbol"/>
      </w:rPr>
    </w:lvl>
    <w:lvl w:ilvl="7">
      <w:numFmt w:val="bullet"/>
      <w:lvlText w:val="•"/>
      <w:lvlJc w:val="left"/>
      <w:pPr>
        <w:ind w:left="1814" w:hanging="227"/>
      </w:pPr>
      <w:rPr>
        <w:rFonts w:ascii="StarSymbol" w:hAnsi="StarSymbol"/>
      </w:rPr>
    </w:lvl>
    <w:lvl w:ilvl="8">
      <w:numFmt w:val="bullet"/>
      <w:lvlText w:val="•"/>
      <w:lvlJc w:val="left"/>
      <w:pPr>
        <w:ind w:left="2041" w:hanging="227"/>
      </w:pPr>
      <w:rPr>
        <w:rFonts w:ascii="StarSymbol" w:hAnsi="StarSymbol"/>
      </w:rPr>
    </w:lvl>
  </w:abstractNum>
  <w:abstractNum w:abstractNumId="9" w15:restartNumberingAfterBreak="0">
    <w:nsid w:val="0E3008DF"/>
    <w:multiLevelType w:val="multilevel"/>
    <w:tmpl w:val="E106418E"/>
    <w:name w:val="NC-BR-2022"/>
    <w:lvl w:ilvl="0">
      <w:start w:val="1"/>
      <w:numFmt w:val="upperLetter"/>
      <w:lvlText w:val="%1."/>
      <w:lvlJc w:val="left"/>
      <w:pPr>
        <w:ind w:left="0" w:firstLine="0"/>
      </w:pPr>
      <w:rPr>
        <w:rFonts w:hint="default"/>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 w15:restartNumberingAfterBreak="0">
    <w:nsid w:val="0F671CE8"/>
    <w:multiLevelType w:val="hybridMultilevel"/>
    <w:tmpl w:val="167E2318"/>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2270E31"/>
    <w:multiLevelType w:val="hybridMultilevel"/>
    <w:tmpl w:val="3A02EB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22C499A"/>
    <w:multiLevelType w:val="hybridMultilevel"/>
    <w:tmpl w:val="4AE0C272"/>
    <w:lvl w:ilvl="0" w:tplc="040C0001">
      <w:start w:val="1"/>
      <w:numFmt w:val="bullet"/>
      <w:lvlText w:val=""/>
      <w:lvlJc w:val="left"/>
      <w:pPr>
        <w:ind w:left="720"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7485C25"/>
    <w:multiLevelType w:val="hybridMultilevel"/>
    <w:tmpl w:val="5CDA8020"/>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7D87752"/>
    <w:multiLevelType w:val="hybridMultilevel"/>
    <w:tmpl w:val="AA54F6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86100DE"/>
    <w:multiLevelType w:val="hybridMultilevel"/>
    <w:tmpl w:val="C15EB3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8FB09A4"/>
    <w:multiLevelType w:val="hybridMultilevel"/>
    <w:tmpl w:val="ED78A8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C592BA2"/>
    <w:multiLevelType w:val="hybridMultilevel"/>
    <w:tmpl w:val="250CAE14"/>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B31F31"/>
    <w:multiLevelType w:val="hybridMultilevel"/>
    <w:tmpl w:val="B1D834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209362E4"/>
    <w:multiLevelType w:val="hybridMultilevel"/>
    <w:tmpl w:val="0FD82F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0B56E6F"/>
    <w:multiLevelType w:val="hybridMultilevel"/>
    <w:tmpl w:val="DDA22384"/>
    <w:lvl w:ilvl="0" w:tplc="7AA69D8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1" w15:restartNumberingAfterBreak="0">
    <w:nsid w:val="21B43A3F"/>
    <w:multiLevelType w:val="hybridMultilevel"/>
    <w:tmpl w:val="6BBEC4CA"/>
    <w:lvl w:ilvl="0" w:tplc="F62A4D5A">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23E41348"/>
    <w:multiLevelType w:val="hybridMultilevel"/>
    <w:tmpl w:val="E4925472"/>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50E46F0"/>
    <w:multiLevelType w:val="hybridMultilevel"/>
    <w:tmpl w:val="413047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68F7913"/>
    <w:multiLevelType w:val="hybridMultilevel"/>
    <w:tmpl w:val="1D9AF3DE"/>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6C21F9E"/>
    <w:multiLevelType w:val="hybridMultilevel"/>
    <w:tmpl w:val="639CADB8"/>
    <w:lvl w:ilvl="0" w:tplc="426CAB78">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7330B93"/>
    <w:multiLevelType w:val="hybridMultilevel"/>
    <w:tmpl w:val="2D8E11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A18121F"/>
    <w:multiLevelType w:val="hybridMultilevel"/>
    <w:tmpl w:val="D8E44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A4C5D5D"/>
    <w:multiLevelType w:val="hybridMultilevel"/>
    <w:tmpl w:val="28662BDC"/>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B837740"/>
    <w:multiLevelType w:val="hybridMultilevel"/>
    <w:tmpl w:val="8BC0DD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2BF467F2"/>
    <w:multiLevelType w:val="hybridMultilevel"/>
    <w:tmpl w:val="1318CA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C5E5F9B"/>
    <w:multiLevelType w:val="hybridMultilevel"/>
    <w:tmpl w:val="F86861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F8127C3"/>
    <w:multiLevelType w:val="hybridMultilevel"/>
    <w:tmpl w:val="595806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2DF4077"/>
    <w:multiLevelType w:val="hybridMultilevel"/>
    <w:tmpl w:val="98D47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30C15ED"/>
    <w:multiLevelType w:val="multilevel"/>
    <w:tmpl w:val="C630A204"/>
    <w:styleLink w:val="Numbering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35" w15:restartNumberingAfterBreak="0">
    <w:nsid w:val="35635F40"/>
    <w:multiLevelType w:val="hybridMultilevel"/>
    <w:tmpl w:val="AE7402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6286A75"/>
    <w:multiLevelType w:val="hybridMultilevel"/>
    <w:tmpl w:val="9E76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D423E42"/>
    <w:multiLevelType w:val="hybridMultilevel"/>
    <w:tmpl w:val="F60856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DAB7ADB"/>
    <w:multiLevelType w:val="hybridMultilevel"/>
    <w:tmpl w:val="05EC7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E6F7A68"/>
    <w:multiLevelType w:val="hybridMultilevel"/>
    <w:tmpl w:val="6AF0F3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F502AAE"/>
    <w:multiLevelType w:val="hybridMultilevel"/>
    <w:tmpl w:val="D65AC0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FD62E1D"/>
    <w:multiLevelType w:val="multilevel"/>
    <w:tmpl w:val="94482BA2"/>
    <w:lvl w:ilvl="0">
      <w:numFmt w:val="bullet"/>
      <w:lvlText w:val="-"/>
      <w:lvlJc w:val="left"/>
      <w:pPr>
        <w:ind w:left="360" w:hanging="360"/>
      </w:pPr>
      <w:rPr>
        <w:rFonts w:ascii="Calibri" w:eastAsiaTheme="minorHAnsi" w:hAnsi="Calibri" w:cs="Calibri"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2" w15:restartNumberingAfterBreak="0">
    <w:nsid w:val="404A298B"/>
    <w:multiLevelType w:val="hybridMultilevel"/>
    <w:tmpl w:val="6542EA9A"/>
    <w:lvl w:ilvl="0" w:tplc="040C0001">
      <w:start w:val="1"/>
      <w:numFmt w:val="bullet"/>
      <w:lvlText w:val=""/>
      <w:lvlJc w:val="left"/>
      <w:pPr>
        <w:ind w:left="720" w:hanging="360"/>
      </w:pPr>
      <w:rPr>
        <w:rFonts w:ascii="Symbol" w:hAnsi="Symbol" w:hint="default"/>
      </w:rPr>
    </w:lvl>
    <w:lvl w:ilvl="1" w:tplc="66540D5E">
      <w:numFmt w:val="bullet"/>
      <w:lvlText w:val="•"/>
      <w:lvlJc w:val="left"/>
      <w:pPr>
        <w:ind w:left="1785" w:hanging="705"/>
      </w:pPr>
      <w:rPr>
        <w:rFonts w:ascii="Marianne" w:eastAsia="Times New Roman" w:hAnsi="Marianne"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40A077CF"/>
    <w:multiLevelType w:val="hybridMultilevel"/>
    <w:tmpl w:val="CCD6B2C4"/>
    <w:lvl w:ilvl="0" w:tplc="040C0001">
      <w:start w:val="3"/>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1812A1E"/>
    <w:multiLevelType w:val="hybridMultilevel"/>
    <w:tmpl w:val="1AAC89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299315A"/>
    <w:multiLevelType w:val="hybridMultilevel"/>
    <w:tmpl w:val="8CAE5E88"/>
    <w:lvl w:ilvl="0" w:tplc="F3245D8E">
      <w:numFmt w:val="bullet"/>
      <w:lvlText w:val="-"/>
      <w:lvlJc w:val="left"/>
      <w:pPr>
        <w:ind w:left="358" w:hanging="360"/>
      </w:pPr>
      <w:rPr>
        <w:rFonts w:ascii="Marianne" w:eastAsia="Times New Roman" w:hAnsi="Marianne" w:cs="Times New Roman" w:hint="default"/>
      </w:rPr>
    </w:lvl>
    <w:lvl w:ilvl="1" w:tplc="040C0003" w:tentative="1">
      <w:start w:val="1"/>
      <w:numFmt w:val="bullet"/>
      <w:lvlText w:val="o"/>
      <w:lvlJc w:val="left"/>
      <w:pPr>
        <w:ind w:left="1078" w:hanging="360"/>
      </w:pPr>
      <w:rPr>
        <w:rFonts w:ascii="Courier New" w:hAnsi="Courier New" w:cs="Courier New" w:hint="default"/>
      </w:rPr>
    </w:lvl>
    <w:lvl w:ilvl="2" w:tplc="040C0005" w:tentative="1">
      <w:start w:val="1"/>
      <w:numFmt w:val="bullet"/>
      <w:lvlText w:val=""/>
      <w:lvlJc w:val="left"/>
      <w:pPr>
        <w:ind w:left="1798" w:hanging="360"/>
      </w:pPr>
      <w:rPr>
        <w:rFonts w:ascii="Wingdings" w:hAnsi="Wingdings" w:hint="default"/>
      </w:rPr>
    </w:lvl>
    <w:lvl w:ilvl="3" w:tplc="040C0001" w:tentative="1">
      <w:start w:val="1"/>
      <w:numFmt w:val="bullet"/>
      <w:lvlText w:val=""/>
      <w:lvlJc w:val="left"/>
      <w:pPr>
        <w:ind w:left="2518" w:hanging="360"/>
      </w:pPr>
      <w:rPr>
        <w:rFonts w:ascii="Symbol" w:hAnsi="Symbol" w:hint="default"/>
      </w:rPr>
    </w:lvl>
    <w:lvl w:ilvl="4" w:tplc="040C0003" w:tentative="1">
      <w:start w:val="1"/>
      <w:numFmt w:val="bullet"/>
      <w:lvlText w:val="o"/>
      <w:lvlJc w:val="left"/>
      <w:pPr>
        <w:ind w:left="3238" w:hanging="360"/>
      </w:pPr>
      <w:rPr>
        <w:rFonts w:ascii="Courier New" w:hAnsi="Courier New" w:cs="Courier New" w:hint="default"/>
      </w:rPr>
    </w:lvl>
    <w:lvl w:ilvl="5" w:tplc="040C0005" w:tentative="1">
      <w:start w:val="1"/>
      <w:numFmt w:val="bullet"/>
      <w:lvlText w:val=""/>
      <w:lvlJc w:val="left"/>
      <w:pPr>
        <w:ind w:left="3958" w:hanging="360"/>
      </w:pPr>
      <w:rPr>
        <w:rFonts w:ascii="Wingdings" w:hAnsi="Wingdings" w:hint="default"/>
      </w:rPr>
    </w:lvl>
    <w:lvl w:ilvl="6" w:tplc="040C0001" w:tentative="1">
      <w:start w:val="1"/>
      <w:numFmt w:val="bullet"/>
      <w:lvlText w:val=""/>
      <w:lvlJc w:val="left"/>
      <w:pPr>
        <w:ind w:left="4678" w:hanging="360"/>
      </w:pPr>
      <w:rPr>
        <w:rFonts w:ascii="Symbol" w:hAnsi="Symbol" w:hint="default"/>
      </w:rPr>
    </w:lvl>
    <w:lvl w:ilvl="7" w:tplc="040C0003" w:tentative="1">
      <w:start w:val="1"/>
      <w:numFmt w:val="bullet"/>
      <w:lvlText w:val="o"/>
      <w:lvlJc w:val="left"/>
      <w:pPr>
        <w:ind w:left="5398" w:hanging="360"/>
      </w:pPr>
      <w:rPr>
        <w:rFonts w:ascii="Courier New" w:hAnsi="Courier New" w:cs="Courier New" w:hint="default"/>
      </w:rPr>
    </w:lvl>
    <w:lvl w:ilvl="8" w:tplc="040C0005" w:tentative="1">
      <w:start w:val="1"/>
      <w:numFmt w:val="bullet"/>
      <w:lvlText w:val=""/>
      <w:lvlJc w:val="left"/>
      <w:pPr>
        <w:ind w:left="6118" w:hanging="360"/>
      </w:pPr>
      <w:rPr>
        <w:rFonts w:ascii="Wingdings" w:hAnsi="Wingdings" w:hint="default"/>
      </w:rPr>
    </w:lvl>
  </w:abstractNum>
  <w:abstractNum w:abstractNumId="46" w15:restartNumberingAfterBreak="0">
    <w:nsid w:val="42B72B80"/>
    <w:multiLevelType w:val="hybridMultilevel"/>
    <w:tmpl w:val="FF4CA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3140B05"/>
    <w:multiLevelType w:val="hybridMultilevel"/>
    <w:tmpl w:val="00CCF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3671518"/>
    <w:multiLevelType w:val="hybridMultilevel"/>
    <w:tmpl w:val="648E1C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59C2A97"/>
    <w:multiLevelType w:val="hybridMultilevel"/>
    <w:tmpl w:val="4C8CE9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469C0730"/>
    <w:multiLevelType w:val="multilevel"/>
    <w:tmpl w:val="EC9A8B88"/>
    <w:styleLink w:val="Style4"/>
    <w:lvl w:ilvl="0">
      <w:start w:val="1"/>
      <w:numFmt w:val="upperLetter"/>
      <w:lvlText w:val="%1."/>
      <w:lvlJc w:val="left"/>
      <w:pPr>
        <w:ind w:left="0" w:firstLine="0"/>
      </w:pPr>
      <w:rPr>
        <w:rFonts w:hint="default"/>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567" w:hanging="283"/>
      </w:pPr>
      <w:rPr>
        <w:rFonts w:hint="default"/>
      </w:rPr>
    </w:lvl>
    <w:lvl w:ilvl="5">
      <w:start w:val="1"/>
      <w:numFmt w:val="lowerLetter"/>
      <w:lvlText w:val="(%6)"/>
      <w:lvlJc w:val="left"/>
      <w:pPr>
        <w:ind w:left="567" w:hanging="283"/>
      </w:pPr>
      <w:rPr>
        <w:rFonts w:hint="default"/>
      </w:rPr>
    </w:lvl>
    <w:lvl w:ilvl="6">
      <w:start w:val="1"/>
      <w:numFmt w:val="lowerRoman"/>
      <w:lvlText w:val="(%7)"/>
      <w:lvlJc w:val="left"/>
      <w:pPr>
        <w:ind w:left="567" w:hanging="283"/>
      </w:pPr>
      <w:rPr>
        <w:rFonts w:hint="default"/>
      </w:rPr>
    </w:lvl>
    <w:lvl w:ilvl="7">
      <w:start w:val="1"/>
      <w:numFmt w:val="lowerLetter"/>
      <w:lvlText w:val="(%8)"/>
      <w:lvlJc w:val="left"/>
      <w:pPr>
        <w:ind w:left="567" w:hanging="283"/>
      </w:pPr>
      <w:rPr>
        <w:rFonts w:hint="default"/>
      </w:rPr>
    </w:lvl>
    <w:lvl w:ilvl="8">
      <w:start w:val="1"/>
      <w:numFmt w:val="lowerRoman"/>
      <w:lvlText w:val="(%9)"/>
      <w:lvlJc w:val="left"/>
      <w:pPr>
        <w:ind w:left="567" w:hanging="283"/>
      </w:pPr>
      <w:rPr>
        <w:rFonts w:hint="default"/>
      </w:rPr>
    </w:lvl>
  </w:abstractNum>
  <w:abstractNum w:abstractNumId="51" w15:restartNumberingAfterBreak="0">
    <w:nsid w:val="499520C9"/>
    <w:multiLevelType w:val="hybridMultilevel"/>
    <w:tmpl w:val="CD32B6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A887C93"/>
    <w:multiLevelType w:val="hybridMultilevel"/>
    <w:tmpl w:val="DF4287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B4C74C4"/>
    <w:multiLevelType w:val="hybridMultilevel"/>
    <w:tmpl w:val="D1402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C1A43CA"/>
    <w:multiLevelType w:val="multilevel"/>
    <w:tmpl w:val="51C2F876"/>
    <w:lvl w:ilvl="0">
      <w:start w:val="1"/>
      <w:numFmt w:val="upperLetter"/>
      <w:pStyle w:val="Titre2Niveau2"/>
      <w:lvlText w:val="%1."/>
      <w:lvlJc w:val="left"/>
      <w:pPr>
        <w:ind w:left="0" w:firstLine="0"/>
      </w:pPr>
      <w:rPr>
        <w:rFonts w:hint="default"/>
        <w:i w:val="0"/>
        <w:sz w:val="32"/>
        <w:szCs w:val="32"/>
      </w:rPr>
    </w:lvl>
    <w:lvl w:ilvl="1">
      <w:start w:val="1"/>
      <w:numFmt w:val="decimal"/>
      <w:pStyle w:val="Titre3Niveau3"/>
      <w:lvlText w:val="%1.%2."/>
      <w:lvlJc w:val="left"/>
      <w:pPr>
        <w:tabs>
          <w:tab w:val="num" w:pos="0"/>
        </w:tabs>
        <w:ind w:left="0" w:firstLine="0"/>
      </w:pPr>
      <w:rPr>
        <w:rFonts w:ascii="Marianne" w:hAnsi="Marianne" w:hint="default"/>
        <w:sz w:val="22"/>
      </w:rPr>
    </w:lvl>
    <w:lvl w:ilvl="2">
      <w:start w:val="1"/>
      <w:numFmt w:val="decimal"/>
      <w:pStyle w:val="Titre4niveau4"/>
      <w:lvlText w:val="%1.%2.%3."/>
      <w:lvlJc w:val="left"/>
      <w:pPr>
        <w:ind w:left="0" w:firstLine="0"/>
      </w:pPr>
      <w:rPr>
        <w:rFonts w:hint="default"/>
      </w:rPr>
    </w:lvl>
    <w:lvl w:ilvl="3">
      <w:start w:val="1"/>
      <w:numFmt w:val="none"/>
      <w:lvlRestart w:val="0"/>
      <w:pStyle w:val="titreencadre"/>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5" w15:restartNumberingAfterBreak="0">
    <w:nsid w:val="55556FF1"/>
    <w:multiLevelType w:val="multilevel"/>
    <w:tmpl w:val="ABFA1EE6"/>
    <w:lvl w:ilvl="0">
      <w:start w:val="1"/>
      <w:numFmt w:val="none"/>
      <w:suff w:val="nothing"/>
      <w:lvlText w:val="%1"/>
      <w:lvlJc w:val="left"/>
      <w:pPr>
        <w:ind w:left="0" w:firstLine="0"/>
      </w:pPr>
      <w:rPr>
        <w:rFonts w:hint="default"/>
      </w:rPr>
    </w:lvl>
    <w:lvl w:ilvl="1">
      <w:start w:val="1"/>
      <w:numFmt w:val="none"/>
      <w:pStyle w:val="Heading2"/>
      <w:suff w:val="nothing"/>
      <w:lvlText w:val="%1"/>
      <w:lvlJc w:val="left"/>
      <w:pPr>
        <w:ind w:left="0" w:firstLine="0"/>
      </w:pPr>
      <w:rPr>
        <w:rFonts w:hint="default"/>
      </w:rPr>
    </w:lvl>
    <w:lvl w:ilvl="2">
      <w:start w:val="1"/>
      <w:numFmt w:val="decimal"/>
      <w:pStyle w:val="Heading3"/>
      <w:suff w:val="space"/>
      <w:lvlText w:val="%1%3."/>
      <w:lvlJc w:val="left"/>
      <w:pPr>
        <w:ind w:left="0" w:firstLine="0"/>
      </w:pPr>
      <w:rPr>
        <w:rFonts w:hint="default"/>
      </w:rPr>
    </w:lvl>
    <w:lvl w:ilvl="3">
      <w:start w:val="1"/>
      <w:numFmt w:val="decimal"/>
      <w:pStyle w:val="Heading4"/>
      <w:suff w:val="space"/>
      <w:lvlText w:val="%1%3.%4."/>
      <w:lvlJc w:val="left"/>
      <w:pPr>
        <w:ind w:left="0" w:firstLine="0"/>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6" w15:restartNumberingAfterBreak="0">
    <w:nsid w:val="56EF5792"/>
    <w:multiLevelType w:val="hybridMultilevel"/>
    <w:tmpl w:val="697AED1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57604BD8"/>
    <w:multiLevelType w:val="multilevel"/>
    <w:tmpl w:val="E23CDC1A"/>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i w:val="0"/>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8" w15:restartNumberingAfterBreak="0">
    <w:nsid w:val="58766539"/>
    <w:multiLevelType w:val="multilevel"/>
    <w:tmpl w:val="E584B2DA"/>
    <w:numStyleLink w:val="Style1"/>
  </w:abstractNum>
  <w:abstractNum w:abstractNumId="59" w15:restartNumberingAfterBreak="0">
    <w:nsid w:val="59E31680"/>
    <w:multiLevelType w:val="hybridMultilevel"/>
    <w:tmpl w:val="0D5A9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A2D2F8D"/>
    <w:multiLevelType w:val="hybridMultilevel"/>
    <w:tmpl w:val="FFA63386"/>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B033E7B"/>
    <w:multiLevelType w:val="hybridMultilevel"/>
    <w:tmpl w:val="70C6C4F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5B52219A"/>
    <w:multiLevelType w:val="hybridMultilevel"/>
    <w:tmpl w:val="9CBC83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BBA41E7"/>
    <w:multiLevelType w:val="multilevel"/>
    <w:tmpl w:val="1E5E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E77559B"/>
    <w:multiLevelType w:val="hybridMultilevel"/>
    <w:tmpl w:val="EB1053F2"/>
    <w:lvl w:ilvl="0" w:tplc="61FED4D2">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E81476E"/>
    <w:multiLevelType w:val="multilevel"/>
    <w:tmpl w:val="EB162BA8"/>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6" w15:restartNumberingAfterBreak="0">
    <w:nsid w:val="60247E77"/>
    <w:multiLevelType w:val="multilevel"/>
    <w:tmpl w:val="E18A032E"/>
    <w:lvl w:ilvl="0">
      <w:start w:val="2"/>
      <w:numFmt w:val="bullet"/>
      <w:lvlText w:val="-"/>
      <w:lvlJc w:val="left"/>
      <w:pPr>
        <w:ind w:left="360" w:hanging="360"/>
      </w:pPr>
      <w:rPr>
        <w:rFonts w:ascii="Arial" w:hAnsi="Arial" w:cs="Arial" w:hint="default"/>
        <w:sz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67" w15:restartNumberingAfterBreak="0">
    <w:nsid w:val="62C6185B"/>
    <w:multiLevelType w:val="multilevel"/>
    <w:tmpl w:val="E584B2DA"/>
    <w:styleLink w:val="Style1"/>
    <w:lvl w:ilvl="0">
      <w:start w:val="1"/>
      <w:numFmt w:val="upperLetter"/>
      <w:lvlText w:val="%1."/>
      <w:lvlJc w:val="left"/>
      <w:pPr>
        <w:ind w:left="0" w:firstLine="0"/>
      </w:pPr>
      <w:rPr>
        <w:rFonts w:hint="default"/>
        <w:sz w:val="32"/>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567" w:hanging="283"/>
      </w:pPr>
      <w:rPr>
        <w:rFonts w:hint="default"/>
      </w:rPr>
    </w:lvl>
    <w:lvl w:ilvl="5">
      <w:start w:val="1"/>
      <w:numFmt w:val="lowerLetter"/>
      <w:lvlText w:val="(%6)"/>
      <w:lvlJc w:val="left"/>
      <w:pPr>
        <w:ind w:left="567" w:hanging="283"/>
      </w:pPr>
      <w:rPr>
        <w:rFonts w:hint="default"/>
      </w:rPr>
    </w:lvl>
    <w:lvl w:ilvl="6">
      <w:start w:val="1"/>
      <w:numFmt w:val="lowerRoman"/>
      <w:lvlText w:val="(%7)"/>
      <w:lvlJc w:val="left"/>
      <w:pPr>
        <w:ind w:left="567" w:hanging="283"/>
      </w:pPr>
      <w:rPr>
        <w:rFonts w:hint="default"/>
      </w:rPr>
    </w:lvl>
    <w:lvl w:ilvl="7">
      <w:start w:val="1"/>
      <w:numFmt w:val="lowerLetter"/>
      <w:lvlText w:val="(%8)"/>
      <w:lvlJc w:val="left"/>
      <w:pPr>
        <w:ind w:left="567" w:hanging="283"/>
      </w:pPr>
      <w:rPr>
        <w:rFonts w:hint="default"/>
      </w:rPr>
    </w:lvl>
    <w:lvl w:ilvl="8">
      <w:start w:val="1"/>
      <w:numFmt w:val="lowerRoman"/>
      <w:lvlText w:val="(%9)"/>
      <w:lvlJc w:val="left"/>
      <w:pPr>
        <w:ind w:left="567" w:hanging="283"/>
      </w:pPr>
      <w:rPr>
        <w:rFonts w:hint="default"/>
      </w:rPr>
    </w:lvl>
  </w:abstractNum>
  <w:abstractNum w:abstractNumId="68" w15:restartNumberingAfterBreak="0">
    <w:nsid w:val="637B3083"/>
    <w:multiLevelType w:val="hybridMultilevel"/>
    <w:tmpl w:val="4546E03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63D1239F"/>
    <w:multiLevelType w:val="hybridMultilevel"/>
    <w:tmpl w:val="8592B802"/>
    <w:lvl w:ilvl="0" w:tplc="33FEE1F8">
      <w:numFmt w:val="bullet"/>
      <w:lvlText w:val="-"/>
      <w:lvlJc w:val="left"/>
      <w:pPr>
        <w:ind w:left="720" w:hanging="360"/>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8B06DFD"/>
    <w:multiLevelType w:val="hybridMultilevel"/>
    <w:tmpl w:val="C0BEF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9E65AA2"/>
    <w:multiLevelType w:val="hybridMultilevel"/>
    <w:tmpl w:val="66CC1E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AE8169B"/>
    <w:multiLevelType w:val="hybridMultilevel"/>
    <w:tmpl w:val="FF0E6F02"/>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DA10A02"/>
    <w:multiLevelType w:val="hybridMultilevel"/>
    <w:tmpl w:val="44D888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0303957"/>
    <w:multiLevelType w:val="hybridMultilevel"/>
    <w:tmpl w:val="F3F8F23E"/>
    <w:lvl w:ilvl="0" w:tplc="D34A78DA">
      <w:start w:val="1"/>
      <w:numFmt w:val="decimal"/>
      <w:pStyle w:val="textepuce2"/>
      <w:lvlText w:val="%1."/>
      <w:lvlJc w:val="left"/>
      <w:pPr>
        <w:ind w:left="1021" w:hanging="454"/>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15:restartNumberingAfterBreak="0">
    <w:nsid w:val="712E40B0"/>
    <w:multiLevelType w:val="hybridMultilevel"/>
    <w:tmpl w:val="B0D45E42"/>
    <w:lvl w:ilvl="0" w:tplc="426CAB78">
      <w:numFmt w:val="bullet"/>
      <w:lvlText w:val="-"/>
      <w:lvlJc w:val="left"/>
      <w:pPr>
        <w:ind w:left="1065" w:hanging="705"/>
      </w:pPr>
      <w:rPr>
        <w:rFonts w:ascii="Marianne" w:eastAsia="Times New Roman" w:hAnsi="Marianne"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207352B"/>
    <w:multiLevelType w:val="hybridMultilevel"/>
    <w:tmpl w:val="15BE71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3706FB2"/>
    <w:multiLevelType w:val="hybridMultilevel"/>
    <w:tmpl w:val="9F52AB4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744B2907"/>
    <w:multiLevelType w:val="hybridMultilevel"/>
    <w:tmpl w:val="39B40B9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75772BCA"/>
    <w:multiLevelType w:val="hybridMultilevel"/>
    <w:tmpl w:val="2B2A3F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691733C"/>
    <w:multiLevelType w:val="hybridMultilevel"/>
    <w:tmpl w:val="512C69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7664FFD"/>
    <w:multiLevelType w:val="hybridMultilevel"/>
    <w:tmpl w:val="F4841CFA"/>
    <w:lvl w:ilvl="0" w:tplc="F0FC7D36">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2" w15:restartNumberingAfterBreak="0">
    <w:nsid w:val="7864629B"/>
    <w:multiLevelType w:val="hybridMultilevel"/>
    <w:tmpl w:val="3BFC84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A6A15D5"/>
    <w:multiLevelType w:val="hybridMultilevel"/>
    <w:tmpl w:val="821026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7A8646E8"/>
    <w:multiLevelType w:val="hybridMultilevel"/>
    <w:tmpl w:val="E816447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B0124B1"/>
    <w:multiLevelType w:val="hybridMultilevel"/>
    <w:tmpl w:val="B7D059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7B1074A2"/>
    <w:multiLevelType w:val="hybridMultilevel"/>
    <w:tmpl w:val="FF04E90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7B525794"/>
    <w:multiLevelType w:val="hybridMultilevel"/>
    <w:tmpl w:val="32E2751A"/>
    <w:lvl w:ilvl="0" w:tplc="040C000F">
      <w:start w:val="1"/>
      <w:numFmt w:val="decimal"/>
      <w:lvlText w:val="%1."/>
      <w:lvlJc w:val="left"/>
      <w:pPr>
        <w:ind w:left="1065" w:hanging="705"/>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7BFC4A48"/>
    <w:multiLevelType w:val="multilevel"/>
    <w:tmpl w:val="51C2F876"/>
    <w:lvl w:ilvl="0">
      <w:start w:val="1"/>
      <w:numFmt w:val="upperLetter"/>
      <w:lvlText w:val="%1."/>
      <w:lvlJc w:val="left"/>
      <w:pPr>
        <w:ind w:left="0" w:firstLine="0"/>
      </w:pPr>
      <w:rPr>
        <w:rFonts w:hint="default"/>
        <w:i w:val="0"/>
        <w:sz w:val="32"/>
        <w:szCs w:val="32"/>
      </w:rPr>
    </w:lvl>
    <w:lvl w:ilvl="1">
      <w:start w:val="1"/>
      <w:numFmt w:val="decimal"/>
      <w:lvlText w:val="%1.%2."/>
      <w:lvlJc w:val="left"/>
      <w:pPr>
        <w:tabs>
          <w:tab w:val="num" w:pos="0"/>
        </w:tabs>
        <w:ind w:left="0" w:firstLine="0"/>
      </w:pPr>
      <w:rPr>
        <w:rFonts w:ascii="Marianne" w:hAnsi="Marianne" w:hint="default"/>
        <w:sz w:val="22"/>
      </w:rPr>
    </w:lvl>
    <w:lvl w:ilvl="2">
      <w:start w:val="1"/>
      <w:numFmt w:val="decimal"/>
      <w:lvlText w:val="%1.%2.%3."/>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decimal"/>
      <w:lvlText w:val="(%5)"/>
      <w:lvlJc w:val="left"/>
      <w:pPr>
        <w:ind w:left="0" w:firstLine="0"/>
      </w:pPr>
      <w:rPr>
        <w:rFonts w:hint="default"/>
      </w:rPr>
    </w:lvl>
    <w:lvl w:ilvl="5">
      <w:start w:val="1"/>
      <w:numFmt w:val="lowerLetter"/>
      <w:lvlText w:val="(%6)"/>
      <w:lvlJc w:val="left"/>
      <w:pPr>
        <w:ind w:left="0" w:firstLine="0"/>
      </w:pPr>
      <w:rPr>
        <w:rFonts w:hint="default"/>
      </w:rPr>
    </w:lvl>
    <w:lvl w:ilvl="6">
      <w:start w:val="1"/>
      <w:numFmt w:val="lowerRoman"/>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89" w15:restartNumberingAfterBreak="0">
    <w:nsid w:val="7F8C6CC2"/>
    <w:multiLevelType w:val="hybridMultilevel"/>
    <w:tmpl w:val="25CA0892"/>
    <w:lvl w:ilvl="0" w:tplc="00000003">
      <w:start w:val="1"/>
      <w:numFmt w:val="bullet"/>
      <w:lvlText w:val=""/>
      <w:lvlJc w:val="left"/>
      <w:pPr>
        <w:tabs>
          <w:tab w:val="num" w:pos="0"/>
        </w:tabs>
        <w:ind w:left="1353" w:hanging="360"/>
      </w:pPr>
      <w:rPr>
        <w:rFonts w:ascii="Symbol" w:hAnsi="Symbol" w:cs="Symbol" w:hint="default"/>
        <w:color w:val="000000"/>
        <w:sz w:val="22"/>
        <w:szCs w:val="22"/>
        <w:lang w:val="en-U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56781685">
    <w:abstractNumId w:val="3"/>
  </w:num>
  <w:num w:numId="2" w16cid:durableId="1332946744">
    <w:abstractNumId w:val="55"/>
  </w:num>
  <w:num w:numId="3" w16cid:durableId="846483906">
    <w:abstractNumId w:val="74"/>
  </w:num>
  <w:num w:numId="4" w16cid:durableId="1999263990">
    <w:abstractNumId w:val="34"/>
  </w:num>
  <w:num w:numId="5" w16cid:durableId="2016495688">
    <w:abstractNumId w:val="8"/>
  </w:num>
  <w:num w:numId="6" w16cid:durableId="449322828">
    <w:abstractNumId w:val="85"/>
  </w:num>
  <w:num w:numId="7" w16cid:durableId="1318074038">
    <w:abstractNumId w:val="56"/>
  </w:num>
  <w:num w:numId="8" w16cid:durableId="2034305487">
    <w:abstractNumId w:val="14"/>
  </w:num>
  <w:num w:numId="9" w16cid:durableId="1675061887">
    <w:abstractNumId w:val="68"/>
  </w:num>
  <w:num w:numId="10" w16cid:durableId="1582180120">
    <w:abstractNumId w:val="36"/>
  </w:num>
  <w:num w:numId="11" w16cid:durableId="864950920">
    <w:abstractNumId w:val="11"/>
  </w:num>
  <w:num w:numId="12" w16cid:durableId="68306632">
    <w:abstractNumId w:val="12"/>
  </w:num>
  <w:num w:numId="13" w16cid:durableId="1579049245">
    <w:abstractNumId w:val="31"/>
  </w:num>
  <w:num w:numId="14" w16cid:durableId="1101954489">
    <w:abstractNumId w:val="38"/>
  </w:num>
  <w:num w:numId="15" w16cid:durableId="1743215455">
    <w:abstractNumId w:val="53"/>
  </w:num>
  <w:num w:numId="16" w16cid:durableId="1838762924">
    <w:abstractNumId w:val="26"/>
  </w:num>
  <w:num w:numId="17" w16cid:durableId="957830786">
    <w:abstractNumId w:val="40"/>
  </w:num>
  <w:num w:numId="18" w16cid:durableId="30307972">
    <w:abstractNumId w:val="59"/>
  </w:num>
  <w:num w:numId="19" w16cid:durableId="1127166533">
    <w:abstractNumId w:val="66"/>
  </w:num>
  <w:num w:numId="20" w16cid:durableId="1862159259">
    <w:abstractNumId w:val="48"/>
  </w:num>
  <w:num w:numId="21" w16cid:durableId="1958023568">
    <w:abstractNumId w:val="18"/>
  </w:num>
  <w:num w:numId="22" w16cid:durableId="511721284">
    <w:abstractNumId w:val="80"/>
  </w:num>
  <w:num w:numId="23" w16cid:durableId="1961908766">
    <w:abstractNumId w:val="42"/>
  </w:num>
  <w:num w:numId="24" w16cid:durableId="799806706">
    <w:abstractNumId w:val="78"/>
  </w:num>
  <w:num w:numId="25" w16cid:durableId="1422069846">
    <w:abstractNumId w:val="46"/>
  </w:num>
  <w:num w:numId="26" w16cid:durableId="2135978888">
    <w:abstractNumId w:val="84"/>
  </w:num>
  <w:num w:numId="27" w16cid:durableId="543446060">
    <w:abstractNumId w:val="71"/>
  </w:num>
  <w:num w:numId="28" w16cid:durableId="114492279">
    <w:abstractNumId w:val="23"/>
  </w:num>
  <w:num w:numId="29" w16cid:durableId="1819951536">
    <w:abstractNumId w:val="86"/>
  </w:num>
  <w:num w:numId="30" w16cid:durableId="791285611">
    <w:abstractNumId w:val="4"/>
  </w:num>
  <w:num w:numId="31" w16cid:durableId="473179722">
    <w:abstractNumId w:val="35"/>
  </w:num>
  <w:num w:numId="32" w16cid:durableId="583144917">
    <w:abstractNumId w:val="19"/>
  </w:num>
  <w:num w:numId="33" w16cid:durableId="290331906">
    <w:abstractNumId w:val="82"/>
  </w:num>
  <w:num w:numId="34" w16cid:durableId="788410">
    <w:abstractNumId w:val="21"/>
  </w:num>
  <w:num w:numId="35" w16cid:durableId="606500237">
    <w:abstractNumId w:val="83"/>
  </w:num>
  <w:num w:numId="36" w16cid:durableId="413210622">
    <w:abstractNumId w:val="62"/>
  </w:num>
  <w:num w:numId="37" w16cid:durableId="1672298560">
    <w:abstractNumId w:val="44"/>
  </w:num>
  <w:num w:numId="38" w16cid:durableId="467944275">
    <w:abstractNumId w:val="77"/>
  </w:num>
  <w:num w:numId="39" w16cid:durableId="1599021512">
    <w:abstractNumId w:val="75"/>
  </w:num>
  <w:num w:numId="40" w16cid:durableId="1026903809">
    <w:abstractNumId w:val="87"/>
  </w:num>
  <w:num w:numId="41" w16cid:durableId="771826358">
    <w:abstractNumId w:val="51"/>
  </w:num>
  <w:num w:numId="42" w16cid:durableId="1152604426">
    <w:abstractNumId w:val="61"/>
  </w:num>
  <w:num w:numId="43" w16cid:durableId="1239443811">
    <w:abstractNumId w:val="13"/>
  </w:num>
  <w:num w:numId="44" w16cid:durableId="1261530321">
    <w:abstractNumId w:val="69"/>
  </w:num>
  <w:num w:numId="45" w16cid:durableId="1327513620">
    <w:abstractNumId w:val="20"/>
  </w:num>
  <w:num w:numId="46" w16cid:durableId="1462917570">
    <w:abstractNumId w:val="5"/>
  </w:num>
  <w:num w:numId="47" w16cid:durableId="997269362">
    <w:abstractNumId w:val="10"/>
  </w:num>
  <w:num w:numId="48" w16cid:durableId="377363977">
    <w:abstractNumId w:val="64"/>
  </w:num>
  <w:num w:numId="49" w16cid:durableId="1705594417">
    <w:abstractNumId w:val="67"/>
  </w:num>
  <w:num w:numId="50" w16cid:durableId="1191727151">
    <w:abstractNumId w:val="50"/>
  </w:num>
  <w:num w:numId="51" w16cid:durableId="1398892286">
    <w:abstractNumId w:val="58"/>
  </w:num>
  <w:num w:numId="52" w16cid:durableId="1884511602">
    <w:abstractNumId w:val="9"/>
  </w:num>
  <w:num w:numId="53" w16cid:durableId="1511483698">
    <w:abstractNumId w:val="70"/>
  </w:num>
  <w:num w:numId="54" w16cid:durableId="777598846">
    <w:abstractNumId w:val="25"/>
  </w:num>
  <w:num w:numId="55" w16cid:durableId="774128817">
    <w:abstractNumId w:val="41"/>
  </w:num>
  <w:num w:numId="56" w16cid:durableId="590698873">
    <w:abstractNumId w:val="29"/>
  </w:num>
  <w:num w:numId="57" w16cid:durableId="1393626345">
    <w:abstractNumId w:val="39"/>
  </w:num>
  <w:num w:numId="58" w16cid:durableId="1215118648">
    <w:abstractNumId w:val="54"/>
  </w:num>
  <w:num w:numId="59" w16cid:durableId="2048485137">
    <w:abstractNumId w:val="32"/>
  </w:num>
  <w:num w:numId="60" w16cid:durableId="182565941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64448011">
    <w:abstractNumId w:val="60"/>
  </w:num>
  <w:num w:numId="62" w16cid:durableId="1382482181">
    <w:abstractNumId w:val="88"/>
  </w:num>
  <w:num w:numId="63" w16cid:durableId="374736126">
    <w:abstractNumId w:val="43"/>
  </w:num>
  <w:num w:numId="64" w16cid:durableId="273829757">
    <w:abstractNumId w:val="1"/>
  </w:num>
  <w:num w:numId="65" w16cid:durableId="2073237608">
    <w:abstractNumId w:val="2"/>
  </w:num>
  <w:num w:numId="66" w16cid:durableId="121084351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756052346">
    <w:abstractNumId w:val="76"/>
  </w:num>
  <w:num w:numId="68" w16cid:durableId="1907832625">
    <w:abstractNumId w:val="79"/>
  </w:num>
  <w:num w:numId="69" w16cid:durableId="237640449">
    <w:abstractNumId w:val="37"/>
  </w:num>
  <w:num w:numId="70" w16cid:durableId="274362377">
    <w:abstractNumId w:val="27"/>
  </w:num>
  <w:num w:numId="71" w16cid:durableId="799034946">
    <w:abstractNumId w:val="33"/>
  </w:num>
  <w:num w:numId="72" w16cid:durableId="1334336109">
    <w:abstractNumId w:val="52"/>
  </w:num>
  <w:num w:numId="73" w16cid:durableId="415632161">
    <w:abstractNumId w:val="16"/>
  </w:num>
  <w:num w:numId="74" w16cid:durableId="395052959">
    <w:abstractNumId w:val="28"/>
  </w:num>
  <w:num w:numId="75" w16cid:durableId="70930323">
    <w:abstractNumId w:val="24"/>
  </w:num>
  <w:num w:numId="76" w16cid:durableId="644966955">
    <w:abstractNumId w:val="72"/>
  </w:num>
  <w:num w:numId="77" w16cid:durableId="1180701705">
    <w:abstractNumId w:val="89"/>
  </w:num>
  <w:num w:numId="78" w16cid:durableId="653039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2767926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404335761">
    <w:abstractNumId w:val="47"/>
  </w:num>
  <w:num w:numId="81" w16cid:durableId="1029767524">
    <w:abstractNumId w:val="7"/>
  </w:num>
  <w:num w:numId="82" w16cid:durableId="1895652883">
    <w:abstractNumId w:val="63"/>
  </w:num>
  <w:num w:numId="83" w16cid:durableId="1046755079">
    <w:abstractNumId w:val="45"/>
  </w:num>
  <w:num w:numId="84" w16cid:durableId="888687810">
    <w:abstractNumId w:val="81"/>
  </w:num>
  <w:num w:numId="85" w16cid:durableId="285622923">
    <w:abstractNumId w:val="22"/>
  </w:num>
  <w:num w:numId="86" w16cid:durableId="1645548272">
    <w:abstractNumId w:val="17"/>
  </w:num>
  <w:num w:numId="87" w16cid:durableId="139015364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036390489">
    <w:abstractNumId w:val="15"/>
  </w:num>
  <w:num w:numId="89" w16cid:durableId="1964647718">
    <w:abstractNumId w:val="30"/>
  </w:num>
  <w:num w:numId="90" w16cid:durableId="1774129522">
    <w:abstractNumId w:val="49"/>
  </w:num>
  <w:num w:numId="91" w16cid:durableId="1397894362">
    <w:abstractNumId w:val="6"/>
  </w:num>
  <w:num w:numId="92" w16cid:durableId="856163335">
    <w:abstractNumId w:val="73"/>
  </w:num>
  <w:num w:numId="93" w16cid:durableId="178233655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098092476">
    <w:abstractNumId w:val="54"/>
  </w:num>
  <w:num w:numId="95" w16cid:durableId="67954650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21300598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39151285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01380369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83907733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3024090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26130138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39852636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9"/>
  <w:hyphenationZone w:val="425"/>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2935"/>
    <w:rsid w:val="00001A0C"/>
    <w:rsid w:val="00002707"/>
    <w:rsid w:val="00003057"/>
    <w:rsid w:val="000041F1"/>
    <w:rsid w:val="000046E5"/>
    <w:rsid w:val="00007B3B"/>
    <w:rsid w:val="00011EED"/>
    <w:rsid w:val="000122AD"/>
    <w:rsid w:val="0001502C"/>
    <w:rsid w:val="00015530"/>
    <w:rsid w:val="00016E77"/>
    <w:rsid w:val="000172DA"/>
    <w:rsid w:val="00017466"/>
    <w:rsid w:val="00026162"/>
    <w:rsid w:val="00027D90"/>
    <w:rsid w:val="00027F24"/>
    <w:rsid w:val="000323FF"/>
    <w:rsid w:val="000337A0"/>
    <w:rsid w:val="000351CE"/>
    <w:rsid w:val="0003718E"/>
    <w:rsid w:val="00037B0C"/>
    <w:rsid w:val="00042E84"/>
    <w:rsid w:val="0004356C"/>
    <w:rsid w:val="00046521"/>
    <w:rsid w:val="00051DC4"/>
    <w:rsid w:val="00051E06"/>
    <w:rsid w:val="00052DCE"/>
    <w:rsid w:val="0005624B"/>
    <w:rsid w:val="0005645A"/>
    <w:rsid w:val="00056C61"/>
    <w:rsid w:val="0005726D"/>
    <w:rsid w:val="000620EE"/>
    <w:rsid w:val="00062EEA"/>
    <w:rsid w:val="00063B85"/>
    <w:rsid w:val="00064316"/>
    <w:rsid w:val="00066F18"/>
    <w:rsid w:val="00067CD8"/>
    <w:rsid w:val="00070E9E"/>
    <w:rsid w:val="000730B1"/>
    <w:rsid w:val="000734BD"/>
    <w:rsid w:val="00073E72"/>
    <w:rsid w:val="000749DC"/>
    <w:rsid w:val="00076E7A"/>
    <w:rsid w:val="00077E3D"/>
    <w:rsid w:val="00081C08"/>
    <w:rsid w:val="000825FE"/>
    <w:rsid w:val="00082E4C"/>
    <w:rsid w:val="00084C07"/>
    <w:rsid w:val="00091353"/>
    <w:rsid w:val="00091982"/>
    <w:rsid w:val="00092146"/>
    <w:rsid w:val="00093795"/>
    <w:rsid w:val="00097D24"/>
    <w:rsid w:val="000A3189"/>
    <w:rsid w:val="000B528C"/>
    <w:rsid w:val="000B725D"/>
    <w:rsid w:val="000C08B6"/>
    <w:rsid w:val="000C1159"/>
    <w:rsid w:val="000C1A7E"/>
    <w:rsid w:val="000C5AF3"/>
    <w:rsid w:val="000C711B"/>
    <w:rsid w:val="000D2594"/>
    <w:rsid w:val="000D267A"/>
    <w:rsid w:val="000D29EA"/>
    <w:rsid w:val="000D2F08"/>
    <w:rsid w:val="000D370D"/>
    <w:rsid w:val="000E0DFC"/>
    <w:rsid w:val="000E19EB"/>
    <w:rsid w:val="000E2F47"/>
    <w:rsid w:val="000E783D"/>
    <w:rsid w:val="000F2436"/>
    <w:rsid w:val="000F4D05"/>
    <w:rsid w:val="000F4F53"/>
    <w:rsid w:val="000F55D0"/>
    <w:rsid w:val="000F5EC0"/>
    <w:rsid w:val="000F659D"/>
    <w:rsid w:val="000F6E9C"/>
    <w:rsid w:val="000F775F"/>
    <w:rsid w:val="00100397"/>
    <w:rsid w:val="001021CB"/>
    <w:rsid w:val="001078BD"/>
    <w:rsid w:val="001116A2"/>
    <w:rsid w:val="001125D5"/>
    <w:rsid w:val="0011358A"/>
    <w:rsid w:val="00113FCD"/>
    <w:rsid w:val="00115021"/>
    <w:rsid w:val="00115A87"/>
    <w:rsid w:val="00115DB6"/>
    <w:rsid w:val="00116D79"/>
    <w:rsid w:val="00117E84"/>
    <w:rsid w:val="00123FC2"/>
    <w:rsid w:val="00131556"/>
    <w:rsid w:val="001329FA"/>
    <w:rsid w:val="00133BB6"/>
    <w:rsid w:val="001348B2"/>
    <w:rsid w:val="00134E06"/>
    <w:rsid w:val="001353C9"/>
    <w:rsid w:val="001358AE"/>
    <w:rsid w:val="001416F3"/>
    <w:rsid w:val="0014208C"/>
    <w:rsid w:val="0014226E"/>
    <w:rsid w:val="001432C3"/>
    <w:rsid w:val="001441E5"/>
    <w:rsid w:val="00150C12"/>
    <w:rsid w:val="001515E9"/>
    <w:rsid w:val="00152136"/>
    <w:rsid w:val="0015443B"/>
    <w:rsid w:val="00163209"/>
    <w:rsid w:val="00165BDF"/>
    <w:rsid w:val="00170EEB"/>
    <w:rsid w:val="001745B3"/>
    <w:rsid w:val="00175E00"/>
    <w:rsid w:val="00176265"/>
    <w:rsid w:val="00181B96"/>
    <w:rsid w:val="0018724E"/>
    <w:rsid w:val="00190282"/>
    <w:rsid w:val="001939DF"/>
    <w:rsid w:val="00193B16"/>
    <w:rsid w:val="0019544F"/>
    <w:rsid w:val="001A3EB8"/>
    <w:rsid w:val="001A4E13"/>
    <w:rsid w:val="001A5D58"/>
    <w:rsid w:val="001A5DDF"/>
    <w:rsid w:val="001A6C20"/>
    <w:rsid w:val="001B49CB"/>
    <w:rsid w:val="001B585A"/>
    <w:rsid w:val="001B5E15"/>
    <w:rsid w:val="001B6866"/>
    <w:rsid w:val="001C0BDD"/>
    <w:rsid w:val="001C27AE"/>
    <w:rsid w:val="001C2896"/>
    <w:rsid w:val="001C71A6"/>
    <w:rsid w:val="001C7C9E"/>
    <w:rsid w:val="001D35EE"/>
    <w:rsid w:val="001D38A4"/>
    <w:rsid w:val="001D4AFA"/>
    <w:rsid w:val="001D6CE0"/>
    <w:rsid w:val="001E2B1E"/>
    <w:rsid w:val="001E4C6C"/>
    <w:rsid w:val="001E4FD8"/>
    <w:rsid w:val="001E66BB"/>
    <w:rsid w:val="001F2587"/>
    <w:rsid w:val="001F63F5"/>
    <w:rsid w:val="002019AB"/>
    <w:rsid w:val="00202146"/>
    <w:rsid w:val="00202973"/>
    <w:rsid w:val="002035E5"/>
    <w:rsid w:val="00206F0B"/>
    <w:rsid w:val="00206F95"/>
    <w:rsid w:val="00210A16"/>
    <w:rsid w:val="0021256B"/>
    <w:rsid w:val="002125F7"/>
    <w:rsid w:val="002147DD"/>
    <w:rsid w:val="00215836"/>
    <w:rsid w:val="00216205"/>
    <w:rsid w:val="00217C7F"/>
    <w:rsid w:val="00217EF0"/>
    <w:rsid w:val="002214BB"/>
    <w:rsid w:val="0022180D"/>
    <w:rsid w:val="00223DAD"/>
    <w:rsid w:val="00224DF6"/>
    <w:rsid w:val="00224F0C"/>
    <w:rsid w:val="00225C13"/>
    <w:rsid w:val="00226645"/>
    <w:rsid w:val="00227E0D"/>
    <w:rsid w:val="00235F01"/>
    <w:rsid w:val="00237F90"/>
    <w:rsid w:val="002402DC"/>
    <w:rsid w:val="00245B00"/>
    <w:rsid w:val="00246278"/>
    <w:rsid w:val="00250CFD"/>
    <w:rsid w:val="00250DCB"/>
    <w:rsid w:val="00251B48"/>
    <w:rsid w:val="002531AC"/>
    <w:rsid w:val="00253349"/>
    <w:rsid w:val="002538C6"/>
    <w:rsid w:val="00260E0B"/>
    <w:rsid w:val="00261D3D"/>
    <w:rsid w:val="00263296"/>
    <w:rsid w:val="002637CC"/>
    <w:rsid w:val="002643E5"/>
    <w:rsid w:val="00267063"/>
    <w:rsid w:val="00273BB3"/>
    <w:rsid w:val="00273F4E"/>
    <w:rsid w:val="00274EB7"/>
    <w:rsid w:val="0027680A"/>
    <w:rsid w:val="0027779E"/>
    <w:rsid w:val="002819E8"/>
    <w:rsid w:val="00281D48"/>
    <w:rsid w:val="00283447"/>
    <w:rsid w:val="00284876"/>
    <w:rsid w:val="00286BBA"/>
    <w:rsid w:val="00291BFC"/>
    <w:rsid w:val="0029657F"/>
    <w:rsid w:val="00296D13"/>
    <w:rsid w:val="002970B6"/>
    <w:rsid w:val="00297AAA"/>
    <w:rsid w:val="002A038D"/>
    <w:rsid w:val="002A1355"/>
    <w:rsid w:val="002A2AE3"/>
    <w:rsid w:val="002A5699"/>
    <w:rsid w:val="002A6E29"/>
    <w:rsid w:val="002B1C35"/>
    <w:rsid w:val="002B28D0"/>
    <w:rsid w:val="002B29B0"/>
    <w:rsid w:val="002B596F"/>
    <w:rsid w:val="002C0108"/>
    <w:rsid w:val="002C6E98"/>
    <w:rsid w:val="002C7499"/>
    <w:rsid w:val="002C7608"/>
    <w:rsid w:val="002D08FD"/>
    <w:rsid w:val="002D1035"/>
    <w:rsid w:val="002D243A"/>
    <w:rsid w:val="002D25F7"/>
    <w:rsid w:val="002D3D8C"/>
    <w:rsid w:val="002D4337"/>
    <w:rsid w:val="002D615D"/>
    <w:rsid w:val="002D67C0"/>
    <w:rsid w:val="002D6994"/>
    <w:rsid w:val="002E030E"/>
    <w:rsid w:val="002E35D7"/>
    <w:rsid w:val="002E3B64"/>
    <w:rsid w:val="002E40B8"/>
    <w:rsid w:val="002E55B5"/>
    <w:rsid w:val="002E5FBC"/>
    <w:rsid w:val="002F0AC8"/>
    <w:rsid w:val="002F14E4"/>
    <w:rsid w:val="002F1518"/>
    <w:rsid w:val="002F3415"/>
    <w:rsid w:val="002F5B11"/>
    <w:rsid w:val="002F7DEA"/>
    <w:rsid w:val="00300845"/>
    <w:rsid w:val="00303F94"/>
    <w:rsid w:val="00305138"/>
    <w:rsid w:val="0030637F"/>
    <w:rsid w:val="00306681"/>
    <w:rsid w:val="00306B73"/>
    <w:rsid w:val="0030722D"/>
    <w:rsid w:val="0031010B"/>
    <w:rsid w:val="003122AF"/>
    <w:rsid w:val="00314F8F"/>
    <w:rsid w:val="00315B21"/>
    <w:rsid w:val="00317CCF"/>
    <w:rsid w:val="003206C0"/>
    <w:rsid w:val="0032106B"/>
    <w:rsid w:val="003246AE"/>
    <w:rsid w:val="00324EC6"/>
    <w:rsid w:val="003256E7"/>
    <w:rsid w:val="003258DF"/>
    <w:rsid w:val="00325A04"/>
    <w:rsid w:val="00326290"/>
    <w:rsid w:val="00331356"/>
    <w:rsid w:val="00332CF0"/>
    <w:rsid w:val="00333E4B"/>
    <w:rsid w:val="0034391E"/>
    <w:rsid w:val="0034493F"/>
    <w:rsid w:val="0034496D"/>
    <w:rsid w:val="00344B87"/>
    <w:rsid w:val="00347286"/>
    <w:rsid w:val="00350439"/>
    <w:rsid w:val="003511CD"/>
    <w:rsid w:val="003512B8"/>
    <w:rsid w:val="0035207E"/>
    <w:rsid w:val="00354521"/>
    <w:rsid w:val="00354D34"/>
    <w:rsid w:val="00355019"/>
    <w:rsid w:val="0035679A"/>
    <w:rsid w:val="0036181D"/>
    <w:rsid w:val="00364061"/>
    <w:rsid w:val="00364602"/>
    <w:rsid w:val="00364CC3"/>
    <w:rsid w:val="00365886"/>
    <w:rsid w:val="003702D5"/>
    <w:rsid w:val="00370CC5"/>
    <w:rsid w:val="003723A6"/>
    <w:rsid w:val="00376F80"/>
    <w:rsid w:val="00377AE9"/>
    <w:rsid w:val="003810C2"/>
    <w:rsid w:val="003816F3"/>
    <w:rsid w:val="00386BAA"/>
    <w:rsid w:val="00393160"/>
    <w:rsid w:val="003936EA"/>
    <w:rsid w:val="00393C4D"/>
    <w:rsid w:val="003A102C"/>
    <w:rsid w:val="003A22D2"/>
    <w:rsid w:val="003A2935"/>
    <w:rsid w:val="003A3D67"/>
    <w:rsid w:val="003A40B1"/>
    <w:rsid w:val="003A6082"/>
    <w:rsid w:val="003B5361"/>
    <w:rsid w:val="003B6A95"/>
    <w:rsid w:val="003B6FDA"/>
    <w:rsid w:val="003C1884"/>
    <w:rsid w:val="003C2855"/>
    <w:rsid w:val="003C31E8"/>
    <w:rsid w:val="003C575E"/>
    <w:rsid w:val="003C576F"/>
    <w:rsid w:val="003C57F0"/>
    <w:rsid w:val="003C7C34"/>
    <w:rsid w:val="003D2F13"/>
    <w:rsid w:val="003D43DC"/>
    <w:rsid w:val="003D55E6"/>
    <w:rsid w:val="003E05B4"/>
    <w:rsid w:val="003E0B9A"/>
    <w:rsid w:val="003E4D7F"/>
    <w:rsid w:val="003E53AB"/>
    <w:rsid w:val="003E63E4"/>
    <w:rsid w:val="003E77D0"/>
    <w:rsid w:val="003F14FD"/>
    <w:rsid w:val="003F1EED"/>
    <w:rsid w:val="003F50E9"/>
    <w:rsid w:val="003F51CF"/>
    <w:rsid w:val="003F57EA"/>
    <w:rsid w:val="003F5BE9"/>
    <w:rsid w:val="003F6D23"/>
    <w:rsid w:val="003F6EB9"/>
    <w:rsid w:val="004012B9"/>
    <w:rsid w:val="004077DC"/>
    <w:rsid w:val="00413EC7"/>
    <w:rsid w:val="004213BA"/>
    <w:rsid w:val="004229A7"/>
    <w:rsid w:val="0042401D"/>
    <w:rsid w:val="004260ED"/>
    <w:rsid w:val="00426FA6"/>
    <w:rsid w:val="00431E8F"/>
    <w:rsid w:val="00440A8C"/>
    <w:rsid w:val="00442AF9"/>
    <w:rsid w:val="00446A05"/>
    <w:rsid w:val="00447DFE"/>
    <w:rsid w:val="004520A7"/>
    <w:rsid w:val="00452C44"/>
    <w:rsid w:val="00453B84"/>
    <w:rsid w:val="00454093"/>
    <w:rsid w:val="0045532B"/>
    <w:rsid w:val="0045605C"/>
    <w:rsid w:val="004627F2"/>
    <w:rsid w:val="00462D62"/>
    <w:rsid w:val="00463223"/>
    <w:rsid w:val="0046334A"/>
    <w:rsid w:val="00463DE5"/>
    <w:rsid w:val="00465F43"/>
    <w:rsid w:val="004666DA"/>
    <w:rsid w:val="00466AA3"/>
    <w:rsid w:val="00467A03"/>
    <w:rsid w:val="004703C5"/>
    <w:rsid w:val="00471763"/>
    <w:rsid w:val="00473225"/>
    <w:rsid w:val="00480581"/>
    <w:rsid w:val="004805E6"/>
    <w:rsid w:val="00485BE5"/>
    <w:rsid w:val="004861CA"/>
    <w:rsid w:val="0048626A"/>
    <w:rsid w:val="00487927"/>
    <w:rsid w:val="004932B4"/>
    <w:rsid w:val="004A1487"/>
    <w:rsid w:val="004A186C"/>
    <w:rsid w:val="004A6491"/>
    <w:rsid w:val="004A6A59"/>
    <w:rsid w:val="004B2A28"/>
    <w:rsid w:val="004B446A"/>
    <w:rsid w:val="004B4E41"/>
    <w:rsid w:val="004B5220"/>
    <w:rsid w:val="004B5830"/>
    <w:rsid w:val="004B5C85"/>
    <w:rsid w:val="004B70B4"/>
    <w:rsid w:val="004B7B95"/>
    <w:rsid w:val="004C0570"/>
    <w:rsid w:val="004C223A"/>
    <w:rsid w:val="004C4E5C"/>
    <w:rsid w:val="004C5120"/>
    <w:rsid w:val="004C6F95"/>
    <w:rsid w:val="004D03AC"/>
    <w:rsid w:val="004D6085"/>
    <w:rsid w:val="004D6207"/>
    <w:rsid w:val="004D6319"/>
    <w:rsid w:val="004D72D0"/>
    <w:rsid w:val="004D75CE"/>
    <w:rsid w:val="004E01FB"/>
    <w:rsid w:val="004E5AF5"/>
    <w:rsid w:val="004E7FEF"/>
    <w:rsid w:val="004F1178"/>
    <w:rsid w:val="004F1EC8"/>
    <w:rsid w:val="004F3E3F"/>
    <w:rsid w:val="004F5218"/>
    <w:rsid w:val="004F6510"/>
    <w:rsid w:val="00500AD1"/>
    <w:rsid w:val="00501FA3"/>
    <w:rsid w:val="00504526"/>
    <w:rsid w:val="00506E61"/>
    <w:rsid w:val="00507F7D"/>
    <w:rsid w:val="00510F18"/>
    <w:rsid w:val="00511E54"/>
    <w:rsid w:val="00512611"/>
    <w:rsid w:val="0051771F"/>
    <w:rsid w:val="0052151E"/>
    <w:rsid w:val="00523158"/>
    <w:rsid w:val="005232F9"/>
    <w:rsid w:val="0052567D"/>
    <w:rsid w:val="0052594E"/>
    <w:rsid w:val="00532A13"/>
    <w:rsid w:val="00545457"/>
    <w:rsid w:val="00545C36"/>
    <w:rsid w:val="00550099"/>
    <w:rsid w:val="00550AF2"/>
    <w:rsid w:val="005535BA"/>
    <w:rsid w:val="00556A37"/>
    <w:rsid w:val="005675FA"/>
    <w:rsid w:val="00571533"/>
    <w:rsid w:val="00571AEC"/>
    <w:rsid w:val="00571B31"/>
    <w:rsid w:val="00572599"/>
    <w:rsid w:val="005725A4"/>
    <w:rsid w:val="005743C6"/>
    <w:rsid w:val="00575DA2"/>
    <w:rsid w:val="00580E95"/>
    <w:rsid w:val="00584DD1"/>
    <w:rsid w:val="00584F5F"/>
    <w:rsid w:val="00586A0B"/>
    <w:rsid w:val="00587250"/>
    <w:rsid w:val="0059176B"/>
    <w:rsid w:val="005917ED"/>
    <w:rsid w:val="00591B9B"/>
    <w:rsid w:val="00592B87"/>
    <w:rsid w:val="00594142"/>
    <w:rsid w:val="00595671"/>
    <w:rsid w:val="005A1C7A"/>
    <w:rsid w:val="005A37CF"/>
    <w:rsid w:val="005A6E03"/>
    <w:rsid w:val="005A70A7"/>
    <w:rsid w:val="005A796E"/>
    <w:rsid w:val="005B2260"/>
    <w:rsid w:val="005B6CB5"/>
    <w:rsid w:val="005B7447"/>
    <w:rsid w:val="005B75B4"/>
    <w:rsid w:val="005C2271"/>
    <w:rsid w:val="005C2982"/>
    <w:rsid w:val="005C72A2"/>
    <w:rsid w:val="005C7427"/>
    <w:rsid w:val="005D07B9"/>
    <w:rsid w:val="005D1192"/>
    <w:rsid w:val="005D3F5E"/>
    <w:rsid w:val="005D4CE0"/>
    <w:rsid w:val="005D5AA6"/>
    <w:rsid w:val="005D5DC1"/>
    <w:rsid w:val="005E3468"/>
    <w:rsid w:val="005E53DA"/>
    <w:rsid w:val="005E6A15"/>
    <w:rsid w:val="005E7D27"/>
    <w:rsid w:val="005F78DB"/>
    <w:rsid w:val="00602E69"/>
    <w:rsid w:val="00603E2D"/>
    <w:rsid w:val="00603F20"/>
    <w:rsid w:val="0060465D"/>
    <w:rsid w:val="00605C46"/>
    <w:rsid w:val="00605E03"/>
    <w:rsid w:val="00605E4A"/>
    <w:rsid w:val="00606733"/>
    <w:rsid w:val="00606EDB"/>
    <w:rsid w:val="006145F4"/>
    <w:rsid w:val="006163F3"/>
    <w:rsid w:val="00617241"/>
    <w:rsid w:val="0062059A"/>
    <w:rsid w:val="00622E70"/>
    <w:rsid w:val="00631506"/>
    <w:rsid w:val="00631FD8"/>
    <w:rsid w:val="0063459B"/>
    <w:rsid w:val="00634E9D"/>
    <w:rsid w:val="0063577E"/>
    <w:rsid w:val="0063625A"/>
    <w:rsid w:val="00636B12"/>
    <w:rsid w:val="00637120"/>
    <w:rsid w:val="0063763E"/>
    <w:rsid w:val="006431C9"/>
    <w:rsid w:val="006444B0"/>
    <w:rsid w:val="00645AED"/>
    <w:rsid w:val="00645DA0"/>
    <w:rsid w:val="00645E8C"/>
    <w:rsid w:val="00647421"/>
    <w:rsid w:val="00647CDF"/>
    <w:rsid w:val="00650745"/>
    <w:rsid w:val="006518EF"/>
    <w:rsid w:val="0065267C"/>
    <w:rsid w:val="0065274A"/>
    <w:rsid w:val="00652943"/>
    <w:rsid w:val="00652F25"/>
    <w:rsid w:val="006606DD"/>
    <w:rsid w:val="00661F2F"/>
    <w:rsid w:val="00664ED0"/>
    <w:rsid w:val="00666AA0"/>
    <w:rsid w:val="0067185C"/>
    <w:rsid w:val="00672521"/>
    <w:rsid w:val="00675ABC"/>
    <w:rsid w:val="00676517"/>
    <w:rsid w:val="0067662B"/>
    <w:rsid w:val="006857D0"/>
    <w:rsid w:val="00685E7A"/>
    <w:rsid w:val="00686906"/>
    <w:rsid w:val="0069050C"/>
    <w:rsid w:val="00691046"/>
    <w:rsid w:val="00692556"/>
    <w:rsid w:val="006941C5"/>
    <w:rsid w:val="006956FA"/>
    <w:rsid w:val="00697C78"/>
    <w:rsid w:val="006A308F"/>
    <w:rsid w:val="006A39C4"/>
    <w:rsid w:val="006A5CB9"/>
    <w:rsid w:val="006B108E"/>
    <w:rsid w:val="006B46F0"/>
    <w:rsid w:val="006B4B07"/>
    <w:rsid w:val="006B4DCF"/>
    <w:rsid w:val="006B4F9C"/>
    <w:rsid w:val="006B506C"/>
    <w:rsid w:val="006B5EDA"/>
    <w:rsid w:val="006B7515"/>
    <w:rsid w:val="006B7EC5"/>
    <w:rsid w:val="006C251B"/>
    <w:rsid w:val="006C296F"/>
    <w:rsid w:val="006C2AF4"/>
    <w:rsid w:val="006C4937"/>
    <w:rsid w:val="006C49E4"/>
    <w:rsid w:val="006C4C1D"/>
    <w:rsid w:val="006C677F"/>
    <w:rsid w:val="006C6990"/>
    <w:rsid w:val="006C7F5B"/>
    <w:rsid w:val="006D03EB"/>
    <w:rsid w:val="006D25AD"/>
    <w:rsid w:val="006D2D4D"/>
    <w:rsid w:val="006D5177"/>
    <w:rsid w:val="006D6988"/>
    <w:rsid w:val="006D768D"/>
    <w:rsid w:val="006D7A26"/>
    <w:rsid w:val="006E0F21"/>
    <w:rsid w:val="006E306D"/>
    <w:rsid w:val="006E4C14"/>
    <w:rsid w:val="006E4D3A"/>
    <w:rsid w:val="006E4F03"/>
    <w:rsid w:val="006E70D2"/>
    <w:rsid w:val="006F03CA"/>
    <w:rsid w:val="006F072F"/>
    <w:rsid w:val="006F1128"/>
    <w:rsid w:val="006F2069"/>
    <w:rsid w:val="006F281F"/>
    <w:rsid w:val="006F460B"/>
    <w:rsid w:val="006F538E"/>
    <w:rsid w:val="006F73DD"/>
    <w:rsid w:val="00701678"/>
    <w:rsid w:val="0070647D"/>
    <w:rsid w:val="007118B0"/>
    <w:rsid w:val="0071419C"/>
    <w:rsid w:val="00714DEF"/>
    <w:rsid w:val="00716F9B"/>
    <w:rsid w:val="0072099A"/>
    <w:rsid w:val="00721698"/>
    <w:rsid w:val="0072311E"/>
    <w:rsid w:val="007255D5"/>
    <w:rsid w:val="007256F1"/>
    <w:rsid w:val="00730361"/>
    <w:rsid w:val="00732739"/>
    <w:rsid w:val="00734FD3"/>
    <w:rsid w:val="00734FEB"/>
    <w:rsid w:val="00737A61"/>
    <w:rsid w:val="0074073C"/>
    <w:rsid w:val="00740CE5"/>
    <w:rsid w:val="007412BE"/>
    <w:rsid w:val="007507A5"/>
    <w:rsid w:val="00750A24"/>
    <w:rsid w:val="007554E4"/>
    <w:rsid w:val="00755E47"/>
    <w:rsid w:val="00760F1E"/>
    <w:rsid w:val="00762EA9"/>
    <w:rsid w:val="0076437B"/>
    <w:rsid w:val="0076544A"/>
    <w:rsid w:val="0076566D"/>
    <w:rsid w:val="00766CCB"/>
    <w:rsid w:val="007674E7"/>
    <w:rsid w:val="0077167C"/>
    <w:rsid w:val="00774E19"/>
    <w:rsid w:val="00775EB7"/>
    <w:rsid w:val="00776C9F"/>
    <w:rsid w:val="007775EE"/>
    <w:rsid w:val="00777BD5"/>
    <w:rsid w:val="0078035B"/>
    <w:rsid w:val="00780C2B"/>
    <w:rsid w:val="00780CF3"/>
    <w:rsid w:val="0078100C"/>
    <w:rsid w:val="0078400B"/>
    <w:rsid w:val="00784383"/>
    <w:rsid w:val="007861CE"/>
    <w:rsid w:val="00791BA3"/>
    <w:rsid w:val="00794FBB"/>
    <w:rsid w:val="007971D8"/>
    <w:rsid w:val="007A01D7"/>
    <w:rsid w:val="007A2247"/>
    <w:rsid w:val="007A2A27"/>
    <w:rsid w:val="007B2BE1"/>
    <w:rsid w:val="007B3671"/>
    <w:rsid w:val="007B49C8"/>
    <w:rsid w:val="007B5A29"/>
    <w:rsid w:val="007C7223"/>
    <w:rsid w:val="007C76ED"/>
    <w:rsid w:val="007D2833"/>
    <w:rsid w:val="007D2C43"/>
    <w:rsid w:val="007D49B7"/>
    <w:rsid w:val="007D7F97"/>
    <w:rsid w:val="007E022E"/>
    <w:rsid w:val="007E06CE"/>
    <w:rsid w:val="007E2D6F"/>
    <w:rsid w:val="007E2FC4"/>
    <w:rsid w:val="007E3FD7"/>
    <w:rsid w:val="007E47DB"/>
    <w:rsid w:val="007E68A5"/>
    <w:rsid w:val="007E76D2"/>
    <w:rsid w:val="007F09F7"/>
    <w:rsid w:val="007F0E33"/>
    <w:rsid w:val="007F1496"/>
    <w:rsid w:val="007F1A04"/>
    <w:rsid w:val="007F1C22"/>
    <w:rsid w:val="007F4BEA"/>
    <w:rsid w:val="008013E5"/>
    <w:rsid w:val="00801F9E"/>
    <w:rsid w:val="00802CE8"/>
    <w:rsid w:val="00803F82"/>
    <w:rsid w:val="008043DC"/>
    <w:rsid w:val="00805F1A"/>
    <w:rsid w:val="00810BA9"/>
    <w:rsid w:val="008136D9"/>
    <w:rsid w:val="00813E64"/>
    <w:rsid w:val="00815B96"/>
    <w:rsid w:val="00820FB2"/>
    <w:rsid w:val="0082105D"/>
    <w:rsid w:val="0082147C"/>
    <w:rsid w:val="00821C9C"/>
    <w:rsid w:val="008226E0"/>
    <w:rsid w:val="00822E3C"/>
    <w:rsid w:val="008244CA"/>
    <w:rsid w:val="00824B69"/>
    <w:rsid w:val="008252EF"/>
    <w:rsid w:val="00830848"/>
    <w:rsid w:val="00832141"/>
    <w:rsid w:val="00833C38"/>
    <w:rsid w:val="00836655"/>
    <w:rsid w:val="00837EFF"/>
    <w:rsid w:val="00841EC7"/>
    <w:rsid w:val="00842C21"/>
    <w:rsid w:val="008433E7"/>
    <w:rsid w:val="0084416E"/>
    <w:rsid w:val="00845892"/>
    <w:rsid w:val="00845C7B"/>
    <w:rsid w:val="008513BF"/>
    <w:rsid w:val="00851AB9"/>
    <w:rsid w:val="008523D9"/>
    <w:rsid w:val="00852DBB"/>
    <w:rsid w:val="0085310F"/>
    <w:rsid w:val="008533A8"/>
    <w:rsid w:val="00853536"/>
    <w:rsid w:val="00854899"/>
    <w:rsid w:val="0085515B"/>
    <w:rsid w:val="00856AE5"/>
    <w:rsid w:val="008618C6"/>
    <w:rsid w:val="008626CD"/>
    <w:rsid w:val="00865759"/>
    <w:rsid w:val="00865D8C"/>
    <w:rsid w:val="0087044F"/>
    <w:rsid w:val="00871491"/>
    <w:rsid w:val="00874451"/>
    <w:rsid w:val="0087446A"/>
    <w:rsid w:val="008748D1"/>
    <w:rsid w:val="00875EAA"/>
    <w:rsid w:val="00876574"/>
    <w:rsid w:val="00880175"/>
    <w:rsid w:val="00880CF0"/>
    <w:rsid w:val="00881A60"/>
    <w:rsid w:val="00881BEF"/>
    <w:rsid w:val="00881E42"/>
    <w:rsid w:val="008831EB"/>
    <w:rsid w:val="0088435A"/>
    <w:rsid w:val="008922ED"/>
    <w:rsid w:val="008934D4"/>
    <w:rsid w:val="00893F54"/>
    <w:rsid w:val="00896093"/>
    <w:rsid w:val="00896B84"/>
    <w:rsid w:val="00896F0A"/>
    <w:rsid w:val="00897A12"/>
    <w:rsid w:val="00897D64"/>
    <w:rsid w:val="008A38D1"/>
    <w:rsid w:val="008A4310"/>
    <w:rsid w:val="008A54D8"/>
    <w:rsid w:val="008A5F62"/>
    <w:rsid w:val="008B017A"/>
    <w:rsid w:val="008B5634"/>
    <w:rsid w:val="008C2F20"/>
    <w:rsid w:val="008C409B"/>
    <w:rsid w:val="008C4FA8"/>
    <w:rsid w:val="008C79A1"/>
    <w:rsid w:val="008D55E1"/>
    <w:rsid w:val="008D6E4F"/>
    <w:rsid w:val="008E2451"/>
    <w:rsid w:val="008E29E3"/>
    <w:rsid w:val="008E4505"/>
    <w:rsid w:val="008E4B09"/>
    <w:rsid w:val="008E5A7D"/>
    <w:rsid w:val="008E63A6"/>
    <w:rsid w:val="008E6688"/>
    <w:rsid w:val="008E7350"/>
    <w:rsid w:val="008E789E"/>
    <w:rsid w:val="008F000F"/>
    <w:rsid w:val="008F0753"/>
    <w:rsid w:val="008F0CBD"/>
    <w:rsid w:val="008F3051"/>
    <w:rsid w:val="00902858"/>
    <w:rsid w:val="00904207"/>
    <w:rsid w:val="0090593A"/>
    <w:rsid w:val="00905B2A"/>
    <w:rsid w:val="00905D7C"/>
    <w:rsid w:val="00906E38"/>
    <w:rsid w:val="00907CA7"/>
    <w:rsid w:val="00907D91"/>
    <w:rsid w:val="00907DD3"/>
    <w:rsid w:val="009109EA"/>
    <w:rsid w:val="009121E8"/>
    <w:rsid w:val="00914079"/>
    <w:rsid w:val="009149B1"/>
    <w:rsid w:val="009150CF"/>
    <w:rsid w:val="0091771C"/>
    <w:rsid w:val="00917B0D"/>
    <w:rsid w:val="00917D51"/>
    <w:rsid w:val="009200DC"/>
    <w:rsid w:val="0092053B"/>
    <w:rsid w:val="00920954"/>
    <w:rsid w:val="009237CE"/>
    <w:rsid w:val="0092435E"/>
    <w:rsid w:val="00924E16"/>
    <w:rsid w:val="00926606"/>
    <w:rsid w:val="0093174E"/>
    <w:rsid w:val="00931B2E"/>
    <w:rsid w:val="0093499B"/>
    <w:rsid w:val="00935378"/>
    <w:rsid w:val="00936697"/>
    <w:rsid w:val="009440A8"/>
    <w:rsid w:val="009451E3"/>
    <w:rsid w:val="00945C40"/>
    <w:rsid w:val="00946A0A"/>
    <w:rsid w:val="009519AD"/>
    <w:rsid w:val="00955BA2"/>
    <w:rsid w:val="009570B9"/>
    <w:rsid w:val="0096119B"/>
    <w:rsid w:val="009618C8"/>
    <w:rsid w:val="00962526"/>
    <w:rsid w:val="00962AB2"/>
    <w:rsid w:val="0096644E"/>
    <w:rsid w:val="0096649E"/>
    <w:rsid w:val="00967FE1"/>
    <w:rsid w:val="009710F6"/>
    <w:rsid w:val="00971591"/>
    <w:rsid w:val="00971777"/>
    <w:rsid w:val="009729F7"/>
    <w:rsid w:val="00972CBA"/>
    <w:rsid w:val="00973B5D"/>
    <w:rsid w:val="009764FA"/>
    <w:rsid w:val="00977B34"/>
    <w:rsid w:val="0098312F"/>
    <w:rsid w:val="009842E5"/>
    <w:rsid w:val="0098743A"/>
    <w:rsid w:val="0099440C"/>
    <w:rsid w:val="009947FF"/>
    <w:rsid w:val="00995116"/>
    <w:rsid w:val="009A005D"/>
    <w:rsid w:val="009A33E6"/>
    <w:rsid w:val="009A4D51"/>
    <w:rsid w:val="009A642D"/>
    <w:rsid w:val="009B1B86"/>
    <w:rsid w:val="009B2382"/>
    <w:rsid w:val="009B3BE2"/>
    <w:rsid w:val="009B609C"/>
    <w:rsid w:val="009B7105"/>
    <w:rsid w:val="009B754F"/>
    <w:rsid w:val="009C05E1"/>
    <w:rsid w:val="009C09C9"/>
    <w:rsid w:val="009C3FD0"/>
    <w:rsid w:val="009C4ECB"/>
    <w:rsid w:val="009C6A8D"/>
    <w:rsid w:val="009C6F1F"/>
    <w:rsid w:val="009C76B7"/>
    <w:rsid w:val="009C793D"/>
    <w:rsid w:val="009D0F2F"/>
    <w:rsid w:val="009D312C"/>
    <w:rsid w:val="009D3165"/>
    <w:rsid w:val="009D6851"/>
    <w:rsid w:val="009D6FCA"/>
    <w:rsid w:val="009E2F7F"/>
    <w:rsid w:val="009E30DE"/>
    <w:rsid w:val="009E3957"/>
    <w:rsid w:val="009E3F33"/>
    <w:rsid w:val="009E4AB0"/>
    <w:rsid w:val="009E6424"/>
    <w:rsid w:val="009E6DDA"/>
    <w:rsid w:val="009F196B"/>
    <w:rsid w:val="009F4720"/>
    <w:rsid w:val="00A047D2"/>
    <w:rsid w:val="00A06150"/>
    <w:rsid w:val="00A100E1"/>
    <w:rsid w:val="00A1028B"/>
    <w:rsid w:val="00A110C9"/>
    <w:rsid w:val="00A12FDD"/>
    <w:rsid w:val="00A141AF"/>
    <w:rsid w:val="00A15877"/>
    <w:rsid w:val="00A17C42"/>
    <w:rsid w:val="00A21CFA"/>
    <w:rsid w:val="00A22136"/>
    <w:rsid w:val="00A228DD"/>
    <w:rsid w:val="00A22F7E"/>
    <w:rsid w:val="00A23AFA"/>
    <w:rsid w:val="00A310C6"/>
    <w:rsid w:val="00A335F6"/>
    <w:rsid w:val="00A34FAD"/>
    <w:rsid w:val="00A36804"/>
    <w:rsid w:val="00A36B38"/>
    <w:rsid w:val="00A40E3C"/>
    <w:rsid w:val="00A43902"/>
    <w:rsid w:val="00A43F33"/>
    <w:rsid w:val="00A47B71"/>
    <w:rsid w:val="00A5105D"/>
    <w:rsid w:val="00A514C6"/>
    <w:rsid w:val="00A53502"/>
    <w:rsid w:val="00A53B6B"/>
    <w:rsid w:val="00A5513E"/>
    <w:rsid w:val="00A55861"/>
    <w:rsid w:val="00A5596A"/>
    <w:rsid w:val="00A56CA8"/>
    <w:rsid w:val="00A64D19"/>
    <w:rsid w:val="00A66FFC"/>
    <w:rsid w:val="00A67073"/>
    <w:rsid w:val="00A7789B"/>
    <w:rsid w:val="00A80024"/>
    <w:rsid w:val="00A812B8"/>
    <w:rsid w:val="00A83361"/>
    <w:rsid w:val="00A835FA"/>
    <w:rsid w:val="00A83A87"/>
    <w:rsid w:val="00A845C2"/>
    <w:rsid w:val="00A84DD9"/>
    <w:rsid w:val="00A8610E"/>
    <w:rsid w:val="00A87CA0"/>
    <w:rsid w:val="00A904C0"/>
    <w:rsid w:val="00A95944"/>
    <w:rsid w:val="00A95D87"/>
    <w:rsid w:val="00A96795"/>
    <w:rsid w:val="00A9751B"/>
    <w:rsid w:val="00A97954"/>
    <w:rsid w:val="00A97BA9"/>
    <w:rsid w:val="00AA2B36"/>
    <w:rsid w:val="00AA4016"/>
    <w:rsid w:val="00AA4067"/>
    <w:rsid w:val="00AA5DD8"/>
    <w:rsid w:val="00AA5F15"/>
    <w:rsid w:val="00AB0F3F"/>
    <w:rsid w:val="00AB4489"/>
    <w:rsid w:val="00AB51D9"/>
    <w:rsid w:val="00AC0C65"/>
    <w:rsid w:val="00AC119B"/>
    <w:rsid w:val="00AC3724"/>
    <w:rsid w:val="00AC47D0"/>
    <w:rsid w:val="00AC5B75"/>
    <w:rsid w:val="00AC6BD2"/>
    <w:rsid w:val="00AD1E0D"/>
    <w:rsid w:val="00AD57CD"/>
    <w:rsid w:val="00AE06CD"/>
    <w:rsid w:val="00AE1B40"/>
    <w:rsid w:val="00AE5863"/>
    <w:rsid w:val="00AE6339"/>
    <w:rsid w:val="00AF3E15"/>
    <w:rsid w:val="00AF3E65"/>
    <w:rsid w:val="00AF3E7A"/>
    <w:rsid w:val="00AF552E"/>
    <w:rsid w:val="00B00D18"/>
    <w:rsid w:val="00B01AEF"/>
    <w:rsid w:val="00B02709"/>
    <w:rsid w:val="00B052CA"/>
    <w:rsid w:val="00B077A3"/>
    <w:rsid w:val="00B1027F"/>
    <w:rsid w:val="00B104C3"/>
    <w:rsid w:val="00B148BF"/>
    <w:rsid w:val="00B149A0"/>
    <w:rsid w:val="00B15DFF"/>
    <w:rsid w:val="00B17161"/>
    <w:rsid w:val="00B22542"/>
    <w:rsid w:val="00B23A9B"/>
    <w:rsid w:val="00B26AC0"/>
    <w:rsid w:val="00B32E7E"/>
    <w:rsid w:val="00B37B65"/>
    <w:rsid w:val="00B42B9E"/>
    <w:rsid w:val="00B44F4E"/>
    <w:rsid w:val="00B4574A"/>
    <w:rsid w:val="00B46540"/>
    <w:rsid w:val="00B47702"/>
    <w:rsid w:val="00B4783A"/>
    <w:rsid w:val="00B52732"/>
    <w:rsid w:val="00B52F1D"/>
    <w:rsid w:val="00B54325"/>
    <w:rsid w:val="00B56301"/>
    <w:rsid w:val="00B57222"/>
    <w:rsid w:val="00B57911"/>
    <w:rsid w:val="00B624EA"/>
    <w:rsid w:val="00B6361C"/>
    <w:rsid w:val="00B6363A"/>
    <w:rsid w:val="00B63E9E"/>
    <w:rsid w:val="00B65589"/>
    <w:rsid w:val="00B716A0"/>
    <w:rsid w:val="00B719E2"/>
    <w:rsid w:val="00B7225B"/>
    <w:rsid w:val="00B73BFB"/>
    <w:rsid w:val="00B751E0"/>
    <w:rsid w:val="00B75C07"/>
    <w:rsid w:val="00B80670"/>
    <w:rsid w:val="00B86118"/>
    <w:rsid w:val="00B92487"/>
    <w:rsid w:val="00B94B7E"/>
    <w:rsid w:val="00B95CF2"/>
    <w:rsid w:val="00B96FBB"/>
    <w:rsid w:val="00B97704"/>
    <w:rsid w:val="00B9781A"/>
    <w:rsid w:val="00B978DC"/>
    <w:rsid w:val="00BA2C8F"/>
    <w:rsid w:val="00BA4D1D"/>
    <w:rsid w:val="00BA618F"/>
    <w:rsid w:val="00BA66CC"/>
    <w:rsid w:val="00BA7429"/>
    <w:rsid w:val="00BB17AC"/>
    <w:rsid w:val="00BB25C1"/>
    <w:rsid w:val="00BB3AF6"/>
    <w:rsid w:val="00BB5CA4"/>
    <w:rsid w:val="00BC25AC"/>
    <w:rsid w:val="00BC3817"/>
    <w:rsid w:val="00BC4A4E"/>
    <w:rsid w:val="00BC5E80"/>
    <w:rsid w:val="00BC6219"/>
    <w:rsid w:val="00BC79E3"/>
    <w:rsid w:val="00BD0C7C"/>
    <w:rsid w:val="00BD161D"/>
    <w:rsid w:val="00BD189E"/>
    <w:rsid w:val="00BD588C"/>
    <w:rsid w:val="00BE086C"/>
    <w:rsid w:val="00BE3EF8"/>
    <w:rsid w:val="00BE54E6"/>
    <w:rsid w:val="00BE55F6"/>
    <w:rsid w:val="00BE6408"/>
    <w:rsid w:val="00BF2B78"/>
    <w:rsid w:val="00BF33ED"/>
    <w:rsid w:val="00BF3A34"/>
    <w:rsid w:val="00BF5655"/>
    <w:rsid w:val="00BF6E90"/>
    <w:rsid w:val="00C02C24"/>
    <w:rsid w:val="00C030F9"/>
    <w:rsid w:val="00C03CF7"/>
    <w:rsid w:val="00C04707"/>
    <w:rsid w:val="00C07E57"/>
    <w:rsid w:val="00C07FFB"/>
    <w:rsid w:val="00C10522"/>
    <w:rsid w:val="00C1079C"/>
    <w:rsid w:val="00C11BF9"/>
    <w:rsid w:val="00C154F7"/>
    <w:rsid w:val="00C20383"/>
    <w:rsid w:val="00C2055C"/>
    <w:rsid w:val="00C216DF"/>
    <w:rsid w:val="00C23A99"/>
    <w:rsid w:val="00C2407B"/>
    <w:rsid w:val="00C26468"/>
    <w:rsid w:val="00C27281"/>
    <w:rsid w:val="00C30949"/>
    <w:rsid w:val="00C312A3"/>
    <w:rsid w:val="00C336C4"/>
    <w:rsid w:val="00C438DF"/>
    <w:rsid w:val="00C44824"/>
    <w:rsid w:val="00C469A8"/>
    <w:rsid w:val="00C554DF"/>
    <w:rsid w:val="00C5626E"/>
    <w:rsid w:val="00C56564"/>
    <w:rsid w:val="00C654BE"/>
    <w:rsid w:val="00C65A49"/>
    <w:rsid w:val="00C71719"/>
    <w:rsid w:val="00C72952"/>
    <w:rsid w:val="00C73AC8"/>
    <w:rsid w:val="00C73F2E"/>
    <w:rsid w:val="00C74BDA"/>
    <w:rsid w:val="00C74BFD"/>
    <w:rsid w:val="00C74D2C"/>
    <w:rsid w:val="00C75BBB"/>
    <w:rsid w:val="00C76A89"/>
    <w:rsid w:val="00C8044E"/>
    <w:rsid w:val="00C82713"/>
    <w:rsid w:val="00C86F82"/>
    <w:rsid w:val="00C91ACF"/>
    <w:rsid w:val="00C91D7E"/>
    <w:rsid w:val="00C93073"/>
    <w:rsid w:val="00CA0B12"/>
    <w:rsid w:val="00CA15FF"/>
    <w:rsid w:val="00CA2A7E"/>
    <w:rsid w:val="00CA43A0"/>
    <w:rsid w:val="00CA6083"/>
    <w:rsid w:val="00CB4956"/>
    <w:rsid w:val="00CB508D"/>
    <w:rsid w:val="00CB5305"/>
    <w:rsid w:val="00CB5795"/>
    <w:rsid w:val="00CB5BE9"/>
    <w:rsid w:val="00CB7596"/>
    <w:rsid w:val="00CC0DF2"/>
    <w:rsid w:val="00CC12D8"/>
    <w:rsid w:val="00CC4995"/>
    <w:rsid w:val="00CD2E54"/>
    <w:rsid w:val="00CD7769"/>
    <w:rsid w:val="00CE2485"/>
    <w:rsid w:val="00CE372B"/>
    <w:rsid w:val="00CF04F7"/>
    <w:rsid w:val="00CF3603"/>
    <w:rsid w:val="00CF57C7"/>
    <w:rsid w:val="00CF62B7"/>
    <w:rsid w:val="00CF65D7"/>
    <w:rsid w:val="00D00C02"/>
    <w:rsid w:val="00D02842"/>
    <w:rsid w:val="00D032EF"/>
    <w:rsid w:val="00D038BC"/>
    <w:rsid w:val="00D0401D"/>
    <w:rsid w:val="00D072B1"/>
    <w:rsid w:val="00D15C46"/>
    <w:rsid w:val="00D15F28"/>
    <w:rsid w:val="00D1605E"/>
    <w:rsid w:val="00D171D8"/>
    <w:rsid w:val="00D172CE"/>
    <w:rsid w:val="00D20917"/>
    <w:rsid w:val="00D2432A"/>
    <w:rsid w:val="00D24EFE"/>
    <w:rsid w:val="00D37AEC"/>
    <w:rsid w:val="00D40A30"/>
    <w:rsid w:val="00D411BB"/>
    <w:rsid w:val="00D4551D"/>
    <w:rsid w:val="00D463FC"/>
    <w:rsid w:val="00D51D4F"/>
    <w:rsid w:val="00D5243A"/>
    <w:rsid w:val="00D529B8"/>
    <w:rsid w:val="00D534C6"/>
    <w:rsid w:val="00D54E3B"/>
    <w:rsid w:val="00D57FF0"/>
    <w:rsid w:val="00D60A59"/>
    <w:rsid w:val="00D62F07"/>
    <w:rsid w:val="00D641D8"/>
    <w:rsid w:val="00D7033A"/>
    <w:rsid w:val="00D72068"/>
    <w:rsid w:val="00D72130"/>
    <w:rsid w:val="00D7273A"/>
    <w:rsid w:val="00D7364E"/>
    <w:rsid w:val="00D737AE"/>
    <w:rsid w:val="00D75657"/>
    <w:rsid w:val="00D761D5"/>
    <w:rsid w:val="00D77404"/>
    <w:rsid w:val="00D827ED"/>
    <w:rsid w:val="00D84822"/>
    <w:rsid w:val="00D93313"/>
    <w:rsid w:val="00D94906"/>
    <w:rsid w:val="00D94AB7"/>
    <w:rsid w:val="00DA3B70"/>
    <w:rsid w:val="00DA4290"/>
    <w:rsid w:val="00DA6258"/>
    <w:rsid w:val="00DA6890"/>
    <w:rsid w:val="00DA7BDB"/>
    <w:rsid w:val="00DA7F5B"/>
    <w:rsid w:val="00DB2103"/>
    <w:rsid w:val="00DB30A8"/>
    <w:rsid w:val="00DB4D8D"/>
    <w:rsid w:val="00DB4E0D"/>
    <w:rsid w:val="00DB5B5A"/>
    <w:rsid w:val="00DB6179"/>
    <w:rsid w:val="00DB7C17"/>
    <w:rsid w:val="00DC1A26"/>
    <w:rsid w:val="00DC213D"/>
    <w:rsid w:val="00DC248F"/>
    <w:rsid w:val="00DC331B"/>
    <w:rsid w:val="00DC3E9A"/>
    <w:rsid w:val="00DC675B"/>
    <w:rsid w:val="00DC6DEF"/>
    <w:rsid w:val="00DD062C"/>
    <w:rsid w:val="00DD3C1C"/>
    <w:rsid w:val="00DD5063"/>
    <w:rsid w:val="00DE0656"/>
    <w:rsid w:val="00DE2529"/>
    <w:rsid w:val="00DE3092"/>
    <w:rsid w:val="00DE5C22"/>
    <w:rsid w:val="00DE64D5"/>
    <w:rsid w:val="00DE6678"/>
    <w:rsid w:val="00DE66E9"/>
    <w:rsid w:val="00DE6CC7"/>
    <w:rsid w:val="00DE6E4B"/>
    <w:rsid w:val="00DF02B9"/>
    <w:rsid w:val="00DF06D4"/>
    <w:rsid w:val="00DF3D1A"/>
    <w:rsid w:val="00DF66AA"/>
    <w:rsid w:val="00DF67D7"/>
    <w:rsid w:val="00DF6EA6"/>
    <w:rsid w:val="00E00867"/>
    <w:rsid w:val="00E02865"/>
    <w:rsid w:val="00E0671D"/>
    <w:rsid w:val="00E07A8D"/>
    <w:rsid w:val="00E07F7B"/>
    <w:rsid w:val="00E10486"/>
    <w:rsid w:val="00E11221"/>
    <w:rsid w:val="00E173F5"/>
    <w:rsid w:val="00E20F1D"/>
    <w:rsid w:val="00E22A6B"/>
    <w:rsid w:val="00E22CF8"/>
    <w:rsid w:val="00E26935"/>
    <w:rsid w:val="00E26ABF"/>
    <w:rsid w:val="00E3103D"/>
    <w:rsid w:val="00E310EF"/>
    <w:rsid w:val="00E32F66"/>
    <w:rsid w:val="00E34259"/>
    <w:rsid w:val="00E34CFC"/>
    <w:rsid w:val="00E3578D"/>
    <w:rsid w:val="00E36DE0"/>
    <w:rsid w:val="00E41114"/>
    <w:rsid w:val="00E4163C"/>
    <w:rsid w:val="00E42145"/>
    <w:rsid w:val="00E4414D"/>
    <w:rsid w:val="00E4682A"/>
    <w:rsid w:val="00E46F3B"/>
    <w:rsid w:val="00E50303"/>
    <w:rsid w:val="00E51095"/>
    <w:rsid w:val="00E524AF"/>
    <w:rsid w:val="00E53B5D"/>
    <w:rsid w:val="00E54F44"/>
    <w:rsid w:val="00E55CBC"/>
    <w:rsid w:val="00E5664F"/>
    <w:rsid w:val="00E62C82"/>
    <w:rsid w:val="00E63C6D"/>
    <w:rsid w:val="00E64C8E"/>
    <w:rsid w:val="00E6568F"/>
    <w:rsid w:val="00E65B1A"/>
    <w:rsid w:val="00E709A1"/>
    <w:rsid w:val="00E70B93"/>
    <w:rsid w:val="00E70BDF"/>
    <w:rsid w:val="00E71B30"/>
    <w:rsid w:val="00E727B3"/>
    <w:rsid w:val="00E73BD6"/>
    <w:rsid w:val="00E74A31"/>
    <w:rsid w:val="00E77DC7"/>
    <w:rsid w:val="00E819D8"/>
    <w:rsid w:val="00E8576E"/>
    <w:rsid w:val="00E9215E"/>
    <w:rsid w:val="00E95637"/>
    <w:rsid w:val="00E962A2"/>
    <w:rsid w:val="00E97D69"/>
    <w:rsid w:val="00EA1889"/>
    <w:rsid w:val="00EA1E2A"/>
    <w:rsid w:val="00EA3B81"/>
    <w:rsid w:val="00EB2B73"/>
    <w:rsid w:val="00EC0D26"/>
    <w:rsid w:val="00EC36FE"/>
    <w:rsid w:val="00ED2A5C"/>
    <w:rsid w:val="00ED5D38"/>
    <w:rsid w:val="00EE10FC"/>
    <w:rsid w:val="00EE2B04"/>
    <w:rsid w:val="00EE30A2"/>
    <w:rsid w:val="00EE3DB7"/>
    <w:rsid w:val="00EE4807"/>
    <w:rsid w:val="00EE523A"/>
    <w:rsid w:val="00EF62D3"/>
    <w:rsid w:val="00EF6DB6"/>
    <w:rsid w:val="00EF7526"/>
    <w:rsid w:val="00EF7A73"/>
    <w:rsid w:val="00F01B82"/>
    <w:rsid w:val="00F01DBF"/>
    <w:rsid w:val="00F0578E"/>
    <w:rsid w:val="00F05840"/>
    <w:rsid w:val="00F06136"/>
    <w:rsid w:val="00F07174"/>
    <w:rsid w:val="00F21000"/>
    <w:rsid w:val="00F217F1"/>
    <w:rsid w:val="00F21DCB"/>
    <w:rsid w:val="00F2405C"/>
    <w:rsid w:val="00F308A4"/>
    <w:rsid w:val="00F33015"/>
    <w:rsid w:val="00F36447"/>
    <w:rsid w:val="00F36702"/>
    <w:rsid w:val="00F377C1"/>
    <w:rsid w:val="00F412AD"/>
    <w:rsid w:val="00F41A65"/>
    <w:rsid w:val="00F42046"/>
    <w:rsid w:val="00F43350"/>
    <w:rsid w:val="00F442EA"/>
    <w:rsid w:val="00F44B76"/>
    <w:rsid w:val="00F4710E"/>
    <w:rsid w:val="00F51D4C"/>
    <w:rsid w:val="00F5247D"/>
    <w:rsid w:val="00F57B79"/>
    <w:rsid w:val="00F63035"/>
    <w:rsid w:val="00F64B17"/>
    <w:rsid w:val="00F72D08"/>
    <w:rsid w:val="00F74355"/>
    <w:rsid w:val="00F76E09"/>
    <w:rsid w:val="00F80CAB"/>
    <w:rsid w:val="00F81B37"/>
    <w:rsid w:val="00F86AB7"/>
    <w:rsid w:val="00F91089"/>
    <w:rsid w:val="00F92F9B"/>
    <w:rsid w:val="00F96671"/>
    <w:rsid w:val="00F96A1F"/>
    <w:rsid w:val="00F97EC1"/>
    <w:rsid w:val="00FA03BC"/>
    <w:rsid w:val="00FA1E79"/>
    <w:rsid w:val="00FA2B37"/>
    <w:rsid w:val="00FA30E8"/>
    <w:rsid w:val="00FA4362"/>
    <w:rsid w:val="00FA72C1"/>
    <w:rsid w:val="00FA79BD"/>
    <w:rsid w:val="00FB47C8"/>
    <w:rsid w:val="00FB65A8"/>
    <w:rsid w:val="00FB65EF"/>
    <w:rsid w:val="00FC0C90"/>
    <w:rsid w:val="00FC1DD7"/>
    <w:rsid w:val="00FC5E5E"/>
    <w:rsid w:val="00FD0810"/>
    <w:rsid w:val="00FD5054"/>
    <w:rsid w:val="00FD6950"/>
    <w:rsid w:val="00FD6AE4"/>
    <w:rsid w:val="00FE0F31"/>
    <w:rsid w:val="00FE192D"/>
    <w:rsid w:val="00FE4D17"/>
    <w:rsid w:val="00FE5B70"/>
    <w:rsid w:val="00FF0B82"/>
    <w:rsid w:val="00FF3B71"/>
    <w:rsid w:val="00FF40B8"/>
    <w:rsid w:val="00FF7358"/>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21"/>
    <o:shapelayout v:ext="edit">
      <o:idmap v:ext="edit" data="1"/>
    </o:shapelayout>
  </w:shapeDefaults>
  <w:decimalSymbol w:val="."/>
  <w:listSeparator w:val=","/>
  <w14:docId w14:val="2F3EAD5C"/>
  <w14:defaultImageDpi w14:val="32767"/>
  <w15:docId w15:val="{0DABA154-AB80-445B-8853-CAF5150AA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fr-FR" w:eastAsia="en-US" w:bidi="ar-SA"/>
      </w:rPr>
    </w:rPrDefault>
    <w:pPrDefault>
      <w:pPr>
        <w:spacing w:line="240" w:lineRule="atLeast"/>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8EF"/>
    <w:pPr>
      <w:spacing w:before="10" w:after="10" w:line="240" w:lineRule="auto"/>
      <w:jc w:val="both"/>
    </w:pPr>
    <w:rPr>
      <w:rFonts w:ascii="Marianne" w:eastAsia="Times New Roman" w:hAnsi="Marianne" w:cs="Times New Roman"/>
      <w:sz w:val="22"/>
      <w:szCs w:val="24"/>
      <w:lang w:eastAsia="fr-FR"/>
    </w:rPr>
  </w:style>
  <w:style w:type="paragraph" w:styleId="Heading1">
    <w:name w:val="heading 1"/>
    <w:aliases w:val="titre 3 niveau 3"/>
    <w:basedOn w:val="Normal"/>
    <w:next w:val="Textedesaisie"/>
    <w:link w:val="Heading1Char"/>
    <w:uiPriority w:val="9"/>
    <w:rsid w:val="00431E8F"/>
    <w:pPr>
      <w:keepNext/>
      <w:keepLines/>
      <w:spacing w:before="480" w:after="240" w:line="280" w:lineRule="atLeast"/>
      <w:ind w:left="567"/>
      <w:outlineLvl w:val="0"/>
    </w:pPr>
    <w:rPr>
      <w:rFonts w:asciiTheme="majorHAnsi" w:eastAsiaTheme="majorEastAsia" w:hAnsiTheme="majorHAnsi" w:cstheme="majorBidi"/>
      <w:b/>
      <w:bCs/>
      <w:sz w:val="23"/>
      <w:szCs w:val="28"/>
      <w:u w:val="single"/>
    </w:rPr>
  </w:style>
  <w:style w:type="paragraph" w:styleId="Heading2">
    <w:name w:val="heading 2"/>
    <w:basedOn w:val="Normal"/>
    <w:next w:val="Normal"/>
    <w:link w:val="Heading2Char"/>
    <w:uiPriority w:val="9"/>
    <w:semiHidden/>
    <w:rsid w:val="00FA1E79"/>
    <w:pPr>
      <w:keepNext/>
      <w:keepLines/>
      <w:numPr>
        <w:ilvl w:val="1"/>
        <w:numId w:val="2"/>
      </w:numPr>
      <w:spacing w:before="300" w:line="220" w:lineRule="atLeast"/>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9"/>
    <w:semiHidden/>
    <w:qFormat/>
    <w:rsid w:val="00FA1E79"/>
    <w:pPr>
      <w:keepNext/>
      <w:keepLines/>
      <w:numPr>
        <w:ilvl w:val="2"/>
        <w:numId w:val="2"/>
      </w:numPr>
      <w:spacing w:before="160" w:after="60" w:line="220" w:lineRule="atLeast"/>
      <w:outlineLvl w:val="2"/>
    </w:pPr>
    <w:rPr>
      <w:rFonts w:asciiTheme="majorHAnsi" w:eastAsiaTheme="majorEastAsia" w:hAnsiTheme="majorHAnsi" w:cstheme="majorBidi"/>
      <w:b/>
      <w:bCs/>
      <w:sz w:val="18"/>
      <w:szCs w:val="18"/>
    </w:rPr>
  </w:style>
  <w:style w:type="paragraph" w:styleId="Heading4">
    <w:name w:val="heading 4"/>
    <w:basedOn w:val="Normal"/>
    <w:next w:val="Normal"/>
    <w:link w:val="Heading4Char"/>
    <w:uiPriority w:val="9"/>
    <w:semiHidden/>
    <w:qFormat/>
    <w:rsid w:val="00FA1E79"/>
    <w:pPr>
      <w:keepNext/>
      <w:keepLines/>
      <w:numPr>
        <w:ilvl w:val="3"/>
        <w:numId w:val="2"/>
      </w:numPr>
      <w:spacing w:before="160" w:after="60" w:line="260" w:lineRule="atLeast"/>
      <w:outlineLvl w:val="3"/>
    </w:pPr>
    <w:rPr>
      <w:rFonts w:asciiTheme="majorHAnsi" w:eastAsiaTheme="majorEastAsia" w:hAnsiTheme="majorHAnsi" w:cstheme="majorBidi"/>
      <w:b/>
      <w:bCs/>
      <w:iCs/>
      <w:sz w:val="18"/>
      <w:szCs w:val="18"/>
    </w:rPr>
  </w:style>
  <w:style w:type="paragraph" w:styleId="Heading5">
    <w:name w:val="heading 5"/>
    <w:basedOn w:val="Normal"/>
    <w:next w:val="Normal"/>
    <w:link w:val="Heading5Char"/>
    <w:uiPriority w:val="9"/>
    <w:semiHidden/>
    <w:qFormat/>
    <w:rsid w:val="00FA1E79"/>
    <w:pPr>
      <w:keepNext/>
      <w:keepLines/>
      <w:spacing w:before="200" w:line="260" w:lineRule="atLeast"/>
      <w:outlineLvl w:val="4"/>
    </w:pPr>
    <w:rPr>
      <w:rFonts w:asciiTheme="majorHAnsi" w:eastAsiaTheme="majorEastAsia" w:hAnsiTheme="majorHAnsi" w:cstheme="majorBidi"/>
      <w:color w:val="002B20" w:themeColor="accent1" w:themeShade="7F"/>
      <w:sz w:val="18"/>
      <w:szCs w:val="18"/>
    </w:rPr>
  </w:style>
  <w:style w:type="paragraph" w:styleId="Heading6">
    <w:name w:val="heading 6"/>
    <w:basedOn w:val="Normal"/>
    <w:next w:val="Normal"/>
    <w:link w:val="Heading6Char"/>
    <w:uiPriority w:val="9"/>
    <w:semiHidden/>
    <w:qFormat/>
    <w:rsid w:val="00FA1E79"/>
    <w:pPr>
      <w:keepNext/>
      <w:keepLines/>
      <w:numPr>
        <w:ilvl w:val="5"/>
        <w:numId w:val="2"/>
      </w:numPr>
      <w:spacing w:before="200" w:line="260" w:lineRule="atLeast"/>
      <w:outlineLvl w:val="5"/>
    </w:pPr>
    <w:rPr>
      <w:rFonts w:asciiTheme="majorHAnsi" w:eastAsiaTheme="majorEastAsia" w:hAnsiTheme="majorHAnsi" w:cstheme="majorBidi"/>
      <w:i/>
      <w:iCs/>
      <w:color w:val="002B20" w:themeColor="accent1" w:themeShade="7F"/>
      <w:sz w:val="18"/>
      <w:szCs w:val="18"/>
    </w:rPr>
  </w:style>
  <w:style w:type="paragraph" w:styleId="Heading7">
    <w:name w:val="heading 7"/>
    <w:basedOn w:val="Normal"/>
    <w:next w:val="Normal"/>
    <w:link w:val="Heading7Char"/>
    <w:uiPriority w:val="9"/>
    <w:semiHidden/>
    <w:qFormat/>
    <w:rsid w:val="00FA1E79"/>
    <w:pPr>
      <w:keepNext/>
      <w:keepLines/>
      <w:numPr>
        <w:ilvl w:val="6"/>
        <w:numId w:val="2"/>
      </w:numPr>
      <w:spacing w:before="200" w:line="260" w:lineRule="atLeast"/>
      <w:outlineLvl w:val="6"/>
    </w:pPr>
    <w:rPr>
      <w:rFonts w:asciiTheme="majorHAnsi" w:eastAsiaTheme="majorEastAsia" w:hAnsiTheme="majorHAnsi" w:cstheme="majorBidi"/>
      <w:i/>
      <w:iCs/>
      <w:color w:val="404040" w:themeColor="text1" w:themeTint="BF"/>
      <w:sz w:val="18"/>
      <w:szCs w:val="18"/>
    </w:rPr>
  </w:style>
  <w:style w:type="paragraph" w:styleId="Heading8">
    <w:name w:val="heading 8"/>
    <w:basedOn w:val="Normal"/>
    <w:next w:val="Normal"/>
    <w:link w:val="Heading8Char"/>
    <w:uiPriority w:val="9"/>
    <w:semiHidden/>
    <w:qFormat/>
    <w:rsid w:val="00FA1E79"/>
    <w:pPr>
      <w:keepNext/>
      <w:keepLines/>
      <w:numPr>
        <w:ilvl w:val="7"/>
        <w:numId w:val="2"/>
      </w:numPr>
      <w:spacing w:before="200" w:line="260" w:lineRule="atLeast"/>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qFormat/>
    <w:rsid w:val="00FA1E79"/>
    <w:pPr>
      <w:keepNext/>
      <w:keepLines/>
      <w:numPr>
        <w:ilvl w:val="8"/>
        <w:numId w:val="2"/>
      </w:numPr>
      <w:spacing w:before="200" w:line="260" w:lineRule="atLeast"/>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unhideWhenUsed/>
    <w:rsid w:val="002019AB"/>
    <w:pPr>
      <w:spacing w:line="240" w:lineRule="exact"/>
    </w:pPr>
  </w:style>
  <w:style w:type="character" w:customStyle="1" w:styleId="HeaderChar">
    <w:name w:val="Header Char"/>
    <w:basedOn w:val="DefaultParagraphFont"/>
    <w:link w:val="Header"/>
    <w:uiPriority w:val="99"/>
    <w:rsid w:val="002019AB"/>
    <w:rPr>
      <w:sz w:val="20"/>
    </w:rPr>
  </w:style>
  <w:style w:type="paragraph" w:styleId="Footer">
    <w:name w:val="footer"/>
    <w:link w:val="FooterChar"/>
    <w:autoRedefine/>
    <w:uiPriority w:val="99"/>
    <w:unhideWhenUsed/>
    <w:rsid w:val="00701678"/>
    <w:pPr>
      <w:spacing w:line="240" w:lineRule="exact"/>
    </w:pPr>
    <w:rPr>
      <w:sz w:val="16"/>
    </w:rPr>
  </w:style>
  <w:style w:type="character" w:customStyle="1" w:styleId="FooterChar">
    <w:name w:val="Footer Char"/>
    <w:basedOn w:val="DefaultParagraphFont"/>
    <w:link w:val="Footer"/>
    <w:uiPriority w:val="99"/>
    <w:rsid w:val="00701678"/>
    <w:rPr>
      <w:sz w:val="16"/>
    </w:rPr>
  </w:style>
  <w:style w:type="paragraph" w:styleId="BalloonText">
    <w:name w:val="Balloon Text"/>
    <w:basedOn w:val="Normal"/>
    <w:link w:val="BalloonTextChar"/>
    <w:uiPriority w:val="99"/>
    <w:semiHidden/>
    <w:unhideWhenUsed/>
    <w:rsid w:val="006B108E"/>
    <w:rPr>
      <w:rFonts w:ascii="Tahoma" w:hAnsi="Tahoma" w:cs="Tahoma"/>
      <w:sz w:val="16"/>
      <w:szCs w:val="16"/>
    </w:rPr>
  </w:style>
  <w:style w:type="character" w:customStyle="1" w:styleId="BalloonTextChar">
    <w:name w:val="Balloon Text Char"/>
    <w:basedOn w:val="DefaultParagraphFont"/>
    <w:link w:val="BalloonText"/>
    <w:uiPriority w:val="99"/>
    <w:semiHidden/>
    <w:rsid w:val="006B108E"/>
    <w:rPr>
      <w:rFonts w:ascii="Tahoma" w:hAnsi="Tahoma" w:cs="Tahoma"/>
      <w:sz w:val="16"/>
      <w:szCs w:val="16"/>
    </w:rPr>
  </w:style>
  <w:style w:type="table" w:styleId="TableGrid">
    <w:name w:val="Table Grid"/>
    <w:basedOn w:val="TableNormal"/>
    <w:uiPriority w:val="39"/>
    <w:rsid w:val="009625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ListParagraph">
    <w:name w:val="List Paragraph"/>
    <w:aliases w:val="EC,Paragraphe de liste11,Paragraphe de liste1,Puce,Colorful List Accent 1,List Paragraph (numbered (a)),List_Paragraph,Multilevel para_II,List Paragraph1,Rec para,Dot pt,F5 List Paragraph,No Spacing1,List Paragraph Char Char Char,L,3"/>
    <w:basedOn w:val="Normal"/>
    <w:link w:val="ListParagraphChar"/>
    <w:uiPriority w:val="34"/>
    <w:qFormat/>
    <w:rsid w:val="00FA1E79"/>
    <w:pPr>
      <w:ind w:left="720"/>
      <w:contextualSpacing/>
    </w:pPr>
  </w:style>
  <w:style w:type="character" w:customStyle="1" w:styleId="Heading1Char">
    <w:name w:val="Heading 1 Char"/>
    <w:aliases w:val="titre 3 niveau 3 Char"/>
    <w:basedOn w:val="DefaultParagraphFont"/>
    <w:link w:val="Heading1"/>
    <w:uiPriority w:val="9"/>
    <w:rsid w:val="00431E8F"/>
    <w:rPr>
      <w:rFonts w:asciiTheme="majorHAnsi" w:eastAsiaTheme="majorEastAsia" w:hAnsiTheme="majorHAnsi" w:cstheme="majorBidi"/>
      <w:b/>
      <w:bCs/>
      <w:sz w:val="23"/>
      <w:szCs w:val="28"/>
      <w:u w:val="single"/>
      <w:lang w:eastAsia="fr-FR"/>
    </w:rPr>
  </w:style>
  <w:style w:type="character" w:customStyle="1" w:styleId="Heading2Char">
    <w:name w:val="Heading 2 Char"/>
    <w:basedOn w:val="DefaultParagraphFont"/>
    <w:link w:val="Heading2"/>
    <w:uiPriority w:val="9"/>
    <w:semiHidden/>
    <w:rsid w:val="00962526"/>
    <w:rPr>
      <w:rFonts w:asciiTheme="majorHAnsi" w:eastAsiaTheme="majorEastAsia" w:hAnsiTheme="majorHAnsi" w:cstheme="majorBidi"/>
      <w:b/>
      <w:bCs/>
      <w:sz w:val="22"/>
      <w:szCs w:val="24"/>
      <w:lang w:eastAsia="fr-FR"/>
    </w:rPr>
  </w:style>
  <w:style w:type="character" w:customStyle="1" w:styleId="Heading3Char">
    <w:name w:val="Heading 3 Char"/>
    <w:basedOn w:val="DefaultParagraphFont"/>
    <w:link w:val="Heading3"/>
    <w:uiPriority w:val="9"/>
    <w:semiHidden/>
    <w:rsid w:val="00962526"/>
    <w:rPr>
      <w:rFonts w:asciiTheme="majorHAnsi" w:eastAsiaTheme="majorEastAsia" w:hAnsiTheme="majorHAnsi" w:cstheme="majorBidi"/>
      <w:b/>
      <w:bCs/>
      <w:sz w:val="18"/>
      <w:szCs w:val="18"/>
      <w:lang w:eastAsia="fr-FR"/>
    </w:rPr>
  </w:style>
  <w:style w:type="character" w:customStyle="1" w:styleId="Heading4Char">
    <w:name w:val="Heading 4 Char"/>
    <w:basedOn w:val="DefaultParagraphFont"/>
    <w:link w:val="Heading4"/>
    <w:uiPriority w:val="9"/>
    <w:semiHidden/>
    <w:rsid w:val="00962526"/>
    <w:rPr>
      <w:rFonts w:asciiTheme="majorHAnsi" w:eastAsiaTheme="majorEastAsia" w:hAnsiTheme="majorHAnsi" w:cstheme="majorBidi"/>
      <w:b/>
      <w:bCs/>
      <w:iCs/>
      <w:sz w:val="18"/>
      <w:szCs w:val="18"/>
      <w:lang w:eastAsia="fr-FR"/>
    </w:rPr>
  </w:style>
  <w:style w:type="character" w:customStyle="1" w:styleId="Heading5Char">
    <w:name w:val="Heading 5 Char"/>
    <w:basedOn w:val="DefaultParagraphFont"/>
    <w:link w:val="Heading5"/>
    <w:uiPriority w:val="9"/>
    <w:semiHidden/>
    <w:rsid w:val="00FA1E79"/>
    <w:rPr>
      <w:rFonts w:asciiTheme="majorHAnsi" w:eastAsiaTheme="majorEastAsia" w:hAnsiTheme="majorHAnsi" w:cstheme="majorBidi"/>
      <w:color w:val="002B20" w:themeColor="accent1" w:themeShade="7F"/>
      <w:sz w:val="18"/>
      <w:szCs w:val="18"/>
      <w:lang w:eastAsia="fr-FR"/>
    </w:rPr>
  </w:style>
  <w:style w:type="character" w:customStyle="1" w:styleId="Heading6Char">
    <w:name w:val="Heading 6 Char"/>
    <w:basedOn w:val="DefaultParagraphFont"/>
    <w:link w:val="Heading6"/>
    <w:uiPriority w:val="9"/>
    <w:semiHidden/>
    <w:rsid w:val="00FA1E79"/>
    <w:rPr>
      <w:rFonts w:asciiTheme="majorHAnsi" w:eastAsiaTheme="majorEastAsia" w:hAnsiTheme="majorHAnsi" w:cstheme="majorBidi"/>
      <w:i/>
      <w:iCs/>
      <w:color w:val="002B20" w:themeColor="accent1" w:themeShade="7F"/>
      <w:sz w:val="18"/>
      <w:szCs w:val="18"/>
      <w:lang w:eastAsia="fr-FR"/>
    </w:rPr>
  </w:style>
  <w:style w:type="character" w:customStyle="1" w:styleId="Heading7Char">
    <w:name w:val="Heading 7 Char"/>
    <w:basedOn w:val="DefaultParagraphFont"/>
    <w:link w:val="Heading7"/>
    <w:uiPriority w:val="9"/>
    <w:semiHidden/>
    <w:rsid w:val="00FA1E79"/>
    <w:rPr>
      <w:rFonts w:asciiTheme="majorHAnsi" w:eastAsiaTheme="majorEastAsia" w:hAnsiTheme="majorHAnsi" w:cstheme="majorBidi"/>
      <w:i/>
      <w:iCs/>
      <w:color w:val="404040" w:themeColor="text1" w:themeTint="BF"/>
      <w:sz w:val="18"/>
      <w:szCs w:val="18"/>
      <w:lang w:eastAsia="fr-FR"/>
    </w:rPr>
  </w:style>
  <w:style w:type="character" w:customStyle="1" w:styleId="Heading8Char">
    <w:name w:val="Heading 8 Char"/>
    <w:basedOn w:val="DefaultParagraphFont"/>
    <w:link w:val="Heading8"/>
    <w:uiPriority w:val="9"/>
    <w:semiHidden/>
    <w:rsid w:val="00FA1E79"/>
    <w:rPr>
      <w:rFonts w:asciiTheme="majorHAnsi" w:eastAsiaTheme="majorEastAsia" w:hAnsiTheme="majorHAnsi" w:cstheme="majorBidi"/>
      <w:color w:val="404040" w:themeColor="text1" w:themeTint="BF"/>
      <w:sz w:val="22"/>
      <w:szCs w:val="24"/>
      <w:lang w:eastAsia="fr-FR"/>
    </w:rPr>
  </w:style>
  <w:style w:type="character" w:customStyle="1" w:styleId="Heading9Char">
    <w:name w:val="Heading 9 Char"/>
    <w:basedOn w:val="DefaultParagraphFont"/>
    <w:link w:val="Heading9"/>
    <w:uiPriority w:val="9"/>
    <w:semiHidden/>
    <w:rsid w:val="00FA1E79"/>
    <w:rPr>
      <w:rFonts w:asciiTheme="majorHAnsi" w:eastAsiaTheme="majorEastAsia" w:hAnsiTheme="majorHAnsi" w:cstheme="majorBidi"/>
      <w:i/>
      <w:iCs/>
      <w:color w:val="404040" w:themeColor="text1" w:themeTint="BF"/>
      <w:sz w:val="22"/>
      <w:szCs w:val="24"/>
      <w:lang w:eastAsia="fr-FR"/>
    </w:rPr>
  </w:style>
  <w:style w:type="paragraph" w:customStyle="1" w:styleId="Textepuce1">
    <w:name w:val="Texte puce 1"/>
    <w:basedOn w:val="ListParagraph"/>
    <w:rsid w:val="00224DF6"/>
    <w:pPr>
      <w:numPr>
        <w:numId w:val="1"/>
      </w:numPr>
      <w:adjustRightInd w:val="0"/>
      <w:snapToGrid w:val="0"/>
      <w:spacing w:before="120" w:after="120" w:line="240" w:lineRule="atLeast"/>
      <w:ind w:left="924" w:hanging="357"/>
      <w:contextualSpacing w:val="0"/>
    </w:pPr>
    <w:rPr>
      <w:sz w:val="19"/>
      <w:szCs w:val="18"/>
    </w:rPr>
  </w:style>
  <w:style w:type="paragraph" w:customStyle="1" w:styleId="Textedesaisie">
    <w:name w:val="Texte de saisie"/>
    <w:basedOn w:val="Normal"/>
    <w:qFormat/>
    <w:rsid w:val="00224DF6"/>
    <w:pPr>
      <w:snapToGrid w:val="0"/>
      <w:spacing w:after="120" w:line="240" w:lineRule="atLeast"/>
      <w:ind w:left="567" w:right="567"/>
    </w:pPr>
    <w:rPr>
      <w:rFonts w:asciiTheme="minorHAnsi" w:hAnsiTheme="minorHAnsi"/>
      <w:sz w:val="19"/>
    </w:rPr>
  </w:style>
  <w:style w:type="paragraph" w:styleId="Title">
    <w:name w:val="Title"/>
    <w:basedOn w:val="Normal"/>
    <w:next w:val="Normal"/>
    <w:link w:val="TitleChar"/>
    <w:uiPriority w:val="10"/>
    <w:rsid w:val="00051E06"/>
    <w:pPr>
      <w:contextualSpacing/>
    </w:pPr>
    <w:rPr>
      <w:rFonts w:asciiTheme="majorHAnsi" w:eastAsiaTheme="majorEastAsia" w:hAnsiTheme="majorHAnsi" w:cstheme="majorBidi"/>
      <w:spacing w:val="-10"/>
      <w:kern w:val="28"/>
      <w:sz w:val="56"/>
      <w:szCs w:val="56"/>
    </w:rPr>
  </w:style>
  <w:style w:type="paragraph" w:customStyle="1" w:styleId="Titre4niveau4">
    <w:name w:val="Titre 4 niveau 4"/>
    <w:basedOn w:val="Heading4"/>
    <w:next w:val="Normal"/>
    <w:autoRedefine/>
    <w:qFormat/>
    <w:rsid w:val="00EF6DB6"/>
    <w:pPr>
      <w:numPr>
        <w:ilvl w:val="2"/>
        <w:numId w:val="58"/>
      </w:numPr>
      <w:spacing w:before="240"/>
    </w:pPr>
    <w:rPr>
      <w:sz w:val="20"/>
      <w:szCs w:val="20"/>
    </w:rPr>
  </w:style>
  <w:style w:type="paragraph" w:customStyle="1" w:styleId="Titre3Niveau3">
    <w:name w:val="Titre 3 Niveau 3"/>
    <w:basedOn w:val="Heading3"/>
    <w:next w:val="Normal"/>
    <w:autoRedefine/>
    <w:qFormat/>
    <w:rsid w:val="003F57EA"/>
    <w:pPr>
      <w:numPr>
        <w:ilvl w:val="1"/>
        <w:numId w:val="58"/>
      </w:numPr>
      <w:spacing w:before="480" w:after="240" w:line="240" w:lineRule="exact"/>
      <w:ind w:right="1701"/>
    </w:pPr>
    <w:rPr>
      <w:rFonts w:ascii="Times New Roman" w:hAnsi="Times New Roman" w:cs="Times New Roman"/>
      <w:bCs w:val="0"/>
      <w:color w:val="000000"/>
      <w:sz w:val="24"/>
      <w:szCs w:val="22"/>
    </w:rPr>
  </w:style>
  <w:style w:type="paragraph" w:customStyle="1" w:styleId="Texte-Adresseligne1">
    <w:name w:val="Texte - Adresse ligne 1"/>
    <w:basedOn w:val="Date"/>
    <w:rsid w:val="003F14FD"/>
    <w:pPr>
      <w:framePr w:w="9979" w:h="936" w:wrap="notBeside" w:vAnchor="page" w:hAnchor="page" w:xAlign="center" w:yAlign="bottom" w:anchorLock="1"/>
    </w:pPr>
  </w:style>
  <w:style w:type="character" w:customStyle="1" w:styleId="TitleChar">
    <w:name w:val="Title Char"/>
    <w:basedOn w:val="DefaultParagraphFont"/>
    <w:link w:val="Title"/>
    <w:uiPriority w:val="10"/>
    <w:rsid w:val="00051E06"/>
    <w:rPr>
      <w:rFonts w:asciiTheme="majorHAnsi" w:eastAsiaTheme="majorEastAsia" w:hAnsiTheme="majorHAnsi" w:cstheme="majorBidi"/>
      <w:spacing w:val="-10"/>
      <w:kern w:val="28"/>
      <w:sz w:val="56"/>
      <w:szCs w:val="56"/>
      <w:lang w:eastAsia="fr-FR"/>
    </w:rPr>
  </w:style>
  <w:style w:type="paragraph" w:customStyle="1" w:styleId="Titre2Niveau2">
    <w:name w:val="Titre 2 Niveau 2"/>
    <w:basedOn w:val="Heading2"/>
    <w:next w:val="Normal"/>
    <w:qFormat/>
    <w:rsid w:val="0069050C"/>
    <w:pPr>
      <w:numPr>
        <w:ilvl w:val="0"/>
        <w:numId w:val="58"/>
      </w:numPr>
      <w:snapToGrid w:val="0"/>
      <w:spacing w:before="720" w:after="360"/>
      <w:ind w:right="27"/>
    </w:pPr>
    <w:rPr>
      <w:rFonts w:ascii="Marianne Light" w:eastAsiaTheme="minorEastAsia" w:hAnsi="Marianne Light" w:cs="Times New Roman"/>
      <w:b w:val="0"/>
      <w:spacing w:val="15"/>
      <w:sz w:val="32"/>
      <w:szCs w:val="22"/>
    </w:rPr>
  </w:style>
  <w:style w:type="paragraph" w:styleId="Subtitle">
    <w:name w:val="Subtitle"/>
    <w:basedOn w:val="Normal"/>
    <w:next w:val="Normal"/>
    <w:link w:val="SubtitleChar"/>
    <w:uiPriority w:val="11"/>
    <w:rsid w:val="00051E06"/>
    <w:pPr>
      <w:numPr>
        <w:ilvl w:val="1"/>
      </w:numPr>
      <w:spacing w:after="160"/>
    </w:pPr>
    <w:rPr>
      <w:rFonts w:asciiTheme="minorHAnsi" w:eastAsiaTheme="minorEastAsia" w:hAnsiTheme="minorHAnsi" w:cstheme="minorBidi"/>
      <w:color w:val="5A5A5A" w:themeColor="text1" w:themeTint="A5"/>
      <w:spacing w:val="15"/>
      <w:szCs w:val="22"/>
    </w:rPr>
  </w:style>
  <w:style w:type="paragraph" w:customStyle="1" w:styleId="Texte-Pieddepage">
    <w:name w:val="Texte - Pied de page"/>
    <w:basedOn w:val="Normal"/>
    <w:qFormat/>
    <w:rsid w:val="003F14FD"/>
    <w:pPr>
      <w:framePr w:w="9979" w:h="964" w:wrap="notBeside" w:vAnchor="page" w:hAnchor="page" w:xAlign="center" w:yAlign="bottom" w:anchorLock="1"/>
      <w:spacing w:line="192" w:lineRule="atLeast"/>
    </w:pPr>
    <w:rPr>
      <w:sz w:val="16"/>
      <w:lang w:val="en-US"/>
    </w:rPr>
  </w:style>
  <w:style w:type="paragraph" w:customStyle="1" w:styleId="Pagination">
    <w:name w:val="Pagination"/>
    <w:basedOn w:val="Normal"/>
    <w:qFormat/>
    <w:rsid w:val="001A5DDF"/>
    <w:pPr>
      <w:framePr w:w="9979" w:h="964" w:wrap="notBeside" w:vAnchor="page" w:hAnchor="page" w:xAlign="center" w:yAlign="bottom" w:anchorLock="1"/>
      <w:spacing w:line="192" w:lineRule="atLeast"/>
      <w:jc w:val="center"/>
    </w:pPr>
    <w:rPr>
      <w:sz w:val="16"/>
      <w:lang w:val="en-US"/>
    </w:rPr>
  </w:style>
  <w:style w:type="paragraph" w:styleId="Date">
    <w:name w:val="Date"/>
    <w:basedOn w:val="Normal"/>
    <w:next w:val="Normal"/>
    <w:link w:val="DateChar"/>
    <w:uiPriority w:val="99"/>
    <w:rsid w:val="00836655"/>
    <w:pPr>
      <w:spacing w:line="192" w:lineRule="atLeast"/>
      <w:jc w:val="right"/>
    </w:pPr>
    <w:rPr>
      <w:sz w:val="16"/>
    </w:rPr>
  </w:style>
  <w:style w:type="character" w:customStyle="1" w:styleId="DateChar">
    <w:name w:val="Date Char"/>
    <w:basedOn w:val="DefaultParagraphFont"/>
    <w:link w:val="Date"/>
    <w:uiPriority w:val="99"/>
    <w:rsid w:val="00836655"/>
    <w:rPr>
      <w:sz w:val="16"/>
    </w:rPr>
  </w:style>
  <w:style w:type="paragraph" w:customStyle="1" w:styleId="Texte-Pieddepageintitul">
    <w:name w:val="Texte - Pied de page intitulé"/>
    <w:basedOn w:val="Texte-Pieddepage"/>
    <w:qFormat/>
    <w:rsid w:val="00217EF0"/>
    <w:pPr>
      <w:framePr w:w="0" w:hRule="auto" w:wrap="around" w:anchorLock="0"/>
      <w:spacing w:after="85"/>
    </w:pPr>
    <w:rPr>
      <w:b/>
    </w:rPr>
  </w:style>
  <w:style w:type="paragraph" w:customStyle="1" w:styleId="Titre1Niveau1">
    <w:name w:val="Titre 1 Niveau 1"/>
    <w:basedOn w:val="Heading1"/>
    <w:next w:val="Normal"/>
    <w:link w:val="Titre1Niveau1Car"/>
    <w:qFormat/>
    <w:rsid w:val="0062059A"/>
    <w:pPr>
      <w:spacing w:after="720" w:line="260" w:lineRule="atLeast"/>
      <w:ind w:left="288" w:right="567"/>
      <w:jc w:val="center"/>
    </w:pPr>
    <w:rPr>
      <w:rFonts w:ascii="Marianne" w:hAnsi="Marianne"/>
      <w:b w:val="0"/>
      <w:spacing w:val="-10"/>
      <w:kern w:val="28"/>
      <w:sz w:val="48"/>
      <w:szCs w:val="56"/>
      <w:u w:val="none"/>
    </w:rPr>
  </w:style>
  <w:style w:type="paragraph" w:styleId="HTMLPreformatted">
    <w:name w:val="HTML Preformatted"/>
    <w:basedOn w:val="Normal"/>
    <w:link w:val="HTMLPreformattedChar"/>
    <w:uiPriority w:val="99"/>
    <w:semiHidden/>
    <w:unhideWhenUsed/>
    <w:rsid w:val="00DE25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semiHidden/>
    <w:rsid w:val="00DE2529"/>
    <w:rPr>
      <w:rFonts w:ascii="Courier New" w:eastAsia="Times New Roman" w:hAnsi="Courier New" w:cs="Courier New"/>
      <w:lang w:eastAsia="fr-FR"/>
    </w:rPr>
  </w:style>
  <w:style w:type="paragraph" w:customStyle="1" w:styleId="Titrerapport">
    <w:name w:val="Titre rapport"/>
    <w:basedOn w:val="Normal"/>
    <w:rsid w:val="004B4E41"/>
    <w:pPr>
      <w:spacing w:line="264" w:lineRule="auto"/>
    </w:pPr>
    <w:rPr>
      <w:rFonts w:cs="Arial"/>
      <w:b/>
      <w:sz w:val="80"/>
      <w:szCs w:val="60"/>
    </w:rPr>
  </w:style>
  <w:style w:type="paragraph" w:customStyle="1" w:styleId="Sommaire">
    <w:name w:val="Sommaire"/>
    <w:basedOn w:val="Normal"/>
    <w:rsid w:val="00B104C3"/>
    <w:pPr>
      <w:spacing w:before="1800" w:after="240" w:line="288" w:lineRule="auto"/>
      <w:ind w:left="1418" w:right="1418"/>
    </w:pPr>
    <w:rPr>
      <w:b/>
      <w:caps/>
      <w:sz w:val="36"/>
      <w:szCs w:val="22"/>
    </w:rPr>
  </w:style>
  <w:style w:type="character" w:customStyle="1" w:styleId="SubtitleChar">
    <w:name w:val="Subtitle Char"/>
    <w:basedOn w:val="DefaultParagraphFont"/>
    <w:link w:val="Subtitle"/>
    <w:uiPriority w:val="11"/>
    <w:rsid w:val="00051E06"/>
    <w:rPr>
      <w:rFonts w:eastAsiaTheme="minorEastAsia"/>
      <w:color w:val="5A5A5A" w:themeColor="text1" w:themeTint="A5"/>
      <w:spacing w:val="15"/>
      <w:sz w:val="22"/>
      <w:szCs w:val="22"/>
      <w:lang w:eastAsia="fr-FR"/>
    </w:rPr>
  </w:style>
  <w:style w:type="numbering" w:customStyle="1" w:styleId="Numbering1">
    <w:name w:val="Numbering 1"/>
    <w:basedOn w:val="NoList"/>
    <w:rsid w:val="006D2D4D"/>
    <w:pPr>
      <w:numPr>
        <w:numId w:val="4"/>
      </w:numPr>
    </w:pPr>
  </w:style>
  <w:style w:type="numbering" w:customStyle="1" w:styleId="List1">
    <w:name w:val="List 1"/>
    <w:basedOn w:val="NoList"/>
    <w:rsid w:val="006D2D4D"/>
    <w:pPr>
      <w:numPr>
        <w:numId w:val="5"/>
      </w:numPr>
    </w:pPr>
  </w:style>
  <w:style w:type="paragraph" w:customStyle="1" w:styleId="Documenttextecot">
    <w:name w:val="Document texte coté"/>
    <w:basedOn w:val="Normal"/>
    <w:rsid w:val="00344B87"/>
    <w:pPr>
      <w:spacing w:line="264" w:lineRule="auto"/>
    </w:pPr>
    <w:rPr>
      <w:rFonts w:cs="Arial"/>
      <w:b/>
      <w:color w:val="595959" w:themeColor="text1" w:themeTint="A6"/>
      <w:szCs w:val="22"/>
    </w:rPr>
  </w:style>
  <w:style w:type="paragraph" w:customStyle="1" w:styleId="Prambule">
    <w:name w:val="Préambule"/>
    <w:basedOn w:val="Normal"/>
    <w:rsid w:val="00B00D18"/>
    <w:pPr>
      <w:spacing w:after="120" w:line="264" w:lineRule="auto"/>
      <w:ind w:left="1418" w:right="1134"/>
    </w:pPr>
    <w:rPr>
      <w:rFonts w:asciiTheme="minorHAnsi" w:hAnsiTheme="minorHAnsi"/>
      <w:b/>
      <w:i/>
      <w:szCs w:val="22"/>
    </w:rPr>
  </w:style>
  <w:style w:type="character" w:styleId="SubtleEmphasis">
    <w:name w:val="Subtle Emphasis"/>
    <w:basedOn w:val="DefaultParagraphFont"/>
    <w:uiPriority w:val="19"/>
    <w:rsid w:val="00051E06"/>
    <w:rPr>
      <w:i/>
      <w:iCs/>
      <w:color w:val="404040" w:themeColor="text1" w:themeTint="BF"/>
    </w:rPr>
  </w:style>
  <w:style w:type="paragraph" w:styleId="NormalWeb">
    <w:name w:val="Normal (Web)"/>
    <w:basedOn w:val="Normal"/>
    <w:uiPriority w:val="99"/>
    <w:unhideWhenUsed/>
    <w:rsid w:val="005B6CB5"/>
    <w:pPr>
      <w:spacing w:before="100" w:beforeAutospacing="1" w:after="100" w:afterAutospacing="1"/>
    </w:pPr>
    <w:rPr>
      <w:rFonts w:ascii="Times New Roman" w:hAnsi="Times New Roman"/>
    </w:rPr>
  </w:style>
  <w:style w:type="paragraph" w:customStyle="1" w:styleId="Sommaire-texteniveau1">
    <w:name w:val="Sommaire -texte niveau 1"/>
    <w:basedOn w:val="Textedesaisie"/>
    <w:qFormat/>
    <w:rsid w:val="00D0401D"/>
    <w:pPr>
      <w:tabs>
        <w:tab w:val="right" w:pos="709"/>
      </w:tabs>
      <w:spacing w:after="240"/>
      <w:ind w:left="1701" w:right="1134"/>
    </w:pPr>
    <w:rPr>
      <w:caps/>
    </w:rPr>
  </w:style>
  <w:style w:type="paragraph" w:customStyle="1" w:styleId="sommainetexteniveau2">
    <w:name w:val="sommaine texte niveau 2"/>
    <w:basedOn w:val="Normal"/>
    <w:qFormat/>
    <w:rsid w:val="00D0401D"/>
    <w:pPr>
      <w:spacing w:after="120"/>
      <w:ind w:left="1814" w:right="1134"/>
    </w:pPr>
    <w:rPr>
      <w:b/>
    </w:rPr>
  </w:style>
  <w:style w:type="paragraph" w:customStyle="1" w:styleId="textepuce2">
    <w:name w:val="texte puce 2"/>
    <w:basedOn w:val="Textepuce1"/>
    <w:qFormat/>
    <w:rsid w:val="005D07B9"/>
    <w:pPr>
      <w:numPr>
        <w:numId w:val="3"/>
      </w:numPr>
      <w:tabs>
        <w:tab w:val="left" w:pos="567"/>
      </w:tabs>
    </w:pPr>
  </w:style>
  <w:style w:type="paragraph" w:customStyle="1" w:styleId="Sommairetexteniveau3">
    <w:name w:val="Sommaire texte niveau 3"/>
    <w:basedOn w:val="Normal"/>
    <w:qFormat/>
    <w:rsid w:val="00D0401D"/>
    <w:pPr>
      <w:spacing w:after="120"/>
      <w:ind w:left="1985" w:right="1134"/>
    </w:pPr>
  </w:style>
  <w:style w:type="paragraph" w:styleId="TOC1">
    <w:name w:val="toc 1"/>
    <w:basedOn w:val="Normal"/>
    <w:next w:val="Normal"/>
    <w:autoRedefine/>
    <w:uiPriority w:val="39"/>
    <w:unhideWhenUsed/>
    <w:rsid w:val="00D72130"/>
    <w:pPr>
      <w:tabs>
        <w:tab w:val="right" w:leader="dot" w:pos="9940"/>
      </w:tabs>
      <w:spacing w:before="120" w:after="120"/>
    </w:pPr>
    <w:rPr>
      <w:rFonts w:asciiTheme="minorHAnsi" w:hAnsiTheme="minorHAnsi"/>
      <w:b/>
      <w:bCs/>
      <w:caps/>
      <w:szCs w:val="20"/>
    </w:rPr>
  </w:style>
  <w:style w:type="paragraph" w:styleId="TOC2">
    <w:name w:val="toc 2"/>
    <w:basedOn w:val="Normal"/>
    <w:next w:val="Normal"/>
    <w:autoRedefine/>
    <w:uiPriority w:val="39"/>
    <w:unhideWhenUsed/>
    <w:rsid w:val="00837EFF"/>
    <w:pPr>
      <w:ind w:left="200"/>
    </w:pPr>
    <w:rPr>
      <w:rFonts w:asciiTheme="minorHAnsi" w:hAnsiTheme="minorHAnsi"/>
      <w:smallCaps/>
      <w:szCs w:val="20"/>
    </w:rPr>
  </w:style>
  <w:style w:type="paragraph" w:styleId="TOC3">
    <w:name w:val="toc 3"/>
    <w:basedOn w:val="Normal"/>
    <w:next w:val="Normal"/>
    <w:autoRedefine/>
    <w:uiPriority w:val="39"/>
    <w:unhideWhenUsed/>
    <w:rsid w:val="00837EFF"/>
    <w:pPr>
      <w:ind w:left="400"/>
    </w:pPr>
    <w:rPr>
      <w:rFonts w:asciiTheme="minorHAnsi" w:hAnsiTheme="minorHAnsi"/>
      <w:i/>
      <w:iCs/>
      <w:szCs w:val="20"/>
    </w:rPr>
  </w:style>
  <w:style w:type="paragraph" w:customStyle="1" w:styleId="Soustitrerapport">
    <w:name w:val="Sous titre rapport"/>
    <w:basedOn w:val="NormalWeb"/>
    <w:qFormat/>
    <w:rsid w:val="00BE6408"/>
    <w:rPr>
      <w:rFonts w:ascii="Marianne" w:hAnsi="Marianne"/>
      <w:b/>
      <w:bCs/>
      <w:i/>
      <w:iCs/>
      <w:color w:val="000000" w:themeColor="text1"/>
      <w:sz w:val="44"/>
      <w:szCs w:val="44"/>
    </w:rPr>
  </w:style>
  <w:style w:type="paragraph" w:styleId="TOC4">
    <w:name w:val="toc 4"/>
    <w:basedOn w:val="Normal"/>
    <w:next w:val="Normal"/>
    <w:autoRedefine/>
    <w:uiPriority w:val="39"/>
    <w:unhideWhenUsed/>
    <w:rsid w:val="00837EFF"/>
    <w:pPr>
      <w:ind w:left="600"/>
    </w:pPr>
    <w:rPr>
      <w:rFonts w:asciiTheme="minorHAnsi" w:hAnsiTheme="minorHAnsi"/>
      <w:sz w:val="18"/>
      <w:szCs w:val="18"/>
    </w:rPr>
  </w:style>
  <w:style w:type="paragraph" w:styleId="TOC5">
    <w:name w:val="toc 5"/>
    <w:basedOn w:val="Normal"/>
    <w:next w:val="Normal"/>
    <w:autoRedefine/>
    <w:uiPriority w:val="39"/>
    <w:unhideWhenUsed/>
    <w:rsid w:val="00837EFF"/>
    <w:pPr>
      <w:ind w:left="800"/>
    </w:pPr>
    <w:rPr>
      <w:rFonts w:asciiTheme="minorHAnsi" w:hAnsiTheme="minorHAnsi"/>
      <w:sz w:val="18"/>
      <w:szCs w:val="18"/>
    </w:rPr>
  </w:style>
  <w:style w:type="paragraph" w:styleId="TOC6">
    <w:name w:val="toc 6"/>
    <w:basedOn w:val="Normal"/>
    <w:next w:val="Normal"/>
    <w:autoRedefine/>
    <w:uiPriority w:val="39"/>
    <w:unhideWhenUsed/>
    <w:rsid w:val="00837EFF"/>
    <w:pPr>
      <w:ind w:left="1000"/>
    </w:pPr>
    <w:rPr>
      <w:rFonts w:asciiTheme="minorHAnsi" w:hAnsiTheme="minorHAnsi"/>
      <w:sz w:val="18"/>
      <w:szCs w:val="18"/>
    </w:rPr>
  </w:style>
  <w:style w:type="paragraph" w:styleId="TOC7">
    <w:name w:val="toc 7"/>
    <w:basedOn w:val="Normal"/>
    <w:next w:val="Normal"/>
    <w:autoRedefine/>
    <w:uiPriority w:val="39"/>
    <w:unhideWhenUsed/>
    <w:rsid w:val="00837EFF"/>
    <w:pPr>
      <w:ind w:left="1200"/>
    </w:pPr>
    <w:rPr>
      <w:rFonts w:asciiTheme="minorHAnsi" w:hAnsiTheme="minorHAnsi"/>
      <w:sz w:val="18"/>
      <w:szCs w:val="18"/>
    </w:rPr>
  </w:style>
  <w:style w:type="paragraph" w:styleId="TOC8">
    <w:name w:val="toc 8"/>
    <w:basedOn w:val="Normal"/>
    <w:next w:val="Normal"/>
    <w:autoRedefine/>
    <w:uiPriority w:val="39"/>
    <w:unhideWhenUsed/>
    <w:rsid w:val="00837EFF"/>
    <w:pPr>
      <w:ind w:left="1400"/>
    </w:pPr>
    <w:rPr>
      <w:rFonts w:asciiTheme="minorHAnsi" w:hAnsiTheme="minorHAnsi"/>
      <w:sz w:val="18"/>
      <w:szCs w:val="18"/>
    </w:rPr>
  </w:style>
  <w:style w:type="paragraph" w:styleId="TOC9">
    <w:name w:val="toc 9"/>
    <w:basedOn w:val="Normal"/>
    <w:next w:val="Normal"/>
    <w:autoRedefine/>
    <w:uiPriority w:val="39"/>
    <w:unhideWhenUsed/>
    <w:rsid w:val="00837EFF"/>
    <w:pPr>
      <w:ind w:left="1600"/>
    </w:pPr>
    <w:rPr>
      <w:rFonts w:asciiTheme="minorHAnsi" w:hAnsiTheme="minorHAnsi"/>
      <w:sz w:val="18"/>
      <w:szCs w:val="18"/>
    </w:rPr>
  </w:style>
  <w:style w:type="paragraph" w:customStyle="1" w:styleId="titreencadre">
    <w:name w:val="titre encadre"/>
    <w:basedOn w:val="texteencadr"/>
    <w:next w:val="Normal"/>
    <w:autoRedefine/>
    <w:qFormat/>
    <w:rsid w:val="00EC36FE"/>
    <w:pPr>
      <w:numPr>
        <w:ilvl w:val="3"/>
        <w:numId w:val="58"/>
      </w:numPr>
      <w:spacing w:before="120" w:after="60" w:line="240" w:lineRule="auto"/>
      <w:jc w:val="both"/>
    </w:pPr>
    <w:rPr>
      <w:b/>
      <w:sz w:val="21"/>
    </w:rPr>
  </w:style>
  <w:style w:type="paragraph" w:customStyle="1" w:styleId="texteintro">
    <w:name w:val="texte intro"/>
    <w:basedOn w:val="Textedesaisie"/>
    <w:qFormat/>
    <w:rsid w:val="00224DF6"/>
    <w:pPr>
      <w:jc w:val="center"/>
    </w:pPr>
    <w:rPr>
      <w:rFonts w:ascii="Marianne Medium" w:hAnsi="Marianne Medium"/>
      <w:i/>
    </w:rPr>
  </w:style>
  <w:style w:type="paragraph" w:customStyle="1" w:styleId="texteencadr">
    <w:name w:val="texte encadré"/>
    <w:basedOn w:val="Textedesaisie"/>
    <w:qFormat/>
    <w:rsid w:val="00B02709"/>
    <w:pPr>
      <w:ind w:left="0" w:right="0"/>
      <w:jc w:val="left"/>
    </w:pPr>
    <w:rPr>
      <w:rFonts w:ascii="Marianne" w:hAnsi="Marianne"/>
      <w:i/>
    </w:rPr>
  </w:style>
  <w:style w:type="paragraph" w:styleId="TOCHeading">
    <w:name w:val="TOC Heading"/>
    <w:basedOn w:val="Heading1"/>
    <w:next w:val="Normal"/>
    <w:uiPriority w:val="39"/>
    <w:unhideWhenUsed/>
    <w:qFormat/>
    <w:rsid w:val="005D5AA6"/>
    <w:pPr>
      <w:spacing w:before="240" w:after="0" w:line="259" w:lineRule="auto"/>
      <w:ind w:left="0"/>
      <w:outlineLvl w:val="9"/>
    </w:pPr>
    <w:rPr>
      <w:b w:val="0"/>
      <w:bCs w:val="0"/>
      <w:color w:val="004130" w:themeColor="accent1" w:themeShade="BF"/>
      <w:sz w:val="32"/>
      <w:szCs w:val="32"/>
      <w:u w:val="none"/>
    </w:rPr>
  </w:style>
  <w:style w:type="character" w:styleId="CommentReference">
    <w:name w:val="annotation reference"/>
    <w:basedOn w:val="DefaultParagraphFont"/>
    <w:uiPriority w:val="99"/>
    <w:unhideWhenUsed/>
    <w:rsid w:val="00BB5CA4"/>
    <w:rPr>
      <w:sz w:val="16"/>
      <w:szCs w:val="16"/>
    </w:rPr>
  </w:style>
  <w:style w:type="paragraph" w:styleId="CommentText">
    <w:name w:val="annotation text"/>
    <w:basedOn w:val="Normal"/>
    <w:link w:val="CommentTextChar"/>
    <w:uiPriority w:val="99"/>
    <w:unhideWhenUsed/>
    <w:rsid w:val="00BB5CA4"/>
    <w:rPr>
      <w:sz w:val="20"/>
      <w:szCs w:val="20"/>
    </w:rPr>
  </w:style>
  <w:style w:type="character" w:customStyle="1" w:styleId="CommentTextChar">
    <w:name w:val="Comment Text Char"/>
    <w:basedOn w:val="DefaultParagraphFont"/>
    <w:link w:val="CommentText"/>
    <w:uiPriority w:val="99"/>
    <w:rsid w:val="00BB5CA4"/>
    <w:rPr>
      <w:rFonts w:ascii="Marianne" w:eastAsia="Times New Roman" w:hAnsi="Marianne" w:cs="Times New Roman"/>
      <w:lang w:eastAsia="fr-FR"/>
    </w:rPr>
  </w:style>
  <w:style w:type="paragraph" w:styleId="CommentSubject">
    <w:name w:val="annotation subject"/>
    <w:basedOn w:val="CommentText"/>
    <w:next w:val="CommentText"/>
    <w:link w:val="CommentSubjectChar"/>
    <w:uiPriority w:val="99"/>
    <w:semiHidden/>
    <w:unhideWhenUsed/>
    <w:rsid w:val="00BB5CA4"/>
    <w:rPr>
      <w:b/>
      <w:bCs/>
    </w:rPr>
  </w:style>
  <w:style w:type="character" w:customStyle="1" w:styleId="CommentSubjectChar">
    <w:name w:val="Comment Subject Char"/>
    <w:basedOn w:val="CommentTextChar"/>
    <w:link w:val="CommentSubject"/>
    <w:uiPriority w:val="99"/>
    <w:semiHidden/>
    <w:rsid w:val="00BB5CA4"/>
    <w:rPr>
      <w:rFonts w:ascii="Marianne" w:eastAsia="Times New Roman" w:hAnsi="Marianne" w:cs="Times New Roman"/>
      <w:b/>
      <w:bCs/>
      <w:lang w:eastAsia="fr-FR"/>
    </w:rPr>
  </w:style>
  <w:style w:type="paragraph" w:customStyle="1" w:styleId="Titre1">
    <w:name w:val="Titre1"/>
    <w:basedOn w:val="Heading1"/>
    <w:link w:val="Titre1Car"/>
    <w:qFormat/>
    <w:rsid w:val="00D20917"/>
    <w:pPr>
      <w:ind w:left="288"/>
    </w:pPr>
  </w:style>
  <w:style w:type="character" w:styleId="Hyperlink">
    <w:name w:val="Hyperlink"/>
    <w:basedOn w:val="DefaultParagraphFont"/>
    <w:uiPriority w:val="99"/>
    <w:unhideWhenUsed/>
    <w:rsid w:val="00C73F2E"/>
    <w:rPr>
      <w:color w:val="000000" w:themeColor="hyperlink"/>
      <w:u w:val="single"/>
    </w:rPr>
  </w:style>
  <w:style w:type="character" w:customStyle="1" w:styleId="Titre1Niveau1Car">
    <w:name w:val="Titre 1 Niveau 1 Car"/>
    <w:basedOn w:val="DefaultParagraphFont"/>
    <w:link w:val="Titre1Niveau1"/>
    <w:rsid w:val="0062059A"/>
    <w:rPr>
      <w:rFonts w:ascii="Marianne" w:eastAsiaTheme="majorEastAsia" w:hAnsi="Marianne" w:cstheme="majorBidi"/>
      <w:bCs/>
      <w:spacing w:val="-10"/>
      <w:kern w:val="28"/>
      <w:sz w:val="48"/>
      <w:szCs w:val="56"/>
      <w:lang w:eastAsia="fr-FR"/>
    </w:rPr>
  </w:style>
  <w:style w:type="character" w:customStyle="1" w:styleId="Titre1Car">
    <w:name w:val="Titre1 Car"/>
    <w:basedOn w:val="Titre1Niveau1Car"/>
    <w:link w:val="Titre1"/>
    <w:rsid w:val="00D20917"/>
    <w:rPr>
      <w:rFonts w:asciiTheme="majorHAnsi" w:eastAsiaTheme="majorEastAsia" w:hAnsiTheme="majorHAnsi" w:cstheme="majorBidi"/>
      <w:b/>
      <w:bCs w:val="0"/>
      <w:spacing w:val="-10"/>
      <w:kern w:val="28"/>
      <w:sz w:val="23"/>
      <w:szCs w:val="28"/>
      <w:u w:val="single"/>
      <w:lang w:eastAsia="fr-FR"/>
    </w:rPr>
  </w:style>
  <w:style w:type="paragraph" w:styleId="Caption">
    <w:name w:val="caption"/>
    <w:basedOn w:val="Normal"/>
    <w:next w:val="Normal"/>
    <w:autoRedefine/>
    <w:uiPriority w:val="35"/>
    <w:unhideWhenUsed/>
    <w:qFormat/>
    <w:rsid w:val="0045532B"/>
    <w:pPr>
      <w:spacing w:before="60" w:after="60"/>
    </w:pPr>
    <w:rPr>
      <w:i/>
      <w:iCs/>
      <w:color w:val="000091" w:themeColor="text2"/>
      <w:sz w:val="18"/>
      <w:szCs w:val="18"/>
    </w:rPr>
  </w:style>
  <w:style w:type="paragraph" w:styleId="FootnoteText">
    <w:name w:val="footnote text"/>
    <w:aliases w:val="Fußnotentext Char,Fußnotentext Char1 Char1,Fußnotentext Char Char Char Char,Fußnotentext Char1 Char Char Char,Fußnotentext Char Char,Fußnotentext Char1 Char Char Char Char,Fußnotentext Char Char Char Char Char Char,Fußnotentext Char1"/>
    <w:basedOn w:val="Normal"/>
    <w:link w:val="FootnoteTextChar"/>
    <w:unhideWhenUsed/>
    <w:qFormat/>
    <w:rsid w:val="00AA5DD8"/>
    <w:rPr>
      <w:sz w:val="20"/>
      <w:szCs w:val="20"/>
    </w:rPr>
  </w:style>
  <w:style w:type="character" w:customStyle="1" w:styleId="FootnoteTextChar">
    <w:name w:val="Footnote Text Char"/>
    <w:aliases w:val="Fußnotentext Char Char1,Fußnotentext Char1 Char1 Char,Fußnotentext Char Char Char Char Char,Fußnotentext Char1 Char Char Char Char1,Fußnotentext Char Char Char,Fußnotentext Char1 Char Char Char Char Char,Fußnotentext Char1 Char"/>
    <w:basedOn w:val="DefaultParagraphFont"/>
    <w:link w:val="FootnoteText"/>
    <w:uiPriority w:val="99"/>
    <w:rsid w:val="00AA5DD8"/>
    <w:rPr>
      <w:rFonts w:ascii="Marianne" w:eastAsia="Times New Roman" w:hAnsi="Marianne" w:cs="Times New Roman"/>
      <w:lang w:eastAsia="fr-FR"/>
    </w:rPr>
  </w:style>
  <w:style w:type="character" w:styleId="FootnoteReference">
    <w:name w:val="footnote reference"/>
    <w:aliases w:val="SUPERS,Appel note de bas de page,Footnote symbol,Footnote s,Times 10 Point, Exposant 3 Point,Exposant 3 ,Exposant 3 Point,Expos,Exposant 3,Appel note de bas de p,Texte Appel note de bas de p.,Appel note,-E Fußnotenzeichen,number"/>
    <w:basedOn w:val="DefaultParagraphFont"/>
    <w:uiPriority w:val="99"/>
    <w:unhideWhenUsed/>
    <w:qFormat/>
    <w:rsid w:val="00AA5DD8"/>
    <w:rPr>
      <w:vertAlign w:val="superscript"/>
    </w:rPr>
  </w:style>
  <w:style w:type="paragraph" w:customStyle="1" w:styleId="Default">
    <w:name w:val="Default"/>
    <w:rsid w:val="00002707"/>
    <w:pPr>
      <w:autoSpaceDE w:val="0"/>
      <w:autoSpaceDN w:val="0"/>
      <w:adjustRightInd w:val="0"/>
      <w:spacing w:line="240" w:lineRule="auto"/>
    </w:pPr>
    <w:rPr>
      <w:rFonts w:ascii="Arial" w:hAnsi="Arial" w:cs="Arial"/>
      <w:color w:val="000000"/>
      <w:sz w:val="24"/>
      <w:szCs w:val="24"/>
    </w:rPr>
  </w:style>
  <w:style w:type="table" w:styleId="ListTable4-Accent4">
    <w:name w:val="List Table 4 Accent 4"/>
    <w:basedOn w:val="TableNormal"/>
    <w:uiPriority w:val="49"/>
    <w:rsid w:val="00501FA3"/>
    <w:pPr>
      <w:spacing w:line="240" w:lineRule="auto"/>
    </w:pPr>
    <w:tblPr>
      <w:tblStyleRowBandSize w:val="1"/>
      <w:tblStyleColBandSize w:val="1"/>
      <w:tblBorders>
        <w:top w:val="single" w:sz="4" w:space="0" w:color="F29784" w:themeColor="accent4" w:themeTint="99"/>
        <w:left w:val="single" w:sz="4" w:space="0" w:color="F29784" w:themeColor="accent4" w:themeTint="99"/>
        <w:bottom w:val="single" w:sz="4" w:space="0" w:color="F29784" w:themeColor="accent4" w:themeTint="99"/>
        <w:right w:val="single" w:sz="4" w:space="0" w:color="F29784" w:themeColor="accent4" w:themeTint="99"/>
        <w:insideH w:val="single" w:sz="4" w:space="0" w:color="F29784" w:themeColor="accent4" w:themeTint="99"/>
      </w:tblBorders>
    </w:tblPr>
    <w:tblStylePr w:type="firstRow">
      <w:rPr>
        <w:b/>
        <w:bCs/>
        <w:color w:val="FFFFFF" w:themeColor="background1"/>
      </w:rPr>
      <w:tblPr/>
      <w:tcPr>
        <w:tcBorders>
          <w:top w:val="single" w:sz="4" w:space="0" w:color="EA5433" w:themeColor="accent4"/>
          <w:left w:val="single" w:sz="4" w:space="0" w:color="EA5433" w:themeColor="accent4"/>
          <w:bottom w:val="single" w:sz="4" w:space="0" w:color="EA5433" w:themeColor="accent4"/>
          <w:right w:val="single" w:sz="4" w:space="0" w:color="EA5433" w:themeColor="accent4"/>
          <w:insideH w:val="nil"/>
        </w:tcBorders>
        <w:shd w:val="clear" w:color="auto" w:fill="EA5433" w:themeFill="accent4"/>
      </w:tcPr>
    </w:tblStylePr>
    <w:tblStylePr w:type="lastRow">
      <w:rPr>
        <w:b/>
        <w:bCs/>
      </w:rPr>
      <w:tblPr/>
      <w:tcPr>
        <w:tcBorders>
          <w:top w:val="double" w:sz="4" w:space="0" w:color="F29784" w:themeColor="accent4" w:themeTint="99"/>
        </w:tcBorders>
      </w:tcPr>
    </w:tblStylePr>
    <w:tblStylePr w:type="firstCol">
      <w:rPr>
        <w:b/>
        <w:bCs/>
      </w:rPr>
    </w:tblStylePr>
    <w:tblStylePr w:type="lastCol">
      <w:rPr>
        <w:b/>
        <w:bCs/>
      </w:rPr>
    </w:tblStylePr>
    <w:tblStylePr w:type="band1Vert">
      <w:tblPr/>
      <w:tcPr>
        <w:shd w:val="clear" w:color="auto" w:fill="FADCD6" w:themeFill="accent4" w:themeFillTint="33"/>
      </w:tcPr>
    </w:tblStylePr>
    <w:tblStylePr w:type="band1Horz">
      <w:tblPr/>
      <w:tcPr>
        <w:shd w:val="clear" w:color="auto" w:fill="FADCD6" w:themeFill="accent4" w:themeFillTint="33"/>
      </w:tcPr>
    </w:tblStylePr>
  </w:style>
  <w:style w:type="table" w:styleId="ListTable3-Accent4">
    <w:name w:val="List Table 3 Accent 4"/>
    <w:basedOn w:val="TableNormal"/>
    <w:uiPriority w:val="48"/>
    <w:rsid w:val="00501FA3"/>
    <w:pPr>
      <w:spacing w:line="240" w:lineRule="auto"/>
    </w:pPr>
    <w:tblPr>
      <w:tblStyleRowBandSize w:val="1"/>
      <w:tblStyleColBandSize w:val="1"/>
      <w:tblBorders>
        <w:top w:val="single" w:sz="4" w:space="0" w:color="EA5433" w:themeColor="accent4"/>
        <w:left w:val="single" w:sz="4" w:space="0" w:color="EA5433" w:themeColor="accent4"/>
        <w:bottom w:val="single" w:sz="4" w:space="0" w:color="EA5433" w:themeColor="accent4"/>
        <w:right w:val="single" w:sz="4" w:space="0" w:color="EA5433" w:themeColor="accent4"/>
      </w:tblBorders>
    </w:tblPr>
    <w:tblStylePr w:type="firstRow">
      <w:rPr>
        <w:b/>
        <w:bCs/>
        <w:color w:val="FFFFFF" w:themeColor="background1"/>
      </w:rPr>
      <w:tblPr/>
      <w:tcPr>
        <w:shd w:val="clear" w:color="auto" w:fill="EA5433" w:themeFill="accent4"/>
      </w:tcPr>
    </w:tblStylePr>
    <w:tblStylePr w:type="lastRow">
      <w:rPr>
        <w:b/>
        <w:bCs/>
      </w:rPr>
      <w:tblPr/>
      <w:tcPr>
        <w:tcBorders>
          <w:top w:val="double" w:sz="4" w:space="0" w:color="EA5433"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A5433" w:themeColor="accent4"/>
          <w:right w:val="single" w:sz="4" w:space="0" w:color="EA5433" w:themeColor="accent4"/>
        </w:tcBorders>
      </w:tcPr>
    </w:tblStylePr>
    <w:tblStylePr w:type="band1Horz">
      <w:tblPr/>
      <w:tcPr>
        <w:tcBorders>
          <w:top w:val="single" w:sz="4" w:space="0" w:color="EA5433" w:themeColor="accent4"/>
          <w:bottom w:val="single" w:sz="4" w:space="0" w:color="EA5433"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A5433" w:themeColor="accent4"/>
          <w:left w:val="nil"/>
        </w:tcBorders>
      </w:tcPr>
    </w:tblStylePr>
    <w:tblStylePr w:type="swCell">
      <w:tblPr/>
      <w:tcPr>
        <w:tcBorders>
          <w:top w:val="double" w:sz="4" w:space="0" w:color="EA5433" w:themeColor="accent4"/>
          <w:right w:val="nil"/>
        </w:tcBorders>
      </w:tcPr>
    </w:tblStylePr>
  </w:style>
  <w:style w:type="table" w:styleId="GridTable4-Accent4">
    <w:name w:val="Grid Table 4 Accent 4"/>
    <w:basedOn w:val="TableNormal"/>
    <w:uiPriority w:val="49"/>
    <w:rsid w:val="00501FA3"/>
    <w:pPr>
      <w:spacing w:line="240" w:lineRule="auto"/>
    </w:pPr>
    <w:tblPr>
      <w:tblStyleRowBandSize w:val="1"/>
      <w:tblStyleColBandSize w:val="1"/>
      <w:tblBorders>
        <w:top w:val="single" w:sz="4" w:space="0" w:color="F29784" w:themeColor="accent4" w:themeTint="99"/>
        <w:left w:val="single" w:sz="4" w:space="0" w:color="F29784" w:themeColor="accent4" w:themeTint="99"/>
        <w:bottom w:val="single" w:sz="4" w:space="0" w:color="F29784" w:themeColor="accent4" w:themeTint="99"/>
        <w:right w:val="single" w:sz="4" w:space="0" w:color="F29784" w:themeColor="accent4" w:themeTint="99"/>
        <w:insideH w:val="single" w:sz="4" w:space="0" w:color="F29784" w:themeColor="accent4" w:themeTint="99"/>
        <w:insideV w:val="single" w:sz="4" w:space="0" w:color="F29784" w:themeColor="accent4" w:themeTint="99"/>
      </w:tblBorders>
    </w:tblPr>
    <w:tblStylePr w:type="firstRow">
      <w:rPr>
        <w:b/>
        <w:bCs/>
        <w:color w:val="FFFFFF" w:themeColor="background1"/>
      </w:rPr>
      <w:tblPr/>
      <w:tcPr>
        <w:tcBorders>
          <w:top w:val="single" w:sz="4" w:space="0" w:color="EA5433" w:themeColor="accent4"/>
          <w:left w:val="single" w:sz="4" w:space="0" w:color="EA5433" w:themeColor="accent4"/>
          <w:bottom w:val="single" w:sz="4" w:space="0" w:color="EA5433" w:themeColor="accent4"/>
          <w:right w:val="single" w:sz="4" w:space="0" w:color="EA5433" w:themeColor="accent4"/>
          <w:insideH w:val="nil"/>
          <w:insideV w:val="nil"/>
        </w:tcBorders>
        <w:shd w:val="clear" w:color="auto" w:fill="EA5433" w:themeFill="accent4"/>
      </w:tcPr>
    </w:tblStylePr>
    <w:tblStylePr w:type="lastRow">
      <w:rPr>
        <w:b/>
        <w:bCs/>
      </w:rPr>
      <w:tblPr/>
      <w:tcPr>
        <w:tcBorders>
          <w:top w:val="double" w:sz="4" w:space="0" w:color="EA5433" w:themeColor="accent4"/>
        </w:tcBorders>
      </w:tcPr>
    </w:tblStylePr>
    <w:tblStylePr w:type="firstCol">
      <w:rPr>
        <w:b/>
        <w:bCs/>
      </w:rPr>
    </w:tblStylePr>
    <w:tblStylePr w:type="lastCol">
      <w:rPr>
        <w:b/>
        <w:bCs/>
      </w:rPr>
    </w:tblStylePr>
    <w:tblStylePr w:type="band1Vert">
      <w:tblPr/>
      <w:tcPr>
        <w:shd w:val="clear" w:color="auto" w:fill="FADCD6" w:themeFill="accent4" w:themeFillTint="33"/>
      </w:tcPr>
    </w:tblStylePr>
    <w:tblStylePr w:type="band1Horz">
      <w:tblPr/>
      <w:tcPr>
        <w:shd w:val="clear" w:color="auto" w:fill="FADCD6" w:themeFill="accent4" w:themeFillTint="33"/>
      </w:tcPr>
    </w:tblStylePr>
  </w:style>
  <w:style w:type="table" w:styleId="TableGridLight">
    <w:name w:val="Grid Table Light"/>
    <w:basedOn w:val="TableNormal"/>
    <w:uiPriority w:val="40"/>
    <w:rsid w:val="00501FA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nhideWhenUsed/>
    <w:qFormat/>
    <w:rsid w:val="00977B34"/>
    <w:pPr>
      <w:spacing w:after="120" w:line="276" w:lineRule="auto"/>
    </w:pPr>
    <w:rPr>
      <w:rFonts w:ascii="Trebuchet MS" w:eastAsiaTheme="minorHAnsi" w:hAnsi="Trebuchet MS" w:cstheme="minorBidi"/>
      <w:sz w:val="20"/>
      <w:szCs w:val="22"/>
      <w:lang w:eastAsia="en-US"/>
    </w:rPr>
  </w:style>
  <w:style w:type="character" w:customStyle="1" w:styleId="BodyTextChar">
    <w:name w:val="Body Text Char"/>
    <w:basedOn w:val="DefaultParagraphFont"/>
    <w:link w:val="BodyText"/>
    <w:qFormat/>
    <w:rsid w:val="00977B34"/>
    <w:rPr>
      <w:rFonts w:ascii="Trebuchet MS" w:hAnsi="Trebuchet MS"/>
      <w:szCs w:val="22"/>
    </w:rPr>
  </w:style>
  <w:style w:type="character" w:customStyle="1" w:styleId="ml-2">
    <w:name w:val="ml-2"/>
    <w:basedOn w:val="DefaultParagraphFont"/>
    <w:rsid w:val="006D5177"/>
  </w:style>
  <w:style w:type="paragraph" w:customStyle="1" w:styleId="Style3">
    <w:name w:val="Style3"/>
    <w:basedOn w:val="Heading2"/>
    <w:link w:val="Style3Car"/>
    <w:autoRedefine/>
    <w:qFormat/>
    <w:rsid w:val="00734FEB"/>
    <w:pPr>
      <w:numPr>
        <w:ilvl w:val="0"/>
        <w:numId w:val="0"/>
      </w:numPr>
      <w:spacing w:before="0" w:line="240" w:lineRule="auto"/>
      <w:contextualSpacing/>
      <w:jc w:val="left"/>
      <w:outlineLvl w:val="9"/>
    </w:pPr>
    <w:rPr>
      <w:rFonts w:eastAsia="Liberation Sans;Arial" w:cstheme="minorHAnsi"/>
      <w:color w:val="68B97E"/>
      <w:sz w:val="24"/>
      <w:szCs w:val="22"/>
    </w:rPr>
  </w:style>
  <w:style w:type="character" w:customStyle="1" w:styleId="Style3Car">
    <w:name w:val="Style3 Car"/>
    <w:basedOn w:val="Heading2Char"/>
    <w:link w:val="Style3"/>
    <w:rsid w:val="00734FEB"/>
    <w:rPr>
      <w:rFonts w:asciiTheme="majorHAnsi" w:eastAsia="Liberation Sans;Arial" w:hAnsiTheme="majorHAnsi" w:cstheme="minorHAnsi"/>
      <w:b/>
      <w:bCs/>
      <w:color w:val="68B97E"/>
      <w:sz w:val="24"/>
      <w:szCs w:val="22"/>
      <w:lang w:eastAsia="fr-FR"/>
    </w:rPr>
  </w:style>
  <w:style w:type="paragraph" w:customStyle="1" w:styleId="Style2">
    <w:name w:val="Style2"/>
    <w:basedOn w:val="Normal"/>
    <w:link w:val="Style2Car"/>
    <w:qFormat/>
    <w:rsid w:val="006D5177"/>
    <w:pPr>
      <w:keepNext/>
      <w:keepLines/>
      <w:contextualSpacing/>
      <w:jc w:val="center"/>
    </w:pPr>
    <w:rPr>
      <w:rFonts w:asciiTheme="minorHAnsi" w:eastAsia="Liberation Sans;Arial" w:hAnsiTheme="minorHAnsi" w:cstheme="minorHAnsi"/>
      <w:b/>
      <w:bCs/>
      <w:color w:val="7030A0"/>
      <w:sz w:val="28"/>
      <w:szCs w:val="22"/>
    </w:rPr>
  </w:style>
  <w:style w:type="character" w:customStyle="1" w:styleId="Style2Car">
    <w:name w:val="Style2 Car"/>
    <w:basedOn w:val="DefaultParagraphFont"/>
    <w:link w:val="Style2"/>
    <w:rsid w:val="006D5177"/>
    <w:rPr>
      <w:rFonts w:eastAsia="Liberation Sans;Arial" w:cstheme="minorHAnsi"/>
      <w:b/>
      <w:bCs/>
      <w:color w:val="7030A0"/>
      <w:sz w:val="28"/>
      <w:szCs w:val="22"/>
      <w:lang w:eastAsia="fr-FR"/>
    </w:rPr>
  </w:style>
  <w:style w:type="paragraph" w:styleId="Revision">
    <w:name w:val="Revision"/>
    <w:hidden/>
    <w:uiPriority w:val="99"/>
    <w:semiHidden/>
    <w:rsid w:val="006D5177"/>
    <w:pPr>
      <w:spacing w:line="240" w:lineRule="auto"/>
    </w:pPr>
    <w:rPr>
      <w:rFonts w:ascii="Marianne" w:eastAsia="Times New Roman" w:hAnsi="Marianne" w:cs="Times New Roman"/>
      <w:sz w:val="21"/>
      <w:szCs w:val="24"/>
      <w:lang w:eastAsia="fr-FR"/>
    </w:rPr>
  </w:style>
  <w:style w:type="paragraph" w:customStyle="1" w:styleId="western">
    <w:name w:val="western"/>
    <w:basedOn w:val="Normal"/>
    <w:rsid w:val="004B5220"/>
    <w:pPr>
      <w:spacing w:before="100" w:beforeAutospacing="1" w:after="142" w:line="288" w:lineRule="auto"/>
      <w:jc w:val="left"/>
    </w:pPr>
    <w:rPr>
      <w:rFonts w:ascii="Times New Roman" w:hAnsi="Times New Roman"/>
      <w:color w:val="00000A"/>
      <w:sz w:val="24"/>
    </w:rPr>
  </w:style>
  <w:style w:type="character" w:styleId="Strong">
    <w:name w:val="Strong"/>
    <w:basedOn w:val="DefaultParagraphFont"/>
    <w:uiPriority w:val="22"/>
    <w:qFormat/>
    <w:rsid w:val="00133BB6"/>
    <w:rPr>
      <w:b/>
      <w:bCs/>
    </w:rPr>
  </w:style>
  <w:style w:type="character" w:customStyle="1" w:styleId="ListParagraphChar">
    <w:name w:val="List Paragraph Char"/>
    <w:aliases w:val="EC Char,Paragraphe de liste11 Char,Paragraphe de liste1 Char,Puce Char,Colorful List Accent 1 Char,List Paragraph (numbered (a)) Char,List_Paragraph Char,Multilevel para_II Char,List Paragraph1 Char,Rec para Char,Dot pt Char,L Char"/>
    <w:link w:val="ListParagraph"/>
    <w:uiPriority w:val="34"/>
    <w:qFormat/>
    <w:locked/>
    <w:rsid w:val="001A4E13"/>
    <w:rPr>
      <w:rFonts w:ascii="Marianne" w:eastAsia="Times New Roman" w:hAnsi="Marianne" w:cs="Times New Roman"/>
      <w:sz w:val="21"/>
      <w:szCs w:val="24"/>
      <w:lang w:eastAsia="fr-FR"/>
    </w:rPr>
  </w:style>
  <w:style w:type="character" w:styleId="FollowedHyperlink">
    <w:name w:val="FollowedHyperlink"/>
    <w:basedOn w:val="DefaultParagraphFont"/>
    <w:uiPriority w:val="99"/>
    <w:semiHidden/>
    <w:unhideWhenUsed/>
    <w:rsid w:val="001A4E13"/>
    <w:rPr>
      <w:color w:val="000000" w:themeColor="followedHyperlink"/>
      <w:u w:val="single"/>
    </w:rPr>
  </w:style>
  <w:style w:type="table" w:customStyle="1" w:styleId="TableGrid0">
    <w:name w:val="TableGrid"/>
    <w:rsid w:val="00DE0656"/>
    <w:pPr>
      <w:spacing w:line="240" w:lineRule="auto"/>
    </w:pPr>
    <w:rPr>
      <w:rFonts w:eastAsiaTheme="minorEastAsia"/>
      <w:sz w:val="22"/>
      <w:szCs w:val="22"/>
      <w:lang w:eastAsia="fr-FR"/>
    </w:rPr>
    <w:tblPr>
      <w:tblCellMar>
        <w:top w:w="0" w:type="dxa"/>
        <w:left w:w="0" w:type="dxa"/>
        <w:bottom w:w="0" w:type="dxa"/>
        <w:right w:w="0" w:type="dxa"/>
      </w:tblCellMar>
    </w:tblPr>
  </w:style>
  <w:style w:type="paragraph" w:customStyle="1" w:styleId="Standard">
    <w:name w:val="Standard"/>
    <w:qFormat/>
    <w:rsid w:val="00DE0656"/>
    <w:pPr>
      <w:widowControl w:val="0"/>
      <w:suppressAutoHyphens/>
      <w:autoSpaceDN w:val="0"/>
      <w:spacing w:line="240" w:lineRule="auto"/>
      <w:textAlignment w:val="baseline"/>
    </w:pPr>
    <w:rPr>
      <w:rFonts w:ascii="Liberation Serif" w:eastAsia="SimSun" w:hAnsi="Liberation Serif" w:cs="Mangal"/>
      <w:kern w:val="3"/>
      <w:sz w:val="24"/>
      <w:szCs w:val="24"/>
      <w:lang w:eastAsia="zh-CN" w:bidi="hi-IN"/>
    </w:rPr>
  </w:style>
  <w:style w:type="paragraph" w:customStyle="1" w:styleId="Footnote">
    <w:name w:val="Footnote"/>
    <w:basedOn w:val="Standard"/>
    <w:rsid w:val="00DE0656"/>
    <w:rPr>
      <w:sz w:val="20"/>
      <w:szCs w:val="20"/>
    </w:rPr>
  </w:style>
  <w:style w:type="character" w:customStyle="1" w:styleId="Ancredenotedebasdepage">
    <w:name w:val="Ancre de note de bas de page"/>
    <w:rsid w:val="00714DEF"/>
    <w:rPr>
      <w:vertAlign w:val="superscript"/>
    </w:rPr>
  </w:style>
  <w:style w:type="paragraph" w:customStyle="1" w:styleId="Standarduser">
    <w:name w:val="Standard (user)"/>
    <w:rsid w:val="00666AA0"/>
    <w:pPr>
      <w:suppressAutoHyphens/>
      <w:autoSpaceDN w:val="0"/>
      <w:spacing w:line="240" w:lineRule="auto"/>
      <w:textAlignment w:val="baseline"/>
    </w:pPr>
    <w:rPr>
      <w:rFonts w:ascii="Times New Roman" w:eastAsia="Times New Roman" w:hAnsi="Times New Roman" w:cs="Times New Roman"/>
      <w:kern w:val="3"/>
      <w:sz w:val="24"/>
      <w:szCs w:val="24"/>
      <w:lang w:eastAsia="zh-CN"/>
    </w:rPr>
  </w:style>
  <w:style w:type="character" w:customStyle="1" w:styleId="rynqvb">
    <w:name w:val="rynqvb"/>
    <w:basedOn w:val="DefaultParagraphFont"/>
    <w:rsid w:val="00E64C8E"/>
  </w:style>
  <w:style w:type="character" w:styleId="Emphasis">
    <w:name w:val="Emphasis"/>
    <w:basedOn w:val="DefaultParagraphFont"/>
    <w:uiPriority w:val="20"/>
    <w:qFormat/>
    <w:rsid w:val="00E64C8E"/>
    <w:rPr>
      <w:i/>
      <w:iCs/>
    </w:rPr>
  </w:style>
  <w:style w:type="paragraph" w:styleId="TableofFigures">
    <w:name w:val="table of figures"/>
    <w:basedOn w:val="Normal"/>
    <w:next w:val="Normal"/>
    <w:uiPriority w:val="99"/>
    <w:unhideWhenUsed/>
    <w:rsid w:val="00A55861"/>
  </w:style>
  <w:style w:type="numbering" w:customStyle="1" w:styleId="Style1">
    <w:name w:val="Style1"/>
    <w:uiPriority w:val="99"/>
    <w:rsid w:val="000C5AF3"/>
    <w:pPr>
      <w:numPr>
        <w:numId w:val="49"/>
      </w:numPr>
    </w:pPr>
  </w:style>
  <w:style w:type="numbering" w:customStyle="1" w:styleId="Style4">
    <w:name w:val="Style4"/>
    <w:uiPriority w:val="99"/>
    <w:rsid w:val="002A1355"/>
    <w:pPr>
      <w:numPr>
        <w:numId w:val="50"/>
      </w:numPr>
    </w:pPr>
  </w:style>
  <w:style w:type="table" w:styleId="GridTable5Dark-Accent4">
    <w:name w:val="Grid Table 5 Dark Accent 4"/>
    <w:basedOn w:val="TableNormal"/>
    <w:uiPriority w:val="50"/>
    <w:rsid w:val="00DF06D4"/>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DCD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A543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A543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A543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A5433" w:themeFill="accent4"/>
      </w:tcPr>
    </w:tblStylePr>
    <w:tblStylePr w:type="band1Vert">
      <w:tblPr/>
      <w:tcPr>
        <w:shd w:val="clear" w:color="auto" w:fill="F6BAAD" w:themeFill="accent4" w:themeFillTint="66"/>
      </w:tcPr>
    </w:tblStylePr>
    <w:tblStylePr w:type="band1Horz">
      <w:tblPr/>
      <w:tcPr>
        <w:shd w:val="clear" w:color="auto" w:fill="F6BAAD" w:themeFill="accent4" w:themeFillTint="66"/>
      </w:tcPr>
    </w:tblStylePr>
  </w:style>
  <w:style w:type="table" w:styleId="ListTable4-Accent2">
    <w:name w:val="List Table 4 Accent 2"/>
    <w:basedOn w:val="TableNormal"/>
    <w:uiPriority w:val="49"/>
    <w:rsid w:val="0096649E"/>
    <w:pPr>
      <w:spacing w:line="240" w:lineRule="auto"/>
    </w:pPr>
    <w:tblPr>
      <w:tblStyleRowBandSize w:val="1"/>
      <w:tblStyleColBandSize w:val="1"/>
      <w:tblBorders>
        <w:top w:val="single" w:sz="4" w:space="0" w:color="5555C0" w:themeColor="accent2" w:themeTint="99"/>
        <w:left w:val="single" w:sz="4" w:space="0" w:color="5555C0" w:themeColor="accent2" w:themeTint="99"/>
        <w:bottom w:val="single" w:sz="4" w:space="0" w:color="5555C0" w:themeColor="accent2" w:themeTint="99"/>
        <w:right w:val="single" w:sz="4" w:space="0" w:color="5555C0" w:themeColor="accent2" w:themeTint="99"/>
        <w:insideH w:val="single" w:sz="4" w:space="0" w:color="5555C0" w:themeColor="accent2" w:themeTint="99"/>
      </w:tblBorders>
    </w:tblPr>
    <w:tblStylePr w:type="firstRow">
      <w:rPr>
        <w:b/>
        <w:bCs/>
        <w:color w:val="FFFFFF" w:themeColor="background1"/>
      </w:rPr>
      <w:tblPr/>
      <w:tcPr>
        <w:tcBorders>
          <w:top w:val="single" w:sz="4" w:space="0" w:color="21215A" w:themeColor="accent2"/>
          <w:left w:val="single" w:sz="4" w:space="0" w:color="21215A" w:themeColor="accent2"/>
          <w:bottom w:val="single" w:sz="4" w:space="0" w:color="21215A" w:themeColor="accent2"/>
          <w:right w:val="single" w:sz="4" w:space="0" w:color="21215A" w:themeColor="accent2"/>
          <w:insideH w:val="nil"/>
        </w:tcBorders>
        <w:shd w:val="clear" w:color="auto" w:fill="21215A" w:themeFill="accent2"/>
      </w:tcPr>
    </w:tblStylePr>
    <w:tblStylePr w:type="lastRow">
      <w:rPr>
        <w:b/>
        <w:bCs/>
      </w:rPr>
      <w:tblPr/>
      <w:tcPr>
        <w:tcBorders>
          <w:top w:val="double" w:sz="4" w:space="0" w:color="5555C0" w:themeColor="accent2" w:themeTint="99"/>
        </w:tcBorders>
      </w:tcPr>
    </w:tblStylePr>
    <w:tblStylePr w:type="firstCol">
      <w:rPr>
        <w:b/>
        <w:bCs/>
      </w:rPr>
    </w:tblStylePr>
    <w:tblStylePr w:type="lastCol">
      <w:rPr>
        <w:b/>
        <w:bCs/>
      </w:rPr>
    </w:tblStylePr>
    <w:tblStylePr w:type="band1Vert">
      <w:tblPr/>
      <w:tcPr>
        <w:shd w:val="clear" w:color="auto" w:fill="C6C6EA" w:themeFill="accent2" w:themeFillTint="33"/>
      </w:tcPr>
    </w:tblStylePr>
    <w:tblStylePr w:type="band1Horz">
      <w:tblPr/>
      <w:tcPr>
        <w:shd w:val="clear" w:color="auto" w:fill="C6C6EA" w:themeFill="accent2" w:themeFillTint="33"/>
      </w:tcPr>
    </w:tblStylePr>
  </w:style>
  <w:style w:type="table" w:styleId="GridTable4-Accent5">
    <w:name w:val="Grid Table 4 Accent 5"/>
    <w:basedOn w:val="TableNormal"/>
    <w:uiPriority w:val="49"/>
    <w:rsid w:val="0096649E"/>
    <w:pPr>
      <w:spacing w:line="240" w:lineRule="auto"/>
    </w:pPr>
    <w:tblPr>
      <w:tblStyleRowBandSize w:val="1"/>
      <w:tblStyleColBandSize w:val="1"/>
      <w:tblBorders>
        <w:top w:val="single" w:sz="4" w:space="0" w:color="D75C74" w:themeColor="accent5" w:themeTint="99"/>
        <w:left w:val="single" w:sz="4" w:space="0" w:color="D75C74" w:themeColor="accent5" w:themeTint="99"/>
        <w:bottom w:val="single" w:sz="4" w:space="0" w:color="D75C74" w:themeColor="accent5" w:themeTint="99"/>
        <w:right w:val="single" w:sz="4" w:space="0" w:color="D75C74" w:themeColor="accent5" w:themeTint="99"/>
        <w:insideH w:val="single" w:sz="4" w:space="0" w:color="D75C74" w:themeColor="accent5" w:themeTint="99"/>
        <w:insideV w:val="single" w:sz="4" w:space="0" w:color="D75C74" w:themeColor="accent5" w:themeTint="99"/>
      </w:tblBorders>
    </w:tblPr>
    <w:tblStylePr w:type="firstRow">
      <w:rPr>
        <w:b/>
        <w:bCs/>
        <w:color w:val="FFFFFF" w:themeColor="background1"/>
      </w:rPr>
      <w:tblPr/>
      <w:tcPr>
        <w:tcBorders>
          <w:top w:val="single" w:sz="4" w:space="0" w:color="8C2237" w:themeColor="accent5"/>
          <w:left w:val="single" w:sz="4" w:space="0" w:color="8C2237" w:themeColor="accent5"/>
          <w:bottom w:val="single" w:sz="4" w:space="0" w:color="8C2237" w:themeColor="accent5"/>
          <w:right w:val="single" w:sz="4" w:space="0" w:color="8C2237" w:themeColor="accent5"/>
          <w:insideH w:val="nil"/>
          <w:insideV w:val="nil"/>
        </w:tcBorders>
        <w:shd w:val="clear" w:color="auto" w:fill="8C2237" w:themeFill="accent5"/>
      </w:tcPr>
    </w:tblStylePr>
    <w:tblStylePr w:type="lastRow">
      <w:rPr>
        <w:b/>
        <w:bCs/>
      </w:rPr>
      <w:tblPr/>
      <w:tcPr>
        <w:tcBorders>
          <w:top w:val="double" w:sz="4" w:space="0" w:color="8C2237" w:themeColor="accent5"/>
        </w:tcBorders>
      </w:tcPr>
    </w:tblStylePr>
    <w:tblStylePr w:type="firstCol">
      <w:rPr>
        <w:b/>
        <w:bCs/>
      </w:rPr>
    </w:tblStylePr>
    <w:tblStylePr w:type="lastCol">
      <w:rPr>
        <w:b/>
        <w:bCs/>
      </w:rPr>
    </w:tblStylePr>
    <w:tblStylePr w:type="band1Vert">
      <w:tblPr/>
      <w:tcPr>
        <w:shd w:val="clear" w:color="auto" w:fill="F2C8D0" w:themeFill="accent5" w:themeFillTint="33"/>
      </w:tcPr>
    </w:tblStylePr>
    <w:tblStylePr w:type="band1Horz">
      <w:tblPr/>
      <w:tcPr>
        <w:shd w:val="clear" w:color="auto" w:fill="F2C8D0" w:themeFill="accent5" w:themeFillTint="33"/>
      </w:tcPr>
    </w:tblStylePr>
  </w:style>
  <w:style w:type="paragraph" w:customStyle="1" w:styleId="msonormal0">
    <w:name w:val="msonormal"/>
    <w:basedOn w:val="Normal"/>
    <w:rsid w:val="0060465D"/>
    <w:pPr>
      <w:spacing w:before="100" w:beforeAutospacing="1" w:after="100" w:afterAutospacing="1"/>
      <w:jc w:val="left"/>
    </w:pPr>
    <w:rPr>
      <w:rFonts w:ascii="Times New Roman" w:hAnsi="Times New Roman"/>
      <w:sz w:val="24"/>
    </w:rPr>
  </w:style>
  <w:style w:type="paragraph" w:customStyle="1" w:styleId="font0">
    <w:name w:val="font0"/>
    <w:basedOn w:val="Normal"/>
    <w:rsid w:val="0060465D"/>
    <w:pPr>
      <w:spacing w:before="100" w:beforeAutospacing="1" w:after="100" w:afterAutospacing="1"/>
      <w:jc w:val="left"/>
    </w:pPr>
    <w:rPr>
      <w:rFonts w:ascii="Calibri" w:hAnsi="Calibri" w:cs="Calibri"/>
      <w:color w:val="000000"/>
      <w:szCs w:val="22"/>
    </w:rPr>
  </w:style>
  <w:style w:type="paragraph" w:customStyle="1" w:styleId="font5">
    <w:name w:val="font5"/>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6">
    <w:name w:val="font6"/>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7">
    <w:name w:val="font7"/>
    <w:basedOn w:val="Normal"/>
    <w:rsid w:val="0060465D"/>
    <w:pPr>
      <w:spacing w:before="100" w:beforeAutospacing="1" w:after="100" w:afterAutospacing="1"/>
      <w:jc w:val="left"/>
    </w:pPr>
    <w:rPr>
      <w:rFonts w:ascii="Times New Roman" w:hAnsi="Times New Roman"/>
      <w:sz w:val="18"/>
      <w:szCs w:val="18"/>
    </w:rPr>
  </w:style>
  <w:style w:type="paragraph" w:customStyle="1" w:styleId="font8">
    <w:name w:val="font8"/>
    <w:basedOn w:val="Normal"/>
    <w:rsid w:val="0060465D"/>
    <w:pPr>
      <w:spacing w:before="100" w:beforeAutospacing="1" w:after="100" w:afterAutospacing="1"/>
      <w:jc w:val="left"/>
    </w:pPr>
    <w:rPr>
      <w:rFonts w:ascii="Times New Roman" w:hAnsi="Times New Roman"/>
      <w:i/>
      <w:iCs/>
      <w:sz w:val="18"/>
      <w:szCs w:val="18"/>
    </w:rPr>
  </w:style>
  <w:style w:type="paragraph" w:customStyle="1" w:styleId="font9">
    <w:name w:val="font9"/>
    <w:basedOn w:val="Normal"/>
    <w:rsid w:val="0060465D"/>
    <w:pPr>
      <w:spacing w:before="100" w:beforeAutospacing="1" w:after="100" w:afterAutospacing="1"/>
      <w:jc w:val="left"/>
    </w:pPr>
    <w:rPr>
      <w:rFonts w:ascii="Times New Roman" w:hAnsi="Times New Roman"/>
      <w:sz w:val="18"/>
      <w:szCs w:val="18"/>
    </w:rPr>
  </w:style>
  <w:style w:type="paragraph" w:customStyle="1" w:styleId="font10">
    <w:name w:val="font10"/>
    <w:basedOn w:val="Normal"/>
    <w:rsid w:val="0060465D"/>
    <w:pPr>
      <w:spacing w:before="100" w:beforeAutospacing="1" w:after="100" w:afterAutospacing="1"/>
      <w:jc w:val="left"/>
    </w:pPr>
    <w:rPr>
      <w:rFonts w:ascii="Times New Roman" w:hAnsi="Times New Roman"/>
      <w:b/>
      <w:bCs/>
      <w:sz w:val="18"/>
      <w:szCs w:val="18"/>
    </w:rPr>
  </w:style>
  <w:style w:type="paragraph" w:customStyle="1" w:styleId="font11">
    <w:name w:val="font11"/>
    <w:basedOn w:val="Normal"/>
    <w:rsid w:val="0060465D"/>
    <w:pPr>
      <w:spacing w:before="100" w:beforeAutospacing="1" w:after="100" w:afterAutospacing="1"/>
      <w:jc w:val="left"/>
    </w:pPr>
    <w:rPr>
      <w:rFonts w:ascii="Times New Roman" w:hAnsi="Times New Roman"/>
      <w:b/>
      <w:bCs/>
      <w:i/>
      <w:iCs/>
      <w:sz w:val="18"/>
      <w:szCs w:val="18"/>
    </w:rPr>
  </w:style>
  <w:style w:type="paragraph" w:customStyle="1" w:styleId="font12">
    <w:name w:val="font12"/>
    <w:basedOn w:val="Normal"/>
    <w:rsid w:val="0060465D"/>
    <w:pPr>
      <w:spacing w:before="100" w:beforeAutospacing="1" w:after="100" w:afterAutospacing="1"/>
      <w:jc w:val="left"/>
    </w:pPr>
    <w:rPr>
      <w:rFonts w:ascii="Times New Roman" w:hAnsi="Times New Roman"/>
      <w:color w:val="000000"/>
      <w:sz w:val="18"/>
      <w:szCs w:val="18"/>
    </w:rPr>
  </w:style>
  <w:style w:type="paragraph" w:customStyle="1" w:styleId="xl967">
    <w:name w:val="xl967"/>
    <w:basedOn w:val="Normal"/>
    <w:rsid w:val="0060465D"/>
    <w:pPr>
      <w:spacing w:before="100" w:beforeAutospacing="1" w:after="100" w:afterAutospacing="1"/>
      <w:jc w:val="left"/>
    </w:pPr>
    <w:rPr>
      <w:rFonts w:ascii="Times New Roman" w:hAnsi="Times New Roman"/>
      <w:sz w:val="18"/>
      <w:szCs w:val="18"/>
    </w:rPr>
  </w:style>
  <w:style w:type="paragraph" w:customStyle="1" w:styleId="xl968">
    <w:name w:val="xl968"/>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69">
    <w:name w:val="xl969"/>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0">
    <w:name w:val="xl970"/>
    <w:basedOn w:val="Normal"/>
    <w:rsid w:val="0060465D"/>
    <w:pPr>
      <w:pBdr>
        <w:top w:val="single" w:sz="4" w:space="0" w:color="auto"/>
        <w:left w:val="single" w:sz="4" w:space="31" w:color="auto"/>
        <w:bottom w:val="single" w:sz="4" w:space="0" w:color="auto"/>
        <w:right w:val="single" w:sz="4" w:space="0" w:color="auto"/>
      </w:pBdr>
      <w:shd w:val="clear" w:color="000000" w:fill="CCFFFF"/>
      <w:spacing w:before="100" w:beforeAutospacing="1" w:after="100" w:afterAutospacing="1"/>
      <w:ind w:firstLineChars="500" w:firstLine="500"/>
      <w:jc w:val="left"/>
      <w:textAlignment w:val="center"/>
    </w:pPr>
    <w:rPr>
      <w:rFonts w:ascii="Times New Roman" w:hAnsi="Times New Roman"/>
      <w:sz w:val="18"/>
      <w:szCs w:val="18"/>
    </w:rPr>
  </w:style>
  <w:style w:type="paragraph" w:customStyle="1" w:styleId="xl971">
    <w:name w:val="xl971"/>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72">
    <w:name w:val="xl972"/>
    <w:basedOn w:val="Normal"/>
    <w:rsid w:val="0060465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ind w:firstLineChars="200" w:firstLine="200"/>
      <w:jc w:val="left"/>
      <w:textAlignment w:val="center"/>
    </w:pPr>
    <w:rPr>
      <w:rFonts w:ascii="Times New Roman" w:hAnsi="Times New Roman"/>
      <w:sz w:val="18"/>
      <w:szCs w:val="18"/>
    </w:rPr>
  </w:style>
  <w:style w:type="paragraph" w:customStyle="1" w:styleId="xl973">
    <w:name w:val="xl973"/>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4">
    <w:name w:val="xl974"/>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pPr>
    <w:rPr>
      <w:rFonts w:ascii="Times New Roman" w:hAnsi="Times New Roman"/>
      <w:b/>
      <w:bCs/>
      <w:sz w:val="18"/>
      <w:szCs w:val="18"/>
    </w:rPr>
  </w:style>
  <w:style w:type="paragraph" w:customStyle="1" w:styleId="xl975">
    <w:name w:val="xl975"/>
    <w:basedOn w:val="Normal"/>
    <w:rsid w:val="0060465D"/>
    <w:pPr>
      <w:pBdr>
        <w:top w:val="single" w:sz="4" w:space="0" w:color="auto"/>
        <w:left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6">
    <w:name w:val="xl976"/>
    <w:basedOn w:val="Normal"/>
    <w:rsid w:val="0060465D"/>
    <w:pPr>
      <w:pBdr>
        <w:left w:val="single" w:sz="4" w:space="0" w:color="auto"/>
        <w:bottom w:val="double" w:sz="6"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77">
    <w:name w:val="xl977"/>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sz w:val="18"/>
      <w:szCs w:val="18"/>
    </w:rPr>
  </w:style>
  <w:style w:type="paragraph" w:customStyle="1" w:styleId="xl978">
    <w:name w:val="xl978"/>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79">
    <w:name w:val="xl979"/>
    <w:basedOn w:val="Normal"/>
    <w:rsid w:val="0060465D"/>
    <w:pPr>
      <w:pBdr>
        <w:left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80">
    <w:name w:val="xl980"/>
    <w:basedOn w:val="Normal"/>
    <w:rsid w:val="006046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hAnsi="Times New Roman"/>
      <w:sz w:val="18"/>
      <w:szCs w:val="18"/>
    </w:rPr>
  </w:style>
  <w:style w:type="paragraph" w:customStyle="1" w:styleId="xl981">
    <w:name w:val="xl981"/>
    <w:basedOn w:val="Normal"/>
    <w:rsid w:val="0060465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Times New Roman" w:hAnsi="Times New Roman"/>
      <w:sz w:val="18"/>
      <w:szCs w:val="18"/>
    </w:rPr>
  </w:style>
  <w:style w:type="paragraph" w:customStyle="1" w:styleId="xl982">
    <w:name w:val="xl982"/>
    <w:basedOn w:val="Normal"/>
    <w:rsid w:val="0060465D"/>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jc w:val="right"/>
    </w:pPr>
    <w:rPr>
      <w:rFonts w:ascii="Times New Roman" w:hAnsi="Times New Roman"/>
      <w:sz w:val="18"/>
      <w:szCs w:val="18"/>
    </w:rPr>
  </w:style>
  <w:style w:type="paragraph" w:customStyle="1" w:styleId="xl983">
    <w:name w:val="xl983"/>
    <w:basedOn w:val="Normal"/>
    <w:rsid w:val="0060465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Times New Roman" w:hAnsi="Times New Roman"/>
      <w:sz w:val="18"/>
      <w:szCs w:val="18"/>
    </w:rPr>
  </w:style>
  <w:style w:type="paragraph" w:customStyle="1" w:styleId="xl984">
    <w:name w:val="xl984"/>
    <w:basedOn w:val="Normal"/>
    <w:rsid w:val="0060465D"/>
    <w:pPr>
      <w:pBdr>
        <w:top w:val="single" w:sz="4" w:space="0" w:color="auto"/>
        <w:left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5">
    <w:name w:val="xl985"/>
    <w:basedOn w:val="Normal"/>
    <w:rsid w:val="0060465D"/>
    <w:pPr>
      <w:pBdr>
        <w:top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6">
    <w:name w:val="xl986"/>
    <w:basedOn w:val="Normal"/>
    <w:rsid w:val="0060465D"/>
    <w:pPr>
      <w:pBdr>
        <w:top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character" w:customStyle="1" w:styleId="Caractresdenotedebasdepage">
    <w:name w:val="Caractères de note de bas de page"/>
    <w:rsid w:val="007E76D2"/>
    <w:rPr>
      <w:vertAlign w:val="superscript"/>
    </w:rPr>
  </w:style>
  <w:style w:type="paragraph" w:customStyle="1" w:styleId="Contenuducadre">
    <w:name w:val="Contenu du cadre"/>
    <w:basedOn w:val="BodyText"/>
    <w:rsid w:val="007E76D2"/>
    <w:pPr>
      <w:widowControl w:val="0"/>
      <w:suppressAutoHyphens/>
      <w:spacing w:before="120" w:after="0" w:line="240" w:lineRule="auto"/>
    </w:pPr>
    <w:rPr>
      <w:rFonts w:ascii="Arial" w:eastAsia="Times New Roman" w:hAnsi="Arial" w:cs="Arial"/>
      <w:sz w:val="22"/>
      <w:lang w:eastAsia="zh-CN"/>
    </w:rPr>
  </w:style>
  <w:style w:type="table" w:customStyle="1" w:styleId="TableGrid1">
    <w:name w:val="TableGrid1"/>
    <w:rsid w:val="00512611"/>
    <w:pPr>
      <w:spacing w:line="240" w:lineRule="auto"/>
    </w:pPr>
    <w:rPr>
      <w:rFonts w:eastAsiaTheme="minorEastAsia"/>
      <w:sz w:val="22"/>
      <w:szCs w:val="22"/>
      <w:lang w:eastAsia="fr-FR"/>
    </w:rPr>
    <w:tblPr>
      <w:tblCellMar>
        <w:top w:w="0" w:type="dxa"/>
        <w:left w:w="0" w:type="dxa"/>
        <w:bottom w:w="0" w:type="dxa"/>
        <w:right w:w="0" w:type="dxa"/>
      </w:tblCellMar>
    </w:tblPr>
  </w:style>
  <w:style w:type="paragraph" w:customStyle="1" w:styleId="xl987">
    <w:name w:val="xl987"/>
    <w:basedOn w:val="Normal"/>
    <w:rsid w:val="00B56301"/>
    <w:pPr>
      <w:pBdr>
        <w:top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88">
    <w:name w:val="xl988"/>
    <w:basedOn w:val="Normal"/>
    <w:rsid w:val="00B56301"/>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89">
    <w:name w:val="xl989"/>
    <w:basedOn w:val="Normal"/>
    <w:rsid w:val="00B56301"/>
    <w:pPr>
      <w:pBdr>
        <w:top w:val="single" w:sz="4" w:space="0" w:color="auto"/>
        <w:left w:val="single" w:sz="4" w:space="0" w:color="auto"/>
        <w:bottom w:val="double" w:sz="6" w:space="0" w:color="auto"/>
        <w:right w:val="single" w:sz="4" w:space="0" w:color="auto"/>
      </w:pBdr>
      <w:shd w:val="clear" w:color="000000" w:fill="CCFFFF"/>
      <w:spacing w:before="100" w:beforeAutospacing="1" w:after="100" w:afterAutospacing="1"/>
      <w:jc w:val="left"/>
      <w:textAlignment w:val="center"/>
    </w:pPr>
    <w:rPr>
      <w:rFonts w:ascii="Times New Roman" w:hAnsi="Times New Roman"/>
      <w:b/>
      <w:bCs/>
      <w:sz w:val="18"/>
      <w:szCs w:val="18"/>
    </w:rPr>
  </w:style>
  <w:style w:type="paragraph" w:customStyle="1" w:styleId="xl990">
    <w:name w:val="xl990"/>
    <w:basedOn w:val="Normal"/>
    <w:rsid w:val="00B56301"/>
    <w:pPr>
      <w:pBdr>
        <w:top w:val="single" w:sz="4" w:space="0" w:color="auto"/>
        <w:bottom w:val="double" w:sz="6"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991">
    <w:name w:val="xl991"/>
    <w:basedOn w:val="Normal"/>
    <w:rsid w:val="00B56301"/>
    <w:pPr>
      <w:pBdr>
        <w:top w:val="single" w:sz="4" w:space="0" w:color="auto"/>
        <w:left w:val="single" w:sz="4" w:space="0" w:color="auto"/>
        <w:bottom w:val="double" w:sz="6" w:space="0" w:color="auto"/>
        <w:right w:val="single" w:sz="4" w:space="0" w:color="auto"/>
      </w:pBdr>
      <w:shd w:val="clear" w:color="000000" w:fill="CCFFFF"/>
      <w:spacing w:before="100" w:beforeAutospacing="1" w:after="100" w:afterAutospacing="1"/>
      <w:jc w:val="center"/>
      <w:textAlignment w:val="center"/>
    </w:pPr>
    <w:rPr>
      <w:rFonts w:ascii="Times New Roman" w:hAnsi="Times New Roman"/>
      <w:b/>
      <w:bCs/>
      <w:sz w:val="18"/>
      <w:szCs w:val="18"/>
    </w:rPr>
  </w:style>
  <w:style w:type="paragraph" w:customStyle="1" w:styleId="xl48159">
    <w:name w:val="xl48159"/>
    <w:basedOn w:val="Normal"/>
    <w:rsid w:val="00B56301"/>
    <w:pPr>
      <w:spacing w:before="100" w:beforeAutospacing="1" w:after="100" w:afterAutospacing="1"/>
      <w:jc w:val="left"/>
    </w:pPr>
    <w:rPr>
      <w:rFonts w:ascii="Trebuchet MS" w:hAnsi="Trebuchet MS"/>
      <w:sz w:val="24"/>
    </w:rPr>
  </w:style>
  <w:style w:type="paragraph" w:customStyle="1" w:styleId="xl48160">
    <w:name w:val="xl48160"/>
    <w:basedOn w:val="Normal"/>
    <w:rsid w:val="00B56301"/>
    <w:pPr>
      <w:spacing w:before="100" w:beforeAutospacing="1" w:after="100" w:afterAutospacing="1"/>
      <w:jc w:val="left"/>
      <w:textAlignment w:val="center"/>
    </w:pPr>
    <w:rPr>
      <w:rFonts w:ascii="Trebuchet MS" w:hAnsi="Trebuchet MS"/>
      <w:sz w:val="24"/>
    </w:rPr>
  </w:style>
  <w:style w:type="paragraph" w:customStyle="1" w:styleId="xl48161">
    <w:name w:val="xl48161"/>
    <w:basedOn w:val="Normal"/>
    <w:rsid w:val="00B56301"/>
    <w:pPr>
      <w:shd w:val="clear" w:color="000000" w:fill="FFFFFF"/>
      <w:spacing w:before="100" w:beforeAutospacing="1" w:after="100" w:afterAutospacing="1"/>
      <w:jc w:val="left"/>
    </w:pPr>
    <w:rPr>
      <w:rFonts w:ascii="Trebuchet MS" w:hAnsi="Trebuchet MS"/>
      <w:color w:val="000000"/>
      <w:szCs w:val="22"/>
    </w:rPr>
  </w:style>
  <w:style w:type="paragraph" w:customStyle="1" w:styleId="xl48162">
    <w:name w:val="xl48162"/>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rebuchet MS" w:hAnsi="Trebuchet MS"/>
      <w:b/>
      <w:bCs/>
      <w:sz w:val="18"/>
      <w:szCs w:val="18"/>
    </w:rPr>
  </w:style>
  <w:style w:type="paragraph" w:customStyle="1" w:styleId="xl48163">
    <w:name w:val="xl48163"/>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rebuchet MS" w:hAnsi="Trebuchet MS"/>
      <w:b/>
      <w:bCs/>
      <w:sz w:val="18"/>
      <w:szCs w:val="18"/>
    </w:rPr>
  </w:style>
  <w:style w:type="paragraph" w:customStyle="1" w:styleId="xl48164">
    <w:name w:val="xl48164"/>
    <w:basedOn w:val="Normal"/>
    <w:rsid w:val="00B56301"/>
    <w:pPr>
      <w:spacing w:before="100" w:beforeAutospacing="1" w:after="100" w:afterAutospacing="1"/>
      <w:jc w:val="center"/>
      <w:textAlignment w:val="center"/>
    </w:pPr>
    <w:rPr>
      <w:rFonts w:ascii="Trebuchet MS" w:hAnsi="Trebuchet MS"/>
      <w:b/>
      <w:bCs/>
      <w:i/>
      <w:iCs/>
      <w:sz w:val="18"/>
      <w:szCs w:val="18"/>
    </w:rPr>
  </w:style>
  <w:style w:type="paragraph" w:customStyle="1" w:styleId="xl48165">
    <w:name w:val="xl48165"/>
    <w:basedOn w:val="Normal"/>
    <w:rsid w:val="00B56301"/>
    <w:pPr>
      <w:pBdr>
        <w:top w:val="single" w:sz="4" w:space="0" w:color="auto"/>
        <w:left w:val="single" w:sz="4" w:space="0" w:color="auto"/>
        <w:bottom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66">
    <w:name w:val="xl48166"/>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67">
    <w:name w:val="xl48167"/>
    <w:basedOn w:val="Normal"/>
    <w:rsid w:val="00B56301"/>
    <w:pPr>
      <w:shd w:val="clear" w:color="000000" w:fill="0070C0"/>
      <w:spacing w:before="100" w:beforeAutospacing="1" w:after="100" w:afterAutospacing="1"/>
      <w:jc w:val="left"/>
    </w:pPr>
    <w:rPr>
      <w:rFonts w:ascii="Trebuchet MS" w:hAnsi="Trebuchet MS"/>
      <w:b/>
      <w:bCs/>
      <w:color w:val="FFFFFF"/>
      <w:szCs w:val="22"/>
    </w:rPr>
  </w:style>
  <w:style w:type="paragraph" w:customStyle="1" w:styleId="xl48168">
    <w:name w:val="xl48168"/>
    <w:basedOn w:val="Normal"/>
    <w:rsid w:val="00B563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rebuchet MS" w:hAnsi="Trebuchet MS"/>
      <w:sz w:val="16"/>
      <w:szCs w:val="16"/>
    </w:rPr>
  </w:style>
  <w:style w:type="paragraph" w:customStyle="1" w:styleId="xl48169">
    <w:name w:val="xl48169"/>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paragraph" w:customStyle="1" w:styleId="xl48170">
    <w:name w:val="xl48170"/>
    <w:basedOn w:val="Normal"/>
    <w:rsid w:val="00B56301"/>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left"/>
    </w:pPr>
    <w:rPr>
      <w:rFonts w:ascii="Trebuchet MS" w:hAnsi="Trebuchet MS"/>
      <w:b/>
      <w:bCs/>
      <w:color w:val="FFFFFF"/>
      <w:sz w:val="16"/>
      <w:szCs w:val="16"/>
    </w:rPr>
  </w:style>
  <w:style w:type="paragraph" w:customStyle="1" w:styleId="xl48171">
    <w:name w:val="xl48171"/>
    <w:basedOn w:val="Normal"/>
    <w:rsid w:val="00B56301"/>
    <w:pPr>
      <w:shd w:val="clear" w:color="000000" w:fill="B3A2C7"/>
      <w:spacing w:before="100" w:beforeAutospacing="1" w:after="100" w:afterAutospacing="1"/>
      <w:jc w:val="left"/>
    </w:pPr>
    <w:rPr>
      <w:rFonts w:ascii="Trebuchet MS" w:hAnsi="Trebuchet MS"/>
      <w:b/>
      <w:bCs/>
      <w:szCs w:val="22"/>
    </w:rPr>
  </w:style>
  <w:style w:type="paragraph" w:customStyle="1" w:styleId="xl48172">
    <w:name w:val="xl48172"/>
    <w:basedOn w:val="Normal"/>
    <w:rsid w:val="00B56301"/>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Trebuchet MS" w:hAnsi="Trebuchet MS"/>
      <w:sz w:val="16"/>
      <w:szCs w:val="16"/>
    </w:rPr>
  </w:style>
  <w:style w:type="paragraph" w:customStyle="1" w:styleId="xl48173">
    <w:name w:val="xl48173"/>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74">
    <w:name w:val="xl48174"/>
    <w:basedOn w:val="Normal"/>
    <w:rsid w:val="00B56301"/>
    <w:pPr>
      <w:shd w:val="clear" w:color="000000" w:fill="E0E5B3"/>
      <w:spacing w:before="100" w:beforeAutospacing="1" w:after="100" w:afterAutospacing="1"/>
      <w:jc w:val="left"/>
    </w:pPr>
    <w:rPr>
      <w:rFonts w:ascii="Trebuchet MS" w:hAnsi="Trebuchet MS"/>
      <w:b/>
      <w:bCs/>
      <w:szCs w:val="22"/>
    </w:rPr>
  </w:style>
  <w:style w:type="paragraph" w:customStyle="1" w:styleId="xl48175">
    <w:name w:val="xl48175"/>
    <w:basedOn w:val="Normal"/>
    <w:rsid w:val="00B56301"/>
    <w:pPr>
      <w:shd w:val="clear" w:color="000000" w:fill="92D050"/>
      <w:spacing w:before="100" w:beforeAutospacing="1" w:after="100" w:afterAutospacing="1"/>
      <w:jc w:val="left"/>
    </w:pPr>
    <w:rPr>
      <w:rFonts w:ascii="Trebuchet MS" w:hAnsi="Trebuchet MS"/>
      <w:b/>
      <w:bCs/>
      <w:szCs w:val="22"/>
    </w:rPr>
  </w:style>
  <w:style w:type="paragraph" w:customStyle="1" w:styleId="xl48176">
    <w:name w:val="xl48176"/>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8"/>
      <w:szCs w:val="18"/>
    </w:rPr>
  </w:style>
  <w:style w:type="paragraph" w:customStyle="1" w:styleId="xl48177">
    <w:name w:val="xl48177"/>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8"/>
      <w:szCs w:val="18"/>
    </w:rPr>
  </w:style>
  <w:style w:type="paragraph" w:customStyle="1" w:styleId="xl48178">
    <w:name w:val="xl48178"/>
    <w:basedOn w:val="Normal"/>
    <w:rsid w:val="00B56301"/>
    <w:pPr>
      <w:shd w:val="clear" w:color="000000" w:fill="7030A0"/>
      <w:spacing w:before="100" w:beforeAutospacing="1" w:after="100" w:afterAutospacing="1"/>
      <w:jc w:val="left"/>
    </w:pPr>
    <w:rPr>
      <w:rFonts w:ascii="Trebuchet MS" w:hAnsi="Trebuchet MS"/>
      <w:b/>
      <w:bCs/>
      <w:color w:val="FFFFFF"/>
      <w:szCs w:val="22"/>
    </w:rPr>
  </w:style>
  <w:style w:type="paragraph" w:customStyle="1" w:styleId="xl48179">
    <w:name w:val="xl48179"/>
    <w:basedOn w:val="Normal"/>
    <w:rsid w:val="00B56301"/>
    <w:pPr>
      <w:pBdr>
        <w:top w:val="single" w:sz="4" w:space="0" w:color="auto"/>
        <w:left w:val="single" w:sz="4" w:space="0" w:color="auto"/>
        <w:bottom w:val="single" w:sz="4" w:space="0" w:color="auto"/>
      </w:pBdr>
      <w:spacing w:before="100" w:beforeAutospacing="1" w:after="100" w:afterAutospacing="1"/>
      <w:jc w:val="left"/>
    </w:pPr>
    <w:rPr>
      <w:rFonts w:ascii="Trebuchet MS" w:hAnsi="Trebuchet MS"/>
      <w:sz w:val="16"/>
      <w:szCs w:val="16"/>
    </w:rPr>
  </w:style>
  <w:style w:type="paragraph" w:customStyle="1" w:styleId="xl48180">
    <w:name w:val="xl48180"/>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81">
    <w:name w:val="xl48181"/>
    <w:basedOn w:val="Normal"/>
    <w:rsid w:val="00B56301"/>
    <w:pPr>
      <w:shd w:val="clear" w:color="000000" w:fill="00B050"/>
      <w:spacing w:before="100" w:beforeAutospacing="1" w:after="100" w:afterAutospacing="1"/>
      <w:jc w:val="left"/>
    </w:pPr>
    <w:rPr>
      <w:rFonts w:ascii="Trebuchet MS" w:hAnsi="Trebuchet MS"/>
      <w:b/>
      <w:bCs/>
      <w:color w:val="FFFFFF"/>
      <w:szCs w:val="22"/>
    </w:rPr>
  </w:style>
  <w:style w:type="paragraph" w:customStyle="1" w:styleId="xl48182">
    <w:name w:val="xl48182"/>
    <w:basedOn w:val="Normal"/>
    <w:rsid w:val="00B5630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rebuchet MS" w:hAnsi="Trebuchet MS"/>
      <w:b/>
      <w:bCs/>
      <w:szCs w:val="22"/>
    </w:rPr>
  </w:style>
  <w:style w:type="paragraph" w:customStyle="1" w:styleId="xl48183">
    <w:name w:val="xl48183"/>
    <w:basedOn w:val="Normal"/>
    <w:rsid w:val="00B56301"/>
    <w:pPr>
      <w:pBdr>
        <w:top w:val="single" w:sz="4" w:space="0" w:color="auto"/>
        <w:bottom w:val="single" w:sz="4" w:space="0" w:color="auto"/>
        <w:right w:val="single" w:sz="4" w:space="0" w:color="auto"/>
      </w:pBdr>
      <w:shd w:val="clear" w:color="000000" w:fill="DDEBF7"/>
      <w:spacing w:before="100" w:beforeAutospacing="1" w:after="100" w:afterAutospacing="1"/>
      <w:jc w:val="left"/>
    </w:pPr>
    <w:rPr>
      <w:rFonts w:ascii="Trebuchet MS" w:hAnsi="Trebuchet MS"/>
      <w:b/>
      <w:bCs/>
      <w:szCs w:val="22"/>
    </w:rPr>
  </w:style>
  <w:style w:type="paragraph" w:customStyle="1" w:styleId="xl48184">
    <w:name w:val="xl48184"/>
    <w:basedOn w:val="Normal"/>
    <w:rsid w:val="00B56301"/>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left"/>
    </w:pPr>
    <w:rPr>
      <w:rFonts w:ascii="Trebuchet MS" w:hAnsi="Trebuchet MS"/>
      <w:b/>
      <w:bCs/>
      <w:sz w:val="16"/>
      <w:szCs w:val="16"/>
    </w:rPr>
  </w:style>
  <w:style w:type="paragraph" w:customStyle="1" w:styleId="xl48185">
    <w:name w:val="xl48185"/>
    <w:basedOn w:val="Normal"/>
    <w:rsid w:val="00B56301"/>
    <w:pPr>
      <w:pBdr>
        <w:top w:val="single" w:sz="4" w:space="0" w:color="auto"/>
        <w:left w:val="single" w:sz="4" w:space="0" w:color="auto"/>
        <w:bottom w:val="single" w:sz="4" w:space="0" w:color="auto"/>
        <w:right w:val="single" w:sz="4" w:space="0" w:color="auto"/>
      </w:pBdr>
      <w:shd w:val="clear" w:color="000000" w:fill="B3A2C7"/>
      <w:spacing w:before="100" w:beforeAutospacing="1" w:after="100" w:afterAutospacing="1"/>
      <w:jc w:val="left"/>
    </w:pPr>
    <w:rPr>
      <w:rFonts w:ascii="Trebuchet MS" w:hAnsi="Trebuchet MS"/>
      <w:b/>
      <w:bCs/>
      <w:sz w:val="16"/>
      <w:szCs w:val="16"/>
    </w:rPr>
  </w:style>
  <w:style w:type="paragraph" w:customStyle="1" w:styleId="xl48186">
    <w:name w:val="xl48186"/>
    <w:basedOn w:val="Normal"/>
    <w:rsid w:val="00B56301"/>
    <w:pPr>
      <w:pBdr>
        <w:top w:val="single" w:sz="4" w:space="0" w:color="auto"/>
        <w:left w:val="single" w:sz="4" w:space="0" w:color="auto"/>
        <w:bottom w:val="single" w:sz="4" w:space="0" w:color="auto"/>
        <w:right w:val="single" w:sz="4" w:space="0" w:color="auto"/>
      </w:pBdr>
      <w:shd w:val="clear" w:color="000000" w:fill="E0E5B3"/>
      <w:spacing w:before="100" w:beforeAutospacing="1" w:after="100" w:afterAutospacing="1"/>
      <w:jc w:val="left"/>
    </w:pPr>
    <w:rPr>
      <w:rFonts w:ascii="Trebuchet MS" w:hAnsi="Trebuchet MS"/>
      <w:b/>
      <w:bCs/>
      <w:sz w:val="16"/>
      <w:szCs w:val="16"/>
    </w:rPr>
  </w:style>
  <w:style w:type="paragraph" w:customStyle="1" w:styleId="xl48187">
    <w:name w:val="xl48187"/>
    <w:basedOn w:val="Normal"/>
    <w:rsid w:val="00B56301"/>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left"/>
    </w:pPr>
    <w:rPr>
      <w:rFonts w:ascii="Trebuchet MS" w:hAnsi="Trebuchet MS"/>
      <w:b/>
      <w:bCs/>
      <w:sz w:val="16"/>
      <w:szCs w:val="16"/>
    </w:rPr>
  </w:style>
  <w:style w:type="paragraph" w:customStyle="1" w:styleId="xl48188">
    <w:name w:val="xl48188"/>
    <w:basedOn w:val="Normal"/>
    <w:rsid w:val="00B5630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left"/>
    </w:pPr>
    <w:rPr>
      <w:rFonts w:ascii="Trebuchet MS" w:hAnsi="Trebuchet MS"/>
      <w:b/>
      <w:bCs/>
      <w:color w:val="FFFFFF"/>
      <w:sz w:val="16"/>
      <w:szCs w:val="16"/>
    </w:rPr>
  </w:style>
  <w:style w:type="paragraph" w:customStyle="1" w:styleId="xl48189">
    <w:name w:val="xl48189"/>
    <w:basedOn w:val="Normal"/>
    <w:rsid w:val="00B5630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left"/>
    </w:pPr>
    <w:rPr>
      <w:rFonts w:ascii="Trebuchet MS" w:hAnsi="Trebuchet MS"/>
      <w:b/>
      <w:bCs/>
      <w:color w:val="FFFFFF"/>
      <w:sz w:val="16"/>
      <w:szCs w:val="16"/>
    </w:rPr>
  </w:style>
  <w:style w:type="paragraph" w:customStyle="1" w:styleId="xl48190">
    <w:name w:val="xl48190"/>
    <w:basedOn w:val="Normal"/>
    <w:rsid w:val="00B5630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rebuchet MS" w:hAnsi="Trebuchet MS"/>
      <w:b/>
      <w:bCs/>
      <w:sz w:val="16"/>
      <w:szCs w:val="16"/>
    </w:rPr>
  </w:style>
  <w:style w:type="paragraph" w:customStyle="1" w:styleId="xl48191">
    <w:name w:val="xl48191"/>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rebuchet MS" w:hAnsi="Trebuchet MS"/>
      <w:sz w:val="16"/>
      <w:szCs w:val="16"/>
    </w:rPr>
  </w:style>
  <w:style w:type="paragraph" w:customStyle="1" w:styleId="xl48192">
    <w:name w:val="xl48192"/>
    <w:basedOn w:val="Normal"/>
    <w:rsid w:val="00B56301"/>
    <w:pPr>
      <w:shd w:val="clear" w:color="000000" w:fill="FFFFFF"/>
      <w:spacing w:before="100" w:beforeAutospacing="1" w:after="100" w:afterAutospacing="1"/>
      <w:jc w:val="left"/>
    </w:pPr>
    <w:rPr>
      <w:rFonts w:ascii="Trebuchet MS" w:hAnsi="Trebuchet MS"/>
      <w:color w:val="000000"/>
      <w:szCs w:val="22"/>
    </w:rPr>
  </w:style>
  <w:style w:type="paragraph" w:customStyle="1" w:styleId="xl48193">
    <w:name w:val="xl48193"/>
    <w:basedOn w:val="Normal"/>
    <w:rsid w:val="00B56301"/>
    <w:pPr>
      <w:spacing w:before="100" w:beforeAutospacing="1" w:after="100" w:afterAutospacing="1"/>
      <w:jc w:val="left"/>
    </w:pPr>
    <w:rPr>
      <w:rFonts w:ascii="Trebuchet MS" w:hAnsi="Trebuchet MS"/>
      <w:sz w:val="24"/>
    </w:rPr>
  </w:style>
  <w:style w:type="paragraph" w:customStyle="1" w:styleId="xl48194">
    <w:name w:val="xl48194"/>
    <w:basedOn w:val="Normal"/>
    <w:rsid w:val="00B56301"/>
    <w:pPr>
      <w:shd w:val="clear" w:color="000000" w:fill="FF0000"/>
      <w:spacing w:before="100" w:beforeAutospacing="1" w:after="100" w:afterAutospacing="1"/>
      <w:jc w:val="left"/>
    </w:pPr>
    <w:rPr>
      <w:rFonts w:ascii="Trebuchet MS" w:hAnsi="Trebuchet MS"/>
      <w:color w:val="000000"/>
      <w:szCs w:val="22"/>
    </w:rPr>
  </w:style>
  <w:style w:type="paragraph" w:customStyle="1" w:styleId="xl48195">
    <w:name w:val="xl48195"/>
    <w:basedOn w:val="Normal"/>
    <w:rsid w:val="00B56301"/>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rebuchet MS" w:hAnsi="Trebuchet MS"/>
      <w:sz w:val="16"/>
      <w:szCs w:val="16"/>
    </w:rPr>
  </w:style>
  <w:style w:type="character" w:customStyle="1" w:styleId="markedcontent">
    <w:name w:val="markedcontent"/>
    <w:basedOn w:val="DefaultParagraphFont"/>
    <w:rsid w:val="00B56301"/>
  </w:style>
  <w:style w:type="character" w:customStyle="1" w:styleId="TextecourantCar">
    <w:name w:val="Texte courant Car"/>
    <w:basedOn w:val="CommentTextChar"/>
    <w:link w:val="Textecourant"/>
    <w:qFormat/>
    <w:rsid w:val="00ED2A5C"/>
    <w:rPr>
      <w:rFonts w:ascii="Marianne" w:eastAsia="Times New Roman" w:hAnsi="Marianne" w:cs="Times New Roman"/>
      <w:lang w:eastAsia="fr-FR"/>
    </w:rPr>
  </w:style>
  <w:style w:type="paragraph" w:customStyle="1" w:styleId="Textecourant">
    <w:name w:val="Texte courant"/>
    <w:basedOn w:val="CommentText"/>
    <w:link w:val="TextecourantCar"/>
    <w:qFormat/>
    <w:rsid w:val="00ED2A5C"/>
    <w:pPr>
      <w:spacing w:after="160"/>
    </w:pPr>
  </w:style>
  <w:style w:type="character" w:customStyle="1" w:styleId="field-content">
    <w:name w:val="field-content"/>
    <w:basedOn w:val="DefaultParagraphFont"/>
    <w:rsid w:val="00865D8C"/>
  </w:style>
  <w:style w:type="character" w:customStyle="1" w:styleId="Mentionnonrsolue1">
    <w:name w:val="Mention non résolue1"/>
    <w:basedOn w:val="DefaultParagraphFont"/>
    <w:uiPriority w:val="99"/>
    <w:semiHidden/>
    <w:unhideWhenUsed/>
    <w:rsid w:val="001D4A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19620">
      <w:bodyDiv w:val="1"/>
      <w:marLeft w:val="0"/>
      <w:marRight w:val="0"/>
      <w:marTop w:val="0"/>
      <w:marBottom w:val="0"/>
      <w:divBdr>
        <w:top w:val="none" w:sz="0" w:space="0" w:color="auto"/>
        <w:left w:val="none" w:sz="0" w:space="0" w:color="auto"/>
        <w:bottom w:val="none" w:sz="0" w:space="0" w:color="auto"/>
        <w:right w:val="none" w:sz="0" w:space="0" w:color="auto"/>
      </w:divBdr>
    </w:div>
    <w:div w:id="90509866">
      <w:bodyDiv w:val="1"/>
      <w:marLeft w:val="0"/>
      <w:marRight w:val="0"/>
      <w:marTop w:val="0"/>
      <w:marBottom w:val="0"/>
      <w:divBdr>
        <w:top w:val="none" w:sz="0" w:space="0" w:color="auto"/>
        <w:left w:val="none" w:sz="0" w:space="0" w:color="auto"/>
        <w:bottom w:val="none" w:sz="0" w:space="0" w:color="auto"/>
        <w:right w:val="none" w:sz="0" w:space="0" w:color="auto"/>
      </w:divBdr>
      <w:divsChild>
        <w:div w:id="942225335">
          <w:marLeft w:val="0"/>
          <w:marRight w:val="0"/>
          <w:marTop w:val="0"/>
          <w:marBottom w:val="0"/>
          <w:divBdr>
            <w:top w:val="none" w:sz="0" w:space="0" w:color="auto"/>
            <w:left w:val="none" w:sz="0" w:space="0" w:color="auto"/>
            <w:bottom w:val="none" w:sz="0" w:space="0" w:color="auto"/>
            <w:right w:val="none" w:sz="0" w:space="0" w:color="auto"/>
          </w:divBdr>
          <w:divsChild>
            <w:div w:id="1804545042">
              <w:marLeft w:val="0"/>
              <w:marRight w:val="0"/>
              <w:marTop w:val="0"/>
              <w:marBottom w:val="0"/>
              <w:divBdr>
                <w:top w:val="none" w:sz="0" w:space="0" w:color="auto"/>
                <w:left w:val="none" w:sz="0" w:space="0" w:color="auto"/>
                <w:bottom w:val="none" w:sz="0" w:space="0" w:color="auto"/>
                <w:right w:val="none" w:sz="0" w:space="0" w:color="auto"/>
              </w:divBdr>
              <w:divsChild>
                <w:div w:id="207246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2729">
      <w:bodyDiv w:val="1"/>
      <w:marLeft w:val="0"/>
      <w:marRight w:val="0"/>
      <w:marTop w:val="0"/>
      <w:marBottom w:val="0"/>
      <w:divBdr>
        <w:top w:val="none" w:sz="0" w:space="0" w:color="auto"/>
        <w:left w:val="none" w:sz="0" w:space="0" w:color="auto"/>
        <w:bottom w:val="none" w:sz="0" w:space="0" w:color="auto"/>
        <w:right w:val="none" w:sz="0" w:space="0" w:color="auto"/>
      </w:divBdr>
    </w:div>
    <w:div w:id="140734816">
      <w:bodyDiv w:val="1"/>
      <w:marLeft w:val="0"/>
      <w:marRight w:val="0"/>
      <w:marTop w:val="0"/>
      <w:marBottom w:val="0"/>
      <w:divBdr>
        <w:top w:val="none" w:sz="0" w:space="0" w:color="auto"/>
        <w:left w:val="none" w:sz="0" w:space="0" w:color="auto"/>
        <w:bottom w:val="none" w:sz="0" w:space="0" w:color="auto"/>
        <w:right w:val="none" w:sz="0" w:space="0" w:color="auto"/>
      </w:divBdr>
      <w:divsChild>
        <w:div w:id="498692387">
          <w:marLeft w:val="0"/>
          <w:marRight w:val="0"/>
          <w:marTop w:val="0"/>
          <w:marBottom w:val="0"/>
          <w:divBdr>
            <w:top w:val="none" w:sz="0" w:space="0" w:color="auto"/>
            <w:left w:val="none" w:sz="0" w:space="0" w:color="auto"/>
            <w:bottom w:val="none" w:sz="0" w:space="0" w:color="auto"/>
            <w:right w:val="none" w:sz="0" w:space="0" w:color="auto"/>
          </w:divBdr>
          <w:divsChild>
            <w:div w:id="2131244820">
              <w:marLeft w:val="0"/>
              <w:marRight w:val="0"/>
              <w:marTop w:val="0"/>
              <w:marBottom w:val="0"/>
              <w:divBdr>
                <w:top w:val="none" w:sz="0" w:space="0" w:color="auto"/>
                <w:left w:val="none" w:sz="0" w:space="0" w:color="auto"/>
                <w:bottom w:val="none" w:sz="0" w:space="0" w:color="auto"/>
                <w:right w:val="none" w:sz="0" w:space="0" w:color="auto"/>
              </w:divBdr>
              <w:divsChild>
                <w:div w:id="1071730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40671">
      <w:bodyDiv w:val="1"/>
      <w:marLeft w:val="0"/>
      <w:marRight w:val="0"/>
      <w:marTop w:val="0"/>
      <w:marBottom w:val="0"/>
      <w:divBdr>
        <w:top w:val="none" w:sz="0" w:space="0" w:color="auto"/>
        <w:left w:val="none" w:sz="0" w:space="0" w:color="auto"/>
        <w:bottom w:val="none" w:sz="0" w:space="0" w:color="auto"/>
        <w:right w:val="none" w:sz="0" w:space="0" w:color="auto"/>
      </w:divBdr>
      <w:divsChild>
        <w:div w:id="1765690337">
          <w:marLeft w:val="0"/>
          <w:marRight w:val="0"/>
          <w:marTop w:val="0"/>
          <w:marBottom w:val="0"/>
          <w:divBdr>
            <w:top w:val="none" w:sz="0" w:space="0" w:color="auto"/>
            <w:left w:val="none" w:sz="0" w:space="0" w:color="auto"/>
            <w:bottom w:val="none" w:sz="0" w:space="0" w:color="auto"/>
            <w:right w:val="none" w:sz="0" w:space="0" w:color="auto"/>
          </w:divBdr>
          <w:divsChild>
            <w:div w:id="1842044550">
              <w:marLeft w:val="0"/>
              <w:marRight w:val="0"/>
              <w:marTop w:val="0"/>
              <w:marBottom w:val="0"/>
              <w:divBdr>
                <w:top w:val="none" w:sz="0" w:space="0" w:color="auto"/>
                <w:left w:val="none" w:sz="0" w:space="0" w:color="auto"/>
                <w:bottom w:val="none" w:sz="0" w:space="0" w:color="auto"/>
                <w:right w:val="none" w:sz="0" w:space="0" w:color="auto"/>
              </w:divBdr>
              <w:divsChild>
                <w:div w:id="78141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37634">
      <w:bodyDiv w:val="1"/>
      <w:marLeft w:val="0"/>
      <w:marRight w:val="0"/>
      <w:marTop w:val="0"/>
      <w:marBottom w:val="0"/>
      <w:divBdr>
        <w:top w:val="none" w:sz="0" w:space="0" w:color="auto"/>
        <w:left w:val="none" w:sz="0" w:space="0" w:color="auto"/>
        <w:bottom w:val="none" w:sz="0" w:space="0" w:color="auto"/>
        <w:right w:val="none" w:sz="0" w:space="0" w:color="auto"/>
      </w:divBdr>
    </w:div>
    <w:div w:id="233584405">
      <w:bodyDiv w:val="1"/>
      <w:marLeft w:val="0"/>
      <w:marRight w:val="0"/>
      <w:marTop w:val="0"/>
      <w:marBottom w:val="0"/>
      <w:divBdr>
        <w:top w:val="none" w:sz="0" w:space="0" w:color="auto"/>
        <w:left w:val="none" w:sz="0" w:space="0" w:color="auto"/>
        <w:bottom w:val="none" w:sz="0" w:space="0" w:color="auto"/>
        <w:right w:val="none" w:sz="0" w:space="0" w:color="auto"/>
      </w:divBdr>
    </w:div>
    <w:div w:id="272710805">
      <w:bodyDiv w:val="1"/>
      <w:marLeft w:val="0"/>
      <w:marRight w:val="0"/>
      <w:marTop w:val="0"/>
      <w:marBottom w:val="0"/>
      <w:divBdr>
        <w:top w:val="none" w:sz="0" w:space="0" w:color="auto"/>
        <w:left w:val="none" w:sz="0" w:space="0" w:color="auto"/>
        <w:bottom w:val="none" w:sz="0" w:space="0" w:color="auto"/>
        <w:right w:val="none" w:sz="0" w:space="0" w:color="auto"/>
      </w:divBdr>
      <w:divsChild>
        <w:div w:id="1050501354">
          <w:marLeft w:val="0"/>
          <w:marRight w:val="0"/>
          <w:marTop w:val="0"/>
          <w:marBottom w:val="0"/>
          <w:divBdr>
            <w:top w:val="none" w:sz="0" w:space="0" w:color="auto"/>
            <w:left w:val="none" w:sz="0" w:space="0" w:color="auto"/>
            <w:bottom w:val="none" w:sz="0" w:space="0" w:color="auto"/>
            <w:right w:val="none" w:sz="0" w:space="0" w:color="auto"/>
          </w:divBdr>
          <w:divsChild>
            <w:div w:id="460152370">
              <w:marLeft w:val="0"/>
              <w:marRight w:val="0"/>
              <w:marTop w:val="0"/>
              <w:marBottom w:val="0"/>
              <w:divBdr>
                <w:top w:val="none" w:sz="0" w:space="0" w:color="auto"/>
                <w:left w:val="none" w:sz="0" w:space="0" w:color="auto"/>
                <w:bottom w:val="none" w:sz="0" w:space="0" w:color="auto"/>
                <w:right w:val="none" w:sz="0" w:space="0" w:color="auto"/>
              </w:divBdr>
              <w:divsChild>
                <w:div w:id="205142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123287">
      <w:bodyDiv w:val="1"/>
      <w:marLeft w:val="0"/>
      <w:marRight w:val="0"/>
      <w:marTop w:val="0"/>
      <w:marBottom w:val="0"/>
      <w:divBdr>
        <w:top w:val="none" w:sz="0" w:space="0" w:color="auto"/>
        <w:left w:val="none" w:sz="0" w:space="0" w:color="auto"/>
        <w:bottom w:val="none" w:sz="0" w:space="0" w:color="auto"/>
        <w:right w:val="none" w:sz="0" w:space="0" w:color="auto"/>
      </w:divBdr>
    </w:div>
    <w:div w:id="284696209">
      <w:bodyDiv w:val="1"/>
      <w:marLeft w:val="0"/>
      <w:marRight w:val="0"/>
      <w:marTop w:val="0"/>
      <w:marBottom w:val="0"/>
      <w:divBdr>
        <w:top w:val="none" w:sz="0" w:space="0" w:color="auto"/>
        <w:left w:val="none" w:sz="0" w:space="0" w:color="auto"/>
        <w:bottom w:val="none" w:sz="0" w:space="0" w:color="auto"/>
        <w:right w:val="none" w:sz="0" w:space="0" w:color="auto"/>
      </w:divBdr>
    </w:div>
    <w:div w:id="288635491">
      <w:bodyDiv w:val="1"/>
      <w:marLeft w:val="0"/>
      <w:marRight w:val="0"/>
      <w:marTop w:val="0"/>
      <w:marBottom w:val="0"/>
      <w:divBdr>
        <w:top w:val="none" w:sz="0" w:space="0" w:color="auto"/>
        <w:left w:val="none" w:sz="0" w:space="0" w:color="auto"/>
        <w:bottom w:val="none" w:sz="0" w:space="0" w:color="auto"/>
        <w:right w:val="none" w:sz="0" w:space="0" w:color="auto"/>
      </w:divBdr>
    </w:div>
    <w:div w:id="290793782">
      <w:bodyDiv w:val="1"/>
      <w:marLeft w:val="0"/>
      <w:marRight w:val="0"/>
      <w:marTop w:val="0"/>
      <w:marBottom w:val="0"/>
      <w:divBdr>
        <w:top w:val="none" w:sz="0" w:space="0" w:color="auto"/>
        <w:left w:val="none" w:sz="0" w:space="0" w:color="auto"/>
        <w:bottom w:val="none" w:sz="0" w:space="0" w:color="auto"/>
        <w:right w:val="none" w:sz="0" w:space="0" w:color="auto"/>
      </w:divBdr>
      <w:divsChild>
        <w:div w:id="322050250">
          <w:marLeft w:val="0"/>
          <w:marRight w:val="0"/>
          <w:marTop w:val="0"/>
          <w:marBottom w:val="0"/>
          <w:divBdr>
            <w:top w:val="none" w:sz="0" w:space="0" w:color="auto"/>
            <w:left w:val="none" w:sz="0" w:space="0" w:color="auto"/>
            <w:bottom w:val="none" w:sz="0" w:space="0" w:color="auto"/>
            <w:right w:val="none" w:sz="0" w:space="0" w:color="auto"/>
          </w:divBdr>
          <w:divsChild>
            <w:div w:id="1551065052">
              <w:marLeft w:val="0"/>
              <w:marRight w:val="0"/>
              <w:marTop w:val="0"/>
              <w:marBottom w:val="0"/>
              <w:divBdr>
                <w:top w:val="none" w:sz="0" w:space="0" w:color="auto"/>
                <w:left w:val="none" w:sz="0" w:space="0" w:color="auto"/>
                <w:bottom w:val="none" w:sz="0" w:space="0" w:color="auto"/>
                <w:right w:val="none" w:sz="0" w:space="0" w:color="auto"/>
              </w:divBdr>
              <w:divsChild>
                <w:div w:id="144553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920957">
      <w:bodyDiv w:val="1"/>
      <w:marLeft w:val="0"/>
      <w:marRight w:val="0"/>
      <w:marTop w:val="0"/>
      <w:marBottom w:val="0"/>
      <w:divBdr>
        <w:top w:val="none" w:sz="0" w:space="0" w:color="auto"/>
        <w:left w:val="none" w:sz="0" w:space="0" w:color="auto"/>
        <w:bottom w:val="none" w:sz="0" w:space="0" w:color="auto"/>
        <w:right w:val="none" w:sz="0" w:space="0" w:color="auto"/>
      </w:divBdr>
      <w:divsChild>
        <w:div w:id="1752895833">
          <w:marLeft w:val="0"/>
          <w:marRight w:val="0"/>
          <w:marTop w:val="0"/>
          <w:marBottom w:val="0"/>
          <w:divBdr>
            <w:top w:val="none" w:sz="0" w:space="0" w:color="auto"/>
            <w:left w:val="none" w:sz="0" w:space="0" w:color="auto"/>
            <w:bottom w:val="none" w:sz="0" w:space="0" w:color="auto"/>
            <w:right w:val="none" w:sz="0" w:space="0" w:color="auto"/>
          </w:divBdr>
          <w:divsChild>
            <w:div w:id="1568956866">
              <w:marLeft w:val="0"/>
              <w:marRight w:val="0"/>
              <w:marTop w:val="0"/>
              <w:marBottom w:val="0"/>
              <w:divBdr>
                <w:top w:val="none" w:sz="0" w:space="0" w:color="auto"/>
                <w:left w:val="none" w:sz="0" w:space="0" w:color="auto"/>
                <w:bottom w:val="none" w:sz="0" w:space="0" w:color="auto"/>
                <w:right w:val="none" w:sz="0" w:space="0" w:color="auto"/>
              </w:divBdr>
              <w:divsChild>
                <w:div w:id="74252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336170">
      <w:bodyDiv w:val="1"/>
      <w:marLeft w:val="0"/>
      <w:marRight w:val="0"/>
      <w:marTop w:val="0"/>
      <w:marBottom w:val="0"/>
      <w:divBdr>
        <w:top w:val="none" w:sz="0" w:space="0" w:color="auto"/>
        <w:left w:val="none" w:sz="0" w:space="0" w:color="auto"/>
        <w:bottom w:val="none" w:sz="0" w:space="0" w:color="auto"/>
        <w:right w:val="none" w:sz="0" w:space="0" w:color="auto"/>
      </w:divBdr>
      <w:divsChild>
        <w:div w:id="1642423505">
          <w:marLeft w:val="0"/>
          <w:marRight w:val="0"/>
          <w:marTop w:val="0"/>
          <w:marBottom w:val="0"/>
          <w:divBdr>
            <w:top w:val="none" w:sz="0" w:space="0" w:color="auto"/>
            <w:left w:val="none" w:sz="0" w:space="0" w:color="auto"/>
            <w:bottom w:val="none" w:sz="0" w:space="0" w:color="auto"/>
            <w:right w:val="none" w:sz="0" w:space="0" w:color="auto"/>
          </w:divBdr>
          <w:divsChild>
            <w:div w:id="636301224">
              <w:marLeft w:val="0"/>
              <w:marRight w:val="0"/>
              <w:marTop w:val="0"/>
              <w:marBottom w:val="0"/>
              <w:divBdr>
                <w:top w:val="none" w:sz="0" w:space="0" w:color="auto"/>
                <w:left w:val="none" w:sz="0" w:space="0" w:color="auto"/>
                <w:bottom w:val="none" w:sz="0" w:space="0" w:color="auto"/>
                <w:right w:val="none" w:sz="0" w:space="0" w:color="auto"/>
              </w:divBdr>
              <w:divsChild>
                <w:div w:id="1855076113">
                  <w:marLeft w:val="0"/>
                  <w:marRight w:val="0"/>
                  <w:marTop w:val="0"/>
                  <w:marBottom w:val="0"/>
                  <w:divBdr>
                    <w:top w:val="none" w:sz="0" w:space="0" w:color="auto"/>
                    <w:left w:val="none" w:sz="0" w:space="0" w:color="auto"/>
                    <w:bottom w:val="none" w:sz="0" w:space="0" w:color="auto"/>
                    <w:right w:val="none" w:sz="0" w:space="0" w:color="auto"/>
                  </w:divBdr>
                </w:div>
              </w:divsChild>
            </w:div>
            <w:div w:id="988511300">
              <w:marLeft w:val="0"/>
              <w:marRight w:val="0"/>
              <w:marTop w:val="0"/>
              <w:marBottom w:val="0"/>
              <w:divBdr>
                <w:top w:val="none" w:sz="0" w:space="0" w:color="auto"/>
                <w:left w:val="none" w:sz="0" w:space="0" w:color="auto"/>
                <w:bottom w:val="none" w:sz="0" w:space="0" w:color="auto"/>
                <w:right w:val="none" w:sz="0" w:space="0" w:color="auto"/>
              </w:divBdr>
              <w:divsChild>
                <w:div w:id="9818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851750">
          <w:marLeft w:val="0"/>
          <w:marRight w:val="0"/>
          <w:marTop w:val="0"/>
          <w:marBottom w:val="0"/>
          <w:divBdr>
            <w:top w:val="none" w:sz="0" w:space="0" w:color="auto"/>
            <w:left w:val="none" w:sz="0" w:space="0" w:color="auto"/>
            <w:bottom w:val="none" w:sz="0" w:space="0" w:color="auto"/>
            <w:right w:val="none" w:sz="0" w:space="0" w:color="auto"/>
          </w:divBdr>
          <w:divsChild>
            <w:div w:id="61098736">
              <w:marLeft w:val="0"/>
              <w:marRight w:val="0"/>
              <w:marTop w:val="0"/>
              <w:marBottom w:val="0"/>
              <w:divBdr>
                <w:top w:val="none" w:sz="0" w:space="0" w:color="auto"/>
                <w:left w:val="none" w:sz="0" w:space="0" w:color="auto"/>
                <w:bottom w:val="none" w:sz="0" w:space="0" w:color="auto"/>
                <w:right w:val="none" w:sz="0" w:space="0" w:color="auto"/>
              </w:divBdr>
              <w:divsChild>
                <w:div w:id="1120150607">
                  <w:marLeft w:val="0"/>
                  <w:marRight w:val="0"/>
                  <w:marTop w:val="0"/>
                  <w:marBottom w:val="0"/>
                  <w:divBdr>
                    <w:top w:val="none" w:sz="0" w:space="0" w:color="auto"/>
                    <w:left w:val="none" w:sz="0" w:space="0" w:color="auto"/>
                    <w:bottom w:val="none" w:sz="0" w:space="0" w:color="auto"/>
                    <w:right w:val="none" w:sz="0" w:space="0" w:color="auto"/>
                  </w:divBdr>
                </w:div>
              </w:divsChild>
            </w:div>
            <w:div w:id="1751611643">
              <w:marLeft w:val="0"/>
              <w:marRight w:val="0"/>
              <w:marTop w:val="0"/>
              <w:marBottom w:val="0"/>
              <w:divBdr>
                <w:top w:val="none" w:sz="0" w:space="0" w:color="auto"/>
                <w:left w:val="none" w:sz="0" w:space="0" w:color="auto"/>
                <w:bottom w:val="none" w:sz="0" w:space="0" w:color="auto"/>
                <w:right w:val="none" w:sz="0" w:space="0" w:color="auto"/>
              </w:divBdr>
              <w:divsChild>
                <w:div w:id="205403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13367">
      <w:bodyDiv w:val="1"/>
      <w:marLeft w:val="0"/>
      <w:marRight w:val="0"/>
      <w:marTop w:val="0"/>
      <w:marBottom w:val="0"/>
      <w:divBdr>
        <w:top w:val="none" w:sz="0" w:space="0" w:color="auto"/>
        <w:left w:val="none" w:sz="0" w:space="0" w:color="auto"/>
        <w:bottom w:val="none" w:sz="0" w:space="0" w:color="auto"/>
        <w:right w:val="none" w:sz="0" w:space="0" w:color="auto"/>
      </w:divBdr>
    </w:div>
    <w:div w:id="326640684">
      <w:bodyDiv w:val="1"/>
      <w:marLeft w:val="0"/>
      <w:marRight w:val="0"/>
      <w:marTop w:val="0"/>
      <w:marBottom w:val="0"/>
      <w:divBdr>
        <w:top w:val="none" w:sz="0" w:space="0" w:color="auto"/>
        <w:left w:val="none" w:sz="0" w:space="0" w:color="auto"/>
        <w:bottom w:val="none" w:sz="0" w:space="0" w:color="auto"/>
        <w:right w:val="none" w:sz="0" w:space="0" w:color="auto"/>
      </w:divBdr>
    </w:div>
    <w:div w:id="354117505">
      <w:bodyDiv w:val="1"/>
      <w:marLeft w:val="0"/>
      <w:marRight w:val="0"/>
      <w:marTop w:val="0"/>
      <w:marBottom w:val="0"/>
      <w:divBdr>
        <w:top w:val="none" w:sz="0" w:space="0" w:color="auto"/>
        <w:left w:val="none" w:sz="0" w:space="0" w:color="auto"/>
        <w:bottom w:val="none" w:sz="0" w:space="0" w:color="auto"/>
        <w:right w:val="none" w:sz="0" w:space="0" w:color="auto"/>
      </w:divBdr>
      <w:divsChild>
        <w:div w:id="403072248">
          <w:marLeft w:val="0"/>
          <w:marRight w:val="0"/>
          <w:marTop w:val="0"/>
          <w:marBottom w:val="0"/>
          <w:divBdr>
            <w:top w:val="none" w:sz="0" w:space="0" w:color="auto"/>
            <w:left w:val="none" w:sz="0" w:space="0" w:color="auto"/>
            <w:bottom w:val="none" w:sz="0" w:space="0" w:color="auto"/>
            <w:right w:val="none" w:sz="0" w:space="0" w:color="auto"/>
          </w:divBdr>
          <w:divsChild>
            <w:div w:id="1242566024">
              <w:marLeft w:val="0"/>
              <w:marRight w:val="0"/>
              <w:marTop w:val="0"/>
              <w:marBottom w:val="0"/>
              <w:divBdr>
                <w:top w:val="none" w:sz="0" w:space="0" w:color="auto"/>
                <w:left w:val="none" w:sz="0" w:space="0" w:color="auto"/>
                <w:bottom w:val="none" w:sz="0" w:space="0" w:color="auto"/>
                <w:right w:val="none" w:sz="0" w:space="0" w:color="auto"/>
              </w:divBdr>
              <w:divsChild>
                <w:div w:id="98069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896713">
          <w:marLeft w:val="0"/>
          <w:marRight w:val="0"/>
          <w:marTop w:val="0"/>
          <w:marBottom w:val="0"/>
          <w:divBdr>
            <w:top w:val="none" w:sz="0" w:space="0" w:color="auto"/>
            <w:left w:val="none" w:sz="0" w:space="0" w:color="auto"/>
            <w:bottom w:val="none" w:sz="0" w:space="0" w:color="auto"/>
            <w:right w:val="none" w:sz="0" w:space="0" w:color="auto"/>
          </w:divBdr>
          <w:divsChild>
            <w:div w:id="637151426">
              <w:marLeft w:val="0"/>
              <w:marRight w:val="0"/>
              <w:marTop w:val="0"/>
              <w:marBottom w:val="0"/>
              <w:divBdr>
                <w:top w:val="none" w:sz="0" w:space="0" w:color="auto"/>
                <w:left w:val="none" w:sz="0" w:space="0" w:color="auto"/>
                <w:bottom w:val="none" w:sz="0" w:space="0" w:color="auto"/>
                <w:right w:val="none" w:sz="0" w:space="0" w:color="auto"/>
              </w:divBdr>
              <w:divsChild>
                <w:div w:id="238708734">
                  <w:marLeft w:val="0"/>
                  <w:marRight w:val="0"/>
                  <w:marTop w:val="0"/>
                  <w:marBottom w:val="0"/>
                  <w:divBdr>
                    <w:top w:val="none" w:sz="0" w:space="0" w:color="auto"/>
                    <w:left w:val="none" w:sz="0" w:space="0" w:color="auto"/>
                    <w:bottom w:val="none" w:sz="0" w:space="0" w:color="auto"/>
                    <w:right w:val="none" w:sz="0" w:space="0" w:color="auto"/>
                  </w:divBdr>
                </w:div>
              </w:divsChild>
            </w:div>
            <w:div w:id="1194994938">
              <w:marLeft w:val="0"/>
              <w:marRight w:val="0"/>
              <w:marTop w:val="0"/>
              <w:marBottom w:val="0"/>
              <w:divBdr>
                <w:top w:val="none" w:sz="0" w:space="0" w:color="auto"/>
                <w:left w:val="none" w:sz="0" w:space="0" w:color="auto"/>
                <w:bottom w:val="none" w:sz="0" w:space="0" w:color="auto"/>
                <w:right w:val="none" w:sz="0" w:space="0" w:color="auto"/>
              </w:divBdr>
              <w:divsChild>
                <w:div w:id="29795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07766">
      <w:bodyDiv w:val="1"/>
      <w:marLeft w:val="0"/>
      <w:marRight w:val="0"/>
      <w:marTop w:val="0"/>
      <w:marBottom w:val="0"/>
      <w:divBdr>
        <w:top w:val="none" w:sz="0" w:space="0" w:color="auto"/>
        <w:left w:val="none" w:sz="0" w:space="0" w:color="auto"/>
        <w:bottom w:val="none" w:sz="0" w:space="0" w:color="auto"/>
        <w:right w:val="none" w:sz="0" w:space="0" w:color="auto"/>
      </w:divBdr>
      <w:divsChild>
        <w:div w:id="1809273745">
          <w:marLeft w:val="0"/>
          <w:marRight w:val="0"/>
          <w:marTop w:val="0"/>
          <w:marBottom w:val="0"/>
          <w:divBdr>
            <w:top w:val="none" w:sz="0" w:space="0" w:color="auto"/>
            <w:left w:val="none" w:sz="0" w:space="0" w:color="auto"/>
            <w:bottom w:val="none" w:sz="0" w:space="0" w:color="auto"/>
            <w:right w:val="none" w:sz="0" w:space="0" w:color="auto"/>
          </w:divBdr>
          <w:divsChild>
            <w:div w:id="18943947">
              <w:marLeft w:val="0"/>
              <w:marRight w:val="0"/>
              <w:marTop w:val="0"/>
              <w:marBottom w:val="0"/>
              <w:divBdr>
                <w:top w:val="none" w:sz="0" w:space="0" w:color="auto"/>
                <w:left w:val="none" w:sz="0" w:space="0" w:color="auto"/>
                <w:bottom w:val="none" w:sz="0" w:space="0" w:color="auto"/>
                <w:right w:val="none" w:sz="0" w:space="0" w:color="auto"/>
              </w:divBdr>
              <w:divsChild>
                <w:div w:id="178692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530173">
          <w:marLeft w:val="0"/>
          <w:marRight w:val="0"/>
          <w:marTop w:val="0"/>
          <w:marBottom w:val="0"/>
          <w:divBdr>
            <w:top w:val="none" w:sz="0" w:space="0" w:color="auto"/>
            <w:left w:val="none" w:sz="0" w:space="0" w:color="auto"/>
            <w:bottom w:val="none" w:sz="0" w:space="0" w:color="auto"/>
            <w:right w:val="none" w:sz="0" w:space="0" w:color="auto"/>
          </w:divBdr>
          <w:divsChild>
            <w:div w:id="431050727">
              <w:marLeft w:val="0"/>
              <w:marRight w:val="0"/>
              <w:marTop w:val="0"/>
              <w:marBottom w:val="0"/>
              <w:divBdr>
                <w:top w:val="none" w:sz="0" w:space="0" w:color="auto"/>
                <w:left w:val="none" w:sz="0" w:space="0" w:color="auto"/>
                <w:bottom w:val="none" w:sz="0" w:space="0" w:color="auto"/>
                <w:right w:val="none" w:sz="0" w:space="0" w:color="auto"/>
              </w:divBdr>
              <w:divsChild>
                <w:div w:id="1104418688">
                  <w:marLeft w:val="0"/>
                  <w:marRight w:val="0"/>
                  <w:marTop w:val="0"/>
                  <w:marBottom w:val="0"/>
                  <w:divBdr>
                    <w:top w:val="none" w:sz="0" w:space="0" w:color="auto"/>
                    <w:left w:val="none" w:sz="0" w:space="0" w:color="auto"/>
                    <w:bottom w:val="none" w:sz="0" w:space="0" w:color="auto"/>
                    <w:right w:val="none" w:sz="0" w:space="0" w:color="auto"/>
                  </w:divBdr>
                </w:div>
              </w:divsChild>
            </w:div>
            <w:div w:id="1904024142">
              <w:marLeft w:val="0"/>
              <w:marRight w:val="0"/>
              <w:marTop w:val="0"/>
              <w:marBottom w:val="0"/>
              <w:divBdr>
                <w:top w:val="none" w:sz="0" w:space="0" w:color="auto"/>
                <w:left w:val="none" w:sz="0" w:space="0" w:color="auto"/>
                <w:bottom w:val="none" w:sz="0" w:space="0" w:color="auto"/>
                <w:right w:val="none" w:sz="0" w:space="0" w:color="auto"/>
              </w:divBdr>
              <w:divsChild>
                <w:div w:id="59736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7188">
      <w:bodyDiv w:val="1"/>
      <w:marLeft w:val="0"/>
      <w:marRight w:val="0"/>
      <w:marTop w:val="0"/>
      <w:marBottom w:val="0"/>
      <w:divBdr>
        <w:top w:val="none" w:sz="0" w:space="0" w:color="auto"/>
        <w:left w:val="none" w:sz="0" w:space="0" w:color="auto"/>
        <w:bottom w:val="none" w:sz="0" w:space="0" w:color="auto"/>
        <w:right w:val="none" w:sz="0" w:space="0" w:color="auto"/>
      </w:divBdr>
      <w:divsChild>
        <w:div w:id="514152528">
          <w:marLeft w:val="0"/>
          <w:marRight w:val="0"/>
          <w:marTop w:val="0"/>
          <w:marBottom w:val="0"/>
          <w:divBdr>
            <w:top w:val="none" w:sz="0" w:space="0" w:color="auto"/>
            <w:left w:val="none" w:sz="0" w:space="0" w:color="auto"/>
            <w:bottom w:val="none" w:sz="0" w:space="0" w:color="auto"/>
            <w:right w:val="none" w:sz="0" w:space="0" w:color="auto"/>
          </w:divBdr>
          <w:divsChild>
            <w:div w:id="709302651">
              <w:marLeft w:val="0"/>
              <w:marRight w:val="0"/>
              <w:marTop w:val="0"/>
              <w:marBottom w:val="0"/>
              <w:divBdr>
                <w:top w:val="none" w:sz="0" w:space="0" w:color="auto"/>
                <w:left w:val="none" w:sz="0" w:space="0" w:color="auto"/>
                <w:bottom w:val="none" w:sz="0" w:space="0" w:color="auto"/>
                <w:right w:val="none" w:sz="0" w:space="0" w:color="auto"/>
              </w:divBdr>
              <w:divsChild>
                <w:div w:id="241641539">
                  <w:marLeft w:val="0"/>
                  <w:marRight w:val="0"/>
                  <w:marTop w:val="0"/>
                  <w:marBottom w:val="0"/>
                  <w:divBdr>
                    <w:top w:val="none" w:sz="0" w:space="0" w:color="auto"/>
                    <w:left w:val="none" w:sz="0" w:space="0" w:color="auto"/>
                    <w:bottom w:val="none" w:sz="0" w:space="0" w:color="auto"/>
                    <w:right w:val="none" w:sz="0" w:space="0" w:color="auto"/>
                  </w:divBdr>
                </w:div>
              </w:divsChild>
            </w:div>
            <w:div w:id="1217471611">
              <w:marLeft w:val="0"/>
              <w:marRight w:val="0"/>
              <w:marTop w:val="0"/>
              <w:marBottom w:val="0"/>
              <w:divBdr>
                <w:top w:val="none" w:sz="0" w:space="0" w:color="auto"/>
                <w:left w:val="none" w:sz="0" w:space="0" w:color="auto"/>
                <w:bottom w:val="none" w:sz="0" w:space="0" w:color="auto"/>
                <w:right w:val="none" w:sz="0" w:space="0" w:color="auto"/>
              </w:divBdr>
              <w:divsChild>
                <w:div w:id="42542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929003">
          <w:marLeft w:val="0"/>
          <w:marRight w:val="0"/>
          <w:marTop w:val="0"/>
          <w:marBottom w:val="0"/>
          <w:divBdr>
            <w:top w:val="none" w:sz="0" w:space="0" w:color="auto"/>
            <w:left w:val="none" w:sz="0" w:space="0" w:color="auto"/>
            <w:bottom w:val="none" w:sz="0" w:space="0" w:color="auto"/>
            <w:right w:val="none" w:sz="0" w:space="0" w:color="auto"/>
          </w:divBdr>
          <w:divsChild>
            <w:div w:id="1234781401">
              <w:marLeft w:val="0"/>
              <w:marRight w:val="0"/>
              <w:marTop w:val="0"/>
              <w:marBottom w:val="0"/>
              <w:divBdr>
                <w:top w:val="none" w:sz="0" w:space="0" w:color="auto"/>
                <w:left w:val="none" w:sz="0" w:space="0" w:color="auto"/>
                <w:bottom w:val="none" w:sz="0" w:space="0" w:color="auto"/>
                <w:right w:val="none" w:sz="0" w:space="0" w:color="auto"/>
              </w:divBdr>
              <w:divsChild>
                <w:div w:id="66710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95682">
      <w:bodyDiv w:val="1"/>
      <w:marLeft w:val="0"/>
      <w:marRight w:val="0"/>
      <w:marTop w:val="0"/>
      <w:marBottom w:val="0"/>
      <w:divBdr>
        <w:top w:val="none" w:sz="0" w:space="0" w:color="auto"/>
        <w:left w:val="none" w:sz="0" w:space="0" w:color="auto"/>
        <w:bottom w:val="none" w:sz="0" w:space="0" w:color="auto"/>
        <w:right w:val="none" w:sz="0" w:space="0" w:color="auto"/>
      </w:divBdr>
    </w:div>
    <w:div w:id="422186932">
      <w:bodyDiv w:val="1"/>
      <w:marLeft w:val="0"/>
      <w:marRight w:val="0"/>
      <w:marTop w:val="0"/>
      <w:marBottom w:val="0"/>
      <w:divBdr>
        <w:top w:val="none" w:sz="0" w:space="0" w:color="auto"/>
        <w:left w:val="none" w:sz="0" w:space="0" w:color="auto"/>
        <w:bottom w:val="none" w:sz="0" w:space="0" w:color="auto"/>
        <w:right w:val="none" w:sz="0" w:space="0" w:color="auto"/>
      </w:divBdr>
    </w:div>
    <w:div w:id="445735646">
      <w:bodyDiv w:val="1"/>
      <w:marLeft w:val="0"/>
      <w:marRight w:val="0"/>
      <w:marTop w:val="0"/>
      <w:marBottom w:val="0"/>
      <w:divBdr>
        <w:top w:val="none" w:sz="0" w:space="0" w:color="auto"/>
        <w:left w:val="none" w:sz="0" w:space="0" w:color="auto"/>
        <w:bottom w:val="none" w:sz="0" w:space="0" w:color="auto"/>
        <w:right w:val="none" w:sz="0" w:space="0" w:color="auto"/>
      </w:divBdr>
      <w:divsChild>
        <w:div w:id="673415041">
          <w:marLeft w:val="0"/>
          <w:marRight w:val="0"/>
          <w:marTop w:val="0"/>
          <w:marBottom w:val="0"/>
          <w:divBdr>
            <w:top w:val="none" w:sz="0" w:space="0" w:color="auto"/>
            <w:left w:val="none" w:sz="0" w:space="0" w:color="auto"/>
            <w:bottom w:val="none" w:sz="0" w:space="0" w:color="auto"/>
            <w:right w:val="none" w:sz="0" w:space="0" w:color="auto"/>
          </w:divBdr>
          <w:divsChild>
            <w:div w:id="633364081">
              <w:marLeft w:val="0"/>
              <w:marRight w:val="0"/>
              <w:marTop w:val="0"/>
              <w:marBottom w:val="0"/>
              <w:divBdr>
                <w:top w:val="none" w:sz="0" w:space="0" w:color="auto"/>
                <w:left w:val="none" w:sz="0" w:space="0" w:color="auto"/>
                <w:bottom w:val="none" w:sz="0" w:space="0" w:color="auto"/>
                <w:right w:val="none" w:sz="0" w:space="0" w:color="auto"/>
              </w:divBdr>
              <w:divsChild>
                <w:div w:id="1921980489">
                  <w:marLeft w:val="0"/>
                  <w:marRight w:val="0"/>
                  <w:marTop w:val="0"/>
                  <w:marBottom w:val="0"/>
                  <w:divBdr>
                    <w:top w:val="none" w:sz="0" w:space="0" w:color="auto"/>
                    <w:left w:val="none" w:sz="0" w:space="0" w:color="auto"/>
                    <w:bottom w:val="none" w:sz="0" w:space="0" w:color="auto"/>
                    <w:right w:val="none" w:sz="0" w:space="0" w:color="auto"/>
                  </w:divBdr>
                </w:div>
              </w:divsChild>
            </w:div>
            <w:div w:id="1165046674">
              <w:marLeft w:val="0"/>
              <w:marRight w:val="0"/>
              <w:marTop w:val="0"/>
              <w:marBottom w:val="0"/>
              <w:divBdr>
                <w:top w:val="none" w:sz="0" w:space="0" w:color="auto"/>
                <w:left w:val="none" w:sz="0" w:space="0" w:color="auto"/>
                <w:bottom w:val="none" w:sz="0" w:space="0" w:color="auto"/>
                <w:right w:val="none" w:sz="0" w:space="0" w:color="auto"/>
              </w:divBdr>
              <w:divsChild>
                <w:div w:id="12149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848466">
          <w:marLeft w:val="0"/>
          <w:marRight w:val="0"/>
          <w:marTop w:val="0"/>
          <w:marBottom w:val="0"/>
          <w:divBdr>
            <w:top w:val="none" w:sz="0" w:space="0" w:color="auto"/>
            <w:left w:val="none" w:sz="0" w:space="0" w:color="auto"/>
            <w:bottom w:val="none" w:sz="0" w:space="0" w:color="auto"/>
            <w:right w:val="none" w:sz="0" w:space="0" w:color="auto"/>
          </w:divBdr>
          <w:divsChild>
            <w:div w:id="1660304874">
              <w:marLeft w:val="0"/>
              <w:marRight w:val="0"/>
              <w:marTop w:val="0"/>
              <w:marBottom w:val="0"/>
              <w:divBdr>
                <w:top w:val="none" w:sz="0" w:space="0" w:color="auto"/>
                <w:left w:val="none" w:sz="0" w:space="0" w:color="auto"/>
                <w:bottom w:val="none" w:sz="0" w:space="0" w:color="auto"/>
                <w:right w:val="none" w:sz="0" w:space="0" w:color="auto"/>
              </w:divBdr>
              <w:divsChild>
                <w:div w:id="850994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127288">
      <w:bodyDiv w:val="1"/>
      <w:marLeft w:val="0"/>
      <w:marRight w:val="0"/>
      <w:marTop w:val="0"/>
      <w:marBottom w:val="0"/>
      <w:divBdr>
        <w:top w:val="none" w:sz="0" w:space="0" w:color="auto"/>
        <w:left w:val="none" w:sz="0" w:space="0" w:color="auto"/>
        <w:bottom w:val="none" w:sz="0" w:space="0" w:color="auto"/>
        <w:right w:val="none" w:sz="0" w:space="0" w:color="auto"/>
      </w:divBdr>
      <w:divsChild>
        <w:div w:id="1769958565">
          <w:marLeft w:val="0"/>
          <w:marRight w:val="0"/>
          <w:marTop w:val="0"/>
          <w:marBottom w:val="0"/>
          <w:divBdr>
            <w:top w:val="none" w:sz="0" w:space="0" w:color="auto"/>
            <w:left w:val="none" w:sz="0" w:space="0" w:color="auto"/>
            <w:bottom w:val="none" w:sz="0" w:space="0" w:color="auto"/>
            <w:right w:val="none" w:sz="0" w:space="0" w:color="auto"/>
          </w:divBdr>
          <w:divsChild>
            <w:div w:id="1770200015">
              <w:marLeft w:val="0"/>
              <w:marRight w:val="0"/>
              <w:marTop w:val="0"/>
              <w:marBottom w:val="0"/>
              <w:divBdr>
                <w:top w:val="none" w:sz="0" w:space="0" w:color="auto"/>
                <w:left w:val="none" w:sz="0" w:space="0" w:color="auto"/>
                <w:bottom w:val="none" w:sz="0" w:space="0" w:color="auto"/>
                <w:right w:val="none" w:sz="0" w:space="0" w:color="auto"/>
              </w:divBdr>
              <w:divsChild>
                <w:div w:id="101588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3930">
      <w:bodyDiv w:val="1"/>
      <w:marLeft w:val="0"/>
      <w:marRight w:val="0"/>
      <w:marTop w:val="0"/>
      <w:marBottom w:val="0"/>
      <w:divBdr>
        <w:top w:val="none" w:sz="0" w:space="0" w:color="auto"/>
        <w:left w:val="none" w:sz="0" w:space="0" w:color="auto"/>
        <w:bottom w:val="none" w:sz="0" w:space="0" w:color="auto"/>
        <w:right w:val="none" w:sz="0" w:space="0" w:color="auto"/>
      </w:divBdr>
    </w:div>
    <w:div w:id="550922017">
      <w:bodyDiv w:val="1"/>
      <w:marLeft w:val="0"/>
      <w:marRight w:val="0"/>
      <w:marTop w:val="0"/>
      <w:marBottom w:val="0"/>
      <w:divBdr>
        <w:top w:val="none" w:sz="0" w:space="0" w:color="auto"/>
        <w:left w:val="none" w:sz="0" w:space="0" w:color="auto"/>
        <w:bottom w:val="none" w:sz="0" w:space="0" w:color="auto"/>
        <w:right w:val="none" w:sz="0" w:space="0" w:color="auto"/>
      </w:divBdr>
    </w:div>
    <w:div w:id="561599282">
      <w:bodyDiv w:val="1"/>
      <w:marLeft w:val="0"/>
      <w:marRight w:val="0"/>
      <w:marTop w:val="0"/>
      <w:marBottom w:val="0"/>
      <w:divBdr>
        <w:top w:val="none" w:sz="0" w:space="0" w:color="auto"/>
        <w:left w:val="none" w:sz="0" w:space="0" w:color="auto"/>
        <w:bottom w:val="none" w:sz="0" w:space="0" w:color="auto"/>
        <w:right w:val="none" w:sz="0" w:space="0" w:color="auto"/>
      </w:divBdr>
    </w:div>
    <w:div w:id="616567730">
      <w:bodyDiv w:val="1"/>
      <w:marLeft w:val="0"/>
      <w:marRight w:val="0"/>
      <w:marTop w:val="0"/>
      <w:marBottom w:val="0"/>
      <w:divBdr>
        <w:top w:val="none" w:sz="0" w:space="0" w:color="auto"/>
        <w:left w:val="none" w:sz="0" w:space="0" w:color="auto"/>
        <w:bottom w:val="none" w:sz="0" w:space="0" w:color="auto"/>
        <w:right w:val="none" w:sz="0" w:space="0" w:color="auto"/>
      </w:divBdr>
    </w:div>
    <w:div w:id="674380261">
      <w:bodyDiv w:val="1"/>
      <w:marLeft w:val="0"/>
      <w:marRight w:val="0"/>
      <w:marTop w:val="0"/>
      <w:marBottom w:val="0"/>
      <w:divBdr>
        <w:top w:val="none" w:sz="0" w:space="0" w:color="auto"/>
        <w:left w:val="none" w:sz="0" w:space="0" w:color="auto"/>
        <w:bottom w:val="none" w:sz="0" w:space="0" w:color="auto"/>
        <w:right w:val="none" w:sz="0" w:space="0" w:color="auto"/>
      </w:divBdr>
      <w:divsChild>
        <w:div w:id="1151796649">
          <w:marLeft w:val="0"/>
          <w:marRight w:val="0"/>
          <w:marTop w:val="0"/>
          <w:marBottom w:val="0"/>
          <w:divBdr>
            <w:top w:val="none" w:sz="0" w:space="0" w:color="auto"/>
            <w:left w:val="none" w:sz="0" w:space="0" w:color="auto"/>
            <w:bottom w:val="none" w:sz="0" w:space="0" w:color="auto"/>
            <w:right w:val="none" w:sz="0" w:space="0" w:color="auto"/>
          </w:divBdr>
          <w:divsChild>
            <w:div w:id="1268080862">
              <w:marLeft w:val="0"/>
              <w:marRight w:val="0"/>
              <w:marTop w:val="0"/>
              <w:marBottom w:val="0"/>
              <w:divBdr>
                <w:top w:val="none" w:sz="0" w:space="0" w:color="auto"/>
                <w:left w:val="none" w:sz="0" w:space="0" w:color="auto"/>
                <w:bottom w:val="none" w:sz="0" w:space="0" w:color="auto"/>
                <w:right w:val="none" w:sz="0" w:space="0" w:color="auto"/>
              </w:divBdr>
              <w:divsChild>
                <w:div w:id="73192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857602">
      <w:bodyDiv w:val="1"/>
      <w:marLeft w:val="0"/>
      <w:marRight w:val="0"/>
      <w:marTop w:val="0"/>
      <w:marBottom w:val="0"/>
      <w:divBdr>
        <w:top w:val="none" w:sz="0" w:space="0" w:color="auto"/>
        <w:left w:val="none" w:sz="0" w:space="0" w:color="auto"/>
        <w:bottom w:val="none" w:sz="0" w:space="0" w:color="auto"/>
        <w:right w:val="none" w:sz="0" w:space="0" w:color="auto"/>
      </w:divBdr>
    </w:div>
    <w:div w:id="748112594">
      <w:bodyDiv w:val="1"/>
      <w:marLeft w:val="0"/>
      <w:marRight w:val="0"/>
      <w:marTop w:val="0"/>
      <w:marBottom w:val="0"/>
      <w:divBdr>
        <w:top w:val="none" w:sz="0" w:space="0" w:color="auto"/>
        <w:left w:val="none" w:sz="0" w:space="0" w:color="auto"/>
        <w:bottom w:val="none" w:sz="0" w:space="0" w:color="auto"/>
        <w:right w:val="none" w:sz="0" w:space="0" w:color="auto"/>
      </w:divBdr>
    </w:div>
    <w:div w:id="761610750">
      <w:bodyDiv w:val="1"/>
      <w:marLeft w:val="0"/>
      <w:marRight w:val="0"/>
      <w:marTop w:val="0"/>
      <w:marBottom w:val="0"/>
      <w:divBdr>
        <w:top w:val="none" w:sz="0" w:space="0" w:color="auto"/>
        <w:left w:val="none" w:sz="0" w:space="0" w:color="auto"/>
        <w:bottom w:val="none" w:sz="0" w:space="0" w:color="auto"/>
        <w:right w:val="none" w:sz="0" w:space="0" w:color="auto"/>
      </w:divBdr>
      <w:divsChild>
        <w:div w:id="650400918">
          <w:marLeft w:val="0"/>
          <w:marRight w:val="0"/>
          <w:marTop w:val="0"/>
          <w:marBottom w:val="0"/>
          <w:divBdr>
            <w:top w:val="none" w:sz="0" w:space="0" w:color="auto"/>
            <w:left w:val="none" w:sz="0" w:space="0" w:color="auto"/>
            <w:bottom w:val="none" w:sz="0" w:space="0" w:color="auto"/>
            <w:right w:val="none" w:sz="0" w:space="0" w:color="auto"/>
          </w:divBdr>
          <w:divsChild>
            <w:div w:id="1852842164">
              <w:marLeft w:val="0"/>
              <w:marRight w:val="0"/>
              <w:marTop w:val="0"/>
              <w:marBottom w:val="0"/>
              <w:divBdr>
                <w:top w:val="none" w:sz="0" w:space="0" w:color="auto"/>
                <w:left w:val="none" w:sz="0" w:space="0" w:color="auto"/>
                <w:bottom w:val="none" w:sz="0" w:space="0" w:color="auto"/>
                <w:right w:val="none" w:sz="0" w:space="0" w:color="auto"/>
              </w:divBdr>
              <w:divsChild>
                <w:div w:id="488330632">
                  <w:marLeft w:val="0"/>
                  <w:marRight w:val="0"/>
                  <w:marTop w:val="0"/>
                  <w:marBottom w:val="0"/>
                  <w:divBdr>
                    <w:top w:val="none" w:sz="0" w:space="0" w:color="auto"/>
                    <w:left w:val="none" w:sz="0" w:space="0" w:color="auto"/>
                    <w:bottom w:val="none" w:sz="0" w:space="0" w:color="auto"/>
                    <w:right w:val="none" w:sz="0" w:space="0" w:color="auto"/>
                  </w:divBdr>
                  <w:divsChild>
                    <w:div w:id="90367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686811">
      <w:bodyDiv w:val="1"/>
      <w:marLeft w:val="0"/>
      <w:marRight w:val="0"/>
      <w:marTop w:val="0"/>
      <w:marBottom w:val="0"/>
      <w:divBdr>
        <w:top w:val="none" w:sz="0" w:space="0" w:color="auto"/>
        <w:left w:val="none" w:sz="0" w:space="0" w:color="auto"/>
        <w:bottom w:val="none" w:sz="0" w:space="0" w:color="auto"/>
        <w:right w:val="none" w:sz="0" w:space="0" w:color="auto"/>
      </w:divBdr>
    </w:div>
    <w:div w:id="804197347">
      <w:bodyDiv w:val="1"/>
      <w:marLeft w:val="0"/>
      <w:marRight w:val="0"/>
      <w:marTop w:val="0"/>
      <w:marBottom w:val="0"/>
      <w:divBdr>
        <w:top w:val="none" w:sz="0" w:space="0" w:color="auto"/>
        <w:left w:val="none" w:sz="0" w:space="0" w:color="auto"/>
        <w:bottom w:val="none" w:sz="0" w:space="0" w:color="auto"/>
        <w:right w:val="none" w:sz="0" w:space="0" w:color="auto"/>
      </w:divBdr>
    </w:div>
    <w:div w:id="856844720">
      <w:bodyDiv w:val="1"/>
      <w:marLeft w:val="0"/>
      <w:marRight w:val="0"/>
      <w:marTop w:val="0"/>
      <w:marBottom w:val="0"/>
      <w:divBdr>
        <w:top w:val="none" w:sz="0" w:space="0" w:color="auto"/>
        <w:left w:val="none" w:sz="0" w:space="0" w:color="auto"/>
        <w:bottom w:val="none" w:sz="0" w:space="0" w:color="auto"/>
        <w:right w:val="none" w:sz="0" w:space="0" w:color="auto"/>
      </w:divBdr>
      <w:divsChild>
        <w:div w:id="44765763">
          <w:marLeft w:val="0"/>
          <w:marRight w:val="0"/>
          <w:marTop w:val="0"/>
          <w:marBottom w:val="0"/>
          <w:divBdr>
            <w:top w:val="none" w:sz="0" w:space="0" w:color="auto"/>
            <w:left w:val="none" w:sz="0" w:space="0" w:color="auto"/>
            <w:bottom w:val="none" w:sz="0" w:space="0" w:color="auto"/>
            <w:right w:val="none" w:sz="0" w:space="0" w:color="auto"/>
          </w:divBdr>
          <w:divsChild>
            <w:div w:id="1070465678">
              <w:marLeft w:val="0"/>
              <w:marRight w:val="0"/>
              <w:marTop w:val="0"/>
              <w:marBottom w:val="0"/>
              <w:divBdr>
                <w:top w:val="none" w:sz="0" w:space="0" w:color="auto"/>
                <w:left w:val="none" w:sz="0" w:space="0" w:color="auto"/>
                <w:bottom w:val="none" w:sz="0" w:space="0" w:color="auto"/>
                <w:right w:val="none" w:sz="0" w:space="0" w:color="auto"/>
              </w:divBdr>
              <w:divsChild>
                <w:div w:id="80897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044361">
      <w:bodyDiv w:val="1"/>
      <w:marLeft w:val="0"/>
      <w:marRight w:val="0"/>
      <w:marTop w:val="0"/>
      <w:marBottom w:val="0"/>
      <w:divBdr>
        <w:top w:val="none" w:sz="0" w:space="0" w:color="auto"/>
        <w:left w:val="none" w:sz="0" w:space="0" w:color="auto"/>
        <w:bottom w:val="none" w:sz="0" w:space="0" w:color="auto"/>
        <w:right w:val="none" w:sz="0" w:space="0" w:color="auto"/>
      </w:divBdr>
      <w:divsChild>
        <w:div w:id="700009916">
          <w:marLeft w:val="0"/>
          <w:marRight w:val="0"/>
          <w:marTop w:val="0"/>
          <w:marBottom w:val="0"/>
          <w:divBdr>
            <w:top w:val="none" w:sz="0" w:space="0" w:color="auto"/>
            <w:left w:val="none" w:sz="0" w:space="0" w:color="auto"/>
            <w:bottom w:val="none" w:sz="0" w:space="0" w:color="auto"/>
            <w:right w:val="none" w:sz="0" w:space="0" w:color="auto"/>
          </w:divBdr>
          <w:divsChild>
            <w:div w:id="1656449226">
              <w:marLeft w:val="0"/>
              <w:marRight w:val="0"/>
              <w:marTop w:val="0"/>
              <w:marBottom w:val="0"/>
              <w:divBdr>
                <w:top w:val="none" w:sz="0" w:space="0" w:color="auto"/>
                <w:left w:val="none" w:sz="0" w:space="0" w:color="auto"/>
                <w:bottom w:val="none" w:sz="0" w:space="0" w:color="auto"/>
                <w:right w:val="none" w:sz="0" w:space="0" w:color="auto"/>
              </w:divBdr>
              <w:divsChild>
                <w:div w:id="392000599">
                  <w:marLeft w:val="0"/>
                  <w:marRight w:val="0"/>
                  <w:marTop w:val="0"/>
                  <w:marBottom w:val="0"/>
                  <w:divBdr>
                    <w:top w:val="none" w:sz="0" w:space="0" w:color="auto"/>
                    <w:left w:val="none" w:sz="0" w:space="0" w:color="auto"/>
                    <w:bottom w:val="none" w:sz="0" w:space="0" w:color="auto"/>
                    <w:right w:val="none" w:sz="0" w:space="0" w:color="auto"/>
                  </w:divBdr>
                </w:div>
              </w:divsChild>
            </w:div>
            <w:div w:id="1831292984">
              <w:marLeft w:val="0"/>
              <w:marRight w:val="0"/>
              <w:marTop w:val="0"/>
              <w:marBottom w:val="0"/>
              <w:divBdr>
                <w:top w:val="none" w:sz="0" w:space="0" w:color="auto"/>
                <w:left w:val="none" w:sz="0" w:space="0" w:color="auto"/>
                <w:bottom w:val="none" w:sz="0" w:space="0" w:color="auto"/>
                <w:right w:val="none" w:sz="0" w:space="0" w:color="auto"/>
              </w:divBdr>
              <w:divsChild>
                <w:div w:id="784811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816364">
          <w:marLeft w:val="0"/>
          <w:marRight w:val="0"/>
          <w:marTop w:val="0"/>
          <w:marBottom w:val="0"/>
          <w:divBdr>
            <w:top w:val="none" w:sz="0" w:space="0" w:color="auto"/>
            <w:left w:val="none" w:sz="0" w:space="0" w:color="auto"/>
            <w:bottom w:val="none" w:sz="0" w:space="0" w:color="auto"/>
            <w:right w:val="none" w:sz="0" w:space="0" w:color="auto"/>
          </w:divBdr>
          <w:divsChild>
            <w:div w:id="1094201622">
              <w:marLeft w:val="0"/>
              <w:marRight w:val="0"/>
              <w:marTop w:val="0"/>
              <w:marBottom w:val="0"/>
              <w:divBdr>
                <w:top w:val="none" w:sz="0" w:space="0" w:color="auto"/>
                <w:left w:val="none" w:sz="0" w:space="0" w:color="auto"/>
                <w:bottom w:val="none" w:sz="0" w:space="0" w:color="auto"/>
                <w:right w:val="none" w:sz="0" w:space="0" w:color="auto"/>
              </w:divBdr>
              <w:divsChild>
                <w:div w:id="252205000">
                  <w:marLeft w:val="0"/>
                  <w:marRight w:val="0"/>
                  <w:marTop w:val="0"/>
                  <w:marBottom w:val="0"/>
                  <w:divBdr>
                    <w:top w:val="none" w:sz="0" w:space="0" w:color="auto"/>
                    <w:left w:val="none" w:sz="0" w:space="0" w:color="auto"/>
                    <w:bottom w:val="none" w:sz="0" w:space="0" w:color="auto"/>
                    <w:right w:val="none" w:sz="0" w:space="0" w:color="auto"/>
                  </w:divBdr>
                </w:div>
              </w:divsChild>
            </w:div>
            <w:div w:id="1740324868">
              <w:marLeft w:val="0"/>
              <w:marRight w:val="0"/>
              <w:marTop w:val="0"/>
              <w:marBottom w:val="0"/>
              <w:divBdr>
                <w:top w:val="none" w:sz="0" w:space="0" w:color="auto"/>
                <w:left w:val="none" w:sz="0" w:space="0" w:color="auto"/>
                <w:bottom w:val="none" w:sz="0" w:space="0" w:color="auto"/>
                <w:right w:val="none" w:sz="0" w:space="0" w:color="auto"/>
              </w:divBdr>
              <w:divsChild>
                <w:div w:id="59325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469853">
      <w:bodyDiv w:val="1"/>
      <w:marLeft w:val="0"/>
      <w:marRight w:val="0"/>
      <w:marTop w:val="0"/>
      <w:marBottom w:val="0"/>
      <w:divBdr>
        <w:top w:val="none" w:sz="0" w:space="0" w:color="auto"/>
        <w:left w:val="none" w:sz="0" w:space="0" w:color="auto"/>
        <w:bottom w:val="none" w:sz="0" w:space="0" w:color="auto"/>
        <w:right w:val="none" w:sz="0" w:space="0" w:color="auto"/>
      </w:divBdr>
    </w:div>
    <w:div w:id="934747590">
      <w:bodyDiv w:val="1"/>
      <w:marLeft w:val="0"/>
      <w:marRight w:val="0"/>
      <w:marTop w:val="0"/>
      <w:marBottom w:val="0"/>
      <w:divBdr>
        <w:top w:val="none" w:sz="0" w:space="0" w:color="auto"/>
        <w:left w:val="none" w:sz="0" w:space="0" w:color="auto"/>
        <w:bottom w:val="none" w:sz="0" w:space="0" w:color="auto"/>
        <w:right w:val="none" w:sz="0" w:space="0" w:color="auto"/>
      </w:divBdr>
    </w:div>
    <w:div w:id="936329201">
      <w:bodyDiv w:val="1"/>
      <w:marLeft w:val="0"/>
      <w:marRight w:val="0"/>
      <w:marTop w:val="0"/>
      <w:marBottom w:val="0"/>
      <w:divBdr>
        <w:top w:val="none" w:sz="0" w:space="0" w:color="auto"/>
        <w:left w:val="none" w:sz="0" w:space="0" w:color="auto"/>
        <w:bottom w:val="none" w:sz="0" w:space="0" w:color="auto"/>
        <w:right w:val="none" w:sz="0" w:space="0" w:color="auto"/>
      </w:divBdr>
    </w:div>
    <w:div w:id="948044530">
      <w:bodyDiv w:val="1"/>
      <w:marLeft w:val="0"/>
      <w:marRight w:val="0"/>
      <w:marTop w:val="0"/>
      <w:marBottom w:val="0"/>
      <w:divBdr>
        <w:top w:val="none" w:sz="0" w:space="0" w:color="auto"/>
        <w:left w:val="none" w:sz="0" w:space="0" w:color="auto"/>
        <w:bottom w:val="none" w:sz="0" w:space="0" w:color="auto"/>
        <w:right w:val="none" w:sz="0" w:space="0" w:color="auto"/>
      </w:divBdr>
    </w:div>
    <w:div w:id="948731769">
      <w:bodyDiv w:val="1"/>
      <w:marLeft w:val="0"/>
      <w:marRight w:val="0"/>
      <w:marTop w:val="0"/>
      <w:marBottom w:val="0"/>
      <w:divBdr>
        <w:top w:val="none" w:sz="0" w:space="0" w:color="auto"/>
        <w:left w:val="none" w:sz="0" w:space="0" w:color="auto"/>
        <w:bottom w:val="none" w:sz="0" w:space="0" w:color="auto"/>
        <w:right w:val="none" w:sz="0" w:space="0" w:color="auto"/>
      </w:divBdr>
    </w:div>
    <w:div w:id="1031952924">
      <w:bodyDiv w:val="1"/>
      <w:marLeft w:val="0"/>
      <w:marRight w:val="0"/>
      <w:marTop w:val="0"/>
      <w:marBottom w:val="0"/>
      <w:divBdr>
        <w:top w:val="none" w:sz="0" w:space="0" w:color="auto"/>
        <w:left w:val="none" w:sz="0" w:space="0" w:color="auto"/>
        <w:bottom w:val="none" w:sz="0" w:space="0" w:color="auto"/>
        <w:right w:val="none" w:sz="0" w:space="0" w:color="auto"/>
      </w:divBdr>
      <w:divsChild>
        <w:div w:id="1805464901">
          <w:marLeft w:val="0"/>
          <w:marRight w:val="0"/>
          <w:marTop w:val="0"/>
          <w:marBottom w:val="0"/>
          <w:divBdr>
            <w:top w:val="none" w:sz="0" w:space="0" w:color="auto"/>
            <w:left w:val="none" w:sz="0" w:space="0" w:color="auto"/>
            <w:bottom w:val="none" w:sz="0" w:space="0" w:color="auto"/>
            <w:right w:val="none" w:sz="0" w:space="0" w:color="auto"/>
          </w:divBdr>
          <w:divsChild>
            <w:div w:id="1612395576">
              <w:marLeft w:val="0"/>
              <w:marRight w:val="0"/>
              <w:marTop w:val="0"/>
              <w:marBottom w:val="0"/>
              <w:divBdr>
                <w:top w:val="none" w:sz="0" w:space="0" w:color="auto"/>
                <w:left w:val="none" w:sz="0" w:space="0" w:color="auto"/>
                <w:bottom w:val="none" w:sz="0" w:space="0" w:color="auto"/>
                <w:right w:val="none" w:sz="0" w:space="0" w:color="auto"/>
              </w:divBdr>
              <w:divsChild>
                <w:div w:id="82995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86581">
      <w:bodyDiv w:val="1"/>
      <w:marLeft w:val="0"/>
      <w:marRight w:val="0"/>
      <w:marTop w:val="0"/>
      <w:marBottom w:val="0"/>
      <w:divBdr>
        <w:top w:val="none" w:sz="0" w:space="0" w:color="auto"/>
        <w:left w:val="none" w:sz="0" w:space="0" w:color="auto"/>
        <w:bottom w:val="none" w:sz="0" w:space="0" w:color="auto"/>
        <w:right w:val="none" w:sz="0" w:space="0" w:color="auto"/>
      </w:divBdr>
      <w:divsChild>
        <w:div w:id="860700331">
          <w:marLeft w:val="0"/>
          <w:marRight w:val="0"/>
          <w:marTop w:val="0"/>
          <w:marBottom w:val="0"/>
          <w:divBdr>
            <w:top w:val="none" w:sz="0" w:space="0" w:color="auto"/>
            <w:left w:val="none" w:sz="0" w:space="0" w:color="auto"/>
            <w:bottom w:val="none" w:sz="0" w:space="0" w:color="auto"/>
            <w:right w:val="none" w:sz="0" w:space="0" w:color="auto"/>
          </w:divBdr>
          <w:divsChild>
            <w:div w:id="1286040865">
              <w:marLeft w:val="0"/>
              <w:marRight w:val="0"/>
              <w:marTop w:val="0"/>
              <w:marBottom w:val="0"/>
              <w:divBdr>
                <w:top w:val="none" w:sz="0" w:space="0" w:color="auto"/>
                <w:left w:val="none" w:sz="0" w:space="0" w:color="auto"/>
                <w:bottom w:val="none" w:sz="0" w:space="0" w:color="auto"/>
                <w:right w:val="none" w:sz="0" w:space="0" w:color="auto"/>
              </w:divBdr>
              <w:divsChild>
                <w:div w:id="156482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8612">
          <w:marLeft w:val="0"/>
          <w:marRight w:val="0"/>
          <w:marTop w:val="0"/>
          <w:marBottom w:val="0"/>
          <w:divBdr>
            <w:top w:val="none" w:sz="0" w:space="0" w:color="auto"/>
            <w:left w:val="none" w:sz="0" w:space="0" w:color="auto"/>
            <w:bottom w:val="none" w:sz="0" w:space="0" w:color="auto"/>
            <w:right w:val="none" w:sz="0" w:space="0" w:color="auto"/>
          </w:divBdr>
          <w:divsChild>
            <w:div w:id="238174678">
              <w:marLeft w:val="0"/>
              <w:marRight w:val="0"/>
              <w:marTop w:val="0"/>
              <w:marBottom w:val="0"/>
              <w:divBdr>
                <w:top w:val="none" w:sz="0" w:space="0" w:color="auto"/>
                <w:left w:val="none" w:sz="0" w:space="0" w:color="auto"/>
                <w:bottom w:val="none" w:sz="0" w:space="0" w:color="auto"/>
                <w:right w:val="none" w:sz="0" w:space="0" w:color="auto"/>
              </w:divBdr>
              <w:divsChild>
                <w:div w:id="619189867">
                  <w:marLeft w:val="0"/>
                  <w:marRight w:val="0"/>
                  <w:marTop w:val="0"/>
                  <w:marBottom w:val="0"/>
                  <w:divBdr>
                    <w:top w:val="none" w:sz="0" w:space="0" w:color="auto"/>
                    <w:left w:val="none" w:sz="0" w:space="0" w:color="auto"/>
                    <w:bottom w:val="none" w:sz="0" w:space="0" w:color="auto"/>
                    <w:right w:val="none" w:sz="0" w:space="0" w:color="auto"/>
                  </w:divBdr>
                </w:div>
              </w:divsChild>
            </w:div>
            <w:div w:id="1539465851">
              <w:marLeft w:val="0"/>
              <w:marRight w:val="0"/>
              <w:marTop w:val="0"/>
              <w:marBottom w:val="0"/>
              <w:divBdr>
                <w:top w:val="none" w:sz="0" w:space="0" w:color="auto"/>
                <w:left w:val="none" w:sz="0" w:space="0" w:color="auto"/>
                <w:bottom w:val="none" w:sz="0" w:space="0" w:color="auto"/>
                <w:right w:val="none" w:sz="0" w:space="0" w:color="auto"/>
              </w:divBdr>
              <w:divsChild>
                <w:div w:id="149529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672675">
      <w:bodyDiv w:val="1"/>
      <w:marLeft w:val="0"/>
      <w:marRight w:val="0"/>
      <w:marTop w:val="0"/>
      <w:marBottom w:val="0"/>
      <w:divBdr>
        <w:top w:val="none" w:sz="0" w:space="0" w:color="auto"/>
        <w:left w:val="none" w:sz="0" w:space="0" w:color="auto"/>
        <w:bottom w:val="none" w:sz="0" w:space="0" w:color="auto"/>
        <w:right w:val="none" w:sz="0" w:space="0" w:color="auto"/>
      </w:divBdr>
    </w:div>
    <w:div w:id="1133407098">
      <w:bodyDiv w:val="1"/>
      <w:marLeft w:val="0"/>
      <w:marRight w:val="0"/>
      <w:marTop w:val="0"/>
      <w:marBottom w:val="0"/>
      <w:divBdr>
        <w:top w:val="none" w:sz="0" w:space="0" w:color="auto"/>
        <w:left w:val="none" w:sz="0" w:space="0" w:color="auto"/>
        <w:bottom w:val="none" w:sz="0" w:space="0" w:color="auto"/>
        <w:right w:val="none" w:sz="0" w:space="0" w:color="auto"/>
      </w:divBdr>
    </w:div>
    <w:div w:id="1143237741">
      <w:bodyDiv w:val="1"/>
      <w:marLeft w:val="0"/>
      <w:marRight w:val="0"/>
      <w:marTop w:val="0"/>
      <w:marBottom w:val="0"/>
      <w:divBdr>
        <w:top w:val="none" w:sz="0" w:space="0" w:color="auto"/>
        <w:left w:val="none" w:sz="0" w:space="0" w:color="auto"/>
        <w:bottom w:val="none" w:sz="0" w:space="0" w:color="auto"/>
        <w:right w:val="none" w:sz="0" w:space="0" w:color="auto"/>
      </w:divBdr>
    </w:div>
    <w:div w:id="1177960172">
      <w:bodyDiv w:val="1"/>
      <w:marLeft w:val="0"/>
      <w:marRight w:val="0"/>
      <w:marTop w:val="0"/>
      <w:marBottom w:val="0"/>
      <w:divBdr>
        <w:top w:val="none" w:sz="0" w:space="0" w:color="auto"/>
        <w:left w:val="none" w:sz="0" w:space="0" w:color="auto"/>
        <w:bottom w:val="none" w:sz="0" w:space="0" w:color="auto"/>
        <w:right w:val="none" w:sz="0" w:space="0" w:color="auto"/>
      </w:divBdr>
      <w:divsChild>
        <w:div w:id="10255881">
          <w:marLeft w:val="0"/>
          <w:marRight w:val="0"/>
          <w:marTop w:val="0"/>
          <w:marBottom w:val="0"/>
          <w:divBdr>
            <w:top w:val="none" w:sz="0" w:space="0" w:color="auto"/>
            <w:left w:val="none" w:sz="0" w:space="0" w:color="auto"/>
            <w:bottom w:val="none" w:sz="0" w:space="0" w:color="auto"/>
            <w:right w:val="none" w:sz="0" w:space="0" w:color="auto"/>
          </w:divBdr>
          <w:divsChild>
            <w:div w:id="667290915">
              <w:marLeft w:val="0"/>
              <w:marRight w:val="0"/>
              <w:marTop w:val="0"/>
              <w:marBottom w:val="0"/>
              <w:divBdr>
                <w:top w:val="none" w:sz="0" w:space="0" w:color="auto"/>
                <w:left w:val="none" w:sz="0" w:space="0" w:color="auto"/>
                <w:bottom w:val="none" w:sz="0" w:space="0" w:color="auto"/>
                <w:right w:val="none" w:sz="0" w:space="0" w:color="auto"/>
              </w:divBdr>
              <w:divsChild>
                <w:div w:id="102880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350264">
      <w:bodyDiv w:val="1"/>
      <w:marLeft w:val="0"/>
      <w:marRight w:val="0"/>
      <w:marTop w:val="0"/>
      <w:marBottom w:val="0"/>
      <w:divBdr>
        <w:top w:val="none" w:sz="0" w:space="0" w:color="auto"/>
        <w:left w:val="none" w:sz="0" w:space="0" w:color="auto"/>
        <w:bottom w:val="none" w:sz="0" w:space="0" w:color="auto"/>
        <w:right w:val="none" w:sz="0" w:space="0" w:color="auto"/>
      </w:divBdr>
    </w:div>
    <w:div w:id="1218475792">
      <w:bodyDiv w:val="1"/>
      <w:marLeft w:val="0"/>
      <w:marRight w:val="0"/>
      <w:marTop w:val="0"/>
      <w:marBottom w:val="0"/>
      <w:divBdr>
        <w:top w:val="none" w:sz="0" w:space="0" w:color="auto"/>
        <w:left w:val="none" w:sz="0" w:space="0" w:color="auto"/>
        <w:bottom w:val="none" w:sz="0" w:space="0" w:color="auto"/>
        <w:right w:val="none" w:sz="0" w:space="0" w:color="auto"/>
      </w:divBdr>
    </w:div>
    <w:div w:id="1218707668">
      <w:bodyDiv w:val="1"/>
      <w:marLeft w:val="0"/>
      <w:marRight w:val="0"/>
      <w:marTop w:val="0"/>
      <w:marBottom w:val="0"/>
      <w:divBdr>
        <w:top w:val="none" w:sz="0" w:space="0" w:color="auto"/>
        <w:left w:val="none" w:sz="0" w:space="0" w:color="auto"/>
        <w:bottom w:val="none" w:sz="0" w:space="0" w:color="auto"/>
        <w:right w:val="none" w:sz="0" w:space="0" w:color="auto"/>
      </w:divBdr>
    </w:div>
    <w:div w:id="1288974502">
      <w:bodyDiv w:val="1"/>
      <w:marLeft w:val="0"/>
      <w:marRight w:val="0"/>
      <w:marTop w:val="0"/>
      <w:marBottom w:val="0"/>
      <w:divBdr>
        <w:top w:val="none" w:sz="0" w:space="0" w:color="auto"/>
        <w:left w:val="none" w:sz="0" w:space="0" w:color="auto"/>
        <w:bottom w:val="none" w:sz="0" w:space="0" w:color="auto"/>
        <w:right w:val="none" w:sz="0" w:space="0" w:color="auto"/>
      </w:divBdr>
    </w:div>
    <w:div w:id="1291784880">
      <w:bodyDiv w:val="1"/>
      <w:marLeft w:val="0"/>
      <w:marRight w:val="0"/>
      <w:marTop w:val="0"/>
      <w:marBottom w:val="0"/>
      <w:divBdr>
        <w:top w:val="none" w:sz="0" w:space="0" w:color="auto"/>
        <w:left w:val="none" w:sz="0" w:space="0" w:color="auto"/>
        <w:bottom w:val="none" w:sz="0" w:space="0" w:color="auto"/>
        <w:right w:val="none" w:sz="0" w:space="0" w:color="auto"/>
      </w:divBdr>
      <w:divsChild>
        <w:div w:id="1161694758">
          <w:marLeft w:val="0"/>
          <w:marRight w:val="0"/>
          <w:marTop w:val="0"/>
          <w:marBottom w:val="0"/>
          <w:divBdr>
            <w:top w:val="none" w:sz="0" w:space="0" w:color="auto"/>
            <w:left w:val="none" w:sz="0" w:space="0" w:color="auto"/>
            <w:bottom w:val="none" w:sz="0" w:space="0" w:color="auto"/>
            <w:right w:val="none" w:sz="0" w:space="0" w:color="auto"/>
          </w:divBdr>
          <w:divsChild>
            <w:div w:id="1369331169">
              <w:marLeft w:val="0"/>
              <w:marRight w:val="0"/>
              <w:marTop w:val="0"/>
              <w:marBottom w:val="0"/>
              <w:divBdr>
                <w:top w:val="none" w:sz="0" w:space="0" w:color="auto"/>
                <w:left w:val="none" w:sz="0" w:space="0" w:color="auto"/>
                <w:bottom w:val="none" w:sz="0" w:space="0" w:color="auto"/>
                <w:right w:val="none" w:sz="0" w:space="0" w:color="auto"/>
              </w:divBdr>
              <w:divsChild>
                <w:div w:id="31283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67765">
      <w:bodyDiv w:val="1"/>
      <w:marLeft w:val="0"/>
      <w:marRight w:val="0"/>
      <w:marTop w:val="0"/>
      <w:marBottom w:val="0"/>
      <w:divBdr>
        <w:top w:val="none" w:sz="0" w:space="0" w:color="auto"/>
        <w:left w:val="none" w:sz="0" w:space="0" w:color="auto"/>
        <w:bottom w:val="none" w:sz="0" w:space="0" w:color="auto"/>
        <w:right w:val="none" w:sz="0" w:space="0" w:color="auto"/>
      </w:divBdr>
    </w:div>
    <w:div w:id="1376462272">
      <w:bodyDiv w:val="1"/>
      <w:marLeft w:val="0"/>
      <w:marRight w:val="0"/>
      <w:marTop w:val="0"/>
      <w:marBottom w:val="0"/>
      <w:divBdr>
        <w:top w:val="none" w:sz="0" w:space="0" w:color="auto"/>
        <w:left w:val="none" w:sz="0" w:space="0" w:color="auto"/>
        <w:bottom w:val="none" w:sz="0" w:space="0" w:color="auto"/>
        <w:right w:val="none" w:sz="0" w:space="0" w:color="auto"/>
      </w:divBdr>
    </w:div>
    <w:div w:id="1470322026">
      <w:bodyDiv w:val="1"/>
      <w:marLeft w:val="0"/>
      <w:marRight w:val="0"/>
      <w:marTop w:val="0"/>
      <w:marBottom w:val="0"/>
      <w:divBdr>
        <w:top w:val="none" w:sz="0" w:space="0" w:color="auto"/>
        <w:left w:val="none" w:sz="0" w:space="0" w:color="auto"/>
        <w:bottom w:val="none" w:sz="0" w:space="0" w:color="auto"/>
        <w:right w:val="none" w:sz="0" w:space="0" w:color="auto"/>
      </w:divBdr>
    </w:div>
    <w:div w:id="1522282861">
      <w:bodyDiv w:val="1"/>
      <w:marLeft w:val="0"/>
      <w:marRight w:val="0"/>
      <w:marTop w:val="0"/>
      <w:marBottom w:val="0"/>
      <w:divBdr>
        <w:top w:val="none" w:sz="0" w:space="0" w:color="auto"/>
        <w:left w:val="none" w:sz="0" w:space="0" w:color="auto"/>
        <w:bottom w:val="none" w:sz="0" w:space="0" w:color="auto"/>
        <w:right w:val="none" w:sz="0" w:space="0" w:color="auto"/>
      </w:divBdr>
    </w:div>
    <w:div w:id="1573346287">
      <w:bodyDiv w:val="1"/>
      <w:marLeft w:val="0"/>
      <w:marRight w:val="0"/>
      <w:marTop w:val="0"/>
      <w:marBottom w:val="0"/>
      <w:divBdr>
        <w:top w:val="none" w:sz="0" w:space="0" w:color="auto"/>
        <w:left w:val="none" w:sz="0" w:space="0" w:color="auto"/>
        <w:bottom w:val="none" w:sz="0" w:space="0" w:color="auto"/>
        <w:right w:val="none" w:sz="0" w:space="0" w:color="auto"/>
      </w:divBdr>
    </w:div>
    <w:div w:id="1644579972">
      <w:bodyDiv w:val="1"/>
      <w:marLeft w:val="0"/>
      <w:marRight w:val="0"/>
      <w:marTop w:val="0"/>
      <w:marBottom w:val="0"/>
      <w:divBdr>
        <w:top w:val="none" w:sz="0" w:space="0" w:color="auto"/>
        <w:left w:val="none" w:sz="0" w:space="0" w:color="auto"/>
        <w:bottom w:val="none" w:sz="0" w:space="0" w:color="auto"/>
        <w:right w:val="none" w:sz="0" w:space="0" w:color="auto"/>
      </w:divBdr>
    </w:div>
    <w:div w:id="1673530460">
      <w:bodyDiv w:val="1"/>
      <w:marLeft w:val="0"/>
      <w:marRight w:val="0"/>
      <w:marTop w:val="0"/>
      <w:marBottom w:val="0"/>
      <w:divBdr>
        <w:top w:val="none" w:sz="0" w:space="0" w:color="auto"/>
        <w:left w:val="none" w:sz="0" w:space="0" w:color="auto"/>
        <w:bottom w:val="none" w:sz="0" w:space="0" w:color="auto"/>
        <w:right w:val="none" w:sz="0" w:space="0" w:color="auto"/>
      </w:divBdr>
    </w:div>
    <w:div w:id="1688797258">
      <w:bodyDiv w:val="1"/>
      <w:marLeft w:val="0"/>
      <w:marRight w:val="0"/>
      <w:marTop w:val="0"/>
      <w:marBottom w:val="0"/>
      <w:divBdr>
        <w:top w:val="none" w:sz="0" w:space="0" w:color="auto"/>
        <w:left w:val="none" w:sz="0" w:space="0" w:color="auto"/>
        <w:bottom w:val="none" w:sz="0" w:space="0" w:color="auto"/>
        <w:right w:val="none" w:sz="0" w:space="0" w:color="auto"/>
      </w:divBdr>
    </w:div>
    <w:div w:id="1702366153">
      <w:bodyDiv w:val="1"/>
      <w:marLeft w:val="0"/>
      <w:marRight w:val="0"/>
      <w:marTop w:val="0"/>
      <w:marBottom w:val="0"/>
      <w:divBdr>
        <w:top w:val="none" w:sz="0" w:space="0" w:color="auto"/>
        <w:left w:val="none" w:sz="0" w:space="0" w:color="auto"/>
        <w:bottom w:val="none" w:sz="0" w:space="0" w:color="auto"/>
        <w:right w:val="none" w:sz="0" w:space="0" w:color="auto"/>
      </w:divBdr>
    </w:div>
    <w:div w:id="1743257976">
      <w:bodyDiv w:val="1"/>
      <w:marLeft w:val="0"/>
      <w:marRight w:val="0"/>
      <w:marTop w:val="0"/>
      <w:marBottom w:val="0"/>
      <w:divBdr>
        <w:top w:val="none" w:sz="0" w:space="0" w:color="auto"/>
        <w:left w:val="none" w:sz="0" w:space="0" w:color="auto"/>
        <w:bottom w:val="none" w:sz="0" w:space="0" w:color="auto"/>
        <w:right w:val="none" w:sz="0" w:space="0" w:color="auto"/>
      </w:divBdr>
    </w:div>
    <w:div w:id="1789229846">
      <w:bodyDiv w:val="1"/>
      <w:marLeft w:val="0"/>
      <w:marRight w:val="0"/>
      <w:marTop w:val="0"/>
      <w:marBottom w:val="0"/>
      <w:divBdr>
        <w:top w:val="none" w:sz="0" w:space="0" w:color="auto"/>
        <w:left w:val="none" w:sz="0" w:space="0" w:color="auto"/>
        <w:bottom w:val="none" w:sz="0" w:space="0" w:color="auto"/>
        <w:right w:val="none" w:sz="0" w:space="0" w:color="auto"/>
      </w:divBdr>
    </w:div>
    <w:div w:id="1807777778">
      <w:bodyDiv w:val="1"/>
      <w:marLeft w:val="0"/>
      <w:marRight w:val="0"/>
      <w:marTop w:val="0"/>
      <w:marBottom w:val="0"/>
      <w:divBdr>
        <w:top w:val="none" w:sz="0" w:space="0" w:color="auto"/>
        <w:left w:val="none" w:sz="0" w:space="0" w:color="auto"/>
        <w:bottom w:val="none" w:sz="0" w:space="0" w:color="auto"/>
        <w:right w:val="none" w:sz="0" w:space="0" w:color="auto"/>
      </w:divBdr>
    </w:div>
    <w:div w:id="1825968659">
      <w:bodyDiv w:val="1"/>
      <w:marLeft w:val="0"/>
      <w:marRight w:val="0"/>
      <w:marTop w:val="0"/>
      <w:marBottom w:val="0"/>
      <w:divBdr>
        <w:top w:val="none" w:sz="0" w:space="0" w:color="auto"/>
        <w:left w:val="none" w:sz="0" w:space="0" w:color="auto"/>
        <w:bottom w:val="none" w:sz="0" w:space="0" w:color="auto"/>
        <w:right w:val="none" w:sz="0" w:space="0" w:color="auto"/>
      </w:divBdr>
      <w:divsChild>
        <w:div w:id="598803145">
          <w:marLeft w:val="0"/>
          <w:marRight w:val="0"/>
          <w:marTop w:val="0"/>
          <w:marBottom w:val="0"/>
          <w:divBdr>
            <w:top w:val="none" w:sz="0" w:space="0" w:color="auto"/>
            <w:left w:val="none" w:sz="0" w:space="0" w:color="auto"/>
            <w:bottom w:val="none" w:sz="0" w:space="0" w:color="auto"/>
            <w:right w:val="none" w:sz="0" w:space="0" w:color="auto"/>
          </w:divBdr>
          <w:divsChild>
            <w:div w:id="1927879910">
              <w:marLeft w:val="0"/>
              <w:marRight w:val="0"/>
              <w:marTop w:val="0"/>
              <w:marBottom w:val="0"/>
              <w:divBdr>
                <w:top w:val="none" w:sz="0" w:space="0" w:color="auto"/>
                <w:left w:val="none" w:sz="0" w:space="0" w:color="auto"/>
                <w:bottom w:val="none" w:sz="0" w:space="0" w:color="auto"/>
                <w:right w:val="none" w:sz="0" w:space="0" w:color="auto"/>
              </w:divBdr>
              <w:divsChild>
                <w:div w:id="27324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67077">
      <w:bodyDiv w:val="1"/>
      <w:marLeft w:val="0"/>
      <w:marRight w:val="0"/>
      <w:marTop w:val="0"/>
      <w:marBottom w:val="0"/>
      <w:divBdr>
        <w:top w:val="none" w:sz="0" w:space="0" w:color="auto"/>
        <w:left w:val="none" w:sz="0" w:space="0" w:color="auto"/>
        <w:bottom w:val="none" w:sz="0" w:space="0" w:color="auto"/>
        <w:right w:val="none" w:sz="0" w:space="0" w:color="auto"/>
      </w:divBdr>
    </w:div>
    <w:div w:id="1861815125">
      <w:bodyDiv w:val="1"/>
      <w:marLeft w:val="0"/>
      <w:marRight w:val="0"/>
      <w:marTop w:val="0"/>
      <w:marBottom w:val="0"/>
      <w:divBdr>
        <w:top w:val="none" w:sz="0" w:space="0" w:color="auto"/>
        <w:left w:val="none" w:sz="0" w:space="0" w:color="auto"/>
        <w:bottom w:val="none" w:sz="0" w:space="0" w:color="auto"/>
        <w:right w:val="none" w:sz="0" w:space="0" w:color="auto"/>
      </w:divBdr>
    </w:div>
    <w:div w:id="1899396823">
      <w:bodyDiv w:val="1"/>
      <w:marLeft w:val="0"/>
      <w:marRight w:val="0"/>
      <w:marTop w:val="0"/>
      <w:marBottom w:val="0"/>
      <w:divBdr>
        <w:top w:val="none" w:sz="0" w:space="0" w:color="auto"/>
        <w:left w:val="none" w:sz="0" w:space="0" w:color="auto"/>
        <w:bottom w:val="none" w:sz="0" w:space="0" w:color="auto"/>
        <w:right w:val="none" w:sz="0" w:space="0" w:color="auto"/>
      </w:divBdr>
      <w:divsChild>
        <w:div w:id="155729123">
          <w:marLeft w:val="0"/>
          <w:marRight w:val="0"/>
          <w:marTop w:val="0"/>
          <w:marBottom w:val="0"/>
          <w:divBdr>
            <w:top w:val="none" w:sz="0" w:space="0" w:color="auto"/>
            <w:left w:val="none" w:sz="0" w:space="0" w:color="auto"/>
            <w:bottom w:val="none" w:sz="0" w:space="0" w:color="auto"/>
            <w:right w:val="none" w:sz="0" w:space="0" w:color="auto"/>
          </w:divBdr>
          <w:divsChild>
            <w:div w:id="754743838">
              <w:marLeft w:val="0"/>
              <w:marRight w:val="0"/>
              <w:marTop w:val="0"/>
              <w:marBottom w:val="0"/>
              <w:divBdr>
                <w:top w:val="none" w:sz="0" w:space="0" w:color="auto"/>
                <w:left w:val="none" w:sz="0" w:space="0" w:color="auto"/>
                <w:bottom w:val="none" w:sz="0" w:space="0" w:color="auto"/>
                <w:right w:val="none" w:sz="0" w:space="0" w:color="auto"/>
              </w:divBdr>
              <w:divsChild>
                <w:div w:id="109925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28919">
          <w:marLeft w:val="0"/>
          <w:marRight w:val="0"/>
          <w:marTop w:val="0"/>
          <w:marBottom w:val="0"/>
          <w:divBdr>
            <w:top w:val="none" w:sz="0" w:space="0" w:color="auto"/>
            <w:left w:val="none" w:sz="0" w:space="0" w:color="auto"/>
            <w:bottom w:val="none" w:sz="0" w:space="0" w:color="auto"/>
            <w:right w:val="none" w:sz="0" w:space="0" w:color="auto"/>
          </w:divBdr>
          <w:divsChild>
            <w:div w:id="610742584">
              <w:marLeft w:val="0"/>
              <w:marRight w:val="0"/>
              <w:marTop w:val="0"/>
              <w:marBottom w:val="0"/>
              <w:divBdr>
                <w:top w:val="none" w:sz="0" w:space="0" w:color="auto"/>
                <w:left w:val="none" w:sz="0" w:space="0" w:color="auto"/>
                <w:bottom w:val="none" w:sz="0" w:space="0" w:color="auto"/>
                <w:right w:val="none" w:sz="0" w:space="0" w:color="auto"/>
              </w:divBdr>
              <w:divsChild>
                <w:div w:id="290484236">
                  <w:marLeft w:val="0"/>
                  <w:marRight w:val="0"/>
                  <w:marTop w:val="0"/>
                  <w:marBottom w:val="0"/>
                  <w:divBdr>
                    <w:top w:val="none" w:sz="0" w:space="0" w:color="auto"/>
                    <w:left w:val="none" w:sz="0" w:space="0" w:color="auto"/>
                    <w:bottom w:val="none" w:sz="0" w:space="0" w:color="auto"/>
                    <w:right w:val="none" w:sz="0" w:space="0" w:color="auto"/>
                  </w:divBdr>
                </w:div>
              </w:divsChild>
            </w:div>
            <w:div w:id="1766799457">
              <w:marLeft w:val="0"/>
              <w:marRight w:val="0"/>
              <w:marTop w:val="0"/>
              <w:marBottom w:val="0"/>
              <w:divBdr>
                <w:top w:val="none" w:sz="0" w:space="0" w:color="auto"/>
                <w:left w:val="none" w:sz="0" w:space="0" w:color="auto"/>
                <w:bottom w:val="none" w:sz="0" w:space="0" w:color="auto"/>
                <w:right w:val="none" w:sz="0" w:space="0" w:color="auto"/>
              </w:divBdr>
              <w:divsChild>
                <w:div w:id="13518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728987">
      <w:bodyDiv w:val="1"/>
      <w:marLeft w:val="0"/>
      <w:marRight w:val="0"/>
      <w:marTop w:val="0"/>
      <w:marBottom w:val="0"/>
      <w:divBdr>
        <w:top w:val="none" w:sz="0" w:space="0" w:color="auto"/>
        <w:left w:val="none" w:sz="0" w:space="0" w:color="auto"/>
        <w:bottom w:val="none" w:sz="0" w:space="0" w:color="auto"/>
        <w:right w:val="none" w:sz="0" w:space="0" w:color="auto"/>
      </w:divBdr>
    </w:div>
    <w:div w:id="1959874275">
      <w:bodyDiv w:val="1"/>
      <w:marLeft w:val="0"/>
      <w:marRight w:val="0"/>
      <w:marTop w:val="0"/>
      <w:marBottom w:val="0"/>
      <w:divBdr>
        <w:top w:val="none" w:sz="0" w:space="0" w:color="auto"/>
        <w:left w:val="none" w:sz="0" w:space="0" w:color="auto"/>
        <w:bottom w:val="none" w:sz="0" w:space="0" w:color="auto"/>
        <w:right w:val="none" w:sz="0" w:space="0" w:color="auto"/>
      </w:divBdr>
    </w:div>
    <w:div w:id="1997294894">
      <w:bodyDiv w:val="1"/>
      <w:marLeft w:val="0"/>
      <w:marRight w:val="0"/>
      <w:marTop w:val="0"/>
      <w:marBottom w:val="0"/>
      <w:divBdr>
        <w:top w:val="none" w:sz="0" w:space="0" w:color="auto"/>
        <w:left w:val="none" w:sz="0" w:space="0" w:color="auto"/>
        <w:bottom w:val="none" w:sz="0" w:space="0" w:color="auto"/>
        <w:right w:val="none" w:sz="0" w:space="0" w:color="auto"/>
      </w:divBdr>
      <w:divsChild>
        <w:div w:id="234556833">
          <w:marLeft w:val="0"/>
          <w:marRight w:val="0"/>
          <w:marTop w:val="0"/>
          <w:marBottom w:val="0"/>
          <w:divBdr>
            <w:top w:val="none" w:sz="0" w:space="0" w:color="auto"/>
            <w:left w:val="none" w:sz="0" w:space="0" w:color="auto"/>
            <w:bottom w:val="none" w:sz="0" w:space="0" w:color="auto"/>
            <w:right w:val="none" w:sz="0" w:space="0" w:color="auto"/>
          </w:divBdr>
          <w:divsChild>
            <w:div w:id="377632886">
              <w:marLeft w:val="0"/>
              <w:marRight w:val="0"/>
              <w:marTop w:val="0"/>
              <w:marBottom w:val="0"/>
              <w:divBdr>
                <w:top w:val="none" w:sz="0" w:space="0" w:color="auto"/>
                <w:left w:val="none" w:sz="0" w:space="0" w:color="auto"/>
                <w:bottom w:val="none" w:sz="0" w:space="0" w:color="auto"/>
                <w:right w:val="none" w:sz="0" w:space="0" w:color="auto"/>
              </w:divBdr>
              <w:divsChild>
                <w:div w:id="83265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439876">
          <w:marLeft w:val="0"/>
          <w:marRight w:val="0"/>
          <w:marTop w:val="0"/>
          <w:marBottom w:val="0"/>
          <w:divBdr>
            <w:top w:val="none" w:sz="0" w:space="0" w:color="auto"/>
            <w:left w:val="none" w:sz="0" w:space="0" w:color="auto"/>
            <w:bottom w:val="none" w:sz="0" w:space="0" w:color="auto"/>
            <w:right w:val="none" w:sz="0" w:space="0" w:color="auto"/>
          </w:divBdr>
          <w:divsChild>
            <w:div w:id="548683640">
              <w:marLeft w:val="0"/>
              <w:marRight w:val="0"/>
              <w:marTop w:val="0"/>
              <w:marBottom w:val="0"/>
              <w:divBdr>
                <w:top w:val="none" w:sz="0" w:space="0" w:color="auto"/>
                <w:left w:val="none" w:sz="0" w:space="0" w:color="auto"/>
                <w:bottom w:val="none" w:sz="0" w:space="0" w:color="auto"/>
                <w:right w:val="none" w:sz="0" w:space="0" w:color="auto"/>
              </w:divBdr>
              <w:divsChild>
                <w:div w:id="18437600">
                  <w:marLeft w:val="0"/>
                  <w:marRight w:val="0"/>
                  <w:marTop w:val="0"/>
                  <w:marBottom w:val="0"/>
                  <w:divBdr>
                    <w:top w:val="none" w:sz="0" w:space="0" w:color="auto"/>
                    <w:left w:val="none" w:sz="0" w:space="0" w:color="auto"/>
                    <w:bottom w:val="none" w:sz="0" w:space="0" w:color="auto"/>
                    <w:right w:val="none" w:sz="0" w:space="0" w:color="auto"/>
                  </w:divBdr>
                </w:div>
              </w:divsChild>
            </w:div>
            <w:div w:id="737483488">
              <w:marLeft w:val="0"/>
              <w:marRight w:val="0"/>
              <w:marTop w:val="0"/>
              <w:marBottom w:val="0"/>
              <w:divBdr>
                <w:top w:val="none" w:sz="0" w:space="0" w:color="auto"/>
                <w:left w:val="none" w:sz="0" w:space="0" w:color="auto"/>
                <w:bottom w:val="none" w:sz="0" w:space="0" w:color="auto"/>
                <w:right w:val="none" w:sz="0" w:space="0" w:color="auto"/>
              </w:divBdr>
              <w:divsChild>
                <w:div w:id="1288395970">
                  <w:marLeft w:val="0"/>
                  <w:marRight w:val="0"/>
                  <w:marTop w:val="0"/>
                  <w:marBottom w:val="0"/>
                  <w:divBdr>
                    <w:top w:val="none" w:sz="0" w:space="0" w:color="auto"/>
                    <w:left w:val="none" w:sz="0" w:space="0" w:color="auto"/>
                    <w:bottom w:val="none" w:sz="0" w:space="0" w:color="auto"/>
                    <w:right w:val="none" w:sz="0" w:space="0" w:color="auto"/>
                  </w:divBdr>
                </w:div>
                <w:div w:id="1834107800">
                  <w:marLeft w:val="0"/>
                  <w:marRight w:val="0"/>
                  <w:marTop w:val="0"/>
                  <w:marBottom w:val="0"/>
                  <w:divBdr>
                    <w:top w:val="none" w:sz="0" w:space="0" w:color="auto"/>
                    <w:left w:val="none" w:sz="0" w:space="0" w:color="auto"/>
                    <w:bottom w:val="none" w:sz="0" w:space="0" w:color="auto"/>
                    <w:right w:val="none" w:sz="0" w:space="0" w:color="auto"/>
                  </w:divBdr>
                </w:div>
              </w:divsChild>
            </w:div>
            <w:div w:id="1308825761">
              <w:marLeft w:val="0"/>
              <w:marRight w:val="0"/>
              <w:marTop w:val="0"/>
              <w:marBottom w:val="0"/>
              <w:divBdr>
                <w:top w:val="none" w:sz="0" w:space="0" w:color="auto"/>
                <w:left w:val="none" w:sz="0" w:space="0" w:color="auto"/>
                <w:bottom w:val="none" w:sz="0" w:space="0" w:color="auto"/>
                <w:right w:val="none" w:sz="0" w:space="0" w:color="auto"/>
              </w:divBdr>
              <w:divsChild>
                <w:div w:id="1023750169">
                  <w:marLeft w:val="0"/>
                  <w:marRight w:val="0"/>
                  <w:marTop w:val="0"/>
                  <w:marBottom w:val="0"/>
                  <w:divBdr>
                    <w:top w:val="none" w:sz="0" w:space="0" w:color="auto"/>
                    <w:left w:val="none" w:sz="0" w:space="0" w:color="auto"/>
                    <w:bottom w:val="none" w:sz="0" w:space="0" w:color="auto"/>
                    <w:right w:val="none" w:sz="0" w:space="0" w:color="auto"/>
                  </w:divBdr>
                </w:div>
              </w:divsChild>
            </w:div>
            <w:div w:id="1946427773">
              <w:marLeft w:val="0"/>
              <w:marRight w:val="0"/>
              <w:marTop w:val="0"/>
              <w:marBottom w:val="0"/>
              <w:divBdr>
                <w:top w:val="none" w:sz="0" w:space="0" w:color="auto"/>
                <w:left w:val="none" w:sz="0" w:space="0" w:color="auto"/>
                <w:bottom w:val="none" w:sz="0" w:space="0" w:color="auto"/>
                <w:right w:val="none" w:sz="0" w:space="0" w:color="auto"/>
              </w:divBdr>
              <w:divsChild>
                <w:div w:id="17992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566869">
      <w:bodyDiv w:val="1"/>
      <w:marLeft w:val="0"/>
      <w:marRight w:val="0"/>
      <w:marTop w:val="0"/>
      <w:marBottom w:val="0"/>
      <w:divBdr>
        <w:top w:val="none" w:sz="0" w:space="0" w:color="auto"/>
        <w:left w:val="none" w:sz="0" w:space="0" w:color="auto"/>
        <w:bottom w:val="none" w:sz="0" w:space="0" w:color="auto"/>
        <w:right w:val="none" w:sz="0" w:space="0" w:color="auto"/>
      </w:divBdr>
      <w:divsChild>
        <w:div w:id="305938488">
          <w:marLeft w:val="0"/>
          <w:marRight w:val="0"/>
          <w:marTop w:val="0"/>
          <w:marBottom w:val="0"/>
          <w:divBdr>
            <w:top w:val="none" w:sz="0" w:space="0" w:color="auto"/>
            <w:left w:val="none" w:sz="0" w:space="0" w:color="auto"/>
            <w:bottom w:val="none" w:sz="0" w:space="0" w:color="auto"/>
            <w:right w:val="none" w:sz="0" w:space="0" w:color="auto"/>
          </w:divBdr>
          <w:divsChild>
            <w:div w:id="885993142">
              <w:marLeft w:val="0"/>
              <w:marRight w:val="0"/>
              <w:marTop w:val="0"/>
              <w:marBottom w:val="0"/>
              <w:divBdr>
                <w:top w:val="none" w:sz="0" w:space="0" w:color="auto"/>
                <w:left w:val="none" w:sz="0" w:space="0" w:color="auto"/>
                <w:bottom w:val="none" w:sz="0" w:space="0" w:color="auto"/>
                <w:right w:val="none" w:sz="0" w:space="0" w:color="auto"/>
              </w:divBdr>
              <w:divsChild>
                <w:div w:id="1923447871">
                  <w:marLeft w:val="0"/>
                  <w:marRight w:val="0"/>
                  <w:marTop w:val="0"/>
                  <w:marBottom w:val="0"/>
                  <w:divBdr>
                    <w:top w:val="none" w:sz="0" w:space="0" w:color="auto"/>
                    <w:left w:val="none" w:sz="0" w:space="0" w:color="auto"/>
                    <w:bottom w:val="none" w:sz="0" w:space="0" w:color="auto"/>
                    <w:right w:val="none" w:sz="0" w:space="0" w:color="auto"/>
                  </w:divBdr>
                </w:div>
              </w:divsChild>
            </w:div>
            <w:div w:id="1991782726">
              <w:marLeft w:val="0"/>
              <w:marRight w:val="0"/>
              <w:marTop w:val="0"/>
              <w:marBottom w:val="0"/>
              <w:divBdr>
                <w:top w:val="none" w:sz="0" w:space="0" w:color="auto"/>
                <w:left w:val="none" w:sz="0" w:space="0" w:color="auto"/>
                <w:bottom w:val="none" w:sz="0" w:space="0" w:color="auto"/>
                <w:right w:val="none" w:sz="0" w:space="0" w:color="auto"/>
              </w:divBdr>
              <w:divsChild>
                <w:div w:id="8219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071804">
          <w:marLeft w:val="0"/>
          <w:marRight w:val="0"/>
          <w:marTop w:val="0"/>
          <w:marBottom w:val="0"/>
          <w:divBdr>
            <w:top w:val="none" w:sz="0" w:space="0" w:color="auto"/>
            <w:left w:val="none" w:sz="0" w:space="0" w:color="auto"/>
            <w:bottom w:val="none" w:sz="0" w:space="0" w:color="auto"/>
            <w:right w:val="none" w:sz="0" w:space="0" w:color="auto"/>
          </w:divBdr>
          <w:divsChild>
            <w:div w:id="1412199959">
              <w:marLeft w:val="0"/>
              <w:marRight w:val="0"/>
              <w:marTop w:val="0"/>
              <w:marBottom w:val="0"/>
              <w:divBdr>
                <w:top w:val="none" w:sz="0" w:space="0" w:color="auto"/>
                <w:left w:val="none" w:sz="0" w:space="0" w:color="auto"/>
                <w:bottom w:val="none" w:sz="0" w:space="0" w:color="auto"/>
                <w:right w:val="none" w:sz="0" w:space="0" w:color="auto"/>
              </w:divBdr>
              <w:divsChild>
                <w:div w:id="128778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928378">
      <w:bodyDiv w:val="1"/>
      <w:marLeft w:val="0"/>
      <w:marRight w:val="0"/>
      <w:marTop w:val="0"/>
      <w:marBottom w:val="0"/>
      <w:divBdr>
        <w:top w:val="none" w:sz="0" w:space="0" w:color="auto"/>
        <w:left w:val="none" w:sz="0" w:space="0" w:color="auto"/>
        <w:bottom w:val="none" w:sz="0" w:space="0" w:color="auto"/>
        <w:right w:val="none" w:sz="0" w:space="0" w:color="auto"/>
      </w:divBdr>
      <w:divsChild>
        <w:div w:id="845369123">
          <w:marLeft w:val="0"/>
          <w:marRight w:val="0"/>
          <w:marTop w:val="0"/>
          <w:marBottom w:val="0"/>
          <w:divBdr>
            <w:top w:val="none" w:sz="0" w:space="0" w:color="auto"/>
            <w:left w:val="none" w:sz="0" w:space="0" w:color="auto"/>
            <w:bottom w:val="none" w:sz="0" w:space="0" w:color="auto"/>
            <w:right w:val="none" w:sz="0" w:space="0" w:color="auto"/>
          </w:divBdr>
          <w:divsChild>
            <w:div w:id="1224873190">
              <w:marLeft w:val="0"/>
              <w:marRight w:val="0"/>
              <w:marTop w:val="0"/>
              <w:marBottom w:val="0"/>
              <w:divBdr>
                <w:top w:val="none" w:sz="0" w:space="0" w:color="auto"/>
                <w:left w:val="none" w:sz="0" w:space="0" w:color="auto"/>
                <w:bottom w:val="none" w:sz="0" w:space="0" w:color="auto"/>
                <w:right w:val="none" w:sz="0" w:space="0" w:color="auto"/>
              </w:divBdr>
              <w:divsChild>
                <w:div w:id="1451239195">
                  <w:marLeft w:val="0"/>
                  <w:marRight w:val="0"/>
                  <w:marTop w:val="0"/>
                  <w:marBottom w:val="0"/>
                  <w:divBdr>
                    <w:top w:val="none" w:sz="0" w:space="0" w:color="auto"/>
                    <w:left w:val="none" w:sz="0" w:space="0" w:color="auto"/>
                    <w:bottom w:val="none" w:sz="0" w:space="0" w:color="auto"/>
                    <w:right w:val="none" w:sz="0" w:space="0" w:color="auto"/>
                  </w:divBdr>
                </w:div>
              </w:divsChild>
            </w:div>
            <w:div w:id="1604606349">
              <w:marLeft w:val="0"/>
              <w:marRight w:val="0"/>
              <w:marTop w:val="0"/>
              <w:marBottom w:val="0"/>
              <w:divBdr>
                <w:top w:val="none" w:sz="0" w:space="0" w:color="auto"/>
                <w:left w:val="none" w:sz="0" w:space="0" w:color="auto"/>
                <w:bottom w:val="none" w:sz="0" w:space="0" w:color="auto"/>
                <w:right w:val="none" w:sz="0" w:space="0" w:color="auto"/>
              </w:divBdr>
              <w:divsChild>
                <w:div w:id="1236237068">
                  <w:marLeft w:val="0"/>
                  <w:marRight w:val="0"/>
                  <w:marTop w:val="0"/>
                  <w:marBottom w:val="0"/>
                  <w:divBdr>
                    <w:top w:val="none" w:sz="0" w:space="0" w:color="auto"/>
                    <w:left w:val="none" w:sz="0" w:space="0" w:color="auto"/>
                    <w:bottom w:val="none" w:sz="0" w:space="0" w:color="auto"/>
                    <w:right w:val="none" w:sz="0" w:space="0" w:color="auto"/>
                  </w:divBdr>
                </w:div>
                <w:div w:id="1394809697">
                  <w:marLeft w:val="0"/>
                  <w:marRight w:val="0"/>
                  <w:marTop w:val="0"/>
                  <w:marBottom w:val="0"/>
                  <w:divBdr>
                    <w:top w:val="none" w:sz="0" w:space="0" w:color="auto"/>
                    <w:left w:val="none" w:sz="0" w:space="0" w:color="auto"/>
                    <w:bottom w:val="none" w:sz="0" w:space="0" w:color="auto"/>
                    <w:right w:val="none" w:sz="0" w:space="0" w:color="auto"/>
                  </w:divBdr>
                </w:div>
              </w:divsChild>
            </w:div>
            <w:div w:id="1995259676">
              <w:marLeft w:val="0"/>
              <w:marRight w:val="0"/>
              <w:marTop w:val="0"/>
              <w:marBottom w:val="0"/>
              <w:divBdr>
                <w:top w:val="none" w:sz="0" w:space="0" w:color="auto"/>
                <w:left w:val="none" w:sz="0" w:space="0" w:color="auto"/>
                <w:bottom w:val="none" w:sz="0" w:space="0" w:color="auto"/>
                <w:right w:val="none" w:sz="0" w:space="0" w:color="auto"/>
              </w:divBdr>
              <w:divsChild>
                <w:div w:id="256447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533226">
          <w:marLeft w:val="0"/>
          <w:marRight w:val="0"/>
          <w:marTop w:val="0"/>
          <w:marBottom w:val="0"/>
          <w:divBdr>
            <w:top w:val="none" w:sz="0" w:space="0" w:color="auto"/>
            <w:left w:val="none" w:sz="0" w:space="0" w:color="auto"/>
            <w:bottom w:val="none" w:sz="0" w:space="0" w:color="auto"/>
            <w:right w:val="none" w:sz="0" w:space="0" w:color="auto"/>
          </w:divBdr>
          <w:divsChild>
            <w:div w:id="1533956196">
              <w:marLeft w:val="0"/>
              <w:marRight w:val="0"/>
              <w:marTop w:val="0"/>
              <w:marBottom w:val="0"/>
              <w:divBdr>
                <w:top w:val="none" w:sz="0" w:space="0" w:color="auto"/>
                <w:left w:val="none" w:sz="0" w:space="0" w:color="auto"/>
                <w:bottom w:val="none" w:sz="0" w:space="0" w:color="auto"/>
                <w:right w:val="none" w:sz="0" w:space="0" w:color="auto"/>
              </w:divBdr>
              <w:divsChild>
                <w:div w:id="57871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594427">
      <w:bodyDiv w:val="1"/>
      <w:marLeft w:val="0"/>
      <w:marRight w:val="0"/>
      <w:marTop w:val="0"/>
      <w:marBottom w:val="0"/>
      <w:divBdr>
        <w:top w:val="none" w:sz="0" w:space="0" w:color="auto"/>
        <w:left w:val="none" w:sz="0" w:space="0" w:color="auto"/>
        <w:bottom w:val="none" w:sz="0" w:space="0" w:color="auto"/>
        <w:right w:val="none" w:sz="0" w:space="0" w:color="auto"/>
      </w:divBdr>
      <w:divsChild>
        <w:div w:id="977421990">
          <w:marLeft w:val="0"/>
          <w:marRight w:val="0"/>
          <w:marTop w:val="0"/>
          <w:marBottom w:val="0"/>
          <w:divBdr>
            <w:top w:val="none" w:sz="0" w:space="0" w:color="auto"/>
            <w:left w:val="none" w:sz="0" w:space="0" w:color="auto"/>
            <w:bottom w:val="none" w:sz="0" w:space="0" w:color="auto"/>
            <w:right w:val="none" w:sz="0" w:space="0" w:color="auto"/>
          </w:divBdr>
          <w:divsChild>
            <w:div w:id="106825143">
              <w:marLeft w:val="0"/>
              <w:marRight w:val="0"/>
              <w:marTop w:val="0"/>
              <w:marBottom w:val="0"/>
              <w:divBdr>
                <w:top w:val="none" w:sz="0" w:space="0" w:color="auto"/>
                <w:left w:val="none" w:sz="0" w:space="0" w:color="auto"/>
                <w:bottom w:val="none" w:sz="0" w:space="0" w:color="auto"/>
                <w:right w:val="none" w:sz="0" w:space="0" w:color="auto"/>
              </w:divBdr>
              <w:divsChild>
                <w:div w:id="1443959676">
                  <w:marLeft w:val="0"/>
                  <w:marRight w:val="0"/>
                  <w:marTop w:val="0"/>
                  <w:marBottom w:val="0"/>
                  <w:divBdr>
                    <w:top w:val="none" w:sz="0" w:space="0" w:color="auto"/>
                    <w:left w:val="none" w:sz="0" w:space="0" w:color="auto"/>
                    <w:bottom w:val="none" w:sz="0" w:space="0" w:color="auto"/>
                    <w:right w:val="none" w:sz="0" w:space="0" w:color="auto"/>
                  </w:divBdr>
                </w:div>
              </w:divsChild>
            </w:div>
            <w:div w:id="664549778">
              <w:marLeft w:val="0"/>
              <w:marRight w:val="0"/>
              <w:marTop w:val="0"/>
              <w:marBottom w:val="0"/>
              <w:divBdr>
                <w:top w:val="none" w:sz="0" w:space="0" w:color="auto"/>
                <w:left w:val="none" w:sz="0" w:space="0" w:color="auto"/>
                <w:bottom w:val="none" w:sz="0" w:space="0" w:color="auto"/>
                <w:right w:val="none" w:sz="0" w:space="0" w:color="auto"/>
              </w:divBdr>
              <w:divsChild>
                <w:div w:id="104637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2.png"/><Relationship Id="rId21" Type="http://schemas.openxmlformats.org/officeDocument/2006/relationships/chart" Target="charts/chart1.xml"/><Relationship Id="rId42" Type="http://schemas.openxmlformats.org/officeDocument/2006/relationships/chart" Target="charts/chart15.xml"/><Relationship Id="rId63" Type="http://schemas.openxmlformats.org/officeDocument/2006/relationships/chart" Target="charts/chart25.xml"/><Relationship Id="rId84" Type="http://schemas.openxmlformats.org/officeDocument/2006/relationships/hyperlink" Target="https://www.seringas.caissedesdepots.fr" TargetMode="External"/><Relationship Id="rId138" Type="http://schemas.openxmlformats.org/officeDocument/2006/relationships/hyperlink" Target="https://www.statistiques.developpement-durable.gouv.fr/les-francais-face-aux-risques-environnementaux-quelle-prise-de-conscience-en-2022-0?rubrique=43&amp;dossier=200" TargetMode="External"/><Relationship Id="rId159" Type="http://schemas.openxmlformats.org/officeDocument/2006/relationships/hyperlink" Target="https://eduscol.education.fr/1118/la-labellisation-e3d" TargetMode="External"/><Relationship Id="rId170" Type="http://schemas.openxmlformats.org/officeDocument/2006/relationships/hyperlink" Target="http://www.globalABC.com" TargetMode="External"/><Relationship Id="rId107" Type="http://schemas.openxmlformats.org/officeDocument/2006/relationships/chart" Target="charts/chart51.xml"/><Relationship Id="rId11" Type="http://schemas.openxmlformats.org/officeDocument/2006/relationships/image" Target="media/image1.jpg"/><Relationship Id="rId32" Type="http://schemas.openxmlformats.org/officeDocument/2006/relationships/image" Target="media/image11.png"/><Relationship Id="rId53" Type="http://schemas.openxmlformats.org/officeDocument/2006/relationships/chart" Target="charts/chart18.xml"/><Relationship Id="rId74" Type="http://schemas.openxmlformats.org/officeDocument/2006/relationships/chart" Target="charts/chart35.xml"/><Relationship Id="rId128" Type="http://schemas.openxmlformats.org/officeDocument/2006/relationships/image" Target="media/image41.emf"/><Relationship Id="rId149" Type="http://schemas.openxmlformats.org/officeDocument/2006/relationships/hyperlink" Target="https://eduscol.education.fr/1117/education-au-developpement-durable" TargetMode="External"/><Relationship Id="rId5" Type="http://schemas.openxmlformats.org/officeDocument/2006/relationships/numbering" Target="numbering.xml"/><Relationship Id="rId95" Type="http://schemas.openxmlformats.org/officeDocument/2006/relationships/chart" Target="charts/chart40.xml"/><Relationship Id="rId160" Type="http://schemas.openxmlformats.org/officeDocument/2006/relationships/hyperlink" Target="https://batiscolaire.education.gouv.fr/" TargetMode="External"/><Relationship Id="rId22" Type="http://schemas.openxmlformats.org/officeDocument/2006/relationships/chart" Target="charts/chart2.xml"/><Relationship Id="rId43" Type="http://schemas.openxmlformats.org/officeDocument/2006/relationships/chart" Target="charts/chart16.xml"/><Relationship Id="rId64" Type="http://schemas.openxmlformats.org/officeDocument/2006/relationships/chart" Target="charts/chart26.xml"/><Relationship Id="rId118" Type="http://schemas.openxmlformats.org/officeDocument/2006/relationships/image" Target="media/image33.png"/><Relationship Id="rId139" Type="http://schemas.openxmlformats.org/officeDocument/2006/relationships/image" Target="media/image44.png"/><Relationship Id="rId85" Type="http://schemas.openxmlformats.org/officeDocument/2006/relationships/image" Target="media/image19.png"/><Relationship Id="rId150" Type="http://schemas.openxmlformats.org/officeDocument/2006/relationships/hyperlink" Target="https://www.legifrance.gouv.fr/codes/article_lc/LEGIARTI000044330805" TargetMode="External"/><Relationship Id="rId171" Type="http://schemas.openxmlformats.org/officeDocument/2006/relationships/image" Target="media/image48.emf"/><Relationship Id="rId12" Type="http://schemas.openxmlformats.org/officeDocument/2006/relationships/image" Target="media/image2.png"/><Relationship Id="rId33" Type="http://schemas.openxmlformats.org/officeDocument/2006/relationships/chart" Target="charts/chart6.xml"/><Relationship Id="rId108" Type="http://schemas.openxmlformats.org/officeDocument/2006/relationships/chart" Target="charts/chart52.xml"/><Relationship Id="rId129" Type="http://schemas.openxmlformats.org/officeDocument/2006/relationships/image" Target="media/image42.emf"/><Relationship Id="rId54" Type="http://schemas.openxmlformats.org/officeDocument/2006/relationships/chart" Target="charts/chart19.xml"/><Relationship Id="rId75" Type="http://schemas.openxmlformats.org/officeDocument/2006/relationships/chart" Target="charts/chart36.xml"/><Relationship Id="rId96" Type="http://schemas.openxmlformats.org/officeDocument/2006/relationships/chart" Target="charts/chart41.xml"/><Relationship Id="rId140" Type="http://schemas.openxmlformats.org/officeDocument/2006/relationships/image" Target="media/image45.png"/><Relationship Id="rId161" Type="http://schemas.openxmlformats.org/officeDocument/2006/relationships/hyperlink" Target="https://www.cube-s.org/"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chart" Target="charts/chart3.xml"/><Relationship Id="rId49" Type="http://schemas.openxmlformats.org/officeDocument/2006/relationships/hyperlink" Target="https://www.insee.fr/fr/statistiques/2123180" TargetMode="External"/><Relationship Id="rId114" Type="http://schemas.openxmlformats.org/officeDocument/2006/relationships/image" Target="media/image29.png"/><Relationship Id="rId119" Type="http://schemas.openxmlformats.org/officeDocument/2006/relationships/image" Target="media/image34.jpeg"/><Relationship Id="rId44" Type="http://schemas.openxmlformats.org/officeDocument/2006/relationships/hyperlink" Target="https://www.insee.fr/fr/statistiques/2123180" TargetMode="External"/><Relationship Id="rId60" Type="http://schemas.openxmlformats.org/officeDocument/2006/relationships/image" Target="media/image13.emf"/><Relationship Id="rId65" Type="http://schemas.openxmlformats.org/officeDocument/2006/relationships/chart" Target="charts/chart27.xml"/><Relationship Id="rId81" Type="http://schemas.openxmlformats.org/officeDocument/2006/relationships/image" Target="media/image17.emf"/><Relationship Id="rId86" Type="http://schemas.openxmlformats.org/officeDocument/2006/relationships/image" Target="media/image20.png"/><Relationship Id="rId130" Type="http://schemas.openxmlformats.org/officeDocument/2006/relationships/hyperlink" Target="http://www.ozcar-ri.org/?lang=fr" TargetMode="External"/><Relationship Id="rId135" Type="http://schemas.openxmlformats.org/officeDocument/2006/relationships/image" Target="media/image43.png"/><Relationship Id="rId151" Type="http://schemas.openxmlformats.org/officeDocument/2006/relationships/hyperlink" Target="https://www.legifrance.gouv.fr/codes/article_lc/LEGIARTI000043958813" TargetMode="External"/><Relationship Id="rId156" Type="http://schemas.openxmlformats.org/officeDocument/2006/relationships/hyperlink" Target="https://www.education.gouv.fr/prix-de-l-action-eco-deleguee-de-l-annee-307360" TargetMode="External"/><Relationship Id="rId172" Type="http://schemas.openxmlformats.org/officeDocument/2006/relationships/image" Target="media/image49.emf"/><Relationship Id="rId13" Type="http://schemas.openxmlformats.org/officeDocument/2006/relationships/footer" Target="footer1.xml"/><Relationship Id="rId18" Type="http://schemas.openxmlformats.org/officeDocument/2006/relationships/hyperlink" Target="https://www.legifrance.gouv.fr/codes/article_lc/LEGIARTI000043974685/2021-08-25" TargetMode="External"/><Relationship Id="rId39" Type="http://schemas.openxmlformats.org/officeDocument/2006/relationships/chart" Target="charts/chart12.xml"/><Relationship Id="rId109" Type="http://schemas.openxmlformats.org/officeDocument/2006/relationships/image" Target="media/image25.gif"/><Relationship Id="rId34" Type="http://schemas.openxmlformats.org/officeDocument/2006/relationships/chart" Target="charts/chart7.xml"/><Relationship Id="rId50" Type="http://schemas.openxmlformats.org/officeDocument/2006/relationships/hyperlink" Target="https://www.insee.fr/fr/statistiques/2123180" TargetMode="External"/><Relationship Id="rId55" Type="http://schemas.openxmlformats.org/officeDocument/2006/relationships/chart" Target="charts/chart20.xml"/><Relationship Id="rId76" Type="http://schemas.openxmlformats.org/officeDocument/2006/relationships/chart" Target="charts/chart37.xml"/><Relationship Id="rId97" Type="http://schemas.openxmlformats.org/officeDocument/2006/relationships/chart" Target="charts/chart42.xml"/><Relationship Id="rId104" Type="http://schemas.openxmlformats.org/officeDocument/2006/relationships/chart" Target="charts/chart49.xml"/><Relationship Id="rId120" Type="http://schemas.openxmlformats.org/officeDocument/2006/relationships/image" Target="media/image35.jpeg"/><Relationship Id="rId125" Type="http://schemas.openxmlformats.org/officeDocument/2006/relationships/image" Target="media/image40.png"/><Relationship Id="rId141" Type="http://schemas.openxmlformats.org/officeDocument/2006/relationships/image" Target="media/image46.png"/><Relationship Id="rId146" Type="http://schemas.openxmlformats.org/officeDocument/2006/relationships/hyperlink" Target="https://www.notre-environnement.gouv.fr/" TargetMode="External"/><Relationship Id="rId167" Type="http://schemas.openxmlformats.org/officeDocument/2006/relationships/hyperlink" Target="https://www.sciencealecole.org/plan-meteo-a-lecole-presentation" TargetMode="External"/><Relationship Id="rId7" Type="http://schemas.openxmlformats.org/officeDocument/2006/relationships/settings" Target="settings.xml"/><Relationship Id="rId71" Type="http://schemas.openxmlformats.org/officeDocument/2006/relationships/chart" Target="charts/chart32.xml"/><Relationship Id="rId92" Type="http://schemas.openxmlformats.org/officeDocument/2006/relationships/hyperlink" Target="http://ec.europa.eu/transparency/regdoc/?fuseaction=ia" TargetMode="External"/><Relationship Id="rId162" Type="http://schemas.openxmlformats.org/officeDocument/2006/relationships/hyperlink" Target="https://www.cube-s.org/retours-dexperience-du-challenge-cube-s/" TargetMode="External"/><Relationship Id="rId2" Type="http://schemas.openxmlformats.org/officeDocument/2006/relationships/customXml" Target="../customXml/item2.xml"/><Relationship Id="rId29" Type="http://schemas.openxmlformats.org/officeDocument/2006/relationships/chart" Target="charts/chart4.xml"/><Relationship Id="rId24" Type="http://schemas.openxmlformats.org/officeDocument/2006/relationships/image" Target="media/image6.png"/><Relationship Id="rId40" Type="http://schemas.openxmlformats.org/officeDocument/2006/relationships/chart" Target="charts/chart13.xml"/><Relationship Id="rId45" Type="http://schemas.openxmlformats.org/officeDocument/2006/relationships/hyperlink" Target="https://www.insee.fr/fr/statistiques/2123180" TargetMode="External"/><Relationship Id="rId66" Type="http://schemas.openxmlformats.org/officeDocument/2006/relationships/chart" Target="charts/chart28.xml"/><Relationship Id="rId87" Type="http://schemas.openxmlformats.org/officeDocument/2006/relationships/hyperlink" Target="https://www.ecologie.gouv.fr/sites/default/files/2020-03-25_MTES_SNBC2.pd" TargetMode="External"/><Relationship Id="rId110" Type="http://schemas.openxmlformats.org/officeDocument/2006/relationships/hyperlink" Target="https://meteofrance.com/changement-climatique/observer/le-changement-climatique-en-france" TargetMode="External"/><Relationship Id="rId115" Type="http://schemas.openxmlformats.org/officeDocument/2006/relationships/image" Target="media/image30.jpg"/><Relationship Id="rId131" Type="http://schemas.openxmlformats.org/officeDocument/2006/relationships/hyperlink" Target="http://www.amma-catch.org/IMG/pdf/ozcar_observatories.pdf" TargetMode="External"/><Relationship Id="rId136" Type="http://schemas.openxmlformats.org/officeDocument/2006/relationships/hyperlink" Target="https://www.statistiques.developpement-durable.gouv.fr/le-sentiment-dexposition-aux-risques-environnementaux?rubrique=43&amp;dossier=200" TargetMode="External"/><Relationship Id="rId157" Type="http://schemas.openxmlformats.org/officeDocument/2006/relationships/hyperlink" Target="https://eduscol.education.fr/1121/les-eco-delegues" TargetMode="External"/><Relationship Id="rId61" Type="http://schemas.openxmlformats.org/officeDocument/2006/relationships/image" Target="media/image14.emf"/><Relationship Id="rId82" Type="http://schemas.openxmlformats.org/officeDocument/2006/relationships/image" Target="media/image18.emf"/><Relationship Id="rId152" Type="http://schemas.openxmlformats.org/officeDocument/2006/relationships/hyperlink" Target="https://www.legifrance.gouv.fr/codes/article_lc/LEGIARTI000043974685/2021-08-25" TargetMode="External"/><Relationship Id="rId173" Type="http://schemas.openxmlformats.org/officeDocument/2006/relationships/fontTable" Target="fontTable.xml"/><Relationship Id="rId19" Type="http://schemas.openxmlformats.org/officeDocument/2006/relationships/hyperlink" Target="https://www.education.gouv.fr/bo/19/Hebdo31/MENE1924799C.htm" TargetMode="External"/><Relationship Id="rId14" Type="http://schemas.openxmlformats.org/officeDocument/2006/relationships/header" Target="header1.xml"/><Relationship Id="rId30" Type="http://schemas.openxmlformats.org/officeDocument/2006/relationships/image" Target="media/image10.emf"/><Relationship Id="rId35" Type="http://schemas.openxmlformats.org/officeDocument/2006/relationships/chart" Target="charts/chart8.xml"/><Relationship Id="rId56" Type="http://schemas.openxmlformats.org/officeDocument/2006/relationships/chart" Target="charts/chart21.xml"/><Relationship Id="rId77" Type="http://schemas.openxmlformats.org/officeDocument/2006/relationships/chart" Target="charts/chart38.xml"/><Relationship Id="rId100" Type="http://schemas.openxmlformats.org/officeDocument/2006/relationships/chart" Target="charts/chart45.xml"/><Relationship Id="rId105" Type="http://schemas.openxmlformats.org/officeDocument/2006/relationships/chart" Target="charts/chart50.xml"/><Relationship Id="rId126" Type="http://schemas.openxmlformats.org/officeDocument/2006/relationships/hyperlink" Target="https://www.horizon2020.gouv.fr/cid145004/presentation-programme-horizon-europe-2019.html" TargetMode="External"/><Relationship Id="rId147" Type="http://schemas.openxmlformats.org/officeDocument/2006/relationships/hyperlink" Target="https://www.adaptation-changement-climatique.gouv.fr/" TargetMode="External"/><Relationship Id="rId168" Type="http://schemas.openxmlformats.org/officeDocument/2006/relationships/hyperlink" Target="https://www.ecologie.gouv.fr/sites/default/files/Thema%20-%20Initiatives%20citoyennes%20et%20transition%20%C3%A9cologique.pdf" TargetMode="External"/><Relationship Id="rId8" Type="http://schemas.openxmlformats.org/officeDocument/2006/relationships/webSettings" Target="webSettings.xml"/><Relationship Id="rId51" Type="http://schemas.openxmlformats.org/officeDocument/2006/relationships/hyperlink" Target="https://www.insee.fr/fr/metadonnees/source/serie/s1030" TargetMode="External"/><Relationship Id="rId72" Type="http://schemas.openxmlformats.org/officeDocument/2006/relationships/chart" Target="charts/chart33.xml"/><Relationship Id="rId93" Type="http://schemas.openxmlformats.org/officeDocument/2006/relationships/image" Target="media/image22.png"/><Relationship Id="rId98" Type="http://schemas.openxmlformats.org/officeDocument/2006/relationships/chart" Target="charts/chart43.xml"/><Relationship Id="rId121" Type="http://schemas.openxmlformats.org/officeDocument/2006/relationships/image" Target="media/image36.png"/><Relationship Id="rId142" Type="http://schemas.openxmlformats.org/officeDocument/2006/relationships/image" Target="media/image47.png"/><Relationship Id="rId163" Type="http://schemas.openxmlformats.org/officeDocument/2006/relationships/hyperlink" Target="https://www.mtaterre.fr/" TargetMode="External"/><Relationship Id="rId3" Type="http://schemas.openxmlformats.org/officeDocument/2006/relationships/customXml" Target="../customXml/item3.xml"/><Relationship Id="rId25" Type="http://schemas.openxmlformats.org/officeDocument/2006/relationships/image" Target="media/image7.jpg"/><Relationship Id="rId46" Type="http://schemas.openxmlformats.org/officeDocument/2006/relationships/hyperlink" Target="https://www.insee.fr/fr/statistiques/2123180" TargetMode="External"/><Relationship Id="rId67" Type="http://schemas.openxmlformats.org/officeDocument/2006/relationships/chart" Target="charts/chart29.xml"/><Relationship Id="rId116" Type="http://schemas.openxmlformats.org/officeDocument/2006/relationships/image" Target="media/image31.emf"/><Relationship Id="rId137" Type="http://schemas.openxmlformats.org/officeDocument/2006/relationships/hyperlink" Target="https://www.statistiques.developpement-durable.gouv.fr/effets-du-changement-climatique-des-risques-encore-abstraits-pour-les-francais?rubrique=327&amp;dossier=1340" TargetMode="External"/><Relationship Id="rId158" Type="http://schemas.openxmlformats.org/officeDocument/2006/relationships/hyperlink" Target="https://eduscol.education.fr/document/42448/download" TargetMode="External"/><Relationship Id="rId20" Type="http://schemas.openxmlformats.org/officeDocument/2006/relationships/hyperlink" Target="https://www.education.gouv.fr/bo/20/Hebdo36/MENE2025449C.htm" TargetMode="External"/><Relationship Id="rId41" Type="http://schemas.openxmlformats.org/officeDocument/2006/relationships/chart" Target="charts/chart14.xml"/><Relationship Id="rId62" Type="http://schemas.openxmlformats.org/officeDocument/2006/relationships/chart" Target="charts/chart24.xml"/><Relationship Id="rId83" Type="http://schemas.openxmlformats.org/officeDocument/2006/relationships/hyperlink" Target="https://unionregistry.ec.europa.eu/euregistry/FR/index.xhtml" TargetMode="External"/><Relationship Id="rId88" Type="http://schemas.openxmlformats.org/officeDocument/2006/relationships/hyperlink" Target="https://www.legifrance.gouv.fr/codes/article_lc/LEGIARTI000039369458" TargetMode="External"/><Relationship Id="rId111" Type="http://schemas.openxmlformats.org/officeDocument/2006/relationships/image" Target="media/image26.png"/><Relationship Id="rId132" Type="http://schemas.openxmlformats.org/officeDocument/2006/relationships/hyperlink" Target="https://www.lter-europe.net/" TargetMode="External"/><Relationship Id="rId153" Type="http://schemas.openxmlformats.org/officeDocument/2006/relationships/hyperlink" Target="https://www.education.gouv.fr/bo/19/Hebdo31/MENE1924799C.htm" TargetMode="External"/><Relationship Id="rId174" Type="http://schemas.openxmlformats.org/officeDocument/2006/relationships/theme" Target="theme/theme1.xml"/><Relationship Id="rId15" Type="http://schemas.openxmlformats.org/officeDocument/2006/relationships/image" Target="media/image3.gif"/><Relationship Id="rId36" Type="http://schemas.openxmlformats.org/officeDocument/2006/relationships/chart" Target="charts/chart9.xml"/><Relationship Id="rId57" Type="http://schemas.openxmlformats.org/officeDocument/2006/relationships/chart" Target="charts/chart22.xml"/><Relationship Id="rId106" Type="http://schemas.openxmlformats.org/officeDocument/2006/relationships/image" Target="media/image24.png"/><Relationship Id="rId127" Type="http://schemas.openxmlformats.org/officeDocument/2006/relationships/hyperlink" Target="https://www.horizon-europe.gouv.fr/mission-adaptation-au-changement-climatique-et-aux-transformations-societales-27800" TargetMode="External"/><Relationship Id="rId10" Type="http://schemas.openxmlformats.org/officeDocument/2006/relationships/endnotes" Target="endnotes.xml"/><Relationship Id="rId31" Type="http://schemas.openxmlformats.org/officeDocument/2006/relationships/chart" Target="charts/chart5.xml"/><Relationship Id="rId52" Type="http://schemas.openxmlformats.org/officeDocument/2006/relationships/chart" Target="charts/chart17.xml"/><Relationship Id="rId73" Type="http://schemas.openxmlformats.org/officeDocument/2006/relationships/chart" Target="charts/chart34.xml"/><Relationship Id="rId78" Type="http://schemas.openxmlformats.org/officeDocument/2006/relationships/chart" Target="charts/chart39.xml"/><Relationship Id="rId94" Type="http://schemas.openxmlformats.org/officeDocument/2006/relationships/image" Target="media/image23.png"/><Relationship Id="rId99" Type="http://schemas.openxmlformats.org/officeDocument/2006/relationships/chart" Target="charts/chart44.xml"/><Relationship Id="rId101" Type="http://schemas.openxmlformats.org/officeDocument/2006/relationships/chart" Target="charts/chart46.xml"/><Relationship Id="rId122" Type="http://schemas.openxmlformats.org/officeDocument/2006/relationships/image" Target="media/image37.emf"/><Relationship Id="rId143" Type="http://schemas.openxmlformats.org/officeDocument/2006/relationships/hyperlink" Target="https://www.statistiques.developpement-durable.gouv.fr/etat-de-lenvironnement" TargetMode="External"/><Relationship Id="rId148" Type="http://schemas.openxmlformats.org/officeDocument/2006/relationships/hyperlink" Target="https://www.ecologie.gouv.fr/observatoire-national-sur-effets-du-rechauffement-climatique-onerc" TargetMode="External"/><Relationship Id="rId164" Type="http://schemas.openxmlformats.org/officeDocument/2006/relationships/hyperlink" Target="http://www.agirpourlatransition.ademe.fr/acteurs-education" TargetMode="External"/><Relationship Id="rId169" Type="http://schemas.openxmlformats.org/officeDocument/2006/relationships/hyperlink" Target="https://www.ecologie.gouv.fr/dialogue-environnementa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8.png"/><Relationship Id="rId47" Type="http://schemas.openxmlformats.org/officeDocument/2006/relationships/hyperlink" Target="https://www.insee.fr/fr/statistiques/2123180" TargetMode="External"/><Relationship Id="rId68" Type="http://schemas.openxmlformats.org/officeDocument/2006/relationships/image" Target="media/image15.emf"/><Relationship Id="rId89" Type="http://schemas.openxmlformats.org/officeDocument/2006/relationships/hyperlink" Target="https://www.ecologie.gouv.fr/sites/default/files/20200318%20Rapport%20d'accompagnement%20SNBC2.pdf" TargetMode="External"/><Relationship Id="rId112" Type="http://schemas.openxmlformats.org/officeDocument/2006/relationships/image" Target="media/image27.png"/><Relationship Id="rId133" Type="http://schemas.openxmlformats.org/officeDocument/2006/relationships/hyperlink" Target="https://www.czen.org/" TargetMode="External"/><Relationship Id="rId154" Type="http://schemas.openxmlformats.org/officeDocument/2006/relationships/hyperlink" Target="https://www.education.gouv.fr/bo/20/Hebdo36/MENE2025449C.htm" TargetMode="External"/><Relationship Id="rId16" Type="http://schemas.openxmlformats.org/officeDocument/2006/relationships/image" Target="media/image4.gif"/><Relationship Id="rId37" Type="http://schemas.openxmlformats.org/officeDocument/2006/relationships/chart" Target="charts/chart10.xml"/><Relationship Id="rId58" Type="http://schemas.openxmlformats.org/officeDocument/2006/relationships/image" Target="media/image12.png"/><Relationship Id="rId79" Type="http://schemas.openxmlformats.org/officeDocument/2006/relationships/hyperlink" Target="mailto:jonathan.hess@developpement-durable.gouv.fr" TargetMode="External"/><Relationship Id="rId102" Type="http://schemas.openxmlformats.org/officeDocument/2006/relationships/chart" Target="charts/chart47.xml"/><Relationship Id="rId123" Type="http://schemas.openxmlformats.org/officeDocument/2006/relationships/image" Target="media/image38.png"/><Relationship Id="rId144" Type="http://schemas.openxmlformats.org/officeDocument/2006/relationships/hyperlink" Target="https://www.statistiques.developpement-durable.gouv.fr/bilan-environnemental-de-la-france-edition-2021?rubrique=41&amp;dossier=176" TargetMode="External"/><Relationship Id="rId90" Type="http://schemas.openxmlformats.org/officeDocument/2006/relationships/image" Target="media/image21.gif"/><Relationship Id="rId165" Type="http://schemas.openxmlformats.org/officeDocument/2006/relationships/hyperlink" Target="https://www.mnhn.fr/fr/enseignants" TargetMode="External"/><Relationship Id="rId27" Type="http://schemas.openxmlformats.org/officeDocument/2006/relationships/image" Target="media/image9.png"/><Relationship Id="rId48" Type="http://schemas.openxmlformats.org/officeDocument/2006/relationships/hyperlink" Target="https://www.insee.fr/fr/statistiques/2123180" TargetMode="External"/><Relationship Id="rId69" Type="http://schemas.openxmlformats.org/officeDocument/2006/relationships/chart" Target="charts/chart30.xml"/><Relationship Id="rId113" Type="http://schemas.openxmlformats.org/officeDocument/2006/relationships/image" Target="media/image28.png"/><Relationship Id="rId134" Type="http://schemas.openxmlformats.org/officeDocument/2006/relationships/hyperlink" Target="http://www.emep.int/" TargetMode="External"/><Relationship Id="rId80" Type="http://schemas.openxmlformats.org/officeDocument/2006/relationships/hyperlink" Target="https://www.citepa.org/fr/ccnucc/" TargetMode="External"/><Relationship Id="rId155" Type="http://schemas.openxmlformats.org/officeDocument/2006/relationships/hyperlink" Target="https://eduscol.education.fr/document/5239/download" TargetMode="External"/><Relationship Id="rId17" Type="http://schemas.openxmlformats.org/officeDocument/2006/relationships/hyperlink" Target="https://www.legifrance.gouv.fr/codes/article_lc/LEGIARTI000043958813" TargetMode="External"/><Relationship Id="rId38" Type="http://schemas.openxmlformats.org/officeDocument/2006/relationships/chart" Target="charts/chart11.xml"/><Relationship Id="rId59" Type="http://schemas.openxmlformats.org/officeDocument/2006/relationships/chart" Target="charts/chart23.xml"/><Relationship Id="rId103" Type="http://schemas.openxmlformats.org/officeDocument/2006/relationships/chart" Target="charts/chart48.xml"/><Relationship Id="rId124" Type="http://schemas.openxmlformats.org/officeDocument/2006/relationships/image" Target="media/image39.png"/><Relationship Id="rId70" Type="http://schemas.openxmlformats.org/officeDocument/2006/relationships/chart" Target="charts/chart31.xml"/><Relationship Id="rId91" Type="http://schemas.openxmlformats.org/officeDocument/2006/relationships/hyperlink" Target="https://solidarites-sante.gouv.fr/IMG/pdf/pnns_4_bilan_mai2021.pdf" TargetMode="External"/><Relationship Id="rId145" Type="http://schemas.openxmlformats.org/officeDocument/2006/relationships/hyperlink" Target="https://www.statistiques.developpement-durable.gouv.fr/changement-climatique" TargetMode="External"/><Relationship Id="rId166" Type="http://schemas.openxmlformats.org/officeDocument/2006/relationships/hyperlink" Target="https://www.ofb.gouv.fr/aires-educative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legifrance.gouv.fr/affichCodeArticle.do?cidTexte=LEGITEXT000006074220&amp;idArticle=LEGIARTI000022476854&amp;" TargetMode="External"/><Relationship Id="rId13" Type="http://schemas.openxmlformats.org/officeDocument/2006/relationships/hyperlink" Target="https://www.4p1000.org/fr" TargetMode="External"/><Relationship Id="rId18" Type="http://schemas.openxmlformats.org/officeDocument/2006/relationships/hyperlink" Target="https://www.ecologique-solidaire.gouv.fr/observatoire-national-sur-effets-du-rechauffement-climatique-onerc" TargetMode="External"/><Relationship Id="rId26" Type="http://schemas.openxmlformats.org/officeDocument/2006/relationships/hyperlink" Target="http://cache.media.enseignementsup-recherche.gouv.fr/file/Infrastructures_de_recherche/74/5/feuille_route_infrastructures_recherche_2016_555745.pdf" TargetMode="External"/><Relationship Id="rId3" Type="http://schemas.openxmlformats.org/officeDocument/2006/relationships/hyperlink" Target="https://www.insee.fr/fr/statistiques/2496716?sommaire=2496793" TargetMode="External"/><Relationship Id="rId21" Type="http://schemas.openxmlformats.org/officeDocument/2006/relationships/hyperlink" Target="https://www.i4ce.org/wp-content/uploads/2022/07/Juin-2022_I4CE_besoins_adaptation.pdf" TargetMode="External"/><Relationship Id="rId7" Type="http://schemas.openxmlformats.org/officeDocument/2006/relationships/hyperlink" Target="https://www.citepa.org/fr/" TargetMode="External"/><Relationship Id="rId12" Type="http://schemas.openxmlformats.org/officeDocument/2006/relationships/hyperlink" Target="https://agriculture.gouv.fr/tous-les-travaux-autour-des-3-thematiques-du-varenne-agricole-de-leau-et-de-ladaptation-au" TargetMode="External"/><Relationship Id="rId17" Type="http://schemas.openxmlformats.org/officeDocument/2006/relationships/hyperlink" Target="https://www.ecologie.gouv.fr/sites/default/files/9782111573567_ONERC_EtudesProspectives_Web_VF.pdf" TargetMode="External"/><Relationship Id="rId25" Type="http://schemas.openxmlformats.org/officeDocument/2006/relationships/hyperlink" Target="http://cache.media.enseignementsup-recherche.gouv.fr/file/Strategie_Recherche/26/9/strategie_nationale_recherche_397269.pdf" TargetMode="External"/><Relationship Id="rId2" Type="http://schemas.openxmlformats.org/officeDocument/2006/relationships/hyperlink" Target="https://www2.assemblee-nationale.fr/decouvrir-l-assemblee/role-et-pouvoirs-de-l-assemblee-nationale/les-institutions-francaises-generalites/l-organisation-territoriale-de-la-france" TargetMode="External"/><Relationship Id="rId16" Type="http://schemas.openxmlformats.org/officeDocument/2006/relationships/hyperlink" Target="https://www.ecologie.gouv.fr/sites/default/files/ONERC_Rapport_2019_SfN_WEB.pdf" TargetMode="External"/><Relationship Id="rId20" Type="http://schemas.openxmlformats.org/officeDocument/2006/relationships/hyperlink" Target="http://www.drias-climat.fr" TargetMode="External"/><Relationship Id="rId1" Type="http://schemas.openxmlformats.org/officeDocument/2006/relationships/hyperlink" Target="https://www.legifrance.gouv.fr/loda/id/JORFTEXT000024556265/" TargetMode="External"/><Relationship Id="rId6" Type="http://schemas.openxmlformats.org/officeDocument/2006/relationships/hyperlink" Target="https://www.legifrance.gouv.fr/loda/id/JORFTEXT000024556265/" TargetMode="External"/><Relationship Id="rId11" Type="http://schemas.openxmlformats.org/officeDocument/2006/relationships/hyperlink" Target="https://eur-lex.europa.eu/legal-content/FR/TXT/PDF/?uri=CELEX:32019R0807&amp;from=EN" TargetMode="External"/><Relationship Id="rId24" Type="http://schemas.openxmlformats.org/officeDocument/2006/relationships/hyperlink" Target="https://www.idfc.org/wp-content/uploads/2019/04/common_principles_for_climate_adaption_finance_tracking_jul_09.pdf" TargetMode="External"/><Relationship Id="rId5" Type="http://schemas.openxmlformats.org/officeDocument/2006/relationships/hyperlink" Target="https://unfccc.int/documents/461899" TargetMode="External"/><Relationship Id="rId15" Type="http://schemas.openxmlformats.org/officeDocument/2006/relationships/hyperlink" Target="https://www.ecologique-solidaire.gouv.fr/scenarios-prospectifs-energie-climat-air" TargetMode="External"/><Relationship Id="rId23" Type="http://schemas.openxmlformats.org/officeDocument/2006/relationships/hyperlink" Target="https://www.idfc.org/wp-content/uploads/2021/10/cp-mit-update-final-2021-10-18.pdf" TargetMode="External"/><Relationship Id="rId28" Type="http://schemas.openxmlformats.org/officeDocument/2006/relationships/hyperlink" Target="https://www.performance-publique.budget.gouv.fr/sites/performance_publique/files/farandole/ressources/2016/pap/pdf/jaunes/jaune2016_investissements_avenir.pdf" TargetMode="External"/><Relationship Id="rId10" Type="http://schemas.openxmlformats.org/officeDocument/2006/relationships/hyperlink" Target="https://www.legifrance.gouv.fr/jorf/id/JORFTEXT000038812251" TargetMode="External"/><Relationship Id="rId19" Type="http://schemas.openxmlformats.org/officeDocument/2006/relationships/hyperlink" Target="https://www.adaptation-changement-climatique.gouv.fr" TargetMode="External"/><Relationship Id="rId4" Type="http://schemas.openxmlformats.org/officeDocument/2006/relationships/hyperlink" Target="https://artificialisation.developpement-durable.gouv.fr/bases-donnees/teruti-lucas" TargetMode="External"/><Relationship Id="rId9" Type="http://schemas.openxmlformats.org/officeDocument/2006/relationships/hyperlink" Target="https://www.ecologie.gouv.fr/rapportages-climat-france" TargetMode="External"/><Relationship Id="rId14" Type="http://schemas.openxmlformats.org/officeDocument/2006/relationships/hyperlink" Target="https://www.ecologie.gouv.fr/sites/default/files/Synth%C3%A8se_du_sc%C3%A9nario_AME2021_postQAQC%5B1%5D.pdf" TargetMode="External"/><Relationship Id="rId22" Type="http://schemas.openxmlformats.org/officeDocument/2006/relationships/hyperlink" Target="https://www.strategie.gouv.fr/sites/strategie.gouv.fr/files/atoms/files/fs-2022-na108-risques_climatiques-mai.pdf%22" TargetMode="External"/><Relationship Id="rId27" Type="http://schemas.openxmlformats.org/officeDocument/2006/relationships/hyperlink" Target="http://cache.media.enseignementsup-recherche.gouv.fr/file/Infrastructures_de_recherche/16/4/infrastructures_UK_web_615164.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INSEE-Scenario-POP-207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if25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figures_bilan_energetique_provisoire_202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1"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L:\9_Intranet,%20Internet,%20communication\95_Rapport%20bisannuel\Rapport%202022%20BR5%20NC8\R&#233;daction%20NC8\2%20-%20Circonstances%20nationales%20relatives%20aux%20GES\chiffres_clefs_energie_edition2022_donnees_figure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IPI_202206.xls"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Donnees-recensement%20agricole.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onathan.hess\Downloads\demo-couple-taille-menage-nombr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recensement%20agricole.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xml"/></Relationships>
</file>

<file path=word/charts/_rels/chart2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recensement%20agricole.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Donnees-foret.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Chapitres%20%20Inventaires\Donnees-GES.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econ-gen-pib-composante-niveaux.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image" Target="../media/image16.png"/><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2.xml"/><Relationship Id="rId4" Type="http://schemas.openxmlformats.org/officeDocument/2006/relationships/oleObject" Target="file:///\\auth-dgec-1.auth.ad.e2.rie.gouv.fr\dgec.scee.dlces\4_Inventaires%20d'&#233;missions,%20prospective%20et%20&#233;valuation\41_Inventaires\411_Ann&#233;es%20d'inventaire\2021\SECTEN%20mai%202022\Citepa_Transports_Secten_ed2022-d.xlsx" TargetMode="External"/></Relationships>
</file>

<file path=word/charts/_rels/chart31.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1%20-%20R&#233;sum&#233;%20analytique\Donnees-GES.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auth-dgec-1.auth.ad.e2.rie.gouv.fr\dgec.scee.dlces\4_Inventaires%20d'&#233;missions,%20prospective%20et%20&#233;valuation\41_Inventaires\411_Ann&#233;es%20d'inventaire\2021\SECTEN%20mai%202022\CITEPA-Plan-Climat-Kyoto_Proxy2021-d.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econ-com-ext-solde-balance-com.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yanis.chaigneau\Documents\comparaison_ame_ams.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Projections\graphiques%20projections%20BR5.xlsx" TargetMode="External"/><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yanis.chaigneau\Documents\calculs_figures_CCNUCC.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yanis.chaigneau\Documents\calculs_figures_CCNUCC.xlsx"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1.xml"/><Relationship Id="rId1" Type="http://schemas.microsoft.com/office/2011/relationships/chartStyle" Target="style41.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2.xml"/><Relationship Id="rId1" Type="http://schemas.microsoft.com/office/2011/relationships/chartStyle" Target="style42.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3.xml"/><Relationship Id="rId1" Type="http://schemas.microsoft.com/office/2011/relationships/chartStyle" Target="style43.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4.xml"/><Relationship Id="rId1" Type="http://schemas.microsoft.com/office/2011/relationships/chartStyle" Target="style44.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5.xml"/><Relationship Id="rId1" Type="http://schemas.microsoft.com/office/2011/relationships/chartStyle" Target="style45.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6.xml"/><Relationship Id="rId1" Type="http://schemas.microsoft.com/office/2011/relationships/chartStyle" Target="style46.xml"/></Relationships>
</file>

<file path=word/charts/_rels/chart5.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2021_comptes_transports_e_transport_marchandises_v2.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yanis.chaigneau\Documents\calculs_figures_CCNUCC.xlsx" TargetMode="External"/><Relationship Id="rId2" Type="http://schemas.microsoft.com/office/2011/relationships/chartColorStyle" Target="colors47.xml"/><Relationship Id="rId1" Type="http://schemas.microsoft.com/office/2011/relationships/chartStyle" Target="style47.xml"/></Relationships>
</file>

<file path=word/charts/_rels/chart51.xml.rels><?xml version="1.0" encoding="UTF-8" standalone="yes"?>
<Relationships xmlns="http://schemas.openxmlformats.org/package/2006/relationships"><Relationship Id="rId3" Type="http://schemas.openxmlformats.org/officeDocument/2006/relationships/oleObject" Target="file:///\\auth-apn-1.auth.ad.e2.rie.gouv.fr\dgec.scee.dlces\4_Inventaires%20d'&#233;missions,%20prospective%20et%20&#233;valuation\42_Prospective\421_Sc&#233;narios%20prospectifs%20DGEC\4214_Sc&#233;narios%202021\AME%202021\param&#232;tres%20de%20cadrage%20AME%202021%20v5.xlsx" TargetMode="External"/><Relationship Id="rId2" Type="http://schemas.microsoft.com/office/2011/relationships/chartColorStyle" Target="colors48.xml"/><Relationship Id="rId1" Type="http://schemas.microsoft.com/office/2011/relationships/chartStyle" Target="style48.xml"/></Relationships>
</file>

<file path=word/charts/_rels/chart52.xml.rels><?xml version="1.0" encoding="UTF-8" standalone="yes"?>
<Relationships xmlns="http://schemas.openxmlformats.org/package/2006/relationships"><Relationship Id="rId3" Type="http://schemas.openxmlformats.org/officeDocument/2006/relationships/oleObject" Target="file:///\\auth-apn-1.auth.ad.e2.rie.gouv.fr\dgec.scee.dlces\4_Inventaires%20d'&#233;missions,%20prospective%20et%20&#233;valuation\42_Prospective\421_Sc&#233;narios%20prospectifs%20DGEC\4214_Sc&#233;narios%202021\AME%202021\param&#232;tres%20de%20cadrage%20AME%202021%20v5.xlsx" TargetMode="External"/><Relationship Id="rId2" Type="http://schemas.microsoft.com/office/2011/relationships/chartColorStyle" Target="colors49.xml"/><Relationship Id="rId1" Type="http://schemas.microsoft.com/office/2011/relationships/chartStyle" Target="style49.xml"/></Relationships>
</file>

<file path=word/charts/_rels/chart6.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parc_vp_france_202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parc_vul_france_2022_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ect-ind-auto-immat-energi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uth-dgec-1.auth.ad.e2.rie.gouv.fr\dgec.scee.dlces\9_Intranet,%20Internet,%20communication\95_Rapport%20bisannuel\Rapport%202022%20BR5%20NC8\R&#233;daction%20NC8\2%20-%20Circonstances%20nationales%20relatives%20aux%20GES\Sources\chiffres_cles_enr_edition202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fr-FR" sz="1200"/>
              <a:t>Scenarios</a:t>
            </a:r>
            <a:r>
              <a:rPr lang="fr-FR" sz="1200" baseline="0"/>
              <a:t> d'évolution de la population en France jusqu'en 2070</a:t>
            </a:r>
            <a:endParaRPr lang="fr-FR"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Scenario central</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'[INSEE-Scenario-POP-2070.xlsx]Feuil1'!$B$6:$BB$6</c:f>
              <c:numCache>
                <c:formatCode>General</c:formatCode>
                <c:ptCount val="5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pt idx="33">
                  <c:v>2051</c:v>
                </c:pt>
                <c:pt idx="34">
                  <c:v>2052</c:v>
                </c:pt>
                <c:pt idx="35">
                  <c:v>2053</c:v>
                </c:pt>
                <c:pt idx="36">
                  <c:v>2054</c:v>
                </c:pt>
                <c:pt idx="37">
                  <c:v>2055</c:v>
                </c:pt>
                <c:pt idx="38">
                  <c:v>2056</c:v>
                </c:pt>
                <c:pt idx="39">
                  <c:v>2057</c:v>
                </c:pt>
                <c:pt idx="40">
                  <c:v>2058</c:v>
                </c:pt>
                <c:pt idx="41">
                  <c:v>2059</c:v>
                </c:pt>
                <c:pt idx="42">
                  <c:v>2060</c:v>
                </c:pt>
                <c:pt idx="43">
                  <c:v>2061</c:v>
                </c:pt>
                <c:pt idx="44">
                  <c:v>2062</c:v>
                </c:pt>
                <c:pt idx="45">
                  <c:v>2063</c:v>
                </c:pt>
                <c:pt idx="46">
                  <c:v>2064</c:v>
                </c:pt>
                <c:pt idx="47">
                  <c:v>2065</c:v>
                </c:pt>
                <c:pt idx="48">
                  <c:v>2066</c:v>
                </c:pt>
                <c:pt idx="49">
                  <c:v>2067</c:v>
                </c:pt>
                <c:pt idx="50">
                  <c:v>2068</c:v>
                </c:pt>
                <c:pt idx="51">
                  <c:v>2069</c:v>
                </c:pt>
                <c:pt idx="52">
                  <c:v>2070</c:v>
                </c:pt>
              </c:numCache>
            </c:numRef>
          </c:cat>
          <c:val>
            <c:numRef>
              <c:f>'[INSEE-Scenario-POP-2070.xlsx]Feuil1'!$B$7:$BB$7</c:f>
              <c:numCache>
                <c:formatCode>General</c:formatCode>
                <c:ptCount val="53"/>
                <c:pt idx="0">
                  <c:v>66999</c:v>
                </c:pt>
                <c:pt idx="1">
                  <c:v>67147</c:v>
                </c:pt>
                <c:pt idx="2">
                  <c:v>67287</c:v>
                </c:pt>
                <c:pt idx="3">
                  <c:v>67411</c:v>
                </c:pt>
                <c:pt idx="4">
                  <c:v>67518</c:v>
                </c:pt>
                <c:pt idx="5">
                  <c:v>67660</c:v>
                </c:pt>
                <c:pt idx="6">
                  <c:v>67812</c:v>
                </c:pt>
                <c:pt idx="7">
                  <c:v>67950</c:v>
                </c:pt>
                <c:pt idx="8">
                  <c:v>68087</c:v>
                </c:pt>
                <c:pt idx="9">
                  <c:v>68216</c:v>
                </c:pt>
                <c:pt idx="10">
                  <c:v>68336</c:v>
                </c:pt>
                <c:pt idx="11">
                  <c:v>68452</c:v>
                </c:pt>
                <c:pt idx="12">
                  <c:v>68553</c:v>
                </c:pt>
                <c:pt idx="13">
                  <c:v>68657</c:v>
                </c:pt>
                <c:pt idx="14">
                  <c:v>68746</c:v>
                </c:pt>
                <c:pt idx="15">
                  <c:v>68834</c:v>
                </c:pt>
                <c:pt idx="16">
                  <c:v>68910</c:v>
                </c:pt>
                <c:pt idx="17">
                  <c:v>68983</c:v>
                </c:pt>
                <c:pt idx="18">
                  <c:v>69054</c:v>
                </c:pt>
                <c:pt idx="19">
                  <c:v>69102</c:v>
                </c:pt>
                <c:pt idx="20">
                  <c:v>69151</c:v>
                </c:pt>
                <c:pt idx="21">
                  <c:v>69194</c:v>
                </c:pt>
                <c:pt idx="22">
                  <c:v>69220</c:v>
                </c:pt>
                <c:pt idx="23">
                  <c:v>69251</c:v>
                </c:pt>
                <c:pt idx="24">
                  <c:v>69268</c:v>
                </c:pt>
                <c:pt idx="25">
                  <c:v>69283</c:v>
                </c:pt>
                <c:pt idx="26">
                  <c:v>69285</c:v>
                </c:pt>
                <c:pt idx="27">
                  <c:v>69280</c:v>
                </c:pt>
                <c:pt idx="28">
                  <c:v>69277</c:v>
                </c:pt>
                <c:pt idx="29">
                  <c:v>69268</c:v>
                </c:pt>
                <c:pt idx="30">
                  <c:v>69252</c:v>
                </c:pt>
                <c:pt idx="31">
                  <c:v>69237</c:v>
                </c:pt>
                <c:pt idx="32">
                  <c:v>69206</c:v>
                </c:pt>
                <c:pt idx="33">
                  <c:v>69175</c:v>
                </c:pt>
                <c:pt idx="34">
                  <c:v>69138</c:v>
                </c:pt>
                <c:pt idx="35">
                  <c:v>69097</c:v>
                </c:pt>
                <c:pt idx="36">
                  <c:v>69051</c:v>
                </c:pt>
                <c:pt idx="37">
                  <c:v>68996</c:v>
                </c:pt>
                <c:pt idx="38">
                  <c:v>68940</c:v>
                </c:pt>
                <c:pt idx="39">
                  <c:v>68873</c:v>
                </c:pt>
                <c:pt idx="40">
                  <c:v>68807</c:v>
                </c:pt>
                <c:pt idx="41">
                  <c:v>68743</c:v>
                </c:pt>
                <c:pt idx="42">
                  <c:v>68677</c:v>
                </c:pt>
                <c:pt idx="43">
                  <c:v>68606</c:v>
                </c:pt>
                <c:pt idx="44">
                  <c:v>68539</c:v>
                </c:pt>
                <c:pt idx="45">
                  <c:v>68471</c:v>
                </c:pt>
                <c:pt idx="46">
                  <c:v>68404</c:v>
                </c:pt>
                <c:pt idx="47">
                  <c:v>68342</c:v>
                </c:pt>
                <c:pt idx="48">
                  <c:v>68294</c:v>
                </c:pt>
                <c:pt idx="49">
                  <c:v>68240</c:v>
                </c:pt>
                <c:pt idx="50">
                  <c:v>68192</c:v>
                </c:pt>
                <c:pt idx="51">
                  <c:v>68143</c:v>
                </c:pt>
                <c:pt idx="52">
                  <c:v>68102</c:v>
                </c:pt>
              </c:numCache>
            </c:numRef>
          </c:val>
          <c:smooth val="0"/>
          <c:extLst>
            <c:ext xmlns:c16="http://schemas.microsoft.com/office/drawing/2014/chart" uri="{C3380CC4-5D6E-409C-BE32-E72D297353CC}">
              <c16:uniqueId val="{00000000-FD27-48A6-BF2D-D85A66D43C40}"/>
            </c:ext>
          </c:extLst>
        </c:ser>
        <c:ser>
          <c:idx val="1"/>
          <c:order val="1"/>
          <c:tx>
            <c:v>Scenario bas</c:v>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'[INSEE-Scenario-POP-2070.xlsx]Feuil1'!$B$8:$BB$8</c:f>
              <c:numCache>
                <c:formatCode>General</c:formatCode>
                <c:ptCount val="53"/>
                <c:pt idx="0">
                  <c:v>66999</c:v>
                </c:pt>
                <c:pt idx="1">
                  <c:v>67141</c:v>
                </c:pt>
                <c:pt idx="2">
                  <c:v>67285</c:v>
                </c:pt>
                <c:pt idx="3">
                  <c:v>67409</c:v>
                </c:pt>
                <c:pt idx="4">
                  <c:v>67437</c:v>
                </c:pt>
                <c:pt idx="5">
                  <c:v>67505</c:v>
                </c:pt>
                <c:pt idx="6">
                  <c:v>67577</c:v>
                </c:pt>
                <c:pt idx="7">
                  <c:v>67614</c:v>
                </c:pt>
                <c:pt idx="8">
                  <c:v>67634</c:v>
                </c:pt>
                <c:pt idx="9">
                  <c:v>67629</c:v>
                </c:pt>
                <c:pt idx="10">
                  <c:v>67607</c:v>
                </c:pt>
                <c:pt idx="11">
                  <c:v>67559</c:v>
                </c:pt>
                <c:pt idx="12">
                  <c:v>67499</c:v>
                </c:pt>
                <c:pt idx="13">
                  <c:v>67413</c:v>
                </c:pt>
                <c:pt idx="14">
                  <c:v>67317</c:v>
                </c:pt>
                <c:pt idx="15">
                  <c:v>67204</c:v>
                </c:pt>
                <c:pt idx="16">
                  <c:v>67095</c:v>
                </c:pt>
                <c:pt idx="17">
                  <c:v>66970</c:v>
                </c:pt>
                <c:pt idx="18">
                  <c:v>66826</c:v>
                </c:pt>
                <c:pt idx="19">
                  <c:v>66672</c:v>
                </c:pt>
                <c:pt idx="20">
                  <c:v>66512</c:v>
                </c:pt>
                <c:pt idx="21">
                  <c:v>66332</c:v>
                </c:pt>
                <c:pt idx="22">
                  <c:v>66159</c:v>
                </c:pt>
                <c:pt idx="23">
                  <c:v>65957</c:v>
                </c:pt>
                <c:pt idx="24">
                  <c:v>65761</c:v>
                </c:pt>
                <c:pt idx="25">
                  <c:v>65550</c:v>
                </c:pt>
                <c:pt idx="26">
                  <c:v>65333</c:v>
                </c:pt>
                <c:pt idx="27">
                  <c:v>65115</c:v>
                </c:pt>
                <c:pt idx="28">
                  <c:v>64888</c:v>
                </c:pt>
                <c:pt idx="29">
                  <c:v>64659</c:v>
                </c:pt>
                <c:pt idx="30">
                  <c:v>64422</c:v>
                </c:pt>
                <c:pt idx="31">
                  <c:v>64181</c:v>
                </c:pt>
                <c:pt idx="32">
                  <c:v>63934</c:v>
                </c:pt>
                <c:pt idx="33">
                  <c:v>63683</c:v>
                </c:pt>
                <c:pt idx="34">
                  <c:v>63427</c:v>
                </c:pt>
                <c:pt idx="35">
                  <c:v>63152</c:v>
                </c:pt>
                <c:pt idx="36">
                  <c:v>62886</c:v>
                </c:pt>
                <c:pt idx="37">
                  <c:v>62612</c:v>
                </c:pt>
                <c:pt idx="38">
                  <c:v>62319</c:v>
                </c:pt>
                <c:pt idx="39">
                  <c:v>62033</c:v>
                </c:pt>
                <c:pt idx="40">
                  <c:v>61732</c:v>
                </c:pt>
                <c:pt idx="41">
                  <c:v>61429</c:v>
                </c:pt>
                <c:pt idx="42">
                  <c:v>61120</c:v>
                </c:pt>
                <c:pt idx="43">
                  <c:v>60811</c:v>
                </c:pt>
                <c:pt idx="44">
                  <c:v>60493</c:v>
                </c:pt>
                <c:pt idx="45">
                  <c:v>60179</c:v>
                </c:pt>
                <c:pt idx="46">
                  <c:v>59868</c:v>
                </c:pt>
                <c:pt idx="47">
                  <c:v>59553</c:v>
                </c:pt>
                <c:pt idx="48">
                  <c:v>59231</c:v>
                </c:pt>
                <c:pt idx="49">
                  <c:v>58920</c:v>
                </c:pt>
                <c:pt idx="50">
                  <c:v>58608</c:v>
                </c:pt>
                <c:pt idx="51">
                  <c:v>58297</c:v>
                </c:pt>
                <c:pt idx="52">
                  <c:v>57989</c:v>
                </c:pt>
              </c:numCache>
            </c:numRef>
          </c:val>
          <c:smooth val="0"/>
          <c:extLst>
            <c:ext xmlns:c16="http://schemas.microsoft.com/office/drawing/2014/chart" uri="{C3380CC4-5D6E-409C-BE32-E72D297353CC}">
              <c16:uniqueId val="{00000001-FD27-48A6-BF2D-D85A66D43C40}"/>
            </c:ext>
          </c:extLst>
        </c:ser>
        <c:ser>
          <c:idx val="2"/>
          <c:order val="2"/>
          <c:tx>
            <c:v>Scenario haut</c:v>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'[INSEE-Scenario-POP-2070.xlsx]Feuil1'!$B$9:$BB$9</c:f>
              <c:numCache>
                <c:formatCode>General</c:formatCode>
                <c:ptCount val="53"/>
                <c:pt idx="0">
                  <c:v>66999</c:v>
                </c:pt>
                <c:pt idx="1">
                  <c:v>67143</c:v>
                </c:pt>
                <c:pt idx="2">
                  <c:v>67287</c:v>
                </c:pt>
                <c:pt idx="3">
                  <c:v>67407</c:v>
                </c:pt>
                <c:pt idx="4">
                  <c:v>67587</c:v>
                </c:pt>
                <c:pt idx="5">
                  <c:v>67811</c:v>
                </c:pt>
                <c:pt idx="6">
                  <c:v>68057</c:v>
                </c:pt>
                <c:pt idx="7">
                  <c:v>68307</c:v>
                </c:pt>
                <c:pt idx="8">
                  <c:v>68562</c:v>
                </c:pt>
                <c:pt idx="9">
                  <c:v>68823</c:v>
                </c:pt>
                <c:pt idx="10">
                  <c:v>69092</c:v>
                </c:pt>
                <c:pt idx="11">
                  <c:v>69378</c:v>
                </c:pt>
                <c:pt idx="12">
                  <c:v>69653</c:v>
                </c:pt>
                <c:pt idx="13">
                  <c:v>69945</c:v>
                </c:pt>
                <c:pt idx="14">
                  <c:v>70237</c:v>
                </c:pt>
                <c:pt idx="15">
                  <c:v>70525</c:v>
                </c:pt>
                <c:pt idx="16">
                  <c:v>70812</c:v>
                </c:pt>
                <c:pt idx="17">
                  <c:v>71092</c:v>
                </c:pt>
                <c:pt idx="18">
                  <c:v>71369</c:v>
                </c:pt>
                <c:pt idx="19">
                  <c:v>71644</c:v>
                </c:pt>
                <c:pt idx="20">
                  <c:v>71914</c:v>
                </c:pt>
                <c:pt idx="21">
                  <c:v>72180</c:v>
                </c:pt>
                <c:pt idx="22">
                  <c:v>72437</c:v>
                </c:pt>
                <c:pt idx="23">
                  <c:v>72693</c:v>
                </c:pt>
                <c:pt idx="24">
                  <c:v>72942</c:v>
                </c:pt>
                <c:pt idx="25">
                  <c:v>73182</c:v>
                </c:pt>
                <c:pt idx="26">
                  <c:v>73417</c:v>
                </c:pt>
                <c:pt idx="27">
                  <c:v>73650</c:v>
                </c:pt>
                <c:pt idx="28">
                  <c:v>73873</c:v>
                </c:pt>
                <c:pt idx="29">
                  <c:v>74102</c:v>
                </c:pt>
                <c:pt idx="30">
                  <c:v>74311</c:v>
                </c:pt>
                <c:pt idx="31">
                  <c:v>74529</c:v>
                </c:pt>
                <c:pt idx="32">
                  <c:v>74737</c:v>
                </c:pt>
                <c:pt idx="33">
                  <c:v>74941</c:v>
                </c:pt>
                <c:pt idx="34">
                  <c:v>75139</c:v>
                </c:pt>
                <c:pt idx="35">
                  <c:v>75334</c:v>
                </c:pt>
                <c:pt idx="36">
                  <c:v>75528</c:v>
                </c:pt>
                <c:pt idx="37">
                  <c:v>75720</c:v>
                </c:pt>
                <c:pt idx="38">
                  <c:v>75909</c:v>
                </c:pt>
                <c:pt idx="39">
                  <c:v>76094</c:v>
                </c:pt>
                <c:pt idx="40">
                  <c:v>76295</c:v>
                </c:pt>
                <c:pt idx="41">
                  <c:v>76486</c:v>
                </c:pt>
                <c:pt idx="42">
                  <c:v>76685</c:v>
                </c:pt>
                <c:pt idx="43">
                  <c:v>76899</c:v>
                </c:pt>
                <c:pt idx="44">
                  <c:v>77106</c:v>
                </c:pt>
                <c:pt idx="45">
                  <c:v>77332</c:v>
                </c:pt>
                <c:pt idx="46">
                  <c:v>77558</c:v>
                </c:pt>
                <c:pt idx="47">
                  <c:v>77792</c:v>
                </c:pt>
                <c:pt idx="48">
                  <c:v>78041</c:v>
                </c:pt>
                <c:pt idx="49">
                  <c:v>78293</c:v>
                </c:pt>
                <c:pt idx="50">
                  <c:v>78550</c:v>
                </c:pt>
                <c:pt idx="51">
                  <c:v>78815</c:v>
                </c:pt>
                <c:pt idx="52">
                  <c:v>79100</c:v>
                </c:pt>
              </c:numCache>
            </c:numRef>
          </c:val>
          <c:smooth val="0"/>
          <c:extLst>
            <c:ext xmlns:c16="http://schemas.microsoft.com/office/drawing/2014/chart" uri="{C3380CC4-5D6E-409C-BE32-E72D297353CC}">
              <c16:uniqueId val="{00000002-FD27-48A6-BF2D-D85A66D43C40}"/>
            </c:ext>
          </c:extLst>
        </c:ser>
        <c:ser>
          <c:idx val="3"/>
          <c:order val="3"/>
          <c:tx>
            <c:v>Scenario jeune</c:v>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'[INSEE-Scenario-POP-2070.xlsx]Feuil1'!$B$10:$BB$10</c:f>
              <c:numCache>
                <c:formatCode>General</c:formatCode>
                <c:ptCount val="53"/>
                <c:pt idx="0">
                  <c:v>66999</c:v>
                </c:pt>
                <c:pt idx="1">
                  <c:v>67143</c:v>
                </c:pt>
                <c:pt idx="2">
                  <c:v>67287</c:v>
                </c:pt>
                <c:pt idx="3">
                  <c:v>67407</c:v>
                </c:pt>
                <c:pt idx="4">
                  <c:v>67549</c:v>
                </c:pt>
                <c:pt idx="5">
                  <c:v>67709</c:v>
                </c:pt>
                <c:pt idx="6">
                  <c:v>67902</c:v>
                </c:pt>
                <c:pt idx="7">
                  <c:v>68099</c:v>
                </c:pt>
                <c:pt idx="8">
                  <c:v>68291</c:v>
                </c:pt>
                <c:pt idx="9">
                  <c:v>68484</c:v>
                </c:pt>
                <c:pt idx="10">
                  <c:v>68679</c:v>
                </c:pt>
                <c:pt idx="11">
                  <c:v>68885</c:v>
                </c:pt>
                <c:pt idx="12">
                  <c:v>69085</c:v>
                </c:pt>
                <c:pt idx="13">
                  <c:v>69293</c:v>
                </c:pt>
                <c:pt idx="14">
                  <c:v>69501</c:v>
                </c:pt>
                <c:pt idx="15">
                  <c:v>69688</c:v>
                </c:pt>
                <c:pt idx="16">
                  <c:v>69876</c:v>
                </c:pt>
                <c:pt idx="17">
                  <c:v>70058</c:v>
                </c:pt>
                <c:pt idx="18">
                  <c:v>70230</c:v>
                </c:pt>
                <c:pt idx="19">
                  <c:v>70393</c:v>
                </c:pt>
                <c:pt idx="20">
                  <c:v>70545</c:v>
                </c:pt>
                <c:pt idx="21">
                  <c:v>70692</c:v>
                </c:pt>
                <c:pt idx="22">
                  <c:v>70825</c:v>
                </c:pt>
                <c:pt idx="23">
                  <c:v>70963</c:v>
                </c:pt>
                <c:pt idx="24">
                  <c:v>71090</c:v>
                </c:pt>
                <c:pt idx="25">
                  <c:v>71202</c:v>
                </c:pt>
                <c:pt idx="26">
                  <c:v>71319</c:v>
                </c:pt>
                <c:pt idx="27">
                  <c:v>71427</c:v>
                </c:pt>
                <c:pt idx="28">
                  <c:v>71530</c:v>
                </c:pt>
                <c:pt idx="29">
                  <c:v>71634</c:v>
                </c:pt>
                <c:pt idx="30">
                  <c:v>71727</c:v>
                </c:pt>
                <c:pt idx="31">
                  <c:v>71816</c:v>
                </c:pt>
                <c:pt idx="32">
                  <c:v>71907</c:v>
                </c:pt>
                <c:pt idx="33">
                  <c:v>71996</c:v>
                </c:pt>
                <c:pt idx="34">
                  <c:v>72076</c:v>
                </c:pt>
                <c:pt idx="35">
                  <c:v>72158</c:v>
                </c:pt>
                <c:pt idx="36">
                  <c:v>72235</c:v>
                </c:pt>
                <c:pt idx="37">
                  <c:v>72315</c:v>
                </c:pt>
                <c:pt idx="38">
                  <c:v>72396</c:v>
                </c:pt>
                <c:pt idx="39">
                  <c:v>72477</c:v>
                </c:pt>
                <c:pt idx="40">
                  <c:v>72565</c:v>
                </c:pt>
                <c:pt idx="41">
                  <c:v>72653</c:v>
                </c:pt>
                <c:pt idx="42">
                  <c:v>72746</c:v>
                </c:pt>
                <c:pt idx="43">
                  <c:v>72850</c:v>
                </c:pt>
                <c:pt idx="44">
                  <c:v>72967</c:v>
                </c:pt>
                <c:pt idx="45">
                  <c:v>73084</c:v>
                </c:pt>
                <c:pt idx="46">
                  <c:v>73218</c:v>
                </c:pt>
                <c:pt idx="47">
                  <c:v>73353</c:v>
                </c:pt>
                <c:pt idx="48">
                  <c:v>73502</c:v>
                </c:pt>
                <c:pt idx="49">
                  <c:v>73661</c:v>
                </c:pt>
                <c:pt idx="50">
                  <c:v>73825</c:v>
                </c:pt>
                <c:pt idx="51">
                  <c:v>73998</c:v>
                </c:pt>
                <c:pt idx="52">
                  <c:v>74173</c:v>
                </c:pt>
              </c:numCache>
            </c:numRef>
          </c:val>
          <c:smooth val="0"/>
          <c:extLst>
            <c:ext xmlns:c16="http://schemas.microsoft.com/office/drawing/2014/chart" uri="{C3380CC4-5D6E-409C-BE32-E72D297353CC}">
              <c16:uniqueId val="{00000003-FD27-48A6-BF2D-D85A66D43C40}"/>
            </c:ext>
          </c:extLst>
        </c:ser>
        <c:dLbls>
          <c:showLegendKey val="0"/>
          <c:showVal val="0"/>
          <c:showCatName val="0"/>
          <c:showSerName val="0"/>
          <c:showPercent val="0"/>
          <c:showBubbleSize val="0"/>
        </c:dLbls>
        <c:marker val="1"/>
        <c:smooth val="0"/>
        <c:axId val="631738736"/>
        <c:axId val="631732912"/>
      </c:lineChart>
      <c:catAx>
        <c:axId val="63173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732912"/>
        <c:crosses val="autoZero"/>
        <c:auto val="1"/>
        <c:lblAlgn val="ctr"/>
        <c:lblOffset val="100"/>
        <c:noMultiLvlLbl val="0"/>
      </c:catAx>
      <c:valAx>
        <c:axId val="631732912"/>
        <c:scaling>
          <c:orientation val="minMax"/>
          <c:min val="5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1738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'[if254.xlsx]Figure 3'!$A$4</c:f>
              <c:strCache>
                <c:ptCount val="1"/>
                <c:pt idx="0">
                  <c:v>Logements individuels</c:v>
                </c:pt>
              </c:strCache>
            </c:strRef>
          </c:tx>
          <c:spPr>
            <a:solidFill>
              <a:srgbClr val="0070C0"/>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3'!$B$4:$H$4</c:f>
              <c:numCache>
                <c:formatCode>0.0</c:formatCode>
                <c:ptCount val="7"/>
                <c:pt idx="0">
                  <c:v>1.2</c:v>
                </c:pt>
                <c:pt idx="1">
                  <c:v>0.9</c:v>
                </c:pt>
                <c:pt idx="2">
                  <c:v>1.1000000000000001</c:v>
                </c:pt>
                <c:pt idx="3">
                  <c:v>1.3</c:v>
                </c:pt>
                <c:pt idx="4">
                  <c:v>1.1000000000000001</c:v>
                </c:pt>
                <c:pt idx="5">
                  <c:v>0.9</c:v>
                </c:pt>
                <c:pt idx="6">
                  <c:v>0.6</c:v>
                </c:pt>
              </c:numCache>
            </c:numRef>
          </c:val>
          <c:extLst>
            <c:ext xmlns:c16="http://schemas.microsoft.com/office/drawing/2014/chart" uri="{C3380CC4-5D6E-409C-BE32-E72D297353CC}">
              <c16:uniqueId val="{00000000-E3E2-486C-AE49-05046D4FF00B}"/>
            </c:ext>
          </c:extLst>
        </c:ser>
        <c:ser>
          <c:idx val="1"/>
          <c:order val="1"/>
          <c:tx>
            <c:strRef>
              <c:f>'[if254.xlsx]Figure 3'!$A$5</c:f>
              <c:strCache>
                <c:ptCount val="1"/>
                <c:pt idx="0">
                  <c:v>Logements collectifs</c:v>
                </c:pt>
              </c:strCache>
            </c:strRef>
          </c:tx>
          <c:spPr>
            <a:solidFill>
              <a:srgbClr val="FFC000"/>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3'!$B$5:$H$5</c:f>
              <c:numCache>
                <c:formatCode>0.0</c:formatCode>
                <c:ptCount val="7"/>
                <c:pt idx="0">
                  <c:v>1.1000000000000001</c:v>
                </c:pt>
                <c:pt idx="1">
                  <c:v>1.2</c:v>
                </c:pt>
                <c:pt idx="2">
                  <c:v>1</c:v>
                </c:pt>
                <c:pt idx="3">
                  <c:v>0.9</c:v>
                </c:pt>
                <c:pt idx="4">
                  <c:v>1.2</c:v>
                </c:pt>
                <c:pt idx="5">
                  <c:v>1.2</c:v>
                </c:pt>
                <c:pt idx="6">
                  <c:v>1.3</c:v>
                </c:pt>
              </c:numCache>
            </c:numRef>
          </c:val>
          <c:extLst>
            <c:ext xmlns:c16="http://schemas.microsoft.com/office/drawing/2014/chart" uri="{C3380CC4-5D6E-409C-BE32-E72D297353CC}">
              <c16:uniqueId val="{00000001-E3E2-486C-AE49-05046D4FF00B}"/>
            </c:ext>
          </c:extLst>
        </c:ser>
        <c:ser>
          <c:idx val="2"/>
          <c:order val="2"/>
          <c:tx>
            <c:strRef>
              <c:f>'[if254.xlsx]Figure 3'!$A$6</c:f>
              <c:strCache>
                <c:ptCount val="1"/>
                <c:pt idx="0">
                  <c:v>Ensemble</c:v>
                </c:pt>
              </c:strCache>
            </c:strRef>
          </c:tx>
          <c:spPr>
            <a:solidFill>
              <a:schemeClr val="bg1">
                <a:lumMod val="65000"/>
              </a:schemeClr>
            </a:solidFill>
            <a:ln>
              <a:noFill/>
            </a:ln>
            <a:effectLst/>
          </c:spPr>
          <c:invertIfNegative val="0"/>
          <c:cat>
            <c:strRef>
              <c:f>'[if254.xlsx]Figure 3'!$B$3:$H$3</c:f>
              <c:strCache>
                <c:ptCount val="7"/>
                <c:pt idx="0">
                  <c:v>1986-1991</c:v>
                </c:pt>
                <c:pt idx="1">
                  <c:v>1991-1996</c:v>
                </c:pt>
                <c:pt idx="2">
                  <c:v>1996-2001</c:v>
                </c:pt>
                <c:pt idx="3">
                  <c:v>2001-2006</c:v>
                </c:pt>
                <c:pt idx="4">
                  <c:v>2006-2011</c:v>
                </c:pt>
                <c:pt idx="5">
                  <c:v>2011-2016</c:v>
                </c:pt>
                <c:pt idx="6">
                  <c:v>2016-2021</c:v>
                </c:pt>
              </c:strCache>
            </c:strRef>
          </c:cat>
          <c:val>
            <c:numRef>
              <c:f>'[if254.xlsx]Figure 3'!$B$6:$H$6</c:f>
              <c:numCache>
                <c:formatCode>0.0</c:formatCode>
                <c:ptCount val="7"/>
                <c:pt idx="0">
                  <c:v>1.1000000000000001</c:v>
                </c:pt>
                <c:pt idx="1">
                  <c:v>1</c:v>
                </c:pt>
                <c:pt idx="2">
                  <c:v>1</c:v>
                </c:pt>
                <c:pt idx="3">
                  <c:v>1.2</c:v>
                </c:pt>
                <c:pt idx="4">
                  <c:v>1.1000000000000001</c:v>
                </c:pt>
                <c:pt idx="5">
                  <c:v>1.1000000000000001</c:v>
                </c:pt>
                <c:pt idx="6">
                  <c:v>0.9</c:v>
                </c:pt>
              </c:numCache>
            </c:numRef>
          </c:val>
          <c:extLst>
            <c:ext xmlns:c16="http://schemas.microsoft.com/office/drawing/2014/chart" uri="{C3380CC4-5D6E-409C-BE32-E72D297353CC}">
              <c16:uniqueId val="{00000002-E3E2-486C-AE49-05046D4FF00B}"/>
            </c:ext>
          </c:extLst>
        </c:ser>
        <c:dLbls>
          <c:showLegendKey val="0"/>
          <c:showVal val="0"/>
          <c:showCatName val="0"/>
          <c:showSerName val="0"/>
          <c:showPercent val="0"/>
          <c:showBubbleSize val="0"/>
        </c:dLbls>
        <c:gapWidth val="219"/>
        <c:overlap val="-27"/>
        <c:axId val="933112879"/>
        <c:axId val="933118287"/>
      </c:barChart>
      <c:catAx>
        <c:axId val="933112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3118287"/>
        <c:crosses val="autoZero"/>
        <c:auto val="1"/>
        <c:lblAlgn val="ctr"/>
        <c:lblOffset val="100"/>
        <c:noMultiLvlLbl val="0"/>
      </c:catAx>
      <c:valAx>
        <c:axId val="9331182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31128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5"/>
          <c:order val="0"/>
          <c:tx>
            <c:strRef>
              <c:f>'[figures_bilan_energetique_provisoire_2021.xlsx]1- Production'!$A$17</c:f>
              <c:strCache>
                <c:ptCount val="1"/>
                <c:pt idx="0">
                  <c:v>Nucléaire</c:v>
                </c:pt>
              </c:strCache>
            </c:strRef>
          </c:tx>
          <c:spPr>
            <a:solidFill>
              <a:srgbClr val="FFC00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Production'!$B$17:$BA$17</c:f>
              <c:numCache>
                <c:formatCode>0.0</c:formatCode>
                <c:ptCount val="52"/>
                <c:pt idx="0">
                  <c:v>1.4880526056659553</c:v>
                </c:pt>
                <c:pt idx="1">
                  <c:v>2.4325793553663004</c:v>
                </c:pt>
                <c:pt idx="2">
                  <c:v>3.8020779924490653</c:v>
                </c:pt>
                <c:pt idx="3">
                  <c:v>3.8409019821607058</c:v>
                </c:pt>
                <c:pt idx="4">
                  <c:v>3.8289159853369954</c:v>
                </c:pt>
                <c:pt idx="5">
                  <c:v>4.7546827400087404</c:v>
                </c:pt>
                <c:pt idx="6">
                  <c:v>4.1111009105579708</c:v>
                </c:pt>
                <c:pt idx="7">
                  <c:v>4.6864157580994954</c:v>
                </c:pt>
                <c:pt idx="8">
                  <c:v>7.9426228952043765</c:v>
                </c:pt>
                <c:pt idx="9">
                  <c:v>10.411941240834841</c:v>
                </c:pt>
                <c:pt idx="10">
                  <c:v>15.959504770730117</c:v>
                </c:pt>
                <c:pt idx="11">
                  <c:v>27.443646727431691</c:v>
                </c:pt>
                <c:pt idx="12">
                  <c:v>28.379835479341612</c:v>
                </c:pt>
                <c:pt idx="13">
                  <c:v>37.588515039040871</c:v>
                </c:pt>
                <c:pt idx="14">
                  <c:v>49.827756795640951</c:v>
                </c:pt>
                <c:pt idx="15">
                  <c:v>58.391292526303388</c:v>
                </c:pt>
                <c:pt idx="16">
                  <c:v>66.222395451060564</c:v>
                </c:pt>
                <c:pt idx="17">
                  <c:v>69.18364966632798</c:v>
                </c:pt>
                <c:pt idx="18">
                  <c:v>71.789500975777202</c:v>
                </c:pt>
                <c:pt idx="19">
                  <c:v>79.191985014118416</c:v>
                </c:pt>
                <c:pt idx="20">
                  <c:v>81.836659831818196</c:v>
                </c:pt>
                <c:pt idx="21">
                  <c:v>86.333649181818217</c:v>
                </c:pt>
                <c:pt idx="22">
                  <c:v>88.184921522727308</c:v>
                </c:pt>
                <c:pt idx="23">
                  <c:v>95.934730563636379</c:v>
                </c:pt>
                <c:pt idx="24">
                  <c:v>93.796322104545453</c:v>
                </c:pt>
                <c:pt idx="25">
                  <c:v>98.290966422727308</c:v>
                </c:pt>
                <c:pt idx="26">
                  <c:v>103.53054918181822</c:v>
                </c:pt>
                <c:pt idx="27">
                  <c:v>103.04669094999969</c:v>
                </c:pt>
                <c:pt idx="28">
                  <c:v>101.09432168181866</c:v>
                </c:pt>
                <c:pt idx="29">
                  <c:v>102.72385823636336</c:v>
                </c:pt>
                <c:pt idx="30">
                  <c:v>108.17423329999959</c:v>
                </c:pt>
                <c:pt idx="31">
                  <c:v>109.71517976363667</c:v>
                </c:pt>
                <c:pt idx="32">
                  <c:v>113.80178854545406</c:v>
                </c:pt>
                <c:pt idx="33">
                  <c:v>114.92479822727242</c:v>
                </c:pt>
                <c:pt idx="34">
                  <c:v>116.79326746818194</c:v>
                </c:pt>
                <c:pt idx="35">
                  <c:v>117.64998575909053</c:v>
                </c:pt>
                <c:pt idx="36">
                  <c:v>117.30135769545498</c:v>
                </c:pt>
                <c:pt idx="37">
                  <c:v>114.57564904545497</c:v>
                </c:pt>
                <c:pt idx="38">
                  <c:v>114.5019108227276</c:v>
                </c:pt>
                <c:pt idx="39">
                  <c:v>106.760439672727</c:v>
                </c:pt>
                <c:pt idx="40">
                  <c:v>111.655042195455</c:v>
                </c:pt>
                <c:pt idx="41">
                  <c:v>115.26815335658637</c:v>
                </c:pt>
                <c:pt idx="42">
                  <c:v>110.84340505677729</c:v>
                </c:pt>
                <c:pt idx="43">
                  <c:v>110.39489270787728</c:v>
                </c:pt>
                <c:pt idx="44">
                  <c:v>113.72857378594092</c:v>
                </c:pt>
                <c:pt idx="45">
                  <c:v>113.97579199083638</c:v>
                </c:pt>
                <c:pt idx="46">
                  <c:v>105.05624824857273</c:v>
                </c:pt>
                <c:pt idx="47">
                  <c:v>103.79609250757728</c:v>
                </c:pt>
                <c:pt idx="48">
                  <c:v>107.59574313307274</c:v>
                </c:pt>
                <c:pt idx="49">
                  <c:v>103.96609637091366</c:v>
                </c:pt>
                <c:pt idx="50">
                  <c:v>92.194370159277284</c:v>
                </c:pt>
                <c:pt idx="51">
                  <c:v>98.846033369618212</c:v>
                </c:pt>
              </c:numCache>
            </c:numRef>
          </c:val>
          <c:extLst>
            <c:ext xmlns:c16="http://schemas.microsoft.com/office/drawing/2014/chart" uri="{C3380CC4-5D6E-409C-BE32-E72D297353CC}">
              <c16:uniqueId val="{00000000-0025-41D6-A1FD-6C331973C86C}"/>
            </c:ext>
          </c:extLst>
        </c:ser>
        <c:ser>
          <c:idx val="4"/>
          <c:order val="1"/>
          <c:tx>
            <c:strRef>
              <c:f>'[figures_bilan_energetique_provisoire_2021.xlsx]1- Production'!$A$16</c:f>
              <c:strCache>
                <c:ptCount val="1"/>
                <c:pt idx="0">
                  <c:v>Charbon</c:v>
                </c:pt>
              </c:strCache>
            </c:strRef>
          </c:tx>
          <c:spPr>
            <a:solidFill>
              <a:schemeClr val="tx1"/>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Production'!$B$16:$BA$16</c:f>
              <c:numCache>
                <c:formatCode>0.0</c:formatCode>
                <c:ptCount val="52"/>
                <c:pt idx="0">
                  <c:v>25.543857230876043</c:v>
                </c:pt>
                <c:pt idx="1">
                  <c:v>22.961773915128305</c:v>
                </c:pt>
                <c:pt idx="2">
                  <c:v>20.853531473812694</c:v>
                </c:pt>
                <c:pt idx="3">
                  <c:v>18.035842220500545</c:v>
                </c:pt>
                <c:pt idx="4">
                  <c:v>16.504652626265901</c:v>
                </c:pt>
                <c:pt idx="5">
                  <c:v>16.403031653195463</c:v>
                </c:pt>
                <c:pt idx="6">
                  <c:v>16.223914700661467</c:v>
                </c:pt>
                <c:pt idx="7">
                  <c:v>15.969194768162266</c:v>
                </c:pt>
                <c:pt idx="8">
                  <c:v>14.078333269240696</c:v>
                </c:pt>
                <c:pt idx="9">
                  <c:v>13.65557438127183</c:v>
                </c:pt>
                <c:pt idx="10">
                  <c:v>13.375733455429698</c:v>
                </c:pt>
                <c:pt idx="11">
                  <c:v>13.515651418351426</c:v>
                </c:pt>
                <c:pt idx="12">
                  <c:v>12.642102649841913</c:v>
                </c:pt>
                <c:pt idx="13">
                  <c:v>12.007088818120621</c:v>
                </c:pt>
                <c:pt idx="14">
                  <c:v>11.847967860287685</c:v>
                </c:pt>
                <c:pt idx="15">
                  <c:v>10.900711111310793</c:v>
                </c:pt>
                <c:pt idx="16">
                  <c:v>10.559670201686657</c:v>
                </c:pt>
                <c:pt idx="17">
                  <c:v>10.326786263400916</c:v>
                </c:pt>
                <c:pt idx="18">
                  <c:v>9.0101826123009765</c:v>
                </c:pt>
                <c:pt idx="19">
                  <c:v>8.8629596513150695</c:v>
                </c:pt>
                <c:pt idx="20">
                  <c:v>7.880545126043069</c:v>
                </c:pt>
                <c:pt idx="21">
                  <c:v>7.5189086395704638</c:v>
                </c:pt>
                <c:pt idx="22">
                  <c:v>6.9408833617736621</c:v>
                </c:pt>
                <c:pt idx="23">
                  <c:v>6.2689261220531369</c:v>
                </c:pt>
                <c:pt idx="24">
                  <c:v>5.5862393587595784</c:v>
                </c:pt>
                <c:pt idx="25">
                  <c:v>5.54645090861756</c:v>
                </c:pt>
                <c:pt idx="26">
                  <c:v>5.0287316673857552</c:v>
                </c:pt>
                <c:pt idx="27">
                  <c:v>4.19968488708321</c:v>
                </c:pt>
                <c:pt idx="28">
                  <c:v>3.5158270683055801</c:v>
                </c:pt>
                <c:pt idx="29">
                  <c:v>3.2742971323110304</c:v>
                </c:pt>
                <c:pt idx="30">
                  <c:v>2.3380233804236399</c:v>
                </c:pt>
                <c:pt idx="31">
                  <c:v>1.5037626015028054</c:v>
                </c:pt>
                <c:pt idx="32">
                  <c:v>1.1549016939509702</c:v>
                </c:pt>
                <c:pt idx="33">
                  <c:v>1.278634661161725</c:v>
                </c:pt>
                <c:pt idx="34">
                  <c:v>0.38739989733900004</c:v>
                </c:pt>
                <c:pt idx="35">
                  <c:v>0.24988493378047499</c:v>
                </c:pt>
                <c:pt idx="36">
                  <c:v>0.18305995148910001</c:v>
                </c:pt>
                <c:pt idx="37">
                  <c:v>0.17090995470885004</c:v>
                </c:pt>
                <c:pt idx="38">
                  <c:v>0.11218497027097502</c:v>
                </c:pt>
                <c:pt idx="39">
                  <c:v>5.9534984223225007E-2</c:v>
                </c:pt>
                <c:pt idx="40">
                  <c:v>0.10570497198817498</c:v>
                </c:pt>
                <c:pt idx="41">
                  <c:v>6.0344984008575013E-2</c:v>
                </c:pt>
                <c:pt idx="42">
                  <c:v>0.11744996887575</c:v>
                </c:pt>
                <c:pt idx="43">
                  <c:v>0.12676496640727503</c:v>
                </c:pt>
                <c:pt idx="44">
                  <c:v>0.12149996780250004</c:v>
                </c:pt>
                <c:pt idx="45">
                  <c:v>0</c:v>
                </c:pt>
                <c:pt idx="46">
                  <c:v>0</c:v>
                </c:pt>
                <c:pt idx="47">
                  <c:v>0</c:v>
                </c:pt>
                <c:pt idx="48">
                  <c:v>0</c:v>
                </c:pt>
                <c:pt idx="49">
                  <c:v>0</c:v>
                </c:pt>
                <c:pt idx="50">
                  <c:v>0</c:v>
                </c:pt>
                <c:pt idx="51">
                  <c:v>0</c:v>
                </c:pt>
              </c:numCache>
            </c:numRef>
          </c:val>
          <c:extLst>
            <c:ext xmlns:c16="http://schemas.microsoft.com/office/drawing/2014/chart" uri="{C3380CC4-5D6E-409C-BE32-E72D297353CC}">
              <c16:uniqueId val="{00000001-0025-41D6-A1FD-6C331973C86C}"/>
            </c:ext>
          </c:extLst>
        </c:ser>
        <c:ser>
          <c:idx val="3"/>
          <c:order val="2"/>
          <c:tx>
            <c:strRef>
              <c:f>'[figures_bilan_energetique_provisoire_2021.xlsx]1- Production'!$A$15</c:f>
              <c:strCache>
                <c:ptCount val="1"/>
                <c:pt idx="0">
                  <c:v>Gaz naturel</c:v>
                </c:pt>
              </c:strCache>
            </c:strRef>
          </c:tx>
          <c:spPr>
            <a:solidFill>
              <a:schemeClr val="bg1">
                <a:lumMod val="50000"/>
              </a:schemeClr>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Production'!$B$15:$BA$15</c:f>
              <c:numCache>
                <c:formatCode>0.0</c:formatCode>
                <c:ptCount val="52"/>
                <c:pt idx="0">
                  <c:v>5.7862404666458698</c:v>
                </c:pt>
                <c:pt idx="1">
                  <c:v>6.0190114049615557</c:v>
                </c:pt>
                <c:pt idx="2">
                  <c:v>6.2259103501333204</c:v>
                </c:pt>
                <c:pt idx="3">
                  <c:v>6.2583273415428158</c:v>
                </c:pt>
                <c:pt idx="4">
                  <c:v>6.3119963273205304</c:v>
                </c:pt>
                <c:pt idx="5">
                  <c:v>6.1389003731909702</c:v>
                </c:pt>
                <c:pt idx="6">
                  <c:v>5.914907432549116</c:v>
                </c:pt>
                <c:pt idx="7">
                  <c:v>6.3918453061605458</c:v>
                </c:pt>
                <c:pt idx="8">
                  <c:v>6.5695612590658046</c:v>
                </c:pt>
                <c:pt idx="9">
                  <c:v>6.4741582843476007</c:v>
                </c:pt>
                <c:pt idx="10">
                  <c:v>6.2935163322177301</c:v>
                </c:pt>
                <c:pt idx="11">
                  <c:v>5.9219914306718549</c:v>
                </c:pt>
                <c:pt idx="12">
                  <c:v>5.496874543327861</c:v>
                </c:pt>
                <c:pt idx="13">
                  <c:v>5.5557025277384406</c:v>
                </c:pt>
                <c:pt idx="14">
                  <c:v>5.2776556014208946</c:v>
                </c:pt>
                <c:pt idx="15">
                  <c:v>4.5146628036140397</c:v>
                </c:pt>
                <c:pt idx="16">
                  <c:v>3.5197460672670453</c:v>
                </c:pt>
                <c:pt idx="17">
                  <c:v>3.2638751350728605</c:v>
                </c:pt>
                <c:pt idx="18">
                  <c:v>2.6838342887837254</c:v>
                </c:pt>
                <c:pt idx="19">
                  <c:v>2.59412931255555</c:v>
                </c:pt>
                <c:pt idx="20">
                  <c:v>2.5157345010000007</c:v>
                </c:pt>
                <c:pt idx="21">
                  <c:v>2.8561471364999989</c:v>
                </c:pt>
                <c:pt idx="22">
                  <c:v>2.7828883425000042</c:v>
                </c:pt>
                <c:pt idx="23">
                  <c:v>2.8836406803749974</c:v>
                </c:pt>
                <c:pt idx="24">
                  <c:v>2.9408203728750055</c:v>
                </c:pt>
                <c:pt idx="25">
                  <c:v>2.7929485290000038</c:v>
                </c:pt>
                <c:pt idx="26">
                  <c:v>2.4065556821249952</c:v>
                </c:pt>
                <c:pt idx="27">
                  <c:v>2.1270200726250015</c:v>
                </c:pt>
                <c:pt idx="28">
                  <c:v>1.8373812843750006</c:v>
                </c:pt>
                <c:pt idx="29">
                  <c:v>1.6696040287500054</c:v>
                </c:pt>
                <c:pt idx="30">
                  <c:v>1.5047072538750021</c:v>
                </c:pt>
                <c:pt idx="31">
                  <c:v>1.5095008897499982</c:v>
                </c:pt>
                <c:pt idx="32">
                  <c:v>1.4496556777500038</c:v>
                </c:pt>
                <c:pt idx="33">
                  <c:v>1.2816204686249959</c:v>
                </c:pt>
                <c:pt idx="34">
                  <c:v>1.107695321250002</c:v>
                </c:pt>
                <c:pt idx="35">
                  <c:v>0.90874868437499989</c:v>
                </c:pt>
                <c:pt idx="36">
                  <c:v>1.0585121872499961</c:v>
                </c:pt>
                <c:pt idx="37">
                  <c:v>0.91541248312499979</c:v>
                </c:pt>
                <c:pt idx="38">
                  <c:v>0.81091981950000003</c:v>
                </c:pt>
                <c:pt idx="39">
                  <c:v>0.7634563754999999</c:v>
                </c:pt>
                <c:pt idx="40">
                  <c:v>0.64582957950000008</c:v>
                </c:pt>
                <c:pt idx="41">
                  <c:v>0.50580104824987504</c:v>
                </c:pt>
                <c:pt idx="42">
                  <c:v>0.45186488455499996</c:v>
                </c:pt>
                <c:pt idx="43">
                  <c:v>0.28935742546987503</c:v>
                </c:pt>
                <c:pt idx="44">
                  <c:v>1.2525749045249999E-2</c:v>
                </c:pt>
                <c:pt idx="45">
                  <c:v>1.91398917465E-2</c:v>
                </c:pt>
                <c:pt idx="46">
                  <c:v>1.7990558431125001E-2</c:v>
                </c:pt>
                <c:pt idx="47">
                  <c:v>1.414397733525E-2</c:v>
                </c:pt>
                <c:pt idx="48">
                  <c:v>7.7485577058750013E-3</c:v>
                </c:pt>
                <c:pt idx="49">
                  <c:v>1.4349802732125E-2</c:v>
                </c:pt>
                <c:pt idx="50">
                  <c:v>1.5573383663250001E-2</c:v>
                </c:pt>
                <c:pt idx="51">
                  <c:v>1.9989569079374998E-2</c:v>
                </c:pt>
              </c:numCache>
            </c:numRef>
          </c:val>
          <c:extLst>
            <c:ext xmlns:c16="http://schemas.microsoft.com/office/drawing/2014/chart" uri="{C3380CC4-5D6E-409C-BE32-E72D297353CC}">
              <c16:uniqueId val="{00000002-0025-41D6-A1FD-6C331973C86C}"/>
            </c:ext>
          </c:extLst>
        </c:ser>
        <c:ser>
          <c:idx val="2"/>
          <c:order val="3"/>
          <c:tx>
            <c:strRef>
              <c:f>'[figures_bilan_energetique_provisoire_2021.xlsx]1- Production'!$A$14</c:f>
              <c:strCache>
                <c:ptCount val="1"/>
                <c:pt idx="0">
                  <c:v>Pétrole</c:v>
                </c:pt>
              </c:strCache>
            </c:strRef>
          </c:tx>
          <c:spPr>
            <a:solidFill>
              <a:schemeClr val="accent2">
                <a:lumMod val="60000"/>
                <a:lumOff val="40000"/>
              </a:schemeClr>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Production'!$B$14:$BA$14</c:f>
              <c:numCache>
                <c:formatCode>0.0</c:formatCode>
                <c:ptCount val="52"/>
                <c:pt idx="0">
                  <c:v>2.9630942147798249</c:v>
                </c:pt>
                <c:pt idx="1">
                  <c:v>2.49864533785881</c:v>
                </c:pt>
                <c:pt idx="2">
                  <c:v>2.1568314284395202</c:v>
                </c:pt>
                <c:pt idx="3">
                  <c:v>2.0683194518952002</c:v>
                </c:pt>
                <c:pt idx="4">
                  <c:v>1.9013754961353602</c:v>
                </c:pt>
                <c:pt idx="5">
                  <c:v>1.8473785104445652</c:v>
                </c:pt>
                <c:pt idx="6">
                  <c:v>1.8111685200402152</c:v>
                </c:pt>
                <c:pt idx="7">
                  <c:v>1.8774435024773399</c:v>
                </c:pt>
                <c:pt idx="8">
                  <c:v>1.9453904844713852</c:v>
                </c:pt>
                <c:pt idx="9">
                  <c:v>2.0073184680604652</c:v>
                </c:pt>
                <c:pt idx="10">
                  <c:v>2.2563744020606253</c:v>
                </c:pt>
                <c:pt idx="11">
                  <c:v>2.4380753539098601</c:v>
                </c:pt>
                <c:pt idx="12">
                  <c:v>2.3398663799352453</c:v>
                </c:pt>
                <c:pt idx="13">
                  <c:v>2.318750385530985</c:v>
                </c:pt>
                <c:pt idx="14">
                  <c:v>2.7006032843399401</c:v>
                </c:pt>
                <c:pt idx="15">
                  <c:v>3.2443891402366503</c:v>
                </c:pt>
                <c:pt idx="16">
                  <c:v>3.447026086537845</c:v>
                </c:pt>
                <c:pt idx="17">
                  <c:v>3.6456700338971855</c:v>
                </c:pt>
                <c:pt idx="18">
                  <c:v>3.8318589845570998</c:v>
                </c:pt>
                <c:pt idx="19">
                  <c:v>3.7409430086498401</c:v>
                </c:pt>
                <c:pt idx="20">
                  <c:v>3.5369990626950005</c:v>
                </c:pt>
                <c:pt idx="21">
                  <c:v>3.7039990184400007</c:v>
                </c:pt>
                <c:pt idx="22">
                  <c:v>3.5269990653450005</c:v>
                </c:pt>
                <c:pt idx="23">
                  <c:v>3.4179990942300003</c:v>
                </c:pt>
                <c:pt idx="24">
                  <c:v>3.3849991029749997</c:v>
                </c:pt>
                <c:pt idx="25">
                  <c:v>3.0369991951949999</c:v>
                </c:pt>
                <c:pt idx="26">
                  <c:v>2.6409993001350003</c:v>
                </c:pt>
                <c:pt idx="27">
                  <c:v>2.2519994032199997</c:v>
                </c:pt>
                <c:pt idx="28">
                  <c:v>2.0769994495950002</c:v>
                </c:pt>
                <c:pt idx="29">
                  <c:v>1.9539994821900002</c:v>
                </c:pt>
                <c:pt idx="30">
                  <c:v>1.842999511605</c:v>
                </c:pt>
                <c:pt idx="31">
                  <c:v>1.754999534925</c:v>
                </c:pt>
                <c:pt idx="32">
                  <c:v>1.6399995654000001</c:v>
                </c:pt>
                <c:pt idx="33">
                  <c:v>1.5429995911049998</c:v>
                </c:pt>
                <c:pt idx="34">
                  <c:v>1.5529995884550001</c:v>
                </c:pt>
                <c:pt idx="35">
                  <c:v>1.3809996340350004</c:v>
                </c:pt>
                <c:pt idx="36">
                  <c:v>1.2479996692799999</c:v>
                </c:pt>
                <c:pt idx="37">
                  <c:v>1.2179996772300001</c:v>
                </c:pt>
                <c:pt idx="38">
                  <c:v>1.2799996608000002</c:v>
                </c:pt>
                <c:pt idx="39">
                  <c:v>1.13799969843</c:v>
                </c:pt>
                <c:pt idx="40">
                  <c:v>1.090999710885</c:v>
                </c:pt>
                <c:pt idx="41">
                  <c:v>1.1575295932545766</c:v>
                </c:pt>
                <c:pt idx="42">
                  <c:v>1.0527071210325392</c:v>
                </c:pt>
                <c:pt idx="43">
                  <c:v>1.1148510045644056</c:v>
                </c:pt>
                <c:pt idx="44">
                  <c:v>1.084241112676029</c:v>
                </c:pt>
                <c:pt idx="45">
                  <c:v>1.0970031092940991</c:v>
                </c:pt>
                <c:pt idx="46">
                  <c:v>1.0220328291612286</c:v>
                </c:pt>
                <c:pt idx="47">
                  <c:v>0.99479993637794717</c:v>
                </c:pt>
                <c:pt idx="48">
                  <c:v>0.93942078865342515</c:v>
                </c:pt>
                <c:pt idx="49">
                  <c:v>0.99703788688489015</c:v>
                </c:pt>
                <c:pt idx="50">
                  <c:v>0.8424577934486257</c:v>
                </c:pt>
                <c:pt idx="51">
                  <c:v>0.81935283397144165</c:v>
                </c:pt>
              </c:numCache>
            </c:numRef>
          </c:val>
          <c:extLst>
            <c:ext xmlns:c16="http://schemas.microsoft.com/office/drawing/2014/chart" uri="{C3380CC4-5D6E-409C-BE32-E72D297353CC}">
              <c16:uniqueId val="{00000003-0025-41D6-A1FD-6C331973C86C}"/>
            </c:ext>
          </c:extLst>
        </c:ser>
        <c:ser>
          <c:idx val="1"/>
          <c:order val="4"/>
          <c:tx>
            <c:strRef>
              <c:f>'[figures_bilan_energetique_provisoire_2021.xlsx]1- Production'!$A$13</c:f>
              <c:strCache>
                <c:ptCount val="1"/>
                <c:pt idx="0">
                  <c:v>Hydraulique* (hors pompages), éolien et photovoltaïque</c:v>
                </c:pt>
              </c:strCache>
            </c:strRef>
          </c:tx>
          <c:spPr>
            <a:solidFill>
              <a:srgbClr val="92D05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Production'!$B$13:$BA$13</c:f>
              <c:numCache>
                <c:formatCode>0.0</c:formatCode>
                <c:ptCount val="52"/>
                <c:pt idx="0">
                  <c:v>4.9155616973758054</c:v>
                </c:pt>
                <c:pt idx="1">
                  <c:v>4.2431628755615405</c:v>
                </c:pt>
                <c:pt idx="2">
                  <c:v>4.2453118749920558</c:v>
                </c:pt>
                <c:pt idx="3">
                  <c:v>4.1484939006488251</c:v>
                </c:pt>
                <c:pt idx="4">
                  <c:v>4.8855537053279257</c:v>
                </c:pt>
                <c:pt idx="5">
                  <c:v>5.2122946187415611</c:v>
                </c:pt>
                <c:pt idx="6">
                  <c:v>4.2122088837643501</c:v>
                </c:pt>
                <c:pt idx="7">
                  <c:v>6.6007722507948916</c:v>
                </c:pt>
                <c:pt idx="8">
                  <c:v>5.9172814319200064</c:v>
                </c:pt>
                <c:pt idx="9">
                  <c:v>5.7522764756463305</c:v>
                </c:pt>
                <c:pt idx="10">
                  <c:v>6.01986040473657</c:v>
                </c:pt>
                <c:pt idx="11">
                  <c:v>6.2552003423714702</c:v>
                </c:pt>
                <c:pt idx="12">
                  <c:v>6.1183133786465254</c:v>
                </c:pt>
                <c:pt idx="13">
                  <c:v>6.0221824041212404</c:v>
                </c:pt>
                <c:pt idx="14">
                  <c:v>5.6993964896595308</c:v>
                </c:pt>
                <c:pt idx="15">
                  <c:v>5.3756655754482452</c:v>
                </c:pt>
                <c:pt idx="16">
                  <c:v>5.4229565629161307</c:v>
                </c:pt>
                <c:pt idx="17">
                  <c:v>6.110746380651781</c:v>
                </c:pt>
                <c:pt idx="18">
                  <c:v>6.6283732434806257</c:v>
                </c:pt>
                <c:pt idx="19">
                  <c:v>4.0580379246196649</c:v>
                </c:pt>
                <c:pt idx="20">
                  <c:v>4.6749417534014972</c:v>
                </c:pt>
                <c:pt idx="21">
                  <c:v>4.9973954082779963</c:v>
                </c:pt>
                <c:pt idx="22">
                  <c:v>5.9735875829490013</c:v>
                </c:pt>
                <c:pt idx="23">
                  <c:v>5.6226899115344997</c:v>
                </c:pt>
                <c:pt idx="24">
                  <c:v>6.818560187922003</c:v>
                </c:pt>
                <c:pt idx="25">
                  <c:v>6.3311912715029983</c:v>
                </c:pt>
                <c:pt idx="26">
                  <c:v>5.721662198290506</c:v>
                </c:pt>
                <c:pt idx="27">
                  <c:v>5.5276453107540044</c:v>
                </c:pt>
                <c:pt idx="28">
                  <c:v>5.3857459502490057</c:v>
                </c:pt>
                <c:pt idx="29">
                  <c:v>6.2827744313670051</c:v>
                </c:pt>
                <c:pt idx="30">
                  <c:v>5.7544578043889985</c:v>
                </c:pt>
                <c:pt idx="31">
                  <c:v>6.439397863636505</c:v>
                </c:pt>
                <c:pt idx="32">
                  <c:v>5.2590929313615034</c:v>
                </c:pt>
                <c:pt idx="33">
                  <c:v>5.144396143183501</c:v>
                </c:pt>
                <c:pt idx="34">
                  <c:v>5.2131118601415007</c:v>
                </c:pt>
                <c:pt idx="35">
                  <c:v>4.5514564894785012</c:v>
                </c:pt>
                <c:pt idx="36">
                  <c:v>5.0699047613760033</c:v>
                </c:pt>
                <c:pt idx="37">
                  <c:v>5.344590329168998</c:v>
                </c:pt>
                <c:pt idx="38">
                  <c:v>6.006416894971502</c:v>
                </c:pt>
                <c:pt idx="39">
                  <c:v>5.6346776125709974</c:v>
                </c:pt>
                <c:pt idx="40">
                  <c:v>6.3417821543370057</c:v>
                </c:pt>
                <c:pt idx="41">
                  <c:v>5.238805576462501</c:v>
                </c:pt>
                <c:pt idx="42">
                  <c:v>6.8698306816439993</c:v>
                </c:pt>
                <c:pt idx="43">
                  <c:v>8.0529711247755014</c:v>
                </c:pt>
                <c:pt idx="44">
                  <c:v>7.5639934383615017</c:v>
                </c:pt>
                <c:pt idx="45">
                  <c:v>7.3274278948605023</c:v>
                </c:pt>
                <c:pt idx="46">
                  <c:v>7.8573000674280014</c:v>
                </c:pt>
                <c:pt idx="47">
                  <c:v>7.2844964359020006</c:v>
                </c:pt>
                <c:pt idx="48">
                  <c:v>9.0353442092444993</c:v>
                </c:pt>
                <c:pt idx="49">
                  <c:v>8.9774443105725013</c:v>
                </c:pt>
                <c:pt idx="50">
                  <c:v>9.9513272855115016</c:v>
                </c:pt>
                <c:pt idx="51">
                  <c:v>9.5837016009791149</c:v>
                </c:pt>
              </c:numCache>
            </c:numRef>
          </c:val>
          <c:extLst>
            <c:ext xmlns:c16="http://schemas.microsoft.com/office/drawing/2014/chart" uri="{C3380CC4-5D6E-409C-BE32-E72D297353CC}">
              <c16:uniqueId val="{00000004-0025-41D6-A1FD-6C331973C86C}"/>
            </c:ext>
          </c:extLst>
        </c:ser>
        <c:ser>
          <c:idx val="0"/>
          <c:order val="5"/>
          <c:tx>
            <c:strRef>
              <c:f>'[figures_bilan_energetique_provisoire_2021.xlsx]1- Production'!$A$12</c:f>
              <c:strCache>
                <c:ptCount val="1"/>
                <c:pt idx="0">
                  <c:v>Énergies renouvelables thermiques et déchets</c:v>
                </c:pt>
              </c:strCache>
            </c:strRef>
          </c:tx>
          <c:spPr>
            <a:solidFill>
              <a:srgbClr val="00B050"/>
            </a:solidFill>
            <a:ln>
              <a:noFill/>
            </a:ln>
            <a:effectLst/>
          </c:spPr>
          <c:cat>
            <c:numRef>
              <c:f>'[figures_bilan_energetique_provisoire_2021.xlsx]1- Production'!$B$2:$BA$2</c:f>
              <c:numCache>
                <c:formatCode>General</c:formatCode>
                <c:ptCount val="52"/>
                <c:pt idx="0">
                  <c:v>1970</c:v>
                </c:pt>
                <c:pt idx="1">
                  <c:v>1971</c:v>
                </c:pt>
                <c:pt idx="2">
                  <c:v>1972</c:v>
                </c:pt>
                <c:pt idx="3">
                  <c:v>1973</c:v>
                </c:pt>
                <c:pt idx="4">
                  <c:v>1974</c:v>
                </c:pt>
                <c:pt idx="5">
                  <c:v>1975</c:v>
                </c:pt>
                <c:pt idx="6">
                  <c:v>1976</c:v>
                </c:pt>
                <c:pt idx="7">
                  <c:v>1977</c:v>
                </c:pt>
                <c:pt idx="8">
                  <c:v>1978</c:v>
                </c:pt>
                <c:pt idx="9">
                  <c:v>1979</c:v>
                </c:pt>
                <c:pt idx="10">
                  <c:v>1980</c:v>
                </c:pt>
                <c:pt idx="11">
                  <c:v>1981</c:v>
                </c:pt>
                <c:pt idx="12">
                  <c:v>1982</c:v>
                </c:pt>
                <c:pt idx="13">
                  <c:v>1983</c:v>
                </c:pt>
                <c:pt idx="14">
                  <c:v>1984</c:v>
                </c:pt>
                <c:pt idx="15">
                  <c:v>1985</c:v>
                </c:pt>
                <c:pt idx="16">
                  <c:v>1986</c:v>
                </c:pt>
                <c:pt idx="17">
                  <c:v>1987</c:v>
                </c:pt>
                <c:pt idx="18">
                  <c:v>1988</c:v>
                </c:pt>
                <c:pt idx="19">
                  <c:v>1989</c:v>
                </c:pt>
                <c:pt idx="20">
                  <c:v>1990</c:v>
                </c:pt>
                <c:pt idx="21">
                  <c:v>1991</c:v>
                </c:pt>
                <c:pt idx="22">
                  <c:v>1992</c:v>
                </c:pt>
                <c:pt idx="23">
                  <c:v>1993</c:v>
                </c:pt>
                <c:pt idx="24">
                  <c:v>1994</c:v>
                </c:pt>
                <c:pt idx="25">
                  <c:v>1995</c:v>
                </c:pt>
                <c:pt idx="26">
                  <c:v>1996</c:v>
                </c:pt>
                <c:pt idx="27">
                  <c:v>1997</c:v>
                </c:pt>
                <c:pt idx="28">
                  <c:v>1998</c:v>
                </c:pt>
                <c:pt idx="29">
                  <c:v>1999</c:v>
                </c:pt>
                <c:pt idx="30">
                  <c:v>2000</c:v>
                </c:pt>
                <c:pt idx="31">
                  <c:v>2001</c:v>
                </c:pt>
                <c:pt idx="32">
                  <c:v>2002</c:v>
                </c:pt>
                <c:pt idx="33">
                  <c:v>2003</c:v>
                </c:pt>
                <c:pt idx="34">
                  <c:v>2004</c:v>
                </c:pt>
                <c:pt idx="35">
                  <c:v>2005</c:v>
                </c:pt>
                <c:pt idx="36">
                  <c:v>2006</c:v>
                </c:pt>
                <c:pt idx="37">
                  <c:v>2007</c:v>
                </c:pt>
                <c:pt idx="38">
                  <c:v>2008</c:v>
                </c:pt>
                <c:pt idx="39">
                  <c:v>2009</c:v>
                </c:pt>
                <c:pt idx="40">
                  <c:v>2010</c:v>
                </c:pt>
                <c:pt idx="41">
                  <c:v>2011</c:v>
                </c:pt>
                <c:pt idx="42">
                  <c:v>2012</c:v>
                </c:pt>
                <c:pt idx="43">
                  <c:v>2013</c:v>
                </c:pt>
                <c:pt idx="44">
                  <c:v>2014</c:v>
                </c:pt>
                <c:pt idx="45">
                  <c:v>2015</c:v>
                </c:pt>
                <c:pt idx="46">
                  <c:v>2016</c:v>
                </c:pt>
                <c:pt idx="47">
                  <c:v>2017</c:v>
                </c:pt>
                <c:pt idx="48">
                  <c:v>2018</c:v>
                </c:pt>
                <c:pt idx="49">
                  <c:v>2019</c:v>
                </c:pt>
                <c:pt idx="50">
                  <c:v>2020</c:v>
                </c:pt>
                <c:pt idx="51">
                  <c:v>2021</c:v>
                </c:pt>
              </c:numCache>
            </c:numRef>
          </c:cat>
          <c:val>
            <c:numRef>
              <c:f>'[figures_bilan_energetique_provisoire_2021.xlsx]1- Production'!$B$12:$BA$12</c:f>
              <c:numCache>
                <c:formatCode>0.0</c:formatCode>
                <c:ptCount val="52"/>
                <c:pt idx="0">
                  <c:v>9.3976195096301698</c:v>
                </c:pt>
                <c:pt idx="1">
                  <c:v>9.4552004943712049</c:v>
                </c:pt>
                <c:pt idx="2">
                  <c:v>9.5693214641291497</c:v>
                </c:pt>
                <c:pt idx="3">
                  <c:v>9.8233373968148907</c:v>
                </c:pt>
                <c:pt idx="4">
                  <c:v>8.8764516477396995</c:v>
                </c:pt>
                <c:pt idx="5">
                  <c:v>9.2149915580265809</c:v>
                </c:pt>
                <c:pt idx="6">
                  <c:v>8.8354806585970049</c:v>
                </c:pt>
                <c:pt idx="7">
                  <c:v>8.9793666204672267</c:v>
                </c:pt>
                <c:pt idx="8">
                  <c:v>9.2611725457886358</c:v>
                </c:pt>
                <c:pt idx="9">
                  <c:v>9.5454044704671457</c:v>
                </c:pt>
                <c:pt idx="10">
                  <c:v>8.694636695920666</c:v>
                </c:pt>
                <c:pt idx="11">
                  <c:v>8.3937997756424725</c:v>
                </c:pt>
                <c:pt idx="12">
                  <c:v>8.5757677274209509</c:v>
                </c:pt>
                <c:pt idx="13">
                  <c:v>9.5038054814908808</c:v>
                </c:pt>
                <c:pt idx="14">
                  <c:v>9.6982414299653428</c:v>
                </c:pt>
                <c:pt idx="15">
                  <c:v>10.884798115527735</c:v>
                </c:pt>
                <c:pt idx="16">
                  <c:v>10.666626173343316</c:v>
                </c:pt>
                <c:pt idx="17">
                  <c:v>11.214834028068196</c:v>
                </c:pt>
                <c:pt idx="18">
                  <c:v>10.503542216560577</c:v>
                </c:pt>
                <c:pt idx="19">
                  <c:v>10.845058126058834</c:v>
                </c:pt>
                <c:pt idx="20">
                  <c:v>11.122381689999971</c:v>
                </c:pt>
                <c:pt idx="21">
                  <c:v>12.7741917041667</c:v>
                </c:pt>
                <c:pt idx="22">
                  <c:v>12.465746027807926</c:v>
                </c:pt>
                <c:pt idx="23">
                  <c:v>12.05265250968624</c:v>
                </c:pt>
                <c:pt idx="24">
                  <c:v>11.038784071950847</c:v>
                </c:pt>
                <c:pt idx="25">
                  <c:v>11.429751174802936</c:v>
                </c:pt>
                <c:pt idx="26">
                  <c:v>12.250803598859585</c:v>
                </c:pt>
                <c:pt idx="27">
                  <c:v>11.372973841993735</c:v>
                </c:pt>
                <c:pt idx="28">
                  <c:v>11.406766467031286</c:v>
                </c:pt>
                <c:pt idx="29">
                  <c:v>11.11412985307331</c:v>
                </c:pt>
                <c:pt idx="30">
                  <c:v>10.922743385810936</c:v>
                </c:pt>
                <c:pt idx="31">
                  <c:v>11.135239258232817</c:v>
                </c:pt>
                <c:pt idx="32">
                  <c:v>10.827943164363202</c:v>
                </c:pt>
                <c:pt idx="33">
                  <c:v>11.526620077308673</c:v>
                </c:pt>
                <c:pt idx="34">
                  <c:v>11.820817348532774</c:v>
                </c:pt>
                <c:pt idx="35">
                  <c:v>12.505764713388777</c:v>
                </c:pt>
                <c:pt idx="36">
                  <c:v>11.654184145785687</c:v>
                </c:pt>
                <c:pt idx="37">
                  <c:v>12.642055906640598</c:v>
                </c:pt>
                <c:pt idx="38">
                  <c:v>14.453120030507078</c:v>
                </c:pt>
                <c:pt idx="39">
                  <c:v>15.374947050792452</c:v>
                </c:pt>
                <c:pt idx="40">
                  <c:v>17.075023838629484</c:v>
                </c:pt>
                <c:pt idx="41">
                  <c:v>15.496665123486789</c:v>
                </c:pt>
                <c:pt idx="42">
                  <c:v>17.456729892499794</c:v>
                </c:pt>
                <c:pt idx="43">
                  <c:v>18.768987749896112</c:v>
                </c:pt>
                <c:pt idx="44">
                  <c:v>17.230966895653051</c:v>
                </c:pt>
                <c:pt idx="45">
                  <c:v>18.428520493702653</c:v>
                </c:pt>
                <c:pt idx="46">
                  <c:v>19.521915937097386</c:v>
                </c:pt>
                <c:pt idx="47">
                  <c:v>19.376758814911717</c:v>
                </c:pt>
                <c:pt idx="48">
                  <c:v>19.880217802557933</c:v>
                </c:pt>
                <c:pt idx="49">
                  <c:v>20.246589396445739</c:v>
                </c:pt>
                <c:pt idx="50">
                  <c:v>19.720346301938971</c:v>
                </c:pt>
                <c:pt idx="51">
                  <c:v>21.765109157372923</c:v>
                </c:pt>
              </c:numCache>
            </c:numRef>
          </c:val>
          <c:extLst>
            <c:ext xmlns:c16="http://schemas.microsoft.com/office/drawing/2014/chart" uri="{C3380CC4-5D6E-409C-BE32-E72D297353CC}">
              <c16:uniqueId val="{00000005-0025-41D6-A1FD-6C331973C86C}"/>
            </c:ext>
          </c:extLst>
        </c:ser>
        <c:dLbls>
          <c:showLegendKey val="0"/>
          <c:showVal val="0"/>
          <c:showCatName val="0"/>
          <c:showSerName val="0"/>
          <c:showPercent val="0"/>
          <c:showBubbleSize val="0"/>
        </c:dLbls>
        <c:axId val="1273624160"/>
        <c:axId val="1273619584"/>
      </c:areaChart>
      <c:catAx>
        <c:axId val="12736241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19584"/>
        <c:crosses val="autoZero"/>
        <c:auto val="1"/>
        <c:lblAlgn val="ctr"/>
        <c:lblOffset val="100"/>
        <c:noMultiLvlLbl val="0"/>
      </c:catAx>
      <c:valAx>
        <c:axId val="1273619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Mtep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7362416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'page 30'!$A$37</c:f>
              <c:strCache>
                <c:ptCount val="1"/>
                <c:pt idx="0">
                  <c:v>Hydraulique, éolien et photovoltaïque</c:v>
                </c:pt>
              </c:strCache>
            </c:strRef>
          </c:tx>
          <c:spPr>
            <a:solidFill>
              <a:srgbClr val="00B05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30'!$B$37:$AG$37</c:f>
              <c:numCache>
                <c:formatCode>0</c:formatCode>
                <c:ptCount val="32"/>
                <c:pt idx="0">
                  <c:v>4.6791667000204971</c:v>
                </c:pt>
                <c:pt idx="1">
                  <c:v>4.9807663200965751</c:v>
                </c:pt>
                <c:pt idx="2">
                  <c:v>5.9652447692097175</c:v>
                </c:pt>
                <c:pt idx="3">
                  <c:v>5.6145267621500103</c:v>
                </c:pt>
                <c:pt idx="4">
                  <c:v>6.8302644899794309</c:v>
                </c:pt>
                <c:pt idx="5">
                  <c:v>6.3332228516955</c:v>
                </c:pt>
                <c:pt idx="6">
                  <c:v>5.7037505885056943</c:v>
                </c:pt>
                <c:pt idx="7">
                  <c:v>5.5293667447174251</c:v>
                </c:pt>
                <c:pt idx="8">
                  <c:v>5.3810478340219472</c:v>
                </c:pt>
                <c:pt idx="9">
                  <c:v>6.2832501349382746</c:v>
                </c:pt>
                <c:pt idx="10">
                  <c:v>5.7609793533400673</c:v>
                </c:pt>
                <c:pt idx="11">
                  <c:v>6.4396527034915829</c:v>
                </c:pt>
                <c:pt idx="12">
                  <c:v>5.2725728627678228</c:v>
                </c:pt>
                <c:pt idx="13">
                  <c:v>5.1390050181633091</c:v>
                </c:pt>
                <c:pt idx="14">
                  <c:v>5.20245602134879</c:v>
                </c:pt>
                <c:pt idx="15">
                  <c:v>4.5416156364715388</c:v>
                </c:pt>
                <c:pt idx="16">
                  <c:v>5.0674910671145135</c:v>
                </c:pt>
                <c:pt idx="17">
                  <c:v>5.3591047398368659</c:v>
                </c:pt>
                <c:pt idx="18">
                  <c:v>6.0041949088879276</c:v>
                </c:pt>
                <c:pt idx="19">
                  <c:v>5.6267924688996018</c:v>
                </c:pt>
                <c:pt idx="20">
                  <c:v>6.2807101956113582</c:v>
                </c:pt>
                <c:pt idx="21">
                  <c:v>5.2388055764625001</c:v>
                </c:pt>
                <c:pt idx="22">
                  <c:v>6.8698306816439958</c:v>
                </c:pt>
                <c:pt idx="23">
                  <c:v>8.0529711247755031</c:v>
                </c:pt>
                <c:pt idx="24">
                  <c:v>7.5639934383615035</c:v>
                </c:pt>
                <c:pt idx="25">
                  <c:v>7.3274278948605023</c:v>
                </c:pt>
                <c:pt idx="26">
                  <c:v>7.8573000674280014</c:v>
                </c:pt>
                <c:pt idx="27">
                  <c:v>7.2844964359020006</c:v>
                </c:pt>
                <c:pt idx="28">
                  <c:v>9.0353442092445011</c:v>
                </c:pt>
                <c:pt idx="29">
                  <c:v>8.9774443105724995</c:v>
                </c:pt>
                <c:pt idx="30">
                  <c:v>9.9513272855115016</c:v>
                </c:pt>
                <c:pt idx="31">
                  <c:v>9.5837016009791132</c:v>
                </c:pt>
              </c:numCache>
            </c:numRef>
          </c:val>
          <c:extLst>
            <c:ext xmlns:c16="http://schemas.microsoft.com/office/drawing/2014/chart" uri="{C3380CC4-5D6E-409C-BE32-E72D297353CC}">
              <c16:uniqueId val="{00000000-8659-4011-9F2B-F5EE550921CC}"/>
            </c:ext>
          </c:extLst>
        </c:ser>
        <c:ser>
          <c:idx val="1"/>
          <c:order val="1"/>
          <c:tx>
            <c:strRef>
              <c:f>'page 30'!$A$38</c:f>
              <c:strCache>
                <c:ptCount val="1"/>
                <c:pt idx="0">
                  <c:v>Autres EnR* et déchets</c:v>
                </c:pt>
              </c:strCache>
            </c:strRef>
          </c:tx>
          <c:spPr>
            <a:solidFill>
              <a:srgbClr val="92D05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30'!$B$38:$AG$38</c:f>
              <c:numCache>
                <c:formatCode>0</c:formatCode>
                <c:ptCount val="32"/>
                <c:pt idx="0">
                  <c:v>11.352142311681492</c:v>
                </c:pt>
                <c:pt idx="1">
                  <c:v>11.777654028920857</c:v>
                </c:pt>
                <c:pt idx="2">
                  <c:v>12.002164079425679</c:v>
                </c:pt>
                <c:pt idx="3">
                  <c:v>11.604855384712511</c:v>
                </c:pt>
                <c:pt idx="4">
                  <c:v>11.479814317848401</c:v>
                </c:pt>
                <c:pt idx="5">
                  <c:v>11.504071291420301</c:v>
                </c:pt>
                <c:pt idx="6">
                  <c:v>11.490783074941678</c:v>
                </c:pt>
                <c:pt idx="7">
                  <c:v>11.447113036514244</c:v>
                </c:pt>
                <c:pt idx="8">
                  <c:v>11.200225081939568</c:v>
                </c:pt>
                <c:pt idx="9">
                  <c:v>11.139806897950391</c:v>
                </c:pt>
                <c:pt idx="10">
                  <c:v>11.230233963987212</c:v>
                </c:pt>
                <c:pt idx="11">
                  <c:v>11.152935714471253</c:v>
                </c:pt>
                <c:pt idx="12">
                  <c:v>11.312634102151168</c:v>
                </c:pt>
                <c:pt idx="13">
                  <c:v>11.305198524121598</c:v>
                </c:pt>
                <c:pt idx="14">
                  <c:v>11.46097723284023</c:v>
                </c:pt>
                <c:pt idx="15">
                  <c:v>12.127500286211573</c:v>
                </c:pt>
                <c:pt idx="16">
                  <c:v>11.626375289009733</c:v>
                </c:pt>
                <c:pt idx="17">
                  <c:v>13.284333799650613</c:v>
                </c:pt>
                <c:pt idx="18">
                  <c:v>14.644481889211271</c:v>
                </c:pt>
                <c:pt idx="19">
                  <c:v>15.359367629766503</c:v>
                </c:pt>
                <c:pt idx="20">
                  <c:v>16.123315927320149</c:v>
                </c:pt>
                <c:pt idx="21">
                  <c:v>16.312723171267358</c:v>
                </c:pt>
                <c:pt idx="22">
                  <c:v>17.19154150784243</c:v>
                </c:pt>
                <c:pt idx="23">
                  <c:v>18.111272898040824</c:v>
                </c:pt>
                <c:pt idx="24">
                  <c:v>18.689746162237356</c:v>
                </c:pt>
                <c:pt idx="25">
                  <c:v>19.219335602450034</c:v>
                </c:pt>
                <c:pt idx="26">
                  <c:v>20.016842127194678</c:v>
                </c:pt>
                <c:pt idx="27">
                  <c:v>20.535353974935909</c:v>
                </c:pt>
                <c:pt idx="28">
                  <c:v>21.116104182516505</c:v>
                </c:pt>
                <c:pt idx="29">
                  <c:v>21.741785814068663</c:v>
                </c:pt>
                <c:pt idx="30">
                  <c:v>21.626868029652766</c:v>
                </c:pt>
                <c:pt idx="31">
                  <c:v>22.936516848099732</c:v>
                </c:pt>
              </c:numCache>
            </c:numRef>
          </c:val>
          <c:extLst>
            <c:ext xmlns:c16="http://schemas.microsoft.com/office/drawing/2014/chart" uri="{C3380CC4-5D6E-409C-BE32-E72D297353CC}">
              <c16:uniqueId val="{00000001-8659-4011-9F2B-F5EE550921CC}"/>
            </c:ext>
          </c:extLst>
        </c:ser>
        <c:ser>
          <c:idx val="2"/>
          <c:order val="2"/>
          <c:tx>
            <c:strRef>
              <c:f>'page 30'!$A$39</c:f>
              <c:strCache>
                <c:ptCount val="1"/>
                <c:pt idx="0">
                  <c:v>Charbon</c:v>
                </c:pt>
              </c:strCache>
            </c:strRef>
          </c:tx>
          <c:spPr>
            <a:solidFill>
              <a:schemeClr val="tx1"/>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30'!$B$39:$AG$39</c:f>
              <c:numCache>
                <c:formatCode>0</c:formatCode>
                <c:ptCount val="32"/>
                <c:pt idx="0">
                  <c:v>20.114131819753659</c:v>
                </c:pt>
                <c:pt idx="1">
                  <c:v>19.703890188467721</c:v>
                </c:pt>
                <c:pt idx="2">
                  <c:v>18.007153078103173</c:v>
                </c:pt>
                <c:pt idx="3">
                  <c:v>14.096466814435304</c:v>
                </c:pt>
                <c:pt idx="4">
                  <c:v>15.041454644013465</c:v>
                </c:pt>
                <c:pt idx="5">
                  <c:v>15.55020063919574</c:v>
                </c:pt>
                <c:pt idx="6">
                  <c:v>15.462615252405875</c:v>
                </c:pt>
                <c:pt idx="7">
                  <c:v>14.368352172385668</c:v>
                </c:pt>
                <c:pt idx="8">
                  <c:v>16.709289362037147</c:v>
                </c:pt>
                <c:pt idx="9">
                  <c:v>15.19845771240764</c:v>
                </c:pt>
                <c:pt idx="10">
                  <c:v>15.004363123842719</c:v>
                </c:pt>
                <c:pt idx="11">
                  <c:v>12.392623635953866</c:v>
                </c:pt>
                <c:pt idx="12">
                  <c:v>13.672508936784173</c:v>
                </c:pt>
                <c:pt idx="13">
                  <c:v>13.965362579177938</c:v>
                </c:pt>
                <c:pt idx="14">
                  <c:v>13.37276162621723</c:v>
                </c:pt>
                <c:pt idx="15">
                  <c:v>13.815359458928777</c:v>
                </c:pt>
                <c:pt idx="16">
                  <c:v>12.896935292311245</c:v>
                </c:pt>
                <c:pt idx="17">
                  <c:v>13.541297651555173</c:v>
                </c:pt>
                <c:pt idx="18">
                  <c:v>12.655794746213505</c:v>
                </c:pt>
                <c:pt idx="19">
                  <c:v>10.98365452933078</c:v>
                </c:pt>
                <c:pt idx="20">
                  <c:v>11.319767900260711</c:v>
                </c:pt>
                <c:pt idx="21">
                  <c:v>11.719598008813717</c:v>
                </c:pt>
                <c:pt idx="22">
                  <c:v>12.347895700437675</c:v>
                </c:pt>
                <c:pt idx="23">
                  <c:v>12.728426114726089</c:v>
                </c:pt>
                <c:pt idx="24">
                  <c:v>10.29945618382007</c:v>
                </c:pt>
                <c:pt idx="25">
                  <c:v>9.5356273573684565</c:v>
                </c:pt>
                <c:pt idx="26">
                  <c:v>9.0399867244558596</c:v>
                </c:pt>
                <c:pt idx="27">
                  <c:v>9.9498092490315511</c:v>
                </c:pt>
                <c:pt idx="28">
                  <c:v>9.2379104637647007</c:v>
                </c:pt>
                <c:pt idx="29">
                  <c:v>7.427182488603334</c:v>
                </c:pt>
                <c:pt idx="30">
                  <c:v>5.5590535189607362</c:v>
                </c:pt>
                <c:pt idx="31">
                  <c:v>7.1373380430659594</c:v>
                </c:pt>
              </c:numCache>
            </c:numRef>
          </c:val>
          <c:extLst>
            <c:ext xmlns:c16="http://schemas.microsoft.com/office/drawing/2014/chart" uri="{C3380CC4-5D6E-409C-BE32-E72D297353CC}">
              <c16:uniqueId val="{00000002-8659-4011-9F2B-F5EE550921CC}"/>
            </c:ext>
          </c:extLst>
        </c:ser>
        <c:ser>
          <c:idx val="3"/>
          <c:order val="3"/>
          <c:tx>
            <c:strRef>
              <c:f>'page 30'!$A$40</c:f>
              <c:strCache>
                <c:ptCount val="1"/>
                <c:pt idx="0">
                  <c:v>Pétrole</c:v>
                </c:pt>
              </c:strCache>
            </c:strRef>
          </c:tx>
          <c:spPr>
            <a:solidFill>
              <a:schemeClr val="accent2">
                <a:lumMod val="60000"/>
                <a:lumOff val="40000"/>
              </a:schemeClr>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30'!$B$40:$AG$40</c:f>
              <c:numCache>
                <c:formatCode>0</c:formatCode>
                <c:ptCount val="32"/>
                <c:pt idx="0">
                  <c:v>85.326347458511947</c:v>
                </c:pt>
                <c:pt idx="1">
                  <c:v>87.731306261197687</c:v>
                </c:pt>
                <c:pt idx="2">
                  <c:v>84.809967095352775</c:v>
                </c:pt>
                <c:pt idx="3">
                  <c:v>85.82632019601914</c:v>
                </c:pt>
                <c:pt idx="4">
                  <c:v>80.659483045231354</c:v>
                </c:pt>
                <c:pt idx="5">
                  <c:v>82.145096491543683</c:v>
                </c:pt>
                <c:pt idx="6">
                  <c:v>86.527079480317866</c:v>
                </c:pt>
                <c:pt idx="7">
                  <c:v>83.351756731778622</c:v>
                </c:pt>
                <c:pt idx="8">
                  <c:v>90.228832629353022</c:v>
                </c:pt>
                <c:pt idx="9">
                  <c:v>85.505369361071132</c:v>
                </c:pt>
                <c:pt idx="10">
                  <c:v>84.025312123286398</c:v>
                </c:pt>
                <c:pt idx="11">
                  <c:v>89.096200759500562</c:v>
                </c:pt>
                <c:pt idx="12">
                  <c:v>89.025001618368321</c:v>
                </c:pt>
                <c:pt idx="13">
                  <c:v>88.140633922725826</c:v>
                </c:pt>
                <c:pt idx="14">
                  <c:v>88.913011548045688</c:v>
                </c:pt>
                <c:pt idx="15">
                  <c:v>87.883548750853436</c:v>
                </c:pt>
                <c:pt idx="16">
                  <c:v>87.250535018602093</c:v>
                </c:pt>
                <c:pt idx="17">
                  <c:v>86.243302845518699</c:v>
                </c:pt>
                <c:pt idx="18">
                  <c:v>83.536403182847309</c:v>
                </c:pt>
                <c:pt idx="19">
                  <c:v>80.57508524759676</c:v>
                </c:pt>
                <c:pt idx="20">
                  <c:v>75.954605982024091</c:v>
                </c:pt>
                <c:pt idx="21">
                  <c:v>80.344602836691607</c:v>
                </c:pt>
                <c:pt idx="22">
                  <c:v>77.023961906163763</c:v>
                </c:pt>
                <c:pt idx="23">
                  <c:v>74.718572725244556</c:v>
                </c:pt>
                <c:pt idx="24">
                  <c:v>75.49352255353584</c:v>
                </c:pt>
                <c:pt idx="25">
                  <c:v>75.790242066384593</c:v>
                </c:pt>
                <c:pt idx="26">
                  <c:v>72.845230861417789</c:v>
                </c:pt>
                <c:pt idx="27">
                  <c:v>73.504053029730898</c:v>
                </c:pt>
                <c:pt idx="28">
                  <c:v>70.802985702713912</c:v>
                </c:pt>
                <c:pt idx="29">
                  <c:v>71.286796255849183</c:v>
                </c:pt>
                <c:pt idx="30">
                  <c:v>62.812221072725691</c:v>
                </c:pt>
                <c:pt idx="31">
                  <c:v>65.890312240472753</c:v>
                </c:pt>
              </c:numCache>
            </c:numRef>
          </c:val>
          <c:extLst>
            <c:ext xmlns:c16="http://schemas.microsoft.com/office/drawing/2014/chart" uri="{C3380CC4-5D6E-409C-BE32-E72D297353CC}">
              <c16:uniqueId val="{00000003-8659-4011-9F2B-F5EE550921CC}"/>
            </c:ext>
          </c:extLst>
        </c:ser>
        <c:ser>
          <c:idx val="4"/>
          <c:order val="4"/>
          <c:tx>
            <c:strRef>
              <c:f>'page 30'!$A$41</c:f>
              <c:strCache>
                <c:ptCount val="1"/>
                <c:pt idx="0">
                  <c:v>Gaz naturel</c:v>
                </c:pt>
              </c:strCache>
            </c:strRef>
          </c:tx>
          <c:spPr>
            <a:solidFill>
              <a:schemeClr val="bg1">
                <a:lumMod val="65000"/>
              </a:schemeClr>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30'!$B$41:$AG$41</c:f>
              <c:numCache>
                <c:formatCode>0</c:formatCode>
                <c:ptCount val="32"/>
                <c:pt idx="0">
                  <c:v>26.472875864686038</c:v>
                </c:pt>
                <c:pt idx="1">
                  <c:v>26.670979682188516</c:v>
                </c:pt>
                <c:pt idx="2">
                  <c:v>27.617856301266144</c:v>
                </c:pt>
                <c:pt idx="3">
                  <c:v>28.215334342934419</c:v>
                </c:pt>
                <c:pt idx="4">
                  <c:v>28.744155932796662</c:v>
                </c:pt>
                <c:pt idx="5">
                  <c:v>29.750109586218876</c:v>
                </c:pt>
                <c:pt idx="6">
                  <c:v>30.847711035354418</c:v>
                </c:pt>
                <c:pt idx="7">
                  <c:v>31.52575652567231</c:v>
                </c:pt>
                <c:pt idx="8">
                  <c:v>32.85575033322386</c:v>
                </c:pt>
                <c:pt idx="9">
                  <c:v>34.124150177097818</c:v>
                </c:pt>
                <c:pt idx="10">
                  <c:v>36.622290595090419</c:v>
                </c:pt>
                <c:pt idx="11">
                  <c:v>37.575172362576694</c:v>
                </c:pt>
                <c:pt idx="12">
                  <c:v>39.076186204807918</c:v>
                </c:pt>
                <c:pt idx="13">
                  <c:v>38.721872838700982</c:v>
                </c:pt>
                <c:pt idx="14">
                  <c:v>39.083530172861764</c:v>
                </c:pt>
                <c:pt idx="15">
                  <c:v>39.921127130898505</c:v>
                </c:pt>
                <c:pt idx="16">
                  <c:v>39.401015578728114</c:v>
                </c:pt>
                <c:pt idx="17">
                  <c:v>39.633173467206248</c:v>
                </c:pt>
                <c:pt idx="18">
                  <c:v>39.738177399380206</c:v>
                </c:pt>
                <c:pt idx="19">
                  <c:v>37.975916346379506</c:v>
                </c:pt>
                <c:pt idx="20">
                  <c:v>39.246881999573517</c:v>
                </c:pt>
                <c:pt idx="21">
                  <c:v>39.591513385934263</c:v>
                </c:pt>
                <c:pt idx="22">
                  <c:v>37.745754878601971</c:v>
                </c:pt>
                <c:pt idx="23">
                  <c:v>36.576378638023797</c:v>
                </c:pt>
                <c:pt idx="24">
                  <c:v>35.692437052750769</c:v>
                </c:pt>
                <c:pt idx="25">
                  <c:v>36.565417532186153</c:v>
                </c:pt>
                <c:pt idx="26">
                  <c:v>37.836142699027143</c:v>
                </c:pt>
                <c:pt idx="27">
                  <c:v>39.041873691377731</c:v>
                </c:pt>
                <c:pt idx="28">
                  <c:v>38.225348058110029</c:v>
                </c:pt>
                <c:pt idx="29">
                  <c:v>38.794227339203573</c:v>
                </c:pt>
                <c:pt idx="30">
                  <c:v>37.938302873693338</c:v>
                </c:pt>
                <c:pt idx="31">
                  <c:v>36.580789153242002</c:v>
                </c:pt>
              </c:numCache>
            </c:numRef>
          </c:val>
          <c:extLst>
            <c:ext xmlns:c16="http://schemas.microsoft.com/office/drawing/2014/chart" uri="{C3380CC4-5D6E-409C-BE32-E72D297353CC}">
              <c16:uniqueId val="{00000004-8659-4011-9F2B-F5EE550921CC}"/>
            </c:ext>
          </c:extLst>
        </c:ser>
        <c:ser>
          <c:idx val="5"/>
          <c:order val="5"/>
          <c:tx>
            <c:strRef>
              <c:f>'page 30'!$A$42</c:f>
              <c:strCache>
                <c:ptCount val="1"/>
                <c:pt idx="0">
                  <c:v>Nucléaire</c:v>
                </c:pt>
              </c:strCache>
            </c:strRef>
          </c:tx>
          <c:spPr>
            <a:solidFill>
              <a:srgbClr val="FFC000"/>
            </a:solidFill>
            <a:ln>
              <a:noFill/>
            </a:ln>
            <a:effectLst/>
          </c:spPr>
          <c:cat>
            <c:numRef>
              <c:f>'page 30'!$B$36:$AG$36</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30'!$B$42:$AG$42</c:f>
              <c:numCache>
                <c:formatCode>0</c:formatCode>
                <c:ptCount val="32"/>
                <c:pt idx="0">
                  <c:v>78.546160125262077</c:v>
                </c:pt>
                <c:pt idx="1">
                  <c:v>81.263869505068868</c:v>
                </c:pt>
                <c:pt idx="2">
                  <c:v>82.797464408666102</c:v>
                </c:pt>
                <c:pt idx="3">
                  <c:v>89.820122677661175</c:v>
                </c:pt>
                <c:pt idx="4">
                  <c:v>88.887412984829282</c:v>
                </c:pt>
                <c:pt idx="5">
                  <c:v>93.401174488682216</c:v>
                </c:pt>
                <c:pt idx="6">
                  <c:v>96.949787818299413</c:v>
                </c:pt>
                <c:pt idx="7">
                  <c:v>98.64627189873103</c:v>
                </c:pt>
                <c:pt idx="8">
                  <c:v>93.725259782799583</c:v>
                </c:pt>
                <c:pt idx="9">
                  <c:v>98.830600679883887</c:v>
                </c:pt>
                <c:pt idx="10">
                  <c:v>102.81446084416066</c:v>
                </c:pt>
                <c:pt idx="11">
                  <c:v>105.70140839911933</c:v>
                </c:pt>
                <c:pt idx="12">
                  <c:v>107.78147674790107</c:v>
                </c:pt>
                <c:pt idx="13">
                  <c:v>109.07871803413207</c:v>
                </c:pt>
                <c:pt idx="14">
                  <c:v>111.24083484117097</c:v>
                </c:pt>
                <c:pt idx="15">
                  <c:v>112.21581685280069</c:v>
                </c:pt>
                <c:pt idx="16">
                  <c:v>111.78841322606267</c:v>
                </c:pt>
                <c:pt idx="17">
                  <c:v>110.29705868127172</c:v>
                </c:pt>
                <c:pt idx="18">
                  <c:v>110.65104455746545</c:v>
                </c:pt>
                <c:pt idx="19">
                  <c:v>104.74088993365683</c:v>
                </c:pt>
                <c:pt idx="20">
                  <c:v>108.38626090763326</c:v>
                </c:pt>
                <c:pt idx="21">
                  <c:v>111.17807635733062</c:v>
                </c:pt>
                <c:pt idx="22">
                  <c:v>106.88512632673581</c:v>
                </c:pt>
                <c:pt idx="23">
                  <c:v>105.60050861866138</c:v>
                </c:pt>
                <c:pt idx="24">
                  <c:v>108.82259766870183</c:v>
                </c:pt>
                <c:pt idx="25">
                  <c:v>108.89299073510217</c:v>
                </c:pt>
                <c:pt idx="26">
                  <c:v>101.35625047134118</c:v>
                </c:pt>
                <c:pt idx="27">
                  <c:v>100.51389785125926</c:v>
                </c:pt>
                <c:pt idx="28">
                  <c:v>102.60689982550248</c:v>
                </c:pt>
                <c:pt idx="29">
                  <c:v>99.390333914195324</c:v>
                </c:pt>
                <c:pt idx="30">
                  <c:v>89.252257036068272</c:v>
                </c:pt>
                <c:pt idx="31">
                  <c:v>95.070319787355174</c:v>
                </c:pt>
              </c:numCache>
            </c:numRef>
          </c:val>
          <c:extLst>
            <c:ext xmlns:c16="http://schemas.microsoft.com/office/drawing/2014/chart" uri="{C3380CC4-5D6E-409C-BE32-E72D297353CC}">
              <c16:uniqueId val="{00000005-8659-4011-9F2B-F5EE550921CC}"/>
            </c:ext>
          </c:extLst>
        </c:ser>
        <c:dLbls>
          <c:showLegendKey val="0"/>
          <c:showVal val="0"/>
          <c:showCatName val="0"/>
          <c:showSerName val="0"/>
          <c:showPercent val="0"/>
          <c:showBubbleSize val="0"/>
        </c:dLbls>
        <c:axId val="752773728"/>
        <c:axId val="752775808"/>
      </c:areaChart>
      <c:catAx>
        <c:axId val="7527737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2775808"/>
        <c:crosses val="autoZero"/>
        <c:auto val="1"/>
        <c:lblAlgn val="ctr"/>
        <c:lblOffset val="100"/>
        <c:noMultiLvlLbl val="0"/>
      </c:catAx>
      <c:valAx>
        <c:axId val="75277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Mtep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277372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285442962845706E-3"/>
          <c:y val="5.1978859033993713E-2"/>
          <c:w val="0.95942230839235543"/>
          <c:h val="0.87500072485678904"/>
        </c:manualLayout>
      </c:layout>
      <c:ofPieChart>
        <c:ofPieType val="bar"/>
        <c:varyColors val="1"/>
        <c:ser>
          <c:idx val="0"/>
          <c:order val="0"/>
          <c:tx>
            <c:v>Mix énergétique primaire</c:v>
          </c:tx>
          <c:dPt>
            <c:idx val="0"/>
            <c:bubble3D val="0"/>
            <c:spPr>
              <a:solidFill>
                <a:schemeClr val="bg1">
                  <a:lumMod val="75000"/>
                </a:schemeClr>
              </a:solidFill>
              <a:ln>
                <a:solidFill>
                  <a:schemeClr val="bg1">
                    <a:lumMod val="75000"/>
                  </a:schemeClr>
                </a:solidFill>
              </a:ln>
            </c:spPr>
            <c:extLst>
              <c:ext xmlns:c16="http://schemas.microsoft.com/office/drawing/2014/chart" uri="{C3380CC4-5D6E-409C-BE32-E72D297353CC}">
                <c16:uniqueId val="{00000001-BE39-401F-B3E8-4801A6892E1E}"/>
              </c:ext>
            </c:extLst>
          </c:dPt>
          <c:dPt>
            <c:idx val="1"/>
            <c:bubble3D val="0"/>
            <c:spPr>
              <a:solidFill>
                <a:schemeClr val="tx1"/>
              </a:solidFill>
              <a:ln>
                <a:solidFill>
                  <a:sysClr val="windowText" lastClr="000000"/>
                </a:solidFill>
              </a:ln>
            </c:spPr>
            <c:extLst>
              <c:ext xmlns:c16="http://schemas.microsoft.com/office/drawing/2014/chart" uri="{C3380CC4-5D6E-409C-BE32-E72D297353CC}">
                <c16:uniqueId val="{00000003-BE39-401F-B3E8-4801A6892E1E}"/>
              </c:ext>
            </c:extLst>
          </c:dPt>
          <c:dPt>
            <c:idx val="2"/>
            <c:bubble3D val="0"/>
            <c:spPr>
              <a:solidFill>
                <a:schemeClr val="accent6">
                  <a:lumMod val="50000"/>
                </a:schemeClr>
              </a:solidFill>
              <a:ln>
                <a:solidFill>
                  <a:schemeClr val="accent6">
                    <a:lumMod val="50000"/>
                  </a:schemeClr>
                </a:solidFill>
              </a:ln>
            </c:spPr>
            <c:extLst>
              <c:ext xmlns:c16="http://schemas.microsoft.com/office/drawing/2014/chart" uri="{C3380CC4-5D6E-409C-BE32-E72D297353CC}">
                <c16:uniqueId val="{00000005-BE39-401F-B3E8-4801A6892E1E}"/>
              </c:ext>
            </c:extLst>
          </c:dPt>
          <c:dPt>
            <c:idx val="3"/>
            <c:bubble3D val="0"/>
            <c:spPr>
              <a:solidFill>
                <a:schemeClr val="accent2">
                  <a:lumMod val="60000"/>
                  <a:lumOff val="40000"/>
                </a:schemeClr>
              </a:solidFill>
              <a:ln>
                <a:solidFill>
                  <a:schemeClr val="bg1">
                    <a:lumMod val="50000"/>
                  </a:schemeClr>
                </a:solidFill>
              </a:ln>
            </c:spPr>
            <c:extLst>
              <c:ext xmlns:c16="http://schemas.microsoft.com/office/drawing/2014/chart" uri="{C3380CC4-5D6E-409C-BE32-E72D297353CC}">
                <c16:uniqueId val="{00000007-BE39-401F-B3E8-4801A6892E1E}"/>
              </c:ext>
            </c:extLst>
          </c:dPt>
          <c:dPt>
            <c:idx val="4"/>
            <c:bubble3D val="0"/>
            <c:spPr>
              <a:solidFill>
                <a:srgbClr val="FFFF00"/>
              </a:solidFill>
              <a:ln>
                <a:solidFill>
                  <a:srgbClr val="FFFF00"/>
                </a:solidFill>
              </a:ln>
            </c:spPr>
            <c:extLst>
              <c:ext xmlns:c16="http://schemas.microsoft.com/office/drawing/2014/chart" uri="{C3380CC4-5D6E-409C-BE32-E72D297353CC}">
                <c16:uniqueId val="{00000009-BE39-401F-B3E8-4801A6892E1E}"/>
              </c:ext>
            </c:extLst>
          </c:dPt>
          <c:dPt>
            <c:idx val="5"/>
            <c:bubble3D val="0"/>
            <c:spPr>
              <a:solidFill>
                <a:srgbClr val="92D050"/>
              </a:solidFill>
            </c:spPr>
            <c:extLst>
              <c:ext xmlns:c16="http://schemas.microsoft.com/office/drawing/2014/chart" uri="{C3380CC4-5D6E-409C-BE32-E72D297353CC}">
                <c16:uniqueId val="{0000000B-BE39-401F-B3E8-4801A6892E1E}"/>
              </c:ext>
            </c:extLst>
          </c:dPt>
          <c:dPt>
            <c:idx val="6"/>
            <c:bubble3D val="0"/>
            <c:spPr>
              <a:solidFill>
                <a:srgbClr val="00B0F0"/>
              </a:solidFill>
              <a:ln>
                <a:solidFill>
                  <a:srgbClr val="00B0F0"/>
                </a:solidFill>
              </a:ln>
            </c:spPr>
            <c:extLst>
              <c:ext xmlns:c16="http://schemas.microsoft.com/office/drawing/2014/chart" uri="{C3380CC4-5D6E-409C-BE32-E72D297353CC}">
                <c16:uniqueId val="{0000000D-BE39-401F-B3E8-4801A6892E1E}"/>
              </c:ext>
            </c:extLst>
          </c:dPt>
          <c:dPt>
            <c:idx val="11"/>
            <c:bubble3D val="0"/>
            <c:spPr>
              <a:solidFill>
                <a:srgbClr val="00B050"/>
              </a:solidFill>
            </c:spPr>
            <c:extLst>
              <c:ext xmlns:c16="http://schemas.microsoft.com/office/drawing/2014/chart" uri="{C3380CC4-5D6E-409C-BE32-E72D297353CC}">
                <c16:uniqueId val="{0000000F-BE39-401F-B3E8-4801A6892E1E}"/>
              </c:ext>
            </c:extLst>
          </c:dPt>
          <c:dLbls>
            <c:dLbl>
              <c:idx val="2"/>
              <c:layout>
                <c:manualLayout>
                  <c:x val="-0.12256906580144819"/>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E39-401F-B3E8-4801A6892E1E}"/>
                </c:ext>
              </c:extLst>
            </c:dLbl>
            <c:dLbl>
              <c:idx val="3"/>
              <c:layout>
                <c:manualLayout>
                  <c:x val="8.3883037233411145E-2"/>
                  <c:y val="-0.1890218476211600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E39-401F-B3E8-4801A6892E1E}"/>
                </c:ext>
              </c:extLst>
            </c:dLbl>
            <c:dLbl>
              <c:idx val="5"/>
              <c:layout>
                <c:manualLayout>
                  <c:x val="-0.13869346733668342"/>
                  <c:y val="-5.260389268805891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E39-401F-B3E8-4801A6892E1E}"/>
                </c:ext>
              </c:extLst>
            </c:dLbl>
            <c:dLbl>
              <c:idx val="6"/>
              <c:layout>
                <c:manualLayout>
                  <c:x val="-0.1386934673366834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E39-401F-B3E8-4801A6892E1E}"/>
                </c:ext>
              </c:extLst>
            </c:dLbl>
            <c:dLbl>
              <c:idx val="7"/>
              <c:layout>
                <c:manualLayout>
                  <c:x val="-0.14874371859296481"/>
                  <c:y val="0"/>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0-BE39-401F-B3E8-4801A6892E1E}"/>
                </c:ext>
              </c:extLst>
            </c:dLbl>
            <c:dLbl>
              <c:idx val="8"/>
              <c:layout>
                <c:manualLayout>
                  <c:x val="-0.15477386934673368"/>
                  <c:y val="-8.6070993180980237E-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BE39-401F-B3E8-4801A6892E1E}"/>
                </c:ext>
              </c:extLst>
            </c:dLbl>
            <c:dLbl>
              <c:idx val="9"/>
              <c:layout>
                <c:manualLayout>
                  <c:x val="-0.1185929648241206"/>
                  <c:y val="-8.6070993180980237E-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2-BE39-401F-B3E8-4801A6892E1E}"/>
                </c:ext>
              </c:extLst>
            </c:dLbl>
            <c:dLbl>
              <c:idx val="10"/>
              <c:layout>
                <c:manualLayout>
                  <c:x val="-0.12864313694456533"/>
                  <c:y val="-5.2604339950463935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1884414196969095"/>
                      <c:h val="0.11251968503937008"/>
                    </c:manualLayout>
                  </c15:layout>
                </c:ext>
                <c:ext xmlns:c16="http://schemas.microsoft.com/office/drawing/2014/chart" uri="{C3380CC4-5D6E-409C-BE32-E72D297353CC}">
                  <c16:uniqueId val="{00000013-BE39-401F-B3E8-4801A6892E1E}"/>
                </c:ext>
              </c:extLst>
            </c:dLbl>
            <c:dLbl>
              <c:idx val="11"/>
              <c:tx>
                <c:rich>
                  <a:bodyPr/>
                  <a:lstStyle/>
                  <a:p>
                    <a:r>
                      <a:rPr lang="en-US"/>
                      <a:t>ENR*</a:t>
                    </a:r>
                    <a:r>
                      <a:rPr lang="en-US" baseline="0"/>
                      <a:t>
</a:t>
                    </a:r>
                    <a:fld id="{F7F8A7F7-338C-46A3-B1FF-885373CA9AF0}" type="PERCENTAGE">
                      <a:rPr lang="en-US"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BE39-401F-B3E8-4801A6892E1E}"/>
                </c:ext>
              </c:extLst>
            </c:dLbl>
            <c:numFmt formatCode="0.0%" sourceLinked="0"/>
            <c:spPr>
              <a:noFill/>
              <a:ln>
                <a:noFill/>
              </a:ln>
              <a:effectLst/>
            </c:spPr>
            <c:txPr>
              <a:bodyPr wrap="square" lIns="38100" tIns="19050" rIns="38100" bIns="19050" anchor="ctr">
                <a:spAutoFit/>
              </a:bodyPr>
              <a:lstStyle/>
              <a:p>
                <a:pPr>
                  <a:defRPr sz="800"/>
                </a:pPr>
                <a:endParaRPr lang="en-US"/>
              </a:p>
            </c:tx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'page 29'!$I$34:$I$44</c:f>
              <c:strCache>
                <c:ptCount val="11"/>
                <c:pt idx="0">
                  <c:v>Gaz naturel</c:v>
                </c:pt>
                <c:pt idx="1">
                  <c:v>Charbon</c:v>
                </c:pt>
                <c:pt idx="2">
                  <c:v>Déchets non renouvelables</c:v>
                </c:pt>
                <c:pt idx="3">
                  <c:v>Pétrole</c:v>
                </c:pt>
                <c:pt idx="4">
                  <c:v>Nucléaire**</c:v>
                </c:pt>
                <c:pt idx="5">
                  <c:v>Biomasse solide</c:v>
                </c:pt>
                <c:pt idx="6">
                  <c:v>Hydraulique***</c:v>
                </c:pt>
                <c:pt idx="7">
                  <c:v>Biocarburants</c:v>
                </c:pt>
                <c:pt idx="8">
                  <c:v>Pompes à chaleur</c:v>
                </c:pt>
                <c:pt idx="9">
                  <c:v>Éolien </c:v>
                </c:pt>
                <c:pt idx="10">
                  <c:v>Autres</c:v>
                </c:pt>
              </c:strCache>
            </c:strRef>
          </c:cat>
          <c:val>
            <c:numRef>
              <c:f>'page 29'!$L$34:$L$44</c:f>
              <c:numCache>
                <c:formatCode>0.0</c:formatCode>
                <c:ptCount val="11"/>
                <c:pt idx="0">
                  <c:v>15.546399830811403</c:v>
                </c:pt>
                <c:pt idx="1">
                  <c:v>3.0140812903231624</c:v>
                </c:pt>
                <c:pt idx="2">
                  <c:v>0.70482259428394722</c:v>
                </c:pt>
                <c:pt idx="3">
                  <c:v>27.709530837535254</c:v>
                </c:pt>
                <c:pt idx="4">
                  <c:v>39.99133480917196</c:v>
                </c:pt>
                <c:pt idx="5">
                  <c:v>4.7705638921588358</c:v>
                </c:pt>
                <c:pt idx="6">
                  <c:v>2.1258816926887736</c:v>
                </c:pt>
                <c:pt idx="7">
                  <c:v>1.3071977068579501</c:v>
                </c:pt>
                <c:pt idx="8">
                  <c:v>1.545665130306445</c:v>
                </c:pt>
                <c:pt idx="9">
                  <c:v>1.3369537391052335</c:v>
                </c:pt>
                <c:pt idx="10">
                  <c:v>1.9475684767570203</c:v>
                </c:pt>
              </c:numCache>
            </c:numRef>
          </c:val>
          <c:extLst>
            <c:ext xmlns:c16="http://schemas.microsoft.com/office/drawing/2014/chart" uri="{C3380CC4-5D6E-409C-BE32-E72D297353CC}">
              <c16:uniqueId val="{00000014-BE39-401F-B3E8-4801A6892E1E}"/>
            </c:ext>
          </c:extLst>
        </c:ser>
        <c:dLbls>
          <c:dLblPos val="bestFit"/>
          <c:showLegendKey val="0"/>
          <c:showVal val="1"/>
          <c:showCatName val="0"/>
          <c:showSerName val="0"/>
          <c:showPercent val="0"/>
          <c:showBubbleSize val="0"/>
          <c:showLeaderLines val="1"/>
        </c:dLbls>
        <c:gapWidth val="100"/>
        <c:splitType val="pos"/>
        <c:splitPos val="6"/>
        <c:secondPieSize val="75"/>
        <c:serLines/>
      </c:ofPieChart>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1"/>
          <c:order val="0"/>
          <c:tx>
            <c:strRef>
              <c:f>'page 73'!$L$68</c:f>
              <c:strCache>
                <c:ptCount val="1"/>
                <c:pt idx="0">
                  <c:v>Hydraulique renouvelable</c:v>
                </c:pt>
              </c:strCache>
            </c:strRef>
          </c:tx>
          <c:spPr>
            <a:solidFill>
              <a:srgbClr val="0070C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73'!$L$69:$L$100</c:f>
              <c:numCache>
                <c:formatCode>0.0</c:formatCode>
                <c:ptCount val="32"/>
                <c:pt idx="0">
                  <c:v>4.6316962790490015</c:v>
                </c:pt>
                <c:pt idx="1">
                  <c:v>4.9528739239455026</c:v>
                </c:pt>
                <c:pt idx="2">
                  <c:v>5.9291315328209988</c:v>
                </c:pt>
                <c:pt idx="3">
                  <c:v>5.579946930600002</c:v>
                </c:pt>
                <c:pt idx="4">
                  <c:v>6.7749921857100075</c:v>
                </c:pt>
                <c:pt idx="5">
                  <c:v>6.2870909392515006</c:v>
                </c:pt>
                <c:pt idx="6">
                  <c:v>5.6787327169755022</c:v>
                </c:pt>
                <c:pt idx="7">
                  <c:v>5.4827298454424973</c:v>
                </c:pt>
                <c:pt idx="8">
                  <c:v>5.3390281638330013</c:v>
                </c:pt>
                <c:pt idx="9">
                  <c:v>6.2351078059935041</c:v>
                </c:pt>
                <c:pt idx="10">
                  <c:v>5.7062471550840046</c:v>
                </c:pt>
                <c:pt idx="11">
                  <c:v>6.3858867858135042</c:v>
                </c:pt>
                <c:pt idx="12">
                  <c:v>5.1931318998300027</c:v>
                </c:pt>
                <c:pt idx="13">
                  <c:v>5.0682237644009973</c:v>
                </c:pt>
                <c:pt idx="14">
                  <c:v>5.1208097349885007</c:v>
                </c:pt>
                <c:pt idx="15">
                  <c:v>4.4264379499515023</c:v>
                </c:pt>
                <c:pt idx="16">
                  <c:v>4.841276447070002</c:v>
                </c:pt>
                <c:pt idx="17">
                  <c:v>4.953105136266001</c:v>
                </c:pt>
                <c:pt idx="18">
                  <c:v>5.4732252047969965</c:v>
                </c:pt>
                <c:pt idx="19">
                  <c:v>4.9009084175100055</c:v>
                </c:pt>
                <c:pt idx="20">
                  <c:v>5.3923940138354984</c:v>
                </c:pt>
                <c:pt idx="21">
                  <c:v>3.9333284503590007</c:v>
                </c:pt>
                <c:pt idx="22">
                  <c:v>5.1446099866349986</c:v>
                </c:pt>
                <c:pt idx="23">
                  <c:v>6.1841922562875009</c:v>
                </c:pt>
                <c:pt idx="24">
                  <c:v>5.4835246861605018</c:v>
                </c:pt>
                <c:pt idx="25">
                  <c:v>4.7769782697840002</c:v>
                </c:pt>
                <c:pt idx="26">
                  <c:v>5.2312290522450002</c:v>
                </c:pt>
                <c:pt idx="27">
                  <c:v>4.2993330825165001</c:v>
                </c:pt>
                <c:pt idx="28">
                  <c:v>5.5985734088969998</c:v>
                </c:pt>
                <c:pt idx="29">
                  <c:v>4.8937124606894997</c:v>
                </c:pt>
                <c:pt idx="30">
                  <c:v>5.3363623003950007</c:v>
                </c:pt>
                <c:pt idx="31">
                  <c:v>5.0607601492580008</c:v>
                </c:pt>
              </c:numCache>
            </c:numRef>
          </c:val>
          <c:extLst>
            <c:ext xmlns:c16="http://schemas.microsoft.com/office/drawing/2014/chart" uri="{C3380CC4-5D6E-409C-BE32-E72D297353CC}">
              <c16:uniqueId val="{00000000-8E7B-4578-A7D1-66D8DE36B7B6}"/>
            </c:ext>
          </c:extLst>
        </c:ser>
        <c:ser>
          <c:idx val="2"/>
          <c:order val="1"/>
          <c:tx>
            <c:strRef>
              <c:f>'page 73'!$M$68</c:f>
              <c:strCache>
                <c:ptCount val="1"/>
                <c:pt idx="0">
                  <c:v>Éolien</c:v>
                </c:pt>
              </c:strCache>
            </c:strRef>
          </c:tx>
          <c:spPr>
            <a:solidFill>
              <a:srgbClr val="92D05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73'!$M$69:$M$100</c:f>
              <c:numCache>
                <c:formatCode>0.0</c:formatCode>
                <c:ptCount val="32"/>
                <c:pt idx="0">
                  <c:v>2.3387784000000003E-5</c:v>
                </c:pt>
                <c:pt idx="1">
                  <c:v>4.2132405000000017E-5</c:v>
                </c:pt>
                <c:pt idx="2">
                  <c:v>4.2132405000000017E-5</c:v>
                </c:pt>
                <c:pt idx="3">
                  <c:v>2.0653476899999972E-4</c:v>
                </c:pt>
                <c:pt idx="4">
                  <c:v>4.044710880000003E-4</c:v>
                </c:pt>
                <c:pt idx="5">
                  <c:v>4.0533093300000036E-4</c:v>
                </c:pt>
                <c:pt idx="6">
                  <c:v>6.3886483499999986E-4</c:v>
                </c:pt>
                <c:pt idx="7">
                  <c:v>9.5683551600000017E-4</c:v>
                </c:pt>
                <c:pt idx="8">
                  <c:v>1.6764397964999962E-3</c:v>
                </c:pt>
                <c:pt idx="9">
                  <c:v>3.1766113680000048E-3</c:v>
                </c:pt>
                <c:pt idx="10">
                  <c:v>4.141013519999996E-3</c:v>
                </c:pt>
                <c:pt idx="11">
                  <c:v>1.1284605779999976E-2</c:v>
                </c:pt>
                <c:pt idx="12">
                  <c:v>2.2836623355000009E-2</c:v>
                </c:pt>
                <c:pt idx="13">
                  <c:v>3.3340489875000046E-2</c:v>
                </c:pt>
                <c:pt idx="14">
                  <c:v>5.1147879824999957E-2</c:v>
                </c:pt>
                <c:pt idx="15">
                  <c:v>8.2766100164999953E-2</c:v>
                </c:pt>
                <c:pt idx="16">
                  <c:v>0.18766805000999962</c:v>
                </c:pt>
                <c:pt idx="17">
                  <c:v>0.34996637329499947</c:v>
                </c:pt>
                <c:pt idx="18">
                  <c:v>0.48961379974499974</c:v>
                </c:pt>
                <c:pt idx="19">
                  <c:v>0.68027239066499978</c:v>
                </c:pt>
                <c:pt idx="20">
                  <c:v>0.85511499265499991</c:v>
                </c:pt>
                <c:pt idx="21">
                  <c:v>1.0637676458745</c:v>
                </c:pt>
                <c:pt idx="22">
                  <c:v>1.3051071348000001</c:v>
                </c:pt>
                <c:pt idx="23">
                  <c:v>1.3866493315920001</c:v>
                </c:pt>
                <c:pt idx="24">
                  <c:v>1.4895764754255003</c:v>
                </c:pt>
                <c:pt idx="25">
                  <c:v>1.841839752669</c:v>
                </c:pt>
                <c:pt idx="26">
                  <c:v>1.8384332187480001</c:v>
                </c:pt>
                <c:pt idx="27">
                  <c:v>2.1160301357264997</c:v>
                </c:pt>
                <c:pt idx="28">
                  <c:v>2.4590358917774999</c:v>
                </c:pt>
                <c:pt idx="29">
                  <c:v>2.9911731540284991</c:v>
                </c:pt>
                <c:pt idx="30">
                  <c:v>3.4214867115345</c:v>
                </c:pt>
                <c:pt idx="31">
                  <c:v>3.1826804979480006</c:v>
                </c:pt>
              </c:numCache>
            </c:numRef>
          </c:val>
          <c:extLst>
            <c:ext xmlns:c16="http://schemas.microsoft.com/office/drawing/2014/chart" uri="{C3380CC4-5D6E-409C-BE32-E72D297353CC}">
              <c16:uniqueId val="{00000001-8E7B-4578-A7D1-66D8DE36B7B6}"/>
            </c:ext>
          </c:extLst>
        </c:ser>
        <c:ser>
          <c:idx val="3"/>
          <c:order val="2"/>
          <c:tx>
            <c:strRef>
              <c:f>'page 73'!$N$68</c:f>
              <c:strCache>
                <c:ptCount val="1"/>
                <c:pt idx="0">
                  <c:v>Biomasse</c:v>
                </c:pt>
              </c:strCache>
            </c:strRef>
          </c:tx>
          <c:spPr>
            <a:solidFill>
              <a:srgbClr val="00800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73'!$N$69:$N$100</c:f>
              <c:numCache>
                <c:formatCode>0.0</c:formatCode>
                <c:ptCount val="32"/>
                <c:pt idx="0">
                  <c:v>9.7691767366666689</c:v>
                </c:pt>
                <c:pt idx="1">
                  <c:v>11.313577779583296</c:v>
                </c:pt>
                <c:pt idx="2">
                  <c:v>10.983946644999968</c:v>
                </c:pt>
                <c:pt idx="3">
                  <c:v>10.54535404125004</c:v>
                </c:pt>
                <c:pt idx="4">
                  <c:v>9.4590831912500004</c:v>
                </c:pt>
                <c:pt idx="5">
                  <c:v>9.5891825166666713</c:v>
                </c:pt>
                <c:pt idx="6">
                  <c:v>10.295282453750026</c:v>
                </c:pt>
                <c:pt idx="7">
                  <c:v>9.3460852274999979</c:v>
                </c:pt>
                <c:pt idx="8">
                  <c:v>9.3545642545833356</c:v>
                </c:pt>
                <c:pt idx="9">
                  <c:v>8.8450583229166657</c:v>
                </c:pt>
                <c:pt idx="10">
                  <c:v>8.4334314137500037</c:v>
                </c:pt>
                <c:pt idx="11">
                  <c:v>8.5412941920833294</c:v>
                </c:pt>
                <c:pt idx="12">
                  <c:v>8.0435872445833372</c:v>
                </c:pt>
                <c:pt idx="13">
                  <c:v>8.5708633062500024</c:v>
                </c:pt>
                <c:pt idx="14">
                  <c:v>8.6348501049999964</c:v>
                </c:pt>
                <c:pt idx="15">
                  <c:v>9.0788883937499989</c:v>
                </c:pt>
                <c:pt idx="16">
                  <c:v>8.1093415025000031</c:v>
                </c:pt>
                <c:pt idx="17">
                  <c:v>8.3204573345833328</c:v>
                </c:pt>
                <c:pt idx="18">
                  <c:v>8.7725447279166726</c:v>
                </c:pt>
                <c:pt idx="19">
                  <c:v>8.9911603191666654</c:v>
                </c:pt>
                <c:pt idx="20">
                  <c:v>10.338035857916672</c:v>
                </c:pt>
                <c:pt idx="21">
                  <c:v>8.5742589774624989</c:v>
                </c:pt>
                <c:pt idx="22">
                  <c:v>9.6647575420200003</c:v>
                </c:pt>
                <c:pt idx="23">
                  <c:v>10.671279822344168</c:v>
                </c:pt>
                <c:pt idx="24">
                  <c:v>9.1619989573758325</c:v>
                </c:pt>
                <c:pt idx="25">
                  <c:v>9.9304472107925008</c:v>
                </c:pt>
                <c:pt idx="26">
                  <c:v>10.716149018440834</c:v>
                </c:pt>
                <c:pt idx="27">
                  <c:v>10.390868938403335</c:v>
                </c:pt>
                <c:pt idx="28">
                  <c:v>10.34249346158875</c:v>
                </c:pt>
                <c:pt idx="29">
                  <c:v>10.376001883969165</c:v>
                </c:pt>
                <c:pt idx="30">
                  <c:v>9.8591739899741668</c:v>
                </c:pt>
                <c:pt idx="31">
                  <c:v>11.210171482346666</c:v>
                </c:pt>
              </c:numCache>
            </c:numRef>
          </c:val>
          <c:extLst>
            <c:ext xmlns:c16="http://schemas.microsoft.com/office/drawing/2014/chart" uri="{C3380CC4-5D6E-409C-BE32-E72D297353CC}">
              <c16:uniqueId val="{00000002-8E7B-4578-A7D1-66D8DE36B7B6}"/>
            </c:ext>
          </c:extLst>
        </c:ser>
        <c:ser>
          <c:idx val="4"/>
          <c:order val="3"/>
          <c:tx>
            <c:strRef>
              <c:f>'page 73'!$O$68</c:f>
              <c:strCache>
                <c:ptCount val="1"/>
                <c:pt idx="0">
                  <c:v>Déchets renouvelables</c:v>
                </c:pt>
              </c:strCache>
            </c:strRef>
          </c:tx>
          <c:spPr>
            <a:solidFill>
              <a:schemeClr val="accent3">
                <a:lumMod val="75000"/>
              </a:schemeClr>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73'!$O$69:$O$100</c:f>
              <c:numCache>
                <c:formatCode>0.0</c:formatCode>
                <c:ptCount val="32"/>
                <c:pt idx="0">
                  <c:v>0.57301503874999948</c:v>
                </c:pt>
                <c:pt idx="1">
                  <c:v>0.62665981291666673</c:v>
                </c:pt>
                <c:pt idx="2">
                  <c:v>0.62744800416666691</c:v>
                </c:pt>
                <c:pt idx="3">
                  <c:v>0.62826007999999967</c:v>
                </c:pt>
                <c:pt idx="4">
                  <c:v>0.63296534291666684</c:v>
                </c:pt>
                <c:pt idx="5">
                  <c:v>0.72095614791666629</c:v>
                </c:pt>
                <c:pt idx="6">
                  <c:v>0.74453023166666643</c:v>
                </c:pt>
                <c:pt idx="7">
                  <c:v>0.75721294541666651</c:v>
                </c:pt>
                <c:pt idx="8">
                  <c:v>0.78023768375000002</c:v>
                </c:pt>
                <c:pt idx="9">
                  <c:v>0.8726471366666666</c:v>
                </c:pt>
                <c:pt idx="10">
                  <c:v>0.92856094625000007</c:v>
                </c:pt>
                <c:pt idx="11">
                  <c:v>0.96570147333333267</c:v>
                </c:pt>
                <c:pt idx="12">
                  <c:v>1.0214719754166648</c:v>
                </c:pt>
                <c:pt idx="13">
                  <c:v>1.0707936400000004</c:v>
                </c:pt>
                <c:pt idx="14">
                  <c:v>1.1520489924999964</c:v>
                </c:pt>
                <c:pt idx="15">
                  <c:v>1.0579198495833357</c:v>
                </c:pt>
                <c:pt idx="16">
                  <c:v>1.0217824750000024</c:v>
                </c:pt>
                <c:pt idx="17">
                  <c:v>1.0782958831633354</c:v>
                </c:pt>
                <c:pt idx="18">
                  <c:v>1.1268149063237507</c:v>
                </c:pt>
                <c:pt idx="19">
                  <c:v>1.2033627746408304</c:v>
                </c:pt>
                <c:pt idx="20">
                  <c:v>1.2199376484370876</c:v>
                </c:pt>
                <c:pt idx="21">
                  <c:v>1.1518709090466668</c:v>
                </c:pt>
                <c:pt idx="22">
                  <c:v>1.2148847215254166</c:v>
                </c:pt>
                <c:pt idx="23">
                  <c:v>1.2611806154383336</c:v>
                </c:pt>
                <c:pt idx="24">
                  <c:v>1.2730117960233331</c:v>
                </c:pt>
                <c:pt idx="25">
                  <c:v>1.2268134706333331</c:v>
                </c:pt>
                <c:pt idx="26">
                  <c:v>1.2523976809166668</c:v>
                </c:pt>
                <c:pt idx="27">
                  <c:v>1.2741381929733333</c:v>
                </c:pt>
                <c:pt idx="28">
                  <c:v>1.2627194274887503</c:v>
                </c:pt>
                <c:pt idx="29">
                  <c:v>1.2598437236554167</c:v>
                </c:pt>
                <c:pt idx="30">
                  <c:v>1.2442829892675003</c:v>
                </c:pt>
                <c:pt idx="31">
                  <c:v>1.2562497865166666</c:v>
                </c:pt>
              </c:numCache>
            </c:numRef>
          </c:val>
          <c:extLst>
            <c:ext xmlns:c16="http://schemas.microsoft.com/office/drawing/2014/chart" uri="{C3380CC4-5D6E-409C-BE32-E72D297353CC}">
              <c16:uniqueId val="{00000003-8E7B-4578-A7D1-66D8DE36B7B6}"/>
            </c:ext>
          </c:extLst>
        </c:ser>
        <c:ser>
          <c:idx val="5"/>
          <c:order val="4"/>
          <c:tx>
            <c:strRef>
              <c:f>'page 73'!$P$68</c:f>
              <c:strCache>
                <c:ptCount val="1"/>
                <c:pt idx="0">
                  <c:v>Biocarburants</c:v>
                </c:pt>
              </c:strCache>
            </c:strRef>
          </c:tx>
          <c:spPr>
            <a:solidFill>
              <a:schemeClr val="accent4">
                <a:lumMod val="60000"/>
                <a:lumOff val="40000"/>
              </a:schemeClr>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73'!$P$69:$P$100</c:f>
              <c:numCache>
                <c:formatCode>0.0</c:formatCode>
                <c:ptCount val="32"/>
                <c:pt idx="0">
                  <c:v>0</c:v>
                </c:pt>
                <c:pt idx="1">
                  <c:v>0</c:v>
                </c:pt>
                <c:pt idx="2">
                  <c:v>2.865982807916665E-3</c:v>
                </c:pt>
                <c:pt idx="3">
                  <c:v>2.5140649686249968E-2</c:v>
                </c:pt>
                <c:pt idx="4">
                  <c:v>8.163592945083338E-2</c:v>
                </c:pt>
                <c:pt idx="5">
                  <c:v>0.16004937480291648</c:v>
                </c:pt>
                <c:pt idx="6">
                  <c:v>0.23031380635958315</c:v>
                </c:pt>
                <c:pt idx="7">
                  <c:v>0.27571873366041622</c:v>
                </c:pt>
                <c:pt idx="8">
                  <c:v>0.25775346661458326</c:v>
                </c:pt>
                <c:pt idx="9">
                  <c:v>0.27095894224000028</c:v>
                </c:pt>
                <c:pt idx="10">
                  <c:v>0.3246654580545828</c:v>
                </c:pt>
                <c:pt idx="11">
                  <c:v>0.32389532354958356</c:v>
                </c:pt>
                <c:pt idx="12">
                  <c:v>0.34692796768000023</c:v>
                </c:pt>
                <c:pt idx="13">
                  <c:v>0.38091850037499969</c:v>
                </c:pt>
                <c:pt idx="14">
                  <c:v>0.39930007570833392</c:v>
                </c:pt>
                <c:pt idx="15">
                  <c:v>0.64503009084208363</c:v>
                </c:pt>
                <c:pt idx="16">
                  <c:v>0.67636382190999977</c:v>
                </c:pt>
                <c:pt idx="17">
                  <c:v>1.1275865216729128</c:v>
                </c:pt>
                <c:pt idx="18">
                  <c:v>2.079013254354162</c:v>
                </c:pt>
                <c:pt idx="19">
                  <c:v>2.3263718398024991</c:v>
                </c:pt>
                <c:pt idx="20">
                  <c:v>2.2678308441378774</c:v>
                </c:pt>
                <c:pt idx="21">
                  <c:v>2.2583998583405411</c:v>
                </c:pt>
                <c:pt idx="22">
                  <c:v>2.6345001813356279</c:v>
                </c:pt>
                <c:pt idx="23">
                  <c:v>2.4551150787102771</c:v>
                </c:pt>
                <c:pt idx="24">
                  <c:v>2.5161886464126297</c:v>
                </c:pt>
                <c:pt idx="25">
                  <c:v>2.6492416905943124</c:v>
                </c:pt>
                <c:pt idx="26">
                  <c:v>2.4329107207723832</c:v>
                </c:pt>
                <c:pt idx="27">
                  <c:v>2.3729205770683799</c:v>
                </c:pt>
                <c:pt idx="28">
                  <c:v>2.685521203139595</c:v>
                </c:pt>
                <c:pt idx="29">
                  <c:v>2.5232401712849031</c:v>
                </c:pt>
                <c:pt idx="30">
                  <c:v>2.3487740447973042</c:v>
                </c:pt>
                <c:pt idx="31">
                  <c:v>1.9015307773895893</c:v>
                </c:pt>
              </c:numCache>
            </c:numRef>
          </c:val>
          <c:extLst>
            <c:ext xmlns:c16="http://schemas.microsoft.com/office/drawing/2014/chart" uri="{C3380CC4-5D6E-409C-BE32-E72D297353CC}">
              <c16:uniqueId val="{00000004-8E7B-4578-A7D1-66D8DE36B7B6}"/>
            </c:ext>
          </c:extLst>
        </c:ser>
        <c:ser>
          <c:idx val="6"/>
          <c:order val="5"/>
          <c:tx>
            <c:strRef>
              <c:f>'page 73'!$Q$68</c:f>
              <c:strCache>
                <c:ptCount val="1"/>
                <c:pt idx="0">
                  <c:v>Pompes à chaleur</c:v>
                </c:pt>
              </c:strCache>
            </c:strRef>
          </c:tx>
          <c:spPr>
            <a:solidFill>
              <a:sysClr val="window" lastClr="FFFFFF"/>
            </a:solidFill>
            <a:ln w="12700">
              <a:solidFill>
                <a:srgbClr val="000000"/>
              </a:solidFill>
              <a:prstDash val="dashDot"/>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73'!$Q$69:$Q$100</c:f>
              <c:numCache>
                <c:formatCode>0.0</c:formatCode>
                <c:ptCount val="32"/>
                <c:pt idx="0">
                  <c:v>0</c:v>
                </c:pt>
                <c:pt idx="1">
                  <c:v>0</c:v>
                </c:pt>
                <c:pt idx="2">
                  <c:v>0</c:v>
                </c:pt>
                <c:pt idx="3">
                  <c:v>0</c:v>
                </c:pt>
                <c:pt idx="4">
                  <c:v>0</c:v>
                </c:pt>
                <c:pt idx="5">
                  <c:v>0</c:v>
                </c:pt>
                <c:pt idx="6">
                  <c:v>0</c:v>
                </c:pt>
                <c:pt idx="7">
                  <c:v>0</c:v>
                </c:pt>
                <c:pt idx="8">
                  <c:v>0</c:v>
                </c:pt>
                <c:pt idx="9">
                  <c:v>0</c:v>
                </c:pt>
                <c:pt idx="10">
                  <c:v>1.1618518589723159E-2</c:v>
                </c:pt>
                <c:pt idx="11">
                  <c:v>2.6093138433245486E-2</c:v>
                </c:pt>
                <c:pt idx="12">
                  <c:v>4.6270660849872525E-2</c:v>
                </c:pt>
                <c:pt idx="13">
                  <c:v>7.7776736933677551E-2</c:v>
                </c:pt>
                <c:pt idx="14">
                  <c:v>0.11111614282446536</c:v>
                </c:pt>
                <c:pt idx="15">
                  <c:v>0.20909445046331498</c:v>
                </c:pt>
                <c:pt idx="16">
                  <c:v>0.35658496137568618</c:v>
                </c:pt>
                <c:pt idx="17">
                  <c:v>0.52934069193855648</c:v>
                </c:pt>
                <c:pt idx="18">
                  <c:v>0.78938662072959509</c:v>
                </c:pt>
                <c:pt idx="19">
                  <c:v>1.0152924057341612</c:v>
                </c:pt>
                <c:pt idx="20">
                  <c:v>1.3198882663449367</c:v>
                </c:pt>
                <c:pt idx="21">
                  <c:v>1.1561863755633335</c:v>
                </c:pt>
                <c:pt idx="22">
                  <c:v>1.4543311327066668</c:v>
                </c:pt>
                <c:pt idx="23">
                  <c:v>1.7111103949362501</c:v>
                </c:pt>
                <c:pt idx="24">
                  <c:v>1.5333281978525</c:v>
                </c:pt>
                <c:pt idx="25">
                  <c:v>1.7952140795370832</c:v>
                </c:pt>
                <c:pt idx="26">
                  <c:v>2.1240069846683332</c:v>
                </c:pt>
                <c:pt idx="27">
                  <c:v>2.2395217625024997</c:v>
                </c:pt>
                <c:pt idx="28">
                  <c:v>2.388215092736667</c:v>
                </c:pt>
                <c:pt idx="29">
                  <c:v>2.7255603267374999</c:v>
                </c:pt>
                <c:pt idx="30">
                  <c:v>2.8296292300850001</c:v>
                </c:pt>
                <c:pt idx="31">
                  <c:v>3.6795276625479167</c:v>
                </c:pt>
              </c:numCache>
            </c:numRef>
          </c:val>
          <c:extLst>
            <c:ext xmlns:c16="http://schemas.microsoft.com/office/drawing/2014/chart" uri="{C3380CC4-5D6E-409C-BE32-E72D297353CC}">
              <c16:uniqueId val="{00000005-8E7B-4578-A7D1-66D8DE36B7B6}"/>
            </c:ext>
          </c:extLst>
        </c:ser>
        <c:ser>
          <c:idx val="7"/>
          <c:order val="6"/>
          <c:tx>
            <c:strRef>
              <c:f>'page 73'!$R$68</c:f>
              <c:strCache>
                <c:ptCount val="1"/>
                <c:pt idx="0">
                  <c:v>Photovoltaïque</c:v>
                </c:pt>
              </c:strCache>
            </c:strRef>
          </c:tx>
          <c:spPr>
            <a:solidFill>
              <a:srgbClr val="7030A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73'!$R$69:$R$100</c:f>
              <c:numCache>
                <c:formatCode>0.0</c:formatCode>
                <c:ptCount val="32"/>
                <c:pt idx="0">
                  <c:v>0</c:v>
                </c:pt>
                <c:pt idx="1">
                  <c:v>0</c:v>
                </c:pt>
                <c:pt idx="2">
                  <c:v>2.6311257000000002E-5</c:v>
                </c:pt>
                <c:pt idx="3">
                  <c:v>3.9122947500000004E-5</c:v>
                </c:pt>
                <c:pt idx="4">
                  <c:v>5.2278576000000006E-5</c:v>
                </c:pt>
                <c:pt idx="5">
                  <c:v>6.5090266500000008E-5</c:v>
                </c:pt>
                <c:pt idx="6">
                  <c:v>1.022355705E-4</c:v>
                </c:pt>
                <c:pt idx="7">
                  <c:v>1.4832326250000002E-4</c:v>
                </c:pt>
                <c:pt idx="8">
                  <c:v>1.8383486099999999E-4</c:v>
                </c:pt>
                <c:pt idx="9">
                  <c:v>2.0859839700000004E-4</c:v>
                </c:pt>
                <c:pt idx="10">
                  <c:v>4.4909704350000007E-4</c:v>
                </c:pt>
                <c:pt idx="11">
                  <c:v>5.2975050449999999E-4</c:v>
                </c:pt>
                <c:pt idx="12">
                  <c:v>6.10833888E-4</c:v>
                </c:pt>
                <c:pt idx="13">
                  <c:v>6.6784161150000012E-4</c:v>
                </c:pt>
                <c:pt idx="14">
                  <c:v>7.2639705600000015E-4</c:v>
                </c:pt>
                <c:pt idx="15">
                  <c:v>9.0292323450000007E-4</c:v>
                </c:pt>
                <c:pt idx="16">
                  <c:v>1.0406704035E-3</c:v>
                </c:pt>
                <c:pt idx="17">
                  <c:v>1.5109196340000002E-3</c:v>
                </c:pt>
                <c:pt idx="18">
                  <c:v>3.5848657740000008E-3</c:v>
                </c:pt>
                <c:pt idx="19">
                  <c:v>1.4958809449500001E-2</c:v>
                </c:pt>
                <c:pt idx="20">
                  <c:v>5.3310390000000006E-2</c:v>
                </c:pt>
                <c:pt idx="21">
                  <c:v>0.20067097003800002</c:v>
                </c:pt>
                <c:pt idx="22">
                  <c:v>0.38073386299199996</c:v>
                </c:pt>
                <c:pt idx="23">
                  <c:v>0.44656875526199996</c:v>
                </c:pt>
                <c:pt idx="24">
                  <c:v>0.54957612263400002</c:v>
                </c:pt>
                <c:pt idx="25">
                  <c:v>0.66670119907649994</c:v>
                </c:pt>
                <c:pt idx="26">
                  <c:v>0.74460556364249986</c:v>
                </c:pt>
                <c:pt idx="27">
                  <c:v>0.82427458810200005</c:v>
                </c:pt>
                <c:pt idx="28">
                  <c:v>0.93646836748500006</c:v>
                </c:pt>
                <c:pt idx="29">
                  <c:v>1.0513752157965</c:v>
                </c:pt>
                <c:pt idx="30">
                  <c:v>1.1520540369239998</c:v>
                </c:pt>
                <c:pt idx="31">
                  <c:v>1.2976925043424723</c:v>
                </c:pt>
              </c:numCache>
            </c:numRef>
          </c:val>
          <c:extLst>
            <c:ext xmlns:c16="http://schemas.microsoft.com/office/drawing/2014/chart" uri="{C3380CC4-5D6E-409C-BE32-E72D297353CC}">
              <c16:uniqueId val="{00000006-8E7B-4578-A7D1-66D8DE36B7B6}"/>
            </c:ext>
          </c:extLst>
        </c:ser>
        <c:ser>
          <c:idx val="8"/>
          <c:order val="7"/>
          <c:tx>
            <c:strRef>
              <c:f>'page 73'!$S$68</c:f>
              <c:strCache>
                <c:ptCount val="1"/>
                <c:pt idx="0">
                  <c:v>Autres renouvelables</c:v>
                </c:pt>
              </c:strCache>
            </c:strRef>
          </c:tx>
          <c:spPr>
            <a:solidFill>
              <a:srgbClr val="00B0F0"/>
            </a:solidFill>
            <a:ln>
              <a:noFill/>
            </a:ln>
            <a:effectLst/>
          </c:spPr>
          <c:cat>
            <c:numRef>
              <c:f>'page 73'!$K$69:$K$100</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'page 73'!$S$69:$S$100</c:f>
              <c:numCache>
                <c:formatCode>0.0</c:formatCode>
                <c:ptCount val="32"/>
                <c:pt idx="0">
                  <c:v>0.25039696240183607</c:v>
                </c:pt>
                <c:pt idx="1">
                  <c:v>0.25177365067749635</c:v>
                </c:pt>
                <c:pt idx="2">
                  <c:v>0.26842499813271653</c:v>
                </c:pt>
                <c:pt idx="3">
                  <c:v>0.26813498196799107</c:v>
                </c:pt>
                <c:pt idx="4">
                  <c:v>0.27524551796467156</c:v>
                </c:pt>
                <c:pt idx="5">
                  <c:v>0.28223689855198147</c:v>
                </c:pt>
                <c:pt idx="6">
                  <c:v>0.27833525632618367</c:v>
                </c:pt>
                <c:pt idx="7">
                  <c:v>0.28055429653304825</c:v>
                </c:pt>
                <c:pt idx="8">
                  <c:v>0.2788308900918518</c:v>
                </c:pt>
                <c:pt idx="9">
                  <c:v>0.29709973019185953</c:v>
                </c:pt>
                <c:pt idx="10">
                  <c:v>0.33952664165811319</c:v>
                </c:pt>
                <c:pt idx="11">
                  <c:v>0.35425037903849543</c:v>
                </c:pt>
                <c:pt idx="12">
                  <c:v>0.39072691470517468</c:v>
                </c:pt>
                <c:pt idx="13">
                  <c:v>0.39763830104604242</c:v>
                </c:pt>
                <c:pt idx="14">
                  <c:v>0.41188088827203934</c:v>
                </c:pt>
                <c:pt idx="15">
                  <c:v>0.4982615952941824</c:v>
                </c:pt>
                <c:pt idx="16">
                  <c:v>0.50824850389250276</c:v>
                </c:pt>
                <c:pt idx="17">
                  <c:v>0.52063737039071467</c:v>
                </c:pt>
                <c:pt idx="18">
                  <c:v>0.56870216132219875</c:v>
                </c:pt>
                <c:pt idx="19">
                  <c:v>0.64187162220362792</c:v>
                </c:pt>
                <c:pt idx="20">
                  <c:v>0.71908534493487353</c:v>
                </c:pt>
                <c:pt idx="21">
                  <c:v>0.83796908146350002</c:v>
                </c:pt>
                <c:pt idx="22">
                  <c:v>0.91826529597366657</c:v>
                </c:pt>
                <c:pt idx="23">
                  <c:v>1.05829446016525</c:v>
                </c:pt>
                <c:pt idx="24">
                  <c:v>1.0952656216681667</c:v>
                </c:pt>
                <c:pt idx="25">
                  <c:v>1.1938669999526665</c:v>
                </c:pt>
                <c:pt idx="26">
                  <c:v>1.2949661467545834</c:v>
                </c:pt>
                <c:pt idx="27">
                  <c:v>1.4489834365982501</c:v>
                </c:pt>
                <c:pt idx="28">
                  <c:v>1.5328885782116668</c:v>
                </c:pt>
                <c:pt idx="29">
                  <c:v>1.6620408655684167</c:v>
                </c:pt>
                <c:pt idx="30">
                  <c:v>1.8469361065300836</c:v>
                </c:pt>
                <c:pt idx="31">
                  <c:v>2.0813649995415968</c:v>
                </c:pt>
              </c:numCache>
            </c:numRef>
          </c:val>
          <c:extLst>
            <c:ext xmlns:c16="http://schemas.microsoft.com/office/drawing/2014/chart" uri="{C3380CC4-5D6E-409C-BE32-E72D297353CC}">
              <c16:uniqueId val="{00000007-8E7B-4578-A7D1-66D8DE36B7B6}"/>
            </c:ext>
          </c:extLst>
        </c:ser>
        <c:dLbls>
          <c:showLegendKey val="0"/>
          <c:showVal val="0"/>
          <c:showCatName val="0"/>
          <c:showSerName val="0"/>
          <c:showPercent val="0"/>
          <c:showBubbleSize val="0"/>
        </c:dLbls>
        <c:axId val="901046976"/>
        <c:axId val="901047392"/>
      </c:areaChart>
      <c:catAx>
        <c:axId val="9010469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047392"/>
        <c:crosses val="autoZero"/>
        <c:auto val="1"/>
        <c:lblAlgn val="ctr"/>
        <c:lblOffset val="100"/>
        <c:tickLblSkip val="2"/>
        <c:tickMarkSkip val="1"/>
        <c:noMultiLvlLbl val="0"/>
      </c:catAx>
      <c:valAx>
        <c:axId val="901047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Mtep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104697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008000"/>
              </a:solidFill>
              <a:ln w="19050">
                <a:solidFill>
                  <a:schemeClr val="lt1"/>
                </a:solidFill>
              </a:ln>
              <a:effectLst/>
            </c:spPr>
            <c:extLst>
              <c:ext xmlns:c16="http://schemas.microsoft.com/office/drawing/2014/chart" uri="{C3380CC4-5D6E-409C-BE32-E72D297353CC}">
                <c16:uniqueId val="{00000001-8BC6-41C4-B198-351829384FFD}"/>
              </c:ext>
            </c:extLst>
          </c:dPt>
          <c:dPt>
            <c:idx val="1"/>
            <c:bubble3D val="0"/>
            <c:spPr>
              <a:solidFill>
                <a:srgbClr val="0070C0"/>
              </a:solidFill>
              <a:ln w="19050">
                <a:solidFill>
                  <a:schemeClr val="lt1"/>
                </a:solidFill>
              </a:ln>
              <a:effectLst/>
            </c:spPr>
            <c:extLst>
              <c:ext xmlns:c16="http://schemas.microsoft.com/office/drawing/2014/chart" uri="{C3380CC4-5D6E-409C-BE32-E72D297353CC}">
                <c16:uniqueId val="{00000003-8BC6-41C4-B198-351829384FFD}"/>
              </c:ext>
            </c:extLst>
          </c:dPt>
          <c:dPt>
            <c:idx val="2"/>
            <c:bubble3D val="0"/>
            <c:spPr>
              <a:noFill/>
              <a:ln w="12700">
                <a:solidFill>
                  <a:schemeClr val="tx1"/>
                </a:solidFill>
                <a:prstDash val="dashDot"/>
              </a:ln>
              <a:effectLst/>
            </c:spPr>
            <c:extLst>
              <c:ext xmlns:c16="http://schemas.microsoft.com/office/drawing/2014/chart" uri="{C3380CC4-5D6E-409C-BE32-E72D297353CC}">
                <c16:uniqueId val="{00000005-8BC6-41C4-B198-351829384FFD}"/>
              </c:ext>
            </c:extLst>
          </c:dPt>
          <c:dPt>
            <c:idx val="3"/>
            <c:bubble3D val="0"/>
            <c:spPr>
              <a:solidFill>
                <a:srgbClr val="92D050"/>
              </a:solidFill>
              <a:ln w="19050">
                <a:solidFill>
                  <a:schemeClr val="lt1"/>
                </a:solidFill>
              </a:ln>
              <a:effectLst/>
            </c:spPr>
            <c:extLst>
              <c:ext xmlns:c16="http://schemas.microsoft.com/office/drawing/2014/chart" uri="{C3380CC4-5D6E-409C-BE32-E72D297353CC}">
                <c16:uniqueId val="{00000007-8BC6-41C4-B198-351829384FFD}"/>
              </c:ext>
            </c:extLst>
          </c:dPt>
          <c:dPt>
            <c:idx val="4"/>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9-8BC6-41C4-B198-351829384FFD}"/>
              </c:ext>
            </c:extLst>
          </c:dPt>
          <c:dPt>
            <c:idx val="5"/>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B-8BC6-41C4-B198-351829384FFD}"/>
              </c:ext>
            </c:extLst>
          </c:dPt>
          <c:dPt>
            <c:idx val="6"/>
            <c:bubble3D val="0"/>
            <c:spPr>
              <a:solidFill>
                <a:srgbClr val="7030A0"/>
              </a:solidFill>
              <a:ln w="19050">
                <a:solidFill>
                  <a:schemeClr val="lt1"/>
                </a:solidFill>
              </a:ln>
              <a:effectLst/>
            </c:spPr>
            <c:extLst>
              <c:ext xmlns:c16="http://schemas.microsoft.com/office/drawing/2014/chart" uri="{C3380CC4-5D6E-409C-BE32-E72D297353CC}">
                <c16:uniqueId val="{0000000D-8BC6-41C4-B198-351829384FFD}"/>
              </c:ext>
            </c:extLst>
          </c:dPt>
          <c:dPt>
            <c:idx val="7"/>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F-8BC6-41C4-B198-351829384FFD}"/>
              </c:ext>
            </c:extLst>
          </c:dPt>
          <c:dPt>
            <c:idx val="8"/>
            <c:bubble3D val="0"/>
            <c:spPr>
              <a:solidFill>
                <a:srgbClr val="FFC000"/>
              </a:solidFill>
              <a:ln w="19050">
                <a:solidFill>
                  <a:schemeClr val="lt1"/>
                </a:solidFill>
              </a:ln>
              <a:effectLst/>
            </c:spPr>
            <c:extLst>
              <c:ext xmlns:c16="http://schemas.microsoft.com/office/drawing/2014/chart" uri="{C3380CC4-5D6E-409C-BE32-E72D297353CC}">
                <c16:uniqueId val="{00000011-8BC6-41C4-B198-351829384FFD}"/>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8BC6-41C4-B198-351829384FFD}"/>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8BC6-41C4-B198-351829384FFD}"/>
              </c:ext>
            </c:extLst>
          </c:dPt>
          <c:dLbls>
            <c:dLbl>
              <c:idx val="4"/>
              <c:layout>
                <c:manualLayout>
                  <c:x val="-6.4024726791036546E-2"/>
                  <c:y val="-1.263157894736845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BC6-41C4-B198-351829384FFD}"/>
                </c:ext>
              </c:extLst>
            </c:dLbl>
            <c:dLbl>
              <c:idx val="6"/>
              <c:layout>
                <c:manualLayout>
                  <c:x val="-0.20532067557125511"/>
                  <c:y val="-2.947368421052631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8BC6-41C4-B198-351829384FFD}"/>
                </c:ext>
              </c:extLst>
            </c:dLbl>
            <c:dLbl>
              <c:idx val="7"/>
              <c:layout>
                <c:manualLayout>
                  <c:x val="3.7531736394745559E-2"/>
                  <c:y val="0.231578947368421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8BC6-41C4-B198-351829384FFD}"/>
                </c:ext>
              </c:extLst>
            </c:dLbl>
            <c:dLbl>
              <c:idx val="8"/>
              <c:layout>
                <c:manualLayout>
                  <c:x val="-0.20973617397063693"/>
                  <c:y val="-0.1305263157894737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8BC6-41C4-B198-351829384FFD}"/>
                </c:ext>
              </c:extLst>
            </c:dLbl>
            <c:dLbl>
              <c:idx val="9"/>
              <c:layout>
                <c:manualLayout>
                  <c:x val="-7.2855723589800234E-2"/>
                  <c:y val="-0.1473684210526315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8BC6-41C4-B198-351829384FFD}"/>
                </c:ext>
              </c:extLst>
            </c:dLbl>
            <c:dLbl>
              <c:idx val="10"/>
              <c:layout>
                <c:manualLayout>
                  <c:x val="9.9348713986091186E-2"/>
                  <c:y val="-0.155789473684210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8BC6-41C4-B198-351829384FF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'page 72'!$L$8:$L$18</c:f>
              <c:strCache>
                <c:ptCount val="11"/>
                <c:pt idx="0">
                  <c:v>Biomasse</c:v>
                </c:pt>
                <c:pt idx="1">
                  <c:v>Hydraulique renouvelable*</c:v>
                </c:pt>
                <c:pt idx="2">
                  <c:v>Pompes à chaleur</c:v>
                </c:pt>
                <c:pt idx="3">
                  <c:v>Éolien</c:v>
                </c:pt>
                <c:pt idx="4">
                  <c:v>Biocarburants</c:v>
                </c:pt>
                <c:pt idx="5">
                  <c:v>Biogaz</c:v>
                </c:pt>
                <c:pt idx="6">
                  <c:v>Solaire photovoltaïque</c:v>
                </c:pt>
                <c:pt idx="7">
                  <c:v>Déchets renouvelables</c:v>
                </c:pt>
                <c:pt idx="8">
                  <c:v>Géothermie</c:v>
                </c:pt>
                <c:pt idx="9">
                  <c:v>Solaire thermique</c:v>
                </c:pt>
                <c:pt idx="10">
                  <c:v>Énergies marines</c:v>
                </c:pt>
              </c:strCache>
            </c:strRef>
          </c:cat>
          <c:val>
            <c:numRef>
              <c:f>'page 72'!$M$8:$M$18</c:f>
              <c:numCache>
                <c:formatCode>0.000</c:formatCode>
                <c:ptCount val="11"/>
                <c:pt idx="0">
                  <c:v>130.37432888888887</c:v>
                </c:pt>
                <c:pt idx="1">
                  <c:v>58.856656132884424</c:v>
                </c:pt>
                <c:pt idx="2">
                  <c:v>42.792918055555553</c:v>
                </c:pt>
                <c:pt idx="3">
                  <c:v>37.014584000000006</c:v>
                </c:pt>
                <c:pt idx="4">
                  <c:v>22.114808801465255</c:v>
                </c:pt>
                <c:pt idx="5">
                  <c:v>15.817609722222223</c:v>
                </c:pt>
                <c:pt idx="6">
                  <c:v>15.092167824927426</c:v>
                </c:pt>
                <c:pt idx="7">
                  <c:v>14.610188888888889</c:v>
                </c:pt>
                <c:pt idx="8">
                  <c:v>5.549536388888888</c:v>
                </c:pt>
                <c:pt idx="9">
                  <c:v>2.3553447222222221</c:v>
                </c:pt>
                <c:pt idx="10">
                  <c:v>0.48379052600000005</c:v>
                </c:pt>
              </c:numCache>
            </c:numRef>
          </c:val>
          <c:extLst>
            <c:ext xmlns:c16="http://schemas.microsoft.com/office/drawing/2014/chart" uri="{C3380CC4-5D6E-409C-BE32-E72D297353CC}">
              <c16:uniqueId val="{00000016-8BC6-41C4-B198-351829384FFD}"/>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v>Industries agro-alimentaires</c:v>
          </c:tx>
          <c:spPr>
            <a:ln w="19050" cap="rnd">
              <a:solidFill>
                <a:srgbClr val="00800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[IPI_202206.xls]Feuil1!$D$302:$D$391</c:f>
              <c:numCache>
                <c:formatCode>0.0</c:formatCode>
                <c:ptCount val="90"/>
                <c:pt idx="0">
                  <c:v>98.76</c:v>
                </c:pt>
                <c:pt idx="1">
                  <c:v>98.2</c:v>
                </c:pt>
                <c:pt idx="2">
                  <c:v>100.24</c:v>
                </c:pt>
                <c:pt idx="3">
                  <c:v>99.76</c:v>
                </c:pt>
                <c:pt idx="4">
                  <c:v>100.45</c:v>
                </c:pt>
                <c:pt idx="5">
                  <c:v>100.86</c:v>
                </c:pt>
                <c:pt idx="6">
                  <c:v>100.43</c:v>
                </c:pt>
                <c:pt idx="7">
                  <c:v>99.93</c:v>
                </c:pt>
                <c:pt idx="8">
                  <c:v>100.98</c:v>
                </c:pt>
                <c:pt idx="9">
                  <c:v>100.1</c:v>
                </c:pt>
                <c:pt idx="10">
                  <c:v>99.77</c:v>
                </c:pt>
                <c:pt idx="11">
                  <c:v>100.52</c:v>
                </c:pt>
                <c:pt idx="12">
                  <c:v>100.76</c:v>
                </c:pt>
                <c:pt idx="13">
                  <c:v>99.97</c:v>
                </c:pt>
                <c:pt idx="14">
                  <c:v>100</c:v>
                </c:pt>
                <c:pt idx="15">
                  <c:v>98.24</c:v>
                </c:pt>
                <c:pt idx="16">
                  <c:v>97.74</c:v>
                </c:pt>
                <c:pt idx="17">
                  <c:v>97.54</c:v>
                </c:pt>
                <c:pt idx="18">
                  <c:v>98.82</c:v>
                </c:pt>
                <c:pt idx="19">
                  <c:v>99.99</c:v>
                </c:pt>
                <c:pt idx="20">
                  <c:v>100.51</c:v>
                </c:pt>
                <c:pt idx="21">
                  <c:v>99.01</c:v>
                </c:pt>
                <c:pt idx="22">
                  <c:v>100.12</c:v>
                </c:pt>
                <c:pt idx="23">
                  <c:v>99.63</c:v>
                </c:pt>
                <c:pt idx="24">
                  <c:v>97.5</c:v>
                </c:pt>
                <c:pt idx="25">
                  <c:v>98.93</c:v>
                </c:pt>
                <c:pt idx="26">
                  <c:v>98.98</c:v>
                </c:pt>
                <c:pt idx="27">
                  <c:v>98.38</c:v>
                </c:pt>
                <c:pt idx="28">
                  <c:v>99.66</c:v>
                </c:pt>
                <c:pt idx="29">
                  <c:v>99.02</c:v>
                </c:pt>
                <c:pt idx="30">
                  <c:v>99.52</c:v>
                </c:pt>
                <c:pt idx="31">
                  <c:v>100.35</c:v>
                </c:pt>
                <c:pt idx="32">
                  <c:v>99.79</c:v>
                </c:pt>
                <c:pt idx="33">
                  <c:v>99.19</c:v>
                </c:pt>
                <c:pt idx="34">
                  <c:v>99.96</c:v>
                </c:pt>
                <c:pt idx="35">
                  <c:v>98.92</c:v>
                </c:pt>
                <c:pt idx="36">
                  <c:v>98.92</c:v>
                </c:pt>
                <c:pt idx="37">
                  <c:v>98.86</c:v>
                </c:pt>
                <c:pt idx="38">
                  <c:v>100.19</c:v>
                </c:pt>
                <c:pt idx="39">
                  <c:v>99.83</c:v>
                </c:pt>
                <c:pt idx="40">
                  <c:v>100.39</c:v>
                </c:pt>
                <c:pt idx="41">
                  <c:v>99.24</c:v>
                </c:pt>
                <c:pt idx="42">
                  <c:v>98.84</c:v>
                </c:pt>
                <c:pt idx="43">
                  <c:v>100.21</c:v>
                </c:pt>
                <c:pt idx="44">
                  <c:v>98.48</c:v>
                </c:pt>
                <c:pt idx="45">
                  <c:v>99.26</c:v>
                </c:pt>
                <c:pt idx="46">
                  <c:v>97.89</c:v>
                </c:pt>
                <c:pt idx="47">
                  <c:v>99.25</c:v>
                </c:pt>
                <c:pt idx="48">
                  <c:v>100.07</c:v>
                </c:pt>
                <c:pt idx="49">
                  <c:v>99.62</c:v>
                </c:pt>
                <c:pt idx="50">
                  <c:v>98.83</c:v>
                </c:pt>
                <c:pt idx="51">
                  <c:v>100.22</c:v>
                </c:pt>
                <c:pt idx="52">
                  <c:v>99.47</c:v>
                </c:pt>
                <c:pt idx="53">
                  <c:v>98.89</c:v>
                </c:pt>
                <c:pt idx="54">
                  <c:v>98.08</c:v>
                </c:pt>
                <c:pt idx="55">
                  <c:v>97.95</c:v>
                </c:pt>
                <c:pt idx="56">
                  <c:v>99.86</c:v>
                </c:pt>
                <c:pt idx="57">
                  <c:v>98.99</c:v>
                </c:pt>
                <c:pt idx="58">
                  <c:v>98.94</c:v>
                </c:pt>
                <c:pt idx="59">
                  <c:v>98.69</c:v>
                </c:pt>
                <c:pt idx="60">
                  <c:v>98.55</c:v>
                </c:pt>
                <c:pt idx="61">
                  <c:v>100.31</c:v>
                </c:pt>
                <c:pt idx="62">
                  <c:v>96.89</c:v>
                </c:pt>
                <c:pt idx="63">
                  <c:v>89.49</c:v>
                </c:pt>
                <c:pt idx="64">
                  <c:v>91.55</c:v>
                </c:pt>
                <c:pt idx="65">
                  <c:v>97.49</c:v>
                </c:pt>
                <c:pt idx="66">
                  <c:v>99.25</c:v>
                </c:pt>
                <c:pt idx="67">
                  <c:v>98.29</c:v>
                </c:pt>
                <c:pt idx="68">
                  <c:v>99.1</c:v>
                </c:pt>
                <c:pt idx="69">
                  <c:v>98.04</c:v>
                </c:pt>
                <c:pt idx="70">
                  <c:v>97.95</c:v>
                </c:pt>
                <c:pt idx="71">
                  <c:v>96.7</c:v>
                </c:pt>
                <c:pt idx="72">
                  <c:v>98.94</c:v>
                </c:pt>
                <c:pt idx="73">
                  <c:v>96.85</c:v>
                </c:pt>
                <c:pt idx="74">
                  <c:v>98.82</c:v>
                </c:pt>
                <c:pt idx="75">
                  <c:v>97.93</c:v>
                </c:pt>
                <c:pt idx="76">
                  <c:v>99.26</c:v>
                </c:pt>
                <c:pt idx="77">
                  <c:v>100.1</c:v>
                </c:pt>
                <c:pt idx="78">
                  <c:v>102.39</c:v>
                </c:pt>
                <c:pt idx="79">
                  <c:v>100.19</c:v>
                </c:pt>
                <c:pt idx="80">
                  <c:v>99.45</c:v>
                </c:pt>
                <c:pt idx="81">
                  <c:v>101.09</c:v>
                </c:pt>
                <c:pt idx="82">
                  <c:v>101.79</c:v>
                </c:pt>
                <c:pt idx="83">
                  <c:v>99.96</c:v>
                </c:pt>
                <c:pt idx="84">
                  <c:v>101.42</c:v>
                </c:pt>
                <c:pt idx="85">
                  <c:v>101.73</c:v>
                </c:pt>
                <c:pt idx="86">
                  <c:v>101.68</c:v>
                </c:pt>
                <c:pt idx="87">
                  <c:v>99.86</c:v>
                </c:pt>
                <c:pt idx="88">
                  <c:v>99.21</c:v>
                </c:pt>
                <c:pt idx="89">
                  <c:v>101.42</c:v>
                </c:pt>
              </c:numCache>
            </c:numRef>
          </c:val>
          <c:smooth val="0"/>
          <c:extLst>
            <c:ext xmlns:c16="http://schemas.microsoft.com/office/drawing/2014/chart" uri="{C3380CC4-5D6E-409C-BE32-E72D297353CC}">
              <c16:uniqueId val="{00000000-58DA-4C1D-B778-BB5EA8529FA8}"/>
            </c:ext>
          </c:extLst>
        </c:ser>
        <c:ser>
          <c:idx val="2"/>
          <c:order val="1"/>
          <c:tx>
            <c:v>Cokéfaction-raffinage</c:v>
          </c:tx>
          <c:spPr>
            <a:ln w="15875" cap="rnd">
              <a:solidFill>
                <a:schemeClr val="accent3"/>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[IPI_202206.xls]Feuil1!$E$302:$E$391</c:f>
              <c:numCache>
                <c:formatCode>0.0</c:formatCode>
                <c:ptCount val="90"/>
                <c:pt idx="0">
                  <c:v>101.51</c:v>
                </c:pt>
                <c:pt idx="1">
                  <c:v>105.07</c:v>
                </c:pt>
                <c:pt idx="2">
                  <c:v>115.1</c:v>
                </c:pt>
                <c:pt idx="3">
                  <c:v>101.71</c:v>
                </c:pt>
                <c:pt idx="4">
                  <c:v>100.63</c:v>
                </c:pt>
                <c:pt idx="5">
                  <c:v>91.43</c:v>
                </c:pt>
                <c:pt idx="6">
                  <c:v>91.15</c:v>
                </c:pt>
                <c:pt idx="7">
                  <c:v>88.61</c:v>
                </c:pt>
                <c:pt idx="8">
                  <c:v>105.49</c:v>
                </c:pt>
                <c:pt idx="9">
                  <c:v>105.58</c:v>
                </c:pt>
                <c:pt idx="10">
                  <c:v>98.9</c:v>
                </c:pt>
                <c:pt idx="11">
                  <c:v>94.83</c:v>
                </c:pt>
                <c:pt idx="12">
                  <c:v>99.27</c:v>
                </c:pt>
                <c:pt idx="13">
                  <c:v>101.23</c:v>
                </c:pt>
                <c:pt idx="14">
                  <c:v>101.9</c:v>
                </c:pt>
                <c:pt idx="15">
                  <c:v>103.54</c:v>
                </c:pt>
                <c:pt idx="16">
                  <c:v>81.290000000000006</c:v>
                </c:pt>
                <c:pt idx="17">
                  <c:v>71.33</c:v>
                </c:pt>
                <c:pt idx="18">
                  <c:v>100.42</c:v>
                </c:pt>
                <c:pt idx="19">
                  <c:v>99.59</c:v>
                </c:pt>
                <c:pt idx="20">
                  <c:v>98.3</c:v>
                </c:pt>
                <c:pt idx="21">
                  <c:v>102.02</c:v>
                </c:pt>
                <c:pt idx="22">
                  <c:v>112.74</c:v>
                </c:pt>
                <c:pt idx="23">
                  <c:v>106.58</c:v>
                </c:pt>
                <c:pt idx="24">
                  <c:v>97</c:v>
                </c:pt>
                <c:pt idx="25">
                  <c:v>89.43</c:v>
                </c:pt>
                <c:pt idx="26">
                  <c:v>94.02</c:v>
                </c:pt>
                <c:pt idx="27">
                  <c:v>99.38</c:v>
                </c:pt>
                <c:pt idx="28">
                  <c:v>99.9</c:v>
                </c:pt>
                <c:pt idx="29">
                  <c:v>104</c:v>
                </c:pt>
                <c:pt idx="30">
                  <c:v>96.96</c:v>
                </c:pt>
                <c:pt idx="31">
                  <c:v>98.2</c:v>
                </c:pt>
                <c:pt idx="32">
                  <c:v>98.43</c:v>
                </c:pt>
                <c:pt idx="33">
                  <c:v>99.22</c:v>
                </c:pt>
                <c:pt idx="34">
                  <c:v>104.88</c:v>
                </c:pt>
                <c:pt idx="35">
                  <c:v>101.14</c:v>
                </c:pt>
                <c:pt idx="36">
                  <c:v>99.94</c:v>
                </c:pt>
                <c:pt idx="37">
                  <c:v>98.48</c:v>
                </c:pt>
                <c:pt idx="38">
                  <c:v>93.12</c:v>
                </c:pt>
                <c:pt idx="39">
                  <c:v>86.53</c:v>
                </c:pt>
                <c:pt idx="40">
                  <c:v>71.510000000000005</c:v>
                </c:pt>
                <c:pt idx="41">
                  <c:v>92.24</c:v>
                </c:pt>
                <c:pt idx="42">
                  <c:v>95.23</c:v>
                </c:pt>
                <c:pt idx="43">
                  <c:v>96.75</c:v>
                </c:pt>
                <c:pt idx="44">
                  <c:v>98.79</c:v>
                </c:pt>
                <c:pt idx="45">
                  <c:v>99.19</c:v>
                </c:pt>
                <c:pt idx="46">
                  <c:v>91.04</c:v>
                </c:pt>
                <c:pt idx="47">
                  <c:v>94.41</c:v>
                </c:pt>
                <c:pt idx="48">
                  <c:v>98.53</c:v>
                </c:pt>
                <c:pt idx="49">
                  <c:v>98.44</c:v>
                </c:pt>
                <c:pt idx="50">
                  <c:v>93.47</c:v>
                </c:pt>
                <c:pt idx="51">
                  <c:v>90.85</c:v>
                </c:pt>
                <c:pt idx="52">
                  <c:v>88.9</c:v>
                </c:pt>
                <c:pt idx="53">
                  <c:v>78.72</c:v>
                </c:pt>
                <c:pt idx="54">
                  <c:v>84.78</c:v>
                </c:pt>
                <c:pt idx="55">
                  <c:v>88.7</c:v>
                </c:pt>
                <c:pt idx="56">
                  <c:v>78.150000000000006</c:v>
                </c:pt>
                <c:pt idx="57">
                  <c:v>67.959999999999994</c:v>
                </c:pt>
                <c:pt idx="58">
                  <c:v>67.81</c:v>
                </c:pt>
                <c:pt idx="59">
                  <c:v>68.86</c:v>
                </c:pt>
                <c:pt idx="60">
                  <c:v>63.94</c:v>
                </c:pt>
                <c:pt idx="61">
                  <c:v>67.209999999999994</c:v>
                </c:pt>
                <c:pt idx="62">
                  <c:v>43.47</c:v>
                </c:pt>
                <c:pt idx="63">
                  <c:v>45.82</c:v>
                </c:pt>
                <c:pt idx="64">
                  <c:v>51.16</c:v>
                </c:pt>
                <c:pt idx="65">
                  <c:v>60.58</c:v>
                </c:pt>
                <c:pt idx="66">
                  <c:v>56.73</c:v>
                </c:pt>
                <c:pt idx="67">
                  <c:v>51.7</c:v>
                </c:pt>
                <c:pt idx="68">
                  <c:v>62.78</c:v>
                </c:pt>
                <c:pt idx="69">
                  <c:v>70.290000000000006</c:v>
                </c:pt>
                <c:pt idx="70">
                  <c:v>63.56</c:v>
                </c:pt>
                <c:pt idx="71">
                  <c:v>44.97</c:v>
                </c:pt>
                <c:pt idx="72">
                  <c:v>47.65</c:v>
                </c:pt>
                <c:pt idx="73">
                  <c:v>53.31</c:v>
                </c:pt>
                <c:pt idx="74">
                  <c:v>55.41</c:v>
                </c:pt>
                <c:pt idx="75">
                  <c:v>54.73</c:v>
                </c:pt>
                <c:pt idx="76">
                  <c:v>56.25</c:v>
                </c:pt>
                <c:pt idx="77">
                  <c:v>61.95</c:v>
                </c:pt>
                <c:pt idx="78">
                  <c:v>58.75</c:v>
                </c:pt>
                <c:pt idx="79">
                  <c:v>61.58</c:v>
                </c:pt>
                <c:pt idx="80">
                  <c:v>60.94</c:v>
                </c:pt>
                <c:pt idx="81">
                  <c:v>62.05</c:v>
                </c:pt>
                <c:pt idx="82">
                  <c:v>67.17</c:v>
                </c:pt>
                <c:pt idx="83">
                  <c:v>65.739999999999995</c:v>
                </c:pt>
                <c:pt idx="84">
                  <c:v>69.12</c:v>
                </c:pt>
                <c:pt idx="85">
                  <c:v>69.66</c:v>
                </c:pt>
                <c:pt idx="86">
                  <c:v>70.599999999999994</c:v>
                </c:pt>
                <c:pt idx="87">
                  <c:v>70.81</c:v>
                </c:pt>
                <c:pt idx="88">
                  <c:v>74.77</c:v>
                </c:pt>
                <c:pt idx="89">
                  <c:v>72.48</c:v>
                </c:pt>
              </c:numCache>
            </c:numRef>
          </c:val>
          <c:smooth val="0"/>
          <c:extLst>
            <c:ext xmlns:c16="http://schemas.microsoft.com/office/drawing/2014/chart" uri="{C3380CC4-5D6E-409C-BE32-E72D297353CC}">
              <c16:uniqueId val="{00000001-58DA-4C1D-B778-BB5EA8529FA8}"/>
            </c:ext>
          </c:extLst>
        </c:ser>
        <c:ser>
          <c:idx val="3"/>
          <c:order val="2"/>
          <c:tx>
            <c:v>Fabrication de biens d'équipement</c:v>
          </c:tx>
          <c:spPr>
            <a:ln w="15875" cap="rnd">
              <a:solidFill>
                <a:schemeClr val="accent6">
                  <a:lumMod val="75000"/>
                </a:schemeClr>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[IPI_202206.xls]Feuil1!$F$302:$F$391</c:f>
              <c:numCache>
                <c:formatCode>0.0</c:formatCode>
                <c:ptCount val="90"/>
                <c:pt idx="0">
                  <c:v>98.49</c:v>
                </c:pt>
                <c:pt idx="1">
                  <c:v>97.34</c:v>
                </c:pt>
                <c:pt idx="2">
                  <c:v>98.73</c:v>
                </c:pt>
                <c:pt idx="3">
                  <c:v>99.85</c:v>
                </c:pt>
                <c:pt idx="4">
                  <c:v>103.21</c:v>
                </c:pt>
                <c:pt idx="5">
                  <c:v>103.3</c:v>
                </c:pt>
                <c:pt idx="6">
                  <c:v>97.13</c:v>
                </c:pt>
                <c:pt idx="7">
                  <c:v>99.74</c:v>
                </c:pt>
                <c:pt idx="8">
                  <c:v>104.46</c:v>
                </c:pt>
                <c:pt idx="9">
                  <c:v>101.13</c:v>
                </c:pt>
                <c:pt idx="10">
                  <c:v>98.18</c:v>
                </c:pt>
                <c:pt idx="11">
                  <c:v>98.45</c:v>
                </c:pt>
                <c:pt idx="12">
                  <c:v>98.39</c:v>
                </c:pt>
                <c:pt idx="13">
                  <c:v>100.68</c:v>
                </c:pt>
                <c:pt idx="14">
                  <c:v>97.37</c:v>
                </c:pt>
                <c:pt idx="15">
                  <c:v>98.24</c:v>
                </c:pt>
                <c:pt idx="16">
                  <c:v>97.87</c:v>
                </c:pt>
                <c:pt idx="17">
                  <c:v>96.4</c:v>
                </c:pt>
                <c:pt idx="18">
                  <c:v>96.15</c:v>
                </c:pt>
                <c:pt idx="19">
                  <c:v>99.99</c:v>
                </c:pt>
                <c:pt idx="20">
                  <c:v>98.96</c:v>
                </c:pt>
                <c:pt idx="21">
                  <c:v>94.78</c:v>
                </c:pt>
                <c:pt idx="22">
                  <c:v>100.42</c:v>
                </c:pt>
                <c:pt idx="23">
                  <c:v>100.3</c:v>
                </c:pt>
                <c:pt idx="24">
                  <c:v>97.36</c:v>
                </c:pt>
                <c:pt idx="25">
                  <c:v>99.97</c:v>
                </c:pt>
                <c:pt idx="26">
                  <c:v>100.85</c:v>
                </c:pt>
                <c:pt idx="27">
                  <c:v>100.57</c:v>
                </c:pt>
                <c:pt idx="28">
                  <c:v>104.98</c:v>
                </c:pt>
                <c:pt idx="29">
                  <c:v>102.2</c:v>
                </c:pt>
                <c:pt idx="30">
                  <c:v>101.58</c:v>
                </c:pt>
                <c:pt idx="31">
                  <c:v>100.81</c:v>
                </c:pt>
                <c:pt idx="32">
                  <c:v>101.44</c:v>
                </c:pt>
                <c:pt idx="33">
                  <c:v>104.39</c:v>
                </c:pt>
                <c:pt idx="34">
                  <c:v>101.28</c:v>
                </c:pt>
                <c:pt idx="35">
                  <c:v>106.73</c:v>
                </c:pt>
                <c:pt idx="36">
                  <c:v>99.87</c:v>
                </c:pt>
                <c:pt idx="37">
                  <c:v>99.74</c:v>
                </c:pt>
                <c:pt idx="38">
                  <c:v>102.42</c:v>
                </c:pt>
                <c:pt idx="39">
                  <c:v>98.75</c:v>
                </c:pt>
                <c:pt idx="40">
                  <c:v>99.47</c:v>
                </c:pt>
                <c:pt idx="41">
                  <c:v>100.59</c:v>
                </c:pt>
                <c:pt idx="42">
                  <c:v>101.28</c:v>
                </c:pt>
                <c:pt idx="43">
                  <c:v>102.07</c:v>
                </c:pt>
                <c:pt idx="44">
                  <c:v>99.45</c:v>
                </c:pt>
                <c:pt idx="45">
                  <c:v>101.94</c:v>
                </c:pt>
                <c:pt idx="46">
                  <c:v>99.93</c:v>
                </c:pt>
                <c:pt idx="47">
                  <c:v>99.57</c:v>
                </c:pt>
                <c:pt idx="48">
                  <c:v>103.67</c:v>
                </c:pt>
                <c:pt idx="49">
                  <c:v>102.45</c:v>
                </c:pt>
                <c:pt idx="50">
                  <c:v>105.51</c:v>
                </c:pt>
                <c:pt idx="51">
                  <c:v>107.74</c:v>
                </c:pt>
                <c:pt idx="52">
                  <c:v>105.2</c:v>
                </c:pt>
                <c:pt idx="53">
                  <c:v>102.95</c:v>
                </c:pt>
                <c:pt idx="54">
                  <c:v>102.18</c:v>
                </c:pt>
                <c:pt idx="55">
                  <c:v>101.21</c:v>
                </c:pt>
                <c:pt idx="56">
                  <c:v>104.18</c:v>
                </c:pt>
                <c:pt idx="57">
                  <c:v>100.81</c:v>
                </c:pt>
                <c:pt idx="58">
                  <c:v>101.01</c:v>
                </c:pt>
                <c:pt idx="59">
                  <c:v>98.59</c:v>
                </c:pt>
                <c:pt idx="60">
                  <c:v>101.7</c:v>
                </c:pt>
                <c:pt idx="61">
                  <c:v>102.11</c:v>
                </c:pt>
                <c:pt idx="62">
                  <c:v>77.75</c:v>
                </c:pt>
                <c:pt idx="63">
                  <c:v>60.54</c:v>
                </c:pt>
                <c:pt idx="64">
                  <c:v>77.760000000000005</c:v>
                </c:pt>
                <c:pt idx="65">
                  <c:v>89.68</c:v>
                </c:pt>
                <c:pt idx="66">
                  <c:v>95.38</c:v>
                </c:pt>
                <c:pt idx="67">
                  <c:v>92.22</c:v>
                </c:pt>
                <c:pt idx="68">
                  <c:v>93.99</c:v>
                </c:pt>
                <c:pt idx="69">
                  <c:v>96.48</c:v>
                </c:pt>
                <c:pt idx="70">
                  <c:v>97.42</c:v>
                </c:pt>
                <c:pt idx="71">
                  <c:v>95.2</c:v>
                </c:pt>
                <c:pt idx="72">
                  <c:v>101.84</c:v>
                </c:pt>
                <c:pt idx="73">
                  <c:v>97.62</c:v>
                </c:pt>
                <c:pt idx="74">
                  <c:v>98.78</c:v>
                </c:pt>
                <c:pt idx="75">
                  <c:v>100.45</c:v>
                </c:pt>
                <c:pt idx="76">
                  <c:v>98.24</c:v>
                </c:pt>
                <c:pt idx="77">
                  <c:v>98.12</c:v>
                </c:pt>
                <c:pt idx="78">
                  <c:v>97.97</c:v>
                </c:pt>
                <c:pt idx="79">
                  <c:v>99.11</c:v>
                </c:pt>
                <c:pt idx="80">
                  <c:v>99.9</c:v>
                </c:pt>
                <c:pt idx="81">
                  <c:v>99.5</c:v>
                </c:pt>
                <c:pt idx="82">
                  <c:v>98.71</c:v>
                </c:pt>
                <c:pt idx="83">
                  <c:v>100.18</c:v>
                </c:pt>
                <c:pt idx="84">
                  <c:v>100.95</c:v>
                </c:pt>
                <c:pt idx="85">
                  <c:v>101.46</c:v>
                </c:pt>
                <c:pt idx="86">
                  <c:v>100.08</c:v>
                </c:pt>
                <c:pt idx="87">
                  <c:v>99.56</c:v>
                </c:pt>
                <c:pt idx="88">
                  <c:v>99.8</c:v>
                </c:pt>
                <c:pt idx="89">
                  <c:v>103.29</c:v>
                </c:pt>
              </c:numCache>
            </c:numRef>
          </c:val>
          <c:smooth val="0"/>
          <c:extLst>
            <c:ext xmlns:c16="http://schemas.microsoft.com/office/drawing/2014/chart" uri="{C3380CC4-5D6E-409C-BE32-E72D297353CC}">
              <c16:uniqueId val="{00000002-58DA-4C1D-B778-BB5EA8529FA8}"/>
            </c:ext>
          </c:extLst>
        </c:ser>
        <c:ser>
          <c:idx val="4"/>
          <c:order val="3"/>
          <c:tx>
            <c:v>Fabrication de matériels de transport</c:v>
          </c:tx>
          <c:spPr>
            <a:ln w="15875" cap="rnd">
              <a:solidFill>
                <a:srgbClr val="FF000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[IPI_202206.xls]Feuil1!$G$302:$G$391</c:f>
              <c:numCache>
                <c:formatCode>0.0</c:formatCode>
                <c:ptCount val="90"/>
                <c:pt idx="0">
                  <c:v>98.48</c:v>
                </c:pt>
                <c:pt idx="1">
                  <c:v>102.18</c:v>
                </c:pt>
                <c:pt idx="2">
                  <c:v>100.19</c:v>
                </c:pt>
                <c:pt idx="3">
                  <c:v>97.36</c:v>
                </c:pt>
                <c:pt idx="4">
                  <c:v>100.85</c:v>
                </c:pt>
                <c:pt idx="5">
                  <c:v>99.71</c:v>
                </c:pt>
                <c:pt idx="6">
                  <c:v>96.9</c:v>
                </c:pt>
                <c:pt idx="7">
                  <c:v>103.44</c:v>
                </c:pt>
                <c:pt idx="8">
                  <c:v>102.81</c:v>
                </c:pt>
                <c:pt idx="9">
                  <c:v>101.24</c:v>
                </c:pt>
                <c:pt idx="10">
                  <c:v>97.61</c:v>
                </c:pt>
                <c:pt idx="11">
                  <c:v>99.23</c:v>
                </c:pt>
                <c:pt idx="12">
                  <c:v>106.65</c:v>
                </c:pt>
                <c:pt idx="13">
                  <c:v>105.46</c:v>
                </c:pt>
                <c:pt idx="14">
                  <c:v>101.73</c:v>
                </c:pt>
                <c:pt idx="15">
                  <c:v>107.93</c:v>
                </c:pt>
                <c:pt idx="16">
                  <c:v>103.3</c:v>
                </c:pt>
                <c:pt idx="17">
                  <c:v>105.05</c:v>
                </c:pt>
                <c:pt idx="18">
                  <c:v>100.78</c:v>
                </c:pt>
                <c:pt idx="19">
                  <c:v>105.08</c:v>
                </c:pt>
                <c:pt idx="20">
                  <c:v>101.2</c:v>
                </c:pt>
                <c:pt idx="21">
                  <c:v>104.83</c:v>
                </c:pt>
                <c:pt idx="22">
                  <c:v>105.54</c:v>
                </c:pt>
                <c:pt idx="23">
                  <c:v>103.46</c:v>
                </c:pt>
                <c:pt idx="24">
                  <c:v>104.85</c:v>
                </c:pt>
                <c:pt idx="25">
                  <c:v>103.56</c:v>
                </c:pt>
                <c:pt idx="26">
                  <c:v>108.81</c:v>
                </c:pt>
                <c:pt idx="27">
                  <c:v>103.47</c:v>
                </c:pt>
                <c:pt idx="28">
                  <c:v>109.49</c:v>
                </c:pt>
                <c:pt idx="29">
                  <c:v>105.97</c:v>
                </c:pt>
                <c:pt idx="30">
                  <c:v>109.54</c:v>
                </c:pt>
                <c:pt idx="31">
                  <c:v>114.11</c:v>
                </c:pt>
                <c:pt idx="32">
                  <c:v>111.78</c:v>
                </c:pt>
                <c:pt idx="33">
                  <c:v>112.38</c:v>
                </c:pt>
                <c:pt idx="34">
                  <c:v>112.79</c:v>
                </c:pt>
                <c:pt idx="35">
                  <c:v>111.92</c:v>
                </c:pt>
                <c:pt idx="36">
                  <c:v>112.36</c:v>
                </c:pt>
                <c:pt idx="37">
                  <c:v>108.73</c:v>
                </c:pt>
                <c:pt idx="38">
                  <c:v>107.91</c:v>
                </c:pt>
                <c:pt idx="39">
                  <c:v>116.05</c:v>
                </c:pt>
                <c:pt idx="40">
                  <c:v>111.7</c:v>
                </c:pt>
                <c:pt idx="41">
                  <c:v>116.15</c:v>
                </c:pt>
                <c:pt idx="42">
                  <c:v>117.05</c:v>
                </c:pt>
                <c:pt idx="43">
                  <c:v>114.09</c:v>
                </c:pt>
                <c:pt idx="44">
                  <c:v>112.46</c:v>
                </c:pt>
                <c:pt idx="45">
                  <c:v>112.23</c:v>
                </c:pt>
                <c:pt idx="46">
                  <c:v>112.31</c:v>
                </c:pt>
                <c:pt idx="47">
                  <c:v>119.86</c:v>
                </c:pt>
                <c:pt idx="48">
                  <c:v>114.91</c:v>
                </c:pt>
                <c:pt idx="49">
                  <c:v>117.11</c:v>
                </c:pt>
                <c:pt idx="50">
                  <c:v>116.82</c:v>
                </c:pt>
                <c:pt idx="51">
                  <c:v>113.87</c:v>
                </c:pt>
                <c:pt idx="52">
                  <c:v>117.5</c:v>
                </c:pt>
                <c:pt idx="53">
                  <c:v>112.2</c:v>
                </c:pt>
                <c:pt idx="54">
                  <c:v>113</c:v>
                </c:pt>
                <c:pt idx="55">
                  <c:v>113.33</c:v>
                </c:pt>
                <c:pt idx="56">
                  <c:v>113.24</c:v>
                </c:pt>
                <c:pt idx="57">
                  <c:v>110.8</c:v>
                </c:pt>
                <c:pt idx="58">
                  <c:v>112.17</c:v>
                </c:pt>
                <c:pt idx="59">
                  <c:v>105.75</c:v>
                </c:pt>
                <c:pt idx="60">
                  <c:v>104.71</c:v>
                </c:pt>
                <c:pt idx="61">
                  <c:v>110.49</c:v>
                </c:pt>
                <c:pt idx="62">
                  <c:v>72.930000000000007</c:v>
                </c:pt>
                <c:pt idx="63">
                  <c:v>39.35</c:v>
                </c:pt>
                <c:pt idx="64">
                  <c:v>56.26</c:v>
                </c:pt>
                <c:pt idx="65">
                  <c:v>75.45</c:v>
                </c:pt>
                <c:pt idx="66">
                  <c:v>80.5</c:v>
                </c:pt>
                <c:pt idx="67">
                  <c:v>82.7</c:v>
                </c:pt>
                <c:pt idx="68">
                  <c:v>92.99</c:v>
                </c:pt>
                <c:pt idx="69">
                  <c:v>90.76</c:v>
                </c:pt>
                <c:pt idx="70">
                  <c:v>90.15</c:v>
                </c:pt>
                <c:pt idx="71">
                  <c:v>90.83</c:v>
                </c:pt>
                <c:pt idx="72">
                  <c:v>89.6</c:v>
                </c:pt>
                <c:pt idx="73">
                  <c:v>81.44</c:v>
                </c:pt>
                <c:pt idx="74">
                  <c:v>83.46</c:v>
                </c:pt>
                <c:pt idx="75">
                  <c:v>82.86</c:v>
                </c:pt>
                <c:pt idx="76">
                  <c:v>79.540000000000006</c:v>
                </c:pt>
                <c:pt idx="77">
                  <c:v>78.53</c:v>
                </c:pt>
                <c:pt idx="78">
                  <c:v>83.15</c:v>
                </c:pt>
                <c:pt idx="79">
                  <c:v>82.23</c:v>
                </c:pt>
                <c:pt idx="80">
                  <c:v>75.36</c:v>
                </c:pt>
                <c:pt idx="81">
                  <c:v>83.22</c:v>
                </c:pt>
                <c:pt idx="82">
                  <c:v>77.040000000000006</c:v>
                </c:pt>
                <c:pt idx="83">
                  <c:v>85.41</c:v>
                </c:pt>
                <c:pt idx="84">
                  <c:v>81.45</c:v>
                </c:pt>
                <c:pt idx="85">
                  <c:v>80.36</c:v>
                </c:pt>
                <c:pt idx="86">
                  <c:v>77.75</c:v>
                </c:pt>
                <c:pt idx="87">
                  <c:v>81.78</c:v>
                </c:pt>
                <c:pt idx="88">
                  <c:v>83.57</c:v>
                </c:pt>
                <c:pt idx="89">
                  <c:v>85.94</c:v>
                </c:pt>
              </c:numCache>
            </c:numRef>
          </c:val>
          <c:smooth val="0"/>
          <c:extLst>
            <c:ext xmlns:c16="http://schemas.microsoft.com/office/drawing/2014/chart" uri="{C3380CC4-5D6E-409C-BE32-E72D297353CC}">
              <c16:uniqueId val="{00000003-58DA-4C1D-B778-BB5EA8529FA8}"/>
            </c:ext>
          </c:extLst>
        </c:ser>
        <c:ser>
          <c:idx val="5"/>
          <c:order val="4"/>
          <c:tx>
            <c:v>Fabrication d'autres produits industriels</c:v>
          </c:tx>
          <c:spPr>
            <a:ln w="15875" cap="rnd">
              <a:solidFill>
                <a:srgbClr val="0070C0"/>
              </a:solidFill>
              <a:round/>
            </a:ln>
            <a:effectLst/>
          </c:spPr>
          <c:marker>
            <c:symbol val="none"/>
          </c:marker>
          <c:cat>
            <c:multiLvlStrRef>
              <c:f>[IPI_202206.xls]Feuil1!$A$302:$B$391</c:f>
              <c:multiLvlStrCache>
                <c:ptCount val="90"/>
                <c:lvl>
                  <c:pt idx="0">
                    <c:v>Janv.</c:v>
                  </c:pt>
                  <c:pt idx="1">
                    <c:v>Fév.</c:v>
                  </c:pt>
                  <c:pt idx="2">
                    <c:v>Mars</c:v>
                  </c:pt>
                  <c:pt idx="3">
                    <c:v>Avr.</c:v>
                  </c:pt>
                  <c:pt idx="4">
                    <c:v>Mai</c:v>
                  </c:pt>
                  <c:pt idx="5">
                    <c:v>Juin</c:v>
                  </c:pt>
                  <c:pt idx="6">
                    <c:v>Juil.</c:v>
                  </c:pt>
                  <c:pt idx="7">
                    <c:v>Août</c:v>
                  </c:pt>
                  <c:pt idx="8">
                    <c:v>Sept.</c:v>
                  </c:pt>
                  <c:pt idx="9">
                    <c:v>Oct.</c:v>
                  </c:pt>
                  <c:pt idx="10">
                    <c:v>Nov.</c:v>
                  </c:pt>
                  <c:pt idx="11">
                    <c:v>Déc.</c:v>
                  </c:pt>
                  <c:pt idx="12">
                    <c:v>Janv.</c:v>
                  </c:pt>
                  <c:pt idx="13">
                    <c:v>Fév.</c:v>
                  </c:pt>
                  <c:pt idx="14">
                    <c:v>Mars</c:v>
                  </c:pt>
                  <c:pt idx="15">
                    <c:v>Avr.</c:v>
                  </c:pt>
                  <c:pt idx="16">
                    <c:v>Mai</c:v>
                  </c:pt>
                  <c:pt idx="17">
                    <c:v>Juin</c:v>
                  </c:pt>
                  <c:pt idx="18">
                    <c:v>Juil.</c:v>
                  </c:pt>
                  <c:pt idx="19">
                    <c:v>Août</c:v>
                  </c:pt>
                  <c:pt idx="20">
                    <c:v>Sept.</c:v>
                  </c:pt>
                  <c:pt idx="21">
                    <c:v>Oct.</c:v>
                  </c:pt>
                  <c:pt idx="22">
                    <c:v>Nov.</c:v>
                  </c:pt>
                  <c:pt idx="23">
                    <c:v>Déc.</c:v>
                  </c:pt>
                  <c:pt idx="24">
                    <c:v>Janv.</c:v>
                  </c:pt>
                  <c:pt idx="25">
                    <c:v>Fév.</c:v>
                  </c:pt>
                  <c:pt idx="26">
                    <c:v>Mars</c:v>
                  </c:pt>
                  <c:pt idx="27">
                    <c:v>Avr.</c:v>
                  </c:pt>
                  <c:pt idx="28">
                    <c:v>Mai</c:v>
                  </c:pt>
                  <c:pt idx="29">
                    <c:v>Juin</c:v>
                  </c:pt>
                  <c:pt idx="30">
                    <c:v>Juil.</c:v>
                  </c:pt>
                  <c:pt idx="31">
                    <c:v>Août</c:v>
                  </c:pt>
                  <c:pt idx="32">
                    <c:v>Sept.</c:v>
                  </c:pt>
                  <c:pt idx="33">
                    <c:v>Oct.</c:v>
                  </c:pt>
                  <c:pt idx="34">
                    <c:v>Nov.</c:v>
                  </c:pt>
                  <c:pt idx="35">
                    <c:v>Déc.</c:v>
                  </c:pt>
                  <c:pt idx="36">
                    <c:v>Janv.</c:v>
                  </c:pt>
                  <c:pt idx="37">
                    <c:v>Fév.</c:v>
                  </c:pt>
                  <c:pt idx="38">
                    <c:v>Mars</c:v>
                  </c:pt>
                  <c:pt idx="39">
                    <c:v>Avr.</c:v>
                  </c:pt>
                  <c:pt idx="40">
                    <c:v>Mai</c:v>
                  </c:pt>
                  <c:pt idx="41">
                    <c:v>Juin</c:v>
                  </c:pt>
                  <c:pt idx="42">
                    <c:v>Juil.</c:v>
                  </c:pt>
                  <c:pt idx="43">
                    <c:v>Août</c:v>
                  </c:pt>
                  <c:pt idx="44">
                    <c:v>Sept.</c:v>
                  </c:pt>
                  <c:pt idx="45">
                    <c:v>Oct.</c:v>
                  </c:pt>
                  <c:pt idx="46">
                    <c:v>Nov.</c:v>
                  </c:pt>
                  <c:pt idx="47">
                    <c:v>Déc.</c:v>
                  </c:pt>
                  <c:pt idx="48">
                    <c:v>Janv.</c:v>
                  </c:pt>
                  <c:pt idx="49">
                    <c:v>Fév.</c:v>
                  </c:pt>
                  <c:pt idx="50">
                    <c:v>Mars</c:v>
                  </c:pt>
                  <c:pt idx="51">
                    <c:v>Avr.</c:v>
                  </c:pt>
                  <c:pt idx="52">
                    <c:v>Mai</c:v>
                  </c:pt>
                  <c:pt idx="53">
                    <c:v>Juin</c:v>
                  </c:pt>
                  <c:pt idx="54">
                    <c:v>Juil.</c:v>
                  </c:pt>
                  <c:pt idx="55">
                    <c:v>Août</c:v>
                  </c:pt>
                  <c:pt idx="56">
                    <c:v>Sept.</c:v>
                  </c:pt>
                  <c:pt idx="57">
                    <c:v>Oct.</c:v>
                  </c:pt>
                  <c:pt idx="58">
                    <c:v>Nov.</c:v>
                  </c:pt>
                  <c:pt idx="59">
                    <c:v>Déc.</c:v>
                  </c:pt>
                  <c:pt idx="60">
                    <c:v>Janv.</c:v>
                  </c:pt>
                  <c:pt idx="61">
                    <c:v>Fév.</c:v>
                  </c:pt>
                  <c:pt idx="62">
                    <c:v>Mars</c:v>
                  </c:pt>
                  <c:pt idx="63">
                    <c:v>Avr.</c:v>
                  </c:pt>
                  <c:pt idx="64">
                    <c:v>Mai</c:v>
                  </c:pt>
                  <c:pt idx="65">
                    <c:v>Juin</c:v>
                  </c:pt>
                  <c:pt idx="66">
                    <c:v>Juil.</c:v>
                  </c:pt>
                  <c:pt idx="67">
                    <c:v>Août</c:v>
                  </c:pt>
                  <c:pt idx="68">
                    <c:v>Sept.</c:v>
                  </c:pt>
                  <c:pt idx="69">
                    <c:v>Oct.</c:v>
                  </c:pt>
                  <c:pt idx="70">
                    <c:v>Nov.</c:v>
                  </c:pt>
                  <c:pt idx="71">
                    <c:v>Déc.</c:v>
                  </c:pt>
                  <c:pt idx="72">
                    <c:v>Janv.</c:v>
                  </c:pt>
                  <c:pt idx="73">
                    <c:v>Fév.</c:v>
                  </c:pt>
                  <c:pt idx="74">
                    <c:v>Mars</c:v>
                  </c:pt>
                  <c:pt idx="75">
                    <c:v>Avr.</c:v>
                  </c:pt>
                  <c:pt idx="76">
                    <c:v>Mai</c:v>
                  </c:pt>
                  <c:pt idx="77">
                    <c:v>Juin</c:v>
                  </c:pt>
                  <c:pt idx="78">
                    <c:v>Juil.</c:v>
                  </c:pt>
                  <c:pt idx="79">
                    <c:v>Août</c:v>
                  </c:pt>
                  <c:pt idx="80">
                    <c:v>Sept.</c:v>
                  </c:pt>
                  <c:pt idx="81">
                    <c:v>Oct.</c:v>
                  </c:pt>
                  <c:pt idx="82">
                    <c:v>Nov.</c:v>
                  </c:pt>
                  <c:pt idx="83">
                    <c:v>Déc.</c:v>
                  </c:pt>
                  <c:pt idx="84">
                    <c:v>Janv.</c:v>
                  </c:pt>
                  <c:pt idx="85">
                    <c:v>Fév.</c:v>
                  </c:pt>
                  <c:pt idx="86">
                    <c:v>Mars</c:v>
                  </c:pt>
                  <c:pt idx="87">
                    <c:v>Avr.</c:v>
                  </c:pt>
                  <c:pt idx="88">
                    <c:v>Mai</c:v>
                  </c:pt>
                  <c:pt idx="89">
                    <c:v>Juin</c:v>
                  </c:pt>
                </c:lvl>
                <c:lvl>
                  <c:pt idx="0">
                    <c:v>2015</c:v>
                  </c:pt>
                  <c:pt idx="12">
                    <c:v>2016</c:v>
                  </c:pt>
                  <c:pt idx="24">
                    <c:v>2017</c:v>
                  </c:pt>
                  <c:pt idx="36">
                    <c:v>2018</c:v>
                  </c:pt>
                  <c:pt idx="48">
                    <c:v>2019</c:v>
                  </c:pt>
                  <c:pt idx="60">
                    <c:v>2020</c:v>
                  </c:pt>
                  <c:pt idx="72">
                    <c:v>2021</c:v>
                  </c:pt>
                  <c:pt idx="84">
                    <c:v>2022</c:v>
                  </c:pt>
                </c:lvl>
              </c:multiLvlStrCache>
            </c:multiLvlStrRef>
          </c:cat>
          <c:val>
            <c:numRef>
              <c:f>[IPI_202206.xls]Feuil1!$H$302:$H$391</c:f>
              <c:numCache>
                <c:formatCode>0.0</c:formatCode>
                <c:ptCount val="90"/>
                <c:pt idx="0">
                  <c:v>99.28</c:v>
                </c:pt>
                <c:pt idx="1">
                  <c:v>99.23</c:v>
                </c:pt>
                <c:pt idx="2">
                  <c:v>99.64</c:v>
                </c:pt>
                <c:pt idx="3">
                  <c:v>99.81</c:v>
                </c:pt>
                <c:pt idx="4">
                  <c:v>100.15</c:v>
                </c:pt>
                <c:pt idx="5">
                  <c:v>99.64</c:v>
                </c:pt>
                <c:pt idx="6">
                  <c:v>99.3</c:v>
                </c:pt>
                <c:pt idx="7">
                  <c:v>99.85</c:v>
                </c:pt>
                <c:pt idx="8">
                  <c:v>100.3</c:v>
                </c:pt>
                <c:pt idx="9">
                  <c:v>99.87</c:v>
                </c:pt>
                <c:pt idx="10">
                  <c:v>100.54</c:v>
                </c:pt>
                <c:pt idx="11">
                  <c:v>102.4</c:v>
                </c:pt>
                <c:pt idx="12">
                  <c:v>102.3</c:v>
                </c:pt>
                <c:pt idx="13">
                  <c:v>99.9</c:v>
                </c:pt>
                <c:pt idx="14">
                  <c:v>99.27</c:v>
                </c:pt>
                <c:pt idx="15">
                  <c:v>100.19</c:v>
                </c:pt>
                <c:pt idx="16">
                  <c:v>100.39</c:v>
                </c:pt>
                <c:pt idx="17">
                  <c:v>99.3</c:v>
                </c:pt>
                <c:pt idx="18">
                  <c:v>100.13</c:v>
                </c:pt>
                <c:pt idx="19">
                  <c:v>101.46</c:v>
                </c:pt>
                <c:pt idx="20">
                  <c:v>100.3</c:v>
                </c:pt>
                <c:pt idx="21">
                  <c:v>98.59</c:v>
                </c:pt>
                <c:pt idx="22">
                  <c:v>102.57</c:v>
                </c:pt>
                <c:pt idx="23">
                  <c:v>100.53</c:v>
                </c:pt>
                <c:pt idx="24">
                  <c:v>100.52</c:v>
                </c:pt>
                <c:pt idx="25">
                  <c:v>101.1</c:v>
                </c:pt>
                <c:pt idx="26">
                  <c:v>102.65</c:v>
                </c:pt>
                <c:pt idx="27">
                  <c:v>102.04</c:v>
                </c:pt>
                <c:pt idx="28">
                  <c:v>103.6</c:v>
                </c:pt>
                <c:pt idx="29">
                  <c:v>103.28</c:v>
                </c:pt>
                <c:pt idx="30">
                  <c:v>103.28</c:v>
                </c:pt>
                <c:pt idx="31">
                  <c:v>102.77</c:v>
                </c:pt>
                <c:pt idx="32">
                  <c:v>104.21</c:v>
                </c:pt>
                <c:pt idx="33">
                  <c:v>105.82</c:v>
                </c:pt>
                <c:pt idx="34">
                  <c:v>105.85</c:v>
                </c:pt>
                <c:pt idx="35">
                  <c:v>107.09</c:v>
                </c:pt>
                <c:pt idx="36">
                  <c:v>102.83</c:v>
                </c:pt>
                <c:pt idx="37">
                  <c:v>102.72</c:v>
                </c:pt>
                <c:pt idx="38">
                  <c:v>104.84</c:v>
                </c:pt>
                <c:pt idx="39">
                  <c:v>104.97</c:v>
                </c:pt>
                <c:pt idx="40">
                  <c:v>103.23</c:v>
                </c:pt>
                <c:pt idx="41">
                  <c:v>105.13</c:v>
                </c:pt>
                <c:pt idx="42">
                  <c:v>103.85</c:v>
                </c:pt>
                <c:pt idx="43">
                  <c:v>105.03</c:v>
                </c:pt>
                <c:pt idx="44">
                  <c:v>104.34</c:v>
                </c:pt>
                <c:pt idx="45">
                  <c:v>105.39</c:v>
                </c:pt>
                <c:pt idx="46">
                  <c:v>104.68</c:v>
                </c:pt>
                <c:pt idx="47">
                  <c:v>105.4</c:v>
                </c:pt>
                <c:pt idx="48">
                  <c:v>105.2</c:v>
                </c:pt>
                <c:pt idx="49">
                  <c:v>106.07</c:v>
                </c:pt>
                <c:pt idx="50">
                  <c:v>105.24</c:v>
                </c:pt>
                <c:pt idx="51">
                  <c:v>105.27</c:v>
                </c:pt>
                <c:pt idx="52">
                  <c:v>107.06</c:v>
                </c:pt>
                <c:pt idx="53">
                  <c:v>104.66</c:v>
                </c:pt>
                <c:pt idx="54">
                  <c:v>105.47</c:v>
                </c:pt>
                <c:pt idx="55">
                  <c:v>104.47</c:v>
                </c:pt>
                <c:pt idx="56">
                  <c:v>105.61</c:v>
                </c:pt>
                <c:pt idx="57">
                  <c:v>106.93</c:v>
                </c:pt>
                <c:pt idx="58">
                  <c:v>105.14</c:v>
                </c:pt>
                <c:pt idx="59">
                  <c:v>104.03</c:v>
                </c:pt>
                <c:pt idx="60">
                  <c:v>104.25</c:v>
                </c:pt>
                <c:pt idx="61">
                  <c:v>105.87</c:v>
                </c:pt>
                <c:pt idx="62">
                  <c:v>85.1</c:v>
                </c:pt>
                <c:pt idx="63">
                  <c:v>66.14</c:v>
                </c:pt>
                <c:pt idx="64">
                  <c:v>82.63</c:v>
                </c:pt>
                <c:pt idx="65">
                  <c:v>93.49</c:v>
                </c:pt>
                <c:pt idx="66">
                  <c:v>97.75</c:v>
                </c:pt>
                <c:pt idx="67">
                  <c:v>99.45</c:v>
                </c:pt>
                <c:pt idx="68">
                  <c:v>100.74</c:v>
                </c:pt>
                <c:pt idx="69">
                  <c:v>102.28</c:v>
                </c:pt>
                <c:pt idx="70">
                  <c:v>103.22</c:v>
                </c:pt>
                <c:pt idx="71">
                  <c:v>102.02</c:v>
                </c:pt>
                <c:pt idx="72">
                  <c:v>105.47</c:v>
                </c:pt>
                <c:pt idx="73">
                  <c:v>100.92</c:v>
                </c:pt>
                <c:pt idx="74">
                  <c:v>101.79</c:v>
                </c:pt>
                <c:pt idx="75">
                  <c:v>102.26</c:v>
                </c:pt>
                <c:pt idx="76">
                  <c:v>101.66</c:v>
                </c:pt>
                <c:pt idx="77">
                  <c:v>102.05</c:v>
                </c:pt>
                <c:pt idx="78">
                  <c:v>101.59</c:v>
                </c:pt>
                <c:pt idx="79">
                  <c:v>103.36</c:v>
                </c:pt>
                <c:pt idx="80">
                  <c:v>102.35</c:v>
                </c:pt>
                <c:pt idx="81">
                  <c:v>102.32</c:v>
                </c:pt>
                <c:pt idx="82">
                  <c:v>102.23</c:v>
                </c:pt>
                <c:pt idx="83">
                  <c:v>101.1</c:v>
                </c:pt>
                <c:pt idx="84">
                  <c:v>105.21</c:v>
                </c:pt>
                <c:pt idx="85">
                  <c:v>103.55</c:v>
                </c:pt>
                <c:pt idx="86">
                  <c:v>103.95</c:v>
                </c:pt>
                <c:pt idx="87">
                  <c:v>102.6</c:v>
                </c:pt>
                <c:pt idx="88">
                  <c:v>104.14</c:v>
                </c:pt>
                <c:pt idx="89">
                  <c:v>104.13</c:v>
                </c:pt>
              </c:numCache>
            </c:numRef>
          </c:val>
          <c:smooth val="0"/>
          <c:extLst>
            <c:ext xmlns:c16="http://schemas.microsoft.com/office/drawing/2014/chart" uri="{C3380CC4-5D6E-409C-BE32-E72D297353CC}">
              <c16:uniqueId val="{00000004-58DA-4C1D-B778-BB5EA8529FA8}"/>
            </c:ext>
          </c:extLst>
        </c:ser>
        <c:dLbls>
          <c:showLegendKey val="0"/>
          <c:showVal val="0"/>
          <c:showCatName val="0"/>
          <c:showSerName val="0"/>
          <c:showPercent val="0"/>
          <c:showBubbleSize val="0"/>
        </c:dLbls>
        <c:smooth val="0"/>
        <c:axId val="1955831119"/>
        <c:axId val="1955835695"/>
      </c:lineChart>
      <c:catAx>
        <c:axId val="19558311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835695"/>
        <c:crosses val="autoZero"/>
        <c:auto val="1"/>
        <c:lblAlgn val="ctr"/>
        <c:lblOffset val="100"/>
        <c:noMultiLvlLbl val="0"/>
      </c:catAx>
      <c:valAx>
        <c:axId val="195583569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5831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9900"/>
            </a:solidFill>
            <a:ln>
              <a:noFill/>
            </a:ln>
            <a:effectLst/>
          </c:spPr>
          <c:invertIfNegative val="0"/>
          <c:cat>
            <c:numRef>
              <c:f>'[Donnees-recensement agricole.xlsx]Nombres exploitations'!$B$5:$G$5</c:f>
              <c:numCache>
                <c:formatCode>General</c:formatCode>
                <c:ptCount val="6"/>
                <c:pt idx="0">
                  <c:v>1970</c:v>
                </c:pt>
                <c:pt idx="1">
                  <c:v>1979</c:v>
                </c:pt>
                <c:pt idx="2">
                  <c:v>1988</c:v>
                </c:pt>
                <c:pt idx="3">
                  <c:v>2000</c:v>
                </c:pt>
                <c:pt idx="4">
                  <c:v>2010</c:v>
                </c:pt>
                <c:pt idx="5">
                  <c:v>2020</c:v>
                </c:pt>
              </c:numCache>
            </c:numRef>
          </c:cat>
          <c:val>
            <c:numRef>
              <c:f>'[Donnees-recensement agricole.xlsx]Nombres exploitations'!$B$7:$G$7</c:f>
              <c:numCache>
                <c:formatCode>General</c:formatCode>
                <c:ptCount val="6"/>
                <c:pt idx="0">
                  <c:v>1587.6</c:v>
                </c:pt>
                <c:pt idx="1">
                  <c:v>1262.7</c:v>
                </c:pt>
                <c:pt idx="2">
                  <c:v>1016.8</c:v>
                </c:pt>
                <c:pt idx="3">
                  <c:v>663.8</c:v>
                </c:pt>
                <c:pt idx="4">
                  <c:v>490</c:v>
                </c:pt>
                <c:pt idx="5">
                  <c:v>390</c:v>
                </c:pt>
              </c:numCache>
            </c:numRef>
          </c:val>
          <c:extLst>
            <c:ext xmlns:c16="http://schemas.microsoft.com/office/drawing/2014/chart" uri="{C3380CC4-5D6E-409C-BE32-E72D297353CC}">
              <c16:uniqueId val="{00000000-AB75-4487-9C86-687D616681C7}"/>
            </c:ext>
          </c:extLst>
        </c:ser>
        <c:dLbls>
          <c:showLegendKey val="0"/>
          <c:showVal val="0"/>
          <c:showCatName val="0"/>
          <c:showSerName val="0"/>
          <c:showPercent val="0"/>
          <c:showBubbleSize val="0"/>
        </c:dLbls>
        <c:gapWidth val="219"/>
        <c:overlap val="-27"/>
        <c:axId val="189202063"/>
        <c:axId val="189204559"/>
      </c:barChart>
      <c:catAx>
        <c:axId val="189202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04559"/>
        <c:crosses val="autoZero"/>
        <c:auto val="1"/>
        <c:lblAlgn val="ctr"/>
        <c:lblOffset val="100"/>
        <c:noMultiLvlLbl val="0"/>
      </c:catAx>
      <c:valAx>
        <c:axId val="1892045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nombre d'exploitaitons (en</a:t>
                </a:r>
                <a:r>
                  <a:rPr lang="fr-FR" baseline="0"/>
                  <a:t> milliers)</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020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2.7777777777777776E-2"/>
          <c:w val="0.84396062992125986"/>
          <c:h val="0.8416746864975212"/>
        </c:manualLayout>
      </c:layout>
      <c:lineChart>
        <c:grouping val="standard"/>
        <c:varyColors val="0"/>
        <c:ser>
          <c:idx val="0"/>
          <c:order val="0"/>
          <c:spPr>
            <a:ln w="28575" cap="rnd">
              <a:solidFill>
                <a:srgbClr val="0070C0"/>
              </a:solidFill>
              <a:round/>
            </a:ln>
            <a:effectLst/>
          </c:spPr>
          <c:marker>
            <c:symbol val="circle"/>
            <c:size val="5"/>
            <c:spPr>
              <a:solidFill>
                <a:srgbClr val="0070C0"/>
              </a:solidFill>
              <a:ln w="9525">
                <a:solidFill>
                  <a:srgbClr val="0070C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70C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'[Donnees-recensement agricole.xlsx]Surface moyenne'!$B$5:$G$5</c:f>
              <c:numCache>
                <c:formatCode>General</c:formatCode>
                <c:ptCount val="6"/>
                <c:pt idx="0">
                  <c:v>1970</c:v>
                </c:pt>
                <c:pt idx="1">
                  <c:v>1979</c:v>
                </c:pt>
                <c:pt idx="2">
                  <c:v>1988</c:v>
                </c:pt>
                <c:pt idx="3">
                  <c:v>2000</c:v>
                </c:pt>
                <c:pt idx="4">
                  <c:v>2010</c:v>
                </c:pt>
                <c:pt idx="5">
                  <c:v>2020</c:v>
                </c:pt>
              </c:numCache>
            </c:numRef>
          </c:cat>
          <c:val>
            <c:numRef>
              <c:f>'[Donnees-recensement agricole.xlsx]Surface moyenne'!$B$6:$G$6</c:f>
              <c:numCache>
                <c:formatCode>General</c:formatCode>
                <c:ptCount val="6"/>
                <c:pt idx="0">
                  <c:v>19</c:v>
                </c:pt>
                <c:pt idx="1">
                  <c:v>23</c:v>
                </c:pt>
                <c:pt idx="2">
                  <c:v>28</c:v>
                </c:pt>
                <c:pt idx="3">
                  <c:v>42</c:v>
                </c:pt>
                <c:pt idx="4">
                  <c:v>55</c:v>
                </c:pt>
                <c:pt idx="5">
                  <c:v>69</c:v>
                </c:pt>
              </c:numCache>
            </c:numRef>
          </c:val>
          <c:smooth val="0"/>
          <c:extLst>
            <c:ext xmlns:c16="http://schemas.microsoft.com/office/drawing/2014/chart" uri="{C3380CC4-5D6E-409C-BE32-E72D297353CC}">
              <c16:uniqueId val="{00000000-C414-429F-BE17-566E3705321F}"/>
            </c:ext>
          </c:extLst>
        </c:ser>
        <c:dLbls>
          <c:showLegendKey val="0"/>
          <c:showVal val="0"/>
          <c:showCatName val="0"/>
          <c:showSerName val="0"/>
          <c:showPercent val="0"/>
          <c:showBubbleSize val="0"/>
        </c:dLbls>
        <c:marker val="1"/>
        <c:smooth val="0"/>
        <c:axId val="189212463"/>
        <c:axId val="189213295"/>
      </c:lineChart>
      <c:catAx>
        <c:axId val="18921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13295"/>
        <c:crosses val="autoZero"/>
        <c:auto val="1"/>
        <c:lblAlgn val="ctr"/>
        <c:lblOffset val="100"/>
        <c:noMultiLvlLbl val="0"/>
      </c:catAx>
      <c:valAx>
        <c:axId val="18921329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en Mha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124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24759405074366"/>
          <c:y val="5.0925925925925923E-2"/>
          <c:w val="0.76793110236220474"/>
          <c:h val="0.8416746864975212"/>
        </c:manualLayout>
      </c:layout>
      <c:barChart>
        <c:barDir val="col"/>
        <c:grouping val="clustered"/>
        <c:varyColors val="0"/>
        <c:ser>
          <c:idx val="1"/>
          <c:order val="1"/>
          <c:tx>
            <c:v>2020</c:v>
          </c:tx>
          <c:spPr>
            <a:solidFill>
              <a:srgbClr val="009900"/>
            </a:solidFill>
            <a:ln>
              <a:noFill/>
            </a:ln>
            <a:effectLst/>
          </c:spPr>
          <c:invertIfNegative val="0"/>
          <c:cat>
            <c:strRef>
              <c:f>'[Donnees-recensement agricole.xlsx]Nombres exploitations'!$D$21:$D$25</c:f>
              <c:strCache>
                <c:ptCount val="5"/>
                <c:pt idx="0">
                  <c:v>&lt; 20 ha</c:v>
                </c:pt>
                <c:pt idx="1">
                  <c:v>20 - 50 ha</c:v>
                </c:pt>
                <c:pt idx="2">
                  <c:v>50 - 100 ha</c:v>
                </c:pt>
                <c:pt idx="3">
                  <c:v>100 - 200 ha</c:v>
                </c:pt>
                <c:pt idx="4">
                  <c:v>&gt;= 200 ha</c:v>
                </c:pt>
              </c:strCache>
            </c:strRef>
          </c:cat>
          <c:val>
            <c:numRef>
              <c:f>'[Donnees-recensement agricole.xlsx]Nombres exploitations'!$C$21:$C$25</c:f>
              <c:numCache>
                <c:formatCode>General</c:formatCode>
                <c:ptCount val="5"/>
                <c:pt idx="0">
                  <c:v>147063</c:v>
                </c:pt>
                <c:pt idx="1">
                  <c:v>64369</c:v>
                </c:pt>
                <c:pt idx="2">
                  <c:v>77592</c:v>
                </c:pt>
                <c:pt idx="3">
                  <c:v>73554</c:v>
                </c:pt>
                <c:pt idx="4">
                  <c:v>27201</c:v>
                </c:pt>
              </c:numCache>
            </c:numRef>
          </c:val>
          <c:extLst>
            <c:ext xmlns:c16="http://schemas.microsoft.com/office/drawing/2014/chart" uri="{C3380CC4-5D6E-409C-BE32-E72D297353CC}">
              <c16:uniqueId val="{00000000-940A-4B2A-B3BE-23460D739272}"/>
            </c:ext>
          </c:extLst>
        </c:ser>
        <c:dLbls>
          <c:showLegendKey val="0"/>
          <c:showVal val="0"/>
          <c:showCatName val="0"/>
          <c:showSerName val="0"/>
          <c:showPercent val="0"/>
          <c:showBubbleSize val="0"/>
        </c:dLbls>
        <c:gapWidth val="219"/>
        <c:overlap val="-27"/>
        <c:axId val="283571248"/>
        <c:axId val="283574576"/>
      </c:barChart>
      <c:barChart>
        <c:barDir val="col"/>
        <c:grouping val="clustered"/>
        <c:varyColors val="0"/>
        <c:ser>
          <c:idx val="0"/>
          <c:order val="0"/>
          <c:tx>
            <c:v>2010</c:v>
          </c:tx>
          <c:spPr>
            <a:solidFill>
              <a:srgbClr val="009900">
                <a:alpha val="49804"/>
              </a:srgbClr>
            </a:solidFill>
            <a:ln>
              <a:noFill/>
            </a:ln>
            <a:effectLst/>
          </c:spPr>
          <c:invertIfNegative val="0"/>
          <c:cat>
            <c:strRef>
              <c:f>'[Donnees-recensement agricole.xlsx]Nombres exploitations'!$D$21:$D$25</c:f>
              <c:strCache>
                <c:ptCount val="5"/>
                <c:pt idx="0">
                  <c:v>&lt; 20 ha</c:v>
                </c:pt>
                <c:pt idx="1">
                  <c:v>20 - 50 ha</c:v>
                </c:pt>
                <c:pt idx="2">
                  <c:v>50 - 100 ha</c:v>
                </c:pt>
                <c:pt idx="3">
                  <c:v>100 - 200 ha</c:v>
                </c:pt>
                <c:pt idx="4">
                  <c:v>&gt;= 200 ha</c:v>
                </c:pt>
              </c:strCache>
            </c:strRef>
          </c:cat>
          <c:val>
            <c:numRef>
              <c:f>'[Donnees-recensement agricole.xlsx]Nombres exploitations'!$B$21:$B$25</c:f>
              <c:numCache>
                <c:formatCode>General</c:formatCode>
                <c:ptCount val="5"/>
                <c:pt idx="0">
                  <c:v>211406</c:v>
                </c:pt>
                <c:pt idx="1">
                  <c:v>87915</c:v>
                </c:pt>
                <c:pt idx="2">
                  <c:v>97437</c:v>
                </c:pt>
                <c:pt idx="3">
                  <c:v>72620</c:v>
                </c:pt>
                <c:pt idx="4">
                  <c:v>20590</c:v>
                </c:pt>
              </c:numCache>
            </c:numRef>
          </c:val>
          <c:extLst>
            <c:ext xmlns:c16="http://schemas.microsoft.com/office/drawing/2014/chart" uri="{C3380CC4-5D6E-409C-BE32-E72D297353CC}">
              <c16:uniqueId val="{00000001-940A-4B2A-B3BE-23460D739272}"/>
            </c:ext>
          </c:extLst>
        </c:ser>
        <c:dLbls>
          <c:showLegendKey val="0"/>
          <c:showVal val="0"/>
          <c:showCatName val="0"/>
          <c:showSerName val="0"/>
          <c:showPercent val="0"/>
          <c:showBubbleSize val="0"/>
        </c:dLbls>
        <c:gapWidth val="150"/>
        <c:overlap val="-27"/>
        <c:axId val="283547952"/>
        <c:axId val="283547120"/>
      </c:barChart>
      <c:valAx>
        <c:axId val="283574576"/>
        <c:scaling>
          <c:orientation val="minMax"/>
          <c:max val="25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noFill/>
                <a:latin typeface="+mn-lt"/>
                <a:ea typeface="+mn-ea"/>
                <a:cs typeface="+mn-cs"/>
              </a:defRPr>
            </a:pPr>
            <a:endParaRPr lang="en-US"/>
          </a:p>
        </c:txPr>
        <c:crossAx val="283571248"/>
        <c:crosses val="max"/>
        <c:crossBetween val="between"/>
      </c:valAx>
      <c:catAx>
        <c:axId val="2835712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574576"/>
        <c:crosses val="autoZero"/>
        <c:auto val="1"/>
        <c:lblAlgn val="ctr"/>
        <c:lblOffset val="100"/>
        <c:noMultiLvlLbl val="0"/>
      </c:catAx>
      <c:valAx>
        <c:axId val="28354712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3547952"/>
        <c:crosses val="autoZero"/>
        <c:crossBetween val="between"/>
      </c:valAx>
      <c:catAx>
        <c:axId val="283547952"/>
        <c:scaling>
          <c:orientation val="minMax"/>
        </c:scaling>
        <c:delete val="1"/>
        <c:axPos val="b"/>
        <c:numFmt formatCode="General" sourceLinked="1"/>
        <c:majorTickMark val="out"/>
        <c:minorTickMark val="none"/>
        <c:tickLblPos val="nextTo"/>
        <c:crossAx val="283547120"/>
        <c:crosses val="autoZero"/>
        <c:auto val="1"/>
        <c:lblAlgn val="ctr"/>
        <c:lblOffset val="100"/>
        <c:noMultiLvlLbl val="0"/>
      </c:catAx>
      <c:spPr>
        <a:noFill/>
        <a:ln>
          <a:noFill/>
        </a:ln>
        <a:effectLst/>
      </c:spPr>
    </c:plotArea>
    <c:legend>
      <c:legendPos val="r"/>
      <c:layout>
        <c:manualLayout>
          <c:xMode val="edge"/>
          <c:yMode val="edge"/>
          <c:x val="0.46909295713035881"/>
          <c:y val="0.17187445319335085"/>
          <c:w val="9.4795931758530169E-2"/>
          <c:h val="0.15625109361329836"/>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a:t>Evolution de la taille des</a:t>
            </a:r>
            <a:r>
              <a:rPr lang="fr-FR" sz="1200" baseline="0"/>
              <a:t> ménages en France</a:t>
            </a:r>
            <a:endParaRPr lang="fr-FR"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'[demo-couple-taille-menage-nombre.xlsx]Données'!$B$3:$I$3</c:f>
              <c:numCache>
                <c:formatCode>General</c:formatCode>
                <c:ptCount val="8"/>
                <c:pt idx="0">
                  <c:v>1968</c:v>
                </c:pt>
                <c:pt idx="1">
                  <c:v>1975</c:v>
                </c:pt>
                <c:pt idx="2">
                  <c:v>1982</c:v>
                </c:pt>
                <c:pt idx="3">
                  <c:v>1990</c:v>
                </c:pt>
                <c:pt idx="4">
                  <c:v>1999</c:v>
                </c:pt>
                <c:pt idx="5">
                  <c:v>2008</c:v>
                </c:pt>
                <c:pt idx="6">
                  <c:v>2013</c:v>
                </c:pt>
                <c:pt idx="7">
                  <c:v>2019</c:v>
                </c:pt>
              </c:numCache>
            </c:numRef>
          </c:cat>
          <c:val>
            <c:numRef>
              <c:f>'[demo-couple-taille-menage-nombre.xlsx]Données'!$B$4:$I$4</c:f>
              <c:numCache>
                <c:formatCode>#,##0.00</c:formatCode>
                <c:ptCount val="8"/>
                <c:pt idx="0">
                  <c:v>3.08</c:v>
                </c:pt>
                <c:pt idx="1">
                  <c:v>2.9</c:v>
                </c:pt>
                <c:pt idx="2">
                  <c:v>2.72</c:v>
                </c:pt>
                <c:pt idx="3">
                  <c:v>2.59</c:v>
                </c:pt>
                <c:pt idx="4">
                  <c:v>2.42</c:v>
                </c:pt>
                <c:pt idx="5">
                  <c:v>2.29</c:v>
                </c:pt>
                <c:pt idx="6">
                  <c:v>2.25</c:v>
                </c:pt>
                <c:pt idx="7">
                  <c:v>2.19</c:v>
                </c:pt>
              </c:numCache>
            </c:numRef>
          </c:val>
          <c:extLst>
            <c:ext xmlns:c16="http://schemas.microsoft.com/office/drawing/2014/chart" uri="{C3380CC4-5D6E-409C-BE32-E72D297353CC}">
              <c16:uniqueId val="{00000000-79DD-4CFC-B34E-D7E57FF36843}"/>
            </c:ext>
          </c:extLst>
        </c:ser>
        <c:dLbls>
          <c:showLegendKey val="0"/>
          <c:showVal val="0"/>
          <c:showCatName val="0"/>
          <c:showSerName val="0"/>
          <c:showPercent val="0"/>
          <c:showBubbleSize val="0"/>
        </c:dLbls>
        <c:gapWidth val="219"/>
        <c:overlap val="-27"/>
        <c:axId val="655928400"/>
        <c:axId val="655927568"/>
      </c:barChart>
      <c:catAx>
        <c:axId val="65592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927568"/>
        <c:crosses val="autoZero"/>
        <c:auto val="1"/>
        <c:lblAlgn val="ctr"/>
        <c:lblOffset val="100"/>
        <c:noMultiLvlLbl val="0"/>
      </c:catAx>
      <c:valAx>
        <c:axId val="655927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928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805555555555557"/>
          <c:y val="0"/>
          <c:w val="0.69166666666666665"/>
          <c:h val="1"/>
        </c:manualLayout>
      </c:layout>
      <c:doughnutChart>
        <c:varyColors val="1"/>
        <c:ser>
          <c:idx val="0"/>
          <c:order val="0"/>
          <c:dPt>
            <c:idx val="0"/>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1-23AD-45C8-BCB5-E0B330C3D59C}"/>
              </c:ext>
            </c:extLst>
          </c:dPt>
          <c:dPt>
            <c:idx val="1"/>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3-23AD-45C8-BCB5-E0B330C3D59C}"/>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23AD-45C8-BCB5-E0B330C3D59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'[Donnees-recensement agricole.xlsx]Feuil1'!$A$3:$A$5</c:f>
              <c:strCache>
                <c:ptCount val="3"/>
                <c:pt idx="0">
                  <c:v>élevage de bovins</c:v>
                </c:pt>
                <c:pt idx="1">
                  <c:v>Autres</c:v>
                </c:pt>
                <c:pt idx="2">
                  <c:v>Grandes cultures</c:v>
                </c:pt>
              </c:strCache>
            </c:strRef>
          </c:cat>
          <c:val>
            <c:numRef>
              <c:f>'[Donnees-recensement agricole.xlsx]Feuil1'!$B$3:$B$5</c:f>
              <c:numCache>
                <c:formatCode>General</c:formatCode>
                <c:ptCount val="3"/>
                <c:pt idx="0">
                  <c:v>8837471.3000000007</c:v>
                </c:pt>
                <c:pt idx="1">
                  <c:v>8286246.29</c:v>
                </c:pt>
                <c:pt idx="2">
                  <c:v>9757093.6099999994</c:v>
                </c:pt>
              </c:numCache>
            </c:numRef>
          </c:val>
          <c:extLst>
            <c:ext xmlns:c16="http://schemas.microsoft.com/office/drawing/2014/chart" uri="{C3380CC4-5D6E-409C-BE32-E72D297353CC}">
              <c16:uniqueId val="{00000006-23AD-45C8-BCB5-E0B330C3D59C}"/>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'[Donnees-recensement agricole.xlsx]Emplois'!$B$5:$B$10</c:f>
              <c:numCache>
                <c:formatCode>General</c:formatCode>
                <c:ptCount val="6"/>
                <c:pt idx="0">
                  <c:v>1970</c:v>
                </c:pt>
                <c:pt idx="1">
                  <c:v>1979</c:v>
                </c:pt>
                <c:pt idx="2">
                  <c:v>1988</c:v>
                </c:pt>
                <c:pt idx="3">
                  <c:v>2000</c:v>
                </c:pt>
                <c:pt idx="4">
                  <c:v>2010</c:v>
                </c:pt>
                <c:pt idx="5">
                  <c:v>2020</c:v>
                </c:pt>
              </c:numCache>
            </c:numRef>
          </c:cat>
          <c:val>
            <c:numRef>
              <c:f>'[Donnees-recensement agricole.xlsx]Emplois'!$C$5:$C$10</c:f>
              <c:numCache>
                <c:formatCode>#,##0</c:formatCode>
                <c:ptCount val="6"/>
                <c:pt idx="0">
                  <c:v>2368689</c:v>
                </c:pt>
                <c:pt idx="1">
                  <c:v>1864468</c:v>
                </c:pt>
                <c:pt idx="2">
                  <c:v>1439209</c:v>
                </c:pt>
                <c:pt idx="3">
                  <c:v>949390</c:v>
                </c:pt>
                <c:pt idx="4">
                  <c:v>739697</c:v>
                </c:pt>
                <c:pt idx="5">
                  <c:v>659459</c:v>
                </c:pt>
              </c:numCache>
            </c:numRef>
          </c:val>
          <c:extLst>
            <c:ext xmlns:c16="http://schemas.microsoft.com/office/drawing/2014/chart" uri="{C3380CC4-5D6E-409C-BE32-E72D297353CC}">
              <c16:uniqueId val="{00000000-4078-4C24-A7F2-F88180F7BCF8}"/>
            </c:ext>
          </c:extLst>
        </c:ser>
        <c:dLbls>
          <c:showLegendKey val="0"/>
          <c:showVal val="0"/>
          <c:showCatName val="0"/>
          <c:showSerName val="0"/>
          <c:showPercent val="0"/>
          <c:showBubbleSize val="0"/>
        </c:dLbls>
        <c:gapWidth val="219"/>
        <c:overlap val="-27"/>
        <c:axId val="555015231"/>
        <c:axId val="555018143"/>
      </c:barChart>
      <c:catAx>
        <c:axId val="555015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5018143"/>
        <c:crosses val="autoZero"/>
        <c:auto val="1"/>
        <c:lblAlgn val="ctr"/>
        <c:lblOffset val="100"/>
        <c:noMultiLvlLbl val="0"/>
      </c:catAx>
      <c:valAx>
        <c:axId val="555018143"/>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55015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'[Donnees-foret.xlsx]Nombres exploitations'!$B$7:$B$12</c:f>
              <c:numCache>
                <c:formatCode>General</c:formatCode>
                <c:ptCount val="5"/>
                <c:pt idx="0">
                  <c:v>1840</c:v>
                </c:pt>
                <c:pt idx="1">
                  <c:v>1985</c:v>
                </c:pt>
                <c:pt idx="2">
                  <c:v>2010</c:v>
                </c:pt>
                <c:pt idx="3">
                  <c:v>2020</c:v>
                </c:pt>
                <c:pt idx="4">
                  <c:v>2021</c:v>
                </c:pt>
              </c:numCache>
              <c:extLst/>
            </c:numRef>
          </c:cat>
          <c:val>
            <c:numRef>
              <c:f>'[Donnees-foret.xlsx]Nombres exploitations'!$C$7:$C$12</c:f>
              <c:numCache>
                <c:formatCode>General</c:formatCode>
                <c:ptCount val="5"/>
                <c:pt idx="0">
                  <c:v>8.9</c:v>
                </c:pt>
                <c:pt idx="1">
                  <c:v>14.1</c:v>
                </c:pt>
                <c:pt idx="2">
                  <c:v>16.2</c:v>
                </c:pt>
                <c:pt idx="3">
                  <c:v>17</c:v>
                </c:pt>
                <c:pt idx="4">
                  <c:v>17.100000000000001</c:v>
                </c:pt>
              </c:numCache>
              <c:extLst/>
            </c:numRef>
          </c:val>
          <c:smooth val="0"/>
          <c:extLst>
            <c:ext xmlns:c16="http://schemas.microsoft.com/office/drawing/2014/chart" uri="{C3380CC4-5D6E-409C-BE32-E72D297353CC}">
              <c16:uniqueId val="{00000000-B878-4353-AFBF-601563D094F2}"/>
            </c:ext>
          </c:extLst>
        </c:ser>
        <c:dLbls>
          <c:showLegendKey val="0"/>
          <c:showVal val="0"/>
          <c:showCatName val="0"/>
          <c:showSerName val="0"/>
          <c:showPercent val="0"/>
          <c:showBubbleSize val="0"/>
        </c:dLbls>
        <c:marker val="1"/>
        <c:smooth val="0"/>
        <c:axId val="550925504"/>
        <c:axId val="550928416"/>
      </c:lineChart>
      <c:catAx>
        <c:axId val="550925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928416"/>
        <c:crosses val="autoZero"/>
        <c:auto val="1"/>
        <c:lblAlgn val="ctr"/>
        <c:lblOffset val="100"/>
        <c:noMultiLvlLbl val="0"/>
      </c:catAx>
      <c:valAx>
        <c:axId val="55092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en millions dhectares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925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solidFill>
              <a:round/>
            </a:ln>
            <a:effectLst/>
          </c:spPr>
          <c:marker>
            <c:symbol val="none"/>
          </c:marker>
          <c:cat>
            <c:strRef>
              <c:f>'Table10s1 2020 KP'!$C$5:$AG$5</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'Table10s1 2020 KP'!$B$66:$AG$66</c:f>
              <c:numCache>
                <c:formatCode>#,##0.00</c:formatCode>
                <c:ptCount val="32"/>
                <c:pt idx="0">
                  <c:v>544086.40504911111</c:v>
                </c:pt>
                <c:pt idx="1">
                  <c:v>544086.40504911111</c:v>
                </c:pt>
                <c:pt idx="2">
                  <c:v>570962.02802198369</c:v>
                </c:pt>
                <c:pt idx="3">
                  <c:v>558761.48139002267</c:v>
                </c:pt>
                <c:pt idx="4">
                  <c:v>538607.00659237534</c:v>
                </c:pt>
                <c:pt idx="5">
                  <c:v>531225.91024468816</c:v>
                </c:pt>
                <c:pt idx="6">
                  <c:v>536475.5337036486</c:v>
                </c:pt>
                <c:pt idx="7">
                  <c:v>553485.94359310728</c:v>
                </c:pt>
                <c:pt idx="8">
                  <c:v>545922.67050468712</c:v>
                </c:pt>
                <c:pt idx="9">
                  <c:v>560386.15043782734</c:v>
                </c:pt>
                <c:pt idx="10">
                  <c:v>554867.11994159315</c:v>
                </c:pt>
                <c:pt idx="11">
                  <c:v>549005.16597447393</c:v>
                </c:pt>
                <c:pt idx="12">
                  <c:v>554193.13177749154</c:v>
                </c:pt>
                <c:pt idx="13">
                  <c:v>548609.74198328948</c:v>
                </c:pt>
                <c:pt idx="14">
                  <c:v>551646.16316215997</c:v>
                </c:pt>
                <c:pt idx="15">
                  <c:v>550620.67427753832</c:v>
                </c:pt>
                <c:pt idx="16">
                  <c:v>551391.12523150397</c:v>
                </c:pt>
                <c:pt idx="17">
                  <c:v>540907.81148848508</c:v>
                </c:pt>
                <c:pt idx="18">
                  <c:v>531573.97496341891</c:v>
                </c:pt>
                <c:pt idx="19">
                  <c:v>526060.65166725894</c:v>
                </c:pt>
                <c:pt idx="20">
                  <c:v>503435.02484599233</c:v>
                </c:pt>
                <c:pt idx="21">
                  <c:v>507468.01065307524</c:v>
                </c:pt>
                <c:pt idx="22">
                  <c:v>483263.82111423649</c:v>
                </c:pt>
                <c:pt idx="23">
                  <c:v>484765.89626947796</c:v>
                </c:pt>
                <c:pt idx="24">
                  <c:v>485605.33033086371</c:v>
                </c:pt>
                <c:pt idx="25">
                  <c:v>454613.67943939561</c:v>
                </c:pt>
                <c:pt idx="26">
                  <c:v>457923.74571373034</c:v>
                </c:pt>
                <c:pt idx="27">
                  <c:v>459328.85856765567</c:v>
                </c:pt>
                <c:pt idx="28">
                  <c:v>462591.21677460393</c:v>
                </c:pt>
                <c:pt idx="29">
                  <c:v>443321.35981431091</c:v>
                </c:pt>
                <c:pt idx="30">
                  <c:v>434539.77351930039</c:v>
                </c:pt>
                <c:pt idx="31">
                  <c:v>392962.56817549694</c:v>
                </c:pt>
              </c:numCache>
            </c:numRef>
          </c:val>
          <c:smooth val="0"/>
          <c:extLst>
            <c:ext xmlns:c16="http://schemas.microsoft.com/office/drawing/2014/chart" uri="{C3380CC4-5D6E-409C-BE32-E72D297353CC}">
              <c16:uniqueId val="{00000000-BB96-40F3-BE46-35615F3EABE3}"/>
            </c:ext>
          </c:extLst>
        </c:ser>
        <c:dLbls>
          <c:showLegendKey val="0"/>
          <c:showVal val="0"/>
          <c:showCatName val="0"/>
          <c:showSerName val="0"/>
          <c:showPercent val="0"/>
          <c:showBubbleSize val="0"/>
        </c:dLbls>
        <c:smooth val="0"/>
        <c:axId val="1802293328"/>
        <c:axId val="1802293744"/>
      </c:lineChart>
      <c:catAx>
        <c:axId val="1802293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293744"/>
        <c:crosses val="autoZero"/>
        <c:auto val="1"/>
        <c:lblAlgn val="ctr"/>
        <c:lblOffset val="100"/>
        <c:noMultiLvlLbl val="0"/>
      </c:catAx>
      <c:valAx>
        <c:axId val="1802293744"/>
        <c:scaling>
          <c:orientation val="minMax"/>
          <c:min val="35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02293328"/>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Feuil1!$A$2</c:f>
              <c:strCache>
                <c:ptCount val="1"/>
                <c:pt idx="0">
                  <c:v>Total CO2 without LULUCF (ktCO2e)</c:v>
                </c:pt>
              </c:strCache>
            </c:strRef>
          </c:tx>
          <c:spPr>
            <a:ln w="28575" cap="rnd">
              <a:solidFill>
                <a:srgbClr val="0070C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Feuil1!$B$2:$AF$2</c:f>
              <c:numCache>
                <c:formatCode>#,##0.00</c:formatCode>
                <c:ptCount val="31"/>
                <c:pt idx="0">
                  <c:v>398424.78532408905</c:v>
                </c:pt>
                <c:pt idx="1">
                  <c:v>423829.90153383813</c:v>
                </c:pt>
                <c:pt idx="2">
                  <c:v>412416.79477735213</c:v>
                </c:pt>
                <c:pt idx="3">
                  <c:v>394185.24174654949</c:v>
                </c:pt>
                <c:pt idx="4">
                  <c:v>388285.63889003603</c:v>
                </c:pt>
                <c:pt idx="5">
                  <c:v>392915.76549670496</c:v>
                </c:pt>
                <c:pt idx="6">
                  <c:v>408192.69049333554</c:v>
                </c:pt>
                <c:pt idx="7">
                  <c:v>400997.00414214388</c:v>
                </c:pt>
                <c:pt idx="8">
                  <c:v>421028.68041011202</c:v>
                </c:pt>
                <c:pt idx="9">
                  <c:v>419846.19485597673</c:v>
                </c:pt>
                <c:pt idx="10">
                  <c:v>414788.46582102479</c:v>
                </c:pt>
                <c:pt idx="11">
                  <c:v>419885.47362370859</c:v>
                </c:pt>
                <c:pt idx="12">
                  <c:v>416153.26320098824</c:v>
                </c:pt>
                <c:pt idx="13">
                  <c:v>421022.74666209542</c:v>
                </c:pt>
                <c:pt idx="14">
                  <c:v>422718.52018262749</c:v>
                </c:pt>
                <c:pt idx="15">
                  <c:v>425443.52929001697</c:v>
                </c:pt>
                <c:pt idx="16">
                  <c:v>415775.69997673534</c:v>
                </c:pt>
                <c:pt idx="17">
                  <c:v>406199.8367996763</c:v>
                </c:pt>
                <c:pt idx="18">
                  <c:v>400458.75953964918</c:v>
                </c:pt>
                <c:pt idx="19">
                  <c:v>381064.54724852322</c:v>
                </c:pt>
                <c:pt idx="20">
                  <c:v>386872.04363761254</c:v>
                </c:pt>
                <c:pt idx="21">
                  <c:v>364820.42197580863</c:v>
                </c:pt>
                <c:pt idx="22">
                  <c:v>367030.67419662949</c:v>
                </c:pt>
                <c:pt idx="23">
                  <c:v>368559.42753313773</c:v>
                </c:pt>
                <c:pt idx="24">
                  <c:v>337005.913838982</c:v>
                </c:pt>
                <c:pt idx="25">
                  <c:v>341630.94012947823</c:v>
                </c:pt>
                <c:pt idx="26">
                  <c:v>344723.13088031148</c:v>
                </c:pt>
                <c:pt idx="27">
                  <c:v>347604.96204895398</c:v>
                </c:pt>
                <c:pt idx="28">
                  <c:v>332613.39061371255</c:v>
                </c:pt>
                <c:pt idx="29">
                  <c:v>326725.12715566665</c:v>
                </c:pt>
                <c:pt idx="30">
                  <c:v>289389.56840048026</c:v>
                </c:pt>
              </c:numCache>
            </c:numRef>
          </c:val>
          <c:smooth val="0"/>
          <c:extLst>
            <c:ext xmlns:c16="http://schemas.microsoft.com/office/drawing/2014/chart" uri="{C3380CC4-5D6E-409C-BE32-E72D297353CC}">
              <c16:uniqueId val="{00000000-5263-4D94-8FCD-E116F45F999E}"/>
            </c:ext>
          </c:extLst>
        </c:ser>
        <c:ser>
          <c:idx val="1"/>
          <c:order val="1"/>
          <c:tx>
            <c:strRef>
              <c:f>Feuil1!$A$4</c:f>
              <c:strCache>
                <c:ptCount val="1"/>
                <c:pt idx="0">
                  <c:v>Total CH4 without LULUCF (ktCO2e)</c:v>
                </c:pt>
              </c:strCache>
            </c:strRef>
          </c:tx>
          <c:spPr>
            <a:ln w="28575" cap="rnd">
              <a:solidFill>
                <a:srgbClr val="FF000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Feuil1!$B$4:$AF$4</c:f>
              <c:numCache>
                <c:formatCode>#,##0.00</c:formatCode>
                <c:ptCount val="31"/>
                <c:pt idx="0">
                  <c:v>69160.887685564332</c:v>
                </c:pt>
                <c:pt idx="1">
                  <c:v>69635.134280578728</c:v>
                </c:pt>
                <c:pt idx="2">
                  <c:v>69725.10207072433</c:v>
                </c:pt>
                <c:pt idx="3">
                  <c:v>70132.02589236958</c:v>
                </c:pt>
                <c:pt idx="4">
                  <c:v>70008.341088475412</c:v>
                </c:pt>
                <c:pt idx="5">
                  <c:v>70382.891401414279</c:v>
                </c:pt>
                <c:pt idx="6">
                  <c:v>69469.141672755854</c:v>
                </c:pt>
                <c:pt idx="7">
                  <c:v>68227.259262175008</c:v>
                </c:pt>
                <c:pt idx="8">
                  <c:v>68272.562368023864</c:v>
                </c:pt>
                <c:pt idx="9">
                  <c:v>68230.621431522028</c:v>
                </c:pt>
                <c:pt idx="10">
                  <c:v>68602.737988942536</c:v>
                </c:pt>
                <c:pt idx="11">
                  <c:v>68469.112684498978</c:v>
                </c:pt>
                <c:pt idx="12">
                  <c:v>66886.643263460166</c:v>
                </c:pt>
                <c:pt idx="13">
                  <c:v>65915.608050286552</c:v>
                </c:pt>
                <c:pt idx="14">
                  <c:v>64547.963432315235</c:v>
                </c:pt>
                <c:pt idx="15">
                  <c:v>63631.542532106003</c:v>
                </c:pt>
                <c:pt idx="16">
                  <c:v>63117.289311490909</c:v>
                </c:pt>
                <c:pt idx="17">
                  <c:v>62829.659260703673</c:v>
                </c:pt>
                <c:pt idx="18">
                  <c:v>63099.52500627609</c:v>
                </c:pt>
                <c:pt idx="19">
                  <c:v>61973.752261157322</c:v>
                </c:pt>
                <c:pt idx="20">
                  <c:v>61663.316953056674</c:v>
                </c:pt>
                <c:pt idx="21">
                  <c:v>60479.262967944545</c:v>
                </c:pt>
                <c:pt idx="22">
                  <c:v>59243.344755409613</c:v>
                </c:pt>
                <c:pt idx="23">
                  <c:v>59079.337590736068</c:v>
                </c:pt>
                <c:pt idx="24">
                  <c:v>58786.533343461328</c:v>
                </c:pt>
                <c:pt idx="25">
                  <c:v>57862.105200362465</c:v>
                </c:pt>
                <c:pt idx="26">
                  <c:v>57432.208740445109</c:v>
                </c:pt>
                <c:pt idx="27">
                  <c:v>57010.639486160166</c:v>
                </c:pt>
                <c:pt idx="28">
                  <c:v>56238.674336289274</c:v>
                </c:pt>
                <c:pt idx="29">
                  <c:v>55739.695805502131</c:v>
                </c:pt>
                <c:pt idx="30">
                  <c:v>54641.714722103658</c:v>
                </c:pt>
              </c:numCache>
            </c:numRef>
          </c:val>
          <c:smooth val="0"/>
          <c:extLst>
            <c:ext xmlns:c16="http://schemas.microsoft.com/office/drawing/2014/chart" uri="{C3380CC4-5D6E-409C-BE32-E72D297353CC}">
              <c16:uniqueId val="{00000001-5263-4D94-8FCD-E116F45F999E}"/>
            </c:ext>
          </c:extLst>
        </c:ser>
        <c:ser>
          <c:idx val="2"/>
          <c:order val="2"/>
          <c:tx>
            <c:strRef>
              <c:f>Feuil1!$A$8</c:f>
              <c:strCache>
                <c:ptCount val="1"/>
                <c:pt idx="0">
                  <c:v>Total N2O without LULUCF (ktCO2e)</c:v>
                </c:pt>
              </c:strCache>
            </c:strRef>
          </c:tx>
          <c:spPr>
            <a:ln w="28575" cap="rnd">
              <a:solidFill>
                <a:srgbClr val="00B050"/>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Feuil1!$B$8:$AF$8</c:f>
              <c:numCache>
                <c:formatCode>#,##0.00</c:formatCode>
                <c:ptCount val="31"/>
                <c:pt idx="0">
                  <c:v>64724.840442819645</c:v>
                </c:pt>
                <c:pt idx="1">
                  <c:v>65314.485263662515</c:v>
                </c:pt>
                <c:pt idx="2">
                  <c:v>65007.104923401785</c:v>
                </c:pt>
                <c:pt idx="3">
                  <c:v>64262.373406009545</c:v>
                </c:pt>
                <c:pt idx="4">
                  <c:v>64384.747054651656</c:v>
                </c:pt>
                <c:pt idx="5">
                  <c:v>65937.12161988669</c:v>
                </c:pt>
                <c:pt idx="6">
                  <c:v>67460.964529685094</c:v>
                </c:pt>
                <c:pt idx="7">
                  <c:v>67391.895294987655</c:v>
                </c:pt>
                <c:pt idx="8">
                  <c:v>60774.014759813115</c:v>
                </c:pt>
                <c:pt idx="9">
                  <c:v>54716.471502665212</c:v>
                </c:pt>
                <c:pt idx="10">
                  <c:v>53680.537749272575</c:v>
                </c:pt>
                <c:pt idx="11">
                  <c:v>53370.787446489339</c:v>
                </c:pt>
                <c:pt idx="12">
                  <c:v>50639.520284229511</c:v>
                </c:pt>
                <c:pt idx="13">
                  <c:v>48860.839147158491</c:v>
                </c:pt>
                <c:pt idx="14">
                  <c:v>47200.387059196823</c:v>
                </c:pt>
                <c:pt idx="15">
                  <c:v>46307.447276390252</c:v>
                </c:pt>
                <c:pt idx="16">
                  <c:v>44917.834162870146</c:v>
                </c:pt>
                <c:pt idx="17">
                  <c:v>44974.630822830957</c:v>
                </c:pt>
                <c:pt idx="18">
                  <c:v>44234.596303633472</c:v>
                </c:pt>
                <c:pt idx="19">
                  <c:v>42654.636900892205</c:v>
                </c:pt>
                <c:pt idx="20">
                  <c:v>40477.950558242614</c:v>
                </c:pt>
                <c:pt idx="21">
                  <c:v>38878.980199922364</c:v>
                </c:pt>
                <c:pt idx="22">
                  <c:v>39163.801332396717</c:v>
                </c:pt>
                <c:pt idx="23">
                  <c:v>38930.283475850403</c:v>
                </c:pt>
                <c:pt idx="24">
                  <c:v>40062.956068585561</c:v>
                </c:pt>
                <c:pt idx="25">
                  <c:v>39895.490687987513</c:v>
                </c:pt>
                <c:pt idx="26">
                  <c:v>38789.926547989024</c:v>
                </c:pt>
                <c:pt idx="27">
                  <c:v>40162.029094124264</c:v>
                </c:pt>
                <c:pt idx="28">
                  <c:v>38500.054921787887</c:v>
                </c:pt>
                <c:pt idx="29">
                  <c:v>38071.442997228092</c:v>
                </c:pt>
                <c:pt idx="30">
                  <c:v>36297.324169319545</c:v>
                </c:pt>
              </c:numCache>
            </c:numRef>
          </c:val>
          <c:smooth val="0"/>
          <c:extLst>
            <c:ext xmlns:c16="http://schemas.microsoft.com/office/drawing/2014/chart" uri="{C3380CC4-5D6E-409C-BE32-E72D297353CC}">
              <c16:uniqueId val="{00000002-5263-4D94-8FCD-E116F45F999E}"/>
            </c:ext>
          </c:extLst>
        </c:ser>
        <c:ser>
          <c:idx val="3"/>
          <c:order val="3"/>
          <c:tx>
            <c:strRef>
              <c:f>Feuil1!$A$12</c:f>
              <c:strCache>
                <c:ptCount val="1"/>
                <c:pt idx="0">
                  <c:v>Total gaz fluorés (ktCO2e)</c:v>
                </c:pt>
              </c:strCache>
            </c:strRef>
          </c:tx>
          <c:spPr>
            <a:ln w="28575" cap="rnd">
              <a:solidFill>
                <a:schemeClr val="accent3"/>
              </a:solidFill>
              <a:round/>
            </a:ln>
            <a:effectLst/>
          </c:spPr>
          <c:marker>
            <c:symbol val="none"/>
          </c:marker>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Feuil1!$B$12:$AF$12</c:f>
              <c:numCache>
                <c:formatCode>#,##0.00</c:formatCode>
                <c:ptCount val="31"/>
                <c:pt idx="0">
                  <c:v>11775.891596638055</c:v>
                </c:pt>
                <c:pt idx="1">
                  <c:v>12180.858855584369</c:v>
                </c:pt>
                <c:pt idx="2">
                  <c:v>11610.666721392568</c:v>
                </c:pt>
                <c:pt idx="3">
                  <c:v>10025.371360579766</c:v>
                </c:pt>
                <c:pt idx="4">
                  <c:v>8544.9896059714047</c:v>
                </c:pt>
                <c:pt idx="5">
                  <c:v>7257.6249228524539</c:v>
                </c:pt>
                <c:pt idx="6">
                  <c:v>8357.946017167058</c:v>
                </c:pt>
                <c:pt idx="7">
                  <c:v>9300.7957147597372</c:v>
                </c:pt>
                <c:pt idx="8">
                  <c:v>10306.914622306958</c:v>
                </c:pt>
                <c:pt idx="9">
                  <c:v>12066.577731172534</c:v>
                </c:pt>
                <c:pt idx="10">
                  <c:v>11941.942313900689</c:v>
                </c:pt>
                <c:pt idx="11">
                  <c:v>12459.204022177471</c:v>
                </c:pt>
                <c:pt idx="12">
                  <c:v>14923.216108873314</c:v>
                </c:pt>
                <c:pt idx="13">
                  <c:v>15852.047134074186</c:v>
                </c:pt>
                <c:pt idx="14">
                  <c:v>16148.725771944184</c:v>
                </c:pt>
                <c:pt idx="15">
                  <c:v>16012.881353173305</c:v>
                </c:pt>
                <c:pt idx="16">
                  <c:v>17098.501637388665</c:v>
                </c:pt>
                <c:pt idx="17">
                  <c:v>17557.498480207938</c:v>
                </c:pt>
                <c:pt idx="18">
                  <c:v>18263.522417700187</c:v>
                </c:pt>
                <c:pt idx="19">
                  <c:v>17763.485235419597</c:v>
                </c:pt>
                <c:pt idx="20">
                  <c:v>18447.527104163426</c:v>
                </c:pt>
                <c:pt idx="21">
                  <c:v>19085.929970560956</c:v>
                </c:pt>
                <c:pt idx="22">
                  <c:v>19339.032385042174</c:v>
                </c:pt>
                <c:pt idx="23">
                  <c:v>19046.051331139508</c:v>
                </c:pt>
                <c:pt idx="24">
                  <c:v>18762.534289166782</c:v>
                </c:pt>
                <c:pt idx="25">
                  <c:v>18535.34738843812</c:v>
                </c:pt>
                <c:pt idx="26">
                  <c:v>18383.987847378088</c:v>
                </c:pt>
                <c:pt idx="27">
                  <c:v>17811.787057873556</c:v>
                </c:pt>
                <c:pt idx="28">
                  <c:v>15964.626710949149</c:v>
                </c:pt>
                <c:pt idx="29">
                  <c:v>14005.467606631551</c:v>
                </c:pt>
                <c:pt idx="30">
                  <c:v>12635.711029729535</c:v>
                </c:pt>
              </c:numCache>
            </c:numRef>
          </c:val>
          <c:smooth val="0"/>
          <c:extLst>
            <c:ext xmlns:c16="http://schemas.microsoft.com/office/drawing/2014/chart" uri="{C3380CC4-5D6E-409C-BE32-E72D297353CC}">
              <c16:uniqueId val="{00000003-5263-4D94-8FCD-E116F45F999E}"/>
            </c:ext>
          </c:extLst>
        </c:ser>
        <c:dLbls>
          <c:showLegendKey val="0"/>
          <c:showVal val="0"/>
          <c:showCatName val="0"/>
          <c:showSerName val="0"/>
          <c:showPercent val="0"/>
          <c:showBubbleSize val="0"/>
        </c:dLbls>
        <c:smooth val="0"/>
        <c:axId val="1965540799"/>
        <c:axId val="1965545375"/>
      </c:lineChart>
      <c:catAx>
        <c:axId val="1965540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545375"/>
        <c:crosses val="autoZero"/>
        <c:auto val="1"/>
        <c:lblAlgn val="ctr"/>
        <c:lblOffset val="100"/>
        <c:noMultiLvlLbl val="0"/>
      </c:catAx>
      <c:valAx>
        <c:axId val="19655453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5540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Feuil1!$A$9</c:f>
              <c:strCache>
                <c:ptCount val="1"/>
                <c:pt idx="0">
                  <c:v>Total HFCs+PFCs (ktCO2e)</c:v>
                </c:pt>
              </c:strCache>
            </c:strRef>
          </c:tx>
          <c:spPr>
            <a:solidFill>
              <a:srgbClr val="0070C0"/>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Feuil1!$B$9:$AF$9</c:f>
              <c:numCache>
                <c:formatCode>#,##0.00</c:formatCode>
                <c:ptCount val="31"/>
                <c:pt idx="0">
                  <c:v>9604.6665271304155</c:v>
                </c:pt>
                <c:pt idx="1">
                  <c:v>9946.9202890802462</c:v>
                </c:pt>
                <c:pt idx="2">
                  <c:v>9336.3273333666966</c:v>
                </c:pt>
                <c:pt idx="3">
                  <c:v>7709.8516211587375</c:v>
                </c:pt>
                <c:pt idx="4">
                  <c:v>6079.1710397782963</c:v>
                </c:pt>
                <c:pt idx="5">
                  <c:v>4766.8984222921581</c:v>
                </c:pt>
                <c:pt idx="6">
                  <c:v>5857.0490300168221</c:v>
                </c:pt>
                <c:pt idx="7">
                  <c:v>6813.4163742111723</c:v>
                </c:pt>
                <c:pt idx="8">
                  <c:v>7696.033803647425</c:v>
                </c:pt>
                <c:pt idx="9">
                  <c:v>9752.687497271043</c:v>
                </c:pt>
                <c:pt idx="10">
                  <c:v>9733.2025430754693</c:v>
                </c:pt>
                <c:pt idx="11">
                  <c:v>10613.908809811499</c:v>
                </c:pt>
                <c:pt idx="12">
                  <c:v>13297.232782184301</c:v>
                </c:pt>
                <c:pt idx="13">
                  <c:v>14236.707697821159</c:v>
                </c:pt>
                <c:pt idx="14">
                  <c:v>14507.182404778776</c:v>
                </c:pt>
                <c:pt idx="15">
                  <c:v>14622.489578696477</c:v>
                </c:pt>
                <c:pt idx="16">
                  <c:v>15815.019850953942</c:v>
                </c:pt>
                <c:pt idx="17">
                  <c:v>16378.691455684726</c:v>
                </c:pt>
                <c:pt idx="18">
                  <c:v>17085.275974385324</c:v>
                </c:pt>
                <c:pt idx="19">
                  <c:v>16765.682383712065</c:v>
                </c:pt>
                <c:pt idx="20">
                  <c:v>17547.474472928167</c:v>
                </c:pt>
                <c:pt idx="21">
                  <c:v>18402.836974075562</c:v>
                </c:pt>
                <c:pt idx="22">
                  <c:v>18652.415852675858</c:v>
                </c:pt>
                <c:pt idx="23">
                  <c:v>18442.079453670674</c:v>
                </c:pt>
                <c:pt idx="24">
                  <c:v>18277.640057978169</c:v>
                </c:pt>
                <c:pt idx="25">
                  <c:v>18030.866529797542</c:v>
                </c:pt>
                <c:pt idx="26">
                  <c:v>17871.175175864337</c:v>
                </c:pt>
                <c:pt idx="27">
                  <c:v>17344.896636135745</c:v>
                </c:pt>
                <c:pt idx="28">
                  <c:v>15524.172828919465</c:v>
                </c:pt>
                <c:pt idx="29">
                  <c:v>13607.820512736003</c:v>
                </c:pt>
                <c:pt idx="30">
                  <c:v>12278.816496961015</c:v>
                </c:pt>
              </c:numCache>
            </c:numRef>
          </c:val>
          <c:extLst>
            <c:ext xmlns:c16="http://schemas.microsoft.com/office/drawing/2014/chart" uri="{C3380CC4-5D6E-409C-BE32-E72D297353CC}">
              <c16:uniqueId val="{00000000-FFF6-4023-A49B-9F77624ED813}"/>
            </c:ext>
          </c:extLst>
        </c:ser>
        <c:ser>
          <c:idx val="1"/>
          <c:order val="1"/>
          <c:tx>
            <c:strRef>
              <c:f>Feuil1!$A$10</c:f>
              <c:strCache>
                <c:ptCount val="1"/>
                <c:pt idx="0">
                  <c:v>Total SF6 (ktCO2e)</c:v>
                </c:pt>
              </c:strCache>
            </c:strRef>
          </c:tx>
          <c:spPr>
            <a:solidFill>
              <a:srgbClr val="00B050"/>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Feuil1!$B$10:$AF$10</c:f>
              <c:numCache>
                <c:formatCode>#,##0.00</c:formatCode>
                <c:ptCount val="31"/>
                <c:pt idx="0">
                  <c:v>2154.744186309204</c:v>
                </c:pt>
                <c:pt idx="1">
                  <c:v>2217.4576833056881</c:v>
                </c:pt>
                <c:pt idx="2">
                  <c:v>2256.210416507472</c:v>
                </c:pt>
                <c:pt idx="3">
                  <c:v>2295.577870750788</c:v>
                </c:pt>
                <c:pt idx="4">
                  <c:v>2443.8825106558438</c:v>
                </c:pt>
                <c:pt idx="5">
                  <c:v>2466.59683946934</c:v>
                </c:pt>
                <c:pt idx="6">
                  <c:v>2494.6370632690441</c:v>
                </c:pt>
                <c:pt idx="7">
                  <c:v>2475.9185365035601</c:v>
                </c:pt>
                <c:pt idx="8">
                  <c:v>2593.703923993668</c:v>
                </c:pt>
                <c:pt idx="9">
                  <c:v>2292.7350616642202</c:v>
                </c:pt>
                <c:pt idx="10">
                  <c:v>2180.3301783313441</c:v>
                </c:pt>
                <c:pt idx="11">
                  <c:v>1825.40351853882</c:v>
                </c:pt>
                <c:pt idx="12">
                  <c:v>1597.5376322446441</c:v>
                </c:pt>
                <c:pt idx="13">
                  <c:v>1579.7946160704601</c:v>
                </c:pt>
                <c:pt idx="14">
                  <c:v>1611.0763784374681</c:v>
                </c:pt>
                <c:pt idx="15">
                  <c:v>1354.8469542942601</c:v>
                </c:pt>
                <c:pt idx="16">
                  <c:v>1252.2121864347239</c:v>
                </c:pt>
                <c:pt idx="17">
                  <c:v>1149.0510245232119</c:v>
                </c:pt>
                <c:pt idx="18">
                  <c:v>1136.140843314864</c:v>
                </c:pt>
                <c:pt idx="19">
                  <c:v>951.44885170753196</c:v>
                </c:pt>
                <c:pt idx="20">
                  <c:v>875.09543123525998</c:v>
                </c:pt>
                <c:pt idx="21">
                  <c:v>650.96339648539197</c:v>
                </c:pt>
                <c:pt idx="22">
                  <c:v>655.26093236631596</c:v>
                </c:pt>
                <c:pt idx="23">
                  <c:v>583.57267746883201</c:v>
                </c:pt>
                <c:pt idx="24">
                  <c:v>474.26463118861199</c:v>
                </c:pt>
                <c:pt idx="25">
                  <c:v>498.10935944058002</c:v>
                </c:pt>
                <c:pt idx="26">
                  <c:v>506.57886484975199</c:v>
                </c:pt>
                <c:pt idx="27">
                  <c:v>461.052063541812</c:v>
                </c:pt>
                <c:pt idx="28">
                  <c:v>432.81643634168398</c:v>
                </c:pt>
                <c:pt idx="29">
                  <c:v>385.396416635496</c:v>
                </c:pt>
                <c:pt idx="30">
                  <c:v>346.603901236524</c:v>
                </c:pt>
              </c:numCache>
            </c:numRef>
          </c:val>
          <c:extLst>
            <c:ext xmlns:c16="http://schemas.microsoft.com/office/drawing/2014/chart" uri="{C3380CC4-5D6E-409C-BE32-E72D297353CC}">
              <c16:uniqueId val="{00000001-FFF6-4023-A49B-9F77624ED813}"/>
            </c:ext>
          </c:extLst>
        </c:ser>
        <c:ser>
          <c:idx val="2"/>
          <c:order val="2"/>
          <c:tx>
            <c:strRef>
              <c:f>Feuil1!$A$11</c:f>
              <c:strCache>
                <c:ptCount val="1"/>
                <c:pt idx="0">
                  <c:v>Total NF3 (ktCO2e)</c:v>
                </c:pt>
              </c:strCache>
            </c:strRef>
          </c:tx>
          <c:spPr>
            <a:solidFill>
              <a:schemeClr val="accent3"/>
            </a:solidFill>
            <a:ln>
              <a:noFill/>
            </a:ln>
            <a:effectLst/>
          </c:spPr>
          <c:invertIfNegative val="0"/>
          <c:cat>
            <c:strRef>
              <c:f>Feuil1!$B$1:$AF$1</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Feuil1!$B$11:$AF$11</c:f>
              <c:numCache>
                <c:formatCode>#,##0.00</c:formatCode>
                <c:ptCount val="31"/>
                <c:pt idx="0">
                  <c:v>16.480883198436</c:v>
                </c:pt>
                <c:pt idx="1">
                  <c:v>16.480883198436</c:v>
                </c:pt>
                <c:pt idx="2">
                  <c:v>18.1289715184</c:v>
                </c:pt>
                <c:pt idx="3">
                  <c:v>19.941868670240002</c:v>
                </c:pt>
                <c:pt idx="4">
                  <c:v>21.936055537264</c:v>
                </c:pt>
                <c:pt idx="5">
                  <c:v>24.129661090955999</c:v>
                </c:pt>
                <c:pt idx="6">
                  <c:v>6.2599238811919999</c:v>
                </c:pt>
                <c:pt idx="7">
                  <c:v>11.460804045004</c:v>
                </c:pt>
                <c:pt idx="8">
                  <c:v>17.176894665864001</c:v>
                </c:pt>
                <c:pt idx="9">
                  <c:v>21.155172237272001</c:v>
                </c:pt>
                <c:pt idx="10">
                  <c:v>28.409592493876001</c:v>
                </c:pt>
                <c:pt idx="11">
                  <c:v>19.891693827152</c:v>
                </c:pt>
                <c:pt idx="12">
                  <c:v>28.445694444368002</c:v>
                </c:pt>
                <c:pt idx="13">
                  <c:v>35.544820182568003</c:v>
                </c:pt>
                <c:pt idx="14">
                  <c:v>30.466988727939999</c:v>
                </c:pt>
                <c:pt idx="15">
                  <c:v>35.544820182568003</c:v>
                </c:pt>
                <c:pt idx="16">
                  <c:v>31.269600000000001</c:v>
                </c:pt>
                <c:pt idx="17">
                  <c:v>29.756</c:v>
                </c:pt>
                <c:pt idx="18">
                  <c:v>42.105600000000003</c:v>
                </c:pt>
                <c:pt idx="19">
                  <c:v>46.353999999999999</c:v>
                </c:pt>
                <c:pt idx="20">
                  <c:v>24.9572</c:v>
                </c:pt>
                <c:pt idx="21">
                  <c:v>32.129600000000003</c:v>
                </c:pt>
                <c:pt idx="22">
                  <c:v>31.355599999999999</c:v>
                </c:pt>
                <c:pt idx="23">
                  <c:v>20.3992</c:v>
                </c:pt>
                <c:pt idx="24">
                  <c:v>10.6296</c:v>
                </c:pt>
                <c:pt idx="25">
                  <c:v>6.3714991999999997</c:v>
                </c:pt>
                <c:pt idx="26">
                  <c:v>6.2338066640000003</c:v>
                </c:pt>
                <c:pt idx="27">
                  <c:v>5.8383581959999997</c:v>
                </c:pt>
                <c:pt idx="28">
                  <c:v>7.6374456879999997</c:v>
                </c:pt>
                <c:pt idx="29">
                  <c:v>12.250677260052001</c:v>
                </c:pt>
                <c:pt idx="30">
                  <c:v>10.290631531996</c:v>
                </c:pt>
              </c:numCache>
            </c:numRef>
          </c:val>
          <c:extLst>
            <c:ext xmlns:c16="http://schemas.microsoft.com/office/drawing/2014/chart" uri="{C3380CC4-5D6E-409C-BE32-E72D297353CC}">
              <c16:uniqueId val="{00000002-FFF6-4023-A49B-9F77624ED813}"/>
            </c:ext>
          </c:extLst>
        </c:ser>
        <c:dLbls>
          <c:showLegendKey val="0"/>
          <c:showVal val="0"/>
          <c:showCatName val="0"/>
          <c:showSerName val="0"/>
          <c:showPercent val="0"/>
          <c:showBubbleSize val="0"/>
        </c:dLbls>
        <c:gapWidth val="150"/>
        <c:overlap val="100"/>
        <c:axId val="1943772143"/>
        <c:axId val="1943776303"/>
      </c:barChart>
      <c:catAx>
        <c:axId val="1943772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3776303"/>
        <c:crosses val="autoZero"/>
        <c:auto val="1"/>
        <c:lblAlgn val="ctr"/>
        <c:lblOffset val="100"/>
        <c:noMultiLvlLbl val="0"/>
      </c:catAx>
      <c:valAx>
        <c:axId val="194377630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37721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243529053953652E-2"/>
          <c:y val="9.9151537932792064E-2"/>
          <c:w val="0.97375647094604634"/>
          <c:h val="0.81094141731470015"/>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5C-42D0-88B2-154DB0B05575}"/>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5C-42D0-88B2-154DB0B05575}"/>
              </c:ext>
            </c:extLst>
          </c:dPt>
          <c:dPt>
            <c:idx val="2"/>
            <c:bubble3D val="0"/>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5C-42D0-88B2-154DB0B05575}"/>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5C-42D0-88B2-154DB0B05575}"/>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0D5C-42D0-88B2-154DB0B05575}"/>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0D5C-42D0-88B2-154DB0B05575}"/>
              </c:ext>
            </c:extLst>
          </c:dPt>
          <c:dLbls>
            <c:dLbl>
              <c:idx val="3"/>
              <c:layout>
                <c:manualLayout>
                  <c:x val="-9.7955694122870238E-2"/>
                  <c:y val="-0.24821875497630008"/>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9675233595800521"/>
                      <c:h val="0.346447865541471"/>
                    </c:manualLayout>
                  </c15:layout>
                </c:ext>
                <c:ext xmlns:c16="http://schemas.microsoft.com/office/drawing/2014/chart" uri="{C3380CC4-5D6E-409C-BE32-E72D297353CC}">
                  <c16:uniqueId val="{00000007-0D5C-42D0-88B2-154DB0B0557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('CO2'!$B$6,'CO2'!$B$16,'CO2'!$B$26,'CO2'!$B$31,'CO2'!$B$34,'CO2'!$B$38)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('CO2'!$AG$6,'CO2'!$AG$16,'CO2'!$AG$26,'CO2'!$AG$31,'CO2'!$AG$34,'CO2'!$AG$38)</c:f>
              <c:numCache>
                <c:formatCode>0.0</c:formatCode>
                <c:ptCount val="6"/>
                <c:pt idx="0" formatCode="#\ ##0.0">
                  <c:v>39.35301834295548</c:v>
                </c:pt>
                <c:pt idx="1">
                  <c:v>67.88189120071759</c:v>
                </c:pt>
                <c:pt idx="2" formatCode="#\ ##0.0">
                  <c:v>1.3399714452006217</c:v>
                </c:pt>
                <c:pt idx="3" formatCode="#\ ##0.0">
                  <c:v>60.40529898764462</c:v>
                </c:pt>
                <c:pt idx="4" formatCode="#\ ##0.0">
                  <c:v>11.205319898128888</c:v>
                </c:pt>
                <c:pt idx="5" formatCode="#\ ##0.0">
                  <c:v>109.20406852583315</c:v>
                </c:pt>
              </c:numCache>
            </c:numRef>
          </c:val>
          <c:extLst>
            <c:ext xmlns:c16="http://schemas.microsoft.com/office/drawing/2014/chart" uri="{C3380CC4-5D6E-409C-BE32-E72D297353CC}">
              <c16:uniqueId val="{0000000C-0D5C-42D0-88B2-154DB0B05575}"/>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6075392150784371E-3"/>
          <c:y val="9.512033630808836E-2"/>
          <c:w val="0.82880591894517119"/>
          <c:h val="0.79526132085972034"/>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F12A-4255-9D26-505CABFC2324}"/>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F12A-4255-9D26-505CABFC2324}"/>
              </c:ext>
            </c:extLst>
          </c:dPt>
          <c:dPt>
            <c:idx val="2"/>
            <c:bubble3D val="0"/>
            <c:spPr>
              <a:solidFill>
                <a:schemeClr val="accent3">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F12A-4255-9D26-505CABFC2324}"/>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F12A-4255-9D26-505CABFC2324}"/>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F12A-4255-9D26-505CABFC2324}"/>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F12A-4255-9D26-505CABFC2324}"/>
              </c:ext>
            </c:extLst>
          </c:dPt>
          <c:dLbls>
            <c:dLbl>
              <c:idx val="3"/>
              <c:layout>
                <c:manualLayout>
                  <c:x val="8.8743009486018973E-2"/>
                  <c:y val="-1.0873219499247987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4677173621013909"/>
                      <c:h val="0.17785429503443276"/>
                    </c:manualLayout>
                  </c15:layout>
                </c:ext>
                <c:ext xmlns:c16="http://schemas.microsoft.com/office/drawing/2014/chart" uri="{C3380CC4-5D6E-409C-BE32-E72D297353CC}">
                  <c16:uniqueId val="{00000007-F12A-4255-9D26-505CABFC232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('CH4'!$B$6,'CH4'!$B$16,'CH4'!$B$26,'CH4'!$B$31,'CH4'!$B$34,'CH4'!$B$38)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('CH4'!$AG$6,'CH4'!$AG$16,'CH4'!$AG$26,'CH4'!$AG$31,'CH4'!$AG$34,'CH4'!$AG$38)</c:f>
              <c:numCache>
                <c:formatCode>0.0</c:formatCode>
                <c:ptCount val="6"/>
                <c:pt idx="0" formatCode="#,##0">
                  <c:v>898.23098146005168</c:v>
                </c:pt>
                <c:pt idx="1">
                  <c:v>233.72306990880742</c:v>
                </c:pt>
                <c:pt idx="2" formatCode="#,##0">
                  <c:v>12948.73579313242</c:v>
                </c:pt>
                <c:pt idx="3" formatCode="#,##0">
                  <c:v>3406.4142004123587</c:v>
                </c:pt>
                <c:pt idx="4" formatCode="#,##0">
                  <c:v>37009.782735566434</c:v>
                </c:pt>
                <c:pt idx="5" formatCode="#\ ##0.0">
                  <c:v>144.82794162357609</c:v>
                </c:pt>
              </c:numCache>
            </c:numRef>
          </c:val>
          <c:extLst>
            <c:ext xmlns:c16="http://schemas.microsoft.com/office/drawing/2014/chart" uri="{C3380CC4-5D6E-409C-BE32-E72D297353CC}">
              <c16:uniqueId val="{0000000C-F12A-4255-9D26-505CABFC232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206887600588393E-2"/>
          <c:y val="9.8098514384731036E-2"/>
          <c:w val="0.83470710391970238"/>
          <c:h val="0.8038029712305379"/>
        </c:manualLayout>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4202-4338-AA11-347CDA14AD42}"/>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4202-4338-AA11-347CDA14AD4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4202-4338-AA11-347CDA14AD42}"/>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4202-4338-AA11-347CDA14AD42}"/>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4202-4338-AA11-347CDA14AD42}"/>
              </c:ext>
            </c:extLst>
          </c:dPt>
          <c:dPt>
            <c:idx val="5"/>
            <c:bubble3D val="0"/>
            <c:spPr>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4202-4338-AA11-347CDA14AD42}"/>
              </c:ext>
            </c:extLst>
          </c:dPt>
          <c:dLbls>
            <c:dLbl>
              <c:idx val="0"/>
              <c:layout>
                <c:manualLayout>
                  <c:x val="0"/>
                  <c:y val="-0.14293988424595566"/>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202-4338-AA11-347CDA14AD42}"/>
                </c:ext>
              </c:extLst>
            </c:dLbl>
            <c:dLbl>
              <c:idx val="1"/>
              <c:layout>
                <c:manualLayout>
                  <c:x val="1.9780002374074953E-2"/>
                  <c:y val="-6.4560496799913991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202-4338-AA11-347CDA14AD42}"/>
                </c:ext>
              </c:extLst>
            </c:dLbl>
            <c:dLbl>
              <c:idx val="2"/>
              <c:layout>
                <c:manualLayout>
                  <c:x val="2.2664907271206482E-2"/>
                  <c:y val="0.11288025889967637"/>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4202-4338-AA11-347CDA14AD42}"/>
                </c:ext>
              </c:extLst>
            </c:dLbl>
            <c:dLbl>
              <c:idx val="3"/>
              <c:layout>
                <c:manualLayout>
                  <c:x val="-0.17752914177185145"/>
                  <c:y val="0.18789896201706807"/>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20577343409963197"/>
                      <c:h val="0.17179617332063646"/>
                    </c:manualLayout>
                  </c15:layout>
                </c:ext>
                <c:ext xmlns:c16="http://schemas.microsoft.com/office/drawing/2014/chart" uri="{C3380CC4-5D6E-409C-BE32-E72D297353CC}">
                  <c16:uniqueId val="{00000007-4202-4338-AA11-347CDA14AD42}"/>
                </c:ext>
              </c:extLst>
            </c:dLbl>
            <c:dLbl>
              <c:idx val="5"/>
              <c:layout>
                <c:manualLayout>
                  <c:x val="1.8421319194397184E-2"/>
                  <c:y val="-0.2192399498277952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4202-4338-AA11-347CDA14AD4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(N2O!$B$6,N2O!$B$16,N2O!$B$26,N2O!$B$31,N2O!$B$34,N2O!$B$38)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(N2O!$AG$6,N2O!$AG$16,N2O!$AG$26,N2O!$AG$31,N2O!$AG$34,N2O!$AG$38)</c:f>
              <c:numCache>
                <c:formatCode>0</c:formatCode>
                <c:ptCount val="6"/>
                <c:pt idx="0" formatCode="#\ ##0.0">
                  <c:v>401.0030418160373</c:v>
                </c:pt>
                <c:pt idx="1">
                  <c:v>1131.2365421868685</c:v>
                </c:pt>
                <c:pt idx="2" formatCode="#,##0">
                  <c:v>389.08455996234392</c:v>
                </c:pt>
                <c:pt idx="3" formatCode="#,##0">
                  <c:v>709.06128980240226</c:v>
                </c:pt>
                <c:pt idx="4" formatCode="#,##0">
                  <c:v>32511.394863030204</c:v>
                </c:pt>
                <c:pt idx="5">
                  <c:v>1155.5438725217018</c:v>
                </c:pt>
              </c:numCache>
            </c:numRef>
          </c:val>
          <c:extLst>
            <c:ext xmlns:c16="http://schemas.microsoft.com/office/drawing/2014/chart" uri="{C3380CC4-5D6E-409C-BE32-E72D297353CC}">
              <c16:uniqueId val="{0000000C-4202-4338-AA11-347CDA14AD42}"/>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00FF"/>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63C5-4C49-97F3-987C4BF4CD9C}"/>
              </c:ext>
            </c:extLst>
          </c:dPt>
          <c:dPt>
            <c:idx val="1"/>
            <c:bubble3D val="0"/>
            <c:spPr>
              <a:solidFill>
                <a:schemeClr val="accent4">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63C5-4C49-97F3-987C4BF4CD9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63C5-4C49-97F3-987C4BF4CD9C}"/>
              </c:ext>
            </c:extLst>
          </c:dPt>
          <c:dPt>
            <c:idx val="3"/>
            <c:bubble3D val="0"/>
            <c:spPr>
              <a:solidFill>
                <a:srgbClr val="CC3399"/>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63C5-4C49-97F3-987C4BF4CD9C}"/>
              </c:ext>
            </c:extLst>
          </c:dPt>
          <c:dPt>
            <c:idx val="4"/>
            <c:bubble3D val="0"/>
            <c:spPr>
              <a:solidFill>
                <a:srgbClr val="92D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63C5-4C49-97F3-987C4BF4CD9C}"/>
              </c:ext>
            </c:extLst>
          </c:dPt>
          <c:dPt>
            <c:idx val="5"/>
            <c:bubble3D val="0"/>
            <c:spPr>
              <a:solidFill>
                <a:srgbClr val="FF99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63C5-4C49-97F3-987C4BF4CD9C}"/>
              </c:ext>
            </c:extLst>
          </c:dPt>
          <c:dLbls>
            <c:dLbl>
              <c:idx val="1"/>
              <c:layout>
                <c:manualLayout>
                  <c:x val="-3.4329415719586774E-2"/>
                  <c:y val="-5.02281445588532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3C5-4C49-97F3-987C4BF4CD9C}"/>
                </c:ext>
              </c:extLst>
            </c:dLbl>
            <c:dLbl>
              <c:idx val="2"/>
              <c:layout>
                <c:manualLayout>
                  <c:x val="-0.10939510939510941"/>
                  <c:y val="0.33653812504206204"/>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19626769626769625"/>
                      <c:h val="0.18461538461538463"/>
                    </c:manualLayout>
                  </c15:layout>
                </c:ext>
                <c:ext xmlns:c16="http://schemas.microsoft.com/office/drawing/2014/chart" uri="{C3380CC4-5D6E-409C-BE32-E72D297353CC}">
                  <c16:uniqueId val="{00000005-63C5-4C49-97F3-987C4BF4CD9C}"/>
                </c:ext>
              </c:extLst>
            </c:dLbl>
            <c:dLbl>
              <c:idx val="3"/>
              <c:layout>
                <c:manualLayout>
                  <c:x val="0.15373009524787962"/>
                  <c:y val="-0.30556141059290676"/>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31815563595091156"/>
                      <c:h val="0.18418816878659397"/>
                    </c:manualLayout>
                  </c15:layout>
                </c:ext>
                <c:ext xmlns:c16="http://schemas.microsoft.com/office/drawing/2014/chart" uri="{C3380CC4-5D6E-409C-BE32-E72D297353CC}">
                  <c16:uniqueId val="{00000007-63C5-4C49-97F3-987C4BF4CD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(GF_total!$B$6,GF_total!$B$16,GF_total!$B$26,GF_total!$B$31,GF_total!$B$34,GF_total!$B$38)</c:f>
              <c:strCache>
                <c:ptCount val="6"/>
                <c:pt idx="0">
                  <c:v>Industrie de l'énergie</c:v>
                </c:pt>
                <c:pt idx="1">
                  <c:v>Industrie manufacturière et construction</c:v>
                </c:pt>
                <c:pt idx="2">
                  <c:v>Traitement centralisé des déchets</c:v>
                </c:pt>
                <c:pt idx="3">
                  <c:v>Usage des bâtiments et activités résidentiels/tertiaires</c:v>
                </c:pt>
                <c:pt idx="4">
                  <c:v>Agriculture</c:v>
                </c:pt>
                <c:pt idx="5">
                  <c:v>Transport</c:v>
                </c:pt>
              </c:strCache>
            </c:strRef>
          </c:cat>
          <c:val>
            <c:numRef>
              <c:f>(GF_total!$AG$6,GF_total!$AG$16,GF_total!$AG$26,GF_total!$AG$31,GF_total!$AG$34,GF_total!$AG$38)</c:f>
              <c:numCache>
                <c:formatCode>0.0</c:formatCode>
                <c:ptCount val="6"/>
                <c:pt idx="0" formatCode="#\ ##0.0">
                  <c:v>180.82742831869439</c:v>
                </c:pt>
                <c:pt idx="1">
                  <c:v>3260.7305214655412</c:v>
                </c:pt>
                <c:pt idx="2" formatCode="#,##0">
                  <c:v>0</c:v>
                </c:pt>
                <c:pt idx="3" formatCode="#,##0">
                  <c:v>6463.2546714455957</c:v>
                </c:pt>
                <c:pt idx="4" formatCode="#\ ##0.0">
                  <c:v>156.99602384822947</c:v>
                </c:pt>
                <c:pt idx="5" formatCode="#,##0">
                  <c:v>2572.1522385154417</c:v>
                </c:pt>
              </c:numCache>
            </c:numRef>
          </c:val>
          <c:extLst>
            <c:ext xmlns:c16="http://schemas.microsoft.com/office/drawing/2014/chart" uri="{C3380CC4-5D6E-409C-BE32-E72D297353CC}">
              <c16:uniqueId val="{0000000C-63C5-4C49-97F3-987C4BF4CD9C}"/>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100" b="1" i="0">
                <a:effectLst/>
              </a:rPr>
              <a:t>Évolution du produit intérieur brut et de ses composantes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cat>
            <c:strRef>
              <c:f>'[econ-gen-pib-composante-niveaux.xlsx]Variation'!$B$4:$BU$4</c:f>
              <c:strCache>
                <c:ptCount val="72"/>
                <c:pt idx="0">
                  <c:v>1950</c:v>
                </c:pt>
                <c:pt idx="1">
                  <c:v>1951</c:v>
                </c:pt>
                <c:pt idx="2">
                  <c:v>1952</c:v>
                </c:pt>
                <c:pt idx="3">
                  <c:v>1953</c:v>
                </c:pt>
                <c:pt idx="4">
                  <c:v>1954</c:v>
                </c:pt>
                <c:pt idx="5">
                  <c:v>1955</c:v>
                </c:pt>
                <c:pt idx="6">
                  <c:v>1956</c:v>
                </c:pt>
                <c:pt idx="7">
                  <c:v>1957</c:v>
                </c:pt>
                <c:pt idx="8">
                  <c:v>1958</c:v>
                </c:pt>
                <c:pt idx="9">
                  <c:v>1959</c:v>
                </c:pt>
                <c:pt idx="10">
                  <c:v>1960</c:v>
                </c:pt>
                <c:pt idx="11">
                  <c:v>1961</c:v>
                </c:pt>
                <c:pt idx="12">
                  <c:v>1962</c:v>
                </c:pt>
                <c:pt idx="13">
                  <c:v>1963</c:v>
                </c:pt>
                <c:pt idx="14">
                  <c:v>1964</c:v>
                </c:pt>
                <c:pt idx="15">
                  <c:v>1965</c:v>
                </c:pt>
                <c:pt idx="16">
                  <c:v>1966</c:v>
                </c:pt>
                <c:pt idx="17">
                  <c:v>1967</c:v>
                </c:pt>
                <c:pt idx="18">
                  <c:v>1968</c:v>
                </c:pt>
                <c:pt idx="19">
                  <c:v>1969</c:v>
                </c:pt>
                <c:pt idx="20">
                  <c:v>1970</c:v>
                </c:pt>
                <c:pt idx="21">
                  <c:v>1971</c:v>
                </c:pt>
                <c:pt idx="22">
                  <c:v>1972</c:v>
                </c:pt>
                <c:pt idx="23">
                  <c:v>1973</c:v>
                </c:pt>
                <c:pt idx="24">
                  <c:v>1974</c:v>
                </c:pt>
                <c:pt idx="25">
                  <c:v>1975</c:v>
                </c:pt>
                <c:pt idx="26">
                  <c:v>1976</c:v>
                </c:pt>
                <c:pt idx="27">
                  <c:v>1977</c:v>
                </c:pt>
                <c:pt idx="28">
                  <c:v>1978</c:v>
                </c:pt>
                <c:pt idx="29">
                  <c:v>1979</c:v>
                </c:pt>
                <c:pt idx="30">
                  <c:v>1980</c:v>
                </c:pt>
                <c:pt idx="31">
                  <c:v>1981</c:v>
                </c:pt>
                <c:pt idx="32">
                  <c:v>1982</c:v>
                </c:pt>
                <c:pt idx="33">
                  <c:v>1983</c:v>
                </c:pt>
                <c:pt idx="34">
                  <c:v>1984</c:v>
                </c:pt>
                <c:pt idx="35">
                  <c:v>1985</c:v>
                </c:pt>
                <c:pt idx="36">
                  <c:v>1986</c:v>
                </c:pt>
                <c:pt idx="37">
                  <c:v>1987</c:v>
                </c:pt>
                <c:pt idx="38">
                  <c:v>1988</c:v>
                </c:pt>
                <c:pt idx="39">
                  <c:v>1989</c:v>
                </c:pt>
                <c:pt idx="40">
                  <c:v>1990</c:v>
                </c:pt>
                <c:pt idx="41">
                  <c:v>1991</c:v>
                </c:pt>
                <c:pt idx="42">
                  <c:v>1992</c:v>
                </c:pt>
                <c:pt idx="43">
                  <c:v>1993</c:v>
                </c:pt>
                <c:pt idx="44">
                  <c:v>1994</c:v>
                </c:pt>
                <c:pt idx="45">
                  <c:v>1995</c:v>
                </c:pt>
                <c:pt idx="46">
                  <c:v>1996</c:v>
                </c:pt>
                <c:pt idx="47">
                  <c:v>1997</c:v>
                </c:pt>
                <c:pt idx="48">
                  <c:v>1998</c:v>
                </c:pt>
                <c:pt idx="49">
                  <c:v>1999</c:v>
                </c:pt>
                <c:pt idx="50">
                  <c:v>2000</c:v>
                </c:pt>
                <c:pt idx="51">
                  <c:v>2001</c:v>
                </c:pt>
                <c:pt idx="52">
                  <c:v>2002</c:v>
                </c:pt>
                <c:pt idx="53">
                  <c:v>2003</c:v>
                </c:pt>
                <c:pt idx="54">
                  <c:v>2004</c:v>
                </c:pt>
                <c:pt idx="55">
                  <c:v>2005</c:v>
                </c:pt>
                <c:pt idx="56">
                  <c:v>2006</c:v>
                </c:pt>
                <c:pt idx="57">
                  <c:v>2007</c:v>
                </c:pt>
                <c:pt idx="58">
                  <c:v>2008</c:v>
                </c:pt>
                <c:pt idx="59">
                  <c:v>2009</c:v>
                </c:pt>
                <c:pt idx="60">
                  <c:v>2010</c:v>
                </c:pt>
                <c:pt idx="61">
                  <c:v>2011</c:v>
                </c:pt>
                <c:pt idx="62">
                  <c:v>2012</c:v>
                </c:pt>
                <c:pt idx="63">
                  <c:v>2013</c:v>
                </c:pt>
                <c:pt idx="64">
                  <c:v>2014</c:v>
                </c:pt>
                <c:pt idx="65">
                  <c:v>2015</c:v>
                </c:pt>
                <c:pt idx="66">
                  <c:v>2016</c:v>
                </c:pt>
                <c:pt idx="67">
                  <c:v>2017</c:v>
                </c:pt>
                <c:pt idx="68">
                  <c:v>2018</c:v>
                </c:pt>
                <c:pt idx="69">
                  <c:v>2019</c:v>
                </c:pt>
                <c:pt idx="70">
                  <c:v>2020 (r)</c:v>
                </c:pt>
                <c:pt idx="71">
                  <c:v>2021</c:v>
                </c:pt>
              </c:strCache>
            </c:strRef>
          </c:cat>
          <c:val>
            <c:numRef>
              <c:f>'[econ-gen-pib-composante-niveaux.xlsx]Variation'!$B$6:$BU$6</c:f>
              <c:numCache>
                <c:formatCode>0.00</c:formatCode>
                <c:ptCount val="72"/>
                <c:pt idx="1">
                  <c:v>5.7915205751008161</c:v>
                </c:pt>
                <c:pt idx="2">
                  <c:v>3.1140340643000126</c:v>
                </c:pt>
                <c:pt idx="3">
                  <c:v>3.4562299611219744</c:v>
                </c:pt>
                <c:pt idx="4">
                  <c:v>5.5783202169756629</c:v>
                </c:pt>
                <c:pt idx="5">
                  <c:v>5.3118715081295269</c:v>
                </c:pt>
                <c:pt idx="6">
                  <c:v>4.9878537067476918</c:v>
                </c:pt>
                <c:pt idx="7">
                  <c:v>5.5167140022331838</c:v>
                </c:pt>
                <c:pt idx="8">
                  <c:v>2.6957138517922523</c:v>
                </c:pt>
                <c:pt idx="9">
                  <c:v>2.6714248060294516</c:v>
                </c:pt>
                <c:pt idx="10">
                  <c:v>7.991952490657857</c:v>
                </c:pt>
                <c:pt idx="11">
                  <c:v>4.9801328654921964</c:v>
                </c:pt>
                <c:pt idx="12">
                  <c:v>6.8435349894101352</c:v>
                </c:pt>
                <c:pt idx="13">
                  <c:v>6.2335562409420602</c:v>
                </c:pt>
                <c:pt idx="14">
                  <c:v>6.6522007523007494</c:v>
                </c:pt>
                <c:pt idx="15">
                  <c:v>4.8614266159140076</c:v>
                </c:pt>
                <c:pt idx="16">
                  <c:v>5.2518335853441096</c:v>
                </c:pt>
                <c:pt idx="17">
                  <c:v>4.921231291395662</c:v>
                </c:pt>
                <c:pt idx="18">
                  <c:v>4.491318970307236</c:v>
                </c:pt>
                <c:pt idx="19">
                  <c:v>7.109450090492123</c:v>
                </c:pt>
                <c:pt idx="20">
                  <c:v>6.1086776161701382</c:v>
                </c:pt>
                <c:pt idx="21">
                  <c:v>5.3167529060566645</c:v>
                </c:pt>
                <c:pt idx="22">
                  <c:v>4.5113716279088267</c:v>
                </c:pt>
                <c:pt idx="23">
                  <c:v>6.3445648648693247</c:v>
                </c:pt>
                <c:pt idx="24">
                  <c:v>4.300840710124481</c:v>
                </c:pt>
                <c:pt idx="25">
                  <c:v>-0.95986732915473771</c:v>
                </c:pt>
                <c:pt idx="26">
                  <c:v>4.3567555213391467</c:v>
                </c:pt>
                <c:pt idx="27">
                  <c:v>3.4642923591339927</c:v>
                </c:pt>
                <c:pt idx="28">
                  <c:v>3.9785494684846006</c:v>
                </c:pt>
                <c:pt idx="29">
                  <c:v>3.5500003763460319</c:v>
                </c:pt>
                <c:pt idx="30">
                  <c:v>1.578801227543472</c:v>
                </c:pt>
                <c:pt idx="31">
                  <c:v>1.0690127567103236</c:v>
                </c:pt>
                <c:pt idx="32">
                  <c:v>2.5053613656013645</c:v>
                </c:pt>
                <c:pt idx="33">
                  <c:v>1.2408529155249708</c:v>
                </c:pt>
                <c:pt idx="34">
                  <c:v>1.5137078700597635</c:v>
                </c:pt>
                <c:pt idx="35">
                  <c:v>1.6228216501735664</c:v>
                </c:pt>
                <c:pt idx="36">
                  <c:v>2.3372356023942134</c:v>
                </c:pt>
                <c:pt idx="37">
                  <c:v>2.5619086940664828</c:v>
                </c:pt>
                <c:pt idx="38">
                  <c:v>4.7431850612703892</c:v>
                </c:pt>
                <c:pt idx="39">
                  <c:v>4.3438199588953443</c:v>
                </c:pt>
                <c:pt idx="40">
                  <c:v>2.9239517418556944</c:v>
                </c:pt>
                <c:pt idx="41">
                  <c:v>1.0481802223057461</c:v>
                </c:pt>
                <c:pt idx="42">
                  <c:v>1.599346499772953</c:v>
                </c:pt>
                <c:pt idx="43">
                  <c:v>-0.62865884690903773</c:v>
                </c:pt>
                <c:pt idx="44">
                  <c:v>2.3583717439036875</c:v>
                </c:pt>
                <c:pt idx="45">
                  <c:v>2.1066514052863345</c:v>
                </c:pt>
                <c:pt idx="46">
                  <c:v>1.4129960153012031</c:v>
                </c:pt>
                <c:pt idx="47">
                  <c:v>2.3363293667502121</c:v>
                </c:pt>
                <c:pt idx="48">
                  <c:v>3.5886293379519576</c:v>
                </c:pt>
                <c:pt idx="49">
                  <c:v>3.4213523597998647</c:v>
                </c:pt>
                <c:pt idx="50">
                  <c:v>3.9237124557617533</c:v>
                </c:pt>
                <c:pt idx="51">
                  <c:v>1.9837121146298784</c:v>
                </c:pt>
                <c:pt idx="52">
                  <c:v>1.1355417436921877</c:v>
                </c:pt>
                <c:pt idx="53">
                  <c:v>0.82312299739531747</c:v>
                </c:pt>
                <c:pt idx="54">
                  <c:v>2.8297965845113593</c:v>
                </c:pt>
                <c:pt idx="55">
                  <c:v>1.6631821300672787</c:v>
                </c:pt>
                <c:pt idx="56">
                  <c:v>2.4493454013939959</c:v>
                </c:pt>
                <c:pt idx="57">
                  <c:v>2.4247397856175255</c:v>
                </c:pt>
                <c:pt idx="58">
                  <c:v>0.25493676773214635</c:v>
                </c:pt>
                <c:pt idx="59">
                  <c:v>-2.8733254071543848</c:v>
                </c:pt>
                <c:pt idx="60">
                  <c:v>1.9494589034497962</c:v>
                </c:pt>
                <c:pt idx="61">
                  <c:v>2.1926797158413205</c:v>
                </c:pt>
                <c:pt idx="62">
                  <c:v>0.31316447000195713</c:v>
                </c:pt>
                <c:pt idx="63">
                  <c:v>0.57632357018284808</c:v>
                </c:pt>
                <c:pt idx="64">
                  <c:v>0.95616872389891217</c:v>
                </c:pt>
                <c:pt idx="65">
                  <c:v>1.1129123415815301</c:v>
                </c:pt>
                <c:pt idx="66">
                  <c:v>1.0954625842420105</c:v>
                </c:pt>
                <c:pt idx="67">
                  <c:v>2.2914075239161487</c:v>
                </c:pt>
                <c:pt idx="68">
                  <c:v>1.8650985399017161</c:v>
                </c:pt>
                <c:pt idx="69">
                  <c:v>1.8429691288388148</c:v>
                </c:pt>
                <c:pt idx="70">
                  <c:v>-7.7845944942534722</c:v>
                </c:pt>
                <c:pt idx="71">
                  <c:v>6.8165798490547092</c:v>
                </c:pt>
              </c:numCache>
            </c:numRef>
          </c:val>
          <c:smooth val="0"/>
          <c:extLst>
            <c:ext xmlns:c16="http://schemas.microsoft.com/office/drawing/2014/chart" uri="{C3380CC4-5D6E-409C-BE32-E72D297353CC}">
              <c16:uniqueId val="{00000000-89A0-4423-91F1-9E5095208108}"/>
            </c:ext>
          </c:extLst>
        </c:ser>
        <c:dLbls>
          <c:showLegendKey val="0"/>
          <c:showVal val="0"/>
          <c:showCatName val="0"/>
          <c:showSerName val="0"/>
          <c:showPercent val="0"/>
          <c:showBubbleSize val="0"/>
        </c:dLbls>
        <c:smooth val="0"/>
        <c:axId val="2145370912"/>
        <c:axId val="2145368000"/>
      </c:lineChart>
      <c:catAx>
        <c:axId val="214537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368000"/>
        <c:crossesAt val="-10"/>
        <c:auto val="1"/>
        <c:lblAlgn val="l"/>
        <c:lblOffset val="100"/>
        <c:noMultiLvlLbl val="0"/>
      </c:catAx>
      <c:valAx>
        <c:axId val="21453680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37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1168641663443"/>
          <c:y val="5.1442009632568474E-2"/>
          <c:w val="0.86651350934818416"/>
          <c:h val="0.81153412698412697"/>
        </c:manualLayout>
      </c:layout>
      <c:areaChart>
        <c:grouping val="stacked"/>
        <c:varyColors val="0"/>
        <c:ser>
          <c:idx val="0"/>
          <c:order val="0"/>
          <c:tx>
            <c:v>Transport routier</c:v>
          </c:tx>
          <c:spPr>
            <a:solidFill>
              <a:srgbClr val="5F4979"/>
            </a:solidFill>
            <a:ln w="3175">
              <a:solidFill>
                <a:schemeClr val="bg1"/>
              </a:solidFill>
            </a:ln>
            <a:effectLst/>
          </c:spPr>
          <c:dLbls>
            <c:dLbl>
              <c:idx val="0"/>
              <c:layout>
                <c:manualLayout>
                  <c:x val="1.6462962962962964E-2"/>
                  <c:y val="5.0396825396825398E-2"/>
                </c:manualLayout>
              </c:layout>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'Transports-Emissions'!$AK$28:$BO$28</c:f>
              <c:numCache>
                <c:formatCode>0.0</c:formatCode>
                <c:ptCount val="31"/>
                <c:pt idx="0">
                  <c:v>115.93530200919605</c:v>
                </c:pt>
                <c:pt idx="1">
                  <c:v>118.99776812496094</c:v>
                </c:pt>
                <c:pt idx="2">
                  <c:v>121.93494112264918</c:v>
                </c:pt>
                <c:pt idx="3">
                  <c:v>122.80509877128587</c:v>
                </c:pt>
                <c:pt idx="4">
                  <c:v>124.37310916930119</c:v>
                </c:pt>
                <c:pt idx="5">
                  <c:v>125.26664695701163</c:v>
                </c:pt>
                <c:pt idx="6">
                  <c:v>125.14136595039587</c:v>
                </c:pt>
                <c:pt idx="7">
                  <c:v>127.64807378426678</c:v>
                </c:pt>
                <c:pt idx="8">
                  <c:v>131.10862220453461</c:v>
                </c:pt>
                <c:pt idx="9">
                  <c:v>133.34983967857261</c:v>
                </c:pt>
                <c:pt idx="10">
                  <c:v>133.55775213159947</c:v>
                </c:pt>
                <c:pt idx="11">
                  <c:v>137.27944231345688</c:v>
                </c:pt>
                <c:pt idx="12">
                  <c:v>139.13352297941074</c:v>
                </c:pt>
                <c:pt idx="13">
                  <c:v>138.00864282683395</c:v>
                </c:pt>
                <c:pt idx="14">
                  <c:v>138.62405317113036</c:v>
                </c:pt>
                <c:pt idx="15">
                  <c:v>136.44259870039198</c:v>
                </c:pt>
                <c:pt idx="16">
                  <c:v>136.81975166241625</c:v>
                </c:pt>
                <c:pt idx="17">
                  <c:v>136.06633662434908</c:v>
                </c:pt>
                <c:pt idx="18">
                  <c:v>130.50293860701328</c:v>
                </c:pt>
                <c:pt idx="19">
                  <c:v>128.93906762812571</c:v>
                </c:pt>
                <c:pt idx="20">
                  <c:v>130.18547974316687</c:v>
                </c:pt>
                <c:pt idx="21">
                  <c:v>131.18885730567226</c:v>
                </c:pt>
                <c:pt idx="22">
                  <c:v>129.49923773212868</c:v>
                </c:pt>
                <c:pt idx="23">
                  <c:v>128.94165147639603</c:v>
                </c:pt>
                <c:pt idx="24">
                  <c:v>129.19753893645557</c:v>
                </c:pt>
                <c:pt idx="25">
                  <c:v>130.59358637731555</c:v>
                </c:pt>
                <c:pt idx="26">
                  <c:v>130.6924645287128</c:v>
                </c:pt>
                <c:pt idx="27">
                  <c:v>130.70397534379293</c:v>
                </c:pt>
                <c:pt idx="28">
                  <c:v>127.58688999049537</c:v>
                </c:pt>
                <c:pt idx="29">
                  <c:v>127.24159004004339</c:v>
                </c:pt>
                <c:pt idx="30">
                  <c:v>106.88471031118725</c:v>
                </c:pt>
              </c:numCache>
            </c:numRef>
          </c:val>
          <c:extLst>
            <c:ext xmlns:c16="http://schemas.microsoft.com/office/drawing/2014/chart" uri="{C3380CC4-5D6E-409C-BE32-E72D297353CC}">
              <c16:uniqueId val="{00000001-8BEF-4689-928F-EAC0F76EF444}"/>
            </c:ext>
          </c:extLst>
        </c:ser>
        <c:ser>
          <c:idx val="1"/>
          <c:order val="1"/>
          <c:tx>
            <c:strRef>
              <c:f>'Transports-Emissions'!$E$29</c:f>
              <c:strCache>
                <c:ptCount val="1"/>
                <c:pt idx="0">
                  <c:v>Transport ferroviaire</c:v>
                </c:pt>
              </c:strCache>
            </c:strRef>
          </c:tx>
          <c:spPr>
            <a:solidFill>
              <a:srgbClr val="71588F"/>
            </a:solid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2-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'Transports-Emissions'!$AK$29:$BO$29</c:f>
              <c:numCache>
                <c:formatCode>0.0</c:formatCode>
                <c:ptCount val="31"/>
                <c:pt idx="0">
                  <c:v>1.0949178027572364</c:v>
                </c:pt>
                <c:pt idx="1">
                  <c:v>1.0605994835663384</c:v>
                </c:pt>
                <c:pt idx="2">
                  <c:v>1.0099391076178688</c:v>
                </c:pt>
                <c:pt idx="3">
                  <c:v>0.93449327892041756</c:v>
                </c:pt>
                <c:pt idx="4">
                  <c:v>0.86776321382700383</c:v>
                </c:pt>
                <c:pt idx="5">
                  <c:v>0.82908701283408659</c:v>
                </c:pt>
                <c:pt idx="6">
                  <c:v>0.8029397220219735</c:v>
                </c:pt>
                <c:pt idx="7">
                  <c:v>0.79531342886844048</c:v>
                </c:pt>
                <c:pt idx="8">
                  <c:v>0.75690959548814918</c:v>
                </c:pt>
                <c:pt idx="9">
                  <c:v>0.76492544790434869</c:v>
                </c:pt>
                <c:pt idx="10">
                  <c:v>0.78300785036495568</c:v>
                </c:pt>
                <c:pt idx="11">
                  <c:v>0.74914190594878838</c:v>
                </c:pt>
                <c:pt idx="12">
                  <c:v>0.77495702493367913</c:v>
                </c:pt>
                <c:pt idx="13">
                  <c:v>0.74599205823774939</c:v>
                </c:pt>
                <c:pt idx="14">
                  <c:v>0.73847920809980727</c:v>
                </c:pt>
                <c:pt idx="15">
                  <c:v>0.67374758465297457</c:v>
                </c:pt>
                <c:pt idx="16">
                  <c:v>0.65270893046450895</c:v>
                </c:pt>
                <c:pt idx="17">
                  <c:v>0.61806526335248779</c:v>
                </c:pt>
                <c:pt idx="18">
                  <c:v>0.62914652913054503</c:v>
                </c:pt>
                <c:pt idx="19">
                  <c:v>0.57848682860765654</c:v>
                </c:pt>
                <c:pt idx="20">
                  <c:v>0.5538338110140828</c:v>
                </c:pt>
                <c:pt idx="21">
                  <c:v>0.56752972037661453</c:v>
                </c:pt>
                <c:pt idx="22">
                  <c:v>0.55650876144795292</c:v>
                </c:pt>
                <c:pt idx="23">
                  <c:v>0.55209867414804759</c:v>
                </c:pt>
                <c:pt idx="24">
                  <c:v>0.47647068969781875</c:v>
                </c:pt>
                <c:pt idx="25">
                  <c:v>0.47237576079572774</c:v>
                </c:pt>
                <c:pt idx="26">
                  <c:v>0.44673511397698018</c:v>
                </c:pt>
                <c:pt idx="27">
                  <c:v>0.4678076109847954</c:v>
                </c:pt>
                <c:pt idx="28">
                  <c:v>0.42107830222791115</c:v>
                </c:pt>
                <c:pt idx="29">
                  <c:v>0.41946079465007874</c:v>
                </c:pt>
                <c:pt idx="30">
                  <c:v>0.3572940947048836</c:v>
                </c:pt>
              </c:numCache>
            </c:numRef>
          </c:val>
          <c:extLst>
            <c:ext xmlns:c16="http://schemas.microsoft.com/office/drawing/2014/chart" uri="{C3380CC4-5D6E-409C-BE32-E72D297353CC}">
              <c16:uniqueId val="{00000003-8BEF-4689-928F-EAC0F76EF444}"/>
            </c:ext>
          </c:extLst>
        </c:ser>
        <c:ser>
          <c:idx val="2"/>
          <c:order val="2"/>
          <c:tx>
            <c:strRef>
              <c:f>'Transports-Emissions'!$E$30</c:f>
              <c:strCache>
                <c:ptCount val="1"/>
                <c:pt idx="0">
                  <c:v>Transport fluvial de marchandises</c:v>
                </c:pt>
              </c:strCache>
            </c:strRef>
          </c:tx>
          <c:spPr>
            <a:blipFill>
              <a:blip xmlns:r="http://schemas.openxmlformats.org/officeDocument/2006/relationships" r:embed="rId3"/>
              <a:stretch>
                <a:fillRect/>
              </a:stretch>
            </a:blip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4-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'Transports-Emissions'!$AK$30:$BO$30</c:f>
              <c:numCache>
                <c:formatCode>0.0</c:formatCode>
                <c:ptCount val="31"/>
                <c:pt idx="0">
                  <c:v>0.12799061778070339</c:v>
                </c:pt>
                <c:pt idx="1">
                  <c:v>0.14138979078191866</c:v>
                </c:pt>
                <c:pt idx="2">
                  <c:v>0.14810537454562533</c:v>
                </c:pt>
                <c:pt idx="3">
                  <c:v>9.5603221519853163E-2</c:v>
                </c:pt>
                <c:pt idx="4">
                  <c:v>9.7213287850946462E-2</c:v>
                </c:pt>
                <c:pt idx="5">
                  <c:v>9.6482312857441382E-2</c:v>
                </c:pt>
                <c:pt idx="6">
                  <c:v>9.8253348500773524E-2</c:v>
                </c:pt>
                <c:pt idx="7">
                  <c:v>9.4155928665758018E-2</c:v>
                </c:pt>
                <c:pt idx="8">
                  <c:v>0.10347695685609357</c:v>
                </c:pt>
                <c:pt idx="9">
                  <c:v>0.12255804906205411</c:v>
                </c:pt>
                <c:pt idx="10">
                  <c:v>0.12312060970495779</c:v>
                </c:pt>
                <c:pt idx="11">
                  <c:v>0.10647211312871102</c:v>
                </c:pt>
                <c:pt idx="12">
                  <c:v>0.11516307796408815</c:v>
                </c:pt>
                <c:pt idx="13">
                  <c:v>0.11829156667839651</c:v>
                </c:pt>
                <c:pt idx="14">
                  <c:v>0.12206307127728634</c:v>
                </c:pt>
                <c:pt idx="15">
                  <c:v>0.13563015765638589</c:v>
                </c:pt>
                <c:pt idx="16">
                  <c:v>0.13538635069904886</c:v>
                </c:pt>
                <c:pt idx="17">
                  <c:v>0.12723435714356718</c:v>
                </c:pt>
                <c:pt idx="18">
                  <c:v>0.12973775316396144</c:v>
                </c:pt>
                <c:pt idx="19">
                  <c:v>0.13825392512863782</c:v>
                </c:pt>
                <c:pt idx="20">
                  <c:v>0.14459568483608412</c:v>
                </c:pt>
                <c:pt idx="21">
                  <c:v>0.14102458849439484</c:v>
                </c:pt>
                <c:pt idx="22">
                  <c:v>0.13296503542445592</c:v>
                </c:pt>
                <c:pt idx="23">
                  <c:v>0.13274793776948368</c:v>
                </c:pt>
                <c:pt idx="24">
                  <c:v>0.12759248703434203</c:v>
                </c:pt>
                <c:pt idx="25">
                  <c:v>0.12185652311160132</c:v>
                </c:pt>
                <c:pt idx="26">
                  <c:v>0.1099867250264244</c:v>
                </c:pt>
                <c:pt idx="27">
                  <c:v>0.10387795313554821</c:v>
                </c:pt>
                <c:pt idx="28">
                  <c:v>0.11006022264678669</c:v>
                </c:pt>
                <c:pt idx="29">
                  <c:v>0.11402701648773479</c:v>
                </c:pt>
                <c:pt idx="30">
                  <c:v>0.12265875406260562</c:v>
                </c:pt>
              </c:numCache>
            </c:numRef>
          </c:val>
          <c:extLst>
            <c:ext xmlns:c16="http://schemas.microsoft.com/office/drawing/2014/chart" uri="{C3380CC4-5D6E-409C-BE32-E72D297353CC}">
              <c16:uniqueId val="{00000005-8BEF-4689-928F-EAC0F76EF444}"/>
            </c:ext>
          </c:extLst>
        </c:ser>
        <c:ser>
          <c:idx val="3"/>
          <c:order val="3"/>
          <c:tx>
            <c:strRef>
              <c:f>'Transports-Emissions'!$E$31</c:f>
              <c:strCache>
                <c:ptCount val="1"/>
                <c:pt idx="0">
                  <c:v>Transport maritime domestique</c:v>
                </c:pt>
              </c:strCache>
            </c:strRef>
          </c:tx>
          <c:spPr>
            <a:solidFill>
              <a:srgbClr val="A99BB5"/>
            </a:solidFill>
            <a:ln w="3175">
              <a:solidFill>
                <a:schemeClr val="bg1"/>
              </a:solidFill>
            </a:ln>
            <a:effectLst/>
          </c:spPr>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'Transports-Emissions'!$AK$31:$BO$31</c:f>
              <c:numCache>
                <c:formatCode>0.0</c:formatCode>
                <c:ptCount val="31"/>
                <c:pt idx="0">
                  <c:v>1.7219927695284267</c:v>
                </c:pt>
                <c:pt idx="1">
                  <c:v>1.8785735917402833</c:v>
                </c:pt>
                <c:pt idx="2">
                  <c:v>1.7130328612721926</c:v>
                </c:pt>
                <c:pt idx="3">
                  <c:v>1.9166492240065403</c:v>
                </c:pt>
                <c:pt idx="4">
                  <c:v>1.8257353968533625</c:v>
                </c:pt>
                <c:pt idx="5">
                  <c:v>1.7704089950375077</c:v>
                </c:pt>
                <c:pt idx="6">
                  <c:v>1.7347104466287242</c:v>
                </c:pt>
                <c:pt idx="7">
                  <c:v>1.7688786855797587</c:v>
                </c:pt>
                <c:pt idx="8">
                  <c:v>1.8035115333717424</c:v>
                </c:pt>
                <c:pt idx="9">
                  <c:v>1.9247002815704715</c:v>
                </c:pt>
                <c:pt idx="10">
                  <c:v>1.8620462321157536</c:v>
                </c:pt>
                <c:pt idx="11">
                  <c:v>1.9906375808624688</c:v>
                </c:pt>
                <c:pt idx="12">
                  <c:v>1.9653609256851321</c:v>
                </c:pt>
                <c:pt idx="13">
                  <c:v>2.0158543390334041</c:v>
                </c:pt>
                <c:pt idx="14">
                  <c:v>1.8721115600576461</c:v>
                </c:pt>
                <c:pt idx="15">
                  <c:v>1.8420668656624164</c:v>
                </c:pt>
                <c:pt idx="16">
                  <c:v>1.7161831479233314</c:v>
                </c:pt>
                <c:pt idx="17">
                  <c:v>1.6570848677760899</c:v>
                </c:pt>
                <c:pt idx="18">
                  <c:v>1.5938602340258614</c:v>
                </c:pt>
                <c:pt idx="19">
                  <c:v>1.6347779787714862</c:v>
                </c:pt>
                <c:pt idx="20">
                  <c:v>1.5969921892203198</c:v>
                </c:pt>
                <c:pt idx="21">
                  <c:v>1.6702985998416213</c:v>
                </c:pt>
                <c:pt idx="22">
                  <c:v>1.6838057462333829</c:v>
                </c:pt>
                <c:pt idx="23">
                  <c:v>1.5524856209280951</c:v>
                </c:pt>
                <c:pt idx="24">
                  <c:v>1.5440458276906455</c:v>
                </c:pt>
                <c:pt idx="25">
                  <c:v>1.5435550623095435</c:v>
                </c:pt>
                <c:pt idx="26">
                  <c:v>1.4952533892884274</c:v>
                </c:pt>
                <c:pt idx="27">
                  <c:v>1.6438880729238061</c:v>
                </c:pt>
                <c:pt idx="28">
                  <c:v>1.5902744439908127</c:v>
                </c:pt>
                <c:pt idx="29">
                  <c:v>1.5959299037296057</c:v>
                </c:pt>
                <c:pt idx="30">
                  <c:v>1.6017840310111553</c:v>
                </c:pt>
              </c:numCache>
            </c:numRef>
          </c:val>
          <c:extLst>
            <c:ext xmlns:c16="http://schemas.microsoft.com/office/drawing/2014/chart" uri="{C3380CC4-5D6E-409C-BE32-E72D297353CC}">
              <c16:uniqueId val="{00000006-8BEF-4689-928F-EAC0F76EF444}"/>
            </c:ext>
          </c:extLst>
        </c:ser>
        <c:ser>
          <c:idx val="4"/>
          <c:order val="4"/>
          <c:tx>
            <c:strRef>
              <c:f>'Transports-Emissions'!$E$32</c:f>
              <c:strCache>
                <c:ptCount val="1"/>
                <c:pt idx="0">
                  <c:v>Transport autres navigations</c:v>
                </c:pt>
              </c:strCache>
            </c:strRef>
          </c:tx>
          <c:spPr>
            <a:solidFill>
              <a:srgbClr val="C8C0D4"/>
            </a:solidFill>
            <a:ln w="3175">
              <a:solidFill>
                <a:schemeClr val="bg1"/>
              </a:solidFill>
            </a:ln>
            <a:effectLst/>
          </c:spPr>
          <c:dLbls>
            <c:dLbl>
              <c:idx val="0"/>
              <c:delete val="1"/>
              <c:extLst>
                <c:ext xmlns:c15="http://schemas.microsoft.com/office/drawing/2012/chart" uri="{CE6537A1-D6FC-4f65-9D91-7224C49458BB}"/>
                <c:ext xmlns:c16="http://schemas.microsoft.com/office/drawing/2014/chart" uri="{C3380CC4-5D6E-409C-BE32-E72D297353CC}">
                  <c16:uniqueId val="{00000007-8BEF-4689-928F-EAC0F76EF4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'Transports-Emissions'!$AK$32:$BO$32</c:f>
              <c:numCache>
                <c:formatCode>0.0</c:formatCode>
                <c:ptCount val="31"/>
                <c:pt idx="0">
                  <c:v>0.66441307362513269</c:v>
                </c:pt>
                <c:pt idx="1">
                  <c:v>0.68346676879902923</c:v>
                </c:pt>
                <c:pt idx="2">
                  <c:v>0.70293164595456503</c:v>
                </c:pt>
                <c:pt idx="3">
                  <c:v>0.73593500523056976</c:v>
                </c:pt>
                <c:pt idx="4">
                  <c:v>0.75153999868453036</c:v>
                </c:pt>
                <c:pt idx="5">
                  <c:v>0.78924193704465029</c:v>
                </c:pt>
                <c:pt idx="6">
                  <c:v>0.80855875999235061</c:v>
                </c:pt>
                <c:pt idx="7">
                  <c:v>0.83158053026023204</c:v>
                </c:pt>
                <c:pt idx="8">
                  <c:v>0.88734893718868935</c:v>
                </c:pt>
                <c:pt idx="9">
                  <c:v>0.90887602505536458</c:v>
                </c:pt>
                <c:pt idx="10">
                  <c:v>0.84530524436546417</c:v>
                </c:pt>
                <c:pt idx="11">
                  <c:v>0.90524340015998039</c:v>
                </c:pt>
                <c:pt idx="12">
                  <c:v>0.97138863477023374</c:v>
                </c:pt>
                <c:pt idx="13">
                  <c:v>0.98735444578992948</c:v>
                </c:pt>
                <c:pt idx="14">
                  <c:v>1.0103251357998344</c:v>
                </c:pt>
                <c:pt idx="15">
                  <c:v>0.95995799733448572</c:v>
                </c:pt>
                <c:pt idx="16">
                  <c:v>0.95493770097601449</c:v>
                </c:pt>
                <c:pt idx="17">
                  <c:v>0.97161091928139487</c:v>
                </c:pt>
                <c:pt idx="18">
                  <c:v>0.93959189975077317</c:v>
                </c:pt>
                <c:pt idx="19">
                  <c:v>0.9549430205723809</c:v>
                </c:pt>
                <c:pt idx="20">
                  <c:v>0.96627730987241955</c:v>
                </c:pt>
                <c:pt idx="21">
                  <c:v>0.95383120182735937</c:v>
                </c:pt>
                <c:pt idx="22">
                  <c:v>1.0093614294381805</c:v>
                </c:pt>
                <c:pt idx="23">
                  <c:v>1.0174685264266259</c:v>
                </c:pt>
                <c:pt idx="24">
                  <c:v>1.0215413655836059</c:v>
                </c:pt>
                <c:pt idx="25">
                  <c:v>1.023629044399029</c:v>
                </c:pt>
                <c:pt idx="26">
                  <c:v>1.0309851398105714</c:v>
                </c:pt>
                <c:pt idx="27">
                  <c:v>1.0297798161575751</c:v>
                </c:pt>
                <c:pt idx="28">
                  <c:v>1.0309159230898379</c:v>
                </c:pt>
                <c:pt idx="29">
                  <c:v>1.0440292315086996</c:v>
                </c:pt>
                <c:pt idx="30">
                  <c:v>1.033573092036002</c:v>
                </c:pt>
              </c:numCache>
            </c:numRef>
          </c:val>
          <c:extLst>
            <c:ext xmlns:c16="http://schemas.microsoft.com/office/drawing/2014/chart" uri="{C3380CC4-5D6E-409C-BE32-E72D297353CC}">
              <c16:uniqueId val="{00000008-8BEF-4689-928F-EAC0F76EF444}"/>
            </c:ext>
          </c:extLst>
        </c:ser>
        <c:ser>
          <c:idx val="5"/>
          <c:order val="5"/>
          <c:tx>
            <c:strRef>
              <c:f>'Transports-Emissions'!$E$33</c:f>
              <c:strCache>
                <c:ptCount val="1"/>
                <c:pt idx="0">
                  <c:v>Transport aérien français</c:v>
                </c:pt>
              </c:strCache>
            </c:strRef>
          </c:tx>
          <c:spPr>
            <a:solidFill>
              <a:srgbClr val="E5E1EB"/>
            </a:solidFill>
            <a:ln w="3175">
              <a:solidFill>
                <a:schemeClr val="bg1"/>
              </a:solidFill>
            </a:ln>
            <a:effectLst/>
          </c:spPr>
          <c:dLbls>
            <c:dLbl>
              <c:idx val="0"/>
              <c:layout>
                <c:manualLayout>
                  <c:x val="1.175925925925926E-3"/>
                  <c:y val="-5.2916666666666667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extLst>
                <c:ext xmlns:c15="http://schemas.microsoft.com/office/drawing/2012/chart" uri="{CE6537A1-D6FC-4f65-9D91-7224C49458BB}">
                  <c15:layout>
                    <c:manualLayout>
                      <c:w val="0.25330611111111112"/>
                      <c:h val="9.3586904761904774E-2"/>
                    </c:manualLayout>
                  </c15:layout>
                </c:ext>
                <c:ext xmlns:c16="http://schemas.microsoft.com/office/drawing/2014/chart" uri="{C3380CC4-5D6E-409C-BE32-E72D297353CC}">
                  <c16:uniqueId val="{00000009-8BEF-4689-928F-EAC0F76EF44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numRef>
              <c:f>'Transports-Emissions'!$AK$10:$BO$10</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'Transports-Emissions'!$AK$33:$BO$33</c:f>
              <c:numCache>
                <c:formatCode>0.0</c:formatCode>
                <c:ptCount val="31"/>
                <c:pt idx="0">
                  <c:v>4.1694599588445849</c:v>
                </c:pt>
                <c:pt idx="1">
                  <c:v>4.2683829125085211</c:v>
                </c:pt>
                <c:pt idx="2">
                  <c:v>4.2132425606059112</c:v>
                </c:pt>
                <c:pt idx="3">
                  <c:v>4.2033736197495291</c:v>
                </c:pt>
                <c:pt idx="4">
                  <c:v>4.3822494603463404</c:v>
                </c:pt>
                <c:pt idx="5">
                  <c:v>5.0084564544461525</c:v>
                </c:pt>
                <c:pt idx="6">
                  <c:v>5.5586317667529199</c:v>
                </c:pt>
                <c:pt idx="7">
                  <c:v>5.6976697916181989</c:v>
                </c:pt>
                <c:pt idx="8">
                  <c:v>5.8849711272145298</c:v>
                </c:pt>
                <c:pt idx="9">
                  <c:v>6.0431522902653532</c:v>
                </c:pt>
                <c:pt idx="10">
                  <c:v>6.2123774814447499</c:v>
                </c:pt>
                <c:pt idx="11">
                  <c:v>5.8387300047453339</c:v>
                </c:pt>
                <c:pt idx="12">
                  <c:v>5.6429390300861018</c:v>
                </c:pt>
                <c:pt idx="13">
                  <c:v>5.1272296903770984</c:v>
                </c:pt>
                <c:pt idx="14">
                  <c:v>5.1816131664216227</c:v>
                </c:pt>
                <c:pt idx="15">
                  <c:v>5.0074987021151047</c:v>
                </c:pt>
                <c:pt idx="16">
                  <c:v>4.7731919824529276</c:v>
                </c:pt>
                <c:pt idx="17">
                  <c:v>4.6938539904966365</c:v>
                </c:pt>
                <c:pt idx="18">
                  <c:v>4.7133576721881782</c:v>
                </c:pt>
                <c:pt idx="19">
                  <c:v>4.6540351362164198</c:v>
                </c:pt>
                <c:pt idx="20">
                  <c:v>4.6018828730134729</c:v>
                </c:pt>
                <c:pt idx="21">
                  <c:v>4.649542562421467</c:v>
                </c:pt>
                <c:pt idx="22">
                  <c:v>4.6716281651237894</c:v>
                </c:pt>
                <c:pt idx="23">
                  <c:v>4.6069214453749252</c:v>
                </c:pt>
                <c:pt idx="24">
                  <c:v>4.4240526689567181</c:v>
                </c:pt>
                <c:pt idx="25">
                  <c:v>4.4140582224606559</c:v>
                </c:pt>
                <c:pt idx="26">
                  <c:v>4.5573531967203245</c:v>
                </c:pt>
                <c:pt idx="27">
                  <c:v>4.7103036543468493</c:v>
                </c:pt>
                <c:pt idx="28">
                  <c:v>4.9483897353031709</c:v>
                </c:pt>
                <c:pt idx="29">
                  <c:v>5.0222004091614414</c:v>
                </c:pt>
                <c:pt idx="30">
                  <c:v>3.076572295491967</c:v>
                </c:pt>
              </c:numCache>
            </c:numRef>
          </c:val>
          <c:extLst>
            <c:ext xmlns:c16="http://schemas.microsoft.com/office/drawing/2014/chart" uri="{C3380CC4-5D6E-409C-BE32-E72D297353CC}">
              <c16:uniqueId val="{0000000A-8BEF-4689-928F-EAC0F76EF444}"/>
            </c:ext>
          </c:extLst>
        </c:ser>
        <c:dLbls>
          <c:showLegendKey val="0"/>
          <c:showVal val="0"/>
          <c:showCatName val="0"/>
          <c:showSerName val="0"/>
          <c:showPercent val="0"/>
          <c:showBubbleSize val="0"/>
        </c:dLbls>
        <c:axId val="1265678520"/>
        <c:axId val="1265682456"/>
      </c:areaChart>
      <c:catAx>
        <c:axId val="1265678520"/>
        <c:scaling>
          <c:orientation val="minMax"/>
        </c:scaling>
        <c:delete val="0"/>
        <c:axPos val="b"/>
        <c:numFmt formatCode="General" sourceLinked="1"/>
        <c:majorTickMark val="out"/>
        <c:minorTickMark val="none"/>
        <c:tickLblPos val="nextTo"/>
        <c:spPr>
          <a:noFill/>
          <a:ln w="9525" cap="flat" cmpd="sng" algn="ctr">
            <a:solidFill>
              <a:schemeClr val="bg1">
                <a:lumMod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265682456"/>
        <c:crosses val="autoZero"/>
        <c:auto val="1"/>
        <c:lblAlgn val="ctr"/>
        <c:lblOffset val="100"/>
        <c:noMultiLvlLbl val="0"/>
      </c:catAx>
      <c:valAx>
        <c:axId val="1265682456"/>
        <c:scaling>
          <c:orientation val="minMax"/>
          <c:min val="0"/>
        </c:scaling>
        <c:delete val="0"/>
        <c:axPos val="l"/>
        <c:majorGridlines>
          <c:spPr>
            <a:ln w="9525" cap="flat" cmpd="sng" algn="ctr">
              <a:solidFill>
                <a:schemeClr val="bg1">
                  <a:lumMod val="7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r>
                  <a:rPr lang="en-US" sz="800" b="0" i="0" baseline="0">
                    <a:effectLst/>
                  </a:rPr>
                  <a:t>millions de tonnes CO</a:t>
                </a:r>
                <a:r>
                  <a:rPr lang="en-US" sz="800" b="0" i="0" baseline="-25000">
                    <a:effectLst/>
                  </a:rPr>
                  <a:t>2</a:t>
                </a:r>
                <a:r>
                  <a:rPr lang="en-US" sz="800" b="0" i="0" baseline="0">
                    <a:effectLst/>
                  </a:rPr>
                  <a:t> équivalent</a:t>
                </a:r>
                <a:endParaRPr lang="fr-FR" sz="800">
                  <a:effectLst/>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title>
        <c:numFmt formatCode="General" sourceLinked="0"/>
        <c:majorTickMark val="out"/>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265678520"/>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rebuchet MS" panose="020B0603020202020204" pitchFamily="34" charset="0"/>
        </a:defRPr>
      </a:pPr>
      <a:endParaRPr lang="en-US"/>
    </a:p>
  </c:txPr>
  <c:externalData r:id="rId4">
    <c:autoUpdate val="0"/>
  </c:externalData>
  <c:userShapes r:id="rId5"/>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6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645716108873306E-3"/>
          <c:y val="1.7766558403618932E-2"/>
          <c:w val="0.8307733389745573"/>
          <c:h val="0.79775192768519299"/>
        </c:manualLayout>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B81-4DED-8724-7A5D182DF4CA}"/>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9B81-4DED-8724-7A5D182DF4CA}"/>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9B81-4DED-8724-7A5D182DF4CA}"/>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9B81-4DED-8724-7A5D182DF4CA}"/>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9B81-4DED-8724-7A5D182DF4CA}"/>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9B81-4DED-8724-7A5D182DF4CA}"/>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9B81-4DED-8724-7A5D182DF4CA}"/>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9B81-4DED-8724-7A5D182DF4CA}"/>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11-9B81-4DED-8724-7A5D182DF4CA}"/>
              </c:ext>
            </c:extLst>
          </c:dPt>
          <c:dLbls>
            <c:dLbl>
              <c:idx val="2"/>
              <c:layout>
                <c:manualLayout>
                  <c:x val="-0.2005399133509668"/>
                  <c:y val="-5.755180376122609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9B81-4DED-8724-7A5D182DF4CA}"/>
                </c:ext>
              </c:extLst>
            </c:dLbl>
            <c:dLbl>
              <c:idx val="3"/>
              <c:layout>
                <c:manualLayout>
                  <c:x val="7.8504509222187185E-2"/>
                  <c:y val="-0.17386351812752424"/>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9B81-4DED-8724-7A5D182DF4CA}"/>
                </c:ext>
              </c:extLst>
            </c:dLbl>
            <c:dLbl>
              <c:idx val="4"/>
              <c:layout>
                <c:manualLayout>
                  <c:x val="0.1604866942832322"/>
                  <c:y val="-6.3068641120002378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9B81-4DED-8724-7A5D182DF4CA}"/>
                </c:ext>
              </c:extLst>
            </c:dLbl>
            <c:dLbl>
              <c:idx val="8"/>
              <c:layout>
                <c:manualLayout>
                  <c:x val="-0.2438952535689701"/>
                  <c:y val="9.6673832623940914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1-9B81-4DED-8724-7A5D182DF4C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CO2e!$B$39:$B$47</c:f>
              <c:strCache>
                <c:ptCount val="9"/>
                <c:pt idx="0">
                  <c:v>VP</c:v>
                </c:pt>
                <c:pt idx="1">
                  <c:v>VUL</c:v>
                </c:pt>
                <c:pt idx="2">
                  <c:v>PL (y.c. bus et cars)</c:v>
                </c:pt>
                <c:pt idx="3">
                  <c:v>Deux roues</c:v>
                </c:pt>
                <c:pt idx="4">
                  <c:v>Transport ferroviaire</c:v>
                </c:pt>
                <c:pt idx="5">
                  <c:v>Transport fluvial de marchandises</c:v>
                </c:pt>
                <c:pt idx="6">
                  <c:v>Transport maritime domestique</c:v>
                </c:pt>
                <c:pt idx="7">
                  <c:v>Transport autres navigations</c:v>
                </c:pt>
                <c:pt idx="8">
                  <c:v>Transport aérien français</c:v>
                </c:pt>
              </c:strCache>
            </c:strRef>
          </c:cat>
          <c:val>
            <c:numRef>
              <c:f>CO2e!$AG$39:$AG$47</c:f>
              <c:numCache>
                <c:formatCode>0.0</c:formatCode>
                <c:ptCount val="9"/>
                <c:pt idx="0">
                  <c:v>58.729197275689558</c:v>
                </c:pt>
                <c:pt idx="1">
                  <c:v>16.583170715624043</c:v>
                </c:pt>
                <c:pt idx="2">
                  <c:v>30.404037919339892</c:v>
                </c:pt>
                <c:pt idx="3">
                  <c:v>1.1683044005337553</c:v>
                </c:pt>
                <c:pt idx="4">
                  <c:v>0.3572940947048836</c:v>
                </c:pt>
                <c:pt idx="5">
                  <c:v>0.12265875406260562</c:v>
                </c:pt>
                <c:pt idx="6">
                  <c:v>1.6017840310111553</c:v>
                </c:pt>
                <c:pt idx="7">
                  <c:v>1.033573092036002</c:v>
                </c:pt>
                <c:pt idx="8">
                  <c:v>3.076572295491967</c:v>
                </c:pt>
              </c:numCache>
            </c:numRef>
          </c:val>
          <c:extLst>
            <c:ext xmlns:c16="http://schemas.microsoft.com/office/drawing/2014/chart" uri="{C3380CC4-5D6E-409C-BE32-E72D297353CC}">
              <c16:uniqueId val="{00000012-9B81-4DED-8724-7A5D182DF4CA}"/>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CO2e!$B$43</c:f>
              <c:strCache>
                <c:ptCount val="1"/>
                <c:pt idx="0">
                  <c:v>Transport ferroviaire</c:v>
                </c:pt>
              </c:strCache>
            </c:strRef>
          </c:tx>
          <c:spPr>
            <a:ln w="28575" cap="rnd">
              <a:solidFill>
                <a:schemeClr val="accent1"/>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CO2e!$C$43:$AG$43</c:f>
              <c:numCache>
                <c:formatCode>0.0</c:formatCode>
                <c:ptCount val="19"/>
                <c:pt idx="0">
                  <c:v>1.0949178027572364</c:v>
                </c:pt>
                <c:pt idx="1">
                  <c:v>0.82908701283408659</c:v>
                </c:pt>
                <c:pt idx="2">
                  <c:v>0.78300785036495568</c:v>
                </c:pt>
                <c:pt idx="3">
                  <c:v>0.67374758465297457</c:v>
                </c:pt>
                <c:pt idx="4">
                  <c:v>0.65270893046450895</c:v>
                </c:pt>
                <c:pt idx="5">
                  <c:v>0.61806526335248779</c:v>
                </c:pt>
                <c:pt idx="6">
                  <c:v>0.62914652913054503</c:v>
                </c:pt>
                <c:pt idx="7">
                  <c:v>0.57848682860765654</c:v>
                </c:pt>
                <c:pt idx="8">
                  <c:v>0.5538338110140828</c:v>
                </c:pt>
                <c:pt idx="9">
                  <c:v>0.56752972037661453</c:v>
                </c:pt>
                <c:pt idx="10">
                  <c:v>0.55650876144795292</c:v>
                </c:pt>
                <c:pt idx="11">
                  <c:v>0.55209867414804759</c:v>
                </c:pt>
                <c:pt idx="12">
                  <c:v>0.47647068969781875</c:v>
                </c:pt>
                <c:pt idx="13">
                  <c:v>0.47237576079572774</c:v>
                </c:pt>
                <c:pt idx="14">
                  <c:v>0.44673511397698018</c:v>
                </c:pt>
                <c:pt idx="15">
                  <c:v>0.4678076109847954</c:v>
                </c:pt>
                <c:pt idx="16">
                  <c:v>0.42107830222791115</c:v>
                </c:pt>
                <c:pt idx="17">
                  <c:v>0.41946079465007874</c:v>
                </c:pt>
                <c:pt idx="18">
                  <c:v>0.3572940947048836</c:v>
                </c:pt>
              </c:numCache>
            </c:numRef>
          </c:val>
          <c:smooth val="0"/>
          <c:extLst>
            <c:ext xmlns:c16="http://schemas.microsoft.com/office/drawing/2014/chart" uri="{C3380CC4-5D6E-409C-BE32-E72D297353CC}">
              <c16:uniqueId val="{00000000-4B28-407A-B187-00098A5942C4}"/>
            </c:ext>
          </c:extLst>
        </c:ser>
        <c:ser>
          <c:idx val="1"/>
          <c:order val="1"/>
          <c:tx>
            <c:strRef>
              <c:f>CO2e!$B$44</c:f>
              <c:strCache>
                <c:ptCount val="1"/>
                <c:pt idx="0">
                  <c:v>Transport fluvial de marchandises</c:v>
                </c:pt>
              </c:strCache>
            </c:strRef>
          </c:tx>
          <c:spPr>
            <a:ln w="28575" cap="rnd">
              <a:solidFill>
                <a:schemeClr val="accent2"/>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CO2e!$C$44:$AG$44</c:f>
              <c:numCache>
                <c:formatCode>0.0</c:formatCode>
                <c:ptCount val="19"/>
                <c:pt idx="0">
                  <c:v>0.12799061778070339</c:v>
                </c:pt>
                <c:pt idx="1">
                  <c:v>9.6482312857441382E-2</c:v>
                </c:pt>
                <c:pt idx="2">
                  <c:v>0.12312060970495779</c:v>
                </c:pt>
                <c:pt idx="3">
                  <c:v>0.13563015765638589</c:v>
                </c:pt>
                <c:pt idx="4">
                  <c:v>0.13538635069904886</c:v>
                </c:pt>
                <c:pt idx="5">
                  <c:v>0.12723435714356718</c:v>
                </c:pt>
                <c:pt idx="6">
                  <c:v>0.12973775316396144</c:v>
                </c:pt>
                <c:pt idx="7">
                  <c:v>0.13825392512863782</c:v>
                </c:pt>
                <c:pt idx="8">
                  <c:v>0.14459568483608412</c:v>
                </c:pt>
                <c:pt idx="9">
                  <c:v>0.14102458849439484</c:v>
                </c:pt>
                <c:pt idx="10">
                  <c:v>0.13296503542445592</c:v>
                </c:pt>
                <c:pt idx="11">
                  <c:v>0.13274793776948368</c:v>
                </c:pt>
                <c:pt idx="12">
                  <c:v>0.12759248703434203</c:v>
                </c:pt>
                <c:pt idx="13">
                  <c:v>0.12185652311160132</c:v>
                </c:pt>
                <c:pt idx="14">
                  <c:v>0.1099867250264244</c:v>
                </c:pt>
                <c:pt idx="15">
                  <c:v>0.10387795313554821</c:v>
                </c:pt>
                <c:pt idx="16">
                  <c:v>0.11006022264678669</c:v>
                </c:pt>
                <c:pt idx="17">
                  <c:v>0.11402701648773479</c:v>
                </c:pt>
                <c:pt idx="18">
                  <c:v>0.12265875406260562</c:v>
                </c:pt>
              </c:numCache>
            </c:numRef>
          </c:val>
          <c:smooth val="0"/>
          <c:extLst>
            <c:ext xmlns:c16="http://schemas.microsoft.com/office/drawing/2014/chart" uri="{C3380CC4-5D6E-409C-BE32-E72D297353CC}">
              <c16:uniqueId val="{00000001-4B28-407A-B187-00098A5942C4}"/>
            </c:ext>
          </c:extLst>
        </c:ser>
        <c:ser>
          <c:idx val="2"/>
          <c:order val="2"/>
          <c:tx>
            <c:strRef>
              <c:f>CO2e!$B$45</c:f>
              <c:strCache>
                <c:ptCount val="1"/>
                <c:pt idx="0">
                  <c:v>Transport maritime domestique</c:v>
                </c:pt>
              </c:strCache>
            </c:strRef>
          </c:tx>
          <c:spPr>
            <a:ln w="28575" cap="rnd">
              <a:solidFill>
                <a:schemeClr val="accent3"/>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CO2e!$C$45:$AG$45</c:f>
              <c:numCache>
                <c:formatCode>0.0</c:formatCode>
                <c:ptCount val="19"/>
                <c:pt idx="0">
                  <c:v>1.7219927695284267</c:v>
                </c:pt>
                <c:pt idx="1">
                  <c:v>1.7704089950375077</c:v>
                </c:pt>
                <c:pt idx="2">
                  <c:v>1.8620462321157536</c:v>
                </c:pt>
                <c:pt idx="3">
                  <c:v>1.8420668656624164</c:v>
                </c:pt>
                <c:pt idx="4">
                  <c:v>1.7161831479233314</c:v>
                </c:pt>
                <c:pt idx="5">
                  <c:v>1.6570848677760899</c:v>
                </c:pt>
                <c:pt idx="6">
                  <c:v>1.5938602340258614</c:v>
                </c:pt>
                <c:pt idx="7">
                  <c:v>1.6347779787714862</c:v>
                </c:pt>
                <c:pt idx="8">
                  <c:v>1.5969921892203198</c:v>
                </c:pt>
                <c:pt idx="9">
                  <c:v>1.6702985998416213</c:v>
                </c:pt>
                <c:pt idx="10">
                  <c:v>1.6838057462333829</c:v>
                </c:pt>
                <c:pt idx="11">
                  <c:v>1.5524856209280951</c:v>
                </c:pt>
                <c:pt idx="12">
                  <c:v>1.5440458276906455</c:v>
                </c:pt>
                <c:pt idx="13">
                  <c:v>1.5435550623095435</c:v>
                </c:pt>
                <c:pt idx="14">
                  <c:v>1.4952533892884274</c:v>
                </c:pt>
                <c:pt idx="15">
                  <c:v>1.6438880729238061</c:v>
                </c:pt>
                <c:pt idx="16">
                  <c:v>1.5902744439908127</c:v>
                </c:pt>
                <c:pt idx="17">
                  <c:v>1.5959299037296057</c:v>
                </c:pt>
                <c:pt idx="18">
                  <c:v>1.6017840310111553</c:v>
                </c:pt>
              </c:numCache>
            </c:numRef>
          </c:val>
          <c:smooth val="0"/>
          <c:extLst>
            <c:ext xmlns:c16="http://schemas.microsoft.com/office/drawing/2014/chart" uri="{C3380CC4-5D6E-409C-BE32-E72D297353CC}">
              <c16:uniqueId val="{00000002-4B28-407A-B187-00098A5942C4}"/>
            </c:ext>
          </c:extLst>
        </c:ser>
        <c:ser>
          <c:idx val="3"/>
          <c:order val="3"/>
          <c:tx>
            <c:strRef>
              <c:f>CO2e!$B$46</c:f>
              <c:strCache>
                <c:ptCount val="1"/>
                <c:pt idx="0">
                  <c:v>Transport autres navigations</c:v>
                </c:pt>
              </c:strCache>
            </c:strRef>
          </c:tx>
          <c:spPr>
            <a:ln w="28575" cap="rnd">
              <a:solidFill>
                <a:schemeClr val="accent4"/>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CO2e!$C$46:$AG$46</c:f>
              <c:numCache>
                <c:formatCode>0.0</c:formatCode>
                <c:ptCount val="19"/>
                <c:pt idx="0">
                  <c:v>0.66441307362513269</c:v>
                </c:pt>
                <c:pt idx="1">
                  <c:v>0.78924193704465029</c:v>
                </c:pt>
                <c:pt idx="2">
                  <c:v>0.84530524436546417</c:v>
                </c:pt>
                <c:pt idx="3">
                  <c:v>0.95995799733448572</c:v>
                </c:pt>
                <c:pt idx="4">
                  <c:v>0.95493770097601449</c:v>
                </c:pt>
                <c:pt idx="5">
                  <c:v>0.97161091928139487</c:v>
                </c:pt>
                <c:pt idx="6">
                  <c:v>0.93959189975077317</c:v>
                </c:pt>
                <c:pt idx="7">
                  <c:v>0.9549430205723809</c:v>
                </c:pt>
                <c:pt idx="8">
                  <c:v>0.96627730987241955</c:v>
                </c:pt>
                <c:pt idx="9">
                  <c:v>0.95383120182735937</c:v>
                </c:pt>
                <c:pt idx="10">
                  <c:v>1.0093614294381805</c:v>
                </c:pt>
                <c:pt idx="11">
                  <c:v>1.0174685264266259</c:v>
                </c:pt>
                <c:pt idx="12">
                  <c:v>1.0215413655836059</c:v>
                </c:pt>
                <c:pt idx="13">
                  <c:v>1.023629044399029</c:v>
                </c:pt>
                <c:pt idx="14">
                  <c:v>1.0309851398105714</c:v>
                </c:pt>
                <c:pt idx="15">
                  <c:v>1.0297798161575751</c:v>
                </c:pt>
                <c:pt idx="16">
                  <c:v>1.0309159230898379</c:v>
                </c:pt>
                <c:pt idx="17">
                  <c:v>1.0440292315086996</c:v>
                </c:pt>
                <c:pt idx="18">
                  <c:v>1.033573092036002</c:v>
                </c:pt>
              </c:numCache>
            </c:numRef>
          </c:val>
          <c:smooth val="0"/>
          <c:extLst>
            <c:ext xmlns:c16="http://schemas.microsoft.com/office/drawing/2014/chart" uri="{C3380CC4-5D6E-409C-BE32-E72D297353CC}">
              <c16:uniqueId val="{00000003-4B28-407A-B187-00098A5942C4}"/>
            </c:ext>
          </c:extLst>
        </c:ser>
        <c:ser>
          <c:idx val="4"/>
          <c:order val="4"/>
          <c:tx>
            <c:strRef>
              <c:f>CO2e!$B$47</c:f>
              <c:strCache>
                <c:ptCount val="1"/>
                <c:pt idx="0">
                  <c:v>Transport aérien français</c:v>
                </c:pt>
              </c:strCache>
            </c:strRef>
          </c:tx>
          <c:spPr>
            <a:ln w="28575" cap="rnd">
              <a:solidFill>
                <a:schemeClr val="accent5"/>
              </a:solidFill>
              <a:round/>
            </a:ln>
            <a:effectLst/>
          </c:spPr>
          <c:marker>
            <c:symbol val="none"/>
          </c:marke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CO2e!$C$47:$AG$47</c:f>
              <c:numCache>
                <c:formatCode>0.0</c:formatCode>
                <c:ptCount val="19"/>
                <c:pt idx="0">
                  <c:v>4.1694599588445849</c:v>
                </c:pt>
                <c:pt idx="1">
                  <c:v>5.0084564544461525</c:v>
                </c:pt>
                <c:pt idx="2">
                  <c:v>6.2123774814447499</c:v>
                </c:pt>
                <c:pt idx="3">
                  <c:v>5.0074987021151047</c:v>
                </c:pt>
                <c:pt idx="4">
                  <c:v>4.7731919824529276</c:v>
                </c:pt>
                <c:pt idx="5">
                  <c:v>4.6938539904966365</c:v>
                </c:pt>
                <c:pt idx="6">
                  <c:v>4.7133576721881782</c:v>
                </c:pt>
                <c:pt idx="7">
                  <c:v>4.6540351362164198</c:v>
                </c:pt>
                <c:pt idx="8">
                  <c:v>4.6018828730134729</c:v>
                </c:pt>
                <c:pt idx="9">
                  <c:v>4.649542562421467</c:v>
                </c:pt>
                <c:pt idx="10">
                  <c:v>4.6716281651237894</c:v>
                </c:pt>
                <c:pt idx="11">
                  <c:v>4.6069214453749252</c:v>
                </c:pt>
                <c:pt idx="12">
                  <c:v>4.4240526689567181</c:v>
                </c:pt>
                <c:pt idx="13">
                  <c:v>4.4140582224606559</c:v>
                </c:pt>
                <c:pt idx="14">
                  <c:v>4.5573531967203245</c:v>
                </c:pt>
                <c:pt idx="15">
                  <c:v>4.7103036543468493</c:v>
                </c:pt>
                <c:pt idx="16">
                  <c:v>4.9483897353031709</c:v>
                </c:pt>
                <c:pt idx="17">
                  <c:v>5.0222004091614414</c:v>
                </c:pt>
                <c:pt idx="18">
                  <c:v>3.076572295491967</c:v>
                </c:pt>
              </c:numCache>
            </c:numRef>
          </c:val>
          <c:smooth val="0"/>
          <c:extLst>
            <c:ext xmlns:c16="http://schemas.microsoft.com/office/drawing/2014/chart" uri="{C3380CC4-5D6E-409C-BE32-E72D297353CC}">
              <c16:uniqueId val="{00000004-4B28-407A-B187-00098A5942C4}"/>
            </c:ext>
          </c:extLst>
        </c:ser>
        <c:dLbls>
          <c:showLegendKey val="0"/>
          <c:showVal val="0"/>
          <c:showCatName val="0"/>
          <c:showSerName val="0"/>
          <c:showPercent val="0"/>
          <c:showBubbleSize val="0"/>
        </c:dLbls>
        <c:smooth val="0"/>
        <c:axId val="1595057632"/>
        <c:axId val="1595058880"/>
      </c:lineChart>
      <c:catAx>
        <c:axId val="159505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058880"/>
        <c:crosses val="autoZero"/>
        <c:auto val="1"/>
        <c:lblAlgn val="ctr"/>
        <c:lblOffset val="100"/>
        <c:noMultiLvlLbl val="0"/>
      </c:catAx>
      <c:valAx>
        <c:axId val="159505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MtCO2</a:t>
                </a:r>
                <a:r>
                  <a:rPr lang="fr-FR" baseline="-25000"/>
                  <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9505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Usage résidentiel</c:v>
          </c:tx>
          <c:spPr>
            <a:ln w="28575" cap="rnd">
              <a:solidFill>
                <a:schemeClr val="accent1"/>
              </a:solidFill>
              <a:round/>
            </a:ln>
            <a:effectLst/>
          </c:spPr>
          <c:marker>
            <c:symbol val="none"/>
          </c:marker>
          <c:cat>
            <c:numRef>
              <c:f>'[Donnees-GES.xlsx]Secteur RT'!$AK$5:$BO$5</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'[Donnees-GES.xlsx]Secteur RT'!$AK$13:$BO$13</c:f>
              <c:numCache>
                <c:formatCode>0.0</c:formatCode>
                <c:ptCount val="31"/>
                <c:pt idx="0">
                  <c:v>61.35139945757394</c:v>
                </c:pt>
                <c:pt idx="1">
                  <c:v>69.009118229717785</c:v>
                </c:pt>
                <c:pt idx="2">
                  <c:v>67.925646089717787</c:v>
                </c:pt>
                <c:pt idx="3">
                  <c:v>66.089694709056829</c:v>
                </c:pt>
                <c:pt idx="4">
                  <c:v>62.31057046806545</c:v>
                </c:pt>
                <c:pt idx="5">
                  <c:v>62.219180189834184</c:v>
                </c:pt>
                <c:pt idx="6">
                  <c:v>68.901038937388435</c:v>
                </c:pt>
                <c:pt idx="7">
                  <c:v>64.939697916248122</c:v>
                </c:pt>
                <c:pt idx="8">
                  <c:v>67.284128221261781</c:v>
                </c:pt>
                <c:pt idx="9">
                  <c:v>68.030120287940363</c:v>
                </c:pt>
                <c:pt idx="10">
                  <c:v>65.950490339329747</c:v>
                </c:pt>
                <c:pt idx="11">
                  <c:v>69.711364027932618</c:v>
                </c:pt>
                <c:pt idx="12">
                  <c:v>66.90307019482016</c:v>
                </c:pt>
                <c:pt idx="13">
                  <c:v>68.216758672090236</c:v>
                </c:pt>
                <c:pt idx="14">
                  <c:v>72.002855154531886</c:v>
                </c:pt>
                <c:pt idx="15">
                  <c:v>71.088784574976373</c:v>
                </c:pt>
                <c:pt idx="16">
                  <c:v>68.310254203749849</c:v>
                </c:pt>
                <c:pt idx="17">
                  <c:v>60.775816706021004</c:v>
                </c:pt>
                <c:pt idx="18">
                  <c:v>65.905769303798024</c:v>
                </c:pt>
                <c:pt idx="19">
                  <c:v>65.498212783156262</c:v>
                </c:pt>
                <c:pt idx="20">
                  <c:v>63.494988401250922</c:v>
                </c:pt>
                <c:pt idx="21">
                  <c:v>56.086460384698341</c:v>
                </c:pt>
                <c:pt idx="22">
                  <c:v>60.528971233854797</c:v>
                </c:pt>
                <c:pt idx="23">
                  <c:v>61.843001052819744</c:v>
                </c:pt>
                <c:pt idx="24">
                  <c:v>49.41408642383837</c:v>
                </c:pt>
                <c:pt idx="25">
                  <c:v>51.593507817839203</c:v>
                </c:pt>
                <c:pt idx="26">
                  <c:v>52.879149810662561</c:v>
                </c:pt>
                <c:pt idx="27">
                  <c:v>51.827432653068719</c:v>
                </c:pt>
                <c:pt idx="28">
                  <c:v>48.165272488356322</c:v>
                </c:pt>
                <c:pt idx="29">
                  <c:v>46.588579741977981</c:v>
                </c:pt>
                <c:pt idx="30">
                  <c:v>44.822878292290277</c:v>
                </c:pt>
              </c:numCache>
            </c:numRef>
          </c:val>
          <c:smooth val="0"/>
          <c:extLst>
            <c:ext xmlns:c16="http://schemas.microsoft.com/office/drawing/2014/chart" uri="{C3380CC4-5D6E-409C-BE32-E72D297353CC}">
              <c16:uniqueId val="{00000000-E13C-4204-8536-FEE3F5EF7D26}"/>
            </c:ext>
          </c:extLst>
        </c:ser>
        <c:ser>
          <c:idx val="1"/>
          <c:order val="1"/>
          <c:tx>
            <c:v>Usage tertiaire</c:v>
          </c:tx>
          <c:spPr>
            <a:ln w="28575" cap="rnd">
              <a:solidFill>
                <a:schemeClr val="accent2"/>
              </a:solidFill>
              <a:round/>
            </a:ln>
            <a:effectLst/>
          </c:spPr>
          <c:marker>
            <c:symbol val="none"/>
          </c:marker>
          <c:cat>
            <c:numRef>
              <c:f>'[Donnees-GES.xlsx]Secteur RT'!$AK$5:$BO$5</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'[Donnees-GES.xlsx]Secteur RT'!$AK$19:$BO$19</c:f>
              <c:numCache>
                <c:formatCode>0.0</c:formatCode>
                <c:ptCount val="31"/>
                <c:pt idx="0">
                  <c:v>31.429846118191257</c:v>
                </c:pt>
                <c:pt idx="1">
                  <c:v>33.36694628776803</c:v>
                </c:pt>
                <c:pt idx="2">
                  <c:v>30.661210118959673</c:v>
                </c:pt>
                <c:pt idx="3">
                  <c:v>28.92935282770495</c:v>
                </c:pt>
                <c:pt idx="4">
                  <c:v>26.331852349082535</c:v>
                </c:pt>
                <c:pt idx="5">
                  <c:v>26.348038074547436</c:v>
                </c:pt>
                <c:pt idx="6">
                  <c:v>29.576332018829159</c:v>
                </c:pt>
                <c:pt idx="7">
                  <c:v>28.68479590207286</c:v>
                </c:pt>
                <c:pt idx="8">
                  <c:v>30.983688691940685</c:v>
                </c:pt>
                <c:pt idx="9">
                  <c:v>31.983474067933336</c:v>
                </c:pt>
                <c:pt idx="10">
                  <c:v>30.404793694535826</c:v>
                </c:pt>
                <c:pt idx="11">
                  <c:v>32.199469296573476</c:v>
                </c:pt>
                <c:pt idx="12">
                  <c:v>30.672564656573414</c:v>
                </c:pt>
                <c:pt idx="13">
                  <c:v>34.773023365080732</c:v>
                </c:pt>
                <c:pt idx="14">
                  <c:v>35.653947467334078</c:v>
                </c:pt>
                <c:pt idx="15">
                  <c:v>35.413440253982728</c:v>
                </c:pt>
                <c:pt idx="16">
                  <c:v>33.612561590214412</c:v>
                </c:pt>
                <c:pt idx="17">
                  <c:v>33.858939452612447</c:v>
                </c:pt>
                <c:pt idx="18">
                  <c:v>35.86166182519321</c:v>
                </c:pt>
                <c:pt idx="19">
                  <c:v>38.226988830559534</c:v>
                </c:pt>
                <c:pt idx="20">
                  <c:v>38.806534371814159</c:v>
                </c:pt>
                <c:pt idx="21">
                  <c:v>32.233614201598961</c:v>
                </c:pt>
                <c:pt idx="22">
                  <c:v>34.079868324528498</c:v>
                </c:pt>
                <c:pt idx="23">
                  <c:v>35.212356895597587</c:v>
                </c:pt>
                <c:pt idx="24">
                  <c:v>31.6683641105869</c:v>
                </c:pt>
                <c:pt idx="25">
                  <c:v>32.535124089922476</c:v>
                </c:pt>
                <c:pt idx="26">
                  <c:v>31.163998258700378</c:v>
                </c:pt>
                <c:pt idx="27">
                  <c:v>31.603943774911407</c:v>
                </c:pt>
                <c:pt idx="28">
                  <c:v>30.14740626979016</c:v>
                </c:pt>
                <c:pt idx="29">
                  <c:v>28.81688420482536</c:v>
                </c:pt>
                <c:pt idx="30">
                  <c:v>26.1611508570147</c:v>
                </c:pt>
              </c:numCache>
            </c:numRef>
          </c:val>
          <c:smooth val="0"/>
          <c:extLst>
            <c:ext xmlns:c16="http://schemas.microsoft.com/office/drawing/2014/chart" uri="{C3380CC4-5D6E-409C-BE32-E72D297353CC}">
              <c16:uniqueId val="{00000001-E13C-4204-8536-FEE3F5EF7D26}"/>
            </c:ext>
          </c:extLst>
        </c:ser>
        <c:ser>
          <c:idx val="2"/>
          <c:order val="2"/>
          <c:tx>
            <c:v>Gaz fluorés</c:v>
          </c:tx>
          <c:spPr>
            <a:ln w="28575" cap="rnd">
              <a:solidFill>
                <a:srgbClr val="FFC000"/>
              </a:solidFill>
              <a:round/>
            </a:ln>
            <a:effectLst/>
          </c:spPr>
          <c:marker>
            <c:symbol val="none"/>
          </c:marker>
          <c:val>
            <c:numRef>
              <c:f>'[Donnees-GES.xlsx]Secteur RT'!$AK$46:$BO$46</c:f>
              <c:numCache>
                <c:formatCode>General</c:formatCode>
                <c:ptCount val="31"/>
                <c:pt idx="0">
                  <c:v>0.14254093181072858</c:v>
                </c:pt>
                <c:pt idx="1">
                  <c:v>0.14300487671166173</c:v>
                </c:pt>
                <c:pt idx="2">
                  <c:v>0.14369468685547757</c:v>
                </c:pt>
                <c:pt idx="3">
                  <c:v>0.16019830170180388</c:v>
                </c:pt>
                <c:pt idx="4">
                  <c:v>0.35273895045245746</c:v>
                </c:pt>
                <c:pt idx="5">
                  <c:v>0.85659300449270903</c:v>
                </c:pt>
                <c:pt idx="6">
                  <c:v>1.6683193584758556</c:v>
                </c:pt>
                <c:pt idx="7">
                  <c:v>2.2035642317343744</c:v>
                </c:pt>
                <c:pt idx="8">
                  <c:v>2.4722278691745974</c:v>
                </c:pt>
                <c:pt idx="9">
                  <c:v>2.8971466080217079</c:v>
                </c:pt>
                <c:pt idx="10">
                  <c:v>3.6324915299123002</c:v>
                </c:pt>
                <c:pt idx="11">
                  <c:v>4.1944248758964608</c:v>
                </c:pt>
                <c:pt idx="12">
                  <c:v>4.8286440866300442</c:v>
                </c:pt>
                <c:pt idx="13">
                  <c:v>5.6354613080833786</c:v>
                </c:pt>
                <c:pt idx="14">
                  <c:v>6.424836571239724</c:v>
                </c:pt>
                <c:pt idx="15">
                  <c:v>7.1146506206430216</c:v>
                </c:pt>
                <c:pt idx="16">
                  <c:v>7.9084157410896436</c:v>
                </c:pt>
                <c:pt idx="17">
                  <c:v>8.6282314912722065</c:v>
                </c:pt>
                <c:pt idx="18">
                  <c:v>9.2462769815010919</c:v>
                </c:pt>
                <c:pt idx="19">
                  <c:v>9.2854675774741633</c:v>
                </c:pt>
                <c:pt idx="20">
                  <c:v>9.760429864018672</c:v>
                </c:pt>
                <c:pt idx="21">
                  <c:v>10.145762238945927</c:v>
                </c:pt>
                <c:pt idx="22">
                  <c:v>10.180793303291708</c:v>
                </c:pt>
                <c:pt idx="23">
                  <c:v>10.145072865902993</c:v>
                </c:pt>
                <c:pt idx="24">
                  <c:v>10.161111923159629</c:v>
                </c:pt>
                <c:pt idx="25">
                  <c:v>10.089855018315905</c:v>
                </c:pt>
                <c:pt idx="26">
                  <c:v>9.9318594934463142</c:v>
                </c:pt>
                <c:pt idx="27">
                  <c:v>9.604824465323567</c:v>
                </c:pt>
                <c:pt idx="28">
                  <c:v>8.4787004640180594</c:v>
                </c:pt>
                <c:pt idx="29">
                  <c:v>7.2079287668582541</c:v>
                </c:pt>
                <c:pt idx="30">
                  <c:v>6.4632546714455961</c:v>
                </c:pt>
              </c:numCache>
            </c:numRef>
          </c:val>
          <c:smooth val="0"/>
          <c:extLst>
            <c:ext xmlns:c16="http://schemas.microsoft.com/office/drawing/2014/chart" uri="{C3380CC4-5D6E-409C-BE32-E72D297353CC}">
              <c16:uniqueId val="{00000002-E13C-4204-8536-FEE3F5EF7D26}"/>
            </c:ext>
          </c:extLst>
        </c:ser>
        <c:dLbls>
          <c:showLegendKey val="0"/>
          <c:showVal val="0"/>
          <c:showCatName val="0"/>
          <c:showSerName val="0"/>
          <c:showPercent val="0"/>
          <c:showBubbleSize val="0"/>
        </c:dLbls>
        <c:smooth val="0"/>
        <c:axId val="738084112"/>
        <c:axId val="738080368"/>
      </c:lineChart>
      <c:catAx>
        <c:axId val="73808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080368"/>
        <c:crosses val="autoZero"/>
        <c:auto val="1"/>
        <c:lblAlgn val="ctr"/>
        <c:lblOffset val="100"/>
        <c:noMultiLvlLbl val="0"/>
      </c:catAx>
      <c:valAx>
        <c:axId val="738080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MtCO2</a:t>
                </a:r>
                <a:r>
                  <a:rPr lang="fr-FR" baseline="-25000"/>
                  <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808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83457152601687"/>
          <c:y val="4.0344764349899136E-2"/>
          <c:w val="0.86201462105372417"/>
          <c:h val="0.63239450652750562"/>
        </c:manualLayout>
      </c:layout>
      <c:areaChart>
        <c:grouping val="stacked"/>
        <c:varyColors val="0"/>
        <c:ser>
          <c:idx val="0"/>
          <c:order val="0"/>
          <c:tx>
            <c:strRef>
              <c:f>CO2e!$B$17</c:f>
              <c:strCache>
                <c:ptCount val="1"/>
                <c:pt idx="0">
                  <c:v>Chimie</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CO2e!$C$17:$AG$17</c:f>
              <c:numCache>
                <c:formatCode>0.0</c:formatCode>
                <c:ptCount val="19"/>
                <c:pt idx="0">
                  <c:v>52.734253828471466</c:v>
                </c:pt>
                <c:pt idx="1">
                  <c:v>54.071255790965367</c:v>
                </c:pt>
                <c:pt idx="2">
                  <c:v>39.784696107240457</c:v>
                </c:pt>
                <c:pt idx="3">
                  <c:v>34.975546331355687</c:v>
                </c:pt>
                <c:pt idx="4">
                  <c:v>32.455810301828109</c:v>
                </c:pt>
                <c:pt idx="5">
                  <c:v>32.016637388020101</c:v>
                </c:pt>
                <c:pt idx="6">
                  <c:v>30.369779208200654</c:v>
                </c:pt>
                <c:pt idx="7">
                  <c:v>27.409282774953606</c:v>
                </c:pt>
                <c:pt idx="8">
                  <c:v>26.276654251075612</c:v>
                </c:pt>
                <c:pt idx="9">
                  <c:v>24.76798618580424</c:v>
                </c:pt>
                <c:pt idx="10">
                  <c:v>23.988800586081023</c:v>
                </c:pt>
                <c:pt idx="11">
                  <c:v>23.603241426323187</c:v>
                </c:pt>
                <c:pt idx="12">
                  <c:v>23.072420629929287</c:v>
                </c:pt>
                <c:pt idx="13">
                  <c:v>22.122054164897765</c:v>
                </c:pt>
                <c:pt idx="14">
                  <c:v>21.549323392272672</c:v>
                </c:pt>
                <c:pt idx="15">
                  <c:v>21.463608938036327</c:v>
                </c:pt>
                <c:pt idx="16">
                  <c:v>21.044025470903044</c:v>
                </c:pt>
                <c:pt idx="17">
                  <c:v>20.047494185967775</c:v>
                </c:pt>
                <c:pt idx="18">
                  <c:v>18.66739798697877</c:v>
                </c:pt>
              </c:numCache>
            </c:numRef>
          </c:val>
          <c:extLst>
            <c:ext xmlns:c16="http://schemas.microsoft.com/office/drawing/2014/chart" uri="{C3380CC4-5D6E-409C-BE32-E72D297353CC}">
              <c16:uniqueId val="{00000000-D973-4F99-923E-7E868A35E22C}"/>
            </c:ext>
          </c:extLst>
        </c:ser>
        <c:ser>
          <c:idx val="1"/>
          <c:order val="1"/>
          <c:tx>
            <c:strRef>
              <c:f>CO2e!$B$18</c:f>
              <c:strCache>
                <c:ptCount val="1"/>
                <c:pt idx="0">
                  <c:v>Construction</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CO2e!$C$18:$AG$18</c:f>
              <c:numCache>
                <c:formatCode>0.0</c:formatCode>
                <c:ptCount val="19"/>
                <c:pt idx="0">
                  <c:v>3.5476935039180337</c:v>
                </c:pt>
                <c:pt idx="1">
                  <c:v>3.2148418942316908</c:v>
                </c:pt>
                <c:pt idx="2">
                  <c:v>3.981725757924873</c:v>
                </c:pt>
                <c:pt idx="3">
                  <c:v>5.2869590533931898</c:v>
                </c:pt>
                <c:pt idx="4">
                  <c:v>5.2046746383273792</c:v>
                </c:pt>
                <c:pt idx="5">
                  <c:v>4.4155449087463552</c:v>
                </c:pt>
                <c:pt idx="6">
                  <c:v>3.8951005186235488</c:v>
                </c:pt>
                <c:pt idx="7">
                  <c:v>3.1924187867754559</c:v>
                </c:pt>
                <c:pt idx="8">
                  <c:v>2.9467881739871791</c:v>
                </c:pt>
                <c:pt idx="9">
                  <c:v>4.2371242333396717</c:v>
                </c:pt>
                <c:pt idx="10">
                  <c:v>4.0490134728459903</c:v>
                </c:pt>
                <c:pt idx="11">
                  <c:v>4.063377299811199</c:v>
                </c:pt>
                <c:pt idx="12">
                  <c:v>3.9585571911221917</c:v>
                </c:pt>
                <c:pt idx="13">
                  <c:v>3.880662102379524</c:v>
                </c:pt>
                <c:pt idx="14">
                  <c:v>3.8061956590738193</c:v>
                </c:pt>
                <c:pt idx="15">
                  <c:v>3.7115356272466391</c:v>
                </c:pt>
                <c:pt idx="16">
                  <c:v>3.7373535655981276</c:v>
                </c:pt>
                <c:pt idx="17">
                  <c:v>3.8248142161496217</c:v>
                </c:pt>
                <c:pt idx="18">
                  <c:v>3.6460300943439941</c:v>
                </c:pt>
              </c:numCache>
            </c:numRef>
          </c:val>
          <c:extLst>
            <c:ext xmlns:c16="http://schemas.microsoft.com/office/drawing/2014/chart" uri="{C3380CC4-5D6E-409C-BE32-E72D297353CC}">
              <c16:uniqueId val="{00000001-D973-4F99-923E-7E868A35E22C}"/>
            </c:ext>
          </c:extLst>
        </c:ser>
        <c:ser>
          <c:idx val="2"/>
          <c:order val="2"/>
          <c:tx>
            <c:strRef>
              <c:f>CO2e!$B$19</c:f>
              <c:strCache>
                <c:ptCount val="1"/>
                <c:pt idx="0">
                  <c:v>Biens d'équipements, matériels de transport</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CO2e!$C$19:$AG$19</c:f>
              <c:numCache>
                <c:formatCode>0.0</c:formatCode>
                <c:ptCount val="19"/>
                <c:pt idx="0">
                  <c:v>5.2311043175352721</c:v>
                </c:pt>
                <c:pt idx="1">
                  <c:v>6.1648013047192549</c:v>
                </c:pt>
                <c:pt idx="2">
                  <c:v>5.8721471991633996</c:v>
                </c:pt>
                <c:pt idx="3">
                  <c:v>5.8660946859636471</c:v>
                </c:pt>
                <c:pt idx="4">
                  <c:v>5.2455186387917196</c:v>
                </c:pt>
                <c:pt idx="5">
                  <c:v>4.857694158431487</c:v>
                </c:pt>
                <c:pt idx="6">
                  <c:v>5.0883674546139277</c:v>
                </c:pt>
                <c:pt idx="7">
                  <c:v>4.0564256185893068</c:v>
                </c:pt>
                <c:pt idx="8">
                  <c:v>4.5503072107977269</c:v>
                </c:pt>
                <c:pt idx="9">
                  <c:v>3.7601022779946591</c:v>
                </c:pt>
                <c:pt idx="10">
                  <c:v>3.7584024992976315</c:v>
                </c:pt>
                <c:pt idx="11">
                  <c:v>3.7644891011766339</c:v>
                </c:pt>
                <c:pt idx="12">
                  <c:v>3.0344187110527034</c:v>
                </c:pt>
                <c:pt idx="13">
                  <c:v>3.1563939297235821</c:v>
                </c:pt>
                <c:pt idx="14">
                  <c:v>3.2499303378680744</c:v>
                </c:pt>
                <c:pt idx="15">
                  <c:v>3.2602700567823626</c:v>
                </c:pt>
                <c:pt idx="16">
                  <c:v>3.1670083652603114</c:v>
                </c:pt>
                <c:pt idx="17">
                  <c:v>3.0311976784588817</c:v>
                </c:pt>
                <c:pt idx="18">
                  <c:v>2.8082119613071908</c:v>
                </c:pt>
              </c:numCache>
            </c:numRef>
          </c:val>
          <c:extLst>
            <c:ext xmlns:c16="http://schemas.microsoft.com/office/drawing/2014/chart" uri="{C3380CC4-5D6E-409C-BE32-E72D297353CC}">
              <c16:uniqueId val="{00000002-D973-4F99-923E-7E868A35E22C}"/>
            </c:ext>
          </c:extLst>
        </c:ser>
        <c:ser>
          <c:idx val="3"/>
          <c:order val="3"/>
          <c:tx>
            <c:strRef>
              <c:f>CO2e!$B$20</c:f>
              <c:strCache>
                <c:ptCount val="1"/>
                <c:pt idx="0">
                  <c:v>Agro-alimentaire</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CO2e!$C$20:$AG$20</c:f>
              <c:numCache>
                <c:formatCode>0.0</c:formatCode>
                <c:ptCount val="19"/>
                <c:pt idx="0">
                  <c:v>8.6620890448238974</c:v>
                </c:pt>
                <c:pt idx="1">
                  <c:v>10.891010329534543</c:v>
                </c:pt>
                <c:pt idx="2">
                  <c:v>10.535188785905186</c:v>
                </c:pt>
                <c:pt idx="3">
                  <c:v>11.133001579810788</c:v>
                </c:pt>
                <c:pt idx="4">
                  <c:v>11.354679848768846</c:v>
                </c:pt>
                <c:pt idx="5">
                  <c:v>11.452002806006044</c:v>
                </c:pt>
                <c:pt idx="6">
                  <c:v>10.810937602831499</c:v>
                </c:pt>
                <c:pt idx="7">
                  <c:v>10.010557255011399</c:v>
                </c:pt>
                <c:pt idx="8">
                  <c:v>11.136587823653112</c:v>
                </c:pt>
                <c:pt idx="9">
                  <c:v>10.553501467132088</c:v>
                </c:pt>
                <c:pt idx="10">
                  <c:v>10.069527216569249</c:v>
                </c:pt>
                <c:pt idx="11">
                  <c:v>10.25679241866276</c:v>
                </c:pt>
                <c:pt idx="12">
                  <c:v>9.9780157047823739</c:v>
                </c:pt>
                <c:pt idx="13">
                  <c:v>9.8653341416415827</c:v>
                </c:pt>
                <c:pt idx="14">
                  <c:v>9.9393233909969858</c:v>
                </c:pt>
                <c:pt idx="15">
                  <c:v>9.3399199650085709</c:v>
                </c:pt>
                <c:pt idx="16">
                  <c:v>9.4266674603216156</c:v>
                </c:pt>
                <c:pt idx="17">
                  <c:v>9.3217825704540953</c:v>
                </c:pt>
                <c:pt idx="18">
                  <c:v>8.295128191104844</c:v>
                </c:pt>
              </c:numCache>
            </c:numRef>
          </c:val>
          <c:extLst>
            <c:ext xmlns:c16="http://schemas.microsoft.com/office/drawing/2014/chart" uri="{C3380CC4-5D6E-409C-BE32-E72D297353CC}">
              <c16:uniqueId val="{00000003-D973-4F99-923E-7E868A35E22C}"/>
            </c:ext>
          </c:extLst>
        </c:ser>
        <c:ser>
          <c:idx val="4"/>
          <c:order val="4"/>
          <c:tx>
            <c:strRef>
              <c:f>CO2e!$B$21</c:f>
              <c:strCache>
                <c:ptCount val="1"/>
                <c:pt idx="0">
                  <c:v>Métallurgie des métaux ferreux</c:v>
                </c:pt>
              </c:strCache>
            </c:strRef>
          </c:tx>
          <c:spPr>
            <a:solidFill>
              <a:schemeClr val="accent5"/>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CO2e!$C$21:$AG$21</c:f>
              <c:numCache>
                <c:formatCode>0.0</c:formatCode>
                <c:ptCount val="19"/>
                <c:pt idx="0">
                  <c:v>25.263880692365788</c:v>
                </c:pt>
                <c:pt idx="1">
                  <c:v>21.91370813984285</c:v>
                </c:pt>
                <c:pt idx="2">
                  <c:v>25.031171856519855</c:v>
                </c:pt>
                <c:pt idx="3">
                  <c:v>24.714380508571136</c:v>
                </c:pt>
                <c:pt idx="4">
                  <c:v>25.55000804222685</c:v>
                </c:pt>
                <c:pt idx="5">
                  <c:v>26.441991166774063</c:v>
                </c:pt>
                <c:pt idx="6">
                  <c:v>24.038061149105594</c:v>
                </c:pt>
                <c:pt idx="7">
                  <c:v>15.117040472718609</c:v>
                </c:pt>
                <c:pt idx="8">
                  <c:v>19.181244832345911</c:v>
                </c:pt>
                <c:pt idx="9">
                  <c:v>17.492238938567318</c:v>
                </c:pt>
                <c:pt idx="10">
                  <c:v>16.83365961023393</c:v>
                </c:pt>
                <c:pt idx="11">
                  <c:v>18.353002989251539</c:v>
                </c:pt>
                <c:pt idx="12">
                  <c:v>17.921020363824798</c:v>
                </c:pt>
                <c:pt idx="13">
                  <c:v>17.550574565116545</c:v>
                </c:pt>
                <c:pt idx="14">
                  <c:v>17.104871247773801</c:v>
                </c:pt>
                <c:pt idx="15">
                  <c:v>18.461766987604001</c:v>
                </c:pt>
                <c:pt idx="16">
                  <c:v>18.221305349133814</c:v>
                </c:pt>
                <c:pt idx="17">
                  <c:v>16.772806025599685</c:v>
                </c:pt>
                <c:pt idx="18">
                  <c:v>14.353981340952052</c:v>
                </c:pt>
              </c:numCache>
            </c:numRef>
          </c:val>
          <c:extLst>
            <c:ext xmlns:c16="http://schemas.microsoft.com/office/drawing/2014/chart" uri="{C3380CC4-5D6E-409C-BE32-E72D297353CC}">
              <c16:uniqueId val="{00000004-D973-4F99-923E-7E868A35E22C}"/>
            </c:ext>
          </c:extLst>
        </c:ser>
        <c:ser>
          <c:idx val="5"/>
          <c:order val="5"/>
          <c:tx>
            <c:strRef>
              <c:f>CO2e!$B$22</c:f>
              <c:strCache>
                <c:ptCount val="1"/>
                <c:pt idx="0">
                  <c:v>Métallurgie des métaux non-ferreux</c:v>
                </c:pt>
              </c:strCache>
            </c:strRef>
          </c:tx>
          <c:spPr>
            <a:solidFill>
              <a:schemeClr val="accent6"/>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CO2e!$C$22:$AG$22</c:f>
              <c:numCache>
                <c:formatCode>0.0</c:formatCode>
                <c:ptCount val="19"/>
                <c:pt idx="0">
                  <c:v>7.9767645888192176</c:v>
                </c:pt>
                <c:pt idx="1">
                  <c:v>6.2694562347128624</c:v>
                </c:pt>
                <c:pt idx="2">
                  <c:v>6.0870166467530638</c:v>
                </c:pt>
                <c:pt idx="3">
                  <c:v>3.9177201929521779</c:v>
                </c:pt>
                <c:pt idx="4">
                  <c:v>4.0956981179463687</c:v>
                </c:pt>
                <c:pt idx="5">
                  <c:v>3.7412739564612374</c:v>
                </c:pt>
                <c:pt idx="6">
                  <c:v>3.2475013466263478</c:v>
                </c:pt>
                <c:pt idx="7">
                  <c:v>2.5397770668404878</c:v>
                </c:pt>
                <c:pt idx="8">
                  <c:v>2.8549173667586607</c:v>
                </c:pt>
                <c:pt idx="9">
                  <c:v>2.7990367356104855</c:v>
                </c:pt>
                <c:pt idx="10">
                  <c:v>2.8363072069103596</c:v>
                </c:pt>
                <c:pt idx="11">
                  <c:v>2.636305690004332</c:v>
                </c:pt>
                <c:pt idx="12">
                  <c:v>2.5873521278155418</c:v>
                </c:pt>
                <c:pt idx="13">
                  <c:v>2.6626010305849093</c:v>
                </c:pt>
                <c:pt idx="14">
                  <c:v>3.1913442781213575</c:v>
                </c:pt>
                <c:pt idx="15">
                  <c:v>3.070680697386805</c:v>
                </c:pt>
                <c:pt idx="16">
                  <c:v>2.7823551829679585</c:v>
                </c:pt>
                <c:pt idx="17">
                  <c:v>2.6736793479809542</c:v>
                </c:pt>
                <c:pt idx="18">
                  <c:v>2.3621875413653162</c:v>
                </c:pt>
              </c:numCache>
            </c:numRef>
          </c:val>
          <c:extLst>
            <c:ext xmlns:c16="http://schemas.microsoft.com/office/drawing/2014/chart" uri="{C3380CC4-5D6E-409C-BE32-E72D297353CC}">
              <c16:uniqueId val="{00000005-D973-4F99-923E-7E868A35E22C}"/>
            </c:ext>
          </c:extLst>
        </c:ser>
        <c:ser>
          <c:idx val="6"/>
          <c:order val="6"/>
          <c:tx>
            <c:strRef>
              <c:f>CO2e!$B$23</c:f>
              <c:strCache>
                <c:ptCount val="1"/>
                <c:pt idx="0">
                  <c:v>Minéraux non-métalliques, matériaux de construction</c:v>
                </c:pt>
              </c:strCache>
            </c:strRef>
          </c:tx>
          <c:spPr>
            <a:solidFill>
              <a:schemeClr val="accent1">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CO2e!$C$23:$AG$23</c:f>
              <c:numCache>
                <c:formatCode>0.0</c:formatCode>
                <c:ptCount val="19"/>
                <c:pt idx="0">
                  <c:v>30.139889186186355</c:v>
                </c:pt>
                <c:pt idx="1">
                  <c:v>26.575749008299056</c:v>
                </c:pt>
                <c:pt idx="2">
                  <c:v>25.256091069137927</c:v>
                </c:pt>
                <c:pt idx="3">
                  <c:v>25.133295150455236</c:v>
                </c:pt>
                <c:pt idx="4">
                  <c:v>26.318436175593039</c:v>
                </c:pt>
                <c:pt idx="5">
                  <c:v>26.424129960606731</c:v>
                </c:pt>
                <c:pt idx="6">
                  <c:v>25.127873079333785</c:v>
                </c:pt>
                <c:pt idx="7">
                  <c:v>22.026872967814569</c:v>
                </c:pt>
                <c:pt idx="8">
                  <c:v>22.79702406403581</c:v>
                </c:pt>
                <c:pt idx="9">
                  <c:v>22.584262905915857</c:v>
                </c:pt>
                <c:pt idx="10">
                  <c:v>21.273736457149855</c:v>
                </c:pt>
                <c:pt idx="11">
                  <c:v>20.823057974642982</c:v>
                </c:pt>
                <c:pt idx="12">
                  <c:v>20.22754274307497</c:v>
                </c:pt>
                <c:pt idx="13">
                  <c:v>19.118761159671333</c:v>
                </c:pt>
                <c:pt idx="14">
                  <c:v>19.339659150408011</c:v>
                </c:pt>
                <c:pt idx="15">
                  <c:v>18.612850473411683</c:v>
                </c:pt>
                <c:pt idx="16">
                  <c:v>19.400463756184237</c:v>
                </c:pt>
                <c:pt idx="17">
                  <c:v>19.420750390792925</c:v>
                </c:pt>
                <c:pt idx="18">
                  <c:v>17.698385404693244</c:v>
                </c:pt>
              </c:numCache>
            </c:numRef>
          </c:val>
          <c:extLst>
            <c:ext xmlns:c16="http://schemas.microsoft.com/office/drawing/2014/chart" uri="{C3380CC4-5D6E-409C-BE32-E72D297353CC}">
              <c16:uniqueId val="{00000006-D973-4F99-923E-7E868A35E22C}"/>
            </c:ext>
          </c:extLst>
        </c:ser>
        <c:ser>
          <c:idx val="7"/>
          <c:order val="7"/>
          <c:tx>
            <c:strRef>
              <c:f>CO2e!$B$24</c:f>
              <c:strCache>
                <c:ptCount val="1"/>
                <c:pt idx="0">
                  <c:v>Papier, carton</c:v>
                </c:pt>
              </c:strCache>
            </c:strRef>
          </c:tx>
          <c:spPr>
            <a:solidFill>
              <a:schemeClr val="accent2">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CO2e!$C$24:$AG$24</c:f>
              <c:numCache>
                <c:formatCode>0.0</c:formatCode>
                <c:ptCount val="19"/>
                <c:pt idx="0">
                  <c:v>4.5329512447847984</c:v>
                </c:pt>
                <c:pt idx="1">
                  <c:v>5.2296965557799506</c:v>
                </c:pt>
                <c:pt idx="2">
                  <c:v>5.2811699208708873</c:v>
                </c:pt>
                <c:pt idx="3">
                  <c:v>4.0788442795346604</c:v>
                </c:pt>
                <c:pt idx="4">
                  <c:v>4.0047685750992352</c:v>
                </c:pt>
                <c:pt idx="5">
                  <c:v>3.6629584749661985</c:v>
                </c:pt>
                <c:pt idx="6">
                  <c:v>3.2597572518688334</c:v>
                </c:pt>
                <c:pt idx="7">
                  <c:v>2.7819670777641257</c:v>
                </c:pt>
                <c:pt idx="8">
                  <c:v>2.9767966970655593</c:v>
                </c:pt>
                <c:pt idx="9">
                  <c:v>2.4826462203608655</c:v>
                </c:pt>
                <c:pt idx="10">
                  <c:v>2.5111859706677371</c:v>
                </c:pt>
                <c:pt idx="11">
                  <c:v>2.8879463817182209</c:v>
                </c:pt>
                <c:pt idx="12">
                  <c:v>2.7269630243072434</c:v>
                </c:pt>
                <c:pt idx="13">
                  <c:v>2.6507904654532735</c:v>
                </c:pt>
                <c:pt idx="14">
                  <c:v>2.7308125015041051</c:v>
                </c:pt>
                <c:pt idx="15">
                  <c:v>2.5213745430299226</c:v>
                </c:pt>
                <c:pt idx="16">
                  <c:v>2.5538010543844947</c:v>
                </c:pt>
                <c:pt idx="17">
                  <c:v>2.4346563319116266</c:v>
                </c:pt>
                <c:pt idx="18">
                  <c:v>2.3047333897876312</c:v>
                </c:pt>
              </c:numCache>
            </c:numRef>
          </c:val>
          <c:extLst>
            <c:ext xmlns:c16="http://schemas.microsoft.com/office/drawing/2014/chart" uri="{C3380CC4-5D6E-409C-BE32-E72D297353CC}">
              <c16:uniqueId val="{00000007-D973-4F99-923E-7E868A35E22C}"/>
            </c:ext>
          </c:extLst>
        </c:ser>
        <c:ser>
          <c:idx val="8"/>
          <c:order val="8"/>
          <c:tx>
            <c:strRef>
              <c:f>CO2e!$B$25</c:f>
              <c:strCache>
                <c:ptCount val="1"/>
                <c:pt idx="0">
                  <c:v>Autres industries manufacturières</c:v>
                </c:pt>
              </c:strCache>
            </c:strRef>
          </c:tx>
          <c:spPr>
            <a:solidFill>
              <a:schemeClr val="accent3">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CO2e!$C$25:$AG$25</c:f>
              <c:numCache>
                <c:formatCode>0.0</c:formatCode>
                <c:ptCount val="19"/>
                <c:pt idx="0">
                  <c:v>4.7224448976901545</c:v>
                </c:pt>
                <c:pt idx="1">
                  <c:v>5.1775062001132142</c:v>
                </c:pt>
                <c:pt idx="2">
                  <c:v>4.8100929210713774</c:v>
                </c:pt>
                <c:pt idx="3">
                  <c:v>4.1264328666235199</c:v>
                </c:pt>
                <c:pt idx="4">
                  <c:v>3.9142664480499154</c:v>
                </c:pt>
                <c:pt idx="5">
                  <c:v>3.8381354077014818</c:v>
                </c:pt>
                <c:pt idx="6">
                  <c:v>3.738990398611564</c:v>
                </c:pt>
                <c:pt idx="7">
                  <c:v>3.0319785118592422</c:v>
                </c:pt>
                <c:pt idx="8">
                  <c:v>3.0649757984432529</c:v>
                </c:pt>
                <c:pt idx="9">
                  <c:v>2.8388489221023425</c:v>
                </c:pt>
                <c:pt idx="10">
                  <c:v>2.6662279777220608</c:v>
                </c:pt>
                <c:pt idx="11">
                  <c:v>2.6809341930357529</c:v>
                </c:pt>
                <c:pt idx="12">
                  <c:v>2.6424833292810375</c:v>
                </c:pt>
                <c:pt idx="13">
                  <c:v>2.8266556159414038</c:v>
                </c:pt>
                <c:pt idx="14">
                  <c:v>2.7753654227074698</c:v>
                </c:pt>
                <c:pt idx="15">
                  <c:v>2.9826589010162268</c:v>
                </c:pt>
                <c:pt idx="16">
                  <c:v>2.7378890938993043</c:v>
                </c:pt>
                <c:pt idx="17">
                  <c:v>2.5574865697172258</c:v>
                </c:pt>
                <c:pt idx="18">
                  <c:v>2.3715254237457652</c:v>
                </c:pt>
              </c:numCache>
            </c:numRef>
          </c:val>
          <c:extLst>
            <c:ext xmlns:c16="http://schemas.microsoft.com/office/drawing/2014/chart" uri="{C3380CC4-5D6E-409C-BE32-E72D297353CC}">
              <c16:uniqueId val="{00000008-D973-4F99-923E-7E868A35E22C}"/>
            </c:ext>
          </c:extLst>
        </c:ser>
        <c:dLbls>
          <c:showLegendKey val="0"/>
          <c:showVal val="0"/>
          <c:showCatName val="0"/>
          <c:showSerName val="0"/>
          <c:showPercent val="0"/>
          <c:showBubbleSize val="0"/>
        </c:dLbls>
        <c:axId val="981203584"/>
        <c:axId val="981218976"/>
      </c:areaChart>
      <c:catAx>
        <c:axId val="98120358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218976"/>
        <c:crosses val="autoZero"/>
        <c:auto val="1"/>
        <c:lblAlgn val="ctr"/>
        <c:lblOffset val="100"/>
        <c:noMultiLvlLbl val="0"/>
      </c:catAx>
      <c:valAx>
        <c:axId val="981218976"/>
        <c:scaling>
          <c:orientation val="minMax"/>
          <c:max val="15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203584"/>
        <c:crosses val="autoZero"/>
        <c:crossBetween val="midCat"/>
        <c:majorUnit val="20"/>
      </c:valAx>
      <c:spPr>
        <a:noFill/>
        <a:ln>
          <a:noFill/>
        </a:ln>
        <a:effectLst/>
      </c:spPr>
    </c:plotArea>
    <c:legend>
      <c:legendPos val="b"/>
      <c:layout>
        <c:manualLayout>
          <c:xMode val="edge"/>
          <c:yMode val="edge"/>
          <c:x val="5.6142664465485458E-2"/>
          <c:y val="0.78521077034818654"/>
          <c:w val="0.91715192458827388"/>
          <c:h val="0.195831811139140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'Secteur énergie'!$A$8</c:f>
              <c:strCache>
                <c:ptCount val="1"/>
                <c:pt idx="0">
                  <c:v>Production d'électricité et chauffage urbain</c:v>
                </c:pt>
              </c:strCache>
            </c:strRef>
          </c:tx>
          <c:spPr>
            <a:solidFill>
              <a:schemeClr val="accent1"/>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énergie'!$B$8:$AF$8</c:f>
              <c:numCache>
                <c:formatCode>#\ ##0.0</c:formatCode>
                <c:ptCount val="31"/>
                <c:pt idx="0">
                  <c:v>47.37267322530893</c:v>
                </c:pt>
                <c:pt idx="1">
                  <c:v>48.222825768382457</c:v>
                </c:pt>
                <c:pt idx="2">
                  <c:v>49.01970067494382</c:v>
                </c:pt>
                <c:pt idx="3">
                  <c:v>36.720515200392768</c:v>
                </c:pt>
                <c:pt idx="4">
                  <c:v>32.804453275311921</c:v>
                </c:pt>
                <c:pt idx="5">
                  <c:v>35.391071279763736</c:v>
                </c:pt>
                <c:pt idx="6">
                  <c:v>39.579659485037247</c:v>
                </c:pt>
                <c:pt idx="7">
                  <c:v>35.288713146953292</c:v>
                </c:pt>
                <c:pt idx="8">
                  <c:v>47.866016123268892</c:v>
                </c:pt>
                <c:pt idx="9">
                  <c:v>41.373449823245338</c:v>
                </c:pt>
                <c:pt idx="10">
                  <c:v>40.872715354019093</c:v>
                </c:pt>
                <c:pt idx="11">
                  <c:v>34.214816861377599</c:v>
                </c:pt>
                <c:pt idx="12">
                  <c:v>38.041542468575479</c:v>
                </c:pt>
                <c:pt idx="13">
                  <c:v>41.300601239119423</c:v>
                </c:pt>
                <c:pt idx="14">
                  <c:v>39.877984966747363</c:v>
                </c:pt>
                <c:pt idx="15">
                  <c:v>45.485713646075745</c:v>
                </c:pt>
                <c:pt idx="16">
                  <c:v>41.320617491874913</c:v>
                </c:pt>
                <c:pt idx="17">
                  <c:v>41.234598680839134</c:v>
                </c:pt>
                <c:pt idx="18">
                  <c:v>40.413866536323809</c:v>
                </c:pt>
                <c:pt idx="19">
                  <c:v>39.233231339941952</c:v>
                </c:pt>
                <c:pt idx="20">
                  <c:v>40.978430009056048</c:v>
                </c:pt>
                <c:pt idx="21">
                  <c:v>35.784785073011768</c:v>
                </c:pt>
                <c:pt idx="22">
                  <c:v>40.022715071777235</c:v>
                </c:pt>
                <c:pt idx="23">
                  <c:v>38.502237269483238</c:v>
                </c:pt>
                <c:pt idx="24">
                  <c:v>24.79536122277748</c:v>
                </c:pt>
                <c:pt idx="25">
                  <c:v>27.886857750964403</c:v>
                </c:pt>
                <c:pt idx="26">
                  <c:v>31.592094284909692</c:v>
                </c:pt>
                <c:pt idx="27">
                  <c:v>35.846005092177116</c:v>
                </c:pt>
                <c:pt idx="28">
                  <c:v>27.031569991371853</c:v>
                </c:pt>
                <c:pt idx="29">
                  <c:v>25.65195727422228</c:v>
                </c:pt>
                <c:pt idx="30">
                  <c:v>23.127071131081003</c:v>
                </c:pt>
              </c:numCache>
            </c:numRef>
          </c:val>
          <c:extLst>
            <c:ext xmlns:c16="http://schemas.microsoft.com/office/drawing/2014/chart" uri="{C3380CC4-5D6E-409C-BE32-E72D297353CC}">
              <c16:uniqueId val="{00000000-F695-4EA2-88DC-E7F1CFEBAE67}"/>
            </c:ext>
          </c:extLst>
        </c:ser>
        <c:ser>
          <c:idx val="1"/>
          <c:order val="1"/>
          <c:tx>
            <c:strRef>
              <c:f>'Secteur énergie'!$A$9</c:f>
              <c:strCache>
                <c:ptCount val="1"/>
                <c:pt idx="0">
                  <c:v>Raffinage du pétrole</c:v>
                </c:pt>
              </c:strCache>
            </c:strRef>
          </c:tx>
          <c:spPr>
            <a:solidFill>
              <a:schemeClr val="accent2"/>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énergie'!$B$9:$AF$9</c:f>
              <c:numCache>
                <c:formatCode>#\ ##0.0</c:formatCode>
                <c:ptCount val="31"/>
                <c:pt idx="0">
                  <c:v>15.251422764695873</c:v>
                </c:pt>
                <c:pt idx="1">
                  <c:v>15.529628347722449</c:v>
                </c:pt>
                <c:pt idx="2">
                  <c:v>15.697414781732133</c:v>
                </c:pt>
                <c:pt idx="3">
                  <c:v>15.68948270971276</c:v>
                </c:pt>
                <c:pt idx="4">
                  <c:v>16.394388891854181</c:v>
                </c:pt>
                <c:pt idx="5">
                  <c:v>16.544431864778957</c:v>
                </c:pt>
                <c:pt idx="6">
                  <c:v>17.341251728815031</c:v>
                </c:pt>
                <c:pt idx="7">
                  <c:v>18.149900985638158</c:v>
                </c:pt>
                <c:pt idx="8">
                  <c:v>17.927246641717286</c:v>
                </c:pt>
                <c:pt idx="9">
                  <c:v>17.181511865606637</c:v>
                </c:pt>
                <c:pt idx="10">
                  <c:v>17.215338551993739</c:v>
                </c:pt>
                <c:pt idx="11">
                  <c:v>17.310646166631908</c:v>
                </c:pt>
                <c:pt idx="12">
                  <c:v>16.432385099100969</c:v>
                </c:pt>
                <c:pt idx="13">
                  <c:v>16.398710552285728</c:v>
                </c:pt>
                <c:pt idx="14">
                  <c:v>16.810246110239191</c:v>
                </c:pt>
                <c:pt idx="15">
                  <c:v>16.917926804055202</c:v>
                </c:pt>
                <c:pt idx="16">
                  <c:v>17.351260440593862</c:v>
                </c:pt>
                <c:pt idx="17">
                  <c:v>17.507302938806934</c:v>
                </c:pt>
                <c:pt idx="18">
                  <c:v>17.599187219568041</c:v>
                </c:pt>
                <c:pt idx="19">
                  <c:v>16.647199429235982</c:v>
                </c:pt>
                <c:pt idx="20">
                  <c:v>14.786015907259445</c:v>
                </c:pt>
                <c:pt idx="21">
                  <c:v>14.309123048067212</c:v>
                </c:pt>
                <c:pt idx="22">
                  <c:v>11.718743119726623</c:v>
                </c:pt>
                <c:pt idx="23">
                  <c:v>10.946932045819578</c:v>
                </c:pt>
                <c:pt idx="24">
                  <c:v>10.886056442466705</c:v>
                </c:pt>
                <c:pt idx="25">
                  <c:v>10.465753289789342</c:v>
                </c:pt>
                <c:pt idx="26">
                  <c:v>10.195395027819725</c:v>
                </c:pt>
                <c:pt idx="27">
                  <c:v>9.6063874259821187</c:v>
                </c:pt>
                <c:pt idx="28">
                  <c:v>9.0984111149560132</c:v>
                </c:pt>
                <c:pt idx="29">
                  <c:v>8.723585007844127</c:v>
                </c:pt>
                <c:pt idx="30">
                  <c:v>7.346514401039447</c:v>
                </c:pt>
              </c:numCache>
            </c:numRef>
          </c:val>
          <c:extLst>
            <c:ext xmlns:c16="http://schemas.microsoft.com/office/drawing/2014/chart" uri="{C3380CC4-5D6E-409C-BE32-E72D297353CC}">
              <c16:uniqueId val="{00000001-F695-4EA2-88DC-E7F1CFEBAE67}"/>
            </c:ext>
          </c:extLst>
        </c:ser>
        <c:ser>
          <c:idx val="2"/>
          <c:order val="2"/>
          <c:tx>
            <c:strRef>
              <c:f>'Secteur énergie'!$A$15</c:f>
              <c:strCache>
                <c:ptCount val="1"/>
                <c:pt idx="0">
                  <c:v>Transformation des CMS et autres</c:v>
                </c:pt>
              </c:strCache>
            </c:strRef>
          </c:tx>
          <c:spPr>
            <a:solidFill>
              <a:schemeClr val="accent3"/>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énergie'!$B$15:$AF$15</c:f>
              <c:numCache>
                <c:formatCode>#\ ##0.0</c:formatCode>
                <c:ptCount val="31"/>
                <c:pt idx="0">
                  <c:v>12.718977981015289</c:v>
                </c:pt>
                <c:pt idx="1">
                  <c:v>12.617818482540661</c:v>
                </c:pt>
                <c:pt idx="2">
                  <c:v>12.650910044976623</c:v>
                </c:pt>
                <c:pt idx="3">
                  <c:v>12.38809741332191</c:v>
                </c:pt>
                <c:pt idx="4">
                  <c:v>12.467753729147519</c:v>
                </c:pt>
                <c:pt idx="5">
                  <c:v>12.247872422895709</c:v>
                </c:pt>
                <c:pt idx="6">
                  <c:v>11.035608253821549</c:v>
                </c:pt>
                <c:pt idx="7">
                  <c:v>10.188455994776303</c:v>
                </c:pt>
                <c:pt idx="8">
                  <c:v>10.201631322524452</c:v>
                </c:pt>
                <c:pt idx="9">
                  <c:v>10.101309167460641</c:v>
                </c:pt>
                <c:pt idx="10">
                  <c:v>9.0995325979407937</c:v>
                </c:pt>
                <c:pt idx="11">
                  <c:v>8.5157513017746638</c:v>
                </c:pt>
                <c:pt idx="12">
                  <c:v>7.8461288635920612</c:v>
                </c:pt>
                <c:pt idx="13">
                  <c:v>7.8430585345568264</c:v>
                </c:pt>
                <c:pt idx="14">
                  <c:v>7.264978608833724</c:v>
                </c:pt>
                <c:pt idx="15">
                  <c:v>6.719214329258218</c:v>
                </c:pt>
                <c:pt idx="16">
                  <c:v>6.4384732136396163</c:v>
                </c:pt>
                <c:pt idx="17">
                  <c:v>6.0431493082990118</c:v>
                </c:pt>
                <c:pt idx="18">
                  <c:v>5.9296775568811579</c:v>
                </c:pt>
                <c:pt idx="19">
                  <c:v>5.5688082214574832</c:v>
                </c:pt>
                <c:pt idx="20">
                  <c:v>5.4687937872838823</c:v>
                </c:pt>
                <c:pt idx="21">
                  <c:v>5.2201588285953271</c:v>
                </c:pt>
                <c:pt idx="22">
                  <c:v>5.0126389936001194</c:v>
                </c:pt>
                <c:pt idx="23">
                  <c:v>4.9516078058445796</c:v>
                </c:pt>
                <c:pt idx="24">
                  <c:v>4.7639166408910132</c:v>
                </c:pt>
                <c:pt idx="25">
                  <c:v>4.6873659849002971</c:v>
                </c:pt>
                <c:pt idx="26">
                  <c:v>4.6213016776206359</c:v>
                </c:pt>
                <c:pt idx="27">
                  <c:v>4.625192114035686</c:v>
                </c:pt>
                <c:pt idx="28">
                  <c:v>4.5331728755618164</c:v>
                </c:pt>
                <c:pt idx="29">
                  <c:v>4.437733142226306</c:v>
                </c:pt>
                <c:pt idx="30">
                  <c:v>3.3963919513858278</c:v>
                </c:pt>
              </c:numCache>
            </c:numRef>
          </c:val>
          <c:extLst>
            <c:ext xmlns:c16="http://schemas.microsoft.com/office/drawing/2014/chart" uri="{C3380CC4-5D6E-409C-BE32-E72D297353CC}">
              <c16:uniqueId val="{00000002-F695-4EA2-88DC-E7F1CFEBAE67}"/>
            </c:ext>
          </c:extLst>
        </c:ser>
        <c:ser>
          <c:idx val="3"/>
          <c:order val="3"/>
          <c:tx>
            <c:strRef>
              <c:f>'Secteur énergie'!$A$16</c:f>
              <c:strCache>
                <c:ptCount val="1"/>
                <c:pt idx="0">
                  <c:v>Valorisation énergétique des déchets</c:v>
                </c:pt>
              </c:strCache>
            </c:strRef>
          </c:tx>
          <c:spPr>
            <a:solidFill>
              <a:schemeClr val="accent4"/>
            </a:solidFill>
            <a:ln>
              <a:noFill/>
            </a:ln>
            <a:effectLst/>
          </c:spPr>
          <c:cat>
            <c:numRef>
              <c:f>'Secteur énergie'!$B$4:$AF$4</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'Secteur énergie'!$B$16:$AF$16</c:f>
              <c:numCache>
                <c:formatCode>#\ ##0.0</c:formatCode>
                <c:ptCount val="31"/>
                <c:pt idx="0">
                  <c:v>2.747489777589049</c:v>
                </c:pt>
                <c:pt idx="1">
                  <c:v>3.0035154180580323</c:v>
                </c:pt>
                <c:pt idx="2">
                  <c:v>3.2595410585270139</c:v>
                </c:pt>
                <c:pt idx="3">
                  <c:v>3.517364373136989</c:v>
                </c:pt>
                <c:pt idx="4">
                  <c:v>3.5424613439784847</c:v>
                </c:pt>
                <c:pt idx="5">
                  <c:v>3.5675583148199812</c:v>
                </c:pt>
                <c:pt idx="6">
                  <c:v>3.5322329823006888</c:v>
                </c:pt>
                <c:pt idx="7">
                  <c:v>3.5607610114804884</c:v>
                </c:pt>
                <c:pt idx="8">
                  <c:v>3.5710183817886336</c:v>
                </c:pt>
                <c:pt idx="9">
                  <c:v>3.9584995170731392</c:v>
                </c:pt>
                <c:pt idx="10">
                  <c:v>4.1588355194383855</c:v>
                </c:pt>
                <c:pt idx="11">
                  <c:v>4.4503189349378296</c:v>
                </c:pt>
                <c:pt idx="12">
                  <c:v>4.7431370415646068</c:v>
                </c:pt>
                <c:pt idx="13">
                  <c:v>4.9389197086711771</c:v>
                </c:pt>
                <c:pt idx="14">
                  <c:v>5.1315840560683883</c:v>
                </c:pt>
                <c:pt idx="15">
                  <c:v>5.10050530142846</c:v>
                </c:pt>
                <c:pt idx="16">
                  <c:v>4.9559484631786894</c:v>
                </c:pt>
                <c:pt idx="17">
                  <c:v>4.860029461478768</c:v>
                </c:pt>
                <c:pt idx="18">
                  <c:v>4.8338435887353839</c:v>
                </c:pt>
                <c:pt idx="19">
                  <c:v>5.1695358134892695</c:v>
                </c:pt>
                <c:pt idx="20">
                  <c:v>5.6064796887889585</c:v>
                </c:pt>
                <c:pt idx="21">
                  <c:v>5.743269771880211</c:v>
                </c:pt>
                <c:pt idx="22">
                  <c:v>5.9918634280118415</c:v>
                </c:pt>
                <c:pt idx="23">
                  <c:v>6.3082804403791233</c:v>
                </c:pt>
                <c:pt idx="24">
                  <c:v>6.6289858110497635</c:v>
                </c:pt>
                <c:pt idx="25">
                  <c:v>6.7963095069918742</c:v>
                </c:pt>
                <c:pt idx="26">
                  <c:v>6.986259809144669</c:v>
                </c:pt>
                <c:pt idx="27">
                  <c:v>7.1344659718933459</c:v>
                </c:pt>
                <c:pt idx="28">
                  <c:v>7.2367178949572084</c:v>
                </c:pt>
                <c:pt idx="29">
                  <c:v>7.1375256571048844</c:v>
                </c:pt>
                <c:pt idx="30">
                  <c:v>6.9631023110439827</c:v>
                </c:pt>
              </c:numCache>
            </c:numRef>
          </c:val>
          <c:extLst>
            <c:ext xmlns:c16="http://schemas.microsoft.com/office/drawing/2014/chart" uri="{C3380CC4-5D6E-409C-BE32-E72D297353CC}">
              <c16:uniqueId val="{00000003-F695-4EA2-88DC-E7F1CFEBAE67}"/>
            </c:ext>
          </c:extLst>
        </c:ser>
        <c:dLbls>
          <c:showLegendKey val="0"/>
          <c:showVal val="0"/>
          <c:showCatName val="0"/>
          <c:showSerName val="0"/>
          <c:showPercent val="0"/>
          <c:showBubbleSize val="0"/>
        </c:dLbls>
        <c:axId val="981196512"/>
        <c:axId val="981197760"/>
      </c:areaChart>
      <c:catAx>
        <c:axId val="9811965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97760"/>
        <c:crosses val="autoZero"/>
        <c:auto val="1"/>
        <c:lblAlgn val="ctr"/>
        <c:lblOffset val="100"/>
        <c:noMultiLvlLbl val="0"/>
      </c:catAx>
      <c:valAx>
        <c:axId val="981197760"/>
        <c:scaling>
          <c:orientation val="minMax"/>
          <c:max val="85"/>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11965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Feuil2!$A$9</c:f>
              <c:strCache>
                <c:ptCount val="1"/>
                <c:pt idx="0">
                  <c:v>Culture</c:v>
                </c:pt>
              </c:strCache>
            </c:strRef>
          </c:tx>
          <c:spPr>
            <a:ln w="28575" cap="rnd">
              <a:solidFill>
                <a:schemeClr val="accent1"/>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Feuil2!$B$9:$AF$9</c:f>
              <c:numCache>
                <c:formatCode>#\ ##0.0</c:formatCode>
                <c:ptCount val="31"/>
                <c:pt idx="0">
                  <c:v>35.892640866678875</c:v>
                </c:pt>
                <c:pt idx="1">
                  <c:v>36.17690170149848</c:v>
                </c:pt>
                <c:pt idx="2">
                  <c:v>35.329319917499468</c:v>
                </c:pt>
                <c:pt idx="3">
                  <c:v>34.646728942929123</c:v>
                </c:pt>
                <c:pt idx="4">
                  <c:v>34.063641166515097</c:v>
                </c:pt>
                <c:pt idx="5">
                  <c:v>34.554516380166817</c:v>
                </c:pt>
                <c:pt idx="6">
                  <c:v>35.099035250068447</c:v>
                </c:pt>
                <c:pt idx="7">
                  <c:v>35.629445604037876</c:v>
                </c:pt>
                <c:pt idx="8">
                  <c:v>35.847976186836348</c:v>
                </c:pt>
                <c:pt idx="9">
                  <c:v>36.119980446646203</c:v>
                </c:pt>
                <c:pt idx="10">
                  <c:v>36.484914966209537</c:v>
                </c:pt>
                <c:pt idx="11">
                  <c:v>36.03361612671366</c:v>
                </c:pt>
                <c:pt idx="12">
                  <c:v>35.544141505387621</c:v>
                </c:pt>
                <c:pt idx="13">
                  <c:v>33.951346465039023</c:v>
                </c:pt>
                <c:pt idx="14">
                  <c:v>35.073767892860964</c:v>
                </c:pt>
                <c:pt idx="15">
                  <c:v>34.188364069269518</c:v>
                </c:pt>
                <c:pt idx="16">
                  <c:v>33.660426633599499</c:v>
                </c:pt>
                <c:pt idx="17">
                  <c:v>34.339092133252009</c:v>
                </c:pt>
                <c:pt idx="18">
                  <c:v>34.605810893688485</c:v>
                </c:pt>
                <c:pt idx="19">
                  <c:v>34.120048062098476</c:v>
                </c:pt>
                <c:pt idx="20">
                  <c:v>33.407088705293447</c:v>
                </c:pt>
                <c:pt idx="21">
                  <c:v>32.8882197816014</c:v>
                </c:pt>
                <c:pt idx="22">
                  <c:v>33.546177960886929</c:v>
                </c:pt>
                <c:pt idx="23">
                  <c:v>33.122208194087705</c:v>
                </c:pt>
                <c:pt idx="24">
                  <c:v>34.268057573785647</c:v>
                </c:pt>
                <c:pt idx="25">
                  <c:v>33.968427656733908</c:v>
                </c:pt>
                <c:pt idx="26">
                  <c:v>33.160527974529955</c:v>
                </c:pt>
                <c:pt idx="27">
                  <c:v>33.911779299780378</c:v>
                </c:pt>
                <c:pt idx="28">
                  <c:v>33.070024839649477</c:v>
                </c:pt>
                <c:pt idx="29">
                  <c:v>32.731809844078271</c:v>
                </c:pt>
                <c:pt idx="30">
                  <c:v>31.103399637284113</c:v>
                </c:pt>
              </c:numCache>
            </c:numRef>
          </c:val>
          <c:smooth val="0"/>
          <c:extLst>
            <c:ext xmlns:c16="http://schemas.microsoft.com/office/drawing/2014/chart" uri="{C3380CC4-5D6E-409C-BE32-E72D297353CC}">
              <c16:uniqueId val="{00000000-6846-460B-9CF5-4FBBEFEC1D59}"/>
            </c:ext>
          </c:extLst>
        </c:ser>
        <c:ser>
          <c:idx val="1"/>
          <c:order val="1"/>
          <c:tx>
            <c:strRef>
              <c:f>Feuil2!$A$10</c:f>
              <c:strCache>
                <c:ptCount val="1"/>
                <c:pt idx="0">
                  <c:v>Fermentation entérique</c:v>
                </c:pt>
              </c:strCache>
            </c:strRef>
          </c:tx>
          <c:spPr>
            <a:ln w="28575" cap="rnd">
              <a:solidFill>
                <a:schemeClr val="accent2"/>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Feuil2!$B$10:$AF$10</c:f>
              <c:numCache>
                <c:formatCode>#\ ##0.0</c:formatCode>
                <c:ptCount val="31"/>
                <c:pt idx="0">
                  <c:v>38.630537891313168</c:v>
                </c:pt>
                <c:pt idx="1">
                  <c:v>37.999783626371098</c:v>
                </c:pt>
                <c:pt idx="2">
                  <c:v>37.451823325006117</c:v>
                </c:pt>
                <c:pt idx="3">
                  <c:v>37.13551757644796</c:v>
                </c:pt>
                <c:pt idx="4">
                  <c:v>37.272813927323888</c:v>
                </c:pt>
                <c:pt idx="5">
                  <c:v>37.463729526353518</c:v>
                </c:pt>
                <c:pt idx="6">
                  <c:v>37.422899187872808</c:v>
                </c:pt>
                <c:pt idx="7">
                  <c:v>37.014044405266354</c:v>
                </c:pt>
                <c:pt idx="8">
                  <c:v>36.785966283954302</c:v>
                </c:pt>
                <c:pt idx="9">
                  <c:v>36.770292985466376</c:v>
                </c:pt>
                <c:pt idx="10">
                  <c:v>38.104344043074903</c:v>
                </c:pt>
                <c:pt idx="11">
                  <c:v>38.111411228709478</c:v>
                </c:pt>
                <c:pt idx="12">
                  <c:v>37.202305600936313</c:v>
                </c:pt>
                <c:pt idx="13">
                  <c:v>36.103271126396955</c:v>
                </c:pt>
                <c:pt idx="14">
                  <c:v>35.589907827800268</c:v>
                </c:pt>
                <c:pt idx="15">
                  <c:v>35.427239659049285</c:v>
                </c:pt>
                <c:pt idx="16">
                  <c:v>35.470759850561301</c:v>
                </c:pt>
                <c:pt idx="17">
                  <c:v>35.685050332818413</c:v>
                </c:pt>
                <c:pt idx="18">
                  <c:v>36.096522845939027</c:v>
                </c:pt>
                <c:pt idx="19">
                  <c:v>35.749793841591604</c:v>
                </c:pt>
                <c:pt idx="20">
                  <c:v>35.594168648680366</c:v>
                </c:pt>
                <c:pt idx="21">
                  <c:v>35.003780105054915</c:v>
                </c:pt>
                <c:pt idx="22">
                  <c:v>34.644140540383802</c:v>
                </c:pt>
                <c:pt idx="23">
                  <c:v>34.707882452507462</c:v>
                </c:pt>
                <c:pt idx="24">
                  <c:v>35.187918501180924</c:v>
                </c:pt>
                <c:pt idx="25">
                  <c:v>35.333731216332296</c:v>
                </c:pt>
                <c:pt idx="26">
                  <c:v>35.131075874739729</c:v>
                </c:pt>
                <c:pt idx="27">
                  <c:v>34.750496640426832</c:v>
                </c:pt>
                <c:pt idx="28">
                  <c:v>34.220263251958912</c:v>
                </c:pt>
                <c:pt idx="29">
                  <c:v>33.643712552778318</c:v>
                </c:pt>
                <c:pt idx="30">
                  <c:v>33.136510471699538</c:v>
                </c:pt>
              </c:numCache>
            </c:numRef>
          </c:val>
          <c:smooth val="0"/>
          <c:extLst>
            <c:ext xmlns:c16="http://schemas.microsoft.com/office/drawing/2014/chart" uri="{C3380CC4-5D6E-409C-BE32-E72D297353CC}">
              <c16:uniqueId val="{00000001-6846-460B-9CF5-4FBBEFEC1D59}"/>
            </c:ext>
          </c:extLst>
        </c:ser>
        <c:ser>
          <c:idx val="2"/>
          <c:order val="2"/>
          <c:tx>
            <c:strRef>
              <c:f>Feuil2!$A$11</c:f>
              <c:strCache>
                <c:ptCount val="1"/>
                <c:pt idx="0">
                  <c:v>Déjections animales</c:v>
                </c:pt>
              </c:strCache>
            </c:strRef>
          </c:tx>
          <c:spPr>
            <a:ln w="28575" cap="rnd">
              <a:solidFill>
                <a:schemeClr val="accent3"/>
              </a:solidFill>
              <a:round/>
            </a:ln>
            <a:effectLst/>
          </c:spPr>
          <c:marker>
            <c:symbol val="none"/>
          </c:marker>
          <c:cat>
            <c:numRef>
              <c:f>Feuil2!$B$3:$AF$3</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Feuil2!$B$11:$AF$11</c:f>
              <c:numCache>
                <c:formatCode>#\ ##0.0</c:formatCode>
                <c:ptCount val="31"/>
                <c:pt idx="0">
                  <c:v>6.2797745072230136</c:v>
                </c:pt>
                <c:pt idx="1">
                  <c:v>6.1979463356041213</c:v>
                </c:pt>
                <c:pt idx="2">
                  <c:v>6.1616316838078573</c:v>
                </c:pt>
                <c:pt idx="3">
                  <c:v>6.1650320212671126</c:v>
                </c:pt>
                <c:pt idx="4">
                  <c:v>6.2176092969895285</c:v>
                </c:pt>
                <c:pt idx="5">
                  <c:v>6.2629360758055634</c:v>
                </c:pt>
                <c:pt idx="6">
                  <c:v>6.1910597824968709</c:v>
                </c:pt>
                <c:pt idx="7">
                  <c:v>6.3958317742604178</c:v>
                </c:pt>
                <c:pt idx="8">
                  <c:v>6.3516644161882692</c:v>
                </c:pt>
                <c:pt idx="9">
                  <c:v>6.5528478141292652</c:v>
                </c:pt>
                <c:pt idx="10">
                  <c:v>6.7024971058081944</c:v>
                </c:pt>
                <c:pt idx="11">
                  <c:v>6.6600132078645764</c:v>
                </c:pt>
                <c:pt idx="12">
                  <c:v>6.6948159990547014</c:v>
                </c:pt>
                <c:pt idx="13">
                  <c:v>6.6970862879201327</c:v>
                </c:pt>
                <c:pt idx="14">
                  <c:v>6.4021673382679705</c:v>
                </c:pt>
                <c:pt idx="15">
                  <c:v>6.4026602663362659</c:v>
                </c:pt>
                <c:pt idx="16">
                  <c:v>6.519302960225084</c:v>
                </c:pt>
                <c:pt idx="17">
                  <c:v>6.4974376108817742</c:v>
                </c:pt>
                <c:pt idx="18">
                  <c:v>6.5480496569253379</c:v>
                </c:pt>
                <c:pt idx="19">
                  <c:v>6.518094337643018</c:v>
                </c:pt>
                <c:pt idx="20">
                  <c:v>6.2017863546150229</c:v>
                </c:pt>
                <c:pt idx="21">
                  <c:v>6.5902201489572274</c:v>
                </c:pt>
                <c:pt idx="22">
                  <c:v>6.2299846152917704</c:v>
                </c:pt>
                <c:pt idx="23">
                  <c:v>6.1240729254340014</c:v>
                </c:pt>
                <c:pt idx="24">
                  <c:v>6.4529065590099428</c:v>
                </c:pt>
                <c:pt idx="25">
                  <c:v>6.4178166799771628</c:v>
                </c:pt>
                <c:pt idx="26">
                  <c:v>6.1963122259900389</c:v>
                </c:pt>
                <c:pt idx="27">
                  <c:v>6.1734606313418139</c:v>
                </c:pt>
                <c:pt idx="28">
                  <c:v>6.2591880290201551</c:v>
                </c:pt>
                <c:pt idx="29">
                  <c:v>6.1221649248881347</c:v>
                </c:pt>
                <c:pt idx="30">
                  <c:v>6.1462366915273225</c:v>
                </c:pt>
              </c:numCache>
            </c:numRef>
          </c:val>
          <c:smooth val="0"/>
          <c:extLst>
            <c:ext xmlns:c16="http://schemas.microsoft.com/office/drawing/2014/chart" uri="{C3380CC4-5D6E-409C-BE32-E72D297353CC}">
              <c16:uniqueId val="{00000002-6846-460B-9CF5-4FBBEFEC1D59}"/>
            </c:ext>
          </c:extLst>
        </c:ser>
        <c:ser>
          <c:idx val="3"/>
          <c:order val="3"/>
          <c:tx>
            <c:v>Consommation d'énergie</c:v>
          </c:tx>
          <c:spPr>
            <a:ln w="28575" cap="rnd">
              <a:solidFill>
                <a:schemeClr val="accent4"/>
              </a:solidFill>
              <a:round/>
            </a:ln>
            <a:effectLst/>
          </c:spPr>
          <c:marker>
            <c:symbol val="none"/>
          </c:marker>
          <c:val>
            <c:numRef>
              <c:f>Feuil2!$B$13:$AF$13</c:f>
              <c:numCache>
                <c:formatCode>#\ ##0.0</c:formatCode>
                <c:ptCount val="31"/>
                <c:pt idx="0">
                  <c:v>10.682947011017697</c:v>
                </c:pt>
                <c:pt idx="1">
                  <c:v>10.679382173456736</c:v>
                </c:pt>
                <c:pt idx="2">
                  <c:v>10.983485521738773</c:v>
                </c:pt>
                <c:pt idx="3">
                  <c:v>11.085233497544646</c:v>
                </c:pt>
                <c:pt idx="4">
                  <c:v>10.915333434331309</c:v>
                </c:pt>
                <c:pt idx="5">
                  <c:v>11.010233087877049</c:v>
                </c:pt>
                <c:pt idx="6">
                  <c:v>11.323013941261975</c:v>
                </c:pt>
                <c:pt idx="7">
                  <c:v>11.259971837280855</c:v>
                </c:pt>
                <c:pt idx="8">
                  <c:v>11.502534156948334</c:v>
                </c:pt>
                <c:pt idx="9">
                  <c:v>11.540479507946037</c:v>
                </c:pt>
                <c:pt idx="10">
                  <c:v>11.672424769926952</c:v>
                </c:pt>
                <c:pt idx="11">
                  <c:v>11.732069804489859</c:v>
                </c:pt>
                <c:pt idx="12">
                  <c:v>11.359430066445409</c:v>
                </c:pt>
                <c:pt idx="13">
                  <c:v>11.202238416955723</c:v>
                </c:pt>
                <c:pt idx="14">
                  <c:v>11.869417928404596</c:v>
                </c:pt>
                <c:pt idx="15">
                  <c:v>11.564194835097915</c:v>
                </c:pt>
                <c:pt idx="16">
                  <c:v>11.265514739689378</c:v>
                </c:pt>
                <c:pt idx="17">
                  <c:v>11.104741702653603</c:v>
                </c:pt>
                <c:pt idx="18">
                  <c:v>11.487228603012795</c:v>
                </c:pt>
                <c:pt idx="19">
                  <c:v>11.558459440717863</c:v>
                </c:pt>
                <c:pt idx="20">
                  <c:v>11.165585682556847</c:v>
                </c:pt>
                <c:pt idx="21">
                  <c:v>11.017614366796165</c:v>
                </c:pt>
                <c:pt idx="22">
                  <c:v>10.429171644486775</c:v>
                </c:pt>
                <c:pt idx="23">
                  <c:v>11.13393586694793</c:v>
                </c:pt>
                <c:pt idx="24">
                  <c:v>11.109674044956733</c:v>
                </c:pt>
                <c:pt idx="25">
                  <c:v>11.004725489255069</c:v>
                </c:pt>
                <c:pt idx="26">
                  <c:v>10.268642905744578</c:v>
                </c:pt>
                <c:pt idx="27">
                  <c:v>9.856827111950432</c:v>
                </c:pt>
                <c:pt idx="28">
                  <c:v>9.9475213113637331</c:v>
                </c:pt>
                <c:pt idx="29">
                  <c:v>9.8038462862177944</c:v>
                </c:pt>
                <c:pt idx="30">
                  <c:v>10.340338485756435</c:v>
                </c:pt>
              </c:numCache>
            </c:numRef>
          </c:val>
          <c:smooth val="0"/>
          <c:extLst>
            <c:ext xmlns:c16="http://schemas.microsoft.com/office/drawing/2014/chart" uri="{C3380CC4-5D6E-409C-BE32-E72D297353CC}">
              <c16:uniqueId val="{00000003-6846-460B-9CF5-4FBBEFEC1D59}"/>
            </c:ext>
          </c:extLst>
        </c:ser>
        <c:dLbls>
          <c:showLegendKey val="0"/>
          <c:showVal val="0"/>
          <c:showCatName val="0"/>
          <c:showSerName val="0"/>
          <c:showPercent val="0"/>
          <c:showBubbleSize val="0"/>
        </c:dLbls>
        <c:smooth val="0"/>
        <c:axId val="931714144"/>
        <c:axId val="931712896"/>
      </c:lineChart>
      <c:catAx>
        <c:axId val="93171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1712896"/>
        <c:crosses val="autoZero"/>
        <c:auto val="1"/>
        <c:lblAlgn val="ctr"/>
        <c:lblOffset val="100"/>
        <c:noMultiLvlLbl val="0"/>
      </c:catAx>
      <c:valAx>
        <c:axId val="931712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171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Feuil2!$A$17</c:f>
              <c:strCache>
                <c:ptCount val="1"/>
                <c:pt idx="0">
                  <c:v>CO2</c:v>
                </c:pt>
              </c:strCache>
            </c:strRef>
          </c:tx>
          <c:spPr>
            <a:solidFill>
              <a:schemeClr val="accent1"/>
            </a:solidFill>
            <a:ln>
              <a:noFill/>
            </a:ln>
            <a:effectLst/>
          </c:spPr>
          <c:val>
            <c:numRef>
              <c:f>Feuil2!$B$17:$AF$17</c:f>
              <c:numCache>
                <c:formatCode>#\ ##0.0</c:formatCode>
                <c:ptCount val="31"/>
                <c:pt idx="0">
                  <c:v>11.649966521752932</c:v>
                </c:pt>
                <c:pt idx="1">
                  <c:v>11.652741836508252</c:v>
                </c:pt>
                <c:pt idx="2">
                  <c:v>11.782132046946064</c:v>
                </c:pt>
                <c:pt idx="3">
                  <c:v>12.003593678994511</c:v>
                </c:pt>
                <c:pt idx="4">
                  <c:v>11.80827689150602</c:v>
                </c:pt>
                <c:pt idx="5">
                  <c:v>12.023836885993568</c:v>
                </c:pt>
                <c:pt idx="6">
                  <c:v>12.273141025787448</c:v>
                </c:pt>
                <c:pt idx="7">
                  <c:v>12.372288049874536</c:v>
                </c:pt>
                <c:pt idx="8">
                  <c:v>12.607638782705983</c:v>
                </c:pt>
                <c:pt idx="9">
                  <c:v>12.626450026719823</c:v>
                </c:pt>
                <c:pt idx="10">
                  <c:v>12.670446846532432</c:v>
                </c:pt>
                <c:pt idx="11">
                  <c:v>12.698460154411086</c:v>
                </c:pt>
                <c:pt idx="12">
                  <c:v>12.317813712762842</c:v>
                </c:pt>
                <c:pt idx="13">
                  <c:v>12.198864006922101</c:v>
                </c:pt>
                <c:pt idx="14">
                  <c:v>12.806837857894438</c:v>
                </c:pt>
                <c:pt idx="15">
                  <c:v>12.511184780991682</c:v>
                </c:pt>
                <c:pt idx="16">
                  <c:v>12.156477640986296</c:v>
                </c:pt>
                <c:pt idx="17">
                  <c:v>12.033591359385342</c:v>
                </c:pt>
                <c:pt idx="18">
                  <c:v>12.41625000183133</c:v>
                </c:pt>
                <c:pt idx="19">
                  <c:v>12.559923237711207</c:v>
                </c:pt>
                <c:pt idx="20">
                  <c:v>12.149364766674667</c:v>
                </c:pt>
                <c:pt idx="21">
                  <c:v>12.056565488870735</c:v>
                </c:pt>
                <c:pt idx="22">
                  <c:v>11.608042312183105</c:v>
                </c:pt>
                <c:pt idx="23">
                  <c:v>12.144162333194975</c:v>
                </c:pt>
                <c:pt idx="24">
                  <c:v>12.166407062629808</c:v>
                </c:pt>
                <c:pt idx="25">
                  <c:v>12.112606617552046</c:v>
                </c:pt>
                <c:pt idx="26">
                  <c:v>11.438226176444495</c:v>
                </c:pt>
                <c:pt idx="27">
                  <c:v>11.007693608692307</c:v>
                </c:pt>
                <c:pt idx="28">
                  <c:v>11.171777077410034</c:v>
                </c:pt>
                <c:pt idx="29">
                  <c:v>10.899302763354489</c:v>
                </c:pt>
                <c:pt idx="30">
                  <c:v>11.205319898128888</c:v>
                </c:pt>
              </c:numCache>
            </c:numRef>
          </c:val>
          <c:extLst>
            <c:ext xmlns:c16="http://schemas.microsoft.com/office/drawing/2014/chart" uri="{C3380CC4-5D6E-409C-BE32-E72D297353CC}">
              <c16:uniqueId val="{00000000-6D55-4532-A704-097F4225F914}"/>
            </c:ext>
          </c:extLst>
        </c:ser>
        <c:ser>
          <c:idx val="1"/>
          <c:order val="1"/>
          <c:tx>
            <c:strRef>
              <c:f>Feuil2!$A$19</c:f>
              <c:strCache>
                <c:ptCount val="1"/>
                <c:pt idx="0">
                  <c:v>CH4</c:v>
                </c:pt>
              </c:strCache>
            </c:strRef>
          </c:tx>
          <c:spPr>
            <a:solidFill>
              <a:schemeClr val="accent2"/>
            </a:solidFill>
            <a:ln>
              <a:noFill/>
            </a:ln>
            <a:effectLst/>
          </c:spPr>
          <c:val>
            <c:numRef>
              <c:f>Feuil2!$B$19:$AF$19</c:f>
              <c:numCache>
                <c:formatCode>#,##0</c:formatCode>
                <c:ptCount val="31"/>
                <c:pt idx="0">
                  <c:v>42.237556065495561</c:v>
                </c:pt>
                <c:pt idx="1">
                  <c:v>41.575404087774679</c:v>
                </c:pt>
                <c:pt idx="2">
                  <c:v>41.045604247604494</c:v>
                </c:pt>
                <c:pt idx="3">
                  <c:v>40.754798022766245</c:v>
                </c:pt>
                <c:pt idx="4">
                  <c:v>40.940118059381149</c:v>
                </c:pt>
                <c:pt idx="5">
                  <c:v>41.163706463445777</c:v>
                </c:pt>
                <c:pt idx="6">
                  <c:v>41.050822291592937</c:v>
                </c:pt>
                <c:pt idx="7">
                  <c:v>40.871414027624908</c:v>
                </c:pt>
                <c:pt idx="8">
                  <c:v>40.613155451510025</c:v>
                </c:pt>
                <c:pt idx="9">
                  <c:v>40.808715313267129</c:v>
                </c:pt>
                <c:pt idx="10">
                  <c:v>42.215612857937053</c:v>
                </c:pt>
                <c:pt idx="11">
                  <c:v>42.18884676059492</c:v>
                </c:pt>
                <c:pt idx="12">
                  <c:v>41.360917523570919</c:v>
                </c:pt>
                <c:pt idx="13">
                  <c:v>40.319639472215123</c:v>
                </c:pt>
                <c:pt idx="14">
                  <c:v>39.557863992679778</c:v>
                </c:pt>
                <c:pt idx="15">
                  <c:v>39.389039734260926</c:v>
                </c:pt>
                <c:pt idx="16">
                  <c:v>39.540740646220613</c:v>
                </c:pt>
                <c:pt idx="17">
                  <c:v>39.702262959185177</c:v>
                </c:pt>
                <c:pt idx="18">
                  <c:v>40.128366534132645</c:v>
                </c:pt>
                <c:pt idx="19">
                  <c:v>39.800800738809897</c:v>
                </c:pt>
                <c:pt idx="20">
                  <c:v>39.339602033602858</c:v>
                </c:pt>
                <c:pt idx="21">
                  <c:v>39.147253164815041</c:v>
                </c:pt>
                <c:pt idx="22">
                  <c:v>38.449612891248357</c:v>
                </c:pt>
                <c:pt idx="23">
                  <c:v>38.406635735153834</c:v>
                </c:pt>
                <c:pt idx="24">
                  <c:v>39.185905234966938</c:v>
                </c:pt>
                <c:pt idx="25">
                  <c:v>39.292368682657766</c:v>
                </c:pt>
                <c:pt idx="26">
                  <c:v>38.890163004509255</c:v>
                </c:pt>
                <c:pt idx="27">
                  <c:v>38.537469647467894</c:v>
                </c:pt>
                <c:pt idx="28">
                  <c:v>38.110130851733707</c:v>
                </c:pt>
                <c:pt idx="29">
                  <c:v>37.455993999669971</c:v>
                </c:pt>
                <c:pt idx="30">
                  <c:v>37.009782735566432</c:v>
                </c:pt>
              </c:numCache>
            </c:numRef>
          </c:val>
          <c:extLst>
            <c:ext xmlns:c16="http://schemas.microsoft.com/office/drawing/2014/chart" uri="{C3380CC4-5D6E-409C-BE32-E72D297353CC}">
              <c16:uniqueId val="{00000001-6D55-4532-A704-097F4225F914}"/>
            </c:ext>
          </c:extLst>
        </c:ser>
        <c:ser>
          <c:idx val="2"/>
          <c:order val="2"/>
          <c:tx>
            <c:strRef>
              <c:f>Feuil2!$A$21</c:f>
              <c:strCache>
                <c:ptCount val="1"/>
                <c:pt idx="0">
                  <c:v>N2O</c:v>
                </c:pt>
              </c:strCache>
            </c:strRef>
          </c:tx>
          <c:spPr>
            <a:solidFill>
              <a:schemeClr val="accent3"/>
            </a:solidFill>
            <a:ln>
              <a:noFill/>
            </a:ln>
            <a:effectLst/>
          </c:spPr>
          <c:val>
            <c:numRef>
              <c:f>Feuil2!$B$21:$AF$21</c:f>
              <c:numCache>
                <c:formatCode>#,##0</c:formatCode>
                <c:ptCount val="31"/>
                <c:pt idx="0">
                  <c:v>37.59837768898425</c:v>
                </c:pt>
                <c:pt idx="1">
                  <c:v>37.825867912647489</c:v>
                </c:pt>
                <c:pt idx="2">
                  <c:v>37.098524153501643</c:v>
                </c:pt>
                <c:pt idx="3">
                  <c:v>36.274120336428091</c:v>
                </c:pt>
                <c:pt idx="4">
                  <c:v>35.721002874272678</c:v>
                </c:pt>
                <c:pt idx="5">
                  <c:v>36.1038717207636</c:v>
                </c:pt>
                <c:pt idx="6">
                  <c:v>36.712044844319699</c:v>
                </c:pt>
                <c:pt idx="7">
                  <c:v>37.055591543346061</c:v>
                </c:pt>
                <c:pt idx="8">
                  <c:v>37.267346809711249</c:v>
                </c:pt>
                <c:pt idx="9">
                  <c:v>37.548435414200902</c:v>
                </c:pt>
                <c:pt idx="10">
                  <c:v>38.078121180550113</c:v>
                </c:pt>
                <c:pt idx="11">
                  <c:v>37.649803452771543</c:v>
                </c:pt>
                <c:pt idx="12">
                  <c:v>37.121961935490297</c:v>
                </c:pt>
                <c:pt idx="13">
                  <c:v>35.435438817174614</c:v>
                </c:pt>
                <c:pt idx="14">
                  <c:v>36.570559136759563</c:v>
                </c:pt>
                <c:pt idx="15">
                  <c:v>35.682234314500334</c:v>
                </c:pt>
                <c:pt idx="16">
                  <c:v>35.21878589686834</c:v>
                </c:pt>
                <c:pt idx="17">
                  <c:v>35.890467461035264</c:v>
                </c:pt>
                <c:pt idx="18">
                  <c:v>36.192995463601648</c:v>
                </c:pt>
                <c:pt idx="19">
                  <c:v>35.58567170552984</c:v>
                </c:pt>
                <c:pt idx="20">
                  <c:v>34.879662590868165</c:v>
                </c:pt>
                <c:pt idx="21">
                  <c:v>34.296015748723946</c:v>
                </c:pt>
                <c:pt idx="22">
                  <c:v>34.791819557617828</c:v>
                </c:pt>
                <c:pt idx="23">
                  <c:v>34.537301370628299</c:v>
                </c:pt>
                <c:pt idx="24">
                  <c:v>35.66624438133649</c:v>
                </c:pt>
                <c:pt idx="25">
                  <c:v>35.319735478051243</c:v>
                </c:pt>
                <c:pt idx="26">
                  <c:v>34.428179908089689</c:v>
                </c:pt>
                <c:pt idx="27">
                  <c:v>35.147555269489743</c:v>
                </c:pt>
                <c:pt idx="28">
                  <c:v>34.215096714230107</c:v>
                </c:pt>
                <c:pt idx="29">
                  <c:v>33.946243631351088</c:v>
                </c:pt>
                <c:pt idx="30">
                  <c:v>32.511394863030205</c:v>
                </c:pt>
              </c:numCache>
            </c:numRef>
          </c:val>
          <c:extLst>
            <c:ext xmlns:c16="http://schemas.microsoft.com/office/drawing/2014/chart" uri="{C3380CC4-5D6E-409C-BE32-E72D297353CC}">
              <c16:uniqueId val="{00000002-6D55-4532-A704-097F4225F914}"/>
            </c:ext>
          </c:extLst>
        </c:ser>
        <c:dLbls>
          <c:showLegendKey val="0"/>
          <c:showVal val="0"/>
          <c:showCatName val="0"/>
          <c:showSerName val="0"/>
          <c:showPercent val="0"/>
          <c:showBubbleSize val="0"/>
        </c:dLbls>
        <c:axId val="936984720"/>
        <c:axId val="936985136"/>
      </c:areaChart>
      <c:catAx>
        <c:axId val="936984720"/>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6985136"/>
        <c:crosses val="autoZero"/>
        <c:auto val="1"/>
        <c:lblAlgn val="ctr"/>
        <c:lblOffset val="100"/>
        <c:noMultiLvlLbl val="0"/>
      </c:catAx>
      <c:valAx>
        <c:axId val="936985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69847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CO2e!$B$49</c:f>
              <c:strCache>
                <c:ptCount val="1"/>
                <c:pt idx="0">
                  <c:v>Forêts</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CO2e!$C$49:$AG$49</c:f>
              <c:numCache>
                <c:formatCode>0.0</c:formatCode>
                <c:ptCount val="19"/>
                <c:pt idx="0">
                  <c:v>-38.556030718484806</c:v>
                </c:pt>
                <c:pt idx="1">
                  <c:v>-43.826164985669806</c:v>
                </c:pt>
                <c:pt idx="2">
                  <c:v>-32.80220195420906</c:v>
                </c:pt>
                <c:pt idx="3">
                  <c:v>-64.66909450315751</c:v>
                </c:pt>
                <c:pt idx="4">
                  <c:v>-68.292858660547267</c:v>
                </c:pt>
                <c:pt idx="5">
                  <c:v>-69.680556038195917</c:v>
                </c:pt>
                <c:pt idx="6">
                  <c:v>-71.913553174691771</c:v>
                </c:pt>
                <c:pt idx="7">
                  <c:v>-61.910864516942276</c:v>
                </c:pt>
                <c:pt idx="8">
                  <c:v>-58.463497293397324</c:v>
                </c:pt>
                <c:pt idx="9">
                  <c:v>-56.771671051195341</c:v>
                </c:pt>
                <c:pt idx="10">
                  <c:v>-59.266648887402035</c:v>
                </c:pt>
                <c:pt idx="11">
                  <c:v>-62.245234013037724</c:v>
                </c:pt>
                <c:pt idx="12">
                  <c:v>-55.496936670325383</c:v>
                </c:pt>
                <c:pt idx="13">
                  <c:v>-51.968046389946565</c:v>
                </c:pt>
                <c:pt idx="14">
                  <c:v>-42.577560357010896</c:v>
                </c:pt>
                <c:pt idx="15">
                  <c:v>-33.110833066672278</c:v>
                </c:pt>
                <c:pt idx="16">
                  <c:v>-30.520630324867568</c:v>
                </c:pt>
                <c:pt idx="17">
                  <c:v>-29.072682389621331</c:v>
                </c:pt>
                <c:pt idx="18">
                  <c:v>-30.426852240103759</c:v>
                </c:pt>
              </c:numCache>
            </c:numRef>
          </c:val>
          <c:extLst>
            <c:ext xmlns:c16="http://schemas.microsoft.com/office/drawing/2014/chart" uri="{C3380CC4-5D6E-409C-BE32-E72D297353CC}">
              <c16:uniqueId val="{00000000-272D-45F9-8732-043758869DC6}"/>
            </c:ext>
          </c:extLst>
        </c:ser>
        <c:ser>
          <c:idx val="1"/>
          <c:order val="1"/>
          <c:tx>
            <c:strRef>
              <c:f>CO2e!$B$50</c:f>
              <c:strCache>
                <c:ptCount val="1"/>
                <c:pt idx="0">
                  <c:v>Terres cultivées</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CO2e!$C$50:$AG$50</c:f>
              <c:numCache>
                <c:formatCode>0.0</c:formatCode>
                <c:ptCount val="19"/>
                <c:pt idx="0">
                  <c:v>23.157596726586927</c:v>
                </c:pt>
                <c:pt idx="1">
                  <c:v>22.602064528259131</c:v>
                </c:pt>
                <c:pt idx="2">
                  <c:v>21.030593950270458</c:v>
                </c:pt>
                <c:pt idx="3">
                  <c:v>18.379037808477715</c:v>
                </c:pt>
                <c:pt idx="4">
                  <c:v>18.677651480933562</c:v>
                </c:pt>
                <c:pt idx="5">
                  <c:v>19.314633650967394</c:v>
                </c:pt>
                <c:pt idx="6">
                  <c:v>20.685421288752487</c:v>
                </c:pt>
                <c:pt idx="7">
                  <c:v>20.06267713560332</c:v>
                </c:pt>
                <c:pt idx="8">
                  <c:v>19.784843959488029</c:v>
                </c:pt>
                <c:pt idx="9">
                  <c:v>18.752861864197573</c:v>
                </c:pt>
                <c:pt idx="10">
                  <c:v>17.343137227965883</c:v>
                </c:pt>
                <c:pt idx="11">
                  <c:v>16.036134989598352</c:v>
                </c:pt>
                <c:pt idx="12">
                  <c:v>15.25136282704681</c:v>
                </c:pt>
                <c:pt idx="13">
                  <c:v>14.759662562554967</c:v>
                </c:pt>
                <c:pt idx="14">
                  <c:v>14.058986836110378</c:v>
                </c:pt>
                <c:pt idx="15">
                  <c:v>13.53764139450727</c:v>
                </c:pt>
                <c:pt idx="16">
                  <c:v>13.234114476327623</c:v>
                </c:pt>
                <c:pt idx="17">
                  <c:v>13.485906543849604</c:v>
                </c:pt>
                <c:pt idx="18">
                  <c:v>13.256410179963668</c:v>
                </c:pt>
              </c:numCache>
            </c:numRef>
          </c:val>
          <c:extLst>
            <c:ext xmlns:c16="http://schemas.microsoft.com/office/drawing/2014/chart" uri="{C3380CC4-5D6E-409C-BE32-E72D297353CC}">
              <c16:uniqueId val="{00000001-272D-45F9-8732-043758869DC6}"/>
            </c:ext>
          </c:extLst>
        </c:ser>
        <c:ser>
          <c:idx val="2"/>
          <c:order val="2"/>
          <c:tx>
            <c:strRef>
              <c:f>CO2e!$B$51</c:f>
              <c:strCache>
                <c:ptCount val="1"/>
                <c:pt idx="0">
                  <c:v>Prairies</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CO2e!$C$51:$AG$51</c:f>
              <c:numCache>
                <c:formatCode>0.0</c:formatCode>
                <c:ptCount val="19"/>
                <c:pt idx="0">
                  <c:v>-13.718426119186153</c:v>
                </c:pt>
                <c:pt idx="1">
                  <c:v>-14.813934788129568</c:v>
                </c:pt>
                <c:pt idx="2">
                  <c:v>-14.228279371725785</c:v>
                </c:pt>
                <c:pt idx="3">
                  <c:v>-9.4077424065297812</c:v>
                </c:pt>
                <c:pt idx="4">
                  <c:v>-8.4983128680803617</c:v>
                </c:pt>
                <c:pt idx="5">
                  <c:v>-7.6578549869033665</c:v>
                </c:pt>
                <c:pt idx="6">
                  <c:v>-8.1685321737970664</c:v>
                </c:pt>
                <c:pt idx="7">
                  <c:v>-8.7895106928446207</c:v>
                </c:pt>
                <c:pt idx="8">
                  <c:v>-9.6830302468569354</c:v>
                </c:pt>
                <c:pt idx="9">
                  <c:v>-10.323705474410948</c:v>
                </c:pt>
                <c:pt idx="10">
                  <c:v>-9.9523778666190932</c:v>
                </c:pt>
                <c:pt idx="11">
                  <c:v>-9.6412260060836292</c:v>
                </c:pt>
                <c:pt idx="12">
                  <c:v>-9.2270475971385952</c:v>
                </c:pt>
                <c:pt idx="13">
                  <c:v>-8.9416038937447624</c:v>
                </c:pt>
                <c:pt idx="14">
                  <c:v>-8.7140118861463165</c:v>
                </c:pt>
                <c:pt idx="15">
                  <c:v>-8.5253231933675284</c:v>
                </c:pt>
                <c:pt idx="16">
                  <c:v>-8.3226281928555075</c:v>
                </c:pt>
                <c:pt idx="17">
                  <c:v>-8.2470574100285265</c:v>
                </c:pt>
                <c:pt idx="18">
                  <c:v>-8.3102349091807426</c:v>
                </c:pt>
              </c:numCache>
            </c:numRef>
          </c:val>
          <c:extLst>
            <c:ext xmlns:c16="http://schemas.microsoft.com/office/drawing/2014/chart" uri="{C3380CC4-5D6E-409C-BE32-E72D297353CC}">
              <c16:uniqueId val="{00000002-272D-45F9-8732-043758869DC6}"/>
            </c:ext>
          </c:extLst>
        </c:ser>
        <c:ser>
          <c:idx val="3"/>
          <c:order val="3"/>
          <c:tx>
            <c:strRef>
              <c:f>CO2e!$B$52</c:f>
              <c:strCache>
                <c:ptCount val="1"/>
                <c:pt idx="0">
                  <c:v>Zones humides</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CO2e!$C$52:$AG$52</c:f>
              <c:numCache>
                <c:formatCode>0.0</c:formatCode>
                <c:ptCount val="19"/>
                <c:pt idx="0">
                  <c:v>0.3655921806344653</c:v>
                </c:pt>
                <c:pt idx="1">
                  <c:v>0.23122534344234474</c:v>
                </c:pt>
                <c:pt idx="2">
                  <c:v>0.23977030571991187</c:v>
                </c:pt>
                <c:pt idx="3">
                  <c:v>0.53564595573555762</c:v>
                </c:pt>
                <c:pt idx="4">
                  <c:v>0.70929109372778509</c:v>
                </c:pt>
                <c:pt idx="5">
                  <c:v>0.86417716672070222</c:v>
                </c:pt>
                <c:pt idx="6">
                  <c:v>0.34565470423579636</c:v>
                </c:pt>
                <c:pt idx="7">
                  <c:v>0.4912914268001376</c:v>
                </c:pt>
                <c:pt idx="8">
                  <c:v>0.36237774986799343</c:v>
                </c:pt>
                <c:pt idx="9">
                  <c:v>0.52223250997482629</c:v>
                </c:pt>
                <c:pt idx="10">
                  <c:v>0.52199665473672185</c:v>
                </c:pt>
                <c:pt idx="11">
                  <c:v>0.52177259226052275</c:v>
                </c:pt>
                <c:pt idx="12">
                  <c:v>0.52155973290813351</c:v>
                </c:pt>
                <c:pt idx="13">
                  <c:v>0.52135751652336382</c:v>
                </c:pt>
                <c:pt idx="14">
                  <c:v>0.50515703461390837</c:v>
                </c:pt>
                <c:pt idx="15">
                  <c:v>0.50497453432665362</c:v>
                </c:pt>
                <c:pt idx="16">
                  <c:v>0.50480115905376177</c:v>
                </c:pt>
                <c:pt idx="17">
                  <c:v>0.50463645254451428</c:v>
                </c:pt>
                <c:pt idx="18">
                  <c:v>0.50447998136072947</c:v>
                </c:pt>
              </c:numCache>
            </c:numRef>
          </c:val>
          <c:extLst>
            <c:ext xmlns:c16="http://schemas.microsoft.com/office/drawing/2014/chart" uri="{C3380CC4-5D6E-409C-BE32-E72D297353CC}">
              <c16:uniqueId val="{00000003-272D-45F9-8732-043758869DC6}"/>
            </c:ext>
          </c:extLst>
        </c:ser>
        <c:ser>
          <c:idx val="4"/>
          <c:order val="4"/>
          <c:tx>
            <c:strRef>
              <c:f>CO2e!$B$53</c:f>
              <c:strCache>
                <c:ptCount val="1"/>
                <c:pt idx="0">
                  <c:v>Zones artificialisées</c:v>
                </c:pt>
              </c:strCache>
            </c:strRef>
          </c:tx>
          <c:spPr>
            <a:solidFill>
              <a:schemeClr val="accent5"/>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CO2e!$C$53:$AG$53</c:f>
              <c:numCache>
                <c:formatCode>0.0</c:formatCode>
                <c:ptCount val="19"/>
                <c:pt idx="0">
                  <c:v>9.8652900991892807</c:v>
                </c:pt>
                <c:pt idx="1">
                  <c:v>10.054988852153873</c:v>
                </c:pt>
                <c:pt idx="2">
                  <c:v>9.8910057323021583</c:v>
                </c:pt>
                <c:pt idx="3">
                  <c:v>11.346302120517862</c:v>
                </c:pt>
                <c:pt idx="4">
                  <c:v>12.125591925409006</c:v>
                </c:pt>
                <c:pt idx="5">
                  <c:v>12.771998826774428</c:v>
                </c:pt>
                <c:pt idx="6">
                  <c:v>13.854171584943122</c:v>
                </c:pt>
                <c:pt idx="7">
                  <c:v>13.452732709768656</c:v>
                </c:pt>
                <c:pt idx="8">
                  <c:v>12.678535973974936</c:v>
                </c:pt>
                <c:pt idx="9">
                  <c:v>12.446306334037523</c:v>
                </c:pt>
                <c:pt idx="10">
                  <c:v>12.336601189537047</c:v>
                </c:pt>
                <c:pt idx="11">
                  <c:v>12.201550579013542</c:v>
                </c:pt>
                <c:pt idx="12">
                  <c:v>11.996487114031419</c:v>
                </c:pt>
                <c:pt idx="13">
                  <c:v>11.910552046286549</c:v>
                </c:pt>
                <c:pt idx="14">
                  <c:v>11.756609730140006</c:v>
                </c:pt>
                <c:pt idx="15">
                  <c:v>11.679384111642412</c:v>
                </c:pt>
                <c:pt idx="16">
                  <c:v>11.655792616873988</c:v>
                </c:pt>
                <c:pt idx="17">
                  <c:v>11.544818694700677</c:v>
                </c:pt>
                <c:pt idx="18">
                  <c:v>11.527153064196877</c:v>
                </c:pt>
              </c:numCache>
            </c:numRef>
          </c:val>
          <c:extLst>
            <c:ext xmlns:c16="http://schemas.microsoft.com/office/drawing/2014/chart" uri="{C3380CC4-5D6E-409C-BE32-E72D297353CC}">
              <c16:uniqueId val="{00000004-272D-45F9-8732-043758869DC6}"/>
            </c:ext>
          </c:extLst>
        </c:ser>
        <c:ser>
          <c:idx val="5"/>
          <c:order val="5"/>
          <c:tx>
            <c:strRef>
              <c:f>CO2e!$B$54</c:f>
              <c:strCache>
                <c:ptCount val="1"/>
                <c:pt idx="0">
                  <c:v>Autres terres</c:v>
                </c:pt>
              </c:strCache>
            </c:strRef>
          </c:tx>
          <c:spPr>
            <a:solidFill>
              <a:schemeClr val="accent6"/>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CO2e!$C$54:$AG$54</c:f>
              <c:numCache>
                <c:formatCode>0.0</c:formatCode>
                <c:ptCount val="1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extLst>
            <c:ext xmlns:c16="http://schemas.microsoft.com/office/drawing/2014/chart" uri="{C3380CC4-5D6E-409C-BE32-E72D297353CC}">
              <c16:uniqueId val="{00000005-272D-45F9-8732-043758869DC6}"/>
            </c:ext>
          </c:extLst>
        </c:ser>
        <c:ser>
          <c:idx val="6"/>
          <c:order val="6"/>
          <c:tx>
            <c:strRef>
              <c:f>CO2e!$B$55</c:f>
              <c:strCache>
                <c:ptCount val="1"/>
                <c:pt idx="0">
                  <c:v>Produits bois</c:v>
                </c:pt>
              </c:strCache>
            </c:strRef>
          </c:tx>
          <c:spPr>
            <a:solidFill>
              <a:schemeClr val="accent1">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CO2e!$C$55:$AG$55</c:f>
              <c:numCache>
                <c:formatCode>0.0</c:formatCode>
                <c:ptCount val="19"/>
                <c:pt idx="0">
                  <c:v>-5.1002122148034168</c:v>
                </c:pt>
                <c:pt idx="1">
                  <c:v>-3.0424782551861651</c:v>
                </c:pt>
                <c:pt idx="2">
                  <c:v>-5.1411799323141993</c:v>
                </c:pt>
                <c:pt idx="3">
                  <c:v>-4.1116425846107125</c:v>
                </c:pt>
                <c:pt idx="4">
                  <c:v>-4.2734615954006516</c:v>
                </c:pt>
                <c:pt idx="5">
                  <c:v>-4.4730357476992237</c:v>
                </c:pt>
                <c:pt idx="6">
                  <c:v>-3.412415016375518</c:v>
                </c:pt>
                <c:pt idx="7">
                  <c:v>-1.3342940948224111</c:v>
                </c:pt>
                <c:pt idx="8">
                  <c:v>-3.4250455541907905</c:v>
                </c:pt>
                <c:pt idx="9">
                  <c:v>-3.4494218346385987</c:v>
                </c:pt>
                <c:pt idx="10">
                  <c:v>-2.3218470982345769</c:v>
                </c:pt>
                <c:pt idx="11">
                  <c:v>-1.7914336698607676</c:v>
                </c:pt>
                <c:pt idx="12">
                  <c:v>-1.7722981591590081</c:v>
                </c:pt>
                <c:pt idx="13">
                  <c:v>-1.1589103813598343</c:v>
                </c:pt>
                <c:pt idx="14">
                  <c:v>-0.88290714394730441</c:v>
                </c:pt>
                <c:pt idx="15">
                  <c:v>-1.1078970457115194</c:v>
                </c:pt>
                <c:pt idx="16">
                  <c:v>-0.91399244923293199</c:v>
                </c:pt>
                <c:pt idx="17">
                  <c:v>-0.76784586201262883</c:v>
                </c:pt>
                <c:pt idx="18">
                  <c:v>-0.81443052748049238</c:v>
                </c:pt>
              </c:numCache>
            </c:numRef>
          </c:val>
          <c:extLst>
            <c:ext xmlns:c16="http://schemas.microsoft.com/office/drawing/2014/chart" uri="{C3380CC4-5D6E-409C-BE32-E72D297353CC}">
              <c16:uniqueId val="{00000006-272D-45F9-8732-043758869DC6}"/>
            </c:ext>
          </c:extLst>
        </c:ser>
        <c:ser>
          <c:idx val="7"/>
          <c:order val="7"/>
          <c:tx>
            <c:strRef>
              <c:f>CO2e!$B$56</c:f>
              <c:strCache>
                <c:ptCount val="1"/>
                <c:pt idx="0">
                  <c:v>Barrages</c:v>
                </c:pt>
              </c:strCache>
            </c:strRef>
          </c:tx>
          <c:spPr>
            <a:solidFill>
              <a:schemeClr val="accent2">
                <a:lumMod val="60000"/>
              </a:schemeClr>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CO2e!$C$56:$AG$56</c:f>
              <c:numCache>
                <c:formatCode>0.0</c:formatCode>
                <c:ptCount val="19"/>
                <c:pt idx="0">
                  <c:v>0</c:v>
                </c:pt>
                <c:pt idx="1">
                  <c:v>3.915025</c:v>
                </c:pt>
                <c:pt idx="2">
                  <c:v>1.3010726666666668</c:v>
                </c:pt>
                <c:pt idx="3">
                  <c:v>0.61630966666666664</c:v>
                </c:pt>
                <c:pt idx="4">
                  <c:v>0.55154333333333327</c:v>
                </c:pt>
                <c:pt idx="5">
                  <c:v>0.49894433333333321</c:v>
                </c:pt>
                <c:pt idx="6">
                  <c:v>0.45590066666666662</c:v>
                </c:pt>
                <c:pt idx="7">
                  <c:v>0.42034033333333337</c:v>
                </c:pt>
                <c:pt idx="8">
                  <c:v>0.39077933333333331</c:v>
                </c:pt>
                <c:pt idx="9">
                  <c:v>0.36601466666666665</c:v>
                </c:pt>
                <c:pt idx="10">
                  <c:v>0.3451723333333333</c:v>
                </c:pt>
                <c:pt idx="11">
                  <c:v>0.32752966666666666</c:v>
                </c:pt>
                <c:pt idx="12">
                  <c:v>0.31249333333333335</c:v>
                </c:pt>
                <c:pt idx="13">
                  <c:v>0.29965833333333336</c:v>
                </c:pt>
                <c:pt idx="14">
                  <c:v>0.28866766666666671</c:v>
                </c:pt>
                <c:pt idx="15">
                  <c:v>0.27923433333333336</c:v>
                </c:pt>
                <c:pt idx="16">
                  <c:v>0.27108966666666667</c:v>
                </c:pt>
                <c:pt idx="17">
                  <c:v>0.26406466666666667</c:v>
                </c:pt>
                <c:pt idx="18">
                  <c:v>0.25799033333333332</c:v>
                </c:pt>
              </c:numCache>
            </c:numRef>
          </c:val>
          <c:extLst>
            <c:ext xmlns:c16="http://schemas.microsoft.com/office/drawing/2014/chart" uri="{C3380CC4-5D6E-409C-BE32-E72D297353CC}">
              <c16:uniqueId val="{00000007-272D-45F9-8732-043758869DC6}"/>
            </c:ext>
          </c:extLst>
        </c:ser>
        <c:dLbls>
          <c:showLegendKey val="0"/>
          <c:showVal val="0"/>
          <c:showCatName val="0"/>
          <c:showSerName val="0"/>
          <c:showPercent val="0"/>
          <c:showBubbleSize val="0"/>
        </c:dLbls>
        <c:axId val="1002136672"/>
        <c:axId val="1002139168"/>
      </c:areaChart>
      <c:catAx>
        <c:axId val="10021366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139168"/>
        <c:crosses val="autoZero"/>
        <c:auto val="1"/>
        <c:lblAlgn val="ctr"/>
        <c:lblOffset val="100"/>
        <c:noMultiLvlLbl val="0"/>
      </c:catAx>
      <c:valAx>
        <c:axId val="100213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213667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CO2e!$B$27</c:f>
              <c:strCache>
                <c:ptCount val="1"/>
                <c:pt idx="0">
                  <c:v>Stockage des déchets</c:v>
                </c:pt>
              </c:strCache>
            </c:strRef>
          </c:tx>
          <c:spPr>
            <a:solidFill>
              <a:schemeClr val="accent1"/>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CO2e!$C$27:$AG$27</c:f>
              <c:numCache>
                <c:formatCode>#\ ##0.0</c:formatCode>
                <c:ptCount val="19"/>
                <c:pt idx="0">
                  <c:v>12.562649693458168</c:v>
                </c:pt>
                <c:pt idx="1">
                  <c:v>14.913942189762247</c:v>
                </c:pt>
                <c:pt idx="2">
                  <c:v>15.996058971690086</c:v>
                </c:pt>
                <c:pt idx="3">
                  <c:v>16.42456224267697</c:v>
                </c:pt>
                <c:pt idx="4">
                  <c:v>16.345808351285037</c:v>
                </c:pt>
                <c:pt idx="5">
                  <c:v>16.34101980304732</c:v>
                </c:pt>
                <c:pt idx="6">
                  <c:v>16.276765979229332</c:v>
                </c:pt>
                <c:pt idx="7">
                  <c:v>15.637229054993359</c:v>
                </c:pt>
                <c:pt idx="8">
                  <c:v>15.587556917328682</c:v>
                </c:pt>
                <c:pt idx="9">
                  <c:v>15.026017321920538</c:v>
                </c:pt>
                <c:pt idx="10">
                  <c:v>14.301627318074292</c:v>
                </c:pt>
                <c:pt idx="11">
                  <c:v>14.139229028858585</c:v>
                </c:pt>
                <c:pt idx="12">
                  <c:v>13.500847154071421</c:v>
                </c:pt>
                <c:pt idx="13">
                  <c:v>12.443078143730112</c:v>
                </c:pt>
                <c:pt idx="14">
                  <c:v>12.362994753717333</c:v>
                </c:pt>
                <c:pt idx="15">
                  <c:v>12.431258927120819</c:v>
                </c:pt>
                <c:pt idx="16">
                  <c:v>12.154860707897452</c:v>
                </c:pt>
                <c:pt idx="17">
                  <c:v>12.372257856884017</c:v>
                </c:pt>
                <c:pt idx="18">
                  <c:v>11.964888857866121</c:v>
                </c:pt>
              </c:numCache>
            </c:numRef>
          </c:val>
          <c:extLst>
            <c:ext xmlns:c16="http://schemas.microsoft.com/office/drawing/2014/chart" uri="{C3380CC4-5D6E-409C-BE32-E72D297353CC}">
              <c16:uniqueId val="{00000000-2FA1-4821-B019-1EF696A8270F}"/>
            </c:ext>
          </c:extLst>
        </c:ser>
        <c:ser>
          <c:idx val="1"/>
          <c:order val="1"/>
          <c:tx>
            <c:strRef>
              <c:f>CO2e!$B$28</c:f>
              <c:strCache>
                <c:ptCount val="1"/>
                <c:pt idx="0">
                  <c:v>Incinération sans récupération d'énergie</c:v>
                </c:pt>
              </c:strCache>
            </c:strRef>
          </c:tx>
          <c:spPr>
            <a:solidFill>
              <a:schemeClr val="accent2"/>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CO2e!$C$28:$AG$28</c:f>
              <c:numCache>
                <c:formatCode>#\ ##0.0</c:formatCode>
                <c:ptCount val="19"/>
                <c:pt idx="0">
                  <c:v>2.0598491221945849</c:v>
                </c:pt>
                <c:pt idx="1">
                  <c:v>2.0330052710887832</c:v>
                </c:pt>
                <c:pt idx="2">
                  <c:v>1.4641453358013399</c:v>
                </c:pt>
                <c:pt idx="3">
                  <c:v>1.3684087799427287</c:v>
                </c:pt>
                <c:pt idx="4">
                  <c:v>1.4282862994866949</c:v>
                </c:pt>
                <c:pt idx="5">
                  <c:v>1.3260019504500415</c:v>
                </c:pt>
                <c:pt idx="6">
                  <c:v>1.3462238666290363</c:v>
                </c:pt>
                <c:pt idx="7">
                  <c:v>1.3351475185000139</c:v>
                </c:pt>
                <c:pt idx="8">
                  <c:v>1.3946402319216378</c:v>
                </c:pt>
                <c:pt idx="9">
                  <c:v>1.4415819773881391</c:v>
                </c:pt>
                <c:pt idx="10">
                  <c:v>1.3630681881926749</c:v>
                </c:pt>
                <c:pt idx="11">
                  <c:v>1.3394720687477963</c:v>
                </c:pt>
                <c:pt idx="12">
                  <c:v>1.5717093480834587</c:v>
                </c:pt>
                <c:pt idx="13">
                  <c:v>1.3481204427102358</c:v>
                </c:pt>
                <c:pt idx="14">
                  <c:v>1.3353424018122659</c:v>
                </c:pt>
                <c:pt idx="15">
                  <c:v>1.2922790379453646</c:v>
                </c:pt>
                <c:pt idx="16">
                  <c:v>1.2121533184303088</c:v>
                </c:pt>
                <c:pt idx="17">
                  <c:v>1.5106172982492405</c:v>
                </c:pt>
                <c:pt idx="18">
                  <c:v>1.4021656220489382</c:v>
                </c:pt>
              </c:numCache>
            </c:numRef>
          </c:val>
          <c:extLst>
            <c:ext xmlns:c16="http://schemas.microsoft.com/office/drawing/2014/chart" uri="{C3380CC4-5D6E-409C-BE32-E72D297353CC}">
              <c16:uniqueId val="{00000001-2FA1-4821-B019-1EF696A8270F}"/>
            </c:ext>
          </c:extLst>
        </c:ser>
        <c:ser>
          <c:idx val="2"/>
          <c:order val="2"/>
          <c:tx>
            <c:strRef>
              <c:f>CO2e!$B$29</c:f>
              <c:strCache>
                <c:ptCount val="1"/>
                <c:pt idx="0">
                  <c:v>Autres traitements des déchets solides</c:v>
                </c:pt>
              </c:strCache>
            </c:strRef>
          </c:tx>
          <c:spPr>
            <a:solidFill>
              <a:schemeClr val="accent3"/>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CO2e!$C$29:$AG$29</c:f>
              <c:numCache>
                <c:formatCode>#\ ##0.0</c:formatCode>
                <c:ptCount val="19"/>
                <c:pt idx="0">
                  <c:v>0.13118979357951957</c:v>
                </c:pt>
                <c:pt idx="1">
                  <c:v>0.17998422480966622</c:v>
                </c:pt>
                <c:pt idx="2">
                  <c:v>0.35122453520009322</c:v>
                </c:pt>
                <c:pt idx="3">
                  <c:v>0.46983824588389145</c:v>
                </c:pt>
                <c:pt idx="4">
                  <c:v>0.49351478697203022</c:v>
                </c:pt>
                <c:pt idx="5">
                  <c:v>0.5051712058700536</c:v>
                </c:pt>
                <c:pt idx="6">
                  <c:v>0.51638794481863692</c:v>
                </c:pt>
                <c:pt idx="7">
                  <c:v>0.53609927221513454</c:v>
                </c:pt>
                <c:pt idx="8">
                  <c:v>0.55352266217373902</c:v>
                </c:pt>
                <c:pt idx="9">
                  <c:v>0.66513387254567791</c:v>
                </c:pt>
                <c:pt idx="10">
                  <c:v>0.77672697910521094</c:v>
                </c:pt>
                <c:pt idx="11">
                  <c:v>0.83026559945562994</c:v>
                </c:pt>
                <c:pt idx="12">
                  <c:v>0.88392418349803625</c:v>
                </c:pt>
                <c:pt idx="13">
                  <c:v>0.87901685961584608</c:v>
                </c:pt>
                <c:pt idx="14">
                  <c:v>0.8741511447850473</c:v>
                </c:pt>
                <c:pt idx="15">
                  <c:v>0.90743819943340664</c:v>
                </c:pt>
                <c:pt idx="16">
                  <c:v>0.94071937567220154</c:v>
                </c:pt>
                <c:pt idx="17">
                  <c:v>0.94262794239420566</c:v>
                </c:pt>
                <c:pt idx="18">
                  <c:v>0.94453642184945374</c:v>
                </c:pt>
              </c:numCache>
            </c:numRef>
          </c:val>
          <c:extLst>
            <c:ext xmlns:c16="http://schemas.microsoft.com/office/drawing/2014/chart" uri="{C3380CC4-5D6E-409C-BE32-E72D297353CC}">
              <c16:uniqueId val="{00000002-2FA1-4821-B019-1EF696A8270F}"/>
            </c:ext>
          </c:extLst>
        </c:ser>
        <c:ser>
          <c:idx val="3"/>
          <c:order val="3"/>
          <c:tx>
            <c:strRef>
              <c:f>CO2e!$B$30</c:f>
              <c:strCache>
                <c:ptCount val="1"/>
                <c:pt idx="0">
                  <c:v>Traitement des eaux usées</c:v>
                </c:pt>
              </c:strCache>
            </c:strRef>
          </c:tx>
          <c:spPr>
            <a:solidFill>
              <a:schemeClr val="accent4"/>
            </a:solidFill>
            <a:ln>
              <a:noFill/>
            </a:ln>
            <a:effectLst/>
          </c:spPr>
          <c:cat>
            <c:numRef>
              <c:f>CO2e!$C$5:$AG$5</c:f>
              <c:numCache>
                <c:formatCode>General</c:formatCode>
                <c:ptCount val="19"/>
                <c:pt idx="0">
                  <c:v>1990</c:v>
                </c:pt>
                <c:pt idx="1">
                  <c:v>1995</c:v>
                </c:pt>
                <c:pt idx="2">
                  <c:v>2000</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numCache>
            </c:numRef>
          </c:cat>
          <c:val>
            <c:numRef>
              <c:f>CO2e!$C$30:$AG$30</c:f>
              <c:numCache>
                <c:formatCode>#\ ##0.0</c:formatCode>
                <c:ptCount val="19"/>
                <c:pt idx="0">
                  <c:v>0.44985930294484727</c:v>
                </c:pt>
                <c:pt idx="1">
                  <c:v>0.46921428451264996</c:v>
                </c:pt>
                <c:pt idx="2">
                  <c:v>0.44583728781446708</c:v>
                </c:pt>
                <c:pt idx="3">
                  <c:v>0.40376385288924599</c:v>
                </c:pt>
                <c:pt idx="4">
                  <c:v>0.41165367975679557</c:v>
                </c:pt>
                <c:pt idx="5">
                  <c:v>0.3830433886702786</c:v>
                </c:pt>
                <c:pt idx="6">
                  <c:v>0.39153181966077172</c:v>
                </c:pt>
                <c:pt idx="7">
                  <c:v>0.40354043528422401</c:v>
                </c:pt>
                <c:pt idx="8">
                  <c:v>0.42135392172056629</c:v>
                </c:pt>
                <c:pt idx="9">
                  <c:v>0.37184319141911487</c:v>
                </c:pt>
                <c:pt idx="10">
                  <c:v>0.38184547638318589</c:v>
                </c:pt>
                <c:pt idx="11">
                  <c:v>0.38077189832289016</c:v>
                </c:pt>
                <c:pt idx="12">
                  <c:v>0.35226436709674225</c:v>
                </c:pt>
                <c:pt idx="13">
                  <c:v>0.37438767945400653</c:v>
                </c:pt>
                <c:pt idx="14">
                  <c:v>0.35853112392671843</c:v>
                </c:pt>
                <c:pt idx="15">
                  <c:v>0.358899863380574</c:v>
                </c:pt>
                <c:pt idx="16">
                  <c:v>0.37084795583368946</c:v>
                </c:pt>
                <c:pt idx="17">
                  <c:v>0.36499162240264504</c:v>
                </c:pt>
                <c:pt idx="18">
                  <c:v>0.36620089653087329</c:v>
                </c:pt>
              </c:numCache>
            </c:numRef>
          </c:val>
          <c:extLst>
            <c:ext xmlns:c16="http://schemas.microsoft.com/office/drawing/2014/chart" uri="{C3380CC4-5D6E-409C-BE32-E72D297353CC}">
              <c16:uniqueId val="{00000003-2FA1-4821-B019-1EF696A8270F}"/>
            </c:ext>
          </c:extLst>
        </c:ser>
        <c:dLbls>
          <c:showLegendKey val="0"/>
          <c:showVal val="0"/>
          <c:showCatName val="0"/>
          <c:showSerName val="0"/>
          <c:showPercent val="0"/>
          <c:showBubbleSize val="0"/>
        </c:dLbls>
        <c:axId val="1007731056"/>
        <c:axId val="1007736880"/>
      </c:areaChart>
      <c:catAx>
        <c:axId val="10077310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736880"/>
        <c:crosses val="autoZero"/>
        <c:auto val="1"/>
        <c:lblAlgn val="ctr"/>
        <c:lblOffset val="100"/>
        <c:noMultiLvlLbl val="0"/>
      </c:catAx>
      <c:valAx>
        <c:axId val="100773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MtCO</a:t>
                </a:r>
                <a:r>
                  <a:rPr lang="fr-FR" baseline="-25000"/>
                  <a:t>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77310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2"/>
          <c:tx>
            <c:v>Solde extérieur (échelle de droite)</c:v>
          </c:tx>
          <c:spPr>
            <a:solidFill>
              <a:srgbClr val="0070C0"/>
            </a:solidFill>
            <a:ln>
              <a:noFill/>
            </a:ln>
            <a:effectLst/>
          </c:spPr>
          <c:invertIfNegative val="0"/>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'[econ-com-ext-solde-balance-com.xlsx]Feuil2'!$F$5:$F$55</c:f>
              <c:numCache>
                <c:formatCode>#\ ##0.0</c:formatCode>
                <c:ptCount val="51"/>
                <c:pt idx="0">
                  <c:v>0.871</c:v>
                </c:pt>
                <c:pt idx="1">
                  <c:v>1.0720000000000001</c:v>
                </c:pt>
                <c:pt idx="2">
                  <c:v>1.0109999999999999</c:v>
                </c:pt>
                <c:pt idx="3">
                  <c:v>-2.5710000000000002</c:v>
                </c:pt>
                <c:pt idx="4">
                  <c:v>1.0309999999999999</c:v>
                </c:pt>
                <c:pt idx="5">
                  <c:v>-3.1880000000000002</c:v>
                </c:pt>
                <c:pt idx="6">
                  <c:v>-1.746</c:v>
                </c:pt>
                <c:pt idx="7">
                  <c:v>0.33400000000000002</c:v>
                </c:pt>
                <c:pt idx="8">
                  <c:v>-2.0659999999999998</c:v>
                </c:pt>
                <c:pt idx="9">
                  <c:v>-9.4489999999999998</c:v>
                </c:pt>
                <c:pt idx="10">
                  <c:v>-9.0530000000000008</c:v>
                </c:pt>
                <c:pt idx="11">
                  <c:v>-14.25</c:v>
                </c:pt>
                <c:pt idx="12">
                  <c:v>-6.6470000000000002</c:v>
                </c:pt>
                <c:pt idx="13">
                  <c:v>-3.036</c:v>
                </c:pt>
                <c:pt idx="14">
                  <c:v>-3.6760000000000002</c:v>
                </c:pt>
                <c:pt idx="15">
                  <c:v>1.9E-2</c:v>
                </c:pt>
                <c:pt idx="16">
                  <c:v>-4.819</c:v>
                </c:pt>
                <c:pt idx="17">
                  <c:v>-8.2789999999999999</c:v>
                </c:pt>
                <c:pt idx="18">
                  <c:v>-10.602</c:v>
                </c:pt>
                <c:pt idx="19">
                  <c:v>-12.154999999999999</c:v>
                </c:pt>
                <c:pt idx="20">
                  <c:v>-9.8689999999999998</c:v>
                </c:pt>
                <c:pt idx="21">
                  <c:v>-0.29599999999999999</c:v>
                </c:pt>
                <c:pt idx="22">
                  <c:v>8.2910000000000004</c:v>
                </c:pt>
                <c:pt idx="23">
                  <c:v>5.7510000000000003</c:v>
                </c:pt>
                <c:pt idx="24">
                  <c:v>8.5440000000000005</c:v>
                </c:pt>
                <c:pt idx="25">
                  <c:v>10.911</c:v>
                </c:pt>
                <c:pt idx="26">
                  <c:v>23.114999999999998</c:v>
                </c:pt>
                <c:pt idx="27">
                  <c:v>19.338000000000001</c:v>
                </c:pt>
                <c:pt idx="28">
                  <c:v>13.029</c:v>
                </c:pt>
                <c:pt idx="29">
                  <c:v>-5.383</c:v>
                </c:pt>
                <c:pt idx="30">
                  <c:v>-1.5329999999999999</c:v>
                </c:pt>
                <c:pt idx="31">
                  <c:v>3.548</c:v>
                </c:pt>
                <c:pt idx="32">
                  <c:v>-0.23100000000000001</c:v>
                </c:pt>
                <c:pt idx="33">
                  <c:v>-5.7389999999999999</c:v>
                </c:pt>
                <c:pt idx="34">
                  <c:v>-24.213000000000001</c:v>
                </c:pt>
                <c:pt idx="35">
                  <c:v>-29.928000000000001</c:v>
                </c:pt>
                <c:pt idx="36">
                  <c:v>-42.494</c:v>
                </c:pt>
                <c:pt idx="37">
                  <c:v>-56.219000000000001</c:v>
                </c:pt>
                <c:pt idx="38">
                  <c:v>-45.39</c:v>
                </c:pt>
                <c:pt idx="39">
                  <c:v>-52.445</c:v>
                </c:pt>
                <c:pt idx="40">
                  <c:v>-75.010999999999996</c:v>
                </c:pt>
                <c:pt idx="41">
                  <c:v>-67.882000000000005</c:v>
                </c:pt>
                <c:pt idx="42">
                  <c:v>-62.006999999999998</c:v>
                </c:pt>
                <c:pt idx="43">
                  <c:v>-56.31</c:v>
                </c:pt>
                <c:pt idx="44">
                  <c:v>-42.734000000000002</c:v>
                </c:pt>
                <c:pt idx="45">
                  <c:v>-44.491</c:v>
                </c:pt>
                <c:pt idx="46">
                  <c:v>-58.241</c:v>
                </c:pt>
                <c:pt idx="47">
                  <c:v>-62.823999999999998</c:v>
                </c:pt>
                <c:pt idx="48">
                  <c:v>-58.021000000000001</c:v>
                </c:pt>
                <c:pt idx="49">
                  <c:v>-64.573999999999998</c:v>
                </c:pt>
                <c:pt idx="50">
                  <c:v>-84.816999999999993</c:v>
                </c:pt>
              </c:numCache>
            </c:numRef>
          </c:val>
          <c:extLst>
            <c:ext xmlns:c16="http://schemas.microsoft.com/office/drawing/2014/chart" uri="{C3380CC4-5D6E-409C-BE32-E72D297353CC}">
              <c16:uniqueId val="{00000000-C5AB-4ABB-86AA-288278BFF95B}"/>
            </c:ext>
          </c:extLst>
        </c:ser>
        <c:dLbls>
          <c:showLegendKey val="0"/>
          <c:showVal val="0"/>
          <c:showCatName val="0"/>
          <c:showSerName val="0"/>
          <c:showPercent val="0"/>
          <c:showBubbleSize val="0"/>
        </c:dLbls>
        <c:gapWidth val="219"/>
        <c:overlap val="-27"/>
        <c:axId val="298229536"/>
        <c:axId val="298226208"/>
      </c:barChart>
      <c:lineChart>
        <c:grouping val="standard"/>
        <c:varyColors val="0"/>
        <c:ser>
          <c:idx val="1"/>
          <c:order val="0"/>
          <c:tx>
            <c:v>Exportations</c:v>
          </c:tx>
          <c:spPr>
            <a:ln w="28575" cap="rnd">
              <a:solidFill>
                <a:srgbClr val="FFC000"/>
              </a:solidFill>
              <a:round/>
            </a:ln>
            <a:effectLst/>
          </c:spPr>
          <c:marker>
            <c:symbol val="none"/>
          </c:marker>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'[econ-com-ext-solde-balance-com.xlsx]Feuil2'!$B$5:$B$55</c:f>
              <c:numCache>
                <c:formatCode>#\ ##0.0</c:formatCode>
                <c:ptCount val="51"/>
                <c:pt idx="0">
                  <c:v>17.57</c:v>
                </c:pt>
                <c:pt idx="1">
                  <c:v>20.335000000000001</c:v>
                </c:pt>
                <c:pt idx="2">
                  <c:v>24.766999999999999</c:v>
                </c:pt>
                <c:pt idx="3">
                  <c:v>33.957000000000001</c:v>
                </c:pt>
                <c:pt idx="4">
                  <c:v>34.636000000000003</c:v>
                </c:pt>
                <c:pt idx="5">
                  <c:v>41.57</c:v>
                </c:pt>
                <c:pt idx="6">
                  <c:v>48.694000000000003</c:v>
                </c:pt>
                <c:pt idx="7">
                  <c:v>54.432000000000002</c:v>
                </c:pt>
                <c:pt idx="8">
                  <c:v>65.055999999999997</c:v>
                </c:pt>
                <c:pt idx="9">
                  <c:v>74.676000000000002</c:v>
                </c:pt>
                <c:pt idx="10">
                  <c:v>87.78</c:v>
                </c:pt>
                <c:pt idx="11">
                  <c:v>96.378</c:v>
                </c:pt>
                <c:pt idx="12">
                  <c:v>110.17400000000001</c:v>
                </c:pt>
                <c:pt idx="13">
                  <c:v>129.70400000000001</c:v>
                </c:pt>
                <c:pt idx="14">
                  <c:v>138.249</c:v>
                </c:pt>
                <c:pt idx="15">
                  <c:v>131.62</c:v>
                </c:pt>
                <c:pt idx="16">
                  <c:v>135.52099999999999</c:v>
                </c:pt>
                <c:pt idx="17">
                  <c:v>149.512</c:v>
                </c:pt>
                <c:pt idx="18">
                  <c:v>171.328</c:v>
                </c:pt>
                <c:pt idx="19">
                  <c:v>175.959</c:v>
                </c:pt>
                <c:pt idx="20">
                  <c:v>182.18100000000001</c:v>
                </c:pt>
                <c:pt idx="21">
                  <c:v>186.601</c:v>
                </c:pt>
                <c:pt idx="22">
                  <c:v>177.94499999999999</c:v>
                </c:pt>
                <c:pt idx="23">
                  <c:v>198.91399999999999</c:v>
                </c:pt>
                <c:pt idx="24">
                  <c:v>216.251</c:v>
                </c:pt>
                <c:pt idx="25">
                  <c:v>225.55600000000001</c:v>
                </c:pt>
                <c:pt idx="26">
                  <c:v>260.40499999999997</c:v>
                </c:pt>
                <c:pt idx="27">
                  <c:v>277.47500000000002</c:v>
                </c:pt>
                <c:pt idx="28">
                  <c:v>286.12</c:v>
                </c:pt>
                <c:pt idx="29">
                  <c:v>329.11</c:v>
                </c:pt>
                <c:pt idx="30">
                  <c:v>335.21899999999999</c:v>
                </c:pt>
                <c:pt idx="31">
                  <c:v>333.423</c:v>
                </c:pt>
                <c:pt idx="32">
                  <c:v>327.654</c:v>
                </c:pt>
                <c:pt idx="33">
                  <c:v>345.25599999999997</c:v>
                </c:pt>
                <c:pt idx="34">
                  <c:v>360.375</c:v>
                </c:pt>
                <c:pt idx="35">
                  <c:v>394.62200000000001</c:v>
                </c:pt>
                <c:pt idx="36">
                  <c:v>406.48500000000001</c:v>
                </c:pt>
                <c:pt idx="37">
                  <c:v>417.63499999999999</c:v>
                </c:pt>
                <c:pt idx="38">
                  <c:v>346.48200000000003</c:v>
                </c:pt>
                <c:pt idx="39">
                  <c:v>395.03899999999999</c:v>
                </c:pt>
                <c:pt idx="40">
                  <c:v>428.94499999999999</c:v>
                </c:pt>
                <c:pt idx="41">
                  <c:v>442.23399999999998</c:v>
                </c:pt>
                <c:pt idx="42">
                  <c:v>436.33</c:v>
                </c:pt>
                <c:pt idx="43">
                  <c:v>436.82400000000001</c:v>
                </c:pt>
                <c:pt idx="44">
                  <c:v>455.84800000000001</c:v>
                </c:pt>
                <c:pt idx="45">
                  <c:v>453.16300000000001</c:v>
                </c:pt>
                <c:pt idx="46">
                  <c:v>473.65899999999999</c:v>
                </c:pt>
                <c:pt idx="47">
                  <c:v>491.88400000000001</c:v>
                </c:pt>
                <c:pt idx="48">
                  <c:v>508.82600000000002</c:v>
                </c:pt>
                <c:pt idx="49">
                  <c:v>428.48200000000003</c:v>
                </c:pt>
                <c:pt idx="50">
                  <c:v>500.86200000000002</c:v>
                </c:pt>
              </c:numCache>
            </c:numRef>
          </c:val>
          <c:smooth val="0"/>
          <c:extLst>
            <c:ext xmlns:c16="http://schemas.microsoft.com/office/drawing/2014/chart" uri="{C3380CC4-5D6E-409C-BE32-E72D297353CC}">
              <c16:uniqueId val="{00000001-C5AB-4ABB-86AA-288278BFF95B}"/>
            </c:ext>
          </c:extLst>
        </c:ser>
        <c:ser>
          <c:idx val="2"/>
          <c:order val="1"/>
          <c:tx>
            <c:v>Importations</c:v>
          </c:tx>
          <c:spPr>
            <a:ln w="28575" cap="rnd">
              <a:solidFill>
                <a:srgbClr val="00B050"/>
              </a:solidFill>
              <a:round/>
            </a:ln>
            <a:effectLst/>
          </c:spPr>
          <c:marker>
            <c:symbol val="none"/>
          </c:marker>
          <c:cat>
            <c:numRef>
              <c:f>'[econ-com-ext-solde-balance-com.xlsx]Feuil2'!$A$5:$A$55</c:f>
              <c:numCache>
                <c:formatCode>General</c:formatCode>
                <c:ptCount val="5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pt idx="42">
                  <c:v>2013</c:v>
                </c:pt>
                <c:pt idx="43">
                  <c:v>2014</c:v>
                </c:pt>
                <c:pt idx="44">
                  <c:v>2015</c:v>
                </c:pt>
                <c:pt idx="45">
                  <c:v>2016</c:v>
                </c:pt>
                <c:pt idx="46">
                  <c:v>2017</c:v>
                </c:pt>
                <c:pt idx="47">
                  <c:v>2018</c:v>
                </c:pt>
                <c:pt idx="48">
                  <c:v>2019</c:v>
                </c:pt>
                <c:pt idx="49">
                  <c:v>2020</c:v>
                </c:pt>
                <c:pt idx="50">
                  <c:v>2021</c:v>
                </c:pt>
              </c:numCache>
            </c:numRef>
          </c:cat>
          <c:val>
            <c:numRef>
              <c:f>'[econ-com-ext-solde-balance-com.xlsx]Feuil2'!$D$5:$D$55</c:f>
              <c:numCache>
                <c:formatCode>#\ ##0.0</c:formatCode>
                <c:ptCount val="51"/>
                <c:pt idx="0">
                  <c:v>16.699000000000002</c:v>
                </c:pt>
                <c:pt idx="1">
                  <c:v>19.263000000000002</c:v>
                </c:pt>
                <c:pt idx="2">
                  <c:v>23.756</c:v>
                </c:pt>
                <c:pt idx="3">
                  <c:v>36.527999999999999</c:v>
                </c:pt>
                <c:pt idx="4">
                  <c:v>33.604999999999997</c:v>
                </c:pt>
                <c:pt idx="5">
                  <c:v>44.758000000000003</c:v>
                </c:pt>
                <c:pt idx="6">
                  <c:v>50.44</c:v>
                </c:pt>
                <c:pt idx="7">
                  <c:v>54.097999999999999</c:v>
                </c:pt>
                <c:pt idx="8">
                  <c:v>67.122</c:v>
                </c:pt>
                <c:pt idx="9">
                  <c:v>84.125</c:v>
                </c:pt>
                <c:pt idx="10">
                  <c:v>96.832999999999998</c:v>
                </c:pt>
                <c:pt idx="11">
                  <c:v>110.628</c:v>
                </c:pt>
                <c:pt idx="12">
                  <c:v>116.821</c:v>
                </c:pt>
                <c:pt idx="13">
                  <c:v>132.74</c:v>
                </c:pt>
                <c:pt idx="14">
                  <c:v>141.92500000000001</c:v>
                </c:pt>
                <c:pt idx="15">
                  <c:v>131.601</c:v>
                </c:pt>
                <c:pt idx="16">
                  <c:v>140.34</c:v>
                </c:pt>
                <c:pt idx="17">
                  <c:v>157.791</c:v>
                </c:pt>
                <c:pt idx="18">
                  <c:v>181.93</c:v>
                </c:pt>
                <c:pt idx="19">
                  <c:v>188.114</c:v>
                </c:pt>
                <c:pt idx="20">
                  <c:v>192.05</c:v>
                </c:pt>
                <c:pt idx="21">
                  <c:v>186.89699999999999</c:v>
                </c:pt>
                <c:pt idx="22">
                  <c:v>169.654</c:v>
                </c:pt>
                <c:pt idx="23">
                  <c:v>193.16300000000001</c:v>
                </c:pt>
                <c:pt idx="24">
                  <c:v>207.70699999999999</c:v>
                </c:pt>
                <c:pt idx="25">
                  <c:v>214.64500000000001</c:v>
                </c:pt>
                <c:pt idx="26">
                  <c:v>237.29</c:v>
                </c:pt>
                <c:pt idx="27">
                  <c:v>258.137</c:v>
                </c:pt>
                <c:pt idx="28">
                  <c:v>273.09100000000001</c:v>
                </c:pt>
                <c:pt idx="29">
                  <c:v>334.49299999999999</c:v>
                </c:pt>
                <c:pt idx="30">
                  <c:v>336.75200000000001</c:v>
                </c:pt>
                <c:pt idx="31">
                  <c:v>329.875</c:v>
                </c:pt>
                <c:pt idx="32">
                  <c:v>327.88499999999999</c:v>
                </c:pt>
                <c:pt idx="33">
                  <c:v>350.995</c:v>
                </c:pt>
                <c:pt idx="34">
                  <c:v>384.58800000000002</c:v>
                </c:pt>
                <c:pt idx="35">
                  <c:v>424.55</c:v>
                </c:pt>
                <c:pt idx="36">
                  <c:v>448.97899999999998</c:v>
                </c:pt>
                <c:pt idx="37">
                  <c:v>473.85399999999998</c:v>
                </c:pt>
                <c:pt idx="38">
                  <c:v>391.87200000000001</c:v>
                </c:pt>
                <c:pt idx="39">
                  <c:v>447.48399999999998</c:v>
                </c:pt>
                <c:pt idx="40">
                  <c:v>503.95600000000002</c:v>
                </c:pt>
                <c:pt idx="41">
                  <c:v>510.11599999999999</c:v>
                </c:pt>
                <c:pt idx="42">
                  <c:v>498.33699999999999</c:v>
                </c:pt>
                <c:pt idx="43">
                  <c:v>493.13400000000001</c:v>
                </c:pt>
                <c:pt idx="44">
                  <c:v>498.58199999999999</c:v>
                </c:pt>
                <c:pt idx="45">
                  <c:v>497.654</c:v>
                </c:pt>
                <c:pt idx="46">
                  <c:v>531.9</c:v>
                </c:pt>
                <c:pt idx="47">
                  <c:v>554.70799999999997</c:v>
                </c:pt>
                <c:pt idx="48">
                  <c:v>566.84699999999998</c:v>
                </c:pt>
                <c:pt idx="49">
                  <c:v>493.05599999999998</c:v>
                </c:pt>
                <c:pt idx="50">
                  <c:v>585.67899999999997</c:v>
                </c:pt>
              </c:numCache>
            </c:numRef>
          </c:val>
          <c:smooth val="0"/>
          <c:extLst>
            <c:ext xmlns:c16="http://schemas.microsoft.com/office/drawing/2014/chart" uri="{C3380CC4-5D6E-409C-BE32-E72D297353CC}">
              <c16:uniqueId val="{00000002-C5AB-4ABB-86AA-288278BFF95B}"/>
            </c:ext>
          </c:extLst>
        </c:ser>
        <c:dLbls>
          <c:showLegendKey val="0"/>
          <c:showVal val="0"/>
          <c:showCatName val="0"/>
          <c:showSerName val="0"/>
          <c:showPercent val="0"/>
          <c:showBubbleSize val="0"/>
        </c:dLbls>
        <c:marker val="1"/>
        <c:smooth val="0"/>
        <c:axId val="143314816"/>
        <c:axId val="143298592"/>
      </c:lineChart>
      <c:catAx>
        <c:axId val="14331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298592"/>
        <c:crossesAt val="-600"/>
        <c:auto val="1"/>
        <c:lblAlgn val="ctr"/>
        <c:lblOffset val="100"/>
        <c:noMultiLvlLbl val="0"/>
      </c:catAx>
      <c:valAx>
        <c:axId val="143298592"/>
        <c:scaling>
          <c:orientation val="minMax"/>
          <c:max val="600"/>
          <c:min val="-6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314816"/>
        <c:crosses val="autoZero"/>
        <c:crossBetween val="between"/>
      </c:valAx>
      <c:valAx>
        <c:axId val="298226208"/>
        <c:scaling>
          <c:orientation val="minMax"/>
          <c:max val="100"/>
          <c:min val="-100"/>
        </c:scaling>
        <c:delete val="0"/>
        <c:axPos val="r"/>
        <c:numFmt formatCode="#\ ##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8229536"/>
        <c:crosses val="max"/>
        <c:crossBetween val="between"/>
      </c:valAx>
      <c:catAx>
        <c:axId val="298229536"/>
        <c:scaling>
          <c:orientation val="minMax"/>
        </c:scaling>
        <c:delete val="1"/>
        <c:axPos val="b"/>
        <c:numFmt formatCode="General" sourceLinked="1"/>
        <c:majorTickMark val="out"/>
        <c:minorTickMark val="none"/>
        <c:tickLblPos val="nextTo"/>
        <c:crossAx val="298226208"/>
        <c:crossesAt val="0"/>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0" i="0" baseline="0">
                <a:effectLst/>
              </a:rPr>
              <a:t>Emissions hors LULUCF, périmètre Kyoto</a:t>
            </a:r>
            <a:endParaRPr lang="fr-FR"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5"/>
          <c:order val="0"/>
          <c:tx>
            <c:strRef>
              <c:f>Feuil1!$B$37</c:f>
              <c:strCache>
                <c:ptCount val="1"/>
                <c:pt idx="0">
                  <c:v>Historique</c:v>
                </c:pt>
              </c:strCache>
            </c:strRef>
          </c:tx>
          <c:spPr>
            <a:ln w="19050" cap="rnd">
              <a:solidFill>
                <a:schemeClr val="accent1"/>
              </a:solidFill>
              <a:round/>
            </a:ln>
            <a:effectLst/>
          </c:spPr>
          <c:marker>
            <c:symbol val="none"/>
          </c:marker>
          <c:xVal>
            <c:numRef>
              <c:f>Feuil1!$B$40:$AE$40</c:f>
              <c:numCache>
                <c:formatCode>General</c:formatCode>
                <c:ptCount val="30"/>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numCache>
            </c:numRef>
          </c:xVal>
          <c:yVal>
            <c:numRef>
              <c:f>Feuil1!$B$41:$AE$41</c:f>
              <c:numCache>
                <c:formatCode>0.00</c:formatCode>
                <c:ptCount val="30"/>
                <c:pt idx="0">
                  <c:v>544.08640504911114</c:v>
                </c:pt>
                <c:pt idx="1">
                  <c:v>570.96202802198366</c:v>
                </c:pt>
                <c:pt idx="2">
                  <c:v>558.76148139002271</c:v>
                </c:pt>
                <c:pt idx="3">
                  <c:v>538.60700659237534</c:v>
                </c:pt>
                <c:pt idx="4">
                  <c:v>531.22591024468818</c:v>
                </c:pt>
                <c:pt idx="5">
                  <c:v>536.47553370364858</c:v>
                </c:pt>
                <c:pt idx="6">
                  <c:v>553.48594359310732</c:v>
                </c:pt>
                <c:pt idx="7">
                  <c:v>545.92267050468718</c:v>
                </c:pt>
                <c:pt idx="8">
                  <c:v>560.38615043782738</c:v>
                </c:pt>
                <c:pt idx="9">
                  <c:v>554.86711994159316</c:v>
                </c:pt>
                <c:pt idx="10">
                  <c:v>549.00516597447393</c:v>
                </c:pt>
                <c:pt idx="11">
                  <c:v>554.19313177749154</c:v>
                </c:pt>
                <c:pt idx="12">
                  <c:v>548.6097419832895</c:v>
                </c:pt>
                <c:pt idx="13">
                  <c:v>551.64616316215995</c:v>
                </c:pt>
                <c:pt idx="14">
                  <c:v>550.62067427753834</c:v>
                </c:pt>
                <c:pt idx="15">
                  <c:v>551.39112523150402</c:v>
                </c:pt>
                <c:pt idx="16">
                  <c:v>540.90781148848509</c:v>
                </c:pt>
                <c:pt idx="17">
                  <c:v>531.57397496341889</c:v>
                </c:pt>
                <c:pt idx="18">
                  <c:v>526.06065166725898</c:v>
                </c:pt>
                <c:pt idx="19">
                  <c:v>503.43502484599236</c:v>
                </c:pt>
                <c:pt idx="20">
                  <c:v>507.46801065307523</c:v>
                </c:pt>
                <c:pt idx="21">
                  <c:v>483.26382111423646</c:v>
                </c:pt>
                <c:pt idx="22">
                  <c:v>484.76589626947793</c:v>
                </c:pt>
                <c:pt idx="23">
                  <c:v>485.60533033086369</c:v>
                </c:pt>
                <c:pt idx="24">
                  <c:v>454.61367943939558</c:v>
                </c:pt>
                <c:pt idx="25">
                  <c:v>457.92374571373034</c:v>
                </c:pt>
                <c:pt idx="26">
                  <c:v>459.32885856765569</c:v>
                </c:pt>
                <c:pt idx="27">
                  <c:v>462.59121677460394</c:v>
                </c:pt>
                <c:pt idx="28">
                  <c:v>443.32135981431094</c:v>
                </c:pt>
                <c:pt idx="29">
                  <c:v>434.53977351930041</c:v>
                </c:pt>
              </c:numCache>
            </c:numRef>
          </c:yVal>
          <c:smooth val="0"/>
          <c:extLst>
            <c:ext xmlns:c16="http://schemas.microsoft.com/office/drawing/2014/chart" uri="{C3380CC4-5D6E-409C-BE32-E72D297353CC}">
              <c16:uniqueId val="{00000000-7308-4AB7-8D3B-6605CFDA18A9}"/>
            </c:ext>
          </c:extLst>
        </c:ser>
        <c:ser>
          <c:idx val="2"/>
          <c:order val="3"/>
          <c:tx>
            <c:strRef>
              <c:f>Feuil1!$B$8</c:f>
              <c:strCache>
                <c:ptCount val="1"/>
                <c:pt idx="0">
                  <c:v>AME 2021</c:v>
                </c:pt>
              </c:strCache>
            </c:strRef>
          </c:tx>
          <c:spPr>
            <a:ln w="19050" cap="rnd">
              <a:solidFill>
                <a:schemeClr val="accent2"/>
              </a:solidFill>
              <a:round/>
            </a:ln>
            <a:effectLst/>
          </c:spPr>
          <c:marker>
            <c:symbol val="none"/>
          </c:marker>
          <c:xVal>
            <c:numRef>
              <c:f>Feuil1!$D$5:$K$5</c:f>
              <c:numCache>
                <c:formatCode>General</c:formatCode>
                <c:ptCount val="8"/>
                <c:pt idx="0">
                  <c:v>2019</c:v>
                </c:pt>
                <c:pt idx="1">
                  <c:v>2020</c:v>
                </c:pt>
                <c:pt idx="2">
                  <c:v>2025</c:v>
                </c:pt>
                <c:pt idx="3">
                  <c:v>2030</c:v>
                </c:pt>
                <c:pt idx="4">
                  <c:v>2035</c:v>
                </c:pt>
                <c:pt idx="5">
                  <c:v>2040</c:v>
                </c:pt>
                <c:pt idx="6">
                  <c:v>2045</c:v>
                </c:pt>
                <c:pt idx="7">
                  <c:v>2050</c:v>
                </c:pt>
              </c:numCache>
            </c:numRef>
          </c:xVal>
          <c:yVal>
            <c:numRef>
              <c:f>Feuil1!$D$8:$K$8</c:f>
              <c:numCache>
                <c:formatCode>General</c:formatCode>
                <c:ptCount val="8"/>
                <c:pt idx="0">
                  <c:v>435.99862392302089</c:v>
                </c:pt>
                <c:pt idx="1">
                  <c:v>398.67635445806309</c:v>
                </c:pt>
                <c:pt idx="2">
                  <c:v>391.78846839189674</c:v>
                </c:pt>
                <c:pt idx="3">
                  <c:v>366.868028052792</c:v>
                </c:pt>
                <c:pt idx="4">
                  <c:v>354.37127993244144</c:v>
                </c:pt>
                <c:pt idx="5">
                  <c:v>341.30837616422247</c:v>
                </c:pt>
                <c:pt idx="6">
                  <c:v>335.75300362113018</c:v>
                </c:pt>
                <c:pt idx="7">
                  <c:v>329.65294392142027</c:v>
                </c:pt>
              </c:numCache>
            </c:numRef>
          </c:yVal>
          <c:smooth val="0"/>
          <c:extLst>
            <c:ext xmlns:c16="http://schemas.microsoft.com/office/drawing/2014/chart" uri="{C3380CC4-5D6E-409C-BE32-E72D297353CC}">
              <c16:uniqueId val="{00000001-7308-4AB7-8D3B-6605CFDA18A9}"/>
            </c:ext>
          </c:extLst>
        </c:ser>
        <c:ser>
          <c:idx val="3"/>
          <c:order val="4"/>
          <c:tx>
            <c:strRef>
              <c:f>Feuil1!$B$9</c:f>
              <c:strCache>
                <c:ptCount val="1"/>
                <c:pt idx="0">
                  <c:v>AME 2018</c:v>
                </c:pt>
              </c:strCache>
            </c:strRef>
          </c:tx>
          <c:spPr>
            <a:ln w="19050" cap="rnd">
              <a:solidFill>
                <a:schemeClr val="accent3"/>
              </a:solidFill>
              <a:prstDash val="sysDash"/>
              <a:round/>
            </a:ln>
            <a:effectLst/>
          </c:spPr>
          <c:marker>
            <c:symbol val="none"/>
          </c:marker>
          <c:xVal>
            <c:numRef>
              <c:f>Feuil1!$C$5:$K$5</c:f>
              <c:numCache>
                <c:formatCode>General</c:formatCode>
                <c:ptCount val="9"/>
                <c:pt idx="0">
                  <c:v>2015</c:v>
                </c:pt>
                <c:pt idx="1">
                  <c:v>2019</c:v>
                </c:pt>
                <c:pt idx="2">
                  <c:v>2020</c:v>
                </c:pt>
                <c:pt idx="3">
                  <c:v>2025</c:v>
                </c:pt>
                <c:pt idx="4">
                  <c:v>2030</c:v>
                </c:pt>
                <c:pt idx="5">
                  <c:v>2035</c:v>
                </c:pt>
                <c:pt idx="6">
                  <c:v>2040</c:v>
                </c:pt>
                <c:pt idx="7">
                  <c:v>2045</c:v>
                </c:pt>
                <c:pt idx="8">
                  <c:v>2050</c:v>
                </c:pt>
              </c:numCache>
            </c:numRef>
          </c:xVal>
          <c:yVal>
            <c:numRef>
              <c:f>Feuil1!$C$9:$K$9</c:f>
              <c:numCache>
                <c:formatCode>0</c:formatCode>
                <c:ptCount val="9"/>
                <c:pt idx="0" formatCode="General">
                  <c:v>458.06</c:v>
                </c:pt>
                <c:pt idx="1">
                  <c:v>461.92667063409959</c:v>
                </c:pt>
                <c:pt idx="2">
                  <c:v>461.34423984830323</c:v>
                </c:pt>
                <c:pt idx="3">
                  <c:v>434.44156850991612</c:v>
                </c:pt>
                <c:pt idx="4">
                  <c:v>416.45147252204612</c:v>
                </c:pt>
                <c:pt idx="5">
                  <c:v>406.20611511207682</c:v>
                </c:pt>
                <c:pt idx="6">
                  <c:v>395.96075770210757</c:v>
                </c:pt>
                <c:pt idx="7">
                  <c:v>385.71540029213827</c:v>
                </c:pt>
                <c:pt idx="8">
                  <c:v>375.47004288216897</c:v>
                </c:pt>
              </c:numCache>
            </c:numRef>
          </c:yVal>
          <c:smooth val="0"/>
          <c:extLst>
            <c:ext xmlns:c16="http://schemas.microsoft.com/office/drawing/2014/chart" uri="{C3380CC4-5D6E-409C-BE32-E72D297353CC}">
              <c16:uniqueId val="{00000002-7308-4AB7-8D3B-6605CFDA18A9}"/>
            </c:ext>
          </c:extLst>
        </c:ser>
        <c:ser>
          <c:idx val="4"/>
          <c:order val="5"/>
          <c:tx>
            <c:strRef>
              <c:f>Feuil1!$B$10</c:f>
              <c:strCache>
                <c:ptCount val="1"/>
                <c:pt idx="0">
                  <c:v>AMS 2018</c:v>
                </c:pt>
              </c:strCache>
            </c:strRef>
          </c:tx>
          <c:spPr>
            <a:ln w="19050" cap="rnd">
              <a:solidFill>
                <a:schemeClr val="accent4"/>
              </a:solidFill>
              <a:round/>
            </a:ln>
            <a:effectLst/>
          </c:spPr>
          <c:marker>
            <c:symbol val="none"/>
          </c:marker>
          <c:xVal>
            <c:numRef>
              <c:f>Feuil1!$C$5:$K$5</c:f>
              <c:numCache>
                <c:formatCode>General</c:formatCode>
                <c:ptCount val="9"/>
                <c:pt idx="0">
                  <c:v>2015</c:v>
                </c:pt>
                <c:pt idx="1">
                  <c:v>2019</c:v>
                </c:pt>
                <c:pt idx="2">
                  <c:v>2020</c:v>
                </c:pt>
                <c:pt idx="3">
                  <c:v>2025</c:v>
                </c:pt>
                <c:pt idx="4">
                  <c:v>2030</c:v>
                </c:pt>
                <c:pt idx="5">
                  <c:v>2035</c:v>
                </c:pt>
                <c:pt idx="6">
                  <c:v>2040</c:v>
                </c:pt>
                <c:pt idx="7">
                  <c:v>2045</c:v>
                </c:pt>
                <c:pt idx="8">
                  <c:v>2050</c:v>
                </c:pt>
              </c:numCache>
            </c:numRef>
          </c:xVal>
          <c:yVal>
            <c:numRef>
              <c:f>Feuil1!$C$10:$K$10</c:f>
              <c:numCache>
                <c:formatCode>General</c:formatCode>
                <c:ptCount val="9"/>
                <c:pt idx="0">
                  <c:v>464</c:v>
                </c:pt>
                <c:pt idx="1">
                  <c:v>443.039446299845</c:v>
                </c:pt>
                <c:pt idx="2">
                  <c:v>436.41988941580001</c:v>
                </c:pt>
                <c:pt idx="3">
                  <c:v>370.32988626425703</c:v>
                </c:pt>
                <c:pt idx="4">
                  <c:v>310.13413489554699</c:v>
                </c:pt>
                <c:pt idx="5">
                  <c:v>248.77767375783901</c:v>
                </c:pt>
                <c:pt idx="6">
                  <c:v>187.42121262013001</c:v>
                </c:pt>
                <c:pt idx="7">
                  <c:v>126.064751482422</c:v>
                </c:pt>
                <c:pt idx="8">
                  <c:v>64.708290344713603</c:v>
                </c:pt>
              </c:numCache>
            </c:numRef>
          </c:yVal>
          <c:smooth val="0"/>
          <c:extLst>
            <c:ext xmlns:c16="http://schemas.microsoft.com/office/drawing/2014/chart" uri="{C3380CC4-5D6E-409C-BE32-E72D297353CC}">
              <c16:uniqueId val="{00000003-7308-4AB7-8D3B-6605CFDA18A9}"/>
            </c:ext>
          </c:extLst>
        </c:ser>
        <c:dLbls>
          <c:showLegendKey val="0"/>
          <c:showVal val="0"/>
          <c:showCatName val="0"/>
          <c:showSerName val="0"/>
          <c:showPercent val="0"/>
          <c:showBubbleSize val="0"/>
        </c:dLbls>
        <c:axId val="858766223"/>
        <c:axId val="858778703"/>
        <c:extLst>
          <c:ext xmlns:c15="http://schemas.microsoft.com/office/drawing/2012/chart" uri="{02D57815-91ED-43cb-92C2-25804820EDAC}">
            <c15:filteredScatterSeries>
              <c15:ser>
                <c:idx val="0"/>
                <c:order val="1"/>
                <c:tx>
                  <c:strRef>
                    <c:extLst>
                      <c:ext uri="{02D57815-91ED-43cb-92C2-25804820EDAC}">
                        <c15:formulaRef>
                          <c15:sqref>Feuil1!$B$6</c15:sqref>
                        </c15:formulaRef>
                      </c:ext>
                    </c:extLst>
                    <c:strCache>
                      <c:ptCount val="1"/>
                      <c:pt idx="0">
                        <c:v>AME 2023</c:v>
                      </c:pt>
                    </c:strCache>
                  </c:strRef>
                </c:tx>
                <c:spPr>
                  <a:ln w="19050" cap="rnd">
                    <a:solidFill>
                      <a:schemeClr val="accent1"/>
                    </a:solidFill>
                    <a:round/>
                  </a:ln>
                  <a:effectLst/>
                </c:spPr>
                <c:marker>
                  <c:symbol val="none"/>
                </c:marker>
                <c:xVal>
                  <c:numRef>
                    <c:extLst>
                      <c:ext uri="{02D57815-91ED-43cb-92C2-25804820EDAC}">
                        <c15:formulaRef>
                          <c15:sqref>Feuil1!$D$5:$K$5</c15:sqref>
                        </c15:formulaRef>
                      </c:ext>
                    </c:extLst>
                    <c:numCache>
                      <c:formatCode>General</c:formatCode>
                      <c:ptCount val="8"/>
                      <c:pt idx="0">
                        <c:v>2019</c:v>
                      </c:pt>
                      <c:pt idx="1">
                        <c:v>2020</c:v>
                      </c:pt>
                      <c:pt idx="2">
                        <c:v>2025</c:v>
                      </c:pt>
                      <c:pt idx="3">
                        <c:v>2030</c:v>
                      </c:pt>
                      <c:pt idx="4">
                        <c:v>2035</c:v>
                      </c:pt>
                      <c:pt idx="5">
                        <c:v>2040</c:v>
                      </c:pt>
                      <c:pt idx="6">
                        <c:v>2045</c:v>
                      </c:pt>
                      <c:pt idx="7">
                        <c:v>2050</c:v>
                      </c:pt>
                    </c:numCache>
                  </c:numRef>
                </c:xVal>
                <c:yVal>
                  <c:numRef>
                    <c:extLst>
                      <c:ext uri="{02D57815-91ED-43cb-92C2-25804820EDAC}">
                        <c15:formulaRef>
                          <c15:sqref>Feuil1!$D$6:$K$6</c15:sqref>
                        </c15:formulaRef>
                      </c:ext>
                    </c:extLst>
                    <c:numCache>
                      <c:formatCode>General</c:formatCode>
                      <c:ptCount val="8"/>
                      <c:pt idx="0">
                        <c:v>434.53977351930047</c:v>
                      </c:pt>
                      <c:pt idx="1">
                        <c:v>392.96256817549704</c:v>
                      </c:pt>
                      <c:pt idx="2">
                        <c:v>377.09788602996173</c:v>
                      </c:pt>
                      <c:pt idx="3">
                        <c:v>343.63385358868788</c:v>
                      </c:pt>
                      <c:pt idx="4">
                        <c:v>315.13747104973652</c:v>
                      </c:pt>
                      <c:pt idx="5">
                        <c:v>292.77935612400171</c:v>
                      </c:pt>
                      <c:pt idx="6">
                        <c:v>276.25805690686485</c:v>
                      </c:pt>
                      <c:pt idx="7">
                        <c:v>270.84150851693789</c:v>
                      </c:pt>
                    </c:numCache>
                  </c:numRef>
                </c:yVal>
                <c:smooth val="0"/>
                <c:extLst>
                  <c:ext xmlns:c16="http://schemas.microsoft.com/office/drawing/2014/chart" uri="{C3380CC4-5D6E-409C-BE32-E72D297353CC}">
                    <c16:uniqueId val="{00000004-7308-4AB7-8D3B-6605CFDA18A9}"/>
                  </c:ext>
                </c:extLst>
              </c15:ser>
            </c15:filteredScatterSeries>
            <c15:filteredScatterSeries>
              <c15:ser>
                <c:idx val="1"/>
                <c:order val="2"/>
                <c:tx>
                  <c:strRef>
                    <c:extLst xmlns:c15="http://schemas.microsoft.com/office/drawing/2012/chart">
                      <c:ext xmlns:c15="http://schemas.microsoft.com/office/drawing/2012/chart" uri="{02D57815-91ED-43cb-92C2-25804820EDAC}">
                        <c15:formulaRef>
                          <c15:sqref>Feuil1!$B$7</c15:sqref>
                        </c15:formulaRef>
                      </c:ext>
                    </c:extLst>
                    <c:strCache>
                      <c:ptCount val="1"/>
                      <c:pt idx="0">
                        <c:v>AMS 2023 run 1</c:v>
                      </c:pt>
                    </c:strCache>
                  </c:strRef>
                </c:tx>
                <c:spPr>
                  <a:ln w="19050" cap="rnd">
                    <a:solidFill>
                      <a:schemeClr val="accent2"/>
                    </a:solidFill>
                    <a:round/>
                  </a:ln>
                  <a:effectLst/>
                </c:spPr>
                <c:marker>
                  <c:symbol val="none"/>
                </c:marker>
                <c:xVal>
                  <c:numRef>
                    <c:extLst xmlns:c15="http://schemas.microsoft.com/office/drawing/2012/chart">
                      <c:ext xmlns:c15="http://schemas.microsoft.com/office/drawing/2012/chart" uri="{02D57815-91ED-43cb-92C2-25804820EDAC}">
                        <c15:formulaRef>
                          <c15:sqref>Feuil1!$D$5:$K$5</c15:sqref>
                        </c15:formulaRef>
                      </c:ext>
                    </c:extLst>
                    <c:numCache>
                      <c:formatCode>General</c:formatCode>
                      <c:ptCount val="8"/>
                      <c:pt idx="0">
                        <c:v>2019</c:v>
                      </c:pt>
                      <c:pt idx="1">
                        <c:v>2020</c:v>
                      </c:pt>
                      <c:pt idx="2">
                        <c:v>2025</c:v>
                      </c:pt>
                      <c:pt idx="3">
                        <c:v>2030</c:v>
                      </c:pt>
                      <c:pt idx="4">
                        <c:v>2035</c:v>
                      </c:pt>
                      <c:pt idx="5">
                        <c:v>2040</c:v>
                      </c:pt>
                      <c:pt idx="6">
                        <c:v>2045</c:v>
                      </c:pt>
                      <c:pt idx="7">
                        <c:v>2050</c:v>
                      </c:pt>
                    </c:numCache>
                  </c:numRef>
                </c:xVal>
                <c:yVal>
                  <c:numRef>
                    <c:extLst xmlns:c15="http://schemas.microsoft.com/office/drawing/2012/chart">
                      <c:ext xmlns:c15="http://schemas.microsoft.com/office/drawing/2012/chart" uri="{02D57815-91ED-43cb-92C2-25804820EDAC}">
                        <c15:formulaRef>
                          <c15:sqref>Feuil1!$D$7:$K$7</c15:sqref>
                        </c15:formulaRef>
                      </c:ext>
                    </c:extLst>
                    <c:numCache>
                      <c:formatCode>General</c:formatCode>
                      <c:ptCount val="8"/>
                      <c:pt idx="0">
                        <c:v>434.64710333829277</c:v>
                      </c:pt>
                      <c:pt idx="1">
                        <c:v>393</c:v>
                      </c:pt>
                      <c:pt idx="2">
                        <c:v>344.44911670728897</c:v>
                      </c:pt>
                      <c:pt idx="3">
                        <c:v>264.99272560385185</c:v>
                      </c:pt>
                      <c:pt idx="4">
                        <c:v>202.04721000805864</c:v>
                      </c:pt>
                      <c:pt idx="5">
                        <c:v>147.14954133525498</c:v>
                      </c:pt>
                      <c:pt idx="6">
                        <c:v>113.32881193066169</c:v>
                      </c:pt>
                      <c:pt idx="7">
                        <c:v>87.02033564931736</c:v>
                      </c:pt>
                    </c:numCache>
                  </c:numRef>
                </c:yVal>
                <c:smooth val="0"/>
                <c:extLst xmlns:c15="http://schemas.microsoft.com/office/drawing/2012/chart">
                  <c:ext xmlns:c16="http://schemas.microsoft.com/office/drawing/2014/chart" uri="{C3380CC4-5D6E-409C-BE32-E72D297353CC}">
                    <c16:uniqueId val="{00000005-7308-4AB7-8D3B-6605CFDA18A9}"/>
                  </c:ext>
                </c:extLst>
              </c15:ser>
            </c15:filteredScatterSeries>
          </c:ext>
        </c:extLst>
      </c:scatterChart>
      <c:valAx>
        <c:axId val="8587662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778703"/>
        <c:crosses val="autoZero"/>
        <c:crossBetween val="midCat"/>
      </c:valAx>
      <c:valAx>
        <c:axId val="8587787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1000" b="0" i="0" baseline="0">
                    <a:effectLst/>
                  </a:rPr>
                  <a:t>MtCO2e</a:t>
                </a:r>
                <a:endParaRPr lang="fr-FR" sz="1000">
                  <a:effectLst/>
                </a:endParaRPr>
              </a:p>
            </c:rich>
          </c:tx>
          <c:layout>
            <c:manualLayout>
              <c:xMode val="edge"/>
              <c:yMode val="edge"/>
              <c:x val="1.9255455712451863E-2"/>
              <c:y val="0.4217539863325740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76622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Emissions hors LULUCF, périmètre Kyoto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Feuil1!$A$12</c:f>
              <c:strCache>
                <c:ptCount val="1"/>
                <c:pt idx="0">
                  <c:v>Historique</c:v>
                </c:pt>
              </c:strCache>
            </c:strRef>
          </c:tx>
          <c:spPr>
            <a:ln w="19050" cap="rnd">
              <a:solidFill>
                <a:schemeClr val="accent1"/>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Feuil1!$B$12:$AL$12</c:f>
              <c:numCache>
                <c:formatCode>General</c:formatCode>
                <c:ptCount val="37"/>
                <c:pt idx="0">
                  <c:v>522.1</c:v>
                </c:pt>
                <c:pt idx="1">
                  <c:v>548</c:v>
                </c:pt>
                <c:pt idx="2">
                  <c:v>539.6</c:v>
                </c:pt>
                <c:pt idx="3">
                  <c:v>515.79999999999995</c:v>
                </c:pt>
                <c:pt idx="4">
                  <c:v>510.4</c:v>
                </c:pt>
                <c:pt idx="5">
                  <c:v>513.79999999999995</c:v>
                </c:pt>
                <c:pt idx="6">
                  <c:v>525.79999999999995</c:v>
                </c:pt>
                <c:pt idx="7">
                  <c:v>518.29999999999995</c:v>
                </c:pt>
                <c:pt idx="8">
                  <c:v>529.70000000000005</c:v>
                </c:pt>
                <c:pt idx="9">
                  <c:v>520.29999999999995</c:v>
                </c:pt>
                <c:pt idx="10">
                  <c:v>531</c:v>
                </c:pt>
                <c:pt idx="11">
                  <c:v>524.29999999999995</c:v>
                </c:pt>
                <c:pt idx="12">
                  <c:v>509.2</c:v>
                </c:pt>
                <c:pt idx="13">
                  <c:v>510.7</c:v>
                </c:pt>
                <c:pt idx="14">
                  <c:v>506.4</c:v>
                </c:pt>
                <c:pt idx="15">
                  <c:v>506.5</c:v>
                </c:pt>
                <c:pt idx="16">
                  <c:v>494.4</c:v>
                </c:pt>
                <c:pt idx="17">
                  <c:v>485.1</c:v>
                </c:pt>
                <c:pt idx="18">
                  <c:v>478.1</c:v>
                </c:pt>
                <c:pt idx="19">
                  <c:v>466.5</c:v>
                </c:pt>
                <c:pt idx="20">
                  <c:v>472.3</c:v>
                </c:pt>
                <c:pt idx="21">
                  <c:v>447.8</c:v>
                </c:pt>
                <c:pt idx="22">
                  <c:v>447</c:v>
                </c:pt>
                <c:pt idx="23">
                  <c:v>444.7</c:v>
                </c:pt>
                <c:pt idx="24">
                  <c:v>419.7</c:v>
                </c:pt>
                <c:pt idx="25">
                  <c:v>426.5</c:v>
                </c:pt>
                <c:pt idx="26">
                  <c:v>426.2</c:v>
                </c:pt>
                <c:pt idx="27">
                  <c:v>431.3</c:v>
                </c:pt>
                <c:pt idx="28">
                  <c:v>413.9</c:v>
                </c:pt>
                <c:pt idx="29">
                  <c:v>405.3</c:v>
                </c:pt>
                <c:pt idx="30">
                  <c:v>364.9</c:v>
                </c:pt>
              </c:numCache>
            </c:numRef>
          </c:yVal>
          <c:smooth val="1"/>
          <c:extLst>
            <c:ext xmlns:c16="http://schemas.microsoft.com/office/drawing/2014/chart" uri="{C3380CC4-5D6E-409C-BE32-E72D297353CC}">
              <c16:uniqueId val="{00000000-A3E8-4E9D-B17F-B32E622392BA}"/>
            </c:ext>
          </c:extLst>
        </c:ser>
        <c:ser>
          <c:idx val="1"/>
          <c:order val="1"/>
          <c:tx>
            <c:strRef>
              <c:f>Feuil1!$A$13</c:f>
              <c:strCache>
                <c:ptCount val="1"/>
                <c:pt idx="0">
                  <c:v>AME 2021</c:v>
                </c:pt>
              </c:strCache>
            </c:strRef>
          </c:tx>
          <c:spPr>
            <a:ln w="19050" cap="rnd">
              <a:solidFill>
                <a:schemeClr val="accent2"/>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Feuil1!$B$13:$AL$13</c:f>
              <c:numCache>
                <c:formatCode>General</c:formatCode>
                <c:ptCount val="37"/>
                <c:pt idx="25">
                  <c:v>426.50043226744629</c:v>
                </c:pt>
                <c:pt idx="26">
                  <c:v>426.2</c:v>
                </c:pt>
                <c:pt idx="27">
                  <c:v>431.3</c:v>
                </c:pt>
                <c:pt idx="28">
                  <c:v>413.85654830380076</c:v>
                </c:pt>
                <c:pt idx="29">
                  <c:v>405.26011353185726</c:v>
                </c:pt>
                <c:pt idx="30">
                  <c:v>365.83810838823354</c:v>
                </c:pt>
                <c:pt idx="31">
                  <c:v>363.3494446901102</c:v>
                </c:pt>
                <c:pt idx="32">
                  <c:v>340.61787712910399</c:v>
                </c:pt>
                <c:pt idx="33">
                  <c:v>332.88583206956412</c:v>
                </c:pt>
                <c:pt idx="34">
                  <c:v>321.96914458128549</c:v>
                </c:pt>
                <c:pt idx="35">
                  <c:v>319.68309215016956</c:v>
                </c:pt>
                <c:pt idx="36">
                  <c:v>317.02609314185935</c:v>
                </c:pt>
              </c:numCache>
            </c:numRef>
          </c:yVal>
          <c:smooth val="1"/>
          <c:extLst>
            <c:ext xmlns:c16="http://schemas.microsoft.com/office/drawing/2014/chart" uri="{C3380CC4-5D6E-409C-BE32-E72D297353CC}">
              <c16:uniqueId val="{00000001-A3E8-4E9D-B17F-B32E622392BA}"/>
            </c:ext>
          </c:extLst>
        </c:ser>
        <c:ser>
          <c:idx val="3"/>
          <c:order val="2"/>
          <c:tx>
            <c:strRef>
              <c:f>Feuil1!$A$15</c:f>
              <c:strCache>
                <c:ptCount val="1"/>
                <c:pt idx="0">
                  <c:v>AMS 2018</c:v>
                </c:pt>
              </c:strCache>
            </c:strRef>
          </c:tx>
          <c:spPr>
            <a:ln w="19050" cap="rnd">
              <a:solidFill>
                <a:schemeClr val="accent4"/>
              </a:solidFill>
              <a:round/>
            </a:ln>
            <a:effectLst/>
          </c:spPr>
          <c:marker>
            <c:symbol val="none"/>
          </c:marker>
          <c:xVal>
            <c:numRef>
              <c:f>Feuil1!$B$11:$AL$11</c:f>
              <c:numCache>
                <c:formatCode>General</c:formatCode>
                <c:ptCount val="3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2025</c:v>
                </c:pt>
                <c:pt idx="32">
                  <c:v>2030</c:v>
                </c:pt>
                <c:pt idx="33">
                  <c:v>2035</c:v>
                </c:pt>
                <c:pt idx="34">
                  <c:v>2040</c:v>
                </c:pt>
                <c:pt idx="35">
                  <c:v>2045</c:v>
                </c:pt>
                <c:pt idx="36">
                  <c:v>2050</c:v>
                </c:pt>
              </c:numCache>
            </c:numRef>
          </c:xVal>
          <c:yVal>
            <c:numRef>
              <c:f>Feuil1!$B$15:$AL$15</c:f>
              <c:numCache>
                <c:formatCode>General</c:formatCode>
                <c:ptCount val="37"/>
                <c:pt idx="25">
                  <c:v>423</c:v>
                </c:pt>
                <c:pt idx="26">
                  <c:v>420</c:v>
                </c:pt>
                <c:pt idx="27">
                  <c:v>416</c:v>
                </c:pt>
                <c:pt idx="28">
                  <c:v>410</c:v>
                </c:pt>
                <c:pt idx="29">
                  <c:v>404</c:v>
                </c:pt>
                <c:pt idx="30">
                  <c:v>397</c:v>
                </c:pt>
                <c:pt idx="31">
                  <c:v>332.65882083722499</c:v>
                </c:pt>
                <c:pt idx="32">
                  <c:v>269.97418729286602</c:v>
                </c:pt>
                <c:pt idx="33">
                  <c:v>201.870785391467</c:v>
                </c:pt>
                <c:pt idx="34">
                  <c:v>133.767383490068</c:v>
                </c:pt>
                <c:pt idx="35">
                  <c:v>65.663981588668904</c:v>
                </c:pt>
                <c:pt idx="36">
                  <c:v>-2.43942031273011</c:v>
                </c:pt>
              </c:numCache>
            </c:numRef>
          </c:yVal>
          <c:smooth val="1"/>
          <c:extLst>
            <c:ext xmlns:c16="http://schemas.microsoft.com/office/drawing/2014/chart" uri="{C3380CC4-5D6E-409C-BE32-E72D297353CC}">
              <c16:uniqueId val="{00000002-A3E8-4E9D-B17F-B32E622392BA}"/>
            </c:ext>
          </c:extLst>
        </c:ser>
        <c:ser>
          <c:idx val="2"/>
          <c:order val="3"/>
          <c:tx>
            <c:strRef>
              <c:f>Feuil1!$A$16</c:f>
              <c:strCache>
                <c:ptCount val="1"/>
                <c:pt idx="0">
                  <c:v>AME 2018</c:v>
                </c:pt>
              </c:strCache>
            </c:strRef>
          </c:tx>
          <c:spPr>
            <a:ln w="19050" cap="rnd">
              <a:solidFill>
                <a:schemeClr val="accent3"/>
              </a:solidFill>
              <a:prstDash val="sysDash"/>
              <a:round/>
            </a:ln>
            <a:effectLst/>
          </c:spPr>
          <c:marker>
            <c:symbol val="none"/>
          </c:marker>
          <c:xVal>
            <c:numRef>
              <c:f>Feuil1!$AA$11:$AL$11</c:f>
              <c:numCache>
                <c:formatCode>General</c:formatCode>
                <c:ptCount val="12"/>
                <c:pt idx="0">
                  <c:v>2015</c:v>
                </c:pt>
                <c:pt idx="1">
                  <c:v>2016</c:v>
                </c:pt>
                <c:pt idx="2">
                  <c:v>2017</c:v>
                </c:pt>
                <c:pt idx="3">
                  <c:v>2018</c:v>
                </c:pt>
                <c:pt idx="4">
                  <c:v>2019</c:v>
                </c:pt>
                <c:pt idx="5">
                  <c:v>2020</c:v>
                </c:pt>
                <c:pt idx="6">
                  <c:v>2025</c:v>
                </c:pt>
                <c:pt idx="7">
                  <c:v>2030</c:v>
                </c:pt>
                <c:pt idx="8">
                  <c:v>2035</c:v>
                </c:pt>
                <c:pt idx="9">
                  <c:v>2040</c:v>
                </c:pt>
                <c:pt idx="10">
                  <c:v>2045</c:v>
                </c:pt>
                <c:pt idx="11">
                  <c:v>2050</c:v>
                </c:pt>
              </c:numCache>
            </c:numRef>
          </c:xVal>
          <c:yVal>
            <c:numRef>
              <c:f>Feuil1!$AA$16:$AL$16</c:f>
              <c:numCache>
                <c:formatCode>General</c:formatCode>
                <c:ptCount val="12"/>
                <c:pt idx="0">
                  <c:v>417.23</c:v>
                </c:pt>
                <c:pt idx="1">
                  <c:v>421.59</c:v>
                </c:pt>
                <c:pt idx="2">
                  <c:v>421.90249999999997</c:v>
                </c:pt>
                <c:pt idx="3">
                  <c:v>422.21499999999997</c:v>
                </c:pt>
                <c:pt idx="4">
                  <c:v>422.52749999999997</c:v>
                </c:pt>
                <c:pt idx="5">
                  <c:v>422.84</c:v>
                </c:pt>
                <c:pt idx="6">
                  <c:v>402.84</c:v>
                </c:pt>
                <c:pt idx="7">
                  <c:v>387.41</c:v>
                </c:pt>
                <c:pt idx="8">
                  <c:v>381.02</c:v>
                </c:pt>
                <c:pt idx="9">
                  <c:v>374.63</c:v>
                </c:pt>
                <c:pt idx="10">
                  <c:v>368.24</c:v>
                </c:pt>
                <c:pt idx="11">
                  <c:v>361.85</c:v>
                </c:pt>
              </c:numCache>
            </c:numRef>
          </c:yVal>
          <c:smooth val="1"/>
          <c:extLst>
            <c:ext xmlns:c16="http://schemas.microsoft.com/office/drawing/2014/chart" uri="{C3380CC4-5D6E-409C-BE32-E72D297353CC}">
              <c16:uniqueId val="{00000003-A3E8-4E9D-B17F-B32E622392BA}"/>
            </c:ext>
          </c:extLst>
        </c:ser>
        <c:dLbls>
          <c:showLegendKey val="0"/>
          <c:showVal val="0"/>
          <c:showCatName val="0"/>
          <c:showSerName val="0"/>
          <c:showPercent val="0"/>
          <c:showBubbleSize val="0"/>
        </c:dLbls>
        <c:axId val="2087189263"/>
        <c:axId val="2087190511"/>
      </c:scatterChart>
      <c:valAx>
        <c:axId val="2087189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190511"/>
        <c:crosses val="autoZero"/>
        <c:crossBetween val="midCat"/>
      </c:valAx>
      <c:valAx>
        <c:axId val="2087190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MtCO2e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18926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 21 par</a:t>
            </a:r>
            <a:r>
              <a:rPr lang="fr-FR" baseline="0"/>
              <a:t> secteurs</a:t>
            </a:r>
            <a:endParaRPr lang="fr-FR"/>
          </a:p>
        </c:rich>
      </c:tx>
      <c:overlay val="0"/>
      <c:spPr>
        <a:noFill/>
        <a:ln>
          <a:noFill/>
        </a:ln>
        <a:effectLst/>
      </c:spPr>
    </c:title>
    <c:autoTitleDeleted val="0"/>
    <c:plotArea>
      <c:layout/>
      <c:scatterChart>
        <c:scatterStyle val="smoothMarker"/>
        <c:varyColors val="0"/>
        <c:ser>
          <c:idx val="20"/>
          <c:order val="0"/>
          <c:tx>
            <c:strRef>
              <c:f>Feuil7!$B$5</c:f>
              <c:strCache>
                <c:ptCount val="1"/>
                <c:pt idx="0">
                  <c:v>Energy </c:v>
                </c:pt>
              </c:strCache>
            </c:strRef>
          </c:tx>
          <c:spPr>
            <a:ln>
              <a:solidFill>
                <a:schemeClr val="accent1"/>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Feuil7!$C$5:$I$5</c:f>
              <c:numCache>
                <c:formatCode>General</c:formatCode>
                <c:ptCount val="7"/>
                <c:pt idx="0">
                  <c:v>367272</c:v>
                </c:pt>
                <c:pt idx="1">
                  <c:v>366079</c:v>
                </c:pt>
                <c:pt idx="2">
                  <c:v>381989</c:v>
                </c:pt>
                <c:pt idx="3">
                  <c:v>390391</c:v>
                </c:pt>
                <c:pt idx="4">
                  <c:v>357711</c:v>
                </c:pt>
                <c:pt idx="5">
                  <c:v>313634</c:v>
                </c:pt>
                <c:pt idx="6">
                  <c:v>297313</c:v>
                </c:pt>
              </c:numCache>
            </c:numRef>
          </c:yVal>
          <c:smooth val="1"/>
          <c:extLst>
            <c:ext xmlns:c16="http://schemas.microsoft.com/office/drawing/2014/chart" uri="{C3380CC4-5D6E-409C-BE32-E72D297353CC}">
              <c16:uniqueId val="{00000000-51AB-4865-9DE7-816D66F0AB4F}"/>
            </c:ext>
          </c:extLst>
        </c:ser>
        <c:ser>
          <c:idx val="21"/>
          <c:order val="1"/>
          <c:tx>
            <c:strRef>
              <c:f>Feuil7!$B$6</c:f>
              <c:strCache>
                <c:ptCount val="1"/>
                <c:pt idx="0">
                  <c:v>Energy (projections)</c:v>
                </c:pt>
              </c:strCache>
            </c:strRef>
          </c:tx>
          <c:spPr>
            <a:ln>
              <a:solidFill>
                <a:schemeClr val="accent1"/>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Feuil7!$I$6:$N$6</c:f>
              <c:numCache>
                <c:formatCode>General</c:formatCode>
                <c:ptCount val="6"/>
                <c:pt idx="0">
                  <c:v>297313</c:v>
                </c:pt>
                <c:pt idx="1">
                  <c:v>264395</c:v>
                </c:pt>
                <c:pt idx="2">
                  <c:v>261598</c:v>
                </c:pt>
                <c:pt idx="3">
                  <c:v>240639</c:v>
                </c:pt>
                <c:pt idx="4">
                  <c:v>231245</c:v>
                </c:pt>
                <c:pt idx="5">
                  <c:v>211199</c:v>
                </c:pt>
              </c:numCache>
            </c:numRef>
          </c:yVal>
          <c:smooth val="1"/>
          <c:extLst>
            <c:ext xmlns:c16="http://schemas.microsoft.com/office/drawing/2014/chart" uri="{C3380CC4-5D6E-409C-BE32-E72D297353CC}">
              <c16:uniqueId val="{00000001-51AB-4865-9DE7-816D66F0AB4F}"/>
            </c:ext>
          </c:extLst>
        </c:ser>
        <c:ser>
          <c:idx val="22"/>
          <c:order val="2"/>
          <c:tx>
            <c:strRef>
              <c:f>Feuil7!$B$7</c:f>
              <c:strCache>
                <c:ptCount val="1"/>
                <c:pt idx="0">
                  <c:v>IPPU</c:v>
                </c:pt>
              </c:strCache>
            </c:strRef>
          </c:tx>
          <c:spPr>
            <a:ln>
              <a:solidFill>
                <a:schemeClr val="accent2"/>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Feuil7!$C$7:$I$7</c:f>
              <c:numCache>
                <c:formatCode>General</c:formatCode>
                <c:ptCount val="7"/>
                <c:pt idx="0">
                  <c:v>78729</c:v>
                </c:pt>
                <c:pt idx="1">
                  <c:v>71997</c:v>
                </c:pt>
                <c:pt idx="2">
                  <c:v>64668</c:v>
                </c:pt>
                <c:pt idx="3">
                  <c:v>63620</c:v>
                </c:pt>
                <c:pt idx="4">
                  <c:v>53798</c:v>
                </c:pt>
                <c:pt idx="5">
                  <c:v>50664</c:v>
                </c:pt>
                <c:pt idx="6">
                  <c:v>46564</c:v>
                </c:pt>
              </c:numCache>
            </c:numRef>
          </c:yVal>
          <c:smooth val="1"/>
          <c:extLst>
            <c:ext xmlns:c16="http://schemas.microsoft.com/office/drawing/2014/chart" uri="{C3380CC4-5D6E-409C-BE32-E72D297353CC}">
              <c16:uniqueId val="{00000002-51AB-4865-9DE7-816D66F0AB4F}"/>
            </c:ext>
          </c:extLst>
        </c:ser>
        <c:ser>
          <c:idx val="0"/>
          <c:order val="3"/>
          <c:tx>
            <c:strRef>
              <c:f>Feuil7!$B$8</c:f>
              <c:strCache>
                <c:ptCount val="1"/>
                <c:pt idx="0">
                  <c:v>IPPU (projections)</c:v>
                </c:pt>
              </c:strCache>
            </c:strRef>
          </c:tx>
          <c:spPr>
            <a:ln>
              <a:solidFill>
                <a:schemeClr val="accent2"/>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Feuil7!$I$8:$N$8</c:f>
              <c:numCache>
                <c:formatCode>General</c:formatCode>
                <c:ptCount val="6"/>
                <c:pt idx="0">
                  <c:v>46564</c:v>
                </c:pt>
                <c:pt idx="1">
                  <c:v>43717</c:v>
                </c:pt>
                <c:pt idx="2">
                  <c:v>41701</c:v>
                </c:pt>
                <c:pt idx="3">
                  <c:v>39058</c:v>
                </c:pt>
                <c:pt idx="4">
                  <c:v>36794</c:v>
                </c:pt>
                <c:pt idx="5">
                  <c:v>33455</c:v>
                </c:pt>
              </c:numCache>
            </c:numRef>
          </c:yVal>
          <c:smooth val="1"/>
          <c:extLst>
            <c:ext xmlns:c16="http://schemas.microsoft.com/office/drawing/2014/chart" uri="{C3380CC4-5D6E-409C-BE32-E72D297353CC}">
              <c16:uniqueId val="{00000003-51AB-4865-9DE7-816D66F0AB4F}"/>
            </c:ext>
          </c:extLst>
        </c:ser>
        <c:ser>
          <c:idx val="23"/>
          <c:order val="4"/>
          <c:tx>
            <c:strRef>
              <c:f>Feuil7!$B$9</c:f>
              <c:strCache>
                <c:ptCount val="1"/>
                <c:pt idx="0">
                  <c:v>Agriculture (excluding energy) </c:v>
                </c:pt>
              </c:strCache>
            </c:strRef>
          </c:tx>
          <c:spPr>
            <a:ln>
              <a:solidFill>
                <a:schemeClr val="accent3"/>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Feuil7!$C$9:$I$9</c:f>
              <c:numCache>
                <c:formatCode>General</c:formatCode>
                <c:ptCount val="7"/>
                <c:pt idx="0">
                  <c:v>80803</c:v>
                </c:pt>
                <c:pt idx="1">
                  <c:v>78281</c:v>
                </c:pt>
                <c:pt idx="2">
                  <c:v>81292</c:v>
                </c:pt>
                <c:pt idx="3">
                  <c:v>76018</c:v>
                </c:pt>
                <c:pt idx="4">
                  <c:v>75203</c:v>
                </c:pt>
                <c:pt idx="5">
                  <c:v>75720</c:v>
                </c:pt>
                <c:pt idx="6">
                  <c:v>72498</c:v>
                </c:pt>
              </c:numCache>
            </c:numRef>
          </c:yVal>
          <c:smooth val="1"/>
          <c:extLst>
            <c:ext xmlns:c16="http://schemas.microsoft.com/office/drawing/2014/chart" uri="{C3380CC4-5D6E-409C-BE32-E72D297353CC}">
              <c16:uniqueId val="{00000004-51AB-4865-9DE7-816D66F0AB4F}"/>
            </c:ext>
          </c:extLst>
        </c:ser>
        <c:ser>
          <c:idx val="1"/>
          <c:order val="5"/>
          <c:tx>
            <c:strRef>
              <c:f>Feuil7!$B$10</c:f>
              <c:strCache>
                <c:ptCount val="1"/>
                <c:pt idx="0">
                  <c:v>Agriculture (projections)</c:v>
                </c:pt>
              </c:strCache>
            </c:strRef>
          </c:tx>
          <c:spPr>
            <a:ln w="19050" cap="rnd">
              <a:solidFill>
                <a:schemeClr val="accent3"/>
              </a:solidFill>
              <a:prstDash val="sysDash"/>
              <a:round/>
            </a:ln>
            <a:effectLst/>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Feuil7!$I$10:$N$10</c:f>
              <c:numCache>
                <c:formatCode>General</c:formatCode>
                <c:ptCount val="6"/>
                <c:pt idx="0">
                  <c:v>72498</c:v>
                </c:pt>
                <c:pt idx="1">
                  <c:v>73050</c:v>
                </c:pt>
                <c:pt idx="2">
                  <c:v>72080</c:v>
                </c:pt>
                <c:pt idx="3">
                  <c:v>71043</c:v>
                </c:pt>
                <c:pt idx="4">
                  <c:v>70093</c:v>
                </c:pt>
                <c:pt idx="5">
                  <c:v>68253</c:v>
                </c:pt>
              </c:numCache>
            </c:numRef>
          </c:yVal>
          <c:smooth val="1"/>
          <c:extLst>
            <c:ext xmlns:c16="http://schemas.microsoft.com/office/drawing/2014/chart" uri="{C3380CC4-5D6E-409C-BE32-E72D297353CC}">
              <c16:uniqueId val="{00000005-51AB-4865-9DE7-816D66F0AB4F}"/>
            </c:ext>
          </c:extLst>
        </c:ser>
        <c:ser>
          <c:idx val="24"/>
          <c:order val="6"/>
          <c:tx>
            <c:strRef>
              <c:f>Feuil7!$B$11</c:f>
              <c:strCache>
                <c:ptCount val="1"/>
                <c:pt idx="0">
                  <c:v>LULUCF </c:v>
                </c:pt>
              </c:strCache>
            </c:strRef>
          </c:tx>
          <c:spPr>
            <a:ln>
              <a:solidFill>
                <a:schemeClr val="accent4"/>
              </a:solidFill>
            </a:ln>
          </c:spPr>
          <c:marker>
            <c:symbol val="none"/>
          </c:marker>
          <c:xVal>
            <c:numRef>
              <c:f>Feuil7!$C$4:$I$4</c:f>
              <c:numCache>
                <c:formatCode>General</c:formatCode>
                <c:ptCount val="7"/>
                <c:pt idx="0">
                  <c:v>1990</c:v>
                </c:pt>
                <c:pt idx="1">
                  <c:v>1995</c:v>
                </c:pt>
                <c:pt idx="2">
                  <c:v>2000</c:v>
                </c:pt>
                <c:pt idx="3">
                  <c:v>2005</c:v>
                </c:pt>
                <c:pt idx="4">
                  <c:v>2010</c:v>
                </c:pt>
                <c:pt idx="5">
                  <c:v>2015</c:v>
                </c:pt>
                <c:pt idx="6">
                  <c:v>2019</c:v>
                </c:pt>
              </c:numCache>
            </c:numRef>
          </c:xVal>
          <c:yVal>
            <c:numRef>
              <c:f>Feuil7!$C$11:$I$11</c:f>
              <c:numCache>
                <c:formatCode>General</c:formatCode>
                <c:ptCount val="7"/>
                <c:pt idx="0">
                  <c:v>-23986</c:v>
                </c:pt>
                <c:pt idx="1">
                  <c:v>-24879</c:v>
                </c:pt>
                <c:pt idx="2">
                  <c:v>-19709</c:v>
                </c:pt>
                <c:pt idx="3">
                  <c:v>-47311</c:v>
                </c:pt>
                <c:pt idx="4">
                  <c:v>-38355</c:v>
                </c:pt>
                <c:pt idx="5">
                  <c:v>-34577</c:v>
                </c:pt>
                <c:pt idx="6">
                  <c:v>-12288</c:v>
                </c:pt>
              </c:numCache>
            </c:numRef>
          </c:yVal>
          <c:smooth val="1"/>
          <c:extLst>
            <c:ext xmlns:c16="http://schemas.microsoft.com/office/drawing/2014/chart" uri="{C3380CC4-5D6E-409C-BE32-E72D297353CC}">
              <c16:uniqueId val="{00000006-51AB-4865-9DE7-816D66F0AB4F}"/>
            </c:ext>
          </c:extLst>
        </c:ser>
        <c:ser>
          <c:idx val="2"/>
          <c:order val="7"/>
          <c:tx>
            <c:strRef>
              <c:f>Feuil7!$B$12</c:f>
              <c:strCache>
                <c:ptCount val="1"/>
                <c:pt idx="0">
                  <c:v>LULUCF (projections)</c:v>
                </c:pt>
              </c:strCache>
            </c:strRef>
          </c:tx>
          <c:spPr>
            <a:ln>
              <a:solidFill>
                <a:schemeClr val="accent4"/>
              </a:solidFill>
              <a:prstDash val="sysDash"/>
            </a:ln>
          </c:spPr>
          <c:marker>
            <c:symbol val="none"/>
          </c:marker>
          <c:xVal>
            <c:numRef>
              <c:f>Feuil7!$I$4:$N$4</c:f>
              <c:numCache>
                <c:formatCode>General</c:formatCode>
                <c:ptCount val="6"/>
                <c:pt idx="0">
                  <c:v>2019</c:v>
                </c:pt>
                <c:pt idx="1">
                  <c:v>2020</c:v>
                </c:pt>
                <c:pt idx="2">
                  <c:v>2025</c:v>
                </c:pt>
                <c:pt idx="3">
                  <c:v>2030</c:v>
                </c:pt>
                <c:pt idx="4">
                  <c:v>2035</c:v>
                </c:pt>
                <c:pt idx="5">
                  <c:v>2050</c:v>
                </c:pt>
              </c:numCache>
            </c:numRef>
          </c:xVal>
          <c:yVal>
            <c:numRef>
              <c:f>Feuil7!$I$12:$N$12</c:f>
              <c:numCache>
                <c:formatCode>General</c:formatCode>
                <c:ptCount val="6"/>
                <c:pt idx="0">
                  <c:v>-12288</c:v>
                </c:pt>
                <c:pt idx="1">
                  <c:v>-32838</c:v>
                </c:pt>
                <c:pt idx="2">
                  <c:v>-28746</c:v>
                </c:pt>
                <c:pt idx="3">
                  <c:v>-26431</c:v>
                </c:pt>
                <c:pt idx="4">
                  <c:v>-21560</c:v>
                </c:pt>
                <c:pt idx="5">
                  <c:v>-12627</c:v>
                </c:pt>
              </c:numCache>
            </c:numRef>
          </c:yVal>
          <c:smooth val="1"/>
          <c:extLst>
            <c:ext xmlns:c16="http://schemas.microsoft.com/office/drawing/2014/chart" uri="{C3380CC4-5D6E-409C-BE32-E72D297353CC}">
              <c16:uniqueId val="{00000007-51AB-4865-9DE7-816D66F0AB4F}"/>
            </c:ext>
          </c:extLst>
        </c:ser>
        <c:dLbls>
          <c:showLegendKey val="0"/>
          <c:showVal val="0"/>
          <c:showCatName val="0"/>
          <c:showSerName val="0"/>
          <c:showPercent val="0"/>
          <c:showBubbleSize val="0"/>
        </c:dLbls>
        <c:axId val="1424416096"/>
        <c:axId val="1424419424"/>
      </c:scatterChart>
      <c:valAx>
        <c:axId val="1424416096"/>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9424"/>
        <c:crosses val="autoZero"/>
        <c:crossBetween val="midCat"/>
      </c:valAx>
      <c:valAx>
        <c:axId val="142441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sz="1000" b="0" i="0" u="none" strike="noStrike" baseline="0">
                    <a:effectLst/>
                  </a:rPr>
                  <a:t>ktCO</a:t>
                </a:r>
                <a:r>
                  <a:rPr lang="en-GB" sz="1000" b="0" i="0" u="none" strike="noStrike" baseline="-25000">
                    <a:effectLst/>
                  </a:rPr>
                  <a:t>2e</a:t>
                </a:r>
                <a:endParaRPr lang="fr-F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6096"/>
        <c:crosses val="autoZero"/>
        <c:crossBetween val="midCat"/>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ln>
      <a:noFill/>
    </a:ln>
  </c:spPr>
  <c:txPr>
    <a:bodyPr/>
    <a:lstStyle/>
    <a:p>
      <a:pPr>
        <a:defRPr/>
      </a:pPr>
      <a:endParaRPr lang="en-U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a:t>
            </a:r>
            <a:r>
              <a:rPr lang="fr-FR" baseline="0"/>
              <a:t> 18 par secteurs</a:t>
            </a:r>
            <a:endParaRPr lang="fr-FR"/>
          </a:p>
        </c:rich>
      </c:tx>
      <c:overlay val="0"/>
      <c:spPr>
        <a:noFill/>
        <a:ln>
          <a:noFill/>
        </a:ln>
        <a:effectLst/>
      </c:spPr>
    </c:title>
    <c:autoTitleDeleted val="0"/>
    <c:plotArea>
      <c:layout/>
      <c:scatterChart>
        <c:scatterStyle val="smoothMarker"/>
        <c:varyColors val="0"/>
        <c:ser>
          <c:idx val="20"/>
          <c:order val="0"/>
          <c:tx>
            <c:strRef>
              <c:f>'Feuil7 (2)'!$B$5</c:f>
              <c:strCache>
                <c:ptCount val="1"/>
                <c:pt idx="0">
                  <c:v>Energy </c:v>
                </c:pt>
              </c:strCache>
            </c:strRef>
          </c:tx>
          <c:spPr>
            <a:ln>
              <a:solidFill>
                <a:schemeClr val="accent1"/>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(2)'!$C$5:$I$5</c:f>
              <c:numCache>
                <c:formatCode>General</c:formatCode>
                <c:ptCount val="7"/>
                <c:pt idx="0">
                  <c:v>367272</c:v>
                </c:pt>
                <c:pt idx="1">
                  <c:v>366079</c:v>
                </c:pt>
                <c:pt idx="2">
                  <c:v>381989</c:v>
                </c:pt>
                <c:pt idx="3">
                  <c:v>390391</c:v>
                </c:pt>
                <c:pt idx="4">
                  <c:v>357711</c:v>
                </c:pt>
                <c:pt idx="5">
                  <c:v>313634</c:v>
                </c:pt>
                <c:pt idx="6">
                  <c:v>297313</c:v>
                </c:pt>
              </c:numCache>
            </c:numRef>
          </c:yVal>
          <c:smooth val="1"/>
          <c:extLst>
            <c:ext xmlns:c16="http://schemas.microsoft.com/office/drawing/2014/chart" uri="{C3380CC4-5D6E-409C-BE32-E72D297353CC}">
              <c16:uniqueId val="{00000000-75D8-40BE-94D4-06E424D8B291}"/>
            </c:ext>
          </c:extLst>
        </c:ser>
        <c:ser>
          <c:idx val="21"/>
          <c:order val="1"/>
          <c:tx>
            <c:strRef>
              <c:f>'Feuil7 (2)'!$B$6</c:f>
              <c:strCache>
                <c:ptCount val="1"/>
                <c:pt idx="0">
                  <c:v>Energy (projections)</c:v>
                </c:pt>
              </c:strCache>
            </c:strRef>
          </c:tx>
          <c:spPr>
            <a:ln>
              <a:solidFill>
                <a:schemeClr val="accent1"/>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(2)'!$I$6:$N$6</c:f>
              <c:numCache>
                <c:formatCode>General</c:formatCode>
                <c:ptCount val="6"/>
                <c:pt idx="0">
                  <c:v>297313</c:v>
                </c:pt>
                <c:pt idx="1">
                  <c:v>305017</c:v>
                </c:pt>
                <c:pt idx="2">
                  <c:v>253350</c:v>
                </c:pt>
                <c:pt idx="3">
                  <c:v>203515</c:v>
                </c:pt>
                <c:pt idx="4">
                  <c:v>151385</c:v>
                </c:pt>
                <c:pt idx="5">
                  <c:v>-5007</c:v>
                </c:pt>
              </c:numCache>
            </c:numRef>
          </c:yVal>
          <c:smooth val="1"/>
          <c:extLst>
            <c:ext xmlns:c16="http://schemas.microsoft.com/office/drawing/2014/chart" uri="{C3380CC4-5D6E-409C-BE32-E72D297353CC}">
              <c16:uniqueId val="{00000001-75D8-40BE-94D4-06E424D8B291}"/>
            </c:ext>
          </c:extLst>
        </c:ser>
        <c:ser>
          <c:idx val="22"/>
          <c:order val="2"/>
          <c:tx>
            <c:strRef>
              <c:f>'Feuil7 (2)'!$B$7</c:f>
              <c:strCache>
                <c:ptCount val="1"/>
                <c:pt idx="0">
                  <c:v>IPPU</c:v>
                </c:pt>
              </c:strCache>
            </c:strRef>
          </c:tx>
          <c:spPr>
            <a:ln>
              <a:solidFill>
                <a:schemeClr val="accent2"/>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(2)'!$C$7:$I$7</c:f>
              <c:numCache>
                <c:formatCode>General</c:formatCode>
                <c:ptCount val="7"/>
                <c:pt idx="0">
                  <c:v>78729</c:v>
                </c:pt>
                <c:pt idx="1">
                  <c:v>71997</c:v>
                </c:pt>
                <c:pt idx="2">
                  <c:v>64668</c:v>
                </c:pt>
                <c:pt idx="3">
                  <c:v>63620</c:v>
                </c:pt>
                <c:pt idx="4">
                  <c:v>53798</c:v>
                </c:pt>
                <c:pt idx="5">
                  <c:v>50664</c:v>
                </c:pt>
                <c:pt idx="6">
                  <c:v>46564</c:v>
                </c:pt>
              </c:numCache>
            </c:numRef>
          </c:yVal>
          <c:smooth val="1"/>
          <c:extLst>
            <c:ext xmlns:c16="http://schemas.microsoft.com/office/drawing/2014/chart" uri="{C3380CC4-5D6E-409C-BE32-E72D297353CC}">
              <c16:uniqueId val="{00000002-75D8-40BE-94D4-06E424D8B291}"/>
            </c:ext>
          </c:extLst>
        </c:ser>
        <c:ser>
          <c:idx val="0"/>
          <c:order val="3"/>
          <c:tx>
            <c:strRef>
              <c:f>'Feuil7 (2)'!$B$8</c:f>
              <c:strCache>
                <c:ptCount val="1"/>
                <c:pt idx="0">
                  <c:v>IPPU (projections)</c:v>
                </c:pt>
              </c:strCache>
            </c:strRef>
          </c:tx>
          <c:spPr>
            <a:ln>
              <a:solidFill>
                <a:schemeClr val="accent2"/>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(2)'!$I$8:$N$8</c:f>
              <c:numCache>
                <c:formatCode>General</c:formatCode>
                <c:ptCount val="6"/>
                <c:pt idx="0">
                  <c:v>46564</c:v>
                </c:pt>
                <c:pt idx="1">
                  <c:v>41371</c:v>
                </c:pt>
                <c:pt idx="2">
                  <c:v>32979</c:v>
                </c:pt>
                <c:pt idx="3">
                  <c:v>27368</c:v>
                </c:pt>
                <c:pt idx="4">
                  <c:v>24409</c:v>
                </c:pt>
                <c:pt idx="5">
                  <c:v>15534</c:v>
                </c:pt>
              </c:numCache>
            </c:numRef>
          </c:yVal>
          <c:smooth val="1"/>
          <c:extLst>
            <c:ext xmlns:c16="http://schemas.microsoft.com/office/drawing/2014/chart" uri="{C3380CC4-5D6E-409C-BE32-E72D297353CC}">
              <c16:uniqueId val="{00000003-75D8-40BE-94D4-06E424D8B291}"/>
            </c:ext>
          </c:extLst>
        </c:ser>
        <c:ser>
          <c:idx val="23"/>
          <c:order val="4"/>
          <c:tx>
            <c:strRef>
              <c:f>'Feuil7 (2)'!$B$9</c:f>
              <c:strCache>
                <c:ptCount val="1"/>
                <c:pt idx="0">
                  <c:v>Agriculture (excluding energy) </c:v>
                </c:pt>
              </c:strCache>
            </c:strRef>
          </c:tx>
          <c:spPr>
            <a:ln>
              <a:solidFill>
                <a:schemeClr val="accent3"/>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(2)'!$C$9:$I$9</c:f>
              <c:numCache>
                <c:formatCode>General</c:formatCode>
                <c:ptCount val="7"/>
                <c:pt idx="0">
                  <c:v>80803</c:v>
                </c:pt>
                <c:pt idx="1">
                  <c:v>78281</c:v>
                </c:pt>
                <c:pt idx="2">
                  <c:v>81292</c:v>
                </c:pt>
                <c:pt idx="3">
                  <c:v>76018</c:v>
                </c:pt>
                <c:pt idx="4">
                  <c:v>75203</c:v>
                </c:pt>
                <c:pt idx="5">
                  <c:v>75720</c:v>
                </c:pt>
                <c:pt idx="6">
                  <c:v>72498</c:v>
                </c:pt>
              </c:numCache>
            </c:numRef>
          </c:yVal>
          <c:smooth val="1"/>
          <c:extLst>
            <c:ext xmlns:c16="http://schemas.microsoft.com/office/drawing/2014/chart" uri="{C3380CC4-5D6E-409C-BE32-E72D297353CC}">
              <c16:uniqueId val="{00000004-75D8-40BE-94D4-06E424D8B291}"/>
            </c:ext>
          </c:extLst>
        </c:ser>
        <c:ser>
          <c:idx val="1"/>
          <c:order val="5"/>
          <c:tx>
            <c:strRef>
              <c:f>'Feuil7 (2)'!$B$10</c:f>
              <c:strCache>
                <c:ptCount val="1"/>
                <c:pt idx="0">
                  <c:v>Agriculture (projections)</c:v>
                </c:pt>
              </c:strCache>
            </c:strRef>
          </c:tx>
          <c:spPr>
            <a:ln w="19050" cap="rnd">
              <a:solidFill>
                <a:schemeClr val="accent3"/>
              </a:solidFill>
              <a:prstDash val="sysDash"/>
              <a:round/>
            </a:ln>
            <a:effectLst/>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(2)'!$I$10:$N$10</c:f>
              <c:numCache>
                <c:formatCode>General</c:formatCode>
                <c:ptCount val="6"/>
                <c:pt idx="0">
                  <c:v>72498</c:v>
                </c:pt>
                <c:pt idx="1">
                  <c:v>73646</c:v>
                </c:pt>
                <c:pt idx="2">
                  <c:v>69007</c:v>
                </c:pt>
                <c:pt idx="3">
                  <c:v>65227</c:v>
                </c:pt>
                <c:pt idx="4">
                  <c:v>62117</c:v>
                </c:pt>
                <c:pt idx="5">
                  <c:v>47831</c:v>
                </c:pt>
              </c:numCache>
            </c:numRef>
          </c:yVal>
          <c:smooth val="1"/>
          <c:extLst>
            <c:ext xmlns:c16="http://schemas.microsoft.com/office/drawing/2014/chart" uri="{C3380CC4-5D6E-409C-BE32-E72D297353CC}">
              <c16:uniqueId val="{00000005-75D8-40BE-94D4-06E424D8B291}"/>
            </c:ext>
          </c:extLst>
        </c:ser>
        <c:ser>
          <c:idx val="24"/>
          <c:order val="6"/>
          <c:tx>
            <c:strRef>
              <c:f>'Feuil7 (2)'!$B$11</c:f>
              <c:strCache>
                <c:ptCount val="1"/>
                <c:pt idx="0">
                  <c:v>LULUCF </c:v>
                </c:pt>
              </c:strCache>
            </c:strRef>
          </c:tx>
          <c:spPr>
            <a:ln>
              <a:solidFill>
                <a:schemeClr val="accent4"/>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(2)'!$C$11:$I$11</c:f>
              <c:numCache>
                <c:formatCode>General</c:formatCode>
                <c:ptCount val="7"/>
                <c:pt idx="0">
                  <c:v>-23986</c:v>
                </c:pt>
                <c:pt idx="1">
                  <c:v>-24879</c:v>
                </c:pt>
                <c:pt idx="2">
                  <c:v>-19709</c:v>
                </c:pt>
                <c:pt idx="3">
                  <c:v>-47311</c:v>
                </c:pt>
                <c:pt idx="4">
                  <c:v>-38355</c:v>
                </c:pt>
                <c:pt idx="5">
                  <c:v>-34577</c:v>
                </c:pt>
                <c:pt idx="6">
                  <c:v>-12288</c:v>
                </c:pt>
              </c:numCache>
            </c:numRef>
          </c:yVal>
          <c:smooth val="1"/>
          <c:extLst>
            <c:ext xmlns:c16="http://schemas.microsoft.com/office/drawing/2014/chart" uri="{C3380CC4-5D6E-409C-BE32-E72D297353CC}">
              <c16:uniqueId val="{00000006-75D8-40BE-94D4-06E424D8B291}"/>
            </c:ext>
          </c:extLst>
        </c:ser>
        <c:ser>
          <c:idx val="2"/>
          <c:order val="7"/>
          <c:tx>
            <c:strRef>
              <c:f>'Feuil7 (2)'!$B$12</c:f>
              <c:strCache>
                <c:ptCount val="1"/>
                <c:pt idx="0">
                  <c:v>LULUCF (projections)</c:v>
                </c:pt>
              </c:strCache>
            </c:strRef>
          </c:tx>
          <c:spPr>
            <a:ln>
              <a:solidFill>
                <a:schemeClr val="accent4"/>
              </a:solidFill>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(2)'!$I$12:$N$12</c:f>
              <c:numCache>
                <c:formatCode>General</c:formatCode>
                <c:ptCount val="6"/>
                <c:pt idx="0">
                  <c:v>-12288</c:v>
                </c:pt>
                <c:pt idx="1">
                  <c:v>-38995</c:v>
                </c:pt>
                <c:pt idx="2">
                  <c:v>-37671</c:v>
                </c:pt>
                <c:pt idx="3">
                  <c:v>-40160</c:v>
                </c:pt>
                <c:pt idx="4">
                  <c:v>-45205</c:v>
                </c:pt>
                <c:pt idx="5">
                  <c:v>-67148</c:v>
                </c:pt>
              </c:numCache>
            </c:numRef>
          </c:yVal>
          <c:smooth val="1"/>
          <c:extLst>
            <c:ext xmlns:c16="http://schemas.microsoft.com/office/drawing/2014/chart" uri="{C3380CC4-5D6E-409C-BE32-E72D297353CC}">
              <c16:uniqueId val="{00000007-75D8-40BE-94D4-06E424D8B291}"/>
            </c:ext>
          </c:extLst>
        </c:ser>
        <c:ser>
          <c:idx val="3"/>
          <c:order val="8"/>
          <c:tx>
            <c:strRef>
              <c:f>'Feuil7 (2)'!$B$13</c:f>
              <c:strCache>
                <c:ptCount val="1"/>
                <c:pt idx="0">
                  <c:v>Waste </c:v>
                </c:pt>
              </c:strCache>
            </c:strRef>
          </c:tx>
          <c:spPr>
            <a:ln>
              <a:solidFill>
                <a:schemeClr val="accent6"/>
              </a:solidFill>
            </a:ln>
          </c:spPr>
          <c:marker>
            <c:symbol val="none"/>
          </c:marker>
          <c:xVal>
            <c:numRef>
              <c:f>'Feuil7 (2)'!$C$4:$I$4</c:f>
              <c:numCache>
                <c:formatCode>General</c:formatCode>
                <c:ptCount val="7"/>
                <c:pt idx="0">
                  <c:v>1990</c:v>
                </c:pt>
                <c:pt idx="1">
                  <c:v>1995</c:v>
                </c:pt>
                <c:pt idx="2">
                  <c:v>2000</c:v>
                </c:pt>
                <c:pt idx="3">
                  <c:v>2005</c:v>
                </c:pt>
                <c:pt idx="4">
                  <c:v>2010</c:v>
                </c:pt>
                <c:pt idx="5">
                  <c:v>2015</c:v>
                </c:pt>
                <c:pt idx="6">
                  <c:v>2019</c:v>
                </c:pt>
              </c:numCache>
            </c:numRef>
          </c:xVal>
          <c:yVal>
            <c:numRef>
              <c:f>'Feuil7 (2)'!$C$13:$I$13</c:f>
              <c:numCache>
                <c:formatCode>General</c:formatCode>
                <c:ptCount val="7"/>
                <c:pt idx="0">
                  <c:v>17283</c:v>
                </c:pt>
                <c:pt idx="1">
                  <c:v>20118</c:v>
                </c:pt>
                <c:pt idx="2">
                  <c:v>21056</c:v>
                </c:pt>
                <c:pt idx="3">
                  <c:v>21362</c:v>
                </c:pt>
                <c:pt idx="4">
                  <c:v>20756</c:v>
                </c:pt>
                <c:pt idx="5">
                  <c:v>17905</c:v>
                </c:pt>
                <c:pt idx="6">
                  <c:v>18165</c:v>
                </c:pt>
              </c:numCache>
            </c:numRef>
          </c:yVal>
          <c:smooth val="1"/>
          <c:extLst>
            <c:ext xmlns:c16="http://schemas.microsoft.com/office/drawing/2014/chart" uri="{C3380CC4-5D6E-409C-BE32-E72D297353CC}">
              <c16:uniqueId val="{00000008-75D8-40BE-94D4-06E424D8B291}"/>
            </c:ext>
          </c:extLst>
        </c:ser>
        <c:ser>
          <c:idx val="4"/>
          <c:order val="9"/>
          <c:tx>
            <c:strRef>
              <c:f>'Feuil7 (2)'!$B$14</c:f>
              <c:strCache>
                <c:ptCount val="1"/>
                <c:pt idx="0">
                  <c:v>Waste (projections)</c:v>
                </c:pt>
              </c:strCache>
            </c:strRef>
          </c:tx>
          <c:spPr>
            <a:ln>
              <a:prstDash val="sysDash"/>
            </a:ln>
          </c:spPr>
          <c:marker>
            <c:symbol val="none"/>
          </c:marker>
          <c:xVal>
            <c:numRef>
              <c:f>'Feuil7 (2)'!$I$4:$N$4</c:f>
              <c:numCache>
                <c:formatCode>General</c:formatCode>
                <c:ptCount val="6"/>
                <c:pt idx="0">
                  <c:v>2019</c:v>
                </c:pt>
                <c:pt idx="1">
                  <c:v>2020</c:v>
                </c:pt>
                <c:pt idx="2">
                  <c:v>2025</c:v>
                </c:pt>
                <c:pt idx="3">
                  <c:v>2030</c:v>
                </c:pt>
                <c:pt idx="4">
                  <c:v>2035</c:v>
                </c:pt>
                <c:pt idx="5">
                  <c:v>2050</c:v>
                </c:pt>
              </c:numCache>
            </c:numRef>
          </c:xVal>
          <c:yVal>
            <c:numRef>
              <c:f>'Feuil7 (2)'!$I$14:$N$14</c:f>
              <c:numCache>
                <c:formatCode>General</c:formatCode>
                <c:ptCount val="6"/>
                <c:pt idx="0">
                  <c:v>18165</c:v>
                </c:pt>
                <c:pt idx="1">
                  <c:v>14345</c:v>
                </c:pt>
                <c:pt idx="2">
                  <c:v>12325</c:v>
                </c:pt>
                <c:pt idx="3">
                  <c:v>10983</c:v>
                </c:pt>
                <c:pt idx="4">
                  <c:v>9786</c:v>
                </c:pt>
                <c:pt idx="5">
                  <c:v>6193</c:v>
                </c:pt>
              </c:numCache>
            </c:numRef>
          </c:yVal>
          <c:smooth val="1"/>
          <c:extLst>
            <c:ext xmlns:c16="http://schemas.microsoft.com/office/drawing/2014/chart" uri="{C3380CC4-5D6E-409C-BE32-E72D297353CC}">
              <c16:uniqueId val="{00000009-75D8-40BE-94D4-06E424D8B291}"/>
            </c:ext>
          </c:extLst>
        </c:ser>
        <c:dLbls>
          <c:showLegendKey val="0"/>
          <c:showVal val="0"/>
          <c:showCatName val="0"/>
          <c:showSerName val="0"/>
          <c:showPercent val="0"/>
          <c:showBubbleSize val="0"/>
        </c:dLbls>
        <c:axId val="1424416096"/>
        <c:axId val="1424419424"/>
      </c:scatterChart>
      <c:valAx>
        <c:axId val="1424416096"/>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9424"/>
        <c:crosses val="autoZero"/>
        <c:crossBetween val="midCat"/>
      </c:valAx>
      <c:valAx>
        <c:axId val="142441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sz="1000" b="0" i="0" u="none" strike="noStrike" baseline="0">
                    <a:effectLst/>
                  </a:rPr>
                  <a:t>ktCO</a:t>
                </a:r>
                <a:r>
                  <a:rPr lang="en-GB" sz="1000" b="0" i="0" u="none" strike="noStrike" baseline="-25000">
                    <a:effectLst/>
                  </a:rPr>
                  <a:t>2e</a:t>
                </a:r>
                <a:endParaRPr lang="fr-FR"/>
              </a:p>
            </c:rich>
          </c:tx>
          <c:overlay val="0"/>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4416096"/>
        <c:crosses val="autoZero"/>
        <c:crossBetween val="midCat"/>
      </c:val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ln>
      <a:noFill/>
    </a:ln>
  </c:spPr>
  <c:txPr>
    <a:bodyPr/>
    <a:lstStyle/>
    <a:p>
      <a:pPr>
        <a:defRPr/>
      </a:pPr>
      <a:endParaRPr lang="en-U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 2021 par secteurs de l'énergie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Feuil9!$C$5</c:f>
              <c:strCache>
                <c:ptCount val="1"/>
                <c:pt idx="0">
                  <c:v>Energy industry </c:v>
                </c:pt>
              </c:strCache>
            </c:strRef>
          </c:tx>
          <c:spPr>
            <a:ln w="19050" cap="rnd">
              <a:solidFill>
                <a:schemeClr val="accent1"/>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Feuil9!$D$5:$O$5</c:f>
              <c:numCache>
                <c:formatCode>General</c:formatCode>
                <c:ptCount val="12"/>
                <c:pt idx="0">
                  <c:v>66338</c:v>
                </c:pt>
                <c:pt idx="1">
                  <c:v>55802</c:v>
                </c:pt>
                <c:pt idx="2">
                  <c:v>62526</c:v>
                </c:pt>
                <c:pt idx="3">
                  <c:v>66972</c:v>
                </c:pt>
                <c:pt idx="4">
                  <c:v>60134</c:v>
                </c:pt>
                <c:pt idx="5">
                  <c:v>44988</c:v>
                </c:pt>
                <c:pt idx="6">
                  <c:v>41680</c:v>
                </c:pt>
                <c:pt idx="7">
                  <c:v>49721</c:v>
                </c:pt>
                <c:pt idx="8">
                  <c:v>49450</c:v>
                </c:pt>
                <c:pt idx="9">
                  <c:v>48836</c:v>
                </c:pt>
                <c:pt idx="10">
                  <c:v>48946</c:v>
                </c:pt>
                <c:pt idx="11">
                  <c:v>30247</c:v>
                </c:pt>
              </c:numCache>
            </c:numRef>
          </c:yVal>
          <c:smooth val="0"/>
          <c:extLst>
            <c:ext xmlns:c16="http://schemas.microsoft.com/office/drawing/2014/chart" uri="{C3380CC4-5D6E-409C-BE32-E72D297353CC}">
              <c16:uniqueId val="{00000000-B2F0-41E3-B80C-BB8AF0DE80B5}"/>
            </c:ext>
          </c:extLst>
        </c:ser>
        <c:ser>
          <c:idx val="1"/>
          <c:order val="1"/>
          <c:tx>
            <c:strRef>
              <c:f>Feuil9!$C$6</c:f>
              <c:strCache>
                <c:ptCount val="1"/>
                <c:pt idx="0">
                  <c:v>Manufacturing and construction </c:v>
                </c:pt>
              </c:strCache>
            </c:strRef>
          </c:tx>
          <c:spPr>
            <a:ln w="19050" cap="rnd">
              <a:solidFill>
                <a:schemeClr val="accent2"/>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Feuil9!$D$6:$O$6</c:f>
              <c:numCache>
                <c:formatCode>General</c:formatCode>
                <c:ptCount val="12"/>
                <c:pt idx="0">
                  <c:v>76164</c:v>
                </c:pt>
                <c:pt idx="1">
                  <c:v>80423</c:v>
                </c:pt>
                <c:pt idx="2">
                  <c:v>75532</c:v>
                </c:pt>
                <c:pt idx="3">
                  <c:v>71990</c:v>
                </c:pt>
                <c:pt idx="4">
                  <c:v>62105</c:v>
                </c:pt>
                <c:pt idx="5">
                  <c:v>51963</c:v>
                </c:pt>
                <c:pt idx="6">
                  <c:v>48031</c:v>
                </c:pt>
                <c:pt idx="7">
                  <c:v>47344</c:v>
                </c:pt>
                <c:pt idx="8">
                  <c:v>49895</c:v>
                </c:pt>
                <c:pt idx="9">
                  <c:v>48956</c:v>
                </c:pt>
                <c:pt idx="10">
                  <c:v>49242</c:v>
                </c:pt>
                <c:pt idx="11">
                  <c:v>50182</c:v>
                </c:pt>
              </c:numCache>
            </c:numRef>
          </c:yVal>
          <c:smooth val="0"/>
          <c:extLst>
            <c:ext xmlns:c16="http://schemas.microsoft.com/office/drawing/2014/chart" uri="{C3380CC4-5D6E-409C-BE32-E72D297353CC}">
              <c16:uniqueId val="{00000001-B2F0-41E3-B80C-BB8AF0DE80B5}"/>
            </c:ext>
          </c:extLst>
        </c:ser>
        <c:ser>
          <c:idx val="2"/>
          <c:order val="2"/>
          <c:tx>
            <c:strRef>
              <c:f>Feuil9!$C$7</c:f>
              <c:strCache>
                <c:ptCount val="1"/>
                <c:pt idx="0">
                  <c:v>Transport </c:v>
                </c:pt>
              </c:strCache>
            </c:strRef>
          </c:tx>
          <c:spPr>
            <a:ln w="19050" cap="rnd">
              <a:solidFill>
                <a:schemeClr val="accent3"/>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Feuil9!$D$7:$O$7</c:f>
              <c:numCache>
                <c:formatCode>General</c:formatCode>
                <c:ptCount val="12"/>
                <c:pt idx="0">
                  <c:v>122293</c:v>
                </c:pt>
                <c:pt idx="1">
                  <c:v>132329</c:v>
                </c:pt>
                <c:pt idx="2">
                  <c:v>141051</c:v>
                </c:pt>
                <c:pt idx="3">
                  <c:v>142041</c:v>
                </c:pt>
                <c:pt idx="4">
                  <c:v>133750</c:v>
                </c:pt>
                <c:pt idx="5">
                  <c:v>133744</c:v>
                </c:pt>
                <c:pt idx="6">
                  <c:v>131725</c:v>
                </c:pt>
                <c:pt idx="7">
                  <c:v>104084</c:v>
                </c:pt>
                <c:pt idx="8">
                  <c:v>114627</c:v>
                </c:pt>
                <c:pt idx="9">
                  <c:v>102181</c:v>
                </c:pt>
                <c:pt idx="10">
                  <c:v>96593</c:v>
                </c:pt>
                <c:pt idx="11">
                  <c:v>83729</c:v>
                </c:pt>
              </c:numCache>
            </c:numRef>
          </c:yVal>
          <c:smooth val="0"/>
          <c:extLst>
            <c:ext xmlns:c16="http://schemas.microsoft.com/office/drawing/2014/chart" uri="{C3380CC4-5D6E-409C-BE32-E72D297353CC}">
              <c16:uniqueId val="{00000002-B2F0-41E3-B80C-BB8AF0DE80B5}"/>
            </c:ext>
          </c:extLst>
        </c:ser>
        <c:ser>
          <c:idx val="3"/>
          <c:order val="3"/>
          <c:tx>
            <c:strRef>
              <c:f>Feuil9!$C$8</c:f>
              <c:strCache>
                <c:ptCount val="1"/>
                <c:pt idx="0">
                  <c:v>Other sectors </c:v>
                </c:pt>
              </c:strCache>
            </c:strRef>
          </c:tx>
          <c:spPr>
            <a:ln w="19050" cap="rnd">
              <a:solidFill>
                <a:schemeClr val="accent4"/>
              </a:solidFill>
              <a:round/>
            </a:ln>
            <a:effectLst/>
          </c:spPr>
          <c:marker>
            <c:symbol val="none"/>
          </c:marker>
          <c:xVal>
            <c:numRef>
              <c:f>Feuil9!$D$4:$O$4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Feuil9!$D$8:$O$8</c:f>
              <c:numCache>
                <c:formatCode>General</c:formatCode>
                <c:ptCount val="12"/>
                <c:pt idx="0">
                  <c:v>102477</c:v>
                </c:pt>
                <c:pt idx="1">
                  <c:v>97525</c:v>
                </c:pt>
                <c:pt idx="2">
                  <c:v>102881</c:v>
                </c:pt>
                <c:pt idx="3">
                  <c:v>109388</c:v>
                </c:pt>
                <c:pt idx="4">
                  <c:v>101722</c:v>
                </c:pt>
                <c:pt idx="5">
                  <c:v>82940</c:v>
                </c:pt>
                <c:pt idx="6">
                  <c:v>75877</c:v>
                </c:pt>
                <c:pt idx="7">
                  <c:v>73985</c:v>
                </c:pt>
                <c:pt idx="8">
                  <c:v>67291</c:v>
                </c:pt>
                <c:pt idx="9">
                  <c:v>60718</c:v>
                </c:pt>
                <c:pt idx="10">
                  <c:v>57402</c:v>
                </c:pt>
                <c:pt idx="11">
                  <c:v>47041</c:v>
                </c:pt>
              </c:numCache>
            </c:numRef>
          </c:yVal>
          <c:smooth val="0"/>
          <c:extLst>
            <c:ext xmlns:c16="http://schemas.microsoft.com/office/drawing/2014/chart" uri="{C3380CC4-5D6E-409C-BE32-E72D297353CC}">
              <c16:uniqueId val="{00000003-B2F0-41E3-B80C-BB8AF0DE80B5}"/>
            </c:ext>
          </c:extLst>
        </c:ser>
        <c:dLbls>
          <c:showLegendKey val="0"/>
          <c:showVal val="0"/>
          <c:showCatName val="0"/>
          <c:showSerName val="0"/>
          <c:showPercent val="0"/>
          <c:showBubbleSize val="0"/>
        </c:dLbls>
        <c:axId val="560246367"/>
        <c:axId val="560246783"/>
      </c:scatterChart>
      <c:valAx>
        <c:axId val="560246367"/>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783"/>
        <c:crosses val="autoZero"/>
        <c:crossBetween val="midCat"/>
      </c:valAx>
      <c:valAx>
        <c:axId val="560246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36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 2018 par secteurs de l'énergie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'Feuil9 (2)'!$C$5</c:f>
              <c:strCache>
                <c:ptCount val="1"/>
                <c:pt idx="0">
                  <c:v>Energy industry </c:v>
                </c:pt>
              </c:strCache>
            </c:strRef>
          </c:tx>
          <c:spPr>
            <a:ln w="19050" cap="rnd">
              <a:solidFill>
                <a:schemeClr val="accent1"/>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(2)'!$D$5:$O$5</c:f>
              <c:numCache>
                <c:formatCode>General</c:formatCode>
                <c:ptCount val="12"/>
                <c:pt idx="0" formatCode="_(* #,##0.00_);_(* \(#,##0.00\);_(* &quot;-&quot;??_);_(@_)">
                  <c:v>66338</c:v>
                </c:pt>
                <c:pt idx="1">
                  <c:v>55802</c:v>
                </c:pt>
                <c:pt idx="2">
                  <c:v>62526</c:v>
                </c:pt>
                <c:pt idx="3">
                  <c:v>66972</c:v>
                </c:pt>
                <c:pt idx="4">
                  <c:v>60134</c:v>
                </c:pt>
                <c:pt idx="5">
                  <c:v>44988</c:v>
                </c:pt>
                <c:pt idx="6">
                  <c:v>41680</c:v>
                </c:pt>
                <c:pt idx="7">
                  <c:v>51390</c:v>
                </c:pt>
                <c:pt idx="8">
                  <c:v>35549</c:v>
                </c:pt>
                <c:pt idx="9">
                  <c:v>30007</c:v>
                </c:pt>
                <c:pt idx="10">
                  <c:v>19242</c:v>
                </c:pt>
                <c:pt idx="11">
                  <c:v>-13050</c:v>
                </c:pt>
              </c:numCache>
            </c:numRef>
          </c:yVal>
          <c:smooth val="0"/>
          <c:extLst>
            <c:ext xmlns:c16="http://schemas.microsoft.com/office/drawing/2014/chart" uri="{C3380CC4-5D6E-409C-BE32-E72D297353CC}">
              <c16:uniqueId val="{00000000-30C4-4DA4-BCD3-D887A337851E}"/>
            </c:ext>
          </c:extLst>
        </c:ser>
        <c:ser>
          <c:idx val="1"/>
          <c:order val="1"/>
          <c:tx>
            <c:strRef>
              <c:f>'Feuil9 (2)'!$C$6</c:f>
              <c:strCache>
                <c:ptCount val="1"/>
                <c:pt idx="0">
                  <c:v>Manufacturing and construction </c:v>
                </c:pt>
              </c:strCache>
            </c:strRef>
          </c:tx>
          <c:spPr>
            <a:ln w="19050" cap="rnd">
              <a:solidFill>
                <a:schemeClr val="accent2"/>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(2)'!$D$6:$O$6</c:f>
              <c:numCache>
                <c:formatCode>General</c:formatCode>
                <c:ptCount val="12"/>
                <c:pt idx="0">
                  <c:v>76164</c:v>
                </c:pt>
                <c:pt idx="1">
                  <c:v>80423</c:v>
                </c:pt>
                <c:pt idx="2">
                  <c:v>75532</c:v>
                </c:pt>
                <c:pt idx="3">
                  <c:v>71990</c:v>
                </c:pt>
                <c:pt idx="4">
                  <c:v>62105</c:v>
                </c:pt>
                <c:pt idx="5">
                  <c:v>51963</c:v>
                </c:pt>
                <c:pt idx="6">
                  <c:v>48031</c:v>
                </c:pt>
                <c:pt idx="7">
                  <c:v>43570</c:v>
                </c:pt>
                <c:pt idx="8">
                  <c:v>38146</c:v>
                </c:pt>
                <c:pt idx="9">
                  <c:v>30122</c:v>
                </c:pt>
                <c:pt idx="10">
                  <c:v>23105</c:v>
                </c:pt>
                <c:pt idx="11">
                  <c:v>2056</c:v>
                </c:pt>
              </c:numCache>
            </c:numRef>
          </c:yVal>
          <c:smooth val="0"/>
          <c:extLst>
            <c:ext xmlns:c16="http://schemas.microsoft.com/office/drawing/2014/chart" uri="{C3380CC4-5D6E-409C-BE32-E72D297353CC}">
              <c16:uniqueId val="{00000001-30C4-4DA4-BCD3-D887A337851E}"/>
            </c:ext>
          </c:extLst>
        </c:ser>
        <c:ser>
          <c:idx val="2"/>
          <c:order val="2"/>
          <c:tx>
            <c:strRef>
              <c:f>'Feuil9 (2)'!$C$7</c:f>
              <c:strCache>
                <c:ptCount val="1"/>
                <c:pt idx="0">
                  <c:v>Transport </c:v>
                </c:pt>
              </c:strCache>
            </c:strRef>
          </c:tx>
          <c:spPr>
            <a:ln w="19050" cap="rnd">
              <a:solidFill>
                <a:schemeClr val="accent3"/>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(2)'!$D$7:$O$7</c:f>
              <c:numCache>
                <c:formatCode>General</c:formatCode>
                <c:ptCount val="12"/>
                <c:pt idx="0">
                  <c:v>122293</c:v>
                </c:pt>
                <c:pt idx="1">
                  <c:v>132329</c:v>
                </c:pt>
                <c:pt idx="2">
                  <c:v>141051</c:v>
                </c:pt>
                <c:pt idx="3">
                  <c:v>142041</c:v>
                </c:pt>
                <c:pt idx="4">
                  <c:v>133750</c:v>
                </c:pt>
                <c:pt idx="5">
                  <c:v>133744</c:v>
                </c:pt>
                <c:pt idx="6">
                  <c:v>131725</c:v>
                </c:pt>
                <c:pt idx="7">
                  <c:v>126491</c:v>
                </c:pt>
                <c:pt idx="8">
                  <c:v>110958</c:v>
                </c:pt>
                <c:pt idx="9">
                  <c:v>94288</c:v>
                </c:pt>
                <c:pt idx="10">
                  <c:v>71522</c:v>
                </c:pt>
                <c:pt idx="11">
                  <c:v>3221</c:v>
                </c:pt>
              </c:numCache>
            </c:numRef>
          </c:yVal>
          <c:smooth val="0"/>
          <c:extLst>
            <c:ext xmlns:c16="http://schemas.microsoft.com/office/drawing/2014/chart" uri="{C3380CC4-5D6E-409C-BE32-E72D297353CC}">
              <c16:uniqueId val="{00000002-30C4-4DA4-BCD3-D887A337851E}"/>
            </c:ext>
          </c:extLst>
        </c:ser>
        <c:ser>
          <c:idx val="3"/>
          <c:order val="3"/>
          <c:tx>
            <c:strRef>
              <c:f>'Feuil9 (2)'!$C$8</c:f>
              <c:strCache>
                <c:ptCount val="1"/>
                <c:pt idx="0">
                  <c:v>Other sectors </c:v>
                </c:pt>
              </c:strCache>
            </c:strRef>
          </c:tx>
          <c:spPr>
            <a:ln w="19050" cap="rnd">
              <a:solidFill>
                <a:schemeClr val="accent4"/>
              </a:solidFill>
              <a:round/>
            </a:ln>
            <a:effectLst/>
          </c:spPr>
          <c:marker>
            <c:symbol val="none"/>
          </c:marker>
          <c:xVal>
            <c:numRef>
              <c:f>'Feuil9 (2)'!$D$4:$O$4</c:f>
              <c:numCache>
                <c:formatCode>General</c:formatCode>
                <c:ptCount val="12"/>
                <c:pt idx="0">
                  <c:v>1990</c:v>
                </c:pt>
                <c:pt idx="1">
                  <c:v>1995</c:v>
                </c:pt>
                <c:pt idx="2">
                  <c:v>2000</c:v>
                </c:pt>
                <c:pt idx="3">
                  <c:v>2005</c:v>
                </c:pt>
                <c:pt idx="4">
                  <c:v>2010</c:v>
                </c:pt>
                <c:pt idx="5">
                  <c:v>2015</c:v>
                </c:pt>
                <c:pt idx="6">
                  <c:v>2019</c:v>
                </c:pt>
                <c:pt idx="7">
                  <c:v>2020</c:v>
                </c:pt>
                <c:pt idx="8">
                  <c:v>2025</c:v>
                </c:pt>
                <c:pt idx="9">
                  <c:v>2030</c:v>
                </c:pt>
                <c:pt idx="10">
                  <c:v>2035</c:v>
                </c:pt>
                <c:pt idx="11">
                  <c:v>2050</c:v>
                </c:pt>
              </c:numCache>
            </c:numRef>
          </c:xVal>
          <c:yVal>
            <c:numRef>
              <c:f>'Feuil9 (2)'!$D$8:$O$8</c:f>
              <c:numCache>
                <c:formatCode>General</c:formatCode>
                <c:ptCount val="12"/>
                <c:pt idx="0">
                  <c:v>102477</c:v>
                </c:pt>
                <c:pt idx="1">
                  <c:v>97525</c:v>
                </c:pt>
                <c:pt idx="2">
                  <c:v>102881</c:v>
                </c:pt>
                <c:pt idx="3">
                  <c:v>109388</c:v>
                </c:pt>
                <c:pt idx="4">
                  <c:v>101722</c:v>
                </c:pt>
                <c:pt idx="5">
                  <c:v>82940</c:v>
                </c:pt>
                <c:pt idx="6">
                  <c:v>75877</c:v>
                </c:pt>
                <c:pt idx="7">
                  <c:v>83566</c:v>
                </c:pt>
                <c:pt idx="8">
                  <c:v>68697</c:v>
                </c:pt>
                <c:pt idx="9">
                  <c:v>49099</c:v>
                </c:pt>
                <c:pt idx="10">
                  <c:v>37516</c:v>
                </c:pt>
                <c:pt idx="11">
                  <c:v>2766</c:v>
                </c:pt>
              </c:numCache>
            </c:numRef>
          </c:yVal>
          <c:smooth val="0"/>
          <c:extLst>
            <c:ext xmlns:c16="http://schemas.microsoft.com/office/drawing/2014/chart" uri="{C3380CC4-5D6E-409C-BE32-E72D297353CC}">
              <c16:uniqueId val="{00000003-30C4-4DA4-BCD3-D887A337851E}"/>
            </c:ext>
          </c:extLst>
        </c:ser>
        <c:dLbls>
          <c:showLegendKey val="0"/>
          <c:showVal val="0"/>
          <c:showCatName val="0"/>
          <c:showSerName val="0"/>
          <c:showPercent val="0"/>
          <c:showBubbleSize val="0"/>
        </c:dLbls>
        <c:axId val="560246367"/>
        <c:axId val="560246783"/>
      </c:scatterChart>
      <c:valAx>
        <c:axId val="560246367"/>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783"/>
        <c:crosses val="autoZero"/>
        <c:crossBetween val="midCat"/>
      </c:valAx>
      <c:valAx>
        <c:axId val="5602467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24636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hors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131950802661295"/>
          <c:y val="0.17155110819480898"/>
          <c:w val="0.86383553073307695"/>
          <c:h val="0.50301326917468647"/>
        </c:manualLayout>
      </c:layout>
      <c:scatterChart>
        <c:scatterStyle val="lineMarker"/>
        <c:varyColors val="0"/>
        <c:ser>
          <c:idx val="0"/>
          <c:order val="0"/>
          <c:tx>
            <c:strRef>
              <c:f>Feuil11!$B$5</c:f>
              <c:strCache>
                <c:ptCount val="1"/>
                <c:pt idx="0">
                  <c:v>CO2 excluding LULUCF </c:v>
                </c:pt>
              </c:strCache>
            </c:strRef>
          </c:tx>
          <c:spPr>
            <a:ln w="19050" cap="rnd">
              <a:solidFill>
                <a:schemeClr val="accent1"/>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F74D-4FF5-8732-6CA391ADDC89}"/>
            </c:ext>
          </c:extLst>
        </c:ser>
        <c:ser>
          <c:idx val="1"/>
          <c:order val="1"/>
          <c:tx>
            <c:strRef>
              <c:f>Feuil11!$B$7</c:f>
              <c:strCache>
                <c:ptCount val="1"/>
                <c:pt idx="0">
                  <c:v>CH4 excluding LULUCF </c:v>
                </c:pt>
              </c:strCache>
            </c:strRef>
          </c:tx>
          <c:spPr>
            <a:ln w="19050" cap="rnd">
              <a:solidFill>
                <a:schemeClr val="accent2"/>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F74D-4FF5-8732-6CA391ADDC89}"/>
            </c:ext>
          </c:extLst>
        </c:ser>
        <c:ser>
          <c:idx val="2"/>
          <c:order val="2"/>
          <c:tx>
            <c:strRef>
              <c:f>Feuil11!$B$9</c:f>
              <c:strCache>
                <c:ptCount val="1"/>
                <c:pt idx="0">
                  <c:v>N2O excluding LULUCF </c:v>
                </c:pt>
              </c:strCache>
            </c:strRef>
          </c:tx>
          <c:spPr>
            <a:ln w="19050" cap="rnd">
              <a:solidFill>
                <a:schemeClr val="accent3"/>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F74D-4FF5-8732-6CA391ADDC89}"/>
            </c:ext>
          </c:extLst>
        </c:ser>
        <c:ser>
          <c:idx val="3"/>
          <c:order val="3"/>
          <c:tx>
            <c:strRef>
              <c:f>Feuil11!$B$11</c:f>
              <c:strCache>
                <c:ptCount val="1"/>
                <c:pt idx="0">
                  <c:v>HFCs </c:v>
                </c:pt>
              </c:strCache>
            </c:strRef>
          </c:tx>
          <c:spPr>
            <a:ln w="19050" cap="rnd">
              <a:solidFill>
                <a:schemeClr val="accent4"/>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F74D-4FF5-8732-6CA391ADDC89}"/>
            </c:ext>
          </c:extLst>
        </c:ser>
        <c:ser>
          <c:idx val="4"/>
          <c:order val="4"/>
          <c:tx>
            <c:strRef>
              <c:f>Feuil11!$B$13</c:f>
              <c:strCache>
                <c:ptCount val="1"/>
                <c:pt idx="0">
                  <c:v>PFCs </c:v>
                </c:pt>
              </c:strCache>
            </c:strRef>
          </c:tx>
          <c:spPr>
            <a:ln w="19050" cap="rnd">
              <a:solidFill>
                <a:schemeClr val="accent5"/>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F74D-4FF5-8732-6CA391ADDC89}"/>
            </c:ext>
          </c:extLst>
        </c:ser>
        <c:ser>
          <c:idx val="5"/>
          <c:order val="5"/>
          <c:tx>
            <c:strRef>
              <c:f>Feuil11!$B$15</c:f>
              <c:strCache>
                <c:ptCount val="1"/>
                <c:pt idx="0">
                  <c:v>SF6 </c:v>
                </c:pt>
              </c:strCache>
            </c:strRef>
          </c:tx>
          <c:spPr>
            <a:ln w="19050" cap="rnd">
              <a:solidFill>
                <a:schemeClr val="accent6"/>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F74D-4FF5-8732-6CA391ADDC89}"/>
            </c:ext>
          </c:extLst>
        </c:ser>
        <c:ser>
          <c:idx val="6"/>
          <c:order val="6"/>
          <c:tx>
            <c:strRef>
              <c:f>Feuil11!$B$17</c:f>
              <c:strCache>
                <c:ptCount val="1"/>
                <c:pt idx="0">
                  <c:v>NF3 </c:v>
                </c:pt>
              </c:strCache>
            </c:strRef>
          </c:tx>
          <c:spPr>
            <a:ln w="19050" cap="rnd">
              <a:solidFill>
                <a:schemeClr val="accent1">
                  <a:lumMod val="60000"/>
                </a:schemeClr>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F74D-4FF5-8732-6CA391ADDC89}"/>
            </c:ext>
          </c:extLst>
        </c:ser>
        <c:ser>
          <c:idx val="7"/>
          <c:order val="7"/>
          <c:tx>
            <c:strRef>
              <c:f>Feuil11!$B$6</c:f>
              <c:strCache>
                <c:ptCount val="1"/>
                <c:pt idx="0">
                  <c:v>CO2 excluding LULUCF (projections)</c:v>
                </c:pt>
              </c:strCache>
            </c:strRef>
          </c:tx>
          <c:spPr>
            <a:ln w="19050" cap="rnd">
              <a:solidFill>
                <a:schemeClr val="accent1"/>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Feuil11!$I$6:$N$6</c:f>
              <c:numCache>
                <c:formatCode>General</c:formatCode>
                <c:ptCount val="6"/>
                <c:pt idx="0">
                  <c:v>326725</c:v>
                </c:pt>
                <c:pt idx="1">
                  <c:v>291487</c:v>
                </c:pt>
                <c:pt idx="2">
                  <c:v>292205</c:v>
                </c:pt>
                <c:pt idx="3">
                  <c:v>272039</c:v>
                </c:pt>
                <c:pt idx="4">
                  <c:v>262355</c:v>
                </c:pt>
                <c:pt idx="5">
                  <c:v>241265</c:v>
                </c:pt>
              </c:numCache>
            </c:numRef>
          </c:yVal>
          <c:smooth val="0"/>
          <c:extLst>
            <c:ext xmlns:c16="http://schemas.microsoft.com/office/drawing/2014/chart" uri="{C3380CC4-5D6E-409C-BE32-E72D297353CC}">
              <c16:uniqueId val="{00000007-F74D-4FF5-8732-6CA391ADDC89}"/>
            </c:ext>
          </c:extLst>
        </c:ser>
        <c:ser>
          <c:idx val="8"/>
          <c:order val="8"/>
          <c:tx>
            <c:strRef>
              <c:f>Feuil11!$B$8</c:f>
              <c:strCache>
                <c:ptCount val="1"/>
                <c:pt idx="0">
                  <c:v>CH4 excluding LULUCF (projections)</c:v>
                </c:pt>
              </c:strCache>
            </c:strRef>
          </c:tx>
          <c:spPr>
            <a:ln w="19050" cap="rnd">
              <a:solidFill>
                <a:schemeClr val="accent2"/>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Feuil11!$I$8:$N$8</c:f>
              <c:numCache>
                <c:formatCode>General</c:formatCode>
                <c:ptCount val="6"/>
                <c:pt idx="0">
                  <c:v>55740</c:v>
                </c:pt>
                <c:pt idx="1">
                  <c:v>55161</c:v>
                </c:pt>
                <c:pt idx="2">
                  <c:v>53575</c:v>
                </c:pt>
                <c:pt idx="3">
                  <c:v>52448</c:v>
                </c:pt>
                <c:pt idx="4">
                  <c:v>51718</c:v>
                </c:pt>
                <c:pt idx="5">
                  <c:v>51049</c:v>
                </c:pt>
              </c:numCache>
            </c:numRef>
          </c:yVal>
          <c:smooth val="0"/>
          <c:extLst>
            <c:ext xmlns:c16="http://schemas.microsoft.com/office/drawing/2014/chart" uri="{C3380CC4-5D6E-409C-BE32-E72D297353CC}">
              <c16:uniqueId val="{00000008-F74D-4FF5-8732-6CA391ADDC89}"/>
            </c:ext>
          </c:extLst>
        </c:ser>
        <c:ser>
          <c:idx val="9"/>
          <c:order val="9"/>
          <c:tx>
            <c:strRef>
              <c:f>Feuil11!$B$10</c:f>
              <c:strCache>
                <c:ptCount val="1"/>
                <c:pt idx="0">
                  <c:v>N2O excluding LULUCF (projections)</c:v>
                </c:pt>
              </c:strCache>
            </c:strRef>
          </c:tx>
          <c:spPr>
            <a:ln w="19050" cap="rnd">
              <a:solidFill>
                <a:schemeClr val="accent3"/>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Feuil11!$I$10:$N$10</c:f>
              <c:numCache>
                <c:formatCode>General</c:formatCode>
                <c:ptCount val="6"/>
                <c:pt idx="0">
                  <c:v>38071</c:v>
                </c:pt>
                <c:pt idx="1">
                  <c:v>38446</c:v>
                </c:pt>
                <c:pt idx="2">
                  <c:v>37839</c:v>
                </c:pt>
                <c:pt idx="3">
                  <c:v>36921</c:v>
                </c:pt>
                <c:pt idx="4">
                  <c:v>36417</c:v>
                </c:pt>
                <c:pt idx="5">
                  <c:v>35003</c:v>
                </c:pt>
              </c:numCache>
            </c:numRef>
          </c:yVal>
          <c:smooth val="0"/>
          <c:extLst>
            <c:ext xmlns:c16="http://schemas.microsoft.com/office/drawing/2014/chart" uri="{C3380CC4-5D6E-409C-BE32-E72D297353CC}">
              <c16:uniqueId val="{00000009-F74D-4FF5-8732-6CA391ADDC89}"/>
            </c:ext>
          </c:extLst>
        </c:ser>
        <c:ser>
          <c:idx val="10"/>
          <c:order val="10"/>
          <c:tx>
            <c:strRef>
              <c:f>Feuil11!$B$12</c:f>
              <c:strCache>
                <c:ptCount val="1"/>
                <c:pt idx="0">
                  <c:v>HFCs (projections)</c:v>
                </c:pt>
              </c:strCache>
            </c:strRef>
          </c:tx>
          <c:spPr>
            <a:ln w="19050" cap="rnd">
              <a:solidFill>
                <a:schemeClr val="accent4"/>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F74D-4FF5-8732-6CA391ADDC89}"/>
            </c:ext>
          </c:extLst>
        </c:ser>
        <c:ser>
          <c:idx val="11"/>
          <c:order val="11"/>
          <c:tx>
            <c:strRef>
              <c:f>Feuil11!$B$14</c:f>
              <c:strCache>
                <c:ptCount val="1"/>
                <c:pt idx="0">
                  <c:v>PFCs (projections)</c:v>
                </c:pt>
              </c:strCache>
            </c:strRef>
          </c:tx>
          <c:spPr>
            <a:ln w="19050" cap="rnd">
              <a:solidFill>
                <a:schemeClr val="accent6">
                  <a:lumMod val="6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F74D-4FF5-8732-6CA391ADDC89}"/>
            </c:ext>
          </c:extLst>
        </c:ser>
        <c:ser>
          <c:idx val="12"/>
          <c:order val="12"/>
          <c:tx>
            <c:strRef>
              <c:f>Feuil11!$B$16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F74D-4FF5-8732-6CA391ADDC89}"/>
            </c:ext>
          </c:extLst>
        </c:ser>
        <c:ser>
          <c:idx val="13"/>
          <c:order val="13"/>
          <c:tx>
            <c:strRef>
              <c:f>Feuil11!$B$18</c:f>
              <c:strCache>
                <c:ptCount val="1"/>
                <c:pt idx="0">
                  <c:v>NF3 (projections)</c:v>
                </c:pt>
              </c:strCache>
            </c:strRef>
          </c:tx>
          <c:spPr>
            <a:ln w="19050" cap="rnd">
              <a:solidFill>
                <a:schemeClr val="accent2">
                  <a:lumMod val="80000"/>
                  <a:lumOff val="20000"/>
                </a:schemeClr>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F74D-4FF5-8732-6CA391ADDC89}"/>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6626166520851557"/>
          <c:w val="1"/>
          <c:h val="0.2059605570137065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avec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80259398018796"/>
          <c:y val="0.17155110819480898"/>
          <c:w val="0.81802244729489459"/>
          <c:h val="0.51227252843394577"/>
        </c:manualLayout>
      </c:layout>
      <c:scatterChart>
        <c:scatterStyle val="lineMarker"/>
        <c:varyColors val="0"/>
        <c:ser>
          <c:idx val="0"/>
          <c:order val="0"/>
          <c:tx>
            <c:strRef>
              <c:f>'Feuil11 (2)'!$B$5</c:f>
              <c:strCache>
                <c:ptCount val="1"/>
                <c:pt idx="0">
                  <c:v>CO2 including LULUCF </c:v>
                </c:pt>
              </c:strCache>
            </c:strRef>
          </c:tx>
          <c:spPr>
            <a:ln w="19050" cap="rnd">
              <a:solidFill>
                <a:schemeClr val="accent1"/>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(2)'!$C$5:$I$5</c:f>
              <c:numCache>
                <c:formatCode>General</c:formatCode>
                <c:ptCount val="7"/>
                <c:pt idx="0">
                  <c:v>370280</c:v>
                </c:pt>
                <c:pt idx="1">
                  <c:v>361121</c:v>
                </c:pt>
                <c:pt idx="2">
                  <c:v>390194</c:v>
                </c:pt>
                <c:pt idx="3">
                  <c:v>373972</c:v>
                </c:pt>
                <c:pt idx="4">
                  <c:v>344171</c:v>
                </c:pt>
                <c:pt idx="5">
                  <c:v>303032</c:v>
                </c:pt>
                <c:pt idx="6">
                  <c:v>310432</c:v>
                </c:pt>
              </c:numCache>
            </c:numRef>
          </c:yVal>
          <c:smooth val="0"/>
          <c:extLst>
            <c:ext xmlns:c16="http://schemas.microsoft.com/office/drawing/2014/chart" uri="{C3380CC4-5D6E-409C-BE32-E72D297353CC}">
              <c16:uniqueId val="{00000000-DFF9-4DFD-AD4C-50DD8BD5A1CE}"/>
            </c:ext>
          </c:extLst>
        </c:ser>
        <c:ser>
          <c:idx val="1"/>
          <c:order val="1"/>
          <c:tx>
            <c:strRef>
              <c:f>'Feuil11 (2)'!$B$7</c:f>
              <c:strCache>
                <c:ptCount val="1"/>
                <c:pt idx="0">
                  <c:v>CH4 including LULUCF </c:v>
                </c:pt>
              </c:strCache>
            </c:strRef>
          </c:tx>
          <c:spPr>
            <a:ln w="19050" cap="rnd">
              <a:solidFill>
                <a:schemeClr val="accent2"/>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(2)'!$C$7:$I$7</c:f>
              <c:numCache>
                <c:formatCode>General</c:formatCode>
                <c:ptCount val="7"/>
                <c:pt idx="0">
                  <c:v>70094</c:v>
                </c:pt>
                <c:pt idx="1">
                  <c:v>74053</c:v>
                </c:pt>
                <c:pt idx="2">
                  <c:v>70296</c:v>
                </c:pt>
                <c:pt idx="3">
                  <c:v>64820</c:v>
                </c:pt>
                <c:pt idx="4">
                  <c:v>62793</c:v>
                </c:pt>
                <c:pt idx="5">
                  <c:v>58940</c:v>
                </c:pt>
                <c:pt idx="6">
                  <c:v>56877</c:v>
                </c:pt>
              </c:numCache>
            </c:numRef>
          </c:yVal>
          <c:smooth val="0"/>
          <c:extLst>
            <c:ext xmlns:c16="http://schemas.microsoft.com/office/drawing/2014/chart" uri="{C3380CC4-5D6E-409C-BE32-E72D297353CC}">
              <c16:uniqueId val="{00000001-DFF9-4DFD-AD4C-50DD8BD5A1CE}"/>
            </c:ext>
          </c:extLst>
        </c:ser>
        <c:ser>
          <c:idx val="2"/>
          <c:order val="2"/>
          <c:tx>
            <c:strRef>
              <c:f>'Feuil11 (2)'!$B$9</c:f>
              <c:strCache>
                <c:ptCount val="1"/>
                <c:pt idx="0">
                  <c:v>N2O including LULUCF </c:v>
                </c:pt>
              </c:strCache>
            </c:strRef>
          </c:tx>
          <c:spPr>
            <a:ln w="19050" cap="rnd">
              <a:solidFill>
                <a:schemeClr val="accent3"/>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(2)'!$C$9:$I$9</c:f>
              <c:numCache>
                <c:formatCode>General</c:formatCode>
                <c:ptCount val="7"/>
                <c:pt idx="0">
                  <c:v>67951</c:v>
                </c:pt>
                <c:pt idx="1">
                  <c:v>69183</c:v>
                </c:pt>
                <c:pt idx="2">
                  <c:v>56873</c:v>
                </c:pt>
                <c:pt idx="3">
                  <c:v>49279</c:v>
                </c:pt>
                <c:pt idx="4">
                  <c:v>43694</c:v>
                </c:pt>
                <c:pt idx="5">
                  <c:v>42840</c:v>
                </c:pt>
                <c:pt idx="6">
                  <c:v>40939</c:v>
                </c:pt>
              </c:numCache>
            </c:numRef>
          </c:yVal>
          <c:smooth val="0"/>
          <c:extLst>
            <c:ext xmlns:c16="http://schemas.microsoft.com/office/drawing/2014/chart" uri="{C3380CC4-5D6E-409C-BE32-E72D297353CC}">
              <c16:uniqueId val="{00000002-DFF9-4DFD-AD4C-50DD8BD5A1CE}"/>
            </c:ext>
          </c:extLst>
        </c:ser>
        <c:ser>
          <c:idx val="3"/>
          <c:order val="3"/>
          <c:tx>
            <c:strRef>
              <c:f>'Feuil11 (2)'!$B$11</c:f>
              <c:strCache>
                <c:ptCount val="1"/>
                <c:pt idx="0">
                  <c:v>HFCs </c:v>
                </c:pt>
              </c:strCache>
            </c:strRef>
          </c:tx>
          <c:spPr>
            <a:ln w="19050" cap="rnd">
              <a:solidFill>
                <a:schemeClr val="accent4"/>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DFF9-4DFD-AD4C-50DD8BD5A1CE}"/>
            </c:ext>
          </c:extLst>
        </c:ser>
        <c:ser>
          <c:idx val="4"/>
          <c:order val="4"/>
          <c:tx>
            <c:strRef>
              <c:f>'Feuil11 (2)'!$B$13</c:f>
              <c:strCache>
                <c:ptCount val="1"/>
                <c:pt idx="0">
                  <c:v>PFCs </c:v>
                </c:pt>
              </c:strCache>
            </c:strRef>
          </c:tx>
          <c:spPr>
            <a:ln w="19050" cap="rnd">
              <a:solidFill>
                <a:schemeClr val="accent5"/>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DFF9-4DFD-AD4C-50DD8BD5A1CE}"/>
            </c:ext>
          </c:extLst>
        </c:ser>
        <c:ser>
          <c:idx val="5"/>
          <c:order val="5"/>
          <c:tx>
            <c:strRef>
              <c:f>'Feuil11 (2)'!$B$15</c:f>
              <c:strCache>
                <c:ptCount val="1"/>
                <c:pt idx="0">
                  <c:v>SF6 </c:v>
                </c:pt>
              </c:strCache>
            </c:strRef>
          </c:tx>
          <c:spPr>
            <a:ln w="19050" cap="rnd">
              <a:solidFill>
                <a:schemeClr val="accent6"/>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DFF9-4DFD-AD4C-50DD8BD5A1CE}"/>
            </c:ext>
          </c:extLst>
        </c:ser>
        <c:ser>
          <c:idx val="6"/>
          <c:order val="6"/>
          <c:tx>
            <c:strRef>
              <c:f>'Feuil11 (2)'!$B$17</c:f>
              <c:strCache>
                <c:ptCount val="1"/>
                <c:pt idx="0">
                  <c:v>NF3 </c:v>
                </c:pt>
              </c:strCache>
            </c:strRef>
          </c:tx>
          <c:spPr>
            <a:ln w="19050" cap="rnd">
              <a:solidFill>
                <a:schemeClr val="accent1">
                  <a:lumMod val="60000"/>
                </a:schemeClr>
              </a:solidFill>
              <a:round/>
            </a:ln>
            <a:effectLst/>
          </c:spPr>
          <c:marker>
            <c:symbol val="none"/>
          </c:marker>
          <c:xVal>
            <c:numRef>
              <c:f>'Feuil11 (2)'!$C$4:$I$4</c:f>
              <c:numCache>
                <c:formatCode>General</c:formatCode>
                <c:ptCount val="7"/>
                <c:pt idx="0">
                  <c:v>1990</c:v>
                </c:pt>
                <c:pt idx="1">
                  <c:v>1995</c:v>
                </c:pt>
                <c:pt idx="2">
                  <c:v>2000</c:v>
                </c:pt>
                <c:pt idx="3">
                  <c:v>2005</c:v>
                </c:pt>
                <c:pt idx="4">
                  <c:v>2010</c:v>
                </c:pt>
                <c:pt idx="5">
                  <c:v>2015</c:v>
                </c:pt>
                <c:pt idx="6">
                  <c:v>2019</c:v>
                </c:pt>
              </c:numCache>
            </c:numRef>
          </c:xVal>
          <c:yVal>
            <c:numRef>
              <c:f>'Feuil11 (2)'!$C$17:$I$17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DFF9-4DFD-AD4C-50DD8BD5A1CE}"/>
            </c:ext>
          </c:extLst>
        </c:ser>
        <c:ser>
          <c:idx val="7"/>
          <c:order val="7"/>
          <c:tx>
            <c:strRef>
              <c:f>'Feuil11 (2)'!$B$6</c:f>
              <c:strCache>
                <c:ptCount val="1"/>
                <c:pt idx="0">
                  <c:v>CO2 including LULUCF (projections)</c:v>
                </c:pt>
              </c:strCache>
            </c:strRef>
          </c:tx>
          <c:spPr>
            <a:ln w="19050" cap="rnd">
              <a:solidFill>
                <a:schemeClr val="accent1"/>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(2)'!$I$6:$N$6</c:f>
              <c:numCache>
                <c:formatCode>General</c:formatCode>
                <c:ptCount val="6"/>
                <c:pt idx="0">
                  <c:v>310432</c:v>
                </c:pt>
                <c:pt idx="1">
                  <c:v>254402</c:v>
                </c:pt>
                <c:pt idx="2">
                  <c:v>259213</c:v>
                </c:pt>
                <c:pt idx="3">
                  <c:v>241362</c:v>
                </c:pt>
                <c:pt idx="4">
                  <c:v>236549</c:v>
                </c:pt>
                <c:pt idx="5">
                  <c:v>224391</c:v>
                </c:pt>
              </c:numCache>
            </c:numRef>
          </c:yVal>
          <c:smooth val="0"/>
          <c:extLst>
            <c:ext xmlns:c16="http://schemas.microsoft.com/office/drawing/2014/chart" uri="{C3380CC4-5D6E-409C-BE32-E72D297353CC}">
              <c16:uniqueId val="{00000007-DFF9-4DFD-AD4C-50DD8BD5A1CE}"/>
            </c:ext>
          </c:extLst>
        </c:ser>
        <c:ser>
          <c:idx val="8"/>
          <c:order val="8"/>
          <c:tx>
            <c:strRef>
              <c:f>'Feuil11 (2)'!$B$8</c:f>
              <c:strCache>
                <c:ptCount val="1"/>
                <c:pt idx="0">
                  <c:v>CH4 including LULUCF (projections)</c:v>
                </c:pt>
              </c:strCache>
            </c:strRef>
          </c:tx>
          <c:spPr>
            <a:ln w="19050" cap="rnd">
              <a:solidFill>
                <a:schemeClr val="accent2"/>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(2)'!$I$8:$N$8</c:f>
              <c:numCache>
                <c:formatCode>General</c:formatCode>
                <c:ptCount val="6"/>
                <c:pt idx="0">
                  <c:v>56877</c:v>
                </c:pt>
                <c:pt idx="1">
                  <c:v>56289</c:v>
                </c:pt>
                <c:pt idx="2">
                  <c:v>54702</c:v>
                </c:pt>
                <c:pt idx="3">
                  <c:v>53575</c:v>
                </c:pt>
                <c:pt idx="4">
                  <c:v>52845</c:v>
                </c:pt>
                <c:pt idx="5">
                  <c:v>52176</c:v>
                </c:pt>
              </c:numCache>
            </c:numRef>
          </c:yVal>
          <c:smooth val="0"/>
          <c:extLst>
            <c:ext xmlns:c16="http://schemas.microsoft.com/office/drawing/2014/chart" uri="{C3380CC4-5D6E-409C-BE32-E72D297353CC}">
              <c16:uniqueId val="{00000008-DFF9-4DFD-AD4C-50DD8BD5A1CE}"/>
            </c:ext>
          </c:extLst>
        </c:ser>
        <c:ser>
          <c:idx val="9"/>
          <c:order val="9"/>
          <c:tx>
            <c:strRef>
              <c:f>'Feuil11 (2)'!$B$10</c:f>
              <c:strCache>
                <c:ptCount val="1"/>
                <c:pt idx="0">
                  <c:v>N2O including LULUCF (projections)</c:v>
                </c:pt>
              </c:strCache>
            </c:strRef>
          </c:tx>
          <c:spPr>
            <a:ln w="19050" cap="rnd">
              <a:solidFill>
                <a:schemeClr val="accent3"/>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(2)'!$I$10:$N$10</c:f>
              <c:numCache>
                <c:formatCode>General</c:formatCode>
                <c:ptCount val="6"/>
                <c:pt idx="0">
                  <c:v>40939</c:v>
                </c:pt>
                <c:pt idx="1">
                  <c:v>41566</c:v>
                </c:pt>
                <c:pt idx="2">
                  <c:v>40958</c:v>
                </c:pt>
                <c:pt idx="3">
                  <c:v>40040</c:v>
                </c:pt>
                <c:pt idx="4">
                  <c:v>39537</c:v>
                </c:pt>
                <c:pt idx="5">
                  <c:v>38123</c:v>
                </c:pt>
              </c:numCache>
            </c:numRef>
          </c:yVal>
          <c:smooth val="0"/>
          <c:extLst>
            <c:ext xmlns:c16="http://schemas.microsoft.com/office/drawing/2014/chart" uri="{C3380CC4-5D6E-409C-BE32-E72D297353CC}">
              <c16:uniqueId val="{00000009-DFF9-4DFD-AD4C-50DD8BD5A1CE}"/>
            </c:ext>
          </c:extLst>
        </c:ser>
        <c:ser>
          <c:idx val="10"/>
          <c:order val="10"/>
          <c:tx>
            <c:strRef>
              <c:f>'Feuil11 (2)'!$B$12</c:f>
              <c:strCache>
                <c:ptCount val="1"/>
                <c:pt idx="0">
                  <c:v>HFCs (projections)</c:v>
                </c:pt>
              </c:strCache>
            </c:strRef>
          </c:tx>
          <c:spPr>
            <a:ln w="19050" cap="rnd">
              <a:solidFill>
                <a:schemeClr val="accent4"/>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DFF9-4DFD-AD4C-50DD8BD5A1CE}"/>
            </c:ext>
          </c:extLst>
        </c:ser>
        <c:ser>
          <c:idx val="11"/>
          <c:order val="11"/>
          <c:tx>
            <c:strRef>
              <c:f>'Feuil11 (2)'!$B$14</c:f>
              <c:strCache>
                <c:ptCount val="1"/>
                <c:pt idx="0">
                  <c:v>PFCs (projections)</c:v>
                </c:pt>
              </c:strCache>
            </c:strRef>
          </c:tx>
          <c:spPr>
            <a:ln w="19050" cap="rnd">
              <a:solidFill>
                <a:schemeClr val="accent6">
                  <a:lumMod val="60000"/>
                </a:schemeClr>
              </a:solidFill>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DFF9-4DFD-AD4C-50DD8BD5A1CE}"/>
            </c:ext>
          </c:extLst>
        </c:ser>
        <c:ser>
          <c:idx val="12"/>
          <c:order val="12"/>
          <c:tx>
            <c:strRef>
              <c:f>'Feuil11 (2)'!$B$16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DFF9-4DFD-AD4C-50DD8BD5A1CE}"/>
            </c:ext>
          </c:extLst>
        </c:ser>
        <c:ser>
          <c:idx val="13"/>
          <c:order val="13"/>
          <c:tx>
            <c:strRef>
              <c:f>'Feuil11 (2)'!$B$18</c:f>
              <c:strCache>
                <c:ptCount val="1"/>
                <c:pt idx="0">
                  <c:v>NF3 (projections)</c:v>
                </c:pt>
              </c:strCache>
            </c:strRef>
          </c:tx>
          <c:spPr>
            <a:ln w="19050" cap="rnd">
              <a:solidFill>
                <a:schemeClr val="accent5"/>
              </a:solidFill>
              <a:prstDash val="sysDash"/>
              <a:round/>
            </a:ln>
            <a:effectLst/>
          </c:spPr>
          <c:marker>
            <c:symbol val="none"/>
          </c:marker>
          <c:xVal>
            <c:numRef>
              <c:f>'Feuil11 (2)'!$I$4:$N$4</c:f>
              <c:numCache>
                <c:formatCode>General</c:formatCode>
                <c:ptCount val="6"/>
                <c:pt idx="0">
                  <c:v>2019</c:v>
                </c:pt>
                <c:pt idx="1">
                  <c:v>2020</c:v>
                </c:pt>
                <c:pt idx="2">
                  <c:v>2025</c:v>
                </c:pt>
                <c:pt idx="3">
                  <c:v>2030</c:v>
                </c:pt>
                <c:pt idx="4">
                  <c:v>2035</c:v>
                </c:pt>
                <c:pt idx="5">
                  <c:v>2050</c:v>
                </c:pt>
              </c:numCache>
            </c:numRef>
          </c:xVal>
          <c:yVal>
            <c:numRef>
              <c:f>'Feuil11 (2)'!$I$18:$N$18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DFF9-4DFD-AD4C-50DD8BD5A1CE}"/>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7299832312627592"/>
          <c:w val="1"/>
          <c:h val="0.199223899095946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AMS18</a:t>
            </a:r>
            <a:r>
              <a:rPr lang="fr-FR" baseline="0"/>
              <a:t> hors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3711369145149666"/>
          <c:y val="0.13267110408191457"/>
          <c:w val="0.8192251829726972"/>
          <c:h val="0.57626518489700063"/>
        </c:manualLayout>
      </c:layout>
      <c:scatterChart>
        <c:scatterStyle val="lineMarker"/>
        <c:varyColors val="0"/>
        <c:ser>
          <c:idx val="0"/>
          <c:order val="0"/>
          <c:tx>
            <c:strRef>
              <c:f>'Feuil11 (3)'!$B$5</c:f>
              <c:strCache>
                <c:ptCount val="1"/>
                <c:pt idx="0">
                  <c:v>CO2 excluding LULUCF </c:v>
                </c:pt>
              </c:strCache>
            </c:strRef>
          </c:tx>
          <c:spPr>
            <a:ln w="19050" cap="rnd">
              <a:solidFill>
                <a:schemeClr val="accent1"/>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A8E3-4843-93EF-87CD26DF3F44}"/>
            </c:ext>
          </c:extLst>
        </c:ser>
        <c:ser>
          <c:idx val="1"/>
          <c:order val="1"/>
          <c:tx>
            <c:strRef>
              <c:f>'Feuil11 (3)'!$B$7</c:f>
              <c:strCache>
                <c:ptCount val="1"/>
                <c:pt idx="0">
                  <c:v>CH4 excluding LULUCF </c:v>
                </c:pt>
              </c:strCache>
            </c:strRef>
          </c:tx>
          <c:spPr>
            <a:ln w="19050" cap="rnd">
              <a:solidFill>
                <a:schemeClr val="accent2"/>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A8E3-4843-93EF-87CD26DF3F44}"/>
            </c:ext>
          </c:extLst>
        </c:ser>
        <c:ser>
          <c:idx val="2"/>
          <c:order val="2"/>
          <c:tx>
            <c:strRef>
              <c:f>'Feuil11 (3)'!$B$9</c:f>
              <c:strCache>
                <c:ptCount val="1"/>
                <c:pt idx="0">
                  <c:v>N2O excluding LULUCF </c:v>
                </c:pt>
              </c:strCache>
            </c:strRef>
          </c:tx>
          <c:spPr>
            <a:ln w="19050" cap="rnd">
              <a:solidFill>
                <a:schemeClr val="accent3"/>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A8E3-4843-93EF-87CD26DF3F44}"/>
            </c:ext>
          </c:extLst>
        </c:ser>
        <c:ser>
          <c:idx val="3"/>
          <c:order val="3"/>
          <c:tx>
            <c:strRef>
              <c:f>'Feuil11 (3)'!$B$11</c:f>
              <c:strCache>
                <c:ptCount val="1"/>
                <c:pt idx="0">
                  <c:v>HFCs </c:v>
                </c:pt>
              </c:strCache>
            </c:strRef>
          </c:tx>
          <c:spPr>
            <a:ln w="19050" cap="rnd">
              <a:solidFill>
                <a:schemeClr val="accent4"/>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A8E3-4843-93EF-87CD26DF3F44}"/>
            </c:ext>
          </c:extLst>
        </c:ser>
        <c:ser>
          <c:idx val="4"/>
          <c:order val="4"/>
          <c:tx>
            <c:strRef>
              <c:f>'Feuil11 (3)'!$B$13</c:f>
              <c:strCache>
                <c:ptCount val="1"/>
                <c:pt idx="0">
                  <c:v>PFCs </c:v>
                </c:pt>
              </c:strCache>
            </c:strRef>
          </c:tx>
          <c:spPr>
            <a:ln w="19050" cap="rnd">
              <a:solidFill>
                <a:schemeClr val="accent5"/>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A8E3-4843-93EF-87CD26DF3F44}"/>
            </c:ext>
          </c:extLst>
        </c:ser>
        <c:ser>
          <c:idx val="5"/>
          <c:order val="5"/>
          <c:tx>
            <c:strRef>
              <c:f>'Feuil11 (3)'!$B$15</c:f>
              <c:strCache>
                <c:ptCount val="1"/>
                <c:pt idx="0">
                  <c:v>SF6 </c:v>
                </c:pt>
              </c:strCache>
            </c:strRef>
          </c:tx>
          <c:spPr>
            <a:ln w="19050" cap="rnd">
              <a:solidFill>
                <a:schemeClr val="accent6"/>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A8E3-4843-93EF-87CD26DF3F44}"/>
            </c:ext>
          </c:extLst>
        </c:ser>
        <c:ser>
          <c:idx val="6"/>
          <c:order val="6"/>
          <c:tx>
            <c:strRef>
              <c:f>'Feuil11 (3)'!$B$17</c:f>
              <c:strCache>
                <c:ptCount val="1"/>
                <c:pt idx="0">
                  <c:v>NF3 </c:v>
                </c:pt>
              </c:strCache>
            </c:strRef>
          </c:tx>
          <c:spPr>
            <a:ln w="19050" cap="rnd">
              <a:solidFill>
                <a:schemeClr val="accent1">
                  <a:lumMod val="60000"/>
                </a:schemeClr>
              </a:solidFill>
              <a:round/>
            </a:ln>
            <a:effectLst/>
          </c:spPr>
          <c:marker>
            <c:symbol val="none"/>
          </c:marker>
          <c:xVal>
            <c:numRef>
              <c:f>'Feuil11 (3)'!$C$4:$I$4</c:f>
              <c:numCache>
                <c:formatCode>General</c:formatCode>
                <c:ptCount val="7"/>
                <c:pt idx="0">
                  <c:v>1990</c:v>
                </c:pt>
                <c:pt idx="1">
                  <c:v>1995</c:v>
                </c:pt>
                <c:pt idx="2">
                  <c:v>2000</c:v>
                </c:pt>
                <c:pt idx="3">
                  <c:v>2005</c:v>
                </c:pt>
                <c:pt idx="4">
                  <c:v>2010</c:v>
                </c:pt>
                <c:pt idx="5">
                  <c:v>2015</c:v>
                </c:pt>
                <c:pt idx="6">
                  <c:v>2019</c:v>
                </c:pt>
              </c:numCache>
            </c:numRef>
          </c:xVal>
          <c:yVal>
            <c:numRef>
              <c:f>'Feuil11 (3)'!$C$17:$I$17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A8E3-4843-93EF-87CD26DF3F44}"/>
            </c:ext>
          </c:extLst>
        </c:ser>
        <c:ser>
          <c:idx val="7"/>
          <c:order val="7"/>
          <c:tx>
            <c:strRef>
              <c:f>'Feuil11 (3)'!$B$6</c:f>
              <c:strCache>
                <c:ptCount val="1"/>
                <c:pt idx="0">
                  <c:v>CO2 excluding LULUCF (projections)</c:v>
                </c:pt>
              </c:strCache>
            </c:strRef>
          </c:tx>
          <c:spPr>
            <a:ln w="19050" cap="rnd">
              <a:solidFill>
                <a:schemeClr val="accent1"/>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(3)'!$I$6:$N$6</c:f>
              <c:numCache>
                <c:formatCode>General</c:formatCode>
                <c:ptCount val="6"/>
                <c:pt idx="0">
                  <c:v>326725</c:v>
                </c:pt>
                <c:pt idx="1">
                  <c:v>325904</c:v>
                </c:pt>
                <c:pt idx="2">
                  <c:v>273167</c:v>
                </c:pt>
                <c:pt idx="3">
                  <c:v>220992</c:v>
                </c:pt>
                <c:pt idx="4">
                  <c:v>167257</c:v>
                </c:pt>
                <c:pt idx="5">
                  <c:v>6447</c:v>
                </c:pt>
              </c:numCache>
            </c:numRef>
          </c:yVal>
          <c:smooth val="0"/>
          <c:extLst>
            <c:ext xmlns:c16="http://schemas.microsoft.com/office/drawing/2014/chart" uri="{C3380CC4-5D6E-409C-BE32-E72D297353CC}">
              <c16:uniqueId val="{00000007-A8E3-4843-93EF-87CD26DF3F44}"/>
            </c:ext>
          </c:extLst>
        </c:ser>
        <c:ser>
          <c:idx val="8"/>
          <c:order val="8"/>
          <c:tx>
            <c:strRef>
              <c:f>'Feuil11 (3)'!$B$8</c:f>
              <c:strCache>
                <c:ptCount val="1"/>
                <c:pt idx="0">
                  <c:v>CH4 excluding LULUCF (projections)</c:v>
                </c:pt>
              </c:strCache>
            </c:strRef>
          </c:tx>
          <c:spPr>
            <a:ln w="19050" cap="rnd">
              <a:solidFill>
                <a:schemeClr val="accent2"/>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(3)'!$I$8:$N$8</c:f>
              <c:numCache>
                <c:formatCode>General</c:formatCode>
                <c:ptCount val="6"/>
                <c:pt idx="0">
                  <c:v>55740</c:v>
                </c:pt>
                <c:pt idx="1">
                  <c:v>52531</c:v>
                </c:pt>
                <c:pt idx="2">
                  <c:v>47947</c:v>
                </c:pt>
                <c:pt idx="3">
                  <c:v>44507</c:v>
                </c:pt>
                <c:pt idx="4">
                  <c:v>41496</c:v>
                </c:pt>
                <c:pt idx="5">
                  <c:v>32465</c:v>
                </c:pt>
              </c:numCache>
            </c:numRef>
          </c:yVal>
          <c:smooth val="0"/>
          <c:extLst>
            <c:ext xmlns:c16="http://schemas.microsoft.com/office/drawing/2014/chart" uri="{C3380CC4-5D6E-409C-BE32-E72D297353CC}">
              <c16:uniqueId val="{00000008-A8E3-4843-93EF-87CD26DF3F44}"/>
            </c:ext>
          </c:extLst>
        </c:ser>
        <c:ser>
          <c:idx val="9"/>
          <c:order val="9"/>
          <c:tx>
            <c:strRef>
              <c:f>'Feuil11 (3)'!$B$10</c:f>
              <c:strCache>
                <c:ptCount val="1"/>
                <c:pt idx="0">
                  <c:v>N2O excluding LULUCF (projections)</c:v>
                </c:pt>
              </c:strCache>
            </c:strRef>
          </c:tx>
          <c:spPr>
            <a:ln w="19050" cap="rnd">
              <a:solidFill>
                <a:schemeClr val="accent3"/>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(3)'!$I$10:$N$10</c:f>
              <c:numCache>
                <c:formatCode>General</c:formatCode>
                <c:ptCount val="6"/>
                <c:pt idx="0">
                  <c:v>38071</c:v>
                </c:pt>
                <c:pt idx="1">
                  <c:v>40268</c:v>
                </c:pt>
                <c:pt idx="2">
                  <c:v>37693</c:v>
                </c:pt>
                <c:pt idx="3">
                  <c:v>35559</c:v>
                </c:pt>
                <c:pt idx="4">
                  <c:v>33721</c:v>
                </c:pt>
                <c:pt idx="5">
                  <c:v>22856</c:v>
                </c:pt>
              </c:numCache>
            </c:numRef>
          </c:yVal>
          <c:smooth val="0"/>
          <c:extLst>
            <c:ext xmlns:c16="http://schemas.microsoft.com/office/drawing/2014/chart" uri="{C3380CC4-5D6E-409C-BE32-E72D297353CC}">
              <c16:uniqueId val="{00000009-A8E3-4843-93EF-87CD26DF3F44}"/>
            </c:ext>
          </c:extLst>
        </c:ser>
        <c:ser>
          <c:idx val="10"/>
          <c:order val="10"/>
          <c:tx>
            <c:strRef>
              <c:f>'Feuil11 (3)'!$B$12</c:f>
              <c:strCache>
                <c:ptCount val="1"/>
                <c:pt idx="0">
                  <c:v>HFCs (projections)</c:v>
                </c:pt>
              </c:strCache>
            </c:strRef>
          </c:tx>
          <c:spPr>
            <a:ln w="19050" cap="rnd">
              <a:solidFill>
                <a:schemeClr val="accent4"/>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(3)'!$I$12:$N$12</c:f>
              <c:numCache>
                <c:formatCode>General</c:formatCode>
                <c:ptCount val="6"/>
                <c:pt idx="0">
                  <c:v>12992</c:v>
                </c:pt>
                <c:pt idx="1">
                  <c:v>14731</c:v>
                </c:pt>
                <c:pt idx="2">
                  <c:v>7995</c:v>
                </c:pt>
                <c:pt idx="3">
                  <c:v>5241</c:v>
                </c:pt>
                <c:pt idx="4">
                  <c:v>4458</c:v>
                </c:pt>
                <c:pt idx="5">
                  <c:v>2109</c:v>
                </c:pt>
              </c:numCache>
            </c:numRef>
          </c:yVal>
          <c:smooth val="0"/>
          <c:extLst>
            <c:ext xmlns:c16="http://schemas.microsoft.com/office/drawing/2014/chart" uri="{C3380CC4-5D6E-409C-BE32-E72D297353CC}">
              <c16:uniqueId val="{0000000A-A8E3-4843-93EF-87CD26DF3F44}"/>
            </c:ext>
          </c:extLst>
        </c:ser>
        <c:ser>
          <c:idx val="11"/>
          <c:order val="11"/>
          <c:tx>
            <c:strRef>
              <c:f>'Feuil11 (3)'!$B$14</c:f>
              <c:strCache>
                <c:ptCount val="1"/>
                <c:pt idx="0">
                  <c:v>PFCs (projections)</c:v>
                </c:pt>
              </c:strCache>
            </c:strRef>
          </c:tx>
          <c:spPr>
            <a:ln w="19050" cap="rnd">
              <a:solidFill>
                <a:schemeClr val="accent6">
                  <a:lumMod val="60000"/>
                </a:schemeClr>
              </a:solidFill>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(3)'!$I$14:$N$14</c:f>
              <c:numCache>
                <c:formatCode>General</c:formatCode>
                <c:ptCount val="6"/>
                <c:pt idx="0">
                  <c:v>615</c:v>
                </c:pt>
                <c:pt idx="1">
                  <c:v>479</c:v>
                </c:pt>
                <c:pt idx="2">
                  <c:v>395</c:v>
                </c:pt>
                <c:pt idx="3">
                  <c:v>330</c:v>
                </c:pt>
                <c:pt idx="4">
                  <c:v>299</c:v>
                </c:pt>
                <c:pt idx="5">
                  <c:v>205</c:v>
                </c:pt>
              </c:numCache>
            </c:numRef>
          </c:yVal>
          <c:smooth val="0"/>
          <c:extLst>
            <c:ext xmlns:c16="http://schemas.microsoft.com/office/drawing/2014/chart" uri="{C3380CC4-5D6E-409C-BE32-E72D297353CC}">
              <c16:uniqueId val="{0000000B-A8E3-4843-93EF-87CD26DF3F44}"/>
            </c:ext>
          </c:extLst>
        </c:ser>
        <c:ser>
          <c:idx val="12"/>
          <c:order val="12"/>
          <c:tx>
            <c:strRef>
              <c:f>'Feuil11 (3)'!$B$16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(3)'!$I$16:$N$16</c:f>
              <c:numCache>
                <c:formatCode>General</c:formatCode>
                <c:ptCount val="6"/>
                <c:pt idx="0">
                  <c:v>385</c:v>
                </c:pt>
                <c:pt idx="1">
                  <c:v>458</c:v>
                </c:pt>
                <c:pt idx="2">
                  <c:v>459</c:v>
                </c:pt>
                <c:pt idx="3">
                  <c:v>460</c:v>
                </c:pt>
                <c:pt idx="4">
                  <c:v>460</c:v>
                </c:pt>
                <c:pt idx="5">
                  <c:v>463</c:v>
                </c:pt>
              </c:numCache>
            </c:numRef>
          </c:yVal>
          <c:smooth val="0"/>
          <c:extLst>
            <c:ext xmlns:c16="http://schemas.microsoft.com/office/drawing/2014/chart" uri="{C3380CC4-5D6E-409C-BE32-E72D297353CC}">
              <c16:uniqueId val="{0000000C-A8E3-4843-93EF-87CD26DF3F44}"/>
            </c:ext>
          </c:extLst>
        </c:ser>
        <c:ser>
          <c:idx val="13"/>
          <c:order val="13"/>
          <c:tx>
            <c:strRef>
              <c:f>'Feuil11 (3)'!$B$18</c:f>
              <c:strCache>
                <c:ptCount val="1"/>
                <c:pt idx="0">
                  <c:v>NF3 (projections)</c:v>
                </c:pt>
              </c:strCache>
            </c:strRef>
          </c:tx>
          <c:spPr>
            <a:ln w="19050" cap="rnd">
              <a:solidFill>
                <a:schemeClr val="accent5"/>
              </a:solidFill>
              <a:prstDash val="sysDash"/>
              <a:round/>
            </a:ln>
            <a:effectLst/>
          </c:spPr>
          <c:marker>
            <c:symbol val="none"/>
          </c:marker>
          <c:xVal>
            <c:numRef>
              <c:f>'Feuil11 (3)'!$I$4:$N$4</c:f>
              <c:numCache>
                <c:formatCode>General</c:formatCode>
                <c:ptCount val="6"/>
                <c:pt idx="0">
                  <c:v>2019</c:v>
                </c:pt>
                <c:pt idx="1">
                  <c:v>2020</c:v>
                </c:pt>
                <c:pt idx="2">
                  <c:v>2025</c:v>
                </c:pt>
                <c:pt idx="3">
                  <c:v>2030</c:v>
                </c:pt>
                <c:pt idx="4">
                  <c:v>2035</c:v>
                </c:pt>
                <c:pt idx="5">
                  <c:v>2050</c:v>
                </c:pt>
              </c:numCache>
            </c:numRef>
          </c:xVal>
          <c:yVal>
            <c:numRef>
              <c:f>'Feuil11 (3)'!$I$18:$N$18</c:f>
              <c:numCache>
                <c:formatCode>General</c:formatCode>
                <c:ptCount val="6"/>
                <c:pt idx="0">
                  <c:v>10</c:v>
                </c:pt>
                <c:pt idx="1">
                  <c:v>6</c:v>
                </c:pt>
                <c:pt idx="2">
                  <c:v>6</c:v>
                </c:pt>
                <c:pt idx="3">
                  <c:v>6</c:v>
                </c:pt>
                <c:pt idx="4">
                  <c:v>6</c:v>
                </c:pt>
                <c:pt idx="5">
                  <c:v>6</c:v>
                </c:pt>
              </c:numCache>
            </c:numRef>
          </c:yVal>
          <c:smooth val="0"/>
          <c:extLst>
            <c:ext xmlns:c16="http://schemas.microsoft.com/office/drawing/2014/chart" uri="{C3380CC4-5D6E-409C-BE32-E72D297353CC}">
              <c16:uniqueId val="{0000000D-A8E3-4843-93EF-87CD26DF3F44}"/>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9417300281073888"/>
          <c:w val="1"/>
          <c:h val="0.1843447200678862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AMS18</a:t>
            </a:r>
            <a:r>
              <a:rPr lang="fr-FR" baseline="0"/>
              <a:t> avec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smoothMarker"/>
        <c:varyColors val="0"/>
        <c:ser>
          <c:idx val="0"/>
          <c:order val="0"/>
          <c:tx>
            <c:strRef>
              <c:f>'Feuil11 (4)'!$B$5</c:f>
              <c:strCache>
                <c:ptCount val="1"/>
                <c:pt idx="0">
                  <c:v>CO2 including LULUCF </c:v>
                </c:pt>
              </c:strCache>
            </c:strRef>
          </c:tx>
          <c:spPr>
            <a:ln w="19050" cap="rnd">
              <a:solidFill>
                <a:schemeClr val="accent1"/>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(4)'!$C$5:$I$5</c:f>
              <c:numCache>
                <c:formatCode>General</c:formatCode>
                <c:ptCount val="7"/>
                <c:pt idx="0">
                  <c:v>370280</c:v>
                </c:pt>
                <c:pt idx="1">
                  <c:v>361121</c:v>
                </c:pt>
                <c:pt idx="2">
                  <c:v>390194</c:v>
                </c:pt>
                <c:pt idx="3">
                  <c:v>373972</c:v>
                </c:pt>
                <c:pt idx="4">
                  <c:v>344171</c:v>
                </c:pt>
                <c:pt idx="5">
                  <c:v>303032</c:v>
                </c:pt>
                <c:pt idx="6">
                  <c:v>310432</c:v>
                </c:pt>
              </c:numCache>
            </c:numRef>
          </c:yVal>
          <c:smooth val="1"/>
          <c:extLst>
            <c:ext xmlns:c16="http://schemas.microsoft.com/office/drawing/2014/chart" uri="{C3380CC4-5D6E-409C-BE32-E72D297353CC}">
              <c16:uniqueId val="{00000000-3E44-4751-B395-1F971D14B09B}"/>
            </c:ext>
          </c:extLst>
        </c:ser>
        <c:ser>
          <c:idx val="1"/>
          <c:order val="1"/>
          <c:tx>
            <c:strRef>
              <c:f>'Feuil11 (4)'!$B$7</c:f>
              <c:strCache>
                <c:ptCount val="1"/>
                <c:pt idx="0">
                  <c:v>CH4 including LULUCF </c:v>
                </c:pt>
              </c:strCache>
            </c:strRef>
          </c:tx>
          <c:spPr>
            <a:ln w="19050" cap="rnd">
              <a:solidFill>
                <a:schemeClr val="accent2"/>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(4)'!$C$7:$I$7</c:f>
              <c:numCache>
                <c:formatCode>General</c:formatCode>
                <c:ptCount val="7"/>
                <c:pt idx="0">
                  <c:v>70094</c:v>
                </c:pt>
                <c:pt idx="1">
                  <c:v>74053</c:v>
                </c:pt>
                <c:pt idx="2">
                  <c:v>70296</c:v>
                </c:pt>
                <c:pt idx="3">
                  <c:v>64820</c:v>
                </c:pt>
                <c:pt idx="4">
                  <c:v>62793</c:v>
                </c:pt>
                <c:pt idx="5">
                  <c:v>58940</c:v>
                </c:pt>
                <c:pt idx="6">
                  <c:v>56877</c:v>
                </c:pt>
              </c:numCache>
            </c:numRef>
          </c:yVal>
          <c:smooth val="1"/>
          <c:extLst>
            <c:ext xmlns:c16="http://schemas.microsoft.com/office/drawing/2014/chart" uri="{C3380CC4-5D6E-409C-BE32-E72D297353CC}">
              <c16:uniqueId val="{00000001-3E44-4751-B395-1F971D14B09B}"/>
            </c:ext>
          </c:extLst>
        </c:ser>
        <c:ser>
          <c:idx val="2"/>
          <c:order val="2"/>
          <c:tx>
            <c:strRef>
              <c:f>'Feuil11 (4)'!$B$9</c:f>
              <c:strCache>
                <c:ptCount val="1"/>
                <c:pt idx="0">
                  <c:v>N2O including LULUCF </c:v>
                </c:pt>
              </c:strCache>
            </c:strRef>
          </c:tx>
          <c:spPr>
            <a:ln w="19050" cap="rnd">
              <a:solidFill>
                <a:schemeClr val="accent3"/>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(4)'!$C$9:$I$9</c:f>
              <c:numCache>
                <c:formatCode>General</c:formatCode>
                <c:ptCount val="7"/>
                <c:pt idx="0">
                  <c:v>67951</c:v>
                </c:pt>
                <c:pt idx="1">
                  <c:v>69183</c:v>
                </c:pt>
                <c:pt idx="2">
                  <c:v>56873</c:v>
                </c:pt>
                <c:pt idx="3">
                  <c:v>49279</c:v>
                </c:pt>
                <c:pt idx="4">
                  <c:v>43694</c:v>
                </c:pt>
                <c:pt idx="5">
                  <c:v>42840</c:v>
                </c:pt>
                <c:pt idx="6">
                  <c:v>40939</c:v>
                </c:pt>
              </c:numCache>
            </c:numRef>
          </c:yVal>
          <c:smooth val="1"/>
          <c:extLst>
            <c:ext xmlns:c16="http://schemas.microsoft.com/office/drawing/2014/chart" uri="{C3380CC4-5D6E-409C-BE32-E72D297353CC}">
              <c16:uniqueId val="{00000002-3E44-4751-B395-1F971D14B09B}"/>
            </c:ext>
          </c:extLst>
        </c:ser>
        <c:ser>
          <c:idx val="3"/>
          <c:order val="3"/>
          <c:tx>
            <c:strRef>
              <c:f>'Feuil11 (4)'!$B$11</c:f>
              <c:strCache>
                <c:ptCount val="1"/>
                <c:pt idx="0">
                  <c:v>HFCs </c:v>
                </c:pt>
              </c:strCache>
            </c:strRef>
          </c:tx>
          <c:spPr>
            <a:ln w="19050" cap="rnd">
              <a:solidFill>
                <a:schemeClr val="accent4"/>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(4)'!$C$11:$I$11</c:f>
              <c:numCache>
                <c:formatCode>General</c:formatCode>
                <c:ptCount val="7"/>
                <c:pt idx="0">
                  <c:v>4402</c:v>
                </c:pt>
                <c:pt idx="1">
                  <c:v>1702</c:v>
                </c:pt>
                <c:pt idx="2">
                  <c:v>6736</c:v>
                </c:pt>
                <c:pt idx="3">
                  <c:v>12862</c:v>
                </c:pt>
                <c:pt idx="4">
                  <c:v>16930</c:v>
                </c:pt>
                <c:pt idx="5">
                  <c:v>17494</c:v>
                </c:pt>
                <c:pt idx="6">
                  <c:v>12992</c:v>
                </c:pt>
              </c:numCache>
            </c:numRef>
          </c:yVal>
          <c:smooth val="1"/>
          <c:extLst>
            <c:ext xmlns:c16="http://schemas.microsoft.com/office/drawing/2014/chart" uri="{C3380CC4-5D6E-409C-BE32-E72D297353CC}">
              <c16:uniqueId val="{00000003-3E44-4751-B395-1F971D14B09B}"/>
            </c:ext>
          </c:extLst>
        </c:ser>
        <c:ser>
          <c:idx val="4"/>
          <c:order val="4"/>
          <c:tx>
            <c:strRef>
              <c:f>'Feuil11 (4)'!$B$13</c:f>
              <c:strCache>
                <c:ptCount val="1"/>
                <c:pt idx="0">
                  <c:v>PFCs </c:v>
                </c:pt>
              </c:strCache>
            </c:strRef>
          </c:tx>
          <c:spPr>
            <a:ln w="19050" cap="rnd">
              <a:solidFill>
                <a:schemeClr val="accent5"/>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(4)'!$C$13:$I$13</c:f>
              <c:numCache>
                <c:formatCode>General</c:formatCode>
                <c:ptCount val="7"/>
                <c:pt idx="0">
                  <c:v>5202</c:v>
                </c:pt>
                <c:pt idx="1">
                  <c:v>3065</c:v>
                </c:pt>
                <c:pt idx="2">
                  <c:v>2997</c:v>
                </c:pt>
                <c:pt idx="3">
                  <c:v>1760</c:v>
                </c:pt>
                <c:pt idx="4">
                  <c:v>617</c:v>
                </c:pt>
                <c:pt idx="5">
                  <c:v>537</c:v>
                </c:pt>
                <c:pt idx="6">
                  <c:v>615</c:v>
                </c:pt>
              </c:numCache>
            </c:numRef>
          </c:yVal>
          <c:smooth val="1"/>
          <c:extLst>
            <c:ext xmlns:c16="http://schemas.microsoft.com/office/drawing/2014/chart" uri="{C3380CC4-5D6E-409C-BE32-E72D297353CC}">
              <c16:uniqueId val="{00000004-3E44-4751-B395-1F971D14B09B}"/>
            </c:ext>
          </c:extLst>
        </c:ser>
        <c:ser>
          <c:idx val="5"/>
          <c:order val="5"/>
          <c:tx>
            <c:strRef>
              <c:f>'Feuil11 (4)'!$B$15</c:f>
              <c:strCache>
                <c:ptCount val="1"/>
                <c:pt idx="0">
                  <c:v>SF6 </c:v>
                </c:pt>
              </c:strCache>
            </c:strRef>
          </c:tx>
          <c:spPr>
            <a:ln w="19050" cap="rnd">
              <a:solidFill>
                <a:schemeClr val="accent6"/>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(4)'!$C$15:$I$15</c:f>
              <c:numCache>
                <c:formatCode>General</c:formatCode>
                <c:ptCount val="7"/>
                <c:pt idx="0">
                  <c:v>2155</c:v>
                </c:pt>
                <c:pt idx="1">
                  <c:v>2467</c:v>
                </c:pt>
                <c:pt idx="2">
                  <c:v>2180</c:v>
                </c:pt>
                <c:pt idx="3">
                  <c:v>1355</c:v>
                </c:pt>
                <c:pt idx="4">
                  <c:v>875</c:v>
                </c:pt>
                <c:pt idx="5">
                  <c:v>498</c:v>
                </c:pt>
                <c:pt idx="6">
                  <c:v>385</c:v>
                </c:pt>
              </c:numCache>
            </c:numRef>
          </c:yVal>
          <c:smooth val="1"/>
          <c:extLst>
            <c:ext xmlns:c16="http://schemas.microsoft.com/office/drawing/2014/chart" uri="{C3380CC4-5D6E-409C-BE32-E72D297353CC}">
              <c16:uniqueId val="{00000005-3E44-4751-B395-1F971D14B09B}"/>
            </c:ext>
          </c:extLst>
        </c:ser>
        <c:ser>
          <c:idx val="6"/>
          <c:order val="6"/>
          <c:tx>
            <c:strRef>
              <c:f>'Feuil11 (4)'!$B$17</c:f>
              <c:strCache>
                <c:ptCount val="1"/>
                <c:pt idx="0">
                  <c:v>NF3 </c:v>
                </c:pt>
              </c:strCache>
            </c:strRef>
          </c:tx>
          <c:spPr>
            <a:ln w="19050" cap="rnd">
              <a:solidFill>
                <a:schemeClr val="accent1">
                  <a:lumMod val="60000"/>
                </a:schemeClr>
              </a:solidFill>
              <a:round/>
            </a:ln>
            <a:effectLst/>
          </c:spPr>
          <c:marker>
            <c:symbol val="none"/>
          </c:marker>
          <c:xVal>
            <c:numRef>
              <c:f>'Feuil11 (4)'!$C$4:$I$4</c:f>
              <c:numCache>
                <c:formatCode>General</c:formatCode>
                <c:ptCount val="7"/>
                <c:pt idx="0">
                  <c:v>1990</c:v>
                </c:pt>
                <c:pt idx="1">
                  <c:v>1995</c:v>
                </c:pt>
                <c:pt idx="2">
                  <c:v>2000</c:v>
                </c:pt>
                <c:pt idx="3">
                  <c:v>2005</c:v>
                </c:pt>
                <c:pt idx="4">
                  <c:v>2010</c:v>
                </c:pt>
                <c:pt idx="5">
                  <c:v>2015</c:v>
                </c:pt>
                <c:pt idx="6">
                  <c:v>2019</c:v>
                </c:pt>
              </c:numCache>
            </c:numRef>
          </c:xVal>
          <c:yVal>
            <c:numRef>
              <c:f>'Feuil11 (4)'!$C$17:$I$17</c:f>
              <c:numCache>
                <c:formatCode>General</c:formatCode>
                <c:ptCount val="7"/>
                <c:pt idx="0">
                  <c:v>16</c:v>
                </c:pt>
                <c:pt idx="1">
                  <c:v>6</c:v>
                </c:pt>
                <c:pt idx="2">
                  <c:v>20</c:v>
                </c:pt>
                <c:pt idx="3">
                  <c:v>31</c:v>
                </c:pt>
                <c:pt idx="4">
                  <c:v>32</c:v>
                </c:pt>
                <c:pt idx="5">
                  <c:v>6</c:v>
                </c:pt>
                <c:pt idx="6">
                  <c:v>10</c:v>
                </c:pt>
              </c:numCache>
            </c:numRef>
          </c:yVal>
          <c:smooth val="1"/>
          <c:extLst>
            <c:ext xmlns:c16="http://schemas.microsoft.com/office/drawing/2014/chart" uri="{C3380CC4-5D6E-409C-BE32-E72D297353CC}">
              <c16:uniqueId val="{00000006-3E44-4751-B395-1F971D14B09B}"/>
            </c:ext>
          </c:extLst>
        </c:ser>
        <c:ser>
          <c:idx val="7"/>
          <c:order val="7"/>
          <c:tx>
            <c:strRef>
              <c:f>'Feuil11 (4)'!$B$6</c:f>
              <c:strCache>
                <c:ptCount val="1"/>
                <c:pt idx="0">
                  <c:v>CO2 including LULUCF (projections)</c:v>
                </c:pt>
              </c:strCache>
            </c:strRef>
          </c:tx>
          <c:spPr>
            <a:ln w="19050" cap="rnd">
              <a:solidFill>
                <a:schemeClr val="accent1"/>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(4)'!$I$6:$N$6</c:f>
              <c:numCache>
                <c:formatCode>General</c:formatCode>
                <c:ptCount val="6"/>
                <c:pt idx="0">
                  <c:v>310432</c:v>
                </c:pt>
                <c:pt idx="1">
                  <c:v>282686</c:v>
                </c:pt>
                <c:pt idx="2">
                  <c:v>231263</c:v>
                </c:pt>
                <c:pt idx="3">
                  <c:v>176617</c:v>
                </c:pt>
                <c:pt idx="4">
                  <c:v>117863</c:v>
                </c:pt>
                <c:pt idx="5">
                  <c:v>-64813</c:v>
                </c:pt>
              </c:numCache>
            </c:numRef>
          </c:yVal>
          <c:smooth val="1"/>
          <c:extLst>
            <c:ext xmlns:c16="http://schemas.microsoft.com/office/drawing/2014/chart" uri="{C3380CC4-5D6E-409C-BE32-E72D297353CC}">
              <c16:uniqueId val="{00000007-3E44-4751-B395-1F971D14B09B}"/>
            </c:ext>
          </c:extLst>
        </c:ser>
        <c:ser>
          <c:idx val="8"/>
          <c:order val="8"/>
          <c:tx>
            <c:strRef>
              <c:f>'Feuil11 (4)'!$B$8</c:f>
              <c:strCache>
                <c:ptCount val="1"/>
                <c:pt idx="0">
                  <c:v>CH4 including LULUCF (projections)</c:v>
                </c:pt>
              </c:strCache>
            </c:strRef>
          </c:tx>
          <c:spPr>
            <a:ln w="19050" cap="rnd">
              <a:solidFill>
                <a:schemeClr val="tx2"/>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(4)'!$I$8:$N$8</c:f>
              <c:numCache>
                <c:formatCode>General</c:formatCode>
                <c:ptCount val="6"/>
                <c:pt idx="0">
                  <c:v>56877</c:v>
                </c:pt>
                <c:pt idx="1">
                  <c:v>53671</c:v>
                </c:pt>
                <c:pt idx="2">
                  <c:v>49093</c:v>
                </c:pt>
                <c:pt idx="3">
                  <c:v>45641</c:v>
                </c:pt>
                <c:pt idx="4">
                  <c:v>42610</c:v>
                </c:pt>
                <c:pt idx="5">
                  <c:v>33519</c:v>
                </c:pt>
              </c:numCache>
            </c:numRef>
          </c:yVal>
          <c:smooth val="1"/>
          <c:extLst>
            <c:ext xmlns:c16="http://schemas.microsoft.com/office/drawing/2014/chart" uri="{C3380CC4-5D6E-409C-BE32-E72D297353CC}">
              <c16:uniqueId val="{00000008-3E44-4751-B395-1F971D14B09B}"/>
            </c:ext>
          </c:extLst>
        </c:ser>
        <c:ser>
          <c:idx val="9"/>
          <c:order val="9"/>
          <c:tx>
            <c:strRef>
              <c:f>'Feuil11 (4)'!$B$10</c:f>
              <c:strCache>
                <c:ptCount val="1"/>
                <c:pt idx="0">
                  <c:v>N2O including LULUCF (projections)</c:v>
                </c:pt>
              </c:strCache>
            </c:strRef>
          </c:tx>
          <c:spPr>
            <a:ln w="19050" cap="rnd">
              <a:solidFill>
                <a:schemeClr val="accent3"/>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(4)'!$I$10:$N$10</c:f>
              <c:numCache>
                <c:formatCode>General</c:formatCode>
                <c:ptCount val="6"/>
                <c:pt idx="0">
                  <c:v>40939</c:v>
                </c:pt>
                <c:pt idx="1">
                  <c:v>43352</c:v>
                </c:pt>
                <c:pt idx="2">
                  <c:v>40778</c:v>
                </c:pt>
                <c:pt idx="3">
                  <c:v>38641</c:v>
                </c:pt>
                <c:pt idx="4">
                  <c:v>36797</c:v>
                </c:pt>
                <c:pt idx="5">
                  <c:v>25914</c:v>
                </c:pt>
              </c:numCache>
            </c:numRef>
          </c:yVal>
          <c:smooth val="1"/>
          <c:extLst>
            <c:ext xmlns:c16="http://schemas.microsoft.com/office/drawing/2014/chart" uri="{C3380CC4-5D6E-409C-BE32-E72D297353CC}">
              <c16:uniqueId val="{00000009-3E44-4751-B395-1F971D14B09B}"/>
            </c:ext>
          </c:extLst>
        </c:ser>
        <c:ser>
          <c:idx val="10"/>
          <c:order val="10"/>
          <c:tx>
            <c:strRef>
              <c:f>'Feuil11 (4)'!$B$12</c:f>
              <c:strCache>
                <c:ptCount val="1"/>
                <c:pt idx="0">
                  <c:v>HFCs (projections)</c:v>
                </c:pt>
              </c:strCache>
            </c:strRef>
          </c:tx>
          <c:spPr>
            <a:ln w="19050" cap="rnd">
              <a:solidFill>
                <a:schemeClr val="accent4"/>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(4)'!$I$12:$N$12</c:f>
              <c:numCache>
                <c:formatCode>General</c:formatCode>
                <c:ptCount val="6"/>
                <c:pt idx="0">
                  <c:v>12992</c:v>
                </c:pt>
                <c:pt idx="1">
                  <c:v>14731</c:v>
                </c:pt>
                <c:pt idx="2">
                  <c:v>7995</c:v>
                </c:pt>
                <c:pt idx="3">
                  <c:v>5241</c:v>
                </c:pt>
                <c:pt idx="4">
                  <c:v>4458</c:v>
                </c:pt>
                <c:pt idx="5">
                  <c:v>2109</c:v>
                </c:pt>
              </c:numCache>
            </c:numRef>
          </c:yVal>
          <c:smooth val="1"/>
          <c:extLst>
            <c:ext xmlns:c16="http://schemas.microsoft.com/office/drawing/2014/chart" uri="{C3380CC4-5D6E-409C-BE32-E72D297353CC}">
              <c16:uniqueId val="{0000000A-3E44-4751-B395-1F971D14B09B}"/>
            </c:ext>
          </c:extLst>
        </c:ser>
        <c:ser>
          <c:idx val="11"/>
          <c:order val="11"/>
          <c:tx>
            <c:strRef>
              <c:f>'Feuil11 (4)'!$B$14</c:f>
              <c:strCache>
                <c:ptCount val="1"/>
                <c:pt idx="0">
                  <c:v>PFCs (projections)</c:v>
                </c:pt>
              </c:strCache>
            </c:strRef>
          </c:tx>
          <c:spPr>
            <a:ln w="19050" cap="rnd">
              <a:solidFill>
                <a:schemeClr val="accent6"/>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(4)'!$I$14:$N$14</c:f>
              <c:numCache>
                <c:formatCode>General</c:formatCode>
                <c:ptCount val="6"/>
                <c:pt idx="0">
                  <c:v>615</c:v>
                </c:pt>
                <c:pt idx="1">
                  <c:v>479</c:v>
                </c:pt>
                <c:pt idx="2">
                  <c:v>395</c:v>
                </c:pt>
                <c:pt idx="3">
                  <c:v>330</c:v>
                </c:pt>
                <c:pt idx="4">
                  <c:v>299</c:v>
                </c:pt>
                <c:pt idx="5">
                  <c:v>205</c:v>
                </c:pt>
              </c:numCache>
            </c:numRef>
          </c:yVal>
          <c:smooth val="1"/>
          <c:extLst>
            <c:ext xmlns:c16="http://schemas.microsoft.com/office/drawing/2014/chart" uri="{C3380CC4-5D6E-409C-BE32-E72D297353CC}">
              <c16:uniqueId val="{0000000B-3E44-4751-B395-1F971D14B09B}"/>
            </c:ext>
          </c:extLst>
        </c:ser>
        <c:ser>
          <c:idx val="12"/>
          <c:order val="12"/>
          <c:tx>
            <c:strRef>
              <c:f>'Feuil11 (4)'!$B$16</c:f>
              <c:strCache>
                <c:ptCount val="1"/>
                <c:pt idx="0">
                  <c:v>SF6 (projections)</c:v>
                </c:pt>
              </c:strCache>
            </c:strRef>
          </c:tx>
          <c:spPr>
            <a:ln w="19050" cap="rnd">
              <a:solidFill>
                <a:schemeClr val="accent6">
                  <a:lumMod val="75000"/>
                </a:schemeClr>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(4)'!$I$16:$N$16</c:f>
              <c:numCache>
                <c:formatCode>General</c:formatCode>
                <c:ptCount val="6"/>
                <c:pt idx="0">
                  <c:v>385</c:v>
                </c:pt>
                <c:pt idx="1">
                  <c:v>458</c:v>
                </c:pt>
                <c:pt idx="2">
                  <c:v>459</c:v>
                </c:pt>
                <c:pt idx="3">
                  <c:v>460</c:v>
                </c:pt>
                <c:pt idx="4">
                  <c:v>460</c:v>
                </c:pt>
                <c:pt idx="5">
                  <c:v>463</c:v>
                </c:pt>
              </c:numCache>
            </c:numRef>
          </c:yVal>
          <c:smooth val="1"/>
          <c:extLst>
            <c:ext xmlns:c16="http://schemas.microsoft.com/office/drawing/2014/chart" uri="{C3380CC4-5D6E-409C-BE32-E72D297353CC}">
              <c16:uniqueId val="{0000000C-3E44-4751-B395-1F971D14B09B}"/>
            </c:ext>
          </c:extLst>
        </c:ser>
        <c:ser>
          <c:idx val="13"/>
          <c:order val="13"/>
          <c:tx>
            <c:strRef>
              <c:f>'Feuil11 (4)'!$B$18</c:f>
              <c:strCache>
                <c:ptCount val="1"/>
                <c:pt idx="0">
                  <c:v>NF3 (projections)</c:v>
                </c:pt>
              </c:strCache>
            </c:strRef>
          </c:tx>
          <c:spPr>
            <a:ln w="19050" cap="rnd">
              <a:solidFill>
                <a:schemeClr val="accent1">
                  <a:lumMod val="90000"/>
                  <a:lumOff val="10000"/>
                </a:schemeClr>
              </a:solidFill>
              <a:prstDash val="sysDash"/>
              <a:round/>
            </a:ln>
            <a:effectLst/>
          </c:spPr>
          <c:marker>
            <c:symbol val="none"/>
          </c:marker>
          <c:xVal>
            <c:numRef>
              <c:f>'Feuil11 (4)'!$I$4:$N$4</c:f>
              <c:numCache>
                <c:formatCode>General</c:formatCode>
                <c:ptCount val="6"/>
                <c:pt idx="0">
                  <c:v>2019</c:v>
                </c:pt>
                <c:pt idx="1">
                  <c:v>2020</c:v>
                </c:pt>
                <c:pt idx="2">
                  <c:v>2025</c:v>
                </c:pt>
                <c:pt idx="3">
                  <c:v>2030</c:v>
                </c:pt>
                <c:pt idx="4">
                  <c:v>2035</c:v>
                </c:pt>
                <c:pt idx="5">
                  <c:v>2050</c:v>
                </c:pt>
              </c:numCache>
            </c:numRef>
          </c:xVal>
          <c:yVal>
            <c:numRef>
              <c:f>'Feuil11 (4)'!$I$18:$N$18</c:f>
              <c:numCache>
                <c:formatCode>General</c:formatCode>
                <c:ptCount val="6"/>
                <c:pt idx="0">
                  <c:v>10</c:v>
                </c:pt>
                <c:pt idx="1">
                  <c:v>6</c:v>
                </c:pt>
                <c:pt idx="2">
                  <c:v>6</c:v>
                </c:pt>
                <c:pt idx="3">
                  <c:v>6</c:v>
                </c:pt>
                <c:pt idx="4">
                  <c:v>6</c:v>
                </c:pt>
                <c:pt idx="5">
                  <c:v>6</c:v>
                </c:pt>
              </c:numCache>
            </c:numRef>
          </c:yVal>
          <c:smooth val="1"/>
          <c:extLst>
            <c:ext xmlns:c16="http://schemas.microsoft.com/office/drawing/2014/chart" uri="{C3380CC4-5D6E-409C-BE32-E72D297353CC}">
              <c16:uniqueId val="{0000000D-3E44-4751-B395-1F971D14B09B}"/>
            </c:ext>
          </c:extLst>
        </c:ser>
        <c:dLbls>
          <c:showLegendKey val="0"/>
          <c:showVal val="0"/>
          <c:showCatName val="0"/>
          <c:showSerName val="0"/>
          <c:showPercent val="0"/>
          <c:showBubbleSize val="0"/>
        </c:dLbls>
        <c:axId val="563831263"/>
        <c:axId val="563830015"/>
      </c:scatterChart>
      <c:valAx>
        <c:axId val="5638312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areaChart>
        <c:grouping val="stacked"/>
        <c:varyColors val="0"/>
        <c:ser>
          <c:idx val="0"/>
          <c:order val="0"/>
          <c:tx>
            <c:v>Transport ferroviaire</c:v>
          </c:tx>
          <c:spPr>
            <a:solidFill>
              <a:srgbClr val="0070C0"/>
            </a:solidFill>
            <a:ln>
              <a:noFill/>
            </a:ln>
            <a:effectLst/>
          </c:spPr>
          <c:cat>
            <c:numRef>
              <c:f>'[2021_comptes_transports_e_transport_marchandises_v2.xlsx]E1.a1'!$B$3:$AI$3</c:f>
              <c:numCache>
                <c:formatCode>0</c:formatCode>
                <c:ptCount val="34"/>
                <c:pt idx="0">
                  <c:v>1984</c:v>
                </c:pt>
                <c:pt idx="1">
                  <c:v>1985</c:v>
                </c:pt>
                <c:pt idx="2">
                  <c:v>1986</c:v>
                </c:pt>
                <c:pt idx="3">
                  <c:v>1987</c:v>
                </c:pt>
                <c:pt idx="4">
                  <c:v>1988</c:v>
                </c:pt>
                <c:pt idx="5">
                  <c:v>1989</c:v>
                </c:pt>
                <c:pt idx="6">
                  <c:v>1990</c:v>
                </c:pt>
                <c:pt idx="7">
                  <c:v>1991</c:v>
                </c:pt>
                <c:pt idx="8">
                  <c:v>1992</c:v>
                </c:pt>
                <c:pt idx="9">
                  <c:v>1993</c:v>
                </c:pt>
                <c:pt idx="10">
                  <c:v>1994</c:v>
                </c:pt>
                <c:pt idx="11">
                  <c:v>1995</c:v>
                </c:pt>
                <c:pt idx="12">
                  <c:v>1996</c:v>
                </c:pt>
                <c:pt idx="13">
                  <c:v>1997</c:v>
                </c:pt>
                <c:pt idx="14">
                  <c:v>1998</c:v>
                </c:pt>
                <c:pt idx="15">
                  <c:v>1999</c:v>
                </c:pt>
                <c:pt idx="16">
                  <c:v>2000</c:v>
                </c:pt>
                <c:pt idx="17">
                  <c:v>2001</c:v>
                </c:pt>
                <c:pt idx="18">
                  <c:v>2002</c:v>
                </c:pt>
                <c:pt idx="19">
                  <c:v>2003</c:v>
                </c:pt>
                <c:pt idx="20">
                  <c:v>2004</c:v>
                </c:pt>
                <c:pt idx="21">
                  <c:v>2005</c:v>
                </c:pt>
                <c:pt idx="22">
                  <c:v>2006</c:v>
                </c:pt>
                <c:pt idx="23">
                  <c:v>2007</c:v>
                </c:pt>
                <c:pt idx="24">
                  <c:v>2008</c:v>
                </c:pt>
                <c:pt idx="25">
                  <c:v>2009</c:v>
                </c:pt>
                <c:pt idx="26">
                  <c:v>2010</c:v>
                </c:pt>
                <c:pt idx="27">
                  <c:v>2011</c:v>
                </c:pt>
                <c:pt idx="28">
                  <c:v>2012</c:v>
                </c:pt>
                <c:pt idx="29">
                  <c:v>2013</c:v>
                </c:pt>
                <c:pt idx="30">
                  <c:v>2014</c:v>
                </c:pt>
                <c:pt idx="31">
                  <c:v>2015</c:v>
                </c:pt>
                <c:pt idx="32">
                  <c:v>2016</c:v>
                </c:pt>
                <c:pt idx="33">
                  <c:v>2017</c:v>
                </c:pt>
              </c:numCache>
            </c:numRef>
          </c:cat>
          <c:val>
            <c:numRef>
              <c:f>'[2021_comptes_transports_e_transport_marchandises_v2.xlsx]E1.a1'!$B$4:$AJ$4,'[2021_comptes_transports_e_transport_marchandises_v2.xlsx]E1.a1'!$AQ$4:$AS$4</c:f>
              <c:numCache>
                <c:formatCode>#\ ##0.0</c:formatCode>
                <c:ptCount val="38"/>
                <c:pt idx="0">
                  <c:v>57.749000000000002</c:v>
                </c:pt>
                <c:pt idx="1">
                  <c:v>56.058999999999997</c:v>
                </c:pt>
                <c:pt idx="2">
                  <c:v>52.686</c:v>
                </c:pt>
                <c:pt idx="3">
                  <c:v>52.707000000000001</c:v>
                </c:pt>
                <c:pt idx="4">
                  <c:v>52.945999999999998</c:v>
                </c:pt>
                <c:pt idx="5">
                  <c:v>53.712000000000003</c:v>
                </c:pt>
                <c:pt idx="6">
                  <c:v>52.24</c:v>
                </c:pt>
                <c:pt idx="7">
                  <c:v>52.430011</c:v>
                </c:pt>
                <c:pt idx="8">
                  <c:v>51.180591</c:v>
                </c:pt>
                <c:pt idx="9">
                  <c:v>45.582509000000002</c:v>
                </c:pt>
                <c:pt idx="10">
                  <c:v>48.871257999999997</c:v>
                </c:pt>
                <c:pt idx="11">
                  <c:v>48.266067999999997</c:v>
                </c:pt>
                <c:pt idx="12">
                  <c:v>50.113</c:v>
                </c:pt>
                <c:pt idx="13">
                  <c:v>54.246000000000002</c:v>
                </c:pt>
                <c:pt idx="14">
                  <c:v>54.099525</c:v>
                </c:pt>
                <c:pt idx="15">
                  <c:v>54.53801500294</c:v>
                </c:pt>
                <c:pt idx="16">
                  <c:v>57.725754642223997</c:v>
                </c:pt>
                <c:pt idx="17">
                  <c:v>51.718302252256997</c:v>
                </c:pt>
                <c:pt idx="18">
                  <c:v>51.288192553031003</c:v>
                </c:pt>
                <c:pt idx="19">
                  <c:v>48.057268754623998</c:v>
                </c:pt>
                <c:pt idx="20">
                  <c:v>46.348370260433001</c:v>
                </c:pt>
                <c:pt idx="21">
                  <c:v>40.701180450133002</c:v>
                </c:pt>
                <c:pt idx="22">
                  <c:v>41.178920252944998</c:v>
                </c:pt>
                <c:pt idx="23">
                  <c:v>42.6118598758936</c:v>
                </c:pt>
                <c:pt idx="24">
                  <c:v>40.436129085262202</c:v>
                </c:pt>
                <c:pt idx="25">
                  <c:v>32.1291690572275</c:v>
                </c:pt>
                <c:pt idx="26">
                  <c:v>29.9647515529957</c:v>
                </c:pt>
                <c:pt idx="27">
                  <c:v>34.201586813471003</c:v>
                </c:pt>
                <c:pt idx="28">
                  <c:v>32.538902999999998</c:v>
                </c:pt>
                <c:pt idx="29">
                  <c:v>32.2301126139986</c:v>
                </c:pt>
                <c:pt idx="30">
                  <c:v>32.596312499881599</c:v>
                </c:pt>
                <c:pt idx="31">
                  <c:v>36.328056893000003</c:v>
                </c:pt>
                <c:pt idx="32">
                  <c:v>34.724299999999999</c:v>
                </c:pt>
                <c:pt idx="33">
                  <c:v>35.654600000000002</c:v>
                </c:pt>
                <c:pt idx="34">
                  <c:v>34.1633</c:v>
                </c:pt>
                <c:pt idx="35">
                  <c:v>33.893100000000004</c:v>
                </c:pt>
                <c:pt idx="36">
                  <c:v>31.281700000000001</c:v>
                </c:pt>
                <c:pt idx="37">
                  <c:v>35.751300000000001</c:v>
                </c:pt>
              </c:numCache>
            </c:numRef>
          </c:val>
          <c:extLst>
            <c:ext xmlns:c16="http://schemas.microsoft.com/office/drawing/2014/chart" uri="{C3380CC4-5D6E-409C-BE32-E72D297353CC}">
              <c16:uniqueId val="{00000000-E8EB-45D4-98A2-EFE85BF77F5A}"/>
            </c:ext>
          </c:extLst>
        </c:ser>
        <c:ser>
          <c:idx val="1"/>
          <c:order val="1"/>
          <c:tx>
            <c:v>Transport routier</c:v>
          </c:tx>
          <c:spPr>
            <a:solidFill>
              <a:srgbClr val="FFC000"/>
            </a:solidFill>
            <a:ln w="25400">
              <a:noFill/>
            </a:ln>
            <a:effectLst/>
          </c:spPr>
          <c:val>
            <c:numRef>
              <c:f>'[2021_comptes_transports_e_transport_marchandises_v2.xlsx]E1.a1'!$B$10:$AJ$10,'[2021_comptes_transports_e_transport_marchandises_v2.xlsx]E1.a1'!$AQ$10,'[2021_comptes_transports_e_transport_marchandises_v2.xlsx]E1.a1'!$AR$10,'[2021_comptes_transports_e_transport_marchandises_v2.xlsx]E1.a1'!$AS$10</c:f>
              <c:numCache>
                <c:formatCode>0.0</c:formatCode>
                <c:ptCount val="38"/>
                <c:pt idx="0">
                  <c:v>125.883261763853</c:v>
                </c:pt>
                <c:pt idx="1">
                  <c:v>128.41773876381799</c:v>
                </c:pt>
                <c:pt idx="2">
                  <c:v>134.59800392918001</c:v>
                </c:pt>
                <c:pt idx="3">
                  <c:v>144.51500159377599</c:v>
                </c:pt>
                <c:pt idx="4">
                  <c:v>161.10934855145101</c:v>
                </c:pt>
                <c:pt idx="5">
                  <c:v>168.637945959847</c:v>
                </c:pt>
                <c:pt idx="6">
                  <c:v>195.71571949801401</c:v>
                </c:pt>
                <c:pt idx="7">
                  <c:v>201.086547261916</c:v>
                </c:pt>
                <c:pt idx="8">
                  <c:v>206.65833831589401</c:v>
                </c:pt>
                <c:pt idx="9">
                  <c:v>202.582492823085</c:v>
                </c:pt>
                <c:pt idx="10">
                  <c:v>217.72231105738101</c:v>
                </c:pt>
                <c:pt idx="11">
                  <c:v>232.902005978338</c:v>
                </c:pt>
                <c:pt idx="12">
                  <c:v>237.471330909497</c:v>
                </c:pt>
                <c:pt idx="13">
                  <c:v>246.953993789967</c:v>
                </c:pt>
                <c:pt idx="14">
                  <c:v>257.64902268944002</c:v>
                </c:pt>
                <c:pt idx="15">
                  <c:v>266.69847652687099</c:v>
                </c:pt>
                <c:pt idx="16">
                  <c:v>276.81732737618103</c:v>
                </c:pt>
                <c:pt idx="17">
                  <c:v>290.44946576625199</c:v>
                </c:pt>
                <c:pt idx="18">
                  <c:v>293.40466064730703</c:v>
                </c:pt>
                <c:pt idx="19">
                  <c:v>297.01678351073201</c:v>
                </c:pt>
                <c:pt idx="20">
                  <c:v>314.93268721507599</c:v>
                </c:pt>
                <c:pt idx="21">
                  <c:v>314.769890644138</c:v>
                </c:pt>
                <c:pt idx="22">
                  <c:v>328.31053952344598</c:v>
                </c:pt>
                <c:pt idx="23">
                  <c:v>340.86517427341403</c:v>
                </c:pt>
                <c:pt idx="24">
                  <c:v>327.453616289639</c:v>
                </c:pt>
                <c:pt idx="25">
                  <c:v>284.486543985558</c:v>
                </c:pt>
                <c:pt idx="26">
                  <c:v>301.08508231604401</c:v>
                </c:pt>
                <c:pt idx="27">
                  <c:v>301.95206886146298</c:v>
                </c:pt>
                <c:pt idx="28">
                  <c:v>285.90828242319401</c:v>
                </c:pt>
                <c:pt idx="29">
                  <c:v>288.61794456426497</c:v>
                </c:pt>
                <c:pt idx="30">
                  <c:v>288.53234107900755</c:v>
                </c:pt>
                <c:pt idx="31">
                  <c:v>281.92484480309156</c:v>
                </c:pt>
                <c:pt idx="32">
                  <c:v>289.01068657781599</c:v>
                </c:pt>
                <c:pt idx="33">
                  <c:v>308.28884234000623</c:v>
                </c:pt>
                <c:pt idx="34" formatCode="#\ ##0.0">
                  <c:v>317.29340269264549</c:v>
                </c:pt>
                <c:pt idx="35" formatCode="#\ ##0.0">
                  <c:v>296.78758110365834</c:v>
                </c:pt>
                <c:pt idx="36" formatCode="#\ ##0.0">
                  <c:v>286.97452616945088</c:v>
                </c:pt>
                <c:pt idx="37">
                  <c:v>292.00913466950681</c:v>
                </c:pt>
              </c:numCache>
            </c:numRef>
          </c:val>
          <c:extLst>
            <c:ext xmlns:c16="http://schemas.microsoft.com/office/drawing/2014/chart" uri="{C3380CC4-5D6E-409C-BE32-E72D297353CC}">
              <c16:uniqueId val="{00000001-E8EB-45D4-98A2-EFE85BF77F5A}"/>
            </c:ext>
          </c:extLst>
        </c:ser>
        <c:ser>
          <c:idx val="2"/>
          <c:order val="2"/>
          <c:tx>
            <c:v>Transport fluvial</c:v>
          </c:tx>
          <c:spPr>
            <a:solidFill>
              <a:srgbClr val="00B050"/>
            </a:solidFill>
            <a:ln w="25400">
              <a:noFill/>
            </a:ln>
            <a:effectLst/>
          </c:spPr>
          <c:val>
            <c:numRef>
              <c:f>'[2021_comptes_transports_e_transport_marchandises_v2.xlsx]E1.a1'!$B$22:$AJ$22,'[2021_comptes_transports_e_transport_marchandises_v2.xlsx]E1.a1'!$AQ$22,'[2021_comptes_transports_e_transport_marchandises_v2.xlsx]E1.a1'!$AR$22,'[2021_comptes_transports_e_transport_marchandises_v2.xlsx]E1.a1'!$AS$22</c:f>
              <c:numCache>
                <c:formatCode>#\ ##0.0</c:formatCode>
                <c:ptCount val="38"/>
                <c:pt idx="0">
                  <c:v>7.9539999999999997</c:v>
                </c:pt>
                <c:pt idx="1">
                  <c:v>7.5890000000000004</c:v>
                </c:pt>
                <c:pt idx="2">
                  <c:v>6.9930000000000003</c:v>
                </c:pt>
                <c:pt idx="3">
                  <c:v>6.6859999999999999</c:v>
                </c:pt>
                <c:pt idx="4">
                  <c:v>6.6440000000000001</c:v>
                </c:pt>
                <c:pt idx="5">
                  <c:v>6.7519999999999998</c:v>
                </c:pt>
                <c:pt idx="6">
                  <c:v>7.1639999999999997</c:v>
                </c:pt>
                <c:pt idx="7">
                  <c:v>6.8339999999999996</c:v>
                </c:pt>
                <c:pt idx="8">
                  <c:v>6.9109999999999996</c:v>
                </c:pt>
                <c:pt idx="9">
                  <c:v>5.95</c:v>
                </c:pt>
                <c:pt idx="10">
                  <c:v>5.593</c:v>
                </c:pt>
                <c:pt idx="11">
                  <c:v>5.8650000000000002</c:v>
                </c:pt>
                <c:pt idx="12">
                  <c:v>5.7439999999999998</c:v>
                </c:pt>
                <c:pt idx="13">
                  <c:v>5.681820782</c:v>
                </c:pt>
                <c:pt idx="14">
                  <c:v>6.2066160080000001</c:v>
                </c:pt>
                <c:pt idx="15">
                  <c:v>6.8291568080000005</c:v>
                </c:pt>
                <c:pt idx="16">
                  <c:v>7.2604887309999997</c:v>
                </c:pt>
                <c:pt idx="17">
                  <c:v>6.7157216340000003</c:v>
                </c:pt>
                <c:pt idx="18">
                  <c:v>6.9393910649999997</c:v>
                </c:pt>
                <c:pt idx="19">
                  <c:v>6.8893911499999998</c:v>
                </c:pt>
                <c:pt idx="20">
                  <c:v>7.3141958340000004</c:v>
                </c:pt>
                <c:pt idx="21">
                  <c:v>7.8557629599999999</c:v>
                </c:pt>
                <c:pt idx="22">
                  <c:v>7.9504648500000004</c:v>
                </c:pt>
                <c:pt idx="23">
                  <c:v>7.5444022149999999</c:v>
                </c:pt>
                <c:pt idx="24">
                  <c:v>7.5037168990000005</c:v>
                </c:pt>
                <c:pt idx="25">
                  <c:v>7.4227809410000001</c:v>
                </c:pt>
                <c:pt idx="26">
                  <c:v>8.0596076720000003</c:v>
                </c:pt>
                <c:pt idx="27">
                  <c:v>7.8636435870000003</c:v>
                </c:pt>
                <c:pt idx="28">
                  <c:v>7.8296116019999999</c:v>
                </c:pt>
                <c:pt idx="29">
                  <c:v>7.9115401370000003</c:v>
                </c:pt>
                <c:pt idx="30">
                  <c:v>7.7516347300000001</c:v>
                </c:pt>
                <c:pt idx="31">
                  <c:v>7.4611168299999999</c:v>
                </c:pt>
                <c:pt idx="32">
                  <c:v>6.8364299009999998</c:v>
                </c:pt>
                <c:pt idx="33">
                  <c:v>6.7146486020000005</c:v>
                </c:pt>
                <c:pt idx="34">
                  <c:v>6.7016106449999997</c:v>
                </c:pt>
                <c:pt idx="35">
                  <c:v>7.3572701570000003</c:v>
                </c:pt>
                <c:pt idx="36">
                  <c:v>6.5212725449999995</c:v>
                </c:pt>
                <c:pt idx="37">
                  <c:v>6.7822857569999995</c:v>
                </c:pt>
              </c:numCache>
            </c:numRef>
          </c:val>
          <c:extLst>
            <c:ext xmlns:c16="http://schemas.microsoft.com/office/drawing/2014/chart" uri="{C3380CC4-5D6E-409C-BE32-E72D297353CC}">
              <c16:uniqueId val="{00000002-E8EB-45D4-98A2-EFE85BF77F5A}"/>
            </c:ext>
          </c:extLst>
        </c:ser>
        <c:ser>
          <c:idx val="3"/>
          <c:order val="3"/>
          <c:tx>
            <c:v>Oléoducs</c:v>
          </c:tx>
          <c:spPr>
            <a:solidFill>
              <a:schemeClr val="bg1">
                <a:lumMod val="50000"/>
              </a:schemeClr>
            </a:solidFill>
            <a:ln w="25400">
              <a:noFill/>
            </a:ln>
            <a:effectLst/>
          </c:spPr>
          <c:val>
            <c:numRef>
              <c:f>'[2021_comptes_transports_e_transport_marchandises_v2.xlsx]E1.a1'!$B$30:$AJ$30,'[2021_comptes_transports_e_transport_marchandises_v2.xlsx]E1.a1'!$AQ$30,'[2021_comptes_transports_e_transport_marchandises_v2.xlsx]E1.a1'!$AR$30,'[2021_comptes_transports_e_transport_marchandises_v2.xlsx]E1.a1'!$AS$30</c:f>
              <c:numCache>
                <c:formatCode>#\ ##0.0</c:formatCode>
                <c:ptCount val="38"/>
                <c:pt idx="0">
                  <c:v>25.859000000000002</c:v>
                </c:pt>
                <c:pt idx="1">
                  <c:v>24.141999999999999</c:v>
                </c:pt>
                <c:pt idx="2">
                  <c:v>26.977</c:v>
                </c:pt>
                <c:pt idx="3">
                  <c:v>25.254999999999999</c:v>
                </c:pt>
                <c:pt idx="4">
                  <c:v>29.283999999999999</c:v>
                </c:pt>
                <c:pt idx="5">
                  <c:v>22.969000000000001</c:v>
                </c:pt>
                <c:pt idx="6">
                  <c:v>19.609000000000002</c:v>
                </c:pt>
                <c:pt idx="7">
                  <c:v>22.501000000000001</c:v>
                </c:pt>
                <c:pt idx="8">
                  <c:v>23.381</c:v>
                </c:pt>
                <c:pt idx="9">
                  <c:v>23.312000000000001</c:v>
                </c:pt>
                <c:pt idx="10">
                  <c:v>22.187000000000001</c:v>
                </c:pt>
                <c:pt idx="11">
                  <c:v>22.274999999999999</c:v>
                </c:pt>
                <c:pt idx="12">
                  <c:v>21.908999999999999</c:v>
                </c:pt>
                <c:pt idx="13">
                  <c:v>22.088999999999999</c:v>
                </c:pt>
                <c:pt idx="14">
                  <c:v>21.582000000000001</c:v>
                </c:pt>
                <c:pt idx="15">
                  <c:v>21.321999999999999</c:v>
                </c:pt>
                <c:pt idx="16">
                  <c:v>21.669</c:v>
                </c:pt>
                <c:pt idx="17">
                  <c:v>22.14</c:v>
                </c:pt>
                <c:pt idx="18">
                  <c:v>20.954000000000001</c:v>
                </c:pt>
                <c:pt idx="19">
                  <c:v>22.146999999999998</c:v>
                </c:pt>
                <c:pt idx="20">
                  <c:v>20.559000000000001</c:v>
                </c:pt>
                <c:pt idx="21">
                  <c:v>20.856000000000002</c:v>
                </c:pt>
                <c:pt idx="22">
                  <c:v>22.199000000000002</c:v>
                </c:pt>
                <c:pt idx="23">
                  <c:v>21.140999999999998</c:v>
                </c:pt>
                <c:pt idx="24">
                  <c:v>20.917999999999999</c:v>
                </c:pt>
                <c:pt idx="25">
                  <c:v>19.481424363999999</c:v>
                </c:pt>
                <c:pt idx="26">
                  <c:v>17.607453721999999</c:v>
                </c:pt>
                <c:pt idx="27">
                  <c:v>17.206684074599998</c:v>
                </c:pt>
                <c:pt idx="28">
                  <c:v>15.151308542800001</c:v>
                </c:pt>
                <c:pt idx="29">
                  <c:v>11.520723741799999</c:v>
                </c:pt>
                <c:pt idx="30">
                  <c:v>11.054919406</c:v>
                </c:pt>
                <c:pt idx="31">
                  <c:v>11.442554056040001</c:v>
                </c:pt>
                <c:pt idx="32">
                  <c:v>11.37304163828</c:v>
                </c:pt>
                <c:pt idx="33">
                  <c:v>11.972708157</c:v>
                </c:pt>
                <c:pt idx="34">
                  <c:v>12.448928791</c:v>
                </c:pt>
                <c:pt idx="35">
                  <c:v>12.1620504860377</c:v>
                </c:pt>
                <c:pt idx="36">
                  <c:v>9.5138505356014402</c:v>
                </c:pt>
                <c:pt idx="37">
                  <c:v>9.2297626712716294</c:v>
                </c:pt>
              </c:numCache>
            </c:numRef>
          </c:val>
          <c:extLst>
            <c:ext xmlns:c16="http://schemas.microsoft.com/office/drawing/2014/chart" uri="{C3380CC4-5D6E-409C-BE32-E72D297353CC}">
              <c16:uniqueId val="{00000003-E8EB-45D4-98A2-EFE85BF77F5A}"/>
            </c:ext>
          </c:extLst>
        </c:ser>
        <c:dLbls>
          <c:showLegendKey val="0"/>
          <c:showVal val="0"/>
          <c:showCatName val="0"/>
          <c:showSerName val="0"/>
          <c:showPercent val="0"/>
          <c:showBubbleSize val="0"/>
        </c:dLbls>
        <c:axId val="2028043999"/>
        <c:axId val="2028029023"/>
      </c:areaChart>
      <c:catAx>
        <c:axId val="2028043999"/>
        <c:scaling>
          <c:orientation val="minMax"/>
        </c:scaling>
        <c:delete val="0"/>
        <c:axPos val="b"/>
        <c:numFmt formatCode="0"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029023"/>
        <c:crosses val="autoZero"/>
        <c:auto val="1"/>
        <c:lblAlgn val="ctr"/>
        <c:lblOffset val="100"/>
        <c:tickLblSkip val="3"/>
        <c:tickMarkSkip val="1"/>
        <c:noMultiLvlLbl val="0"/>
      </c:catAx>
      <c:valAx>
        <c:axId val="20280290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milliards tonnes-kilomètres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04399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AME21</a:t>
            </a:r>
            <a:r>
              <a:rPr lang="fr-FR" baseline="0"/>
              <a:t> hors LULUCF</a:t>
            </a: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131950802661295"/>
          <c:y val="0.17155110819480898"/>
          <c:w val="0.86383553073307695"/>
          <c:h val="0.50301326917468647"/>
        </c:manualLayout>
      </c:layout>
      <c:scatterChart>
        <c:scatterStyle val="lineMarker"/>
        <c:varyColors val="0"/>
        <c:ser>
          <c:idx val="0"/>
          <c:order val="0"/>
          <c:tx>
            <c:strRef>
              <c:f>Feuil11!$B$5</c:f>
              <c:strCache>
                <c:ptCount val="1"/>
                <c:pt idx="0">
                  <c:v>CO2 excluding LULUCF </c:v>
                </c:pt>
              </c:strCache>
            </c:strRef>
          </c:tx>
          <c:spPr>
            <a:ln w="19050" cap="rnd">
              <a:solidFill>
                <a:schemeClr val="accent1"/>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Feuil11!$C$5:$I$5</c:f>
              <c:numCache>
                <c:formatCode>General</c:formatCode>
                <c:ptCount val="7"/>
                <c:pt idx="0">
                  <c:v>398425</c:v>
                </c:pt>
                <c:pt idx="1">
                  <c:v>392916</c:v>
                </c:pt>
                <c:pt idx="2">
                  <c:v>414788</c:v>
                </c:pt>
                <c:pt idx="3">
                  <c:v>425444</c:v>
                </c:pt>
                <c:pt idx="4">
                  <c:v>386872</c:v>
                </c:pt>
                <c:pt idx="5">
                  <c:v>341631</c:v>
                </c:pt>
                <c:pt idx="6">
                  <c:v>326725</c:v>
                </c:pt>
              </c:numCache>
            </c:numRef>
          </c:yVal>
          <c:smooth val="0"/>
          <c:extLst>
            <c:ext xmlns:c16="http://schemas.microsoft.com/office/drawing/2014/chart" uri="{C3380CC4-5D6E-409C-BE32-E72D297353CC}">
              <c16:uniqueId val="{00000000-89FB-4516-97ED-79D53DCB0C5C}"/>
            </c:ext>
          </c:extLst>
        </c:ser>
        <c:ser>
          <c:idx val="1"/>
          <c:order val="1"/>
          <c:tx>
            <c:strRef>
              <c:f>Feuil11!$B$7</c:f>
              <c:strCache>
                <c:ptCount val="1"/>
                <c:pt idx="0">
                  <c:v>CH4 excluding LULUCF </c:v>
                </c:pt>
              </c:strCache>
            </c:strRef>
          </c:tx>
          <c:spPr>
            <a:ln w="19050" cap="rnd">
              <a:solidFill>
                <a:schemeClr val="accent2"/>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Feuil11!$C$7:$I$7</c:f>
              <c:numCache>
                <c:formatCode>General</c:formatCode>
                <c:ptCount val="7"/>
                <c:pt idx="0">
                  <c:v>69161</c:v>
                </c:pt>
                <c:pt idx="1">
                  <c:v>70383</c:v>
                </c:pt>
                <c:pt idx="2">
                  <c:v>68603</c:v>
                </c:pt>
                <c:pt idx="3">
                  <c:v>63632</c:v>
                </c:pt>
                <c:pt idx="4">
                  <c:v>61663</c:v>
                </c:pt>
                <c:pt idx="5">
                  <c:v>57862</c:v>
                </c:pt>
                <c:pt idx="6">
                  <c:v>55740</c:v>
                </c:pt>
              </c:numCache>
            </c:numRef>
          </c:yVal>
          <c:smooth val="0"/>
          <c:extLst>
            <c:ext xmlns:c16="http://schemas.microsoft.com/office/drawing/2014/chart" uri="{C3380CC4-5D6E-409C-BE32-E72D297353CC}">
              <c16:uniqueId val="{00000001-89FB-4516-97ED-79D53DCB0C5C}"/>
            </c:ext>
          </c:extLst>
        </c:ser>
        <c:ser>
          <c:idx val="2"/>
          <c:order val="2"/>
          <c:tx>
            <c:strRef>
              <c:f>Feuil11!$B$9</c:f>
              <c:strCache>
                <c:ptCount val="1"/>
                <c:pt idx="0">
                  <c:v>N2O excluding LULUCF </c:v>
                </c:pt>
              </c:strCache>
            </c:strRef>
          </c:tx>
          <c:spPr>
            <a:ln w="19050" cap="rnd">
              <a:solidFill>
                <a:schemeClr val="accent3"/>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Feuil11!$C$9:$I$9</c:f>
              <c:numCache>
                <c:formatCode>General</c:formatCode>
                <c:ptCount val="7"/>
                <c:pt idx="0">
                  <c:v>64725</c:v>
                </c:pt>
                <c:pt idx="1">
                  <c:v>65937</c:v>
                </c:pt>
                <c:pt idx="2">
                  <c:v>53681</c:v>
                </c:pt>
                <c:pt idx="3">
                  <c:v>46307</c:v>
                </c:pt>
                <c:pt idx="4">
                  <c:v>40478</c:v>
                </c:pt>
                <c:pt idx="5">
                  <c:v>39895</c:v>
                </c:pt>
                <c:pt idx="6">
                  <c:v>38071</c:v>
                </c:pt>
              </c:numCache>
            </c:numRef>
          </c:yVal>
          <c:smooth val="0"/>
          <c:extLst>
            <c:ext xmlns:c16="http://schemas.microsoft.com/office/drawing/2014/chart" uri="{C3380CC4-5D6E-409C-BE32-E72D297353CC}">
              <c16:uniqueId val="{00000002-89FB-4516-97ED-79D53DCB0C5C}"/>
            </c:ext>
          </c:extLst>
        </c:ser>
        <c:ser>
          <c:idx val="3"/>
          <c:order val="3"/>
          <c:tx>
            <c:strRef>
              <c:f>Feuil11!$B$11</c:f>
              <c:strCache>
                <c:ptCount val="1"/>
                <c:pt idx="0">
                  <c:v>HFCs </c:v>
                </c:pt>
              </c:strCache>
            </c:strRef>
          </c:tx>
          <c:spPr>
            <a:ln w="19050" cap="rnd">
              <a:solidFill>
                <a:schemeClr val="accent4"/>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Feuil11!$C$11:$I$11</c:f>
              <c:numCache>
                <c:formatCode>General</c:formatCode>
                <c:ptCount val="7"/>
                <c:pt idx="0">
                  <c:v>4402</c:v>
                </c:pt>
                <c:pt idx="1">
                  <c:v>1702</c:v>
                </c:pt>
                <c:pt idx="2">
                  <c:v>6736</c:v>
                </c:pt>
                <c:pt idx="3">
                  <c:v>12862</c:v>
                </c:pt>
                <c:pt idx="4">
                  <c:v>16930</c:v>
                </c:pt>
                <c:pt idx="5">
                  <c:v>17494</c:v>
                </c:pt>
                <c:pt idx="6">
                  <c:v>12992</c:v>
                </c:pt>
              </c:numCache>
            </c:numRef>
          </c:yVal>
          <c:smooth val="0"/>
          <c:extLst>
            <c:ext xmlns:c16="http://schemas.microsoft.com/office/drawing/2014/chart" uri="{C3380CC4-5D6E-409C-BE32-E72D297353CC}">
              <c16:uniqueId val="{00000003-89FB-4516-97ED-79D53DCB0C5C}"/>
            </c:ext>
          </c:extLst>
        </c:ser>
        <c:ser>
          <c:idx val="4"/>
          <c:order val="4"/>
          <c:tx>
            <c:strRef>
              <c:f>Feuil11!$B$13</c:f>
              <c:strCache>
                <c:ptCount val="1"/>
                <c:pt idx="0">
                  <c:v>PFCs </c:v>
                </c:pt>
              </c:strCache>
            </c:strRef>
          </c:tx>
          <c:spPr>
            <a:ln w="19050" cap="rnd">
              <a:solidFill>
                <a:schemeClr val="accent5"/>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Feuil11!$C$13:$I$13</c:f>
              <c:numCache>
                <c:formatCode>General</c:formatCode>
                <c:ptCount val="7"/>
                <c:pt idx="0">
                  <c:v>5202</c:v>
                </c:pt>
                <c:pt idx="1">
                  <c:v>3065</c:v>
                </c:pt>
                <c:pt idx="2">
                  <c:v>2997</c:v>
                </c:pt>
                <c:pt idx="3">
                  <c:v>1760</c:v>
                </c:pt>
                <c:pt idx="4">
                  <c:v>617</c:v>
                </c:pt>
                <c:pt idx="5">
                  <c:v>537</c:v>
                </c:pt>
                <c:pt idx="6">
                  <c:v>615</c:v>
                </c:pt>
              </c:numCache>
            </c:numRef>
          </c:yVal>
          <c:smooth val="0"/>
          <c:extLst>
            <c:ext xmlns:c16="http://schemas.microsoft.com/office/drawing/2014/chart" uri="{C3380CC4-5D6E-409C-BE32-E72D297353CC}">
              <c16:uniqueId val="{00000004-89FB-4516-97ED-79D53DCB0C5C}"/>
            </c:ext>
          </c:extLst>
        </c:ser>
        <c:ser>
          <c:idx val="5"/>
          <c:order val="5"/>
          <c:tx>
            <c:strRef>
              <c:f>Feuil11!$B$15</c:f>
              <c:strCache>
                <c:ptCount val="1"/>
                <c:pt idx="0">
                  <c:v>SF6 </c:v>
                </c:pt>
              </c:strCache>
            </c:strRef>
          </c:tx>
          <c:spPr>
            <a:ln w="19050" cap="rnd">
              <a:solidFill>
                <a:schemeClr val="accent6"/>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Feuil11!$C$15:$I$15</c:f>
              <c:numCache>
                <c:formatCode>General</c:formatCode>
                <c:ptCount val="7"/>
                <c:pt idx="0">
                  <c:v>2155</c:v>
                </c:pt>
                <c:pt idx="1">
                  <c:v>2467</c:v>
                </c:pt>
                <c:pt idx="2">
                  <c:v>2180</c:v>
                </c:pt>
                <c:pt idx="3">
                  <c:v>1355</c:v>
                </c:pt>
                <c:pt idx="4">
                  <c:v>875</c:v>
                </c:pt>
                <c:pt idx="5">
                  <c:v>498</c:v>
                </c:pt>
                <c:pt idx="6">
                  <c:v>385</c:v>
                </c:pt>
              </c:numCache>
            </c:numRef>
          </c:yVal>
          <c:smooth val="0"/>
          <c:extLst>
            <c:ext xmlns:c16="http://schemas.microsoft.com/office/drawing/2014/chart" uri="{C3380CC4-5D6E-409C-BE32-E72D297353CC}">
              <c16:uniqueId val="{00000005-89FB-4516-97ED-79D53DCB0C5C}"/>
            </c:ext>
          </c:extLst>
        </c:ser>
        <c:ser>
          <c:idx val="6"/>
          <c:order val="6"/>
          <c:tx>
            <c:strRef>
              <c:f>Feuil11!$B$17</c:f>
              <c:strCache>
                <c:ptCount val="1"/>
                <c:pt idx="0">
                  <c:v>NF3 </c:v>
                </c:pt>
              </c:strCache>
            </c:strRef>
          </c:tx>
          <c:spPr>
            <a:ln w="19050" cap="rnd">
              <a:solidFill>
                <a:schemeClr val="accent1">
                  <a:lumMod val="60000"/>
                </a:schemeClr>
              </a:solidFill>
              <a:round/>
            </a:ln>
            <a:effectLst/>
          </c:spPr>
          <c:marker>
            <c:symbol val="none"/>
          </c:marker>
          <c:xVal>
            <c:numRef>
              <c:f>Feuil11!$C$4:$I$4</c:f>
              <c:numCache>
                <c:formatCode>General</c:formatCode>
                <c:ptCount val="7"/>
                <c:pt idx="0">
                  <c:v>1990</c:v>
                </c:pt>
                <c:pt idx="1">
                  <c:v>1995</c:v>
                </c:pt>
                <c:pt idx="2">
                  <c:v>2000</c:v>
                </c:pt>
                <c:pt idx="3">
                  <c:v>2005</c:v>
                </c:pt>
                <c:pt idx="4">
                  <c:v>2010</c:v>
                </c:pt>
                <c:pt idx="5">
                  <c:v>2015</c:v>
                </c:pt>
                <c:pt idx="6">
                  <c:v>2019</c:v>
                </c:pt>
              </c:numCache>
            </c:numRef>
          </c:xVal>
          <c:yVal>
            <c:numRef>
              <c:f>Feuil11!$C$17:$I$17</c:f>
              <c:numCache>
                <c:formatCode>General</c:formatCode>
                <c:ptCount val="7"/>
                <c:pt idx="0">
                  <c:v>16</c:v>
                </c:pt>
                <c:pt idx="1">
                  <c:v>6</c:v>
                </c:pt>
                <c:pt idx="2">
                  <c:v>20</c:v>
                </c:pt>
                <c:pt idx="3">
                  <c:v>31</c:v>
                </c:pt>
                <c:pt idx="4">
                  <c:v>32</c:v>
                </c:pt>
                <c:pt idx="5">
                  <c:v>6</c:v>
                </c:pt>
                <c:pt idx="6">
                  <c:v>10</c:v>
                </c:pt>
              </c:numCache>
            </c:numRef>
          </c:yVal>
          <c:smooth val="0"/>
          <c:extLst>
            <c:ext xmlns:c16="http://schemas.microsoft.com/office/drawing/2014/chart" uri="{C3380CC4-5D6E-409C-BE32-E72D297353CC}">
              <c16:uniqueId val="{00000006-89FB-4516-97ED-79D53DCB0C5C}"/>
            </c:ext>
          </c:extLst>
        </c:ser>
        <c:ser>
          <c:idx val="7"/>
          <c:order val="7"/>
          <c:tx>
            <c:strRef>
              <c:f>Feuil11!$B$6</c:f>
              <c:strCache>
                <c:ptCount val="1"/>
                <c:pt idx="0">
                  <c:v>CO2 excluding LULUCF (projections)</c:v>
                </c:pt>
              </c:strCache>
            </c:strRef>
          </c:tx>
          <c:spPr>
            <a:ln w="19050" cap="rnd">
              <a:solidFill>
                <a:schemeClr val="accent1"/>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Feuil11!$I$6:$N$6</c:f>
              <c:numCache>
                <c:formatCode>General</c:formatCode>
                <c:ptCount val="6"/>
                <c:pt idx="0">
                  <c:v>326725</c:v>
                </c:pt>
                <c:pt idx="1">
                  <c:v>291487</c:v>
                </c:pt>
                <c:pt idx="2">
                  <c:v>292205</c:v>
                </c:pt>
                <c:pt idx="3">
                  <c:v>272039</c:v>
                </c:pt>
                <c:pt idx="4">
                  <c:v>262355</c:v>
                </c:pt>
                <c:pt idx="5">
                  <c:v>241265</c:v>
                </c:pt>
              </c:numCache>
            </c:numRef>
          </c:yVal>
          <c:smooth val="0"/>
          <c:extLst>
            <c:ext xmlns:c16="http://schemas.microsoft.com/office/drawing/2014/chart" uri="{C3380CC4-5D6E-409C-BE32-E72D297353CC}">
              <c16:uniqueId val="{00000007-89FB-4516-97ED-79D53DCB0C5C}"/>
            </c:ext>
          </c:extLst>
        </c:ser>
        <c:ser>
          <c:idx val="8"/>
          <c:order val="8"/>
          <c:tx>
            <c:strRef>
              <c:f>Feuil11!$B$8</c:f>
              <c:strCache>
                <c:ptCount val="1"/>
                <c:pt idx="0">
                  <c:v>CH4 excluding LULUCF (projections)</c:v>
                </c:pt>
              </c:strCache>
            </c:strRef>
          </c:tx>
          <c:spPr>
            <a:ln w="19050" cap="rnd">
              <a:solidFill>
                <a:schemeClr val="accent2"/>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Feuil11!$I$8:$N$8</c:f>
              <c:numCache>
                <c:formatCode>General</c:formatCode>
                <c:ptCount val="6"/>
                <c:pt idx="0">
                  <c:v>55740</c:v>
                </c:pt>
                <c:pt idx="1">
                  <c:v>55161</c:v>
                </c:pt>
                <c:pt idx="2">
                  <c:v>53575</c:v>
                </c:pt>
                <c:pt idx="3">
                  <c:v>52448</c:v>
                </c:pt>
                <c:pt idx="4">
                  <c:v>51718</c:v>
                </c:pt>
                <c:pt idx="5">
                  <c:v>51049</c:v>
                </c:pt>
              </c:numCache>
            </c:numRef>
          </c:yVal>
          <c:smooth val="0"/>
          <c:extLst>
            <c:ext xmlns:c16="http://schemas.microsoft.com/office/drawing/2014/chart" uri="{C3380CC4-5D6E-409C-BE32-E72D297353CC}">
              <c16:uniqueId val="{00000008-89FB-4516-97ED-79D53DCB0C5C}"/>
            </c:ext>
          </c:extLst>
        </c:ser>
        <c:ser>
          <c:idx val="9"/>
          <c:order val="9"/>
          <c:tx>
            <c:strRef>
              <c:f>Feuil11!$B$10</c:f>
              <c:strCache>
                <c:ptCount val="1"/>
                <c:pt idx="0">
                  <c:v>N2O excluding LULUCF (projections)</c:v>
                </c:pt>
              </c:strCache>
            </c:strRef>
          </c:tx>
          <c:spPr>
            <a:ln w="19050" cap="rnd">
              <a:solidFill>
                <a:schemeClr val="accent3"/>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Feuil11!$I$10:$N$10</c:f>
              <c:numCache>
                <c:formatCode>General</c:formatCode>
                <c:ptCount val="6"/>
                <c:pt idx="0">
                  <c:v>38071</c:v>
                </c:pt>
                <c:pt idx="1">
                  <c:v>38446</c:v>
                </c:pt>
                <c:pt idx="2">
                  <c:v>37839</c:v>
                </c:pt>
                <c:pt idx="3">
                  <c:v>36921</c:v>
                </c:pt>
                <c:pt idx="4">
                  <c:v>36417</c:v>
                </c:pt>
                <c:pt idx="5">
                  <c:v>35003</c:v>
                </c:pt>
              </c:numCache>
            </c:numRef>
          </c:yVal>
          <c:smooth val="0"/>
          <c:extLst>
            <c:ext xmlns:c16="http://schemas.microsoft.com/office/drawing/2014/chart" uri="{C3380CC4-5D6E-409C-BE32-E72D297353CC}">
              <c16:uniqueId val="{00000009-89FB-4516-97ED-79D53DCB0C5C}"/>
            </c:ext>
          </c:extLst>
        </c:ser>
        <c:ser>
          <c:idx val="10"/>
          <c:order val="10"/>
          <c:tx>
            <c:strRef>
              <c:f>Feuil11!$B$12</c:f>
              <c:strCache>
                <c:ptCount val="1"/>
                <c:pt idx="0">
                  <c:v>HFCs (projections)</c:v>
                </c:pt>
              </c:strCache>
            </c:strRef>
          </c:tx>
          <c:spPr>
            <a:ln w="19050" cap="rnd">
              <a:solidFill>
                <a:schemeClr val="accent4"/>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Feuil11!$I$12:$N$12</c:f>
              <c:numCache>
                <c:formatCode>General</c:formatCode>
                <c:ptCount val="6"/>
                <c:pt idx="0">
                  <c:v>12992</c:v>
                </c:pt>
                <c:pt idx="1">
                  <c:v>12721</c:v>
                </c:pt>
                <c:pt idx="2">
                  <c:v>7816</c:v>
                </c:pt>
                <c:pt idx="3">
                  <c:v>5052</c:v>
                </c:pt>
                <c:pt idx="4">
                  <c:v>3427</c:v>
                </c:pt>
                <c:pt idx="5">
                  <c:v>1830</c:v>
                </c:pt>
              </c:numCache>
            </c:numRef>
          </c:yVal>
          <c:smooth val="0"/>
          <c:extLst>
            <c:ext xmlns:c16="http://schemas.microsoft.com/office/drawing/2014/chart" uri="{C3380CC4-5D6E-409C-BE32-E72D297353CC}">
              <c16:uniqueId val="{0000000A-89FB-4516-97ED-79D53DCB0C5C}"/>
            </c:ext>
          </c:extLst>
        </c:ser>
        <c:ser>
          <c:idx val="11"/>
          <c:order val="11"/>
          <c:tx>
            <c:strRef>
              <c:f>Feuil11!$B$14</c:f>
              <c:strCache>
                <c:ptCount val="1"/>
                <c:pt idx="0">
                  <c:v>PFCs (projections)</c:v>
                </c:pt>
              </c:strCache>
            </c:strRef>
          </c:tx>
          <c:spPr>
            <a:ln w="19050" cap="rnd">
              <a:solidFill>
                <a:schemeClr val="accent6">
                  <a:lumMod val="6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Feuil11!$I$14:$N$14</c:f>
              <c:numCache>
                <c:formatCode>General</c:formatCode>
                <c:ptCount val="6"/>
                <c:pt idx="0">
                  <c:v>615</c:v>
                </c:pt>
                <c:pt idx="1">
                  <c:v>462</c:v>
                </c:pt>
                <c:pt idx="2">
                  <c:v>290</c:v>
                </c:pt>
                <c:pt idx="3">
                  <c:v>217</c:v>
                </c:pt>
                <c:pt idx="4">
                  <c:v>156</c:v>
                </c:pt>
                <c:pt idx="5">
                  <c:v>130</c:v>
                </c:pt>
              </c:numCache>
            </c:numRef>
          </c:yVal>
          <c:smooth val="0"/>
          <c:extLst>
            <c:ext xmlns:c16="http://schemas.microsoft.com/office/drawing/2014/chart" uri="{C3380CC4-5D6E-409C-BE32-E72D297353CC}">
              <c16:uniqueId val="{0000000B-89FB-4516-97ED-79D53DCB0C5C}"/>
            </c:ext>
          </c:extLst>
        </c:ser>
        <c:ser>
          <c:idx val="12"/>
          <c:order val="12"/>
          <c:tx>
            <c:strRef>
              <c:f>Feuil11!$B$16</c:f>
              <c:strCache>
                <c:ptCount val="1"/>
                <c:pt idx="0">
                  <c:v>SF6 (projections)</c:v>
                </c:pt>
              </c:strCache>
            </c:strRef>
          </c:tx>
          <c:spPr>
            <a:ln w="19050" cap="rnd">
              <a:solidFill>
                <a:schemeClr val="accent1">
                  <a:lumMod val="80000"/>
                  <a:lumOff val="20000"/>
                </a:schemeClr>
              </a:solidFill>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Feuil11!$I$16:$N$16</c:f>
              <c:numCache>
                <c:formatCode>General</c:formatCode>
                <c:ptCount val="6"/>
                <c:pt idx="0">
                  <c:v>385</c:v>
                </c:pt>
                <c:pt idx="1">
                  <c:v>387</c:v>
                </c:pt>
                <c:pt idx="2">
                  <c:v>358</c:v>
                </c:pt>
                <c:pt idx="3">
                  <c:v>359</c:v>
                </c:pt>
                <c:pt idx="4">
                  <c:v>360</c:v>
                </c:pt>
                <c:pt idx="5">
                  <c:v>363</c:v>
                </c:pt>
              </c:numCache>
            </c:numRef>
          </c:yVal>
          <c:smooth val="0"/>
          <c:extLst>
            <c:ext xmlns:c16="http://schemas.microsoft.com/office/drawing/2014/chart" uri="{C3380CC4-5D6E-409C-BE32-E72D297353CC}">
              <c16:uniqueId val="{0000000C-89FB-4516-97ED-79D53DCB0C5C}"/>
            </c:ext>
          </c:extLst>
        </c:ser>
        <c:ser>
          <c:idx val="13"/>
          <c:order val="13"/>
          <c:tx>
            <c:strRef>
              <c:f>Feuil11!$B$18</c:f>
              <c:strCache>
                <c:ptCount val="1"/>
                <c:pt idx="0">
                  <c:v>NF3 (projections)</c:v>
                </c:pt>
              </c:strCache>
            </c:strRef>
          </c:tx>
          <c:spPr>
            <a:ln w="19050" cap="rnd">
              <a:solidFill>
                <a:schemeClr val="accent2">
                  <a:lumMod val="80000"/>
                  <a:lumOff val="20000"/>
                </a:schemeClr>
              </a:solidFill>
              <a:prstDash val="sysDash"/>
              <a:round/>
            </a:ln>
            <a:effectLst/>
          </c:spPr>
          <c:marker>
            <c:symbol val="none"/>
          </c:marker>
          <c:xVal>
            <c:numRef>
              <c:f>Feuil11!$I$4:$N$4</c:f>
              <c:numCache>
                <c:formatCode>General</c:formatCode>
                <c:ptCount val="6"/>
                <c:pt idx="0">
                  <c:v>2019</c:v>
                </c:pt>
                <c:pt idx="1">
                  <c:v>2020</c:v>
                </c:pt>
                <c:pt idx="2">
                  <c:v>2025</c:v>
                </c:pt>
                <c:pt idx="3">
                  <c:v>2030</c:v>
                </c:pt>
                <c:pt idx="4">
                  <c:v>2035</c:v>
                </c:pt>
                <c:pt idx="5">
                  <c:v>2050</c:v>
                </c:pt>
              </c:numCache>
            </c:numRef>
          </c:xVal>
          <c:yVal>
            <c:numRef>
              <c:f>Feuil11!$I$18:$N$18</c:f>
              <c:numCache>
                <c:formatCode>General</c:formatCode>
                <c:ptCount val="6"/>
                <c:pt idx="0">
                  <c:v>10</c:v>
                </c:pt>
                <c:pt idx="1">
                  <c:v>9</c:v>
                </c:pt>
                <c:pt idx="2">
                  <c:v>10</c:v>
                </c:pt>
                <c:pt idx="3">
                  <c:v>10</c:v>
                </c:pt>
                <c:pt idx="4">
                  <c:v>10</c:v>
                </c:pt>
                <c:pt idx="5">
                  <c:v>10</c:v>
                </c:pt>
              </c:numCache>
            </c:numRef>
          </c:yVal>
          <c:smooth val="0"/>
          <c:extLst>
            <c:ext xmlns:c16="http://schemas.microsoft.com/office/drawing/2014/chart" uri="{C3380CC4-5D6E-409C-BE32-E72D297353CC}">
              <c16:uniqueId val="{0000000D-89FB-4516-97ED-79D53DCB0C5C}"/>
            </c:ext>
          </c:extLst>
        </c:ser>
        <c:dLbls>
          <c:showLegendKey val="0"/>
          <c:showVal val="0"/>
          <c:showCatName val="0"/>
          <c:showSerName val="0"/>
          <c:showPercent val="0"/>
          <c:showBubbleSize val="0"/>
        </c:dLbls>
        <c:axId val="563831263"/>
        <c:axId val="563830015"/>
      </c:scatterChart>
      <c:valAx>
        <c:axId val="563831263"/>
        <c:scaling>
          <c:orientation val="minMax"/>
          <c:max val="2050"/>
          <c:min val="199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0015"/>
        <c:crosses val="autoZero"/>
        <c:crossBetween val="midCat"/>
      </c:valAx>
      <c:valAx>
        <c:axId val="5638300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ktCO</a:t>
                </a:r>
                <a:r>
                  <a:rPr lang="en-GB" sz="1000" b="0" i="0" u="none" strike="noStrike" baseline="-25000">
                    <a:effectLst/>
                  </a:rPr>
                  <a:t>2e</a:t>
                </a:r>
                <a:endParaRPr lang="fr-F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831263"/>
        <c:crosses val="autoZero"/>
        <c:crossBetween val="midCat"/>
      </c:valAx>
      <c:spPr>
        <a:noFill/>
        <a:ln>
          <a:noFill/>
        </a:ln>
        <a:effectLst/>
      </c:spPr>
    </c:plotArea>
    <c:legend>
      <c:legendPos val="b"/>
      <c:layout>
        <c:manualLayout>
          <c:xMode val="edge"/>
          <c:yMode val="edge"/>
          <c:x val="0"/>
          <c:y val="0.76626166520851557"/>
          <c:w val="1"/>
          <c:h val="0.2059605570137065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'1. Population'!$R$48</c:f>
              <c:strCache>
                <c:ptCount val="1"/>
                <c:pt idx="0">
                  <c:v>AME/AMS 2018</c:v>
                </c:pt>
              </c:strCache>
            </c:strRef>
          </c:tx>
          <c:spPr>
            <a:ln w="19050" cap="rnd">
              <a:solidFill>
                <a:srgbClr val="92D050"/>
              </a:solidFill>
              <a:round/>
            </a:ln>
            <a:effectLst/>
          </c:spPr>
          <c:marker>
            <c:symbol val="circle"/>
            <c:size val="5"/>
            <c:spPr>
              <a:solidFill>
                <a:srgbClr val="92D050"/>
              </a:solidFill>
              <a:ln w="9525">
                <a:solidFill>
                  <a:srgbClr val="92D050"/>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Population'!$B$16:$AH$16</c:f>
              <c:numCache>
                <c:formatCode>General</c:formatCode>
                <c:ptCount val="33"/>
                <c:pt idx="2">
                  <c:v>67.819999999999993</c:v>
                </c:pt>
                <c:pt idx="7">
                  <c:v>69.093000000000004</c:v>
                </c:pt>
                <c:pt idx="12">
                  <c:v>70.281000000000006</c:v>
                </c:pt>
                <c:pt idx="17">
                  <c:v>71.417000000000002</c:v>
                </c:pt>
                <c:pt idx="22">
                  <c:v>72.448999999999998</c:v>
                </c:pt>
                <c:pt idx="27">
                  <c:v>73.311999999999998</c:v>
                </c:pt>
                <c:pt idx="32">
                  <c:v>74.025000000000006</c:v>
                </c:pt>
              </c:numCache>
            </c:numRef>
          </c:yVal>
          <c:smooth val="1"/>
          <c:extLst>
            <c:ext xmlns:c16="http://schemas.microsoft.com/office/drawing/2014/chart" uri="{C3380CC4-5D6E-409C-BE32-E72D297353CC}">
              <c16:uniqueId val="{00000000-ADBD-455C-BE8C-3957F6F86659}"/>
            </c:ext>
          </c:extLst>
        </c:ser>
        <c:ser>
          <c:idx val="2"/>
          <c:order val="1"/>
          <c:tx>
            <c:strRef>
              <c:f>'1. Population'!$A$18</c:f>
              <c:strCache>
                <c:ptCount val="1"/>
                <c:pt idx="0">
                  <c:v>insee fécondité basse</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Population'!$B$18:$AH$18</c:f>
              <c:numCache>
                <c:formatCode>#\ ##0.000</c:formatCode>
                <c:ptCount val="33"/>
                <c:pt idx="0">
                  <c:v>67.240666000000004</c:v>
                </c:pt>
                <c:pt idx="1">
                  <c:v>67.483286000000007</c:v>
                </c:pt>
                <c:pt idx="2">
                  <c:v>67.707069000000004</c:v>
                </c:pt>
                <c:pt idx="3">
                  <c:v>67.911946</c:v>
                </c:pt>
                <c:pt idx="4">
                  <c:v>68.111450000000005</c:v>
                </c:pt>
                <c:pt idx="5">
                  <c:v>68.305942000000002</c:v>
                </c:pt>
                <c:pt idx="6">
                  <c:v>68.495774999999995</c:v>
                </c:pt>
                <c:pt idx="7">
                  <c:v>68.681546999999995</c:v>
                </c:pt>
                <c:pt idx="8">
                  <c:v>68.863999000000007</c:v>
                </c:pt>
                <c:pt idx="9">
                  <c:v>69.043799000000007</c:v>
                </c:pt>
                <c:pt idx="10">
                  <c:v>69.221366000000003</c:v>
                </c:pt>
                <c:pt idx="11">
                  <c:v>69.396844000000002</c:v>
                </c:pt>
                <c:pt idx="12">
                  <c:v>69.570370999999994</c:v>
                </c:pt>
                <c:pt idx="13">
                  <c:v>69.742040000000003</c:v>
                </c:pt>
                <c:pt idx="14">
                  <c:v>69.911619999999999</c:v>
                </c:pt>
                <c:pt idx="15">
                  <c:v>70.078540000000004</c:v>
                </c:pt>
                <c:pt idx="16">
                  <c:v>70.242058</c:v>
                </c:pt>
                <c:pt idx="17">
                  <c:v>70.401514000000006</c:v>
                </c:pt>
                <c:pt idx="18">
                  <c:v>70.556419000000005</c:v>
                </c:pt>
                <c:pt idx="19">
                  <c:v>70.706194999999994</c:v>
                </c:pt>
                <c:pt idx="20">
                  <c:v>70.850144</c:v>
                </c:pt>
                <c:pt idx="21">
                  <c:v>70.987558000000007</c:v>
                </c:pt>
                <c:pt idx="22">
                  <c:v>71.117945000000006</c:v>
                </c:pt>
                <c:pt idx="23">
                  <c:v>71.240915999999999</c:v>
                </c:pt>
                <c:pt idx="24">
                  <c:v>71.355704000000003</c:v>
                </c:pt>
                <c:pt idx="25">
                  <c:v>71.461843000000002</c:v>
                </c:pt>
                <c:pt idx="26">
                  <c:v>71.559078</c:v>
                </c:pt>
                <c:pt idx="27">
                  <c:v>71.647525000000002</c:v>
                </c:pt>
                <c:pt idx="28">
                  <c:v>71.727486999999996</c:v>
                </c:pt>
                <c:pt idx="29">
                  <c:v>71.799098000000001</c:v>
                </c:pt>
                <c:pt idx="30">
                  <c:v>71.862482999999997</c:v>
                </c:pt>
                <c:pt idx="31">
                  <c:v>71.917776000000003</c:v>
                </c:pt>
                <c:pt idx="32">
                  <c:v>71.965277999999998</c:v>
                </c:pt>
              </c:numCache>
            </c:numRef>
          </c:yVal>
          <c:smooth val="1"/>
          <c:extLst>
            <c:ext xmlns:c16="http://schemas.microsoft.com/office/drawing/2014/chart" uri="{C3380CC4-5D6E-409C-BE32-E72D297353CC}">
              <c16:uniqueId val="{00000001-ADBD-455C-BE8C-3957F6F86659}"/>
            </c:ext>
          </c:extLst>
        </c:ser>
        <c:ser>
          <c:idx val="1"/>
          <c:order val="2"/>
          <c:tx>
            <c:strRef>
              <c:f>'1. Population'!$R$49</c:f>
              <c:strCache>
                <c:ptCount val="1"/>
                <c:pt idx="0">
                  <c:v>AME 2021</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Population'!$B$35:$AH$35</c:f>
              <c:numCache>
                <c:formatCode>0.0</c:formatCode>
                <c:ptCount val="33"/>
                <c:pt idx="0" formatCode="#\ ##0.000">
                  <c:v>66.98</c:v>
                </c:pt>
                <c:pt idx="1">
                  <c:v>67.012883000000002</c:v>
                </c:pt>
                <c:pt idx="2" formatCode="0.00">
                  <c:v>67.204763</c:v>
                </c:pt>
                <c:pt idx="3" formatCode="0.00">
                  <c:v>67.388433000000006</c:v>
                </c:pt>
                <c:pt idx="4" formatCode="0.00">
                  <c:v>67.575000000000003</c:v>
                </c:pt>
                <c:pt idx="5" formatCode="0.00">
                  <c:v>67.765465000000006</c:v>
                </c:pt>
                <c:pt idx="6" formatCode="0.00">
                  <c:v>67.955439999999996</c:v>
                </c:pt>
                <c:pt idx="7" formatCode="0.00">
                  <c:v>68.145742999999996</c:v>
                </c:pt>
                <c:pt idx="8" formatCode="0.00">
                  <c:v>68.335445000000007</c:v>
                </c:pt>
                <c:pt idx="9" formatCode="0.00">
                  <c:v>68.526661000000004</c:v>
                </c:pt>
                <c:pt idx="10" formatCode="0.00">
                  <c:v>68.718934000000004</c:v>
                </c:pt>
                <c:pt idx="11" formatCode="0.00">
                  <c:v>68.916612999999998</c:v>
                </c:pt>
                <c:pt idx="12" formatCode="0.00">
                  <c:v>69.116879999999995</c:v>
                </c:pt>
                <c:pt idx="13" formatCode="0.00">
                  <c:v>69.319056000000003</c:v>
                </c:pt>
                <c:pt idx="14" formatCode="0.00">
                  <c:v>69.521761999999995</c:v>
                </c:pt>
                <c:pt idx="15" formatCode="0.00">
                  <c:v>69.722271000000006</c:v>
                </c:pt>
                <c:pt idx="16" formatCode="0.00">
                  <c:v>69.91583</c:v>
                </c:pt>
                <c:pt idx="17" formatCode="0.00">
                  <c:v>70.104962</c:v>
                </c:pt>
                <c:pt idx="18" formatCode="0.00">
                  <c:v>70.288808000000003</c:v>
                </c:pt>
                <c:pt idx="19" formatCode="0.00">
                  <c:v>70.465976999999995</c:v>
                </c:pt>
                <c:pt idx="20" formatCode="0.00">
                  <c:v>70.633769999999998</c:v>
                </c:pt>
                <c:pt idx="21" formatCode="0.00">
                  <c:v>70.788492000000005</c:v>
                </c:pt>
                <c:pt idx="22" formatCode="0.00">
                  <c:v>70.926210999999995</c:v>
                </c:pt>
                <c:pt idx="23" formatCode="General">
                  <c:v>71.046882993855363</c:v>
                </c:pt>
                <c:pt idx="24" formatCode="General">
                  <c:v>71.166557698505329</c:v>
                </c:pt>
                <c:pt idx="25" formatCode="General">
                  <c:v>71.269278486663197</c:v>
                </c:pt>
                <c:pt idx="26" formatCode="General">
                  <c:v>71.366015539588574</c:v>
                </c:pt>
                <c:pt idx="27" formatCode="General">
                  <c:v>71.459760724897706</c:v>
                </c:pt>
                <c:pt idx="28" formatCode="General">
                  <c:v>71.533560126098507</c:v>
                </c:pt>
                <c:pt idx="29" formatCode="General">
                  <c:v>71.606362238093894</c:v>
                </c:pt>
                <c:pt idx="30" formatCode="General">
                  <c:v>71.671186036445945</c:v>
                </c:pt>
                <c:pt idx="31" formatCode="General">
                  <c:v>71.726036942743846</c:v>
                </c:pt>
                <c:pt idx="32" formatCode="General">
                  <c:v>71.776898692220072</c:v>
                </c:pt>
              </c:numCache>
            </c:numRef>
          </c:yVal>
          <c:smooth val="1"/>
          <c:extLst>
            <c:ext xmlns:c16="http://schemas.microsoft.com/office/drawing/2014/chart" uri="{C3380CC4-5D6E-409C-BE32-E72D297353CC}">
              <c16:uniqueId val="{00000002-ADBD-455C-BE8C-3957F6F86659}"/>
            </c:ext>
          </c:extLst>
        </c:ser>
        <c:ser>
          <c:idx val="3"/>
          <c:order val="3"/>
          <c:tx>
            <c:strRef>
              <c:f>'1. Population'!$A$19</c:f>
              <c:strCache>
                <c:ptCount val="1"/>
                <c:pt idx="0">
                  <c:v>Observé</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 Population'!$B$15:$AH$15</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'1. Population'!$B$19:$AH$19</c:f>
              <c:numCache>
                <c:formatCode>#\ ##0.000</c:formatCode>
                <c:ptCount val="33"/>
                <c:pt idx="0">
                  <c:v>66.98</c:v>
                </c:pt>
                <c:pt idx="1">
                  <c:v>67.06</c:v>
                </c:pt>
              </c:numCache>
            </c:numRef>
          </c:yVal>
          <c:smooth val="1"/>
          <c:extLst>
            <c:ext xmlns:c16="http://schemas.microsoft.com/office/drawing/2014/chart" uri="{C3380CC4-5D6E-409C-BE32-E72D297353CC}">
              <c16:uniqueId val="{00000003-ADBD-455C-BE8C-3957F6F86659}"/>
            </c:ext>
          </c:extLst>
        </c:ser>
        <c:dLbls>
          <c:showLegendKey val="0"/>
          <c:showVal val="0"/>
          <c:showCatName val="0"/>
          <c:showSerName val="0"/>
          <c:showPercent val="0"/>
          <c:showBubbleSize val="0"/>
        </c:dLbls>
        <c:axId val="303495456"/>
        <c:axId val="303494624"/>
      </c:scatterChart>
      <c:valAx>
        <c:axId val="30349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494624"/>
        <c:crosses val="autoZero"/>
        <c:crossBetween val="midCat"/>
      </c:valAx>
      <c:valAx>
        <c:axId val="303494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millions</a:t>
                </a:r>
                <a:r>
                  <a:rPr lang="fr-FR" baseline="0"/>
                  <a:t> habitants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495456"/>
        <c:crosses val="autoZero"/>
        <c:crossBetween val="midCat"/>
      </c:valAx>
      <c:spPr>
        <a:noFill/>
        <a:ln>
          <a:noFill/>
        </a:ln>
        <a:effectLst/>
      </c:spPr>
    </c:plotArea>
    <c:legend>
      <c:legendPos val="b"/>
      <c:layout>
        <c:manualLayout>
          <c:xMode val="edge"/>
          <c:yMode val="edge"/>
          <c:x val="8.3921612063694695E-2"/>
          <c:y val="0.92022457323666795"/>
          <c:w val="0.84892320589419079"/>
          <c:h val="6.87504751749365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'VA industrielle'!$B$20</c:f>
              <c:strCache>
                <c:ptCount val="1"/>
                <c:pt idx="0">
                  <c:v>AMS 18</c:v>
                </c:pt>
              </c:strCache>
            </c:strRef>
          </c:tx>
          <c:spPr>
            <a:ln w="19050" cap="rnd">
              <a:solidFill>
                <a:srgbClr val="92D050"/>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industrielle'!$C$20:$AI$20</c:f>
              <c:numCache>
                <c:formatCode>General</c:formatCode>
                <c:ptCount val="33"/>
                <c:pt idx="0">
                  <c:v>100</c:v>
                </c:pt>
                <c:pt idx="1">
                  <c:v>101.4</c:v>
                </c:pt>
                <c:pt idx="2">
                  <c:v>102.81960000000001</c:v>
                </c:pt>
                <c:pt idx="3">
                  <c:v>103.847796</c:v>
                </c:pt>
                <c:pt idx="4">
                  <c:v>104.88627396</c:v>
                </c:pt>
                <c:pt idx="5">
                  <c:v>105.93513669959999</c:v>
                </c:pt>
                <c:pt idx="6">
                  <c:v>106.99448806659599</c:v>
                </c:pt>
                <c:pt idx="7">
                  <c:v>108.06443294726195</c:v>
                </c:pt>
                <c:pt idx="8">
                  <c:v>109.25314170968181</c:v>
                </c:pt>
                <c:pt idx="9">
                  <c:v>110.45492626848831</c:v>
                </c:pt>
                <c:pt idx="10">
                  <c:v>111.66993045744167</c:v>
                </c:pt>
                <c:pt idx="11">
                  <c:v>112.89829969247351</c:v>
                </c:pt>
                <c:pt idx="12">
                  <c:v>114.14018098909071</c:v>
                </c:pt>
                <c:pt idx="13">
                  <c:v>115.62400334194888</c:v>
                </c:pt>
                <c:pt idx="14">
                  <c:v>117.12711538539421</c:v>
                </c:pt>
                <c:pt idx="15">
                  <c:v>118.64976788540432</c:v>
                </c:pt>
                <c:pt idx="16">
                  <c:v>120.19221486791456</c:v>
                </c:pt>
                <c:pt idx="17">
                  <c:v>121.75471366119743</c:v>
                </c:pt>
                <c:pt idx="18">
                  <c:v>123.33752493879298</c:v>
                </c:pt>
                <c:pt idx="19">
                  <c:v>124.94091276299727</c:v>
                </c:pt>
                <c:pt idx="20">
                  <c:v>126.56514462891623</c:v>
                </c:pt>
                <c:pt idx="21">
                  <c:v>128.21049150909212</c:v>
                </c:pt>
                <c:pt idx="22">
                  <c:v>129.87722789871032</c:v>
                </c:pt>
                <c:pt idx="23">
                  <c:v>131.56563186139354</c:v>
                </c:pt>
                <c:pt idx="24">
                  <c:v>133.27598507559165</c:v>
                </c:pt>
                <c:pt idx="25">
                  <c:v>135.00857288157434</c:v>
                </c:pt>
                <c:pt idx="26">
                  <c:v>136.76368432903479</c:v>
                </c:pt>
                <c:pt idx="27">
                  <c:v>138.54161222531224</c:v>
                </c:pt>
                <c:pt idx="28">
                  <c:v>140.34265318424127</c:v>
                </c:pt>
                <c:pt idx="29">
                  <c:v>142.1671076756364</c:v>
                </c:pt>
                <c:pt idx="30">
                  <c:v>144.01528007541967</c:v>
                </c:pt>
                <c:pt idx="31">
                  <c:v>145.8874787164001</c:v>
                </c:pt>
                <c:pt idx="32">
                  <c:v>147.78401593971327</c:v>
                </c:pt>
              </c:numCache>
            </c:numRef>
          </c:yVal>
          <c:smooth val="1"/>
          <c:extLst>
            <c:ext xmlns:c16="http://schemas.microsoft.com/office/drawing/2014/chart" uri="{C3380CC4-5D6E-409C-BE32-E72D297353CC}">
              <c16:uniqueId val="{00000000-020F-489A-8CA7-45DFD1928C97}"/>
            </c:ext>
          </c:extLst>
        </c:ser>
        <c:ser>
          <c:idx val="1"/>
          <c:order val="1"/>
          <c:tx>
            <c:strRef>
              <c:f>'VA industrielle'!$B$22</c:f>
              <c:strCache>
                <c:ptCount val="1"/>
                <c:pt idx="0">
                  <c:v>AME 21</c:v>
                </c:pt>
              </c:strCache>
            </c:strRef>
          </c:tx>
          <c:spPr>
            <a:ln w="19050" cap="rnd">
              <a:solidFill>
                <a:schemeClr val="accent2"/>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industrielle'!$C$22:$AI$22</c:f>
              <c:numCache>
                <c:formatCode>General</c:formatCode>
                <c:ptCount val="33"/>
                <c:pt idx="0">
                  <c:v>100</c:v>
                </c:pt>
                <c:pt idx="1">
                  <c:v>101.31539403407143</c:v>
                </c:pt>
                <c:pt idx="2">
                  <c:v>92.958615750341849</c:v>
                </c:pt>
                <c:pt idx="3">
                  <c:v>99.838582535791048</c:v>
                </c:pt>
                <c:pt idx="4">
                  <c:v>101.6070362109557</c:v>
                </c:pt>
                <c:pt idx="5">
                  <c:v>103.27448067683179</c:v>
                </c:pt>
                <c:pt idx="6">
                  <c:v>104.91629154979603</c:v>
                </c:pt>
                <c:pt idx="7">
                  <c:v>105.83343399148264</c:v>
                </c:pt>
                <c:pt idx="8">
                  <c:v>106.89176833139746</c:v>
                </c:pt>
                <c:pt idx="9">
                  <c:v>107.96068601471143</c:v>
                </c:pt>
                <c:pt idx="10">
                  <c:v>109.04029287485854</c:v>
                </c:pt>
                <c:pt idx="11">
                  <c:v>110.13069580360713</c:v>
                </c:pt>
                <c:pt idx="12">
                  <c:v>111.2320027616432</c:v>
                </c:pt>
                <c:pt idx="13">
                  <c:v>112.67801879754455</c:v>
                </c:pt>
                <c:pt idx="14">
                  <c:v>114.14283304191262</c:v>
                </c:pt>
                <c:pt idx="15">
                  <c:v>115.62668987145747</c:v>
                </c:pt>
                <c:pt idx="16">
                  <c:v>117.12983683978641</c:v>
                </c:pt>
                <c:pt idx="17">
                  <c:v>118.65252471870362</c:v>
                </c:pt>
                <c:pt idx="18">
                  <c:v>120.19500754004675</c:v>
                </c:pt>
                <c:pt idx="19">
                  <c:v>121.75754263806733</c:v>
                </c:pt>
                <c:pt idx="20">
                  <c:v>123.34039069236219</c:v>
                </c:pt>
                <c:pt idx="21">
                  <c:v>124.94381577136289</c:v>
                </c:pt>
                <c:pt idx="22">
                  <c:v>126.5680853763906</c:v>
                </c:pt>
                <c:pt idx="23">
                  <c:v>128.21347048628365</c:v>
                </c:pt>
                <c:pt idx="24">
                  <c:v>129.88024560260533</c:v>
                </c:pt>
                <c:pt idx="25">
                  <c:v>131.56868879543919</c:v>
                </c:pt>
                <c:pt idx="26">
                  <c:v>133.27908174977989</c:v>
                </c:pt>
                <c:pt idx="27">
                  <c:v>135.01170981252702</c:v>
                </c:pt>
                <c:pt idx="28">
                  <c:v>136.76686204008985</c:v>
                </c:pt>
                <c:pt idx="29">
                  <c:v>138.54483124661101</c:v>
                </c:pt>
                <c:pt idx="30">
                  <c:v>140.34591405281694</c:v>
                </c:pt>
                <c:pt idx="31">
                  <c:v>142.17041093550355</c:v>
                </c:pt>
                <c:pt idx="32">
                  <c:v>144.01862627766508</c:v>
                </c:pt>
              </c:numCache>
            </c:numRef>
          </c:yVal>
          <c:smooth val="1"/>
          <c:extLst>
            <c:ext xmlns:c16="http://schemas.microsoft.com/office/drawing/2014/chart" uri="{C3380CC4-5D6E-409C-BE32-E72D297353CC}">
              <c16:uniqueId val="{00000001-020F-489A-8CA7-45DFD1928C97}"/>
            </c:ext>
          </c:extLst>
        </c:ser>
        <c:ser>
          <c:idx val="2"/>
          <c:order val="2"/>
          <c:tx>
            <c:strRef>
              <c:f>'VA industrielle'!$B$21</c:f>
              <c:strCache>
                <c:ptCount val="1"/>
                <c:pt idx="0">
                  <c:v>AME 18</c:v>
                </c:pt>
              </c:strCache>
            </c:strRef>
          </c:tx>
          <c:spPr>
            <a:ln w="19050" cap="rnd">
              <a:solidFill>
                <a:schemeClr val="accent3"/>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industrielle'!$C$21:$AI$21</c:f>
              <c:numCache>
                <c:formatCode>General</c:formatCode>
                <c:ptCount val="33"/>
                <c:pt idx="0">
                  <c:v>100</c:v>
                </c:pt>
                <c:pt idx="1">
                  <c:v>101.69999999999999</c:v>
                </c:pt>
                <c:pt idx="2">
                  <c:v>103.42889999999998</c:v>
                </c:pt>
                <c:pt idx="3">
                  <c:v>105.18719129999998</c:v>
                </c:pt>
                <c:pt idx="4">
                  <c:v>106.97537355209997</c:v>
                </c:pt>
                <c:pt idx="5">
                  <c:v>108.79395490248565</c:v>
                </c:pt>
                <c:pt idx="6">
                  <c:v>110.6434521358279</c:v>
                </c:pt>
                <c:pt idx="7">
                  <c:v>112.52439082213697</c:v>
                </c:pt>
                <c:pt idx="8">
                  <c:v>114.43730546611329</c:v>
                </c:pt>
                <c:pt idx="9">
                  <c:v>116.3827396590372</c:v>
                </c:pt>
                <c:pt idx="10">
                  <c:v>118.36124623324082</c:v>
                </c:pt>
                <c:pt idx="11">
                  <c:v>120.3733874192059</c:v>
                </c:pt>
                <c:pt idx="12">
                  <c:v>122.41973500533238</c:v>
                </c:pt>
                <c:pt idx="13">
                  <c:v>122.90941394535372</c:v>
                </c:pt>
                <c:pt idx="14">
                  <c:v>123.40105160113514</c:v>
                </c:pt>
                <c:pt idx="15">
                  <c:v>123.89465580753968</c:v>
                </c:pt>
                <c:pt idx="16">
                  <c:v>124.39023443076984</c:v>
                </c:pt>
                <c:pt idx="17">
                  <c:v>124.88779536849292</c:v>
                </c:pt>
                <c:pt idx="18">
                  <c:v>125.38734654996689</c:v>
                </c:pt>
                <c:pt idx="19">
                  <c:v>125.88889593616676</c:v>
                </c:pt>
                <c:pt idx="20">
                  <c:v>126.39245151991143</c:v>
                </c:pt>
                <c:pt idx="21">
                  <c:v>126.89802132599108</c:v>
                </c:pt>
                <c:pt idx="22">
                  <c:v>127.40561341129505</c:v>
                </c:pt>
                <c:pt idx="23">
                  <c:v>127.91523586494023</c:v>
                </c:pt>
                <c:pt idx="24">
                  <c:v>128.42689680839999</c:v>
                </c:pt>
                <c:pt idx="25">
                  <c:v>128.94060439563358</c:v>
                </c:pt>
                <c:pt idx="26">
                  <c:v>129.45636681321611</c:v>
                </c:pt>
                <c:pt idx="27">
                  <c:v>129.97419228046897</c:v>
                </c:pt>
                <c:pt idx="28">
                  <c:v>130.49408904959085</c:v>
                </c:pt>
                <c:pt idx="29">
                  <c:v>131.01606540578922</c:v>
                </c:pt>
                <c:pt idx="30">
                  <c:v>131.54012966741237</c:v>
                </c:pt>
                <c:pt idx="31">
                  <c:v>132.06629018608203</c:v>
                </c:pt>
                <c:pt idx="32">
                  <c:v>132.59455534682635</c:v>
                </c:pt>
              </c:numCache>
            </c:numRef>
          </c:yVal>
          <c:smooth val="1"/>
          <c:extLst>
            <c:ext xmlns:c16="http://schemas.microsoft.com/office/drawing/2014/chart" uri="{C3380CC4-5D6E-409C-BE32-E72D297353CC}">
              <c16:uniqueId val="{00000002-020F-489A-8CA7-45DFD1928C97}"/>
            </c:ext>
          </c:extLst>
        </c:ser>
        <c:ser>
          <c:idx val="3"/>
          <c:order val="3"/>
          <c:tx>
            <c:strRef>
              <c:f>'VA industrielle'!$B$23</c:f>
              <c:strCache>
                <c:ptCount val="1"/>
                <c:pt idx="0">
                  <c:v>Ecref</c:v>
                </c:pt>
              </c:strCache>
            </c:strRef>
          </c:tx>
          <c:spPr>
            <a:ln w="19050" cap="rnd">
              <a:solidFill>
                <a:schemeClr val="accent4"/>
              </a:solidFill>
              <a:round/>
            </a:ln>
            <a:effectLst/>
          </c:spPr>
          <c:marker>
            <c:symbol val="none"/>
          </c:marker>
          <c:xVal>
            <c:numRef>
              <c:f>'VA industrielle'!$C$19:$AI$19</c:f>
              <c:numCache>
                <c:formatCode>General</c:formatCode>
                <c:ptCount val="33"/>
                <c:pt idx="0">
                  <c:v>2018</c:v>
                </c:pt>
                <c:pt idx="1">
                  <c:v>2019</c:v>
                </c:pt>
                <c:pt idx="2">
                  <c:v>2020</c:v>
                </c:pt>
                <c:pt idx="3">
                  <c:v>2021</c:v>
                </c:pt>
                <c:pt idx="4">
                  <c:v>2022</c:v>
                </c:pt>
                <c:pt idx="5">
                  <c:v>2023</c:v>
                </c:pt>
                <c:pt idx="6">
                  <c:v>2024</c:v>
                </c:pt>
                <c:pt idx="7">
                  <c:v>2025</c:v>
                </c:pt>
                <c:pt idx="8">
                  <c:v>2026</c:v>
                </c:pt>
                <c:pt idx="9">
                  <c:v>2027</c:v>
                </c:pt>
                <c:pt idx="10">
                  <c:v>2028</c:v>
                </c:pt>
                <c:pt idx="11">
                  <c:v>2029</c:v>
                </c:pt>
                <c:pt idx="12">
                  <c:v>2030</c:v>
                </c:pt>
                <c:pt idx="13">
                  <c:v>2031</c:v>
                </c:pt>
                <c:pt idx="14">
                  <c:v>2032</c:v>
                </c:pt>
                <c:pt idx="15">
                  <c:v>2033</c:v>
                </c:pt>
                <c:pt idx="16">
                  <c:v>2034</c:v>
                </c:pt>
                <c:pt idx="17">
                  <c:v>2035</c:v>
                </c:pt>
                <c:pt idx="18">
                  <c:v>2036</c:v>
                </c:pt>
                <c:pt idx="19">
                  <c:v>2037</c:v>
                </c:pt>
                <c:pt idx="20">
                  <c:v>2038</c:v>
                </c:pt>
                <c:pt idx="21">
                  <c:v>2039</c:v>
                </c:pt>
                <c:pt idx="22">
                  <c:v>2040</c:v>
                </c:pt>
                <c:pt idx="23">
                  <c:v>2041</c:v>
                </c:pt>
                <c:pt idx="24">
                  <c:v>2042</c:v>
                </c:pt>
                <c:pt idx="25">
                  <c:v>2043</c:v>
                </c:pt>
                <c:pt idx="26">
                  <c:v>2044</c:v>
                </c:pt>
                <c:pt idx="27">
                  <c:v>2045</c:v>
                </c:pt>
                <c:pt idx="28">
                  <c:v>2046</c:v>
                </c:pt>
                <c:pt idx="29">
                  <c:v>2047</c:v>
                </c:pt>
                <c:pt idx="30">
                  <c:v>2048</c:v>
                </c:pt>
                <c:pt idx="31">
                  <c:v>2049</c:v>
                </c:pt>
                <c:pt idx="32">
                  <c:v>2050</c:v>
                </c:pt>
              </c:numCache>
            </c:numRef>
          </c:xVal>
          <c:yVal>
            <c:numRef>
              <c:f>'VA industrielle'!$C$23:$AI$23</c:f>
              <c:numCache>
                <c:formatCode>General</c:formatCode>
                <c:ptCount val="33"/>
                <c:pt idx="0">
                  <c:v>100</c:v>
                </c:pt>
                <c:pt idx="1">
                  <c:v>100.63783042559504</c:v>
                </c:pt>
                <c:pt idx="2">
                  <c:v>92.625754616218259</c:v>
                </c:pt>
                <c:pt idx="3">
                  <c:v>99.481085992367824</c:v>
                </c:pt>
                <c:pt idx="4">
                  <c:v>101.24320728520073</c:v>
                </c:pt>
                <c:pt idx="5">
                  <c:v>102.90468105700484</c:v>
                </c:pt>
                <c:pt idx="6">
                  <c:v>104.54061302326656</c:v>
                </c:pt>
                <c:pt idx="7">
                  <c:v>105.08110065776448</c:v>
                </c:pt>
                <c:pt idx="8">
                  <c:v>105.62438267881321</c:v>
                </c:pt>
                <c:pt idx="9">
                  <c:v>106.17047353372975</c:v>
                </c:pt>
                <c:pt idx="10">
                  <c:v>106.71938774452549</c:v>
                </c:pt>
                <c:pt idx="11">
                  <c:v>107.2711399082924</c:v>
                </c:pt>
                <c:pt idx="12">
                  <c:v>108.05230346096782</c:v>
                </c:pt>
                <c:pt idx="13">
                  <c:v>108.83915555668055</c:v>
                </c:pt>
                <c:pt idx="14">
                  <c:v>109.63173762020236</c:v>
                </c:pt>
                <c:pt idx="15">
                  <c:v>110.43009137796604</c:v>
                </c:pt>
                <c:pt idx="16">
                  <c:v>111.23425886026213</c:v>
                </c:pt>
                <c:pt idx="17">
                  <c:v>112.37338782445211</c:v>
                </c:pt>
                <c:pt idx="18">
                  <c:v>113.5241823924799</c:v>
                </c:pt>
                <c:pt idx="19">
                  <c:v>114.68676202958358</c:v>
                </c:pt>
                <c:pt idx="20">
                  <c:v>115.86124742442206</c:v>
                </c:pt>
                <c:pt idx="21">
                  <c:v>117.04776050160399</c:v>
                </c:pt>
                <c:pt idx="22">
                  <c:v>118.55991178126332</c:v>
                </c:pt>
                <c:pt idx="23">
                  <c:v>120.09159868879607</c:v>
                </c:pt>
                <c:pt idx="24">
                  <c:v>121.64307360685834</c:v>
                </c:pt>
                <c:pt idx="25">
                  <c:v>123.21459217866206</c:v>
                </c:pt>
                <c:pt idx="26">
                  <c:v>124.80641335009842</c:v>
                </c:pt>
                <c:pt idx="27">
                  <c:v>126.62502696554596</c:v>
                </c:pt>
                <c:pt idx="28">
                  <c:v>128.47014046504202</c:v>
                </c:pt>
                <c:pt idx="29">
                  <c:v>130.34213999100226</c:v>
                </c:pt>
                <c:pt idx="30">
                  <c:v>132.24141731250714</c:v>
                </c:pt>
                <c:pt idx="31">
                  <c:v>134.16836990729072</c:v>
                </c:pt>
                <c:pt idx="32">
                  <c:v>136.11526444239439</c:v>
                </c:pt>
              </c:numCache>
            </c:numRef>
          </c:yVal>
          <c:smooth val="1"/>
          <c:extLst>
            <c:ext xmlns:c16="http://schemas.microsoft.com/office/drawing/2014/chart" uri="{C3380CC4-5D6E-409C-BE32-E72D297353CC}">
              <c16:uniqueId val="{00000003-020F-489A-8CA7-45DFD1928C97}"/>
            </c:ext>
          </c:extLst>
        </c:ser>
        <c:dLbls>
          <c:showLegendKey val="0"/>
          <c:showVal val="0"/>
          <c:showCatName val="0"/>
          <c:showSerName val="0"/>
          <c:showPercent val="0"/>
          <c:showBubbleSize val="0"/>
        </c:dLbls>
        <c:axId val="348033520"/>
        <c:axId val="348033936"/>
      </c:scatterChart>
      <c:valAx>
        <c:axId val="3480335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033936"/>
        <c:crosses val="autoZero"/>
        <c:crossBetween val="midCat"/>
      </c:valAx>
      <c:valAx>
        <c:axId val="348033936"/>
        <c:scaling>
          <c:orientation val="minMax"/>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80335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[parc_vp_france_2022.xlsx]Feuil1!$A$6</c:f>
              <c:strCache>
                <c:ptCount val="1"/>
                <c:pt idx="0">
                  <c:v>Diesel</c:v>
                </c:pt>
              </c:strCache>
            </c:strRef>
          </c:tx>
          <c:spPr>
            <a:solidFill>
              <a:srgbClr val="0070C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[parc_vp_france_2022.xlsx]Feuil1!$B$6:$M$6</c:f>
              <c:numCache>
                <c:formatCode>#,##0</c:formatCode>
                <c:ptCount val="12"/>
                <c:pt idx="0">
                  <c:v>21038823</c:v>
                </c:pt>
                <c:pt idx="1">
                  <c:v>21872011</c:v>
                </c:pt>
                <c:pt idx="2">
                  <c:v>22478830</c:v>
                </c:pt>
                <c:pt idx="3">
                  <c:v>22988264</c:v>
                </c:pt>
                <c:pt idx="4">
                  <c:v>23462745</c:v>
                </c:pt>
                <c:pt idx="5">
                  <c:v>23770171</c:v>
                </c:pt>
                <c:pt idx="6">
                  <c:v>23896221</c:v>
                </c:pt>
                <c:pt idx="7">
                  <c:v>23807940</c:v>
                </c:pt>
                <c:pt idx="8">
                  <c:v>23256595</c:v>
                </c:pt>
                <c:pt idx="9">
                  <c:v>22678554</c:v>
                </c:pt>
                <c:pt idx="10">
                  <c:v>22115986</c:v>
                </c:pt>
                <c:pt idx="11">
                  <c:v>21499745.243000001</c:v>
                </c:pt>
              </c:numCache>
            </c:numRef>
          </c:val>
          <c:extLst>
            <c:ext xmlns:c16="http://schemas.microsoft.com/office/drawing/2014/chart" uri="{C3380CC4-5D6E-409C-BE32-E72D297353CC}">
              <c16:uniqueId val="{00000000-9A09-4208-867E-6CBDED8753A7}"/>
            </c:ext>
          </c:extLst>
        </c:ser>
        <c:ser>
          <c:idx val="1"/>
          <c:order val="1"/>
          <c:tx>
            <c:strRef>
              <c:f>[parc_vp_france_2022.xlsx]Feuil1!$A$7</c:f>
              <c:strCache>
                <c:ptCount val="1"/>
                <c:pt idx="0">
                  <c:v>Electrique</c:v>
                </c:pt>
              </c:strCache>
            </c:strRef>
          </c:tx>
          <c:spPr>
            <a:solidFill>
              <a:srgbClr val="FFFF0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[parc_vp_france_2022.xlsx]Feuil1!$B$7:$M$7</c:f>
              <c:numCache>
                <c:formatCode>#,##0</c:formatCode>
                <c:ptCount val="12"/>
                <c:pt idx="0">
                  <c:v>1724</c:v>
                </c:pt>
                <c:pt idx="1">
                  <c:v>4251</c:v>
                </c:pt>
                <c:pt idx="2">
                  <c:v>9473</c:v>
                </c:pt>
                <c:pt idx="3">
                  <c:v>17154</c:v>
                </c:pt>
                <c:pt idx="4">
                  <c:v>25950</c:v>
                </c:pt>
                <c:pt idx="5">
                  <c:v>41901</c:v>
                </c:pt>
                <c:pt idx="6">
                  <c:v>61338</c:v>
                </c:pt>
                <c:pt idx="7">
                  <c:v>82488</c:v>
                </c:pt>
                <c:pt idx="8">
                  <c:v>106495</c:v>
                </c:pt>
                <c:pt idx="9">
                  <c:v>141357</c:v>
                </c:pt>
                <c:pt idx="10">
                  <c:v>244975</c:v>
                </c:pt>
                <c:pt idx="11">
                  <c:v>402669.49400000001</c:v>
                </c:pt>
              </c:numCache>
            </c:numRef>
          </c:val>
          <c:extLst>
            <c:ext xmlns:c16="http://schemas.microsoft.com/office/drawing/2014/chart" uri="{C3380CC4-5D6E-409C-BE32-E72D297353CC}">
              <c16:uniqueId val="{00000001-9A09-4208-867E-6CBDED8753A7}"/>
            </c:ext>
          </c:extLst>
        </c:ser>
        <c:ser>
          <c:idx val="2"/>
          <c:order val="2"/>
          <c:tx>
            <c:strRef>
              <c:f>[parc_vp_france_2022.xlsx]Feuil1!$A$8</c:f>
              <c:strCache>
                <c:ptCount val="1"/>
                <c:pt idx="0">
                  <c:v>Essence</c:v>
                </c:pt>
              </c:strCache>
            </c:strRef>
          </c:tx>
          <c:spPr>
            <a:solidFill>
              <a:srgbClr val="00B050"/>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[parc_vp_france_2022.xlsx]Feuil1!$B$8:$M$8</c:f>
              <c:numCache>
                <c:formatCode>#,##0</c:formatCode>
                <c:ptCount val="12"/>
                <c:pt idx="0">
                  <c:v>13714846</c:v>
                </c:pt>
                <c:pt idx="1">
                  <c:v>13454950</c:v>
                </c:pt>
                <c:pt idx="2">
                  <c:v>13104700</c:v>
                </c:pt>
                <c:pt idx="3">
                  <c:v>12954726</c:v>
                </c:pt>
                <c:pt idx="4">
                  <c:v>12977184</c:v>
                </c:pt>
                <c:pt idx="5">
                  <c:v>13191444</c:v>
                </c:pt>
                <c:pt idx="6">
                  <c:v>13546624</c:v>
                </c:pt>
                <c:pt idx="7">
                  <c:v>14083332</c:v>
                </c:pt>
                <c:pt idx="8">
                  <c:v>14727390</c:v>
                </c:pt>
                <c:pt idx="9">
                  <c:v>15466896</c:v>
                </c:pt>
                <c:pt idx="10">
                  <c:v>15962631</c:v>
                </c:pt>
                <c:pt idx="11">
                  <c:v>16638448.879999999</c:v>
                </c:pt>
              </c:numCache>
            </c:numRef>
          </c:val>
          <c:extLst>
            <c:ext xmlns:c16="http://schemas.microsoft.com/office/drawing/2014/chart" uri="{C3380CC4-5D6E-409C-BE32-E72D297353CC}">
              <c16:uniqueId val="{00000002-9A09-4208-867E-6CBDED8753A7}"/>
            </c:ext>
          </c:extLst>
        </c:ser>
        <c:ser>
          <c:idx val="3"/>
          <c:order val="3"/>
          <c:tx>
            <c:strRef>
              <c:f>[parc_vp_france_2022.xlsx]Feuil1!$A$9</c:f>
              <c:strCache>
                <c:ptCount val="1"/>
                <c:pt idx="0">
                  <c:v>Gaz</c:v>
                </c:pt>
              </c:strCache>
            </c:strRef>
          </c:tx>
          <c:spPr>
            <a:solidFill>
              <a:schemeClr val="accent4"/>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[parc_vp_france_2022.xlsx]Feuil1!$B$9:$M$9</c:f>
              <c:numCache>
                <c:formatCode>#,##0</c:formatCode>
                <c:ptCount val="12"/>
                <c:pt idx="0">
                  <c:v>208660</c:v>
                </c:pt>
                <c:pt idx="1">
                  <c:v>204679</c:v>
                </c:pt>
                <c:pt idx="2">
                  <c:v>190628</c:v>
                </c:pt>
                <c:pt idx="3">
                  <c:v>185101</c:v>
                </c:pt>
                <c:pt idx="4">
                  <c:v>178090</c:v>
                </c:pt>
                <c:pt idx="5">
                  <c:v>172736</c:v>
                </c:pt>
                <c:pt idx="6">
                  <c:v>165551</c:v>
                </c:pt>
                <c:pt idx="7">
                  <c:v>159414</c:v>
                </c:pt>
                <c:pt idx="8">
                  <c:v>152438</c:v>
                </c:pt>
                <c:pt idx="9">
                  <c:v>145791</c:v>
                </c:pt>
                <c:pt idx="10">
                  <c:v>153887</c:v>
                </c:pt>
                <c:pt idx="11">
                  <c:v>194718.397</c:v>
                </c:pt>
              </c:numCache>
            </c:numRef>
          </c:val>
          <c:extLst>
            <c:ext xmlns:c16="http://schemas.microsoft.com/office/drawing/2014/chart" uri="{C3380CC4-5D6E-409C-BE32-E72D297353CC}">
              <c16:uniqueId val="{00000003-9A09-4208-867E-6CBDED8753A7}"/>
            </c:ext>
          </c:extLst>
        </c:ser>
        <c:ser>
          <c:idx val="4"/>
          <c:order val="4"/>
          <c:tx>
            <c:strRef>
              <c:f>[parc_vp_france_2022.xlsx]Feuil1!$A$10</c:f>
              <c:strCache>
                <c:ptCount val="1"/>
                <c:pt idx="0">
                  <c:v>Hydrogène et autre ZE</c:v>
                </c:pt>
              </c:strCache>
            </c:strRef>
          </c:tx>
          <c:spPr>
            <a:solidFill>
              <a:srgbClr val="49311F"/>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[parc_vp_france_2022.xlsx]Feuil1!$B$10:$M$10</c:f>
              <c:numCache>
                <c:formatCode>#,##0</c:formatCode>
                <c:ptCount val="12"/>
                <c:pt idx="0">
                  <c:v>5</c:v>
                </c:pt>
                <c:pt idx="1">
                  <c:v>13</c:v>
                </c:pt>
                <c:pt idx="2">
                  <c:v>12</c:v>
                </c:pt>
                <c:pt idx="3">
                  <c:v>12</c:v>
                </c:pt>
                <c:pt idx="4">
                  <c:v>15</c:v>
                </c:pt>
                <c:pt idx="5">
                  <c:v>26</c:v>
                </c:pt>
                <c:pt idx="6">
                  <c:v>38</c:v>
                </c:pt>
                <c:pt idx="7">
                  <c:v>92</c:v>
                </c:pt>
                <c:pt idx="8">
                  <c:v>123</c:v>
                </c:pt>
                <c:pt idx="9">
                  <c:v>184</c:v>
                </c:pt>
                <c:pt idx="10">
                  <c:v>339</c:v>
                </c:pt>
                <c:pt idx="11">
                  <c:v>385.67599999999999</c:v>
                </c:pt>
              </c:numCache>
            </c:numRef>
          </c:val>
          <c:extLst>
            <c:ext xmlns:c16="http://schemas.microsoft.com/office/drawing/2014/chart" uri="{C3380CC4-5D6E-409C-BE32-E72D297353CC}">
              <c16:uniqueId val="{00000004-9A09-4208-867E-6CBDED8753A7}"/>
            </c:ext>
          </c:extLst>
        </c:ser>
        <c:ser>
          <c:idx val="5"/>
          <c:order val="5"/>
          <c:tx>
            <c:strRef>
              <c:f>[parc_vp_france_2022.xlsx]Feuil1!$A$11</c:f>
              <c:strCache>
                <c:ptCount val="1"/>
                <c:pt idx="0">
                  <c:v>Inconnu</c:v>
                </c:pt>
              </c:strCache>
            </c:strRef>
          </c:tx>
          <c:spPr>
            <a:solidFill>
              <a:schemeClr val="accent6"/>
            </a:solidFill>
            <a:ln>
              <a:noFill/>
            </a:ln>
            <a:effectLst/>
          </c:spPr>
          <c:invertIfNegative val="0"/>
          <c:cat>
            <c:strRef>
              <c:f>[parc_vp_france_2022.xlsx]Feuil1!$B$4:$M$4</c:f>
              <c:strCach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strCache>
            </c:strRef>
          </c:cat>
          <c:val>
            <c:numRef>
              <c:f>[parc_vp_france_2022.xlsx]Feuil1!$B$11:$M$11</c:f>
              <c:numCache>
                <c:formatCode>#,##0</c:formatCode>
                <c:ptCount val="12"/>
                <c:pt idx="0">
                  <c:v>335501</c:v>
                </c:pt>
                <c:pt idx="1">
                  <c:v>4349</c:v>
                </c:pt>
                <c:pt idx="2">
                  <c:v>4204</c:v>
                </c:pt>
                <c:pt idx="3">
                  <c:v>3973</c:v>
                </c:pt>
                <c:pt idx="4">
                  <c:v>3899</c:v>
                </c:pt>
                <c:pt idx="5">
                  <c:v>3823</c:v>
                </c:pt>
                <c:pt idx="6">
                  <c:v>3704</c:v>
                </c:pt>
                <c:pt idx="7">
                  <c:v>3552</c:v>
                </c:pt>
                <c:pt idx="8">
                  <c:v>3391</c:v>
                </c:pt>
                <c:pt idx="9">
                  <c:v>3136</c:v>
                </c:pt>
                <c:pt idx="10">
                  <c:v>2687</c:v>
                </c:pt>
                <c:pt idx="11">
                  <c:v>2621.913</c:v>
                </c:pt>
              </c:numCache>
            </c:numRef>
          </c:val>
          <c:extLst>
            <c:ext xmlns:c16="http://schemas.microsoft.com/office/drawing/2014/chart" uri="{C3380CC4-5D6E-409C-BE32-E72D297353CC}">
              <c16:uniqueId val="{00000005-9A09-4208-867E-6CBDED8753A7}"/>
            </c:ext>
          </c:extLst>
        </c:ser>
        <c:dLbls>
          <c:showLegendKey val="0"/>
          <c:showVal val="0"/>
          <c:showCatName val="0"/>
          <c:showSerName val="0"/>
          <c:showPercent val="0"/>
          <c:showBubbleSize val="0"/>
        </c:dLbls>
        <c:gapWidth val="150"/>
        <c:overlap val="100"/>
        <c:axId val="1547749839"/>
        <c:axId val="1547736943"/>
      </c:barChart>
      <c:lineChart>
        <c:grouping val="standard"/>
        <c:varyColors val="0"/>
        <c:ser>
          <c:idx val="6"/>
          <c:order val="6"/>
          <c:tx>
            <c:strRef>
              <c:f>[parc_vp_france_2022.xlsx]Feuil1!$A$13</c:f>
              <c:strCache>
                <c:ptCount val="1"/>
                <c:pt idx="0">
                  <c:v>Taux diéselisation (échelle de droite)</c:v>
                </c:pt>
              </c:strCache>
            </c:strRef>
          </c:tx>
          <c:spPr>
            <a:ln w="28575" cap="rnd">
              <a:solidFill>
                <a:srgbClr val="FF0000"/>
              </a:solidFill>
              <a:round/>
            </a:ln>
            <a:effectLst/>
          </c:spPr>
          <c:marker>
            <c:symbol val="none"/>
          </c:marker>
          <c:val>
            <c:numRef>
              <c:f>[parc_vp_france_2022.xlsx]Feuil1!$B$13:$M$13</c:f>
              <c:numCache>
                <c:formatCode>0.00%</c:formatCode>
                <c:ptCount val="12"/>
                <c:pt idx="0">
                  <c:v>0.5960080974382711</c:v>
                </c:pt>
                <c:pt idx="1">
                  <c:v>0.61541517445022131</c:v>
                </c:pt>
                <c:pt idx="2">
                  <c:v>0.62811350456483173</c:v>
                </c:pt>
                <c:pt idx="3">
                  <c:v>0.63592679567448607</c:v>
                </c:pt>
                <c:pt idx="4">
                  <c:v>0.64022101904221862</c:v>
                </c:pt>
                <c:pt idx="5">
                  <c:v>0.63932507875651012</c:v>
                </c:pt>
                <c:pt idx="6">
                  <c:v>0.63429827924558912</c:v>
                </c:pt>
                <c:pt idx="7">
                  <c:v>0.62427704377433901</c:v>
                </c:pt>
                <c:pt idx="8">
                  <c:v>0.60807227717346291</c:v>
                </c:pt>
                <c:pt idx="9">
                  <c:v>0.5900354454913761</c:v>
                </c:pt>
                <c:pt idx="10">
                  <c:v>0.57473221830118915</c:v>
                </c:pt>
                <c:pt idx="11">
                  <c:v>0.55499556032713726</c:v>
                </c:pt>
              </c:numCache>
            </c:numRef>
          </c:val>
          <c:smooth val="0"/>
          <c:extLst>
            <c:ext xmlns:c16="http://schemas.microsoft.com/office/drawing/2014/chart" uri="{C3380CC4-5D6E-409C-BE32-E72D297353CC}">
              <c16:uniqueId val="{00000006-9A09-4208-867E-6CBDED8753A7}"/>
            </c:ext>
          </c:extLst>
        </c:ser>
        <c:dLbls>
          <c:showLegendKey val="0"/>
          <c:showVal val="0"/>
          <c:showCatName val="0"/>
          <c:showSerName val="0"/>
          <c:showPercent val="0"/>
          <c:showBubbleSize val="0"/>
        </c:dLbls>
        <c:marker val="1"/>
        <c:smooth val="0"/>
        <c:axId val="1546251199"/>
        <c:axId val="1546250367"/>
      </c:lineChart>
      <c:catAx>
        <c:axId val="1547749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36943"/>
        <c:crosses val="autoZero"/>
        <c:auto val="1"/>
        <c:lblAlgn val="ctr"/>
        <c:lblOffset val="100"/>
        <c:noMultiLvlLbl val="0"/>
      </c:catAx>
      <c:valAx>
        <c:axId val="15477369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7749839"/>
        <c:crosses val="autoZero"/>
        <c:crossBetween val="between"/>
      </c:valAx>
      <c:valAx>
        <c:axId val="1546250367"/>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1199"/>
        <c:crosses val="max"/>
        <c:crossBetween val="between"/>
      </c:valAx>
      <c:catAx>
        <c:axId val="1546251199"/>
        <c:scaling>
          <c:orientation val="minMax"/>
        </c:scaling>
        <c:delete val="1"/>
        <c:axPos val="b"/>
        <c:majorTickMark val="out"/>
        <c:minorTickMark val="none"/>
        <c:tickLblPos val="nextTo"/>
        <c:crossAx val="1546250367"/>
        <c:crosses val="autoZero"/>
        <c:auto val="1"/>
        <c:lblAlgn val="ctr"/>
        <c:lblOffset val="100"/>
        <c:noMultiLvlLbl val="0"/>
      </c:catAx>
      <c:spPr>
        <a:noFill/>
        <a:ln>
          <a:noFill/>
        </a:ln>
        <a:effectLst/>
      </c:spPr>
    </c:plotArea>
    <c:legend>
      <c:legendPos val="b"/>
      <c:layout>
        <c:manualLayout>
          <c:xMode val="edge"/>
          <c:yMode val="edge"/>
          <c:x val="6.5654316415893574E-2"/>
          <c:y val="0.68380504520268304"/>
          <c:w val="0.879004898521348"/>
          <c:h val="0.288417177019539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[parc_vul_france_2022_0.xlsx]Feuil1!$A$6</c:f>
              <c:strCache>
                <c:ptCount val="1"/>
                <c:pt idx="0">
                  <c:v>Biodiesel</c:v>
                </c:pt>
              </c:strCache>
            </c:strRef>
          </c:tx>
          <c:spPr>
            <a:solidFill>
              <a:srgbClr val="CC3399"/>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[parc_vul_france_2022_0.xlsx]Feuil1!$B$6:$M$6</c:f>
              <c:numCache>
                <c:formatCode>#,##0</c:formatCode>
                <c:ptCount val="12"/>
                <c:pt idx="0">
                  <c:v>0</c:v>
                </c:pt>
                <c:pt idx="1">
                  <c:v>0</c:v>
                </c:pt>
                <c:pt idx="2">
                  <c:v>0</c:v>
                </c:pt>
                <c:pt idx="3">
                  <c:v>0</c:v>
                </c:pt>
                <c:pt idx="4">
                  <c:v>0</c:v>
                </c:pt>
                <c:pt idx="5">
                  <c:v>0</c:v>
                </c:pt>
                <c:pt idx="6">
                  <c:v>0</c:v>
                </c:pt>
                <c:pt idx="7">
                  <c:v>0</c:v>
                </c:pt>
                <c:pt idx="8">
                  <c:v>0</c:v>
                </c:pt>
                <c:pt idx="9">
                  <c:v>0</c:v>
                </c:pt>
                <c:pt idx="10">
                  <c:v>0</c:v>
                </c:pt>
                <c:pt idx="11">
                  <c:v>1</c:v>
                </c:pt>
              </c:numCache>
            </c:numRef>
          </c:val>
          <c:extLst>
            <c:ext xmlns:c16="http://schemas.microsoft.com/office/drawing/2014/chart" uri="{C3380CC4-5D6E-409C-BE32-E72D297353CC}">
              <c16:uniqueId val="{00000000-8BFA-4B9B-A8C7-DC993E65AB40}"/>
            </c:ext>
          </c:extLst>
        </c:ser>
        <c:ser>
          <c:idx val="1"/>
          <c:order val="1"/>
          <c:tx>
            <c:strRef>
              <c:f>[parc_vul_france_2022_0.xlsx]Feuil1!$A$7</c:f>
              <c:strCache>
                <c:ptCount val="1"/>
                <c:pt idx="0">
                  <c:v>Diesel</c:v>
                </c:pt>
              </c:strCache>
            </c:strRef>
          </c:tx>
          <c:spPr>
            <a:solidFill>
              <a:srgbClr val="0070C0"/>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[parc_vul_france_2022_0.xlsx]Feuil1!$B$7:$M$7</c:f>
              <c:numCache>
                <c:formatCode>#,##0</c:formatCode>
                <c:ptCount val="12"/>
                <c:pt idx="0">
                  <c:v>5065073</c:v>
                </c:pt>
                <c:pt idx="1">
                  <c:v>5218229</c:v>
                </c:pt>
                <c:pt idx="2">
                  <c:v>5320138</c:v>
                </c:pt>
                <c:pt idx="3">
                  <c:v>5438076</c:v>
                </c:pt>
                <c:pt idx="4">
                  <c:v>5559842</c:v>
                </c:pt>
                <c:pt idx="5">
                  <c:v>5666152</c:v>
                </c:pt>
                <c:pt idx="6">
                  <c:v>5802292</c:v>
                </c:pt>
                <c:pt idx="7">
                  <c:v>5953380</c:v>
                </c:pt>
                <c:pt idx="8">
                  <c:v>6024786</c:v>
                </c:pt>
                <c:pt idx="9">
                  <c:v>5984501</c:v>
                </c:pt>
                <c:pt idx="10">
                  <c:v>5971915</c:v>
                </c:pt>
                <c:pt idx="11">
                  <c:v>5966195.1540000001</c:v>
                </c:pt>
              </c:numCache>
            </c:numRef>
          </c:val>
          <c:extLst>
            <c:ext xmlns:c16="http://schemas.microsoft.com/office/drawing/2014/chart" uri="{C3380CC4-5D6E-409C-BE32-E72D297353CC}">
              <c16:uniqueId val="{00000001-8BFA-4B9B-A8C7-DC993E65AB40}"/>
            </c:ext>
          </c:extLst>
        </c:ser>
        <c:ser>
          <c:idx val="2"/>
          <c:order val="2"/>
          <c:tx>
            <c:strRef>
              <c:f>[parc_vul_france_2022_0.xlsx]Feuil1!$A$8</c:f>
              <c:strCache>
                <c:ptCount val="1"/>
                <c:pt idx="0">
                  <c:v>Electrique</c:v>
                </c:pt>
              </c:strCache>
            </c:strRef>
          </c:tx>
          <c:spPr>
            <a:solidFill>
              <a:schemeClr val="accent3"/>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[parc_vul_france_2022_0.xlsx]Feuil1!$B$8:$M$8</c:f>
              <c:numCache>
                <c:formatCode>#,##0</c:formatCode>
                <c:ptCount val="12"/>
                <c:pt idx="0">
                  <c:v>3793</c:v>
                </c:pt>
                <c:pt idx="1">
                  <c:v>4664</c:v>
                </c:pt>
                <c:pt idx="2">
                  <c:v>7578</c:v>
                </c:pt>
                <c:pt idx="3">
                  <c:v>12027</c:v>
                </c:pt>
                <c:pt idx="4">
                  <c:v>15531</c:v>
                </c:pt>
                <c:pt idx="5">
                  <c:v>19485</c:v>
                </c:pt>
                <c:pt idx="6">
                  <c:v>24428</c:v>
                </c:pt>
                <c:pt idx="7">
                  <c:v>29206</c:v>
                </c:pt>
                <c:pt idx="8">
                  <c:v>35469</c:v>
                </c:pt>
                <c:pt idx="9">
                  <c:v>41315</c:v>
                </c:pt>
                <c:pt idx="10">
                  <c:v>48643</c:v>
                </c:pt>
                <c:pt idx="11">
                  <c:v>58964.625</c:v>
                </c:pt>
              </c:numCache>
            </c:numRef>
          </c:val>
          <c:extLst>
            <c:ext xmlns:c16="http://schemas.microsoft.com/office/drawing/2014/chart" uri="{C3380CC4-5D6E-409C-BE32-E72D297353CC}">
              <c16:uniqueId val="{00000002-8BFA-4B9B-A8C7-DC993E65AB40}"/>
            </c:ext>
          </c:extLst>
        </c:ser>
        <c:ser>
          <c:idx val="3"/>
          <c:order val="3"/>
          <c:tx>
            <c:strRef>
              <c:f>[parc_vul_france_2022_0.xlsx]Feuil1!$A$9</c:f>
              <c:strCache>
                <c:ptCount val="1"/>
                <c:pt idx="0">
                  <c:v>Essence</c:v>
                </c:pt>
              </c:strCache>
            </c:strRef>
          </c:tx>
          <c:spPr>
            <a:solidFill>
              <a:srgbClr val="00B050"/>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[parc_vul_france_2022_0.xlsx]Feuil1!$B$9:$M$9</c:f>
              <c:numCache>
                <c:formatCode>#,##0</c:formatCode>
                <c:ptCount val="12"/>
                <c:pt idx="0">
                  <c:v>326445</c:v>
                </c:pt>
                <c:pt idx="1">
                  <c:v>304101</c:v>
                </c:pt>
                <c:pt idx="2">
                  <c:v>281820</c:v>
                </c:pt>
                <c:pt idx="3">
                  <c:v>268338</c:v>
                </c:pt>
                <c:pt idx="4">
                  <c:v>255901</c:v>
                </c:pt>
                <c:pt idx="5">
                  <c:v>244112</c:v>
                </c:pt>
                <c:pt idx="6">
                  <c:v>234235</c:v>
                </c:pt>
                <c:pt idx="7">
                  <c:v>230005</c:v>
                </c:pt>
                <c:pt idx="8">
                  <c:v>226987</c:v>
                </c:pt>
                <c:pt idx="9">
                  <c:v>221839</c:v>
                </c:pt>
                <c:pt idx="10">
                  <c:v>218406</c:v>
                </c:pt>
                <c:pt idx="11">
                  <c:v>234482.20799999998</c:v>
                </c:pt>
              </c:numCache>
            </c:numRef>
          </c:val>
          <c:extLst>
            <c:ext xmlns:c16="http://schemas.microsoft.com/office/drawing/2014/chart" uri="{C3380CC4-5D6E-409C-BE32-E72D297353CC}">
              <c16:uniqueId val="{00000003-8BFA-4B9B-A8C7-DC993E65AB40}"/>
            </c:ext>
          </c:extLst>
        </c:ser>
        <c:ser>
          <c:idx val="4"/>
          <c:order val="4"/>
          <c:tx>
            <c:strRef>
              <c:f>[parc_vul_france_2022_0.xlsx]Feuil1!$A$10</c:f>
              <c:strCache>
                <c:ptCount val="1"/>
                <c:pt idx="0">
                  <c:v>Gaz</c:v>
                </c:pt>
              </c:strCache>
            </c:strRef>
          </c:tx>
          <c:spPr>
            <a:solidFill>
              <a:srgbClr val="EA5433"/>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[parc_vul_france_2022_0.xlsx]Feuil1!$B$10:$M$10</c:f>
              <c:numCache>
                <c:formatCode>#,##0</c:formatCode>
                <c:ptCount val="12"/>
                <c:pt idx="0">
                  <c:v>24411</c:v>
                </c:pt>
                <c:pt idx="1">
                  <c:v>21779</c:v>
                </c:pt>
                <c:pt idx="2">
                  <c:v>19647</c:v>
                </c:pt>
                <c:pt idx="3">
                  <c:v>18646</c:v>
                </c:pt>
                <c:pt idx="4">
                  <c:v>18144</c:v>
                </c:pt>
                <c:pt idx="5">
                  <c:v>17672</c:v>
                </c:pt>
                <c:pt idx="6">
                  <c:v>17461</c:v>
                </c:pt>
                <c:pt idx="7">
                  <c:v>17177</c:v>
                </c:pt>
                <c:pt idx="8">
                  <c:v>16841</c:v>
                </c:pt>
                <c:pt idx="9">
                  <c:v>16605</c:v>
                </c:pt>
                <c:pt idx="10">
                  <c:v>16827</c:v>
                </c:pt>
                <c:pt idx="11">
                  <c:v>17932.983</c:v>
                </c:pt>
              </c:numCache>
            </c:numRef>
          </c:val>
          <c:extLst>
            <c:ext xmlns:c16="http://schemas.microsoft.com/office/drawing/2014/chart" uri="{C3380CC4-5D6E-409C-BE32-E72D297353CC}">
              <c16:uniqueId val="{00000004-8BFA-4B9B-A8C7-DC993E65AB40}"/>
            </c:ext>
          </c:extLst>
        </c:ser>
        <c:ser>
          <c:idx val="5"/>
          <c:order val="5"/>
          <c:tx>
            <c:strRef>
              <c:f>[parc_vul_france_2022_0.xlsx]Feuil1!$A$11</c:f>
              <c:strCache>
                <c:ptCount val="1"/>
                <c:pt idx="0">
                  <c:v>Hydrogène et autre ZE</c:v>
                </c:pt>
              </c:strCache>
            </c:strRef>
          </c:tx>
          <c:spPr>
            <a:solidFill>
              <a:schemeClr val="accent6"/>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[parc_vul_france_2022_0.xlsx]Feuil1!$B$11:$M$11</c:f>
              <c:numCache>
                <c:formatCode>#,##0</c:formatCode>
                <c:ptCount val="12"/>
                <c:pt idx="0">
                  <c:v>6</c:v>
                </c:pt>
                <c:pt idx="1">
                  <c:v>7</c:v>
                </c:pt>
                <c:pt idx="2">
                  <c:v>6</c:v>
                </c:pt>
                <c:pt idx="3">
                  <c:v>4</c:v>
                </c:pt>
                <c:pt idx="4">
                  <c:v>15</c:v>
                </c:pt>
                <c:pt idx="5">
                  <c:v>68</c:v>
                </c:pt>
                <c:pt idx="6">
                  <c:v>89</c:v>
                </c:pt>
                <c:pt idx="7">
                  <c:v>161</c:v>
                </c:pt>
                <c:pt idx="8">
                  <c:v>192</c:v>
                </c:pt>
                <c:pt idx="9">
                  <c:v>185</c:v>
                </c:pt>
                <c:pt idx="10">
                  <c:v>173</c:v>
                </c:pt>
                <c:pt idx="11">
                  <c:v>182.012</c:v>
                </c:pt>
              </c:numCache>
            </c:numRef>
          </c:val>
          <c:extLst>
            <c:ext xmlns:c16="http://schemas.microsoft.com/office/drawing/2014/chart" uri="{C3380CC4-5D6E-409C-BE32-E72D297353CC}">
              <c16:uniqueId val="{00000005-8BFA-4B9B-A8C7-DC993E65AB40}"/>
            </c:ext>
          </c:extLst>
        </c:ser>
        <c:ser>
          <c:idx val="6"/>
          <c:order val="6"/>
          <c:tx>
            <c:strRef>
              <c:f>[parc_vul_france_2022_0.xlsx]Feuil1!$A$12</c:f>
              <c:strCache>
                <c:ptCount val="1"/>
                <c:pt idx="0">
                  <c:v>Inconnu</c:v>
                </c:pt>
              </c:strCache>
            </c:strRef>
          </c:tx>
          <c:spPr>
            <a:solidFill>
              <a:schemeClr val="accent6"/>
            </a:solidFill>
            <a:ln>
              <a:noFill/>
            </a:ln>
            <a:effectLst/>
          </c:spPr>
          <c:invertIfNegative val="0"/>
          <c:cat>
            <c:numRef>
              <c:f>[parc_vul_france_2022_0.xlsx]Feuil1!$B$4:$M$4</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[parc_vul_france_2022_0.xlsx]Feuil1!$B$12:$M$12</c:f>
              <c:numCache>
                <c:formatCode>#,##0</c:formatCode>
                <c:ptCount val="12"/>
                <c:pt idx="0">
                  <c:v>20778</c:v>
                </c:pt>
                <c:pt idx="1">
                  <c:v>1855</c:v>
                </c:pt>
                <c:pt idx="2">
                  <c:v>1701</c:v>
                </c:pt>
                <c:pt idx="3">
                  <c:v>1641</c:v>
                </c:pt>
                <c:pt idx="4">
                  <c:v>1607</c:v>
                </c:pt>
                <c:pt idx="5">
                  <c:v>1674</c:v>
                </c:pt>
                <c:pt idx="6">
                  <c:v>1734</c:v>
                </c:pt>
                <c:pt idx="7">
                  <c:v>1795</c:v>
                </c:pt>
                <c:pt idx="8">
                  <c:v>1746</c:v>
                </c:pt>
                <c:pt idx="9">
                  <c:v>1578</c:v>
                </c:pt>
                <c:pt idx="10">
                  <c:v>1467</c:v>
                </c:pt>
                <c:pt idx="11">
                  <c:v>1379.79</c:v>
                </c:pt>
              </c:numCache>
            </c:numRef>
          </c:val>
          <c:extLst>
            <c:ext xmlns:c16="http://schemas.microsoft.com/office/drawing/2014/chart" uri="{C3380CC4-5D6E-409C-BE32-E72D297353CC}">
              <c16:uniqueId val="{00000006-8BFA-4B9B-A8C7-DC993E65AB40}"/>
            </c:ext>
          </c:extLst>
        </c:ser>
        <c:dLbls>
          <c:showLegendKey val="0"/>
          <c:showVal val="0"/>
          <c:showCatName val="0"/>
          <c:showSerName val="0"/>
          <c:showPercent val="0"/>
          <c:showBubbleSize val="0"/>
        </c:dLbls>
        <c:gapWidth val="150"/>
        <c:overlap val="100"/>
        <c:axId val="1546252863"/>
        <c:axId val="1546252031"/>
      </c:barChart>
      <c:lineChart>
        <c:grouping val="standard"/>
        <c:varyColors val="0"/>
        <c:ser>
          <c:idx val="7"/>
          <c:order val="7"/>
          <c:tx>
            <c:strRef>
              <c:f>[parc_vul_france_2022_0.xlsx]Feuil1!$A$14</c:f>
              <c:strCache>
                <c:ptCount val="1"/>
                <c:pt idx="0">
                  <c:v>Taux diésélisation (échelle de droite)</c:v>
                </c:pt>
              </c:strCache>
            </c:strRef>
          </c:tx>
          <c:spPr>
            <a:ln w="28575" cap="rnd">
              <a:solidFill>
                <a:srgbClr val="FF0000"/>
              </a:solidFill>
              <a:round/>
            </a:ln>
            <a:effectLst/>
          </c:spPr>
          <c:marker>
            <c:symbol val="none"/>
          </c:marker>
          <c:val>
            <c:numRef>
              <c:f>[parc_vul_france_2022_0.xlsx]Feuil1!$B$14:$M$14</c:f>
              <c:numCache>
                <c:formatCode>0.00%</c:formatCode>
                <c:ptCount val="12"/>
                <c:pt idx="0">
                  <c:v>0.9309929995482038</c:v>
                </c:pt>
                <c:pt idx="1">
                  <c:v>0.94011387886250852</c:v>
                </c:pt>
                <c:pt idx="2">
                  <c:v>0.94481298693456983</c:v>
                </c:pt>
                <c:pt idx="3">
                  <c:v>0.94760933251456947</c:v>
                </c:pt>
                <c:pt idx="4">
                  <c:v>0.95023141185156823</c:v>
                </c:pt>
                <c:pt idx="5">
                  <c:v>0.95242843405030253</c:v>
                </c:pt>
                <c:pt idx="6">
                  <c:v>0.95428682984336632</c:v>
                </c:pt>
                <c:pt idx="7">
                  <c:v>0.95533435049434157</c:v>
                </c:pt>
                <c:pt idx="8">
                  <c:v>0.95540214661511591</c:v>
                </c:pt>
                <c:pt idx="9">
                  <c:v>0.95507166188186665</c:v>
                </c:pt>
                <c:pt idx="10">
                  <c:v>0.95437169023517798</c:v>
                </c:pt>
                <c:pt idx="11">
                  <c:v>0.9501615302350146</c:v>
                </c:pt>
              </c:numCache>
            </c:numRef>
          </c:val>
          <c:smooth val="0"/>
          <c:extLst>
            <c:ext xmlns:c16="http://schemas.microsoft.com/office/drawing/2014/chart" uri="{C3380CC4-5D6E-409C-BE32-E72D297353CC}">
              <c16:uniqueId val="{00000007-8BFA-4B9B-A8C7-DC993E65AB40}"/>
            </c:ext>
          </c:extLst>
        </c:ser>
        <c:dLbls>
          <c:showLegendKey val="0"/>
          <c:showVal val="0"/>
          <c:showCatName val="0"/>
          <c:showSerName val="0"/>
          <c:showPercent val="0"/>
          <c:showBubbleSize val="0"/>
        </c:dLbls>
        <c:marker val="1"/>
        <c:smooth val="0"/>
        <c:axId val="1330288655"/>
        <c:axId val="1445764351"/>
      </c:lineChart>
      <c:catAx>
        <c:axId val="1546252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2031"/>
        <c:crosses val="autoZero"/>
        <c:auto val="1"/>
        <c:lblAlgn val="ctr"/>
        <c:lblOffset val="100"/>
        <c:noMultiLvlLbl val="0"/>
      </c:catAx>
      <c:valAx>
        <c:axId val="15462520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6252863"/>
        <c:crosses val="autoZero"/>
        <c:crossBetween val="between"/>
      </c:valAx>
      <c:valAx>
        <c:axId val="1445764351"/>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0288655"/>
        <c:crosses val="max"/>
        <c:crossBetween val="between"/>
      </c:valAx>
      <c:catAx>
        <c:axId val="1330288655"/>
        <c:scaling>
          <c:orientation val="minMax"/>
        </c:scaling>
        <c:delete val="1"/>
        <c:axPos val="b"/>
        <c:majorTickMark val="out"/>
        <c:minorTickMark val="none"/>
        <c:tickLblPos val="nextTo"/>
        <c:crossAx val="144576435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'[sect-ind-auto-immat-energie.xlsx]Données'!$A$5</c:f>
              <c:strCache>
                <c:ptCount val="1"/>
                <c:pt idx="0">
                  <c:v>Essence</c:v>
                </c:pt>
              </c:strCache>
            </c:strRef>
          </c:tx>
          <c:spPr>
            <a:solidFill>
              <a:srgbClr val="0070C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'[sect-ind-auto-immat-energie.xlsx]Données'!$B$5:$U$5</c:f>
              <c:numCache>
                <c:formatCode>#\ ##0.0</c:formatCode>
                <c:ptCount val="20"/>
                <c:pt idx="0">
                  <c:v>981.21600000000001</c:v>
                </c:pt>
                <c:pt idx="1">
                  <c:v>784.74800000000005</c:v>
                </c:pt>
                <c:pt idx="2">
                  <c:v>668.92</c:v>
                </c:pt>
                <c:pt idx="3">
                  <c:v>632.44600000000003</c:v>
                </c:pt>
                <c:pt idx="4">
                  <c:v>644.25300000000004</c:v>
                </c:pt>
                <c:pt idx="5">
                  <c:v>570.93499999999995</c:v>
                </c:pt>
                <c:pt idx="6">
                  <c:v>533.14099999999996</c:v>
                </c:pt>
                <c:pt idx="7" formatCode="&quot;(r) &quot;#\ ##0.0">
                  <c:v>455.96499999999997</c:v>
                </c:pt>
                <c:pt idx="8">
                  <c:v>635.38400000000001</c:v>
                </c:pt>
                <c:pt idx="9">
                  <c:v>567.827</c:v>
                </c:pt>
                <c:pt idx="10">
                  <c:v>573.50199999999995</c:v>
                </c:pt>
                <c:pt idx="11">
                  <c:v>471.24299999999999</c:v>
                </c:pt>
                <c:pt idx="12">
                  <c:v>532.10400000000004</c:v>
                </c:pt>
                <c:pt idx="13">
                  <c:v>592.92700000000002</c:v>
                </c:pt>
                <c:pt idx="14">
                  <c:v>739.37400000000002</c:v>
                </c:pt>
                <c:pt idx="15">
                  <c:v>883.11500000000001</c:v>
                </c:pt>
                <c:pt idx="16">
                  <c:v>1004.312</c:v>
                </c:pt>
                <c:pt idx="17">
                  <c:v>1188.1220000000001</c:v>
                </c:pt>
                <c:pt idx="18">
                  <c:v>1281.7929999999999</c:v>
                </c:pt>
                <c:pt idx="19">
                  <c:v>774.38300000000004</c:v>
                </c:pt>
              </c:numCache>
            </c:numRef>
          </c:val>
          <c:extLst>
            <c:ext xmlns:c16="http://schemas.microsoft.com/office/drawing/2014/chart" uri="{C3380CC4-5D6E-409C-BE32-E72D297353CC}">
              <c16:uniqueId val="{00000000-2A80-4F68-8747-5A5C22D24365}"/>
            </c:ext>
          </c:extLst>
        </c:ser>
        <c:ser>
          <c:idx val="1"/>
          <c:order val="1"/>
          <c:tx>
            <c:strRef>
              <c:f>'[sect-ind-auto-immat-energie.xlsx]Données'!$A$6</c:f>
              <c:strCache>
                <c:ptCount val="1"/>
                <c:pt idx="0">
                  <c:v>Diesel</c:v>
                </c:pt>
              </c:strCache>
            </c:strRef>
          </c:tx>
          <c:spPr>
            <a:solidFill>
              <a:srgbClr val="FFC00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'[sect-ind-auto-immat-energie.xlsx]Données'!$B$6:$U$6</c:f>
              <c:numCache>
                <c:formatCode>#\ ##0.0</c:formatCode>
                <c:ptCount val="20"/>
                <c:pt idx="0">
                  <c:v>1267.76</c:v>
                </c:pt>
                <c:pt idx="1">
                  <c:v>1354.933</c:v>
                </c:pt>
                <c:pt idx="2">
                  <c:v>1389.0229999999999</c:v>
                </c:pt>
                <c:pt idx="3">
                  <c:v>1429.2919999999999</c:v>
                </c:pt>
                <c:pt idx="4">
                  <c:v>1466.5450000000001</c:v>
                </c:pt>
                <c:pt idx="5">
                  <c:v>1463.501</c:v>
                </c:pt>
                <c:pt idx="6">
                  <c:v>1562.961</c:v>
                </c:pt>
                <c:pt idx="7" formatCode="&quot;(r) &quot;#\ ##0.0">
                  <c:v>1620.617</c:v>
                </c:pt>
                <c:pt idx="8">
                  <c:v>1628.413</c:v>
                </c:pt>
                <c:pt idx="9">
                  <c:v>1593.12</c:v>
                </c:pt>
                <c:pt idx="10">
                  <c:v>1595.7840000000001</c:v>
                </c:pt>
                <c:pt idx="11" formatCode="&quot;(r) &quot;#\ ##0.0">
                  <c:v>1384.5419999999999</c:v>
                </c:pt>
                <c:pt idx="12">
                  <c:v>1199.7249999999999</c:v>
                </c:pt>
                <c:pt idx="13">
                  <c:v>1146.6579999999999</c:v>
                </c:pt>
                <c:pt idx="14">
                  <c:v>1097.1220000000001</c:v>
                </c:pt>
                <c:pt idx="15">
                  <c:v>1050.403</c:v>
                </c:pt>
                <c:pt idx="16">
                  <c:v>998.11500000000001</c:v>
                </c:pt>
                <c:pt idx="17">
                  <c:v>844.83</c:v>
                </c:pt>
                <c:pt idx="18">
                  <c:v>755.57299999999998</c:v>
                </c:pt>
                <c:pt idx="19">
                  <c:v>504.178</c:v>
                </c:pt>
              </c:numCache>
            </c:numRef>
          </c:val>
          <c:extLst>
            <c:ext xmlns:c16="http://schemas.microsoft.com/office/drawing/2014/chart" uri="{C3380CC4-5D6E-409C-BE32-E72D297353CC}">
              <c16:uniqueId val="{00000001-2A80-4F68-8747-5A5C22D24365}"/>
            </c:ext>
          </c:extLst>
        </c:ser>
        <c:ser>
          <c:idx val="2"/>
          <c:order val="2"/>
          <c:tx>
            <c:v>Hybride</c:v>
          </c:tx>
          <c:spPr>
            <a:solidFill>
              <a:srgbClr val="FF0000"/>
            </a:solidFill>
            <a:ln>
              <a:noFill/>
            </a:ln>
            <a:effectLst/>
          </c:spPr>
          <c:invertIfNegative val="0"/>
          <c:dPt>
            <c:idx val="19"/>
            <c:invertIfNegative val="0"/>
            <c:bubble3D val="0"/>
            <c:spPr>
              <a:solidFill>
                <a:srgbClr val="FF0000"/>
              </a:solidFill>
              <a:ln>
                <a:noFill/>
              </a:ln>
              <a:effectLst/>
            </c:spPr>
            <c:extLst>
              <c:ext xmlns:c16="http://schemas.microsoft.com/office/drawing/2014/chart" uri="{C3380CC4-5D6E-409C-BE32-E72D297353CC}">
                <c16:uniqueId val="{00000003-2A80-4F68-8747-5A5C22D24365}"/>
              </c:ext>
            </c:extLst>
          </c:dPt>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'[sect-ind-auto-immat-energie.xlsx]Données'!$B$7:$U$7</c:f>
              <c:numCache>
                <c:formatCode>#\ ##0.0</c:formatCode>
                <c:ptCount val="20"/>
                <c:pt idx="0">
                  <c:v>8.5000000000000006E-2</c:v>
                </c:pt>
                <c:pt idx="1">
                  <c:v>5.0999999999999997E-2</c:v>
                </c:pt>
                <c:pt idx="2">
                  <c:v>3.5999999999999997E-2</c:v>
                </c:pt>
                <c:pt idx="3">
                  <c:v>0.66900000000000004</c:v>
                </c:pt>
                <c:pt idx="4">
                  <c:v>2.8570000000000002</c:v>
                </c:pt>
                <c:pt idx="5">
                  <c:v>6.4139999999999997</c:v>
                </c:pt>
                <c:pt idx="6">
                  <c:v>7.1779999999999999</c:v>
                </c:pt>
                <c:pt idx="7">
                  <c:v>8.4649999999999999</c:v>
                </c:pt>
                <c:pt idx="8">
                  <c:v>9.907</c:v>
                </c:pt>
                <c:pt idx="9">
                  <c:v>9.673</c:v>
                </c:pt>
                <c:pt idx="10">
                  <c:v>13.638999999999999</c:v>
                </c:pt>
                <c:pt idx="11" formatCode="&quot;(r) &quot;#\ ##0.0">
                  <c:v>27.881</c:v>
                </c:pt>
                <c:pt idx="12">
                  <c:v>46.744999999999997</c:v>
                </c:pt>
                <c:pt idx="13">
                  <c:v>43.134999999999998</c:v>
                </c:pt>
                <c:pt idx="14">
                  <c:v>61.616999999999997</c:v>
                </c:pt>
                <c:pt idx="15">
                  <c:v>58.389000000000003</c:v>
                </c:pt>
                <c:pt idx="16">
                  <c:v>81.558999999999997</c:v>
                </c:pt>
                <c:pt idx="17">
                  <c:v>106.369</c:v>
                </c:pt>
                <c:pt idx="18">
                  <c:v>125.435</c:v>
                </c:pt>
                <c:pt idx="19">
                  <c:v>243.67500000000001</c:v>
                </c:pt>
              </c:numCache>
            </c:numRef>
          </c:val>
          <c:extLst>
            <c:ext xmlns:c16="http://schemas.microsoft.com/office/drawing/2014/chart" uri="{C3380CC4-5D6E-409C-BE32-E72D297353CC}">
              <c16:uniqueId val="{00000004-2A80-4F68-8747-5A5C22D24365}"/>
            </c:ext>
          </c:extLst>
        </c:ser>
        <c:ser>
          <c:idx val="3"/>
          <c:order val="3"/>
          <c:tx>
            <c:strRef>
              <c:f>'[sect-ind-auto-immat-energie.xlsx]Données'!$A$8</c:f>
              <c:strCache>
                <c:ptCount val="1"/>
                <c:pt idx="0">
                  <c:v>Électricité  </c:v>
                </c:pt>
              </c:strCache>
            </c:strRef>
          </c:tx>
          <c:spPr>
            <a:solidFill>
              <a:srgbClr val="00B050"/>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'[sect-ind-auto-immat-energie.xlsx]Données'!$B$8:$U$8</c:f>
              <c:numCache>
                <c:formatCode>#\ ##0.0</c:formatCode>
                <c:ptCount val="20"/>
                <c:pt idx="0">
                  <c:v>0.40699999999999997</c:v>
                </c:pt>
                <c:pt idx="1">
                  <c:v>0.31</c:v>
                </c:pt>
                <c:pt idx="2">
                  <c:v>0.113</c:v>
                </c:pt>
                <c:pt idx="3">
                  <c:v>0.46</c:v>
                </c:pt>
                <c:pt idx="4">
                  <c:v>6.0000000000000001E-3</c:v>
                </c:pt>
                <c:pt idx="5">
                  <c:v>1.4E-2</c:v>
                </c:pt>
                <c:pt idx="6">
                  <c:v>1E-3</c:v>
                </c:pt>
                <c:pt idx="7">
                  <c:v>0</c:v>
                </c:pt>
                <c:pt idx="8">
                  <c:v>0.01</c:v>
                </c:pt>
                <c:pt idx="9">
                  <c:v>0.17100000000000001</c:v>
                </c:pt>
                <c:pt idx="10">
                  <c:v>2.63</c:v>
                </c:pt>
                <c:pt idx="11">
                  <c:v>5.6630000000000003</c:v>
                </c:pt>
                <c:pt idx="12">
                  <c:v>8.7789999999999999</c:v>
                </c:pt>
                <c:pt idx="13">
                  <c:v>10.561</c:v>
                </c:pt>
                <c:pt idx="14">
                  <c:v>17.268000000000001</c:v>
                </c:pt>
                <c:pt idx="15">
                  <c:v>21.751000000000001</c:v>
                </c:pt>
                <c:pt idx="16">
                  <c:v>24.91</c:v>
                </c:pt>
                <c:pt idx="17">
                  <c:v>31.059000000000001</c:v>
                </c:pt>
                <c:pt idx="18">
                  <c:v>42.764000000000003</c:v>
                </c:pt>
                <c:pt idx="19">
                  <c:v>110.907</c:v>
                </c:pt>
              </c:numCache>
            </c:numRef>
          </c:val>
          <c:extLst>
            <c:ext xmlns:c16="http://schemas.microsoft.com/office/drawing/2014/chart" uri="{C3380CC4-5D6E-409C-BE32-E72D297353CC}">
              <c16:uniqueId val="{00000005-2A80-4F68-8747-5A5C22D24365}"/>
            </c:ext>
          </c:extLst>
        </c:ser>
        <c:ser>
          <c:idx val="4"/>
          <c:order val="4"/>
          <c:tx>
            <c:strRef>
              <c:f>'[sect-ind-auto-immat-energie.xlsx]Données'!$A$9</c:f>
              <c:strCache>
                <c:ptCount val="1"/>
                <c:pt idx="0">
                  <c:v>Bicarburation (essence + GPL + GNV)</c:v>
                </c:pt>
              </c:strCache>
            </c:strRef>
          </c:tx>
          <c:spPr>
            <a:solidFill>
              <a:schemeClr val="accent5"/>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'[sect-ind-auto-immat-energie.xlsx]Données'!$B$9:$U$9</c:f>
              <c:numCache>
                <c:formatCode>#\ ##0.0</c:formatCode>
                <c:ptCount val="20"/>
                <c:pt idx="0">
                  <c:v>5.2629999999999999</c:v>
                </c:pt>
                <c:pt idx="1">
                  <c:v>5.0289999999999999</c:v>
                </c:pt>
                <c:pt idx="2">
                  <c:v>3.863</c:v>
                </c:pt>
                <c:pt idx="3">
                  <c:v>2.875</c:v>
                </c:pt>
                <c:pt idx="4">
                  <c:v>4.0140000000000002</c:v>
                </c:pt>
                <c:pt idx="5">
                  <c:v>4.585</c:v>
                </c:pt>
                <c:pt idx="6">
                  <c:v>3.4140000000000001</c:v>
                </c:pt>
                <c:pt idx="7">
                  <c:v>2.6440000000000001</c:v>
                </c:pt>
                <c:pt idx="8">
                  <c:v>25.173999999999999</c:v>
                </c:pt>
                <c:pt idx="9">
                  <c:v>75.713999999999999</c:v>
                </c:pt>
                <c:pt idx="10">
                  <c:v>12.055</c:v>
                </c:pt>
                <c:pt idx="11">
                  <c:v>2.0569999999999999</c:v>
                </c:pt>
                <c:pt idx="12">
                  <c:v>2.8370000000000002</c:v>
                </c:pt>
                <c:pt idx="13">
                  <c:v>2.2959999999999998</c:v>
                </c:pt>
                <c:pt idx="14">
                  <c:v>1.5529999999999999</c:v>
                </c:pt>
                <c:pt idx="15">
                  <c:v>0.41899999999999998</c:v>
                </c:pt>
                <c:pt idx="16">
                  <c:v>1.03</c:v>
                </c:pt>
                <c:pt idx="17">
                  <c:v>2.266</c:v>
                </c:pt>
                <c:pt idx="18">
                  <c:v>2.1</c:v>
                </c:pt>
                <c:pt idx="19">
                  <c:v>16.64</c:v>
                </c:pt>
              </c:numCache>
            </c:numRef>
          </c:val>
          <c:extLst>
            <c:ext xmlns:c16="http://schemas.microsoft.com/office/drawing/2014/chart" uri="{C3380CC4-5D6E-409C-BE32-E72D297353CC}">
              <c16:uniqueId val="{00000006-2A80-4F68-8747-5A5C22D24365}"/>
            </c:ext>
          </c:extLst>
        </c:ser>
        <c:ser>
          <c:idx val="5"/>
          <c:order val="5"/>
          <c:tx>
            <c:v>Autres</c:v>
          </c:tx>
          <c:spPr>
            <a:solidFill>
              <a:schemeClr val="accent6"/>
            </a:solidFill>
            <a:ln>
              <a:noFill/>
            </a:ln>
            <a:effectLst/>
          </c:spPr>
          <c:invertIfNegative val="0"/>
          <c:cat>
            <c:numRef>
              <c:f>'[sect-ind-auto-immat-energie.xlsx]Données'!$B$4:$U$4</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'[sect-ind-auto-immat-energie.xlsx]Données'!$B$10:$U$10</c:f>
              <c:numCache>
                <c:formatCode>#\ ##0.0</c:formatCode>
                <c:ptCount val="20"/>
                <c:pt idx="0">
                  <c:v>0</c:v>
                </c:pt>
                <c:pt idx="1">
                  <c:v>0</c:v>
                </c:pt>
                <c:pt idx="2">
                  <c:v>0</c:v>
                </c:pt>
                <c:pt idx="3">
                  <c:v>0</c:v>
                </c:pt>
                <c:pt idx="4">
                  <c:v>0</c:v>
                </c:pt>
                <c:pt idx="5">
                  <c:v>8.9999999999999993E-3</c:v>
                </c:pt>
                <c:pt idx="6">
                  <c:v>2.82</c:v>
                </c:pt>
                <c:pt idx="7">
                  <c:v>3.238</c:v>
                </c:pt>
                <c:pt idx="8">
                  <c:v>3.2989999999999999</c:v>
                </c:pt>
                <c:pt idx="9">
                  <c:v>5.0860000000000003</c:v>
                </c:pt>
                <c:pt idx="10" formatCode="&quot;(r) &quot;#\ ##0.0">
                  <c:v>6.58</c:v>
                </c:pt>
                <c:pt idx="11" formatCode="&quot;(r) &quot;#\ ##0.0">
                  <c:v>7.3520000000000003</c:v>
                </c:pt>
                <c:pt idx="12" formatCode="&quot;(r) &quot;#\ ##0.0">
                  <c:v>0.25700000000000001</c:v>
                </c:pt>
                <c:pt idx="13">
                  <c:v>0.3</c:v>
                </c:pt>
                <c:pt idx="14">
                  <c:v>0.28799999999999998</c:v>
                </c:pt>
                <c:pt idx="15" formatCode="&quot;(r) &quot;#\ ##0.0">
                  <c:v>1.079</c:v>
                </c:pt>
                <c:pt idx="16">
                  <c:v>0.81799999999999995</c:v>
                </c:pt>
                <c:pt idx="17">
                  <c:v>0.78300000000000003</c:v>
                </c:pt>
                <c:pt idx="18">
                  <c:v>6.6020000000000003</c:v>
                </c:pt>
                <c:pt idx="19">
                  <c:v>0.32500000000000001</c:v>
                </c:pt>
              </c:numCache>
            </c:numRef>
          </c:val>
          <c:extLst>
            <c:ext xmlns:c16="http://schemas.microsoft.com/office/drawing/2014/chart" uri="{C3380CC4-5D6E-409C-BE32-E72D297353CC}">
              <c16:uniqueId val="{00000007-2A80-4F68-8747-5A5C22D24365}"/>
            </c:ext>
          </c:extLst>
        </c:ser>
        <c:dLbls>
          <c:showLegendKey val="0"/>
          <c:showVal val="0"/>
          <c:showCatName val="0"/>
          <c:showSerName val="0"/>
          <c:showPercent val="0"/>
          <c:showBubbleSize val="0"/>
        </c:dLbls>
        <c:gapWidth val="150"/>
        <c:overlap val="100"/>
        <c:axId val="1438619871"/>
        <c:axId val="1438621951"/>
      </c:barChart>
      <c:catAx>
        <c:axId val="1438619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621951"/>
        <c:crosses val="autoZero"/>
        <c:auto val="1"/>
        <c:lblAlgn val="ctr"/>
        <c:lblOffset val="100"/>
        <c:noMultiLvlLbl val="0"/>
      </c:catAx>
      <c:valAx>
        <c:axId val="14386219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861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 dans les transports</c:v>
          </c:tx>
          <c:spPr>
            <a:ln w="28575" cap="rnd">
              <a:solidFill>
                <a:srgbClr val="0070C0"/>
              </a:solidFill>
              <a:round/>
            </a:ln>
            <a:effectLst/>
          </c:spPr>
          <c:marker>
            <c:symbol val="circle"/>
            <c:size val="5"/>
            <c:spPr>
              <a:solidFill>
                <a:srgbClr val="0070C0"/>
              </a:solidFill>
              <a:ln w="9525">
                <a:solidFill>
                  <a:srgbClr val="0070C0"/>
                </a:solidFill>
              </a:ln>
              <a:effectLst/>
            </c:spPr>
          </c:marker>
          <c:cat>
            <c:numRef>
              <c:f>[chiffres_cles_enr_edition2022.xlsx]P1_G12!$B$28:$B$43</c:f>
              <c:numCache>
                <c:formatCode>General</c:formatCode>
                <c:ptCount val="16"/>
                <c:pt idx="0">
                  <c:v>2005</c:v>
                </c:pt>
                <c:pt idx="1">
                  <c:v>2006</c:v>
                </c:pt>
                <c:pt idx="2">
                  <c:v>2007</c:v>
                </c:pt>
                <c:pt idx="3">
                  <c:v>2008</c:v>
                </c:pt>
                <c:pt idx="4">
                  <c:v>2009</c:v>
                </c:pt>
                <c:pt idx="5">
                  <c:v>2010</c:v>
                </c:pt>
                <c:pt idx="6">
                  <c:v>2011</c:v>
                </c:pt>
                <c:pt idx="7">
                  <c:v>2012</c:v>
                </c:pt>
                <c:pt idx="8">
                  <c:v>2013</c:v>
                </c:pt>
                <c:pt idx="9">
                  <c:v>2014</c:v>
                </c:pt>
                <c:pt idx="10" formatCode="0">
                  <c:v>2015</c:v>
                </c:pt>
                <c:pt idx="11">
                  <c:v>2016</c:v>
                </c:pt>
                <c:pt idx="12">
                  <c:v>2017</c:v>
                </c:pt>
                <c:pt idx="13">
                  <c:v>2018</c:v>
                </c:pt>
                <c:pt idx="14">
                  <c:v>2019</c:v>
                </c:pt>
                <c:pt idx="15">
                  <c:v>2020</c:v>
                </c:pt>
              </c:numCache>
            </c:numRef>
          </c:cat>
          <c:val>
            <c:numRef>
              <c:f>[chiffres_cles_enr_edition2022.xlsx]P1_G12!$E$28:$E$43</c:f>
              <c:numCache>
                <c:formatCode>#,##0</c:formatCode>
                <c:ptCount val="16"/>
                <c:pt idx="0">
                  <c:v>2.0045140521553741</c:v>
                </c:pt>
                <c:pt idx="1">
                  <c:v>2.2700328207264966</c:v>
                </c:pt>
                <c:pt idx="2">
                  <c:v>3.8694227782672277</c:v>
                </c:pt>
                <c:pt idx="3">
                  <c:v>5.99804853755602</c:v>
                </c:pt>
                <c:pt idx="4">
                  <c:v>6.3694611159745937</c:v>
                </c:pt>
                <c:pt idx="5">
                  <c:v>6.3168243003511524</c:v>
                </c:pt>
                <c:pt idx="6">
                  <c:v>7.2155644786303945</c:v>
                </c:pt>
                <c:pt idx="7">
                  <c:v>7.414453942912262</c:v>
                </c:pt>
                <c:pt idx="8">
                  <c:v>7.5997618556082021</c:v>
                </c:pt>
                <c:pt idx="9">
                  <c:v>8.2487056899540292</c:v>
                </c:pt>
                <c:pt idx="10">
                  <c:v>8.3658052037828217</c:v>
                </c:pt>
                <c:pt idx="11">
                  <c:v>8.4054482206803485</c:v>
                </c:pt>
                <c:pt idx="12">
                  <c:v>8.7646795048089814</c:v>
                </c:pt>
                <c:pt idx="13">
                  <c:v>8.963053008825284</c:v>
                </c:pt>
                <c:pt idx="14">
                  <c:v>9.2483940535166038</c:v>
                </c:pt>
                <c:pt idx="15">
                  <c:v>9.2198264865512272</c:v>
                </c:pt>
              </c:numCache>
            </c:numRef>
          </c:val>
          <c:smooth val="0"/>
          <c:extLst>
            <c:ext xmlns:c16="http://schemas.microsoft.com/office/drawing/2014/chart" uri="{C3380CC4-5D6E-409C-BE32-E72D297353CC}">
              <c16:uniqueId val="{00000000-779A-4518-B1B1-B5AE9E0B161A}"/>
            </c:ext>
          </c:extLst>
        </c:ser>
        <c:ser>
          <c:idx val="1"/>
          <c:order val="1"/>
          <c:tx>
            <c:v>Objectif 2020</c:v>
          </c:tx>
          <c:spPr>
            <a:ln w="28575" cap="rnd">
              <a:noFill/>
              <a:round/>
            </a:ln>
            <a:effectLst/>
          </c:spPr>
          <c:marker>
            <c:symbol val="circle"/>
            <c:size val="5"/>
            <c:spPr>
              <a:solidFill>
                <a:schemeClr val="bg2"/>
              </a:solidFill>
              <a:ln w="9525">
                <a:noFill/>
              </a:ln>
              <a:effectLst/>
            </c:spPr>
          </c:marker>
          <c:val>
            <c:numRef>
              <c:f>[chiffres_cles_enr_edition2022.xlsx]P1_G12!$F$28:$F$43</c:f>
              <c:numCache>
                <c:formatCode>General</c:formatCode>
                <c:ptCount val="16"/>
                <c:pt idx="15">
                  <c:v>10</c:v>
                </c:pt>
              </c:numCache>
            </c:numRef>
          </c:val>
          <c:smooth val="0"/>
          <c:extLst>
            <c:ext xmlns:c16="http://schemas.microsoft.com/office/drawing/2014/chart" uri="{C3380CC4-5D6E-409C-BE32-E72D297353CC}">
              <c16:uniqueId val="{00000001-779A-4518-B1B1-B5AE9E0B161A}"/>
            </c:ext>
          </c:extLst>
        </c:ser>
        <c:dLbls>
          <c:showLegendKey val="0"/>
          <c:showVal val="0"/>
          <c:showCatName val="0"/>
          <c:showSerName val="0"/>
          <c:showPercent val="0"/>
          <c:showBubbleSize val="0"/>
        </c:dLbls>
        <c:marker val="1"/>
        <c:smooth val="0"/>
        <c:axId val="750499407"/>
        <c:axId val="750488591"/>
      </c:lineChart>
      <c:catAx>
        <c:axId val="750499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0488591"/>
        <c:crosses val="autoZero"/>
        <c:auto val="1"/>
        <c:lblAlgn val="ctr"/>
        <c:lblOffset val="100"/>
        <c:noMultiLvlLbl val="0"/>
      </c:catAx>
      <c:valAx>
        <c:axId val="7504885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0499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0.39583</cdr:x>
      <cdr:y>0.40278</cdr:y>
    </cdr:from>
    <cdr:to>
      <cdr:x>0.64792</cdr:x>
      <cdr:y>0.61458</cdr:y>
    </cdr:to>
    <cdr:sp macro="" textlink="">
      <cdr:nvSpPr>
        <cdr:cNvPr id="2" name="ZoneTexte 1"/>
        <cdr:cNvSpPr txBox="1"/>
      </cdr:nvSpPr>
      <cdr:spPr>
        <a:xfrm xmlns:a="http://schemas.openxmlformats.org/drawingml/2006/main">
          <a:off x="1809750" y="1104900"/>
          <a:ext cx="1152525" cy="581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fr-FR" sz="1100" b="1"/>
            <a:t>Total : </a:t>
          </a:r>
        </a:p>
        <a:p xmlns:a="http://schemas.openxmlformats.org/drawingml/2006/main">
          <a:pPr algn="ctr"/>
          <a:r>
            <a:rPr lang="fr-FR" sz="1100" b="1"/>
            <a:t>269 000 km²</a:t>
          </a:r>
        </a:p>
      </cdr:txBody>
    </cdr:sp>
  </cdr:relSizeAnchor>
</c:userShapes>
</file>

<file path=word/drawings/drawing2.xml><?xml version="1.0" encoding="utf-8"?>
<c:userShapes xmlns:c="http://schemas.openxmlformats.org/drawingml/2006/chart">
  <cdr:relSizeAnchor xmlns:cdr="http://schemas.openxmlformats.org/drawingml/2006/chartDrawing">
    <cdr:from>
      <cdr:x>0.53383</cdr:x>
      <cdr:y>0.09615</cdr:y>
    </cdr:from>
    <cdr:to>
      <cdr:x>0.53383</cdr:x>
      <cdr:y>0.13017</cdr:y>
    </cdr:to>
    <cdr:cxnSp macro="">
      <cdr:nvCxnSpPr>
        <cdr:cNvPr id="9" name="Connecteur droit 8">
          <a:extLst xmlns:a="http://schemas.openxmlformats.org/drawingml/2006/main">
            <a:ext uri="{FF2B5EF4-FFF2-40B4-BE49-F238E27FC236}">
              <a16:creationId xmlns:a16="http://schemas.microsoft.com/office/drawing/2014/main" id="{DE5B8C6D-5257-4E4F-8848-03740E06D5FE}"/>
            </a:ext>
          </a:extLst>
        </cdr:cNvPr>
        <cdr:cNvCxnSpPr/>
      </cdr:nvCxnSpPr>
      <cdr:spPr>
        <a:xfrm xmlns:a="http://schemas.openxmlformats.org/drawingml/2006/main">
          <a:off x="2882693" y="242305"/>
          <a:ext cx="0" cy="85730"/>
        </a:xfrm>
        <a:prstGeom xmlns:a="http://schemas.openxmlformats.org/drawingml/2006/main" prst="line">
          <a:avLst/>
        </a:prstGeom>
        <a:ln xmlns:a="http://schemas.openxmlformats.org/drawingml/2006/main">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0.79257</cdr:x>
      <cdr:y>0.07686</cdr:y>
    </cdr:from>
    <cdr:to>
      <cdr:x>0.88606</cdr:x>
      <cdr:y>0.14868</cdr:y>
    </cdr:to>
    <cdr:sp macro="" textlink="">
      <cdr:nvSpPr>
        <cdr:cNvPr id="10" name="ZoneTexte 1">
          <a:extLst xmlns:a="http://schemas.openxmlformats.org/drawingml/2006/main">
            <a:ext uri="{FF2B5EF4-FFF2-40B4-BE49-F238E27FC236}">
              <a16:creationId xmlns:a16="http://schemas.microsoft.com/office/drawing/2014/main" id="{E23E46F3-493A-4B04-BC9F-CF1A59EF62FC}"/>
            </a:ext>
          </a:extLst>
        </cdr:cNvPr>
        <cdr:cNvSpPr txBox="1"/>
      </cdr:nvSpPr>
      <cdr:spPr>
        <a:xfrm xmlns:a="http://schemas.openxmlformats.org/drawingml/2006/main">
          <a:off x="4279900" y="193675"/>
          <a:ext cx="504846" cy="18098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800">
              <a:latin typeface="Trebuchet MS" panose="020B0603020202020204" pitchFamily="34" charset="0"/>
            </a:rPr>
            <a:t>Autres</a:t>
          </a:r>
        </a:p>
      </cdr:txBody>
    </cdr:sp>
  </cdr:relSizeAnchor>
  <cdr:relSizeAnchor xmlns:cdr="http://schemas.openxmlformats.org/drawingml/2006/chartDrawing">
    <cdr:from>
      <cdr:x>0.83075</cdr:x>
      <cdr:y>0.13985</cdr:y>
    </cdr:from>
    <cdr:to>
      <cdr:x>0.83075</cdr:x>
      <cdr:y>0.19947</cdr:y>
    </cdr:to>
    <cdr:cxnSp macro="">
      <cdr:nvCxnSpPr>
        <cdr:cNvPr id="11" name="Connecteur droit 10">
          <a:extLst xmlns:a="http://schemas.openxmlformats.org/drawingml/2006/main">
            <a:ext uri="{FF2B5EF4-FFF2-40B4-BE49-F238E27FC236}">
              <a16:creationId xmlns:a16="http://schemas.microsoft.com/office/drawing/2014/main" id="{2C21EA56-E235-4CD5-99FB-DAB4537887B4}"/>
            </a:ext>
          </a:extLst>
        </cdr:cNvPr>
        <cdr:cNvCxnSpPr/>
      </cdr:nvCxnSpPr>
      <cdr:spPr>
        <a:xfrm xmlns:a="http://schemas.openxmlformats.org/drawingml/2006/main" flipH="1">
          <a:off x="4486068" y="352425"/>
          <a:ext cx="0" cy="150235"/>
        </a:xfrm>
        <a:prstGeom xmlns:a="http://schemas.openxmlformats.org/drawingml/2006/main" prst="line">
          <a:avLst/>
        </a:prstGeom>
        <a:ln xmlns:a="http://schemas.openxmlformats.org/drawingml/2006/main">
          <a:solidFill>
            <a:srgbClr val="7030A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hème Office">
  <a:themeElements>
    <a:clrScheme name="GOUVERNEMENT PPT">
      <a:dk1>
        <a:srgbClr val="000000"/>
      </a:dk1>
      <a:lt1>
        <a:srgbClr val="FFFFFF"/>
      </a:lt1>
      <a:dk2>
        <a:srgbClr val="000091"/>
      </a:dk2>
      <a:lt2>
        <a:srgbClr val="E1000F"/>
      </a:lt2>
      <a:accent1>
        <a:srgbClr val="005841"/>
      </a:accent1>
      <a:accent2>
        <a:srgbClr val="21215A"/>
      </a:accent2>
      <a:accent3>
        <a:srgbClr val="FFD500"/>
      </a:accent3>
      <a:accent4>
        <a:srgbClr val="EA5433"/>
      </a:accent4>
      <a:accent5>
        <a:srgbClr val="8C2237"/>
      </a:accent5>
      <a:accent6>
        <a:srgbClr val="49311F"/>
      </a:accent6>
      <a:hlink>
        <a:srgbClr val="000000"/>
      </a:hlink>
      <a:folHlink>
        <a:srgbClr val="000000"/>
      </a:folHlink>
    </a:clrScheme>
    <a:fontScheme name="GOUVERNEMENT PPT">
      <a:majorFont>
        <a:latin typeface="Marianne"/>
        <a:ea typeface=""/>
        <a:cs typeface=""/>
      </a:majorFont>
      <a:minorFont>
        <a:latin typeface="Mariann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NC Submission" ma:contentTypeID="0x0101001FA945B3443244438EF3675AF0DF0D3D00235752C2D8300F4D9968B1A001C59A41" ma:contentTypeVersion="2" ma:contentTypeDescription="National Communication Submission Content Type" ma:contentTypeScope="" ma:versionID="60292ed444e994c802f5758afe27c882">
  <xsd:schema xmlns:xsd="http://www.w3.org/2001/XMLSchema" xmlns:xs="http://www.w3.org/2001/XMLSchema" xmlns:p="http://schemas.microsoft.com/office/2006/metadata/properties" xmlns:ns2="e797f6dd-fd82-440c-8368-2d31177d6268" targetNamespace="http://schemas.microsoft.com/office/2006/metadata/properties" ma:root="true" ma:fieldsID="313ea55eeae046745620c338e30844ec" ns2:_="">
    <xsd:import namespace="e797f6dd-fd82-440c-8368-2d31177d6268"/>
    <xsd:element name="properties">
      <xsd:complexType>
        <xsd:sequence>
          <xsd:element name="documentManagement">
            <xsd:complexType>
              <xsd:all>
                <xsd:element ref="ns2:SubmissionStatus" minOccurs="0"/>
                <xsd:element ref="ns2:Party" minOccurs="0"/>
                <xsd:element ref="ns2:SubmissionCycle" minOccurs="0"/>
                <xsd:element ref="ns2:SubmissionNumber" minOccurs="0"/>
                <xsd:element ref="ns2:RecordType" minOccurs="0"/>
                <xsd:element ref="ns2:SubmissionDate" minOccurs="0"/>
                <xsd:element ref="ns2:UNF3CLanguage" minOccurs="0"/>
                <xsd:element ref="ns2:PartyComment" minOccurs="0"/>
                <xsd:element ref="ns2:SecretariatComment" minOccurs="0"/>
                <xsd:element ref="ns2:AnnexIPar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97f6dd-fd82-440c-8368-2d31177d6268" elementFormDefault="qualified">
    <xsd:import namespace="http://schemas.microsoft.com/office/2006/documentManagement/types"/>
    <xsd:import namespace="http://schemas.microsoft.com/office/infopath/2007/PartnerControls"/>
    <xsd:element name="SubmissionStatus" ma:index="8" nillable="true" ma:displayName="Submission Status" ma:internalName="SubmissionStatus">
      <xsd:simpleType>
        <xsd:restriction base="dms:Choice">
          <xsd:enumeration value="Submitted"/>
          <xsd:enumeration value="Validated"/>
          <xsd:enumeration value="Published"/>
          <xsd:enumeration value="Rejected"/>
        </xsd:restriction>
      </xsd:simpleType>
    </xsd:element>
    <xsd:element name="Party" ma:index="9" nillable="true" ma:displayName="Party" ma:internalName="Party">
      <xsd:simpleType>
        <xsd:restriction base="dms:Text"/>
      </xsd:simpleType>
    </xsd:element>
    <xsd:element name="SubmissionCycle" ma:index="10" nillable="true" ma:displayName="Submission Cycle" ma:internalName="SubmissionCycle">
      <xsd:simpleType>
        <xsd:restriction base="dms:Choice">
          <xsd:enumeration value="NC1"/>
          <xsd:enumeration value="NC2"/>
          <xsd:enumeration value="NC3"/>
          <xsd:enumeration value="NC4"/>
          <xsd:enumeration value="NC5"/>
          <xsd:enumeration value="NC6"/>
          <xsd:enumeration value="NC7"/>
          <xsd:enumeration value="NC8"/>
          <xsd:enumeration value="NC9"/>
          <xsd:enumeration value="NC10"/>
          <xsd:enumeration value="BR1"/>
          <xsd:enumeration value="BR2"/>
          <xsd:enumeration value="BR3"/>
          <xsd:enumeration value="BR4"/>
          <xsd:enumeration value="BR5"/>
          <xsd:enumeration value="BUR1"/>
          <xsd:enumeration value="BUR2"/>
          <xsd:enumeration value="BUR3"/>
          <xsd:enumeration value="BUR4"/>
          <xsd:enumeration value="BUR5"/>
        </xsd:restriction>
      </xsd:simpleType>
    </xsd:element>
    <xsd:element name="SubmissionNumber" ma:index="11" nillable="true" ma:displayName="Submission Number" ma:internalName="SubmissionNumber">
      <xsd:simpleType>
        <xsd:restriction base="dms:Choice">
          <xsd:enumeration value="1"/>
          <xsd:enumeration value="2"/>
          <xsd:enumeration value="3"/>
          <xsd:enumeration value="4"/>
          <xsd:enumeration value="5"/>
          <xsd:enumeration value="6"/>
          <xsd:enumeration value="7"/>
          <xsd:enumeration value="8"/>
          <xsd:enumeration value="9"/>
          <xsd:enumeration value="10"/>
          <xsd:enumeration value="11"/>
          <xsd:enumeration value="12"/>
          <xsd:enumeration value="13"/>
          <xsd:enumeration value="14"/>
          <xsd:enumeration value="15"/>
        </xsd:restriction>
      </xsd:simpleType>
    </xsd:element>
    <xsd:element name="RecordType" ma:index="12" nillable="true" ma:displayName="Record Type" ma:internalName="RecordType">
      <xsd:simpleType>
        <xsd:restriction base="dms:Choice">
          <xsd:enumeration value="National Communication"/>
          <xsd:enumeration value="Biennial Report"/>
          <xsd:enumeration value="Biennial Update Report"/>
          <xsd:enumeration value="National Inventory Report"/>
          <xsd:enumeration value="Additional Information"/>
          <xsd:enumeration value="Cover Letter"/>
          <xsd:enumeration value="Acknowlegement of receipt"/>
          <xsd:enumeration value="Communication"/>
        </xsd:restriction>
      </xsd:simpleType>
    </xsd:element>
    <xsd:element name="SubmissionDate" ma:index="13" nillable="true" ma:displayName="Submission Date" ma:internalName="SubmissionDate">
      <xsd:simpleType>
        <xsd:restriction base="dms:DateTime"/>
      </xsd:simpleType>
    </xsd:element>
    <xsd:element name="UNF3CLanguage" ma:index="14" nillable="true" ma:displayName="Language" ma:internalName="UNF3CLanguage">
      <xsd:simpleType>
        <xsd:restriction base="dms:Choice">
          <xsd:enumeration value="English"/>
          <xsd:enumeration value="Arabic"/>
          <xsd:enumeration value="Chinese"/>
          <xsd:enumeration value="French"/>
          <xsd:enumeration value="Spanish"/>
          <xsd:enumeration value="Russian"/>
        </xsd:restriction>
      </xsd:simpleType>
    </xsd:element>
    <xsd:element name="PartyComment" ma:index="15" nillable="true" ma:displayName="Party Comment" ma:internalName="PartyComment">
      <xsd:simpleType>
        <xsd:restriction base="dms:Note">
          <xsd:maxLength value="255"/>
        </xsd:restriction>
      </xsd:simpleType>
    </xsd:element>
    <xsd:element name="SecretariatComment" ma:index="16" nillable="true" ma:displayName="Secretariat Comment" ma:internalName="SecretariatComment">
      <xsd:simpleType>
        <xsd:restriction base="dms:Note">
          <xsd:maxLength value="255"/>
        </xsd:restriction>
      </xsd:simpleType>
    </xsd:element>
    <xsd:element name="AnnexIParty" ma:index="17" nillable="true" ma:displayName="Annex I Party" ma:internalName="AnnexIParty">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arty xmlns="e797f6dd-fd82-440c-8368-2d31177d6268">France</Party>
    <SubmissionCycle xmlns="e797f6dd-fd82-440c-8368-2d31177d6268" xsi:nil="true"/>
    <SecretariatComment xmlns="e797f6dd-fd82-440c-8368-2d31177d6268" xsi:nil="true"/>
    <SubmissionStatus xmlns="e797f6dd-fd82-440c-8368-2d31177d6268" xsi:nil="true"/>
    <PartyComment xmlns="e797f6dd-fd82-440c-8368-2d31177d6268" xsi:nil="true"/>
    <SubmissionNumber xmlns="e797f6dd-fd82-440c-8368-2d31177d6268" xsi:nil="true"/>
    <AnnexIParty xmlns="e797f6dd-fd82-440c-8368-2d31177d6268" xsi:nil="true"/>
    <RecordType xmlns="e797f6dd-fd82-440c-8368-2d31177d6268" xsi:nil="true"/>
    <UNF3CLanguage xmlns="e797f6dd-fd82-440c-8368-2d31177d6268" xsi:nil="true"/>
    <SubmissionDate xmlns="e797f6dd-fd82-440c-8368-2d31177d6268" xsi:nil="true"/>
  </documentManagement>
</p:properties>
</file>

<file path=customXml/itemProps1.xml><?xml version="1.0" encoding="utf-8"?>
<ds:datastoreItem xmlns:ds="http://schemas.openxmlformats.org/officeDocument/2006/customXml" ds:itemID="{F20E22EA-4E82-436E-A04C-7077B6694A76}">
  <ds:schemaRefs>
    <ds:schemaRef ds:uri="http://schemas.openxmlformats.org/officeDocument/2006/bibliography"/>
  </ds:schemaRefs>
</ds:datastoreItem>
</file>

<file path=customXml/itemProps2.xml><?xml version="1.0" encoding="utf-8"?>
<ds:datastoreItem xmlns:ds="http://schemas.openxmlformats.org/officeDocument/2006/customXml" ds:itemID="{E802F3C2-7EC3-4D46-9F45-114EC56BE6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97f6dd-fd82-440c-8368-2d31177d62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E4FD103-EAC2-4375-9770-13BFDD1DDA9A}">
  <ds:schemaRefs>
    <ds:schemaRef ds:uri="http://schemas.microsoft.com/sharepoint/v3/contenttype/forms"/>
  </ds:schemaRefs>
</ds:datastoreItem>
</file>

<file path=customXml/itemProps4.xml><?xml version="1.0" encoding="utf-8"?>
<ds:datastoreItem xmlns:ds="http://schemas.openxmlformats.org/officeDocument/2006/customXml" ds:itemID="{2D4B0C2B-1D5E-4306-8124-4AFC234BD680}">
  <ds:schemaRefs>
    <ds:schemaRef ds:uri="http://schemas.microsoft.com/office/2006/metadata/properties"/>
    <ds:schemaRef ds:uri="http://schemas.microsoft.com/office/infopath/2007/PartnerControls"/>
    <ds:schemaRef ds:uri="e797f6dd-fd82-440c-8368-2d31177d6268"/>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127724</Words>
  <Characters>728027</Characters>
  <Application>Microsoft Office Word</Application>
  <DocSecurity>0</DocSecurity>
  <Lines>6066</Lines>
  <Paragraphs>1708</Paragraphs>
  <ScaleCrop>false</ScaleCrop>
  <HeadingPairs>
    <vt:vector size="2" baseType="variant">
      <vt:variant>
        <vt:lpstr>Titre</vt:lpstr>
      </vt:variant>
      <vt:variant>
        <vt:i4>1</vt:i4>
      </vt:variant>
    </vt:vector>
  </HeadingPairs>
  <TitlesOfParts>
    <vt:vector size="1" baseType="lpstr">
      <vt:lpstr>GOUVERNEMENT</vt:lpstr>
    </vt:vector>
  </TitlesOfParts>
  <Manager>GOUVERNEMENT</Manager>
  <Company>GOUVERNEMENT</Company>
  <LinksUpToDate>false</LinksUpToDate>
  <CharactersWithSpaces>854043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NC/NC8/2023</dc:title>
  <dc:subject>GOUVERNEMENT</dc:subject>
  <dc:creator>FONDEVILLE Coralie</dc:creator>
  <cp:keywords/>
  <dc:description/>
  <cp:lastModifiedBy>Lolo Gardesie-Grove</cp:lastModifiedBy>
  <cp:revision>2</cp:revision>
  <cp:lastPrinted>2023-01-06T15:53:00Z</cp:lastPrinted>
  <dcterms:created xsi:type="dcterms:W3CDTF">2023-07-17T10:08:00Z</dcterms:created>
  <dcterms:modified xsi:type="dcterms:W3CDTF">2023-07-17T10:08:00Z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0x0101001FA945B3443244438EF3675AF0DF0D3D00235752C2D8300F4D9968B1A001C59A41</vt:lpwstr>
  </property>
</Properties>
</file>